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6A0C68" w:rsidTr="00A7453D">
        <w:tc>
          <w:tcPr>
            <w:tcW w:w="4513" w:type="dxa"/>
            <w:tcBorders>
              <w:bottom w:val="single" w:sz="4" w:space="0" w:color="auto"/>
            </w:tcBorders>
            <w:tcMar>
              <w:bottom w:w="170" w:type="dxa"/>
            </w:tcMar>
          </w:tcPr>
          <w:p w:rsidR="00E504E5" w:rsidRPr="006A0C68" w:rsidRDefault="00E504E5" w:rsidP="00AB613D">
            <w:bookmarkStart w:id="0" w:name="_GoBack"/>
            <w:bookmarkEnd w:id="0"/>
          </w:p>
        </w:tc>
        <w:tc>
          <w:tcPr>
            <w:tcW w:w="4337" w:type="dxa"/>
            <w:tcBorders>
              <w:bottom w:val="single" w:sz="4" w:space="0" w:color="auto"/>
            </w:tcBorders>
            <w:tcMar>
              <w:left w:w="0" w:type="dxa"/>
              <w:right w:w="0" w:type="dxa"/>
            </w:tcMar>
          </w:tcPr>
          <w:p w:rsidR="00E504E5" w:rsidRPr="006A0C68" w:rsidRDefault="00484FD8" w:rsidP="00AB613D">
            <w:r w:rsidRPr="006A0C68">
              <w:rPr>
                <w:noProof/>
                <w:lang w:val="en-US" w:eastAsia="en-US"/>
              </w:rPr>
              <w:drawing>
                <wp:inline distT="0" distB="0" distL="0" distR="0" wp14:anchorId="3E572A87" wp14:editId="3107501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A0C68" w:rsidRDefault="00E504E5" w:rsidP="00AB613D">
            <w:pPr>
              <w:jc w:val="right"/>
            </w:pPr>
            <w:r w:rsidRPr="006A0C68">
              <w:rPr>
                <w:b/>
                <w:sz w:val="40"/>
                <w:szCs w:val="40"/>
              </w:rPr>
              <w:t>S</w:t>
            </w:r>
          </w:p>
        </w:tc>
      </w:tr>
      <w:tr w:rsidR="008B2CC1" w:rsidRPr="0000286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00286D" w:rsidRDefault="00484FD8" w:rsidP="00484FD8">
            <w:pPr>
              <w:jc w:val="right"/>
              <w:rPr>
                <w:rFonts w:ascii="Arial Black" w:hAnsi="Arial Black"/>
                <w:caps/>
                <w:sz w:val="15"/>
              </w:rPr>
            </w:pPr>
            <w:r w:rsidRPr="0000286D">
              <w:rPr>
                <w:rFonts w:ascii="Arial Black" w:hAnsi="Arial Black"/>
                <w:caps/>
                <w:sz w:val="15"/>
              </w:rPr>
              <w:t>LI/A/32/</w:t>
            </w:r>
            <w:bookmarkStart w:id="1" w:name="Code"/>
            <w:bookmarkEnd w:id="1"/>
            <w:r w:rsidR="00A0524C" w:rsidRPr="0000286D">
              <w:rPr>
                <w:rFonts w:ascii="Arial Black" w:hAnsi="Arial Black"/>
                <w:caps/>
                <w:sz w:val="15"/>
              </w:rPr>
              <w:t>4</w:t>
            </w:r>
          </w:p>
        </w:tc>
      </w:tr>
      <w:tr w:rsidR="008B2CC1" w:rsidRPr="0000286D" w:rsidTr="00AB613D">
        <w:trPr>
          <w:trHeight w:hRule="exact" w:val="170"/>
        </w:trPr>
        <w:tc>
          <w:tcPr>
            <w:tcW w:w="9356" w:type="dxa"/>
            <w:gridSpan w:val="3"/>
            <w:noWrap/>
            <w:tcMar>
              <w:left w:w="0" w:type="dxa"/>
              <w:right w:w="0" w:type="dxa"/>
            </w:tcMar>
            <w:vAlign w:val="bottom"/>
          </w:tcPr>
          <w:p w:rsidR="008B2CC1" w:rsidRPr="0000286D" w:rsidRDefault="008B2CC1" w:rsidP="00AB613D">
            <w:pPr>
              <w:jc w:val="right"/>
              <w:rPr>
                <w:rFonts w:ascii="Arial Black" w:hAnsi="Arial Black"/>
                <w:caps/>
                <w:sz w:val="15"/>
              </w:rPr>
            </w:pPr>
            <w:r w:rsidRPr="0000286D">
              <w:rPr>
                <w:rFonts w:ascii="Arial Black" w:hAnsi="Arial Black"/>
                <w:caps/>
                <w:sz w:val="15"/>
              </w:rPr>
              <w:t>ORIGINAL:</w:t>
            </w:r>
            <w:r w:rsidR="00F84474" w:rsidRPr="0000286D">
              <w:rPr>
                <w:rFonts w:ascii="Arial Black" w:hAnsi="Arial Black"/>
                <w:caps/>
                <w:sz w:val="15"/>
              </w:rPr>
              <w:t xml:space="preserve"> </w:t>
            </w:r>
            <w:r w:rsidRPr="0000286D">
              <w:rPr>
                <w:rFonts w:ascii="Arial Black" w:hAnsi="Arial Black"/>
                <w:caps/>
                <w:sz w:val="15"/>
              </w:rPr>
              <w:t xml:space="preserve"> </w:t>
            </w:r>
            <w:bookmarkStart w:id="2" w:name="Original"/>
            <w:bookmarkEnd w:id="2"/>
            <w:r w:rsidR="00A0524C" w:rsidRPr="0000286D">
              <w:rPr>
                <w:rFonts w:ascii="Arial Black" w:hAnsi="Arial Black"/>
                <w:caps/>
                <w:sz w:val="15"/>
              </w:rPr>
              <w:t>INGLÉS</w:t>
            </w:r>
          </w:p>
        </w:tc>
      </w:tr>
      <w:tr w:rsidR="008B2CC1" w:rsidRPr="0000286D" w:rsidTr="00AB613D">
        <w:trPr>
          <w:trHeight w:hRule="exact" w:val="198"/>
        </w:trPr>
        <w:tc>
          <w:tcPr>
            <w:tcW w:w="9356" w:type="dxa"/>
            <w:gridSpan w:val="3"/>
            <w:tcMar>
              <w:left w:w="0" w:type="dxa"/>
              <w:right w:w="0" w:type="dxa"/>
            </w:tcMar>
            <w:vAlign w:val="bottom"/>
          </w:tcPr>
          <w:p w:rsidR="008B2CC1" w:rsidRPr="0000286D" w:rsidRDefault="00675021" w:rsidP="00AB613D">
            <w:pPr>
              <w:jc w:val="right"/>
              <w:rPr>
                <w:rFonts w:ascii="Arial Black" w:hAnsi="Arial Black"/>
                <w:caps/>
                <w:sz w:val="15"/>
              </w:rPr>
            </w:pPr>
            <w:r w:rsidRPr="0000286D">
              <w:rPr>
                <w:rFonts w:ascii="Arial Black" w:hAnsi="Arial Black"/>
                <w:caps/>
                <w:sz w:val="15"/>
              </w:rPr>
              <w:t>fecha</w:t>
            </w:r>
            <w:r w:rsidR="008B2CC1" w:rsidRPr="0000286D">
              <w:rPr>
                <w:rFonts w:ascii="Arial Black" w:hAnsi="Arial Black"/>
                <w:caps/>
                <w:sz w:val="15"/>
              </w:rPr>
              <w:t>:</w:t>
            </w:r>
            <w:r w:rsidR="00F84474" w:rsidRPr="0000286D">
              <w:rPr>
                <w:rFonts w:ascii="Arial Black" w:hAnsi="Arial Black"/>
                <w:caps/>
                <w:sz w:val="15"/>
              </w:rPr>
              <w:t xml:space="preserve"> </w:t>
            </w:r>
            <w:r w:rsidR="008B2CC1" w:rsidRPr="0000286D">
              <w:rPr>
                <w:rFonts w:ascii="Arial Black" w:hAnsi="Arial Black"/>
                <w:caps/>
                <w:sz w:val="15"/>
              </w:rPr>
              <w:t xml:space="preserve"> </w:t>
            </w:r>
            <w:bookmarkStart w:id="3" w:name="Date"/>
            <w:bookmarkEnd w:id="3"/>
            <w:r w:rsidR="00A0524C" w:rsidRPr="0000286D">
              <w:rPr>
                <w:rFonts w:ascii="Arial Black" w:hAnsi="Arial Black"/>
                <w:caps/>
                <w:sz w:val="15"/>
              </w:rPr>
              <w:t>30 DE SEPTIEMBRE DE 2015</w:t>
            </w:r>
          </w:p>
        </w:tc>
      </w:tr>
    </w:tbl>
    <w:p w:rsidR="008B2CC1" w:rsidRPr="006A0C68" w:rsidRDefault="008B2CC1" w:rsidP="008B2CC1"/>
    <w:p w:rsidR="008B2CC1" w:rsidRPr="006A0C68" w:rsidRDefault="008B2CC1" w:rsidP="008B2CC1"/>
    <w:p w:rsidR="008B2CC1" w:rsidRPr="006A0C68" w:rsidRDefault="008B2CC1" w:rsidP="008B2CC1"/>
    <w:p w:rsidR="008B2CC1" w:rsidRPr="006A0C68" w:rsidRDefault="008B2CC1" w:rsidP="008B2CC1"/>
    <w:p w:rsidR="008B2CC1" w:rsidRPr="006A0C68" w:rsidRDefault="008B2CC1" w:rsidP="008B2CC1"/>
    <w:p w:rsidR="008B2CC1" w:rsidRPr="006A0C68" w:rsidRDefault="00CC771F" w:rsidP="008B2CC1">
      <w:pPr>
        <w:rPr>
          <w:b/>
          <w:sz w:val="28"/>
          <w:szCs w:val="28"/>
        </w:rPr>
      </w:pPr>
      <w:r w:rsidRPr="006A0C68">
        <w:rPr>
          <w:b/>
          <w:sz w:val="28"/>
          <w:szCs w:val="28"/>
        </w:rPr>
        <w:t>Unión p</w:t>
      </w:r>
      <w:r w:rsidR="00484FD8" w:rsidRPr="006A0C68">
        <w:rPr>
          <w:b/>
          <w:sz w:val="28"/>
          <w:szCs w:val="28"/>
        </w:rPr>
        <w:t>articular para la Protección de las Denominaciones de Origen y su Registro Internacional (Unión de Lisboa)</w:t>
      </w:r>
    </w:p>
    <w:p w:rsidR="003845C1" w:rsidRPr="006A0C68" w:rsidRDefault="003845C1" w:rsidP="003845C1"/>
    <w:p w:rsidR="001C4DD3" w:rsidRPr="006A0C68" w:rsidRDefault="001C4DD3" w:rsidP="003845C1"/>
    <w:p w:rsidR="001C4DD3" w:rsidRPr="006A0C68" w:rsidRDefault="001C4DD3" w:rsidP="003845C1">
      <w:pPr>
        <w:rPr>
          <w:b/>
          <w:sz w:val="28"/>
          <w:szCs w:val="28"/>
        </w:rPr>
      </w:pPr>
      <w:r w:rsidRPr="006A0C68">
        <w:rPr>
          <w:b/>
          <w:sz w:val="28"/>
          <w:szCs w:val="28"/>
        </w:rPr>
        <w:t>Asamblea</w:t>
      </w:r>
    </w:p>
    <w:p w:rsidR="001C4DD3" w:rsidRPr="006A0C68" w:rsidRDefault="001C4DD3" w:rsidP="003845C1"/>
    <w:p w:rsidR="003845C1" w:rsidRPr="006A0C68" w:rsidRDefault="003845C1" w:rsidP="003845C1"/>
    <w:p w:rsidR="00484FD8" w:rsidRPr="006A0C68" w:rsidRDefault="00484FD8" w:rsidP="00484FD8">
      <w:pPr>
        <w:rPr>
          <w:b/>
          <w:sz w:val="24"/>
          <w:szCs w:val="24"/>
        </w:rPr>
      </w:pPr>
      <w:r w:rsidRPr="006A0C68">
        <w:rPr>
          <w:b/>
          <w:sz w:val="24"/>
          <w:szCs w:val="24"/>
        </w:rPr>
        <w:t>Trigésimo segundo período de sesiones (21° ordinario)</w:t>
      </w:r>
    </w:p>
    <w:p w:rsidR="008B2CC1" w:rsidRPr="006A0C68" w:rsidRDefault="00484FD8" w:rsidP="00484FD8">
      <w:pPr>
        <w:rPr>
          <w:b/>
          <w:sz w:val="24"/>
          <w:szCs w:val="24"/>
        </w:rPr>
      </w:pPr>
      <w:r w:rsidRPr="006A0C68">
        <w:rPr>
          <w:b/>
          <w:sz w:val="24"/>
          <w:szCs w:val="24"/>
        </w:rPr>
        <w:t>Ginebra, 5 a 14 de octubre de 2015</w:t>
      </w:r>
    </w:p>
    <w:p w:rsidR="008B2CC1" w:rsidRPr="006A0C68" w:rsidRDefault="008B2CC1" w:rsidP="008B2CC1"/>
    <w:p w:rsidR="008B2CC1" w:rsidRPr="006A0C68" w:rsidRDefault="008B2CC1" w:rsidP="008B2CC1"/>
    <w:p w:rsidR="008B2CC1" w:rsidRPr="006A0C68" w:rsidRDefault="008B2CC1" w:rsidP="008B2CC1"/>
    <w:p w:rsidR="00B655EA" w:rsidRPr="006A0C68" w:rsidRDefault="00B655EA" w:rsidP="00B655EA">
      <w:pPr>
        <w:rPr>
          <w:caps/>
          <w:sz w:val="24"/>
        </w:rPr>
      </w:pPr>
      <w:bookmarkStart w:id="4" w:name="TitleOfDoc"/>
      <w:bookmarkEnd w:id="4"/>
      <w:r w:rsidRPr="006A0C68">
        <w:rPr>
          <w:caps/>
          <w:sz w:val="24"/>
        </w:rPr>
        <w:t>Prop</w:t>
      </w:r>
      <w:r w:rsidR="004F039B" w:rsidRPr="006A0C68">
        <w:rPr>
          <w:caps/>
          <w:sz w:val="24"/>
        </w:rPr>
        <w:t>UESTA DE CREACIÓN DE UN FONDO DE OPERACIONES PARA LA UNIÓN DE LISBOA</w:t>
      </w:r>
    </w:p>
    <w:p w:rsidR="00B655EA" w:rsidRPr="006A0C68" w:rsidRDefault="00B655EA" w:rsidP="00B655EA"/>
    <w:p w:rsidR="00B655EA" w:rsidRPr="006A0C68" w:rsidRDefault="00B655EA" w:rsidP="00B655EA">
      <w:pPr>
        <w:rPr>
          <w:i/>
        </w:rPr>
      </w:pPr>
      <w:bookmarkStart w:id="5" w:name="Prepared"/>
      <w:bookmarkEnd w:id="5"/>
      <w:r w:rsidRPr="006A0C68">
        <w:rPr>
          <w:i/>
        </w:rPr>
        <w:t>Document</w:t>
      </w:r>
      <w:r w:rsidR="00120044" w:rsidRPr="006A0C68">
        <w:rPr>
          <w:i/>
        </w:rPr>
        <w:t>o</w:t>
      </w:r>
      <w:r w:rsidRPr="006A0C68">
        <w:rPr>
          <w:i/>
        </w:rPr>
        <w:t xml:space="preserve"> prepar</w:t>
      </w:r>
      <w:r w:rsidR="00120044" w:rsidRPr="006A0C68">
        <w:rPr>
          <w:i/>
        </w:rPr>
        <w:t>ado por la Oficina Internacional</w:t>
      </w:r>
    </w:p>
    <w:p w:rsidR="00B655EA" w:rsidRPr="006A0C68" w:rsidRDefault="00B655EA" w:rsidP="00B655EA"/>
    <w:p w:rsidR="00B655EA" w:rsidRPr="006A0C68" w:rsidRDefault="00B655EA" w:rsidP="00B655EA"/>
    <w:p w:rsidR="00B655EA" w:rsidRPr="006A0C68" w:rsidRDefault="00B655EA" w:rsidP="00B655EA"/>
    <w:p w:rsidR="00B655EA" w:rsidRPr="006A0C68" w:rsidRDefault="00B655EA" w:rsidP="00B655EA"/>
    <w:p w:rsidR="00B655EA" w:rsidRPr="006A0C68" w:rsidRDefault="00B655EA" w:rsidP="00B655EA"/>
    <w:p w:rsidR="00B655EA" w:rsidRPr="006A0C68" w:rsidRDefault="00B655EA" w:rsidP="00B655EA">
      <w:pPr>
        <w:spacing w:after="220"/>
        <w:rPr>
          <w:b/>
          <w:bCs/>
          <w:caps/>
          <w:color w:val="000000"/>
          <w:szCs w:val="22"/>
        </w:rPr>
      </w:pPr>
      <w:r w:rsidRPr="006A0C68">
        <w:rPr>
          <w:b/>
          <w:bCs/>
          <w:caps/>
          <w:color w:val="000000"/>
          <w:szCs w:val="22"/>
        </w:rPr>
        <w:t>Introduc</w:t>
      </w:r>
      <w:r w:rsidR="00120044" w:rsidRPr="006A0C68">
        <w:rPr>
          <w:b/>
          <w:bCs/>
          <w:caps/>
          <w:color w:val="000000"/>
          <w:szCs w:val="22"/>
        </w:rPr>
        <w:t>ci</w:t>
      </w:r>
      <w:r w:rsidR="006A0C68" w:rsidRPr="006A0C68">
        <w:rPr>
          <w:b/>
          <w:bCs/>
          <w:caps/>
          <w:color w:val="000000"/>
          <w:szCs w:val="22"/>
        </w:rPr>
        <w:t>Ó</w:t>
      </w:r>
      <w:r w:rsidR="00120044" w:rsidRPr="006A0C68">
        <w:rPr>
          <w:b/>
          <w:bCs/>
          <w:caps/>
          <w:color w:val="000000"/>
          <w:szCs w:val="22"/>
        </w:rPr>
        <w:t>n</w:t>
      </w:r>
    </w:p>
    <w:p w:rsidR="00B655EA" w:rsidRPr="006A0C68" w:rsidRDefault="00B655EA" w:rsidP="00B655EA">
      <w:pPr>
        <w:spacing w:after="220"/>
        <w:rPr>
          <w:iCs/>
          <w:color w:val="000000"/>
        </w:rPr>
      </w:pPr>
      <w:r w:rsidRPr="006A0C68">
        <w:rPr>
          <w:iCs/>
          <w:color w:val="000000"/>
        </w:rPr>
        <w:fldChar w:fldCharType="begin"/>
      </w:r>
      <w:r w:rsidRPr="006A0C68">
        <w:rPr>
          <w:iCs/>
          <w:color w:val="000000"/>
        </w:rPr>
        <w:instrText xml:space="preserve"> AUTONUM  </w:instrText>
      </w:r>
      <w:r w:rsidRPr="006A0C68">
        <w:rPr>
          <w:iCs/>
          <w:color w:val="000000"/>
        </w:rPr>
        <w:fldChar w:fldCharType="end"/>
      </w:r>
      <w:r w:rsidRPr="006A0C68">
        <w:rPr>
          <w:iCs/>
          <w:color w:val="000000"/>
        </w:rPr>
        <w:tab/>
      </w:r>
      <w:r w:rsidR="004354DC" w:rsidRPr="006A0C68">
        <w:rPr>
          <w:iCs/>
          <w:color w:val="000000"/>
        </w:rPr>
        <w:t>En el curso y después de la vigesimocuarta sesi</w:t>
      </w:r>
      <w:r w:rsidR="00DF156B" w:rsidRPr="006A0C68">
        <w:rPr>
          <w:iCs/>
          <w:color w:val="000000"/>
        </w:rPr>
        <w:t>ó</w:t>
      </w:r>
      <w:r w:rsidR="004354DC" w:rsidRPr="006A0C68">
        <w:rPr>
          <w:iCs/>
          <w:color w:val="000000"/>
        </w:rPr>
        <w:t xml:space="preserve">n del Comité del Programa y Presupuesto de la OMPI, los miembros de la Unión de Lisboa </w:t>
      </w:r>
      <w:r w:rsidR="00DF156B" w:rsidRPr="006A0C68">
        <w:rPr>
          <w:iCs/>
          <w:color w:val="000000"/>
        </w:rPr>
        <w:t>solicitaron información adicional con miras a</w:t>
      </w:r>
      <w:r w:rsidR="00B86449" w:rsidRPr="006A0C68">
        <w:rPr>
          <w:iCs/>
          <w:color w:val="000000"/>
        </w:rPr>
        <w:t xml:space="preserve"> la creación </w:t>
      </w:r>
      <w:r w:rsidR="00DF156B" w:rsidRPr="006A0C68">
        <w:rPr>
          <w:iCs/>
          <w:color w:val="000000"/>
        </w:rPr>
        <w:t xml:space="preserve">de un </w:t>
      </w:r>
      <w:r w:rsidR="006A0C68" w:rsidRPr="006A0C68">
        <w:rPr>
          <w:iCs/>
          <w:color w:val="000000"/>
        </w:rPr>
        <w:t>f</w:t>
      </w:r>
      <w:r w:rsidR="00DF156B" w:rsidRPr="006A0C68">
        <w:rPr>
          <w:iCs/>
          <w:color w:val="000000"/>
        </w:rPr>
        <w:t xml:space="preserve">ondo de </w:t>
      </w:r>
      <w:r w:rsidR="006A0C68" w:rsidRPr="006A0C68">
        <w:rPr>
          <w:iCs/>
          <w:color w:val="000000"/>
        </w:rPr>
        <w:t>o</w:t>
      </w:r>
      <w:r w:rsidR="00DF156B" w:rsidRPr="006A0C68">
        <w:rPr>
          <w:iCs/>
          <w:color w:val="000000"/>
        </w:rPr>
        <w:t xml:space="preserve">peraciones para la Unión de Lisboa. </w:t>
      </w:r>
    </w:p>
    <w:p w:rsidR="00B655EA" w:rsidRPr="006A0C68" w:rsidRDefault="00B655EA" w:rsidP="00AC198F">
      <w:pPr>
        <w:pStyle w:val="Default"/>
        <w:rPr>
          <w:rFonts w:ascii="Arial" w:hAnsi="Arial" w:cs="Arial"/>
          <w:sz w:val="22"/>
          <w:szCs w:val="22"/>
          <w:lang w:val="es-ES"/>
        </w:rPr>
      </w:pPr>
      <w:r w:rsidRPr="006A0C68">
        <w:rPr>
          <w:rFonts w:ascii="Arial" w:hAnsi="Arial" w:cs="Arial"/>
          <w:iCs/>
          <w:sz w:val="22"/>
          <w:szCs w:val="22"/>
          <w:lang w:val="es-ES"/>
        </w:rPr>
        <w:fldChar w:fldCharType="begin"/>
      </w:r>
      <w:r w:rsidRPr="006A0C68">
        <w:rPr>
          <w:rFonts w:ascii="Arial" w:hAnsi="Arial" w:cs="Arial"/>
          <w:iCs/>
          <w:sz w:val="22"/>
          <w:szCs w:val="22"/>
          <w:lang w:val="es-ES"/>
        </w:rPr>
        <w:instrText xml:space="preserve"> AUTONUM  </w:instrText>
      </w:r>
      <w:r w:rsidRPr="006A0C68">
        <w:rPr>
          <w:rFonts w:ascii="Arial" w:hAnsi="Arial" w:cs="Arial"/>
          <w:iCs/>
          <w:sz w:val="22"/>
          <w:szCs w:val="22"/>
          <w:lang w:val="es-ES"/>
        </w:rPr>
        <w:fldChar w:fldCharType="end"/>
      </w:r>
      <w:r w:rsidRPr="006A0C68">
        <w:rPr>
          <w:rFonts w:ascii="Arial" w:hAnsi="Arial" w:cs="Arial"/>
          <w:iCs/>
          <w:sz w:val="22"/>
          <w:szCs w:val="22"/>
          <w:lang w:val="es-ES"/>
        </w:rPr>
        <w:tab/>
      </w:r>
      <w:r w:rsidR="004354DC" w:rsidRPr="006A0C68">
        <w:rPr>
          <w:rFonts w:ascii="Arial" w:hAnsi="Arial" w:cs="Arial"/>
          <w:iCs/>
          <w:sz w:val="22"/>
          <w:szCs w:val="22"/>
          <w:lang w:val="es-ES"/>
        </w:rPr>
        <w:t>En el Artículo 11 del Arreglo de Lisboa relativo a la Protección de las Denominaciones de Origen y su Registro Internacional (modificado el 28 de septiembre de 1979) (en lo sucesivo, “el Arreglo de Lisboa”) se establecen las disposiciones pertinentes para la financiación de la Unión de Lisboa</w:t>
      </w:r>
      <w:r w:rsidRPr="006A0C68">
        <w:rPr>
          <w:rFonts w:ascii="Arial" w:hAnsi="Arial" w:cs="Arial"/>
          <w:sz w:val="22"/>
          <w:szCs w:val="22"/>
          <w:lang w:val="es-ES"/>
        </w:rPr>
        <w:t xml:space="preserve">.  </w:t>
      </w:r>
      <w:r w:rsidR="004354DC" w:rsidRPr="006A0C68">
        <w:rPr>
          <w:rFonts w:ascii="Arial" w:hAnsi="Arial" w:cs="Arial"/>
          <w:sz w:val="22"/>
          <w:szCs w:val="22"/>
          <w:lang w:val="es-ES"/>
        </w:rPr>
        <w:t xml:space="preserve">Conforme a </w:t>
      </w:r>
      <w:r w:rsidR="00056804" w:rsidRPr="006A0C68">
        <w:rPr>
          <w:rFonts w:ascii="Arial" w:hAnsi="Arial" w:cs="Arial"/>
          <w:sz w:val="22"/>
          <w:szCs w:val="22"/>
          <w:lang w:val="es-ES"/>
        </w:rPr>
        <w:t xml:space="preserve">lo dispuesto en el </w:t>
      </w:r>
      <w:r w:rsidRPr="006A0C68">
        <w:rPr>
          <w:rFonts w:ascii="Arial" w:hAnsi="Arial" w:cs="Arial"/>
          <w:sz w:val="22"/>
          <w:szCs w:val="22"/>
          <w:lang w:val="es-ES"/>
        </w:rPr>
        <w:t>Art</w:t>
      </w:r>
      <w:r w:rsidR="00056804" w:rsidRPr="006A0C68">
        <w:rPr>
          <w:rFonts w:ascii="Arial" w:hAnsi="Arial" w:cs="Arial"/>
          <w:sz w:val="22"/>
          <w:szCs w:val="22"/>
          <w:lang w:val="es-ES"/>
        </w:rPr>
        <w:t>ículo</w:t>
      </w:r>
      <w:r w:rsidRPr="006A0C68">
        <w:rPr>
          <w:rFonts w:ascii="Arial" w:hAnsi="Arial" w:cs="Arial"/>
          <w:sz w:val="22"/>
          <w:szCs w:val="22"/>
          <w:lang w:val="es-ES"/>
        </w:rPr>
        <w:t xml:space="preserve"> 11, “</w:t>
      </w:r>
      <w:r w:rsidR="00DE0645" w:rsidRPr="006A0C68">
        <w:rPr>
          <w:rFonts w:ascii="Arial" w:hAnsi="Arial" w:cs="Arial"/>
          <w:sz w:val="22"/>
          <w:szCs w:val="22"/>
          <w:lang w:val="es-ES"/>
        </w:rPr>
        <w:t>las tasas de registro internacional percibidas de conformidad con el Artículo 7.2) [del Arreglo de Lisboa] y las tasas y sumas debidas por los demás servicios prestados por la Oficina Internacional po</w:t>
      </w:r>
      <w:r w:rsidR="006A0C68">
        <w:rPr>
          <w:rFonts w:ascii="Arial" w:hAnsi="Arial" w:cs="Arial"/>
          <w:sz w:val="22"/>
          <w:szCs w:val="22"/>
          <w:lang w:val="es-ES"/>
        </w:rPr>
        <w:t>r cuenta de la Unión particular</w:t>
      </w:r>
      <w:r w:rsidRPr="006A0C68">
        <w:rPr>
          <w:rFonts w:ascii="Arial" w:hAnsi="Arial" w:cs="Arial"/>
          <w:sz w:val="22"/>
          <w:szCs w:val="22"/>
          <w:lang w:val="es-ES"/>
        </w:rPr>
        <w:t xml:space="preserve">” </w:t>
      </w:r>
      <w:r w:rsidR="00056804" w:rsidRPr="006A0C68">
        <w:rPr>
          <w:rFonts w:ascii="Arial" w:hAnsi="Arial" w:cs="Arial"/>
          <w:sz w:val="22"/>
          <w:szCs w:val="22"/>
          <w:lang w:val="es-ES"/>
        </w:rPr>
        <w:t>son el principal medio de financiación de la Unión</w:t>
      </w:r>
      <w:r w:rsidRPr="006A0C68">
        <w:rPr>
          <w:rFonts w:ascii="Arial" w:hAnsi="Arial" w:cs="Arial"/>
          <w:sz w:val="22"/>
          <w:szCs w:val="22"/>
          <w:lang w:val="es-ES"/>
        </w:rPr>
        <w:t xml:space="preserve">.  </w:t>
      </w:r>
      <w:r w:rsidR="00DF156B" w:rsidRPr="006A0C68">
        <w:rPr>
          <w:rFonts w:ascii="Arial" w:hAnsi="Arial" w:cs="Arial"/>
          <w:sz w:val="22"/>
          <w:szCs w:val="22"/>
          <w:lang w:val="es-ES"/>
        </w:rPr>
        <w:t xml:space="preserve">Hasta la fecha, esas tasas han resultado insuficientes para cubrir los gastos de la Unión, que en </w:t>
      </w:r>
      <w:r w:rsidRPr="006A0C68">
        <w:rPr>
          <w:rFonts w:ascii="Arial" w:hAnsi="Arial" w:cs="Arial"/>
          <w:sz w:val="22"/>
          <w:szCs w:val="22"/>
          <w:lang w:val="es-ES"/>
        </w:rPr>
        <w:t xml:space="preserve">2014 </w:t>
      </w:r>
      <w:r w:rsidR="00DF156B" w:rsidRPr="006A0C68">
        <w:rPr>
          <w:rFonts w:ascii="Arial" w:hAnsi="Arial" w:cs="Arial"/>
          <w:sz w:val="22"/>
          <w:szCs w:val="22"/>
          <w:lang w:val="es-ES"/>
        </w:rPr>
        <w:t xml:space="preserve">ascendieron en total a </w:t>
      </w:r>
      <w:r w:rsidRPr="006A0C68">
        <w:rPr>
          <w:rFonts w:ascii="Arial" w:hAnsi="Arial" w:cs="Arial"/>
          <w:sz w:val="22"/>
          <w:szCs w:val="22"/>
          <w:lang w:val="es-ES"/>
        </w:rPr>
        <w:t>792</w:t>
      </w:r>
      <w:r w:rsidR="00DF156B" w:rsidRPr="006A0C68">
        <w:rPr>
          <w:rFonts w:ascii="Arial" w:hAnsi="Arial" w:cs="Arial"/>
          <w:sz w:val="22"/>
          <w:szCs w:val="22"/>
          <w:lang w:val="es-ES"/>
        </w:rPr>
        <w:t>.</w:t>
      </w:r>
      <w:r w:rsidRPr="006A0C68">
        <w:rPr>
          <w:rFonts w:ascii="Arial" w:hAnsi="Arial" w:cs="Arial"/>
          <w:sz w:val="22"/>
          <w:szCs w:val="22"/>
          <w:lang w:val="es-ES"/>
        </w:rPr>
        <w:t>000 </w:t>
      </w:r>
      <w:r w:rsidR="00DF156B" w:rsidRPr="006A0C68">
        <w:rPr>
          <w:rFonts w:ascii="Arial" w:hAnsi="Arial" w:cs="Arial"/>
          <w:sz w:val="22"/>
          <w:szCs w:val="22"/>
          <w:lang w:val="es-ES"/>
        </w:rPr>
        <w:t>francos suizos</w:t>
      </w:r>
      <w:r w:rsidRPr="006A0C68">
        <w:rPr>
          <w:rFonts w:ascii="Arial" w:hAnsi="Arial" w:cs="Arial"/>
          <w:sz w:val="22"/>
          <w:szCs w:val="22"/>
          <w:lang w:val="es-ES"/>
        </w:rPr>
        <w:t xml:space="preserve">.  </w:t>
      </w:r>
      <w:r w:rsidR="00DF156B" w:rsidRPr="006A0C68">
        <w:rPr>
          <w:rFonts w:ascii="Arial" w:hAnsi="Arial" w:cs="Arial"/>
          <w:sz w:val="22"/>
          <w:szCs w:val="22"/>
          <w:lang w:val="es-ES"/>
        </w:rPr>
        <w:t>Tomando en consideración la “Propuesta de actualización de la tabla de tasas en el marco de la Regla 23 del Reglamento del Arreglo de Lisboa</w:t>
      </w:r>
      <w:r w:rsidRPr="006A0C68">
        <w:rPr>
          <w:rFonts w:ascii="Arial" w:hAnsi="Arial" w:cs="Arial"/>
          <w:sz w:val="22"/>
          <w:szCs w:val="22"/>
          <w:lang w:val="es-ES"/>
        </w:rPr>
        <w:t>”</w:t>
      </w:r>
      <w:r w:rsidRPr="006A0C68">
        <w:rPr>
          <w:rFonts w:ascii="Arial" w:hAnsi="Arial" w:cs="Arial"/>
          <w:sz w:val="22"/>
          <w:szCs w:val="22"/>
          <w:vertAlign w:val="superscript"/>
          <w:lang w:val="es-ES"/>
        </w:rPr>
        <w:footnoteReference w:id="2"/>
      </w:r>
      <w:r w:rsidR="00EF15B9" w:rsidRPr="006A0C68">
        <w:rPr>
          <w:rFonts w:ascii="Arial" w:hAnsi="Arial" w:cs="Arial"/>
          <w:sz w:val="22"/>
          <w:szCs w:val="22"/>
          <w:lang w:val="es-ES"/>
        </w:rPr>
        <w:t xml:space="preserve">, presentada a la Asamblea de la Unión de Lisboa en su </w:t>
      </w:r>
      <w:r w:rsidR="00AC198F" w:rsidRPr="006A0C68">
        <w:rPr>
          <w:rFonts w:ascii="Arial" w:hAnsi="Arial" w:cs="Arial"/>
          <w:sz w:val="22"/>
          <w:szCs w:val="22"/>
          <w:lang w:val="es-ES"/>
        </w:rPr>
        <w:t xml:space="preserve">trigésimo segundo período de sesiones (21° ordinario) </w:t>
      </w:r>
      <w:r w:rsidR="00AC198F" w:rsidRPr="006A0C68">
        <w:rPr>
          <w:rFonts w:ascii="Arial" w:hAnsi="Arial" w:cs="Arial"/>
          <w:sz w:val="22"/>
          <w:szCs w:val="22"/>
          <w:lang w:val="es-ES"/>
        </w:rPr>
        <w:lastRenderedPageBreak/>
        <w:t xml:space="preserve">celebrado en Ginebra del 5 al 14 de octubre de 2015, el déficit anual previsto para el bienio </w:t>
      </w:r>
      <w:r w:rsidRPr="006A0C68">
        <w:rPr>
          <w:rFonts w:ascii="Arial" w:hAnsi="Arial" w:cs="Arial"/>
          <w:sz w:val="22"/>
          <w:szCs w:val="22"/>
          <w:lang w:val="es-ES"/>
        </w:rPr>
        <w:t xml:space="preserve">2016/17 </w:t>
      </w:r>
      <w:r w:rsidR="00AC198F" w:rsidRPr="006A0C68">
        <w:rPr>
          <w:rFonts w:ascii="Arial" w:hAnsi="Arial" w:cs="Arial"/>
          <w:sz w:val="22"/>
          <w:szCs w:val="22"/>
          <w:lang w:val="es-ES"/>
        </w:rPr>
        <w:t xml:space="preserve">seguiría siendo aproximadamente de </w:t>
      </w:r>
      <w:r w:rsidRPr="006A0C68">
        <w:rPr>
          <w:rFonts w:ascii="Arial" w:hAnsi="Arial" w:cs="Arial"/>
          <w:sz w:val="22"/>
          <w:szCs w:val="22"/>
          <w:lang w:val="es-ES"/>
        </w:rPr>
        <w:t>700</w:t>
      </w:r>
      <w:r w:rsidR="00AC198F" w:rsidRPr="006A0C68">
        <w:rPr>
          <w:rFonts w:ascii="Arial" w:hAnsi="Arial" w:cs="Arial"/>
          <w:sz w:val="22"/>
          <w:szCs w:val="22"/>
          <w:lang w:val="es-ES"/>
        </w:rPr>
        <w:t>.</w:t>
      </w:r>
      <w:r w:rsidRPr="006A0C68">
        <w:rPr>
          <w:rFonts w:ascii="Arial" w:hAnsi="Arial" w:cs="Arial"/>
          <w:sz w:val="22"/>
          <w:szCs w:val="22"/>
          <w:lang w:val="es-ES"/>
        </w:rPr>
        <w:t>000 </w:t>
      </w:r>
      <w:r w:rsidR="00AC198F" w:rsidRPr="006A0C68">
        <w:rPr>
          <w:rFonts w:ascii="Arial" w:hAnsi="Arial" w:cs="Arial"/>
          <w:sz w:val="22"/>
          <w:szCs w:val="22"/>
          <w:lang w:val="es-ES"/>
        </w:rPr>
        <w:t>francos suizos.</w:t>
      </w:r>
    </w:p>
    <w:p w:rsidR="00AC198F" w:rsidRPr="006A0C68" w:rsidRDefault="00AC198F" w:rsidP="00AC198F">
      <w:pPr>
        <w:pStyle w:val="Default"/>
        <w:rPr>
          <w:rFonts w:ascii="Arial" w:hAnsi="Arial" w:cs="Arial"/>
          <w:sz w:val="22"/>
          <w:szCs w:val="22"/>
          <w:lang w:val="es-ES"/>
        </w:rPr>
      </w:pPr>
    </w:p>
    <w:p w:rsidR="00B655EA" w:rsidRDefault="00B655EA" w:rsidP="0008107D">
      <w:pPr>
        <w:pStyle w:val="Default"/>
        <w:rPr>
          <w:rFonts w:ascii="Arial" w:hAnsi="Arial" w:cs="Arial"/>
          <w:sz w:val="22"/>
          <w:szCs w:val="22"/>
          <w:lang w:val="es-ES"/>
        </w:rPr>
      </w:pPr>
      <w:r w:rsidRPr="006A0C68">
        <w:rPr>
          <w:rFonts w:ascii="Arial" w:hAnsi="Arial" w:cs="Arial"/>
          <w:sz w:val="22"/>
          <w:szCs w:val="22"/>
          <w:lang w:val="es-ES"/>
        </w:rPr>
        <w:fldChar w:fldCharType="begin"/>
      </w:r>
      <w:r w:rsidRPr="006A0C68">
        <w:rPr>
          <w:rFonts w:ascii="Arial" w:hAnsi="Arial" w:cs="Arial"/>
          <w:sz w:val="22"/>
          <w:szCs w:val="22"/>
          <w:lang w:val="es-ES"/>
        </w:rPr>
        <w:instrText xml:space="preserve"> AUTONUM  </w:instrText>
      </w:r>
      <w:r w:rsidRPr="006A0C68">
        <w:rPr>
          <w:rFonts w:ascii="Arial" w:hAnsi="Arial" w:cs="Arial"/>
          <w:sz w:val="22"/>
          <w:szCs w:val="22"/>
          <w:lang w:val="es-ES"/>
        </w:rPr>
        <w:fldChar w:fldCharType="end"/>
      </w:r>
      <w:r w:rsidRPr="006A0C68">
        <w:rPr>
          <w:rFonts w:ascii="Arial" w:hAnsi="Arial" w:cs="Arial"/>
          <w:sz w:val="22"/>
          <w:szCs w:val="22"/>
          <w:lang w:val="es-ES"/>
        </w:rPr>
        <w:tab/>
      </w:r>
      <w:r w:rsidR="0008107D" w:rsidRPr="006A0C68">
        <w:rPr>
          <w:rFonts w:ascii="Arial" w:hAnsi="Arial" w:cs="Arial"/>
          <w:sz w:val="22"/>
          <w:szCs w:val="22"/>
          <w:lang w:val="es-ES"/>
        </w:rPr>
        <w:t xml:space="preserve">En el Artículo </w:t>
      </w:r>
      <w:r w:rsidRPr="006A0C68">
        <w:rPr>
          <w:rFonts w:ascii="Arial" w:hAnsi="Arial" w:cs="Arial"/>
          <w:sz w:val="22"/>
          <w:szCs w:val="22"/>
          <w:lang w:val="es-ES"/>
        </w:rPr>
        <w:t>11</w:t>
      </w:r>
      <w:r w:rsidR="0008107D" w:rsidRPr="006A0C68">
        <w:rPr>
          <w:rFonts w:ascii="Arial" w:hAnsi="Arial" w:cs="Arial"/>
          <w:sz w:val="22"/>
          <w:szCs w:val="22"/>
          <w:lang w:val="es-ES"/>
        </w:rPr>
        <w:t>.</w:t>
      </w:r>
      <w:r w:rsidRPr="006A0C68">
        <w:rPr>
          <w:rFonts w:ascii="Arial" w:hAnsi="Arial" w:cs="Arial"/>
          <w:sz w:val="22"/>
          <w:szCs w:val="22"/>
          <w:lang w:val="es-ES"/>
        </w:rPr>
        <w:t xml:space="preserve">3)v) </w:t>
      </w:r>
      <w:r w:rsidR="0008107D" w:rsidRPr="006A0C68">
        <w:rPr>
          <w:rFonts w:ascii="Arial" w:hAnsi="Arial" w:cs="Arial"/>
          <w:sz w:val="22"/>
          <w:szCs w:val="22"/>
          <w:lang w:val="es-ES"/>
        </w:rPr>
        <w:t xml:space="preserve">del Arreglo de Lisboa se prevé que un medio para financiar el presupuesto de la Unión de Lisboa serán </w:t>
      </w:r>
      <w:r w:rsidRPr="006A0C68">
        <w:rPr>
          <w:rFonts w:ascii="Arial" w:hAnsi="Arial" w:cs="Arial"/>
          <w:sz w:val="22"/>
          <w:szCs w:val="22"/>
          <w:lang w:val="es-ES"/>
        </w:rPr>
        <w:t>“</w:t>
      </w:r>
      <w:r w:rsidR="00AC198F" w:rsidRPr="006A0C68">
        <w:rPr>
          <w:rFonts w:ascii="Arial" w:hAnsi="Arial" w:cs="Arial"/>
          <w:sz w:val="22"/>
          <w:szCs w:val="22"/>
          <w:lang w:val="es-ES"/>
        </w:rPr>
        <w:t>las contribuciones de los países de la Unión particular, en la medida en que los ingresos procedentes de las fuentes mencionadas en los puntos i) a iv)</w:t>
      </w:r>
      <w:r w:rsidR="00FE1B63" w:rsidRPr="006A0C68">
        <w:rPr>
          <w:rFonts w:ascii="Arial" w:hAnsi="Arial" w:cs="Arial"/>
          <w:sz w:val="22"/>
          <w:szCs w:val="22"/>
          <w:lang w:val="es-ES"/>
        </w:rPr>
        <w:t xml:space="preserve"> [del Artículo 11.3), a saber, las tasas de registro internacional;</w:t>
      </w:r>
      <w:r w:rsidR="009F7CF8" w:rsidRPr="006A0C68">
        <w:rPr>
          <w:rFonts w:ascii="Arial" w:hAnsi="Arial" w:cs="Arial"/>
          <w:sz w:val="22"/>
          <w:szCs w:val="22"/>
          <w:lang w:val="es-ES"/>
        </w:rPr>
        <w:t xml:space="preserve"> </w:t>
      </w:r>
      <w:r w:rsidR="00FE1B63" w:rsidRPr="006A0C68">
        <w:rPr>
          <w:rFonts w:ascii="Arial" w:hAnsi="Arial" w:cs="Arial"/>
          <w:sz w:val="22"/>
          <w:szCs w:val="22"/>
          <w:lang w:val="es-ES"/>
        </w:rPr>
        <w:t>el producto de la venta de las publicaciones y los derechos correspondientes a esas publicaciones; las donaciones, legados y subvenciones; los alquileres, intereses y otros ingresos diversos</w:t>
      </w:r>
      <w:r w:rsidR="009F7CF8" w:rsidRPr="006A0C68">
        <w:rPr>
          <w:rFonts w:ascii="Arial" w:hAnsi="Arial" w:cs="Arial"/>
          <w:sz w:val="22"/>
          <w:szCs w:val="22"/>
          <w:lang w:val="es-ES"/>
        </w:rPr>
        <w:t>]</w:t>
      </w:r>
      <w:r w:rsidR="00AC198F" w:rsidRPr="006A0C68">
        <w:rPr>
          <w:rFonts w:ascii="Arial" w:hAnsi="Arial" w:cs="Arial"/>
          <w:sz w:val="22"/>
          <w:szCs w:val="22"/>
          <w:lang w:val="es-ES"/>
        </w:rPr>
        <w:t xml:space="preserve"> no basten para cubrir los gastos de la Unión particular</w:t>
      </w:r>
      <w:r w:rsidR="009F7CF8" w:rsidRPr="006A0C68">
        <w:rPr>
          <w:rFonts w:ascii="Arial" w:hAnsi="Arial" w:cs="Arial"/>
          <w:sz w:val="22"/>
          <w:szCs w:val="22"/>
          <w:lang w:val="es-ES"/>
        </w:rPr>
        <w:t>”</w:t>
      </w:r>
      <w:r w:rsidR="00AC198F" w:rsidRPr="006A0C68">
        <w:rPr>
          <w:rFonts w:ascii="Arial" w:hAnsi="Arial" w:cs="Arial"/>
          <w:sz w:val="22"/>
          <w:szCs w:val="22"/>
          <w:lang w:val="es-ES"/>
        </w:rPr>
        <w:t xml:space="preserve">. </w:t>
      </w:r>
      <w:r w:rsidR="009F7CF8" w:rsidRPr="006A0C68">
        <w:rPr>
          <w:rFonts w:ascii="Arial" w:hAnsi="Arial" w:cs="Arial"/>
          <w:sz w:val="22"/>
          <w:szCs w:val="22"/>
          <w:lang w:val="es-ES"/>
        </w:rPr>
        <w:t xml:space="preserve"> Es posible realizar una simulación para los </w:t>
      </w:r>
      <w:r w:rsidR="00B86449" w:rsidRPr="006A0C68">
        <w:rPr>
          <w:rFonts w:ascii="Arial" w:hAnsi="Arial" w:cs="Arial"/>
          <w:sz w:val="22"/>
          <w:szCs w:val="22"/>
          <w:lang w:val="es-ES"/>
        </w:rPr>
        <w:t xml:space="preserve">diferentes </w:t>
      </w:r>
      <w:r w:rsidR="009F7CF8" w:rsidRPr="006A0C68">
        <w:rPr>
          <w:rFonts w:ascii="Arial" w:hAnsi="Arial" w:cs="Arial"/>
          <w:sz w:val="22"/>
          <w:szCs w:val="22"/>
          <w:lang w:val="es-ES"/>
        </w:rPr>
        <w:t xml:space="preserve">pagos de </w:t>
      </w:r>
      <w:r w:rsidR="00B86449" w:rsidRPr="006A0C68">
        <w:rPr>
          <w:rFonts w:ascii="Arial" w:hAnsi="Arial" w:cs="Arial"/>
          <w:sz w:val="22"/>
          <w:szCs w:val="22"/>
          <w:lang w:val="es-ES"/>
        </w:rPr>
        <w:t>esas</w:t>
      </w:r>
      <w:r w:rsidR="009F7CF8" w:rsidRPr="006A0C68">
        <w:rPr>
          <w:rFonts w:ascii="Arial" w:hAnsi="Arial" w:cs="Arial"/>
          <w:sz w:val="22"/>
          <w:szCs w:val="22"/>
          <w:lang w:val="es-ES"/>
        </w:rPr>
        <w:t xml:space="preserve"> contribuci</w:t>
      </w:r>
      <w:r w:rsidR="00B86449" w:rsidRPr="006A0C68">
        <w:rPr>
          <w:rFonts w:ascii="Arial" w:hAnsi="Arial" w:cs="Arial"/>
          <w:sz w:val="22"/>
          <w:szCs w:val="22"/>
          <w:lang w:val="es-ES"/>
        </w:rPr>
        <w:t>ones</w:t>
      </w:r>
      <w:r w:rsidR="009F7CF8" w:rsidRPr="006A0C68">
        <w:rPr>
          <w:rFonts w:ascii="Arial" w:hAnsi="Arial" w:cs="Arial"/>
          <w:sz w:val="22"/>
          <w:szCs w:val="22"/>
          <w:lang w:val="es-ES"/>
        </w:rPr>
        <w:t xml:space="preserve">, sobre la base del presupuesto propuesto para la Unión de Lisboa correspondiente a 2016/17 y de conformidad con el </w:t>
      </w:r>
      <w:r w:rsidRPr="006A0C68">
        <w:rPr>
          <w:rFonts w:ascii="Arial" w:hAnsi="Arial" w:cs="Arial"/>
          <w:sz w:val="22"/>
          <w:szCs w:val="22"/>
          <w:lang w:val="es-ES"/>
        </w:rPr>
        <w:t>Art</w:t>
      </w:r>
      <w:r w:rsidR="009F7CF8" w:rsidRPr="006A0C68">
        <w:rPr>
          <w:rFonts w:ascii="Arial" w:hAnsi="Arial" w:cs="Arial"/>
          <w:sz w:val="22"/>
          <w:szCs w:val="22"/>
          <w:lang w:val="es-ES"/>
        </w:rPr>
        <w:t>ículo</w:t>
      </w:r>
      <w:r w:rsidRPr="006A0C68">
        <w:rPr>
          <w:rFonts w:ascii="Arial" w:hAnsi="Arial" w:cs="Arial"/>
          <w:sz w:val="22"/>
          <w:szCs w:val="22"/>
          <w:lang w:val="es-ES"/>
        </w:rPr>
        <w:t> 11</w:t>
      </w:r>
      <w:r w:rsidR="005315AA" w:rsidRPr="006A0C68">
        <w:rPr>
          <w:rFonts w:ascii="Arial" w:hAnsi="Arial" w:cs="Arial"/>
          <w:sz w:val="22"/>
          <w:szCs w:val="22"/>
          <w:lang w:val="es-ES"/>
        </w:rPr>
        <w:t>.</w:t>
      </w:r>
      <w:r w:rsidRPr="006A0C68">
        <w:rPr>
          <w:rFonts w:ascii="Arial" w:hAnsi="Arial" w:cs="Arial"/>
          <w:sz w:val="22"/>
          <w:szCs w:val="22"/>
          <w:lang w:val="es-ES"/>
        </w:rPr>
        <w:t xml:space="preserve">5)a) </w:t>
      </w:r>
      <w:r w:rsidR="005315AA" w:rsidRPr="006A0C68">
        <w:rPr>
          <w:rFonts w:ascii="Arial" w:hAnsi="Arial" w:cs="Arial"/>
          <w:sz w:val="22"/>
          <w:szCs w:val="22"/>
          <w:lang w:val="es-ES"/>
        </w:rPr>
        <w:t>a</w:t>
      </w:r>
      <w:r w:rsidRPr="006A0C68">
        <w:rPr>
          <w:rFonts w:ascii="Arial" w:hAnsi="Arial" w:cs="Arial"/>
          <w:sz w:val="22"/>
          <w:szCs w:val="22"/>
          <w:lang w:val="es-ES"/>
        </w:rPr>
        <w:t> c)</w:t>
      </w:r>
      <w:r w:rsidR="005315AA" w:rsidRPr="006A0C68">
        <w:rPr>
          <w:rFonts w:ascii="Arial" w:hAnsi="Arial" w:cs="Arial"/>
          <w:sz w:val="22"/>
          <w:szCs w:val="22"/>
          <w:lang w:val="es-ES"/>
        </w:rPr>
        <w:t>.</w:t>
      </w:r>
      <w:r w:rsidRPr="006A0C68">
        <w:rPr>
          <w:rFonts w:ascii="Arial" w:hAnsi="Arial" w:cs="Arial"/>
          <w:sz w:val="22"/>
          <w:szCs w:val="22"/>
          <w:lang w:val="es-ES"/>
        </w:rPr>
        <w:t xml:space="preserve"> </w:t>
      </w:r>
      <w:r w:rsidR="005315AA" w:rsidRPr="006A0C68">
        <w:rPr>
          <w:rFonts w:ascii="Arial" w:hAnsi="Arial" w:cs="Arial"/>
          <w:sz w:val="22"/>
          <w:szCs w:val="22"/>
          <w:lang w:val="es-ES"/>
        </w:rPr>
        <w:t xml:space="preserve"> En el </w:t>
      </w:r>
      <w:r w:rsidRPr="006A0C68">
        <w:rPr>
          <w:rFonts w:ascii="Arial" w:hAnsi="Arial" w:cs="Arial"/>
          <w:sz w:val="22"/>
          <w:szCs w:val="22"/>
          <w:lang w:val="es-ES"/>
        </w:rPr>
        <w:t>Art</w:t>
      </w:r>
      <w:r w:rsidR="005315AA" w:rsidRPr="006A0C68">
        <w:rPr>
          <w:rFonts w:ascii="Arial" w:hAnsi="Arial" w:cs="Arial"/>
          <w:sz w:val="22"/>
          <w:szCs w:val="22"/>
          <w:lang w:val="es-ES"/>
        </w:rPr>
        <w:t>ículo</w:t>
      </w:r>
      <w:r w:rsidRPr="006A0C68">
        <w:rPr>
          <w:rFonts w:ascii="Arial" w:hAnsi="Arial" w:cs="Arial"/>
          <w:sz w:val="22"/>
          <w:szCs w:val="22"/>
          <w:lang w:val="es-ES"/>
        </w:rPr>
        <w:t> 11</w:t>
      </w:r>
      <w:r w:rsidR="005315AA" w:rsidRPr="006A0C68">
        <w:rPr>
          <w:rFonts w:ascii="Arial" w:hAnsi="Arial" w:cs="Arial"/>
          <w:sz w:val="22"/>
          <w:szCs w:val="22"/>
          <w:lang w:val="es-ES"/>
        </w:rPr>
        <w:t>.</w:t>
      </w:r>
      <w:r w:rsidRPr="006A0C68">
        <w:rPr>
          <w:rFonts w:ascii="Arial" w:hAnsi="Arial" w:cs="Arial"/>
          <w:sz w:val="22"/>
          <w:szCs w:val="22"/>
          <w:lang w:val="es-ES"/>
        </w:rPr>
        <w:t>5</w:t>
      </w:r>
      <w:r w:rsidR="005315AA" w:rsidRPr="006A0C68">
        <w:rPr>
          <w:rFonts w:ascii="Arial" w:hAnsi="Arial" w:cs="Arial"/>
          <w:sz w:val="22"/>
          <w:szCs w:val="22"/>
          <w:lang w:val="es-ES"/>
        </w:rPr>
        <w:t>)</w:t>
      </w:r>
      <w:r w:rsidRPr="006A0C68">
        <w:rPr>
          <w:rFonts w:ascii="Arial" w:hAnsi="Arial" w:cs="Arial"/>
          <w:sz w:val="22"/>
          <w:szCs w:val="22"/>
          <w:lang w:val="es-ES"/>
        </w:rPr>
        <w:t xml:space="preserve">c) </w:t>
      </w:r>
      <w:r w:rsidR="005315AA" w:rsidRPr="006A0C68">
        <w:rPr>
          <w:rFonts w:ascii="Arial" w:hAnsi="Arial" w:cs="Arial"/>
          <w:sz w:val="22"/>
          <w:szCs w:val="22"/>
          <w:lang w:val="es-ES"/>
        </w:rPr>
        <w:t>se estipula en particular que la Asamblea [de la Unión de Lisboa] fijará la fecha a partir de la cual las contribuciones estarán al cobro.</w:t>
      </w:r>
    </w:p>
    <w:p w:rsidR="006A0C68" w:rsidRPr="006A0C68" w:rsidRDefault="006A0C68" w:rsidP="0008107D">
      <w:pPr>
        <w:pStyle w:val="Default"/>
        <w:rPr>
          <w:rFonts w:ascii="Arial" w:hAnsi="Arial" w:cs="Arial"/>
          <w:sz w:val="22"/>
          <w:szCs w:val="22"/>
          <w:lang w:val="es-ES"/>
        </w:rPr>
      </w:pPr>
    </w:p>
    <w:p w:rsidR="00B655EA" w:rsidRPr="006A0C68" w:rsidRDefault="00B655EA" w:rsidP="00B655EA">
      <w:pPr>
        <w:rPr>
          <w:szCs w:val="22"/>
        </w:rPr>
      </w:pPr>
      <w:r w:rsidRPr="006A0C68">
        <w:rPr>
          <w:szCs w:val="22"/>
        </w:rPr>
        <w:fldChar w:fldCharType="begin"/>
      </w:r>
      <w:r w:rsidRPr="006A0C68">
        <w:rPr>
          <w:szCs w:val="22"/>
        </w:rPr>
        <w:instrText xml:space="preserve"> AUTONUM  </w:instrText>
      </w:r>
      <w:r w:rsidRPr="006A0C68">
        <w:rPr>
          <w:szCs w:val="22"/>
        </w:rPr>
        <w:fldChar w:fldCharType="end"/>
      </w:r>
      <w:r w:rsidRPr="006A0C68">
        <w:rPr>
          <w:szCs w:val="22"/>
        </w:rPr>
        <w:tab/>
      </w:r>
      <w:r w:rsidR="005315AA" w:rsidRPr="006A0C68">
        <w:rPr>
          <w:szCs w:val="22"/>
        </w:rPr>
        <w:t>En el Arreglo de Lisboa también se estipula, en su Artículo 11.7), el establecimiento de un fondo de operaciones con objeto de poder hacer frente a un déficit generado por los gastos de funcionamiento de la Unión de Lisboa.  Por consiguiente,</w:t>
      </w:r>
      <w:r w:rsidR="006A0C68">
        <w:rPr>
          <w:szCs w:val="22"/>
        </w:rPr>
        <w:t xml:space="preserve"> </w:t>
      </w:r>
      <w:r w:rsidR="00AA7341" w:rsidRPr="006A0C68">
        <w:rPr>
          <w:szCs w:val="22"/>
        </w:rPr>
        <w:t xml:space="preserve">y tal como se indica en el documento </w:t>
      </w:r>
      <w:r w:rsidRPr="006A0C68">
        <w:rPr>
          <w:szCs w:val="22"/>
        </w:rPr>
        <w:t>WO/PBC/24/16</w:t>
      </w:r>
      <w:r w:rsidR="006A0C68">
        <w:rPr>
          <w:szCs w:val="22"/>
        </w:rPr>
        <w:t xml:space="preserve"> </w:t>
      </w:r>
      <w:r w:rsidRPr="006A0C68">
        <w:rPr>
          <w:szCs w:val="22"/>
        </w:rPr>
        <w:t xml:space="preserve">Rev., </w:t>
      </w:r>
      <w:r w:rsidR="00B86449" w:rsidRPr="006A0C68">
        <w:rPr>
          <w:szCs w:val="22"/>
        </w:rPr>
        <w:t xml:space="preserve">Opciones para la sostenibilidad financiera de la Unión de Lisboa, </w:t>
      </w:r>
      <w:r w:rsidR="00AA7341" w:rsidRPr="006A0C68">
        <w:rPr>
          <w:szCs w:val="22"/>
        </w:rPr>
        <w:t xml:space="preserve">el Director General presenta </w:t>
      </w:r>
      <w:r w:rsidR="0008107D" w:rsidRPr="006A0C68">
        <w:rPr>
          <w:szCs w:val="22"/>
        </w:rPr>
        <w:t xml:space="preserve">ahora </w:t>
      </w:r>
      <w:r w:rsidR="00AA7341" w:rsidRPr="006A0C68">
        <w:rPr>
          <w:szCs w:val="22"/>
        </w:rPr>
        <w:t xml:space="preserve">la siguiente propuesta sobre la proporción y las modalidades de pago de un fondo de operaciones, con el fin de cubrir cualquier déficit </w:t>
      </w:r>
      <w:r w:rsidR="00B31727" w:rsidRPr="006A0C68">
        <w:rPr>
          <w:szCs w:val="22"/>
        </w:rPr>
        <w:t>de las operaciones</w:t>
      </w:r>
      <w:r w:rsidR="00AA7341" w:rsidRPr="006A0C68">
        <w:rPr>
          <w:szCs w:val="22"/>
        </w:rPr>
        <w:t xml:space="preserve"> de la Unión de Lisboa, </w:t>
      </w:r>
      <w:r w:rsidR="006A0C68">
        <w:rPr>
          <w:szCs w:val="22"/>
        </w:rPr>
        <w:t xml:space="preserve">y respecto de </w:t>
      </w:r>
      <w:r w:rsidR="00B31727" w:rsidRPr="006A0C68">
        <w:rPr>
          <w:szCs w:val="22"/>
        </w:rPr>
        <w:t>l</w:t>
      </w:r>
      <w:r w:rsidR="006A0C68">
        <w:rPr>
          <w:szCs w:val="22"/>
        </w:rPr>
        <w:t>a</w:t>
      </w:r>
      <w:r w:rsidR="00B31727" w:rsidRPr="006A0C68">
        <w:rPr>
          <w:szCs w:val="22"/>
        </w:rPr>
        <w:t xml:space="preserve"> cual ésta </w:t>
      </w:r>
      <w:r w:rsidR="00CF22D5" w:rsidRPr="006A0C68">
        <w:rPr>
          <w:szCs w:val="22"/>
        </w:rPr>
        <w:t xml:space="preserve">considerará </w:t>
      </w:r>
      <w:r w:rsidR="0008107D" w:rsidRPr="006A0C68">
        <w:rPr>
          <w:szCs w:val="22"/>
        </w:rPr>
        <w:t>el dictamen</w:t>
      </w:r>
      <w:r w:rsidR="00CF22D5" w:rsidRPr="006A0C68">
        <w:rPr>
          <w:szCs w:val="22"/>
        </w:rPr>
        <w:t xml:space="preserve"> del Comité de Coordinación (véase el </w:t>
      </w:r>
      <w:r w:rsidRPr="006A0C68">
        <w:rPr>
          <w:szCs w:val="22"/>
        </w:rPr>
        <w:t>document</w:t>
      </w:r>
      <w:r w:rsidR="00CF22D5" w:rsidRPr="006A0C68">
        <w:rPr>
          <w:szCs w:val="22"/>
        </w:rPr>
        <w:t>o</w:t>
      </w:r>
      <w:r w:rsidRPr="006A0C68">
        <w:rPr>
          <w:szCs w:val="22"/>
        </w:rPr>
        <w:t xml:space="preserve"> WO/CC/71/6).</w:t>
      </w:r>
    </w:p>
    <w:p w:rsidR="00B655EA" w:rsidRPr="006A0C68" w:rsidRDefault="00B655EA" w:rsidP="00B655EA">
      <w:pPr>
        <w:rPr>
          <w:b/>
          <w:bCs/>
          <w:caps/>
          <w:szCs w:val="22"/>
        </w:rPr>
      </w:pPr>
    </w:p>
    <w:p w:rsidR="00B655EA" w:rsidRPr="006A0C68" w:rsidRDefault="00B655EA" w:rsidP="00B655EA">
      <w:pPr>
        <w:rPr>
          <w:b/>
          <w:bCs/>
          <w:caps/>
          <w:szCs w:val="22"/>
        </w:rPr>
      </w:pPr>
    </w:p>
    <w:p w:rsidR="00B655EA" w:rsidRPr="006A0C68" w:rsidRDefault="00CF22D5" w:rsidP="00B655EA">
      <w:pPr>
        <w:rPr>
          <w:b/>
          <w:bCs/>
          <w:caps/>
          <w:szCs w:val="22"/>
        </w:rPr>
      </w:pPr>
      <w:r w:rsidRPr="006A0C68">
        <w:rPr>
          <w:b/>
          <w:bCs/>
          <w:caps/>
          <w:szCs w:val="22"/>
        </w:rPr>
        <w:t xml:space="preserve">ANTECEDENTES Y POLÍTICAS PERTINENTES </w:t>
      </w:r>
      <w:r w:rsidR="008435AD" w:rsidRPr="006A0C68">
        <w:rPr>
          <w:b/>
          <w:bCs/>
          <w:caps/>
          <w:szCs w:val="22"/>
        </w:rPr>
        <w:t xml:space="preserve">con miras a la creación </w:t>
      </w:r>
      <w:r w:rsidRPr="006A0C68">
        <w:rPr>
          <w:b/>
          <w:bCs/>
          <w:caps/>
          <w:szCs w:val="22"/>
        </w:rPr>
        <w:t xml:space="preserve">DE UN FONDO DE OPERACIONES </w:t>
      </w:r>
      <w:r w:rsidR="00491F9A" w:rsidRPr="006A0C68">
        <w:rPr>
          <w:b/>
          <w:bCs/>
          <w:caps/>
          <w:szCs w:val="22"/>
        </w:rPr>
        <w:t xml:space="preserve">para la unión </w:t>
      </w:r>
      <w:r w:rsidRPr="006A0C68">
        <w:rPr>
          <w:b/>
          <w:bCs/>
          <w:caps/>
          <w:szCs w:val="22"/>
        </w:rPr>
        <w:t>DE LISBOA</w:t>
      </w:r>
    </w:p>
    <w:p w:rsidR="00B655EA" w:rsidRPr="006A0C68" w:rsidRDefault="00B655EA" w:rsidP="00B655EA">
      <w:pPr>
        <w:rPr>
          <w:b/>
          <w:bCs/>
          <w:caps/>
          <w:szCs w:val="22"/>
        </w:rPr>
      </w:pPr>
    </w:p>
    <w:p w:rsidR="00120044" w:rsidRPr="006A0C68" w:rsidRDefault="00B655EA" w:rsidP="00120044">
      <w:pPr>
        <w:spacing w:after="220"/>
        <w:rPr>
          <w:szCs w:val="22"/>
        </w:rPr>
      </w:pPr>
      <w:r w:rsidRPr="006A0C68">
        <w:rPr>
          <w:szCs w:val="22"/>
        </w:rPr>
        <w:fldChar w:fldCharType="begin"/>
      </w:r>
      <w:r w:rsidRPr="006A0C68">
        <w:rPr>
          <w:szCs w:val="22"/>
        </w:rPr>
        <w:instrText xml:space="preserve"> AUTONUM  </w:instrText>
      </w:r>
      <w:r w:rsidRPr="006A0C68">
        <w:rPr>
          <w:szCs w:val="22"/>
        </w:rPr>
        <w:fldChar w:fldCharType="end"/>
      </w:r>
      <w:r w:rsidRPr="006A0C68">
        <w:rPr>
          <w:szCs w:val="22"/>
        </w:rPr>
        <w:tab/>
      </w:r>
      <w:r w:rsidR="00120044" w:rsidRPr="006A0C68">
        <w:rPr>
          <w:szCs w:val="22"/>
        </w:rPr>
        <w:t xml:space="preserve">El párrafo 7 del Artículo 11 del Arreglo de Lisboa dispone lo siguiente: </w:t>
      </w:r>
    </w:p>
    <w:p w:rsidR="00120044" w:rsidRPr="006A0C68" w:rsidRDefault="00120044" w:rsidP="00120044">
      <w:pPr>
        <w:ind w:left="567"/>
        <w:contextualSpacing/>
        <w:rPr>
          <w:szCs w:val="22"/>
        </w:rPr>
      </w:pPr>
      <w:r w:rsidRPr="006A0C68">
        <w:rPr>
          <w:szCs w:val="22"/>
        </w:rPr>
        <w:t>“a)</w:t>
      </w:r>
      <w:r w:rsidR="006A0C68">
        <w:rPr>
          <w:szCs w:val="22"/>
        </w:rPr>
        <w:tab/>
      </w:r>
      <w:r w:rsidRPr="006A0C68">
        <w:rPr>
          <w:szCs w:val="22"/>
        </w:rPr>
        <w:t xml:space="preserve">La Unión particular poseerá un fondo de operaciones constituido por una aportación única hecha por cada uno de los países de la Unión particular. Si el fondo resultara insuficiente, la Asamblea decidirá sobre su aumento.  </w:t>
      </w:r>
    </w:p>
    <w:p w:rsidR="00120044" w:rsidRPr="006A0C68" w:rsidRDefault="00120044" w:rsidP="00120044">
      <w:pPr>
        <w:ind w:left="567"/>
        <w:contextualSpacing/>
        <w:rPr>
          <w:szCs w:val="22"/>
        </w:rPr>
      </w:pPr>
    </w:p>
    <w:p w:rsidR="00120044" w:rsidRPr="006A0C68" w:rsidRDefault="00120044" w:rsidP="00120044">
      <w:pPr>
        <w:ind w:left="567"/>
        <w:contextualSpacing/>
        <w:rPr>
          <w:szCs w:val="22"/>
        </w:rPr>
      </w:pPr>
      <w:r w:rsidRPr="006A0C68">
        <w:rPr>
          <w:szCs w:val="22"/>
        </w:rPr>
        <w:t>b)</w:t>
      </w:r>
      <w:r w:rsidR="006A0C68">
        <w:rPr>
          <w:szCs w:val="22"/>
        </w:rPr>
        <w:tab/>
      </w:r>
      <w:r w:rsidRPr="006A0C68">
        <w:rPr>
          <w:szCs w:val="22"/>
        </w:rPr>
        <w:t>La cuantía de la aportación inicial de cada país al citado fondo y de su participación en el aumento del mismo serán proporcionales a la contribución del país, como miembro de la Unión de París para la Protección de la Propiedad Industrial, al presupuesto de dicha Unión correspondiente al año en el curso del cual se constituyó el fondo o se decidió el aumento.</w:t>
      </w:r>
    </w:p>
    <w:p w:rsidR="00120044" w:rsidRPr="006A0C68" w:rsidRDefault="00120044" w:rsidP="00120044">
      <w:pPr>
        <w:ind w:left="567"/>
        <w:contextualSpacing/>
        <w:rPr>
          <w:szCs w:val="22"/>
        </w:rPr>
      </w:pPr>
    </w:p>
    <w:p w:rsidR="00120044" w:rsidRPr="006A0C68" w:rsidRDefault="00120044" w:rsidP="00120044">
      <w:pPr>
        <w:ind w:left="567"/>
        <w:contextualSpacing/>
        <w:rPr>
          <w:szCs w:val="22"/>
        </w:rPr>
      </w:pPr>
      <w:r w:rsidRPr="006A0C68">
        <w:rPr>
          <w:szCs w:val="22"/>
        </w:rPr>
        <w:t>c)</w:t>
      </w:r>
      <w:r w:rsidR="006A0C68">
        <w:rPr>
          <w:szCs w:val="22"/>
        </w:rPr>
        <w:tab/>
      </w:r>
      <w:r w:rsidRPr="006A0C68">
        <w:rPr>
          <w:szCs w:val="22"/>
        </w:rPr>
        <w:t>La proporción y las modalidades de pago serán determinadas por la Asamblea, a propuesta del Director General y previo dictamen del Comité de Coordinación de la Organización.”</w:t>
      </w:r>
    </w:p>
    <w:p w:rsidR="00120044" w:rsidRPr="006A0C68" w:rsidRDefault="00120044" w:rsidP="00120044">
      <w:pPr>
        <w:rPr>
          <w:szCs w:val="22"/>
        </w:rPr>
      </w:pPr>
    </w:p>
    <w:p w:rsidR="00B655EA" w:rsidRPr="006A0C68" w:rsidRDefault="00B655EA" w:rsidP="00700474">
      <w:pPr>
        <w:rPr>
          <w:szCs w:val="22"/>
        </w:rPr>
      </w:pPr>
      <w:r w:rsidRPr="006A0C68">
        <w:rPr>
          <w:szCs w:val="22"/>
        </w:rPr>
        <w:fldChar w:fldCharType="begin"/>
      </w:r>
      <w:r w:rsidRPr="006A0C68">
        <w:rPr>
          <w:szCs w:val="22"/>
        </w:rPr>
        <w:instrText xml:space="preserve"> AUTONUM  </w:instrText>
      </w:r>
      <w:r w:rsidRPr="006A0C68">
        <w:rPr>
          <w:szCs w:val="22"/>
        </w:rPr>
        <w:fldChar w:fldCharType="end"/>
      </w:r>
      <w:r w:rsidRPr="006A0C68">
        <w:rPr>
          <w:szCs w:val="22"/>
        </w:rPr>
        <w:tab/>
      </w:r>
      <w:r w:rsidR="0008107D" w:rsidRPr="006A0C68">
        <w:rPr>
          <w:szCs w:val="22"/>
        </w:rPr>
        <w:t xml:space="preserve">Según se </w:t>
      </w:r>
      <w:r w:rsidR="008435AD" w:rsidRPr="006A0C68">
        <w:rPr>
          <w:szCs w:val="22"/>
        </w:rPr>
        <w:t xml:space="preserve">describe </w:t>
      </w:r>
      <w:r w:rsidR="0008107D" w:rsidRPr="006A0C68">
        <w:rPr>
          <w:szCs w:val="22"/>
        </w:rPr>
        <w:t>en el documento “Opciones para la sostenibilidad financiera de la Unión de Lisboa”</w:t>
      </w:r>
      <w:r w:rsidR="008435AD" w:rsidRPr="006A0C68">
        <w:rPr>
          <w:szCs w:val="22"/>
        </w:rPr>
        <w:t>, l</w:t>
      </w:r>
      <w:r w:rsidR="0008107D" w:rsidRPr="006A0C68">
        <w:rPr>
          <w:szCs w:val="22"/>
        </w:rPr>
        <w:t>a finalidad de un fondo de operaciones es financiar las operaciones cuando no se dispone de suficientes ingresos, lo que incluye proporcionar fondos cuando haya atrasos en la percepción de las contribuciones.</w:t>
      </w:r>
      <w:r w:rsidRPr="006A0C68">
        <w:rPr>
          <w:szCs w:val="22"/>
        </w:rPr>
        <w:t xml:space="preserve">  </w:t>
      </w:r>
      <w:r w:rsidR="008435AD" w:rsidRPr="006A0C68">
        <w:rPr>
          <w:szCs w:val="22"/>
        </w:rPr>
        <w:t xml:space="preserve">De modo que </w:t>
      </w:r>
      <w:r w:rsidR="00700474" w:rsidRPr="006A0C68">
        <w:rPr>
          <w:szCs w:val="22"/>
        </w:rPr>
        <w:t xml:space="preserve">se trata, por su propia naturaleza, de una solución temporal hasta que se encuentre una solución sostenible y más permanente por medio de otras fuentes de financiación, </w:t>
      </w:r>
      <w:r w:rsidR="00A645C0" w:rsidRPr="006A0C68">
        <w:rPr>
          <w:szCs w:val="22"/>
        </w:rPr>
        <w:t>como se consigna e</w:t>
      </w:r>
      <w:r w:rsidR="00700474" w:rsidRPr="006A0C68">
        <w:rPr>
          <w:szCs w:val="22"/>
        </w:rPr>
        <w:t xml:space="preserve">n el </w:t>
      </w:r>
      <w:r w:rsidR="00064918" w:rsidRPr="006A0C68">
        <w:rPr>
          <w:szCs w:val="22"/>
        </w:rPr>
        <w:t>Artículo</w:t>
      </w:r>
      <w:r w:rsidRPr="006A0C68">
        <w:rPr>
          <w:szCs w:val="22"/>
        </w:rPr>
        <w:t xml:space="preserve"> 11</w:t>
      </w:r>
      <w:r w:rsidR="00700474" w:rsidRPr="006A0C68">
        <w:rPr>
          <w:szCs w:val="22"/>
        </w:rPr>
        <w:t>.</w:t>
      </w:r>
      <w:r w:rsidRPr="006A0C68">
        <w:rPr>
          <w:szCs w:val="22"/>
        </w:rPr>
        <w:t xml:space="preserve">3) </w:t>
      </w:r>
      <w:r w:rsidR="00700474" w:rsidRPr="006A0C68">
        <w:rPr>
          <w:szCs w:val="22"/>
        </w:rPr>
        <w:t xml:space="preserve">del Arreglo de Lisboa.  Las contribuciones al fondo de operaciones, que se adeudan a los Estados miembros, podrían reembolsarse si los ingresos llegaran a ser suficientes para financiar las operaciones.  </w:t>
      </w:r>
      <w:r w:rsidRPr="006A0C68">
        <w:rPr>
          <w:szCs w:val="22"/>
        </w:rPr>
        <w:t xml:space="preserve"> </w:t>
      </w:r>
      <w:r w:rsidR="00700474" w:rsidRPr="006A0C68">
        <w:rPr>
          <w:szCs w:val="22"/>
        </w:rPr>
        <w:t>En</w:t>
      </w:r>
      <w:r w:rsidRPr="006A0C68">
        <w:rPr>
          <w:szCs w:val="22"/>
        </w:rPr>
        <w:t xml:space="preserve"> 1983, 1979 </w:t>
      </w:r>
      <w:r w:rsidR="00700474" w:rsidRPr="006A0C68">
        <w:rPr>
          <w:szCs w:val="22"/>
        </w:rPr>
        <w:t>y</w:t>
      </w:r>
      <w:r w:rsidRPr="006A0C68">
        <w:rPr>
          <w:szCs w:val="22"/>
        </w:rPr>
        <w:t xml:space="preserve"> 1978</w:t>
      </w:r>
      <w:r w:rsidR="00700474" w:rsidRPr="006A0C68">
        <w:rPr>
          <w:szCs w:val="22"/>
        </w:rPr>
        <w:t xml:space="preserve"> se constituyeron fondos de operaciones para la Unión del PTC, la Unión de Madrid y la Unión de </w:t>
      </w:r>
      <w:r w:rsidR="00064918" w:rsidRPr="006A0C68">
        <w:rPr>
          <w:szCs w:val="22"/>
        </w:rPr>
        <w:t xml:space="preserve">La </w:t>
      </w:r>
      <w:r w:rsidR="00700474" w:rsidRPr="006A0C68">
        <w:rPr>
          <w:szCs w:val="22"/>
        </w:rPr>
        <w:t xml:space="preserve">Haya, respectivamente.  Se ha propuesto que el fondo de </w:t>
      </w:r>
      <w:r w:rsidR="00700474" w:rsidRPr="006A0C68">
        <w:rPr>
          <w:szCs w:val="22"/>
        </w:rPr>
        <w:lastRenderedPageBreak/>
        <w:t>operaciones de la Unión del PCT se devuelva a los Estados miembros de la Unión del PCT mediante deducciones en las contribuciones pagaderas en el bienio 2016/17</w:t>
      </w:r>
      <w:r w:rsidR="008435AD" w:rsidRPr="006A0C68">
        <w:rPr>
          <w:rStyle w:val="FootnoteReference"/>
          <w:szCs w:val="22"/>
        </w:rPr>
        <w:footnoteReference w:id="3"/>
      </w:r>
      <w:r w:rsidR="00700474" w:rsidRPr="006A0C68">
        <w:rPr>
          <w:szCs w:val="22"/>
        </w:rPr>
        <w:t xml:space="preserve">. </w:t>
      </w:r>
    </w:p>
    <w:p w:rsidR="00B655EA" w:rsidRPr="006A0C68" w:rsidRDefault="00B655EA" w:rsidP="00B655EA">
      <w:pPr>
        <w:rPr>
          <w:szCs w:val="22"/>
        </w:rPr>
      </w:pPr>
    </w:p>
    <w:p w:rsidR="00B655EA" w:rsidRPr="006A0C68" w:rsidRDefault="00B655EA" w:rsidP="00B655EA">
      <w:pPr>
        <w:rPr>
          <w:szCs w:val="22"/>
        </w:rPr>
      </w:pPr>
      <w:r w:rsidRPr="006A0C68">
        <w:rPr>
          <w:szCs w:val="22"/>
        </w:rPr>
        <w:fldChar w:fldCharType="begin"/>
      </w:r>
      <w:r w:rsidRPr="006A0C68">
        <w:rPr>
          <w:szCs w:val="22"/>
        </w:rPr>
        <w:instrText xml:space="preserve"> AUTONUM  </w:instrText>
      </w:r>
      <w:r w:rsidRPr="006A0C68">
        <w:rPr>
          <w:szCs w:val="22"/>
        </w:rPr>
        <w:fldChar w:fldCharType="end"/>
      </w:r>
      <w:r w:rsidRPr="006A0C68">
        <w:rPr>
          <w:szCs w:val="22"/>
        </w:rPr>
        <w:tab/>
      </w:r>
      <w:r w:rsidR="00DE0645" w:rsidRPr="006A0C68">
        <w:rPr>
          <w:szCs w:val="22"/>
        </w:rPr>
        <w:t>E</w:t>
      </w:r>
      <w:r w:rsidR="00C544D1" w:rsidRPr="006A0C68">
        <w:rPr>
          <w:szCs w:val="22"/>
        </w:rPr>
        <w:t>n e</w:t>
      </w:r>
      <w:r w:rsidR="00DE0645" w:rsidRPr="006A0C68">
        <w:rPr>
          <w:szCs w:val="22"/>
        </w:rPr>
        <w:t>l Reglamento Financiero y la Reglamentación Financiera de la OMPI</w:t>
      </w:r>
      <w:r w:rsidRPr="006A0C68">
        <w:rPr>
          <w:szCs w:val="22"/>
        </w:rPr>
        <w:t xml:space="preserve"> </w:t>
      </w:r>
      <w:r w:rsidR="00C544D1" w:rsidRPr="006A0C68">
        <w:rPr>
          <w:szCs w:val="22"/>
        </w:rPr>
        <w:t xml:space="preserve">se definen </w:t>
      </w:r>
      <w:r w:rsidR="00DE0645" w:rsidRPr="006A0C68">
        <w:rPr>
          <w:szCs w:val="22"/>
        </w:rPr>
        <w:t>los fondos de operaciones de la siguiente manera</w:t>
      </w:r>
      <w:proofErr w:type="gramStart"/>
      <w:r w:rsidR="00C544D1" w:rsidRPr="006A0C68">
        <w:rPr>
          <w:szCs w:val="22"/>
        </w:rPr>
        <w:t xml:space="preserve">:  </w:t>
      </w:r>
      <w:r w:rsidRPr="006A0C68">
        <w:rPr>
          <w:szCs w:val="22"/>
        </w:rPr>
        <w:t>“</w:t>
      </w:r>
      <w:proofErr w:type="gramEnd"/>
      <w:r w:rsidR="00DE0645" w:rsidRPr="006A0C68">
        <w:rPr>
          <w:szCs w:val="22"/>
        </w:rPr>
        <w:t>Se entenderá por “fondos de operaciones los fondos establecidos para financiar por anticipado las consignaciones en caso de que se produzca un déficit provisional de tesorería y para otro tipo de fines que decidan las Asambleas de los Estados miembros y de las Uniones, cada una en lo que le concierna”.</w:t>
      </w:r>
      <w:r w:rsidRPr="006A0C68">
        <w:rPr>
          <w:szCs w:val="22"/>
        </w:rPr>
        <w:t xml:space="preserve"> </w:t>
      </w:r>
      <w:r w:rsidRPr="006A0C68">
        <w:rPr>
          <w:i/>
          <w:szCs w:val="22"/>
        </w:rPr>
        <w:t>(</w:t>
      </w:r>
      <w:r w:rsidR="00C544D1" w:rsidRPr="006A0C68">
        <w:rPr>
          <w:i/>
          <w:szCs w:val="22"/>
        </w:rPr>
        <w:t>Regla</w:t>
      </w:r>
      <w:r w:rsidRPr="006A0C68">
        <w:rPr>
          <w:i/>
          <w:szCs w:val="22"/>
        </w:rPr>
        <w:t xml:space="preserve"> 101.3</w:t>
      </w:r>
      <w:r w:rsidR="00A645C0" w:rsidRPr="006A0C68">
        <w:rPr>
          <w:i/>
          <w:szCs w:val="22"/>
        </w:rPr>
        <w:t>)</w:t>
      </w:r>
      <w:r w:rsidRPr="006A0C68">
        <w:rPr>
          <w:i/>
          <w:szCs w:val="22"/>
        </w:rPr>
        <w:t>q))</w:t>
      </w:r>
      <w:r w:rsidRPr="006A0C68">
        <w:rPr>
          <w:szCs w:val="22"/>
        </w:rPr>
        <w:t>.</w:t>
      </w:r>
    </w:p>
    <w:p w:rsidR="00B655EA" w:rsidRPr="006A0C68" w:rsidRDefault="00B655EA" w:rsidP="00B655EA">
      <w:pPr>
        <w:rPr>
          <w:szCs w:val="22"/>
        </w:rPr>
      </w:pPr>
    </w:p>
    <w:p w:rsidR="00B655EA" w:rsidRPr="006A0C68" w:rsidRDefault="00B655EA" w:rsidP="00B655EA">
      <w:pPr>
        <w:rPr>
          <w:szCs w:val="22"/>
        </w:rPr>
      </w:pPr>
      <w:r w:rsidRPr="006A0C68">
        <w:rPr>
          <w:szCs w:val="22"/>
        </w:rPr>
        <w:fldChar w:fldCharType="begin"/>
      </w:r>
      <w:r w:rsidRPr="006A0C68">
        <w:rPr>
          <w:szCs w:val="22"/>
        </w:rPr>
        <w:instrText xml:space="preserve"> AUTONUM  </w:instrText>
      </w:r>
      <w:r w:rsidRPr="006A0C68">
        <w:rPr>
          <w:szCs w:val="22"/>
        </w:rPr>
        <w:fldChar w:fldCharType="end"/>
      </w:r>
      <w:r w:rsidRPr="006A0C68">
        <w:rPr>
          <w:szCs w:val="22"/>
        </w:rPr>
        <w:tab/>
      </w:r>
      <w:r w:rsidR="00056804" w:rsidRPr="006A0C68">
        <w:rPr>
          <w:szCs w:val="22"/>
        </w:rPr>
        <w:t xml:space="preserve">El Reglamento Financiero y la Reglamentación Financiera de la OMPI </w:t>
      </w:r>
      <w:proofErr w:type="gramStart"/>
      <w:r w:rsidR="00056804" w:rsidRPr="006A0C68">
        <w:rPr>
          <w:szCs w:val="22"/>
        </w:rPr>
        <w:t>dispone</w:t>
      </w:r>
      <w:proofErr w:type="gramEnd"/>
      <w:r w:rsidR="00056804" w:rsidRPr="006A0C68">
        <w:rPr>
          <w:szCs w:val="22"/>
        </w:rPr>
        <w:t xml:space="preserve"> asimismo que</w:t>
      </w:r>
      <w:r w:rsidRPr="006A0C68">
        <w:rPr>
          <w:szCs w:val="22"/>
        </w:rPr>
        <w:t>:</w:t>
      </w:r>
    </w:p>
    <w:p w:rsidR="00B655EA" w:rsidRPr="006A0C68" w:rsidRDefault="00B655EA" w:rsidP="00B655EA">
      <w:pPr>
        <w:rPr>
          <w:szCs w:val="22"/>
        </w:rPr>
      </w:pPr>
    </w:p>
    <w:p w:rsidR="00C544D1" w:rsidRPr="006A0C68" w:rsidRDefault="00C544D1" w:rsidP="006A0C68">
      <w:pPr>
        <w:pStyle w:val="Heading2"/>
        <w:keepLines/>
        <w:widowControl w:val="0"/>
        <w:ind w:left="567"/>
        <w:rPr>
          <w:b/>
          <w:caps w:val="0"/>
          <w:szCs w:val="22"/>
          <w:lang w:eastAsia="en-US"/>
        </w:rPr>
      </w:pPr>
      <w:bookmarkStart w:id="6" w:name="_Toc167087833"/>
      <w:bookmarkStart w:id="7" w:name="_Toc401300984"/>
      <w:r w:rsidRPr="006A0C68">
        <w:rPr>
          <w:b/>
          <w:caps w:val="0"/>
          <w:szCs w:val="22"/>
          <w:lang w:eastAsia="en-US"/>
        </w:rPr>
        <w:t>Fondos de operaciones</w:t>
      </w:r>
      <w:bookmarkEnd w:id="6"/>
      <w:bookmarkEnd w:id="7"/>
    </w:p>
    <w:p w:rsidR="00C544D1" w:rsidRPr="006A0C68" w:rsidRDefault="00C544D1" w:rsidP="006A0C68">
      <w:pPr>
        <w:pStyle w:val="Heading3"/>
        <w:keepLines/>
        <w:widowControl w:val="0"/>
        <w:spacing w:before="108" w:after="0"/>
        <w:ind w:left="567"/>
        <w:rPr>
          <w:b/>
          <w:szCs w:val="22"/>
          <w:u w:val="none"/>
        </w:rPr>
      </w:pPr>
      <w:bookmarkStart w:id="8" w:name="_Toc167087834"/>
      <w:bookmarkStart w:id="9" w:name="_Toc401300985"/>
      <w:r w:rsidRPr="006A0C68">
        <w:rPr>
          <w:b/>
          <w:szCs w:val="22"/>
          <w:u w:val="none"/>
        </w:rPr>
        <w:t>Artículo 4.2</w:t>
      </w:r>
      <w:bookmarkEnd w:id="8"/>
      <w:bookmarkEnd w:id="9"/>
    </w:p>
    <w:p w:rsidR="00C544D1" w:rsidRPr="006A0C68" w:rsidRDefault="00C544D1" w:rsidP="006A0C68">
      <w:pPr>
        <w:keepNext/>
        <w:keepLines/>
        <w:widowControl w:val="0"/>
        <w:spacing w:before="108"/>
        <w:ind w:left="567"/>
        <w:jc w:val="both"/>
        <w:rPr>
          <w:szCs w:val="22"/>
        </w:rPr>
      </w:pPr>
      <w:r w:rsidRPr="006A0C68">
        <w:rPr>
          <w:szCs w:val="22"/>
        </w:rPr>
        <w:t>Los fondos de operaciones de la Organización y de las Uniones de París, Berna, Madrid, La Haya, CIP, Niza, PCT, Lisboa, Locarno y Viena se establecerán con las sumas que determinen las Asambleas de los Estados miembros y de las Uniones, cada una en lo que le concierna.</w:t>
      </w:r>
    </w:p>
    <w:p w:rsidR="00C544D1" w:rsidRPr="006A0C68" w:rsidRDefault="00C544D1" w:rsidP="006A0C68">
      <w:pPr>
        <w:pStyle w:val="Heading3"/>
        <w:keepNext w:val="0"/>
        <w:widowControl w:val="0"/>
        <w:spacing w:before="108" w:after="0"/>
        <w:ind w:left="567"/>
        <w:rPr>
          <w:b/>
          <w:szCs w:val="22"/>
          <w:u w:val="none"/>
        </w:rPr>
      </w:pPr>
      <w:bookmarkStart w:id="10" w:name="_Toc167087835"/>
      <w:bookmarkStart w:id="11" w:name="_Toc401300986"/>
      <w:r w:rsidRPr="006A0C68">
        <w:rPr>
          <w:b/>
          <w:szCs w:val="22"/>
          <w:u w:val="none"/>
        </w:rPr>
        <w:t>Artículo 4.3</w:t>
      </w:r>
      <w:bookmarkEnd w:id="10"/>
      <w:bookmarkEnd w:id="11"/>
    </w:p>
    <w:p w:rsidR="00C544D1" w:rsidRPr="006A0C68" w:rsidRDefault="00C544D1" w:rsidP="006A0C68">
      <w:pPr>
        <w:widowControl w:val="0"/>
        <w:spacing w:before="108"/>
        <w:ind w:left="567"/>
        <w:jc w:val="both"/>
        <w:rPr>
          <w:szCs w:val="22"/>
        </w:rPr>
      </w:pPr>
      <w:r w:rsidRPr="006A0C68">
        <w:rPr>
          <w:szCs w:val="22"/>
        </w:rPr>
        <w:t>Los fondos de operaciones se utilizarán, en la medida de lo posible, como anticipos para financiar consignaciones presupuestarias que todavía no están cubiertas por efectivo disponible, y para otros fines que determinen las Asambleas de los Estados miembros y de las Uniones, cada una en lo que le concierna.</w:t>
      </w:r>
    </w:p>
    <w:p w:rsidR="00C544D1" w:rsidRPr="006A0C68" w:rsidRDefault="00C544D1" w:rsidP="006A0C68">
      <w:pPr>
        <w:pStyle w:val="Heading3"/>
        <w:keepNext w:val="0"/>
        <w:widowControl w:val="0"/>
        <w:spacing w:before="108" w:after="0"/>
        <w:ind w:left="567"/>
        <w:rPr>
          <w:b/>
          <w:szCs w:val="22"/>
          <w:u w:val="none"/>
        </w:rPr>
      </w:pPr>
      <w:bookmarkStart w:id="12" w:name="_Toc167087836"/>
      <w:bookmarkStart w:id="13" w:name="_Toc401300987"/>
      <w:r w:rsidRPr="006A0C68">
        <w:rPr>
          <w:b/>
          <w:szCs w:val="22"/>
          <w:u w:val="none"/>
        </w:rPr>
        <w:t>Artículo 4.4</w:t>
      </w:r>
      <w:bookmarkEnd w:id="12"/>
      <w:bookmarkEnd w:id="13"/>
    </w:p>
    <w:p w:rsidR="00C544D1" w:rsidRPr="006A0C68" w:rsidRDefault="00C544D1" w:rsidP="006A0C68">
      <w:pPr>
        <w:widowControl w:val="0"/>
        <w:spacing w:before="108"/>
        <w:ind w:left="567"/>
        <w:jc w:val="both"/>
        <w:rPr>
          <w:szCs w:val="22"/>
        </w:rPr>
      </w:pPr>
      <w:r w:rsidRPr="006A0C68">
        <w:rPr>
          <w:szCs w:val="22"/>
        </w:rPr>
        <w:t>Los anticipos con cargo al fondo de operaciones para financiar consignaciones presupuestarias se reembolsarán al Fondo en cuanto haya ingresos disponibles para ese fin y en la medida en que tales ingresos lo permitan.</w:t>
      </w:r>
    </w:p>
    <w:p w:rsidR="00B655EA" w:rsidRPr="006A0C68" w:rsidRDefault="00B655EA" w:rsidP="00B655EA">
      <w:pPr>
        <w:rPr>
          <w:b/>
          <w:szCs w:val="22"/>
        </w:rPr>
      </w:pPr>
    </w:p>
    <w:p w:rsidR="00B655EA" w:rsidRPr="006A0C68" w:rsidRDefault="00B655EA" w:rsidP="00B655EA">
      <w:pPr>
        <w:rPr>
          <w:b/>
          <w:bCs/>
          <w:caps/>
          <w:szCs w:val="22"/>
        </w:rPr>
      </w:pPr>
    </w:p>
    <w:p w:rsidR="00B655EA" w:rsidRPr="006A0C68" w:rsidRDefault="00A645C0" w:rsidP="00B655EA">
      <w:pPr>
        <w:rPr>
          <w:b/>
          <w:bCs/>
          <w:caps/>
          <w:szCs w:val="22"/>
        </w:rPr>
      </w:pPr>
      <w:r w:rsidRPr="006A0C68">
        <w:rPr>
          <w:b/>
          <w:bCs/>
          <w:caps/>
          <w:szCs w:val="22"/>
        </w:rPr>
        <w:t xml:space="preserve">NIVEL </w:t>
      </w:r>
      <w:r w:rsidR="00B655EA" w:rsidRPr="006A0C68">
        <w:rPr>
          <w:b/>
          <w:bCs/>
          <w:caps/>
          <w:szCs w:val="22"/>
        </w:rPr>
        <w:t>INITIAL</w:t>
      </w:r>
      <w:r w:rsidRPr="006A0C68">
        <w:rPr>
          <w:b/>
          <w:bCs/>
          <w:caps/>
          <w:szCs w:val="22"/>
        </w:rPr>
        <w:t xml:space="preserve"> y ADMINISTRACIÓN DEL </w:t>
      </w:r>
      <w:r w:rsidRPr="006A0C68">
        <w:rPr>
          <w:b/>
          <w:caps/>
          <w:szCs w:val="22"/>
        </w:rPr>
        <w:t xml:space="preserve">FONDO DE OPERACIONES PARA LA UNIÓN DE LISBOA, </w:t>
      </w:r>
      <w:r w:rsidRPr="006A0C68">
        <w:rPr>
          <w:b/>
          <w:bCs/>
          <w:caps/>
          <w:szCs w:val="22"/>
        </w:rPr>
        <w:t>Y PRESENTACIÓN DE INFORMES AL RESPECTO</w:t>
      </w:r>
    </w:p>
    <w:p w:rsidR="00B655EA" w:rsidRPr="006A0C68" w:rsidRDefault="00B655EA" w:rsidP="00B655EA">
      <w:pPr>
        <w:rPr>
          <w:b/>
          <w:bCs/>
          <w:caps/>
          <w:szCs w:val="22"/>
        </w:rPr>
      </w:pPr>
    </w:p>
    <w:p w:rsidR="00AF3589" w:rsidRPr="006A0C68" w:rsidRDefault="00B655EA" w:rsidP="00B655EA">
      <w:pPr>
        <w:rPr>
          <w:szCs w:val="22"/>
        </w:rPr>
      </w:pPr>
      <w:r w:rsidRPr="006A0C68">
        <w:rPr>
          <w:szCs w:val="22"/>
        </w:rPr>
        <w:fldChar w:fldCharType="begin"/>
      </w:r>
      <w:r w:rsidRPr="006A0C68">
        <w:rPr>
          <w:szCs w:val="22"/>
        </w:rPr>
        <w:instrText xml:space="preserve"> AUTONUM  </w:instrText>
      </w:r>
      <w:r w:rsidRPr="006A0C68">
        <w:rPr>
          <w:szCs w:val="22"/>
        </w:rPr>
        <w:fldChar w:fldCharType="end"/>
      </w:r>
      <w:r w:rsidRPr="006A0C68">
        <w:rPr>
          <w:szCs w:val="22"/>
        </w:rPr>
        <w:tab/>
      </w:r>
      <w:r w:rsidR="00A645C0" w:rsidRPr="006A0C68">
        <w:rPr>
          <w:szCs w:val="22"/>
        </w:rPr>
        <w:t xml:space="preserve">Se propone fijar el nivel inicial del </w:t>
      </w:r>
      <w:r w:rsidR="006A0C68">
        <w:rPr>
          <w:szCs w:val="22"/>
        </w:rPr>
        <w:t>fondo de operaciones</w:t>
      </w:r>
      <w:r w:rsidR="00A645C0" w:rsidRPr="006A0C68">
        <w:rPr>
          <w:szCs w:val="22"/>
        </w:rPr>
        <w:t xml:space="preserve"> para la Unión de Lisboa en </w:t>
      </w:r>
      <w:r w:rsidR="00104FD9" w:rsidRPr="006A0C68">
        <w:rPr>
          <w:szCs w:val="22"/>
        </w:rPr>
        <w:t>dos</w:t>
      </w:r>
      <w:r w:rsidRPr="006A0C68">
        <w:rPr>
          <w:szCs w:val="22"/>
        </w:rPr>
        <w:t xml:space="preserve"> millon</w:t>
      </w:r>
      <w:r w:rsidR="00A645C0" w:rsidRPr="006A0C68">
        <w:rPr>
          <w:szCs w:val="22"/>
        </w:rPr>
        <w:t xml:space="preserve">es de francos suizos, </w:t>
      </w:r>
      <w:r w:rsidR="00104FD9" w:rsidRPr="006A0C68">
        <w:rPr>
          <w:szCs w:val="22"/>
        </w:rPr>
        <w:t>s</w:t>
      </w:r>
      <w:r w:rsidR="00A645C0" w:rsidRPr="006A0C68">
        <w:rPr>
          <w:szCs w:val="22"/>
        </w:rPr>
        <w:t xml:space="preserve">obre la base </w:t>
      </w:r>
      <w:r w:rsidR="00104FD9" w:rsidRPr="006A0C68">
        <w:rPr>
          <w:szCs w:val="22"/>
        </w:rPr>
        <w:t xml:space="preserve">del resultado de explotación negativo que se ha estimado para el bienio </w:t>
      </w:r>
      <w:r w:rsidRPr="006A0C68">
        <w:rPr>
          <w:szCs w:val="22"/>
        </w:rPr>
        <w:t>2016/17 </w:t>
      </w:r>
      <w:r w:rsidRPr="006A0C68">
        <w:rPr>
          <w:szCs w:val="22"/>
          <w:vertAlign w:val="superscript"/>
        </w:rPr>
        <w:t xml:space="preserve"> </w:t>
      </w:r>
      <w:r w:rsidRPr="006A0C68">
        <w:rPr>
          <w:szCs w:val="22"/>
          <w:vertAlign w:val="superscript"/>
        </w:rPr>
        <w:footnoteReference w:id="4"/>
      </w:r>
      <w:r w:rsidRPr="006A0C68">
        <w:rPr>
          <w:szCs w:val="22"/>
        </w:rPr>
        <w:t xml:space="preserve">.  </w:t>
      </w:r>
      <w:r w:rsidR="001033B3" w:rsidRPr="006A0C68">
        <w:rPr>
          <w:szCs w:val="22"/>
        </w:rPr>
        <w:t xml:space="preserve">Conforme a lo dispuesto en el </w:t>
      </w:r>
      <w:r w:rsidRPr="006A0C68">
        <w:rPr>
          <w:szCs w:val="22"/>
        </w:rPr>
        <w:t>Art</w:t>
      </w:r>
      <w:r w:rsidR="00104FD9" w:rsidRPr="006A0C68">
        <w:rPr>
          <w:szCs w:val="22"/>
        </w:rPr>
        <w:t>ículo</w:t>
      </w:r>
      <w:r w:rsidRPr="006A0C68">
        <w:rPr>
          <w:szCs w:val="22"/>
        </w:rPr>
        <w:t xml:space="preserve"> 11</w:t>
      </w:r>
      <w:r w:rsidR="00104FD9" w:rsidRPr="006A0C68">
        <w:rPr>
          <w:szCs w:val="22"/>
        </w:rPr>
        <w:t>.</w:t>
      </w:r>
      <w:r w:rsidRPr="006A0C68">
        <w:rPr>
          <w:szCs w:val="22"/>
        </w:rPr>
        <w:t xml:space="preserve">7)b) </w:t>
      </w:r>
      <w:r w:rsidR="00104FD9" w:rsidRPr="006A0C68">
        <w:rPr>
          <w:szCs w:val="22"/>
        </w:rPr>
        <w:t xml:space="preserve">del Arreglo de Lisboa, </w:t>
      </w:r>
      <w:r w:rsidR="001033B3" w:rsidRPr="006A0C68">
        <w:rPr>
          <w:szCs w:val="22"/>
        </w:rPr>
        <w:t>“</w:t>
      </w:r>
      <w:r w:rsidR="00104FD9" w:rsidRPr="006A0C68">
        <w:rPr>
          <w:szCs w:val="22"/>
        </w:rPr>
        <w:t>la cuantía de la aportación inicial de cada país al citado fondo</w:t>
      </w:r>
      <w:r w:rsidR="001033B3" w:rsidRPr="006A0C68">
        <w:rPr>
          <w:szCs w:val="22"/>
        </w:rPr>
        <w:t>”</w:t>
      </w:r>
      <w:r w:rsidR="00104FD9" w:rsidRPr="006A0C68">
        <w:rPr>
          <w:szCs w:val="22"/>
        </w:rPr>
        <w:t>…</w:t>
      </w:r>
      <w:r w:rsidR="001033B3" w:rsidRPr="006A0C68">
        <w:rPr>
          <w:szCs w:val="22"/>
        </w:rPr>
        <w:t xml:space="preserve"> “</w:t>
      </w:r>
      <w:r w:rsidR="00104FD9" w:rsidRPr="006A0C68">
        <w:rPr>
          <w:szCs w:val="22"/>
        </w:rPr>
        <w:t>será</w:t>
      </w:r>
      <w:r w:rsidR="001033B3" w:rsidRPr="006A0C68">
        <w:rPr>
          <w:szCs w:val="22"/>
        </w:rPr>
        <w:t>[</w:t>
      </w:r>
      <w:r w:rsidR="00104FD9" w:rsidRPr="006A0C68">
        <w:rPr>
          <w:szCs w:val="22"/>
        </w:rPr>
        <w:t>n</w:t>
      </w:r>
      <w:r w:rsidR="001033B3" w:rsidRPr="006A0C68">
        <w:rPr>
          <w:szCs w:val="22"/>
        </w:rPr>
        <w:t>]</w:t>
      </w:r>
      <w:r w:rsidR="00104FD9" w:rsidRPr="006A0C68">
        <w:rPr>
          <w:szCs w:val="22"/>
        </w:rPr>
        <w:t xml:space="preserve"> </w:t>
      </w:r>
      <w:proofErr w:type="gramStart"/>
      <w:r w:rsidR="00104FD9" w:rsidRPr="006A0C68">
        <w:rPr>
          <w:szCs w:val="22"/>
        </w:rPr>
        <w:t>proporcional</w:t>
      </w:r>
      <w:r w:rsidR="001033B3" w:rsidRPr="006A0C68">
        <w:rPr>
          <w:szCs w:val="22"/>
        </w:rPr>
        <w:t>[</w:t>
      </w:r>
      <w:proofErr w:type="gramEnd"/>
      <w:r w:rsidR="00104FD9" w:rsidRPr="006A0C68">
        <w:rPr>
          <w:szCs w:val="22"/>
        </w:rPr>
        <w:t>es</w:t>
      </w:r>
      <w:r w:rsidR="001033B3" w:rsidRPr="006A0C68">
        <w:rPr>
          <w:szCs w:val="22"/>
        </w:rPr>
        <w:t>]</w:t>
      </w:r>
      <w:r w:rsidR="00104FD9" w:rsidRPr="006A0C68">
        <w:rPr>
          <w:szCs w:val="22"/>
        </w:rPr>
        <w:t xml:space="preserve"> a la contribución del país, como miembro de la Unión de París para la Protección de la Propiedad Industrial</w:t>
      </w:r>
      <w:r w:rsidR="001033B3" w:rsidRPr="006A0C68">
        <w:rPr>
          <w:szCs w:val="22"/>
        </w:rPr>
        <w:t xml:space="preserve">”.  </w:t>
      </w:r>
      <w:r w:rsidR="008435AD" w:rsidRPr="006A0C68">
        <w:rPr>
          <w:szCs w:val="22"/>
        </w:rPr>
        <w:t xml:space="preserve">A tenor de la </w:t>
      </w:r>
      <w:proofErr w:type="spellStart"/>
      <w:r w:rsidR="001033B3" w:rsidRPr="006A0C68">
        <w:rPr>
          <w:szCs w:val="22"/>
        </w:rPr>
        <w:t>la</w:t>
      </w:r>
      <w:proofErr w:type="spellEnd"/>
      <w:r w:rsidR="001033B3" w:rsidRPr="006A0C68">
        <w:rPr>
          <w:szCs w:val="22"/>
        </w:rPr>
        <w:t xml:space="preserve"> decisión adoptada en la trigésima novena serie de reuniones de las Asambleas de los Estados </w:t>
      </w:r>
      <w:r w:rsidR="006A0C68">
        <w:rPr>
          <w:szCs w:val="22"/>
        </w:rPr>
        <w:t>m</w:t>
      </w:r>
      <w:r w:rsidR="001033B3" w:rsidRPr="006A0C68">
        <w:rPr>
          <w:szCs w:val="22"/>
        </w:rPr>
        <w:t>iembros</w:t>
      </w:r>
      <w:r w:rsidR="008435AD" w:rsidRPr="006A0C68">
        <w:rPr>
          <w:szCs w:val="22"/>
        </w:rPr>
        <w:t xml:space="preserve"> de la OMPI</w:t>
      </w:r>
      <w:r w:rsidR="001033B3" w:rsidRPr="006A0C68">
        <w:rPr>
          <w:szCs w:val="22"/>
        </w:rPr>
        <w:t xml:space="preserve">, celebrada en Ginebra del 22 de septiembre al 1 de octubre de 2003 (documento </w:t>
      </w:r>
      <w:r w:rsidRPr="006A0C68">
        <w:rPr>
          <w:szCs w:val="22"/>
        </w:rPr>
        <w:t xml:space="preserve">A/39/15), </w:t>
      </w:r>
      <w:r w:rsidR="001033B3" w:rsidRPr="006A0C68">
        <w:rPr>
          <w:szCs w:val="22"/>
        </w:rPr>
        <w:t xml:space="preserve">las contribuciones de los Estados </w:t>
      </w:r>
      <w:r w:rsidR="00064918">
        <w:rPr>
          <w:szCs w:val="22"/>
        </w:rPr>
        <w:t>m</w:t>
      </w:r>
      <w:r w:rsidR="001033B3" w:rsidRPr="006A0C68">
        <w:rPr>
          <w:szCs w:val="22"/>
        </w:rPr>
        <w:t>iembros se pagan con arreglo a las clases de</w:t>
      </w:r>
      <w:r w:rsidR="00AF3589" w:rsidRPr="006A0C68">
        <w:rPr>
          <w:szCs w:val="22"/>
        </w:rPr>
        <w:t xml:space="preserve">l sistema de </w:t>
      </w:r>
      <w:r w:rsidR="001033B3" w:rsidRPr="006A0C68">
        <w:rPr>
          <w:szCs w:val="22"/>
        </w:rPr>
        <w:t>contribución única.</w:t>
      </w:r>
      <w:r w:rsidR="00AF3589" w:rsidRPr="006A0C68">
        <w:rPr>
          <w:szCs w:val="22"/>
        </w:rPr>
        <w:t xml:space="preserve">  Por lo tanto, se propone que las contribuciones iniciales </w:t>
      </w:r>
      <w:r w:rsidR="008435AD" w:rsidRPr="006A0C68">
        <w:rPr>
          <w:szCs w:val="22"/>
        </w:rPr>
        <w:t>al</w:t>
      </w:r>
      <w:r w:rsidR="00AF3589" w:rsidRPr="006A0C68">
        <w:rPr>
          <w:szCs w:val="22"/>
        </w:rPr>
        <w:t xml:space="preserve"> </w:t>
      </w:r>
      <w:r w:rsidR="006A0C68">
        <w:rPr>
          <w:szCs w:val="22"/>
        </w:rPr>
        <w:t>fondo de operaciones</w:t>
      </w:r>
      <w:r w:rsidR="00AF3589" w:rsidRPr="006A0C68">
        <w:rPr>
          <w:szCs w:val="22"/>
        </w:rPr>
        <w:t xml:space="preserve"> para la Unión de Lisboa de cada país estén basadas en las mismas clases de contribución que figuran en el Anexo al presente documento.  </w:t>
      </w:r>
    </w:p>
    <w:p w:rsidR="00B655EA" w:rsidRPr="006A0C68" w:rsidRDefault="00B655EA" w:rsidP="00B655EA">
      <w:pPr>
        <w:rPr>
          <w:b/>
          <w:szCs w:val="22"/>
        </w:rPr>
      </w:pPr>
    </w:p>
    <w:p w:rsidR="007D39DB" w:rsidRPr="006A0C68" w:rsidRDefault="00B655EA" w:rsidP="00B655EA">
      <w:pPr>
        <w:rPr>
          <w:szCs w:val="22"/>
        </w:rPr>
      </w:pPr>
      <w:r w:rsidRPr="006A0C68">
        <w:rPr>
          <w:szCs w:val="22"/>
        </w:rPr>
        <w:fldChar w:fldCharType="begin"/>
      </w:r>
      <w:r w:rsidRPr="006A0C68">
        <w:rPr>
          <w:szCs w:val="22"/>
        </w:rPr>
        <w:instrText xml:space="preserve"> AUTONUM  </w:instrText>
      </w:r>
      <w:r w:rsidRPr="006A0C68">
        <w:rPr>
          <w:szCs w:val="22"/>
        </w:rPr>
        <w:fldChar w:fldCharType="end"/>
      </w:r>
      <w:r w:rsidRPr="006A0C68">
        <w:rPr>
          <w:szCs w:val="22"/>
        </w:rPr>
        <w:tab/>
      </w:r>
      <w:r w:rsidR="007D39DB" w:rsidRPr="006A0C68">
        <w:rPr>
          <w:szCs w:val="22"/>
        </w:rPr>
        <w:t xml:space="preserve">El 1 de enero de 2016 la Secretaría de la OMPI facturará a cada país el importe de las contribuciones iniciales pagaderas al </w:t>
      </w:r>
      <w:r w:rsidR="006A0C68">
        <w:rPr>
          <w:szCs w:val="22"/>
        </w:rPr>
        <w:t>fondo de operaciones</w:t>
      </w:r>
      <w:r w:rsidR="007D39DB" w:rsidRPr="006A0C68">
        <w:rPr>
          <w:szCs w:val="22"/>
        </w:rPr>
        <w:t xml:space="preserve"> para la Unión de Lisboa, según se indica en el Anexo, y dicho pago deberá efectuarse </w:t>
      </w:r>
      <w:r w:rsidR="008435AD" w:rsidRPr="006A0C68">
        <w:rPr>
          <w:szCs w:val="22"/>
        </w:rPr>
        <w:t>antes d</w:t>
      </w:r>
      <w:r w:rsidR="007D39DB" w:rsidRPr="006A0C68">
        <w:rPr>
          <w:szCs w:val="22"/>
        </w:rPr>
        <w:t>el 30 de junio de 2016.</w:t>
      </w:r>
    </w:p>
    <w:p w:rsidR="00B655EA" w:rsidRPr="006A0C68" w:rsidRDefault="00B655EA" w:rsidP="00B655EA">
      <w:pPr>
        <w:rPr>
          <w:szCs w:val="22"/>
        </w:rPr>
      </w:pPr>
    </w:p>
    <w:p w:rsidR="00B655EA" w:rsidRPr="006A0C68" w:rsidRDefault="00B655EA" w:rsidP="00B655EA">
      <w:pPr>
        <w:rPr>
          <w:szCs w:val="22"/>
        </w:rPr>
      </w:pPr>
      <w:r w:rsidRPr="006A0C68">
        <w:rPr>
          <w:szCs w:val="22"/>
        </w:rPr>
        <w:fldChar w:fldCharType="begin"/>
      </w:r>
      <w:r w:rsidRPr="006A0C68">
        <w:rPr>
          <w:szCs w:val="22"/>
        </w:rPr>
        <w:instrText xml:space="preserve"> AUTONUM  </w:instrText>
      </w:r>
      <w:r w:rsidRPr="006A0C68">
        <w:rPr>
          <w:szCs w:val="22"/>
        </w:rPr>
        <w:fldChar w:fldCharType="end"/>
      </w:r>
      <w:r w:rsidRPr="006A0C68">
        <w:rPr>
          <w:szCs w:val="22"/>
        </w:rPr>
        <w:tab/>
      </w:r>
      <w:r w:rsidR="007D39DB" w:rsidRPr="006A0C68">
        <w:rPr>
          <w:szCs w:val="22"/>
        </w:rPr>
        <w:t xml:space="preserve">El </w:t>
      </w:r>
      <w:r w:rsidR="006A0C68">
        <w:rPr>
          <w:szCs w:val="22"/>
        </w:rPr>
        <w:t>fondo de operaciones</w:t>
      </w:r>
      <w:r w:rsidR="007D39DB" w:rsidRPr="006A0C68">
        <w:rPr>
          <w:szCs w:val="22"/>
        </w:rPr>
        <w:t xml:space="preserve"> para la Unión de Lisboa se utilizará para enjugar </w:t>
      </w:r>
      <w:r w:rsidR="00B31727" w:rsidRPr="006A0C68">
        <w:rPr>
          <w:szCs w:val="22"/>
        </w:rPr>
        <w:t>todo</w:t>
      </w:r>
      <w:r w:rsidR="007D39DB" w:rsidRPr="006A0C68">
        <w:rPr>
          <w:szCs w:val="22"/>
        </w:rPr>
        <w:t xml:space="preserve"> d</w:t>
      </w:r>
      <w:r w:rsidR="00DD2E74" w:rsidRPr="006A0C68">
        <w:rPr>
          <w:szCs w:val="22"/>
        </w:rPr>
        <w:t>é</w:t>
      </w:r>
      <w:r w:rsidR="007D39DB" w:rsidRPr="006A0C68">
        <w:rPr>
          <w:szCs w:val="22"/>
        </w:rPr>
        <w:t xml:space="preserve">ficit </w:t>
      </w:r>
      <w:r w:rsidR="00332ED9" w:rsidRPr="006A0C68">
        <w:rPr>
          <w:szCs w:val="22"/>
        </w:rPr>
        <w:t>de las operaciones</w:t>
      </w:r>
      <w:r w:rsidR="0090419F" w:rsidRPr="006A0C68">
        <w:rPr>
          <w:szCs w:val="22"/>
        </w:rPr>
        <w:t xml:space="preserve"> de la Unión de Lisboa, con carácter anual, como se indica en la Nota 28: Información financiera por segmentos </w:t>
      </w:r>
      <w:r w:rsidRPr="006A0C68">
        <w:rPr>
          <w:szCs w:val="22"/>
        </w:rPr>
        <w:t>(</w:t>
      </w:r>
      <w:r w:rsidR="0090419F" w:rsidRPr="006A0C68">
        <w:rPr>
          <w:szCs w:val="22"/>
        </w:rPr>
        <w:t>Ingresos, gastos y reservas por segmento</w:t>
      </w:r>
      <w:r w:rsidRPr="006A0C68">
        <w:rPr>
          <w:szCs w:val="22"/>
        </w:rPr>
        <w:t>)</w:t>
      </w:r>
      <w:r w:rsidR="0090419F" w:rsidRPr="006A0C68">
        <w:rPr>
          <w:szCs w:val="22"/>
        </w:rPr>
        <w:t xml:space="preserve"> del Informe financiero anual y estados financieros de la OMPI.</w:t>
      </w:r>
      <w:r w:rsidRPr="006A0C68">
        <w:rPr>
          <w:szCs w:val="22"/>
        </w:rPr>
        <w:t xml:space="preserve">  </w:t>
      </w:r>
      <w:r w:rsidR="0090419F" w:rsidRPr="006A0C68">
        <w:rPr>
          <w:szCs w:val="22"/>
        </w:rPr>
        <w:t xml:space="preserve">En este último informe se dará cuenta asimismo del saldo del </w:t>
      </w:r>
      <w:r w:rsidR="006A0C68">
        <w:rPr>
          <w:szCs w:val="22"/>
        </w:rPr>
        <w:t>fondo de operaciones</w:t>
      </w:r>
      <w:r w:rsidR="0090419F" w:rsidRPr="006A0C68">
        <w:rPr>
          <w:szCs w:val="22"/>
        </w:rPr>
        <w:t xml:space="preserve"> para la Unión de Lisboa</w:t>
      </w:r>
      <w:r w:rsidRPr="006A0C68">
        <w:rPr>
          <w:szCs w:val="22"/>
        </w:rPr>
        <w:t>.</w:t>
      </w:r>
    </w:p>
    <w:p w:rsidR="00B655EA" w:rsidRPr="006A0C68" w:rsidRDefault="00B655EA" w:rsidP="00B655EA">
      <w:pPr>
        <w:rPr>
          <w:szCs w:val="22"/>
        </w:rPr>
      </w:pPr>
    </w:p>
    <w:p w:rsidR="00DD2E74" w:rsidRPr="006A0C68" w:rsidRDefault="00B655EA" w:rsidP="00B655EA">
      <w:pPr>
        <w:rPr>
          <w:szCs w:val="22"/>
        </w:rPr>
      </w:pPr>
      <w:r w:rsidRPr="006A0C68">
        <w:rPr>
          <w:szCs w:val="22"/>
        </w:rPr>
        <w:fldChar w:fldCharType="begin"/>
      </w:r>
      <w:r w:rsidRPr="006A0C68">
        <w:rPr>
          <w:szCs w:val="22"/>
        </w:rPr>
        <w:instrText xml:space="preserve"> AUTONUM  </w:instrText>
      </w:r>
      <w:r w:rsidRPr="006A0C68">
        <w:rPr>
          <w:szCs w:val="22"/>
        </w:rPr>
        <w:fldChar w:fldCharType="end"/>
      </w:r>
      <w:r w:rsidRPr="006A0C68">
        <w:rPr>
          <w:szCs w:val="22"/>
        </w:rPr>
        <w:tab/>
      </w:r>
      <w:r w:rsidR="00DD2E74" w:rsidRPr="006A0C68">
        <w:rPr>
          <w:szCs w:val="22"/>
        </w:rPr>
        <w:t>A la Asamblea de la Unión de Lisboa se presentarán propuestas encaminadas a repo</w:t>
      </w:r>
      <w:r w:rsidR="00AF4646" w:rsidRPr="006A0C68">
        <w:rPr>
          <w:szCs w:val="22"/>
        </w:rPr>
        <w:t>ner</w:t>
      </w:r>
      <w:r w:rsidR="00DD2E74" w:rsidRPr="006A0C68">
        <w:rPr>
          <w:szCs w:val="22"/>
        </w:rPr>
        <w:t xml:space="preserve"> las reservas del </w:t>
      </w:r>
      <w:r w:rsidR="006A0C68">
        <w:rPr>
          <w:szCs w:val="22"/>
        </w:rPr>
        <w:t>fondo de operaciones</w:t>
      </w:r>
      <w:r w:rsidR="00DD2E74" w:rsidRPr="006A0C68">
        <w:rPr>
          <w:szCs w:val="22"/>
        </w:rPr>
        <w:t xml:space="preserve"> para la Unión de Lisboa, en las cuales se considerará toda facturación </w:t>
      </w:r>
      <w:r w:rsidR="00DD2E74" w:rsidRPr="006A0C68">
        <w:rPr>
          <w:i/>
          <w:szCs w:val="22"/>
        </w:rPr>
        <w:t>post facto</w:t>
      </w:r>
      <w:r w:rsidR="00AF4646" w:rsidRPr="006A0C68">
        <w:rPr>
          <w:i/>
          <w:szCs w:val="22"/>
        </w:rPr>
        <w:t xml:space="preserve"> </w:t>
      </w:r>
      <w:r w:rsidR="00AF4646" w:rsidRPr="006A0C68">
        <w:rPr>
          <w:szCs w:val="22"/>
        </w:rPr>
        <w:t xml:space="preserve">de déficits reales de la Unión de Lisboa para los que no haya financiación, los resultados </w:t>
      </w:r>
      <w:r w:rsidR="00332ED9" w:rsidRPr="006A0C68">
        <w:rPr>
          <w:szCs w:val="22"/>
        </w:rPr>
        <w:t>de explotación</w:t>
      </w:r>
      <w:r w:rsidR="00AF4646" w:rsidRPr="006A0C68">
        <w:rPr>
          <w:szCs w:val="22"/>
        </w:rPr>
        <w:t xml:space="preserve"> previstos para los bienios subsiguientes y el saldo restante disponible del </w:t>
      </w:r>
      <w:r w:rsidR="006A0C68">
        <w:rPr>
          <w:szCs w:val="22"/>
        </w:rPr>
        <w:t>fondo de operaciones</w:t>
      </w:r>
      <w:r w:rsidR="00AF4646" w:rsidRPr="006A0C68">
        <w:rPr>
          <w:szCs w:val="22"/>
        </w:rPr>
        <w:t xml:space="preserve"> para la Unión de Lisboa</w:t>
      </w:r>
      <w:proofErr w:type="gramStart"/>
      <w:r w:rsidR="00AF4646" w:rsidRPr="006A0C68">
        <w:rPr>
          <w:szCs w:val="22"/>
        </w:rPr>
        <w:t>..</w:t>
      </w:r>
      <w:proofErr w:type="gramEnd"/>
      <w:r w:rsidR="00AF4646" w:rsidRPr="006A0C68">
        <w:rPr>
          <w:szCs w:val="22"/>
        </w:rPr>
        <w:t xml:space="preserve"> </w:t>
      </w:r>
    </w:p>
    <w:p w:rsidR="00B655EA" w:rsidRPr="006A0C68" w:rsidRDefault="00B655EA" w:rsidP="00B655EA">
      <w:pPr>
        <w:rPr>
          <w:szCs w:val="22"/>
        </w:rPr>
      </w:pPr>
    </w:p>
    <w:p w:rsidR="00B655EA" w:rsidRPr="006A0C68" w:rsidRDefault="00B655EA" w:rsidP="00B655EA">
      <w:pPr>
        <w:tabs>
          <w:tab w:val="left" w:pos="6096"/>
        </w:tabs>
        <w:ind w:left="5533"/>
        <w:contextualSpacing/>
        <w:rPr>
          <w:rFonts w:eastAsiaTheme="minorHAnsi"/>
          <w:i/>
          <w:szCs w:val="22"/>
          <w:lang w:eastAsia="en-US"/>
        </w:rPr>
      </w:pPr>
      <w:r w:rsidRPr="006A0C68">
        <w:rPr>
          <w:rFonts w:eastAsiaTheme="minorHAnsi"/>
          <w:i/>
          <w:szCs w:val="22"/>
          <w:lang w:eastAsia="en-US"/>
        </w:rPr>
        <w:fldChar w:fldCharType="begin"/>
      </w:r>
      <w:r w:rsidRPr="006A0C68">
        <w:rPr>
          <w:rFonts w:eastAsiaTheme="minorHAnsi"/>
          <w:i/>
          <w:szCs w:val="22"/>
          <w:lang w:eastAsia="en-US"/>
        </w:rPr>
        <w:instrText xml:space="preserve"> AUTONUM  </w:instrText>
      </w:r>
      <w:r w:rsidRPr="006A0C68">
        <w:rPr>
          <w:rFonts w:eastAsiaTheme="minorHAnsi"/>
          <w:i/>
          <w:szCs w:val="22"/>
          <w:lang w:eastAsia="en-US"/>
        </w:rPr>
        <w:fldChar w:fldCharType="end"/>
      </w:r>
      <w:r w:rsidRPr="006A0C68">
        <w:rPr>
          <w:rFonts w:eastAsiaTheme="minorHAnsi"/>
          <w:i/>
          <w:szCs w:val="22"/>
          <w:lang w:eastAsia="en-US"/>
        </w:rPr>
        <w:tab/>
      </w:r>
      <w:r w:rsidR="0080114D" w:rsidRPr="006A0C68">
        <w:rPr>
          <w:rFonts w:eastAsiaTheme="minorHAnsi"/>
          <w:i/>
          <w:szCs w:val="22"/>
          <w:lang w:eastAsia="en-US"/>
        </w:rPr>
        <w:t xml:space="preserve">Se invita a la Asamblea a que, teniendo en cuenta el dictamen del Comité Consultivo, decida establecer un </w:t>
      </w:r>
      <w:r w:rsidR="006A0C68">
        <w:rPr>
          <w:i/>
          <w:szCs w:val="22"/>
        </w:rPr>
        <w:t>fondo de operaciones</w:t>
      </w:r>
      <w:r w:rsidR="0080114D" w:rsidRPr="006A0C68">
        <w:rPr>
          <w:i/>
          <w:szCs w:val="22"/>
        </w:rPr>
        <w:t xml:space="preserve"> para la Unión de Lisboa</w:t>
      </w:r>
      <w:r w:rsidRPr="006A0C68">
        <w:rPr>
          <w:rFonts w:eastAsiaTheme="minorHAnsi"/>
          <w:i/>
          <w:szCs w:val="22"/>
          <w:lang w:eastAsia="en-US"/>
        </w:rPr>
        <w:t xml:space="preserve">, </w:t>
      </w:r>
      <w:r w:rsidR="0080114D" w:rsidRPr="006A0C68">
        <w:rPr>
          <w:rFonts w:eastAsiaTheme="minorHAnsi"/>
          <w:i/>
          <w:szCs w:val="22"/>
          <w:lang w:eastAsia="en-US"/>
        </w:rPr>
        <w:t xml:space="preserve">con la proporción y las modalidades de pago estipuladas en los párrafos </w:t>
      </w:r>
      <w:r w:rsidRPr="006A0C68">
        <w:rPr>
          <w:rFonts w:eastAsiaTheme="minorHAnsi"/>
          <w:i/>
          <w:szCs w:val="22"/>
          <w:lang w:eastAsia="en-US"/>
        </w:rPr>
        <w:t xml:space="preserve"> 8 </w:t>
      </w:r>
      <w:r w:rsidR="0080114D" w:rsidRPr="006A0C68">
        <w:rPr>
          <w:rFonts w:eastAsiaTheme="minorHAnsi"/>
          <w:i/>
          <w:szCs w:val="22"/>
          <w:lang w:eastAsia="en-US"/>
        </w:rPr>
        <w:t>a</w:t>
      </w:r>
      <w:r w:rsidRPr="006A0C68">
        <w:rPr>
          <w:rFonts w:eastAsiaTheme="minorHAnsi"/>
          <w:i/>
          <w:szCs w:val="22"/>
          <w:lang w:eastAsia="en-US"/>
        </w:rPr>
        <w:t xml:space="preserve"> 11 </w:t>
      </w:r>
      <w:r w:rsidR="0080114D" w:rsidRPr="006A0C68">
        <w:rPr>
          <w:rFonts w:eastAsiaTheme="minorHAnsi"/>
          <w:i/>
          <w:szCs w:val="22"/>
          <w:lang w:eastAsia="en-US"/>
        </w:rPr>
        <w:t>del documento</w:t>
      </w:r>
      <w:r w:rsidRPr="006A0C68">
        <w:rPr>
          <w:rFonts w:eastAsiaTheme="minorHAnsi"/>
          <w:i/>
          <w:szCs w:val="22"/>
          <w:lang w:eastAsia="en-US"/>
        </w:rPr>
        <w:t xml:space="preserve"> LI/A/32/4. </w:t>
      </w:r>
    </w:p>
    <w:p w:rsidR="00B655EA" w:rsidRPr="006A0C68" w:rsidRDefault="00B655EA" w:rsidP="00B655EA">
      <w:pPr>
        <w:rPr>
          <w:i/>
          <w:szCs w:val="22"/>
        </w:rPr>
      </w:pPr>
    </w:p>
    <w:p w:rsidR="00B655EA" w:rsidRPr="006A0C68" w:rsidRDefault="00B655EA" w:rsidP="00B655EA">
      <w:pPr>
        <w:rPr>
          <w:i/>
          <w:szCs w:val="22"/>
        </w:rPr>
      </w:pPr>
    </w:p>
    <w:p w:rsidR="00B655EA" w:rsidRPr="006A0C68" w:rsidRDefault="00B655EA" w:rsidP="00B655EA">
      <w:pPr>
        <w:rPr>
          <w:i/>
          <w:szCs w:val="22"/>
        </w:rPr>
      </w:pPr>
    </w:p>
    <w:p w:rsidR="00B655EA" w:rsidRPr="006A0C68" w:rsidRDefault="00B655EA" w:rsidP="00B655EA">
      <w:pPr>
        <w:pStyle w:val="Endofdocument-Annex"/>
        <w:rPr>
          <w:szCs w:val="22"/>
          <w:lang w:val="es-ES"/>
        </w:rPr>
      </w:pPr>
      <w:r w:rsidRPr="006A0C68">
        <w:rPr>
          <w:szCs w:val="22"/>
          <w:lang w:val="es-ES"/>
        </w:rPr>
        <w:t>[Sigue el Anexo]</w:t>
      </w:r>
    </w:p>
    <w:p w:rsidR="00B655EA" w:rsidRPr="006A0C68" w:rsidRDefault="00B655EA" w:rsidP="00B655EA">
      <w:pPr>
        <w:rPr>
          <w:i/>
        </w:rPr>
        <w:sectPr w:rsidR="00B655EA" w:rsidRPr="006A0C68" w:rsidSect="009A2676">
          <w:headerReference w:type="default" r:id="rId10"/>
          <w:endnotePr>
            <w:numFmt w:val="decimal"/>
          </w:endnotePr>
          <w:pgSz w:w="11907" w:h="16840" w:code="9"/>
          <w:pgMar w:top="567" w:right="1134" w:bottom="1418" w:left="1418" w:header="510" w:footer="1021" w:gutter="0"/>
          <w:cols w:space="720"/>
          <w:titlePg/>
          <w:docGrid w:linePitch="299"/>
        </w:sectPr>
      </w:pPr>
    </w:p>
    <w:p w:rsidR="00B655EA" w:rsidRPr="006A0C68" w:rsidRDefault="00B655EA" w:rsidP="00B655EA">
      <w:pPr>
        <w:tabs>
          <w:tab w:val="left" w:pos="6096"/>
        </w:tabs>
        <w:spacing w:after="220" w:line="276" w:lineRule="auto"/>
        <w:contextualSpacing/>
        <w:jc w:val="center"/>
        <w:rPr>
          <w:rFonts w:eastAsiaTheme="minorHAnsi"/>
          <w:b/>
          <w:szCs w:val="22"/>
          <w:lang w:eastAsia="en-US"/>
        </w:rPr>
      </w:pPr>
      <w:r w:rsidRPr="006A0C68">
        <w:rPr>
          <w:rFonts w:eastAsiaTheme="minorHAnsi"/>
          <w:b/>
          <w:szCs w:val="22"/>
          <w:lang w:eastAsia="en-US"/>
        </w:rPr>
        <w:lastRenderedPageBreak/>
        <w:t>ANEX</w:t>
      </w:r>
      <w:r w:rsidR="006A0C68">
        <w:rPr>
          <w:rFonts w:eastAsiaTheme="minorHAnsi"/>
          <w:b/>
          <w:szCs w:val="22"/>
          <w:lang w:eastAsia="en-US"/>
        </w:rPr>
        <w:t>O</w:t>
      </w:r>
    </w:p>
    <w:p w:rsidR="00B655EA" w:rsidRPr="006A0C68" w:rsidRDefault="00B655EA" w:rsidP="00B655EA">
      <w:pPr>
        <w:tabs>
          <w:tab w:val="left" w:pos="6096"/>
        </w:tabs>
        <w:spacing w:after="220" w:line="276" w:lineRule="auto"/>
        <w:contextualSpacing/>
        <w:jc w:val="center"/>
        <w:rPr>
          <w:rFonts w:eastAsiaTheme="minorHAnsi"/>
          <w:b/>
          <w:szCs w:val="22"/>
          <w:lang w:eastAsia="en-US"/>
        </w:rPr>
      </w:pPr>
    </w:p>
    <w:p w:rsidR="00B655EA" w:rsidRPr="006A0C68" w:rsidRDefault="00B655EA" w:rsidP="00B655EA">
      <w:pPr>
        <w:tabs>
          <w:tab w:val="left" w:pos="6096"/>
        </w:tabs>
        <w:spacing w:after="220" w:line="276" w:lineRule="auto"/>
        <w:contextualSpacing/>
        <w:jc w:val="center"/>
        <w:rPr>
          <w:rFonts w:eastAsiaTheme="minorHAnsi"/>
          <w:b/>
          <w:szCs w:val="22"/>
          <w:lang w:eastAsia="en-US"/>
        </w:rPr>
      </w:pPr>
      <w:r w:rsidRPr="006A0C68">
        <w:rPr>
          <w:rFonts w:eastAsiaTheme="minorHAnsi"/>
          <w:b/>
          <w:szCs w:val="22"/>
          <w:lang w:eastAsia="en-US"/>
        </w:rPr>
        <w:t>Contribu</w:t>
      </w:r>
      <w:r w:rsidR="0080114D" w:rsidRPr="006A0C68">
        <w:rPr>
          <w:rFonts w:eastAsiaTheme="minorHAnsi"/>
          <w:b/>
          <w:szCs w:val="22"/>
          <w:lang w:eastAsia="en-US"/>
        </w:rPr>
        <w:t xml:space="preserve">ciones al </w:t>
      </w:r>
      <w:r w:rsidR="006A0C68">
        <w:rPr>
          <w:rFonts w:eastAsiaTheme="minorHAnsi"/>
          <w:b/>
          <w:szCs w:val="22"/>
          <w:lang w:eastAsia="en-US"/>
        </w:rPr>
        <w:t>fondo de operaciones</w:t>
      </w:r>
      <w:r w:rsidR="0080114D" w:rsidRPr="006A0C68">
        <w:rPr>
          <w:rFonts w:eastAsiaTheme="minorHAnsi"/>
          <w:b/>
          <w:szCs w:val="22"/>
          <w:lang w:eastAsia="en-US"/>
        </w:rPr>
        <w:t xml:space="preserve"> para la Unión de Lisboa, 2016/17</w:t>
      </w:r>
    </w:p>
    <w:p w:rsidR="00B655EA" w:rsidRPr="006A0C68" w:rsidRDefault="00B655EA" w:rsidP="00B655EA">
      <w:pPr>
        <w:tabs>
          <w:tab w:val="left" w:pos="6096"/>
        </w:tabs>
        <w:spacing w:after="220" w:line="276" w:lineRule="auto"/>
        <w:contextualSpacing/>
        <w:jc w:val="center"/>
        <w:rPr>
          <w:rFonts w:eastAsiaTheme="minorHAnsi"/>
          <w:b/>
          <w:szCs w:val="22"/>
          <w:lang w:eastAsia="en-US"/>
        </w:rPr>
      </w:pPr>
      <w:r w:rsidRPr="006A0C68">
        <w:rPr>
          <w:rFonts w:eastAsiaTheme="minorHAnsi"/>
          <w:b/>
          <w:szCs w:val="22"/>
          <w:lang w:eastAsia="en-US"/>
        </w:rPr>
        <w:t>(Bas</w:t>
      </w:r>
      <w:r w:rsidR="0080114D" w:rsidRPr="006A0C68">
        <w:rPr>
          <w:rFonts w:eastAsiaTheme="minorHAnsi"/>
          <w:b/>
          <w:szCs w:val="22"/>
          <w:lang w:eastAsia="en-US"/>
        </w:rPr>
        <w:t xml:space="preserve">adas en las clases de contribución de los Estados </w:t>
      </w:r>
      <w:r w:rsidR="006A0C68">
        <w:rPr>
          <w:rFonts w:eastAsiaTheme="minorHAnsi"/>
          <w:b/>
          <w:szCs w:val="22"/>
          <w:lang w:eastAsia="en-US"/>
        </w:rPr>
        <w:t>m</w:t>
      </w:r>
      <w:r w:rsidR="0080114D" w:rsidRPr="006A0C68">
        <w:rPr>
          <w:rFonts w:eastAsiaTheme="minorHAnsi"/>
          <w:b/>
          <w:szCs w:val="22"/>
          <w:lang w:eastAsia="en-US"/>
        </w:rPr>
        <w:t>iembros</w:t>
      </w:r>
      <w:r w:rsidRPr="006A0C68">
        <w:rPr>
          <w:rFonts w:eastAsiaTheme="minorHAnsi"/>
          <w:b/>
          <w:szCs w:val="22"/>
          <w:lang w:eastAsia="en-US"/>
        </w:rPr>
        <w:t>*)</w:t>
      </w:r>
    </w:p>
    <w:p w:rsidR="00B655EA" w:rsidRPr="006A0C68" w:rsidRDefault="00B655EA" w:rsidP="00B655EA">
      <w:pPr>
        <w:tabs>
          <w:tab w:val="left" w:pos="6096"/>
        </w:tabs>
        <w:spacing w:after="220" w:line="276" w:lineRule="auto"/>
        <w:contextualSpacing/>
        <w:jc w:val="center"/>
        <w:rPr>
          <w:rFonts w:eastAsiaTheme="minorHAnsi"/>
          <w:b/>
          <w:szCs w:val="22"/>
          <w:lang w:eastAsia="en-US"/>
        </w:rPr>
      </w:pPr>
    </w:p>
    <w:p w:rsidR="00B655EA" w:rsidRPr="006A0C68" w:rsidRDefault="00B655EA" w:rsidP="00B655EA">
      <w:pPr>
        <w:tabs>
          <w:tab w:val="left" w:pos="6096"/>
        </w:tabs>
        <w:spacing w:after="220" w:line="276" w:lineRule="auto"/>
        <w:contextualSpacing/>
        <w:jc w:val="center"/>
        <w:rPr>
          <w:rFonts w:eastAsiaTheme="minorHAnsi"/>
          <w:b/>
          <w:szCs w:val="22"/>
          <w:lang w:eastAsia="en-US"/>
        </w:rPr>
      </w:pPr>
    </w:p>
    <w:p w:rsidR="007A366F" w:rsidRPr="00140F83" w:rsidRDefault="007A366F" w:rsidP="007A366F">
      <w:pPr>
        <w:jc w:val="center"/>
        <w:rPr>
          <w:rFonts w:eastAsia="Times New Roman"/>
          <w:b/>
          <w:szCs w:val="22"/>
        </w:rPr>
      </w:pPr>
      <w:r w:rsidRPr="00140F83">
        <w:rPr>
          <w:rFonts w:eastAsia="Times New Roman"/>
          <w:b/>
          <w:szCs w:val="22"/>
        </w:rPr>
        <w:t xml:space="preserve">SIMULACIÓN PRELIMINAR DE LA PROPORCIONALIDAD PARA LAS CUOTAS DE CONTRIBUCIÓN DE LA UNIÓN DE LISBOA BASADA EN LAS CLASES  DE CONTRIBUCIÓN DE LOS ESTADOS MIEMBROS </w:t>
      </w:r>
    </w:p>
    <w:p w:rsidR="007A366F" w:rsidRPr="00140F83" w:rsidRDefault="007A366F" w:rsidP="007A366F">
      <w:pPr>
        <w:jc w:val="center"/>
        <w:rPr>
          <w:rFonts w:eastAsia="Times New Roman"/>
          <w:i/>
          <w:iCs/>
          <w:sz w:val="20"/>
        </w:rPr>
      </w:pPr>
      <w:r w:rsidRPr="00140F83">
        <w:rPr>
          <w:rFonts w:eastAsia="Times New Roman"/>
          <w:i/>
          <w:iCs/>
          <w:sz w:val="20"/>
        </w:rPr>
        <w:t>(</w:t>
      </w:r>
      <w:proofErr w:type="gramStart"/>
      <w:r w:rsidRPr="00140F83">
        <w:rPr>
          <w:rFonts w:eastAsia="Times New Roman"/>
          <w:i/>
          <w:iCs/>
          <w:sz w:val="20"/>
        </w:rPr>
        <w:t>en</w:t>
      </w:r>
      <w:proofErr w:type="gramEnd"/>
      <w:r w:rsidRPr="00140F83">
        <w:rPr>
          <w:rFonts w:eastAsia="Times New Roman"/>
          <w:i/>
          <w:iCs/>
          <w:sz w:val="20"/>
        </w:rPr>
        <w:t xml:space="preserve"> el supuesto de que se necesiten contribuciones para sufragar un déficit de 100.000 francos suizos) </w:t>
      </w:r>
    </w:p>
    <w:p w:rsidR="007A366F" w:rsidRPr="00140F83" w:rsidRDefault="007A366F" w:rsidP="007A366F">
      <w:pPr>
        <w:rPr>
          <w:rFonts w:eastAsia="Times New Roman"/>
          <w:i/>
          <w:iCs/>
          <w:szCs w:val="22"/>
        </w:rPr>
      </w:pPr>
    </w:p>
    <w:p w:rsidR="007A366F" w:rsidRPr="00140F83" w:rsidRDefault="007A366F" w:rsidP="007A366F">
      <w:pPr>
        <w:ind w:left="6663"/>
        <w:rPr>
          <w:rFonts w:eastAsia="Times New Roman"/>
          <w:b/>
          <w:i/>
          <w:iCs/>
          <w:sz w:val="20"/>
          <w:szCs w:val="22"/>
        </w:rPr>
      </w:pPr>
      <w:r w:rsidRPr="00140F83">
        <w:rPr>
          <w:rFonts w:eastAsia="Times New Roman"/>
          <w:b/>
          <w:i/>
          <w:iCs/>
          <w:sz w:val="20"/>
          <w:szCs w:val="22"/>
        </w:rPr>
        <w:t>Cuota de contribución</w:t>
      </w:r>
    </w:p>
    <w:p w:rsidR="007A366F" w:rsidRPr="00140F83" w:rsidRDefault="007A366F" w:rsidP="007A366F">
      <w:pPr>
        <w:spacing w:after="120"/>
        <w:ind w:left="6663"/>
        <w:rPr>
          <w:rFonts w:eastAsia="Times New Roman"/>
          <w:i/>
          <w:iCs/>
          <w:sz w:val="20"/>
          <w:szCs w:val="22"/>
        </w:rPr>
      </w:pPr>
      <w:r w:rsidRPr="00140F83">
        <w:rPr>
          <w:rFonts w:eastAsia="Times New Roman"/>
          <w:i/>
          <w:iCs/>
          <w:sz w:val="20"/>
          <w:szCs w:val="22"/>
        </w:rPr>
        <w:t>(</w:t>
      </w:r>
      <w:proofErr w:type="gramStart"/>
      <w:r w:rsidRPr="00140F83">
        <w:rPr>
          <w:rFonts w:eastAsia="Times New Roman"/>
          <w:i/>
          <w:iCs/>
          <w:sz w:val="20"/>
          <w:szCs w:val="22"/>
        </w:rPr>
        <w:t>en</w:t>
      </w:r>
      <w:proofErr w:type="gramEnd"/>
      <w:r w:rsidRPr="00140F83">
        <w:rPr>
          <w:rFonts w:eastAsia="Times New Roman"/>
          <w:i/>
          <w:iCs/>
          <w:sz w:val="20"/>
          <w:szCs w:val="22"/>
        </w:rPr>
        <w:t xml:space="preserve"> francos suizos)</w:t>
      </w:r>
    </w:p>
    <w:tbl>
      <w:tblPr>
        <w:tblW w:w="7705" w:type="dxa"/>
        <w:jc w:val="center"/>
        <w:tblInd w:w="93" w:type="dxa"/>
        <w:tblLook w:val="04A0" w:firstRow="1" w:lastRow="0" w:firstColumn="1" w:lastColumn="0" w:noHBand="0" w:noVBand="1"/>
      </w:tblPr>
      <w:tblGrid>
        <w:gridCol w:w="2620"/>
        <w:gridCol w:w="1820"/>
        <w:gridCol w:w="1525"/>
        <w:gridCol w:w="1740"/>
      </w:tblGrid>
      <w:tr w:rsidR="007A366F" w:rsidRPr="00140F83" w:rsidTr="005212E5">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7A366F" w:rsidRPr="00140F83" w:rsidRDefault="007A366F" w:rsidP="005212E5">
            <w:pPr>
              <w:jc w:val="center"/>
              <w:rPr>
                <w:rFonts w:eastAsia="Times New Roman"/>
                <w:b/>
                <w:i/>
                <w:iCs/>
                <w:sz w:val="20"/>
                <w:lang w:eastAsia="en-US"/>
              </w:rPr>
            </w:pPr>
            <w:r w:rsidRPr="00140F83">
              <w:rPr>
                <w:rFonts w:eastAsia="Times New Roman"/>
                <w:b/>
                <w:i/>
                <w:iCs/>
                <w:sz w:val="20"/>
                <w:lang w:eastAsia="en-US"/>
              </w:rPr>
              <w:t>País</w:t>
            </w:r>
          </w:p>
        </w:tc>
        <w:tc>
          <w:tcPr>
            <w:tcW w:w="1820" w:type="dxa"/>
            <w:tcBorders>
              <w:top w:val="single" w:sz="4" w:space="0" w:color="auto"/>
              <w:left w:val="nil"/>
              <w:bottom w:val="single" w:sz="4" w:space="0" w:color="auto"/>
              <w:right w:val="nil"/>
            </w:tcBorders>
            <w:shd w:val="clear" w:color="000000" w:fill="C5D9F1"/>
            <w:noWrap/>
            <w:vAlign w:val="center"/>
            <w:hideMark/>
          </w:tcPr>
          <w:p w:rsidR="007A366F" w:rsidRPr="00140F83" w:rsidRDefault="007A366F" w:rsidP="005212E5">
            <w:pPr>
              <w:jc w:val="center"/>
              <w:rPr>
                <w:rFonts w:eastAsia="Times New Roman"/>
                <w:b/>
                <w:i/>
                <w:iCs/>
                <w:sz w:val="20"/>
                <w:lang w:eastAsia="en-US"/>
              </w:rPr>
            </w:pPr>
            <w:r w:rsidRPr="00140F83">
              <w:rPr>
                <w:rFonts w:eastAsia="Times New Roman"/>
                <w:b/>
                <w:i/>
                <w:iCs/>
                <w:sz w:val="20"/>
                <w:lang w:eastAsia="en-US"/>
              </w:rPr>
              <w:t>Clase</w:t>
            </w:r>
          </w:p>
        </w:tc>
        <w:tc>
          <w:tcPr>
            <w:tcW w:w="1525" w:type="dxa"/>
            <w:tcBorders>
              <w:top w:val="single" w:sz="4" w:space="0" w:color="auto"/>
              <w:left w:val="single" w:sz="4" w:space="0" w:color="auto"/>
              <w:bottom w:val="single" w:sz="4" w:space="0" w:color="auto"/>
              <w:right w:val="nil"/>
            </w:tcBorders>
            <w:shd w:val="clear" w:color="000000" w:fill="C5D9F1"/>
            <w:noWrap/>
            <w:vAlign w:val="center"/>
            <w:hideMark/>
          </w:tcPr>
          <w:p w:rsidR="007A366F" w:rsidRPr="00140F83" w:rsidRDefault="007A366F" w:rsidP="005212E5">
            <w:pPr>
              <w:jc w:val="center"/>
              <w:rPr>
                <w:rFonts w:eastAsia="Times New Roman"/>
                <w:b/>
                <w:i/>
                <w:iCs/>
                <w:sz w:val="20"/>
                <w:lang w:eastAsia="en-US"/>
              </w:rPr>
            </w:pPr>
            <w:r w:rsidRPr="00140F83">
              <w:rPr>
                <w:rFonts w:eastAsia="Times New Roman"/>
                <w:b/>
                <w:i/>
                <w:iCs/>
                <w:sz w:val="20"/>
                <w:lang w:eastAsia="en-US"/>
              </w:rPr>
              <w:t>Unidades/</w:t>
            </w:r>
          </w:p>
          <w:p w:rsidR="007A366F" w:rsidRPr="00140F83" w:rsidRDefault="007A366F" w:rsidP="005212E5">
            <w:pPr>
              <w:jc w:val="center"/>
              <w:rPr>
                <w:rFonts w:eastAsia="Times New Roman"/>
                <w:b/>
                <w:i/>
                <w:iCs/>
                <w:sz w:val="20"/>
                <w:lang w:eastAsia="en-US"/>
              </w:rPr>
            </w:pPr>
            <w:r w:rsidRPr="00140F83">
              <w:rPr>
                <w:rFonts w:eastAsia="Times New Roman"/>
                <w:b/>
                <w:i/>
                <w:iCs/>
                <w:sz w:val="20"/>
                <w:lang w:eastAsia="en-US"/>
              </w:rPr>
              <w:t>Ponderación</w:t>
            </w:r>
          </w:p>
        </w:tc>
        <w:tc>
          <w:tcPr>
            <w:tcW w:w="1740" w:type="dxa"/>
            <w:tcBorders>
              <w:top w:val="single" w:sz="4" w:space="0" w:color="auto"/>
              <w:left w:val="nil"/>
              <w:bottom w:val="single" w:sz="4" w:space="0" w:color="auto"/>
              <w:right w:val="single" w:sz="4" w:space="0" w:color="auto"/>
            </w:tcBorders>
            <w:shd w:val="clear" w:color="000000" w:fill="C5D9F1"/>
            <w:noWrap/>
            <w:vAlign w:val="center"/>
            <w:hideMark/>
          </w:tcPr>
          <w:p w:rsidR="007A366F" w:rsidRPr="00140F83" w:rsidRDefault="007A366F" w:rsidP="005212E5">
            <w:pPr>
              <w:jc w:val="center"/>
              <w:rPr>
                <w:rFonts w:eastAsia="Times New Roman"/>
                <w:b/>
                <w:i/>
                <w:iCs/>
                <w:sz w:val="20"/>
                <w:lang w:eastAsia="en-US"/>
              </w:rPr>
            </w:pPr>
            <w:r w:rsidRPr="00140F83">
              <w:rPr>
                <w:rFonts w:eastAsia="Times New Roman"/>
                <w:b/>
                <w:i/>
                <w:iCs/>
                <w:sz w:val="20"/>
                <w:lang w:eastAsia="en-US"/>
              </w:rPr>
              <w:t>Cuantía de la cuota</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Argelia</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IX</w:t>
            </w:r>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6</w:t>
            </w:r>
            <w:r>
              <w:rPr>
                <w:rFonts w:eastAsia="Times New Roman"/>
                <w:sz w:val="20"/>
                <w:lang w:val="fr-CH" w:eastAsia="en-US"/>
              </w:rPr>
              <w:t>.</w:t>
            </w:r>
            <w:r w:rsidRPr="00166559">
              <w:rPr>
                <w:rFonts w:eastAsia="Times New Roman"/>
                <w:sz w:val="20"/>
                <w:lang w:val="fr-CH" w:eastAsia="en-US"/>
              </w:rPr>
              <w:t>935</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Bosnia y Herzegovina</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proofErr w:type="spellStart"/>
            <w:r w:rsidRPr="00140F83">
              <w:rPr>
                <w:rFonts w:eastAsia="Times New Roman"/>
                <w:sz w:val="18"/>
                <w:szCs w:val="18"/>
                <w:lang w:eastAsia="en-US"/>
              </w:rPr>
              <w:t>S</w:t>
            </w:r>
            <w:r w:rsidRPr="00140F83">
              <w:rPr>
                <w:rFonts w:eastAsia="Times New Roman"/>
                <w:i/>
                <w:iCs/>
                <w:sz w:val="18"/>
                <w:szCs w:val="18"/>
                <w:lang w:eastAsia="en-US"/>
              </w:rPr>
              <w:t>bis</w:t>
            </w:r>
            <w:proofErr w:type="spellEnd"/>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1</w:t>
            </w:r>
            <w:r>
              <w:rPr>
                <w:rFonts w:eastAsia="Times New Roman"/>
                <w:sz w:val="20"/>
                <w:lang w:val="fr-CH" w:eastAsia="en-US"/>
              </w:rPr>
              <w:t>.</w:t>
            </w:r>
            <w:r w:rsidRPr="00166559">
              <w:rPr>
                <w:rFonts w:eastAsia="Times New Roman"/>
                <w:sz w:val="20"/>
                <w:lang w:val="fr-CH" w:eastAsia="en-US"/>
              </w:rPr>
              <w:t>734</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Bulgaria</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proofErr w:type="spellStart"/>
            <w:r w:rsidRPr="00140F83">
              <w:rPr>
                <w:rFonts w:eastAsia="Times New Roman"/>
                <w:sz w:val="18"/>
                <w:szCs w:val="18"/>
                <w:lang w:eastAsia="en-US"/>
              </w:rPr>
              <w:t>VI</w:t>
            </w:r>
            <w:r w:rsidRPr="00140F83">
              <w:rPr>
                <w:rFonts w:eastAsia="Times New Roman"/>
                <w:i/>
                <w:iCs/>
                <w:sz w:val="18"/>
                <w:szCs w:val="18"/>
                <w:lang w:eastAsia="en-US"/>
              </w:rPr>
              <w:t>bis</w:t>
            </w:r>
            <w:proofErr w:type="spellEnd"/>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2</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55</w:t>
            </w:r>
            <w:r>
              <w:rPr>
                <w:rFonts w:eastAsia="Times New Roman"/>
                <w:sz w:val="20"/>
                <w:lang w:val="fr-CH" w:eastAsia="en-US"/>
              </w:rPr>
              <w:t>.</w:t>
            </w:r>
            <w:r w:rsidRPr="00166559">
              <w:rPr>
                <w:rFonts w:eastAsia="Times New Roman"/>
                <w:sz w:val="20"/>
                <w:lang w:val="fr-CH" w:eastAsia="en-US"/>
              </w:rPr>
              <w:t>483</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Burkina Faso</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proofErr w:type="spellStart"/>
            <w:r w:rsidRPr="00140F83">
              <w:rPr>
                <w:rFonts w:eastAsia="Times New Roman"/>
                <w:sz w:val="18"/>
                <w:szCs w:val="18"/>
                <w:lang w:eastAsia="en-US"/>
              </w:rPr>
              <w:t>S</w:t>
            </w:r>
            <w:r w:rsidRPr="00140F83">
              <w:rPr>
                <w:rFonts w:eastAsia="Times New Roman"/>
                <w:i/>
                <w:iCs/>
                <w:sz w:val="18"/>
                <w:szCs w:val="18"/>
                <w:lang w:eastAsia="en-US"/>
              </w:rPr>
              <w:t>ter</w:t>
            </w:r>
            <w:proofErr w:type="spellEnd"/>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0,03125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867</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 xml:space="preserve">Congo </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proofErr w:type="spellStart"/>
            <w:r w:rsidRPr="00140F83">
              <w:rPr>
                <w:rFonts w:eastAsia="Times New Roman"/>
                <w:sz w:val="18"/>
                <w:szCs w:val="18"/>
                <w:lang w:eastAsia="en-US"/>
              </w:rPr>
              <w:t>S</w:t>
            </w:r>
            <w:r w:rsidRPr="00140F83">
              <w:rPr>
                <w:rFonts w:eastAsia="Times New Roman"/>
                <w:i/>
                <w:iCs/>
                <w:sz w:val="18"/>
                <w:szCs w:val="18"/>
                <w:lang w:eastAsia="en-US"/>
              </w:rPr>
              <w:t>bis</w:t>
            </w:r>
            <w:proofErr w:type="spellEnd"/>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1</w:t>
            </w:r>
            <w:r>
              <w:rPr>
                <w:rFonts w:eastAsia="Times New Roman"/>
                <w:sz w:val="20"/>
                <w:lang w:val="fr-CH" w:eastAsia="en-US"/>
              </w:rPr>
              <w:t>.</w:t>
            </w:r>
            <w:r w:rsidRPr="00166559">
              <w:rPr>
                <w:rFonts w:eastAsia="Times New Roman"/>
                <w:sz w:val="20"/>
                <w:lang w:val="fr-CH" w:eastAsia="en-US"/>
              </w:rPr>
              <w:t>734</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Costa Rica</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S</w:t>
            </w:r>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3</w:t>
            </w:r>
            <w:r>
              <w:rPr>
                <w:rFonts w:eastAsia="Times New Roman"/>
                <w:sz w:val="20"/>
                <w:lang w:val="fr-CH" w:eastAsia="en-US"/>
              </w:rPr>
              <w:t>.</w:t>
            </w:r>
            <w:r w:rsidRPr="00166559">
              <w:rPr>
                <w:rFonts w:eastAsia="Times New Roman"/>
                <w:sz w:val="20"/>
                <w:lang w:val="fr-CH" w:eastAsia="en-US"/>
              </w:rPr>
              <w:t>468</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Cuba</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S</w:t>
            </w:r>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3</w:t>
            </w:r>
            <w:r>
              <w:rPr>
                <w:rFonts w:eastAsia="Times New Roman"/>
                <w:sz w:val="20"/>
                <w:lang w:val="fr-CH" w:eastAsia="en-US"/>
              </w:rPr>
              <w:t>.</w:t>
            </w:r>
            <w:r w:rsidRPr="00166559">
              <w:rPr>
                <w:rFonts w:eastAsia="Times New Roman"/>
                <w:sz w:val="20"/>
                <w:lang w:val="fr-CH" w:eastAsia="en-US"/>
              </w:rPr>
              <w:t>468</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482113" w:rsidRDefault="007A366F" w:rsidP="005212E5">
            <w:pPr>
              <w:rPr>
                <w:rFonts w:eastAsia="Times New Roman"/>
                <w:sz w:val="18"/>
                <w:szCs w:val="18"/>
                <w:lang w:eastAsia="en-US"/>
              </w:rPr>
            </w:pPr>
            <w:r w:rsidRPr="00482113">
              <w:rPr>
                <w:rFonts w:eastAsia="Times New Roman"/>
                <w:sz w:val="18"/>
                <w:szCs w:val="18"/>
                <w:lang w:eastAsia="en-US"/>
              </w:rPr>
              <w:t>Eslovaquia</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VI</w:t>
            </w:r>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13</w:t>
            </w:r>
            <w:r>
              <w:rPr>
                <w:rFonts w:eastAsia="Times New Roman"/>
                <w:sz w:val="20"/>
                <w:lang w:val="fr-CH" w:eastAsia="en-US"/>
              </w:rPr>
              <w:t>.</w:t>
            </w:r>
            <w:r w:rsidRPr="00166559">
              <w:rPr>
                <w:rFonts w:eastAsia="Times New Roman"/>
                <w:sz w:val="20"/>
                <w:lang w:val="fr-CH" w:eastAsia="en-US"/>
              </w:rPr>
              <w:t>871</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482113" w:rsidRDefault="007A366F" w:rsidP="005212E5">
            <w:pPr>
              <w:ind w:left="129" w:hanging="129"/>
              <w:rPr>
                <w:rFonts w:eastAsia="Times New Roman"/>
                <w:sz w:val="18"/>
                <w:szCs w:val="18"/>
                <w:lang w:eastAsia="en-US"/>
              </w:rPr>
            </w:pPr>
            <w:r w:rsidRPr="00482113">
              <w:rPr>
                <w:rFonts w:eastAsia="Times New Roman"/>
                <w:sz w:val="18"/>
                <w:szCs w:val="18"/>
                <w:lang w:eastAsia="en-US"/>
              </w:rPr>
              <w:t xml:space="preserve">ex República Yugoslava de Macedonia </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VIII</w:t>
            </w:r>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693</w:t>
            </w:r>
            <w:r>
              <w:rPr>
                <w:rFonts w:eastAsia="Times New Roman"/>
                <w:sz w:val="20"/>
                <w:lang w:val="fr-CH" w:eastAsia="en-US"/>
              </w:rPr>
              <w:t>.</w:t>
            </w:r>
            <w:r w:rsidRPr="00166559">
              <w:rPr>
                <w:rFonts w:eastAsia="Times New Roman"/>
                <w:sz w:val="20"/>
                <w:lang w:val="fr-CH" w:eastAsia="en-US"/>
              </w:rPr>
              <w:t>541</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Francia</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I</w:t>
            </w:r>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3</w:t>
            </w:r>
            <w:r>
              <w:rPr>
                <w:rFonts w:eastAsia="Times New Roman"/>
                <w:sz w:val="20"/>
                <w:lang w:val="fr-CH" w:eastAsia="en-US"/>
              </w:rPr>
              <w:t>.</w:t>
            </w:r>
            <w:r w:rsidRPr="00166559">
              <w:rPr>
                <w:rFonts w:eastAsia="Times New Roman"/>
                <w:sz w:val="20"/>
                <w:lang w:val="fr-CH" w:eastAsia="en-US"/>
              </w:rPr>
              <w:t>468</w:t>
            </w:r>
          </w:p>
        </w:tc>
      </w:tr>
      <w:tr w:rsidR="007A366F" w:rsidRPr="00140F83" w:rsidTr="00970222">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Gabón</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S</w:t>
            </w:r>
          </w:p>
        </w:tc>
        <w:tc>
          <w:tcPr>
            <w:tcW w:w="1525" w:type="dxa"/>
            <w:tcBorders>
              <w:top w:val="nil"/>
              <w:left w:val="nil"/>
              <w:bottom w:val="nil"/>
              <w:right w:val="nil"/>
            </w:tcBorders>
            <w:shd w:val="clear" w:color="auto" w:fill="auto"/>
            <w:noWrap/>
            <w:vAlign w:val="center"/>
            <w:hideMark/>
          </w:tcPr>
          <w:p w:rsidR="007A366F" w:rsidRPr="00166559" w:rsidRDefault="007A366F" w:rsidP="005212E5">
            <w:pPr>
              <w:jc w:val="right"/>
              <w:rPr>
                <w:rFonts w:eastAsia="Times New Roman"/>
                <w:sz w:val="18"/>
                <w:szCs w:val="18"/>
                <w:lang w:val="fr-CH" w:eastAsia="en-US"/>
              </w:rPr>
            </w:pPr>
            <w:r w:rsidRPr="00166559">
              <w:rPr>
                <w:rFonts w:eastAsia="Times New Roman"/>
                <w:sz w:val="18"/>
                <w:szCs w:val="18"/>
                <w:lang w:val="fr-CH" w:eastAsia="en-US"/>
              </w:rPr>
              <w:t>0,25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6</w:t>
            </w:r>
            <w:r>
              <w:rPr>
                <w:rFonts w:eastAsia="Times New Roman"/>
                <w:sz w:val="20"/>
                <w:lang w:val="fr-CH" w:eastAsia="en-US"/>
              </w:rPr>
              <w:t>.</w:t>
            </w:r>
            <w:r w:rsidRPr="00166559">
              <w:rPr>
                <w:rFonts w:eastAsia="Times New Roman"/>
                <w:sz w:val="20"/>
                <w:lang w:val="fr-CH" w:eastAsia="en-US"/>
              </w:rPr>
              <w:t>935</w:t>
            </w:r>
          </w:p>
        </w:tc>
      </w:tr>
      <w:tr w:rsidR="007A366F" w:rsidRPr="00140F83" w:rsidTr="00970222">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Georgia</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IX</w:t>
            </w:r>
          </w:p>
        </w:tc>
        <w:tc>
          <w:tcPr>
            <w:tcW w:w="1525" w:type="dxa"/>
            <w:tcBorders>
              <w:top w:val="nil"/>
              <w:left w:val="nil"/>
              <w:bottom w:val="nil"/>
              <w:right w:val="nil"/>
            </w:tcBorders>
            <w:shd w:val="clear" w:color="auto" w:fill="auto"/>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0,03125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867</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Haití</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proofErr w:type="spellStart"/>
            <w:r w:rsidRPr="00140F83">
              <w:rPr>
                <w:rFonts w:eastAsia="Times New Roman"/>
                <w:sz w:val="18"/>
                <w:szCs w:val="18"/>
                <w:lang w:eastAsia="en-US"/>
              </w:rPr>
              <w:t>S</w:t>
            </w:r>
            <w:r w:rsidRPr="00140F83">
              <w:rPr>
                <w:rFonts w:eastAsia="Times New Roman"/>
                <w:i/>
                <w:iCs/>
                <w:sz w:val="18"/>
                <w:szCs w:val="18"/>
                <w:lang w:eastAsia="en-US"/>
              </w:rPr>
              <w:t>ter</w:t>
            </w:r>
            <w:proofErr w:type="spellEnd"/>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3</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83</w:t>
            </w:r>
            <w:r>
              <w:rPr>
                <w:rFonts w:eastAsia="Times New Roman"/>
                <w:sz w:val="20"/>
                <w:lang w:val="fr-CH" w:eastAsia="en-US"/>
              </w:rPr>
              <w:t>.</w:t>
            </w:r>
            <w:r w:rsidRPr="00166559">
              <w:rPr>
                <w:rFonts w:eastAsia="Times New Roman"/>
                <w:sz w:val="20"/>
                <w:lang w:val="fr-CH" w:eastAsia="en-US"/>
              </w:rPr>
              <w:t>225</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Hungría</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VI</w:t>
            </w:r>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1</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27</w:t>
            </w:r>
            <w:r>
              <w:rPr>
                <w:rFonts w:eastAsia="Times New Roman"/>
                <w:sz w:val="20"/>
                <w:lang w:val="fr-CH" w:eastAsia="en-US"/>
              </w:rPr>
              <w:t>.</w:t>
            </w:r>
            <w:r w:rsidRPr="00166559">
              <w:rPr>
                <w:rFonts w:eastAsia="Times New Roman"/>
                <w:sz w:val="20"/>
                <w:lang w:val="fr-CH" w:eastAsia="en-US"/>
              </w:rPr>
              <w:t>742</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Irán (República Islámica del)</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VII</w:t>
            </w:r>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2</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55</w:t>
            </w:r>
            <w:r>
              <w:rPr>
                <w:rFonts w:eastAsia="Times New Roman"/>
                <w:sz w:val="20"/>
                <w:lang w:val="fr-CH" w:eastAsia="en-US"/>
              </w:rPr>
              <w:t>.</w:t>
            </w:r>
            <w:r w:rsidRPr="00166559">
              <w:rPr>
                <w:rFonts w:eastAsia="Times New Roman"/>
                <w:sz w:val="20"/>
                <w:lang w:val="fr-CH" w:eastAsia="en-US"/>
              </w:rPr>
              <w:t>483</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Israel</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proofErr w:type="spellStart"/>
            <w:r w:rsidRPr="00140F83">
              <w:rPr>
                <w:rFonts w:eastAsia="Times New Roman"/>
                <w:sz w:val="18"/>
                <w:szCs w:val="18"/>
                <w:lang w:eastAsia="en-US"/>
              </w:rPr>
              <w:t>VI</w:t>
            </w:r>
            <w:r w:rsidRPr="00140F83">
              <w:rPr>
                <w:rFonts w:eastAsia="Times New Roman"/>
                <w:i/>
                <w:iCs/>
                <w:sz w:val="18"/>
                <w:szCs w:val="18"/>
                <w:lang w:eastAsia="en-US"/>
              </w:rPr>
              <w:t>bis</w:t>
            </w:r>
            <w:proofErr w:type="spellEnd"/>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15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416</w:t>
            </w:r>
            <w:r>
              <w:rPr>
                <w:rFonts w:eastAsia="Times New Roman"/>
                <w:sz w:val="20"/>
                <w:lang w:val="fr-CH" w:eastAsia="en-US"/>
              </w:rPr>
              <w:t>.</w:t>
            </w:r>
            <w:r w:rsidRPr="00166559">
              <w:rPr>
                <w:rFonts w:eastAsia="Times New Roman"/>
                <w:sz w:val="20"/>
                <w:lang w:val="fr-CH" w:eastAsia="en-US"/>
              </w:rPr>
              <w:t>125</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Italia</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III</w:t>
            </w:r>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7,5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208</w:t>
            </w:r>
            <w:r>
              <w:rPr>
                <w:rFonts w:eastAsia="Times New Roman"/>
                <w:sz w:val="20"/>
                <w:lang w:val="fr-CH" w:eastAsia="en-US"/>
              </w:rPr>
              <w:t>.</w:t>
            </w:r>
            <w:r w:rsidRPr="00166559">
              <w:rPr>
                <w:rFonts w:eastAsia="Times New Roman"/>
                <w:sz w:val="20"/>
                <w:lang w:val="fr-CH" w:eastAsia="en-US"/>
              </w:rPr>
              <w:t>062</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México</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proofErr w:type="spellStart"/>
            <w:r w:rsidRPr="00140F83">
              <w:rPr>
                <w:rFonts w:eastAsia="Times New Roman"/>
                <w:sz w:val="18"/>
                <w:szCs w:val="18"/>
                <w:lang w:eastAsia="en-US"/>
              </w:rPr>
              <w:t>IV</w:t>
            </w:r>
            <w:r w:rsidRPr="00140F83">
              <w:rPr>
                <w:rFonts w:eastAsia="Times New Roman"/>
                <w:i/>
                <w:iCs/>
                <w:sz w:val="18"/>
                <w:szCs w:val="18"/>
                <w:lang w:eastAsia="en-US"/>
              </w:rPr>
              <w:t>bis</w:t>
            </w:r>
            <w:proofErr w:type="spellEnd"/>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6</w:t>
            </w:r>
            <w:r>
              <w:rPr>
                <w:rFonts w:eastAsia="Times New Roman"/>
                <w:sz w:val="20"/>
                <w:lang w:val="fr-CH" w:eastAsia="en-US"/>
              </w:rPr>
              <w:t>.</w:t>
            </w:r>
            <w:r w:rsidRPr="00166559">
              <w:rPr>
                <w:rFonts w:eastAsia="Times New Roman"/>
                <w:sz w:val="20"/>
                <w:lang w:val="fr-CH" w:eastAsia="en-US"/>
              </w:rPr>
              <w:t>935</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Montenegro</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IX</w:t>
            </w:r>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1</w:t>
            </w:r>
            <w:r>
              <w:rPr>
                <w:rFonts w:eastAsia="Times New Roman"/>
                <w:sz w:val="20"/>
                <w:lang w:val="fr-CH" w:eastAsia="en-US"/>
              </w:rPr>
              <w:t>.</w:t>
            </w:r>
            <w:r w:rsidRPr="00166559">
              <w:rPr>
                <w:rFonts w:eastAsia="Times New Roman"/>
                <w:sz w:val="20"/>
                <w:lang w:val="fr-CH" w:eastAsia="en-US"/>
              </w:rPr>
              <w:t>734</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Nicaragua</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proofErr w:type="spellStart"/>
            <w:r w:rsidRPr="00140F83">
              <w:rPr>
                <w:rFonts w:eastAsia="Times New Roman"/>
                <w:sz w:val="18"/>
                <w:szCs w:val="18"/>
                <w:lang w:eastAsia="en-US"/>
              </w:rPr>
              <w:t>S</w:t>
            </w:r>
            <w:r w:rsidRPr="00140F83">
              <w:rPr>
                <w:rFonts w:eastAsia="Times New Roman"/>
                <w:i/>
                <w:iCs/>
                <w:sz w:val="18"/>
                <w:szCs w:val="18"/>
                <w:lang w:eastAsia="en-US"/>
              </w:rPr>
              <w:t>bis</w:t>
            </w:r>
            <w:proofErr w:type="spellEnd"/>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6</w:t>
            </w:r>
            <w:r>
              <w:rPr>
                <w:rFonts w:eastAsia="Times New Roman"/>
                <w:sz w:val="20"/>
                <w:lang w:val="fr-CH" w:eastAsia="en-US"/>
              </w:rPr>
              <w:t>.</w:t>
            </w:r>
            <w:r w:rsidRPr="00166559">
              <w:rPr>
                <w:rFonts w:eastAsia="Times New Roman"/>
                <w:sz w:val="20"/>
                <w:lang w:val="fr-CH" w:eastAsia="en-US"/>
              </w:rPr>
              <w:t>935</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Perú</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IX</w:t>
            </w:r>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7,5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208</w:t>
            </w:r>
            <w:r>
              <w:rPr>
                <w:rFonts w:eastAsia="Times New Roman"/>
                <w:sz w:val="20"/>
                <w:lang w:val="fr-CH" w:eastAsia="en-US"/>
              </w:rPr>
              <w:t>.</w:t>
            </w:r>
            <w:r w:rsidRPr="00166559">
              <w:rPr>
                <w:rFonts w:eastAsia="Times New Roman"/>
                <w:sz w:val="20"/>
                <w:lang w:val="fr-CH" w:eastAsia="en-US"/>
              </w:rPr>
              <w:t>062</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Portugal</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proofErr w:type="spellStart"/>
            <w:r w:rsidRPr="00140F83">
              <w:rPr>
                <w:rFonts w:eastAsia="Times New Roman"/>
                <w:sz w:val="18"/>
                <w:szCs w:val="18"/>
                <w:lang w:eastAsia="en-US"/>
              </w:rPr>
              <w:t>IV</w:t>
            </w:r>
            <w:r w:rsidRPr="00140F83">
              <w:rPr>
                <w:rFonts w:eastAsia="Times New Roman"/>
                <w:i/>
                <w:iCs/>
                <w:sz w:val="18"/>
                <w:szCs w:val="18"/>
                <w:lang w:eastAsia="en-US"/>
              </w:rPr>
              <w:t>bis</w:t>
            </w:r>
            <w:proofErr w:type="spellEnd"/>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6</w:t>
            </w:r>
            <w:r>
              <w:rPr>
                <w:rFonts w:eastAsia="Times New Roman"/>
                <w:sz w:val="20"/>
                <w:lang w:val="fr-CH" w:eastAsia="en-US"/>
              </w:rPr>
              <w:t>.</w:t>
            </w:r>
            <w:r w:rsidRPr="00166559">
              <w:rPr>
                <w:rFonts w:eastAsia="Times New Roman"/>
                <w:sz w:val="20"/>
                <w:lang w:val="fr-CH" w:eastAsia="en-US"/>
              </w:rPr>
              <w:t>935</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482113" w:rsidRDefault="007A366F" w:rsidP="005212E5">
            <w:pPr>
              <w:rPr>
                <w:rFonts w:eastAsia="Times New Roman"/>
                <w:sz w:val="18"/>
                <w:szCs w:val="18"/>
                <w:lang w:eastAsia="en-US"/>
              </w:rPr>
            </w:pPr>
            <w:r w:rsidRPr="00482113">
              <w:rPr>
                <w:rFonts w:eastAsia="Times New Roman"/>
                <w:sz w:val="18"/>
                <w:szCs w:val="18"/>
                <w:lang w:eastAsia="en-US"/>
              </w:rPr>
              <w:t xml:space="preserve">República Checa </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VI</w:t>
            </w:r>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1</w:t>
            </w:r>
            <w:r>
              <w:rPr>
                <w:rFonts w:eastAsia="Times New Roman"/>
                <w:sz w:val="20"/>
                <w:lang w:val="fr-CH" w:eastAsia="en-US"/>
              </w:rPr>
              <w:t>.</w:t>
            </w:r>
            <w:r w:rsidRPr="00166559">
              <w:rPr>
                <w:rFonts w:eastAsia="Times New Roman"/>
                <w:sz w:val="20"/>
                <w:lang w:val="fr-CH" w:eastAsia="en-US"/>
              </w:rPr>
              <w:t>734</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 xml:space="preserve">República de Moldova </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IX</w:t>
            </w:r>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3</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83</w:t>
            </w:r>
            <w:r>
              <w:rPr>
                <w:rFonts w:eastAsia="Times New Roman"/>
                <w:sz w:val="20"/>
                <w:lang w:val="fr-CH" w:eastAsia="en-US"/>
              </w:rPr>
              <w:t>.</w:t>
            </w:r>
            <w:r w:rsidRPr="00166559">
              <w:rPr>
                <w:rFonts w:eastAsia="Times New Roman"/>
                <w:sz w:val="20"/>
                <w:lang w:val="fr-CH" w:eastAsia="en-US"/>
              </w:rPr>
              <w:t>225</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482113" w:rsidRDefault="007A366F" w:rsidP="005212E5">
            <w:pPr>
              <w:ind w:left="129" w:hanging="129"/>
              <w:rPr>
                <w:rFonts w:eastAsia="Times New Roman"/>
                <w:sz w:val="18"/>
                <w:szCs w:val="18"/>
                <w:lang w:eastAsia="en-US"/>
              </w:rPr>
            </w:pPr>
            <w:r w:rsidRPr="00482113">
              <w:rPr>
                <w:rFonts w:eastAsia="Times New Roman"/>
                <w:sz w:val="18"/>
                <w:szCs w:val="18"/>
                <w:lang w:eastAsia="en-US"/>
              </w:rPr>
              <w:t>República Popular Democrática de Corea</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proofErr w:type="spellStart"/>
            <w:r w:rsidRPr="00140F83">
              <w:rPr>
                <w:rFonts w:eastAsia="Times New Roman"/>
                <w:sz w:val="18"/>
                <w:szCs w:val="18"/>
                <w:lang w:eastAsia="en-US"/>
              </w:rPr>
              <w:t>S</w:t>
            </w:r>
            <w:r w:rsidRPr="00196B98">
              <w:rPr>
                <w:rFonts w:eastAsia="Times New Roman"/>
                <w:i/>
                <w:iCs/>
                <w:sz w:val="18"/>
                <w:szCs w:val="18"/>
                <w:lang w:eastAsia="en-US"/>
              </w:rPr>
              <w:t>bis</w:t>
            </w:r>
            <w:proofErr w:type="spellEnd"/>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13</w:t>
            </w:r>
            <w:r>
              <w:rPr>
                <w:rFonts w:eastAsia="Times New Roman"/>
                <w:sz w:val="20"/>
                <w:lang w:val="fr-CH" w:eastAsia="en-US"/>
              </w:rPr>
              <w:t>.</w:t>
            </w:r>
            <w:r w:rsidRPr="00166559">
              <w:rPr>
                <w:rFonts w:eastAsia="Times New Roman"/>
                <w:sz w:val="20"/>
                <w:lang w:val="fr-CH" w:eastAsia="en-US"/>
              </w:rPr>
              <w:t>871</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Serbia</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VIII</w:t>
            </w:r>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3</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83</w:t>
            </w:r>
            <w:r>
              <w:rPr>
                <w:rFonts w:eastAsia="Times New Roman"/>
                <w:sz w:val="20"/>
                <w:lang w:val="fr-CH" w:eastAsia="en-US"/>
              </w:rPr>
              <w:t>.</w:t>
            </w:r>
            <w:r w:rsidRPr="00166559">
              <w:rPr>
                <w:rFonts w:eastAsia="Times New Roman"/>
                <w:sz w:val="20"/>
                <w:lang w:val="fr-CH" w:eastAsia="en-US"/>
              </w:rPr>
              <w:t>225</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Togo</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proofErr w:type="spellStart"/>
            <w:r w:rsidRPr="00140F83">
              <w:rPr>
                <w:rFonts w:eastAsia="Times New Roman"/>
                <w:sz w:val="18"/>
                <w:szCs w:val="18"/>
                <w:lang w:eastAsia="en-US"/>
              </w:rPr>
              <w:t>S</w:t>
            </w:r>
            <w:r w:rsidRPr="00140F83">
              <w:rPr>
                <w:rFonts w:eastAsia="Times New Roman"/>
                <w:i/>
                <w:iCs/>
                <w:sz w:val="18"/>
                <w:szCs w:val="18"/>
                <w:lang w:eastAsia="en-US"/>
              </w:rPr>
              <w:t>ter</w:t>
            </w:r>
            <w:proofErr w:type="spellEnd"/>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0,03125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867</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sz w:val="18"/>
                <w:szCs w:val="18"/>
                <w:lang w:eastAsia="en-US"/>
              </w:rPr>
            </w:pPr>
            <w:r w:rsidRPr="00140F83">
              <w:rPr>
                <w:rFonts w:eastAsia="Times New Roman"/>
                <w:sz w:val="18"/>
                <w:szCs w:val="18"/>
                <w:lang w:eastAsia="en-US"/>
              </w:rPr>
              <w:t>Túnez</w:t>
            </w:r>
          </w:p>
        </w:tc>
        <w:tc>
          <w:tcPr>
            <w:tcW w:w="1820" w:type="dxa"/>
            <w:tcBorders>
              <w:top w:val="nil"/>
              <w:left w:val="nil"/>
              <w:bottom w:val="nil"/>
              <w:right w:val="nil"/>
            </w:tcBorders>
            <w:shd w:val="clear" w:color="auto" w:fill="auto"/>
            <w:vAlign w:val="center"/>
            <w:hideMark/>
          </w:tcPr>
          <w:p w:rsidR="007A366F" w:rsidRPr="00140F83" w:rsidRDefault="007A366F" w:rsidP="005212E5">
            <w:pPr>
              <w:jc w:val="center"/>
              <w:rPr>
                <w:rFonts w:eastAsia="Times New Roman"/>
                <w:sz w:val="18"/>
                <w:szCs w:val="18"/>
                <w:lang w:eastAsia="en-US"/>
              </w:rPr>
            </w:pPr>
            <w:r w:rsidRPr="00140F83">
              <w:rPr>
                <w:rFonts w:eastAsia="Times New Roman"/>
                <w:sz w:val="18"/>
                <w:szCs w:val="18"/>
                <w:lang w:eastAsia="en-US"/>
              </w:rPr>
              <w:t>S</w:t>
            </w:r>
          </w:p>
        </w:tc>
        <w:tc>
          <w:tcPr>
            <w:tcW w:w="1525"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sz w:val="20"/>
                <w:lang w:val="fr-CH" w:eastAsia="en-US"/>
              </w:rPr>
            </w:pPr>
            <w:r w:rsidRPr="00166559">
              <w:rPr>
                <w:rFonts w:eastAsia="Times New Roman"/>
                <w:sz w:val="20"/>
                <w:lang w:val="fr-CH" w:eastAsia="en-US"/>
              </w:rPr>
              <w:t>3 468</w:t>
            </w:r>
          </w:p>
        </w:tc>
      </w:tr>
      <w:tr w:rsidR="007A366F" w:rsidRPr="00140F83" w:rsidTr="005212E5">
        <w:trPr>
          <w:trHeight w:val="255"/>
          <w:jc w:val="center"/>
        </w:trPr>
        <w:tc>
          <w:tcPr>
            <w:tcW w:w="2620" w:type="dxa"/>
            <w:tcBorders>
              <w:top w:val="nil"/>
              <w:left w:val="nil"/>
              <w:bottom w:val="nil"/>
              <w:right w:val="nil"/>
            </w:tcBorders>
            <w:shd w:val="clear" w:color="auto" w:fill="auto"/>
            <w:vAlign w:val="center"/>
            <w:hideMark/>
          </w:tcPr>
          <w:p w:rsidR="007A366F" w:rsidRPr="00140F83" w:rsidRDefault="007A366F" w:rsidP="005212E5">
            <w:pPr>
              <w:rPr>
                <w:rFonts w:eastAsia="Times New Roman"/>
                <w:b/>
                <w:bCs/>
                <w:sz w:val="18"/>
                <w:szCs w:val="18"/>
                <w:lang w:eastAsia="en-US"/>
              </w:rPr>
            </w:pPr>
            <w:r w:rsidRPr="00140F83">
              <w:rPr>
                <w:rFonts w:eastAsia="Times New Roman"/>
                <w:b/>
                <w:bCs/>
                <w:sz w:val="18"/>
                <w:szCs w:val="18"/>
                <w:lang w:eastAsia="en-US"/>
              </w:rPr>
              <w:t xml:space="preserve">Contribuciones totales </w:t>
            </w:r>
          </w:p>
        </w:tc>
        <w:tc>
          <w:tcPr>
            <w:tcW w:w="1820" w:type="dxa"/>
            <w:tcBorders>
              <w:top w:val="nil"/>
              <w:left w:val="nil"/>
              <w:bottom w:val="nil"/>
              <w:right w:val="nil"/>
            </w:tcBorders>
            <w:shd w:val="clear" w:color="auto" w:fill="auto"/>
            <w:noWrap/>
            <w:vAlign w:val="bottom"/>
            <w:hideMark/>
          </w:tcPr>
          <w:p w:rsidR="007A366F" w:rsidRPr="00140F83" w:rsidRDefault="007A366F" w:rsidP="005212E5">
            <w:pPr>
              <w:rPr>
                <w:rFonts w:eastAsia="Times New Roman"/>
                <w:sz w:val="20"/>
                <w:lang w:eastAsia="en-US"/>
              </w:rPr>
            </w:pPr>
          </w:p>
        </w:tc>
        <w:tc>
          <w:tcPr>
            <w:tcW w:w="1525" w:type="dxa"/>
            <w:tcBorders>
              <w:top w:val="nil"/>
              <w:left w:val="nil"/>
              <w:bottom w:val="nil"/>
              <w:right w:val="nil"/>
            </w:tcBorders>
            <w:shd w:val="clear" w:color="auto" w:fill="auto"/>
            <w:noWrap/>
            <w:vAlign w:val="bottom"/>
            <w:hideMark/>
          </w:tcPr>
          <w:p w:rsidR="007A366F" w:rsidRPr="00166559" w:rsidRDefault="007A366F" w:rsidP="005212E5">
            <w:pPr>
              <w:rPr>
                <w:rFonts w:eastAsia="Times New Roman"/>
                <w:sz w:val="20"/>
                <w:lang w:val="fr-CH" w:eastAsia="en-US"/>
              </w:rPr>
            </w:pPr>
          </w:p>
        </w:tc>
        <w:tc>
          <w:tcPr>
            <w:tcW w:w="1740" w:type="dxa"/>
            <w:tcBorders>
              <w:top w:val="nil"/>
              <w:left w:val="nil"/>
              <w:bottom w:val="nil"/>
              <w:right w:val="nil"/>
            </w:tcBorders>
            <w:shd w:val="clear" w:color="auto" w:fill="auto"/>
            <w:noWrap/>
            <w:vAlign w:val="bottom"/>
            <w:hideMark/>
          </w:tcPr>
          <w:p w:rsidR="007A366F" w:rsidRPr="00166559" w:rsidRDefault="007A366F" w:rsidP="005212E5">
            <w:pPr>
              <w:jc w:val="right"/>
              <w:rPr>
                <w:rFonts w:eastAsia="Times New Roman"/>
                <w:b/>
                <w:bCs/>
                <w:sz w:val="20"/>
                <w:lang w:val="fr-CH" w:eastAsia="en-US"/>
              </w:rPr>
            </w:pPr>
            <w:r>
              <w:rPr>
                <w:rFonts w:eastAsia="Times New Roman"/>
                <w:b/>
                <w:bCs/>
                <w:sz w:val="20"/>
                <w:lang w:val="fr-CH" w:eastAsia="en-US"/>
              </w:rPr>
              <w:t>2.</w:t>
            </w:r>
            <w:r w:rsidRPr="00166559">
              <w:rPr>
                <w:rFonts w:eastAsia="Times New Roman"/>
                <w:b/>
                <w:bCs/>
                <w:sz w:val="20"/>
                <w:lang w:val="fr-CH" w:eastAsia="en-US"/>
              </w:rPr>
              <w:t>00</w:t>
            </w:r>
            <w:r>
              <w:rPr>
                <w:rFonts w:eastAsia="Times New Roman"/>
                <w:b/>
                <w:bCs/>
                <w:sz w:val="20"/>
                <w:lang w:val="fr-CH" w:eastAsia="en-US"/>
              </w:rPr>
              <w:t>0.</w:t>
            </w:r>
            <w:r w:rsidRPr="00166559">
              <w:rPr>
                <w:rFonts w:eastAsia="Times New Roman"/>
                <w:b/>
                <w:bCs/>
                <w:sz w:val="20"/>
                <w:lang w:val="fr-CH" w:eastAsia="en-US"/>
              </w:rPr>
              <w:t>000</w:t>
            </w:r>
          </w:p>
        </w:tc>
      </w:tr>
      <w:tr w:rsidR="007A366F" w:rsidRPr="00140F83" w:rsidTr="005212E5">
        <w:trPr>
          <w:trHeight w:val="255"/>
          <w:jc w:val="center"/>
        </w:trPr>
        <w:tc>
          <w:tcPr>
            <w:tcW w:w="2620" w:type="dxa"/>
            <w:tcBorders>
              <w:top w:val="nil"/>
              <w:left w:val="nil"/>
              <w:bottom w:val="nil"/>
              <w:right w:val="nil"/>
            </w:tcBorders>
            <w:shd w:val="clear" w:color="auto" w:fill="auto"/>
            <w:noWrap/>
            <w:vAlign w:val="bottom"/>
            <w:hideMark/>
          </w:tcPr>
          <w:p w:rsidR="007A366F" w:rsidRPr="00140F83" w:rsidRDefault="007A366F" w:rsidP="005212E5">
            <w:pPr>
              <w:rPr>
                <w:rFonts w:eastAsia="Times New Roman"/>
                <w:sz w:val="20"/>
                <w:lang w:eastAsia="en-US"/>
              </w:rPr>
            </w:pPr>
          </w:p>
        </w:tc>
        <w:tc>
          <w:tcPr>
            <w:tcW w:w="1820" w:type="dxa"/>
            <w:tcBorders>
              <w:top w:val="nil"/>
              <w:left w:val="nil"/>
              <w:bottom w:val="nil"/>
              <w:right w:val="nil"/>
            </w:tcBorders>
            <w:shd w:val="clear" w:color="auto" w:fill="auto"/>
            <w:noWrap/>
            <w:vAlign w:val="bottom"/>
            <w:hideMark/>
          </w:tcPr>
          <w:p w:rsidR="007A366F" w:rsidRPr="00140F83" w:rsidRDefault="007A366F" w:rsidP="005212E5">
            <w:pPr>
              <w:rPr>
                <w:rFonts w:eastAsia="Times New Roman"/>
                <w:sz w:val="20"/>
                <w:lang w:eastAsia="en-US"/>
              </w:rPr>
            </w:pPr>
          </w:p>
        </w:tc>
        <w:tc>
          <w:tcPr>
            <w:tcW w:w="1525" w:type="dxa"/>
            <w:tcBorders>
              <w:top w:val="nil"/>
              <w:left w:val="nil"/>
              <w:bottom w:val="nil"/>
              <w:right w:val="nil"/>
            </w:tcBorders>
            <w:shd w:val="clear" w:color="auto" w:fill="auto"/>
            <w:noWrap/>
            <w:vAlign w:val="bottom"/>
            <w:hideMark/>
          </w:tcPr>
          <w:p w:rsidR="007A366F" w:rsidRPr="00140F83" w:rsidRDefault="007A366F" w:rsidP="005212E5">
            <w:pPr>
              <w:rPr>
                <w:rFonts w:eastAsia="Times New Roman"/>
                <w:sz w:val="20"/>
                <w:lang w:eastAsia="en-US"/>
              </w:rPr>
            </w:pPr>
          </w:p>
        </w:tc>
        <w:tc>
          <w:tcPr>
            <w:tcW w:w="1740" w:type="dxa"/>
            <w:tcBorders>
              <w:top w:val="nil"/>
              <w:left w:val="nil"/>
              <w:bottom w:val="nil"/>
              <w:right w:val="nil"/>
            </w:tcBorders>
            <w:shd w:val="clear" w:color="auto" w:fill="auto"/>
            <w:noWrap/>
            <w:vAlign w:val="bottom"/>
            <w:hideMark/>
          </w:tcPr>
          <w:p w:rsidR="007A366F" w:rsidRPr="00140F83" w:rsidRDefault="007A366F" w:rsidP="005212E5">
            <w:pPr>
              <w:rPr>
                <w:rFonts w:eastAsia="Times New Roman"/>
                <w:sz w:val="20"/>
                <w:lang w:eastAsia="en-US"/>
              </w:rPr>
            </w:pPr>
          </w:p>
        </w:tc>
      </w:tr>
    </w:tbl>
    <w:p w:rsidR="00B655EA" w:rsidRPr="006A0C68" w:rsidRDefault="00B655EA" w:rsidP="00B655EA">
      <w:pPr>
        <w:tabs>
          <w:tab w:val="left" w:pos="6096"/>
        </w:tabs>
        <w:spacing w:after="220" w:line="276" w:lineRule="auto"/>
        <w:contextualSpacing/>
        <w:jc w:val="center"/>
        <w:rPr>
          <w:rFonts w:eastAsiaTheme="minorHAnsi"/>
          <w:b/>
          <w:szCs w:val="22"/>
          <w:lang w:eastAsia="en-US"/>
        </w:rPr>
      </w:pPr>
    </w:p>
    <w:p w:rsidR="00F50807" w:rsidRPr="006A0C68" w:rsidRDefault="00B655EA" w:rsidP="00B655EA">
      <w:pPr>
        <w:ind w:left="720"/>
        <w:contextualSpacing/>
        <w:rPr>
          <w:rFonts w:eastAsiaTheme="minorHAnsi"/>
          <w:sz w:val="18"/>
          <w:szCs w:val="18"/>
          <w:lang w:eastAsia="en-US"/>
        </w:rPr>
      </w:pPr>
      <w:r w:rsidRPr="006A0C68">
        <w:rPr>
          <w:rFonts w:eastAsiaTheme="minorHAnsi"/>
          <w:sz w:val="18"/>
          <w:szCs w:val="18"/>
          <w:lang w:eastAsia="en-US"/>
        </w:rPr>
        <w:t>*</w:t>
      </w:r>
      <w:r w:rsidR="00E04AB1">
        <w:rPr>
          <w:rFonts w:eastAsiaTheme="minorHAnsi"/>
          <w:sz w:val="18"/>
          <w:szCs w:val="18"/>
          <w:lang w:eastAsia="en-US"/>
        </w:rPr>
        <w:t xml:space="preserve"> </w:t>
      </w:r>
      <w:r w:rsidR="00F50807" w:rsidRPr="006A0C68">
        <w:rPr>
          <w:rFonts w:eastAsiaTheme="minorHAnsi"/>
          <w:sz w:val="18"/>
          <w:szCs w:val="18"/>
          <w:lang w:eastAsia="en-US"/>
        </w:rPr>
        <w:t xml:space="preserve">La clase de contribución de la mayor parte de los países en desarrollo está basada en la escala de </w:t>
      </w:r>
      <w:r w:rsidR="00332ED9" w:rsidRPr="006A0C68">
        <w:rPr>
          <w:rFonts w:eastAsiaTheme="minorHAnsi"/>
          <w:sz w:val="18"/>
          <w:szCs w:val="18"/>
          <w:lang w:eastAsia="en-US"/>
        </w:rPr>
        <w:t>contribuciones</w:t>
      </w:r>
      <w:r w:rsidR="00F50807" w:rsidRPr="006A0C68">
        <w:rPr>
          <w:rFonts w:eastAsiaTheme="minorHAnsi"/>
          <w:sz w:val="18"/>
          <w:szCs w:val="18"/>
          <w:lang w:eastAsia="en-US"/>
        </w:rPr>
        <w:t xml:space="preserve"> de NN.UU.  La presente escala es válida para los años </w:t>
      </w:r>
      <w:r w:rsidRPr="006A0C68">
        <w:rPr>
          <w:rFonts w:eastAsiaTheme="minorHAnsi"/>
          <w:sz w:val="18"/>
          <w:szCs w:val="18"/>
          <w:lang w:eastAsia="en-US"/>
        </w:rPr>
        <w:t xml:space="preserve">2013-2015. </w:t>
      </w:r>
      <w:r w:rsidR="00F50807" w:rsidRPr="006A0C68">
        <w:rPr>
          <w:rFonts w:eastAsiaTheme="minorHAnsi"/>
          <w:sz w:val="18"/>
          <w:szCs w:val="18"/>
          <w:lang w:eastAsia="en-US"/>
        </w:rPr>
        <w:t xml:space="preserve"> En diciembre de 2015 la Asamblea General de NN.UU. aprobará la nueva escala correspondiente a </w:t>
      </w:r>
      <w:r w:rsidRPr="006A0C68">
        <w:rPr>
          <w:rFonts w:eastAsiaTheme="minorHAnsi"/>
          <w:sz w:val="18"/>
          <w:szCs w:val="18"/>
          <w:lang w:eastAsia="en-US"/>
        </w:rPr>
        <w:t>2016-2018</w:t>
      </w:r>
      <w:r w:rsidR="00F50807" w:rsidRPr="006A0C68">
        <w:rPr>
          <w:rFonts w:eastAsiaTheme="minorHAnsi"/>
          <w:sz w:val="18"/>
          <w:szCs w:val="18"/>
          <w:lang w:eastAsia="en-US"/>
        </w:rPr>
        <w:t xml:space="preserve">.  Por lo tanto, podría </w:t>
      </w:r>
      <w:r w:rsidR="00332ED9" w:rsidRPr="006A0C68">
        <w:rPr>
          <w:rFonts w:eastAsiaTheme="minorHAnsi"/>
          <w:sz w:val="18"/>
          <w:szCs w:val="18"/>
          <w:lang w:eastAsia="en-US"/>
        </w:rPr>
        <w:t>variar</w:t>
      </w:r>
      <w:r w:rsidR="00F50807" w:rsidRPr="006A0C68">
        <w:rPr>
          <w:rFonts w:eastAsiaTheme="minorHAnsi"/>
          <w:sz w:val="18"/>
          <w:szCs w:val="18"/>
          <w:lang w:eastAsia="en-US"/>
        </w:rPr>
        <w:t xml:space="preserve"> levemente la cuantía específica de la contribución pagadera por algunos países.</w:t>
      </w:r>
    </w:p>
    <w:p w:rsidR="00B655EA" w:rsidRPr="006A0C68" w:rsidRDefault="00B655EA" w:rsidP="00B655EA">
      <w:pPr>
        <w:ind w:left="720"/>
        <w:contextualSpacing/>
        <w:rPr>
          <w:rFonts w:eastAsiaTheme="minorHAnsi"/>
          <w:sz w:val="18"/>
          <w:szCs w:val="18"/>
          <w:lang w:eastAsia="en-US"/>
        </w:rPr>
      </w:pPr>
    </w:p>
    <w:p w:rsidR="00B655EA" w:rsidRPr="006A0C68" w:rsidRDefault="00B655EA" w:rsidP="00B655EA">
      <w:pPr>
        <w:tabs>
          <w:tab w:val="left" w:pos="6096"/>
        </w:tabs>
        <w:contextualSpacing/>
        <w:rPr>
          <w:rFonts w:eastAsiaTheme="minorHAnsi"/>
          <w:b/>
          <w:szCs w:val="22"/>
          <w:lang w:eastAsia="en-US"/>
        </w:rPr>
      </w:pPr>
    </w:p>
    <w:p w:rsidR="00B655EA" w:rsidRPr="006A0C68" w:rsidRDefault="00B655EA" w:rsidP="00B655EA"/>
    <w:p w:rsidR="00B655EA" w:rsidRPr="006A0C68" w:rsidRDefault="00B655EA" w:rsidP="00B655EA"/>
    <w:p w:rsidR="00152CEA" w:rsidRPr="007A366F" w:rsidRDefault="00B655EA" w:rsidP="007A366F">
      <w:pPr>
        <w:pStyle w:val="Endofdocument-Annex"/>
        <w:rPr>
          <w:lang w:val="es-ES"/>
        </w:rPr>
      </w:pPr>
      <w:r w:rsidRPr="006A0C68">
        <w:rPr>
          <w:lang w:val="es-ES"/>
        </w:rPr>
        <w:t>[Fin del Anexo y del documento]</w:t>
      </w:r>
    </w:p>
    <w:sectPr w:rsidR="00152CEA" w:rsidRPr="007A366F" w:rsidSect="00A0524C">
      <w:headerReference w:type="default"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24C" w:rsidRDefault="00A0524C">
      <w:r>
        <w:separator/>
      </w:r>
    </w:p>
  </w:endnote>
  <w:endnote w:type="continuationSeparator" w:id="0">
    <w:p w:rsidR="00A0524C" w:rsidRPr="009D30E6" w:rsidRDefault="00A0524C" w:rsidP="007E663E">
      <w:pPr>
        <w:rPr>
          <w:sz w:val="17"/>
          <w:szCs w:val="17"/>
        </w:rPr>
      </w:pPr>
      <w:r w:rsidRPr="009D30E6">
        <w:rPr>
          <w:sz w:val="17"/>
          <w:szCs w:val="17"/>
        </w:rPr>
        <w:separator/>
      </w:r>
    </w:p>
    <w:p w:rsidR="00A0524C" w:rsidRPr="007E663E" w:rsidRDefault="00A0524C" w:rsidP="007E663E">
      <w:pPr>
        <w:spacing w:after="60"/>
        <w:rPr>
          <w:sz w:val="17"/>
          <w:szCs w:val="17"/>
        </w:rPr>
      </w:pPr>
      <w:r>
        <w:rPr>
          <w:sz w:val="17"/>
        </w:rPr>
        <w:t>[Continuación de la nota de la página anterior]</w:t>
      </w:r>
    </w:p>
  </w:endnote>
  <w:endnote w:type="continuationNotice" w:id="1">
    <w:p w:rsidR="00A0524C" w:rsidRPr="007E663E" w:rsidRDefault="00A0524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24C" w:rsidRDefault="00A0524C">
      <w:r>
        <w:separator/>
      </w:r>
    </w:p>
  </w:footnote>
  <w:footnote w:type="continuationSeparator" w:id="0">
    <w:p w:rsidR="00A0524C" w:rsidRPr="009D30E6" w:rsidRDefault="00A0524C" w:rsidP="007E663E">
      <w:pPr>
        <w:rPr>
          <w:sz w:val="17"/>
          <w:szCs w:val="17"/>
        </w:rPr>
      </w:pPr>
      <w:r w:rsidRPr="009D30E6">
        <w:rPr>
          <w:sz w:val="17"/>
          <w:szCs w:val="17"/>
        </w:rPr>
        <w:separator/>
      </w:r>
    </w:p>
    <w:p w:rsidR="00A0524C" w:rsidRPr="007E663E" w:rsidRDefault="00A0524C" w:rsidP="007E663E">
      <w:pPr>
        <w:spacing w:after="60"/>
        <w:rPr>
          <w:sz w:val="17"/>
          <w:szCs w:val="17"/>
        </w:rPr>
      </w:pPr>
      <w:r>
        <w:rPr>
          <w:sz w:val="17"/>
        </w:rPr>
        <w:t>[Continuación de la nota de la página anterior]</w:t>
      </w:r>
    </w:p>
  </w:footnote>
  <w:footnote w:type="continuationNotice" w:id="1">
    <w:p w:rsidR="00A0524C" w:rsidRPr="007E663E" w:rsidRDefault="00A0524C" w:rsidP="007E663E">
      <w:pPr>
        <w:spacing w:before="60"/>
        <w:jc w:val="right"/>
        <w:rPr>
          <w:sz w:val="17"/>
          <w:szCs w:val="17"/>
        </w:rPr>
      </w:pPr>
      <w:r w:rsidRPr="007E663E">
        <w:rPr>
          <w:sz w:val="17"/>
          <w:szCs w:val="17"/>
        </w:rPr>
        <w:t>[Sigue la nota en la página siguiente]</w:t>
      </w:r>
    </w:p>
  </w:footnote>
  <w:footnote w:id="2">
    <w:p w:rsidR="00B655EA" w:rsidRPr="00064918" w:rsidRDefault="00B655EA" w:rsidP="00B655EA">
      <w:pPr>
        <w:pStyle w:val="FootnoteText"/>
      </w:pPr>
      <w:r w:rsidRPr="00064918">
        <w:rPr>
          <w:rStyle w:val="FootnoteReference"/>
        </w:rPr>
        <w:footnoteRef/>
      </w:r>
      <w:r w:rsidRPr="00064918">
        <w:t xml:space="preserve"> </w:t>
      </w:r>
      <w:r w:rsidRPr="00064918">
        <w:tab/>
        <w:t>Document</w:t>
      </w:r>
      <w:r w:rsidR="006A0C68" w:rsidRPr="00064918">
        <w:t>o</w:t>
      </w:r>
      <w:r w:rsidRPr="00064918">
        <w:t xml:space="preserve"> LI/A/32/2.</w:t>
      </w:r>
    </w:p>
  </w:footnote>
  <w:footnote w:id="3">
    <w:p w:rsidR="008435AD" w:rsidRPr="00064918" w:rsidRDefault="008435AD">
      <w:pPr>
        <w:pStyle w:val="FootnoteText"/>
      </w:pPr>
      <w:r w:rsidRPr="00064918">
        <w:rPr>
          <w:rStyle w:val="FootnoteReference"/>
        </w:rPr>
        <w:footnoteRef/>
      </w:r>
      <w:r w:rsidRPr="00064918">
        <w:t xml:space="preserve"> </w:t>
      </w:r>
      <w:r w:rsidRPr="00064918">
        <w:tab/>
        <w:t>WO/PBC/23/9.</w:t>
      </w:r>
    </w:p>
  </w:footnote>
  <w:footnote w:id="4">
    <w:p w:rsidR="00B655EA" w:rsidRPr="00064918" w:rsidRDefault="00B655EA" w:rsidP="00B655EA">
      <w:pPr>
        <w:pStyle w:val="FootnoteText"/>
      </w:pPr>
      <w:r w:rsidRPr="00064918">
        <w:rPr>
          <w:rStyle w:val="FootnoteReference"/>
        </w:rPr>
        <w:footnoteRef/>
      </w:r>
      <w:r w:rsidRPr="00064918">
        <w:t xml:space="preserve"> </w:t>
      </w:r>
      <w:r w:rsidRPr="00064918">
        <w:tab/>
        <w:t>Prop</w:t>
      </w:r>
      <w:r w:rsidR="00104FD9" w:rsidRPr="00064918">
        <w:t xml:space="preserve">uesta de </w:t>
      </w:r>
      <w:r w:rsidR="006A0C68" w:rsidRPr="00064918">
        <w:t>p</w:t>
      </w:r>
      <w:r w:rsidR="00104FD9" w:rsidRPr="00064918">
        <w:t xml:space="preserve">resupuesto por </w:t>
      </w:r>
      <w:r w:rsidR="006A0C68" w:rsidRPr="00064918">
        <w:t>p</w:t>
      </w:r>
      <w:r w:rsidR="00104FD9" w:rsidRPr="00064918">
        <w:t xml:space="preserve">rogramas para </w:t>
      </w:r>
      <w:r w:rsidRPr="00064918">
        <w:t>2016/17, Anex</w:t>
      </w:r>
      <w:r w:rsidR="00104FD9" w:rsidRPr="00064918">
        <w:t>o</w:t>
      </w:r>
      <w:r w:rsidRPr="00064918">
        <w:t xml:space="preserve"> III, </w:t>
      </w:r>
      <w:r w:rsidR="00104FD9" w:rsidRPr="00064918">
        <w:t>Cuadro</w:t>
      </w:r>
      <w:r w:rsidRPr="00064918">
        <w:t xml:space="preserve">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EA" w:rsidRDefault="00B655EA" w:rsidP="00477D6B">
    <w:pPr>
      <w:jc w:val="right"/>
    </w:pPr>
    <w:r>
      <w:t>LI/A/32/4</w:t>
    </w:r>
  </w:p>
  <w:p w:rsidR="00B655EA" w:rsidRDefault="00B655EA" w:rsidP="00477D6B">
    <w:pPr>
      <w:jc w:val="right"/>
    </w:pPr>
    <w:r>
      <w:t xml:space="preserve">página </w:t>
    </w:r>
    <w:r>
      <w:fldChar w:fldCharType="begin"/>
    </w:r>
    <w:r>
      <w:instrText xml:space="preserve"> PAGE  \* MERGEFORMAT </w:instrText>
    </w:r>
    <w:r>
      <w:fldChar w:fldCharType="separate"/>
    </w:r>
    <w:r w:rsidR="005F7B8E">
      <w:rPr>
        <w:noProof/>
      </w:rPr>
      <w:t>4</w:t>
    </w:r>
    <w:r>
      <w:fldChar w:fldCharType="end"/>
    </w:r>
  </w:p>
  <w:p w:rsidR="00B655EA" w:rsidRDefault="00B655E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A0524C" w:rsidP="00477D6B">
    <w:pPr>
      <w:jc w:val="right"/>
    </w:pPr>
    <w:bookmarkStart w:id="14" w:name="Code2"/>
    <w:bookmarkEnd w:id="14"/>
    <w:r>
      <w:t>LI/A/32/4</w:t>
    </w:r>
  </w:p>
  <w:p w:rsidR="00F84474" w:rsidRDefault="00F84474" w:rsidP="00477D6B">
    <w:pPr>
      <w:jc w:val="right"/>
    </w:pPr>
    <w:r>
      <w:t xml:space="preserve">página </w:t>
    </w:r>
    <w:r>
      <w:fldChar w:fldCharType="begin"/>
    </w:r>
    <w:r>
      <w:instrText xml:space="preserve"> PAGE  \* MERGEFORMAT </w:instrText>
    </w:r>
    <w:r>
      <w:fldChar w:fldCharType="separate"/>
    </w:r>
    <w:r w:rsidR="007A366F">
      <w:rPr>
        <w:noProof/>
      </w:rPr>
      <w:t>6</w:t>
    </w:r>
    <w:r>
      <w:fldChar w:fldCharType="end"/>
    </w:r>
  </w:p>
  <w:p w:rsidR="00F84474" w:rsidRDefault="00F8447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EA" w:rsidRDefault="00B655EA" w:rsidP="00B655EA">
    <w:pPr>
      <w:pStyle w:val="Header"/>
      <w:jc w:val="right"/>
    </w:pPr>
    <w:r>
      <w:t>LI/A/32/4</w:t>
    </w:r>
  </w:p>
  <w:p w:rsidR="00B655EA" w:rsidRDefault="00B655EA" w:rsidP="00B655EA">
    <w:pPr>
      <w:pStyle w:val="Header"/>
      <w:jc w:val="right"/>
    </w:pPr>
    <w:r>
      <w:t>ANEXO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4C"/>
    <w:rsid w:val="0000286D"/>
    <w:rsid w:val="00056804"/>
    <w:rsid w:val="00061519"/>
    <w:rsid w:val="00064918"/>
    <w:rsid w:val="0008107D"/>
    <w:rsid w:val="000A3E6E"/>
    <w:rsid w:val="000B2858"/>
    <w:rsid w:val="000B320C"/>
    <w:rsid w:val="000E3BB3"/>
    <w:rsid w:val="000F5E56"/>
    <w:rsid w:val="001033B3"/>
    <w:rsid w:val="00104FD9"/>
    <w:rsid w:val="00120044"/>
    <w:rsid w:val="001362EE"/>
    <w:rsid w:val="00152CEA"/>
    <w:rsid w:val="001832A6"/>
    <w:rsid w:val="001C4DD3"/>
    <w:rsid w:val="00220862"/>
    <w:rsid w:val="002634C4"/>
    <w:rsid w:val="00263FDC"/>
    <w:rsid w:val="00274076"/>
    <w:rsid w:val="002F4E68"/>
    <w:rsid w:val="00332ED9"/>
    <w:rsid w:val="00354647"/>
    <w:rsid w:val="00377273"/>
    <w:rsid w:val="003845C1"/>
    <w:rsid w:val="00387287"/>
    <w:rsid w:val="003D41D4"/>
    <w:rsid w:val="00423E3E"/>
    <w:rsid w:val="00427AF4"/>
    <w:rsid w:val="004354DC"/>
    <w:rsid w:val="0045231F"/>
    <w:rsid w:val="004647DA"/>
    <w:rsid w:val="00477D6B"/>
    <w:rsid w:val="00484FD8"/>
    <w:rsid w:val="00491F9A"/>
    <w:rsid w:val="004A6C37"/>
    <w:rsid w:val="004E3C2B"/>
    <w:rsid w:val="004F039B"/>
    <w:rsid w:val="004F1626"/>
    <w:rsid w:val="00524FC7"/>
    <w:rsid w:val="005315AA"/>
    <w:rsid w:val="0055013B"/>
    <w:rsid w:val="0056224D"/>
    <w:rsid w:val="00571B99"/>
    <w:rsid w:val="005F7B8E"/>
    <w:rsid w:val="00605827"/>
    <w:rsid w:val="00675021"/>
    <w:rsid w:val="006A06C6"/>
    <w:rsid w:val="006A0C68"/>
    <w:rsid w:val="00700474"/>
    <w:rsid w:val="00702DBE"/>
    <w:rsid w:val="00725717"/>
    <w:rsid w:val="007A366F"/>
    <w:rsid w:val="007D39DB"/>
    <w:rsid w:val="007E663E"/>
    <w:rsid w:val="007E6B64"/>
    <w:rsid w:val="0080114D"/>
    <w:rsid w:val="00815082"/>
    <w:rsid w:val="008435AD"/>
    <w:rsid w:val="008B2CC1"/>
    <w:rsid w:val="0090419F"/>
    <w:rsid w:val="0090731E"/>
    <w:rsid w:val="00966A22"/>
    <w:rsid w:val="00972F03"/>
    <w:rsid w:val="009A0C8B"/>
    <w:rsid w:val="009B6241"/>
    <w:rsid w:val="009F643E"/>
    <w:rsid w:val="009F7CF8"/>
    <w:rsid w:val="00A0524C"/>
    <w:rsid w:val="00A16FC0"/>
    <w:rsid w:val="00A32C9E"/>
    <w:rsid w:val="00A645C0"/>
    <w:rsid w:val="00A7453D"/>
    <w:rsid w:val="00AA7341"/>
    <w:rsid w:val="00AB613D"/>
    <w:rsid w:val="00AC198F"/>
    <w:rsid w:val="00AF3589"/>
    <w:rsid w:val="00AF4646"/>
    <w:rsid w:val="00B31727"/>
    <w:rsid w:val="00B655EA"/>
    <w:rsid w:val="00B65A0A"/>
    <w:rsid w:val="00B72D36"/>
    <w:rsid w:val="00B86449"/>
    <w:rsid w:val="00BC4164"/>
    <w:rsid w:val="00BD2DCC"/>
    <w:rsid w:val="00BE1A8C"/>
    <w:rsid w:val="00C51001"/>
    <w:rsid w:val="00C544D1"/>
    <w:rsid w:val="00C90559"/>
    <w:rsid w:val="00CC771F"/>
    <w:rsid w:val="00CF22D5"/>
    <w:rsid w:val="00D40CF0"/>
    <w:rsid w:val="00D56C7C"/>
    <w:rsid w:val="00D71B4D"/>
    <w:rsid w:val="00D90289"/>
    <w:rsid w:val="00D93D55"/>
    <w:rsid w:val="00DD2E74"/>
    <w:rsid w:val="00DE0645"/>
    <w:rsid w:val="00DF156B"/>
    <w:rsid w:val="00E04AB1"/>
    <w:rsid w:val="00E45C84"/>
    <w:rsid w:val="00E504E5"/>
    <w:rsid w:val="00EB7A3E"/>
    <w:rsid w:val="00EC401A"/>
    <w:rsid w:val="00EF15B9"/>
    <w:rsid w:val="00EF530A"/>
    <w:rsid w:val="00EF6622"/>
    <w:rsid w:val="00F50807"/>
    <w:rsid w:val="00F55408"/>
    <w:rsid w:val="00F66152"/>
    <w:rsid w:val="00F80845"/>
    <w:rsid w:val="00F84474"/>
    <w:rsid w:val="00FE1B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061519"/>
    <w:rPr>
      <w:rFonts w:ascii="Tahoma" w:hAnsi="Tahoma" w:cs="Tahoma"/>
      <w:sz w:val="16"/>
      <w:szCs w:val="16"/>
    </w:rPr>
  </w:style>
  <w:style w:type="character" w:customStyle="1" w:styleId="BalloonTextChar">
    <w:name w:val="Balloon Text Char"/>
    <w:basedOn w:val="DefaultParagraphFont"/>
    <w:link w:val="BalloonText"/>
    <w:rsid w:val="00061519"/>
    <w:rPr>
      <w:rFonts w:ascii="Tahoma" w:eastAsia="SimSun" w:hAnsi="Tahoma" w:cs="Tahoma"/>
      <w:sz w:val="16"/>
      <w:szCs w:val="16"/>
      <w:lang w:val="es-ES" w:eastAsia="zh-CN"/>
    </w:rPr>
  </w:style>
  <w:style w:type="character" w:styleId="FootnoteReference">
    <w:name w:val="footnote reference"/>
    <w:basedOn w:val="DefaultParagraphFont"/>
    <w:unhideWhenUsed/>
    <w:rsid w:val="00B655EA"/>
    <w:rPr>
      <w:vertAlign w:val="superscript"/>
    </w:rPr>
  </w:style>
  <w:style w:type="paragraph" w:customStyle="1" w:styleId="Default">
    <w:name w:val="Default"/>
    <w:rsid w:val="00DE064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061519"/>
    <w:rPr>
      <w:rFonts w:ascii="Tahoma" w:hAnsi="Tahoma" w:cs="Tahoma"/>
      <w:sz w:val="16"/>
      <w:szCs w:val="16"/>
    </w:rPr>
  </w:style>
  <w:style w:type="character" w:customStyle="1" w:styleId="BalloonTextChar">
    <w:name w:val="Balloon Text Char"/>
    <w:basedOn w:val="DefaultParagraphFont"/>
    <w:link w:val="BalloonText"/>
    <w:rsid w:val="00061519"/>
    <w:rPr>
      <w:rFonts w:ascii="Tahoma" w:eastAsia="SimSun" w:hAnsi="Tahoma" w:cs="Tahoma"/>
      <w:sz w:val="16"/>
      <w:szCs w:val="16"/>
      <w:lang w:val="es-ES" w:eastAsia="zh-CN"/>
    </w:rPr>
  </w:style>
  <w:style w:type="character" w:styleId="FootnoteReference">
    <w:name w:val="footnote reference"/>
    <w:basedOn w:val="DefaultParagraphFont"/>
    <w:unhideWhenUsed/>
    <w:rsid w:val="00B655EA"/>
    <w:rPr>
      <w:vertAlign w:val="superscript"/>
    </w:rPr>
  </w:style>
  <w:style w:type="paragraph" w:customStyle="1" w:styleId="Default">
    <w:name w:val="Default"/>
    <w:rsid w:val="00DE064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5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85DA6-9885-4F21-9FE8-F72A7225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32 (S).dotm</Template>
  <TotalTime>1</TotalTime>
  <Pages>5</Pages>
  <Words>1717</Words>
  <Characters>9787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LI/A/32/4</vt:lpstr>
    </vt:vector>
  </TitlesOfParts>
  <Company>WIPO</Company>
  <LinksUpToDate>false</LinksUpToDate>
  <CharactersWithSpaces>11482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LI/A/32/4</dc:title>
  <dc:creator>CEVALLOS DUQUE Nilo</dc:creator>
  <cp:lastModifiedBy>DORE Marie-Pierre</cp:lastModifiedBy>
  <cp:revision>2</cp:revision>
  <cp:lastPrinted>2015-10-01T15:28:00Z</cp:lastPrinted>
  <dcterms:created xsi:type="dcterms:W3CDTF">2015-10-02T15:12:00Z</dcterms:created>
  <dcterms:modified xsi:type="dcterms:W3CDTF">2015-10-02T15:12:00Z</dcterms:modified>
</cp:coreProperties>
</file>