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529C5" w:rsidTr="00C94629">
        <w:tc>
          <w:tcPr>
            <w:tcW w:w="4513" w:type="dxa"/>
            <w:tcBorders>
              <w:bottom w:val="single" w:sz="4" w:space="0" w:color="auto"/>
            </w:tcBorders>
            <w:tcMar>
              <w:bottom w:w="170" w:type="dxa"/>
            </w:tcMar>
          </w:tcPr>
          <w:p w:rsidR="00EC4E49" w:rsidRPr="008529C5"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8529C5" w:rsidRDefault="006C159F" w:rsidP="00916EE2">
            <w:pPr>
              <w:rPr>
                <w:lang w:val="es-ES"/>
              </w:rPr>
            </w:pPr>
            <w:r w:rsidRPr="008529C5">
              <w:rPr>
                <w:noProof/>
                <w:lang w:eastAsia="en-US"/>
              </w:rPr>
              <w:drawing>
                <wp:inline distT="0" distB="0" distL="0" distR="0" wp14:anchorId="059E6C56" wp14:editId="29AED4A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529C5" w:rsidRDefault="006C159F" w:rsidP="006C159F">
            <w:pPr>
              <w:jc w:val="right"/>
              <w:rPr>
                <w:lang w:val="es-ES"/>
              </w:rPr>
            </w:pPr>
            <w:r w:rsidRPr="008529C5">
              <w:rPr>
                <w:b/>
                <w:sz w:val="40"/>
                <w:szCs w:val="40"/>
                <w:lang w:val="es-ES"/>
              </w:rPr>
              <w:t>S</w:t>
            </w:r>
          </w:p>
        </w:tc>
      </w:tr>
      <w:tr w:rsidR="008B2CC1" w:rsidRPr="008529C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8529C5" w:rsidRDefault="000B34F6" w:rsidP="00506ED5">
            <w:pPr>
              <w:jc w:val="right"/>
              <w:rPr>
                <w:rFonts w:ascii="Arial Black" w:hAnsi="Arial Black"/>
                <w:caps/>
                <w:sz w:val="15"/>
                <w:lang w:val="es-ES"/>
              </w:rPr>
            </w:pPr>
            <w:r w:rsidRPr="008529C5">
              <w:rPr>
                <w:rFonts w:ascii="Arial Black" w:hAnsi="Arial Black"/>
                <w:caps/>
                <w:sz w:val="15"/>
                <w:lang w:val="es-ES"/>
              </w:rPr>
              <w:t>LI/A/3</w:t>
            </w:r>
            <w:r w:rsidR="00C847C0" w:rsidRPr="008529C5">
              <w:rPr>
                <w:rFonts w:ascii="Arial Black" w:hAnsi="Arial Black"/>
                <w:caps/>
                <w:sz w:val="15"/>
                <w:lang w:val="es-ES"/>
              </w:rPr>
              <w:t>3</w:t>
            </w:r>
            <w:r w:rsidRPr="008529C5">
              <w:rPr>
                <w:rFonts w:ascii="Arial Black" w:hAnsi="Arial Black"/>
                <w:caps/>
                <w:sz w:val="15"/>
                <w:lang w:val="es-ES"/>
              </w:rPr>
              <w:t>/</w:t>
            </w:r>
            <w:bookmarkStart w:id="1" w:name="Code"/>
            <w:bookmarkEnd w:id="1"/>
            <w:r w:rsidR="00506ED5" w:rsidRPr="008529C5">
              <w:rPr>
                <w:rFonts w:ascii="Arial Black" w:hAnsi="Arial Black"/>
                <w:caps/>
                <w:sz w:val="15"/>
                <w:lang w:val="es-ES"/>
              </w:rPr>
              <w:t>1</w:t>
            </w:r>
          </w:p>
        </w:tc>
      </w:tr>
      <w:tr w:rsidR="008B2CC1" w:rsidRPr="008529C5" w:rsidTr="00916EE2">
        <w:trPr>
          <w:trHeight w:hRule="exact" w:val="170"/>
        </w:trPr>
        <w:tc>
          <w:tcPr>
            <w:tcW w:w="9356" w:type="dxa"/>
            <w:gridSpan w:val="3"/>
            <w:noWrap/>
            <w:tcMar>
              <w:left w:w="0" w:type="dxa"/>
              <w:right w:w="0" w:type="dxa"/>
            </w:tcMar>
            <w:vAlign w:val="bottom"/>
          </w:tcPr>
          <w:p w:rsidR="008B2CC1" w:rsidRPr="008529C5" w:rsidRDefault="008B2CC1" w:rsidP="006C159F">
            <w:pPr>
              <w:jc w:val="right"/>
              <w:rPr>
                <w:rFonts w:ascii="Arial Black" w:hAnsi="Arial Black"/>
                <w:caps/>
                <w:sz w:val="15"/>
                <w:lang w:val="es-ES"/>
              </w:rPr>
            </w:pPr>
            <w:r w:rsidRPr="008529C5">
              <w:rPr>
                <w:rFonts w:ascii="Arial Black" w:hAnsi="Arial Black"/>
                <w:caps/>
                <w:sz w:val="15"/>
                <w:lang w:val="es-ES"/>
              </w:rPr>
              <w:t>ORIGINAL:</w:t>
            </w:r>
            <w:r w:rsidR="006C159F" w:rsidRPr="008529C5">
              <w:rPr>
                <w:rFonts w:ascii="Arial Black" w:hAnsi="Arial Black"/>
                <w:caps/>
                <w:sz w:val="15"/>
                <w:lang w:val="es-ES"/>
              </w:rPr>
              <w:t xml:space="preserve">  I</w:t>
            </w:r>
            <w:r w:rsidR="00506ED5" w:rsidRPr="008529C5">
              <w:rPr>
                <w:rFonts w:ascii="Arial Black" w:hAnsi="Arial Black"/>
                <w:caps/>
                <w:sz w:val="15"/>
                <w:lang w:val="es-ES"/>
              </w:rPr>
              <w:t>NGL</w:t>
            </w:r>
            <w:r w:rsidR="006C159F" w:rsidRPr="008529C5">
              <w:rPr>
                <w:rFonts w:ascii="Arial Black" w:hAnsi="Arial Black"/>
                <w:caps/>
                <w:sz w:val="15"/>
                <w:lang w:val="es-ES"/>
              </w:rPr>
              <w:t>é</w:t>
            </w:r>
            <w:r w:rsidR="00506ED5" w:rsidRPr="008529C5">
              <w:rPr>
                <w:rFonts w:ascii="Arial Black" w:hAnsi="Arial Black"/>
                <w:caps/>
                <w:sz w:val="15"/>
                <w:lang w:val="es-ES"/>
              </w:rPr>
              <w:t xml:space="preserve">S  </w:t>
            </w:r>
            <w:r w:rsidR="00A42DAF" w:rsidRPr="008529C5">
              <w:rPr>
                <w:rFonts w:ascii="Arial Black" w:hAnsi="Arial Black"/>
                <w:caps/>
                <w:sz w:val="15"/>
                <w:lang w:val="es-ES"/>
              </w:rPr>
              <w:t xml:space="preserve"> </w:t>
            </w:r>
            <w:r w:rsidRPr="008529C5">
              <w:rPr>
                <w:rFonts w:ascii="Arial Black" w:hAnsi="Arial Black"/>
                <w:caps/>
                <w:sz w:val="15"/>
                <w:lang w:val="es-ES"/>
              </w:rPr>
              <w:t xml:space="preserve"> </w:t>
            </w:r>
            <w:bookmarkStart w:id="2" w:name="Original"/>
            <w:bookmarkEnd w:id="2"/>
          </w:p>
        </w:tc>
      </w:tr>
      <w:tr w:rsidR="008B2CC1" w:rsidRPr="008529C5" w:rsidTr="00916EE2">
        <w:trPr>
          <w:trHeight w:hRule="exact" w:val="198"/>
        </w:trPr>
        <w:tc>
          <w:tcPr>
            <w:tcW w:w="9356" w:type="dxa"/>
            <w:gridSpan w:val="3"/>
            <w:tcMar>
              <w:left w:w="0" w:type="dxa"/>
              <w:right w:w="0" w:type="dxa"/>
            </w:tcMar>
            <w:vAlign w:val="bottom"/>
          </w:tcPr>
          <w:p w:rsidR="008B2CC1" w:rsidRPr="008529C5" w:rsidRDefault="006C159F" w:rsidP="006C159F">
            <w:pPr>
              <w:jc w:val="right"/>
              <w:rPr>
                <w:rFonts w:ascii="Arial Black" w:hAnsi="Arial Black"/>
                <w:caps/>
                <w:sz w:val="15"/>
                <w:lang w:val="es-ES"/>
              </w:rPr>
            </w:pPr>
            <w:r w:rsidRPr="008529C5">
              <w:rPr>
                <w:rFonts w:ascii="Arial Black" w:hAnsi="Arial Black"/>
                <w:caps/>
                <w:sz w:val="15"/>
                <w:lang w:val="es-ES"/>
              </w:rPr>
              <w:t>Fech</w:t>
            </w:r>
            <w:r w:rsidR="008B2CC1" w:rsidRPr="008529C5">
              <w:rPr>
                <w:rFonts w:ascii="Arial Black" w:hAnsi="Arial Black"/>
                <w:caps/>
                <w:sz w:val="15"/>
                <w:lang w:val="es-ES"/>
              </w:rPr>
              <w:t>A:</w:t>
            </w:r>
            <w:r w:rsidR="00511392" w:rsidRPr="008529C5">
              <w:rPr>
                <w:rFonts w:ascii="Arial Black" w:hAnsi="Arial Black"/>
                <w:caps/>
                <w:sz w:val="15"/>
                <w:lang w:val="es-ES"/>
              </w:rPr>
              <w:t xml:space="preserve">  </w:t>
            </w:r>
            <w:r w:rsidRPr="008529C5">
              <w:rPr>
                <w:rFonts w:ascii="Arial Black" w:hAnsi="Arial Black"/>
                <w:caps/>
                <w:sz w:val="15"/>
                <w:lang w:val="es-ES"/>
              </w:rPr>
              <w:t>2 de agosto de</w:t>
            </w:r>
            <w:r w:rsidR="007325CD" w:rsidRPr="008529C5">
              <w:rPr>
                <w:rFonts w:ascii="Arial Black" w:hAnsi="Arial Black"/>
                <w:caps/>
                <w:sz w:val="15"/>
                <w:lang w:val="es-ES"/>
              </w:rPr>
              <w:t xml:space="preserve"> 2016</w:t>
            </w:r>
            <w:r w:rsidR="00A42DAF" w:rsidRPr="008529C5">
              <w:rPr>
                <w:rFonts w:ascii="Arial Black" w:hAnsi="Arial Black"/>
                <w:caps/>
                <w:sz w:val="15"/>
                <w:lang w:val="es-ES"/>
              </w:rPr>
              <w:t xml:space="preserve"> </w:t>
            </w:r>
            <w:r w:rsidR="008B2CC1" w:rsidRPr="008529C5">
              <w:rPr>
                <w:rFonts w:ascii="Arial Black" w:hAnsi="Arial Black"/>
                <w:caps/>
                <w:sz w:val="15"/>
                <w:lang w:val="es-ES"/>
              </w:rPr>
              <w:t xml:space="preserve"> </w:t>
            </w:r>
            <w:bookmarkStart w:id="3" w:name="Date"/>
            <w:bookmarkEnd w:id="3"/>
          </w:p>
        </w:tc>
      </w:tr>
    </w:tbl>
    <w:p w:rsidR="008B2CC1" w:rsidRPr="008529C5" w:rsidRDefault="008B2CC1" w:rsidP="008B2CC1">
      <w:pPr>
        <w:rPr>
          <w:lang w:val="es-ES"/>
        </w:rPr>
      </w:pPr>
    </w:p>
    <w:p w:rsidR="008B2CC1" w:rsidRPr="008529C5" w:rsidRDefault="008B2CC1" w:rsidP="008B2CC1">
      <w:pPr>
        <w:rPr>
          <w:lang w:val="es-ES"/>
        </w:rPr>
      </w:pPr>
    </w:p>
    <w:p w:rsidR="008B2CC1" w:rsidRPr="008529C5" w:rsidRDefault="008B2CC1" w:rsidP="008B2CC1">
      <w:pPr>
        <w:rPr>
          <w:lang w:val="es-ES"/>
        </w:rPr>
      </w:pPr>
    </w:p>
    <w:p w:rsidR="008B2CC1" w:rsidRPr="008529C5" w:rsidRDefault="008B2CC1" w:rsidP="008B2CC1">
      <w:pPr>
        <w:rPr>
          <w:lang w:val="es-ES"/>
        </w:rPr>
      </w:pPr>
    </w:p>
    <w:p w:rsidR="008B2CC1" w:rsidRPr="008529C5" w:rsidRDefault="008B2CC1" w:rsidP="008B2CC1">
      <w:pPr>
        <w:rPr>
          <w:lang w:val="es-ES"/>
        </w:rPr>
      </w:pPr>
    </w:p>
    <w:p w:rsidR="006C159F" w:rsidRPr="008529C5" w:rsidRDefault="006C159F" w:rsidP="006C159F">
      <w:pPr>
        <w:rPr>
          <w:b/>
          <w:sz w:val="28"/>
          <w:szCs w:val="28"/>
          <w:lang w:val="es-ES"/>
        </w:rPr>
      </w:pPr>
      <w:r w:rsidRPr="008529C5">
        <w:rPr>
          <w:b/>
          <w:sz w:val="28"/>
          <w:szCs w:val="28"/>
          <w:lang w:val="es-ES"/>
        </w:rPr>
        <w:t>Unión Particular para la Protección de las Denominaciones de Origen y su Registro Internacional (Unión de Lisboa)</w:t>
      </w:r>
    </w:p>
    <w:p w:rsidR="006C159F" w:rsidRPr="008529C5" w:rsidRDefault="006C159F" w:rsidP="006C159F">
      <w:pPr>
        <w:rPr>
          <w:lang w:val="es-ES"/>
        </w:rPr>
      </w:pPr>
    </w:p>
    <w:p w:rsidR="006C159F" w:rsidRPr="008529C5" w:rsidRDefault="006C159F" w:rsidP="006C159F">
      <w:pPr>
        <w:rPr>
          <w:lang w:val="es-ES"/>
        </w:rPr>
      </w:pPr>
    </w:p>
    <w:p w:rsidR="006C159F" w:rsidRPr="008529C5" w:rsidRDefault="006C159F" w:rsidP="006C159F">
      <w:pPr>
        <w:rPr>
          <w:b/>
          <w:sz w:val="28"/>
          <w:szCs w:val="28"/>
          <w:lang w:val="es-ES"/>
        </w:rPr>
      </w:pPr>
      <w:r w:rsidRPr="008529C5">
        <w:rPr>
          <w:b/>
          <w:sz w:val="28"/>
          <w:szCs w:val="28"/>
          <w:lang w:val="es-ES"/>
        </w:rPr>
        <w:t>Asamblea</w:t>
      </w:r>
    </w:p>
    <w:p w:rsidR="006C159F" w:rsidRPr="008529C5" w:rsidRDefault="006C159F" w:rsidP="006C159F">
      <w:pPr>
        <w:rPr>
          <w:lang w:val="es-ES"/>
        </w:rPr>
      </w:pPr>
    </w:p>
    <w:p w:rsidR="006C159F" w:rsidRPr="008529C5" w:rsidRDefault="006C159F" w:rsidP="006C159F">
      <w:pPr>
        <w:rPr>
          <w:lang w:val="es-ES"/>
        </w:rPr>
      </w:pPr>
    </w:p>
    <w:p w:rsidR="006C159F" w:rsidRPr="008529C5" w:rsidRDefault="006C159F" w:rsidP="006C159F">
      <w:pPr>
        <w:rPr>
          <w:b/>
          <w:sz w:val="24"/>
          <w:szCs w:val="24"/>
          <w:lang w:val="es-ES"/>
        </w:rPr>
      </w:pPr>
      <w:r w:rsidRPr="008529C5">
        <w:rPr>
          <w:b/>
          <w:sz w:val="24"/>
          <w:szCs w:val="24"/>
          <w:lang w:val="es-ES"/>
        </w:rPr>
        <w:t>Trigésimo tercer período de sesiones (12° extraordinario)</w:t>
      </w:r>
    </w:p>
    <w:p w:rsidR="006C159F" w:rsidRPr="008529C5" w:rsidRDefault="006C159F" w:rsidP="006C159F">
      <w:pPr>
        <w:rPr>
          <w:b/>
          <w:sz w:val="24"/>
          <w:szCs w:val="24"/>
          <w:lang w:val="es-ES"/>
        </w:rPr>
      </w:pPr>
      <w:r w:rsidRPr="008529C5">
        <w:rPr>
          <w:b/>
          <w:sz w:val="24"/>
          <w:szCs w:val="24"/>
          <w:lang w:val="es-ES"/>
        </w:rPr>
        <w:t>Ginebra, 3 a 11 de octubre de 2016</w:t>
      </w:r>
    </w:p>
    <w:p w:rsidR="008B2CC1" w:rsidRPr="008529C5" w:rsidRDefault="008B2CC1" w:rsidP="008B2CC1">
      <w:pPr>
        <w:rPr>
          <w:lang w:val="es-ES"/>
        </w:rPr>
      </w:pPr>
    </w:p>
    <w:p w:rsidR="008B2CC1" w:rsidRPr="008529C5" w:rsidRDefault="008B2CC1" w:rsidP="008B2CC1">
      <w:pPr>
        <w:rPr>
          <w:lang w:val="es-ES"/>
        </w:rPr>
      </w:pPr>
    </w:p>
    <w:p w:rsidR="008B2CC1" w:rsidRPr="008529C5" w:rsidRDefault="008B2CC1" w:rsidP="008B2CC1">
      <w:pPr>
        <w:rPr>
          <w:lang w:val="es-ES"/>
        </w:rPr>
      </w:pPr>
    </w:p>
    <w:p w:rsidR="00C904CE" w:rsidRPr="008529C5" w:rsidRDefault="001F28A0" w:rsidP="00C904CE">
      <w:pPr>
        <w:rPr>
          <w:caps/>
          <w:sz w:val="24"/>
          <w:szCs w:val="24"/>
          <w:lang w:val="es-ES"/>
        </w:rPr>
      </w:pPr>
      <w:bookmarkStart w:id="4" w:name="TitleOfDoc"/>
      <w:bookmarkEnd w:id="4"/>
      <w:r w:rsidRPr="008529C5">
        <w:rPr>
          <w:caps/>
          <w:sz w:val="24"/>
          <w:szCs w:val="24"/>
          <w:lang w:val="es-ES"/>
        </w:rPr>
        <w:t>ASUNTOS FINANCIEROS RELATIVOS A LA UNIÓN DE LISBOA</w:t>
      </w:r>
    </w:p>
    <w:p w:rsidR="00C904CE" w:rsidRPr="008529C5" w:rsidRDefault="00C904CE" w:rsidP="00C904CE">
      <w:pPr>
        <w:rPr>
          <w:lang w:val="es-ES"/>
        </w:rPr>
      </w:pPr>
    </w:p>
    <w:p w:rsidR="00C904CE" w:rsidRPr="008529C5" w:rsidRDefault="00C904CE" w:rsidP="001F28A0">
      <w:pPr>
        <w:rPr>
          <w:i/>
          <w:lang w:val="es-ES"/>
        </w:rPr>
      </w:pPr>
      <w:r w:rsidRPr="008529C5">
        <w:rPr>
          <w:i/>
          <w:lang w:val="es-ES"/>
        </w:rPr>
        <w:t>Document</w:t>
      </w:r>
      <w:r w:rsidR="001F28A0" w:rsidRPr="008529C5">
        <w:rPr>
          <w:i/>
          <w:lang w:val="es-ES"/>
        </w:rPr>
        <w:t>o preparado por la Oficina Internacional</w:t>
      </w:r>
    </w:p>
    <w:p w:rsidR="00C904CE" w:rsidRPr="008529C5" w:rsidRDefault="00C904CE" w:rsidP="00C904CE">
      <w:pPr>
        <w:rPr>
          <w:lang w:val="es-ES"/>
        </w:rPr>
      </w:pPr>
    </w:p>
    <w:p w:rsidR="00C904CE" w:rsidRPr="008529C5" w:rsidRDefault="00C904CE" w:rsidP="00C904CE">
      <w:pPr>
        <w:rPr>
          <w:lang w:val="es-ES"/>
        </w:rPr>
      </w:pPr>
    </w:p>
    <w:p w:rsidR="00C904CE" w:rsidRPr="008529C5" w:rsidRDefault="00C904CE" w:rsidP="00C904CE">
      <w:pPr>
        <w:rPr>
          <w:lang w:val="es-ES"/>
        </w:rPr>
      </w:pPr>
    </w:p>
    <w:p w:rsidR="00C904CE" w:rsidRPr="008529C5" w:rsidRDefault="00C904CE" w:rsidP="00C904CE">
      <w:pPr>
        <w:rPr>
          <w:lang w:val="es-ES"/>
        </w:rPr>
      </w:pPr>
    </w:p>
    <w:p w:rsidR="00C904CE" w:rsidRPr="008529C5" w:rsidRDefault="001F28A0" w:rsidP="004B0A65">
      <w:pPr>
        <w:pStyle w:val="ONUME"/>
        <w:numPr>
          <w:ilvl w:val="0"/>
          <w:numId w:val="0"/>
        </w:numPr>
        <w:tabs>
          <w:tab w:val="left" w:pos="540"/>
        </w:tabs>
        <w:spacing w:after="0"/>
        <w:rPr>
          <w:b/>
          <w:szCs w:val="22"/>
          <w:lang w:val="es-ES"/>
        </w:rPr>
      </w:pPr>
      <w:r w:rsidRPr="008529C5">
        <w:rPr>
          <w:b/>
          <w:szCs w:val="22"/>
          <w:lang w:val="es-ES"/>
        </w:rPr>
        <w:t>ANTECEDENTES</w:t>
      </w:r>
    </w:p>
    <w:p w:rsidR="004B0A65" w:rsidRPr="008529C5" w:rsidRDefault="004B0A65" w:rsidP="004B0A65">
      <w:pPr>
        <w:tabs>
          <w:tab w:val="left" w:pos="540"/>
        </w:tabs>
        <w:autoSpaceDE w:val="0"/>
        <w:autoSpaceDN w:val="0"/>
        <w:adjustRightInd w:val="0"/>
        <w:rPr>
          <w:rFonts w:eastAsia="Times New Roman"/>
          <w:szCs w:val="22"/>
          <w:lang w:val="es-ES" w:eastAsia="en-US"/>
        </w:rPr>
      </w:pPr>
    </w:p>
    <w:p w:rsidR="00AD0175" w:rsidRPr="008529C5" w:rsidRDefault="001F28A0" w:rsidP="00692330">
      <w:pPr>
        <w:pStyle w:val="ListParagraph"/>
        <w:numPr>
          <w:ilvl w:val="0"/>
          <w:numId w:val="31"/>
        </w:numPr>
        <w:tabs>
          <w:tab w:val="left" w:pos="540"/>
        </w:tabs>
        <w:ind w:left="0" w:firstLine="0"/>
        <w:rPr>
          <w:szCs w:val="22"/>
          <w:lang w:val="es-ES" w:eastAsia="en-US"/>
        </w:rPr>
      </w:pPr>
      <w:r w:rsidRPr="008529C5">
        <w:rPr>
          <w:szCs w:val="22"/>
          <w:lang w:val="es-ES" w:eastAsia="en-US"/>
        </w:rPr>
        <w:t>En la quincuagésima quinta serie de reuniones de las Asambleas de los Estados miembros de la OMPI (5 a 14 de octubre de 2015), las Asambleas de los Estados miembros de la OMPI y de las Uniones, en lo que a cada un</w:t>
      </w:r>
      <w:r w:rsidR="003F2EE9" w:rsidRPr="008529C5">
        <w:rPr>
          <w:szCs w:val="22"/>
          <w:lang w:val="es-ES" w:eastAsia="en-US"/>
        </w:rPr>
        <w:t>a</w:t>
      </w:r>
      <w:r w:rsidRPr="008529C5">
        <w:rPr>
          <w:szCs w:val="22"/>
          <w:lang w:val="es-ES" w:eastAsia="en-US"/>
        </w:rPr>
        <w:t xml:space="preserve"> le concierne, tomaron nota de la decisión de la Asamblea de la Unión de Lisboa</w:t>
      </w:r>
      <w:r w:rsidRPr="008529C5">
        <w:rPr>
          <w:rStyle w:val="FootnoteReference"/>
          <w:lang w:val="es-ES"/>
        </w:rPr>
        <w:footnoteReference w:id="2"/>
      </w:r>
      <w:r w:rsidRPr="008529C5">
        <w:rPr>
          <w:lang w:val="es-ES"/>
        </w:rPr>
        <w:t xml:space="preserve"> de que</w:t>
      </w:r>
      <w:r w:rsidR="00692330" w:rsidRPr="008529C5">
        <w:rPr>
          <w:lang w:val="es-ES"/>
        </w:rPr>
        <w:t>,</w:t>
      </w:r>
      <w:r w:rsidRPr="008529C5">
        <w:rPr>
          <w:lang w:val="es-ES"/>
        </w:rPr>
        <w:t xml:space="preserve"> en las Asambleas de 2016</w:t>
      </w:r>
      <w:r w:rsidR="00692330" w:rsidRPr="008529C5">
        <w:rPr>
          <w:lang w:val="es-ES"/>
        </w:rPr>
        <w:t>,</w:t>
      </w:r>
      <w:r w:rsidRPr="008529C5">
        <w:rPr>
          <w:lang w:val="es-ES"/>
        </w:rPr>
        <w:t xml:space="preserve"> se adopten medidas para eliminar el déficit previsto </w:t>
      </w:r>
      <w:r w:rsidR="00555B6A" w:rsidRPr="008529C5">
        <w:rPr>
          <w:lang w:val="es-ES"/>
        </w:rPr>
        <w:t>en</w:t>
      </w:r>
      <w:r w:rsidRPr="008529C5">
        <w:rPr>
          <w:lang w:val="es-ES"/>
        </w:rPr>
        <w:t xml:space="preserve"> la Unión de Lisboa </w:t>
      </w:r>
      <w:r w:rsidR="00555B6A" w:rsidRPr="008529C5">
        <w:rPr>
          <w:lang w:val="es-ES"/>
        </w:rPr>
        <w:t xml:space="preserve">para el bienio </w:t>
      </w:r>
      <w:r w:rsidRPr="008529C5">
        <w:rPr>
          <w:lang w:val="es-ES"/>
        </w:rPr>
        <w:t xml:space="preserve">que se </w:t>
      </w:r>
      <w:r w:rsidR="00555B6A" w:rsidRPr="008529C5">
        <w:rPr>
          <w:lang w:val="es-ES"/>
        </w:rPr>
        <w:t>señala</w:t>
      </w:r>
      <w:r w:rsidRPr="008529C5">
        <w:rPr>
          <w:lang w:val="es-ES"/>
        </w:rPr>
        <w:t xml:space="preserve"> en el presupuesto por programas de la OMPI </w:t>
      </w:r>
      <w:r w:rsidR="00555B6A" w:rsidRPr="008529C5">
        <w:rPr>
          <w:lang w:val="es-ES"/>
        </w:rPr>
        <w:t>del</w:t>
      </w:r>
      <w:r w:rsidRPr="008529C5">
        <w:rPr>
          <w:lang w:val="es-ES"/>
        </w:rPr>
        <w:t xml:space="preserve"> bienio 2016/17 (esto es, 1</w:t>
      </w:r>
      <w:r w:rsidR="00E345A6" w:rsidRPr="008529C5">
        <w:rPr>
          <w:lang w:val="es-ES"/>
        </w:rPr>
        <w:t>.523.000</w:t>
      </w:r>
      <w:r w:rsidR="00555B6A" w:rsidRPr="008529C5">
        <w:rPr>
          <w:lang w:val="es-ES"/>
        </w:rPr>
        <w:t xml:space="preserve"> francos suizos).  Las Asambleas de los Estados miembros de</w:t>
      </w:r>
      <w:r w:rsidR="003F2EE9" w:rsidRPr="008529C5">
        <w:rPr>
          <w:lang w:val="es-ES"/>
        </w:rPr>
        <w:t xml:space="preserve"> </w:t>
      </w:r>
      <w:r w:rsidR="00555B6A" w:rsidRPr="008529C5">
        <w:rPr>
          <w:lang w:val="es-ES"/>
        </w:rPr>
        <w:t>la OMPI y de las Uniones, en lo que a cada un</w:t>
      </w:r>
      <w:r w:rsidR="003F2EE9" w:rsidRPr="008529C5">
        <w:rPr>
          <w:lang w:val="es-ES"/>
        </w:rPr>
        <w:t>a</w:t>
      </w:r>
      <w:r w:rsidR="00555B6A" w:rsidRPr="008529C5">
        <w:rPr>
          <w:lang w:val="es-ES"/>
        </w:rPr>
        <w:t xml:space="preserve"> le concierne, decidieron asimismo “aprobar la concesión de un préstamo a la Unión de Lisboa, con cargo a las reservas de las uniones financiadas mediante contribuciones, con el fin de financiar las operaciones del Sistema de Lisboa en el bienio 2016/17, en el caso de que esas medidas no sean suficientes para cubrir el déficit previsto para el bienio.  El préstamo concedido no devengará intereses y será reembolsado cuando las reservas de la Unión de Lisboa lo permitan” (documento A/55/13, párrafos 231 y 235)</w:t>
      </w:r>
      <w:r w:rsidR="00AD0175" w:rsidRPr="008529C5">
        <w:rPr>
          <w:szCs w:val="22"/>
          <w:lang w:val="es-ES"/>
        </w:rPr>
        <w:t>.</w:t>
      </w:r>
    </w:p>
    <w:p w:rsidR="001F1156" w:rsidRPr="008529C5" w:rsidRDefault="001F1156">
      <w:pPr>
        <w:rPr>
          <w:szCs w:val="22"/>
          <w:lang w:val="es-ES" w:eastAsia="en-US"/>
        </w:rPr>
      </w:pPr>
      <w:r w:rsidRPr="008529C5">
        <w:rPr>
          <w:szCs w:val="22"/>
          <w:lang w:val="es-ES" w:eastAsia="en-US"/>
        </w:rPr>
        <w:br w:type="page"/>
      </w:r>
    </w:p>
    <w:p w:rsidR="00D60D6D" w:rsidRPr="008529C5" w:rsidRDefault="008B058F" w:rsidP="009E7075">
      <w:pPr>
        <w:pStyle w:val="ListParagraph"/>
        <w:numPr>
          <w:ilvl w:val="0"/>
          <w:numId w:val="31"/>
        </w:numPr>
        <w:tabs>
          <w:tab w:val="left" w:pos="540"/>
        </w:tabs>
        <w:ind w:left="0" w:firstLine="0"/>
        <w:rPr>
          <w:szCs w:val="22"/>
          <w:lang w:val="es-ES" w:eastAsia="en-US"/>
        </w:rPr>
      </w:pPr>
      <w:r w:rsidRPr="008529C5">
        <w:rPr>
          <w:szCs w:val="22"/>
          <w:lang w:val="es-ES" w:eastAsia="en-US"/>
        </w:rPr>
        <w:lastRenderedPageBreak/>
        <w:t xml:space="preserve">Además, en su trigésimo segundo período de sesiones (21º ordinario), la Asamblea de la Unión de Lisboa decidió que la Unión de Lisboa debería aprovechar las reuniones del Grupo de Trabajo encargado de preparar el Reglamento Común del Arreglo de Lisboa y del Acta de Ginebra del Arreglo de Lisboa (en lo sucesivo, “el Grupo de Trabajo”) </w:t>
      </w:r>
      <w:r w:rsidR="009E7075" w:rsidRPr="008529C5">
        <w:rPr>
          <w:szCs w:val="22"/>
          <w:lang w:val="es-ES" w:eastAsia="en-US"/>
        </w:rPr>
        <w:t>para</w:t>
      </w:r>
      <w:r w:rsidRPr="008529C5">
        <w:rPr>
          <w:szCs w:val="22"/>
          <w:lang w:val="es-ES" w:eastAsia="en-US"/>
        </w:rPr>
        <w:t xml:space="preserve"> examinar la sostenibilidad financiera de la Unión de Lisboa, incluidas las opciones contenidas en el documento </w:t>
      </w:r>
      <w:r w:rsidRPr="008529C5">
        <w:rPr>
          <w:rFonts w:eastAsia="Times New Roman"/>
          <w:color w:val="000000"/>
          <w:szCs w:val="22"/>
          <w:lang w:val="es-ES" w:eastAsia="en-US"/>
        </w:rPr>
        <w:t xml:space="preserve">LI/A/32/3 o cualquier otra solución práctica, y presentar una propuesta en el próximo período de sesiones de la Asamblea de 2016 (documento </w:t>
      </w:r>
      <w:r w:rsidR="002E5BEA" w:rsidRPr="008529C5">
        <w:rPr>
          <w:szCs w:val="22"/>
          <w:lang w:val="es-ES"/>
        </w:rPr>
        <w:t xml:space="preserve">LI/A/32/5, </w:t>
      </w:r>
      <w:r w:rsidRPr="008529C5">
        <w:rPr>
          <w:szCs w:val="22"/>
          <w:lang w:val="es-ES"/>
        </w:rPr>
        <w:t>párrafo 73.</w:t>
      </w:r>
      <w:r w:rsidR="002E5BEA" w:rsidRPr="008529C5">
        <w:rPr>
          <w:szCs w:val="22"/>
          <w:lang w:val="es-ES"/>
        </w:rPr>
        <w:t>iii)</w:t>
      </w:r>
      <w:r w:rsidR="007F1249" w:rsidRPr="008529C5">
        <w:rPr>
          <w:szCs w:val="22"/>
          <w:lang w:val="es-ES"/>
        </w:rPr>
        <w:t>)</w:t>
      </w:r>
      <w:r w:rsidR="002E5BEA" w:rsidRPr="008529C5">
        <w:rPr>
          <w:szCs w:val="22"/>
          <w:lang w:val="es-ES"/>
        </w:rPr>
        <w:t>.</w:t>
      </w:r>
    </w:p>
    <w:p w:rsidR="00C904CE" w:rsidRPr="008529C5" w:rsidRDefault="00C904CE" w:rsidP="004B0A65">
      <w:pPr>
        <w:pStyle w:val="ONUME"/>
        <w:numPr>
          <w:ilvl w:val="0"/>
          <w:numId w:val="0"/>
        </w:numPr>
        <w:tabs>
          <w:tab w:val="left" w:pos="540"/>
        </w:tabs>
        <w:spacing w:after="0"/>
        <w:rPr>
          <w:szCs w:val="22"/>
          <w:lang w:val="es-ES"/>
        </w:rPr>
      </w:pPr>
    </w:p>
    <w:p w:rsidR="005B3204" w:rsidRPr="008529C5" w:rsidRDefault="005B3204" w:rsidP="004B0A65">
      <w:pPr>
        <w:pStyle w:val="ONUME"/>
        <w:numPr>
          <w:ilvl w:val="0"/>
          <w:numId w:val="0"/>
        </w:numPr>
        <w:tabs>
          <w:tab w:val="left" w:pos="540"/>
        </w:tabs>
        <w:spacing w:after="0"/>
        <w:rPr>
          <w:szCs w:val="22"/>
          <w:lang w:val="es-ES"/>
        </w:rPr>
      </w:pPr>
    </w:p>
    <w:p w:rsidR="00CC6841" w:rsidRPr="008529C5" w:rsidRDefault="0033094F" w:rsidP="004B0A65">
      <w:pPr>
        <w:pStyle w:val="ONUME"/>
        <w:numPr>
          <w:ilvl w:val="0"/>
          <w:numId w:val="0"/>
        </w:numPr>
        <w:tabs>
          <w:tab w:val="left" w:pos="540"/>
        </w:tabs>
        <w:spacing w:after="0"/>
        <w:rPr>
          <w:b/>
          <w:szCs w:val="22"/>
          <w:lang w:val="es-ES"/>
        </w:rPr>
      </w:pPr>
      <w:r w:rsidRPr="008529C5">
        <w:rPr>
          <w:b/>
          <w:szCs w:val="22"/>
          <w:lang w:val="es-ES"/>
        </w:rPr>
        <w:t>SOSTENIBILIDAD FINANCIERA DE LA UNIÓN DE LISBOA</w:t>
      </w:r>
    </w:p>
    <w:p w:rsidR="00C904CE" w:rsidRPr="008529C5" w:rsidRDefault="00C904CE" w:rsidP="004B0A65">
      <w:pPr>
        <w:tabs>
          <w:tab w:val="left" w:pos="540"/>
        </w:tabs>
        <w:rPr>
          <w:rFonts w:eastAsia="Times New Roman"/>
          <w:szCs w:val="22"/>
          <w:lang w:val="es-ES" w:eastAsia="en-US"/>
        </w:rPr>
      </w:pPr>
    </w:p>
    <w:p w:rsidR="00484420" w:rsidRPr="008529C5" w:rsidRDefault="00484420" w:rsidP="00484420">
      <w:pPr>
        <w:pStyle w:val="ONUME"/>
        <w:numPr>
          <w:ilvl w:val="0"/>
          <w:numId w:val="31"/>
        </w:numPr>
        <w:tabs>
          <w:tab w:val="left" w:pos="540"/>
        </w:tabs>
        <w:autoSpaceDE w:val="0"/>
        <w:autoSpaceDN w:val="0"/>
        <w:adjustRightInd w:val="0"/>
        <w:spacing w:after="0"/>
        <w:ind w:left="0" w:firstLine="0"/>
        <w:rPr>
          <w:szCs w:val="22"/>
          <w:lang w:val="es-ES"/>
        </w:rPr>
      </w:pPr>
      <w:r w:rsidRPr="008529C5">
        <w:rPr>
          <w:szCs w:val="22"/>
          <w:lang w:val="es-ES"/>
        </w:rPr>
        <w:t xml:space="preserve">Durante la primera reunión del Grupo de Trabajo, que se celebró en Ginebra del 7 al 9 de junio de 2016, el Grupo de Trabajo se remitió a los documentos </w:t>
      </w:r>
      <w:r w:rsidRPr="008529C5">
        <w:rPr>
          <w:rFonts w:eastAsia="Times New Roman"/>
          <w:szCs w:val="22"/>
          <w:lang w:val="es-ES" w:eastAsia="en-US"/>
        </w:rPr>
        <w:t>LI/A/32/3 (Opciones para la sostenibilidad financiera de la Unión de Lisboa), LI/A/32/2 (Propuesta de actualización de la tabla de tasas en el marco de la Regla 23 del Reglamento del Arreglo de Lisboa) y LI/A/32/4 (Propuesta de creación de un fondo de operaciones para la Unión de Lisboa)</w:t>
      </w:r>
      <w:r w:rsidRPr="008529C5">
        <w:rPr>
          <w:rStyle w:val="FootnoteReference"/>
          <w:rFonts w:eastAsia="Times New Roman"/>
          <w:szCs w:val="22"/>
          <w:lang w:val="es-ES" w:eastAsia="en-US"/>
        </w:rPr>
        <w:footnoteReference w:id="3"/>
      </w:r>
      <w:r w:rsidRPr="008529C5">
        <w:rPr>
          <w:rFonts w:eastAsia="Times New Roman"/>
          <w:szCs w:val="22"/>
          <w:lang w:val="es-ES" w:eastAsia="en-US"/>
        </w:rPr>
        <w:t>.</w:t>
      </w:r>
    </w:p>
    <w:p w:rsidR="005B3204" w:rsidRPr="008529C5" w:rsidRDefault="005B3204" w:rsidP="004B0A65">
      <w:pPr>
        <w:tabs>
          <w:tab w:val="left" w:pos="540"/>
        </w:tabs>
        <w:rPr>
          <w:szCs w:val="22"/>
          <w:lang w:val="es-ES"/>
        </w:rPr>
      </w:pPr>
    </w:p>
    <w:p w:rsidR="005B3204" w:rsidRPr="008529C5" w:rsidRDefault="00A11512" w:rsidP="00A11512">
      <w:pPr>
        <w:pStyle w:val="ONUME"/>
        <w:numPr>
          <w:ilvl w:val="0"/>
          <w:numId w:val="0"/>
        </w:numPr>
        <w:tabs>
          <w:tab w:val="left" w:pos="540"/>
        </w:tabs>
        <w:spacing w:after="0"/>
        <w:rPr>
          <w:szCs w:val="22"/>
          <w:lang w:val="es-ES"/>
        </w:rPr>
      </w:pPr>
      <w:r w:rsidRPr="008529C5">
        <w:rPr>
          <w:szCs w:val="22"/>
          <w:lang w:val="es-ES"/>
        </w:rPr>
        <w:t>4.</w:t>
      </w:r>
      <w:r w:rsidRPr="008529C5">
        <w:rPr>
          <w:szCs w:val="22"/>
          <w:lang w:val="es-ES"/>
        </w:rPr>
        <w:tab/>
      </w:r>
      <w:r w:rsidR="00484420" w:rsidRPr="008529C5">
        <w:rPr>
          <w:szCs w:val="22"/>
          <w:lang w:val="es-ES"/>
        </w:rPr>
        <w:t>El Presidente del Grupo de Trabajo observó que el Grupo de Trabajo</w:t>
      </w:r>
      <w:r w:rsidR="00293E95" w:rsidRPr="00546A05">
        <w:rPr>
          <w:szCs w:val="22"/>
          <w:lang w:val="es-ES"/>
        </w:rPr>
        <w:t xml:space="preserve"> conviene</w:t>
      </w:r>
      <w:r w:rsidR="00484420" w:rsidRPr="008529C5">
        <w:rPr>
          <w:szCs w:val="22"/>
          <w:lang w:val="es-ES"/>
        </w:rPr>
        <w:t xml:space="preserve"> en que </w:t>
      </w:r>
      <w:r w:rsidR="00484420" w:rsidRPr="008529C5">
        <w:rPr>
          <w:lang w:val="es-ES"/>
        </w:rPr>
        <w:t xml:space="preserve">han de adoptarse medidas para la sostenibilidad financiera a largo plazo de la Unión de Lisboa, entre las que figuran seguir debatiendo la posibilidad de un aumento gradual de las tasas y el establecimiento de un sistema de contribución que sea objeto de examen y acuerdo en el futuro.  Además, las delegaciones recordaron la importancia de </w:t>
      </w:r>
      <w:r w:rsidR="00293E95" w:rsidRPr="00546A05">
        <w:rPr>
          <w:szCs w:val="22"/>
          <w:lang w:val="es-ES"/>
        </w:rPr>
        <w:t xml:space="preserve">la promoción del </w:t>
      </w:r>
      <w:r w:rsidRPr="008529C5">
        <w:rPr>
          <w:lang w:val="es-ES"/>
        </w:rPr>
        <w:t>Sistema de Lisboa, que debe efectuar el</w:t>
      </w:r>
      <w:r w:rsidR="00484420" w:rsidRPr="008529C5">
        <w:rPr>
          <w:lang w:val="es-ES"/>
        </w:rPr>
        <w:t xml:space="preserve"> Registro de Lisboa </w:t>
      </w:r>
      <w:r w:rsidRPr="008529C5">
        <w:rPr>
          <w:lang w:val="es-ES"/>
        </w:rPr>
        <w:t>con el fin de</w:t>
      </w:r>
      <w:r w:rsidR="00C90B08" w:rsidRPr="008529C5">
        <w:rPr>
          <w:lang w:val="es-ES"/>
        </w:rPr>
        <w:t xml:space="preserve"> lograr la adhesión de nuevas Partes Contratantes, </w:t>
      </w:r>
      <w:r w:rsidRPr="008529C5">
        <w:rPr>
          <w:lang w:val="es-ES"/>
        </w:rPr>
        <w:t xml:space="preserve">lo que contribuirá a </w:t>
      </w:r>
      <w:r w:rsidR="00293E95">
        <w:rPr>
          <w:lang w:val="es-ES"/>
        </w:rPr>
        <w:t xml:space="preserve">repartir </w:t>
      </w:r>
      <w:r w:rsidR="00484420" w:rsidRPr="008529C5">
        <w:rPr>
          <w:lang w:val="es-ES"/>
        </w:rPr>
        <w:t xml:space="preserve">la carga financiera entre un mayor número de miembros, </w:t>
      </w:r>
      <w:r w:rsidRPr="008529C5">
        <w:rPr>
          <w:lang w:val="es-ES"/>
        </w:rPr>
        <w:t>y</w:t>
      </w:r>
      <w:r w:rsidR="00484420" w:rsidRPr="008529C5">
        <w:rPr>
          <w:lang w:val="es-ES"/>
        </w:rPr>
        <w:t xml:space="preserve"> que incumbe también a cada Estado miembro</w:t>
      </w:r>
      <w:r w:rsidRPr="008529C5">
        <w:rPr>
          <w:lang w:val="es-ES"/>
        </w:rPr>
        <w:t>,</w:t>
      </w:r>
      <w:r w:rsidR="00484420" w:rsidRPr="008529C5">
        <w:rPr>
          <w:lang w:val="es-ES"/>
        </w:rPr>
        <w:t xml:space="preserve"> a fin de aumentar en </w:t>
      </w:r>
      <w:r w:rsidR="00293E95" w:rsidRPr="00546A05">
        <w:rPr>
          <w:szCs w:val="22"/>
          <w:lang w:val="es-ES"/>
        </w:rPr>
        <w:t xml:space="preserve">toda </w:t>
      </w:r>
      <w:r w:rsidR="00484420" w:rsidRPr="008529C5">
        <w:rPr>
          <w:lang w:val="es-ES"/>
        </w:rPr>
        <w:t>la</w:t>
      </w:r>
      <w:r w:rsidRPr="008529C5">
        <w:rPr>
          <w:lang w:val="es-ES"/>
        </w:rPr>
        <w:t xml:space="preserve"> </w:t>
      </w:r>
      <w:r w:rsidR="00484420" w:rsidRPr="008529C5">
        <w:rPr>
          <w:lang w:val="es-ES"/>
        </w:rPr>
        <w:t xml:space="preserve">medida </w:t>
      </w:r>
      <w:r w:rsidR="00FA33CC">
        <w:rPr>
          <w:lang w:val="es-ES"/>
        </w:rPr>
        <w:t xml:space="preserve">de lo </w:t>
      </w:r>
      <w:r w:rsidR="00484420" w:rsidRPr="008529C5">
        <w:rPr>
          <w:lang w:val="es-ES"/>
        </w:rPr>
        <w:t xml:space="preserve">posible el número de solicitudes que se presentan.  A ese respecto, dos delegaciones observadoras han dicho que la OMPI debería llevar a cabo actividades de </w:t>
      </w:r>
      <w:r w:rsidRPr="008529C5">
        <w:rPr>
          <w:lang w:val="es-ES"/>
        </w:rPr>
        <w:t>promoción</w:t>
      </w:r>
      <w:r w:rsidR="00484420" w:rsidRPr="008529C5">
        <w:rPr>
          <w:lang w:val="es-ES"/>
        </w:rPr>
        <w:t xml:space="preserve"> de las indicaciones geográficas de manera equilibrada.  Una delegación miembro ha planteado en qué medida no debería examinarse en un contexto más amplio la cuestión </w:t>
      </w:r>
      <w:r w:rsidRPr="008529C5">
        <w:rPr>
          <w:lang w:val="es-ES"/>
        </w:rPr>
        <w:t>de la promoción equilibrada</w:t>
      </w:r>
      <w:r w:rsidR="009E7075" w:rsidRPr="008529C5">
        <w:rPr>
          <w:lang w:val="es-ES"/>
        </w:rPr>
        <w:t>.</w:t>
      </w:r>
      <w:r w:rsidR="00B97F1D" w:rsidRPr="008529C5">
        <w:rPr>
          <w:rStyle w:val="FootnoteReference"/>
          <w:szCs w:val="22"/>
          <w:lang w:val="es-ES"/>
        </w:rPr>
        <w:footnoteReference w:id="4"/>
      </w:r>
    </w:p>
    <w:p w:rsidR="005B3204" w:rsidRPr="008529C5" w:rsidRDefault="005B3204" w:rsidP="004B0A65">
      <w:pPr>
        <w:tabs>
          <w:tab w:val="left" w:pos="540"/>
        </w:tabs>
        <w:rPr>
          <w:szCs w:val="22"/>
          <w:lang w:val="es-ES"/>
        </w:rPr>
      </w:pPr>
    </w:p>
    <w:p w:rsidR="005B3204" w:rsidRPr="008529C5" w:rsidRDefault="00FF323B" w:rsidP="00FF323B">
      <w:pPr>
        <w:pStyle w:val="ONUME"/>
        <w:numPr>
          <w:ilvl w:val="0"/>
          <w:numId w:val="0"/>
        </w:numPr>
        <w:tabs>
          <w:tab w:val="left" w:pos="540"/>
        </w:tabs>
        <w:spacing w:after="0"/>
        <w:rPr>
          <w:szCs w:val="22"/>
          <w:lang w:val="es-ES"/>
        </w:rPr>
      </w:pPr>
      <w:r w:rsidRPr="008529C5">
        <w:rPr>
          <w:szCs w:val="22"/>
          <w:lang w:val="es-ES"/>
        </w:rPr>
        <w:t>5.</w:t>
      </w:r>
      <w:r w:rsidRPr="008529C5">
        <w:rPr>
          <w:szCs w:val="22"/>
          <w:lang w:val="es-ES"/>
        </w:rPr>
        <w:tab/>
      </w:r>
      <w:r w:rsidR="00C90B08" w:rsidRPr="008529C5">
        <w:rPr>
          <w:szCs w:val="22"/>
          <w:lang w:val="es-ES"/>
        </w:rPr>
        <w:t>Por último, el Grupo de Trabajo pidió a la Secretaría que organice reuniones para los miembros de la Unión de Lisboa a fin de preparar, con la asistencia de la Secretaría, propuestas destinadas a examinar la sostenibilidad financiera a largo plazo de la Unión de Lisboa a tiempo para que sean examinadas en el siguiente período de sesiones de la Asamblea de la Unión de Lisboa</w:t>
      </w:r>
      <w:r w:rsidR="009E7075" w:rsidRPr="008529C5">
        <w:rPr>
          <w:szCs w:val="22"/>
          <w:lang w:val="es-ES"/>
        </w:rPr>
        <w:t>,</w:t>
      </w:r>
      <w:r w:rsidR="00C90B08" w:rsidRPr="008529C5">
        <w:rPr>
          <w:szCs w:val="22"/>
          <w:lang w:val="es-ES"/>
        </w:rPr>
        <w:t xml:space="preserve"> de conformidad con la decisión de dicha Asamblea (documento LI/A/32/5, párrafo 73.iii))</w:t>
      </w:r>
      <w:r w:rsidR="005B3204" w:rsidRPr="008529C5">
        <w:rPr>
          <w:szCs w:val="22"/>
          <w:lang w:val="es-ES"/>
        </w:rPr>
        <w:t>.</w:t>
      </w:r>
    </w:p>
    <w:p w:rsidR="005B3204" w:rsidRPr="008529C5" w:rsidRDefault="005B3204" w:rsidP="004B0A65">
      <w:pPr>
        <w:pStyle w:val="ONUME"/>
        <w:numPr>
          <w:ilvl w:val="0"/>
          <w:numId w:val="0"/>
        </w:numPr>
        <w:tabs>
          <w:tab w:val="left" w:pos="540"/>
        </w:tabs>
        <w:spacing w:after="0"/>
        <w:rPr>
          <w:szCs w:val="22"/>
          <w:lang w:val="es-ES"/>
        </w:rPr>
      </w:pPr>
    </w:p>
    <w:p w:rsidR="005B3204" w:rsidRPr="008529C5" w:rsidRDefault="005B3204" w:rsidP="004B0A65">
      <w:pPr>
        <w:pStyle w:val="ONUME"/>
        <w:numPr>
          <w:ilvl w:val="0"/>
          <w:numId w:val="0"/>
        </w:numPr>
        <w:tabs>
          <w:tab w:val="left" w:pos="540"/>
        </w:tabs>
        <w:spacing w:after="0"/>
        <w:rPr>
          <w:szCs w:val="22"/>
          <w:lang w:val="es-ES"/>
        </w:rPr>
      </w:pPr>
    </w:p>
    <w:p w:rsidR="005B3204" w:rsidRPr="008529C5" w:rsidRDefault="00C90B08" w:rsidP="009E7075">
      <w:pPr>
        <w:pStyle w:val="ONUME"/>
        <w:numPr>
          <w:ilvl w:val="0"/>
          <w:numId w:val="0"/>
        </w:numPr>
        <w:tabs>
          <w:tab w:val="left" w:pos="540"/>
        </w:tabs>
        <w:spacing w:after="0"/>
        <w:rPr>
          <w:b/>
          <w:szCs w:val="22"/>
          <w:lang w:val="es-ES"/>
        </w:rPr>
      </w:pPr>
      <w:r w:rsidRPr="008529C5">
        <w:rPr>
          <w:b/>
          <w:szCs w:val="22"/>
          <w:lang w:val="es-ES"/>
        </w:rPr>
        <w:t xml:space="preserve">DÉFICIT </w:t>
      </w:r>
      <w:r w:rsidR="009E7075" w:rsidRPr="008529C5">
        <w:rPr>
          <w:b/>
          <w:szCs w:val="22"/>
          <w:lang w:val="es-ES"/>
        </w:rPr>
        <w:t>EN</w:t>
      </w:r>
      <w:r w:rsidRPr="008529C5">
        <w:rPr>
          <w:b/>
          <w:szCs w:val="22"/>
          <w:lang w:val="es-ES"/>
        </w:rPr>
        <w:t xml:space="preserve"> LA UNIÓN DE LISBOA</w:t>
      </w:r>
    </w:p>
    <w:p w:rsidR="00C904CE" w:rsidRPr="008529C5" w:rsidRDefault="00C904CE" w:rsidP="004B0A65">
      <w:pPr>
        <w:pStyle w:val="ONUME"/>
        <w:numPr>
          <w:ilvl w:val="0"/>
          <w:numId w:val="0"/>
        </w:numPr>
        <w:tabs>
          <w:tab w:val="left" w:pos="540"/>
        </w:tabs>
        <w:spacing w:after="0"/>
        <w:rPr>
          <w:szCs w:val="22"/>
          <w:lang w:val="es-ES"/>
        </w:rPr>
      </w:pPr>
    </w:p>
    <w:p w:rsidR="0049267B" w:rsidRPr="008529C5" w:rsidRDefault="00FF323B" w:rsidP="00FF323B">
      <w:pPr>
        <w:pStyle w:val="ONUME"/>
        <w:numPr>
          <w:ilvl w:val="0"/>
          <w:numId w:val="0"/>
        </w:numPr>
        <w:tabs>
          <w:tab w:val="left" w:pos="540"/>
        </w:tabs>
        <w:rPr>
          <w:szCs w:val="22"/>
          <w:lang w:val="es-ES"/>
        </w:rPr>
      </w:pPr>
      <w:r w:rsidRPr="008529C5">
        <w:rPr>
          <w:szCs w:val="22"/>
          <w:lang w:val="es-ES"/>
        </w:rPr>
        <w:t>6.</w:t>
      </w:r>
      <w:r w:rsidRPr="008529C5">
        <w:rPr>
          <w:szCs w:val="22"/>
          <w:lang w:val="es-ES"/>
        </w:rPr>
        <w:tab/>
      </w:r>
      <w:r w:rsidR="00630AC7" w:rsidRPr="008529C5">
        <w:rPr>
          <w:szCs w:val="22"/>
          <w:lang w:val="es-ES"/>
        </w:rPr>
        <w:t>En la primera reunión del Grupo de Trabajo, los miembros de la Unión de Lisboa intercambiaron puntos de vista acerca de las posibles medidas que deben adoptar</w:t>
      </w:r>
      <w:r w:rsidR="009E7075" w:rsidRPr="008529C5">
        <w:rPr>
          <w:szCs w:val="22"/>
          <w:lang w:val="es-ES"/>
        </w:rPr>
        <w:t>se en</w:t>
      </w:r>
      <w:r w:rsidR="00630AC7" w:rsidRPr="008529C5">
        <w:rPr>
          <w:szCs w:val="22"/>
          <w:lang w:val="es-ES"/>
        </w:rPr>
        <w:t xml:space="preserve"> las Asambleas </w:t>
      </w:r>
      <w:r w:rsidR="009E7075" w:rsidRPr="008529C5">
        <w:rPr>
          <w:szCs w:val="22"/>
          <w:lang w:val="es-ES"/>
        </w:rPr>
        <w:t>de</w:t>
      </w:r>
      <w:r w:rsidR="00630AC7" w:rsidRPr="008529C5">
        <w:rPr>
          <w:szCs w:val="22"/>
          <w:lang w:val="es-ES"/>
        </w:rPr>
        <w:t xml:space="preserve"> 2016 para eliminar el déficit previsto para el bienio en la Unión de Lisboa que se señala en el presupuesto por programas de la OMPI del bienio 2016/17 (1</w:t>
      </w:r>
      <w:r w:rsidR="00E345A6" w:rsidRPr="008529C5">
        <w:rPr>
          <w:szCs w:val="22"/>
          <w:lang w:val="es-ES"/>
        </w:rPr>
        <w:t>.</w:t>
      </w:r>
      <w:r w:rsidR="00630AC7" w:rsidRPr="008529C5">
        <w:rPr>
          <w:szCs w:val="22"/>
          <w:lang w:val="es-ES"/>
        </w:rPr>
        <w:t>523</w:t>
      </w:r>
      <w:r w:rsidR="00E345A6" w:rsidRPr="008529C5">
        <w:rPr>
          <w:szCs w:val="22"/>
          <w:lang w:val="es-ES"/>
        </w:rPr>
        <w:t>.000</w:t>
      </w:r>
      <w:r w:rsidR="00630AC7" w:rsidRPr="008529C5">
        <w:rPr>
          <w:szCs w:val="22"/>
          <w:lang w:val="es-ES"/>
        </w:rPr>
        <w:t xml:space="preserve"> francos suizos)</w:t>
      </w:r>
      <w:r w:rsidR="0049267B" w:rsidRPr="008529C5">
        <w:rPr>
          <w:szCs w:val="22"/>
          <w:lang w:val="es-ES"/>
        </w:rPr>
        <w:t>.</w:t>
      </w:r>
    </w:p>
    <w:p w:rsidR="005B3204" w:rsidRPr="008529C5" w:rsidRDefault="00FF323B" w:rsidP="00FF323B">
      <w:pPr>
        <w:pStyle w:val="ONUME"/>
        <w:numPr>
          <w:ilvl w:val="0"/>
          <w:numId w:val="0"/>
        </w:numPr>
        <w:tabs>
          <w:tab w:val="left" w:pos="540"/>
        </w:tabs>
        <w:rPr>
          <w:szCs w:val="22"/>
          <w:lang w:val="es-ES"/>
        </w:rPr>
      </w:pPr>
      <w:r w:rsidRPr="008529C5">
        <w:rPr>
          <w:szCs w:val="22"/>
          <w:lang w:val="es-ES"/>
        </w:rPr>
        <w:t>7.</w:t>
      </w:r>
      <w:r w:rsidRPr="008529C5">
        <w:rPr>
          <w:szCs w:val="22"/>
          <w:lang w:val="es-ES"/>
        </w:rPr>
        <w:tab/>
      </w:r>
      <w:r w:rsidR="00630AC7" w:rsidRPr="008529C5">
        <w:rPr>
          <w:szCs w:val="22"/>
          <w:lang w:val="es-ES"/>
        </w:rPr>
        <w:t xml:space="preserve">A ese respecto, el Presidente observó que algunos miembros de la Unión de Lisboa han anunciado </w:t>
      </w:r>
      <w:r w:rsidR="0027359D" w:rsidRPr="00546A05">
        <w:rPr>
          <w:szCs w:val="22"/>
          <w:lang w:val="es-ES"/>
        </w:rPr>
        <w:t>que están dispuestos a hacer pagos voluntarios a fin de</w:t>
      </w:r>
      <w:r w:rsidR="0027359D" w:rsidRPr="008529C5">
        <w:rPr>
          <w:szCs w:val="22"/>
          <w:lang w:val="es-ES"/>
        </w:rPr>
        <w:t xml:space="preserve"> </w:t>
      </w:r>
      <w:r w:rsidR="00630AC7" w:rsidRPr="008529C5">
        <w:rPr>
          <w:szCs w:val="22"/>
          <w:lang w:val="es-ES"/>
        </w:rPr>
        <w:t>eliminar el déficit previsto para el bienio en la Unión de Lisboa</w:t>
      </w:r>
      <w:r w:rsidR="009E7075" w:rsidRPr="008529C5">
        <w:rPr>
          <w:szCs w:val="22"/>
          <w:lang w:val="es-ES"/>
        </w:rPr>
        <w:t>,</w:t>
      </w:r>
      <w:r w:rsidR="00630AC7" w:rsidRPr="008529C5">
        <w:rPr>
          <w:szCs w:val="22"/>
          <w:lang w:val="es-ES"/>
        </w:rPr>
        <w:t xml:space="preserve"> y que </w:t>
      </w:r>
      <w:r w:rsidR="0027359D">
        <w:rPr>
          <w:szCs w:val="22"/>
          <w:lang w:val="es-ES"/>
        </w:rPr>
        <w:t>tomarán</w:t>
      </w:r>
      <w:r w:rsidR="0027359D" w:rsidRPr="008529C5">
        <w:rPr>
          <w:szCs w:val="22"/>
          <w:lang w:val="es-ES"/>
        </w:rPr>
        <w:t xml:space="preserve"> </w:t>
      </w:r>
      <w:r w:rsidR="00630AC7" w:rsidRPr="008529C5">
        <w:rPr>
          <w:szCs w:val="22"/>
          <w:lang w:val="es-ES"/>
        </w:rPr>
        <w:t>las med</w:t>
      </w:r>
      <w:r w:rsidRPr="008529C5">
        <w:rPr>
          <w:szCs w:val="22"/>
          <w:lang w:val="es-ES"/>
        </w:rPr>
        <w:t xml:space="preserve">idas necesarias </w:t>
      </w:r>
      <w:r w:rsidR="0027359D" w:rsidRPr="00546A05">
        <w:rPr>
          <w:szCs w:val="22"/>
          <w:lang w:val="es-ES"/>
        </w:rPr>
        <w:t>para colaborar</w:t>
      </w:r>
      <w:r w:rsidR="0027359D" w:rsidRPr="008529C5">
        <w:rPr>
          <w:szCs w:val="22"/>
          <w:lang w:val="es-ES"/>
        </w:rPr>
        <w:t xml:space="preserve"> </w:t>
      </w:r>
      <w:r w:rsidRPr="008529C5">
        <w:rPr>
          <w:szCs w:val="22"/>
          <w:lang w:val="es-ES"/>
        </w:rPr>
        <w:t>con la Secretarí</w:t>
      </w:r>
      <w:r w:rsidR="00630AC7" w:rsidRPr="008529C5">
        <w:rPr>
          <w:szCs w:val="22"/>
          <w:lang w:val="es-ES"/>
        </w:rPr>
        <w:t xml:space="preserve">a </w:t>
      </w:r>
      <w:r w:rsidR="0027359D">
        <w:rPr>
          <w:szCs w:val="22"/>
          <w:lang w:val="es-ES"/>
        </w:rPr>
        <w:t>con</w:t>
      </w:r>
      <w:r w:rsidR="00630AC7" w:rsidRPr="008529C5">
        <w:rPr>
          <w:szCs w:val="22"/>
          <w:lang w:val="es-ES"/>
        </w:rPr>
        <w:t xml:space="preserve"> </w:t>
      </w:r>
      <w:r w:rsidR="0027359D" w:rsidRPr="008529C5">
        <w:rPr>
          <w:szCs w:val="22"/>
          <w:lang w:val="es-ES"/>
        </w:rPr>
        <w:t>respect</w:t>
      </w:r>
      <w:r w:rsidR="0027359D">
        <w:rPr>
          <w:szCs w:val="22"/>
          <w:lang w:val="es-ES"/>
        </w:rPr>
        <w:t>o</w:t>
      </w:r>
      <w:r w:rsidR="0027359D" w:rsidRPr="008529C5">
        <w:rPr>
          <w:szCs w:val="22"/>
          <w:lang w:val="es-ES"/>
        </w:rPr>
        <w:t xml:space="preserve"> </w:t>
      </w:r>
      <w:r w:rsidR="00630AC7" w:rsidRPr="008529C5">
        <w:rPr>
          <w:szCs w:val="22"/>
          <w:lang w:val="es-ES"/>
        </w:rPr>
        <w:t>a las modalidades de</w:t>
      </w:r>
      <w:r w:rsidR="0027359D">
        <w:rPr>
          <w:szCs w:val="22"/>
          <w:lang w:val="es-ES"/>
        </w:rPr>
        <w:t>l</w:t>
      </w:r>
      <w:r w:rsidR="00630AC7" w:rsidRPr="008529C5">
        <w:rPr>
          <w:szCs w:val="22"/>
          <w:lang w:val="es-ES"/>
        </w:rPr>
        <w:t xml:space="preserve"> pago.</w:t>
      </w:r>
      <w:r w:rsidR="001F1156" w:rsidRPr="008529C5">
        <w:rPr>
          <w:szCs w:val="22"/>
          <w:lang w:val="es-ES"/>
        </w:rPr>
        <w:br w:type="page"/>
      </w:r>
    </w:p>
    <w:p w:rsidR="00C904CE" w:rsidRPr="008529C5" w:rsidRDefault="00FF323B" w:rsidP="00FF323B">
      <w:pPr>
        <w:pStyle w:val="ONUME"/>
        <w:numPr>
          <w:ilvl w:val="0"/>
          <w:numId w:val="0"/>
        </w:numPr>
        <w:tabs>
          <w:tab w:val="left" w:pos="5954"/>
        </w:tabs>
        <w:spacing w:after="0"/>
        <w:ind w:left="5400"/>
        <w:rPr>
          <w:i/>
          <w:szCs w:val="22"/>
          <w:lang w:val="es-ES"/>
        </w:rPr>
      </w:pPr>
      <w:r w:rsidRPr="008529C5">
        <w:rPr>
          <w:i/>
          <w:szCs w:val="22"/>
          <w:lang w:val="es-ES"/>
        </w:rPr>
        <w:lastRenderedPageBreak/>
        <w:t>8.</w:t>
      </w:r>
      <w:r w:rsidRPr="008529C5">
        <w:rPr>
          <w:i/>
          <w:szCs w:val="22"/>
          <w:lang w:val="es-ES"/>
        </w:rPr>
        <w:tab/>
      </w:r>
      <w:r w:rsidR="00C90B08" w:rsidRPr="008529C5">
        <w:rPr>
          <w:i/>
          <w:szCs w:val="22"/>
          <w:lang w:val="es-ES"/>
        </w:rPr>
        <w:t>Se invita a la Asamblea de la Unión de Lisboa a</w:t>
      </w:r>
      <w:r w:rsidR="00C904CE" w:rsidRPr="008529C5">
        <w:rPr>
          <w:i/>
          <w:szCs w:val="22"/>
          <w:lang w:val="es-ES"/>
        </w:rPr>
        <w:t>:</w:t>
      </w:r>
    </w:p>
    <w:p w:rsidR="00C904CE" w:rsidRPr="008529C5" w:rsidRDefault="00C904CE" w:rsidP="00C904CE">
      <w:pPr>
        <w:ind w:left="5533"/>
        <w:rPr>
          <w:szCs w:val="22"/>
          <w:lang w:val="es-ES"/>
        </w:rPr>
      </w:pPr>
    </w:p>
    <w:p w:rsidR="009E7591" w:rsidRPr="008529C5" w:rsidRDefault="007B4780" w:rsidP="007B4780">
      <w:pPr>
        <w:pStyle w:val="ListParagraph"/>
        <w:numPr>
          <w:ilvl w:val="0"/>
          <w:numId w:val="32"/>
        </w:numPr>
        <w:tabs>
          <w:tab w:val="left" w:pos="6521"/>
        </w:tabs>
        <w:ind w:left="5954" w:firstLine="0"/>
        <w:rPr>
          <w:i/>
          <w:szCs w:val="22"/>
          <w:lang w:val="es-ES"/>
        </w:rPr>
      </w:pPr>
      <w:r w:rsidRPr="008529C5">
        <w:rPr>
          <w:i/>
          <w:szCs w:val="22"/>
          <w:lang w:val="es-ES"/>
        </w:rPr>
        <w:t>tomar nota del documento</w:t>
      </w:r>
      <w:r w:rsidR="00581306" w:rsidRPr="008529C5">
        <w:rPr>
          <w:i/>
          <w:szCs w:val="22"/>
          <w:lang w:val="es-ES"/>
        </w:rPr>
        <w:t xml:space="preserve"> LI/A/33/1 (</w:t>
      </w:r>
      <w:r w:rsidRPr="008529C5">
        <w:rPr>
          <w:i/>
          <w:szCs w:val="22"/>
          <w:lang w:val="es-ES"/>
        </w:rPr>
        <w:t>Asuntos financieros relativos a la Unión de Lisboa</w:t>
      </w:r>
      <w:r w:rsidR="00581306" w:rsidRPr="008529C5">
        <w:rPr>
          <w:i/>
          <w:szCs w:val="22"/>
          <w:lang w:val="es-ES"/>
        </w:rPr>
        <w:t>)</w:t>
      </w:r>
      <w:r w:rsidR="009E7591" w:rsidRPr="008529C5">
        <w:rPr>
          <w:i/>
          <w:szCs w:val="22"/>
          <w:lang w:val="es-ES"/>
        </w:rPr>
        <w:t>;</w:t>
      </w:r>
    </w:p>
    <w:p w:rsidR="009E7591" w:rsidRPr="008529C5" w:rsidRDefault="009E7591" w:rsidP="008529C5">
      <w:pPr>
        <w:ind w:left="5533"/>
        <w:rPr>
          <w:szCs w:val="22"/>
          <w:lang w:val="es-ES"/>
        </w:rPr>
      </w:pPr>
    </w:p>
    <w:p w:rsidR="00F9681A" w:rsidRPr="008529C5" w:rsidRDefault="007B4780" w:rsidP="007B4780">
      <w:pPr>
        <w:pStyle w:val="ListParagraph"/>
        <w:numPr>
          <w:ilvl w:val="0"/>
          <w:numId w:val="32"/>
        </w:numPr>
        <w:tabs>
          <w:tab w:val="left" w:pos="6521"/>
          <w:tab w:val="left" w:pos="6663"/>
        </w:tabs>
        <w:ind w:left="5954" w:firstLine="0"/>
        <w:rPr>
          <w:i/>
          <w:szCs w:val="22"/>
          <w:lang w:val="es-ES"/>
        </w:rPr>
      </w:pPr>
      <w:r w:rsidRPr="008529C5">
        <w:rPr>
          <w:i/>
          <w:szCs w:val="22"/>
          <w:lang w:val="es-ES"/>
        </w:rPr>
        <w:t>considerar la propuesta o propuestas para tratar la cuestión de la sostenibilidad financiera de la Unión de Lisboa</w:t>
      </w:r>
      <w:r w:rsidR="005B3204" w:rsidRPr="008529C5">
        <w:rPr>
          <w:i/>
          <w:szCs w:val="22"/>
          <w:lang w:val="es-ES"/>
        </w:rPr>
        <w:t xml:space="preserve">;  </w:t>
      </w:r>
      <w:r w:rsidRPr="008529C5">
        <w:rPr>
          <w:i/>
          <w:szCs w:val="22"/>
          <w:lang w:val="es-ES"/>
        </w:rPr>
        <w:t>y</w:t>
      </w:r>
    </w:p>
    <w:p w:rsidR="00F9681A" w:rsidRPr="008529C5" w:rsidRDefault="00F9681A" w:rsidP="008529C5">
      <w:pPr>
        <w:ind w:left="5533"/>
        <w:rPr>
          <w:szCs w:val="22"/>
          <w:lang w:val="es-ES"/>
        </w:rPr>
      </w:pPr>
    </w:p>
    <w:p w:rsidR="00C904CE" w:rsidRPr="008529C5" w:rsidRDefault="007B4780" w:rsidP="00FF323B">
      <w:pPr>
        <w:pStyle w:val="ListParagraph"/>
        <w:numPr>
          <w:ilvl w:val="0"/>
          <w:numId w:val="32"/>
        </w:numPr>
        <w:tabs>
          <w:tab w:val="left" w:pos="6521"/>
          <w:tab w:val="left" w:pos="6663"/>
        </w:tabs>
        <w:ind w:left="5954" w:firstLine="0"/>
        <w:rPr>
          <w:i/>
          <w:szCs w:val="22"/>
          <w:lang w:val="es-ES"/>
        </w:rPr>
      </w:pPr>
      <w:r w:rsidRPr="008529C5">
        <w:rPr>
          <w:i/>
          <w:szCs w:val="22"/>
          <w:lang w:val="es-ES"/>
        </w:rPr>
        <w:t xml:space="preserve">adoptar medidas para eliminar el déficit previsto en la Unión de Lisboa para el bienio que se señala en el presupuesto por programas de la OMPI del bienio </w:t>
      </w:r>
      <w:r w:rsidRPr="008529C5">
        <w:rPr>
          <w:i/>
          <w:iCs/>
          <w:lang w:val="es-ES"/>
        </w:rPr>
        <w:t>2016/17</w:t>
      </w:r>
      <w:r w:rsidR="00C904CE" w:rsidRPr="008529C5">
        <w:rPr>
          <w:i/>
          <w:szCs w:val="22"/>
          <w:lang w:val="es-ES"/>
        </w:rPr>
        <w:t>.</w:t>
      </w:r>
    </w:p>
    <w:p w:rsidR="00C904CE" w:rsidRPr="008529C5" w:rsidRDefault="00C904CE" w:rsidP="00FF7109">
      <w:pPr>
        <w:rPr>
          <w:lang w:val="es-ES"/>
        </w:rPr>
      </w:pPr>
    </w:p>
    <w:p w:rsidR="00C904CE" w:rsidRPr="008529C5" w:rsidRDefault="00C904CE" w:rsidP="00FF7109">
      <w:pPr>
        <w:rPr>
          <w:lang w:val="es-ES"/>
        </w:rPr>
      </w:pPr>
    </w:p>
    <w:p w:rsidR="00C904CE" w:rsidRPr="008529C5" w:rsidRDefault="00C904CE" w:rsidP="00FF7109">
      <w:pPr>
        <w:rPr>
          <w:lang w:val="es-ES"/>
        </w:rPr>
      </w:pPr>
    </w:p>
    <w:p w:rsidR="002928D3" w:rsidRPr="008529C5" w:rsidRDefault="00C904CE" w:rsidP="00FF7109">
      <w:pPr>
        <w:pStyle w:val="Endofdocument-Annex"/>
        <w:rPr>
          <w:szCs w:val="22"/>
          <w:lang w:val="es-ES"/>
        </w:rPr>
      </w:pPr>
      <w:r w:rsidRPr="008529C5">
        <w:rPr>
          <w:szCs w:val="22"/>
          <w:lang w:val="es-ES"/>
        </w:rPr>
        <w:t>[</w:t>
      </w:r>
      <w:r w:rsidR="007B4780" w:rsidRPr="008529C5">
        <w:rPr>
          <w:szCs w:val="22"/>
          <w:lang w:val="es-ES"/>
        </w:rPr>
        <w:t>Fin del documento</w:t>
      </w:r>
      <w:r w:rsidRPr="008529C5">
        <w:rPr>
          <w:szCs w:val="22"/>
          <w:lang w:val="es-ES"/>
        </w:rPr>
        <w:t>]</w:t>
      </w:r>
    </w:p>
    <w:sectPr w:rsidR="002928D3" w:rsidRPr="008529C5" w:rsidSect="00FF7109">
      <w:headerReference w:type="default" r:id="rId10"/>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F15" w:rsidRDefault="00E00F15">
      <w:r>
        <w:separator/>
      </w:r>
    </w:p>
  </w:endnote>
  <w:endnote w:type="continuationSeparator" w:id="0">
    <w:p w:rsidR="00E00F15" w:rsidRDefault="00E00F15" w:rsidP="003B38C1">
      <w:r>
        <w:separator/>
      </w:r>
    </w:p>
    <w:p w:rsidR="00E00F15" w:rsidRPr="003B38C1" w:rsidRDefault="00E00F15" w:rsidP="003B38C1">
      <w:pPr>
        <w:spacing w:after="60"/>
        <w:rPr>
          <w:sz w:val="17"/>
        </w:rPr>
      </w:pPr>
      <w:r>
        <w:rPr>
          <w:sz w:val="17"/>
        </w:rPr>
        <w:t>[Endnote continued from previous page]</w:t>
      </w:r>
    </w:p>
  </w:endnote>
  <w:endnote w:type="continuationNotice" w:id="1">
    <w:p w:rsidR="00E00F15" w:rsidRPr="003B38C1" w:rsidRDefault="00E00F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F15" w:rsidRDefault="00E00F15">
      <w:r>
        <w:separator/>
      </w:r>
    </w:p>
  </w:footnote>
  <w:footnote w:type="continuationSeparator" w:id="0">
    <w:p w:rsidR="00E00F15" w:rsidRDefault="00E00F15" w:rsidP="008B60B2">
      <w:r>
        <w:separator/>
      </w:r>
    </w:p>
    <w:p w:rsidR="00E00F15" w:rsidRPr="00ED77FB" w:rsidRDefault="00E00F15" w:rsidP="008B60B2">
      <w:pPr>
        <w:spacing w:after="60"/>
        <w:rPr>
          <w:sz w:val="17"/>
          <w:szCs w:val="17"/>
        </w:rPr>
      </w:pPr>
      <w:r w:rsidRPr="00ED77FB">
        <w:rPr>
          <w:sz w:val="17"/>
          <w:szCs w:val="17"/>
        </w:rPr>
        <w:t>[Footnote continued from previous page]</w:t>
      </w:r>
    </w:p>
  </w:footnote>
  <w:footnote w:type="continuationNotice" w:id="1">
    <w:p w:rsidR="00E00F15" w:rsidRPr="00ED77FB" w:rsidRDefault="00E00F15" w:rsidP="008B60B2">
      <w:pPr>
        <w:spacing w:before="60"/>
        <w:jc w:val="right"/>
        <w:rPr>
          <w:sz w:val="17"/>
          <w:szCs w:val="17"/>
        </w:rPr>
      </w:pPr>
      <w:r w:rsidRPr="00ED77FB">
        <w:rPr>
          <w:sz w:val="17"/>
          <w:szCs w:val="17"/>
        </w:rPr>
        <w:t>[Footnote continued on next page]</w:t>
      </w:r>
    </w:p>
  </w:footnote>
  <w:footnote w:id="2">
    <w:p w:rsidR="001F28A0" w:rsidRPr="00555B6A" w:rsidRDefault="001F28A0" w:rsidP="00555B6A">
      <w:pPr>
        <w:pStyle w:val="FootnoteText"/>
        <w:rPr>
          <w:lang w:val="es-ES"/>
        </w:rPr>
      </w:pPr>
      <w:r>
        <w:rPr>
          <w:rStyle w:val="FootnoteReference"/>
        </w:rPr>
        <w:footnoteRef/>
      </w:r>
      <w:r w:rsidRPr="00555B6A">
        <w:rPr>
          <w:lang w:val="es-ES"/>
        </w:rPr>
        <w:t xml:space="preserve"> </w:t>
      </w:r>
      <w:r w:rsidRPr="00555B6A">
        <w:rPr>
          <w:lang w:val="es-ES"/>
        </w:rPr>
        <w:tab/>
      </w:r>
      <w:r w:rsidR="00555B6A" w:rsidRPr="00555B6A">
        <w:rPr>
          <w:szCs w:val="22"/>
          <w:lang w:val="es-ES"/>
        </w:rPr>
        <w:t>Véase el documento</w:t>
      </w:r>
      <w:r w:rsidRPr="00555B6A">
        <w:rPr>
          <w:szCs w:val="22"/>
          <w:lang w:val="es-ES"/>
        </w:rPr>
        <w:t xml:space="preserve"> LI/A/32/5, </w:t>
      </w:r>
      <w:r w:rsidR="00555B6A">
        <w:rPr>
          <w:szCs w:val="22"/>
          <w:lang w:val="es-ES"/>
        </w:rPr>
        <w:t>párrafo 73.</w:t>
      </w:r>
      <w:r w:rsidRPr="00555B6A">
        <w:rPr>
          <w:szCs w:val="22"/>
          <w:lang w:val="es-ES"/>
        </w:rPr>
        <w:t xml:space="preserve">i) </w:t>
      </w:r>
      <w:r w:rsidR="00555B6A">
        <w:rPr>
          <w:szCs w:val="22"/>
          <w:lang w:val="es-ES"/>
        </w:rPr>
        <w:t xml:space="preserve">y </w:t>
      </w:r>
      <w:r w:rsidRPr="00555B6A">
        <w:rPr>
          <w:szCs w:val="22"/>
          <w:lang w:val="es-ES"/>
        </w:rPr>
        <w:t>ii).</w:t>
      </w:r>
    </w:p>
  </w:footnote>
  <w:footnote w:id="3">
    <w:p w:rsidR="00484420" w:rsidRPr="00C90B08" w:rsidRDefault="00484420" w:rsidP="00C90B08">
      <w:pPr>
        <w:pStyle w:val="FootnoteText"/>
        <w:rPr>
          <w:lang w:val="es-ES"/>
        </w:rPr>
      </w:pPr>
      <w:r w:rsidRPr="00C63F20">
        <w:rPr>
          <w:rStyle w:val="FootnoteReference"/>
        </w:rPr>
        <w:footnoteRef/>
      </w:r>
      <w:r w:rsidRPr="00C90B08">
        <w:rPr>
          <w:lang w:val="es-ES"/>
        </w:rPr>
        <w:t xml:space="preserve"> </w:t>
      </w:r>
      <w:r w:rsidRPr="00C90B08">
        <w:rPr>
          <w:lang w:val="es-ES"/>
        </w:rPr>
        <w:tab/>
      </w:r>
      <w:r w:rsidR="00C90B08" w:rsidRPr="00C90B08">
        <w:rPr>
          <w:szCs w:val="22"/>
          <w:lang w:val="es-ES"/>
        </w:rPr>
        <w:t>Véase el documento</w:t>
      </w:r>
      <w:r w:rsidRPr="00C90B08">
        <w:rPr>
          <w:szCs w:val="22"/>
          <w:lang w:val="es-ES"/>
        </w:rPr>
        <w:t xml:space="preserve"> </w:t>
      </w:r>
      <w:r w:rsidRPr="00C90B08">
        <w:rPr>
          <w:rFonts w:eastAsia="Times New Roman"/>
          <w:szCs w:val="22"/>
          <w:lang w:val="es-ES" w:eastAsia="en-US"/>
        </w:rPr>
        <w:t>LI/WG/PCR/1/4.</w:t>
      </w:r>
    </w:p>
  </w:footnote>
  <w:footnote w:id="4">
    <w:p w:rsidR="00B97F1D" w:rsidRPr="00C90B08" w:rsidRDefault="00B97F1D" w:rsidP="00C90B08">
      <w:pPr>
        <w:pStyle w:val="FootnoteText"/>
        <w:rPr>
          <w:szCs w:val="18"/>
          <w:lang w:val="es-ES"/>
        </w:rPr>
      </w:pPr>
      <w:r w:rsidRPr="00C63F20">
        <w:rPr>
          <w:rStyle w:val="FootnoteReference"/>
          <w:szCs w:val="18"/>
        </w:rPr>
        <w:footnoteRef/>
      </w:r>
      <w:r w:rsidRPr="00C90B08">
        <w:rPr>
          <w:szCs w:val="18"/>
          <w:lang w:val="es-ES"/>
        </w:rPr>
        <w:t xml:space="preserve"> </w:t>
      </w:r>
      <w:r w:rsidRPr="00C90B08">
        <w:rPr>
          <w:szCs w:val="18"/>
          <w:lang w:val="es-ES"/>
        </w:rPr>
        <w:tab/>
      </w:r>
      <w:r w:rsidR="00C90B08" w:rsidRPr="00C90B08">
        <w:rPr>
          <w:szCs w:val="22"/>
          <w:lang w:val="es-ES"/>
        </w:rPr>
        <w:t>Véase el documento</w:t>
      </w:r>
      <w:r w:rsidR="002C236F" w:rsidRPr="00C90B08">
        <w:rPr>
          <w:szCs w:val="22"/>
          <w:lang w:val="es-ES"/>
        </w:rPr>
        <w:t xml:space="preserve"> </w:t>
      </w:r>
      <w:r w:rsidR="002C236F" w:rsidRPr="00C90B08">
        <w:rPr>
          <w:rFonts w:eastAsia="Times New Roman"/>
          <w:szCs w:val="22"/>
          <w:lang w:val="es-ES" w:eastAsia="en-US"/>
        </w:rPr>
        <w:t xml:space="preserve">LI/WG/PCR/1/5, </w:t>
      </w:r>
      <w:r w:rsidR="00C90B08">
        <w:rPr>
          <w:rFonts w:eastAsia="Times New Roman"/>
          <w:szCs w:val="22"/>
          <w:lang w:val="es-ES" w:eastAsia="en-US"/>
        </w:rPr>
        <w:t>párrafo</w:t>
      </w:r>
      <w:r w:rsidR="002C236F" w:rsidRPr="00C90B08">
        <w:rPr>
          <w:rFonts w:eastAsia="Times New Roman"/>
          <w:szCs w:val="22"/>
          <w:lang w:val="es-ES" w:eastAsia="en-US"/>
        </w:rPr>
        <w:t xml:space="preserve">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564923573"/>
      <w:docPartObj>
        <w:docPartGallery w:val="Page Numbers (Top of Page)"/>
        <w:docPartUnique/>
      </w:docPartObj>
    </w:sdtPr>
    <w:sdtEndPr>
      <w:rPr>
        <w:noProof/>
      </w:rPr>
    </w:sdtEndPr>
    <w:sdtContent>
      <w:p w:rsidR="00035466" w:rsidRPr="006C159F" w:rsidRDefault="00035466">
        <w:pPr>
          <w:pStyle w:val="Header"/>
          <w:jc w:val="right"/>
          <w:rPr>
            <w:lang w:val="es-ES"/>
          </w:rPr>
        </w:pPr>
        <w:r w:rsidRPr="006C159F">
          <w:rPr>
            <w:lang w:val="es-ES"/>
          </w:rPr>
          <w:t>LI/A/33/1</w:t>
        </w:r>
      </w:p>
      <w:p w:rsidR="00035466" w:rsidRPr="006C159F" w:rsidRDefault="00035466" w:rsidP="006C159F">
        <w:pPr>
          <w:pStyle w:val="Header"/>
          <w:jc w:val="right"/>
          <w:rPr>
            <w:noProof/>
            <w:lang w:val="es-ES"/>
          </w:rPr>
        </w:pPr>
        <w:r w:rsidRPr="006C159F">
          <w:rPr>
            <w:lang w:val="es-ES"/>
          </w:rPr>
          <w:t>p</w:t>
        </w:r>
        <w:r w:rsidR="006C159F" w:rsidRPr="006C159F">
          <w:rPr>
            <w:lang w:val="es-ES"/>
          </w:rPr>
          <w:t>ágina</w:t>
        </w:r>
        <w:r w:rsidRPr="006C159F">
          <w:rPr>
            <w:lang w:val="es-ES"/>
          </w:rPr>
          <w:t xml:space="preserve"> </w:t>
        </w:r>
        <w:r w:rsidRPr="006C159F">
          <w:rPr>
            <w:lang w:val="es-ES"/>
          </w:rPr>
          <w:fldChar w:fldCharType="begin"/>
        </w:r>
        <w:r w:rsidRPr="006C159F">
          <w:rPr>
            <w:lang w:val="es-ES"/>
          </w:rPr>
          <w:instrText xml:space="preserve"> PAGE   \* MERGEFORMAT </w:instrText>
        </w:r>
        <w:r w:rsidRPr="006C159F">
          <w:rPr>
            <w:lang w:val="es-ES"/>
          </w:rPr>
          <w:fldChar w:fldCharType="separate"/>
        </w:r>
        <w:r w:rsidR="00173CCA">
          <w:rPr>
            <w:noProof/>
            <w:lang w:val="es-ES"/>
          </w:rPr>
          <w:t>2</w:t>
        </w:r>
        <w:r w:rsidRPr="006C159F">
          <w:rPr>
            <w:noProof/>
            <w:lang w:val="es-ES"/>
          </w:rPr>
          <w:fldChar w:fldCharType="end"/>
        </w:r>
      </w:p>
      <w:p w:rsidR="00035466" w:rsidRPr="006C159F" w:rsidRDefault="00173CCA">
        <w:pPr>
          <w:pStyle w:val="Header"/>
          <w:jc w:val="right"/>
          <w:rPr>
            <w:lang w:val="es-ES"/>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9D64004"/>
    <w:multiLevelType w:val="hybridMultilevel"/>
    <w:tmpl w:val="61A44830"/>
    <w:lvl w:ilvl="0" w:tplc="A4D61FC0">
      <w:start w:val="1"/>
      <w:numFmt w:val="lowerRoman"/>
      <w:lvlText w:val="%1)"/>
      <w:lvlJc w:val="left"/>
      <w:pPr>
        <w:ind w:left="6957" w:hanging="720"/>
      </w:pPr>
      <w:rPr>
        <w:rFonts w:hint="default"/>
        <w:lang w:val="es-ES"/>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0">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873C3"/>
    <w:multiLevelType w:val="hybridMultilevel"/>
    <w:tmpl w:val="9692D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65D8B"/>
    <w:multiLevelType w:val="hybridMultilevel"/>
    <w:tmpl w:val="B8AC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B5D7F9C"/>
    <w:multiLevelType w:val="hybridMultilevel"/>
    <w:tmpl w:val="C50296D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97368"/>
    <w:multiLevelType w:val="hybridMultilevel"/>
    <w:tmpl w:val="636A6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A37C9"/>
    <w:multiLevelType w:val="hybridMultilevel"/>
    <w:tmpl w:val="21CABD44"/>
    <w:lvl w:ilvl="0" w:tplc="CCF20034">
      <w:start w:val="1"/>
      <w:numFmt w:val="decimal"/>
      <w:lvlText w:val="%1."/>
      <w:lvlJc w:val="left"/>
      <w:pPr>
        <w:ind w:left="0" w:firstLine="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2">
    <w:nsid w:val="5CD94210"/>
    <w:multiLevelType w:val="hybridMultilevel"/>
    <w:tmpl w:val="3698E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6">
    <w:nsid w:val="6D0B1844"/>
    <w:multiLevelType w:val="hybridMultilevel"/>
    <w:tmpl w:val="5B9A7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500BE8"/>
    <w:multiLevelType w:val="hybridMultilevel"/>
    <w:tmpl w:val="CCE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581EDA"/>
    <w:multiLevelType w:val="hybridMultilevel"/>
    <w:tmpl w:val="B61AA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18"/>
  </w:num>
  <w:num w:numId="5">
    <w:abstractNumId w:val="4"/>
  </w:num>
  <w:num w:numId="6">
    <w:abstractNumId w:val="8"/>
  </w:num>
  <w:num w:numId="7">
    <w:abstractNumId w:val="7"/>
  </w:num>
  <w:num w:numId="8">
    <w:abstractNumId w:val="25"/>
  </w:num>
  <w:num w:numId="9">
    <w:abstractNumId w:val="6"/>
  </w:num>
  <w:num w:numId="10">
    <w:abstractNumId w:val="2"/>
  </w:num>
  <w:num w:numId="11">
    <w:abstractNumId w:val="24"/>
  </w:num>
  <w:num w:numId="12">
    <w:abstractNumId w:val="21"/>
  </w:num>
  <w:num w:numId="13">
    <w:abstractNumId w:val="4"/>
    <w:lvlOverride w:ilvl="0">
      <w:startOverride w:val="1"/>
    </w:lvlOverride>
    <w:lvlOverride w:ilvl="1">
      <w:startOverride w:val="1"/>
    </w:lvlOverride>
    <w:lvlOverride w:ilvl="2">
      <w:startOverride w:val="2"/>
    </w:lvlOverride>
  </w:num>
  <w:num w:numId="14">
    <w:abstractNumId w:val="12"/>
  </w:num>
  <w:num w:numId="15">
    <w:abstractNumId w:val="23"/>
  </w:num>
  <w:num w:numId="16">
    <w:abstractNumId w:val="20"/>
  </w:num>
  <w:num w:numId="17">
    <w:abstractNumId w:val="1"/>
  </w:num>
  <w:num w:numId="18">
    <w:abstractNumId w:val="3"/>
  </w:num>
  <w:num w:numId="19">
    <w:abstractNumId w:val="10"/>
  </w:num>
  <w:num w:numId="2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2"/>
  </w:num>
  <w:num w:numId="24">
    <w:abstractNumId w:val="19"/>
  </w:num>
  <w:num w:numId="25">
    <w:abstractNumId w:val="27"/>
  </w:num>
  <w:num w:numId="26">
    <w:abstractNumId w:val="14"/>
  </w:num>
  <w:num w:numId="27">
    <w:abstractNumId w:val="13"/>
  </w:num>
  <w:num w:numId="28">
    <w:abstractNumId w:val="26"/>
  </w:num>
  <w:num w:numId="29">
    <w:abstractNumId w:val="28"/>
  </w:num>
  <w:num w:numId="30">
    <w:abstractNumId w:val="16"/>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04"/>
    <w:rsid w:val="00012377"/>
    <w:rsid w:val="00035466"/>
    <w:rsid w:val="00035E6A"/>
    <w:rsid w:val="000376C4"/>
    <w:rsid w:val="00041445"/>
    <w:rsid w:val="00042BA6"/>
    <w:rsid w:val="00043CAA"/>
    <w:rsid w:val="00045F57"/>
    <w:rsid w:val="00057564"/>
    <w:rsid w:val="00066D55"/>
    <w:rsid w:val="00075432"/>
    <w:rsid w:val="00082836"/>
    <w:rsid w:val="00084376"/>
    <w:rsid w:val="0008725B"/>
    <w:rsid w:val="000968ED"/>
    <w:rsid w:val="000A13E9"/>
    <w:rsid w:val="000B3177"/>
    <w:rsid w:val="000B34F6"/>
    <w:rsid w:val="000D5CD3"/>
    <w:rsid w:val="000F5E56"/>
    <w:rsid w:val="000F7BE9"/>
    <w:rsid w:val="001020EE"/>
    <w:rsid w:val="00102ABA"/>
    <w:rsid w:val="00105F7B"/>
    <w:rsid w:val="0010624A"/>
    <w:rsid w:val="00127BE1"/>
    <w:rsid w:val="00133F1D"/>
    <w:rsid w:val="001362EE"/>
    <w:rsid w:val="00173B71"/>
    <w:rsid w:val="00173CCA"/>
    <w:rsid w:val="00181C6A"/>
    <w:rsid w:val="001832A6"/>
    <w:rsid w:val="001879CD"/>
    <w:rsid w:val="00197487"/>
    <w:rsid w:val="001A0E16"/>
    <w:rsid w:val="001B0811"/>
    <w:rsid w:val="001E110E"/>
    <w:rsid w:val="001F1156"/>
    <w:rsid w:val="001F28A0"/>
    <w:rsid w:val="001F312A"/>
    <w:rsid w:val="00201766"/>
    <w:rsid w:val="00234DCC"/>
    <w:rsid w:val="00244071"/>
    <w:rsid w:val="00244D0A"/>
    <w:rsid w:val="002518BC"/>
    <w:rsid w:val="00262B88"/>
    <w:rsid w:val="002634C4"/>
    <w:rsid w:val="0027359D"/>
    <w:rsid w:val="00281A06"/>
    <w:rsid w:val="00284F62"/>
    <w:rsid w:val="00291913"/>
    <w:rsid w:val="002928D3"/>
    <w:rsid w:val="00293E95"/>
    <w:rsid w:val="002A661C"/>
    <w:rsid w:val="002A7E97"/>
    <w:rsid w:val="002B02CC"/>
    <w:rsid w:val="002C236F"/>
    <w:rsid w:val="002D2015"/>
    <w:rsid w:val="002D5D6E"/>
    <w:rsid w:val="002E403E"/>
    <w:rsid w:val="002E5BEA"/>
    <w:rsid w:val="002E61A5"/>
    <w:rsid w:val="002F1FE6"/>
    <w:rsid w:val="002F4E68"/>
    <w:rsid w:val="00305B9D"/>
    <w:rsid w:val="00306338"/>
    <w:rsid w:val="00306BD3"/>
    <w:rsid w:val="00312F7F"/>
    <w:rsid w:val="00320659"/>
    <w:rsid w:val="003228B7"/>
    <w:rsid w:val="0033094F"/>
    <w:rsid w:val="00335537"/>
    <w:rsid w:val="00345EB6"/>
    <w:rsid w:val="003673CF"/>
    <w:rsid w:val="003845C1"/>
    <w:rsid w:val="003A6F89"/>
    <w:rsid w:val="003B1C12"/>
    <w:rsid w:val="003B38C1"/>
    <w:rsid w:val="003B5A52"/>
    <w:rsid w:val="003C0C49"/>
    <w:rsid w:val="003D3031"/>
    <w:rsid w:val="003E551C"/>
    <w:rsid w:val="003F2EE9"/>
    <w:rsid w:val="003F2FC0"/>
    <w:rsid w:val="00414BDF"/>
    <w:rsid w:val="00423E3E"/>
    <w:rsid w:val="00424059"/>
    <w:rsid w:val="00427AF4"/>
    <w:rsid w:val="004400E2"/>
    <w:rsid w:val="00442FCC"/>
    <w:rsid w:val="004647DA"/>
    <w:rsid w:val="00474062"/>
    <w:rsid w:val="00477D6B"/>
    <w:rsid w:val="00481EE0"/>
    <w:rsid w:val="00484420"/>
    <w:rsid w:val="00490192"/>
    <w:rsid w:val="0049267B"/>
    <w:rsid w:val="004A7D83"/>
    <w:rsid w:val="004B0A65"/>
    <w:rsid w:val="004B3B8C"/>
    <w:rsid w:val="004C6C18"/>
    <w:rsid w:val="004D3574"/>
    <w:rsid w:val="004D38D9"/>
    <w:rsid w:val="004D7A6B"/>
    <w:rsid w:val="004E7CFF"/>
    <w:rsid w:val="00506ED5"/>
    <w:rsid w:val="00507E62"/>
    <w:rsid w:val="00511392"/>
    <w:rsid w:val="0051392C"/>
    <w:rsid w:val="0051799B"/>
    <w:rsid w:val="0053057A"/>
    <w:rsid w:val="005315A9"/>
    <w:rsid w:val="00536FEE"/>
    <w:rsid w:val="00546A05"/>
    <w:rsid w:val="00555B6A"/>
    <w:rsid w:val="00560A29"/>
    <w:rsid w:val="00581306"/>
    <w:rsid w:val="00585963"/>
    <w:rsid w:val="00585C0C"/>
    <w:rsid w:val="005B3204"/>
    <w:rsid w:val="005B7363"/>
    <w:rsid w:val="005C53A5"/>
    <w:rsid w:val="005D2E8D"/>
    <w:rsid w:val="005E3F28"/>
    <w:rsid w:val="005E7A29"/>
    <w:rsid w:val="00602D16"/>
    <w:rsid w:val="00604B3D"/>
    <w:rsid w:val="00605827"/>
    <w:rsid w:val="00614D11"/>
    <w:rsid w:val="00630AC7"/>
    <w:rsid w:val="00634A32"/>
    <w:rsid w:val="00646050"/>
    <w:rsid w:val="00646B74"/>
    <w:rsid w:val="006475E0"/>
    <w:rsid w:val="00664227"/>
    <w:rsid w:val="00664EA2"/>
    <w:rsid w:val="00670529"/>
    <w:rsid w:val="006713CA"/>
    <w:rsid w:val="00676C5C"/>
    <w:rsid w:val="00683BF5"/>
    <w:rsid w:val="00686840"/>
    <w:rsid w:val="00691862"/>
    <w:rsid w:val="00692330"/>
    <w:rsid w:val="006A37FA"/>
    <w:rsid w:val="006A41E9"/>
    <w:rsid w:val="006A7859"/>
    <w:rsid w:val="006C159F"/>
    <w:rsid w:val="006C62C8"/>
    <w:rsid w:val="006D0CF0"/>
    <w:rsid w:val="006E26D6"/>
    <w:rsid w:val="007058FB"/>
    <w:rsid w:val="00710904"/>
    <w:rsid w:val="00710D99"/>
    <w:rsid w:val="00712486"/>
    <w:rsid w:val="007325CD"/>
    <w:rsid w:val="00734C05"/>
    <w:rsid w:val="0074407D"/>
    <w:rsid w:val="00747149"/>
    <w:rsid w:val="007A045E"/>
    <w:rsid w:val="007A4A3B"/>
    <w:rsid w:val="007A56C0"/>
    <w:rsid w:val="007A58C7"/>
    <w:rsid w:val="007B0838"/>
    <w:rsid w:val="007B4780"/>
    <w:rsid w:val="007B6A58"/>
    <w:rsid w:val="007C75CD"/>
    <w:rsid w:val="007D1613"/>
    <w:rsid w:val="007D16E8"/>
    <w:rsid w:val="007D2DC8"/>
    <w:rsid w:val="007D5BA3"/>
    <w:rsid w:val="007F1249"/>
    <w:rsid w:val="00800288"/>
    <w:rsid w:val="00813B7B"/>
    <w:rsid w:val="0081630E"/>
    <w:rsid w:val="00826BA7"/>
    <w:rsid w:val="0084346F"/>
    <w:rsid w:val="00846F47"/>
    <w:rsid w:val="008529C5"/>
    <w:rsid w:val="0085527A"/>
    <w:rsid w:val="00860345"/>
    <w:rsid w:val="0086619E"/>
    <w:rsid w:val="00877A02"/>
    <w:rsid w:val="00881363"/>
    <w:rsid w:val="00891161"/>
    <w:rsid w:val="00893F75"/>
    <w:rsid w:val="008A3E48"/>
    <w:rsid w:val="008A5210"/>
    <w:rsid w:val="008A5BD9"/>
    <w:rsid w:val="008B058F"/>
    <w:rsid w:val="008B1840"/>
    <w:rsid w:val="008B2CC1"/>
    <w:rsid w:val="008B60B2"/>
    <w:rsid w:val="008D20FD"/>
    <w:rsid w:val="008D5950"/>
    <w:rsid w:val="008E0257"/>
    <w:rsid w:val="008E0C27"/>
    <w:rsid w:val="008F0A22"/>
    <w:rsid w:val="008F47C3"/>
    <w:rsid w:val="0090731E"/>
    <w:rsid w:val="00916EE2"/>
    <w:rsid w:val="009171F0"/>
    <w:rsid w:val="0094735C"/>
    <w:rsid w:val="00955707"/>
    <w:rsid w:val="00961F04"/>
    <w:rsid w:val="009648D3"/>
    <w:rsid w:val="00966A22"/>
    <w:rsid w:val="0096722F"/>
    <w:rsid w:val="00980843"/>
    <w:rsid w:val="009A5947"/>
    <w:rsid w:val="009C205B"/>
    <w:rsid w:val="009E0B3B"/>
    <w:rsid w:val="009E2791"/>
    <w:rsid w:val="009E3F6F"/>
    <w:rsid w:val="009E5174"/>
    <w:rsid w:val="009E5710"/>
    <w:rsid w:val="009E7075"/>
    <w:rsid w:val="009E7591"/>
    <w:rsid w:val="009F499F"/>
    <w:rsid w:val="00A07491"/>
    <w:rsid w:val="00A11512"/>
    <w:rsid w:val="00A30D07"/>
    <w:rsid w:val="00A30F03"/>
    <w:rsid w:val="00A40D5B"/>
    <w:rsid w:val="00A42DAF"/>
    <w:rsid w:val="00A45BD8"/>
    <w:rsid w:val="00A85B8E"/>
    <w:rsid w:val="00AA1B26"/>
    <w:rsid w:val="00AA440C"/>
    <w:rsid w:val="00AB64E5"/>
    <w:rsid w:val="00AC09B1"/>
    <w:rsid w:val="00AC205C"/>
    <w:rsid w:val="00AD0175"/>
    <w:rsid w:val="00AD01AD"/>
    <w:rsid w:val="00B02909"/>
    <w:rsid w:val="00B0396B"/>
    <w:rsid w:val="00B05A69"/>
    <w:rsid w:val="00B14184"/>
    <w:rsid w:val="00B142E3"/>
    <w:rsid w:val="00B1573A"/>
    <w:rsid w:val="00B2126C"/>
    <w:rsid w:val="00B35FB8"/>
    <w:rsid w:val="00B36837"/>
    <w:rsid w:val="00B52235"/>
    <w:rsid w:val="00B703B3"/>
    <w:rsid w:val="00B7043D"/>
    <w:rsid w:val="00B92981"/>
    <w:rsid w:val="00B93E5C"/>
    <w:rsid w:val="00B9734B"/>
    <w:rsid w:val="00B97F1D"/>
    <w:rsid w:val="00BA56E1"/>
    <w:rsid w:val="00BC4BA0"/>
    <w:rsid w:val="00BE4D83"/>
    <w:rsid w:val="00C11BFE"/>
    <w:rsid w:val="00C128C1"/>
    <w:rsid w:val="00C12D8A"/>
    <w:rsid w:val="00C41F9A"/>
    <w:rsid w:val="00C43586"/>
    <w:rsid w:val="00C47886"/>
    <w:rsid w:val="00C52DC9"/>
    <w:rsid w:val="00C613B2"/>
    <w:rsid w:val="00C63D91"/>
    <w:rsid w:val="00C63F20"/>
    <w:rsid w:val="00C76CD9"/>
    <w:rsid w:val="00C847C0"/>
    <w:rsid w:val="00C856B1"/>
    <w:rsid w:val="00C904CE"/>
    <w:rsid w:val="00C90B08"/>
    <w:rsid w:val="00C94629"/>
    <w:rsid w:val="00CB4460"/>
    <w:rsid w:val="00CC6841"/>
    <w:rsid w:val="00CE0386"/>
    <w:rsid w:val="00CE5DEF"/>
    <w:rsid w:val="00CF3374"/>
    <w:rsid w:val="00CF5981"/>
    <w:rsid w:val="00D05D26"/>
    <w:rsid w:val="00D13F33"/>
    <w:rsid w:val="00D17E1B"/>
    <w:rsid w:val="00D25DD5"/>
    <w:rsid w:val="00D30A71"/>
    <w:rsid w:val="00D45252"/>
    <w:rsid w:val="00D462A6"/>
    <w:rsid w:val="00D47AF0"/>
    <w:rsid w:val="00D51946"/>
    <w:rsid w:val="00D548EA"/>
    <w:rsid w:val="00D60D6D"/>
    <w:rsid w:val="00D71B4D"/>
    <w:rsid w:val="00D778E4"/>
    <w:rsid w:val="00D93D55"/>
    <w:rsid w:val="00DA5393"/>
    <w:rsid w:val="00DA6DAE"/>
    <w:rsid w:val="00DA79B8"/>
    <w:rsid w:val="00DC24D7"/>
    <w:rsid w:val="00DD5818"/>
    <w:rsid w:val="00DD7A35"/>
    <w:rsid w:val="00DE0B96"/>
    <w:rsid w:val="00E00F15"/>
    <w:rsid w:val="00E12088"/>
    <w:rsid w:val="00E156E9"/>
    <w:rsid w:val="00E335FE"/>
    <w:rsid w:val="00E345A6"/>
    <w:rsid w:val="00E360CA"/>
    <w:rsid w:val="00E43F92"/>
    <w:rsid w:val="00E45AB5"/>
    <w:rsid w:val="00E46835"/>
    <w:rsid w:val="00E5021F"/>
    <w:rsid w:val="00E51A3C"/>
    <w:rsid w:val="00E570EE"/>
    <w:rsid w:val="00E8758A"/>
    <w:rsid w:val="00E9234D"/>
    <w:rsid w:val="00EC446F"/>
    <w:rsid w:val="00EC4E49"/>
    <w:rsid w:val="00ED3334"/>
    <w:rsid w:val="00ED77FB"/>
    <w:rsid w:val="00EE0AD5"/>
    <w:rsid w:val="00EE730F"/>
    <w:rsid w:val="00EF6AA9"/>
    <w:rsid w:val="00F021A6"/>
    <w:rsid w:val="00F2169B"/>
    <w:rsid w:val="00F251A0"/>
    <w:rsid w:val="00F3313F"/>
    <w:rsid w:val="00F45345"/>
    <w:rsid w:val="00F502CC"/>
    <w:rsid w:val="00F519D5"/>
    <w:rsid w:val="00F61BDF"/>
    <w:rsid w:val="00F66152"/>
    <w:rsid w:val="00F91B1D"/>
    <w:rsid w:val="00F9681A"/>
    <w:rsid w:val="00FA1061"/>
    <w:rsid w:val="00FA33CC"/>
    <w:rsid w:val="00FC08D3"/>
    <w:rsid w:val="00FC1E96"/>
    <w:rsid w:val="00FC3D1F"/>
    <w:rsid w:val="00FF0282"/>
    <w:rsid w:val="00FF323B"/>
    <w:rsid w:val="00FF60A2"/>
    <w:rsid w:val="00FF71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EA328-31AA-4CE1-A635-AABCF35D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LI/A/33/1</vt:lpstr>
    </vt:vector>
  </TitlesOfParts>
  <Company>WIPO</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LI/A/33/1</dc:title>
  <dc:creator>ROJAL Florence</dc:creator>
  <dc:description>ID - 11/7/2016 - 
MH (QC)  - 11/7/2016</dc:description>
  <cp:lastModifiedBy>DORE Marie-Pierre</cp:lastModifiedBy>
  <cp:revision>2</cp:revision>
  <cp:lastPrinted>2016-07-13T08:29:00Z</cp:lastPrinted>
  <dcterms:created xsi:type="dcterms:W3CDTF">2016-07-15T06:10:00Z</dcterms:created>
  <dcterms:modified xsi:type="dcterms:W3CDTF">2016-07-15T06:10:00Z</dcterms:modified>
</cp:coreProperties>
</file>