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F1" w:rsidRPr="00E92CD3" w:rsidRDefault="00DC0BA7" w:rsidP="006E4F5F">
      <w:pPr>
        <w:widowControl w:val="0"/>
        <w:jc w:val="right"/>
        <w:rPr>
          <w:b/>
          <w:color w:val="000000" w:themeColor="text1"/>
          <w:sz w:val="2"/>
          <w:szCs w:val="40"/>
        </w:rPr>
      </w:pPr>
      <w:r w:rsidRPr="00E92CD3">
        <w:rPr>
          <w:b/>
          <w:color w:val="000000" w:themeColor="text1"/>
          <w:sz w:val="40"/>
          <w:szCs w:val="40"/>
        </w:rPr>
        <w:t>S</w:t>
      </w:r>
    </w:p>
    <w:p w:rsidR="009410F1" w:rsidRPr="00E92CD3" w:rsidRDefault="00DC0BA7" w:rsidP="006E4F5F">
      <w:pPr>
        <w:spacing w:line="360" w:lineRule="auto"/>
        <w:ind w:left="4592"/>
        <w:rPr>
          <w:rFonts w:ascii="Arial Black" w:hAnsi="Arial Black"/>
          <w:caps/>
          <w:color w:val="000000" w:themeColor="text1"/>
          <w:sz w:val="15"/>
        </w:rPr>
      </w:pPr>
      <w:r w:rsidRPr="00E92CD3">
        <w:rPr>
          <w:noProof/>
          <w:color w:val="000000" w:themeColor="text1"/>
          <w:lang w:eastAsia="en-US"/>
        </w:rPr>
        <w:drawing>
          <wp:inline distT="0" distB="0" distL="0" distR="0" wp14:anchorId="33BAABAB" wp14:editId="1B587F7D">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410F1" w:rsidRPr="00CD146D" w:rsidRDefault="00480611" w:rsidP="00AA2DD4">
      <w:pPr>
        <w:pBdr>
          <w:top w:val="single" w:sz="4" w:space="10" w:color="auto"/>
        </w:pBdr>
        <w:spacing w:before="120"/>
        <w:jc w:val="right"/>
        <w:rPr>
          <w:rFonts w:ascii="Arial Black" w:hAnsi="Arial Black"/>
          <w:b/>
          <w:caps/>
          <w:color w:val="000000" w:themeColor="text1"/>
          <w:sz w:val="15"/>
          <w:lang w:val="es-ES_tradnl"/>
        </w:rPr>
      </w:pPr>
      <w:r w:rsidRPr="00CD146D">
        <w:rPr>
          <w:rFonts w:ascii="Arial Black" w:hAnsi="Arial Black"/>
          <w:b/>
          <w:caps/>
          <w:color w:val="000000" w:themeColor="text1"/>
          <w:sz w:val="15"/>
          <w:lang w:val="es-ES_tradnl"/>
        </w:rPr>
        <w:t>LI/A/35</w:t>
      </w:r>
      <w:r w:rsidR="006E4F5F" w:rsidRPr="00CD146D">
        <w:rPr>
          <w:rFonts w:ascii="Arial Black" w:hAnsi="Arial Black"/>
          <w:b/>
          <w:caps/>
          <w:color w:val="000000" w:themeColor="text1"/>
          <w:sz w:val="15"/>
          <w:lang w:val="es-ES_tradnl"/>
        </w:rPr>
        <w:t>/</w:t>
      </w:r>
      <w:bookmarkStart w:id="0" w:name="Code"/>
      <w:bookmarkEnd w:id="0"/>
      <w:r w:rsidR="009060FD" w:rsidRPr="00CD146D">
        <w:rPr>
          <w:rFonts w:ascii="Arial Black" w:hAnsi="Arial Black"/>
          <w:b/>
          <w:caps/>
          <w:color w:val="000000" w:themeColor="text1"/>
          <w:sz w:val="15"/>
          <w:lang w:val="es-ES_tradnl"/>
        </w:rPr>
        <w:t>1</w:t>
      </w:r>
    </w:p>
    <w:p w:rsidR="009410F1" w:rsidRPr="00CD146D" w:rsidRDefault="006E4F5F" w:rsidP="006E4F5F">
      <w:pPr>
        <w:jc w:val="right"/>
        <w:rPr>
          <w:rFonts w:ascii="Arial Black" w:hAnsi="Arial Black"/>
          <w:b/>
          <w:caps/>
          <w:color w:val="000000" w:themeColor="text1"/>
          <w:sz w:val="15"/>
          <w:lang w:val="es-ES_tradnl"/>
        </w:rPr>
      </w:pPr>
      <w:r w:rsidRPr="00CD146D">
        <w:rPr>
          <w:rFonts w:ascii="Arial Black" w:hAnsi="Arial Black"/>
          <w:b/>
          <w:caps/>
          <w:color w:val="000000" w:themeColor="text1"/>
          <w:sz w:val="15"/>
          <w:lang w:val="es-ES_tradnl"/>
        </w:rPr>
        <w:t xml:space="preserve">ORIGINAL: </w:t>
      </w:r>
      <w:bookmarkStart w:id="1" w:name="Original"/>
      <w:bookmarkEnd w:id="1"/>
      <w:r w:rsidR="009060FD" w:rsidRPr="00CD146D">
        <w:rPr>
          <w:rFonts w:ascii="Arial Black" w:hAnsi="Arial Black"/>
          <w:b/>
          <w:caps/>
          <w:color w:val="000000" w:themeColor="text1"/>
          <w:sz w:val="15"/>
          <w:lang w:val="es-ES_tradnl"/>
        </w:rPr>
        <w:t>INGLÉS</w:t>
      </w:r>
    </w:p>
    <w:p w:rsidR="009410F1" w:rsidRPr="00CD146D" w:rsidRDefault="00DC0BA7" w:rsidP="006E4F5F">
      <w:pPr>
        <w:spacing w:line="1680" w:lineRule="auto"/>
        <w:jc w:val="right"/>
        <w:rPr>
          <w:rFonts w:ascii="Arial Black" w:hAnsi="Arial Black"/>
          <w:b/>
          <w:caps/>
          <w:color w:val="000000" w:themeColor="text1"/>
          <w:sz w:val="15"/>
          <w:lang w:val="es-ES_tradnl"/>
        </w:rPr>
      </w:pPr>
      <w:r w:rsidRPr="00CD146D">
        <w:rPr>
          <w:rFonts w:ascii="Arial Black" w:hAnsi="Arial Black"/>
          <w:b/>
          <w:caps/>
          <w:color w:val="000000" w:themeColor="text1"/>
          <w:sz w:val="15"/>
          <w:lang w:val="es-ES_tradnl"/>
        </w:rPr>
        <w:t>Fecha</w:t>
      </w:r>
      <w:r w:rsidR="006E4F5F" w:rsidRPr="00CD146D">
        <w:rPr>
          <w:rFonts w:ascii="Arial Black" w:hAnsi="Arial Black"/>
          <w:b/>
          <w:caps/>
          <w:color w:val="000000" w:themeColor="text1"/>
          <w:sz w:val="15"/>
          <w:lang w:val="es-ES_tradnl"/>
        </w:rPr>
        <w:t xml:space="preserve">: </w:t>
      </w:r>
      <w:bookmarkStart w:id="2" w:name="Date"/>
      <w:bookmarkEnd w:id="2"/>
      <w:r w:rsidR="009060FD" w:rsidRPr="00CD146D">
        <w:rPr>
          <w:rFonts w:ascii="Arial Black" w:hAnsi="Arial Black"/>
          <w:b/>
          <w:caps/>
          <w:color w:val="000000" w:themeColor="text1"/>
          <w:sz w:val="15"/>
          <w:lang w:val="es-ES_tradnl"/>
        </w:rPr>
        <w:t>23 DE JULIO DE 2018</w:t>
      </w:r>
    </w:p>
    <w:p w:rsidR="009410F1" w:rsidRPr="00E92CD3" w:rsidRDefault="00480611" w:rsidP="00480611">
      <w:pPr>
        <w:pStyle w:val="Heading1"/>
        <w:rPr>
          <w:color w:val="000000" w:themeColor="text1"/>
          <w:lang w:val="es-ES"/>
        </w:rPr>
      </w:pPr>
      <w:r w:rsidRPr="00E92CD3">
        <w:rPr>
          <w:color w:val="000000" w:themeColor="text1"/>
          <w:lang w:val="es-ES"/>
        </w:rPr>
        <w:t xml:space="preserve">Unión Particular para la Protección de las Denominaciones de Origen y su Registro </w:t>
      </w:r>
      <w:r w:rsidR="006F30A6" w:rsidRPr="00E92CD3">
        <w:rPr>
          <w:color w:val="000000" w:themeColor="text1"/>
          <w:lang w:val="es-ES"/>
        </w:rPr>
        <w:t>Internacional (Unión de Lisboa)</w:t>
      </w:r>
    </w:p>
    <w:p w:rsidR="009410F1" w:rsidRPr="00E92CD3" w:rsidRDefault="00480611" w:rsidP="00480611">
      <w:pPr>
        <w:pStyle w:val="Heading1"/>
        <w:rPr>
          <w:color w:val="000000" w:themeColor="text1"/>
          <w:lang w:val="es-ES"/>
        </w:rPr>
      </w:pPr>
      <w:r w:rsidRPr="00E92CD3">
        <w:rPr>
          <w:color w:val="000000" w:themeColor="text1"/>
          <w:lang w:val="es-ES"/>
        </w:rPr>
        <w:t>Asamblea</w:t>
      </w:r>
    </w:p>
    <w:p w:rsidR="009410F1" w:rsidRPr="00CD146D" w:rsidRDefault="00480611" w:rsidP="00947D8F">
      <w:pPr>
        <w:spacing w:after="720"/>
        <w:rPr>
          <w:b/>
          <w:color w:val="000000" w:themeColor="text1"/>
          <w:sz w:val="24"/>
          <w:lang w:val="es-ES_tradnl"/>
        </w:rPr>
      </w:pPr>
      <w:r w:rsidRPr="00CD146D">
        <w:rPr>
          <w:b/>
          <w:color w:val="000000" w:themeColor="text1"/>
          <w:sz w:val="24"/>
          <w:lang w:val="es-ES_tradnl"/>
        </w:rPr>
        <w:t>Trigésimo quinto período de sesiones (13</w:t>
      </w:r>
      <w:r w:rsidR="00DA5E73">
        <w:rPr>
          <w:b/>
          <w:color w:val="000000" w:themeColor="text1"/>
          <w:sz w:val="24"/>
          <w:lang w:val="es-ES_tradnl"/>
        </w:rPr>
        <w:t>.</w:t>
      </w:r>
      <w:r w:rsidRPr="00CD146D">
        <w:rPr>
          <w:b/>
          <w:color w:val="000000" w:themeColor="text1"/>
          <w:sz w:val="24"/>
          <w:lang w:val="es-ES_tradnl"/>
        </w:rPr>
        <w:t>º extraordinario)</w:t>
      </w:r>
      <w:r w:rsidR="003D57B0" w:rsidRPr="00CD146D">
        <w:rPr>
          <w:b/>
          <w:color w:val="000000" w:themeColor="text1"/>
          <w:sz w:val="24"/>
          <w:lang w:val="es-ES_tradnl"/>
        </w:rPr>
        <w:br/>
      </w:r>
      <w:r w:rsidR="00DC0BA7" w:rsidRPr="00CD146D">
        <w:rPr>
          <w:b/>
          <w:color w:val="000000" w:themeColor="text1"/>
          <w:sz w:val="24"/>
          <w:lang w:val="es-ES_tradnl"/>
        </w:rPr>
        <w:t>Ginebra</w:t>
      </w:r>
      <w:r w:rsidR="00DF023A" w:rsidRPr="00CD146D">
        <w:rPr>
          <w:b/>
          <w:color w:val="000000" w:themeColor="text1"/>
          <w:sz w:val="24"/>
          <w:lang w:val="es-ES_tradnl"/>
        </w:rPr>
        <w:t xml:space="preserve">, </w:t>
      </w:r>
      <w:r w:rsidR="002A633A" w:rsidRPr="00CD146D">
        <w:rPr>
          <w:b/>
          <w:color w:val="000000" w:themeColor="text1"/>
          <w:sz w:val="24"/>
          <w:lang w:val="es-ES_tradnl"/>
        </w:rPr>
        <w:t>24</w:t>
      </w:r>
      <w:r w:rsidR="00A203AE">
        <w:rPr>
          <w:b/>
          <w:color w:val="000000" w:themeColor="text1"/>
          <w:sz w:val="24"/>
          <w:lang w:val="es-ES_tradnl"/>
        </w:rPr>
        <w:t xml:space="preserve"> de</w:t>
      </w:r>
      <w:r w:rsidR="002A633A" w:rsidRPr="00CD146D">
        <w:rPr>
          <w:b/>
          <w:color w:val="000000" w:themeColor="text1"/>
          <w:sz w:val="24"/>
          <w:lang w:val="es-ES_tradnl"/>
        </w:rPr>
        <w:t xml:space="preserve"> s</w:t>
      </w:r>
      <w:r w:rsidR="00217165" w:rsidRPr="00CD146D">
        <w:rPr>
          <w:b/>
          <w:color w:val="000000" w:themeColor="text1"/>
          <w:sz w:val="24"/>
          <w:lang w:val="es-ES_tradnl"/>
        </w:rPr>
        <w:t>ept</w:t>
      </w:r>
      <w:r w:rsidR="00DC0BA7" w:rsidRPr="00CD146D">
        <w:rPr>
          <w:b/>
          <w:color w:val="000000" w:themeColor="text1"/>
          <w:sz w:val="24"/>
          <w:lang w:val="es-ES_tradnl"/>
        </w:rPr>
        <w:t>iembre a</w:t>
      </w:r>
      <w:r w:rsidR="002A633A" w:rsidRPr="00CD146D">
        <w:rPr>
          <w:b/>
          <w:color w:val="000000" w:themeColor="text1"/>
          <w:sz w:val="24"/>
          <w:lang w:val="es-ES_tradnl"/>
        </w:rPr>
        <w:t xml:space="preserve"> 2 </w:t>
      </w:r>
      <w:r w:rsidR="00DC0BA7" w:rsidRPr="00CD146D">
        <w:rPr>
          <w:b/>
          <w:color w:val="000000" w:themeColor="text1"/>
          <w:sz w:val="24"/>
          <w:lang w:val="es-ES_tradnl"/>
        </w:rPr>
        <w:t xml:space="preserve">de </w:t>
      </w:r>
      <w:r w:rsidR="002A633A" w:rsidRPr="00CD146D">
        <w:rPr>
          <w:b/>
          <w:color w:val="000000" w:themeColor="text1"/>
          <w:sz w:val="24"/>
          <w:lang w:val="es-ES_tradnl"/>
        </w:rPr>
        <w:t>o</w:t>
      </w:r>
      <w:r w:rsidR="00DC0BA7" w:rsidRPr="00CD146D">
        <w:rPr>
          <w:b/>
          <w:color w:val="000000" w:themeColor="text1"/>
          <w:sz w:val="24"/>
          <w:lang w:val="es-ES_tradnl"/>
        </w:rPr>
        <w:t>ctu</w:t>
      </w:r>
      <w:r w:rsidR="00217165" w:rsidRPr="00CD146D">
        <w:rPr>
          <w:b/>
          <w:color w:val="000000" w:themeColor="text1"/>
          <w:sz w:val="24"/>
          <w:lang w:val="es-ES_tradnl"/>
        </w:rPr>
        <w:t>bre</w:t>
      </w:r>
      <w:r w:rsidR="00DC0BA7" w:rsidRPr="00CD146D">
        <w:rPr>
          <w:b/>
          <w:color w:val="000000" w:themeColor="text1"/>
          <w:sz w:val="24"/>
          <w:lang w:val="es-ES_tradnl"/>
        </w:rPr>
        <w:t xml:space="preserve"> de</w:t>
      </w:r>
      <w:r w:rsidR="00DF023A" w:rsidRPr="00CD146D">
        <w:rPr>
          <w:b/>
          <w:color w:val="000000" w:themeColor="text1"/>
          <w:sz w:val="24"/>
          <w:lang w:val="es-ES_tradnl"/>
        </w:rPr>
        <w:t xml:space="preserve"> 2018</w:t>
      </w:r>
    </w:p>
    <w:p w:rsidR="009410F1" w:rsidRPr="00CD146D" w:rsidRDefault="009410F1" w:rsidP="009410F1">
      <w:pPr>
        <w:spacing w:after="360"/>
        <w:rPr>
          <w:caps/>
          <w:color w:val="000000" w:themeColor="text1"/>
          <w:sz w:val="24"/>
          <w:lang w:val="es-ES_tradnl"/>
        </w:rPr>
      </w:pPr>
      <w:bookmarkStart w:id="3" w:name="TitleOfDoc"/>
      <w:bookmarkEnd w:id="3"/>
      <w:r w:rsidRPr="00E92CD3">
        <w:rPr>
          <w:caps/>
          <w:color w:val="000000" w:themeColor="text1"/>
          <w:sz w:val="24"/>
          <w:lang w:val="es-ES_tradnl"/>
        </w:rPr>
        <w:t>INFORME DEL GRUPO DE TRABAJO SOBRE EL DESARROLLO DEL SISTEMA DE LISBOA</w:t>
      </w:r>
    </w:p>
    <w:p w:rsidR="009410F1" w:rsidRPr="00E92CD3" w:rsidRDefault="009410F1" w:rsidP="009410F1">
      <w:pPr>
        <w:spacing w:after="960"/>
        <w:rPr>
          <w:i/>
          <w:color w:val="000000" w:themeColor="text1"/>
          <w:lang w:val="es-ES"/>
        </w:rPr>
      </w:pPr>
      <w:bookmarkStart w:id="4" w:name="Prepared"/>
      <w:bookmarkEnd w:id="4"/>
      <w:r w:rsidRPr="00E92CD3">
        <w:rPr>
          <w:i/>
          <w:color w:val="000000" w:themeColor="text1"/>
          <w:lang w:val="es-ES_tradnl"/>
        </w:rPr>
        <w:t>preparado por la Oficina Internacional</w:t>
      </w:r>
    </w:p>
    <w:p w:rsidR="009410F1" w:rsidRPr="00CD146D" w:rsidRDefault="009410F1" w:rsidP="009F76D9">
      <w:pPr>
        <w:pStyle w:val="ONUME"/>
        <w:rPr>
          <w:color w:val="000000" w:themeColor="text1"/>
          <w:lang w:val="es-ES_tradnl"/>
        </w:rPr>
      </w:pPr>
      <w:r w:rsidRPr="00E92CD3">
        <w:rPr>
          <w:color w:val="000000" w:themeColor="text1"/>
          <w:lang w:val="es-ES_tradnl"/>
        </w:rPr>
        <w:t xml:space="preserve">Desde el anterior período de sesiones de la Asamblea de la Unión de Lisboa, el Grupo de Trabajo sobre el Desarrollo del Sistema de Lisboa (el </w:t>
      </w:r>
      <w:r w:rsidR="009F76D9" w:rsidRPr="00E92CD3">
        <w:rPr>
          <w:color w:val="000000" w:themeColor="text1"/>
          <w:lang w:val="es-ES_tradnl"/>
        </w:rPr>
        <w:t>"Grupo de Trabajo"</w:t>
      </w:r>
      <w:r w:rsidRPr="00E92CD3">
        <w:rPr>
          <w:color w:val="000000" w:themeColor="text1"/>
          <w:lang w:val="es-ES_tradnl"/>
        </w:rPr>
        <w:t>) celebró su primera reunión el 11 y 12 de junio de 2018.</w:t>
      </w:r>
      <w:r w:rsidR="009060FD" w:rsidRPr="00E92CD3">
        <w:rPr>
          <w:color w:val="000000" w:themeColor="text1"/>
          <w:lang w:val="es-ES"/>
        </w:rPr>
        <w:t xml:space="preserve"> </w:t>
      </w:r>
      <w:r w:rsidRPr="00E92CD3">
        <w:rPr>
          <w:color w:val="000000" w:themeColor="text1"/>
          <w:lang w:val="es-ES_tradnl"/>
        </w:rPr>
        <w:t>Las delegaciones intercambiaron opiniones sobre las cuestiones relacionadas con el funcionamiento del Sistema de Lisboa, que se reproduce en el Anexo del presente documento (documento LI/WG/DEV-SYS/1/4), que fue aprobado por el Grupo de Trabajo.</w:t>
      </w:r>
    </w:p>
    <w:p w:rsidR="009410F1" w:rsidRPr="00E92CD3" w:rsidRDefault="00FB53F3" w:rsidP="00316195">
      <w:pPr>
        <w:pStyle w:val="ONUME"/>
        <w:rPr>
          <w:color w:val="000000" w:themeColor="text1"/>
          <w:lang w:val="es-ES"/>
        </w:rPr>
      </w:pPr>
      <w:r w:rsidRPr="00E92CD3">
        <w:rPr>
          <w:color w:val="000000" w:themeColor="text1"/>
          <w:lang w:val="es-ES"/>
        </w:rPr>
        <w:t xml:space="preserve">Entre </w:t>
      </w:r>
      <w:r w:rsidR="009410F1" w:rsidRPr="00E92CD3">
        <w:rPr>
          <w:color w:val="000000" w:themeColor="text1"/>
          <w:lang w:val="es-ES_tradnl"/>
        </w:rPr>
        <w:t xml:space="preserve">los temas debatidos en </w:t>
      </w:r>
      <w:r w:rsidR="00E46AE7">
        <w:rPr>
          <w:color w:val="000000" w:themeColor="text1"/>
          <w:lang w:val="es-ES_tradnl"/>
        </w:rPr>
        <w:t>la reunión</w:t>
      </w:r>
      <w:r w:rsidR="009410F1" w:rsidRPr="00E92CD3">
        <w:rPr>
          <w:color w:val="000000" w:themeColor="text1"/>
          <w:lang w:val="es-ES_tradnl"/>
        </w:rPr>
        <w:t>, el Grupo de Trabajo convino en recomendar a la Asamblea General la aprobación</w:t>
      </w:r>
      <w:r w:rsidR="0052305C" w:rsidRPr="00E92CD3">
        <w:rPr>
          <w:color w:val="000000" w:themeColor="text1"/>
          <w:lang w:val="es-ES_tradnl"/>
        </w:rPr>
        <w:t xml:space="preserve"> </w:t>
      </w:r>
      <w:r w:rsidR="00316195" w:rsidRPr="00E92CD3">
        <w:rPr>
          <w:color w:val="000000" w:themeColor="text1"/>
          <w:lang w:val="es-ES_tradnl"/>
        </w:rPr>
        <w:t>de una reducción del 50% de la cuantía prescrita de las tasas que deben abonar los países menos adelantados (PMA)</w:t>
      </w:r>
      <w:r w:rsidR="00316195" w:rsidRPr="00E92CD3">
        <w:rPr>
          <w:color w:val="000000" w:themeColor="text1"/>
          <w:lang w:val="es-ES"/>
        </w:rPr>
        <w:t xml:space="preserve"> </w:t>
      </w:r>
      <w:r w:rsidR="009410F1" w:rsidRPr="00E92CD3">
        <w:rPr>
          <w:color w:val="000000" w:themeColor="text1"/>
          <w:lang w:val="es-ES_tradnl"/>
        </w:rPr>
        <w:t>con respecto a los registros internacionales de las denominaciones de origen y las indicaciones geográficas, como se establece en la propuesta que figura en el documento LI/A/35/2.</w:t>
      </w:r>
    </w:p>
    <w:p w:rsidR="009410F1" w:rsidRPr="00CD146D" w:rsidRDefault="009410F1" w:rsidP="009410F1">
      <w:pPr>
        <w:pStyle w:val="ONUME"/>
        <w:rPr>
          <w:color w:val="000000" w:themeColor="text1"/>
          <w:lang w:val="es-ES_tradnl"/>
        </w:rPr>
      </w:pPr>
      <w:r w:rsidRPr="00E92CD3">
        <w:rPr>
          <w:color w:val="000000" w:themeColor="text1"/>
          <w:lang w:val="es-ES_tradnl"/>
        </w:rPr>
        <w:t>En lo que se refiere a la sostenibilidad financiera de la Unión de Lisboa, el Grupo de Trabajo decidió seguir examinando distintas opciones en futuras reuniones del Grupo de Trabajo y en l</w:t>
      </w:r>
      <w:r w:rsidR="009E0EC4">
        <w:rPr>
          <w:color w:val="000000" w:themeColor="text1"/>
          <w:lang w:val="es-ES_tradnl"/>
        </w:rPr>
        <w:t>as reuniones informales que el p</w:t>
      </w:r>
      <w:r w:rsidRPr="00E92CD3">
        <w:rPr>
          <w:color w:val="000000" w:themeColor="text1"/>
          <w:lang w:val="es-ES_tradnl"/>
        </w:rPr>
        <w:t>residente del Grupo de Trabajo pueda pedir que organice la Secretaría.</w:t>
      </w:r>
    </w:p>
    <w:p w:rsidR="009410F1" w:rsidRPr="00CD146D" w:rsidRDefault="009410F1" w:rsidP="009410F1">
      <w:pPr>
        <w:pStyle w:val="ONUME"/>
        <w:keepNext/>
        <w:keepLines/>
        <w:numPr>
          <w:ilvl w:val="0"/>
          <w:numId w:val="0"/>
        </w:numPr>
        <w:tabs>
          <w:tab w:val="left" w:pos="6096"/>
        </w:tabs>
        <w:spacing w:after="840"/>
        <w:ind w:left="5533"/>
        <w:rPr>
          <w:i/>
          <w:color w:val="000000" w:themeColor="text1"/>
          <w:lang w:val="es-ES_tradnl"/>
        </w:rPr>
      </w:pPr>
      <w:r w:rsidRPr="00E92CD3">
        <w:rPr>
          <w:i/>
          <w:color w:val="000000" w:themeColor="text1"/>
          <w:lang w:val="es-ES_tradnl"/>
        </w:rPr>
        <w:lastRenderedPageBreak/>
        <w:t>4. Se invita a la Asamblea de la Unión de Lisboa a tomar nota del "Informe del Grupo de Trabajo sobre el Desarrollo del Sistema de Lisboa" (documento LI/A/35/1).</w:t>
      </w:r>
    </w:p>
    <w:p w:rsidR="009060FD" w:rsidRDefault="00CD146D" w:rsidP="009410F1">
      <w:pPr>
        <w:pStyle w:val="Endofdocument-Annex"/>
        <w:rPr>
          <w:color w:val="000000" w:themeColor="text1"/>
          <w:lang w:val="es-ES_tradnl"/>
        </w:rPr>
      </w:pPr>
      <w:r>
        <w:rPr>
          <w:color w:val="000000" w:themeColor="text1"/>
          <w:lang w:val="es-ES_tradnl"/>
        </w:rPr>
        <w:t>[Sigue el documento LI/WG/DEV</w:t>
      </w:r>
      <w:r>
        <w:rPr>
          <w:color w:val="000000" w:themeColor="text1"/>
          <w:lang w:val="es-ES_tradnl"/>
        </w:rPr>
        <w:noBreakHyphen/>
      </w:r>
      <w:r w:rsidR="009410F1" w:rsidRPr="00E92CD3">
        <w:rPr>
          <w:color w:val="000000" w:themeColor="text1"/>
          <w:lang w:val="es-ES_tradnl"/>
        </w:rPr>
        <w:t>SY</w:t>
      </w:r>
      <w:r w:rsidR="002B6F69">
        <w:rPr>
          <w:color w:val="000000" w:themeColor="text1"/>
          <w:lang w:val="es-ES_tradnl"/>
        </w:rPr>
        <w:t>S</w:t>
      </w:r>
      <w:r w:rsidR="009410F1" w:rsidRPr="00E92CD3">
        <w:rPr>
          <w:color w:val="000000" w:themeColor="text1"/>
          <w:lang w:val="es-ES_tradnl"/>
        </w:rPr>
        <w:t>/1/4]</w:t>
      </w:r>
    </w:p>
    <w:p w:rsidR="00FF54CE" w:rsidRPr="00CD146D" w:rsidRDefault="00FF54CE" w:rsidP="009410F1">
      <w:pPr>
        <w:pStyle w:val="Endofdocument-Annex"/>
        <w:rPr>
          <w:color w:val="000000" w:themeColor="text1"/>
          <w:lang w:val="es-ES_tradnl"/>
        </w:rPr>
        <w:sectPr w:rsidR="00FF54CE" w:rsidRPr="00CD146D" w:rsidSect="00FE1972">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B6F69" w:rsidRPr="00CF082F" w:rsidTr="00D92BDB">
        <w:tc>
          <w:tcPr>
            <w:tcW w:w="4594" w:type="dxa"/>
            <w:tcBorders>
              <w:bottom w:val="single" w:sz="4" w:space="0" w:color="auto"/>
            </w:tcBorders>
            <w:tcMar>
              <w:bottom w:w="170" w:type="dxa"/>
            </w:tcMar>
          </w:tcPr>
          <w:p w:rsidR="002B6F69" w:rsidRPr="00CF082F" w:rsidRDefault="002B6F69" w:rsidP="00D92BDB">
            <w:pPr>
              <w:rPr>
                <w:b/>
                <w:lang w:val="es-ES_tradnl"/>
              </w:rPr>
            </w:pPr>
          </w:p>
        </w:tc>
        <w:tc>
          <w:tcPr>
            <w:tcW w:w="4337" w:type="dxa"/>
            <w:tcBorders>
              <w:bottom w:val="single" w:sz="4" w:space="0" w:color="auto"/>
            </w:tcBorders>
            <w:tcMar>
              <w:left w:w="0" w:type="dxa"/>
              <w:right w:w="0" w:type="dxa"/>
            </w:tcMar>
          </w:tcPr>
          <w:p w:rsidR="002B6F69" w:rsidRPr="00CF082F" w:rsidRDefault="002B6F69" w:rsidP="00D92BDB">
            <w:pPr>
              <w:rPr>
                <w:lang w:val="es-ES_tradnl"/>
              </w:rPr>
            </w:pPr>
            <w:r w:rsidRPr="00CF082F">
              <w:rPr>
                <w:noProof/>
                <w:lang w:eastAsia="en-US"/>
              </w:rPr>
              <w:drawing>
                <wp:inline distT="0" distB="0" distL="0" distR="0" wp14:anchorId="44B03483" wp14:editId="36DB4E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B6F69" w:rsidRPr="00CF082F" w:rsidRDefault="002B6F69" w:rsidP="00D92BDB">
            <w:pPr>
              <w:jc w:val="right"/>
              <w:rPr>
                <w:lang w:val="es-ES_tradnl"/>
              </w:rPr>
            </w:pPr>
            <w:r w:rsidRPr="00CF082F">
              <w:rPr>
                <w:b/>
                <w:sz w:val="40"/>
                <w:szCs w:val="40"/>
                <w:lang w:val="es-ES_tradnl"/>
              </w:rPr>
              <w:t>S</w:t>
            </w:r>
          </w:p>
        </w:tc>
      </w:tr>
      <w:tr w:rsidR="002B6F69" w:rsidRPr="00CF082F" w:rsidTr="00D92BDB">
        <w:trPr>
          <w:trHeight w:hRule="exact" w:val="340"/>
        </w:trPr>
        <w:tc>
          <w:tcPr>
            <w:tcW w:w="9356" w:type="dxa"/>
            <w:gridSpan w:val="3"/>
            <w:tcBorders>
              <w:top w:val="single" w:sz="4" w:space="0" w:color="auto"/>
            </w:tcBorders>
            <w:tcMar>
              <w:top w:w="170" w:type="dxa"/>
              <w:left w:w="0" w:type="dxa"/>
              <w:right w:w="0" w:type="dxa"/>
            </w:tcMar>
            <w:vAlign w:val="bottom"/>
          </w:tcPr>
          <w:p w:rsidR="002B6F69" w:rsidRPr="00CF082F" w:rsidRDefault="002B6F69" w:rsidP="002B6F69">
            <w:pPr>
              <w:jc w:val="right"/>
              <w:rPr>
                <w:rFonts w:ascii="Arial Black" w:hAnsi="Arial Black"/>
                <w:caps/>
                <w:sz w:val="15"/>
                <w:lang w:val="es-ES_tradnl"/>
              </w:rPr>
            </w:pPr>
            <w:r w:rsidRPr="00CF082F">
              <w:rPr>
                <w:rFonts w:ascii="Arial Black" w:hAnsi="Arial Black"/>
                <w:caps/>
                <w:sz w:val="15"/>
                <w:lang w:val="es-ES_tradnl"/>
              </w:rPr>
              <w:t>LI/WG/DEV-SYS/1/</w:t>
            </w:r>
            <w:r>
              <w:rPr>
                <w:rFonts w:ascii="Arial Black" w:hAnsi="Arial Black"/>
                <w:caps/>
                <w:sz w:val="15"/>
                <w:lang w:val="es-ES_tradnl"/>
              </w:rPr>
              <w:t>4</w:t>
            </w:r>
            <w:r w:rsidRPr="00CF082F">
              <w:rPr>
                <w:rFonts w:ascii="Arial Black" w:hAnsi="Arial Black"/>
                <w:caps/>
                <w:sz w:val="15"/>
                <w:lang w:val="es-ES_tradnl"/>
              </w:rPr>
              <w:t xml:space="preserve">     </w:t>
            </w:r>
          </w:p>
        </w:tc>
      </w:tr>
      <w:tr w:rsidR="002B6F69" w:rsidRPr="00CF082F" w:rsidTr="00D92BDB">
        <w:trPr>
          <w:trHeight w:hRule="exact" w:val="170"/>
        </w:trPr>
        <w:tc>
          <w:tcPr>
            <w:tcW w:w="9356" w:type="dxa"/>
            <w:gridSpan w:val="3"/>
            <w:noWrap/>
            <w:tcMar>
              <w:left w:w="0" w:type="dxa"/>
              <w:right w:w="0" w:type="dxa"/>
            </w:tcMar>
            <w:vAlign w:val="bottom"/>
          </w:tcPr>
          <w:p w:rsidR="002B6F69" w:rsidRPr="00CF082F" w:rsidRDefault="002B6F69" w:rsidP="00D92BDB">
            <w:pPr>
              <w:jc w:val="right"/>
              <w:rPr>
                <w:rFonts w:ascii="Arial Black" w:hAnsi="Arial Black"/>
                <w:caps/>
                <w:sz w:val="15"/>
                <w:lang w:val="es-ES_tradnl"/>
              </w:rPr>
            </w:pPr>
            <w:r w:rsidRPr="00CF082F">
              <w:rPr>
                <w:rFonts w:ascii="Arial Black" w:hAnsi="Arial Black"/>
                <w:caps/>
                <w:sz w:val="15"/>
                <w:lang w:val="es-ES_tradnl"/>
              </w:rPr>
              <w:t xml:space="preserve">ORIGINAL:  inglés  </w:t>
            </w:r>
          </w:p>
        </w:tc>
      </w:tr>
      <w:tr w:rsidR="002B6F69" w:rsidRPr="00CF082F" w:rsidTr="00D92BDB">
        <w:trPr>
          <w:trHeight w:hRule="exact" w:val="198"/>
        </w:trPr>
        <w:tc>
          <w:tcPr>
            <w:tcW w:w="9356" w:type="dxa"/>
            <w:gridSpan w:val="3"/>
            <w:tcMar>
              <w:left w:w="0" w:type="dxa"/>
              <w:right w:w="0" w:type="dxa"/>
            </w:tcMar>
            <w:vAlign w:val="bottom"/>
          </w:tcPr>
          <w:p w:rsidR="002B6F69" w:rsidRPr="00CF082F" w:rsidRDefault="002B6F69" w:rsidP="002B6F69">
            <w:pPr>
              <w:jc w:val="right"/>
              <w:rPr>
                <w:rFonts w:ascii="Arial Black" w:hAnsi="Arial Black"/>
                <w:caps/>
                <w:sz w:val="15"/>
                <w:lang w:val="es-ES_tradnl"/>
              </w:rPr>
            </w:pPr>
            <w:r w:rsidRPr="00CF082F">
              <w:rPr>
                <w:rFonts w:ascii="Arial Black" w:hAnsi="Arial Black"/>
                <w:caps/>
                <w:sz w:val="15"/>
                <w:lang w:val="es-ES_tradnl"/>
              </w:rPr>
              <w:t xml:space="preserve">Fecha:  </w:t>
            </w:r>
            <w:r>
              <w:rPr>
                <w:rFonts w:ascii="Arial Black" w:hAnsi="Arial Black"/>
                <w:caps/>
                <w:sz w:val="15"/>
                <w:lang w:val="es-ES_tradnl"/>
              </w:rPr>
              <w:t>12</w:t>
            </w:r>
            <w:r w:rsidRPr="00CF082F">
              <w:rPr>
                <w:rFonts w:ascii="Arial Black" w:hAnsi="Arial Black"/>
                <w:caps/>
                <w:sz w:val="15"/>
                <w:lang w:val="es-ES_tradnl"/>
              </w:rPr>
              <w:t xml:space="preserve"> de </w:t>
            </w:r>
            <w:r>
              <w:rPr>
                <w:rFonts w:ascii="Arial Black" w:hAnsi="Arial Black"/>
                <w:caps/>
                <w:sz w:val="15"/>
                <w:lang w:val="es-ES_tradnl"/>
              </w:rPr>
              <w:t xml:space="preserve">JUNIO </w:t>
            </w:r>
            <w:r w:rsidRPr="00CF082F">
              <w:rPr>
                <w:rFonts w:ascii="Arial Black" w:hAnsi="Arial Black"/>
                <w:caps/>
                <w:sz w:val="15"/>
                <w:lang w:val="es-ES_tradnl"/>
              </w:rPr>
              <w:t>de 2018</w:t>
            </w:r>
          </w:p>
        </w:tc>
      </w:tr>
    </w:tbl>
    <w:p w:rsidR="002B6F69" w:rsidRPr="00CF082F" w:rsidRDefault="002B6F69" w:rsidP="004B5543">
      <w:pPr>
        <w:spacing w:before="1200"/>
        <w:rPr>
          <w:b/>
          <w:sz w:val="28"/>
          <w:szCs w:val="28"/>
          <w:lang w:val="es-ES_tradnl"/>
        </w:rPr>
      </w:pPr>
      <w:r w:rsidRPr="00CF082F">
        <w:rPr>
          <w:b/>
          <w:sz w:val="28"/>
          <w:szCs w:val="28"/>
          <w:lang w:val="es-ES_tradnl"/>
        </w:rPr>
        <w:t>Grupo de Trabajo sobre el Desarrollo del Sistema de Lisboa</w:t>
      </w:r>
    </w:p>
    <w:p w:rsidR="002B6F69" w:rsidRPr="00CF082F" w:rsidRDefault="002B6F69" w:rsidP="002B6F69">
      <w:pPr>
        <w:spacing w:before="480"/>
        <w:rPr>
          <w:b/>
          <w:sz w:val="24"/>
          <w:szCs w:val="24"/>
          <w:lang w:val="es-ES_tradnl"/>
        </w:rPr>
      </w:pPr>
      <w:r w:rsidRPr="00CF082F">
        <w:rPr>
          <w:b/>
          <w:sz w:val="24"/>
          <w:szCs w:val="24"/>
          <w:lang w:val="es-ES_tradnl"/>
        </w:rPr>
        <w:t>Primera reunión</w:t>
      </w:r>
    </w:p>
    <w:p w:rsidR="002B6F69" w:rsidRPr="00CF082F" w:rsidRDefault="002B6F69" w:rsidP="002B6F69">
      <w:pPr>
        <w:rPr>
          <w:b/>
          <w:sz w:val="24"/>
          <w:szCs w:val="24"/>
          <w:lang w:val="es-ES_tradnl"/>
        </w:rPr>
      </w:pPr>
      <w:r w:rsidRPr="00CF082F">
        <w:rPr>
          <w:b/>
          <w:sz w:val="24"/>
          <w:szCs w:val="24"/>
          <w:lang w:val="es-ES_tradnl"/>
        </w:rPr>
        <w:t>Ginebra, 11 y 12 de junio de 2018</w:t>
      </w:r>
    </w:p>
    <w:p w:rsidR="009410F1" w:rsidRPr="00CD146D" w:rsidRDefault="009F76D9" w:rsidP="002B6F69">
      <w:pPr>
        <w:spacing w:before="720" w:after="240"/>
        <w:rPr>
          <w:caps/>
          <w:color w:val="000000" w:themeColor="text1"/>
          <w:sz w:val="24"/>
          <w:lang w:val="es-ES_tradnl"/>
        </w:rPr>
      </w:pPr>
      <w:r w:rsidRPr="00E92CD3">
        <w:rPr>
          <w:caps/>
          <w:color w:val="000000" w:themeColor="text1"/>
          <w:sz w:val="24"/>
          <w:lang w:val="es-ES_tradnl"/>
        </w:rPr>
        <w:t>resumen de la presidencia</w:t>
      </w:r>
    </w:p>
    <w:p w:rsidR="009410F1" w:rsidRPr="00CD146D" w:rsidRDefault="009F76D9" w:rsidP="009F76D9">
      <w:pPr>
        <w:spacing w:after="840"/>
        <w:rPr>
          <w:i/>
          <w:color w:val="000000" w:themeColor="text1"/>
          <w:lang w:val="es-ES_tradnl"/>
        </w:rPr>
      </w:pPr>
      <w:r w:rsidRPr="00E92CD3">
        <w:rPr>
          <w:i/>
          <w:color w:val="000000" w:themeColor="text1"/>
          <w:lang w:val="es-ES_tradnl"/>
        </w:rPr>
        <w:t>aprobado por el Grupo de Trabajo</w:t>
      </w:r>
    </w:p>
    <w:p w:rsidR="009410F1" w:rsidRPr="00CD146D" w:rsidRDefault="009F76D9" w:rsidP="009F76D9">
      <w:pPr>
        <w:pStyle w:val="ONUME"/>
        <w:numPr>
          <w:ilvl w:val="0"/>
          <w:numId w:val="9"/>
        </w:numPr>
        <w:rPr>
          <w:color w:val="000000" w:themeColor="text1"/>
          <w:lang w:val="es-ES_tradnl"/>
        </w:rPr>
      </w:pPr>
      <w:r w:rsidRPr="00E92CD3">
        <w:rPr>
          <w:color w:val="000000" w:themeColor="text1"/>
          <w:lang w:val="es-ES_tradnl"/>
        </w:rPr>
        <w:t>El Grupo de Trabajo sobre el Desarrollo del Sistema de Lisboa (en lo sucesivo, el “Grupo de Trabajo”) se reunió en Ginebra los días 11 y 12 de junio de 2018.</w:t>
      </w:r>
    </w:p>
    <w:p w:rsidR="009410F1" w:rsidRPr="00E92CD3" w:rsidRDefault="009F76D9" w:rsidP="009F76D9">
      <w:pPr>
        <w:pStyle w:val="ONUME"/>
        <w:rPr>
          <w:color w:val="000000" w:themeColor="text1"/>
          <w:lang w:val="es-ES"/>
        </w:rPr>
      </w:pPr>
      <w:r w:rsidRPr="00E92CD3">
        <w:rPr>
          <w:color w:val="000000" w:themeColor="text1"/>
          <w:lang w:val="es-ES_tradnl"/>
        </w:rPr>
        <w:t>Estuvieron representadas en la reunión las siguientes Partes Contratantes de la Unión de Lisboa: Argelia, Bulgaria, Francia, Gabón, Georgia, Hungría, Irán (República Islámica del), Israel, Italia, México, Perú, Portugal, República Checa, República Popular Democrática de Corea (14).</w:t>
      </w:r>
    </w:p>
    <w:p w:rsidR="009410F1" w:rsidRPr="00E92CD3" w:rsidRDefault="009F76D9" w:rsidP="009F76D9">
      <w:pPr>
        <w:pStyle w:val="ONUME"/>
        <w:rPr>
          <w:color w:val="000000" w:themeColor="text1"/>
          <w:lang w:val="es-ES"/>
        </w:rPr>
      </w:pPr>
      <w:r w:rsidRPr="00E92CD3">
        <w:rPr>
          <w:color w:val="000000" w:themeColor="text1"/>
          <w:lang w:val="es-ES_tradnl"/>
        </w:rPr>
        <w:t>Estuvieron representados, en calidad de observadores, los siguientes Estados: Alemania, Arabia Saudita, Australia, Etiopía, España, Estados Unidos de América, Federación de Rusia, Guatemala, India, Japón, Kuwait, Marruecos, Nigeria, República de Corea, República Democrática del Congo, República Dominicana, Rumania, Senegal, Suiza, Tailandia, Turquía, Uganda, Zimbabwe (23).</w:t>
      </w:r>
    </w:p>
    <w:p w:rsidR="009410F1" w:rsidRPr="00E92CD3" w:rsidRDefault="009F76D9" w:rsidP="009F76D9">
      <w:pPr>
        <w:pStyle w:val="ONUME"/>
        <w:rPr>
          <w:color w:val="000000" w:themeColor="text1"/>
          <w:lang w:val="es-ES"/>
        </w:rPr>
      </w:pPr>
      <w:r w:rsidRPr="00E92CD3">
        <w:rPr>
          <w:color w:val="000000" w:themeColor="text1"/>
          <w:lang w:val="es-ES_tradnl"/>
        </w:rPr>
        <w:t>Participaron en la reunión, en calidad de observadores, representantes de las siguientes organizaciones intergubernamentales internacionales (OIG): Comunidad Económica de Estados del África Occidental (ECOWAS), Grupo de Estados de África, el Caribe y el Pacífico (Grupo ACP), Organización de Cooperación Islámica (OIC), Organización de las Naciones Unidas para la Alimentación y la Agricultura (FAO), Organización Mundial del Comercio (OMC), Unión Europea (UE) (6).</w:t>
      </w:r>
    </w:p>
    <w:p w:rsidR="009410F1" w:rsidRPr="00CD146D" w:rsidRDefault="009F76D9" w:rsidP="009F76D9">
      <w:pPr>
        <w:pStyle w:val="ONUME"/>
        <w:rPr>
          <w:color w:val="000000" w:themeColor="text1"/>
          <w:lang w:val="es-ES"/>
        </w:rPr>
      </w:pPr>
      <w:r w:rsidRPr="00E92CD3">
        <w:rPr>
          <w:color w:val="000000" w:themeColor="text1"/>
          <w:lang w:val="es-ES_tradnl"/>
        </w:rPr>
        <w:t xml:space="preserve">Participaron en la reunión, en calidad de observadores, representantes de las siguientes organizaciones internacionales no gubernamentales (ONG): Asociación Internacional de Derecho de la Viña y el Vino (AIDV), Asociación Internacional de Marcas (INTA), </w:t>
      </w:r>
      <w:r w:rsidRPr="00E92CD3">
        <w:rPr>
          <w:i/>
          <w:color w:val="000000" w:themeColor="text1"/>
          <w:lang w:val="es-ES_tradnl"/>
        </w:rPr>
        <w:t>Association romande de propriété intellectuelle</w:t>
      </w:r>
      <w:r w:rsidRPr="00E92CD3">
        <w:rPr>
          <w:color w:val="000000" w:themeColor="text1"/>
          <w:lang w:val="es-ES_tradnl"/>
        </w:rPr>
        <w:t xml:space="preserve"> (AROPI), </w:t>
      </w:r>
      <w:r w:rsidRPr="00E92CD3">
        <w:rPr>
          <w:i/>
          <w:color w:val="000000" w:themeColor="text1"/>
          <w:lang w:val="es-ES_tradnl"/>
        </w:rPr>
        <w:t>Centre d’Études Internationales de la Propriété Intellectuelle</w:t>
      </w:r>
      <w:r w:rsidRPr="00E92CD3">
        <w:rPr>
          <w:color w:val="000000" w:themeColor="text1"/>
          <w:lang w:val="es-ES_tradnl"/>
        </w:rPr>
        <w:t xml:space="preserve"> (CEIPI), </w:t>
      </w:r>
      <w:r w:rsidRPr="00E92CD3">
        <w:rPr>
          <w:i/>
          <w:color w:val="000000" w:themeColor="text1"/>
          <w:lang w:val="es-ES_tradnl"/>
        </w:rPr>
        <w:t>Health and Environment Program</w:t>
      </w:r>
      <w:r w:rsidRPr="00E92CD3">
        <w:rPr>
          <w:color w:val="000000" w:themeColor="text1"/>
          <w:lang w:val="es-ES_tradnl"/>
        </w:rPr>
        <w:t xml:space="preserve"> (HEP), </w:t>
      </w:r>
      <w:r w:rsidRPr="00E92CD3">
        <w:rPr>
          <w:i/>
          <w:color w:val="000000" w:themeColor="text1"/>
          <w:lang w:val="es-ES_tradnl"/>
        </w:rPr>
        <w:t>International Intellectual Property Commercialization Council</w:t>
      </w:r>
      <w:r w:rsidRPr="00E92CD3">
        <w:rPr>
          <w:color w:val="000000" w:themeColor="text1"/>
          <w:lang w:val="es-ES_tradnl"/>
        </w:rPr>
        <w:t xml:space="preserve"> (IIPCC), </w:t>
      </w:r>
      <w:r w:rsidRPr="00E92CD3">
        <w:rPr>
          <w:i/>
          <w:color w:val="000000" w:themeColor="text1"/>
          <w:lang w:val="es-ES_tradnl"/>
        </w:rPr>
        <w:t>Organization for an International Geographical Indications Network</w:t>
      </w:r>
      <w:r w:rsidRPr="00E92CD3">
        <w:rPr>
          <w:color w:val="000000" w:themeColor="text1"/>
          <w:lang w:val="es-ES_tradnl"/>
        </w:rPr>
        <w:t xml:space="preserve"> (oriGIn) (7).</w:t>
      </w:r>
    </w:p>
    <w:p w:rsidR="009410F1" w:rsidRPr="00CD146D" w:rsidRDefault="0028626C" w:rsidP="0028626C">
      <w:pPr>
        <w:pStyle w:val="ONUME"/>
        <w:rPr>
          <w:color w:val="000000" w:themeColor="text1"/>
          <w:lang w:val="es-ES_tradnl"/>
        </w:rPr>
      </w:pPr>
      <w:r w:rsidRPr="00E92CD3">
        <w:rPr>
          <w:color w:val="000000" w:themeColor="text1"/>
          <w:lang w:val="es-ES_tradnl"/>
        </w:rPr>
        <w:t xml:space="preserve">La lista de participantes figura en el documento </w:t>
      </w:r>
      <w:r w:rsidR="009F76D9" w:rsidRPr="00E92CD3">
        <w:rPr>
          <w:color w:val="000000" w:themeColor="text1"/>
          <w:lang w:val="es-ES_tradnl"/>
        </w:rPr>
        <w:t>LI/WG/DEV-SYS/1/INF/1 Prov. 2</w:t>
      </w:r>
      <w:r w:rsidR="009F76D9" w:rsidRPr="00E92CD3">
        <w:rPr>
          <w:rStyle w:val="FootnoteReference"/>
          <w:color w:val="000000" w:themeColor="text1"/>
          <w:lang w:val="es-ES_tradnl"/>
        </w:rPr>
        <w:footnoteReference w:id="2"/>
      </w:r>
      <w:r w:rsidR="009F76D9" w:rsidRPr="00E92CD3">
        <w:rPr>
          <w:color w:val="000000" w:themeColor="text1"/>
          <w:lang w:val="es-ES_tradnl"/>
        </w:rPr>
        <w:t>.</w:t>
      </w:r>
    </w:p>
    <w:p w:rsidR="009410F1" w:rsidRPr="00CD146D" w:rsidRDefault="0028626C" w:rsidP="0028626C">
      <w:pPr>
        <w:pStyle w:val="Heading3"/>
        <w:rPr>
          <w:color w:val="000000" w:themeColor="text1"/>
          <w:lang w:val="es-ES_tradnl"/>
        </w:rPr>
      </w:pPr>
      <w:r w:rsidRPr="00E92CD3">
        <w:rPr>
          <w:color w:val="000000" w:themeColor="text1"/>
          <w:lang w:val="es-ES_tradnl"/>
        </w:rPr>
        <w:t>PUNTO 1 DEL ORDEN DEL DÍA: APERTURA DE LA REUNIÓN</w:t>
      </w:r>
    </w:p>
    <w:p w:rsidR="009410F1" w:rsidRPr="00CD146D" w:rsidRDefault="0028626C" w:rsidP="0028626C">
      <w:pPr>
        <w:pStyle w:val="ONUME"/>
        <w:spacing w:before="240"/>
        <w:rPr>
          <w:color w:val="000000" w:themeColor="text1"/>
          <w:lang w:val="es-ES_tradnl"/>
        </w:rPr>
      </w:pPr>
      <w:r w:rsidRPr="00E92CD3">
        <w:rPr>
          <w:color w:val="000000" w:themeColor="text1"/>
          <w:lang w:val="es-ES_tradnl"/>
        </w:rPr>
        <w:t>El Sr. Francis Gurry, director general, abrió la reunión.</w:t>
      </w:r>
    </w:p>
    <w:p w:rsidR="009410F1" w:rsidRPr="00CD146D" w:rsidRDefault="0028626C" w:rsidP="0028626C">
      <w:pPr>
        <w:pStyle w:val="Heading3"/>
        <w:rPr>
          <w:color w:val="000000" w:themeColor="text1"/>
          <w:lang w:val="es-ES_tradnl"/>
        </w:rPr>
      </w:pPr>
      <w:r w:rsidRPr="00E92CD3">
        <w:rPr>
          <w:color w:val="000000" w:themeColor="text1"/>
          <w:lang w:val="es-ES_tradnl"/>
        </w:rPr>
        <w:t>PUNTO 2 DEL ORDEN DEL DÍA: ELECCIÓN DEL PRESIDENTE Y DE DOS VICEPRESIDENTES</w:t>
      </w:r>
    </w:p>
    <w:p w:rsidR="009410F1" w:rsidRPr="00CD146D" w:rsidRDefault="00A321A0" w:rsidP="00A321A0">
      <w:pPr>
        <w:pStyle w:val="ONUME"/>
        <w:spacing w:before="240"/>
        <w:rPr>
          <w:color w:val="000000" w:themeColor="text1"/>
          <w:lang w:val="es-ES_tradnl"/>
        </w:rPr>
      </w:pPr>
      <w:r w:rsidRPr="00E92CD3">
        <w:rPr>
          <w:color w:val="000000" w:themeColor="text1"/>
          <w:lang w:val="es-ES_tradnl"/>
        </w:rPr>
        <w:t>El Sr. Nikoloz Gogilidze (Georgia) fue elegido por unanimidad presidente del Grupo de Trabajo, y el Sr. Alfredo Rendón Algara (México) y el Sr. Cristóbal Melgar (Perú) fueron elegidos por unanimidad vicepresidentes.</w:t>
      </w:r>
    </w:p>
    <w:p w:rsidR="009410F1" w:rsidRPr="00CD146D" w:rsidRDefault="00A321A0" w:rsidP="00A321A0">
      <w:pPr>
        <w:pStyle w:val="ONUME"/>
        <w:rPr>
          <w:color w:val="000000" w:themeColor="text1"/>
          <w:lang w:val="es-ES_tradnl"/>
        </w:rPr>
      </w:pPr>
      <w:r w:rsidRPr="00E92CD3">
        <w:rPr>
          <w:color w:val="000000" w:themeColor="text1"/>
          <w:lang w:val="es-ES_tradnl"/>
        </w:rPr>
        <w:t>La Sra. Alexandra Grazioli (OMPI) desempeñó la función de secretaria del Grupo de Trabajo.</w:t>
      </w:r>
    </w:p>
    <w:p w:rsidR="009410F1" w:rsidRPr="00CD146D" w:rsidRDefault="00A321A0" w:rsidP="00A321A0">
      <w:pPr>
        <w:pStyle w:val="Heading3"/>
        <w:rPr>
          <w:color w:val="000000" w:themeColor="text1"/>
          <w:lang w:val="es-ES_tradnl"/>
        </w:rPr>
      </w:pPr>
      <w:r w:rsidRPr="00E92CD3">
        <w:rPr>
          <w:color w:val="000000" w:themeColor="text1"/>
          <w:lang w:val="es-ES_tradnl"/>
        </w:rPr>
        <w:t>PUNTO 3 DEL ORDEN DEL DÍA: APROBACIÓN DEL ORDEN DEL DÍA</w:t>
      </w:r>
    </w:p>
    <w:p w:rsidR="009410F1" w:rsidRPr="00CD146D" w:rsidRDefault="00A321A0" w:rsidP="00A321A0">
      <w:pPr>
        <w:pStyle w:val="ONUME"/>
        <w:spacing w:before="240"/>
        <w:rPr>
          <w:color w:val="000000" w:themeColor="text1"/>
          <w:lang w:val="es-ES_tradnl"/>
        </w:rPr>
      </w:pPr>
      <w:r w:rsidRPr="00E92CD3">
        <w:rPr>
          <w:color w:val="000000" w:themeColor="text1"/>
          <w:lang w:val="es-ES_tradnl"/>
        </w:rPr>
        <w:t>El Grupo de Trabajo aprobó el proyecto de orden del día (documento LI/WG/DEV-SYS/1/1 Prov.) sin modificaciones.</w:t>
      </w:r>
    </w:p>
    <w:p w:rsidR="009410F1" w:rsidRPr="00CD146D" w:rsidRDefault="00A321A0" w:rsidP="00A321A0">
      <w:pPr>
        <w:pStyle w:val="Heading3"/>
        <w:rPr>
          <w:color w:val="000000" w:themeColor="text1"/>
          <w:lang w:val="es-ES_tradnl"/>
        </w:rPr>
      </w:pPr>
      <w:r w:rsidRPr="00E92CD3">
        <w:rPr>
          <w:color w:val="000000" w:themeColor="text1"/>
          <w:lang w:val="es-ES_tradnl"/>
        </w:rPr>
        <w:t>PUNTO 4 DEL ORDEN DEL DÍA: TASAS REDUCIDAS CON ARREGLO AL ARTÍCULO 7.3) DEL ACTA DE GINEBRA DEL ARREGLO DE LISBOA RELATIVO A LAS DENOMINACIONES DE ORIGEN Y LAS INDICACIONES GEOGRÁFICAS</w:t>
      </w:r>
    </w:p>
    <w:p w:rsidR="009410F1" w:rsidRPr="00CD146D" w:rsidRDefault="00A321A0" w:rsidP="00A321A0">
      <w:pPr>
        <w:pStyle w:val="ONUME"/>
        <w:spacing w:before="240"/>
        <w:rPr>
          <w:color w:val="000000" w:themeColor="text1"/>
          <w:lang w:val="es-ES_tradnl"/>
        </w:rPr>
      </w:pPr>
      <w:r w:rsidRPr="00E92CD3">
        <w:rPr>
          <w:color w:val="000000" w:themeColor="text1"/>
          <w:lang w:val="es-ES_tradnl"/>
        </w:rPr>
        <w:t>Los debates se basaron en el documento LI/WG/DEV-SYS/1/2.</w:t>
      </w:r>
    </w:p>
    <w:p w:rsidR="009410F1" w:rsidRPr="00CD146D" w:rsidRDefault="00A321A0" w:rsidP="00A321A0">
      <w:pPr>
        <w:pStyle w:val="ONUME"/>
        <w:spacing w:before="240"/>
        <w:ind w:left="510"/>
        <w:rPr>
          <w:color w:val="000000" w:themeColor="text1"/>
          <w:lang w:val="es-ES_tradnl"/>
        </w:rPr>
      </w:pPr>
      <w:r w:rsidRPr="00E92CD3">
        <w:rPr>
          <w:color w:val="000000" w:themeColor="text1"/>
          <w:lang w:val="es-ES_tradnl"/>
        </w:rPr>
        <w:t>El Grupo de Trabajo decidió recomendar a la Asamblea de la Unión de Lisboa que:</w:t>
      </w:r>
    </w:p>
    <w:p w:rsidR="009410F1" w:rsidRPr="00CD146D" w:rsidRDefault="00A321A0" w:rsidP="00A321A0">
      <w:pPr>
        <w:numPr>
          <w:ilvl w:val="0"/>
          <w:numId w:val="8"/>
        </w:numPr>
        <w:tabs>
          <w:tab w:val="left" w:pos="709"/>
        </w:tabs>
        <w:autoSpaceDE w:val="0"/>
        <w:autoSpaceDN w:val="0"/>
        <w:adjustRightInd w:val="0"/>
        <w:spacing w:after="120"/>
        <w:ind w:left="1560" w:hanging="426"/>
        <w:rPr>
          <w:rFonts w:eastAsia="Times New Roman"/>
          <w:color w:val="000000" w:themeColor="text1"/>
          <w:szCs w:val="22"/>
          <w:lang w:val="es-ES_tradnl" w:eastAsia="en-US"/>
        </w:rPr>
      </w:pPr>
      <w:r w:rsidRPr="00E92CD3">
        <w:rPr>
          <w:rFonts w:eastAsia="Times New Roman"/>
          <w:color w:val="000000" w:themeColor="text1"/>
          <w:szCs w:val="22"/>
          <w:lang w:val="es-ES_tradnl" w:eastAsia="en-US"/>
        </w:rPr>
        <w:t>se modifique la tabla de tasas que figura en el Reglamento Común del Arreglo de Lisboa y del Acta de Ginebra del Arreglo de Lisboa, con la finalidad de aplicar una reducción del 50% a la cuantía prescrita de las tasas que deben abonar los países menos adelantados (PMA), como se propone en el documento LI/WG/DEV-SYS/1/2;</w:t>
      </w:r>
      <w:bookmarkStart w:id="5" w:name="_GoBack"/>
      <w:bookmarkEnd w:id="5"/>
    </w:p>
    <w:p w:rsidR="009410F1" w:rsidRPr="00CD146D" w:rsidRDefault="00A321A0" w:rsidP="00A321A0">
      <w:pPr>
        <w:numPr>
          <w:ilvl w:val="0"/>
          <w:numId w:val="8"/>
        </w:numPr>
        <w:tabs>
          <w:tab w:val="left" w:pos="709"/>
        </w:tabs>
        <w:autoSpaceDE w:val="0"/>
        <w:autoSpaceDN w:val="0"/>
        <w:adjustRightInd w:val="0"/>
        <w:spacing w:after="120"/>
        <w:ind w:left="1560" w:hanging="426"/>
        <w:rPr>
          <w:rFonts w:eastAsia="Times New Roman"/>
          <w:color w:val="000000" w:themeColor="text1"/>
          <w:szCs w:val="22"/>
          <w:lang w:val="es-ES_tradnl" w:eastAsia="en-US"/>
        </w:rPr>
      </w:pPr>
      <w:r w:rsidRPr="00E92CD3">
        <w:rPr>
          <w:rFonts w:eastAsia="Times New Roman"/>
          <w:color w:val="000000" w:themeColor="text1"/>
          <w:szCs w:val="22"/>
          <w:lang w:val="es-ES_tradnl" w:eastAsia="en-US"/>
        </w:rPr>
        <w:t>se apliquen las reducciones de tasas mencionadas en el inciso i) durante un período de tres años contados a partir de la entrada en vigor del Acta de Ginebra del Arreglo de Lisboa; y</w:t>
      </w:r>
      <w:r w:rsidR="009060FD" w:rsidRPr="00CD146D">
        <w:rPr>
          <w:rFonts w:eastAsia="Times New Roman"/>
          <w:color w:val="000000" w:themeColor="text1"/>
          <w:szCs w:val="22"/>
          <w:lang w:val="es-ES_tradnl" w:eastAsia="en-US"/>
        </w:rPr>
        <w:t xml:space="preserve"> </w:t>
      </w:r>
    </w:p>
    <w:p w:rsidR="009410F1" w:rsidRPr="00CD146D" w:rsidRDefault="00A321A0" w:rsidP="00A321A0">
      <w:pPr>
        <w:numPr>
          <w:ilvl w:val="0"/>
          <w:numId w:val="8"/>
        </w:numPr>
        <w:tabs>
          <w:tab w:val="left" w:pos="709"/>
        </w:tabs>
        <w:autoSpaceDE w:val="0"/>
        <w:autoSpaceDN w:val="0"/>
        <w:adjustRightInd w:val="0"/>
        <w:spacing w:after="240"/>
        <w:ind w:left="1560" w:hanging="426"/>
        <w:rPr>
          <w:rFonts w:eastAsia="Times New Roman"/>
          <w:color w:val="000000" w:themeColor="text1"/>
          <w:szCs w:val="22"/>
          <w:lang w:val="es-ES_tradnl" w:eastAsia="en-US"/>
        </w:rPr>
      </w:pPr>
      <w:r w:rsidRPr="00E92CD3">
        <w:rPr>
          <w:rFonts w:eastAsia="Times New Roman"/>
          <w:color w:val="000000" w:themeColor="text1"/>
          <w:szCs w:val="22"/>
          <w:lang w:val="es-ES_tradnl" w:eastAsia="en-US"/>
        </w:rPr>
        <w:t>se vuelva a evaluar la cuestión de las reducciones de tasas en virtud del Sistema de Lisboa un año antes de la expiración del plazo mencionado en el inciso ii).</w:t>
      </w:r>
    </w:p>
    <w:p w:rsidR="009410F1" w:rsidRPr="00E92CD3" w:rsidRDefault="00A321A0" w:rsidP="00A321A0">
      <w:pPr>
        <w:pStyle w:val="ONUME"/>
        <w:rPr>
          <w:color w:val="000000" w:themeColor="text1"/>
          <w:lang w:val="es-ES" w:eastAsia="en-US"/>
        </w:rPr>
      </w:pPr>
      <w:r w:rsidRPr="00E92CD3">
        <w:rPr>
          <w:color w:val="000000" w:themeColor="text1"/>
          <w:lang w:val="es-ES_tradnl" w:eastAsia="en-US"/>
        </w:rPr>
        <w:t>Para facilitar su consulta, el Anexo del presente resumen de la presidencia contiene las modificaciones de la tabla de tasas recomendadas por medio de la decisión mencionada en el párrafo 12.</w:t>
      </w:r>
    </w:p>
    <w:p w:rsidR="009410F1" w:rsidRPr="00E92CD3" w:rsidRDefault="00A321A0" w:rsidP="00A321A0">
      <w:pPr>
        <w:pStyle w:val="Heading3"/>
        <w:rPr>
          <w:color w:val="000000" w:themeColor="text1"/>
          <w:lang w:val="es-ES_tradnl"/>
        </w:rPr>
      </w:pPr>
      <w:r w:rsidRPr="00E92CD3">
        <w:rPr>
          <w:color w:val="000000" w:themeColor="text1"/>
          <w:lang w:val="es-ES_tradnl"/>
        </w:rPr>
        <w:t>PUNTO 5 DEL ORDEN DEL DÍA:</w:t>
      </w:r>
      <w:r w:rsidR="00CD146D">
        <w:rPr>
          <w:color w:val="000000" w:themeColor="text1"/>
          <w:lang w:val="es-ES_tradnl"/>
        </w:rPr>
        <w:t xml:space="preserve"> </w:t>
      </w:r>
      <w:r w:rsidRPr="00E92CD3">
        <w:rPr>
          <w:color w:val="000000" w:themeColor="text1"/>
          <w:lang w:val="es-ES_tradnl"/>
        </w:rPr>
        <w:t>SOSTENIBILIDAD FINANCIERA DE LA UNIÓN DE LISBOA</w:t>
      </w:r>
    </w:p>
    <w:p w:rsidR="00A321A0" w:rsidRPr="00E92CD3" w:rsidRDefault="00A321A0" w:rsidP="00A321A0">
      <w:pPr>
        <w:rPr>
          <w:color w:val="000000" w:themeColor="text1"/>
          <w:lang w:val="es-ES_tradnl"/>
        </w:rPr>
      </w:pPr>
    </w:p>
    <w:p w:rsidR="00A321A0" w:rsidRPr="00E92CD3" w:rsidRDefault="00A321A0" w:rsidP="00A321A0">
      <w:pPr>
        <w:pStyle w:val="ONUME"/>
        <w:rPr>
          <w:color w:val="000000" w:themeColor="text1"/>
          <w:lang w:val="es-ES_tradnl"/>
        </w:rPr>
      </w:pPr>
      <w:r w:rsidRPr="00E92CD3">
        <w:rPr>
          <w:color w:val="000000" w:themeColor="text1"/>
          <w:lang w:val="es-ES_tradnl"/>
        </w:rPr>
        <w:t>Los debates se basaron en el documento LI/WG/DEV-SYS/1/3.</w:t>
      </w:r>
    </w:p>
    <w:p w:rsidR="009410F1" w:rsidRPr="00E92CD3" w:rsidRDefault="00A321A0" w:rsidP="00A321A0">
      <w:pPr>
        <w:autoSpaceDE w:val="0"/>
        <w:autoSpaceDN w:val="0"/>
        <w:adjustRightInd w:val="0"/>
        <w:spacing w:after="120" w:line="276" w:lineRule="auto"/>
        <w:ind w:left="708" w:hanging="141"/>
        <w:rPr>
          <w:rFonts w:eastAsia="Times New Roman"/>
          <w:color w:val="000000" w:themeColor="text1"/>
          <w:szCs w:val="22"/>
          <w:lang w:val="es-ES" w:eastAsia="en-US"/>
        </w:rPr>
      </w:pPr>
      <w:r w:rsidRPr="00E92CD3">
        <w:rPr>
          <w:rFonts w:eastAsia="Times New Roman"/>
          <w:color w:val="000000" w:themeColor="text1"/>
          <w:szCs w:val="22"/>
          <w:lang w:val="es-ES_tradnl" w:eastAsia="en-US"/>
        </w:rPr>
        <w:t>15.</w:t>
      </w:r>
      <w:r w:rsidRPr="00E92CD3">
        <w:rPr>
          <w:rFonts w:eastAsia="Times New Roman"/>
          <w:color w:val="000000" w:themeColor="text1"/>
          <w:szCs w:val="22"/>
          <w:lang w:val="es-ES_tradnl" w:eastAsia="en-US"/>
        </w:rPr>
        <w:tab/>
        <w:t>El Grupo de Trabajo decidió:</w:t>
      </w:r>
    </w:p>
    <w:p w:rsidR="009410F1" w:rsidRPr="00CD146D" w:rsidRDefault="00A321A0" w:rsidP="00A321A0">
      <w:pPr>
        <w:numPr>
          <w:ilvl w:val="0"/>
          <w:numId w:val="7"/>
        </w:numPr>
        <w:tabs>
          <w:tab w:val="left" w:pos="567"/>
          <w:tab w:val="left" w:pos="1134"/>
        </w:tabs>
        <w:autoSpaceDE w:val="0"/>
        <w:autoSpaceDN w:val="0"/>
        <w:adjustRightInd w:val="0"/>
        <w:spacing w:after="120"/>
        <w:ind w:left="1560" w:right="-321" w:hanging="426"/>
        <w:rPr>
          <w:rFonts w:eastAsia="Times New Roman"/>
          <w:color w:val="000000" w:themeColor="text1"/>
          <w:szCs w:val="22"/>
          <w:lang w:val="es-ES_tradnl" w:eastAsia="en-US"/>
        </w:rPr>
      </w:pPr>
      <w:r w:rsidRPr="00E92CD3">
        <w:rPr>
          <w:rFonts w:eastAsia="Times New Roman"/>
          <w:color w:val="000000" w:themeColor="text1"/>
          <w:szCs w:val="22"/>
          <w:lang w:val="es-ES_tradnl" w:eastAsia="en-US"/>
        </w:rPr>
        <w:t>tomar nota de las declaraciones formuladas en el marco del punto 5 del orden del día; y</w:t>
      </w:r>
    </w:p>
    <w:p w:rsidR="009410F1" w:rsidRPr="00CD146D" w:rsidRDefault="00A321A0" w:rsidP="00A321A0">
      <w:pPr>
        <w:numPr>
          <w:ilvl w:val="0"/>
          <w:numId w:val="7"/>
        </w:numPr>
        <w:autoSpaceDE w:val="0"/>
        <w:autoSpaceDN w:val="0"/>
        <w:adjustRightInd w:val="0"/>
        <w:spacing w:after="120"/>
        <w:ind w:left="1560" w:right="-321" w:hanging="426"/>
        <w:rPr>
          <w:rFonts w:eastAsia="Times New Roman"/>
          <w:color w:val="000000" w:themeColor="text1"/>
          <w:szCs w:val="22"/>
          <w:lang w:val="es-ES_tradnl" w:eastAsia="en-US"/>
        </w:rPr>
      </w:pPr>
      <w:r w:rsidRPr="00E92CD3">
        <w:rPr>
          <w:rFonts w:eastAsia="Times New Roman"/>
          <w:color w:val="000000" w:themeColor="text1"/>
          <w:szCs w:val="22"/>
          <w:lang w:val="es-ES_tradnl" w:eastAsia="en-US"/>
        </w:rPr>
        <w:t>seguir examinando las distintas opciones en relación con la sostenibilidad financiera de la Unión de Lisboa en las próximas reuniones del Grupo de Trabajo y en las reuniones informales que el presidente del Grupo de Trabajo pueda pedir que organice la Secretaría.</w:t>
      </w:r>
    </w:p>
    <w:p w:rsidR="009410F1" w:rsidRPr="00CD146D" w:rsidRDefault="00A321A0" w:rsidP="00A321A0">
      <w:pPr>
        <w:pStyle w:val="Heading3"/>
        <w:rPr>
          <w:color w:val="000000" w:themeColor="text1"/>
          <w:lang w:val="es-ES_tradnl"/>
        </w:rPr>
      </w:pPr>
      <w:r w:rsidRPr="00E92CD3">
        <w:rPr>
          <w:color w:val="000000" w:themeColor="text1"/>
          <w:lang w:val="es-ES_tradnl"/>
        </w:rPr>
        <w:t>PUNTO 6</w:t>
      </w:r>
      <w:r w:rsidRPr="00E92CD3">
        <w:rPr>
          <w:b/>
          <w:color w:val="000000" w:themeColor="text1"/>
          <w:lang w:val="es-ES_tradnl"/>
        </w:rPr>
        <w:t xml:space="preserve"> </w:t>
      </w:r>
      <w:r w:rsidRPr="00E92CD3">
        <w:rPr>
          <w:color w:val="000000" w:themeColor="text1"/>
          <w:lang w:val="es-ES_tradnl"/>
        </w:rPr>
        <w:t>DEL ORDEN DEL DÍA: APROBACIÓN DEL RESUMEN DE LA PRESIDENCIA</w:t>
      </w:r>
    </w:p>
    <w:p w:rsidR="009410F1" w:rsidRPr="00CD146D" w:rsidRDefault="00A321A0" w:rsidP="00A321A0">
      <w:pPr>
        <w:spacing w:before="240" w:after="220"/>
        <w:rPr>
          <w:color w:val="000000" w:themeColor="text1"/>
          <w:lang w:val="es-ES_tradnl"/>
        </w:rPr>
      </w:pPr>
      <w:r w:rsidRPr="00E92CD3">
        <w:rPr>
          <w:color w:val="000000" w:themeColor="text1"/>
          <w:lang w:val="es-ES_tradnl"/>
        </w:rPr>
        <w:t>16.</w:t>
      </w:r>
      <w:r w:rsidRPr="00E92CD3">
        <w:rPr>
          <w:color w:val="000000" w:themeColor="text1"/>
          <w:lang w:val="es-ES_tradnl"/>
        </w:rPr>
        <w:tab/>
        <w:t>El Grupo de Trabajo aprobó el Resumen de la Presidencia en la forma en que consta en el presente documento.</w:t>
      </w:r>
    </w:p>
    <w:p w:rsidR="009410F1" w:rsidRPr="00CD146D" w:rsidRDefault="00A321A0" w:rsidP="00A321A0">
      <w:pPr>
        <w:pStyle w:val="Heading3"/>
        <w:rPr>
          <w:color w:val="000000" w:themeColor="text1"/>
          <w:lang w:val="es-ES_tradnl"/>
        </w:rPr>
      </w:pPr>
      <w:r w:rsidRPr="00E92CD3">
        <w:rPr>
          <w:color w:val="000000" w:themeColor="text1"/>
          <w:lang w:val="es-ES_tradnl"/>
        </w:rPr>
        <w:t>PUNTO 7</w:t>
      </w:r>
      <w:r w:rsidRPr="00E92CD3">
        <w:rPr>
          <w:b/>
          <w:color w:val="000000" w:themeColor="text1"/>
          <w:lang w:val="es-ES_tradnl"/>
        </w:rPr>
        <w:t xml:space="preserve"> </w:t>
      </w:r>
      <w:r w:rsidRPr="00E92CD3">
        <w:rPr>
          <w:color w:val="000000" w:themeColor="text1"/>
          <w:lang w:val="es-ES_tradnl"/>
        </w:rPr>
        <w:t>DEL ORDEN DEL DÍA: CLAUSURA DE LA REUNIÓN</w:t>
      </w:r>
    </w:p>
    <w:p w:rsidR="009410F1" w:rsidRPr="00CD146D" w:rsidRDefault="00A321A0" w:rsidP="00A321A0">
      <w:pPr>
        <w:spacing w:before="240" w:after="220"/>
        <w:rPr>
          <w:color w:val="000000" w:themeColor="text1"/>
          <w:lang w:val="es-ES_tradnl"/>
        </w:rPr>
      </w:pPr>
      <w:r w:rsidRPr="00E92CD3">
        <w:rPr>
          <w:color w:val="000000" w:themeColor="text1"/>
          <w:lang w:val="es-ES_tradnl"/>
        </w:rPr>
        <w:t>El presidente clausuró la reunión el 12 de junio de 2018.</w:t>
      </w:r>
    </w:p>
    <w:p w:rsidR="009410F1" w:rsidRPr="00CD146D" w:rsidRDefault="00A321A0" w:rsidP="00A321A0">
      <w:pPr>
        <w:spacing w:before="720"/>
        <w:ind w:firstLine="5529"/>
        <w:rPr>
          <w:color w:val="000000" w:themeColor="text1"/>
          <w:lang w:val="es-ES_tradnl"/>
        </w:rPr>
      </w:pPr>
      <w:r w:rsidRPr="00E92CD3">
        <w:rPr>
          <w:color w:val="000000" w:themeColor="text1"/>
          <w:lang w:val="es-ES_tradnl"/>
        </w:rPr>
        <w:t>[Sigue el Anexo]</w:t>
      </w:r>
    </w:p>
    <w:p w:rsidR="009060FD" w:rsidRPr="00CD146D" w:rsidRDefault="009060FD" w:rsidP="009060FD">
      <w:pPr>
        <w:spacing w:before="720"/>
        <w:ind w:firstLine="5529"/>
        <w:rPr>
          <w:color w:val="000000" w:themeColor="text1"/>
          <w:lang w:val="es-ES_tradnl"/>
        </w:rPr>
        <w:sectPr w:rsidR="009060FD" w:rsidRPr="00CD146D" w:rsidSect="00FE1972">
          <w:headerReference w:type="even" r:id="rId12"/>
          <w:headerReference w:type="default" r:id="rId13"/>
          <w:footerReference w:type="even" r:id="rId14"/>
          <w:footerReference w:type="default" r:id="rId15"/>
          <w:headerReference w:type="first" r:id="rId16"/>
          <w:footerReference w:type="first" r:id="rId17"/>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9410F1" w:rsidRPr="00CD146D" w:rsidRDefault="0078512A" w:rsidP="0078512A">
      <w:pPr>
        <w:pStyle w:val="Heading2"/>
        <w:rPr>
          <w:color w:val="000000" w:themeColor="text1"/>
          <w:lang w:val="es-ES_tradnl" w:eastAsia="en-US"/>
        </w:rPr>
      </w:pPr>
      <w:r w:rsidRPr="00E92CD3">
        <w:rPr>
          <w:color w:val="000000" w:themeColor="text1"/>
          <w:lang w:val="es-ES_tradnl" w:eastAsia="en-US"/>
        </w:rPr>
        <w:t>MODIFICACIÓN DE LA TABLA DE TASAS DEL REGLAMENTO COMÚN DEL ARREGLO DE LISBOA Y DEL ACTA DE GINEBRA DEL ARREGLO DE LISBOA</w:t>
      </w:r>
    </w:p>
    <w:p w:rsidR="009410F1" w:rsidRPr="00CD146D" w:rsidRDefault="0078512A" w:rsidP="0078512A">
      <w:pPr>
        <w:keepNext/>
        <w:spacing w:before="480"/>
        <w:jc w:val="center"/>
        <w:rPr>
          <w:b/>
          <w:color w:val="000000" w:themeColor="text1"/>
          <w:lang w:val="es-ES_tradnl"/>
        </w:rPr>
      </w:pPr>
      <w:r w:rsidRPr="00E92CD3">
        <w:rPr>
          <w:b/>
          <w:color w:val="000000" w:themeColor="text1"/>
          <w:lang w:val="es-ES_tradnl"/>
        </w:rPr>
        <w:t>Regla 8</w:t>
      </w:r>
    </w:p>
    <w:p w:rsidR="009410F1" w:rsidRPr="00CD146D" w:rsidRDefault="0078512A" w:rsidP="0078512A">
      <w:pPr>
        <w:keepNext/>
        <w:spacing w:after="240"/>
        <w:jc w:val="center"/>
        <w:rPr>
          <w:color w:val="000000" w:themeColor="text1"/>
          <w:lang w:val="es-ES_tradnl"/>
        </w:rPr>
      </w:pPr>
      <w:r w:rsidRPr="00E92CD3">
        <w:rPr>
          <w:color w:val="000000" w:themeColor="text1"/>
          <w:lang w:val="es-ES_tradnl"/>
        </w:rPr>
        <w:t>Tasas</w:t>
      </w:r>
    </w:p>
    <w:p w:rsidR="009410F1" w:rsidRPr="00CD146D" w:rsidRDefault="0078512A" w:rsidP="0078512A">
      <w:pPr>
        <w:keepNext/>
        <w:tabs>
          <w:tab w:val="left" w:pos="567"/>
          <w:tab w:val="left" w:pos="1134"/>
        </w:tabs>
        <w:rPr>
          <w:color w:val="000000" w:themeColor="text1"/>
          <w:lang w:val="es-ES_tradnl"/>
        </w:rPr>
      </w:pPr>
      <w:r w:rsidRPr="00E92CD3">
        <w:rPr>
          <w:color w:val="000000" w:themeColor="text1"/>
          <w:lang w:val="es-ES_tradnl"/>
        </w:rPr>
        <w:t>1)</w:t>
      </w:r>
      <w:r w:rsidRPr="00E92CD3">
        <w:rPr>
          <w:color w:val="000000" w:themeColor="text1"/>
          <w:lang w:val="es-ES_tradnl"/>
        </w:rPr>
        <w:tab/>
      </w:r>
      <w:r w:rsidRPr="00E92CD3">
        <w:rPr>
          <w:i/>
          <w:color w:val="000000" w:themeColor="text1"/>
          <w:lang w:val="es-ES_tradnl"/>
        </w:rPr>
        <w:t>[Cuantía de las tasas]</w:t>
      </w:r>
      <w:r w:rsidR="00CD146D">
        <w:rPr>
          <w:color w:val="000000" w:themeColor="text1"/>
          <w:lang w:val="es-ES_tradnl"/>
        </w:rPr>
        <w:t xml:space="preserve"> </w:t>
      </w:r>
      <w:r w:rsidRPr="00E92CD3">
        <w:rPr>
          <w:color w:val="000000" w:themeColor="text1"/>
          <w:lang w:val="es-ES_tradnl"/>
        </w:rPr>
        <w:t>La Oficina Internacional cobrará las tasas siguientes, pagaderas en francos suizos:</w:t>
      </w:r>
    </w:p>
    <w:p w:rsidR="009410F1" w:rsidRPr="00CD146D" w:rsidRDefault="0078512A" w:rsidP="0078512A">
      <w:pPr>
        <w:pStyle w:val="ListParagraph"/>
        <w:numPr>
          <w:ilvl w:val="2"/>
          <w:numId w:val="10"/>
        </w:numPr>
        <w:tabs>
          <w:tab w:val="left" w:pos="1440"/>
          <w:tab w:val="right" w:pos="9355"/>
        </w:tabs>
        <w:ind w:left="1440" w:hanging="270"/>
        <w:rPr>
          <w:color w:val="000000" w:themeColor="text1"/>
          <w:lang w:val="es-ES_tradnl"/>
        </w:rPr>
      </w:pPr>
      <w:r w:rsidRPr="00E92CD3">
        <w:rPr>
          <w:color w:val="000000" w:themeColor="text1"/>
          <w:lang w:val="es-ES_tradnl"/>
        </w:rPr>
        <w:t>tasa por el registro internacional</w:t>
      </w:r>
      <w:r w:rsidR="006A518A" w:rsidRPr="00FF54CE">
        <w:rPr>
          <w:rStyle w:val="FootnoteReference"/>
          <w:b/>
          <w:color w:val="FF0000"/>
          <w:u w:val="single"/>
          <w:lang w:val="es-ES_tradnl"/>
        </w:rPr>
        <w:footnoteReference w:customMarkFollows="1" w:id="3"/>
        <w:t>*</w:t>
      </w:r>
      <w:r w:rsidRPr="00E92CD3">
        <w:rPr>
          <w:color w:val="000000" w:themeColor="text1"/>
          <w:lang w:val="es-ES_tradnl"/>
        </w:rPr>
        <w:tab/>
        <w:t>1.000</w:t>
      </w:r>
    </w:p>
    <w:p w:rsidR="009410F1" w:rsidRPr="00CD146D" w:rsidRDefault="0078512A" w:rsidP="0078512A">
      <w:pPr>
        <w:pStyle w:val="ListParagraph"/>
        <w:numPr>
          <w:ilvl w:val="2"/>
          <w:numId w:val="10"/>
        </w:numPr>
        <w:tabs>
          <w:tab w:val="left" w:pos="1440"/>
          <w:tab w:val="right" w:pos="9355"/>
        </w:tabs>
        <w:ind w:left="1440" w:hanging="270"/>
        <w:rPr>
          <w:color w:val="000000" w:themeColor="text1"/>
          <w:lang w:val="es-ES_tradnl"/>
        </w:rPr>
      </w:pPr>
      <w:r w:rsidRPr="00E92CD3">
        <w:rPr>
          <w:color w:val="000000" w:themeColor="text1"/>
          <w:lang w:val="es-ES_tradnl"/>
        </w:rPr>
        <w:t>tasa por cada modificación que afecte a un registro internacional</w:t>
      </w:r>
      <w:r w:rsidR="006A518A" w:rsidRPr="00FF54CE">
        <w:rPr>
          <w:rStyle w:val="FootnoteReference"/>
          <w:b/>
          <w:color w:val="FF0000"/>
          <w:u w:val="single"/>
          <w:lang w:val="es-ES_tradnl"/>
        </w:rPr>
        <w:footnoteReference w:customMarkFollows="1" w:id="4"/>
        <w:t>*</w:t>
      </w:r>
      <w:r w:rsidR="00CD146D">
        <w:rPr>
          <w:color w:val="000000" w:themeColor="text1"/>
          <w:lang w:val="es-ES_tradnl"/>
        </w:rPr>
        <w:tab/>
      </w:r>
      <w:r w:rsidRPr="00E92CD3">
        <w:rPr>
          <w:color w:val="000000" w:themeColor="text1"/>
          <w:lang w:val="es-ES_tradnl"/>
        </w:rPr>
        <w:t>500</w:t>
      </w:r>
    </w:p>
    <w:p w:rsidR="009410F1" w:rsidRPr="00CD146D" w:rsidRDefault="0078512A" w:rsidP="0078512A">
      <w:pPr>
        <w:pStyle w:val="ListParagraph"/>
        <w:numPr>
          <w:ilvl w:val="2"/>
          <w:numId w:val="10"/>
        </w:numPr>
        <w:tabs>
          <w:tab w:val="left" w:pos="1440"/>
          <w:tab w:val="right" w:pos="9355"/>
        </w:tabs>
        <w:ind w:left="1440" w:hanging="270"/>
        <w:rPr>
          <w:color w:val="000000" w:themeColor="text1"/>
          <w:lang w:val="es-ES_tradnl"/>
        </w:rPr>
      </w:pPr>
      <w:r w:rsidRPr="00E92CD3">
        <w:rPr>
          <w:color w:val="000000" w:themeColor="text1"/>
          <w:lang w:val="es-ES_tradnl"/>
        </w:rPr>
        <w:t>tasa por el suministro de una certificación</w:t>
      </w:r>
      <w:r w:rsidR="00CD146D">
        <w:rPr>
          <w:color w:val="000000" w:themeColor="text1"/>
          <w:lang w:val="es-ES_tradnl"/>
        </w:rPr>
        <w:t xml:space="preserve"> del Registro Internacional</w:t>
      </w:r>
      <w:r w:rsidR="00CD146D">
        <w:rPr>
          <w:color w:val="000000" w:themeColor="text1"/>
          <w:lang w:val="es-ES_tradnl"/>
        </w:rPr>
        <w:tab/>
      </w:r>
      <w:r w:rsidRPr="00E92CD3">
        <w:rPr>
          <w:color w:val="000000" w:themeColor="text1"/>
          <w:lang w:val="es-ES_tradnl"/>
        </w:rPr>
        <w:t>150</w:t>
      </w:r>
    </w:p>
    <w:p w:rsidR="0078512A" w:rsidRPr="00E92CD3" w:rsidRDefault="0078512A" w:rsidP="0078512A">
      <w:pPr>
        <w:pStyle w:val="ListParagraph"/>
        <w:numPr>
          <w:ilvl w:val="2"/>
          <w:numId w:val="10"/>
        </w:numPr>
        <w:tabs>
          <w:tab w:val="left" w:pos="1440"/>
          <w:tab w:val="right" w:pos="9355"/>
        </w:tabs>
        <w:ind w:left="1440" w:hanging="270"/>
        <w:rPr>
          <w:color w:val="000000" w:themeColor="text1"/>
          <w:lang w:val="es-ES"/>
        </w:rPr>
      </w:pPr>
      <w:r w:rsidRPr="00E92CD3">
        <w:rPr>
          <w:color w:val="000000" w:themeColor="text1"/>
          <w:lang w:val="es-ES_tradnl"/>
        </w:rPr>
        <w:t>tasa por el suministro de un certificado o cualquier otra</w:t>
      </w:r>
    </w:p>
    <w:p w:rsidR="009410F1" w:rsidRPr="00E92CD3" w:rsidRDefault="0078512A" w:rsidP="0078512A">
      <w:pPr>
        <w:tabs>
          <w:tab w:val="left" w:pos="1440"/>
          <w:tab w:val="right" w:pos="9355"/>
        </w:tabs>
        <w:ind w:left="1440" w:hanging="270"/>
        <w:rPr>
          <w:color w:val="000000" w:themeColor="text1"/>
          <w:lang w:val="es-ES"/>
        </w:rPr>
      </w:pPr>
      <w:r w:rsidRPr="00E92CD3">
        <w:rPr>
          <w:color w:val="000000" w:themeColor="text1"/>
          <w:lang w:val="es-ES_tradnl"/>
        </w:rPr>
        <w:t xml:space="preserve"> </w:t>
      </w:r>
      <w:r w:rsidRPr="00E92CD3">
        <w:rPr>
          <w:color w:val="000000" w:themeColor="text1"/>
          <w:lang w:val="es-ES_tradnl"/>
        </w:rPr>
        <w:tab/>
        <w:t>información por escrito sobre el contenido del Registro Internacional</w:t>
      </w:r>
      <w:r w:rsidRPr="00E92CD3">
        <w:rPr>
          <w:color w:val="000000" w:themeColor="text1"/>
          <w:lang w:val="es-ES_tradnl"/>
        </w:rPr>
        <w:tab/>
        <w:t>100</w:t>
      </w:r>
    </w:p>
    <w:p w:rsidR="009410F1" w:rsidRPr="00E92CD3" w:rsidRDefault="0078512A" w:rsidP="0078512A">
      <w:pPr>
        <w:pStyle w:val="ListParagraph"/>
        <w:numPr>
          <w:ilvl w:val="2"/>
          <w:numId w:val="10"/>
        </w:numPr>
        <w:tabs>
          <w:tab w:val="left" w:pos="1440"/>
          <w:tab w:val="right" w:pos="9355"/>
        </w:tabs>
        <w:ind w:left="1440" w:hanging="270"/>
        <w:rPr>
          <w:color w:val="000000" w:themeColor="text1"/>
          <w:lang w:val="es-ES"/>
        </w:rPr>
      </w:pPr>
      <w:r w:rsidRPr="00E92CD3">
        <w:rPr>
          <w:color w:val="000000" w:themeColor="text1"/>
          <w:lang w:val="es-ES_tradnl"/>
        </w:rPr>
        <w:t>tasa individual, según lo mencionado en el párrafo 2.</w:t>
      </w:r>
    </w:p>
    <w:p w:rsidR="009410F1" w:rsidRPr="00CD146D" w:rsidRDefault="009060FD" w:rsidP="009060FD">
      <w:pPr>
        <w:tabs>
          <w:tab w:val="left" w:pos="1170"/>
        </w:tabs>
        <w:spacing w:before="240" w:after="720"/>
        <w:ind w:firstLine="567"/>
        <w:rPr>
          <w:color w:val="000000" w:themeColor="text1"/>
          <w:szCs w:val="22"/>
          <w:lang w:val="es-ES_tradnl"/>
        </w:rPr>
      </w:pPr>
      <w:r w:rsidRPr="00CD146D">
        <w:rPr>
          <w:color w:val="000000" w:themeColor="text1"/>
          <w:szCs w:val="22"/>
          <w:lang w:val="es-ES_tradnl"/>
        </w:rPr>
        <w:t>[…]</w:t>
      </w:r>
    </w:p>
    <w:p w:rsidR="009410F1" w:rsidRPr="00E92CD3" w:rsidRDefault="0078512A" w:rsidP="0078512A">
      <w:pPr>
        <w:ind w:left="5098" w:firstLine="431"/>
        <w:rPr>
          <w:color w:val="000000" w:themeColor="text1"/>
          <w:szCs w:val="22"/>
          <w:lang w:val="es-ES"/>
        </w:rPr>
      </w:pPr>
      <w:r w:rsidRPr="00E92CD3">
        <w:rPr>
          <w:color w:val="000000" w:themeColor="text1"/>
          <w:szCs w:val="22"/>
          <w:lang w:val="es-ES_tradnl"/>
        </w:rPr>
        <w:t>[Fin del Anexo y del documento]</w:t>
      </w:r>
    </w:p>
    <w:sectPr w:rsidR="009410F1" w:rsidRPr="00E92CD3" w:rsidSect="009060FD">
      <w:headerReference w:type="default" r:id="rId18"/>
      <w:headerReference w:type="first" r:id="rId19"/>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49" w:rsidRDefault="00831249">
      <w:r>
        <w:separator/>
      </w:r>
    </w:p>
  </w:endnote>
  <w:endnote w:type="continuationSeparator" w:id="0">
    <w:p w:rsidR="00831249" w:rsidRDefault="00831249" w:rsidP="003B38C1">
      <w:r>
        <w:separator/>
      </w:r>
    </w:p>
    <w:p w:rsidR="00831249" w:rsidRPr="003B38C1" w:rsidRDefault="00831249" w:rsidP="003B38C1">
      <w:pPr>
        <w:spacing w:after="60"/>
        <w:rPr>
          <w:sz w:val="17"/>
        </w:rPr>
      </w:pPr>
      <w:r>
        <w:rPr>
          <w:sz w:val="17"/>
        </w:rPr>
        <w:t>[Endnote continued from previous page]</w:t>
      </w:r>
    </w:p>
  </w:endnote>
  <w:endnote w:type="continuationNotice" w:id="1">
    <w:p w:rsidR="00831249" w:rsidRPr="003B38C1" w:rsidRDefault="008312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49" w:rsidRDefault="00831249">
      <w:r>
        <w:separator/>
      </w:r>
    </w:p>
  </w:footnote>
  <w:footnote w:type="continuationSeparator" w:id="0">
    <w:p w:rsidR="00831249" w:rsidRDefault="00831249" w:rsidP="008B60B2">
      <w:r>
        <w:separator/>
      </w:r>
    </w:p>
    <w:p w:rsidR="00831249" w:rsidRPr="00ED77FB" w:rsidRDefault="00831249" w:rsidP="008B60B2">
      <w:pPr>
        <w:spacing w:after="60"/>
        <w:rPr>
          <w:sz w:val="17"/>
          <w:szCs w:val="17"/>
        </w:rPr>
      </w:pPr>
      <w:r w:rsidRPr="00ED77FB">
        <w:rPr>
          <w:sz w:val="17"/>
          <w:szCs w:val="17"/>
        </w:rPr>
        <w:t>[Footnote continued from previous page]</w:t>
      </w:r>
    </w:p>
  </w:footnote>
  <w:footnote w:type="continuationNotice" w:id="1">
    <w:p w:rsidR="00831249" w:rsidRPr="00ED77FB" w:rsidRDefault="00831249" w:rsidP="008B60B2">
      <w:pPr>
        <w:spacing w:before="60"/>
        <w:jc w:val="right"/>
        <w:rPr>
          <w:sz w:val="17"/>
          <w:szCs w:val="17"/>
        </w:rPr>
      </w:pPr>
      <w:r w:rsidRPr="00ED77FB">
        <w:rPr>
          <w:sz w:val="17"/>
          <w:szCs w:val="17"/>
        </w:rPr>
        <w:t>[Footnote continued on next page]</w:t>
      </w:r>
    </w:p>
  </w:footnote>
  <w:footnote w:id="2">
    <w:p w:rsidR="009F76D9" w:rsidRPr="0028626C" w:rsidRDefault="009F76D9">
      <w:pPr>
        <w:pStyle w:val="FootnoteText"/>
        <w:rPr>
          <w:lang w:val="es-ES"/>
        </w:rPr>
      </w:pPr>
      <w:r>
        <w:rPr>
          <w:rStyle w:val="FootnoteReference"/>
        </w:rPr>
        <w:footnoteRef/>
      </w:r>
      <w:r w:rsidRPr="0028626C">
        <w:rPr>
          <w:lang w:val="es-ES"/>
        </w:rPr>
        <w:t xml:space="preserve"> </w:t>
      </w:r>
      <w:r w:rsidR="0028626C" w:rsidRPr="0028626C">
        <w:rPr>
          <w:lang w:val="es-ES"/>
        </w:rPr>
        <w:t xml:space="preserve">La lista definitiva de participantes se incluirá como </w:t>
      </w:r>
      <w:r w:rsidR="0028626C">
        <w:rPr>
          <w:lang w:val="es-ES"/>
        </w:rPr>
        <w:t>Anexo en el</w:t>
      </w:r>
      <w:r w:rsidR="0028626C" w:rsidRPr="0028626C">
        <w:rPr>
          <w:lang w:val="es-ES"/>
        </w:rPr>
        <w:t xml:space="preserve"> Informe de la reunión.</w:t>
      </w:r>
    </w:p>
  </w:footnote>
  <w:footnote w:id="3">
    <w:p w:rsidR="006A518A" w:rsidRPr="00FF54CE" w:rsidRDefault="006A518A" w:rsidP="00FF54CE">
      <w:pPr>
        <w:pStyle w:val="FootnoteText"/>
        <w:tabs>
          <w:tab w:val="left" w:pos="567"/>
        </w:tabs>
        <w:rPr>
          <w:b/>
          <w:u w:val="single"/>
          <w:lang w:val="es-ES"/>
        </w:rPr>
      </w:pPr>
      <w:r w:rsidRPr="00FF54CE">
        <w:rPr>
          <w:rStyle w:val="FootnoteReference"/>
          <w:color w:val="FF0000"/>
          <w:lang w:val="es-ES"/>
        </w:rPr>
        <w:t>*</w:t>
      </w:r>
      <w:r w:rsidR="00FF54CE" w:rsidRPr="00FF54CE">
        <w:rPr>
          <w:color w:val="FF0000"/>
          <w:lang w:val="es-ES"/>
        </w:rPr>
        <w:tab/>
      </w:r>
      <w:r w:rsidRPr="00FF54CE">
        <w:rPr>
          <w:b/>
          <w:color w:val="FF0000"/>
          <w:u w:val="single"/>
          <w:lang w:val="es-ES"/>
        </w:rPr>
        <w:t>En lo que respecta a los registros internacionales relativos a una zona geográfica ubicada en un país menos adelantado (PMA), conforme a las listas establecidas por las Naciones Unidas, la tasa se reduce al 50% de la cuantía prescrita (redondeada a la unidad más cercana). Así, la tasa será de 500 francos suizos por un registro internacional relativo a una zona geográfica de origen ubicada en un PMA y de 250 francos suizos por cada modificación que afecte a un registro internacional relativo a una zona geográfica de origen ubicada en un PMA. Esas reducciones de tasas se aplicarán durante un período de tres años contados a partir de la fecha de entrada en vigor del Acta de Ginebra del Arreglo de Lisboa.</w:t>
      </w:r>
    </w:p>
  </w:footnote>
  <w:footnote w:id="4">
    <w:p w:rsidR="006A518A" w:rsidRPr="006A518A" w:rsidRDefault="006A518A">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Pr="009060FD" w:rsidRDefault="009060FD" w:rsidP="00477D6B">
    <w:pPr>
      <w:jc w:val="right"/>
      <w:rPr>
        <w:lang w:val="es-ES"/>
      </w:rPr>
    </w:pPr>
    <w:r w:rsidRPr="009060FD">
      <w:rPr>
        <w:lang w:val="es-ES"/>
      </w:rPr>
      <w:t>LI/A/35/1</w:t>
    </w:r>
  </w:p>
  <w:p w:rsidR="009060FD" w:rsidRPr="009060FD" w:rsidRDefault="009060FD" w:rsidP="00477D6B">
    <w:pPr>
      <w:jc w:val="right"/>
      <w:rPr>
        <w:lang w:val="es-ES"/>
      </w:rPr>
    </w:pPr>
    <w:r w:rsidRPr="009060FD">
      <w:rPr>
        <w:lang w:val="es-ES"/>
      </w:rPr>
      <w:t xml:space="preserve">página </w:t>
    </w:r>
    <w:r w:rsidRPr="009060FD">
      <w:rPr>
        <w:lang w:val="es-ES"/>
      </w:rPr>
      <w:fldChar w:fldCharType="begin"/>
    </w:r>
    <w:r w:rsidRPr="009060FD">
      <w:rPr>
        <w:lang w:val="es-ES"/>
      </w:rPr>
      <w:instrText xml:space="preserve"> PAGE  \* MERGEFORMAT </w:instrText>
    </w:r>
    <w:r w:rsidRPr="009060FD">
      <w:rPr>
        <w:lang w:val="es-ES"/>
      </w:rPr>
      <w:fldChar w:fldCharType="separate"/>
    </w:r>
    <w:r w:rsidR="006A7BFC">
      <w:rPr>
        <w:noProof/>
        <w:lang w:val="es-ES"/>
      </w:rPr>
      <w:t>2</w:t>
    </w:r>
    <w:r w:rsidRPr="009060FD">
      <w:rPr>
        <w:lang w:val="es-ES"/>
      </w:rPr>
      <w:fldChar w:fldCharType="end"/>
    </w:r>
  </w:p>
  <w:p w:rsidR="009060FD" w:rsidRPr="009060FD" w:rsidRDefault="009060FD"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pPr>
      <w:pStyle w:val="Header"/>
      <w:jc w:val="right"/>
    </w:pPr>
    <w:r>
      <w:t>LI/WG/DEV-SY</w:t>
    </w:r>
    <w:r w:rsidR="002B6F69">
      <w:t>S</w:t>
    </w:r>
    <w:r>
      <w:t>/1/4</w:t>
    </w:r>
  </w:p>
  <w:p w:rsidR="009060FD" w:rsidRPr="007D43E5" w:rsidRDefault="009060FD">
    <w:pPr>
      <w:pStyle w:val="Header"/>
      <w:jc w:val="right"/>
      <w:rPr>
        <w:lang w:val="fr-CH"/>
      </w:rPr>
    </w:pPr>
    <w:r w:rsidRPr="007D43E5">
      <w:rPr>
        <w:lang w:val="fr-CH"/>
      </w:rPr>
      <w:t>p</w:t>
    </w:r>
    <w:r>
      <w:rPr>
        <w:lang w:val="fr-CH"/>
      </w:rPr>
      <w:t>ágina</w:t>
    </w:r>
    <w:r w:rsidRPr="007D43E5">
      <w:rPr>
        <w:lang w:val="fr-CH"/>
      </w:rPr>
      <w:t xml:space="preserve"> </w:t>
    </w:r>
    <w:r>
      <w:fldChar w:fldCharType="begin"/>
    </w:r>
    <w:r w:rsidRPr="007D43E5">
      <w:rPr>
        <w:lang w:val="fr-CH"/>
      </w:rPr>
      <w:instrText xml:space="preserve"> PAGE   \* MERGEFORMAT </w:instrText>
    </w:r>
    <w:r>
      <w:fldChar w:fldCharType="separate"/>
    </w:r>
    <w:r w:rsidR="006A7BFC">
      <w:rPr>
        <w:noProof/>
        <w:lang w:val="fr-CH"/>
      </w:rPr>
      <w:t>3</w:t>
    </w:r>
    <w:r>
      <w:rPr>
        <w:noProof/>
      </w:rPr>
      <w:fldChar w:fldCharType="end"/>
    </w:r>
  </w:p>
  <w:p w:rsidR="009060FD" w:rsidRPr="0093554A" w:rsidRDefault="009060FD" w:rsidP="00FE1972">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Pr="002B6F69" w:rsidRDefault="009060FD" w:rsidP="002B6F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D8F" w:rsidRDefault="009060FD" w:rsidP="00477D6B">
    <w:pPr>
      <w:jc w:val="right"/>
    </w:pPr>
    <w:bookmarkStart w:id="6" w:name="Code2"/>
    <w:bookmarkEnd w:id="6"/>
    <w:r>
      <w:t>LI/A/35/1</w:t>
    </w:r>
  </w:p>
  <w:p w:rsidR="00EC4E49" w:rsidRDefault="009D0A42"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FB53F3">
      <w:rPr>
        <w:noProof/>
      </w:rPr>
      <w:t>4</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FD" w:rsidRDefault="009060FD" w:rsidP="009060FD">
    <w:pPr>
      <w:pStyle w:val="Header"/>
      <w:jc w:val="right"/>
    </w:pPr>
    <w:r>
      <w:t>LI/WG/DEV-SY</w:t>
    </w:r>
    <w:r w:rsidR="002B6F69">
      <w:t>S</w:t>
    </w:r>
    <w:r>
      <w:t>/1/4</w:t>
    </w:r>
  </w:p>
  <w:p w:rsidR="009060FD" w:rsidRDefault="009060FD" w:rsidP="00FE1972">
    <w:pPr>
      <w:pStyle w:val="Header"/>
      <w:jc w:val="right"/>
    </w:pPr>
    <w:r>
      <w:t>ANEXO</w:t>
    </w:r>
  </w:p>
  <w:p w:rsidR="009060FD" w:rsidRDefault="009060FD" w:rsidP="00FE19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94C6F"/>
    <w:multiLevelType w:val="hybridMultilevel"/>
    <w:tmpl w:val="56705D48"/>
    <w:lvl w:ilvl="0" w:tplc="DF429114">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B97057D"/>
    <w:multiLevelType w:val="hybridMultilevel"/>
    <w:tmpl w:val="E12C0F7C"/>
    <w:lvl w:ilvl="0" w:tplc="DF429114">
      <w:start w:val="1"/>
      <w:numFmt w:val="lowerRoman"/>
      <w:lvlText w:val="%1)"/>
      <w:lvlJc w:val="left"/>
      <w:pPr>
        <w:ind w:left="1428" w:hanging="72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E56C3A"/>
    <w:multiLevelType w:val="hybridMultilevel"/>
    <w:tmpl w:val="99E20378"/>
    <w:lvl w:ilvl="0" w:tplc="AF723B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am Server TMs\Spanish|TextBase TMs\WorkspaceSTS\Brands, Designs &amp; DN\Lisbon|TextBase TMs\WorkspaceSTS\Brands, Designs &amp; DN\L Instruments"/>
    <w:docVar w:name="TextBaseURL" w:val="empty"/>
    <w:docVar w:name="UILng" w:val="en"/>
  </w:docVars>
  <w:rsids>
    <w:rsidRoot w:val="009060FD"/>
    <w:rsid w:val="00043CAA"/>
    <w:rsid w:val="00075432"/>
    <w:rsid w:val="000765C4"/>
    <w:rsid w:val="000968ED"/>
    <w:rsid w:val="000C117A"/>
    <w:rsid w:val="000F5E56"/>
    <w:rsid w:val="001362EE"/>
    <w:rsid w:val="00156693"/>
    <w:rsid w:val="001647D5"/>
    <w:rsid w:val="001832A6"/>
    <w:rsid w:val="0021217E"/>
    <w:rsid w:val="00217165"/>
    <w:rsid w:val="0024224B"/>
    <w:rsid w:val="002634C4"/>
    <w:rsid w:val="0028626C"/>
    <w:rsid w:val="002928D3"/>
    <w:rsid w:val="002A1C08"/>
    <w:rsid w:val="002A633A"/>
    <w:rsid w:val="002B6F69"/>
    <w:rsid w:val="002F1FE6"/>
    <w:rsid w:val="002F4E68"/>
    <w:rsid w:val="002F7611"/>
    <w:rsid w:val="00312F7F"/>
    <w:rsid w:val="00316195"/>
    <w:rsid w:val="00350AE2"/>
    <w:rsid w:val="00361450"/>
    <w:rsid w:val="003673CF"/>
    <w:rsid w:val="003845C1"/>
    <w:rsid w:val="003A6F89"/>
    <w:rsid w:val="003B38C1"/>
    <w:rsid w:val="003D57B0"/>
    <w:rsid w:val="00405B10"/>
    <w:rsid w:val="00423E3E"/>
    <w:rsid w:val="00427AF4"/>
    <w:rsid w:val="004647DA"/>
    <w:rsid w:val="00474062"/>
    <w:rsid w:val="00477D6B"/>
    <w:rsid w:val="00480611"/>
    <w:rsid w:val="004B5543"/>
    <w:rsid w:val="00500231"/>
    <w:rsid w:val="005019FF"/>
    <w:rsid w:val="0052305C"/>
    <w:rsid w:val="0053057A"/>
    <w:rsid w:val="005574DF"/>
    <w:rsid w:val="00560A29"/>
    <w:rsid w:val="005C6649"/>
    <w:rsid w:val="00605827"/>
    <w:rsid w:val="00626EA6"/>
    <w:rsid w:val="00646050"/>
    <w:rsid w:val="006713CA"/>
    <w:rsid w:val="00676C5C"/>
    <w:rsid w:val="006A518A"/>
    <w:rsid w:val="006A7BFC"/>
    <w:rsid w:val="006E4F5F"/>
    <w:rsid w:val="006F30A6"/>
    <w:rsid w:val="00727C24"/>
    <w:rsid w:val="0078512A"/>
    <w:rsid w:val="007D1613"/>
    <w:rsid w:val="007E4C0E"/>
    <w:rsid w:val="008153EB"/>
    <w:rsid w:val="00831249"/>
    <w:rsid w:val="00860537"/>
    <w:rsid w:val="00876C4D"/>
    <w:rsid w:val="00877718"/>
    <w:rsid w:val="008A134B"/>
    <w:rsid w:val="008B2CC1"/>
    <w:rsid w:val="008B60B2"/>
    <w:rsid w:val="009060FD"/>
    <w:rsid w:val="0090731E"/>
    <w:rsid w:val="00916EE2"/>
    <w:rsid w:val="009410F1"/>
    <w:rsid w:val="00947D8F"/>
    <w:rsid w:val="00966A22"/>
    <w:rsid w:val="0096722F"/>
    <w:rsid w:val="00980843"/>
    <w:rsid w:val="009C127D"/>
    <w:rsid w:val="009D0A42"/>
    <w:rsid w:val="009E0EC4"/>
    <w:rsid w:val="009E2791"/>
    <w:rsid w:val="009E3F6F"/>
    <w:rsid w:val="009F499F"/>
    <w:rsid w:val="009F76D9"/>
    <w:rsid w:val="00A203AE"/>
    <w:rsid w:val="00A321A0"/>
    <w:rsid w:val="00A37342"/>
    <w:rsid w:val="00A42DAF"/>
    <w:rsid w:val="00A45BD8"/>
    <w:rsid w:val="00A869B7"/>
    <w:rsid w:val="00AA2DD4"/>
    <w:rsid w:val="00AC205C"/>
    <w:rsid w:val="00AF0A6B"/>
    <w:rsid w:val="00B05A69"/>
    <w:rsid w:val="00B12F97"/>
    <w:rsid w:val="00B4787B"/>
    <w:rsid w:val="00B9734B"/>
    <w:rsid w:val="00BA30E2"/>
    <w:rsid w:val="00BD69E3"/>
    <w:rsid w:val="00C11BFE"/>
    <w:rsid w:val="00C5068F"/>
    <w:rsid w:val="00C86D74"/>
    <w:rsid w:val="00CD04F1"/>
    <w:rsid w:val="00CD146D"/>
    <w:rsid w:val="00CD7F59"/>
    <w:rsid w:val="00D44A0B"/>
    <w:rsid w:val="00D45252"/>
    <w:rsid w:val="00D66E37"/>
    <w:rsid w:val="00D71B4D"/>
    <w:rsid w:val="00D93D55"/>
    <w:rsid w:val="00DA5E73"/>
    <w:rsid w:val="00DC0BA7"/>
    <w:rsid w:val="00DF023A"/>
    <w:rsid w:val="00DF383E"/>
    <w:rsid w:val="00E15015"/>
    <w:rsid w:val="00E335FE"/>
    <w:rsid w:val="00E46AE7"/>
    <w:rsid w:val="00E51CF0"/>
    <w:rsid w:val="00E85557"/>
    <w:rsid w:val="00E92CD3"/>
    <w:rsid w:val="00EA7D6E"/>
    <w:rsid w:val="00EC4E49"/>
    <w:rsid w:val="00ED77FB"/>
    <w:rsid w:val="00EE45FA"/>
    <w:rsid w:val="00F230E7"/>
    <w:rsid w:val="00F66152"/>
    <w:rsid w:val="00FB53F3"/>
    <w:rsid w:val="00FE1972"/>
    <w:rsid w:val="00FF54CE"/>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9060FD"/>
    <w:rPr>
      <w:rFonts w:ascii="Arial" w:eastAsia="SimSun" w:hAnsi="Arial" w:cs="Arial"/>
      <w:sz w:val="22"/>
      <w:lang w:val="en-US" w:eastAsia="zh-CN"/>
    </w:rPr>
  </w:style>
  <w:style w:type="character" w:customStyle="1" w:styleId="HeaderChar">
    <w:name w:val="Header Char"/>
    <w:basedOn w:val="DefaultParagraphFont"/>
    <w:link w:val="Header"/>
    <w:uiPriority w:val="99"/>
    <w:rsid w:val="009060FD"/>
    <w:rPr>
      <w:rFonts w:ascii="Arial" w:eastAsia="SimSun" w:hAnsi="Arial" w:cs="Arial"/>
      <w:sz w:val="22"/>
      <w:lang w:val="en-US" w:eastAsia="zh-CN"/>
    </w:rPr>
  </w:style>
  <w:style w:type="character" w:styleId="FootnoteReference">
    <w:name w:val="footnote reference"/>
    <w:uiPriority w:val="99"/>
    <w:rsid w:val="009060FD"/>
    <w:rPr>
      <w:vertAlign w:val="superscript"/>
    </w:rPr>
  </w:style>
  <w:style w:type="character" w:customStyle="1" w:styleId="FootnoteTextChar">
    <w:name w:val="Footnote Text Char"/>
    <w:basedOn w:val="DefaultParagraphFont"/>
    <w:link w:val="FootnoteText"/>
    <w:uiPriority w:val="99"/>
    <w:rsid w:val="009060FD"/>
    <w:rPr>
      <w:rFonts w:ascii="Arial" w:eastAsia="SimSun" w:hAnsi="Arial" w:cs="Arial"/>
      <w:sz w:val="18"/>
      <w:lang w:val="en-US" w:eastAsia="zh-CN"/>
    </w:rPr>
  </w:style>
  <w:style w:type="paragraph" w:styleId="ListParagraph">
    <w:name w:val="List Paragraph"/>
    <w:basedOn w:val="Normal"/>
    <w:uiPriority w:val="34"/>
    <w:qFormat/>
    <w:rsid w:val="009060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9060FD"/>
    <w:rPr>
      <w:rFonts w:ascii="Arial" w:eastAsia="SimSun" w:hAnsi="Arial" w:cs="Arial"/>
      <w:sz w:val="22"/>
      <w:lang w:val="en-US" w:eastAsia="zh-CN"/>
    </w:rPr>
  </w:style>
  <w:style w:type="character" w:customStyle="1" w:styleId="HeaderChar">
    <w:name w:val="Header Char"/>
    <w:basedOn w:val="DefaultParagraphFont"/>
    <w:link w:val="Header"/>
    <w:uiPriority w:val="99"/>
    <w:rsid w:val="009060FD"/>
    <w:rPr>
      <w:rFonts w:ascii="Arial" w:eastAsia="SimSun" w:hAnsi="Arial" w:cs="Arial"/>
      <w:sz w:val="22"/>
      <w:lang w:val="en-US" w:eastAsia="zh-CN"/>
    </w:rPr>
  </w:style>
  <w:style w:type="character" w:styleId="FootnoteReference">
    <w:name w:val="footnote reference"/>
    <w:uiPriority w:val="99"/>
    <w:rsid w:val="009060FD"/>
    <w:rPr>
      <w:vertAlign w:val="superscript"/>
    </w:rPr>
  </w:style>
  <w:style w:type="character" w:customStyle="1" w:styleId="FootnoteTextChar">
    <w:name w:val="Footnote Text Char"/>
    <w:basedOn w:val="DefaultParagraphFont"/>
    <w:link w:val="FootnoteText"/>
    <w:uiPriority w:val="99"/>
    <w:rsid w:val="009060FD"/>
    <w:rPr>
      <w:rFonts w:ascii="Arial" w:eastAsia="SimSun" w:hAnsi="Arial" w:cs="Arial"/>
      <w:sz w:val="18"/>
      <w:lang w:val="en-US" w:eastAsia="zh-CN"/>
    </w:rPr>
  </w:style>
  <w:style w:type="paragraph" w:styleId="ListParagraph">
    <w:name w:val="List Paragraph"/>
    <w:basedOn w:val="Normal"/>
    <w:uiPriority w:val="34"/>
    <w:qFormat/>
    <w:rsid w:val="00906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B002-2EA5-42B7-8B12-EBC5F151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35 (S).dotm</Template>
  <TotalTime>0</TotalTime>
  <Pages>6</Pages>
  <Words>1164</Words>
  <Characters>6114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Trigésimo quinto período de sesiones (13º extraordinario)</dc:subject>
  <dc:creator>SUAREZ LISTE Jesus</dc:creator>
  <dc:description>JC / Reviewed</dc:description>
  <cp:lastModifiedBy>DORE Marie-Pierre</cp:lastModifiedBy>
  <cp:revision>2</cp:revision>
  <cp:lastPrinted>2018-07-03T09:55:00Z</cp:lastPrinted>
  <dcterms:created xsi:type="dcterms:W3CDTF">2018-07-16T12:28:00Z</dcterms:created>
  <dcterms:modified xsi:type="dcterms:W3CDTF">2018-07-16T12:28:00Z</dcterms:modified>
  <cp:category>Unión Particular para la Protección de las Denominaciones de Origen y su Registro Internacional (Unión de Lisboa)</cp:category>
</cp:coreProperties>
</file>