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tblInd w:w="108" w:type="dxa"/>
        <w:tblLayout w:type="fixed"/>
        <w:tblLook w:val="01E0" w:firstRow="1" w:lastRow="1" w:firstColumn="1" w:lastColumn="1" w:noHBand="0" w:noVBand="0"/>
      </w:tblPr>
      <w:tblGrid>
        <w:gridCol w:w="4594"/>
        <w:gridCol w:w="4337"/>
        <w:gridCol w:w="749"/>
      </w:tblGrid>
      <w:tr w:rsidR="00F66F07" w:rsidRPr="005E36DB">
        <w:tc>
          <w:tcPr>
            <w:tcW w:w="4594" w:type="dxa"/>
            <w:tcBorders>
              <w:bottom w:val="single" w:sz="4" w:space="0" w:color="auto"/>
            </w:tcBorders>
            <w:tcMar>
              <w:bottom w:w="170" w:type="dxa"/>
            </w:tcMar>
          </w:tcPr>
          <w:p w:rsidR="00F66F07" w:rsidRPr="00A5572C" w:rsidRDefault="00F66F07" w:rsidP="00F66F07">
            <w:pPr>
              <w:rPr>
                <w:lang w:val="es-ES"/>
              </w:rPr>
            </w:pPr>
            <w:bookmarkStart w:id="0" w:name="_GoBack"/>
            <w:bookmarkEnd w:id="0"/>
          </w:p>
        </w:tc>
        <w:tc>
          <w:tcPr>
            <w:tcW w:w="4337" w:type="dxa"/>
            <w:tcBorders>
              <w:bottom w:val="single" w:sz="4" w:space="0" w:color="auto"/>
            </w:tcBorders>
            <w:tcMar>
              <w:left w:w="0" w:type="dxa"/>
              <w:bottom w:w="170" w:type="dxa"/>
              <w:right w:w="0" w:type="dxa"/>
            </w:tcMar>
          </w:tcPr>
          <w:p w:rsidR="00F66F07" w:rsidRPr="005E36DB" w:rsidRDefault="00C965BF" w:rsidP="00F66F07">
            <w:pPr>
              <w:rPr>
                <w:lang w:val="es-ES"/>
              </w:rPr>
            </w:pPr>
            <w:r w:rsidRPr="005E36DB">
              <w:rPr>
                <w:noProof/>
                <w:lang w:eastAsia="en-US"/>
              </w:rPr>
              <w:drawing>
                <wp:inline distT="0" distB="0" distL="0" distR="0" wp14:anchorId="209060F5" wp14:editId="5DE4663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749" w:type="dxa"/>
            <w:tcBorders>
              <w:bottom w:val="single" w:sz="4" w:space="0" w:color="auto"/>
            </w:tcBorders>
            <w:tcMar>
              <w:bottom w:w="170" w:type="dxa"/>
            </w:tcMar>
          </w:tcPr>
          <w:p w:rsidR="00F66F07" w:rsidRPr="005E36DB" w:rsidRDefault="00C965BF" w:rsidP="00F66F07">
            <w:pPr>
              <w:jc w:val="right"/>
              <w:rPr>
                <w:lang w:val="es-ES"/>
              </w:rPr>
            </w:pPr>
            <w:r w:rsidRPr="005E36DB">
              <w:rPr>
                <w:b/>
                <w:sz w:val="40"/>
                <w:szCs w:val="40"/>
                <w:lang w:val="es-ES"/>
              </w:rPr>
              <w:t>S</w:t>
            </w:r>
          </w:p>
        </w:tc>
      </w:tr>
      <w:tr w:rsidR="00F66F07" w:rsidRPr="005E36DB">
        <w:trPr>
          <w:trHeight w:hRule="exact" w:val="340"/>
        </w:trPr>
        <w:tc>
          <w:tcPr>
            <w:tcW w:w="9680" w:type="dxa"/>
            <w:gridSpan w:val="3"/>
            <w:tcBorders>
              <w:top w:val="single" w:sz="4" w:space="0" w:color="auto"/>
            </w:tcBorders>
            <w:tcMar>
              <w:top w:w="170" w:type="dxa"/>
              <w:left w:w="0" w:type="dxa"/>
              <w:right w:w="0" w:type="dxa"/>
            </w:tcMar>
            <w:vAlign w:val="bottom"/>
          </w:tcPr>
          <w:p w:rsidR="00F66F07" w:rsidRPr="005E36DB" w:rsidRDefault="00F66F07" w:rsidP="00CD5DF6">
            <w:pPr>
              <w:jc w:val="right"/>
              <w:rPr>
                <w:rFonts w:ascii="Arial Black" w:hAnsi="Arial Black"/>
                <w:caps/>
                <w:sz w:val="15"/>
                <w:lang w:val="es-ES"/>
              </w:rPr>
            </w:pPr>
            <w:r w:rsidRPr="005E36DB">
              <w:rPr>
                <w:rFonts w:ascii="Arial Black" w:hAnsi="Arial Black"/>
                <w:caps/>
                <w:sz w:val="15"/>
                <w:lang w:val="es-ES"/>
              </w:rPr>
              <w:t>mm/</w:t>
            </w:r>
            <w:r w:rsidR="001E7FD7" w:rsidRPr="005E36DB">
              <w:rPr>
                <w:rFonts w:ascii="Arial Black" w:hAnsi="Arial Black"/>
                <w:caps/>
                <w:sz w:val="15"/>
                <w:lang w:val="es-ES"/>
              </w:rPr>
              <w:t>A</w:t>
            </w:r>
            <w:r w:rsidRPr="005E36DB">
              <w:rPr>
                <w:rFonts w:ascii="Arial Black" w:hAnsi="Arial Black"/>
                <w:caps/>
                <w:sz w:val="15"/>
                <w:lang w:val="es-ES"/>
              </w:rPr>
              <w:t>/</w:t>
            </w:r>
            <w:bookmarkStart w:id="1" w:name="Code"/>
            <w:bookmarkEnd w:id="1"/>
            <w:r w:rsidR="000D0114" w:rsidRPr="005E36DB">
              <w:rPr>
                <w:rFonts w:ascii="Arial Black" w:hAnsi="Arial Black"/>
                <w:caps/>
                <w:sz w:val="15"/>
                <w:lang w:val="es-ES"/>
              </w:rPr>
              <w:t>51</w:t>
            </w:r>
            <w:r w:rsidR="006B431A" w:rsidRPr="005E36DB">
              <w:rPr>
                <w:rFonts w:ascii="Arial Black" w:hAnsi="Arial Black"/>
                <w:caps/>
                <w:sz w:val="15"/>
                <w:lang w:val="es-ES"/>
              </w:rPr>
              <w:t>/</w:t>
            </w:r>
            <w:r w:rsidR="00721A1F" w:rsidRPr="005E36DB">
              <w:rPr>
                <w:rFonts w:ascii="Arial Black" w:hAnsi="Arial Black"/>
                <w:caps/>
                <w:sz w:val="15"/>
                <w:lang w:val="es-ES"/>
              </w:rPr>
              <w:t>1</w:t>
            </w:r>
            <w:r w:rsidRPr="005E36DB">
              <w:rPr>
                <w:rFonts w:ascii="Arial Black" w:hAnsi="Arial Black"/>
                <w:caps/>
                <w:sz w:val="15"/>
                <w:lang w:val="es-ES"/>
              </w:rPr>
              <w:t xml:space="preserve">  </w:t>
            </w:r>
          </w:p>
        </w:tc>
      </w:tr>
      <w:tr w:rsidR="00F66F07" w:rsidRPr="005E36DB">
        <w:trPr>
          <w:trHeight w:hRule="exact" w:val="170"/>
        </w:trPr>
        <w:tc>
          <w:tcPr>
            <w:tcW w:w="9680" w:type="dxa"/>
            <w:gridSpan w:val="3"/>
            <w:noWrap/>
            <w:tcMar>
              <w:left w:w="0" w:type="dxa"/>
              <w:right w:w="0" w:type="dxa"/>
            </w:tcMar>
            <w:vAlign w:val="bottom"/>
          </w:tcPr>
          <w:p w:rsidR="00F66F07" w:rsidRPr="005E36DB" w:rsidRDefault="00F66F07" w:rsidP="00AA35ED">
            <w:pPr>
              <w:jc w:val="right"/>
              <w:rPr>
                <w:rFonts w:ascii="Arial Black" w:hAnsi="Arial Black"/>
                <w:caps/>
                <w:sz w:val="15"/>
                <w:lang w:val="es-ES"/>
              </w:rPr>
            </w:pPr>
            <w:r w:rsidRPr="005E36DB">
              <w:rPr>
                <w:rFonts w:ascii="Arial Black" w:hAnsi="Arial Black"/>
                <w:caps/>
                <w:sz w:val="15"/>
                <w:lang w:val="es-ES"/>
              </w:rPr>
              <w:t xml:space="preserve">ORIGINAL:  </w:t>
            </w:r>
            <w:bookmarkStart w:id="2" w:name="Original"/>
            <w:bookmarkEnd w:id="2"/>
            <w:r w:rsidR="00AA35ED" w:rsidRPr="005E36DB">
              <w:rPr>
                <w:rFonts w:ascii="Arial Black" w:hAnsi="Arial Black"/>
                <w:caps/>
                <w:sz w:val="15"/>
                <w:lang w:val="es-ES"/>
              </w:rPr>
              <w:t>INGLÉS</w:t>
            </w:r>
          </w:p>
        </w:tc>
      </w:tr>
      <w:tr w:rsidR="00F66F07" w:rsidRPr="005E36DB">
        <w:trPr>
          <w:trHeight w:hRule="exact" w:val="198"/>
        </w:trPr>
        <w:tc>
          <w:tcPr>
            <w:tcW w:w="9680" w:type="dxa"/>
            <w:gridSpan w:val="3"/>
            <w:tcMar>
              <w:left w:w="0" w:type="dxa"/>
              <w:right w:w="0" w:type="dxa"/>
            </w:tcMar>
            <w:vAlign w:val="bottom"/>
          </w:tcPr>
          <w:p w:rsidR="00F66F07" w:rsidRPr="005E36DB" w:rsidRDefault="00AA35ED" w:rsidP="000D0114">
            <w:pPr>
              <w:jc w:val="right"/>
              <w:rPr>
                <w:rFonts w:ascii="Arial Black" w:hAnsi="Arial Black"/>
                <w:caps/>
                <w:sz w:val="15"/>
                <w:lang w:val="es-ES"/>
              </w:rPr>
            </w:pPr>
            <w:r w:rsidRPr="005E36DB">
              <w:rPr>
                <w:rFonts w:ascii="Arial Black" w:hAnsi="Arial Black"/>
                <w:caps/>
                <w:sz w:val="15"/>
                <w:lang w:val="es-ES"/>
              </w:rPr>
              <w:t>FECHA</w:t>
            </w:r>
            <w:r w:rsidR="00F174CB" w:rsidRPr="005E36DB">
              <w:rPr>
                <w:rFonts w:ascii="Arial Black" w:hAnsi="Arial Black"/>
                <w:caps/>
                <w:sz w:val="15"/>
                <w:lang w:val="es-ES"/>
              </w:rPr>
              <w:t xml:space="preserve">: </w:t>
            </w:r>
            <w:r w:rsidR="00721A1F" w:rsidRPr="005E36DB">
              <w:rPr>
                <w:rFonts w:ascii="Arial Black" w:hAnsi="Arial Black"/>
                <w:caps/>
                <w:sz w:val="15"/>
                <w:lang w:val="es-ES"/>
              </w:rPr>
              <w:t xml:space="preserve"> </w:t>
            </w:r>
            <w:bookmarkStart w:id="3" w:name="Date"/>
            <w:bookmarkEnd w:id="3"/>
            <w:r w:rsidR="000D0114" w:rsidRPr="005E36DB">
              <w:rPr>
                <w:rFonts w:ascii="Arial Black" w:hAnsi="Arial Black"/>
                <w:caps/>
                <w:sz w:val="15"/>
                <w:lang w:val="es-ES"/>
              </w:rPr>
              <w:t>3</w:t>
            </w:r>
            <w:r w:rsidRPr="005E36DB">
              <w:rPr>
                <w:rFonts w:ascii="Arial Black" w:hAnsi="Arial Black"/>
                <w:caps/>
                <w:sz w:val="15"/>
                <w:lang w:val="es-ES"/>
              </w:rPr>
              <w:t xml:space="preserve"> DE JULIO DE</w:t>
            </w:r>
            <w:r w:rsidR="000D0114" w:rsidRPr="005E36DB">
              <w:rPr>
                <w:rFonts w:ascii="Arial Black" w:hAnsi="Arial Black"/>
                <w:caps/>
                <w:sz w:val="15"/>
                <w:lang w:val="es-ES"/>
              </w:rPr>
              <w:t xml:space="preserve"> 2017</w:t>
            </w:r>
          </w:p>
        </w:tc>
      </w:tr>
    </w:tbl>
    <w:p w:rsidR="00F66F07" w:rsidRPr="005E36DB" w:rsidRDefault="00F66F07" w:rsidP="00F66F07">
      <w:pPr>
        <w:rPr>
          <w:lang w:val="es-ES"/>
        </w:rPr>
      </w:pPr>
    </w:p>
    <w:p w:rsidR="00F66F07" w:rsidRPr="005E36DB" w:rsidRDefault="00F66F07" w:rsidP="00F66F07">
      <w:pPr>
        <w:rPr>
          <w:lang w:val="es-ES"/>
        </w:rPr>
      </w:pPr>
    </w:p>
    <w:p w:rsidR="00F66F07" w:rsidRPr="005E36DB" w:rsidRDefault="00F66F07" w:rsidP="00F66F07">
      <w:pPr>
        <w:rPr>
          <w:lang w:val="es-ES"/>
        </w:rPr>
      </w:pPr>
    </w:p>
    <w:p w:rsidR="00F66F07" w:rsidRPr="005E36DB" w:rsidRDefault="00F66F07" w:rsidP="00F66F07">
      <w:pPr>
        <w:rPr>
          <w:lang w:val="es-ES"/>
        </w:rPr>
      </w:pPr>
    </w:p>
    <w:p w:rsidR="00F66F07" w:rsidRPr="005E36DB" w:rsidRDefault="00F66F07" w:rsidP="00F66F07">
      <w:pPr>
        <w:rPr>
          <w:lang w:val="es-ES"/>
        </w:rPr>
      </w:pPr>
    </w:p>
    <w:p w:rsidR="00F66F07" w:rsidRPr="005E36DB" w:rsidRDefault="00AA35ED" w:rsidP="00F66F07">
      <w:pPr>
        <w:rPr>
          <w:b/>
          <w:sz w:val="28"/>
          <w:szCs w:val="28"/>
          <w:lang w:val="es-ES"/>
        </w:rPr>
      </w:pPr>
      <w:r w:rsidRPr="005E36DB">
        <w:rPr>
          <w:b/>
          <w:sz w:val="28"/>
          <w:szCs w:val="28"/>
          <w:lang w:val="es-ES"/>
        </w:rPr>
        <w:t>Unión Particular para el Registro Internacional de Marcas</w:t>
      </w:r>
      <w:r w:rsidRPr="005E36DB">
        <w:rPr>
          <w:b/>
          <w:sz w:val="28"/>
          <w:szCs w:val="28"/>
          <w:lang w:val="es-ES"/>
        </w:rPr>
        <w:br/>
        <w:t>(Unión de Madrid)</w:t>
      </w:r>
    </w:p>
    <w:p w:rsidR="00F66F07" w:rsidRPr="005E36DB" w:rsidRDefault="00F66F07" w:rsidP="00F66F07">
      <w:pPr>
        <w:rPr>
          <w:lang w:val="es-ES"/>
        </w:rPr>
      </w:pPr>
    </w:p>
    <w:p w:rsidR="00F66F07" w:rsidRPr="005E36DB" w:rsidRDefault="00F66F07" w:rsidP="00F66F07">
      <w:pPr>
        <w:rPr>
          <w:lang w:val="es-ES"/>
        </w:rPr>
      </w:pPr>
    </w:p>
    <w:p w:rsidR="00F66F07" w:rsidRPr="005E36DB" w:rsidRDefault="000D3926" w:rsidP="00F66F07">
      <w:pPr>
        <w:rPr>
          <w:b/>
          <w:sz w:val="28"/>
          <w:szCs w:val="28"/>
          <w:lang w:val="es-ES"/>
        </w:rPr>
      </w:pPr>
      <w:r w:rsidRPr="005E36DB">
        <w:rPr>
          <w:b/>
          <w:sz w:val="28"/>
          <w:szCs w:val="28"/>
          <w:lang w:val="es-ES"/>
        </w:rPr>
        <w:t>Asamblea</w:t>
      </w:r>
    </w:p>
    <w:p w:rsidR="00F66F07" w:rsidRPr="005E36DB" w:rsidRDefault="00F66F07" w:rsidP="00F66F07">
      <w:pPr>
        <w:rPr>
          <w:lang w:val="es-ES"/>
        </w:rPr>
      </w:pPr>
    </w:p>
    <w:p w:rsidR="00F66F07" w:rsidRPr="005E36DB" w:rsidRDefault="00F66F07" w:rsidP="00F66F07">
      <w:pPr>
        <w:rPr>
          <w:lang w:val="es-ES"/>
        </w:rPr>
      </w:pPr>
    </w:p>
    <w:p w:rsidR="00F66F07" w:rsidRPr="005E36DB" w:rsidRDefault="008329D3" w:rsidP="00F66F07">
      <w:pPr>
        <w:rPr>
          <w:b/>
          <w:sz w:val="24"/>
          <w:szCs w:val="24"/>
          <w:lang w:val="es-ES"/>
        </w:rPr>
      </w:pPr>
      <w:r w:rsidRPr="005E36DB">
        <w:rPr>
          <w:b/>
          <w:sz w:val="24"/>
          <w:szCs w:val="24"/>
          <w:lang w:val="es-ES"/>
        </w:rPr>
        <w:t xml:space="preserve">Quincuagésimo </w:t>
      </w:r>
      <w:r w:rsidR="000D0114" w:rsidRPr="005E36DB">
        <w:rPr>
          <w:b/>
          <w:sz w:val="24"/>
          <w:szCs w:val="24"/>
          <w:lang w:val="es-ES"/>
        </w:rPr>
        <w:t xml:space="preserve">primer </w:t>
      </w:r>
      <w:r w:rsidRPr="005E36DB">
        <w:rPr>
          <w:b/>
          <w:sz w:val="24"/>
          <w:szCs w:val="24"/>
          <w:lang w:val="es-ES"/>
        </w:rPr>
        <w:t>período de sesiones</w:t>
      </w:r>
      <w:r w:rsidR="000519E7" w:rsidRPr="005E36DB">
        <w:rPr>
          <w:b/>
          <w:sz w:val="24"/>
          <w:szCs w:val="24"/>
          <w:lang w:val="es-ES"/>
        </w:rPr>
        <w:t xml:space="preserve"> (2</w:t>
      </w:r>
      <w:r w:rsidR="000D0114" w:rsidRPr="005E36DB">
        <w:rPr>
          <w:b/>
          <w:sz w:val="24"/>
          <w:szCs w:val="24"/>
          <w:lang w:val="es-ES"/>
        </w:rPr>
        <w:t>2</w:t>
      </w:r>
      <w:r w:rsidRPr="005E36DB">
        <w:rPr>
          <w:b/>
          <w:sz w:val="24"/>
          <w:szCs w:val="24"/>
          <w:lang w:val="es-ES"/>
        </w:rPr>
        <w:t>º</w:t>
      </w:r>
      <w:r w:rsidR="000519E7" w:rsidRPr="005E36DB">
        <w:rPr>
          <w:b/>
          <w:sz w:val="24"/>
          <w:szCs w:val="24"/>
          <w:lang w:val="es-ES"/>
        </w:rPr>
        <w:t xml:space="preserve"> </w:t>
      </w:r>
      <w:r w:rsidRPr="005E36DB">
        <w:rPr>
          <w:b/>
          <w:sz w:val="24"/>
          <w:szCs w:val="24"/>
          <w:lang w:val="es-ES"/>
        </w:rPr>
        <w:t>ordinario)</w:t>
      </w:r>
    </w:p>
    <w:p w:rsidR="00F66F07" w:rsidRPr="005E36DB" w:rsidRDefault="00F66F07" w:rsidP="00F66F07">
      <w:pPr>
        <w:rPr>
          <w:b/>
          <w:sz w:val="24"/>
          <w:szCs w:val="24"/>
          <w:lang w:val="es-ES"/>
        </w:rPr>
      </w:pPr>
      <w:r w:rsidRPr="005E36DB">
        <w:rPr>
          <w:b/>
          <w:sz w:val="24"/>
          <w:szCs w:val="24"/>
          <w:lang w:val="es-ES"/>
        </w:rPr>
        <w:t>G</w:t>
      </w:r>
      <w:r w:rsidR="008329D3" w:rsidRPr="005E36DB">
        <w:rPr>
          <w:b/>
          <w:sz w:val="24"/>
          <w:szCs w:val="24"/>
          <w:lang w:val="es-ES"/>
        </w:rPr>
        <w:t>inebra</w:t>
      </w:r>
      <w:r w:rsidRPr="005E36DB">
        <w:rPr>
          <w:b/>
          <w:sz w:val="24"/>
          <w:szCs w:val="24"/>
          <w:lang w:val="es-ES"/>
        </w:rPr>
        <w:t xml:space="preserve">, </w:t>
      </w:r>
      <w:r w:rsidR="000D0114" w:rsidRPr="005E36DB">
        <w:rPr>
          <w:b/>
          <w:sz w:val="24"/>
          <w:szCs w:val="24"/>
          <w:lang w:val="es-ES"/>
        </w:rPr>
        <w:t>2</w:t>
      </w:r>
      <w:r w:rsidR="00655D94" w:rsidRPr="005E36DB">
        <w:rPr>
          <w:b/>
          <w:sz w:val="24"/>
          <w:szCs w:val="24"/>
          <w:lang w:val="es-ES"/>
        </w:rPr>
        <w:t xml:space="preserve"> </w:t>
      </w:r>
      <w:r w:rsidR="008329D3" w:rsidRPr="005E36DB">
        <w:rPr>
          <w:b/>
          <w:sz w:val="24"/>
          <w:szCs w:val="24"/>
          <w:lang w:val="es-ES"/>
        </w:rPr>
        <w:t>a 11 de octubre de</w:t>
      </w:r>
      <w:r w:rsidR="000519E7" w:rsidRPr="005E36DB">
        <w:rPr>
          <w:b/>
          <w:sz w:val="24"/>
          <w:szCs w:val="24"/>
          <w:lang w:val="es-ES"/>
        </w:rPr>
        <w:t xml:space="preserve"> </w:t>
      </w:r>
      <w:r w:rsidR="000D0114" w:rsidRPr="005E36DB">
        <w:rPr>
          <w:b/>
          <w:sz w:val="24"/>
          <w:szCs w:val="24"/>
          <w:lang w:val="es-ES"/>
        </w:rPr>
        <w:t>2017</w:t>
      </w:r>
    </w:p>
    <w:p w:rsidR="00F66F07" w:rsidRPr="005E36DB" w:rsidRDefault="00F66F07" w:rsidP="00F66F07">
      <w:pPr>
        <w:rPr>
          <w:lang w:val="es-ES"/>
        </w:rPr>
      </w:pPr>
    </w:p>
    <w:p w:rsidR="00F66F07" w:rsidRPr="005E36DB" w:rsidRDefault="00F66F07" w:rsidP="00F66F07">
      <w:pPr>
        <w:rPr>
          <w:lang w:val="es-ES"/>
        </w:rPr>
      </w:pPr>
    </w:p>
    <w:p w:rsidR="00F66F07" w:rsidRPr="005E36DB" w:rsidRDefault="00F66F07" w:rsidP="00F66F07">
      <w:pPr>
        <w:rPr>
          <w:lang w:val="es-ES"/>
        </w:rPr>
      </w:pPr>
    </w:p>
    <w:p w:rsidR="004513E8" w:rsidRPr="005E36DB" w:rsidRDefault="004513E8" w:rsidP="004513E8">
      <w:pPr>
        <w:rPr>
          <w:caps/>
          <w:sz w:val="24"/>
          <w:lang w:val="es-ES"/>
        </w:rPr>
      </w:pPr>
      <w:bookmarkStart w:id="4" w:name="TitleOfDoc"/>
      <w:bookmarkEnd w:id="4"/>
      <w:r w:rsidRPr="005E36DB">
        <w:rPr>
          <w:caps/>
          <w:szCs w:val="22"/>
          <w:lang w:val="es-ES"/>
        </w:rPr>
        <w:t xml:space="preserve">Informe </w:t>
      </w:r>
      <w:r w:rsidR="008C7039" w:rsidRPr="005E36DB">
        <w:rPr>
          <w:caps/>
          <w:szCs w:val="22"/>
          <w:lang w:val="es-ES"/>
        </w:rPr>
        <w:t>RELATIVO A</w:t>
      </w:r>
      <w:r w:rsidRPr="005E36DB">
        <w:rPr>
          <w:caps/>
          <w:szCs w:val="22"/>
          <w:lang w:val="es-ES"/>
        </w:rPr>
        <w:t xml:space="preserve"> la </w:t>
      </w:r>
      <w:r w:rsidRPr="005E36DB">
        <w:rPr>
          <w:lang w:val="es-ES"/>
        </w:rPr>
        <w:t>BASE DE DATOS SOBRE PRODUCTOS Y SERVICIOS DEL SISTEMA DE MADRID</w:t>
      </w:r>
    </w:p>
    <w:p w:rsidR="004513E8" w:rsidRPr="005E36DB" w:rsidRDefault="004513E8" w:rsidP="004513E8">
      <w:pPr>
        <w:rPr>
          <w:lang w:val="es-ES"/>
        </w:rPr>
      </w:pPr>
    </w:p>
    <w:p w:rsidR="004513E8" w:rsidRPr="005E36DB" w:rsidRDefault="004513E8" w:rsidP="004513E8">
      <w:pPr>
        <w:rPr>
          <w:i/>
          <w:lang w:val="es-ES"/>
        </w:rPr>
      </w:pPr>
      <w:bookmarkStart w:id="5" w:name="Prepared"/>
      <w:bookmarkEnd w:id="5"/>
      <w:proofErr w:type="gramStart"/>
      <w:r w:rsidRPr="005E36DB">
        <w:rPr>
          <w:i/>
          <w:lang w:val="es-ES"/>
        </w:rPr>
        <w:t>preparado</w:t>
      </w:r>
      <w:proofErr w:type="gramEnd"/>
      <w:r w:rsidRPr="005E36DB">
        <w:rPr>
          <w:i/>
          <w:lang w:val="es-ES"/>
        </w:rPr>
        <w:t xml:space="preserve"> por la Oficina Internacional</w:t>
      </w:r>
    </w:p>
    <w:p w:rsidR="004513E8" w:rsidRPr="005E36DB" w:rsidRDefault="004513E8" w:rsidP="004513E8">
      <w:pPr>
        <w:rPr>
          <w:lang w:val="es-ES"/>
        </w:rPr>
      </w:pPr>
    </w:p>
    <w:p w:rsidR="004513E8" w:rsidRPr="005E36DB" w:rsidRDefault="004513E8" w:rsidP="004513E8">
      <w:pPr>
        <w:rPr>
          <w:lang w:val="es-ES"/>
        </w:rPr>
      </w:pPr>
    </w:p>
    <w:p w:rsidR="004513E8" w:rsidRPr="005E36DB" w:rsidRDefault="004513E8" w:rsidP="004513E8">
      <w:pPr>
        <w:rPr>
          <w:lang w:val="es-ES"/>
        </w:rPr>
      </w:pPr>
    </w:p>
    <w:p w:rsidR="00F66F07" w:rsidRPr="005E36DB" w:rsidRDefault="004513E8" w:rsidP="004513E8">
      <w:pPr>
        <w:pStyle w:val="Heading1"/>
        <w:rPr>
          <w:lang w:val="es-ES"/>
        </w:rPr>
      </w:pPr>
      <w:r w:rsidRPr="005E36DB">
        <w:rPr>
          <w:caps w:val="0"/>
          <w:lang w:val="es-ES"/>
        </w:rPr>
        <w:t>INTRODUCCIÓN</w:t>
      </w:r>
    </w:p>
    <w:p w:rsidR="00F66F07" w:rsidRPr="005E36DB" w:rsidRDefault="00F66F07" w:rsidP="00F66F07">
      <w:pPr>
        <w:rPr>
          <w:lang w:val="es-ES"/>
        </w:rPr>
      </w:pPr>
    </w:p>
    <w:p w:rsidR="004513E8" w:rsidRPr="005E36DB" w:rsidRDefault="00A86F2C" w:rsidP="004513E8">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4513E8" w:rsidRPr="005E36DB">
        <w:rPr>
          <w:lang w:val="es-ES"/>
        </w:rPr>
        <w:t>E</w:t>
      </w:r>
      <w:r w:rsidR="00336F64" w:rsidRPr="005E36DB">
        <w:rPr>
          <w:lang w:val="es-ES"/>
        </w:rPr>
        <w:t>n e</w:t>
      </w:r>
      <w:r w:rsidR="004513E8" w:rsidRPr="005E36DB">
        <w:rPr>
          <w:lang w:val="es-ES"/>
        </w:rPr>
        <w:t>l presente documento</w:t>
      </w:r>
      <w:r w:rsidR="00336F64" w:rsidRPr="005E36DB">
        <w:rPr>
          <w:lang w:val="es-ES"/>
        </w:rPr>
        <w:t xml:space="preserve"> se expone</w:t>
      </w:r>
      <w:r w:rsidR="004513E8" w:rsidRPr="005E36DB">
        <w:rPr>
          <w:lang w:val="es-ES"/>
        </w:rPr>
        <w:t xml:space="preserve"> la marcha de las actividades relativas al </w:t>
      </w:r>
      <w:r w:rsidR="00BA1729" w:rsidRPr="005E36DB">
        <w:rPr>
          <w:lang w:val="es-ES"/>
        </w:rPr>
        <w:t>desarrollo</w:t>
      </w:r>
      <w:r w:rsidR="004513E8" w:rsidRPr="005E36DB">
        <w:rPr>
          <w:lang w:val="es-ES"/>
        </w:rPr>
        <w:t xml:space="preserve"> de la Base de datos de indicaciones válidas de productos y servicios a los fines de los procedimientos del Sistema de Madrid (denominada en adelante</w:t>
      </w:r>
      <w:r w:rsidR="00657ABC" w:rsidRPr="005E36DB">
        <w:rPr>
          <w:lang w:val="es-ES"/>
        </w:rPr>
        <w:t xml:space="preserve"> la</w:t>
      </w:r>
      <w:r w:rsidR="004513E8" w:rsidRPr="005E36DB">
        <w:rPr>
          <w:lang w:val="es-ES"/>
        </w:rPr>
        <w:t xml:space="preserve"> “Base de </w:t>
      </w:r>
      <w:r w:rsidR="00430EC3" w:rsidRPr="005E36DB">
        <w:rPr>
          <w:lang w:val="es-ES"/>
        </w:rPr>
        <w:t xml:space="preserve">datos </w:t>
      </w:r>
      <w:r w:rsidR="004513E8" w:rsidRPr="005E36DB">
        <w:rPr>
          <w:lang w:val="es-ES"/>
        </w:rPr>
        <w:t>sobre productos y servicios del</w:t>
      </w:r>
      <w:r w:rsidR="00DD3C1A" w:rsidRPr="005E36DB">
        <w:rPr>
          <w:lang w:val="es-ES"/>
        </w:rPr>
        <w:t xml:space="preserve"> Sistema de Madrid” o “Base de d</w:t>
      </w:r>
      <w:r w:rsidR="004513E8" w:rsidRPr="005E36DB">
        <w:rPr>
          <w:lang w:val="es-ES"/>
        </w:rPr>
        <w:t>atos MGS”).</w:t>
      </w:r>
    </w:p>
    <w:p w:rsidR="004513E8" w:rsidRPr="005E36DB" w:rsidRDefault="004513E8" w:rsidP="004513E8">
      <w:pPr>
        <w:rPr>
          <w:lang w:val="es-ES"/>
        </w:rPr>
      </w:pPr>
    </w:p>
    <w:p w:rsidR="004513E8" w:rsidRPr="005E36DB" w:rsidRDefault="004513E8" w:rsidP="004513E8">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t xml:space="preserve">En septiembre de 2009, la Asamblea de la Unión de Madrid aprobó un proyecto de dos años </w:t>
      </w:r>
      <w:r w:rsidR="00400113" w:rsidRPr="005E36DB">
        <w:rPr>
          <w:lang w:val="es-ES"/>
        </w:rPr>
        <w:t>co</w:t>
      </w:r>
      <w:r w:rsidR="00E87DA6" w:rsidRPr="005E36DB">
        <w:rPr>
          <w:lang w:val="es-ES"/>
        </w:rPr>
        <w:t>n el</w:t>
      </w:r>
      <w:r w:rsidR="00400113" w:rsidRPr="005E36DB">
        <w:rPr>
          <w:lang w:val="es-ES"/>
        </w:rPr>
        <w:t xml:space="preserve"> objeto </w:t>
      </w:r>
      <w:r w:rsidR="00E87DA6" w:rsidRPr="005E36DB">
        <w:rPr>
          <w:lang w:val="es-ES"/>
        </w:rPr>
        <w:t>d</w:t>
      </w:r>
      <w:r w:rsidR="00400113" w:rsidRPr="005E36DB">
        <w:rPr>
          <w:lang w:val="es-ES"/>
        </w:rPr>
        <w:t>e</w:t>
      </w:r>
      <w:r w:rsidRPr="005E36DB">
        <w:rPr>
          <w:lang w:val="es-ES"/>
        </w:rPr>
        <w:t xml:space="preserve"> </w:t>
      </w:r>
      <w:r w:rsidR="003C3A3E" w:rsidRPr="005E36DB">
        <w:rPr>
          <w:lang w:val="es-ES"/>
        </w:rPr>
        <w:t>desarrollar</w:t>
      </w:r>
      <w:r w:rsidR="00DD3C1A" w:rsidRPr="005E36DB">
        <w:rPr>
          <w:lang w:val="es-ES"/>
        </w:rPr>
        <w:t xml:space="preserve"> la Base de d</w:t>
      </w:r>
      <w:r w:rsidRPr="005E36DB">
        <w:rPr>
          <w:lang w:val="es-ES"/>
        </w:rPr>
        <w:t xml:space="preserve">atos MGS, tal como se describe en el documento MM/A/42/3, </w:t>
      </w:r>
      <w:r w:rsidR="00620962" w:rsidRPr="005E36DB">
        <w:rPr>
          <w:lang w:val="es-ES"/>
        </w:rPr>
        <w:t>así como la financiación correspondiente, por</w:t>
      </w:r>
      <w:r w:rsidRPr="005E36DB">
        <w:rPr>
          <w:lang w:val="es-ES"/>
        </w:rPr>
        <w:t xml:space="preserve"> un importe de 1,2 millones de francos suizos</w:t>
      </w:r>
      <w:r w:rsidR="00620962" w:rsidRPr="005E36DB">
        <w:rPr>
          <w:lang w:val="es-ES"/>
        </w:rPr>
        <w:t>, a partir</w:t>
      </w:r>
      <w:r w:rsidRPr="005E36DB">
        <w:rPr>
          <w:lang w:val="es-ES"/>
        </w:rPr>
        <w:t xml:space="preserve"> del Fondo de Reserva de la Unión de Madrid a los fines de su e</w:t>
      </w:r>
      <w:r w:rsidR="00432460" w:rsidRPr="005E36DB">
        <w:rPr>
          <w:lang w:val="es-ES"/>
        </w:rPr>
        <w:t>jecución durante el bienio 2010/</w:t>
      </w:r>
      <w:r w:rsidRPr="005E36DB">
        <w:rPr>
          <w:lang w:val="es-ES"/>
        </w:rPr>
        <w:t xml:space="preserve">11 (véase el párrafo 28 del documento MM/A/42/4).  </w:t>
      </w:r>
      <w:r w:rsidR="00432460" w:rsidRPr="005E36DB">
        <w:rPr>
          <w:lang w:val="es-ES"/>
        </w:rPr>
        <w:t>Ya s</w:t>
      </w:r>
      <w:r w:rsidRPr="005E36DB">
        <w:rPr>
          <w:lang w:val="es-ES"/>
        </w:rPr>
        <w:t xml:space="preserve">e han presentado a la Asamblea de la Unión de Madrid </w:t>
      </w:r>
      <w:r w:rsidR="008C7039" w:rsidRPr="005E36DB">
        <w:rPr>
          <w:lang w:val="es-ES"/>
        </w:rPr>
        <w:t xml:space="preserve">ocho </w:t>
      </w:r>
      <w:r w:rsidRPr="005E36DB">
        <w:rPr>
          <w:lang w:val="es-ES"/>
        </w:rPr>
        <w:t>informes sobre la marcha de las actividades (véanse los documentos MM/A/42/3, MM/A/43/2, MM/A/44/3, MM/A/45/2, MM/A/46/2 Rev.</w:t>
      </w:r>
      <w:r w:rsidR="00CE0806" w:rsidRPr="005E36DB">
        <w:rPr>
          <w:lang w:val="es-ES"/>
        </w:rPr>
        <w:t>,</w:t>
      </w:r>
      <w:r w:rsidRPr="005E36DB">
        <w:rPr>
          <w:lang w:val="es-ES"/>
        </w:rPr>
        <w:t xml:space="preserve"> MM/A/48/2</w:t>
      </w:r>
      <w:r w:rsidR="004F4E11" w:rsidRPr="005E36DB">
        <w:rPr>
          <w:lang w:val="es-ES"/>
        </w:rPr>
        <w:t>, M</w:t>
      </w:r>
      <w:r w:rsidR="00CE0806" w:rsidRPr="005E36DB">
        <w:rPr>
          <w:lang w:val="es-ES"/>
        </w:rPr>
        <w:t>M/A/49/2</w:t>
      </w:r>
      <w:r w:rsidR="008C7039" w:rsidRPr="005E36DB">
        <w:rPr>
          <w:lang w:val="es-ES"/>
        </w:rPr>
        <w:t xml:space="preserve"> y MM/A/50/1</w:t>
      </w:r>
      <w:r w:rsidRPr="005E36DB">
        <w:rPr>
          <w:lang w:val="es-ES"/>
        </w:rPr>
        <w:t>).</w:t>
      </w:r>
    </w:p>
    <w:p w:rsidR="004513E8" w:rsidRPr="005E36DB" w:rsidRDefault="004513E8" w:rsidP="004513E8">
      <w:pPr>
        <w:rPr>
          <w:lang w:val="es-ES"/>
        </w:rPr>
      </w:pPr>
    </w:p>
    <w:p w:rsidR="004513E8" w:rsidRPr="005E36DB" w:rsidRDefault="004513E8" w:rsidP="004513E8">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t xml:space="preserve">Dado que el proyecto de la </w:t>
      </w:r>
      <w:r w:rsidR="009762B8" w:rsidRPr="005E36DB">
        <w:rPr>
          <w:lang w:val="es-ES"/>
        </w:rPr>
        <w:t>Base de datos</w:t>
      </w:r>
      <w:r w:rsidRPr="005E36DB">
        <w:rPr>
          <w:lang w:val="es-ES"/>
        </w:rPr>
        <w:t xml:space="preserve"> MGS entró en funcionamiento e</w:t>
      </w:r>
      <w:r w:rsidR="00CE0806" w:rsidRPr="005E36DB">
        <w:rPr>
          <w:lang w:val="es-ES"/>
        </w:rPr>
        <w:t>l 1 de enero de </w:t>
      </w:r>
      <w:r w:rsidRPr="005E36DB">
        <w:rPr>
          <w:lang w:val="es-ES"/>
        </w:rPr>
        <w:t>2012, el apoyo operativo necesario se ha financiado desde entonces con cargo al presupuesto ordinario.</w:t>
      </w:r>
    </w:p>
    <w:p w:rsidR="004513E8" w:rsidRPr="005E36DB" w:rsidRDefault="004513E8" w:rsidP="004513E8">
      <w:pPr>
        <w:rPr>
          <w:lang w:val="es-ES"/>
        </w:rPr>
      </w:pPr>
    </w:p>
    <w:p w:rsidR="004513E8" w:rsidRPr="005E36DB" w:rsidRDefault="004513E8" w:rsidP="004513E8">
      <w:pPr>
        <w:rPr>
          <w:lang w:val="es-ES"/>
        </w:rPr>
      </w:pPr>
      <w:r w:rsidRPr="005E36DB">
        <w:rPr>
          <w:lang w:val="es-ES"/>
        </w:rPr>
        <w:lastRenderedPageBreak/>
        <w:fldChar w:fldCharType="begin"/>
      </w:r>
      <w:r w:rsidRPr="005E36DB">
        <w:rPr>
          <w:lang w:val="es-ES"/>
        </w:rPr>
        <w:instrText xml:space="preserve"> AUTONUM  </w:instrText>
      </w:r>
      <w:r w:rsidRPr="005E36DB">
        <w:rPr>
          <w:lang w:val="es-ES"/>
        </w:rPr>
        <w:fldChar w:fldCharType="end"/>
      </w:r>
      <w:r w:rsidRPr="005E36DB">
        <w:rPr>
          <w:lang w:val="es-ES"/>
        </w:rPr>
        <w:tab/>
        <w:t xml:space="preserve">En el presente documento se reseñan los avances realizados en relación con la </w:t>
      </w:r>
      <w:r w:rsidR="009762B8" w:rsidRPr="005E36DB">
        <w:rPr>
          <w:lang w:val="es-ES"/>
        </w:rPr>
        <w:t>Base de datos</w:t>
      </w:r>
      <w:r w:rsidRPr="005E36DB">
        <w:rPr>
          <w:lang w:val="es-ES"/>
        </w:rPr>
        <w:t xml:space="preserve"> MGS desde que se presentara el último informe al respecto (documento MM/A/</w:t>
      </w:r>
      <w:r w:rsidR="008C7039" w:rsidRPr="005E36DB">
        <w:rPr>
          <w:lang w:val="es-ES"/>
        </w:rPr>
        <w:t>50</w:t>
      </w:r>
      <w:r w:rsidRPr="005E36DB">
        <w:rPr>
          <w:lang w:val="es-ES"/>
        </w:rPr>
        <w:t>/</w:t>
      </w:r>
      <w:r w:rsidR="008C7039" w:rsidRPr="005E36DB">
        <w:rPr>
          <w:lang w:val="es-ES"/>
        </w:rPr>
        <w:t>1</w:t>
      </w:r>
      <w:r w:rsidRPr="005E36DB">
        <w:rPr>
          <w:lang w:val="es-ES"/>
        </w:rPr>
        <w:t>), es decir, entre e</w:t>
      </w:r>
      <w:r w:rsidR="004F4E11" w:rsidRPr="005E36DB">
        <w:rPr>
          <w:lang w:val="es-ES"/>
        </w:rPr>
        <w:t>l 1</w:t>
      </w:r>
      <w:r w:rsidRPr="005E36DB">
        <w:rPr>
          <w:lang w:val="es-ES"/>
        </w:rPr>
        <w:t xml:space="preserve"> de junio d</w:t>
      </w:r>
      <w:r w:rsidR="004F4E11" w:rsidRPr="005E36DB">
        <w:rPr>
          <w:lang w:val="es-ES"/>
        </w:rPr>
        <w:t>e 2</w:t>
      </w:r>
      <w:r w:rsidRPr="005E36DB">
        <w:rPr>
          <w:lang w:val="es-ES"/>
        </w:rPr>
        <w:t>01</w:t>
      </w:r>
      <w:r w:rsidR="008C7039" w:rsidRPr="005E36DB">
        <w:rPr>
          <w:lang w:val="es-ES"/>
        </w:rPr>
        <w:t>6 y e</w:t>
      </w:r>
      <w:r w:rsidR="004F4E11" w:rsidRPr="005E36DB">
        <w:rPr>
          <w:lang w:val="es-ES"/>
        </w:rPr>
        <w:t>l 3</w:t>
      </w:r>
      <w:r w:rsidR="008C7039" w:rsidRPr="005E36DB">
        <w:rPr>
          <w:lang w:val="es-ES"/>
        </w:rPr>
        <w:t>1</w:t>
      </w:r>
      <w:r w:rsidRPr="005E36DB">
        <w:rPr>
          <w:lang w:val="es-ES"/>
        </w:rPr>
        <w:t xml:space="preserve"> de mayo d</w:t>
      </w:r>
      <w:r w:rsidR="004F4E11" w:rsidRPr="005E36DB">
        <w:rPr>
          <w:lang w:val="es-ES"/>
        </w:rPr>
        <w:t>e 2</w:t>
      </w:r>
      <w:r w:rsidRPr="005E36DB">
        <w:rPr>
          <w:lang w:val="es-ES"/>
        </w:rPr>
        <w:t>01</w:t>
      </w:r>
      <w:r w:rsidR="008C7039" w:rsidRPr="005E36DB">
        <w:rPr>
          <w:lang w:val="es-ES"/>
        </w:rPr>
        <w:t>7</w:t>
      </w:r>
      <w:r w:rsidRPr="005E36DB">
        <w:rPr>
          <w:lang w:val="es-ES"/>
        </w:rPr>
        <w:t>.</w:t>
      </w:r>
    </w:p>
    <w:p w:rsidR="004513E8" w:rsidRPr="005E36DB" w:rsidRDefault="004513E8" w:rsidP="004513E8">
      <w:pPr>
        <w:rPr>
          <w:lang w:val="es-ES"/>
        </w:rPr>
      </w:pPr>
    </w:p>
    <w:p w:rsidR="004513E8" w:rsidRPr="005E36DB" w:rsidRDefault="004513E8" w:rsidP="004513E8">
      <w:pPr>
        <w:rPr>
          <w:bCs/>
          <w:iCs/>
          <w:lang w:val="es-ES"/>
        </w:rPr>
      </w:pPr>
    </w:p>
    <w:p w:rsidR="004513E8" w:rsidRPr="005E36DB" w:rsidRDefault="004513E8" w:rsidP="004513E8">
      <w:pPr>
        <w:rPr>
          <w:b/>
          <w:bCs/>
          <w:iCs/>
          <w:lang w:val="es-ES"/>
        </w:rPr>
      </w:pPr>
      <w:r w:rsidRPr="005E36DB">
        <w:rPr>
          <w:b/>
          <w:bCs/>
          <w:iCs/>
          <w:lang w:val="es-ES"/>
        </w:rPr>
        <w:t>RESULTADOS OBTENIDOS</w:t>
      </w:r>
    </w:p>
    <w:p w:rsidR="004513E8" w:rsidRPr="005E36DB" w:rsidRDefault="004513E8" w:rsidP="004513E8">
      <w:pPr>
        <w:rPr>
          <w:lang w:val="es-ES"/>
        </w:rPr>
      </w:pPr>
    </w:p>
    <w:p w:rsidR="004513E8" w:rsidRPr="005E36DB" w:rsidRDefault="004513E8" w:rsidP="004513E8">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574BE7" w:rsidRPr="005E36DB">
        <w:rPr>
          <w:lang w:val="es-ES"/>
        </w:rPr>
        <w:t>A</w:t>
      </w:r>
      <w:r w:rsidR="004F4E11" w:rsidRPr="005E36DB">
        <w:rPr>
          <w:lang w:val="es-ES"/>
        </w:rPr>
        <w:t>l 1</w:t>
      </w:r>
      <w:r w:rsidRPr="005E36DB">
        <w:rPr>
          <w:lang w:val="es-ES"/>
        </w:rPr>
        <w:t xml:space="preserve"> de junio d</w:t>
      </w:r>
      <w:r w:rsidR="004F4E11" w:rsidRPr="005E36DB">
        <w:rPr>
          <w:lang w:val="es-ES"/>
        </w:rPr>
        <w:t>e 2</w:t>
      </w:r>
      <w:r w:rsidRPr="005E36DB">
        <w:rPr>
          <w:lang w:val="es-ES"/>
        </w:rPr>
        <w:t>01</w:t>
      </w:r>
      <w:r w:rsidR="008C7039" w:rsidRPr="005E36DB">
        <w:rPr>
          <w:lang w:val="es-ES"/>
        </w:rPr>
        <w:t>6</w:t>
      </w:r>
      <w:r w:rsidR="000702D2" w:rsidRPr="005E36DB">
        <w:rPr>
          <w:lang w:val="es-ES"/>
        </w:rPr>
        <w:t>, el Gestor de productos y servicios de Madrid (</w:t>
      </w:r>
      <w:r w:rsidR="00657ABC" w:rsidRPr="005E36DB">
        <w:rPr>
          <w:lang w:val="es-ES"/>
        </w:rPr>
        <w:t xml:space="preserve">el Gestor </w:t>
      </w:r>
      <w:r w:rsidR="000702D2" w:rsidRPr="005E36DB">
        <w:rPr>
          <w:lang w:val="es-ES"/>
        </w:rPr>
        <w:t>MGS)</w:t>
      </w:r>
      <w:r w:rsidR="00EE4F56" w:rsidRPr="005E36DB">
        <w:rPr>
          <w:lang w:val="es-ES"/>
        </w:rPr>
        <w:t>,</w:t>
      </w:r>
      <w:r w:rsidR="000702D2" w:rsidRPr="005E36DB">
        <w:rPr>
          <w:lang w:val="es-ES"/>
        </w:rPr>
        <w:t xml:space="preserve"> </w:t>
      </w:r>
      <w:r w:rsidR="00EE4F56" w:rsidRPr="005E36DB">
        <w:rPr>
          <w:lang w:val="es-ES"/>
        </w:rPr>
        <w:t>disponible a</w:t>
      </w:r>
      <w:r w:rsidR="000702D2" w:rsidRPr="005E36DB">
        <w:rPr>
          <w:lang w:val="es-ES"/>
        </w:rPr>
        <w:t xml:space="preserve">l público </w:t>
      </w:r>
      <w:r w:rsidRPr="005E36DB">
        <w:rPr>
          <w:lang w:val="es-ES"/>
        </w:rPr>
        <w:t>en el sitio web de la Organización Mundial de la Propiedad Intelectual (OMPI)</w:t>
      </w:r>
      <w:r w:rsidR="00EE4F56" w:rsidRPr="005E36DB">
        <w:rPr>
          <w:lang w:val="es-ES"/>
        </w:rPr>
        <w:t>, constaba de</w:t>
      </w:r>
      <w:r w:rsidRPr="005E36DB">
        <w:rPr>
          <w:lang w:val="es-ES"/>
        </w:rPr>
        <w:t xml:space="preserve"> los siguientes elementos:</w:t>
      </w:r>
    </w:p>
    <w:p w:rsidR="004513E8" w:rsidRPr="005E36DB" w:rsidRDefault="004513E8" w:rsidP="004513E8">
      <w:pPr>
        <w:rPr>
          <w:lang w:val="es-ES"/>
        </w:rPr>
      </w:pPr>
    </w:p>
    <w:p w:rsidR="004513E8" w:rsidRPr="005E36DB" w:rsidRDefault="00F103B1" w:rsidP="001B24B5">
      <w:pPr>
        <w:numPr>
          <w:ilvl w:val="0"/>
          <w:numId w:val="11"/>
        </w:numPr>
        <w:ind w:left="1134" w:hanging="567"/>
        <w:rPr>
          <w:lang w:val="es-ES"/>
        </w:rPr>
      </w:pPr>
      <w:r w:rsidRPr="005E36DB">
        <w:rPr>
          <w:lang w:val="es-ES"/>
        </w:rPr>
        <w:t xml:space="preserve">interfaces </w:t>
      </w:r>
      <w:r w:rsidR="004513E8" w:rsidRPr="005E36DB">
        <w:rPr>
          <w:lang w:val="es-ES"/>
        </w:rPr>
        <w:t>en lo</w:t>
      </w:r>
      <w:r w:rsidR="004F4E11" w:rsidRPr="005E36DB">
        <w:rPr>
          <w:lang w:val="es-ES"/>
        </w:rPr>
        <w:t>s 1</w:t>
      </w:r>
      <w:r w:rsidR="008C7039" w:rsidRPr="005E36DB">
        <w:rPr>
          <w:lang w:val="es-ES"/>
        </w:rPr>
        <w:t>8</w:t>
      </w:r>
      <w:r w:rsidR="004513E8" w:rsidRPr="005E36DB">
        <w:rPr>
          <w:lang w:val="es-ES"/>
        </w:rPr>
        <w:t xml:space="preserve"> idiomas siguientes</w:t>
      </w:r>
      <w:r w:rsidR="004F4E11" w:rsidRPr="005E36DB">
        <w:rPr>
          <w:lang w:val="es-ES"/>
        </w:rPr>
        <w:t>:  e</w:t>
      </w:r>
      <w:r w:rsidR="008A17C5" w:rsidRPr="005E36DB">
        <w:rPr>
          <w:lang w:val="es-ES"/>
        </w:rPr>
        <w:t xml:space="preserve">spañol, alemán, árabe, chino, coreano, francés, hebreo, inglés, italiano, japonés, </w:t>
      </w:r>
      <w:r w:rsidR="008C7039" w:rsidRPr="005E36DB">
        <w:rPr>
          <w:lang w:val="es-ES"/>
        </w:rPr>
        <w:t xml:space="preserve">mongol, </w:t>
      </w:r>
      <w:r w:rsidR="008A17C5" w:rsidRPr="005E36DB">
        <w:rPr>
          <w:lang w:val="es-ES"/>
        </w:rPr>
        <w:t>neerlandés, noruego, portugués, ruso, serbio, turco</w:t>
      </w:r>
      <w:r w:rsidR="00E32C56" w:rsidRPr="005E36DB">
        <w:rPr>
          <w:lang w:val="es-ES"/>
        </w:rPr>
        <w:t xml:space="preserve"> y</w:t>
      </w:r>
      <w:r w:rsidRPr="005E36DB">
        <w:rPr>
          <w:lang w:val="es-ES"/>
        </w:rPr>
        <w:t xml:space="preserve"> </w:t>
      </w:r>
      <w:r w:rsidR="008A17C5" w:rsidRPr="005E36DB">
        <w:rPr>
          <w:lang w:val="es-ES"/>
        </w:rPr>
        <w:t>ucraniano</w:t>
      </w:r>
      <w:r w:rsidRPr="005E36DB">
        <w:rPr>
          <w:lang w:val="es-ES"/>
        </w:rPr>
        <w:t xml:space="preserve">;  </w:t>
      </w:r>
    </w:p>
    <w:p w:rsidR="004513E8" w:rsidRPr="005E36DB" w:rsidRDefault="004513E8" w:rsidP="00AC5A5E">
      <w:pPr>
        <w:rPr>
          <w:lang w:val="es-ES"/>
        </w:rPr>
      </w:pPr>
    </w:p>
    <w:p w:rsidR="004513E8" w:rsidRPr="005E36DB" w:rsidRDefault="00052137" w:rsidP="001B24B5">
      <w:pPr>
        <w:numPr>
          <w:ilvl w:val="0"/>
          <w:numId w:val="11"/>
        </w:numPr>
        <w:ind w:left="1134" w:hanging="567"/>
        <w:rPr>
          <w:lang w:val="es-ES"/>
        </w:rPr>
      </w:pPr>
      <w:r w:rsidRPr="005E36DB">
        <w:rPr>
          <w:lang w:val="es-ES"/>
        </w:rPr>
        <w:t>el suministro po</w:t>
      </w:r>
      <w:r w:rsidR="004F4E11" w:rsidRPr="005E36DB">
        <w:rPr>
          <w:lang w:val="es-ES"/>
        </w:rPr>
        <w:t>r 2</w:t>
      </w:r>
      <w:r w:rsidR="008C7039" w:rsidRPr="005E36DB">
        <w:rPr>
          <w:lang w:val="es-ES"/>
        </w:rPr>
        <w:t>7</w:t>
      </w:r>
      <w:r w:rsidR="001B28C5" w:rsidRPr="005E36DB">
        <w:rPr>
          <w:lang w:val="es-ES"/>
        </w:rPr>
        <w:t xml:space="preserve"> oficinas nacionales o regionales de P.I. </w:t>
      </w:r>
      <w:r w:rsidRPr="005E36DB">
        <w:rPr>
          <w:lang w:val="es-ES"/>
        </w:rPr>
        <w:t xml:space="preserve">participantes de </w:t>
      </w:r>
      <w:r w:rsidR="004513E8" w:rsidRPr="005E36DB">
        <w:rPr>
          <w:lang w:val="es-ES"/>
        </w:rPr>
        <w:t>información sobre la aceptación</w:t>
      </w:r>
      <w:r w:rsidR="001B28C5" w:rsidRPr="005E36DB">
        <w:rPr>
          <w:lang w:val="es-ES"/>
        </w:rPr>
        <w:t xml:space="preserve"> para que pueda visualizarse en el </w:t>
      </w:r>
      <w:r w:rsidR="00657ABC" w:rsidRPr="005E36DB">
        <w:rPr>
          <w:lang w:val="es-ES"/>
        </w:rPr>
        <w:t xml:space="preserve">Gestor </w:t>
      </w:r>
      <w:r w:rsidR="001B28C5" w:rsidRPr="005E36DB">
        <w:rPr>
          <w:lang w:val="es-ES"/>
        </w:rPr>
        <w:t xml:space="preserve">MGS.  </w:t>
      </w:r>
      <w:r w:rsidR="00DA6043" w:rsidRPr="005E36DB">
        <w:rPr>
          <w:lang w:val="es-ES"/>
        </w:rPr>
        <w:t>Información, como mínimo,</w:t>
      </w:r>
      <w:r w:rsidR="004513E8" w:rsidRPr="005E36DB">
        <w:rPr>
          <w:lang w:val="es-ES"/>
        </w:rPr>
        <w:t xml:space="preserve"> parcial</w:t>
      </w:r>
      <w:r w:rsidR="00DA6043" w:rsidRPr="005E36DB">
        <w:rPr>
          <w:lang w:val="es-ES"/>
        </w:rPr>
        <w:t xml:space="preserve"> sobre la aceptación ha sido</w:t>
      </w:r>
      <w:r w:rsidR="004513E8" w:rsidRPr="005E36DB">
        <w:rPr>
          <w:lang w:val="es-ES"/>
        </w:rPr>
        <w:t xml:space="preserve"> facilitada a </w:t>
      </w:r>
      <w:r w:rsidR="005F3241" w:rsidRPr="005E36DB">
        <w:rPr>
          <w:lang w:val="es-ES"/>
        </w:rPr>
        <w:t>la OMPI por las O</w:t>
      </w:r>
      <w:r w:rsidR="004513E8" w:rsidRPr="005E36DB">
        <w:rPr>
          <w:lang w:val="es-ES"/>
        </w:rPr>
        <w:t>ficinas de</w:t>
      </w:r>
      <w:r w:rsidR="006A0B9A">
        <w:rPr>
          <w:lang w:val="es-ES"/>
        </w:rPr>
        <w:t xml:space="preserve">: </w:t>
      </w:r>
      <w:r w:rsidR="004513E8" w:rsidRPr="005E36DB">
        <w:rPr>
          <w:lang w:val="es-ES"/>
        </w:rPr>
        <w:t xml:space="preserve"> Alemania, Austria, </w:t>
      </w:r>
      <w:proofErr w:type="spellStart"/>
      <w:r w:rsidR="004513E8" w:rsidRPr="005E36DB">
        <w:rPr>
          <w:lang w:val="es-ES"/>
        </w:rPr>
        <w:t>Belarús</w:t>
      </w:r>
      <w:proofErr w:type="spellEnd"/>
      <w:r w:rsidR="004513E8" w:rsidRPr="005E36DB">
        <w:rPr>
          <w:lang w:val="es-ES"/>
        </w:rPr>
        <w:t xml:space="preserve">, Benelux, China, </w:t>
      </w:r>
      <w:r w:rsidR="008C7039" w:rsidRPr="005E36DB">
        <w:rPr>
          <w:lang w:val="es-ES"/>
        </w:rPr>
        <w:t xml:space="preserve">Colombia, Dinamarca, </w:t>
      </w:r>
      <w:r w:rsidR="004513E8" w:rsidRPr="005E36DB">
        <w:rPr>
          <w:lang w:val="es-ES"/>
        </w:rPr>
        <w:t xml:space="preserve">Estados Unidos de América, </w:t>
      </w:r>
      <w:r w:rsidR="008C7039" w:rsidRPr="005E36DB">
        <w:rPr>
          <w:lang w:val="es-ES"/>
        </w:rPr>
        <w:t xml:space="preserve">Estonia, </w:t>
      </w:r>
      <w:r w:rsidR="004513E8" w:rsidRPr="005E36DB">
        <w:rPr>
          <w:lang w:val="es-ES"/>
        </w:rPr>
        <w:t xml:space="preserve">Federación de Rusia, </w:t>
      </w:r>
      <w:r w:rsidR="008C7039" w:rsidRPr="005E36DB">
        <w:rPr>
          <w:lang w:val="es-ES"/>
        </w:rPr>
        <w:t xml:space="preserve">Finlandia, </w:t>
      </w:r>
      <w:r w:rsidR="004513E8" w:rsidRPr="005E36DB">
        <w:rPr>
          <w:lang w:val="es-ES"/>
        </w:rPr>
        <w:t xml:space="preserve">Israel, Italia, Japón, </w:t>
      </w:r>
      <w:r w:rsidR="00447EBD" w:rsidRPr="005E36DB">
        <w:rPr>
          <w:lang w:val="es-ES"/>
        </w:rPr>
        <w:t xml:space="preserve">México, </w:t>
      </w:r>
      <w:r w:rsidR="008C7039" w:rsidRPr="005E36DB">
        <w:rPr>
          <w:lang w:val="es-ES"/>
        </w:rPr>
        <w:t xml:space="preserve">Mongolia, </w:t>
      </w:r>
      <w:r w:rsidR="004513E8" w:rsidRPr="005E36DB">
        <w:rPr>
          <w:lang w:val="es-ES"/>
        </w:rPr>
        <w:t xml:space="preserve">Noruega, Portugal, </w:t>
      </w:r>
      <w:r w:rsidR="008C7039" w:rsidRPr="005E36DB">
        <w:rPr>
          <w:lang w:val="es-ES"/>
        </w:rPr>
        <w:t xml:space="preserve">Reino Unido, </w:t>
      </w:r>
      <w:r w:rsidR="004513E8" w:rsidRPr="005E36DB">
        <w:rPr>
          <w:lang w:val="es-ES"/>
        </w:rPr>
        <w:t xml:space="preserve">República de Corea, </w:t>
      </w:r>
      <w:r w:rsidR="008C7039" w:rsidRPr="005E36DB">
        <w:rPr>
          <w:lang w:val="es-ES"/>
        </w:rPr>
        <w:t xml:space="preserve">Serbia, </w:t>
      </w:r>
      <w:r w:rsidR="004513E8" w:rsidRPr="005E36DB">
        <w:rPr>
          <w:lang w:val="es-ES"/>
        </w:rPr>
        <w:t xml:space="preserve">Singapur, </w:t>
      </w:r>
      <w:r w:rsidR="008C7039" w:rsidRPr="005E36DB">
        <w:rPr>
          <w:lang w:val="es-ES"/>
        </w:rPr>
        <w:t>Suecia, Suiza, Turquía, Ucrania y</w:t>
      </w:r>
      <w:r w:rsidR="004513E8" w:rsidRPr="005E36DB">
        <w:rPr>
          <w:lang w:val="es-ES"/>
        </w:rPr>
        <w:t xml:space="preserve"> Unión Europea.</w:t>
      </w:r>
    </w:p>
    <w:p w:rsidR="00984AB3" w:rsidRPr="005E36DB" w:rsidRDefault="00984AB3" w:rsidP="00984AB3">
      <w:pPr>
        <w:tabs>
          <w:tab w:val="left" w:pos="550"/>
        </w:tabs>
        <w:rPr>
          <w:lang w:val="es-ES"/>
        </w:rPr>
      </w:pPr>
    </w:p>
    <w:p w:rsidR="00984AB3" w:rsidRPr="005E36DB" w:rsidRDefault="00984AB3" w:rsidP="00984AB3">
      <w:pPr>
        <w:tabs>
          <w:tab w:val="left" w:pos="550"/>
        </w:tabs>
        <w:rPr>
          <w:lang w:val="es-ES"/>
        </w:rPr>
      </w:pPr>
      <w:r w:rsidRPr="005E36DB">
        <w:rPr>
          <w:lang w:val="es-ES"/>
        </w:rPr>
        <w:t>CONCORDANCIA CON L</w:t>
      </w:r>
      <w:r w:rsidR="004F4E11" w:rsidRPr="005E36DB">
        <w:rPr>
          <w:lang w:val="es-ES"/>
        </w:rPr>
        <w:t>A 1</w:t>
      </w:r>
      <w:r w:rsidRPr="005E36DB">
        <w:rPr>
          <w:lang w:val="es-ES"/>
        </w:rPr>
        <w:t>1</w:t>
      </w:r>
      <w:r w:rsidRPr="005E36DB">
        <w:rPr>
          <w:vertAlign w:val="superscript"/>
          <w:lang w:val="es-ES"/>
        </w:rPr>
        <w:t>ª</w:t>
      </w:r>
      <w:r w:rsidRPr="005E36DB">
        <w:rPr>
          <w:lang w:val="es-ES"/>
        </w:rPr>
        <w:t xml:space="preserve"> EDICIÓN DE LA CLASIFICACIÓN DE NIZA </w:t>
      </w:r>
    </w:p>
    <w:p w:rsidR="004513E8" w:rsidRPr="005E36DB" w:rsidRDefault="004513E8" w:rsidP="004513E8">
      <w:pPr>
        <w:rPr>
          <w:lang w:val="es-ES"/>
        </w:rPr>
      </w:pPr>
    </w:p>
    <w:p w:rsidR="008C7039"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764A7B" w:rsidRPr="005E36DB">
        <w:rPr>
          <w:lang w:val="es-ES"/>
        </w:rPr>
        <w:t>A principios de enero d</w:t>
      </w:r>
      <w:r w:rsidR="004F4E11" w:rsidRPr="005E36DB">
        <w:rPr>
          <w:lang w:val="es-ES"/>
        </w:rPr>
        <w:t>e 2</w:t>
      </w:r>
      <w:r w:rsidR="00764A7B" w:rsidRPr="005E36DB">
        <w:rPr>
          <w:lang w:val="es-ES"/>
        </w:rPr>
        <w:t xml:space="preserve">017 se </w:t>
      </w:r>
      <w:r w:rsidR="00A5572C" w:rsidRPr="005E36DB">
        <w:rPr>
          <w:lang w:val="es-ES"/>
        </w:rPr>
        <w:t>publicó una nueva versión de</w:t>
      </w:r>
      <w:r w:rsidR="00764A7B" w:rsidRPr="005E36DB">
        <w:rPr>
          <w:lang w:val="es-ES"/>
        </w:rPr>
        <w:t>l</w:t>
      </w:r>
      <w:r w:rsidR="00A5572C" w:rsidRPr="005E36DB">
        <w:rPr>
          <w:lang w:val="es-ES"/>
        </w:rPr>
        <w:t xml:space="preserve"> Gestor</w:t>
      </w:r>
      <w:r w:rsidR="00764A7B" w:rsidRPr="005E36DB">
        <w:rPr>
          <w:lang w:val="es-ES"/>
        </w:rPr>
        <w:t xml:space="preserve"> MGS que está en concordancia con la versión d</w:t>
      </w:r>
      <w:r w:rsidR="004F4E11" w:rsidRPr="005E36DB">
        <w:rPr>
          <w:lang w:val="es-ES"/>
        </w:rPr>
        <w:t>e 2</w:t>
      </w:r>
      <w:r w:rsidR="00764A7B" w:rsidRPr="005E36DB">
        <w:rPr>
          <w:lang w:val="es-ES"/>
        </w:rPr>
        <w:t>017 de l</w:t>
      </w:r>
      <w:r w:rsidR="004F4E11" w:rsidRPr="005E36DB">
        <w:rPr>
          <w:lang w:val="es-ES"/>
        </w:rPr>
        <w:t>a 1</w:t>
      </w:r>
      <w:r w:rsidR="00764A7B" w:rsidRPr="005E36DB">
        <w:rPr>
          <w:lang w:val="es-ES"/>
        </w:rPr>
        <w:t xml:space="preserve">1ª edición de </w:t>
      </w:r>
      <w:r w:rsidR="007B44F0" w:rsidRPr="005E36DB">
        <w:rPr>
          <w:lang w:val="es-ES"/>
        </w:rPr>
        <w:t>la Clasificación de Niza (NCL11</w:t>
      </w:r>
      <w:r w:rsidR="007B44F0" w:rsidRPr="005E36DB">
        <w:rPr>
          <w:lang w:val="es-ES"/>
        </w:rPr>
        <w:noBreakHyphen/>
      </w:r>
      <w:r w:rsidR="00764A7B" w:rsidRPr="005E36DB">
        <w:rPr>
          <w:lang w:val="es-ES"/>
        </w:rPr>
        <w:t>2017), en lo</w:t>
      </w:r>
      <w:r w:rsidR="004F4E11" w:rsidRPr="005E36DB">
        <w:rPr>
          <w:lang w:val="es-ES"/>
        </w:rPr>
        <w:t>s 1</w:t>
      </w:r>
      <w:r w:rsidR="00764A7B" w:rsidRPr="005E36DB">
        <w:rPr>
          <w:lang w:val="es-ES"/>
        </w:rPr>
        <w:t>8 idiomas disponibles en Internet.</w:t>
      </w:r>
    </w:p>
    <w:p w:rsidR="008C7039" w:rsidRPr="005E36DB" w:rsidRDefault="008C7039" w:rsidP="008C7039">
      <w:pPr>
        <w:rPr>
          <w:lang w:val="es-ES"/>
        </w:rPr>
      </w:pPr>
    </w:p>
    <w:p w:rsidR="008C7039"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764A7B" w:rsidRPr="005E36DB">
        <w:rPr>
          <w:lang w:val="es-ES"/>
        </w:rPr>
        <w:t>Las notas explicativas de la Clasificación de Niza se pusieron en concordancia con l</w:t>
      </w:r>
      <w:r w:rsidR="004F4E11" w:rsidRPr="005E36DB">
        <w:rPr>
          <w:lang w:val="es-ES"/>
        </w:rPr>
        <w:t>a 1</w:t>
      </w:r>
      <w:r w:rsidR="00764A7B" w:rsidRPr="005E36DB">
        <w:rPr>
          <w:lang w:val="es-ES"/>
        </w:rPr>
        <w:t>1ª edición de la Clasificación de</w:t>
      </w:r>
      <w:r w:rsidR="00A5572C" w:rsidRPr="005E36DB">
        <w:rPr>
          <w:lang w:val="es-ES"/>
        </w:rPr>
        <w:t xml:space="preserve"> Niza en todos los idiomas del Gestor</w:t>
      </w:r>
      <w:r w:rsidR="00764A7B" w:rsidRPr="005E36DB">
        <w:rPr>
          <w:lang w:val="es-ES"/>
        </w:rPr>
        <w:t xml:space="preserve"> MGS, con lo que los solicitantes tienen acceso a directrices actualizadas para la clasificación de las marcas en su idioma nacional.</w:t>
      </w:r>
    </w:p>
    <w:p w:rsidR="008C7039" w:rsidRPr="005E36DB" w:rsidRDefault="008C7039" w:rsidP="008C7039">
      <w:pPr>
        <w:rPr>
          <w:lang w:val="es-ES"/>
        </w:rPr>
      </w:pPr>
    </w:p>
    <w:p w:rsidR="008C7039"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764A7B" w:rsidRPr="005E36DB">
        <w:rPr>
          <w:lang w:val="es-ES"/>
        </w:rPr>
        <w:t xml:space="preserve">El contenido de la </w:t>
      </w:r>
      <w:r w:rsidR="009762B8" w:rsidRPr="005E36DB">
        <w:rPr>
          <w:lang w:val="es-ES"/>
        </w:rPr>
        <w:t>Base de datos</w:t>
      </w:r>
      <w:r w:rsidR="00A5572C" w:rsidRPr="005E36DB">
        <w:rPr>
          <w:lang w:val="es-ES"/>
        </w:rPr>
        <w:t xml:space="preserve"> MGS</w:t>
      </w:r>
      <w:r w:rsidR="00764A7B" w:rsidRPr="005E36DB">
        <w:rPr>
          <w:lang w:val="es-ES"/>
        </w:rPr>
        <w:t xml:space="preserve"> se puso en </w:t>
      </w:r>
      <w:r w:rsidR="00984AB3" w:rsidRPr="005E36DB">
        <w:rPr>
          <w:lang w:val="es-ES"/>
        </w:rPr>
        <w:t>consonancia</w:t>
      </w:r>
      <w:r w:rsidR="00764A7B" w:rsidRPr="005E36DB">
        <w:rPr>
          <w:lang w:val="es-ES"/>
        </w:rPr>
        <w:t xml:space="preserve"> con la NCL11-2017 en su idioma principal, es decir, el inglés.  Como consecuencia de este ajuste, </w:t>
      </w:r>
      <w:r w:rsidR="005023E8" w:rsidRPr="005E36DB">
        <w:rPr>
          <w:lang w:val="es-ES"/>
        </w:rPr>
        <w:t>se han añadido más d</w:t>
      </w:r>
      <w:r w:rsidR="004F4E11" w:rsidRPr="005E36DB">
        <w:rPr>
          <w:lang w:val="es-ES"/>
        </w:rPr>
        <w:t>e 1</w:t>
      </w:r>
      <w:r w:rsidR="005023E8" w:rsidRPr="005E36DB">
        <w:rPr>
          <w:lang w:val="es-ES"/>
        </w:rPr>
        <w:t>.000 términos en inglés a la base de datos además de lo</w:t>
      </w:r>
      <w:r w:rsidR="004F4E11" w:rsidRPr="005E36DB">
        <w:rPr>
          <w:lang w:val="es-ES"/>
        </w:rPr>
        <w:t>s 3</w:t>
      </w:r>
      <w:r w:rsidR="005023E8" w:rsidRPr="005E36DB">
        <w:rPr>
          <w:lang w:val="es-ES"/>
        </w:rPr>
        <w:t>34 que se han añadido oficialmente a la NCL11-2017.  Eso</w:t>
      </w:r>
      <w:r w:rsidR="004F4E11" w:rsidRPr="005E36DB">
        <w:rPr>
          <w:lang w:val="es-ES"/>
        </w:rPr>
        <w:t>s 1</w:t>
      </w:r>
      <w:r w:rsidR="005023E8" w:rsidRPr="005E36DB">
        <w:rPr>
          <w:lang w:val="es-ES"/>
        </w:rPr>
        <w:t xml:space="preserve">.000 términos se han añadido a la Base de datos MGS con el fin de proporcionar </w:t>
      </w:r>
      <w:r w:rsidR="00984AB3" w:rsidRPr="005E36DB">
        <w:rPr>
          <w:lang w:val="es-ES"/>
        </w:rPr>
        <w:t>orientaciones</w:t>
      </w:r>
      <w:r w:rsidR="005023E8" w:rsidRPr="005E36DB">
        <w:rPr>
          <w:lang w:val="es-ES"/>
        </w:rPr>
        <w:t xml:space="preserve"> suplementarias a los solicitantes de </w:t>
      </w:r>
      <w:r w:rsidR="00984AB3" w:rsidRPr="005E36DB">
        <w:rPr>
          <w:lang w:val="es-ES"/>
        </w:rPr>
        <w:t>registros de marca</w:t>
      </w:r>
      <w:r w:rsidR="005023E8" w:rsidRPr="005E36DB">
        <w:rPr>
          <w:lang w:val="es-ES"/>
        </w:rPr>
        <w:t xml:space="preserve"> y a las Oficinas nacionales de P.I. y de dejar constancia de las prácticas de examen de la Oficina Internacional, expuesta</w:t>
      </w:r>
      <w:r w:rsidR="00F44E9E" w:rsidRPr="005E36DB">
        <w:rPr>
          <w:lang w:val="es-ES"/>
        </w:rPr>
        <w:t>s</w:t>
      </w:r>
      <w:r w:rsidR="005023E8" w:rsidRPr="005E36DB">
        <w:rPr>
          <w:lang w:val="es-ES"/>
        </w:rPr>
        <w:t xml:space="preserve"> en las “Directrices relativas a la clasificación de productos y servicios en las solicitudes internacionales”, publicadas en marzo d</w:t>
      </w:r>
      <w:r w:rsidR="004F4E11" w:rsidRPr="005E36DB">
        <w:rPr>
          <w:lang w:val="es-ES"/>
        </w:rPr>
        <w:t>e 2</w:t>
      </w:r>
      <w:r w:rsidR="005023E8" w:rsidRPr="005E36DB">
        <w:rPr>
          <w:lang w:val="es-ES"/>
        </w:rPr>
        <w:t>017.</w:t>
      </w:r>
    </w:p>
    <w:p w:rsidR="008C7039" w:rsidRPr="005E36DB" w:rsidRDefault="008C7039" w:rsidP="008C7039">
      <w:pPr>
        <w:pStyle w:val="ListParagraph"/>
        <w:ind w:left="0"/>
        <w:contextualSpacing/>
        <w:rPr>
          <w:lang w:val="es-ES"/>
        </w:rPr>
      </w:pPr>
    </w:p>
    <w:p w:rsidR="00911A6C"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5023E8" w:rsidRPr="005E36DB">
        <w:rPr>
          <w:lang w:val="es-ES"/>
        </w:rPr>
        <w:t xml:space="preserve">Con el fin de ofrecer </w:t>
      </w:r>
      <w:r w:rsidR="00984AB3" w:rsidRPr="005E36DB">
        <w:rPr>
          <w:lang w:val="es-ES"/>
        </w:rPr>
        <w:t xml:space="preserve">nuevas </w:t>
      </w:r>
      <w:r w:rsidR="005023E8" w:rsidRPr="005E36DB">
        <w:rPr>
          <w:lang w:val="es-ES"/>
        </w:rPr>
        <w:t>orientaci</w:t>
      </w:r>
      <w:r w:rsidR="00984AB3" w:rsidRPr="005E36DB">
        <w:rPr>
          <w:lang w:val="es-ES"/>
        </w:rPr>
        <w:t>ones</w:t>
      </w:r>
      <w:r w:rsidR="005023E8" w:rsidRPr="005E36DB">
        <w:rPr>
          <w:lang w:val="es-ES"/>
        </w:rPr>
        <w:t xml:space="preserve"> a los solicitantes de registros de marca y a las Oficinas nacionales de P.I., en febrero d</w:t>
      </w:r>
      <w:r w:rsidR="004F4E11" w:rsidRPr="005E36DB">
        <w:rPr>
          <w:lang w:val="es-ES"/>
        </w:rPr>
        <w:t>e 2</w:t>
      </w:r>
      <w:r w:rsidR="005023E8" w:rsidRPr="005E36DB">
        <w:rPr>
          <w:lang w:val="es-ES"/>
        </w:rPr>
        <w:t>017 se publicó en el sitio web de la OMPI</w:t>
      </w:r>
      <w:r w:rsidR="00984AB3" w:rsidRPr="005E36DB">
        <w:rPr>
          <w:lang w:val="es-ES"/>
        </w:rPr>
        <w:t xml:space="preserve">, en una sección sobre las novedades del Sistema de Madrid que lleva por título “NCL11-2017:  principales cambios y armonización con </w:t>
      </w:r>
      <w:r w:rsidR="00A5572C" w:rsidRPr="005E36DB">
        <w:rPr>
          <w:lang w:val="es-ES"/>
        </w:rPr>
        <w:t xml:space="preserve">el Gestor </w:t>
      </w:r>
      <w:r w:rsidR="00984AB3" w:rsidRPr="005E36DB">
        <w:rPr>
          <w:lang w:val="es-ES"/>
        </w:rPr>
        <w:t xml:space="preserve">MGS”, </w:t>
      </w:r>
      <w:r w:rsidR="005023E8" w:rsidRPr="005E36DB">
        <w:rPr>
          <w:lang w:val="es-ES"/>
        </w:rPr>
        <w:t>un documento en el que se reseñan los cambios principales introducidos por la NCL11-2017 (transfere</w:t>
      </w:r>
      <w:r w:rsidR="00984AB3" w:rsidRPr="005E36DB">
        <w:rPr>
          <w:lang w:val="es-ES"/>
        </w:rPr>
        <w:t>ncia</w:t>
      </w:r>
      <w:r w:rsidR="005023E8" w:rsidRPr="005E36DB">
        <w:rPr>
          <w:lang w:val="es-ES"/>
        </w:rPr>
        <w:t xml:space="preserve"> de </w:t>
      </w:r>
      <w:r w:rsidR="00984AB3" w:rsidRPr="005E36DB">
        <w:rPr>
          <w:lang w:val="es-ES"/>
        </w:rPr>
        <w:t>una clase a otra</w:t>
      </w:r>
      <w:r w:rsidR="005023E8" w:rsidRPr="005E36DB">
        <w:rPr>
          <w:lang w:val="es-ES"/>
        </w:rPr>
        <w:t xml:space="preserve">, supresiones y adiciones) así como las transferencias de clases que </w:t>
      </w:r>
      <w:r w:rsidR="00984AB3" w:rsidRPr="005E36DB">
        <w:rPr>
          <w:lang w:val="es-ES"/>
        </w:rPr>
        <w:t xml:space="preserve">se </w:t>
      </w:r>
      <w:r w:rsidR="005023E8" w:rsidRPr="005E36DB">
        <w:rPr>
          <w:lang w:val="es-ES"/>
        </w:rPr>
        <w:t xml:space="preserve">producen </w:t>
      </w:r>
      <w:r w:rsidR="00984AB3" w:rsidRPr="005E36DB">
        <w:rPr>
          <w:lang w:val="es-ES"/>
        </w:rPr>
        <w:t xml:space="preserve">como consecuencia </w:t>
      </w:r>
      <w:r w:rsidR="005023E8" w:rsidRPr="005E36DB">
        <w:rPr>
          <w:lang w:val="es-ES"/>
        </w:rPr>
        <w:t xml:space="preserve">en la </w:t>
      </w:r>
      <w:r w:rsidR="00984AB3" w:rsidRPr="005E36DB">
        <w:rPr>
          <w:lang w:val="es-ES"/>
        </w:rPr>
        <w:t>Base de datos MGS</w:t>
      </w:r>
      <w:r w:rsidR="00911A6C" w:rsidRPr="005E36DB">
        <w:rPr>
          <w:lang w:val="es-ES"/>
        </w:rPr>
        <w:t>.</w:t>
      </w:r>
    </w:p>
    <w:p w:rsidR="008C7039" w:rsidRPr="005E36DB" w:rsidRDefault="008C7039" w:rsidP="008C7039">
      <w:pPr>
        <w:rPr>
          <w:lang w:val="es-ES"/>
        </w:rPr>
      </w:pPr>
    </w:p>
    <w:p w:rsidR="008C7039" w:rsidRPr="005E36DB" w:rsidRDefault="008C7039" w:rsidP="008C7039">
      <w:pPr>
        <w:rPr>
          <w:lang w:val="es-ES"/>
        </w:rPr>
      </w:pPr>
    </w:p>
    <w:p w:rsidR="008C7039" w:rsidRPr="005E36DB" w:rsidRDefault="00764A7B" w:rsidP="007B44F0">
      <w:pPr>
        <w:keepNext/>
        <w:rPr>
          <w:lang w:val="es-ES"/>
        </w:rPr>
      </w:pPr>
      <w:r w:rsidRPr="005E36DB">
        <w:rPr>
          <w:lang w:val="es-ES"/>
        </w:rPr>
        <w:t>USO DE LA BASE DE DATOS MGS EN EL ENTORNO OPERATIVO DE LA OFICINA INTERNACIONAL</w:t>
      </w:r>
    </w:p>
    <w:p w:rsidR="008C7039" w:rsidRPr="005E36DB" w:rsidRDefault="008C7039" w:rsidP="007B44F0">
      <w:pPr>
        <w:keepNext/>
        <w:rPr>
          <w:lang w:val="es-ES"/>
        </w:rPr>
      </w:pPr>
    </w:p>
    <w:p w:rsidR="008C7039" w:rsidRPr="005E36DB" w:rsidRDefault="008C7039" w:rsidP="007B44F0">
      <w:pPr>
        <w:keepNext/>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84AB3" w:rsidRPr="005E36DB">
        <w:rPr>
          <w:lang w:val="es-ES"/>
        </w:rPr>
        <w:t>En julio d</w:t>
      </w:r>
      <w:r w:rsidR="004F4E11" w:rsidRPr="005E36DB">
        <w:rPr>
          <w:lang w:val="es-ES"/>
        </w:rPr>
        <w:t>e 2</w:t>
      </w:r>
      <w:r w:rsidR="00984AB3" w:rsidRPr="005E36DB">
        <w:rPr>
          <w:lang w:val="es-ES"/>
        </w:rPr>
        <w:t xml:space="preserve">016, la Base de datos MGS sustituyó a la base de datos de productos y servicios que funcionaba anteriormente con el fin de paliar las diferencias entre </w:t>
      </w:r>
      <w:r w:rsidR="00BD1A3B" w:rsidRPr="005E36DB">
        <w:rPr>
          <w:lang w:val="es-ES"/>
        </w:rPr>
        <w:t xml:space="preserve">los términos </w:t>
      </w:r>
      <w:r w:rsidR="00F44E9E" w:rsidRPr="005E36DB">
        <w:rPr>
          <w:lang w:val="es-ES"/>
        </w:rPr>
        <w:lastRenderedPageBreak/>
        <w:t xml:space="preserve">válidos </w:t>
      </w:r>
      <w:r w:rsidR="00BD1A3B" w:rsidRPr="005E36DB">
        <w:rPr>
          <w:lang w:val="es-ES"/>
        </w:rPr>
        <w:t>para</w:t>
      </w:r>
      <w:r w:rsidR="00984AB3" w:rsidRPr="005E36DB">
        <w:rPr>
          <w:lang w:val="es-ES"/>
        </w:rPr>
        <w:t xml:space="preserve"> la Oficina Internacional que se visualiza</w:t>
      </w:r>
      <w:r w:rsidR="00BD1A3B" w:rsidRPr="005E36DB">
        <w:rPr>
          <w:lang w:val="es-ES"/>
        </w:rPr>
        <w:t>n</w:t>
      </w:r>
      <w:r w:rsidR="00984AB3" w:rsidRPr="005E36DB">
        <w:rPr>
          <w:lang w:val="es-ES"/>
        </w:rPr>
        <w:t xml:space="preserve"> externamente en </w:t>
      </w:r>
      <w:r w:rsidR="00A5572C" w:rsidRPr="005E36DB">
        <w:rPr>
          <w:lang w:val="es-ES"/>
        </w:rPr>
        <w:t>e</w:t>
      </w:r>
      <w:r w:rsidR="00984AB3" w:rsidRPr="005E36DB">
        <w:rPr>
          <w:lang w:val="es-ES"/>
        </w:rPr>
        <w:t>l</w:t>
      </w:r>
      <w:r w:rsidR="00A5572C" w:rsidRPr="005E36DB">
        <w:rPr>
          <w:lang w:val="es-ES"/>
        </w:rPr>
        <w:t xml:space="preserve"> Gestor</w:t>
      </w:r>
      <w:r w:rsidR="00984AB3" w:rsidRPr="005E36DB">
        <w:rPr>
          <w:lang w:val="es-ES"/>
        </w:rPr>
        <w:t xml:space="preserve"> MGS </w:t>
      </w:r>
      <w:r w:rsidR="00BD1A3B" w:rsidRPr="005E36DB">
        <w:rPr>
          <w:lang w:val="es-ES"/>
        </w:rPr>
        <w:t>y los qu</w:t>
      </w:r>
      <w:r w:rsidR="00911A6C" w:rsidRPr="005E36DB">
        <w:rPr>
          <w:lang w:val="es-ES"/>
        </w:rPr>
        <w:t>e v</w:t>
      </w:r>
      <w:r w:rsidR="00984AB3" w:rsidRPr="005E36DB">
        <w:rPr>
          <w:lang w:val="es-ES"/>
        </w:rPr>
        <w:t>isualizan los examinadores de la Oficina Internacional en el entorno operativo interno.</w:t>
      </w:r>
    </w:p>
    <w:p w:rsidR="008C7039" w:rsidRPr="005E36DB" w:rsidRDefault="008C7039" w:rsidP="008C7039">
      <w:pPr>
        <w:rPr>
          <w:lang w:val="es-ES"/>
        </w:rPr>
      </w:pPr>
    </w:p>
    <w:p w:rsidR="008C7039"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84AB3" w:rsidRPr="005E36DB">
        <w:rPr>
          <w:lang w:val="es-ES"/>
        </w:rPr>
        <w:t>En marzo d</w:t>
      </w:r>
      <w:r w:rsidR="004F4E11" w:rsidRPr="005E36DB">
        <w:rPr>
          <w:lang w:val="es-ES"/>
        </w:rPr>
        <w:t>e 2</w:t>
      </w:r>
      <w:r w:rsidR="00984AB3" w:rsidRPr="005E36DB">
        <w:rPr>
          <w:lang w:val="es-ES"/>
        </w:rPr>
        <w:t xml:space="preserve">017, </w:t>
      </w:r>
      <w:r w:rsidR="00A5572C" w:rsidRPr="005E36DB">
        <w:rPr>
          <w:lang w:val="es-ES"/>
        </w:rPr>
        <w:t>e</w:t>
      </w:r>
      <w:r w:rsidR="00984AB3" w:rsidRPr="005E36DB">
        <w:rPr>
          <w:lang w:val="es-ES"/>
        </w:rPr>
        <w:t>l</w:t>
      </w:r>
      <w:r w:rsidR="00A5572C" w:rsidRPr="005E36DB">
        <w:rPr>
          <w:lang w:val="es-ES"/>
        </w:rPr>
        <w:t xml:space="preserve"> Gestor</w:t>
      </w:r>
      <w:r w:rsidR="00984AB3" w:rsidRPr="005E36DB">
        <w:rPr>
          <w:lang w:val="es-ES"/>
        </w:rPr>
        <w:t xml:space="preserve"> MGS contení</w:t>
      </w:r>
      <w:r w:rsidR="004F4E11" w:rsidRPr="005E36DB">
        <w:rPr>
          <w:lang w:val="es-ES"/>
        </w:rPr>
        <w:t>a 9</w:t>
      </w:r>
      <w:r w:rsidR="00984AB3" w:rsidRPr="005E36DB">
        <w:rPr>
          <w:lang w:val="es-ES"/>
        </w:rPr>
        <w:t xml:space="preserve">0.900 términos en inglés </w:t>
      </w:r>
      <w:r w:rsidR="00F44E9E" w:rsidRPr="005E36DB">
        <w:rPr>
          <w:lang w:val="es-ES"/>
        </w:rPr>
        <w:t>válidos</w:t>
      </w:r>
      <w:r w:rsidR="00984AB3" w:rsidRPr="005E36DB">
        <w:rPr>
          <w:lang w:val="es-ES"/>
        </w:rPr>
        <w:t xml:space="preserve"> para la Oficina Internacional </w:t>
      </w:r>
      <w:r w:rsidR="00BD1A3B" w:rsidRPr="005E36DB">
        <w:rPr>
          <w:lang w:val="es-ES"/>
        </w:rPr>
        <w:t xml:space="preserve">que se podían visualizar externamente en </w:t>
      </w:r>
      <w:r w:rsidR="00A5572C" w:rsidRPr="005E36DB">
        <w:rPr>
          <w:lang w:val="es-ES"/>
        </w:rPr>
        <w:t>e</w:t>
      </w:r>
      <w:r w:rsidR="00BD1A3B" w:rsidRPr="005E36DB">
        <w:rPr>
          <w:lang w:val="es-ES"/>
        </w:rPr>
        <w:t xml:space="preserve">l </w:t>
      </w:r>
      <w:r w:rsidR="00A5572C" w:rsidRPr="005E36DB">
        <w:rPr>
          <w:lang w:val="es-ES"/>
        </w:rPr>
        <w:t xml:space="preserve">Gestor </w:t>
      </w:r>
      <w:r w:rsidR="00BD1A3B" w:rsidRPr="005E36DB">
        <w:rPr>
          <w:lang w:val="es-ES"/>
        </w:rPr>
        <w:t>MGS e internamente en el entorno operativo.</w:t>
      </w:r>
    </w:p>
    <w:p w:rsidR="008C7039" w:rsidRPr="005E36DB" w:rsidRDefault="008C7039" w:rsidP="008C7039">
      <w:pPr>
        <w:rPr>
          <w:lang w:val="es-ES"/>
        </w:rPr>
      </w:pPr>
    </w:p>
    <w:p w:rsidR="008C7039"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BD1A3B" w:rsidRPr="005E36DB">
        <w:rPr>
          <w:lang w:val="es-ES"/>
        </w:rPr>
        <w:t>Lo</w:t>
      </w:r>
      <w:r w:rsidR="004F4E11" w:rsidRPr="005E36DB">
        <w:rPr>
          <w:lang w:val="es-ES"/>
        </w:rPr>
        <w:t>s 9</w:t>
      </w:r>
      <w:r w:rsidR="00BD1A3B" w:rsidRPr="005E36DB">
        <w:rPr>
          <w:lang w:val="es-ES"/>
        </w:rPr>
        <w:t>0.900 términos en inglés comprenden un primer grupo en el que figura</w:t>
      </w:r>
      <w:r w:rsidR="004F4E11" w:rsidRPr="005E36DB">
        <w:rPr>
          <w:lang w:val="es-ES"/>
        </w:rPr>
        <w:t>n 6</w:t>
      </w:r>
      <w:r w:rsidR="00BD1A3B" w:rsidRPr="005E36DB">
        <w:rPr>
          <w:lang w:val="es-ES"/>
        </w:rPr>
        <w:t>1.300 términos que se proponen en la lista de selecci</w:t>
      </w:r>
      <w:r w:rsidR="00A5572C" w:rsidRPr="005E36DB">
        <w:rPr>
          <w:lang w:val="es-ES"/>
        </w:rPr>
        <w:t>ón de</w:t>
      </w:r>
      <w:r w:rsidR="00BD1A3B" w:rsidRPr="005E36DB">
        <w:rPr>
          <w:lang w:val="es-ES"/>
        </w:rPr>
        <w:t>l</w:t>
      </w:r>
      <w:r w:rsidR="00A5572C" w:rsidRPr="005E36DB">
        <w:rPr>
          <w:lang w:val="es-ES"/>
        </w:rPr>
        <w:t xml:space="preserve"> Gestor</w:t>
      </w:r>
      <w:r w:rsidR="00BD1A3B" w:rsidRPr="005E36DB">
        <w:rPr>
          <w:lang w:val="es-ES"/>
        </w:rPr>
        <w:t xml:space="preserve"> MGS (resultados de las funciones de consulta y búsqueda) a los solicitantes de registros de marca que deseen compilar listas de productos y servicios a los fines de la presentación de solicitudes, y un segundo grupo en el que figura</w:t>
      </w:r>
      <w:r w:rsidR="004F4E11" w:rsidRPr="005E36DB">
        <w:rPr>
          <w:lang w:val="es-ES"/>
        </w:rPr>
        <w:t>n 2</w:t>
      </w:r>
      <w:r w:rsidR="00BD1A3B" w:rsidRPr="005E36DB">
        <w:rPr>
          <w:lang w:val="es-ES"/>
        </w:rPr>
        <w:t xml:space="preserve">9.600 términos que no se proponen en la lista de selección pero que figuran como </w:t>
      </w:r>
      <w:r w:rsidR="00F44E9E" w:rsidRPr="005E36DB">
        <w:rPr>
          <w:lang w:val="es-ES"/>
        </w:rPr>
        <w:t>válidos</w:t>
      </w:r>
      <w:r w:rsidR="00BD1A3B" w:rsidRPr="005E36DB">
        <w:rPr>
          <w:lang w:val="es-ES"/>
        </w:rPr>
        <w:t xml:space="preserve"> para la Oficina Internacional en la función “Verificar aceptación OMPI” a fin de reflejar exactamente las prácticas operacionales de examen aplicadas por los examinadores de la OMPI.</w:t>
      </w:r>
    </w:p>
    <w:p w:rsidR="008C7039" w:rsidRPr="005E36DB" w:rsidRDefault="008C7039" w:rsidP="008C7039">
      <w:pPr>
        <w:rPr>
          <w:lang w:val="es-ES"/>
        </w:rPr>
      </w:pPr>
    </w:p>
    <w:p w:rsidR="00911A6C" w:rsidRPr="005E36DB" w:rsidRDefault="008C7039" w:rsidP="008C7039">
      <w:pPr>
        <w:rPr>
          <w:szCs w:val="22"/>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BD1A3B" w:rsidRPr="005E36DB">
        <w:rPr>
          <w:szCs w:val="22"/>
          <w:lang w:val="es-ES"/>
        </w:rPr>
        <w:t xml:space="preserve">Los términos que no se proponen en la lista de selección </w:t>
      </w:r>
      <w:r w:rsidR="00A5572C" w:rsidRPr="005E36DB">
        <w:rPr>
          <w:szCs w:val="22"/>
          <w:lang w:val="es-ES"/>
        </w:rPr>
        <w:t>del Gestor</w:t>
      </w:r>
      <w:r w:rsidR="00BD1A3B" w:rsidRPr="005E36DB">
        <w:rPr>
          <w:szCs w:val="22"/>
          <w:lang w:val="es-ES"/>
        </w:rPr>
        <w:t xml:space="preserve"> MGS pero que se aceptan desde el punto de vista operativo si se presentan en una solicitud internacional pueden ser términos </w:t>
      </w:r>
      <w:r w:rsidR="00F44E9E" w:rsidRPr="005E36DB">
        <w:rPr>
          <w:szCs w:val="22"/>
          <w:lang w:val="es-ES"/>
        </w:rPr>
        <w:t>válidos</w:t>
      </w:r>
      <w:r w:rsidR="00BD1A3B" w:rsidRPr="005E36DB">
        <w:rPr>
          <w:szCs w:val="22"/>
          <w:lang w:val="es-ES"/>
        </w:rPr>
        <w:t xml:space="preserve"> en varias clases de conformidad con la flexibilidad en el examen explicada en las </w:t>
      </w:r>
      <w:r w:rsidR="00BD1A3B" w:rsidRPr="005E36DB">
        <w:rPr>
          <w:lang w:val="es-ES"/>
        </w:rPr>
        <w:t xml:space="preserve">“Directrices relativas a la clasificación de productos y servicios en las solicitudes internacionales” </w:t>
      </w:r>
      <w:r w:rsidR="00BD1A3B" w:rsidRPr="005E36DB">
        <w:rPr>
          <w:szCs w:val="22"/>
          <w:lang w:val="es-ES"/>
        </w:rPr>
        <w:t xml:space="preserve">de la Oficina Internacional.  Por ejemplo, </w:t>
      </w:r>
      <w:r w:rsidR="005F540D" w:rsidRPr="005E36DB">
        <w:rPr>
          <w:szCs w:val="22"/>
          <w:lang w:val="es-ES"/>
        </w:rPr>
        <w:t>la</w:t>
      </w:r>
      <w:r w:rsidR="00F44E9E" w:rsidRPr="005E36DB">
        <w:rPr>
          <w:szCs w:val="22"/>
          <w:lang w:val="es-ES"/>
        </w:rPr>
        <w:t xml:space="preserve"> Oficina Internacional dará por válida</w:t>
      </w:r>
      <w:r w:rsidR="005F540D" w:rsidRPr="005E36DB">
        <w:rPr>
          <w:szCs w:val="22"/>
          <w:lang w:val="es-ES"/>
        </w:rPr>
        <w:t xml:space="preserve">s </w:t>
      </w:r>
      <w:r w:rsidR="00F44E9E" w:rsidRPr="005E36DB">
        <w:rPr>
          <w:szCs w:val="22"/>
          <w:lang w:val="es-ES"/>
        </w:rPr>
        <w:t xml:space="preserve">las </w:t>
      </w:r>
      <w:r w:rsidR="005F540D" w:rsidRPr="005E36DB">
        <w:rPr>
          <w:szCs w:val="22"/>
          <w:lang w:val="es-ES"/>
        </w:rPr>
        <w:t>“etiquetas” en cinco clases distintas con arreglo a la NCL11-2017, a saber, las clase</w:t>
      </w:r>
      <w:r w:rsidR="004F4E11" w:rsidRPr="005E36DB">
        <w:rPr>
          <w:szCs w:val="22"/>
          <w:lang w:val="es-ES"/>
        </w:rPr>
        <w:t>s </w:t>
      </w:r>
      <w:r w:rsidR="004F4E11" w:rsidRPr="005E36DB">
        <w:rPr>
          <w:lang w:val="es-ES"/>
        </w:rPr>
        <w:t>0</w:t>
      </w:r>
      <w:r w:rsidR="005F540D" w:rsidRPr="005E36DB">
        <w:rPr>
          <w:lang w:val="es-ES"/>
        </w:rPr>
        <w:t xml:space="preserve">6, 16, 18, 20 </w:t>
      </w:r>
      <w:r w:rsidR="004F4E11" w:rsidRPr="005E36DB">
        <w:rPr>
          <w:lang w:val="es-ES"/>
        </w:rPr>
        <w:t>y 2</w:t>
      </w:r>
      <w:r w:rsidR="005F540D" w:rsidRPr="005E36DB">
        <w:rPr>
          <w:lang w:val="es-ES"/>
        </w:rPr>
        <w:t xml:space="preserve">4, teniendo en cuenta que en la clase se especifica además el término y dado que las etiquetas se hallan, mencionadas específicamente, en cinco clases distintas de la lista alfabética de la Clasificación de Niza </w:t>
      </w:r>
      <w:r w:rsidR="005F540D" w:rsidRPr="00855F65">
        <w:rPr>
          <w:szCs w:val="22"/>
          <w:lang w:val="es-ES"/>
        </w:rPr>
        <w:t>(</w:t>
      </w:r>
      <w:r w:rsidR="005F540D" w:rsidRPr="00855F65">
        <w:rPr>
          <w:rStyle w:val="nbase2"/>
          <w:color w:val="auto"/>
          <w:sz w:val="22"/>
          <w:szCs w:val="22"/>
          <w:lang w:val="es-ES"/>
        </w:rPr>
        <w:t xml:space="preserve">060465 </w:t>
      </w:r>
      <w:r w:rsidR="005F540D" w:rsidRPr="00855F65">
        <w:rPr>
          <w:szCs w:val="22"/>
          <w:lang w:val="es-ES"/>
        </w:rPr>
        <w:t xml:space="preserve">etiquetas de metal, </w:t>
      </w:r>
      <w:r w:rsidR="005F540D" w:rsidRPr="00855F65">
        <w:rPr>
          <w:rStyle w:val="nbase2"/>
          <w:color w:val="auto"/>
          <w:sz w:val="22"/>
          <w:szCs w:val="22"/>
          <w:lang w:val="es-ES"/>
        </w:rPr>
        <w:t xml:space="preserve">160308 </w:t>
      </w:r>
      <w:r w:rsidR="005F540D" w:rsidRPr="00855F65">
        <w:rPr>
          <w:szCs w:val="22"/>
          <w:lang w:val="es-ES"/>
        </w:rPr>
        <w:t xml:space="preserve">etiquetas de papel o cartón, </w:t>
      </w:r>
      <w:r w:rsidR="005F540D" w:rsidRPr="00855F65">
        <w:rPr>
          <w:rStyle w:val="nbase2"/>
          <w:color w:val="auto"/>
          <w:sz w:val="22"/>
          <w:szCs w:val="22"/>
          <w:lang w:val="es-ES"/>
        </w:rPr>
        <w:t xml:space="preserve">180130 </w:t>
      </w:r>
      <w:r w:rsidR="005F540D" w:rsidRPr="00855F65">
        <w:rPr>
          <w:szCs w:val="22"/>
          <w:lang w:val="es-ES"/>
        </w:rPr>
        <w:t xml:space="preserve">etiquetas de cuero, </w:t>
      </w:r>
      <w:r w:rsidR="005F540D" w:rsidRPr="00855F65">
        <w:rPr>
          <w:rStyle w:val="nbase2"/>
          <w:color w:val="auto"/>
          <w:sz w:val="22"/>
          <w:szCs w:val="22"/>
          <w:lang w:val="es-ES"/>
        </w:rPr>
        <w:t xml:space="preserve">200307 </w:t>
      </w:r>
      <w:r w:rsidR="005F540D" w:rsidRPr="00855F65">
        <w:rPr>
          <w:szCs w:val="22"/>
          <w:lang w:val="es-ES"/>
        </w:rPr>
        <w:t>etiquetas de plástic</w:t>
      </w:r>
      <w:r w:rsidR="00911A6C" w:rsidRPr="00855F65">
        <w:rPr>
          <w:szCs w:val="22"/>
          <w:lang w:val="es-ES"/>
        </w:rPr>
        <w:t xml:space="preserve">o </w:t>
      </w:r>
      <w:r w:rsidR="004F4E11" w:rsidRPr="00855F65">
        <w:rPr>
          <w:szCs w:val="22"/>
          <w:lang w:val="es-ES"/>
        </w:rPr>
        <w:t>y </w:t>
      </w:r>
      <w:r w:rsidR="004F4E11" w:rsidRPr="00855F65">
        <w:rPr>
          <w:rStyle w:val="nbase2"/>
          <w:color w:val="auto"/>
          <w:sz w:val="22"/>
          <w:szCs w:val="22"/>
          <w:lang w:val="es-ES"/>
        </w:rPr>
        <w:t>2</w:t>
      </w:r>
      <w:r w:rsidR="005F540D" w:rsidRPr="00855F65">
        <w:rPr>
          <w:rStyle w:val="nbase2"/>
          <w:color w:val="auto"/>
          <w:sz w:val="22"/>
          <w:szCs w:val="22"/>
          <w:lang w:val="es-ES"/>
        </w:rPr>
        <w:t xml:space="preserve">40102 </w:t>
      </w:r>
      <w:r w:rsidR="005F540D" w:rsidRPr="005E36DB">
        <w:rPr>
          <w:szCs w:val="22"/>
          <w:lang w:val="es-ES"/>
        </w:rPr>
        <w:t>etiquetas de tela)</w:t>
      </w:r>
      <w:r w:rsidR="00911A6C" w:rsidRPr="005E36DB">
        <w:rPr>
          <w:szCs w:val="22"/>
          <w:lang w:val="es-ES"/>
        </w:rPr>
        <w:t>.</w:t>
      </w:r>
    </w:p>
    <w:p w:rsidR="00607C24" w:rsidRPr="005E36DB" w:rsidRDefault="00607C24" w:rsidP="00073835">
      <w:pPr>
        <w:rPr>
          <w:lang w:val="es-ES"/>
        </w:rPr>
      </w:pPr>
    </w:p>
    <w:p w:rsidR="00364307" w:rsidRPr="005E36DB" w:rsidRDefault="00364307" w:rsidP="00073835">
      <w:pPr>
        <w:rPr>
          <w:lang w:val="es-ES"/>
        </w:rPr>
      </w:pPr>
    </w:p>
    <w:p w:rsidR="00607C24" w:rsidRPr="005E36DB" w:rsidRDefault="00607C24" w:rsidP="00607C24">
      <w:pPr>
        <w:rPr>
          <w:lang w:val="es-ES"/>
        </w:rPr>
      </w:pPr>
      <w:r w:rsidRPr="005E36DB">
        <w:rPr>
          <w:lang w:val="es-ES"/>
        </w:rPr>
        <w:t>COOPERA</w:t>
      </w:r>
      <w:r w:rsidR="003558C2" w:rsidRPr="005E36DB">
        <w:rPr>
          <w:lang w:val="es-ES"/>
        </w:rPr>
        <w:t>CIÓ</w:t>
      </w:r>
      <w:r w:rsidRPr="005E36DB">
        <w:rPr>
          <w:lang w:val="es-ES"/>
        </w:rPr>
        <w:t>N</w:t>
      </w:r>
    </w:p>
    <w:p w:rsidR="00985BDC" w:rsidRPr="005E36DB" w:rsidRDefault="00985BDC" w:rsidP="00607C24">
      <w:pPr>
        <w:rPr>
          <w:lang w:val="es-ES"/>
        </w:rPr>
      </w:pPr>
    </w:p>
    <w:p w:rsidR="00B93447" w:rsidRPr="005E36DB" w:rsidRDefault="008C7039" w:rsidP="008C7039">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t>La OMPI coopera con varias Oficinas nacionales y regionales de P.I. que comparten información sobre la aceptación de descripciones de productos y servicios presentes en la Base de datos MGS.</w:t>
      </w:r>
    </w:p>
    <w:p w:rsidR="00B93447" w:rsidRPr="005E36DB" w:rsidRDefault="00B93447" w:rsidP="00CE303A">
      <w:pPr>
        <w:rPr>
          <w:lang w:val="es-ES"/>
        </w:rPr>
      </w:pPr>
    </w:p>
    <w:p w:rsidR="00B93447" w:rsidRPr="005E36DB" w:rsidRDefault="008C7039" w:rsidP="008C7039">
      <w:pPr>
        <w:tabs>
          <w:tab w:val="left" w:pos="540"/>
        </w:tabs>
        <w:rPr>
          <w:szCs w:val="22"/>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B93447" w:rsidRPr="005E36DB">
        <w:rPr>
          <w:lang w:val="es-ES"/>
        </w:rPr>
        <w:t xml:space="preserve">La información sobre </w:t>
      </w:r>
      <w:r w:rsidR="00F44E9E" w:rsidRPr="005E36DB">
        <w:rPr>
          <w:lang w:val="es-ES"/>
        </w:rPr>
        <w:t xml:space="preserve">la </w:t>
      </w:r>
      <w:r w:rsidR="00B93447" w:rsidRPr="005E36DB">
        <w:rPr>
          <w:lang w:val="es-ES"/>
        </w:rPr>
        <w:t xml:space="preserve">aceptación proporcionada por </w:t>
      </w:r>
      <w:r w:rsidR="00AE0675" w:rsidRPr="005E36DB">
        <w:rPr>
          <w:lang w:val="es-ES"/>
        </w:rPr>
        <w:t>los países que participan en la Base de datos</w:t>
      </w:r>
      <w:r w:rsidR="00657ABC" w:rsidRPr="005E36DB">
        <w:rPr>
          <w:lang w:val="es-ES"/>
        </w:rPr>
        <w:t xml:space="preserve"> </w:t>
      </w:r>
      <w:r w:rsidR="00B93447" w:rsidRPr="005E36DB">
        <w:rPr>
          <w:lang w:val="es-ES"/>
        </w:rPr>
        <w:t>MGS se utiliza e</w:t>
      </w:r>
      <w:r w:rsidR="00B93447" w:rsidRPr="005E36DB">
        <w:rPr>
          <w:szCs w:val="22"/>
          <w:lang w:val="es-ES"/>
        </w:rPr>
        <w:t xml:space="preserve">n la función exclusiva de la OMPI </w:t>
      </w:r>
      <w:r w:rsidR="00CB4CD5" w:rsidRPr="005E36DB">
        <w:rPr>
          <w:szCs w:val="22"/>
          <w:lang w:val="es-ES"/>
        </w:rPr>
        <w:t xml:space="preserve">denominada </w:t>
      </w:r>
      <w:r w:rsidR="00B93447" w:rsidRPr="005E36DB">
        <w:rPr>
          <w:szCs w:val="22"/>
          <w:lang w:val="es-ES"/>
        </w:rPr>
        <w:t>“</w:t>
      </w:r>
      <w:r w:rsidR="00B93447" w:rsidRPr="005E36DB">
        <w:rPr>
          <w:rFonts w:eastAsia="Times New Roman"/>
          <w:szCs w:val="22"/>
          <w:lang w:val="es-ES" w:eastAsia="en-US"/>
        </w:rPr>
        <w:t xml:space="preserve">Verificar aceptación por la Parte Contratante designada </w:t>
      </w:r>
      <w:r w:rsidR="00B93447" w:rsidRPr="005E36DB">
        <w:rPr>
          <w:bCs/>
          <w:szCs w:val="22"/>
          <w:lang w:val="es-ES"/>
        </w:rPr>
        <w:t>(</w:t>
      </w:r>
      <w:proofErr w:type="spellStart"/>
      <w:r w:rsidR="00EA78B4" w:rsidRPr="005E36DB">
        <w:rPr>
          <w:bCs/>
          <w:szCs w:val="22"/>
          <w:lang w:val="es-ES"/>
        </w:rPr>
        <w:t>PCd</w:t>
      </w:r>
      <w:proofErr w:type="spellEnd"/>
      <w:r w:rsidR="00B93447" w:rsidRPr="005E36DB">
        <w:rPr>
          <w:szCs w:val="22"/>
          <w:lang w:val="es-ES"/>
        </w:rPr>
        <w:t>)</w:t>
      </w:r>
      <w:r w:rsidR="00B93447" w:rsidRPr="005E36DB">
        <w:rPr>
          <w:rFonts w:eastAsia="Times New Roman"/>
          <w:szCs w:val="22"/>
          <w:lang w:val="es-ES" w:eastAsia="en-US"/>
        </w:rPr>
        <w:t>”</w:t>
      </w:r>
      <w:r w:rsidR="00B93447" w:rsidRPr="005E36DB">
        <w:rPr>
          <w:szCs w:val="22"/>
          <w:lang w:val="es-ES"/>
        </w:rPr>
        <w:t xml:space="preserve">.  Esa función permite al solicitante de registro de una marca saber no solo </w:t>
      </w:r>
      <w:r w:rsidR="001314C0" w:rsidRPr="005E36DB">
        <w:rPr>
          <w:szCs w:val="22"/>
          <w:lang w:val="es-ES"/>
        </w:rPr>
        <w:t>si</w:t>
      </w:r>
      <w:r w:rsidR="00B93447" w:rsidRPr="005E36DB">
        <w:rPr>
          <w:szCs w:val="22"/>
          <w:lang w:val="es-ES"/>
        </w:rPr>
        <w:t xml:space="preserve"> un término aceptado por la Oficina Internacional será aceptado en una Parte Contratante designada, sino también, lo que es sumamente importante, que </w:t>
      </w:r>
      <w:r w:rsidR="005F540D" w:rsidRPr="005E36DB">
        <w:rPr>
          <w:szCs w:val="22"/>
          <w:lang w:val="es-ES"/>
        </w:rPr>
        <w:t>algunos</w:t>
      </w:r>
      <w:r w:rsidR="00B93447" w:rsidRPr="005E36DB">
        <w:rPr>
          <w:szCs w:val="22"/>
          <w:lang w:val="es-ES"/>
        </w:rPr>
        <w:t xml:space="preserve"> términos pueden ser rechazados por determinadas Partes Contratantes, </w:t>
      </w:r>
      <w:r w:rsidR="005F540D" w:rsidRPr="005E36DB">
        <w:rPr>
          <w:szCs w:val="22"/>
          <w:lang w:val="es-ES"/>
        </w:rPr>
        <w:t xml:space="preserve">lo que puede dar lugar </w:t>
      </w:r>
      <w:r w:rsidR="00B93447" w:rsidRPr="005E36DB">
        <w:rPr>
          <w:szCs w:val="22"/>
          <w:lang w:val="es-ES"/>
        </w:rPr>
        <w:t>a la comunicación de una denegación provisional por esa Parte Contratante.</w:t>
      </w:r>
    </w:p>
    <w:p w:rsidR="00B93447" w:rsidRPr="005E36DB" w:rsidRDefault="00B93447" w:rsidP="00CE303A">
      <w:pPr>
        <w:rPr>
          <w:lang w:val="es-ES"/>
        </w:rPr>
      </w:pPr>
    </w:p>
    <w:p w:rsidR="008C7039" w:rsidRPr="005E36DB" w:rsidRDefault="008C7039" w:rsidP="00CE303A">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Pr="005E36DB">
        <w:rPr>
          <w:szCs w:val="22"/>
          <w:lang w:val="es-ES"/>
        </w:rPr>
        <w:t>D</w:t>
      </w:r>
      <w:r w:rsidR="00B93447" w:rsidRPr="005E36DB">
        <w:rPr>
          <w:szCs w:val="22"/>
          <w:lang w:val="es-ES"/>
        </w:rPr>
        <w:t>ebido al alcance mundial del Sistema de Madrid, y si bien la</w:t>
      </w:r>
      <w:r w:rsidR="001314C0" w:rsidRPr="005E36DB">
        <w:rPr>
          <w:szCs w:val="22"/>
          <w:lang w:val="es-ES"/>
        </w:rPr>
        <w:t xml:space="preserve"> utilización cada vez mayor del </w:t>
      </w:r>
      <w:r w:rsidR="00657ABC" w:rsidRPr="005E36DB">
        <w:rPr>
          <w:szCs w:val="22"/>
          <w:lang w:val="es-ES"/>
        </w:rPr>
        <w:t xml:space="preserve">Gestor </w:t>
      </w:r>
      <w:r w:rsidR="00B93447" w:rsidRPr="005E36DB">
        <w:rPr>
          <w:szCs w:val="22"/>
          <w:lang w:val="es-ES"/>
        </w:rPr>
        <w:t>MGS debería facilitar con el tiempo la armonización entre los Estados miembros de las prácticas sobre clasificación de las marcas, existen motivos por los que algunos términos no serán aceptados en todas las Partes Contratantes que pueden designarse en el marco del Sistema de Madrid</w:t>
      </w:r>
      <w:r w:rsidR="005F540D" w:rsidRPr="005E36DB">
        <w:rPr>
          <w:szCs w:val="22"/>
          <w:lang w:val="es-ES"/>
        </w:rPr>
        <w:t>.  Entre dichos motivos figuran</w:t>
      </w:r>
      <w:r w:rsidR="00B93447" w:rsidRPr="005E36DB">
        <w:rPr>
          <w:szCs w:val="22"/>
          <w:lang w:val="es-ES"/>
        </w:rPr>
        <w:t xml:space="preserve">, por ejemplo, </w:t>
      </w:r>
      <w:r w:rsidR="008A5AAC" w:rsidRPr="005E36DB">
        <w:rPr>
          <w:szCs w:val="22"/>
          <w:lang w:val="es-ES"/>
        </w:rPr>
        <w:t xml:space="preserve">los </w:t>
      </w:r>
      <w:r w:rsidR="00B93447" w:rsidRPr="005E36DB">
        <w:rPr>
          <w:szCs w:val="22"/>
          <w:lang w:val="es-ES"/>
        </w:rPr>
        <w:t xml:space="preserve">requisitos </w:t>
      </w:r>
      <w:r w:rsidR="005F540D" w:rsidRPr="005E36DB">
        <w:rPr>
          <w:szCs w:val="22"/>
          <w:lang w:val="es-ES"/>
        </w:rPr>
        <w:t xml:space="preserve">existentes en algunas jurisdicciones </w:t>
      </w:r>
      <w:r w:rsidR="00B93447" w:rsidRPr="005E36DB">
        <w:rPr>
          <w:szCs w:val="22"/>
          <w:lang w:val="es-ES"/>
        </w:rPr>
        <w:t xml:space="preserve">en cuanto a la especificidad de la descripción de los productos y servicios, o la vigencia de normas </w:t>
      </w:r>
      <w:r w:rsidR="005F540D" w:rsidRPr="005E36DB">
        <w:rPr>
          <w:szCs w:val="22"/>
          <w:lang w:val="es-ES"/>
        </w:rPr>
        <w:t xml:space="preserve">o prácticas </w:t>
      </w:r>
      <w:r w:rsidR="00B93447" w:rsidRPr="005E36DB">
        <w:rPr>
          <w:szCs w:val="22"/>
          <w:lang w:val="es-ES"/>
        </w:rPr>
        <w:t xml:space="preserve">nacionales específicas que </w:t>
      </w:r>
      <w:r w:rsidR="00B93447" w:rsidRPr="005E36DB">
        <w:rPr>
          <w:lang w:val="es-ES"/>
        </w:rPr>
        <w:t>prohíben el uso de determinados términos</w:t>
      </w:r>
      <w:r w:rsidR="005F540D" w:rsidRPr="005E36DB">
        <w:rPr>
          <w:lang w:val="es-ES"/>
        </w:rPr>
        <w:t xml:space="preserve"> (por ejemplo, </w:t>
      </w:r>
      <w:r w:rsidR="001816F6" w:rsidRPr="005E36DB">
        <w:rPr>
          <w:lang w:val="es-ES"/>
        </w:rPr>
        <w:t xml:space="preserve">las </w:t>
      </w:r>
      <w:r w:rsidR="005F540D" w:rsidRPr="005E36DB">
        <w:rPr>
          <w:lang w:val="es-ES"/>
        </w:rPr>
        <w:t xml:space="preserve">prácticas relativas a la presentación de solicitudes de registro de indicaciones geográficas o </w:t>
      </w:r>
      <w:r w:rsidR="00A5572C" w:rsidRPr="005E36DB">
        <w:rPr>
          <w:lang w:val="es-ES"/>
        </w:rPr>
        <w:t xml:space="preserve">de </w:t>
      </w:r>
      <w:r w:rsidR="005F540D" w:rsidRPr="005E36DB">
        <w:rPr>
          <w:lang w:val="es-ES"/>
        </w:rPr>
        <w:t>marcas registradas)</w:t>
      </w:r>
      <w:r w:rsidR="00B93447" w:rsidRPr="005E36DB">
        <w:rPr>
          <w:lang w:val="es-ES"/>
        </w:rPr>
        <w:t>.</w:t>
      </w:r>
    </w:p>
    <w:p w:rsidR="000C78D1" w:rsidRPr="005E36DB" w:rsidRDefault="000C78D1" w:rsidP="00CE303A">
      <w:pPr>
        <w:rPr>
          <w:lang w:val="es-ES"/>
        </w:rPr>
      </w:pPr>
    </w:p>
    <w:p w:rsidR="00B93447" w:rsidRPr="005E36DB" w:rsidRDefault="000C78D1" w:rsidP="00CE303A">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A5572C" w:rsidRPr="005E36DB">
        <w:rPr>
          <w:lang w:val="es-ES"/>
        </w:rPr>
        <w:t>Entre junio d</w:t>
      </w:r>
      <w:r w:rsidR="004F4E11" w:rsidRPr="005E36DB">
        <w:rPr>
          <w:lang w:val="es-ES"/>
        </w:rPr>
        <w:t>e 2</w:t>
      </w:r>
      <w:r w:rsidR="00A5572C" w:rsidRPr="005E36DB">
        <w:rPr>
          <w:lang w:val="es-ES"/>
        </w:rPr>
        <w:t>016 y mayo d</w:t>
      </w:r>
      <w:r w:rsidR="004F4E11" w:rsidRPr="005E36DB">
        <w:rPr>
          <w:lang w:val="es-ES"/>
        </w:rPr>
        <w:t>e 2</w:t>
      </w:r>
      <w:r w:rsidR="00A5572C" w:rsidRPr="005E36DB">
        <w:rPr>
          <w:lang w:val="es-ES"/>
        </w:rPr>
        <w:t>017, seis nuevos países se añadieron a la list</w:t>
      </w:r>
      <w:r w:rsidR="00AE0675" w:rsidRPr="005E36DB">
        <w:rPr>
          <w:lang w:val="es-ES"/>
        </w:rPr>
        <w:t xml:space="preserve">a de países participantes en la Base de datos </w:t>
      </w:r>
      <w:r w:rsidR="00A5572C" w:rsidRPr="005E36DB">
        <w:rPr>
          <w:lang w:val="es-ES"/>
        </w:rPr>
        <w:t xml:space="preserve">MGS, con lo que se eleva </w:t>
      </w:r>
      <w:r w:rsidR="004F4E11" w:rsidRPr="005E36DB">
        <w:rPr>
          <w:lang w:val="es-ES"/>
        </w:rPr>
        <w:t>a 3</w:t>
      </w:r>
      <w:r w:rsidR="00A5572C" w:rsidRPr="005E36DB">
        <w:rPr>
          <w:lang w:val="es-ES"/>
        </w:rPr>
        <w:t>3 el número de Partes Contratantes del Sistema de Madrid que publican información sobre la aceptación.</w:t>
      </w:r>
    </w:p>
    <w:p w:rsidR="008C7039" w:rsidRPr="005E36DB" w:rsidRDefault="008C7039" w:rsidP="00CE303A">
      <w:pPr>
        <w:rPr>
          <w:lang w:val="es-ES"/>
        </w:rPr>
      </w:pPr>
    </w:p>
    <w:p w:rsidR="00B93447" w:rsidRPr="005E36DB" w:rsidRDefault="008C7039" w:rsidP="008C7039">
      <w:pPr>
        <w:rPr>
          <w:lang w:val="es-ES"/>
        </w:rPr>
      </w:pPr>
      <w:r w:rsidRPr="005E36DB">
        <w:rPr>
          <w:lang w:val="es-ES"/>
        </w:rPr>
        <w:lastRenderedPageBreak/>
        <w:fldChar w:fldCharType="begin"/>
      </w:r>
      <w:r w:rsidRPr="005E36DB">
        <w:rPr>
          <w:lang w:val="es-ES"/>
        </w:rPr>
        <w:instrText xml:space="preserve"> AUTONUM  </w:instrText>
      </w:r>
      <w:r w:rsidRPr="005E36DB">
        <w:rPr>
          <w:lang w:val="es-ES"/>
        </w:rPr>
        <w:fldChar w:fldCharType="end"/>
      </w:r>
      <w:r w:rsidRPr="005E36DB">
        <w:rPr>
          <w:lang w:val="es-ES"/>
        </w:rPr>
        <w:tab/>
      </w:r>
      <w:r w:rsidR="00B93447" w:rsidRPr="005E36DB">
        <w:rPr>
          <w:lang w:val="es-ES"/>
        </w:rPr>
        <w:t xml:space="preserve">Los </w:t>
      </w:r>
      <w:r w:rsidR="00A5572C" w:rsidRPr="005E36DB">
        <w:rPr>
          <w:lang w:val="es-ES"/>
        </w:rPr>
        <w:t>seis</w:t>
      </w:r>
      <w:r w:rsidR="00B93447" w:rsidRPr="005E36DB">
        <w:rPr>
          <w:lang w:val="es-ES"/>
        </w:rPr>
        <w:t xml:space="preserve"> nuevos países participantes para los cuales la información sobre aceptación se puso a disposición en la función del </w:t>
      </w:r>
      <w:r w:rsidR="00657ABC" w:rsidRPr="005E36DB">
        <w:rPr>
          <w:lang w:val="es-ES"/>
        </w:rPr>
        <w:t xml:space="preserve">Gestor </w:t>
      </w:r>
      <w:r w:rsidR="00B93447" w:rsidRPr="005E36DB">
        <w:rPr>
          <w:lang w:val="es-ES"/>
        </w:rPr>
        <w:t xml:space="preserve">MGS </w:t>
      </w:r>
      <w:r w:rsidR="00B93447" w:rsidRPr="005E36DB">
        <w:rPr>
          <w:szCs w:val="22"/>
          <w:lang w:val="es-ES"/>
        </w:rPr>
        <w:t>“</w:t>
      </w:r>
      <w:r w:rsidR="00B93447" w:rsidRPr="005E36DB">
        <w:rPr>
          <w:rFonts w:eastAsia="Times New Roman"/>
          <w:szCs w:val="22"/>
          <w:lang w:val="es-ES" w:eastAsia="en-US"/>
        </w:rPr>
        <w:t>Verificar aceptación por la Parte Contratante designada</w:t>
      </w:r>
      <w:r w:rsidR="00B93447" w:rsidRPr="005E36DB">
        <w:rPr>
          <w:bCs/>
          <w:szCs w:val="22"/>
          <w:lang w:val="es-ES"/>
        </w:rPr>
        <w:t xml:space="preserve"> (</w:t>
      </w:r>
      <w:proofErr w:type="spellStart"/>
      <w:r w:rsidR="00EA78B4" w:rsidRPr="005E36DB">
        <w:rPr>
          <w:bCs/>
          <w:szCs w:val="22"/>
          <w:lang w:val="es-ES"/>
        </w:rPr>
        <w:t>PCd</w:t>
      </w:r>
      <w:proofErr w:type="spellEnd"/>
      <w:r w:rsidR="00B93447" w:rsidRPr="005E36DB">
        <w:rPr>
          <w:szCs w:val="22"/>
          <w:lang w:val="es-ES"/>
        </w:rPr>
        <w:t>)”</w:t>
      </w:r>
      <w:r w:rsidR="00B93447" w:rsidRPr="005E36DB">
        <w:rPr>
          <w:lang w:val="es-ES"/>
        </w:rPr>
        <w:t xml:space="preserve"> son los siguientes:</w:t>
      </w:r>
    </w:p>
    <w:p w:rsidR="00B93447" w:rsidRPr="005E36DB" w:rsidRDefault="00B93447" w:rsidP="00CE303A">
      <w:pPr>
        <w:rPr>
          <w:lang w:val="es-ES"/>
        </w:rPr>
      </w:pPr>
    </w:p>
    <w:p w:rsidR="00A5572C" w:rsidRPr="005E36DB" w:rsidRDefault="00A5572C" w:rsidP="00A5572C">
      <w:pPr>
        <w:pStyle w:val="ListParagraph"/>
        <w:numPr>
          <w:ilvl w:val="0"/>
          <w:numId w:val="19"/>
        </w:numPr>
        <w:ind w:left="1134" w:hanging="567"/>
        <w:rPr>
          <w:lang w:val="es-ES"/>
        </w:rPr>
      </w:pPr>
      <w:r w:rsidRPr="005E36DB">
        <w:rPr>
          <w:lang w:val="es-ES"/>
        </w:rPr>
        <w:t>Brunei Darussalam (BN) ‒ marzo d</w:t>
      </w:r>
      <w:r w:rsidR="004F4E11" w:rsidRPr="005E36DB">
        <w:rPr>
          <w:lang w:val="es-ES"/>
        </w:rPr>
        <w:t>e 2</w:t>
      </w:r>
      <w:r w:rsidRPr="005E36DB">
        <w:rPr>
          <w:lang w:val="es-ES"/>
        </w:rPr>
        <w:t>017</w:t>
      </w:r>
    </w:p>
    <w:p w:rsidR="00A5572C" w:rsidRPr="005E36DB" w:rsidRDefault="00A5572C" w:rsidP="00A5572C">
      <w:pPr>
        <w:pStyle w:val="ListParagraph"/>
        <w:numPr>
          <w:ilvl w:val="0"/>
          <w:numId w:val="19"/>
        </w:numPr>
        <w:ind w:left="1134" w:hanging="567"/>
        <w:rPr>
          <w:lang w:val="es-ES"/>
        </w:rPr>
      </w:pPr>
      <w:r w:rsidRPr="005E36DB">
        <w:rPr>
          <w:lang w:val="es-ES"/>
        </w:rPr>
        <w:t>Canadá</w:t>
      </w:r>
      <w:r w:rsidRPr="005E36DB">
        <w:rPr>
          <w:rStyle w:val="FootnoteReference"/>
          <w:lang w:val="es-ES"/>
        </w:rPr>
        <w:footnoteReference w:id="2"/>
      </w:r>
      <w:r w:rsidRPr="005E36DB">
        <w:rPr>
          <w:lang w:val="es-ES"/>
        </w:rPr>
        <w:t xml:space="preserve"> (en proceso de </w:t>
      </w:r>
      <w:r w:rsidR="00F94147" w:rsidRPr="005E36DB">
        <w:rPr>
          <w:lang w:val="es-ES"/>
        </w:rPr>
        <w:t>adhesión</w:t>
      </w:r>
      <w:r w:rsidRPr="005E36DB">
        <w:rPr>
          <w:lang w:val="es-ES"/>
        </w:rPr>
        <w:t xml:space="preserve"> al Sistema de Madrid) – enero d</w:t>
      </w:r>
      <w:r w:rsidR="004F4E11" w:rsidRPr="005E36DB">
        <w:rPr>
          <w:lang w:val="es-ES"/>
        </w:rPr>
        <w:t>e 2</w:t>
      </w:r>
      <w:r w:rsidRPr="005E36DB">
        <w:rPr>
          <w:lang w:val="es-ES"/>
        </w:rPr>
        <w:t>017</w:t>
      </w:r>
    </w:p>
    <w:p w:rsidR="00A5572C" w:rsidRPr="005E36DB" w:rsidRDefault="00A5572C" w:rsidP="00A5572C">
      <w:pPr>
        <w:pStyle w:val="ListParagraph"/>
        <w:numPr>
          <w:ilvl w:val="0"/>
          <w:numId w:val="19"/>
        </w:numPr>
        <w:ind w:left="1134" w:hanging="567"/>
        <w:rPr>
          <w:lang w:val="es-ES"/>
        </w:rPr>
      </w:pPr>
      <w:r w:rsidRPr="005E36DB">
        <w:rPr>
          <w:lang w:val="es-ES"/>
        </w:rPr>
        <w:t>Georgia (GE) ‒ marzo d</w:t>
      </w:r>
      <w:r w:rsidR="004F4E11" w:rsidRPr="005E36DB">
        <w:rPr>
          <w:lang w:val="es-ES"/>
        </w:rPr>
        <w:t>e 2</w:t>
      </w:r>
      <w:r w:rsidRPr="005E36DB">
        <w:rPr>
          <w:lang w:val="es-ES"/>
        </w:rPr>
        <w:t>017</w:t>
      </w:r>
    </w:p>
    <w:p w:rsidR="00A5572C" w:rsidRPr="005E36DB" w:rsidRDefault="00A5572C" w:rsidP="00A5572C">
      <w:pPr>
        <w:pStyle w:val="ListParagraph"/>
        <w:numPr>
          <w:ilvl w:val="0"/>
          <w:numId w:val="19"/>
        </w:numPr>
        <w:ind w:left="1134" w:hanging="567"/>
        <w:rPr>
          <w:lang w:val="es-ES"/>
        </w:rPr>
      </w:pPr>
      <w:r w:rsidRPr="005E36DB">
        <w:rPr>
          <w:lang w:val="es-ES"/>
        </w:rPr>
        <w:t>Islandia (IS) ‒ febrero d</w:t>
      </w:r>
      <w:r w:rsidR="004F4E11" w:rsidRPr="005E36DB">
        <w:rPr>
          <w:lang w:val="es-ES"/>
        </w:rPr>
        <w:t>e 2</w:t>
      </w:r>
      <w:r w:rsidRPr="005E36DB">
        <w:rPr>
          <w:lang w:val="es-ES"/>
        </w:rPr>
        <w:t>017</w:t>
      </w:r>
    </w:p>
    <w:p w:rsidR="00A5572C" w:rsidRPr="005E36DB" w:rsidRDefault="00A5572C" w:rsidP="00A5572C">
      <w:pPr>
        <w:pStyle w:val="ListParagraph"/>
        <w:numPr>
          <w:ilvl w:val="0"/>
          <w:numId w:val="19"/>
        </w:numPr>
        <w:ind w:left="1134" w:hanging="567"/>
        <w:rPr>
          <w:lang w:val="es-ES"/>
        </w:rPr>
      </w:pPr>
      <w:r w:rsidRPr="005E36DB">
        <w:rPr>
          <w:lang w:val="es-ES"/>
        </w:rPr>
        <w:t>Nueva Zelandia(NZ) ‒ julio d</w:t>
      </w:r>
      <w:r w:rsidR="004F4E11" w:rsidRPr="005E36DB">
        <w:rPr>
          <w:lang w:val="es-ES"/>
        </w:rPr>
        <w:t>e 2</w:t>
      </w:r>
      <w:r w:rsidRPr="005E36DB">
        <w:rPr>
          <w:lang w:val="es-ES"/>
        </w:rPr>
        <w:t>016</w:t>
      </w:r>
    </w:p>
    <w:p w:rsidR="00A5572C" w:rsidRPr="005E36DB" w:rsidRDefault="00855F65" w:rsidP="00A5572C">
      <w:pPr>
        <w:pStyle w:val="ListParagraph"/>
        <w:numPr>
          <w:ilvl w:val="0"/>
          <w:numId w:val="19"/>
        </w:numPr>
        <w:ind w:left="1134" w:hanging="567"/>
        <w:rPr>
          <w:lang w:val="es-ES"/>
        </w:rPr>
      </w:pPr>
      <w:proofErr w:type="spellStart"/>
      <w:r>
        <w:rPr>
          <w:lang w:val="es-ES"/>
        </w:rPr>
        <w:t>Viet</w:t>
      </w:r>
      <w:proofErr w:type="spellEnd"/>
      <w:r>
        <w:rPr>
          <w:lang w:val="es-ES"/>
        </w:rPr>
        <w:t xml:space="preserve"> </w:t>
      </w:r>
      <w:proofErr w:type="spellStart"/>
      <w:r>
        <w:rPr>
          <w:lang w:val="es-ES"/>
        </w:rPr>
        <w:t>Nam</w:t>
      </w:r>
      <w:proofErr w:type="spellEnd"/>
      <w:r>
        <w:rPr>
          <w:lang w:val="es-ES"/>
        </w:rPr>
        <w:t xml:space="preserve"> </w:t>
      </w:r>
      <w:r w:rsidR="00A5572C" w:rsidRPr="005E36DB">
        <w:rPr>
          <w:lang w:val="es-ES"/>
        </w:rPr>
        <w:t>(VN) ‒ marzo d</w:t>
      </w:r>
      <w:r w:rsidR="004F4E11" w:rsidRPr="005E36DB">
        <w:rPr>
          <w:lang w:val="es-ES"/>
        </w:rPr>
        <w:t>e 2</w:t>
      </w:r>
      <w:r w:rsidR="00A5572C" w:rsidRPr="005E36DB">
        <w:rPr>
          <w:lang w:val="es-ES"/>
        </w:rPr>
        <w:t>017</w:t>
      </w:r>
    </w:p>
    <w:p w:rsidR="00A5572C" w:rsidRPr="005E36DB" w:rsidRDefault="00A5572C" w:rsidP="00CE303A">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CF4E68" w:rsidRPr="005E36DB">
        <w:rPr>
          <w:lang w:val="es-ES"/>
        </w:rPr>
        <w:t xml:space="preserve">En el Anexo I se ofrece una reseña del </w:t>
      </w:r>
      <w:r w:rsidR="003231F0">
        <w:rPr>
          <w:lang w:val="es-ES"/>
        </w:rPr>
        <w:t>volumen</w:t>
      </w:r>
      <w:r w:rsidR="00CF4E68" w:rsidRPr="005E36DB">
        <w:rPr>
          <w:lang w:val="es-ES"/>
        </w:rPr>
        <w:t xml:space="preserve"> relativo de información </w:t>
      </w:r>
      <w:r w:rsidR="003231F0">
        <w:rPr>
          <w:lang w:val="es-ES"/>
        </w:rPr>
        <w:t>suministr</w:t>
      </w:r>
      <w:r w:rsidR="00CF4E68" w:rsidRPr="005E36DB">
        <w:rPr>
          <w:lang w:val="es-ES"/>
        </w:rPr>
        <w:t>ada por los dist</w:t>
      </w:r>
      <w:r w:rsidR="0005524D" w:rsidRPr="005E36DB">
        <w:rPr>
          <w:lang w:val="es-ES"/>
        </w:rPr>
        <w:t>intos países participantes en la Base de datos</w:t>
      </w:r>
      <w:r w:rsidR="00CF4E68" w:rsidRPr="005E36DB">
        <w:rPr>
          <w:lang w:val="es-ES"/>
        </w:rPr>
        <w:t xml:space="preserve"> MGS en relación con la aceptación de términos propuestos a los solicitantes de registros d</w:t>
      </w:r>
      <w:r w:rsidR="001816F6" w:rsidRPr="005E36DB">
        <w:rPr>
          <w:lang w:val="es-ES"/>
        </w:rPr>
        <w:t>e marca para que los seleccionen</w:t>
      </w:r>
      <w:r w:rsidR="00CF4E68" w:rsidRPr="005E36DB">
        <w:rPr>
          <w:lang w:val="es-ES"/>
        </w:rPr>
        <w:t>.</w:t>
      </w:r>
    </w:p>
    <w:p w:rsidR="000C78D1" w:rsidRPr="005E36DB" w:rsidRDefault="000C78D1" w:rsidP="000C78D1">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CF4E68" w:rsidRPr="005E36DB">
        <w:rPr>
          <w:lang w:val="es-ES"/>
        </w:rPr>
        <w:t>Dos pa</w:t>
      </w:r>
      <w:r w:rsidR="00AE0675" w:rsidRPr="005E36DB">
        <w:rPr>
          <w:lang w:val="es-ES"/>
        </w:rPr>
        <w:t xml:space="preserve">íses, que no participaban en la Base de datos </w:t>
      </w:r>
      <w:r w:rsidR="00CF4E68" w:rsidRPr="005E36DB">
        <w:rPr>
          <w:lang w:val="es-ES"/>
        </w:rPr>
        <w:t>MGS hasta junio d</w:t>
      </w:r>
      <w:r w:rsidR="004F4E11" w:rsidRPr="005E36DB">
        <w:rPr>
          <w:lang w:val="es-ES"/>
        </w:rPr>
        <w:t>e 2</w:t>
      </w:r>
      <w:r w:rsidR="00CF4E68" w:rsidRPr="005E36DB">
        <w:rPr>
          <w:lang w:val="es-ES"/>
        </w:rPr>
        <w:t xml:space="preserve">016, concretamente, Brunei Darussalam y Nueva Zelandia, indicaron que cumplían plenamente las disposiciones relativas a la </w:t>
      </w:r>
      <w:r w:rsidR="00AE0675" w:rsidRPr="005E36DB">
        <w:rPr>
          <w:lang w:val="es-ES"/>
        </w:rPr>
        <w:t>b</w:t>
      </w:r>
      <w:r w:rsidR="00CF4E68" w:rsidRPr="005E36DB">
        <w:rPr>
          <w:lang w:val="es-ES"/>
        </w:rPr>
        <w:t>ase de datos y aceptaban todos sus términos, a excepción, en el caso de Nueva Zelandia, de unos cuantos términos que están registrados como marcas en su país.</w:t>
      </w:r>
    </w:p>
    <w:p w:rsidR="000C78D1" w:rsidRPr="005E36DB" w:rsidRDefault="000C78D1" w:rsidP="000C78D1">
      <w:pPr>
        <w:rPr>
          <w:lang w:val="es-ES"/>
        </w:rPr>
      </w:pPr>
    </w:p>
    <w:p w:rsidR="00B93447"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CF4E68" w:rsidRPr="005E36DB">
        <w:rPr>
          <w:lang w:val="es-ES"/>
        </w:rPr>
        <w:t xml:space="preserve">Por último, con el fin de </w:t>
      </w:r>
      <w:r w:rsidR="006A0B9A">
        <w:rPr>
          <w:lang w:val="es-ES"/>
        </w:rPr>
        <w:t xml:space="preserve">difundir los datos de </w:t>
      </w:r>
      <w:r w:rsidR="00EC7055" w:rsidRPr="005E36DB">
        <w:rPr>
          <w:lang w:val="es-ES"/>
        </w:rPr>
        <w:t>clasificación de</w:t>
      </w:r>
      <w:r w:rsidR="0005524D" w:rsidRPr="005E36DB">
        <w:rPr>
          <w:lang w:val="es-ES"/>
        </w:rPr>
        <w:t xml:space="preserve"> </w:t>
      </w:r>
      <w:r w:rsidR="00EC7055" w:rsidRPr="005E36DB">
        <w:rPr>
          <w:lang w:val="es-ES"/>
        </w:rPr>
        <w:t>l</w:t>
      </w:r>
      <w:r w:rsidR="0005524D" w:rsidRPr="005E36DB">
        <w:rPr>
          <w:lang w:val="es-ES"/>
        </w:rPr>
        <w:t>a Base de datos</w:t>
      </w:r>
      <w:r w:rsidR="00EC7055" w:rsidRPr="005E36DB">
        <w:rPr>
          <w:lang w:val="es-ES"/>
        </w:rPr>
        <w:t xml:space="preserve"> MGS, se han proporcionado servicios a las Oficinas de P.I. de varios países, a saber, Australia, Canadá, China, Estados Unidos de América, Italia, México, Nueva Zelandia, Suiza, así como a la Oficina de Propiedad Intelectual de la Unión Europea (EUIPO), para descargar las actualizaciones mensuales de la </w:t>
      </w:r>
      <w:r w:rsidR="0005524D" w:rsidRPr="005E36DB">
        <w:rPr>
          <w:lang w:val="es-ES"/>
        </w:rPr>
        <w:t>b</w:t>
      </w:r>
      <w:r w:rsidR="00EC7055" w:rsidRPr="005E36DB">
        <w:rPr>
          <w:lang w:val="es-ES"/>
        </w:rPr>
        <w:t>ase de datos.  Además, un grupo de países de América Central, armonizados en cuanto a la clasificación y compuesto por Costa Rica, El Salvador, Guatemala, Honduras, Nicaragua, Panamá y la República Dominicana, también han solicitado acceso a l</w:t>
      </w:r>
      <w:r w:rsidR="0005524D" w:rsidRPr="005E36DB">
        <w:rPr>
          <w:lang w:val="es-ES"/>
        </w:rPr>
        <w:t>as actualizaciones mensuales de la</w:t>
      </w:r>
      <w:r w:rsidR="00EC7055" w:rsidRPr="005E36DB">
        <w:rPr>
          <w:lang w:val="es-ES"/>
        </w:rPr>
        <w:t xml:space="preserve"> </w:t>
      </w:r>
      <w:r w:rsidR="0005524D" w:rsidRPr="005E36DB">
        <w:rPr>
          <w:lang w:val="es-ES"/>
        </w:rPr>
        <w:t>base de datos</w:t>
      </w:r>
      <w:r w:rsidR="00EC7055" w:rsidRPr="005E36DB">
        <w:rPr>
          <w:lang w:val="es-ES"/>
        </w:rPr>
        <w:t xml:space="preserve"> en español, que utilizan como parte esen</w:t>
      </w:r>
      <w:r w:rsidR="00AE0675" w:rsidRPr="005E36DB">
        <w:rPr>
          <w:lang w:val="es-ES"/>
        </w:rPr>
        <w:t>cial de su base de datos común.</w:t>
      </w:r>
    </w:p>
    <w:p w:rsidR="000C78D1" w:rsidRPr="005E36DB" w:rsidRDefault="000C78D1" w:rsidP="000C78D1">
      <w:pPr>
        <w:rPr>
          <w:lang w:val="es-ES"/>
        </w:rPr>
      </w:pPr>
    </w:p>
    <w:p w:rsidR="00364307" w:rsidRPr="005E36DB" w:rsidRDefault="00364307" w:rsidP="000C78D1">
      <w:pPr>
        <w:rPr>
          <w:lang w:val="es-ES"/>
        </w:rPr>
      </w:pPr>
    </w:p>
    <w:p w:rsidR="000C78D1" w:rsidRPr="005E36DB" w:rsidRDefault="00764A7B" w:rsidP="000C78D1">
      <w:pPr>
        <w:rPr>
          <w:lang w:val="es-ES"/>
        </w:rPr>
      </w:pPr>
      <w:r w:rsidRPr="005E36DB">
        <w:rPr>
          <w:lang w:val="es-ES"/>
        </w:rPr>
        <w:t>ARMONIZACIÓN DE LA CLASIFICACIÓN DE LAS MARCAS A NIVEL MUNDIAL</w:t>
      </w:r>
    </w:p>
    <w:p w:rsidR="000C78D1" w:rsidRPr="005E36DB" w:rsidRDefault="000C78D1" w:rsidP="000C78D1">
      <w:pPr>
        <w:rPr>
          <w:lang w:val="es-ES"/>
        </w:rPr>
      </w:pPr>
    </w:p>
    <w:p w:rsidR="00911A6C"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6D65FE" w:rsidRPr="005E36DB">
        <w:rPr>
          <w:lang w:val="es-ES"/>
        </w:rPr>
        <w:t>A fin de procurar la armonización de la clasificación a nivel mundial, la Base de datos MGS se compara periódicamente con otras bases de datos conocidas de productos y servicios para detectar discrepancias en la clasificación de términos idénticos</w:t>
      </w:r>
      <w:r w:rsidR="00911A6C" w:rsidRPr="005E36DB">
        <w:rPr>
          <w:lang w:val="es-ES"/>
        </w:rPr>
        <w:t>.</w:t>
      </w:r>
    </w:p>
    <w:p w:rsidR="000C78D1" w:rsidRPr="005E36DB" w:rsidRDefault="000C78D1" w:rsidP="000C78D1">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6D65FE" w:rsidRPr="005E36DB">
        <w:rPr>
          <w:lang w:val="es-ES"/>
        </w:rPr>
        <w:t>E</w:t>
      </w:r>
      <w:r w:rsidR="004F4E11" w:rsidRPr="005E36DB">
        <w:rPr>
          <w:lang w:val="es-ES"/>
        </w:rPr>
        <w:t>n 2</w:t>
      </w:r>
      <w:r w:rsidR="006D65FE" w:rsidRPr="005E36DB">
        <w:rPr>
          <w:lang w:val="es-ES"/>
        </w:rPr>
        <w:t>016, se examinaron listas de discrepancias en la clasificación con la EUIPO y con la Oficina Japonesa de Patentes (JPO).  En consecuencia, algunos términos se integraron en la Base de datos MGS en dos clases distintas cuando la descripción de los productos permitía una interpretación flexible en el examen operativo, algunos términos se modificaron o se suprimieron de las bases de datos de la EUIPO o de la JPO, y algunas discrepancias se solventaron mediante propuestas sometidas al examen del siguiente Comité de Expertos de la Clasificación de Niza.</w:t>
      </w:r>
    </w:p>
    <w:p w:rsidR="000C78D1" w:rsidRPr="005E36DB" w:rsidRDefault="000C78D1" w:rsidP="000C78D1">
      <w:pPr>
        <w:rPr>
          <w:lang w:val="es-ES"/>
        </w:rPr>
      </w:pPr>
    </w:p>
    <w:p w:rsidR="00911A6C"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6D65FE" w:rsidRPr="005E36DB">
        <w:rPr>
          <w:lang w:val="es-ES"/>
        </w:rPr>
        <w:t>En los primeros meses d</w:t>
      </w:r>
      <w:r w:rsidR="004F4E11" w:rsidRPr="005E36DB">
        <w:rPr>
          <w:lang w:val="es-ES"/>
        </w:rPr>
        <w:t>e 2</w:t>
      </w:r>
      <w:r w:rsidR="006D65FE" w:rsidRPr="005E36DB">
        <w:rPr>
          <w:lang w:val="es-ES"/>
        </w:rPr>
        <w:t xml:space="preserve">017 se llevaron a cabo nuevas comparaciones de la Base de datos MGS con las bases de datos de la Oficina australiana (IP Australia), la EUIPO, la JPO y la Oficina de Patentes y Marcas de los Estados Unidos (USPTO).  </w:t>
      </w:r>
      <w:r w:rsidR="008F0D16" w:rsidRPr="005E36DB">
        <w:rPr>
          <w:lang w:val="es-ES"/>
        </w:rPr>
        <w:t>Las discrepancias resultantes en la clasificación se examinarán a lo largo d</w:t>
      </w:r>
      <w:r w:rsidR="004F4E11" w:rsidRPr="005E36DB">
        <w:rPr>
          <w:lang w:val="es-ES"/>
        </w:rPr>
        <w:t>e 2</w:t>
      </w:r>
      <w:r w:rsidR="008F0D16" w:rsidRPr="005E36DB">
        <w:rPr>
          <w:lang w:val="es-ES"/>
        </w:rPr>
        <w:t>017</w:t>
      </w:r>
      <w:r w:rsidR="00DD3C1A" w:rsidRPr="005E36DB">
        <w:rPr>
          <w:lang w:val="es-ES"/>
        </w:rPr>
        <w:t xml:space="preserve"> </w:t>
      </w:r>
      <w:r w:rsidR="008F0D16" w:rsidRPr="005E36DB">
        <w:rPr>
          <w:lang w:val="es-ES"/>
        </w:rPr>
        <w:t>con cada una de las Oficina</w:t>
      </w:r>
      <w:r w:rsidR="00E40DDF" w:rsidRPr="005E36DB">
        <w:rPr>
          <w:lang w:val="es-ES"/>
        </w:rPr>
        <w:t>s</w:t>
      </w:r>
      <w:r w:rsidR="008F0D16" w:rsidRPr="005E36DB">
        <w:rPr>
          <w:lang w:val="es-ES"/>
        </w:rPr>
        <w:t xml:space="preserve"> de P.I. en cuestión</w:t>
      </w:r>
      <w:r w:rsidR="00911A6C" w:rsidRPr="005E36DB">
        <w:rPr>
          <w:lang w:val="es-ES"/>
        </w:rPr>
        <w:t>.</w:t>
      </w:r>
    </w:p>
    <w:p w:rsidR="00B93447" w:rsidRPr="005E36DB" w:rsidRDefault="00B93447" w:rsidP="00CE303A">
      <w:pPr>
        <w:rPr>
          <w:lang w:val="es-ES"/>
        </w:rPr>
      </w:pPr>
      <w:r w:rsidRPr="005E36DB">
        <w:rPr>
          <w:lang w:val="es-ES"/>
        </w:rPr>
        <w:lastRenderedPageBreak/>
        <w:t>DIVERSIDAD LINGÜÍSTICA</w:t>
      </w:r>
    </w:p>
    <w:p w:rsidR="00B93447" w:rsidRPr="005E36DB" w:rsidRDefault="00B93447" w:rsidP="00CE303A">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F4D4E" w:rsidRPr="005E36DB">
        <w:rPr>
          <w:lang w:val="es-ES"/>
        </w:rPr>
        <w:t>Aunque no se ha introducido ningún nuevo idioma en la interfaz desde abril d</w:t>
      </w:r>
      <w:r w:rsidR="004F4E11" w:rsidRPr="005E36DB">
        <w:rPr>
          <w:lang w:val="es-ES"/>
        </w:rPr>
        <w:t>e 2</w:t>
      </w:r>
      <w:r w:rsidR="009F4D4E" w:rsidRPr="005E36DB">
        <w:rPr>
          <w:lang w:val="es-ES"/>
        </w:rPr>
        <w:t>016, se ha iniciado la cooperación con varias Oficinas de P.I. con el fin de inte</w:t>
      </w:r>
      <w:r w:rsidR="00DD3C1A" w:rsidRPr="005E36DB">
        <w:rPr>
          <w:lang w:val="es-ES"/>
        </w:rPr>
        <w:t xml:space="preserve">grar más idiomas nacionales en </w:t>
      </w:r>
      <w:r w:rsidR="009F4D4E" w:rsidRPr="005E36DB">
        <w:rPr>
          <w:lang w:val="es-ES"/>
        </w:rPr>
        <w:t>l</w:t>
      </w:r>
      <w:r w:rsidR="00DD3C1A" w:rsidRPr="005E36DB">
        <w:rPr>
          <w:lang w:val="es-ES"/>
        </w:rPr>
        <w:t>a Base de datos</w:t>
      </w:r>
      <w:r w:rsidR="009F4D4E" w:rsidRPr="005E36DB">
        <w:rPr>
          <w:lang w:val="es-ES"/>
        </w:rPr>
        <w:t xml:space="preserve"> </w:t>
      </w:r>
      <w:r w:rsidR="00DD3C1A" w:rsidRPr="005E36DB">
        <w:rPr>
          <w:lang w:val="es-ES"/>
        </w:rPr>
        <w:t xml:space="preserve">MGS </w:t>
      </w:r>
      <w:r w:rsidR="009F4D4E" w:rsidRPr="005E36DB">
        <w:rPr>
          <w:lang w:val="es-ES"/>
        </w:rPr>
        <w:t>e</w:t>
      </w:r>
      <w:r w:rsidR="004F4E11" w:rsidRPr="005E36DB">
        <w:rPr>
          <w:lang w:val="es-ES"/>
        </w:rPr>
        <w:t>n 2</w:t>
      </w:r>
      <w:r w:rsidR="009F4D4E" w:rsidRPr="005E36DB">
        <w:rPr>
          <w:lang w:val="es-ES"/>
        </w:rPr>
        <w:t>017, entre ellas, las Oficinas de Georgia y Tailandia.</w:t>
      </w:r>
    </w:p>
    <w:p w:rsidR="000C78D1" w:rsidRPr="005E36DB" w:rsidRDefault="000C78D1" w:rsidP="000C78D1">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F4D4E" w:rsidRPr="005E36DB">
        <w:rPr>
          <w:lang w:val="es-ES"/>
        </w:rPr>
        <w:t>A principios d</w:t>
      </w:r>
      <w:r w:rsidR="004F4E11" w:rsidRPr="005E36DB">
        <w:rPr>
          <w:lang w:val="es-ES"/>
        </w:rPr>
        <w:t>e 2</w:t>
      </w:r>
      <w:r w:rsidR="009F4D4E" w:rsidRPr="005E36DB">
        <w:rPr>
          <w:lang w:val="es-ES"/>
        </w:rPr>
        <w:t>017, la Oficina Internacional emprendió acciones para subsanar la falta de traducciones en español y francés, que ha aumentado en los últimos años, mediante recursos dedicados específicamente a armonizar los tres idiomas de presentación del Sistema de Madrid en la Base de datos MGS.  En consecuencia, en mayo d</w:t>
      </w:r>
      <w:r w:rsidR="004F4E11" w:rsidRPr="005E36DB">
        <w:rPr>
          <w:lang w:val="es-ES"/>
        </w:rPr>
        <w:t>e 2</w:t>
      </w:r>
      <w:r w:rsidR="009F4D4E" w:rsidRPr="005E36DB">
        <w:rPr>
          <w:lang w:val="es-ES"/>
        </w:rPr>
        <w:t>017 se añadi</w:t>
      </w:r>
      <w:r w:rsidR="00364307" w:rsidRPr="005E36DB">
        <w:rPr>
          <w:lang w:val="es-ES"/>
        </w:rPr>
        <w:t>eron otros </w:t>
      </w:r>
      <w:r w:rsidR="009F4D4E" w:rsidRPr="005E36DB">
        <w:rPr>
          <w:lang w:val="es-ES"/>
        </w:rPr>
        <w:t>12.000 térm</w:t>
      </w:r>
      <w:r w:rsidR="00DD3C1A" w:rsidRPr="005E36DB">
        <w:rPr>
          <w:lang w:val="es-ES"/>
        </w:rPr>
        <w:t>inos en español y francés a la b</w:t>
      </w:r>
      <w:r w:rsidR="009F4D4E" w:rsidRPr="005E36DB">
        <w:rPr>
          <w:lang w:val="es-ES"/>
        </w:rPr>
        <w:t>ase de datos.</w:t>
      </w:r>
    </w:p>
    <w:p w:rsidR="000C78D1" w:rsidRPr="005E36DB" w:rsidRDefault="000C78D1" w:rsidP="000C78D1">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F4D4E" w:rsidRPr="005E36DB">
        <w:rPr>
          <w:lang w:val="es-ES"/>
        </w:rPr>
        <w:t xml:space="preserve">En el Anexo II se ofrece una reseña del volumen relativo de términos que describen productos y servicios en los distintos idiomas de la </w:t>
      </w:r>
      <w:r w:rsidR="00DD3C1A" w:rsidRPr="005E36DB">
        <w:rPr>
          <w:lang w:val="es-ES"/>
        </w:rPr>
        <w:t>base de datos</w:t>
      </w:r>
      <w:r w:rsidR="009F4D4E" w:rsidRPr="005E36DB">
        <w:rPr>
          <w:lang w:val="es-ES"/>
        </w:rPr>
        <w:t xml:space="preserve"> al final de mayo d</w:t>
      </w:r>
      <w:r w:rsidR="004F4E11" w:rsidRPr="005E36DB">
        <w:rPr>
          <w:lang w:val="es-ES"/>
        </w:rPr>
        <w:t>e 2</w:t>
      </w:r>
      <w:r w:rsidR="009F4D4E" w:rsidRPr="005E36DB">
        <w:rPr>
          <w:lang w:val="es-ES"/>
        </w:rPr>
        <w:t>017.</w:t>
      </w:r>
    </w:p>
    <w:p w:rsidR="000C78D1" w:rsidRPr="005E36DB" w:rsidRDefault="000C78D1" w:rsidP="000C78D1">
      <w:pPr>
        <w:rPr>
          <w:lang w:val="es-ES"/>
        </w:rPr>
      </w:pPr>
    </w:p>
    <w:p w:rsidR="000C78D1"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9F4D4E" w:rsidRPr="005E36DB">
        <w:rPr>
          <w:lang w:val="es-ES"/>
        </w:rPr>
        <w:t>En mayo d</w:t>
      </w:r>
      <w:r w:rsidR="004F4E11" w:rsidRPr="005E36DB">
        <w:rPr>
          <w:lang w:val="es-ES"/>
        </w:rPr>
        <w:t>e 2</w:t>
      </w:r>
      <w:r w:rsidR="009F4D4E" w:rsidRPr="005E36DB">
        <w:rPr>
          <w:lang w:val="es-ES"/>
        </w:rPr>
        <w:t xml:space="preserve">017, se prepararon nuevos lotes de conceptos de la </w:t>
      </w:r>
      <w:r w:rsidR="00DD3C1A" w:rsidRPr="005E36DB">
        <w:rPr>
          <w:lang w:val="es-ES"/>
        </w:rPr>
        <w:t xml:space="preserve">Base de datos </w:t>
      </w:r>
      <w:r w:rsidR="009F4D4E" w:rsidRPr="005E36DB">
        <w:rPr>
          <w:lang w:val="es-ES"/>
        </w:rPr>
        <w:t>MGS para las Oficinas participantes que han convenido en proporcionar traducciones para aumentar los datos disponibles en su idioma nacional.</w:t>
      </w:r>
    </w:p>
    <w:p w:rsidR="000C78D1" w:rsidRPr="005E36DB" w:rsidRDefault="000C78D1" w:rsidP="000C78D1">
      <w:pPr>
        <w:rPr>
          <w:lang w:val="es-ES"/>
        </w:rPr>
      </w:pPr>
    </w:p>
    <w:p w:rsidR="00A9190F"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A373F1" w:rsidRPr="005E36DB">
        <w:rPr>
          <w:lang w:val="es-ES"/>
        </w:rPr>
        <w:t xml:space="preserve">En algunos idiomas, ha sido posible proporcionar traducciones automáticas a las Oficinas elaboradas mediante la herramienta “WIPO </w:t>
      </w:r>
      <w:proofErr w:type="spellStart"/>
      <w:r w:rsidR="00A373F1" w:rsidRPr="005E36DB">
        <w:rPr>
          <w:lang w:val="es-ES"/>
        </w:rPr>
        <w:t>Translate</w:t>
      </w:r>
      <w:proofErr w:type="spellEnd"/>
      <w:r w:rsidR="00A373F1" w:rsidRPr="005E36DB">
        <w:rPr>
          <w:lang w:val="es-ES"/>
        </w:rPr>
        <w:t>”.  Se reconoce el potencial de esta herramienta de la OMPI, concebida inicialmente para traducir textos de los documentos de patente, para producir traducciones que están en primera línea del sector, y próximamente se podrá dotar a dicha herramienta de una tecnología avanzada de traducción neur</w:t>
      </w:r>
      <w:r w:rsidR="001D1324" w:rsidRPr="005E36DB">
        <w:rPr>
          <w:lang w:val="es-ES"/>
        </w:rPr>
        <w:t>on</w:t>
      </w:r>
      <w:r w:rsidR="00A373F1" w:rsidRPr="005E36DB">
        <w:rPr>
          <w:lang w:val="es-ES"/>
        </w:rPr>
        <w:t xml:space="preserve">al.  Se ha adaptado WIPO </w:t>
      </w:r>
      <w:proofErr w:type="spellStart"/>
      <w:r w:rsidR="00A373F1" w:rsidRPr="005E36DB">
        <w:rPr>
          <w:lang w:val="es-ES"/>
        </w:rPr>
        <w:t>Translate</w:t>
      </w:r>
      <w:proofErr w:type="spellEnd"/>
      <w:r w:rsidR="00A373F1" w:rsidRPr="005E36DB">
        <w:rPr>
          <w:lang w:val="es-ES"/>
        </w:rPr>
        <w:t xml:space="preserve"> para traducir descripciones de productos y servicios utilizados al presentar solicitudes de registro de marcas, teniendo en cuenta los datos que figuran en la </w:t>
      </w:r>
      <w:r w:rsidR="00DD3C1A" w:rsidRPr="005E36DB">
        <w:rPr>
          <w:lang w:val="es-ES"/>
        </w:rPr>
        <w:t xml:space="preserve">Base de datos </w:t>
      </w:r>
      <w:r w:rsidR="00A373F1" w:rsidRPr="005E36DB">
        <w:rPr>
          <w:lang w:val="es-ES"/>
        </w:rPr>
        <w:t>MGS.  Las Oficinas de P.I. que podrían beneficiarse de la recepción de traducciones automáticas para el examen son las de China, la Federación de Rusia, el Japón y la República de Corea.</w:t>
      </w:r>
    </w:p>
    <w:p w:rsidR="00A639B7" w:rsidRPr="005E36DB" w:rsidRDefault="00A639B7" w:rsidP="00607C24">
      <w:pPr>
        <w:pStyle w:val="ListParagraph"/>
        <w:ind w:hanging="720"/>
        <w:rPr>
          <w:lang w:val="es-ES"/>
        </w:rPr>
      </w:pPr>
    </w:p>
    <w:p w:rsidR="00AE069D" w:rsidRPr="005E36DB" w:rsidRDefault="00AE069D" w:rsidP="00607C24">
      <w:pPr>
        <w:pStyle w:val="ListParagraph"/>
        <w:ind w:hanging="720"/>
        <w:rPr>
          <w:lang w:val="es-ES"/>
        </w:rPr>
      </w:pPr>
    </w:p>
    <w:p w:rsidR="00F137E6" w:rsidRPr="005E36DB" w:rsidRDefault="00F137E6" w:rsidP="00F137E6">
      <w:pPr>
        <w:rPr>
          <w:b/>
          <w:lang w:val="es-ES"/>
        </w:rPr>
      </w:pPr>
      <w:r w:rsidRPr="005E36DB">
        <w:rPr>
          <w:b/>
          <w:lang w:val="es-ES"/>
        </w:rPr>
        <w:t>NUEVAS APORTACIONES A LA BASE DE DATOS MGS</w:t>
      </w:r>
    </w:p>
    <w:p w:rsidR="00F137E6" w:rsidRPr="005E36DB" w:rsidRDefault="00F137E6" w:rsidP="00F137E6">
      <w:pPr>
        <w:rPr>
          <w:b/>
          <w:lang w:val="es-ES"/>
        </w:rPr>
      </w:pPr>
    </w:p>
    <w:p w:rsidR="00F137E6" w:rsidRPr="005E36DB" w:rsidRDefault="00F137E6" w:rsidP="00F137E6">
      <w:pPr>
        <w:keepNext/>
        <w:keepLines/>
        <w:tabs>
          <w:tab w:val="num" w:pos="0"/>
        </w:tabs>
        <w:rPr>
          <w:bCs/>
          <w:lang w:val="es-ES"/>
        </w:rPr>
      </w:pPr>
      <w:r w:rsidRPr="005E36DB">
        <w:rPr>
          <w:bCs/>
          <w:lang w:val="es-ES"/>
        </w:rPr>
        <w:t>INTEGRACIÓN DE NUEVAS INDICACIONES DE PRODUCTOS Y SERVICIOS</w:t>
      </w:r>
    </w:p>
    <w:p w:rsidR="00F137E6" w:rsidRPr="005E36DB" w:rsidRDefault="00F137E6" w:rsidP="00F137E6">
      <w:pPr>
        <w:keepNext/>
        <w:keepLines/>
        <w:tabs>
          <w:tab w:val="num" w:pos="0"/>
        </w:tabs>
        <w:rPr>
          <w:lang w:val="es-ES"/>
        </w:rPr>
      </w:pPr>
    </w:p>
    <w:p w:rsidR="00F137E6"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F137E6" w:rsidRPr="005E36DB">
        <w:rPr>
          <w:lang w:val="es-ES"/>
        </w:rPr>
        <w:t xml:space="preserve">Con el fin de que la </w:t>
      </w:r>
      <w:r w:rsidR="009762B8" w:rsidRPr="005E36DB">
        <w:rPr>
          <w:lang w:val="es-ES"/>
        </w:rPr>
        <w:t>Base de datos</w:t>
      </w:r>
      <w:r w:rsidR="00F137E6" w:rsidRPr="005E36DB">
        <w:rPr>
          <w:lang w:val="es-ES"/>
        </w:rPr>
        <w:t xml:space="preserve"> MGS sea lo más pertinente posible para los solicitantes de registro de marcas en el plano internacional así como en el nacional, seguirán integr</w:t>
      </w:r>
      <w:r w:rsidR="00E41514" w:rsidRPr="005E36DB">
        <w:rPr>
          <w:lang w:val="es-ES"/>
        </w:rPr>
        <w:t>ándose</w:t>
      </w:r>
      <w:r w:rsidR="00F137E6" w:rsidRPr="005E36DB">
        <w:rPr>
          <w:lang w:val="es-ES"/>
        </w:rPr>
        <w:t xml:space="preserve"> en dicha base de datos nuevas indicaciones de productos y servicios extraídas de diversas fuentes, </w:t>
      </w:r>
      <w:r w:rsidR="003041D9" w:rsidRPr="005E36DB">
        <w:rPr>
          <w:lang w:val="es-ES"/>
        </w:rPr>
        <w:t>por ejemplo:</w:t>
      </w:r>
    </w:p>
    <w:p w:rsidR="00F137E6" w:rsidRPr="005E36DB" w:rsidRDefault="00F137E6" w:rsidP="00F137E6">
      <w:pPr>
        <w:rPr>
          <w:lang w:val="es-ES"/>
        </w:rPr>
      </w:pPr>
    </w:p>
    <w:p w:rsidR="00F137E6" w:rsidRPr="005E36DB" w:rsidRDefault="00F137E6" w:rsidP="00F137E6">
      <w:pPr>
        <w:numPr>
          <w:ilvl w:val="0"/>
          <w:numId w:val="11"/>
        </w:numPr>
        <w:ind w:left="915"/>
        <w:rPr>
          <w:lang w:val="es-ES"/>
        </w:rPr>
      </w:pPr>
      <w:r w:rsidRPr="005E36DB">
        <w:rPr>
          <w:lang w:val="es-ES"/>
        </w:rPr>
        <w:t>los términos que aparecen con frecuencia y que se extraen periódicamente de las solicitudes internacionales recibidas por la Oficina Internacional, así como del Registro Internacional de Marcas;</w:t>
      </w:r>
    </w:p>
    <w:p w:rsidR="00F137E6" w:rsidRPr="005E36DB" w:rsidRDefault="00F137E6" w:rsidP="00F137E6">
      <w:pPr>
        <w:rPr>
          <w:lang w:val="es-ES"/>
        </w:rPr>
      </w:pPr>
    </w:p>
    <w:p w:rsidR="00F137E6" w:rsidRPr="005E36DB" w:rsidRDefault="00F137E6" w:rsidP="00F137E6">
      <w:pPr>
        <w:numPr>
          <w:ilvl w:val="0"/>
          <w:numId w:val="11"/>
        </w:numPr>
        <w:ind w:left="915"/>
        <w:rPr>
          <w:lang w:val="es-ES"/>
        </w:rPr>
      </w:pPr>
      <w:r w:rsidRPr="005E36DB">
        <w:rPr>
          <w:lang w:val="es-ES"/>
        </w:rPr>
        <w:t>la lista armonizada TM5 ID</w:t>
      </w:r>
      <w:r w:rsidR="001D1324" w:rsidRPr="005E36DB">
        <w:rPr>
          <w:lang w:val="es-ES"/>
        </w:rPr>
        <w:t xml:space="preserve"> (lista armonizada elaborada conjuntamente por la EUIPO, la JPO, la Oficina Surcoreana de P.I</w:t>
      </w:r>
      <w:r w:rsidR="004F4E11" w:rsidRPr="005E36DB">
        <w:rPr>
          <w:lang w:val="es-ES"/>
        </w:rPr>
        <w:t>. (</w:t>
      </w:r>
      <w:r w:rsidR="001D1324" w:rsidRPr="005E36DB">
        <w:rPr>
          <w:lang w:val="es-ES"/>
        </w:rPr>
        <w:t xml:space="preserve">KIPO), la </w:t>
      </w:r>
      <w:r w:rsidR="004830B2" w:rsidRPr="005E36DB">
        <w:rPr>
          <w:lang w:val="es-ES"/>
        </w:rPr>
        <w:t>Administración Estatal de Industria y Comercio de China (SAIC) y la USPTO;</w:t>
      </w:r>
    </w:p>
    <w:p w:rsidR="00E41514" w:rsidRPr="005E36DB" w:rsidRDefault="00E41514" w:rsidP="00E41514">
      <w:pPr>
        <w:rPr>
          <w:lang w:val="es-ES"/>
        </w:rPr>
      </w:pPr>
    </w:p>
    <w:p w:rsidR="00E41514" w:rsidRPr="005E36DB" w:rsidRDefault="001D1324" w:rsidP="00F137E6">
      <w:pPr>
        <w:numPr>
          <w:ilvl w:val="0"/>
          <w:numId w:val="11"/>
        </w:numPr>
        <w:ind w:left="915"/>
        <w:rPr>
          <w:lang w:val="es-ES"/>
        </w:rPr>
      </w:pPr>
      <w:r w:rsidRPr="005E36DB">
        <w:rPr>
          <w:lang w:val="es-ES"/>
        </w:rPr>
        <w:t xml:space="preserve">la </w:t>
      </w:r>
      <w:r w:rsidR="00E84BF4" w:rsidRPr="005E36DB">
        <w:rPr>
          <w:lang w:val="es-ES"/>
        </w:rPr>
        <w:t>base de datos armonizada de la Unión Europea;</w:t>
      </w:r>
    </w:p>
    <w:p w:rsidR="00F137E6" w:rsidRPr="005E36DB" w:rsidRDefault="00F137E6" w:rsidP="00F137E6">
      <w:pPr>
        <w:rPr>
          <w:lang w:val="es-ES"/>
        </w:rPr>
      </w:pPr>
    </w:p>
    <w:p w:rsidR="00F137E6" w:rsidRPr="005E36DB" w:rsidRDefault="00F137E6" w:rsidP="00F137E6">
      <w:pPr>
        <w:numPr>
          <w:ilvl w:val="0"/>
          <w:numId w:val="11"/>
        </w:numPr>
        <w:ind w:left="915"/>
        <w:rPr>
          <w:lang w:val="es-ES"/>
        </w:rPr>
      </w:pPr>
      <w:r w:rsidRPr="005E36DB">
        <w:rPr>
          <w:lang w:val="es-ES"/>
        </w:rPr>
        <w:t xml:space="preserve">las listas nacionales de productos y servicios recibidas de las Oficinas nacionales de P.I. como las que ya han facilitado los siguientes países:  Alemania, </w:t>
      </w:r>
      <w:r w:rsidR="001F2A06" w:rsidRPr="005E36DB">
        <w:rPr>
          <w:lang w:val="es-ES"/>
        </w:rPr>
        <w:t xml:space="preserve">Australia, </w:t>
      </w:r>
      <w:r w:rsidRPr="005E36DB">
        <w:rPr>
          <w:lang w:val="es-ES"/>
        </w:rPr>
        <w:t>China, Japón, República de Corea</w:t>
      </w:r>
      <w:r w:rsidR="008805A0" w:rsidRPr="005E36DB">
        <w:rPr>
          <w:lang w:val="es-ES"/>
        </w:rPr>
        <w:t xml:space="preserve">, </w:t>
      </w:r>
      <w:r w:rsidRPr="005E36DB">
        <w:rPr>
          <w:lang w:val="es-ES"/>
        </w:rPr>
        <w:t>Suiza</w:t>
      </w:r>
      <w:r w:rsidR="008805A0" w:rsidRPr="005E36DB">
        <w:rPr>
          <w:lang w:val="es-ES"/>
        </w:rPr>
        <w:t xml:space="preserve"> y Turquía</w:t>
      </w:r>
      <w:r w:rsidRPr="005E36DB">
        <w:rPr>
          <w:lang w:val="es-ES"/>
        </w:rPr>
        <w:t xml:space="preserve">; </w:t>
      </w:r>
      <w:r w:rsidR="001F2A06" w:rsidRPr="005E36DB">
        <w:rPr>
          <w:lang w:val="es-ES"/>
        </w:rPr>
        <w:t xml:space="preserve"> </w:t>
      </w:r>
      <w:r w:rsidRPr="005E36DB">
        <w:rPr>
          <w:lang w:val="es-ES"/>
        </w:rPr>
        <w:t>y</w:t>
      </w:r>
    </w:p>
    <w:p w:rsidR="00F137E6" w:rsidRPr="005E36DB" w:rsidRDefault="00F137E6" w:rsidP="00F137E6">
      <w:pPr>
        <w:rPr>
          <w:lang w:val="es-ES"/>
        </w:rPr>
      </w:pPr>
    </w:p>
    <w:p w:rsidR="00F137E6" w:rsidRPr="005E36DB" w:rsidRDefault="00F137E6" w:rsidP="00F137E6">
      <w:pPr>
        <w:numPr>
          <w:ilvl w:val="0"/>
          <w:numId w:val="11"/>
        </w:numPr>
        <w:ind w:left="915"/>
        <w:rPr>
          <w:lang w:val="es-ES"/>
        </w:rPr>
      </w:pPr>
      <w:r w:rsidRPr="005E36DB">
        <w:rPr>
          <w:lang w:val="es-ES"/>
        </w:rPr>
        <w:t xml:space="preserve">los registros nacionales de marcas de los países que cooperan con la OMPI en el proyecto de Base Mundial de Datos sobre Marcas, de los que se extraen los términos frecuentes que no figuran aún en la </w:t>
      </w:r>
      <w:r w:rsidR="009762B8" w:rsidRPr="005E36DB">
        <w:rPr>
          <w:lang w:val="es-ES"/>
        </w:rPr>
        <w:t>Base de datos</w:t>
      </w:r>
      <w:r w:rsidRPr="005E36DB">
        <w:rPr>
          <w:lang w:val="es-ES"/>
        </w:rPr>
        <w:t xml:space="preserve"> MGS para su examen y eventual </w:t>
      </w:r>
      <w:r w:rsidRPr="005E36DB">
        <w:rPr>
          <w:lang w:val="es-ES"/>
        </w:rPr>
        <w:lastRenderedPageBreak/>
        <w:t xml:space="preserve">incorporación.  Hasta la fecha, </w:t>
      </w:r>
      <w:r w:rsidR="001D1324" w:rsidRPr="005E36DB">
        <w:rPr>
          <w:lang w:val="es-ES"/>
        </w:rPr>
        <w:t xml:space="preserve">con el fin de integrarlos en la </w:t>
      </w:r>
      <w:r w:rsidR="00DD3C1A" w:rsidRPr="005E36DB">
        <w:rPr>
          <w:lang w:val="es-ES"/>
        </w:rPr>
        <w:t xml:space="preserve">Base de datos </w:t>
      </w:r>
      <w:r w:rsidR="001D1324" w:rsidRPr="005E36DB">
        <w:rPr>
          <w:lang w:val="es-ES"/>
        </w:rPr>
        <w:t xml:space="preserve">MGS, se han extraído </w:t>
      </w:r>
      <w:r w:rsidRPr="005E36DB">
        <w:rPr>
          <w:lang w:val="es-ES"/>
        </w:rPr>
        <w:t xml:space="preserve">los términos frecuentes de los registros nacionales de Australia, Canadá, Estados Unidos de América, Federación de Rusia, Israel, </w:t>
      </w:r>
      <w:r w:rsidR="001F2A06" w:rsidRPr="005E36DB">
        <w:rPr>
          <w:lang w:val="es-ES"/>
        </w:rPr>
        <w:t xml:space="preserve">Japón, México, Nueva Zelandia, </w:t>
      </w:r>
      <w:r w:rsidRPr="005E36DB">
        <w:rPr>
          <w:lang w:val="es-ES"/>
        </w:rPr>
        <w:t>Singapur y Suiza.</w:t>
      </w:r>
    </w:p>
    <w:p w:rsidR="00F137E6" w:rsidRPr="005E36DB" w:rsidRDefault="00F137E6" w:rsidP="00F137E6">
      <w:pPr>
        <w:rPr>
          <w:lang w:val="es-ES"/>
        </w:rPr>
      </w:pPr>
    </w:p>
    <w:p w:rsidR="00F137E6" w:rsidRPr="005E36DB" w:rsidRDefault="00F137E6" w:rsidP="00F137E6">
      <w:pPr>
        <w:tabs>
          <w:tab w:val="num" w:pos="0"/>
        </w:tabs>
        <w:rPr>
          <w:lang w:val="es-ES"/>
        </w:rPr>
      </w:pPr>
    </w:p>
    <w:p w:rsidR="00F137E6" w:rsidRPr="005E36DB" w:rsidRDefault="00F137E6" w:rsidP="00F137E6">
      <w:pPr>
        <w:rPr>
          <w:b/>
          <w:lang w:val="es-ES"/>
        </w:rPr>
      </w:pPr>
      <w:r w:rsidRPr="005E36DB">
        <w:rPr>
          <w:b/>
          <w:lang w:val="es-ES"/>
        </w:rPr>
        <w:t>PRESUPUESTO</w:t>
      </w:r>
    </w:p>
    <w:p w:rsidR="00F137E6" w:rsidRPr="005E36DB" w:rsidRDefault="00F137E6" w:rsidP="00F137E6">
      <w:pPr>
        <w:tabs>
          <w:tab w:val="num" w:pos="0"/>
        </w:tabs>
        <w:rPr>
          <w:lang w:val="es-ES"/>
        </w:rPr>
      </w:pPr>
    </w:p>
    <w:p w:rsidR="00F137E6" w:rsidRPr="005E36DB" w:rsidRDefault="00AE069D" w:rsidP="00764A7B">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F137E6" w:rsidRPr="005E36DB">
        <w:rPr>
          <w:lang w:val="es-ES"/>
        </w:rPr>
        <w:t>E</w:t>
      </w:r>
      <w:r w:rsidR="004F4E11" w:rsidRPr="005E36DB">
        <w:rPr>
          <w:lang w:val="es-ES"/>
        </w:rPr>
        <w:t>n 2</w:t>
      </w:r>
      <w:r w:rsidR="008805A0" w:rsidRPr="005E36DB">
        <w:rPr>
          <w:lang w:val="es-ES"/>
        </w:rPr>
        <w:t>016</w:t>
      </w:r>
      <w:r w:rsidR="00F137E6" w:rsidRPr="005E36DB">
        <w:rPr>
          <w:lang w:val="es-ES"/>
        </w:rPr>
        <w:t>, la Asamblea de la Unión de Madrid aprobó el uso de los fondos restantes del proyecto a final d</w:t>
      </w:r>
      <w:r w:rsidR="004F4E11" w:rsidRPr="005E36DB">
        <w:rPr>
          <w:lang w:val="es-ES"/>
        </w:rPr>
        <w:t>e 2</w:t>
      </w:r>
      <w:r w:rsidR="00F137E6" w:rsidRPr="005E36DB">
        <w:rPr>
          <w:lang w:val="es-ES"/>
        </w:rPr>
        <w:t>01</w:t>
      </w:r>
      <w:r w:rsidR="008805A0" w:rsidRPr="005E36DB">
        <w:rPr>
          <w:lang w:val="es-ES"/>
        </w:rPr>
        <w:t>6</w:t>
      </w:r>
      <w:r w:rsidR="00F137E6" w:rsidRPr="005E36DB">
        <w:rPr>
          <w:lang w:val="es-ES"/>
        </w:rPr>
        <w:t xml:space="preserve"> para prestar asistencia a las Oficinas </w:t>
      </w:r>
      <w:r w:rsidR="008805A0" w:rsidRPr="005E36DB">
        <w:rPr>
          <w:lang w:val="es-ES"/>
        </w:rPr>
        <w:t>seleccionadas inicialmente e</w:t>
      </w:r>
      <w:r w:rsidR="004F4E11" w:rsidRPr="005E36DB">
        <w:rPr>
          <w:lang w:val="es-ES"/>
        </w:rPr>
        <w:t>n 2</w:t>
      </w:r>
      <w:r w:rsidR="008805A0" w:rsidRPr="005E36DB">
        <w:rPr>
          <w:lang w:val="es-ES"/>
        </w:rPr>
        <w:t>009 o con las que se firmó un memorando de entendimiento antes d</w:t>
      </w:r>
      <w:r w:rsidR="004F4E11" w:rsidRPr="005E36DB">
        <w:rPr>
          <w:lang w:val="es-ES"/>
        </w:rPr>
        <w:t>e 2</w:t>
      </w:r>
      <w:r w:rsidR="008805A0" w:rsidRPr="005E36DB">
        <w:rPr>
          <w:lang w:val="es-ES"/>
        </w:rPr>
        <w:t xml:space="preserve">015.  Esos fondos se destinaron a la </w:t>
      </w:r>
      <w:r w:rsidR="00F137E6" w:rsidRPr="005E36DB">
        <w:rPr>
          <w:lang w:val="es-ES"/>
        </w:rPr>
        <w:t xml:space="preserve">traducción de la </w:t>
      </w:r>
      <w:r w:rsidR="009762B8" w:rsidRPr="005E36DB">
        <w:rPr>
          <w:lang w:val="es-ES"/>
        </w:rPr>
        <w:t>Base de datos</w:t>
      </w:r>
      <w:r w:rsidR="00F137E6" w:rsidRPr="005E36DB">
        <w:rPr>
          <w:lang w:val="es-ES"/>
        </w:rPr>
        <w:t xml:space="preserve"> MGS a </w:t>
      </w:r>
      <w:r w:rsidR="008805A0" w:rsidRPr="005E36DB">
        <w:rPr>
          <w:lang w:val="es-ES"/>
        </w:rPr>
        <w:t xml:space="preserve">los </w:t>
      </w:r>
      <w:r w:rsidR="00F137E6" w:rsidRPr="005E36DB">
        <w:rPr>
          <w:lang w:val="es-ES"/>
        </w:rPr>
        <w:t>idiomas nacionales (véase el párraf</w:t>
      </w:r>
      <w:r w:rsidR="004F4E11" w:rsidRPr="005E36DB">
        <w:rPr>
          <w:lang w:val="es-ES"/>
        </w:rPr>
        <w:t>o 3</w:t>
      </w:r>
      <w:r w:rsidR="008805A0" w:rsidRPr="005E36DB">
        <w:rPr>
          <w:lang w:val="es-ES"/>
        </w:rPr>
        <w:t>4 del documento MM/A/50/1</w:t>
      </w:r>
      <w:r w:rsidR="00F137E6" w:rsidRPr="005E36DB">
        <w:rPr>
          <w:lang w:val="es-ES"/>
        </w:rPr>
        <w:t>).</w:t>
      </w:r>
    </w:p>
    <w:p w:rsidR="000C78D1" w:rsidRPr="005E36DB" w:rsidRDefault="000C78D1" w:rsidP="003440E8">
      <w:pPr>
        <w:rPr>
          <w:lang w:val="es-ES"/>
        </w:rPr>
      </w:pPr>
    </w:p>
    <w:p w:rsidR="00F137E6"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8805A0" w:rsidRPr="005E36DB">
        <w:rPr>
          <w:lang w:val="es-ES"/>
        </w:rPr>
        <w:t>En el cuadro del Anexo III</w:t>
      </w:r>
      <w:r w:rsidR="00F137E6" w:rsidRPr="005E36DB">
        <w:rPr>
          <w:lang w:val="es-ES"/>
        </w:rPr>
        <w:t xml:space="preserve"> figura el desglose de la dotación inicial (232.000 francos suizos) asignada por la OMPI para la traducción de la </w:t>
      </w:r>
      <w:r w:rsidR="009762B8" w:rsidRPr="005E36DB">
        <w:rPr>
          <w:lang w:val="es-ES"/>
        </w:rPr>
        <w:t>Base de datos</w:t>
      </w:r>
      <w:r w:rsidR="00F137E6" w:rsidRPr="005E36DB">
        <w:rPr>
          <w:lang w:val="es-ES"/>
        </w:rPr>
        <w:t xml:space="preserve"> MGS y los </w:t>
      </w:r>
      <w:r w:rsidR="008805A0" w:rsidRPr="005E36DB">
        <w:rPr>
          <w:lang w:val="es-ES"/>
        </w:rPr>
        <w:t>pagos efectivos realizados a</w:t>
      </w:r>
      <w:r w:rsidR="004F4E11" w:rsidRPr="005E36DB">
        <w:rPr>
          <w:lang w:val="es-ES"/>
        </w:rPr>
        <w:t>l 3</w:t>
      </w:r>
      <w:r w:rsidR="008805A0" w:rsidRPr="005E36DB">
        <w:rPr>
          <w:lang w:val="es-ES"/>
        </w:rPr>
        <w:t>1</w:t>
      </w:r>
      <w:r w:rsidR="00F137E6" w:rsidRPr="005E36DB">
        <w:rPr>
          <w:lang w:val="es-ES"/>
        </w:rPr>
        <w:t xml:space="preserve"> de mayo d</w:t>
      </w:r>
      <w:r w:rsidR="004F4E11" w:rsidRPr="005E36DB">
        <w:rPr>
          <w:lang w:val="es-ES"/>
        </w:rPr>
        <w:t>e 2</w:t>
      </w:r>
      <w:r w:rsidR="00F137E6" w:rsidRPr="005E36DB">
        <w:rPr>
          <w:lang w:val="es-ES"/>
        </w:rPr>
        <w:t>01</w:t>
      </w:r>
      <w:r w:rsidR="008805A0" w:rsidRPr="005E36DB">
        <w:rPr>
          <w:lang w:val="es-ES"/>
        </w:rPr>
        <w:t>7</w:t>
      </w:r>
      <w:r w:rsidR="00F137E6" w:rsidRPr="005E36DB">
        <w:rPr>
          <w:lang w:val="es-ES"/>
        </w:rPr>
        <w:t xml:space="preserve">, correspondientes al trabajo de traducción realizado por </w:t>
      </w:r>
      <w:r w:rsidR="008805A0" w:rsidRPr="005E36DB">
        <w:rPr>
          <w:lang w:val="es-ES"/>
        </w:rPr>
        <w:t xml:space="preserve">las </w:t>
      </w:r>
      <w:r w:rsidR="00F137E6" w:rsidRPr="005E36DB">
        <w:rPr>
          <w:lang w:val="es-ES"/>
        </w:rPr>
        <w:t xml:space="preserve">Oficinas </w:t>
      </w:r>
      <w:r w:rsidR="008805A0" w:rsidRPr="005E36DB">
        <w:rPr>
          <w:lang w:val="es-ES"/>
        </w:rPr>
        <w:t xml:space="preserve">nacionales mencionadas en el párrafo precedente.  </w:t>
      </w:r>
      <w:r w:rsidR="00F137E6" w:rsidRPr="005E36DB">
        <w:rPr>
          <w:lang w:val="es-ES"/>
        </w:rPr>
        <w:t>En concreto, en la columna “</w:t>
      </w:r>
      <w:r w:rsidR="008805A0" w:rsidRPr="005E36DB">
        <w:rPr>
          <w:lang w:val="es-ES"/>
        </w:rPr>
        <w:t>Saldo</w:t>
      </w:r>
      <w:r w:rsidR="00F137E6" w:rsidRPr="005E36DB">
        <w:rPr>
          <w:lang w:val="es-ES"/>
        </w:rPr>
        <w:t xml:space="preserve">” de dicho cuadro se da cuenta de los fondos aún disponibles para que cada Oficina participante siga adelante con la traducción de la </w:t>
      </w:r>
      <w:r w:rsidR="009762B8" w:rsidRPr="005E36DB">
        <w:rPr>
          <w:lang w:val="es-ES"/>
        </w:rPr>
        <w:t>Base de datos</w:t>
      </w:r>
      <w:r w:rsidR="00F137E6" w:rsidRPr="005E36DB">
        <w:rPr>
          <w:lang w:val="es-ES"/>
        </w:rPr>
        <w:t xml:space="preserve"> MGS.</w:t>
      </w:r>
    </w:p>
    <w:p w:rsidR="00F137E6" w:rsidRPr="005E36DB" w:rsidRDefault="00F137E6" w:rsidP="003440E8">
      <w:pPr>
        <w:rPr>
          <w:lang w:val="es-ES"/>
        </w:rPr>
      </w:pPr>
    </w:p>
    <w:p w:rsidR="00F137E6" w:rsidRPr="005E36DB" w:rsidRDefault="00AE069D" w:rsidP="000C78D1">
      <w:pPr>
        <w:rPr>
          <w:lang w:val="es-ES"/>
        </w:rPr>
      </w:pPr>
      <w:r w:rsidRPr="005E36DB">
        <w:rPr>
          <w:lang w:val="es-ES"/>
        </w:rPr>
        <w:fldChar w:fldCharType="begin"/>
      </w:r>
      <w:r w:rsidRPr="005E36DB">
        <w:rPr>
          <w:lang w:val="es-ES"/>
        </w:rPr>
        <w:instrText xml:space="preserve"> AUTONUM  </w:instrText>
      </w:r>
      <w:r w:rsidRPr="005E36DB">
        <w:rPr>
          <w:lang w:val="es-ES"/>
        </w:rPr>
        <w:fldChar w:fldCharType="end"/>
      </w:r>
      <w:r w:rsidRPr="005E36DB">
        <w:rPr>
          <w:lang w:val="es-ES"/>
        </w:rPr>
        <w:tab/>
      </w:r>
      <w:r w:rsidR="008805A0" w:rsidRPr="005E36DB">
        <w:rPr>
          <w:lang w:val="es-ES"/>
        </w:rPr>
        <w:t>A</w:t>
      </w:r>
      <w:r w:rsidR="004F4E11" w:rsidRPr="005E36DB">
        <w:rPr>
          <w:lang w:val="es-ES"/>
        </w:rPr>
        <w:t>l 3</w:t>
      </w:r>
      <w:r w:rsidR="008805A0" w:rsidRPr="005E36DB">
        <w:rPr>
          <w:lang w:val="es-ES"/>
        </w:rPr>
        <w:t xml:space="preserve">1 de </w:t>
      </w:r>
      <w:r w:rsidR="00F137E6" w:rsidRPr="005E36DB">
        <w:rPr>
          <w:lang w:val="es-ES"/>
        </w:rPr>
        <w:t>mayo d</w:t>
      </w:r>
      <w:r w:rsidR="004F4E11" w:rsidRPr="005E36DB">
        <w:rPr>
          <w:lang w:val="es-ES"/>
        </w:rPr>
        <w:t>e 2</w:t>
      </w:r>
      <w:r w:rsidR="00F137E6" w:rsidRPr="005E36DB">
        <w:rPr>
          <w:lang w:val="es-ES"/>
        </w:rPr>
        <w:t>01</w:t>
      </w:r>
      <w:r w:rsidR="008805A0" w:rsidRPr="005E36DB">
        <w:rPr>
          <w:lang w:val="es-ES"/>
        </w:rPr>
        <w:t>7</w:t>
      </w:r>
      <w:r w:rsidR="00F137E6" w:rsidRPr="005E36DB">
        <w:rPr>
          <w:lang w:val="es-ES"/>
        </w:rPr>
        <w:t>, seguía estando d</w:t>
      </w:r>
      <w:r w:rsidR="008805A0" w:rsidRPr="005E36DB">
        <w:rPr>
          <w:lang w:val="es-ES"/>
        </w:rPr>
        <w:t>isponible un importe total d</w:t>
      </w:r>
      <w:r w:rsidR="004F4E11" w:rsidRPr="005E36DB">
        <w:rPr>
          <w:lang w:val="es-ES"/>
        </w:rPr>
        <w:t>e 8</w:t>
      </w:r>
      <w:r w:rsidR="008805A0" w:rsidRPr="005E36DB">
        <w:rPr>
          <w:lang w:val="es-ES"/>
        </w:rPr>
        <w:t>2</w:t>
      </w:r>
      <w:r w:rsidR="00F137E6" w:rsidRPr="005E36DB">
        <w:rPr>
          <w:lang w:val="es-ES"/>
        </w:rPr>
        <w:t>.</w:t>
      </w:r>
      <w:r w:rsidR="008805A0" w:rsidRPr="005E36DB">
        <w:rPr>
          <w:lang w:val="es-ES"/>
        </w:rPr>
        <w:t>49</w:t>
      </w:r>
      <w:r w:rsidR="00F137E6" w:rsidRPr="005E36DB">
        <w:rPr>
          <w:lang w:val="es-ES"/>
        </w:rPr>
        <w:t xml:space="preserve">7 francos suizos para financiar la traducción de la </w:t>
      </w:r>
      <w:r w:rsidR="009762B8" w:rsidRPr="005E36DB">
        <w:rPr>
          <w:lang w:val="es-ES"/>
        </w:rPr>
        <w:t>Base de datos</w:t>
      </w:r>
      <w:r w:rsidR="00F137E6" w:rsidRPr="005E36DB">
        <w:rPr>
          <w:lang w:val="es-ES"/>
        </w:rPr>
        <w:t xml:space="preserve"> MGS a los idiomas respecto de los que se ha firmado un </w:t>
      </w:r>
      <w:r w:rsidR="00D55F98" w:rsidRPr="005E36DB">
        <w:rPr>
          <w:lang w:val="es-ES"/>
        </w:rPr>
        <w:t xml:space="preserve">memorando </w:t>
      </w:r>
      <w:r w:rsidR="00F137E6" w:rsidRPr="005E36DB">
        <w:rPr>
          <w:lang w:val="es-ES"/>
        </w:rPr>
        <w:t>de entendimiento entre la OMPI y la Oficina nacional correspondiente.</w:t>
      </w:r>
    </w:p>
    <w:p w:rsidR="00F137E6" w:rsidRPr="005E36DB" w:rsidRDefault="00F137E6" w:rsidP="00F137E6">
      <w:pPr>
        <w:rPr>
          <w:lang w:val="es-ES"/>
        </w:rPr>
      </w:pPr>
    </w:p>
    <w:p w:rsidR="00F137E6" w:rsidRPr="005E36DB" w:rsidRDefault="00AE069D" w:rsidP="00F137E6">
      <w:pPr>
        <w:ind w:left="5500"/>
        <w:rPr>
          <w:i/>
          <w:lang w:val="es-ES"/>
        </w:rPr>
      </w:pPr>
      <w:r w:rsidRPr="005E36DB">
        <w:rPr>
          <w:i/>
          <w:lang w:val="es-ES"/>
        </w:rPr>
        <w:fldChar w:fldCharType="begin"/>
      </w:r>
      <w:r w:rsidRPr="005E36DB">
        <w:rPr>
          <w:i/>
          <w:lang w:val="es-ES"/>
        </w:rPr>
        <w:instrText xml:space="preserve"> AUTONUM  </w:instrText>
      </w:r>
      <w:r w:rsidRPr="005E36DB">
        <w:rPr>
          <w:i/>
          <w:lang w:val="es-ES"/>
        </w:rPr>
        <w:fldChar w:fldCharType="end"/>
      </w:r>
      <w:r w:rsidRPr="005E36DB">
        <w:rPr>
          <w:i/>
          <w:lang w:val="es-ES"/>
        </w:rPr>
        <w:tab/>
      </w:r>
      <w:r w:rsidR="00F137E6" w:rsidRPr="005E36DB">
        <w:rPr>
          <w:i/>
          <w:lang w:val="es-ES"/>
        </w:rPr>
        <w:t xml:space="preserve">Se invita a la Asamblea </w:t>
      </w:r>
      <w:r w:rsidR="008805A0" w:rsidRPr="005E36DB">
        <w:rPr>
          <w:i/>
          <w:lang w:val="es-ES"/>
        </w:rPr>
        <w:t xml:space="preserve">de la Unión de Madrid </w:t>
      </w:r>
      <w:r w:rsidR="00F137E6" w:rsidRPr="005E36DB">
        <w:rPr>
          <w:i/>
          <w:lang w:val="es-ES"/>
        </w:rPr>
        <w:t>a:</w:t>
      </w:r>
    </w:p>
    <w:p w:rsidR="00F137E6" w:rsidRPr="005E36DB" w:rsidRDefault="00F137E6" w:rsidP="00F137E6">
      <w:pPr>
        <w:ind w:left="5500"/>
        <w:rPr>
          <w:i/>
          <w:lang w:val="es-ES"/>
        </w:rPr>
      </w:pPr>
    </w:p>
    <w:p w:rsidR="00F137E6" w:rsidRPr="005E36DB" w:rsidRDefault="00F137E6" w:rsidP="00DA1C4A">
      <w:pPr>
        <w:pStyle w:val="ListParagraph"/>
        <w:numPr>
          <w:ilvl w:val="0"/>
          <w:numId w:val="6"/>
        </w:numPr>
        <w:tabs>
          <w:tab w:val="clear" w:pos="3969"/>
          <w:tab w:val="num" w:pos="4032"/>
          <w:tab w:val="left" w:pos="6663"/>
        </w:tabs>
        <w:ind w:left="6237" w:firstLine="0"/>
        <w:rPr>
          <w:i/>
          <w:lang w:val="es-ES"/>
        </w:rPr>
      </w:pPr>
      <w:r w:rsidRPr="005E36DB">
        <w:rPr>
          <w:i/>
          <w:lang w:val="es-ES"/>
        </w:rPr>
        <w:t xml:space="preserve">tomar nota del “Informe </w:t>
      </w:r>
      <w:r w:rsidR="008805A0" w:rsidRPr="005E36DB">
        <w:rPr>
          <w:i/>
          <w:lang w:val="es-ES"/>
        </w:rPr>
        <w:t xml:space="preserve">relativo a </w:t>
      </w:r>
      <w:r w:rsidRPr="005E36DB">
        <w:rPr>
          <w:i/>
          <w:lang w:val="es-ES"/>
        </w:rPr>
        <w:t>la Base de datos sobre productos y servicios del Sistema de Madrid” (documento MM/A/</w:t>
      </w:r>
      <w:r w:rsidR="008805A0" w:rsidRPr="005E36DB">
        <w:rPr>
          <w:i/>
          <w:lang w:val="es-ES"/>
        </w:rPr>
        <w:t>51</w:t>
      </w:r>
      <w:r w:rsidRPr="005E36DB">
        <w:rPr>
          <w:i/>
          <w:lang w:val="es-ES"/>
        </w:rPr>
        <w:t>/</w:t>
      </w:r>
      <w:r w:rsidR="00617EEA" w:rsidRPr="005E36DB">
        <w:rPr>
          <w:i/>
          <w:lang w:val="es-ES"/>
        </w:rPr>
        <w:t>1</w:t>
      </w:r>
      <w:r w:rsidRPr="005E36DB">
        <w:rPr>
          <w:i/>
          <w:lang w:val="es-ES"/>
        </w:rPr>
        <w:t>), incluido el párrafo </w:t>
      </w:r>
      <w:r w:rsidR="00617EEA" w:rsidRPr="005E36DB">
        <w:rPr>
          <w:i/>
          <w:lang w:val="es-ES"/>
        </w:rPr>
        <w:t>33</w:t>
      </w:r>
      <w:r w:rsidRPr="005E36DB">
        <w:rPr>
          <w:i/>
          <w:lang w:val="es-ES"/>
        </w:rPr>
        <w:t xml:space="preserve"> relativo a los f</w:t>
      </w:r>
      <w:r w:rsidR="00BB065D" w:rsidRPr="005E36DB">
        <w:rPr>
          <w:i/>
          <w:lang w:val="es-ES"/>
        </w:rPr>
        <w:t xml:space="preserve">ondos restantes del proyecto; </w:t>
      </w:r>
      <w:r w:rsidR="000862F7" w:rsidRPr="005E36DB">
        <w:rPr>
          <w:i/>
          <w:lang w:val="es-ES"/>
        </w:rPr>
        <w:t xml:space="preserve"> </w:t>
      </w:r>
      <w:r w:rsidR="00BB065D" w:rsidRPr="005E36DB">
        <w:rPr>
          <w:i/>
          <w:lang w:val="es-ES"/>
        </w:rPr>
        <w:t>y</w:t>
      </w:r>
    </w:p>
    <w:p w:rsidR="00F137E6" w:rsidRPr="005E36DB" w:rsidRDefault="00F137E6" w:rsidP="00DA1C4A">
      <w:pPr>
        <w:tabs>
          <w:tab w:val="left" w:pos="6237"/>
        </w:tabs>
        <w:ind w:left="6237"/>
        <w:rPr>
          <w:i/>
          <w:lang w:val="es-ES"/>
        </w:rPr>
      </w:pPr>
    </w:p>
    <w:p w:rsidR="00F137E6" w:rsidRPr="005E36DB" w:rsidRDefault="00F137E6" w:rsidP="00DA1C4A">
      <w:pPr>
        <w:pStyle w:val="ListParagraph"/>
        <w:keepNext/>
        <w:keepLines/>
        <w:numPr>
          <w:ilvl w:val="0"/>
          <w:numId w:val="6"/>
        </w:numPr>
        <w:tabs>
          <w:tab w:val="clear" w:pos="3969"/>
          <w:tab w:val="num" w:pos="4032"/>
          <w:tab w:val="left" w:pos="6663"/>
        </w:tabs>
        <w:ind w:left="6237" w:firstLine="0"/>
        <w:rPr>
          <w:i/>
          <w:lang w:val="es-ES"/>
        </w:rPr>
      </w:pPr>
      <w:r w:rsidRPr="005E36DB">
        <w:rPr>
          <w:i/>
          <w:lang w:val="es-ES"/>
        </w:rPr>
        <w:t>pedir a la Oficina Internacional que presente a la Asamblea e</w:t>
      </w:r>
      <w:r w:rsidR="004F4E11" w:rsidRPr="005E36DB">
        <w:rPr>
          <w:i/>
          <w:lang w:val="es-ES"/>
        </w:rPr>
        <w:t>n 2</w:t>
      </w:r>
      <w:r w:rsidRPr="005E36DB">
        <w:rPr>
          <w:i/>
          <w:lang w:val="es-ES"/>
        </w:rPr>
        <w:t>01</w:t>
      </w:r>
      <w:r w:rsidR="008805A0" w:rsidRPr="005E36DB">
        <w:rPr>
          <w:i/>
          <w:lang w:val="es-ES"/>
        </w:rPr>
        <w:t>8</w:t>
      </w:r>
      <w:r w:rsidRPr="005E36DB">
        <w:rPr>
          <w:i/>
          <w:lang w:val="es-ES"/>
        </w:rPr>
        <w:t xml:space="preserve"> un nuevo informe </w:t>
      </w:r>
      <w:r w:rsidR="008805A0" w:rsidRPr="005E36DB">
        <w:rPr>
          <w:i/>
          <w:lang w:val="es-ES"/>
        </w:rPr>
        <w:t>relativo</w:t>
      </w:r>
      <w:r w:rsidRPr="005E36DB">
        <w:rPr>
          <w:i/>
          <w:lang w:val="es-ES"/>
        </w:rPr>
        <w:t xml:space="preserve"> a la Base de datos sobre productos y servicios del Sistema de Madrid, incluido el uso de los </w:t>
      </w:r>
      <w:r w:rsidR="003A2811" w:rsidRPr="005E36DB">
        <w:rPr>
          <w:i/>
          <w:lang w:val="es-ES"/>
        </w:rPr>
        <w:t>fondos restantes del proyecto.</w:t>
      </w:r>
    </w:p>
    <w:p w:rsidR="00F137E6" w:rsidRPr="005E36DB" w:rsidRDefault="00F137E6" w:rsidP="00F137E6">
      <w:pPr>
        <w:rPr>
          <w:lang w:val="es-ES"/>
        </w:rPr>
      </w:pPr>
    </w:p>
    <w:p w:rsidR="00F137E6" w:rsidRPr="005E36DB" w:rsidRDefault="00F137E6" w:rsidP="00F137E6">
      <w:pPr>
        <w:rPr>
          <w:lang w:val="es-ES"/>
        </w:rPr>
      </w:pPr>
    </w:p>
    <w:p w:rsidR="00F137E6" w:rsidRPr="005E36DB" w:rsidRDefault="00F137E6" w:rsidP="00AC5A5E">
      <w:pPr>
        <w:pStyle w:val="Endofdocument-Annex"/>
        <w:ind w:left="0"/>
        <w:rPr>
          <w:lang w:val="es-ES"/>
        </w:rPr>
      </w:pPr>
    </w:p>
    <w:p w:rsidR="00D348B1" w:rsidRDefault="00F137E6" w:rsidP="00491A0D">
      <w:pPr>
        <w:pStyle w:val="Endofdocument-Annex"/>
        <w:rPr>
          <w:szCs w:val="22"/>
          <w:lang w:val="es-ES"/>
        </w:rPr>
      </w:pPr>
      <w:r w:rsidRPr="005E36DB">
        <w:rPr>
          <w:lang w:val="es-ES"/>
        </w:rPr>
        <w:t>[Siguen los Anexos</w:t>
      </w:r>
      <w:r w:rsidRPr="005E36DB">
        <w:rPr>
          <w:szCs w:val="22"/>
          <w:lang w:val="es-ES"/>
        </w:rPr>
        <w:t>]</w:t>
      </w:r>
    </w:p>
    <w:p w:rsidR="007A4E84" w:rsidRDefault="007A4E84" w:rsidP="00491A0D">
      <w:pPr>
        <w:pStyle w:val="Endofdocument-Annex"/>
        <w:rPr>
          <w:szCs w:val="22"/>
          <w:lang w:val="es-ES"/>
        </w:rPr>
      </w:pPr>
    </w:p>
    <w:p w:rsidR="007A4E84" w:rsidRDefault="007A4E84" w:rsidP="007A4E84">
      <w:pPr>
        <w:rPr>
          <w:lang w:val="es-ES"/>
        </w:rPr>
        <w:sectPr w:rsidR="007A4E84" w:rsidSect="00F66F07">
          <w:headerReference w:type="default" r:id="rId10"/>
          <w:endnotePr>
            <w:numFmt w:val="decimal"/>
          </w:endnotePr>
          <w:type w:val="continuous"/>
          <w:pgSz w:w="11907" w:h="16840" w:code="9"/>
          <w:pgMar w:top="567" w:right="1134" w:bottom="1077" w:left="1418" w:header="510" w:footer="1021" w:gutter="0"/>
          <w:cols w:space="720"/>
          <w:titlePg/>
          <w:docGrid w:linePitch="299"/>
        </w:sectPr>
      </w:pPr>
    </w:p>
    <w:p w:rsidR="0016230F" w:rsidRPr="00A5572C" w:rsidRDefault="00BD2354" w:rsidP="00150248">
      <w:pPr>
        <w:jc w:val="center"/>
        <w:rPr>
          <w:lang w:val="es-ES"/>
        </w:rPr>
      </w:pPr>
      <w:r w:rsidRPr="00BD2354">
        <w:rPr>
          <w:noProof/>
          <w:lang w:eastAsia="en-US"/>
        </w:rPr>
        <w:lastRenderedPageBreak/>
        <w:drawing>
          <wp:inline distT="0" distB="0" distL="0" distR="0" wp14:anchorId="112AA126" wp14:editId="2B74DEAF">
            <wp:extent cx="8598243" cy="5443138"/>
            <wp:effectExtent l="0" t="3493" r="0" b="920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613971" cy="5453095"/>
                    </a:xfrm>
                    <a:prstGeom prst="rect">
                      <a:avLst/>
                    </a:prstGeom>
                    <a:noFill/>
                    <a:ln>
                      <a:noFill/>
                    </a:ln>
                  </pic:spPr>
                </pic:pic>
              </a:graphicData>
            </a:graphic>
          </wp:inline>
        </w:drawing>
      </w:r>
    </w:p>
    <w:p w:rsidR="007A4E84" w:rsidRDefault="007A4E84" w:rsidP="00150248">
      <w:pPr>
        <w:pStyle w:val="Endofdocument-Annex"/>
        <w:rPr>
          <w:lang w:val="es-ES"/>
        </w:rPr>
      </w:pPr>
    </w:p>
    <w:p w:rsidR="00150248" w:rsidRDefault="004633FE" w:rsidP="00150248">
      <w:pPr>
        <w:pStyle w:val="Endofdocument-Annex"/>
        <w:rPr>
          <w:lang w:val="es-ES"/>
        </w:rPr>
      </w:pPr>
      <w:r w:rsidRPr="00A5572C">
        <w:rPr>
          <w:lang w:val="es-ES"/>
        </w:rPr>
        <w:t>[</w:t>
      </w:r>
      <w:r w:rsidR="00EE2920" w:rsidRPr="00A5572C">
        <w:rPr>
          <w:lang w:val="es-ES"/>
        </w:rPr>
        <w:t xml:space="preserve">Sigue el </w:t>
      </w:r>
      <w:r w:rsidRPr="00A5572C">
        <w:rPr>
          <w:lang w:val="es-ES"/>
        </w:rPr>
        <w:t>Anex</w:t>
      </w:r>
      <w:r w:rsidR="00EE2920" w:rsidRPr="00A5572C">
        <w:rPr>
          <w:lang w:val="es-ES"/>
        </w:rPr>
        <w:t>o</w:t>
      </w:r>
      <w:r w:rsidRPr="00A5572C">
        <w:rPr>
          <w:lang w:val="es-ES"/>
        </w:rPr>
        <w:t xml:space="preserve"> II]</w:t>
      </w:r>
    </w:p>
    <w:p w:rsidR="007A4E84" w:rsidRDefault="007A4E84" w:rsidP="007A4E84">
      <w:pPr>
        <w:rPr>
          <w:lang w:val="es-ES"/>
        </w:rPr>
        <w:sectPr w:rsidR="007A4E84" w:rsidSect="007A4E84">
          <w:headerReference w:type="first" r:id="rId12"/>
          <w:endnotePr>
            <w:numFmt w:val="decimal"/>
          </w:endnotePr>
          <w:pgSz w:w="11907" w:h="16840" w:code="9"/>
          <w:pgMar w:top="567" w:right="1134" w:bottom="1077" w:left="1418" w:header="510" w:footer="1021" w:gutter="0"/>
          <w:cols w:space="720"/>
          <w:titlePg/>
          <w:docGrid w:linePitch="299"/>
        </w:sectPr>
      </w:pPr>
    </w:p>
    <w:p w:rsidR="007A4E84" w:rsidRDefault="007A4E84" w:rsidP="007A4E84">
      <w:pPr>
        <w:rPr>
          <w:lang w:val="es-ES"/>
        </w:rPr>
      </w:pPr>
    </w:p>
    <w:p w:rsidR="003B3765" w:rsidRDefault="00FC0504" w:rsidP="00F55A3A">
      <w:pPr>
        <w:jc w:val="center"/>
        <w:rPr>
          <w:lang w:val="es-ES"/>
        </w:rPr>
      </w:pPr>
      <w:r w:rsidRPr="00FC0504">
        <w:rPr>
          <w:noProof/>
          <w:lang w:eastAsia="en-US"/>
        </w:rPr>
        <w:drawing>
          <wp:inline distT="0" distB="0" distL="0" distR="0" wp14:anchorId="1AF54A76" wp14:editId="4F365C9E">
            <wp:extent cx="8493196" cy="5675846"/>
            <wp:effectExtent l="0" t="0" r="0" b="222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503134" cy="5682488"/>
                    </a:xfrm>
                    <a:prstGeom prst="rect">
                      <a:avLst/>
                    </a:prstGeom>
                    <a:noFill/>
                    <a:ln>
                      <a:noFill/>
                    </a:ln>
                  </pic:spPr>
                </pic:pic>
              </a:graphicData>
            </a:graphic>
          </wp:inline>
        </w:drawing>
      </w:r>
    </w:p>
    <w:p w:rsidR="00F55A3A" w:rsidRPr="00A5572C" w:rsidRDefault="00F55A3A" w:rsidP="00F55A3A">
      <w:pPr>
        <w:jc w:val="center"/>
        <w:rPr>
          <w:lang w:val="es-ES"/>
        </w:rPr>
      </w:pPr>
    </w:p>
    <w:p w:rsidR="003608E0" w:rsidRPr="00A5572C" w:rsidRDefault="003608E0" w:rsidP="00491A0D">
      <w:pPr>
        <w:pStyle w:val="Endofdocument-Annex"/>
        <w:rPr>
          <w:lang w:val="es-ES"/>
        </w:rPr>
      </w:pPr>
      <w:r w:rsidRPr="00A5572C">
        <w:rPr>
          <w:lang w:val="es-ES"/>
        </w:rPr>
        <w:t>[</w:t>
      </w:r>
      <w:r w:rsidR="00EE2920" w:rsidRPr="00A5572C">
        <w:rPr>
          <w:lang w:val="es-ES"/>
        </w:rPr>
        <w:t xml:space="preserve">Sigue el </w:t>
      </w:r>
      <w:r w:rsidRPr="00A5572C">
        <w:rPr>
          <w:lang w:val="es-ES"/>
        </w:rPr>
        <w:t>Anex</w:t>
      </w:r>
      <w:r w:rsidR="00EE2920" w:rsidRPr="00A5572C">
        <w:rPr>
          <w:lang w:val="es-ES"/>
        </w:rPr>
        <w:t>o</w:t>
      </w:r>
      <w:r w:rsidRPr="00A5572C">
        <w:rPr>
          <w:lang w:val="es-ES"/>
        </w:rPr>
        <w:t xml:space="preserve"> III</w:t>
      </w:r>
      <w:r w:rsidR="00EE2920" w:rsidRPr="00A5572C">
        <w:rPr>
          <w:lang w:val="es-ES"/>
        </w:rPr>
        <w:t>]</w:t>
      </w:r>
    </w:p>
    <w:p w:rsidR="00EE2920" w:rsidRPr="00A5572C" w:rsidRDefault="00EE2920" w:rsidP="00EE2920">
      <w:pPr>
        <w:rPr>
          <w:i/>
          <w:lang w:val="es-ES"/>
        </w:rPr>
      </w:pPr>
    </w:p>
    <w:p w:rsidR="003608E0" w:rsidRPr="00A5572C" w:rsidRDefault="003608E0" w:rsidP="003608E0">
      <w:pPr>
        <w:rPr>
          <w:lang w:val="es-ES"/>
        </w:rPr>
        <w:sectPr w:rsidR="003608E0" w:rsidRPr="00A5572C" w:rsidSect="007A4E84">
          <w:headerReference w:type="first" r:id="rId14"/>
          <w:endnotePr>
            <w:numFmt w:val="decimal"/>
          </w:endnotePr>
          <w:pgSz w:w="11907" w:h="16840" w:code="9"/>
          <w:pgMar w:top="567" w:right="1134" w:bottom="1077" w:left="1418" w:header="510" w:footer="1021" w:gutter="0"/>
          <w:cols w:space="720"/>
          <w:titlePg/>
          <w:docGrid w:linePitch="299"/>
        </w:sectPr>
      </w:pPr>
    </w:p>
    <w:p w:rsidR="008D1C2E" w:rsidRPr="00A5572C" w:rsidRDefault="00237856" w:rsidP="00237856">
      <w:pPr>
        <w:jc w:val="center"/>
        <w:rPr>
          <w:lang w:val="es-ES"/>
        </w:rPr>
      </w:pPr>
      <w:r w:rsidRPr="00237856">
        <w:rPr>
          <w:noProof/>
          <w:lang w:eastAsia="en-US"/>
        </w:rPr>
        <w:lastRenderedPageBreak/>
        <w:drawing>
          <wp:inline distT="0" distB="0" distL="0" distR="0" wp14:anchorId="28880465" wp14:editId="051D55DC">
            <wp:extent cx="8435257" cy="5623323"/>
            <wp:effectExtent l="0" t="381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452703" cy="5634953"/>
                    </a:xfrm>
                    <a:prstGeom prst="rect">
                      <a:avLst/>
                    </a:prstGeom>
                    <a:noFill/>
                    <a:ln>
                      <a:noFill/>
                    </a:ln>
                  </pic:spPr>
                </pic:pic>
              </a:graphicData>
            </a:graphic>
          </wp:inline>
        </w:drawing>
      </w:r>
    </w:p>
    <w:p w:rsidR="006E706A" w:rsidRPr="00A5572C" w:rsidRDefault="006E706A" w:rsidP="003608E0">
      <w:pPr>
        <w:rPr>
          <w:lang w:val="es-ES"/>
        </w:rPr>
      </w:pPr>
    </w:p>
    <w:p w:rsidR="00EB1B1E" w:rsidRPr="00A5572C" w:rsidRDefault="00EB1B1E" w:rsidP="00491A0D">
      <w:pPr>
        <w:rPr>
          <w:lang w:val="es-ES"/>
        </w:rPr>
      </w:pPr>
    </w:p>
    <w:p w:rsidR="00F66F07" w:rsidRPr="00A5572C" w:rsidRDefault="003608E0" w:rsidP="00491A0D">
      <w:pPr>
        <w:pStyle w:val="Endofdocument-Annex"/>
        <w:rPr>
          <w:lang w:val="es-ES"/>
        </w:rPr>
      </w:pPr>
      <w:r w:rsidRPr="00A5572C">
        <w:rPr>
          <w:lang w:val="es-ES"/>
        </w:rPr>
        <w:t>[</w:t>
      </w:r>
      <w:r w:rsidR="00BE1150">
        <w:rPr>
          <w:lang w:val="es-ES"/>
        </w:rPr>
        <w:t>Fin del</w:t>
      </w:r>
      <w:r w:rsidR="005F05F6" w:rsidRPr="00A5572C">
        <w:rPr>
          <w:lang w:val="es-ES"/>
        </w:rPr>
        <w:t xml:space="preserve"> </w:t>
      </w:r>
      <w:r w:rsidRPr="00A5572C">
        <w:rPr>
          <w:lang w:val="es-ES"/>
        </w:rPr>
        <w:t>Anex</w:t>
      </w:r>
      <w:r w:rsidR="005F05F6" w:rsidRPr="00A5572C">
        <w:rPr>
          <w:lang w:val="es-ES"/>
        </w:rPr>
        <w:t>o</w:t>
      </w:r>
      <w:r w:rsidRPr="00A5572C">
        <w:rPr>
          <w:lang w:val="es-ES"/>
        </w:rPr>
        <w:t xml:space="preserve"> </w:t>
      </w:r>
      <w:r w:rsidR="00BE1150">
        <w:rPr>
          <w:lang w:val="es-ES"/>
        </w:rPr>
        <w:t>III y del documento</w:t>
      </w:r>
      <w:r w:rsidR="00A03506" w:rsidRPr="00A5572C">
        <w:rPr>
          <w:lang w:val="es-ES"/>
        </w:rPr>
        <w:t>]</w:t>
      </w:r>
    </w:p>
    <w:sectPr w:rsidR="00F66F07" w:rsidRPr="00A5572C" w:rsidSect="00BE1150">
      <w:headerReference w:type="first" r:id="rId16"/>
      <w:endnotePr>
        <w:numFmt w:val="decimal"/>
      </w:endnotePr>
      <w:pgSz w:w="11907" w:h="16840" w:code="9"/>
      <w:pgMar w:top="567" w:right="1134" w:bottom="107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D4E" w:rsidRDefault="009F4D4E">
      <w:r>
        <w:separator/>
      </w:r>
    </w:p>
  </w:endnote>
  <w:endnote w:type="continuationSeparator" w:id="0">
    <w:p w:rsidR="009F4D4E" w:rsidRDefault="009F4D4E" w:rsidP="00F66F07">
      <w:r>
        <w:separator/>
      </w:r>
    </w:p>
    <w:p w:rsidR="009F4D4E" w:rsidRPr="003B38C1" w:rsidRDefault="009F4D4E" w:rsidP="00F66F07">
      <w:pPr>
        <w:spacing w:after="60"/>
        <w:rPr>
          <w:sz w:val="17"/>
        </w:rPr>
      </w:pPr>
      <w:r>
        <w:rPr>
          <w:sz w:val="17"/>
        </w:rPr>
        <w:t>[Endnote continued from previous page]</w:t>
      </w:r>
    </w:p>
  </w:endnote>
  <w:endnote w:type="continuationNotice" w:id="1">
    <w:p w:rsidR="009F4D4E" w:rsidRPr="003B38C1" w:rsidRDefault="009F4D4E" w:rsidP="00F66F07">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D4E" w:rsidRDefault="009F4D4E">
      <w:r>
        <w:separator/>
      </w:r>
    </w:p>
  </w:footnote>
  <w:footnote w:type="continuationSeparator" w:id="0">
    <w:p w:rsidR="009F4D4E" w:rsidRDefault="009F4D4E" w:rsidP="00F66F07">
      <w:r>
        <w:separator/>
      </w:r>
    </w:p>
    <w:p w:rsidR="009F4D4E" w:rsidRPr="00ED77FB" w:rsidRDefault="009F4D4E" w:rsidP="00F66F07">
      <w:pPr>
        <w:spacing w:after="60"/>
        <w:rPr>
          <w:sz w:val="17"/>
          <w:szCs w:val="17"/>
        </w:rPr>
      </w:pPr>
      <w:r w:rsidRPr="00ED77FB">
        <w:rPr>
          <w:sz w:val="17"/>
          <w:szCs w:val="17"/>
        </w:rPr>
        <w:t>[Footnote continued from previous page]</w:t>
      </w:r>
    </w:p>
  </w:footnote>
  <w:footnote w:type="continuationNotice" w:id="1">
    <w:p w:rsidR="009F4D4E" w:rsidRPr="00ED77FB" w:rsidRDefault="009F4D4E" w:rsidP="00F66F07">
      <w:pPr>
        <w:spacing w:before="60"/>
        <w:jc w:val="right"/>
        <w:rPr>
          <w:sz w:val="17"/>
          <w:szCs w:val="17"/>
        </w:rPr>
      </w:pPr>
      <w:r w:rsidRPr="00ED77FB">
        <w:rPr>
          <w:sz w:val="17"/>
          <w:szCs w:val="17"/>
        </w:rPr>
        <w:t>[Footnote continued on next page]</w:t>
      </w:r>
    </w:p>
  </w:footnote>
  <w:footnote w:id="2">
    <w:p w:rsidR="009F4D4E" w:rsidRPr="00EC7055" w:rsidRDefault="009F4D4E" w:rsidP="00A5572C">
      <w:pPr>
        <w:pStyle w:val="ListParagraph"/>
        <w:ind w:left="0"/>
        <w:rPr>
          <w:sz w:val="18"/>
          <w:szCs w:val="18"/>
          <w:lang w:val="es-ES"/>
        </w:rPr>
      </w:pPr>
      <w:r w:rsidRPr="00EC7055">
        <w:rPr>
          <w:rStyle w:val="FootnoteReference"/>
          <w:sz w:val="18"/>
          <w:szCs w:val="18"/>
          <w:lang w:val="es-ES"/>
        </w:rPr>
        <w:footnoteRef/>
      </w:r>
      <w:r w:rsidRPr="00EC7055">
        <w:rPr>
          <w:sz w:val="18"/>
          <w:szCs w:val="18"/>
          <w:lang w:val="es-ES"/>
        </w:rPr>
        <w:t xml:space="preserve"> </w:t>
      </w:r>
      <w:r w:rsidRPr="00EC7055">
        <w:rPr>
          <w:sz w:val="18"/>
          <w:szCs w:val="18"/>
          <w:lang w:val="es-ES"/>
        </w:rPr>
        <w:tab/>
        <w:t xml:space="preserve">A fin de exponer claramente </w:t>
      </w:r>
      <w:r>
        <w:rPr>
          <w:sz w:val="18"/>
          <w:szCs w:val="18"/>
          <w:lang w:val="es-ES"/>
        </w:rPr>
        <w:t>sus estrictos requisitos en materia de especificidad en la descripción de productos y servicios, la Oficina Canadiense de P.I. (CIPO) examinó los 9.500 términos de la lista alfabética de la NCL11-2017 con miras a</w:t>
      </w:r>
      <w:r w:rsidR="002441A6">
        <w:rPr>
          <w:sz w:val="18"/>
          <w:szCs w:val="18"/>
          <w:lang w:val="es-ES"/>
        </w:rPr>
        <w:t xml:space="preserve"> publicar en la Base de datos </w:t>
      </w:r>
      <w:r>
        <w:rPr>
          <w:sz w:val="18"/>
          <w:szCs w:val="18"/>
          <w:lang w:val="es-ES"/>
        </w:rPr>
        <w:t xml:space="preserve">MGS, a partir de enero de 2017, qué términos de la Clasificación de Niza </w:t>
      </w:r>
      <w:r w:rsidR="002441A6">
        <w:rPr>
          <w:sz w:val="18"/>
          <w:szCs w:val="18"/>
          <w:lang w:val="es-ES"/>
        </w:rPr>
        <w:t>no serán aceptados en las futura</w:t>
      </w:r>
      <w:r>
        <w:rPr>
          <w:sz w:val="18"/>
          <w:szCs w:val="18"/>
          <w:lang w:val="es-ES"/>
        </w:rPr>
        <w:t>s solicitudes interna</w:t>
      </w:r>
      <w:r w:rsidR="00B16AF5">
        <w:rPr>
          <w:sz w:val="18"/>
          <w:szCs w:val="18"/>
          <w:lang w:val="es-ES"/>
        </w:rPr>
        <w:t>cionale</w:t>
      </w:r>
      <w:r>
        <w:rPr>
          <w:sz w:val="18"/>
          <w:szCs w:val="18"/>
          <w:lang w:val="es-ES"/>
        </w:rPr>
        <w:t>s en las que se designe al Canadá.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4E" w:rsidRPr="005744F2" w:rsidRDefault="009F4D4E" w:rsidP="00017AA1">
    <w:pPr>
      <w:pStyle w:val="Header"/>
      <w:jc w:val="right"/>
      <w:rPr>
        <w:lang w:val="es-ES"/>
      </w:rPr>
    </w:pPr>
    <w:r w:rsidRPr="005744F2">
      <w:rPr>
        <w:lang w:val="es-ES"/>
      </w:rPr>
      <w:t>MM/A/5</w:t>
    </w:r>
    <w:r>
      <w:rPr>
        <w:lang w:val="es-ES"/>
      </w:rPr>
      <w:t>1</w:t>
    </w:r>
    <w:r w:rsidRPr="005744F2">
      <w:rPr>
        <w:lang w:val="es-ES"/>
      </w:rPr>
      <w:t>/1</w:t>
    </w:r>
  </w:p>
  <w:p w:rsidR="009F4D4E" w:rsidRDefault="007A4E84" w:rsidP="00017AA1">
    <w:pPr>
      <w:pStyle w:val="Header"/>
      <w:jc w:val="right"/>
      <w:rPr>
        <w:lang w:val="es-ES"/>
      </w:rPr>
    </w:pPr>
    <w:proofErr w:type="gramStart"/>
    <w:r>
      <w:rPr>
        <w:lang w:val="es-ES"/>
      </w:rPr>
      <w:t>página</w:t>
    </w:r>
    <w:proofErr w:type="gramEnd"/>
    <w:r>
      <w:rPr>
        <w:lang w:val="es-ES"/>
      </w:rPr>
      <w:t xml:space="preserve"> </w:t>
    </w:r>
    <w:r w:rsidRPr="007A4E84">
      <w:rPr>
        <w:lang w:val="es-ES"/>
      </w:rPr>
      <w:fldChar w:fldCharType="begin"/>
    </w:r>
    <w:r w:rsidRPr="007A4E84">
      <w:rPr>
        <w:lang w:val="es-ES"/>
      </w:rPr>
      <w:instrText xml:space="preserve"> PAGE   \* MERGEFORMAT </w:instrText>
    </w:r>
    <w:r w:rsidRPr="007A4E84">
      <w:rPr>
        <w:lang w:val="es-ES"/>
      </w:rPr>
      <w:fldChar w:fldCharType="separate"/>
    </w:r>
    <w:r w:rsidR="005B510D">
      <w:rPr>
        <w:noProof/>
        <w:lang w:val="es-ES"/>
      </w:rPr>
      <w:t>6</w:t>
    </w:r>
    <w:r w:rsidRPr="007A4E84">
      <w:rPr>
        <w:noProof/>
        <w:lang w:val="es-ES"/>
      </w:rPr>
      <w:fldChar w:fldCharType="end"/>
    </w:r>
  </w:p>
  <w:p w:rsidR="009F4D4E" w:rsidRPr="005744F2" w:rsidRDefault="009F4D4E" w:rsidP="00AD47BE">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84" w:rsidRDefault="007A4E84" w:rsidP="007A4E84">
    <w:pPr>
      <w:pStyle w:val="Header"/>
      <w:jc w:val="right"/>
    </w:pPr>
    <w:r>
      <w:t>MM/A/51/1</w:t>
    </w:r>
  </w:p>
  <w:p w:rsidR="007A4E84" w:rsidRDefault="007A4E84" w:rsidP="007A4E84">
    <w:pPr>
      <w:pStyle w:val="Header"/>
      <w:jc w:val="right"/>
    </w:pPr>
    <w:r>
      <w:t>ANEXO I</w:t>
    </w:r>
  </w:p>
  <w:p w:rsidR="007A4E84" w:rsidRDefault="007A4E84" w:rsidP="007A4E8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84" w:rsidRDefault="007A4E84" w:rsidP="007A4E84">
    <w:pPr>
      <w:pStyle w:val="Header"/>
      <w:jc w:val="right"/>
    </w:pPr>
    <w:r>
      <w:t>MM/A/51/1</w:t>
    </w:r>
  </w:p>
  <w:p w:rsidR="007A4E84" w:rsidRDefault="007A4E84" w:rsidP="007A4E84">
    <w:pPr>
      <w:pStyle w:val="Header"/>
      <w:jc w:val="right"/>
    </w:pPr>
    <w:r>
      <w:t>ANEXO II</w:t>
    </w:r>
  </w:p>
  <w:p w:rsidR="007A4E84" w:rsidRDefault="007A4E84" w:rsidP="007A4E8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4E" w:rsidRPr="005744F2" w:rsidRDefault="009F4D4E" w:rsidP="00F66F07">
    <w:pPr>
      <w:pStyle w:val="Header"/>
      <w:jc w:val="right"/>
      <w:rPr>
        <w:lang w:val="es-ES"/>
      </w:rPr>
    </w:pPr>
    <w:r>
      <w:rPr>
        <w:lang w:val="es-ES"/>
      </w:rPr>
      <w:t>MM/A/51</w:t>
    </w:r>
    <w:r w:rsidRPr="005744F2">
      <w:rPr>
        <w:lang w:val="es-ES"/>
      </w:rPr>
      <w:t>/1</w:t>
    </w:r>
  </w:p>
  <w:p w:rsidR="009F4D4E" w:rsidRDefault="009F4D4E" w:rsidP="00F66F07">
    <w:pPr>
      <w:pStyle w:val="Header"/>
      <w:jc w:val="right"/>
      <w:rPr>
        <w:lang w:val="es-ES"/>
      </w:rPr>
    </w:pPr>
    <w:r w:rsidRPr="005744F2">
      <w:rPr>
        <w:lang w:val="es-ES"/>
      </w:rPr>
      <w:t xml:space="preserve">ANEXO </w:t>
    </w:r>
    <w:r w:rsidR="00BE1150">
      <w:rPr>
        <w:lang w:val="es-ES"/>
      </w:rPr>
      <w:t>III</w:t>
    </w:r>
  </w:p>
  <w:p w:rsidR="009F4D4E" w:rsidRPr="005744F2" w:rsidRDefault="009F4D4E" w:rsidP="00AD47BE">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E8FCB5B4"/>
    <w:lvl w:ilvl="0" w:tplc="90327882">
      <w:start w:val="1"/>
      <w:numFmt w:val="lowerRoman"/>
      <w:lvlText w:val="%1)"/>
      <w:lvlJc w:val="left"/>
      <w:pPr>
        <w:tabs>
          <w:tab w:val="num" w:pos="3969"/>
        </w:tabs>
        <w:ind w:left="3969" w:hanging="720"/>
      </w:pPr>
      <w:rPr>
        <w:rFonts w:eastAsia="SimSun" w:hint="default"/>
        <w:lang w:val="it-I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1">
    <w:nsid w:val="06691E65"/>
    <w:multiLevelType w:val="hybridMultilevel"/>
    <w:tmpl w:val="5A363D9E"/>
    <w:lvl w:ilvl="0" w:tplc="84A8C6DE">
      <w:start w:val="7"/>
      <w:numFmt w:val="decimal"/>
      <w:lvlText w:val="%1."/>
      <w:lvlJc w:val="left"/>
      <w:pPr>
        <w:ind w:left="360" w:hanging="360"/>
      </w:pPr>
      <w:rPr>
        <w:rFonts w:hint="default"/>
      </w:rPr>
    </w:lvl>
    <w:lvl w:ilvl="1" w:tplc="DB7EFE26">
      <w:numFmt w:val="bullet"/>
      <w:lvlText w:val="–"/>
      <w:lvlJc w:val="left"/>
      <w:pPr>
        <w:ind w:left="2220" w:hanging="780"/>
      </w:pPr>
      <w:rPr>
        <w:rFonts w:ascii="Arial" w:eastAsia="SimSu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7D5C9E"/>
    <w:multiLevelType w:val="hybridMultilevel"/>
    <w:tmpl w:val="77989122"/>
    <w:lvl w:ilvl="0" w:tplc="F476F64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154AD"/>
    <w:multiLevelType w:val="hybridMultilevel"/>
    <w:tmpl w:val="5A3E7080"/>
    <w:lvl w:ilvl="0" w:tplc="93802C4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40D7B"/>
    <w:multiLevelType w:val="hybridMultilevel"/>
    <w:tmpl w:val="23061C92"/>
    <w:lvl w:ilvl="0" w:tplc="280C9832">
      <w:start w:val="1"/>
      <w:numFmt w:val="bullet"/>
      <w:lvlText w:val=""/>
      <w:lvlJc w:val="left"/>
      <w:pPr>
        <w:ind w:left="2931" w:hanging="360"/>
      </w:pPr>
      <w:rPr>
        <w:rFonts w:ascii="Symbol" w:hAnsi="Symbol" w:hint="default"/>
      </w:rPr>
    </w:lvl>
    <w:lvl w:ilvl="1" w:tplc="A68835CA">
      <w:start w:val="1"/>
      <w:numFmt w:val="bullet"/>
      <w:lvlText w:val=""/>
      <w:lvlJc w:val="left"/>
      <w:pPr>
        <w:ind w:left="3651" w:hanging="360"/>
      </w:pPr>
      <w:rPr>
        <w:rFonts w:ascii="Symbol" w:hAnsi="Symbol"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3114870"/>
    <w:multiLevelType w:val="hybridMultilevel"/>
    <w:tmpl w:val="12F0C8E2"/>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F7D1C"/>
    <w:multiLevelType w:val="hybridMultilevel"/>
    <w:tmpl w:val="D638E3DE"/>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73CEF"/>
    <w:multiLevelType w:val="hybridMultilevel"/>
    <w:tmpl w:val="C62C2A40"/>
    <w:lvl w:ilvl="0" w:tplc="DB8035A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B20AF"/>
    <w:multiLevelType w:val="hybridMultilevel"/>
    <w:tmpl w:val="C98215E0"/>
    <w:lvl w:ilvl="0" w:tplc="B6BCEA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669D8"/>
    <w:multiLevelType w:val="hybridMultilevel"/>
    <w:tmpl w:val="4EA473BE"/>
    <w:lvl w:ilvl="0" w:tplc="72BE553C">
      <w:start w:val="3"/>
      <w:numFmt w:val="bullet"/>
      <w:lvlText w:val="–"/>
      <w:lvlJc w:val="left"/>
      <w:pPr>
        <w:tabs>
          <w:tab w:val="num" w:pos="1095"/>
        </w:tabs>
        <w:ind w:left="1095" w:hanging="435"/>
      </w:pPr>
      <w:rPr>
        <w:rFonts w:ascii="Arial" w:eastAsia="SimSun" w:hAnsi="Arial" w:cs="Aria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2">
    <w:nsid w:val="49231224"/>
    <w:multiLevelType w:val="hybridMultilevel"/>
    <w:tmpl w:val="37C04CA8"/>
    <w:lvl w:ilvl="0" w:tplc="26CA9CF6">
      <w:start w:val="1"/>
      <w:numFmt w:val="decimal"/>
      <w:lvlText w:val="%1."/>
      <w:lvlJc w:val="left"/>
      <w:pPr>
        <w:tabs>
          <w:tab w:val="num" w:pos="570"/>
        </w:tabs>
        <w:ind w:left="570" w:hanging="57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6E2204"/>
    <w:multiLevelType w:val="hybridMultilevel"/>
    <w:tmpl w:val="4CE0A79C"/>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B4E2BA8"/>
    <w:multiLevelType w:val="hybridMultilevel"/>
    <w:tmpl w:val="AD2AAAEA"/>
    <w:lvl w:ilvl="0" w:tplc="0B202A40">
      <w:start w:val="3"/>
      <w:numFmt w:val="bullet"/>
      <w:lvlText w:val="-"/>
      <w:lvlJc w:val="left"/>
      <w:pPr>
        <w:tabs>
          <w:tab w:val="num" w:pos="720"/>
        </w:tabs>
        <w:ind w:left="720" w:hanging="360"/>
      </w:pPr>
      <w:rPr>
        <w:rFonts w:ascii="Arial" w:eastAsia="SimSu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3D40"/>
    <w:multiLevelType w:val="hybridMultilevel"/>
    <w:tmpl w:val="E848D6F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7B9C88C2">
      <w:start w:val="1"/>
      <w:numFmt w:val="decimal"/>
      <w:lvlRestart w:val="0"/>
      <w:pStyle w:val="ListNumber"/>
      <w:lvlText w:val="03.%1."/>
      <w:lvlJc w:val="left"/>
      <w:pPr>
        <w:tabs>
          <w:tab w:val="num" w:pos="567"/>
        </w:tabs>
        <w:ind w:left="0" w:firstLine="0"/>
      </w:pPr>
      <w:rPr>
        <w:rFonts w:hint="default"/>
      </w:rPr>
    </w:lvl>
    <w:lvl w:ilvl="1" w:tplc="07FC9E8E" w:tentative="1">
      <w:start w:val="1"/>
      <w:numFmt w:val="lowerLetter"/>
      <w:lvlText w:val="%2."/>
      <w:lvlJc w:val="left"/>
      <w:pPr>
        <w:tabs>
          <w:tab w:val="num" w:pos="1440"/>
        </w:tabs>
        <w:ind w:left="1440" w:hanging="360"/>
      </w:pPr>
    </w:lvl>
    <w:lvl w:ilvl="2" w:tplc="37A633D2" w:tentative="1">
      <w:start w:val="1"/>
      <w:numFmt w:val="lowerRoman"/>
      <w:lvlText w:val="%3."/>
      <w:lvlJc w:val="right"/>
      <w:pPr>
        <w:tabs>
          <w:tab w:val="num" w:pos="2160"/>
        </w:tabs>
        <w:ind w:left="2160" w:hanging="180"/>
      </w:pPr>
    </w:lvl>
    <w:lvl w:ilvl="3" w:tplc="741011E4" w:tentative="1">
      <w:start w:val="1"/>
      <w:numFmt w:val="decimal"/>
      <w:lvlText w:val="%4."/>
      <w:lvlJc w:val="left"/>
      <w:pPr>
        <w:tabs>
          <w:tab w:val="num" w:pos="2880"/>
        </w:tabs>
        <w:ind w:left="2880" w:hanging="360"/>
      </w:pPr>
    </w:lvl>
    <w:lvl w:ilvl="4" w:tplc="CDEEA0D8" w:tentative="1">
      <w:start w:val="1"/>
      <w:numFmt w:val="lowerLetter"/>
      <w:lvlText w:val="%5."/>
      <w:lvlJc w:val="left"/>
      <w:pPr>
        <w:tabs>
          <w:tab w:val="num" w:pos="3600"/>
        </w:tabs>
        <w:ind w:left="3600" w:hanging="360"/>
      </w:pPr>
    </w:lvl>
    <w:lvl w:ilvl="5" w:tplc="2068986E" w:tentative="1">
      <w:start w:val="1"/>
      <w:numFmt w:val="lowerRoman"/>
      <w:lvlText w:val="%6."/>
      <w:lvlJc w:val="right"/>
      <w:pPr>
        <w:tabs>
          <w:tab w:val="num" w:pos="4320"/>
        </w:tabs>
        <w:ind w:left="4320" w:hanging="180"/>
      </w:pPr>
    </w:lvl>
    <w:lvl w:ilvl="6" w:tplc="45EAA85E" w:tentative="1">
      <w:start w:val="1"/>
      <w:numFmt w:val="decimal"/>
      <w:lvlText w:val="%7."/>
      <w:lvlJc w:val="left"/>
      <w:pPr>
        <w:tabs>
          <w:tab w:val="num" w:pos="5040"/>
        </w:tabs>
        <w:ind w:left="5040" w:hanging="360"/>
      </w:pPr>
    </w:lvl>
    <w:lvl w:ilvl="7" w:tplc="C9A69D96" w:tentative="1">
      <w:start w:val="1"/>
      <w:numFmt w:val="lowerLetter"/>
      <w:lvlText w:val="%8."/>
      <w:lvlJc w:val="left"/>
      <w:pPr>
        <w:tabs>
          <w:tab w:val="num" w:pos="5760"/>
        </w:tabs>
        <w:ind w:left="5760" w:hanging="360"/>
      </w:pPr>
    </w:lvl>
    <w:lvl w:ilvl="8" w:tplc="1206F21E" w:tentative="1">
      <w:start w:val="1"/>
      <w:numFmt w:val="lowerRoman"/>
      <w:lvlText w:val="%9."/>
      <w:lvlJc w:val="right"/>
      <w:pPr>
        <w:tabs>
          <w:tab w:val="num" w:pos="6480"/>
        </w:tabs>
        <w:ind w:left="6480" w:hanging="180"/>
      </w:pPr>
    </w:lvl>
  </w:abstractNum>
  <w:abstractNum w:abstractNumId="17">
    <w:nsid w:val="4D3F30B1"/>
    <w:multiLevelType w:val="hybridMultilevel"/>
    <w:tmpl w:val="477029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50C672B7"/>
    <w:multiLevelType w:val="hybridMultilevel"/>
    <w:tmpl w:val="6B7AB866"/>
    <w:lvl w:ilvl="0" w:tplc="4B7C550E">
      <w:start w:val="14"/>
      <w:numFmt w:val="bullet"/>
      <w:lvlText w:val="-"/>
      <w:lvlJc w:val="left"/>
      <w:pPr>
        <w:ind w:left="910" w:hanging="360"/>
      </w:pPr>
      <w:rPr>
        <w:rFonts w:ascii="Arial" w:eastAsia="SimSun" w:hAnsi="Arial" w:cs="Aria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9">
    <w:nsid w:val="56041CCE"/>
    <w:multiLevelType w:val="hybridMultilevel"/>
    <w:tmpl w:val="79B4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2C724C"/>
    <w:multiLevelType w:val="hybridMultilevel"/>
    <w:tmpl w:val="36002EE4"/>
    <w:lvl w:ilvl="0" w:tplc="0F50B8AC">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066C03"/>
    <w:multiLevelType w:val="hybridMultilevel"/>
    <w:tmpl w:val="AFCA8564"/>
    <w:lvl w:ilvl="0" w:tplc="72BE55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66AB3"/>
    <w:multiLevelType w:val="hybridMultilevel"/>
    <w:tmpl w:val="219CABA2"/>
    <w:lvl w:ilvl="0" w:tplc="84A8C6DE">
      <w:start w:val="7"/>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12"/>
  </w:num>
  <w:num w:numId="5">
    <w:abstractNumId w:val="14"/>
  </w:num>
  <w:num w:numId="6">
    <w:abstractNumId w:val="0"/>
  </w:num>
  <w:num w:numId="7">
    <w:abstractNumId w:val="11"/>
  </w:num>
  <w:num w:numId="8">
    <w:abstractNumId w:val="4"/>
  </w:num>
  <w:num w:numId="9">
    <w:abstractNumId w:val="17"/>
  </w:num>
  <w:num w:numId="10">
    <w:abstractNumId w:val="19"/>
  </w:num>
  <w:num w:numId="11">
    <w:abstractNumId w:val="8"/>
  </w:num>
  <w:num w:numId="12">
    <w:abstractNumId w:val="15"/>
  </w:num>
  <w:num w:numId="13">
    <w:abstractNumId w:val="10"/>
  </w:num>
  <w:num w:numId="14">
    <w:abstractNumId w:val="1"/>
  </w:num>
  <w:num w:numId="15">
    <w:abstractNumId w:val="18"/>
  </w:num>
  <w:num w:numId="16">
    <w:abstractNumId w:val="21"/>
  </w:num>
  <w:num w:numId="17">
    <w:abstractNumId w:val="20"/>
  </w:num>
  <w:num w:numId="18">
    <w:abstractNumId w:val="9"/>
  </w:num>
  <w:num w:numId="19">
    <w:abstractNumId w:val="7"/>
  </w:num>
  <w:num w:numId="20">
    <w:abstractNumId w:val="5"/>
  </w:num>
  <w:num w:numId="21">
    <w:abstractNumId w:val="3"/>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CF"/>
    <w:rsid w:val="00000FC1"/>
    <w:rsid w:val="0000244E"/>
    <w:rsid w:val="000026C4"/>
    <w:rsid w:val="00004ECD"/>
    <w:rsid w:val="00012A55"/>
    <w:rsid w:val="00013D92"/>
    <w:rsid w:val="0001487E"/>
    <w:rsid w:val="00017AA1"/>
    <w:rsid w:val="0003060B"/>
    <w:rsid w:val="0003061A"/>
    <w:rsid w:val="00031B07"/>
    <w:rsid w:val="000320F0"/>
    <w:rsid w:val="00036B28"/>
    <w:rsid w:val="00036ED2"/>
    <w:rsid w:val="0003737B"/>
    <w:rsid w:val="00041E3D"/>
    <w:rsid w:val="000452A4"/>
    <w:rsid w:val="00050E02"/>
    <w:rsid w:val="000519E7"/>
    <w:rsid w:val="00052137"/>
    <w:rsid w:val="00052CD2"/>
    <w:rsid w:val="0005524D"/>
    <w:rsid w:val="000649A0"/>
    <w:rsid w:val="000702D2"/>
    <w:rsid w:val="00073835"/>
    <w:rsid w:val="000742D8"/>
    <w:rsid w:val="00075BD3"/>
    <w:rsid w:val="00077648"/>
    <w:rsid w:val="00077C0A"/>
    <w:rsid w:val="000830E0"/>
    <w:rsid w:val="000862F7"/>
    <w:rsid w:val="0009416D"/>
    <w:rsid w:val="000966F7"/>
    <w:rsid w:val="000A43A2"/>
    <w:rsid w:val="000A529D"/>
    <w:rsid w:val="000A6563"/>
    <w:rsid w:val="000B73B9"/>
    <w:rsid w:val="000C2ED1"/>
    <w:rsid w:val="000C33EC"/>
    <w:rsid w:val="000C5102"/>
    <w:rsid w:val="000C78D1"/>
    <w:rsid w:val="000C7B31"/>
    <w:rsid w:val="000D0114"/>
    <w:rsid w:val="000D2E3C"/>
    <w:rsid w:val="000D2E8B"/>
    <w:rsid w:val="000D34CA"/>
    <w:rsid w:val="000D3926"/>
    <w:rsid w:val="000D3C95"/>
    <w:rsid w:val="000E53BA"/>
    <w:rsid w:val="000E7D9A"/>
    <w:rsid w:val="000F10C9"/>
    <w:rsid w:val="000F3657"/>
    <w:rsid w:val="000F478E"/>
    <w:rsid w:val="000F5F40"/>
    <w:rsid w:val="001037BB"/>
    <w:rsid w:val="00107ACD"/>
    <w:rsid w:val="00113057"/>
    <w:rsid w:val="001149CC"/>
    <w:rsid w:val="00116211"/>
    <w:rsid w:val="00126727"/>
    <w:rsid w:val="001314C0"/>
    <w:rsid w:val="001332D6"/>
    <w:rsid w:val="0013624A"/>
    <w:rsid w:val="00136BCA"/>
    <w:rsid w:val="0014169A"/>
    <w:rsid w:val="00142DF5"/>
    <w:rsid w:val="00143D16"/>
    <w:rsid w:val="00144601"/>
    <w:rsid w:val="00146096"/>
    <w:rsid w:val="00150248"/>
    <w:rsid w:val="001559C2"/>
    <w:rsid w:val="00161B4C"/>
    <w:rsid w:val="0016230F"/>
    <w:rsid w:val="00165FFC"/>
    <w:rsid w:val="00166FF5"/>
    <w:rsid w:val="001752CC"/>
    <w:rsid w:val="001816F6"/>
    <w:rsid w:val="00192279"/>
    <w:rsid w:val="00194E39"/>
    <w:rsid w:val="00195679"/>
    <w:rsid w:val="001A4843"/>
    <w:rsid w:val="001A56B6"/>
    <w:rsid w:val="001A7B69"/>
    <w:rsid w:val="001B0225"/>
    <w:rsid w:val="001B2134"/>
    <w:rsid w:val="001B24B5"/>
    <w:rsid w:val="001B25C9"/>
    <w:rsid w:val="001B28C5"/>
    <w:rsid w:val="001B353A"/>
    <w:rsid w:val="001C676A"/>
    <w:rsid w:val="001D1324"/>
    <w:rsid w:val="001D2FA6"/>
    <w:rsid w:val="001D3817"/>
    <w:rsid w:val="001D4E12"/>
    <w:rsid w:val="001D5B08"/>
    <w:rsid w:val="001E1E48"/>
    <w:rsid w:val="001E7FD7"/>
    <w:rsid w:val="001F2A06"/>
    <w:rsid w:val="001F5E2D"/>
    <w:rsid w:val="0020077D"/>
    <w:rsid w:val="00213A5B"/>
    <w:rsid w:val="00216A13"/>
    <w:rsid w:val="00220095"/>
    <w:rsid w:val="0022014C"/>
    <w:rsid w:val="00224C0E"/>
    <w:rsid w:val="002256F4"/>
    <w:rsid w:val="00231529"/>
    <w:rsid w:val="002361C0"/>
    <w:rsid w:val="00237856"/>
    <w:rsid w:val="002414C9"/>
    <w:rsid w:val="00242D6D"/>
    <w:rsid w:val="002441A6"/>
    <w:rsid w:val="00244C69"/>
    <w:rsid w:val="00250BFD"/>
    <w:rsid w:val="00250C78"/>
    <w:rsid w:val="00253FB6"/>
    <w:rsid w:val="0026573A"/>
    <w:rsid w:val="002722D4"/>
    <w:rsid w:val="00272821"/>
    <w:rsid w:val="00273FF9"/>
    <w:rsid w:val="00275E8B"/>
    <w:rsid w:val="00277BB3"/>
    <w:rsid w:val="002832CB"/>
    <w:rsid w:val="00286A91"/>
    <w:rsid w:val="0029064B"/>
    <w:rsid w:val="00291126"/>
    <w:rsid w:val="00293BBD"/>
    <w:rsid w:val="002953D9"/>
    <w:rsid w:val="00297922"/>
    <w:rsid w:val="002A1119"/>
    <w:rsid w:val="002A2D62"/>
    <w:rsid w:val="002A43E3"/>
    <w:rsid w:val="002A4C3A"/>
    <w:rsid w:val="002A5100"/>
    <w:rsid w:val="002A68A0"/>
    <w:rsid w:val="002A6F88"/>
    <w:rsid w:val="002B6177"/>
    <w:rsid w:val="002C327F"/>
    <w:rsid w:val="002C627F"/>
    <w:rsid w:val="002D3141"/>
    <w:rsid w:val="002D5505"/>
    <w:rsid w:val="002D6614"/>
    <w:rsid w:val="002D668A"/>
    <w:rsid w:val="002D6932"/>
    <w:rsid w:val="002D7125"/>
    <w:rsid w:val="002E3991"/>
    <w:rsid w:val="002E7CDE"/>
    <w:rsid w:val="002F3D1F"/>
    <w:rsid w:val="002F491C"/>
    <w:rsid w:val="0030061C"/>
    <w:rsid w:val="003041D9"/>
    <w:rsid w:val="003052FC"/>
    <w:rsid w:val="00307631"/>
    <w:rsid w:val="00307FD1"/>
    <w:rsid w:val="0031127B"/>
    <w:rsid w:val="003120D3"/>
    <w:rsid w:val="0031395D"/>
    <w:rsid w:val="003171F0"/>
    <w:rsid w:val="003226F7"/>
    <w:rsid w:val="003231F0"/>
    <w:rsid w:val="003232E4"/>
    <w:rsid w:val="00323CE7"/>
    <w:rsid w:val="00323FE6"/>
    <w:rsid w:val="0032535A"/>
    <w:rsid w:val="00327404"/>
    <w:rsid w:val="00327FCD"/>
    <w:rsid w:val="00330006"/>
    <w:rsid w:val="003331CF"/>
    <w:rsid w:val="0033523A"/>
    <w:rsid w:val="00336F64"/>
    <w:rsid w:val="00340642"/>
    <w:rsid w:val="00342AFE"/>
    <w:rsid w:val="003431BB"/>
    <w:rsid w:val="00343737"/>
    <w:rsid w:val="003440E8"/>
    <w:rsid w:val="00355304"/>
    <w:rsid w:val="003558C2"/>
    <w:rsid w:val="003608E0"/>
    <w:rsid w:val="0036125F"/>
    <w:rsid w:val="00364000"/>
    <w:rsid w:val="00364307"/>
    <w:rsid w:val="003669E7"/>
    <w:rsid w:val="00370B91"/>
    <w:rsid w:val="00372C3F"/>
    <w:rsid w:val="00373A85"/>
    <w:rsid w:val="00382146"/>
    <w:rsid w:val="00390E3D"/>
    <w:rsid w:val="00393FF4"/>
    <w:rsid w:val="003951EA"/>
    <w:rsid w:val="00395C45"/>
    <w:rsid w:val="00395C86"/>
    <w:rsid w:val="003A1379"/>
    <w:rsid w:val="003A1FDB"/>
    <w:rsid w:val="003A2811"/>
    <w:rsid w:val="003A3606"/>
    <w:rsid w:val="003A4CF3"/>
    <w:rsid w:val="003A7F94"/>
    <w:rsid w:val="003B2105"/>
    <w:rsid w:val="003B3765"/>
    <w:rsid w:val="003B59FD"/>
    <w:rsid w:val="003C0A81"/>
    <w:rsid w:val="003C16DA"/>
    <w:rsid w:val="003C1A13"/>
    <w:rsid w:val="003C1CB7"/>
    <w:rsid w:val="003C3A3E"/>
    <w:rsid w:val="003C3FF7"/>
    <w:rsid w:val="003C7125"/>
    <w:rsid w:val="003D013E"/>
    <w:rsid w:val="003D3105"/>
    <w:rsid w:val="003D3777"/>
    <w:rsid w:val="003D4E23"/>
    <w:rsid w:val="003D613F"/>
    <w:rsid w:val="003D6517"/>
    <w:rsid w:val="003E1FA5"/>
    <w:rsid w:val="003E3F73"/>
    <w:rsid w:val="003E45E5"/>
    <w:rsid w:val="003E492B"/>
    <w:rsid w:val="003F34D9"/>
    <w:rsid w:val="003F71AA"/>
    <w:rsid w:val="003F7D15"/>
    <w:rsid w:val="00400113"/>
    <w:rsid w:val="0040097B"/>
    <w:rsid w:val="00401CFE"/>
    <w:rsid w:val="00402574"/>
    <w:rsid w:val="004061E9"/>
    <w:rsid w:val="00406A9C"/>
    <w:rsid w:val="00416FDC"/>
    <w:rsid w:val="00417156"/>
    <w:rsid w:val="004230A0"/>
    <w:rsid w:val="00424213"/>
    <w:rsid w:val="00430EC3"/>
    <w:rsid w:val="00432460"/>
    <w:rsid w:val="004342D8"/>
    <w:rsid w:val="00447EBD"/>
    <w:rsid w:val="004513E8"/>
    <w:rsid w:val="00453341"/>
    <w:rsid w:val="00454D49"/>
    <w:rsid w:val="00462B29"/>
    <w:rsid w:val="004633FE"/>
    <w:rsid w:val="004641EA"/>
    <w:rsid w:val="00465909"/>
    <w:rsid w:val="00467ADF"/>
    <w:rsid w:val="00470CEB"/>
    <w:rsid w:val="004754F6"/>
    <w:rsid w:val="00475AEB"/>
    <w:rsid w:val="00477CCF"/>
    <w:rsid w:val="004830B2"/>
    <w:rsid w:val="00483433"/>
    <w:rsid w:val="004851E2"/>
    <w:rsid w:val="00485DF9"/>
    <w:rsid w:val="00491A0D"/>
    <w:rsid w:val="00491D8F"/>
    <w:rsid w:val="0049716C"/>
    <w:rsid w:val="004A053E"/>
    <w:rsid w:val="004A1A3B"/>
    <w:rsid w:val="004A5A5C"/>
    <w:rsid w:val="004B670B"/>
    <w:rsid w:val="004B6B21"/>
    <w:rsid w:val="004C392D"/>
    <w:rsid w:val="004C4D8B"/>
    <w:rsid w:val="004C6DDE"/>
    <w:rsid w:val="004D1350"/>
    <w:rsid w:val="004D1692"/>
    <w:rsid w:val="004D20A2"/>
    <w:rsid w:val="004D7550"/>
    <w:rsid w:val="004E2E5A"/>
    <w:rsid w:val="004E6BD5"/>
    <w:rsid w:val="004E7F5C"/>
    <w:rsid w:val="004F4E11"/>
    <w:rsid w:val="004F62CB"/>
    <w:rsid w:val="004F7726"/>
    <w:rsid w:val="004F78CE"/>
    <w:rsid w:val="005023E8"/>
    <w:rsid w:val="0050383F"/>
    <w:rsid w:val="005039DD"/>
    <w:rsid w:val="005049DA"/>
    <w:rsid w:val="00506562"/>
    <w:rsid w:val="00521627"/>
    <w:rsid w:val="005243B8"/>
    <w:rsid w:val="00524AFB"/>
    <w:rsid w:val="00530FEF"/>
    <w:rsid w:val="0053117E"/>
    <w:rsid w:val="0053485D"/>
    <w:rsid w:val="00536A71"/>
    <w:rsid w:val="00537CF8"/>
    <w:rsid w:val="0054551D"/>
    <w:rsid w:val="0054627C"/>
    <w:rsid w:val="00564A2E"/>
    <w:rsid w:val="00565E0A"/>
    <w:rsid w:val="00567FA4"/>
    <w:rsid w:val="005744F2"/>
    <w:rsid w:val="0057467A"/>
    <w:rsid w:val="00574BE7"/>
    <w:rsid w:val="00580A1A"/>
    <w:rsid w:val="00585093"/>
    <w:rsid w:val="00590940"/>
    <w:rsid w:val="005912E8"/>
    <w:rsid w:val="00594144"/>
    <w:rsid w:val="00597452"/>
    <w:rsid w:val="00597873"/>
    <w:rsid w:val="005A1713"/>
    <w:rsid w:val="005A4BEE"/>
    <w:rsid w:val="005A5A65"/>
    <w:rsid w:val="005A5D3C"/>
    <w:rsid w:val="005B1065"/>
    <w:rsid w:val="005B42D0"/>
    <w:rsid w:val="005B510D"/>
    <w:rsid w:val="005C2297"/>
    <w:rsid w:val="005C500B"/>
    <w:rsid w:val="005C64A1"/>
    <w:rsid w:val="005D3782"/>
    <w:rsid w:val="005D64DF"/>
    <w:rsid w:val="005D679B"/>
    <w:rsid w:val="005E05C8"/>
    <w:rsid w:val="005E0A61"/>
    <w:rsid w:val="005E1140"/>
    <w:rsid w:val="005E1249"/>
    <w:rsid w:val="005E1A87"/>
    <w:rsid w:val="005E1C1A"/>
    <w:rsid w:val="005E36DB"/>
    <w:rsid w:val="005F05F6"/>
    <w:rsid w:val="005F3241"/>
    <w:rsid w:val="005F3248"/>
    <w:rsid w:val="005F540D"/>
    <w:rsid w:val="005F545E"/>
    <w:rsid w:val="005F7CBD"/>
    <w:rsid w:val="00604046"/>
    <w:rsid w:val="00607C24"/>
    <w:rsid w:val="00611865"/>
    <w:rsid w:val="00614A7F"/>
    <w:rsid w:val="00617EEA"/>
    <w:rsid w:val="00620962"/>
    <w:rsid w:val="006246F9"/>
    <w:rsid w:val="00625045"/>
    <w:rsid w:val="00630119"/>
    <w:rsid w:val="00630618"/>
    <w:rsid w:val="006332F7"/>
    <w:rsid w:val="00633DBE"/>
    <w:rsid w:val="00636C82"/>
    <w:rsid w:val="00642BF4"/>
    <w:rsid w:val="00652687"/>
    <w:rsid w:val="00655D94"/>
    <w:rsid w:val="00657ABC"/>
    <w:rsid w:val="00662EC5"/>
    <w:rsid w:val="00662F38"/>
    <w:rsid w:val="00663FAA"/>
    <w:rsid w:val="00664C99"/>
    <w:rsid w:val="00664DF5"/>
    <w:rsid w:val="00667B8B"/>
    <w:rsid w:val="00671A3C"/>
    <w:rsid w:val="006721F1"/>
    <w:rsid w:val="00672ECB"/>
    <w:rsid w:val="00675ED0"/>
    <w:rsid w:val="006774CF"/>
    <w:rsid w:val="00681165"/>
    <w:rsid w:val="0068121B"/>
    <w:rsid w:val="0068684E"/>
    <w:rsid w:val="006871BC"/>
    <w:rsid w:val="0068778E"/>
    <w:rsid w:val="0069264D"/>
    <w:rsid w:val="00692FBE"/>
    <w:rsid w:val="006951EA"/>
    <w:rsid w:val="00695A11"/>
    <w:rsid w:val="006967F0"/>
    <w:rsid w:val="00696988"/>
    <w:rsid w:val="006A0B9A"/>
    <w:rsid w:val="006A2A3B"/>
    <w:rsid w:val="006A4402"/>
    <w:rsid w:val="006A5A43"/>
    <w:rsid w:val="006A60BC"/>
    <w:rsid w:val="006A7585"/>
    <w:rsid w:val="006A7AC5"/>
    <w:rsid w:val="006A7C88"/>
    <w:rsid w:val="006B431A"/>
    <w:rsid w:val="006C36F6"/>
    <w:rsid w:val="006D29DD"/>
    <w:rsid w:val="006D313C"/>
    <w:rsid w:val="006D65FE"/>
    <w:rsid w:val="006D7232"/>
    <w:rsid w:val="006E3150"/>
    <w:rsid w:val="006E3792"/>
    <w:rsid w:val="006E6274"/>
    <w:rsid w:val="006E706A"/>
    <w:rsid w:val="007047A7"/>
    <w:rsid w:val="007059B4"/>
    <w:rsid w:val="00707720"/>
    <w:rsid w:val="00707889"/>
    <w:rsid w:val="00710EBB"/>
    <w:rsid w:val="00711F3F"/>
    <w:rsid w:val="00716C9F"/>
    <w:rsid w:val="00717E96"/>
    <w:rsid w:val="00721A1F"/>
    <w:rsid w:val="00730B07"/>
    <w:rsid w:val="00730C22"/>
    <w:rsid w:val="00734856"/>
    <w:rsid w:val="00734DDC"/>
    <w:rsid w:val="0073558F"/>
    <w:rsid w:val="00735AFF"/>
    <w:rsid w:val="007416B5"/>
    <w:rsid w:val="007425E9"/>
    <w:rsid w:val="00742868"/>
    <w:rsid w:val="00744CB5"/>
    <w:rsid w:val="00745F3F"/>
    <w:rsid w:val="0075180C"/>
    <w:rsid w:val="00752446"/>
    <w:rsid w:val="007541CD"/>
    <w:rsid w:val="007545C9"/>
    <w:rsid w:val="00760F38"/>
    <w:rsid w:val="00764A7B"/>
    <w:rsid w:val="00773A8F"/>
    <w:rsid w:val="007740BA"/>
    <w:rsid w:val="00775A51"/>
    <w:rsid w:val="00775D14"/>
    <w:rsid w:val="00784C84"/>
    <w:rsid w:val="00786DB3"/>
    <w:rsid w:val="00790515"/>
    <w:rsid w:val="007A1117"/>
    <w:rsid w:val="007A1DF5"/>
    <w:rsid w:val="007A3720"/>
    <w:rsid w:val="007A49B0"/>
    <w:rsid w:val="007A4E84"/>
    <w:rsid w:val="007B3908"/>
    <w:rsid w:val="007B44F0"/>
    <w:rsid w:val="007B7595"/>
    <w:rsid w:val="007C0C23"/>
    <w:rsid w:val="007C4A04"/>
    <w:rsid w:val="007C573F"/>
    <w:rsid w:val="007C6541"/>
    <w:rsid w:val="007D176B"/>
    <w:rsid w:val="007D7F35"/>
    <w:rsid w:val="007E17B2"/>
    <w:rsid w:val="007E4BAF"/>
    <w:rsid w:val="007F67B2"/>
    <w:rsid w:val="0082378E"/>
    <w:rsid w:val="008329D3"/>
    <w:rsid w:val="00833692"/>
    <w:rsid w:val="00837A0A"/>
    <w:rsid w:val="00841FBA"/>
    <w:rsid w:val="00846EF5"/>
    <w:rsid w:val="00854410"/>
    <w:rsid w:val="00855F65"/>
    <w:rsid w:val="008615F8"/>
    <w:rsid w:val="00864BE4"/>
    <w:rsid w:val="008651EC"/>
    <w:rsid w:val="00867AC4"/>
    <w:rsid w:val="00870020"/>
    <w:rsid w:val="00870490"/>
    <w:rsid w:val="00876949"/>
    <w:rsid w:val="00877BBC"/>
    <w:rsid w:val="008805A0"/>
    <w:rsid w:val="008825C6"/>
    <w:rsid w:val="00883731"/>
    <w:rsid w:val="00890D07"/>
    <w:rsid w:val="00895552"/>
    <w:rsid w:val="00895DDA"/>
    <w:rsid w:val="008965AC"/>
    <w:rsid w:val="00896D88"/>
    <w:rsid w:val="00896E3D"/>
    <w:rsid w:val="008974A3"/>
    <w:rsid w:val="008A17C5"/>
    <w:rsid w:val="008A38CC"/>
    <w:rsid w:val="008A46A0"/>
    <w:rsid w:val="008A5AAC"/>
    <w:rsid w:val="008A6CC4"/>
    <w:rsid w:val="008B0213"/>
    <w:rsid w:val="008B0947"/>
    <w:rsid w:val="008B77C8"/>
    <w:rsid w:val="008C382F"/>
    <w:rsid w:val="008C7039"/>
    <w:rsid w:val="008C7675"/>
    <w:rsid w:val="008D1C2E"/>
    <w:rsid w:val="008D3851"/>
    <w:rsid w:val="008D4280"/>
    <w:rsid w:val="008E370C"/>
    <w:rsid w:val="008E46B0"/>
    <w:rsid w:val="008E7C00"/>
    <w:rsid w:val="008F0D16"/>
    <w:rsid w:val="008F212F"/>
    <w:rsid w:val="008F2475"/>
    <w:rsid w:val="008F265E"/>
    <w:rsid w:val="008F43A8"/>
    <w:rsid w:val="009065F0"/>
    <w:rsid w:val="00911A6C"/>
    <w:rsid w:val="00914B9C"/>
    <w:rsid w:val="009202EC"/>
    <w:rsid w:val="00921E6F"/>
    <w:rsid w:val="00925590"/>
    <w:rsid w:val="009273D6"/>
    <w:rsid w:val="00932B9E"/>
    <w:rsid w:val="00933982"/>
    <w:rsid w:val="00934A1A"/>
    <w:rsid w:val="00940974"/>
    <w:rsid w:val="0095346C"/>
    <w:rsid w:val="009534EE"/>
    <w:rsid w:val="009603B4"/>
    <w:rsid w:val="0096302D"/>
    <w:rsid w:val="00963250"/>
    <w:rsid w:val="00964435"/>
    <w:rsid w:val="009645EC"/>
    <w:rsid w:val="00966474"/>
    <w:rsid w:val="009720BE"/>
    <w:rsid w:val="009749AB"/>
    <w:rsid w:val="009762B8"/>
    <w:rsid w:val="0098059D"/>
    <w:rsid w:val="00981A2D"/>
    <w:rsid w:val="00982D37"/>
    <w:rsid w:val="00984AB3"/>
    <w:rsid w:val="00985BDC"/>
    <w:rsid w:val="009908A2"/>
    <w:rsid w:val="00993BE1"/>
    <w:rsid w:val="00995203"/>
    <w:rsid w:val="00995DC8"/>
    <w:rsid w:val="009A13F9"/>
    <w:rsid w:val="009A1C6A"/>
    <w:rsid w:val="009A4068"/>
    <w:rsid w:val="009B0995"/>
    <w:rsid w:val="009B2E10"/>
    <w:rsid w:val="009B31CB"/>
    <w:rsid w:val="009B3213"/>
    <w:rsid w:val="009B43FC"/>
    <w:rsid w:val="009B75BC"/>
    <w:rsid w:val="009C0FC8"/>
    <w:rsid w:val="009C15DA"/>
    <w:rsid w:val="009C18E7"/>
    <w:rsid w:val="009C1D68"/>
    <w:rsid w:val="009C2908"/>
    <w:rsid w:val="009C56FD"/>
    <w:rsid w:val="009D07D8"/>
    <w:rsid w:val="009D0B43"/>
    <w:rsid w:val="009D461D"/>
    <w:rsid w:val="009D4BDD"/>
    <w:rsid w:val="009D5137"/>
    <w:rsid w:val="009E571B"/>
    <w:rsid w:val="009E66D6"/>
    <w:rsid w:val="009F0618"/>
    <w:rsid w:val="009F0E40"/>
    <w:rsid w:val="009F2079"/>
    <w:rsid w:val="009F33FF"/>
    <w:rsid w:val="009F3956"/>
    <w:rsid w:val="009F4D4E"/>
    <w:rsid w:val="009F52AC"/>
    <w:rsid w:val="00A03506"/>
    <w:rsid w:val="00A06853"/>
    <w:rsid w:val="00A103E8"/>
    <w:rsid w:val="00A11041"/>
    <w:rsid w:val="00A17AA3"/>
    <w:rsid w:val="00A17BE4"/>
    <w:rsid w:val="00A202F8"/>
    <w:rsid w:val="00A205D5"/>
    <w:rsid w:val="00A20625"/>
    <w:rsid w:val="00A31BF6"/>
    <w:rsid w:val="00A373F1"/>
    <w:rsid w:val="00A37C32"/>
    <w:rsid w:val="00A40979"/>
    <w:rsid w:val="00A42464"/>
    <w:rsid w:val="00A533E0"/>
    <w:rsid w:val="00A5572C"/>
    <w:rsid w:val="00A60B0B"/>
    <w:rsid w:val="00A60B22"/>
    <w:rsid w:val="00A623F6"/>
    <w:rsid w:val="00A639B7"/>
    <w:rsid w:val="00A650FD"/>
    <w:rsid w:val="00A6552C"/>
    <w:rsid w:val="00A67BFE"/>
    <w:rsid w:val="00A71DF0"/>
    <w:rsid w:val="00A72627"/>
    <w:rsid w:val="00A7555C"/>
    <w:rsid w:val="00A758F5"/>
    <w:rsid w:val="00A77848"/>
    <w:rsid w:val="00A81B16"/>
    <w:rsid w:val="00A8492E"/>
    <w:rsid w:val="00A860C1"/>
    <w:rsid w:val="00A86F2C"/>
    <w:rsid w:val="00A9190F"/>
    <w:rsid w:val="00A91F61"/>
    <w:rsid w:val="00A920DC"/>
    <w:rsid w:val="00A948B2"/>
    <w:rsid w:val="00A94A80"/>
    <w:rsid w:val="00A9671D"/>
    <w:rsid w:val="00A97753"/>
    <w:rsid w:val="00AA229C"/>
    <w:rsid w:val="00AA3030"/>
    <w:rsid w:val="00AA35ED"/>
    <w:rsid w:val="00AA553D"/>
    <w:rsid w:val="00AC2400"/>
    <w:rsid w:val="00AC3480"/>
    <w:rsid w:val="00AC3E08"/>
    <w:rsid w:val="00AC3F49"/>
    <w:rsid w:val="00AC5A5E"/>
    <w:rsid w:val="00AC6547"/>
    <w:rsid w:val="00AD47BE"/>
    <w:rsid w:val="00AD6186"/>
    <w:rsid w:val="00AD755A"/>
    <w:rsid w:val="00AE0675"/>
    <w:rsid w:val="00AE069D"/>
    <w:rsid w:val="00AE1888"/>
    <w:rsid w:val="00AE2066"/>
    <w:rsid w:val="00AF146B"/>
    <w:rsid w:val="00AF270E"/>
    <w:rsid w:val="00AF6909"/>
    <w:rsid w:val="00B027CB"/>
    <w:rsid w:val="00B03743"/>
    <w:rsid w:val="00B03B9B"/>
    <w:rsid w:val="00B055F9"/>
    <w:rsid w:val="00B05A3C"/>
    <w:rsid w:val="00B06B62"/>
    <w:rsid w:val="00B12C99"/>
    <w:rsid w:val="00B13D30"/>
    <w:rsid w:val="00B16AF5"/>
    <w:rsid w:val="00B16B36"/>
    <w:rsid w:val="00B16CE6"/>
    <w:rsid w:val="00B176A3"/>
    <w:rsid w:val="00B218E2"/>
    <w:rsid w:val="00B24FDE"/>
    <w:rsid w:val="00B3212A"/>
    <w:rsid w:val="00B33C9E"/>
    <w:rsid w:val="00B340FA"/>
    <w:rsid w:val="00B358F4"/>
    <w:rsid w:val="00B455A0"/>
    <w:rsid w:val="00B46AC8"/>
    <w:rsid w:val="00B501E8"/>
    <w:rsid w:val="00B535DB"/>
    <w:rsid w:val="00B5498F"/>
    <w:rsid w:val="00B55391"/>
    <w:rsid w:val="00B55408"/>
    <w:rsid w:val="00B56ADE"/>
    <w:rsid w:val="00B63E31"/>
    <w:rsid w:val="00B65212"/>
    <w:rsid w:val="00B6551E"/>
    <w:rsid w:val="00B7132A"/>
    <w:rsid w:val="00B765ED"/>
    <w:rsid w:val="00B80B23"/>
    <w:rsid w:val="00B854D2"/>
    <w:rsid w:val="00B918FC"/>
    <w:rsid w:val="00B93284"/>
    <w:rsid w:val="00B93447"/>
    <w:rsid w:val="00B946D4"/>
    <w:rsid w:val="00B95108"/>
    <w:rsid w:val="00BA1729"/>
    <w:rsid w:val="00BA5853"/>
    <w:rsid w:val="00BA6026"/>
    <w:rsid w:val="00BB01FB"/>
    <w:rsid w:val="00BB02A2"/>
    <w:rsid w:val="00BB065D"/>
    <w:rsid w:val="00BB0C85"/>
    <w:rsid w:val="00BB5929"/>
    <w:rsid w:val="00BB6DD9"/>
    <w:rsid w:val="00BB75B9"/>
    <w:rsid w:val="00BC10AC"/>
    <w:rsid w:val="00BC30F0"/>
    <w:rsid w:val="00BC7E9D"/>
    <w:rsid w:val="00BD1578"/>
    <w:rsid w:val="00BD1A3B"/>
    <w:rsid w:val="00BD2354"/>
    <w:rsid w:val="00BD2665"/>
    <w:rsid w:val="00BD4E98"/>
    <w:rsid w:val="00BD562F"/>
    <w:rsid w:val="00BE0CA6"/>
    <w:rsid w:val="00BE1150"/>
    <w:rsid w:val="00BE1E46"/>
    <w:rsid w:val="00C02AB5"/>
    <w:rsid w:val="00C048AA"/>
    <w:rsid w:val="00C04BD2"/>
    <w:rsid w:val="00C05659"/>
    <w:rsid w:val="00C06FAC"/>
    <w:rsid w:val="00C1043F"/>
    <w:rsid w:val="00C116D2"/>
    <w:rsid w:val="00C132F4"/>
    <w:rsid w:val="00C16C09"/>
    <w:rsid w:val="00C17230"/>
    <w:rsid w:val="00C2124A"/>
    <w:rsid w:val="00C2171C"/>
    <w:rsid w:val="00C23698"/>
    <w:rsid w:val="00C258EA"/>
    <w:rsid w:val="00C30E0F"/>
    <w:rsid w:val="00C31949"/>
    <w:rsid w:val="00C31F1E"/>
    <w:rsid w:val="00C324E5"/>
    <w:rsid w:val="00C34503"/>
    <w:rsid w:val="00C40712"/>
    <w:rsid w:val="00C430CF"/>
    <w:rsid w:val="00C434BD"/>
    <w:rsid w:val="00C4420C"/>
    <w:rsid w:val="00C44A76"/>
    <w:rsid w:val="00C46A7D"/>
    <w:rsid w:val="00C641A2"/>
    <w:rsid w:val="00C64EE5"/>
    <w:rsid w:val="00C75C92"/>
    <w:rsid w:val="00C769B2"/>
    <w:rsid w:val="00C810E8"/>
    <w:rsid w:val="00C81D3E"/>
    <w:rsid w:val="00C85E84"/>
    <w:rsid w:val="00C954BC"/>
    <w:rsid w:val="00C965BF"/>
    <w:rsid w:val="00C9710D"/>
    <w:rsid w:val="00CA3CCE"/>
    <w:rsid w:val="00CA4DB3"/>
    <w:rsid w:val="00CA5338"/>
    <w:rsid w:val="00CA579A"/>
    <w:rsid w:val="00CB0F0A"/>
    <w:rsid w:val="00CB38BB"/>
    <w:rsid w:val="00CB4CD5"/>
    <w:rsid w:val="00CB707E"/>
    <w:rsid w:val="00CC042D"/>
    <w:rsid w:val="00CC0D18"/>
    <w:rsid w:val="00CC35A0"/>
    <w:rsid w:val="00CC5146"/>
    <w:rsid w:val="00CC611E"/>
    <w:rsid w:val="00CD1D99"/>
    <w:rsid w:val="00CD24E3"/>
    <w:rsid w:val="00CD5DF6"/>
    <w:rsid w:val="00CE02D8"/>
    <w:rsid w:val="00CE0806"/>
    <w:rsid w:val="00CE303A"/>
    <w:rsid w:val="00CE387B"/>
    <w:rsid w:val="00CE7912"/>
    <w:rsid w:val="00CF3F74"/>
    <w:rsid w:val="00CF4E68"/>
    <w:rsid w:val="00D0009F"/>
    <w:rsid w:val="00D025F7"/>
    <w:rsid w:val="00D04D8B"/>
    <w:rsid w:val="00D11240"/>
    <w:rsid w:val="00D118F6"/>
    <w:rsid w:val="00D12EAF"/>
    <w:rsid w:val="00D21FC2"/>
    <w:rsid w:val="00D348B1"/>
    <w:rsid w:val="00D3619E"/>
    <w:rsid w:val="00D415F4"/>
    <w:rsid w:val="00D45F5F"/>
    <w:rsid w:val="00D55F98"/>
    <w:rsid w:val="00D57E04"/>
    <w:rsid w:val="00D604D7"/>
    <w:rsid w:val="00D65AF2"/>
    <w:rsid w:val="00D6723F"/>
    <w:rsid w:val="00D70F86"/>
    <w:rsid w:val="00D763AE"/>
    <w:rsid w:val="00D77C13"/>
    <w:rsid w:val="00D834C1"/>
    <w:rsid w:val="00D942E3"/>
    <w:rsid w:val="00D954F1"/>
    <w:rsid w:val="00DA1C4A"/>
    <w:rsid w:val="00DA379A"/>
    <w:rsid w:val="00DA3ED8"/>
    <w:rsid w:val="00DA4235"/>
    <w:rsid w:val="00DA6043"/>
    <w:rsid w:val="00DA62D1"/>
    <w:rsid w:val="00DA7B00"/>
    <w:rsid w:val="00DB2634"/>
    <w:rsid w:val="00DB4C39"/>
    <w:rsid w:val="00DB734B"/>
    <w:rsid w:val="00DC3B44"/>
    <w:rsid w:val="00DC55B1"/>
    <w:rsid w:val="00DC5C79"/>
    <w:rsid w:val="00DC6AC3"/>
    <w:rsid w:val="00DD2B8C"/>
    <w:rsid w:val="00DD2FB5"/>
    <w:rsid w:val="00DD3C1A"/>
    <w:rsid w:val="00DD44D7"/>
    <w:rsid w:val="00DD6C1A"/>
    <w:rsid w:val="00DE58AB"/>
    <w:rsid w:val="00DF0EB9"/>
    <w:rsid w:val="00E0108D"/>
    <w:rsid w:val="00E021A1"/>
    <w:rsid w:val="00E131FC"/>
    <w:rsid w:val="00E16F40"/>
    <w:rsid w:val="00E20588"/>
    <w:rsid w:val="00E207E0"/>
    <w:rsid w:val="00E2273C"/>
    <w:rsid w:val="00E32C56"/>
    <w:rsid w:val="00E35646"/>
    <w:rsid w:val="00E35997"/>
    <w:rsid w:val="00E40DDF"/>
    <w:rsid w:val="00E41514"/>
    <w:rsid w:val="00E4236A"/>
    <w:rsid w:val="00E42D3F"/>
    <w:rsid w:val="00E44670"/>
    <w:rsid w:val="00E45861"/>
    <w:rsid w:val="00E47040"/>
    <w:rsid w:val="00E5022A"/>
    <w:rsid w:val="00E50421"/>
    <w:rsid w:val="00E51307"/>
    <w:rsid w:val="00E53C7E"/>
    <w:rsid w:val="00E54B94"/>
    <w:rsid w:val="00E5578E"/>
    <w:rsid w:val="00E57338"/>
    <w:rsid w:val="00E57CD0"/>
    <w:rsid w:val="00E61315"/>
    <w:rsid w:val="00E63A30"/>
    <w:rsid w:val="00E70663"/>
    <w:rsid w:val="00E721F3"/>
    <w:rsid w:val="00E73124"/>
    <w:rsid w:val="00E8032F"/>
    <w:rsid w:val="00E81EAF"/>
    <w:rsid w:val="00E82B12"/>
    <w:rsid w:val="00E84BF4"/>
    <w:rsid w:val="00E85452"/>
    <w:rsid w:val="00E87DA6"/>
    <w:rsid w:val="00E93311"/>
    <w:rsid w:val="00E93EA9"/>
    <w:rsid w:val="00E94264"/>
    <w:rsid w:val="00E966BE"/>
    <w:rsid w:val="00E97D79"/>
    <w:rsid w:val="00EA0E3A"/>
    <w:rsid w:val="00EA3FAA"/>
    <w:rsid w:val="00EA78B4"/>
    <w:rsid w:val="00EA78E6"/>
    <w:rsid w:val="00EB18A9"/>
    <w:rsid w:val="00EB1B1E"/>
    <w:rsid w:val="00EB21B0"/>
    <w:rsid w:val="00EB314A"/>
    <w:rsid w:val="00EC094E"/>
    <w:rsid w:val="00EC1FDD"/>
    <w:rsid w:val="00EC2E7C"/>
    <w:rsid w:val="00EC3B4E"/>
    <w:rsid w:val="00EC5D7D"/>
    <w:rsid w:val="00EC5DE1"/>
    <w:rsid w:val="00EC7055"/>
    <w:rsid w:val="00ED50BD"/>
    <w:rsid w:val="00EE2920"/>
    <w:rsid w:val="00EE4F56"/>
    <w:rsid w:val="00EE5DA4"/>
    <w:rsid w:val="00EE7EEF"/>
    <w:rsid w:val="00EF0E65"/>
    <w:rsid w:val="00EF1047"/>
    <w:rsid w:val="00EF236B"/>
    <w:rsid w:val="00EF478A"/>
    <w:rsid w:val="00EF5BDF"/>
    <w:rsid w:val="00EF5FCF"/>
    <w:rsid w:val="00F01343"/>
    <w:rsid w:val="00F0173A"/>
    <w:rsid w:val="00F01F91"/>
    <w:rsid w:val="00F05F89"/>
    <w:rsid w:val="00F07333"/>
    <w:rsid w:val="00F07ED8"/>
    <w:rsid w:val="00F1028F"/>
    <w:rsid w:val="00F103B1"/>
    <w:rsid w:val="00F11AE1"/>
    <w:rsid w:val="00F12C30"/>
    <w:rsid w:val="00F137E6"/>
    <w:rsid w:val="00F1441F"/>
    <w:rsid w:val="00F16AB0"/>
    <w:rsid w:val="00F174CB"/>
    <w:rsid w:val="00F20353"/>
    <w:rsid w:val="00F22B99"/>
    <w:rsid w:val="00F25419"/>
    <w:rsid w:val="00F27018"/>
    <w:rsid w:val="00F319FA"/>
    <w:rsid w:val="00F32F80"/>
    <w:rsid w:val="00F35C86"/>
    <w:rsid w:val="00F36719"/>
    <w:rsid w:val="00F44E9E"/>
    <w:rsid w:val="00F468CB"/>
    <w:rsid w:val="00F55A3A"/>
    <w:rsid w:val="00F60003"/>
    <w:rsid w:val="00F6010E"/>
    <w:rsid w:val="00F631A9"/>
    <w:rsid w:val="00F66F07"/>
    <w:rsid w:val="00F67530"/>
    <w:rsid w:val="00F70F47"/>
    <w:rsid w:val="00F730DB"/>
    <w:rsid w:val="00F81EBB"/>
    <w:rsid w:val="00F830A2"/>
    <w:rsid w:val="00F927F7"/>
    <w:rsid w:val="00F93611"/>
    <w:rsid w:val="00F94147"/>
    <w:rsid w:val="00F96774"/>
    <w:rsid w:val="00F968B4"/>
    <w:rsid w:val="00FA0969"/>
    <w:rsid w:val="00FA1A69"/>
    <w:rsid w:val="00FA2FD5"/>
    <w:rsid w:val="00FA4770"/>
    <w:rsid w:val="00FB122B"/>
    <w:rsid w:val="00FB2D85"/>
    <w:rsid w:val="00FB4881"/>
    <w:rsid w:val="00FB5872"/>
    <w:rsid w:val="00FC0504"/>
    <w:rsid w:val="00FC2832"/>
    <w:rsid w:val="00FD1A83"/>
    <w:rsid w:val="00FD1FC4"/>
    <w:rsid w:val="00FD2D49"/>
    <w:rsid w:val="00FE60DE"/>
    <w:rsid w:val="00FF207C"/>
    <w:rsid w:val="00FF3522"/>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bidi="ar-SA"/>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bidi="ar-SA"/>
    </w:rPr>
  </w:style>
  <w:style w:type="character" w:customStyle="1" w:styleId="nbase2">
    <w:name w:val="nbase2"/>
    <w:basedOn w:val="DefaultParagraphFont"/>
    <w:rsid w:val="008C7039"/>
    <w:rPr>
      <w:rFonts w:ascii="Arial" w:hAnsi="Arial" w:cs="Arial" w:hint="default"/>
      <w:color w:val="0034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bidi="ar-SA"/>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bidi="ar-SA"/>
    </w:rPr>
  </w:style>
  <w:style w:type="character" w:customStyle="1" w:styleId="nbase2">
    <w:name w:val="nbase2"/>
    <w:basedOn w:val="DefaultParagraphFont"/>
    <w:rsid w:val="008C7039"/>
    <w:rPr>
      <w:rFonts w:ascii="Arial" w:hAnsi="Arial" w:cs="Arial" w:hint="default"/>
      <w:color w:val="0034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2199">
      <w:bodyDiv w:val="1"/>
      <w:marLeft w:val="0"/>
      <w:marRight w:val="0"/>
      <w:marTop w:val="0"/>
      <w:marBottom w:val="0"/>
      <w:divBdr>
        <w:top w:val="none" w:sz="0" w:space="0" w:color="auto"/>
        <w:left w:val="none" w:sz="0" w:space="0" w:color="auto"/>
        <w:bottom w:val="none" w:sz="0" w:space="0" w:color="auto"/>
        <w:right w:val="none" w:sz="0" w:space="0" w:color="auto"/>
      </w:divBdr>
    </w:div>
    <w:div w:id="88700450">
      <w:bodyDiv w:val="1"/>
      <w:marLeft w:val="0"/>
      <w:marRight w:val="0"/>
      <w:marTop w:val="0"/>
      <w:marBottom w:val="0"/>
      <w:divBdr>
        <w:top w:val="none" w:sz="0" w:space="0" w:color="auto"/>
        <w:left w:val="none" w:sz="0" w:space="0" w:color="auto"/>
        <w:bottom w:val="none" w:sz="0" w:space="0" w:color="auto"/>
        <w:right w:val="none" w:sz="0" w:space="0" w:color="auto"/>
      </w:divBdr>
    </w:div>
    <w:div w:id="245263887">
      <w:bodyDiv w:val="1"/>
      <w:marLeft w:val="0"/>
      <w:marRight w:val="0"/>
      <w:marTop w:val="0"/>
      <w:marBottom w:val="0"/>
      <w:divBdr>
        <w:top w:val="none" w:sz="0" w:space="0" w:color="auto"/>
        <w:left w:val="none" w:sz="0" w:space="0" w:color="auto"/>
        <w:bottom w:val="none" w:sz="0" w:space="0" w:color="auto"/>
        <w:right w:val="none" w:sz="0" w:space="0" w:color="auto"/>
      </w:divBdr>
    </w:div>
    <w:div w:id="255525332">
      <w:bodyDiv w:val="1"/>
      <w:marLeft w:val="0"/>
      <w:marRight w:val="0"/>
      <w:marTop w:val="0"/>
      <w:marBottom w:val="0"/>
      <w:divBdr>
        <w:top w:val="none" w:sz="0" w:space="0" w:color="auto"/>
        <w:left w:val="none" w:sz="0" w:space="0" w:color="auto"/>
        <w:bottom w:val="none" w:sz="0" w:space="0" w:color="auto"/>
        <w:right w:val="none" w:sz="0" w:space="0" w:color="auto"/>
      </w:divBdr>
    </w:div>
    <w:div w:id="387801261">
      <w:bodyDiv w:val="1"/>
      <w:marLeft w:val="0"/>
      <w:marRight w:val="0"/>
      <w:marTop w:val="0"/>
      <w:marBottom w:val="0"/>
      <w:divBdr>
        <w:top w:val="none" w:sz="0" w:space="0" w:color="auto"/>
        <w:left w:val="none" w:sz="0" w:space="0" w:color="auto"/>
        <w:bottom w:val="none" w:sz="0" w:space="0" w:color="auto"/>
        <w:right w:val="none" w:sz="0" w:space="0" w:color="auto"/>
      </w:divBdr>
    </w:div>
    <w:div w:id="427892864">
      <w:bodyDiv w:val="1"/>
      <w:marLeft w:val="0"/>
      <w:marRight w:val="0"/>
      <w:marTop w:val="0"/>
      <w:marBottom w:val="0"/>
      <w:divBdr>
        <w:top w:val="none" w:sz="0" w:space="0" w:color="auto"/>
        <w:left w:val="none" w:sz="0" w:space="0" w:color="auto"/>
        <w:bottom w:val="none" w:sz="0" w:space="0" w:color="auto"/>
        <w:right w:val="none" w:sz="0" w:space="0" w:color="auto"/>
      </w:divBdr>
    </w:div>
    <w:div w:id="501701746">
      <w:bodyDiv w:val="1"/>
      <w:marLeft w:val="0"/>
      <w:marRight w:val="0"/>
      <w:marTop w:val="0"/>
      <w:marBottom w:val="0"/>
      <w:divBdr>
        <w:top w:val="none" w:sz="0" w:space="0" w:color="auto"/>
        <w:left w:val="none" w:sz="0" w:space="0" w:color="auto"/>
        <w:bottom w:val="none" w:sz="0" w:space="0" w:color="auto"/>
        <w:right w:val="none" w:sz="0" w:space="0" w:color="auto"/>
      </w:divBdr>
    </w:div>
    <w:div w:id="664744515">
      <w:bodyDiv w:val="1"/>
      <w:marLeft w:val="0"/>
      <w:marRight w:val="0"/>
      <w:marTop w:val="0"/>
      <w:marBottom w:val="0"/>
      <w:divBdr>
        <w:top w:val="none" w:sz="0" w:space="0" w:color="auto"/>
        <w:left w:val="none" w:sz="0" w:space="0" w:color="auto"/>
        <w:bottom w:val="none" w:sz="0" w:space="0" w:color="auto"/>
        <w:right w:val="none" w:sz="0" w:space="0" w:color="auto"/>
      </w:divBdr>
    </w:div>
    <w:div w:id="668794922">
      <w:bodyDiv w:val="1"/>
      <w:marLeft w:val="0"/>
      <w:marRight w:val="0"/>
      <w:marTop w:val="0"/>
      <w:marBottom w:val="0"/>
      <w:divBdr>
        <w:top w:val="none" w:sz="0" w:space="0" w:color="auto"/>
        <w:left w:val="none" w:sz="0" w:space="0" w:color="auto"/>
        <w:bottom w:val="none" w:sz="0" w:space="0" w:color="auto"/>
        <w:right w:val="none" w:sz="0" w:space="0" w:color="auto"/>
      </w:divBdr>
    </w:div>
    <w:div w:id="698359353">
      <w:bodyDiv w:val="1"/>
      <w:marLeft w:val="0"/>
      <w:marRight w:val="0"/>
      <w:marTop w:val="0"/>
      <w:marBottom w:val="0"/>
      <w:divBdr>
        <w:top w:val="none" w:sz="0" w:space="0" w:color="auto"/>
        <w:left w:val="none" w:sz="0" w:space="0" w:color="auto"/>
        <w:bottom w:val="none" w:sz="0" w:space="0" w:color="auto"/>
        <w:right w:val="none" w:sz="0" w:space="0" w:color="auto"/>
      </w:divBdr>
    </w:div>
    <w:div w:id="725497506">
      <w:bodyDiv w:val="1"/>
      <w:marLeft w:val="0"/>
      <w:marRight w:val="0"/>
      <w:marTop w:val="0"/>
      <w:marBottom w:val="0"/>
      <w:divBdr>
        <w:top w:val="none" w:sz="0" w:space="0" w:color="auto"/>
        <w:left w:val="none" w:sz="0" w:space="0" w:color="auto"/>
        <w:bottom w:val="none" w:sz="0" w:space="0" w:color="auto"/>
        <w:right w:val="none" w:sz="0" w:space="0" w:color="auto"/>
      </w:divBdr>
    </w:div>
    <w:div w:id="746612682">
      <w:bodyDiv w:val="1"/>
      <w:marLeft w:val="0"/>
      <w:marRight w:val="0"/>
      <w:marTop w:val="0"/>
      <w:marBottom w:val="0"/>
      <w:divBdr>
        <w:top w:val="none" w:sz="0" w:space="0" w:color="auto"/>
        <w:left w:val="none" w:sz="0" w:space="0" w:color="auto"/>
        <w:bottom w:val="none" w:sz="0" w:space="0" w:color="auto"/>
        <w:right w:val="none" w:sz="0" w:space="0" w:color="auto"/>
      </w:divBdr>
    </w:div>
    <w:div w:id="765617449">
      <w:bodyDiv w:val="1"/>
      <w:marLeft w:val="0"/>
      <w:marRight w:val="0"/>
      <w:marTop w:val="0"/>
      <w:marBottom w:val="0"/>
      <w:divBdr>
        <w:top w:val="none" w:sz="0" w:space="0" w:color="auto"/>
        <w:left w:val="none" w:sz="0" w:space="0" w:color="auto"/>
        <w:bottom w:val="none" w:sz="0" w:space="0" w:color="auto"/>
        <w:right w:val="none" w:sz="0" w:space="0" w:color="auto"/>
      </w:divBdr>
    </w:div>
    <w:div w:id="797991088">
      <w:bodyDiv w:val="1"/>
      <w:marLeft w:val="0"/>
      <w:marRight w:val="0"/>
      <w:marTop w:val="0"/>
      <w:marBottom w:val="0"/>
      <w:divBdr>
        <w:top w:val="none" w:sz="0" w:space="0" w:color="auto"/>
        <w:left w:val="none" w:sz="0" w:space="0" w:color="auto"/>
        <w:bottom w:val="none" w:sz="0" w:space="0" w:color="auto"/>
        <w:right w:val="none" w:sz="0" w:space="0" w:color="auto"/>
      </w:divBdr>
    </w:div>
    <w:div w:id="874662265">
      <w:bodyDiv w:val="1"/>
      <w:marLeft w:val="0"/>
      <w:marRight w:val="0"/>
      <w:marTop w:val="0"/>
      <w:marBottom w:val="0"/>
      <w:divBdr>
        <w:top w:val="none" w:sz="0" w:space="0" w:color="auto"/>
        <w:left w:val="none" w:sz="0" w:space="0" w:color="auto"/>
        <w:bottom w:val="none" w:sz="0" w:space="0" w:color="auto"/>
        <w:right w:val="none" w:sz="0" w:space="0" w:color="auto"/>
      </w:divBdr>
    </w:div>
    <w:div w:id="1045645585">
      <w:bodyDiv w:val="1"/>
      <w:marLeft w:val="0"/>
      <w:marRight w:val="0"/>
      <w:marTop w:val="0"/>
      <w:marBottom w:val="0"/>
      <w:divBdr>
        <w:top w:val="none" w:sz="0" w:space="0" w:color="auto"/>
        <w:left w:val="none" w:sz="0" w:space="0" w:color="auto"/>
        <w:bottom w:val="none" w:sz="0" w:space="0" w:color="auto"/>
        <w:right w:val="none" w:sz="0" w:space="0" w:color="auto"/>
      </w:divBdr>
    </w:div>
    <w:div w:id="1095707747">
      <w:bodyDiv w:val="1"/>
      <w:marLeft w:val="0"/>
      <w:marRight w:val="0"/>
      <w:marTop w:val="0"/>
      <w:marBottom w:val="0"/>
      <w:divBdr>
        <w:top w:val="none" w:sz="0" w:space="0" w:color="auto"/>
        <w:left w:val="none" w:sz="0" w:space="0" w:color="auto"/>
        <w:bottom w:val="none" w:sz="0" w:space="0" w:color="auto"/>
        <w:right w:val="none" w:sz="0" w:space="0" w:color="auto"/>
      </w:divBdr>
    </w:div>
    <w:div w:id="1168519355">
      <w:bodyDiv w:val="1"/>
      <w:marLeft w:val="0"/>
      <w:marRight w:val="0"/>
      <w:marTop w:val="0"/>
      <w:marBottom w:val="0"/>
      <w:divBdr>
        <w:top w:val="none" w:sz="0" w:space="0" w:color="auto"/>
        <w:left w:val="none" w:sz="0" w:space="0" w:color="auto"/>
        <w:bottom w:val="none" w:sz="0" w:space="0" w:color="auto"/>
        <w:right w:val="none" w:sz="0" w:space="0" w:color="auto"/>
      </w:divBdr>
    </w:div>
    <w:div w:id="1452550779">
      <w:bodyDiv w:val="1"/>
      <w:marLeft w:val="0"/>
      <w:marRight w:val="0"/>
      <w:marTop w:val="0"/>
      <w:marBottom w:val="0"/>
      <w:divBdr>
        <w:top w:val="none" w:sz="0" w:space="0" w:color="auto"/>
        <w:left w:val="none" w:sz="0" w:space="0" w:color="auto"/>
        <w:bottom w:val="none" w:sz="0" w:space="0" w:color="auto"/>
        <w:right w:val="none" w:sz="0" w:space="0" w:color="auto"/>
      </w:divBdr>
    </w:div>
    <w:div w:id="1458177445">
      <w:bodyDiv w:val="1"/>
      <w:marLeft w:val="0"/>
      <w:marRight w:val="0"/>
      <w:marTop w:val="0"/>
      <w:marBottom w:val="0"/>
      <w:divBdr>
        <w:top w:val="none" w:sz="0" w:space="0" w:color="auto"/>
        <w:left w:val="none" w:sz="0" w:space="0" w:color="auto"/>
        <w:bottom w:val="none" w:sz="0" w:space="0" w:color="auto"/>
        <w:right w:val="none" w:sz="0" w:space="0" w:color="auto"/>
      </w:divBdr>
    </w:div>
    <w:div w:id="1473058756">
      <w:bodyDiv w:val="1"/>
      <w:marLeft w:val="0"/>
      <w:marRight w:val="0"/>
      <w:marTop w:val="0"/>
      <w:marBottom w:val="0"/>
      <w:divBdr>
        <w:top w:val="none" w:sz="0" w:space="0" w:color="auto"/>
        <w:left w:val="none" w:sz="0" w:space="0" w:color="auto"/>
        <w:bottom w:val="none" w:sz="0" w:space="0" w:color="auto"/>
        <w:right w:val="none" w:sz="0" w:space="0" w:color="auto"/>
      </w:divBdr>
    </w:div>
    <w:div w:id="1630238796">
      <w:bodyDiv w:val="1"/>
      <w:marLeft w:val="0"/>
      <w:marRight w:val="0"/>
      <w:marTop w:val="0"/>
      <w:marBottom w:val="0"/>
      <w:divBdr>
        <w:top w:val="none" w:sz="0" w:space="0" w:color="auto"/>
        <w:left w:val="none" w:sz="0" w:space="0" w:color="auto"/>
        <w:bottom w:val="none" w:sz="0" w:space="0" w:color="auto"/>
        <w:right w:val="none" w:sz="0" w:space="0" w:color="auto"/>
      </w:divBdr>
    </w:div>
    <w:div w:id="1641108317">
      <w:bodyDiv w:val="1"/>
      <w:marLeft w:val="0"/>
      <w:marRight w:val="0"/>
      <w:marTop w:val="0"/>
      <w:marBottom w:val="0"/>
      <w:divBdr>
        <w:top w:val="none" w:sz="0" w:space="0" w:color="auto"/>
        <w:left w:val="none" w:sz="0" w:space="0" w:color="auto"/>
        <w:bottom w:val="none" w:sz="0" w:space="0" w:color="auto"/>
        <w:right w:val="none" w:sz="0" w:space="0" w:color="auto"/>
      </w:divBdr>
    </w:div>
    <w:div w:id="1642728035">
      <w:bodyDiv w:val="1"/>
      <w:marLeft w:val="0"/>
      <w:marRight w:val="0"/>
      <w:marTop w:val="0"/>
      <w:marBottom w:val="0"/>
      <w:divBdr>
        <w:top w:val="none" w:sz="0" w:space="0" w:color="auto"/>
        <w:left w:val="none" w:sz="0" w:space="0" w:color="auto"/>
        <w:bottom w:val="none" w:sz="0" w:space="0" w:color="auto"/>
        <w:right w:val="none" w:sz="0" w:space="0" w:color="auto"/>
      </w:divBdr>
    </w:div>
    <w:div w:id="1743597333">
      <w:bodyDiv w:val="1"/>
      <w:marLeft w:val="0"/>
      <w:marRight w:val="0"/>
      <w:marTop w:val="0"/>
      <w:marBottom w:val="0"/>
      <w:divBdr>
        <w:top w:val="none" w:sz="0" w:space="0" w:color="auto"/>
        <w:left w:val="none" w:sz="0" w:space="0" w:color="auto"/>
        <w:bottom w:val="none" w:sz="0" w:space="0" w:color="auto"/>
        <w:right w:val="none" w:sz="0" w:space="0" w:color="auto"/>
      </w:divBdr>
    </w:div>
    <w:div w:id="1815023853">
      <w:bodyDiv w:val="1"/>
      <w:marLeft w:val="0"/>
      <w:marRight w:val="0"/>
      <w:marTop w:val="0"/>
      <w:marBottom w:val="0"/>
      <w:divBdr>
        <w:top w:val="none" w:sz="0" w:space="0" w:color="auto"/>
        <w:left w:val="none" w:sz="0" w:space="0" w:color="auto"/>
        <w:bottom w:val="none" w:sz="0" w:space="0" w:color="auto"/>
        <w:right w:val="none" w:sz="0" w:space="0" w:color="auto"/>
      </w:divBdr>
    </w:div>
    <w:div w:id="1826781293">
      <w:bodyDiv w:val="1"/>
      <w:marLeft w:val="0"/>
      <w:marRight w:val="0"/>
      <w:marTop w:val="0"/>
      <w:marBottom w:val="0"/>
      <w:divBdr>
        <w:top w:val="none" w:sz="0" w:space="0" w:color="auto"/>
        <w:left w:val="none" w:sz="0" w:space="0" w:color="auto"/>
        <w:bottom w:val="none" w:sz="0" w:space="0" w:color="auto"/>
        <w:right w:val="none" w:sz="0" w:space="0" w:color="auto"/>
      </w:divBdr>
    </w:div>
    <w:div w:id="1903130767">
      <w:bodyDiv w:val="1"/>
      <w:marLeft w:val="0"/>
      <w:marRight w:val="0"/>
      <w:marTop w:val="0"/>
      <w:marBottom w:val="0"/>
      <w:divBdr>
        <w:top w:val="none" w:sz="0" w:space="0" w:color="auto"/>
        <w:left w:val="none" w:sz="0" w:space="0" w:color="auto"/>
        <w:bottom w:val="none" w:sz="0" w:space="0" w:color="auto"/>
        <w:right w:val="none" w:sz="0" w:space="0" w:color="auto"/>
      </w:divBdr>
    </w:div>
    <w:div w:id="2002653720">
      <w:bodyDiv w:val="1"/>
      <w:marLeft w:val="0"/>
      <w:marRight w:val="0"/>
      <w:marTop w:val="0"/>
      <w:marBottom w:val="0"/>
      <w:divBdr>
        <w:top w:val="none" w:sz="0" w:space="0" w:color="auto"/>
        <w:left w:val="none" w:sz="0" w:space="0" w:color="auto"/>
        <w:bottom w:val="none" w:sz="0" w:space="0" w:color="auto"/>
        <w:right w:val="none" w:sz="0" w:space="0" w:color="auto"/>
      </w:divBdr>
    </w:div>
    <w:div w:id="214716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970F-00D5-450D-9D94-9B7F756F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MM/A/51/1</vt:lpstr>
    </vt:vector>
  </TitlesOfParts>
  <Company>WIPO</Company>
  <LinksUpToDate>false</LinksUpToDate>
  <CharactersWithSpaces>17634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MM/A/51/1</dc:title>
  <dc:creator>JC</dc:creator>
  <cp:lastModifiedBy>HÄFLIGER Patience</cp:lastModifiedBy>
  <cp:revision>9</cp:revision>
  <cp:lastPrinted>2017-06-26T08:21:00Z</cp:lastPrinted>
  <dcterms:created xsi:type="dcterms:W3CDTF">2017-06-19T09:28:00Z</dcterms:created>
  <dcterms:modified xsi:type="dcterms:W3CDTF">2017-06-26T08:21:00Z</dcterms:modified>
</cp:coreProperties>
</file>