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EF3802" w:rsidTr="00A7453D">
        <w:tc>
          <w:tcPr>
            <w:tcW w:w="4513" w:type="dxa"/>
            <w:tcBorders>
              <w:bottom w:val="single" w:sz="4" w:space="0" w:color="auto"/>
            </w:tcBorders>
            <w:tcMar>
              <w:bottom w:w="170" w:type="dxa"/>
            </w:tcMar>
          </w:tcPr>
          <w:p w:rsidR="00E504E5" w:rsidRPr="00EF3802" w:rsidRDefault="00E504E5" w:rsidP="00AB613D"/>
        </w:tc>
        <w:tc>
          <w:tcPr>
            <w:tcW w:w="4337" w:type="dxa"/>
            <w:tcBorders>
              <w:bottom w:val="single" w:sz="4" w:space="0" w:color="auto"/>
            </w:tcBorders>
            <w:tcMar>
              <w:left w:w="0" w:type="dxa"/>
              <w:right w:w="0" w:type="dxa"/>
            </w:tcMar>
          </w:tcPr>
          <w:p w:rsidR="00E504E5" w:rsidRPr="00EF3802" w:rsidRDefault="0065520C" w:rsidP="00AB613D">
            <w:r w:rsidRPr="00EF3802">
              <w:rPr>
                <w:noProof/>
                <w:lang w:val="en-US" w:eastAsia="en-US"/>
              </w:rPr>
              <w:drawing>
                <wp:inline distT="0" distB="0" distL="0" distR="0" wp14:anchorId="281783BA" wp14:editId="292541A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EF3802" w:rsidRDefault="00E504E5" w:rsidP="00AB613D">
            <w:pPr>
              <w:jc w:val="right"/>
            </w:pPr>
            <w:r w:rsidRPr="00EF3802">
              <w:rPr>
                <w:b/>
                <w:sz w:val="40"/>
                <w:szCs w:val="40"/>
              </w:rPr>
              <w:t>S</w:t>
            </w:r>
          </w:p>
        </w:tc>
      </w:tr>
      <w:tr w:rsidR="008B2CC1" w:rsidRPr="00EF380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EF3802" w:rsidRDefault="0065520C" w:rsidP="00AB613D">
            <w:pPr>
              <w:jc w:val="right"/>
              <w:rPr>
                <w:rFonts w:ascii="Arial Black" w:hAnsi="Arial Black"/>
                <w:caps/>
                <w:sz w:val="15"/>
              </w:rPr>
            </w:pPr>
            <w:r w:rsidRPr="00EF3802">
              <w:rPr>
                <w:rFonts w:ascii="Arial Black" w:hAnsi="Arial Black"/>
                <w:caps/>
                <w:sz w:val="15"/>
              </w:rPr>
              <w:t>STLT/A/10/</w:t>
            </w:r>
            <w:bookmarkStart w:id="0" w:name="Code"/>
            <w:bookmarkEnd w:id="0"/>
            <w:r w:rsidR="00CF71D4" w:rsidRPr="00EF3802">
              <w:rPr>
                <w:rFonts w:ascii="Arial Black" w:hAnsi="Arial Black"/>
                <w:caps/>
                <w:sz w:val="15"/>
              </w:rPr>
              <w:t>1</w:t>
            </w:r>
          </w:p>
        </w:tc>
      </w:tr>
      <w:tr w:rsidR="008B2CC1" w:rsidRPr="00EF3802" w:rsidTr="00AB613D">
        <w:trPr>
          <w:trHeight w:hRule="exact" w:val="170"/>
        </w:trPr>
        <w:tc>
          <w:tcPr>
            <w:tcW w:w="9356" w:type="dxa"/>
            <w:gridSpan w:val="3"/>
            <w:noWrap/>
            <w:tcMar>
              <w:left w:w="0" w:type="dxa"/>
              <w:right w:w="0" w:type="dxa"/>
            </w:tcMar>
            <w:vAlign w:val="bottom"/>
          </w:tcPr>
          <w:p w:rsidR="008B2CC1" w:rsidRPr="00EF3802" w:rsidRDefault="008B2CC1" w:rsidP="00AB613D">
            <w:pPr>
              <w:jc w:val="right"/>
              <w:rPr>
                <w:rFonts w:ascii="Arial Black" w:hAnsi="Arial Black"/>
                <w:caps/>
                <w:sz w:val="15"/>
              </w:rPr>
            </w:pPr>
            <w:r w:rsidRPr="00EF3802">
              <w:rPr>
                <w:rFonts w:ascii="Arial Black" w:hAnsi="Arial Black"/>
                <w:caps/>
                <w:sz w:val="15"/>
              </w:rPr>
              <w:t>ORIGINAL:</w:t>
            </w:r>
            <w:r w:rsidR="00F84474" w:rsidRPr="00EF3802">
              <w:rPr>
                <w:rFonts w:ascii="Arial Black" w:hAnsi="Arial Black"/>
                <w:caps/>
                <w:sz w:val="15"/>
              </w:rPr>
              <w:t xml:space="preserve"> </w:t>
            </w:r>
            <w:r w:rsidRPr="00EF3802">
              <w:rPr>
                <w:rFonts w:ascii="Arial Black" w:hAnsi="Arial Black"/>
                <w:caps/>
                <w:sz w:val="15"/>
              </w:rPr>
              <w:t xml:space="preserve"> </w:t>
            </w:r>
            <w:bookmarkStart w:id="1" w:name="Original"/>
            <w:bookmarkEnd w:id="1"/>
            <w:r w:rsidR="00CF71D4" w:rsidRPr="00EF3802">
              <w:rPr>
                <w:rFonts w:ascii="Arial Black" w:hAnsi="Arial Black"/>
                <w:caps/>
                <w:sz w:val="15"/>
              </w:rPr>
              <w:t>INGLÉS</w:t>
            </w:r>
          </w:p>
        </w:tc>
      </w:tr>
      <w:tr w:rsidR="008B2CC1" w:rsidRPr="00EF3802" w:rsidTr="00AB613D">
        <w:trPr>
          <w:trHeight w:hRule="exact" w:val="198"/>
        </w:trPr>
        <w:tc>
          <w:tcPr>
            <w:tcW w:w="9356" w:type="dxa"/>
            <w:gridSpan w:val="3"/>
            <w:tcMar>
              <w:left w:w="0" w:type="dxa"/>
              <w:right w:w="0" w:type="dxa"/>
            </w:tcMar>
            <w:vAlign w:val="bottom"/>
          </w:tcPr>
          <w:p w:rsidR="008B2CC1" w:rsidRPr="00EF3802" w:rsidRDefault="00675021" w:rsidP="00AB613D">
            <w:pPr>
              <w:jc w:val="right"/>
              <w:rPr>
                <w:rFonts w:ascii="Arial Black" w:hAnsi="Arial Black"/>
                <w:caps/>
                <w:sz w:val="15"/>
              </w:rPr>
            </w:pPr>
            <w:r w:rsidRPr="00EF3802">
              <w:rPr>
                <w:rFonts w:ascii="Arial Black" w:hAnsi="Arial Black"/>
                <w:caps/>
                <w:sz w:val="15"/>
              </w:rPr>
              <w:t>fecha</w:t>
            </w:r>
            <w:r w:rsidR="008B2CC1" w:rsidRPr="00EF3802">
              <w:rPr>
                <w:rFonts w:ascii="Arial Black" w:hAnsi="Arial Black"/>
                <w:caps/>
                <w:sz w:val="15"/>
              </w:rPr>
              <w:t>:</w:t>
            </w:r>
            <w:r w:rsidR="00F84474" w:rsidRPr="00EF3802">
              <w:rPr>
                <w:rFonts w:ascii="Arial Black" w:hAnsi="Arial Black"/>
                <w:caps/>
                <w:sz w:val="15"/>
              </w:rPr>
              <w:t xml:space="preserve"> </w:t>
            </w:r>
            <w:r w:rsidR="008B2CC1" w:rsidRPr="00EF3802">
              <w:rPr>
                <w:rFonts w:ascii="Arial Black" w:hAnsi="Arial Black"/>
                <w:caps/>
                <w:sz w:val="15"/>
              </w:rPr>
              <w:t xml:space="preserve"> </w:t>
            </w:r>
            <w:bookmarkStart w:id="2" w:name="Date"/>
            <w:bookmarkEnd w:id="2"/>
            <w:r w:rsidR="00CF71D4" w:rsidRPr="00EF3802">
              <w:rPr>
                <w:rFonts w:ascii="Arial Black" w:hAnsi="Arial Black"/>
                <w:caps/>
                <w:sz w:val="15"/>
              </w:rPr>
              <w:t>3 DE JULIO DE 2017</w:t>
            </w:r>
          </w:p>
        </w:tc>
      </w:tr>
    </w:tbl>
    <w:p w:rsidR="008B2CC1" w:rsidRPr="00EF3802" w:rsidRDefault="008B2CC1" w:rsidP="008B2CC1"/>
    <w:p w:rsidR="008B2CC1" w:rsidRPr="00EF3802" w:rsidRDefault="008B2CC1" w:rsidP="008B2CC1"/>
    <w:p w:rsidR="008B2CC1" w:rsidRPr="00EF3802" w:rsidRDefault="008B2CC1" w:rsidP="008B2CC1"/>
    <w:p w:rsidR="008B2CC1" w:rsidRPr="00EF3802" w:rsidRDefault="008B2CC1" w:rsidP="008B2CC1"/>
    <w:p w:rsidR="008B2CC1" w:rsidRPr="00EF3802" w:rsidRDefault="008B2CC1" w:rsidP="008B2CC1"/>
    <w:p w:rsidR="008B2CC1" w:rsidRPr="00EF3802" w:rsidRDefault="0065520C" w:rsidP="008B2CC1">
      <w:pPr>
        <w:rPr>
          <w:b/>
          <w:sz w:val="28"/>
          <w:szCs w:val="28"/>
        </w:rPr>
      </w:pPr>
      <w:r w:rsidRPr="00EF3802">
        <w:rPr>
          <w:b/>
          <w:sz w:val="28"/>
          <w:szCs w:val="28"/>
        </w:rPr>
        <w:t>Tratado de Singapur sobre el Derecho de Marcas (STLT)</w:t>
      </w:r>
    </w:p>
    <w:p w:rsidR="003845C1" w:rsidRPr="00EF3802" w:rsidRDefault="003845C1" w:rsidP="003845C1"/>
    <w:p w:rsidR="001C4DD3" w:rsidRPr="00EF3802" w:rsidRDefault="001C4DD3" w:rsidP="003845C1"/>
    <w:p w:rsidR="001C4DD3" w:rsidRPr="00EF3802" w:rsidRDefault="001C4DD3" w:rsidP="003845C1">
      <w:pPr>
        <w:rPr>
          <w:b/>
          <w:sz w:val="28"/>
          <w:szCs w:val="28"/>
        </w:rPr>
      </w:pPr>
      <w:r w:rsidRPr="00EF3802">
        <w:rPr>
          <w:b/>
          <w:sz w:val="28"/>
          <w:szCs w:val="28"/>
        </w:rPr>
        <w:t>Asamblea</w:t>
      </w:r>
    </w:p>
    <w:p w:rsidR="001C4DD3" w:rsidRPr="00EF3802" w:rsidRDefault="001C4DD3" w:rsidP="003845C1"/>
    <w:p w:rsidR="003845C1" w:rsidRPr="00EF3802" w:rsidRDefault="003845C1" w:rsidP="003845C1"/>
    <w:p w:rsidR="0065520C" w:rsidRPr="00EF3802" w:rsidRDefault="0065520C" w:rsidP="0065520C">
      <w:pPr>
        <w:rPr>
          <w:b/>
          <w:sz w:val="24"/>
          <w:szCs w:val="24"/>
        </w:rPr>
      </w:pPr>
      <w:r w:rsidRPr="00EF3802">
        <w:rPr>
          <w:b/>
          <w:sz w:val="24"/>
          <w:szCs w:val="24"/>
        </w:rPr>
        <w:t>Decimo período de sesiones (</w:t>
      </w:r>
      <w:r w:rsidR="00744C58" w:rsidRPr="00EF3802">
        <w:rPr>
          <w:b/>
          <w:sz w:val="24"/>
          <w:szCs w:val="24"/>
        </w:rPr>
        <w:t>5</w:t>
      </w:r>
      <w:r w:rsidR="00744C58" w:rsidRPr="00EF3802">
        <w:rPr>
          <w:b/>
          <w:sz w:val="24"/>
          <w:szCs w:val="24"/>
          <w:vertAlign w:val="superscript"/>
        </w:rPr>
        <w:t>º</w:t>
      </w:r>
      <w:r w:rsidR="00744C58" w:rsidRPr="00EF3802">
        <w:rPr>
          <w:b/>
          <w:sz w:val="24"/>
          <w:szCs w:val="24"/>
        </w:rPr>
        <w:t xml:space="preserve"> ordinario</w:t>
      </w:r>
      <w:r w:rsidRPr="00EF3802">
        <w:rPr>
          <w:b/>
          <w:sz w:val="24"/>
          <w:szCs w:val="24"/>
        </w:rPr>
        <w:t>)</w:t>
      </w:r>
    </w:p>
    <w:p w:rsidR="008B2CC1" w:rsidRPr="00EF3802" w:rsidRDefault="0065520C" w:rsidP="0065520C">
      <w:pPr>
        <w:rPr>
          <w:b/>
          <w:sz w:val="24"/>
          <w:szCs w:val="24"/>
        </w:rPr>
      </w:pPr>
      <w:r w:rsidRPr="00EF3802">
        <w:rPr>
          <w:b/>
          <w:sz w:val="24"/>
          <w:szCs w:val="24"/>
        </w:rPr>
        <w:t>Ginebra, 2 a 11 de octubre de 2017</w:t>
      </w:r>
    </w:p>
    <w:p w:rsidR="008B2CC1" w:rsidRPr="00EF3802" w:rsidRDefault="008B2CC1" w:rsidP="008B2CC1"/>
    <w:p w:rsidR="008B2CC1" w:rsidRPr="00EF3802" w:rsidRDefault="008B2CC1" w:rsidP="008B2CC1"/>
    <w:p w:rsidR="008B2CC1" w:rsidRPr="00EF3802" w:rsidRDefault="008B2CC1" w:rsidP="008B2CC1"/>
    <w:p w:rsidR="00CF71D4" w:rsidRPr="00EF3802" w:rsidRDefault="00DF5F7C" w:rsidP="00CF71D4">
      <w:pPr>
        <w:rPr>
          <w:caps/>
          <w:sz w:val="24"/>
        </w:rPr>
      </w:pPr>
      <w:bookmarkStart w:id="3" w:name="TitleOfDoc"/>
      <w:bookmarkEnd w:id="3"/>
      <w:r w:rsidRPr="00EF3802">
        <w:rPr>
          <w:caps/>
          <w:sz w:val="24"/>
        </w:rPr>
        <w:t>ASISTENCIA PARA LA APLICACIÓN DEL TRATADO DE SINGAPUR SOBRE EL DERECHO DE MARCAS (STLT)</w:t>
      </w:r>
    </w:p>
    <w:p w:rsidR="00CF71D4" w:rsidRPr="00EF3802" w:rsidRDefault="00CF71D4" w:rsidP="00CF71D4">
      <w:pPr>
        <w:rPr>
          <w:caps/>
          <w:sz w:val="24"/>
        </w:rPr>
      </w:pPr>
    </w:p>
    <w:p w:rsidR="00CF71D4" w:rsidRPr="00EF3802" w:rsidRDefault="00CF71D4" w:rsidP="00CF71D4"/>
    <w:p w:rsidR="00CF71D4" w:rsidRPr="00EF3802" w:rsidRDefault="00DF5F7C" w:rsidP="00CF71D4">
      <w:pPr>
        <w:rPr>
          <w:i/>
        </w:rPr>
      </w:pPr>
      <w:bookmarkStart w:id="4" w:name="Prepared"/>
      <w:bookmarkEnd w:id="4"/>
      <w:r w:rsidRPr="00EF3802">
        <w:rPr>
          <w:i/>
        </w:rPr>
        <w:t>Documento preparado por la Oficina Internacional</w:t>
      </w:r>
    </w:p>
    <w:p w:rsidR="00CF71D4" w:rsidRPr="00EF3802" w:rsidRDefault="00CF71D4" w:rsidP="00CF71D4"/>
    <w:p w:rsidR="00CF71D4" w:rsidRPr="00EF3802" w:rsidRDefault="00CF71D4" w:rsidP="00CF71D4"/>
    <w:p w:rsidR="00CF71D4" w:rsidRPr="00EF3802" w:rsidRDefault="00CF71D4" w:rsidP="00CF71D4"/>
    <w:p w:rsidR="00CF71D4" w:rsidRPr="00EF3802" w:rsidRDefault="00CF71D4" w:rsidP="00CF71D4">
      <w:pPr>
        <w:pStyle w:val="Heading1"/>
        <w:ind w:left="567" w:hanging="567"/>
      </w:pPr>
      <w:r w:rsidRPr="00EF3802">
        <w:t xml:space="preserve">I. </w:t>
      </w:r>
      <w:r w:rsidRPr="00EF3802">
        <w:tab/>
        <w:t>INTRODUC</w:t>
      </w:r>
      <w:r w:rsidR="00CF1678" w:rsidRPr="00EF3802">
        <w:t>CIÓN</w:t>
      </w:r>
    </w:p>
    <w:p w:rsidR="00CF71D4" w:rsidRPr="00EF3802" w:rsidRDefault="00CF71D4" w:rsidP="00CF71D4"/>
    <w:p w:rsidR="00CF71D4" w:rsidRPr="00EF3802" w:rsidRDefault="00CF71D4" w:rsidP="00CF71D4">
      <w:pPr>
        <w:tabs>
          <w:tab w:val="left" w:pos="550"/>
        </w:tabs>
      </w:pPr>
      <w:r w:rsidRPr="00EF3802">
        <w:fldChar w:fldCharType="begin"/>
      </w:r>
      <w:r w:rsidRPr="00EF3802">
        <w:instrText xml:space="preserve"> AUTONUM  </w:instrText>
      </w:r>
      <w:r w:rsidRPr="00EF3802">
        <w:fldChar w:fldCharType="end"/>
      </w:r>
      <w:r w:rsidRPr="00EF3802">
        <w:tab/>
      </w:r>
      <w:r w:rsidR="00CF1678" w:rsidRPr="00EF3802">
        <w:t>En su Resolución suplementaria al Tratado de Singapur sobre el Derecho de Marcas (en lo sucesivo, “el Tratado de Singapur”), la Conferencia Diplomática para la Adopción de un Tratado revisado sobre el Derecho de Marcas, ce</w:t>
      </w:r>
      <w:r w:rsidR="00F76AD4" w:rsidRPr="00EF3802">
        <w:t>lebrada en Singapur en marzo de </w:t>
      </w:r>
      <w:r w:rsidR="00CF1678" w:rsidRPr="00EF3802">
        <w:t xml:space="preserve">2006, solicitó a la Asamblea del Tratado de Singapur que supervisara y evaluara, en cada período ordinario de sesiones, la marcha de la asistencia relacionada con la labor de aplicación y con los beneficios resultantes de </w:t>
      </w:r>
      <w:r w:rsidR="00AE0E1B" w:rsidRPr="00EF3802">
        <w:t>la misma</w:t>
      </w:r>
      <w:r w:rsidR="00CF1678" w:rsidRPr="00EF3802">
        <w:t xml:space="preserve"> (párrafo 8 de la Resolución suplementaria al Tratado de Singapur, adoptada por la Conferencia Diplomática para la Adopción de un Tratado revisado sobre el Derecho de Marcas, Singapur, 13 a 27 de marzo de 2006)</w:t>
      </w:r>
      <w:r w:rsidRPr="00EF3802">
        <w:t>.</w:t>
      </w:r>
    </w:p>
    <w:p w:rsidR="00CF71D4" w:rsidRPr="00EF3802" w:rsidRDefault="00CF71D4" w:rsidP="00CF71D4"/>
    <w:p w:rsidR="00CF71D4" w:rsidRPr="00EF3802" w:rsidRDefault="00CF71D4" w:rsidP="00CF71D4">
      <w:pPr>
        <w:tabs>
          <w:tab w:val="left" w:pos="550"/>
        </w:tabs>
      </w:pPr>
      <w:r w:rsidRPr="00EF3802">
        <w:fldChar w:fldCharType="begin"/>
      </w:r>
      <w:r w:rsidRPr="00EF3802">
        <w:instrText xml:space="preserve"> AUTONUM  </w:instrText>
      </w:r>
      <w:r w:rsidRPr="00EF3802">
        <w:fldChar w:fldCharType="end"/>
      </w:r>
      <w:r w:rsidRPr="00EF3802">
        <w:tab/>
      </w:r>
      <w:r w:rsidR="00F76AD4" w:rsidRPr="00EF3802">
        <w:t xml:space="preserve">En su primer período ordinario de sesiones, celebrado en </w:t>
      </w:r>
      <w:r w:rsidR="00AE0294">
        <w:t>Ginebra del 22 de septiembre al </w:t>
      </w:r>
      <w:r w:rsidR="00F76AD4" w:rsidRPr="00EF3802">
        <w:t>1</w:t>
      </w:r>
      <w:r w:rsidR="00AE0294">
        <w:t xml:space="preserve"> </w:t>
      </w:r>
      <w:r w:rsidR="00F76AD4" w:rsidRPr="00EF3802">
        <w:t xml:space="preserve">de octubre de 2009, la Asamblea del Tratado de Singapur acordó que las Partes Contratantes comunicarían a la Oficina Internacional toda información sobre </w:t>
      </w:r>
      <w:r w:rsidR="00AE0E1B" w:rsidRPr="00EF3802">
        <w:t xml:space="preserve">las </w:t>
      </w:r>
      <w:r w:rsidR="00F76AD4" w:rsidRPr="00EF3802">
        <w:t>actividades de asistencia técnica relacionadas con la aplicación del Tratado de Singapur y que la Oficina Internacional recopilaría la información recibida y la presentaría, junto con toda la información pertinente de sus propias actividades de asistencia técnica, en el siguiente período ordinario de sesiones de la Asamblea del Tratado de Singapur (párrafo 4 del documento STLT/A/1/2 y párrafo 10 del documento STLT/A/1/4)</w:t>
      </w:r>
      <w:r w:rsidRPr="00EF3802">
        <w:t>.</w:t>
      </w:r>
    </w:p>
    <w:p w:rsidR="00CF71D4" w:rsidRPr="00EF3802" w:rsidRDefault="00CF71D4" w:rsidP="00CF71D4"/>
    <w:p w:rsidR="00CF71D4" w:rsidRPr="00EF3802" w:rsidRDefault="00CF71D4" w:rsidP="00CF71D4">
      <w:pPr>
        <w:tabs>
          <w:tab w:val="left" w:pos="567"/>
        </w:tabs>
      </w:pPr>
      <w:r w:rsidRPr="00EF3802">
        <w:br w:type="page"/>
      </w:r>
      <w:r w:rsidRPr="00EF3802">
        <w:lastRenderedPageBreak/>
        <w:fldChar w:fldCharType="begin"/>
      </w:r>
      <w:r w:rsidRPr="00EF3802">
        <w:instrText xml:space="preserve"> AUTONUM  </w:instrText>
      </w:r>
      <w:r w:rsidRPr="00EF3802">
        <w:fldChar w:fldCharType="end"/>
      </w:r>
      <w:r w:rsidRPr="00EF3802">
        <w:tab/>
      </w:r>
      <w:r w:rsidR="0053662A" w:rsidRPr="00EF3802">
        <w:t>Por consiguiente</w:t>
      </w:r>
      <w:r w:rsidRPr="00EF3802">
        <w:t xml:space="preserve">, </w:t>
      </w:r>
      <w:r w:rsidR="0053662A" w:rsidRPr="00EF3802">
        <w:t>la Oficina Internacional somete a</w:t>
      </w:r>
      <w:r w:rsidR="00AE0E1B" w:rsidRPr="00EF3802">
        <w:t>l</w:t>
      </w:r>
      <w:r w:rsidR="0053662A" w:rsidRPr="00EF3802">
        <w:t xml:space="preserve"> examen de la Asamblea del Tratado de Singapur, en cada período ordinario de sesiones, un informe acerca de la asistencia prestada a los fines de la aplicación del Tratado</w:t>
      </w:r>
      <w:r w:rsidRPr="00EF3802">
        <w:t xml:space="preserve">.  </w:t>
      </w:r>
      <w:r w:rsidR="0053662A" w:rsidRPr="00EF3802">
        <w:t>El</w:t>
      </w:r>
      <w:r w:rsidRPr="00EF3802">
        <w:t xml:space="preserve"> present</w:t>
      </w:r>
      <w:r w:rsidR="0053662A" w:rsidRPr="00EF3802">
        <w:t>e</w:t>
      </w:r>
      <w:r w:rsidRPr="00EF3802">
        <w:t xml:space="preserve"> document</w:t>
      </w:r>
      <w:r w:rsidR="0053662A" w:rsidRPr="00EF3802">
        <w:t>o constituye una reseña del período comprendido entre junio de </w:t>
      </w:r>
      <w:r w:rsidRPr="00EF3802">
        <w:t xml:space="preserve">2015 </w:t>
      </w:r>
      <w:r w:rsidR="0053662A" w:rsidRPr="00EF3802">
        <w:t>y mayo de </w:t>
      </w:r>
      <w:r w:rsidRPr="00EF3802">
        <w:t xml:space="preserve">2017.  </w:t>
      </w:r>
      <w:r w:rsidR="0053662A" w:rsidRPr="00EF3802">
        <w:t>La información se presenta en dos amplias categorías de actividades, a saber, asistencia en el establecimiento del marco jurídico para la aplicación del Tratado y actividades de información, educación, sensibilización y asistencia en la revisión de prácticas y procedimientos administrativos</w:t>
      </w:r>
      <w:r w:rsidRPr="00EF3802">
        <w:t>.</w:t>
      </w:r>
    </w:p>
    <w:p w:rsidR="00CF71D4" w:rsidRPr="00EF3802" w:rsidRDefault="00CF71D4" w:rsidP="00CF71D4">
      <w:pPr>
        <w:tabs>
          <w:tab w:val="left" w:pos="567"/>
        </w:tabs>
      </w:pPr>
    </w:p>
    <w:p w:rsidR="00CF71D4" w:rsidRPr="00EF3802" w:rsidRDefault="00CF71D4" w:rsidP="00CF71D4">
      <w:pPr>
        <w:pStyle w:val="Heading1"/>
        <w:ind w:left="567" w:hanging="567"/>
      </w:pPr>
      <w:r w:rsidRPr="00EF3802">
        <w:t>ii.</w:t>
      </w:r>
      <w:r w:rsidRPr="00EF3802">
        <w:tab/>
      </w:r>
      <w:r w:rsidR="005E23B5" w:rsidRPr="00EF3802">
        <w:t>asistencia en el establecimiento del marco jurídico para la aplicación del tratado</w:t>
      </w:r>
    </w:p>
    <w:p w:rsidR="00CF71D4" w:rsidRPr="00EF3802" w:rsidRDefault="00CF71D4" w:rsidP="00CF71D4"/>
    <w:p w:rsidR="00CF71D4" w:rsidRPr="00EF3802" w:rsidRDefault="00CF71D4" w:rsidP="00CF71D4">
      <w:pPr>
        <w:tabs>
          <w:tab w:val="left" w:pos="567"/>
        </w:tabs>
      </w:pPr>
      <w:r w:rsidRPr="00EF3802">
        <w:fldChar w:fldCharType="begin"/>
      </w:r>
      <w:r w:rsidRPr="00EF3802">
        <w:instrText xml:space="preserve"> AUTONUM  </w:instrText>
      </w:r>
      <w:r w:rsidRPr="00EF3802">
        <w:fldChar w:fldCharType="end"/>
      </w:r>
      <w:r w:rsidRPr="00EF3802">
        <w:tab/>
      </w:r>
      <w:r w:rsidR="005E23B5" w:rsidRPr="00EF3802">
        <w:t>Las actividades se presentan siguiendo el orden alfabético del nombre en español del Estado o territorio receptor</w:t>
      </w:r>
      <w:r w:rsidRPr="00EF3802">
        <w:t xml:space="preserve">. </w:t>
      </w:r>
      <w:r w:rsidR="00B4122B" w:rsidRPr="00EF3802">
        <w:t>Todos los Estados o territorios que lo solicitaron recibieron asesoramiento y comentarios de índole jurídica, hubieran o no iniciado las gestiones para adherirse o ratificar el Tratado de Singapur</w:t>
      </w:r>
      <w:r w:rsidRPr="00EF3802">
        <w:t xml:space="preserve">.  </w:t>
      </w:r>
      <w:r w:rsidR="00B4122B" w:rsidRPr="00EF3802">
        <w:t xml:space="preserve">El asesoramiento </w:t>
      </w:r>
      <w:r w:rsidR="00AE0E1B" w:rsidRPr="00EF3802">
        <w:t>en materia legislativa</w:t>
      </w:r>
      <w:r w:rsidR="00B4122B" w:rsidRPr="00EF3802">
        <w:t xml:space="preserve"> brindado fue, en general, de naturaleza muy variada y abarcó todos los aspectos del Derecho de marcas y la aplicación o futura aplicación del Tratado de Singapur</w:t>
      </w:r>
      <w:r w:rsidRPr="00EF3802">
        <w:t>:</w:t>
      </w:r>
    </w:p>
    <w:p w:rsidR="00CF71D4" w:rsidRPr="00EF3802" w:rsidRDefault="00CF71D4" w:rsidP="00CF71D4"/>
    <w:p w:rsidR="00CF71D4" w:rsidRPr="00EF3802" w:rsidRDefault="00CF71D4" w:rsidP="00CF71D4">
      <w:pPr>
        <w:numPr>
          <w:ilvl w:val="0"/>
          <w:numId w:val="7"/>
        </w:numPr>
        <w:tabs>
          <w:tab w:val="clear" w:pos="567"/>
        </w:tabs>
        <w:ind w:left="990" w:hanging="440"/>
      </w:pPr>
      <w:r w:rsidRPr="00EF3802">
        <w:t xml:space="preserve">Albania:  </w:t>
      </w:r>
      <w:r w:rsidR="00841097" w:rsidRPr="00EF3802">
        <w:t>Comentarios</w:t>
      </w:r>
      <w:r w:rsidR="00B4122B" w:rsidRPr="00EF3802">
        <w:t xml:space="preserve"> </w:t>
      </w:r>
      <w:r w:rsidR="00841097" w:rsidRPr="00EF3802">
        <w:t xml:space="preserve">sobre </w:t>
      </w:r>
      <w:r w:rsidR="00AE0E1B" w:rsidRPr="00EF3802">
        <w:t>e</w:t>
      </w:r>
      <w:r w:rsidR="00B4122B" w:rsidRPr="00EF3802">
        <w:t xml:space="preserve">l Proyecto de Ley </w:t>
      </w:r>
      <w:r w:rsidR="00841097" w:rsidRPr="00EF3802">
        <w:t xml:space="preserve">de </w:t>
      </w:r>
      <w:r w:rsidR="00B4122B" w:rsidRPr="00EF3802">
        <w:t xml:space="preserve">Propiedad Industrial, </w:t>
      </w:r>
      <w:bookmarkStart w:id="5" w:name="_GoBack"/>
      <w:bookmarkEnd w:id="5"/>
      <w:r w:rsidR="00841097" w:rsidRPr="00EF3802">
        <w:t>suministrados</w:t>
      </w:r>
      <w:r w:rsidR="00B4122B" w:rsidRPr="00EF3802">
        <w:t xml:space="preserve"> el 14 de junio de</w:t>
      </w:r>
      <w:r w:rsidRPr="00EF3802">
        <w:t> 2016;</w:t>
      </w:r>
      <w:r w:rsidRPr="00EF3802">
        <w:br/>
      </w:r>
    </w:p>
    <w:p w:rsidR="00CF71D4" w:rsidRPr="00EF3802" w:rsidRDefault="00CF71D4" w:rsidP="00CF71D4">
      <w:pPr>
        <w:numPr>
          <w:ilvl w:val="0"/>
          <w:numId w:val="7"/>
        </w:numPr>
        <w:tabs>
          <w:tab w:val="clear" w:pos="567"/>
        </w:tabs>
        <w:ind w:left="990" w:hanging="440"/>
      </w:pPr>
      <w:r w:rsidRPr="00EF3802">
        <w:t xml:space="preserve">Barbados:  </w:t>
      </w:r>
      <w:r w:rsidR="00841097" w:rsidRPr="00EF3802">
        <w:t xml:space="preserve">Comentarios </w:t>
      </w:r>
      <w:r w:rsidR="00B4122B" w:rsidRPr="00EF3802">
        <w:t xml:space="preserve">sobre </w:t>
      </w:r>
      <w:r w:rsidR="00841097" w:rsidRPr="00EF3802">
        <w:t xml:space="preserve">las </w:t>
      </w:r>
      <w:r w:rsidR="00B4122B" w:rsidRPr="00EF3802">
        <w:t xml:space="preserve">disposiciones </w:t>
      </w:r>
      <w:r w:rsidR="00CB6B5A" w:rsidRPr="00EF3802">
        <w:t>en materia de</w:t>
      </w:r>
      <w:r w:rsidR="00B4122B" w:rsidRPr="00EF3802">
        <w:t xml:space="preserve"> marcas de la Ley </w:t>
      </w:r>
      <w:r w:rsidR="00BA2AED" w:rsidRPr="00EF3802">
        <w:t>de</w:t>
      </w:r>
      <w:r w:rsidR="00B4122B" w:rsidRPr="00EF3802">
        <w:t xml:space="preserve"> Marcas</w:t>
      </w:r>
      <w:r w:rsidRPr="00EF3802">
        <w:t>, Cap</w:t>
      </w:r>
      <w:r w:rsidR="00B4122B" w:rsidRPr="00EF3802">
        <w:t>.</w:t>
      </w:r>
      <w:r w:rsidRPr="00EF3802">
        <w:t xml:space="preserve"> 319, </w:t>
      </w:r>
      <w:r w:rsidR="00841097" w:rsidRPr="00EF3802">
        <w:t xml:space="preserve">en su forma </w:t>
      </w:r>
      <w:r w:rsidR="00CB6B5A" w:rsidRPr="00EF3802">
        <w:t>enmendada</w:t>
      </w:r>
      <w:r w:rsidR="00841097" w:rsidRPr="00EF3802">
        <w:t>, y el Reglamento de 1984 sobre las Marcas</w:t>
      </w:r>
      <w:r w:rsidRPr="00EF3802">
        <w:t xml:space="preserve">, </w:t>
      </w:r>
      <w:r w:rsidR="00841097" w:rsidRPr="00EF3802">
        <w:t xml:space="preserve">suministrados el </w:t>
      </w:r>
      <w:r w:rsidRPr="00EF3802">
        <w:t>22</w:t>
      </w:r>
      <w:r w:rsidR="00841097" w:rsidRPr="00EF3802">
        <w:t> de marzo de </w:t>
      </w:r>
      <w:r w:rsidRPr="00EF3802">
        <w:t>2016;</w:t>
      </w:r>
    </w:p>
    <w:p w:rsidR="00CF71D4" w:rsidRPr="00EF3802" w:rsidRDefault="00CF71D4" w:rsidP="00CF71D4"/>
    <w:p w:rsidR="00CF71D4" w:rsidRPr="00EF3802" w:rsidRDefault="00FD4BE0" w:rsidP="00CF71D4">
      <w:pPr>
        <w:numPr>
          <w:ilvl w:val="0"/>
          <w:numId w:val="7"/>
        </w:numPr>
        <w:tabs>
          <w:tab w:val="clear" w:pos="567"/>
        </w:tabs>
        <w:ind w:left="990" w:hanging="440"/>
      </w:pPr>
      <w:r w:rsidRPr="00EF3802">
        <w:t>Bhutá</w:t>
      </w:r>
      <w:r w:rsidR="00CF71D4" w:rsidRPr="00EF3802">
        <w:t xml:space="preserve">n:  </w:t>
      </w:r>
      <w:r w:rsidRPr="00EF3802">
        <w:t xml:space="preserve">Comentarios sobre la aplicación de las disposiciones </w:t>
      </w:r>
      <w:r w:rsidR="00BA2AED" w:rsidRPr="00EF3802">
        <w:t>en materia de</w:t>
      </w:r>
      <w:r w:rsidR="000A44F7" w:rsidRPr="00EF3802">
        <w:t xml:space="preserve"> marcas de la Ley de </w:t>
      </w:r>
      <w:r w:rsidR="00CF71D4" w:rsidRPr="00EF3802">
        <w:t>2001</w:t>
      </w:r>
      <w:r w:rsidR="000A44F7" w:rsidRPr="00EF3802">
        <w:t xml:space="preserve"> </w:t>
      </w:r>
      <w:r w:rsidRPr="00EF3802">
        <w:t xml:space="preserve">de Propiedad </w:t>
      </w:r>
      <w:r w:rsidR="00CF71D4" w:rsidRPr="00EF3802">
        <w:t xml:space="preserve">Industrial, </w:t>
      </w:r>
      <w:r w:rsidRPr="00EF3802">
        <w:t xml:space="preserve">suministrados el </w:t>
      </w:r>
      <w:r w:rsidR="00CF71D4" w:rsidRPr="00EF3802">
        <w:t>10</w:t>
      </w:r>
      <w:r w:rsidRPr="00EF3802">
        <w:t> de julio de </w:t>
      </w:r>
      <w:r w:rsidR="00CF71D4" w:rsidRPr="00EF3802">
        <w:t>2015;</w:t>
      </w:r>
    </w:p>
    <w:p w:rsidR="00CF71D4" w:rsidRPr="00EF3802" w:rsidRDefault="00CF71D4" w:rsidP="00CF71D4">
      <w:pPr>
        <w:ind w:left="990"/>
      </w:pPr>
    </w:p>
    <w:p w:rsidR="00CF71D4" w:rsidRPr="00EF3802" w:rsidRDefault="00CF71D4" w:rsidP="00CF71D4">
      <w:pPr>
        <w:numPr>
          <w:ilvl w:val="0"/>
          <w:numId w:val="7"/>
        </w:numPr>
        <w:tabs>
          <w:tab w:val="clear" w:pos="567"/>
        </w:tabs>
        <w:ind w:left="990" w:hanging="440"/>
      </w:pPr>
      <w:r w:rsidRPr="00EF3802">
        <w:t>Cambo</w:t>
      </w:r>
      <w:r w:rsidR="005D650C" w:rsidRPr="00EF3802">
        <w:t>y</w:t>
      </w:r>
      <w:r w:rsidRPr="00EF3802">
        <w:t xml:space="preserve">a:  </w:t>
      </w:r>
      <w:r w:rsidR="005D650C" w:rsidRPr="00EF3802">
        <w:t xml:space="preserve">Comentarios sobre las disposiciones </w:t>
      </w:r>
      <w:r w:rsidR="00BA2AED" w:rsidRPr="00EF3802">
        <w:t>en materia de</w:t>
      </w:r>
      <w:r w:rsidR="00AE0294">
        <w:t xml:space="preserve"> marcas de la Ley de </w:t>
      </w:r>
      <w:r w:rsidRPr="00EF3802">
        <w:t>2002</w:t>
      </w:r>
      <w:r w:rsidR="00AE0294">
        <w:t xml:space="preserve"> </w:t>
      </w:r>
      <w:r w:rsidR="005D650C" w:rsidRPr="00EF3802">
        <w:t>de Marcas</w:t>
      </w:r>
      <w:r w:rsidRPr="00EF3802">
        <w:t xml:space="preserve">, </w:t>
      </w:r>
      <w:r w:rsidR="005D650C" w:rsidRPr="00EF3802">
        <w:t xml:space="preserve">Nombres Comerciales y Competencia Desleal, </w:t>
      </w:r>
      <w:r w:rsidR="00757A8D" w:rsidRPr="00EF3802">
        <w:t xml:space="preserve">suministrados </w:t>
      </w:r>
      <w:r w:rsidR="00AE0294">
        <w:t>el </w:t>
      </w:r>
      <w:r w:rsidR="00757A8D" w:rsidRPr="00EF3802">
        <w:t>15</w:t>
      </w:r>
      <w:r w:rsidR="00AE0294">
        <w:t xml:space="preserve"> </w:t>
      </w:r>
      <w:r w:rsidR="005D650C" w:rsidRPr="00EF3802">
        <w:t>y el 20 de junio de </w:t>
      </w:r>
      <w:r w:rsidRPr="00EF3802">
        <w:t>2016;</w:t>
      </w:r>
    </w:p>
    <w:p w:rsidR="00CF71D4" w:rsidRPr="00EF3802" w:rsidRDefault="00CF71D4" w:rsidP="00CF71D4">
      <w:pPr>
        <w:pStyle w:val="ListParagraph"/>
        <w:ind w:left="0"/>
        <w:rPr>
          <w:highlight w:val="yellow"/>
          <w:lang w:val="es-ES"/>
        </w:rPr>
      </w:pPr>
    </w:p>
    <w:p w:rsidR="00CF71D4" w:rsidRPr="00EF3802" w:rsidRDefault="00CF71D4" w:rsidP="00CF71D4">
      <w:pPr>
        <w:numPr>
          <w:ilvl w:val="0"/>
          <w:numId w:val="7"/>
        </w:numPr>
        <w:tabs>
          <w:tab w:val="clear" w:pos="567"/>
        </w:tabs>
        <w:ind w:left="990" w:hanging="440"/>
      </w:pPr>
      <w:r w:rsidRPr="00EF3802">
        <w:t xml:space="preserve">Curaçao:  </w:t>
      </w:r>
      <w:r w:rsidR="005D650C" w:rsidRPr="00EF3802">
        <w:t xml:space="preserve">Comentarios sobre la aplicación del Tratado de Singapur, </w:t>
      </w:r>
      <w:r w:rsidR="006F38AC">
        <w:t xml:space="preserve">aplicable </w:t>
      </w:r>
      <w:r w:rsidR="005D650C" w:rsidRPr="00EF3802">
        <w:t xml:space="preserve">en </w:t>
      </w:r>
      <w:proofErr w:type="spellStart"/>
      <w:r w:rsidRPr="00EF3802">
        <w:t>Curaçao</w:t>
      </w:r>
      <w:proofErr w:type="spellEnd"/>
      <w:r w:rsidRPr="00EF3802">
        <w:t xml:space="preserve"> </w:t>
      </w:r>
      <w:r w:rsidR="00BA2AED" w:rsidRPr="00EF3802">
        <w:t xml:space="preserve">a raíz </w:t>
      </w:r>
      <w:r w:rsidR="005D650C" w:rsidRPr="00EF3802">
        <w:t xml:space="preserve">de la Declaración </w:t>
      </w:r>
      <w:r w:rsidR="00BA2AED" w:rsidRPr="00EF3802">
        <w:t>que formuló</w:t>
      </w:r>
      <w:r w:rsidR="005D650C" w:rsidRPr="00EF3802">
        <w:t xml:space="preserve"> el Reino de los Países Bajos </w:t>
      </w:r>
      <w:r w:rsidR="00757A8D" w:rsidRPr="00EF3802">
        <w:t>al adherirse al Tratado de Singapur</w:t>
      </w:r>
      <w:r w:rsidRPr="00EF3802">
        <w:t xml:space="preserve"> </w:t>
      </w:r>
      <w:r w:rsidR="00757A8D" w:rsidRPr="00EF3802">
        <w:t>e</w:t>
      </w:r>
      <w:r w:rsidRPr="00EF3802">
        <w:t xml:space="preserve">n 2014, </w:t>
      </w:r>
      <w:r w:rsidR="00757A8D" w:rsidRPr="00EF3802">
        <w:t>suministrados el 9 de octubre de </w:t>
      </w:r>
      <w:r w:rsidRPr="00EF3802">
        <w:t>2015;</w:t>
      </w:r>
    </w:p>
    <w:p w:rsidR="00CF71D4" w:rsidRPr="00EF3802" w:rsidRDefault="00CF71D4" w:rsidP="001874E3"/>
    <w:p w:rsidR="00CF71D4" w:rsidRPr="00EF3802" w:rsidRDefault="00CF71D4" w:rsidP="00CF71D4">
      <w:pPr>
        <w:numPr>
          <w:ilvl w:val="0"/>
          <w:numId w:val="7"/>
        </w:numPr>
        <w:tabs>
          <w:tab w:val="clear" w:pos="567"/>
        </w:tabs>
        <w:ind w:left="990" w:hanging="440"/>
      </w:pPr>
      <w:r w:rsidRPr="00EF3802">
        <w:t xml:space="preserve">Ecuador:  </w:t>
      </w:r>
      <w:r w:rsidR="00A20C37" w:rsidRPr="00EF3802">
        <w:t xml:space="preserve">Comentarios </w:t>
      </w:r>
      <w:r w:rsidR="00BA2AED" w:rsidRPr="00EF3802">
        <w:t xml:space="preserve">respecto de varias </w:t>
      </w:r>
      <w:r w:rsidR="00A20C37" w:rsidRPr="00EF3802">
        <w:t>disposiciones</w:t>
      </w:r>
      <w:r w:rsidRPr="00EF3802">
        <w:t xml:space="preserve"> </w:t>
      </w:r>
      <w:r w:rsidR="00DE6A84" w:rsidRPr="00EF3802">
        <w:t>reglamentarias</w:t>
      </w:r>
      <w:r w:rsidR="00A20C37" w:rsidRPr="00EF3802">
        <w:t xml:space="preserve"> </w:t>
      </w:r>
      <w:r w:rsidR="00BA2AED" w:rsidRPr="00EF3802">
        <w:t xml:space="preserve">sobre </w:t>
      </w:r>
      <w:r w:rsidR="00A20C37" w:rsidRPr="00EF3802">
        <w:t>la indicación del tipo de marca en las solicitudes de registro, suministrados el 20 de enero de </w:t>
      </w:r>
      <w:r w:rsidRPr="00EF3802">
        <w:t>2017;</w:t>
      </w:r>
    </w:p>
    <w:p w:rsidR="00CF71D4" w:rsidRPr="00EF3802" w:rsidRDefault="00CF71D4" w:rsidP="00CF71D4">
      <w:pPr>
        <w:pStyle w:val="ListParagraph"/>
        <w:rPr>
          <w:lang w:val="es-ES"/>
        </w:rPr>
      </w:pPr>
    </w:p>
    <w:p w:rsidR="00CF71D4" w:rsidRPr="00EF3802" w:rsidRDefault="00CF71D4" w:rsidP="00CF71D4">
      <w:pPr>
        <w:numPr>
          <w:ilvl w:val="0"/>
          <w:numId w:val="7"/>
        </w:numPr>
        <w:tabs>
          <w:tab w:val="clear" w:pos="567"/>
        </w:tabs>
        <w:ind w:left="990" w:hanging="440"/>
      </w:pPr>
      <w:r w:rsidRPr="00EF3802">
        <w:t>Kaza</w:t>
      </w:r>
      <w:r w:rsidR="00A20C37" w:rsidRPr="00EF3802">
        <w:t>jstán</w:t>
      </w:r>
      <w:r w:rsidRPr="00EF3802">
        <w:t xml:space="preserve">:  </w:t>
      </w:r>
      <w:r w:rsidR="00A20C37" w:rsidRPr="00EF3802">
        <w:t xml:space="preserve">Asesoramiento en relación con los procedimientos relativos a las solicitudes y peticiones presentadas ante la </w:t>
      </w:r>
      <w:r w:rsidR="00BA2AED" w:rsidRPr="00EF3802">
        <w:t>O</w:t>
      </w:r>
      <w:r w:rsidR="00A20C37" w:rsidRPr="00EF3802">
        <w:t xml:space="preserve">ficina nacional de una Parte Contratante </w:t>
      </w:r>
      <w:r w:rsidR="00BA2AED" w:rsidRPr="00EF3802">
        <w:t xml:space="preserve">en </w:t>
      </w:r>
      <w:r w:rsidR="00A20C37" w:rsidRPr="00EF3802">
        <w:t>el Tratado de Singapur</w:t>
      </w:r>
      <w:r w:rsidRPr="00EF3802">
        <w:t xml:space="preserve">, </w:t>
      </w:r>
      <w:r w:rsidR="003329E6" w:rsidRPr="00EF3802">
        <w:t>suministrado</w:t>
      </w:r>
      <w:r w:rsidR="00A20C37" w:rsidRPr="00EF3802">
        <w:t xml:space="preserve"> el 1 de junio de</w:t>
      </w:r>
      <w:r w:rsidRPr="00EF3802">
        <w:t> 2015;</w:t>
      </w:r>
    </w:p>
    <w:p w:rsidR="00CF71D4" w:rsidRPr="00EF3802" w:rsidRDefault="00CF71D4" w:rsidP="00CF71D4">
      <w:pPr>
        <w:ind w:left="990"/>
      </w:pPr>
    </w:p>
    <w:p w:rsidR="00CF71D4" w:rsidRPr="00EF3802" w:rsidRDefault="00CF71D4" w:rsidP="00CF71D4">
      <w:pPr>
        <w:numPr>
          <w:ilvl w:val="0"/>
          <w:numId w:val="7"/>
        </w:numPr>
        <w:tabs>
          <w:tab w:val="clear" w:pos="567"/>
        </w:tabs>
        <w:ind w:left="990" w:hanging="440"/>
      </w:pPr>
      <w:r w:rsidRPr="00EF3802">
        <w:t>Maldiv</w:t>
      </w:r>
      <w:r w:rsidR="003329E6" w:rsidRPr="00EF3802">
        <w:t>a</w:t>
      </w:r>
      <w:r w:rsidRPr="00EF3802">
        <w:t xml:space="preserve">s:  </w:t>
      </w:r>
      <w:r w:rsidR="003329E6" w:rsidRPr="00EF3802">
        <w:t>Asesoramiento en relación con la elaboración de</w:t>
      </w:r>
      <w:r w:rsidR="0019431E" w:rsidRPr="00EF3802">
        <w:t xml:space="preserve"> los</w:t>
      </w:r>
      <w:r w:rsidR="003329E6" w:rsidRPr="00EF3802">
        <w:t xml:space="preserve"> </w:t>
      </w:r>
      <w:r w:rsidR="0019431E" w:rsidRPr="00EF3802">
        <w:t>R</w:t>
      </w:r>
      <w:r w:rsidR="003329E6" w:rsidRPr="00EF3802">
        <w:t xml:space="preserve">eglamentos </w:t>
      </w:r>
      <w:r w:rsidR="0019431E" w:rsidRPr="00EF3802">
        <w:t>sobre</w:t>
      </w:r>
      <w:r w:rsidR="003329E6" w:rsidRPr="00EF3802">
        <w:t xml:space="preserve"> </w:t>
      </w:r>
      <w:r w:rsidR="0019431E" w:rsidRPr="00EF3802">
        <w:t>las M</w:t>
      </w:r>
      <w:r w:rsidR="003329E6" w:rsidRPr="00EF3802">
        <w:t xml:space="preserve">arcas, </w:t>
      </w:r>
      <w:r w:rsidR="00DE6A84" w:rsidRPr="00EF3802">
        <w:t>comprendidos</w:t>
      </w:r>
      <w:r w:rsidR="003329E6" w:rsidRPr="00EF3802">
        <w:t xml:space="preserve"> </w:t>
      </w:r>
      <w:r w:rsidR="0019431E" w:rsidRPr="00EF3802">
        <w:t xml:space="preserve">los </w:t>
      </w:r>
      <w:r w:rsidR="003329E6" w:rsidRPr="00EF3802">
        <w:t xml:space="preserve">formularios </w:t>
      </w:r>
      <w:r w:rsidR="00DE6A84" w:rsidRPr="00EF3802">
        <w:t xml:space="preserve">que se facilitarán en </w:t>
      </w:r>
      <w:r w:rsidR="001808D0" w:rsidRPr="00EF3802">
        <w:t>las</w:t>
      </w:r>
      <w:r w:rsidR="003329E6" w:rsidRPr="00EF3802">
        <w:t xml:space="preserve"> </w:t>
      </w:r>
      <w:r w:rsidR="00DE6A84" w:rsidRPr="00EF3802">
        <w:t>o</w:t>
      </w:r>
      <w:r w:rsidR="003329E6" w:rsidRPr="00EF3802">
        <w:t>ficinas de conformidad con el Tratado de Singapur, suministrado el 15 de agosto de </w:t>
      </w:r>
      <w:r w:rsidRPr="00EF3802">
        <w:t>2016;</w:t>
      </w:r>
    </w:p>
    <w:p w:rsidR="00CF71D4" w:rsidRPr="00EF3802" w:rsidRDefault="00CF71D4" w:rsidP="00CF71D4">
      <w:pPr>
        <w:pStyle w:val="ListParagraph"/>
        <w:rPr>
          <w:lang w:val="es-ES"/>
        </w:rPr>
      </w:pPr>
    </w:p>
    <w:p w:rsidR="00CF71D4" w:rsidRPr="00EF3802" w:rsidRDefault="003329E6" w:rsidP="00CF71D4">
      <w:pPr>
        <w:numPr>
          <w:ilvl w:val="0"/>
          <w:numId w:val="7"/>
        </w:numPr>
        <w:tabs>
          <w:tab w:val="clear" w:pos="567"/>
        </w:tabs>
        <w:ind w:left="990" w:hanging="440"/>
      </w:pPr>
      <w:r w:rsidRPr="00EF3802">
        <w:t>Mauricio</w:t>
      </w:r>
      <w:r w:rsidR="00CF71D4" w:rsidRPr="00EF3802">
        <w:t xml:space="preserve">:  </w:t>
      </w:r>
      <w:r w:rsidRPr="00EF3802">
        <w:t xml:space="preserve">Asesoramiento sobre determinadas disposiciones del Proyecto de Ley de Propiedad </w:t>
      </w:r>
      <w:r w:rsidR="00CF71D4" w:rsidRPr="00EF3802">
        <w:t>Industrial</w:t>
      </w:r>
      <w:r w:rsidR="0019431E" w:rsidRPr="00EF3802">
        <w:t>,</w:t>
      </w:r>
      <w:r w:rsidR="00CF71D4" w:rsidRPr="00EF3802">
        <w:t xml:space="preserve"> </w:t>
      </w:r>
      <w:r w:rsidRPr="00EF3802">
        <w:t>de</w:t>
      </w:r>
      <w:r w:rsidR="0019431E" w:rsidRPr="00EF3802">
        <w:t> </w:t>
      </w:r>
      <w:r w:rsidR="00CF71D4" w:rsidRPr="00EF3802">
        <w:t xml:space="preserve">2016, </w:t>
      </w:r>
      <w:r w:rsidRPr="00EF3802">
        <w:t xml:space="preserve">suministrado el </w:t>
      </w:r>
      <w:r w:rsidR="00CF71D4" w:rsidRPr="00EF3802">
        <w:t>20</w:t>
      </w:r>
      <w:r w:rsidRPr="00EF3802">
        <w:t> de enero de </w:t>
      </w:r>
      <w:r w:rsidR="00CF71D4" w:rsidRPr="00EF3802">
        <w:t>2017;</w:t>
      </w:r>
    </w:p>
    <w:p w:rsidR="001874E3" w:rsidRPr="00EF3802" w:rsidRDefault="001874E3" w:rsidP="001874E3">
      <w:pPr>
        <w:pStyle w:val="ListParagraph"/>
        <w:rPr>
          <w:lang w:val="es-ES"/>
        </w:rPr>
      </w:pPr>
    </w:p>
    <w:p w:rsidR="001874E3" w:rsidRPr="00EF3802" w:rsidRDefault="001874E3" w:rsidP="001874E3">
      <w:pPr>
        <w:numPr>
          <w:ilvl w:val="0"/>
          <w:numId w:val="7"/>
        </w:numPr>
        <w:tabs>
          <w:tab w:val="clear" w:pos="567"/>
        </w:tabs>
        <w:ind w:left="990" w:hanging="440"/>
      </w:pPr>
      <w:r w:rsidRPr="00EF3802">
        <w:t>República Popular Democrática de Corea:  Asesoramiento respecto de la aplicación del Tratado de Singapur, suministrado el 23 de noviembre de 2015;</w:t>
      </w:r>
    </w:p>
    <w:p w:rsidR="00CF71D4" w:rsidRPr="00EF3802" w:rsidRDefault="000A2302" w:rsidP="00CF71D4">
      <w:pPr>
        <w:numPr>
          <w:ilvl w:val="0"/>
          <w:numId w:val="7"/>
        </w:numPr>
        <w:tabs>
          <w:tab w:val="clear" w:pos="567"/>
        </w:tabs>
        <w:ind w:left="990" w:hanging="440"/>
      </w:pPr>
      <w:r w:rsidRPr="00EF3802">
        <w:lastRenderedPageBreak/>
        <w:t>Sudáfrica</w:t>
      </w:r>
      <w:r w:rsidR="00CF71D4" w:rsidRPr="00EF3802">
        <w:t xml:space="preserve">:  </w:t>
      </w:r>
      <w:r w:rsidRPr="00EF3802">
        <w:t xml:space="preserve">Asesoramiento sobre </w:t>
      </w:r>
      <w:r w:rsidR="00DE6A84" w:rsidRPr="00EF3802">
        <w:t xml:space="preserve">las </w:t>
      </w:r>
      <w:r w:rsidRPr="00EF3802">
        <w:t>disposiciones relativas a la prórroga de plazos</w:t>
      </w:r>
      <w:r w:rsidR="00CF71D4" w:rsidRPr="00EF3802">
        <w:t xml:space="preserve">, </w:t>
      </w:r>
      <w:r w:rsidRPr="00EF3802">
        <w:t>suministrado el 19 de enero de </w:t>
      </w:r>
      <w:r w:rsidR="00CF71D4" w:rsidRPr="00EF3802">
        <w:t>2017;</w:t>
      </w:r>
    </w:p>
    <w:p w:rsidR="0019431E" w:rsidRPr="00EF3802" w:rsidRDefault="0019431E" w:rsidP="0019431E"/>
    <w:p w:rsidR="00CF71D4" w:rsidRPr="00EF3802" w:rsidRDefault="00CF71D4" w:rsidP="00CF71D4">
      <w:pPr>
        <w:numPr>
          <w:ilvl w:val="0"/>
          <w:numId w:val="7"/>
        </w:numPr>
        <w:tabs>
          <w:tab w:val="clear" w:pos="567"/>
        </w:tabs>
        <w:ind w:left="990" w:hanging="440"/>
      </w:pPr>
      <w:r w:rsidRPr="00EF3802">
        <w:t xml:space="preserve">Tonga:  </w:t>
      </w:r>
      <w:r w:rsidR="000A2302" w:rsidRPr="00EF3802">
        <w:t>Comentarios sobre la Ley de</w:t>
      </w:r>
      <w:r w:rsidR="0019431E" w:rsidRPr="00EF3802">
        <w:t> 1994</w:t>
      </w:r>
      <w:r w:rsidR="000A2302" w:rsidRPr="00EF3802">
        <w:t xml:space="preserve"> </w:t>
      </w:r>
      <w:r w:rsidR="0019431E" w:rsidRPr="00EF3802">
        <w:t xml:space="preserve">de </w:t>
      </w:r>
      <w:r w:rsidR="000A2302" w:rsidRPr="00EF3802">
        <w:t xml:space="preserve">Propiedad </w:t>
      </w:r>
      <w:r w:rsidRPr="00EF3802">
        <w:t xml:space="preserve">Industrial, </w:t>
      </w:r>
      <w:r w:rsidR="00AE0294">
        <w:t>suministrados el </w:t>
      </w:r>
      <w:r w:rsidRPr="00EF3802">
        <w:t>26</w:t>
      </w:r>
      <w:r w:rsidR="00AE0294">
        <w:t xml:space="preserve"> </w:t>
      </w:r>
      <w:r w:rsidR="000A2302" w:rsidRPr="00EF3802">
        <w:t>de enero de</w:t>
      </w:r>
      <w:r w:rsidRPr="00EF3802">
        <w:t> 2017;</w:t>
      </w:r>
    </w:p>
    <w:p w:rsidR="00CF71D4" w:rsidRPr="00EF3802" w:rsidRDefault="00CF71D4" w:rsidP="00CF71D4">
      <w:pPr>
        <w:pStyle w:val="ListParagraph"/>
        <w:rPr>
          <w:lang w:val="es-ES"/>
        </w:rPr>
      </w:pPr>
    </w:p>
    <w:p w:rsidR="00CF71D4" w:rsidRPr="00EF3802" w:rsidRDefault="00CF71D4" w:rsidP="00CF71D4">
      <w:pPr>
        <w:numPr>
          <w:ilvl w:val="0"/>
          <w:numId w:val="7"/>
        </w:numPr>
        <w:tabs>
          <w:tab w:val="clear" w:pos="567"/>
        </w:tabs>
        <w:ind w:left="990" w:hanging="440"/>
      </w:pPr>
      <w:r w:rsidRPr="00EF3802">
        <w:t xml:space="preserve">Trinidad </w:t>
      </w:r>
      <w:r w:rsidR="000A2302" w:rsidRPr="00EF3802">
        <w:t xml:space="preserve">y </w:t>
      </w:r>
      <w:r w:rsidRPr="00EF3802">
        <w:t>T</w:t>
      </w:r>
      <w:r w:rsidR="000A2302" w:rsidRPr="00EF3802">
        <w:t>a</w:t>
      </w:r>
      <w:r w:rsidRPr="00EF3802">
        <w:t xml:space="preserve">bago:  </w:t>
      </w:r>
      <w:r w:rsidR="000A2302" w:rsidRPr="00EF3802">
        <w:t xml:space="preserve">Comentarios sobre </w:t>
      </w:r>
      <w:r w:rsidR="00172F41" w:rsidRPr="00EF3802">
        <w:t>los</w:t>
      </w:r>
      <w:r w:rsidR="000A2302" w:rsidRPr="00EF3802">
        <w:t xml:space="preserve"> Proyecto</w:t>
      </w:r>
      <w:r w:rsidR="00172F41" w:rsidRPr="00EF3802">
        <w:t>s</w:t>
      </w:r>
      <w:r w:rsidR="000A2302" w:rsidRPr="00EF3802">
        <w:t xml:space="preserve"> de Reglamento </w:t>
      </w:r>
      <w:r w:rsidR="0019431E" w:rsidRPr="00EF3802">
        <w:t>de</w:t>
      </w:r>
      <w:r w:rsidR="000A2302" w:rsidRPr="00EF3802">
        <w:t xml:space="preserve"> Marcas, suministrados el </w:t>
      </w:r>
      <w:r w:rsidRPr="00EF3802">
        <w:t>8</w:t>
      </w:r>
      <w:r w:rsidR="000A2302" w:rsidRPr="00EF3802">
        <w:t> de mayo de </w:t>
      </w:r>
      <w:r w:rsidRPr="00EF3802">
        <w:t>2015.</w:t>
      </w:r>
    </w:p>
    <w:p w:rsidR="00CF71D4" w:rsidRPr="00EF3802" w:rsidRDefault="00CF71D4" w:rsidP="00CF71D4">
      <w:pPr>
        <w:tabs>
          <w:tab w:val="left" w:pos="567"/>
        </w:tabs>
      </w:pPr>
    </w:p>
    <w:p w:rsidR="00CF71D4" w:rsidRPr="00EF3802" w:rsidRDefault="000A2302" w:rsidP="00CF71D4">
      <w:pPr>
        <w:pStyle w:val="Heading1"/>
        <w:ind w:left="550" w:hanging="550"/>
      </w:pPr>
      <w:r w:rsidRPr="00EF3802">
        <w:t>III.</w:t>
      </w:r>
      <w:r w:rsidRPr="00EF3802">
        <w:tab/>
        <w:t>ACTIVIdades de información, educación, sensibilización y asistencia en la revisión de prácticas y procedimientos administrativos</w:t>
      </w:r>
    </w:p>
    <w:p w:rsidR="00CF71D4" w:rsidRPr="00EF3802" w:rsidRDefault="00CF71D4" w:rsidP="00CF71D4">
      <w:pPr>
        <w:tabs>
          <w:tab w:val="left" w:pos="567"/>
        </w:tabs>
      </w:pPr>
    </w:p>
    <w:p w:rsidR="00CF71D4" w:rsidRPr="00EF3802" w:rsidRDefault="00CF71D4" w:rsidP="00CF71D4">
      <w:pPr>
        <w:tabs>
          <w:tab w:val="left" w:pos="567"/>
        </w:tabs>
      </w:pPr>
      <w:r w:rsidRPr="00EF3802">
        <w:fldChar w:fldCharType="begin"/>
      </w:r>
      <w:r w:rsidRPr="00EF3802">
        <w:instrText xml:space="preserve"> AUTONUM  </w:instrText>
      </w:r>
      <w:r w:rsidRPr="00EF3802">
        <w:fldChar w:fldCharType="end"/>
      </w:r>
      <w:r w:rsidRPr="00EF3802">
        <w:tab/>
      </w:r>
      <w:r w:rsidR="000A2302" w:rsidRPr="00EF3802">
        <w:t xml:space="preserve">La información relativa a este punto comprende también actividades que se han llevado a cabo en relación con el Tratado sobre el Derecho de Marcas </w:t>
      </w:r>
      <w:r w:rsidRPr="00EF3802">
        <w:t xml:space="preserve">(TLT), </w:t>
      </w:r>
      <w:r w:rsidR="000A2302" w:rsidRPr="00EF3802">
        <w:t>el instrumento internacional que quedó revisado por el Tratado de Singapur y que contiene, por consiguiente, todas las disposiciones sustantivas de este último</w:t>
      </w:r>
      <w:r w:rsidRPr="00EF3802">
        <w:t xml:space="preserve">.  </w:t>
      </w:r>
      <w:r w:rsidR="000A2302" w:rsidRPr="00EF3802">
        <w:t>La información se presenta por orden cronológico, de acuerdo con la fecha de la actividad</w:t>
      </w:r>
      <w:r w:rsidRPr="00EF3802">
        <w:t>.</w:t>
      </w:r>
    </w:p>
    <w:p w:rsidR="00CF71D4" w:rsidRPr="00EF3802" w:rsidRDefault="00CF71D4" w:rsidP="00CF71D4">
      <w:pPr>
        <w:tabs>
          <w:tab w:val="left" w:pos="567"/>
        </w:tabs>
      </w:pPr>
    </w:p>
    <w:p w:rsidR="00CF71D4" w:rsidRPr="00EF3802" w:rsidRDefault="00B83022" w:rsidP="00CF71D4">
      <w:pPr>
        <w:rPr>
          <w:u w:val="single"/>
        </w:rPr>
      </w:pPr>
      <w:r w:rsidRPr="00EF3802">
        <w:rPr>
          <w:u w:val="single"/>
        </w:rPr>
        <w:t>Misiones de asesoramiento</w:t>
      </w:r>
    </w:p>
    <w:p w:rsidR="00CF71D4" w:rsidRPr="00EF3802" w:rsidRDefault="00CF71D4" w:rsidP="00CF71D4">
      <w:pPr>
        <w:tabs>
          <w:tab w:val="left" w:pos="567"/>
        </w:tabs>
      </w:pPr>
    </w:p>
    <w:p w:rsidR="00CF71D4" w:rsidRPr="00EF3802" w:rsidRDefault="00DE6A84" w:rsidP="00CF71D4">
      <w:pPr>
        <w:numPr>
          <w:ilvl w:val="0"/>
          <w:numId w:val="8"/>
        </w:numPr>
        <w:ind w:left="1100" w:hanging="550"/>
      </w:pPr>
      <w:r w:rsidRPr="00EF3802">
        <w:t>Los días</w:t>
      </w:r>
      <w:r w:rsidR="0003679A" w:rsidRPr="00EF3802">
        <w:t xml:space="preserve"> 7 y</w:t>
      </w:r>
      <w:r w:rsidR="00B22F17">
        <w:t xml:space="preserve"> </w:t>
      </w:r>
      <w:r w:rsidR="0003679A" w:rsidRPr="00EF3802">
        <w:t>8 de abril de 2016</w:t>
      </w:r>
      <w:r w:rsidR="00CF71D4" w:rsidRPr="00EF3802">
        <w:t xml:space="preserve"> </w:t>
      </w:r>
      <w:r w:rsidR="0003679A" w:rsidRPr="00EF3802">
        <w:t xml:space="preserve">se llevó a cabo una misión de asesoramiento de la OMPI en </w:t>
      </w:r>
      <w:r w:rsidR="00CF71D4" w:rsidRPr="00EF3802">
        <w:t>Phnom Penh</w:t>
      </w:r>
      <w:r w:rsidR="0003679A" w:rsidRPr="00EF3802">
        <w:t xml:space="preserve"> (Camboya) a fin de determinar la compatibilidad de</w:t>
      </w:r>
      <w:r w:rsidRPr="00EF3802">
        <w:t xml:space="preserve"> los</w:t>
      </w:r>
      <w:r w:rsidR="0003679A" w:rsidRPr="00EF3802">
        <w:t xml:space="preserve"> procedimientos nacionales en materia de marcas con las disposiciones del Tratado de Singapur</w:t>
      </w:r>
      <w:r w:rsidR="00CF71D4" w:rsidRPr="00EF3802">
        <w:t>.</w:t>
      </w:r>
    </w:p>
    <w:p w:rsidR="00CF71D4" w:rsidRPr="00EF3802" w:rsidRDefault="00CF71D4" w:rsidP="00CF71D4"/>
    <w:p w:rsidR="00CF71D4" w:rsidRPr="00EF3802" w:rsidRDefault="00F46EEE" w:rsidP="00CF71D4">
      <w:pPr>
        <w:rPr>
          <w:u w:val="single"/>
        </w:rPr>
      </w:pPr>
      <w:r w:rsidRPr="00EF3802">
        <w:rPr>
          <w:u w:val="single"/>
        </w:rPr>
        <w:t>Seminarios y talleres</w:t>
      </w:r>
    </w:p>
    <w:p w:rsidR="00CF71D4" w:rsidRPr="00EF3802" w:rsidRDefault="00CF71D4" w:rsidP="00CF71D4">
      <w:pPr>
        <w:ind w:left="1100"/>
      </w:pPr>
    </w:p>
    <w:p w:rsidR="00CF71D4" w:rsidRPr="00EF3802" w:rsidRDefault="00DE6A84" w:rsidP="00CF71D4">
      <w:pPr>
        <w:numPr>
          <w:ilvl w:val="0"/>
          <w:numId w:val="8"/>
        </w:numPr>
        <w:ind w:left="1100" w:hanging="550"/>
      </w:pPr>
      <w:r w:rsidRPr="00EF3802">
        <w:t xml:space="preserve">Los días </w:t>
      </w:r>
      <w:r w:rsidR="00D2232F" w:rsidRPr="00EF3802">
        <w:t>5 y</w:t>
      </w:r>
      <w:r w:rsidR="00E815DF">
        <w:t xml:space="preserve"> </w:t>
      </w:r>
      <w:r w:rsidR="00D2232F" w:rsidRPr="00EF3802">
        <w:t>6 de noviembre</w:t>
      </w:r>
      <w:r w:rsidR="00CF71D4" w:rsidRPr="00EF3802">
        <w:t xml:space="preserve"> </w:t>
      </w:r>
      <w:r w:rsidR="00D2232F" w:rsidRPr="00EF3802">
        <w:t>de </w:t>
      </w:r>
      <w:r w:rsidR="00CF71D4" w:rsidRPr="00EF3802">
        <w:t xml:space="preserve">2015 </w:t>
      </w:r>
      <w:r w:rsidR="00303D30" w:rsidRPr="00EF3802">
        <w:t xml:space="preserve">se celebró en Manila (Filipinas) un </w:t>
      </w:r>
      <w:r w:rsidRPr="00EF3802">
        <w:t>s</w:t>
      </w:r>
      <w:r w:rsidR="00303D30" w:rsidRPr="00EF3802">
        <w:t xml:space="preserve">eminario </w:t>
      </w:r>
      <w:r w:rsidRPr="00EF3802">
        <w:t>s</w:t>
      </w:r>
      <w:r w:rsidR="00303D30" w:rsidRPr="00EF3802">
        <w:t xml:space="preserve">ubregional acerca del Tratado de Singapur sobre el Derecho de Marcas </w:t>
      </w:r>
      <w:r w:rsidR="00CF71D4" w:rsidRPr="00EF3802">
        <w:t xml:space="preserve">(STLT) </w:t>
      </w:r>
      <w:r w:rsidR="00BE44AF" w:rsidRPr="00EF3802">
        <w:t>en torno al tema</w:t>
      </w:r>
      <w:r w:rsidRPr="00EF3802">
        <w:t xml:space="preserve"> “Los d</w:t>
      </w:r>
      <w:r w:rsidR="00303D30" w:rsidRPr="00EF3802">
        <w:t xml:space="preserve">esafíos de </w:t>
      </w:r>
      <w:r w:rsidRPr="00EF3802">
        <w:t>n</w:t>
      </w:r>
      <w:r w:rsidR="00303D30" w:rsidRPr="00EF3802">
        <w:t xml:space="preserve">uestras </w:t>
      </w:r>
      <w:r w:rsidRPr="00EF3802">
        <w:t>actividades</w:t>
      </w:r>
      <w:r w:rsidR="00303D30" w:rsidRPr="00EF3802">
        <w:t xml:space="preserve"> </w:t>
      </w:r>
      <w:r w:rsidRPr="00EF3802">
        <w:t>c</w:t>
      </w:r>
      <w:r w:rsidR="00303D30" w:rsidRPr="00EF3802">
        <w:t>otidianas</w:t>
      </w:r>
      <w:r w:rsidRPr="00EF3802">
        <w:t>”</w:t>
      </w:r>
      <w:r w:rsidR="00CF71D4" w:rsidRPr="00EF3802">
        <w:t xml:space="preserve">.  </w:t>
      </w:r>
      <w:r w:rsidR="00303D30" w:rsidRPr="00EF3802">
        <w:t>La Oficina de la OMPI en Singapur organizó esta actividad en cooperación con la Oficina de Propiedad Intelectual de Filipinas</w:t>
      </w:r>
      <w:r w:rsidR="00CF71D4" w:rsidRPr="00EF3802">
        <w:t xml:space="preserve"> (IPOPHL) </w:t>
      </w:r>
      <w:r w:rsidR="00303D30" w:rsidRPr="00EF3802">
        <w:t>y el Grupo de trabajo sobre cooperación en materia de propiedad intelectual</w:t>
      </w:r>
      <w:r w:rsidRPr="00EF3802">
        <w:t xml:space="preserve"> de la Asociación de Naciones de Asia Sudoriental (ASEAN)</w:t>
      </w:r>
      <w:r w:rsidR="00CF71D4" w:rsidRPr="00EF3802">
        <w:t xml:space="preserve">.  </w:t>
      </w:r>
      <w:r w:rsidR="00303D30" w:rsidRPr="00EF3802">
        <w:t>Asistieron al seminario dos participantes de cada uno de los siguientes Estados miembros de la ASEAN:  Brunei Darussalam, Camboya</w:t>
      </w:r>
      <w:r w:rsidR="00CF71D4" w:rsidRPr="00EF3802">
        <w:t xml:space="preserve">, Indonesia, </w:t>
      </w:r>
      <w:r w:rsidR="00303D30" w:rsidRPr="00EF3802">
        <w:t>Malasia, Myanmar, República Democrática Popular Lao</w:t>
      </w:r>
      <w:r w:rsidR="00CF71D4" w:rsidRPr="00EF3802">
        <w:t xml:space="preserve">, </w:t>
      </w:r>
      <w:r w:rsidR="00303D30" w:rsidRPr="00EF3802">
        <w:t xml:space="preserve">Singapur, Tailandia y </w:t>
      </w:r>
      <w:r w:rsidR="00CF71D4" w:rsidRPr="00EF3802">
        <w:t>Viet Nam.</w:t>
      </w:r>
    </w:p>
    <w:p w:rsidR="00CF71D4" w:rsidRPr="00EF3802" w:rsidRDefault="00CF71D4" w:rsidP="00CF71D4">
      <w:pPr>
        <w:ind w:left="1100"/>
      </w:pPr>
    </w:p>
    <w:p w:rsidR="00CF71D4" w:rsidRPr="00EF3802" w:rsidRDefault="00BD168D" w:rsidP="00CF71D4">
      <w:pPr>
        <w:numPr>
          <w:ilvl w:val="0"/>
          <w:numId w:val="8"/>
        </w:numPr>
        <w:ind w:left="1100" w:hanging="550"/>
      </w:pPr>
      <w:r w:rsidRPr="00EF3802">
        <w:t>El 7 de julio de </w:t>
      </w:r>
      <w:r w:rsidR="00CF71D4" w:rsidRPr="00EF3802">
        <w:t xml:space="preserve">2016, </w:t>
      </w:r>
      <w:r w:rsidRPr="00EF3802">
        <w:t xml:space="preserve">la Oficina de la OMPI del Brasil organizó en Río de Janeiro el </w:t>
      </w:r>
      <w:r w:rsidR="00DE6A84" w:rsidRPr="00EF3802">
        <w:t>XXXIV </w:t>
      </w:r>
      <w:r w:rsidRPr="00EF3802">
        <w:t>Taller regional para las Oficinas de propiedad industrial de América Latina</w:t>
      </w:r>
      <w:r w:rsidR="00CF71D4" w:rsidRPr="00EF3802">
        <w:t xml:space="preserve">.  </w:t>
      </w:r>
      <w:r w:rsidRPr="00EF3802">
        <w:t>Se dedicó una sesión de formación al Tratado de Singapur</w:t>
      </w:r>
      <w:r w:rsidR="00CF71D4" w:rsidRPr="00EF3802">
        <w:t xml:space="preserve">.  </w:t>
      </w:r>
      <w:r w:rsidRPr="00EF3802">
        <w:t>Asistieron participantes de los siguientes países de América Latina</w:t>
      </w:r>
      <w:r w:rsidR="00CF71D4" w:rsidRPr="00EF3802">
        <w:t>:  Argentina, Bolivia (</w:t>
      </w:r>
      <w:r w:rsidRPr="00EF3802">
        <w:t>Estado Plurinacional de</w:t>
      </w:r>
      <w:r w:rsidR="00CF71D4" w:rsidRPr="00EF3802">
        <w:t>), Chile, Colombia, Costa Rica, Cuba, Ecuador, El S</w:t>
      </w:r>
      <w:r w:rsidRPr="00EF3802">
        <w:t>alvador, Guatemala, Honduras, México, Nicaragua, Panamá, Paraguay, Perú</w:t>
      </w:r>
      <w:r w:rsidR="00CF71D4" w:rsidRPr="00EF3802">
        <w:t xml:space="preserve">, </w:t>
      </w:r>
      <w:r w:rsidRPr="00EF3802">
        <w:t xml:space="preserve">República Dominicana, </w:t>
      </w:r>
      <w:r w:rsidR="00CF71D4" w:rsidRPr="00EF3802">
        <w:t xml:space="preserve">Uruguay </w:t>
      </w:r>
      <w:r w:rsidRPr="00EF3802">
        <w:t xml:space="preserve">y </w:t>
      </w:r>
      <w:r w:rsidR="00CF71D4" w:rsidRPr="00EF3802">
        <w:t>Venezuela (</w:t>
      </w:r>
      <w:r w:rsidRPr="00EF3802">
        <w:t xml:space="preserve">República </w:t>
      </w:r>
      <w:r w:rsidR="00CF71D4" w:rsidRPr="00EF3802">
        <w:t>Bolivarian</w:t>
      </w:r>
      <w:r w:rsidRPr="00EF3802">
        <w:t>a de</w:t>
      </w:r>
      <w:r w:rsidR="00CF71D4" w:rsidRPr="00EF3802">
        <w:t>).</w:t>
      </w:r>
    </w:p>
    <w:p w:rsidR="00CF71D4" w:rsidRPr="00EF3802" w:rsidRDefault="00CF71D4" w:rsidP="00CF71D4">
      <w:pPr>
        <w:pStyle w:val="ListParagraph"/>
        <w:rPr>
          <w:lang w:val="es-ES"/>
        </w:rPr>
      </w:pPr>
    </w:p>
    <w:p w:rsidR="00CF71D4" w:rsidRPr="00EF3802" w:rsidRDefault="00DE6A84" w:rsidP="00CF71D4">
      <w:pPr>
        <w:numPr>
          <w:ilvl w:val="0"/>
          <w:numId w:val="8"/>
        </w:numPr>
        <w:ind w:left="1100" w:hanging="550"/>
      </w:pPr>
      <w:r w:rsidRPr="00EF3802">
        <w:t>Del 29 al 31 de agosto de </w:t>
      </w:r>
      <w:r w:rsidR="00CF71D4" w:rsidRPr="00EF3802">
        <w:t>2016</w:t>
      </w:r>
      <w:r w:rsidR="007E6299" w:rsidRPr="00EF3802">
        <w:t xml:space="preserve"> </w:t>
      </w:r>
      <w:r w:rsidR="005F668F" w:rsidRPr="00EF3802">
        <w:t xml:space="preserve">tuvo lugar </w:t>
      </w:r>
      <w:r w:rsidR="007E6299" w:rsidRPr="00EF3802">
        <w:t xml:space="preserve">un Taller nacional </w:t>
      </w:r>
      <w:r w:rsidR="005D5911">
        <w:t>dedicado</w:t>
      </w:r>
      <w:r w:rsidR="007E6299" w:rsidRPr="00EF3802">
        <w:t xml:space="preserve"> </w:t>
      </w:r>
      <w:r w:rsidR="005D5911">
        <w:t>a</w:t>
      </w:r>
      <w:r w:rsidR="007E6299" w:rsidRPr="00EF3802">
        <w:t xml:space="preserve">l Tratado sobre el Derecho de Marcas (TLT) y </w:t>
      </w:r>
      <w:r w:rsidR="005D5911">
        <w:t>a</w:t>
      </w:r>
      <w:r w:rsidR="007E6299" w:rsidRPr="00EF3802">
        <w:t>l examen de marcas no tradicionales</w:t>
      </w:r>
      <w:r w:rsidR="005F668F" w:rsidRPr="00EF3802">
        <w:t xml:space="preserve"> en San José (Costa Rica)</w:t>
      </w:r>
      <w:r w:rsidR="00CF71D4" w:rsidRPr="00EF3802">
        <w:t xml:space="preserve">.  </w:t>
      </w:r>
      <w:r w:rsidR="004107F1" w:rsidRPr="00EF3802">
        <w:t xml:space="preserve">La OMPI organizó esta </w:t>
      </w:r>
      <w:r w:rsidR="007E6299" w:rsidRPr="00EF3802">
        <w:t xml:space="preserve">actividad en cooperación con el Registro de la Propiedad Industrial de </w:t>
      </w:r>
      <w:r w:rsidR="00CF71D4" w:rsidRPr="00EF3802">
        <w:t>Costa Rica.</w:t>
      </w:r>
    </w:p>
    <w:p w:rsidR="00CF71D4" w:rsidRPr="00EF3802" w:rsidRDefault="00CF71D4" w:rsidP="00CF71D4">
      <w:pPr>
        <w:pStyle w:val="ListParagraph"/>
        <w:rPr>
          <w:lang w:val="es-ES"/>
        </w:rPr>
      </w:pPr>
    </w:p>
    <w:p w:rsidR="00CF71D4" w:rsidRPr="00EF3802" w:rsidRDefault="004B6DC3" w:rsidP="00CF71D4">
      <w:pPr>
        <w:numPr>
          <w:ilvl w:val="0"/>
          <w:numId w:val="8"/>
        </w:numPr>
        <w:ind w:left="1100" w:hanging="550"/>
      </w:pPr>
      <w:r w:rsidRPr="00EF3802">
        <w:t>Los días 1 y 2 de septiembre de </w:t>
      </w:r>
      <w:r w:rsidR="00CF71D4" w:rsidRPr="00EF3802">
        <w:t>2016</w:t>
      </w:r>
      <w:r w:rsidRPr="00EF3802">
        <w:t xml:space="preserve"> </w:t>
      </w:r>
      <w:r w:rsidR="00BE44AF" w:rsidRPr="00EF3802">
        <w:t>tuvo lugar</w:t>
      </w:r>
      <w:r w:rsidRPr="00EF3802">
        <w:t xml:space="preserve"> </w:t>
      </w:r>
      <w:r w:rsidR="00BE44AF" w:rsidRPr="00EF3802">
        <w:t xml:space="preserve">en la Ciudad de Guatemala (Guatemala) </w:t>
      </w:r>
      <w:r w:rsidRPr="00EF3802">
        <w:t xml:space="preserve">un taller nacional sobre la aplicación del TLT.  </w:t>
      </w:r>
      <w:r w:rsidR="004107F1" w:rsidRPr="00EF3802">
        <w:t xml:space="preserve">La OMPI organizó esta actividad en </w:t>
      </w:r>
      <w:r w:rsidRPr="00EF3802">
        <w:t xml:space="preserve">cooperación con el Registro de la Propiedad </w:t>
      </w:r>
      <w:r w:rsidR="00CF71D4" w:rsidRPr="00EF3802">
        <w:t xml:space="preserve">Intelectual </w:t>
      </w:r>
      <w:r w:rsidRPr="00EF3802">
        <w:t xml:space="preserve">de </w:t>
      </w:r>
      <w:r w:rsidR="00CF71D4" w:rsidRPr="00EF3802">
        <w:t>Guatemala.</w:t>
      </w:r>
    </w:p>
    <w:p w:rsidR="00CF71D4" w:rsidRPr="00EF3802" w:rsidRDefault="005F668F" w:rsidP="00CF71D4">
      <w:pPr>
        <w:numPr>
          <w:ilvl w:val="0"/>
          <w:numId w:val="8"/>
        </w:numPr>
        <w:ind w:left="1100" w:hanging="550"/>
      </w:pPr>
      <w:r w:rsidRPr="00EF3802">
        <w:t>Los días 6 y 7 de septiembre de </w:t>
      </w:r>
      <w:r w:rsidR="00CF71D4" w:rsidRPr="00EF3802">
        <w:t>2016</w:t>
      </w:r>
      <w:r w:rsidRPr="00EF3802">
        <w:t xml:space="preserve"> tuvo lugar un seminario subregional sobre el Tratado de Singapur </w:t>
      </w:r>
      <w:r w:rsidR="00E227E5" w:rsidRPr="00EF3802">
        <w:t xml:space="preserve">en </w:t>
      </w:r>
      <w:r w:rsidR="00CF71D4" w:rsidRPr="00EF3802">
        <w:t>Santiago</w:t>
      </w:r>
      <w:r w:rsidR="00E227E5" w:rsidRPr="00EF3802">
        <w:t xml:space="preserve"> de Chile (</w:t>
      </w:r>
      <w:r w:rsidR="00CF71D4" w:rsidRPr="00EF3802">
        <w:t>Chile</w:t>
      </w:r>
      <w:r w:rsidR="00E227E5" w:rsidRPr="00EF3802">
        <w:t>)</w:t>
      </w:r>
      <w:r w:rsidR="00CF71D4" w:rsidRPr="00EF3802">
        <w:t xml:space="preserve">.  </w:t>
      </w:r>
      <w:r w:rsidR="00E227E5" w:rsidRPr="00EF3802">
        <w:t xml:space="preserve">La actividad fue organizada por la OMPI en cooperación con el </w:t>
      </w:r>
      <w:r w:rsidR="001A0A1A" w:rsidRPr="00EF3802">
        <w:t>Instituto Nacional de Propiedad</w:t>
      </w:r>
      <w:r w:rsidR="00CF71D4" w:rsidRPr="00EF3802">
        <w:t xml:space="preserve"> Industrial (INAPI) </w:t>
      </w:r>
      <w:r w:rsidR="001A0A1A" w:rsidRPr="00EF3802">
        <w:t xml:space="preserve">de </w:t>
      </w:r>
      <w:r w:rsidR="00CF71D4" w:rsidRPr="00EF3802">
        <w:t xml:space="preserve">Chile </w:t>
      </w:r>
      <w:r w:rsidR="001A0A1A" w:rsidRPr="00EF3802">
        <w:t>y la Oficina Española de Patentes y Marcas</w:t>
      </w:r>
      <w:r w:rsidR="00CF71D4" w:rsidRPr="00EF3802">
        <w:t xml:space="preserve"> (OEPM). </w:t>
      </w:r>
      <w:r w:rsidR="001A0A1A" w:rsidRPr="00EF3802">
        <w:t xml:space="preserve">Asistieron al seminario funcionarios del sector de marcas de </w:t>
      </w:r>
      <w:r w:rsidR="00CF71D4" w:rsidRPr="00EF3802">
        <w:t>Argentina, Bra</w:t>
      </w:r>
      <w:r w:rsidR="001A0A1A" w:rsidRPr="00EF3802">
        <w:t>s</w:t>
      </w:r>
      <w:r w:rsidR="00CF71D4" w:rsidRPr="00EF3802">
        <w:t xml:space="preserve">il, Ecuador, Paraguay, </w:t>
      </w:r>
      <w:r w:rsidR="001A0A1A" w:rsidRPr="00EF3802">
        <w:t xml:space="preserve">Perú y </w:t>
      </w:r>
      <w:r w:rsidR="00CF71D4" w:rsidRPr="00EF3802">
        <w:t xml:space="preserve">Uruguay.  </w:t>
      </w:r>
      <w:r w:rsidR="001A0A1A" w:rsidRPr="00EF3802">
        <w:t xml:space="preserve">Un </w:t>
      </w:r>
      <w:r w:rsidR="00C54846" w:rsidRPr="00EF3802">
        <w:t>ponente</w:t>
      </w:r>
      <w:r w:rsidR="001A0A1A" w:rsidRPr="00EF3802">
        <w:t xml:space="preserve"> de la Oficina de Propiedad Intelectual de la Unión </w:t>
      </w:r>
      <w:r w:rsidR="00CF71D4" w:rsidRPr="00EF3802">
        <w:t>Europea</w:t>
      </w:r>
      <w:r w:rsidR="001A0A1A" w:rsidRPr="00EF3802">
        <w:t xml:space="preserve"> </w:t>
      </w:r>
      <w:r w:rsidR="00CF71D4" w:rsidRPr="00EF3802">
        <w:t xml:space="preserve">(EUIPO) </w:t>
      </w:r>
      <w:r w:rsidR="001A0A1A" w:rsidRPr="00EF3802">
        <w:t>participó en el seminario mediante videoconferencia</w:t>
      </w:r>
      <w:r w:rsidR="00CF71D4" w:rsidRPr="00EF3802">
        <w:t>.</w:t>
      </w:r>
    </w:p>
    <w:p w:rsidR="00CF71D4" w:rsidRPr="00EF3802" w:rsidRDefault="00CF71D4" w:rsidP="00CF71D4">
      <w:pPr>
        <w:pStyle w:val="ListParagraph"/>
        <w:rPr>
          <w:lang w:val="es-ES"/>
        </w:rPr>
      </w:pPr>
    </w:p>
    <w:p w:rsidR="00CF71D4" w:rsidRPr="00EF3802" w:rsidRDefault="004107F1" w:rsidP="00CF71D4">
      <w:pPr>
        <w:numPr>
          <w:ilvl w:val="0"/>
          <w:numId w:val="8"/>
        </w:numPr>
        <w:ind w:left="1100" w:hanging="550"/>
      </w:pPr>
      <w:r w:rsidRPr="00EF3802">
        <w:t>Del</w:t>
      </w:r>
      <w:r w:rsidR="00CF71D4" w:rsidRPr="00EF3802">
        <w:t xml:space="preserve"> 5</w:t>
      </w:r>
      <w:r w:rsidRPr="00EF3802">
        <w:t> al 7 de diciembre de </w:t>
      </w:r>
      <w:r w:rsidR="00CF71D4" w:rsidRPr="00EF3802">
        <w:t>2016</w:t>
      </w:r>
      <w:r w:rsidRPr="00EF3802">
        <w:t xml:space="preserve"> se celebró una reunión subregional de expertos en administración de marcas de América Central y la República Dominicana en </w:t>
      </w:r>
      <w:r w:rsidR="00CF71D4" w:rsidRPr="00EF3802">
        <w:t>Santo Domingo</w:t>
      </w:r>
      <w:r w:rsidRPr="00EF3802">
        <w:t xml:space="preserve"> (República Dominicana)</w:t>
      </w:r>
      <w:r w:rsidR="00CF71D4" w:rsidRPr="00EF3802">
        <w:t xml:space="preserve">.  </w:t>
      </w:r>
      <w:r w:rsidRPr="00EF3802">
        <w:t xml:space="preserve">La OMPI, en cooperación con la Oficina Nacional de la Propiedad Industrial </w:t>
      </w:r>
      <w:r w:rsidR="00CF71D4" w:rsidRPr="00EF3802">
        <w:t>(ONAPI)</w:t>
      </w:r>
      <w:r w:rsidRPr="00EF3802">
        <w:t xml:space="preserve"> de la República Dominicana</w:t>
      </w:r>
      <w:r w:rsidR="00CF71D4" w:rsidRPr="00EF3802">
        <w:t xml:space="preserve">, </w:t>
      </w:r>
      <w:r w:rsidRPr="00EF3802">
        <w:t xml:space="preserve">organizó esta actividad, a la que asistieron expertos en marcas de </w:t>
      </w:r>
      <w:r w:rsidR="00CF71D4" w:rsidRPr="00EF3802">
        <w:t xml:space="preserve">Costa Rica, El Salvador, Guatemala, Honduras, Nicaragua </w:t>
      </w:r>
      <w:r w:rsidRPr="00EF3802">
        <w:t>y Panamá</w:t>
      </w:r>
      <w:r w:rsidR="00CF71D4" w:rsidRPr="00EF3802">
        <w:t>.</w:t>
      </w:r>
    </w:p>
    <w:p w:rsidR="00CF71D4" w:rsidRPr="00EF3802" w:rsidRDefault="00CF71D4" w:rsidP="00CF71D4">
      <w:pPr>
        <w:pStyle w:val="ListParagraph"/>
        <w:rPr>
          <w:lang w:val="es-ES"/>
        </w:rPr>
      </w:pPr>
    </w:p>
    <w:p w:rsidR="00CF71D4" w:rsidRPr="00EF3802" w:rsidRDefault="008152C0" w:rsidP="00CF71D4">
      <w:pPr>
        <w:numPr>
          <w:ilvl w:val="0"/>
          <w:numId w:val="8"/>
        </w:numPr>
        <w:ind w:left="1100" w:hanging="550"/>
      </w:pPr>
      <w:r w:rsidRPr="00EF3802">
        <w:t>Los días 8 y 9 de diciembre de </w:t>
      </w:r>
      <w:r w:rsidR="00CF71D4" w:rsidRPr="00EF3802">
        <w:t>2016</w:t>
      </w:r>
      <w:r w:rsidRPr="00EF3802">
        <w:t xml:space="preserve"> se celebró en Panamá (Panamá) un taller sobre examen de marcas que comprendió aspectos de la aplicación del </w:t>
      </w:r>
      <w:r w:rsidR="00CF71D4" w:rsidRPr="00EF3802">
        <w:t xml:space="preserve">TLT.  </w:t>
      </w:r>
      <w:r w:rsidRPr="00EF3802">
        <w:t>La OMPI organizó esta actividad en cooperación con la Dirección General del Registro de la Propiedad Industrial de Panamá </w:t>
      </w:r>
      <w:r w:rsidR="00CF71D4" w:rsidRPr="00EF3802">
        <w:t>(DIGERPI).</w:t>
      </w:r>
    </w:p>
    <w:p w:rsidR="00CF71D4" w:rsidRPr="00EF3802" w:rsidRDefault="00CF71D4" w:rsidP="00CF71D4">
      <w:pPr>
        <w:ind w:left="1100"/>
      </w:pPr>
    </w:p>
    <w:p w:rsidR="00CF71D4" w:rsidRPr="00EF3802" w:rsidRDefault="008152C0" w:rsidP="00CF71D4">
      <w:pPr>
        <w:numPr>
          <w:ilvl w:val="0"/>
          <w:numId w:val="8"/>
        </w:numPr>
        <w:ind w:left="1100" w:hanging="550"/>
      </w:pPr>
      <w:r w:rsidRPr="00EF3802">
        <w:t>Del 7 al 9 de febrero de </w:t>
      </w:r>
      <w:r w:rsidR="00CF71D4" w:rsidRPr="00EF3802">
        <w:t xml:space="preserve">2017, </w:t>
      </w:r>
      <w:r w:rsidR="003D4B05" w:rsidRPr="00EF3802">
        <w:t xml:space="preserve">la OMPI impartió una formación sobre marcas en la que se abordó el </w:t>
      </w:r>
      <w:r w:rsidR="00CF71D4" w:rsidRPr="00EF3802">
        <w:t xml:space="preserve">TLT </w:t>
      </w:r>
      <w:r w:rsidR="003D4B05" w:rsidRPr="00EF3802">
        <w:t>y el Tratado de Singapur</w:t>
      </w:r>
      <w:r w:rsidR="00BE44AF" w:rsidRPr="00EF3802">
        <w:t xml:space="preserve"> en el marco</w:t>
      </w:r>
      <w:r w:rsidR="003D4B05" w:rsidRPr="00EF3802">
        <w:t xml:space="preserve"> </w:t>
      </w:r>
      <w:r w:rsidR="00BE44AF" w:rsidRPr="00EF3802">
        <w:t xml:space="preserve">de </w:t>
      </w:r>
      <w:r w:rsidR="003D4B05" w:rsidRPr="00EF3802">
        <w:t>un seminario nacional sobre propiedad intelectual, organizado por la Organización Mundial del Comercio (OMC) en San Vicente y las Granadinas</w:t>
      </w:r>
      <w:r w:rsidR="00CF71D4" w:rsidRPr="00EF3802">
        <w:t>.</w:t>
      </w:r>
    </w:p>
    <w:p w:rsidR="00CF71D4" w:rsidRPr="00EF3802" w:rsidRDefault="00CF71D4" w:rsidP="00CF71D4">
      <w:pPr>
        <w:ind w:left="1100"/>
      </w:pPr>
    </w:p>
    <w:p w:rsidR="00CF71D4" w:rsidRPr="00EF3802" w:rsidRDefault="00125ACB" w:rsidP="00CF71D4">
      <w:pPr>
        <w:numPr>
          <w:ilvl w:val="0"/>
          <w:numId w:val="8"/>
        </w:numPr>
        <w:ind w:left="1100" w:hanging="550"/>
      </w:pPr>
      <w:r w:rsidRPr="00EF3802">
        <w:t>Del</w:t>
      </w:r>
      <w:r w:rsidR="00CF71D4" w:rsidRPr="00EF3802">
        <w:t xml:space="preserve"> </w:t>
      </w:r>
      <w:r w:rsidRPr="00EF3802">
        <w:t>18 al </w:t>
      </w:r>
      <w:r w:rsidR="00CF71D4" w:rsidRPr="00EF3802">
        <w:t>21</w:t>
      </w:r>
      <w:r w:rsidRPr="00EF3802">
        <w:t> de abril de </w:t>
      </w:r>
      <w:r w:rsidR="00CF71D4" w:rsidRPr="00EF3802">
        <w:t xml:space="preserve">2017, </w:t>
      </w:r>
      <w:r w:rsidRPr="00EF3802">
        <w:t>la OMPI, en cooperación con</w:t>
      </w:r>
      <w:r w:rsidR="00CF71D4" w:rsidRPr="00EF3802">
        <w:t xml:space="preserve"> </w:t>
      </w:r>
      <w:r w:rsidRPr="00EF3802">
        <w:t>la Oficina de Propiedad Intelectual y el Organismo de Promoción de Inversiones del Ministerio de Comercio e Industria de</w:t>
      </w:r>
      <w:r w:rsidR="00CF71D4" w:rsidRPr="00EF3802">
        <w:t xml:space="preserve"> Papua </w:t>
      </w:r>
      <w:r w:rsidRPr="00EF3802">
        <w:t xml:space="preserve">Nueva </w:t>
      </w:r>
      <w:r w:rsidR="00CF71D4" w:rsidRPr="00EF3802">
        <w:t xml:space="preserve">Guinea, </w:t>
      </w:r>
      <w:r w:rsidRPr="00EF3802">
        <w:t>organizó una actividad regional de formación para examinadores de marcas de los países insulares del Pacífico en</w:t>
      </w:r>
      <w:r w:rsidR="00CF71D4" w:rsidRPr="00EF3802">
        <w:t xml:space="preserve"> Port Moresby</w:t>
      </w:r>
      <w:r w:rsidRPr="00EF3802">
        <w:t xml:space="preserve"> (Papua Nueva Guinea)</w:t>
      </w:r>
      <w:r w:rsidR="00CF71D4" w:rsidRPr="00EF3802">
        <w:t xml:space="preserve">.  </w:t>
      </w:r>
      <w:r w:rsidR="00A80D4C" w:rsidRPr="00EF3802">
        <w:t>Se dedicaron sesiones específicas al Tratado de Singapur.  En la formación participaron dieciocho funcionarios de los siguientes países</w:t>
      </w:r>
      <w:r w:rsidR="00CF71D4" w:rsidRPr="00EF3802">
        <w:t xml:space="preserve">:  Fiji, Papua </w:t>
      </w:r>
      <w:r w:rsidR="00A80D4C" w:rsidRPr="00EF3802">
        <w:t xml:space="preserve">Nueva </w:t>
      </w:r>
      <w:r w:rsidR="00CF71D4" w:rsidRPr="00EF3802">
        <w:t xml:space="preserve">Guinea, Samoa, Tonga, Tuvalu </w:t>
      </w:r>
      <w:r w:rsidR="00A80D4C" w:rsidRPr="00EF3802">
        <w:t xml:space="preserve">y </w:t>
      </w:r>
      <w:r w:rsidR="00CF71D4" w:rsidRPr="00EF3802">
        <w:t>Vanuatu.</w:t>
      </w:r>
    </w:p>
    <w:p w:rsidR="00CF71D4" w:rsidRPr="00EF3802" w:rsidRDefault="00CF71D4" w:rsidP="00CF71D4">
      <w:pPr>
        <w:pStyle w:val="ListParagraph"/>
        <w:rPr>
          <w:lang w:val="es-ES"/>
        </w:rPr>
      </w:pPr>
    </w:p>
    <w:p w:rsidR="00CF71D4" w:rsidRPr="00EF3802" w:rsidRDefault="00A80D4C" w:rsidP="00CF71D4">
      <w:pPr>
        <w:numPr>
          <w:ilvl w:val="0"/>
          <w:numId w:val="8"/>
        </w:numPr>
        <w:ind w:left="1100" w:hanging="550"/>
      </w:pPr>
      <w:r w:rsidRPr="00EF3802">
        <w:t xml:space="preserve">Del 24 al </w:t>
      </w:r>
      <w:r w:rsidR="00CF71D4" w:rsidRPr="00EF3802">
        <w:t>27</w:t>
      </w:r>
      <w:r w:rsidRPr="00EF3802">
        <w:t> de abril de </w:t>
      </w:r>
      <w:r w:rsidR="00CF71D4" w:rsidRPr="00EF3802">
        <w:t xml:space="preserve">2017, </w:t>
      </w:r>
      <w:r w:rsidRPr="00EF3802">
        <w:t xml:space="preserve">la OMPI, en cooperación con el Ministerio de Desarrollo Cultural de las Islas </w:t>
      </w:r>
      <w:r w:rsidR="00CF71D4" w:rsidRPr="00EF3802">
        <w:t xml:space="preserve">Cook </w:t>
      </w:r>
      <w:r w:rsidRPr="00EF3802">
        <w:t xml:space="preserve">y la Oficina Surcoreana de Propiedad </w:t>
      </w:r>
      <w:r w:rsidR="00CF71D4" w:rsidRPr="00EF3802">
        <w:t>Inte</w:t>
      </w:r>
      <w:r w:rsidRPr="00EF3802">
        <w:t>lectual </w:t>
      </w:r>
      <w:r w:rsidR="00CF71D4" w:rsidRPr="00EF3802">
        <w:t xml:space="preserve">(KIPO), </w:t>
      </w:r>
      <w:r w:rsidRPr="00EF3802">
        <w:t xml:space="preserve">organizó una Conferencia Regional para los Países Insulares del Pacífico en </w:t>
      </w:r>
      <w:r w:rsidR="00CF71D4" w:rsidRPr="00EF3802">
        <w:t>Rarotonga</w:t>
      </w:r>
      <w:r w:rsidRPr="00EF3802">
        <w:t xml:space="preserve"> (Islas Cook)</w:t>
      </w:r>
      <w:r w:rsidR="00CF71D4" w:rsidRPr="00EF3802">
        <w:t xml:space="preserve">. </w:t>
      </w:r>
      <w:r w:rsidRPr="00EF3802">
        <w:t xml:space="preserve"> Se dedicaron sesiones específicas al Tratado de Singapur</w:t>
      </w:r>
      <w:r w:rsidR="00CF71D4" w:rsidRPr="00EF3802">
        <w:t xml:space="preserve">.  </w:t>
      </w:r>
      <w:r w:rsidRPr="00EF3802">
        <w:t>En la formación participaron trece funcionarios de los siguientes países</w:t>
      </w:r>
      <w:r w:rsidR="00CF71D4" w:rsidRPr="00EF3802">
        <w:t xml:space="preserve">:  Fiji, Kiribati, </w:t>
      </w:r>
      <w:r w:rsidRPr="00EF3802">
        <w:t xml:space="preserve">Islas </w:t>
      </w:r>
      <w:r w:rsidR="00CF71D4" w:rsidRPr="00EF3802">
        <w:t xml:space="preserve">Marshall, </w:t>
      </w:r>
      <w:r w:rsidRPr="00EF3802">
        <w:t xml:space="preserve">Islas Salomón, </w:t>
      </w:r>
      <w:r w:rsidR="00CF71D4" w:rsidRPr="00EF3802">
        <w:t>Micronesia (</w:t>
      </w:r>
      <w:r w:rsidRPr="00EF3802">
        <w:t>Estados Federados de</w:t>
      </w:r>
      <w:r w:rsidR="00CF71D4" w:rsidRPr="00EF3802">
        <w:t xml:space="preserve">), Nauru, Niue, Papua </w:t>
      </w:r>
      <w:r w:rsidRPr="00EF3802">
        <w:t xml:space="preserve">Nueva </w:t>
      </w:r>
      <w:r w:rsidR="00CF71D4" w:rsidRPr="00EF3802">
        <w:t xml:space="preserve">Guinea, Samoa, Tonga, Tuvalu </w:t>
      </w:r>
      <w:r w:rsidRPr="00EF3802">
        <w:t xml:space="preserve">y </w:t>
      </w:r>
      <w:r w:rsidR="00CF71D4" w:rsidRPr="00EF3802">
        <w:t>Vanuatu.</w:t>
      </w:r>
    </w:p>
    <w:p w:rsidR="00CF71D4" w:rsidRPr="00EF3802" w:rsidRDefault="00CF71D4" w:rsidP="00CF71D4">
      <w:pPr>
        <w:ind w:left="540"/>
      </w:pPr>
    </w:p>
    <w:p w:rsidR="00CF71D4" w:rsidRPr="00EF3802" w:rsidRDefault="00A80D4C" w:rsidP="00CF71D4">
      <w:pPr>
        <w:numPr>
          <w:ilvl w:val="0"/>
          <w:numId w:val="8"/>
        </w:numPr>
        <w:ind w:left="1080" w:hanging="540"/>
        <w:rPr>
          <w:u w:val="single"/>
        </w:rPr>
      </w:pPr>
      <w:r w:rsidRPr="00EF3802">
        <w:t>Los días </w:t>
      </w:r>
      <w:r w:rsidR="00CF71D4" w:rsidRPr="00EF3802">
        <w:t xml:space="preserve">10 </w:t>
      </w:r>
      <w:r w:rsidRPr="00EF3802">
        <w:t>y </w:t>
      </w:r>
      <w:r w:rsidR="00CF71D4" w:rsidRPr="00EF3802">
        <w:t>11</w:t>
      </w:r>
      <w:r w:rsidRPr="00EF3802">
        <w:t xml:space="preserve"> de mayo de </w:t>
      </w:r>
      <w:r w:rsidR="00BE44AF" w:rsidRPr="00EF3802">
        <w:t>2017</w:t>
      </w:r>
      <w:r w:rsidR="00CF71D4" w:rsidRPr="00EF3802">
        <w:t xml:space="preserve"> </w:t>
      </w:r>
      <w:r w:rsidR="00C54846" w:rsidRPr="00EF3802">
        <w:t xml:space="preserve">se celebró en Manama (Bahrein) un taller nacional sobre la protección de las marcas no tradicionales </w:t>
      </w:r>
      <w:r w:rsidR="00BE44AF" w:rsidRPr="00EF3802">
        <w:t>en torno al tema</w:t>
      </w:r>
      <w:r w:rsidR="00C54846" w:rsidRPr="00EF3802">
        <w:t xml:space="preserve"> “Situación actual y desafíos”</w:t>
      </w:r>
      <w:r w:rsidR="00CF71D4" w:rsidRPr="00EF3802">
        <w:t xml:space="preserve">.  </w:t>
      </w:r>
      <w:r w:rsidR="00C54846" w:rsidRPr="00EF3802">
        <w:t>La OMPI organizó el taller en cooperación con la Dirección de Propiedad Industrial del Ministerio de Industria, Comercio y Turismo de</w:t>
      </w:r>
      <w:r w:rsidR="00CF71D4" w:rsidRPr="00EF3802">
        <w:t xml:space="preserve"> Bahr</w:t>
      </w:r>
      <w:r w:rsidR="00C54846" w:rsidRPr="00EF3802">
        <w:t>e</w:t>
      </w:r>
      <w:r w:rsidR="00CF71D4" w:rsidRPr="00EF3802">
        <w:t xml:space="preserve">in.  </w:t>
      </w:r>
      <w:r w:rsidR="00BE44AF" w:rsidRPr="00EF3802">
        <w:t>En el taller también participó u</w:t>
      </w:r>
      <w:r w:rsidR="00C54846" w:rsidRPr="00EF3802">
        <w:t xml:space="preserve">n ponente de la Oficina de Propiedad Intelectual de Australia </w:t>
      </w:r>
      <w:r w:rsidR="00CF71D4" w:rsidRPr="00EF3802">
        <w:t>(IP Australia).</w:t>
      </w:r>
    </w:p>
    <w:p w:rsidR="00685725" w:rsidRDefault="00685725">
      <w:pPr>
        <w:rPr>
          <w:u w:val="single"/>
        </w:rPr>
      </w:pPr>
      <w:r>
        <w:rPr>
          <w:u w:val="single"/>
        </w:rPr>
        <w:br w:type="page"/>
      </w:r>
    </w:p>
    <w:p w:rsidR="00CF71D4" w:rsidRPr="00EF3802" w:rsidRDefault="0003679A" w:rsidP="00CF71D4">
      <w:pPr>
        <w:rPr>
          <w:u w:val="single"/>
        </w:rPr>
      </w:pPr>
      <w:r w:rsidRPr="00EF3802">
        <w:rPr>
          <w:u w:val="single"/>
        </w:rPr>
        <w:t>Visitas de estudio</w:t>
      </w:r>
    </w:p>
    <w:p w:rsidR="00CF71D4" w:rsidRPr="00EF3802" w:rsidRDefault="00CF71D4" w:rsidP="00CF71D4"/>
    <w:p w:rsidR="00CF71D4" w:rsidRPr="00EF3802" w:rsidRDefault="0074340F" w:rsidP="00CF71D4">
      <w:pPr>
        <w:numPr>
          <w:ilvl w:val="0"/>
          <w:numId w:val="8"/>
        </w:numPr>
        <w:ind w:left="1100" w:hanging="550"/>
      </w:pPr>
      <w:r w:rsidRPr="00EF3802">
        <w:t>Del 30 de noviembre al 2 de diciembre de </w:t>
      </w:r>
      <w:r w:rsidR="00CF71D4" w:rsidRPr="00EF3802">
        <w:t xml:space="preserve">2015, </w:t>
      </w:r>
      <w:r w:rsidRPr="00EF3802">
        <w:t>la Oficina Internacional de la OMPI acogió la visita de 20 funcionarios públicos de la Arabia Saudita para analizar varias cuestiones en materia de marcas</w:t>
      </w:r>
      <w:r w:rsidR="00CF71D4" w:rsidRPr="00EF3802">
        <w:t xml:space="preserve">.  </w:t>
      </w:r>
      <w:r w:rsidRPr="00EF3802">
        <w:t>Se dedicaron sesiones específicas al TLT y el Tratado de Singapur</w:t>
      </w:r>
      <w:r w:rsidR="00CF71D4" w:rsidRPr="00EF3802">
        <w:t xml:space="preserve">.  </w:t>
      </w:r>
      <w:r w:rsidRPr="00EF3802">
        <w:t>La visita de estudio se organizó como respuesta a una petición de la Oficina del Agregado Comercial de la Misión Permanente de la Arabia Saudita en Ginebra</w:t>
      </w:r>
      <w:r w:rsidR="00CF71D4" w:rsidRPr="00EF3802">
        <w:t>.</w:t>
      </w:r>
    </w:p>
    <w:p w:rsidR="00CF71D4" w:rsidRPr="00EF3802" w:rsidRDefault="00CF71D4" w:rsidP="00CF71D4">
      <w:pPr>
        <w:ind w:left="1100"/>
      </w:pPr>
    </w:p>
    <w:p w:rsidR="00CF71D4" w:rsidRPr="00EF3802" w:rsidRDefault="0074340F" w:rsidP="00CF71D4">
      <w:pPr>
        <w:numPr>
          <w:ilvl w:val="0"/>
          <w:numId w:val="8"/>
        </w:numPr>
        <w:ind w:left="1100" w:hanging="550"/>
      </w:pPr>
      <w:r w:rsidRPr="00EF3802">
        <w:t>El 22 de febrero de </w:t>
      </w:r>
      <w:r w:rsidR="00CF71D4" w:rsidRPr="00EF3802">
        <w:t xml:space="preserve">2017, </w:t>
      </w:r>
      <w:r w:rsidRPr="00EF3802">
        <w:t xml:space="preserve">la OMPI acogió una visita de trabajo de una delegación de </w:t>
      </w:r>
      <w:r w:rsidR="00CF71D4" w:rsidRPr="00EF3802">
        <w:t xml:space="preserve">Rwanda </w:t>
      </w:r>
      <w:r w:rsidRPr="00EF3802">
        <w:t xml:space="preserve">durante la que se </w:t>
      </w:r>
      <w:r w:rsidR="00BE44AF" w:rsidRPr="00EF3802">
        <w:t>ofreció</w:t>
      </w:r>
      <w:r w:rsidRPr="00EF3802">
        <w:t xml:space="preserve"> asesoramiento respecto de las disposiciones en materia de marcas del Proyecto de Ley de </w:t>
      </w:r>
      <w:r w:rsidR="00CF71D4" w:rsidRPr="00EF3802">
        <w:t xml:space="preserve">2016 </w:t>
      </w:r>
      <w:r w:rsidRPr="00EF3802">
        <w:t>de Protección de la Propiedad Intelectual</w:t>
      </w:r>
      <w:r w:rsidR="00CF71D4" w:rsidRPr="00EF3802">
        <w:t>.</w:t>
      </w:r>
    </w:p>
    <w:p w:rsidR="00CF71D4" w:rsidRPr="00EF3802" w:rsidRDefault="00CF71D4" w:rsidP="00CF71D4"/>
    <w:p w:rsidR="00CF71D4" w:rsidRPr="00EF3802" w:rsidRDefault="00023051" w:rsidP="00CF71D4">
      <w:pPr>
        <w:numPr>
          <w:ilvl w:val="0"/>
          <w:numId w:val="8"/>
        </w:numPr>
        <w:ind w:left="1100" w:hanging="550"/>
      </w:pPr>
      <w:r w:rsidRPr="00EF3802">
        <w:t>El 30 de noviembre de </w:t>
      </w:r>
      <w:r w:rsidR="00CF71D4" w:rsidRPr="00EF3802">
        <w:t>2016</w:t>
      </w:r>
      <w:r w:rsidRPr="00EF3802">
        <w:t xml:space="preserve"> y el </w:t>
      </w:r>
      <w:r w:rsidR="00CF71D4" w:rsidRPr="00EF3802">
        <w:t>16</w:t>
      </w:r>
      <w:r w:rsidRPr="00EF3802">
        <w:t> de mayo de </w:t>
      </w:r>
      <w:r w:rsidR="00CF71D4" w:rsidRPr="00EF3802">
        <w:t xml:space="preserve">2017, </w:t>
      </w:r>
      <w:r w:rsidRPr="00EF3802">
        <w:t xml:space="preserve">la OMPI acogió visitas de estudio de funcionarios públicos de </w:t>
      </w:r>
      <w:r w:rsidR="00CF71D4" w:rsidRPr="00EF3802">
        <w:t xml:space="preserve">Myanmar </w:t>
      </w:r>
      <w:r w:rsidRPr="00EF3802">
        <w:t>para ana</w:t>
      </w:r>
      <w:r w:rsidR="00BE44AF" w:rsidRPr="00EF3802">
        <w:t>lizar el proyecto actual de la L</w:t>
      </w:r>
      <w:r w:rsidRPr="00EF3802">
        <w:t xml:space="preserve">ey de P.I. y la asistencia que la OMPI está </w:t>
      </w:r>
      <w:r w:rsidR="00107658" w:rsidRPr="00EF3802">
        <w:t>prestando en relación con</w:t>
      </w:r>
      <w:r w:rsidRPr="00EF3802">
        <w:t xml:space="preserve"> el futuro </w:t>
      </w:r>
      <w:r w:rsidR="00107658" w:rsidRPr="00EF3802">
        <w:t>r</w:t>
      </w:r>
      <w:r w:rsidRPr="00EF3802">
        <w:t xml:space="preserve">eglamento sobre </w:t>
      </w:r>
      <w:r w:rsidR="00107658" w:rsidRPr="00EF3802">
        <w:t>m</w:t>
      </w:r>
      <w:r w:rsidRPr="00EF3802">
        <w:t>arcas</w:t>
      </w:r>
      <w:r w:rsidR="00CF71D4" w:rsidRPr="00EF3802">
        <w:t>.</w:t>
      </w:r>
    </w:p>
    <w:p w:rsidR="00CF71D4" w:rsidRPr="00EF3802" w:rsidRDefault="00CF71D4" w:rsidP="00CF71D4"/>
    <w:p w:rsidR="00CF71D4" w:rsidRPr="00EF3802" w:rsidRDefault="0003679A" w:rsidP="00CF71D4">
      <w:pPr>
        <w:tabs>
          <w:tab w:val="left" w:pos="567"/>
        </w:tabs>
        <w:rPr>
          <w:u w:val="single"/>
        </w:rPr>
      </w:pPr>
      <w:r w:rsidRPr="00EF3802">
        <w:rPr>
          <w:u w:val="single"/>
        </w:rPr>
        <w:t>Otras actividades</w:t>
      </w:r>
    </w:p>
    <w:p w:rsidR="00CF71D4" w:rsidRPr="00EF3802" w:rsidRDefault="00CF71D4" w:rsidP="00CF71D4">
      <w:pPr>
        <w:tabs>
          <w:tab w:val="left" w:pos="567"/>
        </w:tabs>
      </w:pPr>
    </w:p>
    <w:p w:rsidR="00CF71D4" w:rsidRPr="00EF3802" w:rsidRDefault="00BD168D" w:rsidP="00CF71D4">
      <w:pPr>
        <w:numPr>
          <w:ilvl w:val="0"/>
          <w:numId w:val="9"/>
        </w:numPr>
        <w:tabs>
          <w:tab w:val="clear" w:pos="567"/>
          <w:tab w:val="num" w:pos="1080"/>
        </w:tabs>
        <w:ind w:left="1080" w:hanging="540"/>
      </w:pPr>
      <w:r w:rsidRPr="00EF3802">
        <w:t>En respuesta a una petici</w:t>
      </w:r>
      <w:r w:rsidR="00BE44AF" w:rsidRPr="00EF3802">
        <w:t>ón de Camboya, la OMPI entregó un</w:t>
      </w:r>
      <w:r w:rsidRPr="00EF3802">
        <w:t xml:space="preserve"> documento </w:t>
      </w:r>
      <w:r w:rsidR="00BE44AF" w:rsidRPr="00EF3802">
        <w:t>de a</w:t>
      </w:r>
      <w:r w:rsidRPr="00EF3802">
        <w:t xml:space="preserve">nálisis </w:t>
      </w:r>
      <w:r w:rsidR="00BE44AF" w:rsidRPr="00EF3802">
        <w:t xml:space="preserve">sobre </w:t>
      </w:r>
      <w:r w:rsidRPr="00EF3802">
        <w:t xml:space="preserve">el impacto de la </w:t>
      </w:r>
      <w:r w:rsidR="00BE44AF" w:rsidRPr="00EF3802">
        <w:t>a</w:t>
      </w:r>
      <w:r w:rsidRPr="00EF3802">
        <w:t>dhesión de Camboya al Tratado de Singapur</w:t>
      </w:r>
      <w:r w:rsidR="00CF71D4" w:rsidRPr="00EF3802">
        <w:t xml:space="preserve"> </w:t>
      </w:r>
      <w:r w:rsidRPr="00EF3802">
        <w:t xml:space="preserve">el </w:t>
      </w:r>
      <w:r w:rsidR="00CF71D4" w:rsidRPr="00EF3802">
        <w:t>17</w:t>
      </w:r>
      <w:r w:rsidRPr="00EF3802">
        <w:t> de febrero de </w:t>
      </w:r>
      <w:r w:rsidR="00CF71D4" w:rsidRPr="00EF3802">
        <w:t>2017.</w:t>
      </w:r>
    </w:p>
    <w:p w:rsidR="00CF71D4" w:rsidRPr="00EF3802" w:rsidRDefault="00CF71D4" w:rsidP="00CF71D4">
      <w:pPr>
        <w:tabs>
          <w:tab w:val="left" w:pos="567"/>
        </w:tabs>
      </w:pPr>
    </w:p>
    <w:p w:rsidR="00CF71D4" w:rsidRPr="00EF3802" w:rsidRDefault="00CF71D4" w:rsidP="00CF71D4">
      <w:pPr>
        <w:tabs>
          <w:tab w:val="left" w:pos="567"/>
        </w:tabs>
      </w:pPr>
      <w:r w:rsidRPr="00EF3802">
        <w:fldChar w:fldCharType="begin"/>
      </w:r>
      <w:r w:rsidRPr="00EF3802">
        <w:instrText xml:space="preserve"> AUTONUM  </w:instrText>
      </w:r>
      <w:r w:rsidRPr="00EF3802">
        <w:fldChar w:fldCharType="end"/>
      </w:r>
      <w:r w:rsidRPr="00EF3802">
        <w:tab/>
      </w:r>
      <w:r w:rsidR="0003679A" w:rsidRPr="00EF3802">
        <w:t>El Anexo del presente documento contiene una li</w:t>
      </w:r>
      <w:r w:rsidR="00023051" w:rsidRPr="00EF3802">
        <w:t xml:space="preserve">sta de las Partes Contratantes en </w:t>
      </w:r>
      <w:r w:rsidR="0003679A" w:rsidRPr="00EF3802">
        <w:t>el Tratado de Singapur a 13 de abril de </w:t>
      </w:r>
      <w:r w:rsidRPr="00EF3802">
        <w:t>2017.</w:t>
      </w:r>
    </w:p>
    <w:p w:rsidR="00CF71D4" w:rsidRPr="00EF3802" w:rsidRDefault="00CF71D4" w:rsidP="00CF71D4">
      <w:pPr>
        <w:tabs>
          <w:tab w:val="left" w:pos="567"/>
        </w:tabs>
      </w:pPr>
    </w:p>
    <w:p w:rsidR="00CF71D4" w:rsidRPr="00EF3802" w:rsidRDefault="00CF71D4" w:rsidP="00CF71D4">
      <w:pPr>
        <w:pStyle w:val="DecisionInvitingPara"/>
        <w:tabs>
          <w:tab w:val="left" w:pos="5954"/>
          <w:tab w:val="right" w:pos="9072"/>
        </w:tabs>
        <w:spacing w:after="0" w:line="240" w:lineRule="auto"/>
        <w:ind w:left="5533" w:firstLine="5"/>
        <w:rPr>
          <w:sz w:val="22"/>
          <w:szCs w:val="22"/>
          <w:lang w:val="es-ES"/>
        </w:rPr>
      </w:pPr>
      <w:r w:rsidRPr="00EF3802">
        <w:rPr>
          <w:sz w:val="22"/>
          <w:szCs w:val="22"/>
          <w:lang w:val="es-ES"/>
        </w:rPr>
        <w:fldChar w:fldCharType="begin"/>
      </w:r>
      <w:r w:rsidRPr="00EF3802">
        <w:rPr>
          <w:sz w:val="22"/>
          <w:szCs w:val="22"/>
          <w:lang w:val="es-ES"/>
        </w:rPr>
        <w:instrText xml:space="preserve"> AUTONUM  </w:instrText>
      </w:r>
      <w:r w:rsidRPr="00EF3802">
        <w:rPr>
          <w:sz w:val="22"/>
          <w:szCs w:val="22"/>
          <w:lang w:val="es-ES"/>
        </w:rPr>
        <w:fldChar w:fldCharType="end"/>
      </w:r>
      <w:r w:rsidRPr="00EF3802">
        <w:rPr>
          <w:sz w:val="22"/>
          <w:szCs w:val="22"/>
          <w:lang w:val="es-ES"/>
        </w:rPr>
        <w:tab/>
      </w:r>
      <w:r w:rsidR="0003679A" w:rsidRPr="00EF3802">
        <w:rPr>
          <w:sz w:val="22"/>
          <w:szCs w:val="22"/>
          <w:lang w:val="es-ES"/>
        </w:rPr>
        <w:t>Se invita a la Asamblea a tomar nota del contenido del documento “Asistencia para la aplicación del Tratado de Singapur sobre el Derecho de Marcas</w:t>
      </w:r>
      <w:r w:rsidR="001A1A93" w:rsidRPr="00EF3802">
        <w:rPr>
          <w:sz w:val="22"/>
          <w:szCs w:val="22"/>
          <w:lang w:val="es-ES"/>
        </w:rPr>
        <w:t xml:space="preserve"> (STLT)</w:t>
      </w:r>
      <w:r w:rsidR="0003679A" w:rsidRPr="00EF3802">
        <w:rPr>
          <w:sz w:val="22"/>
          <w:szCs w:val="22"/>
          <w:lang w:val="es-ES"/>
        </w:rPr>
        <w:t>”</w:t>
      </w:r>
      <w:r w:rsidRPr="00EF3802">
        <w:rPr>
          <w:sz w:val="22"/>
          <w:szCs w:val="22"/>
          <w:lang w:val="es-ES"/>
        </w:rPr>
        <w:t xml:space="preserve"> (document</w:t>
      </w:r>
      <w:r w:rsidR="0003679A" w:rsidRPr="00EF3802">
        <w:rPr>
          <w:sz w:val="22"/>
          <w:szCs w:val="22"/>
          <w:lang w:val="es-ES"/>
        </w:rPr>
        <w:t>o</w:t>
      </w:r>
      <w:r w:rsidR="001A1A93" w:rsidRPr="00EF3802">
        <w:rPr>
          <w:sz w:val="22"/>
          <w:szCs w:val="22"/>
          <w:lang w:val="es-ES"/>
        </w:rPr>
        <w:t> </w:t>
      </w:r>
      <w:r w:rsidRPr="00EF3802">
        <w:rPr>
          <w:sz w:val="22"/>
          <w:szCs w:val="22"/>
          <w:lang w:val="es-ES"/>
        </w:rPr>
        <w:t>STLT/A/10/1).</w:t>
      </w:r>
    </w:p>
    <w:p w:rsidR="00CF71D4" w:rsidRPr="00EF3802" w:rsidRDefault="00CF71D4" w:rsidP="00CF71D4">
      <w:pPr>
        <w:pStyle w:val="DecisionInvitingPara"/>
        <w:tabs>
          <w:tab w:val="left" w:pos="5954"/>
          <w:tab w:val="right" w:pos="9072"/>
        </w:tabs>
        <w:spacing w:after="0" w:line="240" w:lineRule="auto"/>
        <w:ind w:left="0" w:firstLine="5"/>
        <w:rPr>
          <w:i w:val="0"/>
          <w:sz w:val="22"/>
          <w:szCs w:val="22"/>
          <w:lang w:val="es-ES"/>
        </w:rPr>
      </w:pPr>
    </w:p>
    <w:p w:rsidR="00CF71D4" w:rsidRPr="00EF3802" w:rsidRDefault="00CF71D4" w:rsidP="00CF71D4">
      <w:pPr>
        <w:pStyle w:val="DecisionInvitingPara"/>
        <w:tabs>
          <w:tab w:val="left" w:pos="5954"/>
          <w:tab w:val="right" w:pos="9072"/>
        </w:tabs>
        <w:spacing w:after="0" w:line="240" w:lineRule="auto"/>
        <w:ind w:left="0" w:firstLine="5"/>
        <w:rPr>
          <w:i w:val="0"/>
          <w:sz w:val="22"/>
          <w:szCs w:val="22"/>
          <w:lang w:val="es-ES"/>
        </w:rPr>
      </w:pPr>
    </w:p>
    <w:p w:rsidR="00CF71D4" w:rsidRPr="00EF3802" w:rsidRDefault="00CF71D4" w:rsidP="00CF71D4">
      <w:pPr>
        <w:pStyle w:val="DecisionInvitingPara"/>
        <w:tabs>
          <w:tab w:val="left" w:pos="5954"/>
          <w:tab w:val="right" w:pos="9072"/>
        </w:tabs>
        <w:spacing w:after="0" w:line="240" w:lineRule="auto"/>
        <w:ind w:left="0" w:firstLine="5"/>
        <w:rPr>
          <w:i w:val="0"/>
          <w:sz w:val="22"/>
          <w:szCs w:val="22"/>
          <w:lang w:val="es-ES"/>
        </w:rPr>
      </w:pPr>
    </w:p>
    <w:p w:rsidR="00CF71D4" w:rsidRPr="00EF3802" w:rsidRDefault="00CF71D4" w:rsidP="00CF71D4">
      <w:pPr>
        <w:pStyle w:val="DecisionInvitingPara"/>
        <w:tabs>
          <w:tab w:val="left" w:pos="5954"/>
          <w:tab w:val="right" w:pos="9072"/>
        </w:tabs>
        <w:spacing w:after="0" w:line="240" w:lineRule="auto"/>
        <w:ind w:left="5529" w:firstLine="5"/>
        <w:rPr>
          <w:i w:val="0"/>
          <w:sz w:val="22"/>
          <w:szCs w:val="22"/>
          <w:lang w:val="es-ES"/>
        </w:rPr>
      </w:pPr>
      <w:r w:rsidRPr="00EF3802">
        <w:rPr>
          <w:i w:val="0"/>
          <w:sz w:val="22"/>
          <w:szCs w:val="22"/>
          <w:lang w:val="es-ES"/>
        </w:rPr>
        <w:t>[</w:t>
      </w:r>
      <w:r w:rsidR="00A20C37" w:rsidRPr="00EF3802">
        <w:rPr>
          <w:i w:val="0"/>
          <w:sz w:val="22"/>
          <w:szCs w:val="22"/>
          <w:lang w:val="es-ES"/>
        </w:rPr>
        <w:t>Sigue el Anexo</w:t>
      </w:r>
      <w:r w:rsidRPr="00EF3802">
        <w:rPr>
          <w:i w:val="0"/>
          <w:sz w:val="22"/>
          <w:szCs w:val="22"/>
          <w:lang w:val="es-ES"/>
        </w:rPr>
        <w:t>]</w:t>
      </w:r>
    </w:p>
    <w:p w:rsidR="00CF71D4" w:rsidRPr="00EF3802" w:rsidRDefault="00CF71D4" w:rsidP="00CF71D4">
      <w:pPr>
        <w:tabs>
          <w:tab w:val="left" w:pos="567"/>
        </w:tabs>
      </w:pPr>
    </w:p>
    <w:p w:rsidR="00CF71D4" w:rsidRPr="00EF3802" w:rsidRDefault="00CF71D4" w:rsidP="00CF71D4">
      <w:pPr>
        <w:tabs>
          <w:tab w:val="left" w:pos="567"/>
        </w:tabs>
      </w:pPr>
    </w:p>
    <w:p w:rsidR="00CF71D4" w:rsidRPr="00EF3802" w:rsidRDefault="00CF71D4" w:rsidP="00CF71D4"/>
    <w:p w:rsidR="00CF71D4" w:rsidRPr="00EF3802" w:rsidRDefault="00CF71D4" w:rsidP="00CF71D4">
      <w:pPr>
        <w:sectPr w:rsidR="00CF71D4" w:rsidRPr="00EF3802" w:rsidSect="00023051">
          <w:headerReference w:type="default" r:id="rId9"/>
          <w:endnotePr>
            <w:numFmt w:val="decimal"/>
          </w:endnotePr>
          <w:pgSz w:w="11907" w:h="16840" w:code="9"/>
          <w:pgMar w:top="567" w:right="1134" w:bottom="1418" w:left="1418" w:header="510" w:footer="1021" w:gutter="0"/>
          <w:cols w:space="720"/>
          <w:titlePg/>
          <w:docGrid w:linePitch="299"/>
        </w:sectPr>
      </w:pPr>
    </w:p>
    <w:p w:rsidR="00CF71D4" w:rsidRPr="00EF3802" w:rsidRDefault="0003679A" w:rsidP="00CF71D4">
      <w:pPr>
        <w:autoSpaceDE w:val="0"/>
        <w:autoSpaceDN w:val="0"/>
        <w:adjustRightInd w:val="0"/>
        <w:jc w:val="center"/>
        <w:rPr>
          <w:color w:val="000000"/>
          <w:szCs w:val="24"/>
        </w:rPr>
      </w:pPr>
      <w:r w:rsidRPr="00EF3802">
        <w:rPr>
          <w:bCs/>
          <w:color w:val="000000"/>
          <w:szCs w:val="24"/>
        </w:rPr>
        <w:t>Tratado de Singapur sobre el Derecho de Marcas</w:t>
      </w:r>
    </w:p>
    <w:p w:rsidR="00CF71D4" w:rsidRPr="00EF3802" w:rsidRDefault="00CF71D4" w:rsidP="00CF71D4">
      <w:pPr>
        <w:autoSpaceDE w:val="0"/>
        <w:autoSpaceDN w:val="0"/>
        <w:adjustRightInd w:val="0"/>
        <w:jc w:val="center"/>
        <w:rPr>
          <w:color w:val="000000"/>
          <w:szCs w:val="24"/>
        </w:rPr>
      </w:pPr>
      <w:r w:rsidRPr="00EF3802">
        <w:rPr>
          <w:color w:val="000000"/>
          <w:szCs w:val="24"/>
        </w:rPr>
        <w:t>(Singap</w:t>
      </w:r>
      <w:r w:rsidR="0003679A" w:rsidRPr="00EF3802">
        <w:rPr>
          <w:color w:val="000000"/>
          <w:szCs w:val="24"/>
        </w:rPr>
        <w:t>ur</w:t>
      </w:r>
      <w:r w:rsidRPr="00EF3802">
        <w:rPr>
          <w:color w:val="000000"/>
          <w:szCs w:val="24"/>
        </w:rPr>
        <w:t xml:space="preserve"> 2006) </w:t>
      </w:r>
    </w:p>
    <w:p w:rsidR="00CF71D4" w:rsidRPr="00EF3802" w:rsidRDefault="0003679A" w:rsidP="00CF71D4">
      <w:pPr>
        <w:autoSpaceDE w:val="0"/>
        <w:autoSpaceDN w:val="0"/>
        <w:adjustRightInd w:val="0"/>
        <w:jc w:val="center"/>
        <w:rPr>
          <w:color w:val="000000"/>
          <w:szCs w:val="24"/>
        </w:rPr>
      </w:pPr>
      <w:r w:rsidRPr="00EF3802">
        <w:rPr>
          <w:bCs/>
          <w:color w:val="000000"/>
          <w:szCs w:val="24"/>
        </w:rPr>
        <w:t>Situación a</w:t>
      </w:r>
      <w:r w:rsidR="00CF71D4" w:rsidRPr="00EF3802">
        <w:rPr>
          <w:bCs/>
          <w:color w:val="000000"/>
          <w:szCs w:val="24"/>
        </w:rPr>
        <w:t xml:space="preserve"> 13</w:t>
      </w:r>
      <w:r w:rsidRPr="00EF3802">
        <w:rPr>
          <w:bCs/>
          <w:color w:val="000000"/>
          <w:szCs w:val="24"/>
        </w:rPr>
        <w:t> de abril de </w:t>
      </w:r>
      <w:r w:rsidR="00CF71D4" w:rsidRPr="00EF3802">
        <w:rPr>
          <w:bCs/>
          <w:color w:val="000000"/>
          <w:szCs w:val="24"/>
        </w:rPr>
        <w:t>2017</w:t>
      </w:r>
    </w:p>
    <w:p w:rsidR="00CF71D4" w:rsidRPr="00EF3802" w:rsidRDefault="00CF71D4" w:rsidP="00CF71D4">
      <w:pPr>
        <w:autoSpaceDE w:val="0"/>
        <w:autoSpaceDN w:val="0"/>
        <w:adjustRightInd w:val="0"/>
        <w:jc w:val="center"/>
        <w:rPr>
          <w:color w:val="000000"/>
          <w:szCs w:val="24"/>
        </w:rPr>
      </w:pPr>
    </w:p>
    <w:tbl>
      <w:tblPr>
        <w:tblW w:w="0" w:type="auto"/>
        <w:tblLayout w:type="fixed"/>
        <w:tblLook w:val="01E0" w:firstRow="1" w:lastRow="1" w:firstColumn="1" w:lastColumn="1" w:noHBand="0" w:noVBand="0"/>
      </w:tblPr>
      <w:tblGrid>
        <w:gridCol w:w="3085"/>
        <w:gridCol w:w="4536"/>
      </w:tblGrid>
      <w:tr w:rsidR="00CF71D4" w:rsidRPr="00EF3802" w:rsidTr="00023051">
        <w:tc>
          <w:tcPr>
            <w:tcW w:w="3085" w:type="dxa"/>
            <w:shd w:val="clear" w:color="auto" w:fill="auto"/>
          </w:tcPr>
          <w:p w:rsidR="00CF71D4" w:rsidRPr="00EF3802" w:rsidRDefault="009249BD" w:rsidP="009249BD">
            <w:pPr>
              <w:pBdr>
                <w:top w:val="single" w:sz="4" w:space="1" w:color="auto"/>
              </w:pBdr>
              <w:tabs>
                <w:tab w:val="left" w:leader="dot" w:pos="2665"/>
              </w:tabs>
              <w:autoSpaceDE w:val="0"/>
              <w:autoSpaceDN w:val="0"/>
              <w:adjustRightInd w:val="0"/>
              <w:ind w:right="229"/>
              <w:rPr>
                <w:color w:val="000000"/>
                <w:sz w:val="18"/>
                <w:szCs w:val="18"/>
              </w:rPr>
            </w:pPr>
            <w:r w:rsidRPr="00EF3802">
              <w:rPr>
                <w:color w:val="000000"/>
                <w:sz w:val="18"/>
                <w:szCs w:val="18"/>
              </w:rPr>
              <w:t>Estado</w:t>
            </w:r>
            <w:r w:rsidR="00CF71D4" w:rsidRPr="00EF3802">
              <w:rPr>
                <w:color w:val="000000"/>
                <w:sz w:val="18"/>
                <w:szCs w:val="18"/>
              </w:rPr>
              <w:t>/</w:t>
            </w:r>
            <w:r w:rsidRPr="00EF3802">
              <w:rPr>
                <w:color w:val="000000"/>
                <w:sz w:val="18"/>
                <w:szCs w:val="18"/>
              </w:rPr>
              <w:t>OII</w:t>
            </w:r>
          </w:p>
        </w:tc>
        <w:tc>
          <w:tcPr>
            <w:tcW w:w="4536" w:type="dxa"/>
            <w:shd w:val="clear" w:color="auto" w:fill="auto"/>
          </w:tcPr>
          <w:p w:rsidR="00CF71D4" w:rsidRPr="00EF3802" w:rsidRDefault="009249BD" w:rsidP="00023051">
            <w:pPr>
              <w:pBdr>
                <w:top w:val="single" w:sz="4" w:space="1" w:color="auto"/>
              </w:pBdr>
              <w:autoSpaceDE w:val="0"/>
              <w:autoSpaceDN w:val="0"/>
              <w:adjustRightInd w:val="0"/>
              <w:rPr>
                <w:color w:val="000000"/>
                <w:sz w:val="18"/>
                <w:szCs w:val="18"/>
              </w:rPr>
            </w:pPr>
            <w:r w:rsidRPr="00EF3802">
              <w:rPr>
                <w:color w:val="000000"/>
                <w:sz w:val="18"/>
                <w:szCs w:val="18"/>
              </w:rPr>
              <w:t>Fecha en la que el Estado o la OII pasó a ser Parte Contratante del Tratado</w:t>
            </w:r>
          </w:p>
          <w:p w:rsidR="00CF71D4" w:rsidRPr="00EF3802" w:rsidRDefault="00CF71D4" w:rsidP="00023051">
            <w:pPr>
              <w:autoSpaceDE w:val="0"/>
              <w:autoSpaceDN w:val="0"/>
              <w:adjustRightInd w:val="0"/>
              <w:rPr>
                <w:color w:val="000000"/>
                <w:sz w:val="18"/>
                <w:szCs w:val="18"/>
              </w:rPr>
            </w:pPr>
          </w:p>
        </w:tc>
      </w:tr>
      <w:tr w:rsidR="001874E3" w:rsidRPr="00EF3802" w:rsidTr="00023051">
        <w:tc>
          <w:tcPr>
            <w:tcW w:w="3085" w:type="dxa"/>
            <w:shd w:val="clear" w:color="auto" w:fill="auto"/>
          </w:tcPr>
          <w:p w:rsidR="001874E3" w:rsidRPr="00EF3802" w:rsidRDefault="001874E3" w:rsidP="00023051">
            <w:pPr>
              <w:pBdr>
                <w:top w:val="single" w:sz="4" w:space="1" w:color="auto"/>
              </w:pBdr>
              <w:tabs>
                <w:tab w:val="left" w:leader="dot" w:pos="2665"/>
              </w:tabs>
              <w:autoSpaceDE w:val="0"/>
              <w:autoSpaceDN w:val="0"/>
              <w:adjustRightInd w:val="0"/>
              <w:ind w:right="229"/>
              <w:rPr>
                <w:sz w:val="18"/>
                <w:szCs w:val="18"/>
              </w:rPr>
            </w:pPr>
          </w:p>
          <w:p w:rsidR="001874E3" w:rsidRPr="00EF3802" w:rsidRDefault="001874E3" w:rsidP="00023051">
            <w:pPr>
              <w:pBdr>
                <w:top w:val="single" w:sz="4" w:space="1" w:color="auto"/>
              </w:pBdr>
              <w:tabs>
                <w:tab w:val="left" w:leader="dot" w:pos="2665"/>
              </w:tabs>
              <w:autoSpaceDE w:val="0"/>
              <w:autoSpaceDN w:val="0"/>
              <w:adjustRightInd w:val="0"/>
              <w:ind w:right="229"/>
              <w:rPr>
                <w:sz w:val="18"/>
              </w:rPr>
            </w:pPr>
            <w:r w:rsidRPr="00EF3802">
              <w:rPr>
                <w:sz w:val="18"/>
              </w:rPr>
              <w:t xml:space="preserve">Afganistán </w:t>
            </w:r>
          </w:p>
          <w:p w:rsidR="001874E3" w:rsidRPr="00EF3802" w:rsidRDefault="001874E3" w:rsidP="009249BD">
            <w:pPr>
              <w:pBdr>
                <w:top w:val="single" w:sz="4" w:space="1" w:color="auto"/>
              </w:pBdr>
              <w:tabs>
                <w:tab w:val="left" w:leader="dot" w:pos="2665"/>
              </w:tabs>
              <w:autoSpaceDE w:val="0"/>
              <w:autoSpaceDN w:val="0"/>
              <w:adjustRightInd w:val="0"/>
              <w:ind w:right="229"/>
              <w:rPr>
                <w:color w:val="000000"/>
                <w:sz w:val="18"/>
                <w:szCs w:val="18"/>
              </w:rPr>
            </w:pPr>
            <w:r w:rsidRPr="00EF3802">
              <w:rPr>
                <w:sz w:val="18"/>
                <w:szCs w:val="18"/>
              </w:rPr>
              <w:t>Organización Africana de la Propiedad Intelectual (OAPI)</w:t>
            </w:r>
            <w:r w:rsidRPr="00EF3802">
              <w:rPr>
                <w:rStyle w:val="FootnoteReference"/>
                <w:sz w:val="18"/>
                <w:szCs w:val="18"/>
              </w:rPr>
              <w:footnoteReference w:id="2"/>
            </w:r>
            <w:r w:rsidRPr="00EF3802">
              <w:rPr>
                <w:rStyle w:val="FootnoteReference"/>
                <w:sz w:val="18"/>
                <w:szCs w:val="18"/>
              </w:rPr>
              <w:footnoteReference w:id="3"/>
            </w:r>
            <w:r w:rsidRPr="00EF3802">
              <w:rPr>
                <w:sz w:val="18"/>
                <w:szCs w:val="18"/>
              </w:rPr>
              <w:t>...</w:t>
            </w:r>
          </w:p>
        </w:tc>
        <w:tc>
          <w:tcPr>
            <w:tcW w:w="4536" w:type="dxa"/>
            <w:shd w:val="clear" w:color="auto" w:fill="auto"/>
          </w:tcPr>
          <w:p w:rsidR="001874E3" w:rsidRPr="00EF3802" w:rsidRDefault="001874E3" w:rsidP="00023051">
            <w:pPr>
              <w:pBdr>
                <w:top w:val="single" w:sz="4" w:space="1" w:color="auto"/>
              </w:pBdr>
              <w:autoSpaceDE w:val="0"/>
              <w:autoSpaceDN w:val="0"/>
              <w:adjustRightInd w:val="0"/>
              <w:rPr>
                <w:color w:val="000000"/>
                <w:sz w:val="18"/>
                <w:szCs w:val="18"/>
              </w:rPr>
            </w:pPr>
          </w:p>
          <w:p w:rsidR="001874E3" w:rsidRPr="00EF3802" w:rsidRDefault="001874E3" w:rsidP="00023051">
            <w:pPr>
              <w:pBdr>
                <w:top w:val="single" w:sz="4" w:space="1" w:color="auto"/>
              </w:pBdr>
              <w:autoSpaceDE w:val="0"/>
              <w:autoSpaceDN w:val="0"/>
              <w:adjustRightInd w:val="0"/>
              <w:rPr>
                <w:color w:val="000000"/>
                <w:sz w:val="18"/>
                <w:szCs w:val="18"/>
              </w:rPr>
            </w:pPr>
            <w:r w:rsidRPr="00EF3802">
              <w:rPr>
                <w:color w:val="000000"/>
                <w:sz w:val="18"/>
                <w:szCs w:val="18"/>
              </w:rPr>
              <w:t>14 de mayo de 2017</w:t>
            </w:r>
          </w:p>
          <w:p w:rsidR="001874E3" w:rsidRPr="00EF3802" w:rsidRDefault="001874E3" w:rsidP="00023051">
            <w:pPr>
              <w:pBdr>
                <w:top w:val="single" w:sz="4" w:space="1" w:color="auto"/>
              </w:pBdr>
              <w:autoSpaceDE w:val="0"/>
              <w:autoSpaceDN w:val="0"/>
              <w:adjustRightInd w:val="0"/>
              <w:rPr>
                <w:color w:val="000000"/>
                <w:sz w:val="18"/>
                <w:szCs w:val="18"/>
              </w:rPr>
            </w:pPr>
          </w:p>
          <w:p w:rsidR="001874E3" w:rsidRPr="00EF3802" w:rsidRDefault="001874E3" w:rsidP="000C0FB3">
            <w:pPr>
              <w:pBdr>
                <w:top w:val="single" w:sz="4" w:space="1" w:color="auto"/>
              </w:pBdr>
              <w:autoSpaceDE w:val="0"/>
              <w:autoSpaceDN w:val="0"/>
              <w:adjustRightInd w:val="0"/>
              <w:rPr>
                <w:color w:val="000000"/>
                <w:sz w:val="18"/>
                <w:szCs w:val="18"/>
              </w:rPr>
            </w:pPr>
            <w:r w:rsidRPr="00EF3802">
              <w:rPr>
                <w:color w:val="000000"/>
                <w:sz w:val="18"/>
                <w:szCs w:val="18"/>
              </w:rPr>
              <w:t>13 de febrero de 2016</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Alemania………………………….</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20 de septiembre de 2013</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Armenia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C0FB3">
            <w:pPr>
              <w:autoSpaceDE w:val="0"/>
              <w:autoSpaceDN w:val="0"/>
              <w:adjustRightInd w:val="0"/>
              <w:rPr>
                <w:color w:val="000000"/>
                <w:sz w:val="18"/>
                <w:szCs w:val="18"/>
              </w:rPr>
            </w:pPr>
            <w:r w:rsidRPr="00EF3802">
              <w:rPr>
                <w:color w:val="000000"/>
                <w:sz w:val="18"/>
                <w:szCs w:val="18"/>
              </w:rPr>
              <w:t>17 de septiembre de 2013</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Australia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C0FB3">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Belarús</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C0FB3">
            <w:pPr>
              <w:autoSpaceDE w:val="0"/>
              <w:autoSpaceDN w:val="0"/>
              <w:adjustRightInd w:val="0"/>
              <w:rPr>
                <w:color w:val="000000"/>
                <w:sz w:val="18"/>
                <w:szCs w:val="18"/>
              </w:rPr>
            </w:pPr>
            <w:r w:rsidRPr="00EF3802">
              <w:rPr>
                <w:color w:val="000000"/>
                <w:sz w:val="18"/>
                <w:szCs w:val="18"/>
              </w:rPr>
              <w:t>13 de mayo de 2014</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Bélgica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C0FB3">
            <w:pPr>
              <w:autoSpaceDE w:val="0"/>
              <w:autoSpaceDN w:val="0"/>
              <w:adjustRightInd w:val="0"/>
              <w:rPr>
                <w:color w:val="000000"/>
                <w:sz w:val="18"/>
                <w:szCs w:val="18"/>
              </w:rPr>
            </w:pPr>
            <w:r w:rsidRPr="00EF3802">
              <w:rPr>
                <w:color w:val="000000"/>
                <w:sz w:val="18"/>
                <w:szCs w:val="18"/>
              </w:rPr>
              <w:t>8 de enero de 2014</w:t>
            </w:r>
          </w:p>
        </w:tc>
      </w:tr>
      <w:tr w:rsidR="001874E3" w:rsidRPr="00EF3802" w:rsidTr="00023051">
        <w:tc>
          <w:tcPr>
            <w:tcW w:w="3085" w:type="dxa"/>
            <w:shd w:val="clear" w:color="auto" w:fill="auto"/>
          </w:tcPr>
          <w:p w:rsidR="001874E3" w:rsidRPr="00EF3802" w:rsidRDefault="001874E3" w:rsidP="00023051">
            <w:pPr>
              <w:tabs>
                <w:tab w:val="left" w:leader="dot" w:pos="2665"/>
                <w:tab w:val="left" w:leader="dot" w:pos="2665"/>
              </w:tabs>
              <w:autoSpaceDE w:val="0"/>
              <w:autoSpaceDN w:val="0"/>
              <w:adjustRightInd w:val="0"/>
              <w:rPr>
                <w:sz w:val="18"/>
                <w:szCs w:val="18"/>
              </w:rPr>
            </w:pPr>
            <w:r w:rsidRPr="00EF3802">
              <w:rPr>
                <w:sz w:val="18"/>
                <w:szCs w:val="18"/>
              </w:rPr>
              <w:t>Benin</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C0FB3">
            <w:pPr>
              <w:autoSpaceDE w:val="0"/>
              <w:autoSpaceDN w:val="0"/>
              <w:adjustRightInd w:val="0"/>
              <w:rPr>
                <w:color w:val="000000"/>
                <w:sz w:val="18"/>
                <w:szCs w:val="18"/>
              </w:rPr>
            </w:pPr>
            <w:r w:rsidRPr="00EF3802">
              <w:rPr>
                <w:color w:val="000000"/>
                <w:sz w:val="18"/>
                <w:szCs w:val="18"/>
              </w:rPr>
              <w:t>13 de febrero de 2016</w:t>
            </w:r>
          </w:p>
        </w:tc>
      </w:tr>
      <w:tr w:rsidR="001874E3" w:rsidRPr="00EF3802" w:rsidTr="00023051">
        <w:tc>
          <w:tcPr>
            <w:tcW w:w="3085" w:type="dxa"/>
            <w:shd w:val="clear" w:color="auto" w:fill="auto"/>
          </w:tcPr>
          <w:p w:rsidR="001874E3" w:rsidRPr="00EF3802" w:rsidRDefault="001874E3" w:rsidP="00023051">
            <w:pPr>
              <w:tabs>
                <w:tab w:val="left" w:leader="dot" w:pos="2665"/>
                <w:tab w:val="left" w:leader="dot" w:pos="2665"/>
              </w:tabs>
              <w:autoSpaceDE w:val="0"/>
              <w:autoSpaceDN w:val="0"/>
              <w:adjustRightInd w:val="0"/>
              <w:rPr>
                <w:color w:val="000000"/>
                <w:sz w:val="18"/>
                <w:szCs w:val="18"/>
              </w:rPr>
            </w:pPr>
            <w:r w:rsidRPr="00EF3802">
              <w:rPr>
                <w:sz w:val="18"/>
                <w:szCs w:val="18"/>
              </w:rPr>
              <w:t>Bulgaria</w:t>
            </w:r>
            <w:r w:rsidRPr="00EF3802">
              <w:rPr>
                <w:sz w:val="18"/>
                <w:szCs w:val="18"/>
                <w:vertAlign w:val="superscript"/>
              </w:rPr>
              <w:t>1</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Croacia..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13 de abril de 2011</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color w:val="000000"/>
                <w:sz w:val="18"/>
                <w:szCs w:val="18"/>
              </w:rPr>
            </w:pPr>
            <w:r w:rsidRPr="00EF3802">
              <w:rPr>
                <w:sz w:val="18"/>
                <w:szCs w:val="18"/>
              </w:rPr>
              <w:t>Dinamarca</w:t>
            </w:r>
            <w:r w:rsidRPr="00EF3802">
              <w:rPr>
                <w:rStyle w:val="FootnoteReference"/>
                <w:sz w:val="18"/>
                <w:szCs w:val="18"/>
              </w:rPr>
              <w:footnoteReference w:id="4"/>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Eslovaquia..……………………...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16 de mayo de 2010</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color w:val="000000"/>
                <w:sz w:val="18"/>
                <w:szCs w:val="18"/>
              </w:rPr>
            </w:pPr>
            <w:r w:rsidRPr="00EF3802">
              <w:rPr>
                <w:sz w:val="18"/>
                <w:szCs w:val="18"/>
              </w:rPr>
              <w:t>España.…………………………..</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18 de mayo de 2009</w:t>
            </w:r>
          </w:p>
        </w:tc>
      </w:tr>
      <w:tr w:rsidR="001874E3" w:rsidRPr="00EF3802" w:rsidTr="00023051">
        <w:tc>
          <w:tcPr>
            <w:tcW w:w="3085" w:type="dxa"/>
            <w:shd w:val="clear" w:color="auto" w:fill="auto"/>
          </w:tcPr>
          <w:p w:rsidR="001874E3" w:rsidRPr="00EF3802" w:rsidRDefault="001874E3" w:rsidP="000C0FB3">
            <w:pPr>
              <w:tabs>
                <w:tab w:val="left" w:leader="dot" w:pos="2665"/>
              </w:tabs>
              <w:autoSpaceDE w:val="0"/>
              <w:autoSpaceDN w:val="0"/>
              <w:adjustRightInd w:val="0"/>
              <w:ind w:right="229"/>
              <w:rPr>
                <w:color w:val="000000"/>
                <w:sz w:val="18"/>
                <w:szCs w:val="18"/>
              </w:rPr>
            </w:pPr>
            <w:r w:rsidRPr="00EF3802">
              <w:rPr>
                <w:sz w:val="18"/>
                <w:szCs w:val="18"/>
              </w:rPr>
              <w:t>Estados Unidos de América…..</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color w:val="000000"/>
                <w:sz w:val="18"/>
                <w:szCs w:val="18"/>
              </w:rPr>
            </w:pPr>
            <w:r w:rsidRPr="00EF3802">
              <w:rPr>
                <w:sz w:val="18"/>
                <w:szCs w:val="18"/>
              </w:rPr>
              <w:t>Estonia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14 de agosto de 2009</w:t>
            </w:r>
          </w:p>
        </w:tc>
      </w:tr>
      <w:tr w:rsidR="001874E3" w:rsidRPr="00EF3802" w:rsidTr="00023051">
        <w:tc>
          <w:tcPr>
            <w:tcW w:w="3085" w:type="dxa"/>
            <w:shd w:val="clear" w:color="auto" w:fill="auto"/>
          </w:tcPr>
          <w:p w:rsidR="001874E3" w:rsidRPr="00EF3802" w:rsidRDefault="001874E3" w:rsidP="000C0FB3">
            <w:pPr>
              <w:tabs>
                <w:tab w:val="left" w:leader="dot" w:pos="2665"/>
              </w:tabs>
              <w:autoSpaceDE w:val="0"/>
              <w:autoSpaceDN w:val="0"/>
              <w:adjustRightInd w:val="0"/>
              <w:ind w:right="229"/>
              <w:rPr>
                <w:sz w:val="18"/>
                <w:szCs w:val="18"/>
              </w:rPr>
            </w:pPr>
            <w:r w:rsidRPr="00EF3802">
              <w:rPr>
                <w:sz w:val="18"/>
                <w:szCs w:val="18"/>
              </w:rPr>
              <w:t>Ex República Yugoslava de Macedonia………………………..</w:t>
            </w:r>
          </w:p>
        </w:tc>
        <w:tc>
          <w:tcPr>
            <w:tcW w:w="4536" w:type="dxa"/>
            <w:shd w:val="clear" w:color="auto" w:fill="auto"/>
          </w:tcPr>
          <w:p w:rsidR="001874E3" w:rsidRPr="00EF3802" w:rsidRDefault="001874E3" w:rsidP="00023051">
            <w:pPr>
              <w:autoSpaceDE w:val="0"/>
              <w:autoSpaceDN w:val="0"/>
              <w:adjustRightInd w:val="0"/>
              <w:rPr>
                <w:color w:val="000000"/>
                <w:sz w:val="18"/>
                <w:szCs w:val="18"/>
              </w:rPr>
            </w:pPr>
          </w:p>
          <w:p w:rsidR="001874E3" w:rsidRPr="00EF3802" w:rsidRDefault="001874E3" w:rsidP="00D679E2">
            <w:pPr>
              <w:autoSpaceDE w:val="0"/>
              <w:autoSpaceDN w:val="0"/>
              <w:adjustRightInd w:val="0"/>
              <w:rPr>
                <w:color w:val="000000"/>
                <w:sz w:val="18"/>
                <w:szCs w:val="18"/>
              </w:rPr>
            </w:pPr>
            <w:r w:rsidRPr="00EF3802">
              <w:rPr>
                <w:color w:val="000000"/>
                <w:sz w:val="18"/>
                <w:szCs w:val="18"/>
              </w:rPr>
              <w:t>6 de octubre de 2010</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Federación de Rusia.....………...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18 de diciembre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Francia</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28 de noviembre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Iraq.………………………………..</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29 de noviembre de 2014</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Irlanda…………………………….</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21 de marzo de 2016</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Islandia...………………………….</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14 de diciembre de 2012</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Italia..……………………………..</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21 de septiembre de 2010</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jc w:val="both"/>
              <w:rPr>
                <w:sz w:val="18"/>
                <w:szCs w:val="18"/>
              </w:rPr>
            </w:pPr>
            <w:r w:rsidRPr="00EF3802">
              <w:rPr>
                <w:sz w:val="18"/>
                <w:szCs w:val="18"/>
              </w:rPr>
              <w:t>Japón</w:t>
            </w:r>
            <w:r w:rsidRPr="00EF3802">
              <w:rPr>
                <w:rStyle w:val="FootnoteReference"/>
                <w:sz w:val="18"/>
                <w:szCs w:val="18"/>
              </w:rPr>
              <w:footnoteReference w:id="5"/>
            </w:r>
            <w:r w:rsidRPr="00EF3802">
              <w:rPr>
                <w:sz w:val="18"/>
                <w:szCs w:val="18"/>
              </w:rPr>
              <w:t>…………………………...</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11 de junio de 2016</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Kazajstán.……………………….</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5 de septiembre de 2012</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color w:val="000000"/>
                <w:sz w:val="18"/>
                <w:szCs w:val="18"/>
              </w:rPr>
            </w:pPr>
            <w:r w:rsidRPr="00EF3802">
              <w:rPr>
                <w:sz w:val="18"/>
                <w:szCs w:val="18"/>
              </w:rPr>
              <w:t>Kirguistán………………………..</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color w:val="000000"/>
                <w:sz w:val="18"/>
                <w:szCs w:val="18"/>
              </w:rPr>
            </w:pPr>
            <w:r w:rsidRPr="00EF3802">
              <w:rPr>
                <w:sz w:val="18"/>
                <w:szCs w:val="18"/>
              </w:rPr>
              <w:t>Letonia…………………………...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Liechtenstein……………………..</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3 de marzo de 2010</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Lituania.…………………………..</w:t>
            </w:r>
          </w:p>
        </w:tc>
        <w:tc>
          <w:tcPr>
            <w:tcW w:w="4536" w:type="dxa"/>
            <w:shd w:val="clear" w:color="auto" w:fill="auto"/>
          </w:tcPr>
          <w:p w:rsidR="001874E3" w:rsidRPr="00EF3802" w:rsidRDefault="001874E3" w:rsidP="00FE66F0">
            <w:pPr>
              <w:autoSpaceDE w:val="0"/>
              <w:autoSpaceDN w:val="0"/>
              <w:adjustRightInd w:val="0"/>
              <w:rPr>
                <w:color w:val="000000"/>
                <w:sz w:val="18"/>
                <w:szCs w:val="18"/>
              </w:rPr>
            </w:pPr>
            <w:r w:rsidRPr="00EF3802">
              <w:rPr>
                <w:color w:val="000000"/>
                <w:sz w:val="18"/>
                <w:szCs w:val="18"/>
              </w:rPr>
              <w:t>14 de agosto de 2013</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Luxemburgo.……………………..</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8 de enero de 2014</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Mali………………………………..</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 xml:space="preserve">13 de febrero de 2016 </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Mongolia…………………………..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3 de marzo de 2011</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Nueva Zelandia</w:t>
            </w:r>
            <w:r w:rsidRPr="00EF3802">
              <w:rPr>
                <w:rStyle w:val="FootnoteReference"/>
                <w:sz w:val="18"/>
                <w:szCs w:val="18"/>
              </w:rPr>
              <w:footnoteReference w:id="6"/>
            </w:r>
            <w:r w:rsidRPr="00EF3802">
              <w:rPr>
                <w:sz w:val="18"/>
                <w:szCs w:val="18"/>
              </w:rPr>
              <w:t>………………….</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10 de diciembre de 2012</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Organización de Propiedad Intelectual del Benelux...</w:t>
            </w:r>
            <w:r w:rsidRPr="00EF3802">
              <w:rPr>
                <w:rFonts w:ascii="Times New Roman" w:eastAsia="Times New Roman" w:hAnsi="Times New Roman" w:cs="Times New Roman"/>
                <w:sz w:val="18"/>
                <w:lang w:eastAsia="en-US"/>
              </w:rPr>
              <w:t>…….....</w:t>
            </w:r>
          </w:p>
        </w:tc>
        <w:tc>
          <w:tcPr>
            <w:tcW w:w="4536" w:type="dxa"/>
            <w:shd w:val="clear" w:color="auto" w:fill="auto"/>
          </w:tcPr>
          <w:p w:rsidR="001874E3" w:rsidRPr="00EF3802" w:rsidRDefault="001874E3" w:rsidP="00023051">
            <w:pPr>
              <w:autoSpaceDE w:val="0"/>
              <w:autoSpaceDN w:val="0"/>
              <w:adjustRightInd w:val="0"/>
              <w:rPr>
                <w:color w:val="000000"/>
                <w:sz w:val="18"/>
                <w:szCs w:val="18"/>
              </w:rPr>
            </w:pPr>
          </w:p>
          <w:p w:rsidR="001874E3" w:rsidRPr="00EF3802" w:rsidRDefault="001874E3" w:rsidP="00023051">
            <w:pPr>
              <w:autoSpaceDE w:val="0"/>
              <w:autoSpaceDN w:val="0"/>
              <w:adjustRightInd w:val="0"/>
              <w:rPr>
                <w:color w:val="000000"/>
                <w:sz w:val="18"/>
                <w:szCs w:val="18"/>
              </w:rPr>
            </w:pPr>
            <w:r w:rsidRPr="00EF3802">
              <w:rPr>
                <w:color w:val="000000"/>
                <w:sz w:val="18"/>
                <w:szCs w:val="18"/>
              </w:rPr>
              <w:t>8 de enero de 2014</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sz w:val="18"/>
                <w:szCs w:val="18"/>
              </w:rPr>
            </w:pPr>
            <w:r w:rsidRPr="00EF3802">
              <w:rPr>
                <w:sz w:val="18"/>
                <w:szCs w:val="18"/>
              </w:rPr>
              <w:t>Países Bajos</w:t>
            </w:r>
            <w:r w:rsidRPr="00EF3802">
              <w:rPr>
                <w:rStyle w:val="FootnoteReference"/>
                <w:sz w:val="18"/>
                <w:szCs w:val="18"/>
              </w:rPr>
              <w:footnoteReference w:id="7"/>
            </w:r>
            <w:r w:rsidRPr="00EF3802">
              <w:rPr>
                <w:sz w:val="18"/>
                <w:szCs w:val="18"/>
              </w:rPr>
              <w:t>..…………………...</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8 de enero de 2014</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color w:val="000000"/>
                <w:sz w:val="18"/>
                <w:szCs w:val="18"/>
              </w:rPr>
            </w:pPr>
            <w:r w:rsidRPr="00EF3802">
              <w:rPr>
                <w:sz w:val="18"/>
                <w:szCs w:val="18"/>
              </w:rPr>
              <w:t>Polonia…………………………….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2 de julio de 2009</w:t>
            </w:r>
          </w:p>
        </w:tc>
      </w:tr>
      <w:tr w:rsidR="001874E3" w:rsidRPr="00EF3802" w:rsidTr="00023051">
        <w:tc>
          <w:tcPr>
            <w:tcW w:w="3085" w:type="dxa"/>
            <w:shd w:val="clear" w:color="auto" w:fill="auto"/>
          </w:tcPr>
          <w:p w:rsidR="001874E3" w:rsidRPr="00EF3802" w:rsidRDefault="001874E3" w:rsidP="000C0FB3">
            <w:pPr>
              <w:tabs>
                <w:tab w:val="left" w:leader="dot" w:pos="2665"/>
              </w:tabs>
              <w:autoSpaceDE w:val="0"/>
              <w:autoSpaceDN w:val="0"/>
              <w:adjustRightInd w:val="0"/>
              <w:ind w:right="229"/>
              <w:rPr>
                <w:sz w:val="18"/>
                <w:szCs w:val="18"/>
              </w:rPr>
            </w:pPr>
            <w:r w:rsidRPr="00EF3802">
              <w:rPr>
                <w:sz w:val="18"/>
                <w:szCs w:val="18"/>
              </w:rPr>
              <w:t>Reino Unido....………………….</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21 de junio de 2012</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jc w:val="both"/>
              <w:rPr>
                <w:sz w:val="18"/>
                <w:szCs w:val="18"/>
              </w:rPr>
            </w:pPr>
            <w:r w:rsidRPr="00EF3802">
              <w:rPr>
                <w:sz w:val="18"/>
                <w:szCs w:val="18"/>
              </w:rPr>
              <w:t>República de Corea……………..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 de julio de 2016</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jc w:val="both"/>
              <w:rPr>
                <w:color w:val="000000"/>
                <w:sz w:val="18"/>
                <w:szCs w:val="18"/>
              </w:rPr>
            </w:pPr>
            <w:r w:rsidRPr="00EF3802">
              <w:rPr>
                <w:sz w:val="18"/>
                <w:szCs w:val="18"/>
              </w:rPr>
              <w:t>República de Moldova…………..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jc w:val="both"/>
              <w:rPr>
                <w:sz w:val="18"/>
                <w:szCs w:val="18"/>
              </w:rPr>
            </w:pPr>
            <w:r w:rsidRPr="00EF3802">
              <w:rPr>
                <w:sz w:val="18"/>
                <w:szCs w:val="18"/>
              </w:rPr>
              <w:t>República Popular Democrática de Corea..………………………...</w:t>
            </w:r>
          </w:p>
        </w:tc>
        <w:tc>
          <w:tcPr>
            <w:tcW w:w="4536" w:type="dxa"/>
            <w:shd w:val="clear" w:color="auto" w:fill="auto"/>
          </w:tcPr>
          <w:p w:rsidR="001874E3" w:rsidRPr="00EF3802" w:rsidRDefault="001874E3" w:rsidP="00023051">
            <w:pPr>
              <w:autoSpaceDE w:val="0"/>
              <w:autoSpaceDN w:val="0"/>
              <w:adjustRightInd w:val="0"/>
              <w:rPr>
                <w:color w:val="000000"/>
                <w:sz w:val="18"/>
                <w:szCs w:val="18"/>
              </w:rPr>
            </w:pPr>
          </w:p>
          <w:p w:rsidR="001874E3" w:rsidRPr="00EF3802" w:rsidRDefault="001874E3" w:rsidP="00FE66F0">
            <w:pPr>
              <w:autoSpaceDE w:val="0"/>
              <w:autoSpaceDN w:val="0"/>
              <w:adjustRightInd w:val="0"/>
              <w:rPr>
                <w:color w:val="000000"/>
                <w:sz w:val="18"/>
                <w:szCs w:val="18"/>
              </w:rPr>
            </w:pPr>
            <w:r w:rsidRPr="00EF3802">
              <w:rPr>
                <w:color w:val="000000"/>
                <w:sz w:val="18"/>
                <w:szCs w:val="18"/>
              </w:rPr>
              <w:t>13 de septiembre de 2016</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color w:val="000000"/>
                <w:sz w:val="18"/>
                <w:szCs w:val="18"/>
              </w:rPr>
            </w:pPr>
            <w:r w:rsidRPr="00EF3802">
              <w:rPr>
                <w:sz w:val="18"/>
                <w:szCs w:val="18"/>
              </w:rPr>
              <w:t>Rumania…………………………..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Serbia……………………………..</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19 de noviembre de 2010</w:t>
            </w:r>
          </w:p>
        </w:tc>
      </w:tr>
      <w:tr w:rsidR="001874E3" w:rsidRPr="00EF3802" w:rsidTr="00023051">
        <w:tc>
          <w:tcPr>
            <w:tcW w:w="3085" w:type="dxa"/>
            <w:shd w:val="clear" w:color="auto" w:fill="auto"/>
          </w:tcPr>
          <w:p w:rsidR="001874E3" w:rsidRPr="00EF3802" w:rsidRDefault="001874E3" w:rsidP="009249BD">
            <w:pPr>
              <w:tabs>
                <w:tab w:val="left" w:leader="dot" w:pos="2665"/>
              </w:tabs>
              <w:autoSpaceDE w:val="0"/>
              <w:autoSpaceDN w:val="0"/>
              <w:adjustRightInd w:val="0"/>
              <w:ind w:right="229"/>
              <w:rPr>
                <w:color w:val="000000"/>
                <w:sz w:val="18"/>
                <w:szCs w:val="18"/>
              </w:rPr>
            </w:pPr>
            <w:r w:rsidRPr="00EF3802">
              <w:rPr>
                <w:sz w:val="18"/>
                <w:szCs w:val="18"/>
              </w:rPr>
              <w:t>Singapur.…………………………</w:t>
            </w:r>
          </w:p>
        </w:tc>
        <w:tc>
          <w:tcPr>
            <w:tcW w:w="4536" w:type="dxa"/>
            <w:shd w:val="clear" w:color="auto" w:fill="auto"/>
          </w:tcPr>
          <w:p w:rsidR="001874E3" w:rsidRPr="00EF3802" w:rsidRDefault="001874E3" w:rsidP="00F873BA">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Suecia..……………………………</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16 de diciembre de 2011</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Suiza…………………………….</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16 de marzo de 2009</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color w:val="000000"/>
                <w:sz w:val="18"/>
                <w:szCs w:val="18"/>
              </w:rPr>
            </w:pPr>
            <w:r w:rsidRPr="00EF3802">
              <w:rPr>
                <w:sz w:val="18"/>
                <w:szCs w:val="18"/>
              </w:rPr>
              <w:t>Tayikistán...……………………….</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26 de diciembre de 2014</w:t>
            </w:r>
          </w:p>
        </w:tc>
      </w:tr>
      <w:tr w:rsidR="001874E3" w:rsidRPr="00EF3802" w:rsidTr="00023051">
        <w:tc>
          <w:tcPr>
            <w:tcW w:w="3085" w:type="dxa"/>
            <w:shd w:val="clear" w:color="auto" w:fill="auto"/>
          </w:tcPr>
          <w:p w:rsidR="001874E3" w:rsidRPr="00EF3802" w:rsidRDefault="001874E3" w:rsidP="00023051">
            <w:pPr>
              <w:tabs>
                <w:tab w:val="left" w:leader="dot" w:pos="2665"/>
              </w:tabs>
              <w:autoSpaceDE w:val="0"/>
              <w:autoSpaceDN w:val="0"/>
              <w:adjustRightInd w:val="0"/>
              <w:ind w:right="229"/>
              <w:rPr>
                <w:sz w:val="18"/>
                <w:szCs w:val="18"/>
              </w:rPr>
            </w:pPr>
            <w:r w:rsidRPr="00EF3802">
              <w:rPr>
                <w:sz w:val="18"/>
                <w:szCs w:val="18"/>
              </w:rPr>
              <w:t>Ucrania……………………………</w:t>
            </w:r>
          </w:p>
        </w:tc>
        <w:tc>
          <w:tcPr>
            <w:tcW w:w="4536" w:type="dxa"/>
            <w:shd w:val="clear" w:color="auto" w:fill="auto"/>
          </w:tcPr>
          <w:p w:rsidR="001874E3" w:rsidRPr="00EF3802" w:rsidRDefault="001874E3" w:rsidP="00D679E2">
            <w:pPr>
              <w:autoSpaceDE w:val="0"/>
              <w:autoSpaceDN w:val="0"/>
              <w:adjustRightInd w:val="0"/>
              <w:rPr>
                <w:color w:val="000000"/>
                <w:sz w:val="18"/>
                <w:szCs w:val="18"/>
              </w:rPr>
            </w:pPr>
            <w:r w:rsidRPr="00EF3802">
              <w:rPr>
                <w:color w:val="000000"/>
                <w:sz w:val="18"/>
                <w:szCs w:val="18"/>
              </w:rPr>
              <w:t>24 de mayo de 2010</w:t>
            </w:r>
          </w:p>
        </w:tc>
      </w:tr>
    </w:tbl>
    <w:p w:rsidR="00CF71D4" w:rsidRPr="00EF3802" w:rsidRDefault="00CF71D4" w:rsidP="00CF71D4">
      <w:pPr>
        <w:autoSpaceDE w:val="0"/>
        <w:autoSpaceDN w:val="0"/>
        <w:adjustRightInd w:val="0"/>
        <w:rPr>
          <w:color w:val="000000"/>
          <w:sz w:val="18"/>
          <w:szCs w:val="18"/>
        </w:rPr>
      </w:pPr>
    </w:p>
    <w:p w:rsidR="00CF71D4" w:rsidRPr="00EF3802" w:rsidRDefault="00CF71D4" w:rsidP="00CF71D4">
      <w:pPr>
        <w:autoSpaceDE w:val="0"/>
        <w:autoSpaceDN w:val="0"/>
        <w:adjustRightInd w:val="0"/>
        <w:rPr>
          <w:color w:val="000000"/>
          <w:sz w:val="18"/>
          <w:szCs w:val="18"/>
        </w:rPr>
      </w:pPr>
      <w:r w:rsidRPr="00EF3802">
        <w:rPr>
          <w:color w:val="000000"/>
          <w:sz w:val="18"/>
          <w:szCs w:val="18"/>
        </w:rPr>
        <w:t>(Total: 46)</w:t>
      </w:r>
    </w:p>
    <w:p w:rsidR="00CF71D4" w:rsidRPr="00EF3802" w:rsidRDefault="00CF71D4" w:rsidP="00AE0294">
      <w:pPr>
        <w:pStyle w:val="DecisionInvitingPara"/>
        <w:tabs>
          <w:tab w:val="right" w:pos="9072"/>
        </w:tabs>
        <w:spacing w:after="0" w:line="240" w:lineRule="auto"/>
        <w:ind w:left="0" w:firstLine="5"/>
        <w:rPr>
          <w:i w:val="0"/>
          <w:sz w:val="22"/>
          <w:szCs w:val="22"/>
          <w:lang w:val="es-ES"/>
        </w:rPr>
      </w:pPr>
    </w:p>
    <w:p w:rsidR="00CF71D4" w:rsidRPr="00EF3802" w:rsidRDefault="00CF71D4" w:rsidP="00AE0294">
      <w:pPr>
        <w:pStyle w:val="DecisionInvitingPara"/>
        <w:tabs>
          <w:tab w:val="right" w:pos="9072"/>
        </w:tabs>
        <w:spacing w:after="0" w:line="240" w:lineRule="auto"/>
        <w:ind w:left="0" w:firstLine="5"/>
        <w:rPr>
          <w:i w:val="0"/>
          <w:sz w:val="22"/>
          <w:szCs w:val="22"/>
          <w:lang w:val="es-ES"/>
        </w:rPr>
      </w:pPr>
    </w:p>
    <w:p w:rsidR="00CF71D4" w:rsidRPr="00EF3802" w:rsidRDefault="00CF71D4" w:rsidP="00AE0294">
      <w:pPr>
        <w:pStyle w:val="DecisionInvitingPara"/>
        <w:tabs>
          <w:tab w:val="right" w:pos="9072"/>
        </w:tabs>
        <w:spacing w:after="0" w:line="240" w:lineRule="auto"/>
        <w:ind w:left="0" w:firstLine="5"/>
        <w:rPr>
          <w:i w:val="0"/>
          <w:sz w:val="22"/>
          <w:szCs w:val="22"/>
          <w:lang w:val="es-ES"/>
        </w:rPr>
      </w:pPr>
    </w:p>
    <w:p w:rsidR="00152CEA" w:rsidRPr="00AE0294" w:rsidRDefault="00CF71D4" w:rsidP="00AE0294">
      <w:pPr>
        <w:pStyle w:val="DecisionInvitingPara"/>
        <w:tabs>
          <w:tab w:val="left" w:pos="5954"/>
          <w:tab w:val="right" w:pos="9072"/>
        </w:tabs>
        <w:spacing w:after="0" w:line="240" w:lineRule="auto"/>
        <w:ind w:left="5529" w:firstLine="5"/>
        <w:rPr>
          <w:i w:val="0"/>
          <w:sz w:val="22"/>
          <w:szCs w:val="22"/>
          <w:lang w:val="es-ES"/>
        </w:rPr>
      </w:pPr>
      <w:r w:rsidRPr="00EF3802">
        <w:rPr>
          <w:i w:val="0"/>
          <w:sz w:val="22"/>
          <w:szCs w:val="22"/>
          <w:lang w:val="es-ES"/>
        </w:rPr>
        <w:t>[</w:t>
      </w:r>
      <w:r w:rsidR="00D679E2" w:rsidRPr="00EF3802">
        <w:rPr>
          <w:i w:val="0"/>
          <w:sz w:val="22"/>
          <w:szCs w:val="22"/>
          <w:lang w:val="es-ES"/>
        </w:rPr>
        <w:t>Fin del Anexo y del documento</w:t>
      </w:r>
      <w:r w:rsidRPr="00EF3802">
        <w:rPr>
          <w:i w:val="0"/>
          <w:sz w:val="22"/>
          <w:szCs w:val="22"/>
          <w:lang w:val="es-ES"/>
        </w:rPr>
        <w:t>]</w:t>
      </w:r>
    </w:p>
    <w:sectPr w:rsidR="00152CEA" w:rsidRPr="00AE0294" w:rsidSect="00CF71D4">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51" w:rsidRDefault="00023051">
      <w:r>
        <w:separator/>
      </w:r>
    </w:p>
  </w:endnote>
  <w:endnote w:type="continuationSeparator" w:id="0">
    <w:p w:rsidR="00023051" w:rsidRPr="009D30E6" w:rsidRDefault="00023051" w:rsidP="007E663E">
      <w:pPr>
        <w:rPr>
          <w:sz w:val="17"/>
          <w:szCs w:val="17"/>
        </w:rPr>
      </w:pPr>
      <w:r w:rsidRPr="009D30E6">
        <w:rPr>
          <w:sz w:val="17"/>
          <w:szCs w:val="17"/>
        </w:rPr>
        <w:separator/>
      </w:r>
    </w:p>
    <w:p w:rsidR="00023051" w:rsidRPr="007E663E" w:rsidRDefault="00023051" w:rsidP="007E663E">
      <w:pPr>
        <w:spacing w:after="60"/>
        <w:rPr>
          <w:sz w:val="17"/>
          <w:szCs w:val="17"/>
        </w:rPr>
      </w:pPr>
      <w:r>
        <w:rPr>
          <w:sz w:val="17"/>
        </w:rPr>
        <w:t>[Continuación de la nota de la página anterior]</w:t>
      </w:r>
    </w:p>
  </w:endnote>
  <w:endnote w:type="continuationNotice" w:id="1">
    <w:p w:rsidR="00023051" w:rsidRPr="007E663E" w:rsidRDefault="0002305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51" w:rsidRDefault="00023051">
      <w:r>
        <w:separator/>
      </w:r>
    </w:p>
  </w:footnote>
  <w:footnote w:type="continuationSeparator" w:id="0">
    <w:p w:rsidR="00023051" w:rsidRPr="009D30E6" w:rsidRDefault="00023051" w:rsidP="007E663E">
      <w:pPr>
        <w:rPr>
          <w:sz w:val="17"/>
          <w:szCs w:val="17"/>
        </w:rPr>
      </w:pPr>
      <w:r w:rsidRPr="009D30E6">
        <w:rPr>
          <w:sz w:val="17"/>
          <w:szCs w:val="17"/>
        </w:rPr>
        <w:separator/>
      </w:r>
    </w:p>
    <w:p w:rsidR="00023051" w:rsidRPr="007E663E" w:rsidRDefault="00023051" w:rsidP="007E663E">
      <w:pPr>
        <w:spacing w:after="60"/>
        <w:rPr>
          <w:sz w:val="17"/>
          <w:szCs w:val="17"/>
        </w:rPr>
      </w:pPr>
      <w:r>
        <w:rPr>
          <w:sz w:val="17"/>
        </w:rPr>
        <w:t>[Continuación de la nota de la página anterior]</w:t>
      </w:r>
    </w:p>
  </w:footnote>
  <w:footnote w:type="continuationNotice" w:id="1">
    <w:p w:rsidR="00023051" w:rsidRPr="007E663E" w:rsidRDefault="00023051" w:rsidP="007E663E">
      <w:pPr>
        <w:spacing w:before="60"/>
        <w:jc w:val="right"/>
        <w:rPr>
          <w:sz w:val="17"/>
          <w:szCs w:val="17"/>
        </w:rPr>
      </w:pPr>
      <w:r w:rsidRPr="007E663E">
        <w:rPr>
          <w:sz w:val="17"/>
          <w:szCs w:val="17"/>
        </w:rPr>
        <w:t>[Sigue la nota en la página siguiente]</w:t>
      </w:r>
    </w:p>
  </w:footnote>
  <w:footnote w:id="2">
    <w:p w:rsidR="001874E3" w:rsidRPr="002F251C" w:rsidRDefault="001874E3" w:rsidP="00CF71D4">
      <w:pPr>
        <w:pStyle w:val="FootnoteText"/>
        <w:tabs>
          <w:tab w:val="left" w:pos="284"/>
        </w:tabs>
        <w:rPr>
          <w:szCs w:val="18"/>
        </w:rPr>
      </w:pPr>
      <w:r w:rsidRPr="002F251C">
        <w:rPr>
          <w:rStyle w:val="FootnoteReference"/>
          <w:szCs w:val="18"/>
        </w:rPr>
        <w:footnoteRef/>
      </w:r>
      <w:r w:rsidRPr="002F251C">
        <w:rPr>
          <w:szCs w:val="18"/>
        </w:rPr>
        <w:t xml:space="preserve"> </w:t>
      </w:r>
      <w:r>
        <w:rPr>
          <w:szCs w:val="18"/>
        </w:rPr>
        <w:tab/>
      </w:r>
      <w:r w:rsidRPr="00D679E2">
        <w:rPr>
          <w:szCs w:val="18"/>
        </w:rPr>
        <w:t>Con la decl</w:t>
      </w:r>
      <w:r>
        <w:rPr>
          <w:szCs w:val="18"/>
        </w:rPr>
        <w:t>aración prevista en el Artículo </w:t>
      </w:r>
      <w:r w:rsidRPr="00D679E2">
        <w:rPr>
          <w:szCs w:val="18"/>
        </w:rPr>
        <w:t>29.4)</w:t>
      </w:r>
      <w:r>
        <w:rPr>
          <w:szCs w:val="18"/>
        </w:rPr>
        <w:t>.</w:t>
      </w:r>
    </w:p>
  </w:footnote>
  <w:footnote w:id="3">
    <w:p w:rsidR="001874E3" w:rsidRPr="002F251C" w:rsidRDefault="001874E3" w:rsidP="00CF71D4">
      <w:pPr>
        <w:pStyle w:val="FootnoteText"/>
        <w:tabs>
          <w:tab w:val="left" w:pos="284"/>
        </w:tabs>
        <w:rPr>
          <w:szCs w:val="18"/>
        </w:rPr>
      </w:pPr>
      <w:r w:rsidRPr="002F251C">
        <w:rPr>
          <w:rStyle w:val="FootnoteReference"/>
          <w:szCs w:val="18"/>
        </w:rPr>
        <w:footnoteRef/>
      </w:r>
      <w:r w:rsidRPr="002F251C">
        <w:rPr>
          <w:szCs w:val="18"/>
        </w:rPr>
        <w:t xml:space="preserve"> </w:t>
      </w:r>
      <w:r>
        <w:rPr>
          <w:szCs w:val="18"/>
        </w:rPr>
        <w:tab/>
      </w:r>
      <w:r w:rsidRPr="002F251C">
        <w:rPr>
          <w:szCs w:val="18"/>
        </w:rPr>
        <w:t>Con la declaraci</w:t>
      </w:r>
      <w:r>
        <w:rPr>
          <w:szCs w:val="18"/>
        </w:rPr>
        <w:t>ón prevista en el Artículo 29.</w:t>
      </w:r>
      <w:r w:rsidRPr="002F251C">
        <w:rPr>
          <w:szCs w:val="18"/>
        </w:rPr>
        <w:t>2)</w:t>
      </w:r>
      <w:r>
        <w:rPr>
          <w:szCs w:val="18"/>
        </w:rPr>
        <w:t>.</w:t>
      </w:r>
    </w:p>
  </w:footnote>
  <w:footnote w:id="4">
    <w:p w:rsidR="001874E3" w:rsidRPr="002F251C" w:rsidRDefault="001874E3" w:rsidP="00CF71D4">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t>No es aplicable a las Islas Feroe ni a Groenlandia.</w:t>
      </w:r>
    </w:p>
  </w:footnote>
  <w:footnote w:id="5">
    <w:p w:rsidR="001874E3" w:rsidRPr="002F251C" w:rsidRDefault="001874E3" w:rsidP="00CF71D4">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r>
      <w:r w:rsidRPr="00D679E2">
        <w:rPr>
          <w:szCs w:val="18"/>
        </w:rPr>
        <w:t>Con la decl</w:t>
      </w:r>
      <w:r>
        <w:rPr>
          <w:szCs w:val="18"/>
        </w:rPr>
        <w:t>aración prevista en el Artículo </w:t>
      </w:r>
      <w:r w:rsidRPr="00D679E2">
        <w:rPr>
          <w:szCs w:val="18"/>
        </w:rPr>
        <w:t>29.</w:t>
      </w:r>
      <w:r w:rsidRPr="002F251C">
        <w:rPr>
          <w:szCs w:val="18"/>
        </w:rPr>
        <w:t>1)</w:t>
      </w:r>
      <w:r>
        <w:rPr>
          <w:szCs w:val="18"/>
        </w:rPr>
        <w:t>.</w:t>
      </w:r>
    </w:p>
  </w:footnote>
  <w:footnote w:id="6">
    <w:p w:rsidR="001874E3" w:rsidRPr="002F251C" w:rsidRDefault="001874E3" w:rsidP="00CF71D4">
      <w:pPr>
        <w:tabs>
          <w:tab w:val="left" w:pos="567"/>
        </w:tabs>
        <w:ind w:left="284" w:hanging="284"/>
        <w:rPr>
          <w:sz w:val="18"/>
          <w:szCs w:val="16"/>
        </w:rPr>
      </w:pPr>
      <w:r w:rsidRPr="002F251C">
        <w:rPr>
          <w:rStyle w:val="FootnoteReference"/>
          <w:sz w:val="18"/>
          <w:szCs w:val="18"/>
        </w:rPr>
        <w:footnoteRef/>
      </w:r>
      <w:r w:rsidRPr="002F251C">
        <w:rPr>
          <w:sz w:val="18"/>
          <w:szCs w:val="18"/>
        </w:rPr>
        <w:t xml:space="preserve"> </w:t>
      </w:r>
      <w:r>
        <w:rPr>
          <w:sz w:val="18"/>
          <w:szCs w:val="18"/>
        </w:rPr>
        <w:tab/>
      </w:r>
      <w:r>
        <w:rPr>
          <w:sz w:val="18"/>
          <w:szCs w:val="18"/>
          <w:lang w:eastAsia="ja-JP"/>
        </w:rPr>
        <w:t>La ratificación no se hace extensiva a Tokelau, a menos y hasta que el Gobierno de Nueva Zelandia presente una declaración a tal efecto ante el depositario tras las consultas pertinentes con ese territorio</w:t>
      </w:r>
      <w:r w:rsidRPr="002F251C">
        <w:rPr>
          <w:sz w:val="18"/>
          <w:szCs w:val="18"/>
          <w:lang w:eastAsia="ja-JP"/>
        </w:rPr>
        <w:t>.</w:t>
      </w:r>
    </w:p>
  </w:footnote>
  <w:footnote w:id="7">
    <w:p w:rsidR="001874E3" w:rsidRPr="002F251C" w:rsidRDefault="001874E3" w:rsidP="00CF71D4">
      <w:pPr>
        <w:pStyle w:val="FootnoteText"/>
        <w:tabs>
          <w:tab w:val="left" w:pos="284"/>
        </w:tabs>
        <w:ind w:left="284" w:hanging="284"/>
        <w:rPr>
          <w:szCs w:val="18"/>
        </w:rPr>
      </w:pPr>
      <w:r w:rsidRPr="002F251C">
        <w:rPr>
          <w:rStyle w:val="FootnoteReference"/>
          <w:szCs w:val="18"/>
        </w:rPr>
        <w:footnoteRef/>
      </w:r>
      <w:r w:rsidRPr="002F251C">
        <w:rPr>
          <w:szCs w:val="18"/>
        </w:rPr>
        <w:t xml:space="preserve"> </w:t>
      </w:r>
      <w:r>
        <w:rPr>
          <w:szCs w:val="18"/>
        </w:rPr>
        <w:tab/>
      </w:r>
      <w:r w:rsidRPr="00D2232F">
        <w:rPr>
          <w:szCs w:val="18"/>
        </w:rPr>
        <w:t>Adhesión del Reino en Europa y las Antillas Neerlandesas.  Las Antillas Neerla</w:t>
      </w:r>
      <w:r>
        <w:rPr>
          <w:szCs w:val="18"/>
        </w:rPr>
        <w:t>ndesas dejaron de existir el 10 de octubre de </w:t>
      </w:r>
      <w:r w:rsidRPr="00D2232F">
        <w:rPr>
          <w:szCs w:val="18"/>
        </w:rPr>
        <w:t>2010.  A partir de esa fecha, el Tratado sigue aplicándose a Curaçao y San Martín.  El Tratado también sigue aplicándose a las islas de Bonaire, San Eustaquio y Saba,</w:t>
      </w:r>
      <w:r>
        <w:rPr>
          <w:szCs w:val="18"/>
        </w:rPr>
        <w:t xml:space="preserve"> que, desde el 10 de octubre de </w:t>
      </w:r>
      <w:r w:rsidRPr="00D2232F">
        <w:rPr>
          <w:szCs w:val="18"/>
        </w:rPr>
        <w:t>2010, forman parte del territorio del Reino de los Países Bajos en Europa.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51" w:rsidRDefault="00023051" w:rsidP="00023051">
    <w:pPr>
      <w:jc w:val="right"/>
    </w:pPr>
    <w:r>
      <w:t>STLT/A/10/1</w:t>
    </w:r>
  </w:p>
  <w:p w:rsidR="00023051" w:rsidRDefault="00023051" w:rsidP="00477D6B">
    <w:pPr>
      <w:jc w:val="right"/>
    </w:pPr>
    <w:r>
      <w:t xml:space="preserve">página </w:t>
    </w:r>
    <w:r>
      <w:fldChar w:fldCharType="begin"/>
    </w:r>
    <w:r>
      <w:instrText xml:space="preserve"> PAGE  \* MERGEFORMAT </w:instrText>
    </w:r>
    <w:r>
      <w:fldChar w:fldCharType="separate"/>
    </w:r>
    <w:r w:rsidR="00D76859">
      <w:rPr>
        <w:noProof/>
      </w:rPr>
      <w:t>5</w:t>
    </w:r>
    <w:r>
      <w:fldChar w:fldCharType="end"/>
    </w:r>
  </w:p>
  <w:p w:rsidR="00023051" w:rsidRDefault="0002305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51" w:rsidRDefault="00023051" w:rsidP="00477D6B">
    <w:pPr>
      <w:jc w:val="right"/>
    </w:pPr>
    <w:bookmarkStart w:id="6" w:name="Code2"/>
    <w:bookmarkEnd w:id="6"/>
    <w:r>
      <w:t>STLT/A/10/1</w:t>
    </w:r>
  </w:p>
  <w:p w:rsidR="00023051" w:rsidRDefault="00023051" w:rsidP="00477D6B">
    <w:pPr>
      <w:jc w:val="right"/>
    </w:pPr>
    <w:r>
      <w:t xml:space="preserve">Anexo, página </w:t>
    </w:r>
    <w:r>
      <w:fldChar w:fldCharType="begin"/>
    </w:r>
    <w:r>
      <w:instrText xml:space="preserve"> PAGE  \* MERGEFORMAT </w:instrText>
    </w:r>
    <w:r>
      <w:fldChar w:fldCharType="separate"/>
    </w:r>
    <w:r w:rsidR="00210A9D">
      <w:rPr>
        <w:noProof/>
      </w:rPr>
      <w:t>2</w:t>
    </w:r>
    <w:r>
      <w:fldChar w:fldCharType="end"/>
    </w:r>
  </w:p>
  <w:p w:rsidR="00023051" w:rsidRDefault="00023051" w:rsidP="00477D6B">
    <w:pPr>
      <w:jc w:val="right"/>
    </w:pPr>
  </w:p>
  <w:p w:rsidR="00023051" w:rsidRDefault="0002305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051" w:rsidRDefault="00023051" w:rsidP="00CF71D4">
    <w:pPr>
      <w:jc w:val="right"/>
    </w:pPr>
    <w:r>
      <w:t>STLT/A/10/1</w:t>
    </w:r>
  </w:p>
  <w:p w:rsidR="00023051" w:rsidRDefault="00023051" w:rsidP="00023051">
    <w:pPr>
      <w:jc w:val="right"/>
    </w:pPr>
    <w:r>
      <w:t>ANEXO</w:t>
    </w:r>
  </w:p>
  <w:p w:rsidR="00023051" w:rsidRDefault="00023051" w:rsidP="00CF71D4">
    <w:pPr>
      <w:pStyle w:val="Header"/>
      <w:tabs>
        <w:tab w:val="clear" w:pos="4536"/>
        <w:tab w:val="clear" w:pos="9072"/>
        <w:tab w:val="left" w:pos="8295"/>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692D23"/>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6">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6039CC"/>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D4"/>
    <w:rsid w:val="00011054"/>
    <w:rsid w:val="00023051"/>
    <w:rsid w:val="0003679A"/>
    <w:rsid w:val="000A2302"/>
    <w:rsid w:val="000A44F7"/>
    <w:rsid w:val="000C0FB3"/>
    <w:rsid w:val="000E3BB3"/>
    <w:rsid w:val="000F5E56"/>
    <w:rsid w:val="00107658"/>
    <w:rsid w:val="00125ACB"/>
    <w:rsid w:val="001362EE"/>
    <w:rsid w:val="00152CEA"/>
    <w:rsid w:val="00172F41"/>
    <w:rsid w:val="00174DF0"/>
    <w:rsid w:val="001808D0"/>
    <w:rsid w:val="001832A6"/>
    <w:rsid w:val="001874E3"/>
    <w:rsid w:val="0019431E"/>
    <w:rsid w:val="001A0A1A"/>
    <w:rsid w:val="001A1A93"/>
    <w:rsid w:val="001C4DD3"/>
    <w:rsid w:val="00210A9D"/>
    <w:rsid w:val="002634C4"/>
    <w:rsid w:val="00291347"/>
    <w:rsid w:val="002A1166"/>
    <w:rsid w:val="002E41A4"/>
    <w:rsid w:val="002F4E68"/>
    <w:rsid w:val="00303D30"/>
    <w:rsid w:val="00317131"/>
    <w:rsid w:val="003329E6"/>
    <w:rsid w:val="00354647"/>
    <w:rsid w:val="00377273"/>
    <w:rsid w:val="003845C1"/>
    <w:rsid w:val="00387287"/>
    <w:rsid w:val="003935FF"/>
    <w:rsid w:val="003D41D4"/>
    <w:rsid w:val="003D4B05"/>
    <w:rsid w:val="004107F1"/>
    <w:rsid w:val="00423E3E"/>
    <w:rsid w:val="00427AF4"/>
    <w:rsid w:val="0045231F"/>
    <w:rsid w:val="004647DA"/>
    <w:rsid w:val="00477D6B"/>
    <w:rsid w:val="004A6C37"/>
    <w:rsid w:val="004B6DC3"/>
    <w:rsid w:val="004F7418"/>
    <w:rsid w:val="0053662A"/>
    <w:rsid w:val="0055013B"/>
    <w:rsid w:val="0056224D"/>
    <w:rsid w:val="00571B99"/>
    <w:rsid w:val="005D5911"/>
    <w:rsid w:val="005D64EC"/>
    <w:rsid w:val="005D650C"/>
    <w:rsid w:val="005E23B5"/>
    <w:rsid w:val="005F668F"/>
    <w:rsid w:val="00605827"/>
    <w:rsid w:val="0065520C"/>
    <w:rsid w:val="00675021"/>
    <w:rsid w:val="00685725"/>
    <w:rsid w:val="006A06C6"/>
    <w:rsid w:val="006C6F8B"/>
    <w:rsid w:val="006F38AC"/>
    <w:rsid w:val="0074340F"/>
    <w:rsid w:val="00744C58"/>
    <w:rsid w:val="00757A8D"/>
    <w:rsid w:val="00764BF3"/>
    <w:rsid w:val="007E6299"/>
    <w:rsid w:val="007E63AC"/>
    <w:rsid w:val="007E663E"/>
    <w:rsid w:val="00815082"/>
    <w:rsid w:val="008152C0"/>
    <w:rsid w:val="00841097"/>
    <w:rsid w:val="008B2CC1"/>
    <w:rsid w:val="0090731E"/>
    <w:rsid w:val="009249BD"/>
    <w:rsid w:val="00966A22"/>
    <w:rsid w:val="00972F03"/>
    <w:rsid w:val="009738B9"/>
    <w:rsid w:val="009A0C8B"/>
    <w:rsid w:val="009B6241"/>
    <w:rsid w:val="00A16FC0"/>
    <w:rsid w:val="00A20C37"/>
    <w:rsid w:val="00A32C9E"/>
    <w:rsid w:val="00A7453D"/>
    <w:rsid w:val="00A80D4C"/>
    <w:rsid w:val="00AB613D"/>
    <w:rsid w:val="00AE0294"/>
    <w:rsid w:val="00AE0E1B"/>
    <w:rsid w:val="00B22F17"/>
    <w:rsid w:val="00B4122B"/>
    <w:rsid w:val="00B6139E"/>
    <w:rsid w:val="00B65A0A"/>
    <w:rsid w:val="00B72D36"/>
    <w:rsid w:val="00B83022"/>
    <w:rsid w:val="00BA2AED"/>
    <w:rsid w:val="00BC4164"/>
    <w:rsid w:val="00BD168D"/>
    <w:rsid w:val="00BD2DCC"/>
    <w:rsid w:val="00BE1A8C"/>
    <w:rsid w:val="00BE44AF"/>
    <w:rsid w:val="00C54846"/>
    <w:rsid w:val="00C90559"/>
    <w:rsid w:val="00CB6B5A"/>
    <w:rsid w:val="00CF1678"/>
    <w:rsid w:val="00CF71D4"/>
    <w:rsid w:val="00D2232F"/>
    <w:rsid w:val="00D36B79"/>
    <w:rsid w:val="00D40CF0"/>
    <w:rsid w:val="00D56C7C"/>
    <w:rsid w:val="00D679E2"/>
    <w:rsid w:val="00D71B4D"/>
    <w:rsid w:val="00D76859"/>
    <w:rsid w:val="00D90289"/>
    <w:rsid w:val="00D93D55"/>
    <w:rsid w:val="00DB5771"/>
    <w:rsid w:val="00DE6A84"/>
    <w:rsid w:val="00DF5F7C"/>
    <w:rsid w:val="00E227E5"/>
    <w:rsid w:val="00E45C84"/>
    <w:rsid w:val="00E47A9D"/>
    <w:rsid w:val="00E504E5"/>
    <w:rsid w:val="00E815DF"/>
    <w:rsid w:val="00E920C9"/>
    <w:rsid w:val="00EB7A3E"/>
    <w:rsid w:val="00EC401A"/>
    <w:rsid w:val="00EF3802"/>
    <w:rsid w:val="00EF530A"/>
    <w:rsid w:val="00EF6622"/>
    <w:rsid w:val="00F2736C"/>
    <w:rsid w:val="00F46EEE"/>
    <w:rsid w:val="00F55408"/>
    <w:rsid w:val="00F66152"/>
    <w:rsid w:val="00F76AD4"/>
    <w:rsid w:val="00F80845"/>
    <w:rsid w:val="00F81692"/>
    <w:rsid w:val="00F84474"/>
    <w:rsid w:val="00F873BA"/>
    <w:rsid w:val="00FD4BE0"/>
    <w:rsid w:val="00FE66F0"/>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2E41A4"/>
    <w:rPr>
      <w:rFonts w:ascii="Tahoma" w:hAnsi="Tahoma" w:cs="Tahoma"/>
      <w:sz w:val="16"/>
      <w:szCs w:val="16"/>
    </w:rPr>
  </w:style>
  <w:style w:type="character" w:customStyle="1" w:styleId="BalloonTextChar">
    <w:name w:val="Balloon Text Char"/>
    <w:basedOn w:val="DefaultParagraphFont"/>
    <w:link w:val="BalloonText"/>
    <w:rsid w:val="002E41A4"/>
    <w:rPr>
      <w:rFonts w:ascii="Tahoma" w:eastAsia="SimSun" w:hAnsi="Tahoma" w:cs="Tahoma"/>
      <w:sz w:val="16"/>
      <w:szCs w:val="16"/>
      <w:lang w:val="es-ES" w:eastAsia="zh-CN"/>
    </w:rPr>
  </w:style>
  <w:style w:type="character" w:styleId="FootnoteReference">
    <w:name w:val="footnote reference"/>
    <w:rsid w:val="00CF71D4"/>
    <w:rPr>
      <w:vertAlign w:val="superscript"/>
    </w:rPr>
  </w:style>
  <w:style w:type="paragraph" w:customStyle="1" w:styleId="DecisionInvitingPara">
    <w:name w:val="Decision Inviting Para."/>
    <w:basedOn w:val="Normal"/>
    <w:rsid w:val="00CF71D4"/>
    <w:pPr>
      <w:spacing w:after="120" w:line="260" w:lineRule="atLeast"/>
      <w:ind w:left="5534"/>
      <w:contextualSpacing/>
    </w:pPr>
    <w:rPr>
      <w:rFonts w:eastAsia="Times New Roman" w:cs="Times New Roman"/>
      <w:i/>
      <w:sz w:val="20"/>
      <w:lang w:val="en-US" w:eastAsia="en-US"/>
    </w:rPr>
  </w:style>
  <w:style w:type="paragraph" w:styleId="ListParagraph">
    <w:name w:val="List Paragraph"/>
    <w:basedOn w:val="Normal"/>
    <w:uiPriority w:val="34"/>
    <w:qFormat/>
    <w:rsid w:val="00CF71D4"/>
    <w:pPr>
      <w:ind w:left="567"/>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2E41A4"/>
    <w:rPr>
      <w:rFonts w:ascii="Tahoma" w:hAnsi="Tahoma" w:cs="Tahoma"/>
      <w:sz w:val="16"/>
      <w:szCs w:val="16"/>
    </w:rPr>
  </w:style>
  <w:style w:type="character" w:customStyle="1" w:styleId="BalloonTextChar">
    <w:name w:val="Balloon Text Char"/>
    <w:basedOn w:val="DefaultParagraphFont"/>
    <w:link w:val="BalloonText"/>
    <w:rsid w:val="002E41A4"/>
    <w:rPr>
      <w:rFonts w:ascii="Tahoma" w:eastAsia="SimSun" w:hAnsi="Tahoma" w:cs="Tahoma"/>
      <w:sz w:val="16"/>
      <w:szCs w:val="16"/>
      <w:lang w:val="es-ES" w:eastAsia="zh-CN"/>
    </w:rPr>
  </w:style>
  <w:style w:type="character" w:styleId="FootnoteReference">
    <w:name w:val="footnote reference"/>
    <w:rsid w:val="00CF71D4"/>
    <w:rPr>
      <w:vertAlign w:val="superscript"/>
    </w:rPr>
  </w:style>
  <w:style w:type="paragraph" w:customStyle="1" w:styleId="DecisionInvitingPara">
    <w:name w:val="Decision Inviting Para."/>
    <w:basedOn w:val="Normal"/>
    <w:rsid w:val="00CF71D4"/>
    <w:pPr>
      <w:spacing w:after="120" w:line="260" w:lineRule="atLeast"/>
      <w:ind w:left="5534"/>
      <w:contextualSpacing/>
    </w:pPr>
    <w:rPr>
      <w:rFonts w:eastAsia="Times New Roman" w:cs="Times New Roman"/>
      <w:i/>
      <w:sz w:val="20"/>
      <w:lang w:val="en-US" w:eastAsia="en-US"/>
    </w:rPr>
  </w:style>
  <w:style w:type="paragraph" w:styleId="ListParagraph">
    <w:name w:val="List Paragraph"/>
    <w:basedOn w:val="Normal"/>
    <w:uiPriority w:val="34"/>
    <w:qFormat/>
    <w:rsid w:val="00CF71D4"/>
    <w:pPr>
      <w:ind w:left="56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STLT A 10 (S).dotm</Template>
  <TotalTime>12</TotalTime>
  <Pages>7</Pages>
  <Words>2349</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STLT/A/10/1</vt:lpstr>
    </vt:vector>
  </TitlesOfParts>
  <Company>WIPO</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STLT/A/10/1</dc:title>
  <dc:creator>Lugrin Aurélie</dc:creator>
  <dc:description>MSL - 2.6.2017// JC (QC) - 6.6.2017</dc:description>
  <cp:lastModifiedBy>DORE Marie-Pierre</cp:lastModifiedBy>
  <cp:revision>3</cp:revision>
  <dcterms:created xsi:type="dcterms:W3CDTF">2017-06-12T09:28:00Z</dcterms:created>
  <dcterms:modified xsi:type="dcterms:W3CDTF">2017-06-12T09:39:00Z</dcterms:modified>
</cp:coreProperties>
</file>