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086E1F" w:rsidP="00AB613D">
            <w:r>
              <w:rPr>
                <w:noProof/>
                <w:lang w:eastAsia="es-E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86E1F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WO/GA/49/</w:t>
            </w:r>
            <w:bookmarkStart w:id="0" w:name="Code"/>
            <w:bookmarkEnd w:id="0"/>
            <w:r w:rsidR="00D33DF3">
              <w:rPr>
                <w:rFonts w:ascii="Arial Black" w:hAnsi="Arial Black"/>
                <w:caps/>
                <w:sz w:val="15"/>
              </w:rPr>
              <w:t>17</w:t>
            </w:r>
          </w:p>
        </w:tc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9A20CD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="00D33DF3">
              <w:rPr>
                <w:rFonts w:ascii="Arial Black" w:hAnsi="Arial Black"/>
                <w:caps/>
                <w:sz w:val="15"/>
              </w:rPr>
              <w:t>INGLÉS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7502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9A20CD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D33DF3">
              <w:rPr>
                <w:rFonts w:ascii="Arial Black" w:hAnsi="Arial Black"/>
                <w:caps/>
                <w:sz w:val="15"/>
              </w:rPr>
              <w:t>2 DE AGOSTO DE 2017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D31749" w:rsidRDefault="00D31749" w:rsidP="008B2CC1"/>
    <w:p w:rsidR="00D31749" w:rsidRDefault="00D31749" w:rsidP="008B2CC1"/>
    <w:p w:rsidR="00D31749" w:rsidRDefault="00D31749" w:rsidP="008B2CC1"/>
    <w:p w:rsidR="00D31749" w:rsidRDefault="00D31749" w:rsidP="008B2CC1"/>
    <w:p w:rsidR="00D31749" w:rsidRDefault="00D31749" w:rsidP="008B2CC1"/>
    <w:p w:rsidR="00D31749" w:rsidRDefault="00086E1F" w:rsidP="00B67CDC">
      <w:pPr>
        <w:rPr>
          <w:b/>
          <w:sz w:val="28"/>
          <w:szCs w:val="28"/>
        </w:rPr>
      </w:pPr>
      <w:r w:rsidRPr="00086E1F">
        <w:rPr>
          <w:b/>
          <w:sz w:val="28"/>
          <w:szCs w:val="28"/>
          <w:lang w:val="es-ES_tradnl"/>
        </w:rPr>
        <w:t>Asamblea General de la OMPI</w:t>
      </w:r>
    </w:p>
    <w:p w:rsidR="00D31749" w:rsidRDefault="00D31749" w:rsidP="003845C1"/>
    <w:p w:rsidR="00D31749" w:rsidRDefault="00D31749" w:rsidP="003845C1"/>
    <w:p w:rsidR="00D31749" w:rsidRDefault="00086E1F" w:rsidP="00086E1F">
      <w:pPr>
        <w:rPr>
          <w:b/>
          <w:sz w:val="24"/>
          <w:szCs w:val="24"/>
        </w:rPr>
      </w:pPr>
      <w:r w:rsidRPr="00086E1F">
        <w:rPr>
          <w:b/>
          <w:sz w:val="24"/>
          <w:szCs w:val="24"/>
        </w:rPr>
        <w:t>Cuadragésimo noveno período de sesiones (</w:t>
      </w:r>
      <w:r w:rsidR="00617949" w:rsidRPr="00086E1F">
        <w:rPr>
          <w:b/>
          <w:sz w:val="24"/>
          <w:szCs w:val="24"/>
        </w:rPr>
        <w:t>23</w:t>
      </w:r>
      <w:r w:rsidR="00617949" w:rsidRPr="009A0652">
        <w:rPr>
          <w:b/>
          <w:sz w:val="24"/>
          <w:szCs w:val="24"/>
        </w:rPr>
        <w:t>º</w:t>
      </w:r>
      <w:r w:rsidR="00617949" w:rsidRPr="00086E1F">
        <w:rPr>
          <w:b/>
          <w:sz w:val="24"/>
          <w:szCs w:val="24"/>
        </w:rPr>
        <w:t xml:space="preserve"> ordinario</w:t>
      </w:r>
      <w:r w:rsidRPr="00086E1F">
        <w:rPr>
          <w:b/>
          <w:sz w:val="24"/>
          <w:szCs w:val="24"/>
        </w:rPr>
        <w:t>)</w:t>
      </w:r>
    </w:p>
    <w:p w:rsidR="00D31749" w:rsidRDefault="00086E1F" w:rsidP="00086E1F">
      <w:pPr>
        <w:rPr>
          <w:b/>
          <w:sz w:val="24"/>
          <w:szCs w:val="24"/>
        </w:rPr>
      </w:pPr>
      <w:r w:rsidRPr="00086E1F">
        <w:rPr>
          <w:b/>
          <w:sz w:val="24"/>
          <w:szCs w:val="24"/>
          <w:lang w:val="es-ES_tradnl"/>
        </w:rPr>
        <w:t>Ginebra, 2 a 11 de octubre de 2017</w:t>
      </w:r>
    </w:p>
    <w:p w:rsidR="00D31749" w:rsidRDefault="00D31749" w:rsidP="008B2CC1"/>
    <w:p w:rsidR="00D31749" w:rsidRDefault="00D31749" w:rsidP="008B2CC1"/>
    <w:p w:rsidR="00D31749" w:rsidRDefault="00D31749" w:rsidP="008B2CC1"/>
    <w:p w:rsidR="00D31749" w:rsidRDefault="00B134A7" w:rsidP="00B134A7">
      <w:pPr>
        <w:rPr>
          <w:lang w:val="es-ES_tradnl"/>
        </w:rPr>
      </w:pPr>
      <w:bookmarkStart w:id="3" w:name="TitleOfDoc"/>
      <w:bookmarkEnd w:id="3"/>
      <w:r w:rsidRPr="00B134A7">
        <w:rPr>
          <w:lang w:val="es-ES_tradnl"/>
        </w:rPr>
        <w:t>PROPUESTA DE PROGRAMA DE TRABAJO DEL CIG PARA EL BIENIO 2018/19</w:t>
      </w:r>
    </w:p>
    <w:p w:rsidR="00D31749" w:rsidRDefault="00D31749" w:rsidP="00D33DF3">
      <w:pPr>
        <w:rPr>
          <w:lang w:val="es-ES_tradnl"/>
        </w:rPr>
      </w:pPr>
    </w:p>
    <w:p w:rsidR="00D31749" w:rsidRDefault="00727AD4" w:rsidP="00727AD4">
      <w:pPr>
        <w:rPr>
          <w:i/>
          <w:lang w:val="es-ES_tradnl"/>
        </w:rPr>
      </w:pPr>
      <w:bookmarkStart w:id="4" w:name="Prepared"/>
      <w:bookmarkEnd w:id="4"/>
      <w:r w:rsidRPr="00727AD4">
        <w:rPr>
          <w:i/>
          <w:lang w:val="es-ES_tradnl"/>
        </w:rPr>
        <w:t xml:space="preserve">Propuesta presentada por la </w:t>
      </w:r>
      <w:r w:rsidR="004949E3">
        <w:rPr>
          <w:i/>
          <w:lang w:val="es-ES_tradnl"/>
        </w:rPr>
        <w:t>d</w:t>
      </w:r>
      <w:r w:rsidRPr="00727AD4">
        <w:rPr>
          <w:i/>
          <w:lang w:val="es-ES_tradnl"/>
        </w:rPr>
        <w:t>elegación del Senegal en nombre del Grupo Africano</w:t>
      </w:r>
    </w:p>
    <w:p w:rsidR="00D31749" w:rsidRDefault="00D31749" w:rsidP="00D33DF3">
      <w:pPr>
        <w:rPr>
          <w:lang w:val="es-ES_tradnl"/>
        </w:rPr>
      </w:pPr>
    </w:p>
    <w:p w:rsidR="00D31749" w:rsidRDefault="00D31749" w:rsidP="00D33DF3">
      <w:pPr>
        <w:rPr>
          <w:lang w:val="es-ES_tradnl"/>
        </w:rPr>
      </w:pPr>
    </w:p>
    <w:p w:rsidR="00D31749" w:rsidRDefault="00D31749" w:rsidP="00D33DF3">
      <w:pPr>
        <w:rPr>
          <w:lang w:val="es-ES_tradnl"/>
        </w:rPr>
      </w:pPr>
    </w:p>
    <w:p w:rsidR="00D31749" w:rsidRDefault="00D31749" w:rsidP="00D33DF3">
      <w:pPr>
        <w:rPr>
          <w:szCs w:val="22"/>
          <w:lang w:val="es-ES_tradnl"/>
        </w:rPr>
      </w:pPr>
    </w:p>
    <w:p w:rsidR="00D31749" w:rsidRDefault="002E438E" w:rsidP="002E438E">
      <w:pPr>
        <w:autoSpaceDE w:val="0"/>
        <w:autoSpaceDN w:val="0"/>
        <w:adjustRightInd w:val="0"/>
        <w:rPr>
          <w:szCs w:val="22"/>
          <w:lang w:val="es-ES_tradnl"/>
        </w:rPr>
      </w:pPr>
      <w:r w:rsidRPr="002E438E">
        <w:rPr>
          <w:szCs w:val="22"/>
          <w:lang w:val="es-ES_tradnl"/>
        </w:rPr>
        <w:t xml:space="preserve">En una comunicación a la Secretaría recibida el 20 de julio de 2017, la </w:t>
      </w:r>
      <w:r w:rsidR="004949E3">
        <w:rPr>
          <w:szCs w:val="22"/>
          <w:lang w:val="es-ES_tradnl"/>
        </w:rPr>
        <w:t>d</w:t>
      </w:r>
      <w:r w:rsidRPr="002E438E">
        <w:rPr>
          <w:szCs w:val="22"/>
          <w:lang w:val="es-ES_tradnl"/>
        </w:rPr>
        <w:t>elegación del Senegal, en nombre del Grupo Africano, presentó la propuesta adjunta en el marco del punto d</w:t>
      </w:r>
      <w:r w:rsidR="007001E1">
        <w:rPr>
          <w:szCs w:val="22"/>
          <w:lang w:val="es-ES_tradnl"/>
        </w:rPr>
        <w:t>el orden del día “Informe d</w:t>
      </w:r>
      <w:r w:rsidRPr="002E438E">
        <w:rPr>
          <w:szCs w:val="22"/>
          <w:lang w:val="es-ES_tradnl"/>
        </w:rPr>
        <w:t>el Comité Intergubernamental sobre Propiedad Intelectual y Recursos Genéticos, Conocimientos Tradicionales y Folclore (CIG)”.</w:t>
      </w:r>
    </w:p>
    <w:p w:rsidR="00D31749" w:rsidRDefault="00D31749" w:rsidP="00D33DF3">
      <w:pPr>
        <w:pStyle w:val="ONUME"/>
        <w:numPr>
          <w:ilvl w:val="0"/>
          <w:numId w:val="0"/>
        </w:numPr>
        <w:spacing w:after="0"/>
        <w:rPr>
          <w:i/>
          <w:lang w:val="es-ES_tradnl"/>
        </w:rPr>
      </w:pPr>
    </w:p>
    <w:p w:rsidR="00D31749" w:rsidRDefault="00D31749" w:rsidP="00D33DF3">
      <w:pPr>
        <w:pStyle w:val="ONUME"/>
        <w:numPr>
          <w:ilvl w:val="0"/>
          <w:numId w:val="0"/>
        </w:numPr>
        <w:spacing w:after="0"/>
        <w:rPr>
          <w:i/>
          <w:lang w:val="es-ES_tradnl"/>
        </w:rPr>
      </w:pPr>
    </w:p>
    <w:p w:rsidR="00D31749" w:rsidRDefault="00D31749" w:rsidP="00D33DF3">
      <w:pPr>
        <w:pStyle w:val="ONUME"/>
        <w:numPr>
          <w:ilvl w:val="0"/>
          <w:numId w:val="0"/>
        </w:numPr>
        <w:spacing w:after="0"/>
        <w:rPr>
          <w:i/>
          <w:lang w:val="es-ES_tradnl"/>
        </w:rPr>
      </w:pPr>
    </w:p>
    <w:p w:rsidR="00D31749" w:rsidRDefault="002E438E" w:rsidP="002E438E">
      <w:pPr>
        <w:spacing w:after="120" w:line="260" w:lineRule="atLeast"/>
        <w:ind w:left="5500"/>
        <w:contextualSpacing/>
        <w:rPr>
          <w:lang w:val="en"/>
        </w:rPr>
      </w:pPr>
      <w:r w:rsidRPr="002E438E">
        <w:rPr>
          <w:lang w:val="es-ES_tradnl"/>
        </w:rPr>
        <w:t>[Sigue el Anexo]</w:t>
      </w:r>
    </w:p>
    <w:p w:rsidR="00D31749" w:rsidRDefault="00D31749" w:rsidP="00D33DF3">
      <w:pPr>
        <w:rPr>
          <w:lang w:val="en-US"/>
        </w:rPr>
      </w:pPr>
    </w:p>
    <w:p w:rsidR="00D31749" w:rsidRDefault="00D31749" w:rsidP="00D33DF3">
      <w:pPr>
        <w:rPr>
          <w:lang w:val="en-US"/>
        </w:rPr>
      </w:pPr>
    </w:p>
    <w:p w:rsidR="00D33DF3" w:rsidRPr="00B134A7" w:rsidRDefault="00D33DF3" w:rsidP="00D33DF3">
      <w:pPr>
        <w:rPr>
          <w:lang w:val="en-US"/>
        </w:rPr>
        <w:sectPr w:rsidR="00D33DF3" w:rsidRPr="00B134A7" w:rsidSect="00D33DF3"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D31749" w:rsidRPr="00D31749" w:rsidRDefault="00D31749" w:rsidP="00D31749">
      <w:pPr>
        <w:rPr>
          <w:rFonts w:eastAsia="Times New Roman"/>
          <w:b/>
          <w:u w:val="single"/>
          <w:lang w:val="en-US" w:eastAsia="en-US"/>
        </w:rPr>
      </w:pPr>
      <w:r w:rsidRPr="00D31749">
        <w:rPr>
          <w:rFonts w:eastAsia="Times New Roman"/>
          <w:b/>
          <w:u w:val="single"/>
          <w:lang w:val="es-ES_tradnl" w:eastAsia="en-US"/>
        </w:rPr>
        <w:lastRenderedPageBreak/>
        <w:t>REPÚBLICA DEL SENEGAL</w:t>
      </w:r>
    </w:p>
    <w:p w:rsidR="00D31749" w:rsidRPr="00D31749" w:rsidRDefault="00D31749" w:rsidP="00B532ED">
      <w:pPr>
        <w:tabs>
          <w:tab w:val="left" w:pos="5670"/>
        </w:tabs>
        <w:rPr>
          <w:rFonts w:eastAsia="Times New Roman"/>
          <w:lang w:val="fr-FR" w:eastAsia="en-US"/>
        </w:rPr>
      </w:pPr>
      <w:r>
        <w:rPr>
          <w:rFonts w:eastAsia="Times New Roman"/>
          <w:lang w:val="fr-FR" w:eastAsia="en-US"/>
        </w:rPr>
        <w:t xml:space="preserve">Un </w:t>
      </w:r>
      <w:r w:rsidR="004949E3">
        <w:rPr>
          <w:rFonts w:eastAsia="Times New Roman"/>
          <w:lang w:val="fr-FR" w:eastAsia="en-US"/>
        </w:rPr>
        <w:t>Peuple</w:t>
      </w:r>
      <w:r w:rsidRPr="00D31749">
        <w:rPr>
          <w:rFonts w:eastAsia="Times New Roman"/>
          <w:lang w:val="fr-FR" w:eastAsia="en-US"/>
        </w:rPr>
        <w:t xml:space="preserve"> – Un </w:t>
      </w:r>
      <w:r w:rsidR="004949E3">
        <w:rPr>
          <w:rFonts w:eastAsia="Times New Roman"/>
          <w:lang w:val="fr-FR" w:eastAsia="en-US"/>
        </w:rPr>
        <w:t>But</w:t>
      </w:r>
      <w:r w:rsidRPr="00D31749">
        <w:rPr>
          <w:rFonts w:eastAsia="Times New Roman"/>
          <w:lang w:val="fr-FR" w:eastAsia="en-US"/>
        </w:rPr>
        <w:t xml:space="preserve"> – Un</w:t>
      </w:r>
      <w:r w:rsidR="004949E3">
        <w:rPr>
          <w:rFonts w:eastAsia="Times New Roman"/>
          <w:lang w:val="fr-FR" w:eastAsia="en-US"/>
        </w:rPr>
        <w:t>e</w:t>
      </w:r>
      <w:r w:rsidRPr="00D31749">
        <w:rPr>
          <w:rFonts w:eastAsia="Times New Roman"/>
          <w:lang w:val="fr-FR" w:eastAsia="en-US"/>
        </w:rPr>
        <w:t xml:space="preserve"> F</w:t>
      </w:r>
      <w:r w:rsidR="004949E3">
        <w:rPr>
          <w:rFonts w:eastAsia="Times New Roman"/>
          <w:lang w:val="fr-FR" w:eastAsia="en-US"/>
        </w:rPr>
        <w:t>oi</w:t>
      </w:r>
      <w:r w:rsidR="00B532ED">
        <w:rPr>
          <w:rFonts w:eastAsia="Times New Roman"/>
          <w:lang w:val="fr-FR" w:eastAsia="en-US"/>
        </w:rPr>
        <w:tab/>
      </w:r>
      <w:r w:rsidR="00B532ED">
        <w:rPr>
          <w:rFonts w:eastAsia="Times New Roman"/>
          <w:lang w:val="fr-FR" w:eastAsia="en-US"/>
        </w:rPr>
        <w:tab/>
      </w:r>
      <w:r w:rsidRPr="00D31749">
        <w:rPr>
          <w:rFonts w:eastAsia="Times New Roman"/>
          <w:b/>
          <w:sz w:val="32"/>
          <w:szCs w:val="32"/>
          <w:lang w:val="fr-FR" w:eastAsia="en-US"/>
        </w:rPr>
        <w:t>00285</w:t>
      </w:r>
    </w:p>
    <w:p w:rsidR="00D31749" w:rsidRDefault="00D33DF3" w:rsidP="00D33DF3">
      <w:pPr>
        <w:rPr>
          <w:rFonts w:eastAsia="Times New Roman"/>
          <w:lang w:eastAsia="en-US"/>
        </w:rPr>
      </w:pPr>
      <w:r w:rsidRPr="0081310A">
        <w:rPr>
          <w:rFonts w:eastAsia="Times New Roman"/>
          <w:noProof/>
          <w:lang w:eastAsia="es-ES"/>
        </w:rPr>
        <w:drawing>
          <wp:inline distT="0" distB="0" distL="0" distR="0" wp14:anchorId="54BBA5E4" wp14:editId="3DD7F0DF">
            <wp:extent cx="973557" cy="766177"/>
            <wp:effectExtent l="0" t="0" r="0" b="0"/>
            <wp:docPr id="2" name="Picture 2" descr="https://appablog.files.wordpress.com/2013/06/blason.jpg?w=500&amp;h=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pablog.files.wordpress.com/2013/06/blason.jpg?w=500&amp;h=210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753"/>
                    <a:stretch/>
                  </pic:blipFill>
                  <pic:spPr bwMode="auto">
                    <a:xfrm>
                      <a:off x="0" y="0"/>
                      <a:ext cx="978677" cy="770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1749" w:rsidRPr="00B50D10" w:rsidRDefault="00D31749" w:rsidP="00D31749">
      <w:pPr>
        <w:rPr>
          <w:rFonts w:eastAsia="Times New Roman"/>
          <w:lang w:val="en-US" w:eastAsia="en-US"/>
        </w:rPr>
      </w:pPr>
      <w:r w:rsidRPr="00B50D10">
        <w:rPr>
          <w:rFonts w:eastAsia="Times New Roman"/>
          <w:lang w:val="es-ES_tradnl" w:eastAsia="en-US"/>
        </w:rPr>
        <w:t>MISIÓN PERMANENTE</w:t>
      </w:r>
    </w:p>
    <w:p w:rsidR="00D31749" w:rsidRPr="00B50D10" w:rsidRDefault="00D31749" w:rsidP="00D31749">
      <w:pPr>
        <w:rPr>
          <w:rFonts w:eastAsia="Times New Roman"/>
          <w:lang w:val="en-US" w:eastAsia="en-US"/>
        </w:rPr>
      </w:pPr>
      <w:r w:rsidRPr="00B50D10">
        <w:rPr>
          <w:rFonts w:eastAsia="Times New Roman"/>
          <w:lang w:val="es-ES_tradnl" w:eastAsia="en-US"/>
        </w:rPr>
        <w:t>ANTE LA OFICINA DE LAS NACIONES UNIDAS</w:t>
      </w:r>
    </w:p>
    <w:p w:rsidR="00D31749" w:rsidRPr="00B50D10" w:rsidRDefault="00B50D10" w:rsidP="00B532ED">
      <w:pPr>
        <w:tabs>
          <w:tab w:val="left" w:pos="567"/>
        </w:tabs>
        <w:ind w:left="567"/>
        <w:rPr>
          <w:rFonts w:eastAsia="Times New Roman"/>
          <w:lang w:val="en-US" w:eastAsia="en-US"/>
        </w:rPr>
      </w:pPr>
      <w:r w:rsidRPr="00B50D10">
        <w:rPr>
          <w:rFonts w:eastAsia="Times New Roman"/>
          <w:lang w:val="es-ES_tradnl" w:eastAsia="en-US"/>
        </w:rPr>
        <w:t>************</w:t>
      </w:r>
    </w:p>
    <w:p w:rsidR="00D31749" w:rsidRPr="00B50D10" w:rsidRDefault="00B532ED" w:rsidP="00B532ED">
      <w:pPr>
        <w:tabs>
          <w:tab w:val="left" w:pos="5670"/>
        </w:tabs>
        <w:rPr>
          <w:rFonts w:eastAsia="Times New Roman"/>
          <w:lang w:val="en-US" w:eastAsia="en-US"/>
        </w:rPr>
      </w:pPr>
      <w:r>
        <w:rPr>
          <w:rFonts w:eastAsia="Times New Roman"/>
          <w:lang w:val="es-ES_tradnl" w:eastAsia="en-US"/>
        </w:rPr>
        <w:t>EMBAJADA EN SUIZA</w:t>
      </w:r>
      <w:r>
        <w:rPr>
          <w:rFonts w:eastAsia="Times New Roman"/>
          <w:lang w:val="es-ES_tradnl" w:eastAsia="en-US"/>
        </w:rPr>
        <w:tab/>
      </w:r>
      <w:r>
        <w:rPr>
          <w:rFonts w:eastAsia="Times New Roman"/>
          <w:lang w:val="es-ES_tradnl" w:eastAsia="en-US"/>
        </w:rPr>
        <w:tab/>
      </w:r>
      <w:r w:rsidR="00B50D10" w:rsidRPr="00B50D10">
        <w:rPr>
          <w:rFonts w:eastAsia="Times New Roman"/>
          <w:lang w:val="es-ES_tradnl" w:eastAsia="en-US"/>
        </w:rPr>
        <w:t>Ginebra, 16 de junio de 2017</w:t>
      </w:r>
    </w:p>
    <w:p w:rsidR="00D31749" w:rsidRDefault="00D31749" w:rsidP="00D33DF3">
      <w:pPr>
        <w:tabs>
          <w:tab w:val="center" w:pos="4536"/>
          <w:tab w:val="right" w:pos="9072"/>
        </w:tabs>
        <w:rPr>
          <w:rFonts w:eastAsia="Times New Roman"/>
          <w:lang w:val="en-US" w:eastAsia="en-US"/>
        </w:rPr>
      </w:pPr>
    </w:p>
    <w:p w:rsidR="00D31749" w:rsidRDefault="00D31749" w:rsidP="00D33DF3">
      <w:pPr>
        <w:jc w:val="right"/>
        <w:rPr>
          <w:lang w:val="en-US"/>
        </w:rPr>
      </w:pPr>
    </w:p>
    <w:p w:rsidR="00D31749" w:rsidRPr="00CB2506" w:rsidRDefault="0091416D" w:rsidP="0091416D">
      <w:pPr>
        <w:spacing w:after="240" w:line="360" w:lineRule="auto"/>
        <w:jc w:val="both"/>
        <w:rPr>
          <w:lang w:val="es-ES_tradnl"/>
        </w:rPr>
      </w:pPr>
      <w:r w:rsidRPr="0091416D">
        <w:rPr>
          <w:lang w:val="es-ES_tradnl"/>
        </w:rPr>
        <w:t>La Misión Permanente de la República del Senegal ante la Oficina de las Naciones Unidas y otras Organizaciones Internacionales en Ginebra presenta sus atentos saludos a la Secretaría de la Organización Mundial de la Propiedad Intelectual (</w:t>
      </w:r>
      <w:r w:rsidRPr="0091416D">
        <w:rPr>
          <w:b/>
          <w:lang w:val="es-ES_tradnl"/>
        </w:rPr>
        <w:t>OMPI</w:t>
      </w:r>
      <w:r w:rsidRPr="0091416D">
        <w:rPr>
          <w:lang w:val="es-ES_tradnl"/>
        </w:rPr>
        <w:t xml:space="preserve">) y, en su calidad de coordinadora del Grupo Africano </w:t>
      </w:r>
      <w:r w:rsidR="00CB2506">
        <w:rPr>
          <w:lang w:val="es-ES_tradnl"/>
        </w:rPr>
        <w:t>en</w:t>
      </w:r>
      <w:r w:rsidRPr="0091416D">
        <w:rPr>
          <w:lang w:val="es-ES_tradnl"/>
        </w:rPr>
        <w:t xml:space="preserve"> asuntos de propiedad intelectual, tiene el honor de transmitir la </w:t>
      </w:r>
      <w:r w:rsidRPr="00CB2506">
        <w:rPr>
          <w:lang w:val="es-ES_tradnl"/>
        </w:rPr>
        <w:t>propuesta del Grupo Africano en relación con el punto 8 del orde</w:t>
      </w:r>
      <w:r w:rsidR="00CB2506">
        <w:rPr>
          <w:lang w:val="es-ES_tradnl"/>
        </w:rPr>
        <w:t>n del día de la 34ª</w:t>
      </w:r>
      <w:r w:rsidRPr="00CB2506">
        <w:rPr>
          <w:lang w:val="es-ES_tradnl"/>
        </w:rPr>
        <w:t xml:space="preserve"> sesión del Comité Intergubernamental sobre Propiedad Intelectual y Recursos Genéticos,</w:t>
      </w:r>
      <w:r w:rsidRPr="0091416D">
        <w:rPr>
          <w:lang w:val="es-ES_tradnl"/>
        </w:rPr>
        <w:t xml:space="preserve"> Conocimientos Tradicionales y Folclore (CIG), que se celebró en Ginebra del 12 al 16 de junio de 2017.</w:t>
      </w:r>
    </w:p>
    <w:p w:rsidR="00D31749" w:rsidRPr="00FB57E1" w:rsidRDefault="0091416D" w:rsidP="0091416D">
      <w:pPr>
        <w:spacing w:after="240" w:line="360" w:lineRule="auto"/>
        <w:jc w:val="both"/>
        <w:rPr>
          <w:lang w:val="es-ES_tradnl"/>
        </w:rPr>
      </w:pPr>
      <w:r w:rsidRPr="002A6554">
        <w:rPr>
          <w:lang w:val="es-ES_tradnl"/>
        </w:rPr>
        <w:t xml:space="preserve">Cabe recordar que esta propuesta, que ya se formuló durante las negociaciones informales, se </w:t>
      </w:r>
      <w:r w:rsidRPr="00CB2506">
        <w:rPr>
          <w:lang w:val="es-ES_tradnl"/>
        </w:rPr>
        <w:t>presenta de nuevo para su examen formal en vista del 57° período de sesiones de la Asamblea General</w:t>
      </w:r>
      <w:r w:rsidR="00FB57E1" w:rsidRPr="00CB2506">
        <w:rPr>
          <w:lang w:val="es-ES_tradnl"/>
        </w:rPr>
        <w:t xml:space="preserve"> de la OMPI</w:t>
      </w:r>
      <w:r w:rsidRPr="00CB2506">
        <w:rPr>
          <w:lang w:val="es-ES_tradnl"/>
        </w:rPr>
        <w:t>, que se celebrará del 2 al 11 de octubre de 2017.</w:t>
      </w:r>
    </w:p>
    <w:p w:rsidR="00D31749" w:rsidRPr="00CB2506" w:rsidRDefault="003018DD" w:rsidP="003018DD">
      <w:pPr>
        <w:spacing w:after="240" w:line="360" w:lineRule="auto"/>
        <w:jc w:val="both"/>
        <w:rPr>
          <w:lang w:val="es-ES_tradnl"/>
        </w:rPr>
      </w:pPr>
      <w:r w:rsidRPr="003018DD">
        <w:rPr>
          <w:lang w:val="es-ES_tradnl"/>
        </w:rPr>
        <w:t xml:space="preserve">La Misión Permanente del Senegal ante la Oficina de las Naciones Unidas y otras Organizaciones Internacionales con Sede en Ginebra aprovecha la ocasión para reiterar a la </w:t>
      </w:r>
      <w:r w:rsidR="00CB2506">
        <w:rPr>
          <w:lang w:val="es-ES_tradnl"/>
        </w:rPr>
        <w:t>Secretaría de la OMPI</w:t>
      </w:r>
      <w:r w:rsidRPr="00CB2506">
        <w:rPr>
          <w:lang w:val="es-ES_tradnl"/>
        </w:rPr>
        <w:t xml:space="preserve"> el testimonio de su</w:t>
      </w:r>
      <w:r w:rsidRPr="003018DD">
        <w:rPr>
          <w:lang w:val="es-ES_tradnl"/>
        </w:rPr>
        <w:t xml:space="preserve"> más alta consideración.</w:t>
      </w:r>
    </w:p>
    <w:p w:rsidR="00D31749" w:rsidRPr="00CB2506" w:rsidRDefault="00D31749" w:rsidP="00D33DF3">
      <w:pPr>
        <w:spacing w:line="360" w:lineRule="auto"/>
        <w:jc w:val="both"/>
        <w:rPr>
          <w:b/>
          <w:smallCaps/>
          <w:lang w:val="es-ES_tradnl"/>
        </w:rPr>
      </w:pPr>
    </w:p>
    <w:p w:rsidR="0091416D" w:rsidRDefault="00D33DF3" w:rsidP="00D33DF3">
      <w:pPr>
        <w:spacing w:line="360" w:lineRule="auto"/>
        <w:jc w:val="both"/>
        <w:rPr>
          <w:b/>
          <w:smallCaps/>
          <w:lang w:val="es-ES_tradnl"/>
        </w:rPr>
      </w:pPr>
      <w:r>
        <w:rPr>
          <w:rFonts w:eastAsia="Calibri"/>
          <w:b/>
          <w:noProof/>
          <w:szCs w:val="22"/>
          <w:lang w:eastAsia="es-ES"/>
        </w:rPr>
        <w:drawing>
          <wp:anchor distT="0" distB="0" distL="114300" distR="114300" simplePos="0" relativeHeight="251659264" behindDoc="0" locked="0" layoutInCell="1" allowOverlap="1" wp14:anchorId="5E0D8DD9" wp14:editId="49079AAB">
            <wp:simplePos x="0" y="0"/>
            <wp:positionH relativeFrom="margin">
              <wp:posOffset>3927475</wp:posOffset>
            </wp:positionH>
            <wp:positionV relativeFrom="margin">
              <wp:posOffset>6071235</wp:posOffset>
            </wp:positionV>
            <wp:extent cx="1275715" cy="1188720"/>
            <wp:effectExtent l="0" t="0" r="63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416D" w:rsidRPr="0091416D">
        <w:rPr>
          <w:b/>
          <w:smallCaps/>
          <w:lang w:val="es-ES_tradnl"/>
        </w:rPr>
        <w:t>O</w:t>
      </w:r>
      <w:r w:rsidRPr="0091416D">
        <w:rPr>
          <w:b/>
          <w:smallCaps/>
          <w:lang w:val="es-ES_tradnl"/>
        </w:rPr>
        <w:t>r</w:t>
      </w:r>
      <w:r w:rsidR="0091416D" w:rsidRPr="0091416D">
        <w:rPr>
          <w:b/>
          <w:smallCaps/>
          <w:lang w:val="es-ES_tradnl"/>
        </w:rPr>
        <w:t xml:space="preserve">ganización Mundial de la </w:t>
      </w:r>
    </w:p>
    <w:p w:rsidR="00D31749" w:rsidRPr="003018DD" w:rsidRDefault="00D33DF3" w:rsidP="0091416D">
      <w:pPr>
        <w:spacing w:line="360" w:lineRule="auto"/>
        <w:jc w:val="both"/>
        <w:rPr>
          <w:b/>
          <w:smallCaps/>
          <w:lang w:val="en-US"/>
        </w:rPr>
      </w:pPr>
      <w:r w:rsidRPr="003018DD">
        <w:rPr>
          <w:b/>
          <w:smallCaps/>
          <w:lang w:val="en-US"/>
        </w:rPr>
        <w:t>Prop</w:t>
      </w:r>
      <w:r w:rsidR="0091416D" w:rsidRPr="003018DD">
        <w:rPr>
          <w:b/>
          <w:smallCaps/>
          <w:lang w:val="en-US"/>
        </w:rPr>
        <w:t>iedad Intelectual (</w:t>
      </w:r>
      <w:r w:rsidRPr="003018DD">
        <w:rPr>
          <w:b/>
          <w:smallCaps/>
          <w:lang w:val="en-US"/>
        </w:rPr>
        <w:t>O</w:t>
      </w:r>
      <w:r w:rsidR="0091416D" w:rsidRPr="003018DD">
        <w:rPr>
          <w:b/>
          <w:smallCaps/>
          <w:lang w:val="en-US"/>
        </w:rPr>
        <w:t>MPI</w:t>
      </w:r>
      <w:r w:rsidRPr="003018DD">
        <w:rPr>
          <w:b/>
          <w:smallCaps/>
          <w:lang w:val="en-US"/>
        </w:rPr>
        <w:t>)</w:t>
      </w:r>
      <w:r w:rsidRPr="003018DD">
        <w:rPr>
          <w:rFonts w:eastAsia="Calibri"/>
          <w:b/>
          <w:noProof/>
          <w:szCs w:val="22"/>
          <w:lang w:val="en-US" w:eastAsia="en-US"/>
        </w:rPr>
        <w:t xml:space="preserve"> </w:t>
      </w:r>
    </w:p>
    <w:p w:rsidR="00D31749" w:rsidRDefault="00B50D10" w:rsidP="00D33DF3">
      <w:pPr>
        <w:spacing w:after="240" w:line="360" w:lineRule="auto"/>
        <w:jc w:val="both"/>
        <w:rPr>
          <w:b/>
          <w:smallCaps/>
          <w:u w:val="single"/>
          <w:lang w:val="en-US"/>
        </w:rPr>
      </w:pPr>
      <w:r>
        <w:rPr>
          <w:b/>
          <w:smallCaps/>
          <w:u w:val="single"/>
          <w:lang w:val="en-US"/>
        </w:rPr>
        <w:t>Gi</w:t>
      </w:r>
      <w:r w:rsidR="00D33DF3" w:rsidRPr="00B134A7">
        <w:rPr>
          <w:b/>
          <w:smallCaps/>
          <w:u w:val="single"/>
          <w:lang w:val="en-US"/>
        </w:rPr>
        <w:t>ne</w:t>
      </w:r>
      <w:r>
        <w:rPr>
          <w:b/>
          <w:smallCaps/>
          <w:u w:val="single"/>
          <w:lang w:val="en-US"/>
        </w:rPr>
        <w:t>br</w:t>
      </w:r>
      <w:r w:rsidR="00D33DF3" w:rsidRPr="00B134A7">
        <w:rPr>
          <w:b/>
          <w:smallCaps/>
          <w:u w:val="single"/>
          <w:lang w:val="en-US"/>
        </w:rPr>
        <w:t>a</w:t>
      </w:r>
    </w:p>
    <w:p w:rsidR="00D31749" w:rsidRDefault="00D31749" w:rsidP="00D33DF3">
      <w:pPr>
        <w:spacing w:line="259" w:lineRule="auto"/>
        <w:jc w:val="center"/>
        <w:rPr>
          <w:rFonts w:eastAsia="Calibri"/>
          <w:b/>
          <w:szCs w:val="22"/>
          <w:lang w:val="en-US" w:eastAsia="en-US"/>
        </w:rPr>
      </w:pPr>
    </w:p>
    <w:p w:rsidR="00D31749" w:rsidRDefault="00D31749" w:rsidP="00D33DF3">
      <w:pPr>
        <w:spacing w:line="259" w:lineRule="auto"/>
        <w:jc w:val="center"/>
        <w:rPr>
          <w:rFonts w:eastAsia="Calibri"/>
          <w:b/>
          <w:szCs w:val="22"/>
          <w:lang w:val="en-US" w:eastAsia="en-US"/>
        </w:rPr>
      </w:pPr>
    </w:p>
    <w:p w:rsidR="00D31749" w:rsidRDefault="00D31749" w:rsidP="00D33DF3">
      <w:pPr>
        <w:spacing w:line="259" w:lineRule="auto"/>
        <w:jc w:val="center"/>
        <w:rPr>
          <w:rFonts w:eastAsia="Calibri"/>
          <w:b/>
          <w:szCs w:val="22"/>
          <w:lang w:val="en-US" w:eastAsia="en-US"/>
        </w:rPr>
      </w:pPr>
    </w:p>
    <w:p w:rsidR="00D31749" w:rsidRDefault="00D31749" w:rsidP="00D33DF3">
      <w:pPr>
        <w:spacing w:line="259" w:lineRule="auto"/>
        <w:jc w:val="center"/>
        <w:rPr>
          <w:rFonts w:eastAsia="Calibri"/>
          <w:b/>
          <w:szCs w:val="22"/>
          <w:lang w:val="en-US" w:eastAsia="en-US"/>
        </w:rPr>
      </w:pPr>
    </w:p>
    <w:p w:rsidR="00D31749" w:rsidRDefault="00D31749" w:rsidP="00D33DF3">
      <w:pPr>
        <w:spacing w:line="259" w:lineRule="auto"/>
        <w:jc w:val="center"/>
        <w:rPr>
          <w:rFonts w:eastAsia="Calibri"/>
          <w:b/>
          <w:szCs w:val="22"/>
          <w:lang w:val="en-US" w:eastAsia="en-US"/>
        </w:rPr>
      </w:pPr>
    </w:p>
    <w:p w:rsidR="00D31749" w:rsidRDefault="00D31749" w:rsidP="00D33DF3">
      <w:pPr>
        <w:spacing w:line="259" w:lineRule="auto"/>
        <w:jc w:val="center"/>
        <w:rPr>
          <w:rFonts w:eastAsia="Calibri"/>
          <w:b/>
          <w:szCs w:val="22"/>
          <w:lang w:val="en-US" w:eastAsia="en-US"/>
        </w:rPr>
      </w:pPr>
    </w:p>
    <w:p w:rsidR="00D31749" w:rsidRDefault="00D31749" w:rsidP="00D33DF3">
      <w:pPr>
        <w:spacing w:line="259" w:lineRule="auto"/>
        <w:jc w:val="center"/>
        <w:rPr>
          <w:rFonts w:eastAsia="Calibri"/>
          <w:b/>
          <w:szCs w:val="22"/>
          <w:lang w:val="en-US" w:eastAsia="en-US"/>
        </w:rPr>
      </w:pPr>
    </w:p>
    <w:p w:rsidR="00D31749" w:rsidRPr="00CB2506" w:rsidRDefault="00D33DF3" w:rsidP="00D33DF3">
      <w:pPr>
        <w:pStyle w:val="ListParagraph"/>
        <w:spacing w:line="259" w:lineRule="auto"/>
        <w:ind w:left="0"/>
        <w:jc w:val="center"/>
        <w:rPr>
          <w:rFonts w:ascii="Arial" w:hAnsi="Arial" w:cs="Arial"/>
          <w:b/>
          <w:lang w:val="es-ES_tradnl"/>
        </w:rPr>
      </w:pPr>
      <w:r w:rsidRPr="00CB2506">
        <w:rPr>
          <w:rFonts w:ascii="Arial" w:eastAsia="Times New Roman" w:hAnsi="Arial" w:cs="Arial"/>
          <w:lang w:val="es-ES_tradnl"/>
        </w:rPr>
        <w:t>–</w:t>
      </w:r>
      <w:r w:rsidR="00CB2506" w:rsidRPr="00CB2506">
        <w:rPr>
          <w:rFonts w:ascii="Arial" w:hAnsi="Arial" w:cs="Arial"/>
          <w:b/>
          <w:lang w:val="es-ES_tradnl"/>
        </w:rPr>
        <w:t xml:space="preserve"> </w:t>
      </w:r>
      <w:r w:rsidR="003018DD" w:rsidRPr="00CB2506">
        <w:rPr>
          <w:rFonts w:ascii="Arial" w:hAnsi="Arial" w:cs="Arial"/>
          <w:b/>
          <w:lang w:val="es-ES_tradnl"/>
        </w:rPr>
        <w:t>Tra</w:t>
      </w:r>
      <w:r w:rsidR="00CB2506" w:rsidRPr="00CB2506">
        <w:rPr>
          <w:rFonts w:ascii="Arial" w:hAnsi="Arial" w:cs="Arial"/>
          <w:b/>
          <w:lang w:val="es-ES_tradnl"/>
        </w:rPr>
        <w:t xml:space="preserve">ducción </w:t>
      </w:r>
      <w:r w:rsidR="00B532ED">
        <w:rPr>
          <w:rFonts w:ascii="Arial" w:hAnsi="Arial" w:cs="Arial"/>
          <w:b/>
          <w:lang w:val="es-ES_tradnl"/>
        </w:rPr>
        <w:t xml:space="preserve">oficiosa por la </w:t>
      </w:r>
      <w:r w:rsidR="00B532ED" w:rsidRPr="00B532ED">
        <w:rPr>
          <w:rFonts w:ascii="Arial" w:hAnsi="Arial" w:cs="Arial"/>
          <w:b/>
          <w:lang w:val="es-ES_tradnl"/>
        </w:rPr>
        <w:t>Oficina</w:t>
      </w:r>
      <w:r w:rsidR="00B532ED">
        <w:rPr>
          <w:rFonts w:ascii="Arial" w:hAnsi="Arial" w:cs="Arial"/>
          <w:b/>
          <w:lang w:val="es-ES_tradnl"/>
        </w:rPr>
        <w:t xml:space="preserve"> Internacional  </w:t>
      </w:r>
      <w:r w:rsidR="00CB2506" w:rsidRPr="00CB2506">
        <w:rPr>
          <w:rFonts w:ascii="Arial" w:hAnsi="Arial" w:cs="Arial"/>
          <w:b/>
          <w:lang w:val="es-ES_tradnl"/>
        </w:rPr>
        <w:t>del original en francés</w:t>
      </w:r>
      <w:r w:rsidRPr="00CB2506">
        <w:rPr>
          <w:rFonts w:ascii="Arial" w:hAnsi="Arial" w:cs="Arial"/>
          <w:b/>
          <w:lang w:val="es-ES_tradnl"/>
        </w:rPr>
        <w:t xml:space="preserve"> </w:t>
      </w:r>
      <w:r w:rsidRPr="00CB2506">
        <w:rPr>
          <w:rFonts w:ascii="Arial" w:eastAsia="Times New Roman" w:hAnsi="Arial" w:cs="Arial"/>
          <w:lang w:val="es-ES_tradnl"/>
        </w:rPr>
        <w:t>–</w:t>
      </w:r>
    </w:p>
    <w:p w:rsidR="00D31749" w:rsidRPr="00CB2506" w:rsidRDefault="00D33DF3" w:rsidP="00D33DF3">
      <w:pPr>
        <w:spacing w:line="259" w:lineRule="auto"/>
        <w:jc w:val="center"/>
        <w:rPr>
          <w:rFonts w:eastAsia="Calibri"/>
          <w:b/>
          <w:szCs w:val="22"/>
          <w:lang w:val="es-ES_tradnl" w:eastAsia="en-US"/>
        </w:rPr>
      </w:pPr>
      <w:r w:rsidRPr="00CB2506">
        <w:rPr>
          <w:rFonts w:eastAsia="Calibri"/>
          <w:b/>
          <w:szCs w:val="22"/>
          <w:lang w:val="es-ES_tradnl" w:eastAsia="en-US"/>
        </w:rPr>
        <w:br w:type="page"/>
      </w:r>
    </w:p>
    <w:p w:rsidR="00D31749" w:rsidRPr="00CB2506" w:rsidRDefault="00D31749" w:rsidP="00D33DF3">
      <w:pPr>
        <w:spacing w:line="259" w:lineRule="auto"/>
        <w:jc w:val="center"/>
        <w:rPr>
          <w:rFonts w:eastAsia="Calibri"/>
          <w:b/>
          <w:szCs w:val="22"/>
          <w:lang w:val="es-ES_tradnl" w:eastAsia="en-US"/>
        </w:rPr>
      </w:pPr>
    </w:p>
    <w:p w:rsidR="00D31749" w:rsidRPr="00CB2506" w:rsidRDefault="007415BA" w:rsidP="0064216B">
      <w:pPr>
        <w:jc w:val="center"/>
        <w:rPr>
          <w:rFonts w:eastAsia="Calibri"/>
          <w:b/>
          <w:szCs w:val="22"/>
          <w:lang w:val="es-ES_tradnl" w:eastAsia="en-US"/>
        </w:rPr>
      </w:pPr>
      <w:r>
        <w:rPr>
          <w:rFonts w:eastAsia="Calibri"/>
          <w:b/>
          <w:szCs w:val="22"/>
          <w:lang w:val="es-ES_tradnl" w:eastAsia="en-US"/>
        </w:rPr>
        <w:t>Recomendación de la 34ª s</w:t>
      </w:r>
      <w:r w:rsidR="0064216B" w:rsidRPr="0064216B">
        <w:rPr>
          <w:rFonts w:eastAsia="Calibri"/>
          <w:b/>
          <w:szCs w:val="22"/>
          <w:lang w:val="es-ES_tradnl" w:eastAsia="en-US"/>
        </w:rPr>
        <w:t xml:space="preserve">esión del Comité Intergubernamental sobre Propiedad Intelectual y Recursos Genéticos, Conocimientos Tradicionales y Folclore (CIG) a las </w:t>
      </w:r>
      <w:r w:rsidR="0064216B" w:rsidRPr="00CB2506">
        <w:rPr>
          <w:rFonts w:eastAsia="Calibri"/>
          <w:b/>
          <w:szCs w:val="22"/>
          <w:lang w:val="es-ES_tradnl" w:eastAsia="en-US"/>
        </w:rPr>
        <w:t xml:space="preserve">Asambleas de los Estados miembros de la OMPI en su 57ª serie de reuniones, </w:t>
      </w:r>
      <w:r w:rsidR="00CB2506">
        <w:rPr>
          <w:rFonts w:eastAsia="Calibri"/>
          <w:b/>
          <w:szCs w:val="22"/>
          <w:lang w:val="es-ES_tradnl" w:eastAsia="en-US"/>
        </w:rPr>
        <w:t>2 a</w:t>
      </w:r>
      <w:r w:rsidR="0064216B" w:rsidRPr="00CB2506">
        <w:rPr>
          <w:rFonts w:eastAsia="Calibri"/>
          <w:b/>
          <w:szCs w:val="22"/>
          <w:lang w:val="es-ES_tradnl" w:eastAsia="en-US"/>
        </w:rPr>
        <w:t xml:space="preserve"> 11 de octubre de 2017</w:t>
      </w:r>
    </w:p>
    <w:p w:rsidR="00D31749" w:rsidRPr="00CB2506" w:rsidRDefault="00D31749" w:rsidP="00D33DF3">
      <w:pPr>
        <w:jc w:val="center"/>
        <w:rPr>
          <w:rFonts w:eastAsia="Calibri"/>
          <w:b/>
          <w:szCs w:val="22"/>
          <w:lang w:val="es-ES_tradnl" w:eastAsia="en-US"/>
        </w:rPr>
      </w:pPr>
    </w:p>
    <w:p w:rsidR="00D31749" w:rsidRPr="0064216B" w:rsidRDefault="0064216B" w:rsidP="0064216B">
      <w:pPr>
        <w:jc w:val="center"/>
        <w:rPr>
          <w:rFonts w:eastAsia="Calibri"/>
          <w:b/>
          <w:szCs w:val="22"/>
          <w:lang w:val="en-US" w:eastAsia="en-US"/>
        </w:rPr>
      </w:pPr>
      <w:r w:rsidRPr="0064216B">
        <w:rPr>
          <w:rFonts w:eastAsia="Calibri"/>
          <w:b/>
          <w:szCs w:val="22"/>
          <w:lang w:val="es-ES_tradnl" w:eastAsia="en-US"/>
        </w:rPr>
        <w:t>PROGRAMA DE TRABAJO DEL CIG PARA EL BIENIO 2018/19</w:t>
      </w:r>
    </w:p>
    <w:p w:rsidR="00D31749" w:rsidRDefault="00D31749" w:rsidP="00D33DF3">
      <w:pPr>
        <w:rPr>
          <w:rFonts w:eastAsia="Calibri"/>
          <w:szCs w:val="22"/>
          <w:lang w:val="en-US" w:eastAsia="en-US"/>
        </w:rPr>
      </w:pPr>
    </w:p>
    <w:p w:rsidR="00D31749" w:rsidRDefault="00D31749" w:rsidP="00D33DF3">
      <w:pPr>
        <w:rPr>
          <w:rFonts w:eastAsia="Calibri"/>
          <w:szCs w:val="22"/>
          <w:lang w:val="en-US" w:eastAsia="en-US"/>
        </w:rPr>
      </w:pPr>
    </w:p>
    <w:p w:rsidR="00D31749" w:rsidRPr="00CB2506" w:rsidRDefault="006F3E8B" w:rsidP="006F3E8B">
      <w:pPr>
        <w:rPr>
          <w:rFonts w:eastAsia="Calibri"/>
          <w:szCs w:val="22"/>
          <w:lang w:val="es-ES_tradnl" w:eastAsia="en-US"/>
        </w:rPr>
      </w:pPr>
      <w:r w:rsidRPr="006F3E8B">
        <w:rPr>
          <w:rFonts w:eastAsia="Calibri"/>
          <w:color w:val="000000"/>
          <w:szCs w:val="22"/>
          <w:lang w:val="es-ES_tradnl" w:eastAsia="en-US"/>
        </w:rPr>
        <w:t xml:space="preserve">Teniendo presentes las recomendaciones de la Agenda para el Desarrollo y reconociendo los </w:t>
      </w:r>
      <w:r w:rsidRPr="00CB2506">
        <w:rPr>
          <w:rFonts w:eastAsia="Calibri"/>
          <w:color w:val="000000"/>
          <w:szCs w:val="22"/>
          <w:lang w:val="es-ES_tradnl" w:eastAsia="en-US"/>
        </w:rPr>
        <w:t>avances efectuados, la Asamblea General de la OMPI conviene en prorrogar el mandato del</w:t>
      </w:r>
      <w:r w:rsidRPr="006F3E8B">
        <w:rPr>
          <w:rFonts w:eastAsia="Calibri"/>
          <w:color w:val="000000"/>
          <w:szCs w:val="22"/>
          <w:lang w:val="es-ES_tradnl" w:eastAsia="en-US"/>
        </w:rPr>
        <w:t xml:space="preserve"> Comité Intergubernamental sobre Propiedad Intelectual y Recursos Genéticos, Conocimientos Tradicionales y </w:t>
      </w:r>
      <w:r w:rsidR="00CB2506">
        <w:rPr>
          <w:rFonts w:eastAsia="Calibri"/>
          <w:color w:val="000000"/>
          <w:szCs w:val="22"/>
          <w:lang w:val="es-ES_tradnl" w:eastAsia="en-US"/>
        </w:rPr>
        <w:t xml:space="preserve">Folclore (el Comité) </w:t>
      </w:r>
      <w:r w:rsidRPr="006F3E8B">
        <w:rPr>
          <w:rFonts w:eastAsia="Calibri"/>
          <w:color w:val="000000"/>
          <w:szCs w:val="22"/>
          <w:lang w:val="es-ES_tradnl" w:eastAsia="en-US"/>
        </w:rPr>
        <w:t>sin perjuicio de la labor que se llev</w:t>
      </w:r>
      <w:r w:rsidR="004949E3">
        <w:rPr>
          <w:rFonts w:eastAsia="Calibri"/>
          <w:color w:val="000000"/>
          <w:szCs w:val="22"/>
          <w:lang w:val="es-ES_tradnl" w:eastAsia="en-US"/>
        </w:rPr>
        <w:t>e</w:t>
      </w:r>
      <w:r w:rsidRPr="006F3E8B">
        <w:rPr>
          <w:rFonts w:eastAsia="Calibri"/>
          <w:color w:val="000000"/>
          <w:szCs w:val="22"/>
          <w:lang w:val="es-ES_tradnl" w:eastAsia="en-US"/>
        </w:rPr>
        <w:t xml:space="preserve"> a cabo en otras instancias</w:t>
      </w:r>
      <w:r w:rsidR="00CB2506">
        <w:rPr>
          <w:rFonts w:eastAsia="Calibri"/>
          <w:color w:val="000000"/>
          <w:szCs w:val="22"/>
          <w:lang w:val="es-ES_tradnl" w:eastAsia="en-US"/>
        </w:rPr>
        <w:t>, y con ese fin</w:t>
      </w:r>
      <w:r w:rsidRPr="006F3E8B">
        <w:rPr>
          <w:rFonts w:eastAsia="Calibri"/>
          <w:color w:val="000000"/>
          <w:szCs w:val="22"/>
          <w:lang w:val="es-ES_tradnl" w:eastAsia="en-US"/>
        </w:rPr>
        <w:t>:</w:t>
      </w:r>
      <w:r w:rsidR="00D33DF3" w:rsidRPr="00CB2506">
        <w:rPr>
          <w:rFonts w:eastAsia="Calibri"/>
          <w:szCs w:val="22"/>
          <w:lang w:val="es-ES_tradnl" w:eastAsia="en-US"/>
        </w:rPr>
        <w:t xml:space="preserve"> </w:t>
      </w:r>
    </w:p>
    <w:p w:rsidR="00D31749" w:rsidRPr="00CB2506" w:rsidRDefault="00D31749" w:rsidP="00D33DF3">
      <w:pPr>
        <w:rPr>
          <w:rFonts w:eastAsia="Calibri"/>
          <w:szCs w:val="22"/>
          <w:lang w:val="es-ES_tradnl" w:eastAsia="en-US"/>
        </w:rPr>
      </w:pPr>
    </w:p>
    <w:p w:rsidR="00D31749" w:rsidRPr="006F3E8B" w:rsidRDefault="00CB2506" w:rsidP="00B532ED">
      <w:pPr>
        <w:numPr>
          <w:ilvl w:val="0"/>
          <w:numId w:val="8"/>
        </w:numPr>
        <w:ind w:left="709" w:hanging="425"/>
        <w:rPr>
          <w:rFonts w:eastAsia="Calibri"/>
          <w:szCs w:val="22"/>
          <w:lang w:val="en-US" w:eastAsia="en-US"/>
        </w:rPr>
      </w:pPr>
      <w:r w:rsidRPr="00CB2506">
        <w:rPr>
          <w:rFonts w:eastAsia="Calibri"/>
          <w:szCs w:val="22"/>
          <w:lang w:val="es-ES_tradnl" w:eastAsia="en-US"/>
        </w:rPr>
        <w:t>A</w:t>
      </w:r>
      <w:r w:rsidR="006F3E8B" w:rsidRPr="00CB2506">
        <w:rPr>
          <w:rFonts w:eastAsia="Calibri"/>
          <w:szCs w:val="22"/>
          <w:lang w:val="es-ES_tradnl" w:eastAsia="en-US"/>
        </w:rPr>
        <w:t>firma la importancia de los debates ce</w:t>
      </w:r>
      <w:r w:rsidR="004949E3">
        <w:rPr>
          <w:rFonts w:eastAsia="Calibri"/>
          <w:szCs w:val="22"/>
          <w:lang w:val="es-ES_tradnl" w:eastAsia="en-US"/>
        </w:rPr>
        <w:t>lebrados en el seno del Comité acerca de</w:t>
      </w:r>
      <w:r w:rsidR="006F3E8B" w:rsidRPr="00CB2506">
        <w:rPr>
          <w:rFonts w:eastAsia="Calibri"/>
          <w:szCs w:val="22"/>
          <w:lang w:val="es-ES_tradnl" w:eastAsia="en-US"/>
        </w:rPr>
        <w:t xml:space="preserve"> los</w:t>
      </w:r>
      <w:r w:rsidR="006F3E8B" w:rsidRPr="006F3E8B">
        <w:rPr>
          <w:rFonts w:eastAsia="Calibri"/>
          <w:szCs w:val="22"/>
          <w:lang w:val="es-ES_tradnl" w:eastAsia="en-US"/>
        </w:rPr>
        <w:t xml:space="preserve"> Recursos Genéticos (RR.GG.), los Conocimientos Tradicionales (CC.TT.) y las Expresiones Culturales Tradicionales (ECT).</w:t>
      </w:r>
    </w:p>
    <w:p w:rsidR="00D31749" w:rsidRPr="006F3E8B" w:rsidRDefault="00D31749" w:rsidP="00B532ED">
      <w:pPr>
        <w:rPr>
          <w:rFonts w:eastAsia="Calibri"/>
          <w:szCs w:val="22"/>
          <w:lang w:val="en-US" w:eastAsia="en-US"/>
        </w:rPr>
      </w:pPr>
    </w:p>
    <w:p w:rsidR="00D31749" w:rsidRPr="006F3E8B" w:rsidRDefault="006F3E8B" w:rsidP="00B532ED">
      <w:pPr>
        <w:numPr>
          <w:ilvl w:val="0"/>
          <w:numId w:val="8"/>
        </w:numPr>
        <w:ind w:left="709" w:hanging="425"/>
        <w:rPr>
          <w:rFonts w:eastAsia="Calibri"/>
          <w:szCs w:val="22"/>
          <w:lang w:val="en-US" w:eastAsia="en-US"/>
        </w:rPr>
      </w:pPr>
      <w:r w:rsidRPr="00CB2506">
        <w:rPr>
          <w:rFonts w:eastAsia="Calibri"/>
          <w:szCs w:val="22"/>
          <w:lang w:val="es-ES_tradnl" w:eastAsia="en-US"/>
        </w:rPr>
        <w:t>Reconoce los distintos grados de madurez de los tres textos relativos a los RR.GG., los</w:t>
      </w:r>
      <w:r w:rsidRPr="006F3E8B">
        <w:rPr>
          <w:rFonts w:eastAsia="Calibri"/>
          <w:szCs w:val="22"/>
          <w:lang w:val="es-ES_tradnl" w:eastAsia="en-US"/>
        </w:rPr>
        <w:t xml:space="preserve"> CC.TT. y las ECT, que figuran en los documentos WIPO/GRTKF/IC/34/4, WIPO/GRTKF/IC/34/5 y WIPO/GRTKF/IC/34/8 respectivamente.</w:t>
      </w:r>
    </w:p>
    <w:p w:rsidR="00D31749" w:rsidRDefault="00D31749" w:rsidP="00B532ED">
      <w:pPr>
        <w:rPr>
          <w:rFonts w:eastAsia="Calibri"/>
          <w:szCs w:val="22"/>
          <w:lang w:val="en-US" w:eastAsia="en-US"/>
        </w:rPr>
      </w:pPr>
    </w:p>
    <w:p w:rsidR="00D31749" w:rsidRPr="0069478E" w:rsidRDefault="00CB2506" w:rsidP="00B532ED">
      <w:pPr>
        <w:numPr>
          <w:ilvl w:val="0"/>
          <w:numId w:val="8"/>
        </w:numPr>
        <w:ind w:left="709" w:hanging="425"/>
        <w:rPr>
          <w:rFonts w:eastAsia="Calibri"/>
          <w:szCs w:val="22"/>
          <w:lang w:val="en-US" w:eastAsia="en-US"/>
        </w:rPr>
      </w:pPr>
      <w:r>
        <w:rPr>
          <w:rFonts w:eastAsia="Calibri"/>
          <w:szCs w:val="22"/>
          <w:lang w:val="es-ES_tradnl" w:eastAsia="en-US"/>
        </w:rPr>
        <w:t>S</w:t>
      </w:r>
      <w:r w:rsidR="0069478E" w:rsidRPr="0069478E">
        <w:rPr>
          <w:rFonts w:eastAsia="Calibri"/>
          <w:szCs w:val="22"/>
          <w:lang w:val="es-ES_tradnl" w:eastAsia="en-US"/>
        </w:rPr>
        <w:t xml:space="preserve">e compromete a tomar como punto de partida </w:t>
      </w:r>
      <w:r>
        <w:rPr>
          <w:rFonts w:eastAsia="Calibri"/>
          <w:szCs w:val="22"/>
          <w:lang w:val="es-ES_tradnl" w:eastAsia="en-US"/>
        </w:rPr>
        <w:t>en e</w:t>
      </w:r>
      <w:r w:rsidR="00B532ED">
        <w:rPr>
          <w:rFonts w:eastAsia="Calibri"/>
          <w:szCs w:val="22"/>
          <w:lang w:val="es-ES_tradnl" w:eastAsia="en-US"/>
        </w:rPr>
        <w:t>l próximo bienio presupuestario </w:t>
      </w:r>
      <w:r>
        <w:rPr>
          <w:rFonts w:eastAsia="Calibri"/>
          <w:szCs w:val="22"/>
          <w:lang w:val="es-ES_tradnl" w:eastAsia="en-US"/>
        </w:rPr>
        <w:t xml:space="preserve">2018/2019 </w:t>
      </w:r>
      <w:r w:rsidR="0069478E" w:rsidRPr="0069478E">
        <w:rPr>
          <w:rFonts w:eastAsia="Calibri"/>
          <w:szCs w:val="22"/>
          <w:lang w:val="es-ES_tradnl" w:eastAsia="en-US"/>
        </w:rPr>
        <w:t xml:space="preserve">la labor que ya ha efectuado el Comité y a agilizar su labor con miras a reducir los actuales desequilibrios, con participación abierta y plena, incluidas las negociaciones basadas en textos encaminadas a la consecución de un acuerdo, sobre </w:t>
      </w:r>
      <w:r w:rsidR="0069478E" w:rsidRPr="00EC5BE6">
        <w:rPr>
          <w:rFonts w:eastAsia="Calibri"/>
          <w:szCs w:val="22"/>
          <w:lang w:val="es-ES_tradnl" w:eastAsia="en-US"/>
        </w:rPr>
        <w:t>la base de la madurez de los textos, para el establecimiento de uno o varios</w:t>
      </w:r>
      <w:r w:rsidR="0069478E" w:rsidRPr="0069478E">
        <w:rPr>
          <w:rFonts w:eastAsia="Calibri"/>
          <w:szCs w:val="22"/>
          <w:lang w:val="es-ES_tradnl" w:eastAsia="en-US"/>
        </w:rPr>
        <w:t xml:space="preserve"> instrumentos jurídicos internacionales en relación con la P.I. que aseguren la protección eficaz y equilibrada de los RR.GG., los CC.TT. y las ECT.</w:t>
      </w:r>
    </w:p>
    <w:p w:rsidR="00D31749" w:rsidRDefault="00D31749" w:rsidP="00B532ED">
      <w:pPr>
        <w:rPr>
          <w:rFonts w:eastAsia="Calibri"/>
          <w:szCs w:val="22"/>
          <w:lang w:val="en-US" w:eastAsia="en-US"/>
        </w:rPr>
      </w:pPr>
    </w:p>
    <w:p w:rsidR="00D31749" w:rsidRPr="0069478E" w:rsidRDefault="00EC5BE6" w:rsidP="00B532ED">
      <w:pPr>
        <w:numPr>
          <w:ilvl w:val="0"/>
          <w:numId w:val="8"/>
        </w:numPr>
        <w:ind w:left="709" w:hanging="425"/>
        <w:rPr>
          <w:rFonts w:eastAsia="Calibri"/>
          <w:szCs w:val="22"/>
          <w:lang w:val="en-US" w:eastAsia="en-US"/>
        </w:rPr>
      </w:pPr>
      <w:r>
        <w:rPr>
          <w:rFonts w:eastAsia="Calibri"/>
          <w:szCs w:val="22"/>
          <w:lang w:val="es-ES_tradnl" w:eastAsia="en-US"/>
        </w:rPr>
        <w:t>Decide convocar una conferencia d</w:t>
      </w:r>
      <w:r w:rsidR="0069478E" w:rsidRPr="0069478E">
        <w:rPr>
          <w:rFonts w:eastAsia="Calibri"/>
          <w:szCs w:val="22"/>
          <w:lang w:val="es-ES_tradnl" w:eastAsia="en-US"/>
        </w:rPr>
        <w:t>iplomática en el primer trimestre de 2019 para finalizar y adoptar un instrumento jurídicamente vinculante que garantice la protección eficaz y equilibrada de los RR.GG., sin perjuicio de la labor del Comité sobre los CC.TT. y las ECT.</w:t>
      </w:r>
    </w:p>
    <w:p w:rsidR="00D31749" w:rsidRDefault="00D31749" w:rsidP="00B532ED">
      <w:pPr>
        <w:rPr>
          <w:rFonts w:eastAsia="Calibri"/>
          <w:szCs w:val="22"/>
          <w:lang w:val="en-US" w:eastAsia="en-US"/>
        </w:rPr>
      </w:pPr>
    </w:p>
    <w:p w:rsidR="00D31749" w:rsidRPr="00024825" w:rsidRDefault="00024825" w:rsidP="00024825">
      <w:pPr>
        <w:numPr>
          <w:ilvl w:val="0"/>
          <w:numId w:val="8"/>
        </w:numPr>
        <w:rPr>
          <w:rFonts w:eastAsia="Calibri"/>
          <w:szCs w:val="22"/>
          <w:lang w:val="es-ES_tradnl" w:eastAsia="en-US"/>
        </w:rPr>
      </w:pPr>
      <w:r w:rsidRPr="00024825">
        <w:rPr>
          <w:rFonts w:eastAsia="Calibri"/>
          <w:szCs w:val="22"/>
          <w:lang w:val="es-ES_tradnl" w:eastAsia="en-US"/>
        </w:rPr>
        <w:t xml:space="preserve">Reconociendo la necesidad de que se siga trabajando entre sesiones, se compromete a </w:t>
      </w:r>
      <w:r w:rsidRPr="00EC5BE6">
        <w:rPr>
          <w:rFonts w:eastAsia="Calibri"/>
          <w:szCs w:val="22"/>
          <w:lang w:val="es-ES_tradnl" w:eastAsia="en-US"/>
        </w:rPr>
        <w:t xml:space="preserve">establecer </w:t>
      </w:r>
      <w:r w:rsidR="00EC5BE6" w:rsidRPr="00EC5BE6">
        <w:rPr>
          <w:rFonts w:eastAsia="Calibri"/>
          <w:szCs w:val="22"/>
          <w:lang w:val="es-ES_tradnl" w:eastAsia="en-US"/>
        </w:rPr>
        <w:t>un grupo de t</w:t>
      </w:r>
      <w:r w:rsidRPr="00EC5BE6">
        <w:rPr>
          <w:rFonts w:eastAsia="Calibri"/>
          <w:szCs w:val="22"/>
          <w:lang w:val="es-ES_tradnl" w:eastAsia="en-US"/>
        </w:rPr>
        <w:t>rabajo de expertos entre sesiones (EIWG</w:t>
      </w:r>
      <w:r w:rsidR="00EC5BE6">
        <w:rPr>
          <w:rFonts w:eastAsia="Calibri"/>
          <w:szCs w:val="22"/>
          <w:lang w:val="es-ES_tradnl" w:eastAsia="en-US"/>
        </w:rPr>
        <w:t>, pos sus siglas en inglés</w:t>
      </w:r>
      <w:r w:rsidRPr="00EC5BE6">
        <w:rPr>
          <w:rFonts w:eastAsia="Calibri"/>
          <w:szCs w:val="22"/>
          <w:lang w:val="es-ES_tradnl" w:eastAsia="en-US"/>
        </w:rPr>
        <w:t>) que se centre en</w:t>
      </w:r>
      <w:r w:rsidRPr="00024825">
        <w:rPr>
          <w:rFonts w:eastAsia="Calibri"/>
          <w:szCs w:val="22"/>
          <w:lang w:val="es-ES_tradnl" w:eastAsia="en-US"/>
        </w:rPr>
        <w:t xml:space="preserve"> reducir los desequilibrios en el texto consolidado resultante de la 30ª sesión del CIG.  En el marco del Programa 4, la Secretaría tomará disposiciones para organizar reuniones del</w:t>
      </w:r>
      <w:r w:rsidR="00EC5BE6">
        <w:rPr>
          <w:rFonts w:eastAsia="Calibri"/>
          <w:szCs w:val="22"/>
          <w:lang w:val="es-ES_tradnl" w:eastAsia="en-US"/>
        </w:rPr>
        <w:t xml:space="preserve"> EIWG</w:t>
      </w:r>
      <w:r w:rsidRPr="00024825">
        <w:rPr>
          <w:rFonts w:eastAsia="Calibri"/>
          <w:szCs w:val="22"/>
          <w:lang w:val="es-ES_tradnl" w:eastAsia="en-US"/>
        </w:rPr>
        <w:t xml:space="preserve"> en la Sede de la OMPI en Ginebra.  El</w:t>
      </w:r>
      <w:r w:rsidR="00EC5BE6">
        <w:rPr>
          <w:rFonts w:eastAsia="Calibri"/>
          <w:szCs w:val="22"/>
          <w:lang w:val="es-ES_tradnl" w:eastAsia="en-US"/>
        </w:rPr>
        <w:t xml:space="preserve"> EIWG</w:t>
      </w:r>
      <w:r w:rsidRPr="00024825">
        <w:rPr>
          <w:rFonts w:eastAsia="Calibri"/>
          <w:szCs w:val="22"/>
          <w:lang w:val="es-ES_tradnl" w:eastAsia="en-US"/>
        </w:rPr>
        <w:t xml:space="preserve"> estará compuesto por los facilitadores del Comité, cinco representantes de cada grupo regional de la OMPI, dos representantes de la Unión Europea y otros dos del Grupo Oficioso de Representantes Indígenas en la OMPI.</w:t>
      </w:r>
    </w:p>
    <w:p w:rsidR="00D31749" w:rsidRPr="00024825" w:rsidRDefault="00D31749" w:rsidP="00B532ED">
      <w:pPr>
        <w:ind w:left="360"/>
        <w:rPr>
          <w:rFonts w:eastAsia="Calibri"/>
          <w:szCs w:val="22"/>
          <w:lang w:val="es-ES_tradnl" w:eastAsia="en-US"/>
        </w:rPr>
      </w:pPr>
    </w:p>
    <w:p w:rsidR="00D31749" w:rsidRPr="00467366" w:rsidRDefault="00EC5BE6" w:rsidP="00B532ED">
      <w:pPr>
        <w:numPr>
          <w:ilvl w:val="0"/>
          <w:numId w:val="8"/>
        </w:numPr>
        <w:ind w:left="709" w:hanging="425"/>
        <w:rPr>
          <w:rFonts w:eastAsia="Calibri"/>
          <w:szCs w:val="22"/>
          <w:lang w:val="en-US" w:eastAsia="en-US"/>
        </w:rPr>
      </w:pPr>
      <w:r w:rsidRPr="00EC5BE6">
        <w:rPr>
          <w:rFonts w:eastAsia="Calibri"/>
          <w:szCs w:val="22"/>
          <w:lang w:val="es-ES_tradnl" w:eastAsia="en-US"/>
        </w:rPr>
        <w:t>El</w:t>
      </w:r>
      <w:r w:rsidR="00467366" w:rsidRPr="00EC5BE6">
        <w:rPr>
          <w:rFonts w:eastAsia="Calibri"/>
          <w:szCs w:val="22"/>
          <w:lang w:val="es-ES_tradnl" w:eastAsia="en-US"/>
        </w:rPr>
        <w:t xml:space="preserve"> EIWG expondrá los resultados de su labor al Comité para su examen, sobre la base</w:t>
      </w:r>
      <w:r w:rsidR="00467366" w:rsidRPr="00467366">
        <w:rPr>
          <w:rFonts w:eastAsia="Calibri"/>
          <w:szCs w:val="22"/>
          <w:lang w:val="es-ES_tradnl" w:eastAsia="en-US"/>
        </w:rPr>
        <w:t xml:space="preserve"> de un programa clarament</w:t>
      </w:r>
      <w:r>
        <w:rPr>
          <w:rFonts w:eastAsia="Calibri"/>
          <w:szCs w:val="22"/>
          <w:lang w:val="es-ES_tradnl" w:eastAsia="en-US"/>
        </w:rPr>
        <w:t>e definido, según consta en el a</w:t>
      </w:r>
      <w:r w:rsidR="00467366" w:rsidRPr="00467366">
        <w:rPr>
          <w:rFonts w:eastAsia="Calibri"/>
          <w:szCs w:val="22"/>
          <w:lang w:val="es-ES_tradnl" w:eastAsia="en-US"/>
        </w:rPr>
        <w:t>nexo a la presente decisión.</w:t>
      </w:r>
      <w:r w:rsidR="00D33DF3" w:rsidRPr="00EC5BE6">
        <w:rPr>
          <w:rFonts w:eastAsia="Calibri"/>
          <w:szCs w:val="22"/>
          <w:lang w:val="es-ES_tradnl" w:eastAsia="en-US"/>
        </w:rPr>
        <w:t xml:space="preserve"> </w:t>
      </w:r>
      <w:r w:rsidR="00467366" w:rsidRPr="00467366">
        <w:rPr>
          <w:rFonts w:eastAsia="Calibri"/>
          <w:szCs w:val="22"/>
          <w:lang w:val="es-ES_tradnl" w:eastAsia="en-US"/>
        </w:rPr>
        <w:t>En dicho programa</w:t>
      </w:r>
      <w:r w:rsidR="007415BA">
        <w:rPr>
          <w:rFonts w:eastAsia="Calibri"/>
          <w:szCs w:val="22"/>
          <w:lang w:val="es-ES_tradnl" w:eastAsia="en-US"/>
        </w:rPr>
        <w:t xml:space="preserve"> de trabajo se preverán tres reun</w:t>
      </w:r>
      <w:r w:rsidR="00467366" w:rsidRPr="00467366">
        <w:rPr>
          <w:rFonts w:eastAsia="Calibri"/>
          <w:szCs w:val="22"/>
          <w:lang w:val="es-ES_tradnl" w:eastAsia="en-US"/>
        </w:rPr>
        <w:t>iones del EIWG y tres</w:t>
      </w:r>
      <w:r w:rsidR="007415BA">
        <w:rPr>
          <w:rFonts w:eastAsia="Calibri"/>
          <w:szCs w:val="22"/>
          <w:lang w:val="es-ES_tradnl" w:eastAsia="en-US"/>
        </w:rPr>
        <w:t xml:space="preserve"> sesiones</w:t>
      </w:r>
      <w:r w:rsidR="00467366" w:rsidRPr="00467366">
        <w:rPr>
          <w:rFonts w:eastAsia="Calibri"/>
          <w:szCs w:val="22"/>
          <w:lang w:val="es-ES_tradnl" w:eastAsia="en-US"/>
        </w:rPr>
        <w:t xml:space="preserve"> d</w:t>
      </w:r>
      <w:r>
        <w:rPr>
          <w:rFonts w:eastAsia="Calibri"/>
          <w:szCs w:val="22"/>
          <w:lang w:val="es-ES_tradnl" w:eastAsia="en-US"/>
        </w:rPr>
        <w:t>el Comité en 2018, así como un c</w:t>
      </w:r>
      <w:r w:rsidR="00467366" w:rsidRPr="00467366">
        <w:rPr>
          <w:rFonts w:eastAsia="Calibri"/>
          <w:szCs w:val="22"/>
          <w:lang w:val="es-ES_tradnl" w:eastAsia="en-US"/>
        </w:rPr>
        <w:t xml:space="preserve">omité </w:t>
      </w:r>
      <w:r>
        <w:rPr>
          <w:rFonts w:eastAsia="Calibri"/>
          <w:szCs w:val="22"/>
          <w:lang w:val="es-ES_tradnl" w:eastAsia="en-US"/>
        </w:rPr>
        <w:t>preparatorio y una conferencia d</w:t>
      </w:r>
      <w:r w:rsidR="00467366" w:rsidRPr="00467366">
        <w:rPr>
          <w:rFonts w:eastAsia="Calibri"/>
          <w:szCs w:val="22"/>
          <w:lang w:val="es-ES_tradnl" w:eastAsia="en-US"/>
        </w:rPr>
        <w:t>iplomática sobre RR.GG. en el primer trimestre de 2019.</w:t>
      </w:r>
    </w:p>
    <w:p w:rsidR="00D31749" w:rsidRDefault="00D31749" w:rsidP="00B532ED">
      <w:pPr>
        <w:rPr>
          <w:rFonts w:eastAsia="Calibri"/>
          <w:szCs w:val="22"/>
          <w:lang w:val="en-US" w:eastAsia="en-US"/>
        </w:rPr>
      </w:pPr>
    </w:p>
    <w:p w:rsidR="00D31749" w:rsidRPr="00467366" w:rsidRDefault="00467366" w:rsidP="00B532ED">
      <w:pPr>
        <w:numPr>
          <w:ilvl w:val="0"/>
          <w:numId w:val="8"/>
        </w:numPr>
        <w:ind w:left="709" w:hanging="425"/>
        <w:rPr>
          <w:rFonts w:eastAsia="Calibri"/>
          <w:szCs w:val="22"/>
          <w:lang w:val="en-US" w:eastAsia="en-US"/>
        </w:rPr>
      </w:pPr>
      <w:r w:rsidRPr="00467366">
        <w:rPr>
          <w:rFonts w:eastAsia="Calibri"/>
          <w:szCs w:val="22"/>
          <w:lang w:val="es-ES_tradnl" w:eastAsia="en-US"/>
        </w:rPr>
        <w:t xml:space="preserve">El Comité y el EIWG harán uso de todos los documentos de trabajo de la OMPI pertinentes, entre ellos el WIPO/GRTKF/IC/30/4, los resultados del EIWG, y otras contribuciones de los Estados miembros, como estudios y ejemplos de experiencias </w:t>
      </w:r>
      <w:r w:rsidRPr="00467366">
        <w:rPr>
          <w:rFonts w:eastAsia="Calibri"/>
          <w:szCs w:val="22"/>
          <w:lang w:val="es-ES_tradnl" w:eastAsia="en-US"/>
        </w:rPr>
        <w:lastRenderedPageBreak/>
        <w:t>nacionales.</w:t>
      </w:r>
      <w:r w:rsidR="00D33DF3" w:rsidRPr="00467366">
        <w:rPr>
          <w:rFonts w:eastAsia="Calibri"/>
          <w:szCs w:val="22"/>
          <w:lang w:val="en-US" w:eastAsia="en-US"/>
        </w:rPr>
        <w:t xml:space="preserve"> </w:t>
      </w:r>
      <w:r w:rsidRPr="00467366">
        <w:rPr>
          <w:rFonts w:eastAsia="Calibri"/>
          <w:szCs w:val="22"/>
          <w:lang w:val="es-ES_tradnl" w:eastAsia="en-US"/>
        </w:rPr>
        <w:t>No obstante, esas otras contribuciones no deberán retrasar los progresos ni establecer condiciones previas con respecto a las negociaciones.</w:t>
      </w:r>
      <w:r w:rsidR="00D33DF3" w:rsidRPr="00467366">
        <w:rPr>
          <w:rFonts w:eastAsia="Calibri"/>
          <w:szCs w:val="22"/>
          <w:lang w:val="en-US" w:eastAsia="en-US"/>
        </w:rPr>
        <w:t xml:space="preserve"> </w:t>
      </w:r>
    </w:p>
    <w:p w:rsidR="00D31749" w:rsidRDefault="00D31749" w:rsidP="00D33DF3">
      <w:pPr>
        <w:rPr>
          <w:rFonts w:eastAsia="Calibri"/>
          <w:szCs w:val="22"/>
          <w:lang w:val="en-US" w:eastAsia="en-US"/>
        </w:rPr>
      </w:pPr>
    </w:p>
    <w:p w:rsidR="00D31749" w:rsidRPr="00EC5BE6" w:rsidRDefault="00FB57E1" w:rsidP="00B532ED">
      <w:pPr>
        <w:numPr>
          <w:ilvl w:val="0"/>
          <w:numId w:val="8"/>
        </w:numPr>
        <w:ind w:left="709" w:hanging="425"/>
        <w:rPr>
          <w:rFonts w:eastAsia="Calibri"/>
          <w:szCs w:val="22"/>
          <w:lang w:val="en-US" w:eastAsia="en-US"/>
        </w:rPr>
      </w:pPr>
      <w:r w:rsidRPr="00FB57E1">
        <w:rPr>
          <w:rFonts w:eastAsia="Calibri"/>
          <w:szCs w:val="22"/>
          <w:lang w:val="es-ES_tradnl" w:eastAsia="en-US"/>
        </w:rPr>
        <w:t>En 2018,</w:t>
      </w:r>
      <w:r w:rsidR="00EA34E4">
        <w:rPr>
          <w:rFonts w:eastAsia="Calibri"/>
          <w:szCs w:val="22"/>
          <w:lang w:val="es-ES_tradnl" w:eastAsia="en-US"/>
        </w:rPr>
        <w:t xml:space="preserve"> e</w:t>
      </w:r>
      <w:r w:rsidRPr="00FB57E1">
        <w:rPr>
          <w:rFonts w:eastAsia="Calibri"/>
          <w:szCs w:val="22"/>
          <w:lang w:val="es-ES_tradnl" w:eastAsia="en-US"/>
        </w:rPr>
        <w:t xml:space="preserve">l Comité </w:t>
      </w:r>
      <w:r w:rsidR="00EA34E4">
        <w:rPr>
          <w:rFonts w:eastAsia="Calibri"/>
          <w:szCs w:val="22"/>
          <w:lang w:val="es-ES_tradnl" w:eastAsia="en-US"/>
        </w:rPr>
        <w:t>presentará</w:t>
      </w:r>
      <w:bookmarkStart w:id="6" w:name="_GoBack"/>
      <w:bookmarkEnd w:id="6"/>
      <w:r w:rsidRPr="00FB57E1">
        <w:rPr>
          <w:rFonts w:eastAsia="Calibri"/>
          <w:szCs w:val="22"/>
          <w:lang w:val="es-ES_tradnl" w:eastAsia="en-US"/>
        </w:rPr>
        <w:t xml:space="preserve"> a la Asamblea General de la OMPI un informe de su labor sobre los RR.GG. hasta ese momento</w:t>
      </w:r>
      <w:r w:rsidRPr="007415BA">
        <w:rPr>
          <w:rFonts w:eastAsia="Calibri"/>
          <w:szCs w:val="22"/>
          <w:lang w:val="es-ES_tradnl" w:eastAsia="en-US"/>
        </w:rPr>
        <w:t xml:space="preserve">, </w:t>
      </w:r>
      <w:r w:rsidR="007415BA">
        <w:rPr>
          <w:rFonts w:eastAsia="Calibri"/>
          <w:szCs w:val="22"/>
          <w:lang w:val="es-ES_tradnl" w:eastAsia="en-US"/>
        </w:rPr>
        <w:t>concretamente</w:t>
      </w:r>
      <w:r w:rsidRPr="007415BA">
        <w:rPr>
          <w:rFonts w:eastAsia="Calibri"/>
          <w:szCs w:val="22"/>
          <w:lang w:val="es-ES_tradnl" w:eastAsia="en-US"/>
        </w:rPr>
        <w:t xml:space="preserve"> sobre</w:t>
      </w:r>
      <w:r w:rsidRPr="00FB57E1">
        <w:rPr>
          <w:rFonts w:eastAsia="Calibri"/>
          <w:szCs w:val="22"/>
          <w:lang w:val="es-ES_tradnl" w:eastAsia="en-US"/>
        </w:rPr>
        <w:t xml:space="preserve"> un instrumento jurídico in</w:t>
      </w:r>
      <w:r w:rsidR="00EC5BE6">
        <w:rPr>
          <w:rFonts w:eastAsia="Calibri"/>
          <w:szCs w:val="22"/>
          <w:lang w:val="es-ES_tradnl" w:eastAsia="en-US"/>
        </w:rPr>
        <w:t>ternacional en relación con la propiedad intelectual</w:t>
      </w:r>
      <w:r w:rsidRPr="00FB57E1">
        <w:rPr>
          <w:rFonts w:eastAsia="Calibri"/>
          <w:szCs w:val="22"/>
          <w:lang w:val="es-ES_tradnl" w:eastAsia="en-US"/>
        </w:rPr>
        <w:t xml:space="preserve"> que asegure la protección eficaz y equilibrada  de los RR.GG.  La Asamblea General de la OMPI de 2018 también ponderará los progresos realizados en relación con los CC.TT. y las ECT </w:t>
      </w:r>
      <w:r w:rsidRPr="00EC5BE6">
        <w:rPr>
          <w:rFonts w:eastAsia="Calibri"/>
          <w:szCs w:val="22"/>
          <w:lang w:val="es-ES_tradnl" w:eastAsia="en-US"/>
        </w:rPr>
        <w:t>y decidirá si se convoca o no una conferencia diplomática o se prosiguen las negociaciones</w:t>
      </w:r>
      <w:r w:rsidR="00D33DF3" w:rsidRPr="00EC5BE6">
        <w:rPr>
          <w:rFonts w:eastAsia="Calibri"/>
          <w:szCs w:val="22"/>
          <w:lang w:val="en-US" w:eastAsia="en-US"/>
        </w:rPr>
        <w:t>.</w:t>
      </w:r>
    </w:p>
    <w:p w:rsidR="00D31749" w:rsidRDefault="00D31749" w:rsidP="00B532ED">
      <w:pPr>
        <w:rPr>
          <w:rFonts w:eastAsia="Calibri"/>
          <w:szCs w:val="22"/>
          <w:lang w:val="en-US" w:eastAsia="en-US"/>
        </w:rPr>
      </w:pPr>
    </w:p>
    <w:p w:rsidR="00D31749" w:rsidRPr="00291DC5" w:rsidRDefault="00291DC5" w:rsidP="00B532ED">
      <w:pPr>
        <w:numPr>
          <w:ilvl w:val="0"/>
          <w:numId w:val="8"/>
        </w:numPr>
        <w:ind w:left="709" w:hanging="425"/>
        <w:rPr>
          <w:rFonts w:eastAsia="Calibri"/>
          <w:szCs w:val="22"/>
          <w:lang w:val="es-ES_tradnl" w:eastAsia="en-US"/>
        </w:rPr>
      </w:pPr>
      <w:r w:rsidRPr="00291DC5">
        <w:rPr>
          <w:rFonts w:eastAsia="Calibri"/>
          <w:szCs w:val="22"/>
          <w:lang w:val="es-ES_tradnl" w:eastAsia="en-US"/>
        </w:rPr>
        <w:t>La Asamblea General de la OMPI pide a la Oficina Internacional que continúe prestando asistencia al Comité y el EIWG mediante el suministro a los Estados Miembros de los conocimientos especializados necesarios y financiando, del</w:t>
      </w:r>
      <w:r w:rsidR="00EC5BE6">
        <w:rPr>
          <w:rFonts w:eastAsia="Calibri"/>
          <w:szCs w:val="22"/>
          <w:lang w:val="es-ES_tradnl" w:eastAsia="en-US"/>
        </w:rPr>
        <w:t xml:space="preserve"> modo más eficiente posible, </w:t>
      </w:r>
      <w:r w:rsidRPr="00291DC5">
        <w:rPr>
          <w:rFonts w:eastAsia="Calibri"/>
          <w:szCs w:val="22"/>
          <w:lang w:val="es-ES_tradnl" w:eastAsia="en-US"/>
        </w:rPr>
        <w:t>la participación de expertos de países en desarrollo y de PMA, teniendo en cuenta la práctica habitual en el CIG y la importancia de la participación del Grupo Oficioso de Representantes Indígenas.</w:t>
      </w:r>
    </w:p>
    <w:p w:rsidR="00D31749" w:rsidRPr="00291DC5" w:rsidRDefault="00D31749" w:rsidP="00D33DF3">
      <w:pPr>
        <w:jc w:val="both"/>
        <w:rPr>
          <w:rFonts w:eastAsia="Calibri"/>
          <w:b/>
          <w:szCs w:val="22"/>
          <w:u w:val="single"/>
          <w:lang w:val="es-ES_tradnl" w:eastAsia="en-US"/>
        </w:rPr>
      </w:pPr>
    </w:p>
    <w:p w:rsidR="00D31749" w:rsidRPr="00291DC5" w:rsidRDefault="00D31749" w:rsidP="00D33DF3">
      <w:pPr>
        <w:jc w:val="both"/>
        <w:rPr>
          <w:rFonts w:eastAsia="Calibri"/>
          <w:b/>
          <w:szCs w:val="22"/>
          <w:u w:val="single"/>
          <w:lang w:val="es-ES_tradnl" w:eastAsia="en-US"/>
        </w:rPr>
      </w:pPr>
    </w:p>
    <w:p w:rsidR="00D31749" w:rsidRDefault="002E438E" w:rsidP="002E438E">
      <w:pPr>
        <w:jc w:val="both"/>
        <w:rPr>
          <w:rFonts w:eastAsia="Calibri"/>
          <w:b/>
          <w:szCs w:val="22"/>
          <w:u w:val="single"/>
          <w:lang w:eastAsia="en-US"/>
        </w:rPr>
      </w:pPr>
      <w:r w:rsidRPr="002E438E">
        <w:rPr>
          <w:rFonts w:eastAsia="Calibri"/>
          <w:b/>
          <w:szCs w:val="22"/>
          <w:u w:val="single"/>
          <w:lang w:val="es-ES_tradnl" w:eastAsia="en-US"/>
        </w:rPr>
        <w:t>Programa de trabajo:  bienio 2018/19</w:t>
      </w:r>
    </w:p>
    <w:p w:rsidR="00D31749" w:rsidRDefault="00D31749" w:rsidP="00D33DF3">
      <w:pPr>
        <w:jc w:val="both"/>
        <w:rPr>
          <w:rFonts w:eastAsia="Calibri"/>
          <w:b/>
          <w:szCs w:val="22"/>
          <w:u w:val="single"/>
          <w:lang w:eastAsia="en-US"/>
        </w:rPr>
      </w:pPr>
    </w:p>
    <w:p w:rsidR="00D33DF3" w:rsidRDefault="00D33DF3" w:rsidP="00D33DF3">
      <w:pPr>
        <w:jc w:val="both"/>
        <w:rPr>
          <w:rFonts w:eastAsia="Calibri"/>
          <w:b/>
          <w:szCs w:val="22"/>
          <w:u w:val="single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028"/>
      </w:tblGrid>
      <w:tr w:rsidR="002E438E" w:rsidRPr="002E438E" w:rsidTr="00AC3B65">
        <w:tc>
          <w:tcPr>
            <w:tcW w:w="2518" w:type="dxa"/>
            <w:shd w:val="clear" w:color="auto" w:fill="auto"/>
          </w:tcPr>
          <w:p w:rsidR="00D33DF3" w:rsidRPr="002E438E" w:rsidRDefault="002E438E" w:rsidP="002E438E">
            <w:pPr>
              <w:spacing w:before="120" w:after="120" w:line="240" w:lineRule="exact"/>
              <w:rPr>
                <w:rFonts w:eastAsia="Calibri"/>
                <w:b/>
                <w:szCs w:val="22"/>
                <w:lang w:eastAsia="en-US"/>
              </w:rPr>
            </w:pPr>
            <w:r w:rsidRPr="002E438E">
              <w:rPr>
                <w:rFonts w:eastAsia="Calibri"/>
                <w:b/>
                <w:szCs w:val="22"/>
                <w:lang w:val="es-ES_tradnl" w:eastAsia="en-US"/>
              </w:rPr>
              <w:t>Fechas indicativas</w:t>
            </w:r>
            <w:r w:rsidR="00D33DF3" w:rsidRPr="002E438E">
              <w:rPr>
                <w:rFonts w:eastAsia="Calibri"/>
                <w:b/>
                <w:szCs w:val="22"/>
                <w:lang w:eastAsia="en-US"/>
              </w:rPr>
              <w:t xml:space="preserve"> </w:t>
            </w:r>
          </w:p>
        </w:tc>
        <w:tc>
          <w:tcPr>
            <w:tcW w:w="7028" w:type="dxa"/>
            <w:shd w:val="clear" w:color="auto" w:fill="auto"/>
          </w:tcPr>
          <w:p w:rsidR="00D33DF3" w:rsidRPr="002E438E" w:rsidRDefault="002E438E" w:rsidP="002E438E">
            <w:pPr>
              <w:spacing w:before="120" w:after="120" w:line="240" w:lineRule="exact"/>
              <w:rPr>
                <w:rFonts w:eastAsia="Calibri"/>
                <w:b/>
                <w:szCs w:val="22"/>
                <w:lang w:eastAsia="en-US"/>
              </w:rPr>
            </w:pPr>
            <w:r w:rsidRPr="002E438E">
              <w:rPr>
                <w:rFonts w:eastAsia="Calibri"/>
                <w:b/>
                <w:szCs w:val="22"/>
                <w:lang w:val="es-ES_tradnl" w:eastAsia="en-US"/>
              </w:rPr>
              <w:t>Actividad</w:t>
            </w:r>
          </w:p>
        </w:tc>
      </w:tr>
      <w:tr w:rsidR="00F91CA3" w:rsidRPr="00375C36" w:rsidTr="00AC3B65">
        <w:tc>
          <w:tcPr>
            <w:tcW w:w="2518" w:type="dxa"/>
            <w:shd w:val="clear" w:color="auto" w:fill="auto"/>
          </w:tcPr>
          <w:p w:rsidR="00D33DF3" w:rsidRPr="00F91CA3" w:rsidRDefault="002E438E" w:rsidP="002E438E">
            <w:pPr>
              <w:spacing w:before="120" w:after="120" w:line="240" w:lineRule="exact"/>
              <w:rPr>
                <w:rFonts w:eastAsia="Calibri"/>
                <w:szCs w:val="22"/>
                <w:lang w:eastAsia="en-US"/>
              </w:rPr>
            </w:pPr>
            <w:r w:rsidRPr="00F91CA3">
              <w:rPr>
                <w:rFonts w:eastAsia="Calibri"/>
                <w:szCs w:val="22"/>
                <w:lang w:val="es-ES_tradnl" w:eastAsia="en-US"/>
              </w:rPr>
              <w:t>Febrero de 2018</w:t>
            </w:r>
          </w:p>
        </w:tc>
        <w:tc>
          <w:tcPr>
            <w:tcW w:w="7028" w:type="dxa"/>
            <w:shd w:val="clear" w:color="auto" w:fill="auto"/>
          </w:tcPr>
          <w:p w:rsidR="00D31749" w:rsidRDefault="002E438E" w:rsidP="002E438E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eastAsia="Calibri"/>
                <w:b/>
                <w:bCs/>
                <w:szCs w:val="22"/>
                <w:lang w:val="es-ES_tradnl" w:eastAsia="en-US"/>
              </w:rPr>
            </w:pPr>
            <w:r w:rsidRPr="00F91CA3">
              <w:rPr>
                <w:rFonts w:eastAsia="Calibri"/>
                <w:b/>
                <w:bCs/>
                <w:szCs w:val="22"/>
                <w:lang w:val="es-ES_tradnl" w:eastAsia="en-US"/>
              </w:rPr>
              <w:t xml:space="preserve">Primera </w:t>
            </w:r>
            <w:r w:rsidRPr="007415BA">
              <w:rPr>
                <w:rFonts w:eastAsia="Calibri"/>
                <w:b/>
                <w:bCs/>
                <w:szCs w:val="22"/>
                <w:lang w:val="es-ES_tradnl" w:eastAsia="en-US"/>
              </w:rPr>
              <w:t xml:space="preserve">reunión </w:t>
            </w:r>
            <w:r w:rsidR="007415BA" w:rsidRPr="007415BA">
              <w:rPr>
                <w:rFonts w:eastAsia="Calibri"/>
                <w:b/>
                <w:bCs/>
                <w:szCs w:val="22"/>
                <w:lang w:val="es-ES_tradnl" w:eastAsia="en-US"/>
              </w:rPr>
              <w:t>del grupo de trabajo de e</w:t>
            </w:r>
            <w:r w:rsidRPr="007415BA">
              <w:rPr>
                <w:rFonts w:eastAsia="Calibri"/>
                <w:b/>
                <w:bCs/>
                <w:szCs w:val="22"/>
                <w:lang w:val="es-ES_tradnl" w:eastAsia="en-US"/>
              </w:rPr>
              <w:t>xpertos</w:t>
            </w:r>
            <w:r w:rsidR="007415BA">
              <w:rPr>
                <w:rFonts w:eastAsia="Calibri"/>
                <w:b/>
                <w:bCs/>
                <w:szCs w:val="22"/>
                <w:lang w:val="es-ES_tradnl" w:eastAsia="en-US"/>
              </w:rPr>
              <w:t xml:space="preserve"> entre</w:t>
            </w:r>
            <w:r w:rsidR="007415BA" w:rsidRPr="007415BA">
              <w:rPr>
                <w:rFonts w:eastAsia="Calibri"/>
                <w:b/>
                <w:bCs/>
                <w:szCs w:val="22"/>
                <w:lang w:val="es-ES_tradnl" w:eastAsia="en-US"/>
              </w:rPr>
              <w:t xml:space="preserve"> sesiones</w:t>
            </w:r>
            <w:r w:rsidRPr="007415BA">
              <w:rPr>
                <w:rFonts w:eastAsia="Calibri"/>
                <w:b/>
                <w:bCs/>
                <w:szCs w:val="22"/>
                <w:lang w:val="es-ES_tradnl" w:eastAsia="en-US"/>
              </w:rPr>
              <w:t xml:space="preserve"> (EIWG)</w:t>
            </w:r>
            <w:r w:rsidR="00D33DF3" w:rsidRPr="00F91CA3">
              <w:rPr>
                <w:rFonts w:eastAsia="Calibri"/>
                <w:b/>
                <w:bCs/>
                <w:szCs w:val="22"/>
                <w:lang w:val="es-ES_tradnl" w:eastAsia="en-US"/>
              </w:rPr>
              <w:t xml:space="preserve"> </w:t>
            </w:r>
          </w:p>
          <w:p w:rsidR="00D31749" w:rsidRDefault="003579BF" w:rsidP="003579BF">
            <w:pPr>
              <w:autoSpaceDE w:val="0"/>
              <w:autoSpaceDN w:val="0"/>
              <w:adjustRightInd w:val="0"/>
              <w:rPr>
                <w:rFonts w:eastAsia="Arial Unicode MS"/>
                <w:szCs w:val="22"/>
                <w:lang w:val="es-ES_tradnl" w:eastAsia="fr-CH"/>
              </w:rPr>
            </w:pPr>
            <w:r w:rsidRPr="00F91CA3">
              <w:rPr>
                <w:rFonts w:eastAsia="Arial Unicode MS"/>
                <w:szCs w:val="22"/>
                <w:lang w:val="es-ES_tradnl" w:eastAsia="fr-CH"/>
              </w:rPr>
              <w:t xml:space="preserve">Examinar los asuntos que todavía están sin resolver y considerar las distintas opciones relativas a un proyecto de instrumento jurídicamente vinculante sobre los RR.GG., </w:t>
            </w:r>
            <w:r w:rsidRPr="00EC5BE6">
              <w:rPr>
                <w:rFonts w:eastAsia="Arial Unicode MS"/>
                <w:szCs w:val="22"/>
                <w:lang w:val="es-ES_tradnl" w:eastAsia="fr-CH"/>
              </w:rPr>
              <w:t>centrándose en:</w:t>
            </w:r>
            <w:r w:rsidRPr="00F91CA3">
              <w:rPr>
                <w:rFonts w:eastAsia="Arial Unicode MS"/>
                <w:szCs w:val="22"/>
                <w:lang w:val="es-ES_tradnl" w:eastAsia="fr-CH"/>
              </w:rPr>
              <w:t xml:space="preserve">  </w:t>
            </w:r>
          </w:p>
          <w:p w:rsidR="00D31749" w:rsidRDefault="003579BF" w:rsidP="003579B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240" w:lineRule="exact"/>
              <w:contextualSpacing/>
              <w:rPr>
                <w:rFonts w:eastAsia="Calibri"/>
                <w:szCs w:val="22"/>
                <w:lang w:val="en-GB" w:eastAsia="en-US"/>
              </w:rPr>
            </w:pPr>
            <w:r w:rsidRPr="00F91CA3">
              <w:rPr>
                <w:rFonts w:eastAsia="Calibri"/>
                <w:szCs w:val="22"/>
                <w:lang w:val="es-ES_tradnl" w:eastAsia="en-US"/>
              </w:rPr>
              <w:t>los objetivos de política</w:t>
            </w:r>
            <w:r w:rsidR="00D33DF3" w:rsidRPr="00F91CA3">
              <w:rPr>
                <w:rFonts w:eastAsia="Calibri"/>
                <w:szCs w:val="22"/>
                <w:lang w:val="en-GB" w:eastAsia="en-US"/>
              </w:rPr>
              <w:t xml:space="preserve"> </w:t>
            </w:r>
          </w:p>
          <w:p w:rsidR="00D31749" w:rsidRDefault="003579BF" w:rsidP="003579B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240" w:lineRule="exact"/>
              <w:contextualSpacing/>
              <w:rPr>
                <w:rFonts w:eastAsia="Calibri"/>
                <w:szCs w:val="22"/>
                <w:lang w:val="en-GB" w:eastAsia="en-US"/>
              </w:rPr>
            </w:pPr>
            <w:r w:rsidRPr="00F91CA3">
              <w:rPr>
                <w:rFonts w:eastAsia="Calibri"/>
                <w:szCs w:val="22"/>
                <w:lang w:val="es-ES_tradnl" w:eastAsia="en-US"/>
              </w:rPr>
              <w:t>las definiciones</w:t>
            </w:r>
          </w:p>
          <w:p w:rsidR="00D31749" w:rsidRDefault="003579BF" w:rsidP="003579B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240" w:lineRule="exact"/>
              <w:contextualSpacing/>
              <w:rPr>
                <w:rFonts w:eastAsia="Calibri"/>
                <w:szCs w:val="22"/>
                <w:lang w:val="es-ES_tradnl" w:eastAsia="en-US"/>
              </w:rPr>
            </w:pPr>
            <w:r w:rsidRPr="00F91CA3">
              <w:rPr>
                <w:rFonts w:eastAsia="Calibri"/>
                <w:szCs w:val="22"/>
                <w:lang w:val="es-ES_tradnl" w:eastAsia="en-US"/>
              </w:rPr>
              <w:t>la materia objeto de la protección</w:t>
            </w:r>
          </w:p>
          <w:p w:rsidR="00D31749" w:rsidRDefault="003579BF" w:rsidP="003579B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240" w:lineRule="exact"/>
              <w:contextualSpacing/>
              <w:rPr>
                <w:rFonts w:eastAsia="Calibri"/>
                <w:szCs w:val="22"/>
                <w:lang w:val="en-GB" w:eastAsia="en-US"/>
              </w:rPr>
            </w:pPr>
            <w:r w:rsidRPr="00F91CA3">
              <w:rPr>
                <w:rFonts w:eastAsia="Calibri"/>
                <w:szCs w:val="22"/>
                <w:lang w:val="es-ES_tradnl" w:eastAsia="en-US"/>
              </w:rPr>
              <w:t>el alcance de la protección</w:t>
            </w:r>
          </w:p>
          <w:p w:rsidR="00D31749" w:rsidRDefault="003579BF" w:rsidP="003579B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240" w:lineRule="exact"/>
              <w:contextualSpacing/>
              <w:rPr>
                <w:rFonts w:eastAsia="Calibri"/>
                <w:szCs w:val="22"/>
                <w:lang w:val="en-GB" w:eastAsia="en-US"/>
              </w:rPr>
            </w:pPr>
            <w:r w:rsidRPr="00F91CA3">
              <w:rPr>
                <w:rFonts w:eastAsia="Calibri"/>
                <w:szCs w:val="22"/>
                <w:lang w:val="es-ES_tradnl" w:eastAsia="en-US"/>
              </w:rPr>
              <w:t>los requisitos de divulgación</w:t>
            </w:r>
          </w:p>
          <w:p w:rsidR="00D31749" w:rsidRDefault="00D31749" w:rsidP="00AC3B65">
            <w:pPr>
              <w:autoSpaceDE w:val="0"/>
              <w:autoSpaceDN w:val="0"/>
              <w:adjustRightInd w:val="0"/>
              <w:spacing w:before="120" w:after="120" w:line="240" w:lineRule="exact"/>
              <w:ind w:left="1080"/>
              <w:contextualSpacing/>
              <w:rPr>
                <w:rFonts w:eastAsia="Calibri"/>
                <w:szCs w:val="22"/>
                <w:lang w:val="en-GB" w:eastAsia="en-US"/>
              </w:rPr>
            </w:pPr>
          </w:p>
          <w:p w:rsidR="00D33DF3" w:rsidRPr="00375C36" w:rsidRDefault="0049443B" w:rsidP="00375C36">
            <w:pPr>
              <w:spacing w:before="120" w:after="120" w:line="240" w:lineRule="exact"/>
              <w:rPr>
                <w:rFonts w:eastAsia="Calibri"/>
                <w:szCs w:val="22"/>
                <w:lang w:val="es-ES_tradnl" w:eastAsia="en-US"/>
              </w:rPr>
            </w:pPr>
            <w:r w:rsidRPr="00F91CA3">
              <w:rPr>
                <w:rFonts w:eastAsia="Calibri"/>
                <w:szCs w:val="22"/>
                <w:lang w:val="es-ES_tradnl" w:eastAsia="en-US"/>
              </w:rPr>
              <w:t xml:space="preserve">Duración: </w:t>
            </w:r>
            <w:r w:rsidR="00375C36">
              <w:rPr>
                <w:rFonts w:eastAsia="Calibri"/>
                <w:szCs w:val="22"/>
                <w:lang w:val="es-ES_tradnl" w:eastAsia="en-US"/>
              </w:rPr>
              <w:t xml:space="preserve"> 10 días, antes de la 35ª </w:t>
            </w:r>
            <w:r w:rsidRPr="00F91CA3">
              <w:rPr>
                <w:rFonts w:eastAsia="Calibri"/>
                <w:szCs w:val="22"/>
                <w:lang w:val="es-ES_tradnl" w:eastAsia="en-US"/>
              </w:rPr>
              <w:t>sesión del Comité</w:t>
            </w:r>
          </w:p>
        </w:tc>
      </w:tr>
      <w:tr w:rsidR="00F91CA3" w:rsidRPr="00F91CA3" w:rsidTr="00AC3B65">
        <w:trPr>
          <w:trHeight w:val="1223"/>
        </w:trPr>
        <w:tc>
          <w:tcPr>
            <w:tcW w:w="2518" w:type="dxa"/>
            <w:shd w:val="clear" w:color="auto" w:fill="auto"/>
          </w:tcPr>
          <w:p w:rsidR="00D33DF3" w:rsidRPr="00F91CA3" w:rsidRDefault="0049443B" w:rsidP="0049443B">
            <w:pPr>
              <w:spacing w:before="120" w:after="120" w:line="240" w:lineRule="exact"/>
              <w:rPr>
                <w:rFonts w:eastAsia="Calibri"/>
                <w:szCs w:val="22"/>
                <w:lang w:eastAsia="en-US"/>
              </w:rPr>
            </w:pPr>
            <w:r w:rsidRPr="00F91CA3">
              <w:rPr>
                <w:rFonts w:eastAsia="Calibri"/>
                <w:szCs w:val="22"/>
                <w:lang w:val="es-ES_tradnl" w:eastAsia="en-US"/>
              </w:rPr>
              <w:t>Febrero de 2018</w:t>
            </w:r>
          </w:p>
        </w:tc>
        <w:tc>
          <w:tcPr>
            <w:tcW w:w="7028" w:type="dxa"/>
            <w:shd w:val="clear" w:color="auto" w:fill="auto"/>
          </w:tcPr>
          <w:p w:rsidR="00D31749" w:rsidRDefault="007415BA" w:rsidP="0049443B">
            <w:pPr>
              <w:spacing w:before="120" w:after="120" w:line="240" w:lineRule="exact"/>
              <w:rPr>
                <w:rFonts w:eastAsia="Calibri"/>
                <w:b/>
                <w:szCs w:val="22"/>
                <w:lang w:val="es-ES_tradnl" w:eastAsia="en-US"/>
              </w:rPr>
            </w:pPr>
            <w:r>
              <w:rPr>
                <w:rFonts w:eastAsia="Calibri"/>
                <w:b/>
                <w:szCs w:val="22"/>
                <w:lang w:val="es-ES_tradnl" w:eastAsia="en-US"/>
              </w:rPr>
              <w:t>35ª s</w:t>
            </w:r>
            <w:r w:rsidR="0049443B" w:rsidRPr="00375C36">
              <w:rPr>
                <w:rFonts w:eastAsia="Calibri"/>
                <w:b/>
                <w:szCs w:val="22"/>
                <w:lang w:val="es-ES_tradnl" w:eastAsia="en-US"/>
              </w:rPr>
              <w:t>esión del Comité</w:t>
            </w:r>
          </w:p>
          <w:p w:rsidR="00D31749" w:rsidRDefault="00AD1E7E" w:rsidP="00AD1E7E">
            <w:pPr>
              <w:spacing w:before="120" w:after="120" w:line="240" w:lineRule="exact"/>
              <w:rPr>
                <w:rFonts w:eastAsia="Calibri"/>
                <w:szCs w:val="22"/>
                <w:lang w:val="es-ES_tradnl" w:eastAsia="en-US"/>
              </w:rPr>
            </w:pPr>
            <w:r w:rsidRPr="00F91CA3">
              <w:rPr>
                <w:rFonts w:eastAsia="Calibri"/>
                <w:szCs w:val="22"/>
                <w:lang w:val="es-ES_tradnl" w:eastAsia="en-US"/>
              </w:rPr>
              <w:t xml:space="preserve">Dedicar tiempo suficiente </w:t>
            </w:r>
            <w:r w:rsidRPr="00EC5BE6">
              <w:rPr>
                <w:rFonts w:eastAsia="Calibri"/>
                <w:szCs w:val="22"/>
                <w:lang w:val="es-ES_tradnl" w:eastAsia="en-US"/>
              </w:rPr>
              <w:t>durante el primer día de trabajo del Comité al informe sobre la labor del EIWG y</w:t>
            </w:r>
            <w:r w:rsidRPr="00F91CA3">
              <w:rPr>
                <w:rFonts w:eastAsia="Calibri"/>
                <w:szCs w:val="22"/>
                <w:lang w:val="es-ES_tradnl" w:eastAsia="en-US"/>
              </w:rPr>
              <w:t xml:space="preserve"> recabar comentarios al respecto.</w:t>
            </w:r>
          </w:p>
          <w:p w:rsidR="00D31749" w:rsidRDefault="00F91CA3" w:rsidP="00F91CA3">
            <w:pPr>
              <w:spacing w:before="120" w:after="120" w:line="240" w:lineRule="exact"/>
              <w:rPr>
                <w:rFonts w:eastAsia="Calibri"/>
                <w:szCs w:val="22"/>
                <w:lang w:val="es-ES_tradnl" w:eastAsia="en-US"/>
              </w:rPr>
            </w:pPr>
            <w:r w:rsidRPr="00F91CA3">
              <w:rPr>
                <w:rFonts w:eastAsia="Calibri"/>
                <w:szCs w:val="22"/>
                <w:lang w:val="es-ES_tradnl" w:eastAsia="en-US"/>
              </w:rPr>
              <w:t>Continuar examinando los asuntos que todavía están sin resolver y las cues</w:t>
            </w:r>
            <w:r>
              <w:rPr>
                <w:rFonts w:eastAsia="Calibri"/>
                <w:szCs w:val="22"/>
                <w:lang w:val="es-ES_tradnl" w:eastAsia="en-US"/>
              </w:rPr>
              <w:t>tiones transversales en relación con</w:t>
            </w:r>
            <w:r w:rsidRPr="00F91CA3">
              <w:rPr>
                <w:rFonts w:eastAsia="Calibri"/>
                <w:szCs w:val="22"/>
                <w:lang w:val="es-ES_tradnl" w:eastAsia="en-US"/>
              </w:rPr>
              <w:t xml:space="preserve"> los CC.TT. y las ECT, con miras a reducir los desequilibrios y considerar las distintas opciones relativas a un proyecto de instrumento jurídico.</w:t>
            </w:r>
          </w:p>
          <w:p w:rsidR="00D33DF3" w:rsidRPr="00F91CA3" w:rsidRDefault="00F91CA3" w:rsidP="00F91CA3">
            <w:pPr>
              <w:spacing w:before="120" w:after="120" w:line="240" w:lineRule="exact"/>
              <w:rPr>
                <w:rFonts w:eastAsia="Calibri"/>
                <w:szCs w:val="22"/>
                <w:lang w:eastAsia="en-US"/>
              </w:rPr>
            </w:pPr>
            <w:r w:rsidRPr="00F91CA3">
              <w:rPr>
                <w:rFonts w:eastAsia="Calibri"/>
                <w:szCs w:val="22"/>
                <w:lang w:val="es-ES_tradnl" w:eastAsia="en-US"/>
              </w:rPr>
              <w:t>Duración:  5 días.</w:t>
            </w:r>
          </w:p>
        </w:tc>
      </w:tr>
      <w:tr w:rsidR="00375C36" w:rsidRPr="00375C36" w:rsidTr="00AC3B65">
        <w:tc>
          <w:tcPr>
            <w:tcW w:w="2518" w:type="dxa"/>
            <w:shd w:val="clear" w:color="auto" w:fill="auto"/>
          </w:tcPr>
          <w:p w:rsidR="00D33DF3" w:rsidRPr="00375C36" w:rsidRDefault="00F91CA3" w:rsidP="00F91CA3">
            <w:pPr>
              <w:spacing w:before="120" w:after="120" w:line="240" w:lineRule="exact"/>
              <w:rPr>
                <w:rFonts w:eastAsia="Calibri"/>
                <w:szCs w:val="22"/>
                <w:lang w:eastAsia="en-US"/>
              </w:rPr>
            </w:pPr>
            <w:r w:rsidRPr="00375C36">
              <w:rPr>
                <w:rFonts w:eastAsia="Calibri"/>
                <w:szCs w:val="22"/>
                <w:lang w:val="es-ES_tradnl" w:eastAsia="en-US"/>
              </w:rPr>
              <w:t>Mayo de 2018</w:t>
            </w:r>
          </w:p>
        </w:tc>
        <w:tc>
          <w:tcPr>
            <w:tcW w:w="7028" w:type="dxa"/>
            <w:shd w:val="clear" w:color="auto" w:fill="auto"/>
          </w:tcPr>
          <w:p w:rsidR="00D31749" w:rsidRDefault="00F91CA3" w:rsidP="00F91CA3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eastAsia="Calibri"/>
                <w:b/>
                <w:bCs/>
                <w:szCs w:val="22"/>
                <w:lang w:val="es-ES_tradnl" w:eastAsia="en-US"/>
              </w:rPr>
            </w:pPr>
            <w:r w:rsidRPr="00375C36">
              <w:rPr>
                <w:rFonts w:eastAsia="Calibri"/>
                <w:b/>
                <w:bCs/>
                <w:szCs w:val="22"/>
                <w:lang w:val="es-ES_tradnl" w:eastAsia="en-US"/>
              </w:rPr>
              <w:t xml:space="preserve">Segunda </w:t>
            </w:r>
            <w:r w:rsidRPr="00EC5BE6">
              <w:rPr>
                <w:rFonts w:eastAsia="Calibri"/>
                <w:b/>
                <w:bCs/>
                <w:szCs w:val="22"/>
                <w:lang w:val="es-ES_tradnl" w:eastAsia="en-US"/>
              </w:rPr>
              <w:t>reunión del</w:t>
            </w:r>
            <w:r w:rsidRPr="00375C36">
              <w:rPr>
                <w:rFonts w:eastAsia="Calibri"/>
                <w:b/>
                <w:bCs/>
                <w:szCs w:val="22"/>
                <w:lang w:val="es-ES_tradnl" w:eastAsia="en-US"/>
              </w:rPr>
              <w:t xml:space="preserve"> EIWG</w:t>
            </w:r>
            <w:r w:rsidR="00D33DF3" w:rsidRPr="00FF5C9C">
              <w:rPr>
                <w:rFonts w:eastAsia="Calibri"/>
                <w:b/>
                <w:bCs/>
                <w:szCs w:val="22"/>
                <w:lang w:val="es-ES_tradnl" w:eastAsia="en-US"/>
              </w:rPr>
              <w:t xml:space="preserve"> </w:t>
            </w:r>
          </w:p>
          <w:p w:rsidR="00D31749" w:rsidRDefault="00093860" w:rsidP="00093860">
            <w:pPr>
              <w:spacing w:before="120" w:after="120" w:line="240" w:lineRule="exact"/>
              <w:rPr>
                <w:rFonts w:eastAsia="Calibri"/>
                <w:szCs w:val="22"/>
                <w:lang w:val="es-ES_tradnl" w:eastAsia="en-US"/>
              </w:rPr>
            </w:pPr>
            <w:r w:rsidRPr="00375C36">
              <w:rPr>
                <w:rFonts w:eastAsia="Calibri"/>
                <w:szCs w:val="22"/>
                <w:lang w:val="es-ES_tradnl" w:eastAsia="en-US"/>
              </w:rPr>
              <w:t>Continuar examinando los asuntos que todavía están sin resolver y considerando las distintas opciones relativas a un proyecto de instrumento jurídicamente vinculante sobre los RR.GG., centrándose en:</w:t>
            </w:r>
            <w:r w:rsidR="00D33DF3" w:rsidRPr="00FF5C9C">
              <w:rPr>
                <w:rFonts w:eastAsia="Calibri"/>
                <w:szCs w:val="22"/>
                <w:lang w:val="es-ES_tradnl" w:eastAsia="en-US"/>
              </w:rPr>
              <w:t xml:space="preserve"> </w:t>
            </w:r>
          </w:p>
          <w:p w:rsidR="00D31749" w:rsidRDefault="00093860" w:rsidP="0009386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240" w:lineRule="exact"/>
              <w:contextualSpacing/>
              <w:rPr>
                <w:rFonts w:eastAsia="Calibri"/>
                <w:szCs w:val="22"/>
                <w:lang w:val="en-GB" w:eastAsia="en-US"/>
              </w:rPr>
            </w:pPr>
            <w:r w:rsidRPr="00375C36">
              <w:rPr>
                <w:rFonts w:eastAsia="Calibri"/>
                <w:szCs w:val="22"/>
                <w:lang w:val="es-ES_tradnl" w:eastAsia="en-US"/>
              </w:rPr>
              <w:t>los beneficiarios</w:t>
            </w:r>
            <w:r w:rsidR="00D33DF3" w:rsidRPr="00375C36">
              <w:rPr>
                <w:rFonts w:eastAsia="Calibri"/>
                <w:szCs w:val="22"/>
                <w:lang w:val="en-GB" w:eastAsia="en-US"/>
              </w:rPr>
              <w:t xml:space="preserve"> </w:t>
            </w:r>
          </w:p>
          <w:p w:rsidR="00D31749" w:rsidRDefault="00093860" w:rsidP="0009386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240" w:lineRule="exact"/>
              <w:contextualSpacing/>
              <w:rPr>
                <w:rFonts w:eastAsia="Calibri"/>
                <w:szCs w:val="22"/>
                <w:lang w:val="en-GB" w:eastAsia="en-US"/>
              </w:rPr>
            </w:pPr>
            <w:r w:rsidRPr="00375C36">
              <w:rPr>
                <w:rFonts w:eastAsia="Calibri"/>
                <w:szCs w:val="22"/>
                <w:lang w:val="es-ES_tradnl" w:eastAsia="en-US"/>
              </w:rPr>
              <w:t>las excepciones y limitaciones</w:t>
            </w:r>
          </w:p>
          <w:p w:rsidR="00D31749" w:rsidRDefault="00093860" w:rsidP="0009386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240" w:lineRule="exact"/>
              <w:contextualSpacing/>
              <w:rPr>
                <w:rFonts w:eastAsia="Calibri"/>
                <w:szCs w:val="22"/>
                <w:lang w:val="en-GB" w:eastAsia="en-US"/>
              </w:rPr>
            </w:pPr>
            <w:r w:rsidRPr="00375C36">
              <w:rPr>
                <w:rFonts w:eastAsia="Calibri"/>
                <w:szCs w:val="22"/>
                <w:lang w:val="es-ES_tradnl" w:eastAsia="en-US"/>
              </w:rPr>
              <w:t>la relación con otros instrumentos</w:t>
            </w:r>
          </w:p>
          <w:p w:rsidR="00D31749" w:rsidRDefault="00093860" w:rsidP="0009386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240" w:lineRule="exact"/>
              <w:contextualSpacing/>
              <w:rPr>
                <w:rFonts w:eastAsia="Calibri"/>
                <w:szCs w:val="22"/>
                <w:lang w:val="en-GB" w:eastAsia="en-US"/>
              </w:rPr>
            </w:pPr>
            <w:r w:rsidRPr="00375C36">
              <w:rPr>
                <w:rFonts w:eastAsia="Calibri"/>
                <w:szCs w:val="22"/>
                <w:lang w:val="es-ES_tradnl" w:eastAsia="en-US"/>
              </w:rPr>
              <w:lastRenderedPageBreak/>
              <w:t>las sanciones y recursos</w:t>
            </w:r>
          </w:p>
          <w:p w:rsidR="00D31749" w:rsidRDefault="00093860" w:rsidP="0009386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240" w:lineRule="exact"/>
              <w:contextualSpacing/>
              <w:rPr>
                <w:rFonts w:eastAsia="Calibri"/>
                <w:szCs w:val="22"/>
                <w:lang w:val="en-GB" w:eastAsia="en-US"/>
              </w:rPr>
            </w:pPr>
            <w:r w:rsidRPr="00375C36">
              <w:rPr>
                <w:rFonts w:eastAsia="Calibri"/>
                <w:szCs w:val="22"/>
                <w:lang w:val="es-ES_tradnl" w:eastAsia="en-US"/>
              </w:rPr>
              <w:t>las medidas complementarias</w:t>
            </w:r>
          </w:p>
          <w:p w:rsidR="00D31749" w:rsidRDefault="00D31749" w:rsidP="00AC3B65">
            <w:pPr>
              <w:autoSpaceDE w:val="0"/>
              <w:autoSpaceDN w:val="0"/>
              <w:adjustRightInd w:val="0"/>
              <w:spacing w:before="120" w:after="120" w:line="240" w:lineRule="exact"/>
              <w:ind w:left="1080"/>
              <w:contextualSpacing/>
              <w:rPr>
                <w:rFonts w:eastAsia="Calibri"/>
                <w:szCs w:val="22"/>
                <w:lang w:val="en-GB" w:eastAsia="en-US"/>
              </w:rPr>
            </w:pPr>
          </w:p>
          <w:p w:rsidR="00D33DF3" w:rsidRPr="00375C36" w:rsidRDefault="00093860" w:rsidP="00AC3B65">
            <w:pPr>
              <w:spacing w:before="120" w:after="120" w:line="240" w:lineRule="exact"/>
              <w:rPr>
                <w:rFonts w:eastAsia="Calibri"/>
                <w:szCs w:val="22"/>
                <w:lang w:val="es-ES_tradnl" w:eastAsia="en-US"/>
              </w:rPr>
            </w:pPr>
            <w:r w:rsidRPr="00375C36">
              <w:rPr>
                <w:rFonts w:eastAsia="Calibri"/>
                <w:szCs w:val="22"/>
                <w:lang w:val="es-ES_tradnl" w:eastAsia="en-US"/>
              </w:rPr>
              <w:t xml:space="preserve">Duración: </w:t>
            </w:r>
            <w:r w:rsidR="00375C36" w:rsidRPr="00375C36">
              <w:rPr>
                <w:rFonts w:eastAsia="Calibri"/>
                <w:szCs w:val="22"/>
                <w:lang w:val="es-ES_tradnl" w:eastAsia="en-US"/>
              </w:rPr>
              <w:t xml:space="preserve"> </w:t>
            </w:r>
            <w:r w:rsidR="00375C36">
              <w:rPr>
                <w:rFonts w:eastAsia="Calibri"/>
                <w:szCs w:val="22"/>
                <w:lang w:val="es-ES_tradnl" w:eastAsia="en-US"/>
              </w:rPr>
              <w:t>10 días, antes de la</w:t>
            </w:r>
            <w:r w:rsidRPr="00375C36">
              <w:rPr>
                <w:rFonts w:eastAsia="Calibri"/>
                <w:szCs w:val="22"/>
                <w:lang w:val="es-ES_tradnl" w:eastAsia="en-US"/>
              </w:rPr>
              <w:t xml:space="preserve"> 36ª sesión del Comité</w:t>
            </w:r>
            <w:r w:rsidR="00D33DF3" w:rsidRPr="00375C36">
              <w:rPr>
                <w:rFonts w:eastAsia="Calibri"/>
                <w:szCs w:val="22"/>
                <w:lang w:val="es-ES_tradnl" w:eastAsia="en-US"/>
              </w:rPr>
              <w:t xml:space="preserve"> </w:t>
            </w:r>
          </w:p>
        </w:tc>
      </w:tr>
      <w:tr w:rsidR="00375C36" w:rsidRPr="00375C36" w:rsidTr="00AC3B65">
        <w:tc>
          <w:tcPr>
            <w:tcW w:w="2518" w:type="dxa"/>
            <w:shd w:val="clear" w:color="auto" w:fill="auto"/>
          </w:tcPr>
          <w:p w:rsidR="00D31749" w:rsidRDefault="00093860" w:rsidP="00093860">
            <w:pPr>
              <w:spacing w:before="120" w:after="120" w:line="240" w:lineRule="exact"/>
              <w:rPr>
                <w:rFonts w:eastAsia="Calibri"/>
                <w:szCs w:val="22"/>
                <w:lang w:eastAsia="en-US"/>
              </w:rPr>
            </w:pPr>
            <w:r w:rsidRPr="00375C36">
              <w:rPr>
                <w:rFonts w:eastAsia="Calibri"/>
                <w:szCs w:val="22"/>
                <w:lang w:val="es-ES_tradnl" w:eastAsia="en-US"/>
              </w:rPr>
              <w:lastRenderedPageBreak/>
              <w:t>Mayo de 2018</w:t>
            </w:r>
          </w:p>
          <w:p w:rsidR="00D33DF3" w:rsidRPr="00375C36" w:rsidRDefault="00D33DF3" w:rsidP="00AC3B65">
            <w:pPr>
              <w:spacing w:before="120" w:after="120" w:line="240" w:lineRule="exac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7028" w:type="dxa"/>
            <w:shd w:val="clear" w:color="auto" w:fill="auto"/>
          </w:tcPr>
          <w:p w:rsidR="00D31749" w:rsidRDefault="007415BA" w:rsidP="00093860">
            <w:pPr>
              <w:spacing w:before="120" w:after="120" w:line="240" w:lineRule="exact"/>
              <w:rPr>
                <w:rFonts w:eastAsia="Calibri"/>
                <w:b/>
                <w:szCs w:val="22"/>
                <w:lang w:val="es-ES_tradnl" w:eastAsia="en-US"/>
              </w:rPr>
            </w:pPr>
            <w:r>
              <w:rPr>
                <w:rFonts w:eastAsia="Calibri"/>
                <w:b/>
                <w:szCs w:val="22"/>
                <w:lang w:val="es-ES_tradnl" w:eastAsia="en-US"/>
              </w:rPr>
              <w:t>36ª s</w:t>
            </w:r>
            <w:r w:rsidR="00093860" w:rsidRPr="00375C36">
              <w:rPr>
                <w:rFonts w:eastAsia="Calibri"/>
                <w:b/>
                <w:szCs w:val="22"/>
                <w:lang w:val="es-ES_tradnl" w:eastAsia="en-US"/>
              </w:rPr>
              <w:t>esión del Comité</w:t>
            </w:r>
          </w:p>
          <w:p w:rsidR="00D31749" w:rsidRDefault="00375C36" w:rsidP="00375C36">
            <w:pPr>
              <w:spacing w:before="120" w:after="120" w:line="240" w:lineRule="exact"/>
              <w:rPr>
                <w:rFonts w:eastAsia="Calibri"/>
                <w:szCs w:val="22"/>
                <w:lang w:val="es-ES_tradnl" w:eastAsia="en-US"/>
              </w:rPr>
            </w:pPr>
            <w:r w:rsidRPr="00375C36">
              <w:rPr>
                <w:rFonts w:eastAsia="Calibri"/>
                <w:szCs w:val="22"/>
                <w:lang w:val="es-ES_tradnl" w:eastAsia="en-US"/>
              </w:rPr>
              <w:t>Dedicar tiempo suficiente durante el primer día de trabajo del Comité al informe sobre la labor del EIWG y recabar comentarios al respecto.</w:t>
            </w:r>
          </w:p>
          <w:p w:rsidR="00D31749" w:rsidRDefault="00375C36" w:rsidP="00375C36">
            <w:pPr>
              <w:spacing w:before="120" w:after="120" w:line="240" w:lineRule="exact"/>
              <w:rPr>
                <w:rFonts w:eastAsia="Calibri"/>
                <w:szCs w:val="22"/>
                <w:lang w:val="es-ES_tradnl" w:eastAsia="en-US"/>
              </w:rPr>
            </w:pPr>
            <w:r w:rsidRPr="00375C36">
              <w:rPr>
                <w:rFonts w:eastAsia="Calibri"/>
                <w:szCs w:val="22"/>
                <w:lang w:val="es-ES_tradnl" w:eastAsia="en-US"/>
              </w:rPr>
              <w:t>Continuar examinando los asuntos que todavía están sin resolver y las cuestiones transversales relativas a los CC.TT. y las ECT, con miras a reducir los desequilibrios y considerar las distintas opciones relativas a un proyecto de instrumento jurídico.</w:t>
            </w:r>
          </w:p>
          <w:p w:rsidR="00D33DF3" w:rsidRPr="00375C36" w:rsidRDefault="00375C36" w:rsidP="00375C36">
            <w:pPr>
              <w:spacing w:before="120" w:after="120" w:line="240" w:lineRule="exact"/>
              <w:rPr>
                <w:rFonts w:eastAsia="Calibri"/>
                <w:szCs w:val="22"/>
                <w:lang w:eastAsia="en-US"/>
              </w:rPr>
            </w:pPr>
            <w:r w:rsidRPr="00375C36">
              <w:rPr>
                <w:rFonts w:eastAsia="Calibri"/>
                <w:szCs w:val="22"/>
                <w:lang w:val="es-ES_tradnl" w:eastAsia="en-US"/>
              </w:rPr>
              <w:t>Duración:  5 días.</w:t>
            </w:r>
          </w:p>
        </w:tc>
      </w:tr>
      <w:tr w:rsidR="003A51AD" w:rsidRPr="003A51AD" w:rsidTr="00AC3B65">
        <w:tc>
          <w:tcPr>
            <w:tcW w:w="2518" w:type="dxa"/>
            <w:shd w:val="clear" w:color="auto" w:fill="auto"/>
          </w:tcPr>
          <w:p w:rsidR="00D33DF3" w:rsidRPr="003A51AD" w:rsidRDefault="00375C36" w:rsidP="00375C36">
            <w:pPr>
              <w:spacing w:before="120" w:after="120" w:line="240" w:lineRule="exact"/>
              <w:rPr>
                <w:rFonts w:eastAsia="Calibri"/>
                <w:szCs w:val="22"/>
                <w:lang w:eastAsia="en-US"/>
              </w:rPr>
            </w:pPr>
            <w:r w:rsidRPr="003A51AD">
              <w:rPr>
                <w:rFonts w:eastAsia="Calibri"/>
                <w:szCs w:val="22"/>
                <w:lang w:val="es-ES_tradnl" w:eastAsia="en-US"/>
              </w:rPr>
              <w:t>Septiembre de 2018</w:t>
            </w:r>
          </w:p>
        </w:tc>
        <w:tc>
          <w:tcPr>
            <w:tcW w:w="7028" w:type="dxa"/>
            <w:shd w:val="clear" w:color="auto" w:fill="auto"/>
          </w:tcPr>
          <w:p w:rsidR="00D31749" w:rsidRDefault="00375C36" w:rsidP="00375C36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eastAsia="Calibri"/>
                <w:b/>
                <w:bCs/>
                <w:szCs w:val="22"/>
                <w:lang w:val="es-ES_tradnl" w:eastAsia="en-US"/>
              </w:rPr>
            </w:pPr>
            <w:r w:rsidRPr="003A51AD">
              <w:rPr>
                <w:rFonts w:eastAsia="Calibri"/>
                <w:b/>
                <w:bCs/>
                <w:szCs w:val="22"/>
                <w:lang w:val="es-ES_tradnl" w:eastAsia="en-US"/>
              </w:rPr>
              <w:t>Tercera reunión del EIWG</w:t>
            </w:r>
            <w:r w:rsidR="00D33DF3" w:rsidRPr="00FF5C9C">
              <w:rPr>
                <w:rFonts w:eastAsia="Calibri"/>
                <w:b/>
                <w:bCs/>
                <w:szCs w:val="22"/>
                <w:lang w:val="es-ES_tradnl" w:eastAsia="en-US"/>
              </w:rPr>
              <w:t xml:space="preserve"> </w:t>
            </w:r>
          </w:p>
          <w:p w:rsidR="00D31749" w:rsidRDefault="00375C36" w:rsidP="00375C36">
            <w:pPr>
              <w:spacing w:before="120" w:after="120" w:line="240" w:lineRule="exact"/>
              <w:rPr>
                <w:rFonts w:eastAsia="Calibri"/>
                <w:szCs w:val="22"/>
                <w:lang w:val="es-ES_tradnl" w:eastAsia="en-US"/>
              </w:rPr>
            </w:pPr>
            <w:r w:rsidRPr="003A51AD">
              <w:rPr>
                <w:rFonts w:eastAsia="Calibri"/>
                <w:szCs w:val="22"/>
                <w:lang w:val="es-ES_tradnl" w:eastAsia="en-US"/>
              </w:rPr>
              <w:t>Continuar examinando los asuntos que todavía están sin resolver y considerando las distintas opciones relativas a un proyecto de instrumento jurídicamente vinculante sobre los RR.GG., centrándose en:</w:t>
            </w:r>
            <w:r w:rsidR="00D33DF3" w:rsidRPr="00FF5C9C">
              <w:rPr>
                <w:rFonts w:eastAsia="Calibri"/>
                <w:szCs w:val="22"/>
                <w:lang w:val="es-ES_tradnl" w:eastAsia="en-US"/>
              </w:rPr>
              <w:t xml:space="preserve"> </w:t>
            </w:r>
          </w:p>
          <w:p w:rsidR="00D31749" w:rsidRDefault="00375C36" w:rsidP="00375C3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240" w:lineRule="exact"/>
              <w:contextualSpacing/>
              <w:rPr>
                <w:rFonts w:eastAsia="Calibri"/>
                <w:szCs w:val="22"/>
                <w:lang w:val="es-ES_tradnl" w:eastAsia="en-US"/>
              </w:rPr>
            </w:pPr>
            <w:r w:rsidRPr="003A51AD">
              <w:rPr>
                <w:rFonts w:eastAsia="Calibri"/>
                <w:szCs w:val="22"/>
                <w:lang w:val="es-ES_tradnl" w:eastAsia="en-US"/>
              </w:rPr>
              <w:t xml:space="preserve">la relación con </w:t>
            </w:r>
            <w:r w:rsidRPr="00EC5BE6">
              <w:rPr>
                <w:rFonts w:eastAsia="Calibri"/>
                <w:szCs w:val="22"/>
                <w:lang w:val="es-ES_tradnl" w:eastAsia="en-US"/>
              </w:rPr>
              <w:t>otros acuerdos</w:t>
            </w:r>
            <w:r w:rsidRPr="003A51AD">
              <w:rPr>
                <w:rFonts w:eastAsia="Calibri"/>
                <w:szCs w:val="22"/>
                <w:lang w:val="es-ES_tradnl" w:eastAsia="en-US"/>
              </w:rPr>
              <w:t xml:space="preserve"> internacionales</w:t>
            </w:r>
          </w:p>
          <w:p w:rsidR="00D31749" w:rsidRDefault="00375C36" w:rsidP="00375C3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240" w:lineRule="exact"/>
              <w:contextualSpacing/>
              <w:rPr>
                <w:rFonts w:eastAsia="Calibri"/>
                <w:szCs w:val="22"/>
                <w:lang w:val="es-ES_tradnl" w:eastAsia="en-US"/>
              </w:rPr>
            </w:pPr>
            <w:r w:rsidRPr="003A51AD">
              <w:rPr>
                <w:rFonts w:eastAsia="Calibri"/>
                <w:szCs w:val="22"/>
                <w:lang w:val="es-ES_tradnl" w:eastAsia="en-US"/>
              </w:rPr>
              <w:t>La cooperació</w:t>
            </w:r>
            <w:r w:rsidR="007415BA">
              <w:rPr>
                <w:rFonts w:eastAsia="Calibri"/>
                <w:szCs w:val="22"/>
                <w:lang w:val="es-ES_tradnl" w:eastAsia="en-US"/>
              </w:rPr>
              <w:t>n internacional y la cooperación</w:t>
            </w:r>
            <w:r w:rsidRPr="003A51AD">
              <w:rPr>
                <w:rFonts w:eastAsia="Calibri"/>
                <w:szCs w:val="22"/>
                <w:lang w:val="es-ES_tradnl" w:eastAsia="en-US"/>
              </w:rPr>
              <w:t xml:space="preserve"> transfronteriza</w:t>
            </w:r>
          </w:p>
          <w:p w:rsidR="00D31749" w:rsidRDefault="00375C36" w:rsidP="00375C3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240" w:lineRule="exact"/>
              <w:contextualSpacing/>
              <w:rPr>
                <w:rFonts w:eastAsia="Calibri"/>
                <w:szCs w:val="22"/>
                <w:lang w:val="es-ES_tradnl" w:eastAsia="en-US"/>
              </w:rPr>
            </w:pPr>
            <w:r w:rsidRPr="003A51AD">
              <w:rPr>
                <w:rFonts w:eastAsia="Calibri"/>
                <w:szCs w:val="22"/>
                <w:lang w:val="es-ES_tradnl" w:eastAsia="en-US"/>
              </w:rPr>
              <w:t>la asistencia técnica, la cooperación y el fortalecimiento de capacidades</w:t>
            </w:r>
          </w:p>
          <w:p w:rsidR="00D31749" w:rsidRDefault="00D31749" w:rsidP="00AC3B65">
            <w:pPr>
              <w:autoSpaceDE w:val="0"/>
              <w:autoSpaceDN w:val="0"/>
              <w:adjustRightInd w:val="0"/>
              <w:spacing w:before="120" w:after="120" w:line="240" w:lineRule="exact"/>
              <w:ind w:left="720"/>
              <w:contextualSpacing/>
              <w:rPr>
                <w:rFonts w:eastAsia="Calibri"/>
                <w:szCs w:val="22"/>
                <w:lang w:val="es-ES_tradnl" w:eastAsia="en-US"/>
              </w:rPr>
            </w:pPr>
          </w:p>
          <w:p w:rsidR="00D31749" w:rsidRDefault="00375C36" w:rsidP="00375C36">
            <w:pPr>
              <w:autoSpaceDE w:val="0"/>
              <w:autoSpaceDN w:val="0"/>
              <w:adjustRightInd w:val="0"/>
              <w:spacing w:before="120" w:after="120" w:line="240" w:lineRule="exact"/>
              <w:contextualSpacing/>
              <w:rPr>
                <w:rFonts w:eastAsia="Calibri"/>
                <w:szCs w:val="22"/>
                <w:lang w:val="es-ES_tradnl" w:eastAsia="en-US"/>
              </w:rPr>
            </w:pPr>
            <w:r w:rsidRPr="003A51AD">
              <w:rPr>
                <w:rFonts w:eastAsia="Calibri"/>
                <w:szCs w:val="22"/>
                <w:lang w:val="es-ES_tradnl" w:eastAsia="en-US"/>
              </w:rPr>
              <w:t>Duración:  5 días, antes de la 37ª sesión del Comité</w:t>
            </w:r>
          </w:p>
          <w:p w:rsidR="00D33DF3" w:rsidRPr="00FF5C9C" w:rsidRDefault="00D33DF3" w:rsidP="00AC3B65">
            <w:pPr>
              <w:autoSpaceDE w:val="0"/>
              <w:autoSpaceDN w:val="0"/>
              <w:adjustRightInd w:val="0"/>
              <w:spacing w:before="120" w:after="120" w:line="240" w:lineRule="exact"/>
              <w:contextualSpacing/>
              <w:rPr>
                <w:rFonts w:eastAsia="Calibri"/>
                <w:szCs w:val="22"/>
                <w:lang w:val="es-ES_tradnl" w:eastAsia="en-US"/>
              </w:rPr>
            </w:pPr>
          </w:p>
        </w:tc>
      </w:tr>
      <w:tr w:rsidR="003A51AD" w:rsidRPr="003A51AD" w:rsidTr="00AC3B65">
        <w:tc>
          <w:tcPr>
            <w:tcW w:w="2518" w:type="dxa"/>
            <w:shd w:val="clear" w:color="auto" w:fill="auto"/>
          </w:tcPr>
          <w:p w:rsidR="00D33DF3" w:rsidRPr="003A51AD" w:rsidRDefault="00375C36" w:rsidP="00375C36">
            <w:pPr>
              <w:spacing w:before="120" w:after="120" w:line="240" w:lineRule="exact"/>
              <w:rPr>
                <w:rFonts w:eastAsia="Calibri"/>
                <w:szCs w:val="22"/>
                <w:lang w:eastAsia="en-US"/>
              </w:rPr>
            </w:pPr>
            <w:r w:rsidRPr="003A51AD">
              <w:rPr>
                <w:rFonts w:eastAsia="Calibri"/>
                <w:szCs w:val="22"/>
                <w:lang w:val="es-ES_tradnl" w:eastAsia="en-US"/>
              </w:rPr>
              <w:t>Septiembre de 2018</w:t>
            </w:r>
          </w:p>
        </w:tc>
        <w:tc>
          <w:tcPr>
            <w:tcW w:w="7028" w:type="dxa"/>
            <w:shd w:val="clear" w:color="auto" w:fill="auto"/>
          </w:tcPr>
          <w:p w:rsidR="00D31749" w:rsidRDefault="007415BA" w:rsidP="00375C36">
            <w:pPr>
              <w:spacing w:before="120" w:after="120" w:line="240" w:lineRule="exact"/>
              <w:rPr>
                <w:rFonts w:eastAsia="Calibri"/>
                <w:b/>
                <w:szCs w:val="22"/>
                <w:lang w:val="es-ES_tradnl" w:eastAsia="en-US"/>
              </w:rPr>
            </w:pPr>
            <w:r>
              <w:rPr>
                <w:rFonts w:eastAsia="Calibri"/>
                <w:b/>
                <w:szCs w:val="22"/>
                <w:lang w:val="es-ES_tradnl" w:eastAsia="en-US"/>
              </w:rPr>
              <w:t>37ª s</w:t>
            </w:r>
            <w:r w:rsidR="00375C36" w:rsidRPr="003A51AD">
              <w:rPr>
                <w:rFonts w:eastAsia="Calibri"/>
                <w:b/>
                <w:szCs w:val="22"/>
                <w:lang w:val="es-ES_tradnl" w:eastAsia="en-US"/>
              </w:rPr>
              <w:t>esión del Comité</w:t>
            </w:r>
          </w:p>
          <w:p w:rsidR="00D31749" w:rsidRDefault="00375C36" w:rsidP="00375C36">
            <w:pPr>
              <w:spacing w:before="120" w:after="120" w:line="240" w:lineRule="exact"/>
              <w:rPr>
                <w:rFonts w:eastAsia="Calibri"/>
                <w:szCs w:val="22"/>
                <w:lang w:val="es-ES_tradnl" w:eastAsia="en-US"/>
              </w:rPr>
            </w:pPr>
            <w:r w:rsidRPr="003A51AD">
              <w:rPr>
                <w:rFonts w:eastAsia="Calibri"/>
                <w:szCs w:val="22"/>
                <w:lang w:val="es-ES_tradnl" w:eastAsia="en-US"/>
              </w:rPr>
              <w:t xml:space="preserve">El Comité examinará la labor del EIWG y ponderará los progresos realizados con miras a concluir los debates del Comité sobre un proyecto </w:t>
            </w:r>
            <w:r w:rsidRPr="00EC5BE6">
              <w:rPr>
                <w:rFonts w:eastAsia="Calibri"/>
                <w:szCs w:val="22"/>
                <w:lang w:val="es-ES_tradnl" w:eastAsia="en-US"/>
              </w:rPr>
              <w:t xml:space="preserve">de instrumento </w:t>
            </w:r>
            <w:r w:rsidR="00EC5BE6" w:rsidRPr="00EC5BE6">
              <w:rPr>
                <w:rFonts w:eastAsia="Calibri"/>
                <w:szCs w:val="22"/>
                <w:lang w:val="es-ES_tradnl" w:eastAsia="en-US"/>
              </w:rPr>
              <w:t xml:space="preserve">jurídico </w:t>
            </w:r>
            <w:r w:rsidR="007415BA">
              <w:rPr>
                <w:rFonts w:eastAsia="Calibri"/>
                <w:szCs w:val="22"/>
                <w:lang w:val="es-ES_tradnl" w:eastAsia="en-US"/>
              </w:rPr>
              <w:t>relativo a</w:t>
            </w:r>
            <w:r w:rsidRPr="00EC5BE6">
              <w:rPr>
                <w:rFonts w:eastAsia="Calibri"/>
                <w:szCs w:val="22"/>
                <w:lang w:val="es-ES_tradnl" w:eastAsia="en-US"/>
              </w:rPr>
              <w:t xml:space="preserve"> los RR.GG.</w:t>
            </w:r>
          </w:p>
          <w:p w:rsidR="00D33DF3" w:rsidRPr="003A51AD" w:rsidRDefault="00375C36" w:rsidP="00375C36">
            <w:pPr>
              <w:spacing w:before="120" w:after="120" w:line="240" w:lineRule="exact"/>
              <w:rPr>
                <w:rFonts w:eastAsia="Calibri"/>
                <w:szCs w:val="22"/>
                <w:lang w:eastAsia="en-US"/>
              </w:rPr>
            </w:pPr>
            <w:r w:rsidRPr="003A51AD">
              <w:rPr>
                <w:rFonts w:eastAsia="Calibri"/>
                <w:szCs w:val="22"/>
                <w:lang w:val="es-ES_tradnl" w:eastAsia="en-US"/>
              </w:rPr>
              <w:t>Duración:  5 días.</w:t>
            </w:r>
          </w:p>
        </w:tc>
      </w:tr>
      <w:tr w:rsidR="003A51AD" w:rsidRPr="003A51AD" w:rsidTr="00AC3B65">
        <w:tc>
          <w:tcPr>
            <w:tcW w:w="2518" w:type="dxa"/>
            <w:shd w:val="clear" w:color="auto" w:fill="auto"/>
          </w:tcPr>
          <w:p w:rsidR="00D33DF3" w:rsidRPr="003A51AD" w:rsidRDefault="00375C36" w:rsidP="00375C36">
            <w:pPr>
              <w:spacing w:before="120" w:after="120" w:line="240" w:lineRule="exact"/>
              <w:rPr>
                <w:rFonts w:eastAsia="Calibri"/>
                <w:szCs w:val="22"/>
                <w:lang w:eastAsia="en-US"/>
              </w:rPr>
            </w:pPr>
            <w:r w:rsidRPr="003A51AD">
              <w:rPr>
                <w:rFonts w:eastAsia="Calibri"/>
                <w:szCs w:val="22"/>
                <w:lang w:val="es-ES_tradnl" w:eastAsia="en-US"/>
              </w:rPr>
              <w:t>Abril de 2019</w:t>
            </w:r>
          </w:p>
        </w:tc>
        <w:tc>
          <w:tcPr>
            <w:tcW w:w="7028" w:type="dxa"/>
            <w:shd w:val="clear" w:color="auto" w:fill="auto"/>
          </w:tcPr>
          <w:p w:rsidR="00D31749" w:rsidRDefault="00EC5BE6" w:rsidP="00375C36">
            <w:pPr>
              <w:spacing w:before="120" w:after="120" w:line="240" w:lineRule="exact"/>
              <w:rPr>
                <w:rFonts w:eastAsia="Calibri"/>
                <w:szCs w:val="22"/>
                <w:lang w:val="es-ES_tradnl" w:eastAsia="en-US"/>
              </w:rPr>
            </w:pPr>
            <w:r w:rsidRPr="007415BA">
              <w:rPr>
                <w:rFonts w:eastAsia="Calibri"/>
                <w:szCs w:val="22"/>
                <w:lang w:eastAsia="en-US"/>
              </w:rPr>
              <w:t>C</w:t>
            </w:r>
            <w:r w:rsidRPr="007415BA">
              <w:rPr>
                <w:rFonts w:eastAsia="Calibri"/>
                <w:szCs w:val="22"/>
                <w:lang w:val="es-ES_tradnl" w:eastAsia="en-US"/>
              </w:rPr>
              <w:t>omité preparatorio de la conferencia d</w:t>
            </w:r>
            <w:r w:rsidR="00375C36" w:rsidRPr="007415BA">
              <w:rPr>
                <w:rFonts w:eastAsia="Calibri"/>
                <w:szCs w:val="22"/>
                <w:lang w:val="es-ES_tradnl" w:eastAsia="en-US"/>
              </w:rPr>
              <w:t>ipl</w:t>
            </w:r>
            <w:r w:rsidRPr="007415BA">
              <w:rPr>
                <w:rFonts w:eastAsia="Calibri"/>
                <w:szCs w:val="22"/>
                <w:lang w:val="es-ES_tradnl" w:eastAsia="en-US"/>
              </w:rPr>
              <w:t>omática sobre RR</w:t>
            </w:r>
            <w:r>
              <w:rPr>
                <w:rFonts w:eastAsia="Calibri"/>
                <w:szCs w:val="22"/>
                <w:lang w:val="es-ES_tradnl" w:eastAsia="en-US"/>
              </w:rPr>
              <w:t>.GG.</w:t>
            </w:r>
          </w:p>
          <w:p w:rsidR="00D33DF3" w:rsidRPr="003A51AD" w:rsidRDefault="00375C36" w:rsidP="00375C36">
            <w:pPr>
              <w:spacing w:before="120" w:after="120" w:line="240" w:lineRule="exact"/>
              <w:rPr>
                <w:rFonts w:eastAsia="Calibri"/>
                <w:szCs w:val="22"/>
                <w:lang w:eastAsia="en-US"/>
              </w:rPr>
            </w:pPr>
            <w:r w:rsidRPr="003A51AD">
              <w:rPr>
                <w:rFonts w:eastAsia="Calibri"/>
                <w:szCs w:val="22"/>
                <w:lang w:val="es-ES_tradnl" w:eastAsia="en-US"/>
              </w:rPr>
              <w:t>Duración:  5 días.</w:t>
            </w:r>
          </w:p>
        </w:tc>
      </w:tr>
      <w:tr w:rsidR="00E961E3" w:rsidRPr="00E961E3" w:rsidTr="00AC3B65">
        <w:tc>
          <w:tcPr>
            <w:tcW w:w="2518" w:type="dxa"/>
            <w:shd w:val="clear" w:color="auto" w:fill="auto"/>
          </w:tcPr>
          <w:p w:rsidR="00D33DF3" w:rsidRPr="00E961E3" w:rsidRDefault="00375C36" w:rsidP="00375C36">
            <w:pPr>
              <w:spacing w:before="120" w:after="120" w:line="240" w:lineRule="exact"/>
              <w:rPr>
                <w:rFonts w:eastAsia="Calibri"/>
                <w:szCs w:val="22"/>
                <w:lang w:eastAsia="en-US"/>
              </w:rPr>
            </w:pPr>
            <w:r w:rsidRPr="00E961E3">
              <w:rPr>
                <w:rFonts w:eastAsia="Calibri"/>
                <w:szCs w:val="22"/>
                <w:lang w:val="es-ES_tradnl" w:eastAsia="en-US"/>
              </w:rPr>
              <w:t>Abril de 2019</w:t>
            </w:r>
          </w:p>
        </w:tc>
        <w:tc>
          <w:tcPr>
            <w:tcW w:w="7028" w:type="dxa"/>
            <w:shd w:val="clear" w:color="auto" w:fill="auto"/>
          </w:tcPr>
          <w:p w:rsidR="00D31749" w:rsidRPr="007415BA" w:rsidRDefault="00E961E3" w:rsidP="00E961E3">
            <w:pPr>
              <w:spacing w:before="120" w:after="120" w:line="240" w:lineRule="exact"/>
              <w:rPr>
                <w:rFonts w:eastAsia="Calibri"/>
                <w:szCs w:val="22"/>
                <w:lang w:val="es-ES_tradnl" w:eastAsia="en-US"/>
              </w:rPr>
            </w:pPr>
            <w:r w:rsidRPr="00E961E3">
              <w:rPr>
                <w:rFonts w:eastAsia="Calibri"/>
                <w:szCs w:val="22"/>
                <w:lang w:val="es-ES_tradnl" w:eastAsia="en-US"/>
              </w:rPr>
              <w:t xml:space="preserve">Conferencia </w:t>
            </w:r>
            <w:r w:rsidR="007415BA">
              <w:rPr>
                <w:rFonts w:eastAsia="Calibri"/>
                <w:szCs w:val="22"/>
                <w:lang w:val="es-ES_tradnl" w:eastAsia="en-US"/>
              </w:rPr>
              <w:t>d</w:t>
            </w:r>
            <w:r w:rsidRPr="00E961E3">
              <w:rPr>
                <w:rFonts w:eastAsia="Calibri"/>
                <w:szCs w:val="22"/>
                <w:lang w:val="es-ES_tradnl" w:eastAsia="en-US"/>
              </w:rPr>
              <w:t>iplomática para la adopción de un instrumento internacional jurídicamente vinculante para la protección eficaz y equilibrada de los RR.GG.</w:t>
            </w:r>
          </w:p>
          <w:p w:rsidR="00D31749" w:rsidRDefault="00E961E3" w:rsidP="00E961E3">
            <w:pPr>
              <w:spacing w:before="120" w:after="120" w:line="240" w:lineRule="exact"/>
              <w:rPr>
                <w:rFonts w:eastAsia="Calibri"/>
                <w:szCs w:val="22"/>
                <w:lang w:eastAsia="en-US"/>
              </w:rPr>
            </w:pPr>
            <w:r w:rsidRPr="00E961E3">
              <w:rPr>
                <w:rFonts w:eastAsia="Calibri"/>
                <w:szCs w:val="22"/>
                <w:lang w:val="es-ES_tradnl" w:eastAsia="en-US"/>
              </w:rPr>
              <w:t>Duración:  18 días</w:t>
            </w:r>
          </w:p>
          <w:p w:rsidR="00D33DF3" w:rsidRPr="00E961E3" w:rsidRDefault="00E961E3" w:rsidP="00E961E3">
            <w:pPr>
              <w:spacing w:before="120" w:after="120" w:line="240" w:lineRule="exact"/>
              <w:rPr>
                <w:rFonts w:eastAsia="Calibri"/>
                <w:szCs w:val="22"/>
                <w:lang w:eastAsia="en-US"/>
              </w:rPr>
            </w:pPr>
            <w:r w:rsidRPr="00E961E3">
              <w:rPr>
                <w:rFonts w:eastAsia="Calibri"/>
                <w:szCs w:val="22"/>
                <w:lang w:val="es-ES_tradnl" w:eastAsia="en-US"/>
              </w:rPr>
              <w:t>Lugar:  África</w:t>
            </w:r>
            <w:r w:rsidR="00D33DF3" w:rsidRPr="00E961E3">
              <w:rPr>
                <w:rFonts w:eastAsia="Calibri"/>
                <w:szCs w:val="22"/>
                <w:lang w:eastAsia="en-US"/>
              </w:rPr>
              <w:t xml:space="preserve"> </w:t>
            </w:r>
          </w:p>
        </w:tc>
      </w:tr>
      <w:tr w:rsidR="00D31749" w:rsidRPr="00D31749" w:rsidTr="00AC3B65">
        <w:tc>
          <w:tcPr>
            <w:tcW w:w="2518" w:type="dxa"/>
            <w:shd w:val="clear" w:color="auto" w:fill="auto"/>
          </w:tcPr>
          <w:p w:rsidR="00D33DF3" w:rsidRPr="00D31749" w:rsidRDefault="00E961E3" w:rsidP="00E961E3">
            <w:pPr>
              <w:spacing w:before="120" w:after="120" w:line="240" w:lineRule="exact"/>
              <w:rPr>
                <w:rFonts w:eastAsia="Calibri"/>
                <w:szCs w:val="22"/>
                <w:lang w:eastAsia="en-US"/>
              </w:rPr>
            </w:pPr>
            <w:r w:rsidRPr="00D31749">
              <w:rPr>
                <w:rFonts w:eastAsia="Calibri"/>
                <w:szCs w:val="22"/>
                <w:lang w:val="es-ES_tradnl" w:eastAsia="en-US"/>
              </w:rPr>
              <w:t>Octubre de 2019</w:t>
            </w:r>
          </w:p>
        </w:tc>
        <w:tc>
          <w:tcPr>
            <w:tcW w:w="7028" w:type="dxa"/>
            <w:shd w:val="clear" w:color="auto" w:fill="auto"/>
          </w:tcPr>
          <w:p w:rsidR="00D33DF3" w:rsidRPr="00D31749" w:rsidRDefault="00D31749" w:rsidP="00D31749">
            <w:pPr>
              <w:spacing w:before="120" w:after="120" w:line="240" w:lineRule="exact"/>
              <w:rPr>
                <w:rFonts w:eastAsia="Calibri"/>
                <w:szCs w:val="22"/>
                <w:lang w:val="en-US" w:eastAsia="en-US"/>
              </w:rPr>
            </w:pPr>
            <w:r w:rsidRPr="00D31749">
              <w:rPr>
                <w:rFonts w:eastAsia="Calibri"/>
                <w:szCs w:val="22"/>
                <w:lang w:val="es-ES_tradnl" w:eastAsia="en-US"/>
              </w:rPr>
              <w:t xml:space="preserve">Decisión de la Asamblea General </w:t>
            </w:r>
            <w:r w:rsidR="00FB57E1">
              <w:rPr>
                <w:rFonts w:eastAsia="Calibri"/>
                <w:szCs w:val="22"/>
                <w:lang w:val="es-ES_tradnl" w:eastAsia="en-US"/>
              </w:rPr>
              <w:t xml:space="preserve">de la OMPI </w:t>
            </w:r>
            <w:r w:rsidRPr="00D31749">
              <w:rPr>
                <w:rFonts w:eastAsia="Calibri"/>
                <w:szCs w:val="22"/>
                <w:lang w:val="es-ES_tradnl" w:eastAsia="en-US"/>
              </w:rPr>
              <w:t>sobre el programa de trabajo del Comité relativo a los CC.TT. y las ECT.</w:t>
            </w:r>
          </w:p>
        </w:tc>
      </w:tr>
    </w:tbl>
    <w:p w:rsidR="00D31749" w:rsidRDefault="00D31749" w:rsidP="00D33DF3">
      <w:pPr>
        <w:autoSpaceDE w:val="0"/>
        <w:autoSpaceDN w:val="0"/>
        <w:adjustRightInd w:val="0"/>
        <w:rPr>
          <w:rFonts w:eastAsia="Calibri"/>
          <w:szCs w:val="22"/>
          <w:lang w:val="en-GB" w:eastAsia="en-US"/>
        </w:rPr>
      </w:pPr>
    </w:p>
    <w:p w:rsidR="00D31749" w:rsidRDefault="00D31749" w:rsidP="00D33DF3">
      <w:pPr>
        <w:rPr>
          <w:lang w:val="en-US"/>
        </w:rPr>
      </w:pPr>
    </w:p>
    <w:p w:rsidR="00D50EE3" w:rsidRDefault="00D50EE3" w:rsidP="00D33DF3">
      <w:pPr>
        <w:rPr>
          <w:lang w:val="en-US"/>
        </w:rPr>
      </w:pPr>
    </w:p>
    <w:p w:rsidR="00D33DF3" w:rsidRPr="00EC5BE6" w:rsidRDefault="00D31749" w:rsidP="00EC5BE6">
      <w:pPr>
        <w:ind w:left="5534"/>
        <w:contextualSpacing/>
        <w:rPr>
          <w:szCs w:val="22"/>
          <w:lang w:val="es-ES_tradnl" w:eastAsia="en-US"/>
        </w:rPr>
      </w:pPr>
      <w:r w:rsidRPr="00D31749">
        <w:rPr>
          <w:szCs w:val="22"/>
          <w:lang w:val="es-ES_tradnl" w:eastAsia="en-US"/>
        </w:rPr>
        <w:t>[Fin del Anexo y del documento]</w:t>
      </w:r>
    </w:p>
    <w:sectPr w:rsidR="00D33DF3" w:rsidRPr="00EC5BE6" w:rsidSect="00D70B35">
      <w:headerReference w:type="default" r:id="rId12"/>
      <w:head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DF3" w:rsidRDefault="00D33DF3">
      <w:r>
        <w:separator/>
      </w:r>
    </w:p>
  </w:endnote>
  <w:endnote w:type="continuationSeparator" w:id="0">
    <w:p w:rsidR="00D33DF3" w:rsidRPr="009D30E6" w:rsidRDefault="00D33DF3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D33DF3" w:rsidRPr="007E663E" w:rsidRDefault="00D33DF3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D33DF3" w:rsidRPr="007E663E" w:rsidRDefault="00D33DF3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DF3" w:rsidRDefault="00D33DF3">
      <w:r>
        <w:separator/>
      </w:r>
    </w:p>
  </w:footnote>
  <w:footnote w:type="continuationSeparator" w:id="0">
    <w:p w:rsidR="00D33DF3" w:rsidRPr="009D30E6" w:rsidRDefault="00D33DF3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D33DF3" w:rsidRPr="007E663E" w:rsidRDefault="00D33DF3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D33DF3" w:rsidRPr="007E663E" w:rsidRDefault="00D33DF3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D33DF3" w:rsidP="00477D6B">
    <w:pPr>
      <w:jc w:val="right"/>
    </w:pPr>
    <w:bookmarkStart w:id="5" w:name="Code2"/>
    <w:bookmarkEnd w:id="5"/>
    <w:r>
      <w:t>WO/GA/49/17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7001E1">
      <w:rPr>
        <w:noProof/>
      </w:rPr>
      <w:t>3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334067" w:rsidP="00477D6B">
    <w:pPr>
      <w:jc w:val="right"/>
    </w:pPr>
    <w:r w:rsidRPr="00254057">
      <w:t>WO/GA/49/</w:t>
    </w:r>
    <w:r>
      <w:t>17</w:t>
    </w:r>
  </w:p>
  <w:p w:rsidR="00EC4E49" w:rsidRDefault="00334067" w:rsidP="00477D6B">
    <w:pPr>
      <w:jc w:val="right"/>
    </w:pPr>
    <w:r>
      <w:t>Anex</w:t>
    </w:r>
    <w:r w:rsidR="00D33DF3">
      <w:t>o</w:t>
    </w:r>
    <w:r>
      <w:t>, p</w:t>
    </w:r>
    <w:r w:rsidR="00D33DF3">
      <w:t>ágina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A34E4">
      <w:rPr>
        <w:noProof/>
      </w:rPr>
      <w:t>4</w:t>
    </w:r>
    <w:r>
      <w:fldChar w:fldCharType="end"/>
    </w:r>
  </w:p>
  <w:p w:rsidR="008A134B" w:rsidRDefault="00EA34E4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B35" w:rsidRDefault="00334067" w:rsidP="00D70B35">
    <w:pPr>
      <w:pStyle w:val="Header"/>
      <w:jc w:val="right"/>
    </w:pPr>
    <w:r w:rsidRPr="00254057">
      <w:t>WO/GA/49/</w:t>
    </w:r>
    <w:r>
      <w:t>17</w:t>
    </w:r>
  </w:p>
  <w:p w:rsidR="00D70B35" w:rsidRDefault="00334067" w:rsidP="00D70B35">
    <w:pPr>
      <w:pStyle w:val="Header"/>
      <w:jc w:val="right"/>
    </w:pPr>
    <w:r>
      <w:t>ANEX</w:t>
    </w:r>
    <w:r w:rsidR="00D33DF3">
      <w:t>O</w:t>
    </w:r>
  </w:p>
  <w:p w:rsidR="00D70B35" w:rsidRDefault="00EA34E4" w:rsidP="00D70B3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4704FD5"/>
    <w:multiLevelType w:val="hybridMultilevel"/>
    <w:tmpl w:val="E4A88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3425DAD"/>
    <w:multiLevelType w:val="hybridMultilevel"/>
    <w:tmpl w:val="7822317A"/>
    <w:lvl w:ilvl="0" w:tplc="04090017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TRADTERM|WIPONew"/>
    <w:docVar w:name="TermBaseURL" w:val="empty"/>
    <w:docVar w:name="TextBases" w:val="Team Server TMs\Spanish|TextBase TMs\WorkspaceSTS\Treaties &amp; Laws\WIPO Lex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"/>
    <w:docVar w:name="TextBaseURL" w:val="empty"/>
    <w:docVar w:name="UILng" w:val="en"/>
  </w:docVars>
  <w:rsids>
    <w:rsidRoot w:val="00D33DF3"/>
    <w:rsid w:val="00010686"/>
    <w:rsid w:val="00024825"/>
    <w:rsid w:val="00052915"/>
    <w:rsid w:val="00086E1F"/>
    <w:rsid w:val="00093860"/>
    <w:rsid w:val="000E3BB3"/>
    <w:rsid w:val="000F5E56"/>
    <w:rsid w:val="001362EE"/>
    <w:rsid w:val="00152CEA"/>
    <w:rsid w:val="001832A6"/>
    <w:rsid w:val="002634C4"/>
    <w:rsid w:val="00291DC5"/>
    <w:rsid w:val="002A6554"/>
    <w:rsid w:val="002E0F47"/>
    <w:rsid w:val="002E438E"/>
    <w:rsid w:val="002F4E68"/>
    <w:rsid w:val="003018DD"/>
    <w:rsid w:val="00310826"/>
    <w:rsid w:val="00334067"/>
    <w:rsid w:val="00354647"/>
    <w:rsid w:val="003579BF"/>
    <w:rsid w:val="00375C36"/>
    <w:rsid w:val="00377273"/>
    <w:rsid w:val="003845C1"/>
    <w:rsid w:val="00387287"/>
    <w:rsid w:val="003A51AD"/>
    <w:rsid w:val="003E48F1"/>
    <w:rsid w:val="003F347A"/>
    <w:rsid w:val="00423E3E"/>
    <w:rsid w:val="00427AF4"/>
    <w:rsid w:val="0045231F"/>
    <w:rsid w:val="004647DA"/>
    <w:rsid w:val="00467366"/>
    <w:rsid w:val="0046793F"/>
    <w:rsid w:val="00477808"/>
    <w:rsid w:val="00477D6B"/>
    <w:rsid w:val="0049443B"/>
    <w:rsid w:val="004949E3"/>
    <w:rsid w:val="004A6C37"/>
    <w:rsid w:val="004E297D"/>
    <w:rsid w:val="00531B02"/>
    <w:rsid w:val="005332F0"/>
    <w:rsid w:val="0055013B"/>
    <w:rsid w:val="00571B99"/>
    <w:rsid w:val="00605827"/>
    <w:rsid w:val="00617949"/>
    <w:rsid w:val="0064216B"/>
    <w:rsid w:val="00675021"/>
    <w:rsid w:val="0069478E"/>
    <w:rsid w:val="006A06C6"/>
    <w:rsid w:val="006F3E8B"/>
    <w:rsid w:val="007001E1"/>
    <w:rsid w:val="007224C8"/>
    <w:rsid w:val="00727AD4"/>
    <w:rsid w:val="007415BA"/>
    <w:rsid w:val="00794BE2"/>
    <w:rsid w:val="007A5581"/>
    <w:rsid w:val="007B71FE"/>
    <w:rsid w:val="007D781E"/>
    <w:rsid w:val="007E663E"/>
    <w:rsid w:val="00815082"/>
    <w:rsid w:val="0088395E"/>
    <w:rsid w:val="008B2CC1"/>
    <w:rsid w:val="008C181B"/>
    <w:rsid w:val="008E6BD6"/>
    <w:rsid w:val="0090731E"/>
    <w:rsid w:val="0091416D"/>
    <w:rsid w:val="00966A22"/>
    <w:rsid w:val="00972F03"/>
    <w:rsid w:val="009A0C8B"/>
    <w:rsid w:val="009A20CD"/>
    <w:rsid w:val="009B6241"/>
    <w:rsid w:val="00A16FC0"/>
    <w:rsid w:val="00A32C9E"/>
    <w:rsid w:val="00AB613D"/>
    <w:rsid w:val="00AD1E7E"/>
    <w:rsid w:val="00AE7F20"/>
    <w:rsid w:val="00B134A7"/>
    <w:rsid w:val="00B50D10"/>
    <w:rsid w:val="00B532ED"/>
    <w:rsid w:val="00B534D5"/>
    <w:rsid w:val="00B65A0A"/>
    <w:rsid w:val="00B67CDC"/>
    <w:rsid w:val="00B72D36"/>
    <w:rsid w:val="00B93370"/>
    <w:rsid w:val="00BC4164"/>
    <w:rsid w:val="00BD2DCC"/>
    <w:rsid w:val="00C90559"/>
    <w:rsid w:val="00CA2251"/>
    <w:rsid w:val="00CB2506"/>
    <w:rsid w:val="00D31749"/>
    <w:rsid w:val="00D33DF3"/>
    <w:rsid w:val="00D50EE3"/>
    <w:rsid w:val="00D56C7C"/>
    <w:rsid w:val="00D71B4D"/>
    <w:rsid w:val="00D90289"/>
    <w:rsid w:val="00D93D55"/>
    <w:rsid w:val="00DC4C60"/>
    <w:rsid w:val="00E0079A"/>
    <w:rsid w:val="00E444DA"/>
    <w:rsid w:val="00E45C84"/>
    <w:rsid w:val="00E504E5"/>
    <w:rsid w:val="00E961E3"/>
    <w:rsid w:val="00EA34E4"/>
    <w:rsid w:val="00EB7A3E"/>
    <w:rsid w:val="00EC1AA7"/>
    <w:rsid w:val="00EC401A"/>
    <w:rsid w:val="00EC5BE6"/>
    <w:rsid w:val="00EF530A"/>
    <w:rsid w:val="00EF6622"/>
    <w:rsid w:val="00EF78A9"/>
    <w:rsid w:val="00F55408"/>
    <w:rsid w:val="00F66152"/>
    <w:rsid w:val="00F80845"/>
    <w:rsid w:val="00F84474"/>
    <w:rsid w:val="00F91CA3"/>
    <w:rsid w:val="00FA0F0D"/>
    <w:rsid w:val="00FB57E1"/>
    <w:rsid w:val="00FD59D1"/>
    <w:rsid w:val="00FF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B933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3370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ONUMEChar">
    <w:name w:val="ONUM E Char"/>
    <w:link w:val="ONUME"/>
    <w:rsid w:val="00D33DF3"/>
    <w:rPr>
      <w:rFonts w:ascii="Arial" w:eastAsia="SimSun" w:hAnsi="Arial" w:cs="Arial"/>
      <w:sz w:val="22"/>
      <w:lang w:val="es-ES" w:eastAsia="zh-CN"/>
    </w:rPr>
  </w:style>
  <w:style w:type="character" w:customStyle="1" w:styleId="HeaderChar">
    <w:name w:val="Header Char"/>
    <w:link w:val="Header"/>
    <w:uiPriority w:val="99"/>
    <w:locked/>
    <w:rsid w:val="00D33DF3"/>
    <w:rPr>
      <w:rFonts w:ascii="Arial" w:eastAsia="SimSun" w:hAnsi="Arial" w:cs="Arial"/>
      <w:sz w:val="22"/>
      <w:lang w:val="es-ES" w:eastAsia="zh-CN"/>
    </w:rPr>
  </w:style>
  <w:style w:type="paragraph" w:styleId="ListParagraph">
    <w:name w:val="List Paragraph"/>
    <w:basedOn w:val="Normal"/>
    <w:uiPriority w:val="34"/>
    <w:qFormat/>
    <w:rsid w:val="00D33DF3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val="es-SV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B933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3370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ONUMEChar">
    <w:name w:val="ONUM E Char"/>
    <w:link w:val="ONUME"/>
    <w:rsid w:val="00D33DF3"/>
    <w:rPr>
      <w:rFonts w:ascii="Arial" w:eastAsia="SimSun" w:hAnsi="Arial" w:cs="Arial"/>
      <w:sz w:val="22"/>
      <w:lang w:val="es-ES" w:eastAsia="zh-CN"/>
    </w:rPr>
  </w:style>
  <w:style w:type="character" w:customStyle="1" w:styleId="HeaderChar">
    <w:name w:val="Header Char"/>
    <w:link w:val="Header"/>
    <w:uiPriority w:val="99"/>
    <w:locked/>
    <w:rsid w:val="00D33DF3"/>
    <w:rPr>
      <w:rFonts w:ascii="Arial" w:eastAsia="SimSun" w:hAnsi="Arial" w:cs="Arial"/>
      <w:sz w:val="22"/>
      <w:lang w:val="es-ES" w:eastAsia="zh-CN"/>
    </w:rPr>
  </w:style>
  <w:style w:type="paragraph" w:styleId="ListParagraph">
    <w:name w:val="List Paragraph"/>
    <w:basedOn w:val="Normal"/>
    <w:uiPriority w:val="34"/>
    <w:qFormat/>
    <w:rsid w:val="00D33DF3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5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49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 GA 49 (S).dotm</Template>
  <TotalTime>17</TotalTime>
  <Pages>5</Pages>
  <Words>1491</Words>
  <Characters>8067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WO/GA/49/17</vt:lpstr>
    </vt:vector>
  </TitlesOfParts>
  <Company>WIPO</Company>
  <LinksUpToDate>false</LinksUpToDate>
  <CharactersWithSpaces>9539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WO/GA/49/17</dc:title>
  <dc:creator>MORILLO CASTELLANOS Antonio</dc:creator>
  <dc:description>AMC - 1.8.2017//KP(QC) - 3.8.2017</dc:description>
  <cp:lastModifiedBy>KONTA DE PALMA Livia</cp:lastModifiedBy>
  <cp:revision>3</cp:revision>
  <cp:lastPrinted>2017-08-02T13:02:00Z</cp:lastPrinted>
  <dcterms:created xsi:type="dcterms:W3CDTF">2017-08-02T16:11:00Z</dcterms:created>
  <dcterms:modified xsi:type="dcterms:W3CDTF">2017-08-03T08:36:00Z</dcterms:modified>
</cp:coreProperties>
</file>