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84" w:rsidRPr="0019082A" w:rsidRDefault="00472A6E" w:rsidP="001E1326">
      <w:pPr>
        <w:spacing w:before="360" w:after="240"/>
        <w:ind w:right="-57"/>
        <w:jc w:val="right"/>
        <w:rPr>
          <w:lang w:val="es-419"/>
        </w:rPr>
      </w:pPr>
      <w:r w:rsidRPr="0019082A">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00F84" w:rsidRPr="0019082A" w:rsidRDefault="001E1326" w:rsidP="001E1326">
      <w:pPr>
        <w:pBdr>
          <w:top w:val="single" w:sz="4" w:space="12" w:color="auto"/>
        </w:pBdr>
        <w:jc w:val="right"/>
        <w:rPr>
          <w:rFonts w:ascii="Arial Black" w:hAnsi="Arial Black"/>
          <w:caps/>
          <w:sz w:val="15"/>
          <w:lang w:val="es-419"/>
        </w:rPr>
      </w:pPr>
      <w:r w:rsidRPr="0019082A">
        <w:rPr>
          <w:rFonts w:ascii="Arial Black" w:hAnsi="Arial Black"/>
          <w:caps/>
          <w:sz w:val="15"/>
          <w:lang w:val="es-419"/>
        </w:rPr>
        <w:t>WO/GA/52/</w:t>
      </w:r>
      <w:bookmarkStart w:id="0" w:name="Code"/>
      <w:r w:rsidR="007A69EA" w:rsidRPr="0019082A">
        <w:rPr>
          <w:rFonts w:ascii="Arial Black" w:hAnsi="Arial Black"/>
          <w:caps/>
          <w:sz w:val="15"/>
          <w:lang w:val="es-419"/>
        </w:rPr>
        <w:t>1</w:t>
      </w:r>
      <w:r w:rsidR="00A95227">
        <w:rPr>
          <w:rFonts w:ascii="Arial Black" w:hAnsi="Arial Black"/>
          <w:caps/>
          <w:sz w:val="15"/>
          <w:lang w:val="es-419"/>
        </w:rPr>
        <w:t xml:space="preserve"> REV.</w:t>
      </w:r>
    </w:p>
    <w:bookmarkEnd w:id="0"/>
    <w:p w:rsidR="00B00F84" w:rsidRPr="0019082A" w:rsidRDefault="00472A6E" w:rsidP="00472A6E">
      <w:pPr>
        <w:jc w:val="right"/>
        <w:rPr>
          <w:lang w:val="es-419"/>
        </w:rPr>
      </w:pPr>
      <w:r w:rsidRPr="0019082A">
        <w:rPr>
          <w:rFonts w:ascii="Arial Black" w:hAnsi="Arial Black"/>
          <w:caps/>
          <w:sz w:val="15"/>
          <w:lang w:val="es-419"/>
        </w:rPr>
        <w:t xml:space="preserve">ORIGINAL: </w:t>
      </w:r>
      <w:bookmarkStart w:id="1" w:name="Original"/>
      <w:r w:rsidR="007A69EA" w:rsidRPr="0019082A">
        <w:rPr>
          <w:rFonts w:ascii="Arial Black" w:hAnsi="Arial Black"/>
          <w:caps/>
          <w:sz w:val="15"/>
          <w:lang w:val="es-419"/>
        </w:rPr>
        <w:t>INGLÉS</w:t>
      </w:r>
    </w:p>
    <w:bookmarkEnd w:id="1"/>
    <w:p w:rsidR="00B00F84" w:rsidRPr="0019082A" w:rsidRDefault="00472A6E" w:rsidP="00472A6E">
      <w:pPr>
        <w:spacing w:after="1200"/>
        <w:jc w:val="right"/>
        <w:rPr>
          <w:lang w:val="es-419"/>
        </w:rPr>
      </w:pPr>
      <w:r w:rsidRPr="0019082A">
        <w:rPr>
          <w:rFonts w:ascii="Arial Black" w:hAnsi="Arial Black"/>
          <w:caps/>
          <w:sz w:val="15"/>
          <w:lang w:val="es-419"/>
        </w:rPr>
        <w:t xml:space="preserve">fecha: </w:t>
      </w:r>
      <w:bookmarkStart w:id="2" w:name="Date"/>
      <w:r w:rsidR="00B92FE0">
        <w:rPr>
          <w:rFonts w:ascii="Arial Black" w:hAnsi="Arial Black"/>
          <w:caps/>
          <w:sz w:val="15"/>
          <w:lang w:val="es-419"/>
        </w:rPr>
        <w:t>21</w:t>
      </w:r>
      <w:bookmarkStart w:id="3" w:name="_GoBack"/>
      <w:bookmarkEnd w:id="3"/>
      <w:r w:rsidR="007A69EA" w:rsidRPr="0019082A">
        <w:rPr>
          <w:rFonts w:ascii="Arial Black" w:hAnsi="Arial Black"/>
          <w:caps/>
          <w:sz w:val="15"/>
          <w:lang w:val="es-419"/>
        </w:rPr>
        <w:t xml:space="preserve"> DE ABRIL DE 2020</w:t>
      </w:r>
    </w:p>
    <w:bookmarkEnd w:id="2"/>
    <w:p w:rsidR="00B00F84" w:rsidRPr="0019082A" w:rsidRDefault="001E1326" w:rsidP="001E1326">
      <w:pPr>
        <w:pStyle w:val="Heading1"/>
        <w:spacing w:before="0" w:after="600"/>
        <w:rPr>
          <w:sz w:val="28"/>
          <w:szCs w:val="28"/>
          <w:lang w:val="es-419"/>
        </w:rPr>
      </w:pPr>
      <w:r w:rsidRPr="0019082A">
        <w:rPr>
          <w:caps w:val="0"/>
          <w:sz w:val="28"/>
          <w:szCs w:val="28"/>
          <w:lang w:val="es-419"/>
        </w:rPr>
        <w:t>Asamblea General de la OMPI</w:t>
      </w:r>
    </w:p>
    <w:p w:rsidR="00B00F84" w:rsidRPr="0019082A" w:rsidRDefault="001E1326" w:rsidP="001E1326">
      <w:pPr>
        <w:spacing w:after="720"/>
        <w:outlineLvl w:val="1"/>
        <w:rPr>
          <w:b/>
          <w:sz w:val="24"/>
          <w:szCs w:val="24"/>
          <w:lang w:val="es-419"/>
        </w:rPr>
      </w:pPr>
      <w:r w:rsidRPr="0019082A">
        <w:rPr>
          <w:b/>
          <w:sz w:val="24"/>
          <w:szCs w:val="24"/>
          <w:lang w:val="es-419"/>
        </w:rPr>
        <w:t>Quincuagésimo segundo período de sesiones (28.º extraordinario)</w:t>
      </w:r>
      <w:r w:rsidRPr="0019082A">
        <w:rPr>
          <w:b/>
          <w:sz w:val="24"/>
          <w:szCs w:val="24"/>
          <w:lang w:val="es-419"/>
        </w:rPr>
        <w:br/>
        <w:t>Ginebra, 7 y 8 de mayo de 2020</w:t>
      </w:r>
    </w:p>
    <w:p w:rsidR="00B00F84" w:rsidRPr="0019082A" w:rsidRDefault="007A69EA" w:rsidP="007A69EA">
      <w:pPr>
        <w:spacing w:after="360"/>
        <w:outlineLvl w:val="0"/>
        <w:rPr>
          <w:caps/>
          <w:sz w:val="24"/>
          <w:lang w:val="es-419"/>
        </w:rPr>
      </w:pPr>
      <w:bookmarkStart w:id="4" w:name="TitleOfDoc"/>
      <w:r w:rsidRPr="0019082A">
        <w:rPr>
          <w:caps/>
          <w:sz w:val="24"/>
          <w:lang w:val="es-419"/>
        </w:rPr>
        <w:t>CONDI</w:t>
      </w:r>
      <w:r w:rsidR="0066519E" w:rsidRPr="0019082A">
        <w:rPr>
          <w:caps/>
          <w:sz w:val="24"/>
          <w:lang w:val="es-419"/>
        </w:rPr>
        <w:t xml:space="preserve">CIONES DE LA DESIGNACIÓN DEL </w:t>
      </w:r>
      <w:r w:rsidRPr="0019082A">
        <w:rPr>
          <w:caps/>
          <w:sz w:val="24"/>
          <w:lang w:val="es-419"/>
        </w:rPr>
        <w:t>DIRECTOR GENERAL</w:t>
      </w:r>
    </w:p>
    <w:p w:rsidR="00B00F84" w:rsidRPr="0019082A" w:rsidRDefault="0066519E" w:rsidP="007A69EA">
      <w:pPr>
        <w:spacing w:after="960"/>
        <w:rPr>
          <w:i/>
          <w:lang w:val="es-419"/>
        </w:rPr>
      </w:pPr>
      <w:bookmarkStart w:id="5" w:name="Prepared"/>
      <w:bookmarkEnd w:id="4"/>
      <w:r w:rsidRPr="0019082A">
        <w:rPr>
          <w:i/>
          <w:lang w:val="es-419"/>
        </w:rPr>
        <w:t>Documento preparado por la Secretaría</w:t>
      </w:r>
    </w:p>
    <w:bookmarkEnd w:id="5"/>
    <w:p w:rsidR="00B00F84" w:rsidRPr="0019082A" w:rsidRDefault="007A69EA" w:rsidP="00B00F84">
      <w:pPr>
        <w:spacing w:after="240"/>
        <w:rPr>
          <w:lang w:val="es-419"/>
        </w:rPr>
      </w:pPr>
      <w:r w:rsidRPr="0019082A">
        <w:rPr>
          <w:lang w:val="es-419"/>
        </w:rPr>
        <w:fldChar w:fldCharType="begin"/>
      </w:r>
      <w:r w:rsidRPr="0019082A">
        <w:rPr>
          <w:lang w:val="es-419"/>
        </w:rPr>
        <w:instrText xml:space="preserve"> AUTONUM  </w:instrText>
      </w:r>
      <w:r w:rsidRPr="0019082A">
        <w:rPr>
          <w:lang w:val="es-419"/>
        </w:rPr>
        <w:fldChar w:fldCharType="end"/>
      </w:r>
      <w:r w:rsidRPr="0019082A">
        <w:rPr>
          <w:lang w:val="es-419"/>
        </w:rPr>
        <w:tab/>
      </w:r>
      <w:r w:rsidR="00B00F84" w:rsidRPr="0019082A">
        <w:rPr>
          <w:lang w:val="es-419"/>
        </w:rPr>
        <w:t>El Artículo 9.3) del Convenio que establece la Organización Mundial de la Propiedad Intelectual (el Convenio de la OMPI) dispone que las condiciones de</w:t>
      </w:r>
      <w:r w:rsidR="00047526" w:rsidRPr="0019082A">
        <w:rPr>
          <w:lang w:val="es-419"/>
        </w:rPr>
        <w:t xml:space="preserve"> </w:t>
      </w:r>
      <w:r w:rsidR="00B00F84" w:rsidRPr="0019082A">
        <w:rPr>
          <w:lang w:val="es-419"/>
        </w:rPr>
        <w:t>l</w:t>
      </w:r>
      <w:r w:rsidR="00047526" w:rsidRPr="0019082A">
        <w:rPr>
          <w:lang w:val="es-419"/>
        </w:rPr>
        <w:t>a</w:t>
      </w:r>
      <w:r w:rsidR="00B00F84" w:rsidRPr="0019082A">
        <w:rPr>
          <w:lang w:val="es-419"/>
        </w:rPr>
        <w:t xml:space="preserve"> </w:t>
      </w:r>
      <w:r w:rsidR="00047526" w:rsidRPr="0019082A">
        <w:rPr>
          <w:lang w:val="es-419"/>
        </w:rPr>
        <w:t xml:space="preserve">designación </w:t>
      </w:r>
      <w:r w:rsidR="00B00F84" w:rsidRPr="0019082A">
        <w:rPr>
          <w:lang w:val="es-419"/>
        </w:rPr>
        <w:t>del Director General serán fijadas por la Asamblea General de la OMPI.</w:t>
      </w:r>
    </w:p>
    <w:p w:rsidR="00B00F84" w:rsidRPr="0019082A" w:rsidRDefault="007A69EA" w:rsidP="00B00F84">
      <w:pPr>
        <w:spacing w:after="240"/>
        <w:rPr>
          <w:lang w:val="es-419"/>
        </w:rPr>
      </w:pPr>
      <w:r w:rsidRPr="0019082A">
        <w:rPr>
          <w:lang w:val="es-419"/>
        </w:rPr>
        <w:fldChar w:fldCharType="begin"/>
      </w:r>
      <w:r w:rsidRPr="0019082A">
        <w:rPr>
          <w:lang w:val="es-419"/>
        </w:rPr>
        <w:instrText xml:space="preserve"> AUTONUM  </w:instrText>
      </w:r>
      <w:r w:rsidRPr="0019082A">
        <w:rPr>
          <w:lang w:val="es-419"/>
        </w:rPr>
        <w:fldChar w:fldCharType="end"/>
      </w:r>
      <w:r w:rsidRPr="0019082A">
        <w:rPr>
          <w:lang w:val="es-419"/>
        </w:rPr>
        <w:tab/>
      </w:r>
      <w:r w:rsidR="00B00F84" w:rsidRPr="0019082A">
        <w:rPr>
          <w:lang w:val="es-419"/>
        </w:rPr>
        <w:t xml:space="preserve">Cuando fue </w:t>
      </w:r>
      <w:r w:rsidR="00C7780F" w:rsidRPr="0019082A">
        <w:rPr>
          <w:lang w:val="es-419"/>
        </w:rPr>
        <w:t>designado</w:t>
      </w:r>
      <w:r w:rsidR="00B00F84" w:rsidRPr="0019082A">
        <w:rPr>
          <w:lang w:val="es-419"/>
        </w:rPr>
        <w:t xml:space="preserve"> el director general en 2014, la Asamblea General de la OMPI creó un Grupo de Trabajo sobre las Condiciones de Nombramiento del Director General electo (el Grupo de Trabajo), a fin de formular recomendaciones sobre las condiciones que fijaría la Asamblea General de la OMPI para </w:t>
      </w:r>
      <w:r w:rsidR="0088682A" w:rsidRPr="0019082A">
        <w:rPr>
          <w:lang w:val="es-419"/>
        </w:rPr>
        <w:t>renovar la designación del</w:t>
      </w:r>
      <w:r w:rsidR="00FF5B70" w:rsidRPr="0019082A">
        <w:rPr>
          <w:lang w:val="es-419"/>
        </w:rPr>
        <w:t xml:space="preserve"> </w:t>
      </w:r>
      <w:r w:rsidR="00B00F84" w:rsidRPr="0019082A">
        <w:rPr>
          <w:lang w:val="es-419"/>
        </w:rPr>
        <w:t>director general electo, Sr. Francis Gurry.</w:t>
      </w:r>
      <w:r w:rsidR="00323170" w:rsidRPr="0019082A">
        <w:rPr>
          <w:lang w:val="es-419"/>
        </w:rPr>
        <w:t xml:space="preserve"> </w:t>
      </w:r>
      <w:r w:rsidR="00B00F84" w:rsidRPr="0019082A">
        <w:rPr>
          <w:lang w:val="es-419"/>
        </w:rPr>
        <w:t>El Grupo de Trabajo estuvo presidido por el presidente de la Asamblea General de la OMPI y estuvo integrado por el presidente del Comité de Coordinación de la OMPI, en calidad de vicepresidente, y los vicepresidentes de la Asamblea General de la OMPI y del Comité de Coord</w:t>
      </w:r>
      <w:r w:rsidR="00323170" w:rsidRPr="0019082A">
        <w:rPr>
          <w:lang w:val="es-419"/>
        </w:rPr>
        <w:t xml:space="preserve">inación de la OMPI, así como </w:t>
      </w:r>
      <w:r w:rsidR="00B00F84" w:rsidRPr="0019082A">
        <w:rPr>
          <w:lang w:val="es-419"/>
        </w:rPr>
        <w:t>los coordinadores de los grupos, en calidad de miembros (véase el párrafo 2 del documento WO/GA/45/3).</w:t>
      </w:r>
    </w:p>
    <w:p w:rsidR="00B00F84" w:rsidRPr="0019082A" w:rsidRDefault="007A69EA" w:rsidP="004352B1">
      <w:pPr>
        <w:spacing w:after="240"/>
        <w:rPr>
          <w:lang w:val="es-419"/>
        </w:rPr>
      </w:pPr>
      <w:r w:rsidRPr="0019082A">
        <w:rPr>
          <w:lang w:val="es-419"/>
        </w:rPr>
        <w:fldChar w:fldCharType="begin"/>
      </w:r>
      <w:r w:rsidRPr="0019082A">
        <w:rPr>
          <w:lang w:val="es-419"/>
        </w:rPr>
        <w:instrText xml:space="preserve"> AUTONUM  </w:instrText>
      </w:r>
      <w:r w:rsidRPr="0019082A">
        <w:rPr>
          <w:lang w:val="es-419"/>
        </w:rPr>
        <w:fldChar w:fldCharType="end"/>
      </w:r>
      <w:r w:rsidRPr="0019082A">
        <w:rPr>
          <w:lang w:val="es-419"/>
        </w:rPr>
        <w:tab/>
      </w:r>
      <w:r w:rsidR="00B00F84" w:rsidRPr="0019082A">
        <w:rPr>
          <w:lang w:val="es-419"/>
        </w:rPr>
        <w:t xml:space="preserve">La Asamblea General de la OMPI fijó las condiciones de </w:t>
      </w:r>
      <w:r w:rsidR="00C7780F" w:rsidRPr="0019082A">
        <w:rPr>
          <w:lang w:val="es-419"/>
        </w:rPr>
        <w:t>designación</w:t>
      </w:r>
      <w:r w:rsidR="00B00F84" w:rsidRPr="0019082A">
        <w:rPr>
          <w:lang w:val="es-419"/>
        </w:rPr>
        <w:t xml:space="preserve"> del Sr. Francis Gurry para el período comprendido entre el 1 de octubre d</w:t>
      </w:r>
      <w:r w:rsidR="00AD18ED" w:rsidRPr="0019082A">
        <w:rPr>
          <w:lang w:val="es-419"/>
        </w:rPr>
        <w:t>e 2014 y el 30 de septiembre de </w:t>
      </w:r>
      <w:r w:rsidR="00B00F84" w:rsidRPr="0019082A">
        <w:rPr>
          <w:lang w:val="es-419"/>
        </w:rPr>
        <w:t>2020, según lo recomendado en el informe del G</w:t>
      </w:r>
      <w:r w:rsidR="00EB2BCC" w:rsidRPr="0019082A">
        <w:rPr>
          <w:lang w:val="es-419"/>
        </w:rPr>
        <w:t xml:space="preserve">rupo de Trabajo (véase, </w:t>
      </w:r>
      <w:r w:rsidR="00CC3FF6" w:rsidRPr="0019082A">
        <w:rPr>
          <w:lang w:val="es-419"/>
        </w:rPr>
        <w:t>respecto</w:t>
      </w:r>
      <w:r w:rsidR="00EB2BCC" w:rsidRPr="0019082A">
        <w:rPr>
          <w:lang w:val="es-419"/>
        </w:rPr>
        <w:t xml:space="preserve"> </w:t>
      </w:r>
      <w:r w:rsidR="00CC3FF6" w:rsidRPr="0019082A">
        <w:rPr>
          <w:lang w:val="es-419"/>
        </w:rPr>
        <w:t>d</w:t>
      </w:r>
      <w:r w:rsidR="00EB2BCC" w:rsidRPr="0019082A">
        <w:rPr>
          <w:lang w:val="es-419"/>
        </w:rPr>
        <w:t>el i</w:t>
      </w:r>
      <w:r w:rsidR="00B00F84" w:rsidRPr="0019082A">
        <w:rPr>
          <w:lang w:val="es-419"/>
        </w:rPr>
        <w:t xml:space="preserve">nforme, </w:t>
      </w:r>
      <w:r w:rsidR="00EB2BCC" w:rsidRPr="0019082A">
        <w:rPr>
          <w:lang w:val="es-419"/>
        </w:rPr>
        <w:t xml:space="preserve">el </w:t>
      </w:r>
      <w:r w:rsidR="00B00F84" w:rsidRPr="0019082A">
        <w:rPr>
          <w:lang w:val="es-419"/>
        </w:rPr>
        <w:t>documento WO/GA/45/3 y</w:t>
      </w:r>
      <w:r w:rsidR="00EB2BCC" w:rsidRPr="0019082A">
        <w:rPr>
          <w:lang w:val="es-419"/>
        </w:rPr>
        <w:t>,</w:t>
      </w:r>
      <w:r w:rsidR="00B00F84" w:rsidRPr="0019082A">
        <w:rPr>
          <w:lang w:val="es-419"/>
        </w:rPr>
        <w:t xml:space="preserve"> </w:t>
      </w:r>
      <w:r w:rsidR="00CC3FF6" w:rsidRPr="0019082A">
        <w:rPr>
          <w:lang w:val="es-419"/>
        </w:rPr>
        <w:t xml:space="preserve">respecto de </w:t>
      </w:r>
      <w:r w:rsidR="00B00F84" w:rsidRPr="0019082A">
        <w:rPr>
          <w:lang w:val="es-419"/>
        </w:rPr>
        <w:t>la aprobación del informe, el documento A/53/3, párrafo 72).</w:t>
      </w:r>
      <w:r w:rsidR="00FA00E2" w:rsidRPr="0019082A">
        <w:rPr>
          <w:lang w:val="es-419"/>
        </w:rPr>
        <w:t xml:space="preserve"> </w:t>
      </w:r>
      <w:r w:rsidR="00B00F84" w:rsidRPr="0019082A">
        <w:rPr>
          <w:lang w:val="es-419"/>
        </w:rPr>
        <w:t>En el Anexo del presente documento figura una copia del texto del contrato del director general aprobado por la Asamblea General de la OMPI.</w:t>
      </w:r>
    </w:p>
    <w:p w:rsidR="00B00F84" w:rsidRPr="0019082A" w:rsidRDefault="007A69EA" w:rsidP="004352B1">
      <w:pPr>
        <w:keepLines/>
        <w:spacing w:after="240"/>
        <w:rPr>
          <w:lang w:val="es-419"/>
        </w:rPr>
      </w:pPr>
      <w:r w:rsidRPr="0019082A">
        <w:rPr>
          <w:lang w:val="es-419"/>
        </w:rPr>
        <w:lastRenderedPageBreak/>
        <w:fldChar w:fldCharType="begin"/>
      </w:r>
      <w:r w:rsidRPr="0019082A">
        <w:rPr>
          <w:lang w:val="es-419"/>
        </w:rPr>
        <w:instrText xml:space="preserve"> AUTONUM  </w:instrText>
      </w:r>
      <w:r w:rsidRPr="0019082A">
        <w:rPr>
          <w:lang w:val="es-419"/>
        </w:rPr>
        <w:fldChar w:fldCharType="end"/>
      </w:r>
      <w:r w:rsidRPr="0019082A">
        <w:rPr>
          <w:lang w:val="es-419"/>
        </w:rPr>
        <w:tab/>
      </w:r>
      <w:r w:rsidR="00B00F84" w:rsidRPr="0019082A">
        <w:rPr>
          <w:lang w:val="es-419"/>
        </w:rPr>
        <w:t xml:space="preserve">Se propone </w:t>
      </w:r>
      <w:r w:rsidR="00A032DD" w:rsidRPr="0019082A">
        <w:rPr>
          <w:lang w:val="es-419"/>
        </w:rPr>
        <w:t>que se adopte</w:t>
      </w:r>
      <w:r w:rsidR="00B00F84" w:rsidRPr="0019082A">
        <w:rPr>
          <w:lang w:val="es-419"/>
        </w:rPr>
        <w:t xml:space="preserve"> </w:t>
      </w:r>
      <w:r w:rsidR="00EA768E">
        <w:rPr>
          <w:lang w:val="es-419"/>
        </w:rPr>
        <w:t>un</w:t>
      </w:r>
      <w:r w:rsidR="00B00F84" w:rsidRPr="0019082A">
        <w:rPr>
          <w:lang w:val="es-419"/>
        </w:rPr>
        <w:t xml:space="preserve"> procedimiento </w:t>
      </w:r>
      <w:r w:rsidR="00EA768E">
        <w:rPr>
          <w:lang w:val="es-419"/>
        </w:rPr>
        <w:t xml:space="preserve">similar, en la medida de lo posible </w:t>
      </w:r>
      <w:r w:rsidR="00CA26CD">
        <w:rPr>
          <w:lang w:val="es-419"/>
        </w:rPr>
        <w:t xml:space="preserve">y </w:t>
      </w:r>
      <w:r w:rsidR="00EA768E">
        <w:rPr>
          <w:lang w:val="es-419"/>
        </w:rPr>
        <w:t xml:space="preserve">teniendo en cuenta las actuales circunstancias excepcionales, </w:t>
      </w:r>
      <w:r w:rsidR="00B00F84" w:rsidRPr="0019082A">
        <w:rPr>
          <w:lang w:val="es-419"/>
        </w:rPr>
        <w:t>para fijar las condiciones de</w:t>
      </w:r>
      <w:r w:rsidR="00A032DD" w:rsidRPr="0019082A">
        <w:rPr>
          <w:lang w:val="es-419"/>
        </w:rPr>
        <w:t xml:space="preserve"> </w:t>
      </w:r>
      <w:r w:rsidR="00B00F84" w:rsidRPr="0019082A">
        <w:rPr>
          <w:lang w:val="es-419"/>
        </w:rPr>
        <w:t>l</w:t>
      </w:r>
      <w:r w:rsidR="00A032DD" w:rsidRPr="0019082A">
        <w:rPr>
          <w:lang w:val="es-419"/>
        </w:rPr>
        <w:t xml:space="preserve">a designación </w:t>
      </w:r>
      <w:r w:rsidR="00A345D0" w:rsidRPr="0019082A">
        <w:rPr>
          <w:lang w:val="es-419"/>
        </w:rPr>
        <w:t xml:space="preserve">al cargo de </w:t>
      </w:r>
      <w:r w:rsidR="00B00F84" w:rsidRPr="0019082A">
        <w:rPr>
          <w:lang w:val="es-419"/>
        </w:rPr>
        <w:t>director g</w:t>
      </w:r>
      <w:r w:rsidR="00A032DD" w:rsidRPr="0019082A">
        <w:rPr>
          <w:lang w:val="es-419"/>
        </w:rPr>
        <w:t>eneral</w:t>
      </w:r>
      <w:r w:rsidR="00B00F84" w:rsidRPr="0019082A">
        <w:rPr>
          <w:lang w:val="es-419"/>
        </w:rPr>
        <w:t xml:space="preserve"> </w:t>
      </w:r>
      <w:r w:rsidR="00A345D0" w:rsidRPr="0019082A">
        <w:rPr>
          <w:lang w:val="es-419"/>
        </w:rPr>
        <w:t xml:space="preserve">del Sr. Daren Tang </w:t>
      </w:r>
      <w:r w:rsidR="00B00F84" w:rsidRPr="0019082A">
        <w:rPr>
          <w:lang w:val="es-419"/>
        </w:rPr>
        <w:t xml:space="preserve">y que, en consecuencia, se cree un </w:t>
      </w:r>
      <w:r w:rsidR="00EA768E" w:rsidRPr="0019082A">
        <w:rPr>
          <w:lang w:val="es-419"/>
        </w:rPr>
        <w:t xml:space="preserve">Grupo </w:t>
      </w:r>
      <w:r w:rsidR="00B00F84" w:rsidRPr="0019082A">
        <w:rPr>
          <w:lang w:val="es-419"/>
        </w:rPr>
        <w:t xml:space="preserve">de </w:t>
      </w:r>
      <w:r w:rsidR="00EA768E" w:rsidRPr="0019082A">
        <w:rPr>
          <w:lang w:val="es-419"/>
        </w:rPr>
        <w:t xml:space="preserve">Trabajo </w:t>
      </w:r>
      <w:r w:rsidR="00B00F84" w:rsidRPr="0019082A">
        <w:rPr>
          <w:lang w:val="es-419"/>
        </w:rPr>
        <w:t>destinado a formular recomendaciones a tal efecto a la Asamblea General de la OMPI.</w:t>
      </w:r>
      <w:r w:rsidRPr="0019082A">
        <w:rPr>
          <w:lang w:val="es-419"/>
        </w:rPr>
        <w:t xml:space="preserve"> </w:t>
      </w:r>
      <w:r w:rsidR="001F2C9C">
        <w:t xml:space="preserve">Sin embargo, debido a las restricciones aplicadas como consecuencia de la pandemia de COVID-19, se propone que el </w:t>
      </w:r>
      <w:r w:rsidR="00EA768E">
        <w:t xml:space="preserve">Grupo </w:t>
      </w:r>
      <w:r w:rsidR="001F2C9C">
        <w:t xml:space="preserve">de </w:t>
      </w:r>
      <w:r w:rsidR="00EA768E">
        <w:t>Trabajo</w:t>
      </w:r>
      <w:r w:rsidR="001F2C9C">
        <w:t>, integrado como se describe en el párrafo 2, más arriba, y presidido por el presidente de la Asamblea General de la OMPI, sea convocado de manera informal por el presidente y entable consultas oficiosas para formular recomendaciones relativas a las condiciones de designación del director general. Los resultados de las consultas oficiosas quedarán reflejados en un resumen de la presidencia, que se anexará a la circular que contenga las decisiones que se proponen para su adopción en el marco del procedimiento escrito acordado por los Estados miembros para la celebración de la sexagésima serie de reuniones de las Asambleas de los Estados miembros de la OMPI, los días 7 y 8 de mayo</w:t>
      </w:r>
      <w:r w:rsidR="001F2C9C" w:rsidRPr="0019082A">
        <w:rPr>
          <w:lang w:val="es-419"/>
        </w:rPr>
        <w:t xml:space="preserve"> de 2020.</w:t>
      </w:r>
    </w:p>
    <w:p w:rsidR="00B00F84" w:rsidRPr="0019082A" w:rsidRDefault="007A69EA" w:rsidP="00EA768E">
      <w:pPr>
        <w:pStyle w:val="Endofdocument-Annex"/>
        <w:tabs>
          <w:tab w:val="left" w:pos="6096"/>
        </w:tabs>
        <w:spacing w:after="240"/>
        <w:ind w:left="5530"/>
        <w:rPr>
          <w:lang w:val="es-419"/>
        </w:rPr>
      </w:pPr>
      <w:r w:rsidRPr="0019082A">
        <w:rPr>
          <w:i/>
          <w:iCs/>
          <w:lang w:val="es-419"/>
        </w:rPr>
        <w:fldChar w:fldCharType="begin"/>
      </w:r>
      <w:r w:rsidRPr="0019082A">
        <w:rPr>
          <w:i/>
          <w:iCs/>
          <w:lang w:val="es-419"/>
        </w:rPr>
        <w:instrText xml:space="preserve"> AUTONUM  </w:instrText>
      </w:r>
      <w:r w:rsidRPr="0019082A">
        <w:rPr>
          <w:i/>
          <w:iCs/>
          <w:lang w:val="es-419"/>
        </w:rPr>
        <w:fldChar w:fldCharType="end"/>
      </w:r>
      <w:r w:rsidRPr="0019082A">
        <w:rPr>
          <w:i/>
          <w:iCs/>
          <w:lang w:val="es-419"/>
        </w:rPr>
        <w:tab/>
      </w:r>
      <w:r w:rsidR="008C4B65" w:rsidRPr="0019082A">
        <w:rPr>
          <w:i/>
          <w:iCs/>
          <w:lang w:val="es-419"/>
        </w:rPr>
        <w:t>Se invita a la Asamblea General de la OMPI a fijar las condiciones de</w:t>
      </w:r>
      <w:r w:rsidR="00CB48DE" w:rsidRPr="0019082A">
        <w:rPr>
          <w:i/>
          <w:iCs/>
          <w:lang w:val="es-419"/>
        </w:rPr>
        <w:t xml:space="preserve"> </w:t>
      </w:r>
      <w:r w:rsidR="008C4B65" w:rsidRPr="0019082A">
        <w:rPr>
          <w:i/>
          <w:iCs/>
          <w:lang w:val="es-419"/>
        </w:rPr>
        <w:t>l</w:t>
      </w:r>
      <w:r w:rsidR="00CB48DE" w:rsidRPr="0019082A">
        <w:rPr>
          <w:i/>
          <w:iCs/>
          <w:lang w:val="es-419"/>
        </w:rPr>
        <w:t>a</w:t>
      </w:r>
      <w:r w:rsidR="008C4B65" w:rsidRPr="0019082A">
        <w:rPr>
          <w:i/>
          <w:iCs/>
          <w:lang w:val="es-419"/>
        </w:rPr>
        <w:t xml:space="preserve"> </w:t>
      </w:r>
      <w:r w:rsidR="00CB48DE" w:rsidRPr="0019082A">
        <w:rPr>
          <w:i/>
          <w:iCs/>
          <w:lang w:val="es-419"/>
        </w:rPr>
        <w:t>designación</w:t>
      </w:r>
      <w:r w:rsidR="008C4B65" w:rsidRPr="0019082A">
        <w:rPr>
          <w:i/>
          <w:iCs/>
          <w:lang w:val="es-419"/>
        </w:rPr>
        <w:t xml:space="preserve"> del director general, tras examinar las recomendaciones del Grupo de Trabajo.</w:t>
      </w:r>
    </w:p>
    <w:p w:rsidR="007A69EA" w:rsidRPr="0019082A" w:rsidRDefault="007A69EA" w:rsidP="007A69EA">
      <w:pPr>
        <w:pStyle w:val="Endofdocument-Annex"/>
        <w:rPr>
          <w:lang w:val="es-419"/>
        </w:rPr>
        <w:sectPr w:rsidR="007A69EA" w:rsidRPr="0019082A" w:rsidSect="00286C23">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rsidRPr="0019082A">
        <w:rPr>
          <w:lang w:val="es-419"/>
        </w:rPr>
        <w:t>[</w:t>
      </w:r>
      <w:r w:rsidR="0026098C" w:rsidRPr="0019082A">
        <w:rPr>
          <w:lang w:val="es-419"/>
        </w:rPr>
        <w:t>Sigue el Anexo</w:t>
      </w:r>
      <w:r w:rsidRPr="0019082A">
        <w:rPr>
          <w:lang w:val="es-419"/>
        </w:rPr>
        <w:t>]</w:t>
      </w:r>
    </w:p>
    <w:p w:rsidR="00B00F84" w:rsidRPr="0019082A" w:rsidRDefault="00252A99" w:rsidP="004352B1">
      <w:pPr>
        <w:spacing w:before="240"/>
        <w:jc w:val="center"/>
        <w:outlineLvl w:val="6"/>
        <w:rPr>
          <w:rFonts w:eastAsia="Times New Roman"/>
          <w:szCs w:val="22"/>
          <w:lang w:val="es-419" w:eastAsia="en-US"/>
        </w:rPr>
      </w:pPr>
      <w:r w:rsidRPr="0019082A">
        <w:rPr>
          <w:rFonts w:eastAsia="Times New Roman"/>
          <w:szCs w:val="22"/>
          <w:lang w:val="es-419" w:eastAsia="en-US"/>
        </w:rPr>
        <w:lastRenderedPageBreak/>
        <w:t>CONTRATO DEL DIRECTOR GENERAL</w:t>
      </w:r>
    </w:p>
    <w:p w:rsidR="00B00F84" w:rsidRPr="0019082A" w:rsidRDefault="00252A99" w:rsidP="004352B1">
      <w:pPr>
        <w:spacing w:before="720" w:after="240" w:line="360" w:lineRule="auto"/>
        <w:jc w:val="center"/>
        <w:rPr>
          <w:rFonts w:eastAsia="Times New Roman"/>
          <w:szCs w:val="22"/>
          <w:lang w:val="es-419" w:eastAsia="en-US"/>
        </w:rPr>
      </w:pPr>
      <w:r w:rsidRPr="0019082A">
        <w:rPr>
          <w:rFonts w:eastAsia="Times New Roman"/>
          <w:szCs w:val="22"/>
          <w:lang w:val="es-419" w:eastAsia="en-US"/>
        </w:rPr>
        <w:t>Se hace el PRESENTE CONTRATO el xx de mayo de 2014</w:t>
      </w:r>
    </w:p>
    <w:p w:rsidR="00B00F84" w:rsidRPr="0019082A" w:rsidRDefault="00252A99" w:rsidP="004352B1">
      <w:pPr>
        <w:spacing w:after="240" w:line="360" w:lineRule="auto"/>
        <w:jc w:val="center"/>
        <w:rPr>
          <w:rFonts w:eastAsia="Times New Roman"/>
          <w:szCs w:val="22"/>
          <w:lang w:val="es-419" w:eastAsia="en-US"/>
        </w:rPr>
      </w:pPr>
      <w:r w:rsidRPr="0019082A">
        <w:rPr>
          <w:rFonts w:eastAsia="Times New Roman"/>
          <w:szCs w:val="22"/>
          <w:lang w:val="es-419" w:eastAsia="en-US"/>
        </w:rPr>
        <w:t>entre</w:t>
      </w:r>
    </w:p>
    <w:p w:rsidR="00B00F84" w:rsidRPr="0019082A" w:rsidRDefault="00252A99" w:rsidP="00252A99">
      <w:pPr>
        <w:spacing w:line="360" w:lineRule="auto"/>
        <w:jc w:val="center"/>
        <w:rPr>
          <w:rFonts w:eastAsia="Times New Roman"/>
          <w:szCs w:val="22"/>
          <w:lang w:val="es-419" w:eastAsia="en-US"/>
        </w:rPr>
      </w:pPr>
      <w:r w:rsidRPr="0019082A">
        <w:rPr>
          <w:rFonts w:eastAsia="Times New Roman"/>
          <w:szCs w:val="22"/>
          <w:lang w:val="es-419" w:eastAsia="en-US"/>
        </w:rPr>
        <w:t xml:space="preserve">la ORGANIZACIÓN MUNDIAL DE LA PROPIEDAD INTELECTUAL </w:t>
      </w:r>
    </w:p>
    <w:p w:rsidR="00B00F84" w:rsidRPr="0019082A" w:rsidRDefault="00252A99" w:rsidP="004352B1">
      <w:pPr>
        <w:spacing w:after="240" w:line="360" w:lineRule="auto"/>
        <w:jc w:val="center"/>
        <w:rPr>
          <w:rFonts w:eastAsia="Times New Roman"/>
          <w:szCs w:val="22"/>
          <w:lang w:val="es-419" w:eastAsia="en-US"/>
        </w:rPr>
      </w:pPr>
      <w:r w:rsidRPr="0019082A">
        <w:rPr>
          <w:rFonts w:eastAsia="Times New Roman"/>
          <w:szCs w:val="22"/>
          <w:lang w:val="es-419" w:eastAsia="en-US"/>
        </w:rPr>
        <w:t>(denominada en adelante “la Organización” o “la OMPI”)</w:t>
      </w:r>
    </w:p>
    <w:p w:rsidR="00B00F84" w:rsidRPr="0019082A" w:rsidRDefault="00252A99" w:rsidP="004352B1">
      <w:pPr>
        <w:spacing w:after="240" w:line="360" w:lineRule="auto"/>
        <w:jc w:val="center"/>
        <w:rPr>
          <w:rFonts w:eastAsia="Times New Roman"/>
          <w:szCs w:val="22"/>
          <w:lang w:val="es-419" w:eastAsia="en-US"/>
        </w:rPr>
      </w:pPr>
      <w:r w:rsidRPr="0019082A">
        <w:rPr>
          <w:rFonts w:eastAsia="Times New Roman"/>
          <w:szCs w:val="22"/>
          <w:lang w:val="es-419" w:eastAsia="en-US"/>
        </w:rPr>
        <w:t>y</w:t>
      </w:r>
    </w:p>
    <w:p w:rsidR="00B00F84" w:rsidRPr="0019082A" w:rsidRDefault="00252A99" w:rsidP="004352B1">
      <w:pPr>
        <w:spacing w:after="480" w:line="360" w:lineRule="auto"/>
        <w:jc w:val="center"/>
        <w:rPr>
          <w:rFonts w:eastAsia="Times New Roman"/>
          <w:szCs w:val="22"/>
          <w:lang w:val="es-419" w:eastAsia="en-US"/>
        </w:rPr>
      </w:pPr>
      <w:r w:rsidRPr="0019082A">
        <w:rPr>
          <w:rFonts w:eastAsia="Times New Roman"/>
          <w:szCs w:val="22"/>
          <w:lang w:val="es-419" w:eastAsia="en-US"/>
        </w:rPr>
        <w:t>el Sr. FRANCIS GURRY</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CONSIDERANDO</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A.</w:t>
      </w:r>
      <w:r w:rsidRPr="0019082A">
        <w:rPr>
          <w:rFonts w:eastAsia="Times New Roman"/>
          <w:szCs w:val="22"/>
          <w:lang w:val="es-419" w:eastAsia="en-US"/>
        </w:rPr>
        <w:tab/>
        <w:t>El Artículo 6.2)i) del Convenio que establece la Organización Mundial de la Propiedad Intelectual (denominado en adelante “el Convenio de la OMPI”) dispone que la Asamblea General de la OMPI designará al Director General a propuesta del Comité de Coordinación.</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B.</w:t>
      </w:r>
      <w:r w:rsidRPr="0019082A">
        <w:rPr>
          <w:rFonts w:eastAsia="Times New Roman"/>
          <w:szCs w:val="22"/>
          <w:lang w:val="es-419" w:eastAsia="en-US"/>
        </w:rPr>
        <w:tab/>
        <w:t>El Artículo 9.3) dispone, entre otras cosas, que el Director General de la OMPI será designado por un período determinado que no será inferior a seis años, y que la duración del primer período y todas las demás condiciones de su nombramiento serán fijadas por la Asamblea General de la OMPI.</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C.</w:t>
      </w:r>
      <w:r w:rsidRPr="0019082A">
        <w:rPr>
          <w:rFonts w:eastAsia="Times New Roman"/>
          <w:szCs w:val="22"/>
          <w:lang w:val="es-419" w:eastAsia="en-US"/>
        </w:rPr>
        <w:tab/>
        <w:t>La duración del nombramiento podrá llegar a su fin de conformidad con lo previsto en las disposiciones pertinentes del Convenio de la OMPI y del Estatuto y el Reglamento del Personal de la Oficina Internacional de la OMPI.</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D.</w:t>
      </w:r>
      <w:r w:rsidRPr="0019082A">
        <w:rPr>
          <w:rFonts w:eastAsia="Times New Roman"/>
          <w:szCs w:val="22"/>
          <w:lang w:val="es-419" w:eastAsia="en-US"/>
        </w:rPr>
        <w:tab/>
        <w:t>Habida cuenta de la propuesta del Comité de Coordinación de la OMPI, la Asamblea General de la OMPI renovó el nombramiento del Sr. Gurry como Director General de la OMPI el 8 de mayo de 2014.</w:t>
      </w:r>
    </w:p>
    <w:p w:rsidR="00B00F84" w:rsidRPr="0019082A" w:rsidRDefault="00252A99" w:rsidP="004352B1">
      <w:pPr>
        <w:keepNext/>
        <w:tabs>
          <w:tab w:val="center" w:pos="4536"/>
          <w:tab w:val="right" w:pos="9072"/>
        </w:tabs>
        <w:spacing w:after="240" w:line="360" w:lineRule="auto"/>
        <w:rPr>
          <w:rFonts w:eastAsia="Times New Roman"/>
          <w:szCs w:val="22"/>
          <w:lang w:val="es-419" w:eastAsia="en-US"/>
        </w:rPr>
      </w:pPr>
      <w:r w:rsidRPr="0019082A">
        <w:rPr>
          <w:rFonts w:eastAsia="Times New Roman"/>
          <w:szCs w:val="22"/>
          <w:lang w:val="es-419" w:eastAsia="en-US"/>
        </w:rPr>
        <w:lastRenderedPageBreak/>
        <w:t>CONVIENEN LO SIGUIENTE</w:t>
      </w:r>
    </w:p>
    <w:p w:rsidR="00B00F84" w:rsidRPr="0019082A" w:rsidRDefault="00252A99" w:rsidP="004352B1">
      <w:pPr>
        <w:keepNext/>
        <w:tabs>
          <w:tab w:val="center" w:pos="4536"/>
          <w:tab w:val="right" w:pos="9072"/>
        </w:tabs>
        <w:spacing w:after="240" w:line="360" w:lineRule="auto"/>
        <w:rPr>
          <w:rFonts w:eastAsia="Times New Roman"/>
          <w:szCs w:val="22"/>
          <w:u w:val="single"/>
          <w:lang w:val="es-419" w:eastAsia="en-US"/>
        </w:rPr>
      </w:pPr>
      <w:r w:rsidRPr="0019082A">
        <w:rPr>
          <w:rFonts w:eastAsia="Times New Roman"/>
          <w:szCs w:val="22"/>
          <w:u w:val="single"/>
          <w:lang w:val="es-419" w:eastAsia="en-US"/>
        </w:rPr>
        <w:t>Duración del nombramiento</w:t>
      </w:r>
    </w:p>
    <w:p w:rsidR="00B00F84" w:rsidRPr="0019082A" w:rsidRDefault="00252A99" w:rsidP="004352B1">
      <w:pPr>
        <w:keepNext/>
        <w:spacing w:after="240" w:line="360" w:lineRule="auto"/>
        <w:rPr>
          <w:rFonts w:eastAsia="Times New Roman"/>
          <w:szCs w:val="22"/>
          <w:lang w:val="es-419" w:eastAsia="en-US"/>
        </w:rPr>
      </w:pPr>
      <w:r w:rsidRPr="0019082A">
        <w:rPr>
          <w:rFonts w:eastAsia="Times New Roman"/>
          <w:szCs w:val="22"/>
          <w:lang w:val="es-419" w:eastAsia="en-US"/>
        </w:rPr>
        <w:t>1.</w:t>
      </w:r>
      <w:r w:rsidRPr="0019082A">
        <w:rPr>
          <w:rFonts w:eastAsia="Times New Roman"/>
          <w:szCs w:val="22"/>
          <w:lang w:val="es-419" w:eastAsia="en-US"/>
        </w:rPr>
        <w:tab/>
        <w:t>La renovación del nombramiento del Sr. Gurry como Director General de la OMPI será por un período de seis años, a partir del 1 de octubre de 2014.</w:t>
      </w:r>
    </w:p>
    <w:p w:rsidR="00B00F84" w:rsidRPr="0019082A" w:rsidRDefault="00252A99" w:rsidP="004352B1">
      <w:pPr>
        <w:keepNext/>
        <w:spacing w:after="240" w:line="360" w:lineRule="auto"/>
        <w:rPr>
          <w:rFonts w:eastAsia="Times New Roman"/>
          <w:szCs w:val="22"/>
          <w:lang w:val="es-419" w:eastAsia="en-US"/>
        </w:rPr>
      </w:pPr>
      <w:r w:rsidRPr="0019082A">
        <w:rPr>
          <w:rFonts w:eastAsia="Times New Roman"/>
          <w:szCs w:val="22"/>
          <w:u w:val="single"/>
          <w:lang w:val="es-419" w:eastAsia="en-US"/>
        </w:rPr>
        <w:t>Sueldo y subsidios</w:t>
      </w:r>
    </w:p>
    <w:p w:rsidR="00B00F84" w:rsidRPr="0019082A" w:rsidRDefault="00252A99" w:rsidP="004352B1">
      <w:pPr>
        <w:keepNext/>
        <w:spacing w:after="240" w:line="360" w:lineRule="auto"/>
        <w:rPr>
          <w:rFonts w:eastAsia="Times New Roman"/>
          <w:szCs w:val="22"/>
          <w:lang w:val="es-419" w:eastAsia="en-US"/>
        </w:rPr>
      </w:pPr>
      <w:r w:rsidRPr="0019082A">
        <w:rPr>
          <w:rFonts w:eastAsia="Times New Roman"/>
          <w:szCs w:val="22"/>
          <w:lang w:val="es-419" w:eastAsia="en-US"/>
        </w:rPr>
        <w:t>2.</w:t>
      </w:r>
      <w:r w:rsidRPr="0019082A">
        <w:rPr>
          <w:rFonts w:eastAsia="Times New Roman"/>
          <w:szCs w:val="22"/>
          <w:lang w:val="es-419" w:eastAsia="en-US"/>
        </w:rPr>
        <w:tab/>
        <w:t>Durante toda la duración del nombramiento, la Organización pagará al Sr. Gurry</w:t>
      </w:r>
    </w:p>
    <w:p w:rsidR="00B00F84" w:rsidRPr="0019082A" w:rsidRDefault="00252A99" w:rsidP="004352B1">
      <w:pPr>
        <w:keepNext/>
        <w:spacing w:after="240" w:line="360" w:lineRule="auto"/>
        <w:rPr>
          <w:rFonts w:eastAsia="Times New Roman"/>
          <w:szCs w:val="22"/>
          <w:lang w:val="es-419" w:eastAsia="en-US"/>
        </w:rPr>
      </w:pPr>
      <w:r w:rsidRPr="0019082A">
        <w:rPr>
          <w:rFonts w:eastAsia="Times New Roman"/>
          <w:szCs w:val="22"/>
          <w:lang w:val="es-419" w:eastAsia="en-US"/>
        </w:rPr>
        <w:tab/>
        <w:t>1)</w:t>
      </w:r>
      <w:r w:rsidRPr="0019082A">
        <w:rPr>
          <w:rFonts w:eastAsia="Times New Roman"/>
          <w:szCs w:val="22"/>
          <w:lang w:val="es-419" w:eastAsia="en-US"/>
        </w:rPr>
        <w:tab/>
        <w:t>un sueldo anual neto equivalente al sueldo más alto que se paga al jefe de un organismo especializado de las Naciones Unidas con sede en Ginebra;</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ab/>
        <w:t>2)</w:t>
      </w:r>
      <w:r w:rsidRPr="0019082A">
        <w:rPr>
          <w:rFonts w:eastAsia="Times New Roman"/>
          <w:szCs w:val="22"/>
          <w:lang w:val="es-419" w:eastAsia="en-US"/>
        </w:rPr>
        <w:tab/>
        <w:t>un subsidio anual para gastos de representación de 62.100 francos suizos, que será ajustado todos los años con arreglo al índice de precios al consumidor de Ginebra</w:t>
      </w:r>
      <w:r w:rsidRPr="0019082A">
        <w:rPr>
          <w:rFonts w:eastAsia="Times New Roman"/>
          <w:szCs w:val="22"/>
          <w:vertAlign w:val="superscript"/>
          <w:lang w:val="es-419" w:eastAsia="en-US"/>
        </w:rPr>
        <w:footnoteReference w:customMarkFollows="1" w:id="2"/>
        <w:sym w:font="Symbol" w:char="F02A"/>
      </w:r>
      <w:r w:rsidR="00782887" w:rsidRPr="0019082A">
        <w:rPr>
          <w:rFonts w:eastAsia="Times New Roman"/>
          <w:szCs w:val="22"/>
          <w:lang w:val="es-419" w:eastAsia="en-US"/>
        </w:rPr>
        <w:t>;</w:t>
      </w:r>
      <w:r w:rsidRPr="0019082A">
        <w:rPr>
          <w:rFonts w:eastAsia="Times New Roman"/>
          <w:szCs w:val="22"/>
          <w:lang w:val="es-419" w:eastAsia="en-US"/>
        </w:rPr>
        <w:t xml:space="preserve"> y</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ab/>
        <w:t>3)</w:t>
      </w:r>
      <w:r w:rsidRPr="0019082A">
        <w:rPr>
          <w:rFonts w:eastAsia="Times New Roman"/>
          <w:szCs w:val="22"/>
          <w:lang w:val="es-419" w:eastAsia="en-US"/>
        </w:rPr>
        <w:tab/>
        <w:t>un subsidio anual para gastos de vivienda de 76.200 francos suizos, que será igualmente ajustado todos los años con arreglo al índice de precios al consumidor de Ginebra.</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3.</w:t>
      </w:r>
      <w:r w:rsidRPr="0019082A">
        <w:rPr>
          <w:rFonts w:eastAsia="Times New Roman"/>
          <w:szCs w:val="22"/>
          <w:lang w:val="es-419" w:eastAsia="en-US"/>
        </w:rPr>
        <w:tab/>
        <w:t>La Organización pondrá a disposición del Sr. Gurry un automóvil con chófer para desplazamientos oficiales y pagará los gastos correspondientes.</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4.</w:t>
      </w:r>
      <w:r w:rsidRPr="0019082A">
        <w:rPr>
          <w:rFonts w:eastAsia="Times New Roman"/>
          <w:szCs w:val="22"/>
          <w:lang w:val="es-419" w:eastAsia="en-US"/>
        </w:rPr>
        <w:tab/>
        <w:t>Cuando proceda, el Sr. Gurry gozará de la protección adecuada.</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u w:val="single"/>
          <w:lang w:val="es-419" w:eastAsia="en-US"/>
        </w:rPr>
        <w:t>Pensión</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5.</w:t>
      </w:r>
      <w:r w:rsidRPr="0019082A">
        <w:rPr>
          <w:rFonts w:eastAsia="Times New Roman"/>
          <w:szCs w:val="22"/>
          <w:lang w:val="es-419" w:eastAsia="en-US"/>
        </w:rPr>
        <w:tab/>
        <w:t>El Sr. Gurry tendrá derecho a continuar participando en la Caja Común de Pensiones del Personal de las Naciones Unidas, de conformidad con el Reglamento de dicha Caja y con la remuneración pensionable determinada de conformidad con la metodología adoptada por la Asamblea General de las Naciones Unidas.</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u w:val="single"/>
          <w:lang w:val="es-419" w:eastAsia="en-US"/>
        </w:rPr>
        <w:t>Aplicación del Estatuto y el Reglamento del Personal</w:t>
      </w:r>
    </w:p>
    <w:p w:rsidR="00B00F84" w:rsidRPr="0019082A" w:rsidRDefault="00252A99" w:rsidP="004352B1">
      <w:pPr>
        <w:spacing w:after="240" w:line="360" w:lineRule="auto"/>
        <w:rPr>
          <w:rFonts w:eastAsia="Times New Roman"/>
          <w:szCs w:val="22"/>
          <w:lang w:val="es-419" w:eastAsia="en-US"/>
        </w:rPr>
      </w:pPr>
      <w:r w:rsidRPr="0019082A">
        <w:rPr>
          <w:rFonts w:eastAsia="Times New Roman"/>
          <w:szCs w:val="22"/>
          <w:lang w:val="es-419" w:eastAsia="en-US"/>
        </w:rPr>
        <w:t>6.</w:t>
      </w:r>
      <w:r w:rsidRPr="0019082A">
        <w:rPr>
          <w:rFonts w:eastAsia="Times New Roman"/>
          <w:szCs w:val="22"/>
          <w:lang w:val="es-419" w:eastAsia="en-US"/>
        </w:rPr>
        <w:tab/>
        <w:t>Con la excepción de cualquier modificación incluida en el presente, el Sr. Gurry gozará de los derechos y asumirá las obligaciones contemplados en el Estatuto y el Reglamento del Personal de la Oficina Internacional de la OMPI.</w:t>
      </w:r>
    </w:p>
    <w:p w:rsidR="00B00F84" w:rsidRPr="0019082A" w:rsidRDefault="00252A99" w:rsidP="00F40083">
      <w:pPr>
        <w:keepNext/>
        <w:spacing w:line="360" w:lineRule="auto"/>
        <w:rPr>
          <w:rFonts w:eastAsia="Times New Roman"/>
          <w:szCs w:val="22"/>
          <w:lang w:val="es-419" w:eastAsia="en-US"/>
        </w:rPr>
      </w:pPr>
      <w:r w:rsidRPr="0019082A">
        <w:rPr>
          <w:rFonts w:eastAsia="Times New Roman"/>
          <w:szCs w:val="22"/>
          <w:lang w:val="es-419" w:eastAsia="en-US"/>
        </w:rPr>
        <w:lastRenderedPageBreak/>
        <w:t>EN FE DE LO CUAL, LAS PARTES HAN FIRMADO EL PRESENTE CONTRATO</w:t>
      </w:r>
    </w:p>
    <w:p w:rsidR="00B00F84" w:rsidRPr="0019082A" w:rsidRDefault="00252A99" w:rsidP="00F40083">
      <w:pPr>
        <w:keepNext/>
        <w:spacing w:after="240" w:line="360" w:lineRule="auto"/>
        <w:rPr>
          <w:rFonts w:eastAsia="Times New Roman"/>
          <w:szCs w:val="22"/>
          <w:lang w:val="es-419" w:eastAsia="en-US"/>
        </w:rPr>
      </w:pPr>
      <w:r w:rsidRPr="0019082A">
        <w:rPr>
          <w:rFonts w:eastAsia="Times New Roman"/>
          <w:szCs w:val="22"/>
          <w:lang w:val="es-419" w:eastAsia="en-US"/>
        </w:rPr>
        <w:t>EL XX DE MAYO DE 2014</w:t>
      </w:r>
    </w:p>
    <w:tbl>
      <w:tblPr>
        <w:tblW w:w="0" w:type="auto"/>
        <w:tblLook w:val="01E0" w:firstRow="1" w:lastRow="1" w:firstColumn="1" w:lastColumn="1" w:noHBand="0" w:noVBand="0"/>
      </w:tblPr>
      <w:tblGrid>
        <w:gridCol w:w="4643"/>
        <w:gridCol w:w="4644"/>
      </w:tblGrid>
      <w:tr w:rsidR="00252A99" w:rsidRPr="0019082A" w:rsidTr="003F4528">
        <w:tc>
          <w:tcPr>
            <w:tcW w:w="4643" w:type="dxa"/>
            <w:shd w:val="clear" w:color="auto" w:fill="auto"/>
          </w:tcPr>
          <w:p w:rsidR="00B00F84" w:rsidRPr="0019082A" w:rsidRDefault="00252A99" w:rsidP="00F40083">
            <w:pPr>
              <w:spacing w:before="720" w:line="360" w:lineRule="auto"/>
              <w:jc w:val="center"/>
              <w:rPr>
                <w:rFonts w:eastAsia="Times New Roman"/>
                <w:color w:val="000000"/>
                <w:szCs w:val="22"/>
                <w:lang w:val="es-419" w:eastAsia="en-US"/>
              </w:rPr>
            </w:pPr>
            <w:r w:rsidRPr="0019082A">
              <w:rPr>
                <w:rFonts w:eastAsia="Times New Roman"/>
                <w:color w:val="000000"/>
                <w:szCs w:val="22"/>
                <w:lang w:val="es-419" w:eastAsia="en-US"/>
              </w:rPr>
              <w:t>________________________</w:t>
            </w:r>
          </w:p>
          <w:p w:rsidR="00252A99" w:rsidRPr="0019082A" w:rsidRDefault="00252A99" w:rsidP="00252A99">
            <w:pPr>
              <w:spacing w:line="360" w:lineRule="auto"/>
              <w:jc w:val="center"/>
              <w:rPr>
                <w:rFonts w:eastAsia="Times New Roman"/>
                <w:szCs w:val="22"/>
                <w:lang w:val="es-419" w:eastAsia="en-US"/>
              </w:rPr>
            </w:pPr>
            <w:r w:rsidRPr="0019082A">
              <w:rPr>
                <w:rFonts w:eastAsia="Times New Roman"/>
                <w:szCs w:val="22"/>
                <w:lang w:val="es-419" w:eastAsia="en-US"/>
              </w:rPr>
              <w:t>Päivi Kairamo</w:t>
            </w:r>
          </w:p>
        </w:tc>
        <w:tc>
          <w:tcPr>
            <w:tcW w:w="4644" w:type="dxa"/>
            <w:shd w:val="clear" w:color="auto" w:fill="auto"/>
          </w:tcPr>
          <w:p w:rsidR="00B00F84" w:rsidRPr="0019082A" w:rsidRDefault="00252A99" w:rsidP="00F40083">
            <w:pPr>
              <w:spacing w:before="720" w:line="360" w:lineRule="auto"/>
              <w:jc w:val="center"/>
              <w:rPr>
                <w:rFonts w:eastAsia="Times New Roman"/>
                <w:szCs w:val="22"/>
                <w:lang w:val="es-419" w:eastAsia="en-US"/>
              </w:rPr>
            </w:pPr>
            <w:r w:rsidRPr="0019082A">
              <w:rPr>
                <w:rFonts w:eastAsia="Times New Roman"/>
                <w:szCs w:val="22"/>
                <w:lang w:val="es-419" w:eastAsia="en-US"/>
              </w:rPr>
              <w:t>_______________________</w:t>
            </w:r>
          </w:p>
          <w:p w:rsidR="00252A99" w:rsidRPr="0019082A" w:rsidRDefault="00252A99" w:rsidP="00252A99">
            <w:pPr>
              <w:spacing w:line="360" w:lineRule="auto"/>
              <w:jc w:val="center"/>
              <w:rPr>
                <w:rFonts w:eastAsia="Times New Roman"/>
                <w:szCs w:val="22"/>
                <w:lang w:val="es-419" w:eastAsia="en-US"/>
              </w:rPr>
            </w:pPr>
            <w:r w:rsidRPr="0019082A">
              <w:rPr>
                <w:rFonts w:eastAsia="Times New Roman"/>
                <w:szCs w:val="22"/>
                <w:lang w:val="es-419" w:eastAsia="en-US"/>
              </w:rPr>
              <w:t>Francis Gurry</w:t>
            </w:r>
          </w:p>
        </w:tc>
      </w:tr>
      <w:tr w:rsidR="00252A99" w:rsidRPr="0019082A" w:rsidTr="003F4528">
        <w:tc>
          <w:tcPr>
            <w:tcW w:w="4643" w:type="dxa"/>
            <w:shd w:val="clear" w:color="auto" w:fill="auto"/>
          </w:tcPr>
          <w:p w:rsidR="00252A99" w:rsidRPr="0019082A" w:rsidRDefault="00252A99" w:rsidP="00252A99">
            <w:pPr>
              <w:spacing w:line="360" w:lineRule="auto"/>
              <w:jc w:val="center"/>
              <w:rPr>
                <w:rFonts w:eastAsia="Times New Roman"/>
                <w:color w:val="000000"/>
                <w:szCs w:val="22"/>
                <w:lang w:val="es-419" w:eastAsia="en-US"/>
              </w:rPr>
            </w:pPr>
            <w:r w:rsidRPr="0019082A">
              <w:rPr>
                <w:rFonts w:eastAsia="Times New Roman"/>
                <w:szCs w:val="22"/>
                <w:lang w:val="es-419" w:eastAsia="en-US"/>
              </w:rPr>
              <w:t>Presidenta</w:t>
            </w:r>
          </w:p>
        </w:tc>
        <w:tc>
          <w:tcPr>
            <w:tcW w:w="4644" w:type="dxa"/>
            <w:shd w:val="clear" w:color="auto" w:fill="auto"/>
          </w:tcPr>
          <w:p w:rsidR="00252A99" w:rsidRPr="0019082A" w:rsidRDefault="00252A99" w:rsidP="00252A99">
            <w:pPr>
              <w:spacing w:line="360" w:lineRule="auto"/>
              <w:jc w:val="center"/>
              <w:rPr>
                <w:rFonts w:eastAsia="Times New Roman"/>
                <w:szCs w:val="22"/>
                <w:lang w:val="es-419" w:eastAsia="en-US"/>
              </w:rPr>
            </w:pPr>
          </w:p>
        </w:tc>
      </w:tr>
      <w:tr w:rsidR="00252A99" w:rsidRPr="0019082A" w:rsidTr="003F4528">
        <w:tc>
          <w:tcPr>
            <w:tcW w:w="4643" w:type="dxa"/>
            <w:shd w:val="clear" w:color="auto" w:fill="auto"/>
          </w:tcPr>
          <w:p w:rsidR="00252A99" w:rsidRPr="0019082A" w:rsidRDefault="00252A99" w:rsidP="00252A99">
            <w:pPr>
              <w:spacing w:line="360" w:lineRule="auto"/>
              <w:jc w:val="center"/>
              <w:rPr>
                <w:rFonts w:eastAsia="Times New Roman"/>
                <w:szCs w:val="22"/>
                <w:lang w:val="es-419" w:eastAsia="en-US"/>
              </w:rPr>
            </w:pPr>
            <w:r w:rsidRPr="0019082A">
              <w:rPr>
                <w:rFonts w:eastAsia="Times New Roman"/>
                <w:szCs w:val="22"/>
                <w:lang w:val="es-419" w:eastAsia="en-US"/>
              </w:rPr>
              <w:t xml:space="preserve">Asamblea General de la OMPI </w:t>
            </w:r>
          </w:p>
        </w:tc>
        <w:tc>
          <w:tcPr>
            <w:tcW w:w="4644" w:type="dxa"/>
            <w:shd w:val="clear" w:color="auto" w:fill="auto"/>
          </w:tcPr>
          <w:p w:rsidR="00252A99" w:rsidRPr="0019082A" w:rsidRDefault="00252A99" w:rsidP="00252A99">
            <w:pPr>
              <w:spacing w:line="360" w:lineRule="auto"/>
              <w:jc w:val="center"/>
              <w:rPr>
                <w:rFonts w:eastAsia="Times New Roman"/>
                <w:szCs w:val="22"/>
                <w:lang w:val="es-419" w:eastAsia="en-US"/>
              </w:rPr>
            </w:pPr>
          </w:p>
        </w:tc>
      </w:tr>
      <w:tr w:rsidR="00252A99" w:rsidRPr="0019082A" w:rsidTr="003F4528">
        <w:tc>
          <w:tcPr>
            <w:tcW w:w="4643" w:type="dxa"/>
            <w:shd w:val="clear" w:color="auto" w:fill="auto"/>
          </w:tcPr>
          <w:p w:rsidR="00252A99" w:rsidRPr="0019082A" w:rsidRDefault="00252A99" w:rsidP="00252A99">
            <w:pPr>
              <w:spacing w:line="360" w:lineRule="auto"/>
              <w:jc w:val="center"/>
              <w:rPr>
                <w:rFonts w:eastAsia="Times New Roman"/>
                <w:szCs w:val="22"/>
                <w:lang w:val="es-419" w:eastAsia="en-US"/>
              </w:rPr>
            </w:pPr>
          </w:p>
        </w:tc>
        <w:tc>
          <w:tcPr>
            <w:tcW w:w="4644" w:type="dxa"/>
            <w:shd w:val="clear" w:color="auto" w:fill="auto"/>
          </w:tcPr>
          <w:p w:rsidR="00252A99" w:rsidRPr="0019082A" w:rsidRDefault="00252A99" w:rsidP="00252A99">
            <w:pPr>
              <w:spacing w:line="360" w:lineRule="auto"/>
              <w:jc w:val="center"/>
              <w:rPr>
                <w:rFonts w:eastAsia="Times New Roman"/>
                <w:szCs w:val="22"/>
                <w:lang w:val="es-419" w:eastAsia="en-US"/>
              </w:rPr>
            </w:pPr>
          </w:p>
        </w:tc>
      </w:tr>
    </w:tbl>
    <w:p w:rsidR="00152CEA" w:rsidRPr="0019082A" w:rsidRDefault="00252A99" w:rsidP="00F40083">
      <w:pPr>
        <w:pStyle w:val="Endofdocument-Annex"/>
        <w:spacing w:before="720"/>
        <w:rPr>
          <w:rFonts w:eastAsia="Times New Roman"/>
          <w:szCs w:val="22"/>
          <w:lang w:val="es-419" w:eastAsia="en-US"/>
        </w:rPr>
      </w:pPr>
      <w:r w:rsidRPr="0019082A">
        <w:rPr>
          <w:lang w:val="es-419" w:eastAsia="en-US"/>
        </w:rPr>
        <w:t>[</w:t>
      </w:r>
      <w:r w:rsidR="0066519E" w:rsidRPr="0019082A">
        <w:rPr>
          <w:lang w:val="es-419" w:eastAsia="en-US"/>
        </w:rPr>
        <w:t xml:space="preserve">Fin del Anexo </w:t>
      </w:r>
      <w:r w:rsidRPr="0019082A">
        <w:rPr>
          <w:lang w:val="es-419" w:eastAsia="en-US"/>
        </w:rPr>
        <w:t>y del documento]</w:t>
      </w:r>
    </w:p>
    <w:sectPr w:rsidR="00152CEA" w:rsidRPr="0019082A" w:rsidSect="00F40083">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9EA" w:rsidRDefault="007A69EA">
      <w:r>
        <w:separator/>
      </w:r>
    </w:p>
  </w:endnote>
  <w:endnote w:type="continuationSeparator" w:id="0">
    <w:p w:rsidR="007A69EA" w:rsidRPr="009D30E6" w:rsidRDefault="007A69EA" w:rsidP="007E663E">
      <w:pPr>
        <w:rPr>
          <w:sz w:val="17"/>
          <w:szCs w:val="17"/>
        </w:rPr>
      </w:pPr>
      <w:r w:rsidRPr="009D30E6">
        <w:rPr>
          <w:sz w:val="17"/>
          <w:szCs w:val="17"/>
        </w:rPr>
        <w:separator/>
      </w:r>
    </w:p>
    <w:p w:rsidR="007A69EA" w:rsidRPr="007E663E" w:rsidRDefault="007A69EA" w:rsidP="007E663E">
      <w:pPr>
        <w:spacing w:after="60"/>
        <w:rPr>
          <w:sz w:val="17"/>
          <w:szCs w:val="17"/>
        </w:rPr>
      </w:pPr>
      <w:r>
        <w:rPr>
          <w:sz w:val="17"/>
        </w:rPr>
        <w:t>[Continuación de la nota de la página anterior]</w:t>
      </w:r>
    </w:p>
  </w:endnote>
  <w:endnote w:type="continuationNotice" w:id="1">
    <w:p w:rsidR="007A69EA" w:rsidRPr="007E663E" w:rsidRDefault="007A69E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9EA" w:rsidRDefault="007A69EA">
      <w:r>
        <w:separator/>
      </w:r>
    </w:p>
  </w:footnote>
  <w:footnote w:type="continuationSeparator" w:id="0">
    <w:p w:rsidR="007A69EA" w:rsidRPr="009D30E6" w:rsidRDefault="007A69EA" w:rsidP="007E663E">
      <w:pPr>
        <w:rPr>
          <w:sz w:val="17"/>
          <w:szCs w:val="17"/>
        </w:rPr>
      </w:pPr>
      <w:r w:rsidRPr="009D30E6">
        <w:rPr>
          <w:sz w:val="17"/>
          <w:szCs w:val="17"/>
        </w:rPr>
        <w:separator/>
      </w:r>
    </w:p>
    <w:p w:rsidR="007A69EA" w:rsidRPr="007E663E" w:rsidRDefault="007A69EA" w:rsidP="007E663E">
      <w:pPr>
        <w:spacing w:after="60"/>
        <w:rPr>
          <w:sz w:val="17"/>
          <w:szCs w:val="17"/>
        </w:rPr>
      </w:pPr>
      <w:r>
        <w:rPr>
          <w:sz w:val="17"/>
        </w:rPr>
        <w:t>[Continuación de la nota de la página anterior]</w:t>
      </w:r>
    </w:p>
  </w:footnote>
  <w:footnote w:type="continuationNotice" w:id="1">
    <w:p w:rsidR="007A69EA" w:rsidRPr="007E663E" w:rsidRDefault="007A69EA" w:rsidP="007E663E">
      <w:pPr>
        <w:spacing w:before="60"/>
        <w:jc w:val="right"/>
        <w:rPr>
          <w:sz w:val="17"/>
          <w:szCs w:val="17"/>
        </w:rPr>
      </w:pPr>
      <w:r w:rsidRPr="007E663E">
        <w:rPr>
          <w:sz w:val="17"/>
          <w:szCs w:val="17"/>
        </w:rPr>
        <w:t>[Sigue la nota en la página siguiente]</w:t>
      </w:r>
    </w:p>
  </w:footnote>
  <w:footnote w:id="2">
    <w:p w:rsidR="00252A99" w:rsidRPr="006E592D" w:rsidRDefault="00252A99" w:rsidP="00252A99">
      <w:pPr>
        <w:pStyle w:val="FootnoteText"/>
        <w:rPr>
          <w:sz w:val="20"/>
          <w:lang w:val="es-ES_tradnl"/>
        </w:rPr>
      </w:pPr>
      <w:r w:rsidRPr="006E592D">
        <w:rPr>
          <w:rStyle w:val="FootnoteReference"/>
          <w:sz w:val="20"/>
          <w:lang w:val="es-ES_tradnl"/>
        </w:rPr>
        <w:sym w:font="Symbol" w:char="F02A"/>
      </w:r>
      <w:r w:rsidRPr="006E592D">
        <w:rPr>
          <w:sz w:val="20"/>
          <w:lang w:val="es-ES_tradnl"/>
        </w:rPr>
        <w:t xml:space="preserve"> La Oficina Cantonal de Estadísticas publica el índice de precios al consumidor de Ginebra.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A" w:rsidRDefault="007A69EA" w:rsidP="00286C23">
    <w:pPr>
      <w:jc w:val="right"/>
    </w:pPr>
    <w:r>
      <w:t>WO/GA/52/</w:t>
    </w:r>
    <w:r w:rsidRPr="005D35D4">
      <w:t>1</w:t>
    </w:r>
  </w:p>
  <w:p w:rsidR="007A69EA" w:rsidRDefault="007A69EA" w:rsidP="00286C23">
    <w:pPr>
      <w:jc w:val="right"/>
    </w:pPr>
    <w:r>
      <w:t xml:space="preserve">page </w:t>
    </w:r>
    <w:r>
      <w:fldChar w:fldCharType="begin"/>
    </w:r>
    <w:r>
      <w:instrText xml:space="preserve"> PAGE  \* MERGEFORMAT </w:instrText>
    </w:r>
    <w:r>
      <w:fldChar w:fldCharType="separate"/>
    </w:r>
    <w:r>
      <w:rPr>
        <w:noProof/>
      </w:rPr>
      <w:t>2</w:t>
    </w:r>
    <w:r>
      <w:fldChar w:fldCharType="end"/>
    </w:r>
  </w:p>
  <w:p w:rsidR="007A69EA" w:rsidRDefault="007A69EA" w:rsidP="00286C2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A" w:rsidRDefault="007A69EA" w:rsidP="00477D6B">
    <w:pPr>
      <w:jc w:val="right"/>
    </w:pPr>
    <w:r>
      <w:t>WO/GA/52/</w:t>
    </w:r>
    <w:r w:rsidRPr="00C24447">
      <w:t>1</w:t>
    </w:r>
    <w:r w:rsidR="00A95227">
      <w:t xml:space="preserve"> Rev.</w:t>
    </w:r>
  </w:p>
  <w:p w:rsidR="007A69EA" w:rsidRDefault="004352B1" w:rsidP="00477D6B">
    <w:pPr>
      <w:jc w:val="right"/>
    </w:pPr>
    <w:r>
      <w:t>página</w:t>
    </w:r>
    <w:r w:rsidR="007A69EA">
      <w:t xml:space="preserve"> </w:t>
    </w:r>
    <w:r w:rsidR="007A69EA">
      <w:fldChar w:fldCharType="begin"/>
    </w:r>
    <w:r w:rsidR="007A69EA">
      <w:instrText xml:space="preserve"> PAGE  \* MERGEFORMAT </w:instrText>
    </w:r>
    <w:r w:rsidR="007A69EA">
      <w:fldChar w:fldCharType="separate"/>
    </w:r>
    <w:r w:rsidR="00B92FE0">
      <w:rPr>
        <w:noProof/>
      </w:rPr>
      <w:t>2</w:t>
    </w:r>
    <w:r w:rsidR="007A69EA">
      <w:fldChar w:fldCharType="end"/>
    </w:r>
  </w:p>
  <w:p w:rsidR="007A69EA" w:rsidRDefault="007A69E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19E" w:rsidRPr="001F2C9C" w:rsidRDefault="0066519E" w:rsidP="0066519E">
    <w:pPr>
      <w:jc w:val="right"/>
      <w:rPr>
        <w:lang w:val="pt-BR"/>
      </w:rPr>
    </w:pPr>
    <w:r w:rsidRPr="001F2C9C">
      <w:rPr>
        <w:lang w:val="pt-BR"/>
      </w:rPr>
      <w:t>WO/GA/52/1</w:t>
    </w:r>
    <w:r w:rsidR="00A95227" w:rsidRPr="001F2C9C">
      <w:rPr>
        <w:lang w:val="pt-BR"/>
      </w:rPr>
      <w:t xml:space="preserve"> Rev.</w:t>
    </w:r>
  </w:p>
  <w:p w:rsidR="0066519E" w:rsidRPr="001F2C9C" w:rsidRDefault="0066519E" w:rsidP="0066519E">
    <w:pPr>
      <w:jc w:val="right"/>
      <w:rPr>
        <w:lang w:val="pt-BR"/>
      </w:rPr>
    </w:pPr>
    <w:r w:rsidRPr="001F2C9C">
      <w:rPr>
        <w:lang w:val="pt-BR"/>
      </w:rPr>
      <w:t xml:space="preserve">Anexo, página </w:t>
    </w:r>
    <w:r w:rsidR="00F40083">
      <w:fldChar w:fldCharType="begin"/>
    </w:r>
    <w:r w:rsidR="00F40083" w:rsidRPr="001F2C9C">
      <w:rPr>
        <w:lang w:val="pt-BR"/>
      </w:rPr>
      <w:instrText>PAGE   \* MERGEFORMAT</w:instrText>
    </w:r>
    <w:r w:rsidR="00F40083">
      <w:fldChar w:fldCharType="separate"/>
    </w:r>
    <w:r w:rsidR="005D09BE">
      <w:rPr>
        <w:noProof/>
        <w:lang w:val="pt-BR"/>
      </w:rPr>
      <w:t>3</w:t>
    </w:r>
    <w:r w:rsidR="00F40083">
      <w:fldChar w:fldCharType="end"/>
    </w:r>
  </w:p>
  <w:p w:rsidR="0066519E" w:rsidRPr="001F2C9C" w:rsidRDefault="0066519E" w:rsidP="0066519E">
    <w:pPr>
      <w:jc w:val="right"/>
      <w:rPr>
        <w:lang w:val="pt-BR"/>
      </w:rPr>
    </w:pPr>
  </w:p>
  <w:p w:rsidR="00EC1AA7" w:rsidRPr="001F2C9C" w:rsidRDefault="00EC1AA7" w:rsidP="00477D6B">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83" w:rsidRDefault="00F40083" w:rsidP="00F40083">
    <w:pPr>
      <w:pStyle w:val="Header"/>
      <w:jc w:val="right"/>
    </w:pPr>
    <w:r>
      <w:t>WO/GA/52/1</w:t>
    </w:r>
    <w:r w:rsidR="00A95227">
      <w:t xml:space="preserve"> Rev.</w:t>
    </w:r>
  </w:p>
  <w:p w:rsidR="00F40083" w:rsidRDefault="00F40083" w:rsidP="00F40083">
    <w:pPr>
      <w:pStyle w:val="Header"/>
      <w:jc w:val="right"/>
    </w:pPr>
    <w:r>
      <w:t>ANEXO</w:t>
    </w:r>
  </w:p>
  <w:p w:rsidR="00F40083" w:rsidRDefault="00F40083" w:rsidP="00F400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7A69EA"/>
    <w:rsid w:val="00010686"/>
    <w:rsid w:val="00047308"/>
    <w:rsid w:val="00047526"/>
    <w:rsid w:val="00052915"/>
    <w:rsid w:val="000E3BB3"/>
    <w:rsid w:val="000F5E56"/>
    <w:rsid w:val="001157F9"/>
    <w:rsid w:val="001362EE"/>
    <w:rsid w:val="00152CEA"/>
    <w:rsid w:val="001832A6"/>
    <w:rsid w:val="0019082A"/>
    <w:rsid w:val="001E1326"/>
    <w:rsid w:val="001F2C9C"/>
    <w:rsid w:val="00251B50"/>
    <w:rsid w:val="00252A99"/>
    <w:rsid w:val="0026098C"/>
    <w:rsid w:val="002634C4"/>
    <w:rsid w:val="002C2E2F"/>
    <w:rsid w:val="002C399F"/>
    <w:rsid w:val="002E0F47"/>
    <w:rsid w:val="002F4E68"/>
    <w:rsid w:val="00310826"/>
    <w:rsid w:val="00323170"/>
    <w:rsid w:val="0033183E"/>
    <w:rsid w:val="00354647"/>
    <w:rsid w:val="00377273"/>
    <w:rsid w:val="003845C1"/>
    <w:rsid w:val="00387287"/>
    <w:rsid w:val="003E48F1"/>
    <w:rsid w:val="003F347A"/>
    <w:rsid w:val="00423E3E"/>
    <w:rsid w:val="00427AF4"/>
    <w:rsid w:val="004352B1"/>
    <w:rsid w:val="0045231F"/>
    <w:rsid w:val="004647DA"/>
    <w:rsid w:val="0046793F"/>
    <w:rsid w:val="00472A6E"/>
    <w:rsid w:val="00473E3C"/>
    <w:rsid w:val="00477808"/>
    <w:rsid w:val="00477D6B"/>
    <w:rsid w:val="004A6C37"/>
    <w:rsid w:val="004E297D"/>
    <w:rsid w:val="004E7363"/>
    <w:rsid w:val="00531B02"/>
    <w:rsid w:val="005332F0"/>
    <w:rsid w:val="0055013B"/>
    <w:rsid w:val="00571B99"/>
    <w:rsid w:val="005D09BE"/>
    <w:rsid w:val="00605827"/>
    <w:rsid w:val="0066519E"/>
    <w:rsid w:val="00675021"/>
    <w:rsid w:val="006A06C6"/>
    <w:rsid w:val="007224C8"/>
    <w:rsid w:val="00782887"/>
    <w:rsid w:val="00794BE2"/>
    <w:rsid w:val="007A5581"/>
    <w:rsid w:val="007A69EA"/>
    <w:rsid w:val="007B71FE"/>
    <w:rsid w:val="007C1B2B"/>
    <w:rsid w:val="007D781E"/>
    <w:rsid w:val="007E663E"/>
    <w:rsid w:val="00815082"/>
    <w:rsid w:val="0088395E"/>
    <w:rsid w:val="0088682A"/>
    <w:rsid w:val="008B2CC1"/>
    <w:rsid w:val="008C4B65"/>
    <w:rsid w:val="008E6BD6"/>
    <w:rsid w:val="0090731E"/>
    <w:rsid w:val="00966A22"/>
    <w:rsid w:val="00972F03"/>
    <w:rsid w:val="0098367F"/>
    <w:rsid w:val="009A0C8B"/>
    <w:rsid w:val="009A20CD"/>
    <w:rsid w:val="009B6241"/>
    <w:rsid w:val="00A032DD"/>
    <w:rsid w:val="00A16FC0"/>
    <w:rsid w:val="00A31EBF"/>
    <w:rsid w:val="00A32C9E"/>
    <w:rsid w:val="00A345D0"/>
    <w:rsid w:val="00A5216F"/>
    <w:rsid w:val="00A95227"/>
    <w:rsid w:val="00AB613D"/>
    <w:rsid w:val="00AD18ED"/>
    <w:rsid w:val="00AE7F20"/>
    <w:rsid w:val="00B00F84"/>
    <w:rsid w:val="00B534D5"/>
    <w:rsid w:val="00B65A0A"/>
    <w:rsid w:val="00B67CDC"/>
    <w:rsid w:val="00B72D36"/>
    <w:rsid w:val="00B92FE0"/>
    <w:rsid w:val="00BC4164"/>
    <w:rsid w:val="00BD2DCC"/>
    <w:rsid w:val="00C7780F"/>
    <w:rsid w:val="00C90559"/>
    <w:rsid w:val="00C9420C"/>
    <w:rsid w:val="00CA0500"/>
    <w:rsid w:val="00CA2251"/>
    <w:rsid w:val="00CA26CD"/>
    <w:rsid w:val="00CA5895"/>
    <w:rsid w:val="00CB48DE"/>
    <w:rsid w:val="00CC3FF6"/>
    <w:rsid w:val="00D02590"/>
    <w:rsid w:val="00D15683"/>
    <w:rsid w:val="00D56C7C"/>
    <w:rsid w:val="00D71B4D"/>
    <w:rsid w:val="00D90289"/>
    <w:rsid w:val="00D93D55"/>
    <w:rsid w:val="00DC4C60"/>
    <w:rsid w:val="00DD6CF4"/>
    <w:rsid w:val="00E0079A"/>
    <w:rsid w:val="00E444DA"/>
    <w:rsid w:val="00E45C84"/>
    <w:rsid w:val="00E504E5"/>
    <w:rsid w:val="00EA768E"/>
    <w:rsid w:val="00EB2BCC"/>
    <w:rsid w:val="00EB7A3E"/>
    <w:rsid w:val="00EC1AA7"/>
    <w:rsid w:val="00EC401A"/>
    <w:rsid w:val="00EE0B65"/>
    <w:rsid w:val="00EF530A"/>
    <w:rsid w:val="00EF6622"/>
    <w:rsid w:val="00EF78A9"/>
    <w:rsid w:val="00F40083"/>
    <w:rsid w:val="00F55408"/>
    <w:rsid w:val="00F66152"/>
    <w:rsid w:val="00F80845"/>
    <w:rsid w:val="00F84474"/>
    <w:rsid w:val="00FA00E2"/>
    <w:rsid w:val="00FA0F0D"/>
    <w:rsid w:val="00FD59D1"/>
    <w:rsid w:val="00FE7116"/>
    <w:rsid w:val="00FF5B70"/>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51CB94"/>
  <w15:docId w15:val="{0D48A175-54E4-4BB4-BE08-5E039A3A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1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7">
    <w:name w:val="heading 7"/>
    <w:basedOn w:val="Normal"/>
    <w:next w:val="Normal"/>
    <w:link w:val="Heading7Char"/>
    <w:semiHidden/>
    <w:unhideWhenUsed/>
    <w:qFormat/>
    <w:rsid w:val="00252A9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7A69E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A69EA"/>
    <w:rPr>
      <w:rFonts w:ascii="Arial" w:eastAsia="SimSun" w:hAnsi="Arial" w:cs="Arial"/>
      <w:bCs/>
      <w:sz w:val="22"/>
      <w:szCs w:val="26"/>
      <w:u w:val="single"/>
      <w:lang w:val="es-ES" w:eastAsia="zh-CN"/>
    </w:rPr>
  </w:style>
  <w:style w:type="character" w:customStyle="1" w:styleId="FooterChar">
    <w:name w:val="Footer Char"/>
    <w:basedOn w:val="DefaultParagraphFont"/>
    <w:link w:val="Footer"/>
    <w:rsid w:val="007A69EA"/>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A69EA"/>
    <w:rPr>
      <w:rFonts w:ascii="Arial" w:eastAsia="SimSun" w:hAnsi="Arial" w:cs="Arial"/>
      <w:sz w:val="18"/>
      <w:lang w:val="es-ES" w:eastAsia="zh-CN"/>
    </w:rPr>
  </w:style>
  <w:style w:type="character" w:styleId="FootnoteReference">
    <w:name w:val="footnote reference"/>
    <w:semiHidden/>
    <w:rsid w:val="007A69EA"/>
    <w:rPr>
      <w:vertAlign w:val="superscript"/>
    </w:rPr>
  </w:style>
  <w:style w:type="character" w:customStyle="1" w:styleId="Heading7Char">
    <w:name w:val="Heading 7 Char"/>
    <w:basedOn w:val="DefaultParagraphFont"/>
    <w:link w:val="Heading7"/>
    <w:semiHidden/>
    <w:rsid w:val="00252A99"/>
    <w:rPr>
      <w:rFonts w:asciiTheme="majorHAnsi" w:eastAsiaTheme="majorEastAsia" w:hAnsiTheme="majorHAnsi" w:cstheme="majorBidi"/>
      <w:i/>
      <w:iCs/>
      <w:color w:val="243F60" w:themeColor="accent1" w:themeShade="7F"/>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52 (S)</Template>
  <TotalTime>38</TotalTime>
  <Pages>5</Pages>
  <Words>1033</Words>
  <Characters>5193</Characters>
  <Application>Microsoft Office Word</Application>
  <DocSecurity>0</DocSecurity>
  <Lines>106</Lines>
  <Paragraphs>48</Paragraphs>
  <ScaleCrop>false</ScaleCrop>
  <HeadingPairs>
    <vt:vector size="2" baseType="variant">
      <vt:variant>
        <vt:lpstr>Title</vt:lpstr>
      </vt:variant>
      <vt:variant>
        <vt:i4>1</vt:i4>
      </vt:variant>
    </vt:vector>
  </HeadingPairs>
  <TitlesOfParts>
    <vt:vector size="1" baseType="lpstr">
      <vt:lpstr>WO/GA/52/1</vt:lpstr>
    </vt:vector>
  </TitlesOfParts>
  <Company>WIPO</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WO/GA/52/1</dc:title>
  <dc:creator>JC</dc:creator>
  <cp:keywords>PUBLIC</cp:keywords>
  <cp:lastModifiedBy>HÄFLIGER Patience</cp:lastModifiedBy>
  <cp:revision>16</cp:revision>
  <dcterms:created xsi:type="dcterms:W3CDTF">2020-04-02T10:02:00Z</dcterms:created>
  <dcterms:modified xsi:type="dcterms:W3CDTF">2020-04-21T09:55:00Z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