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0D" w:rsidRDefault="003D630D"/>
    <w:tbl>
      <w:tblPr>
        <w:tblW w:w="9356" w:type="dxa"/>
        <w:tblInd w:w="108" w:type="dxa"/>
        <w:tblLayout w:type="fixed"/>
        <w:tblLook w:val="01E0" w:firstRow="1" w:lastRow="1" w:firstColumn="1" w:lastColumn="1" w:noHBand="0" w:noVBand="0"/>
      </w:tblPr>
      <w:tblGrid>
        <w:gridCol w:w="4513"/>
        <w:gridCol w:w="4337"/>
        <w:gridCol w:w="506"/>
      </w:tblGrid>
      <w:tr w:rsidR="00E504E5" w:rsidRPr="00DB352B" w:rsidTr="003D630D">
        <w:tc>
          <w:tcPr>
            <w:tcW w:w="4513" w:type="dxa"/>
            <w:tcBorders>
              <w:bottom w:val="single" w:sz="4" w:space="0" w:color="auto"/>
            </w:tcBorders>
            <w:tcMar>
              <w:bottom w:w="170" w:type="dxa"/>
            </w:tcMar>
          </w:tcPr>
          <w:p w:rsidR="00E504E5" w:rsidRPr="00DB352B" w:rsidRDefault="00E504E5" w:rsidP="00AB613D">
            <w:pPr>
              <w:rPr>
                <w:lang w:val="es-ES_tradnl"/>
              </w:rPr>
            </w:pPr>
          </w:p>
        </w:tc>
        <w:tc>
          <w:tcPr>
            <w:tcW w:w="4337" w:type="dxa"/>
            <w:tcBorders>
              <w:bottom w:val="single" w:sz="4" w:space="0" w:color="auto"/>
            </w:tcBorders>
            <w:tcMar>
              <w:left w:w="0" w:type="dxa"/>
              <w:right w:w="0" w:type="dxa"/>
            </w:tcMar>
          </w:tcPr>
          <w:p w:rsidR="00E504E5" w:rsidRPr="00DB352B" w:rsidRDefault="00B65992" w:rsidP="00AB613D">
            <w:pPr>
              <w:rPr>
                <w:lang w:val="es-ES_tradnl"/>
              </w:rPr>
            </w:pPr>
            <w:r w:rsidRPr="00DB352B">
              <w:rPr>
                <w:noProof/>
                <w:lang w:eastAsia="es-ES" w:bidi="lo-LA"/>
              </w:rPr>
              <w:drawing>
                <wp:inline distT="0" distB="0" distL="0" distR="0" wp14:anchorId="5D316041" wp14:editId="4A468E8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DB352B" w:rsidRDefault="00E504E5" w:rsidP="00AB613D">
            <w:pPr>
              <w:jc w:val="right"/>
              <w:rPr>
                <w:lang w:val="es-ES_tradnl"/>
              </w:rPr>
            </w:pPr>
            <w:r w:rsidRPr="00DB352B">
              <w:rPr>
                <w:b/>
                <w:sz w:val="40"/>
                <w:szCs w:val="40"/>
                <w:lang w:val="es-ES_tradnl"/>
              </w:rPr>
              <w:t>S</w:t>
            </w:r>
          </w:p>
        </w:tc>
      </w:tr>
      <w:tr w:rsidR="008B2CC1" w:rsidRPr="00DB352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B352B" w:rsidRDefault="0081338B" w:rsidP="00AB613D">
            <w:pPr>
              <w:jc w:val="right"/>
              <w:rPr>
                <w:rFonts w:ascii="Arial Black" w:hAnsi="Arial Black"/>
                <w:caps/>
                <w:sz w:val="15"/>
                <w:lang w:val="es-ES_tradnl"/>
              </w:rPr>
            </w:pPr>
            <w:r w:rsidRPr="00DB352B">
              <w:rPr>
                <w:rFonts w:ascii="Arial Black" w:hAnsi="Arial Black"/>
                <w:caps/>
                <w:sz w:val="15"/>
                <w:lang w:val="es-ES_tradnl"/>
              </w:rPr>
              <w:t>WO/PBC/21/</w:t>
            </w:r>
            <w:bookmarkStart w:id="0" w:name="Code"/>
            <w:bookmarkEnd w:id="0"/>
            <w:r w:rsidR="00B65992" w:rsidRPr="00DB352B">
              <w:rPr>
                <w:rFonts w:ascii="Arial Black" w:hAnsi="Arial Black"/>
                <w:caps/>
                <w:sz w:val="15"/>
                <w:lang w:val="es-ES_tradnl"/>
              </w:rPr>
              <w:t>9</w:t>
            </w:r>
            <w:r w:rsidR="008B2CC1" w:rsidRPr="00DB352B">
              <w:rPr>
                <w:rFonts w:ascii="Arial Black" w:hAnsi="Arial Black"/>
                <w:caps/>
                <w:sz w:val="15"/>
                <w:lang w:val="es-ES_tradnl"/>
              </w:rPr>
              <w:t xml:space="preserve">   </w:t>
            </w:r>
          </w:p>
        </w:tc>
      </w:tr>
      <w:tr w:rsidR="008B2CC1" w:rsidRPr="00DB352B" w:rsidTr="00AB613D">
        <w:trPr>
          <w:trHeight w:hRule="exact" w:val="170"/>
        </w:trPr>
        <w:tc>
          <w:tcPr>
            <w:tcW w:w="9356" w:type="dxa"/>
            <w:gridSpan w:val="3"/>
            <w:noWrap/>
            <w:tcMar>
              <w:left w:w="0" w:type="dxa"/>
              <w:right w:w="0" w:type="dxa"/>
            </w:tcMar>
            <w:vAlign w:val="bottom"/>
          </w:tcPr>
          <w:p w:rsidR="008B2CC1" w:rsidRPr="00DB352B" w:rsidRDefault="008B2CC1" w:rsidP="00AB613D">
            <w:pPr>
              <w:jc w:val="right"/>
              <w:rPr>
                <w:rFonts w:ascii="Arial Black" w:hAnsi="Arial Black"/>
                <w:caps/>
                <w:sz w:val="15"/>
                <w:lang w:val="es-ES_tradnl"/>
              </w:rPr>
            </w:pPr>
            <w:r w:rsidRPr="00DB352B">
              <w:rPr>
                <w:rFonts w:ascii="Arial Black" w:hAnsi="Arial Black"/>
                <w:caps/>
                <w:sz w:val="15"/>
                <w:lang w:val="es-ES_tradnl"/>
              </w:rPr>
              <w:t>ORIGINAL:</w:t>
            </w:r>
            <w:r w:rsidR="00F84474" w:rsidRPr="00DB352B">
              <w:rPr>
                <w:rFonts w:ascii="Arial Black" w:hAnsi="Arial Black"/>
                <w:caps/>
                <w:sz w:val="15"/>
                <w:lang w:val="es-ES_tradnl"/>
              </w:rPr>
              <w:t xml:space="preserve"> </w:t>
            </w:r>
            <w:r w:rsidRPr="00DB352B">
              <w:rPr>
                <w:rFonts w:ascii="Arial Black" w:hAnsi="Arial Black"/>
                <w:caps/>
                <w:sz w:val="15"/>
                <w:lang w:val="es-ES_tradnl"/>
              </w:rPr>
              <w:t xml:space="preserve"> </w:t>
            </w:r>
            <w:bookmarkStart w:id="1" w:name="Original"/>
            <w:bookmarkEnd w:id="1"/>
            <w:r w:rsidR="00B65992" w:rsidRPr="00DB352B">
              <w:rPr>
                <w:rFonts w:ascii="Arial Black" w:hAnsi="Arial Black"/>
                <w:caps/>
                <w:sz w:val="15"/>
                <w:lang w:val="es-ES_tradnl"/>
              </w:rPr>
              <w:t>Inglés</w:t>
            </w:r>
          </w:p>
        </w:tc>
      </w:tr>
      <w:tr w:rsidR="008B2CC1" w:rsidRPr="00DB352B" w:rsidTr="00AB613D">
        <w:trPr>
          <w:trHeight w:hRule="exact" w:val="198"/>
        </w:trPr>
        <w:tc>
          <w:tcPr>
            <w:tcW w:w="9356" w:type="dxa"/>
            <w:gridSpan w:val="3"/>
            <w:tcMar>
              <w:left w:w="0" w:type="dxa"/>
              <w:right w:w="0" w:type="dxa"/>
            </w:tcMar>
            <w:vAlign w:val="bottom"/>
          </w:tcPr>
          <w:p w:rsidR="008B2CC1" w:rsidRPr="00DB352B" w:rsidRDefault="00675021" w:rsidP="00283813">
            <w:pPr>
              <w:jc w:val="right"/>
              <w:rPr>
                <w:rFonts w:ascii="Arial Black" w:hAnsi="Arial Black"/>
                <w:caps/>
                <w:sz w:val="15"/>
                <w:lang w:val="es-ES_tradnl"/>
              </w:rPr>
            </w:pPr>
            <w:r w:rsidRPr="00DB352B">
              <w:rPr>
                <w:rFonts w:ascii="Arial Black" w:hAnsi="Arial Black"/>
                <w:caps/>
                <w:sz w:val="15"/>
                <w:lang w:val="es-ES_tradnl"/>
              </w:rPr>
              <w:t>fecha</w:t>
            </w:r>
            <w:r w:rsidR="008B2CC1" w:rsidRPr="00DB352B">
              <w:rPr>
                <w:rFonts w:ascii="Arial Black" w:hAnsi="Arial Black"/>
                <w:caps/>
                <w:sz w:val="15"/>
                <w:lang w:val="es-ES_tradnl"/>
              </w:rPr>
              <w:t>:</w:t>
            </w:r>
            <w:r w:rsidR="00F84474" w:rsidRPr="00DB352B">
              <w:rPr>
                <w:rFonts w:ascii="Arial Black" w:hAnsi="Arial Black"/>
                <w:caps/>
                <w:sz w:val="15"/>
                <w:lang w:val="es-ES_tradnl"/>
              </w:rPr>
              <w:t xml:space="preserve"> </w:t>
            </w:r>
            <w:r w:rsidR="008B2CC1" w:rsidRPr="00DB352B">
              <w:rPr>
                <w:rFonts w:ascii="Arial Black" w:hAnsi="Arial Black"/>
                <w:caps/>
                <w:sz w:val="15"/>
                <w:lang w:val="es-ES_tradnl"/>
              </w:rPr>
              <w:t xml:space="preserve"> </w:t>
            </w:r>
            <w:bookmarkStart w:id="2" w:name="Date"/>
            <w:bookmarkEnd w:id="2"/>
            <w:r w:rsidR="00283813" w:rsidRPr="00DB352B">
              <w:rPr>
                <w:rFonts w:ascii="Arial Black" w:hAnsi="Arial Black"/>
                <w:caps/>
                <w:sz w:val="15"/>
                <w:lang w:val="es-ES_tradnl"/>
              </w:rPr>
              <w:t>6</w:t>
            </w:r>
            <w:r w:rsidR="00B65992" w:rsidRPr="00DB352B">
              <w:rPr>
                <w:rFonts w:ascii="Arial Black" w:hAnsi="Arial Black"/>
                <w:caps/>
                <w:sz w:val="15"/>
                <w:lang w:val="es-ES_tradnl"/>
              </w:rPr>
              <w:t xml:space="preserve"> de agosto de 2013</w:t>
            </w:r>
          </w:p>
        </w:tc>
      </w:tr>
    </w:tbl>
    <w:p w:rsidR="008B2CC1" w:rsidRPr="00DB352B" w:rsidRDefault="008B2CC1" w:rsidP="008B2CC1">
      <w:pPr>
        <w:rPr>
          <w:lang w:val="es-ES_tradnl"/>
        </w:rPr>
      </w:pPr>
    </w:p>
    <w:p w:rsidR="008B2CC1" w:rsidRPr="00DB352B" w:rsidRDefault="008B2CC1" w:rsidP="008B2CC1">
      <w:pPr>
        <w:rPr>
          <w:lang w:val="es-ES_tradnl"/>
        </w:rPr>
      </w:pPr>
    </w:p>
    <w:p w:rsidR="008B2CC1" w:rsidRPr="00DB352B" w:rsidRDefault="008B2CC1" w:rsidP="008B2CC1">
      <w:pPr>
        <w:rPr>
          <w:lang w:val="es-ES_tradnl"/>
        </w:rPr>
      </w:pPr>
    </w:p>
    <w:p w:rsidR="008B2CC1" w:rsidRPr="00DB352B" w:rsidRDefault="008B2CC1" w:rsidP="008B2CC1">
      <w:pPr>
        <w:rPr>
          <w:lang w:val="es-ES_tradnl"/>
        </w:rPr>
      </w:pPr>
    </w:p>
    <w:p w:rsidR="008B2CC1" w:rsidRPr="00DB352B" w:rsidRDefault="008B2CC1" w:rsidP="008B2CC1">
      <w:pPr>
        <w:rPr>
          <w:lang w:val="es-ES_tradnl"/>
        </w:rPr>
      </w:pPr>
    </w:p>
    <w:p w:rsidR="0081338B" w:rsidRPr="00DB352B" w:rsidRDefault="0081338B" w:rsidP="0081338B">
      <w:pPr>
        <w:rPr>
          <w:b/>
          <w:sz w:val="28"/>
          <w:szCs w:val="28"/>
          <w:lang w:val="es-ES_tradnl"/>
        </w:rPr>
      </w:pPr>
      <w:r w:rsidRPr="00DB352B">
        <w:rPr>
          <w:b/>
          <w:sz w:val="28"/>
          <w:szCs w:val="28"/>
          <w:lang w:val="es-ES_tradnl"/>
        </w:rPr>
        <w:t>Comité del Programa y Presupuesto</w:t>
      </w:r>
    </w:p>
    <w:p w:rsidR="003845C1" w:rsidRPr="00DB352B" w:rsidRDefault="003845C1" w:rsidP="003845C1">
      <w:pPr>
        <w:rPr>
          <w:lang w:val="es-ES_tradnl"/>
        </w:rPr>
      </w:pPr>
      <w:bookmarkStart w:id="3" w:name="_GoBack"/>
      <w:bookmarkEnd w:id="3"/>
    </w:p>
    <w:p w:rsidR="003845C1" w:rsidRPr="00DB352B" w:rsidRDefault="003845C1" w:rsidP="003845C1">
      <w:pPr>
        <w:rPr>
          <w:lang w:val="es-ES_tradnl"/>
        </w:rPr>
      </w:pPr>
    </w:p>
    <w:p w:rsidR="0081338B" w:rsidRPr="00DB352B" w:rsidRDefault="0081338B" w:rsidP="0081338B">
      <w:pPr>
        <w:rPr>
          <w:b/>
          <w:sz w:val="24"/>
          <w:szCs w:val="24"/>
          <w:lang w:val="es-ES_tradnl"/>
        </w:rPr>
      </w:pPr>
      <w:r w:rsidRPr="00DB352B">
        <w:rPr>
          <w:b/>
          <w:sz w:val="24"/>
          <w:szCs w:val="24"/>
          <w:lang w:val="es-ES_tradnl"/>
        </w:rPr>
        <w:t>Vigésim</w:t>
      </w:r>
      <w:r w:rsidR="003D4948" w:rsidRPr="00DB352B">
        <w:rPr>
          <w:b/>
          <w:sz w:val="24"/>
          <w:szCs w:val="24"/>
          <w:lang w:val="es-ES_tradnl"/>
        </w:rPr>
        <w:t>a</w:t>
      </w:r>
      <w:r w:rsidRPr="00DB352B">
        <w:rPr>
          <w:b/>
          <w:sz w:val="24"/>
          <w:szCs w:val="24"/>
          <w:lang w:val="es-ES_tradnl"/>
        </w:rPr>
        <w:t xml:space="preserve"> primera sesión</w:t>
      </w:r>
    </w:p>
    <w:p w:rsidR="0081338B" w:rsidRPr="00DB352B" w:rsidRDefault="0081338B" w:rsidP="0081338B">
      <w:pPr>
        <w:rPr>
          <w:b/>
          <w:sz w:val="24"/>
          <w:szCs w:val="24"/>
          <w:lang w:val="es-ES_tradnl"/>
        </w:rPr>
      </w:pPr>
      <w:r w:rsidRPr="00DB352B">
        <w:rPr>
          <w:b/>
          <w:sz w:val="24"/>
          <w:szCs w:val="24"/>
          <w:lang w:val="es-ES_tradnl"/>
        </w:rPr>
        <w:t>Ginebra, 9 a 13 de septiembre de 2013</w:t>
      </w:r>
    </w:p>
    <w:p w:rsidR="008B2CC1" w:rsidRPr="00DB352B" w:rsidRDefault="008B2CC1" w:rsidP="008B2CC1">
      <w:pPr>
        <w:rPr>
          <w:lang w:val="es-ES_tradnl"/>
        </w:rPr>
      </w:pPr>
    </w:p>
    <w:p w:rsidR="005C2D13" w:rsidRPr="00DB352B" w:rsidRDefault="005C2D13" w:rsidP="008B2CC1">
      <w:pPr>
        <w:rPr>
          <w:lang w:val="es-ES_tradnl"/>
        </w:rPr>
      </w:pPr>
    </w:p>
    <w:p w:rsidR="008B2CC1" w:rsidRPr="00DB352B" w:rsidRDefault="008B2CC1" w:rsidP="008B2CC1">
      <w:pPr>
        <w:rPr>
          <w:lang w:val="es-ES_tradnl"/>
        </w:rPr>
      </w:pPr>
    </w:p>
    <w:p w:rsidR="008B2CC1" w:rsidRPr="00DB352B" w:rsidRDefault="008B2CC1" w:rsidP="008B2CC1">
      <w:pPr>
        <w:rPr>
          <w:lang w:val="es-ES_tradnl"/>
        </w:rPr>
      </w:pPr>
    </w:p>
    <w:p w:rsidR="00283813" w:rsidRPr="00DB352B" w:rsidRDefault="00A71FBA" w:rsidP="00283813">
      <w:pPr>
        <w:rPr>
          <w:caps/>
          <w:sz w:val="24"/>
          <w:lang w:val="es-ES_tradnl"/>
        </w:rPr>
      </w:pPr>
      <w:bookmarkStart w:id="4" w:name="TitleOfDoc"/>
      <w:bookmarkEnd w:id="4"/>
      <w:r w:rsidRPr="00DB352B">
        <w:rPr>
          <w:caps/>
          <w:sz w:val="24"/>
          <w:lang w:val="es-ES_tradnl"/>
        </w:rPr>
        <w:t>INFORME SOBRE LA MARCHA DEL PROYECTO PARA REFORZAR LAS NORMAS DE SEGURIDAD Y VIGILANCIA DE LOS EDIFICIOS DE LA OMPI</w:t>
      </w:r>
    </w:p>
    <w:p w:rsidR="00283813" w:rsidRPr="00DB352B" w:rsidRDefault="00283813" w:rsidP="00283813">
      <w:pPr>
        <w:rPr>
          <w:i/>
          <w:szCs w:val="22"/>
          <w:lang w:val="es-ES_tradnl"/>
        </w:rPr>
      </w:pPr>
      <w:bookmarkStart w:id="5" w:name="Prepared"/>
      <w:bookmarkEnd w:id="5"/>
    </w:p>
    <w:p w:rsidR="00283813" w:rsidRPr="00DB352B" w:rsidRDefault="00A71FBA" w:rsidP="00283813">
      <w:pPr>
        <w:rPr>
          <w:i/>
          <w:lang w:val="es-ES_tradnl"/>
        </w:rPr>
      </w:pPr>
      <w:r w:rsidRPr="00DB352B">
        <w:rPr>
          <w:i/>
          <w:lang w:val="es-ES_tradnl"/>
        </w:rPr>
        <w:t>preparado por la Secretaría</w:t>
      </w:r>
    </w:p>
    <w:p w:rsidR="00283813" w:rsidRPr="00DB352B" w:rsidRDefault="00283813" w:rsidP="00283813">
      <w:pPr>
        <w:rPr>
          <w:lang w:val="es-ES_tradnl"/>
        </w:rPr>
      </w:pPr>
    </w:p>
    <w:p w:rsidR="00283813" w:rsidRPr="00DB352B" w:rsidRDefault="00283813" w:rsidP="00283813">
      <w:pPr>
        <w:rPr>
          <w:lang w:val="es-ES_tradnl"/>
        </w:rPr>
      </w:pPr>
    </w:p>
    <w:p w:rsidR="00283813" w:rsidRPr="00DB352B" w:rsidRDefault="00283813" w:rsidP="00283813">
      <w:pPr>
        <w:rPr>
          <w:lang w:val="es-ES_tradnl"/>
        </w:rPr>
      </w:pPr>
    </w:p>
    <w:p w:rsidR="00283813" w:rsidRPr="00DB352B" w:rsidRDefault="00283813" w:rsidP="003D630D">
      <w:pPr>
        <w:pStyle w:val="Heading1"/>
        <w:rPr>
          <w:lang w:val="es-ES_tradnl"/>
        </w:rPr>
      </w:pPr>
      <w:r w:rsidRPr="00DB352B">
        <w:rPr>
          <w:lang w:val="es-ES_tradnl"/>
        </w:rPr>
        <w:t>Introdu</w:t>
      </w:r>
      <w:r w:rsidR="00A71FBA" w:rsidRPr="00DB352B">
        <w:rPr>
          <w:lang w:val="es-ES_tradnl"/>
        </w:rPr>
        <w:t>cción</w:t>
      </w:r>
    </w:p>
    <w:p w:rsidR="00283813" w:rsidRPr="00DB352B" w:rsidRDefault="00283813" w:rsidP="00283813">
      <w:pPr>
        <w:pStyle w:val="ONUME"/>
        <w:numPr>
          <w:ilvl w:val="0"/>
          <w:numId w:val="0"/>
        </w:numPr>
        <w:spacing w:after="0"/>
        <w:rPr>
          <w:lang w:val="es-ES_tradnl"/>
        </w:rPr>
      </w:pPr>
    </w:p>
    <w:p w:rsidR="00283813" w:rsidRPr="00DB352B" w:rsidRDefault="00A71FBA" w:rsidP="00A71FBA">
      <w:pPr>
        <w:pStyle w:val="ONUMFS"/>
        <w:rPr>
          <w:lang w:val="es-ES_tradnl"/>
        </w:rPr>
      </w:pPr>
      <w:r w:rsidRPr="00DB352B">
        <w:rPr>
          <w:lang w:val="es-ES_tradnl"/>
        </w:rPr>
        <w:t>El presente documento tiene por objeto presentar al Comité del Programa y Presupuesto (PBC) un informe sobre la marcha del proyecto para reforzar las normas de seguridad y vigilancia de los edificios de la OMPI</w:t>
      </w:r>
      <w:r w:rsidR="00CC3175">
        <w:rPr>
          <w:lang w:val="es-ES_tradnl"/>
        </w:rPr>
        <w:t>,</w:t>
      </w:r>
      <w:r w:rsidRPr="00DB352B">
        <w:rPr>
          <w:lang w:val="es-ES_tradnl"/>
        </w:rPr>
        <w:t xml:space="preserve"> que abarca el período transcurrido desde el último informe sobre la </w:t>
      </w:r>
      <w:r w:rsidR="00DB352B" w:rsidRPr="00DB352B">
        <w:rPr>
          <w:lang w:val="es-ES_tradnl"/>
        </w:rPr>
        <w:t>marcha preparado para la decimonovena</w:t>
      </w:r>
      <w:r w:rsidRPr="00DB352B">
        <w:rPr>
          <w:lang w:val="es-ES_tradnl"/>
        </w:rPr>
        <w:t xml:space="preserve"> sesión del PBC</w:t>
      </w:r>
      <w:r w:rsidR="00CC3175">
        <w:rPr>
          <w:lang w:val="es-ES_tradnl"/>
        </w:rPr>
        <w:t>,</w:t>
      </w:r>
      <w:r w:rsidRPr="00DB352B">
        <w:rPr>
          <w:lang w:val="es-ES_tradnl"/>
        </w:rPr>
        <w:t xml:space="preserve"> celebrada en septiembre de 2012 (WO/PBC/19/15).</w:t>
      </w:r>
    </w:p>
    <w:p w:rsidR="00283813" w:rsidRPr="00DB352B" w:rsidRDefault="008E36BE" w:rsidP="003D630D">
      <w:pPr>
        <w:pStyle w:val="Heading1"/>
        <w:rPr>
          <w:lang w:val="es-ES_tradnl"/>
        </w:rPr>
      </w:pPr>
      <w:r w:rsidRPr="00DB352B">
        <w:rPr>
          <w:lang w:val="es-ES_tradnl"/>
        </w:rPr>
        <w:t>AVANCE DEL PROYECTO</w:t>
      </w:r>
    </w:p>
    <w:p w:rsidR="00283813" w:rsidRPr="00DB352B" w:rsidRDefault="00283813" w:rsidP="00283813">
      <w:pPr>
        <w:outlineLvl w:val="1"/>
        <w:rPr>
          <w:bCs/>
          <w:iCs/>
          <w:caps/>
          <w:szCs w:val="22"/>
          <w:lang w:val="es-ES_tradnl"/>
        </w:rPr>
      </w:pPr>
    </w:p>
    <w:p w:rsidR="00283813" w:rsidRPr="00DB352B" w:rsidRDefault="008E36BE" w:rsidP="00283813">
      <w:pPr>
        <w:pStyle w:val="ONUMFS"/>
        <w:rPr>
          <w:lang w:val="es-ES_tradnl"/>
        </w:rPr>
      </w:pPr>
      <w:r w:rsidRPr="00DB352B">
        <w:rPr>
          <w:lang w:val="es-ES_tradnl"/>
        </w:rPr>
        <w:t xml:space="preserve">La ejecución del proyecto para reforzar las normas de seguridad y vigilancia se planeó en </w:t>
      </w:r>
      <w:r w:rsidR="00925463">
        <w:rPr>
          <w:lang w:val="es-ES_tradnl"/>
        </w:rPr>
        <w:t xml:space="preserve">las </w:t>
      </w:r>
      <w:r w:rsidRPr="00DB352B">
        <w:rPr>
          <w:lang w:val="es-ES_tradnl"/>
        </w:rPr>
        <w:t>tres fases</w:t>
      </w:r>
      <w:r w:rsidR="00925463">
        <w:rPr>
          <w:lang w:val="es-ES_tradnl"/>
        </w:rPr>
        <w:t xml:space="preserve"> siguientes</w:t>
      </w:r>
      <w:r w:rsidR="00283813" w:rsidRPr="00DB352B">
        <w:rPr>
          <w:lang w:val="es-ES_tradnl"/>
        </w:rPr>
        <w:t>:</w:t>
      </w:r>
    </w:p>
    <w:p w:rsidR="00283813" w:rsidRPr="00DB352B" w:rsidRDefault="00A71FBA" w:rsidP="00A71FBA">
      <w:pPr>
        <w:pStyle w:val="ONUMFS"/>
        <w:numPr>
          <w:ilvl w:val="1"/>
          <w:numId w:val="6"/>
        </w:numPr>
        <w:tabs>
          <w:tab w:val="clear" w:pos="1134"/>
          <w:tab w:val="num" w:pos="1170"/>
        </w:tabs>
        <w:ind w:left="1170" w:hanging="603"/>
        <w:rPr>
          <w:lang w:val="es-ES_tradnl"/>
        </w:rPr>
      </w:pPr>
      <w:r w:rsidRPr="00DB352B">
        <w:rPr>
          <w:lang w:val="es-ES_tradnl" w:eastAsia="en-US"/>
        </w:rPr>
        <w:t xml:space="preserve">La </w:t>
      </w:r>
      <w:r w:rsidR="00B35044" w:rsidRPr="00DB352B">
        <w:rPr>
          <w:b/>
          <w:lang w:val="es-ES_tradnl" w:eastAsia="en-US"/>
        </w:rPr>
        <w:t>f</w:t>
      </w:r>
      <w:r w:rsidRPr="00DB352B">
        <w:rPr>
          <w:b/>
          <w:lang w:val="es-ES_tradnl" w:eastAsia="en-US"/>
        </w:rPr>
        <w:t>ase I</w:t>
      </w:r>
      <w:r w:rsidRPr="00DB352B">
        <w:rPr>
          <w:lang w:val="es-ES_tradnl" w:eastAsia="en-US"/>
        </w:rPr>
        <w:t xml:space="preserve"> consiste en recopilar y analizar la información necesaria sobre los sistemas, la infraestructura y el cableado de los edificios existentes con el fin de elaborar planes de seguridad y vigilancia, así como un concepto de seguridad acorde con el marco del proyecto y las normas UN H-MOSS</w:t>
      </w:r>
      <w:r w:rsidR="00283813" w:rsidRPr="00DB352B">
        <w:rPr>
          <w:lang w:val="es-ES_tradnl" w:eastAsia="en-US"/>
        </w:rPr>
        <w:t>;</w:t>
      </w:r>
    </w:p>
    <w:p w:rsidR="00283813" w:rsidRPr="00DB352B" w:rsidRDefault="00B35044" w:rsidP="00B35044">
      <w:pPr>
        <w:pStyle w:val="ONUMFS"/>
        <w:numPr>
          <w:ilvl w:val="1"/>
          <w:numId w:val="6"/>
        </w:numPr>
        <w:ind w:left="1134" w:hanging="567"/>
        <w:rPr>
          <w:lang w:val="es-ES_tradnl"/>
        </w:rPr>
      </w:pPr>
      <w:r w:rsidRPr="00DB352B">
        <w:rPr>
          <w:lang w:val="es-ES_tradnl"/>
        </w:rPr>
        <w:t>La</w:t>
      </w:r>
      <w:r w:rsidRPr="00DB352B">
        <w:rPr>
          <w:b/>
          <w:lang w:val="es-ES_tradnl"/>
        </w:rPr>
        <w:t xml:space="preserve"> f</w:t>
      </w:r>
      <w:r w:rsidR="00283813" w:rsidRPr="00DB352B">
        <w:rPr>
          <w:b/>
          <w:lang w:val="es-ES_tradnl"/>
        </w:rPr>
        <w:t>ase II</w:t>
      </w:r>
      <w:r w:rsidR="00283813" w:rsidRPr="00DB352B">
        <w:rPr>
          <w:lang w:val="es-ES_tradnl"/>
        </w:rPr>
        <w:t xml:space="preserve"> </w:t>
      </w:r>
      <w:r w:rsidRPr="00DB352B">
        <w:rPr>
          <w:lang w:val="es-ES_tradnl"/>
        </w:rPr>
        <w:t xml:space="preserve">comprende la elaboración del pliego de especificaciones técnicas, </w:t>
      </w:r>
      <w:r w:rsidR="0081254C" w:rsidRPr="00DB352B">
        <w:rPr>
          <w:lang w:val="es-ES_tradnl"/>
        </w:rPr>
        <w:t>incluidas las carpetas de ejecución de obras destinadas a las empresas de construcción</w:t>
      </w:r>
      <w:r w:rsidR="00DB352B" w:rsidRPr="00DB352B">
        <w:rPr>
          <w:lang w:val="es-ES_tradnl"/>
        </w:rPr>
        <w:t xml:space="preserve"> y los proveedores de servicios</w:t>
      </w:r>
      <w:r w:rsidR="0081254C" w:rsidRPr="00DB352B">
        <w:rPr>
          <w:lang w:val="es-ES_tradnl"/>
        </w:rPr>
        <w:t>, la realización de las convocatorias a licitación y la adquisición de los equipos y los sistemas; y</w:t>
      </w:r>
      <w:r w:rsidRPr="00DB352B">
        <w:rPr>
          <w:lang w:val="es-ES_tradnl"/>
        </w:rPr>
        <w:t xml:space="preserve"> </w:t>
      </w:r>
    </w:p>
    <w:p w:rsidR="00283813" w:rsidRPr="00DB352B" w:rsidRDefault="00A71FBA" w:rsidP="00A71FBA">
      <w:pPr>
        <w:pStyle w:val="ONUMFS"/>
        <w:numPr>
          <w:ilvl w:val="1"/>
          <w:numId w:val="6"/>
        </w:numPr>
        <w:tabs>
          <w:tab w:val="clear" w:pos="1134"/>
          <w:tab w:val="num" w:pos="1170"/>
        </w:tabs>
        <w:ind w:left="1170" w:hanging="603"/>
        <w:rPr>
          <w:lang w:val="es-ES_tradnl" w:eastAsia="en-US"/>
        </w:rPr>
      </w:pPr>
      <w:r w:rsidRPr="00DB352B">
        <w:rPr>
          <w:lang w:val="es-ES_tradnl" w:eastAsia="en-US"/>
        </w:rPr>
        <w:lastRenderedPageBreak/>
        <w:t xml:space="preserve">La </w:t>
      </w:r>
      <w:r w:rsidRPr="00DB352B">
        <w:rPr>
          <w:b/>
          <w:lang w:val="es-ES_tradnl" w:eastAsia="en-US"/>
        </w:rPr>
        <w:t>fase III</w:t>
      </w:r>
      <w:r w:rsidRPr="00DB352B">
        <w:rPr>
          <w:lang w:val="es-ES_tradnl" w:eastAsia="en-US"/>
        </w:rPr>
        <w:t xml:space="preserve"> está relacionada con la ejecución de la obra hasta la entrega definitiva de las instalaciones a la O</w:t>
      </w:r>
      <w:r w:rsidR="00DB352B" w:rsidRPr="00DB352B">
        <w:rPr>
          <w:lang w:val="es-ES_tradnl" w:eastAsia="en-US"/>
        </w:rPr>
        <w:t>MPI y la formación del personal.</w:t>
      </w:r>
    </w:p>
    <w:p w:rsidR="00283813" w:rsidRPr="00DB352B" w:rsidRDefault="006D7AFE" w:rsidP="006D7AFE">
      <w:pPr>
        <w:pStyle w:val="ONUMFS"/>
        <w:rPr>
          <w:lang w:val="es-ES_tradnl" w:eastAsia="en-US"/>
        </w:rPr>
      </w:pPr>
      <w:r w:rsidRPr="00DB352B">
        <w:rPr>
          <w:lang w:val="es-ES_tradnl" w:eastAsia="en-US"/>
        </w:rPr>
        <w:t>En el momento de redactar el presente documento, los elementos principales del proyecto se encuentran en las fases siguientes</w:t>
      </w:r>
      <w:r w:rsidR="00283813" w:rsidRPr="00DB352B">
        <w:rPr>
          <w:lang w:val="es-ES_tradnl" w:eastAsia="en-US"/>
        </w:rPr>
        <w:t>:</w:t>
      </w:r>
    </w:p>
    <w:tbl>
      <w:tblPr>
        <w:tblStyle w:val="TableGrid"/>
        <w:tblW w:w="0" w:type="auto"/>
        <w:tblLook w:val="04A0" w:firstRow="1" w:lastRow="0" w:firstColumn="1" w:lastColumn="0" w:noHBand="0" w:noVBand="1"/>
      </w:tblPr>
      <w:tblGrid>
        <w:gridCol w:w="3227"/>
        <w:gridCol w:w="2883"/>
        <w:gridCol w:w="3056"/>
      </w:tblGrid>
      <w:tr w:rsidR="00283813" w:rsidRPr="00DB352B" w:rsidTr="00A71FBA">
        <w:tc>
          <w:tcPr>
            <w:tcW w:w="3227" w:type="dxa"/>
          </w:tcPr>
          <w:p w:rsidR="00283813" w:rsidRPr="00DB352B" w:rsidRDefault="006D7AFE" w:rsidP="00A71FBA">
            <w:pPr>
              <w:contextualSpacing/>
              <w:jc w:val="center"/>
              <w:rPr>
                <w:rFonts w:eastAsiaTheme="minorHAnsi"/>
                <w:b/>
                <w:szCs w:val="20"/>
                <w:lang w:val="es-ES_tradnl" w:eastAsia="en-US"/>
              </w:rPr>
            </w:pPr>
            <w:r w:rsidRPr="00DB352B">
              <w:rPr>
                <w:rFonts w:eastAsiaTheme="minorHAnsi"/>
                <w:b/>
                <w:lang w:val="es-ES_tradnl" w:eastAsia="en-US"/>
              </w:rPr>
              <w:t>Elementos del proyecto</w:t>
            </w:r>
          </w:p>
        </w:tc>
        <w:tc>
          <w:tcPr>
            <w:tcW w:w="2883" w:type="dxa"/>
          </w:tcPr>
          <w:p w:rsidR="00283813" w:rsidRPr="00DB352B" w:rsidRDefault="00A71FBA" w:rsidP="00A71FBA">
            <w:pPr>
              <w:ind w:left="34"/>
              <w:contextualSpacing/>
              <w:jc w:val="center"/>
              <w:rPr>
                <w:rFonts w:eastAsiaTheme="minorHAnsi"/>
                <w:b/>
                <w:szCs w:val="20"/>
                <w:lang w:val="es-ES_tradnl" w:eastAsia="en-US"/>
              </w:rPr>
            </w:pPr>
            <w:r w:rsidRPr="00DB352B">
              <w:rPr>
                <w:rFonts w:eastAsiaTheme="minorHAnsi"/>
                <w:b/>
                <w:lang w:val="es-ES_tradnl" w:eastAsia="en-US"/>
              </w:rPr>
              <w:t>Estado actual</w:t>
            </w:r>
          </w:p>
        </w:tc>
        <w:tc>
          <w:tcPr>
            <w:tcW w:w="3056" w:type="dxa"/>
          </w:tcPr>
          <w:p w:rsidR="00283813" w:rsidRPr="00DB352B" w:rsidRDefault="00A71FBA" w:rsidP="00A71FBA">
            <w:pPr>
              <w:contextualSpacing/>
              <w:jc w:val="center"/>
              <w:rPr>
                <w:rFonts w:eastAsiaTheme="minorHAnsi"/>
                <w:b/>
                <w:szCs w:val="20"/>
                <w:lang w:val="es-ES_tradnl" w:eastAsia="en-US"/>
              </w:rPr>
            </w:pPr>
            <w:r w:rsidRPr="00DB352B">
              <w:rPr>
                <w:rFonts w:eastAsiaTheme="minorHAnsi"/>
                <w:b/>
                <w:lang w:val="es-ES_tradnl" w:eastAsia="en-US"/>
              </w:rPr>
              <w:t>Previsión</w:t>
            </w:r>
          </w:p>
        </w:tc>
      </w:tr>
      <w:tr w:rsidR="00283813" w:rsidRPr="00DB352B" w:rsidTr="00A71FBA">
        <w:tc>
          <w:tcPr>
            <w:tcW w:w="3227" w:type="dxa"/>
          </w:tcPr>
          <w:p w:rsidR="00283813" w:rsidRPr="00DB352B" w:rsidRDefault="006D7AFE" w:rsidP="00A71FBA">
            <w:pPr>
              <w:contextualSpacing/>
              <w:jc w:val="center"/>
              <w:rPr>
                <w:rFonts w:eastAsiaTheme="minorHAnsi"/>
                <w:szCs w:val="20"/>
                <w:lang w:val="es-ES_tradnl" w:eastAsia="en-US"/>
              </w:rPr>
            </w:pPr>
            <w:r w:rsidRPr="00DB352B">
              <w:rPr>
                <w:rFonts w:eastAsiaTheme="minorHAnsi"/>
                <w:lang w:val="es-ES_tradnl" w:eastAsia="en-US"/>
              </w:rPr>
              <w:t>Perímetro de seguridad de la OMPI</w:t>
            </w:r>
          </w:p>
        </w:tc>
        <w:tc>
          <w:tcPr>
            <w:tcW w:w="2883" w:type="dxa"/>
          </w:tcPr>
          <w:p w:rsidR="00283813" w:rsidRPr="00DB352B" w:rsidRDefault="006D7AFE" w:rsidP="00A71FBA">
            <w:pPr>
              <w:ind w:left="34"/>
              <w:contextualSpacing/>
              <w:jc w:val="center"/>
              <w:rPr>
                <w:rFonts w:eastAsiaTheme="minorHAnsi"/>
                <w:szCs w:val="20"/>
                <w:lang w:val="es-ES_tradnl" w:eastAsia="en-US"/>
              </w:rPr>
            </w:pPr>
            <w:r w:rsidRPr="00DB352B">
              <w:rPr>
                <w:rFonts w:eastAsiaTheme="minorHAnsi"/>
                <w:lang w:val="es-ES_tradnl" w:eastAsia="en-US"/>
              </w:rPr>
              <w:t>Fase III en curso</w:t>
            </w:r>
          </w:p>
        </w:tc>
        <w:tc>
          <w:tcPr>
            <w:tcW w:w="3056" w:type="dxa"/>
          </w:tcPr>
          <w:p w:rsidR="00283813" w:rsidRPr="00DB352B" w:rsidRDefault="006D7AFE" w:rsidP="00A71FBA">
            <w:pPr>
              <w:contextualSpacing/>
              <w:jc w:val="center"/>
              <w:rPr>
                <w:rFonts w:eastAsiaTheme="minorHAnsi"/>
                <w:szCs w:val="20"/>
                <w:lang w:val="es-ES_tradnl" w:eastAsia="en-US"/>
              </w:rPr>
            </w:pPr>
            <w:r w:rsidRPr="00DB352B">
              <w:rPr>
                <w:rFonts w:eastAsiaTheme="minorHAnsi"/>
                <w:lang w:val="es-ES_tradnl" w:eastAsia="en-US"/>
              </w:rPr>
              <w:t>Fin de las obras:  primavera de 2014</w:t>
            </w:r>
          </w:p>
        </w:tc>
      </w:tr>
      <w:tr w:rsidR="00283813" w:rsidRPr="00DB352B" w:rsidTr="00A71FBA">
        <w:tc>
          <w:tcPr>
            <w:tcW w:w="3227" w:type="dxa"/>
          </w:tcPr>
          <w:p w:rsidR="00283813" w:rsidRPr="00DB352B" w:rsidRDefault="006D7AFE" w:rsidP="00283813">
            <w:pPr>
              <w:contextualSpacing/>
              <w:jc w:val="center"/>
              <w:rPr>
                <w:rFonts w:eastAsiaTheme="minorHAnsi"/>
                <w:szCs w:val="20"/>
                <w:lang w:val="es-ES_tradnl" w:eastAsia="en-US"/>
              </w:rPr>
            </w:pPr>
            <w:r w:rsidRPr="00DB352B">
              <w:rPr>
                <w:rFonts w:eastAsiaTheme="minorHAnsi"/>
                <w:lang w:val="es-ES_tradnl" w:eastAsia="en-US"/>
              </w:rPr>
              <w:t>Seguridad interna</w:t>
            </w:r>
          </w:p>
        </w:tc>
        <w:tc>
          <w:tcPr>
            <w:tcW w:w="2883" w:type="dxa"/>
          </w:tcPr>
          <w:p w:rsidR="00283813" w:rsidRPr="00DB352B" w:rsidRDefault="006D7AFE" w:rsidP="00A71FBA">
            <w:pPr>
              <w:ind w:left="34"/>
              <w:contextualSpacing/>
              <w:jc w:val="center"/>
              <w:rPr>
                <w:rFonts w:eastAsiaTheme="minorHAnsi"/>
                <w:szCs w:val="20"/>
                <w:lang w:val="es-ES_tradnl" w:eastAsia="en-US"/>
              </w:rPr>
            </w:pPr>
            <w:r w:rsidRPr="00DB352B">
              <w:rPr>
                <w:rFonts w:eastAsiaTheme="minorHAnsi"/>
                <w:lang w:val="es-ES_tradnl" w:eastAsia="en-US"/>
              </w:rPr>
              <w:t>Fase III en curso</w:t>
            </w:r>
          </w:p>
        </w:tc>
        <w:tc>
          <w:tcPr>
            <w:tcW w:w="3056" w:type="dxa"/>
          </w:tcPr>
          <w:p w:rsidR="00283813" w:rsidRPr="00DB352B" w:rsidRDefault="006D7AFE" w:rsidP="00A71FBA">
            <w:pPr>
              <w:contextualSpacing/>
              <w:jc w:val="center"/>
              <w:rPr>
                <w:rFonts w:eastAsiaTheme="minorHAnsi"/>
                <w:szCs w:val="20"/>
                <w:lang w:val="es-ES_tradnl" w:eastAsia="en-US"/>
              </w:rPr>
            </w:pPr>
            <w:r w:rsidRPr="00DB352B">
              <w:rPr>
                <w:rFonts w:eastAsiaTheme="minorHAnsi"/>
                <w:lang w:val="es-ES_tradnl" w:eastAsia="en-US"/>
              </w:rPr>
              <w:t>Fin de las obras:  fines de 2013</w:t>
            </w:r>
          </w:p>
        </w:tc>
      </w:tr>
    </w:tbl>
    <w:p w:rsidR="00283813" w:rsidRPr="00DB352B" w:rsidRDefault="00283813" w:rsidP="00283813">
      <w:pPr>
        <w:rPr>
          <w:rFonts w:eastAsiaTheme="minorHAnsi"/>
          <w:szCs w:val="22"/>
          <w:lang w:val="es-ES_tradnl" w:eastAsia="en-US"/>
        </w:rPr>
      </w:pPr>
    </w:p>
    <w:p w:rsidR="00283813" w:rsidRPr="00DB352B" w:rsidRDefault="00D269AF" w:rsidP="00D269AF">
      <w:pPr>
        <w:pStyle w:val="ONUMFS"/>
        <w:rPr>
          <w:lang w:val="es-ES_tradnl" w:eastAsia="en-US"/>
        </w:rPr>
      </w:pPr>
      <w:r w:rsidRPr="00DB352B">
        <w:rPr>
          <w:lang w:val="es-ES_tradnl" w:eastAsia="en-US"/>
        </w:rPr>
        <w:t>La ejecución de las obras del perímetro de seguridad se coordinará con las de la nueva sala de conferencias y el vestíbulo de acceso, que se situará frente al edificio AB, en función de la marcha de las obras.</w:t>
      </w:r>
    </w:p>
    <w:p w:rsidR="00283813" w:rsidRPr="00DB352B" w:rsidRDefault="00D269AF" w:rsidP="003D630D">
      <w:pPr>
        <w:pStyle w:val="Heading1"/>
        <w:rPr>
          <w:lang w:val="es-ES_tradnl" w:eastAsia="en-US"/>
        </w:rPr>
      </w:pPr>
      <w:r w:rsidRPr="00DB352B">
        <w:rPr>
          <w:lang w:val="es-ES_tradnl" w:eastAsia="en-US"/>
        </w:rPr>
        <w:t xml:space="preserve">OBJETIVOS LOGRADOS DURANTE EL PERÍODO </w:t>
      </w:r>
      <w:r w:rsidR="00DB352B" w:rsidRPr="00DB352B">
        <w:rPr>
          <w:lang w:val="es-ES_tradnl" w:eastAsia="en-US"/>
        </w:rPr>
        <w:t>reseñado</w:t>
      </w:r>
    </w:p>
    <w:p w:rsidR="00283813" w:rsidRPr="00DB352B" w:rsidRDefault="00283813" w:rsidP="00283813">
      <w:pPr>
        <w:outlineLvl w:val="1"/>
        <w:rPr>
          <w:rFonts w:eastAsiaTheme="minorHAnsi"/>
          <w:szCs w:val="22"/>
          <w:lang w:val="es-ES_tradnl" w:eastAsia="en-US"/>
        </w:rPr>
      </w:pPr>
    </w:p>
    <w:p w:rsidR="00283813" w:rsidRPr="00DB352B" w:rsidRDefault="00D269AF" w:rsidP="00283813">
      <w:pPr>
        <w:pStyle w:val="ONUMFS"/>
        <w:rPr>
          <w:lang w:val="es-ES_tradnl"/>
        </w:rPr>
      </w:pPr>
      <w:r w:rsidRPr="00DB352B">
        <w:rPr>
          <w:lang w:val="es-ES_tradnl" w:eastAsia="en-US"/>
        </w:rPr>
        <w:t xml:space="preserve">Las obras finales </w:t>
      </w:r>
      <w:r w:rsidR="00E64241" w:rsidRPr="00DB352B">
        <w:rPr>
          <w:lang w:val="es-ES_tradnl" w:eastAsia="en-US"/>
        </w:rPr>
        <w:t>del centro de control, iniciadas</w:t>
      </w:r>
      <w:r w:rsidRPr="00DB352B">
        <w:rPr>
          <w:lang w:val="es-ES_tradnl" w:eastAsia="en-US"/>
        </w:rPr>
        <w:t xml:space="preserve"> en febrero de 2012</w:t>
      </w:r>
      <w:r w:rsidR="00E64241" w:rsidRPr="00DB352B">
        <w:rPr>
          <w:lang w:val="es-ES_tradnl" w:eastAsia="en-US"/>
        </w:rPr>
        <w:t xml:space="preserve"> en la planta baja del edificio GBI, se terminaron por completo a finales de 2012.</w:t>
      </w:r>
    </w:p>
    <w:p w:rsidR="00E64241" w:rsidRPr="00DB352B" w:rsidRDefault="00E64241" w:rsidP="00283813">
      <w:pPr>
        <w:pStyle w:val="ONUMFS"/>
        <w:rPr>
          <w:lang w:val="es-ES_tradnl" w:eastAsia="en-US"/>
        </w:rPr>
      </w:pPr>
      <w:r w:rsidRPr="00DB352B">
        <w:rPr>
          <w:lang w:val="es-ES_tradnl" w:eastAsia="en-US"/>
        </w:rPr>
        <w:t>A finales de 2012 se instaló una red de área local (LAN) independiente y específica para el centro de control.  Se espera que de aquí a la primavera de 2014 todos los equipos e instalaciones de seguridad estén</w:t>
      </w:r>
      <w:r w:rsidR="00523D25" w:rsidRPr="00DB352B">
        <w:rPr>
          <w:lang w:val="es-ES_tradnl" w:eastAsia="en-US"/>
        </w:rPr>
        <w:t xml:space="preserve"> conectado</w:t>
      </w:r>
      <w:r w:rsidRPr="00DB352B">
        <w:rPr>
          <w:lang w:val="es-ES_tradnl" w:eastAsia="en-US"/>
        </w:rPr>
        <w:t xml:space="preserve">s a la red de área local específica.  </w:t>
      </w:r>
      <w:r w:rsidR="00925463">
        <w:rPr>
          <w:lang w:val="es-ES_tradnl" w:eastAsia="en-US"/>
        </w:rPr>
        <w:t>D</w:t>
      </w:r>
      <w:r w:rsidRPr="00DB352B">
        <w:rPr>
          <w:lang w:val="es-ES_tradnl" w:eastAsia="en-US"/>
        </w:rPr>
        <w:t xml:space="preserve">icha red de área local específica tiene por </w:t>
      </w:r>
      <w:r w:rsidR="00DB352B">
        <w:rPr>
          <w:lang w:val="es-ES_tradnl" w:eastAsia="en-US"/>
        </w:rPr>
        <w:t>finalidad</w:t>
      </w:r>
      <w:r w:rsidRPr="00DB352B">
        <w:rPr>
          <w:lang w:val="es-ES_tradnl" w:eastAsia="en-US"/>
        </w:rPr>
        <w:t xml:space="preserve"> garantizar </w:t>
      </w:r>
      <w:r w:rsidR="00925463">
        <w:rPr>
          <w:lang w:val="es-ES_tradnl" w:eastAsia="en-US"/>
        </w:rPr>
        <w:t xml:space="preserve">que estén disponibles </w:t>
      </w:r>
      <w:r w:rsidRPr="00DB352B">
        <w:rPr>
          <w:lang w:val="es-ES_tradnl" w:eastAsia="en-US"/>
        </w:rPr>
        <w:t>los sistemas de seguridad necesarios para las labores del centro de control</w:t>
      </w:r>
      <w:r w:rsidR="00523D25" w:rsidRPr="00DB352B">
        <w:rPr>
          <w:lang w:val="es-ES_tradnl" w:eastAsia="en-US"/>
        </w:rPr>
        <w:t xml:space="preserve"> de manera independiente de la red de área extendida a disposici</w:t>
      </w:r>
      <w:r w:rsidR="00DF20A7" w:rsidRPr="00DB352B">
        <w:rPr>
          <w:lang w:val="es-ES_tradnl" w:eastAsia="en-US"/>
        </w:rPr>
        <w:t xml:space="preserve">ón de toda </w:t>
      </w:r>
      <w:r w:rsidR="00523D25" w:rsidRPr="00DB352B">
        <w:rPr>
          <w:lang w:val="es-ES_tradnl" w:eastAsia="en-US"/>
        </w:rPr>
        <w:t>la OMPI.</w:t>
      </w:r>
    </w:p>
    <w:p w:rsidR="00283813" w:rsidRPr="00DB352B" w:rsidRDefault="00476CCE" w:rsidP="00476CCE">
      <w:pPr>
        <w:pStyle w:val="ONUMFS"/>
        <w:rPr>
          <w:lang w:val="es-ES_tradnl" w:eastAsia="en-US"/>
        </w:rPr>
      </w:pPr>
      <w:r w:rsidRPr="00DB352B">
        <w:rPr>
          <w:lang w:val="es-ES_tradnl" w:eastAsia="en-US"/>
        </w:rPr>
        <w:t>Siguen los avances en relación con las obras, iniciadas también en febrero de 2012, del perímetro de seguridad alrededor de los edificios, a partir del proyecto revisado del perímetro de protección contra la intrusión de</w:t>
      </w:r>
      <w:r w:rsidR="00DB352B">
        <w:rPr>
          <w:lang w:val="es-ES_tradnl" w:eastAsia="en-US"/>
        </w:rPr>
        <w:t xml:space="preserve"> vehículos, surgido </w:t>
      </w:r>
      <w:r w:rsidRPr="00DB352B">
        <w:rPr>
          <w:lang w:val="es-ES_tradnl" w:eastAsia="en-US"/>
        </w:rPr>
        <w:t xml:space="preserve">de las discusiones con el Estado anfitrión, la </w:t>
      </w:r>
      <w:r w:rsidR="00DB352B">
        <w:rPr>
          <w:lang w:val="es-ES_tradnl" w:eastAsia="en-US"/>
        </w:rPr>
        <w:t>Fundación de Inmuebles para las Organizaciones Internacionales</w:t>
      </w:r>
      <w:r w:rsidRPr="00DB352B">
        <w:rPr>
          <w:lang w:val="es-ES_tradnl" w:eastAsia="en-US"/>
        </w:rPr>
        <w:t xml:space="preserve"> (FIPOI) y las autoridades municipales y cantonales de Ginebra en 2009 y 2010.  </w:t>
      </w:r>
      <w:r w:rsidR="0075503D" w:rsidRPr="00DB352B">
        <w:rPr>
          <w:lang w:val="es-ES_tradnl" w:eastAsia="en-US"/>
        </w:rPr>
        <w:t>En la primavera de 2013 se dieron por concluidos dos tercios de las obras de la infraestructura de protección contra la intrusión de vehículos frente a los edificios AB, GBI y GBII, así como la mayor parte de las obras frente al edificio del PCT y</w:t>
      </w:r>
      <w:r w:rsidR="00DB352B">
        <w:rPr>
          <w:lang w:val="es-ES_tradnl" w:eastAsia="en-US"/>
        </w:rPr>
        <w:t xml:space="preserve"> se prevé concluir el resto de </w:t>
      </w:r>
      <w:r w:rsidR="0075503D" w:rsidRPr="00DB352B">
        <w:rPr>
          <w:lang w:val="es-ES_tradnl" w:eastAsia="en-US"/>
        </w:rPr>
        <w:t xml:space="preserve">obras alrededor </w:t>
      </w:r>
      <w:r w:rsidR="00DB352B">
        <w:rPr>
          <w:lang w:val="es-ES_tradnl" w:eastAsia="en-US"/>
        </w:rPr>
        <w:t>del edificio del PCT a</w:t>
      </w:r>
      <w:r w:rsidR="0075503D" w:rsidRPr="00DB352B">
        <w:rPr>
          <w:lang w:val="es-ES_tradnl" w:eastAsia="en-US"/>
        </w:rPr>
        <w:t xml:space="preserve"> lo largo del otoño de 2013.  La mitad de la infraestructura del perímetro de seguridad en torno al nuevo edificio quedó lista a finales de 2012 y se espera concluir lo que </w:t>
      </w:r>
      <w:r w:rsidR="00CC3175">
        <w:rPr>
          <w:lang w:val="es-ES_tradnl" w:eastAsia="en-US"/>
        </w:rPr>
        <w:t>resta</w:t>
      </w:r>
      <w:r w:rsidR="0075503D" w:rsidRPr="00DB352B">
        <w:rPr>
          <w:lang w:val="es-ES_tradnl" w:eastAsia="en-US"/>
        </w:rPr>
        <w:t xml:space="preserve"> en la primavera de 2014.  Del mismo modo, </w:t>
      </w:r>
      <w:r w:rsidR="00DB352B">
        <w:rPr>
          <w:lang w:val="es-ES_tradnl" w:eastAsia="en-US"/>
        </w:rPr>
        <w:t>las obras d</w:t>
      </w:r>
      <w:r w:rsidR="0075503D" w:rsidRPr="00DB352B">
        <w:rPr>
          <w:lang w:val="es-ES_tradnl" w:eastAsia="en-US"/>
        </w:rPr>
        <w:t>el perímetro de la nueva sala de conferencias y el vestíbulo de acceso al recinto de la OMPI (situado en frente del edificio AB) se terminarán en la primavera de 2014, una vez que haya concluido la construcción de la nueva sala de conferencias y el vestíbulo de acceso.</w:t>
      </w:r>
    </w:p>
    <w:p w:rsidR="00F21FA9" w:rsidRPr="00DB352B" w:rsidRDefault="0075503D" w:rsidP="00F21FA9">
      <w:pPr>
        <w:pStyle w:val="ONUMFS"/>
        <w:rPr>
          <w:lang w:val="es-ES_tradnl" w:eastAsia="en-US"/>
        </w:rPr>
      </w:pPr>
      <w:r w:rsidRPr="00DB352B">
        <w:rPr>
          <w:lang w:val="es-ES_tradnl" w:eastAsia="en-US"/>
        </w:rPr>
        <w:t xml:space="preserve">Las obras de cimentación del nuevo vestíbulo de acceso finalizaron en 2012.  </w:t>
      </w:r>
      <w:r w:rsidR="000646EA" w:rsidRPr="00DB352B">
        <w:rPr>
          <w:lang w:val="es-ES_tradnl" w:eastAsia="en-US"/>
        </w:rPr>
        <w:t>La est</w:t>
      </w:r>
      <w:r w:rsidR="00DB352B">
        <w:rPr>
          <w:lang w:val="es-ES_tradnl" w:eastAsia="en-US"/>
        </w:rPr>
        <w:t xml:space="preserve">ructura de madera </w:t>
      </w:r>
      <w:r w:rsidR="00925463">
        <w:rPr>
          <w:lang w:val="es-ES_tradnl" w:eastAsia="en-US"/>
        </w:rPr>
        <w:t xml:space="preserve"> del vestíbulo (incluido el </w:t>
      </w:r>
      <w:r w:rsidR="00925463" w:rsidRPr="00DB352B">
        <w:rPr>
          <w:lang w:val="es-ES_tradnl" w:eastAsia="en-US"/>
        </w:rPr>
        <w:t>techo)</w:t>
      </w:r>
      <w:r w:rsidR="00925463">
        <w:rPr>
          <w:lang w:val="es-ES_tradnl" w:eastAsia="en-US"/>
        </w:rPr>
        <w:t xml:space="preserve"> </w:t>
      </w:r>
      <w:r w:rsidR="000646EA" w:rsidRPr="00DB352B">
        <w:rPr>
          <w:lang w:val="es-ES_tradnl" w:eastAsia="en-US"/>
        </w:rPr>
        <w:t xml:space="preserve">se terminó en julio de 2013.  Siguen en curso las obras de finalización y se espera que </w:t>
      </w:r>
      <w:r w:rsidR="00DB352B">
        <w:rPr>
          <w:lang w:val="es-ES_tradnl" w:eastAsia="en-US"/>
        </w:rPr>
        <w:t>concluyan</w:t>
      </w:r>
      <w:r w:rsidR="000646EA" w:rsidRPr="00DB352B">
        <w:rPr>
          <w:lang w:val="es-ES_tradnl" w:eastAsia="en-US"/>
        </w:rPr>
        <w:t xml:space="preserve"> antes de finales de 2013.</w:t>
      </w:r>
    </w:p>
    <w:p w:rsidR="00283813" w:rsidRPr="00DB352B" w:rsidRDefault="00283813" w:rsidP="003D630D">
      <w:pPr>
        <w:pStyle w:val="Heading1"/>
        <w:rPr>
          <w:lang w:val="es-ES_tradnl" w:eastAsia="en-US"/>
        </w:rPr>
      </w:pPr>
      <w:r w:rsidRPr="00DB352B">
        <w:rPr>
          <w:lang w:val="es-ES_tradnl" w:eastAsia="en-US"/>
        </w:rPr>
        <w:t>U</w:t>
      </w:r>
      <w:r w:rsidR="00FF28DD" w:rsidRPr="00DB352B">
        <w:rPr>
          <w:lang w:val="es-ES_tradnl" w:eastAsia="en-US"/>
        </w:rPr>
        <w:t>TILIZACIÓN DEL PRESUPUESTO APROBADO</w:t>
      </w:r>
    </w:p>
    <w:p w:rsidR="00283813" w:rsidRPr="00DB352B" w:rsidRDefault="00283813" w:rsidP="00283813">
      <w:pPr>
        <w:rPr>
          <w:lang w:val="es-ES_tradnl" w:eastAsia="en-US"/>
        </w:rPr>
      </w:pPr>
    </w:p>
    <w:p w:rsidR="00283813" w:rsidRPr="00DB352B" w:rsidRDefault="00553BA8" w:rsidP="00553BA8">
      <w:pPr>
        <w:pStyle w:val="ONUMFS"/>
        <w:rPr>
          <w:lang w:val="es-ES_tradnl" w:eastAsia="en-US"/>
        </w:rPr>
      </w:pPr>
      <w:r w:rsidRPr="00DB352B">
        <w:rPr>
          <w:lang w:val="es-ES_tradnl" w:eastAsia="en-US"/>
        </w:rPr>
        <w:t xml:space="preserve">Se recuerda que la financiación del proyecto para reforzar las normas de seguridad y vigilancia de los edificios de la OMPI que está a cargo del Estado anfitrión se eleva a 5 millones de francos suizos, y que la parte de financiación que queda a cargo de la Organización se eleva a 7,6 millones de francos suizos (véase el documento </w:t>
      </w:r>
      <w:r w:rsidR="00283813" w:rsidRPr="00DB352B">
        <w:rPr>
          <w:lang w:val="es-ES_tradnl" w:eastAsia="en-US"/>
        </w:rPr>
        <w:t xml:space="preserve">A/46/10 Rev.).  </w:t>
      </w:r>
    </w:p>
    <w:p w:rsidR="00283813" w:rsidRPr="00DB352B" w:rsidRDefault="00553BA8" w:rsidP="000928D6">
      <w:pPr>
        <w:pStyle w:val="ONUMFS"/>
        <w:rPr>
          <w:lang w:val="es-ES_tradnl"/>
        </w:rPr>
      </w:pPr>
      <w:r w:rsidRPr="00DB352B">
        <w:rPr>
          <w:lang w:val="es-ES_tradnl" w:eastAsia="en-US"/>
        </w:rPr>
        <w:t>Asimismo</w:t>
      </w:r>
      <w:r w:rsidR="00DB352B">
        <w:rPr>
          <w:lang w:val="es-ES_tradnl" w:eastAsia="en-US"/>
        </w:rPr>
        <w:t>,</w:t>
      </w:r>
      <w:r w:rsidRPr="00DB352B">
        <w:rPr>
          <w:lang w:val="es-ES_tradnl" w:eastAsia="en-US"/>
        </w:rPr>
        <w:t xml:space="preserve"> se recuerda que la financiación para la construcción del vestíbulo de acceso se divide entre el proyecto de construcción de la nueva sala de conferencias (véanse los </w:t>
      </w:r>
      <w:r w:rsidRPr="00DB352B">
        <w:rPr>
          <w:lang w:val="es-ES_tradnl" w:eastAsia="en-US"/>
        </w:rPr>
        <w:lastRenderedPageBreak/>
        <w:t xml:space="preserve">documentos WO/PBC/14/10, A/47/12 y A/47/16) y el proyecto para reforzar las normas de seguridad y vigilancia de los edificios de la OMPI.  Por consiguiente, </w:t>
      </w:r>
      <w:r w:rsidR="000928D6" w:rsidRPr="00DB352B">
        <w:rPr>
          <w:lang w:val="es-ES_tradnl" w:eastAsia="en-US"/>
        </w:rPr>
        <w:t xml:space="preserve">se asignaron inicialmente la suma de 800.000 francos suizos aproximadamente para estas obras dentro del </w:t>
      </w:r>
      <w:r w:rsidR="00DB352B">
        <w:rPr>
          <w:lang w:val="es-ES_tradnl" w:eastAsia="en-US"/>
        </w:rPr>
        <w:t xml:space="preserve">alcance </w:t>
      </w:r>
      <w:r w:rsidR="000928D6" w:rsidRPr="00DB352B">
        <w:rPr>
          <w:lang w:val="es-ES_tradnl" w:eastAsia="en-US"/>
        </w:rPr>
        <w:t xml:space="preserve">original del proyecto para reforzar la seguridad y la suma de 1.800.000 francos suizos en el </w:t>
      </w:r>
      <w:r w:rsidR="00DB352B">
        <w:rPr>
          <w:lang w:val="es-ES_tradnl" w:eastAsia="en-US"/>
        </w:rPr>
        <w:t>alcance</w:t>
      </w:r>
      <w:r w:rsidR="000928D6" w:rsidRPr="00DB352B">
        <w:rPr>
          <w:lang w:val="es-ES_tradnl" w:eastAsia="en-US"/>
        </w:rPr>
        <w:t xml:space="preserve"> del proyecto de construcción de la nueva sala de conferen</w:t>
      </w:r>
      <w:r w:rsidR="00925463">
        <w:rPr>
          <w:lang w:val="es-ES_tradnl" w:eastAsia="en-US"/>
        </w:rPr>
        <w:t>cias.  En 2011 se informó al PBC</w:t>
      </w:r>
      <w:r w:rsidR="000928D6" w:rsidRPr="00DB352B">
        <w:rPr>
          <w:lang w:val="es-ES_tradnl" w:eastAsia="en-US"/>
        </w:rPr>
        <w:t xml:space="preserve"> y a las Asambleas de los Estados miembros de:  i) la modificación de las especificaciones del perímetro de seguridad; y ii) el incremento de los costos estimados para el vestíbulo de acceso por causa de los precios ofrecidos durante el proceso de licitación, que comenzó en 2010 y concluyó en 2011 (véanse los documentos  </w:t>
      </w:r>
      <w:r w:rsidR="00283813" w:rsidRPr="00DB352B">
        <w:rPr>
          <w:lang w:val="es-ES_tradnl" w:eastAsia="en-US"/>
        </w:rPr>
        <w:t>WO/PBC/18/6, WO/</w:t>
      </w:r>
      <w:r w:rsidR="000928D6" w:rsidRPr="00DB352B">
        <w:rPr>
          <w:lang w:val="es-ES_tradnl" w:eastAsia="en-US"/>
        </w:rPr>
        <w:t>PBC/18/10, A/49/12, A/49/13, y</w:t>
      </w:r>
      <w:r w:rsidR="00283813" w:rsidRPr="00DB352B">
        <w:rPr>
          <w:lang w:val="es-ES_tradnl" w:eastAsia="en-US"/>
        </w:rPr>
        <w:t xml:space="preserve"> A/49/18).</w:t>
      </w:r>
    </w:p>
    <w:p w:rsidR="00283813" w:rsidRPr="00DB352B" w:rsidRDefault="00DC23B9" w:rsidP="00283813">
      <w:pPr>
        <w:pStyle w:val="ONUMFS"/>
        <w:rPr>
          <w:lang w:val="es-ES_tradnl"/>
        </w:rPr>
      </w:pPr>
      <w:r w:rsidRPr="00DB352B">
        <w:rPr>
          <w:lang w:val="es-ES_tradnl"/>
        </w:rPr>
        <w:t>De conformidad con el párrafo 19 del documento WO/PBC/18/6, y como resultado de</w:t>
      </w:r>
      <w:r w:rsidR="00DB352B">
        <w:rPr>
          <w:lang w:val="es-ES_tradnl"/>
        </w:rPr>
        <w:t xml:space="preserve"> </w:t>
      </w:r>
      <w:r w:rsidRPr="00DB352B">
        <w:rPr>
          <w:lang w:val="es-ES_tradnl"/>
        </w:rPr>
        <w:t>l</w:t>
      </w:r>
      <w:r w:rsidR="00DB352B">
        <w:rPr>
          <w:lang w:val="es-ES_tradnl"/>
        </w:rPr>
        <w:t>a</w:t>
      </w:r>
      <w:r w:rsidRPr="00DB352B">
        <w:rPr>
          <w:lang w:val="es-ES_tradnl"/>
        </w:rPr>
        <w:t xml:space="preserve"> </w:t>
      </w:r>
      <w:r w:rsidR="00DB352B">
        <w:rPr>
          <w:lang w:val="es-ES_tradnl"/>
        </w:rPr>
        <w:t xml:space="preserve">revisión del </w:t>
      </w:r>
      <w:r w:rsidRPr="00DB352B">
        <w:rPr>
          <w:lang w:val="es-ES_tradnl"/>
        </w:rPr>
        <w:t xml:space="preserve">perímetro de protección contra la intrusión de vehículos y </w:t>
      </w:r>
      <w:r w:rsidR="00DB352B">
        <w:rPr>
          <w:lang w:val="es-ES_tradnl"/>
        </w:rPr>
        <w:t xml:space="preserve">la revisión del alcance </w:t>
      </w:r>
      <w:r w:rsidRPr="00DB352B">
        <w:rPr>
          <w:lang w:val="es-ES_tradnl"/>
        </w:rPr>
        <w:t xml:space="preserve">del vestíbulo de acceso, se llevó a cabo </w:t>
      </w:r>
      <w:r w:rsidR="00925463">
        <w:rPr>
          <w:lang w:val="es-ES_tradnl"/>
        </w:rPr>
        <w:t xml:space="preserve">una nueva </w:t>
      </w:r>
      <w:r w:rsidRPr="00DB352B">
        <w:rPr>
          <w:lang w:val="es-ES_tradnl"/>
        </w:rPr>
        <w:t xml:space="preserve">revisión </w:t>
      </w:r>
      <w:r w:rsidR="00DB352B">
        <w:rPr>
          <w:lang w:val="es-ES_tradnl"/>
        </w:rPr>
        <w:t>sobre</w:t>
      </w:r>
      <w:r w:rsidRPr="00DB352B">
        <w:rPr>
          <w:lang w:val="es-ES_tradnl"/>
        </w:rPr>
        <w:t xml:space="preserve"> otros aspectos del proyecto </w:t>
      </w:r>
      <w:r w:rsidR="00DB352B">
        <w:rPr>
          <w:lang w:val="es-ES_tradnl"/>
        </w:rPr>
        <w:t>para</w:t>
      </w:r>
      <w:r w:rsidRPr="00DB352B">
        <w:rPr>
          <w:lang w:val="es-ES_tradnl"/>
        </w:rPr>
        <w:t xml:space="preserve"> reforzar las normas de seguridad y vigilancia de los edificios de la OMPI.  Esta revisión se realizó para evaluar la posibilidad de modificar, postergar o abordar de manera distinta determinados aspectos del proyecto.</w:t>
      </w:r>
    </w:p>
    <w:p w:rsidR="00F21FA9" w:rsidRPr="00DB352B" w:rsidRDefault="00F21FA9" w:rsidP="008C369E">
      <w:pPr>
        <w:pStyle w:val="ONUMFS"/>
        <w:rPr>
          <w:rFonts w:eastAsiaTheme="minorHAnsi"/>
          <w:szCs w:val="22"/>
          <w:lang w:val="es-ES_tradnl" w:eastAsia="en-US"/>
        </w:rPr>
      </w:pPr>
      <w:r w:rsidRPr="00DB352B">
        <w:rPr>
          <w:lang w:val="es-ES_tradnl"/>
        </w:rPr>
        <w:t xml:space="preserve">La Secretaría determinó que se debía otorgar prioridad a garantizar la financiación </w:t>
      </w:r>
      <w:r w:rsidR="00DB352B">
        <w:rPr>
          <w:lang w:val="es-ES_tradnl"/>
        </w:rPr>
        <w:t xml:space="preserve">necesaria </w:t>
      </w:r>
      <w:r w:rsidRPr="00DB352B">
        <w:rPr>
          <w:lang w:val="es-ES_tradnl"/>
        </w:rPr>
        <w:t>para contar con un vestíbulo de acceso con dimensiones adecuadas y dotado de</w:t>
      </w:r>
      <w:r w:rsidR="009F31F2" w:rsidRPr="00DB352B">
        <w:rPr>
          <w:lang w:val="es-ES_tradnl"/>
        </w:rPr>
        <w:t xml:space="preserve"> un equipo acorde con</w:t>
      </w:r>
      <w:r w:rsidR="008C369E" w:rsidRPr="00DB352B">
        <w:rPr>
          <w:rFonts w:eastAsiaTheme="minorHAnsi"/>
          <w:szCs w:val="22"/>
          <w:lang w:val="es-ES_tradnl" w:eastAsia="en-US"/>
        </w:rPr>
        <w:t xml:space="preserve"> </w:t>
      </w:r>
      <w:r w:rsidRPr="00DB352B">
        <w:rPr>
          <w:lang w:val="es-ES_tradnl"/>
        </w:rPr>
        <w:t xml:space="preserve">sus objetivos.  </w:t>
      </w:r>
      <w:r w:rsidR="005C5057" w:rsidRPr="00DB352B">
        <w:rPr>
          <w:lang w:val="es-ES_tradnl"/>
        </w:rPr>
        <w:t>Por ende, se aprovechó la opor</w:t>
      </w:r>
      <w:r w:rsidR="00DB352B">
        <w:rPr>
          <w:lang w:val="es-ES_tradnl"/>
        </w:rPr>
        <w:t>tunidad para examinar si se debía</w:t>
      </w:r>
      <w:r w:rsidR="00862EFC">
        <w:rPr>
          <w:lang w:val="es-ES_tradnl"/>
        </w:rPr>
        <w:t xml:space="preserve"> asumir </w:t>
      </w:r>
      <w:r w:rsidR="005C5057" w:rsidRPr="00DB352B">
        <w:rPr>
          <w:lang w:val="es-ES_tradnl"/>
        </w:rPr>
        <w:t>parte del aumento de los costos del vestíbulo de acceso (el incremento del presupuesto para el proyecto asciende a aproximadamente</w:t>
      </w:r>
      <w:r w:rsidR="00862EFC">
        <w:rPr>
          <w:lang w:val="es-ES_tradnl"/>
        </w:rPr>
        <w:t xml:space="preserve"> un millón de francos suizos) y cómo hacerlo.  </w:t>
      </w:r>
      <w:r w:rsidR="00DB352B">
        <w:rPr>
          <w:lang w:val="es-ES_tradnl"/>
        </w:rPr>
        <w:t xml:space="preserve">De dicha </w:t>
      </w:r>
      <w:r w:rsidR="00862EFC">
        <w:rPr>
          <w:lang w:val="es-ES_tradnl"/>
        </w:rPr>
        <w:t>revisión se desprendió que vario</w:t>
      </w:r>
      <w:r w:rsidR="00DB352B">
        <w:rPr>
          <w:lang w:val="es-ES_tradnl"/>
        </w:rPr>
        <w:t>s elementos cuya compra o instalación estaba prevista en el alcance original del proyecto</w:t>
      </w:r>
      <w:r w:rsidR="008C369E" w:rsidRPr="00DB352B">
        <w:rPr>
          <w:lang w:val="es-ES_tradnl"/>
        </w:rPr>
        <w:t xml:space="preserve"> (en particular, medidas para la detección de intrusos, la compra e instalación de equipo de vigilancia de video, </w:t>
      </w:r>
      <w:r w:rsidR="0069412F" w:rsidRPr="00DB352B">
        <w:rPr>
          <w:lang w:val="es-ES_tradnl"/>
        </w:rPr>
        <w:t>la instalación</w:t>
      </w:r>
      <w:r w:rsidR="009E692F" w:rsidRPr="00DB352B">
        <w:rPr>
          <w:lang w:val="es-ES_tradnl"/>
        </w:rPr>
        <w:t xml:space="preserve"> de iluminación en el exterior y la compra e instalación de dispositivos de detección de explosiones) podían eliminarse del </w:t>
      </w:r>
      <w:r w:rsidR="00925463">
        <w:rPr>
          <w:lang w:val="es-ES_tradnl"/>
        </w:rPr>
        <w:t>alcance</w:t>
      </w:r>
      <w:r w:rsidR="009E692F" w:rsidRPr="00DB352B">
        <w:rPr>
          <w:lang w:val="es-ES_tradnl"/>
        </w:rPr>
        <w:t xml:space="preserve"> original y postergarse para más adelante sin poner </w:t>
      </w:r>
      <w:r w:rsidR="00DB352B">
        <w:rPr>
          <w:lang w:val="es-ES_tradnl"/>
        </w:rPr>
        <w:t>en riesgo el resultado esperado, o sea</w:t>
      </w:r>
      <w:r w:rsidR="00CC3175">
        <w:rPr>
          <w:lang w:val="es-ES_tradnl"/>
        </w:rPr>
        <w:t>, el reforzamiento de las normas</w:t>
      </w:r>
      <w:r w:rsidR="009E692F" w:rsidRPr="00DB352B">
        <w:rPr>
          <w:lang w:val="es-ES_tradnl"/>
        </w:rPr>
        <w:t xml:space="preserve"> de seguridad y vigilancia.  De ser necesario, la Secretaría formulará propuestas al PBC y a los Estados miembros acerca de la pertinencia, el </w:t>
      </w:r>
      <w:r w:rsidR="00925463">
        <w:rPr>
          <w:lang w:val="es-ES_tradnl"/>
        </w:rPr>
        <w:t>alcance</w:t>
      </w:r>
      <w:r w:rsidR="009E692F" w:rsidRPr="00DB352B">
        <w:rPr>
          <w:lang w:val="es-ES_tradnl"/>
        </w:rPr>
        <w:t xml:space="preserve">, el cronograma y las </w:t>
      </w:r>
      <w:r w:rsidR="00DB352B">
        <w:rPr>
          <w:lang w:val="es-ES_tradnl"/>
        </w:rPr>
        <w:t xml:space="preserve">opciones de financiación de los elementos </w:t>
      </w:r>
      <w:r w:rsidR="00925463">
        <w:rPr>
          <w:lang w:val="es-ES_tradnl"/>
        </w:rPr>
        <w:t xml:space="preserve">de los gastos de capital </w:t>
      </w:r>
      <w:r w:rsidR="009E692F" w:rsidRPr="00DB352B">
        <w:rPr>
          <w:lang w:val="es-ES_tradnl"/>
        </w:rPr>
        <w:t>a partir de 2016.</w:t>
      </w:r>
    </w:p>
    <w:p w:rsidR="00283813" w:rsidRPr="00DB352B" w:rsidRDefault="009E692F" w:rsidP="009E692F">
      <w:pPr>
        <w:pStyle w:val="ONUMFS"/>
        <w:rPr>
          <w:lang w:val="es-ES_tradnl"/>
        </w:rPr>
      </w:pPr>
      <w:r w:rsidRPr="00DB352B">
        <w:rPr>
          <w:lang w:val="es-ES_tradnl"/>
        </w:rPr>
        <w:t>A 30 de junio de 2013</w:t>
      </w:r>
      <w:r w:rsidR="00283813" w:rsidRPr="00DB352B">
        <w:rPr>
          <w:lang w:val="es-ES_tradnl" w:eastAsia="en-US"/>
        </w:rPr>
        <w:t xml:space="preserve">, </w:t>
      </w:r>
      <w:r w:rsidRPr="00DB352B">
        <w:rPr>
          <w:lang w:val="es-ES_tradnl" w:eastAsia="en-US"/>
        </w:rPr>
        <w:t>se han comprometido fondos por un valor total de 6.769.172,</w:t>
      </w:r>
      <w:r w:rsidR="00283813" w:rsidRPr="00DB352B">
        <w:rPr>
          <w:lang w:val="es-ES_tradnl" w:eastAsia="en-US"/>
        </w:rPr>
        <w:t xml:space="preserve">18 </w:t>
      </w:r>
      <w:r w:rsidRPr="00DB352B">
        <w:rPr>
          <w:lang w:val="es-ES_tradnl" w:eastAsia="en-US"/>
        </w:rPr>
        <w:t>francos suizos, divididos de la siguiente forma:</w:t>
      </w:r>
    </w:p>
    <w:p w:rsidR="00283813" w:rsidRPr="00DB352B" w:rsidRDefault="00283813" w:rsidP="00283813">
      <w:pPr>
        <w:keepNext/>
        <w:keepLines/>
        <w:spacing w:line="276" w:lineRule="auto"/>
        <w:rPr>
          <w:rFonts w:eastAsiaTheme="minorHAnsi"/>
          <w:szCs w:val="22"/>
          <w:lang w:val="es-ES_tradnl" w:eastAsia="en-US"/>
        </w:rPr>
      </w:pPr>
    </w:p>
    <w:tbl>
      <w:tblPr>
        <w:tblStyle w:val="TableGrid"/>
        <w:tblW w:w="8484" w:type="dxa"/>
        <w:tblInd w:w="534" w:type="dxa"/>
        <w:tblLook w:val="04A0" w:firstRow="1" w:lastRow="0" w:firstColumn="1" w:lastColumn="0" w:noHBand="0" w:noVBand="1"/>
      </w:tblPr>
      <w:tblGrid>
        <w:gridCol w:w="4536"/>
        <w:gridCol w:w="3948"/>
      </w:tblGrid>
      <w:tr w:rsidR="00283813" w:rsidRPr="00DB352B" w:rsidTr="00A71FBA">
        <w:trPr>
          <w:gridBefore w:val="1"/>
          <w:wBefore w:w="4536" w:type="dxa"/>
          <w:trHeight w:val="419"/>
        </w:trPr>
        <w:tc>
          <w:tcPr>
            <w:tcW w:w="3948" w:type="dxa"/>
          </w:tcPr>
          <w:p w:rsidR="00283813" w:rsidRPr="00DB352B" w:rsidRDefault="009513C7" w:rsidP="00A71FBA">
            <w:pPr>
              <w:keepNext/>
              <w:keepLines/>
              <w:spacing w:line="276" w:lineRule="auto"/>
              <w:contextualSpacing/>
              <w:jc w:val="center"/>
              <w:rPr>
                <w:rFonts w:eastAsiaTheme="minorHAnsi"/>
                <w:b/>
                <w:lang w:val="es-ES_tradnl" w:eastAsia="en-US"/>
              </w:rPr>
            </w:pPr>
            <w:r>
              <w:rPr>
                <w:rFonts w:eastAsiaTheme="minorHAnsi"/>
                <w:b/>
                <w:lang w:val="es-ES_tradnl" w:eastAsia="en-US"/>
              </w:rPr>
              <w:t>Importe</w:t>
            </w:r>
            <w:r w:rsidR="009E692F" w:rsidRPr="00DB352B">
              <w:rPr>
                <w:rFonts w:eastAsiaTheme="minorHAnsi"/>
                <w:b/>
                <w:lang w:val="es-ES_tradnl" w:eastAsia="en-US"/>
              </w:rPr>
              <w:t xml:space="preserve"> en francos suizos</w:t>
            </w:r>
          </w:p>
        </w:tc>
      </w:tr>
      <w:tr w:rsidR="00283813" w:rsidRPr="00DB352B" w:rsidTr="00A71FBA">
        <w:tc>
          <w:tcPr>
            <w:tcW w:w="4536" w:type="dxa"/>
          </w:tcPr>
          <w:p w:rsidR="00283813" w:rsidRPr="00DB352B" w:rsidRDefault="009E692F" w:rsidP="00A71FBA">
            <w:pPr>
              <w:keepNext/>
              <w:keepLines/>
              <w:spacing w:line="276" w:lineRule="auto"/>
              <w:ind w:left="33" w:right="34"/>
              <w:contextualSpacing/>
              <w:jc w:val="right"/>
              <w:rPr>
                <w:rFonts w:eastAsiaTheme="minorHAnsi"/>
                <w:b/>
                <w:szCs w:val="20"/>
                <w:lang w:val="es-ES_tradnl" w:eastAsia="en-US"/>
              </w:rPr>
            </w:pPr>
            <w:r w:rsidRPr="00DB352B">
              <w:rPr>
                <w:rFonts w:eastAsiaTheme="minorHAnsi"/>
                <w:b/>
                <w:lang w:val="es-ES_tradnl" w:eastAsia="en-US"/>
              </w:rPr>
              <w:t>Presupuesto aprobado por los Estados miembros en diciembre de 2008</w:t>
            </w:r>
            <w:r w:rsidR="00283813" w:rsidRPr="00DB352B">
              <w:rPr>
                <w:rFonts w:eastAsiaTheme="minorHAnsi"/>
                <w:b/>
                <w:lang w:val="es-ES_tradnl" w:eastAsia="en-US"/>
              </w:rPr>
              <w:t xml:space="preserve"> </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7.600.000</w:t>
            </w:r>
          </w:p>
        </w:tc>
      </w:tr>
      <w:tr w:rsidR="00283813" w:rsidRPr="00DB352B" w:rsidTr="00A71FBA">
        <w:tc>
          <w:tcPr>
            <w:tcW w:w="4536" w:type="dxa"/>
          </w:tcPr>
          <w:p w:rsidR="00283813" w:rsidRPr="00DB352B" w:rsidRDefault="00A71FBA" w:rsidP="00925463">
            <w:pPr>
              <w:keepNext/>
              <w:keepLines/>
              <w:spacing w:line="276" w:lineRule="auto"/>
              <w:ind w:left="33" w:right="34"/>
              <w:contextualSpacing/>
              <w:jc w:val="right"/>
              <w:rPr>
                <w:rFonts w:eastAsiaTheme="minorHAnsi"/>
                <w:b/>
                <w:szCs w:val="20"/>
                <w:lang w:val="es-ES_tradnl" w:eastAsia="en-US"/>
              </w:rPr>
            </w:pPr>
            <w:r w:rsidRPr="00DB352B">
              <w:rPr>
                <w:rFonts w:eastAsiaTheme="minorHAnsi"/>
                <w:b/>
                <w:lang w:val="es-ES_tradnl" w:eastAsia="en-US"/>
              </w:rPr>
              <w:t xml:space="preserve">Participación del </w:t>
            </w:r>
            <w:r w:rsidR="00925463">
              <w:rPr>
                <w:rFonts w:eastAsiaTheme="minorHAnsi"/>
                <w:b/>
                <w:lang w:val="es-ES_tradnl" w:eastAsia="en-US"/>
              </w:rPr>
              <w:t>Estado</w:t>
            </w:r>
            <w:r w:rsidRPr="00DB352B">
              <w:rPr>
                <w:rFonts w:eastAsiaTheme="minorHAnsi"/>
                <w:b/>
                <w:lang w:val="es-ES_tradnl" w:eastAsia="en-US"/>
              </w:rPr>
              <w:t xml:space="preserve"> anfitrión</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5.000.000</w:t>
            </w:r>
          </w:p>
        </w:tc>
      </w:tr>
      <w:tr w:rsidR="00283813" w:rsidRPr="00DB352B" w:rsidTr="00A71FBA">
        <w:tc>
          <w:tcPr>
            <w:tcW w:w="4536" w:type="dxa"/>
          </w:tcPr>
          <w:p w:rsidR="00283813" w:rsidRPr="00DB352B" w:rsidRDefault="009E692F" w:rsidP="00A71FBA">
            <w:pPr>
              <w:keepNext/>
              <w:keepLines/>
              <w:spacing w:line="276" w:lineRule="auto"/>
              <w:ind w:left="33" w:right="34"/>
              <w:contextualSpacing/>
              <w:jc w:val="right"/>
              <w:rPr>
                <w:rFonts w:eastAsiaTheme="minorHAnsi"/>
                <w:b/>
                <w:szCs w:val="20"/>
                <w:lang w:val="es-ES_tradnl" w:eastAsia="en-US"/>
              </w:rPr>
            </w:pPr>
            <w:r w:rsidRPr="00DB352B">
              <w:rPr>
                <w:rFonts w:eastAsiaTheme="minorHAnsi"/>
                <w:b/>
                <w:lang w:val="es-ES_tradnl" w:eastAsia="en-US"/>
              </w:rPr>
              <w:t>Presupuesto total disponible</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12.600.000</w:t>
            </w:r>
          </w:p>
        </w:tc>
      </w:tr>
    </w:tbl>
    <w:p w:rsidR="00283813" w:rsidRPr="00DB352B" w:rsidRDefault="00283813" w:rsidP="003D630D">
      <w:pPr>
        <w:keepNext/>
        <w:keepLines/>
        <w:spacing w:line="276" w:lineRule="auto"/>
        <w:ind w:left="426"/>
        <w:rPr>
          <w:rFonts w:eastAsiaTheme="minorHAnsi"/>
          <w:b/>
          <w:szCs w:val="22"/>
          <w:lang w:val="es-ES_tradnl" w:eastAsia="en-US"/>
        </w:rPr>
      </w:pPr>
    </w:p>
    <w:tbl>
      <w:tblPr>
        <w:tblStyle w:val="TableGrid"/>
        <w:tblW w:w="8484" w:type="dxa"/>
        <w:tblInd w:w="534" w:type="dxa"/>
        <w:tblLook w:val="04A0" w:firstRow="1" w:lastRow="0" w:firstColumn="1" w:lastColumn="0" w:noHBand="0" w:noVBand="1"/>
      </w:tblPr>
      <w:tblGrid>
        <w:gridCol w:w="4536"/>
        <w:gridCol w:w="3948"/>
      </w:tblGrid>
      <w:tr w:rsidR="00283813" w:rsidRPr="00DB352B" w:rsidTr="00A71FBA">
        <w:tc>
          <w:tcPr>
            <w:tcW w:w="4536" w:type="dxa"/>
          </w:tcPr>
          <w:p w:rsidR="00283813" w:rsidRPr="00DB352B" w:rsidRDefault="009E692F" w:rsidP="00A71FBA">
            <w:pPr>
              <w:keepNext/>
              <w:keepLines/>
              <w:spacing w:line="276" w:lineRule="auto"/>
              <w:ind w:left="33" w:right="34"/>
              <w:contextualSpacing/>
              <w:jc w:val="right"/>
              <w:rPr>
                <w:rFonts w:eastAsiaTheme="minorHAnsi"/>
                <w:b/>
                <w:szCs w:val="20"/>
                <w:lang w:val="es-ES_tradnl" w:eastAsia="en-US"/>
              </w:rPr>
            </w:pPr>
            <w:r w:rsidRPr="00DB352B">
              <w:rPr>
                <w:rFonts w:eastAsiaTheme="minorHAnsi"/>
                <w:b/>
                <w:lang w:val="es-ES_tradnl" w:eastAsia="en-US"/>
              </w:rPr>
              <w:t>Estado de los compromisos</w:t>
            </w:r>
            <w:r w:rsidR="00283813" w:rsidRPr="00DB352B">
              <w:rPr>
                <w:rFonts w:eastAsiaTheme="minorHAnsi"/>
                <w:b/>
                <w:lang w:val="es-ES_tradnl" w:eastAsia="en-US"/>
              </w:rPr>
              <w:t xml:space="preserve"> </w:t>
            </w:r>
          </w:p>
        </w:tc>
        <w:tc>
          <w:tcPr>
            <w:tcW w:w="3948" w:type="dxa"/>
          </w:tcPr>
          <w:p w:rsidR="00283813" w:rsidRPr="00DB352B" w:rsidRDefault="009513C7" w:rsidP="00A71FBA">
            <w:pPr>
              <w:keepNext/>
              <w:keepLines/>
              <w:spacing w:line="276" w:lineRule="auto"/>
              <w:ind w:left="11"/>
              <w:contextualSpacing/>
              <w:jc w:val="center"/>
              <w:rPr>
                <w:rFonts w:eastAsiaTheme="minorHAnsi"/>
                <w:b/>
                <w:szCs w:val="20"/>
                <w:lang w:val="es-ES_tradnl" w:eastAsia="en-US"/>
              </w:rPr>
            </w:pPr>
            <w:r>
              <w:rPr>
                <w:rFonts w:eastAsiaTheme="minorHAnsi"/>
                <w:b/>
                <w:szCs w:val="20"/>
                <w:lang w:val="es-ES_tradnl" w:eastAsia="en-US"/>
              </w:rPr>
              <w:t xml:space="preserve">Importe </w:t>
            </w:r>
            <w:r w:rsidR="009E692F" w:rsidRPr="00DB352B">
              <w:rPr>
                <w:rFonts w:eastAsiaTheme="minorHAnsi"/>
                <w:b/>
                <w:szCs w:val="20"/>
                <w:lang w:val="es-ES_tradnl" w:eastAsia="en-US"/>
              </w:rPr>
              <w:t>en franco suizos</w:t>
            </w:r>
          </w:p>
        </w:tc>
      </w:tr>
      <w:tr w:rsidR="00283813" w:rsidRPr="00DB352B" w:rsidTr="00A71FBA">
        <w:tc>
          <w:tcPr>
            <w:tcW w:w="4536" w:type="dxa"/>
          </w:tcPr>
          <w:p w:rsidR="00283813" w:rsidRPr="00DB352B" w:rsidRDefault="009513C7" w:rsidP="00A71FBA">
            <w:pPr>
              <w:keepNext/>
              <w:keepLines/>
              <w:spacing w:line="276" w:lineRule="auto"/>
              <w:ind w:left="33" w:right="34"/>
              <w:contextualSpacing/>
              <w:jc w:val="right"/>
              <w:rPr>
                <w:rFonts w:eastAsiaTheme="minorHAnsi"/>
                <w:lang w:val="es-ES_tradnl" w:eastAsia="en-US"/>
              </w:rPr>
            </w:pPr>
            <w:r>
              <w:rPr>
                <w:rFonts w:eastAsiaTheme="minorHAnsi"/>
                <w:lang w:val="es-ES_tradnl" w:eastAsia="en-US"/>
              </w:rPr>
              <w:t>Importe</w:t>
            </w:r>
            <w:r w:rsidR="009E692F" w:rsidRPr="00DB352B">
              <w:rPr>
                <w:rFonts w:eastAsiaTheme="minorHAnsi"/>
                <w:lang w:val="es-ES_tradnl" w:eastAsia="en-US"/>
              </w:rPr>
              <w:t xml:space="preserve"> comprometido por la OMPI</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4.154.582</w:t>
            </w:r>
          </w:p>
        </w:tc>
      </w:tr>
      <w:tr w:rsidR="00283813" w:rsidRPr="00DB352B" w:rsidTr="00A71FBA">
        <w:tc>
          <w:tcPr>
            <w:tcW w:w="4536" w:type="dxa"/>
          </w:tcPr>
          <w:p w:rsidR="00283813" w:rsidRPr="00DB352B" w:rsidRDefault="009513C7" w:rsidP="009513C7">
            <w:pPr>
              <w:keepNext/>
              <w:keepLines/>
              <w:spacing w:line="276" w:lineRule="auto"/>
              <w:ind w:left="33" w:right="34"/>
              <w:contextualSpacing/>
              <w:jc w:val="right"/>
              <w:rPr>
                <w:rFonts w:eastAsiaTheme="minorHAnsi"/>
                <w:lang w:val="es-ES_tradnl" w:eastAsia="en-US"/>
              </w:rPr>
            </w:pPr>
            <w:r>
              <w:rPr>
                <w:rFonts w:eastAsiaTheme="minorHAnsi"/>
                <w:lang w:val="es-ES_tradnl" w:eastAsia="en-US"/>
              </w:rPr>
              <w:t>Importe</w:t>
            </w:r>
            <w:r w:rsidR="009E692F" w:rsidRPr="00DB352B">
              <w:rPr>
                <w:rFonts w:eastAsiaTheme="minorHAnsi"/>
                <w:lang w:val="es-ES_tradnl" w:eastAsia="en-US"/>
              </w:rPr>
              <w:t xml:space="preserve"> comprometido por el </w:t>
            </w:r>
            <w:r>
              <w:rPr>
                <w:rFonts w:eastAsiaTheme="minorHAnsi"/>
                <w:lang w:val="es-ES_tradnl" w:eastAsia="en-US"/>
              </w:rPr>
              <w:t>Estado</w:t>
            </w:r>
            <w:r w:rsidR="009E692F" w:rsidRPr="00DB352B">
              <w:rPr>
                <w:rFonts w:eastAsiaTheme="minorHAnsi"/>
                <w:lang w:val="es-ES_tradnl" w:eastAsia="en-US"/>
              </w:rPr>
              <w:t xml:space="preserve"> anfitrión</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2.614.590</w:t>
            </w:r>
          </w:p>
        </w:tc>
      </w:tr>
      <w:tr w:rsidR="00283813" w:rsidRPr="00DB352B" w:rsidTr="00A71FBA">
        <w:tc>
          <w:tcPr>
            <w:tcW w:w="4536" w:type="dxa"/>
          </w:tcPr>
          <w:p w:rsidR="00283813" w:rsidRPr="00DB352B" w:rsidRDefault="009513C7" w:rsidP="00A71FBA">
            <w:pPr>
              <w:keepNext/>
              <w:keepLines/>
              <w:spacing w:line="276" w:lineRule="auto"/>
              <w:ind w:left="33" w:right="34"/>
              <w:contextualSpacing/>
              <w:jc w:val="right"/>
              <w:rPr>
                <w:rFonts w:eastAsiaTheme="minorHAnsi"/>
                <w:lang w:val="es-ES_tradnl" w:eastAsia="en-US"/>
              </w:rPr>
            </w:pPr>
            <w:r>
              <w:rPr>
                <w:rFonts w:eastAsiaTheme="minorHAnsi"/>
                <w:lang w:val="es-ES_tradnl" w:eastAsia="en-US"/>
              </w:rPr>
              <w:t>Importe</w:t>
            </w:r>
            <w:r w:rsidR="009E692F" w:rsidRPr="00DB352B">
              <w:rPr>
                <w:rFonts w:eastAsiaTheme="minorHAnsi"/>
                <w:lang w:val="es-ES_tradnl" w:eastAsia="en-US"/>
              </w:rPr>
              <w:t xml:space="preserve"> total comprometido</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6.769.172</w:t>
            </w:r>
          </w:p>
        </w:tc>
      </w:tr>
    </w:tbl>
    <w:p w:rsidR="00283813" w:rsidRPr="00DB352B" w:rsidRDefault="00283813" w:rsidP="00283813">
      <w:pPr>
        <w:keepNext/>
        <w:keepLines/>
        <w:spacing w:line="276" w:lineRule="auto"/>
        <w:jc w:val="right"/>
        <w:rPr>
          <w:rFonts w:eastAsiaTheme="minorHAnsi"/>
          <w:b/>
          <w:szCs w:val="22"/>
          <w:lang w:val="es-ES_tradnl" w:eastAsia="en-US"/>
        </w:rPr>
      </w:pPr>
    </w:p>
    <w:tbl>
      <w:tblPr>
        <w:tblStyle w:val="TableGrid"/>
        <w:tblW w:w="8484" w:type="dxa"/>
        <w:tblInd w:w="534" w:type="dxa"/>
        <w:tblLook w:val="04A0" w:firstRow="1" w:lastRow="0" w:firstColumn="1" w:lastColumn="0" w:noHBand="0" w:noVBand="1"/>
      </w:tblPr>
      <w:tblGrid>
        <w:gridCol w:w="4536"/>
        <w:gridCol w:w="3948"/>
      </w:tblGrid>
      <w:tr w:rsidR="00283813" w:rsidRPr="00DB352B" w:rsidTr="009E692F">
        <w:tc>
          <w:tcPr>
            <w:tcW w:w="4536" w:type="dxa"/>
          </w:tcPr>
          <w:p w:rsidR="00283813" w:rsidRPr="00DB352B" w:rsidRDefault="009E692F" w:rsidP="00A71FBA">
            <w:pPr>
              <w:keepNext/>
              <w:keepLines/>
              <w:spacing w:line="276" w:lineRule="auto"/>
              <w:ind w:left="33" w:right="34"/>
              <w:contextualSpacing/>
              <w:jc w:val="right"/>
              <w:rPr>
                <w:rFonts w:eastAsiaTheme="minorHAnsi"/>
                <w:b/>
                <w:szCs w:val="20"/>
                <w:lang w:val="es-ES_tradnl" w:eastAsia="en-US"/>
              </w:rPr>
            </w:pPr>
            <w:r w:rsidRPr="00DB352B">
              <w:rPr>
                <w:rFonts w:eastAsiaTheme="minorHAnsi"/>
                <w:b/>
                <w:lang w:val="es-ES_tradnl" w:eastAsia="en-US"/>
              </w:rPr>
              <w:t>Saldo de los compromisos</w:t>
            </w:r>
            <w:r w:rsidR="00283813" w:rsidRPr="00DB352B">
              <w:rPr>
                <w:rFonts w:eastAsiaTheme="minorHAnsi"/>
                <w:b/>
                <w:lang w:val="es-ES_tradnl" w:eastAsia="en-US"/>
              </w:rPr>
              <w:t xml:space="preserve"> </w:t>
            </w:r>
          </w:p>
        </w:tc>
        <w:tc>
          <w:tcPr>
            <w:tcW w:w="3948" w:type="dxa"/>
          </w:tcPr>
          <w:p w:rsidR="00283813" w:rsidRPr="00DB352B" w:rsidRDefault="009513C7" w:rsidP="00A71FBA">
            <w:pPr>
              <w:keepNext/>
              <w:keepLines/>
              <w:spacing w:line="276" w:lineRule="auto"/>
              <w:ind w:left="33"/>
              <w:contextualSpacing/>
              <w:jc w:val="center"/>
              <w:rPr>
                <w:rFonts w:eastAsiaTheme="minorHAnsi"/>
                <w:b/>
                <w:szCs w:val="20"/>
                <w:lang w:val="es-ES_tradnl" w:eastAsia="en-US"/>
              </w:rPr>
            </w:pPr>
            <w:r>
              <w:rPr>
                <w:rFonts w:eastAsiaTheme="minorHAnsi"/>
                <w:b/>
                <w:szCs w:val="20"/>
                <w:lang w:val="es-ES_tradnl" w:eastAsia="en-US"/>
              </w:rPr>
              <w:t>Importe</w:t>
            </w:r>
            <w:r w:rsidR="009E692F" w:rsidRPr="00DB352B">
              <w:rPr>
                <w:rFonts w:eastAsiaTheme="minorHAnsi"/>
                <w:b/>
                <w:szCs w:val="20"/>
                <w:lang w:val="es-ES_tradnl" w:eastAsia="en-US"/>
              </w:rPr>
              <w:t xml:space="preserve"> en francos suizos</w:t>
            </w:r>
          </w:p>
        </w:tc>
      </w:tr>
      <w:tr w:rsidR="00283813" w:rsidRPr="00DB352B" w:rsidTr="009E692F">
        <w:tc>
          <w:tcPr>
            <w:tcW w:w="4536" w:type="dxa"/>
          </w:tcPr>
          <w:p w:rsidR="00283813" w:rsidRPr="00DB352B" w:rsidRDefault="009E692F" w:rsidP="00A71FBA">
            <w:pPr>
              <w:keepNext/>
              <w:keepLines/>
              <w:spacing w:line="276" w:lineRule="auto"/>
              <w:ind w:left="33" w:right="34"/>
              <w:contextualSpacing/>
              <w:jc w:val="right"/>
              <w:rPr>
                <w:rFonts w:eastAsiaTheme="minorHAnsi"/>
                <w:lang w:val="es-ES_tradnl" w:eastAsia="en-US"/>
              </w:rPr>
            </w:pPr>
            <w:r w:rsidRPr="00DB352B">
              <w:rPr>
                <w:rFonts w:eastAsiaTheme="minorHAnsi"/>
                <w:lang w:val="es-ES_tradnl" w:eastAsia="en-US"/>
              </w:rPr>
              <w:t>Saldo disponible de la OMPI</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3.445.417</w:t>
            </w:r>
          </w:p>
        </w:tc>
      </w:tr>
      <w:tr w:rsidR="00283813" w:rsidRPr="00DB352B" w:rsidTr="009E692F">
        <w:tc>
          <w:tcPr>
            <w:tcW w:w="4536" w:type="dxa"/>
          </w:tcPr>
          <w:p w:rsidR="00283813" w:rsidRPr="00DB352B" w:rsidRDefault="005F65B2" w:rsidP="00D84C8A">
            <w:pPr>
              <w:keepNext/>
              <w:keepLines/>
              <w:spacing w:line="276" w:lineRule="auto"/>
              <w:ind w:left="33" w:right="34"/>
              <w:contextualSpacing/>
              <w:jc w:val="right"/>
              <w:rPr>
                <w:rFonts w:eastAsiaTheme="minorHAnsi"/>
                <w:lang w:val="es-ES_tradnl" w:eastAsia="en-US"/>
              </w:rPr>
            </w:pPr>
            <w:r>
              <w:rPr>
                <w:rFonts w:eastAsiaTheme="minorHAnsi"/>
                <w:lang w:val="es-ES_tradnl" w:eastAsia="en-US"/>
              </w:rPr>
              <w:t xml:space="preserve">Saldo disponible </w:t>
            </w:r>
            <w:r w:rsidR="009E692F" w:rsidRPr="00DB352B">
              <w:rPr>
                <w:rFonts w:eastAsiaTheme="minorHAnsi"/>
                <w:lang w:val="es-ES_tradnl" w:eastAsia="en-US"/>
              </w:rPr>
              <w:t xml:space="preserve">del </w:t>
            </w:r>
            <w:r w:rsidR="00D84C8A">
              <w:rPr>
                <w:rFonts w:eastAsiaTheme="minorHAnsi"/>
                <w:lang w:val="es-ES_tradnl" w:eastAsia="en-US"/>
              </w:rPr>
              <w:t xml:space="preserve">Estado </w:t>
            </w:r>
            <w:r w:rsidR="009E692F" w:rsidRPr="00DB352B">
              <w:rPr>
                <w:rFonts w:eastAsiaTheme="minorHAnsi"/>
                <w:lang w:val="es-ES_tradnl" w:eastAsia="en-US"/>
              </w:rPr>
              <w:t>anfitrión</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2.385.409</w:t>
            </w:r>
          </w:p>
        </w:tc>
      </w:tr>
      <w:tr w:rsidR="00283813" w:rsidRPr="00DB352B" w:rsidTr="009E692F">
        <w:tc>
          <w:tcPr>
            <w:tcW w:w="4536" w:type="dxa"/>
          </w:tcPr>
          <w:p w:rsidR="00283813" w:rsidRPr="00DB352B" w:rsidRDefault="009E692F" w:rsidP="00A71FBA">
            <w:pPr>
              <w:keepNext/>
              <w:keepLines/>
              <w:spacing w:line="276" w:lineRule="auto"/>
              <w:ind w:left="33" w:right="34"/>
              <w:contextualSpacing/>
              <w:jc w:val="right"/>
              <w:rPr>
                <w:rFonts w:eastAsiaTheme="minorHAnsi"/>
                <w:lang w:val="es-ES_tradnl" w:eastAsia="en-US"/>
              </w:rPr>
            </w:pPr>
            <w:r w:rsidRPr="00DB352B">
              <w:rPr>
                <w:rFonts w:eastAsiaTheme="minorHAnsi"/>
                <w:lang w:val="es-ES_tradnl" w:eastAsia="en-US"/>
              </w:rPr>
              <w:t>Saldo total disponible</w:t>
            </w:r>
          </w:p>
        </w:tc>
        <w:tc>
          <w:tcPr>
            <w:tcW w:w="3948" w:type="dxa"/>
          </w:tcPr>
          <w:p w:rsidR="00283813" w:rsidRPr="00DB352B" w:rsidRDefault="00283813" w:rsidP="00A71FBA">
            <w:pPr>
              <w:keepNext/>
              <w:keepLines/>
              <w:spacing w:line="276" w:lineRule="auto"/>
              <w:ind w:left="720"/>
              <w:contextualSpacing/>
              <w:jc w:val="right"/>
              <w:rPr>
                <w:rFonts w:eastAsiaTheme="minorHAnsi"/>
                <w:b/>
                <w:lang w:val="es-ES_tradnl" w:eastAsia="en-US"/>
              </w:rPr>
            </w:pPr>
            <w:r w:rsidRPr="00DB352B">
              <w:rPr>
                <w:rFonts w:eastAsiaTheme="minorHAnsi"/>
                <w:b/>
                <w:lang w:val="es-ES_tradnl" w:eastAsia="en-US"/>
              </w:rPr>
              <w:t>5.830.827</w:t>
            </w:r>
          </w:p>
        </w:tc>
      </w:tr>
    </w:tbl>
    <w:p w:rsidR="00283813" w:rsidRPr="00DB352B" w:rsidRDefault="00283813" w:rsidP="00283813">
      <w:pPr>
        <w:pStyle w:val="ONUMFS"/>
        <w:numPr>
          <w:ilvl w:val="0"/>
          <w:numId w:val="0"/>
        </w:numPr>
        <w:rPr>
          <w:lang w:val="es-ES_tradnl"/>
        </w:rPr>
      </w:pPr>
    </w:p>
    <w:p w:rsidR="00283813" w:rsidRPr="00DB352B" w:rsidRDefault="00A71FBA" w:rsidP="00283813">
      <w:pPr>
        <w:pStyle w:val="ONUMFS"/>
        <w:tabs>
          <w:tab w:val="clear" w:pos="567"/>
        </w:tabs>
        <w:ind w:left="5529"/>
        <w:rPr>
          <w:i/>
          <w:lang w:val="es-ES_tradnl"/>
        </w:rPr>
      </w:pPr>
      <w:r w:rsidRPr="00DB352B">
        <w:rPr>
          <w:i/>
          <w:lang w:val="es-ES_tradnl"/>
        </w:rPr>
        <w:t>Se invita al Comité del Program</w:t>
      </w:r>
      <w:r w:rsidR="00DB352B">
        <w:rPr>
          <w:i/>
          <w:lang w:val="es-ES_tradnl"/>
        </w:rPr>
        <w:t>a y Presupuesto a que recomiende</w:t>
      </w:r>
      <w:r w:rsidRPr="00DB352B">
        <w:rPr>
          <w:i/>
          <w:lang w:val="es-ES_tradnl"/>
        </w:rPr>
        <w:t xml:space="preserve"> a las Asambleas de los Estados miembros de la OMPI que tomen nota del contenido del presente documento.</w:t>
      </w:r>
    </w:p>
    <w:p w:rsidR="00283813" w:rsidRPr="00DB352B" w:rsidRDefault="00283813" w:rsidP="00283813">
      <w:pPr>
        <w:pStyle w:val="ONUMFS"/>
        <w:numPr>
          <w:ilvl w:val="0"/>
          <w:numId w:val="0"/>
        </w:numPr>
        <w:rPr>
          <w:lang w:val="es-ES_tradnl" w:eastAsia="en-US"/>
        </w:rPr>
      </w:pPr>
    </w:p>
    <w:p w:rsidR="00152CEA" w:rsidRPr="00DB352B" w:rsidRDefault="00283813" w:rsidP="00283813">
      <w:pPr>
        <w:pStyle w:val="Endofdocument-Annex"/>
        <w:rPr>
          <w:lang w:val="es-ES_tradnl"/>
        </w:rPr>
      </w:pPr>
      <w:r w:rsidRPr="00DB352B">
        <w:rPr>
          <w:lang w:val="es-ES_tradnl"/>
        </w:rPr>
        <w:t>[</w:t>
      </w:r>
      <w:r w:rsidR="00A71FBA" w:rsidRPr="00DB352B">
        <w:rPr>
          <w:lang w:val="es-ES_tradnl"/>
        </w:rPr>
        <w:t>Fin del documento</w:t>
      </w:r>
      <w:r w:rsidRPr="00DB352B">
        <w:rPr>
          <w:lang w:val="es-ES_tradnl"/>
        </w:rPr>
        <w:t>]</w:t>
      </w:r>
    </w:p>
    <w:sectPr w:rsidR="00152CEA" w:rsidRPr="00DB352B" w:rsidSect="00B6599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175" w:rsidRDefault="00CC3175">
      <w:r>
        <w:separator/>
      </w:r>
    </w:p>
  </w:endnote>
  <w:endnote w:type="continuationSeparator" w:id="0">
    <w:p w:rsidR="00CC3175" w:rsidRPr="009D30E6" w:rsidRDefault="00CC3175" w:rsidP="007E663E">
      <w:pPr>
        <w:rPr>
          <w:sz w:val="17"/>
          <w:szCs w:val="17"/>
        </w:rPr>
      </w:pPr>
      <w:r w:rsidRPr="009D30E6">
        <w:rPr>
          <w:sz w:val="17"/>
          <w:szCs w:val="17"/>
        </w:rPr>
        <w:separator/>
      </w:r>
    </w:p>
    <w:p w:rsidR="00CC3175" w:rsidRPr="007E663E" w:rsidRDefault="00CC3175" w:rsidP="007E663E">
      <w:pPr>
        <w:spacing w:after="60"/>
        <w:rPr>
          <w:sz w:val="17"/>
          <w:szCs w:val="17"/>
        </w:rPr>
      </w:pPr>
      <w:r>
        <w:rPr>
          <w:sz w:val="17"/>
        </w:rPr>
        <w:t>[Continuación de la nota de la página anterior]</w:t>
      </w:r>
    </w:p>
  </w:endnote>
  <w:endnote w:type="continuationNotice" w:id="1">
    <w:p w:rsidR="00CC3175" w:rsidRPr="007E663E" w:rsidRDefault="00CC31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175" w:rsidRDefault="00CC3175">
      <w:r>
        <w:separator/>
      </w:r>
    </w:p>
  </w:footnote>
  <w:footnote w:type="continuationSeparator" w:id="0">
    <w:p w:rsidR="00CC3175" w:rsidRPr="009D30E6" w:rsidRDefault="00CC3175" w:rsidP="007E663E">
      <w:pPr>
        <w:rPr>
          <w:sz w:val="17"/>
          <w:szCs w:val="17"/>
        </w:rPr>
      </w:pPr>
      <w:r w:rsidRPr="009D30E6">
        <w:rPr>
          <w:sz w:val="17"/>
          <w:szCs w:val="17"/>
        </w:rPr>
        <w:separator/>
      </w:r>
    </w:p>
    <w:p w:rsidR="00CC3175" w:rsidRPr="007E663E" w:rsidRDefault="00CC3175" w:rsidP="007E663E">
      <w:pPr>
        <w:spacing w:after="60"/>
        <w:rPr>
          <w:sz w:val="17"/>
          <w:szCs w:val="17"/>
        </w:rPr>
      </w:pPr>
      <w:r>
        <w:rPr>
          <w:sz w:val="17"/>
        </w:rPr>
        <w:t>[Continuación de la nota de la página anterior]</w:t>
      </w:r>
    </w:p>
  </w:footnote>
  <w:footnote w:type="continuationNotice" w:id="1">
    <w:p w:rsidR="00CC3175" w:rsidRPr="007E663E" w:rsidRDefault="00CC317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75" w:rsidRDefault="00CC3175" w:rsidP="00477D6B">
    <w:pPr>
      <w:jc w:val="right"/>
    </w:pPr>
    <w:bookmarkStart w:id="6" w:name="Code2"/>
    <w:bookmarkEnd w:id="6"/>
    <w:r>
      <w:t>WO/PBC/21/9</w:t>
    </w:r>
  </w:p>
  <w:p w:rsidR="00CC3175" w:rsidRDefault="00CC3175" w:rsidP="00477D6B">
    <w:pPr>
      <w:jc w:val="right"/>
    </w:pPr>
    <w:r>
      <w:t xml:space="preserve">página </w:t>
    </w:r>
    <w:r>
      <w:fldChar w:fldCharType="begin"/>
    </w:r>
    <w:r>
      <w:instrText xml:space="preserve"> PAGE  \* MERGEFORMAT </w:instrText>
    </w:r>
    <w:r>
      <w:fldChar w:fldCharType="separate"/>
    </w:r>
    <w:r w:rsidR="009C48E1">
      <w:rPr>
        <w:noProof/>
      </w:rPr>
      <w:t>3</w:t>
    </w:r>
    <w:r>
      <w:fldChar w:fldCharType="end"/>
    </w:r>
  </w:p>
  <w:p w:rsidR="00CC3175" w:rsidRDefault="00CC31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674F77"/>
    <w:multiLevelType w:val="hybridMultilevel"/>
    <w:tmpl w:val="98EACC52"/>
    <w:lvl w:ilvl="0" w:tplc="3B56D0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5BA2B790"/>
    <w:lvl w:ilvl="0">
      <w:start w:val="1"/>
      <w:numFmt w:val="decimal"/>
      <w:lvlRestart w:val="0"/>
      <w:pStyle w:val="ONUMFS"/>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92"/>
    <w:rsid w:val="00052915"/>
    <w:rsid w:val="000646EA"/>
    <w:rsid w:val="000928D6"/>
    <w:rsid w:val="000E3BB3"/>
    <w:rsid w:val="000F5E56"/>
    <w:rsid w:val="001030FC"/>
    <w:rsid w:val="001362EE"/>
    <w:rsid w:val="00152CEA"/>
    <w:rsid w:val="00177030"/>
    <w:rsid w:val="001832A6"/>
    <w:rsid w:val="002221DA"/>
    <w:rsid w:val="002634C4"/>
    <w:rsid w:val="00283813"/>
    <w:rsid w:val="002953BC"/>
    <w:rsid w:val="002956A2"/>
    <w:rsid w:val="002E0F47"/>
    <w:rsid w:val="002F463C"/>
    <w:rsid w:val="002F4E68"/>
    <w:rsid w:val="00354647"/>
    <w:rsid w:val="00377273"/>
    <w:rsid w:val="003845C1"/>
    <w:rsid w:val="00387287"/>
    <w:rsid w:val="003D4948"/>
    <w:rsid w:val="003D630D"/>
    <w:rsid w:val="003E48F1"/>
    <w:rsid w:val="00423E3E"/>
    <w:rsid w:val="00427AF4"/>
    <w:rsid w:val="0045231F"/>
    <w:rsid w:val="004647DA"/>
    <w:rsid w:val="00476CCE"/>
    <w:rsid w:val="00477808"/>
    <w:rsid w:val="00477D6B"/>
    <w:rsid w:val="004A6C37"/>
    <w:rsid w:val="00523D25"/>
    <w:rsid w:val="005332F0"/>
    <w:rsid w:val="0055013B"/>
    <w:rsid w:val="00553BA8"/>
    <w:rsid w:val="00571B99"/>
    <w:rsid w:val="005C2D13"/>
    <w:rsid w:val="005C5057"/>
    <w:rsid w:val="005F65B2"/>
    <w:rsid w:val="00605827"/>
    <w:rsid w:val="006627F9"/>
    <w:rsid w:val="00675021"/>
    <w:rsid w:val="0069412F"/>
    <w:rsid w:val="006A06C6"/>
    <w:rsid w:val="006D7AFE"/>
    <w:rsid w:val="0075503D"/>
    <w:rsid w:val="00794BE2"/>
    <w:rsid w:val="007B71FE"/>
    <w:rsid w:val="007D781E"/>
    <w:rsid w:val="007E663E"/>
    <w:rsid w:val="0081254C"/>
    <w:rsid w:val="0081338B"/>
    <w:rsid w:val="00815082"/>
    <w:rsid w:val="00862EFC"/>
    <w:rsid w:val="0088395E"/>
    <w:rsid w:val="008B2CC1"/>
    <w:rsid w:val="008C369E"/>
    <w:rsid w:val="008E36BE"/>
    <w:rsid w:val="008E6BD6"/>
    <w:rsid w:val="0090731E"/>
    <w:rsid w:val="00925463"/>
    <w:rsid w:val="009513C7"/>
    <w:rsid w:val="00966A22"/>
    <w:rsid w:val="00972F03"/>
    <w:rsid w:val="009A0C8B"/>
    <w:rsid w:val="009B6241"/>
    <w:rsid w:val="009C48E1"/>
    <w:rsid w:val="009E692F"/>
    <w:rsid w:val="009F31F2"/>
    <w:rsid w:val="00A16FC0"/>
    <w:rsid w:val="00A32C9E"/>
    <w:rsid w:val="00A71FBA"/>
    <w:rsid w:val="00AB613D"/>
    <w:rsid w:val="00B35044"/>
    <w:rsid w:val="00B65992"/>
    <w:rsid w:val="00B65A0A"/>
    <w:rsid w:val="00B72D36"/>
    <w:rsid w:val="00BC4164"/>
    <w:rsid w:val="00BD2DCC"/>
    <w:rsid w:val="00C90559"/>
    <w:rsid w:val="00CC3175"/>
    <w:rsid w:val="00D008E2"/>
    <w:rsid w:val="00D269AF"/>
    <w:rsid w:val="00D56C7C"/>
    <w:rsid w:val="00D71B4D"/>
    <w:rsid w:val="00D84C8A"/>
    <w:rsid w:val="00D90289"/>
    <w:rsid w:val="00D93D55"/>
    <w:rsid w:val="00DB352B"/>
    <w:rsid w:val="00DC23B9"/>
    <w:rsid w:val="00DF20A7"/>
    <w:rsid w:val="00E444DA"/>
    <w:rsid w:val="00E45C84"/>
    <w:rsid w:val="00E504E5"/>
    <w:rsid w:val="00E64241"/>
    <w:rsid w:val="00EB7A3E"/>
    <w:rsid w:val="00EC401A"/>
    <w:rsid w:val="00EF530A"/>
    <w:rsid w:val="00EF6622"/>
    <w:rsid w:val="00F21FA9"/>
    <w:rsid w:val="00F50490"/>
    <w:rsid w:val="00F55408"/>
    <w:rsid w:val="00F66152"/>
    <w:rsid w:val="00F80845"/>
    <w:rsid w:val="00F84474"/>
    <w:rsid w:val="00F86290"/>
    <w:rsid w:val="00FD59D1"/>
    <w:rsid w:val="00FF28D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table" w:styleId="TableGrid">
    <w:name w:val="Table Grid"/>
    <w:basedOn w:val="TableNormal"/>
    <w:uiPriority w:val="59"/>
    <w:rsid w:val="00283813"/>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283813"/>
    <w:pPr>
      <w:ind w:left="720"/>
      <w:contextualSpacing/>
    </w:pPr>
    <w:rPr>
      <w:lang w:val="en-US"/>
    </w:rPr>
  </w:style>
  <w:style w:type="paragraph" w:styleId="BalloonText">
    <w:name w:val="Balloon Text"/>
    <w:basedOn w:val="Normal"/>
    <w:link w:val="BalloonTextChar"/>
    <w:rsid w:val="00A71FBA"/>
    <w:rPr>
      <w:rFonts w:ascii="Tahoma" w:hAnsi="Tahoma" w:cs="Tahoma"/>
      <w:sz w:val="16"/>
      <w:szCs w:val="16"/>
    </w:rPr>
  </w:style>
  <w:style w:type="character" w:customStyle="1" w:styleId="BalloonTextChar">
    <w:name w:val="Balloon Text Char"/>
    <w:basedOn w:val="DefaultParagraphFont"/>
    <w:link w:val="BalloonText"/>
    <w:rsid w:val="00A71FBA"/>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table" w:styleId="TableGrid">
    <w:name w:val="Table Grid"/>
    <w:basedOn w:val="TableNormal"/>
    <w:uiPriority w:val="59"/>
    <w:rsid w:val="00283813"/>
    <w:rPr>
      <w:rFonts w:asciiTheme="minorHAnsi" w:eastAsiaTheme="minorHAnsi" w:hAnsiTheme="minorHAnsi" w:cstheme="minorBidi"/>
      <w:sz w:val="22"/>
      <w:szCs w:val="22"/>
      <w:lang w:val="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283813"/>
    <w:pPr>
      <w:ind w:left="720"/>
      <w:contextualSpacing/>
    </w:pPr>
    <w:rPr>
      <w:lang w:val="en-US"/>
    </w:rPr>
  </w:style>
  <w:style w:type="paragraph" w:styleId="BalloonText">
    <w:name w:val="Balloon Text"/>
    <w:basedOn w:val="Normal"/>
    <w:link w:val="BalloonTextChar"/>
    <w:rsid w:val="00A71FBA"/>
    <w:rPr>
      <w:rFonts w:ascii="Tahoma" w:hAnsi="Tahoma" w:cs="Tahoma"/>
      <w:sz w:val="16"/>
      <w:szCs w:val="16"/>
    </w:rPr>
  </w:style>
  <w:style w:type="character" w:customStyle="1" w:styleId="BalloonTextChar">
    <w:name w:val="Balloon Text Char"/>
    <w:basedOn w:val="DefaultParagraphFont"/>
    <w:link w:val="BalloonText"/>
    <w:rsid w:val="00A71FBA"/>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(S).dot</Template>
  <TotalTime>29</TotalTime>
  <Pages>4</Pages>
  <Words>1374</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WO/PBC/21/9</vt:lpstr>
    </vt:vector>
  </TitlesOfParts>
  <Company>WIPO</Company>
  <LinksUpToDate>false</LinksUpToDate>
  <CharactersWithSpaces>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WO/PBC/21/9</dc:title>
  <dc:creator>LOPEZ OLIVARES Dolores</dc:creator>
  <dc:description>DMT - 12/8/2013</dc:description>
  <cp:lastModifiedBy>LOPEZ OLIVARES Dolores</cp:lastModifiedBy>
  <cp:revision>3</cp:revision>
  <cp:lastPrinted>2013-08-12T13:35:00Z</cp:lastPrinted>
  <dcterms:created xsi:type="dcterms:W3CDTF">2013-08-12T14:31:00Z</dcterms:created>
  <dcterms:modified xsi:type="dcterms:W3CDTF">2013-08-12T15:01:00Z</dcterms:modified>
</cp:coreProperties>
</file>