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697F86" w:rsidRDefault="00472A6E" w:rsidP="000814FA">
      <w:pPr>
        <w:spacing w:after="240"/>
        <w:ind w:right="-57"/>
        <w:jc w:val="right"/>
        <w:rPr>
          <w:lang w:val="es-419"/>
        </w:rPr>
      </w:pPr>
      <w:bookmarkStart w:id="0" w:name="_GoBack"/>
      <w:bookmarkEnd w:id="0"/>
      <w:r w:rsidRPr="00697F86">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697F86" w:rsidRPr="00697F86" w:rsidRDefault="00697F86" w:rsidP="00697F86">
      <w:pPr>
        <w:pBdr>
          <w:top w:val="single" w:sz="4" w:space="16" w:color="auto"/>
        </w:pBdr>
        <w:jc w:val="right"/>
        <w:rPr>
          <w:rFonts w:ascii="Arial Black" w:hAnsi="Arial Black"/>
          <w:caps/>
          <w:sz w:val="15"/>
          <w:szCs w:val="15"/>
          <w:lang w:val="es-419"/>
        </w:rPr>
      </w:pPr>
      <w:r w:rsidRPr="00AD54C4">
        <w:rPr>
          <w:rFonts w:ascii="Arial Black" w:hAnsi="Arial Black"/>
          <w:b/>
          <w:caps/>
          <w:sz w:val="15"/>
          <w:lang w:val="es-DO"/>
        </w:rPr>
        <w:t>WO/CF/42/</w:t>
      </w:r>
      <w:proofErr w:type="gramStart"/>
      <w:r w:rsidRPr="00AD54C4">
        <w:rPr>
          <w:rFonts w:ascii="Arial Black" w:hAnsi="Arial Black"/>
          <w:b/>
          <w:caps/>
          <w:sz w:val="15"/>
          <w:lang w:val="es-DO"/>
        </w:rPr>
        <w:t>1  P</w:t>
      </w:r>
      <w:proofErr w:type="gramEnd"/>
      <w:r w:rsidRPr="00AD54C4">
        <w:rPr>
          <w:rFonts w:ascii="Arial Black" w:hAnsi="Arial Black"/>
          <w:b/>
          <w:caps/>
          <w:sz w:val="15"/>
          <w:lang w:val="es-DO"/>
        </w:rPr>
        <w:t xml:space="preserve">/A/57/1  P/EC/61/1  B/A/51/1  B/EC/67/1  N/A/41/1  </w:t>
      </w:r>
      <w:r w:rsidRPr="00697F86">
        <w:rPr>
          <w:rFonts w:ascii="Arial Black" w:hAnsi="Arial Black"/>
          <w:b/>
          <w:caps/>
          <w:sz w:val="15"/>
          <w:lang w:val="es-419"/>
        </w:rPr>
        <w:t>LO/A/41/1 </w:t>
      </w:r>
      <w:r w:rsidRPr="00697F86">
        <w:rPr>
          <w:rFonts w:ascii="Arial Black" w:hAnsi="Arial Black"/>
          <w:caps/>
          <w:sz w:val="15"/>
          <w:szCs w:val="15"/>
          <w:lang w:val="es-419"/>
        </w:rPr>
        <w:t xml:space="preserve"> IPC/A/42/1  BP/A/38/1 VA/A/34/1  WCT/A/21/1  WPPT/A/21/1</w:t>
      </w:r>
      <w:r w:rsidR="00AD54C4">
        <w:rPr>
          <w:rFonts w:ascii="Arial Black" w:hAnsi="Arial Black"/>
          <w:caps/>
          <w:sz w:val="15"/>
          <w:szCs w:val="15"/>
          <w:lang w:val="es-419"/>
        </w:rPr>
        <w:t xml:space="preserve"> plt/a/20/11 </w:t>
      </w:r>
    </w:p>
    <w:p w:rsidR="008B2CC1" w:rsidRPr="00697F86" w:rsidRDefault="00472A6E" w:rsidP="00472A6E">
      <w:pPr>
        <w:jc w:val="right"/>
        <w:rPr>
          <w:lang w:val="es-419"/>
        </w:rPr>
      </w:pPr>
      <w:r w:rsidRPr="00697F86">
        <w:rPr>
          <w:rFonts w:ascii="Arial Black" w:hAnsi="Arial Black"/>
          <w:caps/>
          <w:sz w:val="15"/>
          <w:lang w:val="es-419"/>
        </w:rPr>
        <w:t>ORIGINAL</w:t>
      </w:r>
      <w:r w:rsidR="000814FA" w:rsidRPr="00697F86">
        <w:rPr>
          <w:rFonts w:ascii="Arial Black" w:hAnsi="Arial Black"/>
          <w:caps/>
          <w:sz w:val="15"/>
          <w:lang w:val="es-419"/>
        </w:rPr>
        <w:t xml:space="preserve">: </w:t>
      </w:r>
      <w:bookmarkStart w:id="1" w:name="Original"/>
      <w:r w:rsidR="00697F86" w:rsidRPr="00697F86">
        <w:rPr>
          <w:rFonts w:ascii="Arial Black" w:hAnsi="Arial Black"/>
          <w:caps/>
          <w:sz w:val="15"/>
          <w:lang w:val="es-419"/>
        </w:rPr>
        <w:t>INGLÉS</w:t>
      </w:r>
    </w:p>
    <w:bookmarkEnd w:id="1"/>
    <w:p w:rsidR="008B2CC1" w:rsidRPr="00697F86" w:rsidRDefault="00472A6E" w:rsidP="00FF6963">
      <w:pPr>
        <w:spacing w:after="720"/>
        <w:jc w:val="right"/>
        <w:rPr>
          <w:lang w:val="es-419"/>
        </w:rPr>
      </w:pPr>
      <w:r w:rsidRPr="00697F86">
        <w:rPr>
          <w:rFonts w:ascii="Arial Black" w:hAnsi="Arial Black"/>
          <w:caps/>
          <w:sz w:val="15"/>
          <w:lang w:val="es-419"/>
        </w:rPr>
        <w:t>fecha</w:t>
      </w:r>
      <w:r w:rsidR="000814FA" w:rsidRPr="00697F86">
        <w:rPr>
          <w:rFonts w:ascii="Arial Black" w:hAnsi="Arial Black"/>
          <w:caps/>
          <w:sz w:val="15"/>
          <w:lang w:val="es-419"/>
        </w:rPr>
        <w:t xml:space="preserve">: </w:t>
      </w:r>
      <w:bookmarkStart w:id="2" w:name="Date"/>
      <w:r w:rsidR="00AD54C4">
        <w:rPr>
          <w:rFonts w:ascii="Arial Black" w:hAnsi="Arial Black"/>
          <w:caps/>
          <w:sz w:val="15"/>
          <w:lang w:val="es-419"/>
        </w:rPr>
        <w:t>17</w:t>
      </w:r>
      <w:r w:rsidR="00697F86" w:rsidRPr="00697F86">
        <w:rPr>
          <w:rFonts w:ascii="Arial Black" w:hAnsi="Arial Black"/>
          <w:caps/>
          <w:sz w:val="15"/>
          <w:lang w:val="es-419"/>
        </w:rPr>
        <w:t xml:space="preserve"> DE </w:t>
      </w:r>
      <w:r w:rsidR="00AD54C4">
        <w:rPr>
          <w:rFonts w:ascii="Arial Black" w:hAnsi="Arial Black"/>
          <w:caps/>
          <w:sz w:val="15"/>
          <w:lang w:val="es-419"/>
        </w:rPr>
        <w:t>dic</w:t>
      </w:r>
      <w:r w:rsidR="00697F86" w:rsidRPr="00697F86">
        <w:rPr>
          <w:rFonts w:ascii="Arial Black" w:hAnsi="Arial Black"/>
          <w:caps/>
          <w:sz w:val="15"/>
          <w:lang w:val="es-419"/>
        </w:rPr>
        <w:t>IEMBRE DE 2021</w:t>
      </w:r>
    </w:p>
    <w:bookmarkEnd w:id="2"/>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Conferencia de la OMPI – cuadragésimo se</w:t>
      </w:r>
      <w:r w:rsidR="008747F1" w:rsidRPr="00697F86">
        <w:rPr>
          <w:caps w:val="0"/>
          <w:sz w:val="24"/>
          <w:szCs w:val="24"/>
          <w:lang w:val="es-419"/>
        </w:rPr>
        <w:t>gundo período de sesiones (25.º</w:t>
      </w:r>
      <w:r w:rsidR="00697F86" w:rsidRPr="00697F86">
        <w:rPr>
          <w:caps w:val="0"/>
          <w:sz w:val="24"/>
          <w:szCs w:val="24"/>
          <w:lang w:val="es-419"/>
        </w:rPr>
        <w:t>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Internacional para la Protección de la Propiedad Industrial (Unión de París) – Asamblea – quincuagésimo sé</w:t>
      </w:r>
      <w:r w:rsidR="008747F1" w:rsidRPr="00697F86">
        <w:rPr>
          <w:caps w:val="0"/>
          <w:sz w:val="24"/>
          <w:szCs w:val="24"/>
          <w:lang w:val="es-419"/>
        </w:rPr>
        <w:t>ptimo período de sesiones (25.º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Internacional para la Protección de la Propiedad Industrial (Unión de París) – Comité Ejecutivo – sexagésimo p</w:t>
      </w:r>
      <w:r w:rsidR="008747F1" w:rsidRPr="00697F86">
        <w:rPr>
          <w:caps w:val="0"/>
          <w:sz w:val="24"/>
          <w:szCs w:val="24"/>
          <w:lang w:val="es-419"/>
        </w:rPr>
        <w:t>rimer período de sesiones (57.º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Internacional para la Protección de las Obras Literarias y Artísticas (Unión de Berna) – Asamblea – quincuagésimo p</w:t>
      </w:r>
      <w:r w:rsidR="008747F1" w:rsidRPr="00697F86">
        <w:rPr>
          <w:caps w:val="0"/>
          <w:sz w:val="24"/>
          <w:szCs w:val="24"/>
          <w:lang w:val="es-419"/>
        </w:rPr>
        <w:t>rimer período de sesiones (25.º</w:t>
      </w:r>
      <w:r w:rsidR="00697F86" w:rsidRPr="00697F86">
        <w:rPr>
          <w:caps w:val="0"/>
          <w:sz w:val="24"/>
          <w:szCs w:val="24"/>
          <w:lang w:val="es-419"/>
        </w:rPr>
        <w:t>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Internacional para la Protección de las Obras Literarias y Artísticas (Unión de Berna) – Comité Ejecutivo – sexagésimo séptimo período de sesiones (52.º</w:t>
      </w:r>
      <w:r w:rsidR="00697F86" w:rsidRPr="00697F86">
        <w:rPr>
          <w:caps w:val="0"/>
          <w:sz w:val="24"/>
          <w:szCs w:val="24"/>
          <w:lang w:val="es-419"/>
        </w:rPr>
        <w:t>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Especial para la Clasificación Internacional de Productos y Servicios para el Registro de las Marcas (Unión de Niza) – Asamblea – cuadragésimo p</w:t>
      </w:r>
      <w:r w:rsidR="008747F1" w:rsidRPr="00697F86">
        <w:rPr>
          <w:caps w:val="0"/>
          <w:sz w:val="24"/>
          <w:szCs w:val="24"/>
          <w:lang w:val="es-419"/>
        </w:rPr>
        <w:t>rimer período de sesiones (25.º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 xml:space="preserve">Unión Especial relativa a la Clasificación Internacional para los Dibujos y Modelos Industriales (Unión de </w:t>
      </w:r>
      <w:proofErr w:type="spellStart"/>
      <w:r w:rsidRPr="00697F86">
        <w:rPr>
          <w:caps w:val="0"/>
          <w:sz w:val="24"/>
          <w:szCs w:val="24"/>
          <w:lang w:val="es-419"/>
        </w:rPr>
        <w:t>Locarno</w:t>
      </w:r>
      <w:proofErr w:type="spellEnd"/>
      <w:r w:rsidRPr="00697F86">
        <w:rPr>
          <w:caps w:val="0"/>
          <w:sz w:val="24"/>
          <w:szCs w:val="24"/>
          <w:lang w:val="es-419"/>
        </w:rPr>
        <w:t>) – Asamblea – cuadragésimo p</w:t>
      </w:r>
      <w:r w:rsidR="008747F1" w:rsidRPr="00697F86">
        <w:rPr>
          <w:caps w:val="0"/>
          <w:sz w:val="24"/>
          <w:szCs w:val="24"/>
          <w:lang w:val="es-419"/>
        </w:rPr>
        <w:t>rimer período de sesiones (24.º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Particular para la Clasificación Internacional de Patentes (Unión de la CIP) – Asamblea – cuadragésimo segundo período de sesiones (23</w:t>
      </w:r>
      <w:r w:rsidR="008747F1" w:rsidRPr="00697F86">
        <w:rPr>
          <w:caps w:val="0"/>
          <w:sz w:val="24"/>
          <w:szCs w:val="24"/>
          <w:lang w:val="es-419"/>
        </w:rPr>
        <w:t>.º</w:t>
      </w:r>
      <w:r w:rsidR="006D7050" w:rsidRPr="00697F86">
        <w:rPr>
          <w:caps w:val="0"/>
          <w:sz w:val="24"/>
          <w:szCs w:val="24"/>
          <w:lang w:val="es-419"/>
        </w:rPr>
        <w:t xml:space="preserve"> </w:t>
      </w:r>
      <w:r w:rsidR="008747F1" w:rsidRPr="00697F86">
        <w:rPr>
          <w:caps w:val="0"/>
          <w:sz w:val="24"/>
          <w:szCs w:val="24"/>
          <w:lang w:val="es-419"/>
        </w:rPr>
        <w:t>ordinario</w:t>
      </w:r>
      <w:r w:rsidRPr="00697F86">
        <w:rPr>
          <w:caps w:val="0"/>
          <w:sz w:val="24"/>
          <w:szCs w:val="24"/>
          <w:lang w:val="es-419"/>
        </w:rPr>
        <w:t>)</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para el Reconocimiento Internacional del Depósito de Microorganismos a los fines del Procedimiento en materia de Patentes (Unión de Budapest) – Asamblea – trigésimo octavo período de sesiones (21.º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Unión Especial para la Clasificación Internacional de los elementos figurativos de las marcas (Unión de Viena) –</w:t>
      </w:r>
      <w:r w:rsidRPr="00697F86">
        <w:rPr>
          <w:sz w:val="24"/>
          <w:szCs w:val="24"/>
          <w:lang w:val="es-419"/>
        </w:rPr>
        <w:t xml:space="preserve"> </w:t>
      </w:r>
      <w:r w:rsidRPr="00697F86">
        <w:rPr>
          <w:caps w:val="0"/>
          <w:sz w:val="24"/>
          <w:szCs w:val="24"/>
          <w:lang w:val="es-419"/>
        </w:rPr>
        <w:t>Asamblea – trigésimo cuarto período de sesiones (21.º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lastRenderedPageBreak/>
        <w:t>Tratado de la OMPI sobre Derecho de Autor (WCT) – Asamblea – vigésimo p</w:t>
      </w:r>
      <w:r w:rsidR="008747F1" w:rsidRPr="00697F86">
        <w:rPr>
          <w:caps w:val="0"/>
          <w:sz w:val="24"/>
          <w:szCs w:val="24"/>
          <w:lang w:val="es-419"/>
        </w:rPr>
        <w:t>rimer período de sesiones (10.º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pStyle w:val="Heading1"/>
        <w:keepNext w:val="0"/>
        <w:spacing w:after="320"/>
        <w:rPr>
          <w:caps w:val="0"/>
          <w:sz w:val="24"/>
          <w:szCs w:val="24"/>
          <w:lang w:val="es-419"/>
        </w:rPr>
      </w:pPr>
      <w:r w:rsidRPr="00697F86">
        <w:rPr>
          <w:caps w:val="0"/>
          <w:sz w:val="24"/>
          <w:szCs w:val="24"/>
          <w:lang w:val="es-419"/>
        </w:rPr>
        <w:t>Tratado de la OMPI sobre Interpretación o Ejecución y Fonogramas (WPPT) – Asamblea – vigésimo primer período de sesiones (10.º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pStyle w:val="Heading1"/>
        <w:keepNext w:val="0"/>
        <w:spacing w:before="0" w:after="320"/>
        <w:rPr>
          <w:caps w:val="0"/>
          <w:sz w:val="24"/>
          <w:szCs w:val="24"/>
          <w:lang w:val="es-419"/>
        </w:rPr>
      </w:pPr>
      <w:r w:rsidRPr="00697F86">
        <w:rPr>
          <w:caps w:val="0"/>
          <w:sz w:val="24"/>
          <w:szCs w:val="24"/>
          <w:lang w:val="es-419"/>
        </w:rPr>
        <w:t>Tratado sobre el Derecho de Patentes (PLT) – Asamblea – vi</w:t>
      </w:r>
      <w:r w:rsidR="008747F1" w:rsidRPr="00697F86">
        <w:rPr>
          <w:caps w:val="0"/>
          <w:sz w:val="24"/>
          <w:szCs w:val="24"/>
          <w:lang w:val="es-419"/>
        </w:rPr>
        <w:t>gésimo período de sesiones (9.º</w:t>
      </w:r>
      <w:r w:rsidR="006D7050" w:rsidRPr="00697F86">
        <w:rPr>
          <w:caps w:val="0"/>
          <w:sz w:val="24"/>
          <w:szCs w:val="24"/>
          <w:lang w:val="es-419"/>
        </w:rPr>
        <w:t xml:space="preserve"> </w:t>
      </w:r>
      <w:r w:rsidRPr="00697F86">
        <w:rPr>
          <w:caps w:val="0"/>
          <w:sz w:val="24"/>
          <w:szCs w:val="24"/>
          <w:lang w:val="es-419"/>
        </w:rPr>
        <w:t>ordinario)</w:t>
      </w:r>
    </w:p>
    <w:p w:rsidR="00730A2F" w:rsidRPr="00697F86" w:rsidRDefault="00730A2F" w:rsidP="00730A2F">
      <w:pPr>
        <w:spacing w:after="720"/>
        <w:outlineLvl w:val="1"/>
        <w:rPr>
          <w:b/>
          <w:sz w:val="24"/>
          <w:szCs w:val="24"/>
          <w:lang w:val="es-419"/>
        </w:rPr>
      </w:pPr>
      <w:r w:rsidRPr="00697F86">
        <w:rPr>
          <w:b/>
          <w:sz w:val="24"/>
          <w:szCs w:val="24"/>
          <w:lang w:val="es-419"/>
        </w:rPr>
        <w:t>Ginebra, 4 a 8 de octubre de 2021</w:t>
      </w:r>
    </w:p>
    <w:p w:rsidR="00697F86" w:rsidRPr="00697F86" w:rsidRDefault="00697F86" w:rsidP="00697F86">
      <w:pPr>
        <w:spacing w:after="360"/>
        <w:outlineLvl w:val="0"/>
        <w:rPr>
          <w:caps/>
          <w:sz w:val="24"/>
          <w:lang w:val="es-419"/>
        </w:rPr>
      </w:pPr>
      <w:bookmarkStart w:id="3" w:name="TitleOfDoc"/>
      <w:r w:rsidRPr="00697F86">
        <w:rPr>
          <w:caps/>
          <w:sz w:val="24"/>
          <w:lang w:val="es-419"/>
        </w:rPr>
        <w:t>INFORME</w:t>
      </w:r>
      <w:r w:rsidR="00AD54C4">
        <w:rPr>
          <w:caps/>
          <w:sz w:val="24"/>
          <w:lang w:val="es-419"/>
        </w:rPr>
        <w:t>S</w:t>
      </w:r>
    </w:p>
    <w:p w:rsidR="00697F86" w:rsidRPr="00697F86" w:rsidRDefault="00AD54C4" w:rsidP="00697F86">
      <w:pPr>
        <w:spacing w:after="1040"/>
        <w:rPr>
          <w:i/>
          <w:lang w:val="es-419"/>
        </w:rPr>
      </w:pPr>
      <w:bookmarkStart w:id="4" w:name="Prepared"/>
      <w:bookmarkEnd w:id="3"/>
      <w:bookmarkEnd w:id="4"/>
      <w:r>
        <w:rPr>
          <w:i/>
          <w:lang w:val="es-419"/>
        </w:rPr>
        <w:t xml:space="preserve">aprobados </w:t>
      </w:r>
      <w:r w:rsidR="00697F86" w:rsidRPr="00697F86">
        <w:rPr>
          <w:i/>
          <w:lang w:val="es-419"/>
        </w:rPr>
        <w:t xml:space="preserve">por </w:t>
      </w:r>
      <w:r>
        <w:rPr>
          <w:i/>
          <w:lang w:val="es-419"/>
        </w:rPr>
        <w:t>los órganos respectivos</w:t>
      </w:r>
    </w:p>
    <w:p w:rsidR="00697F86" w:rsidRPr="00697F86" w:rsidRDefault="00697F86" w:rsidP="00697F86">
      <w:pPr>
        <w:pStyle w:val="ONUMFS"/>
        <w:rPr>
          <w:lang w:val="es-419"/>
        </w:rPr>
      </w:pPr>
      <w:r w:rsidRPr="00697F86">
        <w:rPr>
          <w:lang w:val="es-419"/>
        </w:rPr>
        <w:t>Cada uno de los órganos mencionados anteriormente se reunió en los períodos de sesiones indicados con el fin de examinar los siguientes puntos del orden del día consolidado de la sexagésima segunda serie de reuniones de las Asambleas de la OMPI (documento A/62/1): 1, 2, 3, 4, 5, 6, 10.ii), 11, 12, 32 y 33. Además, la Conferencia de la OMPI y los Comités Ejecutivos de las Uniones de París y de Berna examinaron el punto 8.</w:t>
      </w:r>
    </w:p>
    <w:p w:rsidR="00697F86" w:rsidRPr="00697F86" w:rsidRDefault="00697F86" w:rsidP="00697F86">
      <w:pPr>
        <w:pStyle w:val="ONUMFS"/>
        <w:rPr>
          <w:lang w:val="es-419"/>
        </w:rPr>
      </w:pPr>
      <w:r w:rsidRPr="00697F86">
        <w:rPr>
          <w:lang w:val="es-419"/>
        </w:rPr>
        <w:t>Los informes sobre los puntos del orden del día mencionados figuran en el informe general (documento A/62/13).</w:t>
      </w:r>
    </w:p>
    <w:p w:rsidR="00152CEA" w:rsidRPr="00697F86" w:rsidRDefault="00697F86" w:rsidP="00697F86">
      <w:pPr>
        <w:pStyle w:val="Endofdocument-Annex"/>
        <w:spacing w:before="720"/>
        <w:rPr>
          <w:lang w:val="es-419"/>
        </w:rPr>
      </w:pPr>
      <w:r w:rsidRPr="00697F86">
        <w:rPr>
          <w:lang w:val="es-419"/>
        </w:rPr>
        <w:t>[Fin del documento]</w:t>
      </w:r>
    </w:p>
    <w:sectPr w:rsidR="00152CEA" w:rsidRPr="00697F86" w:rsidSect="00697F86">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F86" w:rsidRDefault="00697F86">
      <w:r>
        <w:separator/>
      </w:r>
    </w:p>
  </w:endnote>
  <w:endnote w:type="continuationSeparator" w:id="0">
    <w:p w:rsidR="00697F86" w:rsidRPr="009D30E6" w:rsidRDefault="00697F86" w:rsidP="007E663E">
      <w:pPr>
        <w:rPr>
          <w:sz w:val="17"/>
          <w:szCs w:val="17"/>
        </w:rPr>
      </w:pPr>
      <w:r w:rsidRPr="009D30E6">
        <w:rPr>
          <w:sz w:val="17"/>
          <w:szCs w:val="17"/>
        </w:rPr>
        <w:separator/>
      </w:r>
    </w:p>
    <w:p w:rsidR="00697F86" w:rsidRPr="007E663E" w:rsidRDefault="00697F86" w:rsidP="007E663E">
      <w:pPr>
        <w:spacing w:after="60"/>
        <w:rPr>
          <w:sz w:val="17"/>
          <w:szCs w:val="17"/>
        </w:rPr>
      </w:pPr>
      <w:r>
        <w:rPr>
          <w:sz w:val="17"/>
        </w:rPr>
        <w:t>[Continuación de la nota de la página anterior]</w:t>
      </w:r>
    </w:p>
  </w:endnote>
  <w:endnote w:type="continuationNotice" w:id="1">
    <w:p w:rsidR="00697F86" w:rsidRPr="007E663E" w:rsidRDefault="00697F8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F86" w:rsidRDefault="00697F86">
      <w:r>
        <w:separator/>
      </w:r>
    </w:p>
  </w:footnote>
  <w:footnote w:type="continuationSeparator" w:id="0">
    <w:p w:rsidR="00697F86" w:rsidRPr="009D30E6" w:rsidRDefault="00697F86" w:rsidP="007E663E">
      <w:pPr>
        <w:rPr>
          <w:sz w:val="17"/>
          <w:szCs w:val="17"/>
        </w:rPr>
      </w:pPr>
      <w:r w:rsidRPr="009D30E6">
        <w:rPr>
          <w:sz w:val="17"/>
          <w:szCs w:val="17"/>
        </w:rPr>
        <w:separator/>
      </w:r>
    </w:p>
    <w:p w:rsidR="00697F86" w:rsidRPr="007E663E" w:rsidRDefault="00697F86" w:rsidP="007E663E">
      <w:pPr>
        <w:spacing w:after="60"/>
        <w:rPr>
          <w:sz w:val="17"/>
          <w:szCs w:val="17"/>
        </w:rPr>
      </w:pPr>
      <w:r>
        <w:rPr>
          <w:sz w:val="17"/>
        </w:rPr>
        <w:t>[Continuación de la nota de la página anterior]</w:t>
      </w:r>
    </w:p>
  </w:footnote>
  <w:footnote w:type="continuationNotice" w:id="1">
    <w:p w:rsidR="00697F86" w:rsidRPr="007E663E" w:rsidRDefault="00697F8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F86" w:rsidRPr="002326AB" w:rsidRDefault="00697F86" w:rsidP="00697F86">
    <w:pPr>
      <w:jc w:val="right"/>
      <w:rPr>
        <w:caps/>
      </w:rPr>
    </w:pPr>
    <w:bookmarkStart w:id="5" w:name="Code2"/>
    <w:bookmarkEnd w:id="5"/>
    <w:r w:rsidRPr="00AD54C4">
      <w:rPr>
        <w:caps/>
        <w:lang w:val="en-GB"/>
      </w:rPr>
      <w:t>WO/CF/42/1</w:t>
    </w:r>
    <w:r w:rsidR="00AD54C4">
      <w:rPr>
        <w:caps/>
        <w:lang w:val="en-GB"/>
      </w:rPr>
      <w:t xml:space="preserve">  </w:t>
    </w:r>
    <w:r w:rsidRPr="00AD54C4">
      <w:rPr>
        <w:caps/>
        <w:lang w:val="en-GB"/>
      </w:rPr>
      <w:t xml:space="preserve">P/A/57/1  P/EC/61/1  B/A/51/1  B/EC/67/1 </w:t>
    </w:r>
    <w:r w:rsidR="00AD54C4">
      <w:rPr>
        <w:caps/>
        <w:lang w:val="en-GB"/>
      </w:rPr>
      <w:t xml:space="preserve"> </w:t>
    </w:r>
    <w:r w:rsidRPr="00AD54C4">
      <w:rPr>
        <w:caps/>
        <w:lang w:val="en-GB"/>
      </w:rPr>
      <w:t xml:space="preserve">N/A/41/1  </w:t>
    </w:r>
    <w:r>
      <w:rPr>
        <w:caps/>
      </w:rPr>
      <w:t xml:space="preserve">LO/A/41/1 </w:t>
    </w:r>
    <w:r w:rsidR="00AD54C4">
      <w:rPr>
        <w:caps/>
      </w:rPr>
      <w:t xml:space="preserve"> </w:t>
    </w:r>
    <w:r>
      <w:rPr>
        <w:caps/>
      </w:rPr>
      <w:t>IPC/A/42/1  BP/A/38/1  VA/A/34/1  WCT/A/21/1  WPPT/A/21/1  PLT/A/20/11</w:t>
    </w:r>
  </w:p>
  <w:p w:rsidR="00AE7F20" w:rsidRDefault="00AE7F20" w:rsidP="00477D6B">
    <w:pPr>
      <w:jc w:val="right"/>
    </w:pPr>
    <w:r>
      <w:t xml:space="preserve">página </w:t>
    </w:r>
    <w:r>
      <w:fldChar w:fldCharType="begin"/>
    </w:r>
    <w:r>
      <w:instrText xml:space="preserve"> PAGE  \* MERGEFORMAT </w:instrText>
    </w:r>
    <w:r>
      <w:fldChar w:fldCharType="separate"/>
    </w:r>
    <w:r w:rsidR="007C1392">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86"/>
    <w:rsid w:val="00010686"/>
    <w:rsid w:val="00052915"/>
    <w:rsid w:val="000814FA"/>
    <w:rsid w:val="000E3BB3"/>
    <w:rsid w:val="000F5E56"/>
    <w:rsid w:val="00105C1E"/>
    <w:rsid w:val="001362EE"/>
    <w:rsid w:val="00152CEA"/>
    <w:rsid w:val="001832A6"/>
    <w:rsid w:val="00185E20"/>
    <w:rsid w:val="001D2EFD"/>
    <w:rsid w:val="002634C4"/>
    <w:rsid w:val="002C2E2F"/>
    <w:rsid w:val="002D23B5"/>
    <w:rsid w:val="002E0F47"/>
    <w:rsid w:val="002F4E68"/>
    <w:rsid w:val="002F68E9"/>
    <w:rsid w:val="00310826"/>
    <w:rsid w:val="00354647"/>
    <w:rsid w:val="00377273"/>
    <w:rsid w:val="003845C1"/>
    <w:rsid w:val="00387287"/>
    <w:rsid w:val="00395D75"/>
    <w:rsid w:val="003E48F1"/>
    <w:rsid w:val="003E78AC"/>
    <w:rsid w:val="003F347A"/>
    <w:rsid w:val="00423E3E"/>
    <w:rsid w:val="00427AF4"/>
    <w:rsid w:val="0045231F"/>
    <w:rsid w:val="004647DA"/>
    <w:rsid w:val="0046793F"/>
    <w:rsid w:val="00472A6E"/>
    <w:rsid w:val="00477808"/>
    <w:rsid w:val="00477D6B"/>
    <w:rsid w:val="004A6C37"/>
    <w:rsid w:val="004D16B2"/>
    <w:rsid w:val="004E297D"/>
    <w:rsid w:val="00531B02"/>
    <w:rsid w:val="005332F0"/>
    <w:rsid w:val="0055013B"/>
    <w:rsid w:val="00571B99"/>
    <w:rsid w:val="00590BAA"/>
    <w:rsid w:val="005C0042"/>
    <w:rsid w:val="005F252B"/>
    <w:rsid w:val="00605827"/>
    <w:rsid w:val="00627A42"/>
    <w:rsid w:val="00643FD9"/>
    <w:rsid w:val="00650D63"/>
    <w:rsid w:val="00675021"/>
    <w:rsid w:val="00697F86"/>
    <w:rsid w:val="006A06C6"/>
    <w:rsid w:val="006D1155"/>
    <w:rsid w:val="006D7050"/>
    <w:rsid w:val="007224C8"/>
    <w:rsid w:val="00730A2F"/>
    <w:rsid w:val="00761DE4"/>
    <w:rsid w:val="00763D77"/>
    <w:rsid w:val="00794BE2"/>
    <w:rsid w:val="007A5581"/>
    <w:rsid w:val="007B71FE"/>
    <w:rsid w:val="007C1392"/>
    <w:rsid w:val="007D781E"/>
    <w:rsid w:val="007E663E"/>
    <w:rsid w:val="00815082"/>
    <w:rsid w:val="00840762"/>
    <w:rsid w:val="008747F1"/>
    <w:rsid w:val="0088395E"/>
    <w:rsid w:val="008B2CC1"/>
    <w:rsid w:val="008E6BD6"/>
    <w:rsid w:val="0090731E"/>
    <w:rsid w:val="00951B0D"/>
    <w:rsid w:val="00966A22"/>
    <w:rsid w:val="00972F03"/>
    <w:rsid w:val="0098367F"/>
    <w:rsid w:val="009A0C8B"/>
    <w:rsid w:val="009A20CD"/>
    <w:rsid w:val="009B6241"/>
    <w:rsid w:val="00A16FC0"/>
    <w:rsid w:val="00A32C9E"/>
    <w:rsid w:val="00A3768A"/>
    <w:rsid w:val="00AB613D"/>
    <w:rsid w:val="00AD54C4"/>
    <w:rsid w:val="00AE7F20"/>
    <w:rsid w:val="00B534D5"/>
    <w:rsid w:val="00B65A0A"/>
    <w:rsid w:val="00B67CDC"/>
    <w:rsid w:val="00B72D36"/>
    <w:rsid w:val="00BC4164"/>
    <w:rsid w:val="00BD2DCC"/>
    <w:rsid w:val="00BF5A8E"/>
    <w:rsid w:val="00C21ADF"/>
    <w:rsid w:val="00C90559"/>
    <w:rsid w:val="00CA0500"/>
    <w:rsid w:val="00CA2251"/>
    <w:rsid w:val="00D46260"/>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9441C"/>
    <w:rsid w:val="00FA0F0D"/>
    <w:rsid w:val="00FD59D1"/>
    <w:rsid w:val="00FE7116"/>
    <w:rsid w:val="00FE7B68"/>
    <w:rsid w:val="00FF6963"/>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612E0D6-B0C9-447D-8EF0-D7789DC8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Small%20reports%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Small reports (S)</Template>
  <TotalTime>2</TotalTime>
  <Pages>2</Pages>
  <Words>405</Words>
  <Characters>2405</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WO/CF/42/1   P/A/57/1   P/EC/61/1   B/A/51/1   B/EC/67/1   N/A/41/1   LO/A/41/1  IPC/A/42/1   BP/A/38/1   VA/A/34/1   WCT/A/21/1   WPPT/A/21/1   PLT/A/20/1</vt:lpstr>
    </vt:vector>
  </TitlesOfParts>
  <Company>WIPO</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WO/CF/42/1   P/A/57/1   P/EC/61/1   B/A/51/1   B/EC/67/1   N/A/41/1   LO/A/41/1  IPC/A/42/1   BP/A/38/1   VA/A/34/1   WCT/A/21/1   WPPT/A/21/1   PLT/A/20/1</dc:title>
  <dc:creator>WIPO</dc:creator>
  <cp:keywords>PUBLIC</cp:keywords>
  <cp:lastModifiedBy>HÄFLIGER Patience</cp:lastModifiedBy>
  <cp:revision>4</cp:revision>
  <dcterms:created xsi:type="dcterms:W3CDTF">2021-12-08T14:24:00Z</dcterms:created>
  <dcterms:modified xsi:type="dcterms:W3CDTF">2021-12-09T15:51:00Z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23c4d9ec-06ac-4587-951d-1ff9e2c3dcea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