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A0FC2" w:rsidRPr="006E7B26" w:rsidTr="00D73CDC">
        <w:tc>
          <w:tcPr>
            <w:tcW w:w="4513" w:type="dxa"/>
            <w:tcBorders>
              <w:bottom w:val="single" w:sz="4" w:space="0" w:color="auto"/>
            </w:tcBorders>
            <w:tcMar>
              <w:bottom w:w="170" w:type="dxa"/>
            </w:tcMar>
          </w:tcPr>
          <w:p w:rsidR="000A0FC2" w:rsidRPr="006E7B26" w:rsidRDefault="000A0FC2" w:rsidP="00D73CDC">
            <w:bookmarkStart w:id="0" w:name="_Toc292715060"/>
          </w:p>
        </w:tc>
        <w:tc>
          <w:tcPr>
            <w:tcW w:w="4337" w:type="dxa"/>
            <w:tcBorders>
              <w:bottom w:val="single" w:sz="4" w:space="0" w:color="auto"/>
            </w:tcBorders>
            <w:tcMar>
              <w:left w:w="0" w:type="dxa"/>
              <w:right w:w="0" w:type="dxa"/>
            </w:tcMar>
          </w:tcPr>
          <w:p w:rsidR="000A0FC2" w:rsidRPr="006E7B26" w:rsidRDefault="000A0FC2" w:rsidP="00D73CDC">
            <w:r w:rsidRPr="006E7B26">
              <w:rPr>
                <w:noProof/>
                <w:lang w:val="en-US"/>
              </w:rPr>
              <w:drawing>
                <wp:inline distT="0" distB="0" distL="0" distR="0" wp14:anchorId="763C6C39" wp14:editId="0710C6FD">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A0FC2" w:rsidRPr="006E7B26" w:rsidRDefault="000A0FC2" w:rsidP="00D73CDC">
            <w:pPr>
              <w:jc w:val="right"/>
            </w:pPr>
            <w:r w:rsidRPr="006E7B26">
              <w:rPr>
                <w:b/>
                <w:sz w:val="40"/>
                <w:szCs w:val="40"/>
              </w:rPr>
              <w:t>F</w:t>
            </w:r>
          </w:p>
        </w:tc>
      </w:tr>
      <w:tr w:rsidR="000A0FC2" w:rsidRPr="006E7B26" w:rsidTr="00D73CDC">
        <w:trPr>
          <w:trHeight w:hRule="exact" w:val="340"/>
        </w:trPr>
        <w:tc>
          <w:tcPr>
            <w:tcW w:w="9356" w:type="dxa"/>
            <w:gridSpan w:val="3"/>
            <w:tcBorders>
              <w:top w:val="single" w:sz="4" w:space="0" w:color="auto"/>
            </w:tcBorders>
            <w:tcMar>
              <w:top w:w="170" w:type="dxa"/>
              <w:left w:w="0" w:type="dxa"/>
              <w:right w:w="0" w:type="dxa"/>
            </w:tcMar>
            <w:vAlign w:val="bottom"/>
          </w:tcPr>
          <w:p w:rsidR="000A0FC2" w:rsidRPr="006E7B26" w:rsidRDefault="000A0FC2" w:rsidP="00D73CDC">
            <w:pPr>
              <w:jc w:val="right"/>
              <w:rPr>
                <w:rFonts w:ascii="Arial Black" w:hAnsi="Arial Black"/>
                <w:caps/>
                <w:sz w:val="15"/>
              </w:rPr>
            </w:pPr>
            <w:r w:rsidRPr="006E7B26">
              <w:rPr>
                <w:rFonts w:ascii="Arial Black" w:hAnsi="Arial Black"/>
                <w:caps/>
                <w:sz w:val="15"/>
              </w:rPr>
              <w:t xml:space="preserve">A/55/7    </w:t>
            </w:r>
          </w:p>
        </w:tc>
      </w:tr>
      <w:tr w:rsidR="000A0FC2" w:rsidRPr="006E7B26" w:rsidTr="00D73CDC">
        <w:trPr>
          <w:trHeight w:hRule="exact" w:val="170"/>
        </w:trPr>
        <w:tc>
          <w:tcPr>
            <w:tcW w:w="9356" w:type="dxa"/>
            <w:gridSpan w:val="3"/>
            <w:noWrap/>
            <w:tcMar>
              <w:left w:w="0" w:type="dxa"/>
              <w:right w:w="0" w:type="dxa"/>
            </w:tcMar>
            <w:vAlign w:val="bottom"/>
          </w:tcPr>
          <w:p w:rsidR="000A0FC2" w:rsidRPr="006E7B26" w:rsidRDefault="000A0FC2" w:rsidP="00D73CDC">
            <w:pPr>
              <w:jc w:val="right"/>
              <w:rPr>
                <w:rFonts w:ascii="Arial Black" w:hAnsi="Arial Black"/>
                <w:caps/>
                <w:sz w:val="15"/>
              </w:rPr>
            </w:pPr>
            <w:r w:rsidRPr="006E7B26">
              <w:rPr>
                <w:rFonts w:ascii="Arial Black" w:hAnsi="Arial Black"/>
                <w:caps/>
                <w:sz w:val="15"/>
              </w:rPr>
              <w:t>ORIGINAL : anglais</w:t>
            </w:r>
          </w:p>
        </w:tc>
      </w:tr>
      <w:tr w:rsidR="000A0FC2" w:rsidRPr="006E7B26" w:rsidTr="00D73CDC">
        <w:trPr>
          <w:trHeight w:hRule="exact" w:val="198"/>
        </w:trPr>
        <w:tc>
          <w:tcPr>
            <w:tcW w:w="9356" w:type="dxa"/>
            <w:gridSpan w:val="3"/>
            <w:tcMar>
              <w:left w:w="0" w:type="dxa"/>
              <w:right w:w="0" w:type="dxa"/>
            </w:tcMar>
            <w:vAlign w:val="bottom"/>
          </w:tcPr>
          <w:p w:rsidR="000A0FC2" w:rsidRPr="006E7B26" w:rsidRDefault="000A0FC2" w:rsidP="00D73CDC">
            <w:pPr>
              <w:jc w:val="right"/>
              <w:rPr>
                <w:rFonts w:ascii="Arial Black" w:hAnsi="Arial Black"/>
                <w:caps/>
                <w:sz w:val="15"/>
              </w:rPr>
            </w:pPr>
            <w:r w:rsidRPr="006E7B26">
              <w:rPr>
                <w:rFonts w:ascii="Arial Black" w:hAnsi="Arial Black"/>
                <w:caps/>
                <w:sz w:val="15"/>
              </w:rPr>
              <w:t>DATE : 4 août 2015</w:t>
            </w:r>
          </w:p>
        </w:tc>
      </w:tr>
    </w:tbl>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r w:rsidRPr="006E7B26">
        <w:rPr>
          <w:b/>
          <w:sz w:val="28"/>
          <w:szCs w:val="28"/>
        </w:rPr>
        <w:t>Assemblées des États membres de l’OMPI</w:t>
      </w:r>
    </w:p>
    <w:p w:rsidR="000A0FC2" w:rsidRPr="006E7B26" w:rsidRDefault="000A0FC2" w:rsidP="000A0FC2"/>
    <w:p w:rsidR="000A0FC2" w:rsidRPr="006E7B26" w:rsidRDefault="000A0FC2" w:rsidP="000A0FC2"/>
    <w:p w:rsidR="000A0FC2" w:rsidRPr="006E7B26" w:rsidRDefault="000A0FC2" w:rsidP="000A0FC2">
      <w:pPr>
        <w:rPr>
          <w:b/>
          <w:sz w:val="24"/>
          <w:szCs w:val="24"/>
        </w:rPr>
      </w:pPr>
      <w:r w:rsidRPr="006E7B26">
        <w:rPr>
          <w:b/>
          <w:sz w:val="24"/>
          <w:szCs w:val="24"/>
        </w:rPr>
        <w:t>Cinquante-cinquième série de réunions</w:t>
      </w:r>
    </w:p>
    <w:p w:rsidR="000A0FC2" w:rsidRPr="006E7B26" w:rsidRDefault="000A0FC2" w:rsidP="000A0FC2">
      <w:r w:rsidRPr="006E7B26">
        <w:rPr>
          <w:b/>
          <w:sz w:val="24"/>
          <w:szCs w:val="24"/>
        </w:rPr>
        <w:t>Genève, 5 – 14 octobre 2015</w:t>
      </w:r>
    </w:p>
    <w:p w:rsidR="000A0FC2" w:rsidRPr="006E7B26" w:rsidRDefault="000A0FC2" w:rsidP="000A0FC2"/>
    <w:p w:rsidR="000A0FC2" w:rsidRPr="006E7B26" w:rsidRDefault="000A0FC2" w:rsidP="000A0FC2"/>
    <w:p w:rsidR="000A0FC2" w:rsidRPr="006E7B26" w:rsidRDefault="000A0FC2" w:rsidP="000A0FC2">
      <w:pPr>
        <w:rPr>
          <w:caps/>
          <w:sz w:val="24"/>
        </w:rPr>
      </w:pPr>
      <w:r w:rsidRPr="006E7B26">
        <w:rPr>
          <w:caps/>
          <w:sz w:val="24"/>
        </w:rPr>
        <w:t>Rapport financier annuel et états financiers pour 2014</w:t>
      </w:r>
    </w:p>
    <w:p w:rsidR="000A0FC2" w:rsidRPr="006E7B26" w:rsidRDefault="000A0FC2" w:rsidP="000A0FC2"/>
    <w:p w:rsidR="000A0FC2" w:rsidRPr="006E7B26" w:rsidRDefault="000A0FC2" w:rsidP="000A0FC2">
      <w:pPr>
        <w:rPr>
          <w:i/>
        </w:rPr>
      </w:pPr>
      <w:proofErr w:type="gramStart"/>
      <w:r w:rsidRPr="006E7B26">
        <w:rPr>
          <w:i/>
        </w:rPr>
        <w:t>établi</w:t>
      </w:r>
      <w:proofErr w:type="gramEnd"/>
      <w:r w:rsidRPr="006E7B26">
        <w:rPr>
          <w:i/>
        </w:rPr>
        <w:t xml:space="preserve"> par le Secrétariat</w:t>
      </w:r>
    </w:p>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p w:rsidR="000A0FC2" w:rsidRPr="006E7B26" w:rsidRDefault="000A0FC2" w:rsidP="000A0FC2">
      <w:pPr>
        <w:pStyle w:val="ONUMFS"/>
        <w:numPr>
          <w:ilvl w:val="0"/>
          <w:numId w:val="27"/>
        </w:numPr>
      </w:pPr>
      <w:r w:rsidRPr="006E7B26">
        <w:t>Le présent document contient le rapport financier annuel et les états financiers pour 2014 (document WO/PBC/24/8), qui est soumis au Comité du programme et budget (PBC) de l’OMPI à sa vingt</w:t>
      </w:r>
      <w:r w:rsidRPr="006E7B26">
        <w:noBreakHyphen/>
        <w:t>quatrième session (14 – 18 septembre 2015).</w:t>
      </w:r>
    </w:p>
    <w:p w:rsidR="000A0FC2" w:rsidRPr="006E7B26" w:rsidRDefault="000A0FC2" w:rsidP="000A0FC2">
      <w:pPr>
        <w:pStyle w:val="ONUMFS"/>
        <w:numPr>
          <w:ilvl w:val="0"/>
          <w:numId w:val="27"/>
        </w:numPr>
      </w:pPr>
      <w:r w:rsidRPr="006E7B26">
        <w:t xml:space="preserve">Toutes les décisions du PBC concernant ce document </w:t>
      </w:r>
      <w:r>
        <w:t xml:space="preserve">figureront </w:t>
      </w:r>
      <w:r w:rsidRPr="004D474D">
        <w:t>dans la Liste des décisions prises par le Comité du programme et budget (doc</w:t>
      </w:r>
      <w:r w:rsidRPr="006E7B26">
        <w:t>ument A/55/4</w:t>
      </w:r>
      <w:r>
        <w:t>).</w:t>
      </w:r>
    </w:p>
    <w:p w:rsidR="000A0FC2" w:rsidRPr="006E7B26" w:rsidRDefault="000A0FC2" w:rsidP="000A0FC2">
      <w:pPr>
        <w:pStyle w:val="Endofdocument-Annex"/>
      </w:pPr>
    </w:p>
    <w:p w:rsidR="000A0FC2" w:rsidRPr="006E7B26" w:rsidRDefault="000A0FC2" w:rsidP="000A0FC2">
      <w:pPr>
        <w:pStyle w:val="Endofdocument-Annex"/>
      </w:pPr>
    </w:p>
    <w:p w:rsidR="000A0FC2" w:rsidRPr="006E7B26" w:rsidRDefault="000A0FC2" w:rsidP="000A0FC2">
      <w:pPr>
        <w:pStyle w:val="Endofdocument-Annex"/>
      </w:pPr>
      <w:r w:rsidRPr="006E7B26">
        <w:t>[</w:t>
      </w:r>
      <w:r>
        <w:t>Le d</w:t>
      </w:r>
      <w:r w:rsidRPr="006E7B26">
        <w:t xml:space="preserve">ocument WO/PBC/24/8 </w:t>
      </w:r>
      <w:r>
        <w:t>suit</w:t>
      </w:r>
      <w:r w:rsidRPr="006E7B26">
        <w:t>]</w:t>
      </w:r>
    </w:p>
    <w:p w:rsidR="000A0FC2" w:rsidRPr="006E7B26" w:rsidRDefault="000A0FC2" w:rsidP="000A0FC2"/>
    <w:p w:rsidR="000A0FC2" w:rsidRDefault="000A0FC2"/>
    <w:p w:rsidR="000A0FC2" w:rsidRDefault="000A0FC2">
      <w:r>
        <w:br w:type="page"/>
      </w:r>
    </w:p>
    <w:tbl>
      <w:tblPr>
        <w:tblW w:w="9433" w:type="dxa"/>
        <w:tblInd w:w="108" w:type="dxa"/>
        <w:tblLayout w:type="fixed"/>
        <w:tblLook w:val="01E0" w:firstRow="1" w:lastRow="1" w:firstColumn="1" w:lastColumn="1" w:noHBand="0" w:noVBand="0"/>
      </w:tblPr>
      <w:tblGrid>
        <w:gridCol w:w="4513"/>
        <w:gridCol w:w="4337"/>
        <w:gridCol w:w="583"/>
      </w:tblGrid>
      <w:tr w:rsidR="004A3269" w:rsidRPr="004A3269" w:rsidTr="00F15528">
        <w:tc>
          <w:tcPr>
            <w:tcW w:w="4513" w:type="dxa"/>
            <w:tcBorders>
              <w:bottom w:val="single" w:sz="4" w:space="0" w:color="auto"/>
            </w:tcBorders>
            <w:tcMar>
              <w:bottom w:w="170" w:type="dxa"/>
            </w:tcMar>
          </w:tcPr>
          <w:p w:rsidR="00F15528" w:rsidRPr="004A3269" w:rsidRDefault="00F15528" w:rsidP="00F15528"/>
        </w:tc>
        <w:tc>
          <w:tcPr>
            <w:tcW w:w="4337" w:type="dxa"/>
            <w:tcBorders>
              <w:bottom w:val="single" w:sz="4" w:space="0" w:color="auto"/>
            </w:tcBorders>
            <w:tcMar>
              <w:left w:w="0" w:type="dxa"/>
              <w:right w:w="0" w:type="dxa"/>
            </w:tcMar>
          </w:tcPr>
          <w:p w:rsidR="00F15528" w:rsidRPr="004A3269" w:rsidRDefault="00F15528" w:rsidP="00F15528">
            <w:r w:rsidRPr="004A3269">
              <w:rPr>
                <w:noProof/>
                <w:lang w:val="en-US"/>
              </w:rPr>
              <w:drawing>
                <wp:inline distT="0" distB="0" distL="0" distR="0" wp14:anchorId="63E92F92" wp14:editId="03D2EE8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F15528" w:rsidRPr="004A3269" w:rsidRDefault="00F15528" w:rsidP="00F15528">
            <w:pPr>
              <w:jc w:val="right"/>
            </w:pPr>
            <w:r w:rsidRPr="004A3269">
              <w:rPr>
                <w:b/>
                <w:sz w:val="40"/>
                <w:szCs w:val="40"/>
              </w:rPr>
              <w:t>F</w:t>
            </w:r>
          </w:p>
        </w:tc>
      </w:tr>
      <w:tr w:rsidR="004A3269" w:rsidRPr="004A3269" w:rsidTr="00F15528">
        <w:trPr>
          <w:trHeight w:hRule="exact" w:val="340"/>
        </w:trPr>
        <w:tc>
          <w:tcPr>
            <w:tcW w:w="9433" w:type="dxa"/>
            <w:gridSpan w:val="3"/>
            <w:tcBorders>
              <w:top w:val="single" w:sz="4" w:space="0" w:color="auto"/>
            </w:tcBorders>
            <w:tcMar>
              <w:top w:w="170" w:type="dxa"/>
              <w:left w:w="0" w:type="dxa"/>
              <w:right w:w="0" w:type="dxa"/>
            </w:tcMar>
            <w:vAlign w:val="bottom"/>
          </w:tcPr>
          <w:p w:rsidR="00F15528" w:rsidRPr="004A3269" w:rsidRDefault="00F15528" w:rsidP="00F15528">
            <w:pPr>
              <w:jc w:val="right"/>
              <w:rPr>
                <w:rFonts w:ascii="Arial Black" w:hAnsi="Arial Black"/>
                <w:caps/>
                <w:sz w:val="15"/>
              </w:rPr>
            </w:pPr>
            <w:r w:rsidRPr="004A3269">
              <w:rPr>
                <w:rFonts w:ascii="Arial Black" w:hAnsi="Arial Black"/>
                <w:caps/>
                <w:sz w:val="15"/>
              </w:rPr>
              <w:t>wo/pbc/24/</w:t>
            </w:r>
            <w:bookmarkStart w:id="1" w:name="Code"/>
            <w:bookmarkEnd w:id="1"/>
            <w:r w:rsidRPr="004A3269">
              <w:rPr>
                <w:rFonts w:ascii="Arial Black" w:hAnsi="Arial Black"/>
                <w:caps/>
                <w:sz w:val="15"/>
              </w:rPr>
              <w:t>8</w:t>
            </w:r>
          </w:p>
        </w:tc>
      </w:tr>
      <w:tr w:rsidR="004A3269" w:rsidRPr="004A3269" w:rsidTr="00F15528">
        <w:trPr>
          <w:trHeight w:hRule="exact" w:val="170"/>
        </w:trPr>
        <w:tc>
          <w:tcPr>
            <w:tcW w:w="9433" w:type="dxa"/>
            <w:gridSpan w:val="3"/>
            <w:noWrap/>
            <w:tcMar>
              <w:left w:w="0" w:type="dxa"/>
              <w:right w:w="0" w:type="dxa"/>
            </w:tcMar>
            <w:vAlign w:val="bottom"/>
          </w:tcPr>
          <w:p w:rsidR="00F15528" w:rsidRPr="004A3269" w:rsidRDefault="00F15528" w:rsidP="00F15528">
            <w:pPr>
              <w:jc w:val="right"/>
              <w:rPr>
                <w:rFonts w:ascii="Arial Black" w:hAnsi="Arial Black"/>
                <w:caps/>
                <w:sz w:val="15"/>
              </w:rPr>
            </w:pPr>
            <w:bookmarkStart w:id="2" w:name="Original"/>
            <w:bookmarkEnd w:id="2"/>
            <w:r w:rsidRPr="004A3269">
              <w:rPr>
                <w:rFonts w:ascii="Arial Black" w:hAnsi="Arial Black"/>
                <w:caps/>
                <w:sz w:val="15"/>
              </w:rPr>
              <w:t xml:space="preserve">ORIGINAL : anglais </w:t>
            </w:r>
          </w:p>
        </w:tc>
      </w:tr>
      <w:tr w:rsidR="004A3269" w:rsidRPr="004A3269" w:rsidTr="00F15528">
        <w:trPr>
          <w:trHeight w:hRule="exact" w:val="198"/>
        </w:trPr>
        <w:tc>
          <w:tcPr>
            <w:tcW w:w="9433" w:type="dxa"/>
            <w:gridSpan w:val="3"/>
            <w:tcMar>
              <w:left w:w="0" w:type="dxa"/>
              <w:right w:w="0" w:type="dxa"/>
            </w:tcMar>
            <w:vAlign w:val="bottom"/>
          </w:tcPr>
          <w:p w:rsidR="00F15528" w:rsidRPr="004A3269" w:rsidRDefault="00F15528" w:rsidP="00F15528">
            <w:pPr>
              <w:jc w:val="right"/>
              <w:rPr>
                <w:rFonts w:ascii="Arial Black" w:hAnsi="Arial Black"/>
                <w:caps/>
                <w:sz w:val="15"/>
              </w:rPr>
            </w:pPr>
            <w:r w:rsidRPr="004A3269">
              <w:rPr>
                <w:rFonts w:ascii="Arial Black" w:hAnsi="Arial Black"/>
                <w:caps/>
                <w:sz w:val="15"/>
              </w:rPr>
              <w:t xml:space="preserve">DATE : </w:t>
            </w:r>
            <w:bookmarkStart w:id="3" w:name="Date"/>
            <w:bookmarkEnd w:id="3"/>
            <w:r w:rsidRPr="004A3269">
              <w:rPr>
                <w:rFonts w:ascii="Arial Black" w:hAnsi="Arial Black"/>
                <w:caps/>
                <w:sz w:val="15"/>
              </w:rPr>
              <w:t>10 juillet 2015</w:t>
            </w:r>
          </w:p>
        </w:tc>
      </w:tr>
    </w:tbl>
    <w:p w:rsidR="00267140" w:rsidRPr="004A3269" w:rsidRDefault="00267140" w:rsidP="00F15528"/>
    <w:p w:rsidR="00267140" w:rsidRPr="004A3269" w:rsidRDefault="00267140" w:rsidP="00F15528"/>
    <w:p w:rsidR="00267140" w:rsidRPr="004A3269" w:rsidRDefault="00267140" w:rsidP="00F15528"/>
    <w:p w:rsidR="00267140" w:rsidRPr="004A3269" w:rsidRDefault="00267140" w:rsidP="00F15528"/>
    <w:p w:rsidR="00267140" w:rsidRPr="004A3269" w:rsidRDefault="00267140" w:rsidP="00F15528"/>
    <w:p w:rsidR="00267140" w:rsidRPr="004A3269" w:rsidRDefault="00F15528" w:rsidP="00F15528">
      <w:pPr>
        <w:rPr>
          <w:b/>
          <w:sz w:val="28"/>
          <w:szCs w:val="28"/>
        </w:rPr>
      </w:pPr>
      <w:r w:rsidRPr="004A3269">
        <w:rPr>
          <w:b/>
          <w:sz w:val="28"/>
          <w:szCs w:val="28"/>
        </w:rPr>
        <w:t>Comit</w:t>
      </w:r>
      <w:r w:rsidRPr="004A3269">
        <w:rPr>
          <w:rFonts w:cs="Simplified Arabic"/>
          <w:b/>
          <w:sz w:val="28"/>
          <w:szCs w:val="28"/>
        </w:rPr>
        <w:t>é</w:t>
      </w:r>
      <w:r w:rsidRPr="004A3269">
        <w:rPr>
          <w:b/>
          <w:sz w:val="28"/>
          <w:szCs w:val="28"/>
        </w:rPr>
        <w:t xml:space="preserve"> du programme et budget</w:t>
      </w:r>
    </w:p>
    <w:p w:rsidR="00267140" w:rsidRPr="004A3269" w:rsidRDefault="00267140" w:rsidP="00F15528"/>
    <w:p w:rsidR="00267140" w:rsidRPr="004A3269" w:rsidRDefault="00267140" w:rsidP="00F15528"/>
    <w:p w:rsidR="00267140" w:rsidRPr="004A3269" w:rsidRDefault="00F15528" w:rsidP="00F15528">
      <w:pPr>
        <w:rPr>
          <w:b/>
          <w:sz w:val="24"/>
          <w:szCs w:val="24"/>
        </w:rPr>
      </w:pPr>
      <w:r w:rsidRPr="004A3269">
        <w:rPr>
          <w:b/>
          <w:bCs/>
          <w:sz w:val="24"/>
          <w:szCs w:val="24"/>
        </w:rPr>
        <w:t>Vingt</w:t>
      </w:r>
      <w:r w:rsidR="00A17552" w:rsidRPr="004A3269">
        <w:rPr>
          <w:b/>
          <w:bCs/>
          <w:sz w:val="24"/>
          <w:szCs w:val="24"/>
        </w:rPr>
        <w:noBreakHyphen/>
      </w:r>
      <w:r w:rsidRPr="004A3269">
        <w:rPr>
          <w:b/>
          <w:bCs/>
          <w:sz w:val="24"/>
          <w:szCs w:val="24"/>
        </w:rPr>
        <w:t>quatrième se</w:t>
      </w:r>
      <w:r w:rsidRPr="004A3269">
        <w:rPr>
          <w:b/>
          <w:sz w:val="24"/>
          <w:szCs w:val="24"/>
        </w:rPr>
        <w:t>ssion</w:t>
      </w:r>
    </w:p>
    <w:p w:rsidR="00267140" w:rsidRPr="004A3269" w:rsidRDefault="00F15528" w:rsidP="00F15528">
      <w:pPr>
        <w:rPr>
          <w:b/>
          <w:sz w:val="24"/>
          <w:szCs w:val="24"/>
        </w:rPr>
      </w:pPr>
      <w:r w:rsidRPr="004A3269">
        <w:rPr>
          <w:b/>
          <w:sz w:val="24"/>
          <w:szCs w:val="24"/>
        </w:rPr>
        <w:t>Genève, 14 – 18 septembre 2015</w:t>
      </w:r>
    </w:p>
    <w:p w:rsidR="00267140" w:rsidRPr="004A3269" w:rsidRDefault="00267140" w:rsidP="00F15528"/>
    <w:p w:rsidR="00267140" w:rsidRPr="004A3269" w:rsidRDefault="00267140" w:rsidP="00F15528"/>
    <w:p w:rsidR="00267140" w:rsidRPr="004A3269" w:rsidRDefault="00267140" w:rsidP="00F15528"/>
    <w:p w:rsidR="00267140" w:rsidRPr="004A3269" w:rsidRDefault="00267140" w:rsidP="00267140">
      <w:pPr>
        <w:rPr>
          <w:rFonts w:eastAsia="SimSun"/>
          <w:caps/>
          <w:lang w:eastAsia="zh-CN"/>
        </w:rPr>
      </w:pPr>
      <w:r w:rsidRPr="004A3269">
        <w:rPr>
          <w:rFonts w:eastAsia="SimSun"/>
          <w:caps/>
          <w:lang w:eastAsia="zh-CN"/>
        </w:rPr>
        <w:t>Rapport financier annuel et états financiers pour</w:t>
      </w:r>
      <w:r w:rsidR="00067463" w:rsidRPr="004A3269">
        <w:rPr>
          <w:rFonts w:eastAsia="SimSun"/>
          <w:caps/>
          <w:lang w:eastAsia="zh-CN"/>
        </w:rPr>
        <w:t> </w:t>
      </w:r>
      <w:r w:rsidRPr="004A3269">
        <w:rPr>
          <w:rFonts w:eastAsia="SimSun"/>
          <w:caps/>
          <w:lang w:eastAsia="zh-CN"/>
        </w:rPr>
        <w:t>2014</w:t>
      </w:r>
    </w:p>
    <w:p w:rsidR="00267140" w:rsidRPr="004A3269" w:rsidRDefault="00267140" w:rsidP="00E337BC">
      <w:pPr>
        <w:rPr>
          <w:rFonts w:eastAsia="SimSun"/>
          <w:lang w:eastAsia="zh-CN"/>
        </w:rPr>
      </w:pPr>
    </w:p>
    <w:p w:rsidR="00267140" w:rsidRPr="004A3269" w:rsidRDefault="00267140" w:rsidP="00267140">
      <w:pPr>
        <w:rPr>
          <w:rFonts w:eastAsia="SimSun"/>
          <w:i/>
          <w:lang w:eastAsia="zh-CN"/>
        </w:rPr>
      </w:pPr>
      <w:bookmarkStart w:id="4" w:name="Prepared"/>
      <w:bookmarkEnd w:id="4"/>
      <w:proofErr w:type="gramStart"/>
      <w:r w:rsidRPr="004A3269">
        <w:rPr>
          <w:rFonts w:eastAsia="SimSun"/>
          <w:i/>
          <w:lang w:eastAsia="zh-CN"/>
        </w:rPr>
        <w:t>établi</w:t>
      </w:r>
      <w:proofErr w:type="gramEnd"/>
      <w:r w:rsidRPr="004A3269">
        <w:rPr>
          <w:rFonts w:eastAsia="SimSun"/>
          <w:i/>
          <w:lang w:eastAsia="zh-CN"/>
        </w:rPr>
        <w:t xml:space="preserve"> par le Secrétariat</w:t>
      </w:r>
    </w:p>
    <w:p w:rsidR="00267140" w:rsidRPr="004A3269" w:rsidRDefault="00267140" w:rsidP="00E337BC">
      <w:pPr>
        <w:rPr>
          <w:rFonts w:eastAsia="SimSun"/>
          <w:lang w:eastAsia="zh-CN"/>
        </w:rPr>
      </w:pPr>
    </w:p>
    <w:p w:rsidR="00267140" w:rsidRPr="004A3269" w:rsidRDefault="00267140" w:rsidP="00E337BC">
      <w:pPr>
        <w:rPr>
          <w:rFonts w:eastAsia="SimSun"/>
          <w:lang w:eastAsia="zh-CN"/>
        </w:rPr>
      </w:pPr>
    </w:p>
    <w:p w:rsidR="00267140" w:rsidRPr="004A3269" w:rsidRDefault="00267140" w:rsidP="00E337BC">
      <w:pPr>
        <w:rPr>
          <w:rFonts w:eastAsia="SimSun"/>
          <w:lang w:eastAsia="zh-CN"/>
        </w:rPr>
      </w:pPr>
    </w:p>
    <w:p w:rsidR="00267140" w:rsidRPr="004A3269" w:rsidRDefault="00267140" w:rsidP="003D7C06">
      <w:pPr>
        <w:pStyle w:val="ONUMFS"/>
        <w:rPr>
          <w:rFonts w:eastAsia="SimSun"/>
          <w:lang w:eastAsia="zh-CN"/>
        </w:rPr>
      </w:pPr>
      <w:r w:rsidRPr="004A3269">
        <w:rPr>
          <w:rFonts w:eastAsia="SimSun"/>
          <w:lang w:eastAsia="zh-CN"/>
        </w:rPr>
        <w:t>Les états financiers de l</w:t>
      </w:r>
      <w:r w:rsidR="009021AA" w:rsidRPr="004A3269">
        <w:rPr>
          <w:rFonts w:eastAsia="SimSun"/>
          <w:lang w:eastAsia="zh-CN"/>
        </w:rPr>
        <w:t>’</w:t>
      </w:r>
      <w:r w:rsidRPr="004A3269">
        <w:rPr>
          <w:rFonts w:eastAsia="SimSun"/>
          <w:lang w:eastAsia="zh-CN"/>
        </w:rPr>
        <w:t>Organisation Mondiale de la Propriété Intellectuelle (OMPI) au 31</w:t>
      </w:r>
      <w:r w:rsidR="00154F46" w:rsidRPr="004A3269">
        <w:rPr>
          <w:rFonts w:eastAsia="SimSun"/>
          <w:lang w:eastAsia="zh-CN"/>
        </w:rPr>
        <w:t> </w:t>
      </w:r>
      <w:r w:rsidRPr="004A3269">
        <w:rPr>
          <w:rFonts w:eastAsia="SimSun"/>
          <w:lang w:eastAsia="zh-CN"/>
        </w:rPr>
        <w:t>décembre</w:t>
      </w:r>
      <w:r w:rsidR="00154F46" w:rsidRPr="004A3269">
        <w:rPr>
          <w:rFonts w:eastAsia="SimSun"/>
          <w:lang w:eastAsia="zh-CN"/>
        </w:rPr>
        <w:t> </w:t>
      </w:r>
      <w:r w:rsidRPr="004A3269">
        <w:rPr>
          <w:rFonts w:eastAsia="SimSun"/>
          <w:lang w:eastAsia="zh-CN"/>
        </w:rPr>
        <w:t>2014 sont communiqués au Comité du programme et budget (PBC) conformément à l</w:t>
      </w:r>
      <w:r w:rsidR="009021AA" w:rsidRPr="004A3269">
        <w:rPr>
          <w:rFonts w:eastAsia="SimSun"/>
          <w:lang w:eastAsia="zh-CN"/>
        </w:rPr>
        <w:t>’</w:t>
      </w:r>
      <w:r w:rsidRPr="004A3269">
        <w:rPr>
          <w:rFonts w:eastAsia="SimSun"/>
          <w:lang w:eastAsia="zh-CN"/>
        </w:rPr>
        <w:t>article</w:t>
      </w:r>
      <w:r w:rsidR="00154F46" w:rsidRPr="004A3269">
        <w:rPr>
          <w:rFonts w:eastAsia="SimSun"/>
          <w:lang w:eastAsia="zh-CN"/>
        </w:rPr>
        <w:t> </w:t>
      </w:r>
      <w:r w:rsidRPr="004A3269">
        <w:rPr>
          <w:rFonts w:eastAsia="SimSun"/>
          <w:lang w:eastAsia="zh-CN"/>
        </w:rPr>
        <w:t>8.11 du Règlement financier selon lequel</w:t>
      </w:r>
      <w:r w:rsidR="009021AA" w:rsidRPr="004A3269">
        <w:rPr>
          <w:rFonts w:eastAsia="SimSun"/>
          <w:lang w:eastAsia="zh-CN"/>
        </w:rPr>
        <w:t xml:space="preserve"> le PBC</w:t>
      </w:r>
      <w:r w:rsidRPr="004A3269">
        <w:rPr>
          <w:rFonts w:eastAsia="SimSun"/>
          <w:lang w:eastAsia="zh-CN"/>
        </w:rPr>
        <w:t xml:space="preserve"> examine les états financiers et les rapports de vérification des comptes et les transmet à l</w:t>
      </w:r>
      <w:r w:rsidR="009021AA" w:rsidRPr="004A3269">
        <w:rPr>
          <w:rFonts w:eastAsia="SimSun"/>
          <w:lang w:eastAsia="zh-CN"/>
        </w:rPr>
        <w:t>’</w:t>
      </w:r>
      <w:r w:rsidRPr="004A3269">
        <w:rPr>
          <w:rFonts w:eastAsia="SimSun"/>
          <w:lang w:eastAsia="zh-CN"/>
        </w:rPr>
        <w:t>Assemblée générale avec les observations et les recommandations qu</w:t>
      </w:r>
      <w:r w:rsidR="009021AA" w:rsidRPr="004A3269">
        <w:rPr>
          <w:rFonts w:eastAsia="SimSun"/>
          <w:lang w:eastAsia="zh-CN"/>
        </w:rPr>
        <w:t>’</w:t>
      </w:r>
      <w:r w:rsidRPr="004A3269">
        <w:rPr>
          <w:rFonts w:eastAsia="SimSun"/>
          <w:lang w:eastAsia="zh-CN"/>
        </w:rPr>
        <w:t>il estime appropriées.</w:t>
      </w:r>
    </w:p>
    <w:p w:rsidR="00267140" w:rsidRPr="004A3269" w:rsidRDefault="003F4B8C" w:rsidP="003D7C06">
      <w:pPr>
        <w:pStyle w:val="ONUMFS"/>
        <w:rPr>
          <w:rFonts w:eastAsia="SimSun"/>
          <w:lang w:eastAsia="zh-CN"/>
        </w:rPr>
      </w:pPr>
      <w:r w:rsidRPr="004A3269">
        <w:rPr>
          <w:rFonts w:eastAsia="SimSun"/>
          <w:lang w:eastAsia="zh-CN"/>
        </w:rPr>
        <w:t>Les états financiers pour</w:t>
      </w:r>
      <w:r w:rsidR="00067463" w:rsidRPr="004A3269">
        <w:rPr>
          <w:rFonts w:eastAsia="SimSun"/>
          <w:lang w:eastAsia="zh-CN"/>
        </w:rPr>
        <w:t> </w:t>
      </w:r>
      <w:r w:rsidRPr="004A3269">
        <w:rPr>
          <w:rFonts w:eastAsia="SimSun"/>
          <w:lang w:eastAsia="zh-CN"/>
        </w:rPr>
        <w:t>2014 ont été établis conformément aux Normes comptables internationales du secteur public (normes</w:t>
      </w:r>
      <w:r w:rsidR="00067463" w:rsidRPr="004A3269">
        <w:rPr>
          <w:rFonts w:eastAsia="SimSun"/>
          <w:lang w:eastAsia="zh-CN"/>
        </w:rPr>
        <w:t> </w:t>
      </w:r>
      <w:r w:rsidRPr="004A3269">
        <w:rPr>
          <w:rFonts w:eastAsia="SimSun"/>
          <w:lang w:eastAsia="zh-CN"/>
        </w:rPr>
        <w:t>IPSAS).</w:t>
      </w:r>
      <w:r w:rsidR="00E337BC" w:rsidRPr="004A3269">
        <w:rPr>
          <w:rFonts w:eastAsia="SimSun"/>
        </w:rPr>
        <w:t xml:space="preserve">  </w:t>
      </w:r>
      <w:r w:rsidR="00154F46" w:rsidRPr="004A3269">
        <w:rPr>
          <w:rFonts w:eastAsia="SimSun"/>
          <w:lang w:eastAsia="zh-CN"/>
        </w:rPr>
        <w:t>À la quarante</w:t>
      </w:r>
      <w:r w:rsidR="00A17552" w:rsidRPr="004A3269">
        <w:rPr>
          <w:rFonts w:eastAsia="SimSun"/>
          <w:lang w:eastAsia="zh-CN"/>
        </w:rPr>
        <w:noBreakHyphen/>
      </w:r>
      <w:r w:rsidRPr="004A3269">
        <w:rPr>
          <w:rFonts w:eastAsia="SimSun"/>
          <w:lang w:eastAsia="zh-CN"/>
        </w:rPr>
        <w:t>troisième série de réunions des assemblées, tenue du 24</w:t>
      </w:r>
      <w:r w:rsidR="00154F46" w:rsidRPr="004A3269">
        <w:rPr>
          <w:rFonts w:eastAsia="SimSun"/>
          <w:lang w:eastAsia="zh-CN"/>
        </w:rPr>
        <w:t> </w:t>
      </w:r>
      <w:r w:rsidRPr="004A3269">
        <w:rPr>
          <w:rFonts w:eastAsia="SimSun"/>
          <w:lang w:eastAsia="zh-CN"/>
        </w:rPr>
        <w:t>septembre au 3</w:t>
      </w:r>
      <w:r w:rsidR="00154F46" w:rsidRPr="004A3269">
        <w:rPr>
          <w:rFonts w:eastAsia="SimSun"/>
          <w:lang w:eastAsia="zh-CN"/>
        </w:rPr>
        <w:t> </w:t>
      </w:r>
      <w:r w:rsidRPr="004A3269">
        <w:rPr>
          <w:rFonts w:eastAsia="SimSun"/>
          <w:lang w:eastAsia="zh-CN"/>
        </w:rPr>
        <w:t>octobre</w:t>
      </w:r>
      <w:r w:rsidR="00154F46" w:rsidRPr="004A3269">
        <w:rPr>
          <w:rFonts w:eastAsia="SimSun"/>
          <w:lang w:eastAsia="zh-CN"/>
        </w:rPr>
        <w:t> </w:t>
      </w:r>
      <w:r w:rsidRPr="004A3269">
        <w:rPr>
          <w:rFonts w:eastAsia="SimSun"/>
          <w:lang w:eastAsia="zh-CN"/>
        </w:rPr>
        <w:t>2007, les États membres ont approuvé le principe de l</w:t>
      </w:r>
      <w:r w:rsidR="009021AA" w:rsidRPr="004A3269">
        <w:rPr>
          <w:rFonts w:eastAsia="SimSun"/>
          <w:lang w:eastAsia="zh-CN"/>
        </w:rPr>
        <w:t>’</w:t>
      </w:r>
      <w:r w:rsidRPr="004A3269">
        <w:rPr>
          <w:rFonts w:eastAsia="SimSun"/>
          <w:lang w:eastAsia="zh-CN"/>
        </w:rPr>
        <w:t>adoption par l</w:t>
      </w:r>
      <w:r w:rsidR="009021AA" w:rsidRPr="004A3269">
        <w:rPr>
          <w:rFonts w:eastAsia="SimSun"/>
          <w:lang w:eastAsia="zh-CN"/>
        </w:rPr>
        <w:t>’</w:t>
      </w:r>
      <w:r w:rsidRPr="004A3269">
        <w:rPr>
          <w:rFonts w:eastAsia="SimSun"/>
          <w:lang w:eastAsia="zh-CN"/>
        </w:rPr>
        <w:t>OMPI des normes</w:t>
      </w:r>
      <w:r w:rsidR="00067463" w:rsidRPr="004A3269">
        <w:rPr>
          <w:rFonts w:eastAsia="SimSun"/>
          <w:lang w:eastAsia="zh-CN"/>
        </w:rPr>
        <w:t> </w:t>
      </w:r>
      <w:r w:rsidRPr="004A3269">
        <w:rPr>
          <w:rFonts w:eastAsia="SimSun"/>
          <w:lang w:eastAsia="zh-CN"/>
        </w:rPr>
        <w:t>IPSAS d</w:t>
      </w:r>
      <w:r w:rsidR="009021AA" w:rsidRPr="004A3269">
        <w:rPr>
          <w:rFonts w:eastAsia="SimSun"/>
          <w:lang w:eastAsia="zh-CN"/>
        </w:rPr>
        <w:t>’</w:t>
      </w:r>
      <w:r w:rsidRPr="004A3269">
        <w:rPr>
          <w:rFonts w:eastAsia="SimSun"/>
          <w:lang w:eastAsia="zh-CN"/>
        </w:rPr>
        <w:t>ici à</w:t>
      </w:r>
      <w:r w:rsidR="00154F46" w:rsidRPr="004A3269">
        <w:rPr>
          <w:rFonts w:eastAsia="SimSun"/>
          <w:lang w:eastAsia="zh-CN"/>
        </w:rPr>
        <w:t> </w:t>
      </w:r>
      <w:r w:rsidRPr="004A3269">
        <w:rPr>
          <w:rFonts w:eastAsia="SimSun"/>
          <w:lang w:eastAsia="zh-CN"/>
        </w:rPr>
        <w:t>2010 (document A/43/5).</w:t>
      </w:r>
      <w:r w:rsidR="00E337BC" w:rsidRPr="004A3269">
        <w:rPr>
          <w:rFonts w:eastAsia="SimSun"/>
        </w:rPr>
        <w:t xml:space="preserve">  </w:t>
      </w:r>
      <w:r w:rsidRPr="004A3269">
        <w:rPr>
          <w:rFonts w:eastAsia="SimSun"/>
          <w:lang w:eastAsia="zh-CN"/>
        </w:rPr>
        <w:t>Les états financiers pour</w:t>
      </w:r>
      <w:r w:rsidR="00067463" w:rsidRPr="004A3269">
        <w:rPr>
          <w:rFonts w:eastAsia="SimSun"/>
          <w:lang w:eastAsia="zh-CN"/>
        </w:rPr>
        <w:t> </w:t>
      </w:r>
      <w:r w:rsidRPr="004A3269">
        <w:rPr>
          <w:rFonts w:eastAsia="SimSun"/>
          <w:lang w:eastAsia="zh-CN"/>
        </w:rPr>
        <w:t>2014 constituent la cinquième série d</w:t>
      </w:r>
      <w:r w:rsidR="009021AA" w:rsidRPr="004A3269">
        <w:rPr>
          <w:rFonts w:eastAsia="SimSun"/>
          <w:lang w:eastAsia="zh-CN"/>
        </w:rPr>
        <w:t>’</w:t>
      </w:r>
      <w:r w:rsidRPr="004A3269">
        <w:rPr>
          <w:rFonts w:eastAsia="SimSun"/>
          <w:lang w:eastAsia="zh-CN"/>
        </w:rPr>
        <w:t>états financiers établis conformément aux normes</w:t>
      </w:r>
      <w:r w:rsidR="00067463" w:rsidRPr="004A3269">
        <w:rPr>
          <w:rFonts w:eastAsia="SimSun"/>
          <w:lang w:eastAsia="zh-CN"/>
        </w:rPr>
        <w:t> </w:t>
      </w:r>
      <w:r w:rsidRPr="004A3269">
        <w:rPr>
          <w:rFonts w:eastAsia="SimSun"/>
          <w:lang w:eastAsia="zh-CN"/>
        </w:rPr>
        <w:t>IPSAS.</w:t>
      </w:r>
    </w:p>
    <w:p w:rsidR="00267140" w:rsidRPr="004A3269" w:rsidRDefault="003F4B8C" w:rsidP="003D7C06">
      <w:pPr>
        <w:pStyle w:val="ONUMFS"/>
        <w:rPr>
          <w:rFonts w:eastAsia="SimSun"/>
          <w:lang w:eastAsia="zh-CN"/>
        </w:rPr>
      </w:pPr>
      <w:r w:rsidRPr="004A3269">
        <w:rPr>
          <w:rFonts w:eastAsia="SimSun"/>
          <w:lang w:eastAsia="zh-CN"/>
        </w:rPr>
        <w:t>Le rapport du vérificateur externe des comptes sur la vérification des états financiers de</w:t>
      </w:r>
      <w:r w:rsidR="00067463" w:rsidRPr="004A3269">
        <w:rPr>
          <w:rFonts w:eastAsia="SimSun"/>
          <w:lang w:eastAsia="zh-CN"/>
        </w:rPr>
        <w:t> </w:t>
      </w:r>
      <w:r w:rsidRPr="004A3269">
        <w:rPr>
          <w:rFonts w:eastAsia="SimSun"/>
          <w:lang w:eastAsia="zh-CN"/>
        </w:rPr>
        <w:t>2014, ainsi que ses recommandations et les réponses du Secrétariat à celles</w:t>
      </w:r>
      <w:r w:rsidR="00A17552" w:rsidRPr="004A3269">
        <w:rPr>
          <w:rFonts w:eastAsia="SimSun"/>
          <w:lang w:eastAsia="zh-CN"/>
        </w:rPr>
        <w:noBreakHyphen/>
      </w:r>
      <w:r w:rsidRPr="004A3269">
        <w:rPr>
          <w:rFonts w:eastAsia="SimSun"/>
          <w:lang w:eastAsia="zh-CN"/>
        </w:rPr>
        <w:t>ci, figurent dans le document WO/PBC/24/5.</w:t>
      </w:r>
    </w:p>
    <w:p w:rsidR="00267140" w:rsidRPr="004A3269" w:rsidRDefault="003F4B8C" w:rsidP="003D7C06">
      <w:pPr>
        <w:pStyle w:val="ONUMFS"/>
        <w:rPr>
          <w:rFonts w:eastAsia="SimSun"/>
          <w:lang w:eastAsia="zh-CN"/>
        </w:rPr>
      </w:pPr>
      <w:r w:rsidRPr="004A3269">
        <w:rPr>
          <w:rFonts w:eastAsia="SimSun"/>
          <w:lang w:eastAsia="zh-CN"/>
        </w:rPr>
        <w:t>Le paragraphe de décision ci</w:t>
      </w:r>
      <w:r w:rsidR="00A17552" w:rsidRPr="004A3269">
        <w:rPr>
          <w:rFonts w:eastAsia="SimSun"/>
          <w:lang w:eastAsia="zh-CN"/>
        </w:rPr>
        <w:noBreakHyphen/>
      </w:r>
      <w:r w:rsidRPr="004A3269">
        <w:rPr>
          <w:rFonts w:eastAsia="SimSun"/>
          <w:lang w:eastAsia="zh-CN"/>
        </w:rPr>
        <w:t>après est proposé.</w:t>
      </w:r>
    </w:p>
    <w:p w:rsidR="00267140" w:rsidRPr="003D7C06" w:rsidRDefault="003F4B8C" w:rsidP="003D7C06">
      <w:pPr>
        <w:pStyle w:val="ONUMFS"/>
        <w:tabs>
          <w:tab w:val="left" w:pos="6237"/>
        </w:tabs>
        <w:ind w:left="5533"/>
        <w:rPr>
          <w:rFonts w:eastAsia="SimSun"/>
          <w:i/>
          <w:lang w:eastAsia="zh-CN"/>
        </w:rPr>
      </w:pPr>
      <w:r w:rsidRPr="003D7C06">
        <w:rPr>
          <w:rFonts w:eastAsia="SimSun"/>
          <w:i/>
          <w:lang w:eastAsia="zh-CN"/>
        </w:rPr>
        <w:t>Le Comité du programme et budget (PBC) a recommandé à l</w:t>
      </w:r>
      <w:r w:rsidR="009021AA" w:rsidRPr="003D7C06">
        <w:rPr>
          <w:rFonts w:eastAsia="SimSun"/>
          <w:i/>
          <w:lang w:eastAsia="zh-CN"/>
        </w:rPr>
        <w:t>’</w:t>
      </w:r>
      <w:r w:rsidRPr="003D7C06">
        <w:rPr>
          <w:rFonts w:eastAsia="SimSun"/>
          <w:i/>
          <w:lang w:eastAsia="zh-CN"/>
        </w:rPr>
        <w:t>Assemblée générale et aux autres assemblées des États membres de l</w:t>
      </w:r>
      <w:r w:rsidR="009021AA" w:rsidRPr="003D7C06">
        <w:rPr>
          <w:rFonts w:eastAsia="SimSun"/>
          <w:i/>
          <w:lang w:eastAsia="zh-CN"/>
        </w:rPr>
        <w:t>’</w:t>
      </w:r>
      <w:r w:rsidRPr="003D7C06">
        <w:rPr>
          <w:rFonts w:eastAsia="SimSun"/>
          <w:i/>
          <w:lang w:eastAsia="zh-CN"/>
        </w:rPr>
        <w:t>OMPI d</w:t>
      </w:r>
      <w:r w:rsidR="009021AA" w:rsidRPr="003D7C06">
        <w:rPr>
          <w:rFonts w:eastAsia="SimSun"/>
          <w:i/>
          <w:lang w:eastAsia="zh-CN"/>
        </w:rPr>
        <w:t>’</w:t>
      </w:r>
      <w:r w:rsidRPr="003D7C06">
        <w:rPr>
          <w:rFonts w:eastAsia="SimSun"/>
          <w:i/>
          <w:lang w:eastAsia="zh-CN"/>
        </w:rPr>
        <w:t>approuver le rapport financier annuel et les états financiers pour</w:t>
      </w:r>
      <w:r w:rsidR="00067463" w:rsidRPr="003D7C06">
        <w:rPr>
          <w:rFonts w:eastAsia="SimSun"/>
          <w:i/>
          <w:lang w:eastAsia="zh-CN"/>
        </w:rPr>
        <w:t> </w:t>
      </w:r>
      <w:r w:rsidRPr="003D7C06">
        <w:rPr>
          <w:rFonts w:eastAsia="SimSun"/>
          <w:i/>
          <w:lang w:eastAsia="zh-CN"/>
        </w:rPr>
        <w:t>2014 (document WO/PBC/24/8).</w:t>
      </w:r>
    </w:p>
    <w:p w:rsidR="00267140" w:rsidRPr="003D7C06" w:rsidRDefault="00267140" w:rsidP="00E337BC">
      <w:pPr>
        <w:tabs>
          <w:tab w:val="left" w:pos="5954"/>
        </w:tabs>
        <w:ind w:left="5533"/>
        <w:rPr>
          <w:rFonts w:eastAsia="SimSun"/>
          <w:lang w:eastAsia="zh-CN"/>
        </w:rPr>
      </w:pPr>
    </w:p>
    <w:p w:rsidR="00E337BC" w:rsidRPr="004A3269" w:rsidRDefault="003F4B8C" w:rsidP="00154F46">
      <w:pPr>
        <w:ind w:left="5529"/>
        <w:rPr>
          <w:rFonts w:eastAsia="SimSun"/>
          <w:lang w:eastAsia="zh-CN"/>
        </w:rPr>
        <w:sectPr w:rsidR="00E337BC" w:rsidRPr="004A3269" w:rsidSect="00E337BC">
          <w:headerReference w:type="default" r:id="rId10"/>
          <w:endnotePr>
            <w:numFmt w:val="decimal"/>
          </w:endnotePr>
          <w:pgSz w:w="11907" w:h="16840" w:code="9"/>
          <w:pgMar w:top="567" w:right="1134" w:bottom="851" w:left="1418" w:header="510" w:footer="1021" w:gutter="0"/>
          <w:cols w:space="720"/>
          <w:titlePg/>
          <w:docGrid w:linePitch="299"/>
        </w:sectPr>
      </w:pPr>
      <w:r w:rsidRPr="004A3269">
        <w:rPr>
          <w:rFonts w:eastAsia="SimSun"/>
          <w:lang w:eastAsia="zh-CN"/>
        </w:rPr>
        <w:t>[Les états financiers pour</w:t>
      </w:r>
      <w:r w:rsidR="00067463" w:rsidRPr="004A3269">
        <w:rPr>
          <w:rFonts w:eastAsia="SimSun"/>
          <w:lang w:eastAsia="zh-CN"/>
        </w:rPr>
        <w:t> </w:t>
      </w:r>
      <w:r w:rsidRPr="004A3269">
        <w:rPr>
          <w:rFonts w:eastAsia="SimSun"/>
          <w:lang w:eastAsia="zh-CN"/>
        </w:rPr>
        <w:t>2014 suivent]</w:t>
      </w:r>
    </w:p>
    <w:p w:rsidR="00267140" w:rsidRPr="004A3269" w:rsidRDefault="00267140" w:rsidP="00EB19C4">
      <w:pPr>
        <w:rPr>
          <w:rFonts w:eastAsia="SimSun"/>
          <w:lang w:eastAsia="zh-CN"/>
        </w:rPr>
      </w:pPr>
    </w:p>
    <w:p w:rsidR="00267140" w:rsidRPr="004A3269" w:rsidRDefault="00267140" w:rsidP="00DD7624">
      <w:pPr>
        <w:pStyle w:val="StyleHeading1"/>
        <w:rPr>
          <w:sz w:val="28"/>
          <w:szCs w:val="28"/>
        </w:rPr>
      </w:pPr>
    </w:p>
    <w:p w:rsidR="00267140" w:rsidRPr="004A3269" w:rsidRDefault="00267140" w:rsidP="00DD7624">
      <w:pPr>
        <w:pStyle w:val="StyleHeading1"/>
        <w:rPr>
          <w:sz w:val="28"/>
          <w:szCs w:val="28"/>
        </w:rPr>
      </w:pPr>
    </w:p>
    <w:p w:rsidR="00267140" w:rsidRPr="004A3269" w:rsidRDefault="00267140" w:rsidP="00DD7624">
      <w:pPr>
        <w:pStyle w:val="StyleHeading1"/>
        <w:rPr>
          <w:sz w:val="28"/>
          <w:szCs w:val="28"/>
        </w:rPr>
      </w:pPr>
    </w:p>
    <w:bookmarkEnd w:id="0"/>
    <w:p w:rsidR="00267140" w:rsidRPr="004A3269" w:rsidRDefault="003F4B8C" w:rsidP="003F4B8C">
      <w:pPr>
        <w:pStyle w:val="StyleHeading1"/>
        <w:rPr>
          <w:sz w:val="28"/>
          <w:szCs w:val="28"/>
        </w:rPr>
      </w:pPr>
      <w:r w:rsidRPr="004A3269">
        <w:rPr>
          <w:sz w:val="28"/>
          <w:szCs w:val="28"/>
        </w:rPr>
        <w:t>Organisation Mondiale de la Propriété Intellectuelle</w:t>
      </w:r>
    </w:p>
    <w:p w:rsidR="00267140" w:rsidRPr="004A3269" w:rsidRDefault="00267140" w:rsidP="004F39C3">
      <w:pPr>
        <w:tabs>
          <w:tab w:val="left" w:pos="0"/>
        </w:tabs>
        <w:jc w:val="center"/>
      </w:pPr>
    </w:p>
    <w:p w:rsidR="00267140" w:rsidRPr="004A3269" w:rsidRDefault="00267140" w:rsidP="004F39C3">
      <w:pPr>
        <w:tabs>
          <w:tab w:val="left" w:pos="0"/>
        </w:tabs>
        <w:jc w:val="center"/>
      </w:pPr>
    </w:p>
    <w:p w:rsidR="00267140" w:rsidRPr="004A3269" w:rsidRDefault="003F4B8C" w:rsidP="003F4B8C">
      <w:pPr>
        <w:tabs>
          <w:tab w:val="left" w:pos="0"/>
        </w:tabs>
        <w:jc w:val="center"/>
        <w:rPr>
          <w:sz w:val="24"/>
        </w:rPr>
      </w:pPr>
      <w:r w:rsidRPr="004A3269">
        <w:rPr>
          <w:sz w:val="24"/>
        </w:rPr>
        <w:t>Rapport financier annuel et états financiers</w:t>
      </w:r>
    </w:p>
    <w:p w:rsidR="00267140" w:rsidRPr="004A3269" w:rsidRDefault="00267140" w:rsidP="004F39C3">
      <w:pPr>
        <w:tabs>
          <w:tab w:val="left" w:pos="0"/>
        </w:tabs>
        <w:jc w:val="center"/>
        <w:rPr>
          <w:sz w:val="24"/>
        </w:rPr>
      </w:pPr>
    </w:p>
    <w:p w:rsidR="00267140" w:rsidRPr="004A3269" w:rsidRDefault="00154F46" w:rsidP="003F4B8C">
      <w:pPr>
        <w:tabs>
          <w:tab w:val="left" w:pos="0"/>
        </w:tabs>
        <w:jc w:val="center"/>
        <w:rPr>
          <w:sz w:val="24"/>
        </w:rPr>
      </w:pPr>
      <w:proofErr w:type="gramStart"/>
      <w:r w:rsidRPr="004A3269">
        <w:rPr>
          <w:sz w:val="24"/>
        </w:rPr>
        <w:t>au</w:t>
      </w:r>
      <w:proofErr w:type="gramEnd"/>
      <w:r w:rsidRPr="004A3269">
        <w:rPr>
          <w:sz w:val="24"/>
        </w:rPr>
        <w:t xml:space="preserve"> 31 </w:t>
      </w:r>
      <w:r w:rsidR="003F4B8C" w:rsidRPr="004A3269">
        <w:rPr>
          <w:sz w:val="24"/>
        </w:rPr>
        <w:t>décembre</w:t>
      </w:r>
      <w:r w:rsidRPr="004A3269">
        <w:rPr>
          <w:sz w:val="24"/>
        </w:rPr>
        <w:t> </w:t>
      </w:r>
      <w:r w:rsidR="003F4B8C" w:rsidRPr="004A3269">
        <w:rPr>
          <w:sz w:val="24"/>
        </w:rPr>
        <w:t>2014</w:t>
      </w:r>
    </w:p>
    <w:p w:rsidR="00267140" w:rsidRPr="004A3269" w:rsidRDefault="00267140" w:rsidP="006E4AEC">
      <w:pPr>
        <w:tabs>
          <w:tab w:val="left" w:pos="0"/>
        </w:tabs>
        <w:jc w:val="center"/>
      </w:pPr>
    </w:p>
    <w:p w:rsidR="00267140" w:rsidRPr="004A3269" w:rsidRDefault="00267140" w:rsidP="006E4AEC">
      <w:pPr>
        <w:tabs>
          <w:tab w:val="left" w:pos="0"/>
        </w:tabs>
        <w:jc w:val="center"/>
      </w:pPr>
    </w:p>
    <w:p w:rsidR="00267140" w:rsidRPr="004A3269" w:rsidRDefault="00267140" w:rsidP="006E4AEC">
      <w:pPr>
        <w:tabs>
          <w:tab w:val="left" w:pos="0"/>
        </w:tabs>
        <w:jc w:val="center"/>
      </w:pPr>
    </w:p>
    <w:p w:rsidR="00267140" w:rsidRPr="004A3269" w:rsidRDefault="00267140" w:rsidP="006E4AEC">
      <w:pPr>
        <w:tabs>
          <w:tab w:val="left" w:pos="0"/>
        </w:tabs>
        <w:jc w:val="center"/>
      </w:pPr>
    </w:p>
    <w:p w:rsidR="00267140" w:rsidRPr="004A3269" w:rsidRDefault="00267140" w:rsidP="006E4AEC">
      <w:pPr>
        <w:tabs>
          <w:tab w:val="left" w:pos="0"/>
        </w:tabs>
        <w:jc w:val="center"/>
      </w:pPr>
    </w:p>
    <w:p w:rsidR="00267140" w:rsidRPr="004A3269" w:rsidRDefault="00267140" w:rsidP="006E4AEC">
      <w:pPr>
        <w:tabs>
          <w:tab w:val="left" w:pos="0"/>
        </w:tabs>
        <w:jc w:val="center"/>
      </w:pPr>
    </w:p>
    <w:p w:rsidR="00267140" w:rsidRPr="004A3269" w:rsidRDefault="00267140" w:rsidP="006E4AEC">
      <w:pPr>
        <w:tabs>
          <w:tab w:val="left" w:pos="0"/>
        </w:tabs>
        <w:jc w:val="center"/>
        <w:rPr>
          <w:b/>
          <w:sz w:val="72"/>
          <w:szCs w:val="72"/>
        </w:rPr>
      </w:pPr>
    </w:p>
    <w:p w:rsidR="00267140" w:rsidRPr="004A3269" w:rsidRDefault="00267140" w:rsidP="006E4AEC">
      <w:pPr>
        <w:tabs>
          <w:tab w:val="left" w:pos="0"/>
        </w:tabs>
        <w:jc w:val="center"/>
        <w:rPr>
          <w:b/>
          <w:sz w:val="72"/>
          <w:szCs w:val="72"/>
        </w:rPr>
      </w:pPr>
    </w:p>
    <w:p w:rsidR="00267140" w:rsidRPr="004A3269" w:rsidRDefault="00267140" w:rsidP="006E4AEC">
      <w:pPr>
        <w:tabs>
          <w:tab w:val="left" w:pos="0"/>
        </w:tabs>
        <w:jc w:val="center"/>
      </w:pPr>
    </w:p>
    <w:p w:rsidR="0065501F" w:rsidRPr="004A3269" w:rsidRDefault="0065501F" w:rsidP="007C6D77">
      <w:pPr>
        <w:jc w:val="both"/>
        <w:rPr>
          <w:rFonts w:ascii="Arial Narrow" w:hAnsi="Arial Narrow"/>
          <w:sz w:val="18"/>
          <w:szCs w:val="18"/>
        </w:rPr>
        <w:sectPr w:rsidR="0065501F" w:rsidRPr="004A3269" w:rsidSect="007901FC">
          <w:headerReference w:type="even" r:id="rId11"/>
          <w:headerReference w:type="default" r:id="rId12"/>
          <w:footerReference w:type="even" r:id="rId13"/>
          <w:footerReference w:type="default" r:id="rId14"/>
          <w:headerReference w:type="first" r:id="rId15"/>
          <w:footerReference w:type="first" r:id="rId16"/>
          <w:pgSz w:w="11907" w:h="16840" w:code="9"/>
          <w:pgMar w:top="851" w:right="1247" w:bottom="1191" w:left="1247" w:header="709" w:footer="709" w:gutter="0"/>
          <w:cols w:space="708"/>
          <w:docGrid w:linePitch="360"/>
        </w:sectPr>
      </w:pPr>
    </w:p>
    <w:p w:rsidR="00267140" w:rsidRPr="004A3269" w:rsidRDefault="003F4B8C" w:rsidP="003F4B8C">
      <w:pPr>
        <w:jc w:val="center"/>
        <w:rPr>
          <w:b/>
          <w:szCs w:val="22"/>
        </w:rPr>
      </w:pPr>
      <w:r w:rsidRPr="004A3269">
        <w:rPr>
          <w:b/>
          <w:szCs w:val="22"/>
        </w:rPr>
        <w:lastRenderedPageBreak/>
        <w:t>Table des matières</w:t>
      </w:r>
    </w:p>
    <w:p w:rsidR="008F3CD9" w:rsidRPr="004A3269" w:rsidRDefault="008F3CD9" w:rsidP="009016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3"/>
        <w:gridCol w:w="926"/>
      </w:tblGrid>
      <w:tr w:rsidR="004A3269" w:rsidRPr="004A3269" w:rsidTr="00154F46">
        <w:tc>
          <w:tcPr>
            <w:tcW w:w="8703" w:type="dxa"/>
            <w:shd w:val="clear" w:color="auto" w:fill="F2F2F2"/>
          </w:tcPr>
          <w:p w:rsidR="005850EF" w:rsidRPr="004A3269" w:rsidRDefault="005850EF" w:rsidP="008F3CD9">
            <w:pPr>
              <w:rPr>
                <w:szCs w:val="22"/>
              </w:rPr>
            </w:pPr>
          </w:p>
        </w:tc>
        <w:tc>
          <w:tcPr>
            <w:tcW w:w="926" w:type="dxa"/>
            <w:shd w:val="clear" w:color="auto" w:fill="F2F2F2"/>
          </w:tcPr>
          <w:p w:rsidR="005850EF" w:rsidRPr="004A3269" w:rsidRDefault="00154F46" w:rsidP="00154F46">
            <w:pPr>
              <w:jc w:val="center"/>
              <w:rPr>
                <w:b/>
                <w:szCs w:val="22"/>
              </w:rPr>
            </w:pPr>
            <w:r w:rsidRPr="004A3269">
              <w:rPr>
                <w:b/>
                <w:szCs w:val="22"/>
              </w:rPr>
              <w:t>Page</w:t>
            </w:r>
          </w:p>
        </w:tc>
      </w:tr>
      <w:tr w:rsidR="004A3269" w:rsidRPr="004A3269" w:rsidTr="00154F46">
        <w:tc>
          <w:tcPr>
            <w:tcW w:w="8703" w:type="dxa"/>
            <w:shd w:val="clear" w:color="auto" w:fill="auto"/>
            <w:vAlign w:val="center"/>
          </w:tcPr>
          <w:p w:rsidR="008E7610" w:rsidRPr="004A3269" w:rsidRDefault="00154F46" w:rsidP="003F4B8C">
            <w:pPr>
              <w:rPr>
                <w:b/>
                <w:szCs w:val="22"/>
              </w:rPr>
            </w:pPr>
            <w:r w:rsidRPr="004A3269">
              <w:rPr>
                <w:b/>
                <w:szCs w:val="22"/>
              </w:rPr>
              <w:t>RAPPORT FINANCIER ANNUEL</w:t>
            </w:r>
          </w:p>
        </w:tc>
        <w:tc>
          <w:tcPr>
            <w:tcW w:w="926" w:type="dxa"/>
            <w:shd w:val="clear" w:color="auto" w:fill="auto"/>
            <w:vAlign w:val="center"/>
          </w:tcPr>
          <w:p w:rsidR="008E7610" w:rsidRPr="004A3269" w:rsidRDefault="008E7610" w:rsidP="008E7610">
            <w:pPr>
              <w:jc w:val="right"/>
              <w:rPr>
                <w:szCs w:val="22"/>
              </w:rPr>
            </w:pPr>
          </w:p>
        </w:tc>
      </w:tr>
      <w:tr w:rsidR="004A3269" w:rsidRPr="004A3269" w:rsidTr="00154F46">
        <w:tc>
          <w:tcPr>
            <w:tcW w:w="8703" w:type="dxa"/>
            <w:shd w:val="clear" w:color="auto" w:fill="auto"/>
            <w:vAlign w:val="center"/>
          </w:tcPr>
          <w:p w:rsidR="008E7610" w:rsidRPr="004A3269" w:rsidRDefault="003F4B8C" w:rsidP="003F4B8C">
            <w:pPr>
              <w:rPr>
                <w:szCs w:val="22"/>
              </w:rPr>
            </w:pPr>
            <w:r w:rsidRPr="004A3269">
              <w:rPr>
                <w:szCs w:val="22"/>
              </w:rPr>
              <w:t>INTRODUCTION</w:t>
            </w:r>
          </w:p>
        </w:tc>
        <w:tc>
          <w:tcPr>
            <w:tcW w:w="926" w:type="dxa"/>
            <w:shd w:val="clear" w:color="auto" w:fill="auto"/>
            <w:vAlign w:val="center"/>
          </w:tcPr>
          <w:p w:rsidR="008E7610" w:rsidRPr="004A3269" w:rsidRDefault="00410098" w:rsidP="008E7610">
            <w:pPr>
              <w:jc w:val="right"/>
              <w:rPr>
                <w:szCs w:val="22"/>
              </w:rPr>
            </w:pPr>
            <w:r>
              <w:rPr>
                <w:szCs w:val="22"/>
              </w:rPr>
              <w:t>2</w:t>
            </w:r>
          </w:p>
        </w:tc>
      </w:tr>
      <w:tr w:rsidR="004A3269" w:rsidRPr="004A3269" w:rsidTr="00154F46">
        <w:tc>
          <w:tcPr>
            <w:tcW w:w="8703" w:type="dxa"/>
            <w:shd w:val="clear" w:color="auto" w:fill="auto"/>
            <w:vAlign w:val="center"/>
          </w:tcPr>
          <w:p w:rsidR="008E7610" w:rsidRPr="004A3269" w:rsidRDefault="00154F46" w:rsidP="003F4B8C">
            <w:pPr>
              <w:rPr>
                <w:szCs w:val="22"/>
              </w:rPr>
            </w:pPr>
            <w:r w:rsidRPr="004A3269">
              <w:rPr>
                <w:szCs w:val="22"/>
              </w:rPr>
              <w:t>EXAMEN ET ANALYSE DES ÉTATS FINANCIERS</w:t>
            </w:r>
          </w:p>
        </w:tc>
        <w:tc>
          <w:tcPr>
            <w:tcW w:w="926" w:type="dxa"/>
            <w:shd w:val="clear" w:color="auto" w:fill="auto"/>
            <w:vAlign w:val="center"/>
          </w:tcPr>
          <w:p w:rsidR="008E7610" w:rsidRPr="004A3269" w:rsidRDefault="00410098" w:rsidP="008E7610">
            <w:pPr>
              <w:jc w:val="right"/>
              <w:rPr>
                <w:szCs w:val="22"/>
              </w:rPr>
            </w:pPr>
            <w:r>
              <w:rPr>
                <w:szCs w:val="22"/>
              </w:rPr>
              <w:t>2</w:t>
            </w:r>
          </w:p>
        </w:tc>
      </w:tr>
      <w:tr w:rsidR="004A3269" w:rsidRPr="004A3269" w:rsidTr="00154F46">
        <w:tc>
          <w:tcPr>
            <w:tcW w:w="8703" w:type="dxa"/>
            <w:shd w:val="clear" w:color="auto" w:fill="auto"/>
            <w:vAlign w:val="center"/>
          </w:tcPr>
          <w:p w:rsidR="00F057F7" w:rsidRPr="004A3269" w:rsidRDefault="003F4B8C" w:rsidP="003F4B8C">
            <w:pPr>
              <w:rPr>
                <w:b/>
                <w:szCs w:val="22"/>
              </w:rPr>
            </w:pPr>
            <w:r w:rsidRPr="004A3269">
              <w:rPr>
                <w:b/>
                <w:szCs w:val="22"/>
              </w:rPr>
              <w:t>ÉTATS FINANCIERS</w:t>
            </w:r>
          </w:p>
        </w:tc>
        <w:tc>
          <w:tcPr>
            <w:tcW w:w="926" w:type="dxa"/>
            <w:shd w:val="clear" w:color="auto" w:fill="auto"/>
            <w:vAlign w:val="center"/>
          </w:tcPr>
          <w:p w:rsidR="00F057F7" w:rsidRPr="004A3269" w:rsidRDefault="00F057F7" w:rsidP="008E7610">
            <w:pPr>
              <w:jc w:val="right"/>
              <w:rPr>
                <w:szCs w:val="22"/>
              </w:rPr>
            </w:pPr>
          </w:p>
        </w:tc>
      </w:tr>
      <w:tr w:rsidR="004A3269" w:rsidRPr="004A3269" w:rsidTr="00154F46">
        <w:tc>
          <w:tcPr>
            <w:tcW w:w="8703" w:type="dxa"/>
            <w:shd w:val="clear" w:color="auto" w:fill="auto"/>
            <w:vAlign w:val="center"/>
          </w:tcPr>
          <w:p w:rsidR="005850EF" w:rsidRPr="004A3269" w:rsidRDefault="00154F46" w:rsidP="003F4B8C">
            <w:pPr>
              <w:rPr>
                <w:szCs w:val="22"/>
              </w:rPr>
            </w:pPr>
            <w:r w:rsidRPr="004A3269">
              <w:rPr>
                <w:szCs w:val="22"/>
              </w:rPr>
              <w:t xml:space="preserve">ÉTAT I </w:t>
            </w:r>
            <w:r w:rsidR="003F4B8C" w:rsidRPr="004A3269">
              <w:rPr>
                <w:szCs w:val="22"/>
              </w:rPr>
              <w:t>– État de la situation financière</w:t>
            </w:r>
          </w:p>
        </w:tc>
        <w:tc>
          <w:tcPr>
            <w:tcW w:w="926" w:type="dxa"/>
            <w:shd w:val="clear" w:color="auto" w:fill="auto"/>
            <w:vAlign w:val="center"/>
          </w:tcPr>
          <w:p w:rsidR="005850EF" w:rsidRPr="004A3269" w:rsidRDefault="000752F2" w:rsidP="00410098">
            <w:pPr>
              <w:jc w:val="right"/>
              <w:rPr>
                <w:szCs w:val="22"/>
              </w:rPr>
            </w:pPr>
            <w:r w:rsidRPr="004A3269">
              <w:rPr>
                <w:szCs w:val="22"/>
              </w:rPr>
              <w:t>2</w:t>
            </w:r>
            <w:r w:rsidR="00410098">
              <w:rPr>
                <w:szCs w:val="22"/>
              </w:rPr>
              <w:t>7</w:t>
            </w:r>
          </w:p>
        </w:tc>
      </w:tr>
      <w:tr w:rsidR="004A3269" w:rsidRPr="004A3269" w:rsidTr="00154F46">
        <w:tc>
          <w:tcPr>
            <w:tcW w:w="8703" w:type="dxa"/>
            <w:shd w:val="clear" w:color="auto" w:fill="auto"/>
            <w:vAlign w:val="center"/>
          </w:tcPr>
          <w:p w:rsidR="005850EF" w:rsidRPr="004A3269" w:rsidRDefault="00154F46" w:rsidP="003F4B8C">
            <w:pPr>
              <w:rPr>
                <w:szCs w:val="22"/>
              </w:rPr>
            </w:pPr>
            <w:r w:rsidRPr="004A3269">
              <w:rPr>
                <w:szCs w:val="22"/>
              </w:rPr>
              <w:t xml:space="preserve">ÉTAT II </w:t>
            </w:r>
            <w:r w:rsidR="003F4B8C" w:rsidRPr="004A3269">
              <w:rPr>
                <w:szCs w:val="22"/>
              </w:rPr>
              <w:t>– État de la performance financière</w:t>
            </w:r>
          </w:p>
        </w:tc>
        <w:tc>
          <w:tcPr>
            <w:tcW w:w="926" w:type="dxa"/>
            <w:shd w:val="clear" w:color="auto" w:fill="auto"/>
            <w:vAlign w:val="center"/>
          </w:tcPr>
          <w:p w:rsidR="005850EF" w:rsidRPr="004A3269" w:rsidRDefault="000752F2" w:rsidP="00410098">
            <w:pPr>
              <w:jc w:val="right"/>
              <w:rPr>
                <w:szCs w:val="22"/>
              </w:rPr>
            </w:pPr>
            <w:r w:rsidRPr="004A3269">
              <w:rPr>
                <w:szCs w:val="22"/>
              </w:rPr>
              <w:t>2</w:t>
            </w:r>
            <w:r w:rsidR="00410098">
              <w:rPr>
                <w:szCs w:val="22"/>
              </w:rPr>
              <w:t>8</w:t>
            </w:r>
          </w:p>
        </w:tc>
      </w:tr>
      <w:tr w:rsidR="004A3269" w:rsidRPr="004A3269" w:rsidTr="00154F46">
        <w:tc>
          <w:tcPr>
            <w:tcW w:w="8703" w:type="dxa"/>
            <w:shd w:val="clear" w:color="auto" w:fill="auto"/>
            <w:vAlign w:val="center"/>
          </w:tcPr>
          <w:p w:rsidR="005850EF" w:rsidRPr="004A3269" w:rsidRDefault="00154F46" w:rsidP="00154F46">
            <w:pPr>
              <w:rPr>
                <w:szCs w:val="22"/>
              </w:rPr>
            </w:pPr>
            <w:r w:rsidRPr="004A3269">
              <w:rPr>
                <w:szCs w:val="22"/>
              </w:rPr>
              <w:t>ÉTAT III</w:t>
            </w:r>
            <w:r w:rsidR="003F4B8C" w:rsidRPr="004A3269">
              <w:rPr>
                <w:szCs w:val="22"/>
              </w:rPr>
              <w:t xml:space="preserve"> – État des variations des actifs nets</w:t>
            </w:r>
          </w:p>
        </w:tc>
        <w:tc>
          <w:tcPr>
            <w:tcW w:w="926" w:type="dxa"/>
            <w:shd w:val="clear" w:color="auto" w:fill="auto"/>
            <w:vAlign w:val="center"/>
          </w:tcPr>
          <w:p w:rsidR="005850EF" w:rsidRPr="004A3269" w:rsidRDefault="000752F2" w:rsidP="00410098">
            <w:pPr>
              <w:jc w:val="right"/>
              <w:rPr>
                <w:szCs w:val="22"/>
              </w:rPr>
            </w:pPr>
            <w:r w:rsidRPr="004A3269">
              <w:rPr>
                <w:szCs w:val="22"/>
              </w:rPr>
              <w:t>2</w:t>
            </w:r>
            <w:r w:rsidR="00410098">
              <w:rPr>
                <w:szCs w:val="22"/>
              </w:rPr>
              <w:t>9</w:t>
            </w:r>
          </w:p>
        </w:tc>
      </w:tr>
      <w:tr w:rsidR="004A3269" w:rsidRPr="004A3269" w:rsidTr="00154F46">
        <w:tc>
          <w:tcPr>
            <w:tcW w:w="8703" w:type="dxa"/>
            <w:shd w:val="clear" w:color="auto" w:fill="auto"/>
            <w:vAlign w:val="center"/>
          </w:tcPr>
          <w:p w:rsidR="005850EF" w:rsidRPr="004A3269" w:rsidRDefault="00154F46" w:rsidP="003F4B8C">
            <w:pPr>
              <w:rPr>
                <w:szCs w:val="22"/>
              </w:rPr>
            </w:pPr>
            <w:r w:rsidRPr="004A3269">
              <w:rPr>
                <w:szCs w:val="22"/>
              </w:rPr>
              <w:t>ÉTAT IV</w:t>
            </w:r>
            <w:r w:rsidR="003F4B8C" w:rsidRPr="004A3269">
              <w:rPr>
                <w:szCs w:val="22"/>
              </w:rPr>
              <w:t xml:space="preserve"> – État des flux de trésorerie</w:t>
            </w:r>
          </w:p>
        </w:tc>
        <w:tc>
          <w:tcPr>
            <w:tcW w:w="926" w:type="dxa"/>
            <w:shd w:val="clear" w:color="auto" w:fill="auto"/>
            <w:vAlign w:val="center"/>
          </w:tcPr>
          <w:p w:rsidR="005850EF" w:rsidRPr="004A3269" w:rsidRDefault="00410098" w:rsidP="00410098">
            <w:pPr>
              <w:jc w:val="right"/>
              <w:rPr>
                <w:szCs w:val="22"/>
              </w:rPr>
            </w:pPr>
            <w:r>
              <w:rPr>
                <w:szCs w:val="22"/>
              </w:rPr>
              <w:t>30</w:t>
            </w:r>
          </w:p>
        </w:tc>
      </w:tr>
      <w:tr w:rsidR="004A3269" w:rsidRPr="004A3269" w:rsidTr="00154F46">
        <w:tc>
          <w:tcPr>
            <w:tcW w:w="8703" w:type="dxa"/>
            <w:shd w:val="clear" w:color="auto" w:fill="auto"/>
            <w:vAlign w:val="center"/>
          </w:tcPr>
          <w:p w:rsidR="005850EF" w:rsidRPr="004A3269" w:rsidRDefault="004B6247" w:rsidP="00154F46">
            <w:pPr>
              <w:rPr>
                <w:szCs w:val="22"/>
              </w:rPr>
            </w:pPr>
            <w:r w:rsidRPr="004A3269">
              <w:rPr>
                <w:szCs w:val="22"/>
              </w:rPr>
              <w:t xml:space="preserve">ÉTAT V </w:t>
            </w:r>
            <w:r w:rsidR="00154F46" w:rsidRPr="004A3269">
              <w:rPr>
                <w:szCs w:val="22"/>
              </w:rPr>
              <w:t>–</w:t>
            </w:r>
            <w:r w:rsidRPr="004A3269">
              <w:rPr>
                <w:szCs w:val="22"/>
              </w:rPr>
              <w:t xml:space="preserve"> </w:t>
            </w:r>
            <w:r w:rsidR="00154F46" w:rsidRPr="004A3269">
              <w:rPr>
                <w:szCs w:val="22"/>
              </w:rPr>
              <w:t>État de comparaison des montants budgétaires et des montants réels</w:t>
            </w:r>
          </w:p>
        </w:tc>
        <w:tc>
          <w:tcPr>
            <w:tcW w:w="926" w:type="dxa"/>
            <w:shd w:val="clear" w:color="auto" w:fill="auto"/>
            <w:vAlign w:val="center"/>
          </w:tcPr>
          <w:p w:rsidR="005850EF" w:rsidRPr="004A3269" w:rsidRDefault="00410098" w:rsidP="00410098">
            <w:pPr>
              <w:jc w:val="right"/>
              <w:rPr>
                <w:szCs w:val="22"/>
              </w:rPr>
            </w:pPr>
            <w:r>
              <w:rPr>
                <w:szCs w:val="22"/>
              </w:rPr>
              <w:t>31</w:t>
            </w:r>
          </w:p>
        </w:tc>
      </w:tr>
      <w:tr w:rsidR="004A3269" w:rsidRPr="004A3269" w:rsidTr="00154F46">
        <w:tc>
          <w:tcPr>
            <w:tcW w:w="8703" w:type="dxa"/>
            <w:shd w:val="clear" w:color="auto" w:fill="auto"/>
            <w:vAlign w:val="center"/>
          </w:tcPr>
          <w:p w:rsidR="005850EF" w:rsidRPr="004A3269" w:rsidRDefault="00154F46" w:rsidP="004B6247">
            <w:pPr>
              <w:rPr>
                <w:szCs w:val="22"/>
              </w:rPr>
            </w:pPr>
            <w:r w:rsidRPr="004A3269">
              <w:rPr>
                <w:szCs w:val="22"/>
              </w:rPr>
              <w:t>NOTES RELATIVES AUX ÉTATS FINANCIERS</w:t>
            </w:r>
          </w:p>
        </w:tc>
        <w:tc>
          <w:tcPr>
            <w:tcW w:w="926" w:type="dxa"/>
            <w:shd w:val="clear" w:color="auto" w:fill="auto"/>
            <w:vAlign w:val="center"/>
          </w:tcPr>
          <w:p w:rsidR="005850EF" w:rsidRPr="004A3269" w:rsidRDefault="000752F2" w:rsidP="00410098">
            <w:pPr>
              <w:jc w:val="right"/>
              <w:rPr>
                <w:szCs w:val="22"/>
              </w:rPr>
            </w:pPr>
            <w:r w:rsidRPr="004A3269">
              <w:rPr>
                <w:szCs w:val="22"/>
              </w:rPr>
              <w:t>3</w:t>
            </w:r>
            <w:r w:rsidR="00410098">
              <w:rPr>
                <w:szCs w:val="22"/>
              </w:rPr>
              <w:t>3</w:t>
            </w:r>
          </w:p>
        </w:tc>
      </w:tr>
      <w:tr w:rsidR="004A3269" w:rsidRPr="004A3269" w:rsidTr="00154F46">
        <w:tc>
          <w:tcPr>
            <w:tcW w:w="8703" w:type="dxa"/>
            <w:shd w:val="clear" w:color="auto" w:fill="auto"/>
            <w:vAlign w:val="center"/>
          </w:tcPr>
          <w:p w:rsidR="005850EF" w:rsidRPr="004A3269" w:rsidRDefault="00154F46" w:rsidP="00154F46">
            <w:pPr>
              <w:ind w:left="900"/>
              <w:rPr>
                <w:szCs w:val="22"/>
              </w:rPr>
            </w:pPr>
            <w:r w:rsidRPr="004A3269">
              <w:rPr>
                <w:szCs w:val="22"/>
              </w:rPr>
              <w:t>Note n° </w:t>
            </w:r>
            <w:r w:rsidR="004B6247" w:rsidRPr="004A3269">
              <w:rPr>
                <w:szCs w:val="22"/>
              </w:rPr>
              <w:t>1</w:t>
            </w:r>
            <w:r w:rsidR="00A0797A" w:rsidRPr="004A3269">
              <w:rPr>
                <w:szCs w:val="22"/>
              </w:rPr>
              <w:t> :</w:t>
            </w:r>
            <w:r w:rsidR="004B6247" w:rsidRPr="004A3269">
              <w:rPr>
                <w:szCs w:val="22"/>
              </w:rPr>
              <w:t xml:space="preserve"> Objectifs et budget de l</w:t>
            </w:r>
            <w:r w:rsidR="009021AA" w:rsidRPr="004A3269">
              <w:rPr>
                <w:szCs w:val="22"/>
              </w:rPr>
              <w:t>’</w:t>
            </w:r>
            <w:r w:rsidR="004B6247" w:rsidRPr="004A3269">
              <w:rPr>
                <w:szCs w:val="22"/>
              </w:rPr>
              <w:t>Organisation</w:t>
            </w:r>
          </w:p>
        </w:tc>
        <w:tc>
          <w:tcPr>
            <w:tcW w:w="926" w:type="dxa"/>
            <w:shd w:val="clear" w:color="auto" w:fill="auto"/>
            <w:vAlign w:val="center"/>
          </w:tcPr>
          <w:p w:rsidR="005850EF" w:rsidRPr="004A3269" w:rsidRDefault="000752F2" w:rsidP="00410098">
            <w:pPr>
              <w:jc w:val="right"/>
              <w:rPr>
                <w:szCs w:val="22"/>
              </w:rPr>
            </w:pPr>
            <w:r w:rsidRPr="004A3269">
              <w:rPr>
                <w:szCs w:val="22"/>
              </w:rPr>
              <w:t>3</w:t>
            </w:r>
            <w:r w:rsidR="00410098">
              <w:rPr>
                <w:szCs w:val="22"/>
              </w:rPr>
              <w:t>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w:t>
            </w:r>
            <w:r w:rsidR="00A0797A" w:rsidRPr="004A3269">
              <w:rPr>
                <w:szCs w:val="22"/>
              </w:rPr>
              <w:t> :</w:t>
            </w:r>
            <w:r w:rsidRPr="004A3269">
              <w:rPr>
                <w:szCs w:val="22"/>
              </w:rPr>
              <w:t xml:space="preserve"> Principales méthodes comptables</w:t>
            </w:r>
          </w:p>
        </w:tc>
        <w:tc>
          <w:tcPr>
            <w:tcW w:w="926" w:type="dxa"/>
            <w:shd w:val="clear" w:color="auto" w:fill="auto"/>
            <w:vAlign w:val="center"/>
          </w:tcPr>
          <w:p w:rsidR="005850EF" w:rsidRPr="004A3269" w:rsidRDefault="000752F2" w:rsidP="00410098">
            <w:pPr>
              <w:jc w:val="right"/>
              <w:rPr>
                <w:szCs w:val="22"/>
              </w:rPr>
            </w:pPr>
            <w:r w:rsidRPr="004A3269">
              <w:rPr>
                <w:szCs w:val="22"/>
              </w:rPr>
              <w:t>3</w:t>
            </w:r>
            <w:r w:rsidR="00410098">
              <w:rPr>
                <w:szCs w:val="22"/>
              </w:rPr>
              <w:t>4</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3</w:t>
            </w:r>
            <w:r w:rsidR="00A0797A" w:rsidRPr="004A3269">
              <w:rPr>
                <w:szCs w:val="22"/>
              </w:rPr>
              <w:t> :</w:t>
            </w:r>
            <w:r w:rsidRPr="004A3269">
              <w:rPr>
                <w:szCs w:val="22"/>
              </w:rPr>
              <w:t xml:space="preserve"> Trésorerie et équivalents de trésorerie</w:t>
            </w:r>
          </w:p>
        </w:tc>
        <w:tc>
          <w:tcPr>
            <w:tcW w:w="926" w:type="dxa"/>
            <w:shd w:val="clear" w:color="auto" w:fill="auto"/>
            <w:vAlign w:val="center"/>
          </w:tcPr>
          <w:p w:rsidR="005850EF" w:rsidRPr="004A3269" w:rsidRDefault="00410098" w:rsidP="00410098">
            <w:pPr>
              <w:jc w:val="right"/>
              <w:rPr>
                <w:szCs w:val="22"/>
              </w:rPr>
            </w:pPr>
            <w:r>
              <w:rPr>
                <w:szCs w:val="22"/>
              </w:rPr>
              <w:t>41</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4</w:t>
            </w:r>
            <w:r w:rsidR="00A0797A" w:rsidRPr="004A3269">
              <w:rPr>
                <w:szCs w:val="22"/>
              </w:rPr>
              <w:t> :</w:t>
            </w:r>
            <w:r w:rsidRPr="004A3269">
              <w:rPr>
                <w:szCs w:val="22"/>
              </w:rPr>
              <w:t xml:space="preserve"> Comptes de débiteurs, avances et paiements anticipés</w:t>
            </w:r>
          </w:p>
        </w:tc>
        <w:tc>
          <w:tcPr>
            <w:tcW w:w="926" w:type="dxa"/>
            <w:shd w:val="clear" w:color="auto" w:fill="auto"/>
            <w:vAlign w:val="center"/>
          </w:tcPr>
          <w:p w:rsidR="005850EF" w:rsidRPr="004A3269" w:rsidRDefault="00410098" w:rsidP="00410098">
            <w:pPr>
              <w:jc w:val="right"/>
              <w:rPr>
                <w:szCs w:val="22"/>
              </w:rPr>
            </w:pPr>
            <w:r>
              <w:rPr>
                <w:szCs w:val="22"/>
              </w:rPr>
              <w:t>43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5</w:t>
            </w:r>
            <w:r w:rsidR="00A0797A" w:rsidRPr="004A3269">
              <w:rPr>
                <w:szCs w:val="22"/>
              </w:rPr>
              <w:t> :</w:t>
            </w:r>
            <w:r w:rsidRPr="004A3269">
              <w:rPr>
                <w:szCs w:val="22"/>
              </w:rPr>
              <w:t xml:space="preserve"> Stocks</w:t>
            </w:r>
          </w:p>
        </w:tc>
        <w:tc>
          <w:tcPr>
            <w:tcW w:w="926" w:type="dxa"/>
            <w:shd w:val="clear" w:color="auto" w:fill="auto"/>
            <w:vAlign w:val="center"/>
          </w:tcPr>
          <w:p w:rsidR="005850EF" w:rsidRPr="004A3269" w:rsidRDefault="000752F2" w:rsidP="00410098">
            <w:pPr>
              <w:jc w:val="right"/>
              <w:rPr>
                <w:szCs w:val="22"/>
              </w:rPr>
            </w:pPr>
            <w:r w:rsidRPr="004A3269">
              <w:rPr>
                <w:szCs w:val="22"/>
              </w:rPr>
              <w:t>4</w:t>
            </w:r>
            <w:r w:rsidR="00410098">
              <w:rPr>
                <w:szCs w:val="22"/>
              </w:rPr>
              <w:t>4</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6</w:t>
            </w:r>
            <w:r w:rsidR="00A0797A" w:rsidRPr="004A3269">
              <w:rPr>
                <w:szCs w:val="22"/>
              </w:rPr>
              <w:t> :</w:t>
            </w:r>
            <w:r w:rsidRPr="004A3269">
              <w:rPr>
                <w:szCs w:val="22"/>
              </w:rPr>
              <w:t xml:space="preserve"> Matériel</w:t>
            </w:r>
          </w:p>
        </w:tc>
        <w:tc>
          <w:tcPr>
            <w:tcW w:w="926" w:type="dxa"/>
            <w:shd w:val="clear" w:color="auto" w:fill="auto"/>
            <w:vAlign w:val="center"/>
          </w:tcPr>
          <w:p w:rsidR="005850EF" w:rsidRPr="004A3269" w:rsidRDefault="000752F2" w:rsidP="00410098">
            <w:pPr>
              <w:jc w:val="right"/>
              <w:rPr>
                <w:szCs w:val="22"/>
              </w:rPr>
            </w:pPr>
            <w:r w:rsidRPr="004A3269">
              <w:rPr>
                <w:szCs w:val="22"/>
              </w:rPr>
              <w:t>4</w:t>
            </w:r>
            <w:r w:rsidR="00410098">
              <w:rPr>
                <w:szCs w:val="22"/>
              </w:rPr>
              <w:t>5</w:t>
            </w:r>
          </w:p>
        </w:tc>
      </w:tr>
      <w:tr w:rsidR="004A3269" w:rsidRPr="004A3269" w:rsidTr="00154F46">
        <w:tc>
          <w:tcPr>
            <w:tcW w:w="8703" w:type="dxa"/>
            <w:shd w:val="clear" w:color="auto" w:fill="auto"/>
            <w:vAlign w:val="center"/>
          </w:tcPr>
          <w:p w:rsidR="005850EF" w:rsidRPr="004A3269" w:rsidRDefault="005B2622" w:rsidP="00505179">
            <w:pPr>
              <w:ind w:left="900"/>
              <w:rPr>
                <w:szCs w:val="22"/>
              </w:rPr>
            </w:pPr>
            <w:r w:rsidRPr="004A3269">
              <w:rPr>
                <w:szCs w:val="22"/>
              </w:rPr>
              <w:t>Note</w:t>
            </w:r>
            <w:r w:rsidR="00154F46" w:rsidRPr="004A3269">
              <w:rPr>
                <w:szCs w:val="22"/>
              </w:rPr>
              <w:t xml:space="preserve"> n° </w:t>
            </w:r>
            <w:r w:rsidRPr="004A3269">
              <w:rPr>
                <w:szCs w:val="22"/>
              </w:rPr>
              <w:t>7</w:t>
            </w:r>
            <w:r w:rsidR="00A0797A" w:rsidRPr="004A3269">
              <w:rPr>
                <w:szCs w:val="22"/>
              </w:rPr>
              <w:t> :</w:t>
            </w:r>
            <w:r w:rsidRPr="004A3269">
              <w:rPr>
                <w:szCs w:val="22"/>
              </w:rPr>
              <w:t xml:space="preserve"> </w:t>
            </w:r>
            <w:r w:rsidR="00505179" w:rsidRPr="004A3269">
              <w:rPr>
                <w:szCs w:val="22"/>
              </w:rPr>
              <w:t>Immeuble de placement</w:t>
            </w:r>
          </w:p>
        </w:tc>
        <w:tc>
          <w:tcPr>
            <w:tcW w:w="926" w:type="dxa"/>
            <w:shd w:val="clear" w:color="auto" w:fill="auto"/>
            <w:vAlign w:val="center"/>
          </w:tcPr>
          <w:p w:rsidR="005850EF" w:rsidRPr="004A3269" w:rsidRDefault="000752F2" w:rsidP="00410098">
            <w:pPr>
              <w:jc w:val="right"/>
              <w:rPr>
                <w:szCs w:val="22"/>
              </w:rPr>
            </w:pPr>
            <w:r w:rsidRPr="004A3269">
              <w:rPr>
                <w:szCs w:val="22"/>
              </w:rPr>
              <w:t>4</w:t>
            </w:r>
            <w:r w:rsidR="00410098">
              <w:rPr>
                <w:szCs w:val="22"/>
              </w:rPr>
              <w:t>6</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8</w:t>
            </w:r>
            <w:r w:rsidR="00A0797A" w:rsidRPr="004A3269">
              <w:rPr>
                <w:szCs w:val="22"/>
              </w:rPr>
              <w:t> :</w:t>
            </w:r>
            <w:r w:rsidRPr="004A3269">
              <w:rPr>
                <w:szCs w:val="22"/>
              </w:rPr>
              <w:t xml:space="preserve"> Actifs incorporels</w:t>
            </w:r>
          </w:p>
        </w:tc>
        <w:tc>
          <w:tcPr>
            <w:tcW w:w="926" w:type="dxa"/>
            <w:shd w:val="clear" w:color="auto" w:fill="auto"/>
            <w:vAlign w:val="center"/>
          </w:tcPr>
          <w:p w:rsidR="005850EF" w:rsidRPr="004A3269" w:rsidRDefault="000752F2" w:rsidP="00410098">
            <w:pPr>
              <w:jc w:val="right"/>
              <w:rPr>
                <w:szCs w:val="22"/>
              </w:rPr>
            </w:pPr>
            <w:r w:rsidRPr="004A3269">
              <w:rPr>
                <w:szCs w:val="22"/>
              </w:rPr>
              <w:t>4</w:t>
            </w:r>
            <w:r w:rsidR="00410098">
              <w:rPr>
                <w:szCs w:val="22"/>
              </w:rPr>
              <w:t>7</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9</w:t>
            </w:r>
            <w:r w:rsidR="00A0797A" w:rsidRPr="004A3269">
              <w:rPr>
                <w:szCs w:val="22"/>
              </w:rPr>
              <w:t> :</w:t>
            </w:r>
            <w:r w:rsidRPr="004A3269">
              <w:rPr>
                <w:szCs w:val="22"/>
              </w:rPr>
              <w:t xml:space="preserve"> Terrains et constructions</w:t>
            </w:r>
          </w:p>
        </w:tc>
        <w:tc>
          <w:tcPr>
            <w:tcW w:w="926" w:type="dxa"/>
            <w:shd w:val="clear" w:color="auto" w:fill="auto"/>
            <w:vAlign w:val="center"/>
          </w:tcPr>
          <w:p w:rsidR="005850EF" w:rsidRPr="004A3269" w:rsidRDefault="000752F2" w:rsidP="00410098">
            <w:pPr>
              <w:jc w:val="right"/>
              <w:rPr>
                <w:szCs w:val="22"/>
              </w:rPr>
            </w:pPr>
            <w:r w:rsidRPr="004A3269">
              <w:rPr>
                <w:szCs w:val="22"/>
              </w:rPr>
              <w:t>4</w:t>
            </w:r>
            <w:r w:rsidR="00410098">
              <w:rPr>
                <w:szCs w:val="22"/>
              </w:rPr>
              <w:t>8</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10</w:t>
            </w:r>
            <w:r w:rsidR="00A0797A" w:rsidRPr="004A3269">
              <w:rPr>
                <w:szCs w:val="22"/>
              </w:rPr>
              <w:t> :</w:t>
            </w:r>
            <w:r w:rsidRPr="004A3269">
              <w:rPr>
                <w:szCs w:val="22"/>
              </w:rPr>
              <w:t xml:space="preserve"> Autres actifs non courants</w:t>
            </w:r>
          </w:p>
        </w:tc>
        <w:tc>
          <w:tcPr>
            <w:tcW w:w="926" w:type="dxa"/>
            <w:shd w:val="clear" w:color="auto" w:fill="auto"/>
            <w:vAlign w:val="center"/>
          </w:tcPr>
          <w:p w:rsidR="005850EF" w:rsidRPr="004A3269" w:rsidRDefault="00410098" w:rsidP="00410098">
            <w:pPr>
              <w:jc w:val="right"/>
              <w:rPr>
                <w:szCs w:val="22"/>
              </w:rPr>
            </w:pPr>
            <w:r>
              <w:rPr>
                <w:szCs w:val="22"/>
              </w:rPr>
              <w:t>52</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11</w:t>
            </w:r>
            <w:r w:rsidR="00A0797A" w:rsidRPr="004A3269">
              <w:rPr>
                <w:szCs w:val="22"/>
              </w:rPr>
              <w:t> :</w:t>
            </w:r>
            <w:r w:rsidRPr="004A3269">
              <w:rPr>
                <w:szCs w:val="22"/>
              </w:rPr>
              <w:t xml:space="preserve"> Comptes de créanciers</w:t>
            </w:r>
          </w:p>
        </w:tc>
        <w:tc>
          <w:tcPr>
            <w:tcW w:w="926" w:type="dxa"/>
            <w:shd w:val="clear" w:color="auto" w:fill="auto"/>
            <w:vAlign w:val="center"/>
          </w:tcPr>
          <w:p w:rsidR="005850EF" w:rsidRPr="004A3269" w:rsidRDefault="00410098" w:rsidP="00410098">
            <w:pPr>
              <w:jc w:val="right"/>
              <w:rPr>
                <w:szCs w:val="22"/>
              </w:rPr>
            </w:pPr>
            <w:r>
              <w:rPr>
                <w:szCs w:val="22"/>
              </w:rPr>
              <w:t>53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12</w:t>
            </w:r>
            <w:r w:rsidR="00A0797A" w:rsidRPr="004A3269">
              <w:rPr>
                <w:szCs w:val="22"/>
              </w:rPr>
              <w:t> :</w:t>
            </w:r>
            <w:r w:rsidRPr="004A3269">
              <w:rPr>
                <w:szCs w:val="22"/>
              </w:rPr>
              <w:t xml:space="preserve"> Prestations au personnel</w:t>
            </w:r>
          </w:p>
        </w:tc>
        <w:tc>
          <w:tcPr>
            <w:tcW w:w="926" w:type="dxa"/>
            <w:shd w:val="clear" w:color="auto" w:fill="auto"/>
            <w:vAlign w:val="center"/>
          </w:tcPr>
          <w:p w:rsidR="005850EF" w:rsidRPr="004A3269" w:rsidRDefault="00410098" w:rsidP="008E7610">
            <w:pPr>
              <w:jc w:val="right"/>
              <w:rPr>
                <w:szCs w:val="22"/>
              </w:rPr>
            </w:pPr>
            <w:r>
              <w:rPr>
                <w:szCs w:val="22"/>
              </w:rPr>
              <w:t>53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13</w:t>
            </w:r>
            <w:r w:rsidR="00A0797A" w:rsidRPr="004A3269">
              <w:rPr>
                <w:szCs w:val="22"/>
              </w:rPr>
              <w:t> :</w:t>
            </w:r>
            <w:r w:rsidRPr="004A3269">
              <w:rPr>
                <w:szCs w:val="22"/>
              </w:rPr>
              <w:t xml:space="preserve"> Montants à payer</w:t>
            </w:r>
          </w:p>
        </w:tc>
        <w:tc>
          <w:tcPr>
            <w:tcW w:w="926" w:type="dxa"/>
            <w:shd w:val="clear" w:color="auto" w:fill="auto"/>
            <w:vAlign w:val="center"/>
          </w:tcPr>
          <w:p w:rsidR="005850EF" w:rsidRPr="004A3269" w:rsidRDefault="00410098" w:rsidP="00410098">
            <w:pPr>
              <w:jc w:val="right"/>
              <w:rPr>
                <w:szCs w:val="22"/>
              </w:rPr>
            </w:pPr>
            <w:r>
              <w:rPr>
                <w:szCs w:val="22"/>
              </w:rPr>
              <w:t>61</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14</w:t>
            </w:r>
            <w:r w:rsidR="00A0797A" w:rsidRPr="004A3269">
              <w:rPr>
                <w:szCs w:val="22"/>
              </w:rPr>
              <w:t> :</w:t>
            </w:r>
            <w:r w:rsidRPr="004A3269">
              <w:rPr>
                <w:szCs w:val="22"/>
              </w:rPr>
              <w:t xml:space="preserve"> Encaissements par anticipation</w:t>
            </w:r>
          </w:p>
        </w:tc>
        <w:tc>
          <w:tcPr>
            <w:tcW w:w="926" w:type="dxa"/>
            <w:shd w:val="clear" w:color="auto" w:fill="auto"/>
            <w:vAlign w:val="center"/>
          </w:tcPr>
          <w:p w:rsidR="005850EF" w:rsidRPr="004A3269" w:rsidRDefault="00410098" w:rsidP="00410098">
            <w:pPr>
              <w:jc w:val="right"/>
              <w:rPr>
                <w:szCs w:val="22"/>
              </w:rPr>
            </w:pPr>
            <w:r>
              <w:rPr>
                <w:szCs w:val="22"/>
              </w:rPr>
              <w:t>63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15</w:t>
            </w:r>
            <w:r w:rsidR="00A0797A" w:rsidRPr="004A3269">
              <w:rPr>
                <w:szCs w:val="22"/>
              </w:rPr>
              <w:t> :</w:t>
            </w:r>
            <w:r w:rsidRPr="004A3269">
              <w:rPr>
                <w:szCs w:val="22"/>
              </w:rPr>
              <w:t xml:space="preserve"> Emprunts</w:t>
            </w:r>
          </w:p>
        </w:tc>
        <w:tc>
          <w:tcPr>
            <w:tcW w:w="926" w:type="dxa"/>
            <w:shd w:val="clear" w:color="auto" w:fill="auto"/>
            <w:vAlign w:val="center"/>
          </w:tcPr>
          <w:p w:rsidR="005850EF" w:rsidRPr="004A3269" w:rsidRDefault="00410098" w:rsidP="00410098">
            <w:pPr>
              <w:jc w:val="right"/>
              <w:rPr>
                <w:szCs w:val="22"/>
              </w:rPr>
            </w:pPr>
            <w:r>
              <w:rPr>
                <w:szCs w:val="22"/>
              </w:rPr>
              <w:t>64</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16</w:t>
            </w:r>
            <w:r w:rsidR="00A0797A" w:rsidRPr="004A3269">
              <w:rPr>
                <w:szCs w:val="22"/>
              </w:rPr>
              <w:t> :</w:t>
            </w:r>
            <w:r w:rsidRPr="004A3269">
              <w:rPr>
                <w:szCs w:val="22"/>
              </w:rPr>
              <w:t xml:space="preserve"> Provisions</w:t>
            </w:r>
          </w:p>
        </w:tc>
        <w:tc>
          <w:tcPr>
            <w:tcW w:w="926" w:type="dxa"/>
            <w:shd w:val="clear" w:color="auto" w:fill="auto"/>
            <w:vAlign w:val="center"/>
          </w:tcPr>
          <w:p w:rsidR="005850EF" w:rsidRPr="004A3269" w:rsidRDefault="00410098" w:rsidP="00410098">
            <w:pPr>
              <w:jc w:val="right"/>
              <w:rPr>
                <w:szCs w:val="22"/>
              </w:rPr>
            </w:pPr>
            <w:r>
              <w:rPr>
                <w:szCs w:val="22"/>
              </w:rPr>
              <w:t>65</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17</w:t>
            </w:r>
            <w:r w:rsidR="00A0797A" w:rsidRPr="004A3269">
              <w:rPr>
                <w:szCs w:val="22"/>
              </w:rPr>
              <w:t> :</w:t>
            </w:r>
            <w:r w:rsidRPr="004A3269">
              <w:rPr>
                <w:szCs w:val="22"/>
              </w:rPr>
              <w:t xml:space="preserve"> Autres passifs</w:t>
            </w:r>
          </w:p>
        </w:tc>
        <w:tc>
          <w:tcPr>
            <w:tcW w:w="926" w:type="dxa"/>
            <w:shd w:val="clear" w:color="auto" w:fill="auto"/>
            <w:vAlign w:val="center"/>
          </w:tcPr>
          <w:p w:rsidR="005850EF" w:rsidRPr="004A3269" w:rsidRDefault="00410098" w:rsidP="00410098">
            <w:pPr>
              <w:jc w:val="right"/>
              <w:rPr>
                <w:szCs w:val="22"/>
              </w:rPr>
            </w:pPr>
            <w:r>
              <w:rPr>
                <w:szCs w:val="22"/>
              </w:rPr>
              <w:t>65</w:t>
            </w:r>
          </w:p>
        </w:tc>
      </w:tr>
      <w:tr w:rsidR="004A3269" w:rsidRPr="004A3269" w:rsidTr="00154F46">
        <w:tc>
          <w:tcPr>
            <w:tcW w:w="8703" w:type="dxa"/>
            <w:shd w:val="clear" w:color="auto" w:fill="auto"/>
            <w:vAlign w:val="center"/>
          </w:tcPr>
          <w:p w:rsidR="005850EF" w:rsidRPr="004A3269" w:rsidRDefault="004B6247" w:rsidP="00154F46">
            <w:pPr>
              <w:ind w:left="900"/>
              <w:rPr>
                <w:szCs w:val="22"/>
              </w:rPr>
            </w:pPr>
            <w:r w:rsidRPr="004A3269">
              <w:rPr>
                <w:szCs w:val="22"/>
              </w:rPr>
              <w:t>Note n</w:t>
            </w:r>
            <w:r w:rsidR="00154F46" w:rsidRPr="004A3269">
              <w:rPr>
                <w:szCs w:val="22"/>
              </w:rPr>
              <w:t>° </w:t>
            </w:r>
            <w:r w:rsidRPr="004A3269">
              <w:rPr>
                <w:szCs w:val="22"/>
              </w:rPr>
              <w:t>18</w:t>
            </w:r>
            <w:r w:rsidR="00A0797A" w:rsidRPr="004A3269">
              <w:rPr>
                <w:szCs w:val="22"/>
              </w:rPr>
              <w:t> :</w:t>
            </w:r>
            <w:r w:rsidRPr="004A3269">
              <w:rPr>
                <w:szCs w:val="22"/>
              </w:rPr>
              <w:t xml:space="preserve"> Passifs et actifs éventuels</w:t>
            </w:r>
          </w:p>
        </w:tc>
        <w:tc>
          <w:tcPr>
            <w:tcW w:w="926" w:type="dxa"/>
            <w:shd w:val="clear" w:color="auto" w:fill="auto"/>
            <w:vAlign w:val="center"/>
          </w:tcPr>
          <w:p w:rsidR="005850EF" w:rsidRPr="004A3269" w:rsidRDefault="00410098" w:rsidP="00410098">
            <w:pPr>
              <w:jc w:val="right"/>
              <w:rPr>
                <w:szCs w:val="22"/>
              </w:rPr>
            </w:pPr>
            <w:r>
              <w:rPr>
                <w:szCs w:val="22"/>
              </w:rPr>
              <w:t>66</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19</w:t>
            </w:r>
            <w:r w:rsidR="00A0797A" w:rsidRPr="004A3269">
              <w:rPr>
                <w:szCs w:val="22"/>
              </w:rPr>
              <w:t> :</w:t>
            </w:r>
            <w:r w:rsidRPr="004A3269">
              <w:rPr>
                <w:szCs w:val="22"/>
              </w:rPr>
              <w:t xml:space="preserve"> Contrats de location</w:t>
            </w:r>
          </w:p>
        </w:tc>
        <w:tc>
          <w:tcPr>
            <w:tcW w:w="926" w:type="dxa"/>
            <w:shd w:val="clear" w:color="auto" w:fill="auto"/>
            <w:vAlign w:val="center"/>
          </w:tcPr>
          <w:p w:rsidR="005850EF" w:rsidRPr="004A3269" w:rsidRDefault="00410098" w:rsidP="008E7610">
            <w:pPr>
              <w:jc w:val="right"/>
              <w:rPr>
                <w:szCs w:val="22"/>
              </w:rPr>
            </w:pPr>
            <w:r>
              <w:rPr>
                <w:szCs w:val="22"/>
              </w:rPr>
              <w:t>66</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20</w:t>
            </w:r>
            <w:r w:rsidR="00A0797A" w:rsidRPr="004A3269">
              <w:rPr>
                <w:szCs w:val="22"/>
              </w:rPr>
              <w:t> :</w:t>
            </w:r>
            <w:r w:rsidRPr="004A3269">
              <w:rPr>
                <w:szCs w:val="22"/>
              </w:rPr>
              <w:t xml:space="preserve"> Transactions avec une partie liée</w:t>
            </w:r>
          </w:p>
        </w:tc>
        <w:tc>
          <w:tcPr>
            <w:tcW w:w="926" w:type="dxa"/>
            <w:shd w:val="clear" w:color="auto" w:fill="auto"/>
            <w:vAlign w:val="center"/>
          </w:tcPr>
          <w:p w:rsidR="005850EF" w:rsidRPr="004A3269" w:rsidRDefault="000752F2" w:rsidP="00410098">
            <w:pPr>
              <w:jc w:val="right"/>
              <w:rPr>
                <w:szCs w:val="22"/>
              </w:rPr>
            </w:pPr>
            <w:r w:rsidRPr="004A3269">
              <w:rPr>
                <w:szCs w:val="22"/>
              </w:rPr>
              <w:t>6</w:t>
            </w:r>
            <w:r w:rsidR="00410098">
              <w:rPr>
                <w:szCs w:val="22"/>
              </w:rPr>
              <w:t>7</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21 : Réserves et solde des fonds</w:t>
            </w:r>
          </w:p>
        </w:tc>
        <w:tc>
          <w:tcPr>
            <w:tcW w:w="926" w:type="dxa"/>
            <w:shd w:val="clear" w:color="auto" w:fill="auto"/>
            <w:vAlign w:val="center"/>
          </w:tcPr>
          <w:p w:rsidR="005850EF" w:rsidRPr="004A3269" w:rsidRDefault="00410098" w:rsidP="00410098">
            <w:pPr>
              <w:jc w:val="right"/>
              <w:rPr>
                <w:szCs w:val="22"/>
              </w:rPr>
            </w:pPr>
            <w:r>
              <w:rPr>
                <w:szCs w:val="22"/>
              </w:rPr>
              <w:t>68</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22</w:t>
            </w:r>
            <w:r w:rsidR="00A0797A" w:rsidRPr="004A3269">
              <w:rPr>
                <w:szCs w:val="22"/>
              </w:rPr>
              <w:t> :</w:t>
            </w:r>
            <w:r w:rsidRPr="004A3269">
              <w:rPr>
                <w:szCs w:val="22"/>
              </w:rPr>
              <w:t xml:space="preserve"> Rapprochement entre l</w:t>
            </w:r>
            <w:r w:rsidR="009021AA" w:rsidRPr="004A3269">
              <w:rPr>
                <w:szCs w:val="22"/>
              </w:rPr>
              <w:t>’</w:t>
            </w:r>
            <w:r w:rsidRPr="004A3269">
              <w:rPr>
                <w:szCs w:val="22"/>
              </w:rPr>
              <w:t>état de comparaison budgétaire et l</w:t>
            </w:r>
            <w:r w:rsidR="009021AA" w:rsidRPr="004A3269">
              <w:rPr>
                <w:szCs w:val="22"/>
              </w:rPr>
              <w:t>’</w:t>
            </w:r>
            <w:r w:rsidRPr="004A3269">
              <w:rPr>
                <w:szCs w:val="22"/>
              </w:rPr>
              <w:t>état de la performance financière</w:t>
            </w:r>
          </w:p>
        </w:tc>
        <w:tc>
          <w:tcPr>
            <w:tcW w:w="926" w:type="dxa"/>
            <w:shd w:val="clear" w:color="auto" w:fill="auto"/>
            <w:vAlign w:val="center"/>
          </w:tcPr>
          <w:p w:rsidR="005850EF" w:rsidRPr="004A3269" w:rsidRDefault="00410098" w:rsidP="00410098">
            <w:pPr>
              <w:jc w:val="right"/>
              <w:rPr>
                <w:szCs w:val="22"/>
              </w:rPr>
            </w:pPr>
            <w:r>
              <w:rPr>
                <w:szCs w:val="22"/>
              </w:rPr>
              <w:t>70</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23</w:t>
            </w:r>
            <w:r w:rsidR="00A0797A" w:rsidRPr="004A3269">
              <w:rPr>
                <w:szCs w:val="22"/>
              </w:rPr>
              <w:t> :</w:t>
            </w:r>
            <w:r w:rsidRPr="004A3269">
              <w:rPr>
                <w:szCs w:val="22"/>
              </w:rPr>
              <w:t xml:space="preserve"> Recettes</w:t>
            </w:r>
          </w:p>
        </w:tc>
        <w:tc>
          <w:tcPr>
            <w:tcW w:w="926" w:type="dxa"/>
            <w:shd w:val="clear" w:color="auto" w:fill="auto"/>
            <w:vAlign w:val="center"/>
          </w:tcPr>
          <w:p w:rsidR="005850EF" w:rsidRPr="004A3269" w:rsidRDefault="00410098" w:rsidP="00410098">
            <w:pPr>
              <w:jc w:val="right"/>
              <w:rPr>
                <w:szCs w:val="22"/>
              </w:rPr>
            </w:pPr>
            <w:r>
              <w:rPr>
                <w:szCs w:val="22"/>
              </w:rPr>
              <w:t>71</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24</w:t>
            </w:r>
            <w:r w:rsidR="00A0797A" w:rsidRPr="004A3269">
              <w:rPr>
                <w:szCs w:val="22"/>
              </w:rPr>
              <w:t> :</w:t>
            </w:r>
            <w:r w:rsidRPr="004A3269">
              <w:rPr>
                <w:szCs w:val="22"/>
              </w:rPr>
              <w:t xml:space="preserve"> Dépenses</w:t>
            </w:r>
          </w:p>
        </w:tc>
        <w:tc>
          <w:tcPr>
            <w:tcW w:w="926" w:type="dxa"/>
            <w:shd w:val="clear" w:color="auto" w:fill="auto"/>
            <w:vAlign w:val="center"/>
          </w:tcPr>
          <w:p w:rsidR="005850EF" w:rsidRPr="004A3269" w:rsidRDefault="000752F2" w:rsidP="008E7610">
            <w:pPr>
              <w:jc w:val="right"/>
              <w:rPr>
                <w:szCs w:val="22"/>
              </w:rPr>
            </w:pPr>
            <w:r w:rsidRPr="004A3269">
              <w:rPr>
                <w:szCs w:val="22"/>
              </w:rPr>
              <w:t>7</w:t>
            </w:r>
            <w:r w:rsidR="00410098">
              <w:rPr>
                <w:szCs w:val="22"/>
              </w:rPr>
              <w:t>2</w:t>
            </w:r>
          </w:p>
        </w:tc>
      </w:tr>
      <w:tr w:rsidR="004A3269" w:rsidRPr="004A3269" w:rsidTr="00154F46">
        <w:tc>
          <w:tcPr>
            <w:tcW w:w="8703" w:type="dxa"/>
            <w:shd w:val="clear" w:color="auto" w:fill="auto"/>
            <w:vAlign w:val="center"/>
          </w:tcPr>
          <w:p w:rsidR="006C1085" w:rsidRPr="004A3269" w:rsidRDefault="004B6247" w:rsidP="004B6247">
            <w:pPr>
              <w:ind w:left="900"/>
              <w:rPr>
                <w:szCs w:val="22"/>
              </w:rPr>
            </w:pPr>
            <w:r w:rsidRPr="004A3269">
              <w:rPr>
                <w:szCs w:val="22"/>
              </w:rPr>
              <w:t>Note n</w:t>
            </w:r>
            <w:r w:rsidR="00154F46" w:rsidRPr="004A3269">
              <w:rPr>
                <w:szCs w:val="22"/>
              </w:rPr>
              <w:t>° </w:t>
            </w:r>
            <w:r w:rsidRPr="004A3269">
              <w:rPr>
                <w:szCs w:val="22"/>
              </w:rPr>
              <w:t>25</w:t>
            </w:r>
            <w:r w:rsidR="00A0797A" w:rsidRPr="004A3269">
              <w:rPr>
                <w:szCs w:val="22"/>
              </w:rPr>
              <w:t> :</w:t>
            </w:r>
            <w:r w:rsidRPr="004A3269">
              <w:rPr>
                <w:szCs w:val="22"/>
              </w:rPr>
              <w:t xml:space="preserve"> Instruments financiers</w:t>
            </w:r>
          </w:p>
        </w:tc>
        <w:tc>
          <w:tcPr>
            <w:tcW w:w="926" w:type="dxa"/>
            <w:shd w:val="clear" w:color="auto" w:fill="auto"/>
            <w:vAlign w:val="center"/>
          </w:tcPr>
          <w:p w:rsidR="006C1085" w:rsidRPr="004A3269" w:rsidRDefault="00410098" w:rsidP="00410098">
            <w:pPr>
              <w:jc w:val="right"/>
              <w:rPr>
                <w:szCs w:val="22"/>
              </w:rPr>
            </w:pPr>
            <w:r>
              <w:rPr>
                <w:szCs w:val="22"/>
              </w:rPr>
              <w:t>73</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26</w:t>
            </w:r>
            <w:r w:rsidR="00A0797A" w:rsidRPr="004A3269">
              <w:rPr>
                <w:szCs w:val="22"/>
              </w:rPr>
              <w:t> :</w:t>
            </w:r>
            <w:r w:rsidRPr="004A3269">
              <w:rPr>
                <w:szCs w:val="22"/>
              </w:rPr>
              <w:t xml:space="preserve"> Gains et pertes de change</w:t>
            </w:r>
          </w:p>
        </w:tc>
        <w:tc>
          <w:tcPr>
            <w:tcW w:w="926" w:type="dxa"/>
            <w:shd w:val="clear" w:color="auto" w:fill="auto"/>
            <w:vAlign w:val="center"/>
          </w:tcPr>
          <w:p w:rsidR="005850EF" w:rsidRPr="004A3269" w:rsidRDefault="000752F2" w:rsidP="00410098">
            <w:pPr>
              <w:jc w:val="right"/>
              <w:rPr>
                <w:szCs w:val="22"/>
              </w:rPr>
            </w:pPr>
            <w:r w:rsidRPr="004A3269">
              <w:rPr>
                <w:szCs w:val="22"/>
              </w:rPr>
              <w:t>7</w:t>
            </w:r>
            <w:r w:rsidR="00410098">
              <w:rPr>
                <w:szCs w:val="22"/>
              </w:rPr>
              <w:t>8</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27</w:t>
            </w:r>
            <w:r w:rsidR="00A0797A" w:rsidRPr="004A3269">
              <w:rPr>
                <w:szCs w:val="22"/>
              </w:rPr>
              <w:t> :</w:t>
            </w:r>
            <w:r w:rsidRPr="004A3269">
              <w:rPr>
                <w:szCs w:val="22"/>
              </w:rPr>
              <w:t xml:space="preserve"> Événements postérieurs à la date d</w:t>
            </w:r>
            <w:r w:rsidR="009021AA" w:rsidRPr="004A3269">
              <w:rPr>
                <w:szCs w:val="22"/>
              </w:rPr>
              <w:t>’</w:t>
            </w:r>
            <w:r w:rsidRPr="004A3269">
              <w:rPr>
                <w:szCs w:val="22"/>
              </w:rPr>
              <w:t>établissement des états financiers</w:t>
            </w:r>
          </w:p>
        </w:tc>
        <w:tc>
          <w:tcPr>
            <w:tcW w:w="926" w:type="dxa"/>
            <w:shd w:val="clear" w:color="auto" w:fill="auto"/>
            <w:vAlign w:val="center"/>
          </w:tcPr>
          <w:p w:rsidR="005850EF" w:rsidRPr="004A3269" w:rsidRDefault="000752F2" w:rsidP="00410098">
            <w:pPr>
              <w:jc w:val="right"/>
              <w:rPr>
                <w:szCs w:val="22"/>
              </w:rPr>
            </w:pPr>
            <w:r w:rsidRPr="004A3269">
              <w:rPr>
                <w:szCs w:val="22"/>
              </w:rPr>
              <w:t>7</w:t>
            </w:r>
            <w:r w:rsidR="00410098">
              <w:rPr>
                <w:szCs w:val="22"/>
              </w:rPr>
              <w:t>9</w:t>
            </w:r>
          </w:p>
        </w:tc>
      </w:tr>
      <w:tr w:rsidR="004A3269" w:rsidRPr="004A3269" w:rsidTr="00154F46">
        <w:tc>
          <w:tcPr>
            <w:tcW w:w="8703" w:type="dxa"/>
            <w:shd w:val="clear" w:color="auto" w:fill="auto"/>
            <w:vAlign w:val="center"/>
          </w:tcPr>
          <w:p w:rsidR="005850EF" w:rsidRPr="004A3269" w:rsidRDefault="004B6247" w:rsidP="004B6247">
            <w:pPr>
              <w:ind w:left="900"/>
              <w:rPr>
                <w:szCs w:val="22"/>
              </w:rPr>
            </w:pPr>
            <w:r w:rsidRPr="004A3269">
              <w:rPr>
                <w:szCs w:val="22"/>
              </w:rPr>
              <w:t>Note n</w:t>
            </w:r>
            <w:r w:rsidR="00154F46" w:rsidRPr="004A3269">
              <w:rPr>
                <w:szCs w:val="22"/>
              </w:rPr>
              <w:t>° </w:t>
            </w:r>
            <w:r w:rsidRPr="004A3269">
              <w:rPr>
                <w:szCs w:val="22"/>
              </w:rPr>
              <w:t>28</w:t>
            </w:r>
            <w:r w:rsidR="00A0797A" w:rsidRPr="004A3269">
              <w:rPr>
                <w:szCs w:val="22"/>
              </w:rPr>
              <w:t> :</w:t>
            </w:r>
            <w:r w:rsidRPr="004A3269">
              <w:rPr>
                <w:szCs w:val="22"/>
              </w:rPr>
              <w:t xml:space="preserve"> Information sectorielle</w:t>
            </w:r>
          </w:p>
        </w:tc>
        <w:tc>
          <w:tcPr>
            <w:tcW w:w="926" w:type="dxa"/>
            <w:shd w:val="clear" w:color="auto" w:fill="auto"/>
            <w:vAlign w:val="center"/>
          </w:tcPr>
          <w:p w:rsidR="005850EF" w:rsidRPr="004A3269" w:rsidRDefault="00410098" w:rsidP="00410098">
            <w:pPr>
              <w:jc w:val="right"/>
              <w:rPr>
                <w:szCs w:val="22"/>
              </w:rPr>
            </w:pPr>
            <w:r>
              <w:rPr>
                <w:szCs w:val="22"/>
              </w:rPr>
              <w:t>80</w:t>
            </w:r>
          </w:p>
        </w:tc>
      </w:tr>
      <w:tr w:rsidR="004A3269" w:rsidRPr="004A3269" w:rsidTr="00154F46">
        <w:tc>
          <w:tcPr>
            <w:tcW w:w="8703" w:type="dxa"/>
            <w:shd w:val="clear" w:color="auto" w:fill="auto"/>
            <w:vAlign w:val="center"/>
          </w:tcPr>
          <w:p w:rsidR="0084254D" w:rsidRPr="004A3269" w:rsidRDefault="004B6247" w:rsidP="004B6247">
            <w:pPr>
              <w:rPr>
                <w:b/>
                <w:szCs w:val="22"/>
              </w:rPr>
            </w:pPr>
            <w:r w:rsidRPr="004A3269">
              <w:rPr>
                <w:b/>
                <w:szCs w:val="22"/>
              </w:rPr>
              <w:t>ANNEXES</w:t>
            </w:r>
          </w:p>
        </w:tc>
        <w:tc>
          <w:tcPr>
            <w:tcW w:w="926" w:type="dxa"/>
            <w:shd w:val="clear" w:color="auto" w:fill="auto"/>
            <w:vAlign w:val="center"/>
          </w:tcPr>
          <w:p w:rsidR="0084254D" w:rsidRPr="004A3269" w:rsidRDefault="0084254D" w:rsidP="008E7610">
            <w:pPr>
              <w:jc w:val="right"/>
              <w:rPr>
                <w:szCs w:val="22"/>
              </w:rPr>
            </w:pPr>
          </w:p>
        </w:tc>
      </w:tr>
      <w:tr w:rsidR="004A3269" w:rsidRPr="004A3269" w:rsidTr="00154F46">
        <w:tc>
          <w:tcPr>
            <w:tcW w:w="8703" w:type="dxa"/>
            <w:shd w:val="clear" w:color="auto" w:fill="auto"/>
            <w:vAlign w:val="center"/>
          </w:tcPr>
          <w:p w:rsidR="005850EF" w:rsidRPr="004A3269" w:rsidRDefault="004B6247" w:rsidP="00154F46">
            <w:pPr>
              <w:rPr>
                <w:szCs w:val="22"/>
              </w:rPr>
            </w:pPr>
            <w:r w:rsidRPr="004A3269">
              <w:rPr>
                <w:szCs w:val="22"/>
              </w:rPr>
              <w:t xml:space="preserve">ANNEXE I – État de la </w:t>
            </w:r>
            <w:r w:rsidR="00154F46" w:rsidRPr="004A3269">
              <w:rPr>
                <w:szCs w:val="22"/>
              </w:rPr>
              <w:t>situation</w:t>
            </w:r>
            <w:r w:rsidRPr="004A3269">
              <w:rPr>
                <w:szCs w:val="22"/>
              </w:rPr>
              <w:t xml:space="preserve"> </w:t>
            </w:r>
            <w:r w:rsidR="00154F46" w:rsidRPr="004A3269">
              <w:rPr>
                <w:szCs w:val="22"/>
              </w:rPr>
              <w:t xml:space="preserve">financière </w:t>
            </w:r>
            <w:r w:rsidRPr="004A3269">
              <w:rPr>
                <w:szCs w:val="22"/>
              </w:rPr>
              <w:t xml:space="preserve">par </w:t>
            </w:r>
            <w:r w:rsidR="00154F46" w:rsidRPr="004A3269">
              <w:rPr>
                <w:szCs w:val="22"/>
              </w:rPr>
              <w:t>source</w:t>
            </w:r>
            <w:r w:rsidRPr="004A3269">
              <w:rPr>
                <w:szCs w:val="22"/>
              </w:rPr>
              <w:t xml:space="preserve"> de </w:t>
            </w:r>
            <w:r w:rsidR="00154F46" w:rsidRPr="004A3269">
              <w:rPr>
                <w:szCs w:val="22"/>
              </w:rPr>
              <w:t xml:space="preserve">financement </w:t>
            </w:r>
            <w:r w:rsidRPr="004A3269">
              <w:rPr>
                <w:szCs w:val="22"/>
              </w:rPr>
              <w:t>[</w:t>
            </w:r>
            <w:r w:rsidR="00154F46" w:rsidRPr="004A3269">
              <w:rPr>
                <w:szCs w:val="22"/>
              </w:rPr>
              <w:t>non vérifié</w:t>
            </w:r>
            <w:r w:rsidRPr="004A3269">
              <w:rPr>
                <w:szCs w:val="22"/>
              </w:rPr>
              <w:t>]</w:t>
            </w:r>
          </w:p>
        </w:tc>
        <w:tc>
          <w:tcPr>
            <w:tcW w:w="926" w:type="dxa"/>
            <w:shd w:val="clear" w:color="auto" w:fill="auto"/>
            <w:vAlign w:val="center"/>
          </w:tcPr>
          <w:p w:rsidR="005850EF" w:rsidRPr="004A3269" w:rsidRDefault="00410098" w:rsidP="00410098">
            <w:pPr>
              <w:jc w:val="right"/>
              <w:rPr>
                <w:szCs w:val="22"/>
              </w:rPr>
            </w:pPr>
            <w:r>
              <w:rPr>
                <w:szCs w:val="22"/>
              </w:rPr>
              <w:t>82</w:t>
            </w:r>
          </w:p>
        </w:tc>
      </w:tr>
      <w:tr w:rsidR="004A3269" w:rsidRPr="004A3269" w:rsidTr="00154F46">
        <w:tc>
          <w:tcPr>
            <w:tcW w:w="8703" w:type="dxa"/>
            <w:shd w:val="clear" w:color="auto" w:fill="auto"/>
            <w:vAlign w:val="center"/>
          </w:tcPr>
          <w:p w:rsidR="005850EF" w:rsidRPr="004A3269" w:rsidRDefault="004B6247" w:rsidP="00154F46">
            <w:pPr>
              <w:rPr>
                <w:szCs w:val="22"/>
              </w:rPr>
            </w:pPr>
            <w:r w:rsidRPr="004A3269">
              <w:rPr>
                <w:szCs w:val="22"/>
              </w:rPr>
              <w:t>ANNEXE II –</w:t>
            </w:r>
            <w:r w:rsidR="00154F46" w:rsidRPr="004A3269">
              <w:rPr>
                <w:szCs w:val="22"/>
              </w:rPr>
              <w:t xml:space="preserve"> État de la</w:t>
            </w:r>
            <w:r w:rsidRPr="004A3269">
              <w:rPr>
                <w:szCs w:val="22"/>
              </w:rPr>
              <w:t xml:space="preserve"> </w:t>
            </w:r>
            <w:r w:rsidR="00154F46" w:rsidRPr="004A3269">
              <w:rPr>
                <w:szCs w:val="22"/>
              </w:rPr>
              <w:t>performance financière par source de financement [non</w:t>
            </w:r>
            <w:r w:rsidRPr="004A3269">
              <w:rPr>
                <w:szCs w:val="22"/>
              </w:rPr>
              <w:t xml:space="preserve"> </w:t>
            </w:r>
            <w:r w:rsidR="00154F46" w:rsidRPr="004A3269">
              <w:rPr>
                <w:szCs w:val="22"/>
              </w:rPr>
              <w:t>vérifié]</w:t>
            </w:r>
          </w:p>
        </w:tc>
        <w:tc>
          <w:tcPr>
            <w:tcW w:w="926" w:type="dxa"/>
            <w:shd w:val="clear" w:color="auto" w:fill="auto"/>
            <w:vAlign w:val="center"/>
          </w:tcPr>
          <w:p w:rsidR="005850EF" w:rsidRPr="004A3269" w:rsidRDefault="00410098" w:rsidP="00410098">
            <w:pPr>
              <w:jc w:val="right"/>
              <w:rPr>
                <w:szCs w:val="22"/>
              </w:rPr>
            </w:pPr>
            <w:r>
              <w:rPr>
                <w:szCs w:val="22"/>
              </w:rPr>
              <w:t>83</w:t>
            </w:r>
          </w:p>
        </w:tc>
      </w:tr>
      <w:tr w:rsidR="004A3269" w:rsidRPr="004A3269" w:rsidTr="00154F46">
        <w:tc>
          <w:tcPr>
            <w:tcW w:w="8703" w:type="dxa"/>
            <w:shd w:val="clear" w:color="auto" w:fill="auto"/>
            <w:vAlign w:val="center"/>
          </w:tcPr>
          <w:p w:rsidR="0076210C" w:rsidRPr="004A3269" w:rsidRDefault="004B6247" w:rsidP="00154F46">
            <w:pPr>
              <w:rPr>
                <w:szCs w:val="22"/>
              </w:rPr>
            </w:pPr>
            <w:r w:rsidRPr="004A3269">
              <w:rPr>
                <w:szCs w:val="22"/>
              </w:rPr>
              <w:t>A</w:t>
            </w:r>
            <w:r w:rsidR="00154F46" w:rsidRPr="004A3269">
              <w:rPr>
                <w:szCs w:val="22"/>
              </w:rPr>
              <w:t>NNEXE</w:t>
            </w:r>
            <w:r w:rsidRPr="004A3269">
              <w:rPr>
                <w:szCs w:val="22"/>
              </w:rPr>
              <w:t xml:space="preserve"> III </w:t>
            </w:r>
            <w:r w:rsidR="00154F46" w:rsidRPr="004A3269">
              <w:rPr>
                <w:szCs w:val="22"/>
              </w:rPr>
              <w:t>–</w:t>
            </w:r>
            <w:r w:rsidRPr="004A3269">
              <w:rPr>
                <w:szCs w:val="22"/>
              </w:rPr>
              <w:t xml:space="preserve"> Comptes spéciaux par contributions de donateurs</w:t>
            </w:r>
          </w:p>
        </w:tc>
        <w:tc>
          <w:tcPr>
            <w:tcW w:w="926" w:type="dxa"/>
            <w:shd w:val="clear" w:color="auto" w:fill="auto"/>
            <w:vAlign w:val="center"/>
          </w:tcPr>
          <w:p w:rsidR="0076210C" w:rsidRPr="004A3269" w:rsidRDefault="00410098" w:rsidP="00410098">
            <w:pPr>
              <w:jc w:val="right"/>
              <w:rPr>
                <w:szCs w:val="22"/>
              </w:rPr>
            </w:pPr>
            <w:r>
              <w:rPr>
                <w:szCs w:val="22"/>
              </w:rPr>
              <w:t>84</w:t>
            </w:r>
          </w:p>
        </w:tc>
      </w:tr>
      <w:tr w:rsidR="001F6A09" w:rsidRPr="004A3269" w:rsidTr="00154F46">
        <w:tc>
          <w:tcPr>
            <w:tcW w:w="8703" w:type="dxa"/>
            <w:shd w:val="clear" w:color="auto" w:fill="auto"/>
            <w:vAlign w:val="center"/>
          </w:tcPr>
          <w:p w:rsidR="001F6A09" w:rsidRPr="004A3269" w:rsidRDefault="004B6247" w:rsidP="004B6247">
            <w:pPr>
              <w:rPr>
                <w:szCs w:val="22"/>
              </w:rPr>
            </w:pPr>
            <w:r w:rsidRPr="004A3269">
              <w:rPr>
                <w:szCs w:val="22"/>
              </w:rPr>
              <w:t>ANNEXE IV – Versements à titre gracieux</w:t>
            </w:r>
            <w:r w:rsidR="001F6A09" w:rsidRPr="004A3269">
              <w:rPr>
                <w:szCs w:val="22"/>
              </w:rPr>
              <w:t xml:space="preserve"> </w:t>
            </w:r>
          </w:p>
        </w:tc>
        <w:tc>
          <w:tcPr>
            <w:tcW w:w="926" w:type="dxa"/>
            <w:shd w:val="clear" w:color="auto" w:fill="auto"/>
            <w:vAlign w:val="center"/>
          </w:tcPr>
          <w:p w:rsidR="001F6A09" w:rsidRPr="004A3269" w:rsidRDefault="00410098" w:rsidP="00410098">
            <w:pPr>
              <w:jc w:val="right"/>
              <w:rPr>
                <w:szCs w:val="22"/>
              </w:rPr>
            </w:pPr>
            <w:r>
              <w:rPr>
                <w:szCs w:val="22"/>
              </w:rPr>
              <w:t>85</w:t>
            </w:r>
          </w:p>
        </w:tc>
      </w:tr>
    </w:tbl>
    <w:p w:rsidR="00267140" w:rsidRPr="004A3269" w:rsidRDefault="00267140" w:rsidP="008F3CD9"/>
    <w:p w:rsidR="00267140" w:rsidRPr="004A3269" w:rsidRDefault="00267140" w:rsidP="008F3CD9">
      <w:pPr>
        <w:rPr>
          <w:sz w:val="20"/>
        </w:rPr>
      </w:pPr>
    </w:p>
    <w:p w:rsidR="00267140" w:rsidRPr="004A3269" w:rsidRDefault="00267140" w:rsidP="007C6D77">
      <w:pPr>
        <w:jc w:val="both"/>
        <w:rPr>
          <w:rFonts w:ascii="Arial Narrow" w:hAnsi="Arial Narrow"/>
          <w:sz w:val="18"/>
          <w:szCs w:val="18"/>
        </w:rPr>
      </w:pPr>
    </w:p>
    <w:p w:rsidR="00267140" w:rsidRPr="004A3269" w:rsidRDefault="00267140" w:rsidP="007C6D77">
      <w:pPr>
        <w:jc w:val="both"/>
        <w:rPr>
          <w:rFonts w:ascii="Arial Narrow" w:hAnsi="Arial Narrow"/>
          <w:sz w:val="18"/>
          <w:szCs w:val="18"/>
        </w:rPr>
      </w:pPr>
    </w:p>
    <w:p w:rsidR="00267140" w:rsidRPr="004A3269" w:rsidRDefault="00267140" w:rsidP="007C6D77">
      <w:pPr>
        <w:jc w:val="both"/>
        <w:rPr>
          <w:rFonts w:ascii="Arial Narrow" w:hAnsi="Arial Narrow"/>
          <w:sz w:val="18"/>
          <w:szCs w:val="18"/>
        </w:rPr>
      </w:pPr>
    </w:p>
    <w:p w:rsidR="000151E2" w:rsidRPr="004A3269" w:rsidRDefault="000151E2" w:rsidP="007C6D77">
      <w:pPr>
        <w:jc w:val="both"/>
        <w:rPr>
          <w:rFonts w:ascii="Arial Narrow" w:hAnsi="Arial Narrow"/>
          <w:sz w:val="18"/>
          <w:szCs w:val="18"/>
        </w:rPr>
        <w:sectPr w:rsidR="000151E2" w:rsidRPr="004A3269" w:rsidSect="00E337BC">
          <w:headerReference w:type="default" r:id="rId17"/>
          <w:footerReference w:type="default" r:id="rId18"/>
          <w:headerReference w:type="first" r:id="rId19"/>
          <w:pgSz w:w="11907" w:h="16840" w:code="9"/>
          <w:pgMar w:top="851" w:right="1247" w:bottom="1191" w:left="1247" w:header="709" w:footer="709" w:gutter="0"/>
          <w:pgNumType w:start="1"/>
          <w:cols w:space="708"/>
          <w:titlePg/>
          <w:docGrid w:linePitch="360"/>
        </w:sectPr>
      </w:pPr>
    </w:p>
    <w:p w:rsidR="00267140" w:rsidRPr="004A3269" w:rsidRDefault="004B6247" w:rsidP="004B6247">
      <w:pPr>
        <w:keepNext/>
        <w:jc w:val="center"/>
        <w:outlineLvl w:val="0"/>
        <w:rPr>
          <w:rFonts w:eastAsia="SimSun"/>
          <w:b/>
          <w:bCs/>
          <w:caps/>
          <w:kern w:val="32"/>
          <w:szCs w:val="22"/>
        </w:rPr>
      </w:pPr>
      <w:bookmarkStart w:id="5" w:name="_Toc292716986"/>
      <w:bookmarkStart w:id="6" w:name="_Toc292717126"/>
      <w:bookmarkStart w:id="7" w:name="_Toc292717463"/>
      <w:r w:rsidRPr="004A3269">
        <w:rPr>
          <w:rFonts w:eastAsia="SimSun"/>
          <w:b/>
          <w:bCs/>
          <w:caps/>
          <w:kern w:val="32"/>
          <w:szCs w:val="22"/>
        </w:rPr>
        <w:lastRenderedPageBreak/>
        <w:t>Rapport financier annuel</w:t>
      </w:r>
    </w:p>
    <w:bookmarkEnd w:id="5"/>
    <w:bookmarkEnd w:id="6"/>
    <w:bookmarkEnd w:id="7"/>
    <w:p w:rsidR="00267140" w:rsidRPr="004A3269" w:rsidRDefault="003D7C06" w:rsidP="003D7C06">
      <w:pPr>
        <w:pStyle w:val="Heading1"/>
      </w:pPr>
      <w:r w:rsidRPr="004A3269">
        <w:t>Introduction</w:t>
      </w:r>
    </w:p>
    <w:p w:rsidR="00A60F30" w:rsidRPr="004A3269" w:rsidRDefault="00A60F30" w:rsidP="004B6247">
      <w:pPr>
        <w:keepNext/>
        <w:jc w:val="both"/>
        <w:outlineLvl w:val="0"/>
        <w:rPr>
          <w:b/>
          <w:bCs/>
          <w:kern w:val="40"/>
          <w:szCs w:val="22"/>
        </w:rPr>
      </w:pPr>
    </w:p>
    <w:p w:rsidR="00267140" w:rsidRPr="003D7C06" w:rsidRDefault="004B6247" w:rsidP="003D7C06">
      <w:pPr>
        <w:pStyle w:val="ONUMFS"/>
        <w:numPr>
          <w:ilvl w:val="0"/>
          <w:numId w:val="26"/>
        </w:numPr>
        <w:rPr>
          <w:rFonts w:eastAsia="SimSun"/>
          <w:lang w:eastAsia="zh-CN"/>
        </w:rPr>
      </w:pPr>
      <w:r w:rsidRPr="003D7C06">
        <w:rPr>
          <w:rFonts w:eastAsia="SimSun"/>
          <w:lang w:eastAsia="zh-CN"/>
        </w:rPr>
        <w:t>Les états financiers de l</w:t>
      </w:r>
      <w:r w:rsidR="009021AA" w:rsidRPr="003D7C06">
        <w:rPr>
          <w:rFonts w:eastAsia="SimSun"/>
          <w:lang w:eastAsia="zh-CN"/>
        </w:rPr>
        <w:t>’</w:t>
      </w:r>
      <w:r w:rsidRPr="003D7C06">
        <w:rPr>
          <w:rFonts w:eastAsia="SimSun"/>
          <w:lang w:eastAsia="zh-CN"/>
        </w:rPr>
        <w:t>Organisation Mondiale de la Propriété Intellectuelle (OMPI) au 31</w:t>
      </w:r>
      <w:r w:rsidR="00154F46" w:rsidRPr="003D7C06">
        <w:rPr>
          <w:rFonts w:eastAsia="SimSun"/>
          <w:lang w:eastAsia="zh-CN"/>
        </w:rPr>
        <w:t> décembre </w:t>
      </w:r>
      <w:r w:rsidRPr="003D7C06">
        <w:rPr>
          <w:rFonts w:eastAsia="SimSun"/>
          <w:lang w:eastAsia="zh-CN"/>
        </w:rPr>
        <w:t>2014 sont présentés aux assemblées des États membres de l</w:t>
      </w:r>
      <w:r w:rsidR="009021AA" w:rsidRPr="003D7C06">
        <w:rPr>
          <w:rFonts w:eastAsia="SimSun"/>
          <w:lang w:eastAsia="zh-CN"/>
        </w:rPr>
        <w:t>’</w:t>
      </w:r>
      <w:r w:rsidRPr="003D7C06">
        <w:rPr>
          <w:rFonts w:eastAsia="SimSun"/>
          <w:lang w:eastAsia="zh-CN"/>
        </w:rPr>
        <w:t>OMPI conformément à l</w:t>
      </w:r>
      <w:r w:rsidR="009021AA" w:rsidRPr="003D7C06">
        <w:rPr>
          <w:rFonts w:eastAsia="SimSun"/>
          <w:lang w:eastAsia="zh-CN"/>
        </w:rPr>
        <w:t>’</w:t>
      </w:r>
      <w:r w:rsidR="00A0797A" w:rsidRPr="003D7C06">
        <w:rPr>
          <w:rFonts w:eastAsia="SimSun"/>
          <w:lang w:eastAsia="zh-CN"/>
        </w:rPr>
        <w:t>article </w:t>
      </w:r>
      <w:r w:rsidRPr="003D7C06">
        <w:rPr>
          <w:rFonts w:eastAsia="SimSun"/>
          <w:lang w:eastAsia="zh-CN"/>
        </w:rPr>
        <w:t>6.7 du Règlement financier.</w:t>
      </w:r>
      <w:r w:rsidR="00B9245C" w:rsidRPr="003D7C06">
        <w:rPr>
          <w:rFonts w:eastAsia="SimSun"/>
        </w:rPr>
        <w:t xml:space="preserve"> </w:t>
      </w:r>
      <w:r w:rsidR="00154F46" w:rsidRPr="003D7C06">
        <w:rPr>
          <w:rFonts w:eastAsia="SimSun"/>
        </w:rPr>
        <w:t xml:space="preserve"> </w:t>
      </w:r>
      <w:r w:rsidRPr="003D7C06">
        <w:rPr>
          <w:rFonts w:eastAsia="SimSun"/>
          <w:lang w:eastAsia="zh-CN"/>
        </w:rPr>
        <w:t>Les états financiers ont été établis conformément aux Normes comptables internationales du secteur public (normes</w:t>
      </w:r>
      <w:r w:rsidR="00067463" w:rsidRPr="003D7C06">
        <w:rPr>
          <w:rFonts w:eastAsia="SimSun"/>
          <w:lang w:eastAsia="zh-CN"/>
        </w:rPr>
        <w:t> </w:t>
      </w:r>
      <w:r w:rsidRPr="003D7C06">
        <w:rPr>
          <w:rFonts w:eastAsia="SimSun"/>
          <w:lang w:eastAsia="zh-CN"/>
        </w:rPr>
        <w:t>IPSAS).</w:t>
      </w:r>
      <w:r w:rsidR="004D2395" w:rsidRPr="003D7C06">
        <w:rPr>
          <w:rFonts w:eastAsia="SimSun"/>
        </w:rPr>
        <w:t xml:space="preserve"> </w:t>
      </w:r>
      <w:r w:rsidR="00154F46" w:rsidRPr="003D7C06">
        <w:rPr>
          <w:rFonts w:eastAsia="SimSun"/>
        </w:rPr>
        <w:t xml:space="preserve"> </w:t>
      </w:r>
      <w:r w:rsidRPr="003D7C06">
        <w:rPr>
          <w:rFonts w:eastAsia="SimSun"/>
          <w:lang w:eastAsia="zh-CN"/>
        </w:rPr>
        <w:t>Ils constituent la cinquième série d</w:t>
      </w:r>
      <w:r w:rsidR="009021AA" w:rsidRPr="003D7C06">
        <w:rPr>
          <w:rFonts w:eastAsia="SimSun"/>
          <w:lang w:eastAsia="zh-CN"/>
        </w:rPr>
        <w:t>’</w:t>
      </w:r>
      <w:r w:rsidRPr="003D7C06">
        <w:rPr>
          <w:rFonts w:eastAsia="SimSun"/>
          <w:lang w:eastAsia="zh-CN"/>
        </w:rPr>
        <w:t>états financiers établis conformément aux normes</w:t>
      </w:r>
      <w:r w:rsidR="00067463" w:rsidRPr="003D7C06">
        <w:rPr>
          <w:rFonts w:eastAsia="SimSun"/>
          <w:lang w:eastAsia="zh-CN"/>
        </w:rPr>
        <w:t> </w:t>
      </w:r>
      <w:r w:rsidRPr="003D7C06">
        <w:rPr>
          <w:rFonts w:eastAsia="SimSun"/>
          <w:lang w:eastAsia="zh-CN"/>
        </w:rPr>
        <w:t>IPSAS, après leur adoption par l</w:t>
      </w:r>
      <w:r w:rsidR="009021AA" w:rsidRPr="003D7C06">
        <w:rPr>
          <w:rFonts w:eastAsia="SimSun"/>
          <w:lang w:eastAsia="zh-CN"/>
        </w:rPr>
        <w:t>’</w:t>
      </w:r>
      <w:r w:rsidRPr="003D7C06">
        <w:rPr>
          <w:rFonts w:eastAsia="SimSun"/>
          <w:lang w:eastAsia="zh-CN"/>
        </w:rPr>
        <w:t>OMPI le 1</w:t>
      </w:r>
      <w:r w:rsidRPr="003D7C06">
        <w:rPr>
          <w:rFonts w:eastAsia="SimSun"/>
          <w:vertAlign w:val="superscript"/>
          <w:lang w:eastAsia="zh-CN"/>
        </w:rPr>
        <w:t>er</w:t>
      </w:r>
      <w:r w:rsidR="00AF6436" w:rsidRPr="003D7C06">
        <w:rPr>
          <w:rFonts w:eastAsia="SimSun"/>
          <w:lang w:eastAsia="zh-CN"/>
        </w:rPr>
        <w:t> janvier </w:t>
      </w:r>
      <w:r w:rsidRPr="003D7C06">
        <w:rPr>
          <w:rFonts w:eastAsia="SimSun"/>
          <w:lang w:eastAsia="zh-CN"/>
        </w:rPr>
        <w:t>2010.</w:t>
      </w:r>
    </w:p>
    <w:p w:rsidR="00267140" w:rsidRPr="004A3269" w:rsidRDefault="004B6247" w:rsidP="003D7C06">
      <w:pPr>
        <w:pStyle w:val="ONUMFS"/>
        <w:rPr>
          <w:rFonts w:eastAsia="SimSun"/>
          <w:szCs w:val="22"/>
          <w:lang w:eastAsia="zh-CN"/>
        </w:rPr>
      </w:pPr>
      <w:r w:rsidRPr="004A3269">
        <w:rPr>
          <w:rFonts w:eastAsia="SimSun"/>
          <w:szCs w:val="22"/>
          <w:lang w:eastAsia="zh-CN"/>
        </w:rPr>
        <w:t>Le rapport du vérificateur externe des comptes sur la vérification des états financiers de</w:t>
      </w:r>
      <w:r w:rsidR="00067463" w:rsidRPr="004A3269">
        <w:rPr>
          <w:rFonts w:eastAsia="SimSun"/>
          <w:szCs w:val="22"/>
          <w:lang w:eastAsia="zh-CN"/>
        </w:rPr>
        <w:t> </w:t>
      </w:r>
      <w:r w:rsidRPr="004A3269">
        <w:rPr>
          <w:rFonts w:eastAsia="SimSun"/>
          <w:szCs w:val="22"/>
          <w:lang w:eastAsia="zh-CN"/>
        </w:rPr>
        <w:t>2014, ainsi que son opinion sur les états financiers, sont également présentés aux assemblées des États membres de l</w:t>
      </w:r>
      <w:r w:rsidR="009021AA" w:rsidRPr="004A3269">
        <w:rPr>
          <w:rFonts w:eastAsia="SimSun"/>
          <w:szCs w:val="22"/>
          <w:lang w:eastAsia="zh-CN"/>
        </w:rPr>
        <w:t>’</w:t>
      </w:r>
      <w:r w:rsidRPr="004A3269">
        <w:rPr>
          <w:rFonts w:eastAsia="SimSun"/>
          <w:szCs w:val="22"/>
          <w:lang w:eastAsia="zh-CN"/>
        </w:rPr>
        <w:t>OMPI conformément aux dispositions de l</w:t>
      </w:r>
      <w:r w:rsidR="009021AA" w:rsidRPr="004A3269">
        <w:rPr>
          <w:rFonts w:eastAsia="SimSun"/>
          <w:szCs w:val="22"/>
          <w:lang w:eastAsia="zh-CN"/>
        </w:rPr>
        <w:t>’</w:t>
      </w:r>
      <w:r w:rsidRPr="004A3269">
        <w:rPr>
          <w:rFonts w:eastAsia="SimSun"/>
          <w:szCs w:val="22"/>
          <w:lang w:eastAsia="zh-CN"/>
        </w:rPr>
        <w:t>article</w:t>
      </w:r>
      <w:r w:rsidR="00067463" w:rsidRPr="004A3269">
        <w:rPr>
          <w:rFonts w:eastAsia="SimSun"/>
          <w:szCs w:val="22"/>
          <w:lang w:eastAsia="zh-CN"/>
        </w:rPr>
        <w:t> </w:t>
      </w:r>
      <w:r w:rsidRPr="004A3269">
        <w:rPr>
          <w:rFonts w:eastAsia="SimSun"/>
          <w:szCs w:val="22"/>
          <w:lang w:eastAsia="zh-CN"/>
        </w:rPr>
        <w:t>8.11 du Règlement financier et de l</w:t>
      </w:r>
      <w:r w:rsidR="009021AA" w:rsidRPr="004A3269">
        <w:rPr>
          <w:rFonts w:eastAsia="SimSun"/>
          <w:szCs w:val="22"/>
          <w:lang w:eastAsia="zh-CN"/>
        </w:rPr>
        <w:t>’</w:t>
      </w:r>
      <w:r w:rsidRPr="004A3269">
        <w:rPr>
          <w:rFonts w:eastAsia="SimSun"/>
          <w:szCs w:val="22"/>
          <w:lang w:eastAsia="zh-CN"/>
        </w:rPr>
        <w:t>annexe</w:t>
      </w:r>
      <w:r w:rsidR="00067463" w:rsidRPr="004A3269">
        <w:rPr>
          <w:rFonts w:eastAsia="SimSun"/>
          <w:szCs w:val="22"/>
          <w:lang w:eastAsia="zh-CN"/>
        </w:rPr>
        <w:t> </w:t>
      </w:r>
      <w:r w:rsidRPr="004A3269">
        <w:rPr>
          <w:rFonts w:eastAsia="SimSun"/>
          <w:szCs w:val="22"/>
          <w:lang w:eastAsia="zh-CN"/>
        </w:rPr>
        <w:t>II du Règlement financier et de son règlement d</w:t>
      </w:r>
      <w:r w:rsidR="009021AA" w:rsidRPr="004A3269">
        <w:rPr>
          <w:rFonts w:eastAsia="SimSun"/>
          <w:szCs w:val="22"/>
          <w:lang w:eastAsia="zh-CN"/>
        </w:rPr>
        <w:t>’</w:t>
      </w:r>
      <w:r w:rsidRPr="004A3269">
        <w:rPr>
          <w:rFonts w:eastAsia="SimSun"/>
          <w:szCs w:val="22"/>
          <w:lang w:eastAsia="zh-CN"/>
        </w:rPr>
        <w:t>exécution.</w:t>
      </w:r>
    </w:p>
    <w:p w:rsidR="00267140" w:rsidRPr="004A3269" w:rsidRDefault="004B6247" w:rsidP="003D7C06">
      <w:pPr>
        <w:pStyle w:val="ONUMFS"/>
        <w:rPr>
          <w:rFonts w:eastAsia="SimSun"/>
          <w:szCs w:val="22"/>
          <w:lang w:eastAsia="zh-CN"/>
        </w:rPr>
      </w:pPr>
      <w:r w:rsidRPr="004A3269">
        <w:rPr>
          <w:rFonts w:eastAsia="SimSun"/>
          <w:szCs w:val="22"/>
          <w:lang w:eastAsia="zh-CN"/>
        </w:rPr>
        <w:t>Les états financiers ainsi que leur examen et leur analyse sont présentés dans ce rapport financier annuel.</w:t>
      </w:r>
    </w:p>
    <w:p w:rsidR="00267140" w:rsidRPr="004A3269" w:rsidRDefault="003D7C06" w:rsidP="003D7C06">
      <w:pPr>
        <w:pStyle w:val="Heading1"/>
      </w:pPr>
      <w:r>
        <w:t>E</w:t>
      </w:r>
      <w:r w:rsidRPr="004A3269">
        <w:t>xamen et analyse des états financiers</w:t>
      </w:r>
    </w:p>
    <w:p w:rsidR="00A60F30" w:rsidRPr="003D7C06" w:rsidRDefault="00A60F30" w:rsidP="004B6247">
      <w:pPr>
        <w:keepNext/>
        <w:jc w:val="both"/>
        <w:outlineLvl w:val="0"/>
        <w:rPr>
          <w:bCs/>
          <w:kern w:val="40"/>
          <w:szCs w:val="22"/>
        </w:rPr>
      </w:pPr>
    </w:p>
    <w:p w:rsidR="00267140" w:rsidRPr="004A3269" w:rsidRDefault="004B6247" w:rsidP="003D7C06">
      <w:pPr>
        <w:pStyle w:val="ONUMFS"/>
      </w:pPr>
      <w:r w:rsidRPr="004A3269">
        <w:t>La présente section du rapport financier annuel de l</w:t>
      </w:r>
      <w:r w:rsidR="009021AA" w:rsidRPr="004A3269">
        <w:t>’</w:t>
      </w:r>
      <w:r w:rsidRPr="004A3269">
        <w:t>OMPI contient l</w:t>
      </w:r>
      <w:r w:rsidR="009021AA" w:rsidRPr="004A3269">
        <w:t>’</w:t>
      </w:r>
      <w:r w:rsidRPr="004A3269">
        <w:t>examen et l</w:t>
      </w:r>
      <w:r w:rsidR="009021AA" w:rsidRPr="004A3269">
        <w:t>’</w:t>
      </w:r>
      <w:r w:rsidRPr="004A3269">
        <w:t>analyse de</w:t>
      </w:r>
      <w:r w:rsidR="00505179" w:rsidRPr="004A3269">
        <w:t>s</w:t>
      </w:r>
      <w:r w:rsidR="00B9245C" w:rsidRPr="004A3269">
        <w:t xml:space="preserve"> </w:t>
      </w:r>
      <w:r w:rsidR="00505179" w:rsidRPr="004A3269">
        <w:t>activités et de l</w:t>
      </w:r>
      <w:r w:rsidR="009021AA" w:rsidRPr="004A3269">
        <w:t>’</w:t>
      </w:r>
      <w:r w:rsidR="00505179" w:rsidRPr="004A3269">
        <w:t>environnement de l</w:t>
      </w:r>
      <w:r w:rsidR="009021AA" w:rsidRPr="004A3269">
        <w:t>’</w:t>
      </w:r>
      <w:r w:rsidR="00505179" w:rsidRPr="004A3269">
        <w:t>Organisation</w:t>
      </w:r>
      <w:r w:rsidR="00D94BA8" w:rsidRPr="004A3269">
        <w:rPr>
          <w:rFonts w:eastAsia="SimSun"/>
          <w:lang w:eastAsia="zh-CN"/>
        </w:rPr>
        <w:t xml:space="preserve">, </w:t>
      </w:r>
      <w:r w:rsidR="00505179" w:rsidRPr="004A3269">
        <w:rPr>
          <w:rFonts w:eastAsia="SimSun"/>
          <w:lang w:eastAsia="zh-CN"/>
        </w:rPr>
        <w:t>de ses stratégies et objectifs financiers</w:t>
      </w:r>
      <w:r w:rsidR="00D94BA8" w:rsidRPr="004A3269">
        <w:rPr>
          <w:rFonts w:eastAsia="SimSun"/>
          <w:lang w:eastAsia="zh-CN"/>
        </w:rPr>
        <w:t>,</w:t>
      </w:r>
      <w:r w:rsidR="00B9245C" w:rsidRPr="004A3269">
        <w:rPr>
          <w:rFonts w:eastAsia="SimSun"/>
          <w:lang w:eastAsia="zh-CN"/>
        </w:rPr>
        <w:t xml:space="preserve"> </w:t>
      </w:r>
      <w:r w:rsidR="00505179" w:rsidRPr="004A3269">
        <w:rPr>
          <w:rFonts w:eastAsia="SimSun"/>
          <w:lang w:eastAsia="zh-CN"/>
        </w:rPr>
        <w:t>de sa performance financière et de sa position financière</w:t>
      </w:r>
      <w:r w:rsidR="00B9245C" w:rsidRPr="004A3269">
        <w:t xml:space="preserve"> </w:t>
      </w:r>
      <w:r w:rsidRPr="004A3269">
        <w:t>pendant l</w:t>
      </w:r>
      <w:r w:rsidR="009021AA" w:rsidRPr="004A3269">
        <w:t>’</w:t>
      </w:r>
      <w:r w:rsidRPr="004A3269">
        <w:t xml:space="preserve">année qui a pris fin </w:t>
      </w:r>
      <w:r w:rsidR="00A60F30" w:rsidRPr="004A3269">
        <w:t xml:space="preserve">le 31 décembre 2014.  </w:t>
      </w:r>
      <w:r w:rsidRPr="004A3269">
        <w:t>Cet examen et cette analyse ne font pas partie des états financiers de l</w:t>
      </w:r>
      <w:r w:rsidR="009021AA" w:rsidRPr="004A3269">
        <w:t>’</w:t>
      </w:r>
      <w:r w:rsidRPr="004A3269">
        <w:t>OMPI;  ils doivent toutefois être lus avec les états financiers qui apparaissent aux pages</w:t>
      </w:r>
      <w:r w:rsidR="00067463" w:rsidRPr="004A3269">
        <w:t> </w:t>
      </w:r>
      <w:r w:rsidR="00942AE3">
        <w:t>27</w:t>
      </w:r>
      <w:r w:rsidR="00277DBB" w:rsidRPr="004A3269">
        <w:t xml:space="preserve"> à </w:t>
      </w:r>
      <w:r w:rsidR="00942AE3">
        <w:t>81</w:t>
      </w:r>
      <w:bookmarkStart w:id="8" w:name="_GoBack"/>
      <w:bookmarkEnd w:id="8"/>
      <w:r w:rsidRPr="004A3269">
        <w:t>.</w:t>
      </w:r>
    </w:p>
    <w:p w:rsidR="00267140" w:rsidRPr="004A3269" w:rsidRDefault="0007191C" w:rsidP="00AB75CA">
      <w:pPr>
        <w:tabs>
          <w:tab w:val="left" w:pos="2552"/>
        </w:tabs>
        <w:jc w:val="both"/>
        <w:rPr>
          <w:rFonts w:eastAsia="SimSun"/>
          <w:b/>
          <w:szCs w:val="22"/>
          <w:lang w:eastAsia="zh-CN"/>
        </w:rPr>
      </w:pPr>
      <w:r w:rsidRPr="004A3269">
        <w:rPr>
          <w:rFonts w:eastAsia="SimSun"/>
          <w:b/>
          <w:szCs w:val="22"/>
          <w:lang w:eastAsia="zh-CN"/>
        </w:rPr>
        <w:t>Vue d</w:t>
      </w:r>
      <w:r w:rsidR="009021AA" w:rsidRPr="004A3269">
        <w:rPr>
          <w:rFonts w:eastAsia="SimSun"/>
          <w:b/>
          <w:szCs w:val="22"/>
          <w:lang w:eastAsia="zh-CN"/>
        </w:rPr>
        <w:t>’</w:t>
      </w:r>
      <w:r w:rsidRPr="004A3269">
        <w:rPr>
          <w:rFonts w:eastAsia="SimSun"/>
          <w:b/>
          <w:szCs w:val="22"/>
          <w:lang w:eastAsia="zh-CN"/>
        </w:rPr>
        <w:t>ensemble</w:t>
      </w:r>
      <w:r w:rsidR="006C4EC7" w:rsidRPr="004A3269">
        <w:rPr>
          <w:rFonts w:eastAsia="SimSun"/>
          <w:b/>
          <w:szCs w:val="22"/>
          <w:lang w:eastAsia="zh-CN"/>
        </w:rPr>
        <w:t xml:space="preserve"> des activités et de l</w:t>
      </w:r>
      <w:r w:rsidR="009021AA" w:rsidRPr="004A3269">
        <w:rPr>
          <w:rFonts w:eastAsia="SimSun"/>
          <w:b/>
          <w:szCs w:val="22"/>
          <w:lang w:eastAsia="zh-CN"/>
        </w:rPr>
        <w:t>’</w:t>
      </w:r>
      <w:r w:rsidR="006C4EC7" w:rsidRPr="004A3269">
        <w:rPr>
          <w:rFonts w:eastAsia="SimSun"/>
          <w:b/>
          <w:szCs w:val="22"/>
          <w:lang w:eastAsia="zh-CN"/>
        </w:rPr>
        <w:t>environnement de l</w:t>
      </w:r>
      <w:r w:rsidR="009021AA" w:rsidRPr="004A3269">
        <w:rPr>
          <w:rFonts w:eastAsia="SimSun"/>
          <w:b/>
          <w:szCs w:val="22"/>
          <w:lang w:eastAsia="zh-CN"/>
        </w:rPr>
        <w:t>’</w:t>
      </w:r>
      <w:r w:rsidR="006C4EC7" w:rsidRPr="004A3269">
        <w:rPr>
          <w:rFonts w:eastAsia="SimSun"/>
          <w:b/>
          <w:szCs w:val="22"/>
          <w:lang w:eastAsia="zh-CN"/>
        </w:rPr>
        <w:t>OMPI</w:t>
      </w:r>
    </w:p>
    <w:p w:rsidR="00267140" w:rsidRPr="004A3269" w:rsidRDefault="00267140" w:rsidP="00185945">
      <w:pPr>
        <w:jc w:val="both"/>
        <w:rPr>
          <w:rFonts w:eastAsia="SimSun"/>
          <w:szCs w:val="22"/>
          <w:lang w:eastAsia="zh-CN"/>
        </w:rPr>
      </w:pPr>
    </w:p>
    <w:p w:rsidR="009021AA" w:rsidRPr="004A3269" w:rsidRDefault="004B6247" w:rsidP="003D7C06">
      <w:pPr>
        <w:pStyle w:val="ONUMFS"/>
      </w:pPr>
      <w:r w:rsidRPr="004A3269">
        <w:t>L</w:t>
      </w:r>
      <w:r w:rsidR="009021AA" w:rsidRPr="004A3269">
        <w:t>’</w:t>
      </w:r>
      <w:r w:rsidRPr="004A3269">
        <w:t>OMPI est l</w:t>
      </w:r>
      <w:r w:rsidR="009021AA" w:rsidRPr="004A3269">
        <w:t>’</w:t>
      </w:r>
      <w:r w:rsidRPr="004A3269">
        <w:t>instance mondiale pour les services, les politiques, l</w:t>
      </w:r>
      <w:r w:rsidR="009021AA" w:rsidRPr="004A3269">
        <w:t>’</w:t>
      </w:r>
      <w:r w:rsidRPr="004A3269">
        <w:t>information et la coopération en matière de propriété intellectuelle.</w:t>
      </w:r>
      <w:r w:rsidR="00A635A1" w:rsidRPr="004A3269">
        <w:t xml:space="preserve"> </w:t>
      </w:r>
      <w:r w:rsidR="00A60F30" w:rsidRPr="004A3269">
        <w:t xml:space="preserve"> </w:t>
      </w:r>
      <w:r w:rsidRPr="004A3269">
        <w:t>Elle est une institution spécialisée de l</w:t>
      </w:r>
      <w:r w:rsidR="009021AA" w:rsidRPr="004A3269">
        <w:t>’</w:t>
      </w:r>
      <w:r w:rsidRPr="004A3269">
        <w:t xml:space="preserve">ONU qui compte </w:t>
      </w:r>
      <w:r w:rsidR="00A0797A" w:rsidRPr="004A3269">
        <w:t>188 </w:t>
      </w:r>
      <w:r w:rsidRPr="004A3269">
        <w:t>États membres.</w:t>
      </w:r>
    </w:p>
    <w:p w:rsidR="00267140" w:rsidRPr="004A3269" w:rsidRDefault="00D039C4" w:rsidP="003D7C06">
      <w:pPr>
        <w:pStyle w:val="ONUMFS"/>
        <w:rPr>
          <w:rFonts w:eastAsia="SimSun"/>
          <w:szCs w:val="22"/>
          <w:lang w:eastAsia="zh-CN"/>
        </w:rPr>
      </w:pPr>
      <w:r w:rsidRPr="004A3269">
        <w:rPr>
          <w:rStyle w:val="hps"/>
        </w:rPr>
        <w:t>La mission de l</w:t>
      </w:r>
      <w:r w:rsidR="009021AA" w:rsidRPr="004A3269">
        <w:rPr>
          <w:rStyle w:val="hps"/>
        </w:rPr>
        <w:t>’</w:t>
      </w:r>
      <w:r w:rsidRPr="004A3269">
        <w:t xml:space="preserve">Organisation </w:t>
      </w:r>
      <w:r w:rsidR="006C4EC7" w:rsidRPr="004A3269">
        <w:rPr>
          <w:rStyle w:val="hps"/>
        </w:rPr>
        <w:t>consiste à</w:t>
      </w:r>
      <w:r w:rsidRPr="004A3269">
        <w:rPr>
          <w:rStyle w:val="hps"/>
        </w:rPr>
        <w:t xml:space="preserve"> </w:t>
      </w:r>
      <w:r w:rsidR="006C4EC7" w:rsidRPr="004A3269">
        <w:rPr>
          <w:rStyle w:val="hps"/>
        </w:rPr>
        <w:t>mener</w:t>
      </w:r>
      <w:r w:rsidRPr="004A3269">
        <w:rPr>
          <w:rStyle w:val="hps"/>
        </w:rPr>
        <w:t xml:space="preserve"> l</w:t>
      </w:r>
      <w:r w:rsidR="009021AA" w:rsidRPr="004A3269">
        <w:rPr>
          <w:rStyle w:val="hps"/>
        </w:rPr>
        <w:t>’</w:t>
      </w:r>
      <w:r w:rsidRPr="004A3269">
        <w:rPr>
          <w:rStyle w:val="hps"/>
        </w:rPr>
        <w:t>élaboration</w:t>
      </w:r>
      <w:r w:rsidRPr="004A3269">
        <w:t xml:space="preserve"> </w:t>
      </w:r>
      <w:r w:rsidRPr="004A3269">
        <w:rPr>
          <w:rStyle w:val="hps"/>
        </w:rPr>
        <w:t>d</w:t>
      </w:r>
      <w:r w:rsidR="009021AA" w:rsidRPr="004A3269">
        <w:rPr>
          <w:rStyle w:val="hps"/>
        </w:rPr>
        <w:t>’</w:t>
      </w:r>
      <w:r w:rsidRPr="004A3269">
        <w:rPr>
          <w:rStyle w:val="hps"/>
        </w:rPr>
        <w:t>un système</w:t>
      </w:r>
      <w:r w:rsidRPr="004A3269">
        <w:t xml:space="preserve"> </w:t>
      </w:r>
      <w:r w:rsidRPr="004A3269">
        <w:rPr>
          <w:rStyle w:val="hps"/>
        </w:rPr>
        <w:t>international de propriété intellectuelle</w:t>
      </w:r>
      <w:r w:rsidRPr="004A3269">
        <w:t xml:space="preserve"> </w:t>
      </w:r>
      <w:r w:rsidRPr="004A3269">
        <w:rPr>
          <w:rStyle w:val="hps"/>
        </w:rPr>
        <w:t>équilibré et efficace</w:t>
      </w:r>
      <w:r w:rsidRPr="004A3269">
        <w:t xml:space="preserve"> </w:t>
      </w:r>
      <w:r w:rsidRPr="004A3269">
        <w:rPr>
          <w:rStyle w:val="hps"/>
        </w:rPr>
        <w:t>qui permet</w:t>
      </w:r>
      <w:r w:rsidR="006C4EC7" w:rsidRPr="004A3269">
        <w:rPr>
          <w:rStyle w:val="hps"/>
        </w:rPr>
        <w:t>te</w:t>
      </w:r>
      <w:r w:rsidRPr="004A3269">
        <w:t xml:space="preserve"> </w:t>
      </w:r>
      <w:r w:rsidRPr="004A3269">
        <w:rPr>
          <w:rStyle w:val="hps"/>
        </w:rPr>
        <w:t>l</w:t>
      </w:r>
      <w:r w:rsidR="009021AA" w:rsidRPr="004A3269">
        <w:rPr>
          <w:rStyle w:val="hps"/>
        </w:rPr>
        <w:t>’</w:t>
      </w:r>
      <w:r w:rsidRPr="004A3269">
        <w:rPr>
          <w:rStyle w:val="hps"/>
        </w:rPr>
        <w:t>innovation</w:t>
      </w:r>
      <w:r w:rsidRPr="004A3269">
        <w:t xml:space="preserve"> </w:t>
      </w:r>
      <w:r w:rsidRPr="004A3269">
        <w:rPr>
          <w:rStyle w:val="hps"/>
        </w:rPr>
        <w:t>et la créativité</w:t>
      </w:r>
      <w:r w:rsidRPr="004A3269">
        <w:t xml:space="preserve"> </w:t>
      </w:r>
      <w:r w:rsidRPr="004A3269">
        <w:rPr>
          <w:rStyle w:val="hps"/>
        </w:rPr>
        <w:t>pour le développement économique</w:t>
      </w:r>
      <w:r w:rsidRPr="004A3269">
        <w:t xml:space="preserve">, </w:t>
      </w:r>
      <w:r w:rsidRPr="004A3269">
        <w:rPr>
          <w:rStyle w:val="hps"/>
        </w:rPr>
        <w:t>social et culturel</w:t>
      </w:r>
      <w:r w:rsidRPr="004A3269">
        <w:t xml:space="preserve"> </w:t>
      </w:r>
      <w:r w:rsidRPr="004A3269">
        <w:rPr>
          <w:rStyle w:val="hps"/>
        </w:rPr>
        <w:t>de tous les pays</w:t>
      </w:r>
      <w:r w:rsidRPr="004A3269">
        <w:t xml:space="preserve">.  </w:t>
      </w:r>
      <w:r w:rsidR="006C4EC7" w:rsidRPr="004A3269">
        <w:rPr>
          <w:rStyle w:val="hps"/>
        </w:rPr>
        <w:t xml:space="preserve">Le mandat, </w:t>
      </w:r>
      <w:r w:rsidR="006C4EC7" w:rsidRPr="004A3269">
        <w:t xml:space="preserve">les organes statutaires </w:t>
      </w:r>
      <w:r w:rsidR="006C4EC7" w:rsidRPr="004A3269">
        <w:rPr>
          <w:rStyle w:val="hps"/>
        </w:rPr>
        <w:t>et les procédures</w:t>
      </w:r>
      <w:r w:rsidR="006C4EC7" w:rsidRPr="004A3269">
        <w:t xml:space="preserve"> </w:t>
      </w:r>
      <w:r w:rsidRPr="004A3269">
        <w:rPr>
          <w:rStyle w:val="hps"/>
        </w:rPr>
        <w:t>de l</w:t>
      </w:r>
      <w:r w:rsidR="009021AA" w:rsidRPr="004A3269">
        <w:rPr>
          <w:rStyle w:val="hps"/>
        </w:rPr>
        <w:t>’</w:t>
      </w:r>
      <w:r w:rsidR="006C4EC7" w:rsidRPr="004A3269">
        <w:t>Organisation</w:t>
      </w:r>
      <w:r w:rsidRPr="004A3269">
        <w:t xml:space="preserve"> </w:t>
      </w:r>
      <w:r w:rsidRPr="004A3269">
        <w:rPr>
          <w:rStyle w:val="hps"/>
        </w:rPr>
        <w:t>sont énoncés</w:t>
      </w:r>
      <w:r w:rsidRPr="004A3269">
        <w:t xml:space="preserve"> </w:t>
      </w:r>
      <w:r w:rsidRPr="004A3269">
        <w:rPr>
          <w:rStyle w:val="hps"/>
        </w:rPr>
        <w:t>dans la</w:t>
      </w:r>
      <w:r w:rsidRPr="004A3269">
        <w:t xml:space="preserve"> </w:t>
      </w:r>
      <w:r w:rsidRPr="004A3269">
        <w:rPr>
          <w:rStyle w:val="hps"/>
        </w:rPr>
        <w:t>Convention instituant l</w:t>
      </w:r>
      <w:r w:rsidR="009021AA" w:rsidRPr="004A3269">
        <w:rPr>
          <w:rStyle w:val="hps"/>
        </w:rPr>
        <w:t>’</w:t>
      </w:r>
      <w:r w:rsidRPr="004A3269">
        <w:rPr>
          <w:rStyle w:val="hps"/>
        </w:rPr>
        <w:t>OMPI</w:t>
      </w:r>
      <w:r w:rsidRPr="004A3269">
        <w:t xml:space="preserve">, </w:t>
      </w:r>
      <w:r w:rsidRPr="004A3269">
        <w:rPr>
          <w:rStyle w:val="hps"/>
        </w:rPr>
        <w:t>qui a établi</w:t>
      </w:r>
      <w:r w:rsidRPr="004A3269">
        <w:t xml:space="preserve"> </w:t>
      </w:r>
      <w:r w:rsidRPr="004A3269">
        <w:rPr>
          <w:rStyle w:val="hps"/>
        </w:rPr>
        <w:t>l</w:t>
      </w:r>
      <w:r w:rsidR="009021AA" w:rsidRPr="004A3269">
        <w:rPr>
          <w:rStyle w:val="hps"/>
        </w:rPr>
        <w:t>’</w:t>
      </w:r>
      <w:r w:rsidRPr="004A3269">
        <w:rPr>
          <w:rStyle w:val="hps"/>
        </w:rPr>
        <w:t>OMPI</w:t>
      </w:r>
      <w:r w:rsidRPr="004A3269">
        <w:t xml:space="preserve"> </w:t>
      </w:r>
      <w:r w:rsidRPr="004A3269">
        <w:rPr>
          <w:rStyle w:val="hps"/>
        </w:rPr>
        <w:t>en</w:t>
      </w:r>
      <w:r w:rsidR="00067463" w:rsidRPr="004A3269">
        <w:rPr>
          <w:rStyle w:val="hps"/>
        </w:rPr>
        <w:t> </w:t>
      </w:r>
      <w:r w:rsidRPr="004A3269">
        <w:rPr>
          <w:rStyle w:val="hps"/>
        </w:rPr>
        <w:t>1967</w:t>
      </w:r>
      <w:r w:rsidR="003050ED" w:rsidRPr="004A3269">
        <w:rPr>
          <w:szCs w:val="22"/>
        </w:rPr>
        <w:t>.</w:t>
      </w:r>
    </w:p>
    <w:p w:rsidR="00267140" w:rsidRPr="004A3269" w:rsidRDefault="00D039C4" w:rsidP="003D7C06">
      <w:pPr>
        <w:pStyle w:val="ONUMFS"/>
        <w:rPr>
          <w:rFonts w:eastAsia="SimSun"/>
          <w:szCs w:val="22"/>
          <w:lang w:eastAsia="zh-CN"/>
        </w:rPr>
      </w:pPr>
      <w:r w:rsidRPr="004A3269">
        <w:rPr>
          <w:rStyle w:val="hps"/>
        </w:rPr>
        <w:t>Les États membres</w:t>
      </w:r>
      <w:r w:rsidRPr="004A3269">
        <w:t xml:space="preserve"> </w:t>
      </w:r>
      <w:r w:rsidRPr="004A3269">
        <w:rPr>
          <w:rStyle w:val="hps"/>
        </w:rPr>
        <w:t>de l</w:t>
      </w:r>
      <w:r w:rsidR="009021AA" w:rsidRPr="004A3269">
        <w:rPr>
          <w:rStyle w:val="hps"/>
        </w:rPr>
        <w:t>’</w:t>
      </w:r>
      <w:r w:rsidRPr="004A3269">
        <w:rPr>
          <w:rStyle w:val="hps"/>
        </w:rPr>
        <w:t xml:space="preserve">OMPI </w:t>
      </w:r>
      <w:r w:rsidR="006C4EC7" w:rsidRPr="004A3269">
        <w:rPr>
          <w:rStyle w:val="hps"/>
        </w:rPr>
        <w:t>déterminent</w:t>
      </w:r>
      <w:r w:rsidRPr="004A3269">
        <w:t xml:space="preserve"> </w:t>
      </w:r>
      <w:r w:rsidRPr="004A3269">
        <w:rPr>
          <w:rStyle w:val="hps"/>
        </w:rPr>
        <w:t>la direction</w:t>
      </w:r>
      <w:r w:rsidRPr="004A3269">
        <w:t xml:space="preserve">, le budget et </w:t>
      </w:r>
      <w:r w:rsidRPr="004A3269">
        <w:rPr>
          <w:rStyle w:val="hps"/>
        </w:rPr>
        <w:t>les activités</w:t>
      </w:r>
      <w:r w:rsidRPr="004A3269">
        <w:t xml:space="preserve"> </w:t>
      </w:r>
      <w:r w:rsidRPr="004A3269">
        <w:rPr>
          <w:rStyle w:val="hps"/>
        </w:rPr>
        <w:t>de l</w:t>
      </w:r>
      <w:r w:rsidR="009021AA" w:rsidRPr="004A3269">
        <w:rPr>
          <w:rStyle w:val="hps"/>
        </w:rPr>
        <w:t>’</w:t>
      </w:r>
      <w:r w:rsidRPr="004A3269">
        <w:rPr>
          <w:rStyle w:val="hps"/>
        </w:rPr>
        <w:t>Organisation</w:t>
      </w:r>
      <w:r w:rsidRPr="004A3269">
        <w:t xml:space="preserve"> </w:t>
      </w:r>
      <w:r w:rsidR="006C4EC7" w:rsidRPr="004A3269">
        <w:rPr>
          <w:rStyle w:val="hps"/>
        </w:rPr>
        <w:t>par le biais des</w:t>
      </w:r>
      <w:r w:rsidRPr="004A3269">
        <w:t xml:space="preserve"> </w:t>
      </w:r>
      <w:r w:rsidRPr="004A3269">
        <w:rPr>
          <w:rStyle w:val="hps"/>
        </w:rPr>
        <w:t>organes de décision</w:t>
      </w:r>
      <w:r w:rsidR="005A2041" w:rsidRPr="004A3269">
        <w:rPr>
          <w:szCs w:val="22"/>
        </w:rPr>
        <w:t xml:space="preserve">. </w:t>
      </w:r>
      <w:r w:rsidRPr="004A3269">
        <w:rPr>
          <w:szCs w:val="22"/>
        </w:rPr>
        <w:t xml:space="preserve"> </w:t>
      </w:r>
      <w:r w:rsidR="004B6247" w:rsidRPr="004A3269">
        <w:rPr>
          <w:szCs w:val="22"/>
        </w:rPr>
        <w:t>Les principaux organes politiques et de décision de l</w:t>
      </w:r>
      <w:r w:rsidR="009021AA" w:rsidRPr="004A3269">
        <w:rPr>
          <w:szCs w:val="22"/>
        </w:rPr>
        <w:t>’</w:t>
      </w:r>
      <w:r w:rsidR="004B6247" w:rsidRPr="004A3269">
        <w:rPr>
          <w:szCs w:val="22"/>
        </w:rPr>
        <w:t>OMPI sont l</w:t>
      </w:r>
      <w:r w:rsidR="009021AA" w:rsidRPr="004A3269">
        <w:rPr>
          <w:szCs w:val="22"/>
        </w:rPr>
        <w:t>’</w:t>
      </w:r>
      <w:r w:rsidR="004B6247" w:rsidRPr="004A3269">
        <w:rPr>
          <w:szCs w:val="22"/>
        </w:rPr>
        <w:t>Assemblée générale et le Comité de coordination</w:t>
      </w:r>
      <w:r w:rsidR="00A0797A" w:rsidRPr="004A3269">
        <w:rPr>
          <w:szCs w:val="22"/>
        </w:rPr>
        <w:t xml:space="preserve">.  </w:t>
      </w:r>
      <w:r w:rsidRPr="004A3269">
        <w:rPr>
          <w:rStyle w:val="hps"/>
        </w:rPr>
        <w:t>L</w:t>
      </w:r>
      <w:r w:rsidR="009021AA" w:rsidRPr="004A3269">
        <w:rPr>
          <w:rStyle w:val="hps"/>
        </w:rPr>
        <w:t>’</w:t>
      </w:r>
      <w:r w:rsidRPr="004A3269">
        <w:rPr>
          <w:rStyle w:val="hps"/>
        </w:rPr>
        <w:t>Assemblée générale</w:t>
      </w:r>
      <w:r w:rsidRPr="004A3269">
        <w:t xml:space="preserve"> </w:t>
      </w:r>
      <w:r w:rsidR="006C4EC7" w:rsidRPr="004A3269">
        <w:rPr>
          <w:rStyle w:val="hps"/>
        </w:rPr>
        <w:t>est composée</w:t>
      </w:r>
      <w:r w:rsidRPr="004A3269">
        <w:t xml:space="preserve"> </w:t>
      </w:r>
      <w:r w:rsidRPr="004A3269">
        <w:rPr>
          <w:rStyle w:val="hps"/>
        </w:rPr>
        <w:t>des États</w:t>
      </w:r>
      <w:r w:rsidRPr="004A3269">
        <w:t xml:space="preserve"> </w:t>
      </w:r>
      <w:r w:rsidRPr="004A3269">
        <w:rPr>
          <w:rStyle w:val="hps"/>
        </w:rPr>
        <w:t>parties à la</w:t>
      </w:r>
      <w:r w:rsidRPr="004A3269">
        <w:t xml:space="preserve"> </w:t>
      </w:r>
      <w:r w:rsidRPr="004A3269">
        <w:rPr>
          <w:rStyle w:val="hps"/>
        </w:rPr>
        <w:t>Convention instituant l</w:t>
      </w:r>
      <w:r w:rsidR="009021AA" w:rsidRPr="004A3269">
        <w:rPr>
          <w:rStyle w:val="hps"/>
        </w:rPr>
        <w:t>’</w:t>
      </w:r>
      <w:r w:rsidRPr="004A3269">
        <w:rPr>
          <w:rStyle w:val="hps"/>
        </w:rPr>
        <w:t>OMPI</w:t>
      </w:r>
      <w:r w:rsidRPr="004A3269">
        <w:t xml:space="preserve"> </w:t>
      </w:r>
      <w:r w:rsidRPr="004A3269">
        <w:rPr>
          <w:rStyle w:val="hps"/>
        </w:rPr>
        <w:t>qui sont</w:t>
      </w:r>
      <w:r w:rsidRPr="004A3269">
        <w:t xml:space="preserve"> </w:t>
      </w:r>
      <w:r w:rsidRPr="004A3269">
        <w:rPr>
          <w:rStyle w:val="hps"/>
        </w:rPr>
        <w:t xml:space="preserve">membres </w:t>
      </w:r>
      <w:r w:rsidR="006C4EC7" w:rsidRPr="004A3269">
        <w:rPr>
          <w:rStyle w:val="hps"/>
        </w:rPr>
        <w:t>de l</w:t>
      </w:r>
      <w:r w:rsidR="009021AA" w:rsidRPr="004A3269">
        <w:rPr>
          <w:rStyle w:val="hps"/>
        </w:rPr>
        <w:t>’</w:t>
      </w:r>
      <w:r w:rsidR="006C4EC7" w:rsidRPr="004A3269">
        <w:rPr>
          <w:rStyle w:val="hps"/>
        </w:rPr>
        <w:t>une des</w:t>
      </w:r>
      <w:r w:rsidRPr="004A3269">
        <w:t xml:space="preserve"> </w:t>
      </w:r>
      <w:r w:rsidRPr="004A3269">
        <w:rPr>
          <w:rStyle w:val="hps"/>
        </w:rPr>
        <w:t>unions administrées</w:t>
      </w:r>
      <w:r w:rsidRPr="004A3269">
        <w:t xml:space="preserve"> </w:t>
      </w:r>
      <w:r w:rsidRPr="004A3269">
        <w:rPr>
          <w:rStyle w:val="hps"/>
        </w:rPr>
        <w:t>par l</w:t>
      </w:r>
      <w:r w:rsidR="009021AA" w:rsidRPr="004A3269">
        <w:rPr>
          <w:rStyle w:val="hps"/>
        </w:rPr>
        <w:t>’</w:t>
      </w:r>
      <w:r w:rsidRPr="004A3269">
        <w:rPr>
          <w:rStyle w:val="hps"/>
        </w:rPr>
        <w:t>OMPI</w:t>
      </w:r>
      <w:r w:rsidRPr="004A3269">
        <w:t xml:space="preserve">. </w:t>
      </w:r>
      <w:r w:rsidR="006C4EC7" w:rsidRPr="004A3269">
        <w:t xml:space="preserve"> </w:t>
      </w:r>
      <w:r w:rsidRPr="004A3269">
        <w:rPr>
          <w:rStyle w:val="hps"/>
        </w:rPr>
        <w:t>Le Comité de coordination</w:t>
      </w:r>
      <w:r w:rsidRPr="004A3269">
        <w:t xml:space="preserve"> </w:t>
      </w:r>
      <w:r w:rsidR="006C0637" w:rsidRPr="004A3269">
        <w:rPr>
          <w:rStyle w:val="hps"/>
        </w:rPr>
        <w:t>comprend les</w:t>
      </w:r>
      <w:r w:rsidRPr="004A3269">
        <w:rPr>
          <w:rStyle w:val="hps"/>
        </w:rPr>
        <w:t xml:space="preserve"> membres élus</w:t>
      </w:r>
      <w:r w:rsidRPr="004A3269">
        <w:t xml:space="preserve"> </w:t>
      </w:r>
      <w:r w:rsidR="006C0637" w:rsidRPr="004A3269">
        <w:rPr>
          <w:rStyle w:val="hps"/>
        </w:rPr>
        <w:t>des c</w:t>
      </w:r>
      <w:r w:rsidRPr="004A3269">
        <w:rPr>
          <w:rStyle w:val="hps"/>
        </w:rPr>
        <w:t>omités exécutifs</w:t>
      </w:r>
      <w:r w:rsidRPr="004A3269">
        <w:t xml:space="preserve"> </w:t>
      </w:r>
      <w:r w:rsidR="006C0637" w:rsidRPr="004A3269">
        <w:rPr>
          <w:rStyle w:val="hps"/>
        </w:rPr>
        <w:t>des unions</w:t>
      </w:r>
      <w:r w:rsidRPr="004A3269">
        <w:rPr>
          <w:rStyle w:val="hps"/>
        </w:rPr>
        <w:t xml:space="preserve"> de Paris</w:t>
      </w:r>
      <w:r w:rsidRPr="004A3269">
        <w:t xml:space="preserve"> </w:t>
      </w:r>
      <w:r w:rsidR="006C0637" w:rsidRPr="004A3269">
        <w:rPr>
          <w:rStyle w:val="hps"/>
        </w:rPr>
        <w:t>et</w:t>
      </w:r>
      <w:r w:rsidRPr="004A3269">
        <w:rPr>
          <w:rStyle w:val="hps"/>
        </w:rPr>
        <w:t xml:space="preserve"> de</w:t>
      </w:r>
      <w:r w:rsidRPr="004A3269">
        <w:t xml:space="preserve"> </w:t>
      </w:r>
      <w:r w:rsidRPr="004A3269">
        <w:rPr>
          <w:rStyle w:val="hps"/>
        </w:rPr>
        <w:t>Berne</w:t>
      </w:r>
      <w:r w:rsidRPr="004A3269">
        <w:t xml:space="preserve">, </w:t>
      </w:r>
      <w:r w:rsidR="006C0637" w:rsidRPr="004A3269">
        <w:t>d</w:t>
      </w:r>
      <w:r w:rsidR="009021AA" w:rsidRPr="004A3269">
        <w:t>’</w:t>
      </w:r>
      <w:r w:rsidRPr="004A3269">
        <w:rPr>
          <w:rStyle w:val="hps"/>
        </w:rPr>
        <w:t>un quart</w:t>
      </w:r>
      <w:r w:rsidRPr="004A3269">
        <w:t xml:space="preserve"> </w:t>
      </w:r>
      <w:r w:rsidRPr="004A3269">
        <w:rPr>
          <w:rStyle w:val="hps"/>
        </w:rPr>
        <w:t>des États</w:t>
      </w:r>
      <w:r w:rsidRPr="004A3269">
        <w:t xml:space="preserve"> </w:t>
      </w:r>
      <w:r w:rsidRPr="004A3269">
        <w:rPr>
          <w:rStyle w:val="hps"/>
        </w:rPr>
        <w:t>parties à la</w:t>
      </w:r>
      <w:r w:rsidRPr="004A3269">
        <w:t xml:space="preserve"> </w:t>
      </w:r>
      <w:r w:rsidRPr="004A3269">
        <w:rPr>
          <w:rStyle w:val="hps"/>
        </w:rPr>
        <w:t>Convention instituant l</w:t>
      </w:r>
      <w:r w:rsidR="009021AA" w:rsidRPr="004A3269">
        <w:rPr>
          <w:rStyle w:val="hps"/>
        </w:rPr>
        <w:t>’</w:t>
      </w:r>
      <w:r w:rsidRPr="004A3269">
        <w:rPr>
          <w:rStyle w:val="hps"/>
        </w:rPr>
        <w:t>OMPI</w:t>
      </w:r>
      <w:r w:rsidRPr="004A3269">
        <w:t xml:space="preserve"> </w:t>
      </w:r>
      <w:r w:rsidRPr="004A3269">
        <w:rPr>
          <w:rStyle w:val="hps"/>
        </w:rPr>
        <w:t>qui ne sont pas</w:t>
      </w:r>
      <w:r w:rsidRPr="004A3269">
        <w:t xml:space="preserve"> </w:t>
      </w:r>
      <w:r w:rsidRPr="004A3269">
        <w:rPr>
          <w:rStyle w:val="hps"/>
        </w:rPr>
        <w:t>membres de</w:t>
      </w:r>
      <w:r w:rsidRPr="004A3269">
        <w:t xml:space="preserve"> </w:t>
      </w:r>
      <w:r w:rsidRPr="004A3269">
        <w:rPr>
          <w:rStyle w:val="hps"/>
        </w:rPr>
        <w:t>l</w:t>
      </w:r>
      <w:r w:rsidR="009021AA" w:rsidRPr="004A3269">
        <w:rPr>
          <w:rStyle w:val="hps"/>
        </w:rPr>
        <w:t>’</w:t>
      </w:r>
      <w:r w:rsidRPr="004A3269">
        <w:rPr>
          <w:rStyle w:val="hps"/>
        </w:rPr>
        <w:t xml:space="preserve">une </w:t>
      </w:r>
      <w:r w:rsidR="006C0637" w:rsidRPr="004A3269">
        <w:rPr>
          <w:rStyle w:val="hps"/>
        </w:rPr>
        <w:t>de ces</w:t>
      </w:r>
      <w:r w:rsidRPr="004A3269">
        <w:rPr>
          <w:rStyle w:val="hps"/>
        </w:rPr>
        <w:t xml:space="preserve"> Unions</w:t>
      </w:r>
      <w:r w:rsidRPr="004A3269">
        <w:t xml:space="preserve">, </w:t>
      </w:r>
      <w:r w:rsidRPr="004A3269">
        <w:rPr>
          <w:rStyle w:val="hps"/>
        </w:rPr>
        <w:t>et</w:t>
      </w:r>
      <w:r w:rsidRPr="004A3269">
        <w:t xml:space="preserve"> </w:t>
      </w:r>
      <w:r w:rsidR="006C0637" w:rsidRPr="004A3269">
        <w:t xml:space="preserve">de </w:t>
      </w:r>
      <w:r w:rsidRPr="004A3269">
        <w:rPr>
          <w:rStyle w:val="hps"/>
        </w:rPr>
        <w:t>la Suisse</w:t>
      </w:r>
      <w:r w:rsidRPr="004A3269">
        <w:t xml:space="preserve">, </w:t>
      </w:r>
      <w:r w:rsidRPr="004A3269">
        <w:rPr>
          <w:rStyle w:val="hps"/>
        </w:rPr>
        <w:t>l</w:t>
      </w:r>
      <w:r w:rsidR="009021AA" w:rsidRPr="004A3269">
        <w:rPr>
          <w:rStyle w:val="hps"/>
        </w:rPr>
        <w:t>’</w:t>
      </w:r>
      <w:r w:rsidRPr="004A3269">
        <w:rPr>
          <w:rStyle w:val="hps"/>
        </w:rPr>
        <w:t>État</w:t>
      </w:r>
      <w:r w:rsidRPr="004A3269">
        <w:t xml:space="preserve"> </w:t>
      </w:r>
      <w:r w:rsidRPr="004A3269">
        <w:rPr>
          <w:rStyle w:val="hps"/>
        </w:rPr>
        <w:t>sur le territoire duquel</w:t>
      </w:r>
      <w:r w:rsidRPr="004A3269">
        <w:t xml:space="preserve"> </w:t>
      </w:r>
      <w:r w:rsidR="006C0637" w:rsidRPr="004A3269">
        <w:t>l</w:t>
      </w:r>
      <w:r w:rsidR="009021AA" w:rsidRPr="004A3269">
        <w:t>’</w:t>
      </w:r>
      <w:r w:rsidRPr="004A3269">
        <w:rPr>
          <w:rStyle w:val="hps"/>
        </w:rPr>
        <w:t>organisation a son siège</w:t>
      </w:r>
      <w:r w:rsidR="00982FE4" w:rsidRPr="004A3269">
        <w:rPr>
          <w:szCs w:val="22"/>
        </w:rPr>
        <w:t>.</w:t>
      </w:r>
    </w:p>
    <w:p w:rsidR="00267140" w:rsidRPr="004A3269" w:rsidRDefault="00D039C4" w:rsidP="003D7C06">
      <w:pPr>
        <w:pStyle w:val="ONUMFS"/>
        <w:rPr>
          <w:rFonts w:eastAsia="SimSun"/>
          <w:szCs w:val="22"/>
          <w:lang w:eastAsia="zh-CN"/>
        </w:rPr>
      </w:pPr>
      <w:r w:rsidRPr="004A3269">
        <w:rPr>
          <w:rStyle w:val="hps"/>
        </w:rPr>
        <w:t>L</w:t>
      </w:r>
      <w:r w:rsidR="009021AA" w:rsidRPr="004A3269">
        <w:rPr>
          <w:rStyle w:val="hps"/>
        </w:rPr>
        <w:t>’</w:t>
      </w:r>
      <w:r w:rsidRPr="004A3269">
        <w:rPr>
          <w:rStyle w:val="hps"/>
        </w:rPr>
        <w:t>Assemblée générale</w:t>
      </w:r>
      <w:r w:rsidRPr="004A3269">
        <w:t xml:space="preserve"> </w:t>
      </w:r>
      <w:r w:rsidRPr="004A3269">
        <w:rPr>
          <w:rStyle w:val="hps"/>
        </w:rPr>
        <w:t xml:space="preserve">nomme le </w:t>
      </w:r>
      <w:r w:rsidR="00277DBB" w:rsidRPr="004A3269">
        <w:rPr>
          <w:rStyle w:val="hps"/>
        </w:rPr>
        <w:t>D</w:t>
      </w:r>
      <w:r w:rsidRPr="004A3269">
        <w:rPr>
          <w:rStyle w:val="hps"/>
        </w:rPr>
        <w:t>irecteur</w:t>
      </w:r>
      <w:r w:rsidRPr="004A3269">
        <w:t xml:space="preserve"> </w:t>
      </w:r>
      <w:r w:rsidRPr="004A3269">
        <w:rPr>
          <w:rStyle w:val="hps"/>
        </w:rPr>
        <w:t>général de l</w:t>
      </w:r>
      <w:r w:rsidR="009021AA" w:rsidRPr="004A3269">
        <w:rPr>
          <w:rStyle w:val="hps"/>
        </w:rPr>
        <w:t>’</w:t>
      </w:r>
      <w:r w:rsidRPr="004A3269">
        <w:rPr>
          <w:rStyle w:val="hps"/>
        </w:rPr>
        <w:t>OMPI</w:t>
      </w:r>
      <w:r w:rsidRPr="004A3269">
        <w:t xml:space="preserve">, sur proposition du </w:t>
      </w:r>
      <w:r w:rsidRPr="004A3269">
        <w:rPr>
          <w:rStyle w:val="hps"/>
        </w:rPr>
        <w:t>Comité de coordination</w:t>
      </w:r>
      <w:r w:rsidRPr="004A3269">
        <w:t xml:space="preserve">. </w:t>
      </w:r>
      <w:r w:rsidR="006C0637" w:rsidRPr="004A3269">
        <w:t xml:space="preserve"> </w:t>
      </w:r>
      <w:r w:rsidRPr="004A3269">
        <w:rPr>
          <w:rStyle w:val="hps"/>
        </w:rPr>
        <w:t>Le Directeur général</w:t>
      </w:r>
      <w:r w:rsidRPr="004A3269">
        <w:t xml:space="preserve"> </w:t>
      </w:r>
      <w:r w:rsidRPr="004A3269">
        <w:rPr>
          <w:rStyle w:val="hps"/>
        </w:rPr>
        <w:t>est</w:t>
      </w:r>
      <w:r w:rsidRPr="004A3269">
        <w:t xml:space="preserve"> </w:t>
      </w:r>
      <w:r w:rsidR="00221DD2" w:rsidRPr="004A3269">
        <w:t xml:space="preserve">le </w:t>
      </w:r>
      <w:r w:rsidR="00221DD2" w:rsidRPr="004A3269">
        <w:rPr>
          <w:rStyle w:val="hps"/>
        </w:rPr>
        <w:t xml:space="preserve">plus haut fonctionnaire </w:t>
      </w:r>
      <w:r w:rsidRPr="004A3269">
        <w:rPr>
          <w:rStyle w:val="hps"/>
        </w:rPr>
        <w:t>de l</w:t>
      </w:r>
      <w:r w:rsidR="009021AA" w:rsidRPr="004A3269">
        <w:rPr>
          <w:rStyle w:val="hps"/>
        </w:rPr>
        <w:t>’</w:t>
      </w:r>
      <w:r w:rsidRPr="004A3269">
        <w:rPr>
          <w:rStyle w:val="hps"/>
        </w:rPr>
        <w:t>Organisation</w:t>
      </w:r>
      <w:r w:rsidRPr="004A3269">
        <w:t xml:space="preserve">. </w:t>
      </w:r>
      <w:r w:rsidR="006C0637" w:rsidRPr="004A3269">
        <w:t xml:space="preserve"> </w:t>
      </w:r>
      <w:r w:rsidR="003A5B9C" w:rsidRPr="004A3269">
        <w:t>L</w:t>
      </w:r>
      <w:r w:rsidR="009021AA" w:rsidRPr="004A3269">
        <w:rPr>
          <w:rStyle w:val="hps"/>
        </w:rPr>
        <w:t>’</w:t>
      </w:r>
      <w:r w:rsidR="001A68AF" w:rsidRPr="004A3269">
        <w:rPr>
          <w:rStyle w:val="hps"/>
        </w:rPr>
        <w:t>É</w:t>
      </w:r>
      <w:r w:rsidRPr="004A3269">
        <w:rPr>
          <w:rStyle w:val="hps"/>
        </w:rPr>
        <w:t xml:space="preserve">quipe de </w:t>
      </w:r>
      <w:r w:rsidR="003A5B9C" w:rsidRPr="004A3269">
        <w:rPr>
          <w:rStyle w:val="hps"/>
        </w:rPr>
        <w:t xml:space="preserve">haute </w:t>
      </w:r>
      <w:r w:rsidRPr="004A3269">
        <w:rPr>
          <w:rStyle w:val="hps"/>
        </w:rPr>
        <w:t>direction</w:t>
      </w:r>
      <w:r w:rsidRPr="004A3269">
        <w:t xml:space="preserve"> </w:t>
      </w:r>
      <w:r w:rsidRPr="004A3269">
        <w:rPr>
          <w:rStyle w:val="hps"/>
        </w:rPr>
        <w:t>(composé</w:t>
      </w:r>
      <w:r w:rsidR="006C0637" w:rsidRPr="004A3269">
        <w:rPr>
          <w:rStyle w:val="hps"/>
        </w:rPr>
        <w:t>e</w:t>
      </w:r>
      <w:r w:rsidRPr="004A3269">
        <w:t xml:space="preserve"> </w:t>
      </w:r>
      <w:r w:rsidR="00DD44C1" w:rsidRPr="004A3269">
        <w:rPr>
          <w:rStyle w:val="hps"/>
        </w:rPr>
        <w:t>de</w:t>
      </w:r>
      <w:r w:rsidRPr="004A3269">
        <w:rPr>
          <w:rStyle w:val="hps"/>
        </w:rPr>
        <w:t xml:space="preserve"> quatre</w:t>
      </w:r>
      <w:r w:rsidR="003A5B9C" w:rsidRPr="004A3269">
        <w:rPr>
          <w:rStyle w:val="hps"/>
        </w:rPr>
        <w:t> </w:t>
      </w:r>
      <w:r w:rsidR="003A5B9C" w:rsidRPr="004A3269">
        <w:t>vice</w:t>
      </w:r>
      <w:r w:rsidR="00A17552" w:rsidRPr="004A3269">
        <w:noBreakHyphen/>
      </w:r>
      <w:r w:rsidRPr="004A3269">
        <w:rPr>
          <w:rStyle w:val="hps"/>
        </w:rPr>
        <w:t xml:space="preserve">directeurs généraux et </w:t>
      </w:r>
      <w:r w:rsidR="003A5B9C" w:rsidRPr="004A3269">
        <w:rPr>
          <w:rStyle w:val="hps"/>
        </w:rPr>
        <w:t>de</w:t>
      </w:r>
      <w:r w:rsidRPr="004A3269">
        <w:rPr>
          <w:rStyle w:val="hps"/>
        </w:rPr>
        <w:t xml:space="preserve"> quatre</w:t>
      </w:r>
      <w:r w:rsidR="003A5B9C" w:rsidRPr="004A3269">
        <w:rPr>
          <w:rStyle w:val="hps"/>
        </w:rPr>
        <w:t> </w:t>
      </w:r>
      <w:r w:rsidR="003A5B9C" w:rsidRPr="004A3269">
        <w:t>sous</w:t>
      </w:r>
      <w:r w:rsidR="00A17552" w:rsidRPr="004A3269">
        <w:noBreakHyphen/>
      </w:r>
      <w:r w:rsidRPr="004A3269">
        <w:rPr>
          <w:rStyle w:val="hps"/>
        </w:rPr>
        <w:t>directeurs généraux</w:t>
      </w:r>
      <w:r w:rsidRPr="004A3269">
        <w:t xml:space="preserve">, ainsi que </w:t>
      </w:r>
      <w:r w:rsidR="006C0637" w:rsidRPr="004A3269">
        <w:t>du</w:t>
      </w:r>
      <w:r w:rsidRPr="004A3269">
        <w:t xml:space="preserve"> </w:t>
      </w:r>
      <w:r w:rsidR="003A5B9C" w:rsidRPr="004A3269">
        <w:rPr>
          <w:rStyle w:val="hps"/>
        </w:rPr>
        <w:t>c</w:t>
      </w:r>
      <w:r w:rsidRPr="004A3269">
        <w:rPr>
          <w:rStyle w:val="hps"/>
        </w:rPr>
        <w:t xml:space="preserve">onseiller juridique et </w:t>
      </w:r>
      <w:r w:rsidR="003A5B9C" w:rsidRPr="004A3269">
        <w:rPr>
          <w:rStyle w:val="hps"/>
        </w:rPr>
        <w:t xml:space="preserve">de la directrice </w:t>
      </w:r>
      <w:r w:rsidRPr="004A3269">
        <w:rPr>
          <w:rStyle w:val="hps"/>
        </w:rPr>
        <w:t>du Département de</w:t>
      </w:r>
      <w:r w:rsidRPr="004A3269">
        <w:t xml:space="preserve"> </w:t>
      </w:r>
      <w:r w:rsidR="003A5B9C" w:rsidRPr="004A3269">
        <w:t xml:space="preserve">la </w:t>
      </w:r>
      <w:r w:rsidRPr="004A3269">
        <w:rPr>
          <w:rStyle w:val="hps"/>
        </w:rPr>
        <w:t>gestion des ressources humaines</w:t>
      </w:r>
      <w:r w:rsidRPr="004A3269">
        <w:t xml:space="preserve">) </w:t>
      </w:r>
      <w:r w:rsidR="003A5B9C" w:rsidRPr="004A3269">
        <w:t>est chargée de l</w:t>
      </w:r>
      <w:r w:rsidR="009021AA" w:rsidRPr="004A3269">
        <w:t>’</w:t>
      </w:r>
      <w:r w:rsidR="003A5B9C" w:rsidRPr="004A3269">
        <w:t>aider dans</w:t>
      </w:r>
      <w:r w:rsidRPr="004A3269">
        <w:t xml:space="preserve"> </w:t>
      </w:r>
      <w:r w:rsidRPr="004A3269">
        <w:rPr>
          <w:rStyle w:val="hps"/>
        </w:rPr>
        <w:t>l</w:t>
      </w:r>
      <w:r w:rsidR="009021AA" w:rsidRPr="004A3269">
        <w:rPr>
          <w:rStyle w:val="hps"/>
        </w:rPr>
        <w:t>’</w:t>
      </w:r>
      <w:r w:rsidRPr="004A3269">
        <w:rPr>
          <w:rStyle w:val="hps"/>
        </w:rPr>
        <w:t>orientation stratégique</w:t>
      </w:r>
      <w:r w:rsidRPr="004A3269">
        <w:t xml:space="preserve"> </w:t>
      </w:r>
      <w:r w:rsidRPr="004A3269">
        <w:rPr>
          <w:rStyle w:val="hps"/>
        </w:rPr>
        <w:t>des</w:t>
      </w:r>
      <w:r w:rsidRPr="004A3269">
        <w:t xml:space="preserve"> </w:t>
      </w:r>
      <w:r w:rsidRPr="004A3269">
        <w:rPr>
          <w:rStyle w:val="hps"/>
        </w:rPr>
        <w:t>programmes de l</w:t>
      </w:r>
      <w:r w:rsidR="009021AA" w:rsidRPr="004A3269">
        <w:rPr>
          <w:rStyle w:val="hps"/>
        </w:rPr>
        <w:t>’</w:t>
      </w:r>
      <w:r w:rsidRPr="004A3269">
        <w:rPr>
          <w:rStyle w:val="hps"/>
        </w:rPr>
        <w:t>OMPI</w:t>
      </w:r>
      <w:r w:rsidRPr="004A3269">
        <w:t xml:space="preserve"> </w:t>
      </w:r>
      <w:r w:rsidRPr="004A3269">
        <w:rPr>
          <w:rStyle w:val="hps"/>
        </w:rPr>
        <w:t>et</w:t>
      </w:r>
      <w:r w:rsidRPr="004A3269">
        <w:t xml:space="preserve"> </w:t>
      </w:r>
      <w:r w:rsidR="003A5B9C" w:rsidRPr="004A3269">
        <w:rPr>
          <w:rStyle w:val="hps"/>
        </w:rPr>
        <w:t>d</w:t>
      </w:r>
      <w:r w:rsidR="009021AA" w:rsidRPr="004A3269">
        <w:rPr>
          <w:rStyle w:val="hps"/>
        </w:rPr>
        <w:t>’</w:t>
      </w:r>
      <w:r w:rsidR="003A5B9C" w:rsidRPr="004A3269">
        <w:rPr>
          <w:rStyle w:val="hps"/>
        </w:rPr>
        <w:t>administrer</w:t>
      </w:r>
      <w:r w:rsidRPr="004A3269">
        <w:t xml:space="preserve"> </w:t>
      </w:r>
      <w:r w:rsidRPr="004A3269">
        <w:rPr>
          <w:rStyle w:val="hps"/>
        </w:rPr>
        <w:t>leurs</w:t>
      </w:r>
      <w:r w:rsidRPr="004A3269">
        <w:t xml:space="preserve"> </w:t>
      </w:r>
      <w:r w:rsidRPr="004A3269">
        <w:rPr>
          <w:rStyle w:val="hps"/>
        </w:rPr>
        <w:t>secteurs et programmes</w:t>
      </w:r>
      <w:r w:rsidRPr="004A3269">
        <w:t xml:space="preserve"> </w:t>
      </w:r>
      <w:r w:rsidRPr="004A3269">
        <w:rPr>
          <w:rStyle w:val="hps"/>
        </w:rPr>
        <w:t>respectifs</w:t>
      </w:r>
      <w:r w:rsidRPr="004A3269">
        <w:t xml:space="preserve"> </w:t>
      </w:r>
      <w:r w:rsidR="003A5B9C" w:rsidRPr="004A3269">
        <w:rPr>
          <w:rStyle w:val="hps"/>
        </w:rPr>
        <w:t xml:space="preserve">de manière à atteindre les </w:t>
      </w:r>
      <w:r w:rsidRPr="004A3269">
        <w:rPr>
          <w:rStyle w:val="hps"/>
        </w:rPr>
        <w:t>résultats</w:t>
      </w:r>
      <w:r w:rsidRPr="004A3269">
        <w:t xml:space="preserve"> </w:t>
      </w:r>
      <w:r w:rsidR="003A5B9C" w:rsidRPr="004A3269">
        <w:rPr>
          <w:rStyle w:val="hps"/>
        </w:rPr>
        <w:t>énoncés dans le</w:t>
      </w:r>
      <w:r w:rsidRPr="004A3269">
        <w:t xml:space="preserve"> </w:t>
      </w:r>
      <w:r w:rsidRPr="004A3269">
        <w:rPr>
          <w:rStyle w:val="hps"/>
        </w:rPr>
        <w:t>programme et budget</w:t>
      </w:r>
      <w:r w:rsidR="00CA103E" w:rsidRPr="004A3269">
        <w:rPr>
          <w:szCs w:val="22"/>
        </w:rPr>
        <w:t>.</w:t>
      </w:r>
    </w:p>
    <w:p w:rsidR="00267140" w:rsidRPr="004A3269" w:rsidRDefault="004B47E9" w:rsidP="003D7C06">
      <w:pPr>
        <w:pStyle w:val="ONUMFS"/>
        <w:rPr>
          <w:rFonts w:eastAsia="SimSun"/>
          <w:szCs w:val="22"/>
          <w:lang w:eastAsia="zh-CN"/>
        </w:rPr>
      </w:pPr>
      <w:r w:rsidRPr="004A3269">
        <w:rPr>
          <w:rStyle w:val="hps"/>
        </w:rPr>
        <w:lastRenderedPageBreak/>
        <w:t>La plupart des recettes de l</w:t>
      </w:r>
      <w:r w:rsidR="009021AA" w:rsidRPr="004A3269">
        <w:rPr>
          <w:rStyle w:val="hps"/>
        </w:rPr>
        <w:t>’</w:t>
      </w:r>
      <w:r w:rsidR="0007191C" w:rsidRPr="004A3269">
        <w:rPr>
          <w:rStyle w:val="hps"/>
        </w:rPr>
        <w:t>OMPI</w:t>
      </w:r>
      <w:r w:rsidR="0007191C" w:rsidRPr="004A3269">
        <w:t xml:space="preserve"> </w:t>
      </w:r>
      <w:r w:rsidRPr="004A3269">
        <w:t xml:space="preserve">proviennent des </w:t>
      </w:r>
      <w:r w:rsidR="0007191C" w:rsidRPr="004A3269">
        <w:rPr>
          <w:rStyle w:val="hps"/>
        </w:rPr>
        <w:t>services</w:t>
      </w:r>
      <w:r w:rsidR="0007191C" w:rsidRPr="004A3269">
        <w:t xml:space="preserve"> </w:t>
      </w:r>
      <w:r w:rsidR="00686CBB" w:rsidRPr="004A3269">
        <w:t>taxés que l</w:t>
      </w:r>
      <w:r w:rsidR="009021AA" w:rsidRPr="004A3269">
        <w:t>’</w:t>
      </w:r>
      <w:r w:rsidR="00686CBB" w:rsidRPr="004A3269">
        <w:t xml:space="preserve">Organisation </w:t>
      </w:r>
      <w:r w:rsidR="00686CBB" w:rsidRPr="004A3269">
        <w:rPr>
          <w:rStyle w:val="hps"/>
        </w:rPr>
        <w:t xml:space="preserve">fournit </w:t>
      </w:r>
      <w:r w:rsidR="0007191C" w:rsidRPr="004A3269">
        <w:rPr>
          <w:rStyle w:val="hps"/>
        </w:rPr>
        <w:t>aux</w:t>
      </w:r>
      <w:r w:rsidR="0007191C" w:rsidRPr="004A3269">
        <w:t xml:space="preserve"> </w:t>
      </w:r>
      <w:r w:rsidR="0007191C" w:rsidRPr="004A3269">
        <w:rPr>
          <w:rStyle w:val="hps"/>
        </w:rPr>
        <w:t>utilisateurs des</w:t>
      </w:r>
      <w:r w:rsidR="0007191C" w:rsidRPr="004A3269">
        <w:t xml:space="preserve"> </w:t>
      </w:r>
      <w:r w:rsidR="0007191C" w:rsidRPr="004A3269">
        <w:rPr>
          <w:rStyle w:val="hps"/>
        </w:rPr>
        <w:t>systèmes d</w:t>
      </w:r>
      <w:r w:rsidR="009021AA" w:rsidRPr="004A3269">
        <w:rPr>
          <w:rStyle w:val="hps"/>
        </w:rPr>
        <w:t>’</w:t>
      </w:r>
      <w:r w:rsidR="0007191C" w:rsidRPr="004A3269">
        <w:rPr>
          <w:rStyle w:val="hps"/>
        </w:rPr>
        <w:t>enregistrement international</w:t>
      </w:r>
      <w:r w:rsidR="0007191C" w:rsidRPr="004A3269">
        <w:t xml:space="preserve"> </w:t>
      </w:r>
      <w:r w:rsidR="0007191C" w:rsidRPr="004A3269">
        <w:rPr>
          <w:rStyle w:val="hps"/>
        </w:rPr>
        <w:t>par le</w:t>
      </w:r>
      <w:r w:rsidR="0007191C" w:rsidRPr="004A3269">
        <w:t xml:space="preserve"> </w:t>
      </w:r>
      <w:r w:rsidRPr="004A3269">
        <w:t xml:space="preserve">biais du </w:t>
      </w:r>
      <w:r w:rsidR="0007191C" w:rsidRPr="004A3269">
        <w:rPr>
          <w:rStyle w:val="hps"/>
        </w:rPr>
        <w:t xml:space="preserve">Traité </w:t>
      </w:r>
      <w:r w:rsidRPr="004A3269">
        <w:rPr>
          <w:rStyle w:val="hps"/>
        </w:rPr>
        <w:t>de coopération en matière de</w:t>
      </w:r>
      <w:r w:rsidR="0007191C" w:rsidRPr="004A3269">
        <w:rPr>
          <w:rStyle w:val="hps"/>
        </w:rPr>
        <w:t xml:space="preserve"> brevets</w:t>
      </w:r>
      <w:r w:rsidR="0007191C" w:rsidRPr="004A3269">
        <w:t xml:space="preserve"> </w:t>
      </w:r>
      <w:r w:rsidR="0007191C" w:rsidRPr="004A3269">
        <w:rPr>
          <w:rStyle w:val="hps"/>
        </w:rPr>
        <w:t>(PCT</w:t>
      </w:r>
      <w:r w:rsidR="0007191C" w:rsidRPr="004A3269">
        <w:t xml:space="preserve">), </w:t>
      </w:r>
      <w:r w:rsidRPr="004A3269">
        <w:t xml:space="preserve">du système de </w:t>
      </w:r>
      <w:r w:rsidR="0007191C" w:rsidRPr="004A3269">
        <w:rPr>
          <w:rStyle w:val="hps"/>
        </w:rPr>
        <w:t xml:space="preserve">Madrid et </w:t>
      </w:r>
      <w:r w:rsidRPr="004A3269">
        <w:rPr>
          <w:rStyle w:val="hps"/>
        </w:rPr>
        <w:t xml:space="preserve">du système de </w:t>
      </w:r>
      <w:r w:rsidR="009021AA" w:rsidRPr="004A3269">
        <w:rPr>
          <w:rStyle w:val="hps"/>
        </w:rPr>
        <w:t>La Haye</w:t>
      </w:r>
      <w:r w:rsidR="0007191C" w:rsidRPr="004A3269">
        <w:t xml:space="preserve">.  </w:t>
      </w:r>
      <w:r w:rsidR="0007191C" w:rsidRPr="004A3269">
        <w:rPr>
          <w:rStyle w:val="hps"/>
        </w:rPr>
        <w:t>En 2014</w:t>
      </w:r>
      <w:r w:rsidR="0007191C" w:rsidRPr="004A3269">
        <w:t xml:space="preserve">, les </w:t>
      </w:r>
      <w:r w:rsidRPr="004A3269">
        <w:t>taxes</w:t>
      </w:r>
      <w:r w:rsidR="0007191C" w:rsidRPr="004A3269">
        <w:t xml:space="preserve"> </w:t>
      </w:r>
      <w:r w:rsidR="00686CBB" w:rsidRPr="004A3269">
        <w:rPr>
          <w:rStyle w:val="hps"/>
        </w:rPr>
        <w:t>découlant</w:t>
      </w:r>
      <w:r w:rsidRPr="004A3269">
        <w:rPr>
          <w:rStyle w:val="hps"/>
        </w:rPr>
        <w:t xml:space="preserve"> de</w:t>
      </w:r>
      <w:r w:rsidR="0007191C" w:rsidRPr="004A3269">
        <w:rPr>
          <w:rStyle w:val="hps"/>
        </w:rPr>
        <w:t xml:space="preserve"> ces activités</w:t>
      </w:r>
      <w:r w:rsidR="0007191C" w:rsidRPr="004A3269">
        <w:t xml:space="preserve"> </w:t>
      </w:r>
      <w:r w:rsidR="0007191C" w:rsidRPr="004A3269">
        <w:rPr>
          <w:rStyle w:val="hps"/>
        </w:rPr>
        <w:t>représentaient</w:t>
      </w:r>
      <w:r w:rsidR="0007191C" w:rsidRPr="004A3269">
        <w:t xml:space="preserve"> </w:t>
      </w:r>
      <w:r w:rsidR="0007191C" w:rsidRPr="004A3269">
        <w:rPr>
          <w:rStyle w:val="hps"/>
        </w:rPr>
        <w:t>91,0%</w:t>
      </w:r>
      <w:r w:rsidR="00DF1980" w:rsidRPr="004A3269">
        <w:t> </w:t>
      </w:r>
      <w:r w:rsidR="0007191C" w:rsidRPr="004A3269">
        <w:rPr>
          <w:rStyle w:val="hps"/>
        </w:rPr>
        <w:t xml:space="preserve">du </w:t>
      </w:r>
      <w:r w:rsidRPr="004A3269">
        <w:rPr>
          <w:rStyle w:val="hps"/>
        </w:rPr>
        <w:t xml:space="preserve">montant </w:t>
      </w:r>
      <w:r w:rsidR="0007191C" w:rsidRPr="004A3269">
        <w:rPr>
          <w:rStyle w:val="hps"/>
        </w:rPr>
        <w:t>total des recettes</w:t>
      </w:r>
      <w:r w:rsidR="0007191C" w:rsidRPr="004A3269">
        <w:t xml:space="preserve"> </w:t>
      </w:r>
      <w:r w:rsidR="0007191C" w:rsidRPr="004A3269">
        <w:rPr>
          <w:rStyle w:val="hps"/>
        </w:rPr>
        <w:t>de l</w:t>
      </w:r>
      <w:r w:rsidR="009021AA" w:rsidRPr="004A3269">
        <w:rPr>
          <w:rStyle w:val="hps"/>
        </w:rPr>
        <w:t>’</w:t>
      </w:r>
      <w:r w:rsidR="0007191C" w:rsidRPr="004A3269">
        <w:rPr>
          <w:rStyle w:val="hps"/>
        </w:rPr>
        <w:t>Organisation</w:t>
      </w:r>
      <w:r w:rsidR="0007191C" w:rsidRPr="004A3269">
        <w:t xml:space="preserve">, </w:t>
      </w:r>
      <w:r w:rsidRPr="004A3269">
        <w:rPr>
          <w:rStyle w:val="hps"/>
        </w:rPr>
        <w:t>les taxes</w:t>
      </w:r>
      <w:r w:rsidR="0007191C" w:rsidRPr="004A3269">
        <w:t xml:space="preserve"> </w:t>
      </w:r>
      <w:r w:rsidR="0007191C" w:rsidRPr="004A3269">
        <w:rPr>
          <w:rStyle w:val="hps"/>
        </w:rPr>
        <w:t>du système</w:t>
      </w:r>
      <w:r w:rsidR="009021AA" w:rsidRPr="004A3269">
        <w:t xml:space="preserve"> </w:t>
      </w:r>
      <w:r w:rsidR="009021AA" w:rsidRPr="004A3269">
        <w:rPr>
          <w:rStyle w:val="hps"/>
        </w:rPr>
        <w:t>du</w:t>
      </w:r>
      <w:r w:rsidR="009021AA" w:rsidRPr="004A3269">
        <w:t> </w:t>
      </w:r>
      <w:r w:rsidR="009021AA" w:rsidRPr="004A3269">
        <w:rPr>
          <w:rStyle w:val="hps"/>
        </w:rPr>
        <w:t>PCT</w:t>
      </w:r>
      <w:r w:rsidR="0007191C" w:rsidRPr="004A3269">
        <w:t xml:space="preserve"> </w:t>
      </w:r>
      <w:r w:rsidR="0007191C" w:rsidRPr="004A3269">
        <w:rPr>
          <w:rStyle w:val="hps"/>
        </w:rPr>
        <w:t xml:space="preserve">représentant à </w:t>
      </w:r>
      <w:r w:rsidRPr="004A3269">
        <w:rPr>
          <w:rStyle w:val="hps"/>
        </w:rPr>
        <w:t>elles seules </w:t>
      </w:r>
      <w:r w:rsidR="0007191C" w:rsidRPr="004A3269">
        <w:rPr>
          <w:rStyle w:val="hps"/>
        </w:rPr>
        <w:t>75,2</w:t>
      </w:r>
      <w:r w:rsidRPr="004A3269">
        <w:rPr>
          <w:rStyle w:val="hps"/>
        </w:rPr>
        <w:t>%</w:t>
      </w:r>
      <w:r w:rsidR="004B64C6" w:rsidRPr="004A3269">
        <w:rPr>
          <w:szCs w:val="22"/>
        </w:rPr>
        <w:t>.</w:t>
      </w:r>
    </w:p>
    <w:p w:rsidR="00267140" w:rsidRPr="004A3269" w:rsidRDefault="0007191C" w:rsidP="003D7C06">
      <w:pPr>
        <w:pStyle w:val="ONUMFS"/>
        <w:rPr>
          <w:rFonts w:eastAsia="SimSun"/>
          <w:szCs w:val="22"/>
          <w:lang w:eastAsia="zh-CN"/>
        </w:rPr>
      </w:pPr>
      <w:r w:rsidRPr="004A3269">
        <w:rPr>
          <w:rStyle w:val="hps"/>
        </w:rPr>
        <w:t xml:space="preserve">Le </w:t>
      </w:r>
      <w:r w:rsidR="00DF1980" w:rsidRPr="004A3269">
        <w:rPr>
          <w:rStyle w:val="hps"/>
        </w:rPr>
        <w:t>facteur d</w:t>
      </w:r>
      <w:r w:rsidR="009021AA" w:rsidRPr="004A3269">
        <w:rPr>
          <w:rStyle w:val="hps"/>
        </w:rPr>
        <w:t>’</w:t>
      </w:r>
      <w:r w:rsidR="00DF1980" w:rsidRPr="004A3269">
        <w:rPr>
          <w:rStyle w:val="hps"/>
        </w:rPr>
        <w:t xml:space="preserve">évolution des recettes </w:t>
      </w:r>
      <w:r w:rsidR="00686CBB" w:rsidRPr="004A3269">
        <w:rPr>
          <w:rStyle w:val="hps"/>
        </w:rPr>
        <w:t>provenant des</w:t>
      </w:r>
      <w:r w:rsidR="00DF1980" w:rsidRPr="004A3269">
        <w:rPr>
          <w:rStyle w:val="hps"/>
        </w:rPr>
        <w:t xml:space="preserve"> </w:t>
      </w:r>
      <w:r w:rsidRPr="004A3269">
        <w:rPr>
          <w:rStyle w:val="hps"/>
        </w:rPr>
        <w:t>services</w:t>
      </w:r>
      <w:r w:rsidRPr="004A3269">
        <w:t xml:space="preserve"> </w:t>
      </w:r>
      <w:r w:rsidR="00DF1980" w:rsidRPr="004A3269">
        <w:t>taxés</w:t>
      </w:r>
      <w:r w:rsidRPr="004A3269">
        <w:t xml:space="preserve"> </w:t>
      </w:r>
      <w:r w:rsidRPr="004A3269">
        <w:rPr>
          <w:rStyle w:val="hps"/>
        </w:rPr>
        <w:t>est la</w:t>
      </w:r>
      <w:r w:rsidRPr="004A3269">
        <w:t xml:space="preserve"> </w:t>
      </w:r>
      <w:r w:rsidRPr="004A3269">
        <w:rPr>
          <w:rStyle w:val="hps"/>
        </w:rPr>
        <w:t xml:space="preserve">demande internationale </w:t>
      </w:r>
      <w:r w:rsidR="004B47E9" w:rsidRPr="004A3269">
        <w:rPr>
          <w:rStyle w:val="hps"/>
        </w:rPr>
        <w:t>de</w:t>
      </w:r>
      <w:r w:rsidRPr="004A3269">
        <w:t xml:space="preserve"> </w:t>
      </w:r>
      <w:r w:rsidRPr="004A3269">
        <w:rPr>
          <w:rStyle w:val="hps"/>
        </w:rPr>
        <w:t>titres</w:t>
      </w:r>
      <w:r w:rsidRPr="004A3269">
        <w:t xml:space="preserve"> </w:t>
      </w:r>
      <w:r w:rsidRPr="004A3269">
        <w:rPr>
          <w:rStyle w:val="hps"/>
        </w:rPr>
        <w:t>de propriété intellectuelle</w:t>
      </w:r>
      <w:r w:rsidRPr="004A3269">
        <w:t xml:space="preserve">. </w:t>
      </w:r>
      <w:r w:rsidR="004B47E9" w:rsidRPr="004A3269">
        <w:t xml:space="preserve"> </w:t>
      </w:r>
      <w:r w:rsidR="004B47E9" w:rsidRPr="004A3269">
        <w:rPr>
          <w:rStyle w:val="hps"/>
        </w:rPr>
        <w:t>Les performances</w:t>
      </w:r>
      <w:r w:rsidR="004B47E9" w:rsidRPr="004A3269">
        <w:t xml:space="preserve"> </w:t>
      </w:r>
      <w:r w:rsidR="004B47E9" w:rsidRPr="004A3269">
        <w:rPr>
          <w:rStyle w:val="hps"/>
        </w:rPr>
        <w:t>de l</w:t>
      </w:r>
      <w:r w:rsidR="009021AA" w:rsidRPr="004A3269">
        <w:rPr>
          <w:rStyle w:val="hps"/>
        </w:rPr>
        <w:t>’</w:t>
      </w:r>
      <w:r w:rsidR="004B47E9" w:rsidRPr="004A3269">
        <w:rPr>
          <w:rStyle w:val="hps"/>
        </w:rPr>
        <w:t>économie mondiale influent sur cette</w:t>
      </w:r>
      <w:r w:rsidRPr="004A3269">
        <w:rPr>
          <w:rStyle w:val="hps"/>
        </w:rPr>
        <w:t xml:space="preserve"> demande</w:t>
      </w:r>
      <w:r w:rsidRPr="004A3269">
        <w:t>, bien que</w:t>
      </w:r>
      <w:r w:rsidR="00DF1980" w:rsidRPr="004A3269">
        <w:t>,</w:t>
      </w:r>
      <w:r w:rsidRPr="004A3269">
        <w:t xml:space="preserve"> </w:t>
      </w:r>
      <w:r w:rsidR="00DF1980" w:rsidRPr="004A3269">
        <w:rPr>
          <w:rStyle w:val="hps"/>
        </w:rPr>
        <w:t>depuis </w:t>
      </w:r>
      <w:r w:rsidRPr="004A3269">
        <w:rPr>
          <w:rStyle w:val="hps"/>
        </w:rPr>
        <w:t>2010</w:t>
      </w:r>
      <w:r w:rsidR="00DF1980" w:rsidRPr="004A3269">
        <w:rPr>
          <w:rStyle w:val="hps"/>
        </w:rPr>
        <w:t>,</w:t>
      </w:r>
      <w:r w:rsidRPr="004A3269">
        <w:t xml:space="preserve"> </w:t>
      </w:r>
      <w:r w:rsidR="00DF1980" w:rsidRPr="004A3269">
        <w:rPr>
          <w:rStyle w:val="hps"/>
        </w:rPr>
        <w:t>le nombre de demandes internationales de titres de propriété intellectuelle</w:t>
      </w:r>
      <w:r w:rsidRPr="004A3269">
        <w:t xml:space="preserve"> </w:t>
      </w:r>
      <w:r w:rsidR="00DF1980" w:rsidRPr="004A3269">
        <w:rPr>
          <w:rStyle w:val="hps"/>
        </w:rPr>
        <w:t>continue d</w:t>
      </w:r>
      <w:r w:rsidR="009021AA" w:rsidRPr="004A3269">
        <w:rPr>
          <w:rStyle w:val="hps"/>
        </w:rPr>
        <w:t>’</w:t>
      </w:r>
      <w:r w:rsidR="00DF1980" w:rsidRPr="004A3269">
        <w:rPr>
          <w:rStyle w:val="hps"/>
        </w:rPr>
        <w:t xml:space="preserve">augmenter </w:t>
      </w:r>
      <w:r w:rsidRPr="004A3269">
        <w:rPr>
          <w:rStyle w:val="hps"/>
        </w:rPr>
        <w:t xml:space="preserve">malgré </w:t>
      </w:r>
      <w:r w:rsidR="00DF1980" w:rsidRPr="004A3269">
        <w:rPr>
          <w:rStyle w:val="hps"/>
        </w:rPr>
        <w:t>une</w:t>
      </w:r>
      <w:r w:rsidRPr="004A3269">
        <w:rPr>
          <w:rStyle w:val="hps"/>
        </w:rPr>
        <w:t xml:space="preserve"> reprise économique</w:t>
      </w:r>
      <w:r w:rsidRPr="004A3269">
        <w:t xml:space="preserve"> </w:t>
      </w:r>
      <w:r w:rsidRPr="004A3269">
        <w:rPr>
          <w:rStyle w:val="hps"/>
        </w:rPr>
        <w:t>inégale</w:t>
      </w:r>
      <w:r w:rsidRPr="004A3269">
        <w:t xml:space="preserve"> </w:t>
      </w:r>
      <w:r w:rsidR="008D2195" w:rsidRPr="004A3269">
        <w:rPr>
          <w:rStyle w:val="hps"/>
        </w:rPr>
        <w:t>depuis</w:t>
      </w:r>
      <w:r w:rsidRPr="004A3269">
        <w:rPr>
          <w:rStyle w:val="hps"/>
        </w:rPr>
        <w:t xml:space="preserve"> la crise financière</w:t>
      </w:r>
      <w:r w:rsidRPr="004A3269">
        <w:t xml:space="preserve"> </w:t>
      </w:r>
      <w:r w:rsidRPr="004A3269">
        <w:rPr>
          <w:rStyle w:val="hps"/>
        </w:rPr>
        <w:t>mondiale qui a débuté</w:t>
      </w:r>
      <w:r w:rsidRPr="004A3269">
        <w:t xml:space="preserve"> </w:t>
      </w:r>
      <w:r w:rsidR="00DF1980" w:rsidRPr="004A3269">
        <w:rPr>
          <w:rStyle w:val="hps"/>
        </w:rPr>
        <w:t>en </w:t>
      </w:r>
      <w:r w:rsidRPr="004A3269">
        <w:rPr>
          <w:rStyle w:val="hps"/>
        </w:rPr>
        <w:t>2008.</w:t>
      </w:r>
      <w:r w:rsidR="00DF1980" w:rsidRPr="004A3269">
        <w:rPr>
          <w:rStyle w:val="hps"/>
        </w:rPr>
        <w:t xml:space="preserve"> </w:t>
      </w:r>
      <w:r w:rsidRPr="004A3269">
        <w:rPr>
          <w:rStyle w:val="hps"/>
        </w:rPr>
        <w:t xml:space="preserve"> Les autres</w:t>
      </w:r>
      <w:r w:rsidRPr="004A3269">
        <w:t xml:space="preserve"> </w:t>
      </w:r>
      <w:r w:rsidRPr="004A3269">
        <w:rPr>
          <w:rStyle w:val="hps"/>
        </w:rPr>
        <w:t>facteurs externes</w:t>
      </w:r>
      <w:r w:rsidRPr="004A3269">
        <w:t xml:space="preserve"> </w:t>
      </w:r>
      <w:r w:rsidRPr="004A3269">
        <w:rPr>
          <w:rStyle w:val="hps"/>
        </w:rPr>
        <w:t>qui peuvent</w:t>
      </w:r>
      <w:r w:rsidRPr="004A3269">
        <w:t xml:space="preserve"> </w:t>
      </w:r>
      <w:r w:rsidRPr="004A3269">
        <w:rPr>
          <w:rStyle w:val="hps"/>
        </w:rPr>
        <w:t>influer sur</w:t>
      </w:r>
      <w:r w:rsidRPr="004A3269">
        <w:t xml:space="preserve"> </w:t>
      </w:r>
      <w:r w:rsidRPr="004A3269">
        <w:rPr>
          <w:rStyle w:val="hps"/>
        </w:rPr>
        <w:t xml:space="preserve">les </w:t>
      </w:r>
      <w:r w:rsidR="008D2195" w:rsidRPr="004A3269">
        <w:rPr>
          <w:rStyle w:val="hps"/>
        </w:rPr>
        <w:t>recettes</w:t>
      </w:r>
      <w:r w:rsidRPr="004A3269">
        <w:rPr>
          <w:rStyle w:val="hps"/>
        </w:rPr>
        <w:t xml:space="preserve"> de l</w:t>
      </w:r>
      <w:r w:rsidR="009021AA" w:rsidRPr="004A3269">
        <w:rPr>
          <w:rStyle w:val="hps"/>
        </w:rPr>
        <w:t>’</w:t>
      </w:r>
      <w:r w:rsidRPr="004A3269">
        <w:t xml:space="preserve">Organisation </w:t>
      </w:r>
      <w:r w:rsidR="00686CBB" w:rsidRPr="004A3269">
        <w:t>provenant</w:t>
      </w:r>
      <w:r w:rsidR="008D2195" w:rsidRPr="004A3269">
        <w:t xml:space="preserve"> </w:t>
      </w:r>
      <w:r w:rsidRPr="004A3269">
        <w:rPr>
          <w:rStyle w:val="hps"/>
        </w:rPr>
        <w:t>de ces services</w:t>
      </w:r>
      <w:r w:rsidRPr="004A3269">
        <w:t xml:space="preserve"> </w:t>
      </w:r>
      <w:r w:rsidR="008D2195" w:rsidRPr="004A3269">
        <w:rPr>
          <w:rStyle w:val="hps"/>
        </w:rPr>
        <w:t>sont</w:t>
      </w:r>
      <w:r w:rsidRPr="004A3269">
        <w:rPr>
          <w:rStyle w:val="hps"/>
        </w:rPr>
        <w:t xml:space="preserve"> les niveaux</w:t>
      </w:r>
      <w:r w:rsidRPr="004A3269">
        <w:t xml:space="preserve"> </w:t>
      </w:r>
      <w:r w:rsidR="008D2195" w:rsidRPr="004A3269">
        <w:rPr>
          <w:rStyle w:val="hps"/>
        </w:rPr>
        <w:t>d</w:t>
      </w:r>
      <w:r w:rsidR="009021AA" w:rsidRPr="004A3269">
        <w:rPr>
          <w:rStyle w:val="hps"/>
        </w:rPr>
        <w:t>’</w:t>
      </w:r>
      <w:r w:rsidR="008D2195" w:rsidRPr="004A3269">
        <w:rPr>
          <w:rStyle w:val="hps"/>
        </w:rPr>
        <w:t>investissement dans la</w:t>
      </w:r>
      <w:r w:rsidRPr="004A3269">
        <w:rPr>
          <w:rStyle w:val="hps"/>
        </w:rPr>
        <w:t xml:space="preserve"> recherche et </w:t>
      </w:r>
      <w:r w:rsidR="008D2195" w:rsidRPr="004A3269">
        <w:rPr>
          <w:rStyle w:val="hps"/>
        </w:rPr>
        <w:t xml:space="preserve">le </w:t>
      </w:r>
      <w:r w:rsidRPr="004A3269">
        <w:rPr>
          <w:rStyle w:val="hps"/>
        </w:rPr>
        <w:t>développement</w:t>
      </w:r>
      <w:r w:rsidRPr="004A3269">
        <w:t xml:space="preserve">, </w:t>
      </w:r>
      <w:r w:rsidR="008D2195" w:rsidRPr="004A3269">
        <w:rPr>
          <w:rStyle w:val="hps"/>
        </w:rPr>
        <w:t xml:space="preserve">les </w:t>
      </w:r>
      <w:r w:rsidR="00686CBB" w:rsidRPr="004A3269">
        <w:rPr>
          <w:rStyle w:val="hps"/>
        </w:rPr>
        <w:t>degrés</w:t>
      </w:r>
      <w:r w:rsidR="008D2195" w:rsidRPr="004A3269">
        <w:rPr>
          <w:rStyle w:val="hps"/>
        </w:rPr>
        <w:t xml:space="preserve"> de</w:t>
      </w:r>
      <w:r w:rsidRPr="004A3269">
        <w:t xml:space="preserve"> </w:t>
      </w:r>
      <w:r w:rsidRPr="004A3269">
        <w:rPr>
          <w:rStyle w:val="hps"/>
        </w:rPr>
        <w:t xml:space="preserve">confiance </w:t>
      </w:r>
      <w:r w:rsidR="00686CBB" w:rsidRPr="004A3269">
        <w:rPr>
          <w:rStyle w:val="hps"/>
        </w:rPr>
        <w:t>en</w:t>
      </w:r>
      <w:r w:rsidRPr="004A3269">
        <w:rPr>
          <w:rStyle w:val="hps"/>
        </w:rPr>
        <w:t xml:space="preserve"> la technologie</w:t>
      </w:r>
      <w:r w:rsidRPr="004A3269">
        <w:t xml:space="preserve"> </w:t>
      </w:r>
      <w:r w:rsidRPr="004A3269">
        <w:rPr>
          <w:rStyle w:val="hps"/>
        </w:rPr>
        <w:t>et les fluctuations</w:t>
      </w:r>
      <w:r w:rsidRPr="004A3269">
        <w:t xml:space="preserve"> </w:t>
      </w:r>
      <w:r w:rsidRPr="004A3269">
        <w:rPr>
          <w:rStyle w:val="hps"/>
        </w:rPr>
        <w:t>des taux de change</w:t>
      </w:r>
      <w:r w:rsidRPr="004A3269">
        <w:t>.</w:t>
      </w:r>
      <w:r w:rsidR="008D2195" w:rsidRPr="004A3269">
        <w:t xml:space="preserve"> </w:t>
      </w:r>
      <w:r w:rsidRPr="004A3269">
        <w:t xml:space="preserve"> </w:t>
      </w:r>
      <w:r w:rsidRPr="004A3269">
        <w:rPr>
          <w:rStyle w:val="hps"/>
        </w:rPr>
        <w:t>Pour le système</w:t>
      </w:r>
      <w:r w:rsidR="009021AA" w:rsidRPr="004A3269">
        <w:t xml:space="preserve"> </w:t>
      </w:r>
      <w:r w:rsidR="009021AA" w:rsidRPr="004A3269">
        <w:rPr>
          <w:rStyle w:val="hps"/>
        </w:rPr>
        <w:t>du</w:t>
      </w:r>
      <w:r w:rsidR="009021AA" w:rsidRPr="004A3269">
        <w:t> </w:t>
      </w:r>
      <w:r w:rsidR="009021AA" w:rsidRPr="004A3269">
        <w:rPr>
          <w:rStyle w:val="hps"/>
        </w:rPr>
        <w:t>PCT</w:t>
      </w:r>
      <w:r w:rsidRPr="004A3269">
        <w:t xml:space="preserve"> </w:t>
      </w:r>
      <w:r w:rsidRPr="004A3269">
        <w:rPr>
          <w:rStyle w:val="hps"/>
        </w:rPr>
        <w:t>en particulier,</w:t>
      </w:r>
      <w:r w:rsidRPr="004A3269">
        <w:t xml:space="preserve"> </w:t>
      </w:r>
      <w:r w:rsidRPr="004A3269">
        <w:rPr>
          <w:rStyle w:val="hps"/>
        </w:rPr>
        <w:t>d</w:t>
      </w:r>
      <w:r w:rsidR="009021AA" w:rsidRPr="004A3269">
        <w:rPr>
          <w:rStyle w:val="hps"/>
        </w:rPr>
        <w:t>’</w:t>
      </w:r>
      <w:r w:rsidRPr="004A3269">
        <w:rPr>
          <w:rStyle w:val="hps"/>
        </w:rPr>
        <w:t xml:space="preserve">autres facteurs </w:t>
      </w:r>
      <w:r w:rsidR="008D2195" w:rsidRPr="004A3269">
        <w:rPr>
          <w:rStyle w:val="hps"/>
        </w:rPr>
        <w:t xml:space="preserve">ont leur importance, </w:t>
      </w:r>
      <w:r w:rsidR="009021AA" w:rsidRPr="004A3269">
        <w:rPr>
          <w:rStyle w:val="hps"/>
        </w:rPr>
        <w:t>à savoir</w:t>
      </w:r>
      <w:r w:rsidRPr="004A3269">
        <w:rPr>
          <w:rStyle w:val="hps"/>
        </w:rPr>
        <w:t xml:space="preserve"> le niveau</w:t>
      </w:r>
      <w:r w:rsidRPr="004A3269">
        <w:t xml:space="preserve"> </w:t>
      </w:r>
      <w:r w:rsidRPr="004A3269">
        <w:rPr>
          <w:rStyle w:val="hps"/>
        </w:rPr>
        <w:t>des</w:t>
      </w:r>
      <w:r w:rsidRPr="004A3269">
        <w:t xml:space="preserve"> </w:t>
      </w:r>
      <w:r w:rsidRPr="004A3269">
        <w:rPr>
          <w:rStyle w:val="hps"/>
        </w:rPr>
        <w:t>taxes PCT</w:t>
      </w:r>
      <w:r w:rsidRPr="004A3269">
        <w:t xml:space="preserve"> </w:t>
      </w:r>
      <w:r w:rsidRPr="004A3269">
        <w:rPr>
          <w:rStyle w:val="hps"/>
        </w:rPr>
        <w:t>par rapport</w:t>
      </w:r>
      <w:r w:rsidRPr="004A3269">
        <w:t xml:space="preserve"> </w:t>
      </w:r>
      <w:r w:rsidR="00456BCC" w:rsidRPr="004A3269">
        <w:rPr>
          <w:rStyle w:val="hps"/>
        </w:rPr>
        <w:t xml:space="preserve">aux </w:t>
      </w:r>
      <w:r w:rsidRPr="004A3269">
        <w:rPr>
          <w:rStyle w:val="hps"/>
        </w:rPr>
        <w:t>autres</w:t>
      </w:r>
      <w:r w:rsidRPr="004A3269">
        <w:t xml:space="preserve"> </w:t>
      </w:r>
      <w:r w:rsidRPr="004A3269">
        <w:rPr>
          <w:rStyle w:val="hps"/>
        </w:rPr>
        <w:t>voies de dépôt</w:t>
      </w:r>
      <w:r w:rsidRPr="004A3269">
        <w:t xml:space="preserve">, </w:t>
      </w:r>
      <w:r w:rsidRPr="004A3269">
        <w:rPr>
          <w:rStyle w:val="hps"/>
        </w:rPr>
        <w:t>l</w:t>
      </w:r>
      <w:r w:rsidR="009021AA" w:rsidRPr="004A3269">
        <w:rPr>
          <w:rStyle w:val="hps"/>
        </w:rPr>
        <w:t>’</w:t>
      </w:r>
      <w:r w:rsidRPr="004A3269">
        <w:t xml:space="preserve">attrait et la valeur </w:t>
      </w:r>
      <w:r w:rsidRPr="004A3269">
        <w:rPr>
          <w:rStyle w:val="hps"/>
        </w:rPr>
        <w:t>des services</w:t>
      </w:r>
      <w:r w:rsidR="009021AA" w:rsidRPr="004A3269">
        <w:rPr>
          <w:rStyle w:val="hps"/>
        </w:rPr>
        <w:t xml:space="preserve"> du PCT</w:t>
      </w:r>
      <w:r w:rsidRPr="004A3269">
        <w:t xml:space="preserve"> </w:t>
      </w:r>
      <w:r w:rsidRPr="004A3269">
        <w:rPr>
          <w:rStyle w:val="hps"/>
        </w:rPr>
        <w:t>par rapport aux autres</w:t>
      </w:r>
      <w:r w:rsidRPr="004A3269">
        <w:t xml:space="preserve"> </w:t>
      </w:r>
      <w:r w:rsidRPr="004A3269">
        <w:rPr>
          <w:rStyle w:val="hps"/>
        </w:rPr>
        <w:t>voies de dépôt</w:t>
      </w:r>
      <w:r w:rsidR="00456BCC" w:rsidRPr="004A3269">
        <w:t xml:space="preserve"> ainsi que </w:t>
      </w:r>
      <w:r w:rsidRPr="004A3269">
        <w:rPr>
          <w:rStyle w:val="hps"/>
        </w:rPr>
        <w:t>les</w:t>
      </w:r>
      <w:r w:rsidRPr="004A3269">
        <w:t xml:space="preserve"> </w:t>
      </w:r>
      <w:r w:rsidRPr="004A3269">
        <w:rPr>
          <w:rStyle w:val="hps"/>
        </w:rPr>
        <w:t xml:space="preserve">stratégies </w:t>
      </w:r>
      <w:r w:rsidR="00456BCC" w:rsidRPr="004A3269">
        <w:rPr>
          <w:rStyle w:val="hps"/>
        </w:rPr>
        <w:t>adoptées par les</w:t>
      </w:r>
      <w:r w:rsidRPr="004A3269">
        <w:rPr>
          <w:rStyle w:val="hps"/>
        </w:rPr>
        <w:t xml:space="preserve"> entreprises</w:t>
      </w:r>
      <w:r w:rsidRPr="004A3269">
        <w:t xml:space="preserve"> </w:t>
      </w:r>
      <w:r w:rsidR="00456BCC" w:rsidRPr="004A3269">
        <w:rPr>
          <w:rStyle w:val="hps"/>
        </w:rPr>
        <w:t>en matière de brevets</w:t>
      </w:r>
      <w:r w:rsidR="00EE77A1" w:rsidRPr="004A3269">
        <w:rPr>
          <w:szCs w:val="22"/>
        </w:rPr>
        <w:t>.</w:t>
      </w:r>
    </w:p>
    <w:p w:rsidR="00267140" w:rsidRPr="004A3269" w:rsidRDefault="0007191C" w:rsidP="009F5BE9">
      <w:pPr>
        <w:jc w:val="both"/>
        <w:rPr>
          <w:rFonts w:eastAsia="SimSun"/>
          <w:b/>
          <w:szCs w:val="22"/>
          <w:lang w:eastAsia="zh-CN"/>
        </w:rPr>
      </w:pPr>
      <w:r w:rsidRPr="004A3269">
        <w:rPr>
          <w:rStyle w:val="hps"/>
          <w:b/>
        </w:rPr>
        <w:t>Vue d</w:t>
      </w:r>
      <w:r w:rsidR="009021AA" w:rsidRPr="004A3269">
        <w:rPr>
          <w:rStyle w:val="hps"/>
          <w:b/>
        </w:rPr>
        <w:t>’</w:t>
      </w:r>
      <w:r w:rsidRPr="004A3269">
        <w:rPr>
          <w:rStyle w:val="hps"/>
          <w:b/>
        </w:rPr>
        <w:t>ensemble</w:t>
      </w:r>
      <w:r w:rsidRPr="004A3269">
        <w:rPr>
          <w:b/>
        </w:rPr>
        <w:t xml:space="preserve"> </w:t>
      </w:r>
      <w:r w:rsidRPr="004A3269">
        <w:rPr>
          <w:rStyle w:val="hps"/>
          <w:b/>
        </w:rPr>
        <w:t xml:space="preserve">des </w:t>
      </w:r>
      <w:r w:rsidR="00505179" w:rsidRPr="004A3269">
        <w:rPr>
          <w:rStyle w:val="hps"/>
          <w:b/>
        </w:rPr>
        <w:t xml:space="preserve">stratégies </w:t>
      </w:r>
      <w:r w:rsidRPr="004A3269">
        <w:rPr>
          <w:rStyle w:val="hps"/>
          <w:b/>
        </w:rPr>
        <w:t xml:space="preserve">et </w:t>
      </w:r>
      <w:r w:rsidR="00505179" w:rsidRPr="004A3269">
        <w:rPr>
          <w:rStyle w:val="hps"/>
          <w:b/>
        </w:rPr>
        <w:t>objectifs financiers</w:t>
      </w:r>
      <w:r w:rsidRPr="004A3269">
        <w:rPr>
          <w:rStyle w:val="hps"/>
          <w:b/>
        </w:rPr>
        <w:t xml:space="preserve"> de</w:t>
      </w:r>
      <w:r w:rsidRPr="004A3269">
        <w:rPr>
          <w:b/>
        </w:rPr>
        <w:t xml:space="preserve"> </w:t>
      </w:r>
      <w:r w:rsidRPr="004A3269">
        <w:rPr>
          <w:rStyle w:val="hps"/>
          <w:b/>
        </w:rPr>
        <w:t>l</w:t>
      </w:r>
      <w:r w:rsidR="009021AA" w:rsidRPr="004A3269">
        <w:rPr>
          <w:rStyle w:val="hps"/>
          <w:b/>
        </w:rPr>
        <w:t>’</w:t>
      </w:r>
      <w:r w:rsidRPr="004A3269">
        <w:rPr>
          <w:rStyle w:val="hps"/>
          <w:b/>
        </w:rPr>
        <w:t>OMPI</w:t>
      </w:r>
    </w:p>
    <w:p w:rsidR="00267140" w:rsidRPr="004A3269" w:rsidRDefault="00267140" w:rsidP="009F5BE9">
      <w:pPr>
        <w:jc w:val="both"/>
        <w:rPr>
          <w:rFonts w:eastAsia="SimSun"/>
          <w:szCs w:val="22"/>
          <w:lang w:eastAsia="zh-CN"/>
        </w:rPr>
      </w:pPr>
    </w:p>
    <w:p w:rsidR="00267140" w:rsidRPr="004A3269" w:rsidRDefault="0007191C" w:rsidP="003D7C06">
      <w:pPr>
        <w:pStyle w:val="ONUMFS"/>
        <w:rPr>
          <w:rFonts w:eastAsia="SimSun"/>
          <w:lang w:eastAsia="zh-CN"/>
        </w:rPr>
      </w:pPr>
      <w:r w:rsidRPr="004A3269">
        <w:rPr>
          <w:rStyle w:val="hps"/>
        </w:rPr>
        <w:t>Les</w:t>
      </w:r>
      <w:r w:rsidRPr="004A3269">
        <w:t xml:space="preserve"> </w:t>
      </w:r>
      <w:r w:rsidRPr="004A3269">
        <w:rPr>
          <w:rStyle w:val="hps"/>
        </w:rPr>
        <w:t>activités financières</w:t>
      </w:r>
      <w:r w:rsidRPr="004A3269">
        <w:t xml:space="preserve"> </w:t>
      </w:r>
      <w:r w:rsidRPr="004A3269">
        <w:rPr>
          <w:rStyle w:val="hps"/>
        </w:rPr>
        <w:t>de l</w:t>
      </w:r>
      <w:r w:rsidR="009021AA" w:rsidRPr="004A3269">
        <w:rPr>
          <w:rStyle w:val="hps"/>
        </w:rPr>
        <w:t>’</w:t>
      </w:r>
      <w:r w:rsidRPr="004A3269">
        <w:rPr>
          <w:rStyle w:val="hps"/>
        </w:rPr>
        <w:t>OMPI</w:t>
      </w:r>
      <w:r w:rsidRPr="004A3269">
        <w:t xml:space="preserve"> </w:t>
      </w:r>
      <w:r w:rsidRPr="004A3269">
        <w:rPr>
          <w:rStyle w:val="hps"/>
        </w:rPr>
        <w:t>sont régies par</w:t>
      </w:r>
      <w:r w:rsidRPr="004A3269">
        <w:t xml:space="preserve"> </w:t>
      </w:r>
      <w:r w:rsidRPr="004A3269">
        <w:rPr>
          <w:rStyle w:val="hps"/>
        </w:rPr>
        <w:t>son Règlement financier</w:t>
      </w:r>
      <w:r w:rsidRPr="004A3269">
        <w:t xml:space="preserve">, qui </w:t>
      </w:r>
      <w:r w:rsidR="007674A5" w:rsidRPr="004A3269">
        <w:t>est approuvé</w:t>
      </w:r>
      <w:r w:rsidRPr="004A3269">
        <w:t xml:space="preserve"> </w:t>
      </w:r>
      <w:r w:rsidRPr="004A3269">
        <w:rPr>
          <w:rStyle w:val="hps"/>
        </w:rPr>
        <w:t>par l</w:t>
      </w:r>
      <w:r w:rsidR="009021AA" w:rsidRPr="004A3269">
        <w:rPr>
          <w:rStyle w:val="hps"/>
        </w:rPr>
        <w:t>’</w:t>
      </w:r>
      <w:r w:rsidRPr="004A3269">
        <w:rPr>
          <w:rStyle w:val="hps"/>
        </w:rPr>
        <w:t>Assemblée générale</w:t>
      </w:r>
      <w:r w:rsidR="007E00AE" w:rsidRPr="004A3269">
        <w:t>.</w:t>
      </w:r>
      <w:r w:rsidR="00275AA0" w:rsidRPr="004A3269">
        <w:t xml:space="preserve"> </w:t>
      </w:r>
      <w:r w:rsidR="00A60F30" w:rsidRPr="004A3269">
        <w:t xml:space="preserve"> </w:t>
      </w:r>
      <w:r w:rsidR="0076094D" w:rsidRPr="004A3269">
        <w:t>Le règlement d</w:t>
      </w:r>
      <w:r w:rsidR="009021AA" w:rsidRPr="004A3269">
        <w:t>’</w:t>
      </w:r>
      <w:r w:rsidR="0076094D" w:rsidRPr="004A3269">
        <w:t>exécution du Règlement financier est établi par le Directeur général conformément aux dispositions du Règlement financier.</w:t>
      </w:r>
      <w:r w:rsidR="00A60F30" w:rsidRPr="004A3269">
        <w:t xml:space="preserve"> </w:t>
      </w:r>
      <w:r w:rsidR="00275AA0" w:rsidRPr="004A3269">
        <w:t xml:space="preserve"> </w:t>
      </w:r>
      <w:r w:rsidR="0076094D" w:rsidRPr="004A3269">
        <w:t>Le Comité du programme et budget est informé de toute modification du règlement d</w:t>
      </w:r>
      <w:r w:rsidR="009021AA" w:rsidRPr="004A3269">
        <w:t>’</w:t>
      </w:r>
      <w:r w:rsidR="0076094D" w:rsidRPr="004A3269">
        <w:t>exécution du Règlement financier.</w:t>
      </w:r>
      <w:r w:rsidR="00275AA0" w:rsidRPr="004A3269">
        <w:t xml:space="preserve"> </w:t>
      </w:r>
      <w:r w:rsidRPr="004A3269">
        <w:t xml:space="preserve"> </w:t>
      </w:r>
      <w:r w:rsidR="007674A5" w:rsidRPr="004A3269">
        <w:rPr>
          <w:rStyle w:val="hps"/>
        </w:rPr>
        <w:t>Le règlement d</w:t>
      </w:r>
      <w:r w:rsidR="009021AA" w:rsidRPr="004A3269">
        <w:rPr>
          <w:rStyle w:val="hps"/>
        </w:rPr>
        <w:t>’</w:t>
      </w:r>
      <w:r w:rsidR="007674A5" w:rsidRPr="004A3269">
        <w:rPr>
          <w:rStyle w:val="hps"/>
        </w:rPr>
        <w:t xml:space="preserve">exécution </w:t>
      </w:r>
      <w:r w:rsidR="007B1055" w:rsidRPr="004A3269">
        <w:rPr>
          <w:rStyle w:val="hps"/>
        </w:rPr>
        <w:t xml:space="preserve">du Règlement financier </w:t>
      </w:r>
      <w:r w:rsidR="007674A5" w:rsidRPr="004A3269">
        <w:rPr>
          <w:rStyle w:val="hps"/>
        </w:rPr>
        <w:t>régit</w:t>
      </w:r>
      <w:r w:rsidRPr="004A3269">
        <w:t xml:space="preserve"> </w:t>
      </w:r>
      <w:r w:rsidRPr="004A3269">
        <w:rPr>
          <w:rStyle w:val="hps"/>
        </w:rPr>
        <w:t>toutes les</w:t>
      </w:r>
      <w:r w:rsidRPr="004A3269">
        <w:t xml:space="preserve"> </w:t>
      </w:r>
      <w:r w:rsidRPr="004A3269">
        <w:rPr>
          <w:rStyle w:val="hps"/>
        </w:rPr>
        <w:t>activités de gestion financière</w:t>
      </w:r>
      <w:r w:rsidRPr="004A3269">
        <w:t xml:space="preserve"> </w:t>
      </w:r>
      <w:r w:rsidRPr="004A3269">
        <w:rPr>
          <w:rStyle w:val="hps"/>
        </w:rPr>
        <w:t>de l</w:t>
      </w:r>
      <w:r w:rsidR="009021AA" w:rsidRPr="004A3269">
        <w:rPr>
          <w:rStyle w:val="hps"/>
        </w:rPr>
        <w:t>’</w:t>
      </w:r>
      <w:r w:rsidRPr="004A3269">
        <w:rPr>
          <w:rStyle w:val="hps"/>
        </w:rPr>
        <w:t>Organisation</w:t>
      </w:r>
      <w:r w:rsidRPr="004A3269">
        <w:t xml:space="preserve">. </w:t>
      </w:r>
      <w:r w:rsidR="007B1055" w:rsidRPr="004A3269">
        <w:t xml:space="preserve"> Le </w:t>
      </w:r>
      <w:r w:rsidR="007B1055" w:rsidRPr="004A3269">
        <w:rPr>
          <w:rStyle w:val="hps"/>
        </w:rPr>
        <w:t xml:space="preserve">Directeur général délègue au </w:t>
      </w:r>
      <w:r w:rsidR="00686CBB" w:rsidRPr="004A3269">
        <w:rPr>
          <w:rStyle w:val="hps"/>
        </w:rPr>
        <w:t>c</w:t>
      </w:r>
      <w:r w:rsidR="007B1055" w:rsidRPr="004A3269">
        <w:rPr>
          <w:rStyle w:val="hps"/>
        </w:rPr>
        <w:t>ontrôleur l</w:t>
      </w:r>
      <w:r w:rsidR="009021AA" w:rsidRPr="004A3269">
        <w:rPr>
          <w:rStyle w:val="hps"/>
        </w:rPr>
        <w:t>’</w:t>
      </w:r>
      <w:r w:rsidR="007B1055" w:rsidRPr="004A3269">
        <w:rPr>
          <w:rStyle w:val="hps"/>
        </w:rPr>
        <w:t>a</w:t>
      </w:r>
      <w:r w:rsidRPr="004A3269">
        <w:rPr>
          <w:rStyle w:val="hps"/>
        </w:rPr>
        <w:t>utorité</w:t>
      </w:r>
      <w:r w:rsidRPr="004A3269">
        <w:t xml:space="preserve"> </w:t>
      </w:r>
      <w:r w:rsidRPr="004A3269">
        <w:rPr>
          <w:rStyle w:val="hps"/>
        </w:rPr>
        <w:t>et la responsabilité de</w:t>
      </w:r>
      <w:r w:rsidRPr="004A3269">
        <w:t xml:space="preserve"> </w:t>
      </w:r>
      <w:r w:rsidRPr="004A3269">
        <w:rPr>
          <w:rStyle w:val="hps"/>
        </w:rPr>
        <w:t>la mise en œuvre</w:t>
      </w:r>
      <w:r w:rsidRPr="004A3269">
        <w:t xml:space="preserve"> </w:t>
      </w:r>
      <w:r w:rsidR="007B1055" w:rsidRPr="004A3269">
        <w:t xml:space="preserve">du </w:t>
      </w:r>
      <w:r w:rsidR="007B1055" w:rsidRPr="004A3269">
        <w:rPr>
          <w:rStyle w:val="hps"/>
        </w:rPr>
        <w:t xml:space="preserve">Règlement financier et </w:t>
      </w:r>
      <w:r w:rsidR="00DD40E2" w:rsidRPr="004A3269">
        <w:rPr>
          <w:rStyle w:val="hps"/>
        </w:rPr>
        <w:t>de son r</w:t>
      </w:r>
      <w:r w:rsidR="007B1055" w:rsidRPr="004A3269">
        <w:rPr>
          <w:rStyle w:val="hps"/>
        </w:rPr>
        <w:t xml:space="preserve">èglement </w:t>
      </w:r>
      <w:r w:rsidR="00DD40E2" w:rsidRPr="004A3269">
        <w:rPr>
          <w:rStyle w:val="hps"/>
        </w:rPr>
        <w:t>d</w:t>
      </w:r>
      <w:r w:rsidR="009021AA" w:rsidRPr="004A3269">
        <w:rPr>
          <w:rStyle w:val="hps"/>
        </w:rPr>
        <w:t>’</w:t>
      </w:r>
      <w:r w:rsidR="00DD40E2" w:rsidRPr="004A3269">
        <w:rPr>
          <w:rStyle w:val="hps"/>
        </w:rPr>
        <w:t>exécution</w:t>
      </w:r>
      <w:r w:rsidR="00275AA0" w:rsidRPr="004A3269">
        <w:t>.</w:t>
      </w:r>
    </w:p>
    <w:p w:rsidR="009021AA" w:rsidRPr="004A3269" w:rsidRDefault="00A60F30" w:rsidP="003D7C06">
      <w:pPr>
        <w:pStyle w:val="ONUMFS"/>
        <w:rPr>
          <w:rFonts w:eastAsia="SimSun"/>
          <w:lang w:eastAsia="zh-CN"/>
        </w:rPr>
      </w:pPr>
      <w:r w:rsidRPr="004A3269">
        <w:t>Tous les deux </w:t>
      </w:r>
      <w:r w:rsidR="0076094D" w:rsidRPr="004A3269">
        <w:t>ans, le Directeur général présente un document relatif au programme et budget aux États membres pour approbation.</w:t>
      </w:r>
      <w:r w:rsidR="00321708" w:rsidRPr="004A3269">
        <w:t xml:space="preserve"> </w:t>
      </w:r>
      <w:r w:rsidRPr="004A3269">
        <w:t xml:space="preserve"> </w:t>
      </w:r>
      <w:r w:rsidR="0076094D" w:rsidRPr="004A3269">
        <w:t>Ce document précise les objectifs, les critères d</w:t>
      </w:r>
      <w:r w:rsidR="009021AA" w:rsidRPr="004A3269">
        <w:t>’</w:t>
      </w:r>
      <w:r w:rsidR="0076094D" w:rsidRPr="004A3269">
        <w:t>évaluation des résultats et les prévisions budgétaires pour l</w:t>
      </w:r>
      <w:r w:rsidR="009021AA" w:rsidRPr="004A3269">
        <w:t>’</w:t>
      </w:r>
      <w:r w:rsidR="0076094D" w:rsidRPr="004A3269">
        <w:t>ensemble des activités planifiées</w:t>
      </w:r>
      <w:r w:rsidR="00A0797A" w:rsidRPr="004A3269">
        <w:t xml:space="preserve">.  </w:t>
      </w:r>
      <w:r w:rsidR="0076094D" w:rsidRPr="004A3269">
        <w:t>Le programme et budget pour l</w:t>
      </w:r>
      <w:r w:rsidR="009021AA" w:rsidRPr="004A3269">
        <w:t>’</w:t>
      </w:r>
      <w:r w:rsidR="0076094D" w:rsidRPr="004A3269">
        <w:t>exercice bie</w:t>
      </w:r>
      <w:r w:rsidR="009F2C2F" w:rsidRPr="004A3269">
        <w:t>nnal</w:t>
      </w:r>
      <w:r w:rsidR="00067463" w:rsidRPr="004A3269">
        <w:t> </w:t>
      </w:r>
      <w:r w:rsidR="009F2C2F" w:rsidRPr="004A3269">
        <w:t>2014–2015 a été approuvé</w:t>
      </w:r>
      <w:r w:rsidR="0076094D" w:rsidRPr="004A3269">
        <w:t xml:space="preserve"> par les assemblées des États membres de l</w:t>
      </w:r>
      <w:r w:rsidR="009021AA" w:rsidRPr="004A3269">
        <w:t>’</w:t>
      </w:r>
      <w:r w:rsidR="009F2C2F" w:rsidRPr="004A3269">
        <w:t>OMPI le 12 septembre </w:t>
      </w:r>
      <w:r w:rsidR="0076094D" w:rsidRPr="004A3269">
        <w:t>2013.</w:t>
      </w:r>
      <w:r w:rsidR="005D4D8D" w:rsidRPr="004A3269">
        <w:t xml:space="preserve"> </w:t>
      </w:r>
      <w:r w:rsidR="007B1055" w:rsidRPr="004A3269">
        <w:t xml:space="preserve"> </w:t>
      </w:r>
      <w:r w:rsidR="0007191C" w:rsidRPr="004A3269">
        <w:rPr>
          <w:rStyle w:val="hps"/>
        </w:rPr>
        <w:t>Le programme et budget</w:t>
      </w:r>
      <w:r w:rsidR="0007191C" w:rsidRPr="004A3269">
        <w:t xml:space="preserve"> </w:t>
      </w:r>
      <w:r w:rsidR="0007191C" w:rsidRPr="004A3269">
        <w:rPr>
          <w:rStyle w:val="hps"/>
        </w:rPr>
        <w:t>prévoit</w:t>
      </w:r>
      <w:r w:rsidR="0007191C" w:rsidRPr="004A3269">
        <w:t xml:space="preserve"> </w:t>
      </w:r>
      <w:r w:rsidR="0007191C" w:rsidRPr="004A3269">
        <w:rPr>
          <w:rStyle w:val="hps"/>
        </w:rPr>
        <w:t>la planification</w:t>
      </w:r>
      <w:r w:rsidR="0007191C" w:rsidRPr="004A3269">
        <w:t xml:space="preserve"> </w:t>
      </w:r>
      <w:r w:rsidR="0007191C" w:rsidRPr="004A3269">
        <w:rPr>
          <w:rStyle w:val="hps"/>
        </w:rPr>
        <w:t>pour l</w:t>
      </w:r>
      <w:r w:rsidR="009021AA" w:rsidRPr="004A3269">
        <w:rPr>
          <w:rStyle w:val="hps"/>
        </w:rPr>
        <w:t>’</w:t>
      </w:r>
      <w:r w:rsidR="0007191C" w:rsidRPr="004A3269">
        <w:rPr>
          <w:rStyle w:val="hps"/>
        </w:rPr>
        <w:t>exercice biennal</w:t>
      </w:r>
      <w:r w:rsidR="0007191C" w:rsidRPr="004A3269">
        <w:t xml:space="preserve"> </w:t>
      </w:r>
      <w:r w:rsidR="0007191C" w:rsidRPr="004A3269">
        <w:rPr>
          <w:rStyle w:val="hps"/>
        </w:rPr>
        <w:t xml:space="preserve">dans le </w:t>
      </w:r>
      <w:r w:rsidR="003B4661" w:rsidRPr="004A3269">
        <w:rPr>
          <w:rStyle w:val="hps"/>
        </w:rPr>
        <w:t xml:space="preserve">contexte stratégique global </w:t>
      </w:r>
      <w:r w:rsidR="007B1055" w:rsidRPr="004A3269">
        <w:rPr>
          <w:rStyle w:val="hps"/>
        </w:rPr>
        <w:t>du p</w:t>
      </w:r>
      <w:r w:rsidR="0007191C" w:rsidRPr="004A3269">
        <w:rPr>
          <w:rStyle w:val="hps"/>
        </w:rPr>
        <w:t>lan</w:t>
      </w:r>
      <w:r w:rsidR="0007191C" w:rsidRPr="004A3269">
        <w:t xml:space="preserve"> </w:t>
      </w:r>
      <w:r w:rsidR="0007191C" w:rsidRPr="004A3269">
        <w:rPr>
          <w:rStyle w:val="hps"/>
        </w:rPr>
        <w:t>stratégique à moyen terme</w:t>
      </w:r>
      <w:r w:rsidR="000E5973" w:rsidRPr="004A3269">
        <w:rPr>
          <w:iCs/>
        </w:rPr>
        <w:t>.</w:t>
      </w:r>
    </w:p>
    <w:p w:rsidR="00267140" w:rsidRPr="004A3269" w:rsidRDefault="0007191C" w:rsidP="003D7C06">
      <w:pPr>
        <w:pStyle w:val="ONUMFS"/>
        <w:rPr>
          <w:rFonts w:eastAsia="SimSun"/>
          <w:szCs w:val="22"/>
          <w:lang w:eastAsia="zh-CN"/>
        </w:rPr>
      </w:pPr>
      <w:r w:rsidRPr="004A3269">
        <w:rPr>
          <w:rStyle w:val="hps"/>
        </w:rPr>
        <w:t>L</w:t>
      </w:r>
      <w:r w:rsidR="009021AA" w:rsidRPr="004A3269">
        <w:rPr>
          <w:rStyle w:val="hps"/>
        </w:rPr>
        <w:t>’</w:t>
      </w:r>
      <w:r w:rsidRPr="004A3269">
        <w:rPr>
          <w:rStyle w:val="hps"/>
        </w:rPr>
        <w:t>Organisation</w:t>
      </w:r>
      <w:r w:rsidRPr="004A3269">
        <w:t xml:space="preserve"> </w:t>
      </w:r>
      <w:r w:rsidR="007B1055" w:rsidRPr="004A3269">
        <w:rPr>
          <w:rStyle w:val="hps"/>
        </w:rPr>
        <w:t>a recours à</w:t>
      </w:r>
      <w:r w:rsidRPr="004A3269">
        <w:rPr>
          <w:rStyle w:val="hps"/>
        </w:rPr>
        <w:t xml:space="preserve"> un système de</w:t>
      </w:r>
      <w:r w:rsidRPr="004A3269">
        <w:t xml:space="preserve"> </w:t>
      </w:r>
      <w:r w:rsidRPr="004A3269">
        <w:rPr>
          <w:rStyle w:val="hps"/>
        </w:rPr>
        <w:t>gestion</w:t>
      </w:r>
      <w:r w:rsidRPr="004A3269">
        <w:t xml:space="preserve"> </w:t>
      </w:r>
      <w:r w:rsidRPr="004A3269">
        <w:rPr>
          <w:rStyle w:val="hps"/>
        </w:rPr>
        <w:t>axée sur les résultats</w:t>
      </w:r>
      <w:r w:rsidRPr="004A3269">
        <w:t xml:space="preserve"> </w:t>
      </w:r>
      <w:r w:rsidR="007B1055" w:rsidRPr="004A3269">
        <w:rPr>
          <w:rStyle w:val="hps"/>
        </w:rPr>
        <w:t>pour s</w:t>
      </w:r>
      <w:r w:rsidR="009021AA" w:rsidRPr="004A3269">
        <w:rPr>
          <w:rStyle w:val="hps"/>
        </w:rPr>
        <w:t>’</w:t>
      </w:r>
      <w:r w:rsidRPr="004A3269">
        <w:rPr>
          <w:rStyle w:val="hps"/>
        </w:rPr>
        <w:t>assurer</w:t>
      </w:r>
      <w:r w:rsidRPr="004A3269">
        <w:t xml:space="preserve"> </w:t>
      </w:r>
      <w:r w:rsidRPr="004A3269">
        <w:rPr>
          <w:rStyle w:val="hps"/>
        </w:rPr>
        <w:t>que les ressources</w:t>
      </w:r>
      <w:r w:rsidRPr="004A3269">
        <w:t xml:space="preserve"> </w:t>
      </w:r>
      <w:r w:rsidRPr="004A3269">
        <w:rPr>
          <w:rStyle w:val="hps"/>
        </w:rPr>
        <w:t>sont budgétisées</w:t>
      </w:r>
      <w:r w:rsidRPr="004A3269">
        <w:t xml:space="preserve"> </w:t>
      </w:r>
      <w:r w:rsidRPr="004A3269">
        <w:rPr>
          <w:rStyle w:val="hps"/>
        </w:rPr>
        <w:t>et utilisées</w:t>
      </w:r>
      <w:r w:rsidRPr="004A3269">
        <w:t xml:space="preserve"> </w:t>
      </w:r>
      <w:r w:rsidR="007B1055" w:rsidRPr="004A3269">
        <w:rPr>
          <w:rStyle w:val="hps"/>
        </w:rPr>
        <w:t>conformément aux</w:t>
      </w:r>
      <w:r w:rsidRPr="004A3269">
        <w:rPr>
          <w:rStyle w:val="hps"/>
        </w:rPr>
        <w:t xml:space="preserve"> résultats et priorités de l</w:t>
      </w:r>
      <w:r w:rsidR="009021AA" w:rsidRPr="004A3269">
        <w:rPr>
          <w:rStyle w:val="hps"/>
        </w:rPr>
        <w:t>’</w:t>
      </w:r>
      <w:r w:rsidRPr="004A3269">
        <w:rPr>
          <w:rStyle w:val="hps"/>
        </w:rPr>
        <w:t>organisation</w:t>
      </w:r>
      <w:r w:rsidRPr="004A3269">
        <w:t xml:space="preserve">. </w:t>
      </w:r>
      <w:r w:rsidR="007B1055" w:rsidRPr="004A3269">
        <w:t xml:space="preserve"> </w:t>
      </w:r>
      <w:r w:rsidR="00DF1980" w:rsidRPr="004A3269">
        <w:rPr>
          <w:rStyle w:val="hps"/>
        </w:rPr>
        <w:t xml:space="preserve">Les performances </w:t>
      </w:r>
      <w:r w:rsidRPr="004A3269">
        <w:rPr>
          <w:rStyle w:val="hps"/>
        </w:rPr>
        <w:t>organisationnelle</w:t>
      </w:r>
      <w:r w:rsidR="00DF1980" w:rsidRPr="004A3269">
        <w:t>s sont mesurées</w:t>
      </w:r>
      <w:r w:rsidRPr="004A3269">
        <w:rPr>
          <w:rStyle w:val="hps"/>
        </w:rPr>
        <w:t xml:space="preserve"> et analysé</w:t>
      </w:r>
      <w:r w:rsidR="00DF1980" w:rsidRPr="004A3269">
        <w:t xml:space="preserve">es </w:t>
      </w:r>
      <w:r w:rsidRPr="004A3269">
        <w:rPr>
          <w:rStyle w:val="hps"/>
        </w:rPr>
        <w:t>régulière</w:t>
      </w:r>
      <w:r w:rsidR="00DF1980" w:rsidRPr="004A3269">
        <w:t xml:space="preserve">ment </w:t>
      </w:r>
      <w:r w:rsidR="007B1055" w:rsidRPr="004A3269">
        <w:rPr>
          <w:rStyle w:val="hps"/>
        </w:rPr>
        <w:t>au moyen d</w:t>
      </w:r>
      <w:r w:rsidR="009021AA" w:rsidRPr="004A3269">
        <w:rPr>
          <w:rStyle w:val="hps"/>
        </w:rPr>
        <w:t>’</w:t>
      </w:r>
      <w:r w:rsidRPr="004A3269">
        <w:rPr>
          <w:rStyle w:val="hps"/>
        </w:rPr>
        <w:t>indicateurs</w:t>
      </w:r>
      <w:r w:rsidR="007B1055" w:rsidRPr="004A3269">
        <w:rPr>
          <w:rStyle w:val="hps"/>
        </w:rPr>
        <w:t xml:space="preserve"> de performance, de</w:t>
      </w:r>
      <w:r w:rsidRPr="004A3269">
        <w:t xml:space="preserve"> </w:t>
      </w:r>
      <w:r w:rsidR="00A05368" w:rsidRPr="004A3269">
        <w:t xml:space="preserve">niveaux </w:t>
      </w:r>
      <w:r w:rsidRPr="004A3269">
        <w:rPr>
          <w:rStyle w:val="hps"/>
        </w:rPr>
        <w:t xml:space="preserve">cibles et </w:t>
      </w:r>
      <w:r w:rsidR="007B1055" w:rsidRPr="004A3269">
        <w:rPr>
          <w:rStyle w:val="hps"/>
        </w:rPr>
        <w:t>de niveaux de référence</w:t>
      </w:r>
      <w:r w:rsidRPr="004A3269">
        <w:t>.</w:t>
      </w:r>
      <w:r w:rsidR="00A05368" w:rsidRPr="004A3269">
        <w:t xml:space="preserve"> </w:t>
      </w:r>
      <w:r w:rsidRPr="004A3269">
        <w:t xml:space="preserve"> </w:t>
      </w:r>
      <w:r w:rsidRPr="004A3269">
        <w:rPr>
          <w:rStyle w:val="hps"/>
        </w:rPr>
        <w:t>En vertu de ce</w:t>
      </w:r>
      <w:r w:rsidRPr="004A3269">
        <w:t xml:space="preserve"> </w:t>
      </w:r>
      <w:r w:rsidRPr="004A3269">
        <w:rPr>
          <w:rStyle w:val="hps"/>
        </w:rPr>
        <w:t>système</w:t>
      </w:r>
      <w:r w:rsidRPr="004A3269">
        <w:t xml:space="preserve">, </w:t>
      </w:r>
      <w:r w:rsidRPr="004A3269">
        <w:rPr>
          <w:rStyle w:val="hps"/>
        </w:rPr>
        <w:t>le</w:t>
      </w:r>
      <w:r w:rsidRPr="004A3269">
        <w:t xml:space="preserve"> </w:t>
      </w:r>
      <w:r w:rsidRPr="004A3269">
        <w:rPr>
          <w:rStyle w:val="hps"/>
        </w:rPr>
        <w:t>programme et budget et</w:t>
      </w:r>
      <w:r w:rsidRPr="004A3269">
        <w:t xml:space="preserve"> </w:t>
      </w:r>
      <w:r w:rsidRPr="004A3269">
        <w:rPr>
          <w:rStyle w:val="hps"/>
        </w:rPr>
        <w:t>le</w:t>
      </w:r>
      <w:r w:rsidRPr="004A3269">
        <w:t xml:space="preserve"> </w:t>
      </w:r>
      <w:r w:rsidRPr="004A3269">
        <w:rPr>
          <w:rStyle w:val="hps"/>
        </w:rPr>
        <w:t>plan</w:t>
      </w:r>
      <w:r w:rsidRPr="004A3269">
        <w:t xml:space="preserve"> </w:t>
      </w:r>
      <w:r w:rsidRPr="004A3269">
        <w:rPr>
          <w:rStyle w:val="hps"/>
        </w:rPr>
        <w:t>stratégique à moyen terme</w:t>
      </w:r>
      <w:r w:rsidRPr="004A3269">
        <w:t xml:space="preserve"> </w:t>
      </w:r>
      <w:r w:rsidR="007B1055" w:rsidRPr="004A3269">
        <w:rPr>
          <w:rStyle w:val="hps"/>
        </w:rPr>
        <w:t>font partie</w:t>
      </w:r>
      <w:r w:rsidRPr="004A3269">
        <w:rPr>
          <w:rStyle w:val="hps"/>
        </w:rPr>
        <w:t xml:space="preserve"> du</w:t>
      </w:r>
      <w:r w:rsidRPr="004A3269">
        <w:t xml:space="preserve"> </w:t>
      </w:r>
      <w:r w:rsidRPr="004A3269">
        <w:rPr>
          <w:rStyle w:val="hps"/>
        </w:rPr>
        <w:t>cadre de planification</w:t>
      </w:r>
      <w:r w:rsidRPr="004A3269">
        <w:t xml:space="preserve"> </w:t>
      </w:r>
      <w:r w:rsidRPr="004A3269">
        <w:rPr>
          <w:rStyle w:val="hps"/>
        </w:rPr>
        <w:t>de l</w:t>
      </w:r>
      <w:r w:rsidR="009021AA" w:rsidRPr="004A3269">
        <w:rPr>
          <w:rStyle w:val="hps"/>
        </w:rPr>
        <w:t>’</w:t>
      </w:r>
      <w:r w:rsidRPr="004A3269">
        <w:rPr>
          <w:rStyle w:val="hps"/>
        </w:rPr>
        <w:t>OMPI</w:t>
      </w:r>
      <w:r w:rsidRPr="004A3269">
        <w:t xml:space="preserve">, </w:t>
      </w:r>
      <w:r w:rsidR="0022646E" w:rsidRPr="004A3269">
        <w:rPr>
          <w:rStyle w:val="hps"/>
        </w:rPr>
        <w:t>au même titre que</w:t>
      </w:r>
      <w:r w:rsidR="007B1055" w:rsidRPr="004A3269">
        <w:rPr>
          <w:rStyle w:val="hps"/>
        </w:rPr>
        <w:t xml:space="preserve"> l</w:t>
      </w:r>
      <w:r w:rsidRPr="004A3269">
        <w:rPr>
          <w:rStyle w:val="hps"/>
        </w:rPr>
        <w:t>es plans</w:t>
      </w:r>
      <w:r w:rsidRPr="004A3269">
        <w:t xml:space="preserve"> </w:t>
      </w:r>
      <w:r w:rsidRPr="004A3269">
        <w:rPr>
          <w:rStyle w:val="hps"/>
        </w:rPr>
        <w:t>de travail annuels</w:t>
      </w:r>
      <w:r w:rsidRPr="004A3269">
        <w:t xml:space="preserve"> </w:t>
      </w:r>
      <w:r w:rsidR="007B1055" w:rsidRPr="004A3269">
        <w:rPr>
          <w:rStyle w:val="hps"/>
        </w:rPr>
        <w:t>et l</w:t>
      </w:r>
      <w:r w:rsidRPr="004A3269">
        <w:rPr>
          <w:rStyle w:val="hps"/>
        </w:rPr>
        <w:t>es objectifs</w:t>
      </w:r>
      <w:r w:rsidRPr="004A3269">
        <w:t xml:space="preserve"> </w:t>
      </w:r>
      <w:r w:rsidRPr="004A3269">
        <w:rPr>
          <w:rStyle w:val="hps"/>
        </w:rPr>
        <w:t xml:space="preserve">individuels </w:t>
      </w:r>
      <w:r w:rsidR="0022646E" w:rsidRPr="004A3269">
        <w:rPr>
          <w:rStyle w:val="hps"/>
        </w:rPr>
        <w:t xml:space="preserve">des </w:t>
      </w:r>
      <w:r w:rsidR="00A05368" w:rsidRPr="004A3269">
        <w:rPr>
          <w:rStyle w:val="hps"/>
        </w:rPr>
        <w:t>agents</w:t>
      </w:r>
      <w:r w:rsidR="00A053E6" w:rsidRPr="004A3269">
        <w:rPr>
          <w:szCs w:val="22"/>
        </w:rPr>
        <w:t>.</w:t>
      </w:r>
    </w:p>
    <w:p w:rsidR="00267140" w:rsidRPr="004A3269" w:rsidRDefault="0007191C" w:rsidP="003D7C06">
      <w:pPr>
        <w:pStyle w:val="ONUMFS"/>
        <w:rPr>
          <w:rFonts w:eastAsia="SimSun"/>
          <w:szCs w:val="22"/>
          <w:lang w:eastAsia="zh-CN"/>
        </w:rPr>
      </w:pPr>
      <w:r w:rsidRPr="004A3269">
        <w:rPr>
          <w:rStyle w:val="hps"/>
        </w:rPr>
        <w:t>L</w:t>
      </w:r>
      <w:r w:rsidR="009021AA" w:rsidRPr="004A3269">
        <w:rPr>
          <w:rStyle w:val="hps"/>
        </w:rPr>
        <w:t>’</w:t>
      </w:r>
      <w:r w:rsidRPr="004A3269">
        <w:rPr>
          <w:rStyle w:val="hps"/>
        </w:rPr>
        <w:t>Organisation</w:t>
      </w:r>
      <w:r w:rsidRPr="004A3269">
        <w:t xml:space="preserve"> </w:t>
      </w:r>
      <w:r w:rsidRPr="004A3269">
        <w:rPr>
          <w:rStyle w:val="hps"/>
        </w:rPr>
        <w:t>gère</w:t>
      </w:r>
      <w:r w:rsidRPr="004A3269">
        <w:t xml:space="preserve"> </w:t>
      </w:r>
      <w:r w:rsidR="0084383C" w:rsidRPr="004A3269">
        <w:rPr>
          <w:rStyle w:val="hps"/>
        </w:rPr>
        <w:t>s</w:t>
      </w:r>
      <w:r w:rsidRPr="004A3269">
        <w:rPr>
          <w:rStyle w:val="hps"/>
        </w:rPr>
        <w:t>es niveaux de réserves</w:t>
      </w:r>
      <w:r w:rsidRPr="004A3269">
        <w:t xml:space="preserve"> </w:t>
      </w:r>
      <w:r w:rsidRPr="004A3269">
        <w:rPr>
          <w:rStyle w:val="hps"/>
        </w:rPr>
        <w:t>conformément à sa</w:t>
      </w:r>
      <w:r w:rsidRPr="004A3269">
        <w:t xml:space="preserve"> </w:t>
      </w:r>
      <w:r w:rsidRPr="004A3269">
        <w:rPr>
          <w:rStyle w:val="hps"/>
        </w:rPr>
        <w:t>politique</w:t>
      </w:r>
      <w:r w:rsidRPr="004A3269">
        <w:t xml:space="preserve"> </w:t>
      </w:r>
      <w:r w:rsidR="0084383C" w:rsidRPr="004A3269">
        <w:rPr>
          <w:rStyle w:val="hps"/>
        </w:rPr>
        <w:t>en matière de</w:t>
      </w:r>
      <w:r w:rsidRPr="004A3269">
        <w:rPr>
          <w:rStyle w:val="hps"/>
        </w:rPr>
        <w:t xml:space="preserve"> réserves</w:t>
      </w:r>
      <w:r w:rsidRPr="004A3269">
        <w:t xml:space="preserve">. </w:t>
      </w:r>
      <w:r w:rsidR="0022646E" w:rsidRPr="004A3269">
        <w:t xml:space="preserve"> </w:t>
      </w:r>
      <w:r w:rsidR="0084383C" w:rsidRPr="004A3269">
        <w:t>L</w:t>
      </w:r>
      <w:r w:rsidRPr="004A3269">
        <w:rPr>
          <w:rStyle w:val="hps"/>
        </w:rPr>
        <w:t>e niveau</w:t>
      </w:r>
      <w:r w:rsidRPr="004A3269">
        <w:t xml:space="preserve"> </w:t>
      </w:r>
      <w:r w:rsidRPr="004A3269">
        <w:rPr>
          <w:rStyle w:val="hps"/>
        </w:rPr>
        <w:t>de</w:t>
      </w:r>
      <w:r w:rsidR="0084383C" w:rsidRPr="004A3269">
        <w:rPr>
          <w:rStyle w:val="hps"/>
        </w:rPr>
        <w:t>s</w:t>
      </w:r>
      <w:r w:rsidRPr="004A3269">
        <w:rPr>
          <w:rStyle w:val="hps"/>
        </w:rPr>
        <w:t xml:space="preserve"> réserves</w:t>
      </w:r>
      <w:r w:rsidRPr="004A3269">
        <w:t xml:space="preserve"> </w:t>
      </w:r>
      <w:r w:rsidR="0084383C" w:rsidRPr="004A3269">
        <w:t xml:space="preserve">est arrêté par les </w:t>
      </w:r>
      <w:r w:rsidR="0084383C" w:rsidRPr="004A3269">
        <w:rPr>
          <w:rStyle w:val="hps"/>
        </w:rPr>
        <w:t>unions administrées</w:t>
      </w:r>
      <w:r w:rsidR="0084383C" w:rsidRPr="004A3269">
        <w:t xml:space="preserve"> </w:t>
      </w:r>
      <w:r w:rsidR="0084383C" w:rsidRPr="004A3269">
        <w:rPr>
          <w:rStyle w:val="hps"/>
        </w:rPr>
        <w:t>par l</w:t>
      </w:r>
      <w:r w:rsidR="009021AA" w:rsidRPr="004A3269">
        <w:rPr>
          <w:rStyle w:val="hps"/>
        </w:rPr>
        <w:t>’</w:t>
      </w:r>
      <w:r w:rsidR="0084383C" w:rsidRPr="004A3269">
        <w:rPr>
          <w:rStyle w:val="hps"/>
        </w:rPr>
        <w:t xml:space="preserve">Organisation </w:t>
      </w:r>
      <w:r w:rsidRPr="004A3269">
        <w:rPr>
          <w:rStyle w:val="hps"/>
        </w:rPr>
        <w:t xml:space="preserve">en </w:t>
      </w:r>
      <w:r w:rsidR="0084383C" w:rsidRPr="004A3269">
        <w:rPr>
          <w:rStyle w:val="hps"/>
        </w:rPr>
        <w:t xml:space="preserve">fonction du </w:t>
      </w:r>
      <w:r w:rsidRPr="004A3269">
        <w:rPr>
          <w:rStyle w:val="hps"/>
        </w:rPr>
        <w:t>pourcentage</w:t>
      </w:r>
      <w:r w:rsidRPr="004A3269">
        <w:t xml:space="preserve"> </w:t>
      </w:r>
      <w:r w:rsidRPr="004A3269">
        <w:rPr>
          <w:rStyle w:val="hps"/>
        </w:rPr>
        <w:t>des</w:t>
      </w:r>
      <w:r w:rsidRPr="004A3269">
        <w:t xml:space="preserve"> </w:t>
      </w:r>
      <w:r w:rsidRPr="004A3269">
        <w:rPr>
          <w:rStyle w:val="hps"/>
        </w:rPr>
        <w:t xml:space="preserve">dépenses </w:t>
      </w:r>
      <w:r w:rsidR="0084383C" w:rsidRPr="004A3269">
        <w:rPr>
          <w:rStyle w:val="hps"/>
        </w:rPr>
        <w:t>estimées pour l</w:t>
      </w:r>
      <w:r w:rsidR="009021AA" w:rsidRPr="004A3269">
        <w:rPr>
          <w:rStyle w:val="hps"/>
        </w:rPr>
        <w:t>’</w:t>
      </w:r>
      <w:r w:rsidR="0084383C" w:rsidRPr="004A3269">
        <w:rPr>
          <w:rStyle w:val="hps"/>
        </w:rPr>
        <w:t>exercice biennal</w:t>
      </w:r>
      <w:r w:rsidR="00A0797A" w:rsidRPr="004A3269">
        <w:rPr>
          <w:rStyle w:val="hps"/>
        </w:rPr>
        <w:t>;</w:t>
      </w:r>
      <w:r w:rsidR="0084383C" w:rsidRPr="004A3269">
        <w:rPr>
          <w:rStyle w:val="hps"/>
        </w:rPr>
        <w:t xml:space="preserve"> </w:t>
      </w:r>
      <w:r w:rsidR="00067463" w:rsidRPr="004A3269">
        <w:rPr>
          <w:rStyle w:val="hps"/>
        </w:rPr>
        <w:t xml:space="preserve"> </w:t>
      </w:r>
      <w:r w:rsidR="0084383C" w:rsidRPr="004A3269">
        <w:rPr>
          <w:rStyle w:val="hps"/>
        </w:rPr>
        <w:t xml:space="preserve">ce mécanisme constitue </w:t>
      </w:r>
      <w:r w:rsidR="0022646E" w:rsidRPr="004A3269">
        <w:rPr>
          <w:rStyle w:val="hps"/>
        </w:rPr>
        <w:t>l</w:t>
      </w:r>
      <w:r w:rsidR="009021AA" w:rsidRPr="004A3269">
        <w:rPr>
          <w:rStyle w:val="hps"/>
        </w:rPr>
        <w:t>’</w:t>
      </w:r>
      <w:r w:rsidR="0022646E" w:rsidRPr="004A3269">
        <w:rPr>
          <w:rStyle w:val="hps"/>
        </w:rPr>
        <w:t>un des pivots</w:t>
      </w:r>
      <w:r w:rsidR="0022646E" w:rsidRPr="004A3269">
        <w:t xml:space="preserve"> </w:t>
      </w:r>
      <w:r w:rsidR="0022646E" w:rsidRPr="004A3269">
        <w:rPr>
          <w:rStyle w:val="hps"/>
        </w:rPr>
        <w:t xml:space="preserve">de </w:t>
      </w:r>
      <w:r w:rsidR="0084383C" w:rsidRPr="004A3269">
        <w:rPr>
          <w:rStyle w:val="hps"/>
        </w:rPr>
        <w:t>la</w:t>
      </w:r>
      <w:r w:rsidR="0022646E" w:rsidRPr="004A3269">
        <w:rPr>
          <w:rStyle w:val="hps"/>
        </w:rPr>
        <w:t xml:space="preserve"> politique</w:t>
      </w:r>
      <w:r w:rsidR="0084383C" w:rsidRPr="004A3269">
        <w:rPr>
          <w:rStyle w:val="hps"/>
        </w:rPr>
        <w:t xml:space="preserve"> en matière de réserves</w:t>
      </w:r>
      <w:r w:rsidRPr="004A3269">
        <w:t>.</w:t>
      </w:r>
      <w:r w:rsidR="0022646E" w:rsidRPr="004A3269">
        <w:t xml:space="preserve"> </w:t>
      </w:r>
      <w:r w:rsidRPr="004A3269">
        <w:t xml:space="preserve"> </w:t>
      </w:r>
      <w:r w:rsidR="0022646E" w:rsidRPr="004A3269">
        <w:rPr>
          <w:rStyle w:val="hps"/>
        </w:rPr>
        <w:t>Celle</w:t>
      </w:r>
      <w:r w:rsidR="00A17552" w:rsidRPr="004A3269">
        <w:rPr>
          <w:rStyle w:val="hps"/>
        </w:rPr>
        <w:noBreakHyphen/>
      </w:r>
      <w:r w:rsidR="0022646E" w:rsidRPr="004A3269">
        <w:rPr>
          <w:rStyle w:val="hps"/>
        </w:rPr>
        <w:t>ci</w:t>
      </w:r>
      <w:r w:rsidRPr="004A3269">
        <w:rPr>
          <w:rStyle w:val="hps"/>
        </w:rPr>
        <w:t xml:space="preserve"> établit</w:t>
      </w:r>
      <w:r w:rsidRPr="004A3269">
        <w:t xml:space="preserve"> </w:t>
      </w:r>
      <w:r w:rsidRPr="004A3269">
        <w:rPr>
          <w:rStyle w:val="hps"/>
        </w:rPr>
        <w:t>également les principes et</w:t>
      </w:r>
      <w:r w:rsidRPr="004A3269">
        <w:t xml:space="preserve"> </w:t>
      </w:r>
      <w:r w:rsidR="0022646E" w:rsidRPr="004A3269">
        <w:t xml:space="preserve">le </w:t>
      </w:r>
      <w:r w:rsidRPr="004A3269">
        <w:rPr>
          <w:rStyle w:val="hps"/>
        </w:rPr>
        <w:t>mécanisme d</w:t>
      </w:r>
      <w:r w:rsidR="009021AA" w:rsidRPr="004A3269">
        <w:rPr>
          <w:rStyle w:val="hps"/>
        </w:rPr>
        <w:t>’</w:t>
      </w:r>
      <w:r w:rsidRPr="004A3269">
        <w:rPr>
          <w:rStyle w:val="hps"/>
        </w:rPr>
        <w:t>approbation</w:t>
      </w:r>
      <w:r w:rsidRPr="004A3269">
        <w:t xml:space="preserve"> </w:t>
      </w:r>
      <w:r w:rsidR="0084383C" w:rsidRPr="004A3269">
        <w:rPr>
          <w:rStyle w:val="hps"/>
        </w:rPr>
        <w:t>en ce qui concerne</w:t>
      </w:r>
      <w:r w:rsidRPr="004A3269">
        <w:t xml:space="preserve"> </w:t>
      </w:r>
      <w:r w:rsidRPr="004A3269">
        <w:rPr>
          <w:rStyle w:val="hps"/>
        </w:rPr>
        <w:t>l</w:t>
      </w:r>
      <w:r w:rsidR="009021AA" w:rsidRPr="004A3269">
        <w:rPr>
          <w:rStyle w:val="hps"/>
        </w:rPr>
        <w:t>’</w:t>
      </w:r>
      <w:r w:rsidRPr="004A3269">
        <w:rPr>
          <w:rStyle w:val="hps"/>
        </w:rPr>
        <w:t>utilisation des réserves</w:t>
      </w:r>
      <w:r w:rsidRPr="004A3269">
        <w:t xml:space="preserve"> </w:t>
      </w:r>
      <w:r w:rsidRPr="004A3269">
        <w:rPr>
          <w:rStyle w:val="hps"/>
        </w:rPr>
        <w:t xml:space="preserve">pour </w:t>
      </w:r>
      <w:r w:rsidR="0084383C" w:rsidRPr="004A3269">
        <w:rPr>
          <w:rStyle w:val="hps"/>
        </w:rPr>
        <w:t xml:space="preserve">financer </w:t>
      </w:r>
      <w:r w:rsidRPr="004A3269">
        <w:rPr>
          <w:rStyle w:val="hps"/>
        </w:rPr>
        <w:t>les</w:t>
      </w:r>
      <w:r w:rsidRPr="004A3269">
        <w:t xml:space="preserve"> </w:t>
      </w:r>
      <w:r w:rsidRPr="004A3269">
        <w:rPr>
          <w:rStyle w:val="hps"/>
        </w:rPr>
        <w:t xml:space="preserve">dépenses </w:t>
      </w:r>
      <w:r w:rsidR="002D2C74" w:rsidRPr="004A3269">
        <w:rPr>
          <w:rStyle w:val="hps"/>
        </w:rPr>
        <w:t>d</w:t>
      </w:r>
      <w:r w:rsidR="009021AA" w:rsidRPr="004A3269">
        <w:rPr>
          <w:rStyle w:val="hps"/>
        </w:rPr>
        <w:t>’</w:t>
      </w:r>
      <w:r w:rsidR="002D2C74" w:rsidRPr="004A3269">
        <w:rPr>
          <w:rStyle w:val="hps"/>
        </w:rPr>
        <w:t>équipement</w:t>
      </w:r>
      <w:r w:rsidRPr="004A3269">
        <w:rPr>
          <w:rStyle w:val="hps"/>
        </w:rPr>
        <w:t xml:space="preserve"> et</w:t>
      </w:r>
      <w:r w:rsidR="0022646E" w:rsidRPr="004A3269">
        <w:rPr>
          <w:rStyle w:val="hps"/>
        </w:rPr>
        <w:t xml:space="preserve"> les</w:t>
      </w:r>
      <w:r w:rsidRPr="004A3269">
        <w:t xml:space="preserve"> </w:t>
      </w:r>
      <w:r w:rsidRPr="004A3269">
        <w:rPr>
          <w:rStyle w:val="hps"/>
        </w:rPr>
        <w:t>initiatives</w:t>
      </w:r>
      <w:r w:rsidRPr="004A3269">
        <w:t xml:space="preserve"> </w:t>
      </w:r>
      <w:r w:rsidRPr="004A3269">
        <w:rPr>
          <w:rStyle w:val="hps"/>
        </w:rPr>
        <w:t>stratégiques</w:t>
      </w:r>
      <w:r w:rsidR="00732BBD" w:rsidRPr="004A3269">
        <w:rPr>
          <w:iCs/>
          <w:szCs w:val="22"/>
        </w:rPr>
        <w:t>.</w:t>
      </w:r>
    </w:p>
    <w:p w:rsidR="009021AA" w:rsidRPr="004A3269" w:rsidRDefault="0007191C" w:rsidP="003D7C06">
      <w:pPr>
        <w:pStyle w:val="ONUMFS"/>
        <w:rPr>
          <w:szCs w:val="22"/>
        </w:rPr>
      </w:pPr>
      <w:r w:rsidRPr="004A3269">
        <w:rPr>
          <w:szCs w:val="22"/>
        </w:rPr>
        <w:t>L</w:t>
      </w:r>
      <w:r w:rsidR="009021AA" w:rsidRPr="004A3269">
        <w:rPr>
          <w:szCs w:val="22"/>
        </w:rPr>
        <w:t>’</w:t>
      </w:r>
      <w:r w:rsidRPr="004A3269">
        <w:rPr>
          <w:rStyle w:val="hps"/>
        </w:rPr>
        <w:t>Organisation</w:t>
      </w:r>
      <w:r w:rsidRPr="004A3269">
        <w:t xml:space="preserve"> </w:t>
      </w:r>
      <w:r w:rsidRPr="004A3269">
        <w:rPr>
          <w:rStyle w:val="hps"/>
        </w:rPr>
        <w:t>gère ses</w:t>
      </w:r>
      <w:r w:rsidRPr="004A3269">
        <w:t xml:space="preserve"> </w:t>
      </w:r>
      <w:r w:rsidR="0022646E" w:rsidRPr="004A3269">
        <w:rPr>
          <w:rStyle w:val="hps"/>
        </w:rPr>
        <w:t>placements</w:t>
      </w:r>
      <w:r w:rsidRPr="004A3269">
        <w:rPr>
          <w:rStyle w:val="hps"/>
        </w:rPr>
        <w:t xml:space="preserve"> conformément à</w:t>
      </w:r>
      <w:r w:rsidRPr="004A3269">
        <w:t xml:space="preserve"> </w:t>
      </w:r>
      <w:r w:rsidRPr="004A3269">
        <w:rPr>
          <w:rStyle w:val="hps"/>
        </w:rPr>
        <w:t>sa politique</w:t>
      </w:r>
      <w:r w:rsidRPr="004A3269">
        <w:t xml:space="preserve"> </w:t>
      </w:r>
      <w:r w:rsidR="0022646E" w:rsidRPr="004A3269">
        <w:rPr>
          <w:rStyle w:val="hps"/>
        </w:rPr>
        <w:t>en matière de placements</w:t>
      </w:r>
      <w:r w:rsidR="00A0797A" w:rsidRPr="004A3269">
        <w:rPr>
          <w:szCs w:val="22"/>
        </w:rPr>
        <w:t xml:space="preserve">.  </w:t>
      </w:r>
      <w:r w:rsidR="0076094D" w:rsidRPr="004A3269">
        <w:rPr>
          <w:szCs w:val="22"/>
        </w:rPr>
        <w:t>La politique stipule que</w:t>
      </w:r>
      <w:r w:rsidR="00A0797A" w:rsidRPr="004A3269">
        <w:rPr>
          <w:szCs w:val="22"/>
        </w:rPr>
        <w:t> :</w:t>
      </w:r>
      <w:r w:rsidR="0076094D" w:rsidRPr="004A3269">
        <w:rPr>
          <w:szCs w:val="22"/>
        </w:rPr>
        <w:t xml:space="preserve"> “Par ordre d</w:t>
      </w:r>
      <w:r w:rsidR="009021AA" w:rsidRPr="004A3269">
        <w:rPr>
          <w:szCs w:val="22"/>
        </w:rPr>
        <w:t>’</w:t>
      </w:r>
      <w:r w:rsidR="0076094D" w:rsidRPr="004A3269">
        <w:rPr>
          <w:szCs w:val="22"/>
        </w:rPr>
        <w:t>importance, les principaux objectifs de gestion en matière de place</w:t>
      </w:r>
      <w:r w:rsidR="00A60F30" w:rsidRPr="004A3269">
        <w:rPr>
          <w:szCs w:val="22"/>
        </w:rPr>
        <w:t>ments de l</w:t>
      </w:r>
      <w:r w:rsidR="009021AA" w:rsidRPr="004A3269">
        <w:rPr>
          <w:szCs w:val="22"/>
        </w:rPr>
        <w:t>’</w:t>
      </w:r>
      <w:r w:rsidR="00A60F30" w:rsidRPr="004A3269">
        <w:rPr>
          <w:szCs w:val="22"/>
        </w:rPr>
        <w:t>Organisation sont i) </w:t>
      </w:r>
      <w:r w:rsidR="0076094D" w:rsidRPr="004A3269">
        <w:rPr>
          <w:szCs w:val="22"/>
        </w:rPr>
        <w:t>l</w:t>
      </w:r>
      <w:r w:rsidR="00A60F30" w:rsidRPr="004A3269">
        <w:rPr>
          <w:szCs w:val="22"/>
        </w:rPr>
        <w:t>a préservation du capital;  ii) </w:t>
      </w:r>
      <w:r w:rsidR="0076094D" w:rsidRPr="004A3269">
        <w:rPr>
          <w:szCs w:val="22"/>
        </w:rPr>
        <w:t xml:space="preserve">la conservation </w:t>
      </w:r>
      <w:r w:rsidR="00A60F30" w:rsidRPr="004A3269">
        <w:rPr>
          <w:szCs w:val="22"/>
        </w:rPr>
        <w:t>de liquidités et iii) </w:t>
      </w:r>
      <w:r w:rsidR="0076094D" w:rsidRPr="004A3269">
        <w:rPr>
          <w:szCs w:val="22"/>
        </w:rPr>
        <w:t>le taux de rendement compte tenu des contraintes découlant des points</w:t>
      </w:r>
      <w:r w:rsidR="00A60F30" w:rsidRPr="004A3269">
        <w:rPr>
          <w:szCs w:val="22"/>
        </w:rPr>
        <w:t> </w:t>
      </w:r>
      <w:r w:rsidR="0076094D" w:rsidRPr="004A3269">
        <w:rPr>
          <w:szCs w:val="22"/>
        </w:rPr>
        <w:t>i) et</w:t>
      </w:r>
      <w:r w:rsidR="00A60F30" w:rsidRPr="004A3269">
        <w:rPr>
          <w:szCs w:val="22"/>
        </w:rPr>
        <w:t> </w:t>
      </w:r>
      <w:r w:rsidR="0076094D" w:rsidRPr="004A3269">
        <w:rPr>
          <w:szCs w:val="22"/>
        </w:rPr>
        <w:t>ii)”</w:t>
      </w:r>
      <w:r w:rsidR="00A60F30" w:rsidRPr="004A3269">
        <w:rPr>
          <w:szCs w:val="22"/>
        </w:rPr>
        <w:t>.</w:t>
      </w:r>
    </w:p>
    <w:p w:rsidR="00267140" w:rsidRPr="004A3269" w:rsidRDefault="0076094D" w:rsidP="0076094D">
      <w:pPr>
        <w:spacing w:after="220"/>
        <w:jc w:val="both"/>
        <w:rPr>
          <w:rFonts w:eastAsia="SimSun"/>
          <w:b/>
          <w:szCs w:val="22"/>
          <w:lang w:eastAsia="zh-CN"/>
        </w:rPr>
      </w:pPr>
      <w:r w:rsidRPr="004A3269">
        <w:rPr>
          <w:rFonts w:eastAsia="SimSun"/>
          <w:b/>
          <w:szCs w:val="22"/>
          <w:lang w:eastAsia="zh-CN"/>
        </w:rPr>
        <w:lastRenderedPageBreak/>
        <w:t>Vue d</w:t>
      </w:r>
      <w:r w:rsidR="009021AA" w:rsidRPr="004A3269">
        <w:rPr>
          <w:rFonts w:eastAsia="SimSun"/>
          <w:b/>
          <w:szCs w:val="22"/>
          <w:lang w:eastAsia="zh-CN"/>
        </w:rPr>
        <w:t>’</w:t>
      </w:r>
      <w:r w:rsidRPr="004A3269">
        <w:rPr>
          <w:rFonts w:eastAsia="SimSun"/>
          <w:b/>
          <w:szCs w:val="22"/>
          <w:lang w:eastAsia="zh-CN"/>
        </w:rPr>
        <w:t>ensemble des états financiers</w:t>
      </w:r>
    </w:p>
    <w:p w:rsidR="00267140" w:rsidRPr="004A3269" w:rsidRDefault="0076094D" w:rsidP="003D7C06">
      <w:pPr>
        <w:pStyle w:val="ONUMFS"/>
        <w:rPr>
          <w:rFonts w:eastAsia="SimSun"/>
          <w:lang w:eastAsia="zh-CN"/>
        </w:rPr>
      </w:pPr>
      <w:r w:rsidRPr="004A3269">
        <w:rPr>
          <w:rFonts w:eastAsia="SimSun"/>
          <w:lang w:eastAsia="zh-CN"/>
        </w:rPr>
        <w:t>Les états financiers établis conformément aux normes</w:t>
      </w:r>
      <w:r w:rsidR="00067463" w:rsidRPr="004A3269">
        <w:rPr>
          <w:rFonts w:eastAsia="SimSun"/>
          <w:lang w:eastAsia="zh-CN"/>
        </w:rPr>
        <w:t> </w:t>
      </w:r>
      <w:r w:rsidRPr="004A3269">
        <w:rPr>
          <w:rFonts w:eastAsia="SimSun"/>
          <w:lang w:eastAsia="zh-CN"/>
        </w:rPr>
        <w:t>IPSAS sont les suivants</w:t>
      </w:r>
      <w:r w:rsidR="00A0797A" w:rsidRPr="004A3269">
        <w:rPr>
          <w:rFonts w:eastAsia="SimSun"/>
          <w:lang w:eastAsia="zh-CN"/>
        </w:rPr>
        <w:t> :</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un </w:t>
      </w:r>
      <w:r w:rsidRPr="004A3269">
        <w:rPr>
          <w:rFonts w:eastAsia="SimSun"/>
          <w:szCs w:val="22"/>
          <w:u w:val="single"/>
          <w:lang w:eastAsia="zh-CN"/>
        </w:rPr>
        <w:t>état de la situation financière</w:t>
      </w:r>
      <w:r w:rsidRPr="004A3269">
        <w:rPr>
          <w:rFonts w:eastAsia="SimSun"/>
          <w:szCs w:val="22"/>
          <w:lang w:eastAsia="zh-CN"/>
        </w:rPr>
        <w:t>, qui décrit en détail les actifs nets (la différence entre le total des actifs et le total des passifs) de l</w:t>
      </w:r>
      <w:r w:rsidR="009021AA" w:rsidRPr="004A3269">
        <w:rPr>
          <w:rFonts w:eastAsia="SimSun"/>
          <w:szCs w:val="22"/>
          <w:lang w:eastAsia="zh-CN"/>
        </w:rPr>
        <w:t>’</w:t>
      </w:r>
      <w:r w:rsidRPr="004A3269">
        <w:rPr>
          <w:rFonts w:eastAsia="SimSun"/>
          <w:szCs w:val="22"/>
          <w:lang w:eastAsia="zh-CN"/>
        </w:rPr>
        <w:t>Organisation</w:t>
      </w:r>
      <w:r w:rsidR="00A0797A" w:rsidRPr="004A3269">
        <w:rPr>
          <w:rFonts w:eastAsia="SimSun"/>
          <w:szCs w:val="22"/>
          <w:lang w:eastAsia="zh-CN"/>
        </w:rPr>
        <w:t xml:space="preserve">.  </w:t>
      </w:r>
      <w:r w:rsidRPr="004A3269">
        <w:rPr>
          <w:rFonts w:eastAsia="SimSun"/>
          <w:szCs w:val="22"/>
          <w:lang w:eastAsia="zh-CN"/>
        </w:rPr>
        <w:t>Cet état donne des informations sur la solidité financière de l</w:t>
      </w:r>
      <w:r w:rsidR="009021AA" w:rsidRPr="004A3269">
        <w:rPr>
          <w:rFonts w:eastAsia="SimSun"/>
          <w:szCs w:val="22"/>
          <w:lang w:eastAsia="zh-CN"/>
        </w:rPr>
        <w:t>’</w:t>
      </w:r>
      <w:r w:rsidRPr="004A3269">
        <w:rPr>
          <w:rFonts w:eastAsia="SimSun"/>
          <w:szCs w:val="22"/>
          <w:lang w:eastAsia="zh-CN"/>
        </w:rPr>
        <w:t>Organisation ainsi que sur les ressources dont elle dispose à l</w:t>
      </w:r>
      <w:r w:rsidR="009021AA" w:rsidRPr="004A3269">
        <w:rPr>
          <w:rFonts w:eastAsia="SimSun"/>
          <w:szCs w:val="22"/>
          <w:lang w:eastAsia="zh-CN"/>
        </w:rPr>
        <w:t>’</w:t>
      </w:r>
      <w:r w:rsidRPr="004A3269">
        <w:rPr>
          <w:rFonts w:eastAsia="SimSun"/>
          <w:szCs w:val="22"/>
          <w:lang w:eastAsia="zh-CN"/>
        </w:rPr>
        <w:t>appui de ses futurs objectifs;</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un </w:t>
      </w:r>
      <w:r w:rsidRPr="004A3269">
        <w:rPr>
          <w:rFonts w:eastAsia="SimSun"/>
          <w:szCs w:val="22"/>
          <w:u w:val="single"/>
          <w:lang w:eastAsia="zh-CN"/>
        </w:rPr>
        <w:t>état de la performance financière</w:t>
      </w:r>
      <w:r w:rsidRPr="004A3269">
        <w:rPr>
          <w:rFonts w:eastAsia="SimSun"/>
          <w:szCs w:val="22"/>
          <w:lang w:eastAsia="zh-CN"/>
        </w:rPr>
        <w:t>, qui mesure l</w:t>
      </w:r>
      <w:r w:rsidR="009021AA" w:rsidRPr="004A3269">
        <w:rPr>
          <w:rFonts w:eastAsia="SimSun"/>
          <w:szCs w:val="22"/>
          <w:lang w:eastAsia="zh-CN"/>
        </w:rPr>
        <w:t>’</w:t>
      </w:r>
      <w:r w:rsidRPr="004A3269">
        <w:rPr>
          <w:rFonts w:eastAsia="SimSun"/>
          <w:szCs w:val="22"/>
          <w:lang w:eastAsia="zh-CN"/>
        </w:rPr>
        <w:t>excédent ou le déficit net (la différence entre le total des recettes et le total des dépenses) pour l</w:t>
      </w:r>
      <w:r w:rsidR="009021AA" w:rsidRPr="004A3269">
        <w:rPr>
          <w:rFonts w:eastAsia="SimSun"/>
          <w:szCs w:val="22"/>
          <w:lang w:eastAsia="zh-CN"/>
        </w:rPr>
        <w:t>’</w:t>
      </w:r>
      <w:r w:rsidRPr="004A3269">
        <w:rPr>
          <w:rFonts w:eastAsia="SimSun"/>
          <w:szCs w:val="22"/>
          <w:lang w:eastAsia="zh-CN"/>
        </w:rPr>
        <w:t>année</w:t>
      </w:r>
      <w:r w:rsidR="00A0797A" w:rsidRPr="004A3269">
        <w:rPr>
          <w:rFonts w:eastAsia="SimSun"/>
          <w:szCs w:val="22"/>
          <w:lang w:eastAsia="zh-CN"/>
        </w:rPr>
        <w:t xml:space="preserve">.  </w:t>
      </w:r>
      <w:r w:rsidRPr="004A3269">
        <w:rPr>
          <w:rFonts w:eastAsia="SimSun"/>
          <w:szCs w:val="22"/>
          <w:lang w:eastAsia="zh-CN"/>
        </w:rPr>
        <w:t>Cet état donne des informations sur les sources de recettes de l</w:t>
      </w:r>
      <w:r w:rsidR="009021AA" w:rsidRPr="004A3269">
        <w:rPr>
          <w:rFonts w:eastAsia="SimSun"/>
          <w:szCs w:val="22"/>
          <w:lang w:eastAsia="zh-CN"/>
        </w:rPr>
        <w:t>’</w:t>
      </w:r>
      <w:r w:rsidRPr="004A3269">
        <w:rPr>
          <w:rFonts w:eastAsia="SimSun"/>
          <w:szCs w:val="22"/>
          <w:lang w:eastAsia="zh-CN"/>
        </w:rPr>
        <w:t>Organisation et le coût de ses activités</w:t>
      </w:r>
      <w:r w:rsidR="00A0797A" w:rsidRPr="004A3269">
        <w:rPr>
          <w:rFonts w:eastAsia="SimSun"/>
          <w:szCs w:val="22"/>
          <w:lang w:eastAsia="zh-CN"/>
        </w:rPr>
        <w:t xml:space="preserve">.  </w:t>
      </w:r>
      <w:r w:rsidRPr="004A3269">
        <w:rPr>
          <w:rFonts w:eastAsia="SimSun"/>
          <w:szCs w:val="22"/>
          <w:lang w:eastAsia="zh-CN"/>
        </w:rPr>
        <w:t>L</w:t>
      </w:r>
      <w:r w:rsidR="009021AA" w:rsidRPr="004A3269">
        <w:rPr>
          <w:rFonts w:eastAsia="SimSun"/>
          <w:szCs w:val="22"/>
          <w:lang w:eastAsia="zh-CN"/>
        </w:rPr>
        <w:t>’</w:t>
      </w:r>
      <w:r w:rsidRPr="004A3269">
        <w:rPr>
          <w:rFonts w:eastAsia="SimSun"/>
          <w:szCs w:val="22"/>
          <w:lang w:eastAsia="zh-CN"/>
        </w:rPr>
        <w:t>excédent ou le déficit annuel est présenté sur la base d</w:t>
      </w:r>
      <w:r w:rsidR="009021AA" w:rsidRPr="004A3269">
        <w:rPr>
          <w:rFonts w:eastAsia="SimSun"/>
          <w:szCs w:val="22"/>
          <w:lang w:eastAsia="zh-CN"/>
        </w:rPr>
        <w:t>’</w:t>
      </w:r>
      <w:r w:rsidRPr="004A3269">
        <w:rPr>
          <w:rFonts w:eastAsia="SimSun"/>
          <w:szCs w:val="22"/>
          <w:lang w:eastAsia="zh-CN"/>
        </w:rPr>
        <w:t>une comptabilité d</w:t>
      </w:r>
      <w:r w:rsidR="009021AA" w:rsidRPr="004A3269">
        <w:rPr>
          <w:rFonts w:eastAsia="SimSun"/>
          <w:szCs w:val="22"/>
          <w:lang w:eastAsia="zh-CN"/>
        </w:rPr>
        <w:t>’</w:t>
      </w:r>
      <w:r w:rsidRPr="004A3269">
        <w:rPr>
          <w:rFonts w:eastAsia="SimSun"/>
          <w:szCs w:val="22"/>
          <w:lang w:eastAsia="zh-CN"/>
        </w:rPr>
        <w:t>exercice intégrale, comptabilisant les recettes de la période pendant laquelle elles ont été obtenues et les dépenses lorsqu</w:t>
      </w:r>
      <w:r w:rsidR="009021AA" w:rsidRPr="004A3269">
        <w:rPr>
          <w:rFonts w:eastAsia="SimSun"/>
          <w:szCs w:val="22"/>
          <w:lang w:eastAsia="zh-CN"/>
        </w:rPr>
        <w:t>’</w:t>
      </w:r>
      <w:r w:rsidRPr="004A3269">
        <w:rPr>
          <w:rFonts w:eastAsia="SimSun"/>
          <w:szCs w:val="22"/>
          <w:lang w:eastAsia="zh-CN"/>
        </w:rPr>
        <w:t>elles ont été encourues, indépendamment de la date à laquelle la trésorerie associée est reçue ou payée;</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un </w:t>
      </w:r>
      <w:r w:rsidRPr="004A3269">
        <w:rPr>
          <w:rFonts w:eastAsia="SimSun"/>
          <w:szCs w:val="22"/>
          <w:u w:val="single"/>
          <w:lang w:eastAsia="zh-CN"/>
        </w:rPr>
        <w:t>état des variations des actifs nets</w:t>
      </w:r>
      <w:r w:rsidRPr="004A3269">
        <w:rPr>
          <w:rFonts w:eastAsia="SimSun"/>
          <w:szCs w:val="22"/>
          <w:lang w:eastAsia="zh-CN"/>
        </w:rPr>
        <w:t>, qui identifie les variations de ces actifs pendant l</w:t>
      </w:r>
      <w:r w:rsidR="009021AA" w:rsidRPr="004A3269">
        <w:rPr>
          <w:rFonts w:eastAsia="SimSun"/>
          <w:szCs w:val="22"/>
          <w:lang w:eastAsia="zh-CN"/>
        </w:rPr>
        <w:t>’</w:t>
      </w:r>
      <w:r w:rsidRPr="004A3269">
        <w:rPr>
          <w:rFonts w:eastAsia="SimSun"/>
          <w:szCs w:val="22"/>
          <w:lang w:eastAsia="zh-CN"/>
        </w:rPr>
        <w:t>année.</w:t>
      </w:r>
      <w:r w:rsidR="00B9245C" w:rsidRPr="004A3269">
        <w:rPr>
          <w:rFonts w:eastAsia="SimSun"/>
        </w:rPr>
        <w:t xml:space="preserve"> </w:t>
      </w:r>
      <w:r w:rsidR="00A60F30" w:rsidRPr="004A3269">
        <w:rPr>
          <w:rFonts w:eastAsia="SimSun"/>
        </w:rPr>
        <w:t xml:space="preserve"> </w:t>
      </w:r>
      <w:r w:rsidRPr="004A3269">
        <w:rPr>
          <w:rFonts w:eastAsia="SimSun"/>
          <w:szCs w:val="22"/>
          <w:lang w:eastAsia="zh-CN"/>
        </w:rPr>
        <w:t>Cet état met en relief les sources de variations de la situation financière globale de l</w:t>
      </w:r>
      <w:r w:rsidR="009021AA" w:rsidRPr="004A3269">
        <w:rPr>
          <w:rFonts w:eastAsia="SimSun"/>
          <w:szCs w:val="22"/>
          <w:lang w:eastAsia="zh-CN"/>
        </w:rPr>
        <w:t>’</w:t>
      </w:r>
      <w:r w:rsidRPr="004A3269">
        <w:rPr>
          <w:rFonts w:eastAsia="SimSun"/>
          <w:szCs w:val="22"/>
          <w:lang w:eastAsia="zh-CN"/>
        </w:rPr>
        <w:t xml:space="preserve">Organisation, </w:t>
      </w:r>
      <w:r w:rsidR="009021AA" w:rsidRPr="004A3269">
        <w:rPr>
          <w:rFonts w:eastAsia="SimSun"/>
          <w:szCs w:val="22"/>
          <w:lang w:eastAsia="zh-CN"/>
        </w:rPr>
        <w:t>y compris</w:t>
      </w:r>
      <w:r w:rsidRPr="004A3269">
        <w:rPr>
          <w:rFonts w:eastAsia="SimSun"/>
          <w:szCs w:val="22"/>
          <w:lang w:eastAsia="zh-CN"/>
        </w:rPr>
        <w:t xml:space="preserve"> les variations dues à l</w:t>
      </w:r>
      <w:r w:rsidR="009021AA" w:rsidRPr="004A3269">
        <w:rPr>
          <w:rFonts w:eastAsia="SimSun"/>
          <w:szCs w:val="22"/>
          <w:lang w:eastAsia="zh-CN"/>
        </w:rPr>
        <w:t>’</w:t>
      </w:r>
      <w:r w:rsidRPr="004A3269">
        <w:rPr>
          <w:rFonts w:eastAsia="SimSun"/>
          <w:szCs w:val="22"/>
          <w:lang w:eastAsia="zh-CN"/>
        </w:rPr>
        <w:t>excédent ou au déficit pour la période;</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un </w:t>
      </w:r>
      <w:r w:rsidRPr="004A3269">
        <w:rPr>
          <w:rFonts w:eastAsia="SimSun"/>
          <w:szCs w:val="22"/>
          <w:u w:val="single"/>
          <w:lang w:eastAsia="zh-CN"/>
        </w:rPr>
        <w:t>état des flux de trésorerie</w:t>
      </w:r>
      <w:r w:rsidRPr="004A3269">
        <w:rPr>
          <w:rFonts w:eastAsia="SimSun"/>
          <w:szCs w:val="22"/>
          <w:lang w:eastAsia="zh-CN"/>
        </w:rPr>
        <w:t>, qui présente les mouvements de trésorerie pendant l</w:t>
      </w:r>
      <w:r w:rsidR="009021AA" w:rsidRPr="004A3269">
        <w:rPr>
          <w:rFonts w:eastAsia="SimSun"/>
          <w:szCs w:val="22"/>
          <w:lang w:eastAsia="zh-CN"/>
        </w:rPr>
        <w:t>’</w:t>
      </w:r>
      <w:r w:rsidRPr="004A3269">
        <w:rPr>
          <w:rFonts w:eastAsia="SimSun"/>
          <w:szCs w:val="22"/>
          <w:lang w:eastAsia="zh-CN"/>
        </w:rPr>
        <w:t>année attribuables aux activités de fonctionnement, d</w:t>
      </w:r>
      <w:r w:rsidR="009021AA" w:rsidRPr="004A3269">
        <w:rPr>
          <w:rFonts w:eastAsia="SimSun"/>
          <w:szCs w:val="22"/>
          <w:lang w:eastAsia="zh-CN"/>
        </w:rPr>
        <w:t>’</w:t>
      </w:r>
      <w:r w:rsidRPr="004A3269">
        <w:rPr>
          <w:rFonts w:eastAsia="SimSun"/>
          <w:szCs w:val="22"/>
          <w:lang w:eastAsia="zh-CN"/>
        </w:rPr>
        <w:t>investissement et de financement</w:t>
      </w:r>
      <w:r w:rsidR="00A0797A" w:rsidRPr="004A3269">
        <w:rPr>
          <w:rFonts w:eastAsia="SimSun"/>
          <w:szCs w:val="22"/>
          <w:lang w:eastAsia="zh-CN"/>
        </w:rPr>
        <w:t xml:space="preserve">.  </w:t>
      </w:r>
      <w:r w:rsidRPr="004A3269">
        <w:rPr>
          <w:rFonts w:eastAsia="SimSun"/>
          <w:szCs w:val="22"/>
          <w:lang w:eastAsia="zh-CN"/>
        </w:rPr>
        <w:t>Cet état donne des informations sur la manière dont des fonds ont été mobilisés et utilisés pendant l</w:t>
      </w:r>
      <w:r w:rsidR="009021AA" w:rsidRPr="004A3269">
        <w:rPr>
          <w:rFonts w:eastAsia="SimSun"/>
          <w:szCs w:val="22"/>
          <w:lang w:eastAsia="zh-CN"/>
        </w:rPr>
        <w:t>’</w:t>
      </w:r>
      <w:r w:rsidRPr="004A3269">
        <w:rPr>
          <w:rFonts w:eastAsia="SimSun"/>
          <w:szCs w:val="22"/>
          <w:lang w:eastAsia="zh-CN"/>
        </w:rPr>
        <w:t xml:space="preserve">année, </w:t>
      </w:r>
      <w:r w:rsidR="009021AA" w:rsidRPr="004A3269">
        <w:rPr>
          <w:rFonts w:eastAsia="SimSun"/>
          <w:szCs w:val="22"/>
          <w:lang w:eastAsia="zh-CN"/>
        </w:rPr>
        <w:t>y compris</w:t>
      </w:r>
      <w:r w:rsidRPr="004A3269">
        <w:rPr>
          <w:rFonts w:eastAsia="SimSun"/>
          <w:szCs w:val="22"/>
          <w:lang w:eastAsia="zh-CN"/>
        </w:rPr>
        <w:t xml:space="preserve"> les emprunts et le remboursement d</w:t>
      </w:r>
      <w:r w:rsidR="009021AA" w:rsidRPr="004A3269">
        <w:rPr>
          <w:rFonts w:eastAsia="SimSun"/>
          <w:szCs w:val="22"/>
          <w:lang w:eastAsia="zh-CN"/>
        </w:rPr>
        <w:t>’</w:t>
      </w:r>
      <w:r w:rsidRPr="004A3269">
        <w:rPr>
          <w:rFonts w:eastAsia="SimSun"/>
          <w:szCs w:val="22"/>
          <w:lang w:eastAsia="zh-CN"/>
        </w:rPr>
        <w:t>emprunts ainsi que l</w:t>
      </w:r>
      <w:r w:rsidR="009021AA" w:rsidRPr="004A3269">
        <w:rPr>
          <w:rFonts w:eastAsia="SimSun"/>
          <w:szCs w:val="22"/>
          <w:lang w:eastAsia="zh-CN"/>
        </w:rPr>
        <w:t>’</w:t>
      </w:r>
      <w:r w:rsidRPr="004A3269">
        <w:rPr>
          <w:rFonts w:eastAsia="SimSun"/>
          <w:szCs w:val="22"/>
          <w:lang w:eastAsia="zh-CN"/>
        </w:rPr>
        <w:t>acquisition et la cession d</w:t>
      </w:r>
      <w:r w:rsidR="009021AA" w:rsidRPr="004A3269">
        <w:rPr>
          <w:rFonts w:eastAsia="SimSun"/>
          <w:szCs w:val="22"/>
          <w:lang w:eastAsia="zh-CN"/>
        </w:rPr>
        <w:t>’</w:t>
      </w:r>
      <w:r w:rsidRPr="004A3269">
        <w:rPr>
          <w:rFonts w:eastAsia="SimSun"/>
          <w:szCs w:val="22"/>
          <w:lang w:eastAsia="zh-CN"/>
        </w:rPr>
        <w:t>immobilisations</w:t>
      </w:r>
      <w:r w:rsidR="00A0797A" w:rsidRPr="004A3269">
        <w:rPr>
          <w:rFonts w:eastAsia="SimSun"/>
          <w:szCs w:val="22"/>
          <w:lang w:eastAsia="zh-CN"/>
        </w:rPr>
        <w:t xml:space="preserve">.  </w:t>
      </w:r>
      <w:r w:rsidRPr="004A3269">
        <w:rPr>
          <w:rFonts w:eastAsia="SimSun"/>
          <w:szCs w:val="22"/>
          <w:lang w:eastAsia="zh-CN"/>
        </w:rPr>
        <w:t>Contrairement à l</w:t>
      </w:r>
      <w:r w:rsidR="009021AA" w:rsidRPr="004A3269">
        <w:rPr>
          <w:rFonts w:eastAsia="SimSun"/>
          <w:szCs w:val="22"/>
          <w:lang w:eastAsia="zh-CN"/>
        </w:rPr>
        <w:t>’</w:t>
      </w:r>
      <w:r w:rsidRPr="004A3269">
        <w:rPr>
          <w:rFonts w:eastAsia="SimSun"/>
          <w:szCs w:val="22"/>
          <w:lang w:eastAsia="zh-CN"/>
        </w:rPr>
        <w:t>état de la performance financière, le flux de trésorerie net de l</w:t>
      </w:r>
      <w:r w:rsidR="009021AA" w:rsidRPr="004A3269">
        <w:rPr>
          <w:rFonts w:eastAsia="SimSun"/>
          <w:szCs w:val="22"/>
          <w:lang w:eastAsia="zh-CN"/>
        </w:rPr>
        <w:t>’</w:t>
      </w:r>
      <w:r w:rsidRPr="004A3269">
        <w:rPr>
          <w:rFonts w:eastAsia="SimSun"/>
          <w:szCs w:val="22"/>
          <w:lang w:eastAsia="zh-CN"/>
        </w:rPr>
        <w:t>Organisation mesure la différence entre la trésorerie qui entre et celle qui sort;</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un </w:t>
      </w:r>
      <w:r w:rsidRPr="004A3269">
        <w:rPr>
          <w:rFonts w:eastAsia="SimSun"/>
          <w:szCs w:val="22"/>
          <w:u w:val="single"/>
          <w:lang w:eastAsia="zh-CN"/>
        </w:rPr>
        <w:t>état de comparaison des montants budgétaires et des montants réels</w:t>
      </w:r>
      <w:r w:rsidRPr="004A3269">
        <w:rPr>
          <w:rFonts w:eastAsia="SimSun"/>
          <w:szCs w:val="22"/>
          <w:lang w:eastAsia="zh-CN"/>
        </w:rPr>
        <w:t>, qui fait une comparaison des montants budgétaires inscrits au programme et budget et les montants réels pour l</w:t>
      </w:r>
      <w:r w:rsidR="009021AA" w:rsidRPr="004A3269">
        <w:rPr>
          <w:rFonts w:eastAsia="SimSun"/>
          <w:szCs w:val="22"/>
          <w:lang w:eastAsia="zh-CN"/>
        </w:rPr>
        <w:t>’</w:t>
      </w:r>
      <w:r w:rsidRPr="004A3269">
        <w:rPr>
          <w:rFonts w:eastAsia="SimSun"/>
          <w:szCs w:val="22"/>
          <w:lang w:eastAsia="zh-CN"/>
        </w:rPr>
        <w:t>année.</w:t>
      </w:r>
      <w:r w:rsidR="00A60F30" w:rsidRPr="004A3269">
        <w:rPr>
          <w:rFonts w:eastAsia="SimSun"/>
          <w:szCs w:val="22"/>
          <w:lang w:eastAsia="zh-CN"/>
        </w:rPr>
        <w:t xml:space="preserve"> </w:t>
      </w:r>
      <w:r w:rsidR="00B9245C" w:rsidRPr="004A3269">
        <w:rPr>
          <w:rFonts w:eastAsia="SimSun"/>
        </w:rPr>
        <w:t xml:space="preserve"> </w:t>
      </w:r>
      <w:r w:rsidRPr="004A3269">
        <w:rPr>
          <w:rFonts w:eastAsia="SimSun"/>
          <w:szCs w:val="22"/>
          <w:lang w:eastAsia="zh-CN"/>
        </w:rPr>
        <w:t>Cet état est établi sur une base budgétaire qui est celle d</w:t>
      </w:r>
      <w:r w:rsidR="009021AA" w:rsidRPr="004A3269">
        <w:rPr>
          <w:rFonts w:eastAsia="SimSun"/>
          <w:szCs w:val="22"/>
          <w:lang w:eastAsia="zh-CN"/>
        </w:rPr>
        <w:t>’</w:t>
      </w:r>
      <w:r w:rsidRPr="004A3269">
        <w:rPr>
          <w:rFonts w:eastAsia="SimSun"/>
          <w:szCs w:val="22"/>
          <w:lang w:eastAsia="zh-CN"/>
        </w:rPr>
        <w:t>une comptabilité d</w:t>
      </w:r>
      <w:r w:rsidR="009021AA" w:rsidRPr="004A3269">
        <w:rPr>
          <w:rFonts w:eastAsia="SimSun"/>
          <w:szCs w:val="22"/>
          <w:lang w:eastAsia="zh-CN"/>
        </w:rPr>
        <w:t>’</w:t>
      </w:r>
      <w:r w:rsidRPr="004A3269">
        <w:rPr>
          <w:rFonts w:eastAsia="SimSun"/>
          <w:szCs w:val="22"/>
          <w:lang w:eastAsia="zh-CN"/>
        </w:rPr>
        <w:t>exercice modifiée</w:t>
      </w:r>
      <w:r w:rsidR="00A0797A" w:rsidRPr="004A3269">
        <w:rPr>
          <w:rFonts w:eastAsia="SimSun"/>
          <w:szCs w:val="22"/>
          <w:lang w:eastAsia="zh-CN"/>
        </w:rPr>
        <w:t xml:space="preserve">.  </w:t>
      </w:r>
      <w:r w:rsidRPr="004A3269">
        <w:rPr>
          <w:rFonts w:eastAsia="SimSun"/>
          <w:szCs w:val="22"/>
          <w:lang w:eastAsia="zh-CN"/>
        </w:rPr>
        <w:t>Il donne des informations sur la mesure dans laquelle les ressources ont été obtenues et utilisées conformément au budget approuvé;</w:t>
      </w:r>
    </w:p>
    <w:p w:rsidR="00267140" w:rsidRPr="004A3269" w:rsidRDefault="0076094D" w:rsidP="003D7C06">
      <w:pPr>
        <w:numPr>
          <w:ilvl w:val="0"/>
          <w:numId w:val="6"/>
        </w:numPr>
        <w:tabs>
          <w:tab w:val="clear" w:pos="1021"/>
          <w:tab w:val="num" w:pos="1134"/>
        </w:tabs>
        <w:spacing w:after="220"/>
        <w:ind w:left="1134" w:hanging="567"/>
        <w:jc w:val="both"/>
        <w:rPr>
          <w:rFonts w:eastAsia="SimSun"/>
          <w:szCs w:val="22"/>
          <w:lang w:eastAsia="zh-CN"/>
        </w:rPr>
      </w:pPr>
      <w:r w:rsidRPr="004A3269">
        <w:rPr>
          <w:rFonts w:eastAsia="SimSun"/>
          <w:szCs w:val="22"/>
          <w:lang w:eastAsia="zh-CN"/>
        </w:rPr>
        <w:t xml:space="preserve">des </w:t>
      </w:r>
      <w:r w:rsidRPr="004A3269">
        <w:rPr>
          <w:rFonts w:eastAsia="SimSun"/>
          <w:szCs w:val="22"/>
          <w:u w:val="single"/>
          <w:lang w:eastAsia="zh-CN"/>
        </w:rPr>
        <w:t>notes relatives aux états financiers</w:t>
      </w:r>
      <w:r w:rsidRPr="004A3269">
        <w:rPr>
          <w:rFonts w:eastAsia="SimSun"/>
          <w:szCs w:val="22"/>
          <w:lang w:eastAsia="zh-CN"/>
        </w:rPr>
        <w:t>, qui aident à comprendre les principaux états financiers</w:t>
      </w:r>
      <w:r w:rsidR="00A0797A" w:rsidRPr="004A3269">
        <w:rPr>
          <w:rFonts w:eastAsia="SimSun"/>
          <w:szCs w:val="22"/>
          <w:lang w:eastAsia="zh-CN"/>
        </w:rPr>
        <w:t xml:space="preserve">.  </w:t>
      </w:r>
      <w:r w:rsidRPr="004A3269">
        <w:rPr>
          <w:rFonts w:eastAsia="SimSun"/>
          <w:szCs w:val="22"/>
          <w:lang w:eastAsia="zh-CN"/>
        </w:rPr>
        <w:t>Elles comprennent un résumé d</w:t>
      </w:r>
      <w:r w:rsidR="009021AA" w:rsidRPr="004A3269">
        <w:rPr>
          <w:rFonts w:eastAsia="SimSun"/>
          <w:szCs w:val="22"/>
          <w:lang w:eastAsia="zh-CN"/>
        </w:rPr>
        <w:t>’</w:t>
      </w:r>
      <w:r w:rsidRPr="004A3269">
        <w:rPr>
          <w:rFonts w:eastAsia="SimSun"/>
          <w:szCs w:val="22"/>
          <w:lang w:eastAsia="zh-CN"/>
        </w:rPr>
        <w:t>importantes politiques comptables et d</w:t>
      </w:r>
      <w:r w:rsidR="009021AA" w:rsidRPr="004A3269">
        <w:rPr>
          <w:rFonts w:eastAsia="SimSun"/>
          <w:szCs w:val="22"/>
          <w:lang w:eastAsia="zh-CN"/>
        </w:rPr>
        <w:t>’</w:t>
      </w:r>
      <w:r w:rsidRPr="004A3269">
        <w:rPr>
          <w:rFonts w:eastAsia="SimSun"/>
          <w:szCs w:val="22"/>
          <w:lang w:eastAsia="zh-CN"/>
        </w:rPr>
        <w:t>autres informations explicatives</w:t>
      </w:r>
      <w:r w:rsidR="00A0797A" w:rsidRPr="004A3269">
        <w:rPr>
          <w:rFonts w:eastAsia="SimSun"/>
          <w:szCs w:val="22"/>
          <w:lang w:eastAsia="zh-CN"/>
        </w:rPr>
        <w:t xml:space="preserve">.  </w:t>
      </w:r>
      <w:r w:rsidRPr="004A3269">
        <w:rPr>
          <w:rFonts w:eastAsia="SimSun"/>
          <w:szCs w:val="22"/>
          <w:lang w:eastAsia="zh-CN"/>
        </w:rPr>
        <w:t>Elles fournissent également l</w:t>
      </w:r>
      <w:r w:rsidR="009021AA" w:rsidRPr="004A3269">
        <w:rPr>
          <w:rFonts w:eastAsia="SimSun"/>
          <w:szCs w:val="22"/>
          <w:lang w:eastAsia="zh-CN"/>
        </w:rPr>
        <w:t>’</w:t>
      </w:r>
      <w:r w:rsidRPr="004A3269">
        <w:rPr>
          <w:rFonts w:eastAsia="SimSun"/>
          <w:szCs w:val="22"/>
          <w:lang w:eastAsia="zh-CN"/>
        </w:rPr>
        <w:t>information exigée par l</w:t>
      </w:r>
      <w:r w:rsidR="009021AA" w:rsidRPr="004A3269">
        <w:rPr>
          <w:rFonts w:eastAsia="SimSun"/>
          <w:szCs w:val="22"/>
          <w:lang w:eastAsia="zh-CN"/>
        </w:rPr>
        <w:t>’</w:t>
      </w:r>
      <w:r w:rsidRPr="004A3269">
        <w:rPr>
          <w:rFonts w:eastAsia="SimSun"/>
          <w:szCs w:val="22"/>
          <w:lang w:eastAsia="zh-CN"/>
        </w:rPr>
        <w:t>IPSAS qui n</w:t>
      </w:r>
      <w:r w:rsidR="009021AA" w:rsidRPr="004A3269">
        <w:rPr>
          <w:rFonts w:eastAsia="SimSun"/>
          <w:szCs w:val="22"/>
          <w:lang w:eastAsia="zh-CN"/>
        </w:rPr>
        <w:t>’</w:t>
      </w:r>
      <w:r w:rsidRPr="004A3269">
        <w:rPr>
          <w:rFonts w:eastAsia="SimSun"/>
          <w:szCs w:val="22"/>
          <w:lang w:eastAsia="zh-CN"/>
        </w:rPr>
        <w:t>est pas présentée dans les principaux états financiers.</w:t>
      </w:r>
    </w:p>
    <w:p w:rsidR="00267140" w:rsidRPr="004A3269" w:rsidRDefault="0076094D" w:rsidP="0076094D">
      <w:pPr>
        <w:spacing w:after="220"/>
        <w:jc w:val="both"/>
        <w:rPr>
          <w:rFonts w:eastAsia="SimSun"/>
          <w:b/>
          <w:szCs w:val="22"/>
          <w:lang w:eastAsia="zh-CN"/>
        </w:rPr>
      </w:pPr>
      <w:r w:rsidRPr="004A3269">
        <w:rPr>
          <w:rFonts w:eastAsia="SimSun"/>
          <w:b/>
          <w:szCs w:val="22"/>
          <w:lang w:eastAsia="zh-CN"/>
        </w:rPr>
        <w:t>Faits saillants des états financiers</w:t>
      </w:r>
    </w:p>
    <w:p w:rsidR="004B47E9" w:rsidRPr="004A3269" w:rsidRDefault="00A95B81" w:rsidP="003D7C06">
      <w:pPr>
        <w:pStyle w:val="ONUMFS"/>
        <w:rPr>
          <w:rFonts w:eastAsia="SimSun"/>
          <w:szCs w:val="22"/>
          <w:lang w:eastAsia="zh-CN"/>
        </w:rPr>
      </w:pPr>
      <w:r w:rsidRPr="004A3269">
        <w:t>Les états financiers de l</w:t>
      </w:r>
      <w:r w:rsidR="009021AA" w:rsidRPr="004A3269">
        <w:t>’</w:t>
      </w:r>
      <w:r w:rsidRPr="004A3269">
        <w:t>OMPI pour </w:t>
      </w:r>
      <w:r w:rsidR="004B47E9" w:rsidRPr="004A3269">
        <w:t>2014</w:t>
      </w:r>
      <w:r w:rsidRPr="004A3269">
        <w:t>,</w:t>
      </w:r>
      <w:r w:rsidR="004B47E9" w:rsidRPr="004A3269">
        <w:t xml:space="preserve"> </w:t>
      </w:r>
      <w:r w:rsidRPr="004A3269">
        <w:t>établis</w:t>
      </w:r>
      <w:r w:rsidR="004B47E9" w:rsidRPr="004A3269">
        <w:t xml:space="preserve"> conformément aux normes</w:t>
      </w:r>
      <w:r w:rsidR="00067463" w:rsidRPr="004A3269">
        <w:t> </w:t>
      </w:r>
      <w:r w:rsidR="004B47E9" w:rsidRPr="004A3269">
        <w:t>IPSAS</w:t>
      </w:r>
      <w:r w:rsidRPr="004A3269">
        <w:t>,</w:t>
      </w:r>
      <w:r w:rsidR="004B47E9" w:rsidRPr="004A3269">
        <w:t xml:space="preserve"> montrent un excédent pour l</w:t>
      </w:r>
      <w:r w:rsidR="009021AA" w:rsidRPr="004A3269">
        <w:t>’</w:t>
      </w:r>
      <w:r w:rsidR="004B47E9" w:rsidRPr="004A3269">
        <w:t>année de 37,0</w:t>
      </w:r>
      <w:r w:rsidRPr="004A3269">
        <w:t> </w:t>
      </w:r>
      <w:r w:rsidR="004B47E9" w:rsidRPr="004A3269">
        <w:t>millions de francs suisses, et une augmentation corresp</w:t>
      </w:r>
      <w:r w:rsidRPr="004A3269">
        <w:t>ondante de</w:t>
      </w:r>
      <w:r w:rsidR="00EE1776" w:rsidRPr="004A3269">
        <w:t>s</w:t>
      </w:r>
      <w:r w:rsidRPr="004A3269">
        <w:t xml:space="preserve"> </w:t>
      </w:r>
      <w:r w:rsidR="00EE1776" w:rsidRPr="004A3269">
        <w:t xml:space="preserve">actifs </w:t>
      </w:r>
      <w:r w:rsidRPr="004A3269">
        <w:t>net</w:t>
      </w:r>
      <w:r w:rsidR="00EE1776" w:rsidRPr="004A3269">
        <w:t>s</w:t>
      </w:r>
      <w:r w:rsidRPr="004A3269">
        <w:t xml:space="preserve">, qui </w:t>
      </w:r>
      <w:r w:rsidR="00EE1776" w:rsidRPr="004A3269">
        <w:t xml:space="preserve">sont passés </w:t>
      </w:r>
      <w:r w:rsidRPr="004A3269">
        <w:t>de 208,8 millions de francs suisses en 2013 à 245 800 000 francs suisses au 31 décembre </w:t>
      </w:r>
      <w:r w:rsidR="004B47E9" w:rsidRPr="004A3269">
        <w:t>2014.</w:t>
      </w:r>
    </w:p>
    <w:p w:rsidR="004B47E9" w:rsidRPr="004A3269" w:rsidRDefault="004B47E9" w:rsidP="003D7C06">
      <w:pPr>
        <w:pStyle w:val="ONUMFS"/>
        <w:rPr>
          <w:rFonts w:eastAsia="SimSun"/>
          <w:szCs w:val="22"/>
          <w:lang w:eastAsia="zh-CN"/>
        </w:rPr>
      </w:pPr>
      <w:r w:rsidRPr="004A3269">
        <w:t>L</w:t>
      </w:r>
      <w:r w:rsidR="009021AA" w:rsidRPr="004A3269">
        <w:t>’</w:t>
      </w:r>
      <w:r w:rsidRPr="004A3269">
        <w:t xml:space="preserve">excédent </w:t>
      </w:r>
      <w:r w:rsidR="00A95B81" w:rsidRPr="004A3269">
        <w:t>de 37,0 </w:t>
      </w:r>
      <w:r w:rsidRPr="004A3269">
        <w:t xml:space="preserve">millions de francs suisses </w:t>
      </w:r>
      <w:r w:rsidR="00956A2E" w:rsidRPr="004A3269">
        <w:t xml:space="preserve">enregistré en 2014 </w:t>
      </w:r>
      <w:r w:rsidRPr="004A3269">
        <w:t xml:space="preserve">peut être </w:t>
      </w:r>
      <w:r w:rsidR="00956A2E" w:rsidRPr="004A3269">
        <w:t>rapproché de l</w:t>
      </w:r>
      <w:r w:rsidR="009021AA" w:rsidRPr="004A3269">
        <w:t>’</w:t>
      </w:r>
      <w:r w:rsidR="00A95B81" w:rsidRPr="004A3269">
        <w:t xml:space="preserve">excédent de 15,1 millions de francs suisses </w:t>
      </w:r>
      <w:r w:rsidR="00956A2E" w:rsidRPr="004A3269">
        <w:t>enregistré en </w:t>
      </w:r>
      <w:r w:rsidRPr="004A3269">
        <w:t>2013.</w:t>
      </w:r>
      <w:r w:rsidR="00A95B81" w:rsidRPr="004A3269">
        <w:t xml:space="preserve"> </w:t>
      </w:r>
      <w:r w:rsidRPr="004A3269">
        <w:t xml:space="preserve"> Le </w:t>
      </w:r>
      <w:r w:rsidR="00A95B81" w:rsidRPr="004A3269">
        <w:t xml:space="preserve">montant </w:t>
      </w:r>
      <w:r w:rsidRPr="004A3269">
        <w:t xml:space="preserve">total des </w:t>
      </w:r>
      <w:r w:rsidR="00A95B81" w:rsidRPr="004A3269">
        <w:t>recettes</w:t>
      </w:r>
      <w:r w:rsidRPr="004A3269">
        <w:t xml:space="preserve"> </w:t>
      </w:r>
      <w:r w:rsidR="00A95B81" w:rsidRPr="004A3269">
        <w:t xml:space="preserve">enregistrées en 2014 </w:t>
      </w:r>
      <w:r w:rsidR="00C8449C" w:rsidRPr="004A3269">
        <w:t>a augmenté</w:t>
      </w:r>
      <w:r w:rsidR="00A95B81" w:rsidRPr="004A3269">
        <w:t xml:space="preserve"> de 18,6 </w:t>
      </w:r>
      <w:r w:rsidRPr="004A3269">
        <w:t xml:space="preserve">millions de francs suisses </w:t>
      </w:r>
      <w:r w:rsidR="00A95B81" w:rsidRPr="004A3269">
        <w:t>par rapport à </w:t>
      </w:r>
      <w:r w:rsidRPr="004A3269">
        <w:t xml:space="preserve">2013, </w:t>
      </w:r>
      <w:r w:rsidR="00956A2E" w:rsidRPr="004A3269">
        <w:t>en raison notamment d</w:t>
      </w:r>
      <w:r w:rsidR="009021AA" w:rsidRPr="004A3269">
        <w:t>’</w:t>
      </w:r>
      <w:r w:rsidR="00956A2E" w:rsidRPr="004A3269">
        <w:t>une augmentation de 21,1 </w:t>
      </w:r>
      <w:r w:rsidRPr="004A3269">
        <w:t xml:space="preserve">millions de francs suisses </w:t>
      </w:r>
      <w:r w:rsidR="00C8449C" w:rsidRPr="004A3269">
        <w:t>des recettes</w:t>
      </w:r>
      <w:r w:rsidRPr="004A3269">
        <w:t xml:space="preserve"> </w:t>
      </w:r>
      <w:r w:rsidR="00C8449C" w:rsidRPr="004A3269">
        <w:t>provenant des taxes</w:t>
      </w:r>
      <w:r w:rsidRPr="004A3269">
        <w:t xml:space="preserve"> PCT, partiellement </w:t>
      </w:r>
      <w:r w:rsidR="00C8449C" w:rsidRPr="004A3269">
        <w:t>atténuée</w:t>
      </w:r>
      <w:r w:rsidR="00956A2E" w:rsidRPr="004A3269">
        <w:t xml:space="preserve"> par une diminution de 3,2 </w:t>
      </w:r>
      <w:r w:rsidR="00C8449C" w:rsidRPr="004A3269">
        <w:t>millions des autres/diverses</w:t>
      </w:r>
      <w:r w:rsidRPr="004A3269">
        <w:t xml:space="preserve"> recettes. </w:t>
      </w:r>
      <w:r w:rsidR="00956A2E" w:rsidRPr="004A3269">
        <w:t xml:space="preserve"> Le montant des</w:t>
      </w:r>
      <w:r w:rsidRPr="004A3269">
        <w:t xml:space="preserve"> dépe</w:t>
      </w:r>
      <w:r w:rsidR="00956A2E" w:rsidRPr="004A3269">
        <w:t>nses totales a diminué de 3,3 </w:t>
      </w:r>
      <w:r w:rsidRPr="004A3269">
        <w:t xml:space="preserve">millions </w:t>
      </w:r>
      <w:r w:rsidR="00956A2E" w:rsidRPr="004A3269">
        <w:t>de francs suisses par rapport à </w:t>
      </w:r>
      <w:r w:rsidRPr="004A3269">
        <w:t xml:space="preserve">2013. </w:t>
      </w:r>
      <w:r w:rsidR="00956A2E" w:rsidRPr="004A3269">
        <w:t xml:space="preserve"> </w:t>
      </w:r>
      <w:r w:rsidRPr="004A3269">
        <w:t xml:space="preserve">Bien que les dépenses de personnel </w:t>
      </w:r>
      <w:r w:rsidR="00956A2E" w:rsidRPr="004A3269">
        <w:t>aient</w:t>
      </w:r>
      <w:r w:rsidRPr="004A3269">
        <w:t xml:space="preserve"> augmenté de</w:t>
      </w:r>
      <w:r w:rsidR="00956A2E" w:rsidRPr="004A3269">
        <w:t xml:space="preserve"> 2,4 </w:t>
      </w:r>
      <w:r w:rsidRPr="004A3269">
        <w:t xml:space="preserve">millions de francs suisses, </w:t>
      </w:r>
      <w:r w:rsidR="00C8449C" w:rsidRPr="004A3269">
        <w:t>les frais de v</w:t>
      </w:r>
      <w:r w:rsidRPr="004A3269">
        <w:t xml:space="preserve">oyage et </w:t>
      </w:r>
      <w:r w:rsidR="00C8449C" w:rsidRPr="004A3269">
        <w:t>de bourses, de</w:t>
      </w:r>
      <w:r w:rsidRPr="004A3269">
        <w:t xml:space="preserve"> fournitures et </w:t>
      </w:r>
      <w:r w:rsidR="00C8449C" w:rsidRPr="004A3269">
        <w:t>de</w:t>
      </w:r>
      <w:r w:rsidRPr="004A3269">
        <w:t xml:space="preserve"> </w:t>
      </w:r>
      <w:r w:rsidR="00C8449C" w:rsidRPr="004A3269">
        <w:t>matériel</w:t>
      </w:r>
      <w:r w:rsidRPr="004A3269">
        <w:t xml:space="preserve">, </w:t>
      </w:r>
      <w:r w:rsidR="00C8449C" w:rsidRPr="004A3269">
        <w:t>de</w:t>
      </w:r>
      <w:r w:rsidRPr="004A3269">
        <w:t xml:space="preserve"> services </w:t>
      </w:r>
      <w:r w:rsidRPr="004A3269">
        <w:lastRenderedPageBreak/>
        <w:t xml:space="preserve">contractuels et </w:t>
      </w:r>
      <w:r w:rsidR="00C8449C" w:rsidRPr="004A3269">
        <w:t>de</w:t>
      </w:r>
      <w:r w:rsidRPr="004A3269">
        <w:t xml:space="preserve"> </w:t>
      </w:r>
      <w:r w:rsidR="00C8449C" w:rsidRPr="004A3269">
        <w:t>dépenses de fonctionnement</w:t>
      </w:r>
      <w:r w:rsidRPr="004A3269">
        <w:t xml:space="preserve"> étaient </w:t>
      </w:r>
      <w:r w:rsidR="00C8449C" w:rsidRPr="004A3269">
        <w:t xml:space="preserve">tous </w:t>
      </w:r>
      <w:r w:rsidRPr="004A3269">
        <w:t>inférieurs à ceux de l</w:t>
      </w:r>
      <w:r w:rsidR="009021AA" w:rsidRPr="004A3269">
        <w:t>’</w:t>
      </w:r>
      <w:r w:rsidRPr="004A3269">
        <w:t>exercice précédent.</w:t>
      </w:r>
    </w:p>
    <w:p w:rsidR="00267140" w:rsidRPr="004A3269" w:rsidRDefault="00C8449C" w:rsidP="003D7C06">
      <w:pPr>
        <w:pStyle w:val="ONUMFS"/>
        <w:rPr>
          <w:rFonts w:eastAsia="SimSun"/>
          <w:szCs w:val="22"/>
          <w:lang w:eastAsia="zh-CN"/>
        </w:rPr>
      </w:pPr>
      <w:r w:rsidRPr="004A3269">
        <w:t xml:space="preserve">Le </w:t>
      </w:r>
      <w:r w:rsidR="004B47E9" w:rsidRPr="004A3269">
        <w:t>total des actifs de l</w:t>
      </w:r>
      <w:r w:rsidR="009021AA" w:rsidRPr="004A3269">
        <w:t>’</w:t>
      </w:r>
      <w:r w:rsidR="004B47E9" w:rsidRPr="004A3269">
        <w:t>OMPI a augmenté</w:t>
      </w:r>
      <w:r w:rsidRPr="004A3269">
        <w:t>, passant</w:t>
      </w:r>
      <w:r w:rsidR="004B47E9" w:rsidRPr="004A3269">
        <w:t xml:space="preserve"> d</w:t>
      </w:r>
      <w:r w:rsidRPr="004A3269">
        <w:t>e 900,6 </w:t>
      </w:r>
      <w:r w:rsidR="004B47E9" w:rsidRPr="004A3269">
        <w:t xml:space="preserve">millions de francs suisses </w:t>
      </w:r>
      <w:r w:rsidRPr="004A3269">
        <w:t>au 31 décembre </w:t>
      </w:r>
      <w:r w:rsidR="004B47E9" w:rsidRPr="004A3269">
        <w:t>2013</w:t>
      </w:r>
      <w:r w:rsidRPr="004A3269">
        <w:t xml:space="preserve"> à 969,4 </w:t>
      </w:r>
      <w:r w:rsidR="004B47E9" w:rsidRPr="004A3269">
        <w:t>mi</w:t>
      </w:r>
      <w:r w:rsidRPr="004A3269">
        <w:t>llions de francs suisses au 31 décembre </w:t>
      </w:r>
      <w:r w:rsidR="004B47E9" w:rsidRPr="004A3269">
        <w:t>2014.</w:t>
      </w:r>
      <w:r w:rsidRPr="004A3269">
        <w:t xml:space="preserve"> </w:t>
      </w:r>
      <w:r w:rsidR="004B47E9" w:rsidRPr="004A3269">
        <w:t xml:space="preserve"> Plus particulièrement, la trésorerie et les équivalents de trésorerie </w:t>
      </w:r>
      <w:r w:rsidR="00C5010B" w:rsidRPr="004A3269">
        <w:t>représentaient un montant total de </w:t>
      </w:r>
      <w:r w:rsidR="004B47E9" w:rsidRPr="004A3269">
        <w:t>474,5</w:t>
      </w:r>
      <w:r w:rsidR="00067463" w:rsidRPr="004A3269">
        <w:t> </w:t>
      </w:r>
      <w:r w:rsidR="004B47E9" w:rsidRPr="004A3269">
        <w:t>mi</w:t>
      </w:r>
      <w:r w:rsidR="00C5010B" w:rsidRPr="004A3269">
        <w:t>llions de francs suisses au 31 décembre </w:t>
      </w:r>
      <w:r w:rsidR="004B47E9" w:rsidRPr="004A3269">
        <w:t>2014 (48,9% du total des actifs)</w:t>
      </w:r>
      <w:r w:rsidR="00C5010B" w:rsidRPr="004A3269">
        <w:t>, soit une augmentation de 64,6 </w:t>
      </w:r>
      <w:r w:rsidR="004B47E9" w:rsidRPr="004A3269">
        <w:t>millions de francs suisses par rapport à l</w:t>
      </w:r>
      <w:r w:rsidR="009021AA" w:rsidRPr="004A3269">
        <w:t>’</w:t>
      </w:r>
      <w:r w:rsidR="004B47E9" w:rsidRPr="004A3269">
        <w:t xml:space="preserve">exercice précédent. </w:t>
      </w:r>
      <w:r w:rsidR="00C5010B" w:rsidRPr="004A3269">
        <w:t xml:space="preserve"> </w:t>
      </w:r>
      <w:r w:rsidR="004B47E9" w:rsidRPr="004A3269">
        <w:t>L</w:t>
      </w:r>
      <w:r w:rsidR="009021AA" w:rsidRPr="004A3269">
        <w:t>’</w:t>
      </w:r>
      <w:r w:rsidR="004B47E9" w:rsidRPr="004A3269">
        <w:t xml:space="preserve">Organisation </w:t>
      </w:r>
      <w:r w:rsidR="00C5010B" w:rsidRPr="004A3269">
        <w:t xml:space="preserve">conserve des investissements </w:t>
      </w:r>
      <w:r w:rsidR="004B47E9" w:rsidRPr="004A3269">
        <w:t xml:space="preserve">importants dans </w:t>
      </w:r>
      <w:r w:rsidR="00C5010B" w:rsidRPr="004A3269">
        <w:t>des</w:t>
      </w:r>
      <w:r w:rsidR="004B47E9" w:rsidRPr="004A3269">
        <w:t xml:space="preserve"> </w:t>
      </w:r>
      <w:r w:rsidR="00D54141" w:rsidRPr="004A3269">
        <w:t>actifs fixes</w:t>
      </w:r>
      <w:r w:rsidR="004B47E9" w:rsidRPr="004A3269">
        <w:t xml:space="preserve">, </w:t>
      </w:r>
      <w:r w:rsidR="00C5010B" w:rsidRPr="004A3269">
        <w:t>notamment des</w:t>
      </w:r>
      <w:r w:rsidR="004B47E9" w:rsidRPr="004A3269">
        <w:t xml:space="preserve"> terrains, </w:t>
      </w:r>
      <w:r w:rsidR="00C5010B" w:rsidRPr="004A3269">
        <w:t>des bâtiments</w:t>
      </w:r>
      <w:r w:rsidR="004B47E9" w:rsidRPr="004A3269">
        <w:t xml:space="preserve">, </w:t>
      </w:r>
      <w:r w:rsidR="00C5010B" w:rsidRPr="004A3269">
        <w:t>un immeuble de placement</w:t>
      </w:r>
      <w:r w:rsidR="004B47E9" w:rsidRPr="004A3269">
        <w:t xml:space="preserve">, </w:t>
      </w:r>
      <w:r w:rsidR="00C5010B" w:rsidRPr="004A3269">
        <w:t xml:space="preserve">des </w:t>
      </w:r>
      <w:r w:rsidR="004B47E9" w:rsidRPr="004A3269">
        <w:t xml:space="preserve">actifs incorporels et </w:t>
      </w:r>
      <w:r w:rsidR="00C5010B" w:rsidRPr="004A3269">
        <w:t>du matériel, pour une valeur</w:t>
      </w:r>
      <w:r w:rsidR="004B47E9" w:rsidRPr="004A3269">
        <w:t xml:space="preserve"> </w:t>
      </w:r>
      <w:r w:rsidR="00C5010B" w:rsidRPr="004A3269">
        <w:t>comptable nette de 419,7 </w:t>
      </w:r>
      <w:r w:rsidR="004B47E9" w:rsidRPr="004A3269">
        <w:t xml:space="preserve">millions de francs suisses (43,3% du total des actifs). </w:t>
      </w:r>
      <w:r w:rsidR="00C5010B" w:rsidRPr="004A3269">
        <w:t xml:space="preserve"> En 2014, </w:t>
      </w:r>
      <w:r w:rsidR="00C36F40" w:rsidRPr="004A3269">
        <w:t>elle a poursuivi ses placements dans des</w:t>
      </w:r>
      <w:r w:rsidR="004B47E9" w:rsidRPr="004A3269">
        <w:t xml:space="preserve"> </w:t>
      </w:r>
      <w:r w:rsidR="00D54141" w:rsidRPr="004A3269">
        <w:t>actifs fixes</w:t>
      </w:r>
      <w:r w:rsidR="004B47E9" w:rsidRPr="004A3269">
        <w:t xml:space="preserve">, </w:t>
      </w:r>
      <w:r w:rsidR="00C36F40" w:rsidRPr="004A3269">
        <w:t>dont la</w:t>
      </w:r>
      <w:r w:rsidR="004B47E9" w:rsidRPr="004A3269">
        <w:t xml:space="preserve"> valeur </w:t>
      </w:r>
      <w:r w:rsidR="00C5010B" w:rsidRPr="004A3269">
        <w:t xml:space="preserve">comptable </w:t>
      </w:r>
      <w:r w:rsidR="004B47E9" w:rsidRPr="004A3269">
        <w:t xml:space="preserve">nette </w:t>
      </w:r>
      <w:r w:rsidR="00C36F40" w:rsidRPr="004A3269">
        <w:t xml:space="preserve">a augmenté </w:t>
      </w:r>
      <w:r w:rsidR="00C5010B" w:rsidRPr="004A3269">
        <w:t>de 23,3 </w:t>
      </w:r>
      <w:r w:rsidR="004B47E9" w:rsidRPr="004A3269">
        <w:t xml:space="preserve">millions de francs suisses par rapport à la fin de </w:t>
      </w:r>
      <w:r w:rsidR="00C5010B" w:rsidRPr="004A3269">
        <w:t>l</w:t>
      </w:r>
      <w:r w:rsidR="009021AA" w:rsidRPr="004A3269">
        <w:t>’</w:t>
      </w:r>
      <w:r w:rsidR="00C5010B" w:rsidRPr="004A3269">
        <w:t>année </w:t>
      </w:r>
      <w:r w:rsidR="004B47E9" w:rsidRPr="004A3269">
        <w:t xml:space="preserve">2013. </w:t>
      </w:r>
      <w:r w:rsidR="00C5010B" w:rsidRPr="004A3269">
        <w:t xml:space="preserve"> </w:t>
      </w:r>
      <w:r w:rsidR="004B47E9" w:rsidRPr="004A3269">
        <w:t>Au cours de l</w:t>
      </w:r>
      <w:r w:rsidR="009021AA" w:rsidRPr="004A3269">
        <w:t>’</w:t>
      </w:r>
      <w:r w:rsidR="004B47E9" w:rsidRPr="004A3269">
        <w:t xml:space="preserve">année, le projet de construction </w:t>
      </w:r>
      <w:r w:rsidR="00C36F40" w:rsidRPr="004A3269">
        <w:t>de la</w:t>
      </w:r>
      <w:r w:rsidR="004B47E9" w:rsidRPr="004A3269">
        <w:t xml:space="preserve"> </w:t>
      </w:r>
      <w:r w:rsidR="00C5010B" w:rsidRPr="004A3269">
        <w:t xml:space="preserve">nouvelle </w:t>
      </w:r>
      <w:r w:rsidR="004B47E9" w:rsidRPr="004A3269">
        <w:t xml:space="preserve">salle de conférence </w:t>
      </w:r>
      <w:r w:rsidR="00C4083B" w:rsidRPr="004A3269">
        <w:t xml:space="preserve">a été achevé, </w:t>
      </w:r>
      <w:r w:rsidR="004B47E9" w:rsidRPr="004A3269">
        <w:t xml:space="preserve">et </w:t>
      </w:r>
      <w:r w:rsidR="00C4083B" w:rsidRPr="004A3269">
        <w:t>des</w:t>
      </w:r>
      <w:r w:rsidR="004B47E9" w:rsidRPr="004A3269">
        <w:t xml:space="preserve"> améliorations </w:t>
      </w:r>
      <w:r w:rsidR="00C4083B" w:rsidRPr="004A3269">
        <w:t>ont été apportées au</w:t>
      </w:r>
      <w:r w:rsidR="004B47E9" w:rsidRPr="004A3269">
        <w:t xml:space="preserve"> bâtiment A</w:t>
      </w:r>
      <w:r w:rsidR="00C5010B" w:rsidRPr="004A3269">
        <w:t> </w:t>
      </w:r>
      <w:proofErr w:type="spellStart"/>
      <w:r w:rsidR="00C5010B" w:rsidRPr="004A3269">
        <w:t>Bogsch</w:t>
      </w:r>
      <w:proofErr w:type="spellEnd"/>
      <w:r w:rsidR="004B47E9" w:rsidRPr="004A3269">
        <w:t xml:space="preserve">. </w:t>
      </w:r>
      <w:r w:rsidR="00C5010B" w:rsidRPr="004A3269">
        <w:t xml:space="preserve"> </w:t>
      </w:r>
      <w:r w:rsidR="004B47E9" w:rsidRPr="004A3269">
        <w:t xml:space="preserve">La nouvelle salle de conférence </w:t>
      </w:r>
      <w:r w:rsidR="00C4083B" w:rsidRPr="004A3269">
        <w:t>est désormais</w:t>
      </w:r>
      <w:r w:rsidR="004B47E9" w:rsidRPr="004A3269">
        <w:t xml:space="preserve"> en service et est amorti</w:t>
      </w:r>
      <w:r w:rsidR="00C4083B" w:rsidRPr="004A3269">
        <w:t>e</w:t>
      </w:r>
      <w:r w:rsidR="004B47E9" w:rsidRPr="004A3269">
        <w:t xml:space="preserve"> sur sa durée </w:t>
      </w:r>
      <w:r w:rsidR="00C4083B" w:rsidRPr="004A3269">
        <w:t>d</w:t>
      </w:r>
      <w:r w:rsidR="009021AA" w:rsidRPr="004A3269">
        <w:t>’</w:t>
      </w:r>
      <w:r w:rsidR="00C4083B" w:rsidRPr="004A3269">
        <w:t>utilité</w:t>
      </w:r>
      <w:r w:rsidR="004B47E9" w:rsidRPr="004A3269">
        <w:t xml:space="preserve">. </w:t>
      </w:r>
      <w:r w:rsidR="00C5010B" w:rsidRPr="004A3269">
        <w:t xml:space="preserve"> </w:t>
      </w:r>
      <w:r w:rsidR="004B47E9" w:rsidRPr="004A3269">
        <w:t xml:space="preserve">Le projet </w:t>
      </w:r>
      <w:r w:rsidR="00EE1776" w:rsidRPr="004A3269">
        <w:t>relatif au</w:t>
      </w:r>
      <w:r w:rsidR="004B47E9" w:rsidRPr="004A3269">
        <w:t xml:space="preserve"> </w:t>
      </w:r>
      <w:r w:rsidR="00EE1776" w:rsidRPr="004A3269">
        <w:t>renforcement des normes de sûreté et de</w:t>
      </w:r>
      <w:r w:rsidR="004B47E9" w:rsidRPr="004A3269">
        <w:t xml:space="preserve"> sécurité, </w:t>
      </w:r>
      <w:r w:rsidR="009021AA" w:rsidRPr="004A3269">
        <w:t>y compris</w:t>
      </w:r>
      <w:r w:rsidR="004B47E9" w:rsidRPr="004A3269">
        <w:t xml:space="preserve"> </w:t>
      </w:r>
      <w:r w:rsidR="00EE1776" w:rsidRPr="004A3269">
        <w:t>la construction du</w:t>
      </w:r>
      <w:r w:rsidR="004B47E9" w:rsidRPr="004A3269">
        <w:t xml:space="preserve"> nouveau centre d</w:t>
      </w:r>
      <w:r w:rsidR="009021AA" w:rsidRPr="004A3269">
        <w:t>’</w:t>
      </w:r>
      <w:r w:rsidR="004B47E9" w:rsidRPr="004A3269">
        <w:t xml:space="preserve">accès et </w:t>
      </w:r>
      <w:r w:rsidR="00EE1776" w:rsidRPr="004A3269">
        <w:t xml:space="preserve">du </w:t>
      </w:r>
      <w:r w:rsidR="004B47E9" w:rsidRPr="004A3269">
        <w:t xml:space="preserve">périmètre de sécurité, devrait </w:t>
      </w:r>
      <w:r w:rsidR="00C4083B" w:rsidRPr="004A3269">
        <w:t xml:space="preserve">être achevé </w:t>
      </w:r>
      <w:r w:rsidR="00C5010B" w:rsidRPr="004A3269">
        <w:t>au premier semestre </w:t>
      </w:r>
      <w:r w:rsidR="004B47E9" w:rsidRPr="004A3269">
        <w:t>2015</w:t>
      </w:r>
      <w:r w:rsidR="006E3855" w:rsidRPr="004A3269">
        <w:rPr>
          <w:rFonts w:eastAsia="SimSun"/>
          <w:szCs w:val="22"/>
          <w:lang w:eastAsia="zh-CN"/>
        </w:rPr>
        <w:t>.</w:t>
      </w:r>
    </w:p>
    <w:p w:rsidR="00267140" w:rsidRPr="004A3269" w:rsidRDefault="00424A1A" w:rsidP="003D7C06">
      <w:pPr>
        <w:pStyle w:val="ONUMFS"/>
        <w:rPr>
          <w:rFonts w:eastAsia="SimSun"/>
          <w:lang w:eastAsia="zh-CN"/>
        </w:rPr>
      </w:pPr>
      <w:r w:rsidRPr="004A3269">
        <w:rPr>
          <w:rFonts w:eastAsia="SimSun"/>
          <w:lang w:eastAsia="zh-CN"/>
        </w:rPr>
        <w:t xml:space="preserve">Les principaux </w:t>
      </w:r>
      <w:r w:rsidR="00A60F30" w:rsidRPr="004A3269">
        <w:rPr>
          <w:rFonts w:eastAsia="SimSun"/>
          <w:lang w:eastAsia="zh-CN"/>
        </w:rPr>
        <w:t>passifs de l</w:t>
      </w:r>
      <w:r w:rsidR="009021AA" w:rsidRPr="004A3269">
        <w:rPr>
          <w:rFonts w:eastAsia="SimSun"/>
          <w:lang w:eastAsia="zh-CN"/>
        </w:rPr>
        <w:t>’</w:t>
      </w:r>
      <w:r w:rsidR="00A60F30" w:rsidRPr="004A3269">
        <w:rPr>
          <w:rFonts w:eastAsia="SimSun"/>
          <w:lang w:eastAsia="zh-CN"/>
        </w:rPr>
        <w:t>Organisation au 31 décembre </w:t>
      </w:r>
      <w:r w:rsidRPr="004A3269">
        <w:rPr>
          <w:rFonts w:eastAsia="SimSun"/>
          <w:lang w:eastAsia="zh-CN"/>
        </w:rPr>
        <w:t>2014 sont les comptes de fournisseurs et les encaissements par anticipation d</w:t>
      </w:r>
      <w:r w:rsidR="009021AA" w:rsidRPr="004A3269">
        <w:rPr>
          <w:rFonts w:eastAsia="SimSun"/>
          <w:lang w:eastAsia="zh-CN"/>
        </w:rPr>
        <w:t>’</w:t>
      </w:r>
      <w:r w:rsidRPr="004A3269">
        <w:rPr>
          <w:rFonts w:eastAsia="SimSun"/>
          <w:lang w:eastAsia="zh-CN"/>
        </w:rPr>
        <w:t xml:space="preserve">un montant de </w:t>
      </w:r>
      <w:r w:rsidR="00A60F30" w:rsidRPr="004A3269">
        <w:rPr>
          <w:rFonts w:eastAsia="SimSun"/>
          <w:lang w:eastAsia="zh-CN"/>
        </w:rPr>
        <w:t>358,7 </w:t>
      </w:r>
      <w:r w:rsidRPr="004A3269">
        <w:rPr>
          <w:rFonts w:eastAsia="SimSun"/>
          <w:lang w:eastAsia="zh-CN"/>
        </w:rPr>
        <w:t xml:space="preserve">millions de francs suisses (soit 49,6% du total des passifs), les </w:t>
      </w:r>
      <w:r w:rsidR="00D62AD2" w:rsidRPr="004A3269">
        <w:rPr>
          <w:rFonts w:eastAsia="SimSun"/>
          <w:lang w:eastAsia="zh-CN"/>
        </w:rPr>
        <w:t>obligations relatives aux prestations en matière d</w:t>
      </w:r>
      <w:r w:rsidR="009021AA" w:rsidRPr="004A3269">
        <w:rPr>
          <w:rFonts w:eastAsia="SimSun"/>
          <w:lang w:eastAsia="zh-CN"/>
        </w:rPr>
        <w:t>’</w:t>
      </w:r>
      <w:r w:rsidR="00A0797A" w:rsidRPr="004A3269">
        <w:rPr>
          <w:rFonts w:eastAsia="SimSun"/>
          <w:lang w:eastAsia="zh-CN"/>
        </w:rPr>
        <w:t xml:space="preserve">emploi </w:t>
      </w:r>
      <w:r w:rsidRPr="004A3269">
        <w:rPr>
          <w:rFonts w:eastAsia="SimSun"/>
          <w:lang w:eastAsia="zh-CN"/>
        </w:rPr>
        <w:t>d</w:t>
      </w:r>
      <w:r w:rsidR="009021AA" w:rsidRPr="004A3269">
        <w:rPr>
          <w:rFonts w:eastAsia="SimSun"/>
          <w:lang w:eastAsia="zh-CN"/>
        </w:rPr>
        <w:t>’</w:t>
      </w:r>
      <w:r w:rsidRPr="004A3269">
        <w:rPr>
          <w:rFonts w:eastAsia="SimSun"/>
          <w:lang w:eastAsia="zh-CN"/>
        </w:rPr>
        <w:t>un montant de 161,2</w:t>
      </w:r>
      <w:r w:rsidR="00067463" w:rsidRPr="004A3269">
        <w:rPr>
          <w:rFonts w:eastAsia="SimSun"/>
          <w:lang w:eastAsia="zh-CN"/>
        </w:rPr>
        <w:t> </w:t>
      </w:r>
      <w:r w:rsidRPr="004A3269">
        <w:rPr>
          <w:rFonts w:eastAsia="SimSun"/>
          <w:lang w:eastAsia="zh-CN"/>
        </w:rPr>
        <w:t>millions (22,3% du total des passifs) et les emprunts d</w:t>
      </w:r>
      <w:r w:rsidR="009021AA" w:rsidRPr="004A3269">
        <w:rPr>
          <w:rFonts w:eastAsia="SimSun"/>
          <w:lang w:eastAsia="zh-CN"/>
        </w:rPr>
        <w:t>’</w:t>
      </w:r>
      <w:r w:rsidRPr="004A3269">
        <w:rPr>
          <w:rFonts w:eastAsia="SimSun"/>
          <w:lang w:eastAsia="zh-CN"/>
        </w:rPr>
        <w:t>un montant de 139,2</w:t>
      </w:r>
      <w:r w:rsidR="00067463" w:rsidRPr="004A3269">
        <w:rPr>
          <w:rFonts w:eastAsia="SimSun"/>
          <w:lang w:eastAsia="zh-CN"/>
        </w:rPr>
        <w:t> </w:t>
      </w:r>
      <w:r w:rsidRPr="004A3269">
        <w:rPr>
          <w:rFonts w:eastAsia="SimSun"/>
          <w:lang w:eastAsia="zh-CN"/>
        </w:rPr>
        <w:t>millions (19,2%).</w:t>
      </w:r>
    </w:p>
    <w:p w:rsidR="00267140" w:rsidRPr="004A3269" w:rsidRDefault="00424A1A" w:rsidP="00424A1A">
      <w:pPr>
        <w:spacing w:after="220"/>
        <w:jc w:val="both"/>
        <w:rPr>
          <w:rFonts w:eastAsia="SimSun"/>
          <w:szCs w:val="22"/>
          <w:lang w:eastAsia="zh-CN"/>
        </w:rPr>
      </w:pPr>
      <w:r w:rsidRPr="004A3269">
        <w:rPr>
          <w:rFonts w:eastAsia="SimSun"/>
          <w:b/>
          <w:szCs w:val="22"/>
          <w:lang w:eastAsia="zh-CN"/>
        </w:rPr>
        <w:t>Performance financière</w:t>
      </w:r>
    </w:p>
    <w:p w:rsidR="00267140" w:rsidRPr="004A3269" w:rsidRDefault="00424A1A" w:rsidP="003D7C06">
      <w:pPr>
        <w:pStyle w:val="ONUMFS"/>
        <w:rPr>
          <w:rFonts w:eastAsia="SimSun"/>
          <w:lang w:eastAsia="zh-CN"/>
        </w:rPr>
      </w:pPr>
      <w:r w:rsidRPr="004A3269">
        <w:rPr>
          <w:rFonts w:eastAsia="SimSun"/>
          <w:lang w:eastAsia="zh-CN"/>
        </w:rPr>
        <w:t>Les résultats de l</w:t>
      </w:r>
      <w:r w:rsidR="009021AA" w:rsidRPr="004A3269">
        <w:rPr>
          <w:rFonts w:eastAsia="SimSun"/>
          <w:lang w:eastAsia="zh-CN"/>
        </w:rPr>
        <w:t>’</w:t>
      </w:r>
      <w:r w:rsidRPr="004A3269">
        <w:rPr>
          <w:rFonts w:eastAsia="SimSun"/>
          <w:lang w:eastAsia="zh-CN"/>
        </w:rPr>
        <w:t>Organisation pour</w:t>
      </w:r>
      <w:r w:rsidR="00067463" w:rsidRPr="004A3269">
        <w:rPr>
          <w:rFonts w:eastAsia="SimSun"/>
          <w:lang w:eastAsia="zh-CN"/>
        </w:rPr>
        <w:t> </w:t>
      </w:r>
      <w:r w:rsidRPr="004A3269">
        <w:rPr>
          <w:rFonts w:eastAsia="SimSun"/>
          <w:lang w:eastAsia="zh-CN"/>
        </w:rPr>
        <w:t>2014 faisa</w:t>
      </w:r>
      <w:r w:rsidR="00A60F30" w:rsidRPr="004A3269">
        <w:rPr>
          <w:rFonts w:eastAsia="SimSun"/>
          <w:lang w:eastAsia="zh-CN"/>
        </w:rPr>
        <w:t>ient état d</w:t>
      </w:r>
      <w:r w:rsidR="009021AA" w:rsidRPr="004A3269">
        <w:rPr>
          <w:rFonts w:eastAsia="SimSun"/>
          <w:lang w:eastAsia="zh-CN"/>
        </w:rPr>
        <w:t>’</w:t>
      </w:r>
      <w:r w:rsidR="00A60F30" w:rsidRPr="004A3269">
        <w:rPr>
          <w:rFonts w:eastAsia="SimSun"/>
          <w:lang w:eastAsia="zh-CN"/>
        </w:rPr>
        <w:t>un excédent de 37,0 </w:t>
      </w:r>
      <w:r w:rsidRPr="004A3269">
        <w:rPr>
          <w:rFonts w:eastAsia="SimSun"/>
          <w:lang w:eastAsia="zh-CN"/>
        </w:rPr>
        <w:t>millions de francs sui</w:t>
      </w:r>
      <w:r w:rsidR="00A60F30" w:rsidRPr="004A3269">
        <w:rPr>
          <w:rFonts w:eastAsia="SimSun"/>
          <w:lang w:eastAsia="zh-CN"/>
        </w:rPr>
        <w:t>sses pour des recettes de 370,2 </w:t>
      </w:r>
      <w:r w:rsidRPr="004A3269">
        <w:rPr>
          <w:rFonts w:eastAsia="SimSun"/>
          <w:lang w:eastAsia="zh-CN"/>
        </w:rPr>
        <w:t>mi</w:t>
      </w:r>
      <w:r w:rsidR="00A60F30" w:rsidRPr="004A3269">
        <w:rPr>
          <w:rFonts w:eastAsia="SimSun"/>
          <w:lang w:eastAsia="zh-CN"/>
        </w:rPr>
        <w:t>llions et des dépenses de 333,2 </w:t>
      </w:r>
      <w:r w:rsidRPr="004A3269">
        <w:rPr>
          <w:rFonts w:eastAsia="SimSun"/>
          <w:lang w:eastAsia="zh-CN"/>
        </w:rPr>
        <w:t>millions.</w:t>
      </w:r>
      <w:r w:rsidR="00B9245C" w:rsidRPr="004A3269">
        <w:rPr>
          <w:rFonts w:eastAsia="SimSun"/>
        </w:rPr>
        <w:t xml:space="preserve"> </w:t>
      </w:r>
      <w:r w:rsidR="00FB6D85" w:rsidRPr="004A3269">
        <w:rPr>
          <w:rFonts w:eastAsia="SimSun"/>
        </w:rPr>
        <w:t xml:space="preserve"> </w:t>
      </w:r>
      <w:r w:rsidR="00BD3142" w:rsidRPr="004A3269">
        <w:rPr>
          <w:rFonts w:eastAsia="SimSun"/>
          <w:lang w:eastAsia="zh-CN"/>
        </w:rPr>
        <w:t xml:space="preserve">Ces résultats sont à rapprocher de ceux de 2013, soit </w:t>
      </w:r>
      <w:r w:rsidR="00FB6D85" w:rsidRPr="004A3269">
        <w:rPr>
          <w:rStyle w:val="hps"/>
        </w:rPr>
        <w:t>un excédent de</w:t>
      </w:r>
      <w:r w:rsidR="00FB6D85" w:rsidRPr="004A3269">
        <w:t xml:space="preserve"> </w:t>
      </w:r>
      <w:r w:rsidR="00BD3142" w:rsidRPr="004A3269">
        <w:rPr>
          <w:rStyle w:val="hps"/>
        </w:rPr>
        <w:t>15,1 </w:t>
      </w:r>
      <w:r w:rsidR="00FB6D85" w:rsidRPr="004A3269">
        <w:rPr>
          <w:rStyle w:val="hps"/>
        </w:rPr>
        <w:t>millions de</w:t>
      </w:r>
      <w:r w:rsidR="00FB6D85" w:rsidRPr="004A3269">
        <w:t xml:space="preserve"> </w:t>
      </w:r>
      <w:r w:rsidR="00FB6D85" w:rsidRPr="004A3269">
        <w:rPr>
          <w:rStyle w:val="hps"/>
        </w:rPr>
        <w:t>francs suisses</w:t>
      </w:r>
      <w:r w:rsidR="00BD3142" w:rsidRPr="004A3269">
        <w:rPr>
          <w:rStyle w:val="hps"/>
        </w:rPr>
        <w:t xml:space="preserve"> pour des</w:t>
      </w:r>
      <w:r w:rsidR="00FB6D85" w:rsidRPr="004A3269">
        <w:rPr>
          <w:rStyle w:val="hps"/>
        </w:rPr>
        <w:t xml:space="preserve"> recettes de</w:t>
      </w:r>
      <w:r w:rsidR="00FB6D85" w:rsidRPr="004A3269">
        <w:t xml:space="preserve"> </w:t>
      </w:r>
      <w:r w:rsidR="00FB6D85" w:rsidRPr="004A3269">
        <w:rPr>
          <w:rStyle w:val="hps"/>
        </w:rPr>
        <w:t>351,6</w:t>
      </w:r>
      <w:r w:rsidR="00067463" w:rsidRPr="004A3269">
        <w:rPr>
          <w:rStyle w:val="hps"/>
        </w:rPr>
        <w:t> </w:t>
      </w:r>
      <w:r w:rsidR="00FB6D85" w:rsidRPr="004A3269">
        <w:rPr>
          <w:rStyle w:val="hps"/>
        </w:rPr>
        <w:t>millions</w:t>
      </w:r>
      <w:r w:rsidR="00FB6D85" w:rsidRPr="004A3269">
        <w:t xml:space="preserve"> </w:t>
      </w:r>
      <w:r w:rsidR="00FB6D85" w:rsidRPr="004A3269">
        <w:rPr>
          <w:rStyle w:val="hps"/>
        </w:rPr>
        <w:t>de francs suisses</w:t>
      </w:r>
      <w:r w:rsidR="00FB6D85" w:rsidRPr="004A3269">
        <w:t xml:space="preserve"> </w:t>
      </w:r>
      <w:r w:rsidR="00FB6D85" w:rsidRPr="004A3269">
        <w:rPr>
          <w:rStyle w:val="hps"/>
        </w:rPr>
        <w:t xml:space="preserve">et </w:t>
      </w:r>
      <w:r w:rsidR="00BD3142" w:rsidRPr="004A3269">
        <w:rPr>
          <w:rStyle w:val="hps"/>
        </w:rPr>
        <w:t>des</w:t>
      </w:r>
      <w:r w:rsidR="00FB6D85" w:rsidRPr="004A3269">
        <w:rPr>
          <w:rStyle w:val="hps"/>
        </w:rPr>
        <w:t xml:space="preserve"> dépenses de</w:t>
      </w:r>
      <w:r w:rsidR="00FB6D85" w:rsidRPr="004A3269">
        <w:t xml:space="preserve"> </w:t>
      </w:r>
      <w:r w:rsidR="00BD3142" w:rsidRPr="004A3269">
        <w:rPr>
          <w:rStyle w:val="hps"/>
        </w:rPr>
        <w:t>336,5 </w:t>
      </w:r>
      <w:r w:rsidR="00FB6D85" w:rsidRPr="004A3269">
        <w:rPr>
          <w:rStyle w:val="hps"/>
        </w:rPr>
        <w:t>millions</w:t>
      </w:r>
      <w:r w:rsidR="00B9245C" w:rsidRPr="004A3269">
        <w:rPr>
          <w:rFonts w:eastAsia="SimSun"/>
          <w:lang w:eastAsia="zh-CN"/>
        </w:rPr>
        <w:t>.</w:t>
      </w:r>
    </w:p>
    <w:p w:rsidR="00267140" w:rsidRPr="004A3269" w:rsidRDefault="00424A1A" w:rsidP="003D7C06">
      <w:pPr>
        <w:pStyle w:val="ONUMFS"/>
        <w:rPr>
          <w:rFonts w:eastAsia="SimSun"/>
          <w:lang w:eastAsia="zh-CN"/>
        </w:rPr>
      </w:pPr>
      <w:r w:rsidRPr="004A3269">
        <w:rPr>
          <w:rFonts w:eastAsia="SimSun"/>
          <w:lang w:eastAsia="zh-CN"/>
        </w:rPr>
        <w:t>Le programme et budget pour</w:t>
      </w:r>
      <w:r w:rsidR="00067463" w:rsidRPr="004A3269">
        <w:rPr>
          <w:rFonts w:eastAsia="SimSun"/>
          <w:lang w:eastAsia="zh-CN"/>
        </w:rPr>
        <w:t> </w:t>
      </w:r>
      <w:r w:rsidRPr="004A3269">
        <w:rPr>
          <w:rFonts w:eastAsia="SimSun"/>
          <w:lang w:eastAsia="zh-CN"/>
        </w:rPr>
        <w:t>2014, établi qu</w:t>
      </w:r>
      <w:r w:rsidR="009021AA" w:rsidRPr="004A3269">
        <w:rPr>
          <w:rFonts w:eastAsia="SimSun"/>
          <w:lang w:eastAsia="zh-CN"/>
        </w:rPr>
        <w:t>’</w:t>
      </w:r>
      <w:r w:rsidRPr="004A3269">
        <w:rPr>
          <w:rFonts w:eastAsia="SimSun"/>
          <w:lang w:eastAsia="zh-CN"/>
        </w:rPr>
        <w:t>il a été sur la base d</w:t>
      </w:r>
      <w:r w:rsidR="009021AA" w:rsidRPr="004A3269">
        <w:rPr>
          <w:rFonts w:eastAsia="SimSun"/>
          <w:lang w:eastAsia="zh-CN"/>
        </w:rPr>
        <w:t>’</w:t>
      </w:r>
      <w:r w:rsidRPr="004A3269">
        <w:rPr>
          <w:rFonts w:eastAsia="SimSun"/>
          <w:lang w:eastAsia="zh-CN"/>
        </w:rPr>
        <w:t>une comptabilité d</w:t>
      </w:r>
      <w:r w:rsidR="009021AA" w:rsidRPr="004A3269">
        <w:rPr>
          <w:rFonts w:eastAsia="SimSun"/>
          <w:lang w:eastAsia="zh-CN"/>
        </w:rPr>
        <w:t>’</w:t>
      </w:r>
      <w:r w:rsidRPr="004A3269">
        <w:rPr>
          <w:rFonts w:eastAsia="SimSun"/>
          <w:lang w:eastAsia="zh-CN"/>
        </w:rPr>
        <w:t>exercice modifiée (c</w:t>
      </w:r>
      <w:r w:rsidR="009021AA" w:rsidRPr="004A3269">
        <w:rPr>
          <w:rFonts w:eastAsia="SimSun"/>
          <w:lang w:eastAsia="zh-CN"/>
        </w:rPr>
        <w:t>’</w:t>
      </w:r>
      <w:r w:rsidRPr="004A3269">
        <w:rPr>
          <w:rFonts w:eastAsia="SimSun"/>
          <w:lang w:eastAsia="zh-CN"/>
        </w:rPr>
        <w:t>est</w:t>
      </w:r>
      <w:r w:rsidR="00A17552" w:rsidRPr="004A3269">
        <w:rPr>
          <w:rFonts w:eastAsia="SimSun"/>
          <w:lang w:eastAsia="zh-CN"/>
        </w:rPr>
        <w:noBreakHyphen/>
      </w:r>
      <w:r w:rsidRPr="004A3269">
        <w:rPr>
          <w:rFonts w:eastAsia="SimSun"/>
          <w:lang w:eastAsia="zh-CN"/>
        </w:rPr>
        <w:t>à</w:t>
      </w:r>
      <w:r w:rsidR="00A17552" w:rsidRPr="004A3269">
        <w:rPr>
          <w:rFonts w:eastAsia="SimSun"/>
          <w:lang w:eastAsia="zh-CN"/>
        </w:rPr>
        <w:noBreakHyphen/>
      </w:r>
      <w:r w:rsidRPr="004A3269">
        <w:rPr>
          <w:rFonts w:eastAsia="SimSun"/>
          <w:lang w:eastAsia="zh-CN"/>
        </w:rPr>
        <w:t>dire avant l</w:t>
      </w:r>
      <w:r w:rsidR="009021AA" w:rsidRPr="004A3269">
        <w:rPr>
          <w:rFonts w:eastAsia="SimSun"/>
          <w:lang w:eastAsia="zh-CN"/>
        </w:rPr>
        <w:t>’</w:t>
      </w:r>
      <w:r w:rsidRPr="004A3269">
        <w:rPr>
          <w:rFonts w:eastAsia="SimSun"/>
          <w:lang w:eastAsia="zh-CN"/>
        </w:rPr>
        <w:t>impact des ajustements IPSAS</w:t>
      </w:r>
      <w:r w:rsidR="00A60F30" w:rsidRPr="004A3269">
        <w:rPr>
          <w:rFonts w:eastAsia="SimSun"/>
          <w:lang w:eastAsia="zh-CN"/>
        </w:rPr>
        <w:t>), a dégagé un excédent de 69,9 </w:t>
      </w:r>
      <w:r w:rsidRPr="004A3269">
        <w:rPr>
          <w:rFonts w:eastAsia="SimSun"/>
          <w:lang w:eastAsia="zh-CN"/>
        </w:rPr>
        <w:t>millions de francs suisses</w:t>
      </w:r>
      <w:r w:rsidR="00A0797A" w:rsidRPr="004A3269">
        <w:rPr>
          <w:rFonts w:eastAsia="SimSun"/>
          <w:lang w:eastAsia="zh-CN"/>
        </w:rPr>
        <w:t xml:space="preserve">.  </w:t>
      </w:r>
      <w:r w:rsidRPr="004A3269">
        <w:rPr>
          <w:rFonts w:eastAsia="SimSun"/>
          <w:lang w:eastAsia="zh-CN"/>
        </w:rPr>
        <w:t>Il inclut au titre des normes</w:t>
      </w:r>
      <w:r w:rsidR="00067463" w:rsidRPr="004A3269">
        <w:rPr>
          <w:rFonts w:eastAsia="SimSun"/>
          <w:lang w:eastAsia="zh-CN"/>
        </w:rPr>
        <w:t> </w:t>
      </w:r>
      <w:r w:rsidRPr="004A3269">
        <w:rPr>
          <w:rFonts w:eastAsia="SimSun"/>
          <w:lang w:eastAsia="zh-CN"/>
        </w:rPr>
        <w:t>IPSAS les comptes spéciaux, les projets financés sur les réserves et l</w:t>
      </w:r>
      <w:r w:rsidR="009021AA" w:rsidRPr="004A3269">
        <w:rPr>
          <w:rFonts w:eastAsia="SimSun"/>
          <w:lang w:eastAsia="zh-CN"/>
        </w:rPr>
        <w:t>’</w:t>
      </w:r>
      <w:r w:rsidRPr="004A3269">
        <w:rPr>
          <w:rFonts w:eastAsia="SimSun"/>
          <w:lang w:eastAsia="zh-CN"/>
        </w:rPr>
        <w:t>impact des ajustements liés à une comptabilité d</w:t>
      </w:r>
      <w:r w:rsidR="009021AA" w:rsidRPr="004A3269">
        <w:rPr>
          <w:rFonts w:eastAsia="SimSun"/>
          <w:lang w:eastAsia="zh-CN"/>
        </w:rPr>
        <w:t>’</w:t>
      </w:r>
      <w:r w:rsidRPr="004A3269">
        <w:rPr>
          <w:rFonts w:eastAsia="SimSun"/>
          <w:lang w:eastAsia="zh-CN"/>
        </w:rPr>
        <w:t>exercice intégrale conformément aux normes</w:t>
      </w:r>
      <w:r w:rsidR="00067463" w:rsidRPr="004A3269">
        <w:rPr>
          <w:rFonts w:eastAsia="SimSun"/>
          <w:lang w:eastAsia="zh-CN"/>
        </w:rPr>
        <w:t> </w:t>
      </w:r>
      <w:r w:rsidRPr="004A3269">
        <w:rPr>
          <w:rFonts w:eastAsia="SimSun"/>
          <w:lang w:eastAsia="zh-CN"/>
        </w:rPr>
        <w:t>IPSAS.</w:t>
      </w:r>
    </w:p>
    <w:p w:rsidR="00267140" w:rsidRPr="004A3269" w:rsidRDefault="00424A1A" w:rsidP="00424A1A">
      <w:pPr>
        <w:spacing w:after="220"/>
        <w:jc w:val="center"/>
        <w:rPr>
          <w:rFonts w:eastAsia="SimSun"/>
          <w:szCs w:val="22"/>
          <w:u w:val="single"/>
          <w:lang w:eastAsia="zh-CN"/>
        </w:rPr>
      </w:pPr>
      <w:r w:rsidRPr="004A3269">
        <w:rPr>
          <w:rFonts w:eastAsia="SimSun"/>
          <w:szCs w:val="22"/>
          <w:u w:val="single"/>
          <w:lang w:eastAsia="zh-CN"/>
        </w:rPr>
        <w:t>Récapitulatif de la performance financière par source de financement</w:t>
      </w:r>
    </w:p>
    <w:p w:rsidR="004953F8" w:rsidRPr="004A3269" w:rsidRDefault="004953F8" w:rsidP="004953F8">
      <w:pPr>
        <w:jc w:val="center"/>
        <w:rPr>
          <w:rFonts w:eastAsia="SimSun"/>
          <w:szCs w:val="22"/>
          <w:lang w:eastAsia="zh-CN"/>
        </w:rPr>
      </w:pPr>
      <w:r w:rsidRPr="004A3269">
        <w:rPr>
          <w:rFonts w:eastAsia="SimSun"/>
          <w:noProof/>
          <w:lang w:val="en-US"/>
        </w:rPr>
        <w:drawing>
          <wp:inline distT="0" distB="0" distL="0" distR="0" wp14:anchorId="532D0FB8" wp14:editId="02C0EFF2">
            <wp:extent cx="5977255" cy="1331781"/>
            <wp:effectExtent l="0" t="0" r="4445" b="190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7255" cy="1331781"/>
                    </a:xfrm>
                    <a:prstGeom prst="rect">
                      <a:avLst/>
                    </a:prstGeom>
                    <a:noFill/>
                    <a:ln>
                      <a:noFill/>
                    </a:ln>
                  </pic:spPr>
                </pic:pic>
              </a:graphicData>
            </a:graphic>
          </wp:inline>
        </w:drawing>
      </w:r>
    </w:p>
    <w:p w:rsidR="004953F8" w:rsidRPr="004A3269" w:rsidRDefault="004953F8" w:rsidP="004953F8">
      <w:pPr>
        <w:jc w:val="both"/>
        <w:rPr>
          <w:rFonts w:eastAsia="SimSun"/>
          <w:szCs w:val="22"/>
          <w:lang w:eastAsia="zh-CN"/>
        </w:rPr>
      </w:pPr>
    </w:p>
    <w:p w:rsidR="00267140" w:rsidRPr="004A3269" w:rsidRDefault="00A60F30" w:rsidP="003D7C06">
      <w:pPr>
        <w:pStyle w:val="ONUMFS"/>
        <w:rPr>
          <w:rFonts w:eastAsia="SimSun"/>
          <w:lang w:eastAsia="zh-CN"/>
        </w:rPr>
      </w:pPr>
      <w:r w:rsidRPr="004A3269">
        <w:rPr>
          <w:rFonts w:eastAsia="SimSun"/>
          <w:lang w:eastAsia="zh-CN"/>
        </w:rPr>
        <w:t>Le graphique ci</w:t>
      </w:r>
      <w:r w:rsidR="00A17552" w:rsidRPr="004A3269">
        <w:rPr>
          <w:rFonts w:eastAsia="SimSun"/>
          <w:lang w:eastAsia="zh-CN"/>
        </w:rPr>
        <w:noBreakHyphen/>
      </w:r>
      <w:r w:rsidR="00424A1A" w:rsidRPr="004A3269">
        <w:rPr>
          <w:rFonts w:eastAsia="SimSun"/>
          <w:lang w:eastAsia="zh-CN"/>
        </w:rPr>
        <w:t>dessous résume les principales différences entre l</w:t>
      </w:r>
      <w:r w:rsidR="009021AA" w:rsidRPr="004A3269">
        <w:rPr>
          <w:rFonts w:eastAsia="SimSun"/>
          <w:lang w:eastAsia="zh-CN"/>
        </w:rPr>
        <w:t>’</w:t>
      </w:r>
      <w:r w:rsidR="00424A1A" w:rsidRPr="004A3269">
        <w:rPr>
          <w:rFonts w:eastAsia="SimSun"/>
          <w:lang w:eastAsia="zh-CN"/>
        </w:rPr>
        <w:t>excédent de 69,9</w:t>
      </w:r>
      <w:r w:rsidRPr="004A3269">
        <w:rPr>
          <w:rFonts w:eastAsia="SimSun"/>
          <w:lang w:eastAsia="zh-CN"/>
        </w:rPr>
        <w:t> </w:t>
      </w:r>
      <w:r w:rsidR="00424A1A" w:rsidRPr="004A3269">
        <w:rPr>
          <w:rFonts w:eastAsia="SimSun"/>
          <w:lang w:eastAsia="zh-CN"/>
        </w:rPr>
        <w:t>millions de francs suisses du programme et budget et celui de 37,0</w:t>
      </w:r>
      <w:r w:rsidRPr="004A3269">
        <w:rPr>
          <w:rFonts w:eastAsia="SimSun"/>
          <w:lang w:eastAsia="zh-CN"/>
        </w:rPr>
        <w:t> </w:t>
      </w:r>
      <w:r w:rsidR="00424A1A" w:rsidRPr="004A3269">
        <w:rPr>
          <w:rFonts w:eastAsia="SimSun"/>
          <w:lang w:eastAsia="zh-CN"/>
        </w:rPr>
        <w:t>millions de l</w:t>
      </w:r>
      <w:r w:rsidR="009021AA" w:rsidRPr="004A3269">
        <w:rPr>
          <w:rFonts w:eastAsia="SimSun"/>
          <w:lang w:eastAsia="zh-CN"/>
        </w:rPr>
        <w:t>’</w:t>
      </w:r>
      <w:r w:rsidR="00424A1A" w:rsidRPr="004A3269">
        <w:rPr>
          <w:rFonts w:eastAsia="SimSun"/>
          <w:lang w:eastAsia="zh-CN"/>
        </w:rPr>
        <w:t>Organisation établi sur une base IPSAS</w:t>
      </w:r>
      <w:r w:rsidR="00A0797A" w:rsidRPr="004A3269">
        <w:rPr>
          <w:rFonts w:eastAsia="SimSun"/>
          <w:lang w:eastAsia="zh-CN"/>
        </w:rPr>
        <w:t> :</w:t>
      </w:r>
    </w:p>
    <w:p w:rsidR="00267140" w:rsidRPr="004A3269" w:rsidRDefault="00267140" w:rsidP="00996523">
      <w:pPr>
        <w:jc w:val="both"/>
        <w:rPr>
          <w:rFonts w:eastAsia="SimSun"/>
          <w:szCs w:val="22"/>
          <w:lang w:eastAsia="zh-CN"/>
        </w:rPr>
      </w:pPr>
    </w:p>
    <w:p w:rsidR="00267140" w:rsidRPr="004A3269" w:rsidRDefault="00424A1A" w:rsidP="00A60F30">
      <w:pPr>
        <w:keepNext/>
        <w:keepLines/>
        <w:jc w:val="center"/>
        <w:rPr>
          <w:rFonts w:eastAsia="SimSun"/>
          <w:szCs w:val="22"/>
          <w:u w:val="single"/>
          <w:lang w:eastAsia="zh-CN"/>
        </w:rPr>
      </w:pPr>
      <w:r w:rsidRPr="004A3269">
        <w:rPr>
          <w:rFonts w:eastAsia="SimSun"/>
          <w:szCs w:val="22"/>
          <w:u w:val="single"/>
          <w:lang w:eastAsia="zh-CN"/>
        </w:rPr>
        <w:lastRenderedPageBreak/>
        <w:t>Passage du résultat budgétaire au résultat IPSAS pour</w:t>
      </w:r>
      <w:r w:rsidR="00067463" w:rsidRPr="004A3269">
        <w:rPr>
          <w:rFonts w:eastAsia="SimSun"/>
          <w:szCs w:val="22"/>
          <w:u w:val="single"/>
          <w:lang w:eastAsia="zh-CN"/>
        </w:rPr>
        <w:t> </w:t>
      </w:r>
      <w:r w:rsidRPr="004A3269">
        <w:rPr>
          <w:rFonts w:eastAsia="SimSun"/>
          <w:szCs w:val="22"/>
          <w:u w:val="single"/>
          <w:lang w:eastAsia="zh-CN"/>
        </w:rPr>
        <w:t>2014</w:t>
      </w:r>
    </w:p>
    <w:p w:rsidR="00267140" w:rsidRPr="004A3269" w:rsidRDefault="00267140" w:rsidP="00A60F30">
      <w:pPr>
        <w:keepNext/>
        <w:keepLines/>
        <w:rPr>
          <w:rFonts w:eastAsia="SimSun"/>
          <w:i/>
          <w:szCs w:val="22"/>
          <w:lang w:eastAsia="zh-CN"/>
        </w:rPr>
      </w:pPr>
    </w:p>
    <w:p w:rsidR="004953F8" w:rsidRPr="004A3269" w:rsidRDefault="004953F8" w:rsidP="004953F8">
      <w:pPr>
        <w:spacing w:after="220"/>
        <w:jc w:val="center"/>
        <w:rPr>
          <w:rFonts w:eastAsia="SimSun"/>
          <w:lang w:eastAsia="zh-CN"/>
        </w:rPr>
      </w:pPr>
      <w:r w:rsidRPr="004A3269">
        <w:rPr>
          <w:rFonts w:eastAsia="SimSun"/>
          <w:noProof/>
          <w:lang w:val="en-US"/>
        </w:rPr>
        <w:drawing>
          <wp:inline distT="0" distB="0" distL="0" distR="0" wp14:anchorId="45F388F8" wp14:editId="2ADA6D0F">
            <wp:extent cx="5977255" cy="2884777"/>
            <wp:effectExtent l="0" t="0" r="444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7255" cy="2884777"/>
                    </a:xfrm>
                    <a:prstGeom prst="rect">
                      <a:avLst/>
                    </a:prstGeom>
                    <a:noFill/>
                    <a:ln>
                      <a:noFill/>
                    </a:ln>
                  </pic:spPr>
                </pic:pic>
              </a:graphicData>
            </a:graphic>
          </wp:inline>
        </w:drawing>
      </w:r>
    </w:p>
    <w:p w:rsidR="004953F8" w:rsidRPr="004A3269" w:rsidRDefault="004953F8" w:rsidP="004953F8">
      <w:pPr>
        <w:rPr>
          <w:rFonts w:eastAsia="SimSun"/>
        </w:rPr>
      </w:pPr>
    </w:p>
    <w:p w:rsidR="00267140" w:rsidRPr="004A3269" w:rsidRDefault="00424A1A" w:rsidP="003D7C06">
      <w:pPr>
        <w:pStyle w:val="ONUMFS"/>
        <w:rPr>
          <w:rFonts w:eastAsia="SimSun"/>
          <w:szCs w:val="22"/>
          <w:lang w:eastAsia="zh-CN"/>
        </w:rPr>
      </w:pPr>
      <w:r w:rsidRPr="004A3269">
        <w:rPr>
          <w:rFonts w:eastAsia="SimSun"/>
          <w:lang w:eastAsia="zh-CN"/>
        </w:rPr>
        <w:t>Tels qu</w:t>
      </w:r>
      <w:r w:rsidR="009021AA" w:rsidRPr="004A3269">
        <w:rPr>
          <w:rFonts w:eastAsia="SimSun"/>
          <w:lang w:eastAsia="zh-CN"/>
        </w:rPr>
        <w:t>’</w:t>
      </w:r>
      <w:r w:rsidRPr="004A3269">
        <w:rPr>
          <w:rFonts w:eastAsia="SimSun"/>
          <w:lang w:eastAsia="zh-CN"/>
        </w:rPr>
        <w:t>ils sont établis en conformité avec les normes</w:t>
      </w:r>
      <w:r w:rsidR="00067463" w:rsidRPr="004A3269">
        <w:rPr>
          <w:rFonts w:eastAsia="SimSun"/>
          <w:lang w:eastAsia="zh-CN"/>
        </w:rPr>
        <w:t> </w:t>
      </w:r>
      <w:r w:rsidRPr="004A3269">
        <w:rPr>
          <w:rFonts w:eastAsia="SimSun"/>
          <w:lang w:eastAsia="zh-CN"/>
        </w:rPr>
        <w:t>IPSAS, les états financiers de l</w:t>
      </w:r>
      <w:r w:rsidR="009021AA" w:rsidRPr="004A3269">
        <w:rPr>
          <w:rFonts w:eastAsia="SimSun"/>
          <w:lang w:eastAsia="zh-CN"/>
        </w:rPr>
        <w:t>’</w:t>
      </w:r>
      <w:r w:rsidRPr="004A3269">
        <w:rPr>
          <w:rFonts w:eastAsia="SimSun"/>
          <w:lang w:eastAsia="zh-CN"/>
        </w:rPr>
        <w:t>OMPI couvrent tous les domaines et activités de l</w:t>
      </w:r>
      <w:r w:rsidR="009021AA" w:rsidRPr="004A3269">
        <w:rPr>
          <w:rFonts w:eastAsia="SimSun"/>
          <w:lang w:eastAsia="zh-CN"/>
        </w:rPr>
        <w:t>’</w:t>
      </w:r>
      <w:r w:rsidRPr="004A3269">
        <w:rPr>
          <w:rFonts w:eastAsia="SimSun"/>
          <w:lang w:eastAsia="zh-CN"/>
        </w:rPr>
        <w:t>Organisation.</w:t>
      </w:r>
      <w:r w:rsidR="00B9245C" w:rsidRPr="004A3269">
        <w:rPr>
          <w:rFonts w:eastAsia="SimSun"/>
        </w:rPr>
        <w:t xml:space="preserve">  </w:t>
      </w:r>
      <w:r w:rsidRPr="004A3269">
        <w:rPr>
          <w:rFonts w:eastAsia="SimSun"/>
          <w:lang w:eastAsia="zh-CN"/>
        </w:rPr>
        <w:t>L</w:t>
      </w:r>
      <w:r w:rsidR="009021AA" w:rsidRPr="004A3269">
        <w:rPr>
          <w:rFonts w:eastAsia="SimSun"/>
          <w:lang w:eastAsia="zh-CN"/>
        </w:rPr>
        <w:t>’</w:t>
      </w:r>
      <w:r w:rsidRPr="004A3269">
        <w:rPr>
          <w:rFonts w:eastAsia="SimSun"/>
          <w:lang w:eastAsia="zh-CN"/>
        </w:rPr>
        <w:t>inclusion des résultats avant les ajustements IPSAS pour les comptes spéciaux (excédent de 0,8</w:t>
      </w:r>
      <w:r w:rsidR="00A60F30" w:rsidRPr="004A3269">
        <w:rPr>
          <w:rFonts w:eastAsia="SimSun"/>
          <w:lang w:eastAsia="zh-CN"/>
        </w:rPr>
        <w:t> </w:t>
      </w:r>
      <w:r w:rsidRPr="004A3269">
        <w:rPr>
          <w:rFonts w:eastAsia="SimSun"/>
          <w:lang w:eastAsia="zh-CN"/>
        </w:rPr>
        <w:t>million de francs suisses) et les projets financés sur les réserves (déficit de 35,2</w:t>
      </w:r>
      <w:r w:rsidR="00A60F30" w:rsidRPr="004A3269">
        <w:rPr>
          <w:rFonts w:eastAsia="SimSun"/>
          <w:lang w:eastAsia="zh-CN"/>
        </w:rPr>
        <w:t> </w:t>
      </w:r>
      <w:r w:rsidRPr="004A3269">
        <w:rPr>
          <w:rFonts w:eastAsia="SimSun"/>
          <w:lang w:eastAsia="zh-CN"/>
        </w:rPr>
        <w:t>millions de francs suisses) représentent les “différences relatives à l</w:t>
      </w:r>
      <w:r w:rsidR="009021AA" w:rsidRPr="004A3269">
        <w:rPr>
          <w:rFonts w:eastAsia="SimSun"/>
          <w:lang w:eastAsia="zh-CN"/>
        </w:rPr>
        <w:t>’</w:t>
      </w:r>
      <w:r w:rsidRPr="004A3269">
        <w:rPr>
          <w:rFonts w:eastAsia="SimSun"/>
          <w:lang w:eastAsia="zh-CN"/>
        </w:rPr>
        <w:t>entité” entre le résultat budgétaire et l</w:t>
      </w:r>
      <w:r w:rsidR="009021AA" w:rsidRPr="004A3269">
        <w:rPr>
          <w:rFonts w:eastAsia="SimSun"/>
          <w:lang w:eastAsia="zh-CN"/>
        </w:rPr>
        <w:t>’</w:t>
      </w:r>
      <w:r w:rsidRPr="004A3269">
        <w:rPr>
          <w:rFonts w:eastAsia="SimSun"/>
          <w:lang w:eastAsia="zh-CN"/>
        </w:rPr>
        <w:t>excédent au titre des états financiers.</w:t>
      </w:r>
    </w:p>
    <w:p w:rsidR="00267140" w:rsidRPr="004A3269" w:rsidRDefault="00424A1A" w:rsidP="003D7C06">
      <w:pPr>
        <w:pStyle w:val="ONUMFS"/>
        <w:rPr>
          <w:rFonts w:eastAsia="SimSun"/>
          <w:szCs w:val="22"/>
          <w:lang w:eastAsia="zh-CN"/>
        </w:rPr>
      </w:pPr>
      <w:r w:rsidRPr="004A3269">
        <w:rPr>
          <w:rFonts w:eastAsia="SimSun"/>
          <w:lang w:eastAsia="zh-CN"/>
        </w:rPr>
        <w:t>L</w:t>
      </w:r>
      <w:r w:rsidR="009021AA" w:rsidRPr="004A3269">
        <w:rPr>
          <w:rFonts w:eastAsia="SimSun"/>
          <w:lang w:eastAsia="zh-CN"/>
        </w:rPr>
        <w:t>’</w:t>
      </w:r>
      <w:r w:rsidRPr="004A3269">
        <w:rPr>
          <w:rFonts w:eastAsia="SimSun"/>
          <w:lang w:eastAsia="zh-CN"/>
        </w:rPr>
        <w:t>application d</w:t>
      </w:r>
      <w:r w:rsidR="009021AA" w:rsidRPr="004A3269">
        <w:rPr>
          <w:rFonts w:eastAsia="SimSun"/>
          <w:lang w:eastAsia="zh-CN"/>
        </w:rPr>
        <w:t>’</w:t>
      </w:r>
      <w:r w:rsidRPr="004A3269">
        <w:rPr>
          <w:rFonts w:eastAsia="SimSun"/>
          <w:lang w:eastAsia="zh-CN"/>
        </w:rPr>
        <w:t>une comptabilité d</w:t>
      </w:r>
      <w:r w:rsidR="009021AA" w:rsidRPr="004A3269">
        <w:rPr>
          <w:rFonts w:eastAsia="SimSun"/>
          <w:lang w:eastAsia="zh-CN"/>
        </w:rPr>
        <w:t>’</w:t>
      </w:r>
      <w:r w:rsidRPr="004A3269">
        <w:rPr>
          <w:rFonts w:eastAsia="SimSun"/>
          <w:lang w:eastAsia="zh-CN"/>
        </w:rPr>
        <w:t>exercice intégrale conformément aux normes</w:t>
      </w:r>
      <w:r w:rsidR="00067463" w:rsidRPr="004A3269">
        <w:rPr>
          <w:rFonts w:eastAsia="SimSun"/>
          <w:lang w:eastAsia="zh-CN"/>
        </w:rPr>
        <w:t> </w:t>
      </w:r>
      <w:r w:rsidRPr="004A3269">
        <w:rPr>
          <w:rFonts w:eastAsia="SimSun"/>
          <w:lang w:eastAsia="zh-CN"/>
        </w:rPr>
        <w:t>IPSAS conduit à plusieurs “différences sur une base comptable” qui ont des conséquences pour le résultat de l</w:t>
      </w:r>
      <w:r w:rsidR="009021AA" w:rsidRPr="004A3269">
        <w:rPr>
          <w:rFonts w:eastAsia="SimSun"/>
          <w:lang w:eastAsia="zh-CN"/>
        </w:rPr>
        <w:t>’</w:t>
      </w:r>
      <w:r w:rsidRPr="004A3269">
        <w:rPr>
          <w:rFonts w:eastAsia="SimSun"/>
          <w:lang w:eastAsia="zh-CN"/>
        </w:rPr>
        <w:t>année.</w:t>
      </w:r>
      <w:r w:rsidR="00B9245C" w:rsidRPr="004A3269">
        <w:rPr>
          <w:rFonts w:eastAsia="SimSun"/>
        </w:rPr>
        <w:t xml:space="preserve">  </w:t>
      </w:r>
      <w:r w:rsidR="00BD3142" w:rsidRPr="004A3269">
        <w:rPr>
          <w:rStyle w:val="hps"/>
        </w:rPr>
        <w:t>L</w:t>
      </w:r>
      <w:r w:rsidR="009021AA" w:rsidRPr="004A3269">
        <w:rPr>
          <w:rStyle w:val="hps"/>
        </w:rPr>
        <w:t>’</w:t>
      </w:r>
      <w:r w:rsidR="00BD3142" w:rsidRPr="004A3269">
        <w:rPr>
          <w:rStyle w:val="hps"/>
        </w:rPr>
        <w:t>impact</w:t>
      </w:r>
      <w:r w:rsidR="00BD3142" w:rsidRPr="004A3269">
        <w:t xml:space="preserve"> </w:t>
      </w:r>
      <w:r w:rsidR="00BD3142" w:rsidRPr="004A3269">
        <w:rPr>
          <w:rStyle w:val="hps"/>
        </w:rPr>
        <w:t>net des ajustements</w:t>
      </w:r>
      <w:r w:rsidR="00BD3142" w:rsidRPr="004A3269">
        <w:t xml:space="preserve"> IPSAS </w:t>
      </w:r>
      <w:r w:rsidR="00BD3142" w:rsidRPr="004A3269">
        <w:rPr>
          <w:rStyle w:val="hps"/>
        </w:rPr>
        <w:t>est</w:t>
      </w:r>
      <w:r w:rsidR="00BD3142" w:rsidRPr="004A3269">
        <w:t xml:space="preserve"> </w:t>
      </w:r>
      <w:r w:rsidR="00BD3142" w:rsidRPr="004A3269">
        <w:rPr>
          <w:rStyle w:val="hps"/>
        </w:rPr>
        <w:t>un excédent</w:t>
      </w:r>
      <w:r w:rsidR="00BD3142" w:rsidRPr="004A3269">
        <w:t xml:space="preserve"> </w:t>
      </w:r>
      <w:r w:rsidR="00BD3142" w:rsidRPr="004A3269">
        <w:rPr>
          <w:rStyle w:val="hps"/>
        </w:rPr>
        <w:t>de 1,5</w:t>
      </w:r>
      <w:r w:rsidR="00BD3142" w:rsidRPr="004A3269">
        <w:t> </w:t>
      </w:r>
      <w:r w:rsidR="00BD3142" w:rsidRPr="004A3269">
        <w:rPr>
          <w:rStyle w:val="hps"/>
        </w:rPr>
        <w:t>million de francs suisses </w:t>
      </w:r>
      <w:r w:rsidR="00B9245C" w:rsidRPr="004A3269">
        <w:rPr>
          <w:rStyle w:val="hps"/>
          <w:rFonts w:eastAsia="SimSun"/>
        </w:rPr>
        <w:t>:</w:t>
      </w:r>
    </w:p>
    <w:p w:rsidR="00267140" w:rsidRPr="004A3269" w:rsidRDefault="00424A1A" w:rsidP="003D7C06">
      <w:pPr>
        <w:numPr>
          <w:ilvl w:val="0"/>
          <w:numId w:val="7"/>
        </w:numPr>
        <w:tabs>
          <w:tab w:val="clear" w:pos="1174"/>
          <w:tab w:val="num" w:pos="1134"/>
        </w:tabs>
        <w:spacing w:after="220"/>
        <w:ind w:left="1134" w:hanging="567"/>
        <w:jc w:val="both"/>
        <w:rPr>
          <w:rFonts w:eastAsia="SimSun"/>
          <w:szCs w:val="22"/>
          <w:lang w:eastAsia="zh-CN"/>
        </w:rPr>
      </w:pPr>
      <w:r w:rsidRPr="004A3269">
        <w:rPr>
          <w:rFonts w:eastAsia="SimSun"/>
          <w:lang w:eastAsia="zh-CN"/>
        </w:rPr>
        <w:t>En vertu des normes</w:t>
      </w:r>
      <w:r w:rsidR="00067463" w:rsidRPr="004A3269">
        <w:rPr>
          <w:rFonts w:eastAsia="SimSun"/>
          <w:lang w:eastAsia="zh-CN"/>
        </w:rPr>
        <w:t> </w:t>
      </w:r>
      <w:r w:rsidRPr="004A3269">
        <w:rPr>
          <w:rFonts w:eastAsia="SimSun"/>
          <w:lang w:eastAsia="zh-CN"/>
        </w:rPr>
        <w:t>IPSAS, les recettes provenant des contributions volontaires au titre des comptes spéciaux sont comptabilisées au fur et à mesure que les conditions figurant dans les accords conclus avec les donateurs sont remplies et que les dépenses sont encourues conformément au programme de travail</w:t>
      </w:r>
      <w:r w:rsidR="00A0797A" w:rsidRPr="004A3269">
        <w:rPr>
          <w:rFonts w:eastAsia="SimSun"/>
          <w:lang w:eastAsia="zh-CN"/>
        </w:rPr>
        <w:t xml:space="preserve">.  </w:t>
      </w:r>
      <w:r w:rsidRPr="004A3269">
        <w:rPr>
          <w:rFonts w:eastAsia="SimSun"/>
          <w:lang w:eastAsia="zh-CN"/>
        </w:rPr>
        <w:t>Lorsque le montant des contributions reçues dépasse le coût du travail accompli, les contributions sont traitées comme des recettes différées, se soldant par une réduction du résultat pour l</w:t>
      </w:r>
      <w:r w:rsidR="009021AA" w:rsidRPr="004A3269">
        <w:rPr>
          <w:rFonts w:eastAsia="SimSun"/>
          <w:lang w:eastAsia="zh-CN"/>
        </w:rPr>
        <w:t>’</w:t>
      </w:r>
      <w:r w:rsidRPr="004A3269">
        <w:rPr>
          <w:rFonts w:eastAsia="SimSun"/>
          <w:lang w:eastAsia="zh-CN"/>
        </w:rPr>
        <w:t>année de 0,8</w:t>
      </w:r>
      <w:r w:rsidR="00065045" w:rsidRPr="004A3269">
        <w:rPr>
          <w:rFonts w:eastAsia="SimSun"/>
          <w:lang w:eastAsia="zh-CN"/>
        </w:rPr>
        <w:t> </w:t>
      </w:r>
      <w:r w:rsidRPr="004A3269">
        <w:rPr>
          <w:rFonts w:eastAsia="SimSun"/>
          <w:lang w:eastAsia="zh-CN"/>
        </w:rPr>
        <w:t>million de francs suisses.</w:t>
      </w:r>
    </w:p>
    <w:p w:rsidR="009021AA" w:rsidRPr="004A3269" w:rsidRDefault="00424A1A" w:rsidP="003D7C06">
      <w:pPr>
        <w:numPr>
          <w:ilvl w:val="0"/>
          <w:numId w:val="8"/>
        </w:numPr>
        <w:tabs>
          <w:tab w:val="clear" w:pos="1174"/>
          <w:tab w:val="num" w:pos="1134"/>
        </w:tabs>
        <w:spacing w:after="220"/>
        <w:ind w:left="1134" w:hanging="567"/>
        <w:jc w:val="both"/>
        <w:rPr>
          <w:rFonts w:eastAsia="SimSun"/>
          <w:lang w:eastAsia="zh-CN"/>
        </w:rPr>
      </w:pPr>
      <w:r w:rsidRPr="004A3269">
        <w:rPr>
          <w:rFonts w:eastAsia="SimSun"/>
          <w:lang w:eastAsia="zh-CN"/>
        </w:rPr>
        <w:t>Dans l</w:t>
      </w:r>
      <w:r w:rsidR="009021AA" w:rsidRPr="004A3269">
        <w:rPr>
          <w:rFonts w:eastAsia="SimSun"/>
          <w:lang w:eastAsia="zh-CN"/>
        </w:rPr>
        <w:t>’</w:t>
      </w:r>
      <w:r w:rsidRPr="004A3269">
        <w:rPr>
          <w:rFonts w:eastAsia="SimSun"/>
          <w:lang w:eastAsia="zh-CN"/>
        </w:rPr>
        <w:t>application des normes</w:t>
      </w:r>
      <w:r w:rsidR="00067463" w:rsidRPr="004A3269">
        <w:rPr>
          <w:rFonts w:eastAsia="SimSun"/>
          <w:lang w:eastAsia="zh-CN"/>
        </w:rPr>
        <w:t> </w:t>
      </w:r>
      <w:r w:rsidRPr="004A3269">
        <w:rPr>
          <w:rFonts w:eastAsia="SimSun"/>
          <w:lang w:eastAsia="zh-CN"/>
        </w:rPr>
        <w:t>IPSAS, les recettes provenant des taxes sont différées jusqu</w:t>
      </w:r>
      <w:r w:rsidR="009021AA" w:rsidRPr="004A3269">
        <w:rPr>
          <w:rFonts w:eastAsia="SimSun"/>
          <w:lang w:eastAsia="zh-CN"/>
        </w:rPr>
        <w:t>’</w:t>
      </w:r>
      <w:r w:rsidRPr="004A3269">
        <w:rPr>
          <w:rFonts w:eastAsia="SimSun"/>
          <w:lang w:eastAsia="zh-CN"/>
        </w:rPr>
        <w:t>à ce qu</w:t>
      </w:r>
      <w:r w:rsidR="009021AA" w:rsidRPr="004A3269">
        <w:rPr>
          <w:rFonts w:eastAsia="SimSun"/>
          <w:lang w:eastAsia="zh-CN"/>
        </w:rPr>
        <w:t>’</w:t>
      </w:r>
      <w:r w:rsidRPr="004A3269">
        <w:rPr>
          <w:rFonts w:eastAsia="SimSun"/>
          <w:lang w:eastAsia="zh-CN"/>
        </w:rPr>
        <w:t>elles soient jugées avoir été gagnées, ce qui, dans le cas des demandes internationales, est la date de la publication finale.</w:t>
      </w:r>
      <w:r w:rsidR="00337DEF" w:rsidRPr="004A3269">
        <w:rPr>
          <w:rFonts w:eastAsia="SimSun"/>
        </w:rPr>
        <w:t xml:space="preserve"> </w:t>
      </w:r>
      <w:r w:rsidRPr="004A3269">
        <w:rPr>
          <w:rFonts w:eastAsia="SimSun"/>
          <w:lang w:eastAsia="zh-CN"/>
        </w:rPr>
        <w:t xml:space="preserve"> Pour les demandes selon</w:t>
      </w:r>
      <w:r w:rsidR="009021AA" w:rsidRPr="004A3269">
        <w:rPr>
          <w:rFonts w:eastAsia="SimSun"/>
          <w:lang w:eastAsia="zh-CN"/>
        </w:rPr>
        <w:t xml:space="preserve"> le PCT</w:t>
      </w:r>
      <w:r w:rsidRPr="004A3269">
        <w:rPr>
          <w:rFonts w:eastAsia="SimSun"/>
          <w:lang w:eastAsia="zh-CN"/>
        </w:rPr>
        <w:t>, une créance est également comptabilisée lorsqu</w:t>
      </w:r>
      <w:r w:rsidR="009021AA" w:rsidRPr="004A3269">
        <w:rPr>
          <w:rFonts w:eastAsia="SimSun"/>
          <w:lang w:eastAsia="zh-CN"/>
        </w:rPr>
        <w:t>’</w:t>
      </w:r>
      <w:r w:rsidRPr="004A3269">
        <w:rPr>
          <w:rFonts w:eastAsia="SimSun"/>
          <w:lang w:eastAsia="zh-CN"/>
        </w:rPr>
        <w:t>une demande a été déposée sans qu</w:t>
      </w:r>
      <w:r w:rsidR="009021AA" w:rsidRPr="004A3269">
        <w:rPr>
          <w:rFonts w:eastAsia="SimSun"/>
          <w:lang w:eastAsia="zh-CN"/>
        </w:rPr>
        <w:t>’</w:t>
      </w:r>
      <w:r w:rsidRPr="004A3269">
        <w:rPr>
          <w:rFonts w:eastAsia="SimSun"/>
          <w:lang w:eastAsia="zh-CN"/>
        </w:rPr>
        <w:t>aucune taxe n</w:t>
      </w:r>
      <w:r w:rsidR="009021AA" w:rsidRPr="004A3269">
        <w:rPr>
          <w:rFonts w:eastAsia="SimSun"/>
          <w:lang w:eastAsia="zh-CN"/>
        </w:rPr>
        <w:t>’</w:t>
      </w:r>
      <w:r w:rsidRPr="004A3269">
        <w:rPr>
          <w:rFonts w:eastAsia="SimSun"/>
          <w:lang w:eastAsia="zh-CN"/>
        </w:rPr>
        <w:t>ait été perçue par l</w:t>
      </w:r>
      <w:r w:rsidR="009021AA" w:rsidRPr="004A3269">
        <w:rPr>
          <w:rFonts w:eastAsia="SimSun"/>
          <w:lang w:eastAsia="zh-CN"/>
        </w:rPr>
        <w:t>’</w:t>
      </w:r>
      <w:r w:rsidRPr="004A3269">
        <w:rPr>
          <w:rFonts w:eastAsia="SimSun"/>
          <w:lang w:eastAsia="zh-CN"/>
        </w:rPr>
        <w:t>Organisation.</w:t>
      </w:r>
    </w:p>
    <w:p w:rsidR="00267140" w:rsidRPr="004A3269" w:rsidRDefault="00424A1A" w:rsidP="003D7C06">
      <w:pPr>
        <w:spacing w:after="220"/>
        <w:ind w:left="1134"/>
        <w:jc w:val="both"/>
        <w:rPr>
          <w:rFonts w:eastAsia="SimSun"/>
          <w:lang w:eastAsia="zh-CN"/>
        </w:rPr>
      </w:pPr>
      <w:r w:rsidRPr="004A3269">
        <w:rPr>
          <w:rFonts w:eastAsia="SimSun"/>
          <w:lang w:eastAsia="zh-CN"/>
        </w:rPr>
        <w:t xml:space="preserve">Le solde des recettes différées provenant des taxes (PCT, marques, dessins et modèles industriels) </w:t>
      </w:r>
      <w:r w:rsidR="00221DD2" w:rsidRPr="004A3269">
        <w:rPr>
          <w:rFonts w:eastAsia="SimSun"/>
          <w:lang w:eastAsia="zh-CN"/>
        </w:rPr>
        <w:t xml:space="preserve">a augmenté, </w:t>
      </w:r>
      <w:r w:rsidRPr="004A3269">
        <w:rPr>
          <w:rFonts w:eastAsia="SimSun"/>
          <w:lang w:eastAsia="zh-CN"/>
        </w:rPr>
        <w:t>pass</w:t>
      </w:r>
      <w:r w:rsidR="00221DD2" w:rsidRPr="004A3269">
        <w:rPr>
          <w:rFonts w:eastAsia="SimSun"/>
          <w:lang w:eastAsia="zh-CN"/>
        </w:rPr>
        <w:t>ant</w:t>
      </w:r>
      <w:r w:rsidRPr="004A3269">
        <w:rPr>
          <w:rFonts w:eastAsia="SimSun"/>
          <w:lang w:eastAsia="zh-CN"/>
        </w:rPr>
        <w:t xml:space="preserve"> de 198,5</w:t>
      </w:r>
      <w:r w:rsidR="00065045" w:rsidRPr="004A3269">
        <w:rPr>
          <w:rFonts w:eastAsia="SimSun"/>
          <w:lang w:eastAsia="zh-CN"/>
        </w:rPr>
        <w:t> </w:t>
      </w:r>
      <w:r w:rsidRPr="004A3269">
        <w:rPr>
          <w:rFonts w:eastAsia="SimSun"/>
          <w:lang w:eastAsia="zh-CN"/>
        </w:rPr>
        <w:t>m</w:t>
      </w:r>
      <w:r w:rsidR="00065045" w:rsidRPr="004A3269">
        <w:rPr>
          <w:rFonts w:eastAsia="SimSun"/>
          <w:lang w:eastAsia="zh-CN"/>
        </w:rPr>
        <w:t>illions de francs suisses au 31 </w:t>
      </w:r>
      <w:r w:rsidRPr="004A3269">
        <w:rPr>
          <w:rFonts w:eastAsia="SimSun"/>
          <w:lang w:eastAsia="zh-CN"/>
        </w:rPr>
        <w:t>décembre</w:t>
      </w:r>
      <w:r w:rsidR="00065045" w:rsidRPr="004A3269">
        <w:rPr>
          <w:rFonts w:eastAsia="SimSun"/>
          <w:lang w:eastAsia="zh-CN"/>
        </w:rPr>
        <w:t> 2013 à </w:t>
      </w:r>
      <w:r w:rsidRPr="004A3269">
        <w:rPr>
          <w:rFonts w:eastAsia="SimSun"/>
          <w:lang w:eastAsia="zh-CN"/>
        </w:rPr>
        <w:t>203,7</w:t>
      </w:r>
      <w:r w:rsidR="00065045" w:rsidRPr="004A3269">
        <w:rPr>
          <w:rFonts w:eastAsia="SimSun"/>
          <w:lang w:eastAsia="zh-CN"/>
        </w:rPr>
        <w:t> </w:t>
      </w:r>
      <w:r w:rsidRPr="004A3269">
        <w:rPr>
          <w:rFonts w:eastAsia="SimSun"/>
          <w:lang w:eastAsia="zh-CN"/>
        </w:rPr>
        <w:t>millions au 31</w:t>
      </w:r>
      <w:r w:rsidR="00065045" w:rsidRPr="004A3269">
        <w:rPr>
          <w:rFonts w:eastAsia="SimSun"/>
          <w:lang w:eastAsia="zh-CN"/>
        </w:rPr>
        <w:t> </w:t>
      </w:r>
      <w:r w:rsidRPr="004A3269">
        <w:rPr>
          <w:rFonts w:eastAsia="SimSun"/>
          <w:lang w:eastAsia="zh-CN"/>
        </w:rPr>
        <w:t>décembre</w:t>
      </w:r>
      <w:r w:rsidR="00065045" w:rsidRPr="004A3269">
        <w:rPr>
          <w:rFonts w:eastAsia="SimSun"/>
          <w:lang w:eastAsia="zh-CN"/>
        </w:rPr>
        <w:t> </w:t>
      </w:r>
      <w:r w:rsidRPr="004A3269">
        <w:rPr>
          <w:rFonts w:eastAsia="SimSun"/>
          <w:lang w:eastAsia="zh-CN"/>
        </w:rPr>
        <w:t>2014.</w:t>
      </w:r>
      <w:r w:rsidR="00B9245C" w:rsidRPr="004A3269">
        <w:rPr>
          <w:rFonts w:eastAsia="SimSun"/>
          <w:lang w:eastAsia="zh-CN"/>
        </w:rPr>
        <w:t xml:space="preserve">  </w:t>
      </w:r>
      <w:r w:rsidRPr="004A3269">
        <w:rPr>
          <w:rFonts w:eastAsia="SimSun"/>
          <w:lang w:eastAsia="zh-CN"/>
        </w:rPr>
        <w:t>Durant la même période, le montant des créances provenant des taxes PCT est passé de 62,4</w:t>
      </w:r>
      <w:r w:rsidR="00065045" w:rsidRPr="004A3269">
        <w:rPr>
          <w:rFonts w:eastAsia="SimSun"/>
          <w:lang w:eastAsia="zh-CN"/>
        </w:rPr>
        <w:t> </w:t>
      </w:r>
      <w:r w:rsidRPr="004A3269">
        <w:rPr>
          <w:rFonts w:eastAsia="SimSun"/>
          <w:lang w:eastAsia="zh-CN"/>
        </w:rPr>
        <w:t>millions de francs suisses à 46,7</w:t>
      </w:r>
      <w:r w:rsidR="00065045" w:rsidRPr="004A3269">
        <w:rPr>
          <w:rFonts w:eastAsia="SimSun"/>
          <w:lang w:eastAsia="zh-CN"/>
        </w:rPr>
        <w:t> </w:t>
      </w:r>
      <w:r w:rsidRPr="004A3269">
        <w:rPr>
          <w:rFonts w:eastAsia="SimSun"/>
          <w:lang w:eastAsia="zh-CN"/>
        </w:rPr>
        <w:t>millions.</w:t>
      </w:r>
      <w:r w:rsidR="00B9245C" w:rsidRPr="004A3269">
        <w:rPr>
          <w:rFonts w:eastAsia="SimSun"/>
        </w:rPr>
        <w:t xml:space="preserve"> </w:t>
      </w:r>
      <w:r w:rsidR="00BD3142" w:rsidRPr="004A3269">
        <w:rPr>
          <w:rFonts w:eastAsia="SimSun"/>
        </w:rPr>
        <w:t xml:space="preserve"> </w:t>
      </w:r>
      <w:r w:rsidR="00BD3142" w:rsidRPr="004A3269">
        <w:rPr>
          <w:rStyle w:val="hps"/>
        </w:rPr>
        <w:t>Une partie de cette</w:t>
      </w:r>
      <w:r w:rsidR="00BD3142" w:rsidRPr="004A3269">
        <w:t xml:space="preserve"> </w:t>
      </w:r>
      <w:r w:rsidR="00BD3142" w:rsidRPr="004A3269">
        <w:rPr>
          <w:rStyle w:val="hps"/>
        </w:rPr>
        <w:t>diminution des créances</w:t>
      </w:r>
      <w:r w:rsidR="00BD3142" w:rsidRPr="004A3269">
        <w:t xml:space="preserve"> </w:t>
      </w:r>
      <w:r w:rsidR="00BD3142" w:rsidRPr="004A3269">
        <w:rPr>
          <w:rStyle w:val="hps"/>
        </w:rPr>
        <w:t>était due</w:t>
      </w:r>
      <w:r w:rsidR="00BD3142" w:rsidRPr="004A3269">
        <w:t xml:space="preserve"> </w:t>
      </w:r>
      <w:r w:rsidR="00DE4AF0" w:rsidRPr="004A3269">
        <w:rPr>
          <w:rStyle w:val="hps"/>
        </w:rPr>
        <w:t>à la compensation</w:t>
      </w:r>
      <w:r w:rsidR="00BD3142" w:rsidRPr="004A3269">
        <w:t xml:space="preserve"> </w:t>
      </w:r>
      <w:r w:rsidR="00BD3142" w:rsidRPr="004A3269">
        <w:rPr>
          <w:rStyle w:val="hps"/>
        </w:rPr>
        <w:t>d</w:t>
      </w:r>
      <w:r w:rsidR="009021AA" w:rsidRPr="004A3269">
        <w:rPr>
          <w:rStyle w:val="hps"/>
        </w:rPr>
        <w:t>’</w:t>
      </w:r>
      <w:r w:rsidR="00BD3142" w:rsidRPr="004A3269">
        <w:rPr>
          <w:rStyle w:val="hps"/>
        </w:rPr>
        <w:t>une partie</w:t>
      </w:r>
      <w:r w:rsidR="00BD3142" w:rsidRPr="004A3269">
        <w:t xml:space="preserve"> </w:t>
      </w:r>
      <w:r w:rsidR="00BD3142" w:rsidRPr="004A3269">
        <w:rPr>
          <w:rStyle w:val="hps"/>
        </w:rPr>
        <w:t>des comptes courants</w:t>
      </w:r>
      <w:r w:rsidR="009021AA" w:rsidRPr="004A3269">
        <w:t xml:space="preserve"> </w:t>
      </w:r>
      <w:r w:rsidR="009021AA" w:rsidRPr="004A3269">
        <w:rPr>
          <w:rStyle w:val="hps"/>
        </w:rPr>
        <w:t>du</w:t>
      </w:r>
      <w:r w:rsidR="009021AA" w:rsidRPr="004A3269">
        <w:t> </w:t>
      </w:r>
      <w:r w:rsidR="009021AA" w:rsidRPr="004A3269">
        <w:rPr>
          <w:rStyle w:val="hps"/>
        </w:rPr>
        <w:t>PCT</w:t>
      </w:r>
      <w:r w:rsidR="00BD3142" w:rsidRPr="004A3269">
        <w:t xml:space="preserve"> </w:t>
      </w:r>
      <w:r w:rsidR="00DE4AF0" w:rsidRPr="004A3269">
        <w:rPr>
          <w:rStyle w:val="hps"/>
        </w:rPr>
        <w:t>à hauteur</w:t>
      </w:r>
      <w:r w:rsidR="00BD3142" w:rsidRPr="004A3269">
        <w:t xml:space="preserve"> </w:t>
      </w:r>
      <w:r w:rsidR="00BD3142" w:rsidRPr="004A3269">
        <w:rPr>
          <w:rStyle w:val="hps"/>
        </w:rPr>
        <w:t>de 3,9</w:t>
      </w:r>
      <w:r w:rsidR="00BD3142" w:rsidRPr="004A3269">
        <w:t> </w:t>
      </w:r>
      <w:r w:rsidR="00BD3142" w:rsidRPr="004A3269">
        <w:rPr>
          <w:rStyle w:val="hps"/>
        </w:rPr>
        <w:t>millions de francs suisses</w:t>
      </w:r>
      <w:r w:rsidR="00BD3142" w:rsidRPr="004A3269">
        <w:t xml:space="preserve"> </w:t>
      </w:r>
      <w:r w:rsidR="00BD3142" w:rsidRPr="004A3269">
        <w:rPr>
          <w:rStyle w:val="hps"/>
        </w:rPr>
        <w:t>au 31</w:t>
      </w:r>
      <w:r w:rsidR="00BD3142" w:rsidRPr="004A3269">
        <w:t> d</w:t>
      </w:r>
      <w:r w:rsidR="00BD3142" w:rsidRPr="004A3269">
        <w:rPr>
          <w:rStyle w:val="hps"/>
        </w:rPr>
        <w:t>écembre</w:t>
      </w:r>
      <w:r w:rsidR="00BD3142" w:rsidRPr="004A3269">
        <w:t> </w:t>
      </w:r>
      <w:r w:rsidR="00BD3142" w:rsidRPr="004A3269">
        <w:rPr>
          <w:rStyle w:val="hps"/>
        </w:rPr>
        <w:t>2014,</w:t>
      </w:r>
      <w:r w:rsidR="00BD3142" w:rsidRPr="004A3269">
        <w:t xml:space="preserve"> </w:t>
      </w:r>
      <w:r w:rsidR="00BD3142" w:rsidRPr="004A3269">
        <w:rPr>
          <w:rStyle w:val="hps"/>
        </w:rPr>
        <w:t>où une partie des</w:t>
      </w:r>
      <w:r w:rsidR="00BD3142" w:rsidRPr="004A3269">
        <w:t xml:space="preserve"> </w:t>
      </w:r>
      <w:r w:rsidR="00BD3142" w:rsidRPr="004A3269">
        <w:rPr>
          <w:rStyle w:val="hps"/>
        </w:rPr>
        <w:t>soldes des comptes courants</w:t>
      </w:r>
      <w:r w:rsidR="00BD3142" w:rsidRPr="004A3269">
        <w:t xml:space="preserve"> </w:t>
      </w:r>
      <w:r w:rsidR="00BD3142" w:rsidRPr="004A3269">
        <w:rPr>
          <w:rStyle w:val="hps"/>
        </w:rPr>
        <w:t>ont été identifiés</w:t>
      </w:r>
      <w:r w:rsidR="00BD3142" w:rsidRPr="004A3269">
        <w:t xml:space="preserve"> </w:t>
      </w:r>
      <w:r w:rsidR="00BD3142" w:rsidRPr="004A3269">
        <w:rPr>
          <w:rStyle w:val="hps"/>
        </w:rPr>
        <w:t>comme se rapportant</w:t>
      </w:r>
      <w:r w:rsidR="00BD3142" w:rsidRPr="004A3269">
        <w:t xml:space="preserve"> </w:t>
      </w:r>
      <w:r w:rsidR="00BD3142" w:rsidRPr="004A3269">
        <w:rPr>
          <w:rStyle w:val="hps"/>
        </w:rPr>
        <w:t>aux demandes déposées</w:t>
      </w:r>
      <w:r w:rsidR="00B226DF" w:rsidRPr="004A3269">
        <w:rPr>
          <w:rFonts w:eastAsia="SimSun"/>
          <w:lang w:eastAsia="zh-CN"/>
        </w:rPr>
        <w:t>.</w:t>
      </w:r>
      <w:r w:rsidR="00B9245C" w:rsidRPr="004A3269">
        <w:rPr>
          <w:rFonts w:eastAsia="SimSun"/>
          <w:lang w:eastAsia="zh-CN"/>
        </w:rPr>
        <w:t xml:space="preserve"> </w:t>
      </w:r>
      <w:r w:rsidR="00BD3142" w:rsidRPr="004A3269">
        <w:rPr>
          <w:rFonts w:eastAsia="SimSun"/>
          <w:lang w:eastAsia="zh-CN"/>
        </w:rPr>
        <w:t xml:space="preserve"> </w:t>
      </w:r>
      <w:r w:rsidRPr="004A3269">
        <w:rPr>
          <w:rFonts w:eastAsia="SimSun"/>
          <w:lang w:eastAsia="zh-CN"/>
        </w:rPr>
        <w:t>L</w:t>
      </w:r>
      <w:r w:rsidR="009021AA" w:rsidRPr="004A3269">
        <w:rPr>
          <w:rFonts w:eastAsia="SimSun"/>
          <w:lang w:eastAsia="zh-CN"/>
        </w:rPr>
        <w:t>’</w:t>
      </w:r>
      <w:r w:rsidRPr="004A3269">
        <w:rPr>
          <w:rFonts w:eastAsia="SimSun"/>
          <w:lang w:eastAsia="zh-CN"/>
        </w:rPr>
        <w:t>impact net est une diminution des recettes de 17,0</w:t>
      </w:r>
      <w:r w:rsidR="00065045" w:rsidRPr="004A3269">
        <w:rPr>
          <w:rFonts w:eastAsia="SimSun"/>
          <w:lang w:eastAsia="zh-CN"/>
        </w:rPr>
        <w:t> </w:t>
      </w:r>
      <w:r w:rsidRPr="004A3269">
        <w:rPr>
          <w:rFonts w:eastAsia="SimSun"/>
          <w:lang w:eastAsia="zh-CN"/>
        </w:rPr>
        <w:t>millions de francs suisses.</w:t>
      </w:r>
    </w:p>
    <w:p w:rsidR="009021AA" w:rsidRPr="004A3269" w:rsidRDefault="00424A1A" w:rsidP="003D7C06">
      <w:pPr>
        <w:spacing w:after="220"/>
        <w:ind w:left="1134"/>
        <w:jc w:val="both"/>
        <w:rPr>
          <w:rFonts w:eastAsia="SimSun"/>
          <w:lang w:eastAsia="zh-CN"/>
        </w:rPr>
      </w:pPr>
      <w:r w:rsidRPr="004A3269">
        <w:rPr>
          <w:rFonts w:eastAsia="SimSun"/>
          <w:lang w:eastAsia="zh-CN"/>
        </w:rPr>
        <w:lastRenderedPageBreak/>
        <w:t>En</w:t>
      </w:r>
      <w:r w:rsidR="00067463" w:rsidRPr="004A3269">
        <w:rPr>
          <w:rFonts w:eastAsia="SimSun"/>
          <w:lang w:eastAsia="zh-CN"/>
        </w:rPr>
        <w:t> </w:t>
      </w:r>
      <w:r w:rsidRPr="004A3269">
        <w:rPr>
          <w:rFonts w:eastAsia="SimSun"/>
          <w:lang w:eastAsia="zh-CN"/>
        </w:rPr>
        <w:t>2014, des recettes différées de 1,1</w:t>
      </w:r>
      <w:r w:rsidR="00065045" w:rsidRPr="004A3269">
        <w:rPr>
          <w:rFonts w:eastAsia="SimSun"/>
          <w:lang w:eastAsia="zh-CN"/>
        </w:rPr>
        <w:t> </w:t>
      </w:r>
      <w:r w:rsidRPr="004A3269">
        <w:rPr>
          <w:rFonts w:eastAsia="SimSun"/>
          <w:lang w:eastAsia="zh-CN"/>
        </w:rPr>
        <w:t>million de francs suisses ont également été comptabilisées pour ce qui est du financement de constructions sécuritaires par la Fondation des immeubles pour les organisations internationales (FIPOI).</w:t>
      </w:r>
      <w:r w:rsidR="00374F72" w:rsidRPr="004A3269">
        <w:rPr>
          <w:rFonts w:eastAsia="SimSun"/>
        </w:rPr>
        <w:t xml:space="preserve"> </w:t>
      </w:r>
      <w:r w:rsidRPr="004A3269">
        <w:rPr>
          <w:rFonts w:eastAsia="SimSun"/>
          <w:lang w:eastAsia="zh-CN"/>
        </w:rPr>
        <w:t xml:space="preserve"> En résumé, l</w:t>
      </w:r>
      <w:r w:rsidR="009021AA" w:rsidRPr="004A3269">
        <w:rPr>
          <w:rFonts w:eastAsia="SimSun"/>
          <w:lang w:eastAsia="zh-CN"/>
        </w:rPr>
        <w:t>’</w:t>
      </w:r>
      <w:r w:rsidRPr="004A3269">
        <w:rPr>
          <w:rFonts w:eastAsia="SimSun"/>
          <w:lang w:eastAsia="zh-CN"/>
        </w:rPr>
        <w:t>ajustement de 18,1</w:t>
      </w:r>
      <w:r w:rsidR="00065045" w:rsidRPr="004A3269">
        <w:rPr>
          <w:rFonts w:eastAsia="SimSun"/>
          <w:lang w:eastAsia="zh-CN"/>
        </w:rPr>
        <w:t> </w:t>
      </w:r>
      <w:r w:rsidRPr="004A3269">
        <w:rPr>
          <w:rFonts w:eastAsia="SimSun"/>
          <w:lang w:eastAsia="zh-CN"/>
        </w:rPr>
        <w:t>millions de francs suisses pour le report de recettes se présente comme suit</w:t>
      </w:r>
      <w:r w:rsidR="00A0797A" w:rsidRPr="004A3269">
        <w:rPr>
          <w:rFonts w:eastAsia="SimSun"/>
          <w:lang w:eastAsia="zh-CN"/>
        </w:rPr>
        <w:t> :</w:t>
      </w:r>
    </w:p>
    <w:p w:rsidR="00267140" w:rsidRPr="004A3269" w:rsidRDefault="00D54141" w:rsidP="00407191">
      <w:pPr>
        <w:spacing w:after="220"/>
        <w:ind w:left="720"/>
        <w:jc w:val="center"/>
        <w:rPr>
          <w:rFonts w:eastAsia="SimSun"/>
          <w:szCs w:val="22"/>
          <w:u w:val="single"/>
          <w:lang w:eastAsia="zh-CN"/>
        </w:rPr>
      </w:pPr>
      <w:r w:rsidRPr="004A3269">
        <w:rPr>
          <w:rFonts w:eastAsia="SimSun"/>
          <w:u w:val="single"/>
          <w:lang w:eastAsia="zh-CN"/>
        </w:rPr>
        <w:t>Synthèse des ajustements IPSAS pour les recettes différées (</w:t>
      </w:r>
      <w:r w:rsidR="00791E76" w:rsidRPr="004A3269">
        <w:rPr>
          <w:rFonts w:eastAsia="SimSun"/>
          <w:u w:val="single"/>
          <w:lang w:eastAsia="zh-CN"/>
        </w:rPr>
        <w:t>2014</w:t>
      </w:r>
      <w:r w:rsidRPr="004A3269">
        <w:rPr>
          <w:rFonts w:eastAsia="SimSun"/>
          <w:u w:val="single"/>
          <w:lang w:eastAsia="zh-CN"/>
        </w:rPr>
        <w:t>)</w:t>
      </w:r>
    </w:p>
    <w:p w:rsidR="004953F8" w:rsidRPr="004A3269" w:rsidRDefault="004953F8" w:rsidP="00996523">
      <w:pPr>
        <w:ind w:left="720"/>
        <w:jc w:val="center"/>
        <w:rPr>
          <w:rFonts w:eastAsia="SimSun"/>
          <w:szCs w:val="22"/>
          <w:lang w:eastAsia="zh-CN"/>
        </w:rPr>
      </w:pPr>
      <w:r w:rsidRPr="004A3269">
        <w:rPr>
          <w:rFonts w:eastAsia="SimSun"/>
          <w:noProof/>
          <w:lang w:val="en-US"/>
        </w:rPr>
        <w:drawing>
          <wp:inline distT="0" distB="0" distL="0" distR="0" wp14:anchorId="3046C407" wp14:editId="25DB0DCC">
            <wp:extent cx="5074285" cy="1332865"/>
            <wp:effectExtent l="0" t="0" r="0" b="63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4285" cy="1332865"/>
                    </a:xfrm>
                    <a:prstGeom prst="rect">
                      <a:avLst/>
                    </a:prstGeom>
                    <a:noFill/>
                    <a:ln>
                      <a:noFill/>
                    </a:ln>
                  </pic:spPr>
                </pic:pic>
              </a:graphicData>
            </a:graphic>
          </wp:inline>
        </w:drawing>
      </w:r>
    </w:p>
    <w:p w:rsidR="004953F8" w:rsidRPr="004A3269" w:rsidRDefault="004953F8" w:rsidP="00996523">
      <w:pPr>
        <w:ind w:left="720"/>
        <w:jc w:val="center"/>
        <w:rPr>
          <w:rFonts w:eastAsia="SimSun"/>
          <w:szCs w:val="22"/>
          <w:lang w:eastAsia="zh-CN"/>
        </w:rPr>
      </w:pPr>
    </w:p>
    <w:p w:rsidR="00267140" w:rsidRPr="004A3269" w:rsidRDefault="00424A1A" w:rsidP="003D7C06">
      <w:pPr>
        <w:numPr>
          <w:ilvl w:val="0"/>
          <w:numId w:val="9"/>
        </w:numPr>
        <w:tabs>
          <w:tab w:val="clear" w:pos="1174"/>
          <w:tab w:val="num" w:pos="1134"/>
        </w:tabs>
        <w:ind w:left="1134" w:hanging="567"/>
        <w:jc w:val="both"/>
        <w:rPr>
          <w:rFonts w:eastAsia="SimSun"/>
          <w:szCs w:val="22"/>
          <w:lang w:eastAsia="zh-CN"/>
        </w:rPr>
      </w:pPr>
      <w:r w:rsidRPr="004A3269">
        <w:rPr>
          <w:rFonts w:eastAsia="SimSun"/>
          <w:lang w:eastAsia="zh-CN"/>
        </w:rPr>
        <w:t>Le résultat pour 2014 sur la base des normes</w:t>
      </w:r>
      <w:r w:rsidR="00067463" w:rsidRPr="004A3269">
        <w:rPr>
          <w:rFonts w:eastAsia="SimSun"/>
          <w:lang w:eastAsia="zh-CN"/>
        </w:rPr>
        <w:t> </w:t>
      </w:r>
      <w:r w:rsidRPr="004A3269">
        <w:rPr>
          <w:rFonts w:eastAsia="SimSun"/>
          <w:lang w:eastAsia="zh-CN"/>
        </w:rPr>
        <w:t>IPSAS inclut la charge d</w:t>
      </w:r>
      <w:r w:rsidR="009021AA" w:rsidRPr="004A3269">
        <w:rPr>
          <w:rFonts w:eastAsia="SimSun"/>
          <w:lang w:eastAsia="zh-CN"/>
        </w:rPr>
        <w:t>’</w:t>
      </w:r>
      <w:r w:rsidRPr="004A3269">
        <w:rPr>
          <w:rFonts w:eastAsia="SimSun"/>
          <w:lang w:eastAsia="zh-CN"/>
        </w:rPr>
        <w:t>amortissement des bâtiments et du matériel ainsi que celle des actifs incorporels, le coût de ces immobilisations étant réparti sur leur durée de vie utile.</w:t>
      </w:r>
      <w:r w:rsidR="00B9245C" w:rsidRPr="004A3269">
        <w:rPr>
          <w:rFonts w:eastAsia="SimSun"/>
        </w:rPr>
        <w:t xml:space="preserve">  </w:t>
      </w:r>
      <w:r w:rsidRPr="004A3269">
        <w:rPr>
          <w:rFonts w:eastAsia="SimSun"/>
          <w:lang w:eastAsia="zh-CN"/>
        </w:rPr>
        <w:t>Le coût total de l</w:t>
      </w:r>
      <w:r w:rsidR="009021AA" w:rsidRPr="004A3269">
        <w:rPr>
          <w:rFonts w:eastAsia="SimSun"/>
          <w:lang w:eastAsia="zh-CN"/>
        </w:rPr>
        <w:t>’</w:t>
      </w:r>
      <w:r w:rsidRPr="004A3269">
        <w:rPr>
          <w:rFonts w:eastAsia="SimSun"/>
          <w:lang w:eastAsia="zh-CN"/>
        </w:rPr>
        <w:t>amortissement pour l</w:t>
      </w:r>
      <w:r w:rsidR="009021AA" w:rsidRPr="004A3269">
        <w:rPr>
          <w:rFonts w:eastAsia="SimSun"/>
          <w:lang w:eastAsia="zh-CN"/>
        </w:rPr>
        <w:t>’</w:t>
      </w:r>
      <w:r w:rsidRPr="004A3269">
        <w:rPr>
          <w:rFonts w:eastAsia="SimSun"/>
          <w:lang w:eastAsia="zh-CN"/>
        </w:rPr>
        <w:t>année a été de 9,1</w:t>
      </w:r>
      <w:r w:rsidR="00065045" w:rsidRPr="004A3269">
        <w:rPr>
          <w:rFonts w:eastAsia="SimSun"/>
          <w:lang w:eastAsia="zh-CN"/>
        </w:rPr>
        <w:t> </w:t>
      </w:r>
      <w:r w:rsidRPr="004A3269">
        <w:rPr>
          <w:rFonts w:eastAsia="SimSun"/>
          <w:lang w:eastAsia="zh-CN"/>
        </w:rPr>
        <w:t>millions de francs suisses.</w:t>
      </w:r>
    </w:p>
    <w:p w:rsidR="00267140" w:rsidRPr="004A3269" w:rsidRDefault="00267140" w:rsidP="003D7C06">
      <w:pPr>
        <w:tabs>
          <w:tab w:val="num" w:pos="1134"/>
        </w:tabs>
        <w:ind w:left="1134" w:hanging="567"/>
        <w:jc w:val="both"/>
        <w:rPr>
          <w:rFonts w:eastAsia="SimSun"/>
          <w:szCs w:val="22"/>
          <w:lang w:eastAsia="zh-CN"/>
        </w:rPr>
      </w:pPr>
    </w:p>
    <w:p w:rsidR="00267140" w:rsidRPr="004A3269" w:rsidRDefault="00424A1A" w:rsidP="003D7C06">
      <w:pPr>
        <w:numPr>
          <w:ilvl w:val="0"/>
          <w:numId w:val="10"/>
        </w:numPr>
        <w:tabs>
          <w:tab w:val="clear" w:pos="1174"/>
          <w:tab w:val="num" w:pos="1134"/>
        </w:tabs>
        <w:spacing w:after="220"/>
        <w:ind w:left="1134" w:hanging="567"/>
        <w:jc w:val="both"/>
        <w:rPr>
          <w:rFonts w:eastAsia="SimSun"/>
          <w:szCs w:val="22"/>
          <w:lang w:eastAsia="zh-CN"/>
        </w:rPr>
      </w:pPr>
      <w:r w:rsidRPr="004A3269">
        <w:rPr>
          <w:rFonts w:eastAsia="SimSun"/>
          <w:lang w:eastAsia="zh-CN"/>
        </w:rPr>
        <w:t>Les normes</w:t>
      </w:r>
      <w:r w:rsidR="00067463" w:rsidRPr="004A3269">
        <w:rPr>
          <w:rFonts w:eastAsia="SimSun"/>
          <w:lang w:eastAsia="zh-CN"/>
        </w:rPr>
        <w:t> </w:t>
      </w:r>
      <w:r w:rsidRPr="004A3269">
        <w:rPr>
          <w:rFonts w:eastAsia="SimSun"/>
          <w:lang w:eastAsia="zh-CN"/>
        </w:rPr>
        <w:t>IPSAS exigent que les prestations au personnel qui n</w:t>
      </w:r>
      <w:r w:rsidR="009021AA" w:rsidRPr="004A3269">
        <w:rPr>
          <w:rFonts w:eastAsia="SimSun"/>
          <w:lang w:eastAsia="zh-CN"/>
        </w:rPr>
        <w:t>’</w:t>
      </w:r>
      <w:r w:rsidRPr="004A3269">
        <w:rPr>
          <w:rFonts w:eastAsia="SimSun"/>
          <w:lang w:eastAsia="zh-CN"/>
        </w:rPr>
        <w:t>ont pas encore été payées soient comptabilisées sous la forme d</w:t>
      </w:r>
      <w:r w:rsidR="009021AA" w:rsidRPr="004A3269">
        <w:rPr>
          <w:rFonts w:eastAsia="SimSun"/>
          <w:lang w:eastAsia="zh-CN"/>
        </w:rPr>
        <w:t>’</w:t>
      </w:r>
      <w:r w:rsidRPr="004A3269">
        <w:rPr>
          <w:rFonts w:eastAsia="SimSun"/>
          <w:lang w:eastAsia="zh-CN"/>
        </w:rPr>
        <w:t>obligations de l</w:t>
      </w:r>
      <w:r w:rsidR="009021AA" w:rsidRPr="004A3269">
        <w:rPr>
          <w:rFonts w:eastAsia="SimSun"/>
          <w:lang w:eastAsia="zh-CN"/>
        </w:rPr>
        <w:t>’</w:t>
      </w:r>
      <w:r w:rsidRPr="004A3269">
        <w:rPr>
          <w:rFonts w:eastAsia="SimSun"/>
          <w:lang w:eastAsia="zh-CN"/>
        </w:rPr>
        <w:t>Organisation.</w:t>
      </w:r>
      <w:r w:rsidR="00D94BA8" w:rsidRPr="004A3269">
        <w:rPr>
          <w:rFonts w:eastAsia="SimSun"/>
        </w:rPr>
        <w:t xml:space="preserve">  </w:t>
      </w:r>
      <w:r w:rsidRPr="004A3269">
        <w:rPr>
          <w:rFonts w:eastAsia="SimSun"/>
          <w:lang w:eastAsia="zh-CN"/>
        </w:rPr>
        <w:t xml:space="preserve">Les ajustements IPSAS font concorder le total des passifs comptabilisés dans les états financiers avec les calculs IPSAS de ces passifs, </w:t>
      </w:r>
      <w:r w:rsidR="009021AA" w:rsidRPr="004A3269">
        <w:rPr>
          <w:rFonts w:eastAsia="SimSun"/>
          <w:lang w:eastAsia="zh-CN"/>
        </w:rPr>
        <w:t>y compris</w:t>
      </w:r>
      <w:r w:rsidRPr="004A3269">
        <w:rPr>
          <w:rFonts w:eastAsia="SimSun"/>
          <w:lang w:eastAsia="zh-CN"/>
        </w:rPr>
        <w:t xml:space="preserve"> ceux qui sont préparés par des actuaires externes.</w:t>
      </w:r>
      <w:r w:rsidR="006645DD" w:rsidRPr="004A3269">
        <w:rPr>
          <w:rFonts w:eastAsia="SimSun"/>
        </w:rPr>
        <w:t xml:space="preserve"> </w:t>
      </w:r>
      <w:r w:rsidR="00327107" w:rsidRPr="004A3269">
        <w:rPr>
          <w:rFonts w:eastAsia="SimSun"/>
        </w:rPr>
        <w:t xml:space="preserve"> </w:t>
      </w:r>
      <w:r w:rsidR="00B61A92" w:rsidRPr="004A3269">
        <w:rPr>
          <w:rFonts w:eastAsia="SimSun"/>
          <w:szCs w:val="22"/>
          <w:lang w:eastAsia="zh-CN"/>
        </w:rPr>
        <w:t>Les prestations au personnel comptabilisées sous la forme d</w:t>
      </w:r>
      <w:r w:rsidR="009021AA" w:rsidRPr="004A3269">
        <w:rPr>
          <w:rFonts w:eastAsia="SimSun"/>
          <w:szCs w:val="22"/>
          <w:lang w:eastAsia="zh-CN"/>
        </w:rPr>
        <w:t>’</w:t>
      </w:r>
      <w:r w:rsidR="00B61A92" w:rsidRPr="004A3269">
        <w:rPr>
          <w:rFonts w:eastAsia="SimSun"/>
          <w:szCs w:val="22"/>
          <w:lang w:eastAsia="zh-CN"/>
        </w:rPr>
        <w:t>obligations au titre des normes</w:t>
      </w:r>
      <w:r w:rsidR="00067463" w:rsidRPr="004A3269">
        <w:rPr>
          <w:rFonts w:eastAsia="SimSun"/>
          <w:szCs w:val="22"/>
          <w:lang w:eastAsia="zh-CN"/>
        </w:rPr>
        <w:t> </w:t>
      </w:r>
      <w:r w:rsidR="00B61A92" w:rsidRPr="004A3269">
        <w:rPr>
          <w:rFonts w:eastAsia="SimSun"/>
          <w:szCs w:val="22"/>
          <w:lang w:eastAsia="zh-CN"/>
        </w:rPr>
        <w:t xml:space="preserve">IPSAS </w:t>
      </w:r>
      <w:r w:rsidR="00DE4AF0" w:rsidRPr="004A3269">
        <w:rPr>
          <w:rStyle w:val="hps"/>
        </w:rPr>
        <w:t>(assurance</w:t>
      </w:r>
      <w:r w:rsidR="00A17552" w:rsidRPr="004A3269">
        <w:noBreakHyphen/>
      </w:r>
      <w:r w:rsidR="00B61A92" w:rsidRPr="004A3269">
        <w:t xml:space="preserve">maladie </w:t>
      </w:r>
      <w:r w:rsidR="00A74760" w:rsidRPr="004A3269">
        <w:t>après la cessation</w:t>
      </w:r>
      <w:r w:rsidR="00B61A92" w:rsidRPr="004A3269">
        <w:t xml:space="preserve"> de service</w:t>
      </w:r>
      <w:r w:rsidR="00DE4AF0" w:rsidRPr="004A3269">
        <w:t xml:space="preserve">, </w:t>
      </w:r>
      <w:r w:rsidR="00DE4AF0" w:rsidRPr="004A3269">
        <w:rPr>
          <w:rStyle w:val="hps"/>
        </w:rPr>
        <w:t>prime de rapatriement</w:t>
      </w:r>
      <w:r w:rsidR="00DE4AF0" w:rsidRPr="004A3269">
        <w:t xml:space="preserve"> </w:t>
      </w:r>
      <w:r w:rsidR="00B61A92" w:rsidRPr="004A3269">
        <w:rPr>
          <w:rStyle w:val="hps"/>
        </w:rPr>
        <w:t>et v</w:t>
      </w:r>
      <w:r w:rsidR="00DE4AF0" w:rsidRPr="004A3269">
        <w:rPr>
          <w:rStyle w:val="hps"/>
        </w:rPr>
        <w:t>oyage,</w:t>
      </w:r>
      <w:r w:rsidR="00DE4AF0" w:rsidRPr="004A3269">
        <w:t xml:space="preserve"> </w:t>
      </w:r>
      <w:r w:rsidR="00F95294" w:rsidRPr="004A3269">
        <w:t>somme cumulée</w:t>
      </w:r>
      <w:r w:rsidR="00B61A92" w:rsidRPr="004A3269">
        <w:t xml:space="preserve"> des </w:t>
      </w:r>
      <w:r w:rsidR="00DE4AF0" w:rsidRPr="004A3269">
        <w:rPr>
          <w:rStyle w:val="hps"/>
        </w:rPr>
        <w:t>congés</w:t>
      </w:r>
      <w:r w:rsidR="00B61A92" w:rsidRPr="004A3269">
        <w:rPr>
          <w:rStyle w:val="hps"/>
        </w:rPr>
        <w:t>, des</w:t>
      </w:r>
      <w:r w:rsidR="00DE4AF0" w:rsidRPr="004A3269">
        <w:t xml:space="preserve"> </w:t>
      </w:r>
      <w:r w:rsidR="00DE4AF0" w:rsidRPr="004A3269">
        <w:rPr>
          <w:rStyle w:val="hps"/>
        </w:rPr>
        <w:t>congé</w:t>
      </w:r>
      <w:r w:rsidR="00B61A92" w:rsidRPr="004A3269">
        <w:rPr>
          <w:rStyle w:val="hps"/>
        </w:rPr>
        <w:t>s</w:t>
      </w:r>
      <w:r w:rsidR="00DE4AF0" w:rsidRPr="004A3269">
        <w:rPr>
          <w:rStyle w:val="hps"/>
        </w:rPr>
        <w:t xml:space="preserve"> dans les foyers</w:t>
      </w:r>
      <w:r w:rsidR="00DE4AF0" w:rsidRPr="004A3269">
        <w:t xml:space="preserve">, </w:t>
      </w:r>
      <w:r w:rsidR="00B61A92" w:rsidRPr="004A3269">
        <w:rPr>
          <w:rStyle w:val="hps"/>
        </w:rPr>
        <w:t>des</w:t>
      </w:r>
      <w:r w:rsidR="00DE4AF0" w:rsidRPr="004A3269">
        <w:rPr>
          <w:rStyle w:val="hps"/>
        </w:rPr>
        <w:t xml:space="preserve"> heures supplémentaires et</w:t>
      </w:r>
      <w:r w:rsidR="00DE4AF0" w:rsidRPr="004A3269">
        <w:t xml:space="preserve"> </w:t>
      </w:r>
      <w:r w:rsidR="00DE4AF0" w:rsidRPr="004A3269">
        <w:rPr>
          <w:rStyle w:val="hps"/>
        </w:rPr>
        <w:t>caisse de retraite</w:t>
      </w:r>
      <w:r w:rsidR="00DE4AF0" w:rsidRPr="004A3269">
        <w:t xml:space="preserve"> </w:t>
      </w:r>
      <w:r w:rsidR="00DE4AF0" w:rsidRPr="004A3269">
        <w:rPr>
          <w:rStyle w:val="hps"/>
        </w:rPr>
        <w:t>fermée</w:t>
      </w:r>
      <w:r w:rsidR="00DE4AF0" w:rsidRPr="004A3269">
        <w:t xml:space="preserve">) </w:t>
      </w:r>
      <w:r w:rsidR="00B61A92" w:rsidRPr="004A3269">
        <w:t>ont</w:t>
      </w:r>
      <w:r w:rsidR="00DE4AF0" w:rsidRPr="004A3269">
        <w:t xml:space="preserve"> augmenté de </w:t>
      </w:r>
      <w:r w:rsidR="00B61A92" w:rsidRPr="004A3269">
        <w:rPr>
          <w:rStyle w:val="hps"/>
        </w:rPr>
        <w:t>10,2 </w:t>
      </w:r>
      <w:r w:rsidR="00DE4AF0" w:rsidRPr="004A3269">
        <w:rPr>
          <w:rStyle w:val="hps"/>
        </w:rPr>
        <w:t>millions de francs</w:t>
      </w:r>
      <w:r w:rsidR="00DE4AF0" w:rsidRPr="004A3269">
        <w:t xml:space="preserve"> </w:t>
      </w:r>
      <w:r w:rsidR="00DE4AF0" w:rsidRPr="004A3269">
        <w:rPr>
          <w:rStyle w:val="hps"/>
        </w:rPr>
        <w:t>suisses</w:t>
      </w:r>
      <w:r w:rsidR="00DE4AF0" w:rsidRPr="004A3269">
        <w:t xml:space="preserve"> </w:t>
      </w:r>
      <w:r w:rsidR="00DE4AF0" w:rsidRPr="004A3269">
        <w:rPr>
          <w:rStyle w:val="hps"/>
        </w:rPr>
        <w:t>au cours de</w:t>
      </w:r>
      <w:r w:rsidR="00DE4AF0" w:rsidRPr="004A3269">
        <w:t xml:space="preserve"> </w:t>
      </w:r>
      <w:r w:rsidR="00B61A92" w:rsidRPr="004A3269">
        <w:t>l</w:t>
      </w:r>
      <w:r w:rsidR="009021AA" w:rsidRPr="004A3269">
        <w:t>’</w:t>
      </w:r>
      <w:r w:rsidR="00B61A92" w:rsidRPr="004A3269">
        <w:t>année </w:t>
      </w:r>
      <w:r w:rsidR="00DE4AF0" w:rsidRPr="004A3269">
        <w:rPr>
          <w:rStyle w:val="hps"/>
        </w:rPr>
        <w:t xml:space="preserve">2014. </w:t>
      </w:r>
      <w:r w:rsidR="00B61A92" w:rsidRPr="004A3269">
        <w:rPr>
          <w:rStyle w:val="hps"/>
        </w:rPr>
        <w:t xml:space="preserve"> </w:t>
      </w:r>
      <w:r w:rsidR="00DE4AF0" w:rsidRPr="004A3269">
        <w:rPr>
          <w:rStyle w:val="hps"/>
        </w:rPr>
        <w:t>Dans le cadre du</w:t>
      </w:r>
      <w:r w:rsidR="00DE4AF0" w:rsidRPr="004A3269">
        <w:t xml:space="preserve"> </w:t>
      </w:r>
      <w:r w:rsidR="00DE4AF0" w:rsidRPr="004A3269">
        <w:rPr>
          <w:rStyle w:val="hps"/>
        </w:rPr>
        <w:t>programme et budget</w:t>
      </w:r>
      <w:r w:rsidR="00DE4AF0" w:rsidRPr="004A3269">
        <w:t xml:space="preserve">, </w:t>
      </w:r>
      <w:r w:rsidR="00F95294" w:rsidRPr="004A3269">
        <w:rPr>
          <w:rStyle w:val="hps"/>
        </w:rPr>
        <w:t>une charge budgétaire de </w:t>
      </w:r>
      <w:r w:rsidR="00DE4AF0" w:rsidRPr="004A3269">
        <w:rPr>
          <w:rStyle w:val="hps"/>
        </w:rPr>
        <w:t>6.0</w:t>
      </w:r>
      <w:r w:rsidR="00F95294" w:rsidRPr="004A3269">
        <w:rPr>
          <w:rStyle w:val="hps"/>
        </w:rPr>
        <w:t>%</w:t>
      </w:r>
      <w:r w:rsidR="00DE4AF0" w:rsidRPr="004A3269">
        <w:rPr>
          <w:rStyle w:val="hps"/>
        </w:rPr>
        <w:t xml:space="preserve"> est appliquée</w:t>
      </w:r>
      <w:r w:rsidR="00DE4AF0" w:rsidRPr="004A3269">
        <w:t xml:space="preserve"> </w:t>
      </w:r>
      <w:r w:rsidR="00DE4AF0" w:rsidRPr="004A3269">
        <w:rPr>
          <w:rStyle w:val="hps"/>
        </w:rPr>
        <w:t>au coût de</w:t>
      </w:r>
      <w:r w:rsidR="00DE4AF0" w:rsidRPr="004A3269">
        <w:t xml:space="preserve"> </w:t>
      </w:r>
      <w:r w:rsidR="00DE4AF0" w:rsidRPr="004A3269">
        <w:rPr>
          <w:rStyle w:val="hps"/>
        </w:rPr>
        <w:t>postes pour</w:t>
      </w:r>
      <w:r w:rsidR="00DE4AF0" w:rsidRPr="004A3269">
        <w:t xml:space="preserve"> </w:t>
      </w:r>
      <w:r w:rsidR="00DE4AF0" w:rsidRPr="004A3269">
        <w:rPr>
          <w:rStyle w:val="hps"/>
        </w:rPr>
        <w:t xml:space="preserve">le financement </w:t>
      </w:r>
      <w:r w:rsidR="00F95294" w:rsidRPr="004A3269">
        <w:rPr>
          <w:rStyle w:val="hps"/>
        </w:rPr>
        <w:t>de la provision au titre des</w:t>
      </w:r>
      <w:r w:rsidR="00DE4AF0" w:rsidRPr="004A3269">
        <w:t xml:space="preserve"> </w:t>
      </w:r>
      <w:r w:rsidR="00DE4AF0" w:rsidRPr="004A3269">
        <w:rPr>
          <w:rStyle w:val="hps"/>
        </w:rPr>
        <w:t xml:space="preserve">prestations </w:t>
      </w:r>
      <w:r w:rsidR="00F95294" w:rsidRPr="004A3269">
        <w:rPr>
          <w:rStyle w:val="hps"/>
        </w:rPr>
        <w:t>en matière d</w:t>
      </w:r>
      <w:r w:rsidR="009021AA" w:rsidRPr="004A3269">
        <w:rPr>
          <w:rStyle w:val="hps"/>
        </w:rPr>
        <w:t>’</w:t>
      </w:r>
      <w:r w:rsidR="00F95294" w:rsidRPr="004A3269">
        <w:rPr>
          <w:rStyle w:val="hps"/>
        </w:rPr>
        <w:t>assurance</w:t>
      </w:r>
      <w:r w:rsidR="00A17552" w:rsidRPr="004A3269">
        <w:noBreakHyphen/>
      </w:r>
      <w:r w:rsidR="00F95294" w:rsidRPr="004A3269">
        <w:t xml:space="preserve">maladie </w:t>
      </w:r>
      <w:r w:rsidR="00A74760" w:rsidRPr="004A3269">
        <w:rPr>
          <w:rStyle w:val="hps"/>
        </w:rPr>
        <w:t>après la cessation</w:t>
      </w:r>
      <w:r w:rsidR="00DE4AF0" w:rsidRPr="004A3269">
        <w:rPr>
          <w:rStyle w:val="hps"/>
        </w:rPr>
        <w:t xml:space="preserve"> de service</w:t>
      </w:r>
      <w:r w:rsidR="00DE4AF0" w:rsidRPr="004A3269">
        <w:t xml:space="preserve">. </w:t>
      </w:r>
      <w:r w:rsidR="00B61A92" w:rsidRPr="004A3269">
        <w:t xml:space="preserve"> </w:t>
      </w:r>
      <w:r w:rsidR="00B61A92" w:rsidRPr="004A3269">
        <w:rPr>
          <w:rStyle w:val="hps"/>
        </w:rPr>
        <w:t>En </w:t>
      </w:r>
      <w:r w:rsidR="00DE4AF0" w:rsidRPr="004A3269">
        <w:rPr>
          <w:rStyle w:val="hps"/>
        </w:rPr>
        <w:t>2014</w:t>
      </w:r>
      <w:r w:rsidR="00DE4AF0" w:rsidRPr="004A3269">
        <w:t xml:space="preserve">, </w:t>
      </w:r>
      <w:r w:rsidR="00DE4AF0" w:rsidRPr="004A3269">
        <w:rPr>
          <w:rStyle w:val="hps"/>
        </w:rPr>
        <w:t>cette charge</w:t>
      </w:r>
      <w:r w:rsidR="00DE4AF0" w:rsidRPr="004A3269">
        <w:t xml:space="preserve"> </w:t>
      </w:r>
      <w:r w:rsidR="00DE4AF0" w:rsidRPr="004A3269">
        <w:rPr>
          <w:rStyle w:val="hps"/>
        </w:rPr>
        <w:t>a généré</w:t>
      </w:r>
      <w:r w:rsidR="00DE4AF0" w:rsidRPr="004A3269">
        <w:t xml:space="preserve"> </w:t>
      </w:r>
      <w:r w:rsidR="00DE4AF0" w:rsidRPr="004A3269">
        <w:rPr>
          <w:rStyle w:val="hps"/>
        </w:rPr>
        <w:t>une provision de</w:t>
      </w:r>
      <w:r w:rsidR="00DE4AF0" w:rsidRPr="004A3269">
        <w:t xml:space="preserve"> </w:t>
      </w:r>
      <w:r w:rsidR="00F95294" w:rsidRPr="004A3269">
        <w:rPr>
          <w:rStyle w:val="hps"/>
        </w:rPr>
        <w:t>7,4</w:t>
      </w:r>
      <w:r w:rsidR="00B61A92" w:rsidRPr="004A3269">
        <w:rPr>
          <w:rStyle w:val="hps"/>
        </w:rPr>
        <w:t> </w:t>
      </w:r>
      <w:r w:rsidR="00DE4AF0" w:rsidRPr="004A3269">
        <w:rPr>
          <w:rStyle w:val="hps"/>
        </w:rPr>
        <w:t>millions de francs</w:t>
      </w:r>
      <w:r w:rsidR="00DE4AF0" w:rsidRPr="004A3269">
        <w:t xml:space="preserve"> </w:t>
      </w:r>
      <w:r w:rsidR="00DE4AF0" w:rsidRPr="004A3269">
        <w:rPr>
          <w:rStyle w:val="hps"/>
        </w:rPr>
        <w:t>suisses</w:t>
      </w:r>
      <w:r w:rsidR="00DE4AF0" w:rsidRPr="004A3269">
        <w:t xml:space="preserve">, </w:t>
      </w:r>
      <w:r w:rsidR="00DC6718" w:rsidRPr="004A3269">
        <w:t>après</w:t>
      </w:r>
      <w:r w:rsidR="00CE1597" w:rsidRPr="004A3269">
        <w:rPr>
          <w:rStyle w:val="hps"/>
        </w:rPr>
        <w:t xml:space="preserve"> déductions </w:t>
      </w:r>
      <w:r w:rsidR="00DC6718" w:rsidRPr="004A3269">
        <w:rPr>
          <w:rStyle w:val="hps"/>
        </w:rPr>
        <w:t>des prestations</w:t>
      </w:r>
      <w:r w:rsidR="00CE1597" w:rsidRPr="004A3269">
        <w:rPr>
          <w:rStyle w:val="hps"/>
        </w:rPr>
        <w:t xml:space="preserve"> </w:t>
      </w:r>
      <w:r w:rsidR="00DC6718" w:rsidRPr="004A3269">
        <w:rPr>
          <w:rStyle w:val="hps"/>
        </w:rPr>
        <w:t xml:space="preserve">versées </w:t>
      </w:r>
      <w:r w:rsidR="0052756D" w:rsidRPr="004A3269">
        <w:rPr>
          <w:rStyle w:val="hps"/>
        </w:rPr>
        <w:t xml:space="preserve">au personnel </w:t>
      </w:r>
      <w:r w:rsidR="00DE4AF0" w:rsidRPr="004A3269">
        <w:rPr>
          <w:rStyle w:val="hps"/>
        </w:rPr>
        <w:t>après</w:t>
      </w:r>
      <w:r w:rsidR="00DE4AF0" w:rsidRPr="004A3269">
        <w:t xml:space="preserve"> </w:t>
      </w:r>
      <w:r w:rsidR="00DE4AF0" w:rsidRPr="004A3269">
        <w:rPr>
          <w:rStyle w:val="hps"/>
        </w:rPr>
        <w:t>la cessation de service</w:t>
      </w:r>
      <w:r w:rsidR="00DE4AF0" w:rsidRPr="004A3269">
        <w:t xml:space="preserve"> </w:t>
      </w:r>
      <w:r w:rsidR="00DE4AF0" w:rsidRPr="004A3269">
        <w:rPr>
          <w:rStyle w:val="hps"/>
        </w:rPr>
        <w:t>au cours de la</w:t>
      </w:r>
      <w:r w:rsidR="00DE4AF0" w:rsidRPr="004A3269">
        <w:t xml:space="preserve"> </w:t>
      </w:r>
      <w:r w:rsidR="00DE4AF0" w:rsidRPr="004A3269">
        <w:rPr>
          <w:rStyle w:val="hps"/>
        </w:rPr>
        <w:t>période</w:t>
      </w:r>
      <w:r w:rsidR="00DE4AF0" w:rsidRPr="004A3269">
        <w:t xml:space="preserve"> </w:t>
      </w:r>
      <w:r w:rsidR="00DE4AF0" w:rsidRPr="004A3269">
        <w:rPr>
          <w:rStyle w:val="hps"/>
        </w:rPr>
        <w:t>(</w:t>
      </w:r>
      <w:r w:rsidR="00DE4AF0" w:rsidRPr="004A3269">
        <w:t xml:space="preserve">principalement </w:t>
      </w:r>
      <w:r w:rsidR="00DE4AF0" w:rsidRPr="004A3269">
        <w:rPr>
          <w:rStyle w:val="hps"/>
        </w:rPr>
        <w:t>la contribution de l</w:t>
      </w:r>
      <w:r w:rsidR="009021AA" w:rsidRPr="004A3269">
        <w:rPr>
          <w:rStyle w:val="hps"/>
        </w:rPr>
        <w:t>’</w:t>
      </w:r>
      <w:r w:rsidR="00DE4AF0" w:rsidRPr="004A3269">
        <w:t xml:space="preserve">Organisation </w:t>
      </w:r>
      <w:r w:rsidR="00F95294" w:rsidRPr="004A3269">
        <w:t>aux</w:t>
      </w:r>
      <w:r w:rsidR="00DE4AF0" w:rsidRPr="004A3269">
        <w:rPr>
          <w:rStyle w:val="hps"/>
        </w:rPr>
        <w:t xml:space="preserve"> primes</w:t>
      </w:r>
      <w:r w:rsidR="00DE4AF0" w:rsidRPr="004A3269">
        <w:t xml:space="preserve"> </w:t>
      </w:r>
      <w:r w:rsidR="00F95294" w:rsidRPr="004A3269">
        <w:rPr>
          <w:rStyle w:val="hps"/>
        </w:rPr>
        <w:t>d</w:t>
      </w:r>
      <w:r w:rsidR="009021AA" w:rsidRPr="004A3269">
        <w:rPr>
          <w:rStyle w:val="hps"/>
        </w:rPr>
        <w:t>’</w:t>
      </w:r>
      <w:r w:rsidR="00F95294" w:rsidRPr="004A3269">
        <w:rPr>
          <w:rStyle w:val="hps"/>
        </w:rPr>
        <w:t>assurance</w:t>
      </w:r>
      <w:r w:rsidR="00A17552" w:rsidRPr="004A3269">
        <w:noBreakHyphen/>
      </w:r>
      <w:r w:rsidR="00F95294" w:rsidRPr="004A3269">
        <w:t xml:space="preserve">maladie </w:t>
      </w:r>
      <w:r w:rsidR="00CE1597" w:rsidRPr="004A3269">
        <w:rPr>
          <w:rStyle w:val="hps"/>
        </w:rPr>
        <w:t>des</w:t>
      </w:r>
      <w:r w:rsidR="00DE4AF0" w:rsidRPr="004A3269">
        <w:rPr>
          <w:rStyle w:val="hps"/>
        </w:rPr>
        <w:t xml:space="preserve"> retraités</w:t>
      </w:r>
      <w:r w:rsidR="00DE4AF0" w:rsidRPr="004A3269">
        <w:t xml:space="preserve">). </w:t>
      </w:r>
      <w:r w:rsidR="00B61A92" w:rsidRPr="004A3269">
        <w:t xml:space="preserve"> </w:t>
      </w:r>
      <w:r w:rsidR="00DE4AF0" w:rsidRPr="004A3269">
        <w:rPr>
          <w:rStyle w:val="hps"/>
        </w:rPr>
        <w:t>En conséquence</w:t>
      </w:r>
      <w:r w:rsidR="00DE4AF0" w:rsidRPr="004A3269">
        <w:t xml:space="preserve">, </w:t>
      </w:r>
      <w:r w:rsidR="00B61A92" w:rsidRPr="004A3269">
        <w:rPr>
          <w:rStyle w:val="hps"/>
        </w:rPr>
        <w:t>les ajustements</w:t>
      </w:r>
      <w:r w:rsidR="00DE4AF0" w:rsidRPr="004A3269">
        <w:rPr>
          <w:rStyle w:val="hps"/>
        </w:rPr>
        <w:t xml:space="preserve"> IPSAS</w:t>
      </w:r>
      <w:r w:rsidR="00DE4AF0" w:rsidRPr="004A3269">
        <w:t xml:space="preserve"> </w:t>
      </w:r>
      <w:r w:rsidR="00CE1597" w:rsidRPr="004A3269">
        <w:rPr>
          <w:rStyle w:val="hps"/>
        </w:rPr>
        <w:t>nécessaires pour</w:t>
      </w:r>
      <w:r w:rsidR="00DE4AF0" w:rsidRPr="004A3269">
        <w:rPr>
          <w:rStyle w:val="hps"/>
        </w:rPr>
        <w:t xml:space="preserve"> couvrir</w:t>
      </w:r>
      <w:r w:rsidR="00DE4AF0" w:rsidRPr="004A3269">
        <w:t xml:space="preserve"> </w:t>
      </w:r>
      <w:r w:rsidR="00DE4AF0" w:rsidRPr="004A3269">
        <w:rPr>
          <w:rStyle w:val="hps"/>
        </w:rPr>
        <w:t>le reste</w:t>
      </w:r>
      <w:r w:rsidR="00DE4AF0" w:rsidRPr="004A3269">
        <w:t xml:space="preserve"> </w:t>
      </w:r>
      <w:r w:rsidR="00DE4AF0" w:rsidRPr="004A3269">
        <w:rPr>
          <w:rStyle w:val="hps"/>
        </w:rPr>
        <w:t>de l</w:t>
      </w:r>
      <w:r w:rsidR="009021AA" w:rsidRPr="004A3269">
        <w:rPr>
          <w:rStyle w:val="hps"/>
        </w:rPr>
        <w:t>’</w:t>
      </w:r>
      <w:r w:rsidR="00DE4AF0" w:rsidRPr="004A3269">
        <w:rPr>
          <w:rStyle w:val="hps"/>
        </w:rPr>
        <w:t>augmentation de</w:t>
      </w:r>
      <w:r w:rsidR="00DE4AF0" w:rsidRPr="004A3269">
        <w:t xml:space="preserve"> </w:t>
      </w:r>
      <w:r w:rsidR="00B61A92" w:rsidRPr="004A3269">
        <w:rPr>
          <w:rStyle w:val="hps"/>
        </w:rPr>
        <w:t>10,2 </w:t>
      </w:r>
      <w:r w:rsidR="00DE4AF0" w:rsidRPr="004A3269">
        <w:rPr>
          <w:rStyle w:val="hps"/>
        </w:rPr>
        <w:t>millions de</w:t>
      </w:r>
      <w:r w:rsidR="00DE4AF0" w:rsidRPr="004A3269">
        <w:t xml:space="preserve"> </w:t>
      </w:r>
      <w:r w:rsidR="00DE4AF0" w:rsidRPr="004A3269">
        <w:rPr>
          <w:rStyle w:val="hps"/>
        </w:rPr>
        <w:t>francs</w:t>
      </w:r>
      <w:r w:rsidR="00DE4AF0" w:rsidRPr="004A3269">
        <w:t xml:space="preserve"> </w:t>
      </w:r>
      <w:r w:rsidR="00DE4AF0" w:rsidRPr="004A3269">
        <w:rPr>
          <w:rStyle w:val="hps"/>
        </w:rPr>
        <w:t>suisses</w:t>
      </w:r>
      <w:r w:rsidR="00DE4AF0" w:rsidRPr="004A3269">
        <w:t xml:space="preserve"> </w:t>
      </w:r>
      <w:r w:rsidR="00DF1851" w:rsidRPr="004A3269">
        <w:rPr>
          <w:rStyle w:val="hps"/>
        </w:rPr>
        <w:t>des</w:t>
      </w:r>
      <w:r w:rsidR="00DE4AF0" w:rsidRPr="004A3269">
        <w:rPr>
          <w:rStyle w:val="hps"/>
        </w:rPr>
        <w:t xml:space="preserve"> </w:t>
      </w:r>
      <w:r w:rsidR="00CE1597" w:rsidRPr="004A3269">
        <w:rPr>
          <w:rFonts w:eastAsia="SimSun"/>
          <w:szCs w:val="22"/>
          <w:lang w:eastAsia="zh-CN"/>
        </w:rPr>
        <w:t>prestations au personnel comptabilisées sous la forme d</w:t>
      </w:r>
      <w:r w:rsidR="009021AA" w:rsidRPr="004A3269">
        <w:rPr>
          <w:rFonts w:eastAsia="SimSun"/>
          <w:szCs w:val="22"/>
          <w:lang w:eastAsia="zh-CN"/>
        </w:rPr>
        <w:t>’</w:t>
      </w:r>
      <w:r w:rsidR="00CE1597" w:rsidRPr="004A3269">
        <w:rPr>
          <w:rFonts w:eastAsia="SimSun"/>
          <w:szCs w:val="22"/>
          <w:lang w:eastAsia="zh-CN"/>
        </w:rPr>
        <w:t>obligations</w:t>
      </w:r>
      <w:r w:rsidR="00CE1597" w:rsidRPr="004A3269">
        <w:rPr>
          <w:rStyle w:val="hps"/>
        </w:rPr>
        <w:t xml:space="preserve"> s</w:t>
      </w:r>
      <w:r w:rsidR="009021AA" w:rsidRPr="004A3269">
        <w:rPr>
          <w:rStyle w:val="hps"/>
        </w:rPr>
        <w:t>’</w:t>
      </w:r>
      <w:r w:rsidR="00CE1597" w:rsidRPr="004A3269">
        <w:rPr>
          <w:rStyle w:val="hps"/>
        </w:rPr>
        <w:t>élevaient à</w:t>
      </w:r>
      <w:r w:rsidR="00DE4AF0" w:rsidRPr="004A3269">
        <w:rPr>
          <w:rStyle w:val="hps"/>
        </w:rPr>
        <w:t xml:space="preserve"> 2,8</w:t>
      </w:r>
      <w:r w:rsidR="00B61A92" w:rsidRPr="004A3269">
        <w:t> </w:t>
      </w:r>
      <w:r w:rsidR="00DE4AF0" w:rsidRPr="004A3269">
        <w:rPr>
          <w:rStyle w:val="hps"/>
        </w:rPr>
        <w:t>millions de francs suisses</w:t>
      </w:r>
      <w:r w:rsidR="00327107" w:rsidRPr="004A3269">
        <w:rPr>
          <w:rFonts w:eastAsia="SimSun"/>
          <w:lang w:eastAsia="zh-CN"/>
        </w:rPr>
        <w:t>.</w:t>
      </w:r>
    </w:p>
    <w:p w:rsidR="00267140" w:rsidRPr="004A3269" w:rsidRDefault="00B61A92" w:rsidP="003D7C06">
      <w:pPr>
        <w:numPr>
          <w:ilvl w:val="0"/>
          <w:numId w:val="10"/>
        </w:numPr>
        <w:tabs>
          <w:tab w:val="clear" w:pos="1174"/>
          <w:tab w:val="num" w:pos="1134"/>
        </w:tabs>
        <w:spacing w:after="220"/>
        <w:ind w:left="1134" w:hanging="567"/>
        <w:jc w:val="both"/>
        <w:rPr>
          <w:rFonts w:eastAsia="SimSun"/>
          <w:szCs w:val="22"/>
          <w:lang w:eastAsia="zh-CN"/>
        </w:rPr>
      </w:pPr>
      <w:r w:rsidRPr="004A3269">
        <w:rPr>
          <w:rStyle w:val="hps"/>
        </w:rPr>
        <w:t>Les a</w:t>
      </w:r>
      <w:r w:rsidR="00DE4AF0" w:rsidRPr="004A3269">
        <w:rPr>
          <w:rStyle w:val="hps"/>
        </w:rPr>
        <w:t>utres</w:t>
      </w:r>
      <w:r w:rsidR="00DE4AF0" w:rsidRPr="004A3269">
        <w:t xml:space="preserve"> </w:t>
      </w:r>
      <w:r w:rsidR="00DE4AF0" w:rsidRPr="004A3269">
        <w:rPr>
          <w:rStyle w:val="hps"/>
        </w:rPr>
        <w:t>ajustements IPSAS</w:t>
      </w:r>
      <w:r w:rsidR="00DE4AF0" w:rsidRPr="004A3269">
        <w:t xml:space="preserve"> </w:t>
      </w:r>
      <w:r w:rsidR="00DE4AF0" w:rsidRPr="004A3269">
        <w:rPr>
          <w:rStyle w:val="hps"/>
        </w:rPr>
        <w:t>concernent la</w:t>
      </w:r>
      <w:r w:rsidR="00DE4AF0" w:rsidRPr="004A3269">
        <w:t xml:space="preserve"> </w:t>
      </w:r>
      <w:r w:rsidR="00DE4AF0" w:rsidRPr="004A3269">
        <w:rPr>
          <w:rStyle w:val="hps"/>
        </w:rPr>
        <w:t>diminution des stocks</w:t>
      </w:r>
      <w:r w:rsidR="00DE4AF0" w:rsidRPr="004A3269">
        <w:t xml:space="preserve"> </w:t>
      </w:r>
      <w:r w:rsidR="00DE4AF0" w:rsidRPr="004A3269">
        <w:rPr>
          <w:rStyle w:val="hps"/>
        </w:rPr>
        <w:t>(</w:t>
      </w:r>
      <w:r w:rsidRPr="004A3269">
        <w:t>induisant</w:t>
      </w:r>
      <w:r w:rsidR="00DE4AF0" w:rsidRPr="004A3269">
        <w:t xml:space="preserve"> une </w:t>
      </w:r>
      <w:r w:rsidR="00DF1851" w:rsidRPr="004A3269">
        <w:t>dépense</w:t>
      </w:r>
      <w:r w:rsidR="00DE4AF0" w:rsidRPr="004A3269">
        <w:t xml:space="preserve"> </w:t>
      </w:r>
      <w:r w:rsidR="00DE4AF0" w:rsidRPr="004A3269">
        <w:rPr>
          <w:rStyle w:val="hps"/>
        </w:rPr>
        <w:t>de 0,4</w:t>
      </w:r>
      <w:r w:rsidRPr="004A3269">
        <w:t> </w:t>
      </w:r>
      <w:r w:rsidRPr="004A3269">
        <w:rPr>
          <w:rStyle w:val="hps"/>
        </w:rPr>
        <w:t>million</w:t>
      </w:r>
      <w:r w:rsidR="00DE4AF0" w:rsidRPr="004A3269">
        <w:rPr>
          <w:rStyle w:val="hps"/>
        </w:rPr>
        <w:t xml:space="preserve"> de francs suisses</w:t>
      </w:r>
      <w:r w:rsidR="00DE4AF0" w:rsidRPr="004A3269">
        <w:t xml:space="preserve">) </w:t>
      </w:r>
      <w:r w:rsidR="00DE4AF0" w:rsidRPr="004A3269">
        <w:rPr>
          <w:rStyle w:val="hps"/>
        </w:rPr>
        <w:t>et une diminution</w:t>
      </w:r>
      <w:r w:rsidR="00DE4AF0" w:rsidRPr="004A3269">
        <w:t xml:space="preserve"> </w:t>
      </w:r>
      <w:r w:rsidR="00DE4AF0" w:rsidRPr="004A3269">
        <w:rPr>
          <w:rStyle w:val="hps"/>
        </w:rPr>
        <w:t xml:space="preserve">de </w:t>
      </w:r>
      <w:r w:rsidR="00DF1851" w:rsidRPr="004A3269">
        <w:rPr>
          <w:rStyle w:val="hps"/>
        </w:rPr>
        <w:t>l</w:t>
      </w:r>
      <w:r w:rsidR="007550D1" w:rsidRPr="004A3269">
        <w:rPr>
          <w:rStyle w:val="hps"/>
        </w:rPr>
        <w:t>a provision pour créances</w:t>
      </w:r>
      <w:r w:rsidR="00CB199A" w:rsidRPr="004A3269">
        <w:rPr>
          <w:rStyle w:val="hps"/>
        </w:rPr>
        <w:t xml:space="preserve"> relatives aux</w:t>
      </w:r>
      <w:r w:rsidR="007550D1" w:rsidRPr="004A3269">
        <w:rPr>
          <w:rStyle w:val="hps"/>
        </w:rPr>
        <w:t xml:space="preserve"> </w:t>
      </w:r>
      <w:r w:rsidR="00DF1851" w:rsidRPr="004A3269">
        <w:t>contributions statutaires</w:t>
      </w:r>
      <w:r w:rsidR="00DF1851" w:rsidRPr="004A3269">
        <w:rPr>
          <w:rStyle w:val="hps"/>
        </w:rPr>
        <w:t xml:space="preserve"> </w:t>
      </w:r>
      <w:r w:rsidR="00DE4AF0" w:rsidRPr="004A3269">
        <w:rPr>
          <w:rStyle w:val="hps"/>
        </w:rPr>
        <w:t>(</w:t>
      </w:r>
      <w:r w:rsidRPr="004A3269">
        <w:t>générant</w:t>
      </w:r>
      <w:r w:rsidR="00DE4AF0" w:rsidRPr="004A3269">
        <w:t xml:space="preserve"> </w:t>
      </w:r>
      <w:r w:rsidR="00DF1851" w:rsidRPr="004A3269">
        <w:rPr>
          <w:rStyle w:val="hps"/>
        </w:rPr>
        <w:t>une recette</w:t>
      </w:r>
      <w:r w:rsidR="00DE4AF0" w:rsidRPr="004A3269">
        <w:t xml:space="preserve"> </w:t>
      </w:r>
      <w:r w:rsidR="00DE4AF0" w:rsidRPr="004A3269">
        <w:rPr>
          <w:rStyle w:val="hps"/>
        </w:rPr>
        <w:t>de 0,3</w:t>
      </w:r>
      <w:r w:rsidRPr="004A3269">
        <w:t> </w:t>
      </w:r>
      <w:r w:rsidRPr="004A3269">
        <w:rPr>
          <w:rStyle w:val="hps"/>
        </w:rPr>
        <w:t xml:space="preserve">million </w:t>
      </w:r>
      <w:r w:rsidR="00DE4AF0" w:rsidRPr="004A3269">
        <w:rPr>
          <w:rStyle w:val="hps"/>
        </w:rPr>
        <w:t>de francs suisses)</w:t>
      </w:r>
      <w:r w:rsidR="004837F5" w:rsidRPr="004A3269">
        <w:rPr>
          <w:rFonts w:eastAsia="SimSun"/>
          <w:szCs w:val="22"/>
          <w:lang w:eastAsia="zh-CN"/>
        </w:rPr>
        <w:t>.</w:t>
      </w:r>
    </w:p>
    <w:p w:rsidR="00267140" w:rsidRPr="004A3269" w:rsidRDefault="00424A1A" w:rsidP="003D7C06">
      <w:pPr>
        <w:numPr>
          <w:ilvl w:val="0"/>
          <w:numId w:val="11"/>
        </w:numPr>
        <w:tabs>
          <w:tab w:val="clear" w:pos="1174"/>
          <w:tab w:val="num" w:pos="1134"/>
        </w:tabs>
        <w:ind w:left="1134" w:hanging="567"/>
        <w:jc w:val="both"/>
        <w:rPr>
          <w:rFonts w:eastAsia="SimSun"/>
          <w:szCs w:val="22"/>
          <w:lang w:eastAsia="zh-CN"/>
        </w:rPr>
      </w:pPr>
      <w:r w:rsidRPr="004A3269">
        <w:rPr>
          <w:rFonts w:eastAsia="SimSun"/>
          <w:lang w:eastAsia="zh-CN"/>
        </w:rPr>
        <w:t>En vertu des normes</w:t>
      </w:r>
      <w:r w:rsidR="00067463" w:rsidRPr="004A3269">
        <w:rPr>
          <w:rFonts w:eastAsia="SimSun"/>
          <w:lang w:eastAsia="zh-CN"/>
        </w:rPr>
        <w:t> </w:t>
      </w:r>
      <w:r w:rsidRPr="004A3269">
        <w:rPr>
          <w:rFonts w:eastAsia="SimSun"/>
          <w:lang w:eastAsia="zh-CN"/>
        </w:rPr>
        <w:t>IPSAS, les coûts liés à la construction comme à l</w:t>
      </w:r>
      <w:r w:rsidR="009021AA" w:rsidRPr="004A3269">
        <w:rPr>
          <w:rFonts w:eastAsia="SimSun"/>
          <w:lang w:eastAsia="zh-CN"/>
        </w:rPr>
        <w:t>’</w:t>
      </w:r>
      <w:r w:rsidRPr="004A3269">
        <w:rPr>
          <w:rFonts w:eastAsia="SimSun"/>
          <w:lang w:eastAsia="zh-CN"/>
        </w:rPr>
        <w:t>amélioration de bâtiments sont comptabilisés</w:t>
      </w:r>
      <w:r w:rsidR="00A0797A" w:rsidRPr="004A3269">
        <w:rPr>
          <w:rFonts w:eastAsia="SimSun"/>
          <w:lang w:eastAsia="zh-CN"/>
        </w:rPr>
        <w:t xml:space="preserve">.  </w:t>
      </w:r>
      <w:r w:rsidRPr="004A3269">
        <w:rPr>
          <w:rFonts w:eastAsia="SimSun"/>
          <w:lang w:eastAsia="zh-CN"/>
        </w:rPr>
        <w:t>Cela réduit les dépenses pour l</w:t>
      </w:r>
      <w:r w:rsidR="009021AA" w:rsidRPr="004A3269">
        <w:rPr>
          <w:rFonts w:eastAsia="SimSun"/>
          <w:lang w:eastAsia="zh-CN"/>
        </w:rPr>
        <w:t>’</w:t>
      </w:r>
      <w:r w:rsidR="00A0797A" w:rsidRPr="004A3269">
        <w:rPr>
          <w:rFonts w:eastAsia="SimSun"/>
          <w:lang w:eastAsia="zh-CN"/>
        </w:rPr>
        <w:t>année </w:t>
      </w:r>
      <w:r w:rsidRPr="004A3269">
        <w:rPr>
          <w:rFonts w:eastAsia="SimSun"/>
          <w:lang w:eastAsia="zh-CN"/>
        </w:rPr>
        <w:t>2014 de 30,4</w:t>
      </w:r>
      <w:r w:rsidR="00067463" w:rsidRPr="004A3269">
        <w:rPr>
          <w:rFonts w:eastAsia="SimSun"/>
          <w:lang w:eastAsia="zh-CN"/>
        </w:rPr>
        <w:t> </w:t>
      </w:r>
      <w:r w:rsidRPr="004A3269">
        <w:rPr>
          <w:rFonts w:eastAsia="SimSun"/>
          <w:lang w:eastAsia="zh-CN"/>
        </w:rPr>
        <w:t>millions de francs suisses</w:t>
      </w:r>
      <w:r w:rsidR="00A0797A" w:rsidRPr="004A3269">
        <w:rPr>
          <w:rFonts w:eastAsia="SimSun"/>
          <w:lang w:eastAsia="zh-CN"/>
        </w:rPr>
        <w:t xml:space="preserve">.  </w:t>
      </w:r>
      <w:r w:rsidRPr="004A3269">
        <w:rPr>
          <w:rFonts w:eastAsia="SimSun"/>
          <w:lang w:eastAsia="zh-CN"/>
        </w:rPr>
        <w:t>De même, l</w:t>
      </w:r>
      <w:r w:rsidR="009021AA" w:rsidRPr="004A3269">
        <w:rPr>
          <w:rFonts w:eastAsia="SimSun"/>
          <w:lang w:eastAsia="zh-CN"/>
        </w:rPr>
        <w:t>’</w:t>
      </w:r>
      <w:r w:rsidRPr="004A3269">
        <w:rPr>
          <w:rFonts w:eastAsia="SimSun"/>
          <w:lang w:eastAsia="zh-CN"/>
        </w:rPr>
        <w:t xml:space="preserve">acquisition de certains matériels et logiciels est elle aussi comptabilisée, ce qui réduit </w:t>
      </w:r>
      <w:r w:rsidR="004B29E1" w:rsidRPr="004A3269">
        <w:rPr>
          <w:rFonts w:eastAsia="SimSun"/>
          <w:lang w:eastAsia="zh-CN"/>
        </w:rPr>
        <w:t>encore</w:t>
      </w:r>
      <w:r w:rsidRPr="004A3269">
        <w:rPr>
          <w:rFonts w:eastAsia="SimSun"/>
          <w:lang w:eastAsia="zh-CN"/>
        </w:rPr>
        <w:t xml:space="preserve"> les dépenses de l</w:t>
      </w:r>
      <w:r w:rsidR="009021AA" w:rsidRPr="004A3269">
        <w:rPr>
          <w:rFonts w:eastAsia="SimSun"/>
          <w:lang w:eastAsia="zh-CN"/>
        </w:rPr>
        <w:t>’</w:t>
      </w:r>
      <w:r w:rsidRPr="004A3269">
        <w:rPr>
          <w:rFonts w:eastAsia="SimSun"/>
          <w:lang w:eastAsia="zh-CN"/>
        </w:rPr>
        <w:t>année de 2,0</w:t>
      </w:r>
      <w:r w:rsidR="00065045" w:rsidRPr="004A3269">
        <w:rPr>
          <w:rFonts w:eastAsia="SimSun"/>
          <w:lang w:eastAsia="zh-CN"/>
        </w:rPr>
        <w:t> </w:t>
      </w:r>
      <w:r w:rsidRPr="004A3269">
        <w:rPr>
          <w:rFonts w:eastAsia="SimSun"/>
          <w:lang w:eastAsia="zh-CN"/>
        </w:rPr>
        <w:t>millions de francs suisses</w:t>
      </w:r>
    </w:p>
    <w:p w:rsidR="00267140" w:rsidRPr="004A3269" w:rsidRDefault="00267140" w:rsidP="009A1F9C">
      <w:pPr>
        <w:jc w:val="both"/>
        <w:rPr>
          <w:rFonts w:eastAsia="SimSun"/>
          <w:b/>
          <w:i/>
          <w:lang w:eastAsia="zh-CN"/>
        </w:rPr>
      </w:pPr>
    </w:p>
    <w:p w:rsidR="00267140" w:rsidRPr="004A3269" w:rsidRDefault="002F78E8" w:rsidP="00065045">
      <w:pPr>
        <w:keepNext/>
        <w:keepLines/>
        <w:spacing w:after="220"/>
        <w:jc w:val="both"/>
        <w:rPr>
          <w:rFonts w:eastAsia="SimSun"/>
          <w:b/>
          <w:i/>
          <w:lang w:eastAsia="zh-CN"/>
        </w:rPr>
      </w:pPr>
      <w:r w:rsidRPr="004A3269">
        <w:rPr>
          <w:rFonts w:eastAsia="SimSun"/>
          <w:b/>
          <w:i/>
          <w:lang w:eastAsia="zh-CN"/>
        </w:rPr>
        <w:lastRenderedPageBreak/>
        <w:t>Analyse des recettes</w:t>
      </w:r>
    </w:p>
    <w:p w:rsidR="00267140" w:rsidRPr="004A3269" w:rsidRDefault="002F78E8" w:rsidP="00065045">
      <w:pPr>
        <w:keepNext/>
        <w:keepLines/>
        <w:jc w:val="center"/>
        <w:rPr>
          <w:rFonts w:eastAsia="SimSun"/>
          <w:u w:val="single"/>
          <w:lang w:eastAsia="zh-CN"/>
        </w:rPr>
      </w:pPr>
      <w:r w:rsidRPr="004A3269">
        <w:rPr>
          <w:rFonts w:eastAsia="SimSun"/>
          <w:u w:val="single"/>
          <w:lang w:eastAsia="zh-CN"/>
        </w:rPr>
        <w:t>Composition des recettes en</w:t>
      </w:r>
      <w:r w:rsidR="00067463" w:rsidRPr="004A3269">
        <w:rPr>
          <w:rFonts w:eastAsia="SimSun"/>
          <w:u w:val="single"/>
          <w:lang w:eastAsia="zh-CN"/>
        </w:rPr>
        <w:t> </w:t>
      </w:r>
      <w:r w:rsidRPr="004A3269">
        <w:rPr>
          <w:rFonts w:eastAsia="SimSun"/>
          <w:u w:val="single"/>
          <w:lang w:eastAsia="zh-CN"/>
        </w:rPr>
        <w:t>2014 sur la base des normes</w:t>
      </w:r>
      <w:r w:rsidR="00067463" w:rsidRPr="004A3269">
        <w:rPr>
          <w:rFonts w:eastAsia="SimSun"/>
          <w:u w:val="single"/>
          <w:lang w:eastAsia="zh-CN"/>
        </w:rPr>
        <w:t> </w:t>
      </w:r>
      <w:r w:rsidRPr="004A3269">
        <w:rPr>
          <w:rFonts w:eastAsia="SimSun"/>
          <w:u w:val="single"/>
          <w:lang w:eastAsia="zh-CN"/>
        </w:rPr>
        <w:t>IPSAS</w:t>
      </w:r>
    </w:p>
    <w:p w:rsidR="00267140" w:rsidRPr="004A3269" w:rsidRDefault="002F78E8" w:rsidP="00065045">
      <w:pPr>
        <w:keepNext/>
        <w:keepLines/>
        <w:jc w:val="center"/>
        <w:rPr>
          <w:rFonts w:eastAsia="SimSun"/>
          <w:i/>
          <w:lang w:eastAsia="zh-CN"/>
        </w:rPr>
      </w:pPr>
      <w:r w:rsidRPr="004A3269">
        <w:rPr>
          <w:rFonts w:eastAsia="SimSun"/>
          <w:i/>
          <w:lang w:eastAsia="zh-CN"/>
        </w:rPr>
        <w:t>(</w:t>
      </w:r>
      <w:proofErr w:type="gramStart"/>
      <w:r w:rsidRPr="004A3269">
        <w:rPr>
          <w:rFonts w:eastAsia="SimSun"/>
          <w:i/>
          <w:lang w:eastAsia="zh-CN"/>
        </w:rPr>
        <w:t>en</w:t>
      </w:r>
      <w:proofErr w:type="gramEnd"/>
      <w:r w:rsidRPr="004A3269">
        <w:rPr>
          <w:rFonts w:eastAsia="SimSun"/>
          <w:i/>
          <w:lang w:eastAsia="zh-CN"/>
        </w:rPr>
        <w:t xml:space="preserve"> millions de francs suisses)</w:t>
      </w:r>
    </w:p>
    <w:p w:rsidR="004953F8" w:rsidRPr="004A3269" w:rsidRDefault="004953F8" w:rsidP="004953F8">
      <w:pPr>
        <w:jc w:val="center"/>
        <w:rPr>
          <w:rFonts w:eastAsia="SimSun"/>
          <w:szCs w:val="22"/>
          <w:lang w:eastAsia="zh-CN"/>
        </w:rPr>
      </w:pPr>
      <w:r w:rsidRPr="004A3269">
        <w:rPr>
          <w:rFonts w:eastAsia="SimSun"/>
          <w:noProof/>
          <w:lang w:val="en-US"/>
        </w:rPr>
        <w:drawing>
          <wp:inline distT="0" distB="0" distL="0" distR="0" wp14:anchorId="3D7383BB" wp14:editId="1391805E">
            <wp:extent cx="4816475" cy="3097530"/>
            <wp:effectExtent l="0" t="0" r="3175"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16475" cy="3097530"/>
                    </a:xfrm>
                    <a:prstGeom prst="rect">
                      <a:avLst/>
                    </a:prstGeom>
                    <a:noFill/>
                    <a:ln>
                      <a:noFill/>
                    </a:ln>
                  </pic:spPr>
                </pic:pic>
              </a:graphicData>
            </a:graphic>
          </wp:inline>
        </w:drawing>
      </w:r>
    </w:p>
    <w:p w:rsidR="004953F8" w:rsidRPr="004A3269" w:rsidRDefault="004953F8" w:rsidP="004953F8">
      <w:pPr>
        <w:jc w:val="both"/>
        <w:rPr>
          <w:rFonts w:eastAsia="SimSun"/>
          <w:szCs w:val="22"/>
          <w:lang w:eastAsia="zh-CN"/>
        </w:rPr>
      </w:pPr>
    </w:p>
    <w:p w:rsidR="009021AA" w:rsidRPr="004A3269" w:rsidRDefault="002F78E8" w:rsidP="003D7C06">
      <w:pPr>
        <w:pStyle w:val="ONUMFS"/>
        <w:rPr>
          <w:rFonts w:eastAsia="SimSun"/>
          <w:lang w:eastAsia="zh-CN"/>
        </w:rPr>
      </w:pPr>
      <w:r w:rsidRPr="004A3269">
        <w:rPr>
          <w:rFonts w:eastAsia="SimSun"/>
          <w:lang w:eastAsia="zh-CN"/>
        </w:rPr>
        <w:t>Le total des recettes de l</w:t>
      </w:r>
      <w:r w:rsidR="009021AA" w:rsidRPr="004A3269">
        <w:rPr>
          <w:rFonts w:eastAsia="SimSun"/>
          <w:lang w:eastAsia="zh-CN"/>
        </w:rPr>
        <w:t>’</w:t>
      </w:r>
      <w:r w:rsidRPr="004A3269">
        <w:rPr>
          <w:rFonts w:eastAsia="SimSun"/>
          <w:lang w:eastAsia="zh-CN"/>
        </w:rPr>
        <w:t>Organisation pour</w:t>
      </w:r>
      <w:r w:rsidR="00067463" w:rsidRPr="004A3269">
        <w:rPr>
          <w:rFonts w:eastAsia="SimSun"/>
          <w:lang w:eastAsia="zh-CN"/>
        </w:rPr>
        <w:t> </w:t>
      </w:r>
      <w:r w:rsidR="00065045" w:rsidRPr="004A3269">
        <w:rPr>
          <w:rFonts w:eastAsia="SimSun"/>
          <w:lang w:eastAsia="zh-CN"/>
        </w:rPr>
        <w:t>2014 s</w:t>
      </w:r>
      <w:r w:rsidR="009021AA" w:rsidRPr="004A3269">
        <w:rPr>
          <w:rFonts w:eastAsia="SimSun"/>
          <w:lang w:eastAsia="zh-CN"/>
        </w:rPr>
        <w:t>’</w:t>
      </w:r>
      <w:r w:rsidR="00065045" w:rsidRPr="004A3269">
        <w:rPr>
          <w:rFonts w:eastAsia="SimSun"/>
          <w:lang w:eastAsia="zh-CN"/>
        </w:rPr>
        <w:t>est élevé à 370,2 </w:t>
      </w:r>
      <w:r w:rsidRPr="004A3269">
        <w:rPr>
          <w:rFonts w:eastAsia="SimSun"/>
          <w:lang w:eastAsia="zh-CN"/>
        </w:rPr>
        <w:t>millions de francs suisses, soit une augmentation de 5,3% par rapport au total de</w:t>
      </w:r>
      <w:r w:rsidR="00067463" w:rsidRPr="004A3269">
        <w:rPr>
          <w:rFonts w:eastAsia="SimSun"/>
          <w:lang w:eastAsia="zh-CN"/>
        </w:rPr>
        <w:t> </w:t>
      </w:r>
      <w:r w:rsidRPr="004A3269">
        <w:rPr>
          <w:rFonts w:eastAsia="SimSun"/>
          <w:lang w:eastAsia="zh-CN"/>
        </w:rPr>
        <w:t>2013 de 351,6</w:t>
      </w:r>
      <w:r w:rsidR="00065045" w:rsidRPr="004A3269">
        <w:rPr>
          <w:rFonts w:eastAsia="SimSun"/>
          <w:lang w:eastAsia="zh-CN"/>
        </w:rPr>
        <w:t> </w:t>
      </w:r>
      <w:r w:rsidRPr="004A3269">
        <w:rPr>
          <w:rFonts w:eastAsia="SimSun"/>
          <w:lang w:eastAsia="zh-CN"/>
        </w:rPr>
        <w:t>millions.</w:t>
      </w:r>
      <w:r w:rsidR="009A1F9C" w:rsidRPr="004A3269">
        <w:rPr>
          <w:rFonts w:eastAsia="SimSun"/>
          <w:lang w:eastAsia="zh-CN"/>
        </w:rPr>
        <w:t xml:space="preserve"> </w:t>
      </w:r>
      <w:r w:rsidR="00065045" w:rsidRPr="004A3269">
        <w:rPr>
          <w:rFonts w:eastAsia="SimSun"/>
          <w:lang w:eastAsia="zh-CN"/>
        </w:rPr>
        <w:t xml:space="preserve"> </w:t>
      </w:r>
      <w:r w:rsidRPr="004A3269">
        <w:rPr>
          <w:rFonts w:eastAsia="SimSun"/>
          <w:lang w:eastAsia="zh-CN"/>
        </w:rPr>
        <w:t>En</w:t>
      </w:r>
      <w:r w:rsidR="00067463" w:rsidRPr="004A3269">
        <w:rPr>
          <w:rFonts w:eastAsia="SimSun"/>
          <w:lang w:eastAsia="zh-CN"/>
        </w:rPr>
        <w:t> </w:t>
      </w:r>
      <w:r w:rsidRPr="004A3269">
        <w:rPr>
          <w:rFonts w:eastAsia="SimSun"/>
          <w:lang w:eastAsia="zh-CN"/>
        </w:rPr>
        <w:t>2014, les taxes du système</w:t>
      </w:r>
      <w:r w:rsidR="009021AA" w:rsidRPr="004A3269">
        <w:rPr>
          <w:rFonts w:eastAsia="SimSun"/>
          <w:lang w:eastAsia="zh-CN"/>
        </w:rPr>
        <w:t xml:space="preserve"> du PCT</w:t>
      </w:r>
      <w:r w:rsidRPr="004A3269">
        <w:rPr>
          <w:rFonts w:eastAsia="SimSun"/>
          <w:lang w:eastAsia="zh-CN"/>
        </w:rPr>
        <w:t xml:space="preserve"> ont été la principale source de recettes, représentant 75,2% du total.</w:t>
      </w:r>
      <w:r w:rsidR="009A1F9C" w:rsidRPr="004A3269">
        <w:rPr>
          <w:rFonts w:eastAsia="SimSun"/>
          <w:lang w:eastAsia="zh-CN"/>
        </w:rPr>
        <w:t xml:space="preserve"> </w:t>
      </w:r>
      <w:r w:rsidR="00065045" w:rsidRPr="004A3269">
        <w:rPr>
          <w:rFonts w:eastAsia="SimSun"/>
          <w:lang w:eastAsia="zh-CN"/>
        </w:rPr>
        <w:t xml:space="preserve"> </w:t>
      </w:r>
      <w:r w:rsidRPr="004A3269">
        <w:rPr>
          <w:rFonts w:eastAsia="SimSun"/>
          <w:lang w:eastAsia="zh-CN"/>
        </w:rPr>
        <w:t>Les recettes de ces taxes ont augmenté de 8,2% depuis</w:t>
      </w:r>
      <w:r w:rsidR="00067463" w:rsidRPr="004A3269">
        <w:rPr>
          <w:rFonts w:eastAsia="SimSun"/>
          <w:lang w:eastAsia="zh-CN"/>
        </w:rPr>
        <w:t> </w:t>
      </w:r>
      <w:r w:rsidRPr="004A3269">
        <w:rPr>
          <w:rFonts w:eastAsia="SimSun"/>
          <w:lang w:eastAsia="zh-CN"/>
        </w:rPr>
        <w:t>2013.</w:t>
      </w:r>
    </w:p>
    <w:p w:rsidR="00267140" w:rsidRPr="004A3269" w:rsidRDefault="004B29E1" w:rsidP="003D7C06">
      <w:pPr>
        <w:pStyle w:val="ONUMFS"/>
        <w:rPr>
          <w:rFonts w:eastAsia="SimSun"/>
          <w:szCs w:val="22"/>
          <w:lang w:eastAsia="zh-CN"/>
        </w:rPr>
      </w:pPr>
      <w:r w:rsidRPr="004A3269">
        <w:rPr>
          <w:rStyle w:val="hps"/>
        </w:rPr>
        <w:t>Les taxes</w:t>
      </w:r>
      <w:r w:rsidRPr="004A3269">
        <w:t xml:space="preserve"> </w:t>
      </w:r>
      <w:r w:rsidRPr="004A3269">
        <w:rPr>
          <w:rStyle w:val="hps"/>
        </w:rPr>
        <w:t>du système de Madrid</w:t>
      </w:r>
      <w:r w:rsidRPr="004A3269">
        <w:t xml:space="preserve"> </w:t>
      </w:r>
      <w:r w:rsidR="00B4401B" w:rsidRPr="004A3269">
        <w:rPr>
          <w:rStyle w:val="hps"/>
        </w:rPr>
        <w:t>représent</w:t>
      </w:r>
      <w:r w:rsidR="006042CE" w:rsidRPr="004A3269">
        <w:rPr>
          <w:rStyle w:val="hps"/>
        </w:rPr>
        <w:t>ai</w:t>
      </w:r>
      <w:r w:rsidR="00B4401B" w:rsidRPr="004A3269">
        <w:rPr>
          <w:rStyle w:val="hps"/>
        </w:rPr>
        <w:t>ent</w:t>
      </w:r>
      <w:r w:rsidRPr="004A3269">
        <w:t xml:space="preserve"> </w:t>
      </w:r>
      <w:r w:rsidRPr="004A3269">
        <w:rPr>
          <w:rStyle w:val="hps"/>
        </w:rPr>
        <w:t>la deuxième source</w:t>
      </w:r>
      <w:r w:rsidRPr="004A3269">
        <w:t xml:space="preserve"> </w:t>
      </w:r>
      <w:r w:rsidRPr="004A3269">
        <w:rPr>
          <w:rStyle w:val="hps"/>
        </w:rPr>
        <w:t>de</w:t>
      </w:r>
      <w:r w:rsidRPr="004A3269">
        <w:t xml:space="preserve"> </w:t>
      </w:r>
      <w:r w:rsidRPr="004A3269">
        <w:rPr>
          <w:rStyle w:val="hps"/>
        </w:rPr>
        <w:t>recettes en 2014,</w:t>
      </w:r>
      <w:r w:rsidRPr="004A3269">
        <w:t xml:space="preserve"> </w:t>
      </w:r>
      <w:r w:rsidRPr="004A3269">
        <w:rPr>
          <w:rStyle w:val="hps"/>
        </w:rPr>
        <w:t>soit 14,9</w:t>
      </w:r>
      <w:r w:rsidRPr="004A3269">
        <w:t xml:space="preserve">% </w:t>
      </w:r>
      <w:r w:rsidRPr="004A3269">
        <w:rPr>
          <w:rStyle w:val="hps"/>
        </w:rPr>
        <w:t>du montant total des recettes</w:t>
      </w:r>
      <w:r w:rsidRPr="004A3269">
        <w:t xml:space="preserve">, </w:t>
      </w:r>
      <w:r w:rsidRPr="004A3269">
        <w:rPr>
          <w:rStyle w:val="hps"/>
        </w:rPr>
        <w:t xml:space="preserve">bien </w:t>
      </w:r>
      <w:r w:rsidR="00B4401B" w:rsidRPr="004A3269">
        <w:rPr>
          <w:rStyle w:val="hps"/>
        </w:rPr>
        <w:t>qu</w:t>
      </w:r>
      <w:r w:rsidR="009021AA" w:rsidRPr="004A3269">
        <w:rPr>
          <w:rStyle w:val="hps"/>
        </w:rPr>
        <w:t>’</w:t>
      </w:r>
      <w:r w:rsidR="00B4401B" w:rsidRPr="004A3269">
        <w:rPr>
          <w:rStyle w:val="hps"/>
        </w:rPr>
        <w:t>elles</w:t>
      </w:r>
      <w:r w:rsidRPr="004A3269">
        <w:rPr>
          <w:rStyle w:val="hps"/>
        </w:rPr>
        <w:t xml:space="preserve"> aient </w:t>
      </w:r>
      <w:r w:rsidR="00B4401B" w:rsidRPr="004A3269">
        <w:rPr>
          <w:rStyle w:val="hps"/>
        </w:rPr>
        <w:t>baissé</w:t>
      </w:r>
      <w:r w:rsidRPr="004A3269">
        <w:rPr>
          <w:rStyle w:val="hps"/>
        </w:rPr>
        <w:t xml:space="preserve"> de</w:t>
      </w:r>
      <w:r w:rsidRPr="004A3269">
        <w:t xml:space="preserve"> </w:t>
      </w:r>
      <w:r w:rsidRPr="004A3269">
        <w:rPr>
          <w:rStyle w:val="hps"/>
        </w:rPr>
        <w:t>0,3 million de francs</w:t>
      </w:r>
      <w:r w:rsidRPr="004A3269">
        <w:t xml:space="preserve"> </w:t>
      </w:r>
      <w:r w:rsidRPr="004A3269">
        <w:rPr>
          <w:rStyle w:val="hps"/>
        </w:rPr>
        <w:t>suisses par rapport à</w:t>
      </w:r>
      <w:r w:rsidR="001416DB" w:rsidRPr="004A3269">
        <w:t> </w:t>
      </w:r>
      <w:r w:rsidRPr="004A3269">
        <w:rPr>
          <w:rStyle w:val="hps"/>
        </w:rPr>
        <w:t xml:space="preserve">2013. </w:t>
      </w:r>
      <w:r w:rsidR="001416DB" w:rsidRPr="004A3269">
        <w:rPr>
          <w:rStyle w:val="hps"/>
        </w:rPr>
        <w:t xml:space="preserve"> </w:t>
      </w:r>
      <w:r w:rsidRPr="004A3269">
        <w:rPr>
          <w:rStyle w:val="hps"/>
        </w:rPr>
        <w:t>Les</w:t>
      </w:r>
      <w:r w:rsidRPr="004A3269">
        <w:t xml:space="preserve"> </w:t>
      </w:r>
      <w:r w:rsidR="001416DB" w:rsidRPr="004A3269">
        <w:t>taxes</w:t>
      </w:r>
      <w:r w:rsidRPr="004A3269">
        <w:t>, les contributions</w:t>
      </w:r>
      <w:r w:rsidR="006042CE" w:rsidRPr="004A3269">
        <w:t xml:space="preserve"> statutaires</w:t>
      </w:r>
      <w:r w:rsidRPr="004A3269">
        <w:t xml:space="preserve">, les contributions volontaires </w:t>
      </w:r>
      <w:r w:rsidRPr="004A3269">
        <w:rPr>
          <w:rStyle w:val="hps"/>
        </w:rPr>
        <w:t>et autres recettes</w:t>
      </w:r>
      <w:r w:rsidRPr="004A3269">
        <w:t xml:space="preserve"> </w:t>
      </w:r>
      <w:r w:rsidR="006042CE" w:rsidRPr="004A3269">
        <w:t>du système de</w:t>
      </w:r>
      <w:r w:rsidR="006042CE" w:rsidRPr="004A3269">
        <w:rPr>
          <w:rStyle w:val="hps"/>
        </w:rPr>
        <w:t xml:space="preserve"> </w:t>
      </w:r>
      <w:r w:rsidR="009021AA" w:rsidRPr="004A3269">
        <w:rPr>
          <w:rStyle w:val="hps"/>
        </w:rPr>
        <w:t>La Haye</w:t>
      </w:r>
      <w:r w:rsidR="006042CE" w:rsidRPr="004A3269">
        <w:rPr>
          <w:rStyle w:val="hps"/>
        </w:rPr>
        <w:t xml:space="preserve"> </w:t>
      </w:r>
      <w:r w:rsidRPr="004A3269">
        <w:rPr>
          <w:rStyle w:val="hps"/>
        </w:rPr>
        <w:t>(</w:t>
      </w:r>
      <w:r w:rsidR="00B4401B" w:rsidRPr="004A3269">
        <w:rPr>
          <w:rStyle w:val="hps"/>
        </w:rPr>
        <w:t>provenant des activités de placement, de</w:t>
      </w:r>
      <w:r w:rsidRPr="004A3269">
        <w:t xml:space="preserve"> publication, </w:t>
      </w:r>
      <w:r w:rsidR="00B4401B" w:rsidRPr="004A3269">
        <w:t>d</w:t>
      </w:r>
      <w:r w:rsidR="009021AA" w:rsidRPr="004A3269">
        <w:t>’</w:t>
      </w:r>
      <w:r w:rsidRPr="004A3269">
        <w:t xml:space="preserve">arbitrage </w:t>
      </w:r>
      <w:r w:rsidRPr="004A3269">
        <w:rPr>
          <w:rStyle w:val="hps"/>
        </w:rPr>
        <w:t xml:space="preserve">et </w:t>
      </w:r>
      <w:r w:rsidR="00B4401B" w:rsidRPr="004A3269">
        <w:rPr>
          <w:rStyle w:val="hps"/>
        </w:rPr>
        <w:t>de</w:t>
      </w:r>
      <w:r w:rsidRPr="004A3269">
        <w:rPr>
          <w:rStyle w:val="hps"/>
        </w:rPr>
        <w:t xml:space="preserve"> médiation</w:t>
      </w:r>
      <w:r w:rsidR="006042CE" w:rsidRPr="004A3269">
        <w:t xml:space="preserve"> et des</w:t>
      </w:r>
      <w:r w:rsidRPr="004A3269">
        <w:t xml:space="preserve"> </w:t>
      </w:r>
      <w:r w:rsidR="00B4401B" w:rsidRPr="004A3269">
        <w:t>autres/diverses recettes</w:t>
      </w:r>
      <w:r w:rsidRPr="004A3269">
        <w:t xml:space="preserve">) </w:t>
      </w:r>
      <w:r w:rsidRPr="004A3269">
        <w:rPr>
          <w:rStyle w:val="hps"/>
        </w:rPr>
        <w:t>comprennent</w:t>
      </w:r>
      <w:r w:rsidRPr="004A3269">
        <w:t xml:space="preserve"> </w:t>
      </w:r>
      <w:r w:rsidRPr="004A3269">
        <w:rPr>
          <w:rStyle w:val="hps"/>
        </w:rPr>
        <w:t>le solde</w:t>
      </w:r>
      <w:r w:rsidRPr="004A3269">
        <w:t xml:space="preserve"> </w:t>
      </w:r>
      <w:r w:rsidR="006042CE" w:rsidRPr="004A3269">
        <w:t xml:space="preserve">restant </w:t>
      </w:r>
      <w:r w:rsidR="006042CE" w:rsidRPr="004A3269">
        <w:rPr>
          <w:rStyle w:val="hps"/>
        </w:rPr>
        <w:t>de </w:t>
      </w:r>
      <w:r w:rsidR="001416DB" w:rsidRPr="004A3269">
        <w:rPr>
          <w:rStyle w:val="hps"/>
        </w:rPr>
        <w:t>9,9%</w:t>
      </w:r>
      <w:r w:rsidRPr="004A3269">
        <w:t xml:space="preserve"> </w:t>
      </w:r>
      <w:r w:rsidRPr="004A3269">
        <w:rPr>
          <w:rStyle w:val="hps"/>
        </w:rPr>
        <w:t xml:space="preserve">du </w:t>
      </w:r>
      <w:r w:rsidR="001416DB" w:rsidRPr="004A3269">
        <w:rPr>
          <w:rStyle w:val="hps"/>
        </w:rPr>
        <w:t xml:space="preserve">montant </w:t>
      </w:r>
      <w:r w:rsidRPr="004A3269">
        <w:rPr>
          <w:rStyle w:val="hps"/>
        </w:rPr>
        <w:t>total des recettes</w:t>
      </w:r>
      <w:r w:rsidRPr="004A3269">
        <w:t xml:space="preserve"> </w:t>
      </w:r>
      <w:r w:rsidRPr="004A3269">
        <w:rPr>
          <w:rStyle w:val="hps"/>
        </w:rPr>
        <w:t>de l</w:t>
      </w:r>
      <w:r w:rsidR="009021AA" w:rsidRPr="004A3269">
        <w:rPr>
          <w:rStyle w:val="hps"/>
        </w:rPr>
        <w:t>’</w:t>
      </w:r>
      <w:r w:rsidRPr="004A3269">
        <w:rPr>
          <w:rStyle w:val="hps"/>
        </w:rPr>
        <w:t>Organisation</w:t>
      </w:r>
      <w:r w:rsidRPr="004A3269">
        <w:t xml:space="preserve">. </w:t>
      </w:r>
      <w:r w:rsidR="001416DB" w:rsidRPr="004A3269">
        <w:t xml:space="preserve"> </w:t>
      </w:r>
      <w:r w:rsidRPr="004A3269">
        <w:rPr>
          <w:rStyle w:val="hps"/>
        </w:rPr>
        <w:t>Le</w:t>
      </w:r>
      <w:r w:rsidRPr="004A3269">
        <w:t xml:space="preserve"> </w:t>
      </w:r>
      <w:r w:rsidRPr="004A3269">
        <w:rPr>
          <w:rStyle w:val="hps"/>
        </w:rPr>
        <w:t>tableau ci</w:t>
      </w:r>
      <w:r w:rsidR="00A17552" w:rsidRPr="004A3269">
        <w:rPr>
          <w:rStyle w:val="hps"/>
        </w:rPr>
        <w:noBreakHyphen/>
      </w:r>
      <w:r w:rsidRPr="004A3269">
        <w:rPr>
          <w:rStyle w:val="hps"/>
        </w:rPr>
        <w:t>dessous</w:t>
      </w:r>
      <w:r w:rsidRPr="004A3269">
        <w:t xml:space="preserve"> </w:t>
      </w:r>
      <w:r w:rsidRPr="004A3269">
        <w:rPr>
          <w:rStyle w:val="hps"/>
        </w:rPr>
        <w:t xml:space="preserve">présente </w:t>
      </w:r>
      <w:r w:rsidR="001416DB" w:rsidRPr="004A3269">
        <w:rPr>
          <w:rStyle w:val="hps"/>
        </w:rPr>
        <w:t>une synthèse des évolutions</w:t>
      </w:r>
      <w:r w:rsidRPr="004A3269">
        <w:t xml:space="preserve"> </w:t>
      </w:r>
      <w:r w:rsidRPr="004A3269">
        <w:rPr>
          <w:rStyle w:val="hps"/>
        </w:rPr>
        <w:t>par type de</w:t>
      </w:r>
      <w:r w:rsidRPr="004A3269">
        <w:t xml:space="preserve"> </w:t>
      </w:r>
      <w:r w:rsidR="001416DB" w:rsidRPr="004A3269">
        <w:rPr>
          <w:rStyle w:val="hps"/>
        </w:rPr>
        <w:t>recettes</w:t>
      </w:r>
      <w:r w:rsidRPr="004A3269">
        <w:t xml:space="preserve"> </w:t>
      </w:r>
      <w:r w:rsidRPr="004A3269">
        <w:rPr>
          <w:rStyle w:val="hps"/>
        </w:rPr>
        <w:t>par rapport</w:t>
      </w:r>
      <w:r w:rsidRPr="004A3269">
        <w:t xml:space="preserve"> </w:t>
      </w:r>
      <w:r w:rsidRPr="004A3269">
        <w:rPr>
          <w:rStyle w:val="hps"/>
        </w:rPr>
        <w:t>à l</w:t>
      </w:r>
      <w:r w:rsidR="009021AA" w:rsidRPr="004A3269">
        <w:rPr>
          <w:rStyle w:val="hps"/>
        </w:rPr>
        <w:t>’</w:t>
      </w:r>
      <w:r w:rsidRPr="004A3269">
        <w:rPr>
          <w:rStyle w:val="hps"/>
        </w:rPr>
        <w:t>exercice précédent</w:t>
      </w:r>
      <w:r w:rsidR="008E2667" w:rsidRPr="004A3269">
        <w:rPr>
          <w:rFonts w:eastAsia="SimSun"/>
          <w:szCs w:val="22"/>
          <w:lang w:eastAsia="zh-CN"/>
        </w:rPr>
        <w:t>.</w:t>
      </w:r>
    </w:p>
    <w:p w:rsidR="00267140" w:rsidRPr="004A3269" w:rsidRDefault="00267140" w:rsidP="001B392D">
      <w:pPr>
        <w:pStyle w:val="ListParagraph"/>
        <w:rPr>
          <w:rFonts w:eastAsia="SimSun"/>
          <w:szCs w:val="22"/>
          <w:lang w:eastAsia="zh-CN"/>
        </w:rPr>
      </w:pPr>
    </w:p>
    <w:p w:rsidR="00267140" w:rsidRPr="004A3269" w:rsidRDefault="002F78E8" w:rsidP="003D7C06">
      <w:pPr>
        <w:keepNext/>
        <w:keepLines/>
        <w:jc w:val="center"/>
        <w:rPr>
          <w:rFonts w:eastAsia="SimSun"/>
          <w:szCs w:val="22"/>
          <w:u w:val="single"/>
          <w:lang w:eastAsia="zh-CN"/>
        </w:rPr>
      </w:pPr>
      <w:r w:rsidRPr="004A3269">
        <w:rPr>
          <w:rFonts w:eastAsia="SimSun"/>
          <w:szCs w:val="22"/>
          <w:u w:val="single"/>
          <w:lang w:eastAsia="zh-CN"/>
        </w:rPr>
        <w:lastRenderedPageBreak/>
        <w:t>Évolution des recettes entre 2013 et 2014</w:t>
      </w:r>
    </w:p>
    <w:p w:rsidR="00267140" w:rsidRPr="004A3269" w:rsidRDefault="00267140" w:rsidP="003D7C06">
      <w:pPr>
        <w:keepNext/>
        <w:keepLines/>
        <w:jc w:val="center"/>
        <w:rPr>
          <w:rFonts w:eastAsia="SimSun"/>
          <w:szCs w:val="22"/>
          <w:lang w:eastAsia="zh-CN"/>
        </w:rPr>
      </w:pPr>
    </w:p>
    <w:p w:rsidR="004953F8" w:rsidRPr="004A3269" w:rsidRDefault="004953F8" w:rsidP="003D7C06">
      <w:pPr>
        <w:keepNext/>
        <w:keepLines/>
        <w:jc w:val="center"/>
        <w:rPr>
          <w:rFonts w:eastAsia="SimSun"/>
          <w:szCs w:val="22"/>
          <w:lang w:eastAsia="zh-CN"/>
        </w:rPr>
      </w:pPr>
      <w:r w:rsidRPr="004A3269">
        <w:rPr>
          <w:rFonts w:eastAsia="SimSun"/>
          <w:noProof/>
          <w:lang w:val="en-US"/>
        </w:rPr>
        <w:drawing>
          <wp:inline distT="0" distB="0" distL="0" distR="0" wp14:anchorId="4E3ED1CC" wp14:editId="5B034F95">
            <wp:extent cx="5969635" cy="325818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69635" cy="3258185"/>
                    </a:xfrm>
                    <a:prstGeom prst="rect">
                      <a:avLst/>
                    </a:prstGeom>
                    <a:noFill/>
                    <a:ln>
                      <a:noFill/>
                    </a:ln>
                  </pic:spPr>
                </pic:pic>
              </a:graphicData>
            </a:graphic>
          </wp:inline>
        </w:drawing>
      </w:r>
    </w:p>
    <w:p w:rsidR="004953F8" w:rsidRPr="004A3269" w:rsidRDefault="004953F8" w:rsidP="004953F8">
      <w:pPr>
        <w:rPr>
          <w:rFonts w:eastAsia="SimSun"/>
          <w:szCs w:val="22"/>
          <w:lang w:eastAsia="zh-CN"/>
        </w:rPr>
      </w:pPr>
    </w:p>
    <w:p w:rsidR="009021AA" w:rsidRPr="004A3269" w:rsidRDefault="006042CE" w:rsidP="003D7C06">
      <w:pPr>
        <w:pStyle w:val="ONUMFS"/>
        <w:rPr>
          <w:rFonts w:eastAsia="SimSun"/>
          <w:szCs w:val="22"/>
          <w:lang w:eastAsia="zh-CN"/>
        </w:rPr>
      </w:pPr>
      <w:r w:rsidRPr="004A3269">
        <w:rPr>
          <w:rStyle w:val="hps"/>
        </w:rPr>
        <w:t>L</w:t>
      </w:r>
      <w:r w:rsidR="009021AA" w:rsidRPr="004A3269">
        <w:rPr>
          <w:rStyle w:val="hps"/>
        </w:rPr>
        <w:t>’</w:t>
      </w:r>
      <w:r w:rsidRPr="004A3269">
        <w:rPr>
          <w:rStyle w:val="hps"/>
        </w:rPr>
        <w:t>activité</w:t>
      </w:r>
      <w:r w:rsidR="009021AA" w:rsidRPr="004A3269">
        <w:t xml:space="preserve"> </w:t>
      </w:r>
      <w:r w:rsidR="009021AA" w:rsidRPr="004A3269">
        <w:rPr>
          <w:rStyle w:val="hps"/>
        </w:rPr>
        <w:t>du</w:t>
      </w:r>
      <w:r w:rsidR="009021AA" w:rsidRPr="004A3269">
        <w:t> </w:t>
      </w:r>
      <w:r w:rsidR="009021AA" w:rsidRPr="004A3269">
        <w:rPr>
          <w:rStyle w:val="hps"/>
        </w:rPr>
        <w:t>PCT</w:t>
      </w:r>
      <w:r w:rsidRPr="004A3269">
        <w:t xml:space="preserve"> </w:t>
      </w:r>
      <w:r w:rsidRPr="004A3269">
        <w:rPr>
          <w:rStyle w:val="hps"/>
        </w:rPr>
        <w:t>a continué de progresser en 2014</w:t>
      </w:r>
      <w:r w:rsidRPr="004A3269">
        <w:t xml:space="preserve">, avec </w:t>
      </w:r>
      <w:r w:rsidRPr="004A3269">
        <w:rPr>
          <w:rStyle w:val="hps"/>
        </w:rPr>
        <w:t>214 900</w:t>
      </w:r>
      <w:r w:rsidRPr="004A3269">
        <w:t> </w:t>
      </w:r>
      <w:r w:rsidRPr="004A3269">
        <w:rPr>
          <w:rStyle w:val="hps"/>
        </w:rPr>
        <w:t>demandes déposées</w:t>
      </w:r>
      <w:r w:rsidRPr="004A3269">
        <w:t xml:space="preserve"> en 2014</w:t>
      </w:r>
      <w:r w:rsidRPr="004A3269">
        <w:rPr>
          <w:rStyle w:val="hps"/>
        </w:rPr>
        <w:t xml:space="preserve"> (selon les estimations</w:t>
      </w:r>
      <w:r w:rsidRPr="004A3269">
        <w:t xml:space="preserve"> </w:t>
      </w:r>
      <w:r w:rsidRPr="004A3269">
        <w:rPr>
          <w:rStyle w:val="hps"/>
        </w:rPr>
        <w:t>de février</w:t>
      </w:r>
      <w:r w:rsidRPr="004A3269">
        <w:t> </w:t>
      </w:r>
      <w:r w:rsidRPr="004A3269">
        <w:rPr>
          <w:rStyle w:val="hps"/>
        </w:rPr>
        <w:t>2015)</w:t>
      </w:r>
      <w:r w:rsidRPr="004A3269">
        <w:t xml:space="preserve">.  </w:t>
      </w:r>
      <w:r w:rsidRPr="004A3269">
        <w:rPr>
          <w:rStyle w:val="hps"/>
        </w:rPr>
        <w:t xml:space="preserve">Le nombre de </w:t>
      </w:r>
      <w:r w:rsidR="00D3479F" w:rsidRPr="004A3269">
        <w:rPr>
          <w:rStyle w:val="hps"/>
        </w:rPr>
        <w:t>demandes déposées</w:t>
      </w:r>
      <w:r w:rsidRPr="004A3269">
        <w:rPr>
          <w:rStyle w:val="hps"/>
        </w:rPr>
        <w:t xml:space="preserve"> selon</w:t>
      </w:r>
      <w:r w:rsidR="009021AA" w:rsidRPr="004A3269">
        <w:rPr>
          <w:rStyle w:val="hps"/>
        </w:rPr>
        <w:t xml:space="preserve"> le PCT</w:t>
      </w:r>
      <w:r w:rsidR="00D3479F" w:rsidRPr="004A3269">
        <w:t xml:space="preserve">, qui </w:t>
      </w:r>
      <w:r w:rsidR="00D3479F" w:rsidRPr="004A3269">
        <w:rPr>
          <w:rStyle w:val="hps"/>
        </w:rPr>
        <w:t>a augmenté d</w:t>
      </w:r>
      <w:r w:rsidR="009021AA" w:rsidRPr="004A3269">
        <w:rPr>
          <w:rStyle w:val="hps"/>
        </w:rPr>
        <w:t>’</w:t>
      </w:r>
      <w:r w:rsidR="00D3479F" w:rsidRPr="004A3269">
        <w:rPr>
          <w:rStyle w:val="hps"/>
        </w:rPr>
        <w:t>année en</w:t>
      </w:r>
      <w:r w:rsidR="00D3479F" w:rsidRPr="004A3269">
        <w:t xml:space="preserve"> </w:t>
      </w:r>
      <w:r w:rsidR="00D3479F" w:rsidRPr="004A3269">
        <w:rPr>
          <w:rStyle w:val="hps"/>
        </w:rPr>
        <w:t>année depuis</w:t>
      </w:r>
      <w:r w:rsidR="00D3479F" w:rsidRPr="004A3269">
        <w:t> </w:t>
      </w:r>
      <w:r w:rsidR="00D3479F" w:rsidRPr="004A3269">
        <w:rPr>
          <w:rStyle w:val="hps"/>
        </w:rPr>
        <w:t xml:space="preserve">2010, </w:t>
      </w:r>
      <w:r w:rsidRPr="004A3269">
        <w:rPr>
          <w:rStyle w:val="hps"/>
        </w:rPr>
        <w:t>est</w:t>
      </w:r>
      <w:r w:rsidRPr="004A3269">
        <w:t xml:space="preserve"> </w:t>
      </w:r>
      <w:r w:rsidRPr="004A3269">
        <w:rPr>
          <w:rStyle w:val="hps"/>
        </w:rPr>
        <w:t>un indicateur direct du niveau de recettes</w:t>
      </w:r>
      <w:r w:rsidRPr="004A3269">
        <w:t xml:space="preserve"> provenant </w:t>
      </w:r>
      <w:r w:rsidR="00D3479F" w:rsidRPr="004A3269">
        <w:t xml:space="preserve">des taxes du </w:t>
      </w:r>
      <w:r w:rsidRPr="004A3269">
        <w:rPr>
          <w:rStyle w:val="hps"/>
        </w:rPr>
        <w:t>système</w:t>
      </w:r>
      <w:r w:rsidR="009021AA" w:rsidRPr="004A3269">
        <w:t xml:space="preserve"> </w:t>
      </w:r>
      <w:r w:rsidR="009021AA" w:rsidRPr="004A3269">
        <w:rPr>
          <w:rStyle w:val="hps"/>
        </w:rPr>
        <w:t>du</w:t>
      </w:r>
      <w:r w:rsidR="009021AA" w:rsidRPr="004A3269">
        <w:t> </w:t>
      </w:r>
      <w:r w:rsidR="009021AA" w:rsidRPr="004A3269">
        <w:rPr>
          <w:rStyle w:val="hps"/>
        </w:rPr>
        <w:t>PCT</w:t>
      </w:r>
      <w:r w:rsidRPr="004A3269">
        <w:rPr>
          <w:rStyle w:val="hps"/>
        </w:rPr>
        <w:t xml:space="preserve">. </w:t>
      </w:r>
      <w:r w:rsidR="00D3479F" w:rsidRPr="004A3269">
        <w:rPr>
          <w:rStyle w:val="hps"/>
        </w:rPr>
        <w:t xml:space="preserve"> Sur la base des</w:t>
      </w:r>
      <w:r w:rsidRPr="004A3269">
        <w:rPr>
          <w:rStyle w:val="hps"/>
        </w:rPr>
        <w:t xml:space="preserve"> prévisions </w:t>
      </w:r>
      <w:r w:rsidR="00D3479F" w:rsidRPr="004A3269">
        <w:rPr>
          <w:rStyle w:val="hps"/>
        </w:rPr>
        <w:t>de j</w:t>
      </w:r>
      <w:r w:rsidRPr="004A3269">
        <w:rPr>
          <w:rStyle w:val="hps"/>
        </w:rPr>
        <w:t>anvier</w:t>
      </w:r>
      <w:r w:rsidR="00D3479F" w:rsidRPr="004A3269">
        <w:t> </w:t>
      </w:r>
      <w:r w:rsidRPr="004A3269">
        <w:rPr>
          <w:rStyle w:val="hps"/>
        </w:rPr>
        <w:t>2015,</w:t>
      </w:r>
      <w:r w:rsidRPr="004A3269">
        <w:t xml:space="preserve"> </w:t>
      </w:r>
      <w:r w:rsidR="00D3479F" w:rsidRPr="004A3269">
        <w:rPr>
          <w:rStyle w:val="hps"/>
        </w:rPr>
        <w:t>le nombre de</w:t>
      </w:r>
      <w:r w:rsidRPr="004A3269">
        <w:rPr>
          <w:rStyle w:val="hps"/>
        </w:rPr>
        <w:t xml:space="preserve"> </w:t>
      </w:r>
      <w:r w:rsidR="00D3479F" w:rsidRPr="004A3269">
        <w:rPr>
          <w:rStyle w:val="hps"/>
        </w:rPr>
        <w:t>demandes devrai</w:t>
      </w:r>
      <w:r w:rsidRPr="004A3269">
        <w:rPr>
          <w:rStyle w:val="hps"/>
        </w:rPr>
        <w:t>t continuer</w:t>
      </w:r>
      <w:r w:rsidRPr="004A3269">
        <w:t xml:space="preserve"> </w:t>
      </w:r>
      <w:r w:rsidR="00D3479F" w:rsidRPr="004A3269">
        <w:t>d</w:t>
      </w:r>
      <w:r w:rsidR="009021AA" w:rsidRPr="004A3269">
        <w:t>’</w:t>
      </w:r>
      <w:r w:rsidRPr="004A3269">
        <w:rPr>
          <w:rStyle w:val="hps"/>
        </w:rPr>
        <w:t>augmenter au cours</w:t>
      </w:r>
      <w:r w:rsidRPr="004A3269">
        <w:t xml:space="preserve"> </w:t>
      </w:r>
      <w:r w:rsidRPr="004A3269">
        <w:rPr>
          <w:rStyle w:val="hps"/>
        </w:rPr>
        <w:t>des trois</w:t>
      </w:r>
      <w:r w:rsidR="00067463" w:rsidRPr="004A3269">
        <w:rPr>
          <w:rStyle w:val="hps"/>
        </w:rPr>
        <w:t> </w:t>
      </w:r>
      <w:r w:rsidRPr="004A3269">
        <w:rPr>
          <w:rStyle w:val="hps"/>
        </w:rPr>
        <w:t>prochaines années </w:t>
      </w:r>
      <w:r w:rsidR="001708D8" w:rsidRPr="004A3269">
        <w:rPr>
          <w:rStyle w:val="hps"/>
          <w:rFonts w:eastAsia="SimSun"/>
        </w:rPr>
        <w:t>:</w:t>
      </w:r>
    </w:p>
    <w:p w:rsidR="00267140" w:rsidRPr="004A3269" w:rsidRDefault="00DC6718" w:rsidP="001B392D">
      <w:pPr>
        <w:jc w:val="center"/>
        <w:rPr>
          <w:rFonts w:eastAsia="SimSun"/>
          <w:szCs w:val="22"/>
          <w:u w:val="single"/>
          <w:lang w:eastAsia="zh-CN"/>
        </w:rPr>
      </w:pPr>
      <w:r w:rsidRPr="004A3269">
        <w:rPr>
          <w:rFonts w:eastAsia="SimSun"/>
          <w:szCs w:val="22"/>
          <w:u w:val="single"/>
          <w:lang w:eastAsia="zh-CN"/>
        </w:rPr>
        <w:t>Nombre de demandes selon</w:t>
      </w:r>
      <w:r w:rsidR="009021AA" w:rsidRPr="004A3269">
        <w:rPr>
          <w:rFonts w:eastAsia="SimSun"/>
          <w:szCs w:val="22"/>
          <w:u w:val="single"/>
          <w:lang w:eastAsia="zh-CN"/>
        </w:rPr>
        <w:t xml:space="preserve"> le PCT</w:t>
      </w:r>
      <w:r w:rsidR="003B559A" w:rsidRPr="004A3269">
        <w:rPr>
          <w:rFonts w:eastAsia="SimSun"/>
          <w:szCs w:val="22"/>
          <w:u w:val="single"/>
          <w:lang w:eastAsia="zh-CN"/>
        </w:rPr>
        <w:t xml:space="preserve"> </w:t>
      </w:r>
      <w:r w:rsidRPr="004A3269">
        <w:rPr>
          <w:rFonts w:eastAsia="SimSun"/>
          <w:szCs w:val="22"/>
          <w:u w:val="single"/>
          <w:lang w:eastAsia="zh-CN"/>
        </w:rPr>
        <w:t>par année de dépôt (</w:t>
      </w:r>
      <w:r w:rsidR="003B559A" w:rsidRPr="004A3269">
        <w:rPr>
          <w:rFonts w:eastAsia="SimSun"/>
          <w:szCs w:val="22"/>
          <w:u w:val="single"/>
          <w:lang w:eastAsia="zh-CN"/>
        </w:rPr>
        <w:t>2010</w:t>
      </w:r>
      <w:r w:rsidR="00A17552" w:rsidRPr="004A3269">
        <w:rPr>
          <w:rFonts w:eastAsia="SimSun"/>
          <w:szCs w:val="22"/>
          <w:u w:val="single"/>
          <w:lang w:eastAsia="zh-CN"/>
        </w:rPr>
        <w:noBreakHyphen/>
      </w:r>
      <w:r w:rsidR="003B559A" w:rsidRPr="004A3269">
        <w:rPr>
          <w:rFonts w:eastAsia="SimSun"/>
          <w:szCs w:val="22"/>
          <w:u w:val="single"/>
          <w:lang w:eastAsia="zh-CN"/>
        </w:rPr>
        <w:t>2017</w:t>
      </w:r>
      <w:r w:rsidRPr="004A3269">
        <w:rPr>
          <w:rFonts w:eastAsia="SimSun"/>
          <w:szCs w:val="22"/>
          <w:u w:val="single"/>
          <w:lang w:eastAsia="zh-CN"/>
        </w:rPr>
        <w:t>)</w:t>
      </w:r>
    </w:p>
    <w:p w:rsidR="004953F8" w:rsidRPr="004A3269" w:rsidRDefault="004953F8" w:rsidP="003B559A">
      <w:pPr>
        <w:spacing w:after="220"/>
        <w:jc w:val="center"/>
        <w:rPr>
          <w:rFonts w:eastAsia="SimSun"/>
          <w:szCs w:val="22"/>
          <w:lang w:eastAsia="zh-CN"/>
        </w:rPr>
      </w:pPr>
      <w:r w:rsidRPr="004A3269">
        <w:rPr>
          <w:rFonts w:eastAsia="SimSun"/>
          <w:noProof/>
          <w:lang w:val="en-US"/>
        </w:rPr>
        <w:drawing>
          <wp:inline distT="0" distB="0" distL="0" distR="0" wp14:anchorId="2913F888" wp14:editId="7E322FE0">
            <wp:extent cx="4572000" cy="2736850"/>
            <wp:effectExtent l="0" t="0" r="0" b="635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0" cy="2736850"/>
                    </a:xfrm>
                    <a:prstGeom prst="rect">
                      <a:avLst/>
                    </a:prstGeom>
                    <a:noFill/>
                    <a:ln>
                      <a:noFill/>
                    </a:ln>
                  </pic:spPr>
                </pic:pic>
              </a:graphicData>
            </a:graphic>
          </wp:inline>
        </w:drawing>
      </w:r>
    </w:p>
    <w:p w:rsidR="00267140" w:rsidRPr="004A3269" w:rsidRDefault="00D3479F" w:rsidP="003D7C06">
      <w:pPr>
        <w:pStyle w:val="ONUMFS"/>
        <w:rPr>
          <w:rFonts w:eastAsia="SimSun"/>
          <w:szCs w:val="22"/>
          <w:lang w:eastAsia="zh-CN"/>
        </w:rPr>
      </w:pPr>
      <w:r w:rsidRPr="004A3269">
        <w:rPr>
          <w:rStyle w:val="hps"/>
        </w:rPr>
        <w:t>Les r</w:t>
      </w:r>
      <w:r w:rsidR="006042CE" w:rsidRPr="004A3269">
        <w:rPr>
          <w:rStyle w:val="hps"/>
        </w:rPr>
        <w:t>ecettes</w:t>
      </w:r>
      <w:r w:rsidR="009021AA" w:rsidRPr="004A3269">
        <w:t xml:space="preserve"> </w:t>
      </w:r>
      <w:r w:rsidR="009021AA" w:rsidRPr="004A3269">
        <w:rPr>
          <w:rStyle w:val="hps"/>
        </w:rPr>
        <w:t>du</w:t>
      </w:r>
      <w:r w:rsidR="009021AA" w:rsidRPr="004A3269">
        <w:t> </w:t>
      </w:r>
      <w:r w:rsidR="009021AA" w:rsidRPr="004A3269">
        <w:rPr>
          <w:rStyle w:val="hps"/>
        </w:rPr>
        <w:t>PCT</w:t>
      </w:r>
      <w:r w:rsidR="006042CE" w:rsidRPr="004A3269">
        <w:t xml:space="preserve"> </w:t>
      </w:r>
      <w:r w:rsidRPr="004A3269">
        <w:t>proviennent essentiellement</w:t>
      </w:r>
      <w:r w:rsidR="006042CE" w:rsidRPr="004A3269">
        <w:rPr>
          <w:rStyle w:val="hps"/>
        </w:rPr>
        <w:t xml:space="preserve"> de</w:t>
      </w:r>
      <w:r w:rsidRPr="004A3269">
        <w:t xml:space="preserve">s </w:t>
      </w:r>
      <w:r w:rsidR="006042CE" w:rsidRPr="004A3269">
        <w:rPr>
          <w:rStyle w:val="hps"/>
        </w:rPr>
        <w:t xml:space="preserve">taxes </w:t>
      </w:r>
      <w:r w:rsidR="00ED13F5" w:rsidRPr="004A3269">
        <w:rPr>
          <w:rStyle w:val="hps"/>
        </w:rPr>
        <w:t xml:space="preserve">requises pour les demandes </w:t>
      </w:r>
      <w:r w:rsidR="006042CE" w:rsidRPr="004A3269">
        <w:rPr>
          <w:rStyle w:val="hps"/>
        </w:rPr>
        <w:t>internationales</w:t>
      </w:r>
      <w:r w:rsidR="006042CE" w:rsidRPr="004A3269">
        <w:t xml:space="preserve"> </w:t>
      </w:r>
      <w:r w:rsidR="006042CE" w:rsidRPr="004A3269">
        <w:rPr>
          <w:rStyle w:val="hps"/>
        </w:rPr>
        <w:t>(</w:t>
      </w:r>
      <w:r w:rsidR="006042CE" w:rsidRPr="004A3269">
        <w:t xml:space="preserve">la taxe de base, </w:t>
      </w:r>
      <w:r w:rsidR="00ED13F5" w:rsidRPr="004A3269">
        <w:rPr>
          <w:rStyle w:val="hps"/>
        </w:rPr>
        <w:t>plus</w:t>
      </w:r>
      <w:r w:rsidR="006042CE" w:rsidRPr="004A3269">
        <w:rPr>
          <w:rStyle w:val="hps"/>
        </w:rPr>
        <w:t xml:space="preserve"> les </w:t>
      </w:r>
      <w:r w:rsidR="00ED13F5" w:rsidRPr="004A3269">
        <w:rPr>
          <w:rStyle w:val="hps"/>
        </w:rPr>
        <w:t>frais pour les</w:t>
      </w:r>
      <w:r w:rsidR="006042CE" w:rsidRPr="004A3269">
        <w:t xml:space="preserve"> </w:t>
      </w:r>
      <w:r w:rsidR="006042CE" w:rsidRPr="004A3269">
        <w:rPr>
          <w:rStyle w:val="hps"/>
        </w:rPr>
        <w:t>pages</w:t>
      </w:r>
      <w:r w:rsidR="006042CE" w:rsidRPr="004A3269">
        <w:t xml:space="preserve"> </w:t>
      </w:r>
      <w:r w:rsidR="006042CE" w:rsidRPr="004A3269">
        <w:rPr>
          <w:rStyle w:val="hps"/>
        </w:rPr>
        <w:t>supplémentaires</w:t>
      </w:r>
      <w:r w:rsidR="006042CE" w:rsidRPr="004A3269">
        <w:t xml:space="preserve">, </w:t>
      </w:r>
      <w:r w:rsidR="006042CE" w:rsidRPr="004A3269">
        <w:rPr>
          <w:rStyle w:val="hps"/>
        </w:rPr>
        <w:t>moins</w:t>
      </w:r>
      <w:r w:rsidR="006042CE" w:rsidRPr="004A3269">
        <w:t xml:space="preserve"> </w:t>
      </w:r>
      <w:r w:rsidR="006042CE" w:rsidRPr="004A3269">
        <w:rPr>
          <w:rStyle w:val="hps"/>
        </w:rPr>
        <w:t>les réductions</w:t>
      </w:r>
      <w:r w:rsidR="00ED13F5" w:rsidRPr="004A3269">
        <w:rPr>
          <w:rStyle w:val="hps"/>
        </w:rPr>
        <w:t xml:space="preserve"> pour les dépôts électroniques</w:t>
      </w:r>
      <w:r w:rsidR="006042CE" w:rsidRPr="004A3269">
        <w:t xml:space="preserve"> </w:t>
      </w:r>
      <w:r w:rsidR="006042CE" w:rsidRPr="004A3269">
        <w:rPr>
          <w:rStyle w:val="hps"/>
        </w:rPr>
        <w:t>et les pays</w:t>
      </w:r>
      <w:r w:rsidR="006042CE" w:rsidRPr="004A3269">
        <w:t xml:space="preserve"> </w:t>
      </w:r>
      <w:r w:rsidR="006042CE" w:rsidRPr="004A3269">
        <w:rPr>
          <w:rStyle w:val="hps"/>
        </w:rPr>
        <w:t>les moins avancés</w:t>
      </w:r>
      <w:r w:rsidR="006042CE" w:rsidRPr="004A3269">
        <w:t xml:space="preserve">). </w:t>
      </w:r>
      <w:r w:rsidRPr="004A3269">
        <w:t xml:space="preserve"> </w:t>
      </w:r>
      <w:r w:rsidR="006042CE" w:rsidRPr="004A3269">
        <w:rPr>
          <w:rStyle w:val="hps"/>
        </w:rPr>
        <w:t>Le</w:t>
      </w:r>
      <w:r w:rsidR="00ED13F5" w:rsidRPr="004A3269">
        <w:rPr>
          <w:rStyle w:val="hps"/>
        </w:rPr>
        <w:t xml:space="preserve"> montant total des recettes provenant des taxes du</w:t>
      </w:r>
      <w:r w:rsidR="006042CE" w:rsidRPr="004A3269">
        <w:t xml:space="preserve"> </w:t>
      </w:r>
      <w:r w:rsidR="006042CE" w:rsidRPr="004A3269">
        <w:rPr>
          <w:rStyle w:val="hps"/>
        </w:rPr>
        <w:t>système</w:t>
      </w:r>
      <w:r w:rsidR="009021AA" w:rsidRPr="004A3269">
        <w:t xml:space="preserve"> </w:t>
      </w:r>
      <w:r w:rsidR="009021AA" w:rsidRPr="004A3269">
        <w:rPr>
          <w:rStyle w:val="hps"/>
        </w:rPr>
        <w:t>du</w:t>
      </w:r>
      <w:r w:rsidR="009021AA" w:rsidRPr="004A3269">
        <w:t> </w:t>
      </w:r>
      <w:r w:rsidR="009021AA" w:rsidRPr="004A3269">
        <w:rPr>
          <w:rStyle w:val="hps"/>
        </w:rPr>
        <w:t>PCT</w:t>
      </w:r>
      <w:r w:rsidR="006042CE" w:rsidRPr="004A3269">
        <w:t xml:space="preserve"> </w:t>
      </w:r>
      <w:r w:rsidR="006042CE" w:rsidRPr="004A3269">
        <w:rPr>
          <w:rStyle w:val="hps"/>
        </w:rPr>
        <w:t>comprend</w:t>
      </w:r>
      <w:r w:rsidR="006042CE" w:rsidRPr="004A3269">
        <w:t xml:space="preserve"> </w:t>
      </w:r>
      <w:r w:rsidR="006042CE" w:rsidRPr="004A3269">
        <w:rPr>
          <w:rStyle w:val="hps"/>
        </w:rPr>
        <w:t>également d</w:t>
      </w:r>
      <w:r w:rsidR="009021AA" w:rsidRPr="004A3269">
        <w:rPr>
          <w:rStyle w:val="hps"/>
        </w:rPr>
        <w:t>’</w:t>
      </w:r>
      <w:r w:rsidR="006042CE" w:rsidRPr="004A3269">
        <w:rPr>
          <w:rStyle w:val="hps"/>
        </w:rPr>
        <w:t>autres</w:t>
      </w:r>
      <w:r w:rsidR="006042CE" w:rsidRPr="004A3269">
        <w:t xml:space="preserve"> </w:t>
      </w:r>
      <w:r w:rsidR="00ED13F5" w:rsidRPr="004A3269">
        <w:rPr>
          <w:rStyle w:val="hps"/>
        </w:rPr>
        <w:t>taxes</w:t>
      </w:r>
      <w:r w:rsidR="006042CE" w:rsidRPr="004A3269">
        <w:rPr>
          <w:rStyle w:val="hps"/>
        </w:rPr>
        <w:t xml:space="preserve"> (</w:t>
      </w:r>
      <w:r w:rsidR="009021AA" w:rsidRPr="004A3269">
        <w:rPr>
          <w:rStyle w:val="hps"/>
        </w:rPr>
        <w:t>y compris</w:t>
      </w:r>
      <w:r w:rsidR="006042CE" w:rsidRPr="004A3269">
        <w:t xml:space="preserve"> </w:t>
      </w:r>
      <w:r w:rsidR="006042CE" w:rsidRPr="004A3269">
        <w:rPr>
          <w:rStyle w:val="hps"/>
        </w:rPr>
        <w:t xml:space="preserve">les </w:t>
      </w:r>
      <w:r w:rsidR="00540C26" w:rsidRPr="004A3269">
        <w:rPr>
          <w:rStyle w:val="hps"/>
        </w:rPr>
        <w:t>taxes</w:t>
      </w:r>
      <w:r w:rsidR="006042CE" w:rsidRPr="004A3269">
        <w:t xml:space="preserve"> </w:t>
      </w:r>
      <w:r w:rsidR="006042CE" w:rsidRPr="004A3269">
        <w:rPr>
          <w:rStyle w:val="hps"/>
        </w:rPr>
        <w:t xml:space="preserve">de </w:t>
      </w:r>
      <w:r w:rsidR="00ED13F5" w:rsidRPr="004A3269">
        <w:rPr>
          <w:rStyle w:val="hps"/>
        </w:rPr>
        <w:t>traitement</w:t>
      </w:r>
      <w:r w:rsidR="006042CE" w:rsidRPr="004A3269">
        <w:rPr>
          <w:rStyle w:val="hps"/>
        </w:rPr>
        <w:t xml:space="preserve"> et de</w:t>
      </w:r>
      <w:r w:rsidR="006042CE" w:rsidRPr="004A3269">
        <w:t xml:space="preserve"> </w:t>
      </w:r>
      <w:r w:rsidR="006042CE" w:rsidRPr="004A3269">
        <w:rPr>
          <w:rStyle w:val="hps"/>
        </w:rPr>
        <w:t>transfert</w:t>
      </w:r>
      <w:r w:rsidR="006042CE" w:rsidRPr="004A3269">
        <w:t xml:space="preserve">) </w:t>
      </w:r>
      <w:r w:rsidR="00ED13F5" w:rsidRPr="004A3269">
        <w:rPr>
          <w:rStyle w:val="hps"/>
        </w:rPr>
        <w:t>ainsi que</w:t>
      </w:r>
      <w:r w:rsidR="006042CE" w:rsidRPr="004A3269">
        <w:rPr>
          <w:rStyle w:val="hps"/>
        </w:rPr>
        <w:t xml:space="preserve"> les</w:t>
      </w:r>
      <w:r w:rsidR="006042CE" w:rsidRPr="004A3269">
        <w:t xml:space="preserve"> </w:t>
      </w:r>
      <w:r w:rsidR="006042CE" w:rsidRPr="004A3269">
        <w:rPr>
          <w:rStyle w:val="hps"/>
        </w:rPr>
        <w:t xml:space="preserve">gains </w:t>
      </w:r>
      <w:r w:rsidR="00ED13F5" w:rsidRPr="004A3269">
        <w:rPr>
          <w:rStyle w:val="hps"/>
        </w:rPr>
        <w:t xml:space="preserve">et pertes </w:t>
      </w:r>
      <w:r w:rsidR="006042CE" w:rsidRPr="004A3269">
        <w:rPr>
          <w:rStyle w:val="hps"/>
        </w:rPr>
        <w:t>de change </w:t>
      </w:r>
      <w:r w:rsidR="00AD4A36" w:rsidRPr="004A3269">
        <w:rPr>
          <w:rStyle w:val="hps"/>
          <w:rFonts w:eastAsia="SimSun"/>
        </w:rPr>
        <w:t>:</w:t>
      </w:r>
    </w:p>
    <w:p w:rsidR="00267140" w:rsidRPr="004A3269" w:rsidRDefault="00540C26" w:rsidP="003D7C06">
      <w:pPr>
        <w:keepNext/>
        <w:keepLines/>
        <w:spacing w:after="220"/>
        <w:jc w:val="center"/>
        <w:rPr>
          <w:rFonts w:eastAsia="SimSun"/>
          <w:szCs w:val="22"/>
          <w:u w:val="single"/>
          <w:lang w:eastAsia="zh-CN"/>
        </w:rPr>
      </w:pPr>
      <w:r w:rsidRPr="004A3269">
        <w:rPr>
          <w:rFonts w:eastAsia="SimSun"/>
          <w:szCs w:val="22"/>
          <w:u w:val="single"/>
          <w:lang w:eastAsia="zh-CN"/>
        </w:rPr>
        <w:lastRenderedPageBreak/>
        <w:t>Liste détaillée des taxes du système</w:t>
      </w:r>
      <w:r w:rsidR="009021AA" w:rsidRPr="004A3269">
        <w:rPr>
          <w:rFonts w:eastAsia="SimSun"/>
          <w:szCs w:val="22"/>
          <w:u w:val="single"/>
          <w:lang w:eastAsia="zh-CN"/>
        </w:rPr>
        <w:t xml:space="preserve"> du PCT</w:t>
      </w:r>
      <w:r w:rsidRPr="004A3269">
        <w:rPr>
          <w:rFonts w:eastAsia="SimSun"/>
          <w:szCs w:val="22"/>
          <w:u w:val="single"/>
          <w:lang w:eastAsia="zh-CN"/>
        </w:rPr>
        <w:t xml:space="preserve"> (</w:t>
      </w:r>
      <w:r w:rsidR="002C3006" w:rsidRPr="004A3269">
        <w:rPr>
          <w:rFonts w:eastAsia="SimSun"/>
          <w:szCs w:val="22"/>
          <w:u w:val="single"/>
          <w:lang w:eastAsia="zh-CN"/>
        </w:rPr>
        <w:t>2012</w:t>
      </w:r>
      <w:r w:rsidR="00A17552" w:rsidRPr="004A3269">
        <w:rPr>
          <w:rFonts w:eastAsia="SimSun"/>
          <w:szCs w:val="22"/>
          <w:u w:val="single"/>
          <w:lang w:eastAsia="zh-CN"/>
        </w:rPr>
        <w:noBreakHyphen/>
      </w:r>
      <w:r w:rsidR="002C3006" w:rsidRPr="004A3269">
        <w:rPr>
          <w:rFonts w:eastAsia="SimSun"/>
          <w:szCs w:val="22"/>
          <w:u w:val="single"/>
          <w:lang w:eastAsia="zh-CN"/>
        </w:rPr>
        <w:t>2014</w:t>
      </w:r>
      <w:r w:rsidRPr="004A3269">
        <w:rPr>
          <w:rFonts w:eastAsia="SimSun"/>
          <w:szCs w:val="22"/>
          <w:u w:val="single"/>
          <w:lang w:eastAsia="zh-CN"/>
        </w:rPr>
        <w:t>)</w:t>
      </w:r>
    </w:p>
    <w:p w:rsidR="004953F8" w:rsidRPr="004A3269" w:rsidRDefault="004953F8" w:rsidP="003D7C06">
      <w:pPr>
        <w:keepNext/>
        <w:keepLines/>
        <w:spacing w:after="220"/>
        <w:jc w:val="center"/>
        <w:rPr>
          <w:rStyle w:val="hps"/>
          <w:rFonts w:eastAsia="SimSun"/>
          <w:szCs w:val="22"/>
          <w:lang w:eastAsia="zh-CN"/>
        </w:rPr>
      </w:pPr>
      <w:r w:rsidRPr="004A3269">
        <w:rPr>
          <w:rFonts w:eastAsia="SimSun"/>
          <w:noProof/>
          <w:lang w:val="en-US"/>
        </w:rPr>
        <w:drawing>
          <wp:inline distT="0" distB="0" distL="0" distR="0" wp14:anchorId="498FFEFF" wp14:editId="34365C65">
            <wp:extent cx="5570220" cy="14103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70220" cy="1410335"/>
                    </a:xfrm>
                    <a:prstGeom prst="rect">
                      <a:avLst/>
                    </a:prstGeom>
                    <a:noFill/>
                    <a:ln>
                      <a:noFill/>
                    </a:ln>
                  </pic:spPr>
                </pic:pic>
              </a:graphicData>
            </a:graphic>
          </wp:inline>
        </w:drawing>
      </w:r>
    </w:p>
    <w:p w:rsidR="004953F8" w:rsidRPr="004A3269" w:rsidRDefault="004953F8" w:rsidP="004953F8">
      <w:pPr>
        <w:rPr>
          <w:rFonts w:eastAsia="SimSun"/>
        </w:rPr>
      </w:pPr>
    </w:p>
    <w:p w:rsidR="00267140" w:rsidRPr="004A3269" w:rsidRDefault="00A11AF2" w:rsidP="003D7C06">
      <w:pPr>
        <w:pStyle w:val="ONUMFS"/>
        <w:rPr>
          <w:rFonts w:eastAsia="SimSun"/>
          <w:szCs w:val="22"/>
          <w:lang w:eastAsia="zh-CN"/>
        </w:rPr>
      </w:pPr>
      <w:r w:rsidRPr="004A3269">
        <w:rPr>
          <w:rStyle w:val="hps"/>
        </w:rPr>
        <w:t>Dans les états financiers</w:t>
      </w:r>
      <w:r w:rsidRPr="004A3269">
        <w:t xml:space="preserve"> </w:t>
      </w:r>
      <w:r w:rsidR="00C8508F" w:rsidRPr="004A3269">
        <w:t>établis conformément aux normes</w:t>
      </w:r>
      <w:r w:rsidR="00067463" w:rsidRPr="004A3269">
        <w:t> </w:t>
      </w:r>
      <w:r w:rsidRPr="004A3269">
        <w:rPr>
          <w:rStyle w:val="hps"/>
        </w:rPr>
        <w:t>IPSAS</w:t>
      </w:r>
      <w:r w:rsidRPr="004A3269">
        <w:t xml:space="preserve">, les </w:t>
      </w:r>
      <w:r w:rsidR="00C8508F" w:rsidRPr="004A3269">
        <w:t>recettes provenant des</w:t>
      </w:r>
      <w:r w:rsidRPr="004A3269">
        <w:t xml:space="preserve"> </w:t>
      </w:r>
      <w:r w:rsidRPr="004A3269">
        <w:rPr>
          <w:rStyle w:val="hps"/>
        </w:rPr>
        <w:t xml:space="preserve">taxes </w:t>
      </w:r>
      <w:r w:rsidR="00DC6718" w:rsidRPr="004A3269">
        <w:rPr>
          <w:rStyle w:val="hps"/>
        </w:rPr>
        <w:t xml:space="preserve">internationales </w:t>
      </w:r>
      <w:r w:rsidR="00C8508F" w:rsidRPr="004A3269">
        <w:rPr>
          <w:rStyle w:val="hps"/>
        </w:rPr>
        <w:t xml:space="preserve">de dépôt </w:t>
      </w:r>
      <w:r w:rsidR="00DC6718" w:rsidRPr="004A3269">
        <w:rPr>
          <w:rStyle w:val="hps"/>
        </w:rPr>
        <w:t>pour les</w:t>
      </w:r>
      <w:r w:rsidR="00400A38" w:rsidRPr="004A3269">
        <w:rPr>
          <w:rStyle w:val="hps"/>
        </w:rPr>
        <w:t xml:space="preserve"> demandes </w:t>
      </w:r>
      <w:r w:rsidR="00C8508F" w:rsidRPr="004A3269">
        <w:rPr>
          <w:rStyle w:val="hps"/>
        </w:rPr>
        <w:t>selon</w:t>
      </w:r>
      <w:r w:rsidR="009021AA" w:rsidRPr="004A3269">
        <w:rPr>
          <w:rStyle w:val="hps"/>
        </w:rPr>
        <w:t xml:space="preserve"> le PCT</w:t>
      </w:r>
      <w:r w:rsidRPr="004A3269">
        <w:t xml:space="preserve"> </w:t>
      </w:r>
      <w:r w:rsidR="00400A38" w:rsidRPr="004A3269">
        <w:rPr>
          <w:rStyle w:val="hps"/>
        </w:rPr>
        <w:t>ne sont comptabilisées qu</w:t>
      </w:r>
      <w:r w:rsidR="009021AA" w:rsidRPr="004A3269">
        <w:rPr>
          <w:rStyle w:val="hps"/>
        </w:rPr>
        <w:t>’</w:t>
      </w:r>
      <w:r w:rsidR="00400A38" w:rsidRPr="004A3269">
        <w:rPr>
          <w:rStyle w:val="hps"/>
        </w:rPr>
        <w:t xml:space="preserve">à la </w:t>
      </w:r>
      <w:r w:rsidRPr="004A3269">
        <w:rPr>
          <w:rStyle w:val="hps"/>
        </w:rPr>
        <w:t>publication</w:t>
      </w:r>
      <w:r w:rsidRPr="004A3269">
        <w:t xml:space="preserve"> </w:t>
      </w:r>
      <w:r w:rsidRPr="004A3269">
        <w:rPr>
          <w:rStyle w:val="hps"/>
        </w:rPr>
        <w:t>de la demande</w:t>
      </w:r>
      <w:r w:rsidRPr="004A3269">
        <w:t xml:space="preserve">. </w:t>
      </w:r>
      <w:r w:rsidR="00400A38" w:rsidRPr="004A3269">
        <w:t xml:space="preserve"> </w:t>
      </w:r>
      <w:r w:rsidRPr="004A3269">
        <w:rPr>
          <w:rStyle w:val="hps"/>
        </w:rPr>
        <w:t>Dans la plupart des</w:t>
      </w:r>
      <w:r w:rsidRPr="004A3269">
        <w:t xml:space="preserve"> </w:t>
      </w:r>
      <w:r w:rsidRPr="004A3269">
        <w:rPr>
          <w:rStyle w:val="hps"/>
        </w:rPr>
        <w:t>cas</w:t>
      </w:r>
      <w:r w:rsidRPr="004A3269">
        <w:t xml:space="preserve">, </w:t>
      </w:r>
      <w:r w:rsidRPr="004A3269">
        <w:rPr>
          <w:rStyle w:val="hps"/>
        </w:rPr>
        <w:t>la publication a lieu</w:t>
      </w:r>
      <w:r w:rsidRPr="004A3269">
        <w:t xml:space="preserve"> </w:t>
      </w:r>
      <w:r w:rsidR="00C8508F" w:rsidRPr="004A3269">
        <w:t>six </w:t>
      </w:r>
      <w:r w:rsidRPr="004A3269">
        <w:rPr>
          <w:rStyle w:val="hps"/>
        </w:rPr>
        <w:t>mois après</w:t>
      </w:r>
      <w:r w:rsidRPr="004A3269">
        <w:t xml:space="preserve"> </w:t>
      </w:r>
      <w:r w:rsidRPr="004A3269">
        <w:rPr>
          <w:rStyle w:val="hps"/>
        </w:rPr>
        <w:t>le dépôt d</w:t>
      </w:r>
      <w:r w:rsidR="009021AA" w:rsidRPr="004A3269">
        <w:rPr>
          <w:rStyle w:val="hps"/>
        </w:rPr>
        <w:t>’</w:t>
      </w:r>
      <w:r w:rsidRPr="004A3269">
        <w:rPr>
          <w:rStyle w:val="hps"/>
        </w:rPr>
        <w:t>une</w:t>
      </w:r>
      <w:r w:rsidRPr="004A3269">
        <w:t xml:space="preserve"> </w:t>
      </w:r>
      <w:r w:rsidRPr="004A3269">
        <w:rPr>
          <w:rStyle w:val="hps"/>
        </w:rPr>
        <w:t xml:space="preserve">demande internationale </w:t>
      </w:r>
      <w:r w:rsidR="00C8508F" w:rsidRPr="004A3269">
        <w:rPr>
          <w:rStyle w:val="hps"/>
        </w:rPr>
        <w:t>selon</w:t>
      </w:r>
      <w:r w:rsidR="009021AA" w:rsidRPr="004A3269">
        <w:rPr>
          <w:rStyle w:val="hps"/>
        </w:rPr>
        <w:t xml:space="preserve"> le PCT</w:t>
      </w:r>
      <w:r w:rsidR="00B34748" w:rsidRPr="004A3269">
        <w:rPr>
          <w:rFonts w:eastAsia="SimSun"/>
          <w:szCs w:val="22"/>
          <w:lang w:eastAsia="zh-CN"/>
        </w:rPr>
        <w:t>.</w:t>
      </w:r>
      <w:r w:rsidR="00D76393" w:rsidRPr="004A3269">
        <w:rPr>
          <w:rFonts w:eastAsia="SimSun"/>
          <w:szCs w:val="22"/>
          <w:lang w:eastAsia="zh-CN"/>
        </w:rPr>
        <w:t xml:space="preserve"> </w:t>
      </w:r>
      <w:r w:rsidR="00065045" w:rsidRPr="004A3269">
        <w:rPr>
          <w:rFonts w:eastAsia="SimSun"/>
          <w:szCs w:val="22"/>
          <w:lang w:eastAsia="zh-CN"/>
        </w:rPr>
        <w:t xml:space="preserve"> </w:t>
      </w:r>
      <w:r w:rsidR="002F78E8" w:rsidRPr="004A3269">
        <w:rPr>
          <w:rFonts w:eastAsia="SimSun"/>
          <w:szCs w:val="22"/>
          <w:lang w:eastAsia="zh-CN"/>
        </w:rPr>
        <w:t>À la date du dépôt, un solde des sommes exigibles est comptabilisé jusqu</w:t>
      </w:r>
      <w:r w:rsidR="009021AA" w:rsidRPr="004A3269">
        <w:rPr>
          <w:rFonts w:eastAsia="SimSun"/>
          <w:szCs w:val="22"/>
          <w:lang w:eastAsia="zh-CN"/>
        </w:rPr>
        <w:t>’</w:t>
      </w:r>
      <w:r w:rsidR="002F78E8" w:rsidRPr="004A3269">
        <w:rPr>
          <w:rFonts w:eastAsia="SimSun"/>
          <w:szCs w:val="22"/>
          <w:lang w:eastAsia="zh-CN"/>
        </w:rPr>
        <w:t>à ce que l</w:t>
      </w:r>
      <w:r w:rsidR="009021AA" w:rsidRPr="004A3269">
        <w:rPr>
          <w:rFonts w:eastAsia="SimSun"/>
          <w:szCs w:val="22"/>
          <w:lang w:eastAsia="zh-CN"/>
        </w:rPr>
        <w:t>’</w:t>
      </w:r>
      <w:r w:rsidR="002F78E8" w:rsidRPr="004A3269">
        <w:rPr>
          <w:rFonts w:eastAsia="SimSun"/>
          <w:szCs w:val="22"/>
          <w:lang w:eastAsia="zh-CN"/>
        </w:rPr>
        <w:t>Organisation ait reçu le paiement de la taxe.</w:t>
      </w:r>
      <w:r w:rsidR="004E2B48" w:rsidRPr="004A3269">
        <w:rPr>
          <w:rFonts w:eastAsia="SimSun"/>
        </w:rPr>
        <w:t xml:space="preserve"> </w:t>
      </w:r>
      <w:r w:rsidR="00065045" w:rsidRPr="004A3269">
        <w:rPr>
          <w:rFonts w:eastAsia="SimSun"/>
        </w:rPr>
        <w:t xml:space="preserve"> </w:t>
      </w:r>
      <w:r w:rsidR="00400A38" w:rsidRPr="004A3269">
        <w:rPr>
          <w:rStyle w:val="hps"/>
        </w:rPr>
        <w:t>Des recettes différées sont comptabilisées</w:t>
      </w:r>
      <w:r w:rsidR="00C8508F" w:rsidRPr="004A3269">
        <w:rPr>
          <w:rStyle w:val="hps"/>
        </w:rPr>
        <w:t xml:space="preserve"> </w:t>
      </w:r>
      <w:r w:rsidRPr="004A3269">
        <w:rPr>
          <w:rStyle w:val="hps"/>
        </w:rPr>
        <w:t>pour chaque</w:t>
      </w:r>
      <w:r w:rsidRPr="004A3269">
        <w:t xml:space="preserve"> </w:t>
      </w:r>
      <w:r w:rsidRPr="004A3269">
        <w:rPr>
          <w:rStyle w:val="hps"/>
        </w:rPr>
        <w:t>dépôt</w:t>
      </w:r>
      <w:r w:rsidRPr="004A3269">
        <w:t xml:space="preserve"> </w:t>
      </w:r>
      <w:r w:rsidRPr="004A3269">
        <w:rPr>
          <w:rStyle w:val="hps"/>
        </w:rPr>
        <w:t>jusqu</w:t>
      </w:r>
      <w:r w:rsidR="009021AA" w:rsidRPr="004A3269">
        <w:rPr>
          <w:rStyle w:val="hps"/>
        </w:rPr>
        <w:t>’</w:t>
      </w:r>
      <w:r w:rsidRPr="004A3269">
        <w:rPr>
          <w:rStyle w:val="hps"/>
        </w:rPr>
        <w:t xml:space="preserve">à la publication. </w:t>
      </w:r>
      <w:r w:rsidR="00C8508F" w:rsidRPr="004A3269">
        <w:rPr>
          <w:rStyle w:val="hps"/>
        </w:rPr>
        <w:t xml:space="preserve"> </w:t>
      </w:r>
      <w:r w:rsidRPr="004A3269">
        <w:rPr>
          <w:rStyle w:val="hps"/>
        </w:rPr>
        <w:t>Ceci est différent</w:t>
      </w:r>
      <w:r w:rsidRPr="004A3269">
        <w:t xml:space="preserve"> </w:t>
      </w:r>
      <w:r w:rsidRPr="004A3269">
        <w:rPr>
          <w:rStyle w:val="hps"/>
        </w:rPr>
        <w:t xml:space="preserve">du résultat </w:t>
      </w:r>
      <w:r w:rsidR="00400A38" w:rsidRPr="004A3269">
        <w:rPr>
          <w:rStyle w:val="hps"/>
        </w:rPr>
        <w:t>budgétaire</w:t>
      </w:r>
      <w:r w:rsidRPr="004A3269">
        <w:rPr>
          <w:rStyle w:val="hps"/>
        </w:rPr>
        <w:t xml:space="preserve"> </w:t>
      </w:r>
      <w:r w:rsidR="00400A38" w:rsidRPr="004A3269">
        <w:rPr>
          <w:rStyle w:val="hps"/>
        </w:rPr>
        <w:t>du</w:t>
      </w:r>
      <w:r w:rsidRPr="004A3269">
        <w:rPr>
          <w:rStyle w:val="hps"/>
        </w:rPr>
        <w:t xml:space="preserve"> programme et budget</w:t>
      </w:r>
      <w:r w:rsidRPr="004A3269">
        <w:t xml:space="preserve">, </w:t>
      </w:r>
      <w:r w:rsidRPr="004A3269">
        <w:rPr>
          <w:rStyle w:val="hps"/>
        </w:rPr>
        <w:t xml:space="preserve">en vertu </w:t>
      </w:r>
      <w:r w:rsidR="00400A38" w:rsidRPr="004A3269">
        <w:rPr>
          <w:rStyle w:val="hps"/>
        </w:rPr>
        <w:t>duquel</w:t>
      </w:r>
      <w:r w:rsidRPr="004A3269">
        <w:t xml:space="preserve"> </w:t>
      </w:r>
      <w:r w:rsidRPr="004A3269">
        <w:rPr>
          <w:rStyle w:val="hps"/>
        </w:rPr>
        <w:t>les recettes</w:t>
      </w:r>
      <w:r w:rsidRPr="004A3269">
        <w:t xml:space="preserve"> </w:t>
      </w:r>
      <w:r w:rsidR="00C8508F" w:rsidRPr="004A3269">
        <w:rPr>
          <w:rStyle w:val="hps"/>
        </w:rPr>
        <w:t>sont</w:t>
      </w:r>
      <w:r w:rsidRPr="004A3269">
        <w:rPr>
          <w:rStyle w:val="hps"/>
        </w:rPr>
        <w:t xml:space="preserve"> </w:t>
      </w:r>
      <w:r w:rsidR="00400A38" w:rsidRPr="004A3269">
        <w:rPr>
          <w:rStyle w:val="hps"/>
        </w:rPr>
        <w:t>comptabilisées</w:t>
      </w:r>
      <w:r w:rsidRPr="004A3269">
        <w:rPr>
          <w:rStyle w:val="hps"/>
        </w:rPr>
        <w:t xml:space="preserve"> </w:t>
      </w:r>
      <w:r w:rsidR="00400A38" w:rsidRPr="004A3269">
        <w:rPr>
          <w:rStyle w:val="hps"/>
        </w:rPr>
        <w:t>à la réception du</w:t>
      </w:r>
      <w:r w:rsidRPr="004A3269">
        <w:t xml:space="preserve"> </w:t>
      </w:r>
      <w:r w:rsidRPr="004A3269">
        <w:rPr>
          <w:rStyle w:val="hps"/>
        </w:rPr>
        <w:t>paiement en espèces</w:t>
      </w:r>
      <w:r w:rsidRPr="004A3269">
        <w:t xml:space="preserve"> </w:t>
      </w:r>
      <w:r w:rsidRPr="004A3269">
        <w:rPr>
          <w:rStyle w:val="hps"/>
        </w:rPr>
        <w:t xml:space="preserve">des </w:t>
      </w:r>
      <w:r w:rsidR="00400A38" w:rsidRPr="004A3269">
        <w:rPr>
          <w:rStyle w:val="hps"/>
        </w:rPr>
        <w:t>taxes</w:t>
      </w:r>
      <w:r w:rsidRPr="004A3269">
        <w:t xml:space="preserve">. </w:t>
      </w:r>
      <w:r w:rsidR="00C8508F" w:rsidRPr="004A3269">
        <w:t xml:space="preserve"> </w:t>
      </w:r>
      <w:r w:rsidR="00400A38" w:rsidRPr="004A3269">
        <w:rPr>
          <w:rStyle w:val="hps"/>
        </w:rPr>
        <w:t>Si</w:t>
      </w:r>
      <w:r w:rsidRPr="004A3269">
        <w:rPr>
          <w:rStyle w:val="hps"/>
        </w:rPr>
        <w:t xml:space="preserve"> l</w:t>
      </w:r>
      <w:r w:rsidR="009021AA" w:rsidRPr="004A3269">
        <w:rPr>
          <w:rStyle w:val="hps"/>
        </w:rPr>
        <w:t>’</w:t>
      </w:r>
      <w:r w:rsidRPr="004A3269">
        <w:rPr>
          <w:rStyle w:val="hps"/>
        </w:rPr>
        <w:t xml:space="preserve">on </w:t>
      </w:r>
      <w:r w:rsidR="00400A38" w:rsidRPr="004A3269">
        <w:rPr>
          <w:rStyle w:val="hps"/>
        </w:rPr>
        <w:t>observe</w:t>
      </w:r>
      <w:r w:rsidRPr="004A3269">
        <w:t xml:space="preserve"> </w:t>
      </w:r>
      <w:r w:rsidRPr="004A3269">
        <w:rPr>
          <w:rStyle w:val="hps"/>
        </w:rPr>
        <w:t>les recettes provenant</w:t>
      </w:r>
      <w:r w:rsidRPr="004A3269">
        <w:t xml:space="preserve"> </w:t>
      </w:r>
      <w:r w:rsidRPr="004A3269">
        <w:rPr>
          <w:rStyle w:val="hps"/>
        </w:rPr>
        <w:t xml:space="preserve">des </w:t>
      </w:r>
      <w:r w:rsidR="00DC6718" w:rsidRPr="004A3269">
        <w:rPr>
          <w:rStyle w:val="hps"/>
        </w:rPr>
        <w:t>taxes internationales de dépôt pour les demandes selon</w:t>
      </w:r>
      <w:r w:rsidR="009021AA" w:rsidRPr="004A3269">
        <w:rPr>
          <w:rStyle w:val="hps"/>
        </w:rPr>
        <w:t xml:space="preserve"> le PCT</w:t>
      </w:r>
      <w:r w:rsidR="00DC6718" w:rsidRPr="004A3269">
        <w:t xml:space="preserve"> </w:t>
      </w:r>
      <w:r w:rsidR="00400A38" w:rsidRPr="004A3269">
        <w:t>comptabilisées conformément aux normes</w:t>
      </w:r>
      <w:r w:rsidR="00067463" w:rsidRPr="004A3269">
        <w:t> </w:t>
      </w:r>
      <w:r w:rsidRPr="004A3269">
        <w:rPr>
          <w:rStyle w:val="hps"/>
        </w:rPr>
        <w:t>IPSAS</w:t>
      </w:r>
      <w:r w:rsidRPr="004A3269">
        <w:t xml:space="preserve">, </w:t>
      </w:r>
      <w:r w:rsidRPr="004A3269">
        <w:rPr>
          <w:rStyle w:val="hps"/>
        </w:rPr>
        <w:t xml:space="preserve">on </w:t>
      </w:r>
      <w:r w:rsidR="00400A38" w:rsidRPr="004A3269">
        <w:rPr>
          <w:rStyle w:val="hps"/>
        </w:rPr>
        <w:t>constate</w:t>
      </w:r>
      <w:r w:rsidRPr="004A3269">
        <w:t xml:space="preserve"> </w:t>
      </w:r>
      <w:r w:rsidR="00400A38" w:rsidRPr="004A3269">
        <w:rPr>
          <w:rStyle w:val="hps"/>
        </w:rPr>
        <w:t>qu</w:t>
      </w:r>
      <w:r w:rsidR="009021AA" w:rsidRPr="004A3269">
        <w:rPr>
          <w:rStyle w:val="hps"/>
        </w:rPr>
        <w:t>’</w:t>
      </w:r>
      <w:r w:rsidR="00400A38" w:rsidRPr="004A3269">
        <w:rPr>
          <w:rStyle w:val="hps"/>
        </w:rPr>
        <w:t xml:space="preserve">elles ont augmenté </w:t>
      </w:r>
      <w:r w:rsidR="00C8508F" w:rsidRPr="004A3269">
        <w:rPr>
          <w:rStyle w:val="hps"/>
        </w:rPr>
        <w:t>au fur et à mesure que le nombre de</w:t>
      </w:r>
      <w:r w:rsidRPr="004A3269">
        <w:t xml:space="preserve"> </w:t>
      </w:r>
      <w:r w:rsidRPr="004A3269">
        <w:rPr>
          <w:rStyle w:val="hps"/>
        </w:rPr>
        <w:t>publications annuelles</w:t>
      </w:r>
      <w:r w:rsidRPr="004A3269">
        <w:t xml:space="preserve"> </w:t>
      </w:r>
      <w:r w:rsidR="00C8508F" w:rsidRPr="004A3269">
        <w:t xml:space="preserve">a </w:t>
      </w:r>
      <w:r w:rsidRPr="004A3269">
        <w:rPr>
          <w:rStyle w:val="hps"/>
        </w:rPr>
        <w:t>augmenté </w:t>
      </w:r>
      <w:r w:rsidR="004E2B48" w:rsidRPr="004A3269">
        <w:rPr>
          <w:rStyle w:val="hps"/>
          <w:rFonts w:eastAsia="SimSun"/>
        </w:rPr>
        <w:t>:</w:t>
      </w:r>
    </w:p>
    <w:p w:rsidR="00267140" w:rsidRPr="004A3269" w:rsidRDefault="004E2B48" w:rsidP="00E81D53">
      <w:pPr>
        <w:jc w:val="center"/>
        <w:rPr>
          <w:rFonts w:eastAsia="SimSun"/>
          <w:szCs w:val="22"/>
          <w:u w:val="single"/>
          <w:lang w:eastAsia="zh-CN"/>
        </w:rPr>
      </w:pPr>
      <w:r w:rsidRPr="004A3269">
        <w:rPr>
          <w:rFonts w:eastAsia="SimSun"/>
          <w:szCs w:val="22"/>
          <w:u w:val="single"/>
          <w:lang w:eastAsia="zh-CN"/>
        </w:rPr>
        <w:t xml:space="preserve">PCT </w:t>
      </w:r>
      <w:r w:rsidR="00772EE0" w:rsidRPr="004A3269">
        <w:rPr>
          <w:rFonts w:eastAsia="SimSun"/>
          <w:szCs w:val="22"/>
          <w:u w:val="single"/>
          <w:lang w:eastAsia="zh-CN"/>
        </w:rPr>
        <w:t>–</w:t>
      </w:r>
      <w:r w:rsidRPr="004A3269">
        <w:rPr>
          <w:rFonts w:eastAsia="SimSun"/>
          <w:szCs w:val="22"/>
          <w:u w:val="single"/>
          <w:lang w:eastAsia="zh-CN"/>
        </w:rPr>
        <w:t xml:space="preserve"> </w:t>
      </w:r>
      <w:r w:rsidR="00772EE0" w:rsidRPr="004A3269">
        <w:rPr>
          <w:rFonts w:eastAsia="SimSun"/>
          <w:szCs w:val="22"/>
          <w:u w:val="single"/>
          <w:lang w:eastAsia="zh-CN"/>
        </w:rPr>
        <w:t>Taxes internationales de dépôt pour les demandes publiées et nombre de publications</w:t>
      </w:r>
      <w:r w:rsidR="003964C2" w:rsidRPr="004A3269">
        <w:rPr>
          <w:rFonts w:eastAsia="SimSun"/>
          <w:szCs w:val="22"/>
          <w:u w:val="single"/>
          <w:lang w:eastAsia="zh-CN"/>
        </w:rPr>
        <w:t xml:space="preserve"> </w:t>
      </w:r>
      <w:r w:rsidR="00772EE0" w:rsidRPr="004A3269">
        <w:rPr>
          <w:rFonts w:eastAsia="SimSun"/>
          <w:szCs w:val="22"/>
          <w:u w:val="single"/>
          <w:lang w:eastAsia="zh-CN"/>
        </w:rPr>
        <w:t>(</w:t>
      </w:r>
      <w:r w:rsidR="003964C2" w:rsidRPr="004A3269">
        <w:rPr>
          <w:rFonts w:eastAsia="SimSun"/>
          <w:szCs w:val="22"/>
          <w:u w:val="single"/>
          <w:lang w:eastAsia="zh-CN"/>
        </w:rPr>
        <w:t>2012</w:t>
      </w:r>
      <w:r w:rsidR="00A17552" w:rsidRPr="004A3269">
        <w:rPr>
          <w:rFonts w:eastAsia="SimSun"/>
          <w:szCs w:val="22"/>
          <w:u w:val="single"/>
          <w:lang w:eastAsia="zh-CN"/>
        </w:rPr>
        <w:noBreakHyphen/>
      </w:r>
      <w:r w:rsidR="003964C2" w:rsidRPr="004A3269">
        <w:rPr>
          <w:rFonts w:eastAsia="SimSun"/>
          <w:szCs w:val="22"/>
          <w:u w:val="single"/>
          <w:lang w:eastAsia="zh-CN"/>
        </w:rPr>
        <w:t>2014</w:t>
      </w:r>
      <w:r w:rsidR="00772EE0" w:rsidRPr="004A3269">
        <w:rPr>
          <w:rFonts w:eastAsia="SimSun"/>
          <w:szCs w:val="22"/>
          <w:u w:val="single"/>
          <w:lang w:eastAsia="zh-CN"/>
        </w:rPr>
        <w:t>)</w:t>
      </w:r>
    </w:p>
    <w:p w:rsidR="004953F8" w:rsidRPr="004A3269" w:rsidRDefault="004953F8" w:rsidP="008E2667">
      <w:pPr>
        <w:jc w:val="center"/>
        <w:rPr>
          <w:rFonts w:eastAsia="SimSun"/>
          <w:szCs w:val="22"/>
          <w:lang w:eastAsia="zh-CN"/>
        </w:rPr>
      </w:pPr>
      <w:r w:rsidRPr="004A3269">
        <w:rPr>
          <w:rFonts w:eastAsia="SimSun"/>
          <w:noProof/>
          <w:lang w:val="en-US"/>
        </w:rPr>
        <w:drawing>
          <wp:inline distT="0" distB="0" distL="0" distR="0" wp14:anchorId="7EEE5A0E" wp14:editId="1901BFAD">
            <wp:extent cx="5602605" cy="3155315"/>
            <wp:effectExtent l="0" t="0" r="0" b="698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02605" cy="3155315"/>
                    </a:xfrm>
                    <a:prstGeom prst="rect">
                      <a:avLst/>
                    </a:prstGeom>
                    <a:noFill/>
                    <a:ln>
                      <a:noFill/>
                    </a:ln>
                  </pic:spPr>
                </pic:pic>
              </a:graphicData>
            </a:graphic>
          </wp:inline>
        </w:drawing>
      </w:r>
    </w:p>
    <w:p w:rsidR="00267140" w:rsidRPr="004A3269" w:rsidRDefault="00D200A4" w:rsidP="003D7C06">
      <w:pPr>
        <w:pStyle w:val="ONUMFS"/>
        <w:rPr>
          <w:rFonts w:eastAsia="SimSun"/>
          <w:szCs w:val="22"/>
          <w:lang w:eastAsia="zh-CN"/>
        </w:rPr>
      </w:pPr>
      <w:r w:rsidRPr="004A3269">
        <w:t>Les</w:t>
      </w:r>
      <w:r w:rsidR="00C8508F" w:rsidRPr="004A3269">
        <w:t xml:space="preserve"> gains </w:t>
      </w:r>
      <w:r w:rsidRPr="004A3269">
        <w:t xml:space="preserve">et </w:t>
      </w:r>
      <w:r w:rsidR="00C8508F" w:rsidRPr="004A3269">
        <w:t xml:space="preserve">pertes de change sont </w:t>
      </w:r>
      <w:r w:rsidRPr="004A3269">
        <w:t>réalisés</w:t>
      </w:r>
      <w:r w:rsidR="00C8508F" w:rsidRPr="004A3269">
        <w:t xml:space="preserve"> sur </w:t>
      </w:r>
      <w:r w:rsidRPr="004A3269">
        <w:t>la base des</w:t>
      </w:r>
      <w:r w:rsidR="00C8508F" w:rsidRPr="004A3269">
        <w:t xml:space="preserve"> </w:t>
      </w:r>
      <w:r w:rsidR="00DC6718" w:rsidRPr="004A3269">
        <w:rPr>
          <w:rStyle w:val="hps"/>
        </w:rPr>
        <w:t>taxes internationales de dépôt pour les demandes publiées selon</w:t>
      </w:r>
      <w:r w:rsidR="009021AA" w:rsidRPr="004A3269">
        <w:rPr>
          <w:rStyle w:val="hps"/>
        </w:rPr>
        <w:t xml:space="preserve"> le PCT</w:t>
      </w:r>
      <w:r w:rsidRPr="004A3269">
        <w:t xml:space="preserve">, qui </w:t>
      </w:r>
      <w:r w:rsidR="00C8508F" w:rsidRPr="004A3269">
        <w:t xml:space="preserve">sont </w:t>
      </w:r>
      <w:r w:rsidRPr="004A3269">
        <w:t>perçues</w:t>
      </w:r>
      <w:r w:rsidR="00C8508F" w:rsidRPr="004A3269">
        <w:t xml:space="preserve"> </w:t>
      </w:r>
      <w:r w:rsidRPr="004A3269">
        <w:t>dans des</w:t>
      </w:r>
      <w:r w:rsidR="00C8508F" w:rsidRPr="004A3269">
        <w:t xml:space="preserve"> devises autres que le franc suisse. </w:t>
      </w:r>
      <w:r w:rsidR="00D061D7" w:rsidRPr="004A3269">
        <w:t xml:space="preserve"> L</w:t>
      </w:r>
      <w:r w:rsidR="009021AA" w:rsidRPr="004A3269">
        <w:t>’</w:t>
      </w:r>
      <w:r w:rsidR="00C8508F" w:rsidRPr="004A3269">
        <w:t>OMPI établit des quantités équivalentes de taxes dans diverses devises pour chaque année.</w:t>
      </w:r>
      <w:r w:rsidRPr="004A3269">
        <w:t xml:space="preserve"> </w:t>
      </w:r>
      <w:r w:rsidR="00C8508F" w:rsidRPr="004A3269">
        <w:t xml:space="preserve"> Le</w:t>
      </w:r>
      <w:r w:rsidRPr="004A3269">
        <w:t>s</w:t>
      </w:r>
      <w:r w:rsidR="00C8508F" w:rsidRPr="004A3269">
        <w:t xml:space="preserve"> montant</w:t>
      </w:r>
      <w:r w:rsidRPr="004A3269">
        <w:t>s</w:t>
      </w:r>
      <w:r w:rsidR="00C8508F" w:rsidRPr="004A3269">
        <w:t xml:space="preserve"> équivalent</w:t>
      </w:r>
      <w:r w:rsidRPr="004A3269">
        <w:t>s</w:t>
      </w:r>
      <w:r w:rsidR="00C8508F" w:rsidRPr="004A3269">
        <w:t xml:space="preserve"> </w:t>
      </w:r>
      <w:r w:rsidRPr="004A3269">
        <w:t xml:space="preserve">applicables </w:t>
      </w:r>
      <w:r w:rsidR="00C8508F" w:rsidRPr="004A3269">
        <w:t>à la date de dépôt d</w:t>
      </w:r>
      <w:r w:rsidR="009021AA" w:rsidRPr="004A3269">
        <w:t>’</w:t>
      </w:r>
      <w:r w:rsidR="00C8508F" w:rsidRPr="004A3269">
        <w:t xml:space="preserve">une demande </w:t>
      </w:r>
      <w:r w:rsidRPr="004A3269">
        <w:t>déterminent</w:t>
      </w:r>
      <w:r w:rsidR="00C8508F" w:rsidRPr="004A3269">
        <w:t xml:space="preserve"> </w:t>
      </w:r>
      <w:r w:rsidRPr="004A3269">
        <w:t xml:space="preserve">le montant dont </w:t>
      </w:r>
      <w:r w:rsidR="00C8508F" w:rsidRPr="004A3269">
        <w:t xml:space="preserve">un </w:t>
      </w:r>
      <w:r w:rsidRPr="004A3269">
        <w:t xml:space="preserve">déposant </w:t>
      </w:r>
      <w:r w:rsidR="00C8508F" w:rsidRPr="004A3269">
        <w:t xml:space="preserve">doit </w:t>
      </w:r>
      <w:r w:rsidRPr="004A3269">
        <w:t>s</w:t>
      </w:r>
      <w:r w:rsidR="009021AA" w:rsidRPr="004A3269">
        <w:t>’</w:t>
      </w:r>
      <w:r w:rsidR="00505179" w:rsidRPr="004A3269">
        <w:t>acq</w:t>
      </w:r>
      <w:r w:rsidR="00505179" w:rsidRPr="003D7C06">
        <w:rPr>
          <w:szCs w:val="22"/>
        </w:rPr>
        <w:t>uitter</w:t>
      </w:r>
      <w:r w:rsidRPr="003D7C06">
        <w:rPr>
          <w:szCs w:val="22"/>
        </w:rPr>
        <w:t xml:space="preserve"> </w:t>
      </w:r>
      <w:r w:rsidR="00C8508F" w:rsidRPr="003D7C06">
        <w:rPr>
          <w:szCs w:val="22"/>
        </w:rPr>
        <w:t>dans la monnaie locale.</w:t>
      </w:r>
      <w:r w:rsidRPr="003D7C06">
        <w:rPr>
          <w:szCs w:val="22"/>
        </w:rPr>
        <w:t xml:space="preserve"> </w:t>
      </w:r>
      <w:r w:rsidR="00C8508F" w:rsidRPr="003D7C06">
        <w:rPr>
          <w:szCs w:val="22"/>
        </w:rPr>
        <w:t xml:space="preserve"> Le montant réel </w:t>
      </w:r>
      <w:r w:rsidRPr="003D7C06">
        <w:rPr>
          <w:szCs w:val="22"/>
        </w:rPr>
        <w:t>comptabilisé</w:t>
      </w:r>
      <w:r w:rsidR="00C8508F" w:rsidRPr="003D7C06">
        <w:rPr>
          <w:szCs w:val="22"/>
        </w:rPr>
        <w:t xml:space="preserve"> par l</w:t>
      </w:r>
      <w:r w:rsidR="009021AA" w:rsidRPr="003D7C06">
        <w:rPr>
          <w:szCs w:val="22"/>
        </w:rPr>
        <w:t>’</w:t>
      </w:r>
      <w:r w:rsidR="00C8508F" w:rsidRPr="003D7C06">
        <w:rPr>
          <w:szCs w:val="22"/>
        </w:rPr>
        <w:t xml:space="preserve">OMPI en francs suisses est déterminé par </w:t>
      </w:r>
      <w:r w:rsidR="00CB199A" w:rsidRPr="003D7C06">
        <w:rPr>
          <w:szCs w:val="22"/>
        </w:rPr>
        <w:t xml:space="preserve">les </w:t>
      </w:r>
      <w:r w:rsidRPr="003D7C06">
        <w:rPr>
          <w:szCs w:val="22"/>
        </w:rPr>
        <w:t xml:space="preserve">taux </w:t>
      </w:r>
      <w:r w:rsidR="003D7C06">
        <w:rPr>
          <w:rStyle w:val="preferred"/>
          <w:szCs w:val="22"/>
        </w:rPr>
        <w:t>de change opérationnels de l’</w:t>
      </w:r>
      <w:r w:rsidR="00CB199A" w:rsidRPr="003D7C06">
        <w:rPr>
          <w:rStyle w:val="preferred"/>
          <w:szCs w:val="22"/>
        </w:rPr>
        <w:t xml:space="preserve">Organisation </w:t>
      </w:r>
      <w:r w:rsidRPr="003D7C06">
        <w:rPr>
          <w:szCs w:val="22"/>
        </w:rPr>
        <w:t xml:space="preserve">des </w:t>
      </w:r>
      <w:r w:rsidR="009021AA" w:rsidRPr="003D7C06">
        <w:rPr>
          <w:szCs w:val="22"/>
        </w:rPr>
        <w:t>Nations Unies</w:t>
      </w:r>
      <w:r w:rsidRPr="003D7C06">
        <w:rPr>
          <w:szCs w:val="22"/>
        </w:rPr>
        <w:t xml:space="preserve"> </w:t>
      </w:r>
      <w:r w:rsidR="00C8508F" w:rsidRPr="003D7C06">
        <w:rPr>
          <w:szCs w:val="22"/>
        </w:rPr>
        <w:t xml:space="preserve">(UNORE) à la date de réception du paiement. </w:t>
      </w:r>
      <w:r w:rsidRPr="003D7C06">
        <w:rPr>
          <w:szCs w:val="22"/>
        </w:rPr>
        <w:t xml:space="preserve"> </w:t>
      </w:r>
      <w:r w:rsidR="00C8508F" w:rsidRPr="003D7C06">
        <w:rPr>
          <w:szCs w:val="22"/>
        </w:rPr>
        <w:t>Le</w:t>
      </w:r>
      <w:r w:rsidR="00D3154C" w:rsidRPr="003D7C06">
        <w:rPr>
          <w:szCs w:val="22"/>
        </w:rPr>
        <w:t>s</w:t>
      </w:r>
      <w:r w:rsidR="00C8508F" w:rsidRPr="003D7C06">
        <w:rPr>
          <w:szCs w:val="22"/>
        </w:rPr>
        <w:t xml:space="preserve"> gain</w:t>
      </w:r>
      <w:r w:rsidR="00D3154C" w:rsidRPr="003D7C06">
        <w:rPr>
          <w:szCs w:val="22"/>
        </w:rPr>
        <w:t>s</w:t>
      </w:r>
      <w:r w:rsidR="00C8508F" w:rsidRPr="003D7C06">
        <w:rPr>
          <w:szCs w:val="22"/>
        </w:rPr>
        <w:t xml:space="preserve"> ou perte</w:t>
      </w:r>
      <w:r w:rsidR="00D3154C" w:rsidRPr="003D7C06">
        <w:rPr>
          <w:szCs w:val="22"/>
        </w:rPr>
        <w:t>s</w:t>
      </w:r>
      <w:r w:rsidR="00C8508F" w:rsidRPr="003D7C06">
        <w:rPr>
          <w:szCs w:val="22"/>
        </w:rPr>
        <w:t xml:space="preserve"> de </w:t>
      </w:r>
      <w:proofErr w:type="gramStart"/>
      <w:r w:rsidR="00C8508F" w:rsidRPr="003D7C06">
        <w:rPr>
          <w:szCs w:val="22"/>
        </w:rPr>
        <w:t xml:space="preserve">change </w:t>
      </w:r>
      <w:r w:rsidRPr="003D7C06">
        <w:rPr>
          <w:szCs w:val="22"/>
        </w:rPr>
        <w:t>réalisé</w:t>
      </w:r>
      <w:r w:rsidR="00D3154C" w:rsidRPr="003D7C06">
        <w:rPr>
          <w:szCs w:val="22"/>
        </w:rPr>
        <w:t>s</w:t>
      </w:r>
      <w:proofErr w:type="gramEnd"/>
      <w:r w:rsidRPr="003D7C06">
        <w:rPr>
          <w:szCs w:val="22"/>
        </w:rPr>
        <w:t xml:space="preserve"> sur les taxes</w:t>
      </w:r>
      <w:r w:rsidR="00C8508F" w:rsidRPr="003D7C06">
        <w:rPr>
          <w:szCs w:val="22"/>
        </w:rPr>
        <w:t xml:space="preserve"> </w:t>
      </w:r>
      <w:r w:rsidR="00D3154C" w:rsidRPr="003D7C06">
        <w:rPr>
          <w:szCs w:val="22"/>
        </w:rPr>
        <w:t>sont</w:t>
      </w:r>
      <w:r w:rsidR="00C8508F" w:rsidRPr="003D7C06">
        <w:rPr>
          <w:szCs w:val="22"/>
        </w:rPr>
        <w:t xml:space="preserve"> la</w:t>
      </w:r>
      <w:r w:rsidR="00C8508F" w:rsidRPr="004A3269">
        <w:t xml:space="preserve"> différence entre </w:t>
      </w:r>
      <w:r w:rsidR="00D3154C" w:rsidRPr="004A3269">
        <w:t>le montant équivalent de la</w:t>
      </w:r>
      <w:r w:rsidR="00C8508F" w:rsidRPr="004A3269">
        <w:t xml:space="preserve"> </w:t>
      </w:r>
      <w:r w:rsidRPr="004A3269">
        <w:t xml:space="preserve">taxe en francs suisses et </w:t>
      </w:r>
      <w:r w:rsidR="00D3154C" w:rsidRPr="004A3269">
        <w:t>son</w:t>
      </w:r>
      <w:r w:rsidRPr="004A3269">
        <w:t xml:space="preserve"> montant réel </w:t>
      </w:r>
      <w:r w:rsidR="00C8508F" w:rsidRPr="004A3269">
        <w:t>en francs suisses à la date du paiement.  En 2014, l</w:t>
      </w:r>
      <w:r w:rsidR="009021AA" w:rsidRPr="004A3269">
        <w:t>’</w:t>
      </w:r>
      <w:r w:rsidR="00C8508F" w:rsidRPr="004A3269">
        <w:t xml:space="preserve">Organisation a subi une perte nette de change de 1,7 million de francs </w:t>
      </w:r>
      <w:r w:rsidR="00C8508F" w:rsidRPr="004A3269">
        <w:lastRenderedPageBreak/>
        <w:t xml:space="preserve">suisses sur les taxes PCT </w:t>
      </w:r>
      <w:r w:rsidRPr="004A3269">
        <w:t>perçues</w:t>
      </w:r>
      <w:r w:rsidR="00C8508F" w:rsidRPr="004A3269">
        <w:t xml:space="preserve"> (taxes </w:t>
      </w:r>
      <w:r w:rsidR="00DC6718" w:rsidRPr="004A3269">
        <w:rPr>
          <w:rStyle w:val="hps"/>
        </w:rPr>
        <w:t xml:space="preserve">internationales de dépôt </w:t>
      </w:r>
      <w:r w:rsidR="00C8508F" w:rsidRPr="004A3269">
        <w:t xml:space="preserve">et </w:t>
      </w:r>
      <w:r w:rsidR="00D3154C" w:rsidRPr="004A3269">
        <w:t>taxes</w:t>
      </w:r>
      <w:r w:rsidR="00C8508F" w:rsidRPr="004A3269">
        <w:t xml:space="preserve"> de</w:t>
      </w:r>
      <w:r w:rsidRPr="004A3269">
        <w:t xml:space="preserve"> traitement</w:t>
      </w:r>
      <w:r w:rsidR="00C8508F" w:rsidRPr="004A3269">
        <w:t>)</w:t>
      </w:r>
      <w:r w:rsidR="00A0797A" w:rsidRPr="004A3269">
        <w:t xml:space="preserve">.  </w:t>
      </w:r>
      <w:r w:rsidRPr="004A3269">
        <w:t>Cette perte concernait</w:t>
      </w:r>
      <w:r w:rsidR="00C8508F" w:rsidRPr="004A3269">
        <w:t xml:space="preserve"> principalement les </w:t>
      </w:r>
      <w:r w:rsidRPr="004A3269">
        <w:t>taxes</w:t>
      </w:r>
      <w:r w:rsidR="00C8508F" w:rsidRPr="004A3269">
        <w:t xml:space="preserve"> en yen japonais (perte de 1,3 million de francs suisses). </w:t>
      </w:r>
      <w:r w:rsidR="00F96760" w:rsidRPr="004A3269">
        <w:t xml:space="preserve"> En </w:t>
      </w:r>
      <w:r w:rsidR="00C8508F" w:rsidRPr="004A3269">
        <w:t>2013, l</w:t>
      </w:r>
      <w:r w:rsidR="009021AA" w:rsidRPr="004A3269">
        <w:t>’</w:t>
      </w:r>
      <w:r w:rsidR="00C8508F" w:rsidRPr="004A3269">
        <w:t xml:space="preserve">Organisation a subi une perte </w:t>
      </w:r>
      <w:r w:rsidR="0072535C" w:rsidRPr="004A3269">
        <w:t xml:space="preserve">nette </w:t>
      </w:r>
      <w:r w:rsidR="00C8508F" w:rsidRPr="004A3269">
        <w:t xml:space="preserve">de change de 6,0 millions de francs suisses sur les taxes PCT </w:t>
      </w:r>
      <w:r w:rsidR="0072535C" w:rsidRPr="004A3269">
        <w:t>perçues</w:t>
      </w:r>
      <w:r w:rsidR="00C8508F" w:rsidRPr="004A3269">
        <w:t>, alors qu</w:t>
      </w:r>
      <w:r w:rsidR="009021AA" w:rsidRPr="004A3269">
        <w:t>’</w:t>
      </w:r>
      <w:r w:rsidR="00C8508F" w:rsidRPr="004A3269">
        <w:t>en 2012, l</w:t>
      </w:r>
      <w:r w:rsidR="009021AA" w:rsidRPr="004A3269">
        <w:t>’</w:t>
      </w:r>
      <w:r w:rsidR="00C8508F" w:rsidRPr="004A3269">
        <w:t xml:space="preserve">Organisation a </w:t>
      </w:r>
      <w:r w:rsidR="0072535C" w:rsidRPr="004A3269">
        <w:t>réalisé</w:t>
      </w:r>
      <w:r w:rsidR="00C8508F" w:rsidRPr="004A3269">
        <w:t xml:space="preserve"> un gain net de 7,5 millions de francs suisses </w:t>
      </w:r>
      <w:r w:rsidR="00185945" w:rsidRPr="004A3269">
        <w:rPr>
          <w:szCs w:val="22"/>
        </w:rPr>
        <w:t>:</w:t>
      </w:r>
    </w:p>
    <w:p w:rsidR="00267140" w:rsidRPr="004A3269" w:rsidRDefault="000515B2" w:rsidP="00D910E2">
      <w:pPr>
        <w:spacing w:after="220"/>
        <w:jc w:val="center"/>
        <w:rPr>
          <w:rFonts w:eastAsia="SimSun"/>
          <w:szCs w:val="22"/>
          <w:u w:val="single"/>
          <w:lang w:eastAsia="zh-CN"/>
        </w:rPr>
      </w:pPr>
      <w:r w:rsidRPr="004A3269">
        <w:rPr>
          <w:szCs w:val="22"/>
          <w:u w:val="single"/>
        </w:rPr>
        <w:t>Informations détaillées sur les</w:t>
      </w:r>
      <w:r w:rsidR="00D3154C" w:rsidRPr="004A3269">
        <w:rPr>
          <w:szCs w:val="22"/>
          <w:u w:val="single"/>
        </w:rPr>
        <w:t xml:space="preserve"> profits (pertes) de change relatifs aux taxes PCT perçues (</w:t>
      </w:r>
      <w:r w:rsidR="00D910E2" w:rsidRPr="004A3269">
        <w:rPr>
          <w:szCs w:val="22"/>
          <w:u w:val="single"/>
        </w:rPr>
        <w:t>2012</w:t>
      </w:r>
      <w:r w:rsidR="00A17552" w:rsidRPr="004A3269">
        <w:rPr>
          <w:szCs w:val="22"/>
          <w:u w:val="single"/>
        </w:rPr>
        <w:noBreakHyphen/>
      </w:r>
      <w:r w:rsidR="00D910E2" w:rsidRPr="004A3269">
        <w:rPr>
          <w:szCs w:val="22"/>
          <w:u w:val="single"/>
        </w:rPr>
        <w:t>2014</w:t>
      </w:r>
      <w:r w:rsidR="00D3154C" w:rsidRPr="004A3269">
        <w:rPr>
          <w:szCs w:val="22"/>
          <w:u w:val="single"/>
        </w:rPr>
        <w:t>)</w:t>
      </w:r>
    </w:p>
    <w:p w:rsidR="00860592" w:rsidRPr="004A3269" w:rsidRDefault="00860592" w:rsidP="00E81D53">
      <w:pPr>
        <w:jc w:val="center"/>
        <w:rPr>
          <w:rFonts w:eastAsia="SimSun"/>
          <w:szCs w:val="22"/>
          <w:lang w:eastAsia="zh-CN"/>
        </w:rPr>
      </w:pPr>
      <w:r w:rsidRPr="004A3269">
        <w:rPr>
          <w:rFonts w:eastAsia="SimSun"/>
          <w:noProof/>
          <w:lang w:val="en-US"/>
        </w:rPr>
        <w:drawing>
          <wp:inline distT="0" distB="0" distL="0" distR="0" wp14:anchorId="0B27C02C" wp14:editId="0F04216B">
            <wp:extent cx="5977255" cy="1330332"/>
            <wp:effectExtent l="0" t="0" r="4445" b="317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7255" cy="1330332"/>
                    </a:xfrm>
                    <a:prstGeom prst="rect">
                      <a:avLst/>
                    </a:prstGeom>
                    <a:noFill/>
                    <a:ln>
                      <a:noFill/>
                    </a:ln>
                  </pic:spPr>
                </pic:pic>
              </a:graphicData>
            </a:graphic>
          </wp:inline>
        </w:drawing>
      </w:r>
    </w:p>
    <w:p w:rsidR="00860592" w:rsidRPr="004A3269" w:rsidRDefault="00860592" w:rsidP="00E81D53">
      <w:pPr>
        <w:jc w:val="center"/>
        <w:rPr>
          <w:rFonts w:eastAsia="SimSun"/>
          <w:szCs w:val="22"/>
          <w:lang w:eastAsia="zh-CN"/>
        </w:rPr>
      </w:pPr>
    </w:p>
    <w:p w:rsidR="00267140" w:rsidRPr="004A3269" w:rsidRDefault="00F96760" w:rsidP="003D7C06">
      <w:pPr>
        <w:pStyle w:val="ONUMFS"/>
        <w:rPr>
          <w:rFonts w:eastAsia="SimSun"/>
          <w:szCs w:val="22"/>
          <w:lang w:eastAsia="zh-CN"/>
        </w:rPr>
      </w:pPr>
      <w:r w:rsidRPr="004A3269">
        <w:rPr>
          <w:rStyle w:val="hps"/>
        </w:rPr>
        <w:t>Les</w:t>
      </w:r>
      <w:r w:rsidRPr="004A3269">
        <w:t xml:space="preserve"> </w:t>
      </w:r>
      <w:r w:rsidRPr="004A3269">
        <w:rPr>
          <w:rStyle w:val="hps"/>
        </w:rPr>
        <w:t>montants équivalents</w:t>
      </w:r>
      <w:r w:rsidRPr="004A3269">
        <w:t xml:space="preserve"> </w:t>
      </w:r>
      <w:r w:rsidRPr="004A3269">
        <w:rPr>
          <w:rStyle w:val="hps"/>
        </w:rPr>
        <w:t xml:space="preserve">pour les </w:t>
      </w:r>
      <w:r w:rsidR="00F45259" w:rsidRPr="004A3269">
        <w:rPr>
          <w:rStyle w:val="hps"/>
        </w:rPr>
        <w:t>taxes</w:t>
      </w:r>
      <w:r w:rsidRPr="004A3269">
        <w:t xml:space="preserve"> </w:t>
      </w:r>
      <w:r w:rsidRPr="004A3269">
        <w:rPr>
          <w:rStyle w:val="hps"/>
        </w:rPr>
        <w:t>en devises autres que</w:t>
      </w:r>
      <w:r w:rsidRPr="004A3269">
        <w:t xml:space="preserve"> </w:t>
      </w:r>
      <w:r w:rsidRPr="004A3269">
        <w:rPr>
          <w:rStyle w:val="hps"/>
        </w:rPr>
        <w:t>le franc suisse</w:t>
      </w:r>
      <w:r w:rsidRPr="004A3269">
        <w:t xml:space="preserve"> </w:t>
      </w:r>
      <w:r w:rsidRPr="004A3269">
        <w:rPr>
          <w:rStyle w:val="hps"/>
        </w:rPr>
        <w:t>sont établis chaque</w:t>
      </w:r>
      <w:r w:rsidRPr="004A3269">
        <w:t xml:space="preserve"> </w:t>
      </w:r>
      <w:r w:rsidRPr="004A3269">
        <w:rPr>
          <w:rStyle w:val="hps"/>
        </w:rPr>
        <w:t>année en fonction des</w:t>
      </w:r>
      <w:r w:rsidRPr="004A3269">
        <w:t xml:space="preserve"> </w:t>
      </w:r>
      <w:r w:rsidRPr="004A3269">
        <w:rPr>
          <w:rStyle w:val="hps"/>
        </w:rPr>
        <w:t>taux</w:t>
      </w:r>
      <w:r w:rsidRPr="004A3269">
        <w:t xml:space="preserve"> </w:t>
      </w:r>
      <w:r w:rsidRPr="004A3269">
        <w:rPr>
          <w:rStyle w:val="hps"/>
        </w:rPr>
        <w:t>de change en vigueur</w:t>
      </w:r>
      <w:r w:rsidRPr="004A3269">
        <w:t xml:space="preserve"> </w:t>
      </w:r>
      <w:r w:rsidRPr="004A3269">
        <w:rPr>
          <w:rStyle w:val="hps"/>
        </w:rPr>
        <w:t>le premier lundi</w:t>
      </w:r>
      <w:r w:rsidRPr="004A3269">
        <w:t xml:space="preserve"> </w:t>
      </w:r>
      <w:r w:rsidR="00F45259" w:rsidRPr="004A3269">
        <w:rPr>
          <w:rStyle w:val="hps"/>
        </w:rPr>
        <w:t>du mois d</w:t>
      </w:r>
      <w:r w:rsidR="009021AA" w:rsidRPr="004A3269">
        <w:rPr>
          <w:rStyle w:val="hps"/>
        </w:rPr>
        <w:t>’</w:t>
      </w:r>
      <w:r w:rsidR="00F45259" w:rsidRPr="004A3269">
        <w:rPr>
          <w:rStyle w:val="hps"/>
        </w:rPr>
        <w:t>o</w:t>
      </w:r>
      <w:r w:rsidRPr="004A3269">
        <w:rPr>
          <w:rStyle w:val="hps"/>
        </w:rPr>
        <w:t>ctobre de</w:t>
      </w:r>
      <w:r w:rsidRPr="004A3269">
        <w:t xml:space="preserve"> </w:t>
      </w:r>
      <w:r w:rsidRPr="004A3269">
        <w:rPr>
          <w:rStyle w:val="hps"/>
        </w:rPr>
        <w:t>l</w:t>
      </w:r>
      <w:r w:rsidR="009021AA" w:rsidRPr="004A3269">
        <w:rPr>
          <w:rStyle w:val="hps"/>
        </w:rPr>
        <w:t>’</w:t>
      </w:r>
      <w:r w:rsidRPr="004A3269">
        <w:rPr>
          <w:rStyle w:val="hps"/>
        </w:rPr>
        <w:t>année précédente</w:t>
      </w:r>
      <w:r w:rsidRPr="004A3269">
        <w:t xml:space="preserve">. </w:t>
      </w:r>
      <w:r w:rsidR="00F45259" w:rsidRPr="004A3269">
        <w:t xml:space="preserve"> </w:t>
      </w:r>
      <w:r w:rsidR="000515B2" w:rsidRPr="004A3269">
        <w:rPr>
          <w:rStyle w:val="hps"/>
        </w:rPr>
        <w:t>L</w:t>
      </w:r>
      <w:r w:rsidRPr="004A3269">
        <w:rPr>
          <w:rStyle w:val="hps"/>
        </w:rPr>
        <w:t xml:space="preserve">es </w:t>
      </w:r>
      <w:r w:rsidR="00F45259" w:rsidRPr="004A3269">
        <w:rPr>
          <w:rStyle w:val="hps"/>
        </w:rPr>
        <w:t>montants équivalent</w:t>
      </w:r>
      <w:r w:rsidRPr="004A3269">
        <w:rPr>
          <w:rStyle w:val="hps"/>
        </w:rPr>
        <w:t>s</w:t>
      </w:r>
      <w:r w:rsidRPr="004A3269">
        <w:t xml:space="preserve"> </w:t>
      </w:r>
      <w:r w:rsidRPr="004A3269">
        <w:rPr>
          <w:rStyle w:val="hps"/>
        </w:rPr>
        <w:t xml:space="preserve">peuvent être </w:t>
      </w:r>
      <w:r w:rsidR="00F45259" w:rsidRPr="004A3269">
        <w:rPr>
          <w:rStyle w:val="hps"/>
        </w:rPr>
        <w:t>révisés</w:t>
      </w:r>
      <w:r w:rsidRPr="004A3269">
        <w:t xml:space="preserve"> </w:t>
      </w:r>
      <w:r w:rsidRPr="004A3269">
        <w:rPr>
          <w:rStyle w:val="hps"/>
        </w:rPr>
        <w:t>au cours</w:t>
      </w:r>
      <w:r w:rsidRPr="004A3269">
        <w:t xml:space="preserve"> </w:t>
      </w:r>
      <w:r w:rsidRPr="004A3269">
        <w:rPr>
          <w:rStyle w:val="hps"/>
        </w:rPr>
        <w:t>de l</w:t>
      </w:r>
      <w:r w:rsidR="009021AA" w:rsidRPr="004A3269">
        <w:rPr>
          <w:rStyle w:val="hps"/>
        </w:rPr>
        <w:t>’</w:t>
      </w:r>
      <w:r w:rsidRPr="004A3269">
        <w:rPr>
          <w:rStyle w:val="hps"/>
        </w:rPr>
        <w:t>année</w:t>
      </w:r>
      <w:r w:rsidRPr="004A3269">
        <w:t xml:space="preserve"> </w:t>
      </w:r>
      <w:r w:rsidRPr="004A3269">
        <w:rPr>
          <w:rStyle w:val="hps"/>
        </w:rPr>
        <w:t>si le</w:t>
      </w:r>
      <w:r w:rsidRPr="004A3269">
        <w:t xml:space="preserve"> </w:t>
      </w:r>
      <w:r w:rsidRPr="004A3269">
        <w:rPr>
          <w:rStyle w:val="hps"/>
        </w:rPr>
        <w:t>taux de change entre</w:t>
      </w:r>
      <w:r w:rsidRPr="004A3269">
        <w:t xml:space="preserve"> </w:t>
      </w:r>
      <w:r w:rsidRPr="004A3269">
        <w:rPr>
          <w:rStyle w:val="hps"/>
        </w:rPr>
        <w:t>l</w:t>
      </w:r>
      <w:r w:rsidR="009021AA" w:rsidRPr="004A3269">
        <w:rPr>
          <w:rStyle w:val="hps"/>
        </w:rPr>
        <w:t>’</w:t>
      </w:r>
      <w:r w:rsidRPr="004A3269">
        <w:rPr>
          <w:rStyle w:val="hps"/>
        </w:rPr>
        <w:t xml:space="preserve">autre </w:t>
      </w:r>
      <w:r w:rsidR="00F45259" w:rsidRPr="004A3269">
        <w:rPr>
          <w:rStyle w:val="hps"/>
        </w:rPr>
        <w:t>devise</w:t>
      </w:r>
      <w:r w:rsidRPr="004A3269">
        <w:t xml:space="preserve"> </w:t>
      </w:r>
      <w:r w:rsidRPr="004A3269">
        <w:rPr>
          <w:rStyle w:val="hps"/>
        </w:rPr>
        <w:t>et le franc suisse</w:t>
      </w:r>
      <w:r w:rsidRPr="004A3269">
        <w:t xml:space="preserve"> </w:t>
      </w:r>
      <w:r w:rsidRPr="004A3269">
        <w:rPr>
          <w:rStyle w:val="hps"/>
        </w:rPr>
        <w:t xml:space="preserve">est </w:t>
      </w:r>
      <w:r w:rsidR="00F45259" w:rsidRPr="004A3269">
        <w:rPr>
          <w:rStyle w:val="hps"/>
        </w:rPr>
        <w:t>modifié</w:t>
      </w:r>
      <w:r w:rsidRPr="004A3269">
        <w:t xml:space="preserve"> </w:t>
      </w:r>
      <w:r w:rsidRPr="004A3269">
        <w:rPr>
          <w:rStyle w:val="hps"/>
        </w:rPr>
        <w:t>de 5,0</w:t>
      </w:r>
      <w:r w:rsidR="00F45259" w:rsidRPr="004A3269">
        <w:rPr>
          <w:rStyle w:val="hps"/>
        </w:rPr>
        <w:t>%</w:t>
      </w:r>
      <w:r w:rsidRPr="004A3269">
        <w:rPr>
          <w:rStyle w:val="hps"/>
        </w:rPr>
        <w:t xml:space="preserve"> ou plus</w:t>
      </w:r>
      <w:r w:rsidRPr="004A3269">
        <w:t xml:space="preserve"> </w:t>
      </w:r>
      <w:r w:rsidRPr="004A3269">
        <w:rPr>
          <w:rStyle w:val="hps"/>
        </w:rPr>
        <w:t>pendant plus de quatre</w:t>
      </w:r>
      <w:r w:rsidR="00067463" w:rsidRPr="004A3269">
        <w:rPr>
          <w:rStyle w:val="hps"/>
        </w:rPr>
        <w:t> </w:t>
      </w:r>
      <w:r w:rsidRPr="004A3269">
        <w:rPr>
          <w:rStyle w:val="hps"/>
        </w:rPr>
        <w:t>vendredis consécutifs</w:t>
      </w:r>
      <w:r w:rsidRPr="004A3269">
        <w:t xml:space="preserve">. </w:t>
      </w:r>
      <w:r w:rsidR="00F45259" w:rsidRPr="004A3269">
        <w:t xml:space="preserve"> </w:t>
      </w:r>
      <w:r w:rsidRPr="004A3269">
        <w:rPr>
          <w:rStyle w:val="hps"/>
        </w:rPr>
        <w:t>Les tableaux suivants</w:t>
      </w:r>
      <w:r w:rsidRPr="004A3269">
        <w:t xml:space="preserve"> </w:t>
      </w:r>
      <w:r w:rsidR="000515B2" w:rsidRPr="004A3269">
        <w:rPr>
          <w:rStyle w:val="hps"/>
        </w:rPr>
        <w:t>comparent</w:t>
      </w:r>
      <w:r w:rsidRPr="004A3269">
        <w:rPr>
          <w:rStyle w:val="hps"/>
        </w:rPr>
        <w:t xml:space="preserve"> le</w:t>
      </w:r>
      <w:r w:rsidRPr="004A3269">
        <w:t xml:space="preserve"> </w:t>
      </w:r>
      <w:r w:rsidRPr="004A3269">
        <w:rPr>
          <w:rStyle w:val="hps"/>
        </w:rPr>
        <w:t>taux de change utilisé</w:t>
      </w:r>
      <w:r w:rsidRPr="004A3269">
        <w:t xml:space="preserve"> </w:t>
      </w:r>
      <w:r w:rsidRPr="004A3269">
        <w:rPr>
          <w:rStyle w:val="hps"/>
        </w:rPr>
        <w:t>pour établir les montants</w:t>
      </w:r>
      <w:r w:rsidRPr="004A3269">
        <w:t xml:space="preserve"> </w:t>
      </w:r>
      <w:r w:rsidRPr="004A3269">
        <w:rPr>
          <w:rStyle w:val="hps"/>
        </w:rPr>
        <w:t>équivalents et</w:t>
      </w:r>
      <w:r w:rsidRPr="004A3269">
        <w:t xml:space="preserve"> </w:t>
      </w:r>
      <w:r w:rsidRPr="004A3269">
        <w:rPr>
          <w:rStyle w:val="hps"/>
        </w:rPr>
        <w:t>l</w:t>
      </w:r>
      <w:r w:rsidR="000515B2" w:rsidRPr="004A3269">
        <w:rPr>
          <w:rStyle w:val="hps"/>
        </w:rPr>
        <w:t xml:space="preserve">e taux de change </w:t>
      </w:r>
      <w:r w:rsidRPr="004A3269">
        <w:t xml:space="preserve">UNORE </w:t>
      </w:r>
      <w:r w:rsidRPr="004A3269">
        <w:rPr>
          <w:rStyle w:val="hps"/>
        </w:rPr>
        <w:t>sur</w:t>
      </w:r>
      <w:r w:rsidR="000515B2" w:rsidRPr="004A3269">
        <w:rPr>
          <w:rStyle w:val="hps"/>
        </w:rPr>
        <w:t xml:space="preserve"> la période</w:t>
      </w:r>
      <w:r w:rsidR="00F45259" w:rsidRPr="004A3269">
        <w:t> </w:t>
      </w:r>
      <w:r w:rsidRPr="004A3269">
        <w:rPr>
          <w:rStyle w:val="hps"/>
        </w:rPr>
        <w:t>2012</w:t>
      </w:r>
      <w:r w:rsidR="00A17552" w:rsidRPr="004A3269">
        <w:rPr>
          <w:rStyle w:val="hps"/>
        </w:rPr>
        <w:noBreakHyphen/>
      </w:r>
      <w:r w:rsidRPr="004A3269">
        <w:rPr>
          <w:rStyle w:val="hps"/>
        </w:rPr>
        <w:t>2014</w:t>
      </w:r>
      <w:r w:rsidRPr="004A3269">
        <w:t xml:space="preserve"> </w:t>
      </w:r>
      <w:r w:rsidRPr="004A3269">
        <w:rPr>
          <w:rStyle w:val="hps"/>
        </w:rPr>
        <w:t>pour le dollar américain</w:t>
      </w:r>
      <w:r w:rsidRPr="004A3269">
        <w:t xml:space="preserve">, le yen japonais </w:t>
      </w:r>
      <w:r w:rsidRPr="004A3269">
        <w:rPr>
          <w:rStyle w:val="hps"/>
        </w:rPr>
        <w:t>et l</w:t>
      </w:r>
      <w:r w:rsidR="009021AA" w:rsidRPr="004A3269">
        <w:rPr>
          <w:rStyle w:val="hps"/>
        </w:rPr>
        <w:t>’</w:t>
      </w:r>
      <w:r w:rsidRPr="004A3269">
        <w:rPr>
          <w:rStyle w:val="hps"/>
        </w:rPr>
        <w:t>euro </w:t>
      </w:r>
      <w:r w:rsidR="003E6C2E" w:rsidRPr="004A3269">
        <w:rPr>
          <w:rStyle w:val="hps"/>
          <w:rFonts w:eastAsia="SimSun"/>
        </w:rPr>
        <w:t>:</w:t>
      </w:r>
    </w:p>
    <w:p w:rsidR="00267140" w:rsidRPr="004A3269" w:rsidRDefault="000515B2" w:rsidP="001B392D">
      <w:pPr>
        <w:jc w:val="center"/>
        <w:rPr>
          <w:rFonts w:eastAsia="SimSun"/>
          <w:szCs w:val="22"/>
          <w:u w:val="single"/>
          <w:lang w:eastAsia="zh-CN"/>
        </w:rPr>
      </w:pPr>
      <w:r w:rsidRPr="004A3269">
        <w:rPr>
          <w:rFonts w:eastAsia="SimSun"/>
          <w:szCs w:val="22"/>
          <w:u w:val="single"/>
          <w:lang w:eastAsia="zh-CN"/>
        </w:rPr>
        <w:t>Dollars É.</w:t>
      </w:r>
      <w:r w:rsidR="00A17552" w:rsidRPr="004A3269">
        <w:rPr>
          <w:rFonts w:eastAsia="SimSun"/>
          <w:szCs w:val="22"/>
          <w:u w:val="single"/>
          <w:lang w:eastAsia="zh-CN"/>
        </w:rPr>
        <w:noBreakHyphen/>
      </w:r>
      <w:r w:rsidRPr="004A3269">
        <w:rPr>
          <w:rFonts w:eastAsia="SimSun"/>
          <w:szCs w:val="22"/>
          <w:u w:val="single"/>
          <w:lang w:eastAsia="zh-CN"/>
        </w:rPr>
        <w:t>U</w:t>
      </w:r>
      <w:r w:rsidR="003E6C2E" w:rsidRPr="004A3269">
        <w:rPr>
          <w:rFonts w:eastAsia="SimSun"/>
          <w:szCs w:val="22"/>
          <w:u w:val="single"/>
          <w:lang w:eastAsia="zh-CN"/>
        </w:rPr>
        <w:t xml:space="preserve"> – </w:t>
      </w:r>
      <w:r w:rsidRPr="004A3269">
        <w:rPr>
          <w:rFonts w:eastAsia="SimSun"/>
          <w:szCs w:val="22"/>
          <w:u w:val="single"/>
          <w:lang w:eastAsia="zh-CN"/>
        </w:rPr>
        <w:t>Comparaison entre le taux des montants équivalents et le taux de change UNORE</w:t>
      </w:r>
      <w:r w:rsidR="00210093" w:rsidRPr="004A3269">
        <w:rPr>
          <w:rFonts w:eastAsia="SimSun"/>
          <w:szCs w:val="22"/>
          <w:u w:val="single"/>
          <w:lang w:eastAsia="zh-CN"/>
        </w:rPr>
        <w:t xml:space="preserve"> </w:t>
      </w:r>
      <w:r w:rsidRPr="004A3269">
        <w:rPr>
          <w:rFonts w:eastAsia="SimSun"/>
          <w:szCs w:val="22"/>
          <w:u w:val="single"/>
          <w:lang w:eastAsia="zh-CN"/>
        </w:rPr>
        <w:t>(</w:t>
      </w:r>
      <w:r w:rsidR="00210093" w:rsidRPr="004A3269">
        <w:rPr>
          <w:rFonts w:eastAsia="SimSun"/>
          <w:szCs w:val="22"/>
          <w:u w:val="single"/>
          <w:lang w:eastAsia="zh-CN"/>
        </w:rPr>
        <w:t>2012</w:t>
      </w:r>
      <w:r w:rsidR="00A17552" w:rsidRPr="004A3269">
        <w:rPr>
          <w:rFonts w:eastAsia="SimSun"/>
          <w:szCs w:val="22"/>
          <w:u w:val="single"/>
          <w:lang w:eastAsia="zh-CN"/>
        </w:rPr>
        <w:noBreakHyphen/>
      </w:r>
      <w:r w:rsidR="00210093" w:rsidRPr="004A3269">
        <w:rPr>
          <w:rFonts w:eastAsia="SimSun"/>
          <w:szCs w:val="22"/>
          <w:u w:val="single"/>
          <w:lang w:eastAsia="zh-CN"/>
        </w:rPr>
        <w:t>2014</w:t>
      </w:r>
      <w:r w:rsidRPr="004A3269">
        <w:rPr>
          <w:rFonts w:eastAsia="SimSun"/>
          <w:szCs w:val="22"/>
          <w:u w:val="single"/>
          <w:lang w:eastAsia="zh-CN"/>
        </w:rPr>
        <w:t>)</w:t>
      </w:r>
    </w:p>
    <w:p w:rsidR="00267140" w:rsidRPr="004A3269" w:rsidRDefault="00B25F22" w:rsidP="001B392D">
      <w:pPr>
        <w:jc w:val="center"/>
        <w:rPr>
          <w:rFonts w:eastAsia="SimSun"/>
        </w:rPr>
      </w:pPr>
      <w:r w:rsidRPr="004A3269">
        <w:rPr>
          <w:rFonts w:eastAsia="SimSun"/>
          <w:noProof/>
          <w:lang w:val="en-US"/>
        </w:rPr>
        <w:drawing>
          <wp:inline distT="0" distB="0" distL="0" distR="0" wp14:anchorId="194C132E" wp14:editId="16888256">
            <wp:extent cx="4572000" cy="27368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0" cy="2736850"/>
                    </a:xfrm>
                    <a:prstGeom prst="rect">
                      <a:avLst/>
                    </a:prstGeom>
                    <a:noFill/>
                    <a:ln>
                      <a:noFill/>
                    </a:ln>
                  </pic:spPr>
                </pic:pic>
              </a:graphicData>
            </a:graphic>
          </wp:inline>
        </w:drawing>
      </w:r>
    </w:p>
    <w:p w:rsidR="00267140" w:rsidRPr="004A3269" w:rsidRDefault="003E6C2E" w:rsidP="003D7C06">
      <w:pPr>
        <w:keepNext/>
        <w:keepLines/>
        <w:jc w:val="center"/>
        <w:rPr>
          <w:rFonts w:eastAsia="SimSun"/>
          <w:szCs w:val="22"/>
          <w:u w:val="single"/>
          <w:lang w:eastAsia="zh-CN"/>
        </w:rPr>
      </w:pPr>
      <w:r w:rsidRPr="004A3269">
        <w:rPr>
          <w:rFonts w:eastAsia="SimSun"/>
          <w:szCs w:val="22"/>
          <w:u w:val="single"/>
          <w:lang w:eastAsia="zh-CN"/>
        </w:rPr>
        <w:lastRenderedPageBreak/>
        <w:t xml:space="preserve">JPY </w:t>
      </w:r>
      <w:r w:rsidR="000515B2" w:rsidRPr="004A3269">
        <w:rPr>
          <w:rFonts w:eastAsia="SimSun"/>
          <w:szCs w:val="22"/>
          <w:u w:val="single"/>
          <w:lang w:eastAsia="zh-CN"/>
        </w:rPr>
        <w:t>– Comparaison entre le taux des montants équivalents et le taux de change UNORE (2012</w:t>
      </w:r>
      <w:r w:rsidR="00A17552" w:rsidRPr="004A3269">
        <w:rPr>
          <w:rFonts w:eastAsia="SimSun"/>
          <w:szCs w:val="22"/>
          <w:u w:val="single"/>
          <w:lang w:eastAsia="zh-CN"/>
        </w:rPr>
        <w:noBreakHyphen/>
      </w:r>
      <w:r w:rsidR="000515B2" w:rsidRPr="004A3269">
        <w:rPr>
          <w:rFonts w:eastAsia="SimSun"/>
          <w:szCs w:val="22"/>
          <w:u w:val="single"/>
          <w:lang w:eastAsia="zh-CN"/>
        </w:rPr>
        <w:t>2014)</w:t>
      </w:r>
    </w:p>
    <w:p w:rsidR="00267140" w:rsidRPr="004A3269" w:rsidRDefault="00B25F22" w:rsidP="003D7C06">
      <w:pPr>
        <w:keepNext/>
        <w:keepLines/>
        <w:jc w:val="center"/>
        <w:rPr>
          <w:lang w:eastAsia="en-GB"/>
        </w:rPr>
      </w:pPr>
      <w:r w:rsidRPr="004A3269">
        <w:rPr>
          <w:noProof/>
          <w:lang w:val="en-US"/>
        </w:rPr>
        <w:drawing>
          <wp:inline distT="0" distB="0" distL="0" distR="0" wp14:anchorId="1B88161D" wp14:editId="4EC524D6">
            <wp:extent cx="4664735" cy="2754362"/>
            <wp:effectExtent l="0" t="0" r="2540" b="825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68749" cy="2756732"/>
                    </a:xfrm>
                    <a:prstGeom prst="rect">
                      <a:avLst/>
                    </a:prstGeom>
                    <a:noFill/>
                    <a:ln>
                      <a:noFill/>
                    </a:ln>
                  </pic:spPr>
                </pic:pic>
              </a:graphicData>
            </a:graphic>
          </wp:inline>
        </w:drawing>
      </w:r>
    </w:p>
    <w:p w:rsidR="00B25F22" w:rsidRPr="004A3269" w:rsidRDefault="00B25F22" w:rsidP="00E81D53">
      <w:pPr>
        <w:jc w:val="center"/>
        <w:rPr>
          <w:lang w:eastAsia="en-GB"/>
        </w:rPr>
      </w:pPr>
    </w:p>
    <w:p w:rsidR="00267140" w:rsidRPr="004A3269" w:rsidRDefault="00243546" w:rsidP="00065045">
      <w:pPr>
        <w:keepNext/>
        <w:keepLines/>
        <w:jc w:val="center"/>
        <w:rPr>
          <w:rFonts w:eastAsia="SimSun"/>
          <w:szCs w:val="22"/>
          <w:u w:val="single"/>
          <w:lang w:eastAsia="zh-CN"/>
        </w:rPr>
      </w:pPr>
      <w:r w:rsidRPr="004A3269">
        <w:rPr>
          <w:rFonts w:eastAsia="SimSun"/>
          <w:szCs w:val="22"/>
          <w:u w:val="single"/>
          <w:lang w:eastAsia="zh-CN"/>
        </w:rPr>
        <w:t xml:space="preserve">EUR </w:t>
      </w:r>
      <w:r w:rsidR="000515B2" w:rsidRPr="004A3269">
        <w:rPr>
          <w:rFonts w:eastAsia="SimSun"/>
          <w:szCs w:val="22"/>
          <w:u w:val="single"/>
          <w:lang w:eastAsia="zh-CN"/>
        </w:rPr>
        <w:t>– Comparaison entre le taux des montants équivalents et le taux de change UNORE (2012</w:t>
      </w:r>
      <w:r w:rsidR="00A17552" w:rsidRPr="004A3269">
        <w:rPr>
          <w:rFonts w:eastAsia="SimSun"/>
          <w:szCs w:val="22"/>
          <w:u w:val="single"/>
          <w:lang w:eastAsia="zh-CN"/>
        </w:rPr>
        <w:noBreakHyphen/>
      </w:r>
      <w:r w:rsidR="000515B2" w:rsidRPr="004A3269">
        <w:rPr>
          <w:rFonts w:eastAsia="SimSun"/>
          <w:szCs w:val="22"/>
          <w:u w:val="single"/>
          <w:lang w:eastAsia="zh-CN"/>
        </w:rPr>
        <w:t>2014)</w:t>
      </w:r>
    </w:p>
    <w:p w:rsidR="00B25F22" w:rsidRPr="004A3269" w:rsidRDefault="00B25F22" w:rsidP="00065045">
      <w:pPr>
        <w:keepNext/>
        <w:keepLines/>
        <w:jc w:val="center"/>
        <w:rPr>
          <w:rFonts w:eastAsia="SimSun"/>
          <w:szCs w:val="22"/>
          <w:lang w:eastAsia="zh-CN"/>
        </w:rPr>
      </w:pPr>
      <w:r w:rsidRPr="004A3269">
        <w:rPr>
          <w:rFonts w:eastAsia="SimSun"/>
          <w:noProof/>
          <w:lang w:val="en-US"/>
        </w:rPr>
        <w:drawing>
          <wp:inline distT="0" distB="0" distL="0" distR="0" wp14:anchorId="281472B6" wp14:editId="33816997">
            <wp:extent cx="4649470" cy="2698115"/>
            <wp:effectExtent l="0" t="0" r="0" b="698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49470" cy="2698115"/>
                    </a:xfrm>
                    <a:prstGeom prst="rect">
                      <a:avLst/>
                    </a:prstGeom>
                    <a:noFill/>
                    <a:ln>
                      <a:noFill/>
                    </a:ln>
                  </pic:spPr>
                </pic:pic>
              </a:graphicData>
            </a:graphic>
          </wp:inline>
        </w:drawing>
      </w:r>
    </w:p>
    <w:p w:rsidR="00267140" w:rsidRPr="004A3269" w:rsidRDefault="00F96760" w:rsidP="003D7C06">
      <w:pPr>
        <w:pStyle w:val="ONUMFS"/>
        <w:rPr>
          <w:rFonts w:eastAsia="SimSun"/>
          <w:szCs w:val="22"/>
          <w:lang w:eastAsia="zh-CN"/>
        </w:rPr>
      </w:pPr>
      <w:r w:rsidRPr="004A3269">
        <w:rPr>
          <w:rStyle w:val="hps"/>
        </w:rPr>
        <w:t>En septembre</w:t>
      </w:r>
      <w:r w:rsidRPr="004A3269">
        <w:t> </w:t>
      </w:r>
      <w:r w:rsidRPr="004A3269">
        <w:rPr>
          <w:rStyle w:val="hps"/>
        </w:rPr>
        <w:t>2011, la Banque</w:t>
      </w:r>
      <w:r w:rsidRPr="004A3269">
        <w:t xml:space="preserve"> </w:t>
      </w:r>
      <w:r w:rsidRPr="004A3269">
        <w:rPr>
          <w:rStyle w:val="hps"/>
        </w:rPr>
        <w:t>nationale suisse (BNS</w:t>
      </w:r>
      <w:r w:rsidRPr="004A3269">
        <w:t xml:space="preserve">) a annoncé </w:t>
      </w:r>
      <w:r w:rsidRPr="004A3269">
        <w:rPr>
          <w:rStyle w:val="hps"/>
        </w:rPr>
        <w:t>une politique</w:t>
      </w:r>
      <w:r w:rsidRPr="004A3269">
        <w:t xml:space="preserve"> </w:t>
      </w:r>
      <w:r w:rsidRPr="004A3269">
        <w:rPr>
          <w:rStyle w:val="hps"/>
        </w:rPr>
        <w:t xml:space="preserve">de </w:t>
      </w:r>
      <w:r w:rsidR="004F69A8" w:rsidRPr="004A3269">
        <w:rPr>
          <w:rStyle w:val="hps"/>
        </w:rPr>
        <w:t>maintien d</w:t>
      </w:r>
      <w:r w:rsidR="009021AA" w:rsidRPr="004A3269">
        <w:rPr>
          <w:rStyle w:val="hps"/>
        </w:rPr>
        <w:t>’</w:t>
      </w:r>
      <w:r w:rsidR="004F69A8" w:rsidRPr="004A3269">
        <w:rPr>
          <w:rStyle w:val="hps"/>
        </w:rPr>
        <w:t>un</w:t>
      </w:r>
      <w:r w:rsidRPr="004A3269">
        <w:rPr>
          <w:rStyle w:val="hps"/>
        </w:rPr>
        <w:t xml:space="preserve"> taux de change</w:t>
      </w:r>
      <w:r w:rsidRPr="004A3269">
        <w:t xml:space="preserve"> </w:t>
      </w:r>
      <w:r w:rsidRPr="004A3269">
        <w:rPr>
          <w:rStyle w:val="hps"/>
        </w:rPr>
        <w:t>minimum de</w:t>
      </w:r>
      <w:r w:rsidRPr="004A3269">
        <w:t xml:space="preserve"> </w:t>
      </w:r>
      <w:r w:rsidR="004F69A8" w:rsidRPr="004A3269">
        <w:rPr>
          <w:rStyle w:val="hps"/>
        </w:rPr>
        <w:t>1,20 </w:t>
      </w:r>
      <w:r w:rsidRPr="004A3269">
        <w:rPr>
          <w:rStyle w:val="hps"/>
        </w:rPr>
        <w:t>franc</w:t>
      </w:r>
      <w:r w:rsidRPr="004A3269">
        <w:t xml:space="preserve"> </w:t>
      </w:r>
      <w:r w:rsidRPr="004A3269">
        <w:rPr>
          <w:rStyle w:val="hps"/>
        </w:rPr>
        <w:t>suisse pour un euro</w:t>
      </w:r>
      <w:r w:rsidRPr="004A3269">
        <w:t xml:space="preserve">. </w:t>
      </w:r>
      <w:r w:rsidR="004F69A8" w:rsidRPr="004A3269">
        <w:t xml:space="preserve"> </w:t>
      </w:r>
      <w:r w:rsidRPr="004A3269">
        <w:rPr>
          <w:rStyle w:val="hps"/>
        </w:rPr>
        <w:t>Cette politique</w:t>
      </w:r>
      <w:r w:rsidRPr="004A3269">
        <w:t xml:space="preserve"> </w:t>
      </w:r>
      <w:r w:rsidR="004F69A8" w:rsidRPr="004A3269">
        <w:t xml:space="preserve">a </w:t>
      </w:r>
      <w:r w:rsidRPr="004A3269">
        <w:rPr>
          <w:rStyle w:val="hps"/>
        </w:rPr>
        <w:t>effectivement limité</w:t>
      </w:r>
      <w:r w:rsidRPr="004A3269">
        <w:t xml:space="preserve"> </w:t>
      </w:r>
      <w:r w:rsidRPr="004A3269">
        <w:rPr>
          <w:rStyle w:val="hps"/>
        </w:rPr>
        <w:t>l</w:t>
      </w:r>
      <w:r w:rsidR="009021AA" w:rsidRPr="004A3269">
        <w:rPr>
          <w:rStyle w:val="hps"/>
        </w:rPr>
        <w:t>’</w:t>
      </w:r>
      <w:r w:rsidRPr="004A3269">
        <w:rPr>
          <w:rStyle w:val="hps"/>
        </w:rPr>
        <w:t>exposition de</w:t>
      </w:r>
      <w:r w:rsidRPr="004A3269">
        <w:t xml:space="preserve"> </w:t>
      </w:r>
      <w:r w:rsidRPr="004A3269">
        <w:rPr>
          <w:rStyle w:val="hps"/>
        </w:rPr>
        <w:t>l</w:t>
      </w:r>
      <w:r w:rsidR="009021AA" w:rsidRPr="004A3269">
        <w:rPr>
          <w:rStyle w:val="hps"/>
        </w:rPr>
        <w:t>’</w:t>
      </w:r>
      <w:r w:rsidRPr="004A3269">
        <w:rPr>
          <w:rStyle w:val="hps"/>
        </w:rPr>
        <w:t>Organisation</w:t>
      </w:r>
      <w:r w:rsidRPr="004A3269">
        <w:t xml:space="preserve"> </w:t>
      </w:r>
      <w:r w:rsidR="004F69A8" w:rsidRPr="004A3269">
        <w:rPr>
          <w:rStyle w:val="hps"/>
        </w:rPr>
        <w:t>aux pertes</w:t>
      </w:r>
      <w:r w:rsidRPr="004A3269">
        <w:t xml:space="preserve"> </w:t>
      </w:r>
      <w:r w:rsidRPr="004A3269">
        <w:rPr>
          <w:rStyle w:val="hps"/>
        </w:rPr>
        <w:t>de change sur les</w:t>
      </w:r>
      <w:r w:rsidRPr="004A3269">
        <w:t xml:space="preserve"> </w:t>
      </w:r>
      <w:r w:rsidR="004F69A8" w:rsidRPr="004A3269">
        <w:t xml:space="preserve">taxes </w:t>
      </w:r>
      <w:r w:rsidRPr="004A3269">
        <w:rPr>
          <w:rStyle w:val="hps"/>
        </w:rPr>
        <w:t>perçu</w:t>
      </w:r>
      <w:r w:rsidR="004F69A8" w:rsidRPr="004A3269">
        <w:rPr>
          <w:rStyle w:val="hps"/>
        </w:rPr>
        <w:t>e</w:t>
      </w:r>
      <w:r w:rsidRPr="004A3269">
        <w:rPr>
          <w:rStyle w:val="hps"/>
        </w:rPr>
        <w:t>s</w:t>
      </w:r>
      <w:r w:rsidRPr="004A3269">
        <w:t xml:space="preserve"> </w:t>
      </w:r>
      <w:r w:rsidRPr="004A3269">
        <w:rPr>
          <w:rStyle w:val="hps"/>
        </w:rPr>
        <w:t>en euros.</w:t>
      </w:r>
      <w:r w:rsidR="004F69A8" w:rsidRPr="004A3269">
        <w:rPr>
          <w:rStyle w:val="hps"/>
        </w:rPr>
        <w:t xml:space="preserve"> </w:t>
      </w:r>
      <w:r w:rsidRPr="004A3269">
        <w:rPr>
          <w:rStyle w:val="hps"/>
        </w:rPr>
        <w:t xml:space="preserve"> Cependant</w:t>
      </w:r>
      <w:r w:rsidRPr="004A3269">
        <w:t xml:space="preserve">, </w:t>
      </w:r>
      <w:r w:rsidR="004F69A8" w:rsidRPr="004A3269">
        <w:rPr>
          <w:rStyle w:val="hps"/>
        </w:rPr>
        <w:t>le 15 j</w:t>
      </w:r>
      <w:r w:rsidRPr="004A3269">
        <w:rPr>
          <w:rStyle w:val="hps"/>
        </w:rPr>
        <w:t>anvier</w:t>
      </w:r>
      <w:r w:rsidR="004F69A8" w:rsidRPr="004A3269">
        <w:t> </w:t>
      </w:r>
      <w:r w:rsidRPr="004A3269">
        <w:rPr>
          <w:rStyle w:val="hps"/>
        </w:rPr>
        <w:t>2015,</w:t>
      </w:r>
      <w:r w:rsidR="009021AA" w:rsidRPr="004A3269">
        <w:rPr>
          <w:rStyle w:val="hps"/>
        </w:rPr>
        <w:t xml:space="preserve"> la BNS</w:t>
      </w:r>
      <w:r w:rsidRPr="004A3269">
        <w:t xml:space="preserve"> </w:t>
      </w:r>
      <w:r w:rsidRPr="004A3269">
        <w:rPr>
          <w:rStyle w:val="hps"/>
        </w:rPr>
        <w:t>a annoncé</w:t>
      </w:r>
      <w:r w:rsidRPr="004A3269">
        <w:t xml:space="preserve"> </w:t>
      </w:r>
      <w:r w:rsidRPr="004A3269">
        <w:rPr>
          <w:rStyle w:val="hps"/>
        </w:rPr>
        <w:t>qu</w:t>
      </w:r>
      <w:r w:rsidR="009021AA" w:rsidRPr="004A3269">
        <w:rPr>
          <w:rStyle w:val="hps"/>
        </w:rPr>
        <w:t>’</w:t>
      </w:r>
      <w:r w:rsidRPr="004A3269">
        <w:rPr>
          <w:rStyle w:val="hps"/>
        </w:rPr>
        <w:t xml:space="preserve">elle </w:t>
      </w:r>
      <w:r w:rsidR="004F69A8" w:rsidRPr="004A3269">
        <w:rPr>
          <w:rStyle w:val="hps"/>
        </w:rPr>
        <w:t>abandonnait</w:t>
      </w:r>
      <w:r w:rsidRPr="004A3269">
        <w:t xml:space="preserve"> </w:t>
      </w:r>
      <w:r w:rsidRPr="004A3269">
        <w:rPr>
          <w:rStyle w:val="hps"/>
        </w:rPr>
        <w:t>cette politique</w:t>
      </w:r>
      <w:r w:rsidRPr="004A3269">
        <w:t xml:space="preserve">. </w:t>
      </w:r>
      <w:r w:rsidR="004F69A8" w:rsidRPr="004A3269">
        <w:t xml:space="preserve"> </w:t>
      </w:r>
      <w:r w:rsidRPr="004A3269">
        <w:rPr>
          <w:rStyle w:val="hps"/>
        </w:rPr>
        <w:t>Par la suite</w:t>
      </w:r>
      <w:r w:rsidRPr="004A3269">
        <w:t xml:space="preserve">, </w:t>
      </w:r>
      <w:r w:rsidRPr="004A3269">
        <w:rPr>
          <w:rStyle w:val="hps"/>
        </w:rPr>
        <w:t>la valeur</w:t>
      </w:r>
      <w:r w:rsidRPr="004A3269">
        <w:t xml:space="preserve"> </w:t>
      </w:r>
      <w:r w:rsidRPr="004A3269">
        <w:rPr>
          <w:rStyle w:val="hps"/>
        </w:rPr>
        <w:t>du franc suisse</w:t>
      </w:r>
      <w:r w:rsidRPr="004A3269">
        <w:t xml:space="preserve"> </w:t>
      </w:r>
      <w:r w:rsidRPr="004A3269">
        <w:rPr>
          <w:rStyle w:val="hps"/>
        </w:rPr>
        <w:t>a fortement augmenté,</w:t>
      </w:r>
      <w:r w:rsidRPr="004A3269">
        <w:t xml:space="preserve"> </w:t>
      </w:r>
      <w:r w:rsidRPr="004A3269">
        <w:rPr>
          <w:rStyle w:val="hps"/>
        </w:rPr>
        <w:t>et</w:t>
      </w:r>
      <w:r w:rsidRPr="004A3269">
        <w:t xml:space="preserve"> </w:t>
      </w:r>
      <w:r w:rsidRPr="004A3269">
        <w:rPr>
          <w:rStyle w:val="hps"/>
        </w:rPr>
        <w:t xml:space="preserve">toutes les autres </w:t>
      </w:r>
      <w:r w:rsidR="004F69A8" w:rsidRPr="004A3269">
        <w:rPr>
          <w:rStyle w:val="hps"/>
        </w:rPr>
        <w:t>devises</w:t>
      </w:r>
      <w:r w:rsidRPr="004A3269">
        <w:t xml:space="preserve"> </w:t>
      </w:r>
      <w:r w:rsidRPr="004A3269">
        <w:rPr>
          <w:rStyle w:val="hps"/>
        </w:rPr>
        <w:t>ont perdu en moyenne</w:t>
      </w:r>
      <w:r w:rsidRPr="004A3269">
        <w:t xml:space="preserve"> </w:t>
      </w:r>
      <w:r w:rsidRPr="004A3269">
        <w:rPr>
          <w:rStyle w:val="hps"/>
        </w:rPr>
        <w:t>15,0</w:t>
      </w:r>
      <w:r w:rsidR="004F69A8" w:rsidRPr="004A3269">
        <w:rPr>
          <w:rStyle w:val="hps"/>
        </w:rPr>
        <w:t>%</w:t>
      </w:r>
      <w:r w:rsidRPr="004A3269">
        <w:rPr>
          <w:rStyle w:val="hps"/>
        </w:rPr>
        <w:t xml:space="preserve"> de leur</w:t>
      </w:r>
      <w:r w:rsidRPr="004A3269">
        <w:t xml:space="preserve"> </w:t>
      </w:r>
      <w:r w:rsidRPr="004A3269">
        <w:rPr>
          <w:rStyle w:val="hps"/>
        </w:rPr>
        <w:t>valeur par rapport au</w:t>
      </w:r>
      <w:r w:rsidRPr="004A3269">
        <w:t xml:space="preserve"> </w:t>
      </w:r>
      <w:r w:rsidRPr="004A3269">
        <w:rPr>
          <w:rStyle w:val="hps"/>
        </w:rPr>
        <w:t>franc suisse</w:t>
      </w:r>
      <w:r w:rsidRPr="004A3269">
        <w:t xml:space="preserve"> </w:t>
      </w:r>
      <w:r w:rsidR="004F69A8" w:rsidRPr="004A3269">
        <w:rPr>
          <w:rStyle w:val="hps"/>
        </w:rPr>
        <w:t>sur</w:t>
      </w:r>
      <w:r w:rsidRPr="004A3269">
        <w:rPr>
          <w:rStyle w:val="hps"/>
        </w:rPr>
        <w:t xml:space="preserve"> les</w:t>
      </w:r>
      <w:r w:rsidRPr="004A3269">
        <w:t xml:space="preserve"> </w:t>
      </w:r>
      <w:r w:rsidRPr="004A3269">
        <w:rPr>
          <w:rStyle w:val="hps"/>
        </w:rPr>
        <w:t>marchés des devises</w:t>
      </w:r>
      <w:r w:rsidRPr="004A3269">
        <w:t xml:space="preserve">. </w:t>
      </w:r>
      <w:r w:rsidR="004F69A8" w:rsidRPr="004A3269">
        <w:t xml:space="preserve"> </w:t>
      </w:r>
      <w:r w:rsidRPr="004A3269">
        <w:rPr>
          <w:rStyle w:val="hps"/>
        </w:rPr>
        <w:t>Le tableau</w:t>
      </w:r>
      <w:r w:rsidRPr="004A3269">
        <w:t xml:space="preserve"> </w:t>
      </w:r>
      <w:r w:rsidRPr="004A3269">
        <w:rPr>
          <w:rStyle w:val="hps"/>
        </w:rPr>
        <w:t>ci</w:t>
      </w:r>
      <w:r w:rsidR="00A17552" w:rsidRPr="004A3269">
        <w:rPr>
          <w:rStyle w:val="hps"/>
        </w:rPr>
        <w:noBreakHyphen/>
      </w:r>
      <w:r w:rsidRPr="004A3269">
        <w:rPr>
          <w:rStyle w:val="hps"/>
        </w:rPr>
        <w:t xml:space="preserve">dessous </w:t>
      </w:r>
      <w:r w:rsidR="000515B2" w:rsidRPr="004A3269">
        <w:rPr>
          <w:rStyle w:val="hps"/>
        </w:rPr>
        <w:t>compare</w:t>
      </w:r>
      <w:r w:rsidRPr="004A3269">
        <w:rPr>
          <w:rStyle w:val="hps"/>
        </w:rPr>
        <w:t xml:space="preserve"> le</w:t>
      </w:r>
      <w:r w:rsidRPr="004A3269">
        <w:t xml:space="preserve"> </w:t>
      </w:r>
      <w:r w:rsidRPr="004A3269">
        <w:rPr>
          <w:rStyle w:val="hps"/>
        </w:rPr>
        <w:t>taux de change utilisé</w:t>
      </w:r>
      <w:r w:rsidRPr="004A3269">
        <w:t xml:space="preserve"> </w:t>
      </w:r>
      <w:r w:rsidRPr="004A3269">
        <w:rPr>
          <w:rStyle w:val="hps"/>
        </w:rPr>
        <w:t>pour établir les montants</w:t>
      </w:r>
      <w:r w:rsidRPr="004A3269">
        <w:t xml:space="preserve"> </w:t>
      </w:r>
      <w:r w:rsidRPr="004A3269">
        <w:rPr>
          <w:rStyle w:val="hps"/>
        </w:rPr>
        <w:t>équivalents</w:t>
      </w:r>
      <w:r w:rsidRPr="004A3269">
        <w:t xml:space="preserve"> </w:t>
      </w:r>
      <w:r w:rsidR="005D164C" w:rsidRPr="004A3269">
        <w:rPr>
          <w:rStyle w:val="hps"/>
        </w:rPr>
        <w:t>en ce qui concerne</w:t>
      </w:r>
      <w:r w:rsidRPr="004A3269">
        <w:rPr>
          <w:rStyle w:val="hps"/>
        </w:rPr>
        <w:t xml:space="preserve"> les dépôts</w:t>
      </w:r>
      <w:r w:rsidRPr="004A3269">
        <w:t xml:space="preserve"> </w:t>
      </w:r>
      <w:r w:rsidR="005D164C" w:rsidRPr="004A3269">
        <w:t xml:space="preserve">de </w:t>
      </w:r>
      <w:r w:rsidR="004F69A8" w:rsidRPr="004A3269">
        <w:rPr>
          <w:rStyle w:val="hps"/>
        </w:rPr>
        <w:t>fin</w:t>
      </w:r>
      <w:r w:rsidR="004F69A8" w:rsidRPr="004A3269">
        <w:t> </w:t>
      </w:r>
      <w:r w:rsidRPr="004A3269">
        <w:rPr>
          <w:rStyle w:val="hps"/>
        </w:rPr>
        <w:t>2014 et</w:t>
      </w:r>
      <w:r w:rsidRPr="004A3269">
        <w:t xml:space="preserve"> </w:t>
      </w:r>
      <w:r w:rsidR="005D164C" w:rsidRPr="004A3269">
        <w:t xml:space="preserve">du </w:t>
      </w:r>
      <w:r w:rsidRPr="004A3269">
        <w:rPr>
          <w:rStyle w:val="hps"/>
        </w:rPr>
        <w:t>début</w:t>
      </w:r>
      <w:r w:rsidR="004F69A8" w:rsidRPr="004A3269">
        <w:t> </w:t>
      </w:r>
      <w:r w:rsidRPr="004A3269">
        <w:rPr>
          <w:rStyle w:val="hps"/>
        </w:rPr>
        <w:t>2015</w:t>
      </w:r>
      <w:r w:rsidRPr="004A3269">
        <w:t xml:space="preserve"> </w:t>
      </w:r>
      <w:r w:rsidRPr="004A3269">
        <w:rPr>
          <w:rStyle w:val="hps"/>
        </w:rPr>
        <w:t>pour le dollar américain</w:t>
      </w:r>
      <w:r w:rsidRPr="004A3269">
        <w:t xml:space="preserve">, le yen japonais </w:t>
      </w:r>
      <w:r w:rsidRPr="004A3269">
        <w:rPr>
          <w:rStyle w:val="hps"/>
        </w:rPr>
        <w:t>et l</w:t>
      </w:r>
      <w:r w:rsidR="009021AA" w:rsidRPr="004A3269">
        <w:rPr>
          <w:rStyle w:val="hps"/>
        </w:rPr>
        <w:t>’</w:t>
      </w:r>
      <w:r w:rsidRPr="004A3269">
        <w:rPr>
          <w:rStyle w:val="hps"/>
        </w:rPr>
        <w:t>euro,</w:t>
      </w:r>
      <w:r w:rsidRPr="004A3269">
        <w:t xml:space="preserve"> </w:t>
      </w:r>
      <w:r w:rsidR="004F69A8" w:rsidRPr="004A3269">
        <w:t xml:space="preserve">et </w:t>
      </w:r>
      <w:r w:rsidR="005D164C" w:rsidRPr="004A3269">
        <w:t>le</w:t>
      </w:r>
      <w:r w:rsidR="000515B2" w:rsidRPr="004A3269">
        <w:t xml:space="preserve"> taux de change </w:t>
      </w:r>
      <w:r w:rsidR="004F69A8" w:rsidRPr="004A3269">
        <w:t xml:space="preserve">UNORE </w:t>
      </w:r>
      <w:r w:rsidR="005D164C" w:rsidRPr="004A3269">
        <w:t xml:space="preserve">publié </w:t>
      </w:r>
      <w:r w:rsidR="004F69A8" w:rsidRPr="004A3269">
        <w:rPr>
          <w:rStyle w:val="hps"/>
        </w:rPr>
        <w:t>à</w:t>
      </w:r>
      <w:r w:rsidRPr="004A3269">
        <w:t xml:space="preserve"> </w:t>
      </w:r>
      <w:r w:rsidRPr="004A3269">
        <w:rPr>
          <w:rStyle w:val="hps"/>
        </w:rPr>
        <w:t>la</w:t>
      </w:r>
      <w:r w:rsidRPr="004A3269">
        <w:t xml:space="preserve"> </w:t>
      </w:r>
      <w:r w:rsidRPr="004A3269">
        <w:rPr>
          <w:rStyle w:val="hps"/>
        </w:rPr>
        <w:t>suite de l</w:t>
      </w:r>
      <w:r w:rsidR="009021AA" w:rsidRPr="004A3269">
        <w:rPr>
          <w:rStyle w:val="hps"/>
        </w:rPr>
        <w:t>’</w:t>
      </w:r>
      <w:r w:rsidRPr="004A3269">
        <w:rPr>
          <w:rStyle w:val="hps"/>
        </w:rPr>
        <w:t>annonce</w:t>
      </w:r>
      <w:r w:rsidRPr="004A3269">
        <w:t xml:space="preserve"> </w:t>
      </w:r>
      <w:r w:rsidR="004F69A8" w:rsidRPr="004A3269">
        <w:t>de</w:t>
      </w:r>
      <w:r w:rsidR="009021AA" w:rsidRPr="004A3269">
        <w:t xml:space="preserve"> la B</w:t>
      </w:r>
      <w:r w:rsidR="009021AA" w:rsidRPr="004A3269">
        <w:rPr>
          <w:rStyle w:val="hps"/>
        </w:rPr>
        <w:t>NS</w:t>
      </w:r>
      <w:r w:rsidRPr="004A3269">
        <w:rPr>
          <w:rStyle w:val="hps"/>
        </w:rPr>
        <w:t> </w:t>
      </w:r>
      <w:r w:rsidR="0021657D" w:rsidRPr="004A3269">
        <w:rPr>
          <w:rStyle w:val="hps"/>
          <w:rFonts w:eastAsia="SimSun"/>
        </w:rPr>
        <w:t>:</w:t>
      </w:r>
    </w:p>
    <w:p w:rsidR="00B25F22" w:rsidRPr="004A3269" w:rsidRDefault="00B25F22" w:rsidP="000141BC">
      <w:pPr>
        <w:spacing w:after="220"/>
        <w:jc w:val="center"/>
        <w:rPr>
          <w:rFonts w:eastAsia="SimSun"/>
        </w:rPr>
      </w:pPr>
      <w:r w:rsidRPr="004A3269">
        <w:rPr>
          <w:rFonts w:eastAsia="SimSun"/>
          <w:noProof/>
          <w:lang w:val="en-US"/>
        </w:rPr>
        <w:lastRenderedPageBreak/>
        <w:drawing>
          <wp:inline distT="0" distB="0" distL="0" distR="0" wp14:anchorId="5282A2CC" wp14:editId="78AC51A2">
            <wp:extent cx="5977255" cy="2963823"/>
            <wp:effectExtent l="0" t="0" r="4445" b="825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7255" cy="2963823"/>
                    </a:xfrm>
                    <a:prstGeom prst="rect">
                      <a:avLst/>
                    </a:prstGeom>
                    <a:noFill/>
                    <a:ln>
                      <a:noFill/>
                    </a:ln>
                  </pic:spPr>
                </pic:pic>
              </a:graphicData>
            </a:graphic>
          </wp:inline>
        </w:drawing>
      </w:r>
    </w:p>
    <w:p w:rsidR="00267140" w:rsidRPr="004A3269" w:rsidRDefault="00F96760" w:rsidP="003D7C06">
      <w:pPr>
        <w:pStyle w:val="ONUMFS"/>
      </w:pPr>
      <w:r w:rsidRPr="004A3269">
        <w:rPr>
          <w:rStyle w:val="hps"/>
        </w:rPr>
        <w:t>L</w:t>
      </w:r>
      <w:r w:rsidR="009021AA" w:rsidRPr="004A3269">
        <w:rPr>
          <w:rStyle w:val="hps"/>
        </w:rPr>
        <w:t>’</w:t>
      </w:r>
      <w:r w:rsidRPr="004A3269">
        <w:rPr>
          <w:rStyle w:val="hps"/>
        </w:rPr>
        <w:t>OMPI</w:t>
      </w:r>
      <w:r w:rsidRPr="004A3269">
        <w:t xml:space="preserve"> </w:t>
      </w:r>
      <w:r w:rsidRPr="004A3269">
        <w:rPr>
          <w:rStyle w:val="hps"/>
        </w:rPr>
        <w:t>devrait</w:t>
      </w:r>
      <w:r w:rsidRPr="004A3269">
        <w:t xml:space="preserve"> </w:t>
      </w:r>
      <w:r w:rsidR="004F69A8" w:rsidRPr="004A3269">
        <w:rPr>
          <w:rStyle w:val="hps"/>
        </w:rPr>
        <w:t>subir</w:t>
      </w:r>
      <w:r w:rsidRPr="004A3269">
        <w:t xml:space="preserve"> </w:t>
      </w:r>
      <w:r w:rsidRPr="004A3269">
        <w:rPr>
          <w:rStyle w:val="hps"/>
        </w:rPr>
        <w:t>des pertes de change</w:t>
      </w:r>
      <w:r w:rsidRPr="004A3269">
        <w:t xml:space="preserve"> </w:t>
      </w:r>
      <w:r w:rsidR="002A1F28" w:rsidRPr="004A3269">
        <w:t xml:space="preserve">à la fois </w:t>
      </w:r>
      <w:r w:rsidRPr="004A3269">
        <w:rPr>
          <w:rStyle w:val="hps"/>
        </w:rPr>
        <w:t>sur</w:t>
      </w:r>
      <w:r w:rsidRPr="004A3269">
        <w:t xml:space="preserve"> </w:t>
      </w:r>
      <w:r w:rsidRPr="004A3269">
        <w:rPr>
          <w:rStyle w:val="hps"/>
        </w:rPr>
        <w:t>les dépôts</w:t>
      </w:r>
      <w:r w:rsidR="004F69A8" w:rsidRPr="004A3269">
        <w:t> </w:t>
      </w:r>
      <w:r w:rsidRPr="004A3269">
        <w:rPr>
          <w:rStyle w:val="hps"/>
        </w:rPr>
        <w:t>2014</w:t>
      </w:r>
      <w:r w:rsidRPr="004A3269">
        <w:t xml:space="preserve"> </w:t>
      </w:r>
      <w:r w:rsidR="002A1F28" w:rsidRPr="004A3269">
        <w:rPr>
          <w:rStyle w:val="hps"/>
        </w:rPr>
        <w:t>non payés</w:t>
      </w:r>
      <w:r w:rsidRPr="004A3269">
        <w:t xml:space="preserve"> </w:t>
      </w:r>
      <w:r w:rsidRPr="004A3269">
        <w:rPr>
          <w:rStyle w:val="hps"/>
        </w:rPr>
        <w:t>avant l</w:t>
      </w:r>
      <w:r w:rsidR="009021AA" w:rsidRPr="004A3269">
        <w:rPr>
          <w:rStyle w:val="hps"/>
        </w:rPr>
        <w:t>’</w:t>
      </w:r>
      <w:r w:rsidRPr="004A3269">
        <w:rPr>
          <w:rStyle w:val="hps"/>
        </w:rPr>
        <w:t>annonce</w:t>
      </w:r>
      <w:r w:rsidR="004F69A8" w:rsidRPr="004A3269">
        <w:t xml:space="preserve"> de</w:t>
      </w:r>
      <w:r w:rsidR="009021AA" w:rsidRPr="004A3269">
        <w:t xml:space="preserve"> la BNS</w:t>
      </w:r>
      <w:r w:rsidRPr="004A3269">
        <w:t xml:space="preserve"> </w:t>
      </w:r>
      <w:r w:rsidRPr="004A3269">
        <w:rPr>
          <w:rStyle w:val="hps"/>
        </w:rPr>
        <w:t xml:space="preserve">et </w:t>
      </w:r>
      <w:r w:rsidR="002A1F28" w:rsidRPr="004A3269">
        <w:rPr>
          <w:rStyle w:val="hps"/>
        </w:rPr>
        <w:t>sur les dépôts </w:t>
      </w:r>
      <w:r w:rsidRPr="004A3269">
        <w:rPr>
          <w:rStyle w:val="hps"/>
        </w:rPr>
        <w:t>2015</w:t>
      </w:r>
      <w:r w:rsidRPr="004A3269">
        <w:t xml:space="preserve"> </w:t>
      </w:r>
      <w:r w:rsidRPr="004A3269">
        <w:rPr>
          <w:rStyle w:val="hps"/>
        </w:rPr>
        <w:t>effectués</w:t>
      </w:r>
      <w:r w:rsidRPr="004A3269">
        <w:t xml:space="preserve"> </w:t>
      </w:r>
      <w:r w:rsidRPr="004A3269">
        <w:rPr>
          <w:rStyle w:val="hps"/>
        </w:rPr>
        <w:t>au cours des trois</w:t>
      </w:r>
      <w:r w:rsidR="00067463" w:rsidRPr="004A3269">
        <w:rPr>
          <w:rStyle w:val="hps"/>
        </w:rPr>
        <w:t> </w:t>
      </w:r>
      <w:r w:rsidRPr="004A3269">
        <w:rPr>
          <w:rStyle w:val="hps"/>
        </w:rPr>
        <w:t>premiers mois de</w:t>
      </w:r>
      <w:r w:rsidRPr="004A3269">
        <w:t xml:space="preserve"> </w:t>
      </w:r>
      <w:r w:rsidRPr="004A3269">
        <w:rPr>
          <w:rStyle w:val="hps"/>
        </w:rPr>
        <w:t>l</w:t>
      </w:r>
      <w:r w:rsidR="009021AA" w:rsidRPr="004A3269">
        <w:rPr>
          <w:rStyle w:val="hps"/>
        </w:rPr>
        <w:t>’</w:t>
      </w:r>
      <w:r w:rsidRPr="004A3269">
        <w:rPr>
          <w:rStyle w:val="hps"/>
        </w:rPr>
        <w:t>année précédant</w:t>
      </w:r>
      <w:r w:rsidRPr="004A3269">
        <w:t xml:space="preserve"> </w:t>
      </w:r>
      <w:r w:rsidRPr="004A3269">
        <w:rPr>
          <w:rStyle w:val="hps"/>
        </w:rPr>
        <w:t>la mise en œuvre</w:t>
      </w:r>
      <w:r w:rsidRPr="004A3269">
        <w:t xml:space="preserve"> </w:t>
      </w:r>
      <w:r w:rsidRPr="004A3269">
        <w:rPr>
          <w:rStyle w:val="hps"/>
        </w:rPr>
        <w:t>de</w:t>
      </w:r>
      <w:r w:rsidR="002A1F28" w:rsidRPr="004A3269">
        <w:rPr>
          <w:rStyle w:val="hps"/>
        </w:rPr>
        <w:t>s</w:t>
      </w:r>
      <w:r w:rsidRPr="004A3269">
        <w:rPr>
          <w:rStyle w:val="hps"/>
        </w:rPr>
        <w:t xml:space="preserve"> nouveaux montants équivalents</w:t>
      </w:r>
      <w:r w:rsidRPr="004A3269">
        <w:t xml:space="preserve"> </w:t>
      </w:r>
      <w:r w:rsidRPr="004A3269">
        <w:rPr>
          <w:rStyle w:val="hps"/>
        </w:rPr>
        <w:t xml:space="preserve">à </w:t>
      </w:r>
      <w:r w:rsidR="002A1F28" w:rsidRPr="004A3269">
        <w:rPr>
          <w:rStyle w:val="hps"/>
        </w:rPr>
        <w:t>compter</w:t>
      </w:r>
      <w:r w:rsidRPr="004A3269">
        <w:rPr>
          <w:rStyle w:val="hps"/>
        </w:rPr>
        <w:t xml:space="preserve"> du 1</w:t>
      </w:r>
      <w:r w:rsidRPr="004A3269">
        <w:rPr>
          <w:rStyle w:val="hps"/>
          <w:vertAlign w:val="superscript"/>
        </w:rPr>
        <w:t>er</w:t>
      </w:r>
      <w:r w:rsidR="002A1F28" w:rsidRPr="004A3269">
        <w:t> a</w:t>
      </w:r>
      <w:r w:rsidRPr="004A3269">
        <w:rPr>
          <w:rStyle w:val="hps"/>
        </w:rPr>
        <w:t>vril</w:t>
      </w:r>
      <w:r w:rsidR="002A1F28" w:rsidRPr="004A3269">
        <w:t> </w:t>
      </w:r>
      <w:r w:rsidRPr="004A3269">
        <w:rPr>
          <w:rStyle w:val="hps"/>
        </w:rPr>
        <w:t>2015.</w:t>
      </w:r>
      <w:r w:rsidR="002A1F28" w:rsidRPr="004A3269">
        <w:rPr>
          <w:rStyle w:val="hps"/>
        </w:rPr>
        <w:t xml:space="preserve"> </w:t>
      </w:r>
      <w:r w:rsidRPr="004A3269">
        <w:rPr>
          <w:rStyle w:val="hps"/>
        </w:rPr>
        <w:t xml:space="preserve"> </w:t>
      </w:r>
      <w:r w:rsidR="002A1F28" w:rsidRPr="004A3269">
        <w:rPr>
          <w:rStyle w:val="hps"/>
        </w:rPr>
        <w:t>Les taxes</w:t>
      </w:r>
      <w:r w:rsidRPr="004A3269">
        <w:t xml:space="preserve"> </w:t>
      </w:r>
      <w:r w:rsidR="002A1F28" w:rsidRPr="004A3269">
        <w:t>afférentes à</w:t>
      </w:r>
      <w:r w:rsidRPr="004A3269">
        <w:t xml:space="preserve"> </w:t>
      </w:r>
      <w:r w:rsidRPr="004A3269">
        <w:rPr>
          <w:rStyle w:val="hps"/>
        </w:rPr>
        <w:t xml:space="preserve">ces </w:t>
      </w:r>
      <w:r w:rsidR="002A1F28" w:rsidRPr="004A3269">
        <w:rPr>
          <w:rStyle w:val="hps"/>
        </w:rPr>
        <w:t>dépôts</w:t>
      </w:r>
      <w:r w:rsidRPr="004A3269">
        <w:t xml:space="preserve"> </w:t>
      </w:r>
      <w:r w:rsidRPr="004A3269">
        <w:rPr>
          <w:rStyle w:val="hps"/>
        </w:rPr>
        <w:t xml:space="preserve">devraient être </w:t>
      </w:r>
      <w:r w:rsidR="002A1F28" w:rsidRPr="004A3269">
        <w:rPr>
          <w:rStyle w:val="hps"/>
        </w:rPr>
        <w:t>perçues</w:t>
      </w:r>
      <w:r w:rsidRPr="004A3269">
        <w:t xml:space="preserve"> </w:t>
      </w:r>
      <w:r w:rsidRPr="004A3269">
        <w:rPr>
          <w:rStyle w:val="hps"/>
        </w:rPr>
        <w:t>au cours des cinq</w:t>
      </w:r>
      <w:r w:rsidR="002A1F28" w:rsidRPr="004A3269">
        <w:rPr>
          <w:rStyle w:val="hps"/>
        </w:rPr>
        <w:t> </w:t>
      </w:r>
      <w:r w:rsidRPr="004A3269">
        <w:rPr>
          <w:rStyle w:val="hps"/>
        </w:rPr>
        <w:t>premiers mois de</w:t>
      </w:r>
      <w:r w:rsidRPr="004A3269">
        <w:t xml:space="preserve"> </w:t>
      </w:r>
      <w:r w:rsidR="002A1F28" w:rsidRPr="004A3269">
        <w:t>l</w:t>
      </w:r>
      <w:r w:rsidR="009021AA" w:rsidRPr="004A3269">
        <w:t>’</w:t>
      </w:r>
      <w:r w:rsidR="002A1F28" w:rsidRPr="004A3269">
        <w:t>année </w:t>
      </w:r>
      <w:r w:rsidR="002A1F28" w:rsidRPr="004A3269">
        <w:rPr>
          <w:rStyle w:val="hps"/>
        </w:rPr>
        <w:t xml:space="preserve">2015;  </w:t>
      </w:r>
      <w:r w:rsidR="0070549D" w:rsidRPr="004A3269">
        <w:rPr>
          <w:rStyle w:val="hps"/>
        </w:rPr>
        <w:t>le volume de</w:t>
      </w:r>
      <w:r w:rsidRPr="004A3269">
        <w:rPr>
          <w:rStyle w:val="hps"/>
        </w:rPr>
        <w:t xml:space="preserve"> pertes</w:t>
      </w:r>
      <w:r w:rsidRPr="004A3269">
        <w:t xml:space="preserve"> </w:t>
      </w:r>
      <w:r w:rsidRPr="004A3269">
        <w:rPr>
          <w:rStyle w:val="hps"/>
        </w:rPr>
        <w:t xml:space="preserve">dépend </w:t>
      </w:r>
      <w:r w:rsidR="002A1F28" w:rsidRPr="004A3269">
        <w:rPr>
          <w:rStyle w:val="hps"/>
        </w:rPr>
        <w:t xml:space="preserve">donc </w:t>
      </w:r>
      <w:r w:rsidRPr="004A3269">
        <w:rPr>
          <w:rStyle w:val="hps"/>
        </w:rPr>
        <w:t xml:space="preserve">de </w:t>
      </w:r>
      <w:r w:rsidR="002A1F28" w:rsidRPr="004A3269">
        <w:rPr>
          <w:rStyle w:val="hps"/>
        </w:rPr>
        <w:t>l</w:t>
      </w:r>
      <w:r w:rsidR="009021AA" w:rsidRPr="004A3269">
        <w:rPr>
          <w:rStyle w:val="hps"/>
        </w:rPr>
        <w:t>’</w:t>
      </w:r>
      <w:r w:rsidR="002A1F28" w:rsidRPr="004A3269">
        <w:rPr>
          <w:rStyle w:val="hps"/>
        </w:rPr>
        <w:t>évolution</w:t>
      </w:r>
      <w:r w:rsidRPr="004A3269">
        <w:t xml:space="preserve"> </w:t>
      </w:r>
      <w:r w:rsidRPr="004A3269">
        <w:rPr>
          <w:rStyle w:val="hps"/>
        </w:rPr>
        <w:t>des entrées de trésorerie</w:t>
      </w:r>
      <w:r w:rsidRPr="004A3269">
        <w:t xml:space="preserve"> </w:t>
      </w:r>
      <w:r w:rsidRPr="004A3269">
        <w:rPr>
          <w:rStyle w:val="hps"/>
        </w:rPr>
        <w:t>et</w:t>
      </w:r>
      <w:r w:rsidRPr="004A3269">
        <w:t xml:space="preserve"> </w:t>
      </w:r>
      <w:r w:rsidRPr="004A3269">
        <w:rPr>
          <w:rStyle w:val="hps"/>
        </w:rPr>
        <w:t xml:space="preserve">des </w:t>
      </w:r>
      <w:r w:rsidR="002A1F28" w:rsidRPr="004A3269">
        <w:rPr>
          <w:rStyle w:val="hps"/>
        </w:rPr>
        <w:t xml:space="preserve">futurs </w:t>
      </w:r>
      <w:r w:rsidRPr="004A3269">
        <w:rPr>
          <w:rStyle w:val="hps"/>
        </w:rPr>
        <w:t>taux de change</w:t>
      </w:r>
      <w:r w:rsidRPr="004A3269">
        <w:t xml:space="preserve">. </w:t>
      </w:r>
      <w:r w:rsidR="002A1F28" w:rsidRPr="004A3269">
        <w:t xml:space="preserve"> </w:t>
      </w:r>
      <w:r w:rsidRPr="004A3269">
        <w:rPr>
          <w:rStyle w:val="hps"/>
        </w:rPr>
        <w:t>Il est à noter</w:t>
      </w:r>
      <w:r w:rsidRPr="004A3269">
        <w:t xml:space="preserve"> </w:t>
      </w:r>
      <w:r w:rsidRPr="004A3269">
        <w:rPr>
          <w:rStyle w:val="hps"/>
        </w:rPr>
        <w:t>que les</w:t>
      </w:r>
      <w:r w:rsidRPr="004A3269">
        <w:t xml:space="preserve"> </w:t>
      </w:r>
      <w:r w:rsidRPr="004A3269">
        <w:rPr>
          <w:rStyle w:val="hps"/>
        </w:rPr>
        <w:t>nouveaux montants équivalents</w:t>
      </w:r>
      <w:r w:rsidRPr="004A3269">
        <w:t xml:space="preserve"> </w:t>
      </w:r>
      <w:r w:rsidR="002A1F28" w:rsidRPr="004A3269">
        <w:rPr>
          <w:rStyle w:val="hps"/>
        </w:rPr>
        <w:t>annoncé</w:t>
      </w:r>
      <w:r w:rsidRPr="004A3269">
        <w:rPr>
          <w:rStyle w:val="hps"/>
        </w:rPr>
        <w:t>s</w:t>
      </w:r>
      <w:r w:rsidRPr="004A3269">
        <w:t xml:space="preserve"> </w:t>
      </w:r>
      <w:r w:rsidRPr="004A3269">
        <w:rPr>
          <w:rStyle w:val="hps"/>
        </w:rPr>
        <w:t>avec effet</w:t>
      </w:r>
      <w:r w:rsidRPr="004A3269">
        <w:t xml:space="preserve"> </w:t>
      </w:r>
      <w:r w:rsidRPr="004A3269">
        <w:rPr>
          <w:rStyle w:val="hps"/>
        </w:rPr>
        <w:t xml:space="preserve">à </w:t>
      </w:r>
      <w:r w:rsidR="002702A6" w:rsidRPr="004A3269">
        <w:rPr>
          <w:rStyle w:val="hps"/>
        </w:rPr>
        <w:t>partir</w:t>
      </w:r>
      <w:r w:rsidRPr="004A3269">
        <w:rPr>
          <w:rStyle w:val="hps"/>
        </w:rPr>
        <w:t xml:space="preserve"> du </w:t>
      </w:r>
      <w:r w:rsidR="002A1F28" w:rsidRPr="004A3269">
        <w:rPr>
          <w:rStyle w:val="hps"/>
        </w:rPr>
        <w:t>1</w:t>
      </w:r>
      <w:r w:rsidR="002A1F28" w:rsidRPr="004A3269">
        <w:rPr>
          <w:rStyle w:val="hps"/>
          <w:vertAlign w:val="superscript"/>
        </w:rPr>
        <w:t>er</w:t>
      </w:r>
      <w:r w:rsidR="002A1F28" w:rsidRPr="004A3269">
        <w:t> a</w:t>
      </w:r>
      <w:r w:rsidR="002A1F28" w:rsidRPr="004A3269">
        <w:rPr>
          <w:rStyle w:val="hps"/>
        </w:rPr>
        <w:t>vril</w:t>
      </w:r>
      <w:r w:rsidR="002A1F28" w:rsidRPr="004A3269">
        <w:t> </w:t>
      </w:r>
      <w:r w:rsidR="002A1F28" w:rsidRPr="004A3269">
        <w:rPr>
          <w:rStyle w:val="hps"/>
        </w:rPr>
        <w:t>2015</w:t>
      </w:r>
      <w:r w:rsidR="002702A6" w:rsidRPr="004A3269">
        <w:rPr>
          <w:rStyle w:val="hps"/>
        </w:rPr>
        <w:t xml:space="preserve"> concernaient l</w:t>
      </w:r>
      <w:r w:rsidR="009021AA" w:rsidRPr="004A3269">
        <w:rPr>
          <w:rStyle w:val="hps"/>
        </w:rPr>
        <w:t>’</w:t>
      </w:r>
      <w:r w:rsidRPr="004A3269">
        <w:rPr>
          <w:rStyle w:val="hps"/>
        </w:rPr>
        <w:t>euro, mais</w:t>
      </w:r>
      <w:r w:rsidRPr="004A3269">
        <w:t xml:space="preserve"> </w:t>
      </w:r>
      <w:r w:rsidR="002702A6" w:rsidRPr="004A3269">
        <w:t xml:space="preserve">pas le </w:t>
      </w:r>
      <w:r w:rsidRPr="004A3269">
        <w:rPr>
          <w:rStyle w:val="hps"/>
        </w:rPr>
        <w:t>dollar</w:t>
      </w:r>
      <w:r w:rsidRPr="004A3269">
        <w:t xml:space="preserve"> </w:t>
      </w:r>
      <w:r w:rsidRPr="004A3269">
        <w:rPr>
          <w:rStyle w:val="hps"/>
        </w:rPr>
        <w:t xml:space="preserve">américain </w:t>
      </w:r>
      <w:r w:rsidR="002702A6" w:rsidRPr="004A3269">
        <w:rPr>
          <w:rStyle w:val="hps"/>
        </w:rPr>
        <w:t xml:space="preserve">ni le </w:t>
      </w:r>
      <w:r w:rsidRPr="004A3269">
        <w:rPr>
          <w:rStyle w:val="hps"/>
        </w:rPr>
        <w:t>yen</w:t>
      </w:r>
      <w:r w:rsidRPr="004A3269">
        <w:t xml:space="preserve"> </w:t>
      </w:r>
      <w:r w:rsidRPr="004A3269">
        <w:rPr>
          <w:rStyle w:val="hps"/>
        </w:rPr>
        <w:t>japonais</w:t>
      </w:r>
      <w:r w:rsidR="002702A6" w:rsidRPr="004A3269">
        <w:rPr>
          <w:rStyle w:val="hps"/>
        </w:rPr>
        <w:t xml:space="preserve"> qui</w:t>
      </w:r>
      <w:r w:rsidRPr="004A3269">
        <w:rPr>
          <w:rStyle w:val="hps"/>
        </w:rPr>
        <w:t>,</w:t>
      </w:r>
      <w:r w:rsidRPr="004A3269">
        <w:t xml:space="preserve"> </w:t>
      </w:r>
      <w:r w:rsidRPr="004A3269">
        <w:rPr>
          <w:rStyle w:val="hps"/>
        </w:rPr>
        <w:t>en raison de</w:t>
      </w:r>
      <w:r w:rsidRPr="004A3269">
        <w:t xml:space="preserve"> </w:t>
      </w:r>
      <w:r w:rsidRPr="004A3269">
        <w:rPr>
          <w:rStyle w:val="hps"/>
        </w:rPr>
        <w:t>la reprise</w:t>
      </w:r>
      <w:r w:rsidRPr="004A3269">
        <w:t xml:space="preserve"> </w:t>
      </w:r>
      <w:r w:rsidRPr="004A3269">
        <w:rPr>
          <w:rStyle w:val="hps"/>
        </w:rPr>
        <w:t>d</w:t>
      </w:r>
      <w:r w:rsidR="009021AA" w:rsidRPr="004A3269">
        <w:rPr>
          <w:rStyle w:val="hps"/>
        </w:rPr>
        <w:t>’</w:t>
      </w:r>
      <w:r w:rsidRPr="004A3269">
        <w:rPr>
          <w:rStyle w:val="hps"/>
        </w:rPr>
        <w:t>une grande partie</w:t>
      </w:r>
      <w:r w:rsidRPr="004A3269">
        <w:t xml:space="preserve"> </w:t>
      </w:r>
      <w:r w:rsidRPr="004A3269">
        <w:rPr>
          <w:rStyle w:val="hps"/>
        </w:rPr>
        <w:t>de leur</w:t>
      </w:r>
      <w:r w:rsidRPr="004A3269">
        <w:t xml:space="preserve"> </w:t>
      </w:r>
      <w:r w:rsidRPr="004A3269">
        <w:rPr>
          <w:rStyle w:val="hps"/>
        </w:rPr>
        <w:t>valeur par rapport au</w:t>
      </w:r>
      <w:r w:rsidRPr="004A3269">
        <w:t xml:space="preserve"> </w:t>
      </w:r>
      <w:r w:rsidRPr="004A3269">
        <w:rPr>
          <w:rStyle w:val="hps"/>
        </w:rPr>
        <w:t>franc suisse</w:t>
      </w:r>
      <w:r w:rsidRPr="004A3269">
        <w:t xml:space="preserve">, </w:t>
      </w:r>
      <w:r w:rsidRPr="004A3269">
        <w:rPr>
          <w:rStyle w:val="hps"/>
        </w:rPr>
        <w:t>ne</w:t>
      </w:r>
      <w:r w:rsidRPr="004A3269">
        <w:t xml:space="preserve"> </w:t>
      </w:r>
      <w:r w:rsidR="002702A6" w:rsidRPr="004A3269">
        <w:rPr>
          <w:rStyle w:val="hps"/>
        </w:rPr>
        <w:t>répond</w:t>
      </w:r>
      <w:r w:rsidR="002A1F28" w:rsidRPr="004A3269">
        <w:rPr>
          <w:rStyle w:val="hps"/>
        </w:rPr>
        <w:t xml:space="preserve">ent pas </w:t>
      </w:r>
      <w:r w:rsidRPr="004A3269">
        <w:rPr>
          <w:rStyle w:val="hps"/>
        </w:rPr>
        <w:t>aux conditions</w:t>
      </w:r>
      <w:r w:rsidRPr="004A3269">
        <w:t xml:space="preserve"> </w:t>
      </w:r>
      <w:r w:rsidRPr="004A3269">
        <w:rPr>
          <w:rStyle w:val="hps"/>
        </w:rPr>
        <w:t>pour</w:t>
      </w:r>
      <w:r w:rsidRPr="004A3269">
        <w:t xml:space="preserve"> </w:t>
      </w:r>
      <w:r w:rsidRPr="004A3269">
        <w:rPr>
          <w:rStyle w:val="hps"/>
        </w:rPr>
        <w:t>la fixation d</w:t>
      </w:r>
      <w:r w:rsidR="009021AA" w:rsidRPr="004A3269">
        <w:rPr>
          <w:rStyle w:val="hps"/>
        </w:rPr>
        <w:t>’</w:t>
      </w:r>
      <w:r w:rsidRPr="004A3269">
        <w:rPr>
          <w:rStyle w:val="hps"/>
        </w:rPr>
        <w:t>un</w:t>
      </w:r>
      <w:r w:rsidRPr="004A3269">
        <w:t xml:space="preserve"> </w:t>
      </w:r>
      <w:r w:rsidRPr="004A3269">
        <w:rPr>
          <w:rStyle w:val="hps"/>
        </w:rPr>
        <w:t>nouveau montant équivalent</w:t>
      </w:r>
      <w:r w:rsidRPr="004A3269">
        <w:t xml:space="preserve">. </w:t>
      </w:r>
      <w:r w:rsidR="002A1F28" w:rsidRPr="004A3269">
        <w:t xml:space="preserve"> </w:t>
      </w:r>
      <w:r w:rsidR="002A1F28" w:rsidRPr="004A3269">
        <w:rPr>
          <w:rStyle w:val="hps"/>
        </w:rPr>
        <w:t>D</w:t>
      </w:r>
      <w:r w:rsidR="009021AA" w:rsidRPr="004A3269">
        <w:rPr>
          <w:rStyle w:val="hps"/>
        </w:rPr>
        <w:t>’</w:t>
      </w:r>
      <w:r w:rsidR="002A1F28" w:rsidRPr="004A3269">
        <w:rPr>
          <w:rStyle w:val="hps"/>
        </w:rPr>
        <w:t>après les estimations</w:t>
      </w:r>
      <w:r w:rsidRPr="004A3269">
        <w:rPr>
          <w:rStyle w:val="hps"/>
        </w:rPr>
        <w:t>, suite à</w:t>
      </w:r>
      <w:r w:rsidRPr="004A3269">
        <w:t xml:space="preserve"> </w:t>
      </w:r>
      <w:r w:rsidRPr="004A3269">
        <w:rPr>
          <w:rStyle w:val="hps"/>
        </w:rPr>
        <w:t>l</w:t>
      </w:r>
      <w:r w:rsidR="009021AA" w:rsidRPr="004A3269">
        <w:rPr>
          <w:rStyle w:val="hps"/>
        </w:rPr>
        <w:t>’</w:t>
      </w:r>
      <w:r w:rsidRPr="004A3269">
        <w:rPr>
          <w:rStyle w:val="hps"/>
        </w:rPr>
        <w:t>annonce</w:t>
      </w:r>
      <w:r w:rsidRPr="004A3269">
        <w:t xml:space="preserve"> </w:t>
      </w:r>
      <w:r w:rsidR="002A1F28" w:rsidRPr="004A3269">
        <w:t>de</w:t>
      </w:r>
      <w:r w:rsidR="009021AA" w:rsidRPr="004A3269">
        <w:t xml:space="preserve"> la </w:t>
      </w:r>
      <w:r w:rsidR="009021AA" w:rsidRPr="004A3269">
        <w:rPr>
          <w:rStyle w:val="hps"/>
        </w:rPr>
        <w:t>BNS</w:t>
      </w:r>
      <w:r w:rsidRPr="004A3269">
        <w:t xml:space="preserve">, </w:t>
      </w:r>
      <w:r w:rsidRPr="004A3269">
        <w:rPr>
          <w:rStyle w:val="hps"/>
        </w:rPr>
        <w:t>l</w:t>
      </w:r>
      <w:r w:rsidR="009021AA" w:rsidRPr="004A3269">
        <w:rPr>
          <w:rStyle w:val="hps"/>
        </w:rPr>
        <w:t>’</w:t>
      </w:r>
      <w:r w:rsidRPr="004A3269">
        <w:rPr>
          <w:rStyle w:val="hps"/>
        </w:rPr>
        <w:t>OMPI</w:t>
      </w:r>
      <w:r w:rsidRPr="004A3269">
        <w:t xml:space="preserve"> </w:t>
      </w:r>
      <w:r w:rsidR="002A1F28" w:rsidRPr="004A3269">
        <w:rPr>
          <w:rStyle w:val="hps"/>
        </w:rPr>
        <w:t>subira</w:t>
      </w:r>
      <w:r w:rsidRPr="004A3269">
        <w:t xml:space="preserve"> </w:t>
      </w:r>
      <w:r w:rsidRPr="004A3269">
        <w:rPr>
          <w:rStyle w:val="hps"/>
        </w:rPr>
        <w:t>une perte</w:t>
      </w:r>
      <w:r w:rsidRPr="004A3269">
        <w:t xml:space="preserve"> </w:t>
      </w:r>
      <w:r w:rsidR="002A1F28" w:rsidRPr="004A3269">
        <w:t xml:space="preserve">de change </w:t>
      </w:r>
      <w:r w:rsidRPr="004A3269">
        <w:rPr>
          <w:rStyle w:val="hps"/>
        </w:rPr>
        <w:t>comprise entre</w:t>
      </w:r>
      <w:r w:rsidRPr="004A3269">
        <w:t xml:space="preserve"> </w:t>
      </w:r>
      <w:r w:rsidRPr="004A3269">
        <w:rPr>
          <w:rStyle w:val="hps"/>
        </w:rPr>
        <w:t>2,0</w:t>
      </w:r>
      <w:r w:rsidR="002A1F28" w:rsidRPr="004A3269">
        <w:t> </w:t>
      </w:r>
      <w:r w:rsidR="002A1F28" w:rsidRPr="004A3269">
        <w:rPr>
          <w:rStyle w:val="hps"/>
        </w:rPr>
        <w:t>et </w:t>
      </w:r>
      <w:r w:rsidRPr="004A3269">
        <w:rPr>
          <w:rStyle w:val="hps"/>
        </w:rPr>
        <w:t>5,0</w:t>
      </w:r>
      <w:r w:rsidR="002A1F28" w:rsidRPr="004A3269">
        <w:t> </w:t>
      </w:r>
      <w:r w:rsidRPr="004A3269">
        <w:rPr>
          <w:rStyle w:val="hps"/>
        </w:rPr>
        <w:t>millions de francs suisses</w:t>
      </w:r>
      <w:r w:rsidRPr="004A3269">
        <w:t xml:space="preserve"> </w:t>
      </w:r>
      <w:r w:rsidRPr="004A3269">
        <w:rPr>
          <w:rStyle w:val="hps"/>
        </w:rPr>
        <w:t>sur</w:t>
      </w:r>
      <w:r w:rsidRPr="004A3269">
        <w:t xml:space="preserve"> </w:t>
      </w:r>
      <w:r w:rsidR="002A1F28" w:rsidRPr="004A3269">
        <w:rPr>
          <w:rStyle w:val="hps"/>
        </w:rPr>
        <w:t xml:space="preserve">les </w:t>
      </w:r>
      <w:r w:rsidR="00DC6718" w:rsidRPr="004A3269">
        <w:rPr>
          <w:rStyle w:val="hps"/>
        </w:rPr>
        <w:t>taxes internationales de dépôt pour les demandes publiées selon</w:t>
      </w:r>
      <w:r w:rsidR="009021AA" w:rsidRPr="004A3269">
        <w:rPr>
          <w:rStyle w:val="hps"/>
        </w:rPr>
        <w:t xml:space="preserve"> le PCT</w:t>
      </w:r>
      <w:r w:rsidR="00DC6718" w:rsidRPr="004A3269">
        <w:t xml:space="preserve"> </w:t>
      </w:r>
      <w:r w:rsidR="002A1F28" w:rsidRPr="004A3269">
        <w:rPr>
          <w:rStyle w:val="hps"/>
        </w:rPr>
        <w:t>perçues</w:t>
      </w:r>
      <w:r w:rsidRPr="004A3269">
        <w:rPr>
          <w:rStyle w:val="hps"/>
        </w:rPr>
        <w:t xml:space="preserve"> au cours des</w:t>
      </w:r>
      <w:r w:rsidRPr="004A3269">
        <w:t xml:space="preserve"> </w:t>
      </w:r>
      <w:r w:rsidR="002A1F28" w:rsidRPr="004A3269">
        <w:t>cinq </w:t>
      </w:r>
      <w:r w:rsidRPr="004A3269">
        <w:rPr>
          <w:rStyle w:val="hps"/>
        </w:rPr>
        <w:t>premiers mois de</w:t>
      </w:r>
      <w:r w:rsidRPr="004A3269">
        <w:t xml:space="preserve"> </w:t>
      </w:r>
      <w:r w:rsidR="002A1F28" w:rsidRPr="004A3269">
        <w:t>l</w:t>
      </w:r>
      <w:r w:rsidR="009021AA" w:rsidRPr="004A3269">
        <w:t>’</w:t>
      </w:r>
      <w:r w:rsidR="002A1F28" w:rsidRPr="004A3269">
        <w:t>année </w:t>
      </w:r>
      <w:r w:rsidRPr="004A3269">
        <w:rPr>
          <w:rStyle w:val="hps"/>
        </w:rPr>
        <w:t>2015</w:t>
      </w:r>
      <w:r w:rsidR="0061204A" w:rsidRPr="004A3269">
        <w:t>.</w:t>
      </w:r>
    </w:p>
    <w:p w:rsidR="00267140" w:rsidRPr="004A3269" w:rsidRDefault="00D82BB2" w:rsidP="003D7C06">
      <w:pPr>
        <w:pStyle w:val="ONUMFS"/>
        <w:rPr>
          <w:rStyle w:val="hps"/>
        </w:rPr>
      </w:pPr>
      <w:r w:rsidRPr="004A3269">
        <w:rPr>
          <w:rStyle w:val="hps"/>
        </w:rPr>
        <w:t xml:space="preserve">Les </w:t>
      </w:r>
      <w:r w:rsidR="006C39A6" w:rsidRPr="004A3269">
        <w:rPr>
          <w:rStyle w:val="hps"/>
        </w:rPr>
        <w:t>taxes</w:t>
      </w:r>
      <w:r w:rsidRPr="004A3269">
        <w:rPr>
          <w:rStyle w:val="hps"/>
        </w:rPr>
        <w:t xml:space="preserve"> du système de Madrid comprennent</w:t>
      </w:r>
      <w:r w:rsidR="006C39A6" w:rsidRPr="004A3269">
        <w:rPr>
          <w:rStyle w:val="hps"/>
        </w:rPr>
        <w:t xml:space="preserve"> principalement</w:t>
      </w:r>
      <w:r w:rsidRPr="004A3269">
        <w:rPr>
          <w:rStyle w:val="hps"/>
        </w:rPr>
        <w:t xml:space="preserve"> les </w:t>
      </w:r>
      <w:r w:rsidR="006C39A6" w:rsidRPr="004A3269">
        <w:rPr>
          <w:rStyle w:val="hps"/>
        </w:rPr>
        <w:t>taxes</w:t>
      </w:r>
      <w:r w:rsidRPr="004A3269">
        <w:rPr>
          <w:rStyle w:val="hps"/>
        </w:rPr>
        <w:t xml:space="preserve"> de base </w:t>
      </w:r>
      <w:r w:rsidR="006C39A6" w:rsidRPr="004A3269">
        <w:rPr>
          <w:rStyle w:val="hps"/>
        </w:rPr>
        <w:t>provenant des</w:t>
      </w:r>
      <w:r w:rsidRPr="004A3269">
        <w:rPr>
          <w:rStyle w:val="hps"/>
        </w:rPr>
        <w:t xml:space="preserve"> demandes d</w:t>
      </w:r>
      <w:r w:rsidR="009021AA" w:rsidRPr="004A3269">
        <w:rPr>
          <w:rStyle w:val="hps"/>
        </w:rPr>
        <w:t>’</w:t>
      </w:r>
      <w:r w:rsidRPr="004A3269">
        <w:rPr>
          <w:rStyle w:val="hps"/>
        </w:rPr>
        <w:t xml:space="preserve">enregistrement </w:t>
      </w:r>
      <w:r w:rsidR="003C55F4" w:rsidRPr="004A3269">
        <w:rPr>
          <w:rStyle w:val="hps"/>
        </w:rPr>
        <w:t>et</w:t>
      </w:r>
      <w:r w:rsidRPr="004A3269">
        <w:rPr>
          <w:rStyle w:val="hps"/>
        </w:rPr>
        <w:t xml:space="preserve"> de renouvellement et les </w:t>
      </w:r>
      <w:r w:rsidR="006C39A6" w:rsidRPr="004A3269">
        <w:rPr>
          <w:rStyle w:val="hps"/>
        </w:rPr>
        <w:t>taxes</w:t>
      </w:r>
      <w:r w:rsidRPr="004A3269">
        <w:rPr>
          <w:rStyle w:val="hps"/>
        </w:rPr>
        <w:t xml:space="preserve"> </w:t>
      </w:r>
      <w:r w:rsidR="003C55F4" w:rsidRPr="004A3269">
        <w:rPr>
          <w:rStyle w:val="hps"/>
        </w:rPr>
        <w:t>en ce qui concerne</w:t>
      </w:r>
      <w:r w:rsidRPr="004A3269">
        <w:rPr>
          <w:rStyle w:val="hps"/>
        </w:rPr>
        <w:t xml:space="preserve"> les désignations postérieures </w:t>
      </w:r>
      <w:r w:rsidR="006E58E3" w:rsidRPr="004A3269">
        <w:rPr>
          <w:rStyle w:val="hps"/>
        </w:rPr>
        <w:t>:</w:t>
      </w:r>
    </w:p>
    <w:p w:rsidR="00267140" w:rsidRPr="004A3269" w:rsidRDefault="003C55F4" w:rsidP="000A1F0C">
      <w:pPr>
        <w:jc w:val="center"/>
        <w:rPr>
          <w:rFonts w:eastAsia="SimSun"/>
          <w:szCs w:val="22"/>
          <w:u w:val="single"/>
          <w:lang w:eastAsia="zh-CN"/>
        </w:rPr>
      </w:pPr>
      <w:r w:rsidRPr="004A3269">
        <w:rPr>
          <w:rFonts w:eastAsia="SimSun"/>
          <w:szCs w:val="22"/>
          <w:u w:val="single"/>
          <w:lang w:eastAsia="zh-CN"/>
        </w:rPr>
        <w:t>Liste détaillée des taxes du système de Madrid (</w:t>
      </w:r>
      <w:r w:rsidR="006E58E3" w:rsidRPr="004A3269">
        <w:rPr>
          <w:rFonts w:eastAsia="SimSun"/>
          <w:szCs w:val="22"/>
          <w:u w:val="single"/>
          <w:lang w:eastAsia="zh-CN"/>
        </w:rPr>
        <w:t>2012</w:t>
      </w:r>
      <w:r w:rsidR="00A17552" w:rsidRPr="004A3269">
        <w:rPr>
          <w:rFonts w:eastAsia="SimSun"/>
          <w:szCs w:val="22"/>
          <w:u w:val="single"/>
          <w:lang w:eastAsia="zh-CN"/>
        </w:rPr>
        <w:noBreakHyphen/>
      </w:r>
      <w:r w:rsidR="006E58E3" w:rsidRPr="004A3269">
        <w:rPr>
          <w:rFonts w:eastAsia="SimSun"/>
          <w:szCs w:val="22"/>
          <w:u w:val="single"/>
          <w:lang w:eastAsia="zh-CN"/>
        </w:rPr>
        <w:t>2014</w:t>
      </w:r>
      <w:r w:rsidRPr="004A3269">
        <w:rPr>
          <w:rFonts w:eastAsia="SimSun"/>
          <w:szCs w:val="22"/>
          <w:u w:val="single"/>
          <w:lang w:eastAsia="zh-CN"/>
        </w:rPr>
        <w:t>)</w:t>
      </w:r>
    </w:p>
    <w:p w:rsidR="00267140" w:rsidRPr="004A3269" w:rsidRDefault="00267140" w:rsidP="000A1F0C">
      <w:pPr>
        <w:jc w:val="center"/>
        <w:rPr>
          <w:rFonts w:eastAsia="SimSun"/>
          <w:szCs w:val="22"/>
          <w:u w:val="single"/>
          <w:lang w:eastAsia="zh-CN"/>
        </w:rPr>
      </w:pPr>
    </w:p>
    <w:p w:rsidR="006413E4" w:rsidRPr="004A3269" w:rsidRDefault="006413E4" w:rsidP="00996523">
      <w:pPr>
        <w:jc w:val="center"/>
        <w:rPr>
          <w:rFonts w:eastAsia="SimSun"/>
          <w:szCs w:val="22"/>
          <w:lang w:eastAsia="zh-CN"/>
        </w:rPr>
      </w:pPr>
      <w:r w:rsidRPr="004A3269">
        <w:rPr>
          <w:rFonts w:eastAsia="SimSun"/>
          <w:noProof/>
          <w:lang w:val="en-US"/>
        </w:rPr>
        <w:drawing>
          <wp:inline distT="0" distB="0" distL="0" distR="0" wp14:anchorId="2347BD7F" wp14:editId="123D8882">
            <wp:extent cx="5647690" cy="1249045"/>
            <wp:effectExtent l="0" t="0" r="0" b="825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7690" cy="1249045"/>
                    </a:xfrm>
                    <a:prstGeom prst="rect">
                      <a:avLst/>
                    </a:prstGeom>
                    <a:noFill/>
                    <a:ln>
                      <a:noFill/>
                    </a:ln>
                  </pic:spPr>
                </pic:pic>
              </a:graphicData>
            </a:graphic>
          </wp:inline>
        </w:drawing>
      </w:r>
    </w:p>
    <w:p w:rsidR="006413E4" w:rsidRPr="004A3269" w:rsidRDefault="006413E4" w:rsidP="00996523">
      <w:pPr>
        <w:jc w:val="center"/>
        <w:rPr>
          <w:rFonts w:eastAsia="SimSun"/>
          <w:szCs w:val="22"/>
          <w:lang w:eastAsia="zh-CN"/>
        </w:rPr>
      </w:pPr>
    </w:p>
    <w:p w:rsidR="00267140" w:rsidRPr="004A3269" w:rsidRDefault="006C39A6" w:rsidP="00C52155">
      <w:pPr>
        <w:pStyle w:val="ONUMFS"/>
        <w:rPr>
          <w:rFonts w:eastAsia="SimSun"/>
          <w:szCs w:val="22"/>
          <w:lang w:eastAsia="zh-CN"/>
        </w:rPr>
      </w:pPr>
      <w:r w:rsidRPr="004A3269">
        <w:rPr>
          <w:rStyle w:val="hps"/>
        </w:rPr>
        <w:t>Conformément</w:t>
      </w:r>
      <w:r w:rsidRPr="004A3269">
        <w:t xml:space="preserve"> </w:t>
      </w:r>
      <w:r w:rsidRPr="004A3269">
        <w:rPr>
          <w:rStyle w:val="hps"/>
        </w:rPr>
        <w:t>aux normes</w:t>
      </w:r>
      <w:r w:rsidR="00067463" w:rsidRPr="004A3269">
        <w:rPr>
          <w:rStyle w:val="hps"/>
        </w:rPr>
        <w:t> </w:t>
      </w:r>
      <w:r w:rsidRPr="004A3269">
        <w:rPr>
          <w:rStyle w:val="hps"/>
        </w:rPr>
        <w:t>IPSAS</w:t>
      </w:r>
      <w:r w:rsidRPr="004A3269">
        <w:t xml:space="preserve">, les recettes provenant </w:t>
      </w:r>
      <w:r w:rsidRPr="004A3269">
        <w:rPr>
          <w:rStyle w:val="hps"/>
        </w:rPr>
        <w:t>des taxes du système</w:t>
      </w:r>
      <w:r w:rsidRPr="004A3269">
        <w:t xml:space="preserve"> </w:t>
      </w:r>
      <w:r w:rsidRPr="004A3269">
        <w:rPr>
          <w:rStyle w:val="hps"/>
        </w:rPr>
        <w:t>de Madrid</w:t>
      </w:r>
      <w:r w:rsidRPr="004A3269">
        <w:t xml:space="preserve"> </w:t>
      </w:r>
      <w:r w:rsidR="00B315E9" w:rsidRPr="004A3269">
        <w:t>liées aux</w:t>
      </w:r>
      <w:r w:rsidRPr="004A3269">
        <w:rPr>
          <w:rStyle w:val="hps"/>
        </w:rPr>
        <w:t xml:space="preserve"> enregistrements</w:t>
      </w:r>
      <w:r w:rsidRPr="004A3269">
        <w:t xml:space="preserve">, </w:t>
      </w:r>
      <w:r w:rsidR="00B315E9" w:rsidRPr="004A3269">
        <w:t xml:space="preserve">aux </w:t>
      </w:r>
      <w:r w:rsidRPr="004A3269">
        <w:rPr>
          <w:rStyle w:val="hps"/>
        </w:rPr>
        <w:t>renouvellements</w:t>
      </w:r>
      <w:r w:rsidRPr="004A3269">
        <w:t xml:space="preserve"> </w:t>
      </w:r>
      <w:r w:rsidRPr="004A3269">
        <w:rPr>
          <w:rStyle w:val="hps"/>
        </w:rPr>
        <w:t xml:space="preserve">et </w:t>
      </w:r>
      <w:r w:rsidR="00B315E9" w:rsidRPr="004A3269">
        <w:rPr>
          <w:rStyle w:val="hps"/>
        </w:rPr>
        <w:t xml:space="preserve">aux </w:t>
      </w:r>
      <w:r w:rsidRPr="004A3269">
        <w:rPr>
          <w:rStyle w:val="hps"/>
        </w:rPr>
        <w:t>désignations postérieures</w:t>
      </w:r>
      <w:r w:rsidRPr="004A3269">
        <w:t xml:space="preserve"> </w:t>
      </w:r>
      <w:r w:rsidRPr="004A3269">
        <w:rPr>
          <w:rStyle w:val="hps"/>
        </w:rPr>
        <w:t>sont comptabilisées</w:t>
      </w:r>
      <w:r w:rsidRPr="004A3269">
        <w:t xml:space="preserve"> </w:t>
      </w:r>
      <w:r w:rsidRPr="004A3269">
        <w:rPr>
          <w:rStyle w:val="hps"/>
        </w:rPr>
        <w:t>dans les états</w:t>
      </w:r>
      <w:r w:rsidRPr="004A3269">
        <w:t xml:space="preserve"> </w:t>
      </w:r>
      <w:r w:rsidRPr="004A3269">
        <w:rPr>
          <w:rStyle w:val="hps"/>
        </w:rPr>
        <w:t>financiers au moment de</w:t>
      </w:r>
      <w:r w:rsidRPr="004A3269">
        <w:t xml:space="preserve"> </w:t>
      </w:r>
      <w:r w:rsidRPr="004A3269">
        <w:rPr>
          <w:rStyle w:val="hps"/>
        </w:rPr>
        <w:t>la publication</w:t>
      </w:r>
      <w:r w:rsidRPr="004A3269">
        <w:t xml:space="preserve">.  </w:t>
      </w:r>
      <w:r w:rsidRPr="004A3269">
        <w:rPr>
          <w:rStyle w:val="hps"/>
        </w:rPr>
        <w:t xml:space="preserve">Les taxes </w:t>
      </w:r>
      <w:r w:rsidR="00B315E9" w:rsidRPr="004A3269">
        <w:rPr>
          <w:rStyle w:val="hps"/>
        </w:rPr>
        <w:t>liées aux</w:t>
      </w:r>
      <w:r w:rsidRPr="004A3269">
        <w:rPr>
          <w:rStyle w:val="hps"/>
        </w:rPr>
        <w:t xml:space="preserve"> </w:t>
      </w:r>
      <w:r w:rsidRPr="004A3269">
        <w:t xml:space="preserve">enregistrements et </w:t>
      </w:r>
      <w:r w:rsidR="00B315E9" w:rsidRPr="004A3269">
        <w:t>aux</w:t>
      </w:r>
      <w:r w:rsidRPr="004A3269">
        <w:t xml:space="preserve"> renouvellements </w:t>
      </w:r>
      <w:r w:rsidRPr="004A3269">
        <w:rPr>
          <w:rStyle w:val="hps"/>
        </w:rPr>
        <w:t>(sans compter les autres taxes</w:t>
      </w:r>
      <w:r w:rsidRPr="004A3269">
        <w:t xml:space="preserve">) comptabilisées </w:t>
      </w:r>
      <w:r w:rsidRPr="004A3269">
        <w:rPr>
          <w:rStyle w:val="hps"/>
        </w:rPr>
        <w:t>conformément aux normes</w:t>
      </w:r>
      <w:r w:rsidR="00067463" w:rsidRPr="004A3269">
        <w:rPr>
          <w:rStyle w:val="hps"/>
        </w:rPr>
        <w:t> </w:t>
      </w:r>
      <w:r w:rsidRPr="004A3269">
        <w:rPr>
          <w:rStyle w:val="hps"/>
        </w:rPr>
        <w:t>IPSAS</w:t>
      </w:r>
      <w:r w:rsidRPr="004A3269">
        <w:t xml:space="preserve"> </w:t>
      </w:r>
      <w:r w:rsidRPr="004A3269">
        <w:rPr>
          <w:rStyle w:val="hps"/>
        </w:rPr>
        <w:t>ont augmenté sachant que le nombre d</w:t>
      </w:r>
      <w:r w:rsidR="009021AA" w:rsidRPr="004A3269">
        <w:rPr>
          <w:rStyle w:val="hps"/>
        </w:rPr>
        <w:t>’</w:t>
      </w:r>
      <w:r w:rsidRPr="004A3269">
        <w:rPr>
          <w:rStyle w:val="hps"/>
        </w:rPr>
        <w:t>enregistrements et</w:t>
      </w:r>
      <w:r w:rsidRPr="004A3269">
        <w:t xml:space="preserve"> de </w:t>
      </w:r>
      <w:r w:rsidRPr="004A3269">
        <w:rPr>
          <w:rStyle w:val="hps"/>
        </w:rPr>
        <w:t>renouvellements</w:t>
      </w:r>
      <w:r w:rsidRPr="004A3269">
        <w:t xml:space="preserve"> </w:t>
      </w:r>
      <w:r w:rsidRPr="004A3269">
        <w:rPr>
          <w:rStyle w:val="hps"/>
        </w:rPr>
        <w:t>a</w:t>
      </w:r>
      <w:r w:rsidRPr="004A3269">
        <w:t xml:space="preserve"> </w:t>
      </w:r>
      <w:r w:rsidRPr="004A3269">
        <w:rPr>
          <w:rStyle w:val="hps"/>
        </w:rPr>
        <w:t>augmenté d</w:t>
      </w:r>
      <w:r w:rsidR="009021AA" w:rsidRPr="004A3269">
        <w:rPr>
          <w:rStyle w:val="hps"/>
        </w:rPr>
        <w:t>’</w:t>
      </w:r>
      <w:r w:rsidRPr="004A3269">
        <w:rPr>
          <w:rStyle w:val="hps"/>
        </w:rPr>
        <w:t>année en</w:t>
      </w:r>
      <w:r w:rsidRPr="004A3269">
        <w:t xml:space="preserve"> </w:t>
      </w:r>
      <w:r w:rsidRPr="004A3269">
        <w:rPr>
          <w:rStyle w:val="hps"/>
        </w:rPr>
        <w:t>année </w:t>
      </w:r>
      <w:r w:rsidR="006E188C" w:rsidRPr="004A3269">
        <w:rPr>
          <w:rStyle w:val="hps"/>
          <w:rFonts w:eastAsia="SimSun"/>
        </w:rPr>
        <w:t>:</w:t>
      </w:r>
    </w:p>
    <w:p w:rsidR="00267140" w:rsidRPr="004A3269" w:rsidRDefault="00267140" w:rsidP="00966EE7">
      <w:pPr>
        <w:jc w:val="both"/>
        <w:rPr>
          <w:rFonts w:eastAsia="SimSun"/>
          <w:szCs w:val="22"/>
          <w:lang w:eastAsia="zh-CN"/>
        </w:rPr>
      </w:pPr>
    </w:p>
    <w:p w:rsidR="00267140" w:rsidRPr="004A3269" w:rsidRDefault="00CB1FA3" w:rsidP="00E81D53">
      <w:pPr>
        <w:pStyle w:val="ONUME"/>
        <w:numPr>
          <w:ilvl w:val="0"/>
          <w:numId w:val="0"/>
        </w:numPr>
        <w:spacing w:after="0"/>
        <w:jc w:val="center"/>
        <w:rPr>
          <w:u w:val="single"/>
        </w:rPr>
      </w:pPr>
      <w:r w:rsidRPr="004A3269">
        <w:rPr>
          <w:u w:val="single"/>
        </w:rPr>
        <w:lastRenderedPageBreak/>
        <w:t xml:space="preserve">Système de </w:t>
      </w:r>
      <w:r w:rsidR="009775C8" w:rsidRPr="004A3269">
        <w:rPr>
          <w:u w:val="single"/>
        </w:rPr>
        <w:t xml:space="preserve">Madrid </w:t>
      </w:r>
      <w:r w:rsidRPr="004A3269">
        <w:rPr>
          <w:u w:val="single"/>
        </w:rPr>
        <w:t>–</w:t>
      </w:r>
      <w:r w:rsidR="009775C8" w:rsidRPr="004A3269">
        <w:rPr>
          <w:u w:val="single"/>
        </w:rPr>
        <w:t xml:space="preserve"> </w:t>
      </w:r>
      <w:r w:rsidRPr="004A3269">
        <w:rPr>
          <w:u w:val="single"/>
        </w:rPr>
        <w:t>Taxes de base et enregistrements/renouvellements (</w:t>
      </w:r>
      <w:r w:rsidR="006E188C" w:rsidRPr="004A3269">
        <w:rPr>
          <w:u w:val="single"/>
        </w:rPr>
        <w:t>2012</w:t>
      </w:r>
      <w:r w:rsidR="00A17552" w:rsidRPr="004A3269">
        <w:rPr>
          <w:u w:val="single"/>
        </w:rPr>
        <w:noBreakHyphen/>
      </w:r>
      <w:r w:rsidR="006E188C" w:rsidRPr="004A3269">
        <w:rPr>
          <w:u w:val="single"/>
        </w:rPr>
        <w:t>2014</w:t>
      </w:r>
      <w:r w:rsidRPr="004A3269">
        <w:rPr>
          <w:u w:val="single"/>
        </w:rPr>
        <w:t>)</w:t>
      </w:r>
    </w:p>
    <w:p w:rsidR="006413E4" w:rsidRPr="004A3269" w:rsidRDefault="006413E4" w:rsidP="00E81D53">
      <w:pPr>
        <w:jc w:val="both"/>
        <w:rPr>
          <w:rFonts w:eastAsia="SimSun"/>
          <w:szCs w:val="22"/>
          <w:lang w:eastAsia="zh-CN"/>
        </w:rPr>
      </w:pPr>
      <w:r w:rsidRPr="004A3269">
        <w:rPr>
          <w:rFonts w:eastAsia="SimSun"/>
          <w:noProof/>
          <w:lang w:val="en-US"/>
        </w:rPr>
        <w:drawing>
          <wp:inline distT="0" distB="0" distL="0" distR="0" wp14:anchorId="3FEE3E99" wp14:editId="31E44B40">
            <wp:extent cx="5977255" cy="3119025"/>
            <wp:effectExtent l="0" t="0" r="4445" b="571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77255" cy="3119025"/>
                    </a:xfrm>
                    <a:prstGeom prst="rect">
                      <a:avLst/>
                    </a:prstGeom>
                    <a:noFill/>
                    <a:ln>
                      <a:noFill/>
                    </a:ln>
                  </pic:spPr>
                </pic:pic>
              </a:graphicData>
            </a:graphic>
          </wp:inline>
        </w:drawing>
      </w:r>
    </w:p>
    <w:p w:rsidR="00267140" w:rsidRPr="004A3269" w:rsidRDefault="006C39A6" w:rsidP="00C52155">
      <w:pPr>
        <w:pStyle w:val="ONUMFS"/>
        <w:rPr>
          <w:rFonts w:eastAsia="SimSun"/>
          <w:szCs w:val="22"/>
          <w:lang w:eastAsia="zh-CN"/>
        </w:rPr>
      </w:pPr>
      <w:r w:rsidRPr="004A3269">
        <w:rPr>
          <w:rStyle w:val="hps"/>
        </w:rPr>
        <w:t>Les taxes du</w:t>
      </w:r>
      <w:r w:rsidRPr="004A3269">
        <w:t xml:space="preserve"> </w:t>
      </w:r>
      <w:r w:rsidRPr="004A3269">
        <w:rPr>
          <w:rStyle w:val="hps"/>
        </w:rPr>
        <w:t xml:space="preserve">système de </w:t>
      </w:r>
      <w:r w:rsidR="009021AA" w:rsidRPr="004A3269">
        <w:rPr>
          <w:rStyle w:val="hps"/>
        </w:rPr>
        <w:t>La Haye</w:t>
      </w:r>
      <w:r w:rsidRPr="004A3269">
        <w:t xml:space="preserve"> </w:t>
      </w:r>
      <w:r w:rsidR="00AD0A52" w:rsidRPr="004A3269">
        <w:rPr>
          <w:rStyle w:val="hps"/>
        </w:rPr>
        <w:t>ont totalisé</w:t>
      </w:r>
      <w:r w:rsidRPr="004A3269">
        <w:t xml:space="preserve"> </w:t>
      </w:r>
      <w:r w:rsidRPr="004A3269">
        <w:rPr>
          <w:rStyle w:val="hps"/>
        </w:rPr>
        <w:t>3,2 millions de</w:t>
      </w:r>
      <w:r w:rsidRPr="004A3269">
        <w:t xml:space="preserve"> </w:t>
      </w:r>
      <w:r w:rsidRPr="004A3269">
        <w:rPr>
          <w:rStyle w:val="hps"/>
        </w:rPr>
        <w:t>francs suisses en 2014.  Comme pour les taxes</w:t>
      </w:r>
      <w:r w:rsidRPr="004A3269">
        <w:t xml:space="preserve"> du système</w:t>
      </w:r>
      <w:r w:rsidR="009021AA" w:rsidRPr="004A3269">
        <w:t xml:space="preserve"> du </w:t>
      </w:r>
      <w:r w:rsidR="009021AA" w:rsidRPr="004A3269">
        <w:rPr>
          <w:rStyle w:val="hps"/>
        </w:rPr>
        <w:t>PCT</w:t>
      </w:r>
      <w:r w:rsidRPr="004A3269">
        <w:t xml:space="preserve"> </w:t>
      </w:r>
      <w:r w:rsidRPr="004A3269">
        <w:rPr>
          <w:rStyle w:val="hps"/>
        </w:rPr>
        <w:t>et du système</w:t>
      </w:r>
      <w:r w:rsidRPr="004A3269">
        <w:t xml:space="preserve"> </w:t>
      </w:r>
      <w:r w:rsidRPr="004A3269">
        <w:rPr>
          <w:rStyle w:val="hps"/>
        </w:rPr>
        <w:t>de Madrid</w:t>
      </w:r>
      <w:r w:rsidRPr="004A3269">
        <w:t xml:space="preserve">, </w:t>
      </w:r>
      <w:r w:rsidR="00B315E9" w:rsidRPr="004A3269">
        <w:t xml:space="preserve">les </w:t>
      </w:r>
      <w:r w:rsidRPr="004A3269">
        <w:rPr>
          <w:rStyle w:val="hps"/>
        </w:rPr>
        <w:t xml:space="preserve">recettes </w:t>
      </w:r>
      <w:r w:rsidR="00B315E9" w:rsidRPr="004A3269">
        <w:rPr>
          <w:rStyle w:val="hps"/>
        </w:rPr>
        <w:t xml:space="preserve">provenant </w:t>
      </w:r>
      <w:r w:rsidRPr="004A3269">
        <w:rPr>
          <w:rStyle w:val="hps"/>
        </w:rPr>
        <w:t xml:space="preserve">des </w:t>
      </w:r>
      <w:r w:rsidR="00B315E9" w:rsidRPr="004A3269">
        <w:rPr>
          <w:rStyle w:val="hps"/>
        </w:rPr>
        <w:t xml:space="preserve">taxes </w:t>
      </w:r>
      <w:r w:rsidRPr="004A3269">
        <w:rPr>
          <w:rStyle w:val="hps"/>
        </w:rPr>
        <w:t>lié</w:t>
      </w:r>
      <w:r w:rsidR="00B315E9" w:rsidRPr="004A3269">
        <w:rPr>
          <w:rStyle w:val="hps"/>
        </w:rPr>
        <w:t>e</w:t>
      </w:r>
      <w:r w:rsidRPr="004A3269">
        <w:rPr>
          <w:rStyle w:val="hps"/>
        </w:rPr>
        <w:t>s</w:t>
      </w:r>
      <w:r w:rsidRPr="004A3269">
        <w:t xml:space="preserve"> </w:t>
      </w:r>
      <w:r w:rsidRPr="004A3269">
        <w:rPr>
          <w:rStyle w:val="hps"/>
        </w:rPr>
        <w:t>au traitement des</w:t>
      </w:r>
      <w:r w:rsidRPr="004A3269">
        <w:t xml:space="preserve"> </w:t>
      </w:r>
      <w:r w:rsidRPr="004A3269">
        <w:rPr>
          <w:rStyle w:val="hps"/>
        </w:rPr>
        <w:t>demandes</w:t>
      </w:r>
      <w:r w:rsidRPr="004A3269">
        <w:t xml:space="preserve"> </w:t>
      </w:r>
      <w:r w:rsidR="00175D1E" w:rsidRPr="004A3269">
        <w:rPr>
          <w:rStyle w:val="hps"/>
        </w:rPr>
        <w:t>sont comptabilisées après la publication de la demande</w:t>
      </w:r>
      <w:r w:rsidRPr="004A3269">
        <w:t xml:space="preserve">. </w:t>
      </w:r>
      <w:r w:rsidR="00175D1E" w:rsidRPr="004A3269">
        <w:t xml:space="preserve"> </w:t>
      </w:r>
      <w:r w:rsidR="00175D1E" w:rsidRPr="004A3269">
        <w:rPr>
          <w:rStyle w:val="hps"/>
        </w:rPr>
        <w:t>Les taxes du</w:t>
      </w:r>
      <w:r w:rsidRPr="004A3269">
        <w:t xml:space="preserve"> </w:t>
      </w:r>
      <w:r w:rsidR="00175D1E" w:rsidRPr="004A3269">
        <w:rPr>
          <w:rStyle w:val="hps"/>
        </w:rPr>
        <w:t xml:space="preserve">système de </w:t>
      </w:r>
      <w:r w:rsidR="009021AA" w:rsidRPr="004A3269">
        <w:rPr>
          <w:rStyle w:val="hps"/>
        </w:rPr>
        <w:t>La Haye</w:t>
      </w:r>
      <w:r w:rsidRPr="004A3269">
        <w:t xml:space="preserve"> </w:t>
      </w:r>
      <w:r w:rsidRPr="004A3269">
        <w:rPr>
          <w:rStyle w:val="hps"/>
        </w:rPr>
        <w:t>restent stables</w:t>
      </w:r>
      <w:r w:rsidRPr="004A3269">
        <w:t xml:space="preserve">, </w:t>
      </w:r>
      <w:r w:rsidRPr="004A3269">
        <w:rPr>
          <w:rStyle w:val="hps"/>
        </w:rPr>
        <w:t>et</w:t>
      </w:r>
      <w:r w:rsidRPr="004A3269">
        <w:t xml:space="preserve"> </w:t>
      </w:r>
      <w:r w:rsidRPr="004A3269">
        <w:rPr>
          <w:rStyle w:val="hps"/>
        </w:rPr>
        <w:t>sont</w:t>
      </w:r>
      <w:r w:rsidRPr="004A3269">
        <w:t xml:space="preserve"> </w:t>
      </w:r>
      <w:r w:rsidRPr="004A3269">
        <w:rPr>
          <w:rStyle w:val="hps"/>
        </w:rPr>
        <w:t>sensiblement</w:t>
      </w:r>
      <w:r w:rsidRPr="004A3269">
        <w:t xml:space="preserve"> </w:t>
      </w:r>
      <w:r w:rsidRPr="004A3269">
        <w:rPr>
          <w:rStyle w:val="hps"/>
        </w:rPr>
        <w:t>inchangé</w:t>
      </w:r>
      <w:r w:rsidR="00175D1E" w:rsidRPr="004A3269">
        <w:rPr>
          <w:rStyle w:val="hps"/>
        </w:rPr>
        <w:t>es</w:t>
      </w:r>
      <w:r w:rsidRPr="004A3269">
        <w:rPr>
          <w:rStyle w:val="hps"/>
        </w:rPr>
        <w:t xml:space="preserve"> par rapport</w:t>
      </w:r>
      <w:r w:rsidRPr="004A3269">
        <w:t xml:space="preserve"> </w:t>
      </w:r>
      <w:r w:rsidRPr="004A3269">
        <w:rPr>
          <w:rStyle w:val="hps"/>
        </w:rPr>
        <w:t>à l</w:t>
      </w:r>
      <w:r w:rsidR="009021AA" w:rsidRPr="004A3269">
        <w:rPr>
          <w:rStyle w:val="hps"/>
        </w:rPr>
        <w:t>’</w:t>
      </w:r>
      <w:r w:rsidRPr="004A3269">
        <w:rPr>
          <w:rStyle w:val="hps"/>
        </w:rPr>
        <w:t>exercice précédent</w:t>
      </w:r>
      <w:r w:rsidR="00B9245C" w:rsidRPr="004A3269">
        <w:rPr>
          <w:rFonts w:eastAsia="SimSun"/>
          <w:szCs w:val="22"/>
          <w:lang w:eastAsia="zh-CN"/>
        </w:rPr>
        <w:t>.</w:t>
      </w:r>
    </w:p>
    <w:p w:rsidR="00267140" w:rsidRPr="004A3269" w:rsidRDefault="002F78E8" w:rsidP="00C52155">
      <w:pPr>
        <w:pStyle w:val="ONUMFS"/>
        <w:rPr>
          <w:rFonts w:eastAsia="SimSun"/>
          <w:szCs w:val="22"/>
          <w:lang w:eastAsia="zh-CN"/>
        </w:rPr>
      </w:pPr>
      <w:r w:rsidRPr="004A3269">
        <w:rPr>
          <w:rFonts w:eastAsia="SimSun"/>
          <w:szCs w:val="22"/>
          <w:lang w:eastAsia="zh-CN"/>
        </w:rPr>
        <w:t>Les recettes des contributions statutaires de 17,9</w:t>
      </w:r>
      <w:r w:rsidR="00065045" w:rsidRPr="004A3269">
        <w:rPr>
          <w:rFonts w:eastAsia="SimSun"/>
          <w:szCs w:val="22"/>
          <w:lang w:eastAsia="zh-CN"/>
        </w:rPr>
        <w:t> </w:t>
      </w:r>
      <w:r w:rsidRPr="004A3269">
        <w:rPr>
          <w:rFonts w:eastAsia="SimSun"/>
          <w:szCs w:val="22"/>
          <w:lang w:eastAsia="zh-CN"/>
        </w:rPr>
        <w:t>millions de francs suisses représentent 4,8% du total tandis que celles des contributions volontaires reçues au titre des comptes spéciaux à hauteur de 8,9</w:t>
      </w:r>
      <w:r w:rsidR="00065045" w:rsidRPr="004A3269">
        <w:rPr>
          <w:rFonts w:eastAsia="SimSun"/>
          <w:szCs w:val="22"/>
          <w:lang w:eastAsia="zh-CN"/>
        </w:rPr>
        <w:t> </w:t>
      </w:r>
      <w:r w:rsidRPr="004A3269">
        <w:rPr>
          <w:rFonts w:eastAsia="SimSun"/>
          <w:szCs w:val="22"/>
          <w:lang w:eastAsia="zh-CN"/>
        </w:rPr>
        <w:t>millions de francs suisses en représentent 2,4%</w:t>
      </w:r>
      <w:r w:rsidR="00A0797A" w:rsidRPr="004A3269">
        <w:rPr>
          <w:rFonts w:eastAsia="SimSun"/>
          <w:szCs w:val="22"/>
          <w:lang w:eastAsia="zh-CN"/>
        </w:rPr>
        <w:t xml:space="preserve">.  </w:t>
      </w:r>
      <w:r w:rsidRPr="004A3269">
        <w:rPr>
          <w:rFonts w:eastAsia="SimSun"/>
          <w:szCs w:val="22"/>
          <w:lang w:eastAsia="zh-CN"/>
        </w:rPr>
        <w:t>Les recettes des contributions volontaires sont comptabilisées au fur et à mesure que le travail est réalisé et que les dépenses sont encourues conformément à l</w:t>
      </w:r>
      <w:r w:rsidR="009021AA" w:rsidRPr="004A3269">
        <w:rPr>
          <w:rFonts w:eastAsia="SimSun"/>
          <w:szCs w:val="22"/>
          <w:lang w:eastAsia="zh-CN"/>
        </w:rPr>
        <w:t>’</w:t>
      </w:r>
      <w:r w:rsidRPr="004A3269">
        <w:rPr>
          <w:rFonts w:eastAsia="SimSun"/>
          <w:szCs w:val="22"/>
          <w:lang w:eastAsia="zh-CN"/>
        </w:rPr>
        <w:t>accord pertinent.</w:t>
      </w:r>
    </w:p>
    <w:p w:rsidR="00267140" w:rsidRPr="004A3269" w:rsidRDefault="002F78E8" w:rsidP="00C52155">
      <w:pPr>
        <w:pStyle w:val="ONUMFS"/>
        <w:rPr>
          <w:rFonts w:eastAsia="SimSun"/>
          <w:szCs w:val="22"/>
          <w:lang w:eastAsia="zh-CN"/>
        </w:rPr>
      </w:pPr>
      <w:r w:rsidRPr="004A3269">
        <w:rPr>
          <w:rFonts w:eastAsia="SimSun"/>
          <w:szCs w:val="22"/>
          <w:lang w:eastAsia="zh-CN"/>
        </w:rPr>
        <w:t xml:space="preserve">Les recettes </w:t>
      </w:r>
      <w:r w:rsidR="00065045" w:rsidRPr="004A3269">
        <w:rPr>
          <w:rFonts w:eastAsia="SimSun"/>
          <w:szCs w:val="22"/>
          <w:lang w:eastAsia="zh-CN"/>
        </w:rPr>
        <w:t xml:space="preserve">des placements ont totalisé </w:t>
      </w:r>
      <w:r w:rsidR="00D03B5F" w:rsidRPr="004A3269">
        <w:rPr>
          <w:rFonts w:eastAsia="SimSun"/>
          <w:szCs w:val="22"/>
          <w:lang w:eastAsia="zh-CN"/>
        </w:rPr>
        <w:t>1,6 million</w:t>
      </w:r>
      <w:r w:rsidRPr="004A3269">
        <w:rPr>
          <w:rFonts w:eastAsia="SimSun"/>
          <w:szCs w:val="22"/>
          <w:lang w:eastAsia="zh-CN"/>
        </w:rPr>
        <w:t xml:space="preserve"> de francs suisses en</w:t>
      </w:r>
      <w:r w:rsidR="00067463" w:rsidRPr="004A3269">
        <w:rPr>
          <w:rFonts w:eastAsia="SimSun"/>
          <w:szCs w:val="22"/>
          <w:lang w:eastAsia="zh-CN"/>
        </w:rPr>
        <w:t> </w:t>
      </w:r>
      <w:r w:rsidRPr="004A3269">
        <w:rPr>
          <w:rFonts w:eastAsia="SimSun"/>
          <w:szCs w:val="22"/>
          <w:lang w:eastAsia="zh-CN"/>
        </w:rPr>
        <w:t>2014, soit une diminution de 23,8% par rapport à 2013.</w:t>
      </w:r>
      <w:r w:rsidR="00065045" w:rsidRPr="004A3269">
        <w:rPr>
          <w:rFonts w:eastAsia="SimSun"/>
          <w:szCs w:val="22"/>
          <w:lang w:eastAsia="zh-CN"/>
        </w:rPr>
        <w:t xml:space="preserve"> </w:t>
      </w:r>
      <w:r w:rsidR="00322CBA" w:rsidRPr="004A3269">
        <w:rPr>
          <w:rFonts w:eastAsia="SimSun"/>
          <w:szCs w:val="22"/>
          <w:lang w:eastAsia="zh-CN"/>
        </w:rPr>
        <w:t xml:space="preserve"> </w:t>
      </w:r>
      <w:r w:rsidRPr="004A3269">
        <w:rPr>
          <w:rFonts w:eastAsia="SimSun"/>
          <w:szCs w:val="22"/>
          <w:lang w:eastAsia="zh-CN"/>
        </w:rPr>
        <w:t>Les recettes provenant des intérêts ont diminué, le taux d</w:t>
      </w:r>
      <w:r w:rsidR="009021AA" w:rsidRPr="004A3269">
        <w:rPr>
          <w:rFonts w:eastAsia="SimSun"/>
          <w:szCs w:val="22"/>
          <w:lang w:eastAsia="zh-CN"/>
        </w:rPr>
        <w:t>’</w:t>
      </w:r>
      <w:r w:rsidRPr="004A3269">
        <w:rPr>
          <w:rFonts w:eastAsia="SimSun"/>
          <w:szCs w:val="22"/>
          <w:lang w:eastAsia="zh-CN"/>
        </w:rPr>
        <w:t xml:space="preserve">intérêt moyen servi sur des comptes et des placements rémunérés détenus auprès de </w:t>
      </w:r>
      <w:r w:rsidR="00CB1FA3" w:rsidRPr="004A3269">
        <w:rPr>
          <w:rFonts w:eastAsia="SimSun"/>
          <w:szCs w:val="22"/>
          <w:lang w:eastAsia="zh-CN"/>
        </w:rPr>
        <w:t>l</w:t>
      </w:r>
      <w:r w:rsidR="009021AA" w:rsidRPr="004A3269">
        <w:rPr>
          <w:rFonts w:eastAsia="SimSun"/>
          <w:szCs w:val="22"/>
          <w:lang w:eastAsia="zh-CN"/>
        </w:rPr>
        <w:t>’</w:t>
      </w:r>
      <w:r w:rsidR="00CB1FA3" w:rsidRPr="004A3269">
        <w:rPr>
          <w:rFonts w:eastAsia="SimSun"/>
          <w:szCs w:val="22"/>
          <w:lang w:eastAsia="zh-CN"/>
        </w:rPr>
        <w:t>Administration fédérale des finances</w:t>
      </w:r>
      <w:r w:rsidRPr="004A3269">
        <w:rPr>
          <w:rFonts w:eastAsia="SimSun"/>
          <w:szCs w:val="22"/>
          <w:lang w:eastAsia="zh-CN"/>
        </w:rPr>
        <w:t xml:space="preserve"> (AFF) étant de 0,421% en</w:t>
      </w:r>
      <w:r w:rsidR="00067463" w:rsidRPr="004A3269">
        <w:rPr>
          <w:rFonts w:eastAsia="SimSun"/>
          <w:szCs w:val="22"/>
          <w:lang w:eastAsia="zh-CN"/>
        </w:rPr>
        <w:t> </w:t>
      </w:r>
      <w:r w:rsidRPr="004A3269">
        <w:rPr>
          <w:rFonts w:eastAsia="SimSun"/>
          <w:szCs w:val="22"/>
          <w:lang w:eastAsia="zh-CN"/>
        </w:rPr>
        <w:t>2014 contre 0,558% en</w:t>
      </w:r>
      <w:r w:rsidR="00067463" w:rsidRPr="004A3269">
        <w:rPr>
          <w:rFonts w:eastAsia="SimSun"/>
          <w:szCs w:val="22"/>
          <w:lang w:eastAsia="zh-CN"/>
        </w:rPr>
        <w:t> </w:t>
      </w:r>
      <w:r w:rsidRPr="004A3269">
        <w:rPr>
          <w:rFonts w:eastAsia="SimSun"/>
          <w:szCs w:val="22"/>
          <w:lang w:eastAsia="zh-CN"/>
        </w:rPr>
        <w:t>2013.</w:t>
      </w:r>
      <w:r w:rsidR="00C52870" w:rsidRPr="004A3269">
        <w:rPr>
          <w:rFonts w:eastAsia="SimSun"/>
          <w:szCs w:val="22"/>
          <w:lang w:eastAsia="zh-CN"/>
        </w:rPr>
        <w:t xml:space="preserve"> </w:t>
      </w:r>
      <w:r w:rsidR="00AD0A52" w:rsidRPr="004A3269">
        <w:rPr>
          <w:rFonts w:eastAsia="SimSun"/>
          <w:szCs w:val="22"/>
          <w:lang w:eastAsia="zh-CN"/>
        </w:rPr>
        <w:t xml:space="preserve"> </w:t>
      </w:r>
      <w:r w:rsidR="00AD0A52" w:rsidRPr="004A3269">
        <w:rPr>
          <w:rStyle w:val="hps"/>
        </w:rPr>
        <w:t>Les recettes de 1,5</w:t>
      </w:r>
      <w:r w:rsidR="00AD0A52" w:rsidRPr="004A3269">
        <w:t> </w:t>
      </w:r>
      <w:r w:rsidR="00AD0A52" w:rsidRPr="004A3269">
        <w:rPr>
          <w:rStyle w:val="hps"/>
        </w:rPr>
        <w:t>million de francs suisses provenant des activités d</w:t>
      </w:r>
      <w:r w:rsidR="009021AA" w:rsidRPr="004A3269">
        <w:rPr>
          <w:rStyle w:val="hps"/>
        </w:rPr>
        <w:t>’</w:t>
      </w:r>
      <w:r w:rsidR="00AD0A52" w:rsidRPr="004A3269">
        <w:rPr>
          <w:rStyle w:val="hps"/>
        </w:rPr>
        <w:t>arbitrage et de médiation</w:t>
      </w:r>
      <w:r w:rsidR="00AD0A52" w:rsidRPr="004A3269">
        <w:t xml:space="preserve"> </w:t>
      </w:r>
      <w:r w:rsidR="00AD0A52" w:rsidRPr="004A3269">
        <w:rPr>
          <w:rStyle w:val="hps"/>
        </w:rPr>
        <w:t>et les ventes de publications</w:t>
      </w:r>
      <w:r w:rsidR="00AD0A52" w:rsidRPr="004A3269">
        <w:t xml:space="preserve"> </w:t>
      </w:r>
      <w:r w:rsidR="00AD0A52" w:rsidRPr="004A3269">
        <w:rPr>
          <w:rStyle w:val="hps"/>
        </w:rPr>
        <w:t>de</w:t>
      </w:r>
      <w:r w:rsidR="00AD0A52" w:rsidRPr="004A3269">
        <w:t xml:space="preserve"> </w:t>
      </w:r>
      <w:r w:rsidR="00AD0A52" w:rsidRPr="004A3269">
        <w:rPr>
          <w:rStyle w:val="hps"/>
        </w:rPr>
        <w:t>0,4 million de</w:t>
      </w:r>
      <w:r w:rsidR="00AD0A52" w:rsidRPr="004A3269">
        <w:t xml:space="preserve"> </w:t>
      </w:r>
      <w:r w:rsidR="00AD0A52" w:rsidRPr="004A3269">
        <w:rPr>
          <w:rStyle w:val="hps"/>
        </w:rPr>
        <w:t>francs suisses pour</w:t>
      </w:r>
      <w:r w:rsidR="00AD0A52" w:rsidRPr="004A3269">
        <w:t xml:space="preserve"> </w:t>
      </w:r>
      <w:r w:rsidR="00AD0A52" w:rsidRPr="004A3269">
        <w:rPr>
          <w:rStyle w:val="hps"/>
        </w:rPr>
        <w:t>l</w:t>
      </w:r>
      <w:r w:rsidR="009021AA" w:rsidRPr="004A3269">
        <w:rPr>
          <w:rStyle w:val="hps"/>
        </w:rPr>
        <w:t>’</w:t>
      </w:r>
      <w:r w:rsidR="00AD0A52" w:rsidRPr="004A3269">
        <w:rPr>
          <w:rStyle w:val="hps"/>
        </w:rPr>
        <w:t>année</w:t>
      </w:r>
      <w:r w:rsidR="00AD0A52" w:rsidRPr="004A3269">
        <w:t> </w:t>
      </w:r>
      <w:r w:rsidR="00AD0A52" w:rsidRPr="004A3269">
        <w:rPr>
          <w:rStyle w:val="hps"/>
        </w:rPr>
        <w:t>2014</w:t>
      </w:r>
      <w:r w:rsidR="00AD0A52" w:rsidRPr="004A3269">
        <w:t xml:space="preserve"> </w:t>
      </w:r>
      <w:r w:rsidR="00AD0A52" w:rsidRPr="004A3269">
        <w:rPr>
          <w:rStyle w:val="hps"/>
        </w:rPr>
        <w:t>correspondaient globalement</w:t>
      </w:r>
      <w:r w:rsidR="00AD0A52" w:rsidRPr="004A3269">
        <w:t xml:space="preserve"> à celles de </w:t>
      </w:r>
      <w:r w:rsidR="00AD0A52" w:rsidRPr="004A3269">
        <w:rPr>
          <w:rStyle w:val="hps"/>
        </w:rPr>
        <w:t>l</w:t>
      </w:r>
      <w:r w:rsidR="009021AA" w:rsidRPr="004A3269">
        <w:rPr>
          <w:rStyle w:val="hps"/>
        </w:rPr>
        <w:t>’</w:t>
      </w:r>
      <w:r w:rsidR="00AD0A52" w:rsidRPr="004A3269">
        <w:rPr>
          <w:rStyle w:val="hps"/>
        </w:rPr>
        <w:t>exercice précédent</w:t>
      </w:r>
      <w:r w:rsidR="00B9245C" w:rsidRPr="004A3269">
        <w:rPr>
          <w:rFonts w:eastAsia="SimSun"/>
          <w:szCs w:val="22"/>
          <w:lang w:eastAsia="zh-CN"/>
        </w:rPr>
        <w:t>.</w:t>
      </w:r>
      <w:r w:rsidR="00942AF2" w:rsidRPr="004A3269">
        <w:rPr>
          <w:rFonts w:eastAsia="SimSun"/>
          <w:szCs w:val="22"/>
          <w:lang w:eastAsia="zh-CN"/>
        </w:rPr>
        <w:t xml:space="preserve"> </w:t>
      </w:r>
      <w:r w:rsidR="00AC55DB" w:rsidRPr="004A3269">
        <w:rPr>
          <w:rFonts w:eastAsia="SimSun"/>
          <w:szCs w:val="22"/>
          <w:lang w:eastAsia="zh-CN"/>
        </w:rPr>
        <w:t xml:space="preserve"> </w:t>
      </w:r>
      <w:r w:rsidRPr="004A3269">
        <w:rPr>
          <w:rFonts w:eastAsia="SimSun"/>
          <w:szCs w:val="22"/>
          <w:lang w:eastAsia="zh-CN"/>
        </w:rPr>
        <w:t>D</w:t>
      </w:r>
      <w:r w:rsidR="009021AA" w:rsidRPr="004A3269">
        <w:rPr>
          <w:rFonts w:eastAsia="SimSun"/>
          <w:szCs w:val="22"/>
          <w:lang w:eastAsia="zh-CN"/>
        </w:rPr>
        <w:t>’</w:t>
      </w:r>
      <w:r w:rsidRPr="004A3269">
        <w:rPr>
          <w:rFonts w:eastAsia="SimSun"/>
          <w:szCs w:val="22"/>
          <w:lang w:eastAsia="zh-CN"/>
        </w:rPr>
        <w:t xml:space="preserve">autres recettes et recettes diverses ont diminué pour passer de </w:t>
      </w:r>
      <w:r w:rsidR="00AC55DB" w:rsidRPr="004A3269">
        <w:rPr>
          <w:rFonts w:eastAsia="SimSun"/>
          <w:szCs w:val="22"/>
          <w:lang w:eastAsia="zh-CN"/>
        </w:rPr>
        <w:t>6,2 </w:t>
      </w:r>
      <w:r w:rsidRPr="004A3269">
        <w:rPr>
          <w:rFonts w:eastAsia="SimSun"/>
          <w:szCs w:val="22"/>
          <w:lang w:eastAsia="zh-CN"/>
        </w:rPr>
        <w:t>millions de francs suisses en</w:t>
      </w:r>
      <w:r w:rsidR="00067463" w:rsidRPr="004A3269">
        <w:rPr>
          <w:rFonts w:eastAsia="SimSun"/>
          <w:szCs w:val="22"/>
          <w:lang w:eastAsia="zh-CN"/>
        </w:rPr>
        <w:t> </w:t>
      </w:r>
      <w:r w:rsidRPr="004A3269">
        <w:rPr>
          <w:rFonts w:eastAsia="SimSun"/>
          <w:szCs w:val="22"/>
          <w:lang w:eastAsia="zh-CN"/>
        </w:rPr>
        <w:t>2013 à 3,</w:t>
      </w:r>
      <w:r w:rsidR="00AC55DB" w:rsidRPr="004A3269">
        <w:rPr>
          <w:rFonts w:eastAsia="SimSun"/>
          <w:szCs w:val="22"/>
          <w:lang w:eastAsia="zh-CN"/>
        </w:rPr>
        <w:t>0 </w:t>
      </w:r>
      <w:r w:rsidRPr="004A3269">
        <w:rPr>
          <w:rFonts w:eastAsia="SimSun"/>
          <w:szCs w:val="22"/>
          <w:lang w:eastAsia="zh-CN"/>
        </w:rPr>
        <w:t>millions en</w:t>
      </w:r>
      <w:r w:rsidR="00067463" w:rsidRPr="004A3269">
        <w:rPr>
          <w:rFonts w:eastAsia="SimSun"/>
          <w:szCs w:val="22"/>
          <w:lang w:eastAsia="zh-CN"/>
        </w:rPr>
        <w:t> </w:t>
      </w:r>
      <w:r w:rsidRPr="004A3269">
        <w:rPr>
          <w:rFonts w:eastAsia="SimSun"/>
          <w:szCs w:val="22"/>
          <w:lang w:eastAsia="zh-CN"/>
        </w:rPr>
        <w:t>2014.</w:t>
      </w:r>
      <w:r w:rsidR="00B9245C" w:rsidRPr="004A3269">
        <w:rPr>
          <w:rFonts w:eastAsia="SimSun"/>
        </w:rPr>
        <w:t xml:space="preserve"> </w:t>
      </w:r>
      <w:r w:rsidR="00AD0A52" w:rsidRPr="004A3269">
        <w:rPr>
          <w:rFonts w:eastAsia="SimSun"/>
        </w:rPr>
        <w:t xml:space="preserve"> </w:t>
      </w:r>
      <w:r w:rsidR="00AD0A52" w:rsidRPr="004A3269">
        <w:rPr>
          <w:rStyle w:val="hps"/>
        </w:rPr>
        <w:t>Le chiffre</w:t>
      </w:r>
      <w:r w:rsidR="00AD0A52" w:rsidRPr="004A3269">
        <w:t xml:space="preserve"> de </w:t>
      </w:r>
      <w:r w:rsidR="00AD0A52" w:rsidRPr="004A3269">
        <w:rPr>
          <w:rStyle w:val="hps"/>
        </w:rPr>
        <w:t>2013</w:t>
      </w:r>
      <w:r w:rsidR="00AD0A52" w:rsidRPr="004A3269">
        <w:t xml:space="preserve"> </w:t>
      </w:r>
      <w:r w:rsidR="00AD0A52" w:rsidRPr="004A3269">
        <w:rPr>
          <w:rStyle w:val="hps"/>
        </w:rPr>
        <w:t>est plus élevé</w:t>
      </w:r>
      <w:r w:rsidR="00AD0A52" w:rsidRPr="004A3269">
        <w:t xml:space="preserve"> </w:t>
      </w:r>
      <w:r w:rsidR="00AD0A52" w:rsidRPr="004A3269">
        <w:rPr>
          <w:rStyle w:val="hps"/>
        </w:rPr>
        <w:t>en raison de</w:t>
      </w:r>
      <w:r w:rsidR="00AD0A52" w:rsidRPr="004A3269">
        <w:t xml:space="preserve"> </w:t>
      </w:r>
      <w:r w:rsidR="00AD0A52" w:rsidRPr="004A3269">
        <w:rPr>
          <w:rStyle w:val="hps"/>
        </w:rPr>
        <w:t>la réception,</w:t>
      </w:r>
      <w:r w:rsidR="00AD0A52" w:rsidRPr="004A3269">
        <w:t xml:space="preserve"> </w:t>
      </w:r>
      <w:r w:rsidR="00AD0A52" w:rsidRPr="004A3269">
        <w:rPr>
          <w:rStyle w:val="hps"/>
        </w:rPr>
        <w:t>cette année</w:t>
      </w:r>
      <w:r w:rsidR="00A17552" w:rsidRPr="004A3269">
        <w:rPr>
          <w:rStyle w:val="hps"/>
        </w:rPr>
        <w:noBreakHyphen/>
      </w:r>
      <w:r w:rsidR="00AD0A52" w:rsidRPr="004A3269">
        <w:rPr>
          <w:rStyle w:val="hps"/>
        </w:rPr>
        <w:t>là,</w:t>
      </w:r>
      <w:r w:rsidR="00AD0A52" w:rsidRPr="004A3269">
        <w:t xml:space="preserve"> </w:t>
      </w:r>
      <w:r w:rsidR="00AD0A52" w:rsidRPr="004A3269">
        <w:rPr>
          <w:rStyle w:val="hps"/>
        </w:rPr>
        <w:t>de notes de crédit pour un montant de 4,3</w:t>
      </w:r>
      <w:r w:rsidR="00AD0A52" w:rsidRPr="004A3269">
        <w:t> </w:t>
      </w:r>
      <w:r w:rsidR="00AD0A52" w:rsidRPr="004A3269">
        <w:rPr>
          <w:rStyle w:val="hps"/>
        </w:rPr>
        <w:t>millions de francs suisses,</w:t>
      </w:r>
      <w:r w:rsidR="00AD0A52" w:rsidRPr="004A3269">
        <w:t xml:space="preserve"> la quasi</w:t>
      </w:r>
      <w:r w:rsidR="00A17552" w:rsidRPr="004A3269">
        <w:noBreakHyphen/>
      </w:r>
      <w:r w:rsidR="00AD0A52" w:rsidRPr="004A3269">
        <w:t xml:space="preserve">totalité du </w:t>
      </w:r>
      <w:r w:rsidR="00AD0A52" w:rsidRPr="004A3269">
        <w:rPr>
          <w:rStyle w:val="hps"/>
        </w:rPr>
        <w:t>Centre</w:t>
      </w:r>
      <w:r w:rsidR="00AD0A52" w:rsidRPr="004A3269">
        <w:t xml:space="preserve"> </w:t>
      </w:r>
      <w:r w:rsidR="00AD0A52" w:rsidRPr="004A3269">
        <w:rPr>
          <w:rStyle w:val="hps"/>
        </w:rPr>
        <w:t>international de calcul (</w:t>
      </w:r>
      <w:r w:rsidR="00AD0A52" w:rsidRPr="004A3269">
        <w:t>CIC).</w:t>
      </w:r>
    </w:p>
    <w:p w:rsidR="00C52155" w:rsidRDefault="00C52155">
      <w:pPr>
        <w:rPr>
          <w:rFonts w:eastAsia="SimSun"/>
          <w:b/>
          <w:i/>
          <w:lang w:eastAsia="zh-CN"/>
        </w:rPr>
      </w:pPr>
      <w:r>
        <w:rPr>
          <w:rFonts w:eastAsia="SimSun"/>
          <w:b/>
          <w:i/>
          <w:lang w:eastAsia="zh-CN"/>
        </w:rPr>
        <w:br w:type="page"/>
      </w:r>
    </w:p>
    <w:p w:rsidR="00267140" w:rsidRPr="004A3269" w:rsidRDefault="002F78E8" w:rsidP="002F78E8">
      <w:pPr>
        <w:spacing w:after="220"/>
        <w:rPr>
          <w:rFonts w:eastAsia="SimSun"/>
          <w:b/>
          <w:lang w:eastAsia="zh-CN"/>
        </w:rPr>
      </w:pPr>
      <w:r w:rsidRPr="004A3269">
        <w:rPr>
          <w:rFonts w:eastAsia="SimSun"/>
          <w:b/>
          <w:i/>
          <w:lang w:eastAsia="zh-CN"/>
        </w:rPr>
        <w:lastRenderedPageBreak/>
        <w:t>Analyse des dépenses</w:t>
      </w:r>
    </w:p>
    <w:p w:rsidR="00267140" w:rsidRPr="004A3269" w:rsidRDefault="002F78E8" w:rsidP="002F78E8">
      <w:pPr>
        <w:jc w:val="center"/>
        <w:rPr>
          <w:rFonts w:eastAsia="SimSun"/>
          <w:szCs w:val="22"/>
          <w:u w:val="single"/>
          <w:lang w:eastAsia="zh-CN"/>
        </w:rPr>
      </w:pPr>
      <w:r w:rsidRPr="004A3269">
        <w:rPr>
          <w:rFonts w:eastAsia="SimSun"/>
          <w:szCs w:val="22"/>
          <w:u w:val="single"/>
          <w:lang w:eastAsia="zh-CN"/>
        </w:rPr>
        <w:t>Composition des dépenses en</w:t>
      </w:r>
      <w:r w:rsidR="00067463" w:rsidRPr="004A3269">
        <w:rPr>
          <w:rFonts w:eastAsia="SimSun"/>
          <w:szCs w:val="22"/>
          <w:u w:val="single"/>
          <w:lang w:eastAsia="zh-CN"/>
        </w:rPr>
        <w:t> </w:t>
      </w:r>
      <w:r w:rsidRPr="004A3269">
        <w:rPr>
          <w:rFonts w:eastAsia="SimSun"/>
          <w:szCs w:val="22"/>
          <w:u w:val="single"/>
          <w:lang w:eastAsia="zh-CN"/>
        </w:rPr>
        <w:t>2014 sur la base des normes</w:t>
      </w:r>
      <w:r w:rsidR="00067463" w:rsidRPr="004A3269">
        <w:rPr>
          <w:rFonts w:eastAsia="SimSun"/>
          <w:szCs w:val="22"/>
          <w:u w:val="single"/>
          <w:lang w:eastAsia="zh-CN"/>
        </w:rPr>
        <w:t> </w:t>
      </w:r>
      <w:r w:rsidRPr="004A3269">
        <w:rPr>
          <w:rFonts w:eastAsia="SimSun"/>
          <w:szCs w:val="22"/>
          <w:u w:val="single"/>
          <w:lang w:eastAsia="zh-CN"/>
        </w:rPr>
        <w:t>IPSAS</w:t>
      </w:r>
    </w:p>
    <w:p w:rsidR="00267140" w:rsidRPr="004A3269" w:rsidRDefault="002F78E8" w:rsidP="002F78E8">
      <w:pPr>
        <w:jc w:val="center"/>
        <w:rPr>
          <w:rFonts w:eastAsia="SimSun"/>
          <w:i/>
          <w:lang w:eastAsia="zh-CN"/>
        </w:rPr>
      </w:pPr>
      <w:r w:rsidRPr="004A3269">
        <w:rPr>
          <w:rFonts w:eastAsia="SimSun"/>
          <w:i/>
          <w:lang w:eastAsia="zh-CN"/>
        </w:rPr>
        <w:t>(</w:t>
      </w:r>
      <w:proofErr w:type="gramStart"/>
      <w:r w:rsidRPr="004A3269">
        <w:rPr>
          <w:rFonts w:eastAsia="SimSun"/>
          <w:i/>
          <w:lang w:eastAsia="zh-CN"/>
        </w:rPr>
        <w:t>en</w:t>
      </w:r>
      <w:proofErr w:type="gramEnd"/>
      <w:r w:rsidRPr="004A3269">
        <w:rPr>
          <w:rFonts w:eastAsia="SimSun"/>
          <w:i/>
          <w:lang w:eastAsia="zh-CN"/>
        </w:rPr>
        <w:t xml:space="preserve"> millions de francs suisses)</w:t>
      </w:r>
    </w:p>
    <w:p w:rsidR="006413E4" w:rsidRPr="004A3269" w:rsidRDefault="006413E4" w:rsidP="006C53CD">
      <w:pPr>
        <w:jc w:val="center"/>
        <w:rPr>
          <w:rFonts w:eastAsia="SimSun"/>
          <w:szCs w:val="22"/>
          <w:lang w:eastAsia="zh-CN"/>
        </w:rPr>
      </w:pPr>
      <w:r w:rsidRPr="004A3269">
        <w:rPr>
          <w:rFonts w:eastAsia="SimSun"/>
          <w:noProof/>
          <w:lang w:val="en-US"/>
        </w:rPr>
        <w:drawing>
          <wp:inline distT="0" distB="0" distL="0" distR="0" wp14:anchorId="7235FCAD" wp14:editId="1C2B7741">
            <wp:extent cx="5763260" cy="3329305"/>
            <wp:effectExtent l="0" t="0" r="8890" b="444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3260" cy="3329305"/>
                    </a:xfrm>
                    <a:prstGeom prst="rect">
                      <a:avLst/>
                    </a:prstGeom>
                    <a:noFill/>
                    <a:ln>
                      <a:noFill/>
                    </a:ln>
                  </pic:spPr>
                </pic:pic>
              </a:graphicData>
            </a:graphic>
          </wp:inline>
        </w:drawing>
      </w:r>
    </w:p>
    <w:p w:rsidR="00267140" w:rsidRPr="004A3269" w:rsidRDefault="002F78E8" w:rsidP="00C52155">
      <w:pPr>
        <w:pStyle w:val="ONUMFS"/>
        <w:rPr>
          <w:rFonts w:eastAsia="SimSun"/>
          <w:lang w:eastAsia="zh-CN"/>
        </w:rPr>
      </w:pPr>
      <w:r w:rsidRPr="004A3269">
        <w:rPr>
          <w:rFonts w:eastAsia="SimSun"/>
          <w:lang w:eastAsia="zh-CN"/>
        </w:rPr>
        <w:t>Le total des dépenses de l</w:t>
      </w:r>
      <w:r w:rsidR="009021AA" w:rsidRPr="004A3269">
        <w:rPr>
          <w:rFonts w:eastAsia="SimSun"/>
          <w:lang w:eastAsia="zh-CN"/>
        </w:rPr>
        <w:t>’</w:t>
      </w:r>
      <w:r w:rsidRPr="004A3269">
        <w:rPr>
          <w:rFonts w:eastAsia="SimSun"/>
          <w:lang w:eastAsia="zh-CN"/>
        </w:rPr>
        <w:t>Organi</w:t>
      </w:r>
      <w:r w:rsidR="00AC55DB" w:rsidRPr="004A3269">
        <w:rPr>
          <w:rFonts w:eastAsia="SimSun"/>
          <w:lang w:eastAsia="zh-CN"/>
        </w:rPr>
        <w:t>sation pour 2014 a été de 333,2 </w:t>
      </w:r>
      <w:r w:rsidRPr="004A3269">
        <w:rPr>
          <w:rFonts w:eastAsia="SimSun"/>
          <w:lang w:eastAsia="zh-CN"/>
        </w:rPr>
        <w:t>millions de francs suisses, soit une diminution d</w:t>
      </w:r>
      <w:r w:rsidR="00AC55DB" w:rsidRPr="004A3269">
        <w:rPr>
          <w:rFonts w:eastAsia="SimSun"/>
          <w:lang w:eastAsia="zh-CN"/>
        </w:rPr>
        <w:t>e 1,0% par rapport à </w:t>
      </w:r>
      <w:r w:rsidRPr="004A3269">
        <w:rPr>
          <w:rFonts w:eastAsia="SimSun"/>
          <w:lang w:eastAsia="zh-CN"/>
        </w:rPr>
        <w:t>2013 lorsqu</w:t>
      </w:r>
      <w:r w:rsidR="009021AA" w:rsidRPr="004A3269">
        <w:rPr>
          <w:rFonts w:eastAsia="SimSun"/>
          <w:lang w:eastAsia="zh-CN"/>
        </w:rPr>
        <w:t>’</w:t>
      </w:r>
      <w:r w:rsidRPr="004A3269">
        <w:rPr>
          <w:rFonts w:eastAsia="SimSun"/>
          <w:lang w:eastAsia="zh-CN"/>
        </w:rPr>
        <w:t>il avait atteint 336,5</w:t>
      </w:r>
      <w:r w:rsidR="00AC55DB" w:rsidRPr="004A3269">
        <w:rPr>
          <w:rFonts w:eastAsia="SimSun"/>
          <w:lang w:eastAsia="zh-CN"/>
        </w:rPr>
        <w:t> </w:t>
      </w:r>
      <w:r w:rsidRPr="004A3269">
        <w:rPr>
          <w:rFonts w:eastAsia="SimSun"/>
          <w:lang w:eastAsia="zh-CN"/>
        </w:rPr>
        <w:t>millions.</w:t>
      </w:r>
      <w:r w:rsidR="00AC55DB" w:rsidRPr="004A3269">
        <w:rPr>
          <w:rFonts w:eastAsia="SimSun"/>
          <w:lang w:eastAsia="zh-CN"/>
        </w:rPr>
        <w:t xml:space="preserve"> </w:t>
      </w:r>
      <w:r w:rsidR="00791E76" w:rsidRPr="004A3269">
        <w:rPr>
          <w:rFonts w:eastAsia="SimSun"/>
        </w:rPr>
        <w:t xml:space="preserve"> </w:t>
      </w:r>
      <w:r w:rsidRPr="004A3269">
        <w:rPr>
          <w:rFonts w:eastAsia="SimSun"/>
          <w:lang w:eastAsia="zh-CN"/>
        </w:rPr>
        <w:t>Les dépenses les plus grandes de l</w:t>
      </w:r>
      <w:r w:rsidR="009021AA" w:rsidRPr="004A3269">
        <w:rPr>
          <w:rFonts w:eastAsia="SimSun"/>
          <w:lang w:eastAsia="zh-CN"/>
        </w:rPr>
        <w:t>’</w:t>
      </w:r>
      <w:r w:rsidRPr="004A3269">
        <w:rPr>
          <w:rFonts w:eastAsia="SimSun"/>
          <w:lang w:eastAsia="zh-CN"/>
        </w:rPr>
        <w:t>Organisation sont les dépens</w:t>
      </w:r>
      <w:r w:rsidR="00AC55DB" w:rsidRPr="004A3269">
        <w:rPr>
          <w:rFonts w:eastAsia="SimSun"/>
          <w:lang w:eastAsia="zh-CN"/>
        </w:rPr>
        <w:t>es de personnel qui s</w:t>
      </w:r>
      <w:r w:rsidR="009021AA" w:rsidRPr="004A3269">
        <w:rPr>
          <w:rFonts w:eastAsia="SimSun"/>
          <w:lang w:eastAsia="zh-CN"/>
        </w:rPr>
        <w:t>’</w:t>
      </w:r>
      <w:r w:rsidR="00AC55DB" w:rsidRPr="004A3269">
        <w:rPr>
          <w:rFonts w:eastAsia="SimSun"/>
          <w:lang w:eastAsia="zh-CN"/>
        </w:rPr>
        <w:t>élèvent à </w:t>
      </w:r>
      <w:r w:rsidRPr="004A3269">
        <w:rPr>
          <w:rFonts w:eastAsia="SimSun"/>
          <w:lang w:eastAsia="zh-CN"/>
        </w:rPr>
        <w:t>216,4</w:t>
      </w:r>
      <w:r w:rsidR="00AC55DB" w:rsidRPr="004A3269">
        <w:rPr>
          <w:rFonts w:eastAsia="SimSun"/>
          <w:lang w:eastAsia="zh-CN"/>
        </w:rPr>
        <w:t> </w:t>
      </w:r>
      <w:r w:rsidRPr="004A3269">
        <w:rPr>
          <w:rFonts w:eastAsia="SimSun"/>
          <w:lang w:eastAsia="zh-CN"/>
        </w:rPr>
        <w:t>millions de francs suisses, soit 64,9% du total.</w:t>
      </w:r>
      <w:r w:rsidR="00791E76" w:rsidRPr="004A3269">
        <w:rPr>
          <w:rFonts w:eastAsia="SimSun"/>
        </w:rPr>
        <w:t xml:space="preserve"> </w:t>
      </w:r>
      <w:r w:rsidR="00AC55DB" w:rsidRPr="004A3269">
        <w:rPr>
          <w:rFonts w:eastAsia="SimSun"/>
        </w:rPr>
        <w:t xml:space="preserve"> </w:t>
      </w:r>
      <w:r w:rsidR="00AD0A52" w:rsidRPr="004A3269">
        <w:rPr>
          <w:rStyle w:val="hps"/>
        </w:rPr>
        <w:t>Les services contractuels</w:t>
      </w:r>
      <w:r w:rsidR="00AD0A52" w:rsidRPr="004A3269">
        <w:t xml:space="preserve"> </w:t>
      </w:r>
      <w:r w:rsidR="00AD0A52" w:rsidRPr="004A3269">
        <w:rPr>
          <w:rStyle w:val="hps"/>
        </w:rPr>
        <w:t>représentent</w:t>
      </w:r>
      <w:r w:rsidR="00AD0A52" w:rsidRPr="004A3269">
        <w:t xml:space="preserve"> </w:t>
      </w:r>
      <w:r w:rsidR="00AD0A52" w:rsidRPr="004A3269">
        <w:rPr>
          <w:rStyle w:val="hps"/>
        </w:rPr>
        <w:t>le deuxième</w:t>
      </w:r>
      <w:r w:rsidR="00AD0A52" w:rsidRPr="004A3269">
        <w:t xml:space="preserve"> poste de </w:t>
      </w:r>
      <w:r w:rsidR="00AD0A52" w:rsidRPr="004A3269">
        <w:rPr>
          <w:rStyle w:val="hps"/>
        </w:rPr>
        <w:t>dépenses</w:t>
      </w:r>
      <w:r w:rsidR="00AD0A52" w:rsidRPr="004A3269">
        <w:t xml:space="preserve"> </w:t>
      </w:r>
      <w:r w:rsidR="00AD0A52" w:rsidRPr="004A3269">
        <w:rPr>
          <w:rStyle w:val="hps"/>
        </w:rPr>
        <w:t>pour l</w:t>
      </w:r>
      <w:r w:rsidR="009021AA" w:rsidRPr="004A3269">
        <w:rPr>
          <w:rStyle w:val="hps"/>
        </w:rPr>
        <w:t>’</w:t>
      </w:r>
      <w:r w:rsidR="00AD0A52" w:rsidRPr="004A3269">
        <w:rPr>
          <w:rStyle w:val="hps"/>
        </w:rPr>
        <w:t>Organisation (63,6</w:t>
      </w:r>
      <w:r w:rsidR="00AD0A52" w:rsidRPr="004A3269">
        <w:t> </w:t>
      </w:r>
      <w:r w:rsidR="00AD0A52" w:rsidRPr="004A3269">
        <w:rPr>
          <w:rStyle w:val="hps"/>
        </w:rPr>
        <w:t>millions de francs suisses)</w:t>
      </w:r>
      <w:r w:rsidR="00AD0A52" w:rsidRPr="004A3269">
        <w:t xml:space="preserve">, </w:t>
      </w:r>
      <w:r w:rsidR="00AD0A52" w:rsidRPr="004A3269">
        <w:rPr>
          <w:rStyle w:val="hps"/>
        </w:rPr>
        <w:t>suivis par</w:t>
      </w:r>
      <w:r w:rsidR="00AD0A52" w:rsidRPr="004A3269">
        <w:t xml:space="preserve"> </w:t>
      </w:r>
      <w:r w:rsidR="00AD0A52" w:rsidRPr="004A3269">
        <w:rPr>
          <w:rStyle w:val="hps"/>
        </w:rPr>
        <w:t>les dépenses de fonctionnement (20,8</w:t>
      </w:r>
      <w:r w:rsidR="00AD0A52" w:rsidRPr="004A3269">
        <w:t> </w:t>
      </w:r>
      <w:r w:rsidR="00AD0A52" w:rsidRPr="004A3269">
        <w:rPr>
          <w:rStyle w:val="hps"/>
        </w:rPr>
        <w:t>millions de francs suisses)</w:t>
      </w:r>
      <w:r w:rsidR="00AD0A52" w:rsidRPr="004A3269">
        <w:t xml:space="preserve">.  </w:t>
      </w:r>
      <w:r w:rsidR="00AD0A52" w:rsidRPr="004A3269">
        <w:rPr>
          <w:rStyle w:val="hps"/>
        </w:rPr>
        <w:t>Le</w:t>
      </w:r>
      <w:r w:rsidR="00AD0A52" w:rsidRPr="004A3269">
        <w:t xml:space="preserve"> </w:t>
      </w:r>
      <w:r w:rsidR="00AD0A52" w:rsidRPr="004A3269">
        <w:rPr>
          <w:rStyle w:val="hps"/>
        </w:rPr>
        <w:t>tableau ci</w:t>
      </w:r>
      <w:r w:rsidR="00A17552" w:rsidRPr="004A3269">
        <w:rPr>
          <w:rStyle w:val="hps"/>
        </w:rPr>
        <w:noBreakHyphen/>
      </w:r>
      <w:r w:rsidR="00AD0A52" w:rsidRPr="004A3269">
        <w:rPr>
          <w:rStyle w:val="hps"/>
        </w:rPr>
        <w:t>dessous</w:t>
      </w:r>
      <w:r w:rsidR="00AD0A52" w:rsidRPr="004A3269">
        <w:t xml:space="preserve"> </w:t>
      </w:r>
      <w:r w:rsidR="00BF5595" w:rsidRPr="004A3269">
        <w:rPr>
          <w:rStyle w:val="hps"/>
        </w:rPr>
        <w:t>est un résumé des</w:t>
      </w:r>
      <w:r w:rsidR="00AD0A52" w:rsidRPr="004A3269">
        <w:t xml:space="preserve"> </w:t>
      </w:r>
      <w:r w:rsidR="00BF5595" w:rsidRPr="004A3269">
        <w:t xml:space="preserve">évolutions </w:t>
      </w:r>
      <w:r w:rsidR="00AD0A52" w:rsidRPr="004A3269">
        <w:rPr>
          <w:rStyle w:val="hps"/>
        </w:rPr>
        <w:t>par</w:t>
      </w:r>
      <w:r w:rsidR="00AD0A52" w:rsidRPr="004A3269">
        <w:t xml:space="preserve"> </w:t>
      </w:r>
      <w:r w:rsidR="00AD0A52" w:rsidRPr="004A3269">
        <w:rPr>
          <w:rStyle w:val="hps"/>
        </w:rPr>
        <w:t>type de dépenses</w:t>
      </w:r>
      <w:r w:rsidR="00AD0A52" w:rsidRPr="004A3269">
        <w:t xml:space="preserve"> </w:t>
      </w:r>
      <w:r w:rsidR="00AD0A52" w:rsidRPr="004A3269">
        <w:rPr>
          <w:rStyle w:val="hps"/>
        </w:rPr>
        <w:t>par rapport</w:t>
      </w:r>
      <w:r w:rsidR="00AD0A52" w:rsidRPr="004A3269">
        <w:t xml:space="preserve"> </w:t>
      </w:r>
      <w:r w:rsidR="00AD0A52" w:rsidRPr="004A3269">
        <w:rPr>
          <w:rStyle w:val="hps"/>
        </w:rPr>
        <w:t>à l</w:t>
      </w:r>
      <w:r w:rsidR="009021AA" w:rsidRPr="004A3269">
        <w:rPr>
          <w:rStyle w:val="hps"/>
        </w:rPr>
        <w:t>’</w:t>
      </w:r>
      <w:r w:rsidR="00AD0A52" w:rsidRPr="004A3269">
        <w:rPr>
          <w:rStyle w:val="hps"/>
        </w:rPr>
        <w:t>exercice précédent</w:t>
      </w:r>
      <w:r w:rsidR="00877E99" w:rsidRPr="004A3269">
        <w:rPr>
          <w:rFonts w:eastAsia="SimSun"/>
          <w:lang w:eastAsia="zh-CN"/>
        </w:rPr>
        <w:t>.</w:t>
      </w:r>
    </w:p>
    <w:p w:rsidR="00267140" w:rsidRPr="004A3269" w:rsidRDefault="002F78E8" w:rsidP="002F78E8">
      <w:pPr>
        <w:pStyle w:val="ONUME"/>
        <w:numPr>
          <w:ilvl w:val="0"/>
          <w:numId w:val="0"/>
        </w:numPr>
        <w:jc w:val="center"/>
        <w:rPr>
          <w:u w:val="single"/>
        </w:rPr>
      </w:pPr>
      <w:r w:rsidRPr="004A3269">
        <w:rPr>
          <w:u w:val="single"/>
        </w:rPr>
        <w:t>Évolution des dépenses entre 2013 et 2014</w:t>
      </w:r>
    </w:p>
    <w:p w:rsidR="00C0776D" w:rsidRPr="004A3269" w:rsidRDefault="00C0776D" w:rsidP="004372FF">
      <w:pPr>
        <w:spacing w:after="220"/>
        <w:jc w:val="center"/>
        <w:rPr>
          <w:rFonts w:eastAsia="SimSun"/>
          <w:szCs w:val="22"/>
          <w:lang w:eastAsia="zh-CN"/>
        </w:rPr>
      </w:pPr>
      <w:r w:rsidRPr="004A3269">
        <w:rPr>
          <w:rFonts w:eastAsia="SimSun"/>
          <w:noProof/>
          <w:lang w:val="en-US"/>
        </w:rPr>
        <w:drawing>
          <wp:inline distT="0" distB="0" distL="0" distR="0" wp14:anchorId="1C773CD9" wp14:editId="256606A2">
            <wp:extent cx="5969635" cy="238887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69635" cy="2388870"/>
                    </a:xfrm>
                    <a:prstGeom prst="rect">
                      <a:avLst/>
                    </a:prstGeom>
                    <a:noFill/>
                    <a:ln>
                      <a:noFill/>
                    </a:ln>
                  </pic:spPr>
                </pic:pic>
              </a:graphicData>
            </a:graphic>
          </wp:inline>
        </w:drawing>
      </w:r>
    </w:p>
    <w:p w:rsidR="00C0776D" w:rsidRPr="004A3269" w:rsidRDefault="00C0776D" w:rsidP="00C0776D">
      <w:pPr>
        <w:rPr>
          <w:rFonts w:eastAsia="SimSun"/>
        </w:rPr>
      </w:pPr>
    </w:p>
    <w:p w:rsidR="00267140" w:rsidRPr="004A3269" w:rsidRDefault="00B9121D" w:rsidP="00C52155">
      <w:pPr>
        <w:pStyle w:val="ONUMFS"/>
        <w:rPr>
          <w:rFonts w:eastAsia="SimSun"/>
          <w:szCs w:val="22"/>
          <w:lang w:eastAsia="zh-CN"/>
        </w:rPr>
      </w:pPr>
      <w:r w:rsidRPr="004A3269">
        <w:t xml:space="preserve">Les dépenses de personnel comprennent </w:t>
      </w:r>
      <w:r w:rsidR="008258CA" w:rsidRPr="004A3269">
        <w:t xml:space="preserve">essentiellement </w:t>
      </w:r>
      <w:r w:rsidRPr="004A3269">
        <w:t xml:space="preserve">les </w:t>
      </w:r>
      <w:r w:rsidR="008258CA" w:rsidRPr="004A3269">
        <w:t xml:space="preserve">traitements de base nets et les ajustements de poste pour </w:t>
      </w:r>
      <w:r w:rsidR="00EB01C6" w:rsidRPr="004A3269">
        <w:t>les fonctionnaires</w:t>
      </w:r>
      <w:r w:rsidR="008258CA" w:rsidRPr="004A3269">
        <w:t xml:space="preserve"> en poste ou les</w:t>
      </w:r>
      <w:r w:rsidR="00613CE0" w:rsidRPr="004A3269">
        <w:t xml:space="preserve"> postes</w:t>
      </w:r>
      <w:r w:rsidR="008258CA" w:rsidRPr="004A3269">
        <w:t xml:space="preserve"> </w:t>
      </w:r>
      <w:r w:rsidR="00613CE0" w:rsidRPr="004A3269">
        <w:t>temporaires</w:t>
      </w:r>
      <w:r w:rsidRPr="004A3269">
        <w:t xml:space="preserve">. </w:t>
      </w:r>
      <w:r w:rsidR="008258CA" w:rsidRPr="004A3269">
        <w:t xml:space="preserve"> Ces dépenses</w:t>
      </w:r>
      <w:r w:rsidRPr="004A3269">
        <w:t xml:space="preserve"> représentent 145,3 millions de francs suisses, </w:t>
      </w:r>
      <w:r w:rsidR="008258CA" w:rsidRPr="004A3269">
        <w:t>soit </w:t>
      </w:r>
      <w:r w:rsidRPr="004A3269">
        <w:t xml:space="preserve">67,2% </w:t>
      </w:r>
      <w:r w:rsidR="008258CA" w:rsidRPr="004A3269">
        <w:t>du montant total des</w:t>
      </w:r>
      <w:r w:rsidRPr="004A3269">
        <w:t xml:space="preserve"> dépenses de personnel pour 2014.  </w:t>
      </w:r>
      <w:r w:rsidR="008258CA" w:rsidRPr="004A3269">
        <w:t>L</w:t>
      </w:r>
      <w:r w:rsidR="009021AA" w:rsidRPr="004A3269">
        <w:t>’</w:t>
      </w:r>
      <w:r w:rsidR="008258CA" w:rsidRPr="004A3269">
        <w:t>autre poste principal de</w:t>
      </w:r>
      <w:r w:rsidRPr="004A3269">
        <w:t xml:space="preserve"> dépenses de personnel </w:t>
      </w:r>
      <w:r w:rsidR="008258CA" w:rsidRPr="004A3269">
        <w:t>correspond aux cotisations versées par l</w:t>
      </w:r>
      <w:r w:rsidR="009021AA" w:rsidRPr="004A3269">
        <w:t>’</w:t>
      </w:r>
      <w:r w:rsidR="008258CA" w:rsidRPr="004A3269">
        <w:t xml:space="preserve">OMPI à la Caisse commune des pensions du </w:t>
      </w:r>
      <w:r w:rsidR="008258CA" w:rsidRPr="004A3269">
        <w:lastRenderedPageBreak/>
        <w:t xml:space="preserve">personnel des </w:t>
      </w:r>
      <w:r w:rsidR="009021AA" w:rsidRPr="004A3269">
        <w:t>Nations Unies</w:t>
      </w:r>
      <w:r w:rsidRPr="004A3269">
        <w:t xml:space="preserve">, qui </w:t>
      </w:r>
      <w:r w:rsidR="008258CA" w:rsidRPr="004A3269">
        <w:t>s</w:t>
      </w:r>
      <w:r w:rsidR="009021AA" w:rsidRPr="004A3269">
        <w:t>’</w:t>
      </w:r>
      <w:r w:rsidR="008258CA" w:rsidRPr="004A3269">
        <w:t>élèvent à</w:t>
      </w:r>
      <w:r w:rsidRPr="004A3269">
        <w:t xml:space="preserve"> 26,</w:t>
      </w:r>
      <w:r w:rsidR="008258CA" w:rsidRPr="004A3269">
        <w:t>0 </w:t>
      </w:r>
      <w:r w:rsidRPr="004A3269">
        <w:t xml:space="preserve">millions de francs suisses en 2014. </w:t>
      </w:r>
      <w:r w:rsidR="008258CA" w:rsidRPr="004A3269">
        <w:t xml:space="preserve"> L</w:t>
      </w:r>
      <w:r w:rsidRPr="004A3269">
        <w:t>a cotisation obligatoire de l</w:t>
      </w:r>
      <w:r w:rsidR="009021AA" w:rsidRPr="004A3269">
        <w:t>’</w:t>
      </w:r>
      <w:r w:rsidRPr="004A3269">
        <w:t xml:space="preserve">OMPI </w:t>
      </w:r>
      <w:r w:rsidR="008258CA" w:rsidRPr="004A3269">
        <w:t>à cette caisse représente actuellement </w:t>
      </w:r>
      <w:r w:rsidRPr="004A3269">
        <w:t xml:space="preserve">15,8% de la rémunération </w:t>
      </w:r>
      <w:r w:rsidR="000F559D" w:rsidRPr="004A3269">
        <w:t>considérée aux fins de la pension</w:t>
      </w:r>
      <w:r w:rsidRPr="004A3269">
        <w:t xml:space="preserve"> d</w:t>
      </w:r>
      <w:r w:rsidR="009021AA" w:rsidRPr="004A3269">
        <w:t>’</w:t>
      </w:r>
      <w:r w:rsidRPr="004A3269">
        <w:t xml:space="preserve">un </w:t>
      </w:r>
      <w:r w:rsidR="000F559D" w:rsidRPr="004A3269">
        <w:t>fonctionnaire</w:t>
      </w:r>
      <w:r w:rsidRPr="004A3269">
        <w:t>.</w:t>
      </w:r>
      <w:r w:rsidR="009A1BC5" w:rsidRPr="004A3269">
        <w:t xml:space="preserve"> </w:t>
      </w:r>
      <w:r w:rsidRPr="004A3269">
        <w:t xml:space="preserve"> </w:t>
      </w:r>
      <w:r w:rsidR="009A1BC5" w:rsidRPr="004A3269">
        <w:t>Les i</w:t>
      </w:r>
      <w:r w:rsidRPr="004A3269">
        <w:t>ndemnités de 16,3 millions de francs suisses représentent 7,5% des dépenses totales de personnel.</w:t>
      </w:r>
      <w:r w:rsidR="009A1BC5" w:rsidRPr="004A3269">
        <w:t xml:space="preserve"> </w:t>
      </w:r>
      <w:r w:rsidRPr="004A3269">
        <w:t xml:space="preserve"> </w:t>
      </w:r>
      <w:r w:rsidR="009A1BC5" w:rsidRPr="004A3269">
        <w:t>Les i</w:t>
      </w:r>
      <w:r w:rsidRPr="004A3269">
        <w:t xml:space="preserve">ndemnités comprennent principalement les </w:t>
      </w:r>
      <w:r w:rsidR="000F559D" w:rsidRPr="004A3269">
        <w:t>indemnités pour</w:t>
      </w:r>
      <w:r w:rsidR="00EB01C6" w:rsidRPr="004A3269">
        <w:t xml:space="preserve"> personnes à charge</w:t>
      </w:r>
      <w:r w:rsidRPr="004A3269">
        <w:t xml:space="preserve"> </w:t>
      </w:r>
      <w:r w:rsidR="000F559D" w:rsidRPr="004A3269">
        <w:t>(</w:t>
      </w:r>
      <w:r w:rsidRPr="004A3269">
        <w:t>4,8 millions de francs suisses</w:t>
      </w:r>
      <w:r w:rsidR="00EB4043" w:rsidRPr="004A3269">
        <w:t>)</w:t>
      </w:r>
      <w:r w:rsidRPr="004A3269">
        <w:t>, les bourses d</w:t>
      </w:r>
      <w:r w:rsidR="009021AA" w:rsidRPr="004A3269">
        <w:t>’</w:t>
      </w:r>
      <w:r w:rsidRPr="004A3269">
        <w:t xml:space="preserve">études </w:t>
      </w:r>
      <w:r w:rsidR="009A1BC5" w:rsidRPr="004A3269">
        <w:t>(</w:t>
      </w:r>
      <w:r w:rsidRPr="004A3269">
        <w:t>5,4 millions de francs suisses</w:t>
      </w:r>
      <w:r w:rsidR="009A1BC5" w:rsidRPr="004A3269">
        <w:t>)</w:t>
      </w:r>
      <w:r w:rsidRPr="004A3269">
        <w:t xml:space="preserve"> et le</w:t>
      </w:r>
      <w:r w:rsidR="00EB4043" w:rsidRPr="004A3269">
        <w:t>s</w:t>
      </w:r>
      <w:r w:rsidRPr="004A3269">
        <w:t xml:space="preserve"> congé</w:t>
      </w:r>
      <w:r w:rsidR="00EB4043" w:rsidRPr="004A3269">
        <w:t>s dans les foyers</w:t>
      </w:r>
      <w:r w:rsidRPr="004A3269">
        <w:t xml:space="preserve"> </w:t>
      </w:r>
      <w:r w:rsidR="009A1BC5" w:rsidRPr="004A3269">
        <w:t>(</w:t>
      </w:r>
      <w:r w:rsidRPr="004A3269">
        <w:t>3,0 millions de francs suisses</w:t>
      </w:r>
      <w:r w:rsidR="009A1BC5" w:rsidRPr="004A3269">
        <w:t>)</w:t>
      </w:r>
      <w:r w:rsidRPr="004A3269">
        <w:t xml:space="preserve">. </w:t>
      </w:r>
      <w:r w:rsidR="009A1BC5" w:rsidRPr="004A3269">
        <w:t xml:space="preserve"> </w:t>
      </w:r>
      <w:r w:rsidRPr="004A3269">
        <w:t xml:space="preserve">Le coût de la </w:t>
      </w:r>
      <w:r w:rsidR="00990837" w:rsidRPr="004A3269">
        <w:t>cotisation de l</w:t>
      </w:r>
      <w:r w:rsidR="009021AA" w:rsidRPr="004A3269">
        <w:t>’</w:t>
      </w:r>
      <w:r w:rsidR="00990837" w:rsidRPr="004A3269">
        <w:t>Organisation aux</w:t>
      </w:r>
      <w:r w:rsidR="00EB4043" w:rsidRPr="004A3269">
        <w:t xml:space="preserve"> </w:t>
      </w:r>
      <w:r w:rsidRPr="004A3269">
        <w:t xml:space="preserve">primes </w:t>
      </w:r>
      <w:r w:rsidR="00EB4043" w:rsidRPr="004A3269">
        <w:t>d</w:t>
      </w:r>
      <w:r w:rsidR="009021AA" w:rsidRPr="004A3269">
        <w:t>’</w:t>
      </w:r>
      <w:r w:rsidR="00EB4043" w:rsidRPr="004A3269">
        <w:t>assurance</w:t>
      </w:r>
      <w:r w:rsidR="00A17552" w:rsidRPr="004A3269">
        <w:noBreakHyphen/>
      </w:r>
      <w:r w:rsidR="00EB4043" w:rsidRPr="004A3269">
        <w:t xml:space="preserve">maladie </w:t>
      </w:r>
      <w:r w:rsidRPr="004A3269">
        <w:t xml:space="preserve">mensuelles pour </w:t>
      </w:r>
      <w:r w:rsidR="00EB4043" w:rsidRPr="004A3269">
        <w:t>les fonctionnaires en poste s</w:t>
      </w:r>
      <w:r w:rsidR="009021AA" w:rsidRPr="004A3269">
        <w:t>’</w:t>
      </w:r>
      <w:r w:rsidR="00EB4043" w:rsidRPr="004A3269">
        <w:t>élevait à</w:t>
      </w:r>
      <w:r w:rsidRPr="004A3269">
        <w:t xml:space="preserve"> 10,0 millions de francs suisses </w:t>
      </w:r>
      <w:r w:rsidR="00EB4043" w:rsidRPr="004A3269">
        <w:t>en </w:t>
      </w:r>
      <w:r w:rsidRPr="004A3269">
        <w:t xml:space="preserve">2014. </w:t>
      </w:r>
      <w:r w:rsidR="00990837" w:rsidRPr="004A3269">
        <w:t xml:space="preserve"> Les </w:t>
      </w:r>
      <w:r w:rsidRPr="004A3269">
        <w:t xml:space="preserve">autres dépenses </w:t>
      </w:r>
      <w:r w:rsidR="00990837" w:rsidRPr="004A3269">
        <w:t>de</w:t>
      </w:r>
      <w:r w:rsidRPr="004A3269">
        <w:t xml:space="preserve"> personnel </w:t>
      </w:r>
      <w:r w:rsidR="00990837" w:rsidRPr="004A3269">
        <w:t>(</w:t>
      </w:r>
      <w:r w:rsidRPr="004A3269">
        <w:t>5,1 </w:t>
      </w:r>
      <w:r w:rsidR="00990837" w:rsidRPr="004A3269">
        <w:t xml:space="preserve">millions de francs suisses) </w:t>
      </w:r>
      <w:r w:rsidRPr="004A3269">
        <w:t>comprennent</w:t>
      </w:r>
      <w:r w:rsidR="00990837" w:rsidRPr="004A3269">
        <w:t xml:space="preserve"> l</w:t>
      </w:r>
      <w:r w:rsidRPr="004A3269">
        <w:t xml:space="preserve">es </w:t>
      </w:r>
      <w:r w:rsidR="000F559D" w:rsidRPr="004A3269">
        <w:t>contributions</w:t>
      </w:r>
      <w:r w:rsidRPr="004A3269">
        <w:t xml:space="preserve"> </w:t>
      </w:r>
      <w:r w:rsidR="00990837" w:rsidRPr="004A3269">
        <w:t xml:space="preserve">à </w:t>
      </w:r>
      <w:r w:rsidRPr="004A3269">
        <w:t>d</w:t>
      </w:r>
      <w:r w:rsidR="009021AA" w:rsidRPr="004A3269">
        <w:t>’</w:t>
      </w:r>
      <w:r w:rsidRPr="004A3269">
        <w:t xml:space="preserve">autres </w:t>
      </w:r>
      <w:r w:rsidR="00990837" w:rsidRPr="004A3269">
        <w:t>assurances</w:t>
      </w:r>
      <w:r w:rsidRPr="004A3269">
        <w:t xml:space="preserve"> et </w:t>
      </w:r>
      <w:r w:rsidR="00990837" w:rsidRPr="004A3269">
        <w:t xml:space="preserve">les accords de cessation </w:t>
      </w:r>
      <w:r w:rsidR="00E1450E" w:rsidRPr="004A3269">
        <w:t>de travail</w:t>
      </w:r>
      <w:r w:rsidR="00A53C81" w:rsidRPr="004A3269">
        <w:rPr>
          <w:rFonts w:eastAsia="SimSun"/>
          <w:szCs w:val="22"/>
          <w:lang w:eastAsia="zh-CN"/>
        </w:rPr>
        <w:t>.</w:t>
      </w:r>
    </w:p>
    <w:p w:rsidR="00267140" w:rsidRPr="004A3269" w:rsidRDefault="002F78E8" w:rsidP="002F78E8">
      <w:pPr>
        <w:pStyle w:val="ONUME"/>
        <w:numPr>
          <w:ilvl w:val="0"/>
          <w:numId w:val="0"/>
        </w:numPr>
        <w:spacing w:after="0"/>
        <w:jc w:val="center"/>
        <w:rPr>
          <w:u w:val="single"/>
        </w:rPr>
      </w:pPr>
      <w:r w:rsidRPr="004A3269">
        <w:rPr>
          <w:u w:val="single"/>
        </w:rPr>
        <w:t>Composition des dépenses de personnel en</w:t>
      </w:r>
      <w:r w:rsidR="00067463" w:rsidRPr="004A3269">
        <w:rPr>
          <w:u w:val="single"/>
        </w:rPr>
        <w:t> </w:t>
      </w:r>
      <w:r w:rsidRPr="004A3269">
        <w:rPr>
          <w:u w:val="single"/>
        </w:rPr>
        <w:t>2014 sur la base des normes</w:t>
      </w:r>
      <w:r w:rsidR="00067463" w:rsidRPr="004A3269">
        <w:rPr>
          <w:u w:val="single"/>
        </w:rPr>
        <w:t> </w:t>
      </w:r>
      <w:r w:rsidRPr="004A3269">
        <w:rPr>
          <w:u w:val="single"/>
        </w:rPr>
        <w:t>IPSAS</w:t>
      </w:r>
    </w:p>
    <w:p w:rsidR="00267140" w:rsidRPr="004A3269" w:rsidRDefault="002F78E8" w:rsidP="002F78E8">
      <w:pPr>
        <w:pStyle w:val="ONUME"/>
        <w:numPr>
          <w:ilvl w:val="0"/>
          <w:numId w:val="0"/>
        </w:numPr>
        <w:spacing w:after="0"/>
        <w:jc w:val="center"/>
        <w:rPr>
          <w:i/>
        </w:rPr>
      </w:pPr>
      <w:r w:rsidRPr="004A3269">
        <w:rPr>
          <w:i/>
        </w:rPr>
        <w:t>(</w:t>
      </w:r>
      <w:proofErr w:type="gramStart"/>
      <w:r w:rsidRPr="004A3269">
        <w:rPr>
          <w:i/>
        </w:rPr>
        <w:t>en</w:t>
      </w:r>
      <w:proofErr w:type="gramEnd"/>
      <w:r w:rsidRPr="004A3269">
        <w:rPr>
          <w:i/>
        </w:rPr>
        <w:t xml:space="preserve"> millions de francs suisses)</w:t>
      </w:r>
    </w:p>
    <w:p w:rsidR="00C0776D" w:rsidRPr="004A3269" w:rsidRDefault="00C0776D" w:rsidP="001965DD">
      <w:pPr>
        <w:jc w:val="center"/>
        <w:rPr>
          <w:rFonts w:eastAsia="SimSun"/>
          <w:szCs w:val="22"/>
          <w:lang w:eastAsia="zh-CN"/>
        </w:rPr>
      </w:pPr>
      <w:r w:rsidRPr="004A3269">
        <w:rPr>
          <w:rFonts w:eastAsia="SimSun"/>
          <w:noProof/>
          <w:lang w:val="en-US"/>
        </w:rPr>
        <w:drawing>
          <wp:inline distT="0" distB="0" distL="0" distR="0" wp14:anchorId="0C7C844A" wp14:editId="1FEBCFD2">
            <wp:extent cx="4417695" cy="3290570"/>
            <wp:effectExtent l="0" t="0" r="1905" b="508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17695" cy="3290570"/>
                    </a:xfrm>
                    <a:prstGeom prst="rect">
                      <a:avLst/>
                    </a:prstGeom>
                    <a:noFill/>
                    <a:ln>
                      <a:noFill/>
                    </a:ln>
                  </pic:spPr>
                </pic:pic>
              </a:graphicData>
            </a:graphic>
          </wp:inline>
        </w:drawing>
      </w:r>
    </w:p>
    <w:p w:rsidR="009021AA" w:rsidRPr="004A3269" w:rsidRDefault="0055782F" w:rsidP="00C52155">
      <w:pPr>
        <w:pStyle w:val="ONUMFS"/>
        <w:rPr>
          <w:rFonts w:eastAsia="SimSun"/>
          <w:szCs w:val="22"/>
          <w:lang w:eastAsia="zh-CN"/>
        </w:rPr>
      </w:pPr>
      <w:r w:rsidRPr="004A3269">
        <w:rPr>
          <w:rStyle w:val="hps"/>
        </w:rPr>
        <w:t>Les prestations e</w:t>
      </w:r>
      <w:r w:rsidR="00FC544A" w:rsidRPr="004A3269">
        <w:rPr>
          <w:rStyle w:val="hps"/>
        </w:rPr>
        <w:t xml:space="preserve">n matière </w:t>
      </w:r>
      <w:r w:rsidR="00FC544A" w:rsidRPr="004A3269">
        <w:t>d</w:t>
      </w:r>
      <w:r w:rsidR="009021AA" w:rsidRPr="004A3269">
        <w:t>’</w:t>
      </w:r>
      <w:r w:rsidR="00FC544A" w:rsidRPr="004A3269">
        <w:t>assurance</w:t>
      </w:r>
      <w:r w:rsidR="00A17552" w:rsidRPr="004A3269">
        <w:noBreakHyphen/>
      </w:r>
      <w:r w:rsidR="00FC544A" w:rsidRPr="004A3269">
        <w:t xml:space="preserve">maladie après </w:t>
      </w:r>
      <w:r w:rsidR="00E1450E" w:rsidRPr="004A3269">
        <w:t xml:space="preserve">la </w:t>
      </w:r>
      <w:r w:rsidR="00FC544A" w:rsidRPr="004A3269">
        <w:t>cessation de service (</w:t>
      </w:r>
      <w:r w:rsidR="00FC544A" w:rsidRPr="004A3269">
        <w:rPr>
          <w:rStyle w:val="hps"/>
        </w:rPr>
        <w:t>13,7 millions de francs</w:t>
      </w:r>
      <w:r w:rsidR="00FC544A" w:rsidRPr="004A3269">
        <w:t xml:space="preserve"> </w:t>
      </w:r>
      <w:r w:rsidR="00FC544A" w:rsidRPr="004A3269">
        <w:rPr>
          <w:rStyle w:val="hps"/>
        </w:rPr>
        <w:t>suisses</w:t>
      </w:r>
      <w:r w:rsidR="00FC544A" w:rsidRPr="004A3269">
        <w:t xml:space="preserve">) </w:t>
      </w:r>
      <w:r w:rsidR="00FC544A" w:rsidRPr="004A3269">
        <w:rPr>
          <w:rStyle w:val="hps"/>
        </w:rPr>
        <w:t>représentent</w:t>
      </w:r>
      <w:r w:rsidR="00FC544A" w:rsidRPr="004A3269">
        <w:t xml:space="preserve"> </w:t>
      </w:r>
      <w:r w:rsidR="00FC544A" w:rsidRPr="004A3269">
        <w:rPr>
          <w:rStyle w:val="hps"/>
        </w:rPr>
        <w:t>le coût de l</w:t>
      </w:r>
      <w:r w:rsidR="009021AA" w:rsidRPr="004A3269">
        <w:rPr>
          <w:rStyle w:val="hps"/>
        </w:rPr>
        <w:t>’</w:t>
      </w:r>
      <w:r w:rsidR="00FC544A" w:rsidRPr="004A3269">
        <w:t>assurance</w:t>
      </w:r>
      <w:r w:rsidR="005705AD">
        <w:t xml:space="preserve"> </w:t>
      </w:r>
      <w:r w:rsidR="00FC544A" w:rsidRPr="004A3269">
        <w:t xml:space="preserve">maladie </w:t>
      </w:r>
      <w:r w:rsidR="00E1450E" w:rsidRPr="004A3269">
        <w:rPr>
          <w:rStyle w:val="hps"/>
        </w:rPr>
        <w:t>pour</w:t>
      </w:r>
      <w:r w:rsidR="00E1450E" w:rsidRPr="004A3269">
        <w:t xml:space="preserve"> </w:t>
      </w:r>
      <w:r w:rsidR="00E1450E" w:rsidRPr="004A3269">
        <w:rPr>
          <w:rStyle w:val="hps"/>
        </w:rPr>
        <w:t>l</w:t>
      </w:r>
      <w:r w:rsidR="009021AA" w:rsidRPr="004A3269">
        <w:rPr>
          <w:rStyle w:val="hps"/>
        </w:rPr>
        <w:t>’</w:t>
      </w:r>
      <w:r w:rsidR="00E1450E" w:rsidRPr="004A3269">
        <w:rPr>
          <w:rStyle w:val="hps"/>
        </w:rPr>
        <w:t xml:space="preserve">Organisation </w:t>
      </w:r>
      <w:r w:rsidR="00E1450E" w:rsidRPr="004A3269">
        <w:t xml:space="preserve">après la cessation de service </w:t>
      </w:r>
      <w:r w:rsidR="00FC544A" w:rsidRPr="004A3269">
        <w:rPr>
          <w:rStyle w:val="hps"/>
        </w:rPr>
        <w:t>(</w:t>
      </w:r>
      <w:r w:rsidR="00FC544A" w:rsidRPr="004A3269">
        <w:t xml:space="preserve">AMCS), </w:t>
      </w:r>
      <w:r w:rsidR="00FC544A" w:rsidRPr="004A3269">
        <w:rPr>
          <w:rStyle w:val="hps"/>
        </w:rPr>
        <w:t>des primes</w:t>
      </w:r>
      <w:r w:rsidR="00FC544A" w:rsidRPr="004A3269">
        <w:t xml:space="preserve"> de </w:t>
      </w:r>
      <w:r w:rsidR="00FC544A" w:rsidRPr="004A3269">
        <w:rPr>
          <w:rStyle w:val="hps"/>
        </w:rPr>
        <w:t>rapatriement</w:t>
      </w:r>
      <w:r w:rsidR="00FC544A" w:rsidRPr="004A3269">
        <w:t xml:space="preserve"> </w:t>
      </w:r>
      <w:r w:rsidR="00FC544A" w:rsidRPr="004A3269">
        <w:rPr>
          <w:rStyle w:val="hps"/>
        </w:rPr>
        <w:t>et</w:t>
      </w:r>
      <w:r w:rsidR="00FC544A" w:rsidRPr="004A3269">
        <w:t xml:space="preserve"> voyage ainsi que des </w:t>
      </w:r>
      <w:r w:rsidR="00FC544A" w:rsidRPr="004A3269">
        <w:rPr>
          <w:rStyle w:val="hps"/>
        </w:rPr>
        <w:t>congés cumulés</w:t>
      </w:r>
      <w:r w:rsidR="00FC544A" w:rsidRPr="004A3269">
        <w:t xml:space="preserve">.  </w:t>
      </w:r>
      <w:r w:rsidR="00FC544A" w:rsidRPr="004A3269">
        <w:rPr>
          <w:rStyle w:val="hps"/>
        </w:rPr>
        <w:t>Les dépense</w:t>
      </w:r>
      <w:r w:rsidR="00FC544A" w:rsidRPr="004A3269">
        <w:t>s </w:t>
      </w:r>
      <w:r w:rsidR="00FC544A" w:rsidRPr="004A3269">
        <w:rPr>
          <w:rStyle w:val="hps"/>
        </w:rPr>
        <w:t>2014</w:t>
      </w:r>
      <w:r w:rsidR="00FC544A" w:rsidRPr="004A3269">
        <w:t xml:space="preserve"> sont équivalentes </w:t>
      </w:r>
      <w:r w:rsidR="00FC544A" w:rsidRPr="004A3269">
        <w:rPr>
          <w:rStyle w:val="hps"/>
        </w:rPr>
        <w:t>aux</w:t>
      </w:r>
      <w:r w:rsidR="00FC544A" w:rsidRPr="004A3269">
        <w:t xml:space="preserve"> </w:t>
      </w:r>
      <w:r w:rsidR="00FC544A" w:rsidRPr="004A3269">
        <w:rPr>
          <w:rStyle w:val="hps"/>
        </w:rPr>
        <w:t>paiements en espèces</w:t>
      </w:r>
      <w:r w:rsidR="00FC544A" w:rsidRPr="004A3269">
        <w:t xml:space="preserve"> </w:t>
      </w:r>
      <w:r w:rsidR="00FC544A" w:rsidRPr="004A3269">
        <w:rPr>
          <w:rStyle w:val="hps"/>
        </w:rPr>
        <w:t>réels</w:t>
      </w:r>
      <w:r w:rsidR="00FC544A" w:rsidRPr="004A3269">
        <w:t xml:space="preserve"> </w:t>
      </w:r>
      <w:r w:rsidR="00FC544A" w:rsidRPr="004A3269">
        <w:rPr>
          <w:rStyle w:val="hps"/>
        </w:rPr>
        <w:t>de ces prestations</w:t>
      </w:r>
      <w:r w:rsidR="00FC544A" w:rsidRPr="004A3269">
        <w:t>, ainsi qu</w:t>
      </w:r>
      <w:r w:rsidR="009021AA" w:rsidRPr="004A3269">
        <w:t>’</w:t>
      </w:r>
      <w:r w:rsidR="00FC544A" w:rsidRPr="004A3269">
        <w:t>au</w:t>
      </w:r>
      <w:r w:rsidR="00FC544A" w:rsidRPr="004A3269">
        <w:rPr>
          <w:rStyle w:val="hps"/>
        </w:rPr>
        <w:t xml:space="preserve"> mouvement</w:t>
      </w:r>
      <w:r w:rsidR="00FC544A" w:rsidRPr="004A3269">
        <w:t xml:space="preserve"> </w:t>
      </w:r>
      <w:r w:rsidR="002653D1" w:rsidRPr="004A3269">
        <w:rPr>
          <w:rStyle w:val="hps"/>
        </w:rPr>
        <w:t xml:space="preserve">du </w:t>
      </w:r>
      <w:r w:rsidR="00FC544A" w:rsidRPr="004A3269">
        <w:rPr>
          <w:rStyle w:val="hps"/>
        </w:rPr>
        <w:t>montant de la dette</w:t>
      </w:r>
      <w:r w:rsidR="00FC544A" w:rsidRPr="004A3269">
        <w:t xml:space="preserve"> </w:t>
      </w:r>
      <w:r w:rsidR="00FC544A" w:rsidRPr="004A3269">
        <w:rPr>
          <w:rStyle w:val="hps"/>
        </w:rPr>
        <w:t>totale</w:t>
      </w:r>
      <w:r w:rsidR="00FC544A" w:rsidRPr="004A3269">
        <w:t xml:space="preserve"> </w:t>
      </w:r>
      <w:r w:rsidR="00FC544A" w:rsidRPr="004A3269">
        <w:rPr>
          <w:rStyle w:val="hps"/>
        </w:rPr>
        <w:t>par rapport au 31</w:t>
      </w:r>
      <w:r w:rsidR="00FC544A" w:rsidRPr="004A3269">
        <w:t> d</w:t>
      </w:r>
      <w:r w:rsidR="00FC544A" w:rsidRPr="004A3269">
        <w:rPr>
          <w:rStyle w:val="hps"/>
        </w:rPr>
        <w:t>écembre</w:t>
      </w:r>
      <w:r w:rsidR="00FC544A" w:rsidRPr="004A3269">
        <w:t> </w:t>
      </w:r>
      <w:r w:rsidR="00FC544A" w:rsidRPr="004A3269">
        <w:rPr>
          <w:rStyle w:val="hps"/>
        </w:rPr>
        <w:t>2013</w:t>
      </w:r>
      <w:r w:rsidR="00F4205F" w:rsidRPr="004A3269">
        <w:rPr>
          <w:rFonts w:eastAsia="SimSun"/>
          <w:szCs w:val="22"/>
          <w:lang w:eastAsia="zh-CN"/>
        </w:rPr>
        <w:t>.</w:t>
      </w:r>
    </w:p>
    <w:p w:rsidR="00267140" w:rsidRPr="004A3269" w:rsidRDefault="0055782F" w:rsidP="000A1F0C">
      <w:pPr>
        <w:spacing w:after="220"/>
        <w:jc w:val="center"/>
        <w:rPr>
          <w:rFonts w:eastAsia="SimSun"/>
          <w:szCs w:val="22"/>
          <w:lang w:eastAsia="zh-CN"/>
        </w:rPr>
      </w:pPr>
      <w:r w:rsidRPr="004A3269">
        <w:rPr>
          <w:rFonts w:eastAsia="SimSun"/>
          <w:szCs w:val="22"/>
          <w:u w:val="single"/>
          <w:lang w:eastAsia="zh-CN"/>
        </w:rPr>
        <w:t>P</w:t>
      </w:r>
      <w:r w:rsidR="00427DEA" w:rsidRPr="004A3269">
        <w:rPr>
          <w:rFonts w:eastAsia="SimSun"/>
          <w:szCs w:val="22"/>
          <w:u w:val="single"/>
          <w:lang w:eastAsia="zh-CN"/>
        </w:rPr>
        <w:t xml:space="preserve">restations versées </w:t>
      </w:r>
      <w:r w:rsidR="00E1450E" w:rsidRPr="004A3269">
        <w:rPr>
          <w:rFonts w:eastAsia="SimSun"/>
          <w:szCs w:val="22"/>
          <w:u w:val="single"/>
          <w:lang w:eastAsia="zh-CN"/>
        </w:rPr>
        <w:t xml:space="preserve">pour la cessation de service </w:t>
      </w:r>
      <w:r w:rsidR="00B84C1E" w:rsidRPr="004A3269">
        <w:rPr>
          <w:rFonts w:eastAsia="SimSun"/>
          <w:szCs w:val="22"/>
          <w:u w:val="single"/>
          <w:lang w:eastAsia="zh-CN"/>
        </w:rPr>
        <w:t>2014</w:t>
      </w:r>
    </w:p>
    <w:p w:rsidR="00B73346" w:rsidRDefault="005705AD" w:rsidP="00C0776D">
      <w:pPr>
        <w:rPr>
          <w:rFonts w:eastAsia="SimSun"/>
        </w:rPr>
      </w:pPr>
      <w:r w:rsidRPr="005705AD">
        <w:rPr>
          <w:rFonts w:eastAsia="SimSun"/>
          <w:noProof/>
          <w:lang w:val="en-US"/>
        </w:rPr>
        <w:drawing>
          <wp:inline distT="0" distB="0" distL="0" distR="0" wp14:anchorId="754CB5C1" wp14:editId="1AE59E1C">
            <wp:extent cx="5977255" cy="1720631"/>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7255" cy="1720631"/>
                    </a:xfrm>
                    <a:prstGeom prst="rect">
                      <a:avLst/>
                    </a:prstGeom>
                    <a:noFill/>
                    <a:ln>
                      <a:noFill/>
                    </a:ln>
                  </pic:spPr>
                </pic:pic>
              </a:graphicData>
            </a:graphic>
          </wp:inline>
        </w:drawing>
      </w:r>
    </w:p>
    <w:p w:rsidR="005705AD" w:rsidRDefault="005705AD" w:rsidP="00C0776D">
      <w:pPr>
        <w:rPr>
          <w:rFonts w:eastAsia="SimSun"/>
        </w:rPr>
      </w:pPr>
    </w:p>
    <w:p w:rsidR="005705AD" w:rsidRPr="004A3269" w:rsidRDefault="005705AD" w:rsidP="00C0776D">
      <w:pPr>
        <w:rPr>
          <w:rFonts w:eastAsia="SimSun"/>
        </w:rPr>
      </w:pPr>
    </w:p>
    <w:p w:rsidR="00267140" w:rsidRPr="004A3269" w:rsidRDefault="00FC544A" w:rsidP="00C52155">
      <w:pPr>
        <w:pStyle w:val="ONUMFS"/>
        <w:rPr>
          <w:rFonts w:eastAsia="SimSun"/>
          <w:szCs w:val="22"/>
          <w:lang w:eastAsia="zh-CN"/>
        </w:rPr>
      </w:pPr>
      <w:r w:rsidRPr="004A3269">
        <w:rPr>
          <w:rStyle w:val="hps"/>
        </w:rPr>
        <w:lastRenderedPageBreak/>
        <w:t>Le montant total des</w:t>
      </w:r>
      <w:r w:rsidRPr="004A3269">
        <w:t xml:space="preserve"> </w:t>
      </w:r>
      <w:r w:rsidRPr="004A3269">
        <w:rPr>
          <w:rStyle w:val="hps"/>
        </w:rPr>
        <w:t>dépenses</w:t>
      </w:r>
      <w:r w:rsidRPr="004A3269">
        <w:t xml:space="preserve"> </w:t>
      </w:r>
      <w:r w:rsidRPr="004A3269">
        <w:rPr>
          <w:rStyle w:val="hps"/>
        </w:rPr>
        <w:t>de personnel</w:t>
      </w:r>
      <w:r w:rsidRPr="004A3269">
        <w:t xml:space="preserve"> </w:t>
      </w:r>
      <w:r w:rsidR="00B35FB2" w:rsidRPr="004A3269">
        <w:rPr>
          <w:rStyle w:val="hps"/>
        </w:rPr>
        <w:t>(216,4 </w:t>
      </w:r>
      <w:r w:rsidRPr="004A3269">
        <w:rPr>
          <w:rStyle w:val="hps"/>
        </w:rPr>
        <w:t>millions</w:t>
      </w:r>
      <w:r w:rsidRPr="004A3269">
        <w:t xml:space="preserve"> </w:t>
      </w:r>
      <w:r w:rsidRPr="004A3269">
        <w:rPr>
          <w:rStyle w:val="hps"/>
        </w:rPr>
        <w:t>de francs suisses</w:t>
      </w:r>
      <w:r w:rsidR="00B35FB2" w:rsidRPr="004A3269">
        <w:t xml:space="preserve">) </w:t>
      </w:r>
      <w:r w:rsidRPr="004A3269">
        <w:rPr>
          <w:rStyle w:val="hps"/>
        </w:rPr>
        <w:t>a</w:t>
      </w:r>
      <w:r w:rsidRPr="004A3269">
        <w:t xml:space="preserve"> </w:t>
      </w:r>
      <w:r w:rsidRPr="004A3269">
        <w:rPr>
          <w:rStyle w:val="hps"/>
        </w:rPr>
        <w:t>augmenté de 1,1</w:t>
      </w:r>
      <w:r w:rsidR="00B35FB2" w:rsidRPr="004A3269">
        <w:t>%</w:t>
      </w:r>
      <w:r w:rsidRPr="004A3269">
        <w:rPr>
          <w:rStyle w:val="hps"/>
        </w:rPr>
        <w:t xml:space="preserve"> par rapport</w:t>
      </w:r>
      <w:r w:rsidRPr="004A3269">
        <w:t xml:space="preserve"> </w:t>
      </w:r>
      <w:r w:rsidR="00B35FB2" w:rsidRPr="004A3269">
        <w:t>à celui de 2013 (</w:t>
      </w:r>
      <w:r w:rsidRPr="004A3269">
        <w:rPr>
          <w:rStyle w:val="hps"/>
        </w:rPr>
        <w:t>214,0</w:t>
      </w:r>
      <w:r w:rsidR="00067463" w:rsidRPr="004A3269">
        <w:rPr>
          <w:rStyle w:val="hps"/>
        </w:rPr>
        <w:t> </w:t>
      </w:r>
      <w:r w:rsidRPr="004A3269">
        <w:rPr>
          <w:rStyle w:val="hps"/>
        </w:rPr>
        <w:t>millions de francs suisses</w:t>
      </w:r>
      <w:r w:rsidR="00B35FB2" w:rsidRPr="004A3269">
        <w:t>)</w:t>
      </w:r>
      <w:r w:rsidRPr="004A3269">
        <w:rPr>
          <w:rStyle w:val="hps"/>
        </w:rPr>
        <w:t xml:space="preserve">. </w:t>
      </w:r>
      <w:r w:rsidR="00B35FB2" w:rsidRPr="004A3269">
        <w:rPr>
          <w:rStyle w:val="hps"/>
        </w:rPr>
        <w:t xml:space="preserve"> </w:t>
      </w:r>
      <w:r w:rsidRPr="004A3269">
        <w:rPr>
          <w:rStyle w:val="hps"/>
        </w:rPr>
        <w:t>Le</w:t>
      </w:r>
      <w:r w:rsidRPr="004A3269">
        <w:t xml:space="preserve"> </w:t>
      </w:r>
      <w:r w:rsidRPr="004A3269">
        <w:rPr>
          <w:rStyle w:val="hps"/>
        </w:rPr>
        <w:t>tableau ci</w:t>
      </w:r>
      <w:r w:rsidR="00A17552" w:rsidRPr="004A3269">
        <w:rPr>
          <w:rStyle w:val="hps"/>
        </w:rPr>
        <w:noBreakHyphen/>
      </w:r>
      <w:r w:rsidRPr="004A3269">
        <w:rPr>
          <w:rStyle w:val="hps"/>
        </w:rPr>
        <w:t>dessous</w:t>
      </w:r>
      <w:r w:rsidRPr="004A3269">
        <w:t xml:space="preserve"> </w:t>
      </w:r>
      <w:r w:rsidRPr="004A3269">
        <w:rPr>
          <w:rStyle w:val="hps"/>
        </w:rPr>
        <w:t>fournit</w:t>
      </w:r>
      <w:r w:rsidRPr="004A3269">
        <w:t xml:space="preserve"> </w:t>
      </w:r>
      <w:r w:rsidRPr="004A3269">
        <w:rPr>
          <w:rStyle w:val="hps"/>
        </w:rPr>
        <w:t>une ventilation détaillée</w:t>
      </w:r>
      <w:r w:rsidRPr="004A3269">
        <w:t xml:space="preserve"> </w:t>
      </w:r>
      <w:r w:rsidRPr="004A3269">
        <w:rPr>
          <w:rStyle w:val="hps"/>
        </w:rPr>
        <w:t>des dépenses de personnel</w:t>
      </w:r>
      <w:r w:rsidRPr="004A3269">
        <w:t xml:space="preserve"> </w:t>
      </w:r>
      <w:r w:rsidRPr="004A3269">
        <w:rPr>
          <w:rStyle w:val="hps"/>
        </w:rPr>
        <w:t>et la variance</w:t>
      </w:r>
      <w:r w:rsidRPr="004A3269">
        <w:t xml:space="preserve"> </w:t>
      </w:r>
      <w:r w:rsidRPr="004A3269">
        <w:rPr>
          <w:rStyle w:val="hps"/>
        </w:rPr>
        <w:t>par rapport à</w:t>
      </w:r>
      <w:r w:rsidR="00B35FB2" w:rsidRPr="004A3269">
        <w:t> </w:t>
      </w:r>
      <w:r w:rsidRPr="004A3269">
        <w:rPr>
          <w:rStyle w:val="hps"/>
        </w:rPr>
        <w:t>2013</w:t>
      </w:r>
      <w:r w:rsidR="00B84C1E" w:rsidRPr="004A3269">
        <w:rPr>
          <w:rFonts w:eastAsia="SimSun"/>
          <w:szCs w:val="22"/>
          <w:lang w:eastAsia="zh-CN"/>
        </w:rPr>
        <w:t>.</w:t>
      </w:r>
    </w:p>
    <w:p w:rsidR="00267140" w:rsidRPr="004A3269" w:rsidRDefault="00E1450E" w:rsidP="005713A6">
      <w:pPr>
        <w:spacing w:after="220"/>
        <w:jc w:val="center"/>
        <w:rPr>
          <w:rFonts w:eastAsia="SimSun"/>
          <w:szCs w:val="22"/>
          <w:u w:val="single"/>
          <w:lang w:eastAsia="zh-CN"/>
        </w:rPr>
      </w:pPr>
      <w:r w:rsidRPr="004A3269">
        <w:rPr>
          <w:rFonts w:eastAsia="SimSun"/>
          <w:szCs w:val="22"/>
          <w:u w:val="single"/>
          <w:lang w:eastAsia="zh-CN"/>
        </w:rPr>
        <w:t>Liste détaillée des dépenses de personnel (</w:t>
      </w:r>
      <w:r w:rsidR="002F1990" w:rsidRPr="004A3269">
        <w:rPr>
          <w:rFonts w:eastAsia="SimSun"/>
          <w:szCs w:val="22"/>
          <w:u w:val="single"/>
          <w:lang w:eastAsia="zh-CN"/>
        </w:rPr>
        <w:t>2013</w:t>
      </w:r>
      <w:r w:rsidR="00FE7E7B">
        <w:rPr>
          <w:rFonts w:eastAsia="SimSun"/>
          <w:szCs w:val="22"/>
          <w:u w:val="single"/>
          <w:lang w:eastAsia="zh-CN"/>
        </w:rPr>
        <w:noBreakHyphen/>
      </w:r>
      <w:r w:rsidR="002F1990" w:rsidRPr="004A3269">
        <w:rPr>
          <w:rFonts w:eastAsia="SimSun"/>
          <w:szCs w:val="22"/>
          <w:u w:val="single"/>
          <w:lang w:eastAsia="zh-CN"/>
        </w:rPr>
        <w:t>2014</w:t>
      </w:r>
      <w:r w:rsidRPr="004A3269">
        <w:rPr>
          <w:rFonts w:eastAsia="SimSun"/>
          <w:szCs w:val="22"/>
          <w:u w:val="single"/>
          <w:lang w:eastAsia="zh-CN"/>
        </w:rPr>
        <w:t>)</w:t>
      </w:r>
    </w:p>
    <w:p w:rsidR="00C0776D" w:rsidRPr="004A3269" w:rsidRDefault="00C0776D" w:rsidP="00996523">
      <w:pPr>
        <w:jc w:val="center"/>
        <w:rPr>
          <w:rFonts w:eastAsia="SimSun"/>
          <w:szCs w:val="22"/>
          <w:lang w:eastAsia="zh-CN"/>
        </w:rPr>
      </w:pPr>
      <w:r w:rsidRPr="004A3269">
        <w:rPr>
          <w:rFonts w:eastAsia="SimSun"/>
          <w:noProof/>
          <w:lang w:val="en-US"/>
        </w:rPr>
        <w:drawing>
          <wp:inline distT="0" distB="0" distL="0" distR="0" wp14:anchorId="499126DE" wp14:editId="608CF4E1">
            <wp:extent cx="5977255" cy="3405112"/>
            <wp:effectExtent l="0" t="0" r="4445" b="508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7255" cy="3405112"/>
                    </a:xfrm>
                    <a:prstGeom prst="rect">
                      <a:avLst/>
                    </a:prstGeom>
                    <a:noFill/>
                    <a:ln>
                      <a:noFill/>
                    </a:ln>
                  </pic:spPr>
                </pic:pic>
              </a:graphicData>
            </a:graphic>
          </wp:inline>
        </w:drawing>
      </w:r>
    </w:p>
    <w:p w:rsidR="00C0776D" w:rsidRPr="004A3269" w:rsidRDefault="00C0776D" w:rsidP="00996523">
      <w:pPr>
        <w:jc w:val="center"/>
        <w:rPr>
          <w:rFonts w:eastAsia="SimSun"/>
          <w:szCs w:val="22"/>
          <w:lang w:eastAsia="zh-CN"/>
        </w:rPr>
      </w:pPr>
    </w:p>
    <w:p w:rsidR="00B35FB2" w:rsidRPr="004A3269" w:rsidRDefault="00B35FB2" w:rsidP="00C52155">
      <w:pPr>
        <w:pStyle w:val="ONUMFS"/>
        <w:rPr>
          <w:rFonts w:eastAsia="SimSun"/>
          <w:szCs w:val="22"/>
          <w:lang w:eastAsia="zh-CN"/>
        </w:rPr>
      </w:pPr>
      <w:r w:rsidRPr="004A3269">
        <w:t xml:space="preserve">Alors que les dépenses </w:t>
      </w:r>
      <w:r w:rsidR="00E1450E" w:rsidRPr="004A3269">
        <w:t>au titre des fonctionnaires</w:t>
      </w:r>
      <w:r w:rsidRPr="004A3269">
        <w:t xml:space="preserve"> en poste ont augmenté de 6,9 millions de francs suisses par rapport à 2013, les </w:t>
      </w:r>
      <w:r w:rsidR="00352AB7" w:rsidRPr="004A3269">
        <w:t>dépenses au titre des</w:t>
      </w:r>
      <w:r w:rsidR="008F0BB5" w:rsidRPr="004A3269">
        <w:t xml:space="preserve"> </w:t>
      </w:r>
      <w:r w:rsidR="00AC4612" w:rsidRPr="004A3269">
        <w:t xml:space="preserve">fonctionnaires temporaires </w:t>
      </w:r>
      <w:r w:rsidRPr="004A3269">
        <w:t xml:space="preserve">ont baissé de 4,5 millions de francs suisses.  Ceci est dû en grande partie à </w:t>
      </w:r>
      <w:r w:rsidR="00CB199A" w:rsidRPr="004A3269">
        <w:t>la régularisation des agents temporaires de longue durée de l’OMPI</w:t>
      </w:r>
      <w:r w:rsidR="00AC4612" w:rsidRPr="004A3269">
        <w:t xml:space="preserve">, qui sont passés de la catégorie des </w:t>
      </w:r>
      <w:r w:rsidR="00366F69" w:rsidRPr="004A3269">
        <w:t>fonctionnaires temporaires à celle des postes</w:t>
      </w:r>
      <w:r w:rsidRPr="004A3269">
        <w:t>.</w:t>
      </w:r>
      <w:r w:rsidR="008975F0" w:rsidRPr="004A3269">
        <w:t xml:space="preserve"> </w:t>
      </w:r>
      <w:r w:rsidRPr="004A3269">
        <w:t xml:space="preserve"> L</w:t>
      </w:r>
      <w:r w:rsidR="009021AA" w:rsidRPr="004A3269">
        <w:t>’</w:t>
      </w:r>
      <w:r w:rsidRPr="004A3269">
        <w:t xml:space="preserve">augmentation </w:t>
      </w:r>
      <w:r w:rsidR="008975F0" w:rsidRPr="004A3269">
        <w:t>de 2,1 millions de francs suisses des</w:t>
      </w:r>
      <w:r w:rsidRPr="004A3269">
        <w:t xml:space="preserve"> dépense</w:t>
      </w:r>
      <w:r w:rsidR="008975F0" w:rsidRPr="004A3269">
        <w:t>s au titre des</w:t>
      </w:r>
      <w:r w:rsidRPr="004A3269">
        <w:t xml:space="preserve"> </w:t>
      </w:r>
      <w:r w:rsidR="008975F0" w:rsidRPr="004A3269">
        <w:t xml:space="preserve">prestations versées </w:t>
      </w:r>
      <w:r w:rsidR="00E1450E" w:rsidRPr="004A3269">
        <w:t>pour la cessation de service</w:t>
      </w:r>
      <w:r w:rsidR="008975F0" w:rsidRPr="004A3269">
        <w:t xml:space="preserve"> est liée au mouvement global </w:t>
      </w:r>
      <w:r w:rsidR="002653D1" w:rsidRPr="004A3269">
        <w:t>du solde de</w:t>
      </w:r>
      <w:r w:rsidR="008975F0" w:rsidRPr="004A3269">
        <w:t xml:space="preserve"> la dette </w:t>
      </w:r>
      <w:r w:rsidR="0071161C" w:rsidRPr="004A3269">
        <w:t>au titre des</w:t>
      </w:r>
      <w:r w:rsidRPr="004A3269">
        <w:t xml:space="preserve"> </w:t>
      </w:r>
      <w:r w:rsidR="002653D1" w:rsidRPr="004A3269">
        <w:t xml:space="preserve">prestations versées </w:t>
      </w:r>
      <w:r w:rsidR="00E1450E" w:rsidRPr="004A3269">
        <w:t>pour la cessation de service</w:t>
      </w:r>
      <w:r w:rsidRPr="004A3269">
        <w:t>, qui e</w:t>
      </w:r>
      <w:r w:rsidR="008975F0" w:rsidRPr="004A3269">
        <w:t xml:space="preserve">st plus </w:t>
      </w:r>
      <w:r w:rsidR="0071161C" w:rsidRPr="004A3269">
        <w:t>important</w:t>
      </w:r>
      <w:r w:rsidR="008975F0" w:rsidRPr="004A3269">
        <w:t xml:space="preserve"> entre </w:t>
      </w:r>
      <w:r w:rsidR="00D03B5F" w:rsidRPr="004A3269">
        <w:t>les a</w:t>
      </w:r>
      <w:r w:rsidR="008975F0" w:rsidRPr="004A3269">
        <w:t>nnées 2013 et </w:t>
      </w:r>
      <w:r w:rsidR="0071161C" w:rsidRPr="004A3269">
        <w:t>2014 qu</w:t>
      </w:r>
      <w:r w:rsidR="009021AA" w:rsidRPr="004A3269">
        <w:t>’</w:t>
      </w:r>
      <w:r w:rsidR="0071161C" w:rsidRPr="004A3269">
        <w:t>entre 2012 et </w:t>
      </w:r>
      <w:r w:rsidRPr="004A3269">
        <w:t xml:space="preserve">2013. </w:t>
      </w:r>
      <w:r w:rsidR="0071161C" w:rsidRPr="004A3269">
        <w:t xml:space="preserve"> Les a</w:t>
      </w:r>
      <w:r w:rsidRPr="004A3269">
        <w:t>utres dépenses de personnel présenté</w:t>
      </w:r>
      <w:r w:rsidR="0071161C" w:rsidRPr="004A3269">
        <w:t>e</w:t>
      </w:r>
      <w:r w:rsidRPr="004A3269">
        <w:t>s séparément dans le tabl</w:t>
      </w:r>
      <w:r w:rsidR="00665EC4" w:rsidRPr="004A3269">
        <w:t>eau ci</w:t>
      </w:r>
      <w:r w:rsidR="00A17552" w:rsidRPr="004A3269">
        <w:noBreakHyphen/>
      </w:r>
      <w:r w:rsidR="00665EC4" w:rsidRPr="004A3269">
        <w:t>dessus représentent l</w:t>
      </w:r>
      <w:r w:rsidR="00427DEA" w:rsidRPr="004A3269">
        <w:t>es c</w:t>
      </w:r>
      <w:r w:rsidRPr="004A3269">
        <w:t>oûts communs aux</w:t>
      </w:r>
      <w:r w:rsidR="00613CE0" w:rsidRPr="004A3269">
        <w:t xml:space="preserve"> fonctionnaires en</w:t>
      </w:r>
      <w:r w:rsidRPr="004A3269">
        <w:t xml:space="preserve"> </w:t>
      </w:r>
      <w:r w:rsidR="00427DEA" w:rsidRPr="004A3269">
        <w:t xml:space="preserve">poste </w:t>
      </w:r>
      <w:r w:rsidRPr="004A3269">
        <w:t xml:space="preserve">et </w:t>
      </w:r>
      <w:r w:rsidR="00427DEA" w:rsidRPr="004A3269">
        <w:t xml:space="preserve">aux </w:t>
      </w:r>
      <w:r w:rsidR="00613CE0" w:rsidRPr="004A3269">
        <w:t xml:space="preserve">postes temporaires </w:t>
      </w:r>
      <w:r w:rsidR="00427DEA" w:rsidRPr="004A3269">
        <w:t>(assurance</w:t>
      </w:r>
      <w:r w:rsidR="00A17552" w:rsidRPr="004A3269">
        <w:noBreakHyphen/>
      </w:r>
      <w:r w:rsidR="00427DEA" w:rsidRPr="004A3269">
        <w:t xml:space="preserve">accidents du travail, Caisse de retraite fermée </w:t>
      </w:r>
      <w:r w:rsidRPr="004A3269">
        <w:t xml:space="preserve">et frais de </w:t>
      </w:r>
      <w:r w:rsidR="00613CE0" w:rsidRPr="004A3269">
        <w:t>justice</w:t>
      </w:r>
      <w:r w:rsidRPr="004A3269">
        <w:t>).</w:t>
      </w:r>
    </w:p>
    <w:p w:rsidR="00B35FB2" w:rsidRPr="004A3269" w:rsidRDefault="00B35FB2" w:rsidP="00C52155">
      <w:pPr>
        <w:pStyle w:val="ONUMFS"/>
        <w:rPr>
          <w:rFonts w:eastAsia="SimSun"/>
          <w:szCs w:val="22"/>
          <w:lang w:eastAsia="zh-CN"/>
        </w:rPr>
      </w:pPr>
      <w:r w:rsidRPr="004A3269">
        <w:t xml:space="preserve">Dans les </w:t>
      </w:r>
      <w:r w:rsidR="00665EC4" w:rsidRPr="004A3269">
        <w:t>états financiers </w:t>
      </w:r>
      <w:r w:rsidRPr="004A3269">
        <w:t xml:space="preserve">2014, le coût des stagiaires ne figure plus dans </w:t>
      </w:r>
      <w:r w:rsidR="002601E7" w:rsidRPr="004A3269">
        <w:t>les</w:t>
      </w:r>
      <w:r w:rsidRPr="004A3269">
        <w:t xml:space="preserve"> dépenses de personnel. </w:t>
      </w:r>
      <w:r w:rsidR="00665EC4" w:rsidRPr="004A3269">
        <w:t xml:space="preserve"> </w:t>
      </w:r>
      <w:r w:rsidRPr="004A3269">
        <w:t xml:space="preserve">Ceci est considéré comme </w:t>
      </w:r>
      <w:r w:rsidR="002601E7" w:rsidRPr="004A3269">
        <w:t>reflétant mieux</w:t>
      </w:r>
      <w:r w:rsidRPr="004A3269">
        <w:t xml:space="preserve"> la nature de la relation de ces personnes avec l</w:t>
      </w:r>
      <w:r w:rsidR="009021AA" w:rsidRPr="004A3269">
        <w:t>’</w:t>
      </w:r>
      <w:r w:rsidRPr="004A3269">
        <w:t xml:space="preserve">Organisation, car </w:t>
      </w:r>
      <w:r w:rsidR="002601E7" w:rsidRPr="004A3269">
        <w:t xml:space="preserve">elles ne sont pas couvertes </w:t>
      </w:r>
      <w:r w:rsidRPr="004A3269">
        <w:t xml:space="preserve">par le </w:t>
      </w:r>
      <w:r w:rsidR="00665EC4" w:rsidRPr="004A3269">
        <w:t>Statut et Règlement du personnel</w:t>
      </w:r>
      <w:r w:rsidRPr="004A3269">
        <w:t xml:space="preserve">. </w:t>
      </w:r>
      <w:r w:rsidR="00665EC4" w:rsidRPr="004A3269">
        <w:t xml:space="preserve"> </w:t>
      </w:r>
      <w:r w:rsidR="005F0F0B" w:rsidRPr="004A3269">
        <w:t>Les d</w:t>
      </w:r>
      <w:r w:rsidRPr="004A3269">
        <w:t xml:space="preserve">épenses </w:t>
      </w:r>
      <w:r w:rsidR="00D347D6" w:rsidRPr="004A3269">
        <w:t>au titre des</w:t>
      </w:r>
      <w:r w:rsidR="005F0F0B" w:rsidRPr="004A3269">
        <w:t xml:space="preserve"> </w:t>
      </w:r>
      <w:r w:rsidR="00D347D6" w:rsidRPr="004A3269">
        <w:t>stagiaires</w:t>
      </w:r>
      <w:r w:rsidRPr="004A3269">
        <w:t xml:space="preserve"> sont regroupé</w:t>
      </w:r>
      <w:r w:rsidR="005F0F0B" w:rsidRPr="004A3269">
        <w:t>e</w:t>
      </w:r>
      <w:r w:rsidRPr="004A3269">
        <w:t>s avec les bourses de l</w:t>
      </w:r>
      <w:r w:rsidR="009021AA" w:rsidRPr="004A3269">
        <w:t>’</w:t>
      </w:r>
      <w:r w:rsidRPr="004A3269">
        <w:t xml:space="preserve">OMPI, qui </w:t>
      </w:r>
      <w:r w:rsidR="003C5282" w:rsidRPr="004A3269">
        <w:t xml:space="preserve">figuraient </w:t>
      </w:r>
      <w:r w:rsidRPr="004A3269">
        <w:t xml:space="preserve">auparavant </w:t>
      </w:r>
      <w:r w:rsidR="003C5282" w:rsidRPr="004A3269">
        <w:t>dans la ligne de dépenses consacrée aux</w:t>
      </w:r>
      <w:r w:rsidR="005F0F0B" w:rsidRPr="004A3269">
        <w:t xml:space="preserve"> v</w:t>
      </w:r>
      <w:r w:rsidR="006A36FB" w:rsidRPr="004A3269">
        <w:t xml:space="preserve">oyages </w:t>
      </w:r>
      <w:r w:rsidRPr="004A3269">
        <w:t xml:space="preserve">et </w:t>
      </w:r>
      <w:r w:rsidR="006A36FB" w:rsidRPr="004A3269">
        <w:t xml:space="preserve">aux </w:t>
      </w:r>
      <w:r w:rsidRPr="004A3269">
        <w:t xml:space="preserve">bourses. </w:t>
      </w:r>
      <w:r w:rsidR="005F0F0B" w:rsidRPr="004A3269">
        <w:t xml:space="preserve"> Les b</w:t>
      </w:r>
      <w:r w:rsidRPr="004A3269">
        <w:t>ourses de l</w:t>
      </w:r>
      <w:r w:rsidR="009021AA" w:rsidRPr="004A3269">
        <w:t>’</w:t>
      </w:r>
      <w:r w:rsidRPr="004A3269">
        <w:t xml:space="preserve">OMPI visent à </w:t>
      </w:r>
      <w:r w:rsidR="005F0F0B" w:rsidRPr="004A3269">
        <w:t>permettre</w:t>
      </w:r>
      <w:r w:rsidRPr="004A3269">
        <w:t xml:space="preserve"> aux personnes ayant une expérience de renforcer leurs connaissances et leurs compétences professionnelles. </w:t>
      </w:r>
      <w:r w:rsidR="005F0F0B" w:rsidRPr="004A3269">
        <w:t xml:space="preserve"> </w:t>
      </w:r>
      <w:r w:rsidRPr="004A3269">
        <w:t xml:space="preserve">Ces coûts sont présentés séparément des </w:t>
      </w:r>
      <w:r w:rsidR="00D9341B" w:rsidRPr="004A3269">
        <w:t xml:space="preserve">autres </w:t>
      </w:r>
      <w:r w:rsidRPr="004A3269">
        <w:t xml:space="preserve">bourses, qui </w:t>
      </w:r>
      <w:r w:rsidR="006A36FB" w:rsidRPr="004A3269">
        <w:t>correspondent aux</w:t>
      </w:r>
      <w:r w:rsidRPr="004A3269">
        <w:t xml:space="preserve"> dépenses engagées </w:t>
      </w:r>
      <w:r w:rsidR="006A36FB" w:rsidRPr="004A3269">
        <w:t>pour envoyer des</w:t>
      </w:r>
      <w:r w:rsidRPr="004A3269">
        <w:t xml:space="preserve"> stagiaires (</w:t>
      </w:r>
      <w:r w:rsidR="006A36FB" w:rsidRPr="004A3269">
        <w:t>non</w:t>
      </w:r>
      <w:r w:rsidR="00A17552" w:rsidRPr="004A3269">
        <w:noBreakHyphen/>
      </w:r>
      <w:r w:rsidR="006A36FB" w:rsidRPr="004A3269">
        <w:t>fonctionnaires</w:t>
      </w:r>
      <w:r w:rsidRPr="004A3269">
        <w:t>) assister à des cours et séminaires</w:t>
      </w:r>
      <w:r w:rsidR="006A36FB" w:rsidRPr="004A3269">
        <w:t>,</w:t>
      </w:r>
      <w:r w:rsidRPr="004A3269">
        <w:t xml:space="preserve"> et </w:t>
      </w:r>
      <w:r w:rsidR="006A36FB" w:rsidRPr="004A3269">
        <w:t>qui figurent dans la ligne de dépenses consacrée aux voyages et aux bourses</w:t>
      </w:r>
      <w:r w:rsidRPr="004A3269">
        <w:t xml:space="preserve">. </w:t>
      </w:r>
      <w:r w:rsidR="005F0F0B" w:rsidRPr="004A3269">
        <w:t xml:space="preserve"> </w:t>
      </w:r>
      <w:r w:rsidRPr="004A3269">
        <w:t>Le coût de</w:t>
      </w:r>
      <w:r w:rsidR="005F0F0B" w:rsidRPr="004A3269">
        <w:t>s</w:t>
      </w:r>
      <w:r w:rsidRPr="004A3269">
        <w:t xml:space="preserve"> bourses de l</w:t>
      </w:r>
      <w:r w:rsidR="009021AA" w:rsidRPr="004A3269">
        <w:t>’</w:t>
      </w:r>
      <w:r w:rsidRPr="004A3269">
        <w:t>OMPI a augmenté de 0,8</w:t>
      </w:r>
      <w:r w:rsidR="005F0F0B" w:rsidRPr="004A3269">
        <w:t> </w:t>
      </w:r>
      <w:r w:rsidRPr="004A3269">
        <w:t xml:space="preserve">million </w:t>
      </w:r>
      <w:r w:rsidR="003C5282" w:rsidRPr="004A3269">
        <w:t>de francs suisses par rapport à </w:t>
      </w:r>
      <w:r w:rsidRPr="004A3269">
        <w:t xml:space="preserve">2013, </w:t>
      </w:r>
      <w:r w:rsidR="003C5282" w:rsidRPr="004A3269">
        <w:t xml:space="preserve">ce qui peut être lié </w:t>
      </w:r>
      <w:r w:rsidR="00CA4D4F" w:rsidRPr="004A3269">
        <w:t>au fait que l</w:t>
      </w:r>
      <w:r w:rsidR="009021AA" w:rsidRPr="004A3269">
        <w:t>’</w:t>
      </w:r>
      <w:r w:rsidR="00CA4D4F" w:rsidRPr="004A3269">
        <w:t>Organisation a renforcé le budget consacré aux</w:t>
      </w:r>
      <w:r w:rsidRPr="004A3269">
        <w:t xml:space="preserve"> programmes d</w:t>
      </w:r>
      <w:r w:rsidR="009021AA" w:rsidRPr="004A3269">
        <w:t>’</w:t>
      </w:r>
      <w:r w:rsidRPr="004A3269">
        <w:t xml:space="preserve">échange avec les </w:t>
      </w:r>
      <w:r w:rsidR="00CA4D4F" w:rsidRPr="004A3269">
        <w:t>offices</w:t>
      </w:r>
      <w:r w:rsidRPr="004A3269">
        <w:t xml:space="preserve"> nationaux de propriété intellectuelle et </w:t>
      </w:r>
      <w:r w:rsidR="00CA4D4F" w:rsidRPr="004A3269">
        <w:t>au</w:t>
      </w:r>
      <w:r w:rsidRPr="004A3269">
        <w:t xml:space="preserve"> programme de bourses </w:t>
      </w:r>
      <w:r w:rsidR="00CA4D4F" w:rsidRPr="004A3269">
        <w:t>au sein du</w:t>
      </w:r>
      <w:r w:rsidRPr="004A3269">
        <w:t xml:space="preserve"> Centre d</w:t>
      </w:r>
      <w:r w:rsidR="009021AA" w:rsidRPr="004A3269">
        <w:t>’</w:t>
      </w:r>
      <w:r w:rsidRPr="004A3269">
        <w:t>arbitrage et de médiation.</w:t>
      </w:r>
    </w:p>
    <w:p w:rsidR="00B35FB2" w:rsidRPr="004A3269" w:rsidRDefault="00CA4D4F" w:rsidP="00C52155">
      <w:pPr>
        <w:pStyle w:val="ONUMFS"/>
        <w:rPr>
          <w:rFonts w:eastAsia="SimSun"/>
          <w:szCs w:val="22"/>
          <w:lang w:eastAsia="zh-CN"/>
        </w:rPr>
      </w:pPr>
      <w:r w:rsidRPr="004A3269">
        <w:lastRenderedPageBreak/>
        <w:t xml:space="preserve">Les voyages </w:t>
      </w:r>
      <w:r w:rsidR="00B35FB2" w:rsidRPr="004A3269">
        <w:t xml:space="preserve">et bourses </w:t>
      </w:r>
      <w:r w:rsidRPr="004A3269">
        <w:t>totalis</w:t>
      </w:r>
      <w:r w:rsidR="007A1072" w:rsidRPr="004A3269">
        <w:t>ai</w:t>
      </w:r>
      <w:r w:rsidRPr="004A3269">
        <w:t>ent </w:t>
      </w:r>
      <w:r w:rsidR="00B35FB2" w:rsidRPr="004A3269">
        <w:t>15,4</w:t>
      </w:r>
      <w:r w:rsidR="00067463" w:rsidRPr="004A3269">
        <w:t> </w:t>
      </w:r>
      <w:r w:rsidR="00B35FB2" w:rsidRPr="004A3269">
        <w:t xml:space="preserve">millions de francs suisses </w:t>
      </w:r>
      <w:r w:rsidRPr="004A3269">
        <w:t>en </w:t>
      </w:r>
      <w:r w:rsidR="00B35FB2" w:rsidRPr="004A3269">
        <w:t xml:space="preserve">2014, </w:t>
      </w:r>
      <w:r w:rsidRPr="004A3269">
        <w:t>soit 4,6%</w:t>
      </w:r>
      <w:r w:rsidR="00B35FB2" w:rsidRPr="004A3269">
        <w:t xml:space="preserve"> des dépenses totales. </w:t>
      </w:r>
      <w:r w:rsidRPr="004A3269">
        <w:t xml:space="preserve"> Ces dépenses ont chuté de 19,8%</w:t>
      </w:r>
      <w:r w:rsidR="00B35FB2" w:rsidRPr="004A3269">
        <w:t xml:space="preserve"> par rapport </w:t>
      </w:r>
      <w:r w:rsidRPr="004A3269">
        <w:t>à </w:t>
      </w:r>
      <w:r w:rsidR="00B35FB2" w:rsidRPr="004A3269">
        <w:t xml:space="preserve">2013 </w:t>
      </w:r>
      <w:r w:rsidRPr="004A3269">
        <w:t>(19,2 </w:t>
      </w:r>
      <w:r w:rsidR="00B35FB2" w:rsidRPr="004A3269">
        <w:t>millions de francs suisses</w:t>
      </w:r>
      <w:r w:rsidRPr="004A3269">
        <w:t>)</w:t>
      </w:r>
      <w:r w:rsidR="00B35FB2" w:rsidRPr="004A3269">
        <w:t xml:space="preserve">. </w:t>
      </w:r>
      <w:r w:rsidRPr="004A3269">
        <w:t xml:space="preserve"> </w:t>
      </w:r>
      <w:r w:rsidR="00B35FB2" w:rsidRPr="004A3269">
        <w:t xml:space="preserve">Les frais de voyage comprennent </w:t>
      </w:r>
      <w:r w:rsidRPr="004A3269">
        <w:t>les voyages de tiers</w:t>
      </w:r>
      <w:r w:rsidR="00B35FB2" w:rsidRPr="004A3269">
        <w:t xml:space="preserve"> (</w:t>
      </w:r>
      <w:r w:rsidR="00104B4B" w:rsidRPr="004A3269">
        <w:t>participants à des conférences</w:t>
      </w:r>
      <w:r w:rsidRPr="004A3269">
        <w:t xml:space="preserve"> et </w:t>
      </w:r>
      <w:r w:rsidR="00104B4B" w:rsidRPr="004A3269">
        <w:t>conférenciers</w:t>
      </w:r>
      <w:r w:rsidRPr="004A3269">
        <w:t>) à hauteur de 7,6 millions de francs suisses, ainsi que les</w:t>
      </w:r>
      <w:r w:rsidR="00B35FB2" w:rsidRPr="004A3269">
        <w:t xml:space="preserve"> </w:t>
      </w:r>
      <w:r w:rsidR="00104B4B" w:rsidRPr="004A3269">
        <w:t>frais de mission des fonctionnaires et des</w:t>
      </w:r>
      <w:r w:rsidR="00B35FB2" w:rsidRPr="004A3269">
        <w:t xml:space="preserve"> </w:t>
      </w:r>
      <w:r w:rsidR="00104B4B" w:rsidRPr="004A3269">
        <w:t xml:space="preserve">consultants </w:t>
      </w:r>
      <w:r w:rsidRPr="004A3269">
        <w:t>à hauteur de 5,7 </w:t>
      </w:r>
      <w:r w:rsidR="00B35FB2" w:rsidRPr="004A3269">
        <w:t xml:space="preserve">millions de francs suisses. </w:t>
      </w:r>
      <w:r w:rsidRPr="004A3269">
        <w:t xml:space="preserve"> Les frais de voyage sont de 3,5 </w:t>
      </w:r>
      <w:r w:rsidR="00B35FB2" w:rsidRPr="004A3269">
        <w:t>milli</w:t>
      </w:r>
      <w:r w:rsidRPr="004A3269">
        <w:t>ons de francs suisses inférieurs à ceux de </w:t>
      </w:r>
      <w:r w:rsidR="00B35FB2" w:rsidRPr="004A3269">
        <w:t xml:space="preserve">2013, ce qui </w:t>
      </w:r>
      <w:r w:rsidRPr="004A3269">
        <w:t xml:space="preserve">correspond </w:t>
      </w:r>
      <w:r w:rsidR="00B35FB2" w:rsidRPr="004A3269">
        <w:t xml:space="preserve">globalement </w:t>
      </w:r>
      <w:r w:rsidRPr="004A3269">
        <w:t xml:space="preserve">aux réductions </w:t>
      </w:r>
      <w:r w:rsidR="00E872CE" w:rsidRPr="004A3269">
        <w:t>budgétées</w:t>
      </w:r>
      <w:r w:rsidRPr="004A3269">
        <w:t xml:space="preserve"> </w:t>
      </w:r>
      <w:r w:rsidR="00B35FB2" w:rsidRPr="004A3269">
        <w:t>dans ce domaine</w:t>
      </w:r>
      <w:r w:rsidR="00E872CE" w:rsidRPr="004A3269">
        <w:t xml:space="preserve"> de coûts</w:t>
      </w:r>
      <w:r w:rsidR="00B35FB2" w:rsidRPr="004A3269">
        <w:t xml:space="preserve">. </w:t>
      </w:r>
      <w:r w:rsidRPr="004A3269">
        <w:t xml:space="preserve"> </w:t>
      </w:r>
      <w:r w:rsidR="00B35FB2" w:rsidRPr="004A3269">
        <w:t xml:space="preserve">Au cours de </w:t>
      </w:r>
      <w:r w:rsidRPr="004A3269">
        <w:t>l</w:t>
      </w:r>
      <w:r w:rsidR="009021AA" w:rsidRPr="004A3269">
        <w:t>’</w:t>
      </w:r>
      <w:r w:rsidRPr="004A3269">
        <w:t>année </w:t>
      </w:r>
      <w:r w:rsidR="00B35FB2" w:rsidRPr="004A3269">
        <w:t>2013</w:t>
      </w:r>
      <w:r w:rsidRPr="004A3269">
        <w:t>,</w:t>
      </w:r>
      <w:r w:rsidR="00B35FB2" w:rsidRPr="004A3269">
        <w:t xml:space="preserve"> une importante conférence (la Conférence diplomatique pour la conclusion d</w:t>
      </w:r>
      <w:r w:rsidR="009021AA" w:rsidRPr="004A3269">
        <w:t>’</w:t>
      </w:r>
      <w:r w:rsidR="00B35FB2" w:rsidRPr="004A3269">
        <w:t xml:space="preserve">un traité </w:t>
      </w:r>
      <w:r w:rsidR="00E872CE" w:rsidRPr="004A3269">
        <w:t>visant à</w:t>
      </w:r>
      <w:r w:rsidR="00B35FB2" w:rsidRPr="004A3269">
        <w:t xml:space="preserve"> faciliter l</w:t>
      </w:r>
      <w:r w:rsidR="009021AA" w:rsidRPr="004A3269">
        <w:t>’</w:t>
      </w:r>
      <w:r w:rsidR="00B35FB2" w:rsidRPr="004A3269">
        <w:t xml:space="preserve">accès </w:t>
      </w:r>
      <w:r w:rsidR="00E872CE" w:rsidRPr="004A3269">
        <w:t xml:space="preserve">des </w:t>
      </w:r>
      <w:r w:rsidR="00B35FB2" w:rsidRPr="004A3269">
        <w:t xml:space="preserve">déficients visuels et </w:t>
      </w:r>
      <w:r w:rsidR="00E872CE" w:rsidRPr="004A3269">
        <w:t xml:space="preserve">des </w:t>
      </w:r>
      <w:r w:rsidR="00B35FB2" w:rsidRPr="004A3269">
        <w:t xml:space="preserve">personnes </w:t>
      </w:r>
      <w:r w:rsidR="00E872CE" w:rsidRPr="004A3269">
        <w:t>a</w:t>
      </w:r>
      <w:r w:rsidR="00651C43" w:rsidRPr="004A3269">
        <w:t>yant des difficultés de lecture</w:t>
      </w:r>
      <w:r w:rsidR="00E872CE" w:rsidRPr="004A3269">
        <w:t xml:space="preserve"> des textes imprimés aux œuvres publiées</w:t>
      </w:r>
      <w:r w:rsidR="00B35FB2" w:rsidRPr="004A3269">
        <w:t xml:space="preserve">) a eu lieu à Marrakech. </w:t>
      </w:r>
      <w:r w:rsidR="00E872CE" w:rsidRPr="004A3269">
        <w:t xml:space="preserve"> </w:t>
      </w:r>
      <w:r w:rsidR="00651C43" w:rsidRPr="004A3269">
        <w:t>En </w:t>
      </w:r>
      <w:r w:rsidR="00B35FB2" w:rsidRPr="004A3269">
        <w:t xml:space="preserve">2014, un </w:t>
      </w:r>
      <w:r w:rsidR="00651C43" w:rsidRPr="004A3269">
        <w:t>nouvel outil de réservation de v</w:t>
      </w:r>
      <w:r w:rsidR="00B35FB2" w:rsidRPr="004A3269">
        <w:t>oyage</w:t>
      </w:r>
      <w:r w:rsidR="007A1072" w:rsidRPr="004A3269">
        <w:t>s en ligne a été lancé</w:t>
      </w:r>
      <w:r w:rsidR="00A0797A" w:rsidRPr="004A3269">
        <w:t>;</w:t>
      </w:r>
      <w:r w:rsidR="00067463" w:rsidRPr="004A3269">
        <w:t xml:space="preserve"> </w:t>
      </w:r>
      <w:r w:rsidR="007A1072" w:rsidRPr="004A3269">
        <w:t xml:space="preserve"> cet outil aussi a contribué</w:t>
      </w:r>
      <w:r w:rsidR="00B35FB2" w:rsidRPr="004A3269">
        <w:t xml:space="preserve"> à réduire les </w:t>
      </w:r>
      <w:r w:rsidR="007A1072" w:rsidRPr="004A3269">
        <w:t>frais</w:t>
      </w:r>
      <w:r w:rsidR="00B35FB2" w:rsidRPr="004A3269">
        <w:t xml:space="preserve"> de </w:t>
      </w:r>
      <w:r w:rsidR="007A1072" w:rsidRPr="004A3269">
        <w:t>voyages de</w:t>
      </w:r>
      <w:r w:rsidR="00B35FB2" w:rsidRPr="004A3269">
        <w:t xml:space="preserve"> l</w:t>
      </w:r>
      <w:r w:rsidR="009021AA" w:rsidRPr="004A3269">
        <w:t>’</w:t>
      </w:r>
      <w:r w:rsidR="00B35FB2" w:rsidRPr="004A3269">
        <w:t xml:space="preserve">Organisation. </w:t>
      </w:r>
      <w:r w:rsidR="007A1072" w:rsidRPr="004A3269">
        <w:t xml:space="preserve"> En 2014, l</w:t>
      </w:r>
      <w:r w:rsidR="00B35FB2" w:rsidRPr="004A3269">
        <w:t>e coût de</w:t>
      </w:r>
      <w:r w:rsidR="007A1072" w:rsidRPr="004A3269">
        <w:t>s</w:t>
      </w:r>
      <w:r w:rsidR="00D9341B" w:rsidRPr="004A3269">
        <w:t xml:space="preserve"> autres</w:t>
      </w:r>
      <w:r w:rsidR="00B35FB2" w:rsidRPr="004A3269">
        <w:t xml:space="preserve"> bourse</w:t>
      </w:r>
      <w:r w:rsidR="00651C43" w:rsidRPr="004A3269">
        <w:t xml:space="preserve">s </w:t>
      </w:r>
      <w:r w:rsidR="007A1072" w:rsidRPr="004A3269">
        <w:t>totalisait</w:t>
      </w:r>
      <w:r w:rsidR="00651C43" w:rsidRPr="004A3269">
        <w:t xml:space="preserve"> 2,1 </w:t>
      </w:r>
      <w:r w:rsidR="00B35FB2" w:rsidRPr="004A3269">
        <w:t>millions de francs</w:t>
      </w:r>
      <w:r w:rsidR="00651C43" w:rsidRPr="004A3269">
        <w:t xml:space="preserve"> suisses, </w:t>
      </w:r>
      <w:r w:rsidR="007A1072" w:rsidRPr="004A3269">
        <w:t>alors qu</w:t>
      </w:r>
      <w:r w:rsidR="009021AA" w:rsidRPr="004A3269">
        <w:t>’</w:t>
      </w:r>
      <w:r w:rsidR="007A1072" w:rsidRPr="004A3269">
        <w:t>il s</w:t>
      </w:r>
      <w:r w:rsidR="009021AA" w:rsidRPr="004A3269">
        <w:t>’</w:t>
      </w:r>
      <w:r w:rsidR="007A1072" w:rsidRPr="004A3269">
        <w:t>élevait à</w:t>
      </w:r>
      <w:r w:rsidR="00651C43" w:rsidRPr="004A3269">
        <w:t xml:space="preserve"> 2,4 </w:t>
      </w:r>
      <w:r w:rsidR="00B35FB2" w:rsidRPr="004A3269">
        <w:t xml:space="preserve">millions de francs suisses </w:t>
      </w:r>
      <w:r w:rsidR="007A1072" w:rsidRPr="004A3269">
        <w:t>en 2013</w:t>
      </w:r>
      <w:r w:rsidR="00B35FB2" w:rsidRPr="004A3269">
        <w:t>.</w:t>
      </w:r>
    </w:p>
    <w:p w:rsidR="00B35FB2" w:rsidRPr="004A3269" w:rsidRDefault="007A1072" w:rsidP="00C52155">
      <w:pPr>
        <w:pStyle w:val="ONUMFS"/>
        <w:rPr>
          <w:rFonts w:eastAsia="SimSun"/>
          <w:szCs w:val="22"/>
          <w:lang w:eastAsia="zh-CN"/>
        </w:rPr>
      </w:pPr>
      <w:r w:rsidRPr="004A3269">
        <w:t>En 2014, les se</w:t>
      </w:r>
      <w:r w:rsidR="00B35FB2" w:rsidRPr="004A3269">
        <w:t xml:space="preserve">rvices contractuels </w:t>
      </w:r>
      <w:r w:rsidRPr="004A3269">
        <w:t>totalisaient 63,6 </w:t>
      </w:r>
      <w:r w:rsidR="00B35FB2" w:rsidRPr="004A3269">
        <w:t>millions de francs suisses</w:t>
      </w:r>
      <w:r w:rsidR="00A0797A" w:rsidRPr="004A3269">
        <w:t xml:space="preserve">.  </w:t>
      </w:r>
      <w:r w:rsidR="00B35FB2" w:rsidRPr="004A3269">
        <w:t>Ces dépenses ont diminué de 2,2</w:t>
      </w:r>
      <w:r w:rsidRPr="004A3269">
        <w:t>%</w:t>
      </w:r>
      <w:r w:rsidR="00B35FB2" w:rsidRPr="004A3269">
        <w:t xml:space="preserve"> par rapport </w:t>
      </w:r>
      <w:r w:rsidRPr="004A3269">
        <w:t>à 2013 (65,0</w:t>
      </w:r>
      <w:r w:rsidR="00067463" w:rsidRPr="004A3269">
        <w:t> </w:t>
      </w:r>
      <w:r w:rsidRPr="004A3269">
        <w:t>millions de francs suisses)</w:t>
      </w:r>
      <w:r w:rsidR="00B35FB2" w:rsidRPr="004A3269">
        <w:t xml:space="preserve">. </w:t>
      </w:r>
      <w:r w:rsidRPr="004A3269">
        <w:t xml:space="preserve"> En 2014, les s</w:t>
      </w:r>
      <w:r w:rsidR="00B35FB2" w:rsidRPr="004A3269">
        <w:t xml:space="preserve">ervices contractuels </w:t>
      </w:r>
      <w:r w:rsidR="00337609" w:rsidRPr="004A3269">
        <w:t>regroupaient</w:t>
      </w:r>
      <w:r w:rsidR="00B35FB2" w:rsidRPr="004A3269">
        <w:t xml:space="preserve"> </w:t>
      </w:r>
      <w:r w:rsidR="00337609" w:rsidRPr="004A3269">
        <w:t xml:space="preserve">essentiellement </w:t>
      </w:r>
      <w:r w:rsidRPr="004A3269">
        <w:t>l</w:t>
      </w:r>
      <w:r w:rsidR="00B35FB2" w:rsidRPr="004A3269">
        <w:t xml:space="preserve">es services de traduction </w:t>
      </w:r>
      <w:r w:rsidR="00337609" w:rsidRPr="004A3269">
        <w:t>externe</w:t>
      </w:r>
      <w:r w:rsidR="00B35FB2" w:rsidRPr="004A3269">
        <w:t xml:space="preserve"> (2</w:t>
      </w:r>
      <w:r w:rsidR="00337609" w:rsidRPr="004A3269">
        <w:t>2,5 </w:t>
      </w:r>
      <w:r w:rsidR="00B35FB2" w:rsidRPr="004A3269">
        <w:t>millions de francs suisses), les services du Centre international de calcul (11,5</w:t>
      </w:r>
      <w:r w:rsidR="004A1887" w:rsidRPr="004A3269">
        <w:t> </w:t>
      </w:r>
      <w:r w:rsidR="00B35FB2" w:rsidRPr="004A3269">
        <w:t xml:space="preserve">millions de francs suisses), </w:t>
      </w:r>
      <w:r w:rsidR="004A1887" w:rsidRPr="004A3269">
        <w:t>les</w:t>
      </w:r>
      <w:r w:rsidR="00B35FB2" w:rsidRPr="004A3269">
        <w:t xml:space="preserve"> services </w:t>
      </w:r>
      <w:r w:rsidR="004A1887" w:rsidRPr="004A3269">
        <w:t>informatiques externes (10,1 </w:t>
      </w:r>
      <w:r w:rsidR="00B35FB2" w:rsidRPr="004A3269">
        <w:t>millions de francs suisses) et les services contractuels individuels (10,5</w:t>
      </w:r>
      <w:r w:rsidR="004A1887" w:rsidRPr="004A3269">
        <w:t> </w:t>
      </w:r>
      <w:r w:rsidR="00B35FB2" w:rsidRPr="004A3269">
        <w:t xml:space="preserve">millions de francs suisses). </w:t>
      </w:r>
      <w:r w:rsidR="004A1887" w:rsidRPr="004A3269">
        <w:t xml:space="preserve"> Les </w:t>
      </w:r>
      <w:r w:rsidR="00D347D6" w:rsidRPr="004A3269">
        <w:t xml:space="preserve">dépenses au titre des </w:t>
      </w:r>
      <w:r w:rsidR="004A1887" w:rsidRPr="004A3269">
        <w:t>s</w:t>
      </w:r>
      <w:r w:rsidR="00B35FB2" w:rsidRPr="004A3269">
        <w:t xml:space="preserve">ervices de traduction </w:t>
      </w:r>
      <w:r w:rsidR="004A1887" w:rsidRPr="004A3269">
        <w:t>externe ont augmenté de 2,1 </w:t>
      </w:r>
      <w:r w:rsidR="00B35FB2" w:rsidRPr="004A3269">
        <w:t>millions de francs suisses par rapport à</w:t>
      </w:r>
      <w:r w:rsidR="004A1887" w:rsidRPr="004A3269">
        <w:t> </w:t>
      </w:r>
      <w:r w:rsidR="00B35FB2" w:rsidRPr="004A3269">
        <w:t xml:space="preserve">2013, en partie </w:t>
      </w:r>
      <w:r w:rsidR="004A1887" w:rsidRPr="004A3269">
        <w:t>en raison de l</w:t>
      </w:r>
      <w:r w:rsidR="009021AA" w:rsidRPr="004A3269">
        <w:t>’</w:t>
      </w:r>
      <w:r w:rsidR="004A1887" w:rsidRPr="004A3269">
        <w:t xml:space="preserve">augmentation </w:t>
      </w:r>
      <w:r w:rsidR="00D347D6" w:rsidRPr="004A3269">
        <w:t>du volume de mots à traduire dans les</w:t>
      </w:r>
      <w:r w:rsidR="004A1887" w:rsidRPr="004A3269">
        <w:t xml:space="preserve"> rapports </w:t>
      </w:r>
      <w:r w:rsidR="00B35FB2" w:rsidRPr="004A3269">
        <w:t>de br</w:t>
      </w:r>
      <w:r w:rsidR="004A1887" w:rsidRPr="004A3269">
        <w:t>evetabilité sous</w:t>
      </w:r>
      <w:r w:rsidR="00A17552" w:rsidRPr="004A3269">
        <w:noBreakHyphen/>
      </w:r>
      <w:r w:rsidR="004A1887" w:rsidRPr="004A3269">
        <w:t>traités (de 612 </w:t>
      </w:r>
      <w:r w:rsidR="00B35FB2" w:rsidRPr="004A3269">
        <w:t xml:space="preserve">mots </w:t>
      </w:r>
      <w:r w:rsidR="004A1887" w:rsidRPr="004A3269">
        <w:t>en 2013 à 687 mots en </w:t>
      </w:r>
      <w:r w:rsidR="00B35FB2" w:rsidRPr="004A3269">
        <w:t>2014).</w:t>
      </w:r>
      <w:r w:rsidR="00D347D6" w:rsidRPr="004A3269">
        <w:t xml:space="preserve"> </w:t>
      </w:r>
      <w:r w:rsidR="00B35FB2" w:rsidRPr="004A3269">
        <w:t xml:space="preserve"> Cependant, le coût des services contractuels i</w:t>
      </w:r>
      <w:r w:rsidR="004A1887" w:rsidRPr="004A3269">
        <w:t>ndividuels a baissé de 2,1 </w:t>
      </w:r>
      <w:r w:rsidR="00B35FB2" w:rsidRPr="004A3269">
        <w:t xml:space="preserve">millions </w:t>
      </w:r>
      <w:r w:rsidR="004A1887" w:rsidRPr="004A3269">
        <w:t>de francs suisses par rapport à </w:t>
      </w:r>
      <w:r w:rsidR="00B35FB2" w:rsidRPr="004A3269">
        <w:t xml:space="preserve">2013, </w:t>
      </w:r>
      <w:r w:rsidR="004A1887" w:rsidRPr="004A3269">
        <w:t>et le coût des conférences a également baissé de 0,9 </w:t>
      </w:r>
      <w:r w:rsidR="00B35FB2" w:rsidRPr="004A3269">
        <w:t>million de francs suisses par rapport à l</w:t>
      </w:r>
      <w:r w:rsidR="009021AA" w:rsidRPr="004A3269">
        <w:t>’</w:t>
      </w:r>
      <w:r w:rsidR="00B35FB2" w:rsidRPr="004A3269">
        <w:t>exercice précédent.</w:t>
      </w:r>
    </w:p>
    <w:p w:rsidR="00267140" w:rsidRPr="004A3269" w:rsidRDefault="004A1887" w:rsidP="00C52155">
      <w:pPr>
        <w:pStyle w:val="ONUMFS"/>
        <w:rPr>
          <w:rFonts w:eastAsia="SimSun"/>
          <w:szCs w:val="22"/>
          <w:lang w:eastAsia="zh-CN"/>
        </w:rPr>
      </w:pPr>
      <w:r w:rsidRPr="004A3269">
        <w:t>En 2014, l</w:t>
      </w:r>
      <w:r w:rsidR="00B35FB2" w:rsidRPr="004A3269">
        <w:t xml:space="preserve">es </w:t>
      </w:r>
      <w:proofErr w:type="gramStart"/>
      <w:r w:rsidRPr="004A3269">
        <w:t>dépenses</w:t>
      </w:r>
      <w:proofErr w:type="gramEnd"/>
      <w:r w:rsidRPr="004A3269">
        <w:t xml:space="preserve"> de fonctionnement</w:t>
      </w:r>
      <w:r w:rsidR="00B35FB2" w:rsidRPr="004A3269">
        <w:t xml:space="preserve"> </w:t>
      </w:r>
      <w:r w:rsidRPr="004A3269">
        <w:t>s</w:t>
      </w:r>
      <w:r w:rsidR="009021AA" w:rsidRPr="004A3269">
        <w:t>’</w:t>
      </w:r>
      <w:r w:rsidRPr="004A3269">
        <w:t>élevaient à 20,8 </w:t>
      </w:r>
      <w:r w:rsidR="00B35FB2" w:rsidRPr="004A3269">
        <w:t>millions de francs suisses</w:t>
      </w:r>
      <w:r w:rsidRPr="004A3269">
        <w:t>, soit une légère baisse de 1,4% par rapport à </w:t>
      </w:r>
      <w:r w:rsidR="00B35FB2" w:rsidRPr="004A3269">
        <w:t xml:space="preserve">2013 </w:t>
      </w:r>
      <w:r w:rsidRPr="004A3269">
        <w:t>(</w:t>
      </w:r>
      <w:r w:rsidR="00B35FB2" w:rsidRPr="004A3269">
        <w:t>21,1</w:t>
      </w:r>
      <w:r w:rsidRPr="004A3269">
        <w:t> </w:t>
      </w:r>
      <w:r w:rsidR="00B35FB2" w:rsidRPr="004A3269">
        <w:t>millions de francs suisses</w:t>
      </w:r>
      <w:r w:rsidRPr="004A3269">
        <w:t>)</w:t>
      </w:r>
      <w:r w:rsidR="00B35FB2" w:rsidRPr="004A3269">
        <w:t xml:space="preserve">. </w:t>
      </w:r>
      <w:r w:rsidRPr="004A3269">
        <w:t xml:space="preserve"> En 2014</w:t>
      </w:r>
      <w:r w:rsidR="00D80195" w:rsidRPr="004A3269">
        <w:t>,</w:t>
      </w:r>
      <w:r w:rsidRPr="004A3269">
        <w:t xml:space="preserve"> </w:t>
      </w:r>
      <w:r w:rsidR="00D80195" w:rsidRPr="004A3269">
        <w:t>le</w:t>
      </w:r>
      <w:r w:rsidR="00B35FB2" w:rsidRPr="004A3269">
        <w:t xml:space="preserve">s </w:t>
      </w:r>
      <w:r w:rsidRPr="004A3269">
        <w:t>dépenses de fonctionnement</w:t>
      </w:r>
      <w:r w:rsidR="00B35FB2" w:rsidRPr="004A3269">
        <w:t xml:space="preserve"> </w:t>
      </w:r>
      <w:r w:rsidR="00D80195" w:rsidRPr="004A3269">
        <w:t>comprenaient notamment</w:t>
      </w:r>
      <w:r w:rsidR="00B35FB2" w:rsidRPr="004A3269">
        <w:t xml:space="preserve"> </w:t>
      </w:r>
      <w:r w:rsidR="000B1CCC" w:rsidRPr="004A3269">
        <w:t>les</w:t>
      </w:r>
      <w:r w:rsidR="008608BE" w:rsidRPr="004A3269">
        <w:t xml:space="preserve"> coûts au titre des</w:t>
      </w:r>
      <w:r w:rsidR="00B35FB2" w:rsidRPr="004A3269">
        <w:t xml:space="preserve"> locaux et </w:t>
      </w:r>
      <w:r w:rsidR="008608BE" w:rsidRPr="004A3269">
        <w:t>de</w:t>
      </w:r>
      <w:r w:rsidR="000B1CCC" w:rsidRPr="004A3269">
        <w:t xml:space="preserve"> </w:t>
      </w:r>
      <w:r w:rsidR="008608BE" w:rsidRPr="004A3269">
        <w:t>l</w:t>
      </w:r>
      <w:r w:rsidR="009021AA" w:rsidRPr="004A3269">
        <w:t>’</w:t>
      </w:r>
      <w:r w:rsidR="000B1CCC" w:rsidRPr="004A3269">
        <w:t>entretien</w:t>
      </w:r>
      <w:r w:rsidR="00B35FB2" w:rsidRPr="004A3269">
        <w:t xml:space="preserve"> </w:t>
      </w:r>
      <w:r w:rsidR="000B1CCC" w:rsidRPr="004A3269">
        <w:t>(16,8 </w:t>
      </w:r>
      <w:r w:rsidR="00B35FB2" w:rsidRPr="004A3269">
        <w:t xml:space="preserve">millions de francs suisses), </w:t>
      </w:r>
      <w:r w:rsidR="000B1CCC" w:rsidRPr="004A3269">
        <w:t>le</w:t>
      </w:r>
      <w:r w:rsidR="00B35FB2" w:rsidRPr="004A3269">
        <w:t xml:space="preserve"> </w:t>
      </w:r>
      <w:r w:rsidR="000B1CCC" w:rsidRPr="004A3269">
        <w:t xml:space="preserve">coût des communications </w:t>
      </w:r>
      <w:r w:rsidR="00B35FB2" w:rsidRPr="004A3269">
        <w:t>(2,3</w:t>
      </w:r>
      <w:r w:rsidR="000B1CCC" w:rsidRPr="004A3269">
        <w:t> </w:t>
      </w:r>
      <w:r w:rsidR="00B35FB2" w:rsidRPr="004A3269">
        <w:t xml:space="preserve">millions de francs suisses) </w:t>
      </w:r>
      <w:r w:rsidR="000B1CCC" w:rsidRPr="004A3269">
        <w:t xml:space="preserve">et </w:t>
      </w:r>
      <w:r w:rsidR="00D347D6" w:rsidRPr="004A3269">
        <w:t xml:space="preserve">les </w:t>
      </w:r>
      <w:r w:rsidR="000B1CCC" w:rsidRPr="004A3269">
        <w:t>charges administratives (0,8 </w:t>
      </w:r>
      <w:r w:rsidR="00B35FB2" w:rsidRPr="004A3269">
        <w:t xml:space="preserve">million de francs suisses). </w:t>
      </w:r>
      <w:r w:rsidR="000B1CCC" w:rsidRPr="004A3269">
        <w:t xml:space="preserve"> Le coût des communications a baissé de 0,3 million </w:t>
      </w:r>
      <w:r w:rsidR="00B35FB2" w:rsidRPr="004A3269">
        <w:t xml:space="preserve">de francs suisses </w:t>
      </w:r>
      <w:r w:rsidR="000B1CCC" w:rsidRPr="004A3269">
        <w:t>par rapport à </w:t>
      </w:r>
      <w:r w:rsidR="00B35FB2" w:rsidRPr="004A3269">
        <w:t>2013</w:t>
      </w:r>
      <w:r w:rsidR="000B1CCC" w:rsidRPr="004A3269">
        <w:t>, ce qui</w:t>
      </w:r>
      <w:r w:rsidR="00B35FB2" w:rsidRPr="004A3269">
        <w:t xml:space="preserve"> pe</w:t>
      </w:r>
      <w:r w:rsidR="000B1CCC" w:rsidRPr="004A3269">
        <w:t>ut être lié</w:t>
      </w:r>
      <w:r w:rsidR="00B35FB2" w:rsidRPr="004A3269">
        <w:t xml:space="preserve"> à une diminution </w:t>
      </w:r>
      <w:r w:rsidR="000B1CCC" w:rsidRPr="004A3269">
        <w:t>du volume de</w:t>
      </w:r>
      <w:r w:rsidR="00B35FB2" w:rsidRPr="004A3269">
        <w:t xml:space="preserve"> </w:t>
      </w:r>
      <w:r w:rsidR="000B1CCC" w:rsidRPr="004A3269">
        <w:t>courriers papier</w:t>
      </w:r>
      <w:r w:rsidR="00B35FB2" w:rsidRPr="004A3269">
        <w:t>.</w:t>
      </w:r>
    </w:p>
    <w:p w:rsidR="00267140" w:rsidRPr="004A3269" w:rsidRDefault="002F78E8" w:rsidP="00C52155">
      <w:pPr>
        <w:pStyle w:val="ONUMFS"/>
        <w:rPr>
          <w:rFonts w:eastAsia="SimSun"/>
          <w:szCs w:val="22"/>
          <w:lang w:eastAsia="zh-CN"/>
        </w:rPr>
      </w:pPr>
      <w:r w:rsidRPr="004A3269">
        <w:rPr>
          <w:rFonts w:eastAsia="SimSun"/>
          <w:szCs w:val="22"/>
          <w:lang w:eastAsia="zh-CN"/>
        </w:rPr>
        <w:t>Les dépe</w:t>
      </w:r>
      <w:r w:rsidR="00AC55DB" w:rsidRPr="004A3269">
        <w:rPr>
          <w:rFonts w:eastAsia="SimSun"/>
          <w:szCs w:val="22"/>
          <w:lang w:eastAsia="zh-CN"/>
        </w:rPr>
        <w:t>nses liées aux fournitures (1,8 </w:t>
      </w:r>
      <w:r w:rsidRPr="004A3269">
        <w:rPr>
          <w:rFonts w:eastAsia="SimSun"/>
          <w:szCs w:val="22"/>
          <w:lang w:eastAsia="zh-CN"/>
        </w:rPr>
        <w:t>million de francs suisses) ont diminué d</w:t>
      </w:r>
      <w:r w:rsidR="00AC55DB" w:rsidRPr="004A3269">
        <w:rPr>
          <w:rFonts w:eastAsia="SimSun"/>
          <w:szCs w:val="22"/>
          <w:lang w:eastAsia="zh-CN"/>
        </w:rPr>
        <w:t>e 45,5% par rapport à </w:t>
      </w:r>
      <w:r w:rsidRPr="004A3269">
        <w:rPr>
          <w:rFonts w:eastAsia="SimSun"/>
          <w:szCs w:val="22"/>
          <w:lang w:eastAsia="zh-CN"/>
        </w:rPr>
        <w:t>2013.</w:t>
      </w:r>
      <w:r w:rsidR="00B9245C" w:rsidRPr="004A3269">
        <w:rPr>
          <w:rFonts w:eastAsia="SimSun"/>
        </w:rPr>
        <w:t xml:space="preserve"> </w:t>
      </w:r>
      <w:r w:rsidR="002963A3" w:rsidRPr="004A3269">
        <w:rPr>
          <w:rFonts w:eastAsia="SimSun"/>
        </w:rPr>
        <w:t xml:space="preserve"> </w:t>
      </w:r>
      <w:r w:rsidR="002963A3" w:rsidRPr="004A3269">
        <w:rPr>
          <w:rStyle w:val="hps"/>
        </w:rPr>
        <w:t>Les dépenses</w:t>
      </w:r>
      <w:r w:rsidR="002963A3" w:rsidRPr="004A3269">
        <w:t xml:space="preserve"> </w:t>
      </w:r>
      <w:r w:rsidR="002963A3" w:rsidRPr="004A3269">
        <w:rPr>
          <w:rStyle w:val="hps"/>
        </w:rPr>
        <w:t>de</w:t>
      </w:r>
      <w:r w:rsidR="002963A3" w:rsidRPr="004A3269">
        <w:t xml:space="preserve"> </w:t>
      </w:r>
      <w:r w:rsidR="002963A3" w:rsidRPr="004A3269">
        <w:rPr>
          <w:rStyle w:val="hps"/>
        </w:rPr>
        <w:t>mobilier et de matériel s</w:t>
      </w:r>
      <w:r w:rsidR="009021AA" w:rsidRPr="004A3269">
        <w:rPr>
          <w:rStyle w:val="hps"/>
        </w:rPr>
        <w:t>’</w:t>
      </w:r>
      <w:r w:rsidR="002963A3" w:rsidRPr="004A3269">
        <w:rPr>
          <w:rStyle w:val="hps"/>
        </w:rPr>
        <w:t>élèvent à 0,2 million de francs</w:t>
      </w:r>
      <w:r w:rsidR="002963A3" w:rsidRPr="004A3269">
        <w:t xml:space="preserve"> </w:t>
      </w:r>
      <w:r w:rsidR="002963A3" w:rsidRPr="004A3269">
        <w:rPr>
          <w:rStyle w:val="hps"/>
        </w:rPr>
        <w:t>suisses</w:t>
      </w:r>
      <w:r w:rsidR="002963A3" w:rsidRPr="004A3269">
        <w:t xml:space="preserve"> </w:t>
      </w:r>
      <w:r w:rsidR="002963A3" w:rsidRPr="004A3269">
        <w:rPr>
          <w:rStyle w:val="hps"/>
        </w:rPr>
        <w:t>en 2014, et sont donc également plus faibles qu</w:t>
      </w:r>
      <w:r w:rsidR="009021AA" w:rsidRPr="004A3269">
        <w:rPr>
          <w:rStyle w:val="hps"/>
        </w:rPr>
        <w:t>’</w:t>
      </w:r>
      <w:r w:rsidR="002963A3" w:rsidRPr="004A3269">
        <w:rPr>
          <w:rStyle w:val="hps"/>
        </w:rPr>
        <w:t>en 2013 (0,9</w:t>
      </w:r>
      <w:r w:rsidR="002963A3" w:rsidRPr="004A3269">
        <w:t> </w:t>
      </w:r>
      <w:r w:rsidR="002963A3" w:rsidRPr="004A3269">
        <w:rPr>
          <w:rStyle w:val="hps"/>
        </w:rPr>
        <w:t>million).  Les dépenses</w:t>
      </w:r>
      <w:r w:rsidR="002963A3" w:rsidRPr="004A3269">
        <w:t xml:space="preserve"> </w:t>
      </w:r>
      <w:r w:rsidR="002963A3" w:rsidRPr="004A3269">
        <w:rPr>
          <w:rStyle w:val="hps"/>
        </w:rPr>
        <w:t>de</w:t>
      </w:r>
      <w:r w:rsidR="002963A3" w:rsidRPr="004A3269">
        <w:t xml:space="preserve"> </w:t>
      </w:r>
      <w:r w:rsidR="002963A3" w:rsidRPr="004A3269">
        <w:rPr>
          <w:rStyle w:val="hps"/>
        </w:rPr>
        <w:t>mobilier et de matériel concernent</w:t>
      </w:r>
      <w:r w:rsidR="002963A3" w:rsidRPr="004A3269">
        <w:t xml:space="preserve"> </w:t>
      </w:r>
      <w:r w:rsidR="002963A3" w:rsidRPr="004A3269">
        <w:rPr>
          <w:rStyle w:val="hps"/>
        </w:rPr>
        <w:t>les éléments situés en deçà du seuil</w:t>
      </w:r>
      <w:r w:rsidR="002963A3" w:rsidRPr="004A3269">
        <w:t xml:space="preserve"> de capitalisation </w:t>
      </w:r>
      <w:r w:rsidR="002963A3" w:rsidRPr="004A3269">
        <w:rPr>
          <w:rStyle w:val="hps"/>
        </w:rPr>
        <w:t>de l</w:t>
      </w:r>
      <w:r w:rsidR="009021AA" w:rsidRPr="004A3269">
        <w:rPr>
          <w:rStyle w:val="hps"/>
        </w:rPr>
        <w:t>’</w:t>
      </w:r>
      <w:r w:rsidR="002963A3" w:rsidRPr="004A3269">
        <w:rPr>
          <w:rStyle w:val="hps"/>
        </w:rPr>
        <w:t>Organisation</w:t>
      </w:r>
      <w:r w:rsidR="002963A3" w:rsidRPr="004A3269">
        <w:t xml:space="preserve"> </w:t>
      </w:r>
      <w:r w:rsidR="002963A3" w:rsidRPr="004A3269">
        <w:rPr>
          <w:rStyle w:val="hps"/>
        </w:rPr>
        <w:t xml:space="preserve">de </w:t>
      </w:r>
      <w:r w:rsidR="00067463" w:rsidRPr="004A3269">
        <w:rPr>
          <w:rStyle w:val="hps"/>
        </w:rPr>
        <w:t>5000</w:t>
      </w:r>
      <w:r w:rsidR="002963A3" w:rsidRPr="004A3269">
        <w:rPr>
          <w:rStyle w:val="hps"/>
        </w:rPr>
        <w:t> francs</w:t>
      </w:r>
      <w:r w:rsidR="002963A3" w:rsidRPr="004A3269">
        <w:t xml:space="preserve"> </w:t>
      </w:r>
      <w:r w:rsidR="002963A3" w:rsidRPr="004A3269">
        <w:rPr>
          <w:rStyle w:val="hps"/>
        </w:rPr>
        <w:t>suisses</w:t>
      </w:r>
      <w:r w:rsidR="002963A3" w:rsidRPr="004A3269">
        <w:t xml:space="preserve">, </w:t>
      </w:r>
      <w:r w:rsidR="002963A3" w:rsidRPr="004A3269">
        <w:rPr>
          <w:rStyle w:val="hps"/>
        </w:rPr>
        <w:t>et sont donc</w:t>
      </w:r>
      <w:r w:rsidR="002963A3" w:rsidRPr="004A3269">
        <w:t xml:space="preserve"> </w:t>
      </w:r>
      <w:r w:rsidR="002963A3" w:rsidRPr="004A3269">
        <w:rPr>
          <w:rStyle w:val="hps"/>
        </w:rPr>
        <w:t>immédiatement comptabilisées</w:t>
      </w:r>
      <w:r w:rsidR="002963A3" w:rsidRPr="004A3269">
        <w:t xml:space="preserve"> </w:t>
      </w:r>
      <w:r w:rsidR="002963A3" w:rsidRPr="004A3269">
        <w:rPr>
          <w:rStyle w:val="hps"/>
        </w:rPr>
        <w:t>en tant que dépenses.  Notamment</w:t>
      </w:r>
      <w:r w:rsidR="002963A3" w:rsidRPr="004A3269">
        <w:t xml:space="preserve"> </w:t>
      </w:r>
      <w:r w:rsidR="002963A3" w:rsidRPr="004A3269">
        <w:rPr>
          <w:rStyle w:val="hps"/>
        </w:rPr>
        <w:t>les dépenses d</w:t>
      </w:r>
      <w:r w:rsidR="009021AA" w:rsidRPr="004A3269">
        <w:rPr>
          <w:rStyle w:val="hps"/>
        </w:rPr>
        <w:t>’</w:t>
      </w:r>
      <w:r w:rsidR="002963A3" w:rsidRPr="004A3269">
        <w:rPr>
          <w:rStyle w:val="hps"/>
        </w:rPr>
        <w:t>équipement</w:t>
      </w:r>
      <w:r w:rsidR="002963A3" w:rsidRPr="004A3269">
        <w:t xml:space="preserve"> </w:t>
      </w:r>
      <w:r w:rsidR="002963A3" w:rsidRPr="004A3269">
        <w:rPr>
          <w:rStyle w:val="hps"/>
        </w:rPr>
        <w:t>informatique</w:t>
      </w:r>
      <w:r w:rsidR="002963A3" w:rsidRPr="004A3269">
        <w:t xml:space="preserve"> </w:t>
      </w:r>
      <w:r w:rsidR="002963A3" w:rsidRPr="004A3269">
        <w:rPr>
          <w:rStyle w:val="hps"/>
        </w:rPr>
        <w:t>de cette nature</w:t>
      </w:r>
      <w:r w:rsidR="002963A3" w:rsidRPr="004A3269">
        <w:t xml:space="preserve"> </w:t>
      </w:r>
      <w:r w:rsidR="002963A3" w:rsidRPr="004A3269">
        <w:rPr>
          <w:rStyle w:val="hps"/>
        </w:rPr>
        <w:t>ont baissé, passant</w:t>
      </w:r>
      <w:r w:rsidR="002963A3" w:rsidRPr="004A3269">
        <w:t xml:space="preserve"> </w:t>
      </w:r>
      <w:r w:rsidR="002963A3" w:rsidRPr="004A3269">
        <w:rPr>
          <w:rStyle w:val="hps"/>
        </w:rPr>
        <w:t>de 0,6</w:t>
      </w:r>
      <w:r w:rsidR="002963A3" w:rsidRPr="004A3269">
        <w:t> </w:t>
      </w:r>
      <w:r w:rsidR="002963A3" w:rsidRPr="004A3269">
        <w:rPr>
          <w:rStyle w:val="hps"/>
        </w:rPr>
        <w:t>million de francs suisses</w:t>
      </w:r>
      <w:r w:rsidR="002963A3" w:rsidRPr="004A3269">
        <w:t xml:space="preserve"> </w:t>
      </w:r>
      <w:r w:rsidR="002963A3" w:rsidRPr="004A3269">
        <w:rPr>
          <w:rStyle w:val="hps"/>
        </w:rPr>
        <w:t>en</w:t>
      </w:r>
      <w:r w:rsidR="002963A3" w:rsidRPr="004A3269">
        <w:t> </w:t>
      </w:r>
      <w:r w:rsidR="002963A3" w:rsidRPr="004A3269">
        <w:rPr>
          <w:rStyle w:val="hps"/>
        </w:rPr>
        <w:t>2013 à 0.1 million</w:t>
      </w:r>
      <w:r w:rsidR="002963A3" w:rsidRPr="004A3269">
        <w:t xml:space="preserve"> </w:t>
      </w:r>
      <w:r w:rsidR="002963A3" w:rsidRPr="004A3269">
        <w:rPr>
          <w:rStyle w:val="hps"/>
        </w:rPr>
        <w:t>en 2014</w:t>
      </w:r>
      <w:r w:rsidR="002963A3" w:rsidRPr="004A3269">
        <w:rPr>
          <w:rFonts w:eastAsia="SimSun"/>
          <w:szCs w:val="22"/>
          <w:lang w:eastAsia="zh-CN"/>
        </w:rPr>
        <w:t>.</w:t>
      </w:r>
    </w:p>
    <w:p w:rsidR="002963A3" w:rsidRPr="004A3269" w:rsidRDefault="002963A3" w:rsidP="00C52155">
      <w:pPr>
        <w:pStyle w:val="ONUMFS"/>
        <w:rPr>
          <w:rFonts w:eastAsia="SimSun"/>
          <w:szCs w:val="22"/>
          <w:lang w:eastAsia="zh-CN"/>
        </w:rPr>
      </w:pPr>
      <w:r w:rsidRPr="004A3269">
        <w:rPr>
          <w:rStyle w:val="hps"/>
        </w:rPr>
        <w:t>Comme indiqué</w:t>
      </w:r>
      <w:r w:rsidRPr="004A3269">
        <w:t xml:space="preserve"> </w:t>
      </w:r>
      <w:r w:rsidRPr="004A3269">
        <w:rPr>
          <w:rStyle w:val="hps"/>
        </w:rPr>
        <w:t>ci</w:t>
      </w:r>
      <w:r w:rsidR="00A17552" w:rsidRPr="004A3269">
        <w:rPr>
          <w:rStyle w:val="hps"/>
        </w:rPr>
        <w:noBreakHyphen/>
      </w:r>
      <w:r w:rsidRPr="004A3269">
        <w:rPr>
          <w:rStyle w:val="hps"/>
        </w:rPr>
        <w:t>dessus</w:t>
      </w:r>
      <w:r w:rsidRPr="004A3269">
        <w:t>, les dépenses engagées conformément aux</w:t>
      </w:r>
      <w:r w:rsidRPr="004A3269">
        <w:rPr>
          <w:rStyle w:val="hps"/>
        </w:rPr>
        <w:t xml:space="preserve"> normes</w:t>
      </w:r>
      <w:r w:rsidR="00067463" w:rsidRPr="004A3269">
        <w:rPr>
          <w:rStyle w:val="hps"/>
        </w:rPr>
        <w:t> </w:t>
      </w:r>
      <w:r w:rsidRPr="004A3269">
        <w:rPr>
          <w:rStyle w:val="hps"/>
        </w:rPr>
        <w:t>IPSAS</w:t>
      </w:r>
      <w:r w:rsidRPr="004A3269">
        <w:rPr>
          <w:rFonts w:eastAsia="SimSun"/>
          <w:lang w:eastAsia="zh-CN"/>
        </w:rPr>
        <w:t xml:space="preserve"> </w:t>
      </w:r>
      <w:r w:rsidR="006D2EAC" w:rsidRPr="004A3269">
        <w:rPr>
          <w:rFonts w:eastAsia="SimSun"/>
          <w:lang w:eastAsia="zh-CN"/>
        </w:rPr>
        <w:t>incluent la charge d</w:t>
      </w:r>
      <w:r w:rsidR="009021AA" w:rsidRPr="004A3269">
        <w:rPr>
          <w:rFonts w:eastAsia="SimSun"/>
          <w:lang w:eastAsia="zh-CN"/>
        </w:rPr>
        <w:t>’</w:t>
      </w:r>
      <w:r w:rsidR="006D2EAC" w:rsidRPr="004A3269">
        <w:rPr>
          <w:rFonts w:eastAsia="SimSun"/>
          <w:lang w:eastAsia="zh-CN"/>
        </w:rPr>
        <w:t>amortissement des bâtiments et du matériel ainsi que celle des actifs incorporels, le coût de ces immobilisations étant réparti sur leur durée de vie utile.</w:t>
      </w:r>
      <w:r w:rsidR="00F06A31" w:rsidRPr="004A3269">
        <w:rPr>
          <w:rFonts w:eastAsia="SimSun"/>
        </w:rPr>
        <w:t xml:space="preserve"> </w:t>
      </w:r>
      <w:r w:rsidRPr="004A3269">
        <w:rPr>
          <w:rFonts w:eastAsia="SimSun"/>
        </w:rPr>
        <w:t xml:space="preserve"> </w:t>
      </w:r>
      <w:r w:rsidRPr="004A3269">
        <w:rPr>
          <w:rStyle w:val="hps"/>
        </w:rPr>
        <w:t>En 2014,</w:t>
      </w:r>
      <w:r w:rsidRPr="004A3269">
        <w:t xml:space="preserve"> </w:t>
      </w:r>
      <w:r w:rsidRPr="004A3269">
        <w:rPr>
          <w:rStyle w:val="hps"/>
        </w:rPr>
        <w:t>ces</w:t>
      </w:r>
      <w:r w:rsidRPr="004A3269">
        <w:t xml:space="preserve"> </w:t>
      </w:r>
      <w:r w:rsidR="00E32033" w:rsidRPr="004A3269">
        <w:rPr>
          <w:rStyle w:val="hps"/>
        </w:rPr>
        <w:t>dépenses s</w:t>
      </w:r>
      <w:r w:rsidR="009021AA" w:rsidRPr="004A3269">
        <w:rPr>
          <w:rStyle w:val="hps"/>
        </w:rPr>
        <w:t>’</w:t>
      </w:r>
      <w:r w:rsidR="00E32033" w:rsidRPr="004A3269">
        <w:rPr>
          <w:rStyle w:val="hps"/>
        </w:rPr>
        <w:t>élevaient à 9,1 </w:t>
      </w:r>
      <w:r w:rsidRPr="004A3269">
        <w:rPr>
          <w:rStyle w:val="hps"/>
        </w:rPr>
        <w:t>millions de</w:t>
      </w:r>
      <w:r w:rsidRPr="004A3269">
        <w:t xml:space="preserve"> </w:t>
      </w:r>
      <w:r w:rsidRPr="004A3269">
        <w:rPr>
          <w:rStyle w:val="hps"/>
        </w:rPr>
        <w:t>francs suisses</w:t>
      </w:r>
      <w:r w:rsidRPr="004A3269">
        <w:t xml:space="preserve">, </w:t>
      </w:r>
      <w:r w:rsidR="00E32033" w:rsidRPr="004A3269">
        <w:rPr>
          <w:rStyle w:val="hps"/>
        </w:rPr>
        <w:t>soit une augmentation par rapport à 2013</w:t>
      </w:r>
      <w:r w:rsidRPr="004A3269">
        <w:rPr>
          <w:rStyle w:val="hps"/>
        </w:rPr>
        <w:t xml:space="preserve"> </w:t>
      </w:r>
      <w:r w:rsidR="00E32033" w:rsidRPr="004A3269">
        <w:rPr>
          <w:rStyle w:val="hps"/>
        </w:rPr>
        <w:t>(</w:t>
      </w:r>
      <w:r w:rsidRPr="004A3269">
        <w:rPr>
          <w:rStyle w:val="hps"/>
        </w:rPr>
        <w:t>7,9</w:t>
      </w:r>
      <w:r w:rsidR="00E32033" w:rsidRPr="004A3269">
        <w:t> </w:t>
      </w:r>
      <w:r w:rsidR="00E32033" w:rsidRPr="004A3269">
        <w:rPr>
          <w:rStyle w:val="hps"/>
        </w:rPr>
        <w:t>millions)</w:t>
      </w:r>
      <w:r w:rsidRPr="004A3269">
        <w:rPr>
          <w:rStyle w:val="hps"/>
        </w:rPr>
        <w:t xml:space="preserve">. </w:t>
      </w:r>
      <w:r w:rsidR="00E32033" w:rsidRPr="004A3269">
        <w:rPr>
          <w:rStyle w:val="hps"/>
        </w:rPr>
        <w:t xml:space="preserve"> </w:t>
      </w:r>
      <w:r w:rsidRPr="004A3269">
        <w:rPr>
          <w:rStyle w:val="hps"/>
        </w:rPr>
        <w:t>Cette</w:t>
      </w:r>
      <w:r w:rsidRPr="004A3269">
        <w:t xml:space="preserve"> </w:t>
      </w:r>
      <w:r w:rsidRPr="004A3269">
        <w:rPr>
          <w:rStyle w:val="hps"/>
        </w:rPr>
        <w:t>augmentation est liée à</w:t>
      </w:r>
      <w:r w:rsidRPr="004A3269">
        <w:t xml:space="preserve"> </w:t>
      </w:r>
      <w:r w:rsidRPr="004A3269">
        <w:rPr>
          <w:rStyle w:val="hps"/>
        </w:rPr>
        <w:t>l</w:t>
      </w:r>
      <w:r w:rsidR="009021AA" w:rsidRPr="004A3269">
        <w:rPr>
          <w:rStyle w:val="hps"/>
        </w:rPr>
        <w:t>’</w:t>
      </w:r>
      <w:r w:rsidRPr="004A3269">
        <w:rPr>
          <w:rStyle w:val="hps"/>
        </w:rPr>
        <w:t>achèvement de la</w:t>
      </w:r>
      <w:r w:rsidRPr="004A3269">
        <w:t xml:space="preserve"> </w:t>
      </w:r>
      <w:r w:rsidRPr="004A3269">
        <w:rPr>
          <w:rStyle w:val="hps"/>
        </w:rPr>
        <w:t>nouvelle salle de conférence</w:t>
      </w:r>
      <w:r w:rsidRPr="004A3269">
        <w:t xml:space="preserve">, qui </w:t>
      </w:r>
      <w:r w:rsidRPr="004A3269">
        <w:rPr>
          <w:rStyle w:val="hps"/>
        </w:rPr>
        <w:t>a généré une</w:t>
      </w:r>
      <w:r w:rsidRPr="004A3269">
        <w:t xml:space="preserve"> </w:t>
      </w:r>
      <w:r w:rsidRPr="004A3269">
        <w:rPr>
          <w:rStyle w:val="hps"/>
        </w:rPr>
        <w:t>charge d</w:t>
      </w:r>
      <w:r w:rsidR="009021AA" w:rsidRPr="004A3269">
        <w:rPr>
          <w:rStyle w:val="hps"/>
        </w:rPr>
        <w:t>’</w:t>
      </w:r>
      <w:r w:rsidRPr="004A3269">
        <w:rPr>
          <w:rStyle w:val="hps"/>
        </w:rPr>
        <w:t>amortissement</w:t>
      </w:r>
      <w:r w:rsidRPr="004A3269">
        <w:t xml:space="preserve"> </w:t>
      </w:r>
      <w:r w:rsidRPr="004A3269">
        <w:rPr>
          <w:rStyle w:val="hps"/>
        </w:rPr>
        <w:t>de 0,7</w:t>
      </w:r>
      <w:r w:rsidR="00E32033" w:rsidRPr="004A3269">
        <w:t> </w:t>
      </w:r>
      <w:r w:rsidR="00E32033" w:rsidRPr="004A3269">
        <w:rPr>
          <w:rStyle w:val="hps"/>
        </w:rPr>
        <w:t xml:space="preserve">million </w:t>
      </w:r>
      <w:r w:rsidRPr="004A3269">
        <w:rPr>
          <w:rStyle w:val="hps"/>
        </w:rPr>
        <w:t>de francs suisses</w:t>
      </w:r>
      <w:r w:rsidRPr="004A3269">
        <w:t xml:space="preserve"> </w:t>
      </w:r>
      <w:r w:rsidRPr="004A3269">
        <w:rPr>
          <w:rStyle w:val="hps"/>
        </w:rPr>
        <w:t xml:space="preserve">après </w:t>
      </w:r>
      <w:r w:rsidR="00E32033" w:rsidRPr="004A3269">
        <w:rPr>
          <w:rStyle w:val="hps"/>
        </w:rPr>
        <w:t>sa mise en service en s</w:t>
      </w:r>
      <w:r w:rsidRPr="004A3269">
        <w:rPr>
          <w:rStyle w:val="hps"/>
        </w:rPr>
        <w:t>eptembre</w:t>
      </w:r>
      <w:r w:rsidR="00E32033" w:rsidRPr="004A3269">
        <w:t> </w:t>
      </w:r>
      <w:r w:rsidRPr="004A3269">
        <w:rPr>
          <w:rStyle w:val="hps"/>
        </w:rPr>
        <w:t>2014,</w:t>
      </w:r>
      <w:r w:rsidRPr="004A3269">
        <w:t xml:space="preserve"> </w:t>
      </w:r>
      <w:r w:rsidR="00E32033" w:rsidRPr="004A3269">
        <w:rPr>
          <w:rStyle w:val="hps"/>
        </w:rPr>
        <w:t>ainsi qu</w:t>
      </w:r>
      <w:r w:rsidR="009021AA" w:rsidRPr="004A3269">
        <w:rPr>
          <w:rStyle w:val="hps"/>
        </w:rPr>
        <w:t>’</w:t>
      </w:r>
      <w:r w:rsidR="00E32033" w:rsidRPr="004A3269">
        <w:rPr>
          <w:rStyle w:val="hps"/>
        </w:rPr>
        <w:t xml:space="preserve">à </w:t>
      </w:r>
      <w:r w:rsidRPr="004A3269">
        <w:rPr>
          <w:rStyle w:val="hps"/>
        </w:rPr>
        <w:t>l</w:t>
      </w:r>
      <w:r w:rsidR="009021AA" w:rsidRPr="004A3269">
        <w:rPr>
          <w:rStyle w:val="hps"/>
        </w:rPr>
        <w:t>’</w:t>
      </w:r>
      <w:r w:rsidRPr="004A3269">
        <w:rPr>
          <w:rStyle w:val="hps"/>
        </w:rPr>
        <w:t>achèvement</w:t>
      </w:r>
      <w:r w:rsidRPr="004A3269">
        <w:t xml:space="preserve"> </w:t>
      </w:r>
      <w:r w:rsidRPr="004A3269">
        <w:rPr>
          <w:rStyle w:val="hps"/>
        </w:rPr>
        <w:t>d</w:t>
      </w:r>
      <w:r w:rsidR="009021AA" w:rsidRPr="004A3269">
        <w:rPr>
          <w:rStyle w:val="hps"/>
        </w:rPr>
        <w:t>’</w:t>
      </w:r>
      <w:r w:rsidRPr="004A3269">
        <w:rPr>
          <w:rStyle w:val="hps"/>
        </w:rPr>
        <w:t>un projet</w:t>
      </w:r>
      <w:r w:rsidRPr="004A3269">
        <w:t xml:space="preserve"> </w:t>
      </w:r>
      <w:r w:rsidRPr="004A3269">
        <w:rPr>
          <w:rStyle w:val="hps"/>
        </w:rPr>
        <w:t>de</w:t>
      </w:r>
      <w:r w:rsidRPr="004A3269">
        <w:t xml:space="preserve"> </w:t>
      </w:r>
      <w:r w:rsidR="00E32033" w:rsidRPr="004A3269">
        <w:rPr>
          <w:rStyle w:val="hps"/>
        </w:rPr>
        <w:t>logiciel développé</w:t>
      </w:r>
      <w:r w:rsidRPr="004A3269">
        <w:rPr>
          <w:rStyle w:val="hps"/>
        </w:rPr>
        <w:t xml:space="preserve"> en interne</w:t>
      </w:r>
      <w:r w:rsidRPr="004A3269">
        <w:t xml:space="preserve"> </w:t>
      </w:r>
      <w:r w:rsidR="00E32033" w:rsidRPr="004A3269">
        <w:rPr>
          <w:rStyle w:val="hps"/>
        </w:rPr>
        <w:t>début </w:t>
      </w:r>
      <w:r w:rsidRPr="004A3269">
        <w:rPr>
          <w:rStyle w:val="hps"/>
        </w:rPr>
        <w:t>2014,</w:t>
      </w:r>
      <w:r w:rsidRPr="004A3269">
        <w:t xml:space="preserve"> </w:t>
      </w:r>
      <w:r w:rsidR="00E32033" w:rsidRPr="004A3269">
        <w:t xml:space="preserve">et </w:t>
      </w:r>
      <w:r w:rsidRPr="004A3269">
        <w:rPr>
          <w:rStyle w:val="hps"/>
        </w:rPr>
        <w:t>qui a généré</w:t>
      </w:r>
      <w:r w:rsidRPr="004A3269">
        <w:t xml:space="preserve"> </w:t>
      </w:r>
      <w:r w:rsidR="00E32033" w:rsidRPr="004A3269">
        <w:rPr>
          <w:rStyle w:val="hps"/>
        </w:rPr>
        <w:t>une charge d</w:t>
      </w:r>
      <w:r w:rsidR="009021AA" w:rsidRPr="004A3269">
        <w:rPr>
          <w:rStyle w:val="hps"/>
        </w:rPr>
        <w:t>’</w:t>
      </w:r>
      <w:r w:rsidRPr="004A3269">
        <w:rPr>
          <w:rStyle w:val="hps"/>
        </w:rPr>
        <w:t>amortissement complémentaire</w:t>
      </w:r>
      <w:r w:rsidRPr="004A3269">
        <w:t xml:space="preserve"> </w:t>
      </w:r>
      <w:r w:rsidRPr="004A3269">
        <w:rPr>
          <w:rStyle w:val="hps"/>
        </w:rPr>
        <w:t>de 0,6</w:t>
      </w:r>
      <w:r w:rsidR="00E32033" w:rsidRPr="004A3269">
        <w:t> </w:t>
      </w:r>
      <w:r w:rsidR="00E32033" w:rsidRPr="004A3269">
        <w:rPr>
          <w:rStyle w:val="hps"/>
        </w:rPr>
        <w:t xml:space="preserve">million </w:t>
      </w:r>
      <w:r w:rsidRPr="004A3269">
        <w:rPr>
          <w:rStyle w:val="hps"/>
        </w:rPr>
        <w:t>de francs suisses</w:t>
      </w:r>
      <w:r w:rsidRPr="004A3269">
        <w:t xml:space="preserve"> </w:t>
      </w:r>
      <w:r w:rsidRPr="004A3269">
        <w:rPr>
          <w:rStyle w:val="hps"/>
        </w:rPr>
        <w:t>au cours de l</w:t>
      </w:r>
      <w:r w:rsidR="009021AA" w:rsidRPr="004A3269">
        <w:rPr>
          <w:rStyle w:val="hps"/>
        </w:rPr>
        <w:t>’</w:t>
      </w:r>
      <w:r w:rsidRPr="004A3269">
        <w:t>année.</w:t>
      </w:r>
    </w:p>
    <w:p w:rsidR="00267140" w:rsidRPr="004A3269" w:rsidRDefault="002963A3" w:rsidP="00C52155">
      <w:pPr>
        <w:pStyle w:val="ONUMFS"/>
        <w:rPr>
          <w:rFonts w:eastAsia="SimSun"/>
          <w:szCs w:val="22"/>
          <w:lang w:eastAsia="zh-CN"/>
        </w:rPr>
      </w:pPr>
      <w:r w:rsidRPr="004A3269">
        <w:rPr>
          <w:rStyle w:val="hps"/>
        </w:rPr>
        <w:t>Pour la première fois</w:t>
      </w:r>
      <w:r w:rsidRPr="004A3269">
        <w:t xml:space="preserve"> </w:t>
      </w:r>
      <w:r w:rsidRPr="004A3269">
        <w:rPr>
          <w:rStyle w:val="hps"/>
        </w:rPr>
        <w:t>dans les</w:t>
      </w:r>
      <w:r w:rsidRPr="004A3269">
        <w:t xml:space="preserve"> </w:t>
      </w:r>
      <w:r w:rsidR="00E32033" w:rsidRPr="004A3269">
        <w:rPr>
          <w:rStyle w:val="hps"/>
        </w:rPr>
        <w:t>états financiers </w:t>
      </w:r>
      <w:r w:rsidRPr="004A3269">
        <w:rPr>
          <w:rStyle w:val="hps"/>
        </w:rPr>
        <w:t>2014</w:t>
      </w:r>
      <w:r w:rsidRPr="004A3269">
        <w:t xml:space="preserve">, les coûts </w:t>
      </w:r>
      <w:r w:rsidR="000E76E1" w:rsidRPr="004A3269">
        <w:rPr>
          <w:rStyle w:val="hps"/>
        </w:rPr>
        <w:t>financiers</w:t>
      </w:r>
      <w:r w:rsidRPr="004A3269">
        <w:t xml:space="preserve"> </w:t>
      </w:r>
      <w:r w:rsidRPr="004A3269">
        <w:rPr>
          <w:rStyle w:val="hps"/>
        </w:rPr>
        <w:t>sont présentés séparément</w:t>
      </w:r>
      <w:r w:rsidRPr="004A3269">
        <w:t xml:space="preserve"> </w:t>
      </w:r>
      <w:r w:rsidR="00E32033" w:rsidRPr="004A3269">
        <w:rPr>
          <w:rStyle w:val="hps"/>
        </w:rPr>
        <w:t>dans</w:t>
      </w:r>
      <w:r w:rsidRPr="004A3269">
        <w:t xml:space="preserve"> </w:t>
      </w:r>
      <w:r w:rsidRPr="004A3269">
        <w:rPr>
          <w:rStyle w:val="hps"/>
        </w:rPr>
        <w:t>l</w:t>
      </w:r>
      <w:r w:rsidR="009021AA" w:rsidRPr="004A3269">
        <w:rPr>
          <w:rStyle w:val="hps"/>
        </w:rPr>
        <w:t>’</w:t>
      </w:r>
      <w:r w:rsidRPr="004A3269">
        <w:t xml:space="preserve">état de la performance </w:t>
      </w:r>
      <w:r w:rsidRPr="004A3269">
        <w:rPr>
          <w:rStyle w:val="hps"/>
        </w:rPr>
        <w:t>financière</w:t>
      </w:r>
      <w:r w:rsidRPr="004A3269">
        <w:t>.</w:t>
      </w:r>
      <w:r w:rsidR="00E32033" w:rsidRPr="004A3269">
        <w:t xml:space="preserve"> </w:t>
      </w:r>
      <w:r w:rsidR="000E76E1" w:rsidRPr="004A3269">
        <w:t xml:space="preserve"> </w:t>
      </w:r>
      <w:r w:rsidRPr="004A3269">
        <w:rPr>
          <w:rStyle w:val="hps"/>
        </w:rPr>
        <w:t>Auparavant</w:t>
      </w:r>
      <w:r w:rsidRPr="004A3269">
        <w:t xml:space="preserve"> </w:t>
      </w:r>
      <w:r w:rsidRPr="004A3269">
        <w:rPr>
          <w:rStyle w:val="hps"/>
        </w:rPr>
        <w:t xml:space="preserve">ils étaient </w:t>
      </w:r>
      <w:r w:rsidR="000E76E1" w:rsidRPr="004A3269">
        <w:rPr>
          <w:rStyle w:val="hps"/>
        </w:rPr>
        <w:t>intégrés</w:t>
      </w:r>
      <w:r w:rsidRPr="004A3269">
        <w:t xml:space="preserve"> </w:t>
      </w:r>
      <w:r w:rsidRPr="004A3269">
        <w:rPr>
          <w:rStyle w:val="hps"/>
        </w:rPr>
        <w:t>dans les</w:t>
      </w:r>
      <w:r w:rsidR="000E76E1" w:rsidRPr="004A3269">
        <w:rPr>
          <w:rStyle w:val="hps"/>
        </w:rPr>
        <w:t xml:space="preserve"> dépenses de fonctionnement</w:t>
      </w:r>
      <w:r w:rsidRPr="004A3269">
        <w:t xml:space="preserve">. </w:t>
      </w:r>
      <w:r w:rsidR="000E76E1" w:rsidRPr="004A3269">
        <w:t xml:space="preserve"> </w:t>
      </w:r>
      <w:r w:rsidRPr="004A3269">
        <w:rPr>
          <w:rStyle w:val="hps"/>
        </w:rPr>
        <w:t xml:space="preserve">Les </w:t>
      </w:r>
      <w:r w:rsidR="000E76E1" w:rsidRPr="004A3269">
        <w:rPr>
          <w:rStyle w:val="hps"/>
        </w:rPr>
        <w:t>coûts</w:t>
      </w:r>
      <w:r w:rsidRPr="004A3269">
        <w:rPr>
          <w:rStyle w:val="hps"/>
        </w:rPr>
        <w:t xml:space="preserve"> financiers</w:t>
      </w:r>
      <w:r w:rsidRPr="004A3269">
        <w:t xml:space="preserve"> </w:t>
      </w:r>
      <w:r w:rsidRPr="004A3269">
        <w:rPr>
          <w:rStyle w:val="hps"/>
        </w:rPr>
        <w:t>sont demeurés relativement stables</w:t>
      </w:r>
      <w:r w:rsidRPr="004A3269">
        <w:t xml:space="preserve"> </w:t>
      </w:r>
      <w:r w:rsidRPr="004A3269">
        <w:rPr>
          <w:rStyle w:val="hps"/>
        </w:rPr>
        <w:t>par rapport</w:t>
      </w:r>
      <w:r w:rsidRPr="004A3269">
        <w:t xml:space="preserve"> </w:t>
      </w:r>
      <w:r w:rsidRPr="004A3269">
        <w:rPr>
          <w:rStyle w:val="hps"/>
        </w:rPr>
        <w:t>à l</w:t>
      </w:r>
      <w:r w:rsidR="009021AA" w:rsidRPr="004A3269">
        <w:rPr>
          <w:rStyle w:val="hps"/>
        </w:rPr>
        <w:t>’</w:t>
      </w:r>
      <w:r w:rsidRPr="004A3269">
        <w:rPr>
          <w:rStyle w:val="hps"/>
        </w:rPr>
        <w:t>exercice précédent</w:t>
      </w:r>
      <w:r w:rsidRPr="004A3269">
        <w:t xml:space="preserve">, </w:t>
      </w:r>
      <w:r w:rsidR="00E26E50" w:rsidRPr="004A3269">
        <w:t>avec</w:t>
      </w:r>
      <w:r w:rsidRPr="004A3269">
        <w:t xml:space="preserve"> un total </w:t>
      </w:r>
      <w:r w:rsidRPr="004A3269">
        <w:rPr>
          <w:rStyle w:val="hps"/>
        </w:rPr>
        <w:t>de 3</w:t>
      </w:r>
      <w:r w:rsidR="000E76E1" w:rsidRPr="004A3269">
        <w:rPr>
          <w:rStyle w:val="hps"/>
        </w:rPr>
        <w:t>,3 </w:t>
      </w:r>
      <w:r w:rsidRPr="004A3269">
        <w:rPr>
          <w:rStyle w:val="hps"/>
        </w:rPr>
        <w:t>millions de</w:t>
      </w:r>
      <w:r w:rsidRPr="004A3269">
        <w:t xml:space="preserve"> </w:t>
      </w:r>
      <w:r w:rsidRPr="004A3269">
        <w:rPr>
          <w:rStyle w:val="hps"/>
        </w:rPr>
        <w:t>francs suisses</w:t>
      </w:r>
      <w:r w:rsidRPr="004A3269">
        <w:t xml:space="preserve"> </w:t>
      </w:r>
      <w:r w:rsidR="000E76E1" w:rsidRPr="004A3269">
        <w:rPr>
          <w:rStyle w:val="hps"/>
        </w:rPr>
        <w:t>en </w:t>
      </w:r>
      <w:r w:rsidRPr="004A3269">
        <w:rPr>
          <w:rStyle w:val="hps"/>
        </w:rPr>
        <w:t>2014</w:t>
      </w:r>
      <w:r w:rsidRPr="004A3269">
        <w:t xml:space="preserve"> </w:t>
      </w:r>
      <w:r w:rsidRPr="004A3269">
        <w:rPr>
          <w:rStyle w:val="hps"/>
        </w:rPr>
        <w:t xml:space="preserve">et de </w:t>
      </w:r>
      <w:r w:rsidRPr="004A3269">
        <w:rPr>
          <w:rStyle w:val="hps"/>
        </w:rPr>
        <w:lastRenderedPageBreak/>
        <w:t>3,4</w:t>
      </w:r>
      <w:r w:rsidR="000E76E1" w:rsidRPr="004A3269">
        <w:t> </w:t>
      </w:r>
      <w:r w:rsidRPr="004A3269">
        <w:rPr>
          <w:rStyle w:val="hps"/>
        </w:rPr>
        <w:t>millions de francs suisses</w:t>
      </w:r>
      <w:r w:rsidRPr="004A3269">
        <w:t xml:space="preserve"> </w:t>
      </w:r>
      <w:r w:rsidR="000E76E1" w:rsidRPr="004A3269">
        <w:rPr>
          <w:rStyle w:val="hps"/>
        </w:rPr>
        <w:t>en </w:t>
      </w:r>
      <w:r w:rsidRPr="004A3269">
        <w:rPr>
          <w:rStyle w:val="hps"/>
        </w:rPr>
        <w:t xml:space="preserve">2013. </w:t>
      </w:r>
      <w:r w:rsidR="000E76E1" w:rsidRPr="004A3269">
        <w:rPr>
          <w:rStyle w:val="hps"/>
        </w:rPr>
        <w:t xml:space="preserve"> </w:t>
      </w:r>
      <w:r w:rsidRPr="004A3269">
        <w:rPr>
          <w:rStyle w:val="hps"/>
        </w:rPr>
        <w:t xml:space="preserve">Les </w:t>
      </w:r>
      <w:r w:rsidR="00E26E50" w:rsidRPr="004A3269">
        <w:rPr>
          <w:rStyle w:val="hps"/>
        </w:rPr>
        <w:t>coûts</w:t>
      </w:r>
      <w:r w:rsidRPr="004A3269">
        <w:rPr>
          <w:rStyle w:val="hps"/>
        </w:rPr>
        <w:t xml:space="preserve"> financiers</w:t>
      </w:r>
      <w:r w:rsidRPr="004A3269">
        <w:t xml:space="preserve"> </w:t>
      </w:r>
      <w:r w:rsidR="00AE15E5" w:rsidRPr="004A3269">
        <w:rPr>
          <w:rStyle w:val="hps"/>
        </w:rPr>
        <w:t>correspondent essentiellement à</w:t>
      </w:r>
      <w:r w:rsidRPr="004A3269">
        <w:t xml:space="preserve"> </w:t>
      </w:r>
      <w:r w:rsidRPr="004A3269">
        <w:rPr>
          <w:rStyle w:val="hps"/>
        </w:rPr>
        <w:t>des remboursements</w:t>
      </w:r>
      <w:r w:rsidRPr="004A3269">
        <w:t xml:space="preserve"> </w:t>
      </w:r>
      <w:r w:rsidRPr="004A3269">
        <w:rPr>
          <w:rStyle w:val="hps"/>
        </w:rPr>
        <w:t>d</w:t>
      </w:r>
      <w:r w:rsidR="009021AA" w:rsidRPr="004A3269">
        <w:rPr>
          <w:rStyle w:val="hps"/>
        </w:rPr>
        <w:t>’</w:t>
      </w:r>
      <w:r w:rsidRPr="004A3269">
        <w:rPr>
          <w:rStyle w:val="hps"/>
        </w:rPr>
        <w:t>intérêt</w:t>
      </w:r>
      <w:r w:rsidRPr="004A3269">
        <w:t xml:space="preserve"> </w:t>
      </w:r>
      <w:r w:rsidRPr="004A3269">
        <w:rPr>
          <w:rStyle w:val="hps"/>
        </w:rPr>
        <w:t xml:space="preserve">sur </w:t>
      </w:r>
      <w:r w:rsidR="00E26E50" w:rsidRPr="004A3269">
        <w:rPr>
          <w:rStyle w:val="hps"/>
        </w:rPr>
        <w:t>l</w:t>
      </w:r>
      <w:r w:rsidR="009021AA" w:rsidRPr="004A3269">
        <w:rPr>
          <w:rStyle w:val="hps"/>
        </w:rPr>
        <w:t>’</w:t>
      </w:r>
      <w:r w:rsidR="00E26E50" w:rsidRPr="004A3269">
        <w:rPr>
          <w:rStyle w:val="hps"/>
        </w:rPr>
        <w:t>emprunt</w:t>
      </w:r>
      <w:r w:rsidRPr="004A3269">
        <w:t xml:space="preserve"> </w:t>
      </w:r>
      <w:r w:rsidRPr="004A3269">
        <w:rPr>
          <w:rStyle w:val="hps"/>
        </w:rPr>
        <w:t>BCG/BCV</w:t>
      </w:r>
      <w:r w:rsidRPr="004A3269">
        <w:t xml:space="preserve"> </w:t>
      </w:r>
      <w:r w:rsidR="00E26E50" w:rsidRPr="004A3269">
        <w:rPr>
          <w:rStyle w:val="hps"/>
        </w:rPr>
        <w:t>pour le nouveau bâtiment</w:t>
      </w:r>
      <w:r w:rsidRPr="004A3269">
        <w:rPr>
          <w:rStyle w:val="hps"/>
        </w:rPr>
        <w:t>,</w:t>
      </w:r>
      <w:r w:rsidRPr="004A3269">
        <w:t xml:space="preserve"> </w:t>
      </w:r>
      <w:r w:rsidRPr="004A3269">
        <w:rPr>
          <w:rStyle w:val="hps"/>
        </w:rPr>
        <w:t>totalisant</w:t>
      </w:r>
      <w:r w:rsidRPr="004A3269">
        <w:t xml:space="preserve"> </w:t>
      </w:r>
      <w:r w:rsidR="00E26E50" w:rsidRPr="004A3269">
        <w:rPr>
          <w:rStyle w:val="hps"/>
        </w:rPr>
        <w:t>3,1 </w:t>
      </w:r>
      <w:r w:rsidRPr="004A3269">
        <w:rPr>
          <w:rStyle w:val="hps"/>
        </w:rPr>
        <w:t>millions de</w:t>
      </w:r>
      <w:r w:rsidRPr="004A3269">
        <w:t xml:space="preserve"> </w:t>
      </w:r>
      <w:r w:rsidRPr="004A3269">
        <w:rPr>
          <w:rStyle w:val="hps"/>
        </w:rPr>
        <w:t>francs suisses</w:t>
      </w:r>
      <w:r w:rsidRPr="004A3269">
        <w:t xml:space="preserve"> </w:t>
      </w:r>
      <w:r w:rsidR="00E26E50" w:rsidRPr="004A3269">
        <w:rPr>
          <w:rStyle w:val="hps"/>
        </w:rPr>
        <w:t>en </w:t>
      </w:r>
      <w:r w:rsidRPr="004A3269">
        <w:rPr>
          <w:rStyle w:val="hps"/>
        </w:rPr>
        <w:t>2014</w:t>
      </w:r>
      <w:r w:rsidRPr="004A3269">
        <w:t xml:space="preserve">. </w:t>
      </w:r>
      <w:r w:rsidR="00E26E50" w:rsidRPr="004A3269">
        <w:t xml:space="preserve"> L</w:t>
      </w:r>
      <w:r w:rsidRPr="004A3269">
        <w:rPr>
          <w:rStyle w:val="hps"/>
        </w:rPr>
        <w:t>es</w:t>
      </w:r>
      <w:r w:rsidRPr="004A3269">
        <w:t xml:space="preserve"> </w:t>
      </w:r>
      <w:r w:rsidR="00D347D6" w:rsidRPr="004A3269">
        <w:t xml:space="preserve">autres </w:t>
      </w:r>
      <w:r w:rsidRPr="004A3269">
        <w:rPr>
          <w:rStyle w:val="hps"/>
        </w:rPr>
        <w:t>coûts</w:t>
      </w:r>
      <w:r w:rsidRPr="004A3269">
        <w:t xml:space="preserve"> </w:t>
      </w:r>
      <w:r w:rsidR="00E26E50" w:rsidRPr="004A3269">
        <w:rPr>
          <w:rStyle w:val="hps"/>
        </w:rPr>
        <w:t>financiers</w:t>
      </w:r>
      <w:r w:rsidRPr="004A3269">
        <w:t xml:space="preserve"> </w:t>
      </w:r>
      <w:r w:rsidR="00AE15E5" w:rsidRPr="004A3269">
        <w:rPr>
          <w:rStyle w:val="hps"/>
        </w:rPr>
        <w:t>sont des</w:t>
      </w:r>
      <w:r w:rsidRPr="004A3269">
        <w:rPr>
          <w:rStyle w:val="hps"/>
        </w:rPr>
        <w:t xml:space="preserve"> frais bancaires</w:t>
      </w:r>
      <w:r w:rsidR="00515640" w:rsidRPr="004A3269">
        <w:rPr>
          <w:rFonts w:eastAsia="SimSun"/>
          <w:lang w:eastAsia="zh-CN"/>
        </w:rPr>
        <w:t>.</w:t>
      </w:r>
    </w:p>
    <w:p w:rsidR="00267140" w:rsidRPr="004A3269" w:rsidRDefault="00AE15E5" w:rsidP="000E49CA">
      <w:pPr>
        <w:spacing w:after="220"/>
        <w:rPr>
          <w:rFonts w:eastAsia="SimSun"/>
        </w:rPr>
      </w:pPr>
      <w:r w:rsidRPr="004A3269">
        <w:rPr>
          <w:rFonts w:eastAsia="SimSun"/>
          <w:b/>
          <w:lang w:eastAsia="zh-CN"/>
        </w:rPr>
        <w:t>Position financière</w:t>
      </w:r>
    </w:p>
    <w:p w:rsidR="009021AA" w:rsidRPr="004A3269" w:rsidRDefault="00AC55DB" w:rsidP="00C52155">
      <w:pPr>
        <w:pStyle w:val="ONUMFS"/>
        <w:rPr>
          <w:rFonts w:eastAsia="SimSun"/>
          <w:lang w:eastAsia="zh-CN"/>
        </w:rPr>
      </w:pPr>
      <w:r w:rsidRPr="004A3269">
        <w:rPr>
          <w:rFonts w:eastAsia="SimSun"/>
          <w:lang w:eastAsia="zh-CN"/>
        </w:rPr>
        <w:t>Au 31 </w:t>
      </w:r>
      <w:r w:rsidR="006D2EAC" w:rsidRPr="004A3269">
        <w:rPr>
          <w:rFonts w:eastAsia="SimSun"/>
          <w:lang w:eastAsia="zh-CN"/>
        </w:rPr>
        <w:t>décembre</w:t>
      </w:r>
      <w:r w:rsidRPr="004A3269">
        <w:rPr>
          <w:rFonts w:eastAsia="SimSun"/>
          <w:lang w:eastAsia="zh-CN"/>
        </w:rPr>
        <w:t> </w:t>
      </w:r>
      <w:r w:rsidR="006D2EAC" w:rsidRPr="004A3269">
        <w:rPr>
          <w:rFonts w:eastAsia="SimSun"/>
          <w:lang w:eastAsia="zh-CN"/>
        </w:rPr>
        <w:t>2014, l</w:t>
      </w:r>
      <w:r w:rsidR="009021AA" w:rsidRPr="004A3269">
        <w:rPr>
          <w:rFonts w:eastAsia="SimSun"/>
          <w:lang w:eastAsia="zh-CN"/>
        </w:rPr>
        <w:t>’</w:t>
      </w:r>
      <w:r w:rsidR="006D2EAC" w:rsidRPr="004A3269">
        <w:rPr>
          <w:rFonts w:eastAsia="SimSun"/>
          <w:lang w:eastAsia="zh-CN"/>
        </w:rPr>
        <w:t>Organisation</w:t>
      </w:r>
      <w:r w:rsidRPr="004A3269">
        <w:rPr>
          <w:rFonts w:eastAsia="SimSun"/>
          <w:lang w:eastAsia="zh-CN"/>
        </w:rPr>
        <w:t xml:space="preserve"> avait des actifs nets de 245,8 </w:t>
      </w:r>
      <w:r w:rsidR="006D2EAC" w:rsidRPr="004A3269">
        <w:rPr>
          <w:rFonts w:eastAsia="SimSun"/>
          <w:lang w:eastAsia="zh-CN"/>
        </w:rPr>
        <w:t>millions de francs suisses, le tot</w:t>
      </w:r>
      <w:r w:rsidRPr="004A3269">
        <w:rPr>
          <w:rFonts w:eastAsia="SimSun"/>
          <w:lang w:eastAsia="zh-CN"/>
        </w:rPr>
        <w:t>al des actifs s</w:t>
      </w:r>
      <w:r w:rsidR="009021AA" w:rsidRPr="004A3269">
        <w:rPr>
          <w:rFonts w:eastAsia="SimSun"/>
          <w:lang w:eastAsia="zh-CN"/>
        </w:rPr>
        <w:t>’</w:t>
      </w:r>
      <w:r w:rsidRPr="004A3269">
        <w:rPr>
          <w:rFonts w:eastAsia="SimSun"/>
          <w:lang w:eastAsia="zh-CN"/>
        </w:rPr>
        <w:t>élevant à 969,4 </w:t>
      </w:r>
      <w:r w:rsidR="006D2EAC" w:rsidRPr="004A3269">
        <w:rPr>
          <w:rFonts w:eastAsia="SimSun"/>
          <w:lang w:eastAsia="zh-CN"/>
        </w:rPr>
        <w:t>millions de francs</w:t>
      </w:r>
      <w:r w:rsidRPr="004A3269">
        <w:rPr>
          <w:rFonts w:eastAsia="SimSun"/>
          <w:lang w:eastAsia="zh-CN"/>
        </w:rPr>
        <w:t xml:space="preserve"> suisses et des passifs à 723,6 </w:t>
      </w:r>
      <w:r w:rsidR="006D2EAC" w:rsidRPr="004A3269">
        <w:rPr>
          <w:rFonts w:eastAsia="SimSun"/>
          <w:lang w:eastAsia="zh-CN"/>
        </w:rPr>
        <w:t>millions.</w:t>
      </w:r>
      <w:r w:rsidR="001409B3" w:rsidRPr="004A3269">
        <w:rPr>
          <w:rFonts w:eastAsia="SimSun"/>
          <w:lang w:eastAsia="zh-CN"/>
        </w:rPr>
        <w:t xml:space="preserve"> </w:t>
      </w:r>
      <w:r w:rsidRPr="004A3269">
        <w:rPr>
          <w:rFonts w:eastAsia="SimSun"/>
          <w:lang w:eastAsia="zh-CN"/>
        </w:rPr>
        <w:t xml:space="preserve"> </w:t>
      </w:r>
      <w:r w:rsidR="006D2EAC" w:rsidRPr="004A3269">
        <w:rPr>
          <w:rFonts w:eastAsia="SimSun"/>
          <w:lang w:eastAsia="zh-CN"/>
        </w:rPr>
        <w:t>Les act</w:t>
      </w:r>
      <w:r w:rsidRPr="004A3269">
        <w:rPr>
          <w:rFonts w:eastAsia="SimSun"/>
          <w:lang w:eastAsia="zh-CN"/>
        </w:rPr>
        <w:t>ifs nets étaient passés à 245,8 millions à la fin de 2014 contre le solde de 208,8 millions à la fin de </w:t>
      </w:r>
      <w:r w:rsidR="006D2EAC" w:rsidRPr="004A3269">
        <w:rPr>
          <w:rFonts w:eastAsia="SimSun"/>
          <w:lang w:eastAsia="zh-CN"/>
        </w:rPr>
        <w:t>2013 et ce, grâce à l</w:t>
      </w:r>
      <w:r w:rsidR="009021AA" w:rsidRPr="004A3269">
        <w:rPr>
          <w:rFonts w:eastAsia="SimSun"/>
          <w:lang w:eastAsia="zh-CN"/>
        </w:rPr>
        <w:t>’</w:t>
      </w:r>
      <w:r w:rsidR="006D2EAC" w:rsidRPr="004A3269">
        <w:rPr>
          <w:rFonts w:eastAsia="SimSun"/>
          <w:lang w:eastAsia="zh-CN"/>
        </w:rPr>
        <w:t>excédent déga</w:t>
      </w:r>
      <w:r w:rsidRPr="004A3269">
        <w:rPr>
          <w:rFonts w:eastAsia="SimSun"/>
          <w:lang w:eastAsia="zh-CN"/>
        </w:rPr>
        <w:t>gé pour</w:t>
      </w:r>
      <w:r w:rsidR="00067463" w:rsidRPr="004A3269">
        <w:rPr>
          <w:rFonts w:eastAsia="SimSun"/>
          <w:lang w:eastAsia="zh-CN"/>
        </w:rPr>
        <w:t> </w:t>
      </w:r>
      <w:r w:rsidRPr="004A3269">
        <w:rPr>
          <w:rFonts w:eastAsia="SimSun"/>
          <w:lang w:eastAsia="zh-CN"/>
        </w:rPr>
        <w:t>2014 de </w:t>
      </w:r>
      <w:r w:rsidR="006D2EAC" w:rsidRPr="004A3269">
        <w:rPr>
          <w:rFonts w:eastAsia="SimSun"/>
          <w:lang w:eastAsia="zh-CN"/>
        </w:rPr>
        <w:t>37,0</w:t>
      </w:r>
      <w:r w:rsidR="00067463" w:rsidRPr="004A3269">
        <w:rPr>
          <w:rFonts w:eastAsia="SimSun"/>
          <w:lang w:eastAsia="zh-CN"/>
        </w:rPr>
        <w:t> </w:t>
      </w:r>
      <w:r w:rsidR="006D2EAC" w:rsidRPr="004A3269">
        <w:rPr>
          <w:rFonts w:eastAsia="SimSun"/>
          <w:lang w:eastAsia="zh-CN"/>
        </w:rPr>
        <w:t>millions.</w:t>
      </w:r>
    </w:p>
    <w:p w:rsidR="00267140" w:rsidRPr="004A3269" w:rsidRDefault="006B5D50" w:rsidP="00C52155">
      <w:pPr>
        <w:pStyle w:val="ONUMFS"/>
        <w:rPr>
          <w:rFonts w:eastAsia="SimSun"/>
          <w:lang w:eastAsia="zh-CN"/>
        </w:rPr>
      </w:pPr>
      <w:r w:rsidRPr="004A3269">
        <w:rPr>
          <w:rStyle w:val="hps"/>
        </w:rPr>
        <w:t>Il convient de noter que</w:t>
      </w:r>
      <w:r w:rsidRPr="004A3269">
        <w:t xml:space="preserve">, </w:t>
      </w:r>
      <w:r w:rsidRPr="004A3269">
        <w:rPr>
          <w:rStyle w:val="hps"/>
        </w:rPr>
        <w:t>suite à la modification de la politique comptable</w:t>
      </w:r>
      <w:r w:rsidRPr="004A3269">
        <w:t xml:space="preserve"> relative à</w:t>
      </w:r>
      <w:r w:rsidRPr="004A3269">
        <w:rPr>
          <w:rStyle w:val="hps"/>
        </w:rPr>
        <w:t xml:space="preserve"> la</w:t>
      </w:r>
      <w:r w:rsidRPr="004A3269">
        <w:t xml:space="preserve"> </w:t>
      </w:r>
      <w:r w:rsidRPr="004A3269">
        <w:rPr>
          <w:rStyle w:val="hps"/>
        </w:rPr>
        <w:t>comptabilisation des recettes provenant des demandes internationales de brevet</w:t>
      </w:r>
      <w:r w:rsidRPr="004A3269">
        <w:t xml:space="preserve">, </w:t>
      </w:r>
      <w:r w:rsidRPr="004A3269">
        <w:rPr>
          <w:rStyle w:val="hps"/>
        </w:rPr>
        <w:t>l</w:t>
      </w:r>
      <w:r w:rsidR="009021AA" w:rsidRPr="004A3269">
        <w:rPr>
          <w:rStyle w:val="hps"/>
        </w:rPr>
        <w:t>’</w:t>
      </w:r>
      <w:r w:rsidRPr="004A3269">
        <w:rPr>
          <w:rStyle w:val="hps"/>
        </w:rPr>
        <w:t>OMPI</w:t>
      </w:r>
      <w:r w:rsidRPr="004A3269">
        <w:t xml:space="preserve"> </w:t>
      </w:r>
      <w:r w:rsidRPr="004A3269">
        <w:rPr>
          <w:rStyle w:val="hps"/>
        </w:rPr>
        <w:t>a été</w:t>
      </w:r>
      <w:r w:rsidRPr="004A3269">
        <w:t xml:space="preserve"> </w:t>
      </w:r>
      <w:r w:rsidRPr="004A3269">
        <w:rPr>
          <w:rStyle w:val="hps"/>
        </w:rPr>
        <w:t>tenue de restructurer</w:t>
      </w:r>
      <w:r w:rsidRPr="004A3269">
        <w:t xml:space="preserve"> </w:t>
      </w:r>
      <w:r w:rsidRPr="004A3269">
        <w:rPr>
          <w:rStyle w:val="hps"/>
        </w:rPr>
        <w:t>ses actifs nets</w:t>
      </w:r>
      <w:r w:rsidRPr="004A3269">
        <w:t xml:space="preserve"> </w:t>
      </w:r>
      <w:r w:rsidRPr="004A3269">
        <w:rPr>
          <w:rStyle w:val="hps"/>
        </w:rPr>
        <w:t>au 31</w:t>
      </w:r>
      <w:r w:rsidRPr="004A3269">
        <w:t> d</w:t>
      </w:r>
      <w:r w:rsidRPr="004A3269">
        <w:rPr>
          <w:rStyle w:val="hps"/>
        </w:rPr>
        <w:t>écembre</w:t>
      </w:r>
      <w:r w:rsidRPr="004A3269">
        <w:t> </w:t>
      </w:r>
      <w:r w:rsidRPr="004A3269">
        <w:rPr>
          <w:rStyle w:val="hps"/>
        </w:rPr>
        <w:t>2012.  À la fin de</w:t>
      </w:r>
      <w:r w:rsidRPr="004A3269">
        <w:t> </w:t>
      </w:r>
      <w:r w:rsidRPr="004A3269">
        <w:rPr>
          <w:rStyle w:val="hps"/>
        </w:rPr>
        <w:t>2012,</w:t>
      </w:r>
      <w:r w:rsidRPr="004A3269">
        <w:t xml:space="preserve"> les actifs nets restructurés s</w:t>
      </w:r>
      <w:r w:rsidR="009021AA" w:rsidRPr="004A3269">
        <w:t>’</w:t>
      </w:r>
      <w:r w:rsidRPr="004A3269">
        <w:t xml:space="preserve">élevaient à </w:t>
      </w:r>
      <w:r w:rsidRPr="004A3269">
        <w:rPr>
          <w:rStyle w:val="hps"/>
        </w:rPr>
        <w:t>193,7 millions</w:t>
      </w:r>
      <w:r w:rsidRPr="004A3269">
        <w:t xml:space="preserve"> </w:t>
      </w:r>
      <w:r w:rsidRPr="004A3269">
        <w:rPr>
          <w:rStyle w:val="hps"/>
        </w:rPr>
        <w:t>de francs suisses</w:t>
      </w:r>
      <w:r w:rsidRPr="004A3269">
        <w:t xml:space="preserve"> </w:t>
      </w:r>
      <w:r w:rsidRPr="004A3269">
        <w:rPr>
          <w:rStyle w:val="hps"/>
        </w:rPr>
        <w:t>(alors qu</w:t>
      </w:r>
      <w:r w:rsidR="009021AA" w:rsidRPr="004A3269">
        <w:rPr>
          <w:rStyle w:val="hps"/>
        </w:rPr>
        <w:t>’</w:t>
      </w:r>
      <w:r w:rsidRPr="004A3269">
        <w:rPr>
          <w:rStyle w:val="hps"/>
        </w:rPr>
        <w:t>ils s</w:t>
      </w:r>
      <w:r w:rsidR="009021AA" w:rsidRPr="004A3269">
        <w:rPr>
          <w:rStyle w:val="hps"/>
        </w:rPr>
        <w:t>’</w:t>
      </w:r>
      <w:r w:rsidRPr="004A3269">
        <w:rPr>
          <w:rStyle w:val="hps"/>
        </w:rPr>
        <w:t>élevaient précédemment à</w:t>
      </w:r>
      <w:r w:rsidRPr="004A3269">
        <w:t xml:space="preserve"> </w:t>
      </w:r>
      <w:r w:rsidRPr="004A3269">
        <w:rPr>
          <w:rStyle w:val="hps"/>
        </w:rPr>
        <w:t>178,2 millions</w:t>
      </w:r>
      <w:r w:rsidRPr="004A3269">
        <w:t xml:space="preserve"> </w:t>
      </w:r>
      <w:r w:rsidRPr="004A3269">
        <w:rPr>
          <w:rStyle w:val="hps"/>
        </w:rPr>
        <w:t>de francs suisses</w:t>
      </w:r>
      <w:r w:rsidRPr="004A3269">
        <w:t xml:space="preserve">).  </w:t>
      </w:r>
      <w:r w:rsidRPr="004A3269">
        <w:rPr>
          <w:rStyle w:val="hps"/>
        </w:rPr>
        <w:t>En 2013,</w:t>
      </w:r>
      <w:r w:rsidRPr="004A3269">
        <w:t xml:space="preserve"> </w:t>
      </w:r>
      <w:r w:rsidRPr="004A3269">
        <w:rPr>
          <w:rStyle w:val="hps"/>
        </w:rPr>
        <w:t>l</w:t>
      </w:r>
      <w:r w:rsidR="009021AA" w:rsidRPr="004A3269">
        <w:rPr>
          <w:rStyle w:val="hps"/>
        </w:rPr>
        <w:t>’</w:t>
      </w:r>
      <w:r w:rsidRPr="004A3269">
        <w:rPr>
          <w:rStyle w:val="hps"/>
        </w:rPr>
        <w:t>Organisation</w:t>
      </w:r>
      <w:r w:rsidRPr="004A3269">
        <w:t xml:space="preserve"> </w:t>
      </w:r>
      <w:r w:rsidRPr="004A3269">
        <w:rPr>
          <w:rStyle w:val="hps"/>
        </w:rPr>
        <w:t>a dégagé un excédent</w:t>
      </w:r>
      <w:r w:rsidRPr="004A3269">
        <w:t xml:space="preserve"> </w:t>
      </w:r>
      <w:r w:rsidRPr="004A3269">
        <w:rPr>
          <w:rStyle w:val="hps"/>
        </w:rPr>
        <w:t>de 15,1 millions de francs suisses</w:t>
      </w:r>
      <w:r w:rsidR="00391190" w:rsidRPr="004A3269">
        <w:rPr>
          <w:rFonts w:eastAsia="SimSun"/>
          <w:lang w:eastAsia="zh-CN"/>
        </w:rPr>
        <w:t>.</w:t>
      </w:r>
    </w:p>
    <w:p w:rsidR="00267140" w:rsidRPr="004A3269" w:rsidRDefault="00094A7A" w:rsidP="00094A7A">
      <w:pPr>
        <w:jc w:val="center"/>
        <w:rPr>
          <w:rFonts w:eastAsia="SimSun"/>
          <w:u w:val="single"/>
          <w:lang w:eastAsia="zh-CN"/>
        </w:rPr>
      </w:pPr>
      <w:r w:rsidRPr="004A3269">
        <w:rPr>
          <w:rFonts w:eastAsia="SimSun"/>
          <w:u w:val="single"/>
          <w:lang w:eastAsia="zh-CN"/>
        </w:rPr>
        <w:t>Évolution des actifs nets entre 2012 et 2014</w:t>
      </w:r>
    </w:p>
    <w:p w:rsidR="00267140" w:rsidRPr="004A3269" w:rsidRDefault="00267140" w:rsidP="00B50911">
      <w:pPr>
        <w:jc w:val="center"/>
        <w:rPr>
          <w:rFonts w:eastAsia="SimSun"/>
          <w:i/>
          <w:sz w:val="16"/>
          <w:szCs w:val="16"/>
          <w:lang w:eastAsia="zh-CN"/>
        </w:rPr>
      </w:pPr>
    </w:p>
    <w:p w:rsidR="0004616B" w:rsidRPr="004A3269" w:rsidRDefault="0004616B" w:rsidP="00716C41">
      <w:pPr>
        <w:spacing w:after="220"/>
        <w:jc w:val="center"/>
        <w:rPr>
          <w:rFonts w:eastAsia="SimSun"/>
          <w:lang w:eastAsia="zh-CN"/>
        </w:rPr>
      </w:pPr>
      <w:r w:rsidRPr="004A3269">
        <w:rPr>
          <w:rFonts w:eastAsia="SimSun"/>
          <w:noProof/>
          <w:lang w:val="en-US"/>
        </w:rPr>
        <w:drawing>
          <wp:inline distT="0" distB="0" distL="0" distR="0" wp14:anchorId="7C44DB4B" wp14:editId="789DBCA3">
            <wp:extent cx="5164455" cy="32004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64455" cy="3200400"/>
                    </a:xfrm>
                    <a:prstGeom prst="rect">
                      <a:avLst/>
                    </a:prstGeom>
                    <a:noFill/>
                    <a:ln>
                      <a:noFill/>
                    </a:ln>
                  </pic:spPr>
                </pic:pic>
              </a:graphicData>
            </a:graphic>
          </wp:inline>
        </w:drawing>
      </w:r>
    </w:p>
    <w:p w:rsidR="00267140" w:rsidRPr="004A3269" w:rsidRDefault="00094A7A" w:rsidP="00C52155">
      <w:pPr>
        <w:pStyle w:val="ONUMFS"/>
        <w:rPr>
          <w:rFonts w:eastAsia="SimSun"/>
          <w:lang w:eastAsia="zh-CN"/>
        </w:rPr>
      </w:pPr>
      <w:r w:rsidRPr="004A3269">
        <w:rPr>
          <w:rFonts w:eastAsia="SimSun"/>
          <w:lang w:eastAsia="zh-CN"/>
        </w:rPr>
        <w:t>Le graphique ci</w:t>
      </w:r>
      <w:r w:rsidR="00A17552" w:rsidRPr="004A3269">
        <w:rPr>
          <w:rFonts w:eastAsia="SimSun"/>
          <w:lang w:eastAsia="zh-CN"/>
        </w:rPr>
        <w:noBreakHyphen/>
      </w:r>
      <w:r w:rsidRPr="004A3269">
        <w:rPr>
          <w:rFonts w:eastAsia="SimSun"/>
          <w:lang w:eastAsia="zh-CN"/>
        </w:rPr>
        <w:t>dessous fournit un résumé de l</w:t>
      </w:r>
      <w:r w:rsidR="009021AA" w:rsidRPr="004A3269">
        <w:rPr>
          <w:rFonts w:eastAsia="SimSun"/>
          <w:lang w:eastAsia="zh-CN"/>
        </w:rPr>
        <w:t>’</w:t>
      </w:r>
      <w:r w:rsidRPr="004A3269">
        <w:rPr>
          <w:rFonts w:eastAsia="SimSun"/>
          <w:lang w:eastAsia="zh-CN"/>
        </w:rPr>
        <w:t>état de la situa</w:t>
      </w:r>
      <w:r w:rsidR="00AC55DB" w:rsidRPr="004A3269">
        <w:rPr>
          <w:rFonts w:eastAsia="SimSun"/>
          <w:lang w:eastAsia="zh-CN"/>
        </w:rPr>
        <w:t>tion financière de l</w:t>
      </w:r>
      <w:r w:rsidR="009021AA" w:rsidRPr="004A3269">
        <w:rPr>
          <w:rFonts w:eastAsia="SimSun"/>
          <w:lang w:eastAsia="zh-CN"/>
        </w:rPr>
        <w:t>’</w:t>
      </w:r>
      <w:r w:rsidR="00AC55DB" w:rsidRPr="004A3269">
        <w:rPr>
          <w:rFonts w:eastAsia="SimSun"/>
          <w:lang w:eastAsia="zh-CN"/>
        </w:rPr>
        <w:t>OMPI au 31 </w:t>
      </w:r>
      <w:r w:rsidRPr="004A3269">
        <w:rPr>
          <w:rFonts w:eastAsia="SimSun"/>
          <w:lang w:eastAsia="zh-CN"/>
        </w:rPr>
        <w:t>décembre</w:t>
      </w:r>
      <w:r w:rsidR="00AC55DB" w:rsidRPr="004A3269">
        <w:rPr>
          <w:rFonts w:eastAsia="SimSun"/>
          <w:lang w:eastAsia="zh-CN"/>
        </w:rPr>
        <w:t> </w:t>
      </w:r>
      <w:r w:rsidRPr="004A3269">
        <w:rPr>
          <w:rFonts w:eastAsia="SimSun"/>
          <w:lang w:eastAsia="zh-CN"/>
        </w:rPr>
        <w:t>2014.</w:t>
      </w:r>
    </w:p>
    <w:p w:rsidR="00267140" w:rsidRPr="00C52155" w:rsidRDefault="00267140" w:rsidP="00C52155">
      <w:pPr>
        <w:rPr>
          <w:rFonts w:eastAsia="SimSun"/>
        </w:rPr>
      </w:pPr>
    </w:p>
    <w:p w:rsidR="00267140" w:rsidRPr="004A3269" w:rsidRDefault="00094A7A" w:rsidP="00C52155">
      <w:pPr>
        <w:keepNext/>
        <w:keepLines/>
        <w:jc w:val="center"/>
        <w:rPr>
          <w:rFonts w:eastAsia="SimSun"/>
          <w:szCs w:val="22"/>
          <w:u w:val="single"/>
          <w:lang w:eastAsia="zh-CN"/>
        </w:rPr>
      </w:pPr>
      <w:r w:rsidRPr="004A3269">
        <w:rPr>
          <w:rFonts w:eastAsia="SimSun"/>
          <w:szCs w:val="22"/>
          <w:u w:val="single"/>
          <w:lang w:eastAsia="zh-CN"/>
        </w:rPr>
        <w:lastRenderedPageBreak/>
        <w:t xml:space="preserve">Résumé des actifs et des passifs au </w:t>
      </w:r>
      <w:r w:rsidR="00A0797A" w:rsidRPr="004A3269">
        <w:rPr>
          <w:rFonts w:eastAsia="SimSun"/>
          <w:szCs w:val="22"/>
          <w:u w:val="single"/>
          <w:lang w:eastAsia="zh-CN"/>
        </w:rPr>
        <w:t>31 décembre </w:t>
      </w:r>
      <w:r w:rsidRPr="004A3269">
        <w:rPr>
          <w:rFonts w:eastAsia="SimSun"/>
          <w:szCs w:val="22"/>
          <w:u w:val="single"/>
          <w:lang w:eastAsia="zh-CN"/>
        </w:rPr>
        <w:t>2014</w:t>
      </w:r>
    </w:p>
    <w:p w:rsidR="00267140" w:rsidRPr="004A3269" w:rsidRDefault="00267140" w:rsidP="00C52155">
      <w:pPr>
        <w:keepNext/>
        <w:keepLines/>
        <w:jc w:val="center"/>
        <w:rPr>
          <w:rFonts w:eastAsia="SimSun"/>
          <w:sz w:val="16"/>
          <w:szCs w:val="22"/>
          <w:lang w:eastAsia="zh-CN"/>
        </w:rPr>
      </w:pPr>
    </w:p>
    <w:p w:rsidR="0004616B" w:rsidRPr="004A3269" w:rsidRDefault="0004616B" w:rsidP="00C52155">
      <w:pPr>
        <w:keepNext/>
        <w:keepLines/>
        <w:spacing w:after="220"/>
        <w:jc w:val="center"/>
        <w:rPr>
          <w:rFonts w:eastAsia="SimSun"/>
          <w:b/>
          <w:i/>
          <w:szCs w:val="22"/>
          <w:lang w:eastAsia="zh-CN"/>
        </w:rPr>
      </w:pPr>
      <w:r w:rsidRPr="004A3269">
        <w:rPr>
          <w:rFonts w:eastAsia="SimSun"/>
          <w:noProof/>
          <w:lang w:val="en-US"/>
        </w:rPr>
        <w:drawing>
          <wp:inline distT="0" distB="0" distL="0" distR="0" wp14:anchorId="4FE1D7F1" wp14:editId="262618E9">
            <wp:extent cx="5977255" cy="3541671"/>
            <wp:effectExtent l="0" t="0" r="4445" b="190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7255" cy="3541671"/>
                    </a:xfrm>
                    <a:prstGeom prst="rect">
                      <a:avLst/>
                    </a:prstGeom>
                    <a:noFill/>
                    <a:ln>
                      <a:noFill/>
                    </a:ln>
                  </pic:spPr>
                </pic:pic>
              </a:graphicData>
            </a:graphic>
          </wp:inline>
        </w:drawing>
      </w:r>
    </w:p>
    <w:p w:rsidR="00267140" w:rsidRPr="004A3269" w:rsidRDefault="006B5D50" w:rsidP="000A2C65">
      <w:pPr>
        <w:spacing w:after="220"/>
        <w:jc w:val="both"/>
        <w:rPr>
          <w:rFonts w:eastAsia="SimSun"/>
          <w:b/>
          <w:i/>
          <w:szCs w:val="22"/>
          <w:lang w:eastAsia="zh-CN"/>
        </w:rPr>
      </w:pPr>
      <w:r w:rsidRPr="004A3269">
        <w:rPr>
          <w:rFonts w:eastAsia="SimSun"/>
          <w:b/>
          <w:i/>
          <w:szCs w:val="22"/>
          <w:lang w:eastAsia="zh-CN"/>
        </w:rPr>
        <w:t>Actifs</w:t>
      </w:r>
    </w:p>
    <w:p w:rsidR="009021AA" w:rsidRPr="004A3269" w:rsidRDefault="00D16470" w:rsidP="00A435F8">
      <w:pPr>
        <w:pStyle w:val="ONUMFS"/>
        <w:rPr>
          <w:rFonts w:eastAsia="SimSun"/>
          <w:lang w:eastAsia="zh-CN"/>
        </w:rPr>
      </w:pPr>
      <w:r w:rsidRPr="004A3269">
        <w:rPr>
          <w:rFonts w:eastAsia="SimSun"/>
          <w:lang w:eastAsia="zh-CN"/>
        </w:rPr>
        <w:t>L</w:t>
      </w:r>
      <w:r w:rsidR="009021AA" w:rsidRPr="004A3269">
        <w:rPr>
          <w:rFonts w:eastAsia="SimSun"/>
          <w:lang w:eastAsia="zh-CN"/>
        </w:rPr>
        <w:t>’</w:t>
      </w:r>
      <w:r w:rsidRPr="004A3269">
        <w:rPr>
          <w:rFonts w:eastAsia="SimSun"/>
          <w:lang w:eastAsia="zh-CN"/>
        </w:rPr>
        <w:t xml:space="preserve">Organisation </w:t>
      </w:r>
      <w:proofErr w:type="gramStart"/>
      <w:r w:rsidRPr="004A3269">
        <w:rPr>
          <w:rFonts w:eastAsia="SimSun"/>
          <w:lang w:eastAsia="zh-CN"/>
        </w:rPr>
        <w:t>a</w:t>
      </w:r>
      <w:proofErr w:type="gramEnd"/>
      <w:r w:rsidRPr="004A3269">
        <w:rPr>
          <w:rFonts w:eastAsia="SimSun"/>
          <w:lang w:eastAsia="zh-CN"/>
        </w:rPr>
        <w:t xml:space="preserve"> des soldes de trésorerie d</w:t>
      </w:r>
      <w:r w:rsidR="009021AA" w:rsidRPr="004A3269">
        <w:rPr>
          <w:rFonts w:eastAsia="SimSun"/>
          <w:lang w:eastAsia="zh-CN"/>
        </w:rPr>
        <w:t>’</w:t>
      </w:r>
      <w:r w:rsidRPr="004A3269">
        <w:rPr>
          <w:rFonts w:eastAsia="SimSun"/>
          <w:lang w:eastAsia="zh-CN"/>
        </w:rPr>
        <w:t>un montant de 474,5</w:t>
      </w:r>
      <w:r w:rsidR="00067463" w:rsidRPr="004A3269">
        <w:rPr>
          <w:rFonts w:eastAsia="SimSun"/>
          <w:lang w:eastAsia="zh-CN"/>
        </w:rPr>
        <w:t> </w:t>
      </w:r>
      <w:r w:rsidRPr="004A3269">
        <w:rPr>
          <w:rFonts w:eastAsia="SimSun"/>
          <w:lang w:eastAsia="zh-CN"/>
        </w:rPr>
        <w:t>millions de francs suisses, soit 48,9% du total des actifs, bien que cela comprenn</w:t>
      </w:r>
      <w:r w:rsidR="00AC55DB" w:rsidRPr="004A3269">
        <w:rPr>
          <w:rFonts w:eastAsia="SimSun"/>
          <w:lang w:eastAsia="zh-CN"/>
        </w:rPr>
        <w:t>e des montants totalisant 249,8 </w:t>
      </w:r>
      <w:r w:rsidRPr="004A3269">
        <w:rPr>
          <w:rFonts w:eastAsia="SimSun"/>
          <w:lang w:eastAsia="zh-CN"/>
        </w:rPr>
        <w:t>millions qui sont classés comme réservés en vertu des normes</w:t>
      </w:r>
      <w:r w:rsidR="00067463" w:rsidRPr="004A3269">
        <w:rPr>
          <w:rFonts w:eastAsia="SimSun"/>
          <w:lang w:eastAsia="zh-CN"/>
        </w:rPr>
        <w:t> </w:t>
      </w:r>
      <w:r w:rsidRPr="004A3269">
        <w:rPr>
          <w:rFonts w:eastAsia="SimSun"/>
          <w:lang w:eastAsia="zh-CN"/>
        </w:rPr>
        <w:t xml:space="preserve">IPSAS.  Le total des soldes de trésorerie a augmenté </w:t>
      </w:r>
      <w:r w:rsidR="001C1C95" w:rsidRPr="004A3269">
        <w:rPr>
          <w:rFonts w:eastAsia="SimSun"/>
          <w:lang w:eastAsia="zh-CN"/>
        </w:rPr>
        <w:t>de manière significative</w:t>
      </w:r>
      <w:r w:rsidRPr="004A3269">
        <w:rPr>
          <w:rFonts w:eastAsia="SimSun"/>
          <w:lang w:eastAsia="zh-CN"/>
        </w:rPr>
        <w:t xml:space="preserve"> </w:t>
      </w:r>
      <w:r w:rsidR="00AC55DB" w:rsidRPr="004A3269">
        <w:rPr>
          <w:rFonts w:eastAsia="SimSun"/>
          <w:lang w:eastAsia="zh-CN"/>
        </w:rPr>
        <w:t>par rapport au solde de 409,9 millions au 31 </w:t>
      </w:r>
      <w:r w:rsidRPr="004A3269">
        <w:rPr>
          <w:rFonts w:eastAsia="SimSun"/>
          <w:lang w:eastAsia="zh-CN"/>
        </w:rPr>
        <w:t>décembre</w:t>
      </w:r>
      <w:r w:rsidR="00AC55DB" w:rsidRPr="004A3269">
        <w:rPr>
          <w:rFonts w:eastAsia="SimSun"/>
          <w:lang w:eastAsia="zh-CN"/>
        </w:rPr>
        <w:t> </w:t>
      </w:r>
      <w:r w:rsidRPr="004A3269">
        <w:rPr>
          <w:rFonts w:eastAsia="SimSun"/>
          <w:lang w:eastAsia="zh-CN"/>
        </w:rPr>
        <w:t>2013, ces soldes étant investis selon le cas conformément à la politique de l</w:t>
      </w:r>
      <w:r w:rsidR="009021AA" w:rsidRPr="004A3269">
        <w:rPr>
          <w:rFonts w:eastAsia="SimSun"/>
          <w:lang w:eastAsia="zh-CN"/>
        </w:rPr>
        <w:t>’</w:t>
      </w:r>
      <w:r w:rsidRPr="004A3269">
        <w:rPr>
          <w:rFonts w:eastAsia="SimSun"/>
          <w:lang w:eastAsia="zh-CN"/>
        </w:rPr>
        <w:t>OMPI en matière de placements.</w:t>
      </w:r>
    </w:p>
    <w:p w:rsidR="001C1C95" w:rsidRPr="004A3269" w:rsidRDefault="00D16470" w:rsidP="00A435F8">
      <w:pPr>
        <w:pStyle w:val="ONUMFS"/>
        <w:rPr>
          <w:rFonts w:eastAsia="SimSun"/>
          <w:szCs w:val="22"/>
          <w:lang w:eastAsia="zh-CN"/>
        </w:rPr>
      </w:pPr>
      <w:r w:rsidRPr="004A3269">
        <w:rPr>
          <w:rFonts w:eastAsia="SimSun"/>
          <w:lang w:eastAsia="zh-CN"/>
        </w:rPr>
        <w:t>L</w:t>
      </w:r>
      <w:r w:rsidR="009021AA" w:rsidRPr="004A3269">
        <w:rPr>
          <w:rFonts w:eastAsia="SimSun"/>
          <w:lang w:eastAsia="zh-CN"/>
        </w:rPr>
        <w:t>’</w:t>
      </w:r>
      <w:r w:rsidRPr="004A3269">
        <w:rPr>
          <w:rFonts w:eastAsia="SimSun"/>
          <w:lang w:eastAsia="zh-CN"/>
        </w:rPr>
        <w:t>Organisation détient d</w:t>
      </w:r>
      <w:r w:rsidR="009021AA" w:rsidRPr="004A3269">
        <w:rPr>
          <w:rFonts w:eastAsia="SimSun"/>
          <w:lang w:eastAsia="zh-CN"/>
        </w:rPr>
        <w:t>’</w:t>
      </w:r>
      <w:r w:rsidRPr="004A3269">
        <w:rPr>
          <w:rFonts w:eastAsia="SimSun"/>
          <w:lang w:eastAsia="zh-CN"/>
        </w:rPr>
        <w:t>importants actifs fixes (terrains, bâtiments, immeuble de placement, actifs incorporels et matériel) d</w:t>
      </w:r>
      <w:r w:rsidR="009021AA" w:rsidRPr="004A3269">
        <w:rPr>
          <w:rFonts w:eastAsia="SimSun"/>
          <w:lang w:eastAsia="zh-CN"/>
        </w:rPr>
        <w:t>’</w:t>
      </w:r>
      <w:r w:rsidRPr="004A3269">
        <w:rPr>
          <w:rFonts w:eastAsia="SimSun"/>
          <w:lang w:eastAsia="zh-CN"/>
        </w:rPr>
        <w:t>une valeur comptable ne</w:t>
      </w:r>
      <w:r w:rsidR="00AC55DB" w:rsidRPr="004A3269">
        <w:rPr>
          <w:rFonts w:eastAsia="SimSun"/>
          <w:lang w:eastAsia="zh-CN"/>
        </w:rPr>
        <w:t>tte de 419,7 </w:t>
      </w:r>
      <w:r w:rsidRPr="004A3269">
        <w:rPr>
          <w:rFonts w:eastAsia="SimSun"/>
          <w:lang w:eastAsia="zh-CN"/>
        </w:rPr>
        <w:t>millions</w:t>
      </w:r>
      <w:r w:rsidR="00AC55DB" w:rsidRPr="004A3269">
        <w:rPr>
          <w:rFonts w:eastAsia="SimSun"/>
          <w:lang w:eastAsia="zh-CN"/>
        </w:rPr>
        <w:t xml:space="preserve"> de francs suisses contre 396,4 </w:t>
      </w:r>
      <w:r w:rsidRPr="004A3269">
        <w:rPr>
          <w:rFonts w:eastAsia="SimSun"/>
          <w:lang w:eastAsia="zh-CN"/>
        </w:rPr>
        <w:t>millions au 31</w:t>
      </w:r>
      <w:r w:rsidR="00AC55DB" w:rsidRPr="004A3269">
        <w:rPr>
          <w:rFonts w:eastAsia="SimSun"/>
          <w:lang w:eastAsia="zh-CN"/>
        </w:rPr>
        <w:t> </w:t>
      </w:r>
      <w:r w:rsidRPr="004A3269">
        <w:rPr>
          <w:rFonts w:eastAsia="SimSun"/>
          <w:lang w:eastAsia="zh-CN"/>
        </w:rPr>
        <w:t>décembre</w:t>
      </w:r>
      <w:r w:rsidR="00AC55DB" w:rsidRPr="004A3269">
        <w:rPr>
          <w:rFonts w:eastAsia="SimSun"/>
          <w:lang w:eastAsia="zh-CN"/>
        </w:rPr>
        <w:t> </w:t>
      </w:r>
      <w:r w:rsidRPr="004A3269">
        <w:rPr>
          <w:rFonts w:eastAsia="SimSun"/>
          <w:lang w:eastAsia="zh-CN"/>
        </w:rPr>
        <w:t>2013</w:t>
      </w:r>
      <w:r w:rsidR="00A0797A" w:rsidRPr="004A3269">
        <w:rPr>
          <w:rFonts w:eastAsia="SimSun"/>
          <w:lang w:eastAsia="zh-CN"/>
        </w:rPr>
        <w:t xml:space="preserve">.  </w:t>
      </w:r>
      <w:r w:rsidR="001C1C95" w:rsidRPr="004A3269">
        <w:t xml:space="preserve">Au cours de </w:t>
      </w:r>
      <w:r w:rsidR="00DE3BFE" w:rsidRPr="004A3269">
        <w:t>l</w:t>
      </w:r>
      <w:r w:rsidR="009021AA" w:rsidRPr="004A3269">
        <w:t>’</w:t>
      </w:r>
      <w:r w:rsidR="00DE3BFE" w:rsidRPr="004A3269">
        <w:t>année </w:t>
      </w:r>
      <w:r w:rsidR="001C1C95" w:rsidRPr="004A3269">
        <w:t>2014, l</w:t>
      </w:r>
      <w:r w:rsidR="009021AA" w:rsidRPr="004A3269">
        <w:t>’</w:t>
      </w:r>
      <w:r w:rsidR="001C1C95" w:rsidRPr="004A3269">
        <w:t xml:space="preserve">Organisation a </w:t>
      </w:r>
      <w:r w:rsidR="00432CC9" w:rsidRPr="004A3269">
        <w:t>inscrit à l’actif</w:t>
      </w:r>
      <w:r w:rsidR="001C1C95" w:rsidRPr="004A3269">
        <w:t xml:space="preserve"> </w:t>
      </w:r>
      <w:r w:rsidR="00A421C4" w:rsidRPr="004A3269">
        <w:t>l</w:t>
      </w:r>
      <w:r w:rsidR="001C1C95" w:rsidRPr="004A3269">
        <w:t xml:space="preserve">es </w:t>
      </w:r>
      <w:r w:rsidR="00AF3FAB" w:rsidRPr="004A3269">
        <w:t>coûts</w:t>
      </w:r>
      <w:r w:rsidR="001C1C95" w:rsidRPr="004A3269">
        <w:t xml:space="preserve"> </w:t>
      </w:r>
      <w:r w:rsidR="00432CC9" w:rsidRPr="004A3269">
        <w:t>liés à la</w:t>
      </w:r>
      <w:r w:rsidR="001C1C95" w:rsidRPr="004A3269">
        <w:t xml:space="preserve"> construction de la nouvelle salle de conférence et </w:t>
      </w:r>
      <w:r w:rsidR="00432CC9" w:rsidRPr="004A3269">
        <w:t xml:space="preserve">au projet d’installations de sécurité </w:t>
      </w:r>
      <w:r w:rsidR="001C1C95" w:rsidRPr="004A3269">
        <w:t>(</w:t>
      </w:r>
      <w:r w:rsidR="009021AA" w:rsidRPr="004A3269">
        <w:t>y compris</w:t>
      </w:r>
      <w:r w:rsidR="001C1C95" w:rsidRPr="004A3269">
        <w:t xml:space="preserve"> </w:t>
      </w:r>
      <w:r w:rsidR="00A421C4" w:rsidRPr="004A3269">
        <w:t xml:space="preserve">la construction </w:t>
      </w:r>
      <w:r w:rsidR="00DE3BFE" w:rsidRPr="004A3269">
        <w:t>du</w:t>
      </w:r>
      <w:r w:rsidR="001C1C95" w:rsidRPr="004A3269">
        <w:t xml:space="preserve"> centre d</w:t>
      </w:r>
      <w:r w:rsidR="009021AA" w:rsidRPr="004A3269">
        <w:t>’</w:t>
      </w:r>
      <w:r w:rsidR="001C1C95" w:rsidRPr="004A3269">
        <w:t xml:space="preserve">accès et </w:t>
      </w:r>
      <w:r w:rsidR="00DE3BFE" w:rsidRPr="004A3269">
        <w:t>du</w:t>
      </w:r>
      <w:r w:rsidR="001C1C95" w:rsidRPr="004A3269">
        <w:t xml:space="preserve"> périmètre de sécurité), </w:t>
      </w:r>
      <w:r w:rsidR="00DE3BFE" w:rsidRPr="004A3269">
        <w:t xml:space="preserve">ainsi que </w:t>
      </w:r>
      <w:r w:rsidR="00A421C4" w:rsidRPr="004A3269">
        <w:t>les coûts afférents aux</w:t>
      </w:r>
      <w:r w:rsidR="001C1C95" w:rsidRPr="004A3269">
        <w:t xml:space="preserve"> ajouts et </w:t>
      </w:r>
      <w:r w:rsidR="00A421C4" w:rsidRPr="004A3269">
        <w:t>aux</w:t>
      </w:r>
      <w:r w:rsidR="001C1C95" w:rsidRPr="004A3269">
        <w:t xml:space="preserve"> améliorations </w:t>
      </w:r>
      <w:r w:rsidR="00DE3BFE" w:rsidRPr="004A3269">
        <w:t>apportés à des bâtiments occupés existants,</w:t>
      </w:r>
      <w:r w:rsidR="001C1C95" w:rsidRPr="004A3269">
        <w:t xml:space="preserve"> notamment </w:t>
      </w:r>
      <w:r w:rsidR="00DE3BFE" w:rsidRPr="004A3269">
        <w:t>au</w:t>
      </w:r>
      <w:r w:rsidR="001C1C95" w:rsidRPr="004A3269">
        <w:t xml:space="preserve"> bâtiment </w:t>
      </w:r>
      <w:r w:rsidR="00A0797A" w:rsidRPr="004A3269">
        <w:t>A. </w:t>
      </w:r>
      <w:proofErr w:type="spellStart"/>
      <w:r w:rsidR="001C1C95" w:rsidRPr="004A3269">
        <w:t>Bogsch</w:t>
      </w:r>
      <w:proofErr w:type="spellEnd"/>
      <w:r w:rsidR="001C1C95" w:rsidRPr="004A3269">
        <w:t>.  La nouvelle salle de confé</w:t>
      </w:r>
      <w:r w:rsidR="00DE3BFE" w:rsidRPr="004A3269">
        <w:t>rence a été mise en service en septembre </w:t>
      </w:r>
      <w:r w:rsidR="001C1C95" w:rsidRPr="004A3269">
        <w:t xml:space="preserve">2014, et le </w:t>
      </w:r>
      <w:r w:rsidR="00A421C4" w:rsidRPr="004A3269">
        <w:t>projet relatif au</w:t>
      </w:r>
      <w:r w:rsidR="00432CC9" w:rsidRPr="004A3269">
        <w:t>x installations de</w:t>
      </w:r>
      <w:r w:rsidR="00A421C4" w:rsidRPr="004A3269">
        <w:t xml:space="preserve"> sécurité </w:t>
      </w:r>
      <w:r w:rsidR="001C1C95" w:rsidRPr="004A3269">
        <w:t>devrait être achevé</w:t>
      </w:r>
      <w:r w:rsidR="00A421C4" w:rsidRPr="004A3269">
        <w:t xml:space="preserve"> au premier </w:t>
      </w:r>
      <w:r w:rsidR="00DE3BFE" w:rsidRPr="004A3269">
        <w:t>semestre </w:t>
      </w:r>
      <w:r w:rsidR="001C1C95" w:rsidRPr="004A3269">
        <w:t xml:space="preserve">2015. </w:t>
      </w:r>
      <w:r w:rsidR="00DE3BFE" w:rsidRPr="004A3269">
        <w:t xml:space="preserve"> Des coûts à hauteur de 30,4 </w:t>
      </w:r>
      <w:r w:rsidR="001C1C95" w:rsidRPr="004A3269">
        <w:t xml:space="preserve">millions de francs suisses </w:t>
      </w:r>
      <w:r w:rsidR="00DE3BFE" w:rsidRPr="004A3269">
        <w:t>ont été</w:t>
      </w:r>
      <w:r w:rsidR="001C1C95" w:rsidRPr="004A3269">
        <w:t xml:space="preserve"> </w:t>
      </w:r>
      <w:r w:rsidR="00432CC9" w:rsidRPr="004A3269">
        <w:t>comptabilisés</w:t>
      </w:r>
      <w:r w:rsidR="001C1C95" w:rsidRPr="004A3269">
        <w:t xml:space="preserve"> et ajoutés au coût des bâtiments de l</w:t>
      </w:r>
      <w:r w:rsidR="009021AA" w:rsidRPr="004A3269">
        <w:t>’</w:t>
      </w:r>
      <w:r w:rsidR="001C1C95" w:rsidRPr="004A3269">
        <w:t xml:space="preserve">Organisation au cours de </w:t>
      </w:r>
      <w:r w:rsidR="00DE3BFE" w:rsidRPr="004A3269">
        <w:t>l</w:t>
      </w:r>
      <w:r w:rsidR="009021AA" w:rsidRPr="004A3269">
        <w:t>’</w:t>
      </w:r>
      <w:r w:rsidR="00DE3BFE" w:rsidRPr="004A3269">
        <w:t>année </w:t>
      </w:r>
      <w:r w:rsidR="001C1C95" w:rsidRPr="004A3269">
        <w:t xml:space="preserve">2014. </w:t>
      </w:r>
      <w:r w:rsidR="00DE3BFE" w:rsidRPr="004A3269">
        <w:t xml:space="preserve"> </w:t>
      </w:r>
      <w:r w:rsidR="001C1C95" w:rsidRPr="004A3269">
        <w:t>Cette a</w:t>
      </w:r>
      <w:r w:rsidR="00DE3BFE" w:rsidRPr="004A3269">
        <w:t>ugmentation</w:t>
      </w:r>
      <w:r w:rsidR="001C1C95" w:rsidRPr="004A3269">
        <w:t xml:space="preserve"> été partiellement compensée par une charge d</w:t>
      </w:r>
      <w:r w:rsidR="009021AA" w:rsidRPr="004A3269">
        <w:t>’</w:t>
      </w:r>
      <w:r w:rsidR="001C1C95" w:rsidRPr="004A3269">
        <w:t>amortissem</w:t>
      </w:r>
      <w:r w:rsidR="00DE3BFE" w:rsidRPr="004A3269">
        <w:t>ent de 7,1 </w:t>
      </w:r>
      <w:r w:rsidR="001C1C95" w:rsidRPr="004A3269">
        <w:t xml:space="preserve">millions de francs suisses </w:t>
      </w:r>
      <w:r w:rsidR="00DE3BFE" w:rsidRPr="004A3269">
        <w:t>par rapport aux</w:t>
      </w:r>
      <w:r w:rsidR="001C1C95" w:rsidRPr="004A3269">
        <w:t xml:space="preserve"> bâtiments </w:t>
      </w:r>
      <w:r w:rsidR="00DE3BFE" w:rsidRPr="004A3269">
        <w:t xml:space="preserve">dans </w:t>
      </w:r>
      <w:r w:rsidR="001C1C95" w:rsidRPr="004A3269">
        <w:t>l</w:t>
      </w:r>
      <w:r w:rsidR="009021AA" w:rsidRPr="004A3269">
        <w:t>’</w:t>
      </w:r>
      <w:r w:rsidR="001C1C95" w:rsidRPr="004A3269">
        <w:t>année.</w:t>
      </w:r>
    </w:p>
    <w:p w:rsidR="00267140" w:rsidRPr="004A3269" w:rsidRDefault="001C1C95" w:rsidP="00A435F8">
      <w:pPr>
        <w:pStyle w:val="ONUMFS"/>
        <w:rPr>
          <w:rFonts w:eastAsia="SimSun"/>
          <w:szCs w:val="22"/>
          <w:lang w:eastAsia="zh-CN"/>
        </w:rPr>
      </w:pPr>
      <w:r w:rsidRPr="004A3269">
        <w:t>Le tableau ci</w:t>
      </w:r>
      <w:r w:rsidR="00A17552" w:rsidRPr="004A3269">
        <w:noBreakHyphen/>
      </w:r>
      <w:r w:rsidRPr="004A3269">
        <w:t xml:space="preserve">dessous résume les </w:t>
      </w:r>
      <w:r w:rsidR="0032673E" w:rsidRPr="004A3269">
        <w:t xml:space="preserve">immobilisations </w:t>
      </w:r>
      <w:r w:rsidR="00DE3BFE" w:rsidRPr="004A3269">
        <w:t>détenu</w:t>
      </w:r>
      <w:r w:rsidR="0032673E" w:rsidRPr="004A3269">
        <w:t>e</w:t>
      </w:r>
      <w:r w:rsidRPr="004A3269">
        <w:t>s par l</w:t>
      </w:r>
      <w:r w:rsidR="009021AA" w:rsidRPr="004A3269">
        <w:t>’</w:t>
      </w:r>
      <w:r w:rsidRPr="004A3269">
        <w:t xml:space="preserve">Organisation. </w:t>
      </w:r>
      <w:r w:rsidR="00DE3BFE" w:rsidRPr="004A3269">
        <w:t xml:space="preserve"> Les terrains</w:t>
      </w:r>
      <w:r w:rsidRPr="004A3269">
        <w:t xml:space="preserve"> et </w:t>
      </w:r>
      <w:r w:rsidR="00DE3BFE" w:rsidRPr="004A3269">
        <w:t>l</w:t>
      </w:r>
      <w:r w:rsidR="009021AA" w:rsidRPr="004A3269">
        <w:t>’</w:t>
      </w:r>
      <w:r w:rsidR="00DE3BFE" w:rsidRPr="004A3269">
        <w:t>immeuble de placement</w:t>
      </w:r>
      <w:r w:rsidRPr="004A3269">
        <w:t xml:space="preserve"> sont classés différemment selon les normes</w:t>
      </w:r>
      <w:r w:rsidR="00067463" w:rsidRPr="004A3269">
        <w:t> </w:t>
      </w:r>
      <w:r w:rsidRPr="004A3269">
        <w:t xml:space="preserve">IPSAS en fonction de </w:t>
      </w:r>
      <w:r w:rsidR="00107642" w:rsidRPr="004A3269">
        <w:t>l</w:t>
      </w:r>
      <w:r w:rsidR="009021AA" w:rsidRPr="004A3269">
        <w:t>’</w:t>
      </w:r>
      <w:r w:rsidR="00107642" w:rsidRPr="004A3269">
        <w:t>usage auquel ils sont destinés</w:t>
      </w:r>
      <w:r w:rsidRPr="004A3269">
        <w:t xml:space="preserve">, ou de la nature du droit ou </w:t>
      </w:r>
      <w:r w:rsidR="00DE3C53" w:rsidRPr="004A3269">
        <w:t>de l</w:t>
      </w:r>
      <w:r w:rsidR="009021AA" w:rsidRPr="004A3269">
        <w:t>’</w:t>
      </w:r>
      <w:r w:rsidRPr="004A3269">
        <w:t>accord</w:t>
      </w:r>
      <w:r w:rsidR="00DE3BFE" w:rsidRPr="004A3269">
        <w:t xml:space="preserve"> contractuel en vertu duquel ils sont dé</w:t>
      </w:r>
      <w:r w:rsidRPr="004A3269">
        <w:t>tenu</w:t>
      </w:r>
      <w:r w:rsidR="00DE3BFE" w:rsidRPr="004A3269">
        <w:t>s</w:t>
      </w:r>
      <w:r w:rsidRPr="004A3269">
        <w:t xml:space="preserve">. </w:t>
      </w:r>
      <w:r w:rsidR="00DE3BFE" w:rsidRPr="004A3269">
        <w:t xml:space="preserve"> </w:t>
      </w:r>
      <w:r w:rsidR="00DE3C53" w:rsidRPr="004A3269">
        <w:t>En dehors des</w:t>
      </w:r>
      <w:r w:rsidR="00DE3BFE" w:rsidRPr="004A3269">
        <w:t xml:space="preserve"> terrains </w:t>
      </w:r>
      <w:r w:rsidRPr="004A3269">
        <w:t xml:space="preserve">et </w:t>
      </w:r>
      <w:r w:rsidR="00DE3C53" w:rsidRPr="004A3269">
        <w:t>de l</w:t>
      </w:r>
      <w:r w:rsidR="009021AA" w:rsidRPr="004A3269">
        <w:t>’</w:t>
      </w:r>
      <w:r w:rsidR="00DE3C53" w:rsidRPr="004A3269">
        <w:t>immeuble</w:t>
      </w:r>
      <w:r w:rsidRPr="004A3269">
        <w:t xml:space="preserve"> inclus ci</w:t>
      </w:r>
      <w:r w:rsidR="00A17552" w:rsidRPr="004A3269">
        <w:noBreakHyphen/>
      </w:r>
      <w:r w:rsidRPr="004A3269">
        <w:t xml:space="preserve">dessous </w:t>
      </w:r>
      <w:r w:rsidR="00AF3FAB" w:rsidRPr="004A3269">
        <w:t xml:space="preserve">dans les </w:t>
      </w:r>
      <w:r w:rsidR="00DE3BFE" w:rsidRPr="004A3269">
        <w:t>actifs fixes</w:t>
      </w:r>
      <w:r w:rsidRPr="004A3269">
        <w:t>, l</w:t>
      </w:r>
      <w:r w:rsidR="009021AA" w:rsidRPr="004A3269">
        <w:t>’</w:t>
      </w:r>
      <w:r w:rsidRPr="004A3269">
        <w:t xml:space="preserve">Organisation loue </w:t>
      </w:r>
      <w:r w:rsidR="00DE3C53" w:rsidRPr="004A3269">
        <w:t>des</w:t>
      </w:r>
      <w:r w:rsidRPr="004A3269">
        <w:t xml:space="preserve"> espac</w:t>
      </w:r>
      <w:r w:rsidR="00DE3C53" w:rsidRPr="004A3269">
        <w:t>es</w:t>
      </w:r>
      <w:r w:rsidRPr="004A3269">
        <w:t xml:space="preserve">, </w:t>
      </w:r>
      <w:r w:rsidR="00DE3C53" w:rsidRPr="004A3269">
        <w:t xml:space="preserve">des lieux </w:t>
      </w:r>
      <w:r w:rsidRPr="004A3269">
        <w:t xml:space="preserve">de stockage et </w:t>
      </w:r>
      <w:r w:rsidR="00DE3C53" w:rsidRPr="004A3269">
        <w:t xml:space="preserve">des installations complémentaires </w:t>
      </w:r>
      <w:r w:rsidRPr="004A3269">
        <w:t>à Genève</w:t>
      </w:r>
      <w:r w:rsidR="00DE3C53" w:rsidRPr="004A3269">
        <w:t xml:space="preserve">;  elle loue aussi des espaces </w:t>
      </w:r>
      <w:r w:rsidRPr="004A3269">
        <w:t>pour certains de se</w:t>
      </w:r>
      <w:r w:rsidR="00C0148F" w:rsidRPr="004A3269">
        <w:t xml:space="preserve">s bureaux extérieurs (voir la </w:t>
      </w:r>
      <w:r w:rsidR="00DE3BFE" w:rsidRPr="004A3269">
        <w:t>note</w:t>
      </w:r>
      <w:r w:rsidR="00A4745B" w:rsidRPr="004A3269">
        <w:t xml:space="preserve"> n°</w:t>
      </w:r>
      <w:r w:rsidR="00DE3BFE" w:rsidRPr="004A3269">
        <w:t> </w:t>
      </w:r>
      <w:r w:rsidRPr="004A3269">
        <w:t>19).</w:t>
      </w:r>
      <w:r w:rsidR="00DE3BFE" w:rsidRPr="004A3269">
        <w:t xml:space="preserve"> </w:t>
      </w:r>
      <w:r w:rsidRPr="004A3269">
        <w:t xml:space="preserve"> L</w:t>
      </w:r>
      <w:r w:rsidR="009021AA" w:rsidRPr="004A3269">
        <w:t>’</w:t>
      </w:r>
      <w:r w:rsidRPr="004A3269">
        <w:t xml:space="preserve">Organisation </w:t>
      </w:r>
      <w:r w:rsidR="00DE3BFE" w:rsidRPr="004A3269">
        <w:t>s</w:t>
      </w:r>
      <w:r w:rsidR="009021AA" w:rsidRPr="004A3269">
        <w:t>’</w:t>
      </w:r>
      <w:r w:rsidR="00DE3BFE" w:rsidRPr="004A3269">
        <w:t>est également vu accorder</w:t>
      </w:r>
      <w:r w:rsidRPr="004A3269">
        <w:t xml:space="preserve"> des droits de </w:t>
      </w:r>
      <w:r w:rsidR="00C13EB0" w:rsidRPr="004A3269">
        <w:t>superficie</w:t>
      </w:r>
      <w:r w:rsidRPr="004A3269">
        <w:t xml:space="preserve"> </w:t>
      </w:r>
      <w:r w:rsidR="00C13EB0" w:rsidRPr="004A3269">
        <w:t>relatifs à des terrains sur lesquels</w:t>
      </w:r>
      <w:r w:rsidRPr="004A3269">
        <w:t xml:space="preserve"> </w:t>
      </w:r>
      <w:r w:rsidR="00DE3C53" w:rsidRPr="004A3269">
        <w:t xml:space="preserve">est situé </w:t>
      </w:r>
      <w:r w:rsidR="00DE3BFE" w:rsidRPr="004A3269">
        <w:t xml:space="preserve">le siège de </w:t>
      </w:r>
      <w:r w:rsidRPr="004A3269">
        <w:t xml:space="preserve">certains bâtiments. </w:t>
      </w:r>
      <w:r w:rsidR="00DE3BFE" w:rsidRPr="004A3269">
        <w:t xml:space="preserve"> </w:t>
      </w:r>
      <w:r w:rsidRPr="004A3269">
        <w:t xml:space="preserve">Ces droits, acquis </w:t>
      </w:r>
      <w:r w:rsidR="00C13EB0" w:rsidRPr="004A3269">
        <w:t>à un coût nul</w:t>
      </w:r>
      <w:r w:rsidRPr="004A3269">
        <w:t>, ne sont pas comptabilisés dans les états financiers, ma</w:t>
      </w:r>
      <w:r w:rsidR="00DE3BFE" w:rsidRPr="004A3269">
        <w:t>is sont présentés</w:t>
      </w:r>
      <w:r w:rsidR="00C0148F" w:rsidRPr="004A3269">
        <w:t xml:space="preserve"> (voir la </w:t>
      </w:r>
      <w:r w:rsidR="00DE3BFE" w:rsidRPr="004A3269">
        <w:t>note</w:t>
      </w:r>
      <w:r w:rsidR="00A4745B" w:rsidRPr="004A3269">
        <w:t xml:space="preserve"> n°</w:t>
      </w:r>
      <w:r w:rsidR="00DE3BFE" w:rsidRPr="004A3269">
        <w:t> </w:t>
      </w:r>
      <w:r w:rsidRPr="004A3269">
        <w:t>8).</w:t>
      </w:r>
    </w:p>
    <w:p w:rsidR="00267140" w:rsidRPr="004A3269" w:rsidRDefault="0032673E" w:rsidP="00A81B23">
      <w:pPr>
        <w:spacing w:after="220"/>
        <w:jc w:val="center"/>
        <w:rPr>
          <w:rFonts w:eastAsia="SimSun"/>
          <w:szCs w:val="22"/>
          <w:u w:val="single"/>
          <w:lang w:eastAsia="zh-CN"/>
        </w:rPr>
      </w:pPr>
      <w:r w:rsidRPr="004A3269">
        <w:rPr>
          <w:rFonts w:eastAsia="Arial Unicode MS"/>
          <w:szCs w:val="22"/>
          <w:u w:val="single"/>
        </w:rPr>
        <w:lastRenderedPageBreak/>
        <w:t>Immobilisations</w:t>
      </w:r>
      <w:r w:rsidR="00AF3FAB" w:rsidRPr="004A3269">
        <w:rPr>
          <w:rFonts w:eastAsia="Arial Unicode MS"/>
          <w:szCs w:val="22"/>
          <w:u w:val="single"/>
        </w:rPr>
        <w:t xml:space="preserve"> au 31 </w:t>
      </w:r>
      <w:r w:rsidR="00D347D6" w:rsidRPr="004A3269">
        <w:rPr>
          <w:rFonts w:eastAsia="Arial Unicode MS"/>
          <w:szCs w:val="22"/>
          <w:u w:val="single"/>
        </w:rPr>
        <w:t>décembre </w:t>
      </w:r>
      <w:r w:rsidR="00A81B23" w:rsidRPr="004A3269">
        <w:rPr>
          <w:rFonts w:eastAsia="Arial Unicode MS"/>
          <w:szCs w:val="22"/>
          <w:u w:val="single"/>
        </w:rPr>
        <w:t>2014</w:t>
      </w:r>
    </w:p>
    <w:p w:rsidR="0004616B" w:rsidRPr="004A3269" w:rsidRDefault="0004616B" w:rsidP="006B1231">
      <w:pPr>
        <w:spacing w:after="220"/>
        <w:jc w:val="center"/>
        <w:rPr>
          <w:rFonts w:eastAsia="SimSun"/>
        </w:rPr>
      </w:pPr>
      <w:r w:rsidRPr="004A3269">
        <w:rPr>
          <w:rFonts w:eastAsia="SimSun"/>
          <w:noProof/>
          <w:lang w:val="en-US"/>
        </w:rPr>
        <w:drawing>
          <wp:inline distT="0" distB="0" distL="0" distR="0" wp14:anchorId="2A26C344" wp14:editId="2C1DD1BC">
            <wp:extent cx="5866130" cy="3219450"/>
            <wp:effectExtent l="0" t="0" r="127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66130" cy="3219450"/>
                    </a:xfrm>
                    <a:prstGeom prst="rect">
                      <a:avLst/>
                    </a:prstGeom>
                    <a:noFill/>
                    <a:ln>
                      <a:noFill/>
                    </a:ln>
                  </pic:spPr>
                </pic:pic>
              </a:graphicData>
            </a:graphic>
          </wp:inline>
        </w:drawing>
      </w:r>
    </w:p>
    <w:p w:rsidR="00267140" w:rsidRPr="004A3269" w:rsidRDefault="00267140" w:rsidP="00A52FC2">
      <w:pPr>
        <w:spacing w:after="220"/>
        <w:rPr>
          <w:rFonts w:eastAsia="SimSun"/>
          <w:szCs w:val="22"/>
          <w:lang w:eastAsia="zh-CN"/>
        </w:rPr>
      </w:pPr>
    </w:p>
    <w:p w:rsidR="00447F06" w:rsidRPr="004A3269" w:rsidRDefault="00447F06" w:rsidP="00A435F8">
      <w:pPr>
        <w:pStyle w:val="ONUMFS"/>
        <w:rPr>
          <w:rFonts w:eastAsia="SimSun"/>
          <w:szCs w:val="22"/>
          <w:lang w:eastAsia="zh-CN"/>
        </w:rPr>
      </w:pPr>
      <w:r w:rsidRPr="004A3269">
        <w:t>La valeur comptable nette du matériel détenu par l</w:t>
      </w:r>
      <w:r w:rsidR="009021AA" w:rsidRPr="004A3269">
        <w:t>’</w:t>
      </w:r>
      <w:r w:rsidRPr="004A3269">
        <w:t>Organisation a diminué de 0,6 million de francs suisses, passant de 2,3 millions de francs suisses fin 2013 à 1,7 million fin 2014.  Cette diminution est attribuable à la dépréciation de 0,8 million de Suisses francs, partiellement compensée par des ajouts de matériel.  Au cours de l</w:t>
      </w:r>
      <w:r w:rsidR="009021AA" w:rsidRPr="004A3269">
        <w:t>’</w:t>
      </w:r>
      <w:r w:rsidRPr="004A3269">
        <w:t xml:space="preserve">année, il y </w:t>
      </w:r>
      <w:r w:rsidR="00C13EB0" w:rsidRPr="004A3269">
        <w:t>a eu des</w:t>
      </w:r>
      <w:r w:rsidRPr="004A3269">
        <w:t xml:space="preserve"> </w:t>
      </w:r>
      <w:r w:rsidR="00D62AD2" w:rsidRPr="004A3269">
        <w:t>sorties</w:t>
      </w:r>
      <w:r w:rsidRPr="004A3269">
        <w:t xml:space="preserve"> signific</w:t>
      </w:r>
      <w:r w:rsidR="00C13EB0" w:rsidRPr="004A3269">
        <w:t>atives de matériel, notamment de matériel informatique obsolète</w:t>
      </w:r>
      <w:r w:rsidRPr="004A3269">
        <w:t>.</w:t>
      </w:r>
      <w:r w:rsidR="00C13EB0" w:rsidRPr="004A3269">
        <w:t xml:space="preserve"> </w:t>
      </w:r>
      <w:r w:rsidRPr="004A3269">
        <w:t xml:space="preserve"> </w:t>
      </w:r>
      <w:r w:rsidR="00C13EB0" w:rsidRPr="004A3269">
        <w:t>L</w:t>
      </w:r>
      <w:r w:rsidRPr="004A3269">
        <w:t xml:space="preserve">a valeur comptable </w:t>
      </w:r>
      <w:r w:rsidR="00D62AD2" w:rsidRPr="004A3269">
        <w:t>brute de ces sorties s</w:t>
      </w:r>
      <w:r w:rsidR="009021AA" w:rsidRPr="004A3269">
        <w:t>’</w:t>
      </w:r>
      <w:r w:rsidR="00D62AD2" w:rsidRPr="004A3269">
        <w:t>élevait à</w:t>
      </w:r>
      <w:r w:rsidRPr="004A3269">
        <w:t xml:space="preserve"> 5,3</w:t>
      </w:r>
      <w:r w:rsidR="00C13EB0" w:rsidRPr="004A3269">
        <w:t> </w:t>
      </w:r>
      <w:r w:rsidRPr="004A3269">
        <w:t xml:space="preserve">millions de francs suisses, </w:t>
      </w:r>
      <w:r w:rsidR="00C13EB0" w:rsidRPr="004A3269">
        <w:t xml:space="preserve">mais </w:t>
      </w:r>
      <w:r w:rsidR="00D62AD2" w:rsidRPr="004A3269">
        <w:t>leur</w:t>
      </w:r>
      <w:r w:rsidRPr="004A3269">
        <w:t xml:space="preserve"> valeur comptable nette était </w:t>
      </w:r>
      <w:r w:rsidR="00C13EB0" w:rsidRPr="004A3269">
        <w:t xml:space="preserve">de </w:t>
      </w:r>
      <w:r w:rsidR="00067463" w:rsidRPr="004A3269">
        <w:t>8771</w:t>
      </w:r>
      <w:r w:rsidR="00C13EB0" w:rsidRPr="004A3269">
        <w:t> </w:t>
      </w:r>
      <w:r w:rsidRPr="004A3269">
        <w:t xml:space="preserve">francs suisses </w:t>
      </w:r>
      <w:r w:rsidR="00D62AD2" w:rsidRPr="004A3269">
        <w:t>seulement, car</w:t>
      </w:r>
      <w:r w:rsidRPr="004A3269">
        <w:t xml:space="preserve"> </w:t>
      </w:r>
      <w:r w:rsidR="00C13EB0" w:rsidRPr="004A3269">
        <w:t>ce matériel était</w:t>
      </w:r>
      <w:r w:rsidRPr="004A3269">
        <w:t xml:space="preserve"> presque entièrement amorti. </w:t>
      </w:r>
      <w:r w:rsidR="00C13EB0" w:rsidRPr="004A3269">
        <w:t xml:space="preserve"> </w:t>
      </w:r>
      <w:r w:rsidRPr="004A3269">
        <w:t>La valeur nette comptable des actifs incorporels de l</w:t>
      </w:r>
      <w:r w:rsidR="009021AA" w:rsidRPr="004A3269">
        <w:t>’</w:t>
      </w:r>
      <w:r w:rsidR="00C13EB0" w:rsidRPr="004A3269">
        <w:t>Organisation a augmenté de 0,6 </w:t>
      </w:r>
      <w:r w:rsidRPr="004A3269">
        <w:t xml:space="preserve">million de francs suisses </w:t>
      </w:r>
      <w:r w:rsidR="00C13EB0" w:rsidRPr="004A3269">
        <w:t>en </w:t>
      </w:r>
      <w:r w:rsidRPr="004A3269">
        <w:t>2014 en raison des ajouts de logiciels capitalisés.</w:t>
      </w:r>
    </w:p>
    <w:p w:rsidR="00267140" w:rsidRPr="004A3269" w:rsidRDefault="00C13EB0" w:rsidP="00A435F8">
      <w:pPr>
        <w:pStyle w:val="ONUMFS"/>
        <w:rPr>
          <w:rFonts w:eastAsia="SimSun"/>
          <w:szCs w:val="22"/>
          <w:lang w:eastAsia="zh-CN"/>
        </w:rPr>
      </w:pPr>
      <w:r w:rsidRPr="004A3269">
        <w:t>Au nombre des autres actifs que détient l</w:t>
      </w:r>
      <w:r w:rsidR="009021AA" w:rsidRPr="004A3269">
        <w:t>’</w:t>
      </w:r>
      <w:r w:rsidRPr="004A3269">
        <w:t>Organisation pour un montant total de 75,2 </w:t>
      </w:r>
      <w:r w:rsidR="00447F06" w:rsidRPr="004A3269">
        <w:t xml:space="preserve">millions de francs suisses </w:t>
      </w:r>
      <w:r w:rsidRPr="004A3269">
        <w:t>figurent</w:t>
      </w:r>
      <w:r w:rsidR="00447F06" w:rsidRPr="004A3269">
        <w:t xml:space="preserve"> les comptes débiteurs, les stocks et les paiements anticipés. </w:t>
      </w:r>
      <w:r w:rsidRPr="004A3269">
        <w:t xml:space="preserve"> </w:t>
      </w:r>
      <w:r w:rsidR="00447F06" w:rsidRPr="004A3269">
        <w:t xml:space="preserve">Dans ce cadre, </w:t>
      </w:r>
      <w:r w:rsidRPr="004A3269">
        <w:t>le solde</w:t>
      </w:r>
      <w:r w:rsidR="00447F06" w:rsidRPr="004A3269">
        <w:t xml:space="preserve"> le plus </w:t>
      </w:r>
      <w:r w:rsidRPr="004A3269">
        <w:t>important</w:t>
      </w:r>
      <w:r w:rsidR="00447F06" w:rsidRPr="004A3269">
        <w:t xml:space="preserve"> est </w:t>
      </w:r>
      <w:r w:rsidRPr="004A3269">
        <w:t xml:space="preserve">celui des </w:t>
      </w:r>
      <w:r w:rsidR="00447F06" w:rsidRPr="004A3269">
        <w:t>débiteurs</w:t>
      </w:r>
      <w:r w:rsidR="009021AA" w:rsidRPr="004A3269">
        <w:t xml:space="preserve"> du PCT</w:t>
      </w:r>
      <w:r w:rsidRPr="004A3269">
        <w:t>, qui totalise 46,7 </w:t>
      </w:r>
      <w:r w:rsidR="00447F06" w:rsidRPr="004A3269">
        <w:t>millions de francs suisses.</w:t>
      </w:r>
      <w:r w:rsidR="000927CE" w:rsidRPr="004A3269">
        <w:t xml:space="preserve"> </w:t>
      </w:r>
      <w:r w:rsidR="00447F06" w:rsidRPr="004A3269">
        <w:t xml:space="preserve"> </w:t>
      </w:r>
      <w:r w:rsidR="000927CE" w:rsidRPr="004A3269">
        <w:t>En tout temps,</w:t>
      </w:r>
      <w:r w:rsidRPr="004A3269">
        <w:t xml:space="preserve"> de nombreuses demandes selon le PCT ont été déposées auprès des offices récepteurs et peut</w:t>
      </w:r>
      <w:r w:rsidR="00A17552" w:rsidRPr="004A3269">
        <w:noBreakHyphen/>
      </w:r>
      <w:r w:rsidRPr="004A3269">
        <w:t>être reçues par l</w:t>
      </w:r>
      <w:r w:rsidR="009021AA" w:rsidRPr="004A3269">
        <w:t>’</w:t>
      </w:r>
      <w:r w:rsidRPr="004A3269">
        <w:t>OMPI pour lesquelles l</w:t>
      </w:r>
      <w:r w:rsidR="009021AA" w:rsidRPr="004A3269">
        <w:t>’</w:t>
      </w:r>
      <w:r w:rsidRPr="004A3269">
        <w:t>Organisation n</w:t>
      </w:r>
      <w:r w:rsidR="009021AA" w:rsidRPr="004A3269">
        <w:t>’</w:t>
      </w:r>
      <w:r w:rsidRPr="004A3269">
        <w:t>a pas reçu le paiement de la taxe correspondante</w:t>
      </w:r>
      <w:r w:rsidR="00447F06" w:rsidRPr="004A3269">
        <w:t xml:space="preserve">. </w:t>
      </w:r>
      <w:r w:rsidRPr="004A3269">
        <w:t xml:space="preserve"> </w:t>
      </w:r>
      <w:r w:rsidR="00447F06" w:rsidRPr="004A3269">
        <w:t>Le solde des débiteurs</w:t>
      </w:r>
      <w:r w:rsidR="009021AA" w:rsidRPr="004A3269">
        <w:t xml:space="preserve"> du PCT</w:t>
      </w:r>
      <w:r w:rsidR="00447F06" w:rsidRPr="004A3269">
        <w:t xml:space="preserve"> a considérablement diminué par rapport à l</w:t>
      </w:r>
      <w:r w:rsidR="009021AA" w:rsidRPr="004A3269">
        <w:t>’</w:t>
      </w:r>
      <w:r w:rsidR="00447F06" w:rsidRPr="004A3269">
        <w:t xml:space="preserve">exercice précédent, </w:t>
      </w:r>
      <w:r w:rsidR="000927CE" w:rsidRPr="004A3269">
        <w:t>où il a totalisé 62,4 </w:t>
      </w:r>
      <w:r w:rsidR="00447F06" w:rsidRPr="004A3269">
        <w:t xml:space="preserve">millions de francs suisses. </w:t>
      </w:r>
      <w:r w:rsidR="000927CE" w:rsidRPr="004A3269">
        <w:t xml:space="preserve"> </w:t>
      </w:r>
      <w:r w:rsidR="00F1756F" w:rsidRPr="004A3269">
        <w:t>À la fin de </w:t>
      </w:r>
      <w:r w:rsidR="00447F06" w:rsidRPr="004A3269">
        <w:t>2013, 23,8</w:t>
      </w:r>
      <w:r w:rsidR="00F1756F" w:rsidRPr="004A3269">
        <w:t>% environ</w:t>
      </w:r>
      <w:r w:rsidR="00447F06" w:rsidRPr="004A3269">
        <w:t xml:space="preserve"> des deman</w:t>
      </w:r>
      <w:r w:rsidR="00F1756F" w:rsidRPr="004A3269">
        <w:t xml:space="preserve">des déposées au cours des </w:t>
      </w:r>
      <w:r w:rsidR="00067463" w:rsidRPr="004A3269">
        <w:t>12</w:t>
      </w:r>
      <w:r w:rsidR="00F1756F" w:rsidRPr="004A3269">
        <w:t> </w:t>
      </w:r>
      <w:r w:rsidR="00447F06" w:rsidRPr="004A3269">
        <w:t>mois précédents</w:t>
      </w:r>
      <w:r w:rsidR="000927CE" w:rsidRPr="004A3269">
        <w:t xml:space="preserve"> restaient</w:t>
      </w:r>
      <w:r w:rsidR="00447F06" w:rsidRPr="004A3269">
        <w:t xml:space="preserve"> impayé</w:t>
      </w:r>
      <w:r w:rsidR="00F1756F" w:rsidRPr="004A3269">
        <w:t>es</w:t>
      </w:r>
      <w:r w:rsidR="00447F06" w:rsidRPr="004A3269">
        <w:t xml:space="preserve">. </w:t>
      </w:r>
      <w:r w:rsidR="00F1756F" w:rsidRPr="004A3269">
        <w:t xml:space="preserve"> À la fin de </w:t>
      </w:r>
      <w:r w:rsidR="00447F06" w:rsidRPr="004A3269">
        <w:t xml:space="preserve">2014, ce pourcentage </w:t>
      </w:r>
      <w:r w:rsidR="00F1756F" w:rsidRPr="004A3269">
        <w:t xml:space="preserve">a baissé, atteignant </w:t>
      </w:r>
      <w:r w:rsidR="00447F06" w:rsidRPr="004A3269">
        <w:t>16,0</w:t>
      </w:r>
      <w:r w:rsidR="00F1756F" w:rsidRPr="004A3269">
        <w:t>% environ</w:t>
      </w:r>
      <w:r w:rsidR="00447F06" w:rsidRPr="004A3269">
        <w:t xml:space="preserve">. </w:t>
      </w:r>
      <w:r w:rsidR="00F1756F" w:rsidRPr="004A3269">
        <w:t xml:space="preserve"> </w:t>
      </w:r>
      <w:r w:rsidR="00447F06" w:rsidRPr="004A3269">
        <w:t>Parallèlement à cette diminution de la proportion de demand</w:t>
      </w:r>
      <w:r w:rsidR="00F1756F" w:rsidRPr="004A3269">
        <w:t xml:space="preserve">es impayées </w:t>
      </w:r>
      <w:r w:rsidR="000927CE" w:rsidRPr="004A3269">
        <w:t>en fin d</w:t>
      </w:r>
      <w:r w:rsidR="009021AA" w:rsidRPr="004A3269">
        <w:t>’</w:t>
      </w:r>
      <w:r w:rsidR="00F1756F" w:rsidRPr="004A3269">
        <w:t xml:space="preserve">exercice, </w:t>
      </w:r>
      <w:r w:rsidR="00D62AD2" w:rsidRPr="004A3269">
        <w:t>le</w:t>
      </w:r>
      <w:r w:rsidR="00447F06" w:rsidRPr="004A3269">
        <w:t xml:space="preserve"> rattrapage </w:t>
      </w:r>
      <w:r w:rsidR="00D62AD2" w:rsidRPr="004A3269">
        <w:t>des</w:t>
      </w:r>
      <w:r w:rsidR="00447F06" w:rsidRPr="004A3269">
        <w:t xml:space="preserve"> paiements en </w:t>
      </w:r>
      <w:r w:rsidR="00D62AD2" w:rsidRPr="004A3269">
        <w:t>souffrance</w:t>
      </w:r>
      <w:r w:rsidR="00447F06" w:rsidRPr="004A3269">
        <w:t xml:space="preserve"> </w:t>
      </w:r>
      <w:r w:rsidR="000927CE" w:rsidRPr="004A3269">
        <w:t>en ce qui concerne</w:t>
      </w:r>
      <w:r w:rsidR="00447F06" w:rsidRPr="004A3269">
        <w:t xml:space="preserve"> </w:t>
      </w:r>
      <w:r w:rsidR="00F1756F" w:rsidRPr="004A3269">
        <w:t>les demandes déposées en </w:t>
      </w:r>
      <w:r w:rsidR="00447F06" w:rsidRPr="004A3269">
        <w:t xml:space="preserve">2013 </w:t>
      </w:r>
      <w:r w:rsidR="00F1756F" w:rsidRPr="004A3269">
        <w:t>a également été constaté en 2014</w:t>
      </w:r>
      <w:r w:rsidR="00447F06" w:rsidRPr="004A3269">
        <w:t xml:space="preserve">. </w:t>
      </w:r>
      <w:r w:rsidR="00F1756F" w:rsidRPr="004A3269">
        <w:t xml:space="preserve"> Ces deux </w:t>
      </w:r>
      <w:r w:rsidR="00447F06" w:rsidRPr="004A3269">
        <w:t>facteurs expliquent la diminution du solde des débiteurs</w:t>
      </w:r>
      <w:r w:rsidR="009021AA" w:rsidRPr="004A3269">
        <w:t xml:space="preserve"> du PCT</w:t>
      </w:r>
      <w:r w:rsidR="00312CB7" w:rsidRPr="004A3269">
        <w:rPr>
          <w:rFonts w:eastAsia="SimSun"/>
          <w:lang w:eastAsia="zh-CN"/>
        </w:rPr>
        <w:t>.</w:t>
      </w:r>
    </w:p>
    <w:p w:rsidR="00267140" w:rsidRPr="004A3269" w:rsidRDefault="00972216" w:rsidP="00A435F8">
      <w:pPr>
        <w:keepNext/>
        <w:keepLines/>
        <w:spacing w:after="220"/>
        <w:jc w:val="center"/>
        <w:rPr>
          <w:rFonts w:eastAsia="SimSun"/>
          <w:szCs w:val="22"/>
          <w:u w:val="single"/>
          <w:lang w:eastAsia="zh-CN"/>
        </w:rPr>
      </w:pPr>
      <w:r w:rsidRPr="004A3269">
        <w:rPr>
          <w:rFonts w:eastAsia="SimSun"/>
          <w:u w:val="single"/>
          <w:lang w:eastAsia="zh-CN"/>
        </w:rPr>
        <w:lastRenderedPageBreak/>
        <w:t>Débiteurs</w:t>
      </w:r>
      <w:r w:rsidR="009021AA" w:rsidRPr="004A3269">
        <w:rPr>
          <w:rFonts w:eastAsia="SimSun"/>
          <w:u w:val="single"/>
          <w:lang w:eastAsia="zh-CN"/>
        </w:rPr>
        <w:t xml:space="preserve"> du PCT</w:t>
      </w:r>
      <w:r w:rsidRPr="004A3269">
        <w:rPr>
          <w:rFonts w:eastAsia="SimSun"/>
          <w:u w:val="single"/>
          <w:lang w:eastAsia="zh-CN"/>
        </w:rPr>
        <w:t xml:space="preserve"> (</w:t>
      </w:r>
      <w:r w:rsidR="00B20E50" w:rsidRPr="004A3269">
        <w:rPr>
          <w:rFonts w:eastAsia="SimSun"/>
          <w:u w:val="single"/>
          <w:lang w:eastAsia="zh-CN"/>
        </w:rPr>
        <w:t>2013</w:t>
      </w:r>
      <w:r w:rsidR="00A17552" w:rsidRPr="004A3269">
        <w:rPr>
          <w:rFonts w:eastAsia="SimSun"/>
          <w:u w:val="single"/>
          <w:lang w:eastAsia="zh-CN"/>
        </w:rPr>
        <w:noBreakHyphen/>
      </w:r>
      <w:r w:rsidR="00B20E50" w:rsidRPr="004A3269">
        <w:rPr>
          <w:rFonts w:eastAsia="SimSun"/>
          <w:u w:val="single"/>
          <w:lang w:eastAsia="zh-CN"/>
        </w:rPr>
        <w:t>2014</w:t>
      </w:r>
      <w:r w:rsidRPr="004A3269">
        <w:rPr>
          <w:rFonts w:eastAsia="SimSun"/>
          <w:u w:val="single"/>
          <w:lang w:eastAsia="zh-CN"/>
        </w:rPr>
        <w:t>)</w:t>
      </w:r>
    </w:p>
    <w:p w:rsidR="0004616B" w:rsidRPr="004A3269" w:rsidRDefault="0004616B" w:rsidP="00A435F8">
      <w:pPr>
        <w:keepNext/>
        <w:keepLines/>
        <w:jc w:val="center"/>
        <w:rPr>
          <w:rFonts w:eastAsia="SimSun"/>
          <w:szCs w:val="22"/>
        </w:rPr>
      </w:pPr>
      <w:r w:rsidRPr="004A3269">
        <w:rPr>
          <w:rFonts w:eastAsia="SimSun"/>
          <w:noProof/>
          <w:lang w:val="en-US"/>
        </w:rPr>
        <w:drawing>
          <wp:inline distT="0" distB="0" distL="0" distR="0" wp14:anchorId="5BF5953F" wp14:editId="776B6667">
            <wp:extent cx="5312410" cy="1867535"/>
            <wp:effectExtent l="0" t="0" r="254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12410" cy="1867535"/>
                    </a:xfrm>
                    <a:prstGeom prst="rect">
                      <a:avLst/>
                    </a:prstGeom>
                    <a:noFill/>
                    <a:ln>
                      <a:noFill/>
                    </a:ln>
                  </pic:spPr>
                </pic:pic>
              </a:graphicData>
            </a:graphic>
          </wp:inline>
        </w:drawing>
      </w:r>
    </w:p>
    <w:p w:rsidR="00267140" w:rsidRPr="004A3269" w:rsidRDefault="00267140" w:rsidP="000A2C65">
      <w:pPr>
        <w:rPr>
          <w:rFonts w:eastAsia="SimSun"/>
          <w:b/>
          <w:i/>
          <w:szCs w:val="22"/>
          <w:lang w:eastAsia="zh-CN"/>
        </w:rPr>
      </w:pPr>
    </w:p>
    <w:p w:rsidR="00267140" w:rsidRPr="004A3269" w:rsidRDefault="00447F06" w:rsidP="000A2C65">
      <w:pPr>
        <w:rPr>
          <w:rFonts w:eastAsia="SimSun"/>
          <w:b/>
          <w:i/>
          <w:szCs w:val="22"/>
          <w:lang w:eastAsia="zh-CN"/>
        </w:rPr>
      </w:pPr>
      <w:r w:rsidRPr="004A3269">
        <w:rPr>
          <w:rFonts w:eastAsia="SimSun"/>
          <w:b/>
          <w:i/>
          <w:szCs w:val="22"/>
          <w:lang w:eastAsia="zh-CN"/>
        </w:rPr>
        <w:t>Passifs</w:t>
      </w:r>
    </w:p>
    <w:p w:rsidR="00267140" w:rsidRPr="004A3269" w:rsidRDefault="00267140" w:rsidP="0004616B">
      <w:pPr>
        <w:rPr>
          <w:rFonts w:eastAsia="SimSun"/>
          <w:szCs w:val="22"/>
          <w:lang w:eastAsia="zh-CN"/>
        </w:rPr>
      </w:pPr>
    </w:p>
    <w:p w:rsidR="00267140" w:rsidRPr="004A3269" w:rsidRDefault="000927CE" w:rsidP="00A435F8">
      <w:pPr>
        <w:pStyle w:val="ONUMFS"/>
        <w:rPr>
          <w:rFonts w:eastAsia="SimSun"/>
          <w:szCs w:val="22"/>
          <w:lang w:eastAsia="zh-CN"/>
        </w:rPr>
      </w:pPr>
      <w:r w:rsidRPr="004A3269">
        <w:t>Les comptes de fournisseurs et des encaissements par anticipation</w:t>
      </w:r>
      <w:r w:rsidR="00447F06" w:rsidRPr="004A3269">
        <w:t xml:space="preserve"> </w:t>
      </w:r>
      <w:r w:rsidRPr="004A3269">
        <w:t>représentent un montant total de 358,7 </w:t>
      </w:r>
      <w:r w:rsidR="00447F06" w:rsidRPr="004A3269">
        <w:t xml:space="preserve">millions de francs suisses, et </w:t>
      </w:r>
      <w:r w:rsidRPr="004A3269">
        <w:t>comprennent essentiellement</w:t>
      </w:r>
      <w:r w:rsidR="00447F06" w:rsidRPr="004A3269">
        <w:t xml:space="preserve"> les </w:t>
      </w:r>
      <w:r w:rsidRPr="004A3269">
        <w:t>recettes</w:t>
      </w:r>
      <w:r w:rsidR="00447F06" w:rsidRPr="004A3269">
        <w:t xml:space="preserve"> reporté</w:t>
      </w:r>
      <w:r w:rsidRPr="004A3269">
        <w:t>e</w:t>
      </w:r>
      <w:r w:rsidR="00447F06" w:rsidRPr="004A3269">
        <w:t>s pour le traitement des demandes internationales (marque</w:t>
      </w:r>
      <w:r w:rsidRPr="004A3269">
        <w:t>s</w:t>
      </w:r>
      <w:r w:rsidR="00447F06" w:rsidRPr="004A3269">
        <w:t xml:space="preserve">, </w:t>
      </w:r>
      <w:r w:rsidRPr="004A3269">
        <w:t>dessins et modèles industriels, brevets) à hauteur de 203,7 </w:t>
      </w:r>
      <w:r w:rsidR="00447F06" w:rsidRPr="004A3269">
        <w:t>millions de francs suisses.</w:t>
      </w:r>
      <w:r w:rsidRPr="004A3269">
        <w:t xml:space="preserve"> </w:t>
      </w:r>
      <w:r w:rsidR="00447F06" w:rsidRPr="004A3269">
        <w:t xml:space="preserve"> Ce solde des </w:t>
      </w:r>
      <w:r w:rsidRPr="004A3269">
        <w:t>recettes différées</w:t>
      </w:r>
      <w:r w:rsidR="00447F06" w:rsidRPr="004A3269">
        <w:t xml:space="preserve"> concerne princ</w:t>
      </w:r>
      <w:r w:rsidRPr="004A3269">
        <w:t>ipalement les taxes</w:t>
      </w:r>
      <w:r w:rsidR="009021AA" w:rsidRPr="004A3269">
        <w:t xml:space="preserve"> du PCT</w:t>
      </w:r>
      <w:r w:rsidRPr="004A3269">
        <w:t xml:space="preserve"> de 199,7 </w:t>
      </w:r>
      <w:r w:rsidR="00447F06" w:rsidRPr="004A3269">
        <w:t xml:space="preserve">millions de francs suisses. </w:t>
      </w:r>
      <w:r w:rsidRPr="004A3269">
        <w:t xml:space="preserve"> Les recettes provenant </w:t>
      </w:r>
      <w:r w:rsidR="00447F06" w:rsidRPr="004A3269">
        <w:t xml:space="preserve">des droits relatifs au traitement des demandes internationales </w:t>
      </w:r>
      <w:r w:rsidRPr="004A3269">
        <w:t xml:space="preserve">sont reportées </w:t>
      </w:r>
      <w:r w:rsidR="00447F06" w:rsidRPr="004A3269">
        <w:t>jusqu</w:t>
      </w:r>
      <w:r w:rsidR="009021AA" w:rsidRPr="004A3269">
        <w:t>’</w:t>
      </w:r>
      <w:r w:rsidR="00447F06" w:rsidRPr="004A3269">
        <w:t xml:space="preserve">à ce que la demande </w:t>
      </w:r>
      <w:r w:rsidRPr="004A3269">
        <w:t>concernée</w:t>
      </w:r>
      <w:r w:rsidR="00447F06" w:rsidRPr="004A3269">
        <w:t xml:space="preserve"> </w:t>
      </w:r>
      <w:r w:rsidRPr="004A3269">
        <w:t>soit</w:t>
      </w:r>
      <w:r w:rsidR="00447F06" w:rsidRPr="004A3269">
        <w:t xml:space="preserve"> publié</w:t>
      </w:r>
      <w:r w:rsidRPr="004A3269">
        <w:t>e</w:t>
      </w:r>
      <w:r w:rsidR="00447F06" w:rsidRPr="004A3269">
        <w:t>.</w:t>
      </w:r>
      <w:r w:rsidRPr="004A3269">
        <w:t xml:space="preserve"> </w:t>
      </w:r>
      <w:r w:rsidR="00447F06" w:rsidRPr="004A3269">
        <w:t xml:space="preserve"> À un moment donné, un certain nombre de demandes </w:t>
      </w:r>
      <w:r w:rsidR="00FD2403" w:rsidRPr="004A3269">
        <w:t>selon</w:t>
      </w:r>
      <w:r w:rsidR="009021AA" w:rsidRPr="004A3269">
        <w:t xml:space="preserve"> le PCT</w:t>
      </w:r>
      <w:r w:rsidR="00FD2403" w:rsidRPr="004A3269">
        <w:t xml:space="preserve"> auront été déposées soit </w:t>
      </w:r>
      <w:r w:rsidR="00447F06" w:rsidRPr="004A3269">
        <w:t xml:space="preserve">auprès des </w:t>
      </w:r>
      <w:r w:rsidR="00FD2403" w:rsidRPr="004A3269">
        <w:t>offices récepteurs</w:t>
      </w:r>
      <w:r w:rsidR="00447F06" w:rsidRPr="004A3269">
        <w:t xml:space="preserve"> </w:t>
      </w:r>
      <w:r w:rsidR="00FD2403" w:rsidRPr="004A3269">
        <w:t xml:space="preserve">soit auprès </w:t>
      </w:r>
      <w:r w:rsidR="00447F06" w:rsidRPr="004A3269">
        <w:t>de l</w:t>
      </w:r>
      <w:r w:rsidR="009021AA" w:rsidRPr="004A3269">
        <w:t>’</w:t>
      </w:r>
      <w:r w:rsidR="00447F06" w:rsidRPr="004A3269">
        <w:t xml:space="preserve">OMPI </w:t>
      </w:r>
      <w:r w:rsidR="00FD2403" w:rsidRPr="004A3269">
        <w:t>et seront toujours en attente de publication</w:t>
      </w:r>
      <w:r w:rsidR="00447F06" w:rsidRPr="004A3269">
        <w:t xml:space="preserve">. </w:t>
      </w:r>
      <w:r w:rsidRPr="004A3269">
        <w:t xml:space="preserve"> Au 31 décembre </w:t>
      </w:r>
      <w:r w:rsidR="00447F06" w:rsidRPr="004A3269">
        <w:t xml:space="preserve">2014, pour </w:t>
      </w:r>
      <w:r w:rsidR="00FD2403" w:rsidRPr="004A3269">
        <w:t>les</w:t>
      </w:r>
      <w:r w:rsidR="00447F06" w:rsidRPr="004A3269">
        <w:t xml:space="preserve"> </w:t>
      </w:r>
      <w:r w:rsidR="00FD2403" w:rsidRPr="004A3269">
        <w:t>demandes</w:t>
      </w:r>
      <w:r w:rsidR="00447F06" w:rsidRPr="004A3269">
        <w:t xml:space="preserve"> </w:t>
      </w:r>
      <w:r w:rsidR="00FD2403" w:rsidRPr="004A3269">
        <w:t>dont la date de</w:t>
      </w:r>
      <w:r w:rsidR="00447F06" w:rsidRPr="004A3269">
        <w:t xml:space="preserve"> dépôt </w:t>
      </w:r>
      <w:r w:rsidR="00FD2403" w:rsidRPr="004A3269">
        <w:t>remonte à </w:t>
      </w:r>
      <w:r w:rsidR="00447F06" w:rsidRPr="004A3269">
        <w:t>2013 ou</w:t>
      </w:r>
      <w:r w:rsidR="00FD2403" w:rsidRPr="004A3269">
        <w:t> </w:t>
      </w:r>
      <w:r w:rsidRPr="004A3269">
        <w:t>2014, on estime qu</w:t>
      </w:r>
      <w:r w:rsidR="009021AA" w:rsidRPr="004A3269">
        <w:t>’</w:t>
      </w:r>
      <w:r w:rsidRPr="004A3269">
        <w:t>environ 145 </w:t>
      </w:r>
      <w:r w:rsidR="00447F06" w:rsidRPr="004A3269">
        <w:t xml:space="preserve">157 </w:t>
      </w:r>
      <w:r w:rsidR="00FD2403" w:rsidRPr="004A3269">
        <w:t xml:space="preserve">des </w:t>
      </w:r>
      <w:r w:rsidR="00447F06" w:rsidRPr="004A3269">
        <w:t>demandes déposées</w:t>
      </w:r>
      <w:r w:rsidR="00FD2403" w:rsidRPr="004A3269">
        <w:t xml:space="preserve"> étaient</w:t>
      </w:r>
      <w:r w:rsidR="00447F06" w:rsidRPr="004A3269">
        <w:t xml:space="preserve"> en attente de publication. </w:t>
      </w:r>
      <w:r w:rsidRPr="004A3269">
        <w:t xml:space="preserve"> </w:t>
      </w:r>
      <w:r w:rsidR="00447F06" w:rsidRPr="004A3269">
        <w:t xml:space="preserve">Bien que ce </w:t>
      </w:r>
      <w:r w:rsidRPr="004A3269">
        <w:t xml:space="preserve">nombre </w:t>
      </w:r>
      <w:r w:rsidR="00FD2403" w:rsidRPr="004A3269">
        <w:t xml:space="preserve">soit </w:t>
      </w:r>
      <w:r w:rsidRPr="004A3269">
        <w:t xml:space="preserve">inférieur </w:t>
      </w:r>
      <w:r w:rsidR="00FD2403" w:rsidRPr="004A3269">
        <w:t>à celui de la fin de l</w:t>
      </w:r>
      <w:r w:rsidR="009021AA" w:rsidRPr="004A3269">
        <w:t>’</w:t>
      </w:r>
      <w:r w:rsidR="00FD2403" w:rsidRPr="004A3269">
        <w:t>exercice</w:t>
      </w:r>
      <w:r w:rsidRPr="004A3269">
        <w:t> </w:t>
      </w:r>
      <w:r w:rsidR="00447F06" w:rsidRPr="004A3269">
        <w:t xml:space="preserve">2013, le montant total des </w:t>
      </w:r>
      <w:r w:rsidR="00FD2403" w:rsidRPr="004A3269">
        <w:t>recettes différées a</w:t>
      </w:r>
      <w:r w:rsidR="00447F06" w:rsidRPr="004A3269">
        <w:t xml:space="preserve"> augmenté en raison du raffermissement du dollar américain par rapport au franc suisse </w:t>
      </w:r>
      <w:r w:rsidRPr="004A3269">
        <w:t>au second</w:t>
      </w:r>
      <w:r w:rsidR="00FD2403" w:rsidRPr="004A3269">
        <w:t> </w:t>
      </w:r>
      <w:r w:rsidRPr="004A3269">
        <w:t>semestre de </w:t>
      </w:r>
      <w:r w:rsidR="00447F06" w:rsidRPr="004A3269">
        <w:t xml:space="preserve">2014, et aussi en raison </w:t>
      </w:r>
      <w:r w:rsidR="00FD2403" w:rsidRPr="004A3269">
        <w:t>de l</w:t>
      </w:r>
      <w:r w:rsidR="009021AA" w:rsidRPr="004A3269">
        <w:t>’</w:t>
      </w:r>
      <w:r w:rsidR="00FD2403" w:rsidRPr="004A3269">
        <w:t xml:space="preserve">accroissement </w:t>
      </w:r>
      <w:r w:rsidR="00447F06" w:rsidRPr="004A3269">
        <w:t xml:space="preserve">du coût moyen </w:t>
      </w:r>
      <w:r w:rsidR="00FD2403" w:rsidRPr="004A3269">
        <w:t xml:space="preserve">de traduction des rapports de </w:t>
      </w:r>
      <w:r w:rsidR="00447F06" w:rsidRPr="004A3269">
        <w:t>brevetabilité</w:t>
      </w:r>
      <w:r w:rsidR="00E76D22" w:rsidRPr="004A3269">
        <w:rPr>
          <w:rFonts w:eastAsia="SimSun"/>
          <w:lang w:eastAsia="zh-CN"/>
        </w:rPr>
        <w:t>.</w:t>
      </w:r>
    </w:p>
    <w:p w:rsidR="00267140" w:rsidRPr="004A3269" w:rsidRDefault="00D62AD2" w:rsidP="00AC55DB">
      <w:pPr>
        <w:keepNext/>
        <w:keepLines/>
        <w:spacing w:after="220"/>
        <w:jc w:val="center"/>
        <w:rPr>
          <w:rFonts w:eastAsia="SimSun"/>
          <w:lang w:eastAsia="zh-CN"/>
        </w:rPr>
      </w:pPr>
      <w:r w:rsidRPr="004A3269">
        <w:rPr>
          <w:rFonts w:eastAsia="SimSun"/>
          <w:u w:val="single"/>
          <w:lang w:eastAsia="zh-CN"/>
        </w:rPr>
        <w:t>Recettes différées</w:t>
      </w:r>
      <w:r w:rsidR="009021AA" w:rsidRPr="004A3269">
        <w:rPr>
          <w:rFonts w:eastAsia="SimSun"/>
          <w:u w:val="single"/>
          <w:lang w:eastAsia="zh-CN"/>
        </w:rPr>
        <w:t xml:space="preserve"> du PCT</w:t>
      </w:r>
      <w:r w:rsidRPr="004A3269">
        <w:rPr>
          <w:rFonts w:eastAsia="SimSun"/>
          <w:u w:val="single"/>
          <w:lang w:eastAsia="zh-CN"/>
        </w:rPr>
        <w:t xml:space="preserve"> (</w:t>
      </w:r>
      <w:r w:rsidR="008720FD" w:rsidRPr="004A3269">
        <w:rPr>
          <w:rFonts w:eastAsia="SimSun"/>
          <w:u w:val="single"/>
          <w:lang w:eastAsia="zh-CN"/>
        </w:rPr>
        <w:t>2013</w:t>
      </w:r>
      <w:r w:rsidR="00A17552" w:rsidRPr="004A3269">
        <w:rPr>
          <w:rFonts w:eastAsia="SimSun"/>
          <w:u w:val="single"/>
          <w:lang w:eastAsia="zh-CN"/>
        </w:rPr>
        <w:noBreakHyphen/>
      </w:r>
      <w:r w:rsidR="008720FD" w:rsidRPr="004A3269">
        <w:rPr>
          <w:rFonts w:eastAsia="SimSun"/>
          <w:u w:val="single"/>
          <w:lang w:eastAsia="zh-CN"/>
        </w:rPr>
        <w:t>2014</w:t>
      </w:r>
      <w:r w:rsidRPr="004A3269">
        <w:rPr>
          <w:rFonts w:eastAsia="SimSun"/>
          <w:u w:val="single"/>
          <w:lang w:eastAsia="zh-CN"/>
        </w:rPr>
        <w:t>)</w:t>
      </w:r>
    </w:p>
    <w:p w:rsidR="0004616B" w:rsidRPr="004A3269" w:rsidRDefault="0004616B" w:rsidP="00AC55DB">
      <w:pPr>
        <w:keepNext/>
        <w:keepLines/>
        <w:jc w:val="center"/>
        <w:rPr>
          <w:rFonts w:eastAsia="SimSun"/>
          <w:szCs w:val="22"/>
          <w:u w:val="single"/>
        </w:rPr>
      </w:pPr>
      <w:r w:rsidRPr="004A3269">
        <w:rPr>
          <w:rFonts w:eastAsia="SimSun"/>
          <w:noProof/>
          <w:lang w:val="en-US"/>
        </w:rPr>
        <w:drawing>
          <wp:inline distT="0" distB="0" distL="0" distR="0" wp14:anchorId="3BB886BA" wp14:editId="31156204">
            <wp:extent cx="5544185" cy="2189480"/>
            <wp:effectExtent l="0" t="0" r="0" b="127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544185" cy="2189480"/>
                    </a:xfrm>
                    <a:prstGeom prst="rect">
                      <a:avLst/>
                    </a:prstGeom>
                    <a:noFill/>
                    <a:ln>
                      <a:noFill/>
                    </a:ln>
                  </pic:spPr>
                </pic:pic>
              </a:graphicData>
            </a:graphic>
          </wp:inline>
        </w:drawing>
      </w:r>
    </w:p>
    <w:p w:rsidR="0004616B" w:rsidRPr="004A3269" w:rsidRDefault="0004616B" w:rsidP="00A435F8">
      <w:pPr>
        <w:rPr>
          <w:rFonts w:eastAsia="SimSun"/>
          <w:szCs w:val="22"/>
          <w:u w:val="single"/>
        </w:rPr>
      </w:pPr>
    </w:p>
    <w:p w:rsidR="00267140" w:rsidRPr="004A3269" w:rsidRDefault="00447F06" w:rsidP="00A435F8">
      <w:pPr>
        <w:pStyle w:val="ONUMFS"/>
        <w:rPr>
          <w:rStyle w:val="hps"/>
        </w:rPr>
      </w:pPr>
      <w:r w:rsidRPr="004A3269">
        <w:rPr>
          <w:rStyle w:val="hps"/>
        </w:rPr>
        <w:t xml:space="preserve">Les </w:t>
      </w:r>
      <w:r w:rsidR="00D62AD2" w:rsidRPr="004A3269">
        <w:t>obligations relatives aux prestations en matière d</w:t>
      </w:r>
      <w:r w:rsidR="009021AA" w:rsidRPr="004A3269">
        <w:t>’</w:t>
      </w:r>
      <w:r w:rsidR="00D62AD2" w:rsidRPr="004A3269">
        <w:t>emploi</w:t>
      </w:r>
      <w:r w:rsidR="004012DD" w:rsidRPr="004A3269">
        <w:t>,</w:t>
      </w:r>
      <w:r w:rsidR="004012DD" w:rsidRPr="004A3269">
        <w:rPr>
          <w:rStyle w:val="hps"/>
        </w:rPr>
        <w:t xml:space="preserve"> d</w:t>
      </w:r>
      <w:r w:rsidR="009021AA" w:rsidRPr="004A3269">
        <w:rPr>
          <w:rStyle w:val="hps"/>
        </w:rPr>
        <w:t>’</w:t>
      </w:r>
      <w:r w:rsidR="004012DD" w:rsidRPr="004A3269">
        <w:rPr>
          <w:rStyle w:val="hps"/>
        </w:rPr>
        <w:t>un montant de</w:t>
      </w:r>
      <w:r w:rsidRPr="004A3269">
        <w:t xml:space="preserve"> </w:t>
      </w:r>
      <w:r w:rsidR="00FD2403" w:rsidRPr="004A3269">
        <w:rPr>
          <w:rStyle w:val="hps"/>
        </w:rPr>
        <w:t>161,2 </w:t>
      </w:r>
      <w:r w:rsidRPr="004A3269">
        <w:rPr>
          <w:rStyle w:val="hps"/>
        </w:rPr>
        <w:t>millions de francs suisses</w:t>
      </w:r>
      <w:r w:rsidR="004012DD" w:rsidRPr="004A3269">
        <w:rPr>
          <w:rStyle w:val="hps"/>
        </w:rPr>
        <w:t>,</w:t>
      </w:r>
      <w:r w:rsidRPr="004A3269">
        <w:rPr>
          <w:rStyle w:val="hps"/>
        </w:rPr>
        <w:t xml:space="preserve"> sont constitué</w:t>
      </w:r>
      <w:r w:rsidR="004012DD" w:rsidRPr="004A3269">
        <w:rPr>
          <w:rStyle w:val="hps"/>
        </w:rPr>
        <w:t>e</w:t>
      </w:r>
      <w:r w:rsidRPr="004A3269">
        <w:rPr>
          <w:rStyle w:val="hps"/>
        </w:rPr>
        <w:t xml:space="preserve">s principalement de </w:t>
      </w:r>
      <w:r w:rsidR="004012DD" w:rsidRPr="004A3269">
        <w:rPr>
          <w:rStyle w:val="hps"/>
        </w:rPr>
        <w:t>l</w:t>
      </w:r>
      <w:r w:rsidR="009021AA" w:rsidRPr="004A3269">
        <w:rPr>
          <w:rStyle w:val="hps"/>
        </w:rPr>
        <w:t>’</w:t>
      </w:r>
      <w:r w:rsidR="004012DD" w:rsidRPr="004A3269">
        <w:rPr>
          <w:rStyle w:val="hps"/>
        </w:rPr>
        <w:t>obligation relative à l</w:t>
      </w:r>
      <w:r w:rsidR="009021AA" w:rsidRPr="004A3269">
        <w:rPr>
          <w:rStyle w:val="hps"/>
        </w:rPr>
        <w:t>’</w:t>
      </w:r>
      <w:r w:rsidR="004012DD" w:rsidRPr="004A3269">
        <w:rPr>
          <w:rStyle w:val="hps"/>
        </w:rPr>
        <w:t>assurance</w:t>
      </w:r>
      <w:r w:rsidR="00A17552" w:rsidRPr="004A3269">
        <w:rPr>
          <w:rStyle w:val="hps"/>
        </w:rPr>
        <w:noBreakHyphen/>
      </w:r>
      <w:r w:rsidR="004012DD" w:rsidRPr="004A3269">
        <w:rPr>
          <w:rStyle w:val="hps"/>
        </w:rPr>
        <w:t xml:space="preserve">maladie </w:t>
      </w:r>
      <w:r w:rsidR="00A74760" w:rsidRPr="004A3269">
        <w:rPr>
          <w:rStyle w:val="hps"/>
        </w:rPr>
        <w:t>après la cessation</w:t>
      </w:r>
      <w:r w:rsidR="004012DD" w:rsidRPr="004A3269">
        <w:rPr>
          <w:rStyle w:val="hps"/>
        </w:rPr>
        <w:t xml:space="preserve"> de service, d</w:t>
      </w:r>
      <w:r w:rsidR="009021AA" w:rsidRPr="004A3269">
        <w:rPr>
          <w:rStyle w:val="hps"/>
        </w:rPr>
        <w:t>’</w:t>
      </w:r>
      <w:r w:rsidR="004012DD" w:rsidRPr="004A3269">
        <w:rPr>
          <w:rStyle w:val="hps"/>
        </w:rPr>
        <w:t>un montant</w:t>
      </w:r>
      <w:r w:rsidR="00FD2403" w:rsidRPr="004A3269">
        <w:rPr>
          <w:rStyle w:val="hps"/>
        </w:rPr>
        <w:t xml:space="preserve"> </w:t>
      </w:r>
      <w:r w:rsidRPr="004A3269">
        <w:rPr>
          <w:rStyle w:val="hps"/>
        </w:rPr>
        <w:t xml:space="preserve">de </w:t>
      </w:r>
      <w:r w:rsidR="00FD2403" w:rsidRPr="004A3269">
        <w:rPr>
          <w:rStyle w:val="hps"/>
        </w:rPr>
        <w:t>127,9 </w:t>
      </w:r>
      <w:r w:rsidRPr="004A3269">
        <w:rPr>
          <w:rStyle w:val="hps"/>
        </w:rPr>
        <w:t>millions de francs suisses, qui représente 79,4</w:t>
      </w:r>
      <w:r w:rsidR="00FD2403" w:rsidRPr="004A3269">
        <w:rPr>
          <w:rStyle w:val="hps"/>
        </w:rPr>
        <w:t>%</w:t>
      </w:r>
      <w:r w:rsidRPr="004A3269">
        <w:rPr>
          <w:rStyle w:val="hps"/>
        </w:rPr>
        <w:t xml:space="preserve"> du </w:t>
      </w:r>
      <w:r w:rsidR="00B74705" w:rsidRPr="004A3269">
        <w:rPr>
          <w:rStyle w:val="hps"/>
        </w:rPr>
        <w:t xml:space="preserve">montant </w:t>
      </w:r>
      <w:r w:rsidRPr="004A3269">
        <w:rPr>
          <w:rStyle w:val="hps"/>
        </w:rPr>
        <w:t xml:space="preserve">total des </w:t>
      </w:r>
      <w:r w:rsidR="00D62AD2" w:rsidRPr="004A3269">
        <w:rPr>
          <w:rStyle w:val="hps"/>
        </w:rPr>
        <w:t>obligations relatives aux prestations en matière d</w:t>
      </w:r>
      <w:r w:rsidR="009021AA" w:rsidRPr="004A3269">
        <w:rPr>
          <w:rStyle w:val="hps"/>
        </w:rPr>
        <w:t>’</w:t>
      </w:r>
      <w:r w:rsidR="00A0797A" w:rsidRPr="004A3269">
        <w:rPr>
          <w:rStyle w:val="hps"/>
        </w:rPr>
        <w:t xml:space="preserve">emploi </w:t>
      </w:r>
      <w:r w:rsidRPr="004A3269">
        <w:rPr>
          <w:rStyle w:val="hps"/>
        </w:rPr>
        <w:t>au 31</w:t>
      </w:r>
      <w:r w:rsidR="00FD2403" w:rsidRPr="004A3269">
        <w:rPr>
          <w:rStyle w:val="hps"/>
        </w:rPr>
        <w:t> d</w:t>
      </w:r>
      <w:r w:rsidRPr="004A3269">
        <w:rPr>
          <w:rStyle w:val="hps"/>
        </w:rPr>
        <w:t>écembre</w:t>
      </w:r>
      <w:r w:rsidR="00FD2403" w:rsidRPr="004A3269">
        <w:rPr>
          <w:rStyle w:val="hps"/>
        </w:rPr>
        <w:t> </w:t>
      </w:r>
      <w:r w:rsidRPr="004A3269">
        <w:rPr>
          <w:rStyle w:val="hps"/>
        </w:rPr>
        <w:t xml:space="preserve">2014. </w:t>
      </w:r>
      <w:r w:rsidR="00FD2403" w:rsidRPr="004A3269">
        <w:rPr>
          <w:rStyle w:val="hps"/>
        </w:rPr>
        <w:t xml:space="preserve"> </w:t>
      </w:r>
      <w:r w:rsidR="00B74705" w:rsidRPr="004A3269">
        <w:rPr>
          <w:rStyle w:val="hps"/>
        </w:rPr>
        <w:t>L</w:t>
      </w:r>
      <w:r w:rsidR="009021AA" w:rsidRPr="004A3269">
        <w:rPr>
          <w:rStyle w:val="hps"/>
        </w:rPr>
        <w:t>’</w:t>
      </w:r>
      <w:r w:rsidR="00B74705" w:rsidRPr="004A3269">
        <w:rPr>
          <w:rStyle w:val="hps"/>
        </w:rPr>
        <w:t>obligation relative à l</w:t>
      </w:r>
      <w:r w:rsidR="009021AA" w:rsidRPr="004A3269">
        <w:rPr>
          <w:rStyle w:val="hps"/>
        </w:rPr>
        <w:t>’</w:t>
      </w:r>
      <w:r w:rsidR="00B74705" w:rsidRPr="004A3269">
        <w:rPr>
          <w:rStyle w:val="hps"/>
        </w:rPr>
        <w:t>assurance</w:t>
      </w:r>
      <w:r w:rsidR="00A17552" w:rsidRPr="004A3269">
        <w:rPr>
          <w:rStyle w:val="hps"/>
        </w:rPr>
        <w:noBreakHyphen/>
      </w:r>
      <w:r w:rsidR="00B74705" w:rsidRPr="004A3269">
        <w:rPr>
          <w:rStyle w:val="hps"/>
        </w:rPr>
        <w:t xml:space="preserve">maladie </w:t>
      </w:r>
      <w:r w:rsidR="00E1450E" w:rsidRPr="004A3269">
        <w:rPr>
          <w:rStyle w:val="hps"/>
        </w:rPr>
        <w:t xml:space="preserve">après la cessation de service </w:t>
      </w:r>
      <w:r w:rsidRPr="004A3269">
        <w:rPr>
          <w:rStyle w:val="hps"/>
        </w:rPr>
        <w:t xml:space="preserve">a augmenté de </w:t>
      </w:r>
      <w:r w:rsidR="00FD2403" w:rsidRPr="004A3269">
        <w:rPr>
          <w:rStyle w:val="hps"/>
        </w:rPr>
        <w:t>8,3 </w:t>
      </w:r>
      <w:r w:rsidRPr="004A3269">
        <w:rPr>
          <w:rStyle w:val="hps"/>
        </w:rPr>
        <w:t>millions de francs suisses par rapport à</w:t>
      </w:r>
      <w:r w:rsidR="00FD2403" w:rsidRPr="004A3269">
        <w:rPr>
          <w:rStyle w:val="hps"/>
        </w:rPr>
        <w:t> </w:t>
      </w:r>
      <w:r w:rsidRPr="004A3269">
        <w:rPr>
          <w:rStyle w:val="hps"/>
        </w:rPr>
        <w:t xml:space="preserve">2013. </w:t>
      </w:r>
      <w:r w:rsidR="00FD2403" w:rsidRPr="004A3269">
        <w:rPr>
          <w:rStyle w:val="hps"/>
        </w:rPr>
        <w:t xml:space="preserve"> </w:t>
      </w:r>
      <w:r w:rsidR="00B74705" w:rsidRPr="004A3269">
        <w:rPr>
          <w:rStyle w:val="hps"/>
        </w:rPr>
        <w:t>L</w:t>
      </w:r>
      <w:r w:rsidR="009021AA" w:rsidRPr="004A3269">
        <w:rPr>
          <w:rStyle w:val="hps"/>
        </w:rPr>
        <w:t>’</w:t>
      </w:r>
      <w:r w:rsidR="00B74705" w:rsidRPr="004A3269">
        <w:rPr>
          <w:rStyle w:val="hps"/>
        </w:rPr>
        <w:t xml:space="preserve">obligation, qui est calculée par un actuaire indépendant, traduit le futur coût total de la part des </w:t>
      </w:r>
      <w:r w:rsidR="00B74705" w:rsidRPr="004A3269">
        <w:rPr>
          <w:rStyle w:val="hps"/>
        </w:rPr>
        <w:lastRenderedPageBreak/>
        <w:t>primes d</w:t>
      </w:r>
      <w:r w:rsidR="009021AA" w:rsidRPr="004A3269">
        <w:rPr>
          <w:rStyle w:val="hps"/>
        </w:rPr>
        <w:t>’</w:t>
      </w:r>
      <w:r w:rsidR="00B74705" w:rsidRPr="004A3269">
        <w:rPr>
          <w:rStyle w:val="hps"/>
        </w:rPr>
        <w:t>assurance</w:t>
      </w:r>
      <w:r w:rsidR="00A17552" w:rsidRPr="004A3269">
        <w:rPr>
          <w:rStyle w:val="hps"/>
        </w:rPr>
        <w:noBreakHyphen/>
      </w:r>
      <w:r w:rsidR="00B74705" w:rsidRPr="004A3269">
        <w:rPr>
          <w:rStyle w:val="hps"/>
        </w:rPr>
        <w:t>maladie de l</w:t>
      </w:r>
      <w:r w:rsidR="009021AA" w:rsidRPr="004A3269">
        <w:rPr>
          <w:rStyle w:val="hps"/>
        </w:rPr>
        <w:t>’</w:t>
      </w:r>
      <w:r w:rsidR="00B74705" w:rsidRPr="004A3269">
        <w:rPr>
          <w:rStyle w:val="hps"/>
        </w:rPr>
        <w:t>OMPI aussi bien pour les retraités de l</w:t>
      </w:r>
      <w:r w:rsidR="009021AA" w:rsidRPr="004A3269">
        <w:rPr>
          <w:rStyle w:val="hps"/>
        </w:rPr>
        <w:t>’</w:t>
      </w:r>
      <w:r w:rsidR="00B74705" w:rsidRPr="004A3269">
        <w:rPr>
          <w:rStyle w:val="hps"/>
        </w:rPr>
        <w:t>OMPI que pour le nombre projeté de fonctionnaires en poste de l</w:t>
      </w:r>
      <w:r w:rsidR="009021AA" w:rsidRPr="004A3269">
        <w:rPr>
          <w:rStyle w:val="hps"/>
        </w:rPr>
        <w:t>’</w:t>
      </w:r>
      <w:r w:rsidR="00B74705" w:rsidRPr="004A3269">
        <w:rPr>
          <w:rStyle w:val="hps"/>
        </w:rPr>
        <w:t>OMPI qui prendront leur retraite dans l</w:t>
      </w:r>
      <w:r w:rsidR="009021AA" w:rsidRPr="004A3269">
        <w:rPr>
          <w:rStyle w:val="hps"/>
        </w:rPr>
        <w:t>’</w:t>
      </w:r>
      <w:r w:rsidR="00B74705" w:rsidRPr="004A3269">
        <w:rPr>
          <w:rStyle w:val="hps"/>
        </w:rPr>
        <w:t>avenir</w:t>
      </w:r>
      <w:r w:rsidR="008B510E" w:rsidRPr="004A3269">
        <w:rPr>
          <w:rStyle w:val="hps"/>
        </w:rPr>
        <w:t>.</w:t>
      </w:r>
    </w:p>
    <w:p w:rsidR="00267140" w:rsidRPr="004A3269" w:rsidRDefault="00B9245C" w:rsidP="00B9245C">
      <w:pPr>
        <w:spacing w:after="220"/>
        <w:jc w:val="center"/>
        <w:rPr>
          <w:rFonts w:eastAsia="SimSun"/>
          <w:szCs w:val="22"/>
          <w:u w:val="single"/>
          <w:lang w:eastAsia="zh-CN"/>
        </w:rPr>
      </w:pPr>
      <w:r w:rsidRPr="004A3269">
        <w:rPr>
          <w:rFonts w:eastAsia="SimSun"/>
          <w:u w:val="single"/>
          <w:lang w:eastAsia="zh-CN"/>
        </w:rPr>
        <w:t xml:space="preserve">Composition </w:t>
      </w:r>
      <w:r w:rsidR="00D62AD2" w:rsidRPr="004A3269">
        <w:rPr>
          <w:rFonts w:eastAsia="SimSun"/>
          <w:u w:val="single"/>
          <w:lang w:eastAsia="zh-CN"/>
        </w:rPr>
        <w:t>des</w:t>
      </w:r>
      <w:r w:rsidRPr="004A3269">
        <w:rPr>
          <w:rFonts w:eastAsia="SimSun"/>
          <w:u w:val="single"/>
          <w:lang w:eastAsia="zh-CN"/>
        </w:rPr>
        <w:t xml:space="preserve"> </w:t>
      </w:r>
      <w:r w:rsidR="00D62AD2" w:rsidRPr="004A3269">
        <w:rPr>
          <w:rFonts w:eastAsia="SimSun"/>
          <w:u w:val="single"/>
          <w:lang w:eastAsia="zh-CN"/>
        </w:rPr>
        <w:t>obligations relatives aux prestations en matière d</w:t>
      </w:r>
      <w:r w:rsidR="009021AA" w:rsidRPr="004A3269">
        <w:rPr>
          <w:rFonts w:eastAsia="SimSun"/>
          <w:u w:val="single"/>
          <w:lang w:eastAsia="zh-CN"/>
        </w:rPr>
        <w:t>’</w:t>
      </w:r>
      <w:r w:rsidR="00D62AD2" w:rsidRPr="004A3269">
        <w:rPr>
          <w:rFonts w:eastAsia="SimSun"/>
          <w:u w:val="single"/>
          <w:lang w:eastAsia="zh-CN"/>
        </w:rPr>
        <w:t xml:space="preserve">emploi </w:t>
      </w:r>
      <w:r w:rsidR="0042329A" w:rsidRPr="004A3269">
        <w:rPr>
          <w:rFonts w:eastAsia="SimSun"/>
          <w:u w:val="single"/>
          <w:lang w:eastAsia="zh-CN"/>
        </w:rPr>
        <w:t>au 31 </w:t>
      </w:r>
      <w:r w:rsidR="00D62AD2" w:rsidRPr="004A3269">
        <w:rPr>
          <w:rFonts w:eastAsia="SimSun"/>
          <w:u w:val="single"/>
          <w:lang w:eastAsia="zh-CN"/>
        </w:rPr>
        <w:t>décembre </w:t>
      </w:r>
      <w:r w:rsidR="00EC3C4C" w:rsidRPr="004A3269">
        <w:rPr>
          <w:rFonts w:eastAsia="SimSun"/>
          <w:u w:val="single"/>
          <w:lang w:eastAsia="zh-CN"/>
        </w:rPr>
        <w:t>2014</w:t>
      </w:r>
    </w:p>
    <w:p w:rsidR="0004616B" w:rsidRPr="004A3269" w:rsidRDefault="00B73346" w:rsidP="00B73346">
      <w:pPr>
        <w:jc w:val="center"/>
        <w:rPr>
          <w:rStyle w:val="hps"/>
          <w:rFonts w:eastAsia="SimSun"/>
          <w:szCs w:val="22"/>
          <w:lang w:eastAsia="zh-CN"/>
        </w:rPr>
      </w:pPr>
      <w:r w:rsidRPr="004A3269">
        <w:rPr>
          <w:rFonts w:eastAsia="SimSun"/>
          <w:noProof/>
          <w:lang w:val="en-US"/>
        </w:rPr>
        <w:drawing>
          <wp:inline distT="0" distB="0" distL="0" distR="0" wp14:anchorId="5CB145EE" wp14:editId="17D49860">
            <wp:extent cx="5977255" cy="2569725"/>
            <wp:effectExtent l="0" t="0" r="4445" b="254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77255" cy="2569725"/>
                    </a:xfrm>
                    <a:prstGeom prst="rect">
                      <a:avLst/>
                    </a:prstGeom>
                    <a:noFill/>
                    <a:ln>
                      <a:noFill/>
                    </a:ln>
                  </pic:spPr>
                </pic:pic>
              </a:graphicData>
            </a:graphic>
          </wp:inline>
        </w:drawing>
      </w:r>
    </w:p>
    <w:p w:rsidR="00B73346" w:rsidRPr="004A3269" w:rsidRDefault="00B73346" w:rsidP="0004616B">
      <w:pPr>
        <w:jc w:val="both"/>
        <w:rPr>
          <w:rStyle w:val="hps"/>
          <w:rFonts w:eastAsia="SimSun"/>
          <w:szCs w:val="22"/>
          <w:lang w:eastAsia="zh-CN"/>
        </w:rPr>
      </w:pPr>
    </w:p>
    <w:p w:rsidR="00267140" w:rsidRPr="004A3269" w:rsidRDefault="00F17F66" w:rsidP="00FE7E7B">
      <w:pPr>
        <w:pStyle w:val="ONUMFS"/>
        <w:rPr>
          <w:rFonts w:eastAsia="SimSun"/>
          <w:szCs w:val="22"/>
          <w:lang w:eastAsia="zh-CN"/>
        </w:rPr>
      </w:pPr>
      <w:r w:rsidRPr="004A3269">
        <w:rPr>
          <w:rStyle w:val="hps"/>
        </w:rPr>
        <w:t>L</w:t>
      </w:r>
      <w:r w:rsidR="009021AA" w:rsidRPr="004A3269">
        <w:rPr>
          <w:rStyle w:val="hps"/>
        </w:rPr>
        <w:t>’</w:t>
      </w:r>
      <w:r w:rsidRPr="004A3269">
        <w:rPr>
          <w:rStyle w:val="hps"/>
        </w:rPr>
        <w:t>obligation relative à l</w:t>
      </w:r>
      <w:r w:rsidR="009021AA" w:rsidRPr="004A3269">
        <w:rPr>
          <w:rStyle w:val="hps"/>
        </w:rPr>
        <w:t>’</w:t>
      </w:r>
      <w:r w:rsidRPr="004A3269">
        <w:rPr>
          <w:rStyle w:val="hps"/>
        </w:rPr>
        <w:t>assurance</w:t>
      </w:r>
      <w:r w:rsidR="00A17552" w:rsidRPr="004A3269">
        <w:rPr>
          <w:rStyle w:val="hps"/>
        </w:rPr>
        <w:noBreakHyphen/>
      </w:r>
      <w:r w:rsidRPr="004A3269">
        <w:rPr>
          <w:rStyle w:val="hps"/>
        </w:rPr>
        <w:t xml:space="preserve">maladie </w:t>
      </w:r>
      <w:r w:rsidR="00E1450E" w:rsidRPr="004A3269">
        <w:rPr>
          <w:rStyle w:val="hps"/>
        </w:rPr>
        <w:t xml:space="preserve">après la cessation de service </w:t>
      </w:r>
      <w:r w:rsidR="00447F06" w:rsidRPr="004A3269">
        <w:t>n</w:t>
      </w:r>
      <w:r w:rsidR="009021AA" w:rsidRPr="004A3269">
        <w:t>’</w:t>
      </w:r>
      <w:r w:rsidR="00447F06" w:rsidRPr="004A3269">
        <w:t>a ces</w:t>
      </w:r>
      <w:r w:rsidRPr="004A3269">
        <w:t>sé d</w:t>
      </w:r>
      <w:r w:rsidR="009021AA" w:rsidRPr="004A3269">
        <w:t>’</w:t>
      </w:r>
      <w:r w:rsidRPr="004A3269">
        <w:t>augmenter au c</w:t>
      </w:r>
      <w:r w:rsidRPr="00FE7E7B">
        <w:rPr>
          <w:szCs w:val="22"/>
        </w:rPr>
        <w:t>ours des six </w:t>
      </w:r>
      <w:r w:rsidR="00447F06" w:rsidRPr="00FE7E7B">
        <w:rPr>
          <w:szCs w:val="22"/>
        </w:rPr>
        <w:t xml:space="preserve">dernières années, et </w:t>
      </w:r>
      <w:r w:rsidR="002B7E31" w:rsidRPr="00FE7E7B">
        <w:rPr>
          <w:szCs w:val="22"/>
        </w:rPr>
        <w:t>devrait continuer d</w:t>
      </w:r>
      <w:r w:rsidR="009021AA" w:rsidRPr="00FE7E7B">
        <w:rPr>
          <w:szCs w:val="22"/>
        </w:rPr>
        <w:t>’</w:t>
      </w:r>
      <w:r w:rsidR="002B7E31" w:rsidRPr="00FE7E7B">
        <w:rPr>
          <w:szCs w:val="22"/>
        </w:rPr>
        <w:t xml:space="preserve">augmenter </w:t>
      </w:r>
      <w:r w:rsidRPr="00FE7E7B">
        <w:rPr>
          <w:szCs w:val="22"/>
        </w:rPr>
        <w:t>d</w:t>
      </w:r>
      <w:r w:rsidR="009021AA" w:rsidRPr="00FE7E7B">
        <w:rPr>
          <w:szCs w:val="22"/>
        </w:rPr>
        <w:t>’</w:t>
      </w:r>
      <w:r w:rsidRPr="00FE7E7B">
        <w:rPr>
          <w:szCs w:val="22"/>
        </w:rPr>
        <w:t>après les</w:t>
      </w:r>
      <w:r w:rsidR="00447F06" w:rsidRPr="00FE7E7B">
        <w:rPr>
          <w:szCs w:val="22"/>
        </w:rPr>
        <w:t xml:space="preserve"> projections actuarielles.</w:t>
      </w:r>
      <w:r w:rsidRPr="00FE7E7B">
        <w:rPr>
          <w:szCs w:val="22"/>
        </w:rPr>
        <w:t xml:space="preserve"> </w:t>
      </w:r>
      <w:r w:rsidR="00447F06" w:rsidRPr="00FE7E7B">
        <w:rPr>
          <w:szCs w:val="22"/>
        </w:rPr>
        <w:t xml:space="preserve"> </w:t>
      </w:r>
      <w:r w:rsidR="00AC54EB" w:rsidRPr="00FE7E7B">
        <w:rPr>
          <w:szCs w:val="22"/>
        </w:rPr>
        <w:t xml:space="preserve">Cette </w:t>
      </w:r>
      <w:r w:rsidRPr="00FE7E7B">
        <w:rPr>
          <w:szCs w:val="22"/>
        </w:rPr>
        <w:t>obligation</w:t>
      </w:r>
      <w:r w:rsidR="00447F06" w:rsidRPr="00FE7E7B">
        <w:rPr>
          <w:szCs w:val="22"/>
        </w:rPr>
        <w:t xml:space="preserve"> </w:t>
      </w:r>
      <w:r w:rsidR="002B7E31" w:rsidRPr="00FE7E7B">
        <w:rPr>
          <w:szCs w:val="22"/>
        </w:rPr>
        <w:t>augmente</w:t>
      </w:r>
      <w:r w:rsidR="00447F06" w:rsidRPr="00FE7E7B">
        <w:rPr>
          <w:szCs w:val="22"/>
        </w:rPr>
        <w:t xml:space="preserve"> chaque année à la fois </w:t>
      </w:r>
      <w:r w:rsidR="002B7E31" w:rsidRPr="00FE7E7B">
        <w:rPr>
          <w:szCs w:val="22"/>
        </w:rPr>
        <w:t>en raison du</w:t>
      </w:r>
      <w:r w:rsidR="00447F06" w:rsidRPr="00FE7E7B">
        <w:rPr>
          <w:szCs w:val="22"/>
        </w:rPr>
        <w:t xml:space="preserve"> coût </w:t>
      </w:r>
      <w:r w:rsidR="000867DE" w:rsidRPr="00FE7E7B">
        <w:rPr>
          <w:rStyle w:val="preferred"/>
          <w:szCs w:val="22"/>
        </w:rPr>
        <w:t xml:space="preserve">des services rendus au cours de la période </w:t>
      </w:r>
      <w:r w:rsidR="00447F06" w:rsidRPr="00FE7E7B">
        <w:rPr>
          <w:szCs w:val="22"/>
        </w:rPr>
        <w:t>et du coût d</w:t>
      </w:r>
      <w:r w:rsidR="008E7E9A" w:rsidRPr="00FE7E7B">
        <w:rPr>
          <w:szCs w:val="22"/>
        </w:rPr>
        <w:t xml:space="preserve">es </w:t>
      </w:r>
      <w:r w:rsidR="00447F06" w:rsidRPr="00FE7E7B">
        <w:rPr>
          <w:szCs w:val="22"/>
        </w:rPr>
        <w:t>intérêt</w:t>
      </w:r>
      <w:r w:rsidR="008E7E9A" w:rsidRPr="00FE7E7B">
        <w:rPr>
          <w:szCs w:val="22"/>
        </w:rPr>
        <w:t>s</w:t>
      </w:r>
      <w:r w:rsidR="00E27321" w:rsidRPr="00FE7E7B">
        <w:rPr>
          <w:szCs w:val="22"/>
        </w:rPr>
        <w:t xml:space="preserve"> </w:t>
      </w:r>
      <w:r w:rsidR="00447F06" w:rsidRPr="00FE7E7B">
        <w:rPr>
          <w:szCs w:val="22"/>
        </w:rPr>
        <w:t xml:space="preserve">et </w:t>
      </w:r>
      <w:r w:rsidR="00E27321" w:rsidRPr="00FE7E7B">
        <w:rPr>
          <w:szCs w:val="22"/>
        </w:rPr>
        <w:t>elle est réduite</w:t>
      </w:r>
      <w:r w:rsidR="00447F06" w:rsidRPr="00FE7E7B">
        <w:rPr>
          <w:szCs w:val="22"/>
        </w:rPr>
        <w:t xml:space="preserve"> chaque année </w:t>
      </w:r>
      <w:r w:rsidR="00E27321" w:rsidRPr="00FE7E7B">
        <w:rPr>
          <w:szCs w:val="22"/>
        </w:rPr>
        <w:t>du montant</w:t>
      </w:r>
      <w:r w:rsidR="00F14BDC" w:rsidRPr="00FE7E7B">
        <w:rPr>
          <w:szCs w:val="22"/>
        </w:rPr>
        <w:t xml:space="preserve"> des</w:t>
      </w:r>
      <w:r w:rsidR="00447F06" w:rsidRPr="00FE7E7B">
        <w:rPr>
          <w:szCs w:val="22"/>
        </w:rPr>
        <w:t xml:space="preserve"> </w:t>
      </w:r>
      <w:r w:rsidR="00F14BDC" w:rsidRPr="00FE7E7B">
        <w:rPr>
          <w:szCs w:val="22"/>
        </w:rPr>
        <w:t>indemnités</w:t>
      </w:r>
      <w:r w:rsidR="00447F06" w:rsidRPr="00FE7E7B">
        <w:rPr>
          <w:szCs w:val="22"/>
        </w:rPr>
        <w:t xml:space="preserve"> versées par l</w:t>
      </w:r>
      <w:r w:rsidR="009021AA" w:rsidRPr="00FE7E7B">
        <w:rPr>
          <w:szCs w:val="22"/>
        </w:rPr>
        <w:t>’</w:t>
      </w:r>
      <w:r w:rsidR="00447F06" w:rsidRPr="00FE7E7B">
        <w:rPr>
          <w:szCs w:val="22"/>
        </w:rPr>
        <w:t xml:space="preserve">Organisation. </w:t>
      </w:r>
      <w:r w:rsidR="002B7E31" w:rsidRPr="00FE7E7B">
        <w:rPr>
          <w:szCs w:val="22"/>
        </w:rPr>
        <w:t xml:space="preserve"> </w:t>
      </w:r>
      <w:r w:rsidR="00447F06" w:rsidRPr="00FE7E7B">
        <w:rPr>
          <w:szCs w:val="22"/>
        </w:rPr>
        <w:t xml:space="preserve">Le coût </w:t>
      </w:r>
      <w:r w:rsidR="005D1A80" w:rsidRPr="00FE7E7B">
        <w:rPr>
          <w:rStyle w:val="preferred"/>
          <w:szCs w:val="22"/>
        </w:rPr>
        <w:t xml:space="preserve">des services rendus au cours de la période </w:t>
      </w:r>
      <w:r w:rsidR="00447F06" w:rsidRPr="00FE7E7B">
        <w:rPr>
          <w:szCs w:val="22"/>
        </w:rPr>
        <w:t>est l</w:t>
      </w:r>
      <w:r w:rsidR="009021AA" w:rsidRPr="00FE7E7B">
        <w:rPr>
          <w:szCs w:val="22"/>
        </w:rPr>
        <w:t>’</w:t>
      </w:r>
      <w:r w:rsidR="00447F06" w:rsidRPr="00FE7E7B">
        <w:rPr>
          <w:szCs w:val="22"/>
        </w:rPr>
        <w:t>impact net résultant d</w:t>
      </w:r>
      <w:r w:rsidR="00B13F3B" w:rsidRPr="00FE7E7B">
        <w:rPr>
          <w:szCs w:val="22"/>
        </w:rPr>
        <w:t>es</w:t>
      </w:r>
      <w:r w:rsidR="00447F06" w:rsidRPr="00FE7E7B">
        <w:rPr>
          <w:szCs w:val="22"/>
        </w:rPr>
        <w:t xml:space="preserve"> service</w:t>
      </w:r>
      <w:r w:rsidR="00B13F3B" w:rsidRPr="00FE7E7B">
        <w:rPr>
          <w:szCs w:val="22"/>
        </w:rPr>
        <w:t>s</w:t>
      </w:r>
      <w:r w:rsidR="00447F06" w:rsidRPr="00FE7E7B">
        <w:rPr>
          <w:szCs w:val="22"/>
        </w:rPr>
        <w:t xml:space="preserve"> </w:t>
      </w:r>
      <w:r w:rsidR="00F14BDC" w:rsidRPr="00FE7E7B">
        <w:rPr>
          <w:szCs w:val="22"/>
        </w:rPr>
        <w:t>rendu</w:t>
      </w:r>
      <w:r w:rsidR="00B13F3B" w:rsidRPr="00FE7E7B">
        <w:rPr>
          <w:szCs w:val="22"/>
        </w:rPr>
        <w:t>s par le personnel</w:t>
      </w:r>
      <w:r w:rsidR="00F14BDC" w:rsidRPr="00FE7E7B">
        <w:rPr>
          <w:szCs w:val="22"/>
        </w:rPr>
        <w:t xml:space="preserve"> au cours de</w:t>
      </w:r>
      <w:r w:rsidR="00447F06" w:rsidRPr="00FE7E7B">
        <w:rPr>
          <w:szCs w:val="22"/>
        </w:rPr>
        <w:t xml:space="preserve"> l</w:t>
      </w:r>
      <w:r w:rsidR="009021AA" w:rsidRPr="00FE7E7B">
        <w:rPr>
          <w:szCs w:val="22"/>
        </w:rPr>
        <w:t>’</w:t>
      </w:r>
      <w:r w:rsidR="00447F06" w:rsidRPr="00FE7E7B">
        <w:rPr>
          <w:szCs w:val="22"/>
        </w:rPr>
        <w:t xml:space="preserve">année. </w:t>
      </w:r>
      <w:r w:rsidR="002B7E31" w:rsidRPr="00FE7E7B">
        <w:rPr>
          <w:szCs w:val="22"/>
        </w:rPr>
        <w:t xml:space="preserve"> </w:t>
      </w:r>
      <w:r w:rsidR="00447F06" w:rsidRPr="00FE7E7B">
        <w:rPr>
          <w:szCs w:val="22"/>
        </w:rPr>
        <w:t>Le coût d</w:t>
      </w:r>
      <w:r w:rsidR="00A74760" w:rsidRPr="00FE7E7B">
        <w:rPr>
          <w:szCs w:val="22"/>
        </w:rPr>
        <w:t xml:space="preserve">es </w:t>
      </w:r>
      <w:r w:rsidR="00447F06" w:rsidRPr="00FE7E7B">
        <w:rPr>
          <w:szCs w:val="22"/>
        </w:rPr>
        <w:t>intérêt</w:t>
      </w:r>
      <w:r w:rsidR="00A74760" w:rsidRPr="00FE7E7B">
        <w:rPr>
          <w:szCs w:val="22"/>
        </w:rPr>
        <w:t xml:space="preserve">s </w:t>
      </w:r>
      <w:r w:rsidR="00447F06" w:rsidRPr="00FE7E7B">
        <w:rPr>
          <w:szCs w:val="22"/>
        </w:rPr>
        <w:t xml:space="preserve">est </w:t>
      </w:r>
      <w:r w:rsidR="00B13F3B" w:rsidRPr="00FE7E7B">
        <w:rPr>
          <w:szCs w:val="22"/>
        </w:rPr>
        <w:t>la conséquence</w:t>
      </w:r>
      <w:r w:rsidR="00447F06" w:rsidRPr="00FE7E7B">
        <w:rPr>
          <w:szCs w:val="22"/>
        </w:rPr>
        <w:t xml:space="preserve"> du fait que chaque </w:t>
      </w:r>
      <w:r w:rsidR="008E7E9A" w:rsidRPr="00FE7E7B">
        <w:rPr>
          <w:szCs w:val="22"/>
        </w:rPr>
        <w:t xml:space="preserve">fonctionnaire en </w:t>
      </w:r>
      <w:r w:rsidR="00B13F3B" w:rsidRPr="00FE7E7B">
        <w:rPr>
          <w:szCs w:val="22"/>
        </w:rPr>
        <w:t>activité</w:t>
      </w:r>
      <w:r w:rsidR="00447F06" w:rsidRPr="00FE7E7B">
        <w:rPr>
          <w:szCs w:val="22"/>
        </w:rPr>
        <w:t xml:space="preserve"> </w:t>
      </w:r>
      <w:r w:rsidR="002B7E31" w:rsidRPr="00FE7E7B">
        <w:rPr>
          <w:szCs w:val="22"/>
        </w:rPr>
        <w:t>se rapproche</w:t>
      </w:r>
      <w:r w:rsidR="00447F06" w:rsidRPr="00FE7E7B">
        <w:rPr>
          <w:szCs w:val="22"/>
        </w:rPr>
        <w:t xml:space="preserve"> d</w:t>
      </w:r>
      <w:r w:rsidR="009021AA" w:rsidRPr="00FE7E7B">
        <w:rPr>
          <w:szCs w:val="22"/>
        </w:rPr>
        <w:t>’</w:t>
      </w:r>
      <w:r w:rsidR="00447F06" w:rsidRPr="00FE7E7B">
        <w:rPr>
          <w:szCs w:val="22"/>
        </w:rPr>
        <w:t>un an de l</w:t>
      </w:r>
      <w:r w:rsidR="009021AA" w:rsidRPr="00FE7E7B">
        <w:rPr>
          <w:szCs w:val="22"/>
        </w:rPr>
        <w:t>’</w:t>
      </w:r>
      <w:r w:rsidR="00447F06" w:rsidRPr="00FE7E7B">
        <w:rPr>
          <w:szCs w:val="22"/>
        </w:rPr>
        <w:t>âge</w:t>
      </w:r>
      <w:r w:rsidR="00B13F3B" w:rsidRPr="00FE7E7B">
        <w:rPr>
          <w:szCs w:val="22"/>
        </w:rPr>
        <w:t xml:space="preserve"> auquel il peut prétendre</w:t>
      </w:r>
      <w:r w:rsidR="00447F06" w:rsidRPr="00FE7E7B">
        <w:rPr>
          <w:szCs w:val="22"/>
        </w:rPr>
        <w:t xml:space="preserve"> </w:t>
      </w:r>
      <w:r w:rsidR="00B13F3B" w:rsidRPr="00FE7E7B">
        <w:rPr>
          <w:szCs w:val="22"/>
        </w:rPr>
        <w:t>aux prestations au titre de l</w:t>
      </w:r>
      <w:r w:rsidR="009021AA" w:rsidRPr="00FE7E7B">
        <w:rPr>
          <w:rStyle w:val="hps"/>
          <w:szCs w:val="22"/>
        </w:rPr>
        <w:t>’</w:t>
      </w:r>
      <w:r w:rsidR="002B7E31" w:rsidRPr="00FE7E7B">
        <w:rPr>
          <w:rStyle w:val="hps"/>
          <w:szCs w:val="22"/>
        </w:rPr>
        <w:t>assurance</w:t>
      </w:r>
      <w:r w:rsidR="00A17552" w:rsidRPr="00FE7E7B">
        <w:rPr>
          <w:rStyle w:val="hps"/>
          <w:szCs w:val="22"/>
        </w:rPr>
        <w:noBreakHyphen/>
      </w:r>
      <w:r w:rsidR="002B7E31" w:rsidRPr="00FE7E7B">
        <w:rPr>
          <w:rStyle w:val="hps"/>
          <w:szCs w:val="22"/>
        </w:rPr>
        <w:t xml:space="preserve">maladie après </w:t>
      </w:r>
      <w:r w:rsidR="00A74760" w:rsidRPr="00FE7E7B">
        <w:rPr>
          <w:rStyle w:val="hps"/>
          <w:szCs w:val="22"/>
        </w:rPr>
        <w:t xml:space="preserve">la </w:t>
      </w:r>
      <w:r w:rsidR="002B7E31" w:rsidRPr="00FE7E7B">
        <w:rPr>
          <w:rStyle w:val="hps"/>
          <w:szCs w:val="22"/>
        </w:rPr>
        <w:t>cessation de service</w:t>
      </w:r>
      <w:r w:rsidR="00447F06" w:rsidRPr="00FE7E7B">
        <w:rPr>
          <w:szCs w:val="22"/>
        </w:rPr>
        <w:t xml:space="preserve">. </w:t>
      </w:r>
      <w:r w:rsidR="002B7E31" w:rsidRPr="00FE7E7B">
        <w:rPr>
          <w:szCs w:val="22"/>
        </w:rPr>
        <w:t xml:space="preserve"> </w:t>
      </w:r>
      <w:r w:rsidR="00447F06" w:rsidRPr="00FE7E7B">
        <w:rPr>
          <w:szCs w:val="22"/>
        </w:rPr>
        <w:t xml:space="preserve">Les prestations versées </w:t>
      </w:r>
      <w:r w:rsidR="002B7E31" w:rsidRPr="00FE7E7B">
        <w:rPr>
          <w:szCs w:val="22"/>
        </w:rPr>
        <w:t xml:space="preserve">chaque année </w:t>
      </w:r>
      <w:r w:rsidR="00447F06" w:rsidRPr="00FE7E7B">
        <w:rPr>
          <w:szCs w:val="22"/>
        </w:rPr>
        <w:t>par l</w:t>
      </w:r>
      <w:r w:rsidR="009021AA" w:rsidRPr="00FE7E7B">
        <w:rPr>
          <w:szCs w:val="22"/>
        </w:rPr>
        <w:t>’</w:t>
      </w:r>
      <w:r w:rsidR="00447F06" w:rsidRPr="00FE7E7B">
        <w:rPr>
          <w:szCs w:val="22"/>
        </w:rPr>
        <w:t xml:space="preserve">Organisation </w:t>
      </w:r>
      <w:r w:rsidR="002B7E31" w:rsidRPr="00FE7E7B">
        <w:rPr>
          <w:szCs w:val="22"/>
        </w:rPr>
        <w:t>sont</w:t>
      </w:r>
      <w:r w:rsidR="00447F06" w:rsidRPr="00FE7E7B">
        <w:rPr>
          <w:szCs w:val="22"/>
        </w:rPr>
        <w:t xml:space="preserve"> les cotisation</w:t>
      </w:r>
      <w:r w:rsidRPr="00FE7E7B">
        <w:rPr>
          <w:szCs w:val="22"/>
        </w:rPr>
        <w:t>s mensuelles (actuellement 65,0%</w:t>
      </w:r>
      <w:r w:rsidR="00447F06" w:rsidRPr="00FE7E7B">
        <w:rPr>
          <w:szCs w:val="22"/>
        </w:rPr>
        <w:t xml:space="preserve"> des primes) que l</w:t>
      </w:r>
      <w:r w:rsidR="009021AA" w:rsidRPr="00FE7E7B">
        <w:rPr>
          <w:szCs w:val="22"/>
        </w:rPr>
        <w:t>’</w:t>
      </w:r>
      <w:r w:rsidR="00447F06" w:rsidRPr="00FE7E7B">
        <w:rPr>
          <w:szCs w:val="22"/>
        </w:rPr>
        <w:t xml:space="preserve">Organisation </w:t>
      </w:r>
      <w:r w:rsidR="002B7E31" w:rsidRPr="00FE7E7B">
        <w:rPr>
          <w:szCs w:val="22"/>
        </w:rPr>
        <w:t>verse</w:t>
      </w:r>
      <w:r w:rsidR="00447F06" w:rsidRPr="00FE7E7B">
        <w:rPr>
          <w:szCs w:val="22"/>
        </w:rPr>
        <w:t xml:space="preserve"> </w:t>
      </w:r>
      <w:r w:rsidR="002B7E31" w:rsidRPr="00FE7E7B">
        <w:rPr>
          <w:szCs w:val="22"/>
        </w:rPr>
        <w:t>aux</w:t>
      </w:r>
      <w:r w:rsidR="00447F06" w:rsidRPr="00FE7E7B">
        <w:rPr>
          <w:szCs w:val="22"/>
        </w:rPr>
        <w:t xml:space="preserve"> retraités participant à </w:t>
      </w:r>
      <w:r w:rsidR="002B7E31" w:rsidRPr="00FE7E7B">
        <w:rPr>
          <w:rStyle w:val="hps"/>
          <w:szCs w:val="22"/>
        </w:rPr>
        <w:t>l</w:t>
      </w:r>
      <w:r w:rsidR="009021AA" w:rsidRPr="00FE7E7B">
        <w:rPr>
          <w:rStyle w:val="hps"/>
          <w:szCs w:val="22"/>
        </w:rPr>
        <w:t>’</w:t>
      </w:r>
      <w:r w:rsidR="002B7E31" w:rsidRPr="00FE7E7B">
        <w:rPr>
          <w:rStyle w:val="hps"/>
          <w:szCs w:val="22"/>
        </w:rPr>
        <w:t>assurance</w:t>
      </w:r>
      <w:r w:rsidR="00A17552" w:rsidRPr="00FE7E7B">
        <w:rPr>
          <w:rStyle w:val="hps"/>
          <w:szCs w:val="22"/>
        </w:rPr>
        <w:noBreakHyphen/>
      </w:r>
      <w:r w:rsidR="002B7E31" w:rsidRPr="00FE7E7B">
        <w:rPr>
          <w:rStyle w:val="hps"/>
          <w:szCs w:val="22"/>
        </w:rPr>
        <w:t xml:space="preserve">maladie </w:t>
      </w:r>
      <w:r w:rsidR="00A74760" w:rsidRPr="00FE7E7B">
        <w:rPr>
          <w:rStyle w:val="hps"/>
          <w:szCs w:val="22"/>
        </w:rPr>
        <w:t>après la cessation</w:t>
      </w:r>
      <w:r w:rsidR="002B7E31" w:rsidRPr="00FE7E7B">
        <w:rPr>
          <w:rStyle w:val="hps"/>
          <w:szCs w:val="22"/>
        </w:rPr>
        <w:t xml:space="preserve"> de service</w:t>
      </w:r>
      <w:r w:rsidR="00447F06" w:rsidRPr="00FE7E7B">
        <w:rPr>
          <w:szCs w:val="22"/>
        </w:rPr>
        <w:t xml:space="preserve">. </w:t>
      </w:r>
      <w:r w:rsidRPr="00FE7E7B">
        <w:rPr>
          <w:szCs w:val="22"/>
        </w:rPr>
        <w:t xml:space="preserve"> </w:t>
      </w:r>
      <w:r w:rsidR="00447F06" w:rsidRPr="00FE7E7B">
        <w:rPr>
          <w:szCs w:val="22"/>
        </w:rPr>
        <w:t xml:space="preserve">Le profil démographique </w:t>
      </w:r>
      <w:r w:rsidRPr="00FE7E7B">
        <w:rPr>
          <w:szCs w:val="22"/>
        </w:rPr>
        <w:t>des fonctionnaires</w:t>
      </w:r>
      <w:r w:rsidR="002B7E31" w:rsidRPr="00FE7E7B">
        <w:rPr>
          <w:szCs w:val="22"/>
        </w:rPr>
        <w:t xml:space="preserve"> de l</w:t>
      </w:r>
      <w:r w:rsidR="009021AA" w:rsidRPr="00FE7E7B">
        <w:rPr>
          <w:szCs w:val="22"/>
        </w:rPr>
        <w:t>’</w:t>
      </w:r>
      <w:r w:rsidR="002B7E31" w:rsidRPr="00FE7E7B">
        <w:rPr>
          <w:szCs w:val="22"/>
        </w:rPr>
        <w:t>OMPI</w:t>
      </w:r>
      <w:r w:rsidR="00447F06" w:rsidRPr="00FE7E7B">
        <w:rPr>
          <w:szCs w:val="22"/>
        </w:rPr>
        <w:t xml:space="preserve"> et le ratio </w:t>
      </w:r>
      <w:r w:rsidR="00A74760" w:rsidRPr="00FE7E7B">
        <w:rPr>
          <w:szCs w:val="22"/>
        </w:rPr>
        <w:t xml:space="preserve">fonctionnaires en </w:t>
      </w:r>
      <w:r w:rsidR="00B60E20" w:rsidRPr="00FE7E7B">
        <w:rPr>
          <w:szCs w:val="22"/>
        </w:rPr>
        <w:t>activité</w:t>
      </w:r>
      <w:r w:rsidR="00A74760" w:rsidRPr="00FE7E7B">
        <w:rPr>
          <w:szCs w:val="22"/>
        </w:rPr>
        <w:t>/</w:t>
      </w:r>
      <w:r w:rsidR="00447F06" w:rsidRPr="00FE7E7B">
        <w:rPr>
          <w:szCs w:val="22"/>
        </w:rPr>
        <w:t xml:space="preserve">retraités ont donc un impact significatif sur </w:t>
      </w:r>
      <w:r w:rsidR="00A74760" w:rsidRPr="00FE7E7B">
        <w:rPr>
          <w:szCs w:val="22"/>
        </w:rPr>
        <w:t>l</w:t>
      </w:r>
      <w:r w:rsidR="009021AA" w:rsidRPr="00FE7E7B">
        <w:rPr>
          <w:szCs w:val="22"/>
        </w:rPr>
        <w:t>’</w:t>
      </w:r>
      <w:r w:rsidR="00A74760" w:rsidRPr="00FE7E7B">
        <w:rPr>
          <w:szCs w:val="22"/>
        </w:rPr>
        <w:t>évolution</w:t>
      </w:r>
      <w:r w:rsidR="00447F06" w:rsidRPr="00FE7E7B">
        <w:rPr>
          <w:szCs w:val="22"/>
        </w:rPr>
        <w:t xml:space="preserve"> de </w:t>
      </w:r>
      <w:r w:rsidR="002B7E31" w:rsidRPr="00FE7E7B">
        <w:rPr>
          <w:szCs w:val="22"/>
        </w:rPr>
        <w:t>l</w:t>
      </w:r>
      <w:r w:rsidR="009021AA" w:rsidRPr="00FE7E7B">
        <w:rPr>
          <w:szCs w:val="22"/>
        </w:rPr>
        <w:t>’</w:t>
      </w:r>
      <w:r w:rsidR="002B7E31" w:rsidRPr="00FE7E7B">
        <w:rPr>
          <w:szCs w:val="22"/>
        </w:rPr>
        <w:t>obligation</w:t>
      </w:r>
      <w:r w:rsidR="00447F06" w:rsidRPr="00FE7E7B">
        <w:rPr>
          <w:szCs w:val="22"/>
        </w:rPr>
        <w:t xml:space="preserve">. </w:t>
      </w:r>
      <w:r w:rsidRPr="00FE7E7B">
        <w:rPr>
          <w:szCs w:val="22"/>
        </w:rPr>
        <w:t xml:space="preserve"> </w:t>
      </w:r>
      <w:r w:rsidR="00447F06" w:rsidRPr="00FE7E7B">
        <w:rPr>
          <w:szCs w:val="22"/>
        </w:rPr>
        <w:t xml:space="preserve">Dans ce contexte, il </w:t>
      </w:r>
      <w:r w:rsidR="002B7E31" w:rsidRPr="00FE7E7B">
        <w:rPr>
          <w:szCs w:val="22"/>
        </w:rPr>
        <w:t>importe</w:t>
      </w:r>
      <w:r w:rsidR="00447F06" w:rsidRPr="00FE7E7B">
        <w:rPr>
          <w:szCs w:val="22"/>
        </w:rPr>
        <w:t xml:space="preserve"> également de noter le récent </w:t>
      </w:r>
      <w:r w:rsidR="00A74760" w:rsidRPr="00FE7E7B">
        <w:rPr>
          <w:szCs w:val="22"/>
        </w:rPr>
        <w:t>report</w:t>
      </w:r>
      <w:r w:rsidR="00447F06" w:rsidRPr="00FE7E7B">
        <w:rPr>
          <w:szCs w:val="22"/>
        </w:rPr>
        <w:t xml:space="preserve"> de l</w:t>
      </w:r>
      <w:r w:rsidR="009021AA" w:rsidRPr="00FE7E7B">
        <w:rPr>
          <w:szCs w:val="22"/>
        </w:rPr>
        <w:t>’</w:t>
      </w:r>
      <w:r w:rsidR="00447F06" w:rsidRPr="00FE7E7B">
        <w:rPr>
          <w:szCs w:val="22"/>
        </w:rPr>
        <w:t xml:space="preserve">âge de la retraite </w:t>
      </w:r>
      <w:r w:rsidR="00A74760" w:rsidRPr="00FE7E7B">
        <w:rPr>
          <w:szCs w:val="22"/>
        </w:rPr>
        <w:t>des</w:t>
      </w:r>
      <w:r w:rsidR="00447F06" w:rsidRPr="00FE7E7B">
        <w:rPr>
          <w:szCs w:val="22"/>
        </w:rPr>
        <w:t xml:space="preserve"> </w:t>
      </w:r>
      <w:r w:rsidR="00A74760" w:rsidRPr="00FE7E7B">
        <w:rPr>
          <w:szCs w:val="22"/>
        </w:rPr>
        <w:t>fonctionnaires</w:t>
      </w:r>
      <w:r w:rsidR="00447F06" w:rsidRPr="00FE7E7B">
        <w:rPr>
          <w:szCs w:val="22"/>
        </w:rPr>
        <w:t xml:space="preserve"> dont la nomination a pris effet </w:t>
      </w:r>
      <w:r w:rsidRPr="00FE7E7B">
        <w:rPr>
          <w:szCs w:val="22"/>
        </w:rPr>
        <w:t>au</w:t>
      </w:r>
      <w:r w:rsidR="00447F06" w:rsidRPr="00FE7E7B">
        <w:rPr>
          <w:szCs w:val="22"/>
        </w:rPr>
        <w:t xml:space="preserve"> 1</w:t>
      </w:r>
      <w:r w:rsidR="00447F06" w:rsidRPr="00FE7E7B">
        <w:rPr>
          <w:szCs w:val="22"/>
          <w:vertAlign w:val="superscript"/>
        </w:rPr>
        <w:t>er</w:t>
      </w:r>
      <w:r w:rsidRPr="00FE7E7B">
        <w:rPr>
          <w:szCs w:val="22"/>
        </w:rPr>
        <w:t> janvier </w:t>
      </w:r>
      <w:r w:rsidR="00447F06" w:rsidRPr="00FE7E7B">
        <w:rPr>
          <w:szCs w:val="22"/>
        </w:rPr>
        <w:t xml:space="preserve">2014. </w:t>
      </w:r>
      <w:r w:rsidRPr="00FE7E7B">
        <w:rPr>
          <w:szCs w:val="22"/>
        </w:rPr>
        <w:t xml:space="preserve"> </w:t>
      </w:r>
      <w:r w:rsidR="002B7E31" w:rsidRPr="00FE7E7B">
        <w:rPr>
          <w:szCs w:val="22"/>
        </w:rPr>
        <w:t>Ains</w:t>
      </w:r>
      <w:r w:rsidR="002B7E31" w:rsidRPr="004A3269">
        <w:t xml:space="preserve">i, </w:t>
      </w:r>
      <w:r w:rsidR="00447F06" w:rsidRPr="004A3269">
        <w:t>l</w:t>
      </w:r>
      <w:r w:rsidR="009021AA" w:rsidRPr="004A3269">
        <w:t>’</w:t>
      </w:r>
      <w:r w:rsidR="00447F06" w:rsidRPr="004A3269">
        <w:t>âge de la r</w:t>
      </w:r>
      <w:r w:rsidRPr="004A3269">
        <w:t xml:space="preserve">etraite </w:t>
      </w:r>
      <w:r w:rsidR="002B7E31" w:rsidRPr="004A3269">
        <w:t xml:space="preserve">de ces </w:t>
      </w:r>
      <w:r w:rsidR="00A74760" w:rsidRPr="004A3269">
        <w:t>fonctionnaires</w:t>
      </w:r>
      <w:r w:rsidR="002B7E31" w:rsidRPr="004A3269">
        <w:t xml:space="preserve"> </w:t>
      </w:r>
      <w:r w:rsidRPr="004A3269">
        <w:t>a été porté à 65 </w:t>
      </w:r>
      <w:r w:rsidR="00447F06" w:rsidRPr="004A3269">
        <w:t xml:space="preserve">ans, </w:t>
      </w:r>
      <w:r w:rsidRPr="004A3269">
        <w:t xml:space="preserve">au lieu de 62 ans </w:t>
      </w:r>
      <w:r w:rsidR="00447F06" w:rsidRPr="004A3269">
        <w:t xml:space="preserve">pour </w:t>
      </w:r>
      <w:r w:rsidR="00A74760" w:rsidRPr="004A3269">
        <w:t>les fonctionnaires</w:t>
      </w:r>
      <w:r w:rsidR="00447F06" w:rsidRPr="004A3269">
        <w:t xml:space="preserve"> dont la nomination a pris effet </w:t>
      </w:r>
      <w:r w:rsidR="002A704C" w:rsidRPr="004A3269">
        <w:t>entre le</w:t>
      </w:r>
      <w:r w:rsidR="00447F06" w:rsidRPr="004A3269">
        <w:t xml:space="preserve"> 1</w:t>
      </w:r>
      <w:r w:rsidR="00447F06" w:rsidRPr="004A3269">
        <w:rPr>
          <w:vertAlign w:val="superscript"/>
        </w:rPr>
        <w:t>er</w:t>
      </w:r>
      <w:r w:rsidRPr="004A3269">
        <w:t> novembre </w:t>
      </w:r>
      <w:r w:rsidR="00447F06" w:rsidRPr="004A3269">
        <w:t>1990</w:t>
      </w:r>
      <w:r w:rsidR="002A704C" w:rsidRPr="004A3269">
        <w:t xml:space="preserve"> inclus et</w:t>
      </w:r>
      <w:r w:rsidR="00447F06" w:rsidRPr="004A3269">
        <w:t xml:space="preserve"> le 1</w:t>
      </w:r>
      <w:r w:rsidRPr="004A3269">
        <w:rPr>
          <w:vertAlign w:val="superscript"/>
        </w:rPr>
        <w:t>er </w:t>
      </w:r>
      <w:r w:rsidRPr="004A3269">
        <w:t>janvier </w:t>
      </w:r>
      <w:r w:rsidR="00447F06" w:rsidRPr="004A3269">
        <w:t>2014</w:t>
      </w:r>
      <w:r w:rsidR="00B75A08" w:rsidRPr="004A3269">
        <w:rPr>
          <w:rFonts w:eastAsia="SimSun"/>
          <w:szCs w:val="22"/>
          <w:lang w:eastAsia="zh-CN"/>
        </w:rPr>
        <w:t>.</w:t>
      </w:r>
    </w:p>
    <w:p w:rsidR="00447F06" w:rsidRPr="004A3269" w:rsidRDefault="00447F06" w:rsidP="00447F06">
      <w:pPr>
        <w:jc w:val="both"/>
        <w:rPr>
          <w:rFonts w:eastAsia="SimSun"/>
          <w:szCs w:val="22"/>
          <w:lang w:eastAsia="zh-CN"/>
        </w:rPr>
      </w:pPr>
    </w:p>
    <w:p w:rsidR="00267140" w:rsidRPr="004A3269" w:rsidRDefault="00F25A79" w:rsidP="00FE7E7B">
      <w:pPr>
        <w:keepNext/>
        <w:keepLines/>
        <w:spacing w:after="220"/>
        <w:jc w:val="center"/>
        <w:rPr>
          <w:rFonts w:eastAsia="SimSun"/>
          <w:szCs w:val="22"/>
          <w:u w:val="single"/>
          <w:lang w:eastAsia="zh-CN"/>
        </w:rPr>
      </w:pPr>
      <w:r w:rsidRPr="004A3269">
        <w:rPr>
          <w:rFonts w:eastAsia="SimSun"/>
          <w:szCs w:val="22"/>
          <w:u w:val="single"/>
          <w:lang w:eastAsia="zh-CN"/>
        </w:rPr>
        <w:lastRenderedPageBreak/>
        <w:t xml:space="preserve">Évolution de </w:t>
      </w:r>
      <w:r w:rsidRPr="004A3269">
        <w:rPr>
          <w:rStyle w:val="hps"/>
          <w:u w:val="single"/>
        </w:rPr>
        <w:t>l</w:t>
      </w:r>
      <w:r w:rsidR="009021AA" w:rsidRPr="004A3269">
        <w:rPr>
          <w:rStyle w:val="hps"/>
          <w:u w:val="single"/>
        </w:rPr>
        <w:t>’</w:t>
      </w:r>
      <w:r w:rsidRPr="004A3269">
        <w:rPr>
          <w:rStyle w:val="hps"/>
          <w:u w:val="single"/>
        </w:rPr>
        <w:t>obligation relative à l</w:t>
      </w:r>
      <w:r w:rsidR="009021AA" w:rsidRPr="004A3269">
        <w:rPr>
          <w:rStyle w:val="hps"/>
          <w:u w:val="single"/>
        </w:rPr>
        <w:t>’</w:t>
      </w:r>
      <w:r w:rsidRPr="004A3269">
        <w:rPr>
          <w:rStyle w:val="hps"/>
          <w:u w:val="single"/>
        </w:rPr>
        <w:t>assurance</w:t>
      </w:r>
      <w:r w:rsidR="00A17552" w:rsidRPr="004A3269">
        <w:rPr>
          <w:rStyle w:val="hps"/>
          <w:u w:val="single"/>
        </w:rPr>
        <w:noBreakHyphen/>
      </w:r>
      <w:r w:rsidRPr="004A3269">
        <w:rPr>
          <w:rStyle w:val="hps"/>
          <w:u w:val="single"/>
        </w:rPr>
        <w:t>maladie après la cessation de service (</w:t>
      </w:r>
      <w:r w:rsidR="006D10A0" w:rsidRPr="004A3269">
        <w:rPr>
          <w:rFonts w:eastAsia="SimSun"/>
          <w:szCs w:val="22"/>
          <w:u w:val="single"/>
          <w:lang w:eastAsia="zh-CN"/>
        </w:rPr>
        <w:t>2009</w:t>
      </w:r>
      <w:r w:rsidR="00FE7E7B">
        <w:rPr>
          <w:rFonts w:eastAsia="SimSun"/>
          <w:szCs w:val="22"/>
          <w:u w:val="single"/>
          <w:lang w:eastAsia="zh-CN"/>
        </w:rPr>
        <w:noBreakHyphen/>
      </w:r>
      <w:r w:rsidR="006D10A0" w:rsidRPr="004A3269">
        <w:rPr>
          <w:rFonts w:eastAsia="SimSun"/>
          <w:szCs w:val="22"/>
          <w:u w:val="single"/>
          <w:lang w:eastAsia="zh-CN"/>
        </w:rPr>
        <w:t>2018</w:t>
      </w:r>
      <w:r w:rsidRPr="004A3269">
        <w:rPr>
          <w:rFonts w:eastAsia="SimSun"/>
          <w:szCs w:val="22"/>
          <w:u w:val="single"/>
          <w:lang w:eastAsia="zh-CN"/>
        </w:rPr>
        <w:t>)</w:t>
      </w:r>
    </w:p>
    <w:p w:rsidR="00B73346" w:rsidRPr="004A3269" w:rsidRDefault="00B73346" w:rsidP="00FE7E7B">
      <w:pPr>
        <w:keepNext/>
        <w:keepLines/>
        <w:jc w:val="center"/>
        <w:rPr>
          <w:rFonts w:eastAsia="SimSun"/>
        </w:rPr>
      </w:pPr>
      <w:r w:rsidRPr="004A3269">
        <w:rPr>
          <w:rFonts w:eastAsia="SimSun"/>
          <w:noProof/>
          <w:lang w:val="en-US"/>
        </w:rPr>
        <w:drawing>
          <wp:inline distT="0" distB="0" distL="0" distR="0" wp14:anchorId="5A8C7453" wp14:editId="59577AF4">
            <wp:extent cx="4984115" cy="3020060"/>
            <wp:effectExtent l="0" t="0" r="6985" b="889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84115" cy="3020060"/>
                    </a:xfrm>
                    <a:prstGeom prst="rect">
                      <a:avLst/>
                    </a:prstGeom>
                    <a:noFill/>
                    <a:ln>
                      <a:noFill/>
                    </a:ln>
                  </pic:spPr>
                </pic:pic>
              </a:graphicData>
            </a:graphic>
          </wp:inline>
        </w:drawing>
      </w:r>
    </w:p>
    <w:p w:rsidR="00267140" w:rsidRPr="004A3269" w:rsidRDefault="00523373" w:rsidP="00695FBE">
      <w:pPr>
        <w:pStyle w:val="ONUMFS"/>
        <w:rPr>
          <w:rFonts w:eastAsia="SimSun"/>
          <w:szCs w:val="22"/>
          <w:lang w:eastAsia="zh-CN"/>
        </w:rPr>
      </w:pPr>
      <w:r w:rsidRPr="004A3269">
        <w:rPr>
          <w:rStyle w:val="hps"/>
        </w:rPr>
        <w:t>Le</w:t>
      </w:r>
      <w:r w:rsidRPr="004A3269">
        <w:t xml:space="preserve"> </w:t>
      </w:r>
      <w:r w:rsidRPr="004A3269">
        <w:rPr>
          <w:rStyle w:val="hps"/>
        </w:rPr>
        <w:t>calcul effectué par</w:t>
      </w:r>
      <w:r w:rsidRPr="004A3269">
        <w:t xml:space="preserve"> </w:t>
      </w:r>
      <w:r w:rsidRPr="004A3269">
        <w:rPr>
          <w:rStyle w:val="hps"/>
        </w:rPr>
        <w:t>l</w:t>
      </w:r>
      <w:r w:rsidR="009021AA" w:rsidRPr="004A3269">
        <w:rPr>
          <w:rStyle w:val="hps"/>
        </w:rPr>
        <w:t>’</w:t>
      </w:r>
      <w:r w:rsidRPr="004A3269">
        <w:rPr>
          <w:rStyle w:val="hps"/>
        </w:rPr>
        <w:t>actuaire indépendant</w:t>
      </w:r>
      <w:r w:rsidRPr="004A3269">
        <w:t xml:space="preserve"> </w:t>
      </w:r>
      <w:r w:rsidRPr="004A3269">
        <w:rPr>
          <w:rStyle w:val="hps"/>
        </w:rPr>
        <w:t>intègre également</w:t>
      </w:r>
      <w:r w:rsidRPr="004A3269">
        <w:t xml:space="preserve"> </w:t>
      </w:r>
      <w:r w:rsidRPr="004A3269">
        <w:rPr>
          <w:rStyle w:val="hps"/>
        </w:rPr>
        <w:t>un certain nombre d</w:t>
      </w:r>
      <w:r w:rsidR="009021AA" w:rsidRPr="004A3269">
        <w:rPr>
          <w:rStyle w:val="hps"/>
        </w:rPr>
        <w:t>’</w:t>
      </w:r>
      <w:r w:rsidRPr="004A3269">
        <w:t xml:space="preserve">hypothèses actuarielles, dont le </w:t>
      </w:r>
      <w:r w:rsidRPr="004A3269">
        <w:rPr>
          <w:rStyle w:val="hps"/>
        </w:rPr>
        <w:t>taux d</w:t>
      </w:r>
      <w:r w:rsidR="009021AA" w:rsidRPr="004A3269">
        <w:rPr>
          <w:rStyle w:val="hps"/>
        </w:rPr>
        <w:t>’</w:t>
      </w:r>
      <w:r w:rsidRPr="004A3269">
        <w:rPr>
          <w:rStyle w:val="hps"/>
        </w:rPr>
        <w:t>escompte</w:t>
      </w:r>
      <w:r w:rsidRPr="004A3269">
        <w:t xml:space="preserve">, le taux </w:t>
      </w:r>
      <w:r w:rsidR="00505179" w:rsidRPr="004A3269">
        <w:t>tendanciel</w:t>
      </w:r>
      <w:r w:rsidRPr="004A3269">
        <w:t xml:space="preserve"> du coût des soins de santé, </w:t>
      </w:r>
      <w:r w:rsidRPr="004A3269">
        <w:rPr>
          <w:rStyle w:val="hps"/>
        </w:rPr>
        <w:t>les taux de renouvellement</w:t>
      </w:r>
      <w:r w:rsidRPr="004A3269">
        <w:t xml:space="preserve"> du personnel </w:t>
      </w:r>
      <w:r w:rsidRPr="004A3269">
        <w:rPr>
          <w:rStyle w:val="hps"/>
        </w:rPr>
        <w:t>et les taux</w:t>
      </w:r>
      <w:r w:rsidRPr="004A3269">
        <w:t xml:space="preserve"> </w:t>
      </w:r>
      <w:r w:rsidRPr="004A3269">
        <w:rPr>
          <w:rStyle w:val="hps"/>
        </w:rPr>
        <w:t>de mortalité</w:t>
      </w:r>
      <w:r w:rsidRPr="004A3269">
        <w:t xml:space="preserve">.  </w:t>
      </w:r>
      <w:r w:rsidRPr="004A3269">
        <w:rPr>
          <w:rStyle w:val="hps"/>
        </w:rPr>
        <w:t>L</w:t>
      </w:r>
      <w:r w:rsidR="009021AA" w:rsidRPr="004A3269">
        <w:rPr>
          <w:rStyle w:val="hps"/>
        </w:rPr>
        <w:t>’</w:t>
      </w:r>
      <w:r w:rsidRPr="004A3269">
        <w:rPr>
          <w:rStyle w:val="hps"/>
        </w:rPr>
        <w:t>évolution de ces hypothèses</w:t>
      </w:r>
      <w:r w:rsidRPr="004A3269">
        <w:t xml:space="preserve"> </w:t>
      </w:r>
      <w:r w:rsidRPr="004A3269">
        <w:rPr>
          <w:rStyle w:val="hps"/>
        </w:rPr>
        <w:t>d</w:t>
      </w:r>
      <w:r w:rsidR="009021AA" w:rsidRPr="004A3269">
        <w:rPr>
          <w:rStyle w:val="hps"/>
        </w:rPr>
        <w:t>’</w:t>
      </w:r>
      <w:r w:rsidRPr="004A3269">
        <w:rPr>
          <w:rStyle w:val="hps"/>
        </w:rPr>
        <w:t>année en année</w:t>
      </w:r>
      <w:r w:rsidRPr="004A3269">
        <w:t xml:space="preserve"> </w:t>
      </w:r>
      <w:r w:rsidRPr="004A3269">
        <w:rPr>
          <w:rStyle w:val="hps"/>
        </w:rPr>
        <w:t>engendre des gains</w:t>
      </w:r>
      <w:r w:rsidRPr="004A3269">
        <w:t xml:space="preserve"> </w:t>
      </w:r>
      <w:r w:rsidRPr="004A3269">
        <w:rPr>
          <w:rStyle w:val="hps"/>
        </w:rPr>
        <w:t>et pertes actuariels</w:t>
      </w:r>
      <w:r w:rsidRPr="004A3269">
        <w:t xml:space="preserve">.  </w:t>
      </w:r>
      <w:r w:rsidR="003F671D" w:rsidRPr="004A3269">
        <w:rPr>
          <w:rStyle w:val="hps"/>
        </w:rPr>
        <w:t>En vertu des</w:t>
      </w:r>
      <w:r w:rsidRPr="004A3269">
        <w:rPr>
          <w:rStyle w:val="hps"/>
        </w:rPr>
        <w:t xml:space="preserve"> normes</w:t>
      </w:r>
      <w:r w:rsidR="00067463" w:rsidRPr="004A3269">
        <w:rPr>
          <w:rStyle w:val="hps"/>
        </w:rPr>
        <w:t> </w:t>
      </w:r>
      <w:r w:rsidRPr="004A3269">
        <w:rPr>
          <w:rStyle w:val="hps"/>
        </w:rPr>
        <w:t>IPSAS</w:t>
      </w:r>
      <w:r w:rsidRPr="004A3269">
        <w:t xml:space="preserve">, </w:t>
      </w:r>
      <w:r w:rsidRPr="004A3269">
        <w:rPr>
          <w:rStyle w:val="hps"/>
        </w:rPr>
        <w:t>l</w:t>
      </w:r>
      <w:r w:rsidR="009021AA" w:rsidRPr="004A3269">
        <w:rPr>
          <w:rStyle w:val="hps"/>
        </w:rPr>
        <w:t>’</w:t>
      </w:r>
      <w:r w:rsidRPr="004A3269">
        <w:rPr>
          <w:rStyle w:val="hps"/>
        </w:rPr>
        <w:t>OMPI</w:t>
      </w:r>
      <w:r w:rsidRPr="004A3269">
        <w:t xml:space="preserve"> </w:t>
      </w:r>
      <w:r w:rsidRPr="004A3269">
        <w:rPr>
          <w:rStyle w:val="hps"/>
        </w:rPr>
        <w:t>applique la</w:t>
      </w:r>
      <w:r w:rsidRPr="004A3269">
        <w:t xml:space="preserve"> </w:t>
      </w:r>
      <w:r w:rsidRPr="004A3269">
        <w:rPr>
          <w:rStyle w:val="hps"/>
        </w:rPr>
        <w:t>méthode du corridor pour</w:t>
      </w:r>
      <w:r w:rsidRPr="004A3269">
        <w:t xml:space="preserve"> </w:t>
      </w:r>
      <w:r w:rsidRPr="004A3269">
        <w:rPr>
          <w:rStyle w:val="hps"/>
        </w:rPr>
        <w:t>le traitement comptable</w:t>
      </w:r>
      <w:r w:rsidRPr="004A3269">
        <w:t xml:space="preserve"> </w:t>
      </w:r>
      <w:r w:rsidRPr="004A3269">
        <w:rPr>
          <w:rStyle w:val="hps"/>
        </w:rPr>
        <w:t>de ces</w:t>
      </w:r>
      <w:r w:rsidRPr="004A3269">
        <w:t xml:space="preserve"> </w:t>
      </w:r>
      <w:r w:rsidRPr="004A3269">
        <w:rPr>
          <w:rStyle w:val="hps"/>
        </w:rPr>
        <w:t>gains et pertes actuariels</w:t>
      </w:r>
      <w:r w:rsidRPr="004A3269">
        <w:t xml:space="preserve">, </w:t>
      </w:r>
      <w:r w:rsidRPr="004A3269">
        <w:rPr>
          <w:rStyle w:val="hps"/>
        </w:rPr>
        <w:t xml:space="preserve">ce qui signifie </w:t>
      </w:r>
      <w:r w:rsidR="003006C3" w:rsidRPr="004A3269">
        <w:rPr>
          <w:rStyle w:val="hps"/>
        </w:rPr>
        <w:t>que ces derniers</w:t>
      </w:r>
      <w:r w:rsidRPr="004A3269">
        <w:t xml:space="preserve"> </w:t>
      </w:r>
      <w:r w:rsidRPr="004A3269">
        <w:rPr>
          <w:rStyle w:val="hps"/>
        </w:rPr>
        <w:t>ne sont pas immédiatement</w:t>
      </w:r>
      <w:r w:rsidRPr="004A3269">
        <w:t xml:space="preserve"> </w:t>
      </w:r>
      <w:r w:rsidR="003006C3" w:rsidRPr="004A3269">
        <w:rPr>
          <w:rStyle w:val="hps"/>
        </w:rPr>
        <w:t>comptabilisés</w:t>
      </w:r>
      <w:r w:rsidRPr="004A3269">
        <w:rPr>
          <w:rStyle w:val="hps"/>
        </w:rPr>
        <w:t xml:space="preserve"> dans les états</w:t>
      </w:r>
      <w:r w:rsidRPr="004A3269">
        <w:t xml:space="preserve"> </w:t>
      </w:r>
      <w:r w:rsidRPr="004A3269">
        <w:rPr>
          <w:rStyle w:val="hps"/>
        </w:rPr>
        <w:t>financiers</w:t>
      </w:r>
      <w:r w:rsidRPr="004A3269">
        <w:t xml:space="preserve">. </w:t>
      </w:r>
      <w:r w:rsidR="003006C3" w:rsidRPr="004A3269">
        <w:t xml:space="preserve"> </w:t>
      </w:r>
      <w:r w:rsidRPr="004A3269">
        <w:rPr>
          <w:rStyle w:val="hps"/>
        </w:rPr>
        <w:t>Il convient de noter</w:t>
      </w:r>
      <w:r w:rsidRPr="004A3269">
        <w:t xml:space="preserve"> </w:t>
      </w:r>
      <w:r w:rsidRPr="004A3269">
        <w:rPr>
          <w:rStyle w:val="hps"/>
        </w:rPr>
        <w:t>que les</w:t>
      </w:r>
      <w:r w:rsidRPr="004A3269">
        <w:t xml:space="preserve"> </w:t>
      </w:r>
      <w:r w:rsidRPr="004A3269">
        <w:rPr>
          <w:rStyle w:val="hps"/>
        </w:rPr>
        <w:t>Normes internationales d</w:t>
      </w:r>
      <w:r w:rsidR="009021AA" w:rsidRPr="004A3269">
        <w:rPr>
          <w:rStyle w:val="hps"/>
        </w:rPr>
        <w:t>’</w:t>
      </w:r>
      <w:r w:rsidRPr="004A3269">
        <w:rPr>
          <w:rStyle w:val="hps"/>
        </w:rPr>
        <w:t>information</w:t>
      </w:r>
      <w:r w:rsidRPr="004A3269">
        <w:t xml:space="preserve"> </w:t>
      </w:r>
      <w:r w:rsidRPr="004A3269">
        <w:rPr>
          <w:rStyle w:val="hps"/>
        </w:rPr>
        <w:t>financière (IFRS)</w:t>
      </w:r>
      <w:r w:rsidRPr="004A3269">
        <w:t xml:space="preserve"> </w:t>
      </w:r>
      <w:r w:rsidRPr="004A3269">
        <w:rPr>
          <w:rStyle w:val="hps"/>
        </w:rPr>
        <w:t xml:space="preserve">ont </w:t>
      </w:r>
      <w:r w:rsidR="00C9032F" w:rsidRPr="004A3269">
        <w:rPr>
          <w:rStyle w:val="hps"/>
        </w:rPr>
        <w:t>abandonné</w:t>
      </w:r>
      <w:r w:rsidRPr="004A3269">
        <w:t xml:space="preserve"> </w:t>
      </w:r>
      <w:r w:rsidRPr="004A3269">
        <w:rPr>
          <w:rStyle w:val="hps"/>
        </w:rPr>
        <w:t>la méthode du corridor</w:t>
      </w:r>
      <w:r w:rsidRPr="004A3269">
        <w:t xml:space="preserve"> </w:t>
      </w:r>
      <w:r w:rsidRPr="004A3269">
        <w:rPr>
          <w:rStyle w:val="hps"/>
        </w:rPr>
        <w:t>comme moyen de</w:t>
      </w:r>
      <w:r w:rsidRPr="004A3269">
        <w:t xml:space="preserve"> </w:t>
      </w:r>
      <w:r w:rsidRPr="004A3269">
        <w:rPr>
          <w:rStyle w:val="hps"/>
        </w:rPr>
        <w:t>différer la comptabilisation</w:t>
      </w:r>
      <w:r w:rsidRPr="004A3269">
        <w:t xml:space="preserve"> </w:t>
      </w:r>
      <w:r w:rsidRPr="004A3269">
        <w:rPr>
          <w:rStyle w:val="hps"/>
        </w:rPr>
        <w:t>de ces</w:t>
      </w:r>
      <w:r w:rsidRPr="004A3269">
        <w:t xml:space="preserve"> </w:t>
      </w:r>
      <w:r w:rsidRPr="004A3269">
        <w:rPr>
          <w:rStyle w:val="hps"/>
        </w:rPr>
        <w:t>gains et pertes</w:t>
      </w:r>
      <w:r w:rsidRPr="004A3269">
        <w:t>.</w:t>
      </w:r>
      <w:r w:rsidR="00C9032F" w:rsidRPr="004A3269">
        <w:t xml:space="preserve"> </w:t>
      </w:r>
      <w:r w:rsidRPr="004A3269">
        <w:t xml:space="preserve"> </w:t>
      </w:r>
      <w:r w:rsidRPr="004A3269">
        <w:rPr>
          <w:rStyle w:val="hps"/>
        </w:rPr>
        <w:t>Si</w:t>
      </w:r>
      <w:r w:rsidRPr="004A3269">
        <w:t xml:space="preserve"> </w:t>
      </w:r>
      <w:r w:rsidRPr="004A3269">
        <w:rPr>
          <w:rStyle w:val="hps"/>
        </w:rPr>
        <w:t>les</w:t>
      </w:r>
      <w:r w:rsidRPr="004A3269">
        <w:t xml:space="preserve"> </w:t>
      </w:r>
      <w:r w:rsidRPr="004A3269">
        <w:rPr>
          <w:rStyle w:val="hps"/>
        </w:rPr>
        <w:t>normes</w:t>
      </w:r>
      <w:r w:rsidR="00067463" w:rsidRPr="004A3269">
        <w:rPr>
          <w:rStyle w:val="hps"/>
        </w:rPr>
        <w:t> </w:t>
      </w:r>
      <w:r w:rsidRPr="004A3269">
        <w:rPr>
          <w:rStyle w:val="hps"/>
        </w:rPr>
        <w:t>IPSAS</w:t>
      </w:r>
      <w:r w:rsidRPr="004A3269">
        <w:t xml:space="preserve"> </w:t>
      </w:r>
      <w:r w:rsidR="00C9032F" w:rsidRPr="004A3269">
        <w:rPr>
          <w:rStyle w:val="hps"/>
        </w:rPr>
        <w:t>étaient amenées à</w:t>
      </w:r>
      <w:r w:rsidRPr="004A3269">
        <w:rPr>
          <w:rStyle w:val="hps"/>
        </w:rPr>
        <w:t xml:space="preserve"> suivre</w:t>
      </w:r>
      <w:r w:rsidRPr="004A3269">
        <w:t xml:space="preserve"> </w:t>
      </w:r>
      <w:r w:rsidR="00C9032F" w:rsidRPr="004A3269">
        <w:rPr>
          <w:rStyle w:val="hps"/>
        </w:rPr>
        <w:t>la même évolution que les</w:t>
      </w:r>
      <w:r w:rsidRPr="004A3269">
        <w:rPr>
          <w:rStyle w:val="hps"/>
        </w:rPr>
        <w:t xml:space="preserve"> normes</w:t>
      </w:r>
      <w:r w:rsidR="00067463" w:rsidRPr="004A3269">
        <w:rPr>
          <w:rStyle w:val="hps"/>
        </w:rPr>
        <w:t> </w:t>
      </w:r>
      <w:r w:rsidRPr="004A3269">
        <w:rPr>
          <w:rStyle w:val="hps"/>
        </w:rPr>
        <w:t>IFRS</w:t>
      </w:r>
      <w:r w:rsidRPr="004A3269">
        <w:t xml:space="preserve">, </w:t>
      </w:r>
      <w:r w:rsidR="00C9032F" w:rsidRPr="004A3269">
        <w:rPr>
          <w:rStyle w:val="hps"/>
        </w:rPr>
        <w:t>cela pourrait entraîner</w:t>
      </w:r>
      <w:r w:rsidRPr="004A3269">
        <w:t xml:space="preserve"> </w:t>
      </w:r>
      <w:r w:rsidRPr="004A3269">
        <w:rPr>
          <w:rStyle w:val="hps"/>
        </w:rPr>
        <w:t xml:space="preserve">une volatilité </w:t>
      </w:r>
      <w:r w:rsidR="00C9032F" w:rsidRPr="004A3269">
        <w:rPr>
          <w:rStyle w:val="hps"/>
        </w:rPr>
        <w:t xml:space="preserve">accrue </w:t>
      </w:r>
      <w:r w:rsidRPr="004A3269">
        <w:rPr>
          <w:rStyle w:val="hps"/>
        </w:rPr>
        <w:t xml:space="preserve">de </w:t>
      </w:r>
      <w:r w:rsidR="00C9032F" w:rsidRPr="004A3269">
        <w:rPr>
          <w:rStyle w:val="hps"/>
        </w:rPr>
        <w:t>l</w:t>
      </w:r>
      <w:r w:rsidR="009021AA" w:rsidRPr="004A3269">
        <w:rPr>
          <w:rStyle w:val="hps"/>
        </w:rPr>
        <w:t>’</w:t>
      </w:r>
      <w:r w:rsidR="00C9032F" w:rsidRPr="004A3269">
        <w:rPr>
          <w:rStyle w:val="hps"/>
        </w:rPr>
        <w:t>obligation relative à l</w:t>
      </w:r>
      <w:r w:rsidR="009021AA" w:rsidRPr="004A3269">
        <w:rPr>
          <w:rStyle w:val="hps"/>
        </w:rPr>
        <w:t>’</w:t>
      </w:r>
      <w:r w:rsidR="00C9032F" w:rsidRPr="004A3269">
        <w:rPr>
          <w:rStyle w:val="hps"/>
        </w:rPr>
        <w:t>assurance</w:t>
      </w:r>
      <w:r w:rsidR="00A17552" w:rsidRPr="004A3269">
        <w:rPr>
          <w:rStyle w:val="hps"/>
        </w:rPr>
        <w:noBreakHyphen/>
      </w:r>
      <w:r w:rsidR="00C9032F" w:rsidRPr="004A3269">
        <w:rPr>
          <w:rStyle w:val="hps"/>
        </w:rPr>
        <w:t xml:space="preserve">maladie </w:t>
      </w:r>
      <w:r w:rsidR="00E1450E" w:rsidRPr="004A3269">
        <w:rPr>
          <w:rStyle w:val="hps"/>
        </w:rPr>
        <w:t xml:space="preserve">après la cessation de service </w:t>
      </w:r>
      <w:proofErr w:type="spellStart"/>
      <w:r w:rsidR="00C9032F" w:rsidRPr="004A3269">
        <w:rPr>
          <w:rStyle w:val="hps"/>
        </w:rPr>
        <w:t>comptablisée</w:t>
      </w:r>
      <w:proofErr w:type="spellEnd"/>
      <w:r w:rsidRPr="004A3269">
        <w:rPr>
          <w:rStyle w:val="hps"/>
        </w:rPr>
        <w:t xml:space="preserve"> dans</w:t>
      </w:r>
      <w:r w:rsidRPr="004A3269">
        <w:t xml:space="preserve"> </w:t>
      </w:r>
      <w:r w:rsidRPr="004A3269">
        <w:rPr>
          <w:rStyle w:val="hps"/>
        </w:rPr>
        <w:t>l</w:t>
      </w:r>
      <w:r w:rsidR="009021AA" w:rsidRPr="004A3269">
        <w:rPr>
          <w:rStyle w:val="hps"/>
        </w:rPr>
        <w:t>’</w:t>
      </w:r>
      <w:r w:rsidRPr="004A3269">
        <w:t xml:space="preserve">état de la situation </w:t>
      </w:r>
      <w:r w:rsidRPr="004A3269">
        <w:rPr>
          <w:rStyle w:val="hps"/>
        </w:rPr>
        <w:t>financière</w:t>
      </w:r>
      <w:r w:rsidRPr="004A3269">
        <w:t xml:space="preserve">. </w:t>
      </w:r>
      <w:r w:rsidR="00C9032F" w:rsidRPr="004A3269">
        <w:t xml:space="preserve"> </w:t>
      </w:r>
      <w:r w:rsidRPr="004A3269">
        <w:rPr>
          <w:rStyle w:val="hps"/>
        </w:rPr>
        <w:t>Au 31</w:t>
      </w:r>
      <w:r w:rsidR="00C9032F" w:rsidRPr="004A3269">
        <w:t> d</w:t>
      </w:r>
      <w:r w:rsidRPr="004A3269">
        <w:rPr>
          <w:rStyle w:val="hps"/>
        </w:rPr>
        <w:t>écembre</w:t>
      </w:r>
      <w:r w:rsidR="00C9032F" w:rsidRPr="004A3269">
        <w:t> </w:t>
      </w:r>
      <w:r w:rsidRPr="004A3269">
        <w:rPr>
          <w:rStyle w:val="hps"/>
        </w:rPr>
        <w:t>2014,</w:t>
      </w:r>
      <w:r w:rsidRPr="004A3269">
        <w:t xml:space="preserve"> </w:t>
      </w:r>
      <w:r w:rsidRPr="004A3269">
        <w:rPr>
          <w:rStyle w:val="hps"/>
        </w:rPr>
        <w:t>l</w:t>
      </w:r>
      <w:r w:rsidR="009021AA" w:rsidRPr="004A3269">
        <w:rPr>
          <w:rStyle w:val="hps"/>
        </w:rPr>
        <w:t>’</w:t>
      </w:r>
      <w:r w:rsidRPr="004A3269">
        <w:rPr>
          <w:rStyle w:val="hps"/>
        </w:rPr>
        <w:t>OMPI</w:t>
      </w:r>
      <w:r w:rsidRPr="004A3269">
        <w:t xml:space="preserve"> </w:t>
      </w:r>
      <w:r w:rsidR="00C9032F" w:rsidRPr="004A3269">
        <w:rPr>
          <w:rStyle w:val="hps"/>
        </w:rPr>
        <w:t>enregistrait</w:t>
      </w:r>
      <w:r w:rsidRPr="004A3269">
        <w:rPr>
          <w:rStyle w:val="hps"/>
        </w:rPr>
        <w:t xml:space="preserve"> une</w:t>
      </w:r>
      <w:r w:rsidRPr="004A3269">
        <w:t xml:space="preserve"> </w:t>
      </w:r>
      <w:r w:rsidRPr="004A3269">
        <w:rPr>
          <w:rStyle w:val="hps"/>
        </w:rPr>
        <w:t>perte actuarielle</w:t>
      </w:r>
      <w:r w:rsidRPr="004A3269">
        <w:t xml:space="preserve"> </w:t>
      </w:r>
      <w:r w:rsidR="00C9032F" w:rsidRPr="004A3269">
        <w:rPr>
          <w:rStyle w:val="hps"/>
        </w:rPr>
        <w:t>cumulée</w:t>
      </w:r>
      <w:r w:rsidR="00C9032F" w:rsidRPr="004A3269">
        <w:t xml:space="preserve"> </w:t>
      </w:r>
      <w:r w:rsidR="00C9032F" w:rsidRPr="004A3269">
        <w:rPr>
          <w:rStyle w:val="hps"/>
        </w:rPr>
        <w:t>totale</w:t>
      </w:r>
      <w:r w:rsidR="00C9032F" w:rsidRPr="004A3269">
        <w:t xml:space="preserve"> </w:t>
      </w:r>
      <w:r w:rsidRPr="004A3269">
        <w:rPr>
          <w:rStyle w:val="hps"/>
        </w:rPr>
        <w:t xml:space="preserve">non </w:t>
      </w:r>
      <w:r w:rsidR="00C9032F" w:rsidRPr="004A3269">
        <w:rPr>
          <w:rStyle w:val="hps"/>
        </w:rPr>
        <w:t>comptabilisée</w:t>
      </w:r>
      <w:r w:rsidRPr="004A3269">
        <w:t xml:space="preserve"> </w:t>
      </w:r>
      <w:r w:rsidRPr="004A3269">
        <w:rPr>
          <w:rStyle w:val="hps"/>
        </w:rPr>
        <w:t>de 26,6</w:t>
      </w:r>
      <w:r w:rsidR="00C9032F" w:rsidRPr="004A3269">
        <w:rPr>
          <w:rStyle w:val="hps"/>
        </w:rPr>
        <w:t> </w:t>
      </w:r>
      <w:r w:rsidRPr="004A3269">
        <w:rPr>
          <w:rStyle w:val="hps"/>
        </w:rPr>
        <w:t>millions de francs suisses</w:t>
      </w:r>
      <w:r w:rsidRPr="004A3269">
        <w:t xml:space="preserve"> </w:t>
      </w:r>
      <w:r w:rsidR="00C9032F" w:rsidRPr="004A3269">
        <w:rPr>
          <w:rStyle w:val="hps"/>
        </w:rPr>
        <w:t>en ce qui concerne l</w:t>
      </w:r>
      <w:r w:rsidR="009021AA" w:rsidRPr="004A3269">
        <w:rPr>
          <w:rStyle w:val="hps"/>
        </w:rPr>
        <w:t>’</w:t>
      </w:r>
      <w:r w:rsidR="00C9032F" w:rsidRPr="004A3269">
        <w:rPr>
          <w:rStyle w:val="hps"/>
        </w:rPr>
        <w:t>assurance</w:t>
      </w:r>
      <w:r w:rsidR="00A17552" w:rsidRPr="004A3269">
        <w:rPr>
          <w:rStyle w:val="hps"/>
        </w:rPr>
        <w:noBreakHyphen/>
      </w:r>
      <w:r w:rsidR="00C9032F" w:rsidRPr="004A3269">
        <w:rPr>
          <w:rStyle w:val="hps"/>
        </w:rPr>
        <w:t xml:space="preserve">maladie </w:t>
      </w:r>
      <w:r w:rsidR="00A74760" w:rsidRPr="004A3269">
        <w:rPr>
          <w:rStyle w:val="hps"/>
        </w:rPr>
        <w:t>après la cessation</w:t>
      </w:r>
      <w:r w:rsidR="00C9032F" w:rsidRPr="004A3269">
        <w:rPr>
          <w:rStyle w:val="hps"/>
        </w:rPr>
        <w:t xml:space="preserve"> de service</w:t>
      </w:r>
      <w:r w:rsidR="005D5F23" w:rsidRPr="004A3269">
        <w:rPr>
          <w:rFonts w:eastAsia="SimSun"/>
          <w:szCs w:val="22"/>
          <w:lang w:eastAsia="zh-CN"/>
        </w:rPr>
        <w:t>.</w:t>
      </w:r>
    </w:p>
    <w:p w:rsidR="00267140" w:rsidRPr="004A3269" w:rsidRDefault="00523373" w:rsidP="00695FBE">
      <w:pPr>
        <w:pStyle w:val="ONUMFS"/>
        <w:rPr>
          <w:rFonts w:eastAsia="SimSun"/>
          <w:szCs w:val="22"/>
          <w:lang w:eastAsia="zh-CN"/>
        </w:rPr>
      </w:pPr>
      <w:r w:rsidRPr="004A3269">
        <w:rPr>
          <w:rStyle w:val="hps"/>
        </w:rPr>
        <w:t>Les emprunts</w:t>
      </w:r>
      <w:r w:rsidRPr="004A3269">
        <w:t xml:space="preserve"> </w:t>
      </w:r>
      <w:r w:rsidRPr="004A3269">
        <w:rPr>
          <w:rStyle w:val="hps"/>
        </w:rPr>
        <w:t>représentent</w:t>
      </w:r>
      <w:r w:rsidRPr="004A3269">
        <w:t xml:space="preserve"> </w:t>
      </w:r>
      <w:r w:rsidR="00C9032F" w:rsidRPr="004A3269">
        <w:t>le prêt de la</w:t>
      </w:r>
      <w:r w:rsidRPr="004A3269">
        <w:rPr>
          <w:rStyle w:val="hps"/>
        </w:rPr>
        <w:t xml:space="preserve"> Fondation</w:t>
      </w:r>
      <w:r w:rsidRPr="004A3269">
        <w:t xml:space="preserve"> </w:t>
      </w:r>
      <w:r w:rsidRPr="004A3269">
        <w:rPr>
          <w:rStyle w:val="hps"/>
        </w:rPr>
        <w:t>des immeubles pour les</w:t>
      </w:r>
      <w:r w:rsidRPr="004A3269">
        <w:t xml:space="preserve"> </w:t>
      </w:r>
      <w:r w:rsidRPr="004A3269">
        <w:rPr>
          <w:rStyle w:val="hps"/>
        </w:rPr>
        <w:t>organisations internationales</w:t>
      </w:r>
      <w:r w:rsidRPr="004A3269">
        <w:t xml:space="preserve"> </w:t>
      </w:r>
      <w:r w:rsidRPr="004A3269">
        <w:rPr>
          <w:rStyle w:val="hps"/>
        </w:rPr>
        <w:t>(FIPOI</w:t>
      </w:r>
      <w:r w:rsidRPr="004A3269">
        <w:t xml:space="preserve">) </w:t>
      </w:r>
      <w:r w:rsidRPr="004A3269">
        <w:rPr>
          <w:rStyle w:val="hps"/>
        </w:rPr>
        <w:t>(</w:t>
      </w:r>
      <w:r w:rsidR="00C9032F" w:rsidRPr="004A3269">
        <w:t>20,9 </w:t>
      </w:r>
      <w:r w:rsidRPr="004A3269">
        <w:t xml:space="preserve">millions </w:t>
      </w:r>
      <w:r w:rsidRPr="004A3269">
        <w:rPr>
          <w:rStyle w:val="hps"/>
        </w:rPr>
        <w:t>de francs suisses</w:t>
      </w:r>
      <w:r w:rsidRPr="004A3269">
        <w:t xml:space="preserve">) </w:t>
      </w:r>
      <w:r w:rsidRPr="004A3269">
        <w:rPr>
          <w:rStyle w:val="hps"/>
        </w:rPr>
        <w:t xml:space="preserve">et </w:t>
      </w:r>
      <w:r w:rsidR="00C9032F" w:rsidRPr="004A3269">
        <w:rPr>
          <w:rStyle w:val="hps"/>
        </w:rPr>
        <w:t>le prêt de</w:t>
      </w:r>
      <w:r w:rsidR="00C9032F" w:rsidRPr="004A3269">
        <w:t xml:space="preserve"> la </w:t>
      </w:r>
      <w:r w:rsidR="00C9032F" w:rsidRPr="004A3269">
        <w:rPr>
          <w:rFonts w:eastAsia="SimSun"/>
          <w:lang w:eastAsia="zh-CN"/>
        </w:rPr>
        <w:t xml:space="preserve">Banque Cantonale de Genève </w:t>
      </w:r>
      <w:r w:rsidRPr="004A3269">
        <w:rPr>
          <w:rStyle w:val="hps"/>
        </w:rPr>
        <w:t>et</w:t>
      </w:r>
      <w:r w:rsidRPr="004A3269">
        <w:t xml:space="preserve"> </w:t>
      </w:r>
      <w:r w:rsidR="00C9032F" w:rsidRPr="004A3269">
        <w:t xml:space="preserve">de </w:t>
      </w:r>
      <w:r w:rsidRPr="004A3269">
        <w:rPr>
          <w:rStyle w:val="hps"/>
        </w:rPr>
        <w:t>la Banque Cantonale Vaudoise</w:t>
      </w:r>
      <w:r w:rsidRPr="004A3269">
        <w:t xml:space="preserve"> </w:t>
      </w:r>
      <w:r w:rsidRPr="004A3269">
        <w:rPr>
          <w:rStyle w:val="hps"/>
        </w:rPr>
        <w:t>(</w:t>
      </w:r>
      <w:r w:rsidR="00C9032F" w:rsidRPr="004A3269">
        <w:t>BCG</w:t>
      </w:r>
      <w:r w:rsidRPr="004A3269">
        <w:rPr>
          <w:rStyle w:val="hps"/>
        </w:rPr>
        <w:t>/BCV</w:t>
      </w:r>
      <w:r w:rsidRPr="004A3269">
        <w:t xml:space="preserve">) </w:t>
      </w:r>
      <w:r w:rsidR="00C9032F" w:rsidRPr="004A3269">
        <w:t xml:space="preserve">pour le nouveau bâtiment </w:t>
      </w:r>
      <w:r w:rsidRPr="004A3269">
        <w:rPr>
          <w:rStyle w:val="hps"/>
        </w:rPr>
        <w:t>(</w:t>
      </w:r>
      <w:r w:rsidR="00C9032F" w:rsidRPr="004A3269">
        <w:t>118,3 </w:t>
      </w:r>
      <w:r w:rsidRPr="004A3269">
        <w:t xml:space="preserve">millions de </w:t>
      </w:r>
      <w:r w:rsidRPr="004A3269">
        <w:rPr>
          <w:rStyle w:val="hps"/>
        </w:rPr>
        <w:t xml:space="preserve">francs suisses).  </w:t>
      </w:r>
      <w:r w:rsidR="00BD25C7" w:rsidRPr="004A3269">
        <w:rPr>
          <w:rFonts w:eastAsia="SimSun"/>
          <w:lang w:eastAsia="zh-CN"/>
        </w:rPr>
        <w:t>Les remboursements annuels du principal</w:t>
      </w:r>
      <w:r w:rsidR="00AC55DB" w:rsidRPr="004A3269">
        <w:rPr>
          <w:rFonts w:eastAsia="SimSun"/>
          <w:lang w:eastAsia="zh-CN"/>
        </w:rPr>
        <w:t xml:space="preserve"> de ces emprunts totalisent 5,3 </w:t>
      </w:r>
      <w:r w:rsidR="00BD25C7" w:rsidRPr="004A3269">
        <w:rPr>
          <w:rFonts w:eastAsia="SimSun"/>
          <w:lang w:eastAsia="zh-CN"/>
        </w:rPr>
        <w:t>millions de francs suisses en</w:t>
      </w:r>
      <w:r w:rsidR="00067463" w:rsidRPr="004A3269">
        <w:rPr>
          <w:rFonts w:eastAsia="SimSun"/>
          <w:lang w:eastAsia="zh-CN"/>
        </w:rPr>
        <w:t> </w:t>
      </w:r>
      <w:r w:rsidR="00BD25C7" w:rsidRPr="004A3269">
        <w:rPr>
          <w:rFonts w:eastAsia="SimSun"/>
          <w:lang w:eastAsia="zh-CN"/>
        </w:rPr>
        <w:t>2014.</w:t>
      </w:r>
      <w:r w:rsidR="0024734A" w:rsidRPr="004A3269">
        <w:rPr>
          <w:rFonts w:eastAsia="SimSun"/>
        </w:rPr>
        <w:t xml:space="preserve"> </w:t>
      </w:r>
      <w:r w:rsidR="00AC55DB" w:rsidRPr="004A3269">
        <w:rPr>
          <w:rFonts w:eastAsia="SimSun"/>
        </w:rPr>
        <w:t xml:space="preserve"> </w:t>
      </w:r>
      <w:r w:rsidR="00C9032F" w:rsidRPr="004A3269">
        <w:rPr>
          <w:rStyle w:val="hps"/>
        </w:rPr>
        <w:t>En n</w:t>
      </w:r>
      <w:r w:rsidRPr="004A3269">
        <w:rPr>
          <w:rStyle w:val="hps"/>
        </w:rPr>
        <w:t>ovembre</w:t>
      </w:r>
      <w:r w:rsidR="00C9032F" w:rsidRPr="004A3269">
        <w:t> </w:t>
      </w:r>
      <w:r w:rsidR="00C9032F" w:rsidRPr="004A3269">
        <w:rPr>
          <w:rStyle w:val="hps"/>
        </w:rPr>
        <w:t>2015, l</w:t>
      </w:r>
      <w:r w:rsidR="009021AA" w:rsidRPr="004A3269">
        <w:rPr>
          <w:rStyle w:val="hps"/>
        </w:rPr>
        <w:t>’</w:t>
      </w:r>
      <w:r w:rsidRPr="004A3269">
        <w:rPr>
          <w:rStyle w:val="hps"/>
        </w:rPr>
        <w:t>Organisation</w:t>
      </w:r>
      <w:r w:rsidRPr="004A3269">
        <w:t xml:space="preserve"> </w:t>
      </w:r>
      <w:r w:rsidR="004E1E28" w:rsidRPr="004A3269">
        <w:rPr>
          <w:rStyle w:val="hps"/>
        </w:rPr>
        <w:t>doit procéder au</w:t>
      </w:r>
      <w:r w:rsidRPr="004A3269">
        <w:rPr>
          <w:rStyle w:val="hps"/>
        </w:rPr>
        <w:t xml:space="preserve"> premier</w:t>
      </w:r>
      <w:r w:rsidRPr="004A3269">
        <w:t xml:space="preserve"> </w:t>
      </w:r>
      <w:r w:rsidRPr="004A3269">
        <w:rPr>
          <w:rStyle w:val="hps"/>
        </w:rPr>
        <w:t>de ses</w:t>
      </w:r>
      <w:r w:rsidRPr="004A3269">
        <w:t xml:space="preserve"> </w:t>
      </w:r>
      <w:r w:rsidR="008F63AE" w:rsidRPr="004A3269">
        <w:rPr>
          <w:rStyle w:val="hps"/>
        </w:rPr>
        <w:t>versements</w:t>
      </w:r>
      <w:r w:rsidRPr="004A3269">
        <w:t xml:space="preserve"> </w:t>
      </w:r>
      <w:r w:rsidRPr="004A3269">
        <w:rPr>
          <w:rStyle w:val="hps"/>
        </w:rPr>
        <w:t>forfaitaires</w:t>
      </w:r>
      <w:r w:rsidRPr="004A3269">
        <w:t xml:space="preserve"> </w:t>
      </w:r>
      <w:r w:rsidR="003D1565" w:rsidRPr="004A3269">
        <w:t>échelonnés</w:t>
      </w:r>
      <w:r w:rsidR="004E1E28" w:rsidRPr="004A3269">
        <w:t xml:space="preserve"> </w:t>
      </w:r>
      <w:r w:rsidR="008F63AE" w:rsidRPr="004A3269">
        <w:t xml:space="preserve">pour le remboursement </w:t>
      </w:r>
      <w:r w:rsidRPr="004A3269">
        <w:rPr>
          <w:rStyle w:val="hps"/>
        </w:rPr>
        <w:t>du prêt</w:t>
      </w:r>
      <w:r w:rsidRPr="004A3269">
        <w:t xml:space="preserve"> </w:t>
      </w:r>
      <w:r w:rsidR="008F63AE" w:rsidRPr="004A3269">
        <w:t>de</w:t>
      </w:r>
      <w:r w:rsidR="009021AA" w:rsidRPr="004A3269">
        <w:t xml:space="preserve"> la </w:t>
      </w:r>
      <w:r w:rsidR="009021AA" w:rsidRPr="004A3269">
        <w:rPr>
          <w:rStyle w:val="hps"/>
        </w:rPr>
        <w:t>BCG</w:t>
      </w:r>
      <w:r w:rsidRPr="004A3269">
        <w:rPr>
          <w:rStyle w:val="hps"/>
        </w:rPr>
        <w:t>/BCV</w:t>
      </w:r>
      <w:r w:rsidRPr="004A3269">
        <w:t xml:space="preserve"> </w:t>
      </w:r>
      <w:r w:rsidR="008F63AE" w:rsidRPr="004A3269">
        <w:rPr>
          <w:rStyle w:val="hps"/>
        </w:rPr>
        <w:t>pour le nouveau</w:t>
      </w:r>
      <w:r w:rsidRPr="004A3269">
        <w:rPr>
          <w:rStyle w:val="hps"/>
        </w:rPr>
        <w:t xml:space="preserve"> bâtiment</w:t>
      </w:r>
      <w:r w:rsidRPr="004A3269">
        <w:t xml:space="preserve">, pour la somme </w:t>
      </w:r>
      <w:r w:rsidRPr="004A3269">
        <w:rPr>
          <w:rStyle w:val="hps"/>
        </w:rPr>
        <w:t>de 24,0</w:t>
      </w:r>
      <w:r w:rsidR="00C9032F" w:rsidRPr="004A3269">
        <w:t> </w:t>
      </w:r>
      <w:r w:rsidRPr="004A3269">
        <w:rPr>
          <w:rStyle w:val="hps"/>
        </w:rPr>
        <w:t xml:space="preserve">millions de francs suisses.  </w:t>
      </w:r>
      <w:r w:rsidR="00BD25C7" w:rsidRPr="004A3269">
        <w:rPr>
          <w:rFonts w:eastAsia="SimSun"/>
          <w:lang w:eastAsia="zh-CN"/>
        </w:rPr>
        <w:t>D</w:t>
      </w:r>
      <w:r w:rsidR="009021AA" w:rsidRPr="004A3269">
        <w:rPr>
          <w:rFonts w:eastAsia="SimSun"/>
          <w:lang w:eastAsia="zh-CN"/>
        </w:rPr>
        <w:t>’</w:t>
      </w:r>
      <w:r w:rsidR="00BD25C7" w:rsidRPr="004A3269">
        <w:rPr>
          <w:rFonts w:eastAsia="SimSun"/>
          <w:lang w:eastAsia="zh-CN"/>
        </w:rPr>
        <w:t>autres passifs d</w:t>
      </w:r>
      <w:r w:rsidR="009021AA" w:rsidRPr="004A3269">
        <w:rPr>
          <w:rFonts w:eastAsia="SimSun"/>
          <w:lang w:eastAsia="zh-CN"/>
        </w:rPr>
        <w:t>’</w:t>
      </w:r>
      <w:r w:rsidR="00BD25C7" w:rsidRPr="004A3269">
        <w:rPr>
          <w:rFonts w:eastAsia="SimSun"/>
          <w:lang w:eastAsia="zh-CN"/>
        </w:rPr>
        <w:t>un montant total de 64,5</w:t>
      </w:r>
      <w:r w:rsidR="00AC55DB" w:rsidRPr="004A3269">
        <w:rPr>
          <w:rFonts w:eastAsia="SimSun"/>
          <w:lang w:eastAsia="zh-CN"/>
        </w:rPr>
        <w:t> </w:t>
      </w:r>
      <w:r w:rsidR="00BD25C7" w:rsidRPr="004A3269">
        <w:rPr>
          <w:rFonts w:eastAsia="SimSun"/>
          <w:lang w:eastAsia="zh-CN"/>
        </w:rPr>
        <w:t>millions de francs suisses comprennent principalement des comptes courants de 63,6</w:t>
      </w:r>
      <w:r w:rsidR="00AC55DB" w:rsidRPr="004A3269">
        <w:rPr>
          <w:rFonts w:eastAsia="SimSun"/>
          <w:lang w:eastAsia="zh-CN"/>
        </w:rPr>
        <w:t> </w:t>
      </w:r>
      <w:r w:rsidR="00BD25C7" w:rsidRPr="004A3269">
        <w:rPr>
          <w:rFonts w:eastAsia="SimSun"/>
          <w:lang w:eastAsia="zh-CN"/>
        </w:rPr>
        <w:t>millions détenus pour le compte de déposants et de parties contractantes ainsi que des provisions d</w:t>
      </w:r>
      <w:r w:rsidR="009021AA" w:rsidRPr="004A3269">
        <w:rPr>
          <w:rFonts w:eastAsia="SimSun"/>
          <w:lang w:eastAsia="zh-CN"/>
        </w:rPr>
        <w:t>’</w:t>
      </w:r>
      <w:r w:rsidR="00BD25C7" w:rsidRPr="004A3269">
        <w:rPr>
          <w:rFonts w:eastAsia="SimSun"/>
          <w:lang w:eastAsia="zh-CN"/>
        </w:rPr>
        <w:t>un montant de 0,9</w:t>
      </w:r>
      <w:r w:rsidR="00AC55DB" w:rsidRPr="004A3269">
        <w:rPr>
          <w:rFonts w:eastAsia="SimSun"/>
          <w:lang w:eastAsia="zh-CN"/>
        </w:rPr>
        <w:t> </w:t>
      </w:r>
      <w:r w:rsidR="00BD25C7" w:rsidRPr="004A3269">
        <w:rPr>
          <w:rFonts w:eastAsia="SimSun"/>
          <w:lang w:eastAsia="zh-CN"/>
        </w:rPr>
        <w:t>million pour dépenses juridiques.</w:t>
      </w:r>
    </w:p>
    <w:p w:rsidR="00267140" w:rsidRPr="004A3269" w:rsidRDefault="00BD25C7" w:rsidP="00BD25C7">
      <w:pPr>
        <w:jc w:val="both"/>
        <w:rPr>
          <w:rFonts w:eastAsia="SimSun"/>
          <w:b/>
          <w:lang w:eastAsia="zh-CN"/>
        </w:rPr>
      </w:pPr>
      <w:r w:rsidRPr="004A3269">
        <w:rPr>
          <w:rFonts w:eastAsia="SimSun"/>
          <w:b/>
          <w:lang w:eastAsia="zh-CN"/>
        </w:rPr>
        <w:t>Flux de trésorerie</w:t>
      </w:r>
    </w:p>
    <w:p w:rsidR="00267140" w:rsidRPr="00695FBE" w:rsidRDefault="00267140" w:rsidP="0003705B">
      <w:pPr>
        <w:jc w:val="both"/>
        <w:rPr>
          <w:rFonts w:eastAsia="SimSun"/>
          <w:szCs w:val="22"/>
          <w:lang w:eastAsia="zh-CN"/>
        </w:rPr>
      </w:pPr>
    </w:p>
    <w:p w:rsidR="008F63AE" w:rsidRPr="004A3269" w:rsidRDefault="008F63AE" w:rsidP="00695FBE">
      <w:pPr>
        <w:pStyle w:val="ONUMFS"/>
        <w:rPr>
          <w:szCs w:val="22"/>
        </w:rPr>
      </w:pPr>
      <w:r w:rsidRPr="004A3269">
        <w:t>Le solde de trésorerie de l</w:t>
      </w:r>
      <w:r w:rsidR="009021AA" w:rsidRPr="004A3269">
        <w:t>’</w:t>
      </w:r>
      <w:r w:rsidRPr="004A3269">
        <w:t>Organisation au 31 décembre 2014 s</w:t>
      </w:r>
      <w:r w:rsidR="009021AA" w:rsidRPr="004A3269">
        <w:t>’</w:t>
      </w:r>
      <w:r w:rsidRPr="004A3269">
        <w:t>élève à 474,5 </w:t>
      </w:r>
      <w:r w:rsidR="0042676A" w:rsidRPr="004A3269">
        <w:t xml:space="preserve">millions de </w:t>
      </w:r>
      <w:r w:rsidRPr="004A3269">
        <w:t>francs suisses, contre 409,9 millions de francs suisses au 31 décembre 2013.  Le total des soldes de trésorerie augmente depuis 2011.  L</w:t>
      </w:r>
      <w:r w:rsidR="009021AA" w:rsidRPr="004A3269">
        <w:t>’</w:t>
      </w:r>
      <w:r w:rsidRPr="004A3269">
        <w:t>augmentation de 64,6 millions de francs suisses entre 2013 et 2014 est due en grande partie au niveau des entrées de trésorerie provenant des taxes du système</w:t>
      </w:r>
      <w:r w:rsidR="009021AA" w:rsidRPr="004A3269">
        <w:t xml:space="preserve"> du PCT</w:t>
      </w:r>
      <w:r w:rsidRPr="004A3269">
        <w:t xml:space="preserve"> au cours de l</w:t>
      </w:r>
      <w:r w:rsidR="009021AA" w:rsidRPr="004A3269">
        <w:t>’</w:t>
      </w:r>
      <w:r w:rsidRPr="004A3269">
        <w:t xml:space="preserve">année.  Il y a eu </w:t>
      </w:r>
      <w:r w:rsidR="00A74760" w:rsidRPr="004A3269">
        <w:t xml:space="preserve">également </w:t>
      </w:r>
      <w:r w:rsidRPr="004A3269">
        <w:t xml:space="preserve">une augmentation de 8,7 millions de francs suisses dans la balance des comptes courants détenus pour le compte de </w:t>
      </w:r>
      <w:r w:rsidRPr="004A3269">
        <w:lastRenderedPageBreak/>
        <w:t xml:space="preserve">tiers, et une augmentation de 8,4 millions de francs suisses </w:t>
      </w:r>
      <w:r w:rsidR="00284419" w:rsidRPr="004A3269">
        <w:t>en ce qui concerne</w:t>
      </w:r>
      <w:r w:rsidRPr="004A3269">
        <w:t xml:space="preserve"> les dépôts de l</w:t>
      </w:r>
      <w:r w:rsidR="009021AA" w:rsidRPr="004A3269">
        <w:t>’</w:t>
      </w:r>
      <w:r w:rsidRPr="004A3269">
        <w:t xml:space="preserve">Union de Madrid (classés comme </w:t>
      </w:r>
      <w:r w:rsidR="0042676A" w:rsidRPr="004A3269">
        <w:t>montants</w:t>
      </w:r>
      <w:r w:rsidRPr="004A3269">
        <w:t xml:space="preserve"> à payer ou </w:t>
      </w:r>
      <w:r w:rsidR="0042676A" w:rsidRPr="004A3269">
        <w:t>encaissements par anticipation</w:t>
      </w:r>
      <w:r w:rsidRPr="004A3269">
        <w:t>).</w:t>
      </w:r>
    </w:p>
    <w:p w:rsidR="008F63AE" w:rsidRPr="004A3269" w:rsidRDefault="008F63AE" w:rsidP="00695FBE">
      <w:pPr>
        <w:pStyle w:val="ONUMFS"/>
        <w:rPr>
          <w:szCs w:val="22"/>
        </w:rPr>
      </w:pPr>
      <w:r w:rsidRPr="004A3269">
        <w:t>Dans les états financiers (</w:t>
      </w:r>
      <w:r w:rsidR="00C0148F" w:rsidRPr="004A3269">
        <w:t xml:space="preserve">voir la </w:t>
      </w:r>
      <w:r w:rsidR="00505179" w:rsidRPr="004A3269">
        <w:t>note</w:t>
      </w:r>
      <w:r w:rsidR="00A0797A" w:rsidRPr="004A3269">
        <w:t xml:space="preserve"> n°</w:t>
      </w:r>
      <w:r w:rsidR="00284419" w:rsidRPr="004A3269">
        <w:t> </w:t>
      </w:r>
      <w:r w:rsidRPr="004A3269">
        <w:t>3), la trésorerie est présenté</w:t>
      </w:r>
      <w:r w:rsidR="00284419" w:rsidRPr="004A3269">
        <w:t>e</w:t>
      </w:r>
      <w:r w:rsidRPr="004A3269">
        <w:t xml:space="preserve"> séparément </w:t>
      </w:r>
      <w:r w:rsidR="00012877" w:rsidRPr="004A3269">
        <w:t>sous forme de fonds</w:t>
      </w:r>
      <w:r w:rsidRPr="004A3269">
        <w:t xml:space="preserve"> </w:t>
      </w:r>
      <w:r w:rsidR="00012877" w:rsidRPr="004A3269">
        <w:t>réservés et non réservés</w:t>
      </w:r>
      <w:r w:rsidRPr="004A3269">
        <w:t>.</w:t>
      </w:r>
      <w:r w:rsidR="00284419" w:rsidRPr="004A3269">
        <w:t xml:space="preserve"> </w:t>
      </w:r>
      <w:r w:rsidRPr="004A3269">
        <w:t xml:space="preserve"> Les fonds </w:t>
      </w:r>
      <w:r w:rsidR="0094668F" w:rsidRPr="004A3269">
        <w:t>réservés</w:t>
      </w:r>
      <w:r w:rsidRPr="004A3269">
        <w:t xml:space="preserve"> comprennent les fonds détenus pour le compte de</w:t>
      </w:r>
      <w:r w:rsidR="0094668F" w:rsidRPr="004A3269">
        <w:t xml:space="preserve"> tiers pour l</w:t>
      </w:r>
      <w:r w:rsidR="009021AA" w:rsidRPr="004A3269">
        <w:t>’</w:t>
      </w:r>
      <w:r w:rsidR="0094668F" w:rsidRPr="004A3269">
        <w:t>enregistrement de</w:t>
      </w:r>
      <w:r w:rsidRPr="004A3269">
        <w:t xml:space="preserve"> marques ou </w:t>
      </w:r>
      <w:r w:rsidR="00284419" w:rsidRPr="004A3269">
        <w:t>de</w:t>
      </w:r>
      <w:r w:rsidR="0094668F" w:rsidRPr="004A3269">
        <w:t xml:space="preserve"> dessins et modèles industriels</w:t>
      </w:r>
      <w:r w:rsidRPr="004A3269">
        <w:t xml:space="preserve"> </w:t>
      </w:r>
      <w:r w:rsidR="0094668F" w:rsidRPr="004A3269">
        <w:t>ainsi que</w:t>
      </w:r>
      <w:r w:rsidRPr="004A3269">
        <w:t xml:space="preserve"> les </w:t>
      </w:r>
      <w:r w:rsidR="0094668F" w:rsidRPr="004A3269">
        <w:t>taxes</w:t>
      </w:r>
      <w:r w:rsidRPr="004A3269">
        <w:t xml:space="preserve"> perçu</w:t>
      </w:r>
      <w:r w:rsidR="0094668F" w:rsidRPr="004A3269">
        <w:t>e</w:t>
      </w:r>
      <w:r w:rsidRPr="004A3269">
        <w:t>s pour le compte des parties contractantes à l</w:t>
      </w:r>
      <w:r w:rsidR="009021AA" w:rsidRPr="004A3269">
        <w:t>’</w:t>
      </w:r>
      <w:r w:rsidRPr="004A3269">
        <w:t xml:space="preserve">Arrangement </w:t>
      </w:r>
      <w:r w:rsidR="0094668F" w:rsidRPr="004A3269">
        <w:t xml:space="preserve">et au Protocole </w:t>
      </w:r>
      <w:r w:rsidRPr="004A3269">
        <w:t xml:space="preserve">de Madrid, </w:t>
      </w:r>
      <w:r w:rsidR="00284419" w:rsidRPr="004A3269">
        <w:t>à l</w:t>
      </w:r>
      <w:r w:rsidR="009021AA" w:rsidRPr="004A3269">
        <w:t>’</w:t>
      </w:r>
      <w:r w:rsidR="00284419" w:rsidRPr="004A3269">
        <w:t xml:space="preserve">Arrangement de </w:t>
      </w:r>
      <w:r w:rsidR="009021AA" w:rsidRPr="004A3269">
        <w:t>La Haye</w:t>
      </w:r>
      <w:r w:rsidR="0094668F" w:rsidRPr="004A3269">
        <w:t>,</w:t>
      </w:r>
      <w:r w:rsidRPr="004A3269">
        <w:t xml:space="preserve"> et </w:t>
      </w:r>
      <w:r w:rsidR="0094668F" w:rsidRPr="004A3269">
        <w:t>pour le compte des</w:t>
      </w:r>
      <w:r w:rsidRPr="004A3269">
        <w:t xml:space="preserve"> </w:t>
      </w:r>
      <w:r w:rsidR="0094668F" w:rsidRPr="004A3269">
        <w:t>administrations chargées de la recherche internationale selon</w:t>
      </w:r>
      <w:r w:rsidR="009021AA" w:rsidRPr="004A3269">
        <w:t xml:space="preserve"> le PCT</w:t>
      </w:r>
      <w:r w:rsidRPr="004A3269">
        <w:t xml:space="preserve">. </w:t>
      </w:r>
      <w:r w:rsidR="00284419" w:rsidRPr="004A3269">
        <w:t xml:space="preserve"> Les d</w:t>
      </w:r>
      <w:r w:rsidRPr="004A3269">
        <w:t xml:space="preserve">épôts </w:t>
      </w:r>
      <w:r w:rsidR="0094668F" w:rsidRPr="004A3269">
        <w:t>encaissés</w:t>
      </w:r>
      <w:r w:rsidRPr="004A3269">
        <w:t xml:space="preserve"> dans le cadre de procédures </w:t>
      </w:r>
      <w:r w:rsidR="0094668F" w:rsidRPr="004A3269">
        <w:t xml:space="preserve">en cours </w:t>
      </w:r>
      <w:r w:rsidRPr="004A3269">
        <w:t xml:space="preserve">relatives </w:t>
      </w:r>
      <w:r w:rsidR="0094668F" w:rsidRPr="004A3269">
        <w:t>à des enregistrements de</w:t>
      </w:r>
      <w:r w:rsidRPr="004A3269">
        <w:t xml:space="preserve"> marques, </w:t>
      </w:r>
      <w:r w:rsidR="0094668F" w:rsidRPr="004A3269">
        <w:t>indépendamment de l</w:t>
      </w:r>
      <w:r w:rsidR="009021AA" w:rsidRPr="004A3269">
        <w:t>’</w:t>
      </w:r>
      <w:r w:rsidR="0094668F" w:rsidRPr="004A3269">
        <w:t>estimation des encaissements par anticipation effectués par l</w:t>
      </w:r>
      <w:r w:rsidR="009021AA" w:rsidRPr="004A3269">
        <w:t>’</w:t>
      </w:r>
      <w:r w:rsidR="0094668F" w:rsidRPr="004A3269">
        <w:t xml:space="preserve">Organisation, </w:t>
      </w:r>
      <w:r w:rsidR="00290532" w:rsidRPr="004A3269">
        <w:t>sont également considérés comme des fonds réservés, tout comme les comptes détenus pour le compte de donateurs de contributions volontaires</w:t>
      </w:r>
      <w:r w:rsidRPr="004A3269">
        <w:t>.</w:t>
      </w:r>
    </w:p>
    <w:p w:rsidR="009021AA" w:rsidRPr="004A3269" w:rsidRDefault="008F63AE" w:rsidP="00695FBE">
      <w:pPr>
        <w:pStyle w:val="ONUMFS"/>
        <w:rPr>
          <w:szCs w:val="22"/>
        </w:rPr>
      </w:pPr>
      <w:r w:rsidRPr="004A3269">
        <w:t xml:space="preserve">Au cours de </w:t>
      </w:r>
      <w:r w:rsidR="00284419" w:rsidRPr="004A3269">
        <w:t>l</w:t>
      </w:r>
      <w:r w:rsidR="009021AA" w:rsidRPr="004A3269">
        <w:t>’</w:t>
      </w:r>
      <w:r w:rsidR="00284419" w:rsidRPr="004A3269">
        <w:t>année </w:t>
      </w:r>
      <w:r w:rsidRPr="004A3269">
        <w:t>2014, l</w:t>
      </w:r>
      <w:r w:rsidR="009021AA" w:rsidRPr="004A3269">
        <w:t>’</w:t>
      </w:r>
      <w:r w:rsidRPr="004A3269">
        <w:t>organisat</w:t>
      </w:r>
      <w:r w:rsidR="00284419" w:rsidRPr="004A3269">
        <w:t>ion a fait un transfert de 85,2 </w:t>
      </w:r>
      <w:r w:rsidRPr="004A3269">
        <w:t xml:space="preserve">millions de francs suisses sur un compte bancaire distinct </w:t>
      </w:r>
      <w:r w:rsidR="00E37B9E" w:rsidRPr="004A3269">
        <w:t>destiné aux</w:t>
      </w:r>
      <w:r w:rsidRPr="004A3269">
        <w:t xml:space="preserve"> fonds alloués pour le financement </w:t>
      </w:r>
      <w:r w:rsidR="00E37B9E" w:rsidRPr="004A3269">
        <w:t>à venir</w:t>
      </w:r>
      <w:r w:rsidRPr="004A3269">
        <w:t xml:space="preserve"> </w:t>
      </w:r>
      <w:r w:rsidR="00290532" w:rsidRPr="004A3269">
        <w:rPr>
          <w:rStyle w:val="hps"/>
        </w:rPr>
        <w:t>des obligations relatives à l</w:t>
      </w:r>
      <w:r w:rsidR="009021AA" w:rsidRPr="004A3269">
        <w:rPr>
          <w:rStyle w:val="hps"/>
        </w:rPr>
        <w:t>’</w:t>
      </w:r>
      <w:r w:rsidR="00290532" w:rsidRPr="004A3269">
        <w:rPr>
          <w:rStyle w:val="hps"/>
        </w:rPr>
        <w:t>assurance</w:t>
      </w:r>
      <w:r w:rsidR="00A17552" w:rsidRPr="004A3269">
        <w:rPr>
          <w:rStyle w:val="hps"/>
        </w:rPr>
        <w:noBreakHyphen/>
      </w:r>
      <w:r w:rsidR="00290532" w:rsidRPr="004A3269">
        <w:rPr>
          <w:rStyle w:val="hps"/>
        </w:rPr>
        <w:t xml:space="preserve">maladie </w:t>
      </w:r>
      <w:r w:rsidR="00A74760" w:rsidRPr="004A3269">
        <w:rPr>
          <w:rStyle w:val="hps"/>
        </w:rPr>
        <w:t>après la cessation</w:t>
      </w:r>
      <w:r w:rsidR="00290532" w:rsidRPr="004A3269">
        <w:rPr>
          <w:rStyle w:val="hps"/>
        </w:rPr>
        <w:t xml:space="preserve"> de service</w:t>
      </w:r>
      <w:r w:rsidRPr="004A3269">
        <w:t xml:space="preserve">. </w:t>
      </w:r>
      <w:r w:rsidR="00290532" w:rsidRPr="004A3269">
        <w:t xml:space="preserve"> </w:t>
      </w:r>
      <w:r w:rsidR="00284419" w:rsidRPr="004A3269">
        <w:t>Le solde de ce compte au 31 décembre </w:t>
      </w:r>
      <w:r w:rsidR="00290532" w:rsidRPr="004A3269">
        <w:t xml:space="preserve">2014 est également </w:t>
      </w:r>
      <w:r w:rsidRPr="004A3269">
        <w:t xml:space="preserve">classé comme </w:t>
      </w:r>
      <w:r w:rsidR="00290532" w:rsidRPr="004A3269">
        <w:t>réservé</w:t>
      </w:r>
      <w:r w:rsidR="0090701F" w:rsidRPr="004A3269">
        <w:rPr>
          <w:szCs w:val="22"/>
        </w:rPr>
        <w:t>.</w:t>
      </w:r>
    </w:p>
    <w:p w:rsidR="00267140" w:rsidRPr="004A3269" w:rsidRDefault="00D454F7" w:rsidP="007B2C21">
      <w:pPr>
        <w:jc w:val="center"/>
        <w:rPr>
          <w:rFonts w:eastAsia="SimSun"/>
          <w:szCs w:val="22"/>
          <w:u w:val="single"/>
          <w:lang w:eastAsia="zh-CN"/>
        </w:rPr>
      </w:pPr>
      <w:r w:rsidRPr="004A3269">
        <w:rPr>
          <w:rFonts w:eastAsia="SimSun"/>
          <w:u w:val="single"/>
          <w:lang w:eastAsia="zh-CN"/>
        </w:rPr>
        <w:t xml:space="preserve">Soldes de la trésorerie </w:t>
      </w:r>
      <w:r w:rsidR="00B60E20" w:rsidRPr="004A3269">
        <w:rPr>
          <w:rFonts w:eastAsia="SimSun"/>
          <w:u w:val="single"/>
          <w:lang w:eastAsia="zh-CN"/>
        </w:rPr>
        <w:t xml:space="preserve">disponible </w:t>
      </w:r>
      <w:r w:rsidRPr="004A3269">
        <w:rPr>
          <w:rFonts w:eastAsia="SimSun"/>
          <w:u w:val="single"/>
          <w:lang w:eastAsia="zh-CN"/>
        </w:rPr>
        <w:t xml:space="preserve">et de la trésorerie </w:t>
      </w:r>
      <w:r w:rsidR="00B60E20" w:rsidRPr="004A3269">
        <w:rPr>
          <w:rFonts w:eastAsia="SimSun"/>
          <w:u w:val="single"/>
          <w:lang w:eastAsia="zh-CN"/>
        </w:rPr>
        <w:t>soumise à restriction</w:t>
      </w:r>
      <w:r w:rsidRPr="004A3269">
        <w:rPr>
          <w:rFonts w:eastAsia="SimSun"/>
          <w:u w:val="single"/>
          <w:lang w:eastAsia="zh-CN"/>
        </w:rPr>
        <w:t xml:space="preserve"> (</w:t>
      </w:r>
      <w:r w:rsidR="009921E6" w:rsidRPr="004A3269">
        <w:rPr>
          <w:rFonts w:eastAsia="SimSun"/>
          <w:u w:val="single"/>
          <w:lang w:eastAsia="zh-CN"/>
        </w:rPr>
        <w:t>2010</w:t>
      </w:r>
      <w:r w:rsidR="00A17552" w:rsidRPr="004A3269">
        <w:rPr>
          <w:rFonts w:eastAsia="SimSun"/>
          <w:u w:val="single"/>
          <w:lang w:eastAsia="zh-CN"/>
        </w:rPr>
        <w:noBreakHyphen/>
      </w:r>
      <w:r w:rsidR="009921E6" w:rsidRPr="004A3269">
        <w:rPr>
          <w:rFonts w:eastAsia="SimSun"/>
          <w:u w:val="single"/>
          <w:lang w:eastAsia="zh-CN"/>
        </w:rPr>
        <w:t>2014</w:t>
      </w:r>
      <w:r w:rsidRPr="004A3269">
        <w:rPr>
          <w:rFonts w:eastAsia="SimSun"/>
          <w:u w:val="single"/>
          <w:lang w:eastAsia="zh-CN"/>
        </w:rPr>
        <w:t>)</w:t>
      </w:r>
    </w:p>
    <w:p w:rsidR="00267140" w:rsidRPr="004A3269" w:rsidRDefault="00B73346" w:rsidP="0090701F">
      <w:pPr>
        <w:jc w:val="center"/>
        <w:rPr>
          <w:rFonts w:eastAsia="SimSun"/>
          <w:szCs w:val="22"/>
          <w:lang w:eastAsia="zh-CN"/>
        </w:rPr>
      </w:pPr>
      <w:r w:rsidRPr="004A3269">
        <w:rPr>
          <w:rFonts w:eastAsia="SimSun"/>
          <w:noProof/>
          <w:lang w:val="en-US"/>
        </w:rPr>
        <w:drawing>
          <wp:inline distT="0" distB="0" distL="0" distR="0" wp14:anchorId="71F92A12" wp14:editId="7ECFD784">
            <wp:extent cx="5853430" cy="377380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53430" cy="3773805"/>
                    </a:xfrm>
                    <a:prstGeom prst="rect">
                      <a:avLst/>
                    </a:prstGeom>
                    <a:noFill/>
                    <a:ln>
                      <a:noFill/>
                    </a:ln>
                  </pic:spPr>
                </pic:pic>
              </a:graphicData>
            </a:graphic>
          </wp:inline>
        </w:drawing>
      </w:r>
    </w:p>
    <w:p w:rsidR="00E6033E" w:rsidRPr="004A3269" w:rsidRDefault="00E6033E" w:rsidP="00695FBE">
      <w:pPr>
        <w:pStyle w:val="ONUMFS"/>
        <w:rPr>
          <w:szCs w:val="22"/>
        </w:rPr>
      </w:pPr>
      <w:r w:rsidRPr="004A3269">
        <w:t>Comme indiqué ci</w:t>
      </w:r>
      <w:r w:rsidR="00A17552" w:rsidRPr="004A3269">
        <w:noBreakHyphen/>
      </w:r>
      <w:r w:rsidRPr="004A3269">
        <w:t>dessus dans l</w:t>
      </w:r>
      <w:r w:rsidR="009021AA" w:rsidRPr="004A3269">
        <w:t>’</w:t>
      </w:r>
      <w:r w:rsidRPr="004A3269">
        <w:t xml:space="preserve">analyse </w:t>
      </w:r>
      <w:r w:rsidR="003D1565" w:rsidRPr="004A3269">
        <w:t>des emprunts, en </w:t>
      </w:r>
      <w:r w:rsidRPr="004A3269">
        <w:t>2015</w:t>
      </w:r>
      <w:r w:rsidR="00A0797A" w:rsidRPr="004A3269">
        <w:t>;</w:t>
      </w:r>
      <w:r w:rsidR="00067463" w:rsidRPr="004A3269">
        <w:t xml:space="preserve"> </w:t>
      </w:r>
      <w:r w:rsidRPr="004A3269">
        <w:t xml:space="preserve"> l</w:t>
      </w:r>
      <w:r w:rsidR="009021AA" w:rsidRPr="004A3269">
        <w:t>’</w:t>
      </w:r>
      <w:r w:rsidRPr="004A3269">
        <w:t xml:space="preserve">Organisation </w:t>
      </w:r>
      <w:r w:rsidR="003D1565" w:rsidRPr="004A3269">
        <w:t>devrait</w:t>
      </w:r>
      <w:r w:rsidRPr="004A3269">
        <w:t xml:space="preserve"> commencer à </w:t>
      </w:r>
      <w:r w:rsidR="003D1565" w:rsidRPr="004A3269">
        <w:t>procéder</w:t>
      </w:r>
      <w:r w:rsidRPr="004A3269">
        <w:t xml:space="preserve"> </w:t>
      </w:r>
      <w:r w:rsidR="003D1565" w:rsidRPr="004A3269">
        <w:t xml:space="preserve">à </w:t>
      </w:r>
      <w:r w:rsidRPr="004A3269">
        <w:t xml:space="preserve">des </w:t>
      </w:r>
      <w:r w:rsidR="003D1565" w:rsidRPr="004A3269">
        <w:t xml:space="preserve">versements </w:t>
      </w:r>
      <w:r w:rsidRPr="004A3269">
        <w:t>forfaitaires</w:t>
      </w:r>
      <w:r w:rsidR="003D1565" w:rsidRPr="004A3269">
        <w:t xml:space="preserve"> échelonnés</w:t>
      </w:r>
      <w:r w:rsidRPr="004A3269">
        <w:t xml:space="preserve"> </w:t>
      </w:r>
      <w:r w:rsidR="003D1565" w:rsidRPr="004A3269">
        <w:t>pour le remboursement du prêt de</w:t>
      </w:r>
      <w:r w:rsidR="009021AA" w:rsidRPr="004A3269">
        <w:t xml:space="preserve"> la BCG</w:t>
      </w:r>
      <w:r w:rsidR="003D1565" w:rsidRPr="004A3269">
        <w:t>/</w:t>
      </w:r>
      <w:r w:rsidRPr="004A3269">
        <w:t xml:space="preserve">BCV </w:t>
      </w:r>
      <w:r w:rsidR="003D1565" w:rsidRPr="004A3269">
        <w:t xml:space="preserve">pour le </w:t>
      </w:r>
      <w:r w:rsidRPr="004A3269">
        <w:t>nouveau bâtiment.</w:t>
      </w:r>
      <w:r w:rsidR="00E433F4" w:rsidRPr="004A3269">
        <w:t xml:space="preserve"> </w:t>
      </w:r>
      <w:r w:rsidRPr="004A3269">
        <w:t xml:space="preserve"> Le premier </w:t>
      </w:r>
      <w:r w:rsidR="00E433F4" w:rsidRPr="004A3269">
        <w:t>versement</w:t>
      </w:r>
      <w:r w:rsidRPr="004A3269">
        <w:t xml:space="preserve"> </w:t>
      </w:r>
      <w:r w:rsidR="00E433F4" w:rsidRPr="004A3269">
        <w:t>de 24,0 </w:t>
      </w:r>
      <w:r w:rsidRPr="004A3269">
        <w:t xml:space="preserve">millions de francs suisses </w:t>
      </w:r>
      <w:r w:rsidR="00E433F4" w:rsidRPr="004A3269">
        <w:t>qui aura lieu en novembre </w:t>
      </w:r>
      <w:r w:rsidRPr="004A3269">
        <w:t xml:space="preserve">2015 </w:t>
      </w:r>
      <w:r w:rsidR="00E433F4" w:rsidRPr="004A3269">
        <w:t xml:space="preserve">aura </w:t>
      </w:r>
      <w:r w:rsidRPr="004A3269">
        <w:t>de toute évidence un impact significatif sur le solde de trésoreri</w:t>
      </w:r>
      <w:r w:rsidR="003D1565" w:rsidRPr="004A3269">
        <w:t>e de l</w:t>
      </w:r>
      <w:r w:rsidR="009021AA" w:rsidRPr="004A3269">
        <w:t>’</w:t>
      </w:r>
      <w:r w:rsidR="003D1565" w:rsidRPr="004A3269">
        <w:t>Organisation à la fin de</w:t>
      </w:r>
      <w:r w:rsidR="00E433F4" w:rsidRPr="004A3269">
        <w:t xml:space="preserve"> l</w:t>
      </w:r>
      <w:r w:rsidR="009021AA" w:rsidRPr="004A3269">
        <w:t>’</w:t>
      </w:r>
      <w:r w:rsidR="00E433F4" w:rsidRPr="004A3269">
        <w:t>année</w:t>
      </w:r>
      <w:r w:rsidR="003D1565" w:rsidRPr="004A3269">
        <w:t> </w:t>
      </w:r>
      <w:r w:rsidRPr="004A3269">
        <w:t>2015.</w:t>
      </w:r>
    </w:p>
    <w:p w:rsidR="00267140" w:rsidRPr="004A3269" w:rsidRDefault="00E6033E" w:rsidP="00695FBE">
      <w:pPr>
        <w:pStyle w:val="ONUMFS"/>
        <w:rPr>
          <w:szCs w:val="22"/>
        </w:rPr>
      </w:pPr>
      <w:r w:rsidRPr="004A3269">
        <w:t xml:space="preserve">Les principales </w:t>
      </w:r>
      <w:r w:rsidR="00E433F4" w:rsidRPr="004A3269">
        <w:t>entrées de trésorerie</w:t>
      </w:r>
      <w:r w:rsidRPr="004A3269">
        <w:t xml:space="preserve"> de l</w:t>
      </w:r>
      <w:r w:rsidR="009021AA" w:rsidRPr="004A3269">
        <w:t>’</w:t>
      </w:r>
      <w:r w:rsidRPr="004A3269">
        <w:t>Organisation sont les paiements liés aux activités</w:t>
      </w:r>
      <w:r w:rsidR="009021AA" w:rsidRPr="004A3269">
        <w:t xml:space="preserve"> du PCT</w:t>
      </w:r>
      <w:r w:rsidRPr="004A3269">
        <w:t xml:space="preserve">. </w:t>
      </w:r>
      <w:r w:rsidR="00E433F4" w:rsidRPr="004A3269">
        <w:t xml:space="preserve"> L</w:t>
      </w:r>
      <w:r w:rsidRPr="004A3269">
        <w:t xml:space="preserve">es entrées </w:t>
      </w:r>
      <w:r w:rsidR="00E433F4" w:rsidRPr="004A3269">
        <w:t xml:space="preserve">mensuelles </w:t>
      </w:r>
      <w:r w:rsidRPr="004A3269">
        <w:t xml:space="preserve">de trésorerie </w:t>
      </w:r>
      <w:r w:rsidR="00E433F4" w:rsidRPr="004A3269">
        <w:t xml:space="preserve">provenant </w:t>
      </w:r>
      <w:r w:rsidRPr="004A3269">
        <w:t>des a</w:t>
      </w:r>
      <w:r w:rsidR="003D1565" w:rsidRPr="004A3269">
        <w:t>ctivités</w:t>
      </w:r>
      <w:r w:rsidR="009021AA" w:rsidRPr="004A3269">
        <w:t xml:space="preserve"> du PCT</w:t>
      </w:r>
      <w:r w:rsidR="003D1565" w:rsidRPr="004A3269">
        <w:t xml:space="preserve"> </w:t>
      </w:r>
      <w:r w:rsidR="00E433F4" w:rsidRPr="004A3269">
        <w:t>s</w:t>
      </w:r>
      <w:r w:rsidR="009021AA" w:rsidRPr="004A3269">
        <w:t>’</w:t>
      </w:r>
      <w:r w:rsidR="00E433F4" w:rsidRPr="004A3269">
        <w:t xml:space="preserve">élevaient à </w:t>
      </w:r>
      <w:r w:rsidR="003D1565" w:rsidRPr="004A3269">
        <w:t>24,6 </w:t>
      </w:r>
      <w:r w:rsidRPr="004A3269">
        <w:t>millions de fra</w:t>
      </w:r>
      <w:r w:rsidR="003D1565" w:rsidRPr="004A3269">
        <w:t xml:space="preserve">ncs suisses </w:t>
      </w:r>
      <w:r w:rsidR="00E433F4" w:rsidRPr="004A3269">
        <w:t xml:space="preserve">en moyenne </w:t>
      </w:r>
      <w:r w:rsidR="003D1565" w:rsidRPr="004A3269">
        <w:t>au cours de l</w:t>
      </w:r>
      <w:r w:rsidR="009021AA" w:rsidRPr="004A3269">
        <w:t>’</w:t>
      </w:r>
      <w:r w:rsidR="003D1565" w:rsidRPr="004A3269">
        <w:t>année 2014, contre 21,1 </w:t>
      </w:r>
      <w:r w:rsidRPr="004A3269">
        <w:t xml:space="preserve">millions de francs suisses </w:t>
      </w:r>
      <w:r w:rsidR="003D1565" w:rsidRPr="004A3269">
        <w:t>en </w:t>
      </w:r>
      <w:r w:rsidRPr="004A3269">
        <w:t xml:space="preserve">2013, </w:t>
      </w:r>
      <w:r w:rsidR="00E433F4" w:rsidRPr="004A3269">
        <w:t>tandis que les entrées mensuelles</w:t>
      </w:r>
      <w:r w:rsidRPr="004A3269">
        <w:t xml:space="preserve"> de trésorerie provenant d</w:t>
      </w:r>
      <w:r w:rsidR="009021AA" w:rsidRPr="004A3269">
        <w:t>’</w:t>
      </w:r>
      <w:r w:rsidRPr="004A3269">
        <w:t xml:space="preserve">autres sources </w:t>
      </w:r>
      <w:r w:rsidR="00E433F4" w:rsidRPr="004A3269">
        <w:t>s</w:t>
      </w:r>
      <w:r w:rsidR="009021AA" w:rsidRPr="004A3269">
        <w:t>’</w:t>
      </w:r>
      <w:r w:rsidR="00E433F4" w:rsidRPr="004A3269">
        <w:t xml:space="preserve">élevaient à </w:t>
      </w:r>
      <w:r w:rsidRPr="004A3269">
        <w:t>7,0</w:t>
      </w:r>
      <w:r w:rsidR="00067463" w:rsidRPr="004A3269">
        <w:t> </w:t>
      </w:r>
      <w:r w:rsidRPr="004A3269">
        <w:t xml:space="preserve">millions de francs suisses </w:t>
      </w:r>
      <w:r w:rsidR="00E433F4" w:rsidRPr="004A3269">
        <w:t xml:space="preserve">en moyenne </w:t>
      </w:r>
      <w:r w:rsidRPr="004A3269">
        <w:t>au cours de l</w:t>
      </w:r>
      <w:r w:rsidR="009021AA" w:rsidRPr="004A3269">
        <w:t>’</w:t>
      </w:r>
      <w:r w:rsidRPr="004A3269">
        <w:t>année</w:t>
      </w:r>
      <w:r w:rsidR="00E433F4" w:rsidRPr="004A3269">
        <w:t> </w:t>
      </w:r>
      <w:r w:rsidRPr="004A3269">
        <w:t>2014</w:t>
      </w:r>
      <w:r w:rsidR="003D1565" w:rsidRPr="004A3269">
        <w:t>, contre 7,3 </w:t>
      </w:r>
      <w:r w:rsidRPr="004A3269">
        <w:t xml:space="preserve">millions de francs suisses </w:t>
      </w:r>
      <w:r w:rsidR="003D1565" w:rsidRPr="004A3269">
        <w:t>en </w:t>
      </w:r>
      <w:r w:rsidRPr="004A3269">
        <w:t xml:space="preserve">2013. </w:t>
      </w:r>
      <w:r w:rsidR="003D1565" w:rsidRPr="004A3269">
        <w:t xml:space="preserve"> </w:t>
      </w:r>
      <w:r w:rsidRPr="004A3269">
        <w:t xml:space="preserve">Comme </w:t>
      </w:r>
      <w:r w:rsidR="00E433F4" w:rsidRPr="004A3269">
        <w:t>l</w:t>
      </w:r>
      <w:r w:rsidR="009021AA" w:rsidRPr="004A3269">
        <w:t>’</w:t>
      </w:r>
      <w:r w:rsidR="00E433F4" w:rsidRPr="004A3269">
        <w:t>illustrent</w:t>
      </w:r>
      <w:r w:rsidRPr="004A3269">
        <w:t xml:space="preserve"> les tableaux de la page suivante, les entrées de trésorerie </w:t>
      </w:r>
      <w:r w:rsidR="00E433F4" w:rsidRPr="004A3269">
        <w:t>peuvent être très variables selon les</w:t>
      </w:r>
      <w:r w:rsidRPr="004A3269">
        <w:t xml:space="preserve"> mois.</w:t>
      </w:r>
      <w:r w:rsidR="003D1565" w:rsidRPr="004A3269">
        <w:t xml:space="preserve"> </w:t>
      </w:r>
      <w:r w:rsidRPr="004A3269">
        <w:t xml:space="preserve"> </w:t>
      </w:r>
      <w:r w:rsidR="00E433F4" w:rsidRPr="004A3269">
        <w:t>Ainsi, l</w:t>
      </w:r>
      <w:r w:rsidRPr="004A3269">
        <w:t xml:space="preserve">es entrées </w:t>
      </w:r>
      <w:r w:rsidR="00E433F4" w:rsidRPr="004A3269">
        <w:lastRenderedPageBreak/>
        <w:t>provenant</w:t>
      </w:r>
      <w:r w:rsidRPr="004A3269">
        <w:t xml:space="preserve"> des activités</w:t>
      </w:r>
      <w:r w:rsidR="009021AA" w:rsidRPr="004A3269">
        <w:t xml:space="preserve"> du PCT</w:t>
      </w:r>
      <w:r w:rsidRPr="004A3269">
        <w:t xml:space="preserve"> é</w:t>
      </w:r>
      <w:r w:rsidR="003D1565" w:rsidRPr="004A3269">
        <w:t>taient nettement supérieures en a</w:t>
      </w:r>
      <w:r w:rsidRPr="004A3269">
        <w:t xml:space="preserve">vril et </w:t>
      </w:r>
      <w:r w:rsidR="003D1565" w:rsidRPr="004A3269">
        <w:t>en mai </w:t>
      </w:r>
      <w:r w:rsidRPr="004A3269">
        <w:t xml:space="preserve">2014 en raison </w:t>
      </w:r>
      <w:r w:rsidR="00E433F4" w:rsidRPr="004A3269">
        <w:t xml:space="preserve">de paiements de </w:t>
      </w:r>
      <w:r w:rsidRPr="004A3269">
        <w:t xml:space="preserve">rattrapage </w:t>
      </w:r>
      <w:r w:rsidR="00E433F4" w:rsidRPr="004A3269">
        <w:t xml:space="preserve">pour </w:t>
      </w:r>
      <w:r w:rsidR="003D1565" w:rsidRPr="004A3269">
        <w:t>les demandes déposées en </w:t>
      </w:r>
      <w:r w:rsidR="00E433F4" w:rsidRPr="004A3269">
        <w:t>2013</w:t>
      </w:r>
      <w:r w:rsidRPr="004A3269">
        <w:t xml:space="preserve"> </w:t>
      </w:r>
      <w:r w:rsidR="00E433F4" w:rsidRPr="004A3269">
        <w:t>et de l</w:t>
      </w:r>
      <w:r w:rsidR="009021AA" w:rsidRPr="004A3269">
        <w:t>’</w:t>
      </w:r>
      <w:r w:rsidR="00E433F4" w:rsidRPr="004A3269">
        <w:t xml:space="preserve">augmentation du niveau de </w:t>
      </w:r>
      <w:r w:rsidR="003D1565" w:rsidRPr="004A3269">
        <w:t>dépôt</w:t>
      </w:r>
      <w:r w:rsidR="00E433F4" w:rsidRPr="004A3269">
        <w:t>s</w:t>
      </w:r>
      <w:r w:rsidR="003D1565" w:rsidRPr="004A3269">
        <w:t xml:space="preserve"> en mars </w:t>
      </w:r>
      <w:r w:rsidRPr="004A3269">
        <w:t>2014.</w:t>
      </w:r>
      <w:r w:rsidR="003D1565" w:rsidRPr="004A3269">
        <w:t xml:space="preserve"> </w:t>
      </w:r>
      <w:r w:rsidRPr="004A3269">
        <w:t xml:space="preserve"> </w:t>
      </w:r>
      <w:r w:rsidR="00E433F4" w:rsidRPr="004A3269">
        <w:t>En juillet 201</w:t>
      </w:r>
      <w:r w:rsidR="001A1F92" w:rsidRPr="004A3269">
        <w:t>4</w:t>
      </w:r>
      <w:r w:rsidR="00E433F4" w:rsidRPr="004A3269">
        <w:t>, l</w:t>
      </w:r>
      <w:r w:rsidRPr="004A3269">
        <w:t>es</w:t>
      </w:r>
      <w:r w:rsidR="003D1565" w:rsidRPr="004A3269">
        <w:t xml:space="preserve"> entrées </w:t>
      </w:r>
      <w:r w:rsidRPr="004A3269">
        <w:t xml:space="preserve">étaient </w:t>
      </w:r>
      <w:r w:rsidR="00E433F4" w:rsidRPr="004A3269">
        <w:t>en deçà de</w:t>
      </w:r>
      <w:r w:rsidRPr="004A3269">
        <w:t xml:space="preserve"> la moyenne </w:t>
      </w:r>
      <w:r w:rsidR="00E433F4" w:rsidRPr="004A3269">
        <w:t>étant donné que les paiements</w:t>
      </w:r>
      <w:r w:rsidRPr="004A3269">
        <w:t xml:space="preserve"> de </w:t>
      </w:r>
      <w:r w:rsidR="00E433F4" w:rsidRPr="004A3269">
        <w:t>deux </w:t>
      </w:r>
      <w:r w:rsidRPr="004A3269">
        <w:t>bureaux récepteurs</w:t>
      </w:r>
      <w:r w:rsidR="00E433F4" w:rsidRPr="004A3269">
        <w:t xml:space="preserve"> n</w:t>
      </w:r>
      <w:r w:rsidR="009021AA" w:rsidRPr="004A3269">
        <w:t>’</w:t>
      </w:r>
      <w:r w:rsidR="00E433F4" w:rsidRPr="004A3269">
        <w:t>ont pas été reçus durant le mois</w:t>
      </w:r>
      <w:r w:rsidR="00AE7FAD" w:rsidRPr="004A3269">
        <w:t>.</w:t>
      </w:r>
    </w:p>
    <w:p w:rsidR="00267140" w:rsidRPr="004A3269" w:rsidRDefault="00D454F7" w:rsidP="007C1D0B">
      <w:pPr>
        <w:pStyle w:val="ONUME"/>
        <w:numPr>
          <w:ilvl w:val="0"/>
          <w:numId w:val="0"/>
        </w:numPr>
        <w:jc w:val="center"/>
        <w:rPr>
          <w:szCs w:val="22"/>
          <w:u w:val="single"/>
        </w:rPr>
      </w:pPr>
      <w:r w:rsidRPr="004A3269">
        <w:rPr>
          <w:szCs w:val="22"/>
          <w:u w:val="single"/>
        </w:rPr>
        <w:t>Entrées de trésorerie mensuelles (</w:t>
      </w:r>
      <w:r w:rsidR="007C1D0B" w:rsidRPr="004A3269">
        <w:rPr>
          <w:szCs w:val="22"/>
          <w:u w:val="single"/>
        </w:rPr>
        <w:t>2014</w:t>
      </w:r>
      <w:r w:rsidRPr="004A3269">
        <w:rPr>
          <w:szCs w:val="22"/>
          <w:u w:val="single"/>
        </w:rPr>
        <w:t>)</w:t>
      </w:r>
    </w:p>
    <w:p w:rsidR="009E1A0C" w:rsidRPr="004A3269" w:rsidRDefault="009E1A0C" w:rsidP="00F26E55">
      <w:pPr>
        <w:pStyle w:val="ONUME"/>
        <w:numPr>
          <w:ilvl w:val="0"/>
          <w:numId w:val="0"/>
        </w:numPr>
        <w:jc w:val="center"/>
      </w:pPr>
      <w:r w:rsidRPr="004A3269">
        <w:rPr>
          <w:noProof/>
          <w:lang w:val="en-US"/>
        </w:rPr>
        <w:drawing>
          <wp:inline distT="0" distB="0" distL="0" distR="0" wp14:anchorId="2B3153EB" wp14:editId="1E6D2601">
            <wp:extent cx="5125720" cy="3136265"/>
            <wp:effectExtent l="0" t="0" r="0" b="698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25720" cy="3136265"/>
                    </a:xfrm>
                    <a:prstGeom prst="rect">
                      <a:avLst/>
                    </a:prstGeom>
                    <a:noFill/>
                    <a:ln>
                      <a:noFill/>
                    </a:ln>
                  </pic:spPr>
                </pic:pic>
              </a:graphicData>
            </a:graphic>
          </wp:inline>
        </w:drawing>
      </w:r>
    </w:p>
    <w:p w:rsidR="009E1A0C" w:rsidRPr="004A3269" w:rsidRDefault="00D454F7" w:rsidP="00644ECB">
      <w:pPr>
        <w:pStyle w:val="ONUME"/>
        <w:numPr>
          <w:ilvl w:val="0"/>
          <w:numId w:val="0"/>
        </w:numPr>
        <w:jc w:val="center"/>
        <w:rPr>
          <w:szCs w:val="22"/>
          <w:u w:val="single"/>
        </w:rPr>
      </w:pPr>
      <w:r w:rsidRPr="004A3269">
        <w:rPr>
          <w:szCs w:val="22"/>
          <w:u w:val="single"/>
        </w:rPr>
        <w:t>Entrées de trésorerie mensuelles (2013)</w:t>
      </w:r>
      <w:r w:rsidR="009E1A0C" w:rsidRPr="004A3269">
        <w:rPr>
          <w:lang w:eastAsia="fr-FR"/>
        </w:rPr>
        <w:t xml:space="preserve"> </w:t>
      </w:r>
      <w:r w:rsidR="009E1A0C" w:rsidRPr="004A3269">
        <w:rPr>
          <w:noProof/>
          <w:lang w:val="en-US"/>
        </w:rPr>
        <w:drawing>
          <wp:inline distT="0" distB="0" distL="0" distR="0" wp14:anchorId="6F6324BB" wp14:editId="4984FFFC">
            <wp:extent cx="5125720" cy="309118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125720" cy="3091180"/>
                    </a:xfrm>
                    <a:prstGeom prst="rect">
                      <a:avLst/>
                    </a:prstGeom>
                    <a:noFill/>
                    <a:ln>
                      <a:noFill/>
                    </a:ln>
                  </pic:spPr>
                </pic:pic>
              </a:graphicData>
            </a:graphic>
          </wp:inline>
        </w:drawing>
      </w:r>
    </w:p>
    <w:p w:rsidR="00267140" w:rsidRPr="004A3269" w:rsidRDefault="008263BA" w:rsidP="00644ECB">
      <w:pPr>
        <w:pStyle w:val="ONUME"/>
        <w:numPr>
          <w:ilvl w:val="0"/>
          <w:numId w:val="0"/>
        </w:numPr>
        <w:jc w:val="center"/>
        <w:rPr>
          <w:szCs w:val="22"/>
        </w:rPr>
      </w:pPr>
      <w:r w:rsidRPr="004A3269">
        <w:rPr>
          <w:bCs/>
          <w:caps/>
          <w:kern w:val="32"/>
          <w:szCs w:val="32"/>
        </w:rPr>
        <w:br w:type="page"/>
      </w:r>
      <w:r w:rsidR="00644ECB" w:rsidRPr="004A3269">
        <w:rPr>
          <w:b/>
          <w:bCs/>
          <w:caps/>
          <w:kern w:val="32"/>
          <w:szCs w:val="32"/>
        </w:rPr>
        <w:lastRenderedPageBreak/>
        <w:t>État financier</w:t>
      </w:r>
      <w:r w:rsidR="00C06325" w:rsidRPr="004A3269">
        <w:rPr>
          <w:b/>
          <w:bCs/>
          <w:caps/>
          <w:kern w:val="32"/>
          <w:szCs w:val="32"/>
        </w:rPr>
        <w:t> </w:t>
      </w:r>
      <w:r w:rsidR="00644ECB" w:rsidRPr="004A3269">
        <w:rPr>
          <w:b/>
          <w:bCs/>
          <w:caps/>
          <w:kern w:val="32"/>
          <w:szCs w:val="32"/>
        </w:rPr>
        <w:t>I</w:t>
      </w:r>
      <w:r w:rsidR="00AC55DB" w:rsidRPr="004A3269">
        <w:rPr>
          <w:b/>
          <w:bCs/>
          <w:caps/>
          <w:kern w:val="32"/>
          <w:szCs w:val="32"/>
        </w:rPr>
        <w:br/>
      </w:r>
      <w:r w:rsidR="00AC55DB" w:rsidRPr="004A3269">
        <w:rPr>
          <w:b/>
          <w:bCs/>
          <w:caps/>
          <w:kern w:val="32"/>
          <w:szCs w:val="32"/>
        </w:rPr>
        <w:br/>
      </w:r>
      <w:r w:rsidR="00644ECB" w:rsidRPr="004A3269">
        <w:rPr>
          <w:b/>
          <w:bCs/>
          <w:caps/>
          <w:kern w:val="32"/>
          <w:szCs w:val="32"/>
        </w:rPr>
        <w:t>État de la situation financière</w:t>
      </w:r>
    </w:p>
    <w:p w:rsidR="00267140" w:rsidRPr="004A3269" w:rsidRDefault="00644ECB" w:rsidP="00644ECB">
      <w:pPr>
        <w:jc w:val="center"/>
        <w:rPr>
          <w:rFonts w:eastAsia="SimSun"/>
          <w:b/>
          <w:szCs w:val="22"/>
        </w:rPr>
      </w:pPr>
      <w:proofErr w:type="gramStart"/>
      <w:r w:rsidRPr="004A3269">
        <w:rPr>
          <w:rFonts w:eastAsia="SimSun"/>
          <w:b/>
          <w:szCs w:val="22"/>
        </w:rPr>
        <w:t>au</w:t>
      </w:r>
      <w:proofErr w:type="gramEnd"/>
      <w:r w:rsidRPr="004A3269">
        <w:rPr>
          <w:rFonts w:eastAsia="SimSun"/>
          <w:b/>
          <w:szCs w:val="22"/>
        </w:rPr>
        <w:t xml:space="preserve"> 31</w:t>
      </w:r>
      <w:r w:rsidR="00C06325" w:rsidRPr="004A3269">
        <w:rPr>
          <w:rFonts w:eastAsia="SimSun"/>
          <w:szCs w:val="22"/>
        </w:rPr>
        <w:t> </w:t>
      </w:r>
      <w:r w:rsidR="00C06325" w:rsidRPr="004A3269">
        <w:rPr>
          <w:rFonts w:eastAsia="SimSun"/>
          <w:b/>
          <w:szCs w:val="22"/>
        </w:rPr>
        <w:t>décembre </w:t>
      </w:r>
      <w:r w:rsidRPr="004A3269">
        <w:rPr>
          <w:rFonts w:eastAsia="SimSun"/>
          <w:b/>
          <w:szCs w:val="22"/>
        </w:rPr>
        <w:t>2014</w:t>
      </w:r>
    </w:p>
    <w:p w:rsidR="00267140" w:rsidRPr="004A3269" w:rsidRDefault="00644ECB" w:rsidP="00644ECB">
      <w:pPr>
        <w:jc w:val="center"/>
        <w:rPr>
          <w:rFonts w:eastAsia="SimSun"/>
          <w:i/>
          <w:szCs w:val="22"/>
        </w:rPr>
      </w:pPr>
      <w:r w:rsidRPr="004A3269">
        <w:rPr>
          <w:rFonts w:eastAsia="SimSun"/>
          <w:i/>
          <w:szCs w:val="22"/>
        </w:rPr>
        <w:t>(</w:t>
      </w:r>
      <w:proofErr w:type="gramStart"/>
      <w:r w:rsidRPr="004A3269">
        <w:rPr>
          <w:rFonts w:eastAsia="SimSun"/>
          <w:i/>
          <w:szCs w:val="22"/>
        </w:rPr>
        <w:t>en</w:t>
      </w:r>
      <w:proofErr w:type="gramEnd"/>
      <w:r w:rsidRPr="004A3269">
        <w:rPr>
          <w:rFonts w:eastAsia="SimSun"/>
          <w:i/>
          <w:szCs w:val="22"/>
        </w:rPr>
        <w:t xml:space="preserve"> milliers de francs suisses)</w:t>
      </w:r>
    </w:p>
    <w:p w:rsidR="00267140" w:rsidRPr="004A3269" w:rsidRDefault="00267140" w:rsidP="003928E9">
      <w:pPr>
        <w:rPr>
          <w:rFonts w:eastAsia="SimSun"/>
          <w:szCs w:val="22"/>
        </w:rPr>
      </w:pPr>
    </w:p>
    <w:p w:rsidR="00267140" w:rsidRPr="004A3269" w:rsidRDefault="00267140" w:rsidP="003928E9">
      <w:pPr>
        <w:rPr>
          <w:rFonts w:eastAsia="SimSun"/>
          <w:szCs w:val="22"/>
        </w:rPr>
      </w:pPr>
    </w:p>
    <w:p w:rsidR="00267140" w:rsidRPr="004A3269" w:rsidRDefault="00267140" w:rsidP="003928E9">
      <w:pPr>
        <w:rPr>
          <w:sz w:val="20"/>
        </w:rPr>
      </w:pPr>
    </w:p>
    <w:p w:rsidR="00267140" w:rsidRPr="004A3269" w:rsidRDefault="009E1A0C" w:rsidP="003928E9">
      <w:r w:rsidRPr="004A3269">
        <w:rPr>
          <w:rFonts w:eastAsia="SimSun"/>
          <w:noProof/>
          <w:lang w:val="en-US"/>
        </w:rPr>
        <w:drawing>
          <wp:inline distT="0" distB="0" distL="0" distR="0" wp14:anchorId="441B4EF7" wp14:editId="66B14194">
            <wp:extent cx="5977255" cy="6259748"/>
            <wp:effectExtent l="0" t="0" r="4445" b="825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77255" cy="6259748"/>
                    </a:xfrm>
                    <a:prstGeom prst="rect">
                      <a:avLst/>
                    </a:prstGeom>
                    <a:noFill/>
                    <a:ln>
                      <a:noFill/>
                    </a:ln>
                  </pic:spPr>
                </pic:pic>
              </a:graphicData>
            </a:graphic>
          </wp:inline>
        </w:drawing>
      </w:r>
    </w:p>
    <w:p w:rsidR="009E1A0C" w:rsidRPr="004A3269" w:rsidRDefault="009E1A0C" w:rsidP="003928E9"/>
    <w:p w:rsidR="00267140" w:rsidRPr="004A3269" w:rsidRDefault="00267140" w:rsidP="00BB62A3"/>
    <w:p w:rsidR="00A974EC" w:rsidRPr="004A3269" w:rsidRDefault="00A974EC" w:rsidP="00A974EC">
      <w:pPr>
        <w:sectPr w:rsidR="00A974EC" w:rsidRPr="004A3269" w:rsidSect="00690EB2">
          <w:headerReference w:type="even" r:id="rId51"/>
          <w:pgSz w:w="11907" w:h="16840" w:code="9"/>
          <w:pgMar w:top="851" w:right="1247" w:bottom="1191" w:left="1247" w:header="709" w:footer="709" w:gutter="0"/>
          <w:cols w:space="708"/>
          <w:docGrid w:linePitch="360"/>
        </w:sectPr>
      </w:pPr>
    </w:p>
    <w:p w:rsidR="00267140" w:rsidRPr="004A3269" w:rsidRDefault="00644ECB" w:rsidP="00644ECB">
      <w:pPr>
        <w:pStyle w:val="Heading1"/>
        <w:spacing w:after="220"/>
        <w:jc w:val="center"/>
        <w:rPr>
          <w:bCs w:val="0"/>
          <w:caps w:val="0"/>
        </w:rPr>
      </w:pPr>
      <w:r w:rsidRPr="004A3269">
        <w:lastRenderedPageBreak/>
        <w:t>État financier</w:t>
      </w:r>
      <w:r w:rsidR="00C06325" w:rsidRPr="004A3269">
        <w:t> </w:t>
      </w:r>
      <w:r w:rsidRPr="004A3269">
        <w:t>II</w:t>
      </w:r>
      <w:r w:rsidR="00C06325" w:rsidRPr="004A3269">
        <w:br/>
      </w:r>
      <w:r w:rsidR="00C06325" w:rsidRPr="004A3269">
        <w:br/>
      </w:r>
      <w:r w:rsidRPr="004A3269">
        <w:t>État de la performance financière</w:t>
      </w:r>
    </w:p>
    <w:p w:rsidR="00267140" w:rsidRPr="004A3269" w:rsidRDefault="00644ECB" w:rsidP="00644ECB">
      <w:pPr>
        <w:jc w:val="center"/>
        <w:rPr>
          <w:rFonts w:eastAsia="SimSun"/>
          <w:b/>
          <w:szCs w:val="22"/>
        </w:rPr>
      </w:pPr>
      <w:proofErr w:type="gramStart"/>
      <w:r w:rsidRPr="004A3269">
        <w:rPr>
          <w:rFonts w:eastAsia="SimSun"/>
          <w:b/>
          <w:szCs w:val="22"/>
        </w:rPr>
        <w:t>pour</w:t>
      </w:r>
      <w:proofErr w:type="gramEnd"/>
      <w:r w:rsidRPr="004A3269">
        <w:rPr>
          <w:rFonts w:eastAsia="SimSun"/>
          <w:b/>
          <w:szCs w:val="22"/>
        </w:rPr>
        <w:t xml:space="preserve"> l</w:t>
      </w:r>
      <w:r w:rsidR="009021AA" w:rsidRPr="004A3269">
        <w:rPr>
          <w:rFonts w:eastAsia="SimSun"/>
          <w:b/>
          <w:szCs w:val="22"/>
        </w:rPr>
        <w:t>’</w:t>
      </w:r>
      <w:r w:rsidRPr="004A3269">
        <w:rPr>
          <w:rFonts w:eastAsia="SimSun"/>
          <w:b/>
          <w:szCs w:val="22"/>
        </w:rPr>
        <w:t>année s</w:t>
      </w:r>
      <w:r w:rsidR="009021AA" w:rsidRPr="004A3269">
        <w:rPr>
          <w:rFonts w:eastAsia="SimSun"/>
          <w:b/>
          <w:szCs w:val="22"/>
        </w:rPr>
        <w:t>’</w:t>
      </w:r>
      <w:r w:rsidRPr="004A3269">
        <w:rPr>
          <w:rFonts w:eastAsia="SimSun"/>
          <w:b/>
          <w:szCs w:val="22"/>
        </w:rPr>
        <w:t>achevant le 31</w:t>
      </w:r>
      <w:r w:rsidR="00C06325" w:rsidRPr="004A3269">
        <w:rPr>
          <w:rFonts w:eastAsia="SimSun"/>
          <w:szCs w:val="22"/>
        </w:rPr>
        <w:t> </w:t>
      </w:r>
      <w:r w:rsidR="00C06325" w:rsidRPr="004A3269">
        <w:rPr>
          <w:rFonts w:eastAsia="SimSun"/>
          <w:b/>
          <w:szCs w:val="22"/>
        </w:rPr>
        <w:t>décembre </w:t>
      </w:r>
      <w:r w:rsidRPr="004A3269">
        <w:rPr>
          <w:rFonts w:eastAsia="SimSun"/>
          <w:b/>
          <w:szCs w:val="22"/>
        </w:rPr>
        <w:t>2014</w:t>
      </w:r>
    </w:p>
    <w:p w:rsidR="00267140" w:rsidRPr="004A3269" w:rsidRDefault="00644ECB" w:rsidP="00644ECB">
      <w:pPr>
        <w:jc w:val="center"/>
        <w:rPr>
          <w:i/>
        </w:rPr>
      </w:pPr>
      <w:r w:rsidRPr="004A3269">
        <w:rPr>
          <w:i/>
        </w:rPr>
        <w:t>(</w:t>
      </w:r>
      <w:proofErr w:type="gramStart"/>
      <w:r w:rsidRPr="004A3269">
        <w:rPr>
          <w:i/>
        </w:rPr>
        <w:t>en</w:t>
      </w:r>
      <w:proofErr w:type="gramEnd"/>
      <w:r w:rsidRPr="004A3269">
        <w:rPr>
          <w:i/>
        </w:rPr>
        <w:t xml:space="preserve"> milliers de francs suisses)</w:t>
      </w:r>
    </w:p>
    <w:p w:rsidR="00267140" w:rsidRPr="004A3269" w:rsidRDefault="00267140" w:rsidP="007C6D77">
      <w:pPr>
        <w:jc w:val="both"/>
        <w:rPr>
          <w:szCs w:val="22"/>
        </w:rPr>
      </w:pPr>
    </w:p>
    <w:p w:rsidR="00267140" w:rsidRPr="004A3269" w:rsidRDefault="00267140" w:rsidP="007C6D77">
      <w:pPr>
        <w:jc w:val="both"/>
        <w:rPr>
          <w:szCs w:val="22"/>
        </w:rPr>
      </w:pPr>
    </w:p>
    <w:p w:rsidR="00267140" w:rsidRPr="004A3269" w:rsidRDefault="00267140" w:rsidP="007C6D77">
      <w:pPr>
        <w:jc w:val="both"/>
        <w:rPr>
          <w:sz w:val="20"/>
        </w:rPr>
      </w:pPr>
    </w:p>
    <w:p w:rsidR="009E1A0C" w:rsidRPr="004A3269" w:rsidRDefault="009E1A0C" w:rsidP="009E1A0C">
      <w:r w:rsidRPr="004A3269">
        <w:rPr>
          <w:rFonts w:eastAsia="SimSun"/>
          <w:noProof/>
          <w:lang w:val="en-US"/>
        </w:rPr>
        <w:drawing>
          <wp:inline distT="0" distB="0" distL="0" distR="0" wp14:anchorId="5F951322" wp14:editId="750BF79C">
            <wp:extent cx="5840730" cy="5744210"/>
            <wp:effectExtent l="0" t="0" r="7620" b="889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0730" cy="5744210"/>
                    </a:xfrm>
                    <a:prstGeom prst="rect">
                      <a:avLst/>
                    </a:prstGeom>
                    <a:noFill/>
                    <a:ln>
                      <a:noFill/>
                    </a:ln>
                  </pic:spPr>
                </pic:pic>
              </a:graphicData>
            </a:graphic>
          </wp:inline>
        </w:drawing>
      </w:r>
    </w:p>
    <w:p w:rsidR="00267140" w:rsidRPr="004A3269" w:rsidRDefault="00703869" w:rsidP="00644ECB">
      <w:pPr>
        <w:pStyle w:val="STYLE2LASTONE"/>
        <w:jc w:val="center"/>
        <w:rPr>
          <w:caps w:val="0"/>
          <w:color w:val="auto"/>
          <w:sz w:val="32"/>
          <w:szCs w:val="32"/>
        </w:rPr>
      </w:pPr>
      <w:r w:rsidRPr="004A3269">
        <w:rPr>
          <w:color w:val="auto"/>
        </w:rPr>
        <w:br w:type="page"/>
      </w:r>
      <w:r w:rsidR="00C06325" w:rsidRPr="004A3269">
        <w:rPr>
          <w:color w:val="auto"/>
          <w:sz w:val="22"/>
        </w:rPr>
        <w:lastRenderedPageBreak/>
        <w:t>État financier </w:t>
      </w:r>
      <w:r w:rsidR="00644ECB" w:rsidRPr="004A3269">
        <w:rPr>
          <w:color w:val="auto"/>
          <w:sz w:val="22"/>
        </w:rPr>
        <w:t>III</w:t>
      </w:r>
      <w:r w:rsidR="00644ECB" w:rsidRPr="004A3269">
        <w:rPr>
          <w:color w:val="auto"/>
          <w:sz w:val="22"/>
        </w:rPr>
        <w:br/>
      </w:r>
      <w:r w:rsidR="00644ECB" w:rsidRPr="004A3269">
        <w:rPr>
          <w:color w:val="auto"/>
          <w:sz w:val="22"/>
        </w:rPr>
        <w:br/>
        <w:t>État des variations des actifs nets</w:t>
      </w:r>
    </w:p>
    <w:p w:rsidR="00267140" w:rsidRPr="004A3269" w:rsidRDefault="00267140" w:rsidP="00C06325"/>
    <w:p w:rsidR="00267140" w:rsidRPr="004A3269" w:rsidRDefault="00644ECB" w:rsidP="00644ECB">
      <w:pPr>
        <w:jc w:val="center"/>
        <w:rPr>
          <w:rFonts w:eastAsia="SimSun"/>
          <w:b/>
          <w:szCs w:val="22"/>
        </w:rPr>
      </w:pPr>
      <w:proofErr w:type="gramStart"/>
      <w:r w:rsidRPr="004A3269">
        <w:rPr>
          <w:rFonts w:eastAsia="SimSun"/>
          <w:b/>
          <w:szCs w:val="22"/>
        </w:rPr>
        <w:t>pour</w:t>
      </w:r>
      <w:proofErr w:type="gramEnd"/>
      <w:r w:rsidRPr="004A3269">
        <w:rPr>
          <w:rFonts w:eastAsia="SimSun"/>
          <w:b/>
          <w:szCs w:val="22"/>
        </w:rPr>
        <w:t xml:space="preserve"> l</w:t>
      </w:r>
      <w:r w:rsidR="009021AA" w:rsidRPr="004A3269">
        <w:rPr>
          <w:rFonts w:eastAsia="SimSun"/>
          <w:b/>
          <w:szCs w:val="22"/>
        </w:rPr>
        <w:t>’</w:t>
      </w:r>
      <w:r w:rsidRPr="004A3269">
        <w:rPr>
          <w:rFonts w:eastAsia="SimSun"/>
          <w:b/>
          <w:szCs w:val="22"/>
        </w:rPr>
        <w:t>année s</w:t>
      </w:r>
      <w:r w:rsidR="009021AA" w:rsidRPr="004A3269">
        <w:rPr>
          <w:rFonts w:eastAsia="SimSun"/>
          <w:b/>
          <w:szCs w:val="22"/>
        </w:rPr>
        <w:t>’</w:t>
      </w:r>
      <w:r w:rsidRPr="004A3269">
        <w:rPr>
          <w:rFonts w:eastAsia="SimSun"/>
          <w:b/>
          <w:szCs w:val="22"/>
        </w:rPr>
        <w:t>achevant le 31</w:t>
      </w:r>
      <w:r w:rsidR="00C06325" w:rsidRPr="004A3269">
        <w:rPr>
          <w:rFonts w:eastAsia="SimSun"/>
          <w:szCs w:val="22"/>
        </w:rPr>
        <w:t> </w:t>
      </w:r>
      <w:r w:rsidR="00C06325" w:rsidRPr="004A3269">
        <w:rPr>
          <w:rFonts w:eastAsia="SimSun"/>
          <w:b/>
          <w:szCs w:val="22"/>
        </w:rPr>
        <w:t>décembre </w:t>
      </w:r>
      <w:r w:rsidRPr="004A3269">
        <w:rPr>
          <w:rFonts w:eastAsia="SimSun"/>
          <w:b/>
          <w:szCs w:val="22"/>
        </w:rPr>
        <w:t>2014</w:t>
      </w:r>
    </w:p>
    <w:p w:rsidR="00267140" w:rsidRPr="004A3269" w:rsidRDefault="00644ECB" w:rsidP="00644ECB">
      <w:pPr>
        <w:jc w:val="center"/>
        <w:rPr>
          <w:rFonts w:eastAsia="SimSun"/>
          <w:i/>
          <w:szCs w:val="22"/>
        </w:rPr>
      </w:pPr>
      <w:r w:rsidRPr="004A3269">
        <w:rPr>
          <w:rFonts w:eastAsia="SimSun"/>
          <w:i/>
          <w:szCs w:val="22"/>
        </w:rPr>
        <w:t>(</w:t>
      </w:r>
      <w:proofErr w:type="gramStart"/>
      <w:r w:rsidRPr="004A3269">
        <w:rPr>
          <w:rFonts w:eastAsia="SimSun"/>
          <w:i/>
          <w:szCs w:val="22"/>
        </w:rPr>
        <w:t>en</w:t>
      </w:r>
      <w:proofErr w:type="gramEnd"/>
      <w:r w:rsidRPr="004A3269">
        <w:rPr>
          <w:rFonts w:eastAsia="SimSun"/>
          <w:i/>
          <w:szCs w:val="22"/>
        </w:rPr>
        <w:t xml:space="preserve"> milliers de francs suisses)</w:t>
      </w:r>
    </w:p>
    <w:p w:rsidR="00267140" w:rsidRPr="004A3269" w:rsidRDefault="00267140" w:rsidP="00C373AB">
      <w:pPr>
        <w:pStyle w:val="STYLE2LASTONE"/>
        <w:jc w:val="both"/>
        <w:rPr>
          <w:color w:val="auto"/>
          <w:kern w:val="0"/>
          <w:sz w:val="22"/>
          <w:szCs w:val="22"/>
        </w:rPr>
      </w:pPr>
    </w:p>
    <w:p w:rsidR="00267140" w:rsidRPr="004A3269" w:rsidRDefault="00267140" w:rsidP="00F447E9">
      <w:pPr>
        <w:pStyle w:val="STYLE2LASTONE"/>
        <w:rPr>
          <w:color w:val="auto"/>
          <w:sz w:val="22"/>
          <w:szCs w:val="22"/>
        </w:rPr>
      </w:pPr>
    </w:p>
    <w:p w:rsidR="009E1A0C" w:rsidRPr="004A3269" w:rsidRDefault="009E1A0C" w:rsidP="009E1A0C">
      <w:r w:rsidRPr="004A3269">
        <w:rPr>
          <w:rFonts w:eastAsia="SimSun"/>
          <w:noProof/>
          <w:lang w:val="en-US"/>
        </w:rPr>
        <w:drawing>
          <wp:inline distT="0" distB="0" distL="0" distR="0" wp14:anchorId="05BE5035" wp14:editId="7117B4E0">
            <wp:extent cx="5977255" cy="2848467"/>
            <wp:effectExtent l="0" t="0" r="444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77255" cy="2848467"/>
                    </a:xfrm>
                    <a:prstGeom prst="rect">
                      <a:avLst/>
                    </a:prstGeom>
                    <a:noFill/>
                    <a:ln>
                      <a:noFill/>
                    </a:ln>
                  </pic:spPr>
                </pic:pic>
              </a:graphicData>
            </a:graphic>
          </wp:inline>
        </w:drawing>
      </w:r>
    </w:p>
    <w:p w:rsidR="00267140" w:rsidRPr="004A3269" w:rsidRDefault="00826893" w:rsidP="00644ECB">
      <w:pPr>
        <w:pStyle w:val="Heading1"/>
        <w:spacing w:after="220"/>
        <w:jc w:val="center"/>
        <w:rPr>
          <w:bCs w:val="0"/>
          <w:caps w:val="0"/>
          <w:szCs w:val="22"/>
        </w:rPr>
      </w:pPr>
      <w:r w:rsidRPr="004A3269">
        <w:rPr>
          <w:sz w:val="20"/>
        </w:rPr>
        <w:br w:type="page"/>
      </w:r>
      <w:r w:rsidR="00C06325" w:rsidRPr="004A3269">
        <w:rPr>
          <w:szCs w:val="22"/>
        </w:rPr>
        <w:lastRenderedPageBreak/>
        <w:t>État financier </w:t>
      </w:r>
      <w:r w:rsidR="00644ECB" w:rsidRPr="004A3269">
        <w:rPr>
          <w:szCs w:val="22"/>
        </w:rPr>
        <w:t>IV</w:t>
      </w:r>
      <w:r w:rsidR="00644ECB" w:rsidRPr="004A3269">
        <w:rPr>
          <w:szCs w:val="22"/>
        </w:rPr>
        <w:br/>
      </w:r>
      <w:r w:rsidR="00644ECB" w:rsidRPr="004A3269">
        <w:rPr>
          <w:szCs w:val="22"/>
        </w:rPr>
        <w:br/>
        <w:t>État des flux de trésorerie</w:t>
      </w:r>
    </w:p>
    <w:p w:rsidR="00267140" w:rsidRPr="004A3269" w:rsidRDefault="00644ECB" w:rsidP="00644ECB">
      <w:pPr>
        <w:jc w:val="center"/>
        <w:rPr>
          <w:rFonts w:eastAsia="SimSun"/>
          <w:b/>
          <w:szCs w:val="22"/>
        </w:rPr>
      </w:pPr>
      <w:proofErr w:type="gramStart"/>
      <w:r w:rsidRPr="004A3269">
        <w:rPr>
          <w:rFonts w:eastAsia="SimSun"/>
          <w:b/>
          <w:szCs w:val="22"/>
        </w:rPr>
        <w:t>pour</w:t>
      </w:r>
      <w:proofErr w:type="gramEnd"/>
      <w:r w:rsidRPr="004A3269">
        <w:rPr>
          <w:rFonts w:eastAsia="SimSun"/>
          <w:b/>
          <w:szCs w:val="22"/>
        </w:rPr>
        <w:t xml:space="preserve"> l</w:t>
      </w:r>
      <w:r w:rsidR="009021AA" w:rsidRPr="004A3269">
        <w:rPr>
          <w:rFonts w:eastAsia="SimSun"/>
          <w:b/>
          <w:szCs w:val="22"/>
        </w:rPr>
        <w:t>’</w:t>
      </w:r>
      <w:r w:rsidRPr="004A3269">
        <w:rPr>
          <w:rFonts w:eastAsia="SimSun"/>
          <w:b/>
          <w:szCs w:val="22"/>
        </w:rPr>
        <w:t>année s</w:t>
      </w:r>
      <w:r w:rsidR="009021AA" w:rsidRPr="004A3269">
        <w:rPr>
          <w:rFonts w:eastAsia="SimSun"/>
          <w:b/>
          <w:szCs w:val="22"/>
        </w:rPr>
        <w:t>’</w:t>
      </w:r>
      <w:r w:rsidRPr="004A3269">
        <w:rPr>
          <w:rFonts w:eastAsia="SimSun"/>
          <w:b/>
          <w:szCs w:val="22"/>
        </w:rPr>
        <w:t>achevant le 31</w:t>
      </w:r>
      <w:r w:rsidR="00C06325" w:rsidRPr="004A3269">
        <w:rPr>
          <w:rFonts w:eastAsia="SimSun"/>
          <w:szCs w:val="22"/>
        </w:rPr>
        <w:t> </w:t>
      </w:r>
      <w:r w:rsidR="00C06325" w:rsidRPr="004A3269">
        <w:rPr>
          <w:rFonts w:eastAsia="SimSun"/>
          <w:b/>
          <w:szCs w:val="22"/>
        </w:rPr>
        <w:t>décembre </w:t>
      </w:r>
      <w:r w:rsidRPr="004A3269">
        <w:rPr>
          <w:rFonts w:eastAsia="SimSun"/>
          <w:b/>
          <w:szCs w:val="22"/>
        </w:rPr>
        <w:t>2014</w:t>
      </w:r>
    </w:p>
    <w:p w:rsidR="00267140" w:rsidRPr="004A3269" w:rsidRDefault="00644ECB" w:rsidP="00644ECB">
      <w:pPr>
        <w:jc w:val="center"/>
        <w:rPr>
          <w:rFonts w:eastAsia="SimSun"/>
          <w:i/>
          <w:szCs w:val="22"/>
        </w:rPr>
      </w:pPr>
      <w:r w:rsidRPr="004A3269">
        <w:rPr>
          <w:rFonts w:eastAsia="SimSun"/>
          <w:i/>
          <w:szCs w:val="22"/>
        </w:rPr>
        <w:t>(</w:t>
      </w:r>
      <w:proofErr w:type="gramStart"/>
      <w:r w:rsidRPr="004A3269">
        <w:rPr>
          <w:rFonts w:eastAsia="SimSun"/>
          <w:i/>
          <w:szCs w:val="22"/>
        </w:rPr>
        <w:t>en</w:t>
      </w:r>
      <w:proofErr w:type="gramEnd"/>
      <w:r w:rsidRPr="004A3269">
        <w:rPr>
          <w:rFonts w:eastAsia="SimSun"/>
          <w:i/>
          <w:szCs w:val="22"/>
        </w:rPr>
        <w:t xml:space="preserve"> milliers de francs suisses)</w:t>
      </w:r>
    </w:p>
    <w:p w:rsidR="00267140" w:rsidRPr="004A3269" w:rsidRDefault="00267140" w:rsidP="00E56A37">
      <w:pPr>
        <w:rPr>
          <w:sz w:val="20"/>
        </w:rPr>
      </w:pPr>
    </w:p>
    <w:p w:rsidR="00267140" w:rsidRPr="004A3269" w:rsidRDefault="00267140" w:rsidP="00E56A37">
      <w:pPr>
        <w:rPr>
          <w:sz w:val="20"/>
        </w:rPr>
      </w:pPr>
    </w:p>
    <w:p w:rsidR="009E1A0C" w:rsidRPr="004A3269" w:rsidRDefault="009E1A0C" w:rsidP="00B2754B">
      <w:pPr>
        <w:jc w:val="center"/>
      </w:pPr>
      <w:r w:rsidRPr="004A3269">
        <w:rPr>
          <w:noProof/>
          <w:lang w:val="en-US"/>
        </w:rPr>
        <w:drawing>
          <wp:inline distT="0" distB="0" distL="0" distR="0" wp14:anchorId="2B7FDA07" wp14:editId="62DC03B3">
            <wp:extent cx="5977255" cy="6120766"/>
            <wp:effectExtent l="0" t="0" r="444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7255" cy="6120766"/>
                    </a:xfrm>
                    <a:prstGeom prst="rect">
                      <a:avLst/>
                    </a:prstGeom>
                    <a:noFill/>
                    <a:ln>
                      <a:noFill/>
                    </a:ln>
                  </pic:spPr>
                </pic:pic>
              </a:graphicData>
            </a:graphic>
          </wp:inline>
        </w:drawing>
      </w:r>
    </w:p>
    <w:p w:rsidR="00267140" w:rsidRPr="004A3269" w:rsidRDefault="00A4756A" w:rsidP="009E1A0C">
      <w:pPr>
        <w:tabs>
          <w:tab w:val="left" w:pos="426"/>
        </w:tabs>
        <w:jc w:val="both"/>
        <w:rPr>
          <w:sz w:val="16"/>
          <w:szCs w:val="16"/>
        </w:rPr>
      </w:pPr>
      <w:r w:rsidRPr="004A3269">
        <w:rPr>
          <w:b/>
          <w:sz w:val="16"/>
          <w:szCs w:val="16"/>
        </w:rPr>
        <w:t>1)</w:t>
      </w:r>
      <w:r w:rsidR="009E1A0C" w:rsidRPr="004A3269">
        <w:rPr>
          <w:sz w:val="16"/>
          <w:szCs w:val="16"/>
        </w:rPr>
        <w:tab/>
      </w:r>
      <w:r w:rsidR="008750AD" w:rsidRPr="004A3269">
        <w:rPr>
          <w:sz w:val="16"/>
          <w:szCs w:val="16"/>
        </w:rPr>
        <w:t>À l</w:t>
      </w:r>
      <w:r w:rsidR="009021AA" w:rsidRPr="004A3269">
        <w:rPr>
          <w:sz w:val="16"/>
          <w:szCs w:val="16"/>
        </w:rPr>
        <w:t>’</w:t>
      </w:r>
      <w:r w:rsidR="008750AD" w:rsidRPr="004A3269">
        <w:rPr>
          <w:sz w:val="16"/>
          <w:szCs w:val="16"/>
        </w:rPr>
        <w:t>exclusion des intérêts perçus et des intérêts payés sur les emprunts</w:t>
      </w:r>
      <w:r w:rsidR="006024E7" w:rsidRPr="004A3269">
        <w:rPr>
          <w:sz w:val="16"/>
          <w:szCs w:val="16"/>
        </w:rPr>
        <w:t xml:space="preserve"> ainsi que de l</w:t>
      </w:r>
      <w:r w:rsidR="009021AA" w:rsidRPr="004A3269">
        <w:rPr>
          <w:sz w:val="16"/>
          <w:szCs w:val="16"/>
        </w:rPr>
        <w:t>’</w:t>
      </w:r>
      <w:r w:rsidR="006024E7" w:rsidRPr="004A3269">
        <w:rPr>
          <w:sz w:val="16"/>
          <w:szCs w:val="16"/>
        </w:rPr>
        <w:t>effet des variations de taux de change sur la trésorerie et les équivalents de trésorerie</w:t>
      </w:r>
      <w:r w:rsidR="008750AD" w:rsidRPr="004A3269">
        <w:rPr>
          <w:sz w:val="16"/>
          <w:szCs w:val="16"/>
        </w:rPr>
        <w:t>.  Les intérêts perçus sont compris dans les recettes d</w:t>
      </w:r>
      <w:r w:rsidR="009021AA" w:rsidRPr="004A3269">
        <w:rPr>
          <w:sz w:val="16"/>
          <w:szCs w:val="16"/>
        </w:rPr>
        <w:t>’</w:t>
      </w:r>
      <w:r w:rsidR="008750AD" w:rsidRPr="004A3269">
        <w:rPr>
          <w:sz w:val="16"/>
          <w:szCs w:val="16"/>
        </w:rPr>
        <w:t>investissement (voir la note n° 23).  Pour le détail des intérêts payés sur les emprunts, voir la note n° </w:t>
      </w:r>
      <w:r w:rsidR="006024E7" w:rsidRPr="004A3269">
        <w:rPr>
          <w:sz w:val="16"/>
          <w:szCs w:val="16"/>
        </w:rPr>
        <w:t>1</w:t>
      </w:r>
      <w:r w:rsidR="008750AD" w:rsidRPr="004A3269">
        <w:rPr>
          <w:sz w:val="16"/>
          <w:szCs w:val="16"/>
        </w:rPr>
        <w:t>5</w:t>
      </w:r>
      <w:r w:rsidR="006F785A" w:rsidRPr="004A3269">
        <w:rPr>
          <w:sz w:val="16"/>
          <w:szCs w:val="16"/>
        </w:rPr>
        <w:t>.</w:t>
      </w:r>
      <w:r w:rsidR="006024E7" w:rsidRPr="004A3269">
        <w:rPr>
          <w:sz w:val="16"/>
          <w:szCs w:val="16"/>
        </w:rPr>
        <w:t xml:space="preserve">  Pour le détail de l</w:t>
      </w:r>
      <w:r w:rsidR="009021AA" w:rsidRPr="004A3269">
        <w:rPr>
          <w:sz w:val="16"/>
          <w:szCs w:val="16"/>
        </w:rPr>
        <w:t>’</w:t>
      </w:r>
      <w:r w:rsidR="006024E7" w:rsidRPr="004A3269">
        <w:rPr>
          <w:sz w:val="16"/>
          <w:szCs w:val="16"/>
        </w:rPr>
        <w:t>effet des variations de taux de change sur la trésorerie et les équivalents de trésorerie, voir la note n° 26.</w:t>
      </w:r>
    </w:p>
    <w:p w:rsidR="00267140" w:rsidRPr="004A3269" w:rsidRDefault="00D87F79" w:rsidP="00644ECB">
      <w:pPr>
        <w:pStyle w:val="STYLE2LASTONE"/>
        <w:jc w:val="center"/>
        <w:rPr>
          <w:bCs/>
          <w:caps w:val="0"/>
          <w:color w:val="auto"/>
          <w:sz w:val="22"/>
          <w:szCs w:val="22"/>
        </w:rPr>
      </w:pPr>
      <w:r w:rsidRPr="004A3269">
        <w:rPr>
          <w:color w:val="auto"/>
        </w:rPr>
        <w:br w:type="page"/>
      </w:r>
      <w:r w:rsidR="00C06325" w:rsidRPr="004A3269">
        <w:rPr>
          <w:color w:val="auto"/>
          <w:sz w:val="22"/>
          <w:szCs w:val="22"/>
        </w:rPr>
        <w:lastRenderedPageBreak/>
        <w:t>ÉTAT FINANCIER </w:t>
      </w:r>
      <w:r w:rsidR="00644ECB" w:rsidRPr="004A3269">
        <w:rPr>
          <w:color w:val="auto"/>
          <w:sz w:val="22"/>
          <w:szCs w:val="22"/>
        </w:rPr>
        <w:t>V</w:t>
      </w:r>
      <w:r w:rsidR="00C06325" w:rsidRPr="004A3269">
        <w:rPr>
          <w:color w:val="auto"/>
          <w:sz w:val="22"/>
          <w:szCs w:val="22"/>
        </w:rPr>
        <w:br/>
      </w:r>
      <w:r w:rsidR="00644ECB" w:rsidRPr="004A3269">
        <w:rPr>
          <w:color w:val="auto"/>
          <w:sz w:val="22"/>
          <w:szCs w:val="22"/>
        </w:rPr>
        <w:br/>
        <w:t xml:space="preserve">ÉTAT DE COMPARAISON DES MONTANTS BUDGÉTAIRES </w:t>
      </w:r>
      <w:r w:rsidR="00C06325" w:rsidRPr="004A3269">
        <w:rPr>
          <w:color w:val="auto"/>
          <w:sz w:val="22"/>
          <w:szCs w:val="22"/>
        </w:rPr>
        <w:br/>
      </w:r>
      <w:r w:rsidR="00644ECB" w:rsidRPr="004A3269">
        <w:rPr>
          <w:color w:val="auto"/>
          <w:sz w:val="22"/>
          <w:szCs w:val="22"/>
        </w:rPr>
        <w:t xml:space="preserve">ET DES MONTANTS RÉELS </w:t>
      </w:r>
      <w:r w:rsidR="00C06325" w:rsidRPr="004A3269">
        <w:rPr>
          <w:color w:val="auto"/>
          <w:sz w:val="22"/>
          <w:szCs w:val="22"/>
        </w:rPr>
        <w:t>–</w:t>
      </w:r>
      <w:r w:rsidR="00644ECB" w:rsidRPr="004A3269">
        <w:rPr>
          <w:color w:val="auto"/>
          <w:sz w:val="22"/>
          <w:szCs w:val="22"/>
        </w:rPr>
        <w:t xml:space="preserve"> RECETTES</w:t>
      </w:r>
    </w:p>
    <w:p w:rsidR="00267140" w:rsidRPr="004A3269" w:rsidRDefault="00267140" w:rsidP="00C06325"/>
    <w:p w:rsidR="00267140" w:rsidRPr="004A3269" w:rsidRDefault="00644ECB" w:rsidP="00644ECB">
      <w:pPr>
        <w:jc w:val="center"/>
        <w:rPr>
          <w:rFonts w:eastAsia="SimSun"/>
          <w:b/>
          <w:szCs w:val="22"/>
        </w:rPr>
      </w:pPr>
      <w:proofErr w:type="gramStart"/>
      <w:r w:rsidRPr="004A3269">
        <w:rPr>
          <w:rFonts w:eastAsia="SimSun"/>
          <w:b/>
          <w:szCs w:val="22"/>
        </w:rPr>
        <w:t>pour</w:t>
      </w:r>
      <w:proofErr w:type="gramEnd"/>
      <w:r w:rsidRPr="004A3269">
        <w:rPr>
          <w:rFonts w:eastAsia="SimSun"/>
          <w:b/>
          <w:szCs w:val="22"/>
        </w:rPr>
        <w:t xml:space="preserve"> l</w:t>
      </w:r>
      <w:r w:rsidR="009021AA" w:rsidRPr="004A3269">
        <w:rPr>
          <w:rFonts w:eastAsia="SimSun"/>
          <w:b/>
          <w:szCs w:val="22"/>
        </w:rPr>
        <w:t>’</w:t>
      </w:r>
      <w:r w:rsidRPr="004A3269">
        <w:rPr>
          <w:rFonts w:eastAsia="SimSun"/>
          <w:b/>
          <w:szCs w:val="22"/>
        </w:rPr>
        <w:t>année s</w:t>
      </w:r>
      <w:r w:rsidR="009021AA" w:rsidRPr="004A3269">
        <w:rPr>
          <w:rFonts w:eastAsia="SimSun"/>
          <w:b/>
          <w:szCs w:val="22"/>
        </w:rPr>
        <w:t>’</w:t>
      </w:r>
      <w:r w:rsidRPr="004A3269">
        <w:rPr>
          <w:rFonts w:eastAsia="SimSun"/>
          <w:b/>
          <w:szCs w:val="22"/>
        </w:rPr>
        <w:t>achevant le 31</w:t>
      </w:r>
      <w:r w:rsidR="00C06325" w:rsidRPr="004A3269">
        <w:rPr>
          <w:rFonts w:eastAsia="SimSun"/>
          <w:b/>
          <w:szCs w:val="22"/>
        </w:rPr>
        <w:t> </w:t>
      </w:r>
      <w:r w:rsidRPr="004A3269">
        <w:rPr>
          <w:rFonts w:eastAsia="SimSun"/>
          <w:b/>
          <w:szCs w:val="22"/>
        </w:rPr>
        <w:t>décembre</w:t>
      </w:r>
      <w:r w:rsidR="00C06325" w:rsidRPr="004A3269">
        <w:rPr>
          <w:rFonts w:eastAsia="SimSun"/>
          <w:b/>
          <w:szCs w:val="22"/>
        </w:rPr>
        <w:t> </w:t>
      </w:r>
      <w:r w:rsidRPr="004A3269">
        <w:rPr>
          <w:rFonts w:eastAsia="SimSun"/>
          <w:b/>
          <w:szCs w:val="22"/>
        </w:rPr>
        <w:t>2014</w:t>
      </w:r>
    </w:p>
    <w:p w:rsidR="00267140" w:rsidRPr="004A3269" w:rsidRDefault="00644ECB" w:rsidP="00644ECB">
      <w:pPr>
        <w:jc w:val="center"/>
        <w:rPr>
          <w:rFonts w:eastAsia="SimSun"/>
          <w:i/>
          <w:szCs w:val="22"/>
        </w:rPr>
      </w:pPr>
      <w:r w:rsidRPr="004A3269">
        <w:rPr>
          <w:rFonts w:eastAsia="SimSun"/>
          <w:i/>
          <w:szCs w:val="22"/>
        </w:rPr>
        <w:t>(</w:t>
      </w:r>
      <w:proofErr w:type="gramStart"/>
      <w:r w:rsidRPr="004A3269">
        <w:rPr>
          <w:rFonts w:eastAsia="SimSun"/>
          <w:i/>
          <w:szCs w:val="22"/>
        </w:rPr>
        <w:t>en</w:t>
      </w:r>
      <w:proofErr w:type="gramEnd"/>
      <w:r w:rsidRPr="004A3269">
        <w:rPr>
          <w:rFonts w:eastAsia="SimSun"/>
          <w:i/>
          <w:szCs w:val="22"/>
        </w:rPr>
        <w:t xml:space="preserve"> milliers de francs suisses)</w:t>
      </w:r>
    </w:p>
    <w:p w:rsidR="00267140" w:rsidRPr="004A3269" w:rsidRDefault="00267140" w:rsidP="00C373AB">
      <w:pPr>
        <w:pStyle w:val="StyleArial10pt"/>
        <w:ind w:firstLineChars="0" w:firstLine="0"/>
        <w:rPr>
          <w:sz w:val="22"/>
          <w:szCs w:val="22"/>
        </w:rPr>
      </w:pPr>
    </w:p>
    <w:p w:rsidR="00267140" w:rsidRPr="004A3269" w:rsidRDefault="00267140" w:rsidP="00EE3BDA">
      <w:pPr>
        <w:pStyle w:val="StyleArial10pt"/>
        <w:ind w:firstLineChars="0" w:firstLine="0"/>
        <w:rPr>
          <w:sz w:val="22"/>
          <w:szCs w:val="22"/>
        </w:rPr>
      </w:pPr>
    </w:p>
    <w:p w:rsidR="00267140" w:rsidRPr="004A3269" w:rsidRDefault="00267140" w:rsidP="00C373AB">
      <w:pPr>
        <w:pStyle w:val="StyleArial10pt"/>
        <w:ind w:firstLineChars="0" w:firstLine="0"/>
        <w:rPr>
          <w:rFonts w:ascii="Times New Roman" w:hAnsi="Times New Roman"/>
        </w:rPr>
      </w:pPr>
    </w:p>
    <w:p w:rsidR="009E1A0C" w:rsidRPr="004A3269" w:rsidRDefault="009E1A0C" w:rsidP="008F285E">
      <w:pPr>
        <w:jc w:val="center"/>
        <w:rPr>
          <w:szCs w:val="22"/>
        </w:rPr>
      </w:pPr>
      <w:r w:rsidRPr="004A3269">
        <w:rPr>
          <w:noProof/>
          <w:lang w:val="en-US"/>
        </w:rPr>
        <w:drawing>
          <wp:inline distT="0" distB="0" distL="0" distR="0" wp14:anchorId="7895AF8F" wp14:editId="217CE954">
            <wp:extent cx="5949950" cy="324548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9950" cy="3245485"/>
                    </a:xfrm>
                    <a:prstGeom prst="rect">
                      <a:avLst/>
                    </a:prstGeom>
                    <a:noFill/>
                    <a:ln>
                      <a:noFill/>
                    </a:ln>
                  </pic:spPr>
                </pic:pic>
              </a:graphicData>
            </a:graphic>
          </wp:inline>
        </w:drawing>
      </w:r>
    </w:p>
    <w:p w:rsidR="009E1A0C" w:rsidRPr="004A3269" w:rsidRDefault="009E1A0C" w:rsidP="008F285E">
      <w:pPr>
        <w:jc w:val="center"/>
        <w:rPr>
          <w:szCs w:val="22"/>
        </w:rPr>
      </w:pPr>
    </w:p>
    <w:p w:rsidR="009021AA" w:rsidRPr="004A3269" w:rsidRDefault="00C06325" w:rsidP="009E1A0C">
      <w:pPr>
        <w:tabs>
          <w:tab w:val="left" w:pos="426"/>
        </w:tabs>
        <w:jc w:val="both"/>
        <w:rPr>
          <w:sz w:val="16"/>
          <w:szCs w:val="16"/>
        </w:rPr>
      </w:pPr>
      <w:r w:rsidRPr="004A3269">
        <w:rPr>
          <w:sz w:val="16"/>
          <w:szCs w:val="16"/>
        </w:rPr>
        <w:t>1)</w:t>
      </w:r>
      <w:r w:rsidRPr="004A3269">
        <w:rPr>
          <w:sz w:val="16"/>
          <w:szCs w:val="16"/>
        </w:rPr>
        <w:tab/>
      </w:r>
      <w:r w:rsidR="00644ECB" w:rsidRPr="004A3269">
        <w:rPr>
          <w:sz w:val="16"/>
          <w:szCs w:val="16"/>
        </w:rPr>
        <w:t xml:space="preserve">Les colonnes “budget initial” et “budget final” représentent la </w:t>
      </w:r>
      <w:r w:rsidRPr="004A3269">
        <w:rPr>
          <w:sz w:val="16"/>
          <w:szCs w:val="16"/>
        </w:rPr>
        <w:t>première </w:t>
      </w:r>
      <w:r w:rsidR="00644ECB" w:rsidRPr="004A3269">
        <w:rPr>
          <w:sz w:val="16"/>
          <w:szCs w:val="16"/>
        </w:rPr>
        <w:t>année du budget approu</w:t>
      </w:r>
      <w:r w:rsidRPr="004A3269">
        <w:rPr>
          <w:sz w:val="16"/>
          <w:szCs w:val="16"/>
        </w:rPr>
        <w:t>vé pour l</w:t>
      </w:r>
      <w:r w:rsidR="009021AA" w:rsidRPr="004A3269">
        <w:rPr>
          <w:sz w:val="16"/>
          <w:szCs w:val="16"/>
        </w:rPr>
        <w:t>’</w:t>
      </w:r>
      <w:r w:rsidRPr="004A3269">
        <w:rPr>
          <w:sz w:val="16"/>
          <w:szCs w:val="16"/>
        </w:rPr>
        <w:t>exercice biennal</w:t>
      </w:r>
      <w:r w:rsidR="00067463" w:rsidRPr="004A3269">
        <w:rPr>
          <w:sz w:val="16"/>
          <w:szCs w:val="16"/>
        </w:rPr>
        <w:t> </w:t>
      </w:r>
      <w:r w:rsidRPr="004A3269">
        <w:rPr>
          <w:sz w:val="16"/>
          <w:szCs w:val="16"/>
        </w:rPr>
        <w:t>2014</w:t>
      </w:r>
      <w:r w:rsidR="00A17552" w:rsidRPr="004A3269">
        <w:rPr>
          <w:sz w:val="16"/>
          <w:szCs w:val="16"/>
        </w:rPr>
        <w:noBreakHyphen/>
      </w:r>
      <w:r w:rsidR="00644ECB" w:rsidRPr="004A3269">
        <w:rPr>
          <w:sz w:val="16"/>
          <w:szCs w:val="16"/>
        </w:rPr>
        <w:t>2015.</w:t>
      </w:r>
    </w:p>
    <w:p w:rsidR="00267140" w:rsidRPr="004A3269" w:rsidRDefault="00C06325" w:rsidP="009E1A0C">
      <w:pPr>
        <w:tabs>
          <w:tab w:val="left" w:pos="426"/>
          <w:tab w:val="left" w:pos="540"/>
        </w:tabs>
        <w:jc w:val="both"/>
        <w:rPr>
          <w:sz w:val="16"/>
          <w:szCs w:val="16"/>
        </w:rPr>
      </w:pPr>
      <w:r w:rsidRPr="004A3269">
        <w:rPr>
          <w:sz w:val="16"/>
          <w:szCs w:val="16"/>
        </w:rPr>
        <w:t>2)</w:t>
      </w:r>
      <w:r w:rsidRPr="004A3269">
        <w:rPr>
          <w:sz w:val="16"/>
          <w:szCs w:val="16"/>
        </w:rPr>
        <w:tab/>
      </w:r>
      <w:r w:rsidR="00644ECB" w:rsidRPr="004A3269">
        <w:rPr>
          <w:sz w:val="16"/>
          <w:szCs w:val="16"/>
        </w:rPr>
        <w:t>Représente l</w:t>
      </w:r>
      <w:r w:rsidR="009021AA" w:rsidRPr="004A3269">
        <w:rPr>
          <w:sz w:val="16"/>
          <w:szCs w:val="16"/>
        </w:rPr>
        <w:t>’</w:t>
      </w:r>
      <w:r w:rsidR="00644ECB" w:rsidRPr="004A3269">
        <w:rPr>
          <w:sz w:val="16"/>
          <w:szCs w:val="16"/>
        </w:rPr>
        <w:t>écart entre le budget “final” pour</w:t>
      </w:r>
      <w:r w:rsidR="00067463" w:rsidRPr="004A3269">
        <w:rPr>
          <w:sz w:val="16"/>
          <w:szCs w:val="16"/>
        </w:rPr>
        <w:t> </w:t>
      </w:r>
      <w:r w:rsidR="00644ECB" w:rsidRPr="004A3269">
        <w:rPr>
          <w:sz w:val="16"/>
          <w:szCs w:val="16"/>
        </w:rPr>
        <w:t>2014 et les recettes réelles sur une base comparabl</w:t>
      </w:r>
      <w:r w:rsidRPr="004A3269">
        <w:rPr>
          <w:sz w:val="16"/>
          <w:szCs w:val="16"/>
        </w:rPr>
        <w:t>e pour l</w:t>
      </w:r>
      <w:r w:rsidR="009021AA" w:rsidRPr="004A3269">
        <w:rPr>
          <w:sz w:val="16"/>
          <w:szCs w:val="16"/>
        </w:rPr>
        <w:t>’</w:t>
      </w:r>
      <w:r w:rsidRPr="004A3269">
        <w:rPr>
          <w:sz w:val="16"/>
          <w:szCs w:val="16"/>
        </w:rPr>
        <w:t>année s</w:t>
      </w:r>
      <w:r w:rsidR="009021AA" w:rsidRPr="004A3269">
        <w:rPr>
          <w:sz w:val="16"/>
          <w:szCs w:val="16"/>
        </w:rPr>
        <w:t>’</w:t>
      </w:r>
      <w:r w:rsidRPr="004A3269">
        <w:rPr>
          <w:sz w:val="16"/>
          <w:szCs w:val="16"/>
        </w:rPr>
        <w:t>achevant le 31 </w:t>
      </w:r>
      <w:r w:rsidR="00644ECB" w:rsidRPr="004A3269">
        <w:rPr>
          <w:sz w:val="16"/>
          <w:szCs w:val="16"/>
        </w:rPr>
        <w:t>décembre</w:t>
      </w:r>
      <w:r w:rsidRPr="004A3269">
        <w:rPr>
          <w:sz w:val="16"/>
          <w:szCs w:val="16"/>
        </w:rPr>
        <w:t> </w:t>
      </w:r>
      <w:r w:rsidR="00644ECB" w:rsidRPr="004A3269">
        <w:rPr>
          <w:sz w:val="16"/>
          <w:szCs w:val="16"/>
        </w:rPr>
        <w:t>2014.</w:t>
      </w:r>
    </w:p>
    <w:p w:rsidR="00267140" w:rsidRPr="004A3269" w:rsidRDefault="00267140" w:rsidP="007C6D77">
      <w:pPr>
        <w:jc w:val="both"/>
        <w:rPr>
          <w:sz w:val="20"/>
        </w:rPr>
      </w:pPr>
    </w:p>
    <w:p w:rsidR="00267140" w:rsidRPr="004A3269" w:rsidRDefault="00E31161" w:rsidP="00644ECB">
      <w:pPr>
        <w:pStyle w:val="Heading1"/>
        <w:spacing w:after="220"/>
        <w:jc w:val="center"/>
        <w:rPr>
          <w:bCs w:val="0"/>
          <w:caps w:val="0"/>
          <w:sz w:val="24"/>
        </w:rPr>
      </w:pPr>
      <w:r w:rsidRPr="004A3269">
        <w:rPr>
          <w:sz w:val="20"/>
          <w:szCs w:val="20"/>
        </w:rPr>
        <w:br w:type="page"/>
      </w:r>
      <w:r w:rsidR="00644ECB" w:rsidRPr="004A3269">
        <w:rPr>
          <w:szCs w:val="20"/>
        </w:rPr>
        <w:lastRenderedPageBreak/>
        <w:t>ÉTAT FINANCIER</w:t>
      </w:r>
      <w:r w:rsidR="00C06325" w:rsidRPr="004A3269">
        <w:rPr>
          <w:szCs w:val="20"/>
        </w:rPr>
        <w:t> </w:t>
      </w:r>
      <w:r w:rsidR="00644ECB" w:rsidRPr="004A3269">
        <w:rPr>
          <w:szCs w:val="20"/>
        </w:rPr>
        <w:t>V</w:t>
      </w:r>
      <w:r w:rsidR="00644ECB" w:rsidRPr="004A3269">
        <w:rPr>
          <w:szCs w:val="20"/>
        </w:rPr>
        <w:br/>
      </w:r>
      <w:r w:rsidR="00644ECB" w:rsidRPr="004A3269">
        <w:rPr>
          <w:szCs w:val="20"/>
        </w:rPr>
        <w:br/>
        <w:t xml:space="preserve">ÉTAT DE COMPARAISON DES MONTANTS BUDGÉTAIRES </w:t>
      </w:r>
      <w:r w:rsidR="00C06325" w:rsidRPr="004A3269">
        <w:rPr>
          <w:szCs w:val="20"/>
        </w:rPr>
        <w:br/>
      </w:r>
      <w:r w:rsidR="00644ECB" w:rsidRPr="004A3269">
        <w:rPr>
          <w:szCs w:val="20"/>
        </w:rPr>
        <w:t xml:space="preserve">ET DES MONTANTS RÉELS </w:t>
      </w:r>
      <w:r w:rsidR="00C06325" w:rsidRPr="004A3269">
        <w:rPr>
          <w:szCs w:val="20"/>
        </w:rPr>
        <w:t>–</w:t>
      </w:r>
      <w:r w:rsidR="00644ECB" w:rsidRPr="004A3269">
        <w:rPr>
          <w:szCs w:val="20"/>
        </w:rPr>
        <w:t xml:space="preserve"> DÉPENSES</w:t>
      </w:r>
    </w:p>
    <w:p w:rsidR="00267140" w:rsidRPr="004A3269" w:rsidRDefault="00644ECB" w:rsidP="00644ECB">
      <w:pPr>
        <w:jc w:val="center"/>
        <w:rPr>
          <w:rFonts w:eastAsia="SimSun"/>
          <w:b/>
          <w:szCs w:val="22"/>
        </w:rPr>
      </w:pPr>
      <w:proofErr w:type="gramStart"/>
      <w:r w:rsidRPr="004A3269">
        <w:rPr>
          <w:rFonts w:eastAsia="SimSun"/>
          <w:b/>
          <w:szCs w:val="22"/>
        </w:rPr>
        <w:t>pour</w:t>
      </w:r>
      <w:proofErr w:type="gramEnd"/>
      <w:r w:rsidRPr="004A3269">
        <w:rPr>
          <w:rFonts w:eastAsia="SimSun"/>
          <w:b/>
          <w:szCs w:val="22"/>
        </w:rPr>
        <w:t xml:space="preserve"> l</w:t>
      </w:r>
      <w:r w:rsidR="009021AA" w:rsidRPr="004A3269">
        <w:rPr>
          <w:rFonts w:eastAsia="SimSun"/>
          <w:b/>
          <w:szCs w:val="22"/>
        </w:rPr>
        <w:t>’</w:t>
      </w:r>
      <w:r w:rsidRPr="004A3269">
        <w:rPr>
          <w:rFonts w:eastAsia="SimSun"/>
          <w:b/>
          <w:szCs w:val="22"/>
        </w:rPr>
        <w:t>année s</w:t>
      </w:r>
      <w:r w:rsidR="009021AA" w:rsidRPr="004A3269">
        <w:rPr>
          <w:rFonts w:eastAsia="SimSun"/>
          <w:b/>
          <w:szCs w:val="22"/>
        </w:rPr>
        <w:t>’</w:t>
      </w:r>
      <w:r w:rsidRPr="004A3269">
        <w:rPr>
          <w:rFonts w:eastAsia="SimSun"/>
          <w:b/>
          <w:szCs w:val="22"/>
        </w:rPr>
        <w:t xml:space="preserve">achevant le </w:t>
      </w:r>
      <w:r w:rsidR="00A0797A" w:rsidRPr="004A3269">
        <w:rPr>
          <w:rFonts w:eastAsia="SimSun"/>
          <w:b/>
          <w:szCs w:val="22"/>
        </w:rPr>
        <w:t>31 décembre </w:t>
      </w:r>
      <w:r w:rsidRPr="004A3269">
        <w:rPr>
          <w:rFonts w:eastAsia="SimSun"/>
          <w:b/>
          <w:szCs w:val="22"/>
        </w:rPr>
        <w:t>2014</w:t>
      </w:r>
    </w:p>
    <w:p w:rsidR="00267140" w:rsidRPr="004A3269" w:rsidRDefault="00644ECB" w:rsidP="00644ECB">
      <w:pPr>
        <w:jc w:val="center"/>
        <w:rPr>
          <w:i/>
          <w:szCs w:val="22"/>
        </w:rPr>
      </w:pPr>
      <w:r w:rsidRPr="004A3269">
        <w:rPr>
          <w:i/>
          <w:szCs w:val="22"/>
        </w:rPr>
        <w:t>(</w:t>
      </w:r>
      <w:proofErr w:type="gramStart"/>
      <w:r w:rsidRPr="004A3269">
        <w:rPr>
          <w:i/>
          <w:szCs w:val="22"/>
        </w:rPr>
        <w:t>en</w:t>
      </w:r>
      <w:proofErr w:type="gramEnd"/>
      <w:r w:rsidRPr="004A3269">
        <w:rPr>
          <w:i/>
          <w:szCs w:val="22"/>
        </w:rPr>
        <w:t xml:space="preserve"> milliers de francs suisses)</w:t>
      </w:r>
    </w:p>
    <w:p w:rsidR="00267140" w:rsidRPr="004A3269" w:rsidRDefault="00267140" w:rsidP="007C6D77">
      <w:pPr>
        <w:jc w:val="both"/>
        <w:rPr>
          <w:szCs w:val="22"/>
        </w:rPr>
      </w:pPr>
    </w:p>
    <w:p w:rsidR="009E1A0C" w:rsidRPr="004A3269" w:rsidRDefault="009E1A0C" w:rsidP="006401B6">
      <w:pPr>
        <w:jc w:val="center"/>
      </w:pPr>
      <w:r w:rsidRPr="004A3269">
        <w:rPr>
          <w:noProof/>
          <w:lang w:val="en-US"/>
        </w:rPr>
        <w:drawing>
          <wp:inline distT="0" distB="0" distL="0" distR="0" wp14:anchorId="75BDEA62" wp14:editId="11D596D5">
            <wp:extent cx="5977255" cy="6966673"/>
            <wp:effectExtent l="0" t="0" r="444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77255" cy="6966673"/>
                    </a:xfrm>
                    <a:prstGeom prst="rect">
                      <a:avLst/>
                    </a:prstGeom>
                    <a:noFill/>
                    <a:ln>
                      <a:noFill/>
                    </a:ln>
                  </pic:spPr>
                </pic:pic>
              </a:graphicData>
            </a:graphic>
          </wp:inline>
        </w:drawing>
      </w:r>
    </w:p>
    <w:p w:rsidR="00267140" w:rsidRPr="004A3269" w:rsidRDefault="00C06325" w:rsidP="009E1A0C">
      <w:pPr>
        <w:tabs>
          <w:tab w:val="left" w:pos="426"/>
        </w:tabs>
        <w:jc w:val="both"/>
        <w:rPr>
          <w:sz w:val="16"/>
          <w:szCs w:val="16"/>
        </w:rPr>
      </w:pPr>
      <w:r w:rsidRPr="004A3269">
        <w:rPr>
          <w:sz w:val="16"/>
          <w:szCs w:val="16"/>
        </w:rPr>
        <w:t>1)</w:t>
      </w:r>
      <w:r w:rsidRPr="004A3269">
        <w:rPr>
          <w:sz w:val="16"/>
          <w:szCs w:val="16"/>
        </w:rPr>
        <w:tab/>
      </w:r>
      <w:r w:rsidR="00644ECB" w:rsidRPr="004A3269">
        <w:rPr>
          <w:sz w:val="16"/>
          <w:szCs w:val="16"/>
        </w:rPr>
        <w:t>Les colonnes “budget initial” et “budget final” représentent la première année du budget approuvé pou</w:t>
      </w:r>
      <w:r w:rsidRPr="004A3269">
        <w:rPr>
          <w:sz w:val="16"/>
          <w:szCs w:val="16"/>
        </w:rPr>
        <w:t>r l</w:t>
      </w:r>
      <w:r w:rsidR="009021AA" w:rsidRPr="004A3269">
        <w:rPr>
          <w:sz w:val="16"/>
          <w:szCs w:val="16"/>
        </w:rPr>
        <w:t>’</w:t>
      </w:r>
      <w:r w:rsidRPr="004A3269">
        <w:rPr>
          <w:sz w:val="16"/>
          <w:szCs w:val="16"/>
        </w:rPr>
        <w:t>exercice biennal</w:t>
      </w:r>
      <w:r w:rsidR="00067463" w:rsidRPr="004A3269">
        <w:rPr>
          <w:sz w:val="16"/>
          <w:szCs w:val="16"/>
        </w:rPr>
        <w:t> </w:t>
      </w:r>
      <w:r w:rsidRPr="004A3269">
        <w:rPr>
          <w:sz w:val="16"/>
          <w:szCs w:val="16"/>
        </w:rPr>
        <w:t>2014</w:t>
      </w:r>
      <w:r w:rsidR="00A17552" w:rsidRPr="004A3269">
        <w:rPr>
          <w:sz w:val="16"/>
          <w:szCs w:val="16"/>
        </w:rPr>
        <w:noBreakHyphen/>
      </w:r>
      <w:r w:rsidR="00644ECB" w:rsidRPr="004A3269">
        <w:rPr>
          <w:sz w:val="16"/>
          <w:szCs w:val="16"/>
        </w:rPr>
        <w:t>2015.</w:t>
      </w:r>
      <w:r w:rsidR="0032242B" w:rsidRPr="004A3269">
        <w:rPr>
          <w:sz w:val="16"/>
        </w:rPr>
        <w:t xml:space="preserve"> </w:t>
      </w:r>
      <w:r w:rsidR="003E7152" w:rsidRPr="004A3269">
        <w:rPr>
          <w:sz w:val="16"/>
        </w:rPr>
        <w:t xml:space="preserve"> </w:t>
      </w:r>
      <w:r w:rsidR="003E7152" w:rsidRPr="004A3269">
        <w:rPr>
          <w:sz w:val="16"/>
          <w:szCs w:val="16"/>
        </w:rPr>
        <w:t>Le budget initial est fondé sur le budget biennal de 674,0 millions de francs suisses qui a été approuvé le 12 décembre </w:t>
      </w:r>
      <w:r w:rsidR="00C26126" w:rsidRPr="004A3269">
        <w:rPr>
          <w:sz w:val="16"/>
          <w:szCs w:val="16"/>
        </w:rPr>
        <w:t>2013</w:t>
      </w:r>
      <w:r w:rsidR="003E7152" w:rsidRPr="004A3269">
        <w:rPr>
          <w:sz w:val="16"/>
          <w:szCs w:val="16"/>
        </w:rPr>
        <w:t xml:space="preserve"> par les assemblées des États membres de l</w:t>
      </w:r>
      <w:r w:rsidR="009021AA" w:rsidRPr="004A3269">
        <w:rPr>
          <w:sz w:val="16"/>
          <w:szCs w:val="16"/>
        </w:rPr>
        <w:t>’</w:t>
      </w:r>
      <w:r w:rsidR="003E7152" w:rsidRPr="004A3269">
        <w:rPr>
          <w:sz w:val="16"/>
          <w:szCs w:val="16"/>
        </w:rPr>
        <w:t>OMPI</w:t>
      </w:r>
      <w:r w:rsidR="00C26126" w:rsidRPr="004A3269">
        <w:rPr>
          <w:sz w:val="16"/>
          <w:szCs w:val="16"/>
        </w:rPr>
        <w:t>.</w:t>
      </w:r>
    </w:p>
    <w:p w:rsidR="00267140" w:rsidRPr="004A3269" w:rsidRDefault="00C06325" w:rsidP="009E1A0C">
      <w:pPr>
        <w:tabs>
          <w:tab w:val="left" w:pos="426"/>
        </w:tabs>
        <w:jc w:val="both"/>
        <w:rPr>
          <w:sz w:val="16"/>
          <w:szCs w:val="16"/>
        </w:rPr>
      </w:pPr>
      <w:r w:rsidRPr="004A3269">
        <w:rPr>
          <w:sz w:val="16"/>
          <w:szCs w:val="16"/>
        </w:rPr>
        <w:t>2)</w:t>
      </w:r>
      <w:r w:rsidRPr="004A3269">
        <w:rPr>
          <w:sz w:val="16"/>
          <w:szCs w:val="16"/>
        </w:rPr>
        <w:tab/>
      </w:r>
      <w:r w:rsidR="00644ECB" w:rsidRPr="004A3269">
        <w:rPr>
          <w:sz w:val="16"/>
          <w:szCs w:val="16"/>
        </w:rPr>
        <w:t>Représente l</w:t>
      </w:r>
      <w:r w:rsidR="009021AA" w:rsidRPr="004A3269">
        <w:rPr>
          <w:sz w:val="16"/>
          <w:szCs w:val="16"/>
        </w:rPr>
        <w:t>’</w:t>
      </w:r>
      <w:r w:rsidR="00644ECB" w:rsidRPr="004A3269">
        <w:rPr>
          <w:sz w:val="16"/>
          <w:szCs w:val="16"/>
        </w:rPr>
        <w:t>écart entre le budget “final” pour</w:t>
      </w:r>
      <w:r w:rsidR="00067463" w:rsidRPr="004A3269">
        <w:rPr>
          <w:sz w:val="16"/>
          <w:szCs w:val="16"/>
        </w:rPr>
        <w:t> </w:t>
      </w:r>
      <w:r w:rsidR="00644ECB" w:rsidRPr="004A3269">
        <w:rPr>
          <w:sz w:val="16"/>
          <w:szCs w:val="16"/>
        </w:rPr>
        <w:t>2014 et les dépenses réelles sur une base comparabl</w:t>
      </w:r>
      <w:r w:rsidRPr="004A3269">
        <w:rPr>
          <w:sz w:val="16"/>
          <w:szCs w:val="16"/>
        </w:rPr>
        <w:t>e pour l</w:t>
      </w:r>
      <w:r w:rsidR="009021AA" w:rsidRPr="004A3269">
        <w:rPr>
          <w:sz w:val="16"/>
          <w:szCs w:val="16"/>
        </w:rPr>
        <w:t>’</w:t>
      </w:r>
      <w:r w:rsidRPr="004A3269">
        <w:rPr>
          <w:sz w:val="16"/>
          <w:szCs w:val="16"/>
        </w:rPr>
        <w:t>année s</w:t>
      </w:r>
      <w:r w:rsidR="009021AA" w:rsidRPr="004A3269">
        <w:rPr>
          <w:sz w:val="16"/>
          <w:szCs w:val="16"/>
        </w:rPr>
        <w:t>’</w:t>
      </w:r>
      <w:r w:rsidRPr="004A3269">
        <w:rPr>
          <w:sz w:val="16"/>
          <w:szCs w:val="16"/>
        </w:rPr>
        <w:t>achevant le 31 </w:t>
      </w:r>
      <w:r w:rsidR="00644ECB" w:rsidRPr="004A3269">
        <w:rPr>
          <w:sz w:val="16"/>
          <w:szCs w:val="16"/>
        </w:rPr>
        <w:t>décembre</w:t>
      </w:r>
      <w:r w:rsidRPr="004A3269">
        <w:rPr>
          <w:sz w:val="16"/>
          <w:szCs w:val="16"/>
        </w:rPr>
        <w:t> </w:t>
      </w:r>
      <w:r w:rsidR="00644ECB" w:rsidRPr="004A3269">
        <w:rPr>
          <w:sz w:val="16"/>
          <w:szCs w:val="16"/>
        </w:rPr>
        <w:t>2014.</w:t>
      </w:r>
    </w:p>
    <w:p w:rsidR="00267140" w:rsidRPr="004A3269" w:rsidRDefault="00C06325" w:rsidP="009E1A0C">
      <w:pPr>
        <w:tabs>
          <w:tab w:val="left" w:pos="426"/>
        </w:tabs>
        <w:jc w:val="both"/>
        <w:rPr>
          <w:sz w:val="16"/>
          <w:szCs w:val="16"/>
        </w:rPr>
      </w:pPr>
      <w:r w:rsidRPr="004A3269">
        <w:rPr>
          <w:sz w:val="16"/>
          <w:szCs w:val="16"/>
        </w:rPr>
        <w:t>3)</w:t>
      </w:r>
      <w:r w:rsidRPr="004A3269">
        <w:rPr>
          <w:sz w:val="16"/>
          <w:szCs w:val="16"/>
        </w:rPr>
        <w:tab/>
      </w:r>
      <w:r w:rsidR="00644ECB" w:rsidRPr="004A3269">
        <w:rPr>
          <w:sz w:val="16"/>
          <w:szCs w:val="16"/>
        </w:rPr>
        <w:t>Les ajustements IPSAS à l</w:t>
      </w:r>
      <w:r w:rsidR="009021AA" w:rsidRPr="004A3269">
        <w:rPr>
          <w:sz w:val="16"/>
          <w:szCs w:val="16"/>
        </w:rPr>
        <w:t>’</w:t>
      </w:r>
      <w:r w:rsidR="00644ECB" w:rsidRPr="004A3269">
        <w:rPr>
          <w:sz w:val="16"/>
          <w:szCs w:val="16"/>
        </w:rPr>
        <w:t>excédent sont e</w:t>
      </w:r>
      <w:r w:rsidRPr="004A3269">
        <w:rPr>
          <w:sz w:val="16"/>
          <w:szCs w:val="16"/>
        </w:rPr>
        <w:t>xpliqués en détail dans la note </w:t>
      </w:r>
      <w:r w:rsidR="00644ECB" w:rsidRPr="004A3269">
        <w:rPr>
          <w:sz w:val="16"/>
          <w:szCs w:val="16"/>
        </w:rPr>
        <w:t>22 de ces états financiers.</w:t>
      </w:r>
    </w:p>
    <w:p w:rsidR="00C30AA6" w:rsidRPr="004A3269" w:rsidRDefault="00C30AA6" w:rsidP="009E1A0C">
      <w:pPr>
        <w:tabs>
          <w:tab w:val="left" w:pos="426"/>
        </w:tabs>
        <w:rPr>
          <w:rFonts w:eastAsia="SimSun"/>
          <w:b/>
          <w:szCs w:val="22"/>
        </w:rPr>
        <w:sectPr w:rsidR="00C30AA6" w:rsidRPr="004A3269" w:rsidSect="007901FC">
          <w:headerReference w:type="default" r:id="rId57"/>
          <w:footerReference w:type="default" r:id="rId58"/>
          <w:pgSz w:w="11907" w:h="16840" w:code="9"/>
          <w:pgMar w:top="851" w:right="1247" w:bottom="1191" w:left="1247" w:header="709" w:footer="709" w:gutter="0"/>
          <w:cols w:space="708"/>
          <w:docGrid w:linePitch="360"/>
        </w:sectPr>
      </w:pPr>
    </w:p>
    <w:p w:rsidR="00267140" w:rsidRPr="00695FBE" w:rsidRDefault="00644ECB" w:rsidP="00644ECB">
      <w:pPr>
        <w:pStyle w:val="STYLE1LASTONE"/>
        <w:spacing w:after="0"/>
        <w:rPr>
          <w:rStyle w:val="Style1Char"/>
          <w:rFonts w:cs="Times New Roman"/>
          <w:color w:val="auto"/>
          <w:sz w:val="22"/>
          <w:szCs w:val="28"/>
          <w:lang w:val="fr-FR"/>
        </w:rPr>
      </w:pPr>
      <w:r w:rsidRPr="00695FBE">
        <w:rPr>
          <w:rStyle w:val="Style1Char"/>
          <w:rFonts w:cs="Times New Roman"/>
          <w:b/>
          <w:color w:val="auto"/>
          <w:sz w:val="22"/>
          <w:szCs w:val="28"/>
          <w:lang w:val="fr-FR"/>
        </w:rPr>
        <w:lastRenderedPageBreak/>
        <w:t>Notes relatives aux États financiers</w:t>
      </w:r>
    </w:p>
    <w:p w:rsidR="00267140" w:rsidRPr="004A3269" w:rsidRDefault="00267140" w:rsidP="00901633">
      <w:pPr>
        <w:jc w:val="both"/>
        <w:rPr>
          <w:b/>
          <w:szCs w:val="22"/>
        </w:rPr>
      </w:pPr>
    </w:p>
    <w:p w:rsidR="00267140" w:rsidRPr="004A3269" w:rsidRDefault="00267140" w:rsidP="00901633">
      <w:pPr>
        <w:jc w:val="both"/>
        <w:rPr>
          <w:b/>
          <w:szCs w:val="22"/>
        </w:rPr>
      </w:pPr>
    </w:p>
    <w:p w:rsidR="00267140" w:rsidRPr="004A3269" w:rsidRDefault="00C06325" w:rsidP="00C06325">
      <w:pPr>
        <w:pStyle w:val="STYLETITRENOTES"/>
        <w:tabs>
          <w:tab w:val="left" w:pos="1701"/>
        </w:tabs>
      </w:pPr>
      <w:r w:rsidRPr="004A3269">
        <w:t>NOTE N° 1</w:t>
      </w:r>
      <w:r w:rsidR="00A0797A" w:rsidRPr="004A3269">
        <w:rPr>
          <w:b w:val="0"/>
        </w:rPr>
        <w:t> :</w:t>
      </w:r>
      <w:r w:rsidRPr="004A3269">
        <w:t xml:space="preserve"> </w:t>
      </w:r>
      <w:r w:rsidRPr="004A3269">
        <w:tab/>
        <w:t>OBJECTIFS ET BUDGET DE L</w:t>
      </w:r>
      <w:r w:rsidR="009021AA" w:rsidRPr="004A3269">
        <w:t>’</w:t>
      </w:r>
      <w:r w:rsidRPr="004A3269">
        <w:t>ORGANISATION</w:t>
      </w:r>
    </w:p>
    <w:p w:rsidR="00267140" w:rsidRPr="004A3269" w:rsidRDefault="00267140" w:rsidP="00901633">
      <w:pPr>
        <w:jc w:val="both"/>
        <w:rPr>
          <w:b/>
          <w:sz w:val="20"/>
        </w:rPr>
      </w:pPr>
    </w:p>
    <w:p w:rsidR="009021AA" w:rsidRPr="004A3269" w:rsidRDefault="00644ECB" w:rsidP="00644ECB">
      <w:pPr>
        <w:pStyle w:val="Style3"/>
        <w:spacing w:after="0"/>
        <w:rPr>
          <w:szCs w:val="22"/>
        </w:rPr>
      </w:pPr>
      <w:r w:rsidRPr="004A3269">
        <w:rPr>
          <w:szCs w:val="22"/>
        </w:rPr>
        <w:t>L</w:t>
      </w:r>
      <w:r w:rsidR="009021AA" w:rsidRPr="004A3269">
        <w:rPr>
          <w:szCs w:val="22"/>
        </w:rPr>
        <w:t>’</w:t>
      </w:r>
      <w:r w:rsidRPr="004A3269">
        <w:rPr>
          <w:szCs w:val="22"/>
        </w:rPr>
        <w:t>Organisation Mondiale de la Propriété Intellectuelle (OMPI) a été créée en</w:t>
      </w:r>
      <w:r w:rsidR="00067463" w:rsidRPr="004A3269">
        <w:rPr>
          <w:szCs w:val="22"/>
        </w:rPr>
        <w:t> </w:t>
      </w:r>
      <w:r w:rsidRPr="004A3269">
        <w:rPr>
          <w:szCs w:val="22"/>
        </w:rPr>
        <w:t>1967, en remplacement des Bureaux Internationaux Réunis pour la Protection de la Propriété Intellectuelle (BIRPI) qui avaient été créés en</w:t>
      </w:r>
      <w:r w:rsidR="00067463" w:rsidRPr="004A3269">
        <w:rPr>
          <w:szCs w:val="22"/>
        </w:rPr>
        <w:t> </w:t>
      </w:r>
      <w:r w:rsidRPr="004A3269">
        <w:rPr>
          <w:szCs w:val="22"/>
        </w:rPr>
        <w:t>1893 pour administrer la Convention de Paris pour la protection de la propriété industrielle (1883) et la Convention de Berne pour la protection des œuvres littéraires et artistiques (1886).</w:t>
      </w:r>
      <w:r w:rsidR="00616460" w:rsidRPr="004A3269">
        <w:t xml:space="preserve">  </w:t>
      </w:r>
      <w:r w:rsidRPr="004A3269">
        <w:rPr>
          <w:szCs w:val="22"/>
        </w:rPr>
        <w:t>L</w:t>
      </w:r>
      <w:r w:rsidR="009021AA" w:rsidRPr="004A3269">
        <w:rPr>
          <w:szCs w:val="22"/>
        </w:rPr>
        <w:t>’</w:t>
      </w:r>
      <w:r w:rsidRPr="004A3269">
        <w:rPr>
          <w:szCs w:val="22"/>
        </w:rPr>
        <w:t xml:space="preserve">OMPI a été reconnue institution spécialisée du système des </w:t>
      </w:r>
      <w:r w:rsidR="009021AA" w:rsidRPr="004A3269">
        <w:rPr>
          <w:szCs w:val="22"/>
        </w:rPr>
        <w:t>Nations Unies</w:t>
      </w:r>
      <w:r w:rsidRPr="004A3269">
        <w:rPr>
          <w:szCs w:val="22"/>
        </w:rPr>
        <w:t xml:space="preserve"> en</w:t>
      </w:r>
      <w:r w:rsidR="00067463" w:rsidRPr="004A3269">
        <w:rPr>
          <w:szCs w:val="22"/>
        </w:rPr>
        <w:t> </w:t>
      </w:r>
      <w:r w:rsidRPr="004A3269">
        <w:rPr>
          <w:szCs w:val="22"/>
        </w:rPr>
        <w:t>1974.</w:t>
      </w:r>
    </w:p>
    <w:p w:rsidR="00267140" w:rsidRPr="004A3269" w:rsidRDefault="00267140" w:rsidP="007C6D77">
      <w:pPr>
        <w:pStyle w:val="Style3"/>
        <w:spacing w:after="0"/>
        <w:rPr>
          <w:szCs w:val="22"/>
        </w:rPr>
      </w:pPr>
    </w:p>
    <w:p w:rsidR="00267140" w:rsidRPr="004A3269" w:rsidRDefault="00644ECB" w:rsidP="00644ECB">
      <w:pPr>
        <w:pStyle w:val="Style3"/>
        <w:spacing w:after="0"/>
        <w:rPr>
          <w:szCs w:val="22"/>
        </w:rPr>
      </w:pPr>
      <w:r w:rsidRPr="004A3269">
        <w:rPr>
          <w:szCs w:val="22"/>
        </w:rPr>
        <w:t>L</w:t>
      </w:r>
      <w:r w:rsidR="009021AA" w:rsidRPr="004A3269">
        <w:rPr>
          <w:szCs w:val="22"/>
        </w:rPr>
        <w:t>’</w:t>
      </w:r>
      <w:r w:rsidRPr="004A3269">
        <w:rPr>
          <w:szCs w:val="22"/>
        </w:rPr>
        <w:t>OMPI exécute toute une variété de tâches dans le domaine de la protection des droits de propriété intellectuelle.  Elle a notamment pour fonctions d</w:t>
      </w:r>
      <w:r w:rsidR="009021AA" w:rsidRPr="004A3269">
        <w:rPr>
          <w:szCs w:val="22"/>
        </w:rPr>
        <w:t>’</w:t>
      </w:r>
      <w:r w:rsidRPr="004A3269">
        <w:rPr>
          <w:szCs w:val="22"/>
        </w:rPr>
        <w:t>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w:t>
      </w:r>
      <w:r w:rsidR="009021AA" w:rsidRPr="004A3269">
        <w:rPr>
          <w:szCs w:val="22"/>
        </w:rPr>
        <w:t>’</w:t>
      </w:r>
      <w:r w:rsidRPr="004A3269">
        <w:rPr>
          <w:szCs w:val="22"/>
        </w:rPr>
        <w:t>administrer les traités, de gérer des systèmes mondiaux d</w:t>
      </w:r>
      <w:r w:rsidR="009021AA" w:rsidRPr="004A3269">
        <w:rPr>
          <w:szCs w:val="22"/>
        </w:rPr>
        <w:t>’</w:t>
      </w:r>
      <w:r w:rsidRPr="004A3269">
        <w:rPr>
          <w:szCs w:val="22"/>
        </w:rPr>
        <w:t>enregistrement pour les marques, les dessins et modèles industriels et les appellations d</w:t>
      </w:r>
      <w:r w:rsidR="009021AA" w:rsidRPr="004A3269">
        <w:rPr>
          <w:szCs w:val="22"/>
        </w:rPr>
        <w:t>’</w:t>
      </w:r>
      <w:r w:rsidRPr="004A3269">
        <w:rPr>
          <w:szCs w:val="22"/>
        </w:rPr>
        <w:t>origine ainsi qu</w:t>
      </w:r>
      <w:r w:rsidR="009021AA" w:rsidRPr="004A3269">
        <w:rPr>
          <w:szCs w:val="22"/>
        </w:rPr>
        <w:t>’</w:t>
      </w:r>
      <w:r w:rsidRPr="004A3269">
        <w:rPr>
          <w:szCs w:val="22"/>
        </w:rPr>
        <w:t>un système de dépôt pour les brevets, de fournir des services de règlement des litiges et d</w:t>
      </w:r>
      <w:r w:rsidR="009021AA" w:rsidRPr="004A3269">
        <w:rPr>
          <w:szCs w:val="22"/>
        </w:rPr>
        <w:t>’</w:t>
      </w:r>
      <w:r w:rsidRPr="004A3269">
        <w:rPr>
          <w:szCs w:val="22"/>
        </w:rPr>
        <w:t>offrir une tribune permettant d</w:t>
      </w:r>
      <w:r w:rsidR="009021AA" w:rsidRPr="004A3269">
        <w:rPr>
          <w:szCs w:val="22"/>
        </w:rPr>
        <w:t>’</w:t>
      </w:r>
      <w:r w:rsidRPr="004A3269">
        <w:rPr>
          <w:szCs w:val="22"/>
        </w:rPr>
        <w:t>organiser des discussions en connaissance de cause et d</w:t>
      </w:r>
      <w:r w:rsidR="009021AA" w:rsidRPr="004A3269">
        <w:rPr>
          <w:szCs w:val="22"/>
        </w:rPr>
        <w:t>’</w:t>
      </w:r>
      <w:r w:rsidRPr="004A3269">
        <w:rPr>
          <w:szCs w:val="22"/>
        </w:rPr>
        <w:t>échanger des connaissances spécialisées.</w:t>
      </w:r>
    </w:p>
    <w:p w:rsidR="00267140" w:rsidRPr="004A3269" w:rsidRDefault="00267140" w:rsidP="007C6D77">
      <w:pPr>
        <w:pStyle w:val="Style3"/>
        <w:spacing w:after="0"/>
        <w:rPr>
          <w:szCs w:val="22"/>
        </w:rPr>
      </w:pPr>
    </w:p>
    <w:p w:rsidR="00267140" w:rsidRPr="004A3269" w:rsidRDefault="00644ECB" w:rsidP="00644ECB">
      <w:pPr>
        <w:pStyle w:val="Style3"/>
        <w:spacing w:after="0"/>
        <w:rPr>
          <w:szCs w:val="22"/>
        </w:rPr>
      </w:pPr>
      <w:r w:rsidRPr="004A3269">
        <w:rPr>
          <w:szCs w:val="22"/>
        </w:rPr>
        <w:t>L</w:t>
      </w:r>
      <w:r w:rsidR="009021AA" w:rsidRPr="004A3269">
        <w:rPr>
          <w:szCs w:val="22"/>
        </w:rPr>
        <w:t>’</w:t>
      </w:r>
      <w:r w:rsidRPr="004A3269">
        <w:rPr>
          <w:szCs w:val="22"/>
        </w:rPr>
        <w:t>Organisation exerce ses activités conformément à la Convention instituant l</w:t>
      </w:r>
      <w:r w:rsidR="009021AA" w:rsidRPr="004A3269">
        <w:rPr>
          <w:szCs w:val="22"/>
        </w:rPr>
        <w:t>’</w:t>
      </w:r>
      <w:r w:rsidRPr="004A3269">
        <w:rPr>
          <w:szCs w:val="22"/>
        </w:rPr>
        <w:t xml:space="preserve">OMPI qui a été signée à Stockholm le </w:t>
      </w:r>
      <w:r w:rsidR="00A0797A" w:rsidRPr="004A3269">
        <w:rPr>
          <w:szCs w:val="22"/>
        </w:rPr>
        <w:t>14 juillet </w:t>
      </w:r>
      <w:r w:rsidRPr="004A3269">
        <w:rPr>
          <w:szCs w:val="22"/>
        </w:rPr>
        <w:t xml:space="preserve">1967 et modifiée le </w:t>
      </w:r>
      <w:r w:rsidR="00A0797A" w:rsidRPr="004A3269">
        <w:rPr>
          <w:szCs w:val="22"/>
        </w:rPr>
        <w:t>28 septembre </w:t>
      </w:r>
      <w:r w:rsidRPr="004A3269">
        <w:rPr>
          <w:szCs w:val="22"/>
        </w:rPr>
        <w:t>1979.</w:t>
      </w:r>
      <w:r w:rsidR="00E5032E" w:rsidRPr="004A3269">
        <w:rPr>
          <w:szCs w:val="22"/>
        </w:rPr>
        <w:t xml:space="preserve">  </w:t>
      </w:r>
      <w:r w:rsidRPr="004A3269">
        <w:rPr>
          <w:szCs w:val="22"/>
        </w:rPr>
        <w:t>L</w:t>
      </w:r>
      <w:r w:rsidR="009021AA" w:rsidRPr="004A3269">
        <w:rPr>
          <w:szCs w:val="22"/>
        </w:rPr>
        <w:t>’</w:t>
      </w:r>
      <w:r w:rsidRPr="004A3269">
        <w:rPr>
          <w:szCs w:val="22"/>
        </w:rPr>
        <w:t xml:space="preserve">OMPI compte actuellement </w:t>
      </w:r>
      <w:r w:rsidR="00A0797A" w:rsidRPr="004A3269">
        <w:rPr>
          <w:szCs w:val="22"/>
        </w:rPr>
        <w:t>188 </w:t>
      </w:r>
      <w:r w:rsidRPr="004A3269">
        <w:rPr>
          <w:szCs w:val="22"/>
        </w:rPr>
        <w:t>États membres.</w:t>
      </w:r>
      <w:r w:rsidR="0028170E" w:rsidRPr="004A3269">
        <w:rPr>
          <w:szCs w:val="22"/>
        </w:rPr>
        <w:t xml:space="preserve"> </w:t>
      </w:r>
      <w:r w:rsidR="0028170E" w:rsidRPr="004A3269">
        <w:t xml:space="preserve"> </w:t>
      </w:r>
      <w:r w:rsidR="0055782F" w:rsidRPr="004A3269">
        <w:rPr>
          <w:rStyle w:val="hps"/>
        </w:rPr>
        <w:t>L</w:t>
      </w:r>
      <w:r w:rsidR="009021AA" w:rsidRPr="004A3269">
        <w:rPr>
          <w:rStyle w:val="hps"/>
        </w:rPr>
        <w:t>’</w:t>
      </w:r>
      <w:r w:rsidR="0055782F" w:rsidRPr="004A3269">
        <w:rPr>
          <w:rStyle w:val="hps"/>
        </w:rPr>
        <w:t>OMPI</w:t>
      </w:r>
      <w:r w:rsidR="0055782F" w:rsidRPr="004A3269">
        <w:t xml:space="preserve"> </w:t>
      </w:r>
      <w:r w:rsidR="0055782F" w:rsidRPr="004A3269">
        <w:rPr>
          <w:rStyle w:val="hps"/>
        </w:rPr>
        <w:t>est basée à Genève (</w:t>
      </w:r>
      <w:r w:rsidR="0055782F" w:rsidRPr="004A3269">
        <w:t xml:space="preserve">Suisse), </w:t>
      </w:r>
      <w:r w:rsidR="0055782F" w:rsidRPr="004A3269">
        <w:rPr>
          <w:rStyle w:val="hps"/>
        </w:rPr>
        <w:t>avec des bureaux</w:t>
      </w:r>
      <w:r w:rsidR="0055782F" w:rsidRPr="004A3269">
        <w:t xml:space="preserve"> </w:t>
      </w:r>
      <w:r w:rsidR="0055782F" w:rsidRPr="004A3269">
        <w:rPr>
          <w:rStyle w:val="hps"/>
        </w:rPr>
        <w:t>de représentation</w:t>
      </w:r>
      <w:r w:rsidR="0055782F" w:rsidRPr="004A3269">
        <w:t xml:space="preserve"> </w:t>
      </w:r>
      <w:r w:rsidR="0055782F" w:rsidRPr="004A3269">
        <w:rPr>
          <w:rStyle w:val="hps"/>
        </w:rPr>
        <w:t xml:space="preserve">à </w:t>
      </w:r>
      <w:r w:rsidR="00D03B5F" w:rsidRPr="004A3269">
        <w:rPr>
          <w:rStyle w:val="hps"/>
        </w:rPr>
        <w:t>Beijing</w:t>
      </w:r>
      <w:r w:rsidR="0055782F" w:rsidRPr="004A3269">
        <w:t xml:space="preserve">, Moscou </w:t>
      </w:r>
      <w:r w:rsidR="0055782F" w:rsidRPr="004A3269">
        <w:rPr>
          <w:rStyle w:val="hps"/>
        </w:rPr>
        <w:t>(tous deux</w:t>
      </w:r>
      <w:r w:rsidR="00277DBB" w:rsidRPr="004A3269">
        <w:rPr>
          <w:rStyle w:val="hps"/>
        </w:rPr>
        <w:t xml:space="preserve"> </w:t>
      </w:r>
      <w:r w:rsidR="0055782F" w:rsidRPr="004A3269">
        <w:rPr>
          <w:rStyle w:val="hps"/>
        </w:rPr>
        <w:t>ouverts</w:t>
      </w:r>
      <w:r w:rsidR="0055782F" w:rsidRPr="004A3269">
        <w:t xml:space="preserve"> </w:t>
      </w:r>
      <w:r w:rsidR="0055782F" w:rsidRPr="004A3269">
        <w:rPr>
          <w:rStyle w:val="hps"/>
        </w:rPr>
        <w:t>en 2014</w:t>
      </w:r>
      <w:r w:rsidR="0055782F" w:rsidRPr="004A3269">
        <w:t xml:space="preserve">), </w:t>
      </w:r>
      <w:r w:rsidR="00277DBB" w:rsidRPr="004A3269">
        <w:rPr>
          <w:rStyle w:val="hps"/>
        </w:rPr>
        <w:t>New </w:t>
      </w:r>
      <w:r w:rsidR="0055782F" w:rsidRPr="004A3269">
        <w:rPr>
          <w:rStyle w:val="hps"/>
        </w:rPr>
        <w:t>York,</w:t>
      </w:r>
      <w:r w:rsidR="0055782F" w:rsidRPr="004A3269">
        <w:t xml:space="preserve"> </w:t>
      </w:r>
      <w:r w:rsidR="0055782F" w:rsidRPr="004A3269">
        <w:rPr>
          <w:rStyle w:val="hps"/>
        </w:rPr>
        <w:t>Rio de Janeiro</w:t>
      </w:r>
      <w:r w:rsidR="0055782F" w:rsidRPr="004A3269">
        <w:t xml:space="preserve">, Singapour et Tokyo.  </w:t>
      </w:r>
      <w:r w:rsidRPr="004A3269">
        <w:rPr>
          <w:szCs w:val="22"/>
        </w:rPr>
        <w:t>Elle jouit des privilèges et immunités accordés en vertu de la Convention sur les privilèges et immunités des institutions spécialisées de l</w:t>
      </w:r>
      <w:r w:rsidR="009021AA" w:rsidRPr="004A3269">
        <w:rPr>
          <w:szCs w:val="22"/>
        </w:rPr>
        <w:t>’</w:t>
      </w:r>
      <w:r w:rsidRPr="004A3269">
        <w:rPr>
          <w:szCs w:val="22"/>
        </w:rPr>
        <w:t>ONU de</w:t>
      </w:r>
      <w:r w:rsidR="00067463" w:rsidRPr="004A3269">
        <w:rPr>
          <w:szCs w:val="22"/>
        </w:rPr>
        <w:t> </w:t>
      </w:r>
      <w:r w:rsidRPr="004A3269">
        <w:rPr>
          <w:szCs w:val="22"/>
        </w:rPr>
        <w:t>1947 et de l</w:t>
      </w:r>
      <w:r w:rsidR="009021AA" w:rsidRPr="004A3269">
        <w:rPr>
          <w:szCs w:val="22"/>
        </w:rPr>
        <w:t>’</w:t>
      </w:r>
      <w:r w:rsidRPr="004A3269">
        <w:rPr>
          <w:szCs w:val="22"/>
        </w:rPr>
        <w:t>Accord de siège de</w:t>
      </w:r>
      <w:r w:rsidR="00067463" w:rsidRPr="004A3269">
        <w:rPr>
          <w:szCs w:val="22"/>
        </w:rPr>
        <w:t> </w:t>
      </w:r>
      <w:r w:rsidRPr="004A3269">
        <w:rPr>
          <w:szCs w:val="22"/>
        </w:rPr>
        <w:t>1970 conclu avec le Conseil fédéral suisse.  Elle est notamment exemptée de la plupart des impôts directs et indirects.</w:t>
      </w:r>
    </w:p>
    <w:p w:rsidR="00267140" w:rsidRPr="004A3269" w:rsidRDefault="00267140" w:rsidP="007C6D77">
      <w:pPr>
        <w:pStyle w:val="Style3"/>
        <w:spacing w:after="0"/>
        <w:rPr>
          <w:szCs w:val="22"/>
        </w:rPr>
      </w:pPr>
    </w:p>
    <w:p w:rsidR="009021AA" w:rsidRPr="004A3269" w:rsidRDefault="00644ECB" w:rsidP="00644ECB">
      <w:pPr>
        <w:pStyle w:val="Style3"/>
        <w:spacing w:after="0"/>
        <w:rPr>
          <w:szCs w:val="22"/>
        </w:rPr>
      </w:pPr>
      <w:r w:rsidRPr="004A3269">
        <w:rPr>
          <w:szCs w:val="22"/>
        </w:rPr>
        <w:t>L</w:t>
      </w:r>
      <w:r w:rsidR="009021AA" w:rsidRPr="004A3269">
        <w:rPr>
          <w:szCs w:val="22"/>
        </w:rPr>
        <w:t>’</w:t>
      </w:r>
      <w:r w:rsidRPr="004A3269">
        <w:rPr>
          <w:szCs w:val="22"/>
        </w:rPr>
        <w:t>OMPI est dirigée par les organes statutaires ci</w:t>
      </w:r>
      <w:r w:rsidR="00A17552" w:rsidRPr="004A3269">
        <w:rPr>
          <w:szCs w:val="22"/>
        </w:rPr>
        <w:noBreakHyphen/>
      </w:r>
      <w:r w:rsidRPr="004A3269">
        <w:rPr>
          <w:szCs w:val="22"/>
        </w:rPr>
        <w:t>après, créés par la Convention instituant l</w:t>
      </w:r>
      <w:r w:rsidR="009021AA" w:rsidRPr="004A3269">
        <w:rPr>
          <w:szCs w:val="22"/>
        </w:rPr>
        <w:t>’</w:t>
      </w:r>
      <w:r w:rsidRPr="004A3269">
        <w:rPr>
          <w:szCs w:val="22"/>
        </w:rPr>
        <w:t xml:space="preserve">OMPI, qui se </w:t>
      </w:r>
      <w:proofErr w:type="gramStart"/>
      <w:r w:rsidRPr="004A3269">
        <w:rPr>
          <w:szCs w:val="22"/>
        </w:rPr>
        <w:t>réunissent</w:t>
      </w:r>
      <w:proofErr w:type="gramEnd"/>
      <w:r w:rsidRPr="004A3269">
        <w:rPr>
          <w:szCs w:val="22"/>
        </w:rPr>
        <w:t xml:space="preserve"> en session ordinaire tous les deux</w:t>
      </w:r>
      <w:r w:rsidR="00067463" w:rsidRPr="004A3269">
        <w:rPr>
          <w:szCs w:val="22"/>
        </w:rPr>
        <w:t> </w:t>
      </w:r>
      <w:r w:rsidRPr="004A3269">
        <w:rPr>
          <w:szCs w:val="22"/>
        </w:rPr>
        <w:t>ans au moins et éventuellement en session extraordinaire les autres années.</w:t>
      </w:r>
    </w:p>
    <w:p w:rsidR="00267140" w:rsidRPr="004A3269" w:rsidRDefault="00267140" w:rsidP="007C6D77">
      <w:pPr>
        <w:pStyle w:val="Style3"/>
        <w:spacing w:after="0"/>
        <w:rPr>
          <w:szCs w:val="22"/>
        </w:rPr>
      </w:pPr>
    </w:p>
    <w:p w:rsidR="009021AA" w:rsidRPr="004A3269" w:rsidRDefault="00644ECB" w:rsidP="00695FBE">
      <w:pPr>
        <w:pStyle w:val="STYLEDUTEXTE"/>
        <w:numPr>
          <w:ilvl w:val="0"/>
          <w:numId w:val="20"/>
        </w:numPr>
        <w:tabs>
          <w:tab w:val="left" w:pos="1134"/>
        </w:tabs>
        <w:ind w:left="1134" w:hanging="567"/>
        <w:rPr>
          <w:szCs w:val="22"/>
        </w:rPr>
      </w:pPr>
      <w:r w:rsidRPr="004A3269">
        <w:rPr>
          <w:szCs w:val="22"/>
        </w:rPr>
        <w:t>L</w:t>
      </w:r>
      <w:r w:rsidR="009021AA" w:rsidRPr="004A3269">
        <w:rPr>
          <w:szCs w:val="22"/>
        </w:rPr>
        <w:t>’</w:t>
      </w:r>
      <w:r w:rsidRPr="004A3269">
        <w:rPr>
          <w:szCs w:val="22"/>
        </w:rPr>
        <w:t>Assemblée générale, composée des États parties à la convention qui sont aussi membres de l</w:t>
      </w:r>
      <w:r w:rsidR="009021AA" w:rsidRPr="004A3269">
        <w:rPr>
          <w:szCs w:val="22"/>
        </w:rPr>
        <w:t>’</w:t>
      </w:r>
      <w:r w:rsidRPr="004A3269">
        <w:rPr>
          <w:szCs w:val="22"/>
        </w:rPr>
        <w:t>une au moins des unions, est chargée de nommer le Directeur général pour une période déterminée qui ne peut être inférieure à six</w:t>
      </w:r>
      <w:r w:rsidR="00067463" w:rsidRPr="004A3269">
        <w:rPr>
          <w:szCs w:val="22"/>
        </w:rPr>
        <w:t> </w:t>
      </w:r>
      <w:r w:rsidRPr="004A3269">
        <w:rPr>
          <w:szCs w:val="22"/>
        </w:rPr>
        <w:t>ans, d</w:t>
      </w:r>
      <w:r w:rsidR="009021AA" w:rsidRPr="004A3269">
        <w:rPr>
          <w:szCs w:val="22"/>
        </w:rPr>
        <w:t>’</w:t>
      </w:r>
      <w:r w:rsidRPr="004A3269">
        <w:rPr>
          <w:szCs w:val="22"/>
        </w:rPr>
        <w:t>adopter le budget des dépenses communes à toutes les unions et le règlement financier, d</w:t>
      </w:r>
      <w:r w:rsidR="009021AA" w:rsidRPr="004A3269">
        <w:rPr>
          <w:szCs w:val="22"/>
        </w:rPr>
        <w:t>’</w:t>
      </w:r>
      <w:r w:rsidRPr="004A3269">
        <w:rPr>
          <w:szCs w:val="22"/>
        </w:rPr>
        <w:t>inviter les États à devenir parties à la convention et de s</w:t>
      </w:r>
      <w:r w:rsidR="009021AA" w:rsidRPr="004A3269">
        <w:rPr>
          <w:szCs w:val="22"/>
        </w:rPr>
        <w:t>’</w:t>
      </w:r>
      <w:r w:rsidRPr="004A3269">
        <w:rPr>
          <w:szCs w:val="22"/>
        </w:rPr>
        <w:t>acquitter de toutes autres tâches utiles précisées dans le cadre de la convention.</w:t>
      </w:r>
    </w:p>
    <w:p w:rsidR="00267140" w:rsidRPr="004A3269" w:rsidRDefault="00267140" w:rsidP="00695FBE">
      <w:pPr>
        <w:pStyle w:val="STYLEDUTEXTE"/>
        <w:tabs>
          <w:tab w:val="left" w:pos="1134"/>
        </w:tabs>
        <w:ind w:left="1134" w:hanging="567"/>
        <w:rPr>
          <w:szCs w:val="22"/>
        </w:rPr>
      </w:pPr>
    </w:p>
    <w:p w:rsidR="00267140" w:rsidRPr="004A3269" w:rsidRDefault="00644ECB" w:rsidP="00695FBE">
      <w:pPr>
        <w:pStyle w:val="STYLEDUTEXTE"/>
        <w:numPr>
          <w:ilvl w:val="0"/>
          <w:numId w:val="20"/>
        </w:numPr>
        <w:tabs>
          <w:tab w:val="left" w:pos="1134"/>
        </w:tabs>
        <w:ind w:left="1134" w:hanging="567"/>
        <w:rPr>
          <w:szCs w:val="22"/>
        </w:rPr>
      </w:pPr>
      <w:r w:rsidRPr="004A3269">
        <w:rPr>
          <w:szCs w:val="22"/>
        </w:rPr>
        <w:t>La Conférence comprend tous les États parties à la Convention, qu</w:t>
      </w:r>
      <w:r w:rsidR="009021AA" w:rsidRPr="004A3269">
        <w:rPr>
          <w:szCs w:val="22"/>
        </w:rPr>
        <w:t>’</w:t>
      </w:r>
      <w:r w:rsidRPr="004A3269">
        <w:rPr>
          <w:szCs w:val="22"/>
        </w:rPr>
        <w:t>ils soient ou non membres de l</w:t>
      </w:r>
      <w:r w:rsidR="009021AA" w:rsidRPr="004A3269">
        <w:rPr>
          <w:szCs w:val="22"/>
        </w:rPr>
        <w:t>’</w:t>
      </w:r>
      <w:r w:rsidRPr="004A3269">
        <w:rPr>
          <w:szCs w:val="22"/>
        </w:rPr>
        <w:t>une des unions.</w:t>
      </w:r>
      <w:r w:rsidR="0028170E" w:rsidRPr="004A3269">
        <w:t xml:space="preserve">  </w:t>
      </w:r>
      <w:r w:rsidRPr="004A3269">
        <w:rPr>
          <w:szCs w:val="22"/>
        </w:rPr>
        <w:t>Elle adopte son budget et les modifications à apporter à la convention et s</w:t>
      </w:r>
      <w:r w:rsidR="009021AA" w:rsidRPr="004A3269">
        <w:rPr>
          <w:szCs w:val="22"/>
        </w:rPr>
        <w:t>’</w:t>
      </w:r>
      <w:r w:rsidRPr="004A3269">
        <w:rPr>
          <w:szCs w:val="22"/>
        </w:rPr>
        <w:t>acquitte d</w:t>
      </w:r>
      <w:r w:rsidR="009021AA" w:rsidRPr="004A3269">
        <w:rPr>
          <w:szCs w:val="22"/>
        </w:rPr>
        <w:t>’</w:t>
      </w:r>
      <w:r w:rsidRPr="004A3269">
        <w:rPr>
          <w:szCs w:val="22"/>
        </w:rPr>
        <w:t>autres tâches utiles.</w:t>
      </w:r>
    </w:p>
    <w:p w:rsidR="00267140" w:rsidRPr="004A3269" w:rsidRDefault="00267140" w:rsidP="00695FBE">
      <w:pPr>
        <w:pStyle w:val="STYLEDUTEXTE"/>
        <w:tabs>
          <w:tab w:val="left" w:pos="1134"/>
        </w:tabs>
        <w:ind w:left="1134" w:hanging="567"/>
        <w:rPr>
          <w:szCs w:val="22"/>
        </w:rPr>
      </w:pPr>
    </w:p>
    <w:p w:rsidR="00267140" w:rsidRPr="004A3269" w:rsidRDefault="0055782F" w:rsidP="00695FBE">
      <w:pPr>
        <w:pStyle w:val="Style3"/>
        <w:numPr>
          <w:ilvl w:val="0"/>
          <w:numId w:val="20"/>
        </w:numPr>
        <w:tabs>
          <w:tab w:val="left" w:pos="1134"/>
        </w:tabs>
        <w:spacing w:after="0"/>
        <w:ind w:left="1134" w:hanging="567"/>
        <w:rPr>
          <w:szCs w:val="22"/>
        </w:rPr>
      </w:pPr>
      <w:r w:rsidRPr="004A3269">
        <w:rPr>
          <w:rStyle w:val="hps"/>
        </w:rPr>
        <w:t>Le Comité de coordination</w:t>
      </w:r>
      <w:r w:rsidRPr="004A3269">
        <w:t xml:space="preserve"> </w:t>
      </w:r>
      <w:r w:rsidRPr="004A3269">
        <w:rPr>
          <w:rStyle w:val="hps"/>
        </w:rPr>
        <w:t>comprend les membres</w:t>
      </w:r>
      <w:r w:rsidRPr="004A3269">
        <w:t xml:space="preserve"> </w:t>
      </w:r>
      <w:r w:rsidRPr="004A3269">
        <w:rPr>
          <w:rStyle w:val="hps"/>
        </w:rPr>
        <w:t>des comités exécutifs</w:t>
      </w:r>
      <w:r w:rsidRPr="004A3269">
        <w:t xml:space="preserve"> </w:t>
      </w:r>
      <w:r w:rsidRPr="004A3269">
        <w:rPr>
          <w:rStyle w:val="hps"/>
        </w:rPr>
        <w:t>des unions de Paris</w:t>
      </w:r>
      <w:r w:rsidRPr="004A3269">
        <w:t xml:space="preserve"> et </w:t>
      </w:r>
      <w:r w:rsidRPr="004A3269">
        <w:rPr>
          <w:rStyle w:val="hps"/>
        </w:rPr>
        <w:t>de Berne</w:t>
      </w:r>
      <w:r w:rsidRPr="004A3269">
        <w:t xml:space="preserve">, </w:t>
      </w:r>
      <w:r w:rsidRPr="004A3269">
        <w:rPr>
          <w:rStyle w:val="hps"/>
        </w:rPr>
        <w:t>un quart</w:t>
      </w:r>
      <w:r w:rsidRPr="004A3269">
        <w:t xml:space="preserve"> </w:t>
      </w:r>
      <w:r w:rsidRPr="004A3269">
        <w:rPr>
          <w:rStyle w:val="hps"/>
        </w:rPr>
        <w:t>des États</w:t>
      </w:r>
      <w:r w:rsidRPr="004A3269">
        <w:t xml:space="preserve"> </w:t>
      </w:r>
      <w:r w:rsidRPr="004A3269">
        <w:rPr>
          <w:rStyle w:val="hps"/>
        </w:rPr>
        <w:t>parties à la</w:t>
      </w:r>
      <w:r w:rsidRPr="004A3269">
        <w:t xml:space="preserve"> </w:t>
      </w:r>
      <w:r w:rsidRPr="004A3269">
        <w:rPr>
          <w:rStyle w:val="hps"/>
        </w:rPr>
        <w:t>Convention instituant l</w:t>
      </w:r>
      <w:r w:rsidR="009021AA" w:rsidRPr="004A3269">
        <w:rPr>
          <w:rStyle w:val="hps"/>
        </w:rPr>
        <w:t>’</w:t>
      </w:r>
      <w:r w:rsidRPr="004A3269">
        <w:rPr>
          <w:rStyle w:val="hps"/>
        </w:rPr>
        <w:t>OMPI</w:t>
      </w:r>
      <w:r w:rsidRPr="004A3269">
        <w:t xml:space="preserve"> </w:t>
      </w:r>
      <w:r w:rsidRPr="004A3269">
        <w:rPr>
          <w:rStyle w:val="hps"/>
        </w:rPr>
        <w:t>qui ne sont pas</w:t>
      </w:r>
      <w:r w:rsidRPr="004A3269">
        <w:t xml:space="preserve"> </w:t>
      </w:r>
      <w:r w:rsidRPr="004A3269">
        <w:rPr>
          <w:rStyle w:val="hps"/>
        </w:rPr>
        <w:t>membres de</w:t>
      </w:r>
      <w:r w:rsidRPr="004A3269">
        <w:t xml:space="preserve"> </w:t>
      </w:r>
      <w:r w:rsidRPr="004A3269">
        <w:rPr>
          <w:rStyle w:val="hps"/>
        </w:rPr>
        <w:t>l</w:t>
      </w:r>
      <w:r w:rsidR="009021AA" w:rsidRPr="004A3269">
        <w:rPr>
          <w:rStyle w:val="hps"/>
        </w:rPr>
        <w:t>’</w:t>
      </w:r>
      <w:r w:rsidRPr="004A3269">
        <w:rPr>
          <w:rStyle w:val="hps"/>
        </w:rPr>
        <w:t>une des unions</w:t>
      </w:r>
      <w:r w:rsidRPr="004A3269">
        <w:t xml:space="preserve">, </w:t>
      </w:r>
      <w:r w:rsidRPr="004A3269">
        <w:rPr>
          <w:rStyle w:val="hps"/>
        </w:rPr>
        <w:t>et</w:t>
      </w:r>
      <w:r w:rsidRPr="004A3269">
        <w:t xml:space="preserve"> </w:t>
      </w:r>
      <w:r w:rsidRPr="004A3269">
        <w:rPr>
          <w:rStyle w:val="hps"/>
        </w:rPr>
        <w:t>la Suisse</w:t>
      </w:r>
      <w:r w:rsidRPr="004A3269">
        <w:t xml:space="preserve">, qui est </w:t>
      </w:r>
      <w:r w:rsidRPr="004A3269">
        <w:rPr>
          <w:rStyle w:val="hps"/>
        </w:rPr>
        <w:t>l</w:t>
      </w:r>
      <w:r w:rsidR="009021AA" w:rsidRPr="004A3269">
        <w:rPr>
          <w:rStyle w:val="hps"/>
        </w:rPr>
        <w:t>’</w:t>
      </w:r>
      <w:r w:rsidRPr="004A3269">
        <w:rPr>
          <w:rStyle w:val="hps"/>
        </w:rPr>
        <w:t>État</w:t>
      </w:r>
      <w:r w:rsidRPr="004A3269">
        <w:t xml:space="preserve"> </w:t>
      </w:r>
      <w:r w:rsidRPr="004A3269">
        <w:rPr>
          <w:rStyle w:val="hps"/>
        </w:rPr>
        <w:t>sur le territoire duquel</w:t>
      </w:r>
      <w:r w:rsidRPr="004A3269">
        <w:t xml:space="preserve"> l</w:t>
      </w:r>
      <w:r w:rsidR="009021AA" w:rsidRPr="004A3269">
        <w:t>’</w:t>
      </w:r>
      <w:r w:rsidRPr="004A3269">
        <w:rPr>
          <w:rStyle w:val="hps"/>
        </w:rPr>
        <w:t xml:space="preserve">organisation a son siège. </w:t>
      </w:r>
      <w:r w:rsidR="00BC3ED4" w:rsidRPr="004A3269">
        <w:rPr>
          <w:rStyle w:val="hps"/>
        </w:rPr>
        <w:t xml:space="preserve"> </w:t>
      </w:r>
      <w:r w:rsidR="00D22016" w:rsidRPr="004A3269">
        <w:rPr>
          <w:szCs w:val="22"/>
        </w:rPr>
        <w:t>Il propose des candidats au poste de Directeur général et prépare les projets d</w:t>
      </w:r>
      <w:r w:rsidR="009021AA" w:rsidRPr="004A3269">
        <w:rPr>
          <w:szCs w:val="22"/>
        </w:rPr>
        <w:t>’</w:t>
      </w:r>
      <w:r w:rsidR="00D22016" w:rsidRPr="004A3269">
        <w:rPr>
          <w:szCs w:val="22"/>
        </w:rPr>
        <w:t>ordre du jour de l</w:t>
      </w:r>
      <w:r w:rsidR="009021AA" w:rsidRPr="004A3269">
        <w:rPr>
          <w:szCs w:val="22"/>
        </w:rPr>
        <w:t>’</w:t>
      </w:r>
      <w:r w:rsidR="00D22016" w:rsidRPr="004A3269">
        <w:rPr>
          <w:szCs w:val="22"/>
        </w:rPr>
        <w:t>Assemblée générale et les projets de programme et budget de la Conférence;  il s</w:t>
      </w:r>
      <w:r w:rsidR="009021AA" w:rsidRPr="004A3269">
        <w:rPr>
          <w:szCs w:val="22"/>
        </w:rPr>
        <w:t>’</w:t>
      </w:r>
      <w:r w:rsidR="00D22016" w:rsidRPr="004A3269">
        <w:rPr>
          <w:szCs w:val="22"/>
        </w:rPr>
        <w:t>acquitte de toutes autres tâches qui lui sont attribuées dans le cadre de la Convention instituant l</w:t>
      </w:r>
      <w:r w:rsidR="009021AA" w:rsidRPr="004A3269">
        <w:rPr>
          <w:szCs w:val="22"/>
        </w:rPr>
        <w:t>’</w:t>
      </w:r>
      <w:r w:rsidR="00D22016" w:rsidRPr="004A3269">
        <w:rPr>
          <w:szCs w:val="22"/>
        </w:rPr>
        <w:t>OMPI.</w:t>
      </w:r>
    </w:p>
    <w:p w:rsidR="00267140" w:rsidRPr="004A3269" w:rsidRDefault="00267140" w:rsidP="007C6D77">
      <w:pPr>
        <w:pStyle w:val="Style3"/>
        <w:spacing w:after="0"/>
        <w:rPr>
          <w:szCs w:val="22"/>
        </w:rPr>
      </w:pPr>
    </w:p>
    <w:p w:rsidR="009021AA" w:rsidRPr="004A3269" w:rsidRDefault="00D22016" w:rsidP="00695FBE">
      <w:pPr>
        <w:pStyle w:val="Style3"/>
        <w:numPr>
          <w:ilvl w:val="0"/>
          <w:numId w:val="20"/>
        </w:numPr>
        <w:tabs>
          <w:tab w:val="left" w:pos="1134"/>
        </w:tabs>
        <w:spacing w:after="0"/>
        <w:ind w:left="1134" w:hanging="567"/>
        <w:rPr>
          <w:szCs w:val="22"/>
        </w:rPr>
      </w:pPr>
      <w:r w:rsidRPr="004A3269">
        <w:rPr>
          <w:szCs w:val="22"/>
        </w:rPr>
        <w:t xml:space="preserve">Les assemblées des unions de Berne, de </w:t>
      </w:r>
      <w:r w:rsidR="009021AA" w:rsidRPr="004A3269">
        <w:rPr>
          <w:szCs w:val="22"/>
        </w:rPr>
        <w:t>La Haye</w:t>
      </w:r>
      <w:r w:rsidRPr="004A3269">
        <w:rPr>
          <w:szCs w:val="22"/>
        </w:rPr>
        <w:t>, de Nice, de Lisbonne, de Locarno, de Vienne, de Budapest, de l</w:t>
      </w:r>
      <w:r w:rsidR="009021AA" w:rsidRPr="004A3269">
        <w:rPr>
          <w:szCs w:val="22"/>
        </w:rPr>
        <w:t>’</w:t>
      </w:r>
      <w:r w:rsidRPr="004A3269">
        <w:rPr>
          <w:szCs w:val="22"/>
        </w:rPr>
        <w:t>IPC et de Paris se réunissent en vertu des différents traités les instituant, qui sont administrés par l</w:t>
      </w:r>
      <w:r w:rsidR="009021AA" w:rsidRPr="004A3269">
        <w:rPr>
          <w:szCs w:val="22"/>
        </w:rPr>
        <w:t>’</w:t>
      </w:r>
      <w:r w:rsidRPr="004A3269">
        <w:rPr>
          <w:szCs w:val="22"/>
        </w:rPr>
        <w:t>OMPI.  Elles adoptent les parties du budget de l</w:t>
      </w:r>
      <w:r w:rsidR="009021AA" w:rsidRPr="004A3269">
        <w:rPr>
          <w:szCs w:val="22"/>
        </w:rPr>
        <w:t>’</w:t>
      </w:r>
      <w:r w:rsidRPr="004A3269">
        <w:rPr>
          <w:szCs w:val="22"/>
        </w:rPr>
        <w:t>Organisation portant sur les recettes et les dépenses exclusivement imputables à chacune d</w:t>
      </w:r>
      <w:r w:rsidR="009021AA" w:rsidRPr="004A3269">
        <w:rPr>
          <w:szCs w:val="22"/>
        </w:rPr>
        <w:t>’</w:t>
      </w:r>
      <w:r w:rsidRPr="004A3269">
        <w:rPr>
          <w:szCs w:val="22"/>
        </w:rPr>
        <w:t>entre elles et déterminent le montant des taxes dues à l</w:t>
      </w:r>
      <w:r w:rsidR="009021AA" w:rsidRPr="004A3269">
        <w:rPr>
          <w:szCs w:val="22"/>
        </w:rPr>
        <w:t>’</w:t>
      </w:r>
      <w:r w:rsidRPr="004A3269">
        <w:rPr>
          <w:szCs w:val="22"/>
        </w:rPr>
        <w:t>OMPI pour les services rendus au titre de chaque traité.</w:t>
      </w:r>
    </w:p>
    <w:p w:rsidR="00267140" w:rsidRPr="004A3269" w:rsidRDefault="00267140" w:rsidP="007C6D77">
      <w:pPr>
        <w:pStyle w:val="Style3"/>
        <w:spacing w:after="0"/>
        <w:rPr>
          <w:szCs w:val="22"/>
        </w:rPr>
      </w:pPr>
    </w:p>
    <w:p w:rsidR="00267140" w:rsidRPr="004A3269" w:rsidRDefault="00D22016" w:rsidP="00D22016">
      <w:pPr>
        <w:pStyle w:val="Style3"/>
        <w:spacing w:after="0"/>
        <w:rPr>
          <w:szCs w:val="22"/>
        </w:rPr>
      </w:pPr>
      <w:r w:rsidRPr="004A3269">
        <w:rPr>
          <w:szCs w:val="22"/>
        </w:rPr>
        <w:t>L</w:t>
      </w:r>
      <w:r w:rsidR="009021AA" w:rsidRPr="004A3269">
        <w:rPr>
          <w:szCs w:val="22"/>
        </w:rPr>
        <w:t>’</w:t>
      </w:r>
      <w:r w:rsidRPr="004A3269">
        <w:rPr>
          <w:szCs w:val="22"/>
        </w:rPr>
        <w:t>OMPI est financée par les taxes découlant des services qu</w:t>
      </w:r>
      <w:r w:rsidR="009021AA" w:rsidRPr="004A3269">
        <w:rPr>
          <w:szCs w:val="22"/>
        </w:rPr>
        <w:t>’</w:t>
      </w:r>
      <w:r w:rsidRPr="004A3269">
        <w:rPr>
          <w:szCs w:val="22"/>
        </w:rPr>
        <w:t>elle fournit, les contributions statutaires versées par ses États membres et les contributions volontaires des États membres et d</w:t>
      </w:r>
      <w:r w:rsidR="009021AA" w:rsidRPr="004A3269">
        <w:rPr>
          <w:szCs w:val="22"/>
        </w:rPr>
        <w:t>’</w:t>
      </w:r>
      <w:r w:rsidRPr="004A3269">
        <w:rPr>
          <w:szCs w:val="22"/>
        </w:rPr>
        <w:t>autres donateurs.</w:t>
      </w:r>
      <w:r w:rsidR="00B94E49" w:rsidRPr="004A3269">
        <w:t xml:space="preserve">  </w:t>
      </w:r>
      <w:r w:rsidRPr="004A3269">
        <w:rPr>
          <w:szCs w:val="22"/>
        </w:rPr>
        <w:t>Elle exerce ses activités dans le cadre d</w:t>
      </w:r>
      <w:r w:rsidR="009021AA" w:rsidRPr="004A3269">
        <w:rPr>
          <w:szCs w:val="22"/>
        </w:rPr>
        <w:t>’</w:t>
      </w:r>
      <w:r w:rsidRPr="004A3269">
        <w:rPr>
          <w:szCs w:val="22"/>
        </w:rPr>
        <w:t>un programme et budget biennal qui prévoit les crédits représentant les autorisations de dépenses budgétaires approuvées par l</w:t>
      </w:r>
      <w:r w:rsidR="009021AA" w:rsidRPr="004A3269">
        <w:rPr>
          <w:szCs w:val="22"/>
        </w:rPr>
        <w:t>’</w:t>
      </w:r>
      <w:r w:rsidRPr="004A3269">
        <w:rPr>
          <w:szCs w:val="22"/>
        </w:rPr>
        <w:t>Assemblée générale pour chaque exercice financier</w:t>
      </w:r>
      <w:r w:rsidR="00A0797A" w:rsidRPr="004A3269">
        <w:rPr>
          <w:szCs w:val="22"/>
        </w:rPr>
        <w:t xml:space="preserve">.  </w:t>
      </w:r>
      <w:r w:rsidRPr="004A3269">
        <w:rPr>
          <w:szCs w:val="22"/>
        </w:rPr>
        <w:t>L</w:t>
      </w:r>
      <w:r w:rsidR="009021AA" w:rsidRPr="004A3269">
        <w:rPr>
          <w:szCs w:val="22"/>
        </w:rPr>
        <w:t>’</w:t>
      </w:r>
      <w:r w:rsidRPr="004A3269">
        <w:rPr>
          <w:szCs w:val="22"/>
        </w:rPr>
        <w:t>approbation des crédits donne pouvoir au Directeur général d</w:t>
      </w:r>
      <w:r w:rsidR="009021AA" w:rsidRPr="004A3269">
        <w:rPr>
          <w:szCs w:val="22"/>
        </w:rPr>
        <w:t>’</w:t>
      </w:r>
      <w:r w:rsidRPr="004A3269">
        <w:rPr>
          <w:szCs w:val="22"/>
        </w:rPr>
        <w:t>engager et d</w:t>
      </w:r>
      <w:r w:rsidR="009021AA" w:rsidRPr="004A3269">
        <w:rPr>
          <w:szCs w:val="22"/>
        </w:rPr>
        <w:t>’</w:t>
      </w:r>
      <w:r w:rsidRPr="004A3269">
        <w:rPr>
          <w:szCs w:val="22"/>
        </w:rPr>
        <w:t>autoriser les dépenses et d</w:t>
      </w:r>
      <w:r w:rsidR="009021AA" w:rsidRPr="004A3269">
        <w:rPr>
          <w:szCs w:val="22"/>
        </w:rPr>
        <w:t>’</w:t>
      </w:r>
      <w:r w:rsidRPr="004A3269">
        <w:rPr>
          <w:szCs w:val="22"/>
        </w:rPr>
        <w:t>effectuer les paiements aux fins prévues, dans les limites des crédits.</w:t>
      </w:r>
    </w:p>
    <w:p w:rsidR="00267140" w:rsidRPr="004A3269" w:rsidRDefault="00267140" w:rsidP="00901633">
      <w:pPr>
        <w:jc w:val="both"/>
        <w:rPr>
          <w:b/>
          <w:szCs w:val="22"/>
        </w:rPr>
      </w:pPr>
    </w:p>
    <w:p w:rsidR="00267140" w:rsidRPr="004A3269" w:rsidRDefault="00267140" w:rsidP="00901633">
      <w:pPr>
        <w:jc w:val="both"/>
        <w:rPr>
          <w:b/>
          <w:szCs w:val="22"/>
        </w:rPr>
      </w:pPr>
    </w:p>
    <w:p w:rsidR="00267140" w:rsidRPr="004A3269" w:rsidRDefault="00C06325" w:rsidP="00C06325">
      <w:pPr>
        <w:pStyle w:val="StyleHeading211ptNotBoldNotItalicAllcaps"/>
        <w:tabs>
          <w:tab w:val="left" w:pos="1701"/>
        </w:tabs>
        <w:spacing w:before="0" w:after="0"/>
        <w:rPr>
          <w:szCs w:val="22"/>
        </w:rPr>
      </w:pPr>
      <w:r w:rsidRPr="004A3269">
        <w:rPr>
          <w:b/>
          <w:i w:val="0"/>
          <w:szCs w:val="22"/>
        </w:rPr>
        <w:t>NOTE N°</w:t>
      </w:r>
      <w:r w:rsidR="00695FBE">
        <w:rPr>
          <w:i w:val="0"/>
          <w:szCs w:val="22"/>
        </w:rPr>
        <w:t> </w:t>
      </w:r>
      <w:r w:rsidRPr="004A3269">
        <w:rPr>
          <w:b/>
          <w:i w:val="0"/>
          <w:szCs w:val="22"/>
        </w:rPr>
        <w:t>2</w:t>
      </w:r>
      <w:r w:rsidR="00A0797A" w:rsidRPr="004A3269">
        <w:rPr>
          <w:i w:val="0"/>
          <w:szCs w:val="22"/>
        </w:rPr>
        <w:t> :</w:t>
      </w:r>
      <w:r w:rsidRPr="004A3269">
        <w:rPr>
          <w:b/>
          <w:i w:val="0"/>
          <w:szCs w:val="22"/>
        </w:rPr>
        <w:t xml:space="preserve"> </w:t>
      </w:r>
      <w:r w:rsidRPr="004A3269">
        <w:rPr>
          <w:b/>
          <w:i w:val="0"/>
          <w:szCs w:val="22"/>
        </w:rPr>
        <w:tab/>
        <w:t>PRINCIPALES MÉTHODES COMPTABLES</w:t>
      </w:r>
    </w:p>
    <w:p w:rsidR="00267140" w:rsidRPr="004A3269" w:rsidRDefault="00267140" w:rsidP="00901633">
      <w:pPr>
        <w:pStyle w:val="StyleHeading211ptNotBoldNotItalicAllcaps"/>
        <w:tabs>
          <w:tab w:val="left" w:pos="1260"/>
        </w:tabs>
        <w:spacing w:before="0" w:after="0"/>
      </w:pPr>
    </w:p>
    <w:p w:rsidR="00267140" w:rsidRPr="004A3269" w:rsidRDefault="00D22016" w:rsidP="00D22016">
      <w:pPr>
        <w:pStyle w:val="Style3Bold"/>
        <w:spacing w:after="0"/>
        <w:rPr>
          <w:szCs w:val="22"/>
        </w:rPr>
      </w:pPr>
      <w:r w:rsidRPr="004A3269">
        <w:rPr>
          <w:szCs w:val="22"/>
        </w:rPr>
        <w:t>Convention utilisée pour la préparation</w:t>
      </w:r>
    </w:p>
    <w:p w:rsidR="00267140" w:rsidRPr="004A3269" w:rsidRDefault="00267140" w:rsidP="00E1413C">
      <w:pPr>
        <w:pStyle w:val="Style3"/>
        <w:spacing w:after="0"/>
        <w:rPr>
          <w:szCs w:val="22"/>
        </w:rPr>
      </w:pPr>
    </w:p>
    <w:p w:rsidR="00267140" w:rsidRPr="004A3269" w:rsidRDefault="00D22016" w:rsidP="00D22016">
      <w:pPr>
        <w:pStyle w:val="Style3"/>
        <w:spacing w:after="0"/>
        <w:rPr>
          <w:szCs w:val="22"/>
        </w:rPr>
      </w:pPr>
      <w:r w:rsidRPr="004A3269">
        <w:rPr>
          <w:szCs w:val="22"/>
        </w:rPr>
        <w:t>Ces états financiers ont été élaborés selon une méthode progressive modifiée et selon le principe de la continuité d</w:t>
      </w:r>
      <w:r w:rsidR="009021AA" w:rsidRPr="004A3269">
        <w:rPr>
          <w:szCs w:val="22"/>
        </w:rPr>
        <w:t>’</w:t>
      </w:r>
      <w:r w:rsidRPr="004A3269">
        <w:rPr>
          <w:szCs w:val="22"/>
        </w:rPr>
        <w:t>activité.  Les méthodes comptables ont été appliquées de manière cohérente pendant tout l</w:t>
      </w:r>
      <w:r w:rsidR="009021AA" w:rsidRPr="004A3269">
        <w:rPr>
          <w:szCs w:val="22"/>
        </w:rPr>
        <w:t>’</w:t>
      </w:r>
      <w:r w:rsidRPr="004A3269">
        <w:rPr>
          <w:szCs w:val="22"/>
        </w:rPr>
        <w:t>exercice.</w:t>
      </w:r>
      <w:r w:rsidR="00E8347F" w:rsidRPr="004A3269">
        <w:t xml:space="preserve">  </w:t>
      </w:r>
      <w:r w:rsidRPr="004A3269">
        <w:rPr>
          <w:szCs w:val="22"/>
        </w:rPr>
        <w:t>Les états respectent les exigences des Normes comptables internationales du secteur public (normes</w:t>
      </w:r>
      <w:r w:rsidR="00067463" w:rsidRPr="004A3269">
        <w:rPr>
          <w:szCs w:val="22"/>
        </w:rPr>
        <w:t> </w:t>
      </w:r>
      <w:r w:rsidRPr="004A3269">
        <w:rPr>
          <w:szCs w:val="22"/>
        </w:rPr>
        <w:t>IPSAS).</w:t>
      </w:r>
    </w:p>
    <w:p w:rsidR="00267140" w:rsidRPr="004A3269" w:rsidRDefault="00267140" w:rsidP="00D602C9">
      <w:pPr>
        <w:pStyle w:val="Style3"/>
        <w:spacing w:after="0"/>
        <w:rPr>
          <w:szCs w:val="22"/>
        </w:rPr>
      </w:pPr>
    </w:p>
    <w:p w:rsidR="00267140" w:rsidRPr="004A3269" w:rsidRDefault="00D22016" w:rsidP="00D22016">
      <w:pPr>
        <w:pStyle w:val="Style3Bold"/>
        <w:spacing w:after="0"/>
        <w:rPr>
          <w:szCs w:val="22"/>
        </w:rPr>
      </w:pPr>
      <w:r w:rsidRPr="004A3269">
        <w:rPr>
          <w:szCs w:val="22"/>
        </w:rPr>
        <w:t>Coûts d</w:t>
      </w:r>
      <w:r w:rsidR="009021AA" w:rsidRPr="004A3269">
        <w:rPr>
          <w:szCs w:val="22"/>
        </w:rPr>
        <w:t>’</w:t>
      </w:r>
      <w:r w:rsidRPr="004A3269">
        <w:rPr>
          <w:szCs w:val="22"/>
        </w:rPr>
        <w:t>emprunt</w:t>
      </w:r>
    </w:p>
    <w:p w:rsidR="00267140" w:rsidRPr="004A3269" w:rsidRDefault="00267140" w:rsidP="007C6D77">
      <w:pPr>
        <w:pStyle w:val="Style3"/>
        <w:spacing w:after="0"/>
        <w:rPr>
          <w:szCs w:val="22"/>
        </w:rPr>
      </w:pPr>
    </w:p>
    <w:p w:rsidR="00267140" w:rsidRPr="004A3269" w:rsidRDefault="00D22016" w:rsidP="00D22016">
      <w:pPr>
        <w:pStyle w:val="Style3"/>
        <w:spacing w:after="0"/>
        <w:rPr>
          <w:szCs w:val="22"/>
        </w:rPr>
      </w:pPr>
      <w:r w:rsidRPr="004A3269">
        <w:rPr>
          <w:szCs w:val="22"/>
        </w:rPr>
        <w:t>Tous les coûts supportés en rapport avec des emprunts sont traités comme des dépenses pour la période au cours de laquelle ils sont supportés.</w:t>
      </w:r>
      <w:r w:rsidR="005845E8" w:rsidRPr="004A3269">
        <w:t xml:space="preserve">  </w:t>
      </w:r>
      <w:r w:rsidRPr="004A3269">
        <w:rPr>
          <w:szCs w:val="22"/>
        </w:rPr>
        <w:t>Les coûts d</w:t>
      </w:r>
      <w:r w:rsidR="009021AA" w:rsidRPr="004A3269">
        <w:rPr>
          <w:szCs w:val="22"/>
        </w:rPr>
        <w:t>’</w:t>
      </w:r>
      <w:r w:rsidRPr="004A3269">
        <w:rPr>
          <w:szCs w:val="22"/>
        </w:rPr>
        <w:t>emprunt (intérêts et taxes) concernant la construction du nouveau bâtiment ont été comptabilisés dans le cadre des travaux en cours durant la phas</w:t>
      </w:r>
      <w:r w:rsidR="00C06325" w:rsidRPr="004A3269">
        <w:rPr>
          <w:szCs w:val="22"/>
        </w:rPr>
        <w:t xml:space="preserve">e de construction (voir </w:t>
      </w:r>
      <w:r w:rsidR="00695FBE">
        <w:rPr>
          <w:szCs w:val="22"/>
        </w:rPr>
        <w:t xml:space="preserve">la </w:t>
      </w:r>
      <w:r w:rsidR="00C06325" w:rsidRPr="004A3269">
        <w:rPr>
          <w:szCs w:val="22"/>
        </w:rPr>
        <w:t>note n° </w:t>
      </w:r>
      <w:r w:rsidRPr="004A3269">
        <w:rPr>
          <w:szCs w:val="22"/>
        </w:rPr>
        <w:t>9)</w:t>
      </w:r>
      <w:r w:rsidR="00A0797A" w:rsidRPr="004A3269">
        <w:rPr>
          <w:szCs w:val="22"/>
        </w:rPr>
        <w:t xml:space="preserve">.  </w:t>
      </w:r>
      <w:r w:rsidRPr="004A3269">
        <w:rPr>
          <w:szCs w:val="22"/>
        </w:rPr>
        <w:t>Les coûts d</w:t>
      </w:r>
      <w:r w:rsidR="009021AA" w:rsidRPr="004A3269">
        <w:rPr>
          <w:szCs w:val="22"/>
        </w:rPr>
        <w:t>’</w:t>
      </w:r>
      <w:r w:rsidRPr="004A3269">
        <w:rPr>
          <w:szCs w:val="22"/>
        </w:rPr>
        <w:t>emprunt (commission sur les montants prêtés non utilisés) liés à la construction de la nouvelle salle de conférence ont été comptabilisés dans le cadre des travaux en cours pendant la phase d</w:t>
      </w:r>
      <w:r w:rsidR="00C06325" w:rsidRPr="004A3269">
        <w:rPr>
          <w:szCs w:val="22"/>
        </w:rPr>
        <w:t xml:space="preserve">e construction (voir </w:t>
      </w:r>
      <w:r w:rsidR="00695FBE">
        <w:rPr>
          <w:szCs w:val="22"/>
        </w:rPr>
        <w:t xml:space="preserve">la </w:t>
      </w:r>
      <w:r w:rsidR="00C06325" w:rsidRPr="004A3269">
        <w:rPr>
          <w:szCs w:val="22"/>
        </w:rPr>
        <w:t>note n° </w:t>
      </w:r>
      <w:r w:rsidRPr="004A3269">
        <w:rPr>
          <w:szCs w:val="22"/>
        </w:rPr>
        <w:t>9).</w:t>
      </w:r>
      <w:r w:rsidR="000E49CA" w:rsidRPr="004A3269">
        <w:t xml:space="preserve"> </w:t>
      </w:r>
      <w:r w:rsidR="00866220" w:rsidRPr="004A3269">
        <w:t xml:space="preserve"> </w:t>
      </w:r>
      <w:r w:rsidRPr="004A3269">
        <w:rPr>
          <w:szCs w:val="22"/>
        </w:rPr>
        <w:t>Les coûts d</w:t>
      </w:r>
      <w:r w:rsidR="009021AA" w:rsidRPr="004A3269">
        <w:rPr>
          <w:szCs w:val="22"/>
        </w:rPr>
        <w:t>’</w:t>
      </w:r>
      <w:r w:rsidRPr="004A3269">
        <w:rPr>
          <w:szCs w:val="22"/>
        </w:rPr>
        <w:t>emprunt (intérêts et taxes) concernant l</w:t>
      </w:r>
      <w:r w:rsidR="009021AA" w:rsidRPr="004A3269">
        <w:rPr>
          <w:szCs w:val="22"/>
        </w:rPr>
        <w:t>’</w:t>
      </w:r>
      <w:r w:rsidRPr="004A3269">
        <w:rPr>
          <w:szCs w:val="22"/>
        </w:rPr>
        <w:t>acquisition auprès de l</w:t>
      </w:r>
      <w:r w:rsidR="009021AA" w:rsidRPr="004A3269">
        <w:rPr>
          <w:szCs w:val="22"/>
        </w:rPr>
        <w:t>’</w:t>
      </w:r>
      <w:r w:rsidRPr="004A3269">
        <w:rPr>
          <w:szCs w:val="22"/>
        </w:rPr>
        <w:t>Organisation météorologique mondiale des droits de superficie relatifs au site sur lequel le bâtiment</w:t>
      </w:r>
      <w:r w:rsidR="009021AA" w:rsidRPr="004A3269">
        <w:rPr>
          <w:szCs w:val="22"/>
        </w:rPr>
        <w:t xml:space="preserve"> du PCT</w:t>
      </w:r>
      <w:r w:rsidRPr="004A3269">
        <w:rPr>
          <w:szCs w:val="22"/>
        </w:rPr>
        <w:t xml:space="preserve"> a été construit ont été comptabilisés dans le cadre de la valeur de l</w:t>
      </w:r>
      <w:r w:rsidR="009021AA" w:rsidRPr="004A3269">
        <w:rPr>
          <w:szCs w:val="22"/>
        </w:rPr>
        <w:t>’</w:t>
      </w:r>
      <w:r w:rsidRPr="004A3269">
        <w:rPr>
          <w:szCs w:val="22"/>
        </w:rPr>
        <w:t>actif et amortis sur le nombre d</w:t>
      </w:r>
      <w:r w:rsidR="009021AA" w:rsidRPr="004A3269">
        <w:rPr>
          <w:szCs w:val="22"/>
        </w:rPr>
        <w:t>’</w:t>
      </w:r>
      <w:r w:rsidRPr="004A3269">
        <w:rPr>
          <w:szCs w:val="22"/>
        </w:rPr>
        <w:t>années restantes jusqu</w:t>
      </w:r>
      <w:r w:rsidR="009021AA" w:rsidRPr="004A3269">
        <w:rPr>
          <w:szCs w:val="22"/>
        </w:rPr>
        <w:t>’</w:t>
      </w:r>
      <w:r w:rsidRPr="004A3269">
        <w:rPr>
          <w:szCs w:val="22"/>
        </w:rPr>
        <w:t>à l</w:t>
      </w:r>
      <w:r w:rsidR="009021AA" w:rsidRPr="004A3269">
        <w:rPr>
          <w:szCs w:val="22"/>
        </w:rPr>
        <w:t>’</w:t>
      </w:r>
      <w:r w:rsidRPr="004A3269">
        <w:rPr>
          <w:szCs w:val="22"/>
        </w:rPr>
        <w:t>extinction des dro</w:t>
      </w:r>
      <w:r w:rsidR="00C06325" w:rsidRPr="004A3269">
        <w:rPr>
          <w:szCs w:val="22"/>
        </w:rPr>
        <w:t xml:space="preserve">its de superficie (voir </w:t>
      </w:r>
      <w:r w:rsidR="00695FBE">
        <w:rPr>
          <w:szCs w:val="22"/>
        </w:rPr>
        <w:t xml:space="preserve">la </w:t>
      </w:r>
      <w:r w:rsidR="00C06325" w:rsidRPr="004A3269">
        <w:rPr>
          <w:szCs w:val="22"/>
        </w:rPr>
        <w:t>note n° </w:t>
      </w:r>
      <w:r w:rsidRPr="004A3269">
        <w:rPr>
          <w:szCs w:val="22"/>
        </w:rPr>
        <w:t>8).</w:t>
      </w:r>
    </w:p>
    <w:p w:rsidR="00267140" w:rsidRPr="004A3269" w:rsidRDefault="00267140" w:rsidP="007C6D77">
      <w:pPr>
        <w:pStyle w:val="Style3"/>
        <w:spacing w:after="0"/>
        <w:rPr>
          <w:szCs w:val="22"/>
        </w:rPr>
      </w:pPr>
    </w:p>
    <w:p w:rsidR="00267140" w:rsidRPr="004A3269" w:rsidRDefault="00D22016" w:rsidP="00D22016">
      <w:pPr>
        <w:pStyle w:val="Style3Bold"/>
        <w:spacing w:after="0"/>
        <w:rPr>
          <w:szCs w:val="22"/>
        </w:rPr>
      </w:pPr>
      <w:r w:rsidRPr="004A3269">
        <w:rPr>
          <w:szCs w:val="22"/>
        </w:rPr>
        <w:t>Trésorerie, investissements et autres actifs financiers</w:t>
      </w:r>
    </w:p>
    <w:p w:rsidR="00267140" w:rsidRPr="004A3269" w:rsidRDefault="00267140" w:rsidP="00CA4EAA">
      <w:pPr>
        <w:pStyle w:val="Style3"/>
        <w:spacing w:after="0"/>
        <w:rPr>
          <w:szCs w:val="22"/>
        </w:rPr>
      </w:pPr>
    </w:p>
    <w:p w:rsidR="00267140" w:rsidRPr="004A3269" w:rsidRDefault="00D22016" w:rsidP="00D22016">
      <w:pPr>
        <w:pStyle w:val="Style3"/>
        <w:spacing w:after="0"/>
        <w:rPr>
          <w:szCs w:val="22"/>
        </w:rPr>
      </w:pPr>
      <w:r w:rsidRPr="004A3269">
        <w:rPr>
          <w:szCs w:val="22"/>
        </w:rPr>
        <w:t>La trésorerie et les équivalents de trésorerie incluent les fonds en caisse, les dépôts sur des comptes bancaires courants, les dépôts détenus jusqu</w:t>
      </w:r>
      <w:r w:rsidR="009021AA" w:rsidRPr="004A3269">
        <w:rPr>
          <w:szCs w:val="22"/>
        </w:rPr>
        <w:t>’</w:t>
      </w:r>
      <w:r w:rsidRPr="004A3269">
        <w:rPr>
          <w:szCs w:val="22"/>
        </w:rPr>
        <w:t xml:space="preserve">à </w:t>
      </w:r>
      <w:r w:rsidR="00A0797A" w:rsidRPr="004A3269">
        <w:rPr>
          <w:szCs w:val="22"/>
        </w:rPr>
        <w:t>90 </w:t>
      </w:r>
      <w:r w:rsidRPr="004A3269">
        <w:rPr>
          <w:szCs w:val="22"/>
        </w:rPr>
        <w:t>jours et d</w:t>
      </w:r>
      <w:r w:rsidR="009021AA" w:rsidRPr="004A3269">
        <w:rPr>
          <w:szCs w:val="22"/>
        </w:rPr>
        <w:t>’</w:t>
      </w:r>
      <w:r w:rsidRPr="004A3269">
        <w:rPr>
          <w:szCs w:val="22"/>
        </w:rPr>
        <w:t>autres placements à court terme très liquides qui sont facilement convertibles en trésorerie et qui sont soumis à un risque négligeable de changement de valeur.</w:t>
      </w:r>
    </w:p>
    <w:p w:rsidR="00267140" w:rsidRPr="004A3269" w:rsidRDefault="00267140" w:rsidP="007C6D77">
      <w:pPr>
        <w:pStyle w:val="Style3"/>
        <w:spacing w:after="0"/>
        <w:rPr>
          <w:szCs w:val="22"/>
        </w:rPr>
      </w:pPr>
    </w:p>
    <w:p w:rsidR="00267140" w:rsidRPr="004A3269" w:rsidRDefault="00D22016" w:rsidP="00D22016">
      <w:pPr>
        <w:pStyle w:val="Style3Bold"/>
        <w:spacing w:after="0"/>
        <w:rPr>
          <w:szCs w:val="22"/>
        </w:rPr>
      </w:pPr>
      <w:r w:rsidRPr="004A3269">
        <w:rPr>
          <w:szCs w:val="22"/>
        </w:rPr>
        <w:t>Prestations au personnel</w:t>
      </w:r>
    </w:p>
    <w:p w:rsidR="00267140" w:rsidRPr="004A3269" w:rsidRDefault="00267140" w:rsidP="007C6D77">
      <w:pPr>
        <w:pStyle w:val="Style3"/>
        <w:spacing w:after="0"/>
        <w:rPr>
          <w:szCs w:val="22"/>
        </w:rPr>
      </w:pPr>
    </w:p>
    <w:p w:rsidR="00267140" w:rsidRPr="004A3269" w:rsidRDefault="0055782F" w:rsidP="00954730">
      <w:pPr>
        <w:pStyle w:val="Style3"/>
        <w:spacing w:after="0"/>
      </w:pPr>
      <w:r w:rsidRPr="004A3269">
        <w:t xml:space="preserve">Des provisions sont constituées </w:t>
      </w:r>
      <w:r w:rsidR="00F6693D" w:rsidRPr="004A3269">
        <w:t xml:space="preserve">pour </w:t>
      </w:r>
      <w:r w:rsidRPr="004A3269">
        <w:rPr>
          <w:rStyle w:val="hps"/>
        </w:rPr>
        <w:t>l</w:t>
      </w:r>
      <w:r w:rsidR="009021AA" w:rsidRPr="004A3269">
        <w:rPr>
          <w:rStyle w:val="hps"/>
        </w:rPr>
        <w:t>’</w:t>
      </w:r>
      <w:r w:rsidRPr="004A3269">
        <w:rPr>
          <w:rStyle w:val="hps"/>
        </w:rPr>
        <w:t>assurance</w:t>
      </w:r>
      <w:r w:rsidR="00A17552" w:rsidRPr="004A3269">
        <w:rPr>
          <w:rStyle w:val="hps"/>
        </w:rPr>
        <w:noBreakHyphen/>
      </w:r>
      <w:r w:rsidRPr="004A3269">
        <w:rPr>
          <w:rStyle w:val="hps"/>
        </w:rPr>
        <w:t xml:space="preserve">maladie </w:t>
      </w:r>
      <w:r w:rsidR="00E1450E" w:rsidRPr="004A3269">
        <w:rPr>
          <w:rStyle w:val="hps"/>
        </w:rPr>
        <w:t xml:space="preserve">après la cessation de service </w:t>
      </w:r>
      <w:r w:rsidR="00F6693D" w:rsidRPr="004A3269">
        <w:t>ainsi que</w:t>
      </w:r>
      <w:r w:rsidRPr="004A3269">
        <w:t xml:space="preserve"> les primes de rapatriement et </w:t>
      </w:r>
      <w:r w:rsidR="00F6693D" w:rsidRPr="004A3269">
        <w:t>les voyages</w:t>
      </w:r>
      <w:r w:rsidRPr="004A3269">
        <w:t xml:space="preserve">, définies par un actuaire indépendant sur une base annuelle selon la méthode des unités de crédit projetées.  </w:t>
      </w:r>
      <w:r w:rsidR="00F6693D" w:rsidRPr="004A3269">
        <w:t xml:space="preserve">En ce qui concerne la provision pour </w:t>
      </w:r>
      <w:r w:rsidR="00F6693D" w:rsidRPr="004A3269">
        <w:rPr>
          <w:rStyle w:val="hps"/>
        </w:rPr>
        <w:t>l</w:t>
      </w:r>
      <w:r w:rsidR="009021AA" w:rsidRPr="004A3269">
        <w:rPr>
          <w:rStyle w:val="hps"/>
        </w:rPr>
        <w:t>’</w:t>
      </w:r>
      <w:r w:rsidR="00F6693D" w:rsidRPr="004A3269">
        <w:rPr>
          <w:rStyle w:val="hps"/>
        </w:rPr>
        <w:t>assurance</w:t>
      </w:r>
      <w:r w:rsidR="00A17552" w:rsidRPr="004A3269">
        <w:rPr>
          <w:rStyle w:val="hps"/>
        </w:rPr>
        <w:noBreakHyphen/>
      </w:r>
      <w:r w:rsidR="00F6693D" w:rsidRPr="004A3269">
        <w:rPr>
          <w:rStyle w:val="hps"/>
        </w:rPr>
        <w:t xml:space="preserve">maladie </w:t>
      </w:r>
      <w:r w:rsidR="00A74760" w:rsidRPr="004A3269">
        <w:rPr>
          <w:rStyle w:val="hps"/>
        </w:rPr>
        <w:t>après la cessation</w:t>
      </w:r>
      <w:r w:rsidR="00F6693D" w:rsidRPr="004A3269">
        <w:rPr>
          <w:rStyle w:val="hps"/>
        </w:rPr>
        <w:t xml:space="preserve"> de service</w:t>
      </w:r>
      <w:r w:rsidR="00F6693D" w:rsidRPr="004A3269">
        <w:t>, l</w:t>
      </w:r>
      <w:r w:rsidRPr="004A3269">
        <w:t>es gains et pertes actuariels sont comptabilités selon la méthode du corridor et sont amortis sur le nombre moyen d</w:t>
      </w:r>
      <w:r w:rsidR="009021AA" w:rsidRPr="004A3269">
        <w:t>’</w:t>
      </w:r>
      <w:r w:rsidRPr="004A3269">
        <w:t xml:space="preserve">années de service restant du personnel en activité.  En outre, des provisions sont constituées pour </w:t>
      </w:r>
      <w:r w:rsidR="00E1450E" w:rsidRPr="004A3269">
        <w:t xml:space="preserve">les </w:t>
      </w:r>
      <w:r w:rsidR="00E1450E" w:rsidRPr="004A3269">
        <w:lastRenderedPageBreak/>
        <w:t>congés cumulés, l</w:t>
      </w:r>
      <w:r w:rsidRPr="004A3269">
        <w:t xml:space="preserve">es </w:t>
      </w:r>
      <w:r w:rsidR="00F6693D" w:rsidRPr="004A3269">
        <w:t xml:space="preserve">congés dans les foyers différés, </w:t>
      </w:r>
      <w:r w:rsidR="00E1450E" w:rsidRPr="004A3269">
        <w:t>l</w:t>
      </w:r>
      <w:r w:rsidRPr="004A3269">
        <w:t>es heures supplémentaires réalisées mais non payées</w:t>
      </w:r>
      <w:r w:rsidR="00E1450E" w:rsidRPr="004A3269">
        <w:t>, l</w:t>
      </w:r>
      <w:r w:rsidR="00F6693D" w:rsidRPr="004A3269">
        <w:t xml:space="preserve">es prestations versées pour </w:t>
      </w:r>
      <w:r w:rsidR="00E1450E" w:rsidRPr="004A3269">
        <w:t xml:space="preserve">la </w:t>
      </w:r>
      <w:r w:rsidR="00F6693D" w:rsidRPr="004A3269">
        <w:t>cessation de service</w:t>
      </w:r>
      <w:r w:rsidR="00E1450E" w:rsidRPr="004A3269">
        <w:t xml:space="preserve"> et l</w:t>
      </w:r>
      <w:r w:rsidR="00B862C2" w:rsidRPr="004A3269">
        <w:t>es récompenses</w:t>
      </w:r>
      <w:r w:rsidRPr="004A3269">
        <w:t xml:space="preserve"> et pour les allocations d</w:t>
      </w:r>
      <w:r w:rsidR="009021AA" w:rsidRPr="004A3269">
        <w:t>’</w:t>
      </w:r>
      <w:r w:rsidRPr="004A3269">
        <w:t>études payables à la date d</w:t>
      </w:r>
      <w:r w:rsidR="009021AA" w:rsidRPr="004A3269">
        <w:t>’</w:t>
      </w:r>
      <w:r w:rsidRPr="004A3269">
        <w:t>établissement des états financiers qui n</w:t>
      </w:r>
      <w:r w:rsidR="009021AA" w:rsidRPr="004A3269">
        <w:t>’</w:t>
      </w:r>
      <w:r w:rsidRPr="004A3269">
        <w:t>ont</w:t>
      </w:r>
      <w:r w:rsidR="00B862C2" w:rsidRPr="004A3269">
        <w:t xml:space="preserve"> pas été comptabilisée</w:t>
      </w:r>
      <w:r w:rsidRPr="004A3269">
        <w:t>s dans les dépenses courantes.</w:t>
      </w:r>
    </w:p>
    <w:p w:rsidR="0055782F" w:rsidRPr="004A3269" w:rsidRDefault="0055782F" w:rsidP="00954730">
      <w:pPr>
        <w:pStyle w:val="Style3"/>
        <w:spacing w:after="0"/>
        <w:rPr>
          <w:szCs w:val="22"/>
        </w:rPr>
      </w:pPr>
    </w:p>
    <w:p w:rsidR="00267140" w:rsidRPr="004A3269" w:rsidRDefault="00D22016" w:rsidP="00D22016">
      <w:pPr>
        <w:autoSpaceDE w:val="0"/>
        <w:autoSpaceDN w:val="0"/>
        <w:adjustRightInd w:val="0"/>
        <w:jc w:val="both"/>
        <w:rPr>
          <w:szCs w:val="22"/>
        </w:rPr>
      </w:pPr>
      <w:r w:rsidRPr="004A3269">
        <w:rPr>
          <w:szCs w:val="22"/>
        </w:rPr>
        <w:t>L</w:t>
      </w:r>
      <w:r w:rsidR="009021AA" w:rsidRPr="004A3269">
        <w:rPr>
          <w:szCs w:val="22"/>
        </w:rPr>
        <w:t>’</w:t>
      </w:r>
      <w:r w:rsidRPr="004A3269">
        <w:rPr>
          <w:szCs w:val="22"/>
        </w:rPr>
        <w:t xml:space="preserve">OMPI est une organisation affiliée participant à la Caisse commune des pensions du personnel des </w:t>
      </w:r>
      <w:r w:rsidR="009021AA" w:rsidRPr="004A3269">
        <w:rPr>
          <w:szCs w:val="22"/>
        </w:rPr>
        <w:t>Nations Unies</w:t>
      </w:r>
      <w:r w:rsidRPr="004A3269">
        <w:rPr>
          <w:szCs w:val="22"/>
        </w:rPr>
        <w:t xml:space="preserve"> créée par l</w:t>
      </w:r>
      <w:r w:rsidR="009021AA" w:rsidRPr="004A3269">
        <w:rPr>
          <w:szCs w:val="22"/>
        </w:rPr>
        <w:t>’</w:t>
      </w:r>
      <w:r w:rsidRPr="004A3269">
        <w:rPr>
          <w:szCs w:val="22"/>
        </w:rPr>
        <w:t xml:space="preserve">Assemblée générale des </w:t>
      </w:r>
      <w:r w:rsidR="009021AA" w:rsidRPr="004A3269">
        <w:rPr>
          <w:szCs w:val="22"/>
        </w:rPr>
        <w:t>Nations Unies</w:t>
      </w:r>
      <w:r w:rsidRPr="004A3269">
        <w:rPr>
          <w:szCs w:val="22"/>
        </w:rPr>
        <w:t xml:space="preserve"> pour assurer des prestations de retraite, de décès ou d</w:t>
      </w:r>
      <w:r w:rsidR="009021AA" w:rsidRPr="004A3269">
        <w:rPr>
          <w:szCs w:val="22"/>
        </w:rPr>
        <w:t>’</w:t>
      </w:r>
      <w:r w:rsidRPr="004A3269">
        <w:rPr>
          <w:szCs w:val="22"/>
        </w:rPr>
        <w:t>invalidité et des prestations connexes à ses employés</w:t>
      </w:r>
      <w:r w:rsidR="00A0797A" w:rsidRPr="004A3269">
        <w:rPr>
          <w:szCs w:val="22"/>
        </w:rPr>
        <w:t xml:space="preserve">.  </w:t>
      </w:r>
      <w:r w:rsidRPr="004A3269">
        <w:rPr>
          <w:szCs w:val="22"/>
        </w:rPr>
        <w:t>La Caisse des pensions est une caisse à capitalisation finançant des prestations définies;  elle est financée par de nombreux employeurs</w:t>
      </w:r>
      <w:r w:rsidR="00A0797A" w:rsidRPr="004A3269">
        <w:rPr>
          <w:szCs w:val="22"/>
        </w:rPr>
        <w:t xml:space="preserve">.  </w:t>
      </w:r>
      <w:r w:rsidRPr="004A3269">
        <w:rPr>
          <w:szCs w:val="22"/>
        </w:rPr>
        <w:t>Comme le précise l</w:t>
      </w:r>
      <w:r w:rsidR="009021AA" w:rsidRPr="004A3269">
        <w:rPr>
          <w:szCs w:val="22"/>
        </w:rPr>
        <w:t>’</w:t>
      </w:r>
      <w:r w:rsidR="00A0797A" w:rsidRPr="004A3269">
        <w:rPr>
          <w:szCs w:val="22"/>
        </w:rPr>
        <w:t>article </w:t>
      </w:r>
      <w:r w:rsidRPr="004A3269">
        <w:rPr>
          <w:szCs w:val="22"/>
        </w:rPr>
        <w:t>3.b) du règlement de la Caisse, peuvent s</w:t>
      </w:r>
      <w:r w:rsidR="009021AA" w:rsidRPr="004A3269">
        <w:rPr>
          <w:szCs w:val="22"/>
        </w:rPr>
        <w:t>’</w:t>
      </w:r>
      <w:r w:rsidRPr="004A3269">
        <w:rPr>
          <w:szCs w:val="22"/>
        </w:rPr>
        <w:t>affilier à la Caisse les institutions spécialisées ainsi que toute autre organisation intergouvernementale internationale qui applique le régime commun de traitements, indemnités et autres conditions d</w:t>
      </w:r>
      <w:r w:rsidR="009021AA" w:rsidRPr="004A3269">
        <w:rPr>
          <w:szCs w:val="22"/>
        </w:rPr>
        <w:t>’</w:t>
      </w:r>
      <w:r w:rsidRPr="004A3269">
        <w:rPr>
          <w:szCs w:val="22"/>
        </w:rPr>
        <w:t>emploi prestations de l</w:t>
      </w:r>
      <w:r w:rsidR="009021AA" w:rsidRPr="004A3269">
        <w:rPr>
          <w:szCs w:val="22"/>
        </w:rPr>
        <w:t>’</w:t>
      </w:r>
      <w:r w:rsidRPr="004A3269">
        <w:rPr>
          <w:szCs w:val="22"/>
        </w:rPr>
        <w:t xml:space="preserve">Organisation des </w:t>
      </w:r>
      <w:r w:rsidR="009021AA" w:rsidRPr="004A3269">
        <w:rPr>
          <w:szCs w:val="22"/>
        </w:rPr>
        <w:t>Nations Unies</w:t>
      </w:r>
      <w:r w:rsidRPr="004A3269">
        <w:rPr>
          <w:szCs w:val="22"/>
        </w:rPr>
        <w:t xml:space="preserve"> et des institutions spécialisées.</w:t>
      </w:r>
    </w:p>
    <w:p w:rsidR="00267140" w:rsidRPr="004A3269" w:rsidRDefault="00267140" w:rsidP="00954730">
      <w:pPr>
        <w:autoSpaceDE w:val="0"/>
        <w:autoSpaceDN w:val="0"/>
        <w:adjustRightInd w:val="0"/>
        <w:jc w:val="both"/>
        <w:rPr>
          <w:szCs w:val="22"/>
        </w:rPr>
      </w:pPr>
    </w:p>
    <w:p w:rsidR="00267140" w:rsidRPr="004A3269" w:rsidRDefault="00D22016" w:rsidP="00D22016">
      <w:pPr>
        <w:autoSpaceDE w:val="0"/>
        <w:autoSpaceDN w:val="0"/>
        <w:adjustRightInd w:val="0"/>
        <w:jc w:val="both"/>
        <w:rPr>
          <w:szCs w:val="22"/>
        </w:rPr>
      </w:pPr>
      <w:r w:rsidRPr="004A3269">
        <w:rPr>
          <w:szCs w:val="22"/>
        </w:rPr>
        <w:t>La Caisse expose les organisations participantes à des risques actuariels liés aux fonctionnaires retraités et en poste d</w:t>
      </w:r>
      <w:r w:rsidR="009021AA" w:rsidRPr="004A3269">
        <w:rPr>
          <w:szCs w:val="22"/>
        </w:rPr>
        <w:t>’</w:t>
      </w:r>
      <w:r w:rsidRPr="004A3269">
        <w:rPr>
          <w:szCs w:val="22"/>
        </w:rPr>
        <w:t>autres organisations qui y participent, d</w:t>
      </w:r>
      <w:r w:rsidR="009021AA" w:rsidRPr="004A3269">
        <w:rPr>
          <w:szCs w:val="22"/>
        </w:rPr>
        <w:t>’</w:t>
      </w:r>
      <w:r w:rsidRPr="004A3269">
        <w:rPr>
          <w:szCs w:val="22"/>
        </w:rPr>
        <w:t>où l</w:t>
      </w:r>
      <w:r w:rsidR="009021AA" w:rsidRPr="004A3269">
        <w:rPr>
          <w:szCs w:val="22"/>
        </w:rPr>
        <w:t>’</w:t>
      </w:r>
      <w:r w:rsidRPr="004A3269">
        <w:rPr>
          <w:szCs w:val="22"/>
        </w:rPr>
        <w:t>absence de base cohérente et fiable pour répartir l</w:t>
      </w:r>
      <w:r w:rsidR="009021AA" w:rsidRPr="004A3269">
        <w:rPr>
          <w:szCs w:val="22"/>
        </w:rPr>
        <w:t>’</w:t>
      </w:r>
      <w:r w:rsidRPr="004A3269">
        <w:rPr>
          <w:szCs w:val="22"/>
        </w:rPr>
        <w:t>obligation, les actifs et les coûts de la Caisse entre les différentes organisations participantes</w:t>
      </w:r>
      <w:r w:rsidR="00A0797A" w:rsidRPr="004A3269">
        <w:rPr>
          <w:szCs w:val="22"/>
        </w:rPr>
        <w:t xml:space="preserve">.  </w:t>
      </w:r>
      <w:r w:rsidRPr="004A3269">
        <w:rPr>
          <w:szCs w:val="22"/>
        </w:rPr>
        <w:t>L</w:t>
      </w:r>
      <w:r w:rsidR="009021AA" w:rsidRPr="004A3269">
        <w:rPr>
          <w:szCs w:val="22"/>
        </w:rPr>
        <w:t>’</w:t>
      </w:r>
      <w:r w:rsidRPr="004A3269">
        <w:rPr>
          <w:szCs w:val="22"/>
        </w:rPr>
        <w:t xml:space="preserve">OMPI et la Caisse commune des pensions du personnel des </w:t>
      </w:r>
      <w:r w:rsidR="009021AA" w:rsidRPr="004A3269">
        <w:rPr>
          <w:szCs w:val="22"/>
        </w:rPr>
        <w:t>Nations Unies</w:t>
      </w:r>
      <w:r w:rsidRPr="004A3269">
        <w:rPr>
          <w:szCs w:val="22"/>
        </w:rPr>
        <w:t>, comme les autres organisations qui participent au Fonds, ne sont pas en mesure d</w:t>
      </w:r>
      <w:r w:rsidR="009021AA" w:rsidRPr="004A3269">
        <w:rPr>
          <w:szCs w:val="22"/>
        </w:rPr>
        <w:t>’</w:t>
      </w:r>
      <w:r w:rsidRPr="004A3269">
        <w:rPr>
          <w:szCs w:val="22"/>
        </w:rPr>
        <w:t>identifier la part proportionnelle des obligations relatives à ces prestations, des actifs de la Caisse et des coûts associés à la Caisse de manière suffisamment fiable à des fins comptables</w:t>
      </w:r>
      <w:r w:rsidR="00A0797A" w:rsidRPr="004A3269">
        <w:rPr>
          <w:szCs w:val="22"/>
        </w:rPr>
        <w:t xml:space="preserve">.  </w:t>
      </w:r>
      <w:r w:rsidRPr="004A3269">
        <w:rPr>
          <w:szCs w:val="22"/>
        </w:rPr>
        <w:t>Par conséquent, l</w:t>
      </w:r>
      <w:r w:rsidR="009021AA" w:rsidRPr="004A3269">
        <w:rPr>
          <w:szCs w:val="22"/>
        </w:rPr>
        <w:t>’</w:t>
      </w:r>
      <w:r w:rsidRPr="004A3269">
        <w:rPr>
          <w:szCs w:val="22"/>
        </w:rPr>
        <w:t>OMPI a comptabilisé cette Caisse comme une caisse à capitalisation finançant des prestations définies sur la base de la norme</w:t>
      </w:r>
      <w:r w:rsidR="00067463" w:rsidRPr="004A3269">
        <w:rPr>
          <w:szCs w:val="22"/>
        </w:rPr>
        <w:t> </w:t>
      </w:r>
      <w:r w:rsidR="00A0797A" w:rsidRPr="004A3269">
        <w:rPr>
          <w:szCs w:val="22"/>
        </w:rPr>
        <w:t>IPSAS </w:t>
      </w:r>
      <w:r w:rsidRPr="004A3269">
        <w:rPr>
          <w:szCs w:val="22"/>
        </w:rPr>
        <w:t>25.  Les contributions de l</w:t>
      </w:r>
      <w:r w:rsidR="009021AA" w:rsidRPr="004A3269">
        <w:rPr>
          <w:szCs w:val="22"/>
        </w:rPr>
        <w:t>’</w:t>
      </w:r>
      <w:r w:rsidRPr="004A3269">
        <w:rPr>
          <w:szCs w:val="22"/>
        </w:rPr>
        <w:t>OMPI à la Caisse pendant l</w:t>
      </w:r>
      <w:r w:rsidR="009021AA" w:rsidRPr="004A3269">
        <w:rPr>
          <w:szCs w:val="22"/>
        </w:rPr>
        <w:t>’</w:t>
      </w:r>
      <w:r w:rsidRPr="004A3269">
        <w:rPr>
          <w:szCs w:val="22"/>
        </w:rPr>
        <w:t>exercice financier sont comptabilisées comme des dépenses dans l</w:t>
      </w:r>
      <w:r w:rsidR="009021AA" w:rsidRPr="004A3269">
        <w:rPr>
          <w:szCs w:val="22"/>
        </w:rPr>
        <w:t>’</w:t>
      </w:r>
      <w:r w:rsidRPr="004A3269">
        <w:rPr>
          <w:szCs w:val="22"/>
        </w:rPr>
        <w:t>état de la performance financière.</w:t>
      </w:r>
    </w:p>
    <w:p w:rsidR="00267140" w:rsidRPr="004A3269" w:rsidRDefault="00267140" w:rsidP="00954730">
      <w:pPr>
        <w:pStyle w:val="Style3"/>
        <w:spacing w:after="0"/>
        <w:rPr>
          <w:szCs w:val="22"/>
        </w:rPr>
      </w:pPr>
    </w:p>
    <w:p w:rsidR="00267140" w:rsidRPr="004A3269" w:rsidRDefault="00D22016" w:rsidP="00D22016">
      <w:pPr>
        <w:pStyle w:val="Style3Bold"/>
        <w:spacing w:after="0"/>
        <w:rPr>
          <w:szCs w:val="22"/>
        </w:rPr>
      </w:pPr>
      <w:r w:rsidRPr="004A3269">
        <w:rPr>
          <w:szCs w:val="22"/>
        </w:rPr>
        <w:t>Comptabilisation en charges</w:t>
      </w:r>
    </w:p>
    <w:p w:rsidR="00267140" w:rsidRPr="004A3269" w:rsidRDefault="00267140" w:rsidP="007C6D77">
      <w:pPr>
        <w:pStyle w:val="Style3"/>
        <w:spacing w:after="0"/>
        <w:rPr>
          <w:szCs w:val="22"/>
        </w:rPr>
      </w:pPr>
    </w:p>
    <w:p w:rsidR="00267140" w:rsidRPr="004A3269" w:rsidRDefault="00D22016" w:rsidP="00D22016">
      <w:pPr>
        <w:pStyle w:val="Style3"/>
        <w:spacing w:after="0"/>
        <w:rPr>
          <w:szCs w:val="22"/>
        </w:rPr>
      </w:pPr>
      <w:r w:rsidRPr="004A3269">
        <w:rPr>
          <w:szCs w:val="22"/>
        </w:rPr>
        <w:t>Les charges sont comptabilisées lorsque les marchandises sont livrées et les services fournis.</w:t>
      </w:r>
    </w:p>
    <w:p w:rsidR="00267140" w:rsidRPr="004A3269" w:rsidRDefault="00267140" w:rsidP="007C6D77">
      <w:pPr>
        <w:pStyle w:val="Style3"/>
        <w:spacing w:after="0"/>
        <w:rPr>
          <w:szCs w:val="22"/>
        </w:rPr>
      </w:pPr>
    </w:p>
    <w:p w:rsidR="00267140" w:rsidRPr="004A3269" w:rsidRDefault="00D22016" w:rsidP="00D22016">
      <w:pPr>
        <w:pStyle w:val="Style3Bold"/>
        <w:spacing w:after="0"/>
        <w:rPr>
          <w:szCs w:val="22"/>
        </w:rPr>
      </w:pPr>
      <w:r w:rsidRPr="004A3269">
        <w:rPr>
          <w:szCs w:val="22"/>
        </w:rPr>
        <w:t>Instruments financiers</w:t>
      </w:r>
    </w:p>
    <w:p w:rsidR="00267140" w:rsidRPr="004A3269" w:rsidRDefault="00267140" w:rsidP="007C6D77">
      <w:pPr>
        <w:pStyle w:val="Style3"/>
        <w:spacing w:after="0"/>
        <w:rPr>
          <w:szCs w:val="22"/>
        </w:rPr>
      </w:pPr>
    </w:p>
    <w:p w:rsidR="00267140" w:rsidRPr="004A3269" w:rsidRDefault="00D22016" w:rsidP="00D22016">
      <w:pPr>
        <w:pStyle w:val="Style3"/>
        <w:spacing w:after="0"/>
        <w:rPr>
          <w:b/>
          <w:i/>
          <w:szCs w:val="22"/>
        </w:rPr>
      </w:pPr>
      <w:r w:rsidRPr="004A3269">
        <w:rPr>
          <w:b/>
          <w:i/>
          <w:szCs w:val="22"/>
        </w:rPr>
        <w:t>Actifs financiers</w:t>
      </w:r>
    </w:p>
    <w:p w:rsidR="00267140" w:rsidRPr="004A3269" w:rsidRDefault="00267140" w:rsidP="00E01D49">
      <w:pPr>
        <w:autoSpaceDE w:val="0"/>
        <w:autoSpaceDN w:val="0"/>
        <w:adjustRightInd w:val="0"/>
        <w:rPr>
          <w:bCs/>
          <w:szCs w:val="22"/>
        </w:rPr>
      </w:pPr>
    </w:p>
    <w:p w:rsidR="009021AA" w:rsidRPr="004A3269" w:rsidRDefault="00D22016" w:rsidP="00D22016">
      <w:pPr>
        <w:autoSpaceDE w:val="0"/>
        <w:autoSpaceDN w:val="0"/>
        <w:adjustRightInd w:val="0"/>
        <w:rPr>
          <w:bCs/>
          <w:szCs w:val="22"/>
        </w:rPr>
      </w:pPr>
      <w:r w:rsidRPr="004A3269">
        <w:rPr>
          <w:bCs/>
          <w:szCs w:val="22"/>
        </w:rPr>
        <w:t>Comptabilisation et évaluation initiales</w:t>
      </w:r>
      <w:r w:rsidR="00A0797A" w:rsidRPr="004A3269">
        <w:rPr>
          <w:bCs/>
          <w:szCs w:val="22"/>
        </w:rPr>
        <w:t> :</w:t>
      </w:r>
    </w:p>
    <w:p w:rsidR="00267140" w:rsidRPr="004A3269" w:rsidRDefault="00D22016" w:rsidP="00D22016">
      <w:pPr>
        <w:autoSpaceDE w:val="0"/>
        <w:autoSpaceDN w:val="0"/>
        <w:adjustRightInd w:val="0"/>
        <w:jc w:val="both"/>
        <w:rPr>
          <w:szCs w:val="22"/>
        </w:rPr>
      </w:pPr>
      <w:r w:rsidRPr="004A3269">
        <w:rPr>
          <w:szCs w:val="22"/>
        </w:rPr>
        <w:t>Les actifs financiers qui relèvent de la norme</w:t>
      </w:r>
      <w:r w:rsidR="00067463" w:rsidRPr="004A3269">
        <w:rPr>
          <w:szCs w:val="22"/>
        </w:rPr>
        <w:t> </w:t>
      </w:r>
      <w:r w:rsidRPr="004A3269">
        <w:rPr>
          <w:i/>
          <w:szCs w:val="22"/>
        </w:rPr>
        <w:t xml:space="preserve">IPSAS </w:t>
      </w:r>
      <w:r w:rsidR="00A0797A" w:rsidRPr="004A3269">
        <w:rPr>
          <w:i/>
          <w:szCs w:val="22"/>
        </w:rPr>
        <w:t>29 </w:t>
      </w:r>
      <w:r w:rsidRPr="004A3269">
        <w:rPr>
          <w:i/>
          <w:szCs w:val="22"/>
        </w:rPr>
        <w:t>Instruments financiers</w:t>
      </w:r>
      <w:r w:rsidR="00A0797A" w:rsidRPr="004A3269">
        <w:rPr>
          <w:szCs w:val="22"/>
        </w:rPr>
        <w:t> :</w:t>
      </w:r>
      <w:r w:rsidRPr="004A3269">
        <w:rPr>
          <w:i/>
          <w:szCs w:val="22"/>
        </w:rPr>
        <w:t xml:space="preserve"> comptabilisation et évaluation</w:t>
      </w:r>
      <w:r w:rsidRPr="004A3269">
        <w:rPr>
          <w:szCs w:val="22"/>
        </w:rPr>
        <w:t xml:space="preserve"> sont classés comme des actifs financiers à juste valeur par le biais de l</w:t>
      </w:r>
      <w:r w:rsidR="009021AA" w:rsidRPr="004A3269">
        <w:rPr>
          <w:szCs w:val="22"/>
        </w:rPr>
        <w:t>’</w:t>
      </w:r>
      <w:r w:rsidRPr="004A3269">
        <w:rPr>
          <w:szCs w:val="22"/>
        </w:rPr>
        <w:t>excédent ou du déficit, des prêts et comptes créanciers, des investissements détenus jusqu</w:t>
      </w:r>
      <w:r w:rsidR="009021AA" w:rsidRPr="004A3269">
        <w:rPr>
          <w:szCs w:val="22"/>
        </w:rPr>
        <w:t>’</w:t>
      </w:r>
      <w:r w:rsidRPr="004A3269">
        <w:rPr>
          <w:szCs w:val="22"/>
        </w:rPr>
        <w:t>à leur échéance finale ou des actifs financiers disponibles à la vente, selon le cas</w:t>
      </w:r>
      <w:r w:rsidR="00A0797A" w:rsidRPr="004A3269">
        <w:rPr>
          <w:szCs w:val="22"/>
        </w:rPr>
        <w:t xml:space="preserve">.  </w:t>
      </w:r>
      <w:r w:rsidRPr="004A3269">
        <w:rPr>
          <w:szCs w:val="22"/>
        </w:rPr>
        <w:t>L</w:t>
      </w:r>
      <w:r w:rsidR="009021AA" w:rsidRPr="004A3269">
        <w:rPr>
          <w:szCs w:val="22"/>
        </w:rPr>
        <w:t>’</w:t>
      </w:r>
      <w:r w:rsidRPr="004A3269">
        <w:rPr>
          <w:szCs w:val="22"/>
        </w:rPr>
        <w:t>Organisation détermine la classification de ses actifs financiers à leur comptabilisation initiale</w:t>
      </w:r>
      <w:r w:rsidR="00A0797A" w:rsidRPr="004A3269">
        <w:rPr>
          <w:szCs w:val="22"/>
        </w:rPr>
        <w:t xml:space="preserve">.  </w:t>
      </w:r>
      <w:r w:rsidRPr="004A3269">
        <w:rPr>
          <w:szCs w:val="22"/>
        </w:rPr>
        <w:t>Les actifs financiers de l</w:t>
      </w:r>
      <w:r w:rsidR="009021AA" w:rsidRPr="004A3269">
        <w:rPr>
          <w:szCs w:val="22"/>
        </w:rPr>
        <w:t>’</w:t>
      </w:r>
      <w:r w:rsidRPr="004A3269">
        <w:rPr>
          <w:szCs w:val="22"/>
        </w:rPr>
        <w:t>Organisation comprennent les liquidités, les dépôts à court terme et les comptes débiteurs.</w:t>
      </w:r>
    </w:p>
    <w:p w:rsidR="00267140" w:rsidRPr="004A3269" w:rsidRDefault="00267140" w:rsidP="00E01D49">
      <w:pPr>
        <w:autoSpaceDE w:val="0"/>
        <w:autoSpaceDN w:val="0"/>
        <w:adjustRightInd w:val="0"/>
        <w:jc w:val="both"/>
        <w:rPr>
          <w:szCs w:val="22"/>
        </w:rPr>
      </w:pPr>
    </w:p>
    <w:p w:rsidR="00267140" w:rsidRPr="004A3269" w:rsidRDefault="00D22016" w:rsidP="00D22016">
      <w:pPr>
        <w:autoSpaceDE w:val="0"/>
        <w:autoSpaceDN w:val="0"/>
        <w:adjustRightInd w:val="0"/>
        <w:jc w:val="both"/>
        <w:rPr>
          <w:iCs/>
          <w:szCs w:val="22"/>
        </w:rPr>
      </w:pPr>
      <w:r w:rsidRPr="004A3269">
        <w:rPr>
          <w:iCs/>
          <w:szCs w:val="22"/>
        </w:rPr>
        <w:t>Évaluation ultérieure</w:t>
      </w:r>
      <w:r w:rsidR="00A0797A" w:rsidRPr="004A3269">
        <w:rPr>
          <w:iCs/>
          <w:szCs w:val="22"/>
        </w:rPr>
        <w:t> :</w:t>
      </w:r>
    </w:p>
    <w:p w:rsidR="00267140" w:rsidRPr="004A3269" w:rsidRDefault="00D22016" w:rsidP="00D22016">
      <w:pPr>
        <w:autoSpaceDE w:val="0"/>
        <w:autoSpaceDN w:val="0"/>
        <w:adjustRightInd w:val="0"/>
        <w:jc w:val="both"/>
        <w:rPr>
          <w:szCs w:val="22"/>
        </w:rPr>
      </w:pPr>
      <w:r w:rsidRPr="004A3269">
        <w:rPr>
          <w:szCs w:val="22"/>
        </w:rPr>
        <w:t>L</w:t>
      </w:r>
      <w:r w:rsidR="009021AA" w:rsidRPr="004A3269">
        <w:rPr>
          <w:szCs w:val="22"/>
        </w:rPr>
        <w:t>’</w:t>
      </w:r>
      <w:r w:rsidRPr="004A3269">
        <w:rPr>
          <w:szCs w:val="22"/>
        </w:rPr>
        <w:t>évaluation ultérieure des actifs financiers est fonction de leur classification.</w:t>
      </w:r>
    </w:p>
    <w:p w:rsidR="00267140" w:rsidRPr="004A3269" w:rsidRDefault="00267140" w:rsidP="00E01D49">
      <w:pPr>
        <w:autoSpaceDE w:val="0"/>
        <w:autoSpaceDN w:val="0"/>
        <w:adjustRightInd w:val="0"/>
        <w:jc w:val="both"/>
        <w:rPr>
          <w:bCs/>
          <w:i/>
          <w:szCs w:val="22"/>
        </w:rPr>
      </w:pPr>
    </w:p>
    <w:p w:rsidR="00267140" w:rsidRPr="004A3269" w:rsidRDefault="00D22016" w:rsidP="00D22016">
      <w:pPr>
        <w:autoSpaceDE w:val="0"/>
        <w:autoSpaceDN w:val="0"/>
        <w:adjustRightInd w:val="0"/>
        <w:jc w:val="both"/>
        <w:rPr>
          <w:bCs/>
          <w:i/>
          <w:szCs w:val="22"/>
        </w:rPr>
      </w:pPr>
      <w:r w:rsidRPr="004A3269">
        <w:rPr>
          <w:bCs/>
          <w:i/>
          <w:szCs w:val="22"/>
        </w:rPr>
        <w:t>Actifs financiers à la juste valeur par le biais d</w:t>
      </w:r>
      <w:r w:rsidR="009021AA" w:rsidRPr="004A3269">
        <w:rPr>
          <w:bCs/>
          <w:i/>
          <w:szCs w:val="22"/>
        </w:rPr>
        <w:t>’</w:t>
      </w:r>
      <w:r w:rsidRPr="004A3269">
        <w:rPr>
          <w:bCs/>
          <w:i/>
          <w:szCs w:val="22"/>
        </w:rPr>
        <w:t>un excédent ou d</w:t>
      </w:r>
      <w:r w:rsidR="009021AA" w:rsidRPr="004A3269">
        <w:rPr>
          <w:bCs/>
          <w:i/>
          <w:szCs w:val="22"/>
        </w:rPr>
        <w:t>’</w:t>
      </w:r>
      <w:r w:rsidRPr="004A3269">
        <w:rPr>
          <w:bCs/>
          <w:i/>
          <w:szCs w:val="22"/>
        </w:rPr>
        <w:t>un déficit</w:t>
      </w:r>
    </w:p>
    <w:p w:rsidR="00267140" w:rsidRPr="004A3269" w:rsidRDefault="002D099E" w:rsidP="002D099E">
      <w:pPr>
        <w:autoSpaceDE w:val="0"/>
        <w:autoSpaceDN w:val="0"/>
        <w:adjustRightInd w:val="0"/>
        <w:jc w:val="both"/>
        <w:rPr>
          <w:szCs w:val="22"/>
        </w:rPr>
      </w:pPr>
      <w:r w:rsidRPr="004A3269">
        <w:rPr>
          <w:szCs w:val="22"/>
        </w:rPr>
        <w:t>Les actifs financiers à juste valeur par le biais de l</w:t>
      </w:r>
      <w:r w:rsidR="009021AA" w:rsidRPr="004A3269">
        <w:rPr>
          <w:szCs w:val="22"/>
        </w:rPr>
        <w:t>’</w:t>
      </w:r>
      <w:r w:rsidRPr="004A3269">
        <w:rPr>
          <w:szCs w:val="22"/>
        </w:rPr>
        <w:t>excédent ou du déficit comprennent les actifs financiers détenus à des fins de transaction et les actifs financiers classés lors de la comptabilisation initiale à leur juste valeur par le biais de l</w:t>
      </w:r>
      <w:r w:rsidR="009021AA" w:rsidRPr="004A3269">
        <w:rPr>
          <w:szCs w:val="22"/>
        </w:rPr>
        <w:t>’</w:t>
      </w:r>
      <w:r w:rsidRPr="004A3269">
        <w:rPr>
          <w:szCs w:val="22"/>
        </w:rPr>
        <w:t>excédent ou du déficit</w:t>
      </w:r>
      <w:r w:rsidR="00A0797A" w:rsidRPr="004A3269">
        <w:rPr>
          <w:szCs w:val="22"/>
        </w:rPr>
        <w:t xml:space="preserve">.  </w:t>
      </w:r>
      <w:r w:rsidRPr="004A3269">
        <w:rPr>
          <w:szCs w:val="22"/>
        </w:rPr>
        <w:t>Les actifs financiers sont classés comme détenus à des fins de transaction s</w:t>
      </w:r>
      <w:r w:rsidR="009021AA" w:rsidRPr="004A3269">
        <w:rPr>
          <w:szCs w:val="22"/>
        </w:rPr>
        <w:t>’</w:t>
      </w:r>
      <w:r w:rsidRPr="004A3269">
        <w:rPr>
          <w:szCs w:val="22"/>
        </w:rPr>
        <w:t>ils sont acquis à des fins de vente ou de rachat dans le court terme</w:t>
      </w:r>
      <w:r w:rsidR="00A0797A" w:rsidRPr="004A3269">
        <w:rPr>
          <w:szCs w:val="22"/>
        </w:rPr>
        <w:t xml:space="preserve">.  </w:t>
      </w:r>
      <w:r w:rsidRPr="004A3269">
        <w:rPr>
          <w:szCs w:val="22"/>
        </w:rPr>
        <w:t>Les actifs financiers à juste valeur par le biais de l</w:t>
      </w:r>
      <w:r w:rsidR="009021AA" w:rsidRPr="004A3269">
        <w:rPr>
          <w:szCs w:val="22"/>
        </w:rPr>
        <w:t>’</w:t>
      </w:r>
      <w:r w:rsidRPr="004A3269">
        <w:rPr>
          <w:szCs w:val="22"/>
        </w:rPr>
        <w:t>excédent ou du déficit sont comptabilisés dans l</w:t>
      </w:r>
      <w:r w:rsidR="009021AA" w:rsidRPr="004A3269">
        <w:rPr>
          <w:szCs w:val="22"/>
        </w:rPr>
        <w:t>’</w:t>
      </w:r>
      <w:r w:rsidRPr="004A3269">
        <w:rPr>
          <w:szCs w:val="22"/>
        </w:rPr>
        <w:t>état de la situation financière à juste valeur, les variations de la juste valeur étant comptabilisées dans l</w:t>
      </w:r>
      <w:r w:rsidR="009021AA" w:rsidRPr="004A3269">
        <w:rPr>
          <w:szCs w:val="22"/>
        </w:rPr>
        <w:t>’</w:t>
      </w:r>
      <w:r w:rsidRPr="004A3269">
        <w:rPr>
          <w:szCs w:val="22"/>
        </w:rPr>
        <w:t>excédent ou le déficit.</w:t>
      </w:r>
    </w:p>
    <w:p w:rsidR="00267140" w:rsidRPr="004A3269" w:rsidRDefault="00267140" w:rsidP="00E01D49">
      <w:pPr>
        <w:autoSpaceDE w:val="0"/>
        <w:autoSpaceDN w:val="0"/>
        <w:adjustRightInd w:val="0"/>
        <w:jc w:val="both"/>
        <w:rPr>
          <w:i/>
          <w:iCs/>
          <w:szCs w:val="22"/>
        </w:rPr>
      </w:pPr>
    </w:p>
    <w:p w:rsidR="00267140" w:rsidRPr="004A3269" w:rsidRDefault="002D099E" w:rsidP="002D099E">
      <w:pPr>
        <w:autoSpaceDE w:val="0"/>
        <w:autoSpaceDN w:val="0"/>
        <w:adjustRightInd w:val="0"/>
        <w:jc w:val="both"/>
        <w:rPr>
          <w:bCs/>
          <w:i/>
          <w:szCs w:val="22"/>
        </w:rPr>
      </w:pPr>
      <w:r w:rsidRPr="004A3269">
        <w:rPr>
          <w:bCs/>
          <w:i/>
          <w:szCs w:val="22"/>
        </w:rPr>
        <w:t xml:space="preserve">Prêts et </w:t>
      </w:r>
      <w:r w:rsidR="00B9504B" w:rsidRPr="004A3269">
        <w:rPr>
          <w:bCs/>
          <w:i/>
          <w:szCs w:val="22"/>
        </w:rPr>
        <w:t>créances</w:t>
      </w:r>
    </w:p>
    <w:p w:rsidR="009021AA" w:rsidRPr="004A3269" w:rsidRDefault="002D099E" w:rsidP="002D099E">
      <w:pPr>
        <w:autoSpaceDE w:val="0"/>
        <w:autoSpaceDN w:val="0"/>
        <w:adjustRightInd w:val="0"/>
        <w:jc w:val="both"/>
        <w:rPr>
          <w:szCs w:val="22"/>
        </w:rPr>
      </w:pPr>
      <w:r w:rsidRPr="004A3269">
        <w:rPr>
          <w:szCs w:val="22"/>
        </w:rPr>
        <w:t>Les prêts et comptes créanciers sont des actifs financiers non dérivés assortis de paiements fixés ou à déterminer qui ne sont pas cotés sur un marché actif</w:t>
      </w:r>
      <w:r w:rsidR="00A0797A" w:rsidRPr="004A3269">
        <w:rPr>
          <w:szCs w:val="22"/>
        </w:rPr>
        <w:t xml:space="preserve">.  </w:t>
      </w:r>
      <w:r w:rsidRPr="004A3269">
        <w:rPr>
          <w:szCs w:val="22"/>
        </w:rPr>
        <w:t>Après une évaluation initiale, ces actifs financiers sont ultérieurement évalués au coût amorti à l</w:t>
      </w:r>
      <w:r w:rsidR="009021AA" w:rsidRPr="004A3269">
        <w:rPr>
          <w:szCs w:val="22"/>
        </w:rPr>
        <w:t>’</w:t>
      </w:r>
      <w:r w:rsidRPr="004A3269">
        <w:rPr>
          <w:szCs w:val="22"/>
        </w:rPr>
        <w:t>aide de la méthode de l</w:t>
      </w:r>
      <w:r w:rsidR="009021AA" w:rsidRPr="004A3269">
        <w:rPr>
          <w:szCs w:val="22"/>
        </w:rPr>
        <w:t>’</w:t>
      </w:r>
      <w:r w:rsidRPr="004A3269">
        <w:rPr>
          <w:szCs w:val="22"/>
        </w:rPr>
        <w:t>intérêt effectif, moins la dépréciation</w:t>
      </w:r>
      <w:r w:rsidR="00A0797A" w:rsidRPr="004A3269">
        <w:rPr>
          <w:szCs w:val="22"/>
        </w:rPr>
        <w:t xml:space="preserve">.  </w:t>
      </w:r>
      <w:r w:rsidRPr="004A3269">
        <w:rPr>
          <w:szCs w:val="22"/>
        </w:rPr>
        <w:t>Le coût amorti est calculé en tenant compte de toute décote ou prime d</w:t>
      </w:r>
      <w:r w:rsidR="009021AA" w:rsidRPr="004A3269">
        <w:rPr>
          <w:szCs w:val="22"/>
        </w:rPr>
        <w:t>’</w:t>
      </w:r>
      <w:r w:rsidRPr="004A3269">
        <w:rPr>
          <w:szCs w:val="22"/>
        </w:rPr>
        <w:t>acquisition ainsi que des taxes et coûts qui font partie intégrante du taux d</w:t>
      </w:r>
      <w:r w:rsidR="009021AA" w:rsidRPr="004A3269">
        <w:rPr>
          <w:szCs w:val="22"/>
        </w:rPr>
        <w:t>’</w:t>
      </w:r>
      <w:r w:rsidRPr="004A3269">
        <w:rPr>
          <w:szCs w:val="22"/>
        </w:rPr>
        <w:t>intérêt effectif</w:t>
      </w:r>
      <w:r w:rsidR="00A0797A" w:rsidRPr="004A3269">
        <w:rPr>
          <w:szCs w:val="22"/>
        </w:rPr>
        <w:t xml:space="preserve">.  </w:t>
      </w:r>
      <w:r w:rsidRPr="004A3269">
        <w:rPr>
          <w:szCs w:val="22"/>
        </w:rPr>
        <w:t>Les pertes provenant de la dépréciation sont comptabilisées dans l</w:t>
      </w:r>
      <w:r w:rsidR="009021AA" w:rsidRPr="004A3269">
        <w:rPr>
          <w:szCs w:val="22"/>
        </w:rPr>
        <w:t>’</w:t>
      </w:r>
      <w:r w:rsidRPr="004A3269">
        <w:rPr>
          <w:szCs w:val="22"/>
        </w:rPr>
        <w:t>excédent ou le déficit.</w:t>
      </w:r>
    </w:p>
    <w:p w:rsidR="00267140" w:rsidRPr="004A3269" w:rsidRDefault="00267140" w:rsidP="00F256F2">
      <w:pPr>
        <w:autoSpaceDE w:val="0"/>
        <w:autoSpaceDN w:val="0"/>
        <w:adjustRightInd w:val="0"/>
        <w:jc w:val="both"/>
        <w:rPr>
          <w:szCs w:val="22"/>
        </w:rPr>
      </w:pPr>
    </w:p>
    <w:p w:rsidR="00267140" w:rsidRPr="004A3269" w:rsidRDefault="002D099E" w:rsidP="002D099E">
      <w:pPr>
        <w:autoSpaceDE w:val="0"/>
        <w:autoSpaceDN w:val="0"/>
        <w:adjustRightInd w:val="0"/>
        <w:jc w:val="both"/>
        <w:rPr>
          <w:bCs/>
          <w:szCs w:val="22"/>
        </w:rPr>
      </w:pPr>
      <w:proofErr w:type="spellStart"/>
      <w:r w:rsidRPr="004A3269">
        <w:rPr>
          <w:bCs/>
          <w:szCs w:val="22"/>
        </w:rPr>
        <w:t>Décomptabilisation</w:t>
      </w:r>
      <w:proofErr w:type="spellEnd"/>
      <w:r w:rsidR="00A0797A" w:rsidRPr="004A3269">
        <w:rPr>
          <w:bCs/>
          <w:szCs w:val="22"/>
        </w:rPr>
        <w:t> :</w:t>
      </w:r>
    </w:p>
    <w:p w:rsidR="00267140" w:rsidRPr="004A3269" w:rsidRDefault="002D099E" w:rsidP="002D099E">
      <w:pPr>
        <w:autoSpaceDE w:val="0"/>
        <w:autoSpaceDN w:val="0"/>
        <w:adjustRightInd w:val="0"/>
        <w:jc w:val="both"/>
        <w:rPr>
          <w:szCs w:val="22"/>
        </w:rPr>
      </w:pPr>
      <w:r w:rsidRPr="004A3269">
        <w:rPr>
          <w:szCs w:val="22"/>
        </w:rPr>
        <w:t>L</w:t>
      </w:r>
      <w:r w:rsidR="009021AA" w:rsidRPr="004A3269">
        <w:rPr>
          <w:szCs w:val="22"/>
        </w:rPr>
        <w:t>’</w:t>
      </w:r>
      <w:r w:rsidRPr="004A3269">
        <w:rPr>
          <w:szCs w:val="22"/>
        </w:rPr>
        <w:t xml:space="preserve">Organisation </w:t>
      </w:r>
      <w:proofErr w:type="spellStart"/>
      <w:r w:rsidRPr="004A3269">
        <w:rPr>
          <w:szCs w:val="22"/>
        </w:rPr>
        <w:t>décomptabilise</w:t>
      </w:r>
      <w:proofErr w:type="spellEnd"/>
      <w:r w:rsidRPr="004A3269">
        <w:rPr>
          <w:szCs w:val="22"/>
        </w:rPr>
        <w:t xml:space="preserve"> un actif financier ou, selon le cas, une partie d</w:t>
      </w:r>
      <w:r w:rsidR="009021AA" w:rsidRPr="004A3269">
        <w:rPr>
          <w:szCs w:val="22"/>
        </w:rPr>
        <w:t>’</w:t>
      </w:r>
      <w:r w:rsidRPr="004A3269">
        <w:rPr>
          <w:szCs w:val="22"/>
        </w:rPr>
        <w:t>un actif financier ou d</w:t>
      </w:r>
      <w:r w:rsidR="009021AA" w:rsidRPr="004A3269">
        <w:rPr>
          <w:szCs w:val="22"/>
        </w:rPr>
        <w:t>’</w:t>
      </w:r>
      <w:r w:rsidRPr="004A3269">
        <w:rPr>
          <w:szCs w:val="22"/>
        </w:rPr>
        <w:t>un groupe d</w:t>
      </w:r>
      <w:r w:rsidR="009021AA" w:rsidRPr="004A3269">
        <w:rPr>
          <w:szCs w:val="22"/>
        </w:rPr>
        <w:t>’</w:t>
      </w:r>
      <w:r w:rsidRPr="004A3269">
        <w:rPr>
          <w:szCs w:val="22"/>
        </w:rPr>
        <w:t>actifs financiers similaires lorsque les droits de recevoir des liquidités de l</w:t>
      </w:r>
      <w:r w:rsidR="009021AA" w:rsidRPr="004A3269">
        <w:rPr>
          <w:szCs w:val="22"/>
        </w:rPr>
        <w:t>’</w:t>
      </w:r>
      <w:r w:rsidRPr="004A3269">
        <w:rPr>
          <w:szCs w:val="22"/>
        </w:rPr>
        <w:t>actif ont expiré ou sont levés.</w:t>
      </w:r>
    </w:p>
    <w:p w:rsidR="00267140" w:rsidRPr="004A3269" w:rsidRDefault="00267140" w:rsidP="00F256F2">
      <w:pPr>
        <w:autoSpaceDE w:val="0"/>
        <w:autoSpaceDN w:val="0"/>
        <w:adjustRightInd w:val="0"/>
        <w:jc w:val="both"/>
        <w:rPr>
          <w:bCs/>
          <w:szCs w:val="22"/>
        </w:rPr>
      </w:pPr>
    </w:p>
    <w:p w:rsidR="00267140" w:rsidRPr="004A3269" w:rsidRDefault="002D099E" w:rsidP="002D099E">
      <w:pPr>
        <w:autoSpaceDE w:val="0"/>
        <w:autoSpaceDN w:val="0"/>
        <w:adjustRightInd w:val="0"/>
        <w:jc w:val="both"/>
        <w:rPr>
          <w:szCs w:val="22"/>
        </w:rPr>
      </w:pPr>
      <w:r w:rsidRPr="004A3269">
        <w:rPr>
          <w:szCs w:val="22"/>
        </w:rPr>
        <w:t>Dépréciation d</w:t>
      </w:r>
      <w:r w:rsidR="009021AA" w:rsidRPr="004A3269">
        <w:rPr>
          <w:szCs w:val="22"/>
        </w:rPr>
        <w:t>’</w:t>
      </w:r>
      <w:r w:rsidRPr="004A3269">
        <w:rPr>
          <w:szCs w:val="22"/>
        </w:rPr>
        <w:t>actifs financiers</w:t>
      </w:r>
      <w:r w:rsidR="00A0797A" w:rsidRPr="004A3269">
        <w:rPr>
          <w:szCs w:val="22"/>
        </w:rPr>
        <w:t> :</w:t>
      </w:r>
    </w:p>
    <w:p w:rsidR="009021AA" w:rsidRPr="004A3269" w:rsidRDefault="002D099E" w:rsidP="002D099E">
      <w:pPr>
        <w:autoSpaceDE w:val="0"/>
        <w:autoSpaceDN w:val="0"/>
        <w:adjustRightInd w:val="0"/>
        <w:jc w:val="both"/>
        <w:rPr>
          <w:szCs w:val="22"/>
        </w:rPr>
      </w:pPr>
      <w:r w:rsidRPr="004A3269">
        <w:rPr>
          <w:szCs w:val="22"/>
        </w:rPr>
        <w:t>L</w:t>
      </w:r>
      <w:r w:rsidR="009021AA" w:rsidRPr="004A3269">
        <w:rPr>
          <w:szCs w:val="22"/>
        </w:rPr>
        <w:t>’</w:t>
      </w:r>
      <w:r w:rsidRPr="004A3269">
        <w:rPr>
          <w:szCs w:val="22"/>
        </w:rPr>
        <w:t>Organisation vérifie à chaque date de clôture s</w:t>
      </w:r>
      <w:r w:rsidR="009021AA" w:rsidRPr="004A3269">
        <w:rPr>
          <w:szCs w:val="22"/>
        </w:rPr>
        <w:t>’</w:t>
      </w:r>
      <w:r w:rsidRPr="004A3269">
        <w:rPr>
          <w:szCs w:val="22"/>
        </w:rPr>
        <w:t>il existe des indications objectives à l</w:t>
      </w:r>
      <w:r w:rsidR="009021AA" w:rsidRPr="004A3269">
        <w:rPr>
          <w:szCs w:val="22"/>
        </w:rPr>
        <w:t>’</w:t>
      </w:r>
      <w:r w:rsidRPr="004A3269">
        <w:rPr>
          <w:szCs w:val="22"/>
        </w:rPr>
        <w:t>effet qu</w:t>
      </w:r>
      <w:r w:rsidR="009021AA" w:rsidRPr="004A3269">
        <w:rPr>
          <w:szCs w:val="22"/>
        </w:rPr>
        <w:t>’</w:t>
      </w:r>
      <w:r w:rsidRPr="004A3269">
        <w:rPr>
          <w:szCs w:val="22"/>
        </w:rPr>
        <w:t>un actif financier ou qu</w:t>
      </w:r>
      <w:r w:rsidR="009021AA" w:rsidRPr="004A3269">
        <w:rPr>
          <w:szCs w:val="22"/>
        </w:rPr>
        <w:t>’</w:t>
      </w:r>
      <w:r w:rsidRPr="004A3269">
        <w:rPr>
          <w:szCs w:val="22"/>
        </w:rPr>
        <w:t>un groupe d</w:t>
      </w:r>
      <w:r w:rsidR="009021AA" w:rsidRPr="004A3269">
        <w:rPr>
          <w:szCs w:val="22"/>
        </w:rPr>
        <w:t>’</w:t>
      </w:r>
      <w:r w:rsidRPr="004A3269">
        <w:rPr>
          <w:szCs w:val="22"/>
        </w:rPr>
        <w:t>actifs financiers est déprécié</w:t>
      </w:r>
      <w:r w:rsidR="00A0797A" w:rsidRPr="004A3269">
        <w:rPr>
          <w:szCs w:val="22"/>
        </w:rPr>
        <w:t xml:space="preserve">.  </w:t>
      </w:r>
      <w:r w:rsidRPr="004A3269">
        <w:rPr>
          <w:szCs w:val="22"/>
        </w:rPr>
        <w:t>Un actif financier ou un groupe d</w:t>
      </w:r>
      <w:r w:rsidR="009021AA" w:rsidRPr="004A3269">
        <w:rPr>
          <w:szCs w:val="22"/>
        </w:rPr>
        <w:t>’</w:t>
      </w:r>
      <w:r w:rsidRPr="004A3269">
        <w:rPr>
          <w:szCs w:val="22"/>
        </w:rPr>
        <w:t>actifs financiers est considéré comme déprécié si et uniquement s</w:t>
      </w:r>
      <w:r w:rsidR="009021AA" w:rsidRPr="004A3269">
        <w:rPr>
          <w:szCs w:val="22"/>
        </w:rPr>
        <w:t>’</w:t>
      </w:r>
      <w:r w:rsidRPr="004A3269">
        <w:rPr>
          <w:szCs w:val="22"/>
        </w:rPr>
        <w:t>il y a des indications objectives de dépréciation comme suite à un ou plusieurs événements qui se sont produits après la comptabilisation initiale de l</w:t>
      </w:r>
      <w:r w:rsidR="009021AA" w:rsidRPr="004A3269">
        <w:rPr>
          <w:szCs w:val="22"/>
        </w:rPr>
        <w:t>’</w:t>
      </w:r>
      <w:r w:rsidRPr="004A3269">
        <w:rPr>
          <w:szCs w:val="22"/>
        </w:rPr>
        <w:t>actif (un “événement de perte” encouru) et si cet événement a un impact sur les futurs flux de trésorerie estimés de l</w:t>
      </w:r>
      <w:r w:rsidR="009021AA" w:rsidRPr="004A3269">
        <w:rPr>
          <w:szCs w:val="22"/>
        </w:rPr>
        <w:t>’</w:t>
      </w:r>
      <w:r w:rsidRPr="004A3269">
        <w:rPr>
          <w:szCs w:val="22"/>
        </w:rPr>
        <w:t>actif financier ou du groupe d</w:t>
      </w:r>
      <w:r w:rsidR="009021AA" w:rsidRPr="004A3269">
        <w:rPr>
          <w:szCs w:val="22"/>
        </w:rPr>
        <w:t>’</w:t>
      </w:r>
      <w:r w:rsidRPr="004A3269">
        <w:rPr>
          <w:szCs w:val="22"/>
        </w:rPr>
        <w:t>actifs financiers qui peut être estimé de manière fiable.</w:t>
      </w:r>
    </w:p>
    <w:p w:rsidR="00267140" w:rsidRPr="004A3269" w:rsidRDefault="00267140" w:rsidP="00F256F2">
      <w:pPr>
        <w:autoSpaceDE w:val="0"/>
        <w:autoSpaceDN w:val="0"/>
        <w:adjustRightInd w:val="0"/>
        <w:jc w:val="both"/>
        <w:rPr>
          <w:b/>
          <w:bCs/>
          <w:szCs w:val="22"/>
        </w:rPr>
      </w:pPr>
    </w:p>
    <w:p w:rsidR="00267140" w:rsidRPr="004A3269" w:rsidRDefault="002D099E" w:rsidP="002D099E">
      <w:pPr>
        <w:autoSpaceDE w:val="0"/>
        <w:autoSpaceDN w:val="0"/>
        <w:adjustRightInd w:val="0"/>
        <w:rPr>
          <w:b/>
          <w:bCs/>
          <w:i/>
          <w:szCs w:val="22"/>
        </w:rPr>
      </w:pPr>
      <w:r w:rsidRPr="004A3269">
        <w:rPr>
          <w:b/>
          <w:bCs/>
          <w:i/>
          <w:szCs w:val="22"/>
        </w:rPr>
        <w:t>Passifs financiers</w:t>
      </w:r>
    </w:p>
    <w:p w:rsidR="00267140" w:rsidRPr="004A3269" w:rsidRDefault="00267140" w:rsidP="009134FD">
      <w:pPr>
        <w:autoSpaceDE w:val="0"/>
        <w:autoSpaceDN w:val="0"/>
        <w:adjustRightInd w:val="0"/>
        <w:rPr>
          <w:b/>
          <w:bCs/>
          <w:szCs w:val="22"/>
        </w:rPr>
      </w:pPr>
    </w:p>
    <w:p w:rsidR="00267140" w:rsidRPr="004A3269" w:rsidRDefault="002D099E" w:rsidP="002D099E">
      <w:pPr>
        <w:autoSpaceDE w:val="0"/>
        <w:autoSpaceDN w:val="0"/>
        <w:adjustRightInd w:val="0"/>
        <w:rPr>
          <w:bCs/>
          <w:szCs w:val="22"/>
        </w:rPr>
      </w:pPr>
      <w:r w:rsidRPr="004A3269">
        <w:rPr>
          <w:bCs/>
          <w:szCs w:val="22"/>
        </w:rPr>
        <w:t>Comptabilisation et évaluation initiales</w:t>
      </w:r>
      <w:r w:rsidR="00A0797A" w:rsidRPr="004A3269">
        <w:rPr>
          <w:bCs/>
          <w:szCs w:val="22"/>
        </w:rPr>
        <w:t> :</w:t>
      </w:r>
    </w:p>
    <w:p w:rsidR="00267140" w:rsidRPr="004A3269" w:rsidRDefault="002D099E" w:rsidP="002D099E">
      <w:pPr>
        <w:autoSpaceDE w:val="0"/>
        <w:autoSpaceDN w:val="0"/>
        <w:adjustRightInd w:val="0"/>
        <w:jc w:val="both"/>
        <w:rPr>
          <w:szCs w:val="22"/>
        </w:rPr>
      </w:pPr>
      <w:r w:rsidRPr="004A3269">
        <w:rPr>
          <w:szCs w:val="22"/>
        </w:rPr>
        <w:t>Les passifs financiers qui relèvent de la norme</w:t>
      </w:r>
      <w:r w:rsidR="00067463" w:rsidRPr="004A3269">
        <w:rPr>
          <w:szCs w:val="22"/>
        </w:rPr>
        <w:t> </w:t>
      </w:r>
      <w:r w:rsidR="00A0797A" w:rsidRPr="004A3269">
        <w:rPr>
          <w:szCs w:val="22"/>
        </w:rPr>
        <w:t>IPSAS </w:t>
      </w:r>
      <w:r w:rsidRPr="004A3269">
        <w:rPr>
          <w:szCs w:val="22"/>
        </w:rPr>
        <w:t>29 sont classés comme des passifs financiers à juste valeur par le biais d</w:t>
      </w:r>
      <w:r w:rsidR="009021AA" w:rsidRPr="004A3269">
        <w:rPr>
          <w:szCs w:val="22"/>
        </w:rPr>
        <w:t>’</w:t>
      </w:r>
      <w:r w:rsidRPr="004A3269">
        <w:rPr>
          <w:szCs w:val="22"/>
        </w:rPr>
        <w:t>un excédent ou d</w:t>
      </w:r>
      <w:r w:rsidR="009021AA" w:rsidRPr="004A3269">
        <w:rPr>
          <w:szCs w:val="22"/>
        </w:rPr>
        <w:t>’</w:t>
      </w:r>
      <w:r w:rsidRPr="004A3269">
        <w:rPr>
          <w:szCs w:val="22"/>
        </w:rPr>
        <w:t>un déficit ou de prêts et d</w:t>
      </w:r>
      <w:r w:rsidR="009021AA" w:rsidRPr="004A3269">
        <w:rPr>
          <w:szCs w:val="22"/>
        </w:rPr>
        <w:t>’</w:t>
      </w:r>
      <w:r w:rsidRPr="004A3269">
        <w:rPr>
          <w:szCs w:val="22"/>
        </w:rPr>
        <w:t>emprunts, selon le cas</w:t>
      </w:r>
      <w:r w:rsidR="00A0797A" w:rsidRPr="004A3269">
        <w:rPr>
          <w:szCs w:val="22"/>
        </w:rPr>
        <w:t xml:space="preserve">.  </w:t>
      </w:r>
      <w:r w:rsidRPr="004A3269">
        <w:rPr>
          <w:szCs w:val="22"/>
        </w:rPr>
        <w:t>L</w:t>
      </w:r>
      <w:r w:rsidR="009021AA" w:rsidRPr="004A3269">
        <w:rPr>
          <w:szCs w:val="22"/>
        </w:rPr>
        <w:t>’</w:t>
      </w:r>
      <w:r w:rsidRPr="004A3269">
        <w:rPr>
          <w:szCs w:val="22"/>
        </w:rPr>
        <w:t>Organisation détermine la classification de ses passifs financiers à la comptabilisation initiale</w:t>
      </w:r>
      <w:r w:rsidR="00A0797A" w:rsidRPr="004A3269">
        <w:rPr>
          <w:szCs w:val="22"/>
        </w:rPr>
        <w:t xml:space="preserve">.  </w:t>
      </w:r>
      <w:r w:rsidRPr="004A3269">
        <w:rPr>
          <w:szCs w:val="22"/>
        </w:rPr>
        <w:t>Tous les passifs financiers sont comptabilisés initialement à leur juste valeur et, dans le cas des prêts et des emprunts, aux coûts de transaction directement imputables</w:t>
      </w:r>
      <w:r w:rsidR="00A0797A" w:rsidRPr="004A3269">
        <w:rPr>
          <w:szCs w:val="22"/>
        </w:rPr>
        <w:t xml:space="preserve">.  </w:t>
      </w:r>
      <w:r w:rsidRPr="004A3269">
        <w:rPr>
          <w:szCs w:val="22"/>
        </w:rPr>
        <w:t>Les passifs financiers de l</w:t>
      </w:r>
      <w:r w:rsidR="009021AA" w:rsidRPr="004A3269">
        <w:rPr>
          <w:szCs w:val="22"/>
        </w:rPr>
        <w:t>’</w:t>
      </w:r>
      <w:r w:rsidRPr="004A3269">
        <w:rPr>
          <w:szCs w:val="22"/>
        </w:rPr>
        <w:t>Organisation comprennent les dettes commerciales et autres créances ainsi que les prêts et emprunts.</w:t>
      </w:r>
    </w:p>
    <w:p w:rsidR="00267140" w:rsidRPr="004A3269" w:rsidRDefault="00267140" w:rsidP="009134FD">
      <w:pPr>
        <w:autoSpaceDE w:val="0"/>
        <w:autoSpaceDN w:val="0"/>
        <w:adjustRightInd w:val="0"/>
        <w:jc w:val="both"/>
        <w:rPr>
          <w:b/>
          <w:bCs/>
          <w:szCs w:val="22"/>
        </w:rPr>
      </w:pPr>
    </w:p>
    <w:p w:rsidR="00267140" w:rsidRPr="004A3269" w:rsidRDefault="002D099E" w:rsidP="002D099E">
      <w:pPr>
        <w:autoSpaceDE w:val="0"/>
        <w:autoSpaceDN w:val="0"/>
        <w:adjustRightInd w:val="0"/>
        <w:jc w:val="both"/>
        <w:rPr>
          <w:bCs/>
          <w:szCs w:val="22"/>
        </w:rPr>
      </w:pPr>
      <w:r w:rsidRPr="004A3269">
        <w:rPr>
          <w:bCs/>
          <w:szCs w:val="22"/>
        </w:rPr>
        <w:t>Évaluation ultérieure</w:t>
      </w:r>
      <w:r w:rsidR="00A0797A" w:rsidRPr="004A3269">
        <w:rPr>
          <w:bCs/>
          <w:szCs w:val="22"/>
        </w:rPr>
        <w:t> :</w:t>
      </w:r>
    </w:p>
    <w:p w:rsidR="00267140" w:rsidRPr="004A3269" w:rsidRDefault="002D099E" w:rsidP="002D099E">
      <w:pPr>
        <w:autoSpaceDE w:val="0"/>
        <w:autoSpaceDN w:val="0"/>
        <w:adjustRightInd w:val="0"/>
        <w:jc w:val="both"/>
        <w:rPr>
          <w:szCs w:val="22"/>
        </w:rPr>
      </w:pPr>
      <w:r w:rsidRPr="004A3269">
        <w:rPr>
          <w:szCs w:val="22"/>
        </w:rPr>
        <w:t>L</w:t>
      </w:r>
      <w:r w:rsidR="009021AA" w:rsidRPr="004A3269">
        <w:rPr>
          <w:szCs w:val="22"/>
        </w:rPr>
        <w:t>’</w:t>
      </w:r>
      <w:r w:rsidRPr="004A3269">
        <w:rPr>
          <w:szCs w:val="22"/>
        </w:rPr>
        <w:t>évaluation ultérieure des passifs financiers est fonction de leur classification.</w:t>
      </w:r>
    </w:p>
    <w:p w:rsidR="00267140" w:rsidRPr="004A3269" w:rsidRDefault="00267140" w:rsidP="009134FD">
      <w:pPr>
        <w:autoSpaceDE w:val="0"/>
        <w:autoSpaceDN w:val="0"/>
        <w:adjustRightInd w:val="0"/>
        <w:jc w:val="both"/>
        <w:rPr>
          <w:b/>
          <w:bCs/>
          <w:szCs w:val="22"/>
        </w:rPr>
      </w:pPr>
    </w:p>
    <w:p w:rsidR="00267140" w:rsidRPr="004A3269" w:rsidRDefault="002D099E" w:rsidP="002D099E">
      <w:pPr>
        <w:autoSpaceDE w:val="0"/>
        <w:autoSpaceDN w:val="0"/>
        <w:adjustRightInd w:val="0"/>
        <w:jc w:val="both"/>
        <w:rPr>
          <w:bCs/>
          <w:i/>
          <w:szCs w:val="22"/>
        </w:rPr>
      </w:pPr>
      <w:r w:rsidRPr="004A3269">
        <w:rPr>
          <w:bCs/>
          <w:i/>
          <w:szCs w:val="22"/>
        </w:rPr>
        <w:t>Passifs financiers à leur juste valeur</w:t>
      </w:r>
      <w:r w:rsidRPr="004A3269">
        <w:rPr>
          <w:bCs/>
          <w:szCs w:val="22"/>
        </w:rPr>
        <w:t xml:space="preserve"> </w:t>
      </w:r>
      <w:r w:rsidRPr="004A3269">
        <w:rPr>
          <w:bCs/>
          <w:i/>
          <w:szCs w:val="22"/>
        </w:rPr>
        <w:t>par le biais de l</w:t>
      </w:r>
      <w:r w:rsidR="009021AA" w:rsidRPr="004A3269">
        <w:rPr>
          <w:bCs/>
          <w:i/>
          <w:szCs w:val="22"/>
        </w:rPr>
        <w:t>’</w:t>
      </w:r>
      <w:r w:rsidRPr="004A3269">
        <w:rPr>
          <w:bCs/>
          <w:i/>
          <w:szCs w:val="22"/>
        </w:rPr>
        <w:t>excédent ou du déficit</w:t>
      </w:r>
    </w:p>
    <w:p w:rsidR="00267140" w:rsidRPr="004A3269" w:rsidRDefault="002D099E" w:rsidP="002D099E">
      <w:pPr>
        <w:autoSpaceDE w:val="0"/>
        <w:autoSpaceDN w:val="0"/>
        <w:adjustRightInd w:val="0"/>
        <w:jc w:val="both"/>
        <w:rPr>
          <w:szCs w:val="22"/>
        </w:rPr>
      </w:pPr>
      <w:r w:rsidRPr="004A3269">
        <w:rPr>
          <w:szCs w:val="22"/>
        </w:rPr>
        <w:t>Les passifs financiers à leur juste valeur par le biais de l</w:t>
      </w:r>
      <w:r w:rsidR="009021AA" w:rsidRPr="004A3269">
        <w:rPr>
          <w:szCs w:val="22"/>
        </w:rPr>
        <w:t>’</w:t>
      </w:r>
      <w:r w:rsidRPr="004A3269">
        <w:rPr>
          <w:szCs w:val="22"/>
        </w:rPr>
        <w:t>excédent ou du déficit comprennent les passifs financiers détenus à des fins de transaction et les passifs financiers classés lors de la comptabilisation initiale comme étant à juste valeur par le biais de l</w:t>
      </w:r>
      <w:r w:rsidR="009021AA" w:rsidRPr="004A3269">
        <w:rPr>
          <w:szCs w:val="22"/>
        </w:rPr>
        <w:t>’</w:t>
      </w:r>
      <w:r w:rsidRPr="004A3269">
        <w:rPr>
          <w:szCs w:val="22"/>
        </w:rPr>
        <w:t>excédent ou du déficit</w:t>
      </w:r>
      <w:r w:rsidR="00A0797A" w:rsidRPr="004A3269">
        <w:rPr>
          <w:szCs w:val="22"/>
        </w:rPr>
        <w:t xml:space="preserve">.  </w:t>
      </w:r>
      <w:r w:rsidRPr="004A3269">
        <w:rPr>
          <w:szCs w:val="22"/>
        </w:rPr>
        <w:t>Les passifs financiers sont classés comme étant détenus à des fins de transaction s</w:t>
      </w:r>
      <w:r w:rsidR="009021AA" w:rsidRPr="004A3269">
        <w:rPr>
          <w:szCs w:val="22"/>
        </w:rPr>
        <w:t>’</w:t>
      </w:r>
      <w:r w:rsidRPr="004A3269">
        <w:rPr>
          <w:szCs w:val="22"/>
        </w:rPr>
        <w:t>ils sont acquis pour être vendus dans le court terme</w:t>
      </w:r>
      <w:r w:rsidR="00A0797A" w:rsidRPr="004A3269">
        <w:rPr>
          <w:szCs w:val="22"/>
        </w:rPr>
        <w:t xml:space="preserve">.  </w:t>
      </w:r>
      <w:r w:rsidRPr="004A3269">
        <w:rPr>
          <w:szCs w:val="22"/>
        </w:rPr>
        <w:t>Les gains ou pertes au titre de passifs détenus à des fins de transaction sont comptabilisés dans l</w:t>
      </w:r>
      <w:r w:rsidR="009021AA" w:rsidRPr="004A3269">
        <w:rPr>
          <w:szCs w:val="22"/>
        </w:rPr>
        <w:t>’</w:t>
      </w:r>
      <w:r w:rsidRPr="004A3269">
        <w:rPr>
          <w:szCs w:val="22"/>
        </w:rPr>
        <w:t>excédent ou le déficit.</w:t>
      </w:r>
    </w:p>
    <w:p w:rsidR="00267140" w:rsidRPr="004A3269" w:rsidRDefault="00267140" w:rsidP="009134FD">
      <w:pPr>
        <w:pStyle w:val="Style3"/>
        <w:spacing w:after="0"/>
        <w:rPr>
          <w:szCs w:val="22"/>
        </w:rPr>
      </w:pPr>
    </w:p>
    <w:p w:rsidR="00267140" w:rsidRPr="004A3269" w:rsidRDefault="002D099E" w:rsidP="002D099E">
      <w:pPr>
        <w:autoSpaceDE w:val="0"/>
        <w:autoSpaceDN w:val="0"/>
        <w:adjustRightInd w:val="0"/>
        <w:jc w:val="both"/>
        <w:rPr>
          <w:bCs/>
          <w:i/>
          <w:szCs w:val="22"/>
        </w:rPr>
      </w:pPr>
      <w:r w:rsidRPr="004A3269">
        <w:rPr>
          <w:bCs/>
          <w:i/>
          <w:szCs w:val="22"/>
        </w:rPr>
        <w:t>Prêts et emprunts</w:t>
      </w:r>
    </w:p>
    <w:p w:rsidR="00267140" w:rsidRPr="004A3269" w:rsidRDefault="002D099E" w:rsidP="002D099E">
      <w:pPr>
        <w:autoSpaceDE w:val="0"/>
        <w:autoSpaceDN w:val="0"/>
        <w:adjustRightInd w:val="0"/>
        <w:jc w:val="both"/>
        <w:rPr>
          <w:szCs w:val="22"/>
        </w:rPr>
      </w:pPr>
      <w:r w:rsidRPr="004A3269">
        <w:rPr>
          <w:szCs w:val="22"/>
        </w:rPr>
        <w:t>Après une comptabilisation initiale, les prêts et les emprunts sont ultérieurement évalués au coût amorti à l</w:t>
      </w:r>
      <w:r w:rsidR="009021AA" w:rsidRPr="004A3269">
        <w:rPr>
          <w:szCs w:val="22"/>
        </w:rPr>
        <w:t>’</w:t>
      </w:r>
      <w:r w:rsidRPr="004A3269">
        <w:rPr>
          <w:szCs w:val="22"/>
        </w:rPr>
        <w:t>aide de la méthode de l</w:t>
      </w:r>
      <w:r w:rsidR="009021AA" w:rsidRPr="004A3269">
        <w:rPr>
          <w:szCs w:val="22"/>
        </w:rPr>
        <w:t>’</w:t>
      </w:r>
      <w:r w:rsidRPr="004A3269">
        <w:rPr>
          <w:szCs w:val="22"/>
        </w:rPr>
        <w:t>intérêt effectif</w:t>
      </w:r>
      <w:r w:rsidR="00A0797A" w:rsidRPr="004A3269">
        <w:rPr>
          <w:szCs w:val="22"/>
        </w:rPr>
        <w:t xml:space="preserve">.  </w:t>
      </w:r>
      <w:r w:rsidRPr="004A3269">
        <w:rPr>
          <w:szCs w:val="22"/>
        </w:rPr>
        <w:t>Les gains et les pertes sont comptabilisés dans l</w:t>
      </w:r>
      <w:r w:rsidR="009021AA" w:rsidRPr="004A3269">
        <w:rPr>
          <w:szCs w:val="22"/>
        </w:rPr>
        <w:t>’</w:t>
      </w:r>
      <w:r w:rsidRPr="004A3269">
        <w:rPr>
          <w:szCs w:val="22"/>
        </w:rPr>
        <w:t xml:space="preserve">excédent ou le déficit lorsque les passifs sont </w:t>
      </w:r>
      <w:proofErr w:type="spellStart"/>
      <w:r w:rsidRPr="004A3269">
        <w:rPr>
          <w:szCs w:val="22"/>
        </w:rPr>
        <w:t>décomptabilisés</w:t>
      </w:r>
      <w:proofErr w:type="spellEnd"/>
      <w:r w:rsidRPr="004A3269">
        <w:rPr>
          <w:szCs w:val="22"/>
        </w:rPr>
        <w:t xml:space="preserve"> ainsi qu</w:t>
      </w:r>
      <w:r w:rsidR="009021AA" w:rsidRPr="004A3269">
        <w:rPr>
          <w:szCs w:val="22"/>
        </w:rPr>
        <w:t>’</w:t>
      </w:r>
      <w:r w:rsidRPr="004A3269">
        <w:rPr>
          <w:szCs w:val="22"/>
        </w:rPr>
        <w:t>au moyen de la procédure d</w:t>
      </w:r>
      <w:r w:rsidR="009021AA" w:rsidRPr="004A3269">
        <w:rPr>
          <w:szCs w:val="22"/>
        </w:rPr>
        <w:t>’</w:t>
      </w:r>
      <w:r w:rsidRPr="004A3269">
        <w:rPr>
          <w:szCs w:val="22"/>
        </w:rPr>
        <w:t>amortissement de la méthode de l</w:t>
      </w:r>
      <w:r w:rsidR="009021AA" w:rsidRPr="004A3269">
        <w:rPr>
          <w:szCs w:val="22"/>
        </w:rPr>
        <w:t>’</w:t>
      </w:r>
      <w:r w:rsidRPr="004A3269">
        <w:rPr>
          <w:szCs w:val="22"/>
        </w:rPr>
        <w:t>intérêt effectif</w:t>
      </w:r>
      <w:r w:rsidR="00A0797A" w:rsidRPr="004A3269">
        <w:rPr>
          <w:szCs w:val="22"/>
        </w:rPr>
        <w:t xml:space="preserve">.  </w:t>
      </w:r>
      <w:r w:rsidRPr="004A3269">
        <w:rPr>
          <w:szCs w:val="22"/>
        </w:rPr>
        <w:t>Le coût amorti est calculé en tenant compte de toute décote ou prime d</w:t>
      </w:r>
      <w:r w:rsidR="009021AA" w:rsidRPr="004A3269">
        <w:rPr>
          <w:szCs w:val="22"/>
        </w:rPr>
        <w:t>’</w:t>
      </w:r>
      <w:r w:rsidRPr="004A3269">
        <w:rPr>
          <w:szCs w:val="22"/>
        </w:rPr>
        <w:t>acquisition ainsi que des taxes et coûts qui font partie intégrante du taux d</w:t>
      </w:r>
      <w:r w:rsidR="009021AA" w:rsidRPr="004A3269">
        <w:rPr>
          <w:szCs w:val="22"/>
        </w:rPr>
        <w:t>’</w:t>
      </w:r>
      <w:r w:rsidRPr="004A3269">
        <w:rPr>
          <w:szCs w:val="22"/>
        </w:rPr>
        <w:t>intérêt effectif.</w:t>
      </w:r>
    </w:p>
    <w:p w:rsidR="00267140" w:rsidRPr="004A3269" w:rsidRDefault="00267140" w:rsidP="009134FD">
      <w:pPr>
        <w:autoSpaceDE w:val="0"/>
        <w:autoSpaceDN w:val="0"/>
        <w:adjustRightInd w:val="0"/>
        <w:jc w:val="both"/>
        <w:rPr>
          <w:b/>
          <w:bCs/>
          <w:szCs w:val="22"/>
        </w:rPr>
      </w:pPr>
    </w:p>
    <w:p w:rsidR="00267140" w:rsidRPr="004A3269" w:rsidRDefault="002D099E" w:rsidP="00C06325">
      <w:pPr>
        <w:keepNext/>
        <w:keepLines/>
        <w:autoSpaceDE w:val="0"/>
        <w:autoSpaceDN w:val="0"/>
        <w:adjustRightInd w:val="0"/>
        <w:jc w:val="both"/>
        <w:rPr>
          <w:bCs/>
          <w:szCs w:val="22"/>
        </w:rPr>
      </w:pPr>
      <w:proofErr w:type="spellStart"/>
      <w:r w:rsidRPr="004A3269">
        <w:rPr>
          <w:bCs/>
          <w:szCs w:val="22"/>
        </w:rPr>
        <w:lastRenderedPageBreak/>
        <w:t>Décomptabilisation</w:t>
      </w:r>
      <w:proofErr w:type="spellEnd"/>
      <w:r w:rsidR="00A0797A" w:rsidRPr="004A3269">
        <w:rPr>
          <w:bCs/>
          <w:szCs w:val="22"/>
        </w:rPr>
        <w:t> :</w:t>
      </w:r>
    </w:p>
    <w:p w:rsidR="00267140" w:rsidRPr="004A3269" w:rsidRDefault="002D099E" w:rsidP="00C06325">
      <w:pPr>
        <w:keepNext/>
        <w:keepLines/>
        <w:autoSpaceDE w:val="0"/>
        <w:autoSpaceDN w:val="0"/>
        <w:adjustRightInd w:val="0"/>
        <w:jc w:val="both"/>
        <w:rPr>
          <w:i/>
          <w:iCs/>
          <w:szCs w:val="22"/>
        </w:rPr>
      </w:pPr>
      <w:r w:rsidRPr="004A3269">
        <w:rPr>
          <w:szCs w:val="22"/>
        </w:rPr>
        <w:t xml:space="preserve">Un passif financier est </w:t>
      </w:r>
      <w:proofErr w:type="spellStart"/>
      <w:r w:rsidRPr="004A3269">
        <w:rPr>
          <w:szCs w:val="22"/>
        </w:rPr>
        <w:t>décomptabilisé</w:t>
      </w:r>
      <w:proofErr w:type="spellEnd"/>
      <w:r w:rsidRPr="004A3269">
        <w:rPr>
          <w:szCs w:val="22"/>
        </w:rPr>
        <w:t xml:space="preserve"> lorsque l</w:t>
      </w:r>
      <w:r w:rsidR="009021AA" w:rsidRPr="004A3269">
        <w:rPr>
          <w:szCs w:val="22"/>
        </w:rPr>
        <w:t>’</w:t>
      </w:r>
      <w:r w:rsidRPr="004A3269">
        <w:rPr>
          <w:szCs w:val="22"/>
        </w:rPr>
        <w:t>obligation qui en relève a été payée ou annulée ou lorsqu</w:t>
      </w:r>
      <w:r w:rsidR="009021AA" w:rsidRPr="004A3269">
        <w:rPr>
          <w:szCs w:val="22"/>
        </w:rPr>
        <w:t>’</w:t>
      </w:r>
      <w:r w:rsidRPr="004A3269">
        <w:rPr>
          <w:szCs w:val="22"/>
        </w:rPr>
        <w:t>elle expire</w:t>
      </w:r>
      <w:r w:rsidR="00A0797A" w:rsidRPr="004A3269">
        <w:rPr>
          <w:szCs w:val="22"/>
        </w:rPr>
        <w:t xml:space="preserve">.  </w:t>
      </w:r>
      <w:r w:rsidRPr="004A3269">
        <w:rPr>
          <w:szCs w:val="22"/>
        </w:rPr>
        <w:t>Lorsqu</w:t>
      </w:r>
      <w:r w:rsidR="009021AA" w:rsidRPr="004A3269">
        <w:rPr>
          <w:szCs w:val="22"/>
        </w:rPr>
        <w:t>’</w:t>
      </w:r>
      <w:r w:rsidRPr="004A3269">
        <w:rPr>
          <w:szCs w:val="22"/>
        </w:rPr>
        <w:t>un passif financier existant est remplacé par un autre du même prêteur dans des conditions très différentes, ou lorsque les conditions d</w:t>
      </w:r>
      <w:r w:rsidR="009021AA" w:rsidRPr="004A3269">
        <w:rPr>
          <w:szCs w:val="22"/>
        </w:rPr>
        <w:t>’</w:t>
      </w:r>
      <w:r w:rsidRPr="004A3269">
        <w:rPr>
          <w:szCs w:val="22"/>
        </w:rPr>
        <w:t xml:space="preserve">un passif existant sont considérablement modifiées, un tel échange ou une telle modification est traité comme une </w:t>
      </w:r>
      <w:proofErr w:type="spellStart"/>
      <w:r w:rsidRPr="004A3269">
        <w:rPr>
          <w:szCs w:val="22"/>
        </w:rPr>
        <w:t>décomptabilisation</w:t>
      </w:r>
      <w:proofErr w:type="spellEnd"/>
      <w:r w:rsidRPr="004A3269">
        <w:rPr>
          <w:szCs w:val="22"/>
        </w:rPr>
        <w:t xml:space="preserve"> du passif originel et la comptabilisation d</w:t>
      </w:r>
      <w:r w:rsidR="009021AA" w:rsidRPr="004A3269">
        <w:rPr>
          <w:szCs w:val="22"/>
        </w:rPr>
        <w:t>’</w:t>
      </w:r>
      <w:r w:rsidRPr="004A3269">
        <w:rPr>
          <w:szCs w:val="22"/>
        </w:rPr>
        <w:t>un nouveau passif et la différence des valeurs comptables respectives est comptabilisée dans l</w:t>
      </w:r>
      <w:r w:rsidR="009021AA" w:rsidRPr="004A3269">
        <w:rPr>
          <w:szCs w:val="22"/>
        </w:rPr>
        <w:t>’</w:t>
      </w:r>
      <w:r w:rsidRPr="004A3269">
        <w:rPr>
          <w:szCs w:val="22"/>
        </w:rPr>
        <w:t>excédent ou le déficit.</w:t>
      </w:r>
    </w:p>
    <w:p w:rsidR="00267140" w:rsidRPr="004A3269" w:rsidRDefault="00267140" w:rsidP="009134FD">
      <w:pPr>
        <w:pStyle w:val="Style3Bold"/>
        <w:spacing w:after="0"/>
        <w:rPr>
          <w:szCs w:val="22"/>
        </w:rPr>
      </w:pPr>
    </w:p>
    <w:p w:rsidR="00267140" w:rsidRPr="004A3269" w:rsidRDefault="002D099E" w:rsidP="002D099E">
      <w:pPr>
        <w:pStyle w:val="Style3Bold"/>
        <w:spacing w:after="0"/>
        <w:rPr>
          <w:szCs w:val="22"/>
        </w:rPr>
      </w:pPr>
      <w:r w:rsidRPr="004A3269">
        <w:rPr>
          <w:szCs w:val="22"/>
        </w:rPr>
        <w:t>Opérations en monnaie étrangère</w:t>
      </w:r>
    </w:p>
    <w:p w:rsidR="00267140" w:rsidRPr="004A3269" w:rsidRDefault="00267140" w:rsidP="007C6D77">
      <w:pPr>
        <w:pStyle w:val="Style3"/>
        <w:spacing w:after="0"/>
        <w:rPr>
          <w:szCs w:val="22"/>
        </w:rPr>
      </w:pPr>
    </w:p>
    <w:p w:rsidR="00267140" w:rsidRPr="004A3269" w:rsidRDefault="002D099E" w:rsidP="00572DF1">
      <w:pPr>
        <w:pStyle w:val="Style3"/>
        <w:spacing w:after="0"/>
        <w:rPr>
          <w:szCs w:val="22"/>
        </w:rPr>
      </w:pPr>
      <w:r w:rsidRPr="004A3269">
        <w:rPr>
          <w:szCs w:val="22"/>
        </w:rPr>
        <w:t>La monnaie fonctionnelle de l</w:t>
      </w:r>
      <w:r w:rsidR="009021AA" w:rsidRPr="004A3269">
        <w:rPr>
          <w:szCs w:val="22"/>
        </w:rPr>
        <w:t>’</w:t>
      </w:r>
      <w:r w:rsidRPr="004A3269">
        <w:rPr>
          <w:szCs w:val="22"/>
        </w:rPr>
        <w:t>OMPI est le franc suisse et les états financiers sont présentés dans cette monnaie.</w:t>
      </w:r>
      <w:r w:rsidR="00E8347F" w:rsidRPr="004A3269">
        <w:t xml:space="preserve">  </w:t>
      </w:r>
      <w:r w:rsidR="00572DF1" w:rsidRPr="004A3269">
        <w:rPr>
          <w:szCs w:val="22"/>
        </w:rPr>
        <w:t>Toutes les opérations faites dans d</w:t>
      </w:r>
      <w:r w:rsidR="009021AA" w:rsidRPr="004A3269">
        <w:rPr>
          <w:szCs w:val="22"/>
        </w:rPr>
        <w:t>’</w:t>
      </w:r>
      <w:r w:rsidR="00572DF1" w:rsidRPr="004A3269">
        <w:rPr>
          <w:szCs w:val="22"/>
        </w:rPr>
        <w:t xml:space="preserve">autres monnaies sont converties en francs suisses </w:t>
      </w:r>
      <w:r w:rsidR="00AF5215" w:rsidRPr="004A3269">
        <w:rPr>
          <w:szCs w:val="22"/>
        </w:rPr>
        <w:t>selon le</w:t>
      </w:r>
      <w:r w:rsidR="00572DF1" w:rsidRPr="004A3269">
        <w:rPr>
          <w:szCs w:val="22"/>
        </w:rPr>
        <w:t xml:space="preserve"> </w:t>
      </w:r>
      <w:r w:rsidR="00AF5215" w:rsidRPr="004A3269">
        <w:rPr>
          <w:rStyle w:val="preferred"/>
          <w:szCs w:val="22"/>
        </w:rPr>
        <w:t>t</w:t>
      </w:r>
      <w:r w:rsidR="004A3269" w:rsidRPr="004A3269">
        <w:rPr>
          <w:rStyle w:val="preferred"/>
          <w:szCs w:val="22"/>
        </w:rPr>
        <w:t>aux de change opérationnel de l’</w:t>
      </w:r>
      <w:r w:rsidR="00AF5215" w:rsidRPr="004A3269">
        <w:rPr>
          <w:rStyle w:val="preferred"/>
          <w:szCs w:val="22"/>
        </w:rPr>
        <w:t xml:space="preserve">Organisation </w:t>
      </w:r>
      <w:r w:rsidR="00572DF1" w:rsidRPr="004A3269">
        <w:rPr>
          <w:szCs w:val="22"/>
        </w:rPr>
        <w:t xml:space="preserve">des </w:t>
      </w:r>
      <w:r w:rsidR="009021AA" w:rsidRPr="004A3269">
        <w:rPr>
          <w:szCs w:val="22"/>
        </w:rPr>
        <w:t>Nations Unies</w:t>
      </w:r>
      <w:r w:rsidR="00572DF1" w:rsidRPr="004A3269">
        <w:rPr>
          <w:szCs w:val="22"/>
        </w:rPr>
        <w:t xml:space="preserve"> en vigueur à la date des opérations.</w:t>
      </w:r>
      <w:r w:rsidR="00E8347F" w:rsidRPr="004A3269">
        <w:t xml:space="preserve">  </w:t>
      </w:r>
      <w:r w:rsidR="00572DF1" w:rsidRPr="004A3269">
        <w:rPr>
          <w:szCs w:val="22"/>
        </w:rPr>
        <w:t>Les profits comme les pertes, réalisés ou non, qui résultent de la liquidation de ces opérations et de la reconversion, à la date d</w:t>
      </w:r>
      <w:r w:rsidR="009021AA" w:rsidRPr="004A3269">
        <w:rPr>
          <w:szCs w:val="22"/>
        </w:rPr>
        <w:t>’</w:t>
      </w:r>
      <w:r w:rsidR="00572DF1" w:rsidRPr="004A3269">
        <w:rPr>
          <w:szCs w:val="22"/>
        </w:rPr>
        <w:t>établissement des états financiers, des actifs et des passifs libellés dans d</w:t>
      </w:r>
      <w:r w:rsidR="009021AA" w:rsidRPr="004A3269">
        <w:rPr>
          <w:szCs w:val="22"/>
        </w:rPr>
        <w:t>’</w:t>
      </w:r>
      <w:r w:rsidR="00572DF1" w:rsidRPr="004A3269">
        <w:rPr>
          <w:szCs w:val="22"/>
        </w:rPr>
        <w:t>autres monnaies que la monnaie fonctionnelle de l</w:t>
      </w:r>
      <w:r w:rsidR="009021AA" w:rsidRPr="004A3269">
        <w:rPr>
          <w:szCs w:val="22"/>
        </w:rPr>
        <w:t>’</w:t>
      </w:r>
      <w:r w:rsidR="00572DF1" w:rsidRPr="004A3269">
        <w:rPr>
          <w:szCs w:val="22"/>
        </w:rPr>
        <w:t>OMPI, sont comptabilisés dans l</w:t>
      </w:r>
      <w:r w:rsidR="009021AA" w:rsidRPr="004A3269">
        <w:rPr>
          <w:szCs w:val="22"/>
        </w:rPr>
        <w:t>’</w:t>
      </w:r>
      <w:r w:rsidR="00572DF1" w:rsidRPr="004A3269">
        <w:rPr>
          <w:szCs w:val="22"/>
        </w:rPr>
        <w:t>état de la performance financière.</w:t>
      </w:r>
    </w:p>
    <w:p w:rsidR="00267140" w:rsidRPr="004A3269" w:rsidRDefault="00267140" w:rsidP="007C6D77">
      <w:pPr>
        <w:pStyle w:val="Style3"/>
        <w:spacing w:after="0"/>
        <w:rPr>
          <w:szCs w:val="22"/>
        </w:rPr>
      </w:pPr>
    </w:p>
    <w:p w:rsidR="00267140" w:rsidRPr="004A3269" w:rsidRDefault="00572DF1" w:rsidP="00572DF1">
      <w:pPr>
        <w:pStyle w:val="Style3Bold"/>
        <w:spacing w:after="0"/>
        <w:rPr>
          <w:szCs w:val="22"/>
        </w:rPr>
      </w:pPr>
      <w:r w:rsidRPr="004A3269">
        <w:rPr>
          <w:szCs w:val="22"/>
        </w:rPr>
        <w:t>Immobilisations</w:t>
      </w:r>
    </w:p>
    <w:p w:rsidR="00267140" w:rsidRPr="004A3269" w:rsidRDefault="00267140" w:rsidP="007C6D77">
      <w:pPr>
        <w:pStyle w:val="Style3Bold"/>
        <w:spacing w:after="0"/>
        <w:rPr>
          <w:b w:val="0"/>
          <w:szCs w:val="22"/>
        </w:rPr>
      </w:pPr>
    </w:p>
    <w:p w:rsidR="00267140" w:rsidRPr="004A3269" w:rsidRDefault="00572DF1" w:rsidP="00572DF1">
      <w:pPr>
        <w:pStyle w:val="Style3"/>
        <w:spacing w:after="0"/>
        <w:rPr>
          <w:szCs w:val="22"/>
        </w:rPr>
      </w:pPr>
      <w:r w:rsidRPr="004A3269">
        <w:rPr>
          <w:szCs w:val="22"/>
        </w:rPr>
        <w:t>L</w:t>
      </w:r>
      <w:r w:rsidR="009021AA" w:rsidRPr="004A3269">
        <w:rPr>
          <w:szCs w:val="22"/>
        </w:rPr>
        <w:t>’</w:t>
      </w:r>
      <w:r w:rsidRPr="004A3269">
        <w:rPr>
          <w:szCs w:val="22"/>
        </w:rPr>
        <w:t>équipement est évalué à la valeur d</w:t>
      </w:r>
      <w:r w:rsidR="009021AA" w:rsidRPr="004A3269">
        <w:rPr>
          <w:szCs w:val="22"/>
        </w:rPr>
        <w:t>’</w:t>
      </w:r>
      <w:r w:rsidRPr="004A3269">
        <w:rPr>
          <w:szCs w:val="22"/>
        </w:rPr>
        <w:t>achat diminuée de l</w:t>
      </w:r>
      <w:r w:rsidR="009021AA" w:rsidRPr="004A3269">
        <w:rPr>
          <w:szCs w:val="22"/>
        </w:rPr>
        <w:t>’</w:t>
      </w:r>
      <w:r w:rsidRPr="004A3269">
        <w:rPr>
          <w:szCs w:val="22"/>
        </w:rPr>
        <w:t>amortissement et de la dépréciation cumulés</w:t>
      </w:r>
      <w:r w:rsidR="00A0797A" w:rsidRPr="004A3269">
        <w:rPr>
          <w:szCs w:val="22"/>
        </w:rPr>
        <w:t xml:space="preserve">.  </w:t>
      </w:r>
      <w:r w:rsidRPr="004A3269">
        <w:rPr>
          <w:szCs w:val="22"/>
        </w:rPr>
        <w:t>L</w:t>
      </w:r>
      <w:r w:rsidR="009021AA" w:rsidRPr="004A3269">
        <w:rPr>
          <w:szCs w:val="22"/>
        </w:rPr>
        <w:t>’</w:t>
      </w:r>
      <w:r w:rsidRPr="004A3269">
        <w:rPr>
          <w:szCs w:val="22"/>
        </w:rPr>
        <w:t>équipement est comptabilisé en tant qu</w:t>
      </w:r>
      <w:r w:rsidR="009021AA" w:rsidRPr="004A3269">
        <w:rPr>
          <w:szCs w:val="22"/>
        </w:rPr>
        <w:t>’</w:t>
      </w:r>
      <w:r w:rsidRPr="004A3269">
        <w:rPr>
          <w:szCs w:val="22"/>
        </w:rPr>
        <w:t>immobilisation si son coût unitaire est supérieur ou égal à 5000</w:t>
      </w:r>
      <w:r w:rsidR="00067463" w:rsidRPr="004A3269">
        <w:rPr>
          <w:szCs w:val="22"/>
        </w:rPr>
        <w:t> </w:t>
      </w:r>
      <w:r w:rsidRPr="004A3269">
        <w:rPr>
          <w:szCs w:val="22"/>
        </w:rPr>
        <w:t>francs suisses</w:t>
      </w:r>
      <w:r w:rsidR="00A0797A" w:rsidRPr="004A3269">
        <w:rPr>
          <w:szCs w:val="22"/>
        </w:rPr>
        <w:t xml:space="preserve">.  </w:t>
      </w:r>
      <w:r w:rsidRPr="004A3269">
        <w:rPr>
          <w:szCs w:val="22"/>
        </w:rPr>
        <w:t>Les terrains et les immeubles de placement sont présentés à la juste valeur telle que déterminée par une évaluation indépendante en conformité avec les normes d</w:t>
      </w:r>
      <w:r w:rsidR="009021AA" w:rsidRPr="004A3269">
        <w:rPr>
          <w:szCs w:val="22"/>
        </w:rPr>
        <w:t>’</w:t>
      </w:r>
      <w:r w:rsidRPr="004A3269">
        <w:rPr>
          <w:szCs w:val="22"/>
        </w:rPr>
        <w:t>évaluation internationales</w:t>
      </w:r>
      <w:r w:rsidR="00A0797A" w:rsidRPr="004A3269">
        <w:rPr>
          <w:szCs w:val="22"/>
        </w:rPr>
        <w:t xml:space="preserve">.  </w:t>
      </w:r>
      <w:r w:rsidRPr="004A3269">
        <w:rPr>
          <w:szCs w:val="22"/>
        </w:rPr>
        <w:t>Les bâtiments occupés sont évalués au coût de la construction lorsqu</w:t>
      </w:r>
      <w:r w:rsidR="009021AA" w:rsidRPr="004A3269">
        <w:rPr>
          <w:szCs w:val="22"/>
        </w:rPr>
        <w:t>’</w:t>
      </w:r>
      <w:r w:rsidRPr="004A3269">
        <w:rPr>
          <w:szCs w:val="22"/>
        </w:rPr>
        <w:t>ils sont nouveaux, auquel s</w:t>
      </w:r>
      <w:r w:rsidR="009021AA" w:rsidRPr="004A3269">
        <w:rPr>
          <w:szCs w:val="22"/>
        </w:rPr>
        <w:t>’</w:t>
      </w:r>
      <w:r w:rsidRPr="004A3269">
        <w:rPr>
          <w:szCs w:val="22"/>
        </w:rPr>
        <w:t>ajoute le coût des améliorations ultérieures, tel que déterminé par un expert indépendant, diminué de l</w:t>
      </w:r>
      <w:r w:rsidR="009021AA" w:rsidRPr="004A3269">
        <w:rPr>
          <w:szCs w:val="22"/>
        </w:rPr>
        <w:t>’</w:t>
      </w:r>
      <w:r w:rsidRPr="004A3269">
        <w:rPr>
          <w:szCs w:val="22"/>
        </w:rPr>
        <w:t>amortissement cumulé</w:t>
      </w:r>
      <w:r w:rsidR="00A0797A" w:rsidRPr="004A3269">
        <w:rPr>
          <w:szCs w:val="22"/>
        </w:rPr>
        <w:t xml:space="preserve">.  </w:t>
      </w:r>
      <w:r w:rsidRPr="004A3269">
        <w:rPr>
          <w:szCs w:val="22"/>
        </w:rPr>
        <w:t xml:space="preserve">En ce qui concerne la comptabilisation des bâtiments occupés au </w:t>
      </w:r>
      <w:r w:rsidR="00A0797A" w:rsidRPr="004A3269">
        <w:rPr>
          <w:szCs w:val="22"/>
        </w:rPr>
        <w:t>1</w:t>
      </w:r>
      <w:r w:rsidR="00A0797A" w:rsidRPr="004A3269">
        <w:rPr>
          <w:szCs w:val="22"/>
          <w:vertAlign w:val="superscript"/>
        </w:rPr>
        <w:t>er</w:t>
      </w:r>
      <w:r w:rsidR="00A0797A" w:rsidRPr="004A3269">
        <w:rPr>
          <w:szCs w:val="22"/>
        </w:rPr>
        <w:t> janvier </w:t>
      </w:r>
      <w:r w:rsidRPr="004A3269">
        <w:rPr>
          <w:szCs w:val="22"/>
        </w:rPr>
        <w:t>2010, date de passage aux normes</w:t>
      </w:r>
      <w:r w:rsidR="00067463" w:rsidRPr="004A3269">
        <w:rPr>
          <w:szCs w:val="22"/>
        </w:rPr>
        <w:t> </w:t>
      </w:r>
      <w:r w:rsidRPr="004A3269">
        <w:rPr>
          <w:szCs w:val="22"/>
        </w:rPr>
        <w:t>IPSAS, la valeur à neuf</w:t>
      </w:r>
      <w:r w:rsidR="00277DBB" w:rsidRPr="004A3269">
        <w:rPr>
          <w:szCs w:val="22"/>
        </w:rPr>
        <w:t xml:space="preserve"> </w:t>
      </w:r>
      <w:r w:rsidRPr="004A3269">
        <w:rPr>
          <w:szCs w:val="22"/>
        </w:rPr>
        <w:t>est déterminée par référence à un coût présumé calculé par un consultant externe et qui représente la valeur de chaque composante à la construction ainsi que les améliorations existantes à la date de la comptabilisation initiale, diminué de l</w:t>
      </w:r>
      <w:r w:rsidR="009021AA" w:rsidRPr="004A3269">
        <w:rPr>
          <w:szCs w:val="22"/>
        </w:rPr>
        <w:t>’</w:t>
      </w:r>
      <w:r w:rsidRPr="004A3269">
        <w:rPr>
          <w:szCs w:val="22"/>
        </w:rPr>
        <w:t>amortissement cumulé basé sur la durée d</w:t>
      </w:r>
      <w:r w:rsidR="009021AA" w:rsidRPr="004A3269">
        <w:rPr>
          <w:szCs w:val="22"/>
        </w:rPr>
        <w:t>’</w:t>
      </w:r>
      <w:r w:rsidRPr="004A3269">
        <w:rPr>
          <w:szCs w:val="22"/>
        </w:rPr>
        <w:t>utilité restante de chaque composante</w:t>
      </w:r>
      <w:r w:rsidR="00A0797A" w:rsidRPr="004A3269">
        <w:rPr>
          <w:szCs w:val="22"/>
        </w:rPr>
        <w:t xml:space="preserve">.  </w:t>
      </w:r>
      <w:r w:rsidRPr="004A3269">
        <w:rPr>
          <w:szCs w:val="22"/>
        </w:rPr>
        <w:t>Les coûts ultérieurs concernant des rénovations majeures et les améliorations aux immobilisations qui augmentent ou prolongent les avantages économiques futurs ou le potentiel de service sont évalués au prix coûtant</w:t>
      </w:r>
      <w:r w:rsidR="00A0797A" w:rsidRPr="004A3269">
        <w:rPr>
          <w:szCs w:val="22"/>
        </w:rPr>
        <w:t xml:space="preserve">.  </w:t>
      </w:r>
      <w:r w:rsidRPr="004A3269">
        <w:rPr>
          <w:szCs w:val="22"/>
        </w:rPr>
        <w:t>Les profits et les pertes dégagés sur la cession sont déterminés par comparaison du produit de la cession à la valeur comptable de l</w:t>
      </w:r>
      <w:r w:rsidR="009021AA" w:rsidRPr="004A3269">
        <w:rPr>
          <w:szCs w:val="22"/>
        </w:rPr>
        <w:t>’</w:t>
      </w:r>
      <w:r w:rsidRPr="004A3269">
        <w:rPr>
          <w:szCs w:val="22"/>
        </w:rPr>
        <w:t>actif et sont inclus dans l</w:t>
      </w:r>
      <w:r w:rsidR="009021AA" w:rsidRPr="004A3269">
        <w:rPr>
          <w:szCs w:val="22"/>
        </w:rPr>
        <w:t>’</w:t>
      </w:r>
      <w:r w:rsidRPr="004A3269">
        <w:rPr>
          <w:szCs w:val="22"/>
        </w:rPr>
        <w:t>état des résultats financiers</w:t>
      </w:r>
      <w:r w:rsidR="00A0797A" w:rsidRPr="004A3269">
        <w:rPr>
          <w:szCs w:val="22"/>
        </w:rPr>
        <w:t xml:space="preserve">.  </w:t>
      </w:r>
      <w:r w:rsidRPr="004A3269">
        <w:rPr>
          <w:szCs w:val="22"/>
        </w:rPr>
        <w:t xml:space="preserve">Les actifs patrimoniaux, </w:t>
      </w:r>
      <w:r w:rsidR="009021AA" w:rsidRPr="004A3269">
        <w:rPr>
          <w:szCs w:val="22"/>
        </w:rPr>
        <w:t>y compris</w:t>
      </w:r>
      <w:r w:rsidRPr="004A3269">
        <w:rPr>
          <w:szCs w:val="22"/>
        </w:rPr>
        <w:t xml:space="preserve"> les œuvres d</w:t>
      </w:r>
      <w:r w:rsidR="009021AA" w:rsidRPr="004A3269">
        <w:rPr>
          <w:szCs w:val="22"/>
        </w:rPr>
        <w:t>’</w:t>
      </w:r>
      <w:r w:rsidRPr="004A3269">
        <w:rPr>
          <w:szCs w:val="22"/>
        </w:rPr>
        <w:t>art léguées, ne sont pas comptabilisés dans les états financiers.</w:t>
      </w:r>
    </w:p>
    <w:p w:rsidR="00267140" w:rsidRPr="004A3269" w:rsidRDefault="00267140" w:rsidP="007C6D77">
      <w:pPr>
        <w:pStyle w:val="Style3"/>
        <w:spacing w:after="0"/>
        <w:rPr>
          <w:szCs w:val="22"/>
        </w:rPr>
      </w:pPr>
    </w:p>
    <w:p w:rsidR="00267140" w:rsidRPr="004A3269" w:rsidRDefault="00572DF1" w:rsidP="00572DF1">
      <w:pPr>
        <w:pStyle w:val="Style3"/>
        <w:spacing w:after="0"/>
        <w:rPr>
          <w:szCs w:val="22"/>
        </w:rPr>
      </w:pPr>
      <w:r w:rsidRPr="004A3269">
        <w:rPr>
          <w:szCs w:val="22"/>
        </w:rPr>
        <w:t>L</w:t>
      </w:r>
      <w:r w:rsidR="009021AA" w:rsidRPr="004A3269">
        <w:rPr>
          <w:szCs w:val="22"/>
        </w:rPr>
        <w:t>’</w:t>
      </w:r>
      <w:r w:rsidRPr="004A3269">
        <w:rPr>
          <w:szCs w:val="22"/>
        </w:rPr>
        <w:t>amortissement est déduit de manière à amortir la totalité du coût des immobilisations, autres que les terrains et les immeubles en construction, sur leur durée d</w:t>
      </w:r>
      <w:r w:rsidR="009021AA" w:rsidRPr="004A3269">
        <w:rPr>
          <w:szCs w:val="22"/>
        </w:rPr>
        <w:t>’</w:t>
      </w:r>
      <w:r w:rsidRPr="004A3269">
        <w:rPr>
          <w:szCs w:val="22"/>
        </w:rPr>
        <w:t>utilité estimée selon la méthode linéaire</w:t>
      </w:r>
      <w:r w:rsidR="00A0797A" w:rsidRPr="004A3269">
        <w:rPr>
          <w:szCs w:val="22"/>
        </w:rPr>
        <w:t xml:space="preserve">.  </w:t>
      </w:r>
      <w:r w:rsidRPr="004A3269">
        <w:rPr>
          <w:szCs w:val="22"/>
        </w:rPr>
        <w:t>Lorsque des immobilisations ne sont utilisées qu</w:t>
      </w:r>
      <w:r w:rsidR="009021AA" w:rsidRPr="004A3269">
        <w:rPr>
          <w:szCs w:val="22"/>
        </w:rPr>
        <w:t>’</w:t>
      </w:r>
      <w:r w:rsidRPr="004A3269">
        <w:rPr>
          <w:szCs w:val="22"/>
        </w:rPr>
        <w:t>une partie de l</w:t>
      </w:r>
      <w:r w:rsidR="009021AA" w:rsidRPr="004A3269">
        <w:rPr>
          <w:szCs w:val="22"/>
        </w:rPr>
        <w:t>’</w:t>
      </w:r>
      <w:r w:rsidRPr="004A3269">
        <w:rPr>
          <w:szCs w:val="22"/>
        </w:rPr>
        <w:t>année (acquisition, cession ou mise hors service durant l</w:t>
      </w:r>
      <w:r w:rsidR="009021AA" w:rsidRPr="004A3269">
        <w:rPr>
          <w:szCs w:val="22"/>
        </w:rPr>
        <w:t>’</w:t>
      </w:r>
      <w:r w:rsidRPr="004A3269">
        <w:rPr>
          <w:szCs w:val="22"/>
        </w:rPr>
        <w:t>année), l</w:t>
      </w:r>
      <w:r w:rsidR="009021AA" w:rsidRPr="004A3269">
        <w:rPr>
          <w:szCs w:val="22"/>
        </w:rPr>
        <w:t>’</w:t>
      </w:r>
      <w:r w:rsidRPr="004A3269">
        <w:rPr>
          <w:szCs w:val="22"/>
        </w:rPr>
        <w:t>amortissement n</w:t>
      </w:r>
      <w:r w:rsidR="009021AA" w:rsidRPr="004A3269">
        <w:rPr>
          <w:szCs w:val="22"/>
        </w:rPr>
        <w:t>’</w:t>
      </w:r>
      <w:r w:rsidRPr="004A3269">
        <w:rPr>
          <w:szCs w:val="22"/>
        </w:rPr>
        <w:t>est déduit que pour les mois pendant lesquels l</w:t>
      </w:r>
      <w:r w:rsidR="009021AA" w:rsidRPr="004A3269">
        <w:rPr>
          <w:szCs w:val="22"/>
        </w:rPr>
        <w:t>’</w:t>
      </w:r>
      <w:r w:rsidRPr="004A3269">
        <w:rPr>
          <w:szCs w:val="22"/>
        </w:rPr>
        <w:t>immobilisation a été utilisée.</w:t>
      </w:r>
      <w:r w:rsidR="00D602C9" w:rsidRPr="004A3269">
        <w:t xml:space="preserve"> </w:t>
      </w:r>
      <w:r w:rsidR="00C766FD" w:rsidRPr="004A3269">
        <w:t xml:space="preserve"> </w:t>
      </w:r>
      <w:r w:rsidR="0048551E" w:rsidRPr="004A3269">
        <w:rPr>
          <w:szCs w:val="22"/>
        </w:rPr>
        <w:t xml:space="preserve">Les </w:t>
      </w:r>
      <w:r w:rsidR="00B862C2" w:rsidRPr="004A3269">
        <w:rPr>
          <w:szCs w:val="22"/>
        </w:rPr>
        <w:t>gammes de</w:t>
      </w:r>
      <w:r w:rsidRPr="004A3269">
        <w:rPr>
          <w:szCs w:val="22"/>
        </w:rPr>
        <w:t xml:space="preserve"> durées d</w:t>
      </w:r>
      <w:r w:rsidR="009021AA" w:rsidRPr="004A3269">
        <w:rPr>
          <w:szCs w:val="22"/>
        </w:rPr>
        <w:t>’</w:t>
      </w:r>
      <w:r w:rsidRPr="004A3269">
        <w:rPr>
          <w:szCs w:val="22"/>
        </w:rPr>
        <w:t>utilité suivantes sont appliquées aux différentes catégories d</w:t>
      </w:r>
      <w:r w:rsidR="009021AA" w:rsidRPr="004A3269">
        <w:rPr>
          <w:szCs w:val="22"/>
        </w:rPr>
        <w:t>’</w:t>
      </w:r>
      <w:r w:rsidRPr="004A3269">
        <w:rPr>
          <w:szCs w:val="22"/>
        </w:rPr>
        <w:t>immobilisations</w:t>
      </w:r>
      <w:r w:rsidR="00A0797A" w:rsidRPr="004A3269">
        <w:rPr>
          <w:szCs w:val="22"/>
        </w:rPr>
        <w:t> :</w:t>
      </w:r>
    </w:p>
    <w:p w:rsidR="007C6D77" w:rsidRPr="004A3269" w:rsidRDefault="007C6D77" w:rsidP="007C6D77">
      <w:pPr>
        <w:pStyle w:val="Style3"/>
        <w:spacing w:after="0"/>
        <w:rPr>
          <w:szCs w:val="22"/>
        </w:rPr>
      </w:pPr>
    </w:p>
    <w:p w:rsidR="00695FBE" w:rsidRDefault="00695FBE">
      <w:r>
        <w:br w:type="page"/>
      </w:r>
    </w:p>
    <w:tbl>
      <w:tblPr>
        <w:tblW w:w="7710" w:type="dxa"/>
        <w:jc w:val="center"/>
        <w:tblLook w:val="0000" w:firstRow="0" w:lastRow="0" w:firstColumn="0" w:lastColumn="0" w:noHBand="0" w:noVBand="0"/>
      </w:tblPr>
      <w:tblGrid>
        <w:gridCol w:w="3109"/>
        <w:gridCol w:w="2520"/>
        <w:gridCol w:w="2081"/>
      </w:tblGrid>
      <w:tr w:rsidR="004A3269" w:rsidRPr="004A3269" w:rsidTr="002A0C27">
        <w:trPr>
          <w:trHeight w:val="345"/>
          <w:jc w:val="center"/>
        </w:trPr>
        <w:tc>
          <w:tcPr>
            <w:tcW w:w="3109" w:type="dxa"/>
            <w:tcBorders>
              <w:top w:val="single" w:sz="4" w:space="0" w:color="auto"/>
              <w:left w:val="nil"/>
              <w:bottom w:val="single" w:sz="4" w:space="0" w:color="auto"/>
              <w:right w:val="nil"/>
            </w:tcBorders>
            <w:shd w:val="clear" w:color="auto" w:fill="F2F2F2"/>
            <w:noWrap/>
            <w:vAlign w:val="center"/>
          </w:tcPr>
          <w:p w:rsidR="00B47991" w:rsidRPr="004A3269" w:rsidRDefault="00572DF1" w:rsidP="00572DF1">
            <w:pPr>
              <w:jc w:val="center"/>
              <w:rPr>
                <w:b/>
                <w:sz w:val="18"/>
                <w:szCs w:val="18"/>
              </w:rPr>
            </w:pPr>
            <w:r w:rsidRPr="004A3269">
              <w:rPr>
                <w:b/>
                <w:sz w:val="18"/>
                <w:szCs w:val="18"/>
              </w:rPr>
              <w:lastRenderedPageBreak/>
              <w:t>Catégorie</w:t>
            </w:r>
          </w:p>
        </w:tc>
        <w:tc>
          <w:tcPr>
            <w:tcW w:w="2520" w:type="dxa"/>
            <w:tcBorders>
              <w:top w:val="single" w:sz="4" w:space="0" w:color="auto"/>
              <w:left w:val="nil"/>
              <w:bottom w:val="single" w:sz="4" w:space="0" w:color="auto"/>
              <w:right w:val="nil"/>
            </w:tcBorders>
            <w:shd w:val="clear" w:color="auto" w:fill="F2F2F2"/>
            <w:vAlign w:val="center"/>
          </w:tcPr>
          <w:p w:rsidR="00B47991" w:rsidRPr="004A3269" w:rsidRDefault="00572DF1" w:rsidP="00572DF1">
            <w:pPr>
              <w:jc w:val="center"/>
              <w:rPr>
                <w:b/>
                <w:sz w:val="18"/>
                <w:szCs w:val="18"/>
              </w:rPr>
            </w:pPr>
            <w:r w:rsidRPr="004A3269">
              <w:rPr>
                <w:b/>
                <w:sz w:val="18"/>
                <w:szCs w:val="18"/>
              </w:rPr>
              <w:t>Composante</w:t>
            </w:r>
          </w:p>
        </w:tc>
        <w:tc>
          <w:tcPr>
            <w:tcW w:w="2081" w:type="dxa"/>
            <w:tcBorders>
              <w:top w:val="single" w:sz="4" w:space="0" w:color="auto"/>
              <w:left w:val="nil"/>
              <w:bottom w:val="single" w:sz="4" w:space="0" w:color="auto"/>
              <w:right w:val="nil"/>
            </w:tcBorders>
            <w:shd w:val="clear" w:color="auto" w:fill="F2F2F2"/>
            <w:vAlign w:val="center"/>
          </w:tcPr>
          <w:p w:rsidR="00B47991" w:rsidRPr="004A3269" w:rsidRDefault="00572DF1" w:rsidP="00572DF1">
            <w:pPr>
              <w:jc w:val="center"/>
              <w:rPr>
                <w:b/>
                <w:sz w:val="18"/>
                <w:szCs w:val="18"/>
              </w:rPr>
            </w:pPr>
            <w:r w:rsidRPr="004A3269">
              <w:rPr>
                <w:b/>
                <w:sz w:val="18"/>
                <w:szCs w:val="18"/>
              </w:rPr>
              <w:t>Durée d</w:t>
            </w:r>
            <w:r w:rsidR="009021AA" w:rsidRPr="004A3269">
              <w:rPr>
                <w:b/>
                <w:sz w:val="18"/>
                <w:szCs w:val="18"/>
              </w:rPr>
              <w:t>’</w:t>
            </w:r>
            <w:r w:rsidRPr="004A3269">
              <w:rPr>
                <w:b/>
                <w:sz w:val="18"/>
                <w:szCs w:val="18"/>
              </w:rPr>
              <w:t>utilité estimée</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F645B5" w:rsidP="00AF5215">
            <w:pPr>
              <w:rPr>
                <w:sz w:val="18"/>
                <w:szCs w:val="18"/>
              </w:rPr>
            </w:pPr>
            <w:r w:rsidRPr="004A3269">
              <w:rPr>
                <w:sz w:val="18"/>
                <w:szCs w:val="18"/>
              </w:rPr>
              <w:t>Communications</w:t>
            </w:r>
            <w:r w:rsidR="00B47991" w:rsidRPr="004A3269">
              <w:rPr>
                <w:sz w:val="18"/>
                <w:szCs w:val="18"/>
              </w:rPr>
              <w:t xml:space="preserve"> </w:t>
            </w:r>
            <w:r w:rsidRPr="004A3269">
              <w:rPr>
                <w:sz w:val="18"/>
                <w:szCs w:val="18"/>
              </w:rPr>
              <w:t>et équipement informatique</w:t>
            </w:r>
          </w:p>
        </w:tc>
        <w:tc>
          <w:tcPr>
            <w:tcW w:w="2520" w:type="dxa"/>
            <w:tcBorders>
              <w:top w:val="nil"/>
              <w:left w:val="nil"/>
              <w:bottom w:val="nil"/>
              <w:right w:val="nil"/>
            </w:tcBorders>
            <w:shd w:val="clear" w:color="auto" w:fill="auto"/>
            <w:vAlign w:val="center"/>
          </w:tcPr>
          <w:p w:rsidR="00B47991" w:rsidRPr="004A3269" w:rsidRDefault="00B47991" w:rsidP="00F03904">
            <w:pPr>
              <w:rPr>
                <w:sz w:val="18"/>
                <w:szCs w:val="18"/>
              </w:rPr>
            </w:pP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5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572DF1" w:rsidP="00572DF1">
            <w:pPr>
              <w:rPr>
                <w:sz w:val="18"/>
                <w:szCs w:val="18"/>
              </w:rPr>
            </w:pPr>
            <w:r w:rsidRPr="004A3269">
              <w:rPr>
                <w:sz w:val="18"/>
                <w:szCs w:val="18"/>
              </w:rPr>
              <w:t>Véhicules</w:t>
            </w:r>
          </w:p>
        </w:tc>
        <w:tc>
          <w:tcPr>
            <w:tcW w:w="2520" w:type="dxa"/>
            <w:tcBorders>
              <w:top w:val="nil"/>
              <w:left w:val="nil"/>
              <w:bottom w:val="nil"/>
              <w:right w:val="nil"/>
            </w:tcBorders>
            <w:shd w:val="clear" w:color="auto" w:fill="auto"/>
            <w:vAlign w:val="center"/>
          </w:tcPr>
          <w:p w:rsidR="00B47991" w:rsidRPr="004A3269" w:rsidRDefault="00B47991" w:rsidP="00F03904">
            <w:pPr>
              <w:rPr>
                <w:sz w:val="18"/>
                <w:szCs w:val="18"/>
              </w:rPr>
            </w:pP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5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F645B5" w:rsidP="00F03904">
            <w:pPr>
              <w:rPr>
                <w:sz w:val="18"/>
                <w:szCs w:val="18"/>
              </w:rPr>
            </w:pPr>
            <w:r w:rsidRPr="004A3269">
              <w:rPr>
                <w:sz w:val="18"/>
                <w:szCs w:val="18"/>
              </w:rPr>
              <w:t>Meubles et mobilier</w:t>
            </w:r>
          </w:p>
        </w:tc>
        <w:tc>
          <w:tcPr>
            <w:tcW w:w="2520" w:type="dxa"/>
            <w:tcBorders>
              <w:top w:val="nil"/>
              <w:left w:val="nil"/>
              <w:bottom w:val="nil"/>
              <w:right w:val="nil"/>
            </w:tcBorders>
            <w:shd w:val="clear" w:color="auto" w:fill="auto"/>
            <w:vAlign w:val="center"/>
          </w:tcPr>
          <w:p w:rsidR="00B47991" w:rsidRPr="004A3269" w:rsidRDefault="00B47991" w:rsidP="00F03904">
            <w:pPr>
              <w:rPr>
                <w:sz w:val="18"/>
                <w:szCs w:val="18"/>
              </w:rPr>
            </w:pP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10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572DF1" w:rsidP="00572DF1">
            <w:pPr>
              <w:rPr>
                <w:sz w:val="18"/>
                <w:szCs w:val="18"/>
              </w:rPr>
            </w:pPr>
            <w:r w:rsidRPr="004A3269">
              <w:rPr>
                <w:sz w:val="18"/>
                <w:szCs w:val="18"/>
              </w:rPr>
              <w:t>Bâtiments</w:t>
            </w:r>
            <w:r w:rsidR="00A0797A" w:rsidRPr="004A3269">
              <w:rPr>
                <w:sz w:val="18"/>
                <w:szCs w:val="18"/>
              </w:rPr>
              <w:t> :</w:t>
            </w:r>
          </w:p>
        </w:tc>
        <w:tc>
          <w:tcPr>
            <w:tcW w:w="2520" w:type="dxa"/>
            <w:tcBorders>
              <w:top w:val="nil"/>
              <w:left w:val="nil"/>
              <w:bottom w:val="nil"/>
              <w:right w:val="nil"/>
            </w:tcBorders>
            <w:shd w:val="clear" w:color="auto" w:fill="auto"/>
            <w:vAlign w:val="center"/>
          </w:tcPr>
          <w:p w:rsidR="00B47991" w:rsidRPr="004A3269" w:rsidRDefault="00B47991" w:rsidP="00F645B5">
            <w:pPr>
              <w:rPr>
                <w:sz w:val="18"/>
                <w:szCs w:val="18"/>
              </w:rPr>
            </w:pPr>
            <w:r w:rsidRPr="004A3269">
              <w:rPr>
                <w:sz w:val="18"/>
                <w:szCs w:val="18"/>
              </w:rPr>
              <w:t>Structure</w:t>
            </w:r>
            <w:r w:rsidR="00740AE2" w:rsidRPr="004A3269">
              <w:rPr>
                <w:sz w:val="18"/>
                <w:szCs w:val="18"/>
              </w:rPr>
              <w:t xml:space="preserve"> </w:t>
            </w:r>
            <w:r w:rsidR="00F645B5" w:rsidRPr="004A3269">
              <w:rPr>
                <w:sz w:val="18"/>
                <w:szCs w:val="18"/>
              </w:rPr>
              <w:t>et</w:t>
            </w:r>
            <w:r w:rsidR="00740AE2" w:rsidRPr="004A3269">
              <w:rPr>
                <w:sz w:val="18"/>
                <w:szCs w:val="18"/>
              </w:rPr>
              <w:t xml:space="preserve"> fondations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80 à </w:t>
            </w:r>
            <w:r w:rsidR="00A0797A" w:rsidRPr="004A3269">
              <w:rPr>
                <w:sz w:val="18"/>
                <w:szCs w:val="18"/>
              </w:rPr>
              <w:t>100 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Façade</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50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Améliorations des terrains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40 à </w:t>
            </w:r>
            <w:r w:rsidR="00A0797A" w:rsidRPr="004A3269">
              <w:rPr>
                <w:sz w:val="18"/>
                <w:szCs w:val="18"/>
              </w:rPr>
              <w:t>50 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Toiture</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50 à </w:t>
            </w:r>
            <w:r w:rsidR="00A0797A" w:rsidRPr="004A3269">
              <w:rPr>
                <w:sz w:val="18"/>
                <w:szCs w:val="18"/>
              </w:rPr>
              <w:t>60 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Sols, murs, escaliers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50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Finitions des sols et des murs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30 à </w:t>
            </w:r>
            <w:r w:rsidR="00A0797A" w:rsidRPr="004A3269">
              <w:rPr>
                <w:sz w:val="18"/>
                <w:szCs w:val="18"/>
              </w:rPr>
              <w:t>40 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Équipement de cuisine</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20 à </w:t>
            </w:r>
            <w:r w:rsidR="00A0797A" w:rsidRPr="004A3269">
              <w:rPr>
                <w:sz w:val="18"/>
                <w:szCs w:val="18"/>
              </w:rPr>
              <w:t>40 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F645B5" w:rsidP="00F645B5">
            <w:pPr>
              <w:rPr>
                <w:sz w:val="18"/>
                <w:szCs w:val="18"/>
              </w:rPr>
            </w:pPr>
            <w:r w:rsidRPr="004A3269">
              <w:rPr>
                <w:sz w:val="18"/>
                <w:szCs w:val="18"/>
              </w:rPr>
              <w:t>Salles de conférence</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5 à </w:t>
            </w:r>
            <w:r w:rsidR="00A0797A" w:rsidRPr="004A3269">
              <w:rPr>
                <w:sz w:val="18"/>
                <w:szCs w:val="18"/>
              </w:rPr>
              <w:t>40 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Chauffage, ventilation</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30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Installations sanitaires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40 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Installation électrique</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 xml:space="preserve">30 à </w:t>
            </w:r>
            <w:r w:rsidR="00A0797A" w:rsidRPr="004A3269">
              <w:rPr>
                <w:sz w:val="18"/>
                <w:szCs w:val="18"/>
              </w:rPr>
              <w:t>50 </w:t>
            </w:r>
            <w:r w:rsidRPr="004A3269">
              <w:rPr>
                <w:sz w:val="18"/>
                <w:szCs w:val="18"/>
              </w:rPr>
              <w:t>ans</w:t>
            </w:r>
          </w:p>
        </w:tc>
      </w:tr>
      <w:tr w:rsidR="004A3269"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Ascenseurs</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40 ans</w:t>
            </w:r>
          </w:p>
        </w:tc>
      </w:tr>
      <w:tr w:rsidR="00B47991" w:rsidRPr="004A3269" w:rsidTr="00E1696F">
        <w:trPr>
          <w:trHeight w:val="285"/>
          <w:jc w:val="center"/>
        </w:trPr>
        <w:tc>
          <w:tcPr>
            <w:tcW w:w="3109" w:type="dxa"/>
            <w:tcBorders>
              <w:top w:val="nil"/>
              <w:left w:val="nil"/>
              <w:bottom w:val="nil"/>
              <w:right w:val="nil"/>
            </w:tcBorders>
            <w:shd w:val="clear" w:color="auto" w:fill="auto"/>
            <w:noWrap/>
            <w:vAlign w:val="center"/>
          </w:tcPr>
          <w:p w:rsidR="00B47991" w:rsidRPr="004A3269" w:rsidRDefault="00B47991" w:rsidP="00F03904">
            <w:pPr>
              <w:rPr>
                <w:sz w:val="18"/>
                <w:szCs w:val="18"/>
              </w:rPr>
            </w:pPr>
          </w:p>
        </w:tc>
        <w:tc>
          <w:tcPr>
            <w:tcW w:w="2520" w:type="dxa"/>
            <w:tcBorders>
              <w:top w:val="nil"/>
              <w:left w:val="nil"/>
              <w:bottom w:val="nil"/>
              <w:right w:val="nil"/>
            </w:tcBorders>
            <w:shd w:val="clear" w:color="auto" w:fill="auto"/>
            <w:vAlign w:val="center"/>
          </w:tcPr>
          <w:p w:rsidR="00B47991" w:rsidRPr="004A3269" w:rsidRDefault="00572DF1" w:rsidP="00572DF1">
            <w:pPr>
              <w:rPr>
                <w:sz w:val="18"/>
                <w:szCs w:val="18"/>
              </w:rPr>
            </w:pPr>
            <w:r w:rsidRPr="004A3269">
              <w:rPr>
                <w:sz w:val="18"/>
                <w:szCs w:val="18"/>
              </w:rPr>
              <w:t>Équipement de nettoyage extérieur</w:t>
            </w:r>
          </w:p>
        </w:tc>
        <w:tc>
          <w:tcPr>
            <w:tcW w:w="2081" w:type="dxa"/>
            <w:tcBorders>
              <w:top w:val="nil"/>
              <w:left w:val="nil"/>
              <w:bottom w:val="nil"/>
              <w:right w:val="nil"/>
            </w:tcBorders>
            <w:shd w:val="clear" w:color="auto" w:fill="auto"/>
            <w:vAlign w:val="center"/>
          </w:tcPr>
          <w:p w:rsidR="00B47991" w:rsidRPr="004A3269" w:rsidRDefault="00572DF1" w:rsidP="00572DF1">
            <w:pPr>
              <w:jc w:val="right"/>
              <w:rPr>
                <w:sz w:val="18"/>
                <w:szCs w:val="18"/>
              </w:rPr>
            </w:pPr>
            <w:r w:rsidRPr="004A3269">
              <w:rPr>
                <w:sz w:val="18"/>
                <w:szCs w:val="18"/>
              </w:rPr>
              <w:t>45 ans</w:t>
            </w:r>
          </w:p>
        </w:tc>
      </w:tr>
    </w:tbl>
    <w:p w:rsidR="00267140" w:rsidRPr="004A3269" w:rsidRDefault="00267140" w:rsidP="007C6D77">
      <w:pPr>
        <w:pStyle w:val="Style3"/>
        <w:spacing w:after="0"/>
        <w:rPr>
          <w:sz w:val="20"/>
        </w:rPr>
      </w:pPr>
    </w:p>
    <w:p w:rsidR="009021AA" w:rsidRPr="004A3269" w:rsidRDefault="00572DF1" w:rsidP="00572DF1">
      <w:pPr>
        <w:pStyle w:val="Style3"/>
        <w:spacing w:after="0"/>
        <w:rPr>
          <w:szCs w:val="22"/>
        </w:rPr>
      </w:pPr>
      <w:r w:rsidRPr="004A3269">
        <w:rPr>
          <w:szCs w:val="22"/>
        </w:rPr>
        <w:t>Les valeurs comptables des immobilisations sont examinées pour toute dépréciation résultant d</w:t>
      </w:r>
      <w:r w:rsidR="009021AA" w:rsidRPr="004A3269">
        <w:rPr>
          <w:szCs w:val="22"/>
        </w:rPr>
        <w:t>’</w:t>
      </w:r>
      <w:r w:rsidRPr="004A3269">
        <w:rPr>
          <w:szCs w:val="22"/>
        </w:rPr>
        <w:t>événements ou de changements indiquant que la valeur comptable de l</w:t>
      </w:r>
      <w:r w:rsidR="009021AA" w:rsidRPr="004A3269">
        <w:rPr>
          <w:szCs w:val="22"/>
        </w:rPr>
        <w:t>’</w:t>
      </w:r>
      <w:r w:rsidRPr="004A3269">
        <w:rPr>
          <w:szCs w:val="22"/>
        </w:rPr>
        <w:t>actif n</w:t>
      </w:r>
      <w:r w:rsidR="009021AA" w:rsidRPr="004A3269">
        <w:rPr>
          <w:szCs w:val="22"/>
        </w:rPr>
        <w:t>’</w:t>
      </w:r>
      <w:r w:rsidRPr="004A3269">
        <w:rPr>
          <w:szCs w:val="22"/>
        </w:rPr>
        <w:t>est pas recouvrable.</w:t>
      </w:r>
      <w:r w:rsidR="00C12637" w:rsidRPr="004A3269">
        <w:t xml:space="preserve"> </w:t>
      </w:r>
      <w:r w:rsidR="0048551E" w:rsidRPr="004A3269">
        <w:t xml:space="preserve"> </w:t>
      </w:r>
      <w:r w:rsidRPr="004A3269">
        <w:rPr>
          <w:szCs w:val="22"/>
        </w:rPr>
        <w:t>Si tel est le cas, la valeur recouvrable de l</w:t>
      </w:r>
      <w:r w:rsidR="009021AA" w:rsidRPr="004A3269">
        <w:rPr>
          <w:szCs w:val="22"/>
        </w:rPr>
        <w:t>’</w:t>
      </w:r>
      <w:r w:rsidRPr="004A3269">
        <w:rPr>
          <w:szCs w:val="22"/>
        </w:rPr>
        <w:t>actif est estimée afin de déterminer, le cas échéant, la dépréciation.</w:t>
      </w:r>
      <w:r w:rsidR="00C12637" w:rsidRPr="004A3269">
        <w:t xml:space="preserve"> </w:t>
      </w:r>
      <w:r w:rsidR="0048551E" w:rsidRPr="004A3269">
        <w:t xml:space="preserve"> </w:t>
      </w:r>
      <w:r w:rsidRPr="004A3269">
        <w:rPr>
          <w:szCs w:val="22"/>
        </w:rPr>
        <w:t>Toute dépréciation figure dans l</w:t>
      </w:r>
      <w:r w:rsidR="009021AA" w:rsidRPr="004A3269">
        <w:rPr>
          <w:szCs w:val="22"/>
        </w:rPr>
        <w:t>’</w:t>
      </w:r>
      <w:r w:rsidRPr="004A3269">
        <w:rPr>
          <w:szCs w:val="22"/>
        </w:rPr>
        <w:t>état des résultats financiers.</w:t>
      </w:r>
    </w:p>
    <w:p w:rsidR="0048551E" w:rsidRPr="004A3269" w:rsidRDefault="0048551E" w:rsidP="00572DF1">
      <w:pPr>
        <w:pStyle w:val="Style3Bold"/>
        <w:spacing w:after="0"/>
        <w:rPr>
          <w:szCs w:val="22"/>
        </w:rPr>
      </w:pPr>
    </w:p>
    <w:p w:rsidR="00267140" w:rsidRPr="004A3269" w:rsidRDefault="00572DF1" w:rsidP="00572DF1">
      <w:pPr>
        <w:pStyle w:val="Style3Bold"/>
        <w:spacing w:after="0"/>
        <w:rPr>
          <w:szCs w:val="22"/>
        </w:rPr>
      </w:pPr>
      <w:r w:rsidRPr="004A3269">
        <w:rPr>
          <w:szCs w:val="22"/>
        </w:rPr>
        <w:t>Stocks</w:t>
      </w:r>
    </w:p>
    <w:p w:rsidR="00267140" w:rsidRPr="004A3269" w:rsidRDefault="00267140" w:rsidP="007C6D77">
      <w:pPr>
        <w:pStyle w:val="Style3Bold"/>
        <w:spacing w:after="0"/>
        <w:rPr>
          <w:b w:val="0"/>
          <w:szCs w:val="22"/>
        </w:rPr>
      </w:pPr>
    </w:p>
    <w:p w:rsidR="00267140" w:rsidRPr="004A3269" w:rsidRDefault="00572DF1" w:rsidP="00572DF1">
      <w:pPr>
        <w:pStyle w:val="Style3"/>
        <w:spacing w:after="0"/>
        <w:rPr>
          <w:szCs w:val="22"/>
        </w:rPr>
      </w:pPr>
      <w:r w:rsidRPr="004A3269">
        <w:rPr>
          <w:szCs w:val="22"/>
        </w:rPr>
        <w:t>Les stocks comprennent la valeur des publications destinées à la vente et des publications distribuées gratuitement, la valeur des fournitures et du matériel utilisés dans la production de publications et la valeur des articles détenus dans le magasin de vente au détail</w:t>
      </w:r>
      <w:r w:rsidR="00A0797A" w:rsidRPr="004A3269">
        <w:rPr>
          <w:szCs w:val="22"/>
        </w:rPr>
        <w:t xml:space="preserve">.  </w:t>
      </w:r>
      <w:r w:rsidRPr="004A3269">
        <w:rPr>
          <w:szCs w:val="22"/>
        </w:rPr>
        <w:t>La valeur totale des publications finies est déterminée sur la base d</w:t>
      </w:r>
      <w:r w:rsidR="009021AA" w:rsidRPr="004A3269">
        <w:rPr>
          <w:szCs w:val="22"/>
        </w:rPr>
        <w:t>’</w:t>
      </w:r>
      <w:r w:rsidRPr="004A3269">
        <w:rPr>
          <w:szCs w:val="22"/>
        </w:rPr>
        <w:t>un coût moyen par page imprimée (hors coût de commercialisation et de distribution), multiplié par le nombre de pages des publications dans les stocks, ajusté pour rendre compte du plus faible du coût et de la valeur nette de réalisation</w:t>
      </w:r>
      <w:r w:rsidR="00A0797A" w:rsidRPr="004A3269">
        <w:rPr>
          <w:szCs w:val="22"/>
        </w:rPr>
        <w:t xml:space="preserve">.  </w:t>
      </w:r>
      <w:r w:rsidRPr="004A3269">
        <w:rPr>
          <w:szCs w:val="22"/>
        </w:rPr>
        <w:t>La valeur des publications qui sont retirées de la vente ou de la distribution gratuite est déduite au cours de l</w:t>
      </w:r>
      <w:r w:rsidR="009021AA" w:rsidRPr="004A3269">
        <w:rPr>
          <w:szCs w:val="22"/>
        </w:rPr>
        <w:t>’</w:t>
      </w:r>
      <w:r w:rsidRPr="004A3269">
        <w:rPr>
          <w:szCs w:val="22"/>
        </w:rPr>
        <w:t>année dans laquelle elles deviennent obsolètes.</w:t>
      </w:r>
    </w:p>
    <w:p w:rsidR="00267140" w:rsidRPr="004A3269" w:rsidRDefault="00267140" w:rsidP="007C6D77">
      <w:pPr>
        <w:jc w:val="both"/>
        <w:rPr>
          <w:szCs w:val="22"/>
        </w:rPr>
      </w:pPr>
    </w:p>
    <w:p w:rsidR="00267140" w:rsidRPr="004A3269" w:rsidRDefault="00572DF1" w:rsidP="00572DF1">
      <w:pPr>
        <w:pStyle w:val="Style3"/>
        <w:spacing w:after="0"/>
        <w:rPr>
          <w:szCs w:val="22"/>
        </w:rPr>
      </w:pPr>
      <w:r w:rsidRPr="004A3269">
        <w:rPr>
          <w:szCs w:val="22"/>
        </w:rPr>
        <w:t>Un inventaire physique annuel est effectué sur tous les stocks de fournitures de publication et d</w:t>
      </w:r>
      <w:r w:rsidR="009021AA" w:rsidRPr="004A3269">
        <w:rPr>
          <w:szCs w:val="22"/>
        </w:rPr>
        <w:t>’</w:t>
      </w:r>
      <w:r w:rsidRPr="004A3269">
        <w:rPr>
          <w:szCs w:val="22"/>
        </w:rPr>
        <w:t>articles en vente dans le magasin de vente au détail.</w:t>
      </w:r>
      <w:r w:rsidR="00DB3D0E" w:rsidRPr="004A3269">
        <w:t xml:space="preserve">  </w:t>
      </w:r>
      <w:r w:rsidRPr="004A3269">
        <w:rPr>
          <w:szCs w:val="22"/>
        </w:rPr>
        <w:t>Un stock permanent est conservé en ce qui concerne les publications pour la vente et des échantillonnages sont réalisés tout au long de l</w:t>
      </w:r>
      <w:r w:rsidR="009021AA" w:rsidRPr="004A3269">
        <w:rPr>
          <w:szCs w:val="22"/>
        </w:rPr>
        <w:t>’</w:t>
      </w:r>
      <w:r w:rsidRPr="004A3269">
        <w:rPr>
          <w:szCs w:val="22"/>
        </w:rPr>
        <w:t>année pour vérifier le niveau des stocks.</w:t>
      </w:r>
      <w:r w:rsidR="00DB3D0E" w:rsidRPr="004A3269">
        <w:t xml:space="preserve">  </w:t>
      </w:r>
      <w:r w:rsidRPr="004A3269">
        <w:rPr>
          <w:szCs w:val="22"/>
        </w:rPr>
        <w:t>À la fin de chaque année, les articles retirés du catalogue des publications pour la vente ou la distribution gratuite, ainsi que les articles pour lesquels il est prévu qu</w:t>
      </w:r>
      <w:r w:rsidR="009021AA" w:rsidRPr="004A3269">
        <w:rPr>
          <w:szCs w:val="22"/>
        </w:rPr>
        <w:t>’</w:t>
      </w:r>
      <w:r w:rsidRPr="004A3269">
        <w:rPr>
          <w:szCs w:val="22"/>
        </w:rPr>
        <w:t>il n</w:t>
      </w:r>
      <w:r w:rsidR="009021AA" w:rsidRPr="004A3269">
        <w:rPr>
          <w:szCs w:val="22"/>
        </w:rPr>
        <w:t>’</w:t>
      </w:r>
      <w:r w:rsidRPr="004A3269">
        <w:rPr>
          <w:szCs w:val="22"/>
        </w:rPr>
        <w:t>y aura aucune autre distribution gratuite ou vente prévue, sont retirés des stocks et leur valeur est ramenée à zéro.</w:t>
      </w:r>
    </w:p>
    <w:p w:rsidR="00267140" w:rsidRPr="004A3269" w:rsidRDefault="00267140" w:rsidP="007C6D77">
      <w:pPr>
        <w:pStyle w:val="Style3"/>
        <w:spacing w:after="0"/>
        <w:rPr>
          <w:szCs w:val="22"/>
        </w:rPr>
      </w:pPr>
    </w:p>
    <w:p w:rsidR="00267140" w:rsidRPr="004A3269" w:rsidRDefault="00572DF1" w:rsidP="00572DF1">
      <w:pPr>
        <w:pStyle w:val="Style3"/>
        <w:spacing w:after="0"/>
        <w:rPr>
          <w:szCs w:val="22"/>
        </w:rPr>
      </w:pPr>
      <w:r w:rsidRPr="004A3269">
        <w:rPr>
          <w:szCs w:val="22"/>
        </w:rPr>
        <w:t>Le coût du papier et d</w:t>
      </w:r>
      <w:r w:rsidR="009021AA" w:rsidRPr="004A3269">
        <w:rPr>
          <w:szCs w:val="22"/>
        </w:rPr>
        <w:t>’</w:t>
      </w:r>
      <w:r w:rsidRPr="004A3269">
        <w:rPr>
          <w:szCs w:val="22"/>
        </w:rPr>
        <w:t>autres fournitures utilisés dans le processus de production a été évalué selon la méthode du premier entré, premier sorti (PEPS)</w:t>
      </w:r>
      <w:r w:rsidR="00A0797A" w:rsidRPr="004A3269">
        <w:rPr>
          <w:szCs w:val="22"/>
        </w:rPr>
        <w:t xml:space="preserve">.  </w:t>
      </w:r>
      <w:r w:rsidRPr="004A3269">
        <w:rPr>
          <w:szCs w:val="22"/>
        </w:rPr>
        <w:t>Les articles détenus dans le magasin de vente au détail sont évalués à la valeur d</w:t>
      </w:r>
      <w:r w:rsidR="009021AA" w:rsidRPr="004A3269">
        <w:rPr>
          <w:szCs w:val="22"/>
        </w:rPr>
        <w:t>’</w:t>
      </w:r>
      <w:r w:rsidRPr="004A3269">
        <w:rPr>
          <w:szCs w:val="22"/>
        </w:rPr>
        <w:t>achat pour l</w:t>
      </w:r>
      <w:r w:rsidR="009021AA" w:rsidRPr="004A3269">
        <w:rPr>
          <w:szCs w:val="22"/>
        </w:rPr>
        <w:t>’</w:t>
      </w:r>
      <w:r w:rsidRPr="004A3269">
        <w:rPr>
          <w:szCs w:val="22"/>
        </w:rPr>
        <w:t>Organisation.  Les stocks sont évalués à la baisse afin de rendre compte de leur valeur nette de réalisation s</w:t>
      </w:r>
      <w:r w:rsidR="009021AA" w:rsidRPr="004A3269">
        <w:rPr>
          <w:szCs w:val="22"/>
        </w:rPr>
        <w:t>’</w:t>
      </w:r>
      <w:r w:rsidRPr="004A3269">
        <w:rPr>
          <w:szCs w:val="22"/>
        </w:rPr>
        <w:t>ils sont endommagés ou obsolètes.</w:t>
      </w:r>
      <w:r w:rsidR="00DB3D0E" w:rsidRPr="004A3269">
        <w:t xml:space="preserve">  </w:t>
      </w:r>
      <w:r w:rsidRPr="004A3269">
        <w:rPr>
          <w:szCs w:val="22"/>
        </w:rPr>
        <w:t>Aucun stock n</w:t>
      </w:r>
      <w:r w:rsidR="009021AA" w:rsidRPr="004A3269">
        <w:rPr>
          <w:szCs w:val="22"/>
        </w:rPr>
        <w:t>’</w:t>
      </w:r>
      <w:r w:rsidRPr="004A3269">
        <w:rPr>
          <w:szCs w:val="22"/>
        </w:rPr>
        <w:t>est donné en nantissement de passifs.</w:t>
      </w:r>
    </w:p>
    <w:p w:rsidR="00267140" w:rsidRPr="004A3269" w:rsidRDefault="00267140" w:rsidP="007C6D77">
      <w:pPr>
        <w:pStyle w:val="Style3"/>
        <w:spacing w:after="0"/>
        <w:rPr>
          <w:b/>
          <w:szCs w:val="22"/>
        </w:rPr>
      </w:pPr>
    </w:p>
    <w:p w:rsidR="00267140" w:rsidRPr="004A3269" w:rsidRDefault="00572DF1" w:rsidP="00695FBE">
      <w:pPr>
        <w:pStyle w:val="Style3"/>
        <w:keepNext/>
        <w:keepLines/>
        <w:spacing w:after="0"/>
        <w:rPr>
          <w:b/>
          <w:szCs w:val="22"/>
        </w:rPr>
      </w:pPr>
      <w:r w:rsidRPr="004A3269">
        <w:rPr>
          <w:b/>
          <w:szCs w:val="22"/>
        </w:rPr>
        <w:lastRenderedPageBreak/>
        <w:t>Actifs incorporels</w:t>
      </w:r>
    </w:p>
    <w:p w:rsidR="00267140" w:rsidRPr="004A3269" w:rsidRDefault="00267140" w:rsidP="00695FBE">
      <w:pPr>
        <w:pStyle w:val="Style3"/>
        <w:keepNext/>
        <w:keepLines/>
        <w:spacing w:after="0"/>
        <w:rPr>
          <w:szCs w:val="22"/>
        </w:rPr>
      </w:pPr>
    </w:p>
    <w:p w:rsidR="00267140" w:rsidRPr="004A3269" w:rsidRDefault="00572DF1" w:rsidP="00695FBE">
      <w:pPr>
        <w:keepNext/>
        <w:keepLines/>
        <w:jc w:val="both"/>
        <w:rPr>
          <w:szCs w:val="22"/>
        </w:rPr>
      </w:pPr>
      <w:r w:rsidRPr="004A3269">
        <w:rPr>
          <w:szCs w:val="22"/>
        </w:rPr>
        <w:t>Les actifs incorporels sont comptabilisés à leur coût moins le montant cumulé des amortissements ainsi que les pertes de valeur</w:t>
      </w:r>
      <w:r w:rsidR="00A0797A" w:rsidRPr="004A3269">
        <w:rPr>
          <w:szCs w:val="22"/>
        </w:rPr>
        <w:t xml:space="preserve">.  </w:t>
      </w:r>
      <w:r w:rsidRPr="004A3269">
        <w:rPr>
          <w:szCs w:val="22"/>
        </w:rPr>
        <w:t>L</w:t>
      </w:r>
      <w:r w:rsidR="009021AA" w:rsidRPr="004A3269">
        <w:rPr>
          <w:szCs w:val="22"/>
        </w:rPr>
        <w:t>’</w:t>
      </w:r>
      <w:r w:rsidRPr="004A3269">
        <w:rPr>
          <w:szCs w:val="22"/>
        </w:rPr>
        <w:t>amortissement est fourni sur une base linéaire de tous les actifs incorporels de durée déterminée, à des taux qui amortiront le coût ou la valeur des actifs durant leurs durées d</w:t>
      </w:r>
      <w:r w:rsidR="009021AA" w:rsidRPr="004A3269">
        <w:rPr>
          <w:szCs w:val="22"/>
        </w:rPr>
        <w:t>’</w:t>
      </w:r>
      <w:r w:rsidRPr="004A3269">
        <w:rPr>
          <w:szCs w:val="22"/>
        </w:rPr>
        <w:t>utilité.</w:t>
      </w:r>
      <w:r w:rsidR="00A74529" w:rsidRPr="004A3269">
        <w:t xml:space="preserve">  </w:t>
      </w:r>
      <w:r w:rsidRPr="004A3269">
        <w:rPr>
          <w:szCs w:val="22"/>
        </w:rPr>
        <w:t>Les durées d</w:t>
      </w:r>
      <w:r w:rsidR="009021AA" w:rsidRPr="004A3269">
        <w:rPr>
          <w:szCs w:val="22"/>
        </w:rPr>
        <w:t>’</w:t>
      </w:r>
      <w:r w:rsidRPr="004A3269">
        <w:rPr>
          <w:szCs w:val="22"/>
        </w:rPr>
        <w:t>utilité des principales catégories d</w:t>
      </w:r>
      <w:r w:rsidR="009021AA" w:rsidRPr="004A3269">
        <w:rPr>
          <w:szCs w:val="22"/>
        </w:rPr>
        <w:t>’</w:t>
      </w:r>
      <w:r w:rsidRPr="004A3269">
        <w:rPr>
          <w:szCs w:val="22"/>
        </w:rPr>
        <w:t>actifs incorporels ont été estimées comme suit</w:t>
      </w:r>
      <w:r w:rsidR="00A0797A" w:rsidRPr="004A3269">
        <w:rPr>
          <w:szCs w:val="22"/>
        </w:rPr>
        <w:t> :</w:t>
      </w:r>
    </w:p>
    <w:p w:rsidR="00A74529" w:rsidRPr="004A3269" w:rsidRDefault="00A74529" w:rsidP="00A74529">
      <w:pPr>
        <w:pStyle w:val="Style3"/>
        <w:spacing w:after="0"/>
        <w:rPr>
          <w:szCs w:val="22"/>
        </w:rPr>
      </w:pPr>
    </w:p>
    <w:tbl>
      <w:tblPr>
        <w:tblW w:w="5840" w:type="dxa"/>
        <w:jc w:val="center"/>
        <w:tblInd w:w="328" w:type="dxa"/>
        <w:tblLook w:val="0000" w:firstRow="0" w:lastRow="0" w:firstColumn="0" w:lastColumn="0" w:noHBand="0" w:noVBand="0"/>
      </w:tblPr>
      <w:tblGrid>
        <w:gridCol w:w="3080"/>
        <w:gridCol w:w="2760"/>
      </w:tblGrid>
      <w:tr w:rsidR="004A3269" w:rsidRPr="004A3269" w:rsidTr="007373BF">
        <w:trPr>
          <w:trHeight w:val="345"/>
          <w:jc w:val="center"/>
        </w:trPr>
        <w:tc>
          <w:tcPr>
            <w:tcW w:w="3080" w:type="dxa"/>
            <w:tcBorders>
              <w:top w:val="single" w:sz="4" w:space="0" w:color="auto"/>
              <w:left w:val="nil"/>
              <w:bottom w:val="single" w:sz="4" w:space="0" w:color="auto"/>
              <w:right w:val="nil"/>
            </w:tcBorders>
            <w:shd w:val="clear" w:color="auto" w:fill="F2F2F2"/>
            <w:noWrap/>
            <w:vAlign w:val="center"/>
          </w:tcPr>
          <w:p w:rsidR="00A74529" w:rsidRPr="004A3269" w:rsidRDefault="00572DF1" w:rsidP="0048551E">
            <w:pPr>
              <w:keepNext/>
              <w:keepLines/>
              <w:jc w:val="center"/>
              <w:rPr>
                <w:b/>
                <w:sz w:val="18"/>
                <w:szCs w:val="18"/>
              </w:rPr>
            </w:pPr>
            <w:r w:rsidRPr="004A3269">
              <w:rPr>
                <w:b/>
                <w:sz w:val="18"/>
                <w:szCs w:val="18"/>
              </w:rPr>
              <w:t>Catégorie</w:t>
            </w:r>
          </w:p>
        </w:tc>
        <w:tc>
          <w:tcPr>
            <w:tcW w:w="2760" w:type="dxa"/>
            <w:tcBorders>
              <w:top w:val="single" w:sz="4" w:space="0" w:color="auto"/>
              <w:left w:val="nil"/>
              <w:bottom w:val="single" w:sz="4" w:space="0" w:color="auto"/>
              <w:right w:val="nil"/>
            </w:tcBorders>
            <w:shd w:val="clear" w:color="auto" w:fill="F2F2F2"/>
            <w:vAlign w:val="center"/>
          </w:tcPr>
          <w:p w:rsidR="00A74529" w:rsidRPr="004A3269" w:rsidRDefault="00572DF1" w:rsidP="0048551E">
            <w:pPr>
              <w:keepNext/>
              <w:keepLines/>
              <w:jc w:val="center"/>
              <w:rPr>
                <w:b/>
                <w:sz w:val="18"/>
                <w:szCs w:val="18"/>
              </w:rPr>
            </w:pPr>
            <w:r w:rsidRPr="004A3269">
              <w:rPr>
                <w:b/>
                <w:sz w:val="18"/>
                <w:szCs w:val="18"/>
              </w:rPr>
              <w:t>Durée d</w:t>
            </w:r>
            <w:r w:rsidR="009021AA" w:rsidRPr="004A3269">
              <w:rPr>
                <w:b/>
                <w:sz w:val="18"/>
                <w:szCs w:val="18"/>
              </w:rPr>
              <w:t>’</w:t>
            </w:r>
            <w:r w:rsidRPr="004A3269">
              <w:rPr>
                <w:b/>
                <w:sz w:val="18"/>
                <w:szCs w:val="18"/>
              </w:rPr>
              <w:t>utilité estimée</w:t>
            </w:r>
          </w:p>
        </w:tc>
      </w:tr>
      <w:tr w:rsidR="004A3269" w:rsidRPr="004A3269" w:rsidTr="007373BF">
        <w:trPr>
          <w:trHeight w:val="285"/>
          <w:jc w:val="center"/>
        </w:trPr>
        <w:tc>
          <w:tcPr>
            <w:tcW w:w="3080" w:type="dxa"/>
            <w:tcBorders>
              <w:top w:val="nil"/>
              <w:left w:val="nil"/>
              <w:bottom w:val="nil"/>
              <w:right w:val="nil"/>
            </w:tcBorders>
            <w:shd w:val="clear" w:color="auto" w:fill="auto"/>
            <w:noWrap/>
            <w:vAlign w:val="center"/>
          </w:tcPr>
          <w:p w:rsidR="00A74529" w:rsidRPr="004A3269" w:rsidRDefault="00572DF1" w:rsidP="0048551E">
            <w:pPr>
              <w:keepNext/>
              <w:keepLines/>
              <w:rPr>
                <w:sz w:val="18"/>
                <w:szCs w:val="18"/>
              </w:rPr>
            </w:pPr>
            <w:r w:rsidRPr="004A3269">
              <w:rPr>
                <w:sz w:val="18"/>
                <w:szCs w:val="18"/>
              </w:rPr>
              <w:t>Logiciels acquis à l</w:t>
            </w:r>
            <w:r w:rsidR="009021AA" w:rsidRPr="004A3269">
              <w:rPr>
                <w:sz w:val="18"/>
                <w:szCs w:val="18"/>
              </w:rPr>
              <w:t>’</w:t>
            </w:r>
            <w:r w:rsidRPr="004A3269">
              <w:rPr>
                <w:sz w:val="18"/>
                <w:szCs w:val="18"/>
              </w:rPr>
              <w:t>extérieur</w:t>
            </w:r>
          </w:p>
        </w:tc>
        <w:tc>
          <w:tcPr>
            <w:tcW w:w="2760" w:type="dxa"/>
            <w:tcBorders>
              <w:top w:val="nil"/>
              <w:left w:val="nil"/>
              <w:bottom w:val="nil"/>
              <w:right w:val="nil"/>
            </w:tcBorders>
            <w:shd w:val="clear" w:color="auto" w:fill="auto"/>
            <w:vAlign w:val="center"/>
          </w:tcPr>
          <w:p w:rsidR="00A74529" w:rsidRPr="004A3269" w:rsidRDefault="00572DF1" w:rsidP="0048551E">
            <w:pPr>
              <w:keepNext/>
              <w:keepLines/>
              <w:jc w:val="center"/>
              <w:rPr>
                <w:sz w:val="18"/>
                <w:szCs w:val="18"/>
              </w:rPr>
            </w:pPr>
            <w:r w:rsidRPr="004A3269">
              <w:rPr>
                <w:sz w:val="18"/>
                <w:szCs w:val="18"/>
              </w:rPr>
              <w:t>5 ans</w:t>
            </w:r>
          </w:p>
        </w:tc>
      </w:tr>
      <w:tr w:rsidR="004A3269" w:rsidRPr="004A3269" w:rsidTr="007373BF">
        <w:trPr>
          <w:trHeight w:val="285"/>
          <w:jc w:val="center"/>
        </w:trPr>
        <w:tc>
          <w:tcPr>
            <w:tcW w:w="3080" w:type="dxa"/>
            <w:tcBorders>
              <w:top w:val="nil"/>
              <w:left w:val="nil"/>
              <w:bottom w:val="nil"/>
              <w:right w:val="nil"/>
            </w:tcBorders>
            <w:shd w:val="clear" w:color="auto" w:fill="auto"/>
            <w:noWrap/>
            <w:vAlign w:val="center"/>
          </w:tcPr>
          <w:p w:rsidR="00A74529" w:rsidRPr="004A3269" w:rsidRDefault="00572DF1" w:rsidP="0048551E">
            <w:pPr>
              <w:keepNext/>
              <w:keepLines/>
              <w:rPr>
                <w:sz w:val="18"/>
                <w:szCs w:val="18"/>
              </w:rPr>
            </w:pPr>
            <w:r w:rsidRPr="004A3269">
              <w:rPr>
                <w:sz w:val="18"/>
                <w:szCs w:val="18"/>
              </w:rPr>
              <w:t>Logiciels mis au point en interne</w:t>
            </w:r>
          </w:p>
        </w:tc>
        <w:tc>
          <w:tcPr>
            <w:tcW w:w="2760" w:type="dxa"/>
            <w:tcBorders>
              <w:top w:val="nil"/>
              <w:left w:val="nil"/>
              <w:bottom w:val="nil"/>
              <w:right w:val="nil"/>
            </w:tcBorders>
            <w:shd w:val="clear" w:color="auto" w:fill="auto"/>
            <w:vAlign w:val="center"/>
          </w:tcPr>
          <w:p w:rsidR="00A74529" w:rsidRPr="004A3269" w:rsidRDefault="00572DF1" w:rsidP="0048551E">
            <w:pPr>
              <w:keepNext/>
              <w:keepLines/>
              <w:jc w:val="center"/>
              <w:rPr>
                <w:sz w:val="18"/>
                <w:szCs w:val="18"/>
              </w:rPr>
            </w:pPr>
            <w:r w:rsidRPr="004A3269">
              <w:rPr>
                <w:sz w:val="18"/>
                <w:szCs w:val="18"/>
              </w:rPr>
              <w:t>5 ans</w:t>
            </w:r>
          </w:p>
        </w:tc>
      </w:tr>
      <w:tr w:rsidR="00A74529" w:rsidRPr="004A3269" w:rsidTr="007373BF">
        <w:trPr>
          <w:trHeight w:val="285"/>
          <w:jc w:val="center"/>
        </w:trPr>
        <w:tc>
          <w:tcPr>
            <w:tcW w:w="3080" w:type="dxa"/>
            <w:tcBorders>
              <w:top w:val="nil"/>
              <w:left w:val="nil"/>
              <w:bottom w:val="nil"/>
              <w:right w:val="nil"/>
            </w:tcBorders>
            <w:shd w:val="clear" w:color="auto" w:fill="auto"/>
            <w:noWrap/>
            <w:vAlign w:val="center"/>
          </w:tcPr>
          <w:p w:rsidR="00A74529" w:rsidRPr="004A3269" w:rsidRDefault="00F645B5" w:rsidP="00F645B5">
            <w:pPr>
              <w:keepNext/>
              <w:keepLines/>
              <w:rPr>
                <w:sz w:val="18"/>
                <w:szCs w:val="18"/>
              </w:rPr>
            </w:pPr>
            <w:r w:rsidRPr="004A3269">
              <w:rPr>
                <w:sz w:val="18"/>
                <w:szCs w:val="18"/>
              </w:rPr>
              <w:t>Licences et droits</w:t>
            </w:r>
          </w:p>
        </w:tc>
        <w:tc>
          <w:tcPr>
            <w:tcW w:w="2760" w:type="dxa"/>
            <w:tcBorders>
              <w:top w:val="nil"/>
              <w:left w:val="nil"/>
              <w:bottom w:val="nil"/>
              <w:right w:val="nil"/>
            </w:tcBorders>
            <w:shd w:val="clear" w:color="auto" w:fill="auto"/>
            <w:vAlign w:val="center"/>
          </w:tcPr>
          <w:p w:rsidR="00A74529" w:rsidRPr="004A3269" w:rsidRDefault="00F645B5" w:rsidP="0048551E">
            <w:pPr>
              <w:keepNext/>
              <w:keepLines/>
              <w:jc w:val="center"/>
              <w:rPr>
                <w:sz w:val="18"/>
                <w:szCs w:val="18"/>
              </w:rPr>
            </w:pPr>
            <w:r w:rsidRPr="004A3269">
              <w:rPr>
                <w:sz w:val="18"/>
                <w:szCs w:val="18"/>
              </w:rPr>
              <w:t>Période de la licence/du droit</w:t>
            </w:r>
          </w:p>
        </w:tc>
      </w:tr>
    </w:tbl>
    <w:p w:rsidR="00267140" w:rsidRPr="004A3269" w:rsidRDefault="00267140" w:rsidP="007C6D77">
      <w:pPr>
        <w:pStyle w:val="Style3"/>
        <w:spacing w:after="0"/>
        <w:rPr>
          <w:szCs w:val="22"/>
        </w:rPr>
      </w:pPr>
    </w:p>
    <w:p w:rsidR="009021AA" w:rsidRPr="004A3269" w:rsidRDefault="00572DF1" w:rsidP="00572DF1">
      <w:pPr>
        <w:jc w:val="both"/>
        <w:rPr>
          <w:szCs w:val="22"/>
        </w:rPr>
      </w:pPr>
      <w:r w:rsidRPr="004A3269">
        <w:rPr>
          <w:szCs w:val="22"/>
        </w:rPr>
        <w:t>Les licences de logiciels informatiques acquises sont capitalisées sur la base des coûts encourus pour acquérir et utiliser le logiciel spécifique</w:t>
      </w:r>
      <w:r w:rsidR="00A0797A" w:rsidRPr="004A3269">
        <w:rPr>
          <w:szCs w:val="22"/>
        </w:rPr>
        <w:t xml:space="preserve">.  </w:t>
      </w:r>
      <w:r w:rsidRPr="004A3269">
        <w:rPr>
          <w:szCs w:val="22"/>
        </w:rPr>
        <w:t xml:space="preserve">Les logiciels ou licences de </w:t>
      </w:r>
      <w:proofErr w:type="gramStart"/>
      <w:r w:rsidRPr="004A3269">
        <w:rPr>
          <w:szCs w:val="22"/>
        </w:rPr>
        <w:t>logiciel achetés</w:t>
      </w:r>
      <w:proofErr w:type="gramEnd"/>
      <w:r w:rsidRPr="004A3269">
        <w:rPr>
          <w:szCs w:val="22"/>
        </w:rPr>
        <w:t xml:space="preserve"> à l</w:t>
      </w:r>
      <w:r w:rsidR="009021AA" w:rsidRPr="004A3269">
        <w:rPr>
          <w:szCs w:val="22"/>
        </w:rPr>
        <w:t>’</w:t>
      </w:r>
      <w:r w:rsidRPr="004A3269">
        <w:rPr>
          <w:szCs w:val="22"/>
        </w:rPr>
        <w:t>extérieur sont comptabilisés comme un actif s</w:t>
      </w:r>
      <w:r w:rsidR="009021AA" w:rsidRPr="004A3269">
        <w:rPr>
          <w:szCs w:val="22"/>
        </w:rPr>
        <w:t>’</w:t>
      </w:r>
      <w:r w:rsidRPr="004A3269">
        <w:rPr>
          <w:szCs w:val="22"/>
        </w:rPr>
        <w:t>ils ont un coût de</w:t>
      </w:r>
      <w:r w:rsidR="00067463" w:rsidRPr="004A3269">
        <w:rPr>
          <w:szCs w:val="22"/>
        </w:rPr>
        <w:t> </w:t>
      </w:r>
      <w:r w:rsidRPr="004A3269">
        <w:rPr>
          <w:szCs w:val="22"/>
        </w:rPr>
        <w:t>5000</w:t>
      </w:r>
      <w:r w:rsidR="00067463" w:rsidRPr="004A3269">
        <w:rPr>
          <w:szCs w:val="22"/>
        </w:rPr>
        <w:t> </w:t>
      </w:r>
      <w:r w:rsidRPr="004A3269">
        <w:rPr>
          <w:szCs w:val="22"/>
        </w:rPr>
        <w:t>francs suisses ou plus par unité</w:t>
      </w:r>
      <w:r w:rsidR="00A0797A" w:rsidRPr="004A3269">
        <w:rPr>
          <w:szCs w:val="22"/>
        </w:rPr>
        <w:t xml:space="preserve">.  </w:t>
      </w:r>
      <w:r w:rsidRPr="004A3269">
        <w:rPr>
          <w:szCs w:val="22"/>
        </w:rPr>
        <w:t>Les coûts qui sont directement associés au développement de logiciels aux fins de leur utilisation par l</w:t>
      </w:r>
      <w:r w:rsidR="009021AA" w:rsidRPr="004A3269">
        <w:rPr>
          <w:szCs w:val="22"/>
        </w:rPr>
        <w:t>’</w:t>
      </w:r>
      <w:r w:rsidRPr="004A3269">
        <w:rPr>
          <w:szCs w:val="22"/>
        </w:rPr>
        <w:t>OMPI sont comptabilisés comme actifs incorporels.</w:t>
      </w:r>
      <w:r w:rsidR="00414B1A" w:rsidRPr="004A3269">
        <w:t xml:space="preserve">  </w:t>
      </w:r>
      <w:r w:rsidRPr="004A3269">
        <w:rPr>
          <w:szCs w:val="22"/>
        </w:rPr>
        <w:t xml:space="preserve">Les coûts directs comprennent les </w:t>
      </w:r>
      <w:r w:rsidR="00D25452" w:rsidRPr="004A3269">
        <w:rPr>
          <w:szCs w:val="22"/>
        </w:rPr>
        <w:t>dépenses liées au personnel</w:t>
      </w:r>
      <w:r w:rsidRPr="004A3269">
        <w:rPr>
          <w:szCs w:val="22"/>
        </w:rPr>
        <w:t xml:space="preserve"> chargé du développement de logiciels</w:t>
      </w:r>
      <w:r w:rsidR="00A0797A" w:rsidRPr="004A3269">
        <w:rPr>
          <w:szCs w:val="22"/>
        </w:rPr>
        <w:t xml:space="preserve">.  </w:t>
      </w:r>
      <w:r w:rsidRPr="004A3269">
        <w:rPr>
          <w:szCs w:val="22"/>
        </w:rPr>
        <w:t>Les logiciels développés en interne sont comptabilisés comme un actif s</w:t>
      </w:r>
      <w:r w:rsidR="009021AA" w:rsidRPr="004A3269">
        <w:rPr>
          <w:szCs w:val="22"/>
        </w:rPr>
        <w:t>’</w:t>
      </w:r>
      <w:r w:rsidRPr="004A3269">
        <w:rPr>
          <w:szCs w:val="22"/>
        </w:rPr>
        <w:t xml:space="preserve">ils ont un coût de </w:t>
      </w:r>
      <w:r w:rsidR="00A0797A" w:rsidRPr="004A3269">
        <w:rPr>
          <w:szCs w:val="22"/>
        </w:rPr>
        <w:t>100 000</w:t>
      </w:r>
      <w:r w:rsidR="00067463" w:rsidRPr="004A3269">
        <w:rPr>
          <w:szCs w:val="22"/>
        </w:rPr>
        <w:t> </w:t>
      </w:r>
      <w:r w:rsidRPr="004A3269">
        <w:rPr>
          <w:szCs w:val="22"/>
        </w:rPr>
        <w:t>francs suisses ou plus.</w:t>
      </w:r>
    </w:p>
    <w:p w:rsidR="00267140" w:rsidRPr="004A3269" w:rsidRDefault="00267140" w:rsidP="007C6D77">
      <w:pPr>
        <w:pStyle w:val="Style3"/>
        <w:spacing w:after="0"/>
        <w:rPr>
          <w:szCs w:val="22"/>
        </w:rPr>
      </w:pPr>
    </w:p>
    <w:p w:rsidR="009021AA" w:rsidRPr="004A3269" w:rsidRDefault="00572DF1" w:rsidP="00572DF1">
      <w:pPr>
        <w:pStyle w:val="Style3"/>
        <w:spacing w:after="0"/>
        <w:rPr>
          <w:szCs w:val="22"/>
        </w:rPr>
      </w:pPr>
      <w:r w:rsidRPr="004A3269">
        <w:rPr>
          <w:szCs w:val="22"/>
        </w:rPr>
        <w:t>Les droits d</w:t>
      </w:r>
      <w:r w:rsidR="009021AA" w:rsidRPr="004A3269">
        <w:rPr>
          <w:szCs w:val="22"/>
        </w:rPr>
        <w:t>’</w:t>
      </w:r>
      <w:r w:rsidRPr="004A3269">
        <w:rPr>
          <w:szCs w:val="22"/>
        </w:rPr>
        <w:t>utilisation de la propriété sur le Canton de Genève, acquis par l</w:t>
      </w:r>
      <w:r w:rsidR="009021AA" w:rsidRPr="004A3269">
        <w:rPr>
          <w:szCs w:val="22"/>
        </w:rPr>
        <w:t>’</w:t>
      </w:r>
      <w:r w:rsidRPr="004A3269">
        <w:rPr>
          <w:szCs w:val="22"/>
        </w:rPr>
        <w:t>Organisation par achat, ont été comptabilisés au coût historique et sont amortis sur la durée restante du prêt.</w:t>
      </w:r>
      <w:r w:rsidR="00402845" w:rsidRPr="004A3269">
        <w:t xml:space="preserve">  </w:t>
      </w:r>
      <w:r w:rsidRPr="004A3269">
        <w:rPr>
          <w:szCs w:val="22"/>
        </w:rPr>
        <w:t>Les droits d</w:t>
      </w:r>
      <w:r w:rsidR="009021AA" w:rsidRPr="004A3269">
        <w:rPr>
          <w:szCs w:val="22"/>
        </w:rPr>
        <w:t>’</w:t>
      </w:r>
      <w:r w:rsidRPr="004A3269">
        <w:rPr>
          <w:szCs w:val="22"/>
        </w:rPr>
        <w:t>utilisation de la propriété, octroyés par le Canton de Genève et acquis sans frais, qui reviennent au Canton à la fin du prêt, ne sont pas comptabilisés dans les états financiers.</w:t>
      </w:r>
    </w:p>
    <w:p w:rsidR="00267140" w:rsidRPr="004A3269" w:rsidRDefault="00267140" w:rsidP="00562598">
      <w:pPr>
        <w:rPr>
          <w:i/>
          <w:szCs w:val="22"/>
        </w:rPr>
      </w:pPr>
    </w:p>
    <w:p w:rsidR="00267140" w:rsidRPr="004A3269" w:rsidRDefault="00572DF1" w:rsidP="00572DF1">
      <w:pPr>
        <w:pStyle w:val="Style3"/>
        <w:spacing w:after="0"/>
        <w:rPr>
          <w:b/>
          <w:szCs w:val="22"/>
        </w:rPr>
      </w:pPr>
      <w:r w:rsidRPr="004A3269">
        <w:rPr>
          <w:b/>
          <w:szCs w:val="22"/>
        </w:rPr>
        <w:t>Provisions</w:t>
      </w:r>
    </w:p>
    <w:p w:rsidR="00267140" w:rsidRPr="004A3269" w:rsidRDefault="00267140" w:rsidP="007C6D77">
      <w:pPr>
        <w:jc w:val="both"/>
        <w:rPr>
          <w:szCs w:val="22"/>
        </w:rPr>
      </w:pPr>
    </w:p>
    <w:p w:rsidR="009021AA" w:rsidRPr="004A3269" w:rsidRDefault="00572DF1" w:rsidP="00572DF1">
      <w:pPr>
        <w:pStyle w:val="Style3"/>
        <w:spacing w:after="0"/>
        <w:rPr>
          <w:szCs w:val="22"/>
        </w:rPr>
      </w:pPr>
      <w:r w:rsidRPr="004A3269">
        <w:rPr>
          <w:szCs w:val="22"/>
        </w:rPr>
        <w:t>Si l</w:t>
      </w:r>
      <w:r w:rsidR="009021AA" w:rsidRPr="004A3269">
        <w:rPr>
          <w:szCs w:val="22"/>
        </w:rPr>
        <w:t>’</w:t>
      </w:r>
      <w:r w:rsidRPr="004A3269">
        <w:rPr>
          <w:szCs w:val="22"/>
        </w:rPr>
        <w:t>Organisation a une obligation juridique ou implicite résultant d</w:t>
      </w:r>
      <w:r w:rsidR="009021AA" w:rsidRPr="004A3269">
        <w:rPr>
          <w:szCs w:val="22"/>
        </w:rPr>
        <w:t>’</w:t>
      </w:r>
      <w:r w:rsidRPr="004A3269">
        <w:rPr>
          <w:szCs w:val="22"/>
        </w:rPr>
        <w:t>un événement passé, les provisions sont comptabilisées lorsqu</w:t>
      </w:r>
      <w:r w:rsidR="009021AA" w:rsidRPr="004A3269">
        <w:rPr>
          <w:szCs w:val="22"/>
        </w:rPr>
        <w:t>’</w:t>
      </w:r>
      <w:r w:rsidRPr="004A3269">
        <w:rPr>
          <w:szCs w:val="22"/>
        </w:rPr>
        <w:t>il est probable qu</w:t>
      </w:r>
      <w:r w:rsidR="009021AA" w:rsidRPr="004A3269">
        <w:rPr>
          <w:szCs w:val="22"/>
        </w:rPr>
        <w:t>’</w:t>
      </w:r>
      <w:r w:rsidRPr="004A3269">
        <w:rPr>
          <w:szCs w:val="22"/>
        </w:rPr>
        <w:t>une sortie de ressources sera nécessaire pour liquider l</w:t>
      </w:r>
      <w:r w:rsidR="009021AA" w:rsidRPr="004A3269">
        <w:rPr>
          <w:szCs w:val="22"/>
        </w:rPr>
        <w:t>’</w:t>
      </w:r>
      <w:r w:rsidRPr="004A3269">
        <w:rPr>
          <w:szCs w:val="22"/>
        </w:rPr>
        <w:t>obligation et qu</w:t>
      </w:r>
      <w:r w:rsidR="009021AA" w:rsidRPr="004A3269">
        <w:rPr>
          <w:szCs w:val="22"/>
        </w:rPr>
        <w:t>’</w:t>
      </w:r>
      <w:r w:rsidRPr="004A3269">
        <w:rPr>
          <w:szCs w:val="22"/>
        </w:rPr>
        <w:t>une estimation fiable du montant de l</w:t>
      </w:r>
      <w:r w:rsidR="009021AA" w:rsidRPr="004A3269">
        <w:rPr>
          <w:szCs w:val="22"/>
        </w:rPr>
        <w:t>’</w:t>
      </w:r>
      <w:r w:rsidRPr="004A3269">
        <w:rPr>
          <w:szCs w:val="22"/>
        </w:rPr>
        <w:t>obligation peut être effectuée.</w:t>
      </w:r>
    </w:p>
    <w:p w:rsidR="00267140" w:rsidRPr="004A3269" w:rsidRDefault="00267140" w:rsidP="007C6D77">
      <w:pPr>
        <w:pStyle w:val="Style3Bold"/>
        <w:spacing w:after="0"/>
        <w:rPr>
          <w:szCs w:val="22"/>
        </w:rPr>
      </w:pPr>
    </w:p>
    <w:p w:rsidR="00267140" w:rsidRPr="004A3269" w:rsidRDefault="00572DF1" w:rsidP="00572DF1">
      <w:pPr>
        <w:pStyle w:val="Style3Bold"/>
        <w:spacing w:after="0"/>
        <w:rPr>
          <w:szCs w:val="22"/>
        </w:rPr>
      </w:pPr>
      <w:r w:rsidRPr="004A3269">
        <w:rPr>
          <w:szCs w:val="22"/>
        </w:rPr>
        <w:t>Créances</w:t>
      </w:r>
    </w:p>
    <w:p w:rsidR="00267140" w:rsidRPr="004A3269" w:rsidRDefault="00267140" w:rsidP="007C6D77">
      <w:pPr>
        <w:pStyle w:val="Style3Bold"/>
        <w:spacing w:after="0"/>
        <w:rPr>
          <w:b w:val="0"/>
          <w:szCs w:val="22"/>
        </w:rPr>
      </w:pPr>
    </w:p>
    <w:p w:rsidR="009021AA" w:rsidRPr="004A3269" w:rsidRDefault="00CB4004" w:rsidP="00CB4004">
      <w:pPr>
        <w:pStyle w:val="Style3"/>
        <w:spacing w:after="0"/>
        <w:rPr>
          <w:szCs w:val="22"/>
        </w:rPr>
      </w:pPr>
      <w:r w:rsidRPr="004A3269">
        <w:rPr>
          <w:szCs w:val="22"/>
        </w:rPr>
        <w:t>Les créances provenant des opérations de change, qui incluent les taxes requises pour les brevets internationaux, l</w:t>
      </w:r>
      <w:r w:rsidR="009021AA" w:rsidRPr="004A3269">
        <w:rPr>
          <w:szCs w:val="22"/>
        </w:rPr>
        <w:t>’</w:t>
      </w:r>
      <w:r w:rsidRPr="004A3269">
        <w:rPr>
          <w:szCs w:val="22"/>
        </w:rPr>
        <w:t>enregistrement international des marques et des dessins et modèles industriels et d</w:t>
      </w:r>
      <w:r w:rsidR="009021AA" w:rsidRPr="004A3269">
        <w:rPr>
          <w:szCs w:val="22"/>
        </w:rPr>
        <w:t>’</w:t>
      </w:r>
      <w:r w:rsidRPr="004A3269">
        <w:rPr>
          <w:szCs w:val="22"/>
        </w:rPr>
        <w:t>autres services et publications, sont évaluées à la juste valeur de la contrepartie reçue ou à recevoir lorsque l</w:t>
      </w:r>
      <w:r w:rsidR="009021AA" w:rsidRPr="004A3269">
        <w:rPr>
          <w:szCs w:val="22"/>
        </w:rPr>
        <w:t>’</w:t>
      </w:r>
      <w:r w:rsidRPr="004A3269">
        <w:rPr>
          <w:szCs w:val="22"/>
        </w:rPr>
        <w:t>enregistrement de la demande internationale a été effectué pour les taxes relatives aux marques, aux modèles et dessins industriels et</w:t>
      </w:r>
      <w:r w:rsidR="009021AA" w:rsidRPr="004A3269">
        <w:rPr>
          <w:szCs w:val="22"/>
        </w:rPr>
        <w:t xml:space="preserve"> au PCT</w:t>
      </w:r>
      <w:r w:rsidRPr="004A3269">
        <w:rPr>
          <w:szCs w:val="22"/>
        </w:rPr>
        <w:t xml:space="preserve"> et que les fonds sont reçus pour d</w:t>
      </w:r>
      <w:r w:rsidR="009021AA" w:rsidRPr="004A3269">
        <w:rPr>
          <w:szCs w:val="22"/>
        </w:rPr>
        <w:t>’</w:t>
      </w:r>
      <w:r w:rsidRPr="004A3269">
        <w:rPr>
          <w:szCs w:val="22"/>
        </w:rPr>
        <w:t>autres produits.</w:t>
      </w:r>
    </w:p>
    <w:p w:rsidR="00267140" w:rsidRPr="004A3269" w:rsidRDefault="00267140" w:rsidP="007C6D77">
      <w:pPr>
        <w:pStyle w:val="Style3"/>
        <w:spacing w:after="0"/>
        <w:rPr>
          <w:szCs w:val="22"/>
        </w:rPr>
      </w:pPr>
    </w:p>
    <w:p w:rsidR="00267140" w:rsidRPr="004A3269" w:rsidRDefault="00CB4004" w:rsidP="00CB4004">
      <w:pPr>
        <w:pStyle w:val="Style3"/>
        <w:spacing w:after="0"/>
        <w:rPr>
          <w:szCs w:val="22"/>
        </w:rPr>
      </w:pPr>
      <w:r w:rsidRPr="004A3269">
        <w:rPr>
          <w:szCs w:val="22"/>
        </w:rPr>
        <w:t>Les contributions statutaires sont comptabilisées dans les produits au début de l</w:t>
      </w:r>
      <w:r w:rsidR="009021AA" w:rsidRPr="004A3269">
        <w:rPr>
          <w:szCs w:val="22"/>
        </w:rPr>
        <w:t>’</w:t>
      </w:r>
      <w:r w:rsidRPr="004A3269">
        <w:rPr>
          <w:szCs w:val="22"/>
        </w:rPr>
        <w:t>année financière.</w:t>
      </w:r>
      <w:r w:rsidR="001166DA" w:rsidRPr="004A3269">
        <w:t xml:space="preserve">  </w:t>
      </w:r>
      <w:r w:rsidRPr="004A3269">
        <w:rPr>
          <w:szCs w:val="22"/>
        </w:rPr>
        <w:t>Une indemnité pour pertes est comptabilisée, égale aux contributions statutaires gelées par l</w:t>
      </w:r>
      <w:r w:rsidR="009021AA" w:rsidRPr="004A3269">
        <w:rPr>
          <w:szCs w:val="22"/>
        </w:rPr>
        <w:t>’</w:t>
      </w:r>
      <w:r w:rsidRPr="004A3269">
        <w:rPr>
          <w:szCs w:val="22"/>
        </w:rPr>
        <w:t>Assemblée générale, auxquelles s</w:t>
      </w:r>
      <w:r w:rsidR="009021AA" w:rsidRPr="004A3269">
        <w:rPr>
          <w:szCs w:val="22"/>
        </w:rPr>
        <w:t>’</w:t>
      </w:r>
      <w:r w:rsidRPr="004A3269">
        <w:rPr>
          <w:szCs w:val="22"/>
        </w:rPr>
        <w:t>ajoutent les contributions à recevoir des États membres qui ont perdu le droit de vote conformément à l</w:t>
      </w:r>
      <w:r w:rsidR="009021AA" w:rsidRPr="004A3269">
        <w:rPr>
          <w:szCs w:val="22"/>
        </w:rPr>
        <w:t>’</w:t>
      </w:r>
      <w:r w:rsidR="00A0797A" w:rsidRPr="004A3269">
        <w:rPr>
          <w:szCs w:val="22"/>
        </w:rPr>
        <w:t>article </w:t>
      </w:r>
      <w:r w:rsidRPr="004A3269">
        <w:rPr>
          <w:szCs w:val="22"/>
        </w:rPr>
        <w:t>11 de la Convention instituant l</w:t>
      </w:r>
      <w:r w:rsidR="009021AA" w:rsidRPr="004A3269">
        <w:rPr>
          <w:szCs w:val="22"/>
        </w:rPr>
        <w:t>’</w:t>
      </w:r>
      <w:r w:rsidRPr="004A3269">
        <w:rPr>
          <w:szCs w:val="22"/>
        </w:rPr>
        <w:t>Organisation Mondiale de la Propriété Intellectuelle.</w:t>
      </w:r>
    </w:p>
    <w:p w:rsidR="00267140" w:rsidRPr="004A3269" w:rsidRDefault="00267140" w:rsidP="007C6D77">
      <w:pPr>
        <w:pStyle w:val="Style3"/>
        <w:spacing w:after="0"/>
        <w:rPr>
          <w:szCs w:val="22"/>
        </w:rPr>
      </w:pPr>
    </w:p>
    <w:p w:rsidR="00267140" w:rsidRPr="004A3269" w:rsidRDefault="00CB4004" w:rsidP="00CB4004">
      <w:pPr>
        <w:pStyle w:val="Style3"/>
        <w:spacing w:after="0"/>
        <w:rPr>
          <w:szCs w:val="22"/>
        </w:rPr>
      </w:pPr>
      <w:r w:rsidRPr="004A3269">
        <w:rPr>
          <w:szCs w:val="22"/>
        </w:rPr>
        <w:t>En ce qui concerne toutes les autres créances, une indemnité pour pertes est déterminée sur la base d</w:t>
      </w:r>
      <w:r w:rsidR="009021AA" w:rsidRPr="004A3269">
        <w:rPr>
          <w:szCs w:val="22"/>
        </w:rPr>
        <w:t>’</w:t>
      </w:r>
      <w:r w:rsidRPr="004A3269">
        <w:rPr>
          <w:szCs w:val="22"/>
        </w:rPr>
        <w:t>un examen des montants restants dus à la date d</w:t>
      </w:r>
      <w:r w:rsidR="009021AA" w:rsidRPr="004A3269">
        <w:rPr>
          <w:szCs w:val="22"/>
        </w:rPr>
        <w:t>’</w:t>
      </w:r>
      <w:r w:rsidRPr="004A3269">
        <w:rPr>
          <w:szCs w:val="22"/>
        </w:rPr>
        <w:t>établissement des états financiers.</w:t>
      </w:r>
    </w:p>
    <w:p w:rsidR="00267140" w:rsidRPr="004A3269" w:rsidRDefault="00267140" w:rsidP="007C6D77">
      <w:pPr>
        <w:jc w:val="both"/>
        <w:rPr>
          <w:szCs w:val="22"/>
        </w:rPr>
      </w:pPr>
    </w:p>
    <w:p w:rsidR="00267140" w:rsidRPr="004A3269" w:rsidRDefault="00CB4004" w:rsidP="00695FBE">
      <w:pPr>
        <w:pStyle w:val="Style3Bold"/>
        <w:keepNext/>
        <w:keepLines/>
        <w:spacing w:after="0"/>
        <w:rPr>
          <w:szCs w:val="22"/>
        </w:rPr>
      </w:pPr>
      <w:r w:rsidRPr="004A3269">
        <w:rPr>
          <w:szCs w:val="22"/>
        </w:rPr>
        <w:lastRenderedPageBreak/>
        <w:t>Comptabilisation des produits</w:t>
      </w:r>
    </w:p>
    <w:p w:rsidR="00267140" w:rsidRPr="004A3269" w:rsidRDefault="00267140" w:rsidP="00695FBE">
      <w:pPr>
        <w:keepNext/>
        <w:keepLines/>
        <w:jc w:val="both"/>
        <w:rPr>
          <w:szCs w:val="22"/>
        </w:rPr>
      </w:pPr>
    </w:p>
    <w:p w:rsidR="00267140" w:rsidRPr="004A3269" w:rsidRDefault="00CB4004" w:rsidP="00695FBE">
      <w:pPr>
        <w:pStyle w:val="Style3"/>
        <w:keepNext/>
        <w:keepLines/>
        <w:spacing w:after="0"/>
        <w:rPr>
          <w:szCs w:val="22"/>
        </w:rPr>
      </w:pPr>
      <w:r w:rsidRPr="004A3269">
        <w:rPr>
          <w:szCs w:val="22"/>
        </w:rPr>
        <w:t xml:space="preserve">Les produits provenant des opérations de change qui incluent les taxes requises pour les demandes de brevet internationales, </w:t>
      </w:r>
      <w:r w:rsidR="009021AA" w:rsidRPr="004A3269">
        <w:rPr>
          <w:szCs w:val="22"/>
        </w:rPr>
        <w:t>y compris</w:t>
      </w:r>
      <w:r w:rsidRPr="004A3269">
        <w:rPr>
          <w:szCs w:val="22"/>
        </w:rPr>
        <w:t xml:space="preserve"> les frais pour les pages supplémentaires, l</w:t>
      </w:r>
      <w:r w:rsidR="009021AA" w:rsidRPr="004A3269">
        <w:rPr>
          <w:szCs w:val="22"/>
        </w:rPr>
        <w:t>’</w:t>
      </w:r>
      <w:r w:rsidRPr="004A3269">
        <w:rPr>
          <w:szCs w:val="22"/>
        </w:rPr>
        <w:t>enregistrement international des marques et l</w:t>
      </w:r>
      <w:r w:rsidR="009021AA" w:rsidRPr="004A3269">
        <w:rPr>
          <w:szCs w:val="22"/>
        </w:rPr>
        <w:t>’</w:t>
      </w:r>
      <w:r w:rsidRPr="004A3269">
        <w:rPr>
          <w:szCs w:val="22"/>
        </w:rPr>
        <w:t>enregistrement international des dessins et modèles industriels, sont comptabilisés à la date de publication.</w:t>
      </w:r>
      <w:r w:rsidR="005640B1" w:rsidRPr="004A3269">
        <w:t xml:space="preserve">  </w:t>
      </w:r>
      <w:r w:rsidRPr="004A3269">
        <w:rPr>
          <w:szCs w:val="22"/>
        </w:rPr>
        <w:t>Les produits provenant des taxes perçues pour des demandes non publiées à la date d</w:t>
      </w:r>
      <w:r w:rsidR="009021AA" w:rsidRPr="004A3269">
        <w:rPr>
          <w:szCs w:val="22"/>
        </w:rPr>
        <w:t>’</w:t>
      </w:r>
      <w:r w:rsidRPr="004A3269">
        <w:rPr>
          <w:szCs w:val="22"/>
        </w:rPr>
        <w:t>établissement des états financiers sont reportés jusqu</w:t>
      </w:r>
      <w:r w:rsidR="009021AA" w:rsidRPr="004A3269">
        <w:rPr>
          <w:szCs w:val="22"/>
        </w:rPr>
        <w:t>’</w:t>
      </w:r>
      <w:r w:rsidRPr="004A3269">
        <w:rPr>
          <w:szCs w:val="22"/>
        </w:rPr>
        <w:t>à la publication de la demande</w:t>
      </w:r>
      <w:r w:rsidR="00A0797A" w:rsidRPr="004A3269">
        <w:rPr>
          <w:szCs w:val="22"/>
        </w:rPr>
        <w:t xml:space="preserve">.  </w:t>
      </w:r>
      <w:r w:rsidRPr="004A3269">
        <w:rPr>
          <w:szCs w:val="22"/>
        </w:rPr>
        <w:t>La part de la taxe de dépôt couvrant le coût de traduction des rapports de brevetabilité établis dans une langue autre que l</w:t>
      </w:r>
      <w:r w:rsidR="009021AA" w:rsidRPr="004A3269">
        <w:rPr>
          <w:szCs w:val="22"/>
        </w:rPr>
        <w:t>’</w:t>
      </w:r>
      <w:r w:rsidRPr="004A3269">
        <w:rPr>
          <w:szCs w:val="22"/>
        </w:rPr>
        <w:t>anglais reçue après publication est également reportée jusqu</w:t>
      </w:r>
      <w:r w:rsidR="009021AA" w:rsidRPr="004A3269">
        <w:rPr>
          <w:szCs w:val="22"/>
        </w:rPr>
        <w:t>’</w:t>
      </w:r>
      <w:r w:rsidRPr="004A3269">
        <w:rPr>
          <w:szCs w:val="22"/>
        </w:rPr>
        <w:t>à ce que la traduction soit terminée.</w:t>
      </w:r>
      <w:r w:rsidR="005640B1" w:rsidRPr="004A3269">
        <w:t xml:space="preserve">  </w:t>
      </w:r>
      <w:r w:rsidRPr="004A3269">
        <w:rPr>
          <w:szCs w:val="22"/>
        </w:rPr>
        <w:t xml:space="preserve">Toutes les autres taxes liées aux brevets, aux marques et aux dessins ou modèles industriels, </w:t>
      </w:r>
      <w:r w:rsidR="009021AA" w:rsidRPr="004A3269">
        <w:rPr>
          <w:szCs w:val="22"/>
        </w:rPr>
        <w:t>y compris</w:t>
      </w:r>
      <w:r w:rsidRPr="004A3269">
        <w:rPr>
          <w:szCs w:val="22"/>
        </w:rPr>
        <w:t xml:space="preserve"> les renouvellements, sont comptabilisées lorsque les services couverts par ces taxes ont été fournis.</w:t>
      </w:r>
      <w:r w:rsidR="001A6EA4" w:rsidRPr="004A3269">
        <w:t xml:space="preserve">  </w:t>
      </w:r>
      <w:r w:rsidRPr="004A3269">
        <w:rPr>
          <w:szCs w:val="22"/>
        </w:rPr>
        <w:t>Les produits provenant des publications et des services d</w:t>
      </w:r>
      <w:r w:rsidR="009021AA" w:rsidRPr="004A3269">
        <w:rPr>
          <w:szCs w:val="22"/>
        </w:rPr>
        <w:t>’</w:t>
      </w:r>
      <w:r w:rsidRPr="004A3269">
        <w:rPr>
          <w:szCs w:val="22"/>
        </w:rPr>
        <w:t>arbitrage et de médiation sont comptabilisés une fois les produits ou les services fournis dans leur totalité.</w:t>
      </w:r>
    </w:p>
    <w:p w:rsidR="00267140" w:rsidRPr="004A3269" w:rsidRDefault="00267140" w:rsidP="007C6D77">
      <w:pPr>
        <w:pStyle w:val="Style3"/>
        <w:spacing w:after="0"/>
        <w:rPr>
          <w:szCs w:val="22"/>
        </w:rPr>
      </w:pPr>
    </w:p>
    <w:p w:rsidR="00267140" w:rsidRPr="004A3269" w:rsidRDefault="00CB4004" w:rsidP="00CB4004">
      <w:pPr>
        <w:pStyle w:val="Style3"/>
        <w:spacing w:after="0"/>
        <w:rPr>
          <w:szCs w:val="22"/>
        </w:rPr>
      </w:pPr>
      <w:r w:rsidRPr="004A3269">
        <w:rPr>
          <w:szCs w:val="22"/>
        </w:rPr>
        <w:t>Les produits d</w:t>
      </w:r>
      <w:r w:rsidR="009021AA" w:rsidRPr="004A3269">
        <w:rPr>
          <w:szCs w:val="22"/>
        </w:rPr>
        <w:t>’</w:t>
      </w:r>
      <w:r w:rsidRPr="004A3269">
        <w:rPr>
          <w:szCs w:val="22"/>
        </w:rPr>
        <w:t>opérations sans contrepartie directe tels que les contributions volontaires aux comptes spéciaux fondés sur des accords ayant force exécutoire sont comptabilisés comme produits au moment où l</w:t>
      </w:r>
      <w:r w:rsidR="009021AA" w:rsidRPr="004A3269">
        <w:rPr>
          <w:szCs w:val="22"/>
        </w:rPr>
        <w:t>’</w:t>
      </w:r>
      <w:r w:rsidRPr="004A3269">
        <w:rPr>
          <w:szCs w:val="22"/>
        </w:rPr>
        <w:t>accord devient contraignant, à moins que l</w:t>
      </w:r>
      <w:r w:rsidR="009021AA" w:rsidRPr="004A3269">
        <w:rPr>
          <w:szCs w:val="22"/>
        </w:rPr>
        <w:t>’</w:t>
      </w:r>
      <w:r w:rsidRPr="004A3269">
        <w:rPr>
          <w:szCs w:val="22"/>
        </w:rPr>
        <w:t>accord ne prévoie des conditions relatives à des résultats spécifiques ou au remboursement de soldes non dépensés</w:t>
      </w:r>
      <w:r w:rsidR="00A0797A" w:rsidRPr="004A3269">
        <w:rPr>
          <w:szCs w:val="22"/>
        </w:rPr>
        <w:t xml:space="preserve">.  </w:t>
      </w:r>
      <w:r w:rsidRPr="004A3269">
        <w:rPr>
          <w:szCs w:val="22"/>
        </w:rPr>
        <w:t>Ces accords exigent la reconnaissance initiale d</w:t>
      </w:r>
      <w:r w:rsidR="009021AA" w:rsidRPr="004A3269">
        <w:rPr>
          <w:szCs w:val="22"/>
        </w:rPr>
        <w:t>’</w:t>
      </w:r>
      <w:r w:rsidRPr="004A3269">
        <w:rPr>
          <w:szCs w:val="22"/>
        </w:rPr>
        <w:t>une obligation de différer la comptabilisation des produits, les produits étant ensuite comptabilisés au fur et à mesure que l</w:t>
      </w:r>
      <w:r w:rsidR="009021AA" w:rsidRPr="004A3269">
        <w:rPr>
          <w:szCs w:val="22"/>
        </w:rPr>
        <w:t>’</w:t>
      </w:r>
      <w:r w:rsidRPr="004A3269">
        <w:rPr>
          <w:szCs w:val="22"/>
        </w:rPr>
        <w:t>obligation prévue par l</w:t>
      </w:r>
      <w:r w:rsidR="009021AA" w:rsidRPr="004A3269">
        <w:rPr>
          <w:szCs w:val="22"/>
        </w:rPr>
        <w:t>’</w:t>
      </w:r>
      <w:r w:rsidRPr="004A3269">
        <w:rPr>
          <w:szCs w:val="22"/>
        </w:rPr>
        <w:t>accord est remplie.</w:t>
      </w:r>
    </w:p>
    <w:p w:rsidR="00267140" w:rsidRPr="004A3269" w:rsidRDefault="00267140" w:rsidP="007C6D77">
      <w:pPr>
        <w:pStyle w:val="Style3"/>
        <w:spacing w:after="0"/>
        <w:rPr>
          <w:szCs w:val="22"/>
        </w:rPr>
      </w:pPr>
    </w:p>
    <w:p w:rsidR="00267140" w:rsidRPr="004A3269" w:rsidRDefault="00CB4004" w:rsidP="00CB4004">
      <w:pPr>
        <w:pStyle w:val="Style3"/>
        <w:spacing w:after="0"/>
        <w:rPr>
          <w:szCs w:val="22"/>
        </w:rPr>
      </w:pPr>
      <w:r w:rsidRPr="004A3269">
        <w:rPr>
          <w:szCs w:val="22"/>
        </w:rPr>
        <w:t>Les contributions statutaires sont comptabilisées comme produits au début de chaque année de l</w:t>
      </w:r>
      <w:r w:rsidR="009021AA" w:rsidRPr="004A3269">
        <w:rPr>
          <w:szCs w:val="22"/>
        </w:rPr>
        <w:t>’</w:t>
      </w:r>
      <w:r w:rsidRPr="004A3269">
        <w:rPr>
          <w:szCs w:val="22"/>
        </w:rPr>
        <w:t>exercice budgétaire sur laquelle porte l</w:t>
      </w:r>
      <w:r w:rsidR="009021AA" w:rsidRPr="004A3269">
        <w:rPr>
          <w:szCs w:val="22"/>
        </w:rPr>
        <w:t>’</w:t>
      </w:r>
      <w:r w:rsidRPr="004A3269">
        <w:rPr>
          <w:szCs w:val="22"/>
        </w:rPr>
        <w:t>évaluation.</w:t>
      </w:r>
    </w:p>
    <w:p w:rsidR="00267140" w:rsidRPr="004A3269" w:rsidRDefault="00267140" w:rsidP="007C6D77">
      <w:pPr>
        <w:pStyle w:val="Style3Bold"/>
        <w:spacing w:after="0"/>
        <w:rPr>
          <w:szCs w:val="22"/>
        </w:rPr>
      </w:pPr>
    </w:p>
    <w:p w:rsidR="00267140" w:rsidRPr="004A3269" w:rsidRDefault="00CB4004" w:rsidP="00CB4004">
      <w:pPr>
        <w:pStyle w:val="Style3Bold"/>
        <w:spacing w:after="0"/>
        <w:rPr>
          <w:szCs w:val="22"/>
        </w:rPr>
      </w:pPr>
      <w:r w:rsidRPr="004A3269">
        <w:rPr>
          <w:szCs w:val="22"/>
        </w:rPr>
        <w:t>Information sectorielle</w:t>
      </w:r>
    </w:p>
    <w:p w:rsidR="00267140" w:rsidRPr="004A3269" w:rsidRDefault="00267140" w:rsidP="007C6D77">
      <w:pPr>
        <w:pStyle w:val="Style3"/>
        <w:spacing w:after="0"/>
        <w:rPr>
          <w:szCs w:val="22"/>
        </w:rPr>
      </w:pPr>
    </w:p>
    <w:p w:rsidR="00267140" w:rsidRPr="004A3269" w:rsidRDefault="00FC49E0" w:rsidP="00FC49E0">
      <w:pPr>
        <w:pStyle w:val="Style3Bold"/>
        <w:spacing w:after="0"/>
        <w:rPr>
          <w:b w:val="0"/>
          <w:szCs w:val="22"/>
        </w:rPr>
      </w:pPr>
      <w:r w:rsidRPr="004A3269">
        <w:rPr>
          <w:b w:val="0"/>
          <w:szCs w:val="22"/>
        </w:rPr>
        <w:t>La communication de l</w:t>
      </w:r>
      <w:r w:rsidR="009021AA" w:rsidRPr="004A3269">
        <w:rPr>
          <w:b w:val="0"/>
          <w:szCs w:val="22"/>
        </w:rPr>
        <w:t>’</w:t>
      </w:r>
      <w:r w:rsidRPr="004A3269">
        <w:rPr>
          <w:b w:val="0"/>
          <w:szCs w:val="22"/>
        </w:rPr>
        <w:t>information sectorielle se fonde sur les unions qui constituent l</w:t>
      </w:r>
      <w:r w:rsidR="009021AA" w:rsidRPr="004A3269">
        <w:rPr>
          <w:b w:val="0"/>
          <w:szCs w:val="22"/>
        </w:rPr>
        <w:t>’</w:t>
      </w:r>
      <w:r w:rsidRPr="004A3269">
        <w:rPr>
          <w:b w:val="0"/>
          <w:szCs w:val="22"/>
        </w:rPr>
        <w:t>Organisation Mondiale de la Propriété Intellectuelle.</w:t>
      </w:r>
      <w:r w:rsidR="009442BA" w:rsidRPr="004A3269">
        <w:rPr>
          <w:b w:val="0"/>
        </w:rPr>
        <w:t xml:space="preserve"> </w:t>
      </w:r>
      <w:r w:rsidR="00B24099" w:rsidRPr="004A3269">
        <w:rPr>
          <w:b w:val="0"/>
        </w:rPr>
        <w:t xml:space="preserve"> </w:t>
      </w:r>
      <w:r w:rsidRPr="004A3269">
        <w:rPr>
          <w:b w:val="0"/>
          <w:szCs w:val="22"/>
        </w:rPr>
        <w:t>Les recettes et les dépenses encourues par l</w:t>
      </w:r>
      <w:r w:rsidR="009021AA" w:rsidRPr="004A3269">
        <w:rPr>
          <w:b w:val="0"/>
          <w:szCs w:val="22"/>
        </w:rPr>
        <w:t>’</w:t>
      </w:r>
      <w:r w:rsidRPr="004A3269">
        <w:rPr>
          <w:b w:val="0"/>
          <w:szCs w:val="22"/>
        </w:rPr>
        <w:t>Organisation sont réparties entre les unions conformément à une méthode de répartition approuvée par l</w:t>
      </w:r>
      <w:r w:rsidR="009021AA" w:rsidRPr="004A3269">
        <w:rPr>
          <w:b w:val="0"/>
          <w:szCs w:val="22"/>
        </w:rPr>
        <w:t>’</w:t>
      </w:r>
      <w:r w:rsidRPr="004A3269">
        <w:rPr>
          <w:b w:val="0"/>
          <w:szCs w:val="22"/>
        </w:rPr>
        <w:t>Assemblée générale de l</w:t>
      </w:r>
      <w:r w:rsidR="009021AA" w:rsidRPr="004A3269">
        <w:rPr>
          <w:b w:val="0"/>
          <w:szCs w:val="22"/>
        </w:rPr>
        <w:t>’</w:t>
      </w:r>
      <w:r w:rsidRPr="004A3269">
        <w:rPr>
          <w:b w:val="0"/>
          <w:szCs w:val="22"/>
        </w:rPr>
        <w:t>OMPI [programme et budget pour</w:t>
      </w:r>
      <w:r w:rsidR="00067463" w:rsidRPr="004A3269">
        <w:rPr>
          <w:b w:val="0"/>
          <w:szCs w:val="22"/>
        </w:rPr>
        <w:t> </w:t>
      </w:r>
      <w:r w:rsidRPr="004A3269">
        <w:rPr>
          <w:b w:val="0"/>
          <w:szCs w:val="22"/>
        </w:rPr>
        <w:t>2014</w:t>
      </w:r>
      <w:r w:rsidR="00A17552" w:rsidRPr="004A3269">
        <w:rPr>
          <w:b w:val="0"/>
          <w:szCs w:val="22"/>
        </w:rPr>
        <w:noBreakHyphen/>
      </w:r>
      <w:r w:rsidRPr="004A3269">
        <w:rPr>
          <w:b w:val="0"/>
          <w:szCs w:val="22"/>
        </w:rPr>
        <w:t>2015, annexe</w:t>
      </w:r>
      <w:r w:rsidR="00067463" w:rsidRPr="004A3269">
        <w:rPr>
          <w:b w:val="0"/>
          <w:szCs w:val="22"/>
        </w:rPr>
        <w:t> </w:t>
      </w:r>
      <w:r w:rsidRPr="004A3269">
        <w:rPr>
          <w:b w:val="0"/>
          <w:szCs w:val="22"/>
        </w:rPr>
        <w:t>III].</w:t>
      </w:r>
      <w:r w:rsidR="00835A06" w:rsidRPr="004A3269">
        <w:rPr>
          <w:b w:val="0"/>
        </w:rPr>
        <w:t xml:space="preserve">  </w:t>
      </w:r>
      <w:r w:rsidRPr="004A3269">
        <w:rPr>
          <w:b w:val="0"/>
          <w:szCs w:val="22"/>
        </w:rPr>
        <w:t>Cette méthode consiste à répartir les recettes et les dépenses par programme, puis par union, sur la base d</w:t>
      </w:r>
      <w:r w:rsidR="009021AA" w:rsidRPr="004A3269">
        <w:rPr>
          <w:b w:val="0"/>
          <w:szCs w:val="22"/>
        </w:rPr>
        <w:t>’</w:t>
      </w:r>
      <w:r w:rsidRPr="004A3269">
        <w:rPr>
          <w:b w:val="0"/>
          <w:szCs w:val="22"/>
        </w:rPr>
        <w:t>une combinaison de critères tels que les recettes et les dépenses directes, les effectifs et la capacité de paiement de chacune des unions, elle</w:t>
      </w:r>
      <w:r w:rsidR="00A17552" w:rsidRPr="004A3269">
        <w:rPr>
          <w:b w:val="0"/>
          <w:szCs w:val="22"/>
        </w:rPr>
        <w:noBreakHyphen/>
      </w:r>
      <w:r w:rsidRPr="004A3269">
        <w:rPr>
          <w:b w:val="0"/>
          <w:szCs w:val="22"/>
        </w:rPr>
        <w:t>même déterminée en fonction d</w:t>
      </w:r>
      <w:r w:rsidR="009021AA" w:rsidRPr="004A3269">
        <w:rPr>
          <w:b w:val="0"/>
          <w:szCs w:val="22"/>
        </w:rPr>
        <w:t>’</w:t>
      </w:r>
      <w:r w:rsidRPr="004A3269">
        <w:rPr>
          <w:b w:val="0"/>
          <w:szCs w:val="22"/>
        </w:rPr>
        <w:t>une combinaison des recettes courantes et des réserves</w:t>
      </w:r>
      <w:r w:rsidR="00A0797A" w:rsidRPr="004A3269">
        <w:rPr>
          <w:b w:val="0"/>
          <w:szCs w:val="22"/>
        </w:rPr>
        <w:t xml:space="preserve">.  </w:t>
      </w:r>
      <w:r w:rsidRPr="004A3269">
        <w:rPr>
          <w:b w:val="0"/>
          <w:szCs w:val="22"/>
        </w:rPr>
        <w:t>Les actifs et les passifs de l</w:t>
      </w:r>
      <w:r w:rsidR="009021AA" w:rsidRPr="004A3269">
        <w:rPr>
          <w:b w:val="0"/>
          <w:szCs w:val="22"/>
        </w:rPr>
        <w:t>’</w:t>
      </w:r>
      <w:r w:rsidRPr="004A3269">
        <w:rPr>
          <w:b w:val="0"/>
          <w:szCs w:val="22"/>
        </w:rPr>
        <w:t>OMPI ne sont pas alloués à des segments individuels, puisque le budget total appartient à l</w:t>
      </w:r>
      <w:r w:rsidR="009021AA" w:rsidRPr="004A3269">
        <w:rPr>
          <w:b w:val="0"/>
          <w:szCs w:val="22"/>
        </w:rPr>
        <w:t>’</w:t>
      </w:r>
      <w:r w:rsidRPr="004A3269">
        <w:rPr>
          <w:b w:val="0"/>
          <w:szCs w:val="22"/>
        </w:rPr>
        <w:t>Organisation dans son ensemble;  cependant, la part de chaque union de l</w:t>
      </w:r>
      <w:r w:rsidR="009021AA" w:rsidRPr="004A3269">
        <w:rPr>
          <w:b w:val="0"/>
          <w:szCs w:val="22"/>
        </w:rPr>
        <w:t>’</w:t>
      </w:r>
      <w:r w:rsidRPr="004A3269">
        <w:rPr>
          <w:b w:val="0"/>
          <w:szCs w:val="22"/>
        </w:rPr>
        <w:t>actif net de l</w:t>
      </w:r>
      <w:r w:rsidR="009021AA" w:rsidRPr="004A3269">
        <w:rPr>
          <w:b w:val="0"/>
          <w:szCs w:val="22"/>
        </w:rPr>
        <w:t>’</w:t>
      </w:r>
      <w:r w:rsidRPr="004A3269">
        <w:rPr>
          <w:b w:val="0"/>
          <w:szCs w:val="22"/>
        </w:rPr>
        <w:t xml:space="preserve">Organisation, </w:t>
      </w:r>
      <w:r w:rsidR="009021AA" w:rsidRPr="004A3269">
        <w:rPr>
          <w:b w:val="0"/>
          <w:szCs w:val="22"/>
        </w:rPr>
        <w:t>y compris</w:t>
      </w:r>
      <w:r w:rsidRPr="004A3269">
        <w:rPr>
          <w:b w:val="0"/>
          <w:szCs w:val="22"/>
        </w:rPr>
        <w:t xml:space="preserve"> les soldes, les écarts de réévaluation et les fonds de roulement cumulés, sont comptabilisés par segment (voir </w:t>
      </w:r>
      <w:r w:rsidR="00277DBB" w:rsidRPr="004A3269">
        <w:rPr>
          <w:b w:val="0"/>
          <w:szCs w:val="22"/>
        </w:rPr>
        <w:t xml:space="preserve">la </w:t>
      </w:r>
      <w:r w:rsidRPr="004A3269">
        <w:rPr>
          <w:b w:val="0"/>
          <w:szCs w:val="22"/>
        </w:rPr>
        <w:t>note n°</w:t>
      </w:r>
      <w:r w:rsidR="00067463" w:rsidRPr="004A3269">
        <w:rPr>
          <w:b w:val="0"/>
          <w:szCs w:val="22"/>
        </w:rPr>
        <w:t> </w:t>
      </w:r>
      <w:r w:rsidRPr="004A3269">
        <w:rPr>
          <w:b w:val="0"/>
          <w:szCs w:val="22"/>
        </w:rPr>
        <w:t>28).</w:t>
      </w:r>
    </w:p>
    <w:p w:rsidR="00267140" w:rsidRPr="004A3269" w:rsidRDefault="00267140" w:rsidP="006B132D">
      <w:pPr>
        <w:pStyle w:val="Style3Bold"/>
        <w:spacing w:after="0"/>
        <w:rPr>
          <w:b w:val="0"/>
          <w:szCs w:val="22"/>
        </w:rPr>
      </w:pPr>
    </w:p>
    <w:p w:rsidR="00267140" w:rsidRPr="004A3269" w:rsidRDefault="00465BB0" w:rsidP="006B132D">
      <w:pPr>
        <w:pStyle w:val="Style3Bold"/>
        <w:spacing w:after="0"/>
        <w:rPr>
          <w:szCs w:val="22"/>
        </w:rPr>
      </w:pPr>
      <w:r w:rsidRPr="004A3269">
        <w:rPr>
          <w:szCs w:val="22"/>
        </w:rPr>
        <w:t xml:space="preserve">Changements </w:t>
      </w:r>
      <w:r w:rsidR="008344E6" w:rsidRPr="004A3269">
        <w:rPr>
          <w:szCs w:val="22"/>
        </w:rPr>
        <w:t>de</w:t>
      </w:r>
      <w:r w:rsidRPr="004A3269">
        <w:rPr>
          <w:szCs w:val="22"/>
        </w:rPr>
        <w:t xml:space="preserve"> présentation</w:t>
      </w:r>
    </w:p>
    <w:p w:rsidR="00267140" w:rsidRPr="004A3269" w:rsidRDefault="00267140" w:rsidP="006B132D">
      <w:pPr>
        <w:pStyle w:val="Style3Bold"/>
        <w:spacing w:after="0"/>
        <w:rPr>
          <w:b w:val="0"/>
          <w:szCs w:val="22"/>
        </w:rPr>
      </w:pPr>
    </w:p>
    <w:p w:rsidR="00267140" w:rsidRPr="004A3269" w:rsidRDefault="008344E6" w:rsidP="006B132D">
      <w:pPr>
        <w:pStyle w:val="Style3Bold"/>
        <w:spacing w:after="0"/>
        <w:rPr>
          <w:b w:val="0"/>
          <w:szCs w:val="22"/>
        </w:rPr>
      </w:pPr>
      <w:r w:rsidRPr="004A3269">
        <w:rPr>
          <w:rStyle w:val="hps"/>
          <w:b w:val="0"/>
        </w:rPr>
        <w:t>Les</w:t>
      </w:r>
      <w:r w:rsidR="00465BB0" w:rsidRPr="004A3269">
        <w:rPr>
          <w:b w:val="0"/>
        </w:rPr>
        <w:t xml:space="preserve"> </w:t>
      </w:r>
      <w:r w:rsidR="00465BB0" w:rsidRPr="004A3269">
        <w:rPr>
          <w:rStyle w:val="hps"/>
          <w:b w:val="0"/>
        </w:rPr>
        <w:t>changements suivants ont été apportés</w:t>
      </w:r>
      <w:r w:rsidR="00465BB0" w:rsidRPr="004A3269">
        <w:rPr>
          <w:b w:val="0"/>
        </w:rPr>
        <w:t xml:space="preserve"> </w:t>
      </w:r>
      <w:r w:rsidRPr="004A3269">
        <w:rPr>
          <w:rStyle w:val="hps"/>
          <w:b w:val="0"/>
        </w:rPr>
        <w:t>à la présentation</w:t>
      </w:r>
      <w:r w:rsidRPr="004A3269">
        <w:rPr>
          <w:b w:val="0"/>
        </w:rPr>
        <w:t xml:space="preserve"> </w:t>
      </w:r>
      <w:r w:rsidRPr="004A3269">
        <w:rPr>
          <w:rStyle w:val="hps"/>
          <w:b w:val="0"/>
        </w:rPr>
        <w:t>des</w:t>
      </w:r>
      <w:r w:rsidR="00465BB0" w:rsidRPr="004A3269">
        <w:rPr>
          <w:b w:val="0"/>
        </w:rPr>
        <w:t xml:space="preserve"> </w:t>
      </w:r>
      <w:r w:rsidR="00465BB0" w:rsidRPr="004A3269">
        <w:rPr>
          <w:rStyle w:val="hps"/>
          <w:b w:val="0"/>
        </w:rPr>
        <w:t>chiffres comparatifs</w:t>
      </w:r>
      <w:r w:rsidRPr="004A3269">
        <w:rPr>
          <w:rStyle w:val="hps"/>
          <w:b w:val="0"/>
        </w:rPr>
        <w:t xml:space="preserve"> </w:t>
      </w:r>
      <w:r w:rsidR="0066624D" w:rsidRPr="004A3269">
        <w:rPr>
          <w:rStyle w:val="hps"/>
          <w:b w:val="0"/>
        </w:rPr>
        <w:t>pour</w:t>
      </w:r>
      <w:r w:rsidRPr="004A3269">
        <w:rPr>
          <w:rStyle w:val="hps"/>
          <w:b w:val="0"/>
        </w:rPr>
        <w:t> </w:t>
      </w:r>
      <w:r w:rsidR="00465BB0" w:rsidRPr="004A3269">
        <w:rPr>
          <w:rStyle w:val="hps"/>
          <w:b w:val="0"/>
        </w:rPr>
        <w:t>2013</w:t>
      </w:r>
      <w:r w:rsidR="001956E8" w:rsidRPr="004A3269">
        <w:rPr>
          <w:rStyle w:val="hps"/>
          <w:b w:val="0"/>
        </w:rPr>
        <w:t>,</w:t>
      </w:r>
      <w:r w:rsidR="00465BB0" w:rsidRPr="004A3269">
        <w:rPr>
          <w:b w:val="0"/>
        </w:rPr>
        <w:t xml:space="preserve"> </w:t>
      </w:r>
      <w:r w:rsidR="00465BB0" w:rsidRPr="004A3269">
        <w:rPr>
          <w:rStyle w:val="hps"/>
          <w:b w:val="0"/>
        </w:rPr>
        <w:t xml:space="preserve">afin </w:t>
      </w:r>
      <w:r w:rsidR="001956E8" w:rsidRPr="004A3269">
        <w:rPr>
          <w:rStyle w:val="hps"/>
          <w:b w:val="0"/>
        </w:rPr>
        <w:t xml:space="preserve">que ces derniers soient </w:t>
      </w:r>
      <w:r w:rsidR="0066624D" w:rsidRPr="004A3269">
        <w:rPr>
          <w:rStyle w:val="hps"/>
          <w:b w:val="0"/>
        </w:rPr>
        <w:t>conformes à</w:t>
      </w:r>
      <w:r w:rsidR="00465BB0" w:rsidRPr="004A3269">
        <w:rPr>
          <w:b w:val="0"/>
        </w:rPr>
        <w:t xml:space="preserve"> </w:t>
      </w:r>
      <w:r w:rsidR="00465BB0" w:rsidRPr="004A3269">
        <w:rPr>
          <w:rStyle w:val="hps"/>
          <w:b w:val="0"/>
        </w:rPr>
        <w:t>la</w:t>
      </w:r>
      <w:r w:rsidR="00465BB0" w:rsidRPr="004A3269">
        <w:rPr>
          <w:b w:val="0"/>
        </w:rPr>
        <w:t xml:space="preserve"> </w:t>
      </w:r>
      <w:r w:rsidR="00465BB0" w:rsidRPr="004A3269">
        <w:rPr>
          <w:rStyle w:val="hps"/>
          <w:b w:val="0"/>
        </w:rPr>
        <w:t xml:space="preserve">classification des postes </w:t>
      </w:r>
      <w:r w:rsidRPr="004A3269">
        <w:rPr>
          <w:rStyle w:val="hps"/>
          <w:b w:val="0"/>
        </w:rPr>
        <w:t>adoptée dans les</w:t>
      </w:r>
      <w:r w:rsidR="00465BB0" w:rsidRPr="004A3269">
        <w:rPr>
          <w:b w:val="0"/>
        </w:rPr>
        <w:t xml:space="preserve"> </w:t>
      </w:r>
      <w:r w:rsidR="00465BB0" w:rsidRPr="004A3269">
        <w:rPr>
          <w:rStyle w:val="hps"/>
          <w:b w:val="0"/>
        </w:rPr>
        <w:t>états financiers</w:t>
      </w:r>
      <w:r w:rsidR="00465BB0" w:rsidRPr="004A3269">
        <w:rPr>
          <w:b w:val="0"/>
        </w:rPr>
        <w:t xml:space="preserve"> </w:t>
      </w:r>
      <w:r w:rsidR="00465BB0" w:rsidRPr="004A3269">
        <w:rPr>
          <w:rStyle w:val="hps"/>
          <w:b w:val="0"/>
        </w:rPr>
        <w:t>2014 </w:t>
      </w:r>
      <w:r w:rsidR="00EE6C78" w:rsidRPr="004A3269">
        <w:rPr>
          <w:rStyle w:val="hps"/>
          <w:b w:val="0"/>
        </w:rPr>
        <w:t>:</w:t>
      </w:r>
    </w:p>
    <w:p w:rsidR="00267140" w:rsidRPr="004A3269" w:rsidRDefault="00267140" w:rsidP="006B132D">
      <w:pPr>
        <w:pStyle w:val="Style3Bold"/>
        <w:spacing w:after="0"/>
        <w:rPr>
          <w:b w:val="0"/>
          <w:szCs w:val="22"/>
        </w:rPr>
      </w:pPr>
    </w:p>
    <w:p w:rsidR="00465BB0" w:rsidRPr="004A3269" w:rsidRDefault="008344E6" w:rsidP="00695FBE">
      <w:pPr>
        <w:pStyle w:val="Style3Bold"/>
        <w:numPr>
          <w:ilvl w:val="0"/>
          <w:numId w:val="19"/>
        </w:numPr>
        <w:tabs>
          <w:tab w:val="left" w:pos="1134"/>
        </w:tabs>
        <w:spacing w:after="0"/>
        <w:ind w:left="1134" w:hanging="567"/>
        <w:rPr>
          <w:b w:val="0"/>
          <w:szCs w:val="22"/>
        </w:rPr>
      </w:pPr>
      <w:r w:rsidRPr="004A3269">
        <w:rPr>
          <w:b w:val="0"/>
        </w:rPr>
        <w:t>3,4 </w:t>
      </w:r>
      <w:r w:rsidR="00465BB0" w:rsidRPr="004A3269">
        <w:rPr>
          <w:b w:val="0"/>
        </w:rPr>
        <w:t xml:space="preserve">millions de francs suisses ont été reclassés </w:t>
      </w:r>
      <w:r w:rsidR="006D41E4" w:rsidRPr="004A3269">
        <w:rPr>
          <w:b w:val="0"/>
        </w:rPr>
        <w:t>du poste D</w:t>
      </w:r>
      <w:r w:rsidR="0066624D" w:rsidRPr="004A3269">
        <w:rPr>
          <w:b w:val="0"/>
        </w:rPr>
        <w:t>épenses de fonctionnement au</w:t>
      </w:r>
      <w:r w:rsidR="006D41E4" w:rsidRPr="004A3269">
        <w:rPr>
          <w:b w:val="0"/>
        </w:rPr>
        <w:t xml:space="preserve"> poste C</w:t>
      </w:r>
      <w:r w:rsidR="0066624D" w:rsidRPr="004A3269">
        <w:rPr>
          <w:b w:val="0"/>
        </w:rPr>
        <w:t>oûts financiers</w:t>
      </w:r>
      <w:r w:rsidR="00465BB0" w:rsidRPr="004A3269">
        <w:rPr>
          <w:b w:val="0"/>
        </w:rPr>
        <w:t xml:space="preserve">, qui </w:t>
      </w:r>
      <w:r w:rsidR="006D41E4" w:rsidRPr="004A3269">
        <w:rPr>
          <w:b w:val="0"/>
        </w:rPr>
        <w:t>est maintenant présenté</w:t>
      </w:r>
      <w:r w:rsidR="00465BB0" w:rsidRPr="004A3269">
        <w:rPr>
          <w:b w:val="0"/>
        </w:rPr>
        <w:t xml:space="preserve"> séparément dans l</w:t>
      </w:r>
      <w:r w:rsidR="009021AA" w:rsidRPr="004A3269">
        <w:rPr>
          <w:b w:val="0"/>
        </w:rPr>
        <w:t>’</w:t>
      </w:r>
      <w:r w:rsidR="00465BB0" w:rsidRPr="004A3269">
        <w:rPr>
          <w:b w:val="0"/>
        </w:rPr>
        <w:t>état de la performance financière;</w:t>
      </w:r>
    </w:p>
    <w:p w:rsidR="00465BB0" w:rsidRPr="004A3269" w:rsidRDefault="008344E6" w:rsidP="00695FBE">
      <w:pPr>
        <w:pStyle w:val="Style3Bold"/>
        <w:numPr>
          <w:ilvl w:val="0"/>
          <w:numId w:val="19"/>
        </w:numPr>
        <w:tabs>
          <w:tab w:val="left" w:pos="1134"/>
        </w:tabs>
        <w:spacing w:after="0"/>
        <w:ind w:left="1134" w:hanging="567"/>
        <w:rPr>
          <w:b w:val="0"/>
          <w:szCs w:val="22"/>
        </w:rPr>
      </w:pPr>
      <w:r w:rsidRPr="004A3269">
        <w:rPr>
          <w:b w:val="0"/>
        </w:rPr>
        <w:t>0,5 </w:t>
      </w:r>
      <w:r w:rsidR="00465BB0" w:rsidRPr="004A3269">
        <w:rPr>
          <w:b w:val="0"/>
        </w:rPr>
        <w:t xml:space="preserve">million de francs suisses ont été reclassés </w:t>
      </w:r>
      <w:r w:rsidR="006D41E4" w:rsidRPr="004A3269">
        <w:rPr>
          <w:b w:val="0"/>
        </w:rPr>
        <w:t>du poste D</w:t>
      </w:r>
      <w:r w:rsidR="00465BB0" w:rsidRPr="004A3269">
        <w:rPr>
          <w:b w:val="0"/>
        </w:rPr>
        <w:t xml:space="preserve">épenses de personnel </w:t>
      </w:r>
      <w:r w:rsidR="006D41E4" w:rsidRPr="004A3269">
        <w:rPr>
          <w:b w:val="0"/>
        </w:rPr>
        <w:t>au poste S</w:t>
      </w:r>
      <w:r w:rsidR="00465BB0" w:rsidRPr="004A3269">
        <w:rPr>
          <w:b w:val="0"/>
        </w:rPr>
        <w:t>tagiaires et bourses de l</w:t>
      </w:r>
      <w:r w:rsidR="009021AA" w:rsidRPr="004A3269">
        <w:rPr>
          <w:b w:val="0"/>
        </w:rPr>
        <w:t>’</w:t>
      </w:r>
      <w:r w:rsidR="00465BB0" w:rsidRPr="004A3269">
        <w:rPr>
          <w:b w:val="0"/>
        </w:rPr>
        <w:t xml:space="preserve">OMPI, qui </w:t>
      </w:r>
      <w:r w:rsidR="006D41E4" w:rsidRPr="004A3269">
        <w:rPr>
          <w:b w:val="0"/>
        </w:rPr>
        <w:t>est maintenant présenté</w:t>
      </w:r>
      <w:r w:rsidR="00465BB0" w:rsidRPr="004A3269">
        <w:rPr>
          <w:b w:val="0"/>
        </w:rPr>
        <w:t xml:space="preserve"> séparément dans l</w:t>
      </w:r>
      <w:r w:rsidR="009021AA" w:rsidRPr="004A3269">
        <w:rPr>
          <w:b w:val="0"/>
        </w:rPr>
        <w:t>’</w:t>
      </w:r>
      <w:r w:rsidR="00465BB0" w:rsidRPr="004A3269">
        <w:rPr>
          <w:b w:val="0"/>
        </w:rPr>
        <w:t xml:space="preserve">état de la performance financière. </w:t>
      </w:r>
      <w:r w:rsidR="006D41E4" w:rsidRPr="004A3269">
        <w:rPr>
          <w:b w:val="0"/>
        </w:rPr>
        <w:t xml:space="preserve"> Il s</w:t>
      </w:r>
      <w:r w:rsidR="009021AA" w:rsidRPr="004A3269">
        <w:rPr>
          <w:b w:val="0"/>
        </w:rPr>
        <w:t>’</w:t>
      </w:r>
      <w:r w:rsidR="006D41E4" w:rsidRPr="004A3269">
        <w:rPr>
          <w:b w:val="0"/>
        </w:rPr>
        <w:t>agit du</w:t>
      </w:r>
      <w:r w:rsidR="00465BB0" w:rsidRPr="004A3269">
        <w:rPr>
          <w:b w:val="0"/>
        </w:rPr>
        <w:t xml:space="preserve"> coût des stagiaires, </w:t>
      </w:r>
      <w:r w:rsidR="006D41E4" w:rsidRPr="004A3269">
        <w:rPr>
          <w:b w:val="0"/>
        </w:rPr>
        <w:t>ces derniers</w:t>
      </w:r>
      <w:r w:rsidR="00465BB0" w:rsidRPr="004A3269">
        <w:rPr>
          <w:b w:val="0"/>
        </w:rPr>
        <w:t xml:space="preserve"> ne </w:t>
      </w:r>
      <w:r w:rsidR="006D41E4" w:rsidRPr="004A3269">
        <w:rPr>
          <w:b w:val="0"/>
        </w:rPr>
        <w:t xml:space="preserve">figurant plus dans les </w:t>
      </w:r>
      <w:r w:rsidR="00465BB0" w:rsidRPr="004A3269">
        <w:rPr>
          <w:b w:val="0"/>
        </w:rPr>
        <w:t xml:space="preserve">dépenses de personnel afin de </w:t>
      </w:r>
      <w:r w:rsidR="006D41E4" w:rsidRPr="004A3269">
        <w:rPr>
          <w:b w:val="0"/>
        </w:rPr>
        <w:t>mieux rendre compte de</w:t>
      </w:r>
      <w:r w:rsidR="00465BB0" w:rsidRPr="004A3269">
        <w:rPr>
          <w:b w:val="0"/>
        </w:rPr>
        <w:t xml:space="preserve"> la nature de la relation de ces personnes avec l</w:t>
      </w:r>
      <w:r w:rsidR="009021AA" w:rsidRPr="004A3269">
        <w:rPr>
          <w:b w:val="0"/>
        </w:rPr>
        <w:t>’</w:t>
      </w:r>
      <w:r w:rsidR="00465BB0" w:rsidRPr="004A3269">
        <w:rPr>
          <w:b w:val="0"/>
        </w:rPr>
        <w:t>Organisation;</w:t>
      </w:r>
    </w:p>
    <w:p w:rsidR="00465BB0" w:rsidRPr="004A3269" w:rsidRDefault="008344E6" w:rsidP="00695FBE">
      <w:pPr>
        <w:pStyle w:val="Style3Bold"/>
        <w:numPr>
          <w:ilvl w:val="0"/>
          <w:numId w:val="19"/>
        </w:numPr>
        <w:tabs>
          <w:tab w:val="left" w:pos="1134"/>
        </w:tabs>
        <w:spacing w:after="0"/>
        <w:ind w:left="1134" w:hanging="567"/>
        <w:rPr>
          <w:b w:val="0"/>
          <w:szCs w:val="22"/>
        </w:rPr>
      </w:pPr>
      <w:r w:rsidRPr="004A3269">
        <w:rPr>
          <w:b w:val="0"/>
        </w:rPr>
        <w:lastRenderedPageBreak/>
        <w:t>1,3 million</w:t>
      </w:r>
      <w:r w:rsidR="00465BB0" w:rsidRPr="004A3269">
        <w:rPr>
          <w:b w:val="0"/>
        </w:rPr>
        <w:t xml:space="preserve"> de francs suisses </w:t>
      </w:r>
      <w:r w:rsidR="006D41E4" w:rsidRPr="004A3269">
        <w:rPr>
          <w:b w:val="0"/>
        </w:rPr>
        <w:t xml:space="preserve">ont été reclassés du poste Voyages </w:t>
      </w:r>
      <w:r w:rsidR="00465BB0" w:rsidRPr="004A3269">
        <w:rPr>
          <w:b w:val="0"/>
        </w:rPr>
        <w:t xml:space="preserve">et bourses </w:t>
      </w:r>
      <w:r w:rsidR="006D41E4" w:rsidRPr="004A3269">
        <w:rPr>
          <w:b w:val="0"/>
        </w:rPr>
        <w:t>au poste S</w:t>
      </w:r>
      <w:r w:rsidR="00465BB0" w:rsidRPr="004A3269">
        <w:rPr>
          <w:b w:val="0"/>
        </w:rPr>
        <w:t>tagiaires et bourses de l</w:t>
      </w:r>
      <w:r w:rsidR="009021AA" w:rsidRPr="004A3269">
        <w:rPr>
          <w:b w:val="0"/>
        </w:rPr>
        <w:t>’</w:t>
      </w:r>
      <w:r w:rsidR="00465BB0" w:rsidRPr="004A3269">
        <w:rPr>
          <w:b w:val="0"/>
        </w:rPr>
        <w:t xml:space="preserve">OMPI, qui </w:t>
      </w:r>
      <w:r w:rsidR="006D41E4" w:rsidRPr="004A3269">
        <w:rPr>
          <w:b w:val="0"/>
        </w:rPr>
        <w:t>est</w:t>
      </w:r>
      <w:r w:rsidR="00465BB0" w:rsidRPr="004A3269">
        <w:rPr>
          <w:b w:val="0"/>
        </w:rPr>
        <w:t xml:space="preserve"> maintenant présenté séparément dans l</w:t>
      </w:r>
      <w:r w:rsidR="009021AA" w:rsidRPr="004A3269">
        <w:rPr>
          <w:b w:val="0"/>
        </w:rPr>
        <w:t>’</w:t>
      </w:r>
      <w:r w:rsidR="00465BB0" w:rsidRPr="004A3269">
        <w:rPr>
          <w:b w:val="0"/>
        </w:rPr>
        <w:t>état de la performance financière.</w:t>
      </w:r>
      <w:r w:rsidR="006D41E4" w:rsidRPr="004A3269">
        <w:rPr>
          <w:b w:val="0"/>
        </w:rPr>
        <w:t xml:space="preserve"> </w:t>
      </w:r>
      <w:r w:rsidR="00465BB0" w:rsidRPr="004A3269">
        <w:rPr>
          <w:b w:val="0"/>
        </w:rPr>
        <w:t xml:space="preserve"> Auparavant</w:t>
      </w:r>
      <w:r w:rsidR="006D41E4" w:rsidRPr="004A3269">
        <w:rPr>
          <w:b w:val="0"/>
        </w:rPr>
        <w:t>,</w:t>
      </w:r>
      <w:r w:rsidR="00465BB0" w:rsidRPr="004A3269">
        <w:rPr>
          <w:b w:val="0"/>
        </w:rPr>
        <w:t xml:space="preserve"> une </w:t>
      </w:r>
      <w:r w:rsidR="006D41E4" w:rsidRPr="004A3269">
        <w:rPr>
          <w:b w:val="0"/>
        </w:rPr>
        <w:t xml:space="preserve">seule </w:t>
      </w:r>
      <w:r w:rsidR="00465BB0" w:rsidRPr="004A3269">
        <w:rPr>
          <w:b w:val="0"/>
        </w:rPr>
        <w:t xml:space="preserve">catégorie de bourses </w:t>
      </w:r>
      <w:r w:rsidR="006D41E4" w:rsidRPr="004A3269">
        <w:rPr>
          <w:b w:val="0"/>
        </w:rPr>
        <w:t>figurait dans le poste Voyages et bourses</w:t>
      </w:r>
      <w:r w:rsidR="00465BB0" w:rsidRPr="004A3269">
        <w:rPr>
          <w:b w:val="0"/>
        </w:rPr>
        <w:t xml:space="preserve">, mais </w:t>
      </w:r>
      <w:r w:rsidR="00E13EAF" w:rsidRPr="004A3269">
        <w:rPr>
          <w:b w:val="0"/>
        </w:rPr>
        <w:t>depuis</w:t>
      </w:r>
      <w:r w:rsidR="00465BB0" w:rsidRPr="004A3269">
        <w:rPr>
          <w:b w:val="0"/>
        </w:rPr>
        <w:t xml:space="preserve"> la mise en œuvre de la réforme contractuelle de l</w:t>
      </w:r>
      <w:r w:rsidR="009021AA" w:rsidRPr="004A3269">
        <w:rPr>
          <w:b w:val="0"/>
        </w:rPr>
        <w:t>’</w:t>
      </w:r>
      <w:r w:rsidR="00465BB0" w:rsidRPr="004A3269">
        <w:rPr>
          <w:b w:val="0"/>
        </w:rPr>
        <w:t xml:space="preserve">Organisation, </w:t>
      </w:r>
      <w:r w:rsidR="00E13EAF" w:rsidRPr="004A3269">
        <w:rPr>
          <w:b w:val="0"/>
        </w:rPr>
        <w:t xml:space="preserve">il existe </w:t>
      </w:r>
      <w:r w:rsidR="00465BB0" w:rsidRPr="004A3269">
        <w:rPr>
          <w:b w:val="0"/>
        </w:rPr>
        <w:t>d</w:t>
      </w:r>
      <w:r w:rsidR="006D41E4" w:rsidRPr="004A3269">
        <w:rPr>
          <w:b w:val="0"/>
        </w:rPr>
        <w:t>eux </w:t>
      </w:r>
      <w:r w:rsidR="00E13EAF" w:rsidRPr="004A3269">
        <w:rPr>
          <w:b w:val="0"/>
        </w:rPr>
        <w:t xml:space="preserve">catégories de bourses, </w:t>
      </w:r>
      <w:r w:rsidR="009021AA" w:rsidRPr="004A3269">
        <w:rPr>
          <w:b w:val="0"/>
        </w:rPr>
        <w:t>à savoir</w:t>
      </w:r>
      <w:r w:rsidR="00E13EAF" w:rsidRPr="004A3269">
        <w:rPr>
          <w:b w:val="0"/>
        </w:rPr>
        <w:t xml:space="preserve"> les bourses de l</w:t>
      </w:r>
      <w:r w:rsidR="009021AA" w:rsidRPr="004A3269">
        <w:rPr>
          <w:b w:val="0"/>
        </w:rPr>
        <w:t>’</w:t>
      </w:r>
      <w:r w:rsidR="00E13EAF" w:rsidRPr="004A3269">
        <w:rPr>
          <w:b w:val="0"/>
        </w:rPr>
        <w:t xml:space="preserve">OMPI et les </w:t>
      </w:r>
      <w:r w:rsidR="00D9341B" w:rsidRPr="004A3269">
        <w:rPr>
          <w:b w:val="0"/>
        </w:rPr>
        <w:t xml:space="preserve">autres </w:t>
      </w:r>
      <w:r w:rsidR="00E13EAF" w:rsidRPr="004A3269">
        <w:rPr>
          <w:b w:val="0"/>
        </w:rPr>
        <w:t xml:space="preserve">bourses, </w:t>
      </w:r>
      <w:r w:rsidR="00465BB0" w:rsidRPr="004A3269">
        <w:rPr>
          <w:b w:val="0"/>
        </w:rPr>
        <w:t>nécessit</w:t>
      </w:r>
      <w:r w:rsidR="00E13EAF" w:rsidRPr="004A3269">
        <w:rPr>
          <w:b w:val="0"/>
        </w:rPr>
        <w:t xml:space="preserve">ant une comptabilisation séparée. </w:t>
      </w:r>
      <w:r w:rsidR="006D41E4" w:rsidRPr="004A3269">
        <w:rPr>
          <w:b w:val="0"/>
        </w:rPr>
        <w:t xml:space="preserve"> </w:t>
      </w:r>
      <w:r w:rsidR="00E13EAF" w:rsidRPr="004A3269">
        <w:rPr>
          <w:b w:val="0"/>
        </w:rPr>
        <w:t xml:space="preserve">Les </w:t>
      </w:r>
      <w:r w:rsidR="00D9341B" w:rsidRPr="004A3269">
        <w:rPr>
          <w:b w:val="0"/>
        </w:rPr>
        <w:t xml:space="preserve">autres </w:t>
      </w:r>
      <w:r w:rsidR="00E13EAF" w:rsidRPr="004A3269">
        <w:rPr>
          <w:b w:val="0"/>
        </w:rPr>
        <w:t>bourses continuent de faire partie du poste Voyages et bourses</w:t>
      </w:r>
      <w:r w:rsidR="00465BB0" w:rsidRPr="004A3269">
        <w:rPr>
          <w:b w:val="0"/>
        </w:rPr>
        <w:t>;</w:t>
      </w:r>
    </w:p>
    <w:p w:rsidR="00465BB0" w:rsidRPr="004A3269" w:rsidRDefault="00465BB0" w:rsidP="00695FBE">
      <w:pPr>
        <w:pStyle w:val="Style3Bold"/>
        <w:numPr>
          <w:ilvl w:val="0"/>
          <w:numId w:val="19"/>
        </w:numPr>
        <w:tabs>
          <w:tab w:val="left" w:pos="1134"/>
        </w:tabs>
        <w:spacing w:after="0"/>
        <w:ind w:left="1134" w:hanging="567"/>
        <w:rPr>
          <w:b w:val="0"/>
        </w:rPr>
      </w:pPr>
      <w:r w:rsidRPr="004A3269">
        <w:rPr>
          <w:b w:val="0"/>
        </w:rPr>
        <w:t>Dans l</w:t>
      </w:r>
      <w:r w:rsidR="009021AA" w:rsidRPr="004A3269">
        <w:rPr>
          <w:b w:val="0"/>
        </w:rPr>
        <w:t>’</w:t>
      </w:r>
      <w:r w:rsidRPr="004A3269">
        <w:rPr>
          <w:b w:val="0"/>
        </w:rPr>
        <w:t xml:space="preserve">état de la situation financière, </w:t>
      </w:r>
      <w:r w:rsidR="00E13EAF" w:rsidRPr="004A3269">
        <w:rPr>
          <w:b w:val="0"/>
        </w:rPr>
        <w:t xml:space="preserve">les </w:t>
      </w:r>
      <w:r w:rsidRPr="004A3269">
        <w:rPr>
          <w:b w:val="0"/>
        </w:rPr>
        <w:t>3,1</w:t>
      </w:r>
      <w:r w:rsidR="008344E6" w:rsidRPr="004A3269">
        <w:rPr>
          <w:b w:val="0"/>
        </w:rPr>
        <w:t> </w:t>
      </w:r>
      <w:r w:rsidRPr="004A3269">
        <w:rPr>
          <w:b w:val="0"/>
        </w:rPr>
        <w:t>millions de francs suisses rela</w:t>
      </w:r>
      <w:r w:rsidR="00E13EAF" w:rsidRPr="004A3269">
        <w:rPr>
          <w:b w:val="0"/>
        </w:rPr>
        <w:t>tif</w:t>
      </w:r>
      <w:r w:rsidRPr="004A3269">
        <w:rPr>
          <w:b w:val="0"/>
        </w:rPr>
        <w:t xml:space="preserve">s </w:t>
      </w:r>
      <w:r w:rsidR="00E13EAF" w:rsidRPr="004A3269">
        <w:rPr>
          <w:b w:val="0"/>
        </w:rPr>
        <w:t>aux impôts des États</w:t>
      </w:r>
      <w:r w:rsidR="00A17552" w:rsidRPr="004A3269">
        <w:rPr>
          <w:b w:val="0"/>
        </w:rPr>
        <w:noBreakHyphen/>
      </w:r>
      <w:r w:rsidR="00E13EAF" w:rsidRPr="004A3269">
        <w:rPr>
          <w:b w:val="0"/>
        </w:rPr>
        <w:t>Unis d</w:t>
      </w:r>
      <w:r w:rsidR="009021AA" w:rsidRPr="004A3269">
        <w:rPr>
          <w:b w:val="0"/>
        </w:rPr>
        <w:t>’</w:t>
      </w:r>
      <w:r w:rsidR="00E13EAF" w:rsidRPr="004A3269">
        <w:rPr>
          <w:b w:val="0"/>
        </w:rPr>
        <w:t>Amérique remboursables</w:t>
      </w:r>
      <w:r w:rsidRPr="004A3269">
        <w:rPr>
          <w:b w:val="0"/>
        </w:rPr>
        <w:t xml:space="preserve"> ont été reclassés </w:t>
      </w:r>
      <w:r w:rsidR="00E13EAF" w:rsidRPr="004A3269">
        <w:rPr>
          <w:b w:val="0"/>
        </w:rPr>
        <w:t xml:space="preserve">de comptes </w:t>
      </w:r>
      <w:r w:rsidR="00763A08" w:rsidRPr="004A3269">
        <w:rPr>
          <w:b w:val="0"/>
        </w:rPr>
        <w:t xml:space="preserve">de débiteurs </w:t>
      </w:r>
      <w:r w:rsidR="00E13EAF" w:rsidRPr="004A3269">
        <w:rPr>
          <w:b w:val="0"/>
        </w:rPr>
        <w:t>courants en comptes</w:t>
      </w:r>
      <w:r w:rsidR="00763A08" w:rsidRPr="004A3269">
        <w:rPr>
          <w:b w:val="0"/>
        </w:rPr>
        <w:t xml:space="preserve"> de débiteurs</w:t>
      </w:r>
      <w:r w:rsidR="00E13EAF" w:rsidRPr="004A3269">
        <w:rPr>
          <w:b w:val="0"/>
        </w:rPr>
        <w:t xml:space="preserve"> non courants</w:t>
      </w:r>
      <w:r w:rsidRPr="004A3269">
        <w:rPr>
          <w:b w:val="0"/>
        </w:rPr>
        <w:t xml:space="preserve"> (opérations de change);</w:t>
      </w:r>
    </w:p>
    <w:p w:rsidR="00267140" w:rsidRPr="004A3269" w:rsidRDefault="00465BB0" w:rsidP="00695FBE">
      <w:pPr>
        <w:pStyle w:val="Style3Bold"/>
        <w:numPr>
          <w:ilvl w:val="0"/>
          <w:numId w:val="19"/>
        </w:numPr>
        <w:tabs>
          <w:tab w:val="left" w:pos="1134"/>
        </w:tabs>
        <w:spacing w:after="0"/>
        <w:ind w:left="1134" w:hanging="567"/>
        <w:rPr>
          <w:b w:val="0"/>
        </w:rPr>
      </w:pPr>
      <w:r w:rsidRPr="004A3269">
        <w:rPr>
          <w:b w:val="0"/>
        </w:rPr>
        <w:t>Dans l</w:t>
      </w:r>
      <w:r w:rsidR="009021AA" w:rsidRPr="004A3269">
        <w:rPr>
          <w:b w:val="0"/>
        </w:rPr>
        <w:t>’</w:t>
      </w:r>
      <w:r w:rsidRPr="004A3269">
        <w:rPr>
          <w:b w:val="0"/>
        </w:rPr>
        <w:t xml:space="preserve">état de </w:t>
      </w:r>
      <w:r w:rsidR="008344E6" w:rsidRPr="004A3269">
        <w:rPr>
          <w:b w:val="0"/>
        </w:rPr>
        <w:t xml:space="preserve">la situation financière, </w:t>
      </w:r>
      <w:r w:rsidR="001822A4" w:rsidRPr="004A3269">
        <w:rPr>
          <w:b w:val="0"/>
        </w:rPr>
        <w:t>les</w:t>
      </w:r>
      <w:r w:rsidR="008344E6" w:rsidRPr="004A3269">
        <w:rPr>
          <w:b w:val="0"/>
        </w:rPr>
        <w:t xml:space="preserve"> 0,1 million</w:t>
      </w:r>
      <w:r w:rsidRPr="004A3269">
        <w:rPr>
          <w:b w:val="0"/>
        </w:rPr>
        <w:t xml:space="preserve"> de francs suisses </w:t>
      </w:r>
      <w:r w:rsidR="001822A4" w:rsidRPr="004A3269">
        <w:rPr>
          <w:b w:val="0"/>
        </w:rPr>
        <w:t xml:space="preserve">relatifs aux prestations versées </w:t>
      </w:r>
      <w:r w:rsidR="00E1450E" w:rsidRPr="004A3269">
        <w:rPr>
          <w:b w:val="0"/>
        </w:rPr>
        <w:t xml:space="preserve">pour la cessation de service </w:t>
      </w:r>
      <w:r w:rsidR="001822A4" w:rsidRPr="004A3269">
        <w:rPr>
          <w:b w:val="0"/>
        </w:rPr>
        <w:t>ont</w:t>
      </w:r>
      <w:r w:rsidRPr="004A3269">
        <w:rPr>
          <w:b w:val="0"/>
        </w:rPr>
        <w:t xml:space="preserve"> été r</w:t>
      </w:r>
      <w:r w:rsidR="001822A4" w:rsidRPr="004A3269">
        <w:rPr>
          <w:b w:val="0"/>
        </w:rPr>
        <w:t>eclassés de comptes</w:t>
      </w:r>
      <w:r w:rsidRPr="004A3269">
        <w:rPr>
          <w:b w:val="0"/>
        </w:rPr>
        <w:t xml:space="preserve"> débiteurs (opérations de change) </w:t>
      </w:r>
      <w:r w:rsidR="001822A4" w:rsidRPr="004A3269">
        <w:rPr>
          <w:b w:val="0"/>
        </w:rPr>
        <w:t>en prestations au personnel</w:t>
      </w:r>
      <w:r w:rsidRPr="004A3269">
        <w:rPr>
          <w:b w:val="0"/>
        </w:rPr>
        <w:t>.</w:t>
      </w:r>
    </w:p>
    <w:p w:rsidR="00267140" w:rsidRPr="004A3269" w:rsidRDefault="00267140" w:rsidP="00333CA7">
      <w:pPr>
        <w:pStyle w:val="Style3Bold"/>
        <w:spacing w:after="0"/>
        <w:rPr>
          <w:b w:val="0"/>
          <w:szCs w:val="22"/>
        </w:rPr>
      </w:pPr>
    </w:p>
    <w:p w:rsidR="00267140" w:rsidRPr="004A3269" w:rsidRDefault="00FC49E0" w:rsidP="00FC49E0">
      <w:pPr>
        <w:pStyle w:val="Style3Bold"/>
        <w:spacing w:after="0"/>
        <w:rPr>
          <w:b w:val="0"/>
          <w:szCs w:val="22"/>
        </w:rPr>
      </w:pPr>
      <w:r w:rsidRPr="004A3269">
        <w:rPr>
          <w:szCs w:val="22"/>
        </w:rPr>
        <w:t>Utilisation d</w:t>
      </w:r>
      <w:r w:rsidR="009021AA" w:rsidRPr="004A3269">
        <w:rPr>
          <w:szCs w:val="22"/>
        </w:rPr>
        <w:t>’</w:t>
      </w:r>
      <w:r w:rsidRPr="004A3269">
        <w:rPr>
          <w:szCs w:val="22"/>
        </w:rPr>
        <w:t>estimations</w:t>
      </w:r>
    </w:p>
    <w:p w:rsidR="00267140" w:rsidRPr="004A3269" w:rsidRDefault="00267140" w:rsidP="00333CA7">
      <w:pPr>
        <w:jc w:val="both"/>
        <w:rPr>
          <w:szCs w:val="22"/>
        </w:rPr>
      </w:pPr>
    </w:p>
    <w:p w:rsidR="00267140" w:rsidRPr="004A3269" w:rsidRDefault="00FC49E0" w:rsidP="00FC49E0">
      <w:pPr>
        <w:pStyle w:val="Style3"/>
        <w:spacing w:after="0"/>
        <w:rPr>
          <w:szCs w:val="22"/>
        </w:rPr>
      </w:pPr>
      <w:r w:rsidRPr="004A3269">
        <w:rPr>
          <w:szCs w:val="22"/>
        </w:rPr>
        <w:t>Les états financiers incluent nécessairement des montants fondés sur des estimations et des hypothèses établies par la direction.</w:t>
      </w:r>
      <w:r w:rsidR="00333CA7" w:rsidRPr="004A3269">
        <w:t xml:space="preserve"> </w:t>
      </w:r>
      <w:r w:rsidR="00206022" w:rsidRPr="004A3269">
        <w:t xml:space="preserve"> </w:t>
      </w:r>
      <w:r w:rsidRPr="004A3269">
        <w:rPr>
          <w:szCs w:val="22"/>
        </w:rPr>
        <w:t>Les estimations prennent en considération, mais pas uniquement, l</w:t>
      </w:r>
      <w:r w:rsidR="009021AA" w:rsidRPr="004A3269">
        <w:rPr>
          <w:szCs w:val="22"/>
        </w:rPr>
        <w:t>’</w:t>
      </w:r>
      <w:r w:rsidRPr="004A3269">
        <w:rPr>
          <w:szCs w:val="22"/>
        </w:rPr>
        <w:t>assurance</w:t>
      </w:r>
      <w:r w:rsidR="00A17552" w:rsidRPr="004A3269">
        <w:rPr>
          <w:szCs w:val="22"/>
        </w:rPr>
        <w:noBreakHyphen/>
      </w:r>
      <w:r w:rsidRPr="004A3269">
        <w:rPr>
          <w:szCs w:val="22"/>
        </w:rPr>
        <w:t>maladie finançant des prestations définies et d</w:t>
      </w:r>
      <w:r w:rsidR="009021AA" w:rsidRPr="004A3269">
        <w:rPr>
          <w:szCs w:val="22"/>
        </w:rPr>
        <w:t>’</w:t>
      </w:r>
      <w:r w:rsidRPr="004A3269">
        <w:rPr>
          <w:szCs w:val="22"/>
        </w:rPr>
        <w:t>autres obligations relatives aux prestations au personnel post</w:t>
      </w:r>
      <w:r w:rsidR="00A17552" w:rsidRPr="004A3269">
        <w:rPr>
          <w:szCs w:val="22"/>
        </w:rPr>
        <w:noBreakHyphen/>
      </w:r>
      <w:r w:rsidRPr="004A3269">
        <w:rPr>
          <w:szCs w:val="22"/>
        </w:rPr>
        <w:t>emploi (dont la valeur est calculée par un actuaire indépendant), les provisions pour les procédures judiciaires, l</w:t>
      </w:r>
      <w:r w:rsidR="009021AA" w:rsidRPr="004A3269">
        <w:rPr>
          <w:szCs w:val="22"/>
        </w:rPr>
        <w:t>’</w:t>
      </w:r>
      <w:r w:rsidRPr="004A3269">
        <w:rPr>
          <w:szCs w:val="22"/>
        </w:rPr>
        <w:t>évaluation des stocks de publications, le risque financier portant sur des comptes de débiteurs, les charges à payer et le degré de dépréciation des immobilisations.</w:t>
      </w:r>
      <w:r w:rsidR="00333CA7" w:rsidRPr="004A3269">
        <w:t xml:space="preserve">  </w:t>
      </w:r>
      <w:r w:rsidRPr="004A3269">
        <w:rPr>
          <w:szCs w:val="22"/>
        </w:rPr>
        <w:t>Les résultats réels peuvent s</w:t>
      </w:r>
      <w:r w:rsidR="009021AA" w:rsidRPr="004A3269">
        <w:rPr>
          <w:szCs w:val="22"/>
        </w:rPr>
        <w:t>’</w:t>
      </w:r>
      <w:r w:rsidRPr="004A3269">
        <w:rPr>
          <w:szCs w:val="22"/>
        </w:rPr>
        <w:t>écarter de ces estimations.</w:t>
      </w:r>
      <w:r w:rsidR="00333CA7" w:rsidRPr="004A3269">
        <w:t xml:space="preserve"> </w:t>
      </w:r>
      <w:r w:rsidR="0048551E" w:rsidRPr="004A3269">
        <w:t xml:space="preserve"> </w:t>
      </w:r>
      <w:r w:rsidRPr="004A3269">
        <w:rPr>
          <w:szCs w:val="22"/>
        </w:rPr>
        <w:t>L</w:t>
      </w:r>
      <w:r w:rsidR="009021AA" w:rsidRPr="004A3269">
        <w:rPr>
          <w:szCs w:val="22"/>
        </w:rPr>
        <w:t>’</w:t>
      </w:r>
      <w:r w:rsidRPr="004A3269">
        <w:rPr>
          <w:szCs w:val="22"/>
        </w:rPr>
        <w:t>évolution des estimations est répercutée au cours de l</w:t>
      </w:r>
      <w:r w:rsidR="009021AA" w:rsidRPr="004A3269">
        <w:rPr>
          <w:szCs w:val="22"/>
        </w:rPr>
        <w:t>’</w:t>
      </w:r>
      <w:r w:rsidRPr="004A3269">
        <w:rPr>
          <w:szCs w:val="22"/>
        </w:rPr>
        <w:t>exercice concerné.</w:t>
      </w:r>
    </w:p>
    <w:p w:rsidR="00267140" w:rsidRPr="004A3269" w:rsidRDefault="00267140" w:rsidP="00333CA7">
      <w:pPr>
        <w:pStyle w:val="Style3"/>
        <w:spacing w:after="0"/>
        <w:rPr>
          <w:szCs w:val="22"/>
        </w:rPr>
      </w:pPr>
    </w:p>
    <w:p w:rsidR="00267140" w:rsidRPr="004A3269" w:rsidRDefault="00FC49E0" w:rsidP="00FC49E0">
      <w:pPr>
        <w:pStyle w:val="Style3Bold"/>
        <w:spacing w:after="0"/>
        <w:rPr>
          <w:b w:val="0"/>
          <w:szCs w:val="22"/>
        </w:rPr>
      </w:pPr>
      <w:r w:rsidRPr="004A3269">
        <w:rPr>
          <w:b w:val="0"/>
          <w:szCs w:val="22"/>
        </w:rPr>
        <w:t>Tous les soldes sont libellés en milliers de francs suisses, ce pour quoi il peut y avoir de petites différences lorsque les chiffres sont arrondis.</w:t>
      </w:r>
    </w:p>
    <w:p w:rsidR="00B7582E" w:rsidRPr="00B7582E" w:rsidRDefault="00B7582E" w:rsidP="00B7582E"/>
    <w:p w:rsidR="00B7582E" w:rsidRPr="00B7582E" w:rsidRDefault="00B7582E" w:rsidP="00B7582E"/>
    <w:p w:rsidR="00267140" w:rsidRPr="004A3269" w:rsidRDefault="00206022" w:rsidP="00206022">
      <w:pPr>
        <w:pStyle w:val="StyleHeading211ptNotBoldNotItalicAllcaps"/>
        <w:tabs>
          <w:tab w:val="left" w:pos="1701"/>
        </w:tabs>
        <w:spacing w:before="0" w:after="0"/>
        <w:rPr>
          <w:szCs w:val="22"/>
        </w:rPr>
      </w:pPr>
      <w:r w:rsidRPr="004A3269">
        <w:rPr>
          <w:b/>
          <w:i w:val="0"/>
        </w:rPr>
        <w:t>NOTE N°</w:t>
      </w:r>
      <w:r w:rsidRPr="004A3269">
        <w:rPr>
          <w:i w:val="0"/>
        </w:rPr>
        <w:t> </w:t>
      </w:r>
      <w:r w:rsidRPr="004A3269">
        <w:rPr>
          <w:b/>
          <w:i w:val="0"/>
        </w:rPr>
        <w:t>3</w:t>
      </w:r>
      <w:r w:rsidR="00A0797A" w:rsidRPr="004A3269">
        <w:rPr>
          <w:i w:val="0"/>
        </w:rPr>
        <w:t> :</w:t>
      </w:r>
      <w:r w:rsidRPr="004A3269">
        <w:rPr>
          <w:b/>
          <w:i w:val="0"/>
        </w:rPr>
        <w:t xml:space="preserve"> </w:t>
      </w:r>
      <w:r w:rsidRPr="004A3269">
        <w:rPr>
          <w:b/>
          <w:i w:val="0"/>
        </w:rPr>
        <w:tab/>
        <w:t>TRÉSORERIE ET ÉQUIVALENTS DE TRÉSORERIE</w:t>
      </w:r>
    </w:p>
    <w:p w:rsidR="00267140" w:rsidRPr="004A3269" w:rsidRDefault="00267140" w:rsidP="00901633">
      <w:pPr>
        <w:jc w:val="both"/>
        <w:rPr>
          <w:sz w:val="20"/>
        </w:rPr>
      </w:pPr>
      <w:bookmarkStart w:id="9" w:name="OLE_LINK3"/>
      <w:bookmarkStart w:id="10" w:name="OLE_LINK4"/>
    </w:p>
    <w:bookmarkEnd w:id="9"/>
    <w:bookmarkEnd w:id="10"/>
    <w:p w:rsidR="00267140" w:rsidRPr="004A3269" w:rsidRDefault="007373BF" w:rsidP="007C6D77">
      <w:pPr>
        <w:pStyle w:val="Style3"/>
        <w:spacing w:after="0"/>
        <w:rPr>
          <w:szCs w:val="22"/>
        </w:rPr>
      </w:pPr>
      <w:r w:rsidRPr="004A3269">
        <w:rPr>
          <w:noProof/>
          <w:lang w:val="en-US"/>
        </w:rPr>
        <w:drawing>
          <wp:inline distT="0" distB="0" distL="0" distR="0" wp14:anchorId="6FD83229" wp14:editId="54093240">
            <wp:extent cx="5977255" cy="2861195"/>
            <wp:effectExtent l="0" t="0" r="444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77255" cy="2861195"/>
                    </a:xfrm>
                    <a:prstGeom prst="rect">
                      <a:avLst/>
                    </a:prstGeom>
                    <a:noFill/>
                    <a:ln>
                      <a:noFill/>
                    </a:ln>
                  </pic:spPr>
                </pic:pic>
              </a:graphicData>
            </a:graphic>
          </wp:inline>
        </w:drawing>
      </w:r>
    </w:p>
    <w:p w:rsidR="007373BF" w:rsidRPr="004A3269" w:rsidRDefault="007373BF" w:rsidP="007C6D77">
      <w:pPr>
        <w:pStyle w:val="Style3"/>
        <w:spacing w:after="0"/>
        <w:rPr>
          <w:szCs w:val="22"/>
        </w:rPr>
      </w:pPr>
    </w:p>
    <w:p w:rsidR="00014943" w:rsidRPr="004A3269" w:rsidRDefault="00CD3DEA" w:rsidP="00014943">
      <w:pPr>
        <w:pStyle w:val="Style3"/>
        <w:spacing w:after="0"/>
      </w:pPr>
      <w:r w:rsidRPr="004A3269">
        <w:rPr>
          <w:szCs w:val="22"/>
        </w:rPr>
        <w:t>Les avoirs sont généralement placés sur des comptes bancaires à accès immédiat et des comptes rémunérés.</w:t>
      </w:r>
      <w:r w:rsidR="00686D94" w:rsidRPr="004A3269">
        <w:t xml:space="preserve"> </w:t>
      </w:r>
      <w:r w:rsidR="00206022" w:rsidRPr="004A3269">
        <w:t xml:space="preserve"> </w:t>
      </w:r>
      <w:r w:rsidR="00106982" w:rsidRPr="004A3269">
        <w:t>Le taux d</w:t>
      </w:r>
      <w:r w:rsidR="009021AA" w:rsidRPr="004A3269">
        <w:t>’</w:t>
      </w:r>
      <w:r w:rsidR="00106982" w:rsidRPr="004A3269">
        <w:t>intérêt moyen servi sur des</w:t>
      </w:r>
      <w:r w:rsidR="009D3322" w:rsidRPr="004A3269">
        <w:t xml:space="preserve"> comptes </w:t>
      </w:r>
      <w:r w:rsidR="00106982" w:rsidRPr="004A3269">
        <w:t xml:space="preserve">et des placements </w:t>
      </w:r>
      <w:r w:rsidR="009D3322" w:rsidRPr="004A3269">
        <w:t xml:space="preserve">rémunérés détenus </w:t>
      </w:r>
      <w:r w:rsidR="00106982" w:rsidRPr="004A3269">
        <w:t>auprès de</w:t>
      </w:r>
      <w:r w:rsidR="009D3322" w:rsidRPr="004A3269">
        <w:t xml:space="preserve"> l</w:t>
      </w:r>
      <w:r w:rsidR="009021AA" w:rsidRPr="004A3269">
        <w:t>’</w:t>
      </w:r>
      <w:r w:rsidR="009D3322" w:rsidRPr="004A3269">
        <w:t xml:space="preserve">Administration fédérale des finances (AFF) </w:t>
      </w:r>
      <w:r w:rsidR="00106982" w:rsidRPr="004A3269">
        <w:t>était de</w:t>
      </w:r>
      <w:r w:rsidR="00014943" w:rsidRPr="004A3269">
        <w:t xml:space="preserve"> 0,421</w:t>
      </w:r>
      <w:r w:rsidR="009D3322" w:rsidRPr="004A3269">
        <w:t>% en </w:t>
      </w:r>
      <w:r w:rsidR="00014943" w:rsidRPr="004A3269">
        <w:t>2014 [0,558</w:t>
      </w:r>
      <w:r w:rsidR="009D3322" w:rsidRPr="004A3269">
        <w:t>% en </w:t>
      </w:r>
      <w:r w:rsidR="00014943" w:rsidRPr="004A3269">
        <w:t xml:space="preserve">2013]. </w:t>
      </w:r>
      <w:r w:rsidR="00106982" w:rsidRPr="004A3269">
        <w:t xml:space="preserve"> </w:t>
      </w:r>
      <w:r w:rsidR="00014943" w:rsidRPr="004A3269">
        <w:t>Suite à la mise en œuvre des nouvell</w:t>
      </w:r>
      <w:r w:rsidR="00495017" w:rsidRPr="004A3269">
        <w:t>es dispositions de l</w:t>
      </w:r>
      <w:r w:rsidR="009021AA" w:rsidRPr="004A3269">
        <w:t>’</w:t>
      </w:r>
      <w:r w:rsidR="00495017" w:rsidRPr="004A3269">
        <w:t xml:space="preserve">AFF </w:t>
      </w:r>
      <w:r w:rsidR="00495017" w:rsidRPr="004A3269">
        <w:lastRenderedPageBreak/>
        <w:t>relative</w:t>
      </w:r>
      <w:r w:rsidR="00014943" w:rsidRPr="004A3269">
        <w:t>s à l</w:t>
      </w:r>
      <w:r w:rsidR="009021AA" w:rsidRPr="004A3269">
        <w:t>’</w:t>
      </w:r>
      <w:r w:rsidR="00014943" w:rsidRPr="004A3269">
        <w:t xml:space="preserve">ouverture et </w:t>
      </w:r>
      <w:r w:rsidR="00495017" w:rsidRPr="004A3269">
        <w:t>à la tenue de</w:t>
      </w:r>
      <w:r w:rsidR="00014943" w:rsidRPr="004A3269">
        <w:t xml:space="preserve"> comptes </w:t>
      </w:r>
      <w:r w:rsidR="00495017" w:rsidRPr="004A3269">
        <w:t>de dépôt, à partir de la fin de l</w:t>
      </w:r>
      <w:r w:rsidR="009021AA" w:rsidRPr="004A3269">
        <w:t>’</w:t>
      </w:r>
      <w:r w:rsidR="00495017" w:rsidRPr="004A3269">
        <w:t>année </w:t>
      </w:r>
      <w:r w:rsidR="00014943" w:rsidRPr="004A3269">
        <w:t>2015</w:t>
      </w:r>
      <w:r w:rsidR="00495017" w:rsidRPr="004A3269">
        <w:t>,</w:t>
      </w:r>
      <w:r w:rsidR="00014943" w:rsidRPr="004A3269">
        <w:t xml:space="preserve"> l</w:t>
      </w:r>
      <w:r w:rsidR="009021AA" w:rsidRPr="004A3269">
        <w:t>’</w:t>
      </w:r>
      <w:r w:rsidR="00014943" w:rsidRPr="004A3269">
        <w:t xml:space="preserve">OMPI ne </w:t>
      </w:r>
      <w:r w:rsidR="00495017" w:rsidRPr="004A3269">
        <w:t>pourra plus détenir de</w:t>
      </w:r>
      <w:r w:rsidR="00014943" w:rsidRPr="004A3269">
        <w:t xml:space="preserve"> dépôts </w:t>
      </w:r>
      <w:r w:rsidR="00495017" w:rsidRPr="004A3269">
        <w:t>sur ces comptes</w:t>
      </w:r>
      <w:r w:rsidR="00014943" w:rsidRPr="004A3269">
        <w:t>.</w:t>
      </w:r>
    </w:p>
    <w:p w:rsidR="00014943" w:rsidRPr="004A3269" w:rsidRDefault="00014943" w:rsidP="00014943">
      <w:pPr>
        <w:pStyle w:val="Style3"/>
        <w:spacing w:after="0"/>
      </w:pPr>
    </w:p>
    <w:p w:rsidR="00014943" w:rsidRPr="004A3269" w:rsidRDefault="00014943" w:rsidP="00014943">
      <w:pPr>
        <w:pStyle w:val="Style3"/>
        <w:spacing w:after="0"/>
      </w:pPr>
      <w:r w:rsidRPr="004A3269">
        <w:t xml:space="preserve">Les fonds </w:t>
      </w:r>
      <w:r w:rsidR="00E11CEC" w:rsidRPr="004A3269">
        <w:t>réservés</w:t>
      </w:r>
      <w:r w:rsidRPr="004A3269">
        <w:t xml:space="preserve"> comprennent les fonds détenus pour le compte de</w:t>
      </w:r>
      <w:r w:rsidR="00E11CEC" w:rsidRPr="004A3269">
        <w:t xml:space="preserve"> tiers pour l</w:t>
      </w:r>
      <w:r w:rsidR="009021AA" w:rsidRPr="004A3269">
        <w:t>’</w:t>
      </w:r>
      <w:r w:rsidR="00E11CEC" w:rsidRPr="004A3269">
        <w:t>enregistrement de marques ou de</w:t>
      </w:r>
      <w:r w:rsidRPr="004A3269">
        <w:t xml:space="preserve"> d</w:t>
      </w:r>
      <w:r w:rsidR="00E11CEC" w:rsidRPr="004A3269">
        <w:t>essins et modèles industriels, l</w:t>
      </w:r>
      <w:r w:rsidRPr="004A3269">
        <w:t>es abonnements à des périodiques de l</w:t>
      </w:r>
      <w:r w:rsidR="009021AA" w:rsidRPr="004A3269">
        <w:t>’</w:t>
      </w:r>
      <w:r w:rsidRPr="004A3269">
        <w:t xml:space="preserve">OMPI, etc. </w:t>
      </w:r>
      <w:r w:rsidR="00E11CEC" w:rsidRPr="004A3269">
        <w:t xml:space="preserve"> Ils comprennent également les taxes</w:t>
      </w:r>
      <w:r w:rsidRPr="004A3269">
        <w:t xml:space="preserve"> perçu</w:t>
      </w:r>
      <w:r w:rsidR="00E11CEC" w:rsidRPr="004A3269">
        <w:t>e</w:t>
      </w:r>
      <w:r w:rsidRPr="004A3269">
        <w:t xml:space="preserve">s </w:t>
      </w:r>
      <w:r w:rsidR="00E11CEC" w:rsidRPr="004A3269">
        <w:t>par le Bureau international de l</w:t>
      </w:r>
      <w:r w:rsidR="009021AA" w:rsidRPr="004A3269">
        <w:t>’</w:t>
      </w:r>
      <w:r w:rsidR="00E11CEC" w:rsidRPr="004A3269">
        <w:t>OMPI agissant en tant qu</w:t>
      </w:r>
      <w:r w:rsidR="009021AA" w:rsidRPr="004A3269">
        <w:t>’</w:t>
      </w:r>
      <w:r w:rsidR="00E11CEC" w:rsidRPr="004A3269">
        <w:t xml:space="preserve">office récepteur </w:t>
      </w:r>
      <w:r w:rsidRPr="004A3269">
        <w:t>pour le compte des partie</w:t>
      </w:r>
      <w:r w:rsidR="00E11CEC" w:rsidRPr="004A3269">
        <w:t>s contractantes à l</w:t>
      </w:r>
      <w:r w:rsidR="009021AA" w:rsidRPr="004A3269">
        <w:t>’</w:t>
      </w:r>
      <w:r w:rsidR="00E11CEC" w:rsidRPr="004A3269">
        <w:t xml:space="preserve">Arrangement et au Protocole </w:t>
      </w:r>
      <w:r w:rsidRPr="004A3269">
        <w:t xml:space="preserve">de Madrid, </w:t>
      </w:r>
      <w:r w:rsidR="00E11CEC" w:rsidRPr="004A3269">
        <w:t>à l</w:t>
      </w:r>
      <w:r w:rsidR="009021AA" w:rsidRPr="004A3269">
        <w:t>’</w:t>
      </w:r>
      <w:r w:rsidRPr="004A3269">
        <w:t>Ar</w:t>
      </w:r>
      <w:r w:rsidR="00E11CEC" w:rsidRPr="004A3269">
        <w:t>rangement de </w:t>
      </w:r>
      <w:r w:rsidR="009021AA" w:rsidRPr="004A3269">
        <w:t>La Haye</w:t>
      </w:r>
      <w:r w:rsidRPr="004A3269">
        <w:t xml:space="preserve"> </w:t>
      </w:r>
      <w:r w:rsidR="00E11CEC" w:rsidRPr="004A3269">
        <w:t>et pour le compte d</w:t>
      </w:r>
      <w:r w:rsidR="009021AA" w:rsidRPr="004A3269">
        <w:t>’</w:t>
      </w:r>
      <w:r w:rsidR="00E11CEC" w:rsidRPr="004A3269">
        <w:t>administrations chargées de la recherche internationale selon le PCT</w:t>
      </w:r>
      <w:r w:rsidRPr="004A3269">
        <w:t>.</w:t>
      </w:r>
      <w:r w:rsidR="00037862" w:rsidRPr="004A3269">
        <w:t xml:space="preserve"> </w:t>
      </w:r>
      <w:r w:rsidRPr="004A3269">
        <w:t xml:space="preserve"> </w:t>
      </w:r>
      <w:r w:rsidR="00037862" w:rsidRPr="004A3269">
        <w:t>En outre, les dépôts encaissés dans le cadre de procédures en cours relatives à des enregistrements de marques, indépendamment de l</w:t>
      </w:r>
      <w:r w:rsidR="009021AA" w:rsidRPr="004A3269">
        <w:t>’</w:t>
      </w:r>
      <w:r w:rsidR="00037862" w:rsidRPr="004A3269">
        <w:t>estimation des encaissements par anticipation effectués par l</w:t>
      </w:r>
      <w:r w:rsidR="009021AA" w:rsidRPr="004A3269">
        <w:t>’</w:t>
      </w:r>
      <w:r w:rsidR="00037862" w:rsidRPr="004A3269">
        <w:t>Organisation, représentent des fonds perçus pour le compte de tiers et sont considérés comme des fonds réservés</w:t>
      </w:r>
      <w:r w:rsidRPr="004A3269">
        <w:t>.</w:t>
      </w:r>
    </w:p>
    <w:p w:rsidR="00014943" w:rsidRPr="004A3269" w:rsidRDefault="00014943" w:rsidP="00014943">
      <w:pPr>
        <w:pStyle w:val="Style3"/>
        <w:spacing w:after="0"/>
      </w:pPr>
    </w:p>
    <w:p w:rsidR="00267140" w:rsidRPr="004A3269" w:rsidRDefault="00E11CEC" w:rsidP="00014943">
      <w:pPr>
        <w:pStyle w:val="Style3"/>
        <w:spacing w:after="0"/>
        <w:rPr>
          <w:szCs w:val="22"/>
        </w:rPr>
      </w:pPr>
      <w:r w:rsidRPr="004A3269">
        <w:t>En </w:t>
      </w:r>
      <w:r w:rsidR="00014943" w:rsidRPr="004A3269">
        <w:t xml:space="preserve">2014, </w:t>
      </w:r>
      <w:r w:rsidR="00037862" w:rsidRPr="004A3269">
        <w:t>l</w:t>
      </w:r>
      <w:r w:rsidR="009021AA" w:rsidRPr="004A3269">
        <w:t>’</w:t>
      </w:r>
      <w:r w:rsidR="00037862" w:rsidRPr="004A3269">
        <w:t xml:space="preserve">organisation a fait un transfert de 85,2 millions de francs suisses sur un compte bancaire distinct destiné aux fonds alloués pour le financement à venir </w:t>
      </w:r>
      <w:r w:rsidR="00037862" w:rsidRPr="004A3269">
        <w:rPr>
          <w:rStyle w:val="hps"/>
        </w:rPr>
        <w:t>des obligations relatives à l</w:t>
      </w:r>
      <w:r w:rsidR="009021AA" w:rsidRPr="004A3269">
        <w:rPr>
          <w:rStyle w:val="hps"/>
        </w:rPr>
        <w:t>’</w:t>
      </w:r>
      <w:r w:rsidR="00037862" w:rsidRPr="004A3269">
        <w:rPr>
          <w:rStyle w:val="hps"/>
        </w:rPr>
        <w:t>assurance</w:t>
      </w:r>
      <w:r w:rsidR="00A17552" w:rsidRPr="004A3269">
        <w:rPr>
          <w:rStyle w:val="hps"/>
        </w:rPr>
        <w:noBreakHyphen/>
      </w:r>
      <w:r w:rsidR="00037862" w:rsidRPr="004A3269">
        <w:rPr>
          <w:rStyle w:val="hps"/>
        </w:rPr>
        <w:t xml:space="preserve">maladie </w:t>
      </w:r>
      <w:r w:rsidR="00A74760" w:rsidRPr="004A3269">
        <w:rPr>
          <w:rStyle w:val="hps"/>
        </w:rPr>
        <w:t>après la cessation</w:t>
      </w:r>
      <w:r w:rsidR="00037862" w:rsidRPr="004A3269">
        <w:rPr>
          <w:rStyle w:val="hps"/>
        </w:rPr>
        <w:t xml:space="preserve"> de service</w:t>
      </w:r>
      <w:r w:rsidR="00037862" w:rsidRPr="004A3269">
        <w:t xml:space="preserve">.  </w:t>
      </w:r>
      <w:r w:rsidR="005D2AB6" w:rsidRPr="004A3269">
        <w:t xml:space="preserve">Ces fonds sont </w:t>
      </w:r>
      <w:r w:rsidR="00505179" w:rsidRPr="004A3269">
        <w:t>également</w:t>
      </w:r>
      <w:r w:rsidR="005D2AB6" w:rsidRPr="004A3269">
        <w:t xml:space="preserve"> classés dans la catégorie des fonds réservés</w:t>
      </w:r>
      <w:r w:rsidR="0050107F" w:rsidRPr="004A3269">
        <w:rPr>
          <w:szCs w:val="22"/>
        </w:rPr>
        <w:t>.</w:t>
      </w:r>
    </w:p>
    <w:p w:rsidR="00267140" w:rsidRPr="004A3269" w:rsidRDefault="00267140" w:rsidP="007C6D77">
      <w:pPr>
        <w:pStyle w:val="Style3"/>
        <w:spacing w:after="0"/>
        <w:rPr>
          <w:szCs w:val="22"/>
        </w:rPr>
      </w:pPr>
    </w:p>
    <w:p w:rsidR="009021AA" w:rsidRPr="004A3269" w:rsidRDefault="00CD3DEA" w:rsidP="00CD3DEA">
      <w:pPr>
        <w:pStyle w:val="Style3"/>
        <w:spacing w:after="0"/>
        <w:rPr>
          <w:szCs w:val="22"/>
        </w:rPr>
      </w:pPr>
      <w:r w:rsidRPr="004A3269">
        <w:rPr>
          <w:szCs w:val="22"/>
        </w:rPr>
        <w:t>Les comptes spéciaux détenus pour le compte de donateurs de contributions volontaires sont déposés dans la monnaie dans laquelle les dépenses seront comptabilisées, sur la base d</w:t>
      </w:r>
      <w:r w:rsidR="009021AA" w:rsidRPr="004A3269">
        <w:rPr>
          <w:szCs w:val="22"/>
        </w:rPr>
        <w:t>’</w:t>
      </w:r>
      <w:r w:rsidRPr="004A3269">
        <w:rPr>
          <w:szCs w:val="22"/>
        </w:rPr>
        <w:t>accords conclus avec les donateurs.</w:t>
      </w:r>
    </w:p>
    <w:p w:rsidR="00267140" w:rsidRPr="004A3269" w:rsidRDefault="00267140" w:rsidP="00224A31">
      <w:pPr>
        <w:pStyle w:val="Style3"/>
        <w:spacing w:after="0"/>
        <w:rPr>
          <w:szCs w:val="22"/>
        </w:rPr>
      </w:pPr>
    </w:p>
    <w:p w:rsidR="00267140" w:rsidRPr="004A3269" w:rsidRDefault="00B019C1" w:rsidP="00206022">
      <w:pPr>
        <w:pStyle w:val="StyleHeading211ptNotBoldNotItalicAllcaps"/>
        <w:tabs>
          <w:tab w:val="left" w:pos="1701"/>
        </w:tabs>
        <w:spacing w:before="0" w:after="0"/>
        <w:rPr>
          <w:szCs w:val="22"/>
        </w:rPr>
      </w:pPr>
      <w:r w:rsidRPr="004A3269">
        <w:br w:type="page"/>
      </w:r>
      <w:r w:rsidR="00206022" w:rsidRPr="004A3269">
        <w:rPr>
          <w:b/>
          <w:i w:val="0"/>
        </w:rPr>
        <w:lastRenderedPageBreak/>
        <w:t>NOTE N° 4</w:t>
      </w:r>
      <w:r w:rsidR="00A0797A" w:rsidRPr="004A3269">
        <w:rPr>
          <w:i w:val="0"/>
        </w:rPr>
        <w:t> :</w:t>
      </w:r>
      <w:r w:rsidR="00206022" w:rsidRPr="004A3269">
        <w:rPr>
          <w:b/>
          <w:i w:val="0"/>
        </w:rPr>
        <w:t xml:space="preserve"> </w:t>
      </w:r>
      <w:r w:rsidR="00206022" w:rsidRPr="004A3269">
        <w:rPr>
          <w:b/>
          <w:i w:val="0"/>
        </w:rPr>
        <w:tab/>
        <w:t>COMPTES DE DÉBITEURS, AVANCES ET PAIEMENTS ANTICIPÉS</w:t>
      </w:r>
    </w:p>
    <w:p w:rsidR="00267140" w:rsidRPr="004A3269" w:rsidRDefault="00267140" w:rsidP="00901633">
      <w:pPr>
        <w:jc w:val="center"/>
        <w:rPr>
          <w:sz w:val="20"/>
        </w:rPr>
      </w:pPr>
    </w:p>
    <w:p w:rsidR="00267140" w:rsidRPr="004A3269" w:rsidRDefault="007373BF" w:rsidP="00901633">
      <w:pPr>
        <w:jc w:val="center"/>
      </w:pPr>
      <w:r w:rsidRPr="004A3269">
        <w:rPr>
          <w:noProof/>
          <w:lang w:val="en-US"/>
        </w:rPr>
        <w:drawing>
          <wp:inline distT="0" distB="0" distL="0" distR="0" wp14:anchorId="6D6482EC" wp14:editId="43FF7BC4">
            <wp:extent cx="5977255" cy="5707638"/>
            <wp:effectExtent l="0" t="0" r="4445"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77255" cy="5707638"/>
                    </a:xfrm>
                    <a:prstGeom prst="rect">
                      <a:avLst/>
                    </a:prstGeom>
                    <a:noFill/>
                    <a:ln>
                      <a:noFill/>
                    </a:ln>
                  </pic:spPr>
                </pic:pic>
              </a:graphicData>
            </a:graphic>
          </wp:inline>
        </w:drawing>
      </w:r>
    </w:p>
    <w:p w:rsidR="007373BF" w:rsidRPr="004A3269" w:rsidRDefault="007373BF" w:rsidP="007373BF"/>
    <w:p w:rsidR="009021AA" w:rsidRPr="004A3269" w:rsidRDefault="00CD3DEA" w:rsidP="00CD3DEA">
      <w:pPr>
        <w:pStyle w:val="Style3"/>
        <w:spacing w:after="0"/>
        <w:rPr>
          <w:szCs w:val="22"/>
        </w:rPr>
      </w:pPr>
      <w:r w:rsidRPr="004A3269">
        <w:rPr>
          <w:szCs w:val="22"/>
        </w:rPr>
        <w:t>Les contributions statutaires sont les recettes non perçues dans le cadre du système de contribution unique de l</w:t>
      </w:r>
      <w:r w:rsidR="009021AA" w:rsidRPr="004A3269">
        <w:rPr>
          <w:szCs w:val="22"/>
        </w:rPr>
        <w:t>’</w:t>
      </w:r>
      <w:r w:rsidRPr="004A3269">
        <w:rPr>
          <w:szCs w:val="22"/>
        </w:rPr>
        <w:t>OMPI approuvé par les assemblées des États membres et des unions administrées par l</w:t>
      </w:r>
      <w:r w:rsidR="009021AA" w:rsidRPr="004A3269">
        <w:rPr>
          <w:szCs w:val="22"/>
        </w:rPr>
        <w:t>’</w:t>
      </w:r>
      <w:r w:rsidRPr="004A3269">
        <w:rPr>
          <w:szCs w:val="22"/>
        </w:rPr>
        <w:t>OMPI.  Les assemblées déterminent la valeur d</w:t>
      </w:r>
      <w:r w:rsidR="009021AA" w:rsidRPr="004A3269">
        <w:rPr>
          <w:szCs w:val="22"/>
        </w:rPr>
        <w:t>’</w:t>
      </w:r>
      <w:r w:rsidRPr="004A3269">
        <w:rPr>
          <w:szCs w:val="22"/>
        </w:rPr>
        <w:t>une unité de contribution en francs suisses au moment de l</w:t>
      </w:r>
      <w:r w:rsidR="009021AA" w:rsidRPr="004A3269">
        <w:rPr>
          <w:szCs w:val="22"/>
        </w:rPr>
        <w:t>’</w:t>
      </w:r>
      <w:r w:rsidRPr="004A3269">
        <w:rPr>
          <w:szCs w:val="22"/>
        </w:rPr>
        <w:t>élaboration du budget pour un exercice financier biennal.</w:t>
      </w:r>
      <w:r w:rsidR="001467AE" w:rsidRPr="004A3269">
        <w:t xml:space="preserve">  </w:t>
      </w:r>
      <w:r w:rsidRPr="004A3269">
        <w:rPr>
          <w:szCs w:val="22"/>
        </w:rPr>
        <w:t>Chacune des classes de contribution doit représenter un nombre précis d</w:t>
      </w:r>
      <w:r w:rsidR="009021AA" w:rsidRPr="004A3269">
        <w:rPr>
          <w:szCs w:val="22"/>
        </w:rPr>
        <w:t>’</w:t>
      </w:r>
      <w:r w:rsidRPr="004A3269">
        <w:rPr>
          <w:szCs w:val="22"/>
        </w:rPr>
        <w:t>unités de contribution.</w:t>
      </w:r>
      <w:r w:rsidR="001467AE" w:rsidRPr="004A3269">
        <w:t xml:space="preserve">  </w:t>
      </w:r>
      <w:r w:rsidRPr="004A3269">
        <w:rPr>
          <w:szCs w:val="22"/>
        </w:rPr>
        <w:t>Les États membres élisent la classe déterminant la base de leur contribution, contrairement à certains pays en développement qui appartiennent automatiquement à l</w:t>
      </w:r>
      <w:r w:rsidR="009021AA" w:rsidRPr="004A3269">
        <w:rPr>
          <w:szCs w:val="22"/>
        </w:rPr>
        <w:t>’</w:t>
      </w:r>
      <w:r w:rsidRPr="004A3269">
        <w:rPr>
          <w:szCs w:val="22"/>
        </w:rPr>
        <w:t>une des trois</w:t>
      </w:r>
      <w:r w:rsidR="00067463" w:rsidRPr="004A3269">
        <w:rPr>
          <w:szCs w:val="22"/>
        </w:rPr>
        <w:t> </w:t>
      </w:r>
      <w:r w:rsidRPr="004A3269">
        <w:rPr>
          <w:szCs w:val="22"/>
        </w:rPr>
        <w:t>classes spéciales.</w:t>
      </w:r>
    </w:p>
    <w:p w:rsidR="00267140" w:rsidRPr="004A3269" w:rsidRDefault="00267140" w:rsidP="007C6D77">
      <w:pPr>
        <w:pStyle w:val="Style3"/>
        <w:spacing w:after="0"/>
        <w:rPr>
          <w:szCs w:val="22"/>
        </w:rPr>
      </w:pPr>
    </w:p>
    <w:p w:rsidR="00267140" w:rsidRPr="004A3269" w:rsidRDefault="00CD3DEA" w:rsidP="00CD3DEA">
      <w:pPr>
        <w:pStyle w:val="Style3"/>
        <w:spacing w:after="0"/>
        <w:rPr>
          <w:szCs w:val="22"/>
        </w:rPr>
      </w:pPr>
      <w:r w:rsidRPr="004A3269">
        <w:rPr>
          <w:szCs w:val="22"/>
        </w:rPr>
        <w:t>Une provision a été constituée pour compenser à la fois la valeur des comptes provenant des contributions statutaires et des contributions aux fonds de roulement dues par les unions qui se rapportent à des périodes antérieures à l</w:t>
      </w:r>
      <w:r w:rsidR="009021AA" w:rsidRPr="004A3269">
        <w:rPr>
          <w:szCs w:val="22"/>
        </w:rPr>
        <w:t>’</w:t>
      </w:r>
      <w:r w:rsidRPr="004A3269">
        <w:rPr>
          <w:szCs w:val="22"/>
        </w:rPr>
        <w:t>introduction des contributions uniques en</w:t>
      </w:r>
      <w:r w:rsidR="00067463" w:rsidRPr="004A3269">
        <w:rPr>
          <w:szCs w:val="22"/>
        </w:rPr>
        <w:t> </w:t>
      </w:r>
      <w:r w:rsidRPr="004A3269">
        <w:rPr>
          <w:szCs w:val="22"/>
        </w:rPr>
        <w:t>1994.</w:t>
      </w:r>
      <w:r w:rsidR="008F7307" w:rsidRPr="004A3269">
        <w:t xml:space="preserve"> </w:t>
      </w:r>
      <w:r w:rsidR="00206022" w:rsidRPr="004A3269">
        <w:t xml:space="preserve"> </w:t>
      </w:r>
      <w:r w:rsidRPr="004A3269">
        <w:rPr>
          <w:szCs w:val="22"/>
        </w:rPr>
        <w:t>Cette provision couvre les montants dus par les États membres qui ont perdu le droi</w:t>
      </w:r>
      <w:r w:rsidR="00206022" w:rsidRPr="004A3269">
        <w:rPr>
          <w:szCs w:val="22"/>
        </w:rPr>
        <w:t>t de vote en vertu de l</w:t>
      </w:r>
      <w:r w:rsidR="009021AA" w:rsidRPr="004A3269">
        <w:rPr>
          <w:szCs w:val="22"/>
        </w:rPr>
        <w:t>’</w:t>
      </w:r>
      <w:r w:rsidR="00206022" w:rsidRPr="004A3269">
        <w:rPr>
          <w:szCs w:val="22"/>
        </w:rPr>
        <w:t>article 11, paragraphe </w:t>
      </w:r>
      <w:r w:rsidRPr="004A3269">
        <w:rPr>
          <w:szCs w:val="22"/>
        </w:rPr>
        <w:t>5, de la Convention instituant l</w:t>
      </w:r>
      <w:r w:rsidR="009021AA" w:rsidRPr="004A3269">
        <w:rPr>
          <w:szCs w:val="22"/>
        </w:rPr>
        <w:t>’</w:t>
      </w:r>
      <w:r w:rsidRPr="004A3269">
        <w:rPr>
          <w:szCs w:val="22"/>
        </w:rPr>
        <w:t>OMPI, et les contributions des pays les moins avancés qui ont été gelées par les assemblées.</w:t>
      </w:r>
      <w:r w:rsidR="008F7307" w:rsidRPr="004A3269">
        <w:t xml:space="preserve"> </w:t>
      </w:r>
      <w:r w:rsidR="005D2AB6" w:rsidRPr="004A3269">
        <w:t xml:space="preserve"> </w:t>
      </w:r>
      <w:r w:rsidR="005D2AB6" w:rsidRPr="004A3269">
        <w:rPr>
          <w:rStyle w:val="hps"/>
        </w:rPr>
        <w:t>Le</w:t>
      </w:r>
      <w:r w:rsidR="005D2AB6" w:rsidRPr="004A3269">
        <w:t xml:space="preserve"> montant </w:t>
      </w:r>
      <w:r w:rsidR="005D2AB6" w:rsidRPr="004A3269">
        <w:rPr>
          <w:rStyle w:val="hps"/>
        </w:rPr>
        <w:t>total de la</w:t>
      </w:r>
      <w:r w:rsidR="005D2AB6" w:rsidRPr="004A3269">
        <w:t xml:space="preserve"> </w:t>
      </w:r>
      <w:r w:rsidR="005D2AB6" w:rsidRPr="004A3269">
        <w:rPr>
          <w:rStyle w:val="hps"/>
        </w:rPr>
        <w:t xml:space="preserve">provision au </w:t>
      </w:r>
      <w:r w:rsidR="005D2AB6" w:rsidRPr="004A3269">
        <w:rPr>
          <w:rStyle w:val="hps"/>
        </w:rPr>
        <w:lastRenderedPageBreak/>
        <w:t>31</w:t>
      </w:r>
      <w:r w:rsidR="005D2AB6" w:rsidRPr="004A3269">
        <w:t> d</w:t>
      </w:r>
      <w:r w:rsidR="005D2AB6" w:rsidRPr="004A3269">
        <w:rPr>
          <w:rStyle w:val="hps"/>
        </w:rPr>
        <w:t>écembre</w:t>
      </w:r>
      <w:r w:rsidR="005D2AB6" w:rsidRPr="004A3269">
        <w:t> </w:t>
      </w:r>
      <w:r w:rsidR="005D2AB6" w:rsidRPr="004A3269">
        <w:rPr>
          <w:rStyle w:val="hps"/>
        </w:rPr>
        <w:t>2014 s</w:t>
      </w:r>
      <w:r w:rsidR="009021AA" w:rsidRPr="004A3269">
        <w:rPr>
          <w:rStyle w:val="hps"/>
        </w:rPr>
        <w:t>’</w:t>
      </w:r>
      <w:r w:rsidR="005D2AB6" w:rsidRPr="004A3269">
        <w:rPr>
          <w:rStyle w:val="hps"/>
        </w:rPr>
        <w:t>élève à 6,8 millions de</w:t>
      </w:r>
      <w:r w:rsidR="005D2AB6" w:rsidRPr="004A3269">
        <w:t xml:space="preserve"> </w:t>
      </w:r>
      <w:r w:rsidR="005D2AB6" w:rsidRPr="004A3269">
        <w:rPr>
          <w:rStyle w:val="hps"/>
        </w:rPr>
        <w:t>francs suisses</w:t>
      </w:r>
      <w:r w:rsidR="005D2AB6" w:rsidRPr="004A3269">
        <w:t xml:space="preserve"> </w:t>
      </w:r>
      <w:r w:rsidR="005D2AB6" w:rsidRPr="004A3269">
        <w:rPr>
          <w:rStyle w:val="hps"/>
        </w:rPr>
        <w:t>[</w:t>
      </w:r>
      <w:r w:rsidR="005D2AB6" w:rsidRPr="004A3269">
        <w:t xml:space="preserve">7,1 millions de </w:t>
      </w:r>
      <w:r w:rsidR="005D2AB6" w:rsidRPr="004A3269">
        <w:rPr>
          <w:rStyle w:val="hps"/>
        </w:rPr>
        <w:t>francs suisses</w:t>
      </w:r>
      <w:r w:rsidR="005D2AB6" w:rsidRPr="004A3269">
        <w:t xml:space="preserve"> </w:t>
      </w:r>
      <w:r w:rsidR="005D2AB6" w:rsidRPr="004A3269">
        <w:rPr>
          <w:rStyle w:val="hps"/>
        </w:rPr>
        <w:t>au 31</w:t>
      </w:r>
      <w:r w:rsidR="005D2AB6" w:rsidRPr="004A3269">
        <w:t> d</w:t>
      </w:r>
      <w:r w:rsidR="005D2AB6" w:rsidRPr="004A3269">
        <w:rPr>
          <w:rStyle w:val="hps"/>
        </w:rPr>
        <w:t>écembre</w:t>
      </w:r>
      <w:r w:rsidR="005D2AB6" w:rsidRPr="004A3269">
        <w:t> </w:t>
      </w:r>
      <w:r w:rsidR="005D2AB6" w:rsidRPr="004A3269">
        <w:rPr>
          <w:rStyle w:val="hps"/>
        </w:rPr>
        <w:t>2013]</w:t>
      </w:r>
      <w:r w:rsidR="008F7307" w:rsidRPr="004A3269">
        <w:rPr>
          <w:szCs w:val="22"/>
        </w:rPr>
        <w:t>.</w:t>
      </w:r>
    </w:p>
    <w:p w:rsidR="00267140" w:rsidRPr="004A3269" w:rsidRDefault="00267140" w:rsidP="007C6D77">
      <w:pPr>
        <w:pStyle w:val="Style3"/>
        <w:spacing w:after="0"/>
        <w:rPr>
          <w:szCs w:val="22"/>
        </w:rPr>
      </w:pPr>
    </w:p>
    <w:p w:rsidR="00267140" w:rsidRPr="004A3269" w:rsidRDefault="005D2AB6" w:rsidP="00FE5087">
      <w:pPr>
        <w:pStyle w:val="Style3"/>
        <w:spacing w:after="0"/>
        <w:rPr>
          <w:szCs w:val="22"/>
        </w:rPr>
      </w:pPr>
      <w:r w:rsidRPr="004A3269">
        <w:rPr>
          <w:rStyle w:val="hps"/>
        </w:rPr>
        <w:t>Les débiteurs</w:t>
      </w:r>
      <w:r w:rsidR="009021AA" w:rsidRPr="004A3269">
        <w:t xml:space="preserve"> du </w:t>
      </w:r>
      <w:r w:rsidR="009021AA" w:rsidRPr="004A3269">
        <w:rPr>
          <w:rStyle w:val="hps"/>
        </w:rPr>
        <w:t>PCT</w:t>
      </w:r>
      <w:r w:rsidRPr="004A3269">
        <w:t xml:space="preserve"> </w:t>
      </w:r>
      <w:r w:rsidRPr="004A3269">
        <w:rPr>
          <w:rStyle w:val="hps"/>
        </w:rPr>
        <w:t>représentent</w:t>
      </w:r>
      <w:r w:rsidRPr="004A3269">
        <w:t xml:space="preserve"> </w:t>
      </w:r>
      <w:r w:rsidR="00DC6718" w:rsidRPr="004A3269">
        <w:rPr>
          <w:rStyle w:val="hps"/>
        </w:rPr>
        <w:t>les</w:t>
      </w:r>
      <w:r w:rsidR="007473D7" w:rsidRPr="004A3269">
        <w:rPr>
          <w:rStyle w:val="hps"/>
        </w:rPr>
        <w:t xml:space="preserve"> </w:t>
      </w:r>
      <w:r w:rsidR="00DC6718" w:rsidRPr="004A3269">
        <w:rPr>
          <w:rStyle w:val="hps"/>
        </w:rPr>
        <w:t>taxes</w:t>
      </w:r>
      <w:r w:rsidR="00AF5215" w:rsidRPr="004A3269">
        <w:rPr>
          <w:rStyle w:val="hps"/>
        </w:rPr>
        <w:t xml:space="preserve"> internationales</w:t>
      </w:r>
      <w:r w:rsidR="00DC6718" w:rsidRPr="004A3269">
        <w:rPr>
          <w:rStyle w:val="hps"/>
        </w:rPr>
        <w:t xml:space="preserve"> de dépôt </w:t>
      </w:r>
      <w:r w:rsidR="00763A08" w:rsidRPr="004A3269">
        <w:rPr>
          <w:rStyle w:val="hps"/>
        </w:rPr>
        <w:t xml:space="preserve">non </w:t>
      </w:r>
      <w:r w:rsidRPr="004A3269">
        <w:rPr>
          <w:rStyle w:val="hps"/>
        </w:rPr>
        <w:t>payées</w:t>
      </w:r>
      <w:r w:rsidRPr="004A3269">
        <w:t xml:space="preserve"> </w:t>
      </w:r>
      <w:r w:rsidR="007473D7" w:rsidRPr="004A3269">
        <w:rPr>
          <w:rStyle w:val="hps"/>
        </w:rPr>
        <w:t>en ce qui concerne</w:t>
      </w:r>
      <w:r w:rsidRPr="004A3269">
        <w:t xml:space="preserve"> </w:t>
      </w:r>
      <w:r w:rsidRPr="004A3269">
        <w:rPr>
          <w:rStyle w:val="hps"/>
        </w:rPr>
        <w:t xml:space="preserve">les demandes </w:t>
      </w:r>
      <w:r w:rsidR="007473D7" w:rsidRPr="004A3269">
        <w:rPr>
          <w:rStyle w:val="hps"/>
        </w:rPr>
        <w:t>selon</w:t>
      </w:r>
      <w:r w:rsidR="009021AA" w:rsidRPr="004A3269">
        <w:rPr>
          <w:rStyle w:val="hps"/>
        </w:rPr>
        <w:t xml:space="preserve"> le PCT</w:t>
      </w:r>
      <w:r w:rsidRPr="004A3269">
        <w:t xml:space="preserve"> </w:t>
      </w:r>
      <w:r w:rsidRPr="004A3269">
        <w:rPr>
          <w:rStyle w:val="hps"/>
        </w:rPr>
        <w:t>déposées avant</w:t>
      </w:r>
      <w:r w:rsidRPr="004A3269">
        <w:t xml:space="preserve"> </w:t>
      </w:r>
      <w:r w:rsidRPr="004A3269">
        <w:rPr>
          <w:rStyle w:val="hps"/>
        </w:rPr>
        <w:t>la date de clôture</w:t>
      </w:r>
      <w:r w:rsidRPr="004A3269">
        <w:t xml:space="preserve">.  </w:t>
      </w:r>
      <w:r w:rsidRPr="004A3269">
        <w:rPr>
          <w:rStyle w:val="hps"/>
        </w:rPr>
        <w:t>Cela inclut</w:t>
      </w:r>
      <w:r w:rsidRPr="004A3269">
        <w:rPr>
          <w:szCs w:val="22"/>
        </w:rPr>
        <w:t xml:space="preserve"> </w:t>
      </w:r>
      <w:r w:rsidR="00FE5087" w:rsidRPr="004A3269">
        <w:rPr>
          <w:szCs w:val="22"/>
        </w:rPr>
        <w:t>une estimation des demandes internationales de brevet reçues par les offices récepteurs nationaux avant la date d</w:t>
      </w:r>
      <w:r w:rsidR="009021AA" w:rsidRPr="004A3269">
        <w:rPr>
          <w:szCs w:val="22"/>
        </w:rPr>
        <w:t>’</w:t>
      </w:r>
      <w:r w:rsidR="00FE5087" w:rsidRPr="004A3269">
        <w:rPr>
          <w:szCs w:val="22"/>
        </w:rPr>
        <w:t>établissement des états financiers mais non transférées au Bureau international de l</w:t>
      </w:r>
      <w:r w:rsidR="009021AA" w:rsidRPr="004A3269">
        <w:rPr>
          <w:szCs w:val="22"/>
        </w:rPr>
        <w:t>’</w:t>
      </w:r>
      <w:r w:rsidR="00FE5087" w:rsidRPr="004A3269">
        <w:rPr>
          <w:szCs w:val="22"/>
        </w:rPr>
        <w:t>Organisation, agissant en qualité d</w:t>
      </w:r>
      <w:r w:rsidR="009021AA" w:rsidRPr="004A3269">
        <w:rPr>
          <w:szCs w:val="22"/>
        </w:rPr>
        <w:t>’</w:t>
      </w:r>
      <w:r w:rsidR="00FE5087" w:rsidRPr="004A3269">
        <w:rPr>
          <w:szCs w:val="22"/>
        </w:rPr>
        <w:t>office récepteur</w:t>
      </w:r>
      <w:r w:rsidR="009021AA" w:rsidRPr="004A3269">
        <w:rPr>
          <w:szCs w:val="22"/>
        </w:rPr>
        <w:t xml:space="preserve"> du PCT</w:t>
      </w:r>
      <w:r w:rsidR="00FE5087" w:rsidRPr="004A3269">
        <w:rPr>
          <w:szCs w:val="22"/>
        </w:rPr>
        <w:t>, à la date d</w:t>
      </w:r>
      <w:r w:rsidR="009021AA" w:rsidRPr="004A3269">
        <w:rPr>
          <w:szCs w:val="22"/>
        </w:rPr>
        <w:t>’</w:t>
      </w:r>
      <w:r w:rsidR="00FE5087" w:rsidRPr="004A3269">
        <w:rPr>
          <w:szCs w:val="22"/>
        </w:rPr>
        <w:t>établissement des états financiers.</w:t>
      </w:r>
    </w:p>
    <w:p w:rsidR="00267140" w:rsidRPr="004A3269" w:rsidRDefault="00267140" w:rsidP="007C6D77">
      <w:pPr>
        <w:pStyle w:val="Style3"/>
        <w:spacing w:after="0"/>
        <w:rPr>
          <w:szCs w:val="22"/>
        </w:rPr>
      </w:pPr>
    </w:p>
    <w:p w:rsidR="00267140" w:rsidRPr="004A3269" w:rsidRDefault="007473D7" w:rsidP="00FE5087">
      <w:pPr>
        <w:pStyle w:val="Style3"/>
        <w:spacing w:after="0"/>
        <w:rPr>
          <w:szCs w:val="22"/>
        </w:rPr>
      </w:pPr>
      <w:r w:rsidRPr="004A3269">
        <w:t>Les fonctionnaires recrutés sur le plan international, autres que ceux qui vivent dans leur pays d</w:t>
      </w:r>
      <w:r w:rsidR="009021AA" w:rsidRPr="004A3269">
        <w:t>’</w:t>
      </w:r>
      <w:r w:rsidRPr="004A3269">
        <w:t xml:space="preserve">origine, remplissent les conditions requises pour recevoir une indemnité couvrant 75% des frais de scolarité </w:t>
      </w:r>
      <w:r w:rsidR="00087DA7" w:rsidRPr="004A3269">
        <w:t xml:space="preserve">des enfants à charge </w:t>
      </w:r>
      <w:r w:rsidRPr="004A3269">
        <w:t>jusqu</w:t>
      </w:r>
      <w:r w:rsidR="009021AA" w:rsidRPr="004A3269">
        <w:t>’</w:t>
      </w:r>
      <w:r w:rsidRPr="004A3269">
        <w:t>à la quatrième année d</w:t>
      </w:r>
      <w:r w:rsidR="009021AA" w:rsidRPr="004A3269">
        <w:t>’</w:t>
      </w:r>
      <w:r w:rsidRPr="004A3269">
        <w:t>études supérieures, mais pas au</w:t>
      </w:r>
      <w:r w:rsidR="00A17552" w:rsidRPr="004A3269">
        <w:noBreakHyphen/>
      </w:r>
      <w:r w:rsidRPr="004A3269">
        <w:t>delà de la fin de l</w:t>
      </w:r>
      <w:r w:rsidR="009021AA" w:rsidRPr="004A3269">
        <w:t>’</w:t>
      </w:r>
      <w:r w:rsidRPr="004A3269">
        <w:t>année scolaire au cours de laquelle l</w:t>
      </w:r>
      <w:r w:rsidR="009021AA" w:rsidRPr="004A3269">
        <w:t>’</w:t>
      </w:r>
      <w:r w:rsidRPr="004A3269">
        <w:t>enfant atteint l</w:t>
      </w:r>
      <w:r w:rsidR="009021AA" w:rsidRPr="004A3269">
        <w:t>’</w:t>
      </w:r>
      <w:r w:rsidRPr="004A3269">
        <w:t xml:space="preserve">âge de 25 ans.  </w:t>
      </w:r>
      <w:r w:rsidR="00FE5087" w:rsidRPr="004A3269">
        <w:rPr>
          <w:szCs w:val="22"/>
        </w:rPr>
        <w:t>Le montant maximum de l</w:t>
      </w:r>
      <w:r w:rsidR="009021AA" w:rsidRPr="004A3269">
        <w:rPr>
          <w:szCs w:val="22"/>
        </w:rPr>
        <w:t>’</w:t>
      </w:r>
      <w:r w:rsidR="00FE5087" w:rsidRPr="004A3269">
        <w:rPr>
          <w:szCs w:val="22"/>
        </w:rPr>
        <w:t>indemnité est fixé pour chaque pays.  Une avance égale au montant estimé de l</w:t>
      </w:r>
      <w:r w:rsidR="009021AA" w:rsidRPr="004A3269">
        <w:rPr>
          <w:szCs w:val="22"/>
        </w:rPr>
        <w:t>’</w:t>
      </w:r>
      <w:r w:rsidR="00FE5087" w:rsidRPr="004A3269">
        <w:rPr>
          <w:szCs w:val="22"/>
        </w:rPr>
        <w:t>indemnité pour frais d</w:t>
      </w:r>
      <w:r w:rsidR="009021AA" w:rsidRPr="004A3269">
        <w:rPr>
          <w:szCs w:val="22"/>
        </w:rPr>
        <w:t>’</w:t>
      </w:r>
      <w:r w:rsidR="00FE5087" w:rsidRPr="004A3269">
        <w:rPr>
          <w:szCs w:val="22"/>
        </w:rPr>
        <w:t>études peut être accordée dès le début de chaque année scolaire</w:t>
      </w:r>
      <w:r w:rsidR="00A0797A" w:rsidRPr="004A3269">
        <w:rPr>
          <w:szCs w:val="22"/>
        </w:rPr>
        <w:t xml:space="preserve">.  </w:t>
      </w:r>
      <w:r w:rsidR="00FE5087" w:rsidRPr="004A3269">
        <w:rPr>
          <w:szCs w:val="22"/>
        </w:rPr>
        <w:t>Les avances au personnel pour frais d</w:t>
      </w:r>
      <w:r w:rsidR="009021AA" w:rsidRPr="004A3269">
        <w:rPr>
          <w:szCs w:val="22"/>
        </w:rPr>
        <w:t>’</w:t>
      </w:r>
      <w:r w:rsidR="00FE5087" w:rsidRPr="004A3269">
        <w:rPr>
          <w:szCs w:val="22"/>
        </w:rPr>
        <w:t>études représentent le total des f</w:t>
      </w:r>
      <w:r w:rsidR="00206022" w:rsidRPr="004A3269">
        <w:rPr>
          <w:szCs w:val="22"/>
        </w:rPr>
        <w:t>rais pour l</w:t>
      </w:r>
      <w:r w:rsidR="009021AA" w:rsidRPr="004A3269">
        <w:rPr>
          <w:szCs w:val="22"/>
        </w:rPr>
        <w:t>’</w:t>
      </w:r>
      <w:r w:rsidR="00206022" w:rsidRPr="004A3269">
        <w:rPr>
          <w:szCs w:val="22"/>
        </w:rPr>
        <w:t>année scolaire 2014</w:t>
      </w:r>
      <w:r w:rsidR="00A17552" w:rsidRPr="004A3269">
        <w:rPr>
          <w:szCs w:val="22"/>
        </w:rPr>
        <w:noBreakHyphen/>
      </w:r>
      <w:r w:rsidR="00FE5087" w:rsidRPr="004A3269">
        <w:rPr>
          <w:szCs w:val="22"/>
        </w:rPr>
        <w:t>2015.</w:t>
      </w:r>
    </w:p>
    <w:p w:rsidR="00267140" w:rsidRPr="004A3269" w:rsidRDefault="00267140" w:rsidP="00355F7B">
      <w:pPr>
        <w:pStyle w:val="Style3"/>
        <w:spacing w:after="0"/>
        <w:rPr>
          <w:szCs w:val="22"/>
        </w:rPr>
      </w:pPr>
    </w:p>
    <w:p w:rsidR="00267140" w:rsidRPr="004A3269" w:rsidRDefault="00FE5087" w:rsidP="00FE5087">
      <w:pPr>
        <w:jc w:val="both"/>
        <w:rPr>
          <w:szCs w:val="22"/>
        </w:rPr>
      </w:pPr>
      <w:r w:rsidRPr="004A3269">
        <w:rPr>
          <w:szCs w:val="22"/>
        </w:rPr>
        <w:t xml:space="preserve">Les fonds avancés au Programme des </w:t>
      </w:r>
      <w:r w:rsidR="009021AA" w:rsidRPr="004A3269">
        <w:rPr>
          <w:szCs w:val="22"/>
        </w:rPr>
        <w:t>Nations Unies</w:t>
      </w:r>
      <w:r w:rsidRPr="004A3269">
        <w:rPr>
          <w:szCs w:val="22"/>
        </w:rPr>
        <w:t xml:space="preserve"> pour le développement (PNUD) sont utilisés pour effectuer des paiements au nom de l</w:t>
      </w:r>
      <w:r w:rsidR="009021AA" w:rsidRPr="004A3269">
        <w:rPr>
          <w:szCs w:val="22"/>
        </w:rPr>
        <w:t>’</w:t>
      </w:r>
      <w:r w:rsidRPr="004A3269">
        <w:rPr>
          <w:szCs w:val="22"/>
        </w:rPr>
        <w:t>Organisation.</w:t>
      </w:r>
      <w:r w:rsidR="00834CF6" w:rsidRPr="004A3269">
        <w:t xml:space="preserve">  </w:t>
      </w:r>
      <w:r w:rsidRPr="004A3269">
        <w:rPr>
          <w:szCs w:val="22"/>
        </w:rPr>
        <w:t>Le total des comptes de débiteurs indiqué inclut les sommes correspondant aux demandes adressées</w:t>
      </w:r>
      <w:r w:rsidR="009021AA" w:rsidRPr="004A3269">
        <w:rPr>
          <w:szCs w:val="22"/>
        </w:rPr>
        <w:t xml:space="preserve"> au PNU</w:t>
      </w:r>
      <w:r w:rsidRPr="004A3269">
        <w:rPr>
          <w:szCs w:val="22"/>
        </w:rPr>
        <w:t>D pour des paiements qui n</w:t>
      </w:r>
      <w:r w:rsidR="009021AA" w:rsidRPr="004A3269">
        <w:rPr>
          <w:szCs w:val="22"/>
        </w:rPr>
        <w:t>’</w:t>
      </w:r>
      <w:r w:rsidRPr="004A3269">
        <w:rPr>
          <w:szCs w:val="22"/>
        </w:rPr>
        <w:t>ont pas encore été confirmés ou dont la confirmation est en cours de vérification.</w:t>
      </w:r>
      <w:r w:rsidR="00A318BE" w:rsidRPr="004A3269">
        <w:t xml:space="preserve"> </w:t>
      </w:r>
      <w:r w:rsidR="00206022" w:rsidRPr="004A3269">
        <w:t xml:space="preserve"> </w:t>
      </w:r>
      <w:r w:rsidR="00087DA7" w:rsidRPr="004A3269">
        <w:t>Les fonds avancés à l</w:t>
      </w:r>
      <w:r w:rsidR="009021AA" w:rsidRPr="004A3269">
        <w:t>’</w:t>
      </w:r>
      <w:r w:rsidR="00087DA7" w:rsidRPr="004A3269">
        <w:t>Union internationale pour la protection des obtentions végétales (UPOV) correspondent à des paiements effectués par l</w:t>
      </w:r>
      <w:r w:rsidR="009021AA" w:rsidRPr="004A3269">
        <w:t>’</w:t>
      </w:r>
      <w:r w:rsidR="00087DA7" w:rsidRPr="004A3269">
        <w:t>Organisation pour le compte de l</w:t>
      </w:r>
      <w:r w:rsidR="009021AA" w:rsidRPr="004A3269">
        <w:t>’</w:t>
      </w:r>
      <w:r w:rsidR="00087DA7" w:rsidRPr="004A3269">
        <w:t>UPOV qui n</w:t>
      </w:r>
      <w:r w:rsidR="009021AA" w:rsidRPr="004A3269">
        <w:t>’</w:t>
      </w:r>
      <w:r w:rsidR="00087DA7" w:rsidRPr="004A3269">
        <w:t>ont pas encore été remboursés</w:t>
      </w:r>
      <w:r w:rsidR="00834CF6" w:rsidRPr="004A3269">
        <w:rPr>
          <w:szCs w:val="22"/>
        </w:rPr>
        <w:t>.</w:t>
      </w:r>
    </w:p>
    <w:p w:rsidR="00267140" w:rsidRPr="004A3269" w:rsidRDefault="00267140" w:rsidP="00355F7B">
      <w:pPr>
        <w:jc w:val="both"/>
        <w:rPr>
          <w:szCs w:val="22"/>
        </w:rPr>
      </w:pPr>
    </w:p>
    <w:p w:rsidR="00267140" w:rsidRPr="004A3269" w:rsidRDefault="00206022" w:rsidP="00FE5087">
      <w:pPr>
        <w:jc w:val="both"/>
        <w:rPr>
          <w:szCs w:val="22"/>
        </w:rPr>
      </w:pPr>
      <w:r w:rsidRPr="004A3269">
        <w:rPr>
          <w:szCs w:val="22"/>
        </w:rPr>
        <w:t>Le compte des impôts des États</w:t>
      </w:r>
      <w:r w:rsidR="00A17552" w:rsidRPr="004A3269">
        <w:rPr>
          <w:szCs w:val="22"/>
        </w:rPr>
        <w:noBreakHyphen/>
      </w:r>
      <w:r w:rsidR="00FE5087" w:rsidRPr="004A3269">
        <w:rPr>
          <w:szCs w:val="22"/>
        </w:rPr>
        <w:t>Unis d</w:t>
      </w:r>
      <w:r w:rsidR="009021AA" w:rsidRPr="004A3269">
        <w:rPr>
          <w:szCs w:val="22"/>
        </w:rPr>
        <w:t>’</w:t>
      </w:r>
      <w:r w:rsidR="00FE5087" w:rsidRPr="004A3269">
        <w:rPr>
          <w:szCs w:val="22"/>
        </w:rPr>
        <w:t>Amérique correspond aux montants avancés aux membres du personnel pour leur rembourser les impôts sur le revenu qu</w:t>
      </w:r>
      <w:r w:rsidR="009021AA" w:rsidRPr="004A3269">
        <w:rPr>
          <w:szCs w:val="22"/>
        </w:rPr>
        <w:t>’</w:t>
      </w:r>
      <w:r w:rsidR="00FE5087" w:rsidRPr="004A3269">
        <w:rPr>
          <w:szCs w:val="22"/>
        </w:rPr>
        <w:t>ils ont versés aux États</w:t>
      </w:r>
      <w:r w:rsidR="00A17552" w:rsidRPr="004A3269">
        <w:rPr>
          <w:szCs w:val="22"/>
        </w:rPr>
        <w:noBreakHyphen/>
      </w:r>
      <w:r w:rsidR="00FE5087" w:rsidRPr="004A3269">
        <w:rPr>
          <w:szCs w:val="22"/>
        </w:rPr>
        <w:t>Unis d</w:t>
      </w:r>
      <w:r w:rsidR="009021AA" w:rsidRPr="004A3269">
        <w:rPr>
          <w:szCs w:val="22"/>
        </w:rPr>
        <w:t>’</w:t>
      </w:r>
      <w:r w:rsidR="00FE5087" w:rsidRPr="004A3269">
        <w:rPr>
          <w:szCs w:val="22"/>
        </w:rPr>
        <w:t>Amérique.</w:t>
      </w:r>
      <w:r w:rsidR="00834CF6" w:rsidRPr="004A3269">
        <w:t xml:space="preserve">  </w:t>
      </w:r>
      <w:r w:rsidR="00FE5087" w:rsidRPr="004A3269">
        <w:rPr>
          <w:szCs w:val="22"/>
        </w:rPr>
        <w:t>Ces montants sont remboursables à l</w:t>
      </w:r>
      <w:r w:rsidR="009021AA" w:rsidRPr="004A3269">
        <w:rPr>
          <w:szCs w:val="22"/>
        </w:rPr>
        <w:t>’</w:t>
      </w:r>
      <w:r w:rsidR="00FE5087" w:rsidRPr="004A3269">
        <w:rPr>
          <w:szCs w:val="22"/>
        </w:rPr>
        <w:t>Organisation aux termes d</w:t>
      </w:r>
      <w:r w:rsidR="009021AA" w:rsidRPr="004A3269">
        <w:rPr>
          <w:szCs w:val="22"/>
        </w:rPr>
        <w:t>’</w:t>
      </w:r>
      <w:r w:rsidR="00FE5087" w:rsidRPr="004A3269">
        <w:rPr>
          <w:szCs w:val="22"/>
        </w:rPr>
        <w:t>accords conclus entre l</w:t>
      </w:r>
      <w:r w:rsidR="009021AA" w:rsidRPr="004A3269">
        <w:rPr>
          <w:szCs w:val="22"/>
        </w:rPr>
        <w:t>’</w:t>
      </w:r>
      <w:r w:rsidR="00FE5087" w:rsidRPr="004A3269">
        <w:rPr>
          <w:szCs w:val="22"/>
        </w:rPr>
        <w:t>Organisation et les États</w:t>
      </w:r>
      <w:r w:rsidR="00A17552" w:rsidRPr="004A3269">
        <w:rPr>
          <w:szCs w:val="22"/>
        </w:rPr>
        <w:noBreakHyphen/>
      </w:r>
      <w:r w:rsidR="00FE5087" w:rsidRPr="004A3269">
        <w:rPr>
          <w:szCs w:val="22"/>
        </w:rPr>
        <w:t>Unis d</w:t>
      </w:r>
      <w:r w:rsidR="009021AA" w:rsidRPr="004A3269">
        <w:rPr>
          <w:szCs w:val="22"/>
        </w:rPr>
        <w:t>’</w:t>
      </w:r>
      <w:r w:rsidR="00FE5087" w:rsidRPr="004A3269">
        <w:rPr>
          <w:szCs w:val="22"/>
        </w:rPr>
        <w:t>Amérique.</w:t>
      </w:r>
      <w:r w:rsidR="00355F7B" w:rsidRPr="004A3269">
        <w:t xml:space="preserve"> </w:t>
      </w:r>
      <w:r w:rsidR="00672615" w:rsidRPr="004A3269">
        <w:t xml:space="preserve"> </w:t>
      </w:r>
      <w:r w:rsidR="00672615" w:rsidRPr="004A3269">
        <w:rPr>
          <w:szCs w:val="22"/>
        </w:rPr>
        <w:t>Ces impôts remboursables</w:t>
      </w:r>
      <w:r w:rsidR="005D2AB6" w:rsidRPr="004A3269">
        <w:t xml:space="preserve"> </w:t>
      </w:r>
      <w:r w:rsidR="005D2AB6" w:rsidRPr="004A3269">
        <w:rPr>
          <w:rStyle w:val="hps"/>
        </w:rPr>
        <w:t>sont évalués au coût</w:t>
      </w:r>
      <w:r w:rsidR="005D2AB6" w:rsidRPr="004A3269">
        <w:t xml:space="preserve"> </w:t>
      </w:r>
      <w:r w:rsidR="005D2AB6" w:rsidRPr="004A3269">
        <w:rPr>
          <w:rStyle w:val="hps"/>
        </w:rPr>
        <w:t>après amortissement, lequel</w:t>
      </w:r>
      <w:r w:rsidR="005D2AB6" w:rsidRPr="004A3269">
        <w:t xml:space="preserve"> </w:t>
      </w:r>
      <w:r w:rsidR="005D2AB6" w:rsidRPr="004A3269">
        <w:rPr>
          <w:rStyle w:val="hps"/>
        </w:rPr>
        <w:t>est calculé en fonction</w:t>
      </w:r>
      <w:r w:rsidR="005D2AB6" w:rsidRPr="004A3269">
        <w:t xml:space="preserve"> </w:t>
      </w:r>
      <w:r w:rsidR="005D2AB6" w:rsidRPr="004A3269">
        <w:rPr>
          <w:rStyle w:val="hps"/>
        </w:rPr>
        <w:t>des modèles</w:t>
      </w:r>
      <w:r w:rsidR="005D2AB6" w:rsidRPr="004A3269">
        <w:t xml:space="preserve"> </w:t>
      </w:r>
      <w:r w:rsidR="005D2AB6" w:rsidRPr="004A3269">
        <w:rPr>
          <w:rStyle w:val="hps"/>
        </w:rPr>
        <w:t>de paiement</w:t>
      </w:r>
      <w:r w:rsidR="00763A08" w:rsidRPr="004A3269">
        <w:rPr>
          <w:rStyle w:val="hps"/>
        </w:rPr>
        <w:t xml:space="preserve"> historiques</w:t>
      </w:r>
      <w:r w:rsidR="00355F7B" w:rsidRPr="004A3269">
        <w:rPr>
          <w:rFonts w:eastAsia="Calibri"/>
          <w:szCs w:val="22"/>
        </w:rPr>
        <w:t xml:space="preserve">. </w:t>
      </w:r>
      <w:r w:rsidR="005D2AB6" w:rsidRPr="004A3269">
        <w:rPr>
          <w:rFonts w:eastAsia="Calibri"/>
        </w:rPr>
        <w:t xml:space="preserve"> </w:t>
      </w:r>
      <w:r w:rsidR="00FE5087" w:rsidRPr="004A3269">
        <w:rPr>
          <w:rFonts w:eastAsia="Calibri"/>
          <w:szCs w:val="22"/>
        </w:rPr>
        <w:t>Les impôts suisses remboursables incluent les sommes versées pour payer</w:t>
      </w:r>
      <w:r w:rsidR="009021AA" w:rsidRPr="004A3269">
        <w:rPr>
          <w:rFonts w:eastAsia="Calibri"/>
          <w:szCs w:val="22"/>
        </w:rPr>
        <w:t xml:space="preserve"> la TVA</w:t>
      </w:r>
      <w:r w:rsidR="00FE5087" w:rsidRPr="004A3269">
        <w:rPr>
          <w:rFonts w:eastAsia="Calibri"/>
          <w:szCs w:val="22"/>
        </w:rPr>
        <w:t>, le droit de timbre et l</w:t>
      </w:r>
      <w:r w:rsidR="009021AA" w:rsidRPr="004A3269">
        <w:rPr>
          <w:rFonts w:eastAsia="Calibri"/>
          <w:szCs w:val="22"/>
        </w:rPr>
        <w:t>’</w:t>
      </w:r>
      <w:r w:rsidR="00FE5087" w:rsidRPr="004A3269">
        <w:rPr>
          <w:rFonts w:eastAsia="Calibri"/>
          <w:szCs w:val="22"/>
        </w:rPr>
        <w:t>impôt fédéral suisse anticipé pour lesquels l</w:t>
      </w:r>
      <w:r w:rsidR="009021AA" w:rsidRPr="004A3269">
        <w:rPr>
          <w:rFonts w:eastAsia="Calibri"/>
          <w:szCs w:val="22"/>
        </w:rPr>
        <w:t>’</w:t>
      </w:r>
      <w:r w:rsidR="00FE5087" w:rsidRPr="004A3269">
        <w:rPr>
          <w:rFonts w:eastAsia="Calibri"/>
          <w:szCs w:val="22"/>
        </w:rPr>
        <w:t>Organisation peut demander le remboursement au titre de l</w:t>
      </w:r>
      <w:r w:rsidR="009021AA" w:rsidRPr="004A3269">
        <w:rPr>
          <w:rFonts w:eastAsia="Calibri"/>
          <w:szCs w:val="22"/>
        </w:rPr>
        <w:t>’</w:t>
      </w:r>
      <w:r w:rsidR="00FE5087" w:rsidRPr="004A3269">
        <w:rPr>
          <w:rFonts w:eastAsia="Calibri"/>
          <w:szCs w:val="22"/>
        </w:rPr>
        <w:t>accord de siège qu</w:t>
      </w:r>
      <w:r w:rsidR="009021AA" w:rsidRPr="004A3269">
        <w:rPr>
          <w:rFonts w:eastAsia="Calibri"/>
          <w:szCs w:val="22"/>
        </w:rPr>
        <w:t>’</w:t>
      </w:r>
      <w:r w:rsidR="00FE5087" w:rsidRPr="004A3269">
        <w:rPr>
          <w:rFonts w:eastAsia="Calibri"/>
          <w:szCs w:val="22"/>
        </w:rPr>
        <w:t>elle a signé avec le Gouvernement suisse.</w:t>
      </w:r>
    </w:p>
    <w:p w:rsidR="00267140" w:rsidRDefault="00267140" w:rsidP="00355F7B">
      <w:pPr>
        <w:jc w:val="both"/>
        <w:rPr>
          <w:szCs w:val="22"/>
        </w:rPr>
      </w:pPr>
    </w:p>
    <w:p w:rsidR="00695FBE" w:rsidRPr="004A3269" w:rsidRDefault="00695FBE" w:rsidP="00355F7B">
      <w:pPr>
        <w:jc w:val="both"/>
        <w:rPr>
          <w:szCs w:val="22"/>
        </w:rPr>
      </w:pPr>
    </w:p>
    <w:p w:rsidR="00267140" w:rsidRPr="004A3269" w:rsidRDefault="00206022" w:rsidP="00206022">
      <w:pPr>
        <w:pStyle w:val="StyleHeading211ptNotBoldNotItalicAllcaps"/>
        <w:tabs>
          <w:tab w:val="left" w:pos="1701"/>
        </w:tabs>
        <w:spacing w:before="0" w:after="0"/>
      </w:pPr>
      <w:r w:rsidRPr="004A3269">
        <w:rPr>
          <w:b/>
          <w:i w:val="0"/>
        </w:rPr>
        <w:t>NOTE N°</w:t>
      </w:r>
      <w:r w:rsidRPr="004A3269">
        <w:rPr>
          <w:i w:val="0"/>
        </w:rPr>
        <w:t> </w:t>
      </w:r>
      <w:r w:rsidRPr="004A3269">
        <w:rPr>
          <w:b/>
          <w:i w:val="0"/>
        </w:rPr>
        <w:t>5</w:t>
      </w:r>
      <w:r w:rsidR="00A0797A" w:rsidRPr="004A3269">
        <w:rPr>
          <w:i w:val="0"/>
        </w:rPr>
        <w:t> :</w:t>
      </w:r>
      <w:r w:rsidRPr="004A3269">
        <w:rPr>
          <w:b/>
          <w:i w:val="0"/>
        </w:rPr>
        <w:t xml:space="preserve"> </w:t>
      </w:r>
      <w:r w:rsidRPr="004A3269">
        <w:rPr>
          <w:b/>
          <w:i w:val="0"/>
        </w:rPr>
        <w:tab/>
        <w:t>STOCKS</w:t>
      </w:r>
    </w:p>
    <w:p w:rsidR="00267140" w:rsidRPr="004A3269" w:rsidRDefault="00267140" w:rsidP="00A43A6E">
      <w:pPr>
        <w:jc w:val="center"/>
        <w:rPr>
          <w:sz w:val="20"/>
        </w:rPr>
      </w:pPr>
    </w:p>
    <w:p w:rsidR="00267140" w:rsidRPr="004A3269" w:rsidRDefault="007373BF" w:rsidP="007373BF">
      <w:pPr>
        <w:jc w:val="center"/>
        <w:rPr>
          <w:rStyle w:val="Style3Char"/>
          <w:szCs w:val="22"/>
          <w:lang w:val="fr-FR"/>
        </w:rPr>
      </w:pPr>
      <w:r w:rsidRPr="004A3269">
        <w:rPr>
          <w:noProof/>
          <w:lang w:val="en-US"/>
        </w:rPr>
        <w:drawing>
          <wp:inline distT="0" distB="0" distL="0" distR="0" wp14:anchorId="2A040048" wp14:editId="768B9E4C">
            <wp:extent cx="5602605" cy="1345565"/>
            <wp:effectExtent l="0" t="0" r="0" b="698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02605" cy="1345565"/>
                    </a:xfrm>
                    <a:prstGeom prst="rect">
                      <a:avLst/>
                    </a:prstGeom>
                    <a:noFill/>
                    <a:ln>
                      <a:noFill/>
                    </a:ln>
                  </pic:spPr>
                </pic:pic>
              </a:graphicData>
            </a:graphic>
          </wp:inline>
        </w:drawing>
      </w:r>
    </w:p>
    <w:p w:rsidR="007373BF" w:rsidRPr="004A3269" w:rsidRDefault="007373BF" w:rsidP="004E7EB2">
      <w:pPr>
        <w:jc w:val="both"/>
        <w:rPr>
          <w:rStyle w:val="Style3Char"/>
          <w:szCs w:val="22"/>
          <w:lang w:val="fr-FR"/>
        </w:rPr>
      </w:pPr>
    </w:p>
    <w:p w:rsidR="00267140" w:rsidRDefault="00FE5087" w:rsidP="00FE5087">
      <w:pPr>
        <w:jc w:val="both"/>
        <w:rPr>
          <w:rStyle w:val="Style3Char"/>
          <w:szCs w:val="22"/>
          <w:lang w:val="fr-FR"/>
        </w:rPr>
      </w:pPr>
      <w:r w:rsidRPr="004A3269">
        <w:rPr>
          <w:rStyle w:val="Style3Char"/>
          <w:szCs w:val="22"/>
          <w:lang w:val="fr-FR"/>
        </w:rPr>
        <w:t>Le montant de la dépréciation à la valeur nette de réalisation des stocks de publications a été de 0,1</w:t>
      </w:r>
      <w:r w:rsidR="00206022" w:rsidRPr="004A3269">
        <w:rPr>
          <w:rStyle w:val="Style3Char"/>
          <w:szCs w:val="22"/>
          <w:lang w:val="fr-FR"/>
        </w:rPr>
        <w:t> million de francs suisses (0,2 </w:t>
      </w:r>
      <w:r w:rsidRPr="004A3269">
        <w:rPr>
          <w:rStyle w:val="Style3Char"/>
          <w:szCs w:val="22"/>
          <w:lang w:val="fr-FR"/>
        </w:rPr>
        <w:t>million en</w:t>
      </w:r>
      <w:r w:rsidR="00067463" w:rsidRPr="004A3269">
        <w:rPr>
          <w:rStyle w:val="Style3Char"/>
          <w:szCs w:val="22"/>
          <w:lang w:val="fr-FR"/>
        </w:rPr>
        <w:t> </w:t>
      </w:r>
      <w:r w:rsidRPr="004A3269">
        <w:rPr>
          <w:rStyle w:val="Style3Char"/>
          <w:szCs w:val="22"/>
          <w:lang w:val="fr-FR"/>
        </w:rPr>
        <w:t>2013).</w:t>
      </w:r>
      <w:r w:rsidR="003545E3" w:rsidRPr="004A3269">
        <w:rPr>
          <w:rStyle w:val="Style3Char"/>
          <w:lang w:val="fr-FR"/>
        </w:rPr>
        <w:t xml:space="preserve"> </w:t>
      </w:r>
      <w:r w:rsidR="00206022" w:rsidRPr="004A3269">
        <w:rPr>
          <w:rStyle w:val="Style3Char"/>
          <w:lang w:val="fr-FR"/>
        </w:rPr>
        <w:t xml:space="preserve"> </w:t>
      </w:r>
      <w:r w:rsidRPr="004A3269">
        <w:rPr>
          <w:rStyle w:val="Style3Char"/>
          <w:szCs w:val="22"/>
          <w:lang w:val="fr-FR"/>
        </w:rPr>
        <w:t>Il n</w:t>
      </w:r>
      <w:r w:rsidR="009021AA" w:rsidRPr="004A3269">
        <w:rPr>
          <w:rStyle w:val="Style3Char"/>
          <w:szCs w:val="22"/>
          <w:lang w:val="fr-FR"/>
        </w:rPr>
        <w:t>’</w:t>
      </w:r>
      <w:r w:rsidRPr="004A3269">
        <w:rPr>
          <w:rStyle w:val="Style3Char"/>
          <w:szCs w:val="22"/>
          <w:lang w:val="fr-FR"/>
        </w:rPr>
        <w:t>y a pas eu de reprise du montant de la dépréciation.</w:t>
      </w:r>
    </w:p>
    <w:p w:rsidR="00695FBE" w:rsidRDefault="00695FBE" w:rsidP="00FE5087">
      <w:pPr>
        <w:jc w:val="both"/>
        <w:rPr>
          <w:rStyle w:val="Style3Char"/>
          <w:szCs w:val="22"/>
          <w:lang w:val="fr-FR"/>
        </w:rPr>
      </w:pPr>
    </w:p>
    <w:p w:rsidR="00695FBE" w:rsidRPr="004A3269" w:rsidRDefault="00695FBE" w:rsidP="00FE5087">
      <w:pPr>
        <w:jc w:val="both"/>
        <w:rPr>
          <w:szCs w:val="22"/>
        </w:rPr>
      </w:pPr>
    </w:p>
    <w:p w:rsidR="00267140" w:rsidRPr="004A3269" w:rsidRDefault="00206022" w:rsidP="00695FBE">
      <w:pPr>
        <w:pStyle w:val="StyleHeading211ptNotBoldNotItalicAllcaps"/>
        <w:keepLines/>
        <w:tabs>
          <w:tab w:val="left" w:pos="1701"/>
        </w:tabs>
        <w:spacing w:before="0" w:after="0"/>
      </w:pPr>
      <w:r w:rsidRPr="004A3269">
        <w:rPr>
          <w:b/>
          <w:i w:val="0"/>
        </w:rPr>
        <w:lastRenderedPageBreak/>
        <w:t>NOTE N°</w:t>
      </w:r>
      <w:r w:rsidRPr="004A3269">
        <w:rPr>
          <w:i w:val="0"/>
        </w:rPr>
        <w:t> </w:t>
      </w:r>
      <w:r w:rsidRPr="004A3269">
        <w:rPr>
          <w:b/>
          <w:i w:val="0"/>
        </w:rPr>
        <w:t>6</w:t>
      </w:r>
      <w:r w:rsidR="00A0797A" w:rsidRPr="004A3269">
        <w:rPr>
          <w:i w:val="0"/>
        </w:rPr>
        <w:t> :</w:t>
      </w:r>
      <w:r w:rsidRPr="004A3269">
        <w:rPr>
          <w:b/>
          <w:i w:val="0"/>
        </w:rPr>
        <w:t xml:space="preserve"> </w:t>
      </w:r>
      <w:r w:rsidRPr="004A3269">
        <w:rPr>
          <w:b/>
          <w:i w:val="0"/>
        </w:rPr>
        <w:tab/>
        <w:t>MATÉRIEL</w:t>
      </w:r>
    </w:p>
    <w:p w:rsidR="00267140" w:rsidRPr="00695FBE" w:rsidRDefault="00267140" w:rsidP="00695FBE">
      <w:pPr>
        <w:keepNext/>
        <w:keepLines/>
      </w:pPr>
    </w:p>
    <w:p w:rsidR="007373BF" w:rsidRPr="004A3269" w:rsidRDefault="007373BF" w:rsidP="00695FBE">
      <w:pPr>
        <w:pStyle w:val="Style3"/>
        <w:keepNext/>
        <w:keepLines/>
        <w:spacing w:after="0"/>
        <w:jc w:val="center"/>
      </w:pPr>
      <w:r w:rsidRPr="004A3269">
        <w:rPr>
          <w:noProof/>
          <w:lang w:val="en-US"/>
        </w:rPr>
        <w:drawing>
          <wp:inline distT="0" distB="0" distL="0" distR="0" wp14:anchorId="52FA492F" wp14:editId="66D681D0">
            <wp:extent cx="5593977" cy="3325947"/>
            <wp:effectExtent l="0" t="0" r="6985" b="825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99654" cy="3329323"/>
                    </a:xfrm>
                    <a:prstGeom prst="rect">
                      <a:avLst/>
                    </a:prstGeom>
                    <a:noFill/>
                    <a:ln>
                      <a:noFill/>
                    </a:ln>
                  </pic:spPr>
                </pic:pic>
              </a:graphicData>
            </a:graphic>
          </wp:inline>
        </w:drawing>
      </w:r>
    </w:p>
    <w:p w:rsidR="007373BF" w:rsidRPr="004A3269" w:rsidRDefault="007373BF" w:rsidP="009E2869">
      <w:pPr>
        <w:pStyle w:val="Style3"/>
        <w:spacing w:after="0"/>
        <w:jc w:val="center"/>
      </w:pPr>
    </w:p>
    <w:p w:rsidR="007373BF" w:rsidRPr="004A3269" w:rsidRDefault="007373BF" w:rsidP="0088188A">
      <w:pPr>
        <w:pStyle w:val="Style3"/>
        <w:spacing w:after="0"/>
        <w:jc w:val="center"/>
      </w:pPr>
      <w:r w:rsidRPr="004A3269">
        <w:rPr>
          <w:noProof/>
          <w:lang w:val="en-US"/>
        </w:rPr>
        <w:drawing>
          <wp:inline distT="0" distB="0" distL="0" distR="0" wp14:anchorId="0296E269" wp14:editId="71787FE0">
            <wp:extent cx="5655449" cy="3362496"/>
            <wp:effectExtent l="0" t="0" r="254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61189" cy="3365909"/>
                    </a:xfrm>
                    <a:prstGeom prst="rect">
                      <a:avLst/>
                    </a:prstGeom>
                    <a:noFill/>
                    <a:ln>
                      <a:noFill/>
                    </a:ln>
                  </pic:spPr>
                </pic:pic>
              </a:graphicData>
            </a:graphic>
          </wp:inline>
        </w:drawing>
      </w:r>
    </w:p>
    <w:p w:rsidR="007373BF" w:rsidRPr="004A3269" w:rsidRDefault="007373BF" w:rsidP="007373BF">
      <w:pPr>
        <w:pStyle w:val="Style3"/>
        <w:spacing w:after="0"/>
      </w:pPr>
    </w:p>
    <w:p w:rsidR="00267140" w:rsidRPr="004A3269" w:rsidRDefault="00FE5087" w:rsidP="00FE5087">
      <w:pPr>
        <w:jc w:val="both"/>
      </w:pPr>
      <w:r w:rsidRPr="004A3269">
        <w:rPr>
          <w:szCs w:val="22"/>
        </w:rPr>
        <w:t>Tout le matériel répertorié dans les stocks est évalué au coût diminué de l</w:t>
      </w:r>
      <w:r w:rsidR="009021AA" w:rsidRPr="004A3269">
        <w:rPr>
          <w:szCs w:val="22"/>
        </w:rPr>
        <w:t>’</w:t>
      </w:r>
      <w:r w:rsidRPr="004A3269">
        <w:rPr>
          <w:szCs w:val="22"/>
        </w:rPr>
        <w:t>amortissement des coûts sur une base linéaire.</w:t>
      </w:r>
      <w:r w:rsidR="008C6D96" w:rsidRPr="004A3269">
        <w:t xml:space="preserve"> </w:t>
      </w:r>
      <w:r w:rsidR="00206022" w:rsidRPr="004A3269">
        <w:t xml:space="preserve"> </w:t>
      </w:r>
      <w:r w:rsidRPr="004A3269">
        <w:rPr>
          <w:szCs w:val="22"/>
        </w:rPr>
        <w:t>Meubles et mobilier sont amortis sur une durée d</w:t>
      </w:r>
      <w:r w:rsidR="009021AA" w:rsidRPr="004A3269">
        <w:rPr>
          <w:szCs w:val="22"/>
        </w:rPr>
        <w:t>’</w:t>
      </w:r>
      <w:r w:rsidRPr="004A3269">
        <w:rPr>
          <w:szCs w:val="22"/>
        </w:rPr>
        <w:t>utilité de 10</w:t>
      </w:r>
      <w:r w:rsidR="00206022" w:rsidRPr="004A3269">
        <w:rPr>
          <w:szCs w:val="22"/>
        </w:rPr>
        <w:t> </w:t>
      </w:r>
      <w:r w:rsidRPr="004A3269">
        <w:rPr>
          <w:szCs w:val="22"/>
        </w:rPr>
        <w:t>ans.</w:t>
      </w:r>
      <w:r w:rsidR="008C6D96" w:rsidRPr="004A3269">
        <w:t xml:space="preserve">  </w:t>
      </w:r>
      <w:r w:rsidRPr="004A3269">
        <w:rPr>
          <w:szCs w:val="22"/>
        </w:rPr>
        <w:t>Tous les autres équipements sont amortis sur une durée d</w:t>
      </w:r>
      <w:r w:rsidR="009021AA" w:rsidRPr="004A3269">
        <w:rPr>
          <w:szCs w:val="22"/>
        </w:rPr>
        <w:t>’</w:t>
      </w:r>
      <w:r w:rsidRPr="004A3269">
        <w:rPr>
          <w:szCs w:val="22"/>
        </w:rPr>
        <w:t>utilité de cinq</w:t>
      </w:r>
      <w:r w:rsidR="00206022" w:rsidRPr="004A3269">
        <w:rPr>
          <w:szCs w:val="22"/>
        </w:rPr>
        <w:t> </w:t>
      </w:r>
      <w:r w:rsidRPr="004A3269">
        <w:rPr>
          <w:szCs w:val="22"/>
        </w:rPr>
        <w:t>ans.</w:t>
      </w:r>
      <w:r w:rsidR="00206022" w:rsidRPr="004A3269">
        <w:rPr>
          <w:szCs w:val="22"/>
        </w:rPr>
        <w:t xml:space="preserve"> </w:t>
      </w:r>
      <w:r w:rsidR="009E2869" w:rsidRPr="004A3269">
        <w:t xml:space="preserve"> </w:t>
      </w:r>
      <w:r w:rsidR="009D44DD" w:rsidRPr="004A3269">
        <w:rPr>
          <w:rStyle w:val="hps"/>
        </w:rPr>
        <w:t>Les sorties de matériel</w:t>
      </w:r>
      <w:r w:rsidR="00D16BFD" w:rsidRPr="004A3269">
        <w:rPr>
          <w:rStyle w:val="hps"/>
        </w:rPr>
        <w:t xml:space="preserve"> au cours de</w:t>
      </w:r>
      <w:r w:rsidR="00D16BFD" w:rsidRPr="004A3269">
        <w:t xml:space="preserve"> l</w:t>
      </w:r>
      <w:r w:rsidR="009021AA" w:rsidRPr="004A3269">
        <w:t>’</w:t>
      </w:r>
      <w:r w:rsidR="00D16BFD" w:rsidRPr="004A3269">
        <w:t>année </w:t>
      </w:r>
      <w:r w:rsidR="00D16BFD" w:rsidRPr="004A3269">
        <w:rPr>
          <w:rStyle w:val="hps"/>
        </w:rPr>
        <w:t xml:space="preserve">2014 </w:t>
      </w:r>
      <w:r w:rsidR="00D16BFD" w:rsidRPr="004A3269">
        <w:t>concernai</w:t>
      </w:r>
      <w:r w:rsidR="009D44DD" w:rsidRPr="004A3269">
        <w:t>en</w:t>
      </w:r>
      <w:r w:rsidR="00D16BFD" w:rsidRPr="004A3269">
        <w:t xml:space="preserve">t </w:t>
      </w:r>
      <w:r w:rsidR="00BB2881" w:rsidRPr="004A3269">
        <w:t xml:space="preserve">essentiellement </w:t>
      </w:r>
      <w:r w:rsidR="00D16BFD" w:rsidRPr="004A3269">
        <w:t>le matériel</w:t>
      </w:r>
      <w:r w:rsidR="00D16BFD" w:rsidRPr="004A3269">
        <w:rPr>
          <w:rStyle w:val="hps"/>
        </w:rPr>
        <w:t xml:space="preserve"> obsolète d</w:t>
      </w:r>
      <w:r w:rsidR="009021AA" w:rsidRPr="004A3269">
        <w:rPr>
          <w:rStyle w:val="hps"/>
        </w:rPr>
        <w:t>’</w:t>
      </w:r>
      <w:r w:rsidR="00D16BFD" w:rsidRPr="004A3269">
        <w:rPr>
          <w:rStyle w:val="hps"/>
        </w:rPr>
        <w:t>une</w:t>
      </w:r>
      <w:r w:rsidR="00D16BFD" w:rsidRPr="004A3269">
        <w:t xml:space="preserve"> </w:t>
      </w:r>
      <w:r w:rsidR="00D16BFD" w:rsidRPr="004A3269">
        <w:rPr>
          <w:rStyle w:val="hps"/>
        </w:rPr>
        <w:t>valeur brute</w:t>
      </w:r>
      <w:r w:rsidR="00D16BFD" w:rsidRPr="004A3269">
        <w:t xml:space="preserve"> </w:t>
      </w:r>
      <w:r w:rsidR="00D16BFD" w:rsidRPr="004A3269">
        <w:rPr>
          <w:rStyle w:val="hps"/>
        </w:rPr>
        <w:t>de 5,3</w:t>
      </w:r>
      <w:r w:rsidR="00D16BFD" w:rsidRPr="004A3269">
        <w:t> </w:t>
      </w:r>
      <w:r w:rsidR="00D16BFD" w:rsidRPr="004A3269">
        <w:rPr>
          <w:rStyle w:val="hps"/>
        </w:rPr>
        <w:t>millions de francs suisses</w:t>
      </w:r>
      <w:r w:rsidR="00D16BFD" w:rsidRPr="004A3269">
        <w:t xml:space="preserve"> </w:t>
      </w:r>
      <w:r w:rsidR="00D16BFD" w:rsidRPr="004A3269">
        <w:rPr>
          <w:rStyle w:val="hps"/>
        </w:rPr>
        <w:t>et</w:t>
      </w:r>
      <w:r w:rsidR="00D16BFD" w:rsidRPr="004A3269">
        <w:t xml:space="preserve">, </w:t>
      </w:r>
      <w:r w:rsidR="00D16BFD" w:rsidRPr="004A3269">
        <w:rPr>
          <w:rStyle w:val="hps"/>
        </w:rPr>
        <w:t>après</w:t>
      </w:r>
      <w:r w:rsidR="00D16BFD" w:rsidRPr="004A3269">
        <w:t xml:space="preserve"> </w:t>
      </w:r>
      <w:r w:rsidR="00D16BFD" w:rsidRPr="004A3269">
        <w:rPr>
          <w:rStyle w:val="hps"/>
        </w:rPr>
        <w:t>amortissement</w:t>
      </w:r>
      <w:r w:rsidR="009D44DD" w:rsidRPr="004A3269">
        <w:rPr>
          <w:rStyle w:val="hps"/>
        </w:rPr>
        <w:t>s</w:t>
      </w:r>
      <w:r w:rsidR="00D16BFD" w:rsidRPr="004A3269">
        <w:t xml:space="preserve"> </w:t>
      </w:r>
      <w:r w:rsidR="00D16BFD" w:rsidRPr="004A3269">
        <w:rPr>
          <w:rStyle w:val="hps"/>
        </w:rPr>
        <w:t>cumulé</w:t>
      </w:r>
      <w:r w:rsidR="009D44DD" w:rsidRPr="004A3269">
        <w:rPr>
          <w:rStyle w:val="hps"/>
        </w:rPr>
        <w:t>s</w:t>
      </w:r>
      <w:r w:rsidR="00D16BFD" w:rsidRPr="004A3269">
        <w:t xml:space="preserve">, </w:t>
      </w:r>
      <w:r w:rsidR="00BB2881" w:rsidRPr="004A3269">
        <w:t>d</w:t>
      </w:r>
      <w:r w:rsidR="009021AA" w:rsidRPr="004A3269">
        <w:t>’</w:t>
      </w:r>
      <w:r w:rsidR="00D16BFD" w:rsidRPr="004A3269">
        <w:rPr>
          <w:rStyle w:val="hps"/>
        </w:rPr>
        <w:t>une</w:t>
      </w:r>
      <w:r w:rsidR="00D16BFD" w:rsidRPr="004A3269">
        <w:t xml:space="preserve"> </w:t>
      </w:r>
      <w:r w:rsidR="00D16BFD" w:rsidRPr="004A3269">
        <w:rPr>
          <w:rStyle w:val="hps"/>
        </w:rPr>
        <w:t xml:space="preserve">valeur </w:t>
      </w:r>
      <w:r w:rsidR="00BB2881" w:rsidRPr="004A3269">
        <w:rPr>
          <w:rStyle w:val="hps"/>
        </w:rPr>
        <w:t xml:space="preserve">comptable </w:t>
      </w:r>
      <w:r w:rsidR="00D16BFD" w:rsidRPr="004A3269">
        <w:rPr>
          <w:rStyle w:val="hps"/>
        </w:rPr>
        <w:t>nette de</w:t>
      </w:r>
      <w:r w:rsidR="00067463" w:rsidRPr="004A3269">
        <w:rPr>
          <w:rStyle w:val="hps"/>
        </w:rPr>
        <w:t> </w:t>
      </w:r>
      <w:r w:rsidR="00D16BFD" w:rsidRPr="004A3269">
        <w:rPr>
          <w:rStyle w:val="hps"/>
        </w:rPr>
        <w:t>8771</w:t>
      </w:r>
      <w:r w:rsidR="00D16BFD" w:rsidRPr="004A3269">
        <w:t> </w:t>
      </w:r>
      <w:r w:rsidR="00D16BFD" w:rsidRPr="004A3269">
        <w:rPr>
          <w:rStyle w:val="hps"/>
        </w:rPr>
        <w:t>francs suisses</w:t>
      </w:r>
      <w:r w:rsidR="00D16BFD" w:rsidRPr="004A3269">
        <w:t xml:space="preserve">.  </w:t>
      </w:r>
      <w:r w:rsidR="009D44DD" w:rsidRPr="004A3269">
        <w:rPr>
          <w:rStyle w:val="hps"/>
        </w:rPr>
        <w:t>Ces</w:t>
      </w:r>
      <w:r w:rsidR="00D16BFD" w:rsidRPr="004A3269">
        <w:t xml:space="preserve"> </w:t>
      </w:r>
      <w:r w:rsidR="00D16BFD" w:rsidRPr="004A3269">
        <w:rPr>
          <w:rStyle w:val="hps"/>
        </w:rPr>
        <w:t>sortie</w:t>
      </w:r>
      <w:r w:rsidR="00BB2881" w:rsidRPr="004A3269">
        <w:t xml:space="preserve">s </w:t>
      </w:r>
      <w:r w:rsidR="009D44DD" w:rsidRPr="004A3269">
        <w:rPr>
          <w:rStyle w:val="hps"/>
        </w:rPr>
        <w:t>comprennent</w:t>
      </w:r>
      <w:r w:rsidR="00D16BFD" w:rsidRPr="004A3269">
        <w:t xml:space="preserve"> </w:t>
      </w:r>
      <w:r w:rsidR="00D16BFD" w:rsidRPr="004A3269">
        <w:rPr>
          <w:rStyle w:val="hps"/>
        </w:rPr>
        <w:t xml:space="preserve">la </w:t>
      </w:r>
      <w:r w:rsidR="00885CFC" w:rsidRPr="004A3269">
        <w:rPr>
          <w:rStyle w:val="hps"/>
        </w:rPr>
        <w:t xml:space="preserve">passation par pertes et profits du </w:t>
      </w:r>
      <w:r w:rsidR="00BB2881" w:rsidRPr="004A3269">
        <w:rPr>
          <w:rStyle w:val="hps"/>
        </w:rPr>
        <w:t>matériel</w:t>
      </w:r>
      <w:r w:rsidR="00D16BFD" w:rsidRPr="004A3269">
        <w:t xml:space="preserve"> </w:t>
      </w:r>
      <w:r w:rsidR="00BB2881" w:rsidRPr="004A3269">
        <w:rPr>
          <w:rStyle w:val="hps"/>
        </w:rPr>
        <w:t>ne pouvant être localisé</w:t>
      </w:r>
      <w:r w:rsidR="00D16BFD" w:rsidRPr="004A3269">
        <w:t xml:space="preserve">, </w:t>
      </w:r>
      <w:r w:rsidR="00BB2881" w:rsidRPr="004A3269">
        <w:rPr>
          <w:rStyle w:val="hps"/>
        </w:rPr>
        <w:t>d</w:t>
      </w:r>
      <w:r w:rsidR="009021AA" w:rsidRPr="004A3269">
        <w:rPr>
          <w:rStyle w:val="hps"/>
        </w:rPr>
        <w:t>’</w:t>
      </w:r>
      <w:r w:rsidR="00D16BFD" w:rsidRPr="004A3269">
        <w:rPr>
          <w:rStyle w:val="hps"/>
        </w:rPr>
        <w:t>une</w:t>
      </w:r>
      <w:r w:rsidR="00D16BFD" w:rsidRPr="004A3269">
        <w:t xml:space="preserve"> </w:t>
      </w:r>
      <w:r w:rsidR="00D16BFD" w:rsidRPr="004A3269">
        <w:rPr>
          <w:rStyle w:val="hps"/>
        </w:rPr>
        <w:t>valeur brute</w:t>
      </w:r>
      <w:r w:rsidR="00D16BFD" w:rsidRPr="004A3269">
        <w:t xml:space="preserve"> </w:t>
      </w:r>
      <w:r w:rsidR="00D16BFD" w:rsidRPr="004A3269">
        <w:rPr>
          <w:rStyle w:val="hps"/>
        </w:rPr>
        <w:t>de 0,8</w:t>
      </w:r>
      <w:r w:rsidR="00BB2881" w:rsidRPr="004A3269">
        <w:t> </w:t>
      </w:r>
      <w:r w:rsidR="00BB2881" w:rsidRPr="004A3269">
        <w:rPr>
          <w:rStyle w:val="hps"/>
        </w:rPr>
        <w:t xml:space="preserve">million </w:t>
      </w:r>
      <w:r w:rsidR="00D16BFD" w:rsidRPr="004A3269">
        <w:rPr>
          <w:rStyle w:val="hps"/>
        </w:rPr>
        <w:t>de francs suisses</w:t>
      </w:r>
      <w:r w:rsidR="00D16BFD" w:rsidRPr="004A3269">
        <w:t xml:space="preserve"> </w:t>
      </w:r>
      <w:r w:rsidR="00D16BFD" w:rsidRPr="004A3269">
        <w:rPr>
          <w:rStyle w:val="hps"/>
        </w:rPr>
        <w:t>et</w:t>
      </w:r>
      <w:r w:rsidR="00D16BFD" w:rsidRPr="004A3269">
        <w:t xml:space="preserve"> </w:t>
      </w:r>
      <w:r w:rsidR="00BB2881" w:rsidRPr="004A3269">
        <w:t>d</w:t>
      </w:r>
      <w:r w:rsidR="009021AA" w:rsidRPr="004A3269">
        <w:t>’</w:t>
      </w:r>
      <w:r w:rsidR="00D16BFD" w:rsidRPr="004A3269">
        <w:rPr>
          <w:rStyle w:val="hps"/>
        </w:rPr>
        <w:t>une valeur comptable</w:t>
      </w:r>
      <w:r w:rsidR="00D16BFD" w:rsidRPr="004A3269">
        <w:t xml:space="preserve"> </w:t>
      </w:r>
      <w:r w:rsidR="00D16BFD" w:rsidRPr="004A3269">
        <w:rPr>
          <w:rStyle w:val="hps"/>
        </w:rPr>
        <w:t>nette de</w:t>
      </w:r>
      <w:r w:rsidR="00067463" w:rsidRPr="004A3269">
        <w:rPr>
          <w:rStyle w:val="hps"/>
        </w:rPr>
        <w:t> </w:t>
      </w:r>
      <w:r w:rsidR="00BB2881" w:rsidRPr="004A3269">
        <w:rPr>
          <w:rStyle w:val="hps"/>
        </w:rPr>
        <w:t>5</w:t>
      </w:r>
      <w:r w:rsidR="00D16BFD" w:rsidRPr="004A3269">
        <w:rPr>
          <w:rStyle w:val="hps"/>
        </w:rPr>
        <w:t>657</w:t>
      </w:r>
      <w:r w:rsidR="00BB2881" w:rsidRPr="004A3269">
        <w:rPr>
          <w:rStyle w:val="hps"/>
        </w:rPr>
        <w:t> </w:t>
      </w:r>
      <w:r w:rsidR="00D16BFD" w:rsidRPr="004A3269">
        <w:rPr>
          <w:rStyle w:val="hps"/>
        </w:rPr>
        <w:t xml:space="preserve">francs suisses. </w:t>
      </w:r>
      <w:r w:rsidR="00206022" w:rsidRPr="004A3269">
        <w:rPr>
          <w:rStyle w:val="hps"/>
        </w:rPr>
        <w:t xml:space="preserve"> </w:t>
      </w:r>
      <w:r w:rsidRPr="004A3269">
        <w:rPr>
          <w:szCs w:val="22"/>
        </w:rPr>
        <w:t>Les actifs historiques, dont des œuvres d</w:t>
      </w:r>
      <w:r w:rsidR="009021AA" w:rsidRPr="004A3269">
        <w:rPr>
          <w:szCs w:val="22"/>
        </w:rPr>
        <w:t>’</w:t>
      </w:r>
      <w:r w:rsidRPr="004A3269">
        <w:rPr>
          <w:szCs w:val="22"/>
        </w:rPr>
        <w:t>art léguées, ne sont pas comptabilisés en tant qu</w:t>
      </w:r>
      <w:r w:rsidR="009021AA" w:rsidRPr="004A3269">
        <w:rPr>
          <w:szCs w:val="22"/>
        </w:rPr>
        <w:t>’</w:t>
      </w:r>
      <w:r w:rsidRPr="004A3269">
        <w:rPr>
          <w:szCs w:val="22"/>
        </w:rPr>
        <w:t>actifs dans l</w:t>
      </w:r>
      <w:r w:rsidR="009021AA" w:rsidRPr="004A3269">
        <w:rPr>
          <w:szCs w:val="22"/>
        </w:rPr>
        <w:t>’</w:t>
      </w:r>
      <w:r w:rsidRPr="004A3269">
        <w:rPr>
          <w:szCs w:val="22"/>
        </w:rPr>
        <w:t>état de la situation financière.</w:t>
      </w:r>
    </w:p>
    <w:p w:rsidR="00267140" w:rsidRPr="004A3269" w:rsidRDefault="00A74529" w:rsidP="00206022">
      <w:pPr>
        <w:pStyle w:val="StyleHeading211ptNotBoldNotItalicAllcaps"/>
        <w:tabs>
          <w:tab w:val="left" w:pos="1701"/>
        </w:tabs>
        <w:spacing w:before="0" w:after="0"/>
        <w:rPr>
          <w:b/>
          <w:i w:val="0"/>
        </w:rPr>
      </w:pPr>
      <w:r w:rsidRPr="004A3269">
        <w:br w:type="page"/>
      </w:r>
      <w:r w:rsidR="00206022" w:rsidRPr="004A3269">
        <w:rPr>
          <w:b/>
          <w:i w:val="0"/>
        </w:rPr>
        <w:lastRenderedPageBreak/>
        <w:t>NOTE N° 7</w:t>
      </w:r>
      <w:r w:rsidR="00A0797A" w:rsidRPr="004A3269">
        <w:rPr>
          <w:b/>
          <w:i w:val="0"/>
        </w:rPr>
        <w:t> :</w:t>
      </w:r>
      <w:r w:rsidR="00067463" w:rsidRPr="004A3269">
        <w:rPr>
          <w:b/>
          <w:i w:val="0"/>
        </w:rPr>
        <w:t xml:space="preserve"> </w:t>
      </w:r>
      <w:r w:rsidR="00206022" w:rsidRPr="004A3269">
        <w:rPr>
          <w:b/>
          <w:i w:val="0"/>
        </w:rPr>
        <w:tab/>
      </w:r>
      <w:r w:rsidR="00694B00" w:rsidRPr="004A3269">
        <w:rPr>
          <w:b/>
          <w:i w:val="0"/>
        </w:rPr>
        <w:t>IMMEUBLE DE PLACEMENT</w:t>
      </w:r>
    </w:p>
    <w:p w:rsidR="00267140" w:rsidRPr="004A3269" w:rsidRDefault="00267140" w:rsidP="0017684B">
      <w:pPr>
        <w:jc w:val="both"/>
        <w:rPr>
          <w:szCs w:val="22"/>
        </w:rPr>
      </w:pPr>
    </w:p>
    <w:p w:rsidR="00267140" w:rsidRPr="004A3269" w:rsidRDefault="007373BF" w:rsidP="00853A89">
      <w:pPr>
        <w:pStyle w:val="Style3"/>
        <w:spacing w:after="0"/>
        <w:jc w:val="center"/>
        <w:rPr>
          <w:rFonts w:ascii="Times New Roman" w:hAnsi="Times New Roman"/>
          <w:sz w:val="20"/>
        </w:rPr>
      </w:pPr>
      <w:r w:rsidRPr="004A3269">
        <w:rPr>
          <w:noProof/>
          <w:lang w:val="en-US"/>
        </w:rPr>
        <w:drawing>
          <wp:inline distT="0" distB="0" distL="0" distR="0" wp14:anchorId="4D5C5EC6" wp14:editId="6BAC9DC1">
            <wp:extent cx="5730875" cy="1513205"/>
            <wp:effectExtent l="0" t="0" r="317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30875" cy="1513205"/>
                    </a:xfrm>
                    <a:prstGeom prst="rect">
                      <a:avLst/>
                    </a:prstGeom>
                    <a:noFill/>
                    <a:ln>
                      <a:noFill/>
                    </a:ln>
                  </pic:spPr>
                </pic:pic>
              </a:graphicData>
            </a:graphic>
          </wp:inline>
        </w:drawing>
      </w:r>
    </w:p>
    <w:p w:rsidR="007373BF" w:rsidRPr="004A3269" w:rsidRDefault="007373BF" w:rsidP="007373BF"/>
    <w:p w:rsidR="009021AA" w:rsidRPr="004A3269" w:rsidRDefault="00CA0F35" w:rsidP="00CA0F35">
      <w:pPr>
        <w:pStyle w:val="Style3"/>
        <w:spacing w:after="0"/>
        <w:rPr>
          <w:szCs w:val="22"/>
        </w:rPr>
      </w:pPr>
      <w:r w:rsidRPr="004A3269">
        <w:rPr>
          <w:szCs w:val="22"/>
        </w:rPr>
        <w:t>L</w:t>
      </w:r>
      <w:r w:rsidR="009021AA" w:rsidRPr="004A3269">
        <w:rPr>
          <w:szCs w:val="22"/>
        </w:rPr>
        <w:t>’</w:t>
      </w:r>
      <w:r w:rsidRPr="004A3269">
        <w:rPr>
          <w:szCs w:val="22"/>
        </w:rPr>
        <w:t>Organisation a acquis en</w:t>
      </w:r>
      <w:r w:rsidR="00067463" w:rsidRPr="004A3269">
        <w:rPr>
          <w:szCs w:val="22"/>
        </w:rPr>
        <w:t> </w:t>
      </w:r>
      <w:r w:rsidRPr="004A3269">
        <w:rPr>
          <w:szCs w:val="22"/>
        </w:rPr>
        <w:t>1974 le bâtiment de l</w:t>
      </w:r>
      <w:r w:rsidR="009021AA" w:rsidRPr="004A3269">
        <w:rPr>
          <w:szCs w:val="22"/>
        </w:rPr>
        <w:t>’</w:t>
      </w:r>
      <w:r w:rsidRPr="004A3269">
        <w:rPr>
          <w:szCs w:val="22"/>
        </w:rPr>
        <w:t>Union de Madrid, un immeuble de placement à Meyrin, dans le Canton de Genève (Suisse).</w:t>
      </w:r>
      <w:r w:rsidR="008C6D96" w:rsidRPr="004A3269">
        <w:t xml:space="preserve"> </w:t>
      </w:r>
      <w:r w:rsidR="00206022" w:rsidRPr="004A3269">
        <w:t xml:space="preserve"> </w:t>
      </w:r>
      <w:r w:rsidRPr="004A3269">
        <w:rPr>
          <w:szCs w:val="22"/>
        </w:rPr>
        <w:t>Ce bâtiment avait été mis en service en</w:t>
      </w:r>
      <w:r w:rsidR="00067463" w:rsidRPr="004A3269">
        <w:rPr>
          <w:szCs w:val="22"/>
        </w:rPr>
        <w:t> </w:t>
      </w:r>
      <w:r w:rsidRPr="004A3269">
        <w:rPr>
          <w:szCs w:val="22"/>
        </w:rPr>
        <w:t>1964</w:t>
      </w:r>
      <w:r w:rsidR="00A0797A" w:rsidRPr="004A3269">
        <w:rPr>
          <w:szCs w:val="22"/>
        </w:rPr>
        <w:t xml:space="preserve">.  </w:t>
      </w:r>
      <w:r w:rsidRPr="004A3269">
        <w:rPr>
          <w:szCs w:val="22"/>
        </w:rPr>
        <w:t>Il est évalué à la juste valeur au 31</w:t>
      </w:r>
      <w:r w:rsidR="00206022" w:rsidRPr="004A3269">
        <w:rPr>
          <w:szCs w:val="22"/>
        </w:rPr>
        <w:t> </w:t>
      </w:r>
      <w:r w:rsidRPr="004A3269">
        <w:rPr>
          <w:szCs w:val="22"/>
        </w:rPr>
        <w:t>décembre</w:t>
      </w:r>
      <w:r w:rsidR="00206022" w:rsidRPr="004A3269">
        <w:rPr>
          <w:szCs w:val="22"/>
        </w:rPr>
        <w:t> </w:t>
      </w:r>
      <w:r w:rsidRPr="004A3269">
        <w:rPr>
          <w:szCs w:val="22"/>
        </w:rPr>
        <w:t>2012 sur la base d</w:t>
      </w:r>
      <w:r w:rsidR="009021AA" w:rsidRPr="004A3269">
        <w:rPr>
          <w:szCs w:val="22"/>
        </w:rPr>
        <w:t>’</w:t>
      </w:r>
      <w:r w:rsidRPr="004A3269">
        <w:rPr>
          <w:szCs w:val="22"/>
        </w:rPr>
        <w:t>une évaluation effectuée par un expert indépendant reconnu et qualifié ayant une expérience récente dans l</w:t>
      </w:r>
      <w:r w:rsidR="009021AA" w:rsidRPr="004A3269">
        <w:rPr>
          <w:szCs w:val="22"/>
        </w:rPr>
        <w:t>’</w:t>
      </w:r>
      <w:r w:rsidRPr="004A3269">
        <w:rPr>
          <w:szCs w:val="22"/>
        </w:rPr>
        <w:t>évaluation des biens dans le canton de Genève.</w:t>
      </w:r>
      <w:r w:rsidR="008C6D96" w:rsidRPr="004A3269">
        <w:t xml:space="preserve"> </w:t>
      </w:r>
      <w:r w:rsidR="00206022" w:rsidRPr="004A3269">
        <w:t xml:space="preserve"> </w:t>
      </w:r>
      <w:r w:rsidRPr="004A3269">
        <w:rPr>
          <w:szCs w:val="22"/>
        </w:rPr>
        <w:t>La juste valeur a été déterminée sur la base d</w:t>
      </w:r>
      <w:r w:rsidR="009021AA" w:rsidRPr="004A3269">
        <w:rPr>
          <w:szCs w:val="22"/>
        </w:rPr>
        <w:t>’</w:t>
      </w:r>
      <w:r w:rsidRPr="004A3269">
        <w:rPr>
          <w:szCs w:val="22"/>
        </w:rPr>
        <w:t>une évaluation fondée sur le placement, ce qui signifie que le montant estimé des recettes provenant de la propriété est comptabilisé à un taux de rendement approprié.</w:t>
      </w:r>
      <w:r w:rsidR="008C6D96" w:rsidRPr="004A3269">
        <w:t xml:space="preserve"> </w:t>
      </w:r>
      <w:r w:rsidR="00206022" w:rsidRPr="004A3269">
        <w:t xml:space="preserve"> </w:t>
      </w:r>
      <w:r w:rsidRPr="004A3269">
        <w:rPr>
          <w:szCs w:val="22"/>
        </w:rPr>
        <w:t>Le rendement a été choisi par rapport à la qualité perçue et à la durée du revenu, ainsi qu</w:t>
      </w:r>
      <w:r w:rsidR="009021AA" w:rsidRPr="004A3269">
        <w:rPr>
          <w:szCs w:val="22"/>
        </w:rPr>
        <w:t>’</w:t>
      </w:r>
      <w:r w:rsidRPr="004A3269">
        <w:rPr>
          <w:szCs w:val="22"/>
        </w:rPr>
        <w:t>au potentiel de croissance des loyers, et a été recoupé avec les résultats de ventes comparables.</w:t>
      </w:r>
      <w:r w:rsidR="003E7975" w:rsidRPr="004A3269">
        <w:t xml:space="preserve"> </w:t>
      </w:r>
      <w:r w:rsidR="00206022" w:rsidRPr="004A3269">
        <w:t xml:space="preserve"> </w:t>
      </w:r>
      <w:r w:rsidRPr="004A3269">
        <w:rPr>
          <w:szCs w:val="22"/>
        </w:rPr>
        <w:t>L</w:t>
      </w:r>
      <w:r w:rsidR="009021AA" w:rsidRPr="004A3269">
        <w:rPr>
          <w:szCs w:val="22"/>
        </w:rPr>
        <w:t>’</w:t>
      </w:r>
      <w:r w:rsidRPr="004A3269">
        <w:rPr>
          <w:szCs w:val="22"/>
        </w:rPr>
        <w:t>évaluation au 31</w:t>
      </w:r>
      <w:r w:rsidR="00206022" w:rsidRPr="004A3269">
        <w:rPr>
          <w:szCs w:val="22"/>
        </w:rPr>
        <w:t> </w:t>
      </w:r>
      <w:r w:rsidRPr="004A3269">
        <w:rPr>
          <w:szCs w:val="22"/>
        </w:rPr>
        <w:t>décembre</w:t>
      </w:r>
      <w:r w:rsidR="00206022" w:rsidRPr="004A3269">
        <w:rPr>
          <w:szCs w:val="22"/>
        </w:rPr>
        <w:t> </w:t>
      </w:r>
      <w:r w:rsidRPr="004A3269">
        <w:rPr>
          <w:szCs w:val="22"/>
        </w:rPr>
        <w:t>2012 a donné pour résultat une augmentation de la juste valeur du bâtiment de 0,5</w:t>
      </w:r>
      <w:r w:rsidR="00206022" w:rsidRPr="004A3269">
        <w:rPr>
          <w:szCs w:val="22"/>
        </w:rPr>
        <w:t> </w:t>
      </w:r>
      <w:r w:rsidRPr="004A3269">
        <w:rPr>
          <w:szCs w:val="22"/>
        </w:rPr>
        <w:t>million de francs suisses.</w:t>
      </w:r>
      <w:r w:rsidR="003B0680" w:rsidRPr="004A3269">
        <w:t xml:space="preserve"> </w:t>
      </w:r>
      <w:r w:rsidR="00206022" w:rsidRPr="004A3269">
        <w:t xml:space="preserve"> </w:t>
      </w:r>
      <w:r w:rsidRPr="004A3269">
        <w:rPr>
          <w:szCs w:val="22"/>
        </w:rPr>
        <w:t>Cette augmentation</w:t>
      </w:r>
      <w:r w:rsidR="00206022" w:rsidRPr="004A3269">
        <w:rPr>
          <w:szCs w:val="22"/>
        </w:rPr>
        <w:t xml:space="preserve"> a été comptabilisée en </w:t>
      </w:r>
      <w:r w:rsidRPr="004A3269">
        <w:rPr>
          <w:szCs w:val="22"/>
        </w:rPr>
        <w:t>2012 comme recette d</w:t>
      </w:r>
      <w:r w:rsidR="009021AA" w:rsidRPr="004A3269">
        <w:rPr>
          <w:szCs w:val="22"/>
        </w:rPr>
        <w:t>’</w:t>
      </w:r>
      <w:r w:rsidRPr="004A3269">
        <w:rPr>
          <w:szCs w:val="22"/>
        </w:rPr>
        <w:t>investissement revenue dans l</w:t>
      </w:r>
      <w:r w:rsidR="009021AA" w:rsidRPr="004A3269">
        <w:rPr>
          <w:szCs w:val="22"/>
        </w:rPr>
        <w:t>’</w:t>
      </w:r>
      <w:r w:rsidRPr="004A3269">
        <w:rPr>
          <w:szCs w:val="22"/>
        </w:rPr>
        <w:t>état de la situation financière.</w:t>
      </w:r>
    </w:p>
    <w:p w:rsidR="00267140" w:rsidRPr="004A3269" w:rsidRDefault="00267140" w:rsidP="007C6D77">
      <w:pPr>
        <w:jc w:val="both"/>
        <w:rPr>
          <w:szCs w:val="22"/>
        </w:rPr>
      </w:pPr>
    </w:p>
    <w:p w:rsidR="00267140" w:rsidRPr="004A3269" w:rsidRDefault="00CA0F35" w:rsidP="00CA0F35">
      <w:pPr>
        <w:pStyle w:val="Style3"/>
        <w:spacing w:after="0"/>
        <w:rPr>
          <w:szCs w:val="22"/>
        </w:rPr>
      </w:pPr>
      <w:r w:rsidRPr="004A3269">
        <w:rPr>
          <w:szCs w:val="22"/>
        </w:rPr>
        <w:t>La location d</w:t>
      </w:r>
      <w:r w:rsidR="009021AA" w:rsidRPr="004A3269">
        <w:rPr>
          <w:szCs w:val="22"/>
        </w:rPr>
        <w:t>’</w:t>
      </w:r>
      <w:r w:rsidRPr="004A3269">
        <w:rPr>
          <w:szCs w:val="22"/>
        </w:rPr>
        <w:t>appartements, de parkings et d</w:t>
      </w:r>
      <w:r w:rsidR="009021AA" w:rsidRPr="004A3269">
        <w:rPr>
          <w:szCs w:val="22"/>
        </w:rPr>
        <w:t>’</w:t>
      </w:r>
      <w:r w:rsidRPr="004A3269">
        <w:rPr>
          <w:szCs w:val="22"/>
        </w:rPr>
        <w:t>autres installations dans le bâtiment de l</w:t>
      </w:r>
      <w:r w:rsidR="009021AA" w:rsidRPr="004A3269">
        <w:rPr>
          <w:szCs w:val="22"/>
        </w:rPr>
        <w:t>’</w:t>
      </w:r>
      <w:r w:rsidRPr="004A3269">
        <w:rPr>
          <w:szCs w:val="22"/>
        </w:rPr>
        <w:t>Union de Madrid est gérée par un agent chargé de percevoir tous les revenus de location et d</w:t>
      </w:r>
      <w:r w:rsidR="009021AA" w:rsidRPr="004A3269">
        <w:rPr>
          <w:szCs w:val="22"/>
        </w:rPr>
        <w:t>’</w:t>
      </w:r>
      <w:r w:rsidRPr="004A3269">
        <w:rPr>
          <w:szCs w:val="22"/>
        </w:rPr>
        <w:t>acquitter toutes les dépenses engagées dans le cadre de l</w:t>
      </w:r>
      <w:r w:rsidR="009021AA" w:rsidRPr="004A3269">
        <w:rPr>
          <w:szCs w:val="22"/>
        </w:rPr>
        <w:t>’</w:t>
      </w:r>
      <w:r w:rsidRPr="004A3269">
        <w:rPr>
          <w:szCs w:val="22"/>
        </w:rPr>
        <w:t>exploitation du bâtiment</w:t>
      </w:r>
      <w:r w:rsidR="00A0797A" w:rsidRPr="004A3269">
        <w:rPr>
          <w:szCs w:val="22"/>
        </w:rPr>
        <w:t xml:space="preserve">.  </w:t>
      </w:r>
      <w:r w:rsidRPr="004A3269">
        <w:rPr>
          <w:szCs w:val="22"/>
        </w:rPr>
        <w:t>Les contrats de location sont généralement conclus pour une durée de deux</w:t>
      </w:r>
      <w:r w:rsidR="00067463" w:rsidRPr="004A3269">
        <w:rPr>
          <w:szCs w:val="22"/>
        </w:rPr>
        <w:t> </w:t>
      </w:r>
      <w:r w:rsidRPr="004A3269">
        <w:rPr>
          <w:szCs w:val="22"/>
        </w:rPr>
        <w:t>ans et s</w:t>
      </w:r>
      <w:r w:rsidR="009021AA" w:rsidRPr="004A3269">
        <w:rPr>
          <w:szCs w:val="22"/>
        </w:rPr>
        <w:t>’</w:t>
      </w:r>
      <w:r w:rsidRPr="004A3269">
        <w:rPr>
          <w:szCs w:val="22"/>
        </w:rPr>
        <w:t>inspirent du contrat de location type approuvé par le Canton de Genève.</w:t>
      </w:r>
      <w:r w:rsidR="008C6D96" w:rsidRPr="004A3269">
        <w:t xml:space="preserve">  </w:t>
      </w:r>
      <w:r w:rsidRPr="004A3269">
        <w:rPr>
          <w:szCs w:val="22"/>
        </w:rPr>
        <w:t>Les contrats de location ne peuvent pas être résiliés pendant la durée de la location.</w:t>
      </w:r>
      <w:r w:rsidR="008C6D96" w:rsidRPr="004A3269">
        <w:t xml:space="preserve"> </w:t>
      </w:r>
      <w:r w:rsidR="00206022" w:rsidRPr="004A3269">
        <w:t xml:space="preserve"> </w:t>
      </w:r>
      <w:r w:rsidRPr="004A3269">
        <w:rPr>
          <w:szCs w:val="22"/>
        </w:rPr>
        <w:t>L</w:t>
      </w:r>
      <w:r w:rsidR="009021AA" w:rsidRPr="004A3269">
        <w:rPr>
          <w:szCs w:val="22"/>
        </w:rPr>
        <w:t>’</w:t>
      </w:r>
      <w:r w:rsidRPr="004A3269">
        <w:rPr>
          <w:szCs w:val="22"/>
        </w:rPr>
        <w:t>agent reçoit 3,9% du revenu brut de location au titre de la rémunération de ses services.</w:t>
      </w:r>
      <w:r w:rsidR="00206022" w:rsidRPr="004A3269">
        <w:rPr>
          <w:szCs w:val="22"/>
        </w:rPr>
        <w:t xml:space="preserve"> </w:t>
      </w:r>
      <w:r w:rsidR="008C6D96" w:rsidRPr="004A3269">
        <w:t xml:space="preserve"> </w:t>
      </w:r>
      <w:r w:rsidRPr="004A3269">
        <w:rPr>
          <w:szCs w:val="22"/>
        </w:rPr>
        <w:t>La valeur des contrats de location non résiliables au 31</w:t>
      </w:r>
      <w:r w:rsidR="00206022" w:rsidRPr="004A3269">
        <w:rPr>
          <w:szCs w:val="22"/>
        </w:rPr>
        <w:t> </w:t>
      </w:r>
      <w:r w:rsidRPr="004A3269">
        <w:rPr>
          <w:szCs w:val="22"/>
        </w:rPr>
        <w:t>décembre</w:t>
      </w:r>
      <w:r w:rsidR="00206022" w:rsidRPr="004A3269">
        <w:rPr>
          <w:szCs w:val="22"/>
        </w:rPr>
        <w:t> </w:t>
      </w:r>
      <w:r w:rsidRPr="004A3269">
        <w:rPr>
          <w:szCs w:val="22"/>
        </w:rPr>
        <w:t>2014 est la suivante</w:t>
      </w:r>
      <w:r w:rsidR="00206022" w:rsidRPr="004A3269">
        <w:rPr>
          <w:szCs w:val="22"/>
        </w:rPr>
        <w:t> </w:t>
      </w:r>
      <w:r w:rsidRPr="004A3269">
        <w:rPr>
          <w:szCs w:val="22"/>
        </w:rPr>
        <w:t>:</w:t>
      </w:r>
    </w:p>
    <w:p w:rsidR="00267140" w:rsidRPr="004A3269" w:rsidRDefault="00267140" w:rsidP="007C6D77">
      <w:pPr>
        <w:jc w:val="both"/>
        <w:rPr>
          <w:sz w:val="20"/>
        </w:rPr>
      </w:pPr>
    </w:p>
    <w:p w:rsidR="00267140" w:rsidRPr="004A3269" w:rsidRDefault="007373BF" w:rsidP="007C6D77">
      <w:pPr>
        <w:jc w:val="both"/>
      </w:pPr>
      <w:r w:rsidRPr="004A3269">
        <w:rPr>
          <w:noProof/>
          <w:lang w:val="en-US"/>
        </w:rPr>
        <w:drawing>
          <wp:inline distT="0" distB="0" distL="0" distR="0" wp14:anchorId="264682B1" wp14:editId="7A107A4B">
            <wp:extent cx="5769610" cy="1345565"/>
            <wp:effectExtent l="0" t="0" r="2540" b="698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9610" cy="1345565"/>
                    </a:xfrm>
                    <a:prstGeom prst="rect">
                      <a:avLst/>
                    </a:prstGeom>
                    <a:noFill/>
                    <a:ln>
                      <a:noFill/>
                    </a:ln>
                  </pic:spPr>
                </pic:pic>
              </a:graphicData>
            </a:graphic>
          </wp:inline>
        </w:drawing>
      </w:r>
    </w:p>
    <w:p w:rsidR="00267140" w:rsidRPr="004A3269" w:rsidRDefault="00267140" w:rsidP="007C6D77">
      <w:pPr>
        <w:jc w:val="both"/>
      </w:pPr>
    </w:p>
    <w:p w:rsidR="00267140" w:rsidRPr="004A3269" w:rsidRDefault="00206022" w:rsidP="00CA0F35">
      <w:pPr>
        <w:pStyle w:val="Style3"/>
        <w:spacing w:after="0"/>
      </w:pPr>
      <w:r w:rsidRPr="004A3269">
        <w:t>En </w:t>
      </w:r>
      <w:r w:rsidR="00CA0F35" w:rsidRPr="004A3269">
        <w:t>2014, le revenu de loca</w:t>
      </w:r>
      <w:r w:rsidRPr="004A3269">
        <w:t>tion du bâtiment a totalisé 377 </w:t>
      </w:r>
      <w:r w:rsidR="00CA0F35" w:rsidRPr="004A3269">
        <w:t>000</w:t>
      </w:r>
      <w:r w:rsidR="00067463" w:rsidRPr="004A3269">
        <w:t> </w:t>
      </w:r>
      <w:r w:rsidR="00CA0F35" w:rsidRPr="004A3269">
        <w:t>francs suisses et les dépenses de fonctionnement de ce bâtiment</w:t>
      </w:r>
      <w:r w:rsidRPr="004A3269">
        <w:t xml:space="preserve"> 211 </w:t>
      </w:r>
      <w:r w:rsidR="00CA0F35" w:rsidRPr="004A3269">
        <w:t>000.</w:t>
      </w:r>
      <w:r w:rsidR="008C6D96" w:rsidRPr="004A3269">
        <w:t xml:space="preserve"> </w:t>
      </w:r>
      <w:r w:rsidRPr="004A3269">
        <w:t xml:space="preserve"> </w:t>
      </w:r>
      <w:r w:rsidR="00CA0F35" w:rsidRPr="004A3269">
        <w:t>L</w:t>
      </w:r>
      <w:r w:rsidR="009021AA" w:rsidRPr="004A3269">
        <w:t>’</w:t>
      </w:r>
      <w:r w:rsidR="00CA0F35" w:rsidRPr="004A3269">
        <w:t>Organisation n</w:t>
      </w:r>
      <w:r w:rsidR="009021AA" w:rsidRPr="004A3269">
        <w:t>’</w:t>
      </w:r>
      <w:r w:rsidR="00CA0F35" w:rsidRPr="004A3269">
        <w:t>est pas au courant de restrictions à la possibilité de réaliser les immeubles de placement ou de récupérer leurs recettes.</w:t>
      </w:r>
    </w:p>
    <w:p w:rsidR="00267140" w:rsidRPr="004A3269" w:rsidRDefault="00267140" w:rsidP="00B90070">
      <w:pPr>
        <w:pStyle w:val="Style3"/>
        <w:spacing w:after="0"/>
      </w:pPr>
    </w:p>
    <w:p w:rsidR="00267140" w:rsidRPr="004A3269" w:rsidRDefault="00CA0F35" w:rsidP="00C51B50">
      <w:pPr>
        <w:pStyle w:val="Style3"/>
        <w:spacing w:after="0"/>
      </w:pPr>
      <w:r w:rsidRPr="004A3269">
        <w:t>Les dépenses de fonctionnement ne couvrent pas la dépréciation du bâtiment.</w:t>
      </w:r>
      <w:r w:rsidR="008C6D96" w:rsidRPr="004A3269">
        <w:t xml:space="preserve"> </w:t>
      </w:r>
      <w:r w:rsidR="00206022" w:rsidRPr="004A3269">
        <w:t xml:space="preserve"> </w:t>
      </w:r>
      <w:r w:rsidRPr="004A3269">
        <w:t>À la date d</w:t>
      </w:r>
      <w:r w:rsidR="009021AA" w:rsidRPr="004A3269">
        <w:t>’</w:t>
      </w:r>
      <w:r w:rsidRPr="004A3269">
        <w:t>établissement des états financiers, il n</w:t>
      </w:r>
      <w:r w:rsidR="009021AA" w:rsidRPr="004A3269">
        <w:t>’</w:t>
      </w:r>
      <w:r w:rsidRPr="004A3269">
        <w:t>existe aucune obligation d</w:t>
      </w:r>
      <w:r w:rsidR="009021AA" w:rsidRPr="004A3269">
        <w:t>’</w:t>
      </w:r>
      <w:r w:rsidRPr="004A3269">
        <w:t>achat, de construction ou de développement d</w:t>
      </w:r>
      <w:r w:rsidR="009021AA" w:rsidRPr="004A3269">
        <w:t>’</w:t>
      </w:r>
      <w:r w:rsidRPr="004A3269">
        <w:t>un immeuble de placement, ni de réparation, de maintenance ou d</w:t>
      </w:r>
      <w:r w:rsidR="009021AA" w:rsidRPr="004A3269">
        <w:t>’</w:t>
      </w:r>
      <w:r w:rsidRPr="004A3269">
        <w:t>amélioration de l</w:t>
      </w:r>
      <w:r w:rsidR="009021AA" w:rsidRPr="004A3269">
        <w:t>’</w:t>
      </w:r>
      <w:r w:rsidRPr="004A3269">
        <w:t>immeuble existant.</w:t>
      </w:r>
    </w:p>
    <w:p w:rsidR="00267140" w:rsidRPr="004A3269" w:rsidRDefault="006B3B82" w:rsidP="00C51B50">
      <w:pPr>
        <w:pStyle w:val="StyleHeading211ptNotBoldNotItalicAllcaps"/>
        <w:tabs>
          <w:tab w:val="left" w:pos="1701"/>
        </w:tabs>
        <w:spacing w:before="0" w:after="0"/>
      </w:pPr>
      <w:r w:rsidRPr="004A3269">
        <w:br w:type="page"/>
      </w:r>
      <w:r w:rsidR="00C51B50" w:rsidRPr="004A3269">
        <w:rPr>
          <w:b/>
          <w:i w:val="0"/>
        </w:rPr>
        <w:lastRenderedPageBreak/>
        <w:t>NOTE N° 8</w:t>
      </w:r>
      <w:r w:rsidR="00A0797A" w:rsidRPr="004A3269">
        <w:rPr>
          <w:i w:val="0"/>
        </w:rPr>
        <w:t> :</w:t>
      </w:r>
      <w:r w:rsidR="00C51B50" w:rsidRPr="004A3269">
        <w:rPr>
          <w:b/>
          <w:i w:val="0"/>
        </w:rPr>
        <w:t xml:space="preserve"> </w:t>
      </w:r>
      <w:r w:rsidR="00C51B50" w:rsidRPr="004A3269">
        <w:rPr>
          <w:b/>
          <w:i w:val="0"/>
        </w:rPr>
        <w:tab/>
        <w:t>ACTIFS INCORPORELS</w:t>
      </w:r>
    </w:p>
    <w:p w:rsidR="00267140" w:rsidRPr="004A3269" w:rsidRDefault="00267140" w:rsidP="0017684B">
      <w:pPr>
        <w:pStyle w:val="STYLETITRENOTES"/>
      </w:pPr>
    </w:p>
    <w:p w:rsidR="007373BF" w:rsidRPr="004A3269" w:rsidRDefault="007373BF" w:rsidP="009A3050">
      <w:pPr>
        <w:pStyle w:val="STYLETITRENOTES"/>
        <w:jc w:val="center"/>
      </w:pPr>
      <w:r w:rsidRPr="004A3269">
        <w:rPr>
          <w:noProof/>
          <w:lang w:val="en-US"/>
        </w:rPr>
        <w:drawing>
          <wp:inline distT="0" distB="0" distL="0" distR="0" wp14:anchorId="50D72D1E" wp14:editId="69EAC1C5">
            <wp:extent cx="5977255" cy="3764247"/>
            <wp:effectExtent l="0" t="0" r="4445" b="825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77255" cy="3764247"/>
                    </a:xfrm>
                    <a:prstGeom prst="rect">
                      <a:avLst/>
                    </a:prstGeom>
                    <a:noFill/>
                    <a:ln>
                      <a:noFill/>
                    </a:ln>
                  </pic:spPr>
                </pic:pic>
              </a:graphicData>
            </a:graphic>
          </wp:inline>
        </w:drawing>
      </w:r>
    </w:p>
    <w:p w:rsidR="007373BF" w:rsidRPr="004A3269" w:rsidRDefault="007373BF" w:rsidP="009A3050">
      <w:pPr>
        <w:pStyle w:val="STYLETITRENOTES"/>
        <w:jc w:val="center"/>
      </w:pPr>
    </w:p>
    <w:p w:rsidR="007373BF" w:rsidRPr="004A3269" w:rsidRDefault="007373BF" w:rsidP="00CA0F35">
      <w:pPr>
        <w:pStyle w:val="Style3"/>
        <w:spacing w:after="0"/>
      </w:pPr>
      <w:r w:rsidRPr="004A3269">
        <w:rPr>
          <w:noProof/>
          <w:lang w:val="en-US"/>
        </w:rPr>
        <w:drawing>
          <wp:inline distT="0" distB="0" distL="0" distR="0" wp14:anchorId="5F095DD5" wp14:editId="0561A4DA">
            <wp:extent cx="5977255" cy="3616480"/>
            <wp:effectExtent l="0" t="0" r="4445" b="317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77255" cy="3616480"/>
                    </a:xfrm>
                    <a:prstGeom prst="rect">
                      <a:avLst/>
                    </a:prstGeom>
                    <a:noFill/>
                    <a:ln>
                      <a:noFill/>
                    </a:ln>
                  </pic:spPr>
                </pic:pic>
              </a:graphicData>
            </a:graphic>
          </wp:inline>
        </w:drawing>
      </w:r>
    </w:p>
    <w:p w:rsidR="007373BF" w:rsidRPr="004A3269" w:rsidRDefault="007373BF" w:rsidP="00CA0F35">
      <w:pPr>
        <w:pStyle w:val="Style3"/>
        <w:spacing w:after="0"/>
      </w:pPr>
    </w:p>
    <w:p w:rsidR="00267140" w:rsidRPr="004A3269" w:rsidRDefault="00CA0F35" w:rsidP="00CA0F35">
      <w:pPr>
        <w:pStyle w:val="Style3"/>
        <w:spacing w:after="0"/>
      </w:pPr>
      <w:r w:rsidRPr="004A3269">
        <w:t>En</w:t>
      </w:r>
      <w:r w:rsidR="00067463" w:rsidRPr="004A3269">
        <w:t> </w:t>
      </w:r>
      <w:r w:rsidRPr="004A3269">
        <w:t>1996, l</w:t>
      </w:r>
      <w:r w:rsidR="009021AA" w:rsidRPr="004A3269">
        <w:t>’</w:t>
      </w:r>
      <w:r w:rsidRPr="004A3269">
        <w:t>Organisation a acquis de l</w:t>
      </w:r>
      <w:r w:rsidR="009021AA" w:rsidRPr="004A3269">
        <w:t>’</w:t>
      </w:r>
      <w:r w:rsidRPr="004A3269">
        <w:t xml:space="preserve">Organisation météorologique mondiale (OMM) les droits de superficie relatifs </w:t>
      </w:r>
      <w:r w:rsidR="00C51B50" w:rsidRPr="004A3269">
        <w:t>à la parcelle 4008 au Petit</w:t>
      </w:r>
      <w:r w:rsidR="00A17552" w:rsidRPr="004A3269">
        <w:noBreakHyphen/>
      </w:r>
      <w:proofErr w:type="spellStart"/>
      <w:r w:rsidRPr="004A3269">
        <w:t>Saconnex</w:t>
      </w:r>
      <w:proofErr w:type="spellEnd"/>
      <w:r w:rsidRPr="004A3269">
        <w:t xml:space="preserve"> dans la Ville de Genève, qui avaient été octroyés à l</w:t>
      </w:r>
      <w:r w:rsidR="009021AA" w:rsidRPr="004A3269">
        <w:t>’</w:t>
      </w:r>
      <w:r w:rsidRPr="004A3269">
        <w:t xml:space="preserve">OMM par la République et Canton de </w:t>
      </w:r>
      <w:r w:rsidR="00C51B50" w:rsidRPr="004A3269">
        <w:t>Genève, pour un montant de 34,3 </w:t>
      </w:r>
      <w:r w:rsidRPr="004A3269">
        <w:t>millions de francs suisses, intérêts et frais inclus.</w:t>
      </w:r>
      <w:r w:rsidR="008C6D96" w:rsidRPr="004A3269">
        <w:t xml:space="preserve">  </w:t>
      </w:r>
      <w:r w:rsidRPr="004A3269">
        <w:t>À la date de l</w:t>
      </w:r>
      <w:r w:rsidR="009021AA" w:rsidRPr="004A3269">
        <w:t>’</w:t>
      </w:r>
      <w:r w:rsidRPr="004A3269">
        <w:t>achat, les droits initiaux étaient encore valables pour 78</w:t>
      </w:r>
      <w:r w:rsidR="00C51B50" w:rsidRPr="004A3269">
        <w:t> </w:t>
      </w:r>
      <w:r w:rsidRPr="004A3269">
        <w:t>ans selon le droit suisse, jusqu</w:t>
      </w:r>
      <w:r w:rsidR="009021AA" w:rsidRPr="004A3269">
        <w:t>’</w:t>
      </w:r>
      <w:r w:rsidRPr="004A3269">
        <w:t>en</w:t>
      </w:r>
      <w:r w:rsidR="00C51B50" w:rsidRPr="004A3269">
        <w:t> </w:t>
      </w:r>
      <w:r w:rsidRPr="004A3269">
        <w:t>2073, sauf prorogation par le Canton.</w:t>
      </w:r>
      <w:r w:rsidR="00C51B50" w:rsidRPr="004A3269">
        <w:t xml:space="preserve"> </w:t>
      </w:r>
      <w:r w:rsidR="008C6D96" w:rsidRPr="004A3269">
        <w:t xml:space="preserve"> </w:t>
      </w:r>
      <w:r w:rsidRPr="004A3269">
        <w:t xml:space="preserve">Le </w:t>
      </w:r>
      <w:r w:rsidRPr="004A3269">
        <w:lastRenderedPageBreak/>
        <w:t>coût historique est amorti sur la durée d</w:t>
      </w:r>
      <w:r w:rsidR="009021AA" w:rsidRPr="004A3269">
        <w:t>’</w:t>
      </w:r>
      <w:r w:rsidRPr="004A3269">
        <w:t>utilisation restante.</w:t>
      </w:r>
      <w:r w:rsidR="00BC26FB" w:rsidRPr="004A3269">
        <w:t xml:space="preserve"> </w:t>
      </w:r>
      <w:r w:rsidR="00C51B50" w:rsidRPr="004A3269">
        <w:t xml:space="preserve"> </w:t>
      </w:r>
      <w:r w:rsidRPr="004A3269">
        <w:t>Le terrain qui accueille les bâtiments A.</w:t>
      </w:r>
      <w:r w:rsidR="00C51B50" w:rsidRPr="004A3269">
        <w:t> </w:t>
      </w:r>
      <w:proofErr w:type="spellStart"/>
      <w:r w:rsidRPr="004A3269">
        <w:t>Bogsch</w:t>
      </w:r>
      <w:proofErr w:type="spellEnd"/>
      <w:r w:rsidRPr="004A3269">
        <w:t xml:space="preserve"> et G.</w:t>
      </w:r>
      <w:r w:rsidR="00C51B50" w:rsidRPr="004A3269">
        <w:t> </w:t>
      </w:r>
      <w:proofErr w:type="spellStart"/>
      <w:r w:rsidRPr="004A3269">
        <w:t>Bodehausen</w:t>
      </w:r>
      <w:proofErr w:type="spellEnd"/>
      <w:r w:rsidRPr="004A3269">
        <w:t xml:space="preserve"> appartient à la République et au Canton de Genève qui a accordé des droits de superficie à l</w:t>
      </w:r>
      <w:r w:rsidR="009021AA" w:rsidRPr="004A3269">
        <w:t>’</w:t>
      </w:r>
      <w:r w:rsidRPr="004A3269">
        <w:t>Organisation, notamment le droit de construire des bâti</w:t>
      </w:r>
      <w:r w:rsidR="00C51B50" w:rsidRPr="004A3269">
        <w:t>ments pendant une période de 60 </w:t>
      </w:r>
      <w:r w:rsidRPr="004A3269">
        <w:t>ans.  Ce droit est assorti d</w:t>
      </w:r>
      <w:r w:rsidR="009021AA" w:rsidRPr="004A3269">
        <w:t>’</w:t>
      </w:r>
      <w:r w:rsidRPr="004A3269">
        <w:t>une option de prolongation pour u</w:t>
      </w:r>
      <w:r w:rsidR="00C51B50" w:rsidRPr="004A3269">
        <w:t>ne période supplémentaire de 30 </w:t>
      </w:r>
      <w:r w:rsidRPr="004A3269">
        <w:t>ans qui ne peut être invoquée que par l</w:t>
      </w:r>
      <w:r w:rsidR="009021AA" w:rsidRPr="004A3269">
        <w:t>’</w:t>
      </w:r>
      <w:r w:rsidRPr="004A3269">
        <w:t>Organisation.</w:t>
      </w:r>
      <w:r w:rsidR="008C6D96" w:rsidRPr="004A3269">
        <w:t xml:space="preserve"> </w:t>
      </w:r>
      <w:r w:rsidR="00C51B50" w:rsidRPr="004A3269">
        <w:t xml:space="preserve"> </w:t>
      </w:r>
      <w:r w:rsidRPr="004A3269">
        <w:t>Ces droits de superficie ont été acquis par l</w:t>
      </w:r>
      <w:r w:rsidR="009021AA" w:rsidRPr="004A3269">
        <w:t>’</w:t>
      </w:r>
      <w:r w:rsidRPr="004A3269">
        <w:t>Organisation à un coût nul et aucune valeur n</w:t>
      </w:r>
      <w:r w:rsidR="009021AA" w:rsidRPr="004A3269">
        <w:t>’</w:t>
      </w:r>
      <w:r w:rsidRPr="004A3269">
        <w:t>a été comptabilisée car l</w:t>
      </w:r>
      <w:r w:rsidR="009021AA" w:rsidRPr="004A3269">
        <w:t>’</w:t>
      </w:r>
      <w:r w:rsidRPr="004A3269">
        <w:t>Organisation n</w:t>
      </w:r>
      <w:r w:rsidR="009021AA" w:rsidRPr="004A3269">
        <w:t>’</w:t>
      </w:r>
      <w:r w:rsidRPr="004A3269">
        <w:t>a pas le droit de disposer de ces droits qui relèvent de la République et Canton de Genève, à moins qu</w:t>
      </w:r>
      <w:r w:rsidR="009021AA" w:rsidRPr="004A3269">
        <w:t>’</w:t>
      </w:r>
      <w:r w:rsidRPr="004A3269">
        <w:t>ils ne soient renouvelés.</w:t>
      </w:r>
    </w:p>
    <w:p w:rsidR="00267140" w:rsidRPr="004A3269" w:rsidRDefault="00267140" w:rsidP="007C6D77">
      <w:pPr>
        <w:pStyle w:val="Style3"/>
        <w:spacing w:after="0"/>
      </w:pPr>
    </w:p>
    <w:p w:rsidR="00267140" w:rsidRPr="004A3269" w:rsidRDefault="00CA0F35" w:rsidP="00CA0F35">
      <w:pPr>
        <w:pStyle w:val="Style3"/>
        <w:spacing w:after="0"/>
      </w:pPr>
      <w:r w:rsidRPr="004A3269">
        <w:t>À compter du 1</w:t>
      </w:r>
      <w:r w:rsidRPr="004A3269">
        <w:rPr>
          <w:vertAlign w:val="superscript"/>
        </w:rPr>
        <w:t>er</w:t>
      </w:r>
      <w:r w:rsidR="00C51B50" w:rsidRPr="004A3269">
        <w:t> janvier </w:t>
      </w:r>
      <w:r w:rsidRPr="004A3269">
        <w:t>2012, l</w:t>
      </w:r>
      <w:r w:rsidR="009021AA" w:rsidRPr="004A3269">
        <w:t>’</w:t>
      </w:r>
      <w:r w:rsidRPr="004A3269">
        <w:t>OMPI a inscrit à l</w:t>
      </w:r>
      <w:r w:rsidR="009021AA" w:rsidRPr="004A3269">
        <w:t>’</w:t>
      </w:r>
      <w:r w:rsidRPr="004A3269">
        <w:t>actif le coût des logiciels achetés à l</w:t>
      </w:r>
      <w:r w:rsidR="009021AA" w:rsidRPr="004A3269">
        <w:t>’</w:t>
      </w:r>
      <w:r w:rsidRPr="004A3269">
        <w:t>extérieur et ceux développés en interne.</w:t>
      </w:r>
      <w:r w:rsidR="00C51B50" w:rsidRPr="004A3269">
        <w:t xml:space="preserve"> </w:t>
      </w:r>
      <w:r w:rsidR="00991B7A" w:rsidRPr="004A3269">
        <w:t xml:space="preserve"> </w:t>
      </w:r>
      <w:r w:rsidRPr="004A3269">
        <w:t>Les actifs incorporels en cours de développement concernent les logiciels développés en interne qui n</w:t>
      </w:r>
      <w:r w:rsidR="009021AA" w:rsidRPr="004A3269">
        <w:t>’</w:t>
      </w:r>
      <w:r w:rsidRPr="004A3269">
        <w:t>ont pas encore été mis en service.</w:t>
      </w:r>
    </w:p>
    <w:p w:rsidR="00267140" w:rsidRDefault="00267140" w:rsidP="0017684B">
      <w:pPr>
        <w:pStyle w:val="Style3"/>
        <w:spacing w:after="0"/>
      </w:pPr>
    </w:p>
    <w:p w:rsidR="00695FBE" w:rsidRPr="004A3269" w:rsidRDefault="00695FBE" w:rsidP="0017684B">
      <w:pPr>
        <w:pStyle w:val="Style3"/>
        <w:spacing w:after="0"/>
      </w:pPr>
    </w:p>
    <w:p w:rsidR="00267140" w:rsidRPr="004A3269" w:rsidRDefault="00C51B50" w:rsidP="00C51B50">
      <w:pPr>
        <w:pStyle w:val="StyleHeading211ptNotBoldNotItalicAllcaps"/>
        <w:tabs>
          <w:tab w:val="left" w:pos="1701"/>
        </w:tabs>
        <w:spacing w:before="0" w:after="0"/>
      </w:pPr>
      <w:r w:rsidRPr="004A3269">
        <w:rPr>
          <w:b/>
          <w:i w:val="0"/>
        </w:rPr>
        <w:t>NOTE N°</w:t>
      </w:r>
      <w:r w:rsidRPr="004A3269">
        <w:rPr>
          <w:i w:val="0"/>
        </w:rPr>
        <w:t> </w:t>
      </w:r>
      <w:r w:rsidRPr="004A3269">
        <w:rPr>
          <w:b/>
          <w:i w:val="0"/>
        </w:rPr>
        <w:t>9</w:t>
      </w:r>
      <w:r w:rsidR="00A0797A" w:rsidRPr="004A3269">
        <w:rPr>
          <w:i w:val="0"/>
        </w:rPr>
        <w:t> :</w:t>
      </w:r>
      <w:r w:rsidRPr="004A3269">
        <w:rPr>
          <w:b/>
          <w:i w:val="0"/>
        </w:rPr>
        <w:t xml:space="preserve"> </w:t>
      </w:r>
      <w:r w:rsidRPr="004A3269">
        <w:rPr>
          <w:b/>
          <w:i w:val="0"/>
        </w:rPr>
        <w:tab/>
        <w:t>TERRAINS ET CONSTRUCTIONS</w:t>
      </w:r>
    </w:p>
    <w:p w:rsidR="00267140" w:rsidRPr="004A3269" w:rsidRDefault="00267140" w:rsidP="0017684B">
      <w:pPr>
        <w:pStyle w:val="Style3"/>
        <w:spacing w:after="0"/>
        <w:rPr>
          <w:szCs w:val="22"/>
        </w:rPr>
      </w:pPr>
    </w:p>
    <w:p w:rsidR="009021AA" w:rsidRPr="004A3269" w:rsidRDefault="00CA0F35" w:rsidP="00AD4472">
      <w:pPr>
        <w:pStyle w:val="Style3"/>
        <w:spacing w:after="0"/>
        <w:rPr>
          <w:szCs w:val="22"/>
        </w:rPr>
      </w:pPr>
      <w:r w:rsidRPr="004A3269">
        <w:rPr>
          <w:szCs w:val="22"/>
        </w:rPr>
        <w:t>Les terrains et les constructions de l</w:t>
      </w:r>
      <w:r w:rsidR="009021AA" w:rsidRPr="004A3269">
        <w:rPr>
          <w:szCs w:val="22"/>
        </w:rPr>
        <w:t>’</w:t>
      </w:r>
      <w:r w:rsidRPr="004A3269">
        <w:rPr>
          <w:szCs w:val="22"/>
        </w:rPr>
        <w:t>Organisation englobent son siège de la Place des Nations, à Genève (Suisse), ainsi que les terrains et les bâtiments en cours de construction et les bâtiments occupés.</w:t>
      </w:r>
      <w:r w:rsidR="00800D76" w:rsidRPr="004A3269">
        <w:t xml:space="preserve"> </w:t>
      </w:r>
      <w:r w:rsidR="00C51B50" w:rsidRPr="004A3269">
        <w:t xml:space="preserve"> </w:t>
      </w:r>
      <w:r w:rsidRPr="004A3269">
        <w:rPr>
          <w:szCs w:val="22"/>
        </w:rPr>
        <w:t>Après le passage aux Normes comptables internationales du secteur public (IPSAS) le 1</w:t>
      </w:r>
      <w:r w:rsidRPr="004A3269">
        <w:rPr>
          <w:szCs w:val="22"/>
          <w:vertAlign w:val="superscript"/>
        </w:rPr>
        <w:t>er</w:t>
      </w:r>
      <w:r w:rsidR="00C51B50" w:rsidRPr="004A3269">
        <w:rPr>
          <w:szCs w:val="22"/>
        </w:rPr>
        <w:t> janvier </w:t>
      </w:r>
      <w:r w:rsidRPr="004A3269">
        <w:rPr>
          <w:szCs w:val="22"/>
        </w:rPr>
        <w:t>2010, les bâtiments occupés à cette date ont été évalués à un montant déterminé dans le cadre d</w:t>
      </w:r>
      <w:r w:rsidR="009021AA" w:rsidRPr="004A3269">
        <w:rPr>
          <w:szCs w:val="22"/>
        </w:rPr>
        <w:t>’</w:t>
      </w:r>
      <w:r w:rsidRPr="004A3269">
        <w:rPr>
          <w:szCs w:val="22"/>
        </w:rPr>
        <w:t>une évaluation indépendante réalisée par des consultants externes et représente la valeur estimée de l</w:t>
      </w:r>
      <w:r w:rsidR="009021AA" w:rsidRPr="004A3269">
        <w:rPr>
          <w:szCs w:val="22"/>
        </w:rPr>
        <w:t>’</w:t>
      </w:r>
      <w:r w:rsidRPr="004A3269">
        <w:rPr>
          <w:szCs w:val="22"/>
        </w:rPr>
        <w:t>immeuble à neuf</w:t>
      </w:r>
      <w:r w:rsidR="00277DBB" w:rsidRPr="004A3269">
        <w:rPr>
          <w:szCs w:val="22"/>
        </w:rPr>
        <w:t xml:space="preserve"> </w:t>
      </w:r>
      <w:r w:rsidRPr="004A3269">
        <w:rPr>
          <w:szCs w:val="22"/>
        </w:rPr>
        <w:t xml:space="preserve">(coût présumé de la construction), </w:t>
      </w:r>
      <w:r w:rsidR="009021AA" w:rsidRPr="004A3269">
        <w:rPr>
          <w:szCs w:val="22"/>
        </w:rPr>
        <w:t>y compris</w:t>
      </w:r>
      <w:r w:rsidRPr="004A3269">
        <w:rPr>
          <w:szCs w:val="22"/>
        </w:rPr>
        <w:t xml:space="preserve"> la valeur estimée des rénovations et des réparations majeures apportées depuis l</w:t>
      </w:r>
      <w:r w:rsidR="009021AA" w:rsidRPr="004A3269">
        <w:rPr>
          <w:szCs w:val="22"/>
        </w:rPr>
        <w:t>’</w:t>
      </w:r>
      <w:r w:rsidRPr="004A3269">
        <w:rPr>
          <w:szCs w:val="22"/>
        </w:rPr>
        <w:t>occupation d</w:t>
      </w:r>
      <w:r w:rsidR="009021AA" w:rsidRPr="004A3269">
        <w:rPr>
          <w:szCs w:val="22"/>
        </w:rPr>
        <w:t>’</w:t>
      </w:r>
      <w:r w:rsidRPr="004A3269">
        <w:rPr>
          <w:szCs w:val="22"/>
        </w:rPr>
        <w:t>origine diminuée du cumul de l</w:t>
      </w:r>
      <w:r w:rsidR="009021AA" w:rsidRPr="004A3269">
        <w:rPr>
          <w:szCs w:val="22"/>
        </w:rPr>
        <w:t>’</w:t>
      </w:r>
      <w:r w:rsidRPr="004A3269">
        <w:rPr>
          <w:szCs w:val="22"/>
        </w:rPr>
        <w:t>amortissement et de la dépréciation.</w:t>
      </w:r>
      <w:r w:rsidR="00C51B50" w:rsidRPr="004A3269">
        <w:rPr>
          <w:szCs w:val="22"/>
        </w:rPr>
        <w:t xml:space="preserve"> </w:t>
      </w:r>
      <w:r w:rsidR="009D5988" w:rsidRPr="004A3269">
        <w:t xml:space="preserve"> </w:t>
      </w:r>
      <w:r w:rsidRPr="004A3269">
        <w:rPr>
          <w:szCs w:val="22"/>
        </w:rPr>
        <w:t>Les bâtiments utilisés après le 1</w:t>
      </w:r>
      <w:r w:rsidRPr="004A3269">
        <w:rPr>
          <w:szCs w:val="22"/>
          <w:vertAlign w:val="superscript"/>
        </w:rPr>
        <w:t>er</w:t>
      </w:r>
      <w:r w:rsidR="00C51B50" w:rsidRPr="004A3269">
        <w:rPr>
          <w:szCs w:val="22"/>
        </w:rPr>
        <w:t> </w:t>
      </w:r>
      <w:r w:rsidRPr="004A3269">
        <w:rPr>
          <w:szCs w:val="22"/>
        </w:rPr>
        <w:t>janvier</w:t>
      </w:r>
      <w:r w:rsidR="00C51B50" w:rsidRPr="004A3269">
        <w:rPr>
          <w:szCs w:val="22"/>
        </w:rPr>
        <w:t> </w:t>
      </w:r>
      <w:r w:rsidRPr="004A3269">
        <w:rPr>
          <w:szCs w:val="22"/>
        </w:rPr>
        <w:t>2010 sont initialement évalués à leur coût.</w:t>
      </w:r>
      <w:r w:rsidR="008D5371" w:rsidRPr="004A3269">
        <w:t xml:space="preserve"> </w:t>
      </w:r>
      <w:r w:rsidR="00C51B50" w:rsidRPr="004A3269">
        <w:t xml:space="preserve"> </w:t>
      </w:r>
      <w:r w:rsidR="00AD4472" w:rsidRPr="004A3269">
        <w:rPr>
          <w:szCs w:val="22"/>
        </w:rPr>
        <w:t>Tous les bâtiments sont amortis sur une base linéaire fondée sur la durée de vie de chaque composante majeure de l</w:t>
      </w:r>
      <w:r w:rsidR="009021AA" w:rsidRPr="004A3269">
        <w:rPr>
          <w:szCs w:val="22"/>
        </w:rPr>
        <w:t>’</w:t>
      </w:r>
      <w:r w:rsidR="00AD4472" w:rsidRPr="004A3269">
        <w:rPr>
          <w:szCs w:val="22"/>
        </w:rPr>
        <w:t>immeuble.</w:t>
      </w:r>
    </w:p>
    <w:p w:rsidR="00267140" w:rsidRPr="004A3269" w:rsidRDefault="00267140" w:rsidP="007C6D77">
      <w:pPr>
        <w:pStyle w:val="Style3"/>
        <w:spacing w:after="0"/>
      </w:pPr>
    </w:p>
    <w:p w:rsidR="009021AA" w:rsidRPr="004A3269" w:rsidRDefault="00AD4472" w:rsidP="00AD4472">
      <w:pPr>
        <w:pStyle w:val="Style3"/>
        <w:spacing w:after="0"/>
      </w:pPr>
      <w:r w:rsidRPr="004A3269">
        <w:t>Le terrain sur lequel le nouveau bâtiment a été construit a été acqu</w:t>
      </w:r>
      <w:r w:rsidR="00C51B50" w:rsidRPr="004A3269">
        <w:t>is par l</w:t>
      </w:r>
      <w:r w:rsidR="009021AA" w:rsidRPr="004A3269">
        <w:t>’</w:t>
      </w:r>
      <w:r w:rsidR="00C51B50" w:rsidRPr="004A3269">
        <w:t>Organisation pour 13,6 </w:t>
      </w:r>
      <w:r w:rsidRPr="004A3269">
        <w:t>millions de francs suisses en</w:t>
      </w:r>
      <w:r w:rsidR="00067463" w:rsidRPr="004A3269">
        <w:t> </w:t>
      </w:r>
      <w:r w:rsidRPr="004A3269">
        <w:t>1998 et a été réévalué à la juste valeur sur la base des normes d</w:t>
      </w:r>
      <w:r w:rsidR="009021AA" w:rsidRPr="004A3269">
        <w:t>’</w:t>
      </w:r>
      <w:r w:rsidRPr="004A3269">
        <w:t xml:space="preserve">évaluation internationales par </w:t>
      </w:r>
      <w:r w:rsidR="00C51B50" w:rsidRPr="004A3269">
        <w:t>un évaluateur indépendant au 31 décembre </w:t>
      </w:r>
      <w:r w:rsidRPr="004A3269">
        <w:t>2009 à hauteur de 28,6</w:t>
      </w:r>
      <w:r w:rsidR="00C51B50" w:rsidRPr="004A3269">
        <w:t> </w:t>
      </w:r>
      <w:r w:rsidRPr="004A3269">
        <w:t>millions de francs suisses.</w:t>
      </w:r>
      <w:r w:rsidR="00C543BC" w:rsidRPr="004A3269">
        <w:t xml:space="preserve"> </w:t>
      </w:r>
      <w:r w:rsidR="00C51B50" w:rsidRPr="004A3269">
        <w:t xml:space="preserve"> </w:t>
      </w:r>
      <w:r w:rsidR="00BB2881" w:rsidRPr="004A3269">
        <w:t>Le résultat net de la réévaluation de 15,0 millions de francs suisses est inclus dans l</w:t>
      </w:r>
      <w:r w:rsidR="009021AA" w:rsidRPr="004A3269">
        <w:t>’</w:t>
      </w:r>
      <w:r w:rsidR="00BB2881" w:rsidRPr="004A3269">
        <w:t>écart de réévaluation qui fait partie de l</w:t>
      </w:r>
      <w:r w:rsidR="009021AA" w:rsidRPr="004A3269">
        <w:t>’</w:t>
      </w:r>
      <w:r w:rsidR="00BB2881" w:rsidRPr="004A3269">
        <w:t>actif net de l</w:t>
      </w:r>
      <w:r w:rsidR="009021AA" w:rsidRPr="004A3269">
        <w:t>’</w:t>
      </w:r>
      <w:r w:rsidR="00BB2881" w:rsidRPr="004A3269">
        <w:t xml:space="preserve">OMPI.  Une évaluation à jour de la valeur du terrain a été faite par un évaluateur indépendant au 31 décembre 2013.  </w:t>
      </w:r>
      <w:r w:rsidRPr="004A3269">
        <w:t>Il en est ressorti que la juste valeur du terrain estimée précédemment à 28,6</w:t>
      </w:r>
      <w:r w:rsidR="00C51B50" w:rsidRPr="004A3269">
        <w:t> </w:t>
      </w:r>
      <w:r w:rsidRPr="004A3269">
        <w:t>millions de francs suisses n</w:t>
      </w:r>
      <w:r w:rsidR="009021AA" w:rsidRPr="004A3269">
        <w:t>’</w:t>
      </w:r>
      <w:r w:rsidRPr="004A3269">
        <w:t>avait pas changé</w:t>
      </w:r>
      <w:r w:rsidR="00A0797A" w:rsidRPr="004A3269">
        <w:t xml:space="preserve">.  </w:t>
      </w:r>
      <w:r w:rsidRPr="004A3269">
        <w:t>La valeur marchande a été estimée par comptabilisation à un rendement d</w:t>
      </w:r>
      <w:r w:rsidR="009021AA" w:rsidRPr="004A3269">
        <w:t>’</w:t>
      </w:r>
      <w:r w:rsidRPr="004A3269">
        <w:t>investissement approprié des recettes potentielles prévues provenant de la propriété.</w:t>
      </w:r>
      <w:r w:rsidR="009F3897" w:rsidRPr="004A3269">
        <w:t xml:space="preserve"> </w:t>
      </w:r>
      <w:r w:rsidR="00C51B50" w:rsidRPr="004A3269">
        <w:t xml:space="preserve"> </w:t>
      </w:r>
      <w:r w:rsidRPr="004A3269">
        <w:t>L</w:t>
      </w:r>
      <w:r w:rsidR="009021AA" w:rsidRPr="004A3269">
        <w:t>’</w:t>
      </w:r>
      <w:r w:rsidRPr="004A3269">
        <w:t>apport éventuel se fonde sur des contrats de location comparables sur le marché et tient compte de la qualité des espaces ainsi que de l</w:t>
      </w:r>
      <w:r w:rsidR="009021AA" w:rsidRPr="004A3269">
        <w:t>’</w:t>
      </w:r>
      <w:r w:rsidRPr="004A3269">
        <w:t>emplacement.</w:t>
      </w:r>
      <w:r w:rsidR="009F3897" w:rsidRPr="004A3269">
        <w:t xml:space="preserve">  </w:t>
      </w:r>
      <w:r w:rsidRPr="004A3269">
        <w:t>Le rendement a été sélectionné par rapport à la qualité perçue et à la durée du revenu et le potentiel d</w:t>
      </w:r>
      <w:r w:rsidR="009021AA" w:rsidRPr="004A3269">
        <w:t>’</w:t>
      </w:r>
      <w:r w:rsidRPr="004A3269">
        <w:t>augmentation des loyers et est recoupé avec des résultats obtenus dans le cadre de ventes comparables.</w:t>
      </w:r>
    </w:p>
    <w:p w:rsidR="00267140" w:rsidRPr="004A3269" w:rsidRDefault="00267140" w:rsidP="009E6CD0">
      <w:pPr>
        <w:pStyle w:val="Style3"/>
        <w:spacing w:after="0"/>
      </w:pPr>
    </w:p>
    <w:p w:rsidR="00267140" w:rsidRPr="004A3269" w:rsidRDefault="00AD4472" w:rsidP="00AD4472">
      <w:pPr>
        <w:pStyle w:val="Style3"/>
        <w:spacing w:after="0"/>
      </w:pPr>
      <w:r w:rsidRPr="004A3269">
        <w:t xml:space="preserve">En </w:t>
      </w:r>
      <w:r w:rsidR="00A0797A" w:rsidRPr="004A3269">
        <w:t>octobre </w:t>
      </w:r>
      <w:r w:rsidRPr="004A3269">
        <w:t>2009, l</w:t>
      </w:r>
      <w:r w:rsidR="009021AA" w:rsidRPr="004A3269">
        <w:t>’</w:t>
      </w:r>
      <w:r w:rsidRPr="004A3269">
        <w:t>Assemblée générale a approuvé la construction d</w:t>
      </w:r>
      <w:r w:rsidR="009021AA" w:rsidRPr="004A3269">
        <w:t>’</w:t>
      </w:r>
      <w:r w:rsidRPr="004A3269">
        <w:t xml:space="preserve">un bâtiment abritant une nouvelle salle de conférence reliée physiquement au bâtiment </w:t>
      </w:r>
      <w:r w:rsidR="00A0797A" w:rsidRPr="004A3269">
        <w:t>A. </w:t>
      </w:r>
      <w:proofErr w:type="spellStart"/>
      <w:r w:rsidRPr="004A3269">
        <w:t>Bogsch</w:t>
      </w:r>
      <w:proofErr w:type="spellEnd"/>
      <w:r w:rsidRPr="004A3269">
        <w:t xml:space="preserve"> (AB).</w:t>
      </w:r>
      <w:r w:rsidR="00795B9B" w:rsidRPr="004A3269">
        <w:t xml:space="preserve"> </w:t>
      </w:r>
      <w:r w:rsidR="00C51B50" w:rsidRPr="004A3269">
        <w:t xml:space="preserve"> </w:t>
      </w:r>
      <w:r w:rsidR="006F3F63" w:rsidRPr="004A3269">
        <w:rPr>
          <w:rStyle w:val="hps"/>
        </w:rPr>
        <w:t>C</w:t>
      </w:r>
      <w:r w:rsidR="00BB2881" w:rsidRPr="004A3269">
        <w:rPr>
          <w:rStyle w:val="hps"/>
        </w:rPr>
        <w:t>e</w:t>
      </w:r>
      <w:r w:rsidR="00BB2881" w:rsidRPr="004A3269">
        <w:t xml:space="preserve"> </w:t>
      </w:r>
      <w:r w:rsidR="00BB2881" w:rsidRPr="004A3269">
        <w:rPr>
          <w:rStyle w:val="hps"/>
        </w:rPr>
        <w:t>projet a été achevé</w:t>
      </w:r>
      <w:r w:rsidR="00BB2881" w:rsidRPr="004A3269">
        <w:t xml:space="preserve"> </w:t>
      </w:r>
      <w:r w:rsidR="006F3F63" w:rsidRPr="004A3269">
        <w:rPr>
          <w:rStyle w:val="hps"/>
        </w:rPr>
        <w:t>en </w:t>
      </w:r>
      <w:r w:rsidR="00BB2881" w:rsidRPr="004A3269">
        <w:rPr>
          <w:rStyle w:val="hps"/>
        </w:rPr>
        <w:t>2014</w:t>
      </w:r>
      <w:r w:rsidR="00BB2881" w:rsidRPr="004A3269">
        <w:t xml:space="preserve">, </w:t>
      </w:r>
      <w:r w:rsidR="00BB2881" w:rsidRPr="004A3269">
        <w:rPr>
          <w:rStyle w:val="hps"/>
        </w:rPr>
        <w:t>et la</w:t>
      </w:r>
      <w:r w:rsidR="00BB2881" w:rsidRPr="004A3269">
        <w:t xml:space="preserve"> </w:t>
      </w:r>
      <w:r w:rsidR="006F3F63" w:rsidRPr="004A3269">
        <w:t xml:space="preserve">nouvelle salle de conférence </w:t>
      </w:r>
      <w:r w:rsidR="00BB2881" w:rsidRPr="004A3269">
        <w:rPr>
          <w:rStyle w:val="hps"/>
        </w:rPr>
        <w:t>a été</w:t>
      </w:r>
      <w:r w:rsidR="00BB2881" w:rsidRPr="004A3269">
        <w:t xml:space="preserve"> </w:t>
      </w:r>
      <w:r w:rsidR="00BB2881" w:rsidRPr="004A3269">
        <w:rPr>
          <w:rStyle w:val="hps"/>
        </w:rPr>
        <w:t>mise en service</w:t>
      </w:r>
      <w:r w:rsidR="00BB2881" w:rsidRPr="004A3269">
        <w:t xml:space="preserve"> </w:t>
      </w:r>
      <w:r w:rsidR="006F3F63" w:rsidRPr="004A3269">
        <w:rPr>
          <w:rStyle w:val="hps"/>
        </w:rPr>
        <w:t>en s</w:t>
      </w:r>
      <w:r w:rsidR="00BB2881" w:rsidRPr="004A3269">
        <w:rPr>
          <w:rStyle w:val="hps"/>
        </w:rPr>
        <w:t>eptembre</w:t>
      </w:r>
      <w:r w:rsidR="006F3F63" w:rsidRPr="004A3269">
        <w:t> </w:t>
      </w:r>
      <w:r w:rsidR="00BB2881" w:rsidRPr="004A3269">
        <w:rPr>
          <w:rStyle w:val="hps"/>
        </w:rPr>
        <w:t>2014.</w:t>
      </w:r>
      <w:r w:rsidR="006F3F63" w:rsidRPr="004A3269">
        <w:rPr>
          <w:rStyle w:val="hps"/>
        </w:rPr>
        <w:t xml:space="preserve"> </w:t>
      </w:r>
      <w:r w:rsidR="00BB2881" w:rsidRPr="004A3269">
        <w:rPr>
          <w:rStyle w:val="hps"/>
        </w:rPr>
        <w:t xml:space="preserve"> Ce projet a également</w:t>
      </w:r>
      <w:r w:rsidR="00BB2881" w:rsidRPr="004A3269">
        <w:t xml:space="preserve"> </w:t>
      </w:r>
      <w:r w:rsidR="00BB2881" w:rsidRPr="004A3269">
        <w:rPr>
          <w:rStyle w:val="hps"/>
        </w:rPr>
        <w:t>impliqué</w:t>
      </w:r>
      <w:r w:rsidR="00BB2881" w:rsidRPr="004A3269">
        <w:t xml:space="preserve"> </w:t>
      </w:r>
      <w:r w:rsidR="00BB2881" w:rsidRPr="004A3269">
        <w:rPr>
          <w:rStyle w:val="hps"/>
        </w:rPr>
        <w:t>la démolition</w:t>
      </w:r>
      <w:r w:rsidR="00BB2881" w:rsidRPr="004A3269">
        <w:t xml:space="preserve"> </w:t>
      </w:r>
      <w:r w:rsidR="00780C8E" w:rsidRPr="004A3269">
        <w:rPr>
          <w:rStyle w:val="hps"/>
        </w:rPr>
        <w:t>puis</w:t>
      </w:r>
      <w:r w:rsidR="00BB2881" w:rsidRPr="004A3269">
        <w:t xml:space="preserve"> </w:t>
      </w:r>
      <w:r w:rsidR="00BB2881" w:rsidRPr="004A3269">
        <w:rPr>
          <w:rStyle w:val="hps"/>
        </w:rPr>
        <w:t>la reconstruction</w:t>
      </w:r>
      <w:r w:rsidR="00BB2881" w:rsidRPr="004A3269">
        <w:t xml:space="preserve"> </w:t>
      </w:r>
      <w:r w:rsidR="00BB2881" w:rsidRPr="004A3269">
        <w:rPr>
          <w:rStyle w:val="hps"/>
        </w:rPr>
        <w:t>et l</w:t>
      </w:r>
      <w:r w:rsidR="009021AA" w:rsidRPr="004A3269">
        <w:rPr>
          <w:rStyle w:val="hps"/>
        </w:rPr>
        <w:t>’</w:t>
      </w:r>
      <w:r w:rsidR="00BB2881" w:rsidRPr="004A3269">
        <w:rPr>
          <w:rStyle w:val="hps"/>
        </w:rPr>
        <w:t xml:space="preserve">amélioration </w:t>
      </w:r>
      <w:r w:rsidR="00780C8E" w:rsidRPr="004A3269">
        <w:rPr>
          <w:rStyle w:val="hps"/>
        </w:rPr>
        <w:t>de certaines</w:t>
      </w:r>
      <w:r w:rsidR="00BB2881" w:rsidRPr="004A3269">
        <w:t xml:space="preserve"> </w:t>
      </w:r>
      <w:r w:rsidR="00BB2881" w:rsidRPr="004A3269">
        <w:rPr>
          <w:rStyle w:val="hps"/>
        </w:rPr>
        <w:t>zones du bâtiment</w:t>
      </w:r>
      <w:r w:rsidR="00780C8E" w:rsidRPr="004A3269">
        <w:t> </w:t>
      </w:r>
      <w:r w:rsidR="00BB2881" w:rsidRPr="004A3269">
        <w:rPr>
          <w:rStyle w:val="hps"/>
        </w:rPr>
        <w:t>AB</w:t>
      </w:r>
      <w:r w:rsidR="00BB2881" w:rsidRPr="004A3269">
        <w:t xml:space="preserve">. </w:t>
      </w:r>
      <w:r w:rsidR="00780C8E" w:rsidRPr="004A3269">
        <w:t xml:space="preserve"> </w:t>
      </w:r>
      <w:r w:rsidR="00BB2881" w:rsidRPr="004A3269">
        <w:rPr>
          <w:rStyle w:val="hps"/>
        </w:rPr>
        <w:t>Les</w:t>
      </w:r>
      <w:r w:rsidR="00BB2881" w:rsidRPr="004A3269">
        <w:t xml:space="preserve"> </w:t>
      </w:r>
      <w:r w:rsidR="00BB2881" w:rsidRPr="004A3269">
        <w:rPr>
          <w:rStyle w:val="hps"/>
        </w:rPr>
        <w:t>zones</w:t>
      </w:r>
      <w:r w:rsidR="00BB2881" w:rsidRPr="004A3269">
        <w:t xml:space="preserve"> </w:t>
      </w:r>
      <w:r w:rsidR="00BB2881" w:rsidRPr="004A3269">
        <w:rPr>
          <w:rStyle w:val="hps"/>
        </w:rPr>
        <w:t>démolies</w:t>
      </w:r>
      <w:r w:rsidR="00BB2881" w:rsidRPr="004A3269">
        <w:t xml:space="preserve"> </w:t>
      </w:r>
      <w:r w:rsidR="00BB2881" w:rsidRPr="004A3269">
        <w:rPr>
          <w:rStyle w:val="hps"/>
        </w:rPr>
        <w:t>ont été enregistrées</w:t>
      </w:r>
      <w:r w:rsidR="00BB2881" w:rsidRPr="004A3269">
        <w:t xml:space="preserve"> </w:t>
      </w:r>
      <w:r w:rsidR="00780C8E" w:rsidRPr="004A3269">
        <w:rPr>
          <w:rStyle w:val="hps"/>
        </w:rPr>
        <w:t>en tant que</w:t>
      </w:r>
      <w:r w:rsidR="00BB2881" w:rsidRPr="004A3269">
        <w:rPr>
          <w:rStyle w:val="hps"/>
        </w:rPr>
        <w:t xml:space="preserve"> </w:t>
      </w:r>
      <w:r w:rsidR="00694B00" w:rsidRPr="004A3269">
        <w:rPr>
          <w:rStyle w:val="hps"/>
        </w:rPr>
        <w:t>dépréciations</w:t>
      </w:r>
      <w:r w:rsidR="00BB2881" w:rsidRPr="004A3269">
        <w:t xml:space="preserve"> </w:t>
      </w:r>
      <w:r w:rsidR="00694B00" w:rsidRPr="004A3269">
        <w:rPr>
          <w:rStyle w:val="hps"/>
        </w:rPr>
        <w:t>durant</w:t>
      </w:r>
      <w:r w:rsidR="00BB2881" w:rsidRPr="004A3269">
        <w:rPr>
          <w:rStyle w:val="hps"/>
        </w:rPr>
        <w:t xml:space="preserve"> la</w:t>
      </w:r>
      <w:r w:rsidR="00BB2881" w:rsidRPr="004A3269">
        <w:t xml:space="preserve"> </w:t>
      </w:r>
      <w:r w:rsidR="00BB2881" w:rsidRPr="004A3269">
        <w:rPr>
          <w:rStyle w:val="hps"/>
        </w:rPr>
        <w:t>phase de construction</w:t>
      </w:r>
      <w:r w:rsidR="00BB2881" w:rsidRPr="004A3269">
        <w:t>.</w:t>
      </w:r>
      <w:r w:rsidR="00780C8E" w:rsidRPr="004A3269">
        <w:t xml:space="preserve"> </w:t>
      </w:r>
      <w:r w:rsidR="00BB2881" w:rsidRPr="004A3269">
        <w:t xml:space="preserve"> </w:t>
      </w:r>
      <w:r w:rsidR="00BB2881" w:rsidRPr="004A3269">
        <w:rPr>
          <w:rStyle w:val="hps"/>
        </w:rPr>
        <w:t>Les</w:t>
      </w:r>
      <w:r w:rsidR="00BB2881" w:rsidRPr="004A3269">
        <w:t xml:space="preserve"> </w:t>
      </w:r>
      <w:r w:rsidR="00BB2881" w:rsidRPr="004A3269">
        <w:rPr>
          <w:rStyle w:val="hps"/>
        </w:rPr>
        <w:t>zones</w:t>
      </w:r>
      <w:r w:rsidR="00BB2881" w:rsidRPr="004A3269">
        <w:t xml:space="preserve"> </w:t>
      </w:r>
      <w:r w:rsidR="00694B00" w:rsidRPr="004A3269">
        <w:rPr>
          <w:rStyle w:val="hps"/>
        </w:rPr>
        <w:t>dépréciées</w:t>
      </w:r>
      <w:r w:rsidR="00BB2881" w:rsidRPr="004A3269">
        <w:t xml:space="preserve"> </w:t>
      </w:r>
      <w:r w:rsidR="00BB2881" w:rsidRPr="004A3269">
        <w:rPr>
          <w:rStyle w:val="hps"/>
        </w:rPr>
        <w:t>ont été</w:t>
      </w:r>
      <w:r w:rsidR="00BB2881" w:rsidRPr="004A3269">
        <w:t xml:space="preserve"> </w:t>
      </w:r>
      <w:r w:rsidR="00BB2881" w:rsidRPr="004A3269">
        <w:rPr>
          <w:rStyle w:val="hps"/>
        </w:rPr>
        <w:t>sorti</w:t>
      </w:r>
      <w:r w:rsidR="00780C8E" w:rsidRPr="004A3269">
        <w:rPr>
          <w:rStyle w:val="hps"/>
        </w:rPr>
        <w:t>e</w:t>
      </w:r>
      <w:r w:rsidR="00BB2881" w:rsidRPr="004A3269">
        <w:rPr>
          <w:rStyle w:val="hps"/>
        </w:rPr>
        <w:t>s des</w:t>
      </w:r>
      <w:r w:rsidR="00BB2881" w:rsidRPr="004A3269">
        <w:t xml:space="preserve"> </w:t>
      </w:r>
      <w:r w:rsidR="00BB2881" w:rsidRPr="004A3269">
        <w:rPr>
          <w:rStyle w:val="hps"/>
        </w:rPr>
        <w:t>états financiers</w:t>
      </w:r>
      <w:r w:rsidR="00BB2881" w:rsidRPr="004A3269">
        <w:t xml:space="preserve"> </w:t>
      </w:r>
      <w:r w:rsidR="00BB2881" w:rsidRPr="004A3269">
        <w:rPr>
          <w:rStyle w:val="hps"/>
        </w:rPr>
        <w:t>en raison de leur</w:t>
      </w:r>
      <w:r w:rsidR="00BB2881" w:rsidRPr="004A3269">
        <w:t xml:space="preserve"> </w:t>
      </w:r>
      <w:r w:rsidR="00BB2881" w:rsidRPr="004A3269">
        <w:rPr>
          <w:rStyle w:val="hps"/>
        </w:rPr>
        <w:t>remplacement par</w:t>
      </w:r>
      <w:r w:rsidR="00BB2881" w:rsidRPr="004A3269">
        <w:t xml:space="preserve"> </w:t>
      </w:r>
      <w:r w:rsidR="00BB2881" w:rsidRPr="004A3269">
        <w:rPr>
          <w:rStyle w:val="hps"/>
        </w:rPr>
        <w:t>les</w:t>
      </w:r>
      <w:r w:rsidR="00BB2881" w:rsidRPr="004A3269">
        <w:t xml:space="preserve"> </w:t>
      </w:r>
      <w:r w:rsidR="00BB2881" w:rsidRPr="004A3269">
        <w:rPr>
          <w:rStyle w:val="hps"/>
        </w:rPr>
        <w:t>reconstructions</w:t>
      </w:r>
      <w:r w:rsidR="00BB2881" w:rsidRPr="004A3269">
        <w:t xml:space="preserve"> </w:t>
      </w:r>
      <w:r w:rsidR="00BB2881" w:rsidRPr="004A3269">
        <w:rPr>
          <w:rStyle w:val="hps"/>
        </w:rPr>
        <w:t>et les améliorations</w:t>
      </w:r>
      <w:r w:rsidR="00BB2881" w:rsidRPr="004A3269">
        <w:t xml:space="preserve"> </w:t>
      </w:r>
      <w:r w:rsidR="00BB2881" w:rsidRPr="004A3269">
        <w:rPr>
          <w:rStyle w:val="hps"/>
        </w:rPr>
        <w:t xml:space="preserve">réalisées.  </w:t>
      </w:r>
      <w:r w:rsidRPr="004A3269">
        <w:rPr>
          <w:szCs w:val="22"/>
        </w:rPr>
        <w:t>L</w:t>
      </w:r>
      <w:r w:rsidR="009021AA" w:rsidRPr="004A3269">
        <w:rPr>
          <w:szCs w:val="22"/>
        </w:rPr>
        <w:t>’</w:t>
      </w:r>
      <w:r w:rsidRPr="004A3269">
        <w:rPr>
          <w:szCs w:val="22"/>
        </w:rPr>
        <w:t>OMPI entreprend également un projet de renforcement des normes de sûreté et de sécurité de ses bâtiments qui s</w:t>
      </w:r>
      <w:r w:rsidR="009021AA" w:rsidRPr="004A3269">
        <w:rPr>
          <w:szCs w:val="22"/>
        </w:rPr>
        <w:t>’</w:t>
      </w:r>
      <w:r w:rsidRPr="004A3269">
        <w:rPr>
          <w:szCs w:val="22"/>
        </w:rPr>
        <w:t xml:space="preserve">inscrit dans la mise en œuvre des recommandations du système unifié de sécurité des </w:t>
      </w:r>
      <w:r w:rsidR="009021AA" w:rsidRPr="004A3269">
        <w:rPr>
          <w:szCs w:val="22"/>
        </w:rPr>
        <w:t>Nations Unies</w:t>
      </w:r>
      <w:r w:rsidRPr="004A3269">
        <w:rPr>
          <w:szCs w:val="22"/>
        </w:rPr>
        <w:t xml:space="preserve"> (UN Security Management System)</w:t>
      </w:r>
      <w:r w:rsidR="00A0797A" w:rsidRPr="004A3269">
        <w:rPr>
          <w:szCs w:val="22"/>
        </w:rPr>
        <w:t xml:space="preserve">.  </w:t>
      </w:r>
      <w:r w:rsidRPr="004A3269">
        <w:rPr>
          <w:szCs w:val="22"/>
        </w:rPr>
        <w:t>Ce projet comprend la mise à niveau des normes minimales de sécurité opérationnelle pour les villes</w:t>
      </w:r>
      <w:r w:rsidR="00A17552" w:rsidRPr="004A3269">
        <w:rPr>
          <w:szCs w:val="22"/>
        </w:rPr>
        <w:noBreakHyphen/>
      </w:r>
      <w:r w:rsidRPr="004A3269">
        <w:rPr>
          <w:szCs w:val="22"/>
        </w:rPr>
        <w:t>sièges, ou normes</w:t>
      </w:r>
      <w:r w:rsidR="00067463" w:rsidRPr="004A3269">
        <w:rPr>
          <w:szCs w:val="22"/>
        </w:rPr>
        <w:t> </w:t>
      </w:r>
      <w:r w:rsidRPr="004A3269">
        <w:rPr>
          <w:szCs w:val="22"/>
        </w:rPr>
        <w:t>UN</w:t>
      </w:r>
      <w:r w:rsidR="00277DBB" w:rsidRPr="004A3269">
        <w:rPr>
          <w:szCs w:val="22"/>
        </w:rPr>
        <w:t> </w:t>
      </w:r>
      <w:r w:rsidRPr="004A3269">
        <w:rPr>
          <w:szCs w:val="22"/>
        </w:rPr>
        <w:t>H</w:t>
      </w:r>
      <w:r w:rsidR="00A17552" w:rsidRPr="004A3269">
        <w:rPr>
          <w:szCs w:val="22"/>
        </w:rPr>
        <w:noBreakHyphen/>
      </w:r>
      <w:r w:rsidRPr="004A3269">
        <w:rPr>
          <w:szCs w:val="22"/>
        </w:rPr>
        <w:t xml:space="preserve">MOSS (UN </w:t>
      </w:r>
      <w:proofErr w:type="spellStart"/>
      <w:r w:rsidRPr="004A3269">
        <w:rPr>
          <w:szCs w:val="22"/>
        </w:rPr>
        <w:t>Headquarters</w:t>
      </w:r>
      <w:proofErr w:type="spellEnd"/>
      <w:r w:rsidRPr="004A3269">
        <w:rPr>
          <w:szCs w:val="22"/>
        </w:rPr>
        <w:t xml:space="preserve"> Minimum </w:t>
      </w:r>
      <w:proofErr w:type="spellStart"/>
      <w:r w:rsidRPr="004A3269">
        <w:rPr>
          <w:szCs w:val="22"/>
        </w:rPr>
        <w:t>Operational</w:t>
      </w:r>
      <w:proofErr w:type="spellEnd"/>
      <w:r w:rsidRPr="004A3269">
        <w:rPr>
          <w:szCs w:val="22"/>
        </w:rPr>
        <w:t xml:space="preserve"> Security Standards).</w:t>
      </w:r>
      <w:r w:rsidR="00D42D4D" w:rsidRPr="004A3269">
        <w:rPr>
          <w:szCs w:val="22"/>
        </w:rPr>
        <w:t xml:space="preserve"> </w:t>
      </w:r>
      <w:r w:rsidR="00BB2881" w:rsidRPr="004A3269">
        <w:rPr>
          <w:szCs w:val="22"/>
        </w:rPr>
        <w:t xml:space="preserve"> </w:t>
      </w:r>
      <w:r w:rsidR="00096770" w:rsidRPr="004A3269">
        <w:rPr>
          <w:rStyle w:val="hps"/>
        </w:rPr>
        <w:t>Il</w:t>
      </w:r>
      <w:r w:rsidR="00BB2881" w:rsidRPr="004A3269">
        <w:rPr>
          <w:rStyle w:val="hps"/>
        </w:rPr>
        <w:t xml:space="preserve"> comprend </w:t>
      </w:r>
      <w:r w:rsidR="00096770" w:rsidRPr="004A3269">
        <w:rPr>
          <w:rStyle w:val="hps"/>
        </w:rPr>
        <w:t xml:space="preserve">également </w:t>
      </w:r>
      <w:r w:rsidR="00BB2881" w:rsidRPr="004A3269">
        <w:rPr>
          <w:rStyle w:val="hps"/>
        </w:rPr>
        <w:t>la construction</w:t>
      </w:r>
      <w:r w:rsidR="00BB2881" w:rsidRPr="004A3269">
        <w:t xml:space="preserve"> </w:t>
      </w:r>
      <w:r w:rsidR="00BB2881" w:rsidRPr="004A3269">
        <w:rPr>
          <w:rStyle w:val="hps"/>
        </w:rPr>
        <w:t>d</w:t>
      </w:r>
      <w:r w:rsidR="009021AA" w:rsidRPr="004A3269">
        <w:rPr>
          <w:rStyle w:val="hps"/>
        </w:rPr>
        <w:t>’</w:t>
      </w:r>
      <w:r w:rsidR="00BB2881" w:rsidRPr="004A3269">
        <w:rPr>
          <w:rStyle w:val="hps"/>
        </w:rPr>
        <w:t>un</w:t>
      </w:r>
      <w:r w:rsidR="00BB2881" w:rsidRPr="004A3269">
        <w:t xml:space="preserve"> </w:t>
      </w:r>
      <w:r w:rsidR="00BB2881" w:rsidRPr="004A3269">
        <w:rPr>
          <w:rStyle w:val="hps"/>
        </w:rPr>
        <w:t>périmètre de sécurité</w:t>
      </w:r>
      <w:r w:rsidR="00BB2881" w:rsidRPr="004A3269">
        <w:t xml:space="preserve">, </w:t>
      </w:r>
      <w:r w:rsidR="00096770" w:rsidRPr="004A3269">
        <w:t>la création d</w:t>
      </w:r>
      <w:r w:rsidR="009021AA" w:rsidRPr="004A3269">
        <w:t>’</w:t>
      </w:r>
      <w:r w:rsidR="00BB2881" w:rsidRPr="004A3269">
        <w:rPr>
          <w:rStyle w:val="hps"/>
        </w:rPr>
        <w:t>un nouveau centre</w:t>
      </w:r>
      <w:r w:rsidR="00BB2881" w:rsidRPr="004A3269">
        <w:t xml:space="preserve"> </w:t>
      </w:r>
      <w:r w:rsidR="00BB2881" w:rsidRPr="004A3269">
        <w:rPr>
          <w:rStyle w:val="hps"/>
        </w:rPr>
        <w:t>d</w:t>
      </w:r>
      <w:r w:rsidR="009021AA" w:rsidRPr="004A3269">
        <w:rPr>
          <w:rStyle w:val="hps"/>
        </w:rPr>
        <w:t>’</w:t>
      </w:r>
      <w:r w:rsidR="00BB2881" w:rsidRPr="004A3269">
        <w:rPr>
          <w:rStyle w:val="hps"/>
        </w:rPr>
        <w:t>accès</w:t>
      </w:r>
      <w:r w:rsidR="00BB2881" w:rsidRPr="004A3269">
        <w:t xml:space="preserve"> </w:t>
      </w:r>
      <w:r w:rsidR="00BB2881" w:rsidRPr="004A3269">
        <w:rPr>
          <w:rStyle w:val="hps"/>
        </w:rPr>
        <w:t xml:space="preserve">et </w:t>
      </w:r>
      <w:r w:rsidR="00096770" w:rsidRPr="004A3269">
        <w:rPr>
          <w:rStyle w:val="hps"/>
        </w:rPr>
        <w:lastRenderedPageBreak/>
        <w:t xml:space="preserve">la mise en place </w:t>
      </w:r>
      <w:r w:rsidR="00BB2881" w:rsidRPr="004A3269">
        <w:rPr>
          <w:rStyle w:val="hps"/>
        </w:rPr>
        <w:t>de</w:t>
      </w:r>
      <w:r w:rsidR="00BB2881" w:rsidRPr="004A3269">
        <w:t xml:space="preserve"> </w:t>
      </w:r>
      <w:r w:rsidR="00BB2881" w:rsidRPr="004A3269">
        <w:rPr>
          <w:rStyle w:val="hps"/>
        </w:rPr>
        <w:t>mesures de sécurité</w:t>
      </w:r>
      <w:r w:rsidR="00BB2881" w:rsidRPr="004A3269">
        <w:t xml:space="preserve"> </w:t>
      </w:r>
      <w:r w:rsidR="00BB2881" w:rsidRPr="004A3269">
        <w:rPr>
          <w:rStyle w:val="hps"/>
        </w:rPr>
        <w:t>internes</w:t>
      </w:r>
      <w:r w:rsidR="00BB2881" w:rsidRPr="004A3269">
        <w:t xml:space="preserve">. </w:t>
      </w:r>
      <w:r w:rsidR="00096770" w:rsidRPr="004A3269">
        <w:t xml:space="preserve"> Les coûts relatifs à ce projet de construction assumés par l</w:t>
      </w:r>
      <w:r w:rsidR="009021AA" w:rsidRPr="004A3269">
        <w:t>’</w:t>
      </w:r>
      <w:r w:rsidR="00096770" w:rsidRPr="004A3269">
        <w:t>Organisation ont été comptabilisés dans le cadre des travaux en cours durant 2014</w:t>
      </w:r>
      <w:r w:rsidR="00BB2881" w:rsidRPr="004A3269">
        <w:rPr>
          <w:rStyle w:val="hps"/>
        </w:rPr>
        <w:t>,</w:t>
      </w:r>
      <w:r w:rsidR="00BB2881" w:rsidRPr="004A3269">
        <w:t xml:space="preserve"> </w:t>
      </w:r>
      <w:r w:rsidR="00BB2881" w:rsidRPr="004A3269">
        <w:rPr>
          <w:rStyle w:val="hps"/>
        </w:rPr>
        <w:t>et le projet</w:t>
      </w:r>
      <w:r w:rsidR="00BB2881" w:rsidRPr="004A3269">
        <w:t xml:space="preserve"> </w:t>
      </w:r>
      <w:r w:rsidR="00BB2881" w:rsidRPr="004A3269">
        <w:rPr>
          <w:rStyle w:val="hps"/>
        </w:rPr>
        <w:t>devrait être</w:t>
      </w:r>
      <w:r w:rsidR="00BB2881" w:rsidRPr="004A3269">
        <w:t xml:space="preserve"> </w:t>
      </w:r>
      <w:r w:rsidR="00BB2881" w:rsidRPr="004A3269">
        <w:rPr>
          <w:rStyle w:val="hps"/>
        </w:rPr>
        <w:t>achevé</w:t>
      </w:r>
      <w:r w:rsidR="00BB2881" w:rsidRPr="004A3269">
        <w:t xml:space="preserve"> </w:t>
      </w:r>
      <w:r w:rsidR="00BB2881" w:rsidRPr="004A3269">
        <w:rPr>
          <w:rStyle w:val="hps"/>
        </w:rPr>
        <w:t>au premier semestre</w:t>
      </w:r>
      <w:r w:rsidR="00096770" w:rsidRPr="004A3269">
        <w:t> </w:t>
      </w:r>
      <w:r w:rsidR="00BB2881" w:rsidRPr="004A3269">
        <w:rPr>
          <w:rStyle w:val="hps"/>
        </w:rPr>
        <w:t>2015.</w:t>
      </w:r>
      <w:r w:rsidR="00C51B50" w:rsidRPr="004A3269">
        <w:rPr>
          <w:rStyle w:val="hps"/>
        </w:rPr>
        <w:t xml:space="preserve">  </w:t>
      </w:r>
      <w:r w:rsidRPr="004A3269">
        <w:rPr>
          <w:szCs w:val="22"/>
        </w:rPr>
        <w:t>Ce projet de construction a été partiellement financé par la Fondation des immeubles pour les organisations internationales (FIPOI).</w:t>
      </w:r>
      <w:r w:rsidR="00C51B50" w:rsidRPr="004A3269">
        <w:rPr>
          <w:szCs w:val="22"/>
        </w:rPr>
        <w:t xml:space="preserve"> </w:t>
      </w:r>
      <w:r w:rsidR="00800D76" w:rsidRPr="004A3269">
        <w:t xml:space="preserve"> </w:t>
      </w:r>
      <w:r w:rsidRPr="004A3269">
        <w:t>Les travaux de construction financés par</w:t>
      </w:r>
      <w:r w:rsidR="009021AA" w:rsidRPr="004A3269">
        <w:t xml:space="preserve"> la FIP</w:t>
      </w:r>
      <w:r w:rsidRPr="004A3269">
        <w:t>OI ont été comptabilisés dans le cadre des travaux en cours, et un montant correspondant a été inscrit comme recettes différées (voir la note n°</w:t>
      </w:r>
      <w:r w:rsidR="00067463" w:rsidRPr="004A3269">
        <w:t> </w:t>
      </w:r>
      <w:r w:rsidRPr="004A3269">
        <w:t>14).</w:t>
      </w:r>
    </w:p>
    <w:p w:rsidR="00A43F1D" w:rsidRPr="004A3269" w:rsidRDefault="00A43F1D" w:rsidP="00800D76">
      <w:pPr>
        <w:pStyle w:val="Style3"/>
        <w:spacing w:after="0"/>
        <w:sectPr w:rsidR="00A43F1D" w:rsidRPr="004A3269" w:rsidSect="0080775C">
          <w:headerReference w:type="default" r:id="rId68"/>
          <w:footerReference w:type="default" r:id="rId69"/>
          <w:pgSz w:w="11907" w:h="16840" w:code="9"/>
          <w:pgMar w:top="851" w:right="1247" w:bottom="1531" w:left="1247" w:header="709" w:footer="709" w:gutter="0"/>
          <w:cols w:space="708"/>
          <w:docGrid w:linePitch="360"/>
        </w:sectPr>
      </w:pPr>
    </w:p>
    <w:p w:rsidR="00267140" w:rsidRPr="004A3269" w:rsidRDefault="00AD4472" w:rsidP="00AD4472">
      <w:pPr>
        <w:pStyle w:val="BodyText"/>
        <w:rPr>
          <w:szCs w:val="22"/>
        </w:rPr>
      </w:pPr>
      <w:r w:rsidRPr="004A3269">
        <w:rPr>
          <w:szCs w:val="22"/>
        </w:rPr>
        <w:lastRenderedPageBreak/>
        <w:t>Mouvements relati</w:t>
      </w:r>
      <w:r w:rsidR="00C51B50" w:rsidRPr="004A3269">
        <w:rPr>
          <w:szCs w:val="22"/>
        </w:rPr>
        <w:t>fs aux terrains et bâtiments en </w:t>
      </w:r>
      <w:r w:rsidRPr="004A3269">
        <w:rPr>
          <w:szCs w:val="22"/>
        </w:rPr>
        <w:t>2014</w:t>
      </w:r>
      <w:r w:rsidR="00A0797A" w:rsidRPr="004A3269">
        <w:rPr>
          <w:szCs w:val="22"/>
        </w:rPr>
        <w:t> :</w:t>
      </w:r>
    </w:p>
    <w:p w:rsidR="00267140" w:rsidRPr="004A3269" w:rsidRDefault="00267140" w:rsidP="00A43F1D">
      <w:pPr>
        <w:pStyle w:val="StyleHeading211ptNotBoldNotItalicAllcaps"/>
        <w:spacing w:before="0" w:after="0"/>
        <w:rPr>
          <w:szCs w:val="22"/>
        </w:rPr>
      </w:pPr>
    </w:p>
    <w:p w:rsidR="00267140" w:rsidRPr="004A3269" w:rsidRDefault="007373BF" w:rsidP="00A43F1D">
      <w:pPr>
        <w:pStyle w:val="StyleHeading211ptNotBoldNotItalicAllcaps"/>
        <w:spacing w:before="0" w:after="0"/>
      </w:pPr>
      <w:r w:rsidRPr="004A3269">
        <w:rPr>
          <w:noProof/>
          <w:lang w:val="en-US"/>
        </w:rPr>
        <w:drawing>
          <wp:inline distT="0" distB="0" distL="0" distR="0" wp14:anchorId="4E67DB3D" wp14:editId="01528C7B">
            <wp:extent cx="9575165" cy="4388399"/>
            <wp:effectExtent l="0" t="0" r="698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75165" cy="4388399"/>
                    </a:xfrm>
                    <a:prstGeom prst="rect">
                      <a:avLst/>
                    </a:prstGeom>
                    <a:noFill/>
                    <a:ln>
                      <a:noFill/>
                    </a:ln>
                  </pic:spPr>
                </pic:pic>
              </a:graphicData>
            </a:graphic>
          </wp:inline>
        </w:drawing>
      </w:r>
    </w:p>
    <w:p w:rsidR="004E7EB2" w:rsidRPr="004A3269" w:rsidRDefault="004E7EB2" w:rsidP="00A43F1D">
      <w:pPr>
        <w:pStyle w:val="StyleHeading211ptNotBoldNotItalicAllcaps"/>
        <w:spacing w:before="0" w:after="0"/>
      </w:pPr>
    </w:p>
    <w:p w:rsidR="007373BF" w:rsidRPr="004A3269" w:rsidRDefault="007373BF" w:rsidP="00A43F1D">
      <w:pPr>
        <w:pStyle w:val="StyleHeading211ptNotBoldNotItalicAllcaps"/>
        <w:spacing w:before="0" w:after="0"/>
        <w:sectPr w:rsidR="007373BF" w:rsidRPr="004A3269" w:rsidSect="003B00CF">
          <w:pgSz w:w="16840" w:h="11907" w:orient="landscape" w:code="9"/>
          <w:pgMar w:top="1247" w:right="910" w:bottom="1247" w:left="851" w:header="709" w:footer="709" w:gutter="0"/>
          <w:cols w:space="708"/>
          <w:docGrid w:linePitch="360"/>
        </w:sectPr>
      </w:pPr>
    </w:p>
    <w:p w:rsidR="00267140" w:rsidRPr="004A3269" w:rsidRDefault="00AD4472" w:rsidP="00AD4472">
      <w:pPr>
        <w:pStyle w:val="BodyText"/>
        <w:rPr>
          <w:szCs w:val="22"/>
        </w:rPr>
      </w:pPr>
      <w:r w:rsidRPr="004A3269">
        <w:rPr>
          <w:szCs w:val="22"/>
        </w:rPr>
        <w:lastRenderedPageBreak/>
        <w:t>Mouvements relatifs aux ter</w:t>
      </w:r>
      <w:r w:rsidR="00C51B50" w:rsidRPr="004A3269">
        <w:rPr>
          <w:szCs w:val="22"/>
        </w:rPr>
        <w:t>rains et bâtiments dans l</w:t>
      </w:r>
      <w:r w:rsidR="009021AA" w:rsidRPr="004A3269">
        <w:rPr>
          <w:szCs w:val="22"/>
        </w:rPr>
        <w:t>’</w:t>
      </w:r>
      <w:r w:rsidR="00C51B50" w:rsidRPr="004A3269">
        <w:rPr>
          <w:szCs w:val="22"/>
        </w:rPr>
        <w:t>année </w:t>
      </w:r>
      <w:r w:rsidRPr="004A3269">
        <w:rPr>
          <w:szCs w:val="22"/>
        </w:rPr>
        <w:t>2013 précédente</w:t>
      </w:r>
      <w:r w:rsidR="00A0797A" w:rsidRPr="004A3269">
        <w:rPr>
          <w:szCs w:val="22"/>
        </w:rPr>
        <w:t> :</w:t>
      </w:r>
    </w:p>
    <w:p w:rsidR="00267140" w:rsidRPr="004A3269" w:rsidRDefault="00267140" w:rsidP="00A43F1D">
      <w:pPr>
        <w:pStyle w:val="StyleHeading211ptNotBoldNotItalicAllcaps"/>
        <w:spacing w:before="0" w:after="0"/>
        <w:rPr>
          <w:szCs w:val="22"/>
        </w:rPr>
      </w:pPr>
    </w:p>
    <w:p w:rsidR="007373BF" w:rsidRPr="004A3269" w:rsidRDefault="007373BF" w:rsidP="003B00CF">
      <w:pPr>
        <w:pStyle w:val="StyleHeading211ptNotBoldNotItalicAllcaps"/>
        <w:spacing w:before="0" w:after="0"/>
        <w:jc w:val="center"/>
        <w:rPr>
          <w:szCs w:val="22"/>
        </w:rPr>
      </w:pPr>
      <w:r w:rsidRPr="004A3269">
        <w:rPr>
          <w:noProof/>
          <w:lang w:val="en-US"/>
        </w:rPr>
        <w:drawing>
          <wp:inline distT="0" distB="0" distL="0" distR="0" wp14:anchorId="1A0EE311" wp14:editId="4829C244">
            <wp:extent cx="9575165" cy="4199798"/>
            <wp:effectExtent l="0" t="0" r="698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75165" cy="4199798"/>
                    </a:xfrm>
                    <a:prstGeom prst="rect">
                      <a:avLst/>
                    </a:prstGeom>
                    <a:noFill/>
                    <a:ln>
                      <a:noFill/>
                    </a:ln>
                  </pic:spPr>
                </pic:pic>
              </a:graphicData>
            </a:graphic>
          </wp:inline>
        </w:drawing>
      </w:r>
    </w:p>
    <w:p w:rsidR="00267140" w:rsidRPr="004A3269" w:rsidRDefault="00267140" w:rsidP="00A43F1D">
      <w:pPr>
        <w:pStyle w:val="StyleHeading211ptNotBoldNotItalicAllcaps"/>
        <w:spacing w:before="0" w:after="0"/>
        <w:rPr>
          <w:szCs w:val="22"/>
        </w:rPr>
      </w:pPr>
    </w:p>
    <w:p w:rsidR="00267140" w:rsidRPr="004A3269" w:rsidRDefault="00267140" w:rsidP="00A43F1D">
      <w:pPr>
        <w:pStyle w:val="StyleHeading211ptNotBoldNotItalicAllcaps"/>
        <w:spacing w:before="0" w:after="0"/>
        <w:rPr>
          <w:szCs w:val="22"/>
        </w:rPr>
      </w:pPr>
    </w:p>
    <w:p w:rsidR="00267140" w:rsidRPr="004A3269" w:rsidRDefault="00267140" w:rsidP="00A43F1D">
      <w:pPr>
        <w:pStyle w:val="StyleHeading211ptNotBoldNotItalicAllcaps"/>
        <w:spacing w:before="0" w:after="0"/>
        <w:rPr>
          <w:szCs w:val="22"/>
        </w:rPr>
      </w:pPr>
    </w:p>
    <w:p w:rsidR="00267140" w:rsidRPr="004A3269" w:rsidRDefault="00267140" w:rsidP="00A43F1D">
      <w:pPr>
        <w:pStyle w:val="StyleHeading211ptNotBoldNotItalicAllcaps"/>
        <w:spacing w:before="0" w:after="0"/>
        <w:rPr>
          <w:szCs w:val="22"/>
        </w:rPr>
      </w:pPr>
    </w:p>
    <w:p w:rsidR="00A43F1D" w:rsidRPr="004A3269" w:rsidRDefault="00A43F1D" w:rsidP="00360417">
      <w:pPr>
        <w:pStyle w:val="StyleHeading211ptNotBoldNotItalicAllcaps"/>
        <w:rPr>
          <w:sz w:val="20"/>
          <w:szCs w:val="20"/>
        </w:rPr>
        <w:sectPr w:rsidR="00A43F1D" w:rsidRPr="004A3269" w:rsidSect="003B00CF">
          <w:pgSz w:w="16840" w:h="11907" w:orient="landscape" w:code="9"/>
          <w:pgMar w:top="1247" w:right="910" w:bottom="1247" w:left="851" w:header="709" w:footer="709" w:gutter="0"/>
          <w:cols w:space="708"/>
          <w:docGrid w:linePitch="360"/>
        </w:sectPr>
      </w:pPr>
    </w:p>
    <w:p w:rsidR="00267140" w:rsidRPr="004A3269" w:rsidRDefault="00C51B50" w:rsidP="00C51B50">
      <w:pPr>
        <w:pStyle w:val="StyleHeading211ptNotBoldNotItalicAllcaps"/>
        <w:tabs>
          <w:tab w:val="left" w:pos="1701"/>
        </w:tabs>
        <w:spacing w:before="0" w:after="0"/>
      </w:pPr>
      <w:r w:rsidRPr="004A3269">
        <w:rPr>
          <w:b/>
          <w:i w:val="0"/>
        </w:rPr>
        <w:lastRenderedPageBreak/>
        <w:t>NOTE N°</w:t>
      </w:r>
      <w:r w:rsidRPr="004A3269">
        <w:rPr>
          <w:i w:val="0"/>
        </w:rPr>
        <w:t> </w:t>
      </w:r>
      <w:r w:rsidRPr="004A3269">
        <w:rPr>
          <w:b/>
          <w:i w:val="0"/>
        </w:rPr>
        <w:t>10</w:t>
      </w:r>
      <w:r w:rsidR="00A0797A" w:rsidRPr="004A3269">
        <w:rPr>
          <w:i w:val="0"/>
        </w:rPr>
        <w:t> :</w:t>
      </w:r>
      <w:r w:rsidRPr="004A3269">
        <w:rPr>
          <w:b/>
          <w:i w:val="0"/>
        </w:rPr>
        <w:t xml:space="preserve"> </w:t>
      </w:r>
      <w:r w:rsidRPr="004A3269">
        <w:rPr>
          <w:b/>
          <w:i w:val="0"/>
        </w:rPr>
        <w:tab/>
        <w:t>AUTRES ACTIFS NON COURANTS</w:t>
      </w:r>
    </w:p>
    <w:p w:rsidR="00267140" w:rsidRPr="004A3269" w:rsidRDefault="00267140" w:rsidP="0017684B">
      <w:pPr>
        <w:jc w:val="both"/>
        <w:rPr>
          <w:b/>
          <w:szCs w:val="22"/>
        </w:rPr>
      </w:pPr>
    </w:p>
    <w:p w:rsidR="00C85599" w:rsidRPr="004A3269" w:rsidRDefault="00C85599" w:rsidP="00C85599">
      <w:pPr>
        <w:jc w:val="center"/>
      </w:pPr>
      <w:bookmarkStart w:id="11" w:name="RANGE!C4:F8"/>
      <w:bookmarkEnd w:id="11"/>
      <w:r w:rsidRPr="004A3269">
        <w:rPr>
          <w:noProof/>
          <w:lang w:val="en-US"/>
        </w:rPr>
        <w:drawing>
          <wp:inline distT="0" distB="0" distL="0" distR="0" wp14:anchorId="770E8C4D" wp14:editId="042968CD">
            <wp:extent cx="5977255" cy="1261660"/>
            <wp:effectExtent l="0" t="0" r="444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77255" cy="1261660"/>
                    </a:xfrm>
                    <a:prstGeom prst="rect">
                      <a:avLst/>
                    </a:prstGeom>
                    <a:noFill/>
                    <a:ln>
                      <a:noFill/>
                    </a:ln>
                  </pic:spPr>
                </pic:pic>
              </a:graphicData>
            </a:graphic>
          </wp:inline>
        </w:drawing>
      </w:r>
    </w:p>
    <w:p w:rsidR="00C85599" w:rsidRPr="004A3269" w:rsidRDefault="00C85599" w:rsidP="00C85599"/>
    <w:p w:rsidR="00267140" w:rsidRPr="004A3269" w:rsidRDefault="00AD4472" w:rsidP="00AD4472">
      <w:pPr>
        <w:pStyle w:val="Style3"/>
        <w:spacing w:after="0"/>
        <w:ind w:right="53"/>
        <w:rPr>
          <w:szCs w:val="22"/>
        </w:rPr>
      </w:pPr>
      <w:r w:rsidRPr="004A3269">
        <w:rPr>
          <w:szCs w:val="22"/>
        </w:rPr>
        <w:t>En</w:t>
      </w:r>
      <w:r w:rsidR="00067463" w:rsidRPr="004A3269">
        <w:rPr>
          <w:szCs w:val="22"/>
        </w:rPr>
        <w:t> </w:t>
      </w:r>
      <w:r w:rsidRPr="004A3269">
        <w:rPr>
          <w:szCs w:val="22"/>
        </w:rPr>
        <w:t>1991, l</w:t>
      </w:r>
      <w:r w:rsidR="009021AA" w:rsidRPr="004A3269">
        <w:rPr>
          <w:szCs w:val="22"/>
        </w:rPr>
        <w:t>’</w:t>
      </w:r>
      <w:r w:rsidRPr="004A3269">
        <w:rPr>
          <w:szCs w:val="22"/>
        </w:rPr>
        <w:t>Organisation a conclu un accord avec la Fondation du Centre International de Genève (FCIG) concernant la construction d</w:t>
      </w:r>
      <w:r w:rsidR="009021AA" w:rsidRPr="004A3269">
        <w:rPr>
          <w:szCs w:val="22"/>
        </w:rPr>
        <w:t>’</w:t>
      </w:r>
      <w:r w:rsidRPr="004A3269">
        <w:rPr>
          <w:szCs w:val="22"/>
        </w:rPr>
        <w:t>un bâtiment rue des Morillons à Genève (Sui</w:t>
      </w:r>
      <w:r w:rsidR="00C51B50" w:rsidRPr="004A3269">
        <w:rPr>
          <w:szCs w:val="22"/>
        </w:rPr>
        <w:t>sse) pour un coût total de 20,4 </w:t>
      </w:r>
      <w:r w:rsidRPr="004A3269">
        <w:rPr>
          <w:szCs w:val="22"/>
        </w:rPr>
        <w:t>millions de francs suisses.</w:t>
      </w:r>
      <w:r w:rsidR="006C08A0" w:rsidRPr="004A3269">
        <w:t xml:space="preserve">  </w:t>
      </w:r>
      <w:r w:rsidR="00CE4A1D" w:rsidRPr="004A3269">
        <w:rPr>
          <w:rStyle w:val="hps"/>
        </w:rPr>
        <w:t>L</w:t>
      </w:r>
      <w:r w:rsidR="009021AA" w:rsidRPr="004A3269">
        <w:rPr>
          <w:rStyle w:val="hps"/>
        </w:rPr>
        <w:t>’</w:t>
      </w:r>
      <w:r w:rsidR="00CE4A1D" w:rsidRPr="004A3269">
        <w:rPr>
          <w:rStyle w:val="hps"/>
        </w:rPr>
        <w:t>accord prévoyait que</w:t>
      </w:r>
      <w:r w:rsidR="00CE4A1D" w:rsidRPr="004A3269">
        <w:t xml:space="preserve"> </w:t>
      </w:r>
      <w:r w:rsidR="00CE4A1D" w:rsidRPr="004A3269">
        <w:rPr>
          <w:rStyle w:val="hps"/>
        </w:rPr>
        <w:t>l</w:t>
      </w:r>
      <w:r w:rsidR="009021AA" w:rsidRPr="004A3269">
        <w:rPr>
          <w:rStyle w:val="hps"/>
        </w:rPr>
        <w:t>’</w:t>
      </w:r>
      <w:r w:rsidR="00CE4A1D" w:rsidRPr="004A3269">
        <w:rPr>
          <w:rStyle w:val="hps"/>
        </w:rPr>
        <w:t>Organisation</w:t>
      </w:r>
      <w:r w:rsidR="00CE4A1D" w:rsidRPr="004A3269">
        <w:t xml:space="preserve"> </w:t>
      </w:r>
      <w:r w:rsidR="00CE4A1D" w:rsidRPr="004A3269">
        <w:rPr>
          <w:rStyle w:val="hps"/>
        </w:rPr>
        <w:t>avance</w:t>
      </w:r>
      <w:r w:rsidR="00FE4508" w:rsidRPr="004A3269">
        <w:rPr>
          <w:rStyle w:val="hps"/>
        </w:rPr>
        <w:t>rait</w:t>
      </w:r>
      <w:r w:rsidR="00CE4A1D" w:rsidRPr="004A3269">
        <w:rPr>
          <w:rStyle w:val="hps"/>
        </w:rPr>
        <w:t xml:space="preserve"> la somme</w:t>
      </w:r>
      <w:r w:rsidR="00CE4A1D" w:rsidRPr="004A3269">
        <w:t xml:space="preserve"> </w:t>
      </w:r>
      <w:r w:rsidR="00CE4A1D" w:rsidRPr="004A3269">
        <w:rPr>
          <w:rStyle w:val="hps"/>
        </w:rPr>
        <w:t>initiale de</w:t>
      </w:r>
      <w:r w:rsidR="00CE4A1D" w:rsidRPr="004A3269">
        <w:t xml:space="preserve"> </w:t>
      </w:r>
      <w:r w:rsidR="00CE4A1D" w:rsidRPr="004A3269">
        <w:rPr>
          <w:rStyle w:val="hps"/>
        </w:rPr>
        <w:t>10,0</w:t>
      </w:r>
      <w:r w:rsidR="00CE4A1D" w:rsidRPr="004A3269">
        <w:t> </w:t>
      </w:r>
      <w:r w:rsidR="00CE4A1D" w:rsidRPr="004A3269">
        <w:rPr>
          <w:rStyle w:val="hps"/>
        </w:rPr>
        <w:t>millions de francs suisses</w:t>
      </w:r>
      <w:r w:rsidR="00CE4A1D" w:rsidRPr="004A3269">
        <w:t xml:space="preserve">, </w:t>
      </w:r>
      <w:r w:rsidR="00CE4A1D" w:rsidRPr="004A3269">
        <w:rPr>
          <w:rStyle w:val="hps"/>
        </w:rPr>
        <w:t>plus une</w:t>
      </w:r>
      <w:r w:rsidR="00CE4A1D" w:rsidRPr="004A3269">
        <w:t xml:space="preserve"> </w:t>
      </w:r>
      <w:r w:rsidR="00CE4A1D" w:rsidRPr="004A3269">
        <w:rPr>
          <w:rStyle w:val="hps"/>
        </w:rPr>
        <w:t>somme de</w:t>
      </w:r>
      <w:r w:rsidR="00CE4A1D" w:rsidRPr="004A3269">
        <w:t xml:space="preserve"> </w:t>
      </w:r>
      <w:r w:rsidR="00CE4A1D" w:rsidRPr="004A3269">
        <w:rPr>
          <w:rStyle w:val="hps"/>
        </w:rPr>
        <w:t>1,0 million de francs</w:t>
      </w:r>
      <w:r w:rsidR="00CE4A1D" w:rsidRPr="004A3269">
        <w:t xml:space="preserve"> </w:t>
      </w:r>
      <w:r w:rsidR="00CE4A1D" w:rsidRPr="004A3269">
        <w:rPr>
          <w:rStyle w:val="hps"/>
        </w:rPr>
        <w:t>suisses</w:t>
      </w:r>
      <w:r w:rsidR="00CE4A1D" w:rsidRPr="004A3269">
        <w:t xml:space="preserve"> correspondant aux</w:t>
      </w:r>
      <w:r w:rsidR="00CE4A1D" w:rsidRPr="004A3269">
        <w:rPr>
          <w:rStyle w:val="hps"/>
        </w:rPr>
        <w:t xml:space="preserve"> intérêts sur</w:t>
      </w:r>
      <w:r w:rsidR="00CE4A1D" w:rsidRPr="004A3269">
        <w:t xml:space="preserve"> </w:t>
      </w:r>
      <w:r w:rsidR="00CE4A1D" w:rsidRPr="004A3269">
        <w:rPr>
          <w:rStyle w:val="hps"/>
        </w:rPr>
        <w:t>l</w:t>
      </w:r>
      <w:r w:rsidR="009021AA" w:rsidRPr="004A3269">
        <w:rPr>
          <w:rStyle w:val="hps"/>
        </w:rPr>
        <w:t>’</w:t>
      </w:r>
      <w:r w:rsidR="00CE4A1D" w:rsidRPr="004A3269">
        <w:rPr>
          <w:rStyle w:val="hps"/>
        </w:rPr>
        <w:t>avance initiale</w:t>
      </w:r>
      <w:r w:rsidR="00CE4A1D" w:rsidRPr="004A3269">
        <w:t xml:space="preserve">, soit </w:t>
      </w:r>
      <w:r w:rsidR="00CE4A1D" w:rsidRPr="004A3269">
        <w:rPr>
          <w:rStyle w:val="hps"/>
        </w:rPr>
        <w:t>une</w:t>
      </w:r>
      <w:r w:rsidR="00CE4A1D" w:rsidRPr="004A3269">
        <w:t xml:space="preserve"> </w:t>
      </w:r>
      <w:r w:rsidR="00CE4A1D" w:rsidRPr="004A3269">
        <w:rPr>
          <w:rStyle w:val="hps"/>
        </w:rPr>
        <w:t>avance d</w:t>
      </w:r>
      <w:r w:rsidR="009021AA" w:rsidRPr="004A3269">
        <w:rPr>
          <w:rStyle w:val="hps"/>
        </w:rPr>
        <w:t>’</w:t>
      </w:r>
      <w:r w:rsidR="00CE4A1D" w:rsidRPr="004A3269">
        <w:rPr>
          <w:rStyle w:val="hps"/>
        </w:rPr>
        <w:t>un montant total de 11,0</w:t>
      </w:r>
      <w:r w:rsidR="00CE4A1D" w:rsidRPr="004A3269">
        <w:t> </w:t>
      </w:r>
      <w:r w:rsidR="00CE4A1D" w:rsidRPr="004A3269">
        <w:rPr>
          <w:rStyle w:val="hps"/>
        </w:rPr>
        <w:t>millions de francs suisses</w:t>
      </w:r>
      <w:r w:rsidR="00CE4A1D" w:rsidRPr="004A3269">
        <w:t xml:space="preserve">.  </w:t>
      </w:r>
      <w:r w:rsidR="00CE4A1D" w:rsidRPr="004A3269">
        <w:rPr>
          <w:rStyle w:val="hps"/>
        </w:rPr>
        <w:t>Le solde</w:t>
      </w:r>
      <w:r w:rsidR="00CE4A1D" w:rsidRPr="004A3269">
        <w:t xml:space="preserve"> </w:t>
      </w:r>
      <w:r w:rsidR="00CE4A1D" w:rsidRPr="004A3269">
        <w:rPr>
          <w:rStyle w:val="hps"/>
        </w:rPr>
        <w:t>du coût</w:t>
      </w:r>
      <w:r w:rsidR="00CE4A1D" w:rsidRPr="004A3269">
        <w:t xml:space="preserve"> </w:t>
      </w:r>
      <w:r w:rsidR="00CE4A1D" w:rsidRPr="004A3269">
        <w:rPr>
          <w:rStyle w:val="hps"/>
        </w:rPr>
        <w:t>de la construction</w:t>
      </w:r>
      <w:r w:rsidR="00CE4A1D" w:rsidRPr="004A3269">
        <w:t xml:space="preserve"> </w:t>
      </w:r>
      <w:r w:rsidR="00FE4508" w:rsidRPr="004A3269">
        <w:rPr>
          <w:rStyle w:val="hps"/>
        </w:rPr>
        <w:t>serait</w:t>
      </w:r>
      <w:r w:rsidR="00CE4A1D" w:rsidRPr="004A3269">
        <w:rPr>
          <w:rStyle w:val="hps"/>
        </w:rPr>
        <w:t xml:space="preserve"> couvert par</w:t>
      </w:r>
      <w:r w:rsidR="00CE4A1D" w:rsidRPr="004A3269">
        <w:t xml:space="preserve"> </w:t>
      </w:r>
      <w:r w:rsidR="00FE4508" w:rsidRPr="004A3269">
        <w:rPr>
          <w:rStyle w:val="hps"/>
        </w:rPr>
        <w:t>un prêt hypothécaire conclu</w:t>
      </w:r>
      <w:r w:rsidR="00CE4A1D" w:rsidRPr="004A3269">
        <w:t xml:space="preserve"> </w:t>
      </w:r>
      <w:r w:rsidR="00CE4A1D" w:rsidRPr="004A3269">
        <w:rPr>
          <w:rStyle w:val="hps"/>
        </w:rPr>
        <w:t>entre</w:t>
      </w:r>
      <w:r w:rsidR="009021AA" w:rsidRPr="004A3269">
        <w:t xml:space="preserve"> la </w:t>
      </w:r>
      <w:r w:rsidR="009021AA" w:rsidRPr="004A3269">
        <w:rPr>
          <w:rStyle w:val="hps"/>
        </w:rPr>
        <w:t>FCI</w:t>
      </w:r>
      <w:r w:rsidR="00CE4A1D" w:rsidRPr="004A3269">
        <w:rPr>
          <w:rStyle w:val="hps"/>
        </w:rPr>
        <w:t>G</w:t>
      </w:r>
      <w:r w:rsidR="00CE4A1D" w:rsidRPr="004A3269">
        <w:t xml:space="preserve"> </w:t>
      </w:r>
      <w:r w:rsidR="00CE4A1D" w:rsidRPr="004A3269">
        <w:rPr>
          <w:rStyle w:val="hps"/>
        </w:rPr>
        <w:t>et la</w:t>
      </w:r>
      <w:r w:rsidR="00CE4A1D" w:rsidRPr="004A3269">
        <w:t xml:space="preserve"> </w:t>
      </w:r>
      <w:r w:rsidR="00CE4A1D" w:rsidRPr="004A3269">
        <w:rPr>
          <w:rStyle w:val="hps"/>
        </w:rPr>
        <w:t xml:space="preserve">Banque Cantonale de Genève.  </w:t>
      </w:r>
      <w:r w:rsidRPr="004A3269">
        <w:rPr>
          <w:szCs w:val="22"/>
        </w:rPr>
        <w:t>L</w:t>
      </w:r>
      <w:r w:rsidR="009021AA" w:rsidRPr="004A3269">
        <w:rPr>
          <w:szCs w:val="22"/>
        </w:rPr>
        <w:t>’</w:t>
      </w:r>
      <w:r w:rsidRPr="004A3269">
        <w:rPr>
          <w:szCs w:val="22"/>
        </w:rPr>
        <w:t>Organisation avait également conclu un contrat pour louer ce bâtiment à</w:t>
      </w:r>
      <w:r w:rsidR="009021AA" w:rsidRPr="004A3269">
        <w:rPr>
          <w:szCs w:val="22"/>
        </w:rPr>
        <w:t xml:space="preserve"> la FCI</w:t>
      </w:r>
      <w:r w:rsidRPr="004A3269">
        <w:rPr>
          <w:szCs w:val="22"/>
        </w:rPr>
        <w:t>G.  Le contrat de location a été renouvelé pour une période de sept</w:t>
      </w:r>
      <w:r w:rsidR="00067463" w:rsidRPr="004A3269">
        <w:rPr>
          <w:szCs w:val="22"/>
        </w:rPr>
        <w:t> </w:t>
      </w:r>
      <w:r w:rsidRPr="004A3269">
        <w:rPr>
          <w:szCs w:val="22"/>
        </w:rPr>
        <w:t>ans à compter du 1</w:t>
      </w:r>
      <w:r w:rsidR="00C51B50" w:rsidRPr="004A3269">
        <w:rPr>
          <w:szCs w:val="22"/>
          <w:vertAlign w:val="superscript"/>
        </w:rPr>
        <w:t>er</w:t>
      </w:r>
      <w:r w:rsidR="00C51B50" w:rsidRPr="004A3269">
        <w:rPr>
          <w:szCs w:val="22"/>
        </w:rPr>
        <w:t> janvier </w:t>
      </w:r>
      <w:r w:rsidRPr="004A3269">
        <w:rPr>
          <w:szCs w:val="22"/>
        </w:rPr>
        <w:t>2012.</w:t>
      </w:r>
    </w:p>
    <w:p w:rsidR="00267140" w:rsidRPr="004A3269" w:rsidRDefault="00267140" w:rsidP="00D26DEA">
      <w:pPr>
        <w:pStyle w:val="Style3"/>
        <w:spacing w:after="0"/>
        <w:ind w:right="53"/>
        <w:rPr>
          <w:szCs w:val="22"/>
        </w:rPr>
      </w:pPr>
    </w:p>
    <w:p w:rsidR="00267140" w:rsidRPr="004A3269" w:rsidRDefault="00AD4472" w:rsidP="00AD4472">
      <w:pPr>
        <w:pStyle w:val="Style3"/>
        <w:spacing w:after="0"/>
        <w:ind w:right="53"/>
      </w:pPr>
      <w:r w:rsidRPr="004A3269">
        <w:t>Aux termes du présent contrat de location conclu entre l</w:t>
      </w:r>
      <w:r w:rsidR="009021AA" w:rsidRPr="004A3269">
        <w:t>’</w:t>
      </w:r>
      <w:r w:rsidRPr="004A3269">
        <w:t>Organisation et</w:t>
      </w:r>
      <w:r w:rsidR="009021AA" w:rsidRPr="004A3269">
        <w:t xml:space="preserve"> la FCI</w:t>
      </w:r>
      <w:r w:rsidRPr="004A3269">
        <w:t>G, les deux</w:t>
      </w:r>
      <w:r w:rsidR="00067463" w:rsidRPr="004A3269">
        <w:t> </w:t>
      </w:r>
      <w:r w:rsidRPr="004A3269">
        <w:t>parties ont le droit de mettre fin audit contrat, à tout moment, par consentement mutuel formalisé par écrit.</w:t>
      </w:r>
      <w:r w:rsidR="00C51B50" w:rsidRPr="004A3269">
        <w:t xml:space="preserve"> </w:t>
      </w:r>
      <w:r w:rsidR="00D31114" w:rsidRPr="004A3269">
        <w:t xml:space="preserve"> </w:t>
      </w:r>
      <w:r w:rsidRPr="004A3269">
        <w:t>Le montant annuel du loyer versé par l</w:t>
      </w:r>
      <w:r w:rsidR="009021AA" w:rsidRPr="004A3269">
        <w:t>’</w:t>
      </w:r>
      <w:r w:rsidRPr="004A3269">
        <w:t>OMPI équivaut au montant à rembourser chaque année (intérêt plus</w:t>
      </w:r>
      <w:r w:rsidRPr="004A3269">
        <w:rPr>
          <w:szCs w:val="22"/>
        </w:rPr>
        <w:t xml:space="preserve"> remboursements du principal) sur le prêt hypothécaire conclu entre</w:t>
      </w:r>
      <w:r w:rsidR="009021AA" w:rsidRPr="004A3269">
        <w:rPr>
          <w:szCs w:val="22"/>
        </w:rPr>
        <w:t xml:space="preserve"> la FCI</w:t>
      </w:r>
      <w:r w:rsidRPr="004A3269">
        <w:rPr>
          <w:szCs w:val="22"/>
        </w:rPr>
        <w:t>G et la Banque cantonale de Genève.</w:t>
      </w:r>
      <w:r w:rsidR="00F57C52" w:rsidRPr="004A3269">
        <w:t xml:space="preserve"> </w:t>
      </w:r>
      <w:r w:rsidR="00C51B50" w:rsidRPr="004A3269">
        <w:t xml:space="preserve"> </w:t>
      </w:r>
      <w:r w:rsidRPr="004A3269">
        <w:rPr>
          <w:szCs w:val="22"/>
        </w:rPr>
        <w:t>Les loyers payés par l</w:t>
      </w:r>
      <w:r w:rsidR="009021AA" w:rsidRPr="004A3269">
        <w:rPr>
          <w:szCs w:val="22"/>
        </w:rPr>
        <w:t>’</w:t>
      </w:r>
      <w:r w:rsidRPr="004A3269">
        <w:rPr>
          <w:szCs w:val="22"/>
        </w:rPr>
        <w:t>OMPI sur cette base, au cours de l</w:t>
      </w:r>
      <w:r w:rsidR="009021AA" w:rsidRPr="004A3269">
        <w:rPr>
          <w:szCs w:val="22"/>
        </w:rPr>
        <w:t>’</w:t>
      </w:r>
      <w:r w:rsidR="00A0797A" w:rsidRPr="004A3269">
        <w:rPr>
          <w:szCs w:val="22"/>
        </w:rPr>
        <w:t>année </w:t>
      </w:r>
      <w:r w:rsidRPr="004A3269">
        <w:rPr>
          <w:szCs w:val="22"/>
        </w:rPr>
        <w:t>2014, ont représenté un montant total de 234</w:t>
      </w:r>
      <w:r w:rsidR="00C51B50" w:rsidRPr="004A3269">
        <w:rPr>
          <w:szCs w:val="22"/>
        </w:rPr>
        <w:t> </w:t>
      </w:r>
      <w:r w:rsidRPr="004A3269">
        <w:rPr>
          <w:szCs w:val="22"/>
        </w:rPr>
        <w:t>124</w:t>
      </w:r>
      <w:r w:rsidR="00C51B50" w:rsidRPr="004A3269">
        <w:rPr>
          <w:szCs w:val="22"/>
        </w:rPr>
        <w:t> </w:t>
      </w:r>
      <w:r w:rsidRPr="004A3269">
        <w:rPr>
          <w:szCs w:val="22"/>
        </w:rPr>
        <w:t>francs suisses (235</w:t>
      </w:r>
      <w:r w:rsidR="00C51B50" w:rsidRPr="004A3269">
        <w:rPr>
          <w:szCs w:val="22"/>
        </w:rPr>
        <w:t> </w:t>
      </w:r>
      <w:r w:rsidRPr="004A3269">
        <w:rPr>
          <w:szCs w:val="22"/>
        </w:rPr>
        <w:t>709</w:t>
      </w:r>
      <w:r w:rsidR="00C51B50" w:rsidRPr="004A3269">
        <w:rPr>
          <w:szCs w:val="22"/>
        </w:rPr>
        <w:t> </w:t>
      </w:r>
      <w:r w:rsidRPr="004A3269">
        <w:rPr>
          <w:szCs w:val="22"/>
        </w:rPr>
        <w:t>francs suisses au cours de l</w:t>
      </w:r>
      <w:r w:rsidR="009021AA" w:rsidRPr="004A3269">
        <w:rPr>
          <w:szCs w:val="22"/>
        </w:rPr>
        <w:t>’</w:t>
      </w:r>
      <w:r w:rsidRPr="004A3269">
        <w:rPr>
          <w:szCs w:val="22"/>
        </w:rPr>
        <w:t>année</w:t>
      </w:r>
      <w:r w:rsidR="00C51B50" w:rsidRPr="004A3269">
        <w:rPr>
          <w:szCs w:val="22"/>
        </w:rPr>
        <w:t> </w:t>
      </w:r>
      <w:r w:rsidRPr="004A3269">
        <w:rPr>
          <w:szCs w:val="22"/>
        </w:rPr>
        <w:t>2013).</w:t>
      </w:r>
      <w:r w:rsidR="005D7847" w:rsidRPr="004A3269">
        <w:rPr>
          <w:szCs w:val="22"/>
        </w:rPr>
        <w:t xml:space="preserve"> </w:t>
      </w:r>
      <w:r w:rsidR="00C51B50" w:rsidRPr="004A3269">
        <w:t xml:space="preserve"> </w:t>
      </w:r>
      <w:r w:rsidRPr="004A3269">
        <w:rPr>
          <w:szCs w:val="22"/>
        </w:rPr>
        <w:t>Le taux d</w:t>
      </w:r>
      <w:r w:rsidR="009021AA" w:rsidRPr="004A3269">
        <w:rPr>
          <w:szCs w:val="22"/>
        </w:rPr>
        <w:t>’</w:t>
      </w:r>
      <w:r w:rsidRPr="004A3269">
        <w:rPr>
          <w:szCs w:val="22"/>
        </w:rPr>
        <w:t xml:space="preserve">intérêt actuel, qui a été fixé pour </w:t>
      </w:r>
      <w:r w:rsidR="00C51B50" w:rsidRPr="004A3269">
        <w:rPr>
          <w:szCs w:val="22"/>
        </w:rPr>
        <w:t>la période courante jusqu</w:t>
      </w:r>
      <w:r w:rsidR="009021AA" w:rsidRPr="004A3269">
        <w:rPr>
          <w:szCs w:val="22"/>
        </w:rPr>
        <w:t>’</w:t>
      </w:r>
      <w:r w:rsidR="00C51B50" w:rsidRPr="004A3269">
        <w:rPr>
          <w:szCs w:val="22"/>
        </w:rPr>
        <w:t>au 31 décembre 2018, se monte à </w:t>
      </w:r>
      <w:r w:rsidRPr="004A3269">
        <w:rPr>
          <w:szCs w:val="22"/>
        </w:rPr>
        <w:t>1,48%.</w:t>
      </w:r>
      <w:r w:rsidR="00CE4A1D" w:rsidRPr="004A3269">
        <w:rPr>
          <w:szCs w:val="22"/>
        </w:rPr>
        <w:t xml:space="preserve"> </w:t>
      </w:r>
      <w:r w:rsidR="00F81E36" w:rsidRPr="004A3269">
        <w:t xml:space="preserve"> </w:t>
      </w:r>
      <w:r w:rsidR="00FE4508" w:rsidRPr="004A3269">
        <w:rPr>
          <w:rStyle w:val="hps"/>
        </w:rPr>
        <w:t>Depuis le</w:t>
      </w:r>
      <w:r w:rsidR="00CE4A1D" w:rsidRPr="004A3269">
        <w:rPr>
          <w:rStyle w:val="hps"/>
        </w:rPr>
        <w:t xml:space="preserve"> 1</w:t>
      </w:r>
      <w:r w:rsidR="00CE4A1D" w:rsidRPr="004A3269">
        <w:rPr>
          <w:rStyle w:val="hps"/>
          <w:vertAlign w:val="superscript"/>
        </w:rPr>
        <w:t>er</w:t>
      </w:r>
      <w:r w:rsidR="00FE4508" w:rsidRPr="004A3269">
        <w:t> j</w:t>
      </w:r>
      <w:r w:rsidR="00CE4A1D" w:rsidRPr="004A3269">
        <w:rPr>
          <w:rStyle w:val="hps"/>
        </w:rPr>
        <w:t>anvier</w:t>
      </w:r>
      <w:r w:rsidR="00FE4508" w:rsidRPr="004A3269">
        <w:t> </w:t>
      </w:r>
      <w:r w:rsidR="00CE4A1D" w:rsidRPr="004A3269">
        <w:rPr>
          <w:rStyle w:val="hps"/>
        </w:rPr>
        <w:t>2012,</w:t>
      </w:r>
      <w:r w:rsidR="00CE4A1D" w:rsidRPr="004A3269">
        <w:t xml:space="preserve"> </w:t>
      </w:r>
      <w:r w:rsidR="00CE4A1D" w:rsidRPr="004A3269">
        <w:rPr>
          <w:rStyle w:val="hps"/>
        </w:rPr>
        <w:t>l</w:t>
      </w:r>
      <w:r w:rsidR="009021AA" w:rsidRPr="004A3269">
        <w:rPr>
          <w:rStyle w:val="hps"/>
        </w:rPr>
        <w:t>’</w:t>
      </w:r>
      <w:r w:rsidR="00CE4A1D" w:rsidRPr="004A3269">
        <w:rPr>
          <w:rStyle w:val="hps"/>
        </w:rPr>
        <w:t>OMPI</w:t>
      </w:r>
      <w:r w:rsidR="00CE4A1D" w:rsidRPr="004A3269">
        <w:t xml:space="preserve"> </w:t>
      </w:r>
      <w:r w:rsidR="00FE4508" w:rsidRPr="004A3269">
        <w:rPr>
          <w:rStyle w:val="hps"/>
        </w:rPr>
        <w:t>comptabilise</w:t>
      </w:r>
      <w:r w:rsidR="00CE4A1D" w:rsidRPr="004A3269">
        <w:rPr>
          <w:rStyle w:val="hps"/>
        </w:rPr>
        <w:t xml:space="preserve"> également</w:t>
      </w:r>
      <w:r w:rsidR="00CE4A1D" w:rsidRPr="004A3269">
        <w:t xml:space="preserve"> </w:t>
      </w:r>
      <w:r w:rsidR="00FE4508" w:rsidRPr="004A3269">
        <w:rPr>
          <w:rStyle w:val="hps"/>
        </w:rPr>
        <w:t>des</w:t>
      </w:r>
      <w:r w:rsidR="00CE4A1D" w:rsidRPr="004A3269">
        <w:rPr>
          <w:rStyle w:val="hps"/>
        </w:rPr>
        <w:t xml:space="preserve"> charge</w:t>
      </w:r>
      <w:r w:rsidR="00FE4508" w:rsidRPr="004A3269">
        <w:rPr>
          <w:rStyle w:val="hps"/>
        </w:rPr>
        <w:t>s</w:t>
      </w:r>
      <w:r w:rsidR="00CE4A1D" w:rsidRPr="004A3269">
        <w:t xml:space="preserve"> </w:t>
      </w:r>
      <w:r w:rsidR="00CE4A1D" w:rsidRPr="004A3269">
        <w:rPr>
          <w:rStyle w:val="hps"/>
        </w:rPr>
        <w:t>d</w:t>
      </w:r>
      <w:r w:rsidR="009021AA" w:rsidRPr="004A3269">
        <w:rPr>
          <w:rStyle w:val="hps"/>
        </w:rPr>
        <w:t>’</w:t>
      </w:r>
      <w:r w:rsidR="00CE4A1D" w:rsidRPr="004A3269">
        <w:rPr>
          <w:rStyle w:val="hps"/>
        </w:rPr>
        <w:t>amortissement annuelle</w:t>
      </w:r>
      <w:r w:rsidR="00FE4508" w:rsidRPr="004A3269">
        <w:rPr>
          <w:rStyle w:val="hps"/>
        </w:rPr>
        <w:t>s</w:t>
      </w:r>
      <w:r w:rsidR="00CE4A1D" w:rsidRPr="004A3269">
        <w:t xml:space="preserve"> </w:t>
      </w:r>
      <w:r w:rsidR="00CE4A1D" w:rsidRPr="004A3269">
        <w:rPr>
          <w:rStyle w:val="hps"/>
        </w:rPr>
        <w:t>de</w:t>
      </w:r>
      <w:r w:rsidR="00CE4A1D" w:rsidRPr="004A3269">
        <w:t xml:space="preserve"> </w:t>
      </w:r>
      <w:r w:rsidR="00FE4508" w:rsidRPr="004A3269">
        <w:rPr>
          <w:rStyle w:val="hps"/>
        </w:rPr>
        <w:t>188 </w:t>
      </w:r>
      <w:r w:rsidR="00CE4A1D" w:rsidRPr="004A3269">
        <w:rPr>
          <w:rStyle w:val="hps"/>
        </w:rPr>
        <w:t>679</w:t>
      </w:r>
      <w:r w:rsidR="00CE4A1D" w:rsidRPr="004A3269">
        <w:t xml:space="preserve"> </w:t>
      </w:r>
      <w:r w:rsidR="00FE4508" w:rsidRPr="004A3269">
        <w:t xml:space="preserve">de </w:t>
      </w:r>
      <w:r w:rsidR="00CE4A1D" w:rsidRPr="004A3269">
        <w:rPr>
          <w:rStyle w:val="hps"/>
        </w:rPr>
        <w:t>francs suisses</w:t>
      </w:r>
      <w:r w:rsidR="00CE4A1D" w:rsidRPr="004A3269">
        <w:t xml:space="preserve"> </w:t>
      </w:r>
      <w:r w:rsidR="00FE4508" w:rsidRPr="004A3269">
        <w:rPr>
          <w:rStyle w:val="hps"/>
        </w:rPr>
        <w:t>sur son</w:t>
      </w:r>
      <w:r w:rsidR="00CE4A1D" w:rsidRPr="004A3269">
        <w:t xml:space="preserve"> </w:t>
      </w:r>
      <w:r w:rsidR="00CE4A1D" w:rsidRPr="004A3269">
        <w:rPr>
          <w:rStyle w:val="hps"/>
        </w:rPr>
        <w:t>avance</w:t>
      </w:r>
      <w:r w:rsidR="00CE4A1D" w:rsidRPr="004A3269">
        <w:t xml:space="preserve"> </w:t>
      </w:r>
      <w:r w:rsidR="00CE4A1D" w:rsidRPr="004A3269">
        <w:rPr>
          <w:rStyle w:val="hps"/>
        </w:rPr>
        <w:t>à</w:t>
      </w:r>
      <w:r w:rsidR="009021AA" w:rsidRPr="004A3269">
        <w:rPr>
          <w:rStyle w:val="hps"/>
        </w:rPr>
        <w:t xml:space="preserve"> la FCI</w:t>
      </w:r>
      <w:r w:rsidR="00CE4A1D" w:rsidRPr="004A3269">
        <w:rPr>
          <w:rStyle w:val="hps"/>
        </w:rPr>
        <w:t>G</w:t>
      </w:r>
      <w:r w:rsidR="00CE4A1D" w:rsidRPr="004A3269">
        <w:t>.</w:t>
      </w:r>
      <w:r w:rsidR="00FE4508" w:rsidRPr="004A3269">
        <w:t xml:space="preserve"> </w:t>
      </w:r>
      <w:r w:rsidR="00CE4A1D" w:rsidRPr="004A3269">
        <w:t xml:space="preserve"> </w:t>
      </w:r>
      <w:r w:rsidR="00CE4A1D" w:rsidRPr="004A3269">
        <w:rPr>
          <w:rStyle w:val="hps"/>
        </w:rPr>
        <w:t>En outre,</w:t>
      </w:r>
      <w:r w:rsidR="00CE4A1D" w:rsidRPr="004A3269">
        <w:t xml:space="preserve"> </w:t>
      </w:r>
      <w:r w:rsidR="00CE4A1D" w:rsidRPr="004A3269">
        <w:rPr>
          <w:rStyle w:val="hps"/>
        </w:rPr>
        <w:t>l</w:t>
      </w:r>
      <w:r w:rsidR="009021AA" w:rsidRPr="004A3269">
        <w:rPr>
          <w:rStyle w:val="hps"/>
        </w:rPr>
        <w:t>’</w:t>
      </w:r>
      <w:r w:rsidR="00CE4A1D" w:rsidRPr="004A3269">
        <w:rPr>
          <w:rStyle w:val="hps"/>
        </w:rPr>
        <w:t>Organisation</w:t>
      </w:r>
      <w:r w:rsidR="00CE4A1D" w:rsidRPr="004A3269">
        <w:t xml:space="preserve"> </w:t>
      </w:r>
      <w:r w:rsidR="00CE4A1D" w:rsidRPr="004A3269">
        <w:rPr>
          <w:rStyle w:val="hps"/>
        </w:rPr>
        <w:t>loue également des</w:t>
      </w:r>
      <w:r w:rsidR="00CE4A1D" w:rsidRPr="004A3269">
        <w:t xml:space="preserve"> </w:t>
      </w:r>
      <w:r w:rsidR="00FE4508" w:rsidRPr="004A3269">
        <w:rPr>
          <w:rStyle w:val="hps"/>
        </w:rPr>
        <w:t>espaces</w:t>
      </w:r>
      <w:r w:rsidR="00CE4A1D" w:rsidRPr="004A3269">
        <w:rPr>
          <w:rStyle w:val="hps"/>
        </w:rPr>
        <w:t xml:space="preserve"> de </w:t>
      </w:r>
      <w:r w:rsidR="00FE4508" w:rsidRPr="004A3269">
        <w:rPr>
          <w:rStyle w:val="hps"/>
        </w:rPr>
        <w:t>stationnement couvert</w:t>
      </w:r>
      <w:r w:rsidR="00CE4A1D" w:rsidRPr="004A3269">
        <w:rPr>
          <w:rStyle w:val="hps"/>
        </w:rPr>
        <w:t>s</w:t>
      </w:r>
      <w:r w:rsidR="00CE4A1D" w:rsidRPr="004A3269">
        <w:t xml:space="preserve"> </w:t>
      </w:r>
      <w:r w:rsidR="00CE4A1D" w:rsidRPr="004A3269">
        <w:rPr>
          <w:rStyle w:val="hps"/>
        </w:rPr>
        <w:t xml:space="preserve">pour un </w:t>
      </w:r>
      <w:r w:rsidR="00FE4508" w:rsidRPr="004A3269">
        <w:rPr>
          <w:rStyle w:val="hps"/>
        </w:rPr>
        <w:t>montant</w:t>
      </w:r>
      <w:r w:rsidR="00CE4A1D" w:rsidRPr="004A3269">
        <w:rPr>
          <w:rStyle w:val="hps"/>
        </w:rPr>
        <w:t xml:space="preserve"> annuel</w:t>
      </w:r>
      <w:r w:rsidR="00CE4A1D" w:rsidRPr="004A3269">
        <w:t xml:space="preserve"> </w:t>
      </w:r>
      <w:r w:rsidR="00CE4A1D" w:rsidRPr="004A3269">
        <w:rPr>
          <w:rStyle w:val="hps"/>
        </w:rPr>
        <w:t>de</w:t>
      </w:r>
      <w:r w:rsidR="00CE4A1D" w:rsidRPr="004A3269">
        <w:t xml:space="preserve"> </w:t>
      </w:r>
      <w:r w:rsidR="00FE4508" w:rsidRPr="004A3269">
        <w:rPr>
          <w:rStyle w:val="hps"/>
        </w:rPr>
        <w:t>148 </w:t>
      </w:r>
      <w:r w:rsidR="00CE4A1D" w:rsidRPr="004A3269">
        <w:rPr>
          <w:rStyle w:val="hps"/>
        </w:rPr>
        <w:t>452</w:t>
      </w:r>
      <w:r w:rsidR="00FE4508" w:rsidRPr="004A3269">
        <w:t> </w:t>
      </w:r>
      <w:r w:rsidR="00CE4A1D" w:rsidRPr="004A3269">
        <w:rPr>
          <w:rStyle w:val="hps"/>
        </w:rPr>
        <w:t>francs suisses</w:t>
      </w:r>
      <w:r w:rsidR="00CE4A1D" w:rsidRPr="004A3269">
        <w:t xml:space="preserve">. </w:t>
      </w:r>
      <w:r w:rsidR="00FE4508" w:rsidRPr="004A3269">
        <w:t xml:space="preserve"> </w:t>
      </w:r>
      <w:r w:rsidR="00CE4A1D" w:rsidRPr="004A3269">
        <w:rPr>
          <w:rStyle w:val="hps"/>
        </w:rPr>
        <w:t>En l</w:t>
      </w:r>
      <w:r w:rsidR="009021AA" w:rsidRPr="004A3269">
        <w:rPr>
          <w:rStyle w:val="hps"/>
        </w:rPr>
        <w:t>’</w:t>
      </w:r>
      <w:r w:rsidR="00CE4A1D" w:rsidRPr="004A3269">
        <w:rPr>
          <w:rStyle w:val="hps"/>
        </w:rPr>
        <w:t>absence</w:t>
      </w:r>
      <w:r w:rsidR="00CE4A1D" w:rsidRPr="004A3269">
        <w:t xml:space="preserve"> </w:t>
      </w:r>
      <w:r w:rsidR="00CE4A1D" w:rsidRPr="004A3269">
        <w:rPr>
          <w:rStyle w:val="hps"/>
        </w:rPr>
        <w:t>de résiliation</w:t>
      </w:r>
      <w:r w:rsidR="00CE4A1D" w:rsidRPr="004A3269">
        <w:t xml:space="preserve"> </w:t>
      </w:r>
      <w:r w:rsidR="00CE4A1D" w:rsidRPr="004A3269">
        <w:rPr>
          <w:rStyle w:val="hps"/>
        </w:rPr>
        <w:t>mutuelle</w:t>
      </w:r>
      <w:r w:rsidR="00CE4A1D" w:rsidRPr="004A3269">
        <w:t xml:space="preserve"> </w:t>
      </w:r>
      <w:r w:rsidR="00FE4508" w:rsidRPr="004A3269">
        <w:rPr>
          <w:rStyle w:val="hps"/>
        </w:rPr>
        <w:t>du contrat</w:t>
      </w:r>
      <w:r w:rsidR="00CE4A1D" w:rsidRPr="004A3269">
        <w:t xml:space="preserve"> </w:t>
      </w:r>
      <w:r w:rsidR="00CE4A1D" w:rsidRPr="004A3269">
        <w:rPr>
          <w:rStyle w:val="hps"/>
        </w:rPr>
        <w:t>de bail</w:t>
      </w:r>
      <w:r w:rsidR="00CE4A1D" w:rsidRPr="004A3269">
        <w:t xml:space="preserve">, les </w:t>
      </w:r>
      <w:r w:rsidR="00FE4508" w:rsidRPr="004A3269">
        <w:t xml:space="preserve">futurs </w:t>
      </w:r>
      <w:r w:rsidR="00CE4A1D" w:rsidRPr="004A3269">
        <w:t xml:space="preserve">paiements </w:t>
      </w:r>
      <w:r w:rsidR="00CE4A1D" w:rsidRPr="004A3269">
        <w:rPr>
          <w:rStyle w:val="hps"/>
        </w:rPr>
        <w:t>de l</w:t>
      </w:r>
      <w:r w:rsidR="009021AA" w:rsidRPr="004A3269">
        <w:rPr>
          <w:rStyle w:val="hps"/>
        </w:rPr>
        <w:t>’</w:t>
      </w:r>
      <w:r w:rsidR="00CE4A1D" w:rsidRPr="004A3269">
        <w:rPr>
          <w:rStyle w:val="hps"/>
        </w:rPr>
        <w:t>OMPI</w:t>
      </w:r>
      <w:r w:rsidR="00CE4A1D" w:rsidRPr="004A3269">
        <w:t xml:space="preserve"> </w:t>
      </w:r>
      <w:r w:rsidR="00CE4A1D" w:rsidRPr="004A3269">
        <w:rPr>
          <w:rStyle w:val="hps"/>
        </w:rPr>
        <w:t>(</w:t>
      </w:r>
      <w:r w:rsidR="009021AA" w:rsidRPr="004A3269">
        <w:rPr>
          <w:rStyle w:val="hps"/>
        </w:rPr>
        <w:t>y compris</w:t>
      </w:r>
      <w:r w:rsidR="00CE4A1D" w:rsidRPr="004A3269">
        <w:t xml:space="preserve"> </w:t>
      </w:r>
      <w:r w:rsidR="00CE4A1D" w:rsidRPr="004A3269">
        <w:rPr>
          <w:rStyle w:val="hps"/>
        </w:rPr>
        <w:t>les</w:t>
      </w:r>
      <w:r w:rsidR="00CE4A1D" w:rsidRPr="004A3269">
        <w:t xml:space="preserve"> </w:t>
      </w:r>
      <w:r w:rsidR="00CE4A1D" w:rsidRPr="004A3269">
        <w:rPr>
          <w:rStyle w:val="hps"/>
        </w:rPr>
        <w:t xml:space="preserve">remboursements </w:t>
      </w:r>
      <w:r w:rsidR="00FE4508" w:rsidRPr="004A3269">
        <w:rPr>
          <w:rStyle w:val="hps"/>
        </w:rPr>
        <w:t>du prêt hypothécaire</w:t>
      </w:r>
      <w:r w:rsidR="00CE4A1D" w:rsidRPr="004A3269">
        <w:t xml:space="preserve">, </w:t>
      </w:r>
      <w:r w:rsidR="00FE4508" w:rsidRPr="004A3269">
        <w:rPr>
          <w:rStyle w:val="hps"/>
        </w:rPr>
        <w:t>l</w:t>
      </w:r>
      <w:r w:rsidR="009021AA" w:rsidRPr="004A3269">
        <w:rPr>
          <w:rStyle w:val="hps"/>
        </w:rPr>
        <w:t>’</w:t>
      </w:r>
      <w:r w:rsidR="00CE4A1D" w:rsidRPr="004A3269">
        <w:rPr>
          <w:rStyle w:val="hps"/>
        </w:rPr>
        <w:t>amortissement</w:t>
      </w:r>
      <w:r w:rsidR="00CE4A1D" w:rsidRPr="004A3269">
        <w:t xml:space="preserve"> </w:t>
      </w:r>
      <w:r w:rsidR="00FE4508" w:rsidRPr="004A3269">
        <w:t xml:space="preserve">de </w:t>
      </w:r>
      <w:r w:rsidR="00CE4A1D" w:rsidRPr="004A3269">
        <w:rPr>
          <w:rStyle w:val="hps"/>
        </w:rPr>
        <w:t>l</w:t>
      </w:r>
      <w:r w:rsidR="009021AA" w:rsidRPr="004A3269">
        <w:rPr>
          <w:rStyle w:val="hps"/>
        </w:rPr>
        <w:t>’</w:t>
      </w:r>
      <w:r w:rsidR="00CE4A1D" w:rsidRPr="004A3269">
        <w:rPr>
          <w:rStyle w:val="hps"/>
        </w:rPr>
        <w:t>avance</w:t>
      </w:r>
      <w:r w:rsidR="00CE4A1D" w:rsidRPr="004A3269">
        <w:t xml:space="preserve"> </w:t>
      </w:r>
      <w:r w:rsidR="00CE4A1D" w:rsidRPr="004A3269">
        <w:rPr>
          <w:rStyle w:val="hps"/>
        </w:rPr>
        <w:t>et</w:t>
      </w:r>
      <w:r w:rsidR="00CE4A1D" w:rsidRPr="004A3269">
        <w:t xml:space="preserve"> </w:t>
      </w:r>
      <w:r w:rsidR="00CE4A1D" w:rsidRPr="004A3269">
        <w:rPr>
          <w:rStyle w:val="hps"/>
        </w:rPr>
        <w:t>la location d</w:t>
      </w:r>
      <w:r w:rsidR="009021AA" w:rsidRPr="004A3269">
        <w:rPr>
          <w:rStyle w:val="hps"/>
        </w:rPr>
        <w:t>’</w:t>
      </w:r>
      <w:r w:rsidR="00CE4A1D" w:rsidRPr="004A3269">
        <w:rPr>
          <w:rStyle w:val="hps"/>
        </w:rPr>
        <w:t>espaces</w:t>
      </w:r>
      <w:r w:rsidR="00CE4A1D" w:rsidRPr="004A3269">
        <w:t xml:space="preserve"> </w:t>
      </w:r>
      <w:r w:rsidR="00CE4A1D" w:rsidRPr="004A3269">
        <w:rPr>
          <w:rStyle w:val="hps"/>
        </w:rPr>
        <w:t>de stationnement</w:t>
      </w:r>
      <w:r w:rsidR="00CE4A1D" w:rsidRPr="004A3269">
        <w:t>) jusqu</w:t>
      </w:r>
      <w:r w:rsidR="009021AA" w:rsidRPr="004A3269">
        <w:t>’</w:t>
      </w:r>
      <w:r w:rsidR="00CE4A1D" w:rsidRPr="004A3269">
        <w:t xml:space="preserve">à la fin </w:t>
      </w:r>
      <w:r w:rsidR="00CE4A1D" w:rsidRPr="004A3269">
        <w:rPr>
          <w:rStyle w:val="hps"/>
        </w:rPr>
        <w:t>du bail</w:t>
      </w:r>
      <w:r w:rsidR="00CE4A1D" w:rsidRPr="004A3269">
        <w:t xml:space="preserve"> </w:t>
      </w:r>
      <w:r w:rsidR="00FE4508" w:rsidRPr="004A3269">
        <w:rPr>
          <w:rStyle w:val="hps"/>
        </w:rPr>
        <w:t>en </w:t>
      </w:r>
      <w:r w:rsidR="00CE4A1D" w:rsidRPr="004A3269">
        <w:rPr>
          <w:rStyle w:val="hps"/>
        </w:rPr>
        <w:t>2018</w:t>
      </w:r>
      <w:r w:rsidR="00CE4A1D" w:rsidRPr="004A3269">
        <w:t xml:space="preserve"> </w:t>
      </w:r>
      <w:r w:rsidR="00CE4A1D" w:rsidRPr="004A3269">
        <w:rPr>
          <w:rStyle w:val="hps"/>
        </w:rPr>
        <w:t>seraient les suivants </w:t>
      </w:r>
      <w:r w:rsidR="00477D9B" w:rsidRPr="004A3269">
        <w:rPr>
          <w:rStyle w:val="hps"/>
        </w:rPr>
        <w:t>:</w:t>
      </w:r>
    </w:p>
    <w:p w:rsidR="00267140" w:rsidRPr="004A3269" w:rsidRDefault="00267140" w:rsidP="006D0C30">
      <w:pPr>
        <w:pStyle w:val="Style3"/>
        <w:spacing w:after="0"/>
        <w:ind w:right="53"/>
      </w:pPr>
    </w:p>
    <w:p w:rsidR="00C2551F" w:rsidRPr="004A3269" w:rsidRDefault="00C2551F" w:rsidP="00C2551F">
      <w:pPr>
        <w:pStyle w:val="Style3"/>
        <w:spacing w:after="0"/>
        <w:ind w:right="53"/>
        <w:jc w:val="center"/>
        <w:rPr>
          <w:spacing w:val="-2"/>
        </w:rPr>
      </w:pPr>
      <w:r w:rsidRPr="004A3269">
        <w:rPr>
          <w:noProof/>
          <w:lang w:val="en-US"/>
        </w:rPr>
        <w:drawing>
          <wp:inline distT="0" distB="0" distL="0" distR="0" wp14:anchorId="726871E2" wp14:editId="2BE5E131">
            <wp:extent cx="5589270" cy="1287780"/>
            <wp:effectExtent l="0" t="0" r="0" b="762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589270" cy="1287780"/>
                    </a:xfrm>
                    <a:prstGeom prst="rect">
                      <a:avLst/>
                    </a:prstGeom>
                    <a:noFill/>
                    <a:ln>
                      <a:noFill/>
                    </a:ln>
                  </pic:spPr>
                </pic:pic>
              </a:graphicData>
            </a:graphic>
          </wp:inline>
        </w:drawing>
      </w:r>
    </w:p>
    <w:p w:rsidR="00C2551F" w:rsidRPr="004A3269" w:rsidRDefault="00C2551F" w:rsidP="00157615">
      <w:pPr>
        <w:pStyle w:val="Style3"/>
        <w:spacing w:after="0"/>
        <w:ind w:right="53"/>
        <w:rPr>
          <w:spacing w:val="-2"/>
        </w:rPr>
      </w:pPr>
    </w:p>
    <w:p w:rsidR="00CE4A1D" w:rsidRPr="004A3269" w:rsidRDefault="00C0148F" w:rsidP="00157615">
      <w:pPr>
        <w:pStyle w:val="Style3"/>
        <w:spacing w:after="0"/>
        <w:ind w:right="53"/>
      </w:pPr>
      <w:r w:rsidRPr="004A3269">
        <w:rPr>
          <w:spacing w:val="-2"/>
        </w:rPr>
        <w:t>À la libération des locaux, l</w:t>
      </w:r>
      <w:r w:rsidR="009021AA" w:rsidRPr="004A3269">
        <w:rPr>
          <w:spacing w:val="-2"/>
        </w:rPr>
        <w:t>’</w:t>
      </w:r>
      <w:r w:rsidRPr="004A3269">
        <w:rPr>
          <w:spacing w:val="-2"/>
        </w:rPr>
        <w:t>OMPI se verra rembourser le solde du prêt de 11,0 millions de francs suisses après amortissement.  La FCIG conservera 1,0 million de francs suisses sur ce prêt pour remettre les locaux en l</w:t>
      </w:r>
      <w:r w:rsidR="009021AA" w:rsidRPr="004A3269">
        <w:rPr>
          <w:spacing w:val="-2"/>
        </w:rPr>
        <w:t>’</w:t>
      </w:r>
      <w:r w:rsidRPr="004A3269">
        <w:rPr>
          <w:spacing w:val="-2"/>
        </w:rPr>
        <w:t>état</w:t>
      </w:r>
      <w:r w:rsidR="00CE4A1D" w:rsidRPr="004A3269">
        <w:t>.</w:t>
      </w:r>
    </w:p>
    <w:p w:rsidR="00CE4A1D" w:rsidRPr="004A3269" w:rsidRDefault="00CE4A1D" w:rsidP="00157615">
      <w:pPr>
        <w:pStyle w:val="Style3"/>
        <w:spacing w:after="0"/>
        <w:ind w:right="53"/>
      </w:pPr>
    </w:p>
    <w:p w:rsidR="00267140" w:rsidRPr="004A3269" w:rsidRDefault="00C0148F" w:rsidP="00157615">
      <w:pPr>
        <w:pStyle w:val="Style3"/>
        <w:spacing w:after="0"/>
        <w:ind w:right="53"/>
        <w:rPr>
          <w:b/>
          <w:szCs w:val="22"/>
        </w:rPr>
      </w:pPr>
      <w:r w:rsidRPr="004A3269">
        <w:rPr>
          <w:spacing w:val="-2"/>
        </w:rPr>
        <w:t>À des fins de présentation dans les états financiers, la valeur totale de l</w:t>
      </w:r>
      <w:r w:rsidR="009021AA" w:rsidRPr="004A3269">
        <w:rPr>
          <w:spacing w:val="-2"/>
        </w:rPr>
        <w:t>’</w:t>
      </w:r>
      <w:r w:rsidRPr="004A3269">
        <w:rPr>
          <w:spacing w:val="-2"/>
        </w:rPr>
        <w:t>amortissement du prêt est traitée comme une avance sur location</w:t>
      </w:r>
      <w:r w:rsidR="00CB3C5F" w:rsidRPr="004A3269">
        <w:rPr>
          <w:spacing w:val="-2"/>
        </w:rPr>
        <w:t>,</w:t>
      </w:r>
      <w:r w:rsidRPr="004A3269">
        <w:rPr>
          <w:spacing w:val="-2"/>
        </w:rPr>
        <w:t xml:space="preserve"> et elle est scindée en sa partie courante (voir la note n° 4) et sa partie non courante</w:t>
      </w:r>
      <w:r w:rsidR="00CE4A1D" w:rsidRPr="004A3269">
        <w:rPr>
          <w:rStyle w:val="hps"/>
        </w:rPr>
        <w:t xml:space="preserve">.  </w:t>
      </w:r>
      <w:r w:rsidR="00157615" w:rsidRPr="004A3269">
        <w:rPr>
          <w:szCs w:val="22"/>
        </w:rPr>
        <w:t xml:space="preserve">La valeur </w:t>
      </w:r>
      <w:r w:rsidR="00C51B50" w:rsidRPr="004A3269">
        <w:rPr>
          <w:szCs w:val="22"/>
        </w:rPr>
        <w:t>totale de cette avance au 31 </w:t>
      </w:r>
      <w:r w:rsidR="00157615" w:rsidRPr="004A3269">
        <w:rPr>
          <w:szCs w:val="22"/>
        </w:rPr>
        <w:t>décembre</w:t>
      </w:r>
      <w:r w:rsidR="00C51B50" w:rsidRPr="004A3269">
        <w:rPr>
          <w:szCs w:val="22"/>
        </w:rPr>
        <w:t> 2014 est de 0,8 </w:t>
      </w:r>
      <w:r w:rsidR="00157615" w:rsidRPr="004A3269">
        <w:rPr>
          <w:szCs w:val="22"/>
        </w:rPr>
        <w:t>million de francs suisses.</w:t>
      </w:r>
      <w:r w:rsidR="00846D87" w:rsidRPr="004A3269">
        <w:t xml:space="preserve"> </w:t>
      </w:r>
      <w:r w:rsidR="00C51B50" w:rsidRPr="004A3269">
        <w:t xml:space="preserve"> </w:t>
      </w:r>
      <w:r w:rsidR="00114E05" w:rsidRPr="004A3269">
        <w:rPr>
          <w:spacing w:val="-2"/>
        </w:rPr>
        <w:t>Conformément aux normes IPSAS, le reliquat du solde du prêt à</w:t>
      </w:r>
      <w:r w:rsidR="009021AA" w:rsidRPr="004A3269">
        <w:rPr>
          <w:spacing w:val="-2"/>
        </w:rPr>
        <w:t xml:space="preserve"> la FCI</w:t>
      </w:r>
      <w:r w:rsidR="00114E05" w:rsidRPr="004A3269">
        <w:rPr>
          <w:spacing w:val="-2"/>
        </w:rPr>
        <w:t>G est traité comme un prêt consenti à des conditions préférentielles</w:t>
      </w:r>
      <w:r w:rsidR="00427B31" w:rsidRPr="004A3269">
        <w:rPr>
          <w:spacing w:val="-2"/>
        </w:rPr>
        <w:t>,</w:t>
      </w:r>
      <w:r w:rsidR="00114E05" w:rsidRPr="004A3269">
        <w:rPr>
          <w:spacing w:val="-2"/>
        </w:rPr>
        <w:t xml:space="preserve"> et il est mesuré au coût amorti.  L</w:t>
      </w:r>
      <w:r w:rsidR="009021AA" w:rsidRPr="004A3269">
        <w:rPr>
          <w:spacing w:val="-2"/>
        </w:rPr>
        <w:t>’</w:t>
      </w:r>
      <w:r w:rsidR="00114E05" w:rsidRPr="004A3269">
        <w:rPr>
          <w:spacing w:val="-2"/>
        </w:rPr>
        <w:t xml:space="preserve">élément sans intérêt du prêt </w:t>
      </w:r>
      <w:r w:rsidR="00CB3C5F" w:rsidRPr="004A3269">
        <w:rPr>
          <w:spacing w:val="-2"/>
        </w:rPr>
        <w:t xml:space="preserve">consenti à des conditions préférentielles </w:t>
      </w:r>
      <w:r w:rsidR="00114E05" w:rsidRPr="004A3269">
        <w:rPr>
          <w:spacing w:val="-2"/>
        </w:rPr>
        <w:t>est</w:t>
      </w:r>
      <w:r w:rsidR="00CB3C5F" w:rsidRPr="004A3269">
        <w:rPr>
          <w:spacing w:val="-2"/>
        </w:rPr>
        <w:t xml:space="preserve"> </w:t>
      </w:r>
      <w:r w:rsidR="00CB3C5F" w:rsidRPr="004A3269">
        <w:rPr>
          <w:spacing w:val="-2"/>
        </w:rPr>
        <w:lastRenderedPageBreak/>
        <w:t>également</w:t>
      </w:r>
      <w:r w:rsidR="00114E05" w:rsidRPr="004A3269">
        <w:rPr>
          <w:spacing w:val="-2"/>
        </w:rPr>
        <w:t xml:space="preserve"> comptabilisé comme une avance</w:t>
      </w:r>
      <w:r w:rsidR="00CB3C5F" w:rsidRPr="004A3269">
        <w:rPr>
          <w:spacing w:val="-2"/>
        </w:rPr>
        <w:t>,</w:t>
      </w:r>
      <w:r w:rsidR="00114E05" w:rsidRPr="004A3269">
        <w:rPr>
          <w:spacing w:val="-2"/>
        </w:rPr>
        <w:t xml:space="preserve"> et il est scindé en sa partie courante (voir la note n° 4) et sa partie non courante.  L</w:t>
      </w:r>
      <w:r w:rsidR="009021AA" w:rsidRPr="004A3269">
        <w:rPr>
          <w:spacing w:val="-2"/>
        </w:rPr>
        <w:t>’</w:t>
      </w:r>
      <w:r w:rsidR="00114E05" w:rsidRPr="004A3269">
        <w:rPr>
          <w:spacing w:val="-2"/>
        </w:rPr>
        <w:t xml:space="preserve">avance est réduite durant la période du contrat de location.  La valeur totale de </w:t>
      </w:r>
      <w:r w:rsidR="00CB3C5F" w:rsidRPr="004A3269">
        <w:rPr>
          <w:spacing w:val="-2"/>
        </w:rPr>
        <w:t>cette avance au 31 décembre 2014 est de 0,5</w:t>
      </w:r>
      <w:r w:rsidR="00114E05" w:rsidRPr="004A3269">
        <w:rPr>
          <w:spacing w:val="-2"/>
        </w:rPr>
        <w:t> million de francs suisses</w:t>
      </w:r>
      <w:r w:rsidR="00A90D95" w:rsidRPr="004A3269">
        <w:rPr>
          <w:szCs w:val="22"/>
        </w:rPr>
        <w:t>.</w:t>
      </w:r>
    </w:p>
    <w:p w:rsidR="00267140" w:rsidRDefault="00267140" w:rsidP="006D0C30">
      <w:pPr>
        <w:ind w:right="53"/>
        <w:jc w:val="both"/>
        <w:rPr>
          <w:b/>
          <w:szCs w:val="22"/>
        </w:rPr>
      </w:pPr>
    </w:p>
    <w:p w:rsidR="00695FBE" w:rsidRPr="004A3269" w:rsidRDefault="00695FBE" w:rsidP="006D0C30">
      <w:pPr>
        <w:ind w:right="53"/>
        <w:jc w:val="both"/>
        <w:rPr>
          <w:b/>
          <w:szCs w:val="22"/>
        </w:rPr>
      </w:pPr>
    </w:p>
    <w:p w:rsidR="00267140" w:rsidRPr="004A3269" w:rsidRDefault="00C51B50" w:rsidP="00C51B50">
      <w:pPr>
        <w:pStyle w:val="StyleHeading211ptNotBoldNotItalicAllcaps"/>
        <w:tabs>
          <w:tab w:val="left" w:pos="1701"/>
        </w:tabs>
        <w:spacing w:before="0" w:after="0"/>
      </w:pPr>
      <w:r w:rsidRPr="004A3269">
        <w:rPr>
          <w:b/>
          <w:i w:val="0"/>
        </w:rPr>
        <w:t>NOTE N°</w:t>
      </w:r>
      <w:r w:rsidRPr="004A3269">
        <w:rPr>
          <w:i w:val="0"/>
        </w:rPr>
        <w:t> </w:t>
      </w:r>
      <w:r w:rsidRPr="004A3269">
        <w:rPr>
          <w:b/>
          <w:i w:val="0"/>
        </w:rPr>
        <w:t>11</w:t>
      </w:r>
      <w:r w:rsidR="00A0797A" w:rsidRPr="004A3269">
        <w:rPr>
          <w:i w:val="0"/>
        </w:rPr>
        <w:t> :</w:t>
      </w:r>
      <w:r w:rsidRPr="004A3269">
        <w:rPr>
          <w:b/>
          <w:i w:val="0"/>
        </w:rPr>
        <w:t xml:space="preserve"> </w:t>
      </w:r>
      <w:r w:rsidRPr="004A3269">
        <w:rPr>
          <w:b/>
          <w:i w:val="0"/>
        </w:rPr>
        <w:tab/>
        <w:t>COMPTES DE CRÉANCIERS</w:t>
      </w:r>
    </w:p>
    <w:p w:rsidR="00267140" w:rsidRPr="004A3269" w:rsidRDefault="00267140" w:rsidP="00C64A1C">
      <w:pPr>
        <w:pStyle w:val="StyleHeading211ptNotBoldNotItalicAllcaps"/>
        <w:spacing w:before="0" w:after="0"/>
      </w:pPr>
    </w:p>
    <w:p w:rsidR="00C2551F" w:rsidRPr="004A3269" w:rsidRDefault="00C2551F" w:rsidP="00C2551F">
      <w:pPr>
        <w:pStyle w:val="Style3"/>
        <w:spacing w:after="0"/>
        <w:jc w:val="center"/>
        <w:rPr>
          <w:szCs w:val="22"/>
        </w:rPr>
      </w:pPr>
      <w:r w:rsidRPr="004A3269">
        <w:rPr>
          <w:noProof/>
          <w:lang w:val="en-US"/>
        </w:rPr>
        <w:drawing>
          <wp:inline distT="0" distB="0" distL="0" distR="0" wp14:anchorId="7A0946D5" wp14:editId="50EF596E">
            <wp:extent cx="5730875" cy="1345565"/>
            <wp:effectExtent l="0" t="0" r="3175" b="698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0875" cy="1345565"/>
                    </a:xfrm>
                    <a:prstGeom prst="rect">
                      <a:avLst/>
                    </a:prstGeom>
                    <a:noFill/>
                    <a:ln>
                      <a:noFill/>
                    </a:ln>
                  </pic:spPr>
                </pic:pic>
              </a:graphicData>
            </a:graphic>
          </wp:inline>
        </w:drawing>
      </w:r>
    </w:p>
    <w:p w:rsidR="00C2551F" w:rsidRPr="004A3269" w:rsidRDefault="00C2551F" w:rsidP="00157615">
      <w:pPr>
        <w:pStyle w:val="Style3"/>
        <w:spacing w:after="0"/>
        <w:rPr>
          <w:szCs w:val="22"/>
        </w:rPr>
      </w:pPr>
    </w:p>
    <w:p w:rsidR="009021AA" w:rsidRPr="004A3269" w:rsidRDefault="00157615" w:rsidP="00157615">
      <w:pPr>
        <w:pStyle w:val="Style3"/>
        <w:spacing w:after="0"/>
        <w:rPr>
          <w:szCs w:val="22"/>
        </w:rPr>
      </w:pPr>
      <w:r w:rsidRPr="004A3269">
        <w:rPr>
          <w:szCs w:val="22"/>
        </w:rPr>
        <w:t xml:space="preserve">Les comptes de créanciers englobent les factures </w:t>
      </w:r>
      <w:r w:rsidR="00C51B50" w:rsidRPr="004A3269">
        <w:rPr>
          <w:szCs w:val="22"/>
        </w:rPr>
        <w:t xml:space="preserve">non réglées des fournisseurs, </w:t>
      </w:r>
      <w:r w:rsidR="009021AA" w:rsidRPr="004A3269">
        <w:rPr>
          <w:szCs w:val="22"/>
        </w:rPr>
        <w:t>y compris</w:t>
      </w:r>
      <w:r w:rsidRPr="004A3269">
        <w:rPr>
          <w:szCs w:val="22"/>
        </w:rPr>
        <w:t xml:space="preserve"> la réévaluation des factures dues dans d</w:t>
      </w:r>
      <w:r w:rsidR="009021AA" w:rsidRPr="004A3269">
        <w:rPr>
          <w:szCs w:val="22"/>
        </w:rPr>
        <w:t>’</w:t>
      </w:r>
      <w:r w:rsidRPr="004A3269">
        <w:rPr>
          <w:szCs w:val="22"/>
        </w:rPr>
        <w:t>autres monnaies que le franc suisse.</w:t>
      </w:r>
    </w:p>
    <w:p w:rsidR="00267140" w:rsidRPr="00695FBE" w:rsidRDefault="00267140" w:rsidP="00695FBE"/>
    <w:p w:rsidR="00695FBE" w:rsidRPr="00695FBE" w:rsidRDefault="00695FBE" w:rsidP="00695FBE"/>
    <w:p w:rsidR="00267140" w:rsidRPr="004A3269" w:rsidRDefault="00C51B50" w:rsidP="00C51B50">
      <w:pPr>
        <w:pStyle w:val="StyleHeading211ptNotBoldNotItalicAllcaps"/>
        <w:tabs>
          <w:tab w:val="left" w:pos="1701"/>
        </w:tabs>
        <w:spacing w:before="0" w:after="0"/>
        <w:rPr>
          <w:szCs w:val="22"/>
        </w:rPr>
      </w:pPr>
      <w:r w:rsidRPr="004A3269">
        <w:rPr>
          <w:b/>
          <w:i w:val="0"/>
          <w:szCs w:val="22"/>
        </w:rPr>
        <w:t>NOTE N°</w:t>
      </w:r>
      <w:r w:rsidRPr="004A3269">
        <w:rPr>
          <w:i w:val="0"/>
          <w:szCs w:val="22"/>
        </w:rPr>
        <w:t> </w:t>
      </w:r>
      <w:r w:rsidRPr="004A3269">
        <w:rPr>
          <w:b/>
          <w:i w:val="0"/>
          <w:szCs w:val="22"/>
        </w:rPr>
        <w:t>12</w:t>
      </w:r>
      <w:r w:rsidR="00A0797A" w:rsidRPr="004A3269">
        <w:rPr>
          <w:i w:val="0"/>
          <w:szCs w:val="22"/>
        </w:rPr>
        <w:t> :</w:t>
      </w:r>
      <w:r w:rsidRPr="004A3269">
        <w:rPr>
          <w:b/>
          <w:i w:val="0"/>
          <w:szCs w:val="22"/>
        </w:rPr>
        <w:t xml:space="preserve"> </w:t>
      </w:r>
      <w:r w:rsidRPr="004A3269">
        <w:rPr>
          <w:b/>
          <w:i w:val="0"/>
          <w:szCs w:val="22"/>
        </w:rPr>
        <w:tab/>
        <w:t>PRESTATIONS AU PERSONNEL</w:t>
      </w:r>
    </w:p>
    <w:p w:rsidR="00267140" w:rsidRPr="004A3269" w:rsidRDefault="00267140" w:rsidP="006D0C30">
      <w:pPr>
        <w:pStyle w:val="STYLETITRENOTES"/>
        <w:rPr>
          <w:szCs w:val="22"/>
        </w:rPr>
      </w:pPr>
    </w:p>
    <w:p w:rsidR="00A97E57" w:rsidRPr="004A3269" w:rsidRDefault="00A97E57" w:rsidP="00B55B30">
      <w:pPr>
        <w:pStyle w:val="STYLETITRENOTES"/>
        <w:jc w:val="center"/>
        <w:rPr>
          <w:szCs w:val="22"/>
        </w:rPr>
      </w:pPr>
      <w:r w:rsidRPr="004A3269">
        <w:rPr>
          <w:noProof/>
          <w:lang w:val="en-US"/>
        </w:rPr>
        <w:drawing>
          <wp:inline distT="0" distB="0" distL="0" distR="0" wp14:anchorId="0DB09EAA" wp14:editId="4BC3928F">
            <wp:extent cx="5977255" cy="3565198"/>
            <wp:effectExtent l="0" t="0" r="444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977255" cy="3565198"/>
                    </a:xfrm>
                    <a:prstGeom prst="rect">
                      <a:avLst/>
                    </a:prstGeom>
                    <a:noFill/>
                    <a:ln>
                      <a:noFill/>
                    </a:ln>
                  </pic:spPr>
                </pic:pic>
              </a:graphicData>
            </a:graphic>
          </wp:inline>
        </w:drawing>
      </w:r>
    </w:p>
    <w:p w:rsidR="00A97E57" w:rsidRPr="004A3269" w:rsidRDefault="00A97E57" w:rsidP="00157615">
      <w:pPr>
        <w:pStyle w:val="Style3"/>
        <w:spacing w:after="0"/>
      </w:pPr>
    </w:p>
    <w:p w:rsidR="00267140" w:rsidRPr="004A3269" w:rsidRDefault="00157615" w:rsidP="00157615">
      <w:pPr>
        <w:pStyle w:val="Style3"/>
        <w:spacing w:after="0"/>
      </w:pPr>
      <w:r w:rsidRPr="004A3269">
        <w:t>Prestations au personnel</w:t>
      </w:r>
      <w:r w:rsidR="00A0797A" w:rsidRPr="004A3269">
        <w:t> :</w:t>
      </w:r>
    </w:p>
    <w:p w:rsidR="00267140" w:rsidRPr="004A3269" w:rsidRDefault="00267140" w:rsidP="001372BE">
      <w:pPr>
        <w:pStyle w:val="Style3"/>
        <w:spacing w:after="0"/>
      </w:pPr>
    </w:p>
    <w:p w:rsidR="00267140" w:rsidRPr="004A3269" w:rsidRDefault="00157615" w:rsidP="00157615">
      <w:pPr>
        <w:pStyle w:val="Style3"/>
        <w:spacing w:after="0"/>
      </w:pPr>
      <w:r w:rsidRPr="004A3269">
        <w:rPr>
          <w:i/>
        </w:rPr>
        <w:t>Les prestations au</w:t>
      </w:r>
      <w:r w:rsidR="0009798F" w:rsidRPr="004A3269">
        <w:rPr>
          <w:i/>
        </w:rPr>
        <w:t>x</w:t>
      </w:r>
      <w:r w:rsidRPr="004A3269">
        <w:rPr>
          <w:i/>
        </w:rPr>
        <w:t xml:space="preserve"> </w:t>
      </w:r>
      <w:r w:rsidR="0009798F" w:rsidRPr="004A3269">
        <w:rPr>
          <w:bCs/>
          <w:i/>
          <w:lang w:val="fr-CH"/>
        </w:rPr>
        <w:t>fonctionnaire</w:t>
      </w:r>
      <w:r w:rsidR="00D25452" w:rsidRPr="004A3269">
        <w:rPr>
          <w:bCs/>
          <w:i/>
          <w:lang w:val="fr-CH"/>
        </w:rPr>
        <w:t>s</w:t>
      </w:r>
      <w:r w:rsidR="0009798F" w:rsidRPr="004A3269">
        <w:rPr>
          <w:bCs/>
          <w:i/>
          <w:lang w:val="fr-CH"/>
        </w:rPr>
        <w:t xml:space="preserve"> titulaires d’un contrat de courte durée</w:t>
      </w:r>
      <w:r w:rsidR="0009798F" w:rsidRPr="004A3269">
        <w:rPr>
          <w:i/>
        </w:rPr>
        <w:t xml:space="preserve"> </w:t>
      </w:r>
      <w:r w:rsidRPr="004A3269">
        <w:t>incluent le traitement, les allocations et indemnités, les primes d</w:t>
      </w:r>
      <w:r w:rsidR="009021AA" w:rsidRPr="004A3269">
        <w:t>’</w:t>
      </w:r>
      <w:r w:rsidRPr="004A3269">
        <w:t>affectation et les indemnités pour frais d</w:t>
      </w:r>
      <w:r w:rsidR="009021AA" w:rsidRPr="004A3269">
        <w:t>’</w:t>
      </w:r>
      <w:r w:rsidRPr="004A3269">
        <w:t>études pour les enfants à charge, les jours de congé annuel rémunéré, les droits à congé de maladie rémunéré, l</w:t>
      </w:r>
      <w:r w:rsidR="009021AA" w:rsidRPr="004A3269">
        <w:t>’</w:t>
      </w:r>
      <w:r w:rsidRPr="004A3269">
        <w:t>assurance</w:t>
      </w:r>
      <w:r w:rsidR="00A17552" w:rsidRPr="004A3269">
        <w:noBreakHyphen/>
      </w:r>
      <w:r w:rsidRPr="004A3269">
        <w:t>accidents et l</w:t>
      </w:r>
      <w:r w:rsidR="009021AA" w:rsidRPr="004A3269">
        <w:t>’</w:t>
      </w:r>
      <w:r w:rsidRPr="004A3269">
        <w:t>assurance</w:t>
      </w:r>
      <w:r w:rsidR="00A17552" w:rsidRPr="004A3269">
        <w:noBreakHyphen/>
      </w:r>
      <w:r w:rsidRPr="004A3269">
        <w:t>vie;</w:t>
      </w:r>
    </w:p>
    <w:p w:rsidR="00267140" w:rsidRPr="004A3269" w:rsidRDefault="00267140" w:rsidP="001372BE">
      <w:pPr>
        <w:pStyle w:val="Style3"/>
        <w:spacing w:after="0"/>
      </w:pPr>
    </w:p>
    <w:p w:rsidR="00267140" w:rsidRDefault="00157615" w:rsidP="00157615">
      <w:pPr>
        <w:pStyle w:val="Style3"/>
        <w:spacing w:after="0"/>
      </w:pPr>
      <w:r w:rsidRPr="004A3269">
        <w:rPr>
          <w:i/>
        </w:rPr>
        <w:lastRenderedPageBreak/>
        <w:t>Les prestations post</w:t>
      </w:r>
      <w:r w:rsidR="00A17552" w:rsidRPr="004A3269">
        <w:rPr>
          <w:i/>
        </w:rPr>
        <w:noBreakHyphen/>
      </w:r>
      <w:r w:rsidRPr="004A3269">
        <w:rPr>
          <w:i/>
        </w:rPr>
        <w:t>emploi</w:t>
      </w:r>
      <w:r w:rsidRPr="004A3269">
        <w:t xml:space="preserve"> comprennent les prestations versées </w:t>
      </w:r>
      <w:r w:rsidR="00E1450E" w:rsidRPr="004A3269">
        <w:t>pour la cessation de service</w:t>
      </w:r>
      <w:r w:rsidR="00A0797A" w:rsidRPr="004A3269">
        <w:t>,</w:t>
      </w:r>
      <w:r w:rsidRPr="004A3269">
        <w:t xml:space="preserve"> </w:t>
      </w:r>
      <w:r w:rsidR="009021AA" w:rsidRPr="004A3269">
        <w:t>à savoir</w:t>
      </w:r>
      <w:r w:rsidRPr="004A3269">
        <w:t xml:space="preserve"> l</w:t>
      </w:r>
      <w:r w:rsidR="00246999" w:rsidRPr="004A3269">
        <w:t>a</w:t>
      </w:r>
      <w:r w:rsidRPr="004A3269">
        <w:t xml:space="preserve"> prime de rapatriement, les frais de voyage </w:t>
      </w:r>
      <w:r w:rsidR="00246999" w:rsidRPr="004A3269">
        <w:t xml:space="preserve">aux fins </w:t>
      </w:r>
      <w:r w:rsidRPr="004A3269">
        <w:t>du rapatriement et l</w:t>
      </w:r>
      <w:r w:rsidR="009021AA" w:rsidRPr="004A3269">
        <w:t>’</w:t>
      </w:r>
      <w:r w:rsidRPr="004A3269">
        <w:t xml:space="preserve">envoi des effets personnels et </w:t>
      </w:r>
      <w:r w:rsidR="00246999" w:rsidRPr="004A3269">
        <w:t>l’</w:t>
      </w:r>
      <w:r w:rsidRPr="004A3269">
        <w:t>assurance</w:t>
      </w:r>
      <w:r w:rsidR="00246999" w:rsidRPr="004A3269">
        <w:noBreakHyphen/>
        <w:t>maladie</w:t>
      </w:r>
      <w:r w:rsidRPr="004A3269">
        <w:t xml:space="preserve"> après la cessation de service;</w:t>
      </w:r>
    </w:p>
    <w:p w:rsidR="00B7582E" w:rsidRPr="004A3269" w:rsidRDefault="00B7582E" w:rsidP="00157615">
      <w:pPr>
        <w:pStyle w:val="Style3"/>
        <w:spacing w:after="0"/>
      </w:pPr>
    </w:p>
    <w:p w:rsidR="00267140" w:rsidRPr="004A3269" w:rsidRDefault="00157615" w:rsidP="00C51B50">
      <w:pPr>
        <w:pStyle w:val="BodyText"/>
        <w:spacing w:after="0"/>
        <w:jc w:val="both"/>
        <w:rPr>
          <w:szCs w:val="22"/>
        </w:rPr>
      </w:pPr>
      <w:r w:rsidRPr="004A3269">
        <w:rPr>
          <w:i/>
          <w:szCs w:val="22"/>
        </w:rPr>
        <w:t xml:space="preserve">Les prestations </w:t>
      </w:r>
      <w:r w:rsidR="00E1450E" w:rsidRPr="004A3269">
        <w:rPr>
          <w:i/>
          <w:szCs w:val="22"/>
        </w:rPr>
        <w:t xml:space="preserve">pour </w:t>
      </w:r>
      <w:r w:rsidR="00246999" w:rsidRPr="004A3269">
        <w:rPr>
          <w:i/>
          <w:szCs w:val="22"/>
        </w:rPr>
        <w:t>licenciement</w:t>
      </w:r>
      <w:r w:rsidR="00A0797A" w:rsidRPr="004A3269">
        <w:rPr>
          <w:i/>
          <w:szCs w:val="22"/>
        </w:rPr>
        <w:t xml:space="preserve"> </w:t>
      </w:r>
      <w:r w:rsidRPr="004A3269">
        <w:rPr>
          <w:szCs w:val="22"/>
        </w:rPr>
        <w:t xml:space="preserve">incluent une indemnité due aux fonctionnaires nommés à titre permanent ou pour une durée déterminée </w:t>
      </w:r>
      <w:r w:rsidR="00A7167D" w:rsidRPr="004A3269">
        <w:rPr>
          <w:szCs w:val="22"/>
        </w:rPr>
        <w:t>lorsqu’il est mis</w:t>
      </w:r>
      <w:r w:rsidRPr="004A3269">
        <w:rPr>
          <w:szCs w:val="22"/>
        </w:rPr>
        <w:t xml:space="preserve"> </w:t>
      </w:r>
      <w:r w:rsidR="00A7167D" w:rsidRPr="004A3269">
        <w:rPr>
          <w:szCs w:val="22"/>
        </w:rPr>
        <w:t>fin</w:t>
      </w:r>
      <w:r w:rsidRPr="004A3269">
        <w:rPr>
          <w:szCs w:val="22"/>
        </w:rPr>
        <w:t xml:space="preserve"> à leur </w:t>
      </w:r>
      <w:r w:rsidR="00A7167D" w:rsidRPr="004A3269">
        <w:rPr>
          <w:szCs w:val="22"/>
        </w:rPr>
        <w:t>engagement</w:t>
      </w:r>
      <w:r w:rsidRPr="004A3269">
        <w:rPr>
          <w:szCs w:val="22"/>
        </w:rPr>
        <w:t xml:space="preserve"> avant la fin de leur contrat.</w:t>
      </w:r>
    </w:p>
    <w:p w:rsidR="00267140" w:rsidRPr="004A3269" w:rsidRDefault="00267140" w:rsidP="00403F2A">
      <w:pPr>
        <w:pStyle w:val="Style3"/>
        <w:spacing w:after="0"/>
        <w:rPr>
          <w:b/>
        </w:rPr>
      </w:pPr>
    </w:p>
    <w:p w:rsidR="00267140" w:rsidRPr="004A3269" w:rsidRDefault="00157615" w:rsidP="00157615">
      <w:pPr>
        <w:pStyle w:val="Style3"/>
        <w:spacing w:after="0"/>
        <w:rPr>
          <w:b/>
        </w:rPr>
      </w:pPr>
      <w:r w:rsidRPr="004A3269">
        <w:rPr>
          <w:b/>
        </w:rPr>
        <w:t xml:space="preserve">Prestations aux </w:t>
      </w:r>
      <w:r w:rsidR="00D055AC" w:rsidRPr="004A3269">
        <w:rPr>
          <w:b/>
        </w:rPr>
        <w:t>fonctionnaires titulaires d’un contrat de courte durée</w:t>
      </w:r>
    </w:p>
    <w:p w:rsidR="00267140" w:rsidRPr="004A3269" w:rsidRDefault="00267140" w:rsidP="00403F2A">
      <w:pPr>
        <w:pStyle w:val="Style3"/>
        <w:spacing w:after="0"/>
      </w:pPr>
    </w:p>
    <w:p w:rsidR="00267140" w:rsidRPr="004A3269" w:rsidRDefault="00157615" w:rsidP="00157615">
      <w:pPr>
        <w:pStyle w:val="Style3"/>
        <w:spacing w:after="0"/>
      </w:pPr>
      <w:r w:rsidRPr="004A3269">
        <w:t>L</w:t>
      </w:r>
      <w:r w:rsidR="009021AA" w:rsidRPr="004A3269">
        <w:t>’</w:t>
      </w:r>
      <w:r w:rsidRPr="004A3269">
        <w:t>Organisation a également des passifs comptabilisés pour les prestations à court terme suivantes, dont la valeur est basée sur le montant à payer à chaque fonctionnaire à la date d</w:t>
      </w:r>
      <w:r w:rsidR="009021AA" w:rsidRPr="004A3269">
        <w:t>’</w:t>
      </w:r>
      <w:r w:rsidRPr="004A3269">
        <w:t>établissement des états financiers.</w:t>
      </w:r>
    </w:p>
    <w:p w:rsidR="00267140" w:rsidRPr="004A3269" w:rsidRDefault="00267140" w:rsidP="00403F2A">
      <w:pPr>
        <w:pStyle w:val="Style3"/>
        <w:spacing w:after="0"/>
      </w:pPr>
    </w:p>
    <w:p w:rsidR="00267140" w:rsidRPr="004A3269" w:rsidRDefault="00157615" w:rsidP="00157615">
      <w:pPr>
        <w:pStyle w:val="Style3"/>
        <w:spacing w:after="0"/>
      </w:pPr>
      <w:r w:rsidRPr="004A3269">
        <w:rPr>
          <w:b/>
          <w:i/>
        </w:rPr>
        <w:t>Congé annuel</w:t>
      </w:r>
      <w:r w:rsidR="00083791" w:rsidRPr="004A3269">
        <w:rPr>
          <w:b/>
          <w:i/>
        </w:rPr>
        <w:t> :</w:t>
      </w:r>
      <w:r w:rsidRPr="004A3269">
        <w:t xml:space="preserve"> les fonctionnaires ont droit à 30</w:t>
      </w:r>
      <w:r w:rsidR="00083791" w:rsidRPr="004A3269">
        <w:t> </w:t>
      </w:r>
      <w:r w:rsidRPr="004A3269">
        <w:t>jours de congé annuel.</w:t>
      </w:r>
      <w:r w:rsidR="00117E63" w:rsidRPr="004A3269">
        <w:t xml:space="preserve"> </w:t>
      </w:r>
      <w:r w:rsidR="00083791" w:rsidRPr="004A3269">
        <w:t xml:space="preserve"> </w:t>
      </w:r>
      <w:r w:rsidRPr="004A3269">
        <w:t>En vertu du Statut et Règlement du personnel, les fonctionnaires peuvent accumuler jusqu</w:t>
      </w:r>
      <w:r w:rsidR="009021AA" w:rsidRPr="004A3269">
        <w:t>’</w:t>
      </w:r>
      <w:r w:rsidRPr="004A3269">
        <w:t>à 15</w:t>
      </w:r>
      <w:r w:rsidR="00083791" w:rsidRPr="004A3269">
        <w:t> </w:t>
      </w:r>
      <w:r w:rsidRPr="004A3269">
        <w:t>jours de congé annuel pendant une année donnée et un total cumulé de 60</w:t>
      </w:r>
      <w:r w:rsidR="00083791" w:rsidRPr="004A3269">
        <w:t> </w:t>
      </w:r>
      <w:r w:rsidRPr="004A3269">
        <w:t>jours.</w:t>
      </w:r>
      <w:r w:rsidR="009E040D" w:rsidRPr="004A3269">
        <w:rPr>
          <w:szCs w:val="22"/>
        </w:rPr>
        <w:t xml:space="preserve"> </w:t>
      </w:r>
      <w:r w:rsidR="00083791" w:rsidRPr="004A3269">
        <w:rPr>
          <w:szCs w:val="22"/>
        </w:rPr>
        <w:t xml:space="preserve"> </w:t>
      </w:r>
      <w:r w:rsidRPr="004A3269">
        <w:rPr>
          <w:szCs w:val="22"/>
        </w:rPr>
        <w:t>Toutefois, les fonctionnaires qui ont accumulé plus de 60</w:t>
      </w:r>
      <w:r w:rsidR="00083791" w:rsidRPr="004A3269">
        <w:rPr>
          <w:szCs w:val="22"/>
        </w:rPr>
        <w:t> </w:t>
      </w:r>
      <w:r w:rsidRPr="004A3269">
        <w:rPr>
          <w:szCs w:val="22"/>
        </w:rPr>
        <w:t>jours avant le 1</w:t>
      </w:r>
      <w:r w:rsidRPr="004A3269">
        <w:rPr>
          <w:szCs w:val="22"/>
          <w:vertAlign w:val="superscript"/>
        </w:rPr>
        <w:t>er</w:t>
      </w:r>
      <w:r w:rsidR="00083791" w:rsidRPr="004A3269">
        <w:rPr>
          <w:szCs w:val="22"/>
        </w:rPr>
        <w:t> janvier </w:t>
      </w:r>
      <w:r w:rsidRPr="004A3269">
        <w:rPr>
          <w:szCs w:val="22"/>
        </w:rPr>
        <w:t>2013 ont le droit de les conserver jusqu</w:t>
      </w:r>
      <w:r w:rsidR="009021AA" w:rsidRPr="004A3269">
        <w:rPr>
          <w:szCs w:val="22"/>
        </w:rPr>
        <w:t>’</w:t>
      </w:r>
      <w:r w:rsidRPr="004A3269">
        <w:rPr>
          <w:szCs w:val="22"/>
        </w:rPr>
        <w:t>au</w:t>
      </w:r>
      <w:r w:rsidR="00083791" w:rsidRPr="004A3269">
        <w:rPr>
          <w:szCs w:val="22"/>
        </w:rPr>
        <w:t> </w:t>
      </w:r>
      <w:r w:rsidRPr="004A3269">
        <w:rPr>
          <w:szCs w:val="22"/>
        </w:rPr>
        <w:t>1</w:t>
      </w:r>
      <w:r w:rsidRPr="004A3269">
        <w:rPr>
          <w:szCs w:val="22"/>
          <w:vertAlign w:val="superscript"/>
        </w:rPr>
        <w:t>er</w:t>
      </w:r>
      <w:r w:rsidR="00083791" w:rsidRPr="004A3269">
        <w:rPr>
          <w:szCs w:val="22"/>
        </w:rPr>
        <w:t> </w:t>
      </w:r>
      <w:r w:rsidRPr="004A3269">
        <w:rPr>
          <w:szCs w:val="22"/>
        </w:rPr>
        <w:t>janvier</w:t>
      </w:r>
      <w:r w:rsidR="00083791" w:rsidRPr="004A3269">
        <w:rPr>
          <w:szCs w:val="22"/>
        </w:rPr>
        <w:t> </w:t>
      </w:r>
      <w:r w:rsidRPr="004A3269">
        <w:rPr>
          <w:szCs w:val="22"/>
        </w:rPr>
        <w:t>2018.</w:t>
      </w:r>
      <w:r w:rsidR="00331492" w:rsidRPr="004A3269">
        <w:rPr>
          <w:szCs w:val="22"/>
        </w:rPr>
        <w:t xml:space="preserve"> </w:t>
      </w:r>
      <w:r w:rsidR="00083791" w:rsidRPr="004A3269">
        <w:rPr>
          <w:szCs w:val="22"/>
        </w:rPr>
        <w:t xml:space="preserve"> </w:t>
      </w:r>
      <w:r w:rsidR="00CB3C5F" w:rsidRPr="004A3269">
        <w:rPr>
          <w:rStyle w:val="hps"/>
        </w:rPr>
        <w:t>Bien que</w:t>
      </w:r>
      <w:r w:rsidR="00CB3C5F" w:rsidRPr="004A3269">
        <w:t xml:space="preserve"> </w:t>
      </w:r>
      <w:r w:rsidR="00CB3C5F" w:rsidRPr="004A3269">
        <w:rPr>
          <w:rStyle w:val="hps"/>
        </w:rPr>
        <w:t xml:space="preserve">le congé annuel </w:t>
      </w:r>
      <w:r w:rsidR="007F68C9" w:rsidRPr="004A3269">
        <w:rPr>
          <w:rStyle w:val="hps"/>
        </w:rPr>
        <w:t xml:space="preserve">fasse partie des prestations </w:t>
      </w:r>
      <w:r w:rsidR="00D25452" w:rsidRPr="004A3269">
        <w:rPr>
          <w:rStyle w:val="hps"/>
        </w:rPr>
        <w:t xml:space="preserve">dues </w:t>
      </w:r>
      <w:r w:rsidR="007F68C9" w:rsidRPr="004A3269">
        <w:rPr>
          <w:rStyle w:val="hps"/>
        </w:rPr>
        <w:t>au</w:t>
      </w:r>
      <w:r w:rsidR="00086A8F" w:rsidRPr="004A3269">
        <w:rPr>
          <w:rStyle w:val="hps"/>
        </w:rPr>
        <w:t xml:space="preserve">x fonctionnaires </w:t>
      </w:r>
      <w:r w:rsidR="00D25452" w:rsidRPr="004A3269">
        <w:rPr>
          <w:bCs/>
          <w:lang w:val="fr-CH"/>
        </w:rPr>
        <w:t>titulaire</w:t>
      </w:r>
      <w:r w:rsidR="00086A8F" w:rsidRPr="004A3269">
        <w:rPr>
          <w:bCs/>
          <w:lang w:val="fr-CH"/>
        </w:rPr>
        <w:t>s</w:t>
      </w:r>
      <w:r w:rsidR="00D25452" w:rsidRPr="004A3269">
        <w:rPr>
          <w:bCs/>
          <w:lang w:val="fr-CH"/>
        </w:rPr>
        <w:t xml:space="preserve"> d’un contrat de courte durée</w:t>
      </w:r>
      <w:r w:rsidR="00CB3C5F" w:rsidRPr="004A3269">
        <w:t xml:space="preserve">, </w:t>
      </w:r>
      <w:r w:rsidR="007F68C9" w:rsidRPr="004A3269">
        <w:rPr>
          <w:rStyle w:val="hps"/>
        </w:rPr>
        <w:t>étant donné que</w:t>
      </w:r>
      <w:r w:rsidR="00CB3C5F" w:rsidRPr="004A3269">
        <w:t xml:space="preserve"> </w:t>
      </w:r>
      <w:r w:rsidR="007F68C9" w:rsidRPr="004A3269">
        <w:rPr>
          <w:rStyle w:val="hps"/>
        </w:rPr>
        <w:t xml:space="preserve">les fonctionnaires </w:t>
      </w:r>
      <w:r w:rsidR="00CB3C5F" w:rsidRPr="004A3269">
        <w:rPr>
          <w:rStyle w:val="hps"/>
        </w:rPr>
        <w:t>ont le droit</w:t>
      </w:r>
      <w:r w:rsidR="00CB3C5F" w:rsidRPr="004A3269">
        <w:t xml:space="preserve"> </w:t>
      </w:r>
      <w:r w:rsidR="007F68C9" w:rsidRPr="004A3269">
        <w:rPr>
          <w:rStyle w:val="hps"/>
        </w:rPr>
        <w:t>d</w:t>
      </w:r>
      <w:r w:rsidR="009021AA" w:rsidRPr="004A3269">
        <w:rPr>
          <w:rStyle w:val="hps"/>
        </w:rPr>
        <w:t>’</w:t>
      </w:r>
      <w:r w:rsidR="00086A8F" w:rsidRPr="004A3269">
        <w:rPr>
          <w:rStyle w:val="hps"/>
        </w:rPr>
        <w:t>accumuler le</w:t>
      </w:r>
      <w:r w:rsidR="007F68C9" w:rsidRPr="004A3269">
        <w:rPr>
          <w:rStyle w:val="hps"/>
        </w:rPr>
        <w:t xml:space="preserve">s jours de congé annuel </w:t>
      </w:r>
      <w:r w:rsidR="00CB3C5F" w:rsidRPr="004A3269">
        <w:rPr>
          <w:rStyle w:val="hps"/>
        </w:rPr>
        <w:t>non</w:t>
      </w:r>
      <w:r w:rsidR="00CB3C5F" w:rsidRPr="004A3269">
        <w:t xml:space="preserve"> </w:t>
      </w:r>
      <w:r w:rsidR="00086A8F" w:rsidRPr="004A3269">
        <w:t>pris</w:t>
      </w:r>
      <w:r w:rsidR="007F68C9" w:rsidRPr="004A3269">
        <w:t xml:space="preserve"> </w:t>
      </w:r>
      <w:r w:rsidR="00CB3C5F" w:rsidRPr="004A3269">
        <w:rPr>
          <w:rStyle w:val="hps"/>
        </w:rPr>
        <w:t xml:space="preserve">et </w:t>
      </w:r>
      <w:r w:rsidR="007F68C9" w:rsidRPr="004A3269">
        <w:rPr>
          <w:rStyle w:val="hps"/>
        </w:rPr>
        <w:t>de se le</w:t>
      </w:r>
      <w:r w:rsidR="00086A8F" w:rsidRPr="004A3269">
        <w:rPr>
          <w:rStyle w:val="hps"/>
        </w:rPr>
        <w:t>s</w:t>
      </w:r>
      <w:r w:rsidR="007F68C9" w:rsidRPr="004A3269">
        <w:rPr>
          <w:rStyle w:val="hps"/>
        </w:rPr>
        <w:t xml:space="preserve"> faire payer</w:t>
      </w:r>
      <w:r w:rsidR="00CB3C5F" w:rsidRPr="004A3269">
        <w:t xml:space="preserve"> </w:t>
      </w:r>
      <w:r w:rsidR="007F68C9" w:rsidRPr="004A3269">
        <w:rPr>
          <w:rStyle w:val="hps"/>
        </w:rPr>
        <w:t>au moment de leur</w:t>
      </w:r>
      <w:r w:rsidR="00CB3C5F" w:rsidRPr="004A3269">
        <w:t xml:space="preserve"> </w:t>
      </w:r>
      <w:r w:rsidR="00CB3C5F" w:rsidRPr="004A3269">
        <w:rPr>
          <w:rStyle w:val="hps"/>
        </w:rPr>
        <w:t>cessation de service</w:t>
      </w:r>
      <w:r w:rsidR="00CB3C5F" w:rsidRPr="004A3269">
        <w:t xml:space="preserve">, </w:t>
      </w:r>
      <w:r w:rsidR="00CB3C5F" w:rsidRPr="004A3269">
        <w:rPr>
          <w:rStyle w:val="hps"/>
        </w:rPr>
        <w:t>une partie</w:t>
      </w:r>
      <w:r w:rsidR="00CB3C5F" w:rsidRPr="004A3269">
        <w:t xml:space="preserve"> </w:t>
      </w:r>
      <w:r w:rsidR="00CB3C5F" w:rsidRPr="004A3269">
        <w:rPr>
          <w:rStyle w:val="hps"/>
        </w:rPr>
        <w:t>des</w:t>
      </w:r>
      <w:r w:rsidR="00CB3C5F" w:rsidRPr="004A3269">
        <w:t xml:space="preserve"> </w:t>
      </w:r>
      <w:r w:rsidR="00CB3C5F" w:rsidRPr="004A3269">
        <w:rPr>
          <w:rStyle w:val="hps"/>
        </w:rPr>
        <w:t xml:space="preserve">congés </w:t>
      </w:r>
      <w:r w:rsidR="00A849B9" w:rsidRPr="004A3269">
        <w:rPr>
          <w:rStyle w:val="hps"/>
        </w:rPr>
        <w:t>annuels</w:t>
      </w:r>
      <w:r w:rsidR="00CB3C5F" w:rsidRPr="004A3269">
        <w:t xml:space="preserve"> </w:t>
      </w:r>
      <w:r w:rsidR="00A849B9" w:rsidRPr="004A3269">
        <w:rPr>
          <w:rStyle w:val="hps"/>
        </w:rPr>
        <w:t xml:space="preserve">sont classés </w:t>
      </w:r>
      <w:r w:rsidR="00CB3C5F" w:rsidRPr="004A3269">
        <w:rPr>
          <w:rStyle w:val="hps"/>
        </w:rPr>
        <w:t xml:space="preserve">comme </w:t>
      </w:r>
      <w:r w:rsidR="00A849B9" w:rsidRPr="004A3269">
        <w:rPr>
          <w:rStyle w:val="hps"/>
        </w:rPr>
        <w:t>des</w:t>
      </w:r>
      <w:r w:rsidR="00CB3C5F" w:rsidRPr="004A3269">
        <w:t xml:space="preserve"> </w:t>
      </w:r>
      <w:r w:rsidR="00CB3C5F" w:rsidRPr="004A3269">
        <w:rPr>
          <w:rStyle w:val="hps"/>
        </w:rPr>
        <w:t>passif</w:t>
      </w:r>
      <w:r w:rsidR="00A849B9" w:rsidRPr="004A3269">
        <w:rPr>
          <w:rStyle w:val="hps"/>
        </w:rPr>
        <w:t>s</w:t>
      </w:r>
      <w:r w:rsidR="00CB3C5F" w:rsidRPr="004A3269">
        <w:rPr>
          <w:rStyle w:val="hps"/>
        </w:rPr>
        <w:t xml:space="preserve"> non courant</w:t>
      </w:r>
      <w:r w:rsidR="00A849B9" w:rsidRPr="004A3269">
        <w:rPr>
          <w:rStyle w:val="hps"/>
        </w:rPr>
        <w:t>s</w:t>
      </w:r>
      <w:r w:rsidR="00CB3C5F" w:rsidRPr="004A3269">
        <w:rPr>
          <w:rStyle w:val="hps"/>
        </w:rPr>
        <w:t xml:space="preserve">.  </w:t>
      </w:r>
      <w:r w:rsidRPr="004A3269">
        <w:rPr>
          <w:szCs w:val="22"/>
        </w:rPr>
        <w:t>Le solde total de la dette à la date d</w:t>
      </w:r>
      <w:r w:rsidR="009021AA" w:rsidRPr="004A3269">
        <w:rPr>
          <w:szCs w:val="22"/>
        </w:rPr>
        <w:t>’</w:t>
      </w:r>
      <w:r w:rsidRPr="004A3269">
        <w:rPr>
          <w:szCs w:val="22"/>
        </w:rPr>
        <w:t>établissement d</w:t>
      </w:r>
      <w:r w:rsidR="00083791" w:rsidRPr="004A3269">
        <w:rPr>
          <w:szCs w:val="22"/>
        </w:rPr>
        <w:t>es états financiers est de 12,9 </w:t>
      </w:r>
      <w:r w:rsidRPr="004A3269">
        <w:rPr>
          <w:szCs w:val="22"/>
        </w:rPr>
        <w:t>millions de francs suisses [contre</w:t>
      </w:r>
      <w:r w:rsidR="00083791" w:rsidRPr="004A3269">
        <w:rPr>
          <w:szCs w:val="22"/>
        </w:rPr>
        <w:t xml:space="preserve"> 12,2 </w:t>
      </w:r>
      <w:r w:rsidRPr="004A3269">
        <w:rPr>
          <w:szCs w:val="22"/>
        </w:rPr>
        <w:t xml:space="preserve">millions de francs suisses au </w:t>
      </w:r>
      <w:r w:rsidR="00A0797A" w:rsidRPr="004A3269">
        <w:rPr>
          <w:szCs w:val="22"/>
        </w:rPr>
        <w:t>31 </w:t>
      </w:r>
      <w:r w:rsidRPr="004A3269">
        <w:rPr>
          <w:szCs w:val="22"/>
        </w:rPr>
        <w:t>décembre</w:t>
      </w:r>
      <w:r w:rsidR="00083791" w:rsidRPr="004A3269">
        <w:rPr>
          <w:szCs w:val="22"/>
        </w:rPr>
        <w:t> </w:t>
      </w:r>
      <w:r w:rsidRPr="004A3269">
        <w:rPr>
          <w:szCs w:val="22"/>
        </w:rPr>
        <w:t>2013].</w:t>
      </w:r>
    </w:p>
    <w:p w:rsidR="00267140" w:rsidRPr="004A3269" w:rsidRDefault="00267140" w:rsidP="00083791">
      <w:pPr>
        <w:pStyle w:val="Style3"/>
        <w:spacing w:after="0"/>
      </w:pPr>
    </w:p>
    <w:p w:rsidR="00267140" w:rsidRPr="004A3269" w:rsidRDefault="00157615" w:rsidP="00157615">
      <w:pPr>
        <w:pStyle w:val="Style3"/>
        <w:spacing w:after="0"/>
      </w:pPr>
      <w:r w:rsidRPr="004A3269">
        <w:rPr>
          <w:b/>
          <w:i/>
        </w:rPr>
        <w:t>Congé dans les foyers</w:t>
      </w:r>
      <w:r w:rsidR="00083791" w:rsidRPr="004A3269">
        <w:rPr>
          <w:b/>
          <w:i/>
        </w:rPr>
        <w:t> :</w:t>
      </w:r>
      <w:r w:rsidRPr="004A3269">
        <w:t xml:space="preserve"> les fonctionnaires recrutés au niveau international ont droit, une fois tous les deux</w:t>
      </w:r>
      <w:r w:rsidR="00067463" w:rsidRPr="004A3269">
        <w:t> </w:t>
      </w:r>
      <w:r w:rsidRPr="004A3269">
        <w:t>ans, à un congé dans les foyers, pour eux et pour les personnes à leur charge, dans le pays dans lequel ils ont été recrutés.</w:t>
      </w:r>
      <w:r w:rsidR="00403F2A" w:rsidRPr="004A3269">
        <w:t xml:space="preserve">  </w:t>
      </w:r>
      <w:r w:rsidRPr="004A3269">
        <w:t>Le solde total de la dette pour les congés dans les foyers qui ont été perçus mais qui n</w:t>
      </w:r>
      <w:r w:rsidR="009021AA" w:rsidRPr="004A3269">
        <w:t>’</w:t>
      </w:r>
      <w:r w:rsidRPr="004A3269">
        <w:t>ont pas encore été pris à la date d</w:t>
      </w:r>
      <w:r w:rsidR="009021AA" w:rsidRPr="004A3269">
        <w:t>’</w:t>
      </w:r>
      <w:r w:rsidRPr="004A3269">
        <w:t xml:space="preserve">établissement </w:t>
      </w:r>
      <w:r w:rsidR="00083791" w:rsidRPr="004A3269">
        <w:t>des états financiers est de 0,5 </w:t>
      </w:r>
      <w:r w:rsidRPr="004A3269">
        <w:t>millio</w:t>
      </w:r>
      <w:r w:rsidR="00083791" w:rsidRPr="004A3269">
        <w:t>n de francs suisses [contre 0,5 </w:t>
      </w:r>
      <w:r w:rsidRPr="004A3269">
        <w:t>million de francs suisses au 31</w:t>
      </w:r>
      <w:r w:rsidR="00083791" w:rsidRPr="004A3269">
        <w:t> </w:t>
      </w:r>
      <w:r w:rsidRPr="004A3269">
        <w:t>décembre</w:t>
      </w:r>
      <w:r w:rsidR="00083791" w:rsidRPr="004A3269">
        <w:t> </w:t>
      </w:r>
      <w:r w:rsidRPr="004A3269">
        <w:t>2013].</w:t>
      </w:r>
    </w:p>
    <w:p w:rsidR="00267140" w:rsidRPr="004A3269" w:rsidRDefault="00267140" w:rsidP="00403F2A">
      <w:pPr>
        <w:pStyle w:val="Style3"/>
        <w:spacing w:after="0"/>
      </w:pPr>
    </w:p>
    <w:p w:rsidR="00267140" w:rsidRPr="004A3269" w:rsidRDefault="00157615" w:rsidP="00157615">
      <w:pPr>
        <w:pStyle w:val="Style3"/>
        <w:spacing w:after="0"/>
        <w:rPr>
          <w:szCs w:val="22"/>
        </w:rPr>
      </w:pPr>
      <w:r w:rsidRPr="004A3269">
        <w:rPr>
          <w:b/>
          <w:i/>
        </w:rPr>
        <w:t>Heures supplémentaires</w:t>
      </w:r>
      <w:r w:rsidR="00083791" w:rsidRPr="004A3269">
        <w:rPr>
          <w:b/>
          <w:i/>
        </w:rPr>
        <w:t> :</w:t>
      </w:r>
      <w:r w:rsidRPr="004A3269">
        <w:t xml:space="preserve"> certains fonctionnaires ont droit à une compensation en espèces pour les heures supplémentaires accumulées au terme d</w:t>
      </w:r>
      <w:r w:rsidR="009021AA" w:rsidRPr="004A3269">
        <w:t>’</w:t>
      </w:r>
      <w:r w:rsidRPr="004A3269">
        <w:t>un délai prévu dans le Statut et Règlement du personnel.</w:t>
      </w:r>
      <w:r w:rsidR="00403F2A" w:rsidRPr="004A3269">
        <w:t xml:space="preserve">  </w:t>
      </w:r>
      <w:r w:rsidRPr="004A3269">
        <w:t>Le montant total à payer à la date d</w:t>
      </w:r>
      <w:r w:rsidR="009021AA" w:rsidRPr="004A3269">
        <w:t>’</w:t>
      </w:r>
      <w:r w:rsidRPr="004A3269">
        <w:t>établissement des états financiers est de 0,5</w:t>
      </w:r>
      <w:r w:rsidR="00067463" w:rsidRPr="004A3269">
        <w:t> </w:t>
      </w:r>
      <w:r w:rsidRPr="004A3269">
        <w:t>million de francs suisses [contre 0,8</w:t>
      </w:r>
      <w:r w:rsidR="00067463" w:rsidRPr="004A3269">
        <w:t> </w:t>
      </w:r>
      <w:r w:rsidRPr="004A3269">
        <w:t xml:space="preserve">million de francs suisses au </w:t>
      </w:r>
      <w:r w:rsidR="00A0797A" w:rsidRPr="004A3269">
        <w:t>31 décembre </w:t>
      </w:r>
      <w:r w:rsidRPr="004A3269">
        <w:t>2013].</w:t>
      </w:r>
    </w:p>
    <w:p w:rsidR="00267140" w:rsidRPr="004A3269" w:rsidRDefault="00267140" w:rsidP="00083791">
      <w:pPr>
        <w:rPr>
          <w:szCs w:val="22"/>
        </w:rPr>
      </w:pPr>
    </w:p>
    <w:p w:rsidR="00267140" w:rsidRPr="004A3269" w:rsidRDefault="00D9341B" w:rsidP="002840B0">
      <w:pPr>
        <w:pStyle w:val="Style3"/>
        <w:spacing w:after="0"/>
        <w:rPr>
          <w:szCs w:val="22"/>
        </w:rPr>
      </w:pPr>
      <w:r w:rsidRPr="004A3269">
        <w:rPr>
          <w:rStyle w:val="hps"/>
          <w:b/>
          <w:i/>
        </w:rPr>
        <w:t xml:space="preserve">Indemnité pour frais d’études </w:t>
      </w:r>
      <w:r w:rsidR="00CB3C5F" w:rsidRPr="004A3269">
        <w:rPr>
          <w:rStyle w:val="hps"/>
          <w:b/>
          <w:i/>
        </w:rPr>
        <w:t>:</w:t>
      </w:r>
      <w:r w:rsidR="00CB3C5F" w:rsidRPr="004A3269">
        <w:t xml:space="preserve"> </w:t>
      </w:r>
      <w:r w:rsidR="005B0F8A" w:rsidRPr="004A3269">
        <w:t>les fonctionnaires recrutés sur le plan international, autres que ceux qui vivent dans leur pays d</w:t>
      </w:r>
      <w:r w:rsidR="009021AA" w:rsidRPr="004A3269">
        <w:t>’</w:t>
      </w:r>
      <w:r w:rsidR="005B0F8A" w:rsidRPr="004A3269">
        <w:t>origine, remplissent les conditions requises pour recevoir une indemnité couvrant 75% des frais de scolarité des enfants à charge jusqu</w:t>
      </w:r>
      <w:r w:rsidR="009021AA" w:rsidRPr="004A3269">
        <w:t>’</w:t>
      </w:r>
      <w:r w:rsidR="005B0F8A" w:rsidRPr="004A3269">
        <w:t>à la quatrième année d</w:t>
      </w:r>
      <w:r w:rsidR="009021AA" w:rsidRPr="004A3269">
        <w:t>’</w:t>
      </w:r>
      <w:r w:rsidR="005B0F8A" w:rsidRPr="004A3269">
        <w:t>études supérieures, mais pas au</w:t>
      </w:r>
      <w:r w:rsidR="00A17552" w:rsidRPr="004A3269">
        <w:noBreakHyphen/>
      </w:r>
      <w:r w:rsidR="005B0F8A" w:rsidRPr="004A3269">
        <w:t>delà de la fin de l</w:t>
      </w:r>
      <w:r w:rsidR="009021AA" w:rsidRPr="004A3269">
        <w:t>’</w:t>
      </w:r>
      <w:r w:rsidR="005B0F8A" w:rsidRPr="004A3269">
        <w:t>année scolaire au cours de laquelle l</w:t>
      </w:r>
      <w:r w:rsidR="009021AA" w:rsidRPr="004A3269">
        <w:t>’</w:t>
      </w:r>
      <w:r w:rsidR="005B0F8A" w:rsidRPr="004A3269">
        <w:t>enfant atteint l</w:t>
      </w:r>
      <w:r w:rsidR="009021AA" w:rsidRPr="004A3269">
        <w:t>’</w:t>
      </w:r>
      <w:r w:rsidR="005B0F8A" w:rsidRPr="004A3269">
        <w:t>âge de 25 ans</w:t>
      </w:r>
      <w:r w:rsidR="00A860BC" w:rsidRPr="004A3269">
        <w:t>.  La provision pour frais d</w:t>
      </w:r>
      <w:r w:rsidR="009021AA" w:rsidRPr="004A3269">
        <w:t>’</w:t>
      </w:r>
      <w:r w:rsidR="00A860BC" w:rsidRPr="004A3269">
        <w:t>études est liée au nombre de mois qui se sont écoulés entre le début de l</w:t>
      </w:r>
      <w:r w:rsidR="009021AA" w:rsidRPr="004A3269">
        <w:t>’</w:t>
      </w:r>
      <w:r w:rsidR="00A860BC" w:rsidRPr="004A3269">
        <w:t>année scolaire</w:t>
      </w:r>
      <w:r w:rsidR="0065077D" w:rsidRPr="004A3269">
        <w:t xml:space="preserve"> ou </w:t>
      </w:r>
      <w:r w:rsidR="00A860BC" w:rsidRPr="004A3269">
        <w:t>universitaire et le 31 décembre 201</w:t>
      </w:r>
      <w:r w:rsidR="005B0F8A" w:rsidRPr="004A3269">
        <w:t>4</w:t>
      </w:r>
      <w:r w:rsidR="0065077D" w:rsidRPr="004A3269">
        <w:t>,</w:t>
      </w:r>
      <w:r w:rsidR="00A860BC" w:rsidRPr="004A3269">
        <w:t xml:space="preserve"> pour lesquels les indemnités sont dues.  La provision totale à la date de clôture est d</w:t>
      </w:r>
      <w:r w:rsidR="005B0F8A" w:rsidRPr="004A3269">
        <w:t>e 1,9</w:t>
      </w:r>
      <w:r w:rsidR="00A860BC" w:rsidRPr="004A3269">
        <w:t> million de francs suisses</w:t>
      </w:r>
      <w:r w:rsidR="00CB3C5F" w:rsidRPr="004A3269">
        <w:t xml:space="preserve"> </w:t>
      </w:r>
      <w:r w:rsidR="00CB3C5F" w:rsidRPr="004A3269">
        <w:rPr>
          <w:rStyle w:val="hps"/>
        </w:rPr>
        <w:t>[</w:t>
      </w:r>
      <w:r w:rsidR="00A860BC" w:rsidRPr="004A3269">
        <w:t xml:space="preserve">1,8 million </w:t>
      </w:r>
      <w:r w:rsidR="00CB3C5F" w:rsidRPr="004A3269">
        <w:t xml:space="preserve">de </w:t>
      </w:r>
      <w:r w:rsidR="00CB3C5F" w:rsidRPr="004A3269">
        <w:rPr>
          <w:rStyle w:val="hps"/>
        </w:rPr>
        <w:t>francs suisses</w:t>
      </w:r>
      <w:r w:rsidR="00CB3C5F" w:rsidRPr="004A3269">
        <w:t xml:space="preserve"> </w:t>
      </w:r>
      <w:r w:rsidR="00CB3C5F" w:rsidRPr="004A3269">
        <w:rPr>
          <w:rStyle w:val="hps"/>
        </w:rPr>
        <w:t>au 31</w:t>
      </w:r>
      <w:r w:rsidR="00A860BC" w:rsidRPr="004A3269">
        <w:t> d</w:t>
      </w:r>
      <w:r w:rsidR="00CB3C5F" w:rsidRPr="004A3269">
        <w:rPr>
          <w:rStyle w:val="hps"/>
        </w:rPr>
        <w:t>écembre</w:t>
      </w:r>
      <w:r w:rsidR="00A860BC" w:rsidRPr="004A3269">
        <w:t> </w:t>
      </w:r>
      <w:r w:rsidR="00CB3C5F" w:rsidRPr="004A3269">
        <w:rPr>
          <w:rStyle w:val="hps"/>
        </w:rPr>
        <w:t>2013]</w:t>
      </w:r>
      <w:r w:rsidR="00CB3C5F" w:rsidRPr="004A3269">
        <w:t>.</w:t>
      </w:r>
    </w:p>
    <w:p w:rsidR="00267140" w:rsidRPr="004A3269" w:rsidRDefault="00267140" w:rsidP="00083791">
      <w:pPr>
        <w:rPr>
          <w:szCs w:val="22"/>
        </w:rPr>
      </w:pPr>
    </w:p>
    <w:p w:rsidR="00267140" w:rsidRPr="004A3269" w:rsidRDefault="00157615" w:rsidP="00157615">
      <w:pPr>
        <w:pStyle w:val="Style3"/>
        <w:spacing w:after="0"/>
        <w:rPr>
          <w:szCs w:val="22"/>
        </w:rPr>
      </w:pPr>
      <w:r w:rsidRPr="004A3269">
        <w:rPr>
          <w:b/>
          <w:i/>
          <w:szCs w:val="22"/>
        </w:rPr>
        <w:t>Récompenses</w:t>
      </w:r>
      <w:r w:rsidR="00083791" w:rsidRPr="004A3269">
        <w:rPr>
          <w:b/>
          <w:i/>
          <w:szCs w:val="22"/>
        </w:rPr>
        <w:t> :</w:t>
      </w:r>
      <w:r w:rsidRPr="004A3269">
        <w:rPr>
          <w:szCs w:val="22"/>
        </w:rPr>
        <w:t xml:space="preserve"> en</w:t>
      </w:r>
      <w:r w:rsidR="00067463" w:rsidRPr="004A3269">
        <w:rPr>
          <w:szCs w:val="22"/>
        </w:rPr>
        <w:t> </w:t>
      </w:r>
      <w:r w:rsidRPr="004A3269">
        <w:rPr>
          <w:szCs w:val="22"/>
        </w:rPr>
        <w:t>2013, l</w:t>
      </w:r>
      <w:r w:rsidR="009021AA" w:rsidRPr="004A3269">
        <w:rPr>
          <w:szCs w:val="22"/>
        </w:rPr>
        <w:t>’</w:t>
      </w:r>
      <w:r w:rsidRPr="004A3269">
        <w:rPr>
          <w:szCs w:val="22"/>
        </w:rPr>
        <w:t>OMPI a lancé un programme de récompenses et de reconnaissance en vertu duquel les fonctionnaires dont les résultats ont été jugés exceptionnels peuvent être considérés comme candidats à une récomp</w:t>
      </w:r>
      <w:r w:rsidR="00083791" w:rsidRPr="004A3269">
        <w:rPr>
          <w:szCs w:val="22"/>
        </w:rPr>
        <w:t>ense en espèces de</w:t>
      </w:r>
      <w:r w:rsidR="00067463" w:rsidRPr="004A3269">
        <w:rPr>
          <w:szCs w:val="22"/>
        </w:rPr>
        <w:t> </w:t>
      </w:r>
      <w:r w:rsidR="00083791" w:rsidRPr="004A3269">
        <w:rPr>
          <w:szCs w:val="22"/>
        </w:rPr>
        <w:t>2500 ou 5000 </w:t>
      </w:r>
      <w:r w:rsidRPr="004A3269">
        <w:rPr>
          <w:szCs w:val="22"/>
        </w:rPr>
        <w:t>francs suisses.</w:t>
      </w:r>
      <w:r w:rsidR="00D944BC" w:rsidRPr="004A3269">
        <w:t xml:space="preserve"> </w:t>
      </w:r>
      <w:r w:rsidR="00083791" w:rsidRPr="004A3269">
        <w:t xml:space="preserve"> </w:t>
      </w:r>
      <w:r w:rsidR="005B0F8A" w:rsidRPr="004A3269">
        <w:t>Sur la base des décisions prises durant l</w:t>
      </w:r>
      <w:r w:rsidR="009021AA" w:rsidRPr="004A3269">
        <w:t>’</w:t>
      </w:r>
      <w:r w:rsidR="005B0F8A" w:rsidRPr="004A3269">
        <w:t xml:space="preserve">année, le montant des récompenses payables à ces fonctionnaires </w:t>
      </w:r>
      <w:r w:rsidR="00CB3C5F" w:rsidRPr="004A3269">
        <w:rPr>
          <w:rStyle w:val="hps"/>
        </w:rPr>
        <w:t>au 31</w:t>
      </w:r>
      <w:r w:rsidR="005B0F8A" w:rsidRPr="004A3269">
        <w:t> d</w:t>
      </w:r>
      <w:r w:rsidR="00CB3C5F" w:rsidRPr="004A3269">
        <w:rPr>
          <w:rStyle w:val="hps"/>
        </w:rPr>
        <w:t>écembre</w:t>
      </w:r>
      <w:r w:rsidR="005B0F8A" w:rsidRPr="004A3269">
        <w:t> </w:t>
      </w:r>
      <w:r w:rsidR="00CB3C5F" w:rsidRPr="004A3269">
        <w:rPr>
          <w:rStyle w:val="hps"/>
        </w:rPr>
        <w:t>2014</w:t>
      </w:r>
      <w:r w:rsidR="00CB3C5F" w:rsidRPr="004A3269">
        <w:t xml:space="preserve"> </w:t>
      </w:r>
      <w:r w:rsidR="00CB3C5F" w:rsidRPr="004A3269">
        <w:rPr>
          <w:rStyle w:val="hps"/>
        </w:rPr>
        <w:t>a totalisé</w:t>
      </w:r>
      <w:r w:rsidR="00CB3C5F" w:rsidRPr="004A3269">
        <w:t xml:space="preserve"> </w:t>
      </w:r>
      <w:r w:rsidR="005B0F8A" w:rsidRPr="004A3269">
        <w:rPr>
          <w:rStyle w:val="hps"/>
        </w:rPr>
        <w:t>0,2 </w:t>
      </w:r>
      <w:r w:rsidR="00CB3C5F" w:rsidRPr="004A3269">
        <w:rPr>
          <w:rStyle w:val="hps"/>
        </w:rPr>
        <w:t>million de francs</w:t>
      </w:r>
      <w:r w:rsidR="00CB3C5F" w:rsidRPr="004A3269">
        <w:t xml:space="preserve"> </w:t>
      </w:r>
      <w:r w:rsidR="00CB3C5F" w:rsidRPr="004A3269">
        <w:rPr>
          <w:rStyle w:val="hps"/>
        </w:rPr>
        <w:t>suisses [</w:t>
      </w:r>
      <w:r w:rsidR="005B0F8A" w:rsidRPr="004A3269">
        <w:t>0,1 </w:t>
      </w:r>
      <w:r w:rsidR="00CB3C5F" w:rsidRPr="004A3269">
        <w:t xml:space="preserve">million de </w:t>
      </w:r>
      <w:r w:rsidR="00CB3C5F" w:rsidRPr="004A3269">
        <w:rPr>
          <w:rStyle w:val="hps"/>
        </w:rPr>
        <w:t>francs suisses</w:t>
      </w:r>
      <w:r w:rsidR="00CB3C5F" w:rsidRPr="004A3269">
        <w:t xml:space="preserve"> </w:t>
      </w:r>
      <w:r w:rsidR="00CB3C5F" w:rsidRPr="004A3269">
        <w:rPr>
          <w:rStyle w:val="hps"/>
        </w:rPr>
        <w:t>au 31</w:t>
      </w:r>
      <w:r w:rsidR="005B0F8A" w:rsidRPr="004A3269">
        <w:t> d</w:t>
      </w:r>
      <w:r w:rsidR="00CB3C5F" w:rsidRPr="004A3269">
        <w:rPr>
          <w:rStyle w:val="hps"/>
        </w:rPr>
        <w:t>écembre</w:t>
      </w:r>
      <w:r w:rsidR="005B0F8A" w:rsidRPr="004A3269">
        <w:t> </w:t>
      </w:r>
      <w:r w:rsidR="00CB3C5F" w:rsidRPr="004A3269">
        <w:rPr>
          <w:rStyle w:val="hps"/>
        </w:rPr>
        <w:t>2013]</w:t>
      </w:r>
      <w:r w:rsidR="00CB3C5F" w:rsidRPr="004A3269">
        <w:t>.</w:t>
      </w:r>
    </w:p>
    <w:p w:rsidR="00267140" w:rsidRPr="004A3269" w:rsidRDefault="00267140" w:rsidP="001372BE">
      <w:pPr>
        <w:pStyle w:val="Style3"/>
        <w:spacing w:after="0"/>
        <w:rPr>
          <w:szCs w:val="22"/>
        </w:rPr>
      </w:pPr>
    </w:p>
    <w:p w:rsidR="00267140" w:rsidRPr="004A3269" w:rsidRDefault="00267140" w:rsidP="007C6D77">
      <w:pPr>
        <w:pStyle w:val="Style3"/>
        <w:spacing w:after="0"/>
        <w:rPr>
          <w:b/>
          <w:szCs w:val="22"/>
        </w:rPr>
      </w:pPr>
    </w:p>
    <w:p w:rsidR="009021AA" w:rsidRPr="004A3269" w:rsidRDefault="00157615" w:rsidP="00695FBE">
      <w:pPr>
        <w:pStyle w:val="Style3"/>
        <w:keepNext/>
        <w:keepLines/>
        <w:spacing w:after="0"/>
        <w:rPr>
          <w:b/>
        </w:rPr>
      </w:pPr>
      <w:r w:rsidRPr="004A3269">
        <w:rPr>
          <w:b/>
        </w:rPr>
        <w:lastRenderedPageBreak/>
        <w:t>Prestations post</w:t>
      </w:r>
      <w:r w:rsidR="00A17552" w:rsidRPr="004A3269">
        <w:rPr>
          <w:b/>
        </w:rPr>
        <w:noBreakHyphen/>
      </w:r>
      <w:r w:rsidRPr="004A3269">
        <w:rPr>
          <w:b/>
        </w:rPr>
        <w:t>emploi</w:t>
      </w:r>
    </w:p>
    <w:p w:rsidR="00267140" w:rsidRPr="004A3269" w:rsidRDefault="00267140" w:rsidP="00695FBE">
      <w:pPr>
        <w:pStyle w:val="Style3"/>
        <w:keepNext/>
        <w:keepLines/>
        <w:spacing w:after="0"/>
      </w:pPr>
    </w:p>
    <w:p w:rsidR="00267140" w:rsidRPr="004A3269" w:rsidRDefault="00067E7E" w:rsidP="00695FBE">
      <w:pPr>
        <w:pStyle w:val="Style3"/>
        <w:keepNext/>
        <w:keepLines/>
        <w:spacing w:after="0"/>
      </w:pPr>
      <w:r w:rsidRPr="004A3269">
        <w:rPr>
          <w:b/>
          <w:i/>
        </w:rPr>
        <w:t>Caisse de retraite fermée (CROMPI)</w:t>
      </w:r>
      <w:r w:rsidR="00A0797A" w:rsidRPr="004A3269">
        <w:rPr>
          <w:b/>
          <w:i/>
        </w:rPr>
        <w:t> :</w:t>
      </w:r>
      <w:r w:rsidRPr="004A3269">
        <w:t xml:space="preserve"> avant que l</w:t>
      </w:r>
      <w:r w:rsidR="009021AA" w:rsidRPr="004A3269">
        <w:t>’</w:t>
      </w:r>
      <w:r w:rsidRPr="004A3269">
        <w:t xml:space="preserve">OMPI devienne une organisation affiliée participant à la Caisse commune des pensions du personnel des </w:t>
      </w:r>
      <w:r w:rsidR="009021AA" w:rsidRPr="004A3269">
        <w:t>Nations Unies</w:t>
      </w:r>
      <w:r w:rsidRPr="004A3269">
        <w:t>, elle disposait de sa propre caisse de retraite, créée en</w:t>
      </w:r>
      <w:r w:rsidR="00067463" w:rsidRPr="004A3269">
        <w:t> </w:t>
      </w:r>
      <w:r w:rsidRPr="004A3269">
        <w:t>1955</w:t>
      </w:r>
      <w:r w:rsidR="00A0797A" w:rsidRPr="004A3269">
        <w:t xml:space="preserve">.  </w:t>
      </w:r>
      <w:r w:rsidRPr="004A3269">
        <w:t>Cette caisse n</w:t>
      </w:r>
      <w:r w:rsidR="009021AA" w:rsidRPr="004A3269">
        <w:t>’</w:t>
      </w:r>
      <w:r w:rsidRPr="004A3269">
        <w:t xml:space="preserve">a plus accepté de nouveaux membres après le </w:t>
      </w:r>
      <w:r w:rsidR="00A0797A" w:rsidRPr="004A3269">
        <w:t>30 septembre </w:t>
      </w:r>
      <w:r w:rsidRPr="004A3269">
        <w:t>1975 mais elle est toujours en activité, sous la direction d</w:t>
      </w:r>
      <w:r w:rsidR="009021AA" w:rsidRPr="004A3269">
        <w:t>’</w:t>
      </w:r>
      <w:r w:rsidRPr="004A3269">
        <w:t>un Conseil de fondation, pour les participants qui en étaient membres au moment de sa clôture</w:t>
      </w:r>
      <w:r w:rsidR="00A0797A" w:rsidRPr="004A3269">
        <w:t xml:space="preserve">.  </w:t>
      </w:r>
      <w:r w:rsidRPr="004A3269">
        <w:t>En application d</w:t>
      </w:r>
      <w:r w:rsidR="009021AA" w:rsidRPr="004A3269">
        <w:t>’</w:t>
      </w:r>
      <w:r w:rsidRPr="004A3269">
        <w:t>une convention conclue entre la Caisse de retraite fermée et l</w:t>
      </w:r>
      <w:r w:rsidR="009021AA" w:rsidRPr="004A3269">
        <w:t>’</w:t>
      </w:r>
      <w:r w:rsidRPr="004A3269">
        <w:t>Organisation et d</w:t>
      </w:r>
      <w:r w:rsidR="009021AA" w:rsidRPr="004A3269">
        <w:t>’</w:t>
      </w:r>
      <w:r w:rsidRPr="004A3269">
        <w:t>une décision du Tribunal administratif de l</w:t>
      </w:r>
      <w:r w:rsidR="009021AA" w:rsidRPr="004A3269">
        <w:t>’</w:t>
      </w:r>
      <w:r w:rsidRPr="004A3269">
        <w:t>OIT, l</w:t>
      </w:r>
      <w:r w:rsidR="009021AA" w:rsidRPr="004A3269">
        <w:t>’</w:t>
      </w:r>
      <w:r w:rsidRPr="004A3269">
        <w:t>OMPI est tenue de financer les coûts supportés par la Caisse de retraite fermée du fait de l</w:t>
      </w:r>
      <w:r w:rsidR="009021AA" w:rsidRPr="004A3269">
        <w:t>’</w:t>
      </w:r>
      <w:r w:rsidRPr="004A3269">
        <w:t>évolution des cours de change et des différences d</w:t>
      </w:r>
      <w:r w:rsidR="009021AA" w:rsidRPr="004A3269">
        <w:t>’</w:t>
      </w:r>
      <w:r w:rsidRPr="004A3269">
        <w:t>âge de départ à la retraite entre la Caisse de retraite fermée de l</w:t>
      </w:r>
      <w:r w:rsidR="009021AA" w:rsidRPr="004A3269">
        <w:t>’</w:t>
      </w:r>
      <w:r w:rsidRPr="004A3269">
        <w:t xml:space="preserve">OMPI et la Caisse commune des pensions du personnel des </w:t>
      </w:r>
      <w:r w:rsidR="009021AA" w:rsidRPr="004A3269">
        <w:t>Nations Unies</w:t>
      </w:r>
      <w:r w:rsidRPr="004A3269">
        <w:t>.  L</w:t>
      </w:r>
      <w:r w:rsidR="009021AA" w:rsidRPr="004A3269">
        <w:t>’</w:t>
      </w:r>
      <w:r w:rsidRPr="004A3269">
        <w:t>Organisation a plusieurs obligations envers les participants à la Caisse de retraite fermée, notamment</w:t>
      </w:r>
      <w:r w:rsidR="00A0797A" w:rsidRPr="004A3269">
        <w:t> :</w:t>
      </w:r>
    </w:p>
    <w:p w:rsidR="00267140" w:rsidRPr="004A3269" w:rsidRDefault="00267140" w:rsidP="007C6D77">
      <w:pPr>
        <w:pStyle w:val="Style3"/>
        <w:spacing w:after="0"/>
      </w:pPr>
    </w:p>
    <w:p w:rsidR="00267140" w:rsidRPr="004A3269" w:rsidRDefault="00067E7E" w:rsidP="00695FBE">
      <w:pPr>
        <w:pStyle w:val="Style3"/>
        <w:numPr>
          <w:ilvl w:val="0"/>
          <w:numId w:val="4"/>
        </w:numPr>
        <w:tabs>
          <w:tab w:val="clear" w:pos="720"/>
          <w:tab w:val="left" w:pos="1134"/>
        </w:tabs>
        <w:spacing w:after="0"/>
        <w:ind w:left="1134" w:hanging="567"/>
      </w:pPr>
      <w:r w:rsidRPr="004A3269">
        <w:t>l</w:t>
      </w:r>
      <w:r w:rsidR="009021AA" w:rsidRPr="004A3269">
        <w:t>’</w:t>
      </w:r>
      <w:r w:rsidRPr="004A3269">
        <w:t>obligation de couvrir la charge des pensions versées aux anciens fonctionnaires participant à la caisse de retraite fermée avan</w:t>
      </w:r>
      <w:r w:rsidR="00083791" w:rsidRPr="004A3269">
        <w:t>t qu</w:t>
      </w:r>
      <w:r w:rsidR="009021AA" w:rsidRPr="004A3269">
        <w:t>’</w:t>
      </w:r>
      <w:r w:rsidR="00083791" w:rsidRPr="004A3269">
        <w:t>ils atteignent l</w:t>
      </w:r>
      <w:r w:rsidR="009021AA" w:rsidRPr="004A3269">
        <w:t>’</w:t>
      </w:r>
      <w:r w:rsidR="00083791" w:rsidRPr="004A3269">
        <w:t>âge de 65 </w:t>
      </w:r>
      <w:r w:rsidRPr="004A3269">
        <w:t xml:space="preserve">ans.  Sur la base de </w:t>
      </w:r>
      <w:r w:rsidR="00CB3C5F" w:rsidRPr="004A3269">
        <w:t>la dernière</w:t>
      </w:r>
      <w:r w:rsidRPr="004A3269">
        <w:t xml:space="preserve"> évaluation actuarielle réalisée effectuée en</w:t>
      </w:r>
      <w:r w:rsidR="00067463" w:rsidRPr="004A3269">
        <w:t> </w:t>
      </w:r>
      <w:r w:rsidRPr="004A3269">
        <w:t>2014, cette ob</w:t>
      </w:r>
      <w:r w:rsidR="00083791" w:rsidRPr="004A3269">
        <w:t>ligation est estimée au 31 décembre 2014 à 13 000 francs suisses [47 </w:t>
      </w:r>
      <w:r w:rsidRPr="004A3269">
        <w:t>000 en</w:t>
      </w:r>
      <w:r w:rsidR="00083791" w:rsidRPr="004A3269">
        <w:t> </w:t>
      </w:r>
      <w:r w:rsidRPr="004A3269">
        <w:t>2013].</w:t>
      </w:r>
    </w:p>
    <w:p w:rsidR="00267140" w:rsidRPr="004A3269" w:rsidRDefault="00267140" w:rsidP="00695FBE">
      <w:pPr>
        <w:pStyle w:val="Style3"/>
        <w:tabs>
          <w:tab w:val="left" w:pos="1134"/>
        </w:tabs>
        <w:spacing w:after="0"/>
        <w:ind w:left="1134" w:hanging="567"/>
      </w:pPr>
    </w:p>
    <w:p w:rsidR="009021AA" w:rsidRPr="004A3269" w:rsidRDefault="00067E7E" w:rsidP="00695FBE">
      <w:pPr>
        <w:pStyle w:val="Style3"/>
        <w:numPr>
          <w:ilvl w:val="0"/>
          <w:numId w:val="4"/>
        </w:numPr>
        <w:tabs>
          <w:tab w:val="clear" w:pos="720"/>
          <w:tab w:val="left" w:pos="1134"/>
        </w:tabs>
        <w:spacing w:after="0"/>
        <w:ind w:left="1134" w:hanging="567"/>
      </w:pPr>
      <w:r w:rsidRPr="004A3269">
        <w:t>l</w:t>
      </w:r>
      <w:r w:rsidR="009021AA" w:rsidRPr="004A3269">
        <w:t>’</w:t>
      </w:r>
      <w:r w:rsidRPr="004A3269">
        <w:t>obligation, fondée sur une décision du Tribunal administratif de l</w:t>
      </w:r>
      <w:r w:rsidR="009021AA" w:rsidRPr="004A3269">
        <w:t>’</w:t>
      </w:r>
      <w:r w:rsidRPr="004A3269">
        <w:t>Organisation internationale du Travail rendue en</w:t>
      </w:r>
      <w:r w:rsidR="00067463" w:rsidRPr="004A3269">
        <w:t> </w:t>
      </w:r>
      <w:r w:rsidRPr="004A3269">
        <w:t xml:space="preserve">2006, de couvrir certains écarts entre la pension à laquelle les </w:t>
      </w:r>
      <w:r w:rsidR="00086A8F" w:rsidRPr="004A3269">
        <w:t>fonctionnaires</w:t>
      </w:r>
      <w:r w:rsidRPr="004A3269">
        <w:t xml:space="preserve"> ont droit dans le cadre de la Caisse de retraite fermée et la pension à laquelle ils ont droit au titre de la Caisse commune des pensions du personnel des </w:t>
      </w:r>
      <w:r w:rsidR="009021AA" w:rsidRPr="004A3269">
        <w:t>Nations Unies</w:t>
      </w:r>
      <w:r w:rsidRPr="004A3269">
        <w:t xml:space="preserve">, qui est estimée, sur la base de </w:t>
      </w:r>
      <w:r w:rsidR="00CB3C5F" w:rsidRPr="004A3269">
        <w:t>la dernière</w:t>
      </w:r>
      <w:r w:rsidRPr="004A3269">
        <w:t xml:space="preserve"> évaluation actuarielle effectuée pour</w:t>
      </w:r>
      <w:r w:rsidR="00067463" w:rsidRPr="004A3269">
        <w:t> </w:t>
      </w:r>
      <w:r w:rsidRPr="004A3269">
        <w:t>2014, à 2,8</w:t>
      </w:r>
      <w:r w:rsidR="00083791" w:rsidRPr="004A3269">
        <w:t> </w:t>
      </w:r>
      <w:r w:rsidRPr="004A3269">
        <w:t>millions de francs suisses au 31</w:t>
      </w:r>
      <w:r w:rsidR="00083791" w:rsidRPr="004A3269">
        <w:t> </w:t>
      </w:r>
      <w:r w:rsidRPr="004A3269">
        <w:t>décembre</w:t>
      </w:r>
      <w:r w:rsidR="00083791" w:rsidRPr="004A3269">
        <w:t> 2014 [3,0 </w:t>
      </w:r>
      <w:r w:rsidRPr="004A3269">
        <w:t>millions en</w:t>
      </w:r>
      <w:r w:rsidR="00067463" w:rsidRPr="004A3269">
        <w:t> </w:t>
      </w:r>
      <w:r w:rsidRPr="004A3269">
        <w:t>2013].</w:t>
      </w:r>
    </w:p>
    <w:p w:rsidR="00267140" w:rsidRPr="004A3269" w:rsidRDefault="00267140" w:rsidP="007C6D77">
      <w:pPr>
        <w:pStyle w:val="Style3"/>
        <w:spacing w:after="0"/>
      </w:pPr>
    </w:p>
    <w:p w:rsidR="00267140" w:rsidRPr="004A3269" w:rsidRDefault="00067E7E" w:rsidP="00067E7E">
      <w:pPr>
        <w:pStyle w:val="Style3"/>
        <w:spacing w:after="0"/>
      </w:pPr>
      <w:r w:rsidRPr="004A3269">
        <w:rPr>
          <w:b/>
          <w:i/>
        </w:rPr>
        <w:t>Prime de rapatriement et voyage</w:t>
      </w:r>
      <w:r w:rsidR="00A0797A" w:rsidRPr="004A3269">
        <w:rPr>
          <w:b/>
          <w:i/>
        </w:rPr>
        <w:t> :</w:t>
      </w:r>
      <w:r w:rsidRPr="004A3269">
        <w:t xml:space="preserve"> l</w:t>
      </w:r>
      <w:r w:rsidR="009021AA" w:rsidRPr="004A3269">
        <w:t>’</w:t>
      </w:r>
      <w:r w:rsidRPr="004A3269">
        <w:t>Organisation a l</w:t>
      </w:r>
      <w:r w:rsidR="009021AA" w:rsidRPr="004A3269">
        <w:t>’</w:t>
      </w:r>
      <w:r w:rsidRPr="004A3269">
        <w:t>obligation contractuelle d</w:t>
      </w:r>
      <w:r w:rsidR="009021AA" w:rsidRPr="004A3269">
        <w:t>’</w:t>
      </w:r>
      <w:r w:rsidRPr="004A3269">
        <w:t xml:space="preserve">accorder des prestations telles que les primes de rapatriement, voyage et </w:t>
      </w:r>
      <w:r w:rsidR="00286971" w:rsidRPr="004A3269">
        <w:t>déménagement</w:t>
      </w:r>
      <w:r w:rsidRPr="004A3269">
        <w:t xml:space="preserve"> à certains fonctionnaires recrutés au niveau international, au moment de leur cessation de service</w:t>
      </w:r>
      <w:r w:rsidR="00286971" w:rsidRPr="004A3269">
        <w:t xml:space="preserve">.  </w:t>
      </w:r>
      <w:r w:rsidR="00286971" w:rsidRPr="004A3269">
        <w:rPr>
          <w:rStyle w:val="hps"/>
        </w:rPr>
        <w:t>En ce qui concerne le</w:t>
      </w:r>
      <w:r w:rsidR="00D5557C" w:rsidRPr="004A3269">
        <w:rPr>
          <w:rStyle w:val="hps"/>
        </w:rPr>
        <w:t>s</w:t>
      </w:r>
      <w:r w:rsidR="00286971" w:rsidRPr="004A3269">
        <w:rPr>
          <w:rStyle w:val="hps"/>
        </w:rPr>
        <w:t xml:space="preserve"> </w:t>
      </w:r>
      <w:r w:rsidR="00D5557C" w:rsidRPr="004A3269">
        <w:rPr>
          <w:rStyle w:val="hps"/>
        </w:rPr>
        <w:t>fonctionnaires de la catégorie des administrateurs titulaires d’un contrat temporaire</w:t>
      </w:r>
      <w:r w:rsidR="00286971" w:rsidRPr="004A3269">
        <w:t xml:space="preserve">, </w:t>
      </w:r>
      <w:r w:rsidR="00286971" w:rsidRPr="004A3269">
        <w:rPr>
          <w:rStyle w:val="hps"/>
        </w:rPr>
        <w:t>le</w:t>
      </w:r>
      <w:r w:rsidR="00D5557C" w:rsidRPr="004A3269">
        <w:rPr>
          <w:rStyle w:val="hps"/>
        </w:rPr>
        <w:t>s</w:t>
      </w:r>
      <w:r w:rsidR="00286971" w:rsidRPr="004A3269">
        <w:rPr>
          <w:rStyle w:val="hps"/>
        </w:rPr>
        <w:t xml:space="preserve"> frais de rapatriement</w:t>
      </w:r>
      <w:r w:rsidR="00D5557C" w:rsidRPr="004A3269">
        <w:rPr>
          <w:rStyle w:val="hps"/>
        </w:rPr>
        <w:t>, de voyage</w:t>
      </w:r>
      <w:r w:rsidR="00286971" w:rsidRPr="004A3269">
        <w:rPr>
          <w:rStyle w:val="hps"/>
        </w:rPr>
        <w:t xml:space="preserve"> et d</w:t>
      </w:r>
      <w:r w:rsidR="00D5557C" w:rsidRPr="004A3269">
        <w:rPr>
          <w:rStyle w:val="hps"/>
        </w:rPr>
        <w:t>e</w:t>
      </w:r>
      <w:r w:rsidR="00286971" w:rsidRPr="004A3269">
        <w:rPr>
          <w:rStyle w:val="hps"/>
        </w:rPr>
        <w:t xml:space="preserve"> déménagement</w:t>
      </w:r>
      <w:r w:rsidR="00286971" w:rsidRPr="004A3269">
        <w:t xml:space="preserve"> au moment </w:t>
      </w:r>
      <w:r w:rsidR="00286971" w:rsidRPr="004A3269">
        <w:rPr>
          <w:rStyle w:val="hps"/>
        </w:rPr>
        <w:t>de la cessation de</w:t>
      </w:r>
      <w:r w:rsidR="00286971" w:rsidRPr="004A3269">
        <w:t xml:space="preserve"> </w:t>
      </w:r>
      <w:r w:rsidR="00286971" w:rsidRPr="004A3269">
        <w:rPr>
          <w:rStyle w:val="hps"/>
        </w:rPr>
        <w:t>service sont</w:t>
      </w:r>
      <w:r w:rsidR="00286971" w:rsidRPr="004A3269">
        <w:t xml:space="preserve"> </w:t>
      </w:r>
      <w:r w:rsidR="00286971" w:rsidRPr="004A3269">
        <w:rPr>
          <w:rStyle w:val="hps"/>
        </w:rPr>
        <w:t>estimé</w:t>
      </w:r>
      <w:r w:rsidR="00286971" w:rsidRPr="004A3269">
        <w:t xml:space="preserve">s </w:t>
      </w:r>
      <w:r w:rsidR="00286971" w:rsidRPr="004A3269">
        <w:rPr>
          <w:rStyle w:val="hps"/>
        </w:rPr>
        <w:t>par l</w:t>
      </w:r>
      <w:r w:rsidR="009021AA" w:rsidRPr="004A3269">
        <w:rPr>
          <w:rStyle w:val="hps"/>
        </w:rPr>
        <w:t>’</w:t>
      </w:r>
      <w:r w:rsidR="00286971" w:rsidRPr="004A3269">
        <w:rPr>
          <w:rStyle w:val="hps"/>
        </w:rPr>
        <w:t>OMPI et</w:t>
      </w:r>
      <w:r w:rsidR="00286971" w:rsidRPr="004A3269">
        <w:t xml:space="preserve"> </w:t>
      </w:r>
      <w:r w:rsidR="00286971" w:rsidRPr="004A3269">
        <w:rPr>
          <w:rStyle w:val="hps"/>
        </w:rPr>
        <w:t>sont</w:t>
      </w:r>
      <w:r w:rsidR="00286971" w:rsidRPr="004A3269">
        <w:t xml:space="preserve"> </w:t>
      </w:r>
      <w:r w:rsidR="00286971" w:rsidRPr="004A3269">
        <w:rPr>
          <w:rStyle w:val="hps"/>
        </w:rPr>
        <w:t>considérés comme des passifs</w:t>
      </w:r>
      <w:r w:rsidR="00286971" w:rsidRPr="004A3269">
        <w:t xml:space="preserve"> </w:t>
      </w:r>
      <w:r w:rsidR="00286971" w:rsidRPr="004A3269">
        <w:rPr>
          <w:rStyle w:val="hps"/>
        </w:rPr>
        <w:t>courants</w:t>
      </w:r>
      <w:r w:rsidR="00286971" w:rsidRPr="004A3269">
        <w:t xml:space="preserve">. .  </w:t>
      </w:r>
      <w:r w:rsidR="00286971" w:rsidRPr="004A3269">
        <w:rPr>
          <w:rStyle w:val="hps"/>
        </w:rPr>
        <w:t>En ce qui concerne les fonctionnaires</w:t>
      </w:r>
      <w:r w:rsidR="00286971" w:rsidRPr="004A3269">
        <w:t xml:space="preserve"> en poste </w:t>
      </w:r>
      <w:r w:rsidR="000A6D41" w:rsidRPr="004A3269">
        <w:rPr>
          <w:rStyle w:val="hps"/>
        </w:rPr>
        <w:t xml:space="preserve">de la catégorie des administrateurs </w:t>
      </w:r>
      <w:r w:rsidR="00286971" w:rsidRPr="004A3269">
        <w:rPr>
          <w:rStyle w:val="hps"/>
        </w:rPr>
        <w:t xml:space="preserve">recrutés </w:t>
      </w:r>
      <w:r w:rsidR="000A6D41" w:rsidRPr="004A3269">
        <w:rPr>
          <w:rStyle w:val="hps"/>
        </w:rPr>
        <w:t>sur le</w:t>
      </w:r>
      <w:r w:rsidR="00286971" w:rsidRPr="004A3269">
        <w:rPr>
          <w:rStyle w:val="hps"/>
        </w:rPr>
        <w:t xml:space="preserve"> plan international</w:t>
      </w:r>
      <w:r w:rsidR="00286971" w:rsidRPr="004A3269">
        <w:t xml:space="preserve">, </w:t>
      </w:r>
      <w:r w:rsidR="00286971" w:rsidRPr="004A3269">
        <w:rPr>
          <w:rStyle w:val="hps"/>
        </w:rPr>
        <w:t xml:space="preserve">la provision </w:t>
      </w:r>
      <w:r w:rsidR="000A6D41" w:rsidRPr="004A3269">
        <w:rPr>
          <w:rStyle w:val="hps"/>
        </w:rPr>
        <w:t>pour</w:t>
      </w:r>
      <w:r w:rsidR="00286971" w:rsidRPr="004A3269">
        <w:t xml:space="preserve"> </w:t>
      </w:r>
      <w:r w:rsidR="00286971" w:rsidRPr="004A3269">
        <w:rPr>
          <w:rStyle w:val="hps"/>
        </w:rPr>
        <w:t>la prime de rapatriement</w:t>
      </w:r>
      <w:r w:rsidR="00286971" w:rsidRPr="004A3269">
        <w:t xml:space="preserve">, </w:t>
      </w:r>
      <w:r w:rsidR="000A6D41" w:rsidRPr="004A3269">
        <w:t xml:space="preserve">les frais de </w:t>
      </w:r>
      <w:r w:rsidR="00286971" w:rsidRPr="004A3269">
        <w:t xml:space="preserve">voyage </w:t>
      </w:r>
      <w:r w:rsidR="00286971" w:rsidRPr="004A3269">
        <w:rPr>
          <w:rStyle w:val="hps"/>
        </w:rPr>
        <w:t xml:space="preserve">et </w:t>
      </w:r>
      <w:r w:rsidR="000A6D41" w:rsidRPr="004A3269">
        <w:t xml:space="preserve">les frais de </w:t>
      </w:r>
      <w:r w:rsidR="00286971" w:rsidRPr="004A3269">
        <w:rPr>
          <w:rStyle w:val="hps"/>
        </w:rPr>
        <w:t>déménagement est calculée</w:t>
      </w:r>
      <w:r w:rsidR="00286971" w:rsidRPr="004A3269">
        <w:t xml:space="preserve"> </w:t>
      </w:r>
      <w:r w:rsidR="00286971" w:rsidRPr="004A3269">
        <w:rPr>
          <w:rStyle w:val="hps"/>
        </w:rPr>
        <w:t>par un actuaire indépendant</w:t>
      </w:r>
      <w:r w:rsidR="00286971" w:rsidRPr="004A3269">
        <w:t xml:space="preserve">.  </w:t>
      </w:r>
      <w:r w:rsidR="00286971" w:rsidRPr="004A3269">
        <w:rPr>
          <w:rStyle w:val="hps"/>
        </w:rPr>
        <w:t>Le montant total de cette provision été</w:t>
      </w:r>
      <w:r w:rsidR="00286971" w:rsidRPr="004A3269">
        <w:t xml:space="preserve"> </w:t>
      </w:r>
      <w:r w:rsidR="00286971" w:rsidRPr="004A3269">
        <w:rPr>
          <w:rStyle w:val="hps"/>
        </w:rPr>
        <w:t>estimé comme suit</w:t>
      </w:r>
      <w:r w:rsidR="00286971" w:rsidRPr="004A3269">
        <w:t xml:space="preserve"> </w:t>
      </w:r>
      <w:r w:rsidR="00286971" w:rsidRPr="004A3269">
        <w:rPr>
          <w:rStyle w:val="hps"/>
        </w:rPr>
        <w:t>à la</w:t>
      </w:r>
      <w:r w:rsidR="00286971" w:rsidRPr="004A3269">
        <w:t xml:space="preserve"> </w:t>
      </w:r>
      <w:r w:rsidR="00286971" w:rsidRPr="004A3269">
        <w:rPr>
          <w:rStyle w:val="hps"/>
        </w:rPr>
        <w:t>date de clôture </w:t>
      </w:r>
      <w:r w:rsidR="00CF44A9" w:rsidRPr="004A3269">
        <w:rPr>
          <w:rStyle w:val="hps"/>
        </w:rPr>
        <w:t>:</w:t>
      </w:r>
    </w:p>
    <w:p w:rsidR="00267140" w:rsidRPr="004A3269" w:rsidRDefault="00267140" w:rsidP="00A97E57">
      <w:bookmarkStart w:id="12" w:name="RANGE!B3:E6"/>
      <w:bookmarkEnd w:id="12"/>
    </w:p>
    <w:p w:rsidR="00A97E57" w:rsidRPr="004A3269" w:rsidRDefault="00A97E57" w:rsidP="005A3DB4">
      <w:pPr>
        <w:jc w:val="both"/>
        <w:rPr>
          <w:rStyle w:val="hps"/>
        </w:rPr>
      </w:pPr>
      <w:r w:rsidRPr="004A3269">
        <w:rPr>
          <w:noProof/>
          <w:lang w:val="en-US"/>
        </w:rPr>
        <w:drawing>
          <wp:inline distT="0" distB="0" distL="0" distR="0" wp14:anchorId="46E70A69" wp14:editId="288744DF">
            <wp:extent cx="5977255" cy="1371939"/>
            <wp:effectExtent l="0" t="0" r="444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77255" cy="1371939"/>
                    </a:xfrm>
                    <a:prstGeom prst="rect">
                      <a:avLst/>
                    </a:prstGeom>
                    <a:noFill/>
                    <a:ln>
                      <a:noFill/>
                    </a:ln>
                  </pic:spPr>
                </pic:pic>
              </a:graphicData>
            </a:graphic>
          </wp:inline>
        </w:drawing>
      </w:r>
    </w:p>
    <w:p w:rsidR="00A97E57" w:rsidRPr="004A3269" w:rsidRDefault="00A97E57" w:rsidP="005A3DB4">
      <w:pPr>
        <w:jc w:val="both"/>
        <w:rPr>
          <w:rStyle w:val="hps"/>
        </w:rPr>
      </w:pPr>
    </w:p>
    <w:p w:rsidR="00267140" w:rsidRPr="004A3269" w:rsidRDefault="00942547" w:rsidP="00B7582E">
      <w:pPr>
        <w:keepNext/>
        <w:keepLines/>
        <w:jc w:val="both"/>
        <w:rPr>
          <w:szCs w:val="22"/>
        </w:rPr>
      </w:pPr>
      <w:r w:rsidRPr="004A3269">
        <w:rPr>
          <w:rStyle w:val="hps"/>
        </w:rPr>
        <w:lastRenderedPageBreak/>
        <w:t>En ce qui concerne</w:t>
      </w:r>
      <w:r w:rsidRPr="004A3269">
        <w:t xml:space="preserve"> </w:t>
      </w:r>
      <w:r w:rsidRPr="004A3269">
        <w:rPr>
          <w:rStyle w:val="hps"/>
        </w:rPr>
        <w:t>l</w:t>
      </w:r>
      <w:r w:rsidR="009021AA" w:rsidRPr="004A3269">
        <w:rPr>
          <w:rStyle w:val="hps"/>
        </w:rPr>
        <w:t>’</w:t>
      </w:r>
      <w:r w:rsidRPr="004A3269">
        <w:rPr>
          <w:rStyle w:val="hps"/>
        </w:rPr>
        <w:t>évaluation actuarielle de</w:t>
      </w:r>
      <w:r w:rsidRPr="004A3269">
        <w:t xml:space="preserve"> </w:t>
      </w:r>
      <w:r w:rsidRPr="004A3269">
        <w:rPr>
          <w:rStyle w:val="hps"/>
        </w:rPr>
        <w:t>la prime de rapatriement</w:t>
      </w:r>
      <w:r w:rsidRPr="004A3269">
        <w:t xml:space="preserve"> </w:t>
      </w:r>
      <w:r w:rsidRPr="004A3269">
        <w:rPr>
          <w:rStyle w:val="hps"/>
        </w:rPr>
        <w:t>et voyage,</w:t>
      </w:r>
      <w:r w:rsidRPr="004A3269">
        <w:t xml:space="preserve"> </w:t>
      </w:r>
      <w:r w:rsidRPr="004A3269">
        <w:rPr>
          <w:rStyle w:val="hps"/>
        </w:rPr>
        <w:t>le tableau</w:t>
      </w:r>
      <w:r w:rsidRPr="004A3269">
        <w:t xml:space="preserve"> </w:t>
      </w:r>
      <w:r w:rsidRPr="004A3269">
        <w:rPr>
          <w:rStyle w:val="hps"/>
        </w:rPr>
        <w:t>ci</w:t>
      </w:r>
      <w:r w:rsidR="00A17552" w:rsidRPr="004A3269">
        <w:rPr>
          <w:rStyle w:val="hps"/>
        </w:rPr>
        <w:noBreakHyphen/>
      </w:r>
      <w:r w:rsidRPr="004A3269">
        <w:rPr>
          <w:rStyle w:val="hps"/>
        </w:rPr>
        <w:t>dessous détaille</w:t>
      </w:r>
      <w:r w:rsidRPr="004A3269">
        <w:t xml:space="preserve"> </w:t>
      </w:r>
      <w:r w:rsidRPr="004A3269">
        <w:rPr>
          <w:rStyle w:val="hps"/>
        </w:rPr>
        <w:t>les dépenses au titre de</w:t>
      </w:r>
      <w:r w:rsidRPr="004A3269">
        <w:t xml:space="preserve"> </w:t>
      </w:r>
      <w:r w:rsidRPr="004A3269">
        <w:rPr>
          <w:rStyle w:val="hps"/>
        </w:rPr>
        <w:t>la prime de rapatriement</w:t>
      </w:r>
      <w:r w:rsidRPr="004A3269">
        <w:t xml:space="preserve"> </w:t>
      </w:r>
      <w:r w:rsidRPr="004A3269">
        <w:rPr>
          <w:rStyle w:val="hps"/>
        </w:rPr>
        <w:t>et voyage</w:t>
      </w:r>
      <w:r w:rsidRPr="004A3269">
        <w:t xml:space="preserve"> </w:t>
      </w:r>
      <w:r w:rsidRPr="004A3269">
        <w:rPr>
          <w:rStyle w:val="hps"/>
        </w:rPr>
        <w:t>comptabilisées dans l</w:t>
      </w:r>
      <w:r w:rsidR="009021AA" w:rsidRPr="004A3269">
        <w:rPr>
          <w:rStyle w:val="hps"/>
        </w:rPr>
        <w:t>’</w:t>
      </w:r>
      <w:r w:rsidRPr="004A3269">
        <w:rPr>
          <w:rStyle w:val="hps"/>
        </w:rPr>
        <w:t>état</w:t>
      </w:r>
      <w:r w:rsidRPr="004A3269">
        <w:t xml:space="preserve"> </w:t>
      </w:r>
      <w:r w:rsidRPr="004A3269">
        <w:rPr>
          <w:rStyle w:val="hps"/>
        </w:rPr>
        <w:t>de la performance financière </w:t>
      </w:r>
      <w:r w:rsidR="005A3DB4" w:rsidRPr="004A3269">
        <w:rPr>
          <w:rStyle w:val="hps"/>
        </w:rPr>
        <w:t>:</w:t>
      </w:r>
    </w:p>
    <w:p w:rsidR="00267140" w:rsidRPr="004A3269" w:rsidRDefault="00267140" w:rsidP="00B7582E">
      <w:pPr>
        <w:pStyle w:val="Style3"/>
        <w:keepNext/>
        <w:keepLines/>
        <w:spacing w:after="0"/>
      </w:pPr>
    </w:p>
    <w:p w:rsidR="00A97E57" w:rsidRPr="004A3269" w:rsidRDefault="00A97E57" w:rsidP="00B7582E">
      <w:pPr>
        <w:pStyle w:val="Style3"/>
        <w:keepNext/>
        <w:keepLines/>
        <w:spacing w:after="0"/>
        <w:jc w:val="center"/>
      </w:pPr>
      <w:r w:rsidRPr="004A3269">
        <w:rPr>
          <w:noProof/>
          <w:lang w:val="en-US"/>
        </w:rPr>
        <w:drawing>
          <wp:inline distT="0" distB="0" distL="0" distR="0" wp14:anchorId="209A6BBE" wp14:editId="5F242160">
            <wp:extent cx="5977255" cy="1419348"/>
            <wp:effectExtent l="0" t="0" r="444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77255" cy="1419348"/>
                    </a:xfrm>
                    <a:prstGeom prst="rect">
                      <a:avLst/>
                    </a:prstGeom>
                    <a:noFill/>
                    <a:ln>
                      <a:noFill/>
                    </a:ln>
                  </pic:spPr>
                </pic:pic>
              </a:graphicData>
            </a:graphic>
          </wp:inline>
        </w:drawing>
      </w:r>
    </w:p>
    <w:p w:rsidR="00A97E57" w:rsidRPr="004A3269" w:rsidRDefault="00A97E57" w:rsidP="00A97E57">
      <w:pPr>
        <w:pStyle w:val="Style3"/>
        <w:spacing w:after="0"/>
      </w:pPr>
    </w:p>
    <w:p w:rsidR="00267140" w:rsidRPr="004A3269" w:rsidRDefault="00942547" w:rsidP="009C669E">
      <w:pPr>
        <w:pStyle w:val="Style3"/>
        <w:spacing w:after="0"/>
        <w:rPr>
          <w:szCs w:val="22"/>
        </w:rPr>
      </w:pPr>
      <w:r w:rsidRPr="004A3269">
        <w:rPr>
          <w:rStyle w:val="hps"/>
        </w:rPr>
        <w:t>Les gains et pertes actuariels pour</w:t>
      </w:r>
      <w:r w:rsidRPr="004A3269">
        <w:t xml:space="preserve"> </w:t>
      </w:r>
      <w:r w:rsidRPr="004A3269">
        <w:rPr>
          <w:rStyle w:val="hps"/>
        </w:rPr>
        <w:t>la prime de rapatriement</w:t>
      </w:r>
      <w:r w:rsidRPr="004A3269">
        <w:t xml:space="preserve"> </w:t>
      </w:r>
      <w:r w:rsidRPr="004A3269">
        <w:rPr>
          <w:rStyle w:val="hps"/>
        </w:rPr>
        <w:t>et voyage</w:t>
      </w:r>
      <w:r w:rsidRPr="004A3269">
        <w:t xml:space="preserve"> </w:t>
      </w:r>
      <w:r w:rsidRPr="004A3269">
        <w:rPr>
          <w:rStyle w:val="hps"/>
        </w:rPr>
        <w:t>sont comptabilisés</w:t>
      </w:r>
      <w:r w:rsidRPr="004A3269">
        <w:t xml:space="preserve"> </w:t>
      </w:r>
      <w:r w:rsidRPr="004A3269">
        <w:rPr>
          <w:rStyle w:val="hps"/>
        </w:rPr>
        <w:t>immédiatement dans l</w:t>
      </w:r>
      <w:r w:rsidR="009021AA" w:rsidRPr="004A3269">
        <w:rPr>
          <w:rStyle w:val="hps"/>
        </w:rPr>
        <w:t>’</w:t>
      </w:r>
      <w:r w:rsidRPr="004A3269">
        <w:rPr>
          <w:rStyle w:val="hps"/>
        </w:rPr>
        <w:t>état</w:t>
      </w:r>
      <w:r w:rsidRPr="004A3269">
        <w:t xml:space="preserve"> </w:t>
      </w:r>
      <w:r w:rsidRPr="004A3269">
        <w:rPr>
          <w:rStyle w:val="hps"/>
        </w:rPr>
        <w:t>de la performance financière</w:t>
      </w:r>
      <w:r w:rsidRPr="004A3269">
        <w:t xml:space="preserve">.  </w:t>
      </w:r>
      <w:r w:rsidRPr="004A3269">
        <w:rPr>
          <w:rStyle w:val="hps"/>
        </w:rPr>
        <w:t>Le tableau</w:t>
      </w:r>
      <w:r w:rsidRPr="004A3269">
        <w:t xml:space="preserve"> </w:t>
      </w:r>
      <w:r w:rsidRPr="004A3269">
        <w:rPr>
          <w:rStyle w:val="hps"/>
        </w:rPr>
        <w:t>ci</w:t>
      </w:r>
      <w:r w:rsidR="00A17552" w:rsidRPr="004A3269">
        <w:rPr>
          <w:rStyle w:val="hps"/>
        </w:rPr>
        <w:noBreakHyphen/>
      </w:r>
      <w:r w:rsidRPr="004A3269">
        <w:rPr>
          <w:rStyle w:val="hps"/>
        </w:rPr>
        <w:t>dessous détaille</w:t>
      </w:r>
      <w:r w:rsidRPr="004A3269">
        <w:t xml:space="preserve"> </w:t>
      </w:r>
      <w:r w:rsidRPr="004A3269">
        <w:rPr>
          <w:rStyle w:val="hps"/>
        </w:rPr>
        <w:t>l</w:t>
      </w:r>
      <w:r w:rsidR="009021AA" w:rsidRPr="004A3269">
        <w:rPr>
          <w:rStyle w:val="hps"/>
        </w:rPr>
        <w:t>’</w:t>
      </w:r>
      <w:r w:rsidRPr="004A3269">
        <w:rPr>
          <w:rStyle w:val="hps"/>
        </w:rPr>
        <w:t>évolution de l</w:t>
      </w:r>
      <w:r w:rsidR="009021AA" w:rsidRPr="004A3269">
        <w:rPr>
          <w:rStyle w:val="hps"/>
        </w:rPr>
        <w:t>’</w:t>
      </w:r>
      <w:r w:rsidRPr="004A3269">
        <w:rPr>
          <w:rStyle w:val="hps"/>
        </w:rPr>
        <w:t xml:space="preserve">obligation </w:t>
      </w:r>
      <w:r w:rsidR="00A14228" w:rsidRPr="004A3269">
        <w:rPr>
          <w:rStyle w:val="hps"/>
        </w:rPr>
        <w:t>au titre des</w:t>
      </w:r>
      <w:r w:rsidRPr="004A3269">
        <w:rPr>
          <w:rStyle w:val="hps"/>
        </w:rPr>
        <w:t xml:space="preserve"> prestations définie</w:t>
      </w:r>
      <w:r w:rsidR="00A14228" w:rsidRPr="004A3269">
        <w:rPr>
          <w:rStyle w:val="hps"/>
        </w:rPr>
        <w:t>s</w:t>
      </w:r>
      <w:r w:rsidRPr="004A3269">
        <w:rPr>
          <w:rStyle w:val="hps"/>
        </w:rPr>
        <w:t xml:space="preserve"> dans le cadre de la</w:t>
      </w:r>
      <w:r w:rsidRPr="004A3269">
        <w:t xml:space="preserve"> </w:t>
      </w:r>
      <w:r w:rsidRPr="004A3269">
        <w:rPr>
          <w:rStyle w:val="hps"/>
        </w:rPr>
        <w:t>prime de rapatriement</w:t>
      </w:r>
      <w:r w:rsidRPr="004A3269">
        <w:t xml:space="preserve"> </w:t>
      </w:r>
      <w:r w:rsidRPr="004A3269">
        <w:rPr>
          <w:rStyle w:val="hps"/>
        </w:rPr>
        <w:t>et voyage </w:t>
      </w:r>
      <w:r w:rsidR="00E65894" w:rsidRPr="004A3269">
        <w:rPr>
          <w:rStyle w:val="hps"/>
        </w:rPr>
        <w:t>:</w:t>
      </w:r>
    </w:p>
    <w:p w:rsidR="00267140" w:rsidRPr="004A3269" w:rsidRDefault="00267140" w:rsidP="009C669E">
      <w:pPr>
        <w:pStyle w:val="Style3"/>
        <w:spacing w:after="0"/>
        <w:rPr>
          <w:szCs w:val="22"/>
        </w:rPr>
      </w:pPr>
    </w:p>
    <w:p w:rsidR="00A97E57" w:rsidRPr="004A3269" w:rsidRDefault="00A97E57" w:rsidP="00B7582E">
      <w:pPr>
        <w:jc w:val="center"/>
        <w:rPr>
          <w:rStyle w:val="hps"/>
        </w:rPr>
      </w:pPr>
      <w:r w:rsidRPr="004A3269">
        <w:rPr>
          <w:noProof/>
          <w:lang w:val="en-US"/>
        </w:rPr>
        <w:drawing>
          <wp:inline distT="0" distB="0" distL="0" distR="0" wp14:anchorId="3276C718" wp14:editId="11C0AE47">
            <wp:extent cx="5977255" cy="1750711"/>
            <wp:effectExtent l="0" t="0" r="4445" b="190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77255" cy="1750711"/>
                    </a:xfrm>
                    <a:prstGeom prst="rect">
                      <a:avLst/>
                    </a:prstGeom>
                    <a:noFill/>
                    <a:ln>
                      <a:noFill/>
                    </a:ln>
                  </pic:spPr>
                </pic:pic>
              </a:graphicData>
            </a:graphic>
          </wp:inline>
        </w:drawing>
      </w:r>
    </w:p>
    <w:p w:rsidR="00A97E57" w:rsidRPr="004A3269" w:rsidRDefault="00A97E57" w:rsidP="0017209A">
      <w:pPr>
        <w:jc w:val="both"/>
        <w:rPr>
          <w:rStyle w:val="hps"/>
        </w:rPr>
      </w:pPr>
    </w:p>
    <w:p w:rsidR="00942547" w:rsidRPr="004A3269" w:rsidRDefault="00942547" w:rsidP="0017209A">
      <w:pPr>
        <w:jc w:val="both"/>
      </w:pPr>
      <w:r w:rsidRPr="004A3269">
        <w:rPr>
          <w:rStyle w:val="hps"/>
        </w:rPr>
        <w:t xml:space="preserve">Les </w:t>
      </w:r>
      <w:r w:rsidR="00D05DBD" w:rsidRPr="004A3269">
        <w:rPr>
          <w:rStyle w:val="hps"/>
        </w:rPr>
        <w:t>cotisations</w:t>
      </w:r>
      <w:r w:rsidRPr="004A3269">
        <w:rPr>
          <w:rStyle w:val="hps"/>
        </w:rPr>
        <w:t xml:space="preserve"> versées par</w:t>
      </w:r>
      <w:r w:rsidRPr="004A3269">
        <w:t xml:space="preserve"> </w:t>
      </w:r>
      <w:r w:rsidRPr="004A3269">
        <w:rPr>
          <w:rStyle w:val="hps"/>
        </w:rPr>
        <w:t>l</w:t>
      </w:r>
      <w:r w:rsidR="009021AA" w:rsidRPr="004A3269">
        <w:rPr>
          <w:rStyle w:val="hps"/>
        </w:rPr>
        <w:t>’</w:t>
      </w:r>
      <w:r w:rsidRPr="004A3269">
        <w:rPr>
          <w:rStyle w:val="hps"/>
        </w:rPr>
        <w:t>Organisation au titre de la</w:t>
      </w:r>
      <w:r w:rsidRPr="004A3269">
        <w:t xml:space="preserve"> </w:t>
      </w:r>
      <w:r w:rsidRPr="004A3269">
        <w:rPr>
          <w:rStyle w:val="hps"/>
        </w:rPr>
        <w:t>prime de rapatriement</w:t>
      </w:r>
      <w:r w:rsidRPr="004A3269">
        <w:t xml:space="preserve"> </w:t>
      </w:r>
      <w:r w:rsidR="00A14228" w:rsidRPr="004A3269">
        <w:rPr>
          <w:rStyle w:val="hps"/>
        </w:rPr>
        <w:t>et voyage</w:t>
      </w:r>
      <w:r w:rsidRPr="004A3269">
        <w:t xml:space="preserve"> </w:t>
      </w:r>
      <w:r w:rsidRPr="004A3269">
        <w:rPr>
          <w:rStyle w:val="hps"/>
        </w:rPr>
        <w:t>ont totalisé</w:t>
      </w:r>
      <w:r w:rsidRPr="004A3269">
        <w:t xml:space="preserve"> </w:t>
      </w:r>
      <w:r w:rsidRPr="004A3269">
        <w:rPr>
          <w:rStyle w:val="hps"/>
        </w:rPr>
        <w:t>0,2 million de francs</w:t>
      </w:r>
      <w:r w:rsidRPr="004A3269">
        <w:t xml:space="preserve"> </w:t>
      </w:r>
      <w:r w:rsidRPr="004A3269">
        <w:rPr>
          <w:rStyle w:val="hps"/>
        </w:rPr>
        <w:t>suisses en 2014</w:t>
      </w:r>
      <w:r w:rsidRPr="004A3269">
        <w:t xml:space="preserve"> </w:t>
      </w:r>
      <w:r w:rsidRPr="004A3269">
        <w:rPr>
          <w:rStyle w:val="hps"/>
        </w:rPr>
        <w:t>(0,8</w:t>
      </w:r>
      <w:r w:rsidRPr="004A3269">
        <w:t> </w:t>
      </w:r>
      <w:r w:rsidRPr="004A3269">
        <w:rPr>
          <w:rStyle w:val="hps"/>
        </w:rPr>
        <w:t>million de francs suisses</w:t>
      </w:r>
      <w:r w:rsidRPr="004A3269">
        <w:t xml:space="preserve"> </w:t>
      </w:r>
      <w:r w:rsidRPr="004A3269">
        <w:rPr>
          <w:rStyle w:val="hps"/>
        </w:rPr>
        <w:t>en 2013</w:t>
      </w:r>
      <w:r w:rsidRPr="004A3269">
        <w:t>).  Les c</w:t>
      </w:r>
      <w:r w:rsidRPr="004A3269">
        <w:rPr>
          <w:rStyle w:val="hps"/>
        </w:rPr>
        <w:t>ontributions prévues au titre de la</w:t>
      </w:r>
      <w:r w:rsidRPr="004A3269">
        <w:t xml:space="preserve"> </w:t>
      </w:r>
      <w:r w:rsidRPr="004A3269">
        <w:rPr>
          <w:rStyle w:val="hps"/>
        </w:rPr>
        <w:t>prime de rapatriement</w:t>
      </w:r>
      <w:r w:rsidRPr="004A3269">
        <w:t xml:space="preserve"> </w:t>
      </w:r>
      <w:r w:rsidR="00A14228" w:rsidRPr="004A3269">
        <w:rPr>
          <w:rStyle w:val="hps"/>
        </w:rPr>
        <w:t>et voyage</w:t>
      </w:r>
      <w:r w:rsidRPr="004A3269">
        <w:t xml:space="preserve"> </w:t>
      </w:r>
      <w:r w:rsidRPr="004A3269">
        <w:rPr>
          <w:rStyle w:val="hps"/>
        </w:rPr>
        <w:t>en 2015</w:t>
      </w:r>
      <w:r w:rsidRPr="004A3269">
        <w:t xml:space="preserve"> </w:t>
      </w:r>
      <w:r w:rsidRPr="004A3269">
        <w:rPr>
          <w:rStyle w:val="hps"/>
        </w:rPr>
        <w:t>s</w:t>
      </w:r>
      <w:r w:rsidR="009021AA" w:rsidRPr="004A3269">
        <w:rPr>
          <w:rStyle w:val="hps"/>
        </w:rPr>
        <w:t>’</w:t>
      </w:r>
      <w:r w:rsidRPr="004A3269">
        <w:rPr>
          <w:rStyle w:val="hps"/>
        </w:rPr>
        <w:t>élèvent à 1,5 million de francs suisses</w:t>
      </w:r>
      <w:r w:rsidRPr="004A3269">
        <w:t>.</w:t>
      </w:r>
    </w:p>
    <w:p w:rsidR="00942547" w:rsidRPr="004A3269" w:rsidRDefault="00942547" w:rsidP="0017209A">
      <w:pPr>
        <w:jc w:val="both"/>
      </w:pPr>
    </w:p>
    <w:p w:rsidR="00267140" w:rsidRPr="004A3269" w:rsidRDefault="00942547" w:rsidP="0017209A">
      <w:pPr>
        <w:jc w:val="both"/>
        <w:rPr>
          <w:szCs w:val="22"/>
        </w:rPr>
      </w:pPr>
      <w:r w:rsidRPr="004A3269">
        <w:rPr>
          <w:rStyle w:val="hps"/>
        </w:rPr>
        <w:t>Le tableau ci</w:t>
      </w:r>
      <w:r w:rsidR="00A17552" w:rsidRPr="004A3269">
        <w:rPr>
          <w:rStyle w:val="hps"/>
        </w:rPr>
        <w:noBreakHyphen/>
      </w:r>
      <w:r w:rsidRPr="004A3269">
        <w:rPr>
          <w:rStyle w:val="hps"/>
        </w:rPr>
        <w:t>dessous détaille</w:t>
      </w:r>
      <w:r w:rsidRPr="004A3269">
        <w:t xml:space="preserve"> </w:t>
      </w:r>
      <w:r w:rsidRPr="004A3269">
        <w:rPr>
          <w:rStyle w:val="hps"/>
        </w:rPr>
        <w:t>la valeur actuelle</w:t>
      </w:r>
      <w:r w:rsidRPr="004A3269">
        <w:t xml:space="preserve"> </w:t>
      </w:r>
      <w:r w:rsidRPr="004A3269">
        <w:rPr>
          <w:rStyle w:val="hps"/>
        </w:rPr>
        <w:t>de l</w:t>
      </w:r>
      <w:r w:rsidR="009021AA" w:rsidRPr="004A3269">
        <w:rPr>
          <w:rStyle w:val="hps"/>
        </w:rPr>
        <w:t>’</w:t>
      </w:r>
      <w:r w:rsidRPr="004A3269">
        <w:rPr>
          <w:rStyle w:val="hps"/>
        </w:rPr>
        <w:t>obligation</w:t>
      </w:r>
      <w:r w:rsidRPr="004A3269">
        <w:t xml:space="preserve"> </w:t>
      </w:r>
      <w:r w:rsidR="00A14228" w:rsidRPr="004A3269">
        <w:rPr>
          <w:rStyle w:val="hps"/>
        </w:rPr>
        <w:t xml:space="preserve">au titre des prestations définies </w:t>
      </w:r>
      <w:r w:rsidRPr="004A3269">
        <w:rPr>
          <w:rStyle w:val="hps"/>
        </w:rPr>
        <w:t xml:space="preserve">et </w:t>
      </w:r>
      <w:r w:rsidR="00A14228" w:rsidRPr="004A3269">
        <w:rPr>
          <w:rStyle w:val="hps"/>
        </w:rPr>
        <w:t>les ajustements liés à l</w:t>
      </w:r>
      <w:r w:rsidR="009021AA" w:rsidRPr="004A3269">
        <w:rPr>
          <w:rStyle w:val="hps"/>
        </w:rPr>
        <w:t>’</w:t>
      </w:r>
      <w:r w:rsidRPr="004A3269">
        <w:rPr>
          <w:rStyle w:val="hps"/>
        </w:rPr>
        <w:t>expérience</w:t>
      </w:r>
      <w:r w:rsidRPr="004A3269">
        <w:t xml:space="preserve"> </w:t>
      </w:r>
      <w:r w:rsidR="00AE7983" w:rsidRPr="004A3269">
        <w:rPr>
          <w:rStyle w:val="hps"/>
        </w:rPr>
        <w:t>concernant</w:t>
      </w:r>
      <w:r w:rsidRPr="004A3269">
        <w:rPr>
          <w:rStyle w:val="hps"/>
        </w:rPr>
        <w:t xml:space="preserve"> l</w:t>
      </w:r>
      <w:r w:rsidR="009021AA" w:rsidRPr="004A3269">
        <w:rPr>
          <w:rStyle w:val="hps"/>
        </w:rPr>
        <w:t>’</w:t>
      </w:r>
      <w:r w:rsidRPr="004A3269">
        <w:rPr>
          <w:rStyle w:val="hps"/>
        </w:rPr>
        <w:t xml:space="preserve">obligation </w:t>
      </w:r>
      <w:r w:rsidR="00A14228" w:rsidRPr="004A3269">
        <w:rPr>
          <w:rStyle w:val="hps"/>
        </w:rPr>
        <w:t>au titre de la</w:t>
      </w:r>
      <w:r w:rsidRPr="004A3269">
        <w:rPr>
          <w:rStyle w:val="hps"/>
        </w:rPr>
        <w:t xml:space="preserve"> prime de rapatriement</w:t>
      </w:r>
      <w:r w:rsidRPr="004A3269">
        <w:t xml:space="preserve"> </w:t>
      </w:r>
      <w:r w:rsidR="00A14228" w:rsidRPr="004A3269">
        <w:rPr>
          <w:rStyle w:val="hps"/>
        </w:rPr>
        <w:t>et voyage</w:t>
      </w:r>
      <w:r w:rsidRPr="004A3269">
        <w:t xml:space="preserve"> </w:t>
      </w:r>
      <w:r w:rsidRPr="004A3269">
        <w:rPr>
          <w:rStyle w:val="hps"/>
        </w:rPr>
        <w:t>pour 2014</w:t>
      </w:r>
      <w:r w:rsidRPr="004A3269">
        <w:t xml:space="preserve"> </w:t>
      </w:r>
      <w:r w:rsidRPr="004A3269">
        <w:rPr>
          <w:rStyle w:val="hps"/>
        </w:rPr>
        <w:t>et</w:t>
      </w:r>
      <w:r w:rsidRPr="004A3269">
        <w:t xml:space="preserve"> </w:t>
      </w:r>
      <w:r w:rsidRPr="004A3269">
        <w:rPr>
          <w:rStyle w:val="hps"/>
        </w:rPr>
        <w:t>les</w:t>
      </w:r>
      <w:r w:rsidRPr="004A3269">
        <w:t xml:space="preserve"> quatre</w:t>
      </w:r>
      <w:r w:rsidR="00067463" w:rsidRPr="004A3269">
        <w:t> </w:t>
      </w:r>
      <w:r w:rsidRPr="004A3269">
        <w:rPr>
          <w:rStyle w:val="hps"/>
        </w:rPr>
        <w:t>années précédentes </w:t>
      </w:r>
      <w:r w:rsidR="0017209A" w:rsidRPr="004A3269">
        <w:rPr>
          <w:rStyle w:val="hps"/>
        </w:rPr>
        <w:t>:</w:t>
      </w:r>
    </w:p>
    <w:p w:rsidR="00267140" w:rsidRPr="004A3269" w:rsidRDefault="00267140" w:rsidP="0017209A">
      <w:pPr>
        <w:jc w:val="both"/>
        <w:rPr>
          <w:szCs w:val="22"/>
        </w:rPr>
      </w:pPr>
    </w:p>
    <w:p w:rsidR="004A3269" w:rsidRPr="004A3269" w:rsidRDefault="004A3269" w:rsidP="00B7582E">
      <w:pPr>
        <w:jc w:val="center"/>
        <w:rPr>
          <w:rStyle w:val="hps"/>
        </w:rPr>
      </w:pPr>
      <w:r w:rsidRPr="004A3269">
        <w:rPr>
          <w:noProof/>
          <w:lang w:val="en-US"/>
        </w:rPr>
        <w:drawing>
          <wp:inline distT="0" distB="0" distL="0" distR="0" wp14:anchorId="3FE33082" wp14:editId="09C8BF86">
            <wp:extent cx="5977255" cy="109434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77255" cy="1094340"/>
                    </a:xfrm>
                    <a:prstGeom prst="rect">
                      <a:avLst/>
                    </a:prstGeom>
                    <a:noFill/>
                    <a:ln>
                      <a:noFill/>
                    </a:ln>
                  </pic:spPr>
                </pic:pic>
              </a:graphicData>
            </a:graphic>
          </wp:inline>
        </w:drawing>
      </w:r>
    </w:p>
    <w:p w:rsidR="004A3269" w:rsidRPr="004A3269" w:rsidRDefault="004A3269" w:rsidP="00302779">
      <w:pPr>
        <w:jc w:val="both"/>
        <w:rPr>
          <w:rStyle w:val="hps"/>
        </w:rPr>
      </w:pPr>
    </w:p>
    <w:p w:rsidR="00267140" w:rsidRPr="004A3269" w:rsidRDefault="00942547" w:rsidP="00B7582E">
      <w:pPr>
        <w:keepNext/>
        <w:keepLines/>
        <w:jc w:val="both"/>
        <w:rPr>
          <w:szCs w:val="22"/>
        </w:rPr>
      </w:pPr>
      <w:r w:rsidRPr="004A3269">
        <w:rPr>
          <w:rStyle w:val="hps"/>
        </w:rPr>
        <w:lastRenderedPageBreak/>
        <w:t>Les principales hypothèses</w:t>
      </w:r>
      <w:r w:rsidRPr="004A3269">
        <w:t xml:space="preserve"> </w:t>
      </w:r>
      <w:r w:rsidRPr="004A3269">
        <w:rPr>
          <w:rStyle w:val="hps"/>
        </w:rPr>
        <w:t>utilisées pour déterminer</w:t>
      </w:r>
      <w:r w:rsidRPr="004A3269">
        <w:t xml:space="preserve"> </w:t>
      </w:r>
      <w:r w:rsidR="00837926" w:rsidRPr="004A3269">
        <w:t>l</w:t>
      </w:r>
      <w:r w:rsidR="009021AA" w:rsidRPr="004A3269">
        <w:t>’</w:t>
      </w:r>
      <w:r w:rsidR="00837926" w:rsidRPr="004A3269">
        <w:t xml:space="preserve">obligation </w:t>
      </w:r>
      <w:r w:rsidR="00A14228" w:rsidRPr="004A3269">
        <w:t xml:space="preserve">au titre </w:t>
      </w:r>
      <w:r w:rsidR="00837926" w:rsidRPr="004A3269">
        <w:t xml:space="preserve">de </w:t>
      </w:r>
      <w:r w:rsidRPr="004A3269">
        <w:rPr>
          <w:rStyle w:val="hps"/>
        </w:rPr>
        <w:t>la prime de rapatriement</w:t>
      </w:r>
      <w:r w:rsidRPr="004A3269">
        <w:t xml:space="preserve"> </w:t>
      </w:r>
      <w:r w:rsidRPr="004A3269">
        <w:rPr>
          <w:rStyle w:val="hps"/>
        </w:rPr>
        <w:t xml:space="preserve">et </w:t>
      </w:r>
      <w:r w:rsidR="00837926" w:rsidRPr="004A3269">
        <w:rPr>
          <w:rStyle w:val="hps"/>
        </w:rPr>
        <w:t>v</w:t>
      </w:r>
      <w:r w:rsidRPr="004A3269">
        <w:rPr>
          <w:rStyle w:val="hps"/>
        </w:rPr>
        <w:t>oyage</w:t>
      </w:r>
      <w:r w:rsidRPr="004A3269">
        <w:t xml:space="preserve"> </w:t>
      </w:r>
      <w:r w:rsidRPr="004A3269">
        <w:rPr>
          <w:rStyle w:val="hps"/>
        </w:rPr>
        <w:t>et l</w:t>
      </w:r>
      <w:r w:rsidR="009021AA" w:rsidRPr="004A3269">
        <w:rPr>
          <w:rStyle w:val="hps"/>
        </w:rPr>
        <w:t>’</w:t>
      </w:r>
      <w:r w:rsidRPr="004A3269">
        <w:rPr>
          <w:rStyle w:val="hps"/>
        </w:rPr>
        <w:t>obligation</w:t>
      </w:r>
      <w:r w:rsidRPr="004A3269">
        <w:t xml:space="preserve"> </w:t>
      </w:r>
      <w:r w:rsidR="00A14228" w:rsidRPr="004A3269">
        <w:rPr>
          <w:rStyle w:val="hps"/>
        </w:rPr>
        <w:t xml:space="preserve">au titre des prestations définies </w:t>
      </w:r>
      <w:r w:rsidR="00837926" w:rsidRPr="004A3269">
        <w:rPr>
          <w:rStyle w:val="hps"/>
        </w:rPr>
        <w:t>étaient</w:t>
      </w:r>
      <w:r w:rsidRPr="004A3269">
        <w:rPr>
          <w:rStyle w:val="hps"/>
        </w:rPr>
        <w:t xml:space="preserve"> les suivantes </w:t>
      </w:r>
      <w:r w:rsidR="00302779" w:rsidRPr="004A3269">
        <w:rPr>
          <w:rStyle w:val="hps"/>
        </w:rPr>
        <w:t>:</w:t>
      </w:r>
    </w:p>
    <w:p w:rsidR="00267140" w:rsidRPr="004A3269" w:rsidRDefault="00267140" w:rsidP="00B7582E">
      <w:pPr>
        <w:keepNext/>
        <w:keepLines/>
        <w:jc w:val="both"/>
      </w:pPr>
    </w:p>
    <w:p w:rsidR="00267140" w:rsidRPr="004A3269" w:rsidRDefault="00A97E57" w:rsidP="00B7582E">
      <w:pPr>
        <w:keepNext/>
        <w:keepLines/>
        <w:jc w:val="center"/>
        <w:rPr>
          <w:szCs w:val="22"/>
        </w:rPr>
      </w:pPr>
      <w:r w:rsidRPr="004A3269">
        <w:rPr>
          <w:noProof/>
          <w:lang w:val="en-US"/>
        </w:rPr>
        <w:drawing>
          <wp:inline distT="0" distB="0" distL="0" distR="0" wp14:anchorId="73E38D76" wp14:editId="7BB6D017">
            <wp:extent cx="5965705" cy="1959428"/>
            <wp:effectExtent l="0" t="0" r="0" b="317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74109" cy="1962188"/>
                    </a:xfrm>
                    <a:prstGeom prst="rect">
                      <a:avLst/>
                    </a:prstGeom>
                    <a:noFill/>
                    <a:ln>
                      <a:noFill/>
                    </a:ln>
                  </pic:spPr>
                </pic:pic>
              </a:graphicData>
            </a:graphic>
          </wp:inline>
        </w:drawing>
      </w:r>
    </w:p>
    <w:p w:rsidR="00A97E57" w:rsidRPr="004A3269" w:rsidRDefault="00A97E57" w:rsidP="00E13500">
      <w:pPr>
        <w:jc w:val="both"/>
        <w:rPr>
          <w:szCs w:val="22"/>
        </w:rPr>
      </w:pPr>
    </w:p>
    <w:p w:rsidR="00267140" w:rsidRPr="004A3269" w:rsidRDefault="00067E7E" w:rsidP="00067E7E">
      <w:pPr>
        <w:pStyle w:val="Style3"/>
        <w:spacing w:after="0"/>
      </w:pPr>
      <w:r w:rsidRPr="004A3269">
        <w:rPr>
          <w:b/>
          <w:i/>
        </w:rPr>
        <w:t>Assurance</w:t>
      </w:r>
      <w:r w:rsidR="00A17552" w:rsidRPr="004A3269">
        <w:rPr>
          <w:b/>
          <w:i/>
        </w:rPr>
        <w:noBreakHyphen/>
      </w:r>
      <w:r w:rsidRPr="004A3269">
        <w:rPr>
          <w:b/>
          <w:i/>
        </w:rPr>
        <w:t>maladie après la cessation de service</w:t>
      </w:r>
      <w:r w:rsidR="00A0797A" w:rsidRPr="004A3269">
        <w:rPr>
          <w:b/>
        </w:rPr>
        <w:t> :</w:t>
      </w:r>
      <w:r w:rsidRPr="004A3269">
        <w:t xml:space="preserve"> l</w:t>
      </w:r>
      <w:r w:rsidR="009021AA" w:rsidRPr="004A3269">
        <w:t>’</w:t>
      </w:r>
      <w:r w:rsidRPr="004A3269">
        <w:t>Organisation a aussi l</w:t>
      </w:r>
      <w:r w:rsidR="009021AA" w:rsidRPr="004A3269">
        <w:t>’</w:t>
      </w:r>
      <w:r w:rsidRPr="004A3269">
        <w:t xml:space="preserve">obligation contractuelle de fournir à </w:t>
      </w:r>
      <w:r w:rsidR="00086A8F" w:rsidRPr="004A3269">
        <w:t>son personnel</w:t>
      </w:r>
      <w:r w:rsidRPr="004A3269">
        <w:t xml:space="preserve"> des prestations médicales après la cessation de service sous la forme de primes d</w:t>
      </w:r>
      <w:r w:rsidR="009021AA" w:rsidRPr="004A3269">
        <w:t>’</w:t>
      </w:r>
      <w:r w:rsidRPr="004A3269">
        <w:t>assurance pour le contrat d</w:t>
      </w:r>
      <w:r w:rsidR="009021AA" w:rsidRPr="004A3269">
        <w:t>’</w:t>
      </w:r>
      <w:r w:rsidRPr="004A3269">
        <w:t>assurance</w:t>
      </w:r>
      <w:r w:rsidR="00A17552" w:rsidRPr="004A3269">
        <w:noBreakHyphen/>
      </w:r>
      <w:r w:rsidRPr="004A3269">
        <w:t>maladie et accidents.</w:t>
      </w:r>
      <w:r w:rsidR="00CF44A9" w:rsidRPr="004A3269">
        <w:t xml:space="preserve"> </w:t>
      </w:r>
      <w:r w:rsidR="00083791" w:rsidRPr="004A3269">
        <w:t xml:space="preserve"> </w:t>
      </w:r>
      <w:r w:rsidRPr="004A3269">
        <w:t>Les fonctionnaires (ainsi que leurs conjoints, leurs enfants et leurs survivants) peuvent, au moment de la retraite, souscrire à l</w:t>
      </w:r>
      <w:r w:rsidR="009021AA" w:rsidRPr="004A3269">
        <w:t>’</w:t>
      </w:r>
      <w:r w:rsidRPr="004A3269">
        <w:t>assurance</w:t>
      </w:r>
      <w:r w:rsidR="00A17552" w:rsidRPr="004A3269">
        <w:noBreakHyphen/>
      </w:r>
      <w:r w:rsidRPr="004A3269">
        <w:t>maladie après la cessation de service s</w:t>
      </w:r>
      <w:r w:rsidR="009021AA" w:rsidRPr="004A3269">
        <w:t>’</w:t>
      </w:r>
      <w:r w:rsidRPr="004A3269">
        <w:t>ils continuent de payer leur prime après la cessation de service.</w:t>
      </w:r>
      <w:r w:rsidR="00083791" w:rsidRPr="004A3269">
        <w:t xml:space="preserve"> </w:t>
      </w:r>
      <w:r w:rsidR="002B379E" w:rsidRPr="004A3269">
        <w:t xml:space="preserve"> </w:t>
      </w:r>
      <w:r w:rsidRPr="004A3269">
        <w:t>Selon le Statut et Règlement du personnel de l</w:t>
      </w:r>
      <w:r w:rsidR="009021AA" w:rsidRPr="004A3269">
        <w:t>’</w:t>
      </w:r>
      <w:r w:rsidRPr="004A3269">
        <w:t>OMPI, l</w:t>
      </w:r>
      <w:r w:rsidR="009021AA" w:rsidRPr="004A3269">
        <w:t>’</w:t>
      </w:r>
      <w:r w:rsidRPr="004A3269">
        <w:t>Organisation prend en charge 65% de la prime mensuelle d</w:t>
      </w:r>
      <w:r w:rsidR="009021AA" w:rsidRPr="004A3269">
        <w:t>’</w:t>
      </w:r>
      <w:r w:rsidRPr="004A3269">
        <w:t>assurance</w:t>
      </w:r>
      <w:r w:rsidR="00A17552" w:rsidRPr="004A3269">
        <w:noBreakHyphen/>
      </w:r>
      <w:r w:rsidRPr="004A3269">
        <w:t>maladie.</w:t>
      </w:r>
      <w:r w:rsidR="00A218DD" w:rsidRPr="004A3269">
        <w:t xml:space="preserve"> </w:t>
      </w:r>
      <w:r w:rsidR="00083791" w:rsidRPr="004A3269">
        <w:t xml:space="preserve"> </w:t>
      </w:r>
      <w:r w:rsidR="00837926" w:rsidRPr="004A3269">
        <w:rPr>
          <w:rStyle w:val="hps"/>
        </w:rPr>
        <w:t>Depuis le 1</w:t>
      </w:r>
      <w:r w:rsidR="00837926" w:rsidRPr="004A3269">
        <w:rPr>
          <w:rStyle w:val="hps"/>
          <w:vertAlign w:val="superscript"/>
        </w:rPr>
        <w:t>er</w:t>
      </w:r>
      <w:r w:rsidR="00837926" w:rsidRPr="004A3269">
        <w:t> j</w:t>
      </w:r>
      <w:r w:rsidR="00837926" w:rsidRPr="004A3269">
        <w:rPr>
          <w:rStyle w:val="hps"/>
        </w:rPr>
        <w:t>anvier</w:t>
      </w:r>
      <w:r w:rsidR="00837926" w:rsidRPr="004A3269">
        <w:t> </w:t>
      </w:r>
      <w:r w:rsidR="00837926" w:rsidRPr="004A3269">
        <w:rPr>
          <w:rStyle w:val="hps"/>
        </w:rPr>
        <w:t>2015,</w:t>
      </w:r>
      <w:r w:rsidR="00837926" w:rsidRPr="004A3269">
        <w:t xml:space="preserve"> la prime mensuelle d</w:t>
      </w:r>
      <w:r w:rsidR="009021AA" w:rsidRPr="004A3269">
        <w:t>’</w:t>
      </w:r>
      <w:r w:rsidR="00837926" w:rsidRPr="004A3269">
        <w:t>assurance</w:t>
      </w:r>
      <w:r w:rsidR="00A17552" w:rsidRPr="004A3269">
        <w:noBreakHyphen/>
      </w:r>
      <w:r w:rsidR="00837926" w:rsidRPr="004A3269">
        <w:t>maladie s</w:t>
      </w:r>
      <w:r w:rsidR="009021AA" w:rsidRPr="004A3269">
        <w:t>’</w:t>
      </w:r>
      <w:r w:rsidR="00837926" w:rsidRPr="004A3269">
        <w:t xml:space="preserve">élève à 538 francs suisses pour les adultes et de 240 francs suisses pour les enfants </w:t>
      </w:r>
      <w:r w:rsidR="00837926" w:rsidRPr="004A3269">
        <w:rPr>
          <w:rStyle w:val="hps"/>
        </w:rPr>
        <w:t>(elle s</w:t>
      </w:r>
      <w:r w:rsidR="009021AA" w:rsidRPr="004A3269">
        <w:rPr>
          <w:rStyle w:val="hps"/>
        </w:rPr>
        <w:t>’</w:t>
      </w:r>
      <w:r w:rsidR="00837926" w:rsidRPr="004A3269">
        <w:rPr>
          <w:rStyle w:val="hps"/>
        </w:rPr>
        <w:t>élevait auparavant</w:t>
      </w:r>
      <w:r w:rsidR="00837926" w:rsidRPr="004A3269">
        <w:t xml:space="preserve"> à </w:t>
      </w:r>
      <w:r w:rsidR="00837926" w:rsidRPr="004A3269">
        <w:rPr>
          <w:rStyle w:val="hps"/>
        </w:rPr>
        <w:t>552</w:t>
      </w:r>
      <w:r w:rsidR="00837926" w:rsidRPr="004A3269">
        <w:t> </w:t>
      </w:r>
      <w:r w:rsidR="00837926" w:rsidRPr="004A3269">
        <w:rPr>
          <w:rStyle w:val="hps"/>
        </w:rPr>
        <w:t>francs suisses</w:t>
      </w:r>
      <w:r w:rsidR="00837926" w:rsidRPr="004A3269">
        <w:t xml:space="preserve"> </w:t>
      </w:r>
      <w:r w:rsidR="00837926" w:rsidRPr="004A3269">
        <w:rPr>
          <w:rStyle w:val="hps"/>
        </w:rPr>
        <w:t>pour les adultes</w:t>
      </w:r>
      <w:r w:rsidR="00837926" w:rsidRPr="004A3269">
        <w:t xml:space="preserve"> </w:t>
      </w:r>
      <w:r w:rsidR="00837926" w:rsidRPr="004A3269">
        <w:rPr>
          <w:rStyle w:val="hps"/>
        </w:rPr>
        <w:t>et 245</w:t>
      </w:r>
      <w:r w:rsidR="00837926" w:rsidRPr="004A3269">
        <w:t> </w:t>
      </w:r>
      <w:r w:rsidR="00837926" w:rsidRPr="004A3269">
        <w:rPr>
          <w:rStyle w:val="hps"/>
        </w:rPr>
        <w:t>francs suisses</w:t>
      </w:r>
      <w:r w:rsidR="00837926" w:rsidRPr="004A3269">
        <w:t xml:space="preserve"> pour </w:t>
      </w:r>
      <w:r w:rsidR="00837926" w:rsidRPr="004A3269">
        <w:rPr>
          <w:rStyle w:val="hps"/>
        </w:rPr>
        <w:t>les enfants)</w:t>
      </w:r>
      <w:r w:rsidR="002B379E" w:rsidRPr="004A3269">
        <w:t xml:space="preserve">. </w:t>
      </w:r>
      <w:r w:rsidR="00083791" w:rsidRPr="004A3269">
        <w:t xml:space="preserve"> </w:t>
      </w:r>
      <w:r w:rsidRPr="004A3269">
        <w:t>La valeur actuelle des obligations relatives à des prestations définies en matière d</w:t>
      </w:r>
      <w:r w:rsidR="009021AA" w:rsidRPr="004A3269">
        <w:t>’</w:t>
      </w:r>
      <w:r w:rsidRPr="004A3269">
        <w:t>assurance</w:t>
      </w:r>
      <w:r w:rsidR="00A17552" w:rsidRPr="004A3269">
        <w:noBreakHyphen/>
      </w:r>
      <w:r w:rsidRPr="004A3269">
        <w:t xml:space="preserve">maladie </w:t>
      </w:r>
      <w:r w:rsidR="00E1450E" w:rsidRPr="004A3269">
        <w:t xml:space="preserve">après la cessation de service </w:t>
      </w:r>
      <w:r w:rsidRPr="004A3269">
        <w:t>est calculée selon la méthode des unités de crédit projetées et par soustraction des futures sorties de trésorerie estimées en appliquant un taux d</w:t>
      </w:r>
      <w:r w:rsidR="009021AA" w:rsidRPr="004A3269">
        <w:t>’</w:t>
      </w:r>
      <w:r w:rsidRPr="004A3269">
        <w:t>actualisation fondé à la fois sur des obligations de sociétés de haut rang libellées en francs suisses et sur des obligations d</w:t>
      </w:r>
      <w:r w:rsidR="009021AA" w:rsidRPr="004A3269">
        <w:t>’</w:t>
      </w:r>
      <w:r w:rsidRPr="004A3269">
        <w:t>État suisses</w:t>
      </w:r>
      <w:r w:rsidR="00A0797A" w:rsidRPr="004A3269">
        <w:t xml:space="preserve">.  </w:t>
      </w:r>
      <w:r w:rsidRPr="004A3269">
        <w:t>Le plan n</w:t>
      </w:r>
      <w:r w:rsidR="009021AA" w:rsidRPr="004A3269">
        <w:t>’</w:t>
      </w:r>
      <w:r w:rsidRPr="004A3269">
        <w:t>est pas financé et ne comprend aucun actif détenu par un fonds à long terme au bénéfice du personnel.</w:t>
      </w:r>
      <w:r w:rsidR="00CF44A9" w:rsidRPr="004A3269">
        <w:t xml:space="preserve"> </w:t>
      </w:r>
      <w:r w:rsidR="00083791" w:rsidRPr="004A3269">
        <w:t xml:space="preserve"> </w:t>
      </w:r>
      <w:r w:rsidRPr="004A3269">
        <w:t>À la date d</w:t>
      </w:r>
      <w:r w:rsidR="009021AA" w:rsidRPr="004A3269">
        <w:t>’</w:t>
      </w:r>
      <w:r w:rsidRPr="004A3269">
        <w:t>établissement des états financiers, l</w:t>
      </w:r>
      <w:r w:rsidR="009021AA" w:rsidRPr="004A3269">
        <w:t>’</w:t>
      </w:r>
      <w:r w:rsidRPr="004A3269">
        <w:t>obligation a été estimée comme suit, sur la base d</w:t>
      </w:r>
      <w:r w:rsidR="009021AA" w:rsidRPr="004A3269">
        <w:t>’</w:t>
      </w:r>
      <w:r w:rsidRPr="004A3269">
        <w:t xml:space="preserve">une évaluation actuarielle effectuée en </w:t>
      </w:r>
      <w:r w:rsidR="00A0797A" w:rsidRPr="004A3269">
        <w:t>décembre </w:t>
      </w:r>
      <w:r w:rsidRPr="004A3269">
        <w:t>2014 par un bureau indépendant</w:t>
      </w:r>
      <w:r w:rsidR="00A0797A" w:rsidRPr="004A3269">
        <w:t> :</w:t>
      </w:r>
    </w:p>
    <w:p w:rsidR="00267140" w:rsidRPr="004A3269" w:rsidRDefault="00267140" w:rsidP="00DF09B4">
      <w:pPr>
        <w:pStyle w:val="Style3"/>
        <w:spacing w:after="0"/>
      </w:pPr>
    </w:p>
    <w:p w:rsidR="00A97E57" w:rsidRPr="004A3269" w:rsidRDefault="00A97E57" w:rsidP="00A97E57">
      <w:pPr>
        <w:jc w:val="center"/>
        <w:rPr>
          <w:szCs w:val="22"/>
        </w:rPr>
      </w:pPr>
      <w:r w:rsidRPr="004A3269">
        <w:rPr>
          <w:noProof/>
          <w:lang w:val="en-US"/>
        </w:rPr>
        <w:drawing>
          <wp:inline distT="0" distB="0" distL="0" distR="0" wp14:anchorId="336F212E" wp14:editId="4958B987">
            <wp:extent cx="5839865" cy="1374282"/>
            <wp:effectExtent l="0" t="0" r="889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845791" cy="1375676"/>
                    </a:xfrm>
                    <a:prstGeom prst="rect">
                      <a:avLst/>
                    </a:prstGeom>
                    <a:noFill/>
                    <a:ln>
                      <a:noFill/>
                    </a:ln>
                  </pic:spPr>
                </pic:pic>
              </a:graphicData>
            </a:graphic>
          </wp:inline>
        </w:drawing>
      </w:r>
    </w:p>
    <w:p w:rsidR="00A97E57" w:rsidRPr="004A3269" w:rsidRDefault="00A97E57" w:rsidP="002124A1">
      <w:pPr>
        <w:jc w:val="both"/>
        <w:rPr>
          <w:szCs w:val="22"/>
        </w:rPr>
      </w:pPr>
    </w:p>
    <w:p w:rsidR="00267140" w:rsidRPr="004A3269" w:rsidRDefault="00505179" w:rsidP="00B7582E">
      <w:pPr>
        <w:keepNext/>
        <w:keepLines/>
        <w:jc w:val="both"/>
        <w:rPr>
          <w:szCs w:val="22"/>
        </w:rPr>
      </w:pPr>
      <w:r w:rsidRPr="004A3269">
        <w:rPr>
          <w:szCs w:val="22"/>
        </w:rPr>
        <w:lastRenderedPageBreak/>
        <w:t>Le tableau ci</w:t>
      </w:r>
      <w:r w:rsidR="00A17552" w:rsidRPr="004A3269">
        <w:rPr>
          <w:szCs w:val="22"/>
        </w:rPr>
        <w:noBreakHyphen/>
      </w:r>
      <w:r w:rsidRPr="004A3269">
        <w:rPr>
          <w:szCs w:val="22"/>
        </w:rPr>
        <w:t>dessous détaille les dépenses au titre de l</w:t>
      </w:r>
      <w:r w:rsidR="009021AA" w:rsidRPr="004A3269">
        <w:rPr>
          <w:szCs w:val="22"/>
        </w:rPr>
        <w:t>’</w:t>
      </w:r>
      <w:r w:rsidRPr="004A3269">
        <w:rPr>
          <w:rStyle w:val="hps"/>
        </w:rPr>
        <w:t>assurance</w:t>
      </w:r>
      <w:r w:rsidR="00A17552" w:rsidRPr="004A3269">
        <w:noBreakHyphen/>
      </w:r>
      <w:r w:rsidRPr="004A3269">
        <w:t>maladie après la cessation de service comptabilisées dans l</w:t>
      </w:r>
      <w:r w:rsidR="009021AA" w:rsidRPr="004A3269">
        <w:t>’</w:t>
      </w:r>
      <w:r w:rsidRPr="004A3269">
        <w:t>état de la performance financière :</w:t>
      </w:r>
    </w:p>
    <w:p w:rsidR="00267140" w:rsidRPr="004A3269" w:rsidRDefault="00267140" w:rsidP="00B7582E">
      <w:pPr>
        <w:keepNext/>
        <w:keepLines/>
        <w:jc w:val="both"/>
        <w:rPr>
          <w:szCs w:val="22"/>
        </w:rPr>
      </w:pPr>
    </w:p>
    <w:p w:rsidR="00A97E57" w:rsidRPr="004A3269" w:rsidRDefault="00A97E57" w:rsidP="00B7582E">
      <w:pPr>
        <w:keepNext/>
        <w:keepLines/>
        <w:jc w:val="center"/>
        <w:rPr>
          <w:rStyle w:val="hps"/>
        </w:rPr>
      </w:pPr>
      <w:r w:rsidRPr="004A3269">
        <w:rPr>
          <w:noProof/>
          <w:lang w:val="en-US"/>
        </w:rPr>
        <w:drawing>
          <wp:inline distT="0" distB="0" distL="0" distR="0" wp14:anchorId="6D725EF6" wp14:editId="57B1F781">
            <wp:extent cx="5977255" cy="1397689"/>
            <wp:effectExtent l="0" t="0" r="444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7255" cy="1397689"/>
                    </a:xfrm>
                    <a:prstGeom prst="rect">
                      <a:avLst/>
                    </a:prstGeom>
                    <a:noFill/>
                    <a:ln>
                      <a:noFill/>
                    </a:ln>
                  </pic:spPr>
                </pic:pic>
              </a:graphicData>
            </a:graphic>
          </wp:inline>
        </w:drawing>
      </w:r>
    </w:p>
    <w:p w:rsidR="00A97E57" w:rsidRPr="004A3269" w:rsidRDefault="00A97E57" w:rsidP="000B77A7">
      <w:pPr>
        <w:jc w:val="both"/>
        <w:rPr>
          <w:rStyle w:val="hps"/>
        </w:rPr>
      </w:pPr>
    </w:p>
    <w:p w:rsidR="00267140" w:rsidRPr="004A3269" w:rsidRDefault="00B1599D" w:rsidP="000B77A7">
      <w:pPr>
        <w:jc w:val="both"/>
        <w:rPr>
          <w:szCs w:val="22"/>
        </w:rPr>
      </w:pPr>
      <w:r w:rsidRPr="004A3269">
        <w:rPr>
          <w:rStyle w:val="hps"/>
        </w:rPr>
        <w:t>L</w:t>
      </w:r>
      <w:r w:rsidR="009021AA" w:rsidRPr="004A3269">
        <w:rPr>
          <w:rStyle w:val="hps"/>
        </w:rPr>
        <w:t>’</w:t>
      </w:r>
      <w:r w:rsidRPr="004A3269">
        <w:rPr>
          <w:rStyle w:val="hps"/>
        </w:rPr>
        <w:t>OMPI</w:t>
      </w:r>
      <w:r w:rsidRPr="004A3269">
        <w:t xml:space="preserve"> </w:t>
      </w:r>
      <w:r w:rsidRPr="004A3269">
        <w:rPr>
          <w:rStyle w:val="hps"/>
        </w:rPr>
        <w:t>applique</w:t>
      </w:r>
      <w:r w:rsidRPr="004A3269">
        <w:t xml:space="preserve"> </w:t>
      </w:r>
      <w:r w:rsidRPr="004A3269">
        <w:rPr>
          <w:rStyle w:val="hps"/>
        </w:rPr>
        <w:t>la méthode du corridor</w:t>
      </w:r>
      <w:r w:rsidRPr="004A3269">
        <w:t xml:space="preserve"> </w:t>
      </w:r>
      <w:r w:rsidRPr="004A3269">
        <w:rPr>
          <w:rStyle w:val="hps"/>
        </w:rPr>
        <w:t>pour la</w:t>
      </w:r>
      <w:r w:rsidRPr="004A3269">
        <w:t xml:space="preserve"> </w:t>
      </w:r>
      <w:r w:rsidRPr="004A3269">
        <w:rPr>
          <w:rStyle w:val="hps"/>
        </w:rPr>
        <w:t>comptabilisation des gains et</w:t>
      </w:r>
      <w:r w:rsidRPr="004A3269">
        <w:t xml:space="preserve"> </w:t>
      </w:r>
      <w:r w:rsidRPr="004A3269">
        <w:rPr>
          <w:rStyle w:val="hps"/>
        </w:rPr>
        <w:t xml:space="preserve">pertes actuariels </w:t>
      </w:r>
      <w:r w:rsidR="00A14228" w:rsidRPr="004A3269">
        <w:rPr>
          <w:rStyle w:val="hps"/>
        </w:rPr>
        <w:t>pour la cessation de service</w:t>
      </w:r>
      <w:r w:rsidRPr="004A3269">
        <w:t xml:space="preserve">.  </w:t>
      </w:r>
      <w:r w:rsidRPr="004A3269">
        <w:rPr>
          <w:rStyle w:val="hps"/>
        </w:rPr>
        <w:t>En vertu de cette</w:t>
      </w:r>
      <w:r w:rsidRPr="004A3269">
        <w:t xml:space="preserve"> </w:t>
      </w:r>
      <w:r w:rsidRPr="004A3269">
        <w:rPr>
          <w:rStyle w:val="hps"/>
        </w:rPr>
        <w:t>politique comptable</w:t>
      </w:r>
      <w:r w:rsidRPr="004A3269">
        <w:t xml:space="preserve">, </w:t>
      </w:r>
      <w:r w:rsidRPr="004A3269">
        <w:rPr>
          <w:rStyle w:val="hps"/>
        </w:rPr>
        <w:t>une partie des gains</w:t>
      </w:r>
      <w:r w:rsidRPr="004A3269">
        <w:t xml:space="preserve"> </w:t>
      </w:r>
      <w:r w:rsidRPr="004A3269">
        <w:rPr>
          <w:rStyle w:val="hps"/>
        </w:rPr>
        <w:t>et pertes actuariels</w:t>
      </w:r>
      <w:r w:rsidRPr="004A3269">
        <w:t xml:space="preserve"> </w:t>
      </w:r>
      <w:r w:rsidRPr="004A3269">
        <w:rPr>
          <w:rStyle w:val="hps"/>
        </w:rPr>
        <w:t>nets sont comptabilisés si les gains</w:t>
      </w:r>
      <w:r w:rsidRPr="004A3269">
        <w:t xml:space="preserve"> </w:t>
      </w:r>
      <w:r w:rsidRPr="004A3269">
        <w:rPr>
          <w:rStyle w:val="hps"/>
        </w:rPr>
        <w:t>et pertes</w:t>
      </w:r>
      <w:r w:rsidRPr="004A3269">
        <w:t xml:space="preserve"> nets </w:t>
      </w:r>
      <w:r w:rsidRPr="004A3269">
        <w:rPr>
          <w:rStyle w:val="hps"/>
        </w:rPr>
        <w:t>cumulés non comptabilisés</w:t>
      </w:r>
      <w:r w:rsidRPr="004A3269">
        <w:t xml:space="preserve"> </w:t>
      </w:r>
      <w:r w:rsidRPr="004A3269">
        <w:rPr>
          <w:rStyle w:val="hps"/>
        </w:rPr>
        <w:t>à la fin de</w:t>
      </w:r>
      <w:r w:rsidRPr="004A3269">
        <w:t xml:space="preserve"> </w:t>
      </w:r>
      <w:r w:rsidRPr="004A3269">
        <w:rPr>
          <w:rStyle w:val="hps"/>
        </w:rPr>
        <w:t>la période de clôture</w:t>
      </w:r>
      <w:r w:rsidRPr="004A3269">
        <w:t xml:space="preserve"> </w:t>
      </w:r>
      <w:r w:rsidRPr="004A3269">
        <w:rPr>
          <w:rStyle w:val="hps"/>
        </w:rPr>
        <w:t>précédente</w:t>
      </w:r>
      <w:r w:rsidRPr="004A3269">
        <w:t xml:space="preserve"> </w:t>
      </w:r>
      <w:r w:rsidRPr="004A3269">
        <w:rPr>
          <w:rStyle w:val="hps"/>
        </w:rPr>
        <w:t>dépassent</w:t>
      </w:r>
      <w:r w:rsidRPr="004A3269">
        <w:t xml:space="preserve"> </w:t>
      </w:r>
      <w:r w:rsidRPr="004A3269">
        <w:rPr>
          <w:rStyle w:val="hps"/>
        </w:rPr>
        <w:t>10%</w:t>
      </w:r>
      <w:r w:rsidRPr="004A3269">
        <w:t xml:space="preserve"> </w:t>
      </w:r>
      <w:r w:rsidRPr="004A3269">
        <w:rPr>
          <w:rStyle w:val="hps"/>
        </w:rPr>
        <w:t>de la valeur</w:t>
      </w:r>
      <w:r w:rsidRPr="004A3269">
        <w:t xml:space="preserve"> </w:t>
      </w:r>
      <w:r w:rsidRPr="004A3269">
        <w:rPr>
          <w:rStyle w:val="hps"/>
        </w:rPr>
        <w:t>actuelle de l</w:t>
      </w:r>
      <w:r w:rsidR="009021AA" w:rsidRPr="004A3269">
        <w:rPr>
          <w:rStyle w:val="hps"/>
        </w:rPr>
        <w:t>’</w:t>
      </w:r>
      <w:r w:rsidRPr="004A3269">
        <w:rPr>
          <w:rStyle w:val="hps"/>
        </w:rPr>
        <w:t>obligation</w:t>
      </w:r>
      <w:r w:rsidRPr="004A3269">
        <w:t xml:space="preserve"> </w:t>
      </w:r>
      <w:r w:rsidRPr="004A3269">
        <w:rPr>
          <w:rStyle w:val="hps"/>
        </w:rPr>
        <w:t>au titre des prestations</w:t>
      </w:r>
      <w:r w:rsidRPr="004A3269">
        <w:t xml:space="preserve"> </w:t>
      </w:r>
      <w:r w:rsidRPr="004A3269">
        <w:rPr>
          <w:rStyle w:val="hps"/>
        </w:rPr>
        <w:t>définie à cette date</w:t>
      </w:r>
      <w:r w:rsidRPr="004A3269">
        <w:t xml:space="preserve">.  </w:t>
      </w:r>
      <w:r w:rsidRPr="004A3269">
        <w:rPr>
          <w:rStyle w:val="hps"/>
        </w:rPr>
        <w:t>Le tableau</w:t>
      </w:r>
      <w:r w:rsidRPr="004A3269">
        <w:t xml:space="preserve"> </w:t>
      </w:r>
      <w:r w:rsidRPr="004A3269">
        <w:rPr>
          <w:rStyle w:val="hps"/>
        </w:rPr>
        <w:t>ci</w:t>
      </w:r>
      <w:r w:rsidR="00A17552" w:rsidRPr="004A3269">
        <w:rPr>
          <w:rStyle w:val="hps"/>
        </w:rPr>
        <w:noBreakHyphen/>
      </w:r>
      <w:r w:rsidRPr="004A3269">
        <w:rPr>
          <w:rStyle w:val="hps"/>
        </w:rPr>
        <w:t>dessous détaille</w:t>
      </w:r>
      <w:r w:rsidRPr="004A3269">
        <w:t xml:space="preserve"> </w:t>
      </w:r>
      <w:r w:rsidR="00D05DBD" w:rsidRPr="004A3269">
        <w:rPr>
          <w:rStyle w:val="hps"/>
        </w:rPr>
        <w:t>l</w:t>
      </w:r>
      <w:r w:rsidR="009021AA" w:rsidRPr="004A3269">
        <w:rPr>
          <w:rStyle w:val="hps"/>
        </w:rPr>
        <w:t>’</w:t>
      </w:r>
      <w:r w:rsidR="00D05DBD" w:rsidRPr="004A3269">
        <w:rPr>
          <w:rStyle w:val="hps"/>
        </w:rPr>
        <w:t>évolution</w:t>
      </w:r>
      <w:r w:rsidRPr="004A3269">
        <w:rPr>
          <w:rStyle w:val="hps"/>
        </w:rPr>
        <w:t xml:space="preserve"> de </w:t>
      </w:r>
      <w:r w:rsidR="00D05DBD" w:rsidRPr="004A3269">
        <w:rPr>
          <w:rStyle w:val="hps"/>
        </w:rPr>
        <w:t>l</w:t>
      </w:r>
      <w:r w:rsidR="009021AA" w:rsidRPr="004A3269">
        <w:rPr>
          <w:rStyle w:val="hps"/>
        </w:rPr>
        <w:t>’</w:t>
      </w:r>
      <w:r w:rsidR="00D05DBD" w:rsidRPr="004A3269">
        <w:rPr>
          <w:rStyle w:val="hps"/>
        </w:rPr>
        <w:t>obligation</w:t>
      </w:r>
      <w:r w:rsidR="00D05DBD" w:rsidRPr="004A3269">
        <w:t xml:space="preserve"> </w:t>
      </w:r>
      <w:r w:rsidR="00A14228" w:rsidRPr="004A3269">
        <w:rPr>
          <w:rStyle w:val="hps"/>
        </w:rPr>
        <w:t>au titre des prestations définies dans le cadre</w:t>
      </w:r>
      <w:r w:rsidR="00E80158" w:rsidRPr="004A3269">
        <w:rPr>
          <w:rStyle w:val="hps"/>
        </w:rPr>
        <w:t xml:space="preserve"> de</w:t>
      </w:r>
      <w:r w:rsidR="00A14228" w:rsidRPr="004A3269">
        <w:rPr>
          <w:rStyle w:val="hps"/>
        </w:rPr>
        <w:t xml:space="preserve"> </w:t>
      </w:r>
      <w:r w:rsidR="00AE7983" w:rsidRPr="004A3269">
        <w:rPr>
          <w:rStyle w:val="hps"/>
        </w:rPr>
        <w:t>l’assurance maladie après la cessation de service</w:t>
      </w:r>
      <w:r w:rsidRPr="004A3269">
        <w:t xml:space="preserve"> </w:t>
      </w:r>
      <w:r w:rsidRPr="004A3269">
        <w:rPr>
          <w:rStyle w:val="hps"/>
        </w:rPr>
        <w:t xml:space="preserve">et </w:t>
      </w:r>
      <w:r w:rsidR="00A14228" w:rsidRPr="004A3269">
        <w:rPr>
          <w:rStyle w:val="hps"/>
        </w:rPr>
        <w:t>rapproche</w:t>
      </w:r>
      <w:r w:rsidRPr="004A3269">
        <w:t xml:space="preserve"> </w:t>
      </w:r>
      <w:r w:rsidRPr="004A3269">
        <w:rPr>
          <w:rStyle w:val="hps"/>
        </w:rPr>
        <w:t>l</w:t>
      </w:r>
      <w:r w:rsidR="009021AA" w:rsidRPr="004A3269">
        <w:rPr>
          <w:rStyle w:val="hps"/>
        </w:rPr>
        <w:t>’</w:t>
      </w:r>
      <w:r w:rsidRPr="004A3269">
        <w:rPr>
          <w:rStyle w:val="hps"/>
        </w:rPr>
        <w:t>obligation</w:t>
      </w:r>
      <w:r w:rsidRPr="004A3269">
        <w:t xml:space="preserve"> </w:t>
      </w:r>
      <w:r w:rsidR="00A14228" w:rsidRPr="004A3269">
        <w:rPr>
          <w:rStyle w:val="hps"/>
        </w:rPr>
        <w:t>au titre des prestations définies de</w:t>
      </w:r>
      <w:r w:rsidRPr="004A3269">
        <w:rPr>
          <w:rStyle w:val="hps"/>
        </w:rPr>
        <w:t xml:space="preserve"> </w:t>
      </w:r>
      <w:r w:rsidR="00D05DBD" w:rsidRPr="004A3269">
        <w:rPr>
          <w:rStyle w:val="hps"/>
        </w:rPr>
        <w:t>l</w:t>
      </w:r>
      <w:r w:rsidR="009021AA" w:rsidRPr="004A3269">
        <w:rPr>
          <w:rStyle w:val="hps"/>
        </w:rPr>
        <w:t>’</w:t>
      </w:r>
      <w:r w:rsidR="00D05DBD" w:rsidRPr="004A3269">
        <w:rPr>
          <w:rStyle w:val="hps"/>
        </w:rPr>
        <w:t>obligation comptabilisée</w:t>
      </w:r>
      <w:r w:rsidRPr="004A3269">
        <w:rPr>
          <w:rStyle w:val="hps"/>
        </w:rPr>
        <w:t xml:space="preserve"> dans</w:t>
      </w:r>
      <w:r w:rsidRPr="004A3269">
        <w:t xml:space="preserve"> </w:t>
      </w:r>
      <w:r w:rsidRPr="004A3269">
        <w:rPr>
          <w:rStyle w:val="hps"/>
        </w:rPr>
        <w:t>l</w:t>
      </w:r>
      <w:r w:rsidR="009021AA" w:rsidRPr="004A3269">
        <w:rPr>
          <w:rStyle w:val="hps"/>
        </w:rPr>
        <w:t>’</w:t>
      </w:r>
      <w:r w:rsidRPr="004A3269">
        <w:t xml:space="preserve">état de la situation </w:t>
      </w:r>
      <w:r w:rsidRPr="004A3269">
        <w:rPr>
          <w:rStyle w:val="hps"/>
        </w:rPr>
        <w:t>financière </w:t>
      </w:r>
      <w:r w:rsidR="0050238E" w:rsidRPr="004A3269">
        <w:rPr>
          <w:rStyle w:val="hps"/>
        </w:rPr>
        <w:t>:</w:t>
      </w:r>
    </w:p>
    <w:p w:rsidR="00267140" w:rsidRPr="004A3269" w:rsidRDefault="00267140" w:rsidP="0050238E">
      <w:pPr>
        <w:jc w:val="center"/>
      </w:pPr>
    </w:p>
    <w:p w:rsidR="00A97E57" w:rsidRPr="004A3269" w:rsidRDefault="00A97E57" w:rsidP="0050238E">
      <w:pPr>
        <w:jc w:val="center"/>
      </w:pPr>
      <w:r w:rsidRPr="004A3269">
        <w:rPr>
          <w:noProof/>
          <w:lang w:val="en-US"/>
        </w:rPr>
        <w:drawing>
          <wp:inline distT="0" distB="0" distL="0" distR="0" wp14:anchorId="4B48BAFE" wp14:editId="403A8E18">
            <wp:extent cx="5977255" cy="1854608"/>
            <wp:effectExtent l="0" t="0" r="444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977255" cy="1854608"/>
                    </a:xfrm>
                    <a:prstGeom prst="rect">
                      <a:avLst/>
                    </a:prstGeom>
                    <a:noFill/>
                    <a:ln>
                      <a:noFill/>
                    </a:ln>
                  </pic:spPr>
                </pic:pic>
              </a:graphicData>
            </a:graphic>
          </wp:inline>
        </w:drawing>
      </w:r>
    </w:p>
    <w:p w:rsidR="00A97E57" w:rsidRPr="004A3269" w:rsidRDefault="00A97E57" w:rsidP="00A97E57"/>
    <w:p w:rsidR="00267140" w:rsidRPr="004A3269" w:rsidRDefault="00D05DBD" w:rsidP="00067E7E">
      <w:pPr>
        <w:jc w:val="both"/>
        <w:rPr>
          <w:szCs w:val="22"/>
        </w:rPr>
      </w:pPr>
      <w:r w:rsidRPr="004A3269">
        <w:rPr>
          <w:rStyle w:val="hps"/>
        </w:rPr>
        <w:t>Les cotisations versées par</w:t>
      </w:r>
      <w:r w:rsidRPr="004A3269">
        <w:t xml:space="preserve"> </w:t>
      </w:r>
      <w:r w:rsidRPr="004A3269">
        <w:rPr>
          <w:rStyle w:val="hps"/>
        </w:rPr>
        <w:t>l</w:t>
      </w:r>
      <w:r w:rsidR="009021AA" w:rsidRPr="004A3269">
        <w:rPr>
          <w:rStyle w:val="hps"/>
        </w:rPr>
        <w:t>’</w:t>
      </w:r>
      <w:r w:rsidRPr="004A3269">
        <w:rPr>
          <w:rStyle w:val="hps"/>
        </w:rPr>
        <w:t>Organisation au titre de l</w:t>
      </w:r>
      <w:r w:rsidR="009021AA" w:rsidRPr="004A3269">
        <w:rPr>
          <w:rStyle w:val="hps"/>
        </w:rPr>
        <w:t>’</w:t>
      </w:r>
      <w:r w:rsidRPr="004A3269">
        <w:rPr>
          <w:rStyle w:val="hps"/>
        </w:rPr>
        <w:t>assurance</w:t>
      </w:r>
      <w:r w:rsidR="00A17552" w:rsidRPr="004A3269">
        <w:noBreakHyphen/>
      </w:r>
      <w:r w:rsidRPr="004A3269">
        <w:t xml:space="preserve">maladie </w:t>
      </w:r>
      <w:r w:rsidR="00E1450E" w:rsidRPr="004A3269">
        <w:t xml:space="preserve">après la cessation de service </w:t>
      </w:r>
      <w:r w:rsidRPr="004A3269">
        <w:rPr>
          <w:rStyle w:val="hps"/>
        </w:rPr>
        <w:t>s</w:t>
      </w:r>
      <w:r w:rsidR="009021AA" w:rsidRPr="004A3269">
        <w:rPr>
          <w:rStyle w:val="hps"/>
        </w:rPr>
        <w:t>’</w:t>
      </w:r>
      <w:r w:rsidRPr="004A3269">
        <w:rPr>
          <w:rStyle w:val="hps"/>
        </w:rPr>
        <w:t>élevaient à</w:t>
      </w:r>
      <w:r w:rsidRPr="004A3269">
        <w:t xml:space="preserve"> </w:t>
      </w:r>
      <w:r w:rsidRPr="004A3269">
        <w:rPr>
          <w:rStyle w:val="hps"/>
        </w:rPr>
        <w:t>2,5 millions de francs</w:t>
      </w:r>
      <w:r w:rsidRPr="004A3269">
        <w:t xml:space="preserve"> </w:t>
      </w:r>
      <w:r w:rsidRPr="004A3269">
        <w:rPr>
          <w:rStyle w:val="hps"/>
        </w:rPr>
        <w:t>suisses en 2014</w:t>
      </w:r>
      <w:r w:rsidRPr="004A3269">
        <w:t xml:space="preserve"> </w:t>
      </w:r>
      <w:r w:rsidRPr="004A3269">
        <w:rPr>
          <w:rStyle w:val="hps"/>
        </w:rPr>
        <w:t>(2,3</w:t>
      </w:r>
      <w:r w:rsidRPr="004A3269">
        <w:t> </w:t>
      </w:r>
      <w:r w:rsidRPr="004A3269">
        <w:rPr>
          <w:rStyle w:val="hps"/>
        </w:rPr>
        <w:t>millions de francs suisses</w:t>
      </w:r>
      <w:r w:rsidRPr="004A3269">
        <w:t xml:space="preserve"> </w:t>
      </w:r>
      <w:r w:rsidRPr="004A3269">
        <w:rPr>
          <w:rStyle w:val="hps"/>
        </w:rPr>
        <w:t xml:space="preserve">en 2013).  </w:t>
      </w:r>
      <w:r w:rsidR="00083791" w:rsidRPr="004A3269">
        <w:rPr>
          <w:szCs w:val="22"/>
        </w:rPr>
        <w:t>En </w:t>
      </w:r>
      <w:r w:rsidR="00067E7E" w:rsidRPr="004A3269">
        <w:rPr>
          <w:szCs w:val="22"/>
        </w:rPr>
        <w:t xml:space="preserve">2015, les cotisations </w:t>
      </w:r>
      <w:r w:rsidRPr="004A3269">
        <w:rPr>
          <w:rStyle w:val="hps"/>
        </w:rPr>
        <w:t>prévues au titre de l</w:t>
      </w:r>
      <w:r w:rsidR="009021AA" w:rsidRPr="004A3269">
        <w:rPr>
          <w:rStyle w:val="hps"/>
        </w:rPr>
        <w:t>’</w:t>
      </w:r>
      <w:r w:rsidRPr="004A3269">
        <w:rPr>
          <w:rStyle w:val="hps"/>
        </w:rPr>
        <w:t>assurance</w:t>
      </w:r>
      <w:r w:rsidR="00A17552" w:rsidRPr="004A3269">
        <w:noBreakHyphen/>
      </w:r>
      <w:r w:rsidRPr="004A3269">
        <w:t xml:space="preserve">maladie </w:t>
      </w:r>
      <w:r w:rsidR="00E1450E" w:rsidRPr="004A3269">
        <w:t xml:space="preserve">après la cessation de service </w:t>
      </w:r>
      <w:r w:rsidR="00083791" w:rsidRPr="004A3269">
        <w:rPr>
          <w:szCs w:val="22"/>
        </w:rPr>
        <w:t>devraient représenter 2,7 </w:t>
      </w:r>
      <w:r w:rsidR="00067E7E" w:rsidRPr="004A3269">
        <w:rPr>
          <w:szCs w:val="22"/>
        </w:rPr>
        <w:t>millions de francs suisses.</w:t>
      </w:r>
    </w:p>
    <w:p w:rsidR="00267140" w:rsidRPr="004A3269" w:rsidRDefault="00267140" w:rsidP="00FB5583">
      <w:pPr>
        <w:jc w:val="both"/>
        <w:rPr>
          <w:szCs w:val="22"/>
        </w:rPr>
      </w:pPr>
    </w:p>
    <w:p w:rsidR="00267140" w:rsidRPr="004A3269" w:rsidRDefault="00D05DBD" w:rsidP="00FB5583">
      <w:pPr>
        <w:jc w:val="both"/>
        <w:rPr>
          <w:szCs w:val="22"/>
        </w:rPr>
      </w:pPr>
      <w:r w:rsidRPr="004A3269">
        <w:rPr>
          <w:rStyle w:val="hps"/>
        </w:rPr>
        <w:t>Le tableau ci</w:t>
      </w:r>
      <w:r w:rsidR="00A17552" w:rsidRPr="004A3269">
        <w:rPr>
          <w:rStyle w:val="hps"/>
        </w:rPr>
        <w:noBreakHyphen/>
      </w:r>
      <w:r w:rsidRPr="004A3269">
        <w:rPr>
          <w:rStyle w:val="hps"/>
        </w:rPr>
        <w:t>dessous détaille</w:t>
      </w:r>
      <w:r w:rsidRPr="004A3269">
        <w:t xml:space="preserve"> </w:t>
      </w:r>
      <w:r w:rsidRPr="004A3269">
        <w:rPr>
          <w:rStyle w:val="hps"/>
        </w:rPr>
        <w:t>la valeur actuelle</w:t>
      </w:r>
      <w:r w:rsidRPr="004A3269">
        <w:t xml:space="preserve"> </w:t>
      </w:r>
      <w:r w:rsidRPr="004A3269">
        <w:rPr>
          <w:rStyle w:val="hps"/>
        </w:rPr>
        <w:t>de l</w:t>
      </w:r>
      <w:r w:rsidR="009021AA" w:rsidRPr="004A3269">
        <w:rPr>
          <w:rStyle w:val="hps"/>
        </w:rPr>
        <w:t>’</w:t>
      </w:r>
      <w:r w:rsidRPr="004A3269">
        <w:rPr>
          <w:rStyle w:val="hps"/>
        </w:rPr>
        <w:t>obligation</w:t>
      </w:r>
      <w:r w:rsidRPr="004A3269">
        <w:t xml:space="preserve"> </w:t>
      </w:r>
      <w:r w:rsidR="00A14228" w:rsidRPr="004A3269">
        <w:rPr>
          <w:rStyle w:val="hps"/>
        </w:rPr>
        <w:t>au titre des prestations définies et des ajustements liés à l</w:t>
      </w:r>
      <w:r w:rsidR="009021AA" w:rsidRPr="004A3269">
        <w:rPr>
          <w:rStyle w:val="hps"/>
        </w:rPr>
        <w:t>’</w:t>
      </w:r>
      <w:r w:rsidRPr="004A3269">
        <w:rPr>
          <w:rStyle w:val="hps"/>
        </w:rPr>
        <w:t>expérience</w:t>
      </w:r>
      <w:r w:rsidRPr="004A3269">
        <w:t xml:space="preserve"> </w:t>
      </w:r>
      <w:r w:rsidR="00E80158" w:rsidRPr="004A3269">
        <w:rPr>
          <w:rStyle w:val="hps"/>
        </w:rPr>
        <w:t>concernant</w:t>
      </w:r>
      <w:r w:rsidRPr="004A3269">
        <w:rPr>
          <w:rStyle w:val="hps"/>
        </w:rPr>
        <w:t xml:space="preserve"> l</w:t>
      </w:r>
      <w:r w:rsidR="009021AA" w:rsidRPr="004A3269">
        <w:rPr>
          <w:rStyle w:val="hps"/>
        </w:rPr>
        <w:t>’</w:t>
      </w:r>
      <w:r w:rsidRPr="004A3269">
        <w:rPr>
          <w:rStyle w:val="hps"/>
        </w:rPr>
        <w:t xml:space="preserve">obligation </w:t>
      </w:r>
      <w:r w:rsidR="00A14228" w:rsidRPr="004A3269">
        <w:rPr>
          <w:rStyle w:val="hps"/>
        </w:rPr>
        <w:t>au titre de</w:t>
      </w:r>
      <w:r w:rsidRPr="004A3269">
        <w:rPr>
          <w:rStyle w:val="hps"/>
        </w:rPr>
        <w:t xml:space="preserve"> l</w:t>
      </w:r>
      <w:r w:rsidR="009021AA" w:rsidRPr="004A3269">
        <w:rPr>
          <w:rStyle w:val="hps"/>
        </w:rPr>
        <w:t>’</w:t>
      </w:r>
      <w:r w:rsidRPr="004A3269">
        <w:rPr>
          <w:rStyle w:val="hps"/>
        </w:rPr>
        <w:t>assurance</w:t>
      </w:r>
      <w:r w:rsidR="00A17552" w:rsidRPr="004A3269">
        <w:noBreakHyphen/>
      </w:r>
      <w:r w:rsidRPr="004A3269">
        <w:t xml:space="preserve">maladie </w:t>
      </w:r>
      <w:r w:rsidR="00E1450E" w:rsidRPr="004A3269">
        <w:t xml:space="preserve">après la cessation de service </w:t>
      </w:r>
      <w:r w:rsidRPr="004A3269">
        <w:rPr>
          <w:rStyle w:val="hps"/>
        </w:rPr>
        <w:t>pour 2014</w:t>
      </w:r>
      <w:r w:rsidRPr="004A3269">
        <w:t xml:space="preserve"> </w:t>
      </w:r>
      <w:r w:rsidRPr="004A3269">
        <w:rPr>
          <w:rStyle w:val="hps"/>
        </w:rPr>
        <w:t>et</w:t>
      </w:r>
      <w:r w:rsidRPr="004A3269">
        <w:t xml:space="preserve"> </w:t>
      </w:r>
      <w:r w:rsidRPr="004A3269">
        <w:rPr>
          <w:rStyle w:val="hps"/>
        </w:rPr>
        <w:t>les</w:t>
      </w:r>
      <w:r w:rsidRPr="004A3269">
        <w:t xml:space="preserve"> quatre</w:t>
      </w:r>
      <w:r w:rsidR="00067463" w:rsidRPr="004A3269">
        <w:t> </w:t>
      </w:r>
      <w:r w:rsidRPr="004A3269">
        <w:rPr>
          <w:rStyle w:val="hps"/>
        </w:rPr>
        <w:t>années précédentes </w:t>
      </w:r>
      <w:r w:rsidR="00D90B0B" w:rsidRPr="004A3269">
        <w:rPr>
          <w:rStyle w:val="hps"/>
        </w:rPr>
        <w:t>:</w:t>
      </w:r>
    </w:p>
    <w:p w:rsidR="00267140" w:rsidRPr="004A3269" w:rsidRDefault="00267140" w:rsidP="00FB5583">
      <w:pPr>
        <w:jc w:val="both"/>
        <w:rPr>
          <w:szCs w:val="22"/>
        </w:rPr>
      </w:pPr>
    </w:p>
    <w:p w:rsidR="004A3269" w:rsidRPr="004A3269" w:rsidRDefault="004A3269" w:rsidP="00FB5583">
      <w:pPr>
        <w:jc w:val="both"/>
        <w:rPr>
          <w:rStyle w:val="hps"/>
        </w:rPr>
      </w:pPr>
      <w:r w:rsidRPr="004A3269">
        <w:rPr>
          <w:noProof/>
          <w:lang w:val="en-US"/>
        </w:rPr>
        <w:drawing>
          <wp:inline distT="0" distB="0" distL="0" distR="0" wp14:anchorId="4AEA9BFA" wp14:editId="256EADE6">
            <wp:extent cx="5977255" cy="110713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77255" cy="1107130"/>
                    </a:xfrm>
                    <a:prstGeom prst="rect">
                      <a:avLst/>
                    </a:prstGeom>
                    <a:noFill/>
                    <a:ln>
                      <a:noFill/>
                    </a:ln>
                  </pic:spPr>
                </pic:pic>
              </a:graphicData>
            </a:graphic>
          </wp:inline>
        </w:drawing>
      </w:r>
    </w:p>
    <w:p w:rsidR="004A3269" w:rsidRPr="004A3269" w:rsidRDefault="004A3269" w:rsidP="00FB5583">
      <w:pPr>
        <w:jc w:val="both"/>
        <w:rPr>
          <w:rStyle w:val="hps"/>
        </w:rPr>
      </w:pPr>
    </w:p>
    <w:p w:rsidR="00267140" w:rsidRPr="004A3269" w:rsidRDefault="00D05DBD" w:rsidP="00B7582E">
      <w:pPr>
        <w:keepNext/>
        <w:keepLines/>
        <w:jc w:val="both"/>
        <w:rPr>
          <w:szCs w:val="22"/>
        </w:rPr>
      </w:pPr>
      <w:r w:rsidRPr="004A3269">
        <w:rPr>
          <w:rStyle w:val="hps"/>
        </w:rPr>
        <w:lastRenderedPageBreak/>
        <w:t>Les principales hypothèses</w:t>
      </w:r>
      <w:r w:rsidRPr="004A3269">
        <w:t xml:space="preserve"> </w:t>
      </w:r>
      <w:r w:rsidRPr="004A3269">
        <w:rPr>
          <w:rStyle w:val="hps"/>
        </w:rPr>
        <w:t>utilisées pour déterminer</w:t>
      </w:r>
      <w:r w:rsidRPr="004A3269">
        <w:t xml:space="preserve"> </w:t>
      </w:r>
      <w:r w:rsidRPr="004A3269">
        <w:rPr>
          <w:rStyle w:val="hps"/>
        </w:rPr>
        <w:t>l</w:t>
      </w:r>
      <w:r w:rsidR="009021AA" w:rsidRPr="004A3269">
        <w:rPr>
          <w:rStyle w:val="hps"/>
        </w:rPr>
        <w:t>’</w:t>
      </w:r>
      <w:r w:rsidRPr="004A3269">
        <w:rPr>
          <w:rStyle w:val="hps"/>
        </w:rPr>
        <w:t xml:space="preserve">obligation </w:t>
      </w:r>
      <w:r w:rsidR="000928B0" w:rsidRPr="004A3269">
        <w:rPr>
          <w:rStyle w:val="hps"/>
        </w:rPr>
        <w:t>relative à</w:t>
      </w:r>
      <w:r w:rsidRPr="004A3269">
        <w:rPr>
          <w:rStyle w:val="hps"/>
        </w:rPr>
        <w:t xml:space="preserve"> l</w:t>
      </w:r>
      <w:r w:rsidR="009021AA" w:rsidRPr="004A3269">
        <w:rPr>
          <w:rStyle w:val="hps"/>
        </w:rPr>
        <w:t>’</w:t>
      </w:r>
      <w:r w:rsidRPr="004A3269">
        <w:rPr>
          <w:rStyle w:val="hps"/>
        </w:rPr>
        <w:t>assurance</w:t>
      </w:r>
      <w:r w:rsidR="00A17552" w:rsidRPr="004A3269">
        <w:noBreakHyphen/>
      </w:r>
      <w:r w:rsidRPr="004A3269">
        <w:t xml:space="preserve">maladie </w:t>
      </w:r>
      <w:r w:rsidR="00E1450E" w:rsidRPr="004A3269">
        <w:t xml:space="preserve">après la cessation de service </w:t>
      </w:r>
      <w:r w:rsidRPr="004A3269">
        <w:rPr>
          <w:rStyle w:val="hps"/>
        </w:rPr>
        <w:t>et l</w:t>
      </w:r>
      <w:r w:rsidR="009021AA" w:rsidRPr="004A3269">
        <w:rPr>
          <w:rStyle w:val="hps"/>
        </w:rPr>
        <w:t>’</w:t>
      </w:r>
      <w:r w:rsidRPr="004A3269">
        <w:rPr>
          <w:rStyle w:val="hps"/>
        </w:rPr>
        <w:t>obligation</w:t>
      </w:r>
      <w:r w:rsidRPr="004A3269">
        <w:t xml:space="preserve"> </w:t>
      </w:r>
      <w:r w:rsidR="00A14228" w:rsidRPr="004A3269">
        <w:rPr>
          <w:rStyle w:val="hps"/>
        </w:rPr>
        <w:t xml:space="preserve">au titre des prestations définies </w:t>
      </w:r>
      <w:r w:rsidRPr="004A3269">
        <w:rPr>
          <w:rStyle w:val="hps"/>
        </w:rPr>
        <w:t>étaient les suivantes </w:t>
      </w:r>
      <w:r w:rsidR="00FB5583" w:rsidRPr="004A3269">
        <w:rPr>
          <w:rStyle w:val="hps"/>
        </w:rPr>
        <w:t>:</w:t>
      </w:r>
    </w:p>
    <w:p w:rsidR="00267140" w:rsidRPr="004A3269" w:rsidRDefault="00267140" w:rsidP="00B7582E">
      <w:pPr>
        <w:keepNext/>
        <w:keepLines/>
        <w:jc w:val="both"/>
        <w:rPr>
          <w:szCs w:val="22"/>
        </w:rPr>
      </w:pPr>
    </w:p>
    <w:p w:rsidR="00267140" w:rsidRPr="004A3269" w:rsidRDefault="00A97E57" w:rsidP="00B7582E">
      <w:pPr>
        <w:keepNext/>
        <w:keepLines/>
        <w:jc w:val="both"/>
        <w:rPr>
          <w:szCs w:val="22"/>
        </w:rPr>
      </w:pPr>
      <w:r w:rsidRPr="004A3269">
        <w:rPr>
          <w:noProof/>
          <w:lang w:val="en-US"/>
        </w:rPr>
        <w:drawing>
          <wp:inline distT="0" distB="0" distL="0" distR="0" wp14:anchorId="3F7F3081" wp14:editId="0D749C02">
            <wp:extent cx="5977255" cy="3142180"/>
            <wp:effectExtent l="0" t="0" r="4445" b="127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77255" cy="3142180"/>
                    </a:xfrm>
                    <a:prstGeom prst="rect">
                      <a:avLst/>
                    </a:prstGeom>
                    <a:noFill/>
                    <a:ln>
                      <a:noFill/>
                    </a:ln>
                  </pic:spPr>
                </pic:pic>
              </a:graphicData>
            </a:graphic>
          </wp:inline>
        </w:drawing>
      </w:r>
    </w:p>
    <w:p w:rsidR="00267140" w:rsidRPr="004A3269" w:rsidRDefault="000928B0" w:rsidP="00F73C5E">
      <w:pPr>
        <w:jc w:val="both"/>
        <w:rPr>
          <w:szCs w:val="22"/>
        </w:rPr>
      </w:pPr>
      <w:r w:rsidRPr="004A3269">
        <w:t xml:space="preserve">Le taux </w:t>
      </w:r>
      <w:r w:rsidR="00505179" w:rsidRPr="004A3269">
        <w:t>tendanciel</w:t>
      </w:r>
      <w:r w:rsidRPr="004A3269">
        <w:t xml:space="preserve"> du coût des soins de santé assumé a une incidence significative sur les montants calculés pour </w:t>
      </w:r>
      <w:r w:rsidR="0010173A" w:rsidRPr="004A3269">
        <w:rPr>
          <w:rStyle w:val="hps"/>
        </w:rPr>
        <w:t>l</w:t>
      </w:r>
      <w:r w:rsidR="009021AA" w:rsidRPr="004A3269">
        <w:rPr>
          <w:rStyle w:val="hps"/>
        </w:rPr>
        <w:t>’</w:t>
      </w:r>
      <w:r w:rsidR="0010173A" w:rsidRPr="004A3269">
        <w:rPr>
          <w:rStyle w:val="hps"/>
        </w:rPr>
        <w:t>obligation relative à l</w:t>
      </w:r>
      <w:r w:rsidR="009021AA" w:rsidRPr="004A3269">
        <w:rPr>
          <w:rStyle w:val="hps"/>
        </w:rPr>
        <w:t>’</w:t>
      </w:r>
      <w:r w:rsidR="0010173A" w:rsidRPr="004A3269">
        <w:rPr>
          <w:rStyle w:val="hps"/>
        </w:rPr>
        <w:t>assurance</w:t>
      </w:r>
      <w:r w:rsidR="00A17552" w:rsidRPr="004A3269">
        <w:noBreakHyphen/>
      </w:r>
      <w:r w:rsidR="0010173A" w:rsidRPr="004A3269">
        <w:t xml:space="preserve">maladie </w:t>
      </w:r>
      <w:r w:rsidR="00A74760" w:rsidRPr="004A3269">
        <w:t>après la cessation</w:t>
      </w:r>
      <w:r w:rsidR="0010173A" w:rsidRPr="004A3269">
        <w:t xml:space="preserve"> de service</w:t>
      </w:r>
      <w:r w:rsidRPr="004A3269">
        <w:t>.  Une variation d</w:t>
      </w:r>
      <w:r w:rsidR="009021AA" w:rsidRPr="004A3269">
        <w:t>’</w:t>
      </w:r>
      <w:r w:rsidRPr="004A3269">
        <w:t>un point de pourcentage de ce taux aurait les effets ci</w:t>
      </w:r>
      <w:r w:rsidR="00A17552" w:rsidRPr="004A3269">
        <w:noBreakHyphen/>
      </w:r>
      <w:r w:rsidRPr="004A3269">
        <w:t>après </w:t>
      </w:r>
      <w:r w:rsidR="00121F5E" w:rsidRPr="004A3269">
        <w:rPr>
          <w:szCs w:val="22"/>
        </w:rPr>
        <w:t>:</w:t>
      </w:r>
    </w:p>
    <w:p w:rsidR="00267140" w:rsidRPr="004A3269" w:rsidRDefault="00267140" w:rsidP="007C6D77">
      <w:pPr>
        <w:jc w:val="both"/>
        <w:rPr>
          <w:szCs w:val="22"/>
        </w:rPr>
      </w:pPr>
    </w:p>
    <w:p w:rsidR="00267140" w:rsidRPr="004A3269" w:rsidRDefault="00A97E57" w:rsidP="007C6D77">
      <w:pPr>
        <w:pStyle w:val="Style3"/>
        <w:spacing w:after="0"/>
        <w:rPr>
          <w:b/>
        </w:rPr>
      </w:pPr>
      <w:r w:rsidRPr="004A3269">
        <w:rPr>
          <w:noProof/>
          <w:lang w:val="en-US"/>
        </w:rPr>
        <w:drawing>
          <wp:inline distT="0" distB="0" distL="0" distR="0" wp14:anchorId="3FBED5CE" wp14:editId="171D2178">
            <wp:extent cx="5977255" cy="2258250"/>
            <wp:effectExtent l="0" t="0" r="4445"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77255" cy="2258250"/>
                    </a:xfrm>
                    <a:prstGeom prst="rect">
                      <a:avLst/>
                    </a:prstGeom>
                    <a:noFill/>
                    <a:ln>
                      <a:noFill/>
                    </a:ln>
                  </pic:spPr>
                </pic:pic>
              </a:graphicData>
            </a:graphic>
          </wp:inline>
        </w:drawing>
      </w:r>
    </w:p>
    <w:p w:rsidR="00A97E57" w:rsidRPr="004A3269" w:rsidRDefault="00A97E57" w:rsidP="007C6D77">
      <w:pPr>
        <w:pStyle w:val="Style3"/>
        <w:spacing w:after="0"/>
        <w:rPr>
          <w:b/>
        </w:rPr>
      </w:pPr>
    </w:p>
    <w:p w:rsidR="00A97E57" w:rsidRPr="004A3269" w:rsidRDefault="00A97E57" w:rsidP="00067E7E">
      <w:pPr>
        <w:pStyle w:val="Style3"/>
        <w:spacing w:after="0"/>
        <w:rPr>
          <w:b/>
        </w:rPr>
      </w:pPr>
    </w:p>
    <w:p w:rsidR="00267140" w:rsidRPr="004A3269" w:rsidRDefault="00067E7E" w:rsidP="00067E7E">
      <w:pPr>
        <w:pStyle w:val="Style3"/>
        <w:spacing w:after="0"/>
        <w:rPr>
          <w:b/>
        </w:rPr>
      </w:pPr>
      <w:r w:rsidRPr="004A3269">
        <w:rPr>
          <w:b/>
        </w:rPr>
        <w:t xml:space="preserve">Caisse commune des pensions du personnel des </w:t>
      </w:r>
      <w:r w:rsidR="009021AA" w:rsidRPr="004A3269">
        <w:rPr>
          <w:b/>
        </w:rPr>
        <w:t>Nations Unies</w:t>
      </w:r>
    </w:p>
    <w:p w:rsidR="00267140" w:rsidRPr="004A3269" w:rsidRDefault="00267140" w:rsidP="007C6D77">
      <w:pPr>
        <w:pStyle w:val="Style3"/>
        <w:spacing w:after="0"/>
        <w:rPr>
          <w:szCs w:val="22"/>
        </w:rPr>
      </w:pPr>
    </w:p>
    <w:p w:rsidR="009021AA" w:rsidRPr="004A3269" w:rsidRDefault="00067E7E" w:rsidP="00067E7E">
      <w:pPr>
        <w:autoSpaceDE w:val="0"/>
        <w:autoSpaceDN w:val="0"/>
        <w:adjustRightInd w:val="0"/>
        <w:jc w:val="both"/>
        <w:rPr>
          <w:szCs w:val="22"/>
        </w:rPr>
      </w:pPr>
      <w:r w:rsidRPr="004A3269">
        <w:rPr>
          <w:szCs w:val="22"/>
        </w:rPr>
        <w:t xml:space="preserve">Conformément au règlement de la Caisse commune des pensions du personnel des </w:t>
      </w:r>
      <w:r w:rsidR="009021AA" w:rsidRPr="004A3269">
        <w:rPr>
          <w:szCs w:val="22"/>
        </w:rPr>
        <w:t>Nations Unies</w:t>
      </w:r>
      <w:r w:rsidRPr="004A3269">
        <w:rPr>
          <w:szCs w:val="22"/>
        </w:rPr>
        <w:t>, le Comité mixte de ladite Caisse devra faire établir une évaluation actuarielle de la Caisse par un actuaire indépendant au moins une fois tous les trois</w:t>
      </w:r>
      <w:r w:rsidR="00067463" w:rsidRPr="004A3269">
        <w:rPr>
          <w:szCs w:val="22"/>
        </w:rPr>
        <w:t> </w:t>
      </w:r>
      <w:r w:rsidRPr="004A3269">
        <w:rPr>
          <w:szCs w:val="22"/>
        </w:rPr>
        <w:t>ans.</w:t>
      </w:r>
      <w:r w:rsidR="00266221" w:rsidRPr="004A3269">
        <w:t xml:space="preserve">  </w:t>
      </w:r>
      <w:r w:rsidRPr="004A3269">
        <w:rPr>
          <w:szCs w:val="22"/>
        </w:rPr>
        <w:t>Dans la pratique, à ce jour, le Comité mixe a effectué cette évaluation actuarielle tous les deux</w:t>
      </w:r>
      <w:r w:rsidR="00067463" w:rsidRPr="004A3269">
        <w:rPr>
          <w:szCs w:val="22"/>
        </w:rPr>
        <w:t> </w:t>
      </w:r>
      <w:r w:rsidRPr="004A3269">
        <w:rPr>
          <w:szCs w:val="22"/>
        </w:rPr>
        <w:t>ans, à l</w:t>
      </w:r>
      <w:r w:rsidR="009021AA" w:rsidRPr="004A3269">
        <w:rPr>
          <w:szCs w:val="22"/>
        </w:rPr>
        <w:t>’</w:t>
      </w:r>
      <w:r w:rsidRPr="004A3269">
        <w:rPr>
          <w:szCs w:val="22"/>
        </w:rPr>
        <w:t>aide de la méthode des agrégats avec entrants.</w:t>
      </w:r>
      <w:r w:rsidR="00266221" w:rsidRPr="004A3269">
        <w:t xml:space="preserve"> </w:t>
      </w:r>
      <w:r w:rsidR="00083791" w:rsidRPr="004A3269">
        <w:t xml:space="preserve"> </w:t>
      </w:r>
      <w:r w:rsidRPr="004A3269">
        <w:rPr>
          <w:szCs w:val="22"/>
        </w:rPr>
        <w:t>Cette évaluation actuarielle a pour objectif premier de déterminer si les avoirs actuels et futurs estimés de la Caisse des pensions seront suffisants pour honorer son passif.</w:t>
      </w:r>
    </w:p>
    <w:p w:rsidR="00267140" w:rsidRPr="004A3269" w:rsidRDefault="00267140" w:rsidP="00266221">
      <w:pPr>
        <w:autoSpaceDE w:val="0"/>
        <w:autoSpaceDN w:val="0"/>
        <w:adjustRightInd w:val="0"/>
        <w:jc w:val="both"/>
        <w:rPr>
          <w:szCs w:val="22"/>
        </w:rPr>
      </w:pPr>
    </w:p>
    <w:p w:rsidR="00267140" w:rsidRPr="004A3269" w:rsidRDefault="00067E7E" w:rsidP="00067E7E">
      <w:pPr>
        <w:autoSpaceDE w:val="0"/>
        <w:autoSpaceDN w:val="0"/>
        <w:adjustRightInd w:val="0"/>
        <w:jc w:val="both"/>
        <w:rPr>
          <w:szCs w:val="22"/>
        </w:rPr>
      </w:pPr>
      <w:r w:rsidRPr="004A3269">
        <w:rPr>
          <w:szCs w:val="22"/>
        </w:rPr>
        <w:lastRenderedPageBreak/>
        <w:t>Sur le plan financier, l</w:t>
      </w:r>
      <w:r w:rsidR="009021AA" w:rsidRPr="004A3269">
        <w:rPr>
          <w:szCs w:val="22"/>
        </w:rPr>
        <w:t>’</w:t>
      </w:r>
      <w:r w:rsidRPr="004A3269">
        <w:rPr>
          <w:szCs w:val="22"/>
        </w:rPr>
        <w:t>OMPI est tenue de verser à la Caisse des pensions, sa cotisation obligatoire au taux fixé par l</w:t>
      </w:r>
      <w:r w:rsidR="009021AA" w:rsidRPr="004A3269">
        <w:rPr>
          <w:szCs w:val="22"/>
        </w:rPr>
        <w:t>’</w:t>
      </w:r>
      <w:r w:rsidRPr="004A3269">
        <w:rPr>
          <w:szCs w:val="22"/>
        </w:rPr>
        <w:t>Assemblée générale des Nations unies (actuellement de 7,9% pour les participants et 15,8% pour les organisations membres) plus la part de tous les paiements actuariels dus à titre comp</w:t>
      </w:r>
      <w:r w:rsidR="00083791" w:rsidRPr="004A3269">
        <w:rPr>
          <w:szCs w:val="22"/>
        </w:rPr>
        <w:t>ensatoire en vertu de l</w:t>
      </w:r>
      <w:r w:rsidR="009021AA" w:rsidRPr="004A3269">
        <w:rPr>
          <w:szCs w:val="22"/>
        </w:rPr>
        <w:t>’</w:t>
      </w:r>
      <w:r w:rsidR="00083791" w:rsidRPr="004A3269">
        <w:rPr>
          <w:szCs w:val="22"/>
        </w:rPr>
        <w:t>article </w:t>
      </w:r>
      <w:r w:rsidRPr="004A3269">
        <w:rPr>
          <w:szCs w:val="22"/>
        </w:rPr>
        <w:t>26 des statuts de la Caisse des pensions.</w:t>
      </w:r>
      <w:r w:rsidR="00266221" w:rsidRPr="004A3269">
        <w:t xml:space="preserve"> </w:t>
      </w:r>
      <w:r w:rsidR="00083791" w:rsidRPr="004A3269">
        <w:t xml:space="preserve"> </w:t>
      </w:r>
      <w:r w:rsidRPr="004A3269">
        <w:rPr>
          <w:szCs w:val="22"/>
        </w:rPr>
        <w:t>Les sommes nécessaires pour combler le déficit ne sont dues que dès lors que l</w:t>
      </w:r>
      <w:r w:rsidR="009021AA" w:rsidRPr="004A3269">
        <w:rPr>
          <w:szCs w:val="22"/>
        </w:rPr>
        <w:t>’</w:t>
      </w:r>
      <w:r w:rsidRPr="004A3269">
        <w:rPr>
          <w:szCs w:val="22"/>
        </w:rPr>
        <w:t xml:space="preserve">Assemblée générale des </w:t>
      </w:r>
      <w:r w:rsidR="009021AA" w:rsidRPr="004A3269">
        <w:rPr>
          <w:szCs w:val="22"/>
        </w:rPr>
        <w:t>Nations Unies</w:t>
      </w:r>
      <w:r w:rsidRPr="004A3269">
        <w:rPr>
          <w:szCs w:val="22"/>
        </w:rPr>
        <w:t xml:space="preserve"> a invo</w:t>
      </w:r>
      <w:r w:rsidR="00083791" w:rsidRPr="004A3269">
        <w:rPr>
          <w:szCs w:val="22"/>
        </w:rPr>
        <w:t>qué la disposition de l</w:t>
      </w:r>
      <w:r w:rsidR="009021AA" w:rsidRPr="004A3269">
        <w:rPr>
          <w:szCs w:val="22"/>
        </w:rPr>
        <w:t>’</w:t>
      </w:r>
      <w:r w:rsidR="00083791" w:rsidRPr="004A3269">
        <w:rPr>
          <w:szCs w:val="22"/>
        </w:rPr>
        <w:t>article </w:t>
      </w:r>
      <w:r w:rsidRPr="004A3269">
        <w:rPr>
          <w:szCs w:val="22"/>
        </w:rPr>
        <w:t>26 après avoir constaté qu</w:t>
      </w:r>
      <w:r w:rsidR="009021AA" w:rsidRPr="004A3269">
        <w:rPr>
          <w:szCs w:val="22"/>
        </w:rPr>
        <w:t>’</w:t>
      </w:r>
      <w:r w:rsidRPr="004A3269">
        <w:rPr>
          <w:szCs w:val="22"/>
        </w:rPr>
        <w:t>une évaluation actuarielle justifie – au moment de l</w:t>
      </w:r>
      <w:r w:rsidR="009021AA" w:rsidRPr="004A3269">
        <w:rPr>
          <w:szCs w:val="22"/>
        </w:rPr>
        <w:t>’</w:t>
      </w:r>
      <w:r w:rsidRPr="004A3269">
        <w:rPr>
          <w:szCs w:val="22"/>
        </w:rPr>
        <w:t>évaluation – que le déficit soit comblé.</w:t>
      </w:r>
      <w:r w:rsidR="00266221" w:rsidRPr="004A3269">
        <w:t xml:space="preserve"> </w:t>
      </w:r>
      <w:r w:rsidR="00083791" w:rsidRPr="004A3269">
        <w:t xml:space="preserve"> </w:t>
      </w:r>
      <w:r w:rsidRPr="004A3269">
        <w:rPr>
          <w:szCs w:val="22"/>
        </w:rPr>
        <w:t>Chaque organisation affiliée contribue au comblement du déficit au prorata des cotisations totales qu</w:t>
      </w:r>
      <w:r w:rsidR="009021AA" w:rsidRPr="004A3269">
        <w:rPr>
          <w:szCs w:val="22"/>
        </w:rPr>
        <w:t>’</w:t>
      </w:r>
      <w:r w:rsidRPr="004A3269">
        <w:rPr>
          <w:szCs w:val="22"/>
        </w:rPr>
        <w:t>elle a versées pendant les trois</w:t>
      </w:r>
      <w:r w:rsidR="00067463" w:rsidRPr="004A3269">
        <w:rPr>
          <w:szCs w:val="22"/>
        </w:rPr>
        <w:t> </w:t>
      </w:r>
      <w:r w:rsidRPr="004A3269">
        <w:rPr>
          <w:szCs w:val="22"/>
        </w:rPr>
        <w:t>années précédant l</w:t>
      </w:r>
      <w:r w:rsidR="009021AA" w:rsidRPr="004A3269">
        <w:rPr>
          <w:szCs w:val="22"/>
        </w:rPr>
        <w:t>’</w:t>
      </w:r>
      <w:r w:rsidRPr="004A3269">
        <w:rPr>
          <w:szCs w:val="22"/>
        </w:rPr>
        <w:t>évaluation actuarielle.</w:t>
      </w:r>
    </w:p>
    <w:p w:rsidR="00267140" w:rsidRPr="004A3269" w:rsidRDefault="00267140" w:rsidP="00266221">
      <w:pPr>
        <w:autoSpaceDE w:val="0"/>
        <w:autoSpaceDN w:val="0"/>
        <w:adjustRightInd w:val="0"/>
        <w:jc w:val="both"/>
        <w:rPr>
          <w:szCs w:val="22"/>
        </w:rPr>
      </w:pPr>
    </w:p>
    <w:p w:rsidR="00267140" w:rsidRPr="004A3269" w:rsidRDefault="003E197A" w:rsidP="003E197A">
      <w:pPr>
        <w:tabs>
          <w:tab w:val="num" w:pos="1080"/>
        </w:tabs>
        <w:autoSpaceDE w:val="0"/>
        <w:autoSpaceDN w:val="0"/>
        <w:adjustRightInd w:val="0"/>
        <w:jc w:val="both"/>
        <w:rPr>
          <w:szCs w:val="22"/>
        </w:rPr>
      </w:pPr>
      <w:r w:rsidRPr="004A3269">
        <w:rPr>
          <w:szCs w:val="22"/>
        </w:rPr>
        <w:t>L</w:t>
      </w:r>
      <w:r w:rsidR="009021AA" w:rsidRPr="004A3269">
        <w:rPr>
          <w:szCs w:val="22"/>
        </w:rPr>
        <w:t>’</w:t>
      </w:r>
      <w:r w:rsidRPr="004A3269">
        <w:rPr>
          <w:szCs w:val="22"/>
        </w:rPr>
        <w:t>évaluation actuarielle établie au 31</w:t>
      </w:r>
      <w:r w:rsidR="00083791" w:rsidRPr="004A3269">
        <w:rPr>
          <w:szCs w:val="22"/>
        </w:rPr>
        <w:t> décembre </w:t>
      </w:r>
      <w:r w:rsidRPr="004A3269">
        <w:rPr>
          <w:szCs w:val="22"/>
        </w:rPr>
        <w:t>2013 a mis en évidence un déficit actuariel de 0,72% (contre 1,87% dans l</w:t>
      </w:r>
      <w:r w:rsidR="009021AA" w:rsidRPr="004A3269">
        <w:rPr>
          <w:szCs w:val="22"/>
        </w:rPr>
        <w:t>’</w:t>
      </w:r>
      <w:r w:rsidRPr="004A3269">
        <w:rPr>
          <w:szCs w:val="22"/>
        </w:rPr>
        <w:t>évaluation de</w:t>
      </w:r>
      <w:r w:rsidR="00067463" w:rsidRPr="004A3269">
        <w:rPr>
          <w:szCs w:val="22"/>
        </w:rPr>
        <w:t> </w:t>
      </w:r>
      <w:r w:rsidRPr="004A3269">
        <w:rPr>
          <w:szCs w:val="22"/>
        </w:rPr>
        <w:t>2011) de la rémunération considérée au titre de la pension.  Ces chiffres permettent d</w:t>
      </w:r>
      <w:r w:rsidR="009021AA" w:rsidRPr="004A3269">
        <w:rPr>
          <w:szCs w:val="22"/>
        </w:rPr>
        <w:t>’</w:t>
      </w:r>
      <w:r w:rsidRPr="004A3269">
        <w:rPr>
          <w:szCs w:val="22"/>
        </w:rPr>
        <w:t>avancer que le taux de cotisation théoriquement requis pour atteindre l</w:t>
      </w:r>
      <w:r w:rsidR="009021AA" w:rsidRPr="004A3269">
        <w:rPr>
          <w:szCs w:val="22"/>
        </w:rPr>
        <w:t>’</w:t>
      </w:r>
      <w:r w:rsidRPr="004A3269">
        <w:rPr>
          <w:szCs w:val="22"/>
        </w:rPr>
        <w:t xml:space="preserve">équilibre au </w:t>
      </w:r>
      <w:r w:rsidR="00A0797A" w:rsidRPr="004A3269">
        <w:rPr>
          <w:szCs w:val="22"/>
        </w:rPr>
        <w:t>31 décembre </w:t>
      </w:r>
      <w:r w:rsidRPr="004A3269">
        <w:rPr>
          <w:szCs w:val="22"/>
        </w:rPr>
        <w:t>2013 se montait à 24,42% de la rémunération considérée aux fins de la pension et non pas au taux actuellement fixé à 23,7%.</w:t>
      </w:r>
      <w:r w:rsidR="00266221" w:rsidRPr="004A3269">
        <w:rPr>
          <w:szCs w:val="22"/>
        </w:rPr>
        <w:t xml:space="preserve"> </w:t>
      </w:r>
      <w:r w:rsidR="00083791" w:rsidRPr="004A3269">
        <w:rPr>
          <w:szCs w:val="22"/>
        </w:rPr>
        <w:t xml:space="preserve"> </w:t>
      </w:r>
      <w:r w:rsidRPr="004A3269">
        <w:rPr>
          <w:szCs w:val="22"/>
        </w:rPr>
        <w:t xml:space="preserve">La prochaine évaluation actuarielle aura lieu à compter du </w:t>
      </w:r>
      <w:r w:rsidR="00A0797A" w:rsidRPr="004A3269">
        <w:rPr>
          <w:szCs w:val="22"/>
        </w:rPr>
        <w:t>31 décembre </w:t>
      </w:r>
      <w:r w:rsidRPr="004A3269">
        <w:rPr>
          <w:szCs w:val="22"/>
        </w:rPr>
        <w:t>2015.</w:t>
      </w:r>
    </w:p>
    <w:p w:rsidR="00267140" w:rsidRPr="004A3269" w:rsidRDefault="00267140" w:rsidP="00266221">
      <w:pPr>
        <w:tabs>
          <w:tab w:val="num" w:pos="1080"/>
        </w:tabs>
        <w:autoSpaceDE w:val="0"/>
        <w:autoSpaceDN w:val="0"/>
        <w:adjustRightInd w:val="0"/>
        <w:jc w:val="both"/>
        <w:rPr>
          <w:szCs w:val="22"/>
        </w:rPr>
      </w:pPr>
    </w:p>
    <w:p w:rsidR="009021AA" w:rsidRPr="004A3269" w:rsidRDefault="003E197A" w:rsidP="003E197A">
      <w:pPr>
        <w:tabs>
          <w:tab w:val="num" w:pos="1080"/>
        </w:tabs>
        <w:autoSpaceDE w:val="0"/>
        <w:autoSpaceDN w:val="0"/>
        <w:adjustRightInd w:val="0"/>
        <w:jc w:val="both"/>
        <w:rPr>
          <w:szCs w:val="22"/>
        </w:rPr>
      </w:pPr>
      <w:r w:rsidRPr="004A3269">
        <w:rPr>
          <w:szCs w:val="22"/>
        </w:rPr>
        <w:t xml:space="preserve">Au </w:t>
      </w:r>
      <w:r w:rsidR="00A0797A" w:rsidRPr="004A3269">
        <w:rPr>
          <w:szCs w:val="22"/>
        </w:rPr>
        <w:t>31 décembre </w:t>
      </w:r>
      <w:r w:rsidRPr="004A3269">
        <w:rPr>
          <w:szCs w:val="22"/>
        </w:rPr>
        <w:t>2013, le taux de capitalisation ou rapport de la valeur actuarielle des actifs sur les passifs de nature actuarielle, s</w:t>
      </w:r>
      <w:r w:rsidR="009021AA" w:rsidRPr="004A3269">
        <w:rPr>
          <w:szCs w:val="22"/>
        </w:rPr>
        <w:t>’</w:t>
      </w:r>
      <w:r w:rsidRPr="004A3269">
        <w:rPr>
          <w:szCs w:val="22"/>
        </w:rPr>
        <w:t>est monté à 127,5% (contre 130% selon l</w:t>
      </w:r>
      <w:r w:rsidR="009021AA" w:rsidRPr="004A3269">
        <w:rPr>
          <w:szCs w:val="22"/>
        </w:rPr>
        <w:t>’</w:t>
      </w:r>
      <w:r w:rsidRPr="004A3269">
        <w:rPr>
          <w:szCs w:val="22"/>
        </w:rPr>
        <w:t>évaluation de</w:t>
      </w:r>
      <w:r w:rsidR="00067463" w:rsidRPr="004A3269">
        <w:rPr>
          <w:szCs w:val="22"/>
        </w:rPr>
        <w:t> </w:t>
      </w:r>
      <w:r w:rsidRPr="004A3269">
        <w:rPr>
          <w:szCs w:val="22"/>
        </w:rPr>
        <w:t xml:space="preserve">2011). </w:t>
      </w:r>
      <w:r w:rsidR="00D22A16" w:rsidRPr="004A3269">
        <w:rPr>
          <w:szCs w:val="22"/>
        </w:rPr>
        <w:t xml:space="preserve"> </w:t>
      </w:r>
      <w:r w:rsidRPr="004A3269">
        <w:rPr>
          <w:szCs w:val="22"/>
        </w:rPr>
        <w:t>Ce taux de capitalisation était de 91,2% (contre 86,2% dans l</w:t>
      </w:r>
      <w:r w:rsidR="009021AA" w:rsidRPr="004A3269">
        <w:rPr>
          <w:szCs w:val="22"/>
        </w:rPr>
        <w:t>’</w:t>
      </w:r>
      <w:r w:rsidRPr="004A3269">
        <w:rPr>
          <w:szCs w:val="22"/>
        </w:rPr>
        <w:t>évaluation de</w:t>
      </w:r>
      <w:r w:rsidR="00067463" w:rsidRPr="004A3269">
        <w:rPr>
          <w:szCs w:val="22"/>
        </w:rPr>
        <w:t> </w:t>
      </w:r>
      <w:r w:rsidRPr="004A3269">
        <w:rPr>
          <w:szCs w:val="22"/>
        </w:rPr>
        <w:t>2011) lors de la prise en compte du système actuel d</w:t>
      </w:r>
      <w:r w:rsidR="009021AA" w:rsidRPr="004A3269">
        <w:rPr>
          <w:szCs w:val="22"/>
        </w:rPr>
        <w:t>’</w:t>
      </w:r>
      <w:r w:rsidRPr="004A3269">
        <w:rPr>
          <w:szCs w:val="22"/>
        </w:rPr>
        <w:t>ajustements de pensions.</w:t>
      </w:r>
    </w:p>
    <w:p w:rsidR="00267140" w:rsidRPr="004A3269" w:rsidRDefault="00267140" w:rsidP="00266221">
      <w:pPr>
        <w:tabs>
          <w:tab w:val="num" w:pos="1080"/>
        </w:tabs>
        <w:autoSpaceDE w:val="0"/>
        <w:autoSpaceDN w:val="0"/>
        <w:adjustRightInd w:val="0"/>
        <w:jc w:val="both"/>
        <w:rPr>
          <w:szCs w:val="22"/>
        </w:rPr>
      </w:pPr>
    </w:p>
    <w:p w:rsidR="00267140" w:rsidRPr="004A3269" w:rsidRDefault="003E197A" w:rsidP="003E197A">
      <w:pPr>
        <w:tabs>
          <w:tab w:val="num" w:pos="1080"/>
        </w:tabs>
        <w:autoSpaceDE w:val="0"/>
        <w:autoSpaceDN w:val="0"/>
        <w:adjustRightInd w:val="0"/>
        <w:jc w:val="both"/>
        <w:rPr>
          <w:szCs w:val="22"/>
        </w:rPr>
      </w:pPr>
      <w:r w:rsidRPr="004A3269">
        <w:rPr>
          <w:szCs w:val="22"/>
        </w:rPr>
        <w:t>Suite à son évaluation actuarielle de la caisse de pensions, l</w:t>
      </w:r>
      <w:r w:rsidR="009021AA" w:rsidRPr="004A3269">
        <w:rPr>
          <w:szCs w:val="22"/>
        </w:rPr>
        <w:t>’</w:t>
      </w:r>
      <w:r w:rsidRPr="004A3269">
        <w:rPr>
          <w:szCs w:val="22"/>
        </w:rPr>
        <w:t>actuaire indépendant a conclu qu</w:t>
      </w:r>
      <w:r w:rsidR="009021AA" w:rsidRPr="004A3269">
        <w:rPr>
          <w:szCs w:val="22"/>
        </w:rPr>
        <w:t>’</w:t>
      </w:r>
      <w:r w:rsidRPr="004A3269">
        <w:rPr>
          <w:szCs w:val="22"/>
        </w:rPr>
        <w:t xml:space="preserve">au </w:t>
      </w:r>
      <w:r w:rsidR="00A0797A" w:rsidRPr="004A3269">
        <w:rPr>
          <w:szCs w:val="22"/>
        </w:rPr>
        <w:t>31 décembre </w:t>
      </w:r>
      <w:r w:rsidRPr="004A3269">
        <w:rPr>
          <w:szCs w:val="22"/>
        </w:rPr>
        <w:t>2013, il n</w:t>
      </w:r>
      <w:r w:rsidR="009021AA" w:rsidRPr="004A3269">
        <w:rPr>
          <w:szCs w:val="22"/>
        </w:rPr>
        <w:t>’</w:t>
      </w:r>
      <w:r w:rsidRPr="004A3269">
        <w:rPr>
          <w:szCs w:val="22"/>
        </w:rPr>
        <w:t>était pas nécessaire de procéder à un paiement à titre compensatoire en vertu de l</w:t>
      </w:r>
      <w:r w:rsidR="009021AA" w:rsidRPr="004A3269">
        <w:rPr>
          <w:szCs w:val="22"/>
        </w:rPr>
        <w:t>’</w:t>
      </w:r>
      <w:r w:rsidRPr="004A3269">
        <w:rPr>
          <w:szCs w:val="22"/>
        </w:rPr>
        <w:t>article 26 des statuts de la caisse de pensions.  En effet, la valeur actuarielle de l</w:t>
      </w:r>
      <w:r w:rsidR="009021AA" w:rsidRPr="004A3269">
        <w:rPr>
          <w:szCs w:val="22"/>
        </w:rPr>
        <w:t>’</w:t>
      </w:r>
      <w:r w:rsidRPr="004A3269">
        <w:rPr>
          <w:szCs w:val="22"/>
        </w:rPr>
        <w:t>actif était supérieure à la valeur actuarielle des charges à payer par ladite caisse</w:t>
      </w:r>
      <w:r w:rsidR="00A0797A" w:rsidRPr="004A3269">
        <w:rPr>
          <w:szCs w:val="22"/>
        </w:rPr>
        <w:t xml:space="preserve">.  </w:t>
      </w:r>
      <w:r w:rsidRPr="004A3269">
        <w:rPr>
          <w:szCs w:val="22"/>
        </w:rPr>
        <w:t>En outre, à la date de cette évaluation, la valeur commerciale des actifs était également supérieure à la valeur actuarielle de toutes les charges à payer.</w:t>
      </w:r>
      <w:r w:rsidR="00266221" w:rsidRPr="004A3269">
        <w:t xml:space="preserve"> </w:t>
      </w:r>
      <w:r w:rsidR="00083791" w:rsidRPr="004A3269">
        <w:t xml:space="preserve"> </w:t>
      </w:r>
      <w:r w:rsidRPr="004A3269">
        <w:rPr>
          <w:szCs w:val="22"/>
        </w:rPr>
        <w:t>À la date d</w:t>
      </w:r>
      <w:r w:rsidR="009021AA" w:rsidRPr="004A3269">
        <w:rPr>
          <w:szCs w:val="22"/>
        </w:rPr>
        <w:t>’</w:t>
      </w:r>
      <w:r w:rsidRPr="004A3269">
        <w:rPr>
          <w:szCs w:val="22"/>
        </w:rPr>
        <w:t>établissement du présent rapport, l</w:t>
      </w:r>
      <w:r w:rsidR="009021AA" w:rsidRPr="004A3269">
        <w:rPr>
          <w:szCs w:val="22"/>
        </w:rPr>
        <w:t>’</w:t>
      </w:r>
      <w:r w:rsidRPr="004A3269">
        <w:rPr>
          <w:szCs w:val="22"/>
        </w:rPr>
        <w:t>Assemblée générale n</w:t>
      </w:r>
      <w:r w:rsidR="009021AA" w:rsidRPr="004A3269">
        <w:rPr>
          <w:szCs w:val="22"/>
        </w:rPr>
        <w:t>’</w:t>
      </w:r>
      <w:r w:rsidRPr="004A3269">
        <w:rPr>
          <w:szCs w:val="22"/>
        </w:rPr>
        <w:t>a pas invoqué la disposition de l</w:t>
      </w:r>
      <w:r w:rsidR="009021AA" w:rsidRPr="004A3269">
        <w:rPr>
          <w:szCs w:val="22"/>
        </w:rPr>
        <w:t>’</w:t>
      </w:r>
      <w:r w:rsidR="00A0797A" w:rsidRPr="004A3269">
        <w:rPr>
          <w:szCs w:val="22"/>
        </w:rPr>
        <w:t>article </w:t>
      </w:r>
      <w:r w:rsidRPr="004A3269">
        <w:rPr>
          <w:szCs w:val="22"/>
        </w:rPr>
        <w:t>26.</w:t>
      </w:r>
    </w:p>
    <w:p w:rsidR="00267140" w:rsidRPr="004A3269" w:rsidRDefault="00267140" w:rsidP="00266221">
      <w:pPr>
        <w:tabs>
          <w:tab w:val="num" w:pos="1080"/>
        </w:tabs>
        <w:autoSpaceDE w:val="0"/>
        <w:autoSpaceDN w:val="0"/>
        <w:adjustRightInd w:val="0"/>
        <w:jc w:val="both"/>
        <w:rPr>
          <w:rFonts w:eastAsia="宋體"/>
          <w:szCs w:val="22"/>
          <w:lang w:eastAsia="zh-TW"/>
        </w:rPr>
      </w:pPr>
    </w:p>
    <w:p w:rsidR="00267140" w:rsidRPr="004A3269" w:rsidRDefault="001B15B8" w:rsidP="00972003">
      <w:pPr>
        <w:autoSpaceDE w:val="0"/>
        <w:autoSpaceDN w:val="0"/>
        <w:adjustRightInd w:val="0"/>
        <w:jc w:val="both"/>
        <w:rPr>
          <w:szCs w:val="22"/>
        </w:rPr>
      </w:pPr>
      <w:r w:rsidRPr="004A3269">
        <w:t>En décembre 2012 et avril 2013, l</w:t>
      </w:r>
      <w:r w:rsidR="009021AA" w:rsidRPr="004A3269">
        <w:t>’</w:t>
      </w:r>
      <w:r w:rsidRPr="004A3269">
        <w:t xml:space="preserve">Assemblée générale a autorisé </w:t>
      </w:r>
      <w:r w:rsidRPr="004A3269">
        <w:rPr>
          <w:lang w:eastAsia="fr-FR"/>
        </w:rPr>
        <w:t>le relèvement à 65 ans de l</w:t>
      </w:r>
      <w:r w:rsidR="009021AA" w:rsidRPr="004A3269">
        <w:rPr>
          <w:lang w:eastAsia="fr-FR"/>
        </w:rPr>
        <w:t>’</w:t>
      </w:r>
      <w:r w:rsidRPr="004A3269">
        <w:rPr>
          <w:lang w:eastAsia="fr-FR"/>
        </w:rPr>
        <w:t>âge normal de départ à la retraite et de l</w:t>
      </w:r>
      <w:r w:rsidR="009021AA" w:rsidRPr="004A3269">
        <w:rPr>
          <w:lang w:eastAsia="fr-FR"/>
        </w:rPr>
        <w:t>’</w:t>
      </w:r>
      <w:r w:rsidRPr="004A3269">
        <w:rPr>
          <w:lang w:eastAsia="fr-FR"/>
        </w:rPr>
        <w:t>âge obligatoire de cessation de service respective</w:t>
      </w:r>
      <w:r w:rsidRPr="004A3269">
        <w:t xml:space="preserve">ment </w:t>
      </w:r>
      <w:r w:rsidRPr="004A3269">
        <w:rPr>
          <w:lang w:eastAsia="fr-FR"/>
        </w:rPr>
        <w:t>pour les nouveaux participants à la Caisse</w:t>
      </w:r>
      <w:r w:rsidRPr="004A3269">
        <w:t xml:space="preserve">, </w:t>
      </w:r>
      <w:r w:rsidRPr="004A3269">
        <w:rPr>
          <w:lang w:eastAsia="fr-FR"/>
        </w:rPr>
        <w:t>à compter du 1</w:t>
      </w:r>
      <w:r w:rsidRPr="004A3269">
        <w:rPr>
          <w:vertAlign w:val="superscript"/>
          <w:lang w:eastAsia="fr-FR"/>
        </w:rPr>
        <w:t>er</w:t>
      </w:r>
      <w:r w:rsidRPr="004A3269">
        <w:rPr>
          <w:lang w:eastAsia="fr-FR"/>
        </w:rPr>
        <w:t> janvier 2014 au plus tard.  La modification y relative du règlement de la Caisse des pensions a été approuvée par l</w:t>
      </w:r>
      <w:r w:rsidR="009021AA" w:rsidRPr="004A3269">
        <w:rPr>
          <w:lang w:eastAsia="fr-FR"/>
        </w:rPr>
        <w:t>’</w:t>
      </w:r>
      <w:r w:rsidRPr="004A3269">
        <w:rPr>
          <w:lang w:eastAsia="fr-FR"/>
        </w:rPr>
        <w:t>Assemblée générale en décembre 2013</w:t>
      </w:r>
      <w:r w:rsidRPr="004A3269">
        <w:t xml:space="preserve">.  Le relèvement </w:t>
      </w:r>
      <w:r w:rsidRPr="004A3269">
        <w:rPr>
          <w:lang w:eastAsia="fr-FR"/>
        </w:rPr>
        <w:t>de l</w:t>
      </w:r>
      <w:r w:rsidR="009021AA" w:rsidRPr="004A3269">
        <w:rPr>
          <w:lang w:eastAsia="fr-FR"/>
        </w:rPr>
        <w:t>’</w:t>
      </w:r>
      <w:r w:rsidRPr="004A3269">
        <w:rPr>
          <w:lang w:eastAsia="fr-FR"/>
        </w:rPr>
        <w:t>âge normal de départ à la retraite est pris en compte dans l</w:t>
      </w:r>
      <w:r w:rsidR="009021AA" w:rsidRPr="004A3269">
        <w:rPr>
          <w:lang w:eastAsia="fr-FR"/>
        </w:rPr>
        <w:t>’</w:t>
      </w:r>
      <w:r w:rsidRPr="004A3269">
        <w:rPr>
          <w:lang w:eastAsia="fr-FR"/>
        </w:rPr>
        <w:t>évaluation actuarielle de la Caisse au 31 décembre 2013</w:t>
      </w:r>
      <w:r w:rsidR="00972003" w:rsidRPr="004A3269">
        <w:rPr>
          <w:szCs w:val="22"/>
        </w:rPr>
        <w:t>.</w:t>
      </w:r>
    </w:p>
    <w:p w:rsidR="00267140" w:rsidRPr="004A3269" w:rsidRDefault="00267140" w:rsidP="00266221">
      <w:pPr>
        <w:autoSpaceDE w:val="0"/>
        <w:autoSpaceDN w:val="0"/>
        <w:adjustRightInd w:val="0"/>
        <w:jc w:val="both"/>
        <w:rPr>
          <w:szCs w:val="22"/>
        </w:rPr>
      </w:pPr>
    </w:p>
    <w:p w:rsidR="00267140" w:rsidRPr="004A3269" w:rsidRDefault="003E197A" w:rsidP="003E197A">
      <w:pPr>
        <w:autoSpaceDE w:val="0"/>
        <w:autoSpaceDN w:val="0"/>
        <w:adjustRightInd w:val="0"/>
        <w:jc w:val="both"/>
        <w:rPr>
          <w:szCs w:val="22"/>
        </w:rPr>
      </w:pPr>
      <w:r w:rsidRPr="004A3269">
        <w:rPr>
          <w:szCs w:val="22"/>
        </w:rPr>
        <w:t>En</w:t>
      </w:r>
      <w:r w:rsidR="00067463" w:rsidRPr="004A3269">
        <w:rPr>
          <w:szCs w:val="22"/>
        </w:rPr>
        <w:t> </w:t>
      </w:r>
      <w:r w:rsidRPr="004A3269">
        <w:rPr>
          <w:szCs w:val="22"/>
        </w:rPr>
        <w:t>2014, les cotisations de l</w:t>
      </w:r>
      <w:r w:rsidR="009021AA" w:rsidRPr="004A3269">
        <w:rPr>
          <w:szCs w:val="22"/>
        </w:rPr>
        <w:t>’</w:t>
      </w:r>
      <w:r w:rsidRPr="004A3269">
        <w:rPr>
          <w:szCs w:val="22"/>
        </w:rPr>
        <w:t xml:space="preserve">OMPI versées à la Caisse commune des pensions du personnel des </w:t>
      </w:r>
      <w:r w:rsidR="009021AA" w:rsidRPr="004A3269">
        <w:rPr>
          <w:szCs w:val="22"/>
        </w:rPr>
        <w:t>Nations Unies</w:t>
      </w:r>
      <w:r w:rsidRPr="004A3269">
        <w:rPr>
          <w:szCs w:val="22"/>
        </w:rPr>
        <w:t xml:space="preserve"> se sont montées à 26,0</w:t>
      </w:r>
      <w:r w:rsidR="00067463" w:rsidRPr="004A3269">
        <w:rPr>
          <w:szCs w:val="22"/>
        </w:rPr>
        <w:t> </w:t>
      </w:r>
      <w:r w:rsidRPr="004A3269">
        <w:rPr>
          <w:szCs w:val="22"/>
        </w:rPr>
        <w:t>millions de francs suisses [26,1</w:t>
      </w:r>
      <w:r w:rsidR="00067463" w:rsidRPr="004A3269">
        <w:rPr>
          <w:szCs w:val="22"/>
        </w:rPr>
        <w:t> </w:t>
      </w:r>
      <w:r w:rsidRPr="004A3269">
        <w:rPr>
          <w:szCs w:val="22"/>
        </w:rPr>
        <w:t>millions de francs suisses en</w:t>
      </w:r>
      <w:r w:rsidR="00067463" w:rsidRPr="004A3269">
        <w:rPr>
          <w:szCs w:val="22"/>
        </w:rPr>
        <w:t> </w:t>
      </w:r>
      <w:r w:rsidRPr="004A3269">
        <w:rPr>
          <w:szCs w:val="22"/>
        </w:rPr>
        <w:t xml:space="preserve">2013]. </w:t>
      </w:r>
      <w:r w:rsidR="00266221" w:rsidRPr="004A3269">
        <w:t xml:space="preserve"> </w:t>
      </w:r>
      <w:r w:rsidRPr="004A3269">
        <w:rPr>
          <w:szCs w:val="22"/>
        </w:rPr>
        <w:t>En</w:t>
      </w:r>
      <w:r w:rsidR="00067463" w:rsidRPr="004A3269">
        <w:rPr>
          <w:szCs w:val="22"/>
        </w:rPr>
        <w:t> </w:t>
      </w:r>
      <w:r w:rsidRPr="004A3269">
        <w:rPr>
          <w:szCs w:val="22"/>
        </w:rPr>
        <w:t>2015, les cotisations à payer devraient représenter 26,6</w:t>
      </w:r>
      <w:r w:rsidR="00067463" w:rsidRPr="004A3269">
        <w:rPr>
          <w:szCs w:val="22"/>
        </w:rPr>
        <w:t> </w:t>
      </w:r>
      <w:r w:rsidRPr="004A3269">
        <w:rPr>
          <w:szCs w:val="22"/>
        </w:rPr>
        <w:t>millions de francs suisses.</w:t>
      </w:r>
      <w:r w:rsidR="00083791" w:rsidRPr="004A3269">
        <w:rPr>
          <w:szCs w:val="22"/>
        </w:rPr>
        <w:t xml:space="preserve"> </w:t>
      </w:r>
      <w:r w:rsidR="009F4270" w:rsidRPr="004A3269">
        <w:t xml:space="preserve"> </w:t>
      </w:r>
      <w:r w:rsidRPr="004A3269">
        <w:rPr>
          <w:szCs w:val="22"/>
        </w:rPr>
        <w:t xml:space="preserve">Le Comité des commissaires aux comptes des </w:t>
      </w:r>
      <w:r w:rsidR="009021AA" w:rsidRPr="004A3269">
        <w:rPr>
          <w:szCs w:val="22"/>
        </w:rPr>
        <w:t>Nations Unies</w:t>
      </w:r>
      <w:r w:rsidRPr="004A3269">
        <w:rPr>
          <w:szCs w:val="22"/>
        </w:rPr>
        <w:t xml:space="preserve"> effectue une vérification annuelle des comptes de la Caisse commune des pensions du personnel des </w:t>
      </w:r>
      <w:r w:rsidR="009021AA" w:rsidRPr="004A3269">
        <w:rPr>
          <w:szCs w:val="22"/>
        </w:rPr>
        <w:t>Nations Unies</w:t>
      </w:r>
      <w:r w:rsidRPr="004A3269">
        <w:rPr>
          <w:szCs w:val="22"/>
        </w:rPr>
        <w:t xml:space="preserve"> et établit un rapport à ce sujet toutes les années, à l</w:t>
      </w:r>
      <w:r w:rsidR="009021AA" w:rsidRPr="004A3269">
        <w:rPr>
          <w:szCs w:val="22"/>
        </w:rPr>
        <w:t>’</w:t>
      </w:r>
      <w:r w:rsidRPr="004A3269">
        <w:rPr>
          <w:szCs w:val="22"/>
        </w:rPr>
        <w:t xml:space="preserve">intention du Comité mixte de cette Caisse commune des pensions du personnel des </w:t>
      </w:r>
      <w:r w:rsidR="009021AA" w:rsidRPr="004A3269">
        <w:rPr>
          <w:szCs w:val="22"/>
        </w:rPr>
        <w:t>Nations Unies</w:t>
      </w:r>
      <w:r w:rsidRPr="004A3269">
        <w:rPr>
          <w:szCs w:val="22"/>
        </w:rPr>
        <w:t>.</w:t>
      </w:r>
      <w:r w:rsidR="00266221" w:rsidRPr="004A3269">
        <w:t xml:space="preserve"> </w:t>
      </w:r>
      <w:r w:rsidR="00083791" w:rsidRPr="004A3269">
        <w:t xml:space="preserve"> </w:t>
      </w:r>
      <w:r w:rsidRPr="004A3269">
        <w:rPr>
          <w:szCs w:val="22"/>
        </w:rPr>
        <w:t xml:space="preserve">La Caisse commune des pensions du personnel des </w:t>
      </w:r>
      <w:r w:rsidR="009021AA" w:rsidRPr="004A3269">
        <w:rPr>
          <w:szCs w:val="22"/>
        </w:rPr>
        <w:t>Nations Unies</w:t>
      </w:r>
      <w:r w:rsidRPr="004A3269">
        <w:rPr>
          <w:szCs w:val="22"/>
        </w:rPr>
        <w:t xml:space="preserve"> publie des rapports trimestriels sur ses investissements, qui peuvent être consultés sur son site à l</w:t>
      </w:r>
      <w:r w:rsidR="009021AA" w:rsidRPr="004A3269">
        <w:rPr>
          <w:szCs w:val="22"/>
        </w:rPr>
        <w:t>’</w:t>
      </w:r>
      <w:r w:rsidRPr="004A3269">
        <w:rPr>
          <w:szCs w:val="22"/>
        </w:rPr>
        <w:t>adresse suivante</w:t>
      </w:r>
      <w:r w:rsidR="00A0797A" w:rsidRPr="004A3269">
        <w:rPr>
          <w:szCs w:val="22"/>
        </w:rPr>
        <w:t> :</w:t>
      </w:r>
      <w:r w:rsidRPr="004A3269">
        <w:rPr>
          <w:szCs w:val="22"/>
        </w:rPr>
        <w:t xml:space="preserve"> </w:t>
      </w:r>
      <w:r w:rsidRPr="004A3269">
        <w:rPr>
          <w:szCs w:val="22"/>
          <w:u w:val="single"/>
        </w:rPr>
        <w:t>www.unjspf.org</w:t>
      </w:r>
      <w:r w:rsidRPr="004A3269">
        <w:rPr>
          <w:szCs w:val="22"/>
        </w:rPr>
        <w:t>.</w:t>
      </w:r>
    </w:p>
    <w:p w:rsidR="00267140" w:rsidRPr="004A3269" w:rsidRDefault="00267140" w:rsidP="00266221">
      <w:pPr>
        <w:autoSpaceDE w:val="0"/>
        <w:autoSpaceDN w:val="0"/>
        <w:adjustRightInd w:val="0"/>
        <w:jc w:val="both"/>
        <w:rPr>
          <w:szCs w:val="22"/>
        </w:rPr>
      </w:pPr>
    </w:p>
    <w:p w:rsidR="00267140" w:rsidRPr="004A3269" w:rsidRDefault="00083791" w:rsidP="00083791">
      <w:pPr>
        <w:pStyle w:val="StyleHeading211ptNotBoldNotItalicAllcaps"/>
        <w:tabs>
          <w:tab w:val="left" w:pos="1701"/>
        </w:tabs>
        <w:spacing w:before="0" w:after="0"/>
        <w:rPr>
          <w:szCs w:val="22"/>
        </w:rPr>
      </w:pPr>
      <w:r w:rsidRPr="004A3269">
        <w:rPr>
          <w:b/>
          <w:i w:val="0"/>
          <w:szCs w:val="22"/>
        </w:rPr>
        <w:lastRenderedPageBreak/>
        <w:t>NOTE N°</w:t>
      </w:r>
      <w:r w:rsidRPr="004A3269">
        <w:rPr>
          <w:i w:val="0"/>
          <w:szCs w:val="22"/>
        </w:rPr>
        <w:t> </w:t>
      </w:r>
      <w:r w:rsidRPr="004A3269">
        <w:rPr>
          <w:b/>
          <w:i w:val="0"/>
          <w:szCs w:val="22"/>
        </w:rPr>
        <w:t>13</w:t>
      </w:r>
      <w:r w:rsidR="00A0797A" w:rsidRPr="004A3269">
        <w:rPr>
          <w:i w:val="0"/>
          <w:szCs w:val="22"/>
        </w:rPr>
        <w:t> :</w:t>
      </w:r>
      <w:r w:rsidRPr="004A3269">
        <w:rPr>
          <w:b/>
          <w:i w:val="0"/>
          <w:szCs w:val="22"/>
        </w:rPr>
        <w:t xml:space="preserve"> </w:t>
      </w:r>
      <w:r w:rsidRPr="004A3269">
        <w:rPr>
          <w:b/>
          <w:i w:val="0"/>
          <w:szCs w:val="22"/>
        </w:rPr>
        <w:tab/>
        <w:t>MONTANTS À PAYER</w:t>
      </w:r>
    </w:p>
    <w:p w:rsidR="00267140" w:rsidRPr="004A3269" w:rsidRDefault="00267140" w:rsidP="009F4270">
      <w:pPr>
        <w:pStyle w:val="StyleHeading211ptNotBoldNotItalicAllcaps"/>
        <w:spacing w:before="0" w:after="0"/>
        <w:rPr>
          <w:szCs w:val="22"/>
        </w:rPr>
      </w:pPr>
    </w:p>
    <w:p w:rsidR="00D91F72" w:rsidRPr="004A3269" w:rsidRDefault="00D91F72" w:rsidP="00D91F72">
      <w:pPr>
        <w:pStyle w:val="Style3"/>
        <w:spacing w:after="0"/>
        <w:jc w:val="center"/>
        <w:rPr>
          <w:szCs w:val="22"/>
        </w:rPr>
      </w:pPr>
      <w:r w:rsidRPr="004A3269">
        <w:rPr>
          <w:noProof/>
          <w:lang w:val="en-US"/>
        </w:rPr>
        <w:drawing>
          <wp:inline distT="0" distB="0" distL="0" distR="0" wp14:anchorId="69082718" wp14:editId="78D0BB3A">
            <wp:extent cx="5977255" cy="2393274"/>
            <wp:effectExtent l="0" t="0" r="4445"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77255" cy="2393274"/>
                    </a:xfrm>
                    <a:prstGeom prst="rect">
                      <a:avLst/>
                    </a:prstGeom>
                    <a:noFill/>
                    <a:ln>
                      <a:noFill/>
                    </a:ln>
                  </pic:spPr>
                </pic:pic>
              </a:graphicData>
            </a:graphic>
          </wp:inline>
        </w:drawing>
      </w:r>
    </w:p>
    <w:p w:rsidR="00D91F72" w:rsidRPr="004A3269" w:rsidRDefault="00D91F72" w:rsidP="003E197A">
      <w:pPr>
        <w:pStyle w:val="Style3"/>
        <w:spacing w:after="0"/>
        <w:rPr>
          <w:szCs w:val="22"/>
        </w:rPr>
      </w:pPr>
    </w:p>
    <w:p w:rsidR="009021AA" w:rsidRPr="004A3269" w:rsidRDefault="003E197A" w:rsidP="003E197A">
      <w:pPr>
        <w:pStyle w:val="Style3"/>
        <w:spacing w:after="0"/>
      </w:pPr>
      <w:r w:rsidRPr="004A3269">
        <w:rPr>
          <w:szCs w:val="22"/>
        </w:rPr>
        <w:t>L</w:t>
      </w:r>
      <w:r w:rsidR="009021AA" w:rsidRPr="004A3269">
        <w:rPr>
          <w:szCs w:val="22"/>
        </w:rPr>
        <w:t>’</w:t>
      </w:r>
      <w:r w:rsidRPr="004A3269">
        <w:rPr>
          <w:szCs w:val="22"/>
        </w:rPr>
        <w:t>Organisation perçoit des taxes pour le compte des parties contractantes à l</w:t>
      </w:r>
      <w:r w:rsidR="009021AA" w:rsidRPr="004A3269">
        <w:rPr>
          <w:szCs w:val="22"/>
        </w:rPr>
        <w:t>’</w:t>
      </w:r>
      <w:r w:rsidRPr="004A3269">
        <w:rPr>
          <w:szCs w:val="22"/>
        </w:rPr>
        <w:t>Arrangement et au Protocole de Madrid et des parties contractantes au règlement d</w:t>
      </w:r>
      <w:r w:rsidR="009021AA" w:rsidRPr="004A3269">
        <w:rPr>
          <w:szCs w:val="22"/>
        </w:rPr>
        <w:t>’</w:t>
      </w:r>
      <w:r w:rsidRPr="004A3269">
        <w:rPr>
          <w:szCs w:val="22"/>
        </w:rPr>
        <w:t>exécution commun de l</w:t>
      </w:r>
      <w:r w:rsidR="009021AA" w:rsidRPr="004A3269">
        <w:rPr>
          <w:szCs w:val="22"/>
        </w:rPr>
        <w:t>’</w:t>
      </w:r>
      <w:r w:rsidRPr="004A3269">
        <w:rPr>
          <w:szCs w:val="22"/>
        </w:rPr>
        <w:t xml:space="preserve">Arrangement de </w:t>
      </w:r>
      <w:r w:rsidR="009021AA" w:rsidRPr="004A3269">
        <w:rPr>
          <w:szCs w:val="22"/>
        </w:rPr>
        <w:t>La Haye</w:t>
      </w:r>
      <w:r w:rsidRPr="004A3269">
        <w:rPr>
          <w:szCs w:val="22"/>
        </w:rPr>
        <w:t>.</w:t>
      </w:r>
      <w:r w:rsidR="00B60D7B" w:rsidRPr="004A3269">
        <w:t xml:space="preserve"> </w:t>
      </w:r>
      <w:r w:rsidR="00083791" w:rsidRPr="004A3269">
        <w:t xml:space="preserve"> </w:t>
      </w:r>
      <w:r w:rsidRPr="004A3269">
        <w:rPr>
          <w:szCs w:val="22"/>
        </w:rPr>
        <w:t>Le Bureau international de l</w:t>
      </w:r>
      <w:r w:rsidR="009021AA" w:rsidRPr="004A3269">
        <w:rPr>
          <w:szCs w:val="22"/>
        </w:rPr>
        <w:t>’</w:t>
      </w:r>
      <w:r w:rsidRPr="004A3269">
        <w:rPr>
          <w:szCs w:val="22"/>
        </w:rPr>
        <w:t>Organisation, agissant en qualité d</w:t>
      </w:r>
      <w:r w:rsidR="009021AA" w:rsidRPr="004A3269">
        <w:rPr>
          <w:szCs w:val="22"/>
        </w:rPr>
        <w:t>’</w:t>
      </w:r>
      <w:r w:rsidRPr="004A3269">
        <w:rPr>
          <w:szCs w:val="22"/>
        </w:rPr>
        <w:t>office récepteur</w:t>
      </w:r>
      <w:r w:rsidR="009021AA" w:rsidRPr="004A3269">
        <w:rPr>
          <w:szCs w:val="22"/>
        </w:rPr>
        <w:t xml:space="preserve"> du PCT</w:t>
      </w:r>
      <w:r w:rsidRPr="004A3269">
        <w:rPr>
          <w:szCs w:val="22"/>
        </w:rPr>
        <w:t>, perçoit des fonds auprès des déposants pour couvrir les sommes à verser aux administrations chargées de la recherche internationale.</w:t>
      </w:r>
      <w:r w:rsidR="00B60D7B" w:rsidRPr="004A3269">
        <w:t xml:space="preserve"> </w:t>
      </w:r>
      <w:r w:rsidR="00083791" w:rsidRPr="004A3269">
        <w:t xml:space="preserve"> </w:t>
      </w:r>
      <w:r w:rsidR="001B15B8" w:rsidRPr="004A3269">
        <w:rPr>
          <w:rStyle w:val="hps"/>
        </w:rPr>
        <w:t>En outre</w:t>
      </w:r>
      <w:r w:rsidR="001B15B8" w:rsidRPr="004A3269">
        <w:t xml:space="preserve">, </w:t>
      </w:r>
      <w:r w:rsidR="001B15B8" w:rsidRPr="004A3269">
        <w:rPr>
          <w:rStyle w:val="hps"/>
        </w:rPr>
        <w:t>l</w:t>
      </w:r>
      <w:r w:rsidR="009021AA" w:rsidRPr="004A3269">
        <w:rPr>
          <w:rStyle w:val="hps"/>
        </w:rPr>
        <w:t>’</w:t>
      </w:r>
      <w:r w:rsidR="001B15B8" w:rsidRPr="004A3269">
        <w:rPr>
          <w:rStyle w:val="hps"/>
        </w:rPr>
        <w:t>Organisation</w:t>
      </w:r>
      <w:r w:rsidR="001B15B8" w:rsidRPr="004A3269">
        <w:t xml:space="preserve"> </w:t>
      </w:r>
      <w:r w:rsidR="001B15B8" w:rsidRPr="004A3269">
        <w:rPr>
          <w:rStyle w:val="hps"/>
        </w:rPr>
        <w:t>perçoit des taxes</w:t>
      </w:r>
      <w:r w:rsidR="001B15B8" w:rsidRPr="004A3269">
        <w:t xml:space="preserve"> </w:t>
      </w:r>
      <w:r w:rsidR="001B15B8" w:rsidRPr="004A3269">
        <w:rPr>
          <w:rStyle w:val="hps"/>
        </w:rPr>
        <w:t>à verser</w:t>
      </w:r>
      <w:r w:rsidR="001B15B8" w:rsidRPr="004A3269">
        <w:t xml:space="preserve"> </w:t>
      </w:r>
      <w:r w:rsidR="001B15B8" w:rsidRPr="004A3269">
        <w:rPr>
          <w:rStyle w:val="hps"/>
        </w:rPr>
        <w:t>directement aux</w:t>
      </w:r>
      <w:r w:rsidR="001B15B8" w:rsidRPr="004A3269">
        <w:t xml:space="preserve"> </w:t>
      </w:r>
      <w:r w:rsidR="001B15B8" w:rsidRPr="004A3269">
        <w:rPr>
          <w:rStyle w:val="hps"/>
        </w:rPr>
        <w:t>médiateurs, aux arbitres</w:t>
      </w:r>
      <w:r w:rsidR="001B15B8" w:rsidRPr="004A3269">
        <w:t xml:space="preserve"> </w:t>
      </w:r>
      <w:r w:rsidR="001B15B8" w:rsidRPr="004A3269">
        <w:rPr>
          <w:rStyle w:val="hps"/>
        </w:rPr>
        <w:t>ou aux panélistes</w:t>
      </w:r>
      <w:r w:rsidR="001B15B8" w:rsidRPr="004A3269">
        <w:t xml:space="preserve"> </w:t>
      </w:r>
      <w:r w:rsidR="001B15B8" w:rsidRPr="004A3269">
        <w:rPr>
          <w:rStyle w:val="hps"/>
        </w:rPr>
        <w:t>pour les cas</w:t>
      </w:r>
      <w:r w:rsidR="001B15B8" w:rsidRPr="004A3269">
        <w:t xml:space="preserve"> </w:t>
      </w:r>
      <w:r w:rsidR="001B15B8" w:rsidRPr="004A3269">
        <w:rPr>
          <w:rStyle w:val="hps"/>
        </w:rPr>
        <w:t>traités</w:t>
      </w:r>
      <w:r w:rsidR="001B15B8" w:rsidRPr="004A3269">
        <w:t xml:space="preserve"> </w:t>
      </w:r>
      <w:r w:rsidR="001B15B8" w:rsidRPr="004A3269">
        <w:rPr>
          <w:rStyle w:val="hps"/>
        </w:rPr>
        <w:t>par le</w:t>
      </w:r>
      <w:r w:rsidR="001B15B8" w:rsidRPr="004A3269">
        <w:t xml:space="preserve"> </w:t>
      </w:r>
      <w:r w:rsidR="001B15B8" w:rsidRPr="004A3269">
        <w:rPr>
          <w:rStyle w:val="hps"/>
        </w:rPr>
        <w:t>Centre d</w:t>
      </w:r>
      <w:r w:rsidR="009021AA" w:rsidRPr="004A3269">
        <w:rPr>
          <w:rStyle w:val="hps"/>
        </w:rPr>
        <w:t>’</w:t>
      </w:r>
      <w:r w:rsidR="001B15B8" w:rsidRPr="004A3269">
        <w:rPr>
          <w:rStyle w:val="hps"/>
        </w:rPr>
        <w:t>arbitrage et</w:t>
      </w:r>
      <w:r w:rsidR="001B15B8" w:rsidRPr="004A3269">
        <w:t xml:space="preserve"> </w:t>
      </w:r>
      <w:r w:rsidR="001B15B8" w:rsidRPr="004A3269">
        <w:rPr>
          <w:rStyle w:val="hps"/>
        </w:rPr>
        <w:t>de médiation</w:t>
      </w:r>
      <w:r w:rsidR="00B60D7B" w:rsidRPr="004A3269">
        <w:t>.</w:t>
      </w:r>
      <w:r w:rsidR="00083791" w:rsidRPr="004A3269">
        <w:t xml:space="preserve"> </w:t>
      </w:r>
      <w:r w:rsidR="00966CED" w:rsidRPr="004A3269">
        <w:t xml:space="preserve"> </w:t>
      </w:r>
      <w:r w:rsidRPr="004A3269">
        <w:t>L</w:t>
      </w:r>
      <w:r w:rsidR="009021AA" w:rsidRPr="004A3269">
        <w:t>’</w:t>
      </w:r>
      <w:r w:rsidRPr="004A3269">
        <w:t>Organisation détient temporairement ces fonds fiduciaires jusqu</w:t>
      </w:r>
      <w:r w:rsidR="009021AA" w:rsidRPr="004A3269">
        <w:t>’</w:t>
      </w:r>
      <w:r w:rsidRPr="004A3269">
        <w:t>à leur transfert au bénéficiaire final conformément aux différents traités administrés par l</w:t>
      </w:r>
      <w:r w:rsidR="009021AA" w:rsidRPr="004A3269">
        <w:t>’</w:t>
      </w:r>
      <w:r w:rsidRPr="004A3269">
        <w:t>Organisation.</w:t>
      </w:r>
      <w:r w:rsidR="005F3C9B" w:rsidRPr="004A3269">
        <w:t xml:space="preserve"> </w:t>
      </w:r>
      <w:r w:rsidR="006A1AC6" w:rsidRPr="004A3269">
        <w:t xml:space="preserve"> </w:t>
      </w:r>
      <w:r w:rsidR="005F3C9B" w:rsidRPr="004A3269">
        <w:t>Ci</w:t>
      </w:r>
      <w:r w:rsidR="00A17552" w:rsidRPr="004A3269">
        <w:noBreakHyphen/>
      </w:r>
      <w:r w:rsidRPr="004A3269">
        <w:t>dessous figurent le montant total des taxes perçues par l</w:t>
      </w:r>
      <w:r w:rsidR="009021AA" w:rsidRPr="004A3269">
        <w:t>’</w:t>
      </w:r>
      <w:r w:rsidRPr="004A3269">
        <w:t>Organisation pour l</w:t>
      </w:r>
      <w:r w:rsidR="009021AA" w:rsidRPr="004A3269">
        <w:t>’</w:t>
      </w:r>
      <w:r w:rsidRPr="004A3269">
        <w:t>exercice biennal et une explication de chaque catégorie de taxe.</w:t>
      </w:r>
    </w:p>
    <w:p w:rsidR="00267140" w:rsidRPr="004A3269" w:rsidRDefault="00267140" w:rsidP="007C6D77">
      <w:pPr>
        <w:jc w:val="both"/>
      </w:pPr>
    </w:p>
    <w:p w:rsidR="00267140" w:rsidRPr="004A3269" w:rsidRDefault="003E197A" w:rsidP="00B7582E">
      <w:pPr>
        <w:pStyle w:val="Style3"/>
        <w:numPr>
          <w:ilvl w:val="0"/>
          <w:numId w:val="5"/>
        </w:numPr>
        <w:tabs>
          <w:tab w:val="clear" w:pos="720"/>
          <w:tab w:val="num" w:pos="1134"/>
        </w:tabs>
        <w:spacing w:after="0"/>
        <w:ind w:left="1134" w:hanging="567"/>
      </w:pPr>
      <w:r w:rsidRPr="004A3269">
        <w:rPr>
          <w:i/>
        </w:rPr>
        <w:t>Compléments d</w:t>
      </w:r>
      <w:r w:rsidR="009021AA" w:rsidRPr="004A3269">
        <w:rPr>
          <w:i/>
        </w:rPr>
        <w:t>’</w:t>
      </w:r>
      <w:r w:rsidRPr="004A3269">
        <w:rPr>
          <w:i/>
        </w:rPr>
        <w:t>émoluments et émoluments supplémentaires de l</w:t>
      </w:r>
      <w:r w:rsidR="009021AA" w:rsidRPr="004A3269">
        <w:rPr>
          <w:i/>
        </w:rPr>
        <w:t>’</w:t>
      </w:r>
      <w:r w:rsidRPr="004A3269">
        <w:rPr>
          <w:i/>
        </w:rPr>
        <w:t>Union de Madrid</w:t>
      </w:r>
      <w:r w:rsidR="00A0797A" w:rsidRPr="004A3269">
        <w:t> :</w:t>
      </w:r>
      <w:r w:rsidRPr="004A3269">
        <w:t xml:space="preserve"> selon l</w:t>
      </w:r>
      <w:r w:rsidR="009021AA" w:rsidRPr="004A3269">
        <w:t>’</w:t>
      </w:r>
      <w:r w:rsidRPr="004A3269">
        <w:t>Arrangement de Madrid (</w:t>
      </w:r>
      <w:r w:rsidR="00A0797A" w:rsidRPr="004A3269">
        <w:t>article </w:t>
      </w:r>
      <w:r w:rsidRPr="004A3269">
        <w:t>8.2)b) et c)) et le Protocole de Madrid (</w:t>
      </w:r>
      <w:r w:rsidR="00A0797A" w:rsidRPr="004A3269">
        <w:t>article </w:t>
      </w:r>
      <w:r w:rsidRPr="004A3269">
        <w:t>8.2</w:t>
      </w:r>
      <w:proofErr w:type="gramStart"/>
      <w:r w:rsidRPr="004A3269">
        <w:t>)ii</w:t>
      </w:r>
      <w:proofErr w:type="gramEnd"/>
      <w:r w:rsidRPr="004A3269">
        <w:t>) et iii)), l</w:t>
      </w:r>
      <w:r w:rsidR="009021AA" w:rsidRPr="004A3269">
        <w:t>’</w:t>
      </w:r>
      <w:r w:rsidRPr="004A3269">
        <w:t>Organisation perçoit des émoluments supplémentaires et des compléments d</w:t>
      </w:r>
      <w:r w:rsidR="009021AA" w:rsidRPr="004A3269">
        <w:t>’</w:t>
      </w:r>
      <w:r w:rsidRPr="004A3269">
        <w:t>émoluments de 100</w:t>
      </w:r>
      <w:r w:rsidR="00067463" w:rsidRPr="004A3269">
        <w:t> </w:t>
      </w:r>
      <w:r w:rsidRPr="004A3269">
        <w:t>francs suisses par demande ou renouvellement pour le compte des parties contractantes</w:t>
      </w:r>
      <w:r w:rsidR="00A0797A" w:rsidRPr="004A3269">
        <w:t xml:space="preserve">.  </w:t>
      </w:r>
      <w:r w:rsidRPr="004A3269">
        <w:t>Le montant dû à chaque partie contractante varie selon les services qu</w:t>
      </w:r>
      <w:r w:rsidR="009021AA" w:rsidRPr="004A3269">
        <w:t>’</w:t>
      </w:r>
      <w:r w:rsidRPr="004A3269">
        <w:t>elle fournit (examen réalisé).</w:t>
      </w:r>
      <w:r w:rsidR="00966CED" w:rsidRPr="004A3269">
        <w:t xml:space="preserve">  </w:t>
      </w:r>
      <w:r w:rsidRPr="004A3269">
        <w:t>Les fonds sont transférés une fois par an au début de l</w:t>
      </w:r>
      <w:r w:rsidR="009021AA" w:rsidRPr="004A3269">
        <w:t>’</w:t>
      </w:r>
      <w:r w:rsidRPr="004A3269">
        <w:t>année suivant la date d</w:t>
      </w:r>
      <w:r w:rsidR="009021AA" w:rsidRPr="004A3269">
        <w:t>’</w:t>
      </w:r>
      <w:r w:rsidRPr="004A3269">
        <w:t>établissement des états financiers.</w:t>
      </w:r>
    </w:p>
    <w:p w:rsidR="00267140" w:rsidRPr="004A3269" w:rsidRDefault="00267140" w:rsidP="00B7582E">
      <w:pPr>
        <w:tabs>
          <w:tab w:val="num" w:pos="1134"/>
        </w:tabs>
        <w:ind w:left="1134" w:hanging="567"/>
        <w:jc w:val="both"/>
        <w:rPr>
          <w:sz w:val="20"/>
        </w:rPr>
      </w:pPr>
    </w:p>
    <w:p w:rsidR="00267140" w:rsidRPr="004A3269" w:rsidRDefault="003E197A" w:rsidP="00B7582E">
      <w:pPr>
        <w:pStyle w:val="Style3"/>
        <w:numPr>
          <w:ilvl w:val="0"/>
          <w:numId w:val="5"/>
        </w:numPr>
        <w:tabs>
          <w:tab w:val="clear" w:pos="720"/>
          <w:tab w:val="num" w:pos="1134"/>
        </w:tabs>
        <w:spacing w:after="0"/>
        <w:ind w:left="1134" w:hanging="567"/>
      </w:pPr>
      <w:r w:rsidRPr="004A3269">
        <w:rPr>
          <w:i/>
        </w:rPr>
        <w:t>Taxes individuelles de l</w:t>
      </w:r>
      <w:r w:rsidR="009021AA" w:rsidRPr="004A3269">
        <w:rPr>
          <w:i/>
        </w:rPr>
        <w:t>’</w:t>
      </w:r>
      <w:r w:rsidRPr="004A3269">
        <w:rPr>
          <w:i/>
        </w:rPr>
        <w:t>Union de Madrid</w:t>
      </w:r>
      <w:r w:rsidR="00A0797A" w:rsidRPr="004A3269">
        <w:t> :</w:t>
      </w:r>
      <w:r w:rsidRPr="004A3269">
        <w:t xml:space="preserve"> conformément à l</w:t>
      </w:r>
      <w:r w:rsidR="009021AA" w:rsidRPr="004A3269">
        <w:t>’</w:t>
      </w:r>
      <w:r w:rsidR="00A0797A" w:rsidRPr="004A3269">
        <w:t>article </w:t>
      </w:r>
      <w:r w:rsidRPr="004A3269">
        <w:t xml:space="preserve">8.7) du Protocole de Madrid et à la </w:t>
      </w:r>
      <w:r w:rsidR="00A0797A" w:rsidRPr="004A3269">
        <w:t>règle </w:t>
      </w:r>
      <w:r w:rsidRPr="004A3269">
        <w:t>38 du règlement d</w:t>
      </w:r>
      <w:r w:rsidR="009021AA" w:rsidRPr="004A3269">
        <w:t>’</w:t>
      </w:r>
      <w:r w:rsidRPr="004A3269">
        <w:t>exécution commun, les parties contractantes peuvent établir des taxes qui sont perçues par l</w:t>
      </w:r>
      <w:r w:rsidR="009021AA" w:rsidRPr="004A3269">
        <w:t>’</w:t>
      </w:r>
      <w:r w:rsidRPr="004A3269">
        <w:t>Organisation et qui doivent être versées aux parties contractantes dans le mois qui suit l</w:t>
      </w:r>
      <w:r w:rsidR="009021AA" w:rsidRPr="004A3269">
        <w:t>’</w:t>
      </w:r>
      <w:r w:rsidRPr="004A3269">
        <w:t>inscription de l</w:t>
      </w:r>
      <w:r w:rsidR="009021AA" w:rsidRPr="004A3269">
        <w:t>’</w:t>
      </w:r>
      <w:r w:rsidRPr="004A3269">
        <w:t>enregistrement ou la désignation du renouvellement pour lesquels la taxe a été acquittée.</w:t>
      </w:r>
      <w:r w:rsidR="006A1AC6" w:rsidRPr="004A3269">
        <w:t xml:space="preserve">  </w:t>
      </w:r>
      <w:r w:rsidRPr="004A3269">
        <w:t>Les parties contractantes qui ont choisi d</w:t>
      </w:r>
      <w:r w:rsidR="009021AA" w:rsidRPr="004A3269">
        <w:t>’</w:t>
      </w:r>
      <w:r w:rsidRPr="004A3269">
        <w:t>établir des taxes individuelles ne peuvent pas percevoir les compléments d</w:t>
      </w:r>
      <w:r w:rsidR="009021AA" w:rsidRPr="004A3269">
        <w:t>’</w:t>
      </w:r>
      <w:r w:rsidRPr="004A3269">
        <w:t>émoluments et les émoluments supplémentaires décrits ci</w:t>
      </w:r>
      <w:r w:rsidR="00A17552" w:rsidRPr="004A3269">
        <w:noBreakHyphen/>
      </w:r>
      <w:r w:rsidRPr="004A3269">
        <w:t>dessus.</w:t>
      </w:r>
      <w:r w:rsidR="005F1D95" w:rsidRPr="004A3269">
        <w:t xml:space="preserve">  </w:t>
      </w:r>
      <w:r w:rsidRPr="004A3269">
        <w:t>Le montant à payer indiqué ci</w:t>
      </w:r>
      <w:r w:rsidR="00A17552" w:rsidRPr="004A3269">
        <w:noBreakHyphen/>
      </w:r>
      <w:r w:rsidRPr="004A3269">
        <w:t>dessus représente le montant à transférer à la fin de la période considérée.</w:t>
      </w:r>
    </w:p>
    <w:p w:rsidR="00267140" w:rsidRPr="004A3269" w:rsidRDefault="00267140" w:rsidP="00B7582E">
      <w:pPr>
        <w:pStyle w:val="ListParagraph"/>
        <w:tabs>
          <w:tab w:val="num" w:pos="1134"/>
        </w:tabs>
        <w:ind w:left="1134" w:hanging="567"/>
      </w:pPr>
    </w:p>
    <w:p w:rsidR="00267140" w:rsidRPr="004A3269" w:rsidRDefault="003E197A" w:rsidP="00B7582E">
      <w:pPr>
        <w:pStyle w:val="Style3"/>
        <w:numPr>
          <w:ilvl w:val="0"/>
          <w:numId w:val="5"/>
        </w:numPr>
        <w:tabs>
          <w:tab w:val="clear" w:pos="720"/>
          <w:tab w:val="num" w:pos="1134"/>
        </w:tabs>
        <w:spacing w:after="0"/>
        <w:ind w:left="1134" w:hanging="567"/>
      </w:pPr>
      <w:r w:rsidRPr="004A3269">
        <w:rPr>
          <w:i/>
          <w:szCs w:val="22"/>
          <w:lang w:eastAsia="en-IN"/>
        </w:rPr>
        <w:t>Dépôts de l</w:t>
      </w:r>
      <w:r w:rsidR="009021AA" w:rsidRPr="004A3269">
        <w:rPr>
          <w:i/>
          <w:szCs w:val="22"/>
          <w:lang w:eastAsia="en-IN"/>
        </w:rPr>
        <w:t>’</w:t>
      </w:r>
      <w:r w:rsidRPr="004A3269">
        <w:rPr>
          <w:i/>
          <w:szCs w:val="22"/>
          <w:lang w:eastAsia="en-IN"/>
        </w:rPr>
        <w:t>Union de Madrid</w:t>
      </w:r>
      <w:r w:rsidR="00A0797A" w:rsidRPr="004A3269">
        <w:rPr>
          <w:szCs w:val="22"/>
          <w:lang w:eastAsia="en-IN"/>
        </w:rPr>
        <w:t> :</w:t>
      </w:r>
      <w:r w:rsidRPr="004A3269">
        <w:rPr>
          <w:szCs w:val="22"/>
          <w:lang w:eastAsia="en-IN"/>
        </w:rPr>
        <w:t xml:space="preserve"> l</w:t>
      </w:r>
      <w:r w:rsidR="009021AA" w:rsidRPr="004A3269">
        <w:rPr>
          <w:szCs w:val="22"/>
          <w:lang w:eastAsia="en-IN"/>
        </w:rPr>
        <w:t>’</w:t>
      </w:r>
      <w:r w:rsidRPr="004A3269">
        <w:rPr>
          <w:szCs w:val="22"/>
          <w:lang w:eastAsia="en-IN"/>
        </w:rPr>
        <w:t>Organisation reçoit en vertu du système de Madrid des déposants des paiements qui représentent des dépôts encaissés dans le cadre de procédures en cours relatives à des enregistrements de marques</w:t>
      </w:r>
      <w:r w:rsidR="00A0797A" w:rsidRPr="004A3269">
        <w:rPr>
          <w:szCs w:val="22"/>
          <w:lang w:eastAsia="en-IN"/>
        </w:rPr>
        <w:t xml:space="preserve">.  </w:t>
      </w:r>
      <w:r w:rsidRPr="004A3269">
        <w:rPr>
          <w:szCs w:val="22"/>
          <w:lang w:eastAsia="en-IN"/>
        </w:rPr>
        <w:t xml:space="preserve">La partie de ces dépôts jugés </w:t>
      </w:r>
      <w:proofErr w:type="gramStart"/>
      <w:r w:rsidRPr="004A3269">
        <w:rPr>
          <w:szCs w:val="22"/>
          <w:lang w:eastAsia="en-IN"/>
        </w:rPr>
        <w:t>représenter</w:t>
      </w:r>
      <w:proofErr w:type="gramEnd"/>
      <w:r w:rsidRPr="004A3269">
        <w:rPr>
          <w:szCs w:val="22"/>
          <w:lang w:eastAsia="en-IN"/>
        </w:rPr>
        <w:t xml:space="preserve"> des fonds perçus pour le compte de tiers à transférer plus tard selon le traité est incorporée dans les montants à payer des états financiers.</w:t>
      </w:r>
      <w:r w:rsidR="005F3C9B" w:rsidRPr="004A3269">
        <w:rPr>
          <w:szCs w:val="22"/>
          <w:lang w:eastAsia="en-IN"/>
        </w:rPr>
        <w:t xml:space="preserve"> </w:t>
      </w:r>
      <w:r w:rsidR="00FA7D6A" w:rsidRPr="004A3269">
        <w:t xml:space="preserve"> </w:t>
      </w:r>
      <w:r w:rsidRPr="004A3269">
        <w:rPr>
          <w:szCs w:val="22"/>
          <w:lang w:eastAsia="en-IN"/>
        </w:rPr>
        <w:t xml:space="preserve">La partie de ces dépôts jugés </w:t>
      </w:r>
      <w:proofErr w:type="gramStart"/>
      <w:r w:rsidRPr="004A3269">
        <w:rPr>
          <w:szCs w:val="22"/>
          <w:lang w:eastAsia="en-IN"/>
        </w:rPr>
        <w:t>représenter</w:t>
      </w:r>
      <w:proofErr w:type="gramEnd"/>
      <w:r w:rsidRPr="004A3269">
        <w:rPr>
          <w:szCs w:val="22"/>
          <w:lang w:eastAsia="en-IN"/>
        </w:rPr>
        <w:t xml:space="preserve"> des taxes de l</w:t>
      </w:r>
      <w:r w:rsidR="009021AA" w:rsidRPr="004A3269">
        <w:rPr>
          <w:szCs w:val="22"/>
          <w:lang w:eastAsia="en-IN"/>
        </w:rPr>
        <w:t>’</w:t>
      </w:r>
      <w:r w:rsidRPr="004A3269">
        <w:rPr>
          <w:szCs w:val="22"/>
          <w:lang w:eastAsia="en-IN"/>
        </w:rPr>
        <w:t xml:space="preserve">Organisation </w:t>
      </w:r>
      <w:r w:rsidRPr="004A3269">
        <w:rPr>
          <w:szCs w:val="22"/>
          <w:lang w:eastAsia="en-IN"/>
        </w:rPr>
        <w:lastRenderedPageBreak/>
        <w:t>reçues par anticipation est incorporée dans les encaissements par anticipation des ét</w:t>
      </w:r>
      <w:r w:rsidR="005F3C9B" w:rsidRPr="004A3269">
        <w:rPr>
          <w:szCs w:val="22"/>
          <w:lang w:eastAsia="en-IN"/>
        </w:rPr>
        <w:t>ats financiers (voir la note n° </w:t>
      </w:r>
      <w:r w:rsidRPr="004A3269">
        <w:rPr>
          <w:szCs w:val="22"/>
          <w:lang w:eastAsia="en-IN"/>
        </w:rPr>
        <w:t>14).</w:t>
      </w:r>
    </w:p>
    <w:p w:rsidR="00267140" w:rsidRPr="004A3269" w:rsidRDefault="00267140" w:rsidP="007C6D77">
      <w:pPr>
        <w:jc w:val="both"/>
        <w:rPr>
          <w:sz w:val="20"/>
        </w:rPr>
      </w:pPr>
    </w:p>
    <w:p w:rsidR="009021AA" w:rsidRPr="004A3269" w:rsidRDefault="003E197A" w:rsidP="00B7582E">
      <w:pPr>
        <w:pStyle w:val="Style3"/>
        <w:numPr>
          <w:ilvl w:val="0"/>
          <w:numId w:val="5"/>
        </w:numPr>
        <w:tabs>
          <w:tab w:val="clear" w:pos="720"/>
          <w:tab w:val="num" w:pos="1134"/>
        </w:tabs>
        <w:spacing w:after="0"/>
        <w:ind w:left="1134" w:hanging="567"/>
      </w:pPr>
      <w:r w:rsidRPr="004A3269">
        <w:rPr>
          <w:i/>
        </w:rPr>
        <w:t xml:space="preserve">Répartition – Union de </w:t>
      </w:r>
      <w:r w:rsidR="009021AA" w:rsidRPr="004A3269">
        <w:rPr>
          <w:i/>
        </w:rPr>
        <w:t>La Haye</w:t>
      </w:r>
      <w:r w:rsidR="00A0797A" w:rsidRPr="004A3269">
        <w:rPr>
          <w:i/>
        </w:rPr>
        <w:t> :</w:t>
      </w:r>
      <w:r w:rsidRPr="004A3269">
        <w:rPr>
          <w:i/>
        </w:rPr>
        <w:t xml:space="preserve"> </w:t>
      </w:r>
      <w:r w:rsidRPr="004A3269">
        <w:t xml:space="preserve">conformément aux </w:t>
      </w:r>
      <w:r w:rsidR="00A0797A" w:rsidRPr="004A3269">
        <w:t>règles </w:t>
      </w:r>
      <w:r w:rsidRPr="004A3269">
        <w:t>13.2.a</w:t>
      </w:r>
      <w:proofErr w:type="gramStart"/>
      <w:r w:rsidRPr="004A3269">
        <w:t>)iii</w:t>
      </w:r>
      <w:proofErr w:type="gramEnd"/>
      <w:r w:rsidRPr="004A3269">
        <w:t>), 13.2.e) et 24.2 du règlement d</w:t>
      </w:r>
      <w:r w:rsidR="009021AA" w:rsidRPr="004A3269">
        <w:t>’</w:t>
      </w:r>
      <w:r w:rsidRPr="004A3269">
        <w:t>exécution commun de l</w:t>
      </w:r>
      <w:r w:rsidR="009021AA" w:rsidRPr="004A3269">
        <w:t>’</w:t>
      </w:r>
      <w:r w:rsidRPr="004A3269">
        <w:t xml:space="preserve">Arrangement de </w:t>
      </w:r>
      <w:r w:rsidR="009021AA" w:rsidRPr="004A3269">
        <w:t>La Haye</w:t>
      </w:r>
      <w:r w:rsidRPr="004A3269">
        <w:t>, l</w:t>
      </w:r>
      <w:r w:rsidR="009021AA" w:rsidRPr="004A3269">
        <w:t>’</w:t>
      </w:r>
      <w:r w:rsidRPr="004A3269">
        <w:t>Organisation perçoit, pour le compte des parties contractantes, des taxes étatiques ordinaires, de renouvellement et d</w:t>
      </w:r>
      <w:r w:rsidR="009021AA" w:rsidRPr="004A3269">
        <w:t>’</w:t>
      </w:r>
      <w:r w:rsidRPr="004A3269">
        <w:t>examen de la nouveauté pour les enregistrements internationaux ou leurs renouvellements.</w:t>
      </w:r>
      <w:r w:rsidR="002A116C" w:rsidRPr="004A3269">
        <w:t xml:space="preserve"> </w:t>
      </w:r>
      <w:r w:rsidR="005F3C9B" w:rsidRPr="004A3269">
        <w:t xml:space="preserve"> </w:t>
      </w:r>
      <w:r w:rsidRPr="004A3269">
        <w:t>Ces sommes doivent être versées aux parties contractantes sur une base mensuelle.</w:t>
      </w:r>
      <w:r w:rsidR="002A116C" w:rsidRPr="004A3269">
        <w:t xml:space="preserve"> </w:t>
      </w:r>
      <w:r w:rsidR="005F3C9B" w:rsidRPr="004A3269">
        <w:t xml:space="preserve"> </w:t>
      </w:r>
      <w:r w:rsidRPr="004A3269">
        <w:t>Le montant indiqué ci</w:t>
      </w:r>
      <w:r w:rsidR="00A17552" w:rsidRPr="004A3269">
        <w:noBreakHyphen/>
      </w:r>
      <w:r w:rsidRPr="004A3269">
        <w:t>dessus représente le montant à transférer à la fin de la période considérée.</w:t>
      </w:r>
    </w:p>
    <w:p w:rsidR="00267140" w:rsidRPr="004A3269" w:rsidRDefault="00267140" w:rsidP="00B7582E">
      <w:pPr>
        <w:pStyle w:val="Style3"/>
        <w:tabs>
          <w:tab w:val="num" w:pos="1134"/>
        </w:tabs>
        <w:spacing w:after="0"/>
        <w:ind w:left="1134" w:hanging="567"/>
        <w:rPr>
          <w:u w:val="single"/>
        </w:rPr>
      </w:pPr>
    </w:p>
    <w:p w:rsidR="00267140" w:rsidRPr="004A3269" w:rsidRDefault="003E197A" w:rsidP="00B7582E">
      <w:pPr>
        <w:pStyle w:val="Style3"/>
        <w:numPr>
          <w:ilvl w:val="0"/>
          <w:numId w:val="5"/>
        </w:numPr>
        <w:tabs>
          <w:tab w:val="clear" w:pos="720"/>
          <w:tab w:val="num" w:pos="1134"/>
        </w:tabs>
        <w:spacing w:after="0"/>
        <w:ind w:left="1134" w:hanging="567"/>
      </w:pPr>
      <w:r w:rsidRPr="004A3269">
        <w:rPr>
          <w:i/>
          <w:szCs w:val="22"/>
        </w:rPr>
        <w:t xml:space="preserve">Taxes aux fins de répartition des unions de Madrid et de </w:t>
      </w:r>
      <w:r w:rsidR="009021AA" w:rsidRPr="004A3269">
        <w:rPr>
          <w:i/>
          <w:szCs w:val="22"/>
        </w:rPr>
        <w:t>La Haye</w:t>
      </w:r>
      <w:r w:rsidR="00A0797A" w:rsidRPr="004A3269">
        <w:rPr>
          <w:szCs w:val="22"/>
        </w:rPr>
        <w:t> :</w:t>
      </w:r>
      <w:r w:rsidRPr="004A3269">
        <w:rPr>
          <w:szCs w:val="22"/>
        </w:rPr>
        <w:t xml:space="preserve"> l</w:t>
      </w:r>
      <w:r w:rsidR="009021AA" w:rsidRPr="004A3269">
        <w:rPr>
          <w:szCs w:val="22"/>
        </w:rPr>
        <w:t>’</w:t>
      </w:r>
      <w:r w:rsidRPr="004A3269">
        <w:rPr>
          <w:szCs w:val="22"/>
        </w:rPr>
        <w:t>Organisation détient des fonds dus aux parties contractantes lorsqu</w:t>
      </w:r>
      <w:r w:rsidR="009021AA" w:rsidRPr="004A3269">
        <w:rPr>
          <w:szCs w:val="22"/>
        </w:rPr>
        <w:t>’</w:t>
      </w:r>
      <w:r w:rsidRPr="004A3269">
        <w:rPr>
          <w:szCs w:val="22"/>
        </w:rPr>
        <w:t>elle n</w:t>
      </w:r>
      <w:r w:rsidR="009021AA" w:rsidRPr="004A3269">
        <w:rPr>
          <w:szCs w:val="22"/>
        </w:rPr>
        <w:t>’</w:t>
      </w:r>
      <w:r w:rsidRPr="004A3269">
        <w:rPr>
          <w:szCs w:val="22"/>
        </w:rPr>
        <w:t>a reçu aucune instruction de paiement clair ou que la partie contractante demande que le paiement soit suspendu en attendant une confirmation</w:t>
      </w:r>
      <w:r w:rsidR="00A0797A" w:rsidRPr="004A3269">
        <w:rPr>
          <w:szCs w:val="22"/>
        </w:rPr>
        <w:t xml:space="preserve">.  </w:t>
      </w:r>
      <w:r w:rsidRPr="004A3269">
        <w:rPr>
          <w:szCs w:val="22"/>
        </w:rPr>
        <w:t xml:space="preserve">Le montant indiqué comprend la somme de </w:t>
      </w:r>
      <w:r w:rsidR="00A0797A" w:rsidRPr="004A3269">
        <w:rPr>
          <w:szCs w:val="22"/>
        </w:rPr>
        <w:t>1,8 million</w:t>
      </w:r>
      <w:r w:rsidRPr="004A3269">
        <w:rPr>
          <w:szCs w:val="22"/>
        </w:rPr>
        <w:t xml:space="preserve"> de francs suisses due aux pa</w:t>
      </w:r>
      <w:r w:rsidR="005F3C9B" w:rsidRPr="004A3269">
        <w:rPr>
          <w:szCs w:val="22"/>
        </w:rPr>
        <w:t>ys formant l</w:t>
      </w:r>
      <w:r w:rsidR="009021AA" w:rsidRPr="004A3269">
        <w:rPr>
          <w:szCs w:val="22"/>
        </w:rPr>
        <w:t>’</w:t>
      </w:r>
      <w:r w:rsidR="005F3C9B" w:rsidRPr="004A3269">
        <w:rPr>
          <w:szCs w:val="22"/>
        </w:rPr>
        <w:t>ex</w:t>
      </w:r>
      <w:r w:rsidR="00A17552" w:rsidRPr="004A3269">
        <w:rPr>
          <w:szCs w:val="22"/>
        </w:rPr>
        <w:noBreakHyphen/>
      </w:r>
      <w:r w:rsidRPr="004A3269">
        <w:rPr>
          <w:szCs w:val="22"/>
        </w:rPr>
        <w:t xml:space="preserve">Yougoslavie, </w:t>
      </w:r>
      <w:r w:rsidR="009021AA" w:rsidRPr="004A3269">
        <w:rPr>
          <w:szCs w:val="22"/>
        </w:rPr>
        <w:t>à savoir</w:t>
      </w:r>
      <w:r w:rsidRPr="004A3269">
        <w:rPr>
          <w:szCs w:val="22"/>
        </w:rPr>
        <w:t xml:space="preserve"> la Bosni</w:t>
      </w:r>
      <w:r w:rsidR="005F3C9B" w:rsidRPr="004A3269">
        <w:rPr>
          <w:szCs w:val="22"/>
        </w:rPr>
        <w:t>e</w:t>
      </w:r>
      <w:r w:rsidR="00A17552" w:rsidRPr="004A3269">
        <w:rPr>
          <w:szCs w:val="22"/>
        </w:rPr>
        <w:noBreakHyphen/>
      </w:r>
      <w:r w:rsidR="005F3C9B" w:rsidRPr="004A3269">
        <w:rPr>
          <w:szCs w:val="22"/>
        </w:rPr>
        <w:t>Herzégovine, la Croatie, l</w:t>
      </w:r>
      <w:r w:rsidR="009021AA" w:rsidRPr="004A3269">
        <w:rPr>
          <w:szCs w:val="22"/>
        </w:rPr>
        <w:t>’</w:t>
      </w:r>
      <w:r w:rsidR="005F3C9B" w:rsidRPr="004A3269">
        <w:rPr>
          <w:szCs w:val="22"/>
        </w:rPr>
        <w:t>ex</w:t>
      </w:r>
      <w:r w:rsidR="00A17552" w:rsidRPr="004A3269">
        <w:rPr>
          <w:szCs w:val="22"/>
        </w:rPr>
        <w:noBreakHyphen/>
      </w:r>
      <w:r w:rsidRPr="004A3269">
        <w:rPr>
          <w:szCs w:val="22"/>
        </w:rPr>
        <w:t>République yougoslave de Macédoine, le Monténégro, la Serbie et la Slovénie.</w:t>
      </w:r>
      <w:r w:rsidR="008F45AA" w:rsidRPr="004A3269">
        <w:t xml:space="preserve"> </w:t>
      </w:r>
      <w:r w:rsidR="001B15B8" w:rsidRPr="004A3269">
        <w:t xml:space="preserve"> Le paiement sera effectué aussitôt qu</w:t>
      </w:r>
      <w:r w:rsidR="009021AA" w:rsidRPr="004A3269">
        <w:t>’</w:t>
      </w:r>
      <w:r w:rsidR="001B15B8" w:rsidRPr="004A3269">
        <w:t>un accord mutuel conclu entre les États membres concernés sur les montants aura été reçu par le Bureau international</w:t>
      </w:r>
      <w:r w:rsidR="008F45AA" w:rsidRPr="004A3269">
        <w:t>.</w:t>
      </w:r>
    </w:p>
    <w:p w:rsidR="00267140" w:rsidRPr="004A3269" w:rsidRDefault="00267140" w:rsidP="00B7582E">
      <w:pPr>
        <w:tabs>
          <w:tab w:val="num" w:pos="1134"/>
        </w:tabs>
        <w:ind w:left="1134" w:firstLineChars="100" w:firstLine="200"/>
        <w:jc w:val="both"/>
        <w:rPr>
          <w:sz w:val="20"/>
          <w:u w:val="single"/>
        </w:rPr>
      </w:pPr>
    </w:p>
    <w:p w:rsidR="00267140" w:rsidRPr="004A3269" w:rsidRDefault="003E197A" w:rsidP="00B7582E">
      <w:pPr>
        <w:pStyle w:val="Style3"/>
        <w:numPr>
          <w:ilvl w:val="0"/>
          <w:numId w:val="5"/>
        </w:numPr>
        <w:tabs>
          <w:tab w:val="clear" w:pos="720"/>
          <w:tab w:val="num" w:pos="1134"/>
        </w:tabs>
        <w:spacing w:after="0"/>
        <w:ind w:left="1134" w:hanging="567"/>
      </w:pPr>
      <w:r w:rsidRPr="004A3269">
        <w:rPr>
          <w:i/>
        </w:rPr>
        <w:t>Dépôts pour le Centre d</w:t>
      </w:r>
      <w:r w:rsidR="009021AA" w:rsidRPr="004A3269">
        <w:rPr>
          <w:i/>
        </w:rPr>
        <w:t>’</w:t>
      </w:r>
      <w:r w:rsidRPr="004A3269">
        <w:rPr>
          <w:i/>
        </w:rPr>
        <w:t>arbitrage et de médiation</w:t>
      </w:r>
      <w:r w:rsidR="00A0797A" w:rsidRPr="004A3269">
        <w:t> :</w:t>
      </w:r>
      <w:r w:rsidRPr="004A3269">
        <w:t xml:space="preserve"> l</w:t>
      </w:r>
      <w:r w:rsidR="009021AA" w:rsidRPr="004A3269">
        <w:t>’</w:t>
      </w:r>
      <w:r w:rsidRPr="004A3269">
        <w:t>Organisation perçoit des taxes pour les arbitrages effectués par son Centre d</w:t>
      </w:r>
      <w:r w:rsidR="009021AA" w:rsidRPr="004A3269">
        <w:t>’</w:t>
      </w:r>
      <w:r w:rsidRPr="004A3269">
        <w:t>arbitrage et de médiation concernant des noms de domaines et d</w:t>
      </w:r>
      <w:r w:rsidR="009021AA" w:rsidRPr="004A3269">
        <w:t>’</w:t>
      </w:r>
      <w:r w:rsidRPr="004A3269">
        <w:t>autres questions en rapport avec la propriété intellectuelle.</w:t>
      </w:r>
      <w:r w:rsidR="001C3219" w:rsidRPr="004A3269">
        <w:t xml:space="preserve">  </w:t>
      </w:r>
      <w:r w:rsidRPr="004A3269">
        <w:t>Outre la taxe versée à l</w:t>
      </w:r>
      <w:r w:rsidR="009021AA" w:rsidRPr="004A3269">
        <w:t>’</w:t>
      </w:r>
      <w:r w:rsidRPr="004A3269">
        <w:t>Organisation, les participants déposent un montant correspondant aux honoraires estimés de l</w:t>
      </w:r>
      <w:r w:rsidR="009021AA" w:rsidRPr="004A3269">
        <w:t>’</w:t>
      </w:r>
      <w:r w:rsidRPr="004A3269">
        <w:t>arbitre.</w:t>
      </w:r>
      <w:r w:rsidR="001C3219" w:rsidRPr="004A3269">
        <w:t xml:space="preserve">  </w:t>
      </w:r>
      <w:r w:rsidRPr="004A3269">
        <w:t>Si les honoraires se révèlent supérieurs à l</w:t>
      </w:r>
      <w:r w:rsidR="009021AA" w:rsidRPr="004A3269">
        <w:t>’</w:t>
      </w:r>
      <w:r w:rsidRPr="004A3269">
        <w:t>estimation, l</w:t>
      </w:r>
      <w:r w:rsidR="009021AA" w:rsidRPr="004A3269">
        <w:t>’</w:t>
      </w:r>
      <w:r w:rsidRPr="004A3269">
        <w:t>Organisation demande aux participants de verser le complément nécessaire.</w:t>
      </w:r>
      <w:r w:rsidR="001C3219" w:rsidRPr="004A3269">
        <w:t xml:space="preserve">  </w:t>
      </w:r>
      <w:r w:rsidRPr="004A3269">
        <w:t>Le montant perçu est versé directement à l</w:t>
      </w:r>
      <w:r w:rsidR="009021AA" w:rsidRPr="004A3269">
        <w:t>’</w:t>
      </w:r>
      <w:r w:rsidRPr="004A3269">
        <w:t>arbitre et n</w:t>
      </w:r>
      <w:r w:rsidR="009021AA" w:rsidRPr="004A3269">
        <w:t>’</w:t>
      </w:r>
      <w:r w:rsidRPr="004A3269">
        <w:t>est pas comptabilisé dans les recettes par l</w:t>
      </w:r>
      <w:r w:rsidR="009021AA" w:rsidRPr="004A3269">
        <w:t>’</w:t>
      </w:r>
      <w:r w:rsidRPr="004A3269">
        <w:t>Organisation.</w:t>
      </w:r>
      <w:r w:rsidR="001C3219" w:rsidRPr="004A3269">
        <w:t xml:space="preserve">  </w:t>
      </w:r>
      <w:r w:rsidRPr="004A3269">
        <w:t>Le montant indiqué ci</w:t>
      </w:r>
      <w:r w:rsidR="00A17552" w:rsidRPr="004A3269">
        <w:noBreakHyphen/>
      </w:r>
      <w:r w:rsidRPr="004A3269">
        <w:t>dessus correspond au montant net versé par les participants qui n</w:t>
      </w:r>
      <w:r w:rsidR="009021AA" w:rsidRPr="004A3269">
        <w:t>’</w:t>
      </w:r>
      <w:r w:rsidRPr="004A3269">
        <w:t>a pas encore été versé aux arbitres à la date d</w:t>
      </w:r>
      <w:r w:rsidR="009021AA" w:rsidRPr="004A3269">
        <w:t>’</w:t>
      </w:r>
      <w:r w:rsidRPr="004A3269">
        <w:t>établissement des états financiers.</w:t>
      </w:r>
    </w:p>
    <w:p w:rsidR="00267140" w:rsidRPr="004A3269" w:rsidRDefault="00267140" w:rsidP="00B7582E">
      <w:pPr>
        <w:pStyle w:val="Style3"/>
        <w:tabs>
          <w:tab w:val="num" w:pos="1134"/>
        </w:tabs>
        <w:spacing w:after="0"/>
        <w:ind w:left="1134" w:hanging="567"/>
        <w:rPr>
          <w:u w:val="single"/>
        </w:rPr>
      </w:pPr>
    </w:p>
    <w:p w:rsidR="00267140" w:rsidRPr="004A3269" w:rsidRDefault="00407333" w:rsidP="00B7582E">
      <w:pPr>
        <w:pStyle w:val="Style3"/>
        <w:numPr>
          <w:ilvl w:val="0"/>
          <w:numId w:val="5"/>
        </w:numPr>
        <w:tabs>
          <w:tab w:val="clear" w:pos="720"/>
          <w:tab w:val="num" w:pos="1134"/>
        </w:tabs>
        <w:spacing w:after="0"/>
        <w:ind w:left="1134" w:hanging="567"/>
      </w:pPr>
      <w:r w:rsidRPr="004A3269">
        <w:rPr>
          <w:i/>
        </w:rPr>
        <w:t>Administrations chargées de la recherche internationale selon</w:t>
      </w:r>
      <w:r w:rsidR="009021AA" w:rsidRPr="004A3269">
        <w:rPr>
          <w:i/>
        </w:rPr>
        <w:t xml:space="preserve"> le PCT</w:t>
      </w:r>
      <w:r w:rsidR="00A0797A" w:rsidRPr="004A3269">
        <w:t> :</w:t>
      </w:r>
      <w:r w:rsidRPr="004A3269">
        <w:t xml:space="preserve"> le Bureau international perçoit des taxes auprès des déposants de demandes internationales de brevet </w:t>
      </w:r>
      <w:r w:rsidR="00CE1DB1" w:rsidRPr="004A3269">
        <w:t>déposées auprès du Bureau international</w:t>
      </w:r>
      <w:r w:rsidRPr="004A3269">
        <w:t xml:space="preserve"> afin de couvrir le coût des recherches internationales réalisées par les administrations chargées de la recherche internationale désignées par l</w:t>
      </w:r>
      <w:r w:rsidR="009021AA" w:rsidRPr="004A3269">
        <w:t>’</w:t>
      </w:r>
      <w:r w:rsidRPr="004A3269">
        <w:t>Organisation conformément au Traité de coopération en matière de brevets (PCT)</w:t>
      </w:r>
      <w:r w:rsidR="00A0797A" w:rsidRPr="004A3269">
        <w:t xml:space="preserve">.  </w:t>
      </w:r>
      <w:r w:rsidRPr="004A3269">
        <w:t xml:space="preserve">Le montant indiqué dans le tableau </w:t>
      </w:r>
      <w:r w:rsidR="000E56DD" w:rsidRPr="004A3269">
        <w:t>ci-dessus</w:t>
      </w:r>
      <w:r w:rsidRPr="004A3269">
        <w:t xml:space="preserve"> représente le montant à transférer aux administrations chargées de la recherche internationale à la date d</w:t>
      </w:r>
      <w:r w:rsidR="009021AA" w:rsidRPr="004A3269">
        <w:t>’</w:t>
      </w:r>
      <w:r w:rsidRPr="004A3269">
        <w:t>établissement des états financiers.</w:t>
      </w:r>
    </w:p>
    <w:p w:rsidR="00267140" w:rsidRPr="004A3269" w:rsidRDefault="00267140" w:rsidP="00B7582E">
      <w:pPr>
        <w:pStyle w:val="ListParagraph"/>
        <w:tabs>
          <w:tab w:val="num" w:pos="1134"/>
        </w:tabs>
        <w:ind w:left="1134" w:hanging="567"/>
      </w:pPr>
    </w:p>
    <w:p w:rsidR="00267140" w:rsidRPr="004A3269" w:rsidRDefault="0078636F" w:rsidP="00B7582E">
      <w:pPr>
        <w:pStyle w:val="Style3"/>
        <w:numPr>
          <w:ilvl w:val="0"/>
          <w:numId w:val="5"/>
        </w:numPr>
        <w:tabs>
          <w:tab w:val="clear" w:pos="720"/>
          <w:tab w:val="num" w:pos="1134"/>
        </w:tabs>
        <w:spacing w:after="0"/>
        <w:ind w:left="1134" w:hanging="567"/>
      </w:pPr>
      <w:r w:rsidRPr="004A3269">
        <w:rPr>
          <w:rStyle w:val="hps"/>
          <w:i/>
        </w:rPr>
        <w:t>Taxes</w:t>
      </w:r>
      <w:r w:rsidR="001B15B8" w:rsidRPr="004A3269">
        <w:rPr>
          <w:i/>
        </w:rPr>
        <w:t xml:space="preserve"> </w:t>
      </w:r>
      <w:r w:rsidR="001B15B8" w:rsidRPr="004A3269">
        <w:rPr>
          <w:rStyle w:val="hps"/>
          <w:i/>
        </w:rPr>
        <w:t>de recherche</w:t>
      </w:r>
      <w:r w:rsidR="001B15B8" w:rsidRPr="004A3269">
        <w:rPr>
          <w:i/>
        </w:rPr>
        <w:t xml:space="preserve"> </w:t>
      </w:r>
      <w:r w:rsidRPr="004A3269">
        <w:rPr>
          <w:i/>
        </w:rPr>
        <w:t>de l</w:t>
      </w:r>
      <w:r w:rsidR="009021AA" w:rsidRPr="004A3269">
        <w:rPr>
          <w:i/>
        </w:rPr>
        <w:t>’</w:t>
      </w:r>
      <w:r w:rsidR="001B15B8" w:rsidRPr="004A3269">
        <w:rPr>
          <w:rStyle w:val="hps"/>
          <w:i/>
        </w:rPr>
        <w:t>USPTO</w:t>
      </w:r>
      <w:r w:rsidR="001B15B8" w:rsidRPr="004A3269">
        <w:rPr>
          <w:i/>
        </w:rPr>
        <w:t xml:space="preserve"> </w:t>
      </w:r>
      <w:r w:rsidRPr="004A3269">
        <w:rPr>
          <w:rStyle w:val="hps"/>
          <w:i/>
        </w:rPr>
        <w:t>dues à</w:t>
      </w:r>
      <w:r w:rsidR="001B15B8" w:rsidRPr="004A3269">
        <w:rPr>
          <w:i/>
        </w:rPr>
        <w:t xml:space="preserve"> </w:t>
      </w:r>
      <w:r w:rsidR="001B15B8" w:rsidRPr="004A3269">
        <w:rPr>
          <w:rStyle w:val="hps"/>
          <w:i/>
        </w:rPr>
        <w:t>l</w:t>
      </w:r>
      <w:r w:rsidR="009021AA" w:rsidRPr="004A3269">
        <w:rPr>
          <w:rStyle w:val="hps"/>
          <w:i/>
        </w:rPr>
        <w:t>’</w:t>
      </w:r>
      <w:r w:rsidR="001B15B8" w:rsidRPr="004A3269">
        <w:rPr>
          <w:rStyle w:val="hps"/>
          <w:i/>
        </w:rPr>
        <w:t>OEB :</w:t>
      </w:r>
      <w:r w:rsidR="001B15B8" w:rsidRPr="004A3269">
        <w:t xml:space="preserve"> </w:t>
      </w:r>
      <w:r w:rsidR="001B15B8" w:rsidRPr="004A3269">
        <w:rPr>
          <w:rStyle w:val="hps"/>
        </w:rPr>
        <w:t>conformément à</w:t>
      </w:r>
      <w:r w:rsidR="001B15B8" w:rsidRPr="004A3269">
        <w:t xml:space="preserve"> </w:t>
      </w:r>
      <w:r w:rsidR="001B15B8" w:rsidRPr="004A3269">
        <w:rPr>
          <w:rStyle w:val="hps"/>
        </w:rPr>
        <w:t xml:space="preserve">un </w:t>
      </w:r>
      <w:r w:rsidR="000E56DD" w:rsidRPr="004A3269">
        <w:rPr>
          <w:rStyle w:val="hps"/>
        </w:rPr>
        <w:t>mémorandum d’accord</w:t>
      </w:r>
      <w:r w:rsidR="001B15B8" w:rsidRPr="004A3269">
        <w:t xml:space="preserve"> </w:t>
      </w:r>
      <w:r w:rsidRPr="004A3269">
        <w:t xml:space="preserve">conclu </w:t>
      </w:r>
      <w:r w:rsidR="001B15B8" w:rsidRPr="004A3269">
        <w:rPr>
          <w:rStyle w:val="hps"/>
        </w:rPr>
        <w:t>entre l</w:t>
      </w:r>
      <w:r w:rsidR="009021AA" w:rsidRPr="004A3269">
        <w:rPr>
          <w:rStyle w:val="hps"/>
        </w:rPr>
        <w:t>’</w:t>
      </w:r>
      <w:r w:rsidR="001B15B8" w:rsidRPr="004A3269">
        <w:rPr>
          <w:rStyle w:val="hps"/>
        </w:rPr>
        <w:t>Office européen</w:t>
      </w:r>
      <w:r w:rsidR="001B15B8" w:rsidRPr="004A3269">
        <w:t xml:space="preserve"> </w:t>
      </w:r>
      <w:r w:rsidR="001B15B8" w:rsidRPr="004A3269">
        <w:rPr>
          <w:rStyle w:val="hps"/>
        </w:rPr>
        <w:t>des brevets (OEB</w:t>
      </w:r>
      <w:r w:rsidR="001B15B8" w:rsidRPr="004A3269">
        <w:t xml:space="preserve">), </w:t>
      </w:r>
      <w:r w:rsidRPr="004A3269">
        <w:rPr>
          <w:rStyle w:val="hps"/>
        </w:rPr>
        <w:t>l</w:t>
      </w:r>
      <w:r w:rsidR="009021AA" w:rsidRPr="004A3269">
        <w:rPr>
          <w:rStyle w:val="hps"/>
        </w:rPr>
        <w:t>’</w:t>
      </w:r>
      <w:r w:rsidRPr="004A3269">
        <w:rPr>
          <w:rStyle w:val="hps"/>
        </w:rPr>
        <w:t xml:space="preserve">Office </w:t>
      </w:r>
      <w:r w:rsidR="001B15B8" w:rsidRPr="004A3269">
        <w:rPr>
          <w:rStyle w:val="hps"/>
        </w:rPr>
        <w:t xml:space="preserve">des brevets </w:t>
      </w:r>
      <w:r w:rsidRPr="004A3269">
        <w:rPr>
          <w:rStyle w:val="hps"/>
        </w:rPr>
        <w:t xml:space="preserve">et des marques des </w:t>
      </w:r>
      <w:r w:rsidR="00505179" w:rsidRPr="004A3269">
        <w:rPr>
          <w:rStyle w:val="hps"/>
        </w:rPr>
        <w:t>États</w:t>
      </w:r>
      <w:r w:rsidR="00A17552" w:rsidRPr="004A3269">
        <w:rPr>
          <w:rStyle w:val="hps"/>
        </w:rPr>
        <w:noBreakHyphen/>
      </w:r>
      <w:r w:rsidR="00505179" w:rsidRPr="004A3269">
        <w:rPr>
          <w:rStyle w:val="hps"/>
        </w:rPr>
        <w:t>Unis</w:t>
      </w:r>
      <w:r w:rsidRPr="004A3269">
        <w:rPr>
          <w:rStyle w:val="hps"/>
        </w:rPr>
        <w:t xml:space="preserve"> d</w:t>
      </w:r>
      <w:r w:rsidR="009021AA" w:rsidRPr="004A3269">
        <w:rPr>
          <w:rStyle w:val="hps"/>
        </w:rPr>
        <w:t>’</w:t>
      </w:r>
      <w:r w:rsidRPr="004A3269">
        <w:rPr>
          <w:rStyle w:val="hps"/>
        </w:rPr>
        <w:t>Amérique</w:t>
      </w:r>
      <w:r w:rsidR="001B15B8" w:rsidRPr="004A3269">
        <w:t xml:space="preserve"> </w:t>
      </w:r>
      <w:r w:rsidR="001B15B8" w:rsidRPr="004A3269">
        <w:rPr>
          <w:rStyle w:val="hps"/>
        </w:rPr>
        <w:t>(</w:t>
      </w:r>
      <w:r w:rsidR="001B15B8" w:rsidRPr="004A3269">
        <w:t xml:space="preserve">USPTO) </w:t>
      </w:r>
      <w:r w:rsidR="001B15B8" w:rsidRPr="004A3269">
        <w:rPr>
          <w:rStyle w:val="hps"/>
        </w:rPr>
        <w:t>et l</w:t>
      </w:r>
      <w:r w:rsidR="009021AA" w:rsidRPr="004A3269">
        <w:rPr>
          <w:rStyle w:val="hps"/>
        </w:rPr>
        <w:t>’</w:t>
      </w:r>
      <w:r w:rsidR="001B15B8" w:rsidRPr="004A3269">
        <w:rPr>
          <w:rStyle w:val="hps"/>
        </w:rPr>
        <w:t>OMPI</w:t>
      </w:r>
      <w:r w:rsidR="001B15B8" w:rsidRPr="004A3269">
        <w:t xml:space="preserve">, </w:t>
      </w:r>
      <w:r w:rsidR="00BD08B3" w:rsidRPr="004A3269">
        <w:t>l</w:t>
      </w:r>
      <w:r w:rsidR="009021AA" w:rsidRPr="004A3269">
        <w:t>’</w:t>
      </w:r>
      <w:r w:rsidR="00BD08B3" w:rsidRPr="004A3269">
        <w:t>Organisation perçoit de l</w:t>
      </w:r>
      <w:r w:rsidR="009021AA" w:rsidRPr="004A3269">
        <w:t>’</w:t>
      </w:r>
      <w:r w:rsidR="00BD08B3" w:rsidRPr="004A3269">
        <w:t xml:space="preserve">USPTO </w:t>
      </w:r>
      <w:r w:rsidR="001B15B8" w:rsidRPr="004A3269">
        <w:t xml:space="preserve">les </w:t>
      </w:r>
      <w:r w:rsidR="00BD08B3" w:rsidRPr="004A3269">
        <w:t>taxes</w:t>
      </w:r>
      <w:r w:rsidR="001B15B8" w:rsidRPr="004A3269">
        <w:t xml:space="preserve"> </w:t>
      </w:r>
      <w:r w:rsidR="001B15B8" w:rsidRPr="004A3269">
        <w:rPr>
          <w:rStyle w:val="hps"/>
        </w:rPr>
        <w:t>de recherche</w:t>
      </w:r>
      <w:r w:rsidR="009021AA" w:rsidRPr="004A3269">
        <w:t xml:space="preserve"> </w:t>
      </w:r>
      <w:r w:rsidR="009021AA" w:rsidRPr="004A3269">
        <w:rPr>
          <w:rStyle w:val="hps"/>
        </w:rPr>
        <w:t>du</w:t>
      </w:r>
      <w:r w:rsidR="009021AA" w:rsidRPr="004A3269">
        <w:t> </w:t>
      </w:r>
      <w:r w:rsidR="009021AA" w:rsidRPr="004A3269">
        <w:rPr>
          <w:rStyle w:val="hps"/>
        </w:rPr>
        <w:t>PCT</w:t>
      </w:r>
      <w:r w:rsidR="001B15B8" w:rsidRPr="004A3269">
        <w:t xml:space="preserve"> </w:t>
      </w:r>
      <w:r w:rsidRPr="004A3269">
        <w:rPr>
          <w:rStyle w:val="hps"/>
        </w:rPr>
        <w:t>devant être</w:t>
      </w:r>
      <w:r w:rsidR="001B15B8" w:rsidRPr="004A3269">
        <w:t xml:space="preserve"> </w:t>
      </w:r>
      <w:r w:rsidR="001B15B8" w:rsidRPr="004A3269">
        <w:rPr>
          <w:rStyle w:val="hps"/>
        </w:rPr>
        <w:t>transféré</w:t>
      </w:r>
      <w:r w:rsidR="00BD08B3" w:rsidRPr="004A3269">
        <w:rPr>
          <w:rStyle w:val="hps"/>
        </w:rPr>
        <w:t>e</w:t>
      </w:r>
      <w:r w:rsidR="001B15B8" w:rsidRPr="004A3269">
        <w:rPr>
          <w:rStyle w:val="hps"/>
        </w:rPr>
        <w:t>s de</w:t>
      </w:r>
      <w:r w:rsidR="001B15B8" w:rsidRPr="004A3269">
        <w:t xml:space="preserve"> </w:t>
      </w:r>
      <w:r w:rsidR="001B15B8" w:rsidRPr="004A3269">
        <w:rPr>
          <w:rStyle w:val="hps"/>
        </w:rPr>
        <w:t>l</w:t>
      </w:r>
      <w:r w:rsidR="009021AA" w:rsidRPr="004A3269">
        <w:rPr>
          <w:rStyle w:val="hps"/>
        </w:rPr>
        <w:t>’</w:t>
      </w:r>
      <w:r w:rsidR="001B15B8" w:rsidRPr="004A3269">
        <w:rPr>
          <w:rStyle w:val="hps"/>
        </w:rPr>
        <w:t>USPTO</w:t>
      </w:r>
      <w:r w:rsidR="001B15B8" w:rsidRPr="004A3269">
        <w:t xml:space="preserve"> </w:t>
      </w:r>
      <w:r w:rsidR="001B15B8" w:rsidRPr="004A3269">
        <w:rPr>
          <w:rStyle w:val="hps"/>
        </w:rPr>
        <w:t>(</w:t>
      </w:r>
      <w:r w:rsidRPr="004A3269">
        <w:t>en tant qu</w:t>
      </w:r>
      <w:r w:rsidR="009021AA" w:rsidRPr="004A3269">
        <w:t>’</w:t>
      </w:r>
      <w:r w:rsidRPr="004A3269">
        <w:t>office récepteur</w:t>
      </w:r>
      <w:r w:rsidR="009021AA" w:rsidRPr="004A3269">
        <w:t xml:space="preserve"> du </w:t>
      </w:r>
      <w:r w:rsidR="009021AA" w:rsidRPr="004A3269">
        <w:rPr>
          <w:rStyle w:val="hps"/>
        </w:rPr>
        <w:t>PCT</w:t>
      </w:r>
      <w:r w:rsidR="001B15B8" w:rsidRPr="004A3269">
        <w:t xml:space="preserve">) </w:t>
      </w:r>
      <w:r w:rsidR="001B15B8" w:rsidRPr="004A3269">
        <w:rPr>
          <w:rStyle w:val="hps"/>
        </w:rPr>
        <w:t>à l</w:t>
      </w:r>
      <w:r w:rsidR="009021AA" w:rsidRPr="004A3269">
        <w:rPr>
          <w:rStyle w:val="hps"/>
        </w:rPr>
        <w:t>’</w:t>
      </w:r>
      <w:r w:rsidR="001B15B8" w:rsidRPr="004A3269">
        <w:rPr>
          <w:rStyle w:val="hps"/>
        </w:rPr>
        <w:t>OEB</w:t>
      </w:r>
      <w:r w:rsidR="001B15B8" w:rsidRPr="004A3269">
        <w:t xml:space="preserve"> </w:t>
      </w:r>
      <w:r w:rsidR="001B15B8" w:rsidRPr="004A3269">
        <w:rPr>
          <w:rStyle w:val="hps"/>
        </w:rPr>
        <w:t>(</w:t>
      </w:r>
      <w:r w:rsidRPr="004A3269">
        <w:t>en tant qu</w:t>
      </w:r>
      <w:r w:rsidR="009021AA" w:rsidRPr="004A3269">
        <w:t>’</w:t>
      </w:r>
      <w:r w:rsidRPr="004A3269">
        <w:t xml:space="preserve">administration </w:t>
      </w:r>
      <w:r w:rsidR="001B15B8" w:rsidRPr="004A3269">
        <w:rPr>
          <w:rStyle w:val="hps"/>
        </w:rPr>
        <w:t>chargée de la recherche</w:t>
      </w:r>
      <w:r w:rsidR="001B15B8" w:rsidRPr="004A3269">
        <w:t xml:space="preserve"> </w:t>
      </w:r>
      <w:r w:rsidR="001B15B8" w:rsidRPr="004A3269">
        <w:rPr>
          <w:rStyle w:val="hps"/>
        </w:rPr>
        <w:t>internationale</w:t>
      </w:r>
      <w:r w:rsidR="001B15B8" w:rsidRPr="004A3269">
        <w:t xml:space="preserve">) </w:t>
      </w:r>
      <w:r w:rsidR="00BD08B3" w:rsidRPr="004A3269">
        <w:rPr>
          <w:rStyle w:val="hps"/>
        </w:rPr>
        <w:t xml:space="preserve">puis les </w:t>
      </w:r>
      <w:r w:rsidR="00505179" w:rsidRPr="004A3269">
        <w:rPr>
          <w:rStyle w:val="hps"/>
        </w:rPr>
        <w:t>transfère</w:t>
      </w:r>
      <w:r w:rsidR="001B15B8" w:rsidRPr="004A3269">
        <w:t xml:space="preserve"> </w:t>
      </w:r>
      <w:r w:rsidR="001B15B8" w:rsidRPr="004A3269">
        <w:rPr>
          <w:rStyle w:val="hps"/>
        </w:rPr>
        <w:t>à l</w:t>
      </w:r>
      <w:r w:rsidR="009021AA" w:rsidRPr="004A3269">
        <w:rPr>
          <w:rStyle w:val="hps"/>
        </w:rPr>
        <w:t>’</w:t>
      </w:r>
      <w:r w:rsidR="001B15B8" w:rsidRPr="004A3269">
        <w:rPr>
          <w:rStyle w:val="hps"/>
        </w:rPr>
        <w:t>OEB</w:t>
      </w:r>
      <w:r w:rsidR="001B15B8" w:rsidRPr="004A3269">
        <w:t>.</w:t>
      </w:r>
      <w:r w:rsidRPr="004A3269">
        <w:t xml:space="preserve"> </w:t>
      </w:r>
      <w:r w:rsidR="001B15B8" w:rsidRPr="004A3269">
        <w:t xml:space="preserve"> </w:t>
      </w:r>
      <w:r w:rsidR="00BD08B3" w:rsidRPr="004A3269">
        <w:rPr>
          <w:rStyle w:val="hps"/>
        </w:rPr>
        <w:t>Ce</w:t>
      </w:r>
      <w:r w:rsidR="001B15B8" w:rsidRPr="004A3269">
        <w:t xml:space="preserve"> </w:t>
      </w:r>
      <w:r w:rsidR="000E56DD" w:rsidRPr="004A3269">
        <w:rPr>
          <w:rStyle w:val="hps"/>
        </w:rPr>
        <w:t>mémorandum d’accord</w:t>
      </w:r>
      <w:r w:rsidR="000E56DD" w:rsidRPr="004A3269">
        <w:t xml:space="preserve"> </w:t>
      </w:r>
      <w:r w:rsidR="00BD08B3" w:rsidRPr="004A3269">
        <w:rPr>
          <w:rStyle w:val="hps"/>
        </w:rPr>
        <w:t xml:space="preserve">vise à </w:t>
      </w:r>
      <w:r w:rsidR="001B15B8" w:rsidRPr="004A3269">
        <w:rPr>
          <w:rStyle w:val="hps"/>
        </w:rPr>
        <w:t>améliorer</w:t>
      </w:r>
      <w:r w:rsidR="001B15B8" w:rsidRPr="004A3269">
        <w:t xml:space="preserve"> </w:t>
      </w:r>
      <w:r w:rsidR="001B15B8" w:rsidRPr="004A3269">
        <w:rPr>
          <w:rStyle w:val="hps"/>
        </w:rPr>
        <w:t xml:space="preserve">la gestion </w:t>
      </w:r>
      <w:r w:rsidR="00200BF4" w:rsidRPr="004A3269">
        <w:rPr>
          <w:rStyle w:val="hps"/>
        </w:rPr>
        <w:t>des transferts de taxes de</w:t>
      </w:r>
      <w:r w:rsidR="001B15B8" w:rsidRPr="004A3269">
        <w:t xml:space="preserve"> </w:t>
      </w:r>
      <w:r w:rsidR="001B15B8" w:rsidRPr="004A3269">
        <w:rPr>
          <w:rStyle w:val="hps"/>
        </w:rPr>
        <w:t>recherche</w:t>
      </w:r>
      <w:r w:rsidR="001B15B8" w:rsidRPr="004A3269">
        <w:t xml:space="preserve"> </w:t>
      </w:r>
      <w:r w:rsidR="001B15B8" w:rsidRPr="004A3269">
        <w:rPr>
          <w:rStyle w:val="hps"/>
        </w:rPr>
        <w:t>et</w:t>
      </w:r>
      <w:r w:rsidR="001B15B8" w:rsidRPr="004A3269">
        <w:t xml:space="preserve"> </w:t>
      </w:r>
      <w:r w:rsidR="00200BF4" w:rsidRPr="004A3269">
        <w:t xml:space="preserve">à </w:t>
      </w:r>
      <w:r w:rsidR="001B15B8" w:rsidRPr="004A3269">
        <w:rPr>
          <w:rStyle w:val="hps"/>
        </w:rPr>
        <w:t>réduire les pertes</w:t>
      </w:r>
      <w:r w:rsidR="001B15B8" w:rsidRPr="004A3269">
        <w:t xml:space="preserve"> </w:t>
      </w:r>
      <w:r w:rsidR="001B15B8" w:rsidRPr="004A3269">
        <w:rPr>
          <w:rStyle w:val="hps"/>
        </w:rPr>
        <w:t>encourues</w:t>
      </w:r>
      <w:r w:rsidR="001B15B8" w:rsidRPr="004A3269">
        <w:t xml:space="preserve"> </w:t>
      </w:r>
      <w:r w:rsidR="001B15B8" w:rsidRPr="004A3269">
        <w:rPr>
          <w:rStyle w:val="hps"/>
        </w:rPr>
        <w:t>par le Bureau international</w:t>
      </w:r>
      <w:r w:rsidR="001B15B8" w:rsidRPr="004A3269">
        <w:t xml:space="preserve"> </w:t>
      </w:r>
      <w:r w:rsidR="00FC1F3B" w:rsidRPr="004A3269">
        <w:rPr>
          <w:rStyle w:val="hps"/>
        </w:rPr>
        <w:t xml:space="preserve">selon </w:t>
      </w:r>
      <w:r w:rsidR="001B15B8" w:rsidRPr="004A3269">
        <w:rPr>
          <w:rStyle w:val="hps"/>
        </w:rPr>
        <w:t xml:space="preserve">la </w:t>
      </w:r>
      <w:r w:rsidR="00A0797A" w:rsidRPr="004A3269">
        <w:rPr>
          <w:rStyle w:val="hps"/>
        </w:rPr>
        <w:t>règle </w:t>
      </w:r>
      <w:r w:rsidR="001B15B8" w:rsidRPr="004A3269">
        <w:rPr>
          <w:rStyle w:val="hps"/>
        </w:rPr>
        <w:t>16.1</w:t>
      </w:r>
      <w:r w:rsidR="00A0797A" w:rsidRPr="004A3269">
        <w:rPr>
          <w:rStyle w:val="hps"/>
        </w:rPr>
        <w:t>.</w:t>
      </w:r>
      <w:r w:rsidR="00FC1F3B" w:rsidRPr="004A3269">
        <w:t>e)</w:t>
      </w:r>
      <w:r w:rsidR="001B15B8" w:rsidRPr="004A3269">
        <w:t xml:space="preserve"> </w:t>
      </w:r>
      <w:r w:rsidR="001B15B8" w:rsidRPr="004A3269">
        <w:rPr>
          <w:rStyle w:val="hps"/>
        </w:rPr>
        <w:t xml:space="preserve">du </w:t>
      </w:r>
      <w:r w:rsidR="00FC1F3B" w:rsidRPr="004A3269">
        <w:rPr>
          <w:rStyle w:val="hps"/>
        </w:rPr>
        <w:t>règlement d</w:t>
      </w:r>
      <w:r w:rsidR="009021AA" w:rsidRPr="004A3269">
        <w:rPr>
          <w:rStyle w:val="hps"/>
        </w:rPr>
        <w:t>’</w:t>
      </w:r>
      <w:r w:rsidR="00FC1F3B" w:rsidRPr="004A3269">
        <w:rPr>
          <w:rStyle w:val="hps"/>
        </w:rPr>
        <w:t>exécution</w:t>
      </w:r>
      <w:r w:rsidR="009021AA" w:rsidRPr="004A3269">
        <w:rPr>
          <w:rStyle w:val="hps"/>
        </w:rPr>
        <w:t xml:space="preserve"> du PCT</w:t>
      </w:r>
      <w:r w:rsidR="001B15B8" w:rsidRPr="004A3269">
        <w:t xml:space="preserve"> </w:t>
      </w:r>
      <w:r w:rsidR="001B15B8" w:rsidRPr="004A3269">
        <w:rPr>
          <w:rStyle w:val="hps"/>
        </w:rPr>
        <w:t>en raison des fluctuations</w:t>
      </w:r>
      <w:r w:rsidR="001B15B8" w:rsidRPr="004A3269">
        <w:t xml:space="preserve"> </w:t>
      </w:r>
      <w:r w:rsidR="001B15B8" w:rsidRPr="004A3269">
        <w:rPr>
          <w:rStyle w:val="hps"/>
        </w:rPr>
        <w:t>des taux de change</w:t>
      </w:r>
      <w:r w:rsidR="001B15B8" w:rsidRPr="004A3269">
        <w:t xml:space="preserve">. </w:t>
      </w:r>
      <w:r w:rsidR="00BD08B3" w:rsidRPr="004A3269">
        <w:t xml:space="preserve"> </w:t>
      </w:r>
      <w:r w:rsidR="001B15B8" w:rsidRPr="004A3269">
        <w:rPr>
          <w:rStyle w:val="hps"/>
        </w:rPr>
        <w:t>Le montant indiqué</w:t>
      </w:r>
      <w:r w:rsidR="001B15B8" w:rsidRPr="004A3269">
        <w:t xml:space="preserve"> </w:t>
      </w:r>
      <w:r w:rsidR="001B15B8" w:rsidRPr="004A3269">
        <w:rPr>
          <w:rStyle w:val="hps"/>
        </w:rPr>
        <w:t>dans le tableau</w:t>
      </w:r>
      <w:r w:rsidR="001B15B8" w:rsidRPr="004A3269">
        <w:t xml:space="preserve"> </w:t>
      </w:r>
      <w:r w:rsidR="00FC1F3B" w:rsidRPr="004A3269">
        <w:rPr>
          <w:rStyle w:val="hps"/>
        </w:rPr>
        <w:t>précédent</w:t>
      </w:r>
      <w:r w:rsidR="001B15B8" w:rsidRPr="004A3269">
        <w:t xml:space="preserve"> </w:t>
      </w:r>
      <w:r w:rsidR="001B15B8" w:rsidRPr="004A3269">
        <w:rPr>
          <w:rStyle w:val="hps"/>
        </w:rPr>
        <w:t>représente le solde</w:t>
      </w:r>
      <w:r w:rsidR="001B15B8" w:rsidRPr="004A3269">
        <w:t xml:space="preserve"> </w:t>
      </w:r>
      <w:r w:rsidR="001B15B8" w:rsidRPr="004A3269">
        <w:rPr>
          <w:rStyle w:val="hps"/>
        </w:rPr>
        <w:t>des transferts reçus</w:t>
      </w:r>
      <w:r w:rsidR="001B15B8" w:rsidRPr="004A3269">
        <w:t xml:space="preserve"> </w:t>
      </w:r>
      <w:r w:rsidR="001B15B8" w:rsidRPr="004A3269">
        <w:rPr>
          <w:rStyle w:val="hps"/>
        </w:rPr>
        <w:t>par l</w:t>
      </w:r>
      <w:r w:rsidR="009021AA" w:rsidRPr="004A3269">
        <w:rPr>
          <w:rStyle w:val="hps"/>
        </w:rPr>
        <w:t>’</w:t>
      </w:r>
      <w:r w:rsidR="001B15B8" w:rsidRPr="004A3269">
        <w:rPr>
          <w:rStyle w:val="hps"/>
        </w:rPr>
        <w:t>OMPI</w:t>
      </w:r>
      <w:r w:rsidR="001B15B8" w:rsidRPr="004A3269">
        <w:t xml:space="preserve"> </w:t>
      </w:r>
      <w:r w:rsidR="001B15B8" w:rsidRPr="004A3269">
        <w:rPr>
          <w:rStyle w:val="hps"/>
        </w:rPr>
        <w:t xml:space="preserve">mais </w:t>
      </w:r>
      <w:r w:rsidR="00812F48" w:rsidRPr="004A3269">
        <w:rPr>
          <w:rStyle w:val="hps"/>
        </w:rPr>
        <w:t>pas</w:t>
      </w:r>
      <w:r w:rsidR="001B15B8" w:rsidRPr="004A3269">
        <w:rPr>
          <w:rStyle w:val="hps"/>
        </w:rPr>
        <w:t xml:space="preserve"> encore</w:t>
      </w:r>
      <w:r w:rsidR="001B15B8" w:rsidRPr="004A3269">
        <w:t xml:space="preserve"> </w:t>
      </w:r>
      <w:r w:rsidR="001B15B8" w:rsidRPr="004A3269">
        <w:rPr>
          <w:rStyle w:val="hps"/>
        </w:rPr>
        <w:t>transférés à</w:t>
      </w:r>
      <w:r w:rsidR="001B15B8" w:rsidRPr="004A3269">
        <w:t xml:space="preserve"> </w:t>
      </w:r>
      <w:r w:rsidR="001B15B8" w:rsidRPr="004A3269">
        <w:rPr>
          <w:rStyle w:val="hps"/>
        </w:rPr>
        <w:t>l</w:t>
      </w:r>
      <w:r w:rsidR="009021AA" w:rsidRPr="004A3269">
        <w:rPr>
          <w:rStyle w:val="hps"/>
        </w:rPr>
        <w:t>’</w:t>
      </w:r>
      <w:r w:rsidR="001B15B8" w:rsidRPr="004A3269">
        <w:rPr>
          <w:rStyle w:val="hps"/>
        </w:rPr>
        <w:t>OEB à</w:t>
      </w:r>
      <w:r w:rsidR="001B15B8" w:rsidRPr="004A3269">
        <w:t xml:space="preserve"> </w:t>
      </w:r>
      <w:r w:rsidR="001B15B8" w:rsidRPr="004A3269">
        <w:rPr>
          <w:rStyle w:val="hps"/>
        </w:rPr>
        <w:t>la date de clôture</w:t>
      </w:r>
      <w:r w:rsidR="006A1D03" w:rsidRPr="004A3269">
        <w:t>.</w:t>
      </w:r>
    </w:p>
    <w:p w:rsidR="00267140" w:rsidRPr="004A3269" w:rsidRDefault="00267140" w:rsidP="008C30B2">
      <w:pPr>
        <w:pStyle w:val="ListParagraph"/>
      </w:pPr>
    </w:p>
    <w:p w:rsidR="00267140" w:rsidRPr="004A3269" w:rsidRDefault="00F50EC2" w:rsidP="005F3C9B">
      <w:pPr>
        <w:pStyle w:val="StyleHeading211ptNotBoldNotItalicAllcaps"/>
        <w:tabs>
          <w:tab w:val="left" w:pos="1701"/>
        </w:tabs>
        <w:spacing w:before="0" w:after="0"/>
        <w:rPr>
          <w:szCs w:val="22"/>
        </w:rPr>
      </w:pPr>
      <w:r w:rsidRPr="004A3269">
        <w:br w:type="page"/>
      </w:r>
      <w:r w:rsidR="005F3C9B" w:rsidRPr="004A3269">
        <w:rPr>
          <w:b/>
          <w:i w:val="0"/>
        </w:rPr>
        <w:lastRenderedPageBreak/>
        <w:t>NOTE N°</w:t>
      </w:r>
      <w:r w:rsidR="005F3C9B" w:rsidRPr="004A3269">
        <w:rPr>
          <w:i w:val="0"/>
        </w:rPr>
        <w:t> </w:t>
      </w:r>
      <w:r w:rsidR="005F3C9B" w:rsidRPr="004A3269">
        <w:rPr>
          <w:b/>
          <w:i w:val="0"/>
        </w:rPr>
        <w:t>14</w:t>
      </w:r>
      <w:r w:rsidR="00A0797A" w:rsidRPr="004A3269">
        <w:rPr>
          <w:i w:val="0"/>
        </w:rPr>
        <w:t> :</w:t>
      </w:r>
      <w:r w:rsidR="005F3C9B" w:rsidRPr="004A3269">
        <w:rPr>
          <w:b/>
          <w:i w:val="0"/>
        </w:rPr>
        <w:t xml:space="preserve"> </w:t>
      </w:r>
      <w:r w:rsidR="005F3C9B" w:rsidRPr="004A3269">
        <w:rPr>
          <w:b/>
          <w:i w:val="0"/>
        </w:rPr>
        <w:tab/>
        <w:t>ENCAISSEMENTS PAR ANTICIPATION</w:t>
      </w:r>
    </w:p>
    <w:p w:rsidR="00267140" w:rsidRPr="004A3269" w:rsidRDefault="00267140" w:rsidP="0053389E">
      <w:pPr>
        <w:jc w:val="both"/>
        <w:rPr>
          <w:szCs w:val="22"/>
        </w:rPr>
      </w:pPr>
    </w:p>
    <w:p w:rsidR="00D91F72" w:rsidRPr="004A3269" w:rsidRDefault="00D91F72" w:rsidP="007E41CB">
      <w:pPr>
        <w:jc w:val="center"/>
      </w:pPr>
      <w:bookmarkStart w:id="13" w:name="RANGE!C4:F16"/>
      <w:bookmarkEnd w:id="13"/>
      <w:r w:rsidRPr="004A3269">
        <w:rPr>
          <w:noProof/>
          <w:lang w:val="en-US"/>
        </w:rPr>
        <w:drawing>
          <wp:inline distT="0" distB="0" distL="0" distR="0" wp14:anchorId="21BFFFCF" wp14:editId="5DC55FCB">
            <wp:extent cx="5977255" cy="3010402"/>
            <wp:effectExtent l="0" t="0" r="444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77255" cy="3010402"/>
                    </a:xfrm>
                    <a:prstGeom prst="rect">
                      <a:avLst/>
                    </a:prstGeom>
                    <a:noFill/>
                    <a:ln>
                      <a:noFill/>
                    </a:ln>
                  </pic:spPr>
                </pic:pic>
              </a:graphicData>
            </a:graphic>
          </wp:inline>
        </w:drawing>
      </w:r>
    </w:p>
    <w:p w:rsidR="00D91F72" w:rsidRPr="004A3269" w:rsidRDefault="00D91F72" w:rsidP="00D91F72"/>
    <w:p w:rsidR="00267140" w:rsidRPr="004A3269" w:rsidRDefault="00407333" w:rsidP="00407333">
      <w:pPr>
        <w:pStyle w:val="Style3"/>
        <w:spacing w:after="0"/>
        <w:rPr>
          <w:szCs w:val="22"/>
        </w:rPr>
      </w:pPr>
      <w:r w:rsidRPr="004A3269">
        <w:t>Dans de nombreux cas, l</w:t>
      </w:r>
      <w:r w:rsidR="009021AA" w:rsidRPr="004A3269">
        <w:t>’</w:t>
      </w:r>
      <w:r w:rsidRPr="004A3269">
        <w:t>Organisation perçoit les taxes et les sommes dues pour les services fournis avant leur exécution complète ou avant que les taxes soient encaissées conformément aux traités, arrangements, protocoles et règlements d</w:t>
      </w:r>
      <w:r w:rsidR="009021AA" w:rsidRPr="004A3269">
        <w:t>’</w:t>
      </w:r>
      <w:r w:rsidRPr="004A3269">
        <w:t>exécution qu</w:t>
      </w:r>
      <w:r w:rsidR="009021AA" w:rsidRPr="004A3269">
        <w:t>’</w:t>
      </w:r>
      <w:r w:rsidRPr="004A3269">
        <w:t>elle administre.</w:t>
      </w:r>
      <w:r w:rsidR="00CF44A9" w:rsidRPr="004A3269">
        <w:t xml:space="preserve"> </w:t>
      </w:r>
      <w:r w:rsidR="005F3C9B" w:rsidRPr="004A3269">
        <w:t xml:space="preserve"> </w:t>
      </w:r>
      <w:r w:rsidRPr="004A3269">
        <w:t>Les produits provenant du traitement de demandes de l</w:t>
      </w:r>
      <w:r w:rsidR="009021AA" w:rsidRPr="004A3269">
        <w:t>’</w:t>
      </w:r>
      <w:r w:rsidRPr="004A3269">
        <w:t>étranger (marques, dessins et modèles industriels et brevets) sont comptabilisés lorsque les demandes individuelles sont publiées.</w:t>
      </w:r>
      <w:r w:rsidR="00E72A45" w:rsidRPr="004A3269">
        <w:t xml:space="preserve"> </w:t>
      </w:r>
      <w:r w:rsidR="005F3C9B" w:rsidRPr="004A3269">
        <w:t xml:space="preserve"> </w:t>
      </w:r>
      <w:r w:rsidRPr="004A3269">
        <w:rPr>
          <w:szCs w:val="22"/>
        </w:rPr>
        <w:t>Les produits provenant des taxes additionnelles par feuille relatives aux demandes internationales de brevet sont différés jusqu</w:t>
      </w:r>
      <w:r w:rsidR="009021AA" w:rsidRPr="004A3269">
        <w:rPr>
          <w:szCs w:val="22"/>
        </w:rPr>
        <w:t>’</w:t>
      </w:r>
      <w:r w:rsidRPr="004A3269">
        <w:rPr>
          <w:szCs w:val="22"/>
        </w:rPr>
        <w:t>à ce que la demande concernée soit publiée.</w:t>
      </w:r>
      <w:r w:rsidR="00E72A45" w:rsidRPr="004A3269">
        <w:t xml:space="preserve">  </w:t>
      </w:r>
      <w:r w:rsidRPr="004A3269">
        <w:rPr>
          <w:szCs w:val="22"/>
        </w:rPr>
        <w:t>En outre, la partie des taxes pour les demandes internationales de brevet qui couvre le coût de traduction des rapports de brevetabilité non déposés en langue anglaise est différée jusqu</w:t>
      </w:r>
      <w:r w:rsidR="009021AA" w:rsidRPr="004A3269">
        <w:rPr>
          <w:szCs w:val="22"/>
        </w:rPr>
        <w:t>’</w:t>
      </w:r>
      <w:r w:rsidRPr="004A3269">
        <w:rPr>
          <w:szCs w:val="22"/>
        </w:rPr>
        <w:t>à ce que la traduction soit terminée.</w:t>
      </w:r>
      <w:r w:rsidR="00E72A45" w:rsidRPr="004A3269">
        <w:t xml:space="preserve">  </w:t>
      </w:r>
      <w:r w:rsidRPr="004A3269">
        <w:rPr>
          <w:szCs w:val="22"/>
        </w:rPr>
        <w:t>Tous les produits provenant d</w:t>
      </w:r>
      <w:r w:rsidR="009021AA" w:rsidRPr="004A3269">
        <w:rPr>
          <w:szCs w:val="22"/>
        </w:rPr>
        <w:t>’</w:t>
      </w:r>
      <w:r w:rsidRPr="004A3269">
        <w:rPr>
          <w:szCs w:val="22"/>
        </w:rPr>
        <w:t>honoraires tels que les renouvellements, les extraits, les modifications, l</w:t>
      </w:r>
      <w:r w:rsidR="009021AA" w:rsidRPr="004A3269">
        <w:rPr>
          <w:szCs w:val="22"/>
        </w:rPr>
        <w:t>’</w:t>
      </w:r>
      <w:r w:rsidRPr="004A3269">
        <w:rPr>
          <w:szCs w:val="22"/>
        </w:rPr>
        <w:t>abandon, les transferts, les confirmations et les ajustements sont comptabilisés lorsque le service a été rendu.</w:t>
      </w:r>
    </w:p>
    <w:p w:rsidR="00267140" w:rsidRPr="004A3269" w:rsidRDefault="00267140" w:rsidP="007C6D77">
      <w:pPr>
        <w:pStyle w:val="Style3"/>
        <w:spacing w:after="0"/>
      </w:pPr>
    </w:p>
    <w:p w:rsidR="00267140" w:rsidRPr="004A3269" w:rsidRDefault="00407333" w:rsidP="00407333">
      <w:pPr>
        <w:pStyle w:val="Style3"/>
        <w:spacing w:after="0"/>
      </w:pPr>
      <w:r w:rsidRPr="004A3269">
        <w:t>Les contributions volontaires versées par les donateurs aux comptes spéciaux assortis de conditions exigeant de l</w:t>
      </w:r>
      <w:r w:rsidR="009021AA" w:rsidRPr="004A3269">
        <w:t>’</w:t>
      </w:r>
      <w:r w:rsidRPr="004A3269">
        <w:t>Organisation de fournir des produits et des services aux prestataires ou à d</w:t>
      </w:r>
      <w:r w:rsidR="009021AA" w:rsidRPr="004A3269">
        <w:t>’</w:t>
      </w:r>
      <w:r w:rsidRPr="004A3269">
        <w:t>autres tiers, sont comptabilisées en tant que recettes différées jusqu</w:t>
      </w:r>
      <w:r w:rsidR="009021AA" w:rsidRPr="004A3269">
        <w:t>’</w:t>
      </w:r>
      <w:r w:rsidRPr="004A3269">
        <w:t>à ce que les services visés par les contributions volontaires soient fournis, après quoi les recettes sont comptabilisées.</w:t>
      </w:r>
    </w:p>
    <w:p w:rsidR="00267140" w:rsidRPr="004A3269" w:rsidRDefault="00267140" w:rsidP="006D0C30">
      <w:pPr>
        <w:pStyle w:val="Style3"/>
        <w:spacing w:after="0"/>
      </w:pPr>
    </w:p>
    <w:p w:rsidR="009021AA" w:rsidRPr="004A3269" w:rsidRDefault="0056200A" w:rsidP="0056200A">
      <w:pPr>
        <w:pStyle w:val="Style3"/>
        <w:spacing w:after="0"/>
      </w:pPr>
      <w:r w:rsidRPr="004A3269">
        <w:t>Le projet de construction destiné à renforcer les normes de sûreté et de sécurité des bâtiments existants de l</w:t>
      </w:r>
      <w:r w:rsidR="009021AA" w:rsidRPr="004A3269">
        <w:t>’</w:t>
      </w:r>
      <w:r w:rsidRPr="004A3269">
        <w:t>OMPI a été en partie financé par la Fondation des immeubles pour les organisations internationales (FIPOI).</w:t>
      </w:r>
      <w:r w:rsidR="00360183" w:rsidRPr="004A3269">
        <w:t xml:space="preserve"> </w:t>
      </w:r>
      <w:r w:rsidR="005F3C9B" w:rsidRPr="004A3269">
        <w:t xml:space="preserve"> </w:t>
      </w:r>
      <w:r w:rsidRPr="004A3269">
        <w:t>Les travaux de construction financés par</w:t>
      </w:r>
      <w:r w:rsidR="009021AA" w:rsidRPr="004A3269">
        <w:t xml:space="preserve"> la FIP</w:t>
      </w:r>
      <w:r w:rsidRPr="004A3269">
        <w:t>OI ont été comptabilisés dans le cadre des travaux en cours, et un montant correspondant a été inscrit comme recettes différées.</w:t>
      </w:r>
      <w:r w:rsidR="005F3C9B" w:rsidRPr="004A3269">
        <w:t xml:space="preserve"> </w:t>
      </w:r>
      <w:r w:rsidR="00360183" w:rsidRPr="004A3269">
        <w:t xml:space="preserve"> </w:t>
      </w:r>
      <w:r w:rsidRPr="004A3269">
        <w:t>Le solde des</w:t>
      </w:r>
      <w:r w:rsidR="005F3C9B" w:rsidRPr="004A3269">
        <w:t xml:space="preserve"> recettes différées était au 31 </w:t>
      </w:r>
      <w:r w:rsidRPr="004A3269">
        <w:t>décembre</w:t>
      </w:r>
      <w:r w:rsidR="005F3C9B" w:rsidRPr="004A3269">
        <w:t> </w:t>
      </w:r>
      <w:r w:rsidRPr="004A3269">
        <w:t xml:space="preserve">2014 de </w:t>
      </w:r>
      <w:r w:rsidR="00A0797A" w:rsidRPr="004A3269">
        <w:t>3,0 millions</w:t>
      </w:r>
      <w:r w:rsidRPr="004A3269">
        <w:t xml:space="preserve"> de fr</w:t>
      </w:r>
      <w:r w:rsidR="005F3C9B" w:rsidRPr="004A3269">
        <w:t>ancs suisses (1,9 million au 31 </w:t>
      </w:r>
      <w:r w:rsidRPr="004A3269">
        <w:t>décembre</w:t>
      </w:r>
      <w:r w:rsidR="005F3C9B" w:rsidRPr="004A3269">
        <w:t> </w:t>
      </w:r>
      <w:r w:rsidRPr="004A3269">
        <w:t>2013).</w:t>
      </w:r>
      <w:r w:rsidR="005F3C9B" w:rsidRPr="004A3269">
        <w:t xml:space="preserve"> </w:t>
      </w:r>
      <w:r w:rsidR="00B06A76" w:rsidRPr="004A3269">
        <w:t xml:space="preserve"> </w:t>
      </w:r>
      <w:r w:rsidRPr="004A3269">
        <w:t>Ces recettes sont progressivement comptabilisées à mesure que les constructions sécuritaires sont amorties pendant leur durée de vie utile.</w:t>
      </w:r>
    </w:p>
    <w:p w:rsidR="00267140" w:rsidRPr="004A3269" w:rsidRDefault="00267140" w:rsidP="006D0C30">
      <w:pPr>
        <w:pStyle w:val="Style3"/>
        <w:spacing w:after="0"/>
      </w:pPr>
    </w:p>
    <w:p w:rsidR="00267140" w:rsidRPr="004A3269" w:rsidRDefault="005F3C9B" w:rsidP="005F3C9B">
      <w:pPr>
        <w:pStyle w:val="StyleHeading211ptNotBoldNotItalicAllcaps"/>
        <w:tabs>
          <w:tab w:val="left" w:pos="1701"/>
        </w:tabs>
        <w:spacing w:before="0" w:after="0"/>
      </w:pPr>
      <w:r w:rsidRPr="004A3269">
        <w:rPr>
          <w:b/>
          <w:i w:val="0"/>
        </w:rPr>
        <w:lastRenderedPageBreak/>
        <w:t>NOTE N°</w:t>
      </w:r>
      <w:r w:rsidRPr="004A3269">
        <w:rPr>
          <w:i w:val="0"/>
        </w:rPr>
        <w:t xml:space="preserve"> </w:t>
      </w:r>
      <w:r w:rsidRPr="004A3269">
        <w:rPr>
          <w:b/>
          <w:i w:val="0"/>
        </w:rPr>
        <w:t>15</w:t>
      </w:r>
      <w:r w:rsidR="00A0797A" w:rsidRPr="004A3269">
        <w:rPr>
          <w:i w:val="0"/>
        </w:rPr>
        <w:t> :</w:t>
      </w:r>
      <w:r w:rsidRPr="004A3269">
        <w:rPr>
          <w:b/>
          <w:i w:val="0"/>
        </w:rPr>
        <w:t xml:space="preserve"> </w:t>
      </w:r>
      <w:r w:rsidRPr="004A3269">
        <w:rPr>
          <w:b/>
          <w:i w:val="0"/>
        </w:rPr>
        <w:tab/>
        <w:t>EMPRUNTS</w:t>
      </w:r>
    </w:p>
    <w:p w:rsidR="00267140" w:rsidRPr="004A3269" w:rsidRDefault="00267140" w:rsidP="00A661F5">
      <w:pPr>
        <w:pStyle w:val="StyleHeading211ptNotBoldNotItalicAllcaps"/>
        <w:spacing w:before="0" w:after="0"/>
      </w:pPr>
    </w:p>
    <w:p w:rsidR="00150F95" w:rsidRPr="004A3269" w:rsidRDefault="00150F95" w:rsidP="00150F95">
      <w:pPr>
        <w:pStyle w:val="style30"/>
        <w:spacing w:after="0"/>
        <w:jc w:val="center"/>
      </w:pPr>
      <w:bookmarkStart w:id="14" w:name="RANGE!B5:E17"/>
      <w:bookmarkEnd w:id="14"/>
      <w:r w:rsidRPr="004A3269">
        <w:rPr>
          <w:noProof/>
          <w:lang w:val="en-US"/>
        </w:rPr>
        <w:drawing>
          <wp:inline distT="0" distB="0" distL="0" distR="0" wp14:anchorId="75B04375" wp14:editId="0618CA2B">
            <wp:extent cx="5730875" cy="2169795"/>
            <wp:effectExtent l="0" t="0" r="3175" b="190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0875" cy="2169795"/>
                    </a:xfrm>
                    <a:prstGeom prst="rect">
                      <a:avLst/>
                    </a:prstGeom>
                    <a:noFill/>
                    <a:ln>
                      <a:noFill/>
                    </a:ln>
                  </pic:spPr>
                </pic:pic>
              </a:graphicData>
            </a:graphic>
          </wp:inline>
        </w:drawing>
      </w:r>
    </w:p>
    <w:p w:rsidR="00150F95" w:rsidRPr="004A3269" w:rsidRDefault="00150F95" w:rsidP="0056200A">
      <w:pPr>
        <w:pStyle w:val="style30"/>
        <w:spacing w:after="0"/>
      </w:pPr>
    </w:p>
    <w:p w:rsidR="009021AA" w:rsidRPr="004A3269" w:rsidRDefault="0056200A" w:rsidP="0056200A">
      <w:pPr>
        <w:pStyle w:val="style30"/>
        <w:spacing w:after="0"/>
      </w:pPr>
      <w:r w:rsidRPr="004A3269">
        <w:t>L</w:t>
      </w:r>
      <w:r w:rsidR="009021AA" w:rsidRPr="004A3269">
        <w:t>’</w:t>
      </w:r>
      <w:r w:rsidRPr="004A3269">
        <w:t>Organisation a emprunté des fonds (50,8</w:t>
      </w:r>
      <w:r w:rsidR="005F3C9B" w:rsidRPr="004A3269">
        <w:t> </w:t>
      </w:r>
      <w:r w:rsidRPr="004A3269">
        <w:t>mil</w:t>
      </w:r>
      <w:r w:rsidR="005F3C9B" w:rsidRPr="004A3269">
        <w:t>lions de francs suisses et 8,41 </w:t>
      </w:r>
      <w:r w:rsidRPr="004A3269">
        <w:t>millions de francs suisses approuvés en</w:t>
      </w:r>
      <w:r w:rsidR="00067463" w:rsidRPr="004A3269">
        <w:t> </w:t>
      </w:r>
      <w:r w:rsidRPr="004A3269">
        <w:t>1977 et en</w:t>
      </w:r>
      <w:r w:rsidR="00067463" w:rsidRPr="004A3269">
        <w:t> </w:t>
      </w:r>
      <w:r w:rsidRPr="004A3269">
        <w:t>1987 respectivement) auprès de la Fondation des immeubles pour les organisations internationales (FIPOI) pour construire ses bâtiments de siège à Genève (Suisse).</w:t>
      </w:r>
      <w:r w:rsidR="004337B7" w:rsidRPr="004A3269">
        <w:t xml:space="preserve">  </w:t>
      </w:r>
      <w:r w:rsidRPr="004A3269">
        <w:t>Ces prêts étaient à l</w:t>
      </w:r>
      <w:r w:rsidR="009021AA" w:rsidRPr="004A3269">
        <w:t>’</w:t>
      </w:r>
      <w:r w:rsidRPr="004A3269">
        <w:t>origine soumis à intérêts mais, en</w:t>
      </w:r>
      <w:r w:rsidR="00067463" w:rsidRPr="004A3269">
        <w:t> </w:t>
      </w:r>
      <w:r w:rsidRPr="004A3269">
        <w:t>1996, le Département fédéral des affaires étrangères de la Suisse a accepté de renoncer à tout nouveau paiement d</w:t>
      </w:r>
      <w:r w:rsidR="009021AA" w:rsidRPr="004A3269">
        <w:t>’</w:t>
      </w:r>
      <w:r w:rsidRPr="004A3269">
        <w:t>intérêts et actuellement les prêts ne donnent lieu qu</w:t>
      </w:r>
      <w:r w:rsidR="009021AA" w:rsidRPr="004A3269">
        <w:t>’</w:t>
      </w:r>
      <w:r w:rsidRPr="004A3269">
        <w:t>au remboursement du principal.</w:t>
      </w:r>
    </w:p>
    <w:p w:rsidR="00267140" w:rsidRPr="004A3269" w:rsidRDefault="00267140" w:rsidP="007C6D77">
      <w:pPr>
        <w:pStyle w:val="Style3"/>
        <w:spacing w:after="0"/>
      </w:pPr>
    </w:p>
    <w:p w:rsidR="00267140" w:rsidRPr="004A3269" w:rsidRDefault="0056200A" w:rsidP="0056200A">
      <w:pPr>
        <w:pStyle w:val="Style3"/>
        <w:spacing w:after="0"/>
      </w:pPr>
      <w:r w:rsidRPr="004A3269">
        <w:t xml:space="preserve">En </w:t>
      </w:r>
      <w:r w:rsidR="00A0797A" w:rsidRPr="004A3269">
        <w:t>février </w:t>
      </w:r>
      <w:r w:rsidRPr="004A3269">
        <w:t>2008, l</w:t>
      </w:r>
      <w:r w:rsidR="009021AA" w:rsidRPr="004A3269">
        <w:t>’</w:t>
      </w:r>
      <w:r w:rsidRPr="004A3269">
        <w:t xml:space="preserve">Organisation a conclu un contrat avec la Banque Cantonale de Genève et la Banque Cantonale </w:t>
      </w:r>
      <w:r w:rsidR="005F3C9B" w:rsidRPr="004A3269">
        <w:t>Vaudoise pour un emprunt de 114,0 </w:t>
      </w:r>
      <w:r w:rsidRPr="004A3269">
        <w:t>millions de francs suisses plus un montan</w:t>
      </w:r>
      <w:r w:rsidR="005F3C9B" w:rsidRPr="004A3269">
        <w:t>t supplémentaire éventuel de 16 </w:t>
      </w:r>
      <w:r w:rsidRPr="004A3269">
        <w:t>millions de francs suisses destiné à financer une partie du coût de la construction du nouveau bâtiment disponible pour utilisation à compter du 28</w:t>
      </w:r>
      <w:r w:rsidR="005F3C9B" w:rsidRPr="004A3269">
        <w:t> </w:t>
      </w:r>
      <w:r w:rsidRPr="004A3269">
        <w:t>février</w:t>
      </w:r>
      <w:r w:rsidR="005F3C9B" w:rsidRPr="004A3269">
        <w:t> </w:t>
      </w:r>
      <w:r w:rsidRPr="004A3269">
        <w:t>2011</w:t>
      </w:r>
      <w:r w:rsidR="00A0797A" w:rsidRPr="004A3269">
        <w:t xml:space="preserve">.  </w:t>
      </w:r>
      <w:r w:rsidR="005F3C9B" w:rsidRPr="004A3269">
        <w:t>Le montant supplémentaire de 16 </w:t>
      </w:r>
      <w:r w:rsidRPr="004A3269">
        <w:t>millions de francs suisses a été utilisé le 27</w:t>
      </w:r>
      <w:r w:rsidR="005F3C9B" w:rsidRPr="004A3269">
        <w:t> </w:t>
      </w:r>
      <w:r w:rsidRPr="004A3269">
        <w:t>janvier</w:t>
      </w:r>
      <w:r w:rsidR="005F3C9B" w:rsidRPr="004A3269">
        <w:t> </w:t>
      </w:r>
      <w:r w:rsidRPr="004A3269">
        <w:t>2011.</w:t>
      </w:r>
      <w:r w:rsidR="00C42877" w:rsidRPr="004A3269">
        <w:t xml:space="preserve"> </w:t>
      </w:r>
      <w:r w:rsidR="005F3C9B" w:rsidRPr="004A3269">
        <w:t xml:space="preserve"> </w:t>
      </w:r>
      <w:r w:rsidRPr="004A3269">
        <w:t>Le taux d</w:t>
      </w:r>
      <w:r w:rsidR="009021AA" w:rsidRPr="004A3269">
        <w:t>’</w:t>
      </w:r>
      <w:r w:rsidRPr="004A3269">
        <w:t>intérêt a été fixé au swap de taux LIBOR du franc suisse pour une durée maximale de 15</w:t>
      </w:r>
      <w:r w:rsidR="005F3C9B" w:rsidRPr="004A3269">
        <w:t> </w:t>
      </w:r>
      <w:r w:rsidRPr="004A3269">
        <w:t>ans, plus une marge de 0,30 à 0,70% selon la durée choisie par l</w:t>
      </w:r>
      <w:r w:rsidR="009021AA" w:rsidRPr="004A3269">
        <w:t>’</w:t>
      </w:r>
      <w:r w:rsidRPr="004A3269">
        <w:t>Organisation.</w:t>
      </w:r>
      <w:r w:rsidR="00BB5C2D" w:rsidRPr="004A3269">
        <w:t xml:space="preserve"> </w:t>
      </w:r>
      <w:r w:rsidR="00812F48" w:rsidRPr="004A3269">
        <w:t xml:space="preserve"> </w:t>
      </w:r>
      <w:r w:rsidR="00812F48" w:rsidRPr="004A3269">
        <w:rPr>
          <w:rStyle w:val="hps"/>
        </w:rPr>
        <w:t>Les paiements d</w:t>
      </w:r>
      <w:r w:rsidR="009021AA" w:rsidRPr="004A3269">
        <w:rPr>
          <w:rStyle w:val="hps"/>
        </w:rPr>
        <w:t>’</w:t>
      </w:r>
      <w:r w:rsidR="00812F48" w:rsidRPr="004A3269">
        <w:rPr>
          <w:rStyle w:val="hps"/>
        </w:rPr>
        <w:t>intérêts</w:t>
      </w:r>
      <w:r w:rsidR="00812F48" w:rsidRPr="004A3269">
        <w:t xml:space="preserve"> </w:t>
      </w:r>
      <w:r w:rsidR="00812F48" w:rsidRPr="004A3269">
        <w:rPr>
          <w:rStyle w:val="hps"/>
        </w:rPr>
        <w:t>ont totalisé</w:t>
      </w:r>
      <w:r w:rsidR="00812F48" w:rsidRPr="004A3269">
        <w:t xml:space="preserve"> </w:t>
      </w:r>
      <w:r w:rsidR="00E30492" w:rsidRPr="004A3269">
        <w:rPr>
          <w:rStyle w:val="hps"/>
        </w:rPr>
        <w:t>3,1 </w:t>
      </w:r>
      <w:r w:rsidR="00812F48" w:rsidRPr="004A3269">
        <w:rPr>
          <w:rStyle w:val="hps"/>
        </w:rPr>
        <w:t>millions de</w:t>
      </w:r>
      <w:r w:rsidR="00812F48" w:rsidRPr="004A3269">
        <w:t xml:space="preserve"> </w:t>
      </w:r>
      <w:r w:rsidR="00812F48" w:rsidRPr="004A3269">
        <w:rPr>
          <w:rStyle w:val="hps"/>
        </w:rPr>
        <w:t>francs suisses</w:t>
      </w:r>
      <w:r w:rsidR="00E30492" w:rsidRPr="004A3269">
        <w:rPr>
          <w:rStyle w:val="hps"/>
        </w:rPr>
        <w:t xml:space="preserve"> en 2014</w:t>
      </w:r>
      <w:r w:rsidR="00812F48" w:rsidRPr="004A3269">
        <w:t xml:space="preserve">, avec un taux </w:t>
      </w:r>
      <w:r w:rsidR="00812F48" w:rsidRPr="004A3269">
        <w:rPr>
          <w:rStyle w:val="hps"/>
        </w:rPr>
        <w:t>d</w:t>
      </w:r>
      <w:r w:rsidR="009021AA" w:rsidRPr="004A3269">
        <w:rPr>
          <w:rStyle w:val="hps"/>
        </w:rPr>
        <w:t>’</w:t>
      </w:r>
      <w:r w:rsidR="00812F48" w:rsidRPr="004A3269">
        <w:rPr>
          <w:rStyle w:val="hps"/>
        </w:rPr>
        <w:t>intérêt moyen pondéré</w:t>
      </w:r>
      <w:r w:rsidR="00812F48" w:rsidRPr="004A3269">
        <w:t xml:space="preserve"> </w:t>
      </w:r>
      <w:r w:rsidR="00812F48" w:rsidRPr="004A3269">
        <w:rPr>
          <w:rStyle w:val="hps"/>
        </w:rPr>
        <w:t>de 2,60</w:t>
      </w:r>
      <w:r w:rsidR="00E30492" w:rsidRPr="004A3269">
        <w:rPr>
          <w:rStyle w:val="hps"/>
        </w:rPr>
        <w:t>%</w:t>
      </w:r>
      <w:r w:rsidR="00812F48" w:rsidRPr="004A3269">
        <w:t xml:space="preserve"> </w:t>
      </w:r>
      <w:r w:rsidR="00812F48" w:rsidRPr="004A3269">
        <w:rPr>
          <w:rStyle w:val="hps"/>
        </w:rPr>
        <w:t>au cours de</w:t>
      </w:r>
      <w:r w:rsidR="00812F48" w:rsidRPr="004A3269">
        <w:t xml:space="preserve"> </w:t>
      </w:r>
      <w:r w:rsidR="00812F48" w:rsidRPr="004A3269">
        <w:rPr>
          <w:rStyle w:val="hps"/>
        </w:rPr>
        <w:t>l</w:t>
      </w:r>
      <w:r w:rsidR="009021AA" w:rsidRPr="004A3269">
        <w:rPr>
          <w:rStyle w:val="hps"/>
        </w:rPr>
        <w:t>’</w:t>
      </w:r>
      <w:r w:rsidR="00812F48" w:rsidRPr="004A3269">
        <w:rPr>
          <w:rStyle w:val="hps"/>
        </w:rPr>
        <w:t>année</w:t>
      </w:r>
      <w:r w:rsidR="00A4756A" w:rsidRPr="004A3269">
        <w:t>.</w:t>
      </w:r>
      <w:r w:rsidR="00C42877" w:rsidRPr="004A3269">
        <w:t xml:space="preserve"> </w:t>
      </w:r>
      <w:r w:rsidR="005F3C9B" w:rsidRPr="004A3269">
        <w:t xml:space="preserve"> </w:t>
      </w:r>
      <w:r w:rsidRPr="004A3269">
        <w:t>Outre le paiement de l</w:t>
      </w:r>
      <w:r w:rsidR="009021AA" w:rsidRPr="004A3269">
        <w:t>’</w:t>
      </w:r>
      <w:r w:rsidRPr="004A3269">
        <w:t>intérêt, le contrat prévoit un remboursement annuel du principal équivalent</w:t>
      </w:r>
      <w:r w:rsidR="005F3C9B" w:rsidRPr="004A3269">
        <w:t xml:space="preserve"> à </w:t>
      </w:r>
      <w:r w:rsidRPr="004A3269">
        <w:t xml:space="preserve">3,0% du montant total emprunté à compter du </w:t>
      </w:r>
      <w:r w:rsidR="00A0797A" w:rsidRPr="004A3269">
        <w:t>28 février </w:t>
      </w:r>
      <w:r w:rsidRPr="004A3269">
        <w:t xml:space="preserve">2012, </w:t>
      </w:r>
      <w:r w:rsidR="005F3C9B" w:rsidRPr="004A3269">
        <w:t>pour l</w:t>
      </w:r>
      <w:r w:rsidR="009021AA" w:rsidRPr="004A3269">
        <w:t>’</w:t>
      </w:r>
      <w:r w:rsidR="005F3C9B" w:rsidRPr="004A3269">
        <w:t>emprunt initial de 114,0 </w:t>
      </w:r>
      <w:r w:rsidRPr="004A3269">
        <w:t>millions de francs suisses et le montant supplémentaire de 16,0</w:t>
      </w:r>
      <w:r w:rsidR="005F3C9B" w:rsidRPr="004A3269">
        <w:t> </w:t>
      </w:r>
      <w:r w:rsidRPr="004A3269">
        <w:t>millions de francs suisses.</w:t>
      </w:r>
      <w:r w:rsidR="00C42877" w:rsidRPr="004A3269">
        <w:t xml:space="preserve"> </w:t>
      </w:r>
      <w:r w:rsidR="00812F48" w:rsidRPr="004A3269">
        <w:t xml:space="preserve"> </w:t>
      </w:r>
      <w:r w:rsidR="00812F48" w:rsidRPr="004A3269">
        <w:rPr>
          <w:rStyle w:val="hps"/>
        </w:rPr>
        <w:t>En novembre</w:t>
      </w:r>
      <w:r w:rsidR="00812F48" w:rsidRPr="004A3269">
        <w:t> </w:t>
      </w:r>
      <w:r w:rsidR="00E30492" w:rsidRPr="004A3269">
        <w:rPr>
          <w:rStyle w:val="hps"/>
        </w:rPr>
        <w:t>2015,</w:t>
      </w:r>
      <w:r w:rsidR="00A0797A" w:rsidRPr="004A3269">
        <w:rPr>
          <w:rStyle w:val="hps"/>
        </w:rPr>
        <w:t xml:space="preserve"> </w:t>
      </w:r>
      <w:r w:rsidR="000F3EF2" w:rsidRPr="004A3269">
        <w:rPr>
          <w:rStyle w:val="hps"/>
        </w:rPr>
        <w:t>l</w:t>
      </w:r>
      <w:r w:rsidR="009021AA" w:rsidRPr="004A3269">
        <w:rPr>
          <w:rStyle w:val="hps"/>
        </w:rPr>
        <w:t>’</w:t>
      </w:r>
      <w:r w:rsidR="000F3EF2" w:rsidRPr="004A3269">
        <w:rPr>
          <w:rStyle w:val="hps"/>
        </w:rPr>
        <w:t xml:space="preserve">Organisation </w:t>
      </w:r>
      <w:r w:rsidR="00E30492" w:rsidRPr="004A3269">
        <w:rPr>
          <w:rStyle w:val="hps"/>
        </w:rPr>
        <w:t>doit procéder au premier</w:t>
      </w:r>
      <w:r w:rsidR="00E30492" w:rsidRPr="004A3269">
        <w:t xml:space="preserve"> </w:t>
      </w:r>
      <w:r w:rsidR="00E30492" w:rsidRPr="004A3269">
        <w:rPr>
          <w:rStyle w:val="hps"/>
        </w:rPr>
        <w:t>de ses</w:t>
      </w:r>
      <w:r w:rsidR="00E30492" w:rsidRPr="004A3269">
        <w:t xml:space="preserve"> </w:t>
      </w:r>
      <w:r w:rsidR="00E30492" w:rsidRPr="004A3269">
        <w:rPr>
          <w:rStyle w:val="hps"/>
        </w:rPr>
        <w:t>versements</w:t>
      </w:r>
      <w:r w:rsidR="00E30492" w:rsidRPr="004A3269">
        <w:t xml:space="preserve"> </w:t>
      </w:r>
      <w:r w:rsidR="00E30492" w:rsidRPr="004A3269">
        <w:rPr>
          <w:rStyle w:val="hps"/>
        </w:rPr>
        <w:t>forfaitaires</w:t>
      </w:r>
      <w:r w:rsidR="00E30492" w:rsidRPr="004A3269">
        <w:t xml:space="preserve"> échelonnés pour le remboursement </w:t>
      </w:r>
      <w:r w:rsidR="00E30492" w:rsidRPr="004A3269">
        <w:rPr>
          <w:rStyle w:val="hps"/>
        </w:rPr>
        <w:t>du prêt,</w:t>
      </w:r>
      <w:r w:rsidR="00E30492" w:rsidRPr="004A3269">
        <w:t xml:space="preserve"> </w:t>
      </w:r>
      <w:r w:rsidR="00812F48" w:rsidRPr="004A3269">
        <w:rPr>
          <w:rStyle w:val="hps"/>
        </w:rPr>
        <w:t xml:space="preserve">pour </w:t>
      </w:r>
      <w:r w:rsidR="00E30492" w:rsidRPr="004A3269">
        <w:rPr>
          <w:rStyle w:val="hps"/>
        </w:rPr>
        <w:t>un</w:t>
      </w:r>
      <w:r w:rsidR="00812F48" w:rsidRPr="004A3269">
        <w:rPr>
          <w:rStyle w:val="hps"/>
        </w:rPr>
        <w:t xml:space="preserve"> montant</w:t>
      </w:r>
      <w:r w:rsidR="00812F48" w:rsidRPr="004A3269">
        <w:t xml:space="preserve"> </w:t>
      </w:r>
      <w:r w:rsidR="00812F48" w:rsidRPr="004A3269">
        <w:rPr>
          <w:rStyle w:val="hps"/>
        </w:rPr>
        <w:t>de 24,0</w:t>
      </w:r>
      <w:r w:rsidR="00E30492" w:rsidRPr="004A3269">
        <w:rPr>
          <w:rStyle w:val="hps"/>
        </w:rPr>
        <w:t> </w:t>
      </w:r>
      <w:r w:rsidR="00812F48" w:rsidRPr="004A3269">
        <w:rPr>
          <w:rStyle w:val="hps"/>
        </w:rPr>
        <w:t>millions de francs suisses</w:t>
      </w:r>
      <w:r w:rsidR="00812F48" w:rsidRPr="004A3269">
        <w:t xml:space="preserve">. </w:t>
      </w:r>
      <w:r w:rsidR="00E30492" w:rsidRPr="004A3269">
        <w:t xml:space="preserve"> </w:t>
      </w:r>
      <w:r w:rsidR="00E30492" w:rsidRPr="004A3269">
        <w:rPr>
          <w:rStyle w:val="hps"/>
        </w:rPr>
        <w:t>Le</w:t>
      </w:r>
      <w:r w:rsidR="00812F48" w:rsidRPr="004A3269">
        <w:rPr>
          <w:rStyle w:val="hps"/>
        </w:rPr>
        <w:t xml:space="preserve"> deuxième</w:t>
      </w:r>
      <w:r w:rsidR="00E30492" w:rsidRPr="004A3269">
        <w:t> </w:t>
      </w:r>
      <w:r w:rsidR="00812F48" w:rsidRPr="004A3269">
        <w:rPr>
          <w:rStyle w:val="hps"/>
        </w:rPr>
        <w:t>remboursement</w:t>
      </w:r>
      <w:r w:rsidR="00812F48" w:rsidRPr="004A3269">
        <w:t xml:space="preserve"> </w:t>
      </w:r>
      <w:r w:rsidR="00812F48" w:rsidRPr="004A3269">
        <w:rPr>
          <w:rStyle w:val="hps"/>
        </w:rPr>
        <w:t xml:space="preserve">forfaitaire </w:t>
      </w:r>
      <w:r w:rsidR="00E30492" w:rsidRPr="004A3269">
        <w:rPr>
          <w:rStyle w:val="hps"/>
        </w:rPr>
        <w:t>de</w:t>
      </w:r>
      <w:r w:rsidR="00812F48" w:rsidRPr="004A3269">
        <w:t xml:space="preserve"> </w:t>
      </w:r>
      <w:r w:rsidR="00812F48" w:rsidRPr="004A3269">
        <w:rPr>
          <w:rStyle w:val="hps"/>
        </w:rPr>
        <w:t>16,0</w:t>
      </w:r>
      <w:r w:rsidR="00E30492" w:rsidRPr="004A3269">
        <w:rPr>
          <w:rStyle w:val="hps"/>
        </w:rPr>
        <w:t> </w:t>
      </w:r>
      <w:r w:rsidR="00812F48" w:rsidRPr="004A3269">
        <w:rPr>
          <w:rStyle w:val="hps"/>
        </w:rPr>
        <w:t>millions de francs suisses</w:t>
      </w:r>
      <w:r w:rsidR="00812F48" w:rsidRPr="004A3269">
        <w:t xml:space="preserve"> </w:t>
      </w:r>
      <w:r w:rsidR="00812F48" w:rsidRPr="004A3269">
        <w:rPr>
          <w:rStyle w:val="hps"/>
        </w:rPr>
        <w:t>est actuellement prévu pour</w:t>
      </w:r>
      <w:r w:rsidR="00812F48" w:rsidRPr="004A3269">
        <w:t xml:space="preserve"> </w:t>
      </w:r>
      <w:r w:rsidR="00E30492" w:rsidRPr="004A3269">
        <w:rPr>
          <w:rStyle w:val="hps"/>
        </w:rPr>
        <w:t>j</w:t>
      </w:r>
      <w:r w:rsidR="00812F48" w:rsidRPr="004A3269">
        <w:rPr>
          <w:rStyle w:val="hps"/>
        </w:rPr>
        <w:t>anvier</w:t>
      </w:r>
      <w:r w:rsidR="00E30492" w:rsidRPr="004A3269">
        <w:t> </w:t>
      </w:r>
      <w:r w:rsidR="00812F48" w:rsidRPr="004A3269">
        <w:rPr>
          <w:rStyle w:val="hps"/>
        </w:rPr>
        <w:t>2016.</w:t>
      </w:r>
    </w:p>
    <w:p w:rsidR="00267140" w:rsidRPr="004A3269" w:rsidRDefault="00267140" w:rsidP="007C6D77">
      <w:pPr>
        <w:pStyle w:val="Style3"/>
        <w:spacing w:after="0"/>
      </w:pPr>
    </w:p>
    <w:p w:rsidR="009021AA" w:rsidRPr="004A3269" w:rsidRDefault="0056200A" w:rsidP="0056200A">
      <w:pPr>
        <w:pStyle w:val="Style3"/>
        <w:spacing w:after="0"/>
      </w:pPr>
      <w:r w:rsidRPr="004A3269">
        <w:t xml:space="preserve">En </w:t>
      </w:r>
      <w:r w:rsidR="00A0797A" w:rsidRPr="004A3269">
        <w:t>octobre </w:t>
      </w:r>
      <w:r w:rsidRPr="004A3269">
        <w:t>2010, une modification du contrat d</w:t>
      </w:r>
      <w:r w:rsidR="009021AA" w:rsidRPr="004A3269">
        <w:t>’</w:t>
      </w:r>
      <w:r w:rsidRPr="004A3269">
        <w:t>emprunt a été approuvée par la Banque Cantonale de Genève et la Banque Cantonale Vaudoise et l</w:t>
      </w:r>
      <w:r w:rsidR="009021AA" w:rsidRPr="004A3269">
        <w:t>’</w:t>
      </w:r>
      <w:r w:rsidRPr="004A3269">
        <w:t>OMPI prévoyant un montant supplémentaire de 40,0</w:t>
      </w:r>
      <w:r w:rsidR="00067463" w:rsidRPr="004A3269">
        <w:t> </w:t>
      </w:r>
      <w:r w:rsidRPr="004A3269">
        <w:t xml:space="preserve">millions de francs suisses pour financer une partie du coût de la construction du nouveau centre de conférence disponible du </w:t>
      </w:r>
      <w:r w:rsidR="00A0797A" w:rsidRPr="004A3269">
        <w:t>31 mars </w:t>
      </w:r>
      <w:r w:rsidRPr="004A3269">
        <w:t xml:space="preserve">2011 au </w:t>
      </w:r>
      <w:r w:rsidR="00A0797A" w:rsidRPr="004A3269">
        <w:t>31 mars </w:t>
      </w:r>
      <w:r w:rsidRPr="004A3269">
        <w:t>2014.</w:t>
      </w:r>
      <w:r w:rsidR="00F97F6F" w:rsidRPr="004A3269">
        <w:t xml:space="preserve">  </w:t>
      </w:r>
      <w:r w:rsidR="00812F48" w:rsidRPr="004A3269">
        <w:rPr>
          <w:rStyle w:val="hps"/>
        </w:rPr>
        <w:t>Au cours de</w:t>
      </w:r>
      <w:r w:rsidR="00812F48" w:rsidRPr="004A3269">
        <w:t xml:space="preserve"> </w:t>
      </w:r>
      <w:r w:rsidR="00E30492" w:rsidRPr="004A3269">
        <w:t>l</w:t>
      </w:r>
      <w:r w:rsidR="009021AA" w:rsidRPr="004A3269">
        <w:t>’</w:t>
      </w:r>
      <w:r w:rsidR="00E30492" w:rsidRPr="004A3269">
        <w:t>année </w:t>
      </w:r>
      <w:r w:rsidR="00812F48" w:rsidRPr="004A3269">
        <w:rPr>
          <w:rStyle w:val="hps"/>
        </w:rPr>
        <w:t>2014</w:t>
      </w:r>
      <w:r w:rsidR="00E30492" w:rsidRPr="004A3269">
        <w:t xml:space="preserve">, </w:t>
      </w:r>
      <w:r w:rsidR="00812F48" w:rsidRPr="004A3269">
        <w:rPr>
          <w:rStyle w:val="hps"/>
        </w:rPr>
        <w:t>l</w:t>
      </w:r>
      <w:r w:rsidR="009021AA" w:rsidRPr="004A3269">
        <w:rPr>
          <w:rStyle w:val="hps"/>
        </w:rPr>
        <w:t>’</w:t>
      </w:r>
      <w:r w:rsidR="00812F48" w:rsidRPr="004A3269">
        <w:rPr>
          <w:rStyle w:val="hps"/>
        </w:rPr>
        <w:t>Organisation</w:t>
      </w:r>
      <w:r w:rsidR="00812F48" w:rsidRPr="004A3269">
        <w:t xml:space="preserve"> </w:t>
      </w:r>
      <w:r w:rsidR="00812F48" w:rsidRPr="004A3269">
        <w:rPr>
          <w:rStyle w:val="hps"/>
        </w:rPr>
        <w:t>a choisi</w:t>
      </w:r>
      <w:r w:rsidR="00812F48" w:rsidRPr="004A3269">
        <w:t xml:space="preserve"> </w:t>
      </w:r>
      <w:r w:rsidR="00812F48" w:rsidRPr="004A3269">
        <w:rPr>
          <w:rStyle w:val="hps"/>
        </w:rPr>
        <w:t>de ne pas</w:t>
      </w:r>
      <w:r w:rsidR="00812F48" w:rsidRPr="004A3269">
        <w:t xml:space="preserve"> </w:t>
      </w:r>
      <w:r w:rsidR="00E30492" w:rsidRPr="004A3269">
        <w:rPr>
          <w:rStyle w:val="hps"/>
        </w:rPr>
        <w:t>utiliser</w:t>
      </w:r>
      <w:r w:rsidR="00812F48" w:rsidRPr="004A3269">
        <w:t xml:space="preserve"> </w:t>
      </w:r>
      <w:r w:rsidR="00812F48" w:rsidRPr="004A3269">
        <w:rPr>
          <w:rStyle w:val="hps"/>
        </w:rPr>
        <w:t>ce montant</w:t>
      </w:r>
      <w:r w:rsidR="00812F48" w:rsidRPr="004A3269">
        <w:t xml:space="preserve"> </w:t>
      </w:r>
      <w:r w:rsidR="00812F48" w:rsidRPr="004A3269">
        <w:rPr>
          <w:rStyle w:val="hps"/>
        </w:rPr>
        <w:t>supplémentaire de</w:t>
      </w:r>
      <w:r w:rsidR="00812F48" w:rsidRPr="004A3269">
        <w:t xml:space="preserve"> </w:t>
      </w:r>
      <w:r w:rsidR="00812F48" w:rsidRPr="004A3269">
        <w:rPr>
          <w:rStyle w:val="hps"/>
        </w:rPr>
        <w:t>40,0</w:t>
      </w:r>
      <w:r w:rsidR="00E30492" w:rsidRPr="004A3269">
        <w:t> </w:t>
      </w:r>
      <w:r w:rsidR="00812F48" w:rsidRPr="004A3269">
        <w:rPr>
          <w:rStyle w:val="hps"/>
        </w:rPr>
        <w:t>millions de francs suisses</w:t>
      </w:r>
      <w:r w:rsidR="006F57E9" w:rsidRPr="004A3269">
        <w:t xml:space="preserve">. </w:t>
      </w:r>
      <w:r w:rsidRPr="004A3269">
        <w:t xml:space="preserve"> Il convient de noter que l</w:t>
      </w:r>
      <w:r w:rsidR="009021AA" w:rsidRPr="004A3269">
        <w:t>’</w:t>
      </w:r>
      <w:r w:rsidRPr="004A3269">
        <w:t>Organisation a versé une commission de 0,15% par an sur ces montants de l</w:t>
      </w:r>
      <w:r w:rsidR="009021AA" w:rsidRPr="004A3269">
        <w:t>’</w:t>
      </w:r>
      <w:r w:rsidRPr="004A3269">
        <w:t>emprunt non utilisés pendant la période de disponibilité.</w:t>
      </w:r>
    </w:p>
    <w:p w:rsidR="00267140" w:rsidRPr="004A3269" w:rsidRDefault="005F3C9B" w:rsidP="005F3C9B">
      <w:pPr>
        <w:pStyle w:val="StyleHeading211ptNotBoldNotItalicAllcaps"/>
        <w:tabs>
          <w:tab w:val="left" w:pos="1701"/>
        </w:tabs>
        <w:spacing w:before="0" w:after="0"/>
        <w:rPr>
          <w:szCs w:val="22"/>
        </w:rPr>
      </w:pPr>
      <w:r w:rsidRPr="004A3269">
        <w:rPr>
          <w:b/>
          <w:i w:val="0"/>
          <w:szCs w:val="22"/>
        </w:rPr>
        <w:lastRenderedPageBreak/>
        <w:t>NOTE N°</w:t>
      </w:r>
      <w:r w:rsidRPr="004A3269">
        <w:rPr>
          <w:i w:val="0"/>
          <w:szCs w:val="22"/>
        </w:rPr>
        <w:t> </w:t>
      </w:r>
      <w:r w:rsidRPr="004A3269">
        <w:rPr>
          <w:b/>
          <w:i w:val="0"/>
          <w:szCs w:val="22"/>
        </w:rPr>
        <w:t>16</w:t>
      </w:r>
      <w:r w:rsidR="00A0797A" w:rsidRPr="004A3269">
        <w:rPr>
          <w:i w:val="0"/>
          <w:szCs w:val="22"/>
        </w:rPr>
        <w:t> :</w:t>
      </w:r>
      <w:r w:rsidRPr="004A3269">
        <w:rPr>
          <w:b/>
          <w:i w:val="0"/>
          <w:szCs w:val="22"/>
        </w:rPr>
        <w:t xml:space="preserve"> </w:t>
      </w:r>
      <w:r w:rsidRPr="004A3269">
        <w:rPr>
          <w:b/>
          <w:i w:val="0"/>
          <w:szCs w:val="22"/>
        </w:rPr>
        <w:tab/>
        <w:t>PROVISIONS</w:t>
      </w:r>
    </w:p>
    <w:p w:rsidR="00267140" w:rsidRPr="00B7582E" w:rsidRDefault="00267140" w:rsidP="00274DF8">
      <w:pPr>
        <w:pStyle w:val="StyleHeading211ptNotBoldNotItalicAllcaps"/>
        <w:spacing w:before="0" w:after="0"/>
        <w:rPr>
          <w:i w:val="0"/>
          <w:szCs w:val="22"/>
        </w:rPr>
      </w:pPr>
    </w:p>
    <w:p w:rsidR="00150F95" w:rsidRPr="004A3269" w:rsidRDefault="00150F95" w:rsidP="00150F95">
      <w:pPr>
        <w:pStyle w:val="Style3"/>
        <w:spacing w:after="0"/>
        <w:jc w:val="center"/>
        <w:rPr>
          <w:szCs w:val="22"/>
        </w:rPr>
      </w:pPr>
      <w:bookmarkStart w:id="15" w:name="RANGE!B2:E7"/>
      <w:bookmarkEnd w:id="15"/>
      <w:r w:rsidRPr="004A3269">
        <w:rPr>
          <w:noProof/>
          <w:lang w:val="en-US"/>
        </w:rPr>
        <w:drawing>
          <wp:inline distT="0" distB="0" distL="0" distR="0" wp14:anchorId="179D5A8C" wp14:editId="0AA77AA3">
            <wp:extent cx="5730875" cy="1030605"/>
            <wp:effectExtent l="0" t="0" r="317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0875" cy="1030605"/>
                    </a:xfrm>
                    <a:prstGeom prst="rect">
                      <a:avLst/>
                    </a:prstGeom>
                    <a:noFill/>
                    <a:ln>
                      <a:noFill/>
                    </a:ln>
                  </pic:spPr>
                </pic:pic>
              </a:graphicData>
            </a:graphic>
          </wp:inline>
        </w:drawing>
      </w:r>
    </w:p>
    <w:p w:rsidR="00150F95" w:rsidRPr="004A3269" w:rsidRDefault="00150F95" w:rsidP="0056200A">
      <w:pPr>
        <w:pStyle w:val="Style3"/>
        <w:spacing w:after="0"/>
        <w:rPr>
          <w:szCs w:val="22"/>
        </w:rPr>
      </w:pPr>
    </w:p>
    <w:p w:rsidR="00267140" w:rsidRPr="004A3269" w:rsidRDefault="0056200A" w:rsidP="0056200A">
      <w:pPr>
        <w:pStyle w:val="Style3"/>
        <w:spacing w:after="0"/>
      </w:pPr>
      <w:r w:rsidRPr="004A3269">
        <w:rPr>
          <w:szCs w:val="22"/>
        </w:rPr>
        <w:t>Dans le cadre de ses activités courantes, l</w:t>
      </w:r>
      <w:r w:rsidR="009021AA" w:rsidRPr="004A3269">
        <w:rPr>
          <w:szCs w:val="22"/>
        </w:rPr>
        <w:t>’</w:t>
      </w:r>
      <w:r w:rsidRPr="004A3269">
        <w:rPr>
          <w:szCs w:val="22"/>
        </w:rPr>
        <w:t>Organisation peut être partie à des procédures judiciaires.</w:t>
      </w:r>
      <w:r w:rsidR="005F3C9B" w:rsidRPr="004A3269">
        <w:rPr>
          <w:szCs w:val="22"/>
        </w:rPr>
        <w:t xml:space="preserve">  </w:t>
      </w:r>
      <w:r w:rsidRPr="004A3269">
        <w:rPr>
          <w:szCs w:val="22"/>
        </w:rPr>
        <w:t xml:space="preserve">Les événements survenus avant le </w:t>
      </w:r>
      <w:r w:rsidR="00A0797A" w:rsidRPr="004A3269">
        <w:rPr>
          <w:szCs w:val="22"/>
        </w:rPr>
        <w:t>31 décembre </w:t>
      </w:r>
      <w:r w:rsidRPr="004A3269">
        <w:rPr>
          <w:szCs w:val="22"/>
        </w:rPr>
        <w:t>2014 ont créé certaines obligations juridiques à la date d</w:t>
      </w:r>
      <w:r w:rsidR="009021AA" w:rsidRPr="004A3269">
        <w:rPr>
          <w:szCs w:val="22"/>
        </w:rPr>
        <w:t>’</w:t>
      </w:r>
      <w:r w:rsidRPr="004A3269">
        <w:rPr>
          <w:szCs w:val="22"/>
        </w:rPr>
        <w:t>établissement des états financiers.</w:t>
      </w:r>
      <w:r w:rsidR="00A630DC" w:rsidRPr="004A3269">
        <w:t xml:space="preserve">  </w:t>
      </w:r>
      <w:r w:rsidRPr="004A3269">
        <w:rPr>
          <w:szCs w:val="22"/>
        </w:rPr>
        <w:t>Comme il est probable que ces obligations doivent faire l</w:t>
      </w:r>
      <w:r w:rsidR="009021AA" w:rsidRPr="004A3269">
        <w:rPr>
          <w:szCs w:val="22"/>
        </w:rPr>
        <w:t>’</w:t>
      </w:r>
      <w:r w:rsidRPr="004A3269">
        <w:rPr>
          <w:szCs w:val="22"/>
        </w:rPr>
        <w:t>objet d</w:t>
      </w:r>
      <w:r w:rsidR="009021AA" w:rsidRPr="004A3269">
        <w:rPr>
          <w:szCs w:val="22"/>
        </w:rPr>
        <w:t>’</w:t>
      </w:r>
      <w:r w:rsidRPr="004A3269">
        <w:rPr>
          <w:szCs w:val="22"/>
        </w:rPr>
        <w:t>un règlement ultérieur et que les montants de ces procédures de règlement des litiges peuvent être estimés de manière fiable, une provision pour frais d</w:t>
      </w:r>
      <w:r w:rsidR="009021AA" w:rsidRPr="004A3269">
        <w:rPr>
          <w:szCs w:val="22"/>
        </w:rPr>
        <w:t>’</w:t>
      </w:r>
      <w:r w:rsidRPr="004A3269">
        <w:rPr>
          <w:szCs w:val="22"/>
        </w:rPr>
        <w:t>avocat a été constituée.</w:t>
      </w:r>
      <w:r w:rsidR="00A630DC" w:rsidRPr="004A3269">
        <w:t xml:space="preserve"> </w:t>
      </w:r>
      <w:r w:rsidR="005F3C9B" w:rsidRPr="004A3269">
        <w:t xml:space="preserve"> </w:t>
      </w:r>
      <w:r w:rsidRPr="004A3269">
        <w:rPr>
          <w:szCs w:val="22"/>
        </w:rPr>
        <w:t>Le montant de la provision a été estimé aussi précisément que possible en fonction des informations disponibles.</w:t>
      </w:r>
    </w:p>
    <w:p w:rsidR="00267140" w:rsidRPr="00B7582E" w:rsidRDefault="00267140" w:rsidP="00B7582E"/>
    <w:p w:rsidR="00150F95" w:rsidRPr="004A3269" w:rsidRDefault="00150F95" w:rsidP="00442F97">
      <w:pPr>
        <w:pStyle w:val="Style3"/>
        <w:spacing w:after="0"/>
        <w:jc w:val="center"/>
        <w:rPr>
          <w:szCs w:val="22"/>
        </w:rPr>
      </w:pPr>
      <w:r w:rsidRPr="004A3269">
        <w:rPr>
          <w:noProof/>
          <w:lang w:val="en-US"/>
        </w:rPr>
        <w:drawing>
          <wp:inline distT="0" distB="0" distL="0" distR="0" wp14:anchorId="3BFCB0A7" wp14:editId="6811C8DD">
            <wp:extent cx="4436745" cy="3245485"/>
            <wp:effectExtent l="0" t="0" r="190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436745" cy="3245485"/>
                    </a:xfrm>
                    <a:prstGeom prst="rect">
                      <a:avLst/>
                    </a:prstGeom>
                    <a:noFill/>
                    <a:ln>
                      <a:noFill/>
                    </a:ln>
                  </pic:spPr>
                </pic:pic>
              </a:graphicData>
            </a:graphic>
          </wp:inline>
        </w:drawing>
      </w:r>
    </w:p>
    <w:p w:rsidR="00150F95" w:rsidRDefault="00150F95" w:rsidP="00150F95">
      <w:pPr>
        <w:pStyle w:val="Style3"/>
        <w:spacing w:after="0"/>
        <w:rPr>
          <w:szCs w:val="22"/>
        </w:rPr>
      </w:pPr>
    </w:p>
    <w:p w:rsidR="00B7582E" w:rsidRPr="004A3269" w:rsidRDefault="00B7582E" w:rsidP="00150F95">
      <w:pPr>
        <w:pStyle w:val="Style3"/>
        <w:spacing w:after="0"/>
        <w:rPr>
          <w:szCs w:val="22"/>
        </w:rPr>
      </w:pPr>
    </w:p>
    <w:p w:rsidR="00267140" w:rsidRPr="004A3269" w:rsidRDefault="005F3C9B" w:rsidP="005F3C9B">
      <w:pPr>
        <w:pStyle w:val="StyleHeading211ptNotBoldNotItalicAllcaps"/>
        <w:tabs>
          <w:tab w:val="left" w:pos="1701"/>
        </w:tabs>
        <w:spacing w:before="0" w:after="0"/>
      </w:pPr>
      <w:r w:rsidRPr="004A3269">
        <w:rPr>
          <w:b/>
          <w:i w:val="0"/>
        </w:rPr>
        <w:t>NOTE N°</w:t>
      </w:r>
      <w:r w:rsidR="00150F95" w:rsidRPr="004A3269">
        <w:rPr>
          <w:i w:val="0"/>
        </w:rPr>
        <w:t> </w:t>
      </w:r>
      <w:r w:rsidRPr="004A3269">
        <w:rPr>
          <w:b/>
          <w:i w:val="0"/>
        </w:rPr>
        <w:t>17</w:t>
      </w:r>
      <w:r w:rsidR="00A0797A" w:rsidRPr="004A3269">
        <w:rPr>
          <w:i w:val="0"/>
        </w:rPr>
        <w:t> :</w:t>
      </w:r>
      <w:r w:rsidRPr="004A3269">
        <w:rPr>
          <w:b/>
          <w:i w:val="0"/>
        </w:rPr>
        <w:t xml:space="preserve"> </w:t>
      </w:r>
      <w:r w:rsidRPr="004A3269">
        <w:rPr>
          <w:b/>
          <w:i w:val="0"/>
        </w:rPr>
        <w:tab/>
        <w:t>AUTRES PASSIFS</w:t>
      </w:r>
    </w:p>
    <w:p w:rsidR="00267140" w:rsidRPr="004A3269" w:rsidRDefault="00267140" w:rsidP="009A7CC8">
      <w:pPr>
        <w:pStyle w:val="StyleHeading211ptNotBoldNotItalicAllcaps"/>
        <w:spacing w:before="0" w:after="0"/>
        <w:rPr>
          <w:szCs w:val="22"/>
        </w:rPr>
      </w:pPr>
    </w:p>
    <w:p w:rsidR="00150F95" w:rsidRPr="004A3269" w:rsidRDefault="00150F95" w:rsidP="006E3997">
      <w:pPr>
        <w:pStyle w:val="Style3"/>
        <w:spacing w:after="0"/>
      </w:pPr>
      <w:r w:rsidRPr="004A3269">
        <w:rPr>
          <w:noProof/>
          <w:lang w:val="en-US"/>
        </w:rPr>
        <w:drawing>
          <wp:inline distT="0" distB="0" distL="0" distR="0" wp14:anchorId="5B6DC7B2" wp14:editId="1D92D34E">
            <wp:extent cx="5730875" cy="1172210"/>
            <wp:effectExtent l="0" t="0" r="3175" b="889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0875" cy="1172210"/>
                    </a:xfrm>
                    <a:prstGeom prst="rect">
                      <a:avLst/>
                    </a:prstGeom>
                    <a:noFill/>
                    <a:ln>
                      <a:noFill/>
                    </a:ln>
                  </pic:spPr>
                </pic:pic>
              </a:graphicData>
            </a:graphic>
          </wp:inline>
        </w:drawing>
      </w:r>
    </w:p>
    <w:p w:rsidR="00150F95" w:rsidRPr="004A3269" w:rsidRDefault="00150F95" w:rsidP="006E3997">
      <w:pPr>
        <w:pStyle w:val="Style3"/>
        <w:spacing w:after="0"/>
      </w:pPr>
    </w:p>
    <w:p w:rsidR="00267140" w:rsidRPr="004A3269" w:rsidRDefault="006E3997" w:rsidP="006E3997">
      <w:pPr>
        <w:pStyle w:val="Style3"/>
        <w:spacing w:after="0"/>
      </w:pPr>
      <w:r w:rsidRPr="004A3269">
        <w:t>L</w:t>
      </w:r>
      <w:r w:rsidR="009021AA" w:rsidRPr="004A3269">
        <w:t>’</w:t>
      </w:r>
      <w:r w:rsidRPr="004A3269">
        <w:t xml:space="preserve">Organisation offre des facilités aux déposants de demandes </w:t>
      </w:r>
      <w:r w:rsidR="00892216" w:rsidRPr="004A3269">
        <w:t>selon</w:t>
      </w:r>
      <w:r w:rsidR="009021AA" w:rsidRPr="004A3269">
        <w:t xml:space="preserve"> le PCT</w:t>
      </w:r>
      <w:r w:rsidRPr="004A3269">
        <w:t xml:space="preserve">, de </w:t>
      </w:r>
      <w:r w:rsidR="000E56DD" w:rsidRPr="004A3269">
        <w:t xml:space="preserve">demandes d’enregistrement de </w:t>
      </w:r>
      <w:r w:rsidRPr="004A3269">
        <w:t xml:space="preserve">marques et </w:t>
      </w:r>
      <w:r w:rsidR="000E56DD" w:rsidRPr="004A3269">
        <w:t xml:space="preserve">de demandes d’enregistrement </w:t>
      </w:r>
      <w:r w:rsidRPr="004A3269">
        <w:t>de dessins et modèles industriels en leur permettant de déposer des fonds sur des “comptes courants” pour lesquels l</w:t>
      </w:r>
      <w:r w:rsidR="009021AA" w:rsidRPr="004A3269">
        <w:t>’</w:t>
      </w:r>
      <w:r w:rsidRPr="004A3269">
        <w:t>Organisation joue le rôle de dépositaire dans l</w:t>
      </w:r>
      <w:r w:rsidR="009021AA" w:rsidRPr="004A3269">
        <w:t>’</w:t>
      </w:r>
      <w:r w:rsidRPr="004A3269">
        <w:t>attente de l</w:t>
      </w:r>
      <w:r w:rsidR="009021AA" w:rsidRPr="004A3269">
        <w:t>’</w:t>
      </w:r>
      <w:r w:rsidRPr="004A3269">
        <w:t>utilisation des fonds pour couvrir les taxes requises pour déposer des demandes individuelles et des renouvellements.</w:t>
      </w:r>
      <w:r w:rsidR="00CF44A9" w:rsidRPr="004A3269">
        <w:t xml:space="preserve">  </w:t>
      </w:r>
      <w:r w:rsidRPr="004A3269">
        <w:t xml:space="preserve">Ces fonds </w:t>
      </w:r>
      <w:r w:rsidRPr="004A3269">
        <w:lastRenderedPageBreak/>
        <w:t>sont détenus jusqu</w:t>
      </w:r>
      <w:r w:rsidR="009021AA" w:rsidRPr="004A3269">
        <w:t>’</w:t>
      </w:r>
      <w:r w:rsidRPr="004A3269">
        <w:t>au dépôt des demandes spécifiques.</w:t>
      </w:r>
      <w:r w:rsidR="00CF44A9" w:rsidRPr="004A3269">
        <w:t xml:space="preserve">  </w:t>
      </w:r>
      <w:r w:rsidRPr="004A3269">
        <w:t>À</w:t>
      </w:r>
      <w:r w:rsidR="005F3C9B" w:rsidRPr="004A3269">
        <w:t> </w:t>
      </w:r>
      <w:r w:rsidRPr="004A3269">
        <w:t>la réception de la demande, la somme nécessaire est déduite du solde du compte courant et les fonds sont considérés comme des dépôts jusqu</w:t>
      </w:r>
      <w:r w:rsidR="009021AA" w:rsidRPr="004A3269">
        <w:t>’</w:t>
      </w:r>
      <w:r w:rsidRPr="004A3269">
        <w:t>à l</w:t>
      </w:r>
      <w:r w:rsidR="009021AA" w:rsidRPr="004A3269">
        <w:t>’</w:t>
      </w:r>
      <w:r w:rsidRPr="004A3269">
        <w:t>enregistrement de la demande.</w:t>
      </w:r>
    </w:p>
    <w:p w:rsidR="00267140" w:rsidRPr="004A3269" w:rsidRDefault="00267140" w:rsidP="00442F97">
      <w:pPr>
        <w:pStyle w:val="Style3"/>
        <w:spacing w:after="0"/>
      </w:pPr>
    </w:p>
    <w:p w:rsidR="00267140" w:rsidRPr="004A3269" w:rsidRDefault="006E3997" w:rsidP="006E3997">
      <w:pPr>
        <w:pStyle w:val="Style3"/>
        <w:spacing w:after="0"/>
      </w:pPr>
      <w:r w:rsidRPr="004A3269">
        <w:t>En outre, l</w:t>
      </w:r>
      <w:r w:rsidR="009021AA" w:rsidRPr="004A3269">
        <w:t>’</w:t>
      </w:r>
      <w:r w:rsidRPr="004A3269">
        <w:t>Organisation gère des comptes bancaires en son propre nom afin de permettre à certaines parties contractantes de transférer des fonds qu</w:t>
      </w:r>
      <w:r w:rsidR="009021AA" w:rsidRPr="004A3269">
        <w:t>’</w:t>
      </w:r>
      <w:r w:rsidRPr="004A3269">
        <w:t>elles ont perçus pour le compte de l</w:t>
      </w:r>
      <w:r w:rsidR="009021AA" w:rsidRPr="004A3269">
        <w:t>’</w:t>
      </w:r>
      <w:r w:rsidRPr="004A3269">
        <w:t>Organisation</w:t>
      </w:r>
      <w:r w:rsidR="00A0797A" w:rsidRPr="004A3269">
        <w:t xml:space="preserve">.  </w:t>
      </w:r>
      <w:r w:rsidRPr="004A3269">
        <w:t>En attendant que la partie contractante informe l</w:t>
      </w:r>
      <w:r w:rsidR="009021AA" w:rsidRPr="004A3269">
        <w:t>’</w:t>
      </w:r>
      <w:r w:rsidRPr="004A3269">
        <w:t>OMPI que les fonds détenus sur ces comptes représentent des produits appartenant à l</w:t>
      </w:r>
      <w:r w:rsidR="009021AA" w:rsidRPr="004A3269">
        <w:t>’</w:t>
      </w:r>
      <w:r w:rsidRPr="004A3269">
        <w:t>Organisation, le solde inscrit sur les comptes n</w:t>
      </w:r>
      <w:r w:rsidR="009021AA" w:rsidRPr="004A3269">
        <w:t>’</w:t>
      </w:r>
      <w:r w:rsidRPr="004A3269">
        <w:t>est pas comptabilisé dans les recettes.</w:t>
      </w:r>
    </w:p>
    <w:p w:rsidR="00267140" w:rsidRDefault="00267140" w:rsidP="00901633">
      <w:pPr>
        <w:pStyle w:val="Style3"/>
        <w:spacing w:after="0"/>
      </w:pPr>
    </w:p>
    <w:p w:rsidR="00B7582E" w:rsidRPr="004A3269" w:rsidRDefault="00B7582E" w:rsidP="00901633">
      <w:pPr>
        <w:pStyle w:val="Style3"/>
        <w:spacing w:after="0"/>
      </w:pPr>
    </w:p>
    <w:p w:rsidR="00267140" w:rsidRPr="004A3269" w:rsidRDefault="005F3C9B" w:rsidP="005F3C9B">
      <w:pPr>
        <w:pStyle w:val="StyleHeading211ptNotBoldNotItalicAllcaps"/>
        <w:tabs>
          <w:tab w:val="left" w:pos="1701"/>
        </w:tabs>
        <w:spacing w:before="0" w:after="0"/>
        <w:rPr>
          <w:szCs w:val="22"/>
        </w:rPr>
      </w:pPr>
      <w:r w:rsidRPr="004A3269">
        <w:rPr>
          <w:b/>
          <w:i w:val="0"/>
          <w:szCs w:val="22"/>
        </w:rPr>
        <w:t>NOTE N°</w:t>
      </w:r>
      <w:r w:rsidRPr="004A3269">
        <w:rPr>
          <w:i w:val="0"/>
          <w:szCs w:val="22"/>
        </w:rPr>
        <w:t xml:space="preserve"> </w:t>
      </w:r>
      <w:r w:rsidRPr="004A3269">
        <w:rPr>
          <w:b/>
          <w:i w:val="0"/>
          <w:szCs w:val="22"/>
        </w:rPr>
        <w:t>18</w:t>
      </w:r>
      <w:r w:rsidR="00A0797A" w:rsidRPr="004A3269">
        <w:rPr>
          <w:i w:val="0"/>
          <w:szCs w:val="22"/>
        </w:rPr>
        <w:t> :</w:t>
      </w:r>
      <w:r w:rsidRPr="004A3269">
        <w:rPr>
          <w:b/>
          <w:i w:val="0"/>
          <w:szCs w:val="22"/>
        </w:rPr>
        <w:t xml:space="preserve"> </w:t>
      </w:r>
      <w:r w:rsidRPr="004A3269">
        <w:rPr>
          <w:b/>
          <w:i w:val="0"/>
          <w:szCs w:val="22"/>
        </w:rPr>
        <w:tab/>
        <w:t>PASSIFS ET ACTIFS ÉVENTUELS</w:t>
      </w:r>
    </w:p>
    <w:p w:rsidR="00267140" w:rsidRPr="004A3269" w:rsidRDefault="00267140" w:rsidP="00901633">
      <w:pPr>
        <w:pStyle w:val="Style3"/>
        <w:spacing w:after="0"/>
        <w:rPr>
          <w:szCs w:val="22"/>
        </w:rPr>
      </w:pPr>
    </w:p>
    <w:p w:rsidR="009021AA" w:rsidRPr="004A3269" w:rsidRDefault="006E3997" w:rsidP="006E3997">
      <w:pPr>
        <w:pStyle w:val="Style3"/>
        <w:spacing w:after="0"/>
      </w:pPr>
      <w:r w:rsidRPr="004A3269">
        <w:t>Plusieurs membres du personnel de l</w:t>
      </w:r>
      <w:r w:rsidR="009021AA" w:rsidRPr="004A3269">
        <w:t>’</w:t>
      </w:r>
      <w:r w:rsidRPr="004A3269">
        <w:t>OMPI sont en litige avec l</w:t>
      </w:r>
      <w:r w:rsidR="009021AA" w:rsidRPr="004A3269">
        <w:t>’</w:t>
      </w:r>
      <w:r w:rsidRPr="004A3269">
        <w:t>Organisation.</w:t>
      </w:r>
      <w:r w:rsidR="001C1B02" w:rsidRPr="004A3269">
        <w:t xml:space="preserve"> </w:t>
      </w:r>
      <w:r w:rsidR="005F3C9B" w:rsidRPr="004A3269">
        <w:t xml:space="preserve"> </w:t>
      </w:r>
      <w:r w:rsidRPr="004A3269">
        <w:t>Les affaires litigieuses portées devant le Comité d</w:t>
      </w:r>
      <w:r w:rsidR="009021AA" w:rsidRPr="004A3269">
        <w:t>’</w:t>
      </w:r>
      <w:r w:rsidRPr="004A3269">
        <w:t>appel de l</w:t>
      </w:r>
      <w:r w:rsidR="009021AA" w:rsidRPr="004A3269">
        <w:t>’</w:t>
      </w:r>
      <w:r w:rsidRPr="004A3269">
        <w:t>OMPI et le tribunal administratif de l</w:t>
      </w:r>
      <w:r w:rsidR="009021AA" w:rsidRPr="004A3269">
        <w:t>’</w:t>
      </w:r>
      <w:r w:rsidRPr="004A3269">
        <w:t>OIT, pour lesquelles des provisions ont été enregistrées sont p</w:t>
      </w:r>
      <w:r w:rsidR="005F3C9B" w:rsidRPr="004A3269">
        <w:t>rises en compte dans la note n° </w:t>
      </w:r>
      <w:r w:rsidRPr="004A3269">
        <w:t>16.  En revanche, aucune somme n</w:t>
      </w:r>
      <w:r w:rsidR="009021AA" w:rsidRPr="004A3269">
        <w:t>’</w:t>
      </w:r>
      <w:r w:rsidRPr="004A3269">
        <w:t>a été provisionnée pour certains autres litiges portés devant le Comité d</w:t>
      </w:r>
      <w:r w:rsidR="009021AA" w:rsidRPr="004A3269">
        <w:t>’</w:t>
      </w:r>
      <w:r w:rsidRPr="004A3269">
        <w:t>appel de l</w:t>
      </w:r>
      <w:r w:rsidR="009021AA" w:rsidRPr="004A3269">
        <w:t>’</w:t>
      </w:r>
      <w:r w:rsidRPr="004A3269">
        <w:t>OMPI ou le tribunal administratif de l</w:t>
      </w:r>
      <w:r w:rsidR="009021AA" w:rsidRPr="004A3269">
        <w:t>’</w:t>
      </w:r>
      <w:r w:rsidRPr="004A3269">
        <w:t>OIT pour lesquels les conseils juridiques fournis laissent penser qu</w:t>
      </w:r>
      <w:r w:rsidR="009021AA" w:rsidRPr="004A3269">
        <w:t>’</w:t>
      </w:r>
      <w:r w:rsidRPr="004A3269">
        <w:t>aucune obligation de réparer n</w:t>
      </w:r>
      <w:r w:rsidR="009021AA" w:rsidRPr="004A3269">
        <w:t>’</w:t>
      </w:r>
      <w:r w:rsidRPr="004A3269">
        <w:t>est à prévoir.</w:t>
      </w:r>
      <w:r w:rsidR="001C1B02" w:rsidRPr="004A3269">
        <w:t xml:space="preserve"> </w:t>
      </w:r>
      <w:r w:rsidR="005F3C9B" w:rsidRPr="004A3269">
        <w:t xml:space="preserve"> </w:t>
      </w:r>
      <w:r w:rsidRPr="004A3269">
        <w:t>La valeur estimée de ces passifs éventuels que l</w:t>
      </w:r>
      <w:r w:rsidR="009021AA" w:rsidRPr="004A3269">
        <w:t>’</w:t>
      </w:r>
      <w:r w:rsidRPr="004A3269">
        <w:t>Organisation pourrait avoir à payer en cas de demandes de dommages</w:t>
      </w:r>
      <w:r w:rsidR="00A17552" w:rsidRPr="004A3269">
        <w:noBreakHyphen/>
      </w:r>
      <w:r w:rsidRPr="004A3269">
        <w:t>intérêts aux fins de réparation de ces litiges se monte à 605 500</w:t>
      </w:r>
      <w:r w:rsidR="00067463" w:rsidRPr="004A3269">
        <w:t> </w:t>
      </w:r>
      <w:r w:rsidRPr="004A3269">
        <w:t>francs suisses, à la date d</w:t>
      </w:r>
      <w:r w:rsidR="009021AA" w:rsidRPr="004A3269">
        <w:t>’</w:t>
      </w:r>
      <w:r w:rsidRPr="004A3269">
        <w:t>établissement des états financiers.</w:t>
      </w:r>
      <w:r w:rsidR="000A1B3F" w:rsidRPr="004A3269">
        <w:t xml:space="preserve"> </w:t>
      </w:r>
      <w:r w:rsidR="00420690" w:rsidRPr="004A3269">
        <w:t xml:space="preserve"> </w:t>
      </w:r>
      <w:r w:rsidRPr="004A3269">
        <w:t>Le personnel a également déposé des recours qui ont le statut de requêtes en réexamen.</w:t>
      </w:r>
      <w:r w:rsidR="00890251" w:rsidRPr="004A3269">
        <w:t xml:space="preserve"> </w:t>
      </w:r>
      <w:r w:rsidR="00420690" w:rsidRPr="004A3269">
        <w:t xml:space="preserve"> </w:t>
      </w:r>
      <w:r w:rsidRPr="004A3269">
        <w:t>En ce qui concerne ces affaires, le montant de dommages</w:t>
      </w:r>
      <w:r w:rsidR="00A17552" w:rsidRPr="004A3269">
        <w:noBreakHyphen/>
      </w:r>
      <w:r w:rsidRPr="004A3269">
        <w:t>intérêts reste à confirmer, et par conséquent, il n</w:t>
      </w:r>
      <w:r w:rsidR="009021AA" w:rsidRPr="004A3269">
        <w:t>’</w:t>
      </w:r>
      <w:r w:rsidRPr="004A3269">
        <w:t xml:space="preserve">a pas encore été provisionné. </w:t>
      </w:r>
      <w:r w:rsidR="00B51010" w:rsidRPr="004A3269">
        <w:t xml:space="preserve"> </w:t>
      </w:r>
      <w:r w:rsidRPr="004A3269">
        <w:t>La valeur estimée des passifs éventuels pour les paiements que l</w:t>
      </w:r>
      <w:r w:rsidR="009021AA" w:rsidRPr="004A3269">
        <w:t>’</w:t>
      </w:r>
      <w:r w:rsidRPr="004A3269">
        <w:t>Organisation serait amenée à effectuer pour résoudre les litige</w:t>
      </w:r>
      <w:r w:rsidR="005F3C9B" w:rsidRPr="004A3269">
        <w:t>s susmentionnés se monte à 1000 </w:t>
      </w:r>
      <w:r w:rsidRPr="004A3269">
        <w:t>francs suisses, à la date d</w:t>
      </w:r>
      <w:r w:rsidR="009021AA" w:rsidRPr="004A3269">
        <w:t>’</w:t>
      </w:r>
      <w:r w:rsidRPr="004A3269">
        <w:t>établissement des états financiers.</w:t>
      </w:r>
    </w:p>
    <w:p w:rsidR="00267140" w:rsidRPr="004A3269" w:rsidRDefault="00267140" w:rsidP="007C6D77">
      <w:pPr>
        <w:pStyle w:val="Style3"/>
        <w:spacing w:after="0"/>
      </w:pPr>
    </w:p>
    <w:p w:rsidR="00267140" w:rsidRPr="004A3269" w:rsidRDefault="005F3C9B" w:rsidP="006E3997">
      <w:pPr>
        <w:pStyle w:val="Style3"/>
        <w:spacing w:after="0"/>
      </w:pPr>
      <w:r w:rsidRPr="004A3269">
        <w:t>Au 31 décembre </w:t>
      </w:r>
      <w:r w:rsidR="006E3997" w:rsidRPr="004A3269">
        <w:t>2014, les contrats en cours pour la construction de la nouvelle salle</w:t>
      </w:r>
      <w:r w:rsidRPr="004A3269">
        <w:t xml:space="preserve"> de conférence totalisaient </w:t>
      </w:r>
      <w:r w:rsidR="00A0797A" w:rsidRPr="004A3269">
        <w:t>0,2 million</w:t>
      </w:r>
      <w:r w:rsidR="006E3997" w:rsidRPr="004A3269">
        <w:t xml:space="preserve"> de francs suisses et pour </w:t>
      </w:r>
      <w:r w:rsidRPr="004A3269">
        <w:t>la construction sécuritaire 0,6 </w:t>
      </w:r>
      <w:r w:rsidR="006E3997" w:rsidRPr="004A3269">
        <w:t>million.</w:t>
      </w:r>
      <w:r w:rsidR="0025037B" w:rsidRPr="004A3269">
        <w:t xml:space="preserve"> </w:t>
      </w:r>
      <w:r w:rsidRPr="004A3269">
        <w:t xml:space="preserve"> </w:t>
      </w:r>
      <w:r w:rsidR="00E30492" w:rsidRPr="004A3269">
        <w:rPr>
          <w:rStyle w:val="hps"/>
        </w:rPr>
        <w:t>L</w:t>
      </w:r>
      <w:r w:rsidR="009021AA" w:rsidRPr="004A3269">
        <w:rPr>
          <w:rStyle w:val="hps"/>
        </w:rPr>
        <w:t>’</w:t>
      </w:r>
      <w:r w:rsidR="00E30492" w:rsidRPr="004A3269">
        <w:rPr>
          <w:rStyle w:val="hps"/>
        </w:rPr>
        <w:t>Organisation</w:t>
      </w:r>
      <w:r w:rsidR="00E30492" w:rsidRPr="004A3269">
        <w:t xml:space="preserve"> </w:t>
      </w:r>
      <w:r w:rsidR="00E30492" w:rsidRPr="004A3269">
        <w:rPr>
          <w:rStyle w:val="hps"/>
        </w:rPr>
        <w:t>a également des contrats</w:t>
      </w:r>
      <w:r w:rsidR="00E30492" w:rsidRPr="004A3269">
        <w:t xml:space="preserve"> </w:t>
      </w:r>
      <w:r w:rsidR="00E30492" w:rsidRPr="004A3269">
        <w:rPr>
          <w:rStyle w:val="hps"/>
        </w:rPr>
        <w:t>de prestation de services non résiliables,</w:t>
      </w:r>
      <w:r w:rsidR="00E30492" w:rsidRPr="004A3269">
        <w:t xml:space="preserve"> </w:t>
      </w:r>
      <w:r w:rsidR="00E30492" w:rsidRPr="004A3269">
        <w:rPr>
          <w:rStyle w:val="hps"/>
        </w:rPr>
        <w:t>d</w:t>
      </w:r>
      <w:r w:rsidR="009021AA" w:rsidRPr="004A3269">
        <w:rPr>
          <w:rStyle w:val="hps"/>
        </w:rPr>
        <w:t>’</w:t>
      </w:r>
      <w:r w:rsidR="00E30492" w:rsidRPr="004A3269">
        <w:rPr>
          <w:rStyle w:val="hps"/>
        </w:rPr>
        <w:t>une valeur totale</w:t>
      </w:r>
      <w:r w:rsidR="00E30492" w:rsidRPr="004A3269">
        <w:t xml:space="preserve"> </w:t>
      </w:r>
      <w:r w:rsidR="00E30492" w:rsidRPr="004A3269">
        <w:rPr>
          <w:rStyle w:val="hps"/>
        </w:rPr>
        <w:t>de 1,5</w:t>
      </w:r>
      <w:r w:rsidR="00E30492" w:rsidRPr="004A3269">
        <w:t> </w:t>
      </w:r>
      <w:r w:rsidR="00E30492" w:rsidRPr="004A3269">
        <w:rPr>
          <w:rStyle w:val="hps"/>
        </w:rPr>
        <w:t>million de francs suisses</w:t>
      </w:r>
      <w:r w:rsidR="0025037B" w:rsidRPr="004A3269">
        <w:t>.</w:t>
      </w:r>
    </w:p>
    <w:p w:rsidR="00267140" w:rsidRPr="004A3269" w:rsidRDefault="00267140" w:rsidP="007C6D77">
      <w:pPr>
        <w:pStyle w:val="Style3"/>
        <w:spacing w:after="0"/>
        <w:rPr>
          <w:szCs w:val="22"/>
        </w:rPr>
      </w:pPr>
    </w:p>
    <w:p w:rsidR="009021AA" w:rsidRPr="004A3269" w:rsidRDefault="006E3997" w:rsidP="006E3997">
      <w:pPr>
        <w:pStyle w:val="style30"/>
        <w:spacing w:after="0"/>
      </w:pPr>
      <w:r w:rsidRPr="004A3269">
        <w:t>L</w:t>
      </w:r>
      <w:r w:rsidR="009021AA" w:rsidRPr="004A3269">
        <w:t>’</w:t>
      </w:r>
      <w:r w:rsidRPr="004A3269">
        <w:t xml:space="preserve">OMPI est une organisation partenaire du Centre international de calcul (CIC), entité </w:t>
      </w:r>
      <w:proofErr w:type="spellStart"/>
      <w:r w:rsidRPr="004A3269">
        <w:t>interorganisations</w:t>
      </w:r>
      <w:proofErr w:type="spellEnd"/>
      <w:r w:rsidRPr="004A3269">
        <w:t xml:space="preserve"> créée pour fournir des services informatiques.</w:t>
      </w:r>
      <w:r w:rsidR="00513F6A" w:rsidRPr="004A3269">
        <w:t xml:space="preserve"> </w:t>
      </w:r>
      <w:r w:rsidR="005F3C9B" w:rsidRPr="004A3269">
        <w:t xml:space="preserve"> </w:t>
      </w:r>
      <w:r w:rsidRPr="004A3269">
        <w:t>Selon le mandat</w:t>
      </w:r>
      <w:r w:rsidR="009021AA" w:rsidRPr="004A3269">
        <w:t xml:space="preserve"> du CIC</w:t>
      </w:r>
      <w:r w:rsidRPr="004A3269">
        <w:t>, les organisations partenaires sont responsables de certaines obligations découlant des opérations</w:t>
      </w:r>
      <w:r w:rsidR="009021AA" w:rsidRPr="004A3269">
        <w:t xml:space="preserve"> du CIC</w:t>
      </w:r>
      <w:r w:rsidRPr="004A3269">
        <w:t xml:space="preserve"> qui leur sont confiées.</w:t>
      </w:r>
    </w:p>
    <w:p w:rsidR="00267140" w:rsidRPr="004A3269" w:rsidRDefault="00267140" w:rsidP="009A7CC8">
      <w:pPr>
        <w:pStyle w:val="style30"/>
        <w:spacing w:after="0"/>
      </w:pPr>
    </w:p>
    <w:p w:rsidR="009021AA" w:rsidRPr="004A3269" w:rsidRDefault="006E3997" w:rsidP="006E3997">
      <w:pPr>
        <w:pStyle w:val="style30"/>
        <w:spacing w:after="0"/>
      </w:pPr>
      <w:r w:rsidRPr="004A3269">
        <w:t>L</w:t>
      </w:r>
      <w:r w:rsidR="009021AA" w:rsidRPr="004A3269">
        <w:t>’</w:t>
      </w:r>
      <w:r w:rsidRPr="004A3269">
        <w:t>OMPI est liée par des engagements contractuels concernant des baux non résiliables, qui font l</w:t>
      </w:r>
      <w:r w:rsidR="009021AA" w:rsidRPr="004A3269">
        <w:t>’</w:t>
      </w:r>
      <w:r w:rsidRPr="004A3269">
        <w:t xml:space="preserve">objet de la note </w:t>
      </w:r>
      <w:r w:rsidR="005F3C9B" w:rsidRPr="004A3269">
        <w:t>n° </w:t>
      </w:r>
      <w:r w:rsidRPr="004A3269">
        <w:t>19.</w:t>
      </w:r>
    </w:p>
    <w:p w:rsidR="00267140" w:rsidRDefault="00267140" w:rsidP="00D602C9">
      <w:pPr>
        <w:pStyle w:val="Style3"/>
        <w:spacing w:after="0"/>
        <w:rPr>
          <w:szCs w:val="22"/>
        </w:rPr>
      </w:pPr>
    </w:p>
    <w:p w:rsidR="00B7582E" w:rsidRPr="004A3269" w:rsidRDefault="00B7582E" w:rsidP="00D602C9">
      <w:pPr>
        <w:pStyle w:val="Style3"/>
        <w:spacing w:after="0"/>
        <w:rPr>
          <w:szCs w:val="22"/>
        </w:rPr>
      </w:pPr>
    </w:p>
    <w:p w:rsidR="00267140" w:rsidRPr="004A3269" w:rsidRDefault="005F3C9B" w:rsidP="005F3C9B">
      <w:pPr>
        <w:pStyle w:val="StyleHeading211ptNotBoldNotItalicAllcaps"/>
        <w:tabs>
          <w:tab w:val="left" w:pos="1701"/>
        </w:tabs>
        <w:spacing w:before="0" w:after="0"/>
        <w:rPr>
          <w:szCs w:val="22"/>
        </w:rPr>
      </w:pPr>
      <w:r w:rsidRPr="004A3269">
        <w:rPr>
          <w:b/>
          <w:i w:val="0"/>
          <w:szCs w:val="22"/>
        </w:rPr>
        <w:t>NOTE N°</w:t>
      </w:r>
      <w:r w:rsidRPr="004A3269">
        <w:rPr>
          <w:i w:val="0"/>
          <w:szCs w:val="22"/>
        </w:rPr>
        <w:t xml:space="preserve"> </w:t>
      </w:r>
      <w:r w:rsidRPr="004A3269">
        <w:rPr>
          <w:b/>
          <w:i w:val="0"/>
          <w:szCs w:val="22"/>
        </w:rPr>
        <w:t>19</w:t>
      </w:r>
      <w:r w:rsidR="00A0797A" w:rsidRPr="004A3269">
        <w:rPr>
          <w:i w:val="0"/>
          <w:szCs w:val="22"/>
        </w:rPr>
        <w:t> :</w:t>
      </w:r>
      <w:r w:rsidRPr="004A3269">
        <w:rPr>
          <w:b/>
          <w:i w:val="0"/>
          <w:szCs w:val="22"/>
        </w:rPr>
        <w:t xml:space="preserve"> </w:t>
      </w:r>
      <w:r w:rsidRPr="004A3269">
        <w:rPr>
          <w:b/>
          <w:i w:val="0"/>
          <w:szCs w:val="22"/>
        </w:rPr>
        <w:tab/>
        <w:t>CONTRATS DE LOCATION</w:t>
      </w:r>
    </w:p>
    <w:p w:rsidR="00267140" w:rsidRPr="00B7582E" w:rsidRDefault="00267140" w:rsidP="004E7EB2">
      <w:pPr>
        <w:jc w:val="both"/>
        <w:rPr>
          <w:szCs w:val="22"/>
        </w:rPr>
      </w:pPr>
    </w:p>
    <w:p w:rsidR="00267140" w:rsidRPr="004A3269" w:rsidRDefault="00E30492" w:rsidP="004E7EB2">
      <w:pPr>
        <w:jc w:val="both"/>
        <w:rPr>
          <w:b/>
          <w:i/>
          <w:szCs w:val="22"/>
        </w:rPr>
      </w:pPr>
      <w:r w:rsidRPr="004A3269">
        <w:rPr>
          <w:b/>
          <w:i/>
          <w:szCs w:val="22"/>
        </w:rPr>
        <w:t>L</w:t>
      </w:r>
      <w:r w:rsidR="009021AA" w:rsidRPr="004A3269">
        <w:rPr>
          <w:b/>
          <w:i/>
          <w:szCs w:val="22"/>
        </w:rPr>
        <w:t>’</w:t>
      </w:r>
      <w:r w:rsidRPr="004A3269">
        <w:rPr>
          <w:b/>
          <w:i/>
          <w:szCs w:val="22"/>
        </w:rPr>
        <w:t xml:space="preserve">OMPI en tant que </w:t>
      </w:r>
      <w:r w:rsidR="00892216" w:rsidRPr="004A3269">
        <w:rPr>
          <w:b/>
          <w:i/>
          <w:szCs w:val="22"/>
        </w:rPr>
        <w:t>locataire</w:t>
      </w:r>
    </w:p>
    <w:p w:rsidR="00267140" w:rsidRPr="004A3269" w:rsidRDefault="006E3997" w:rsidP="006E3997">
      <w:pPr>
        <w:pStyle w:val="Style3"/>
        <w:spacing w:after="0"/>
      </w:pPr>
      <w:r w:rsidRPr="004A3269">
        <w:t>L</w:t>
      </w:r>
      <w:r w:rsidR="009021AA" w:rsidRPr="004A3269">
        <w:t>’</w:t>
      </w:r>
      <w:r w:rsidRPr="004A3269">
        <w:t>Organisation est titulaire d</w:t>
      </w:r>
      <w:r w:rsidR="009021AA" w:rsidRPr="004A3269">
        <w:t>’</w:t>
      </w:r>
      <w:r w:rsidRPr="004A3269">
        <w:t>un certain nombre de contrats de location offrant des espaces, des lieux de stockage et des installations spécialisées complémentaires à Genève.</w:t>
      </w:r>
      <w:r w:rsidR="00EA3B36" w:rsidRPr="004A3269">
        <w:t xml:space="preserve">  </w:t>
      </w:r>
      <w:r w:rsidRPr="004A3269">
        <w:t>Elle loue aussi des espaces pour ses bur</w:t>
      </w:r>
      <w:r w:rsidR="004A3269" w:rsidRPr="004A3269">
        <w:t>eaux extérieurs à New </w:t>
      </w:r>
      <w:r w:rsidRPr="004A3269">
        <w:t>York, Rio de Janeiro et Tokyo.</w:t>
      </w:r>
      <w:r w:rsidR="00EA3B36" w:rsidRPr="004A3269">
        <w:t xml:space="preserve">  </w:t>
      </w:r>
      <w:r w:rsidR="00DC449E" w:rsidRPr="004A3269">
        <w:rPr>
          <w:rStyle w:val="hps"/>
        </w:rPr>
        <w:t>Le montant</w:t>
      </w:r>
      <w:r w:rsidR="00035C6C" w:rsidRPr="004A3269">
        <w:t xml:space="preserve"> </w:t>
      </w:r>
      <w:r w:rsidR="00035C6C" w:rsidRPr="004A3269">
        <w:rPr>
          <w:rStyle w:val="hps"/>
        </w:rPr>
        <w:t>des</w:t>
      </w:r>
      <w:r w:rsidR="00035C6C" w:rsidRPr="004A3269">
        <w:t xml:space="preserve"> futurs </w:t>
      </w:r>
      <w:r w:rsidR="00DC449E" w:rsidRPr="004A3269">
        <w:rPr>
          <w:rStyle w:val="hps"/>
        </w:rPr>
        <w:t>loyers</w:t>
      </w:r>
      <w:r w:rsidR="00035C6C" w:rsidRPr="004A3269">
        <w:rPr>
          <w:rStyle w:val="hps"/>
        </w:rPr>
        <w:t xml:space="preserve"> minimum au titre des</w:t>
      </w:r>
      <w:r w:rsidR="00035C6C" w:rsidRPr="004A3269">
        <w:t xml:space="preserve"> </w:t>
      </w:r>
      <w:r w:rsidR="00035C6C" w:rsidRPr="004A3269">
        <w:rPr>
          <w:rStyle w:val="hps"/>
        </w:rPr>
        <w:t>contrats de location</w:t>
      </w:r>
      <w:r w:rsidR="00035C6C" w:rsidRPr="004A3269">
        <w:t xml:space="preserve"> non résiliables </w:t>
      </w:r>
      <w:r w:rsidR="00035C6C" w:rsidRPr="004A3269">
        <w:rPr>
          <w:rStyle w:val="hps"/>
        </w:rPr>
        <w:t>se présente comme suit :</w:t>
      </w:r>
    </w:p>
    <w:p w:rsidR="00267140" w:rsidRPr="004A3269" w:rsidRDefault="00267140" w:rsidP="007C6D77">
      <w:pPr>
        <w:pStyle w:val="Style3"/>
        <w:spacing w:after="0"/>
        <w:rPr>
          <w:szCs w:val="22"/>
        </w:rPr>
      </w:pPr>
    </w:p>
    <w:p w:rsidR="00267140" w:rsidRPr="004A3269" w:rsidRDefault="00150F95" w:rsidP="00480EF6">
      <w:pPr>
        <w:pStyle w:val="Style3"/>
        <w:spacing w:after="0"/>
        <w:jc w:val="center"/>
        <w:rPr>
          <w:rFonts w:ascii="Times New Roman" w:hAnsi="Times New Roman"/>
          <w:sz w:val="20"/>
        </w:rPr>
      </w:pPr>
      <w:r w:rsidRPr="004A3269">
        <w:rPr>
          <w:noProof/>
          <w:lang w:val="en-US"/>
        </w:rPr>
        <w:lastRenderedPageBreak/>
        <w:drawing>
          <wp:inline distT="0" distB="0" distL="0" distR="0" wp14:anchorId="2CA7BD6C" wp14:editId="3A1A9A2C">
            <wp:extent cx="5977255" cy="1266256"/>
            <wp:effectExtent l="0" t="0" r="444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77255" cy="1266256"/>
                    </a:xfrm>
                    <a:prstGeom prst="rect">
                      <a:avLst/>
                    </a:prstGeom>
                    <a:noFill/>
                    <a:ln>
                      <a:noFill/>
                    </a:ln>
                  </pic:spPr>
                </pic:pic>
              </a:graphicData>
            </a:graphic>
          </wp:inline>
        </w:drawing>
      </w:r>
    </w:p>
    <w:p w:rsidR="00150F95" w:rsidRPr="004A3269" w:rsidRDefault="00150F95" w:rsidP="00150F95"/>
    <w:p w:rsidR="00267140" w:rsidRPr="004A3269" w:rsidRDefault="00035C6C" w:rsidP="00901633">
      <w:pPr>
        <w:pStyle w:val="Style3"/>
        <w:spacing w:after="0"/>
      </w:pPr>
      <w:r w:rsidRPr="004A3269">
        <w:rPr>
          <w:rStyle w:val="hps"/>
        </w:rPr>
        <w:t>L</w:t>
      </w:r>
      <w:r w:rsidR="009021AA" w:rsidRPr="004A3269">
        <w:rPr>
          <w:rStyle w:val="hps"/>
        </w:rPr>
        <w:t>’</w:t>
      </w:r>
      <w:r w:rsidRPr="004A3269">
        <w:rPr>
          <w:rStyle w:val="hps"/>
        </w:rPr>
        <w:t>Organisation a également</w:t>
      </w:r>
      <w:r w:rsidRPr="004A3269">
        <w:t xml:space="preserve"> </w:t>
      </w:r>
      <w:r w:rsidRPr="004A3269">
        <w:rPr>
          <w:rStyle w:val="hps"/>
        </w:rPr>
        <w:t xml:space="preserve">conclu un accord </w:t>
      </w:r>
      <w:r w:rsidR="00DC449E" w:rsidRPr="004A3269">
        <w:rPr>
          <w:rStyle w:val="hps"/>
        </w:rPr>
        <w:t>pour la</w:t>
      </w:r>
      <w:r w:rsidRPr="004A3269">
        <w:rPr>
          <w:rStyle w:val="hps"/>
        </w:rPr>
        <w:t xml:space="preserve"> location d</w:t>
      </w:r>
      <w:r w:rsidR="009021AA" w:rsidRPr="004A3269">
        <w:rPr>
          <w:rStyle w:val="hps"/>
        </w:rPr>
        <w:t>’</w:t>
      </w:r>
      <w:r w:rsidRPr="004A3269">
        <w:t xml:space="preserve">un immeuble </w:t>
      </w:r>
      <w:r w:rsidRPr="004A3269">
        <w:rPr>
          <w:rStyle w:val="hps"/>
        </w:rPr>
        <w:t>de la Fondation</w:t>
      </w:r>
      <w:r w:rsidRPr="004A3269">
        <w:t xml:space="preserve"> </w:t>
      </w:r>
      <w:r w:rsidRPr="004A3269">
        <w:rPr>
          <w:rStyle w:val="hps"/>
        </w:rPr>
        <w:t>du Centre international</w:t>
      </w:r>
      <w:r w:rsidRPr="004A3269">
        <w:t xml:space="preserve"> </w:t>
      </w:r>
      <w:r w:rsidRPr="004A3269">
        <w:rPr>
          <w:rStyle w:val="hps"/>
        </w:rPr>
        <w:t>Genève</w:t>
      </w:r>
      <w:r w:rsidRPr="004A3269">
        <w:t xml:space="preserve"> </w:t>
      </w:r>
      <w:r w:rsidRPr="004A3269">
        <w:rPr>
          <w:rStyle w:val="hps"/>
        </w:rPr>
        <w:t>(</w:t>
      </w:r>
      <w:r w:rsidRPr="004A3269">
        <w:t xml:space="preserve">FCIG).  </w:t>
      </w:r>
      <w:r w:rsidRPr="004A3269">
        <w:rPr>
          <w:rStyle w:val="hps"/>
        </w:rPr>
        <w:t>Les</w:t>
      </w:r>
      <w:r w:rsidRPr="004A3269">
        <w:t xml:space="preserve"> </w:t>
      </w:r>
      <w:r w:rsidRPr="004A3269">
        <w:rPr>
          <w:rStyle w:val="hps"/>
        </w:rPr>
        <w:t>détails de cet accord</w:t>
      </w:r>
      <w:r w:rsidRPr="004A3269">
        <w:t xml:space="preserve">, </w:t>
      </w:r>
      <w:r w:rsidR="009021AA" w:rsidRPr="004A3269">
        <w:rPr>
          <w:rStyle w:val="hps"/>
        </w:rPr>
        <w:t>y compris</w:t>
      </w:r>
      <w:r w:rsidRPr="004A3269">
        <w:rPr>
          <w:rStyle w:val="hps"/>
        </w:rPr>
        <w:t xml:space="preserve"> </w:t>
      </w:r>
      <w:r w:rsidR="00DC449E" w:rsidRPr="004A3269">
        <w:rPr>
          <w:rStyle w:val="hps"/>
        </w:rPr>
        <w:t>le montant</w:t>
      </w:r>
      <w:r w:rsidRPr="004A3269">
        <w:t xml:space="preserve"> </w:t>
      </w:r>
      <w:r w:rsidRPr="004A3269">
        <w:rPr>
          <w:rStyle w:val="hps"/>
        </w:rPr>
        <w:t>de</w:t>
      </w:r>
      <w:r w:rsidR="00DC449E" w:rsidRPr="004A3269">
        <w:rPr>
          <w:rStyle w:val="hps"/>
        </w:rPr>
        <w:t>s futurs</w:t>
      </w:r>
      <w:r w:rsidRPr="004A3269">
        <w:rPr>
          <w:rStyle w:val="hps"/>
        </w:rPr>
        <w:t xml:space="preserve"> loyers</w:t>
      </w:r>
      <w:r w:rsidRPr="004A3269">
        <w:t xml:space="preserve">, </w:t>
      </w:r>
      <w:r w:rsidR="00DC449E" w:rsidRPr="004A3269">
        <w:rPr>
          <w:rStyle w:val="hps"/>
        </w:rPr>
        <w:t>figurent</w:t>
      </w:r>
      <w:r w:rsidRPr="004A3269">
        <w:rPr>
          <w:rStyle w:val="hps"/>
        </w:rPr>
        <w:t xml:space="preserve"> séparément</w:t>
      </w:r>
      <w:r w:rsidRPr="004A3269">
        <w:t xml:space="preserve"> </w:t>
      </w:r>
      <w:r w:rsidRPr="004A3269">
        <w:rPr>
          <w:rStyle w:val="hps"/>
        </w:rPr>
        <w:t>dans la note</w:t>
      </w:r>
      <w:r w:rsidRPr="004A3269">
        <w:t> </w:t>
      </w:r>
      <w:r w:rsidRPr="004A3269">
        <w:rPr>
          <w:rStyle w:val="hps"/>
        </w:rPr>
        <w:t>10</w:t>
      </w:r>
      <w:r w:rsidR="00CF2237" w:rsidRPr="004A3269">
        <w:t>.</w:t>
      </w:r>
    </w:p>
    <w:p w:rsidR="00267140" w:rsidRPr="004A3269" w:rsidRDefault="00267140" w:rsidP="00901633">
      <w:pPr>
        <w:pStyle w:val="Style3"/>
        <w:spacing w:after="0"/>
      </w:pPr>
    </w:p>
    <w:p w:rsidR="00267140" w:rsidRPr="004A3269" w:rsidRDefault="006E3997" w:rsidP="006E3997">
      <w:pPr>
        <w:pStyle w:val="Style3"/>
        <w:spacing w:after="0"/>
      </w:pPr>
      <w:r w:rsidRPr="004A3269">
        <w:t>L</w:t>
      </w:r>
      <w:r w:rsidR="009021AA" w:rsidRPr="004A3269">
        <w:t>’</w:t>
      </w:r>
      <w:r w:rsidRPr="004A3269">
        <w:t>Organisation n</w:t>
      </w:r>
      <w:r w:rsidR="009021AA" w:rsidRPr="004A3269">
        <w:t>’</w:t>
      </w:r>
      <w:r w:rsidRPr="004A3269">
        <w:t>est titulaire d</w:t>
      </w:r>
      <w:r w:rsidR="009021AA" w:rsidRPr="004A3269">
        <w:t>’</w:t>
      </w:r>
      <w:r w:rsidRPr="004A3269">
        <w:t>aucun autre contrat de location pouvant être considéré en tant que contrat de location à la date d</w:t>
      </w:r>
      <w:r w:rsidR="009021AA" w:rsidRPr="004A3269">
        <w:t>’</w:t>
      </w:r>
      <w:r w:rsidRPr="004A3269">
        <w:t>établissement des états financiers.</w:t>
      </w:r>
      <w:r w:rsidR="00164B13" w:rsidRPr="004A3269">
        <w:t xml:space="preserve">  </w:t>
      </w:r>
      <w:r w:rsidRPr="004A3269">
        <w:t>Le montant total des paiements au titre de la location comptabilisé en tant que dépense au cours de la période d</w:t>
      </w:r>
      <w:r w:rsidR="009021AA" w:rsidRPr="004A3269">
        <w:t>’</w:t>
      </w:r>
      <w:r w:rsidRPr="004A3269">
        <w:t>établissement de</w:t>
      </w:r>
      <w:r w:rsidR="005F3C9B" w:rsidRPr="004A3269">
        <w:t xml:space="preserve">s états financiers était de </w:t>
      </w:r>
      <w:r w:rsidR="00A0797A" w:rsidRPr="004A3269">
        <w:t>1,9 million</w:t>
      </w:r>
      <w:r w:rsidR="005F3C9B" w:rsidRPr="004A3269">
        <w:t xml:space="preserve"> de francs suisses [contre 2,0 </w:t>
      </w:r>
      <w:r w:rsidRPr="004A3269">
        <w:t>millions de francs suisses en</w:t>
      </w:r>
      <w:r w:rsidR="00067463" w:rsidRPr="004A3269">
        <w:t> </w:t>
      </w:r>
      <w:r w:rsidRPr="004A3269">
        <w:t>2013].</w:t>
      </w:r>
    </w:p>
    <w:p w:rsidR="00267140" w:rsidRPr="004A3269" w:rsidRDefault="00267140" w:rsidP="00901633">
      <w:pPr>
        <w:pStyle w:val="Style3"/>
        <w:spacing w:after="0"/>
      </w:pPr>
    </w:p>
    <w:p w:rsidR="00267140" w:rsidRPr="004A3269" w:rsidRDefault="00035C6C" w:rsidP="00901633">
      <w:pPr>
        <w:pStyle w:val="Style3"/>
        <w:spacing w:after="0"/>
        <w:rPr>
          <w:b/>
          <w:i/>
        </w:rPr>
      </w:pPr>
      <w:r w:rsidRPr="004A3269">
        <w:rPr>
          <w:b/>
          <w:i/>
        </w:rPr>
        <w:t>L</w:t>
      </w:r>
      <w:r w:rsidR="009021AA" w:rsidRPr="004A3269">
        <w:rPr>
          <w:b/>
          <w:i/>
        </w:rPr>
        <w:t>’</w:t>
      </w:r>
      <w:r w:rsidRPr="004A3269">
        <w:rPr>
          <w:b/>
          <w:i/>
        </w:rPr>
        <w:t>OMPI en tant que bailleur</w:t>
      </w:r>
    </w:p>
    <w:p w:rsidR="00267140" w:rsidRPr="004A3269" w:rsidRDefault="00035C6C" w:rsidP="00901633">
      <w:pPr>
        <w:pStyle w:val="Style3"/>
        <w:spacing w:after="0"/>
      </w:pPr>
      <w:r w:rsidRPr="004A3269">
        <w:rPr>
          <w:rStyle w:val="hps"/>
        </w:rPr>
        <w:t>L</w:t>
      </w:r>
      <w:r w:rsidR="009021AA" w:rsidRPr="004A3269">
        <w:rPr>
          <w:rStyle w:val="hps"/>
        </w:rPr>
        <w:t>’</w:t>
      </w:r>
      <w:r w:rsidRPr="004A3269">
        <w:rPr>
          <w:rStyle w:val="hps"/>
        </w:rPr>
        <w:t>Organisation a</w:t>
      </w:r>
      <w:r w:rsidRPr="004A3269">
        <w:t xml:space="preserve"> </w:t>
      </w:r>
      <w:r w:rsidRPr="004A3269">
        <w:rPr>
          <w:rStyle w:val="hps"/>
        </w:rPr>
        <w:t>conclu un certain nombre</w:t>
      </w:r>
      <w:r w:rsidRPr="004A3269">
        <w:t xml:space="preserve"> </w:t>
      </w:r>
      <w:r w:rsidRPr="004A3269">
        <w:rPr>
          <w:rStyle w:val="hps"/>
        </w:rPr>
        <w:t>d</w:t>
      </w:r>
      <w:r w:rsidR="009021AA" w:rsidRPr="004A3269">
        <w:rPr>
          <w:rStyle w:val="hps"/>
        </w:rPr>
        <w:t>’</w:t>
      </w:r>
      <w:r w:rsidRPr="004A3269">
        <w:rPr>
          <w:rStyle w:val="hps"/>
        </w:rPr>
        <w:t xml:space="preserve">accords </w:t>
      </w:r>
      <w:r w:rsidR="00AD3B02" w:rsidRPr="004A3269">
        <w:rPr>
          <w:rStyle w:val="hps"/>
        </w:rPr>
        <w:t>lui permettant de louer</w:t>
      </w:r>
      <w:r w:rsidRPr="004A3269">
        <w:rPr>
          <w:rStyle w:val="hps"/>
        </w:rPr>
        <w:t xml:space="preserve"> </w:t>
      </w:r>
      <w:r w:rsidR="00AD3B02" w:rsidRPr="004A3269">
        <w:rPr>
          <w:rStyle w:val="hps"/>
        </w:rPr>
        <w:t>à des tiers des</w:t>
      </w:r>
      <w:r w:rsidRPr="004A3269">
        <w:rPr>
          <w:rStyle w:val="hps"/>
        </w:rPr>
        <w:t xml:space="preserve"> espace</w:t>
      </w:r>
      <w:r w:rsidR="00AD3B02" w:rsidRPr="004A3269">
        <w:rPr>
          <w:rStyle w:val="hps"/>
        </w:rPr>
        <w:t xml:space="preserve">s </w:t>
      </w:r>
      <w:r w:rsidR="00892216" w:rsidRPr="004A3269">
        <w:rPr>
          <w:rStyle w:val="hps"/>
        </w:rPr>
        <w:t xml:space="preserve">situés </w:t>
      </w:r>
      <w:r w:rsidR="00AD3B02" w:rsidRPr="004A3269">
        <w:rPr>
          <w:rStyle w:val="hps"/>
        </w:rPr>
        <w:t>à l</w:t>
      </w:r>
      <w:r w:rsidR="009021AA" w:rsidRPr="004A3269">
        <w:rPr>
          <w:rStyle w:val="hps"/>
        </w:rPr>
        <w:t>’</w:t>
      </w:r>
      <w:r w:rsidR="00AD3B02" w:rsidRPr="004A3269">
        <w:rPr>
          <w:rStyle w:val="hps"/>
        </w:rPr>
        <w:t xml:space="preserve">intérieur des locaux de son </w:t>
      </w:r>
      <w:r w:rsidRPr="004A3269">
        <w:rPr>
          <w:rStyle w:val="hps"/>
        </w:rPr>
        <w:t>siège</w:t>
      </w:r>
      <w:r w:rsidR="00AD3B02" w:rsidRPr="004A3269">
        <w:rPr>
          <w:rStyle w:val="hps"/>
        </w:rPr>
        <w:t xml:space="preserve"> social</w:t>
      </w:r>
      <w:r w:rsidRPr="004A3269">
        <w:t xml:space="preserve">. </w:t>
      </w:r>
      <w:r w:rsidR="00AD3B02" w:rsidRPr="004A3269">
        <w:t xml:space="preserve"> </w:t>
      </w:r>
      <w:r w:rsidRPr="004A3269">
        <w:rPr>
          <w:rStyle w:val="hps"/>
        </w:rPr>
        <w:t xml:space="preserve">Ces </w:t>
      </w:r>
      <w:r w:rsidR="00AD3B02" w:rsidRPr="004A3269">
        <w:rPr>
          <w:rStyle w:val="hps"/>
        </w:rPr>
        <w:t>baux</w:t>
      </w:r>
      <w:r w:rsidRPr="004A3269">
        <w:t xml:space="preserve"> </w:t>
      </w:r>
      <w:r w:rsidRPr="004A3269">
        <w:rPr>
          <w:rStyle w:val="hps"/>
        </w:rPr>
        <w:t>sont résiliable</w:t>
      </w:r>
      <w:r w:rsidR="00AD3B02" w:rsidRPr="004A3269">
        <w:t xml:space="preserve">s </w:t>
      </w:r>
      <w:r w:rsidR="00AD3B02" w:rsidRPr="004A3269">
        <w:rPr>
          <w:rStyle w:val="hps"/>
        </w:rPr>
        <w:t>après expiration des délais de préavis</w:t>
      </w:r>
      <w:r w:rsidRPr="004A3269">
        <w:rPr>
          <w:rStyle w:val="hps"/>
        </w:rPr>
        <w:t xml:space="preserve"> </w:t>
      </w:r>
      <w:r w:rsidR="00AD3B02" w:rsidRPr="004A3269">
        <w:t xml:space="preserve">prévus par lesdits </w:t>
      </w:r>
      <w:r w:rsidRPr="004A3269">
        <w:rPr>
          <w:rStyle w:val="hps"/>
        </w:rPr>
        <w:t>accords</w:t>
      </w:r>
      <w:r w:rsidRPr="004A3269">
        <w:t xml:space="preserve">. </w:t>
      </w:r>
      <w:r w:rsidR="00AD3B02" w:rsidRPr="004A3269">
        <w:t xml:space="preserve"> </w:t>
      </w:r>
      <w:r w:rsidRPr="004A3269">
        <w:rPr>
          <w:rStyle w:val="hps"/>
        </w:rPr>
        <w:t>Le montant</w:t>
      </w:r>
      <w:r w:rsidRPr="004A3269">
        <w:t xml:space="preserve"> </w:t>
      </w:r>
      <w:r w:rsidRPr="004A3269">
        <w:rPr>
          <w:rStyle w:val="hps"/>
        </w:rPr>
        <w:t>total des revenus locatifs</w:t>
      </w:r>
      <w:r w:rsidRPr="004A3269">
        <w:t xml:space="preserve"> </w:t>
      </w:r>
      <w:r w:rsidR="00AD3B02" w:rsidRPr="004A3269">
        <w:t xml:space="preserve">issus </w:t>
      </w:r>
      <w:r w:rsidRPr="004A3269">
        <w:rPr>
          <w:rStyle w:val="hps"/>
        </w:rPr>
        <w:t>de ces</w:t>
      </w:r>
      <w:r w:rsidRPr="004A3269">
        <w:t xml:space="preserve"> </w:t>
      </w:r>
      <w:r w:rsidR="00AD3B02" w:rsidRPr="004A3269">
        <w:rPr>
          <w:rStyle w:val="hps"/>
        </w:rPr>
        <w:t>contrats</w:t>
      </w:r>
      <w:r w:rsidRPr="004A3269">
        <w:t xml:space="preserve"> </w:t>
      </w:r>
      <w:r w:rsidR="00AD3B02" w:rsidRPr="004A3269">
        <w:rPr>
          <w:rStyle w:val="hps"/>
        </w:rPr>
        <w:t>au cours de</w:t>
      </w:r>
      <w:r w:rsidRPr="004A3269">
        <w:t xml:space="preserve"> </w:t>
      </w:r>
      <w:r w:rsidRPr="004A3269">
        <w:rPr>
          <w:rStyle w:val="hps"/>
        </w:rPr>
        <w:t>la période de référence</w:t>
      </w:r>
      <w:r w:rsidRPr="004A3269">
        <w:t xml:space="preserve"> </w:t>
      </w:r>
      <w:r w:rsidRPr="004A3269">
        <w:rPr>
          <w:rStyle w:val="hps"/>
        </w:rPr>
        <w:t>était de 0,6</w:t>
      </w:r>
      <w:r w:rsidR="00AD3B02" w:rsidRPr="004A3269">
        <w:t> </w:t>
      </w:r>
      <w:r w:rsidR="00AD3B02" w:rsidRPr="004A3269">
        <w:rPr>
          <w:rStyle w:val="hps"/>
        </w:rPr>
        <w:t xml:space="preserve">million </w:t>
      </w:r>
      <w:r w:rsidRPr="004A3269">
        <w:rPr>
          <w:rStyle w:val="hps"/>
        </w:rPr>
        <w:t>de francs suisses</w:t>
      </w:r>
      <w:r w:rsidRPr="004A3269">
        <w:t xml:space="preserve"> </w:t>
      </w:r>
      <w:r w:rsidRPr="004A3269">
        <w:rPr>
          <w:rStyle w:val="hps"/>
        </w:rPr>
        <w:t>[</w:t>
      </w:r>
      <w:r w:rsidR="00AD3B02" w:rsidRPr="004A3269">
        <w:t>0,6 million</w:t>
      </w:r>
      <w:r w:rsidRPr="004A3269">
        <w:t xml:space="preserve"> de </w:t>
      </w:r>
      <w:r w:rsidRPr="004A3269">
        <w:rPr>
          <w:rStyle w:val="hps"/>
        </w:rPr>
        <w:t>francs suisses</w:t>
      </w:r>
      <w:r w:rsidRPr="004A3269">
        <w:t xml:space="preserve"> </w:t>
      </w:r>
      <w:r w:rsidR="00AD3B02" w:rsidRPr="004A3269">
        <w:rPr>
          <w:rStyle w:val="hps"/>
        </w:rPr>
        <w:t>en </w:t>
      </w:r>
      <w:r w:rsidRPr="004A3269">
        <w:rPr>
          <w:rStyle w:val="hps"/>
        </w:rPr>
        <w:t>2013</w:t>
      </w:r>
      <w:r w:rsidRPr="004A3269">
        <w:t xml:space="preserve">]. </w:t>
      </w:r>
      <w:r w:rsidR="00AD3B02" w:rsidRPr="004A3269">
        <w:t xml:space="preserve"> </w:t>
      </w:r>
      <w:r w:rsidRPr="004A3269">
        <w:rPr>
          <w:rStyle w:val="hps"/>
        </w:rPr>
        <w:t>L</w:t>
      </w:r>
      <w:r w:rsidR="009021AA" w:rsidRPr="004A3269">
        <w:rPr>
          <w:rStyle w:val="hps"/>
        </w:rPr>
        <w:t>’</w:t>
      </w:r>
      <w:r w:rsidRPr="004A3269">
        <w:rPr>
          <w:rStyle w:val="hps"/>
        </w:rPr>
        <w:t>Organisation</w:t>
      </w:r>
      <w:r w:rsidRPr="004A3269">
        <w:t xml:space="preserve"> </w:t>
      </w:r>
      <w:r w:rsidRPr="004A3269">
        <w:rPr>
          <w:rStyle w:val="hps"/>
        </w:rPr>
        <w:t>loue</w:t>
      </w:r>
      <w:r w:rsidRPr="004A3269">
        <w:t xml:space="preserve"> </w:t>
      </w:r>
      <w:r w:rsidRPr="004A3269">
        <w:rPr>
          <w:rStyle w:val="hps"/>
        </w:rPr>
        <w:t>également des appartements</w:t>
      </w:r>
      <w:r w:rsidRPr="004A3269">
        <w:t xml:space="preserve">, un parking </w:t>
      </w:r>
      <w:r w:rsidRPr="004A3269">
        <w:rPr>
          <w:rStyle w:val="hps"/>
        </w:rPr>
        <w:t>et d</w:t>
      </w:r>
      <w:r w:rsidR="009021AA" w:rsidRPr="004A3269">
        <w:rPr>
          <w:rStyle w:val="hps"/>
        </w:rPr>
        <w:t>’</w:t>
      </w:r>
      <w:r w:rsidRPr="004A3269">
        <w:rPr>
          <w:rStyle w:val="hps"/>
        </w:rPr>
        <w:t>autres installations</w:t>
      </w:r>
      <w:r w:rsidRPr="004A3269">
        <w:t xml:space="preserve"> </w:t>
      </w:r>
      <w:r w:rsidRPr="004A3269">
        <w:rPr>
          <w:rStyle w:val="hps"/>
        </w:rPr>
        <w:t>dans le bâtiment</w:t>
      </w:r>
      <w:r w:rsidRPr="004A3269">
        <w:t xml:space="preserve"> </w:t>
      </w:r>
      <w:r w:rsidR="00AD3B02" w:rsidRPr="004A3269">
        <w:t>de l</w:t>
      </w:r>
      <w:r w:rsidR="009021AA" w:rsidRPr="004A3269">
        <w:t>’</w:t>
      </w:r>
      <w:r w:rsidRPr="004A3269">
        <w:rPr>
          <w:rStyle w:val="hps"/>
        </w:rPr>
        <w:t>Union de Madrid</w:t>
      </w:r>
      <w:r w:rsidRPr="004A3269">
        <w:t xml:space="preserve">. </w:t>
      </w:r>
      <w:r w:rsidR="00AD3B02" w:rsidRPr="004A3269">
        <w:t xml:space="preserve"> </w:t>
      </w:r>
      <w:r w:rsidRPr="004A3269">
        <w:rPr>
          <w:rStyle w:val="hps"/>
        </w:rPr>
        <w:t>La valeur</w:t>
      </w:r>
      <w:r w:rsidRPr="004A3269">
        <w:t xml:space="preserve"> </w:t>
      </w:r>
      <w:r w:rsidRPr="004A3269">
        <w:rPr>
          <w:rStyle w:val="hps"/>
        </w:rPr>
        <w:t>des</w:t>
      </w:r>
      <w:r w:rsidRPr="004A3269">
        <w:t xml:space="preserve"> </w:t>
      </w:r>
      <w:r w:rsidRPr="004A3269">
        <w:rPr>
          <w:rStyle w:val="hps"/>
        </w:rPr>
        <w:t>contrats non résiliables</w:t>
      </w:r>
      <w:r w:rsidRPr="004A3269">
        <w:t xml:space="preserve"> </w:t>
      </w:r>
      <w:r w:rsidRPr="004A3269">
        <w:rPr>
          <w:rStyle w:val="hps"/>
        </w:rPr>
        <w:t xml:space="preserve">et </w:t>
      </w:r>
      <w:r w:rsidR="00AD3B02" w:rsidRPr="004A3269">
        <w:rPr>
          <w:rStyle w:val="hps"/>
        </w:rPr>
        <w:t>des</w:t>
      </w:r>
      <w:r w:rsidRPr="004A3269">
        <w:rPr>
          <w:rStyle w:val="hps"/>
        </w:rPr>
        <w:t xml:space="preserve"> revenus </w:t>
      </w:r>
      <w:r w:rsidR="00AD3B02" w:rsidRPr="004A3269">
        <w:rPr>
          <w:rStyle w:val="hps"/>
        </w:rPr>
        <w:t>locatifs</w:t>
      </w:r>
      <w:r w:rsidRPr="004A3269">
        <w:rPr>
          <w:rStyle w:val="hps"/>
        </w:rPr>
        <w:t xml:space="preserve"> </w:t>
      </w:r>
      <w:r w:rsidR="00AD3B02" w:rsidRPr="004A3269">
        <w:rPr>
          <w:rStyle w:val="hps"/>
        </w:rPr>
        <w:t>en ce qui concerne</w:t>
      </w:r>
      <w:r w:rsidRPr="004A3269">
        <w:t xml:space="preserve"> </w:t>
      </w:r>
      <w:r w:rsidR="00AD3B02" w:rsidRPr="004A3269">
        <w:rPr>
          <w:rStyle w:val="hps"/>
        </w:rPr>
        <w:t xml:space="preserve">le bâtiment de </w:t>
      </w:r>
      <w:r w:rsidRPr="004A3269">
        <w:rPr>
          <w:rStyle w:val="hps"/>
        </w:rPr>
        <w:t>l</w:t>
      </w:r>
      <w:r w:rsidR="009021AA" w:rsidRPr="004A3269">
        <w:rPr>
          <w:rStyle w:val="hps"/>
        </w:rPr>
        <w:t>’</w:t>
      </w:r>
      <w:r w:rsidRPr="004A3269">
        <w:rPr>
          <w:rStyle w:val="hps"/>
        </w:rPr>
        <w:t>Union</w:t>
      </w:r>
      <w:r w:rsidRPr="004A3269">
        <w:t xml:space="preserve"> </w:t>
      </w:r>
      <w:r w:rsidRPr="004A3269">
        <w:rPr>
          <w:rStyle w:val="hps"/>
        </w:rPr>
        <w:t>de Madrid</w:t>
      </w:r>
      <w:r w:rsidRPr="004A3269">
        <w:t xml:space="preserve"> </w:t>
      </w:r>
      <w:r w:rsidR="00AD3B02" w:rsidRPr="004A3269">
        <w:rPr>
          <w:rStyle w:val="hps"/>
        </w:rPr>
        <w:t xml:space="preserve">est </w:t>
      </w:r>
      <w:proofErr w:type="gramStart"/>
      <w:r w:rsidR="00AD3B02" w:rsidRPr="004A3269">
        <w:rPr>
          <w:rStyle w:val="hps"/>
        </w:rPr>
        <w:t>précisée</w:t>
      </w:r>
      <w:proofErr w:type="gramEnd"/>
      <w:r w:rsidR="00AD3B02" w:rsidRPr="004A3269">
        <w:rPr>
          <w:rStyle w:val="hps"/>
        </w:rPr>
        <w:t xml:space="preserve"> dans</w:t>
      </w:r>
      <w:r w:rsidRPr="004A3269">
        <w:rPr>
          <w:rStyle w:val="hps"/>
        </w:rPr>
        <w:t xml:space="preserve"> la note</w:t>
      </w:r>
      <w:r w:rsidRPr="004A3269">
        <w:t> </w:t>
      </w:r>
      <w:r w:rsidRPr="004A3269">
        <w:rPr>
          <w:rStyle w:val="hps"/>
        </w:rPr>
        <w:t>7.</w:t>
      </w:r>
    </w:p>
    <w:p w:rsidR="00267140" w:rsidRDefault="00267140" w:rsidP="00B7582E"/>
    <w:p w:rsidR="00B7582E" w:rsidRPr="00B7582E" w:rsidRDefault="00B7582E" w:rsidP="00B7582E"/>
    <w:p w:rsidR="00267140" w:rsidRPr="004A3269" w:rsidRDefault="005F3C9B" w:rsidP="005F3C9B">
      <w:pPr>
        <w:pStyle w:val="StyleHeading211ptNotBoldNotItalicAllcaps"/>
        <w:tabs>
          <w:tab w:val="left" w:pos="1701"/>
        </w:tabs>
        <w:spacing w:before="0" w:after="0"/>
        <w:rPr>
          <w:szCs w:val="22"/>
        </w:rPr>
      </w:pPr>
      <w:r w:rsidRPr="004A3269">
        <w:rPr>
          <w:b/>
          <w:i w:val="0"/>
          <w:szCs w:val="22"/>
        </w:rPr>
        <w:t>NOTE N°</w:t>
      </w:r>
      <w:r w:rsidR="00EB267B" w:rsidRPr="004A3269">
        <w:rPr>
          <w:i w:val="0"/>
          <w:szCs w:val="22"/>
        </w:rPr>
        <w:t> </w:t>
      </w:r>
      <w:r w:rsidRPr="004A3269">
        <w:rPr>
          <w:b/>
          <w:i w:val="0"/>
          <w:szCs w:val="22"/>
        </w:rPr>
        <w:t>20</w:t>
      </w:r>
      <w:r w:rsidR="00A0797A" w:rsidRPr="004A3269">
        <w:rPr>
          <w:i w:val="0"/>
          <w:szCs w:val="22"/>
        </w:rPr>
        <w:t> :</w:t>
      </w:r>
      <w:r w:rsidRPr="004A3269">
        <w:rPr>
          <w:b/>
          <w:i w:val="0"/>
          <w:szCs w:val="22"/>
        </w:rPr>
        <w:t xml:space="preserve"> </w:t>
      </w:r>
      <w:r w:rsidRPr="004A3269">
        <w:rPr>
          <w:b/>
          <w:i w:val="0"/>
          <w:szCs w:val="22"/>
        </w:rPr>
        <w:tab/>
        <w:t>TRANSACTIONS AVEC UNE PARTIE LIÉE</w:t>
      </w:r>
    </w:p>
    <w:p w:rsidR="00267140" w:rsidRPr="004A3269" w:rsidRDefault="00267140" w:rsidP="00901633">
      <w:pPr>
        <w:jc w:val="both"/>
        <w:rPr>
          <w:b/>
          <w:szCs w:val="22"/>
        </w:rPr>
      </w:pPr>
    </w:p>
    <w:p w:rsidR="009021AA" w:rsidRPr="004A3269" w:rsidRDefault="006E3997" w:rsidP="006E3997">
      <w:pPr>
        <w:pStyle w:val="Style3"/>
        <w:spacing w:after="0"/>
      </w:pPr>
      <w:r w:rsidRPr="004A3269">
        <w:t>L</w:t>
      </w:r>
      <w:r w:rsidR="009021AA" w:rsidRPr="004A3269">
        <w:t>’</w:t>
      </w:r>
      <w:r w:rsidRPr="004A3269">
        <w:t>Organisation est régie par l</w:t>
      </w:r>
      <w:r w:rsidR="009021AA" w:rsidRPr="004A3269">
        <w:t>’</w:t>
      </w:r>
      <w:r w:rsidRPr="004A3269">
        <w:t>Assemblée générale de l</w:t>
      </w:r>
      <w:r w:rsidR="009021AA" w:rsidRPr="004A3269">
        <w:t>’</w:t>
      </w:r>
      <w:r w:rsidRPr="004A3269">
        <w:t>OMPI composée de représentants de tous les pays membres.</w:t>
      </w:r>
      <w:r w:rsidR="0070385A" w:rsidRPr="004A3269">
        <w:t xml:space="preserve">  </w:t>
      </w:r>
      <w:r w:rsidRPr="004A3269">
        <w:t>Ils ne reçoivent aucune rémunération de l</w:t>
      </w:r>
      <w:r w:rsidR="009021AA" w:rsidRPr="004A3269">
        <w:t>’</w:t>
      </w:r>
      <w:r w:rsidRPr="004A3269">
        <w:t>Organisation.</w:t>
      </w:r>
      <w:r w:rsidR="0070385A" w:rsidRPr="004A3269">
        <w:t xml:space="preserve"> </w:t>
      </w:r>
      <w:r w:rsidR="005F3C9B" w:rsidRPr="004A3269">
        <w:t xml:space="preserve"> </w:t>
      </w:r>
      <w:r w:rsidRPr="004A3269">
        <w:t>L</w:t>
      </w:r>
      <w:r w:rsidR="009021AA" w:rsidRPr="004A3269">
        <w:t>’</w:t>
      </w:r>
      <w:r w:rsidRPr="004A3269">
        <w:t>Organisation est dirigée par un Directeur général et par des vices et sous</w:t>
      </w:r>
      <w:r w:rsidR="00A17552" w:rsidRPr="004A3269">
        <w:noBreakHyphen/>
      </w:r>
      <w:r w:rsidRPr="004A3269">
        <w:t>directeurs généraux et des administrateurs (les principaux dirigeants) qui sont rémunérés par l</w:t>
      </w:r>
      <w:r w:rsidR="009021AA" w:rsidRPr="004A3269">
        <w:t>’</w:t>
      </w:r>
      <w:r w:rsidRPr="004A3269">
        <w:t>Organisation.</w:t>
      </w:r>
      <w:r w:rsidR="00FD0582" w:rsidRPr="004A3269">
        <w:t xml:space="preserve"> </w:t>
      </w:r>
      <w:r w:rsidR="005F3C9B" w:rsidRPr="004A3269">
        <w:t xml:space="preserve"> </w:t>
      </w:r>
      <w:r w:rsidRPr="004A3269">
        <w:t>La rémunération globale versée aux principaux dirigeants comprend les salaires, les indemnités, les voyages officiels et d</w:t>
      </w:r>
      <w:r w:rsidR="009021AA" w:rsidRPr="004A3269">
        <w:t>’</w:t>
      </w:r>
      <w:r w:rsidRPr="004A3269">
        <w:t>autres prestations versées en conformité avec le Statut et Règlement du personnel applicables à l</w:t>
      </w:r>
      <w:r w:rsidR="009021AA" w:rsidRPr="004A3269">
        <w:t>’</w:t>
      </w:r>
      <w:r w:rsidRPr="004A3269">
        <w:t>ensemble du personnel.</w:t>
      </w:r>
      <w:r w:rsidR="00EB267B" w:rsidRPr="004A3269">
        <w:t xml:space="preserve"> </w:t>
      </w:r>
      <w:r w:rsidR="00FD0582" w:rsidRPr="004A3269">
        <w:t xml:space="preserve"> </w:t>
      </w:r>
      <w:r w:rsidRPr="004A3269">
        <w:t>En outre, le Directeur général, les vice</w:t>
      </w:r>
      <w:r w:rsidR="00A17552" w:rsidRPr="004A3269">
        <w:noBreakHyphen/>
      </w:r>
      <w:r w:rsidRPr="004A3269">
        <w:t>directeurs généraux et les sous</w:t>
      </w:r>
      <w:r w:rsidR="00A17552" w:rsidRPr="004A3269">
        <w:noBreakHyphen/>
      </w:r>
      <w:r w:rsidRPr="004A3269">
        <w:t>directeurs généraux touchent des indemnités de représentation.</w:t>
      </w:r>
      <w:r w:rsidR="005D2F9D" w:rsidRPr="004A3269">
        <w:t xml:space="preserve">  </w:t>
      </w:r>
      <w:r w:rsidRPr="004A3269">
        <w:t xml:space="preserve">Les principaux dirigeants participent à la Caisse commune des pensions du personnel des </w:t>
      </w:r>
      <w:r w:rsidR="009021AA" w:rsidRPr="004A3269">
        <w:t>Nations Unies</w:t>
      </w:r>
      <w:r w:rsidRPr="004A3269">
        <w:t xml:space="preserve"> à laquelle le personnel et l</w:t>
      </w:r>
      <w:r w:rsidR="009021AA" w:rsidRPr="004A3269">
        <w:t>’</w:t>
      </w:r>
      <w:r w:rsidRPr="004A3269">
        <w:t>Organisation contribuent et peuvent également participer à la caisse d</w:t>
      </w:r>
      <w:r w:rsidR="009021AA" w:rsidRPr="004A3269">
        <w:t>’</w:t>
      </w:r>
      <w:r w:rsidRPr="004A3269">
        <w:t>assurance</w:t>
      </w:r>
      <w:r w:rsidR="00A17552" w:rsidRPr="004A3269">
        <w:noBreakHyphen/>
      </w:r>
      <w:r w:rsidRPr="004A3269">
        <w:t xml:space="preserve">maladie du personnel </w:t>
      </w:r>
      <w:r w:rsidR="009021AA" w:rsidRPr="004A3269">
        <w:t>y compris</w:t>
      </w:r>
      <w:r w:rsidRPr="004A3269">
        <w:t xml:space="preserve"> à la caisse d</w:t>
      </w:r>
      <w:r w:rsidR="009021AA" w:rsidRPr="004A3269">
        <w:t>’</w:t>
      </w:r>
      <w:r w:rsidRPr="004A3269">
        <w:t>assurance</w:t>
      </w:r>
      <w:r w:rsidR="00A17552" w:rsidRPr="004A3269">
        <w:noBreakHyphen/>
      </w:r>
      <w:r w:rsidRPr="004A3269">
        <w:t>maladie après la cessation de service s</w:t>
      </w:r>
      <w:r w:rsidR="009021AA" w:rsidRPr="004A3269">
        <w:t>’</w:t>
      </w:r>
      <w:r w:rsidRPr="004A3269">
        <w:t>ils remplissent les conditions requises.</w:t>
      </w:r>
      <w:r w:rsidR="0046326A" w:rsidRPr="004A3269">
        <w:t xml:space="preserve"> </w:t>
      </w:r>
      <w:r w:rsidR="005F3C9B" w:rsidRPr="004A3269">
        <w:t xml:space="preserve"> </w:t>
      </w:r>
      <w:r w:rsidRPr="004A3269">
        <w:t>L</w:t>
      </w:r>
      <w:r w:rsidR="009021AA" w:rsidRPr="004A3269">
        <w:t>’</w:t>
      </w:r>
      <w:r w:rsidRPr="004A3269">
        <w:t>Organisation ne détient aucune participation dans des associations ou des coentreprises et n</w:t>
      </w:r>
      <w:r w:rsidR="009021AA" w:rsidRPr="004A3269">
        <w:t>’</w:t>
      </w:r>
      <w:r w:rsidRPr="004A3269">
        <w:t>a aucune entité contrôlée.</w:t>
      </w:r>
      <w:r w:rsidR="00A06680" w:rsidRPr="004A3269">
        <w:t xml:space="preserve">  </w:t>
      </w:r>
      <w:r w:rsidRPr="004A3269">
        <w:t>L</w:t>
      </w:r>
      <w:r w:rsidR="009021AA" w:rsidRPr="004A3269">
        <w:t>’</w:t>
      </w:r>
      <w:r w:rsidRPr="004A3269">
        <w:t xml:space="preserve">OMPI participe à la Caisse commune des pensions du personnel des </w:t>
      </w:r>
      <w:r w:rsidR="009021AA" w:rsidRPr="004A3269">
        <w:t>Nations Unies</w:t>
      </w:r>
      <w:r w:rsidRPr="004A3269">
        <w:t xml:space="preserve"> et certains de ses anciens </w:t>
      </w:r>
      <w:r w:rsidR="00086A8F" w:rsidRPr="004A3269">
        <w:t>fonctionnaires</w:t>
      </w:r>
      <w:r w:rsidRPr="004A3269">
        <w:t xml:space="preserve"> participent à la Caisse de retraite fermée de l</w:t>
      </w:r>
      <w:r w:rsidR="009021AA" w:rsidRPr="004A3269">
        <w:t>’</w:t>
      </w:r>
      <w:r w:rsidRPr="004A3269">
        <w:t>OMPI.  La relation avec ces deux</w:t>
      </w:r>
      <w:r w:rsidR="00067463" w:rsidRPr="004A3269">
        <w:t> </w:t>
      </w:r>
      <w:r w:rsidRPr="004A3269">
        <w:t>fonds est expl</w:t>
      </w:r>
      <w:r w:rsidR="005F3C9B" w:rsidRPr="004A3269">
        <w:t>iquée en détail dans la note n° </w:t>
      </w:r>
      <w:r w:rsidRPr="004A3269">
        <w:t>12.</w:t>
      </w:r>
    </w:p>
    <w:p w:rsidR="00267140" w:rsidRPr="004A3269" w:rsidRDefault="00267140" w:rsidP="007C6D77">
      <w:pPr>
        <w:pStyle w:val="Style3"/>
        <w:spacing w:after="0"/>
      </w:pPr>
    </w:p>
    <w:p w:rsidR="009021AA" w:rsidRPr="004A3269" w:rsidRDefault="006E3997" w:rsidP="006E3997">
      <w:pPr>
        <w:pStyle w:val="Style3"/>
        <w:spacing w:after="0"/>
      </w:pPr>
      <w:r w:rsidRPr="004A3269">
        <w:t>L</w:t>
      </w:r>
      <w:r w:rsidR="009021AA" w:rsidRPr="004A3269">
        <w:t>’</w:t>
      </w:r>
      <w:r w:rsidRPr="004A3269">
        <w:t>Organisation est liée à l</w:t>
      </w:r>
      <w:r w:rsidR="009021AA" w:rsidRPr="004A3269">
        <w:t>’</w:t>
      </w:r>
      <w:r w:rsidRPr="004A3269">
        <w:t>Union internationale pour la protection des obtentions végétales (UPOV) dont la fonction de secrétaire général est tenue par le Directeur général de l</w:t>
      </w:r>
      <w:r w:rsidR="009021AA" w:rsidRPr="004A3269">
        <w:t>’</w:t>
      </w:r>
      <w:r w:rsidRPr="004A3269">
        <w:t>Organisation.  L</w:t>
      </w:r>
      <w:r w:rsidR="009021AA" w:rsidRPr="004A3269">
        <w:t>’</w:t>
      </w:r>
      <w:r w:rsidRPr="004A3269">
        <w:t>Organisation est chargée de gérer l</w:t>
      </w:r>
      <w:r w:rsidR="009021AA" w:rsidRPr="004A3269">
        <w:t>’</w:t>
      </w:r>
      <w:r w:rsidRPr="004A3269">
        <w:t>espace, le personnel, les finances, les achats et d</w:t>
      </w:r>
      <w:r w:rsidR="009021AA" w:rsidRPr="004A3269">
        <w:t>’</w:t>
      </w:r>
      <w:r w:rsidRPr="004A3269">
        <w:t>autres tâches administratives pour l</w:t>
      </w:r>
      <w:r w:rsidR="009021AA" w:rsidRPr="004A3269">
        <w:t>’</w:t>
      </w:r>
      <w:r w:rsidRPr="004A3269">
        <w:t>UPOV conformément aux dispositions de l</w:t>
      </w:r>
      <w:r w:rsidR="009021AA" w:rsidRPr="004A3269">
        <w:t>’</w:t>
      </w:r>
      <w:r w:rsidRPr="004A3269">
        <w:t>accord entre l</w:t>
      </w:r>
      <w:r w:rsidR="009021AA" w:rsidRPr="004A3269">
        <w:t>’</w:t>
      </w:r>
      <w:r w:rsidRPr="004A3269">
        <w:t>Organ</w:t>
      </w:r>
      <w:r w:rsidR="00EB267B" w:rsidRPr="004A3269">
        <w:t>isation et l</w:t>
      </w:r>
      <w:r w:rsidR="009021AA" w:rsidRPr="004A3269">
        <w:t>’</w:t>
      </w:r>
      <w:r w:rsidR="00EB267B" w:rsidRPr="004A3269">
        <w:t>UPOV en date du 26 novembre </w:t>
      </w:r>
      <w:r w:rsidRPr="004A3269">
        <w:t>1982.</w:t>
      </w:r>
      <w:r w:rsidR="00A06680" w:rsidRPr="004A3269">
        <w:t xml:space="preserve">  </w:t>
      </w:r>
      <w:r w:rsidRPr="004A3269">
        <w:t>L</w:t>
      </w:r>
      <w:r w:rsidR="009021AA" w:rsidRPr="004A3269">
        <w:t>’</w:t>
      </w:r>
      <w:r w:rsidRPr="004A3269">
        <w:t>UPOV rembourse à l</w:t>
      </w:r>
      <w:r w:rsidR="009021AA" w:rsidRPr="004A3269">
        <w:t>’</w:t>
      </w:r>
      <w:r w:rsidRPr="004A3269">
        <w:t>Organisation le coût de ces services conformément aux conditions prévues dans l</w:t>
      </w:r>
      <w:r w:rsidR="009021AA" w:rsidRPr="004A3269">
        <w:t>’</w:t>
      </w:r>
      <w:r w:rsidRPr="004A3269">
        <w:t xml:space="preserve">accord </w:t>
      </w:r>
      <w:r w:rsidRPr="004A3269">
        <w:lastRenderedPageBreak/>
        <w:t xml:space="preserve">susmentionné. </w:t>
      </w:r>
      <w:r w:rsidR="005175CB" w:rsidRPr="004A3269">
        <w:t xml:space="preserve"> </w:t>
      </w:r>
      <w:r w:rsidRPr="004A3269">
        <w:t>Le Conseil de l</w:t>
      </w:r>
      <w:r w:rsidR="009021AA" w:rsidRPr="004A3269">
        <w:t>’</w:t>
      </w:r>
      <w:r w:rsidRPr="004A3269">
        <w:t>UPOV, qui est l</w:t>
      </w:r>
      <w:r w:rsidR="009021AA" w:rsidRPr="004A3269">
        <w:t>’</w:t>
      </w:r>
      <w:r w:rsidRPr="004A3269">
        <w:t>organe directeur de l</w:t>
      </w:r>
      <w:r w:rsidR="009021AA" w:rsidRPr="004A3269">
        <w:t>’</w:t>
      </w:r>
      <w:r w:rsidRPr="004A3269">
        <w:t xml:space="preserve">UPOV, se compose des représentants des parties contractantes à la Convention internationale pour la protection des obtentions végétales du </w:t>
      </w:r>
      <w:r w:rsidR="00A0797A" w:rsidRPr="004A3269">
        <w:t>2 décembre </w:t>
      </w:r>
      <w:r w:rsidRPr="004A3269">
        <w:t xml:space="preserve">1961, révisée. </w:t>
      </w:r>
      <w:r w:rsidR="005175CB" w:rsidRPr="004A3269">
        <w:t xml:space="preserve"> </w:t>
      </w:r>
      <w:r w:rsidRPr="004A3269">
        <w:t>Conformément au Règlement financier et règlement d</w:t>
      </w:r>
      <w:r w:rsidR="009021AA" w:rsidRPr="004A3269">
        <w:t>’</w:t>
      </w:r>
      <w:r w:rsidRPr="004A3269">
        <w:t>exécution de l</w:t>
      </w:r>
      <w:r w:rsidR="009021AA" w:rsidRPr="004A3269">
        <w:t>’</w:t>
      </w:r>
      <w:r w:rsidRPr="004A3269">
        <w:t>UPOV, le Bureau de l</w:t>
      </w:r>
      <w:r w:rsidR="009021AA" w:rsidRPr="004A3269">
        <w:t>’</w:t>
      </w:r>
      <w:r w:rsidRPr="004A3269">
        <w:t>UPOV, composé du secrétaire général de l</w:t>
      </w:r>
      <w:r w:rsidR="009021AA" w:rsidRPr="004A3269">
        <w:t>’</w:t>
      </w:r>
      <w:r w:rsidRPr="004A3269">
        <w:t>UPOV et du personnel, exerce ses fonctions de façon entièrement indépendante de l</w:t>
      </w:r>
      <w:r w:rsidR="009021AA" w:rsidRPr="004A3269">
        <w:t>’</w:t>
      </w:r>
      <w:r w:rsidRPr="004A3269">
        <w:t>Organisation.</w:t>
      </w:r>
    </w:p>
    <w:p w:rsidR="00267140" w:rsidRPr="004A3269" w:rsidRDefault="00267140" w:rsidP="007C6D77">
      <w:pPr>
        <w:pStyle w:val="Style3"/>
        <w:spacing w:after="0"/>
      </w:pPr>
    </w:p>
    <w:p w:rsidR="00267140" w:rsidRPr="004A3269" w:rsidRDefault="006E3997" w:rsidP="006E3997">
      <w:pPr>
        <w:pStyle w:val="Style3"/>
        <w:spacing w:after="0"/>
      </w:pPr>
      <w:r w:rsidRPr="004A3269">
        <w:t>Outre le remboursement intégral de tous les fonds versés par l</w:t>
      </w:r>
      <w:r w:rsidR="009021AA" w:rsidRPr="004A3269">
        <w:t>’</w:t>
      </w:r>
      <w:r w:rsidRPr="004A3269">
        <w:t>Organisation au nom de l</w:t>
      </w:r>
      <w:r w:rsidR="009021AA" w:rsidRPr="004A3269">
        <w:t>’</w:t>
      </w:r>
      <w:r w:rsidRPr="004A3269">
        <w:t>U</w:t>
      </w:r>
      <w:r w:rsidR="00EB267B" w:rsidRPr="004A3269">
        <w:t>POV, l</w:t>
      </w:r>
      <w:r w:rsidR="009021AA" w:rsidRPr="004A3269">
        <w:t>’</w:t>
      </w:r>
      <w:r w:rsidR="00EB267B" w:rsidRPr="004A3269">
        <w:t>Organisation perçoit 618 000 </w:t>
      </w:r>
      <w:r w:rsidRPr="004A3269">
        <w:t>francs suisses par an de l</w:t>
      </w:r>
      <w:r w:rsidR="009021AA" w:rsidRPr="004A3269">
        <w:t>’</w:t>
      </w:r>
      <w:r w:rsidRPr="004A3269">
        <w:t>UPOV pour couvrir les coûts des services fournis en vertu de l</w:t>
      </w:r>
      <w:r w:rsidR="009021AA" w:rsidRPr="004A3269">
        <w:t>’</w:t>
      </w:r>
      <w:r w:rsidRPr="004A3269">
        <w:t>accord entre les deux</w:t>
      </w:r>
      <w:r w:rsidR="00067463" w:rsidRPr="004A3269">
        <w:t> </w:t>
      </w:r>
      <w:r w:rsidRPr="004A3269">
        <w:t>organisations</w:t>
      </w:r>
      <w:r w:rsidR="00A0797A" w:rsidRPr="004A3269">
        <w:t xml:space="preserve">.  </w:t>
      </w:r>
      <w:r w:rsidRPr="004A3269">
        <w:t>Il n</w:t>
      </w:r>
      <w:r w:rsidR="009021AA" w:rsidRPr="004A3269">
        <w:t>’</w:t>
      </w:r>
      <w:r w:rsidRPr="004A3269">
        <w:t>y a eu aucune autre transaction imp</w:t>
      </w:r>
      <w:r w:rsidR="00EB267B" w:rsidRPr="004A3269">
        <w:t>ortante avec une partie liée en </w:t>
      </w:r>
      <w:r w:rsidRPr="004A3269">
        <w:t>2014.</w:t>
      </w:r>
    </w:p>
    <w:p w:rsidR="00267140" w:rsidRPr="004A3269" w:rsidRDefault="00267140" w:rsidP="007C6D77">
      <w:pPr>
        <w:pStyle w:val="Style3"/>
        <w:spacing w:after="0"/>
      </w:pPr>
    </w:p>
    <w:p w:rsidR="00267140" w:rsidRPr="004A3269" w:rsidRDefault="00AD3B02" w:rsidP="006E3997">
      <w:pPr>
        <w:pStyle w:val="Style3"/>
        <w:spacing w:after="0"/>
      </w:pPr>
      <w:r w:rsidRPr="004A3269">
        <w:rPr>
          <w:rStyle w:val="hps"/>
        </w:rPr>
        <w:t>Le tableau ci</w:t>
      </w:r>
      <w:r w:rsidR="00A17552" w:rsidRPr="004A3269">
        <w:rPr>
          <w:rStyle w:val="hps"/>
        </w:rPr>
        <w:noBreakHyphen/>
      </w:r>
      <w:r w:rsidRPr="004A3269">
        <w:rPr>
          <w:rStyle w:val="hps"/>
        </w:rPr>
        <w:t xml:space="preserve">dessous donne des informations détaillées sur les principaux </w:t>
      </w:r>
      <w:r w:rsidR="00035C6C" w:rsidRPr="004A3269">
        <w:rPr>
          <w:rStyle w:val="hps"/>
        </w:rPr>
        <w:t>dirigeants</w:t>
      </w:r>
      <w:r w:rsidR="00035C6C" w:rsidRPr="004A3269">
        <w:t xml:space="preserve"> </w:t>
      </w:r>
      <w:r w:rsidR="00035C6C" w:rsidRPr="004A3269">
        <w:rPr>
          <w:rStyle w:val="hps"/>
        </w:rPr>
        <w:t>et leur</w:t>
      </w:r>
      <w:r w:rsidR="00035C6C" w:rsidRPr="004A3269">
        <w:t xml:space="preserve"> </w:t>
      </w:r>
      <w:r w:rsidRPr="004A3269">
        <w:t xml:space="preserve">enveloppe de </w:t>
      </w:r>
      <w:r w:rsidR="00035C6C" w:rsidRPr="004A3269">
        <w:rPr>
          <w:rStyle w:val="hps"/>
        </w:rPr>
        <w:t>rémunération</w:t>
      </w:r>
      <w:r w:rsidR="00A0797A" w:rsidRPr="004A3269">
        <w:t xml:space="preserve">.  </w:t>
      </w:r>
      <w:r w:rsidR="006E3997" w:rsidRPr="004A3269">
        <w:t>Aucun prêt n</w:t>
      </w:r>
      <w:r w:rsidR="009021AA" w:rsidRPr="004A3269">
        <w:t>’</w:t>
      </w:r>
      <w:r w:rsidR="006E3997" w:rsidRPr="004A3269">
        <w:t>a été accordé à des principaux dirigeants ou à des membres proches de la famille qui ne soit disponible à d</w:t>
      </w:r>
      <w:r w:rsidR="009021AA" w:rsidRPr="004A3269">
        <w:t>’</w:t>
      </w:r>
      <w:r w:rsidR="006E3997" w:rsidRPr="004A3269">
        <w:t>autres catégories de personnel.</w:t>
      </w:r>
      <w:r w:rsidR="00672B09" w:rsidRPr="004A3269">
        <w:t xml:space="preserve">  </w:t>
      </w:r>
      <w:r w:rsidR="006E3997" w:rsidRPr="004A3269">
        <w:t>Aucune autre rémunération ou indemnité n</w:t>
      </w:r>
      <w:r w:rsidR="009021AA" w:rsidRPr="004A3269">
        <w:t>’</w:t>
      </w:r>
      <w:r w:rsidR="006E3997" w:rsidRPr="004A3269">
        <w:t>a été versée à des principaux dirigeants ou à des membres proches de la famille.</w:t>
      </w:r>
    </w:p>
    <w:p w:rsidR="00267140" w:rsidRPr="004A3269" w:rsidRDefault="00267140" w:rsidP="004E1BD4">
      <w:pPr>
        <w:pStyle w:val="Style3"/>
        <w:spacing w:after="0"/>
        <w:rPr>
          <w:szCs w:val="22"/>
        </w:rPr>
      </w:pPr>
    </w:p>
    <w:p w:rsidR="00267140" w:rsidRPr="004A3269" w:rsidRDefault="00150F95" w:rsidP="00150F95">
      <w:pPr>
        <w:pStyle w:val="Style3"/>
        <w:spacing w:after="0"/>
        <w:jc w:val="center"/>
      </w:pPr>
      <w:r w:rsidRPr="004A3269">
        <w:rPr>
          <w:noProof/>
          <w:lang w:val="en-US"/>
        </w:rPr>
        <w:drawing>
          <wp:inline distT="0" distB="0" distL="0" distR="0" wp14:anchorId="451E5A54" wp14:editId="387C2EA5">
            <wp:extent cx="5977255" cy="1281557"/>
            <wp:effectExtent l="0" t="0" r="444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77255" cy="1281557"/>
                    </a:xfrm>
                    <a:prstGeom prst="rect">
                      <a:avLst/>
                    </a:prstGeom>
                    <a:noFill/>
                    <a:ln>
                      <a:noFill/>
                    </a:ln>
                  </pic:spPr>
                </pic:pic>
              </a:graphicData>
            </a:graphic>
          </wp:inline>
        </w:drawing>
      </w:r>
    </w:p>
    <w:p w:rsidR="00150F95" w:rsidRDefault="00150F95" w:rsidP="00EB267B">
      <w:pPr>
        <w:pStyle w:val="Style3"/>
        <w:spacing w:after="0"/>
      </w:pPr>
    </w:p>
    <w:p w:rsidR="00B7582E" w:rsidRPr="004A3269" w:rsidRDefault="00B7582E" w:rsidP="00EB267B">
      <w:pPr>
        <w:pStyle w:val="Style3"/>
        <w:spacing w:after="0"/>
      </w:pPr>
    </w:p>
    <w:p w:rsidR="00267140" w:rsidRPr="004A3269" w:rsidRDefault="00EB267B" w:rsidP="00EB267B">
      <w:pPr>
        <w:pStyle w:val="StyleHeading211ptNotBoldNotItalicAllcaps"/>
        <w:tabs>
          <w:tab w:val="left" w:pos="1701"/>
        </w:tabs>
        <w:spacing w:before="0" w:after="0"/>
        <w:rPr>
          <w:b/>
          <w:i w:val="0"/>
          <w:szCs w:val="22"/>
        </w:rPr>
      </w:pPr>
      <w:r w:rsidRPr="004A3269">
        <w:rPr>
          <w:b/>
          <w:i w:val="0"/>
          <w:szCs w:val="22"/>
        </w:rPr>
        <w:t xml:space="preserve">NOTE N° 21 : </w:t>
      </w:r>
      <w:r w:rsidRPr="004A3269">
        <w:rPr>
          <w:b/>
          <w:i w:val="0"/>
          <w:szCs w:val="22"/>
        </w:rPr>
        <w:tab/>
        <w:t>RÉSERVES ET SOLDE DES FONDS</w:t>
      </w:r>
    </w:p>
    <w:p w:rsidR="00267140" w:rsidRPr="004A3269" w:rsidRDefault="00267140" w:rsidP="00BB447D">
      <w:pPr>
        <w:pStyle w:val="STYLEDUTEXTE"/>
      </w:pPr>
    </w:p>
    <w:p w:rsidR="00150F95" w:rsidRPr="004A3269" w:rsidRDefault="00150F95" w:rsidP="00150F95">
      <w:r w:rsidRPr="004A3269">
        <w:rPr>
          <w:noProof/>
          <w:lang w:val="en-US"/>
        </w:rPr>
        <w:drawing>
          <wp:inline distT="0" distB="0" distL="0" distR="0" wp14:anchorId="6C16C82A" wp14:editId="4109F39C">
            <wp:extent cx="5977255" cy="2190254"/>
            <wp:effectExtent l="0" t="0" r="4445" b="63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77255" cy="2190254"/>
                    </a:xfrm>
                    <a:prstGeom prst="rect">
                      <a:avLst/>
                    </a:prstGeom>
                    <a:noFill/>
                    <a:ln>
                      <a:noFill/>
                    </a:ln>
                  </pic:spPr>
                </pic:pic>
              </a:graphicData>
            </a:graphic>
          </wp:inline>
        </w:drawing>
      </w:r>
    </w:p>
    <w:p w:rsidR="00150F95" w:rsidRPr="004A3269" w:rsidRDefault="00150F95" w:rsidP="00150F95"/>
    <w:p w:rsidR="009021AA" w:rsidRPr="004A3269" w:rsidRDefault="006E3997" w:rsidP="006E3997">
      <w:pPr>
        <w:pStyle w:val="STYLEDUTEXTE"/>
      </w:pPr>
      <w:r w:rsidRPr="004A3269">
        <w:t>Le solde des fonds de l</w:t>
      </w:r>
      <w:r w:rsidR="009021AA" w:rsidRPr="004A3269">
        <w:t>’</w:t>
      </w:r>
      <w:r w:rsidRPr="004A3269">
        <w:t>Organisation représente le résult</w:t>
      </w:r>
      <w:r w:rsidR="00EB267B" w:rsidRPr="004A3269">
        <w:t>at net cumulé des opérations en </w:t>
      </w:r>
      <w:r w:rsidRPr="004A3269">
        <w:t>2014 et durant les périodes antérieures.</w:t>
      </w:r>
    </w:p>
    <w:p w:rsidR="00267140" w:rsidRPr="004A3269" w:rsidRDefault="00267140" w:rsidP="002B72F6">
      <w:pPr>
        <w:pStyle w:val="STYLEDUTEXTE"/>
      </w:pPr>
    </w:p>
    <w:p w:rsidR="009021AA" w:rsidRPr="004A3269" w:rsidRDefault="006E3997" w:rsidP="006E3997">
      <w:pPr>
        <w:pStyle w:val="STYLEDUTEXTE"/>
      </w:pPr>
      <w:r w:rsidRPr="004A3269">
        <w:t>L</w:t>
      </w:r>
      <w:r w:rsidR="009021AA" w:rsidRPr="004A3269">
        <w:t>’</w:t>
      </w:r>
      <w:r w:rsidRPr="004A3269">
        <w:t>écart de réévaluation des réserves comprend les résultats de la réévaluation (du coût historique à la juste valeur) du terrain appartenant à l</w:t>
      </w:r>
      <w:r w:rsidR="009021AA" w:rsidRPr="004A3269">
        <w:t>’</w:t>
      </w:r>
      <w:r w:rsidRPr="004A3269">
        <w:t>Organisation sur lequel le nouveau bâtiment a été construit.</w:t>
      </w:r>
      <w:r w:rsidR="002B72F6" w:rsidRPr="004A3269">
        <w:t xml:space="preserve">  </w:t>
      </w:r>
      <w:r w:rsidRPr="004A3269">
        <w:t>La juste valeur a été déterminée par une évaluation indépendante</w:t>
      </w:r>
      <w:r w:rsidR="00A0797A" w:rsidRPr="004A3269">
        <w:t xml:space="preserve">.  </w:t>
      </w:r>
      <w:r w:rsidRPr="004A3269">
        <w:t>Les réserves comprennent les fonds de roulement constitués par les assemblées des États membres de chacune des Unions en vue d</w:t>
      </w:r>
      <w:r w:rsidR="009021AA" w:rsidRPr="004A3269">
        <w:t>’</w:t>
      </w:r>
      <w:r w:rsidRPr="004A3269">
        <w:t>assurer le financement des crédits en cas de déficit temporaire de trésorerie.</w:t>
      </w:r>
    </w:p>
    <w:p w:rsidR="00267140" w:rsidRPr="004A3269" w:rsidRDefault="00267140" w:rsidP="007C6D77">
      <w:pPr>
        <w:jc w:val="both"/>
      </w:pPr>
    </w:p>
    <w:p w:rsidR="009021AA" w:rsidRPr="004A3269" w:rsidRDefault="006E3997" w:rsidP="006E3997">
      <w:pPr>
        <w:pStyle w:val="STYLEDUTEXTE"/>
      </w:pPr>
      <w:r w:rsidRPr="004A3269">
        <w:lastRenderedPageBreak/>
        <w:t>Le capital de l</w:t>
      </w:r>
      <w:r w:rsidR="009021AA" w:rsidRPr="004A3269">
        <w:t>’</w:t>
      </w:r>
      <w:r w:rsidRPr="004A3269">
        <w:t>OMPI se compose du cumul des excédents et des fonds de roulement qui font partie de ses actifs nets.</w:t>
      </w:r>
      <w:r w:rsidR="00BE4294" w:rsidRPr="004A3269">
        <w:t xml:space="preserve">  </w:t>
      </w:r>
      <w:r w:rsidRPr="004A3269">
        <w:t>Le capital est géré conformément à la Politique en matière de réserves et des principes régissant l</w:t>
      </w:r>
      <w:r w:rsidR="009021AA" w:rsidRPr="004A3269">
        <w:t>’</w:t>
      </w:r>
      <w:r w:rsidRPr="004A3269">
        <w:t>utilisation des réserves adoptés par les assemblées des États membres de l</w:t>
      </w:r>
      <w:r w:rsidR="009021AA" w:rsidRPr="004A3269">
        <w:t>’</w:t>
      </w:r>
      <w:r w:rsidRPr="004A3269">
        <w:t>OMPI à leur quarante</w:t>
      </w:r>
      <w:r w:rsidR="00A17552" w:rsidRPr="004A3269">
        <w:noBreakHyphen/>
      </w:r>
      <w:r w:rsidRPr="004A3269">
        <w:t>huitième série de réunions en</w:t>
      </w:r>
      <w:r w:rsidR="00067463" w:rsidRPr="004A3269">
        <w:t> </w:t>
      </w:r>
      <w:r w:rsidRPr="004A3269">
        <w:t>2010 [document A/48/9].</w:t>
      </w:r>
      <w:r w:rsidR="00BE4294" w:rsidRPr="004A3269">
        <w:t xml:space="preserve">  </w:t>
      </w:r>
      <w:r w:rsidRPr="004A3269">
        <w:t>Cette politique fixe un niveau cible pour le cumul des excédents égal à un pourcentage des dépenses prévues pour l</w:t>
      </w:r>
      <w:r w:rsidR="009021AA" w:rsidRPr="004A3269">
        <w:t>’</w:t>
      </w:r>
      <w:r w:rsidRPr="004A3269">
        <w:t>exercice biennal de chacune des unions composant l</w:t>
      </w:r>
      <w:r w:rsidR="009021AA" w:rsidRPr="004A3269">
        <w:t>’</w:t>
      </w:r>
      <w:r w:rsidRPr="004A3269">
        <w:t>Organisation.</w:t>
      </w:r>
      <w:r w:rsidR="00BE4294" w:rsidRPr="004A3269">
        <w:t xml:space="preserve">  </w:t>
      </w:r>
      <w:r w:rsidRPr="004A3269">
        <w:t xml:space="preserve">En outre, chacun des accords issus des traités régissant </w:t>
      </w:r>
      <w:proofErr w:type="gramStart"/>
      <w:r w:rsidRPr="004A3269">
        <w:t>les unions respectives fixe</w:t>
      </w:r>
      <w:proofErr w:type="gramEnd"/>
      <w:r w:rsidRPr="004A3269">
        <w:t xml:space="preserve"> le montant des fonds de roulement.</w:t>
      </w:r>
      <w:r w:rsidR="00BE4294" w:rsidRPr="004A3269">
        <w:t xml:space="preserve">  </w:t>
      </w:r>
      <w:r w:rsidRPr="004A3269">
        <w:t xml:space="preserve">Les fonds équivalents au niveau </w:t>
      </w:r>
      <w:proofErr w:type="gramStart"/>
      <w:r w:rsidRPr="004A3269">
        <w:t>cible</w:t>
      </w:r>
      <w:proofErr w:type="gramEnd"/>
      <w:r w:rsidRPr="004A3269">
        <w:t xml:space="preserve"> pour le cumul des excédents et les fonds de roulement cumulés sont mis de côté pour maintenir des niveaux de liquidités suffisants et pour couvrir les déficits d</w:t>
      </w:r>
      <w:r w:rsidR="009021AA" w:rsidRPr="004A3269">
        <w:t>’</w:t>
      </w:r>
      <w:r w:rsidRPr="004A3269">
        <w:t>exploitation le cas échéant.</w:t>
      </w:r>
      <w:r w:rsidR="008B5E00" w:rsidRPr="004A3269">
        <w:t xml:space="preserve">  </w:t>
      </w:r>
      <w:r w:rsidRPr="004A3269">
        <w:t>Le cumul des excédents, lorsqu</w:t>
      </w:r>
      <w:r w:rsidR="009021AA" w:rsidRPr="004A3269">
        <w:t>’</w:t>
      </w:r>
      <w:r w:rsidRPr="004A3269">
        <w:t>il dépasse les objectifs, peut être mis à disposition par les assemblées pour financer des améliorations essentielles ou pour d</w:t>
      </w:r>
      <w:r w:rsidR="009021AA" w:rsidRPr="004A3269">
        <w:t>’</w:t>
      </w:r>
      <w:r w:rsidRPr="004A3269">
        <w:t>autres priorités conformément à la politique en matière de réserves établie par les assemblées de l</w:t>
      </w:r>
      <w:r w:rsidR="009021AA" w:rsidRPr="004A3269">
        <w:t>’</w:t>
      </w:r>
      <w:r w:rsidRPr="004A3269">
        <w:t>OMPI.</w:t>
      </w:r>
    </w:p>
    <w:p w:rsidR="00267140" w:rsidRPr="004A3269" w:rsidRDefault="00267140" w:rsidP="00BB447D">
      <w:pPr>
        <w:pStyle w:val="STYLEDUTEXTE"/>
      </w:pPr>
    </w:p>
    <w:p w:rsidR="00267140" w:rsidRPr="004A3269" w:rsidRDefault="001526C8" w:rsidP="001526C8">
      <w:pPr>
        <w:pStyle w:val="STYLEDUTEXTE"/>
        <w:rPr>
          <w:szCs w:val="22"/>
        </w:rPr>
      </w:pPr>
      <w:r w:rsidRPr="004A3269">
        <w:rPr>
          <w:szCs w:val="22"/>
        </w:rPr>
        <w:t xml:space="preserve">Au </w:t>
      </w:r>
      <w:r w:rsidR="00A0797A" w:rsidRPr="004A3269">
        <w:rPr>
          <w:szCs w:val="22"/>
        </w:rPr>
        <w:t>31 décembre </w:t>
      </w:r>
      <w:r w:rsidRPr="004A3269">
        <w:rPr>
          <w:szCs w:val="22"/>
        </w:rPr>
        <w:t>2014, le solde des excédents cumulés comprend les fonds dont l</w:t>
      </w:r>
      <w:r w:rsidR="009021AA" w:rsidRPr="004A3269">
        <w:rPr>
          <w:szCs w:val="22"/>
        </w:rPr>
        <w:t>’</w:t>
      </w:r>
      <w:r w:rsidRPr="004A3269">
        <w:rPr>
          <w:szCs w:val="22"/>
        </w:rPr>
        <w:t xml:space="preserve">utilisation a été approuvée pour des projets en application de cette politique. </w:t>
      </w:r>
      <w:r w:rsidR="00360183" w:rsidRPr="004A3269">
        <w:t xml:space="preserve"> </w:t>
      </w:r>
      <w:r w:rsidR="00035C6C" w:rsidRPr="004A3269">
        <w:rPr>
          <w:rStyle w:val="hps"/>
        </w:rPr>
        <w:t>Le solde restant</w:t>
      </w:r>
      <w:r w:rsidR="00035C6C" w:rsidRPr="004A3269">
        <w:t xml:space="preserve"> </w:t>
      </w:r>
      <w:r w:rsidR="00A508F9" w:rsidRPr="004A3269">
        <w:rPr>
          <w:rStyle w:val="hps"/>
        </w:rPr>
        <w:t>consacré aux</w:t>
      </w:r>
      <w:r w:rsidR="00035C6C" w:rsidRPr="004A3269">
        <w:rPr>
          <w:rStyle w:val="hps"/>
        </w:rPr>
        <w:t xml:space="preserve"> projets spéciaux</w:t>
      </w:r>
      <w:r w:rsidR="00035C6C" w:rsidRPr="004A3269">
        <w:t xml:space="preserve"> </w:t>
      </w:r>
      <w:r w:rsidR="00035C6C" w:rsidRPr="004A3269">
        <w:rPr>
          <w:rStyle w:val="hps"/>
        </w:rPr>
        <w:t>approuvés à la</w:t>
      </w:r>
      <w:r w:rsidR="00035C6C" w:rsidRPr="004A3269">
        <w:t xml:space="preserve"> </w:t>
      </w:r>
      <w:r w:rsidR="00035C6C" w:rsidRPr="004A3269">
        <w:rPr>
          <w:rStyle w:val="hps"/>
        </w:rPr>
        <w:t>date de clôture</w:t>
      </w:r>
      <w:r w:rsidR="00035C6C" w:rsidRPr="004A3269">
        <w:t xml:space="preserve"> </w:t>
      </w:r>
      <w:r w:rsidR="00035C6C" w:rsidRPr="004A3269">
        <w:rPr>
          <w:rStyle w:val="hps"/>
        </w:rPr>
        <w:t>est de 25,6</w:t>
      </w:r>
      <w:r w:rsidR="00A508F9" w:rsidRPr="004A3269">
        <w:t> </w:t>
      </w:r>
      <w:r w:rsidR="00035C6C" w:rsidRPr="004A3269">
        <w:rPr>
          <w:rStyle w:val="hps"/>
        </w:rPr>
        <w:t>millions de francs suisses</w:t>
      </w:r>
      <w:r w:rsidR="00035C6C" w:rsidRPr="004A3269">
        <w:t xml:space="preserve">. </w:t>
      </w:r>
      <w:r w:rsidR="00A508F9" w:rsidRPr="004A3269">
        <w:t xml:space="preserve"> </w:t>
      </w:r>
      <w:r w:rsidR="00035C6C" w:rsidRPr="004A3269">
        <w:rPr>
          <w:rStyle w:val="hps"/>
        </w:rPr>
        <w:t>Le solde</w:t>
      </w:r>
      <w:r w:rsidR="00266CE7" w:rsidRPr="004A3269">
        <w:rPr>
          <w:rStyle w:val="hps"/>
        </w:rPr>
        <w:t xml:space="preserve"> restant</w:t>
      </w:r>
      <w:r w:rsidR="00035C6C" w:rsidRPr="004A3269">
        <w:t xml:space="preserve"> </w:t>
      </w:r>
      <w:r w:rsidR="00266CE7" w:rsidRPr="004A3269">
        <w:t>consacré à</w:t>
      </w:r>
      <w:r w:rsidR="00035C6C" w:rsidRPr="004A3269">
        <w:rPr>
          <w:rStyle w:val="hps"/>
        </w:rPr>
        <w:t xml:space="preserve"> la part</w:t>
      </w:r>
      <w:r w:rsidR="00035C6C" w:rsidRPr="004A3269">
        <w:t xml:space="preserve"> </w:t>
      </w:r>
      <w:r w:rsidR="00266CE7" w:rsidRPr="004A3269">
        <w:rPr>
          <w:rStyle w:val="hps"/>
        </w:rPr>
        <w:t>du</w:t>
      </w:r>
      <w:r w:rsidR="00035C6C" w:rsidRPr="004A3269">
        <w:rPr>
          <w:rStyle w:val="hps"/>
        </w:rPr>
        <w:t xml:space="preserve"> </w:t>
      </w:r>
      <w:r w:rsidR="00892216" w:rsidRPr="004A3269">
        <w:rPr>
          <w:rStyle w:val="hps"/>
        </w:rPr>
        <w:t>Plan d</w:t>
      </w:r>
      <w:r w:rsidR="009021AA" w:rsidRPr="004A3269">
        <w:rPr>
          <w:rStyle w:val="hps"/>
        </w:rPr>
        <w:t>’</w:t>
      </w:r>
      <w:r w:rsidR="00892216" w:rsidRPr="004A3269">
        <w:rPr>
          <w:rStyle w:val="hps"/>
        </w:rPr>
        <w:t>action pour le</w:t>
      </w:r>
      <w:r w:rsidR="00035C6C" w:rsidRPr="004A3269">
        <w:rPr>
          <w:rStyle w:val="hps"/>
        </w:rPr>
        <w:t xml:space="preserve"> développement</w:t>
      </w:r>
      <w:r w:rsidR="00035C6C" w:rsidRPr="004A3269">
        <w:t xml:space="preserve"> </w:t>
      </w:r>
      <w:r w:rsidR="00892216" w:rsidRPr="004A3269">
        <w:rPr>
          <w:rStyle w:val="hps"/>
        </w:rPr>
        <w:t xml:space="preserve">financée </w:t>
      </w:r>
      <w:r w:rsidR="00AA757F" w:rsidRPr="004A3269">
        <w:rPr>
          <w:rStyle w:val="hps"/>
        </w:rPr>
        <w:t>au moyen des</w:t>
      </w:r>
      <w:r w:rsidR="00892216" w:rsidRPr="004A3269">
        <w:rPr>
          <w:rStyle w:val="hps"/>
        </w:rPr>
        <w:t xml:space="preserve"> réserve</w:t>
      </w:r>
      <w:r w:rsidR="00AA757F" w:rsidRPr="004A3269">
        <w:rPr>
          <w:rStyle w:val="hps"/>
        </w:rPr>
        <w:t>s</w:t>
      </w:r>
      <w:r w:rsidR="00892216" w:rsidRPr="004A3269">
        <w:t xml:space="preserve"> </w:t>
      </w:r>
      <w:r w:rsidR="00035C6C" w:rsidRPr="004A3269">
        <w:rPr>
          <w:rStyle w:val="hps"/>
        </w:rPr>
        <w:t>à la</w:t>
      </w:r>
      <w:r w:rsidR="00035C6C" w:rsidRPr="004A3269">
        <w:t xml:space="preserve"> </w:t>
      </w:r>
      <w:r w:rsidR="00035C6C" w:rsidRPr="004A3269">
        <w:rPr>
          <w:rStyle w:val="hps"/>
        </w:rPr>
        <w:t>date de clôture</w:t>
      </w:r>
      <w:r w:rsidR="00035C6C" w:rsidRPr="004A3269">
        <w:t xml:space="preserve"> </w:t>
      </w:r>
      <w:r w:rsidR="00035C6C" w:rsidRPr="004A3269">
        <w:rPr>
          <w:rStyle w:val="hps"/>
        </w:rPr>
        <w:t>est de 1,0</w:t>
      </w:r>
      <w:r w:rsidR="00A508F9" w:rsidRPr="004A3269">
        <w:rPr>
          <w:rStyle w:val="hps"/>
        </w:rPr>
        <w:t xml:space="preserve"> million </w:t>
      </w:r>
      <w:r w:rsidR="00035C6C" w:rsidRPr="004A3269">
        <w:rPr>
          <w:rStyle w:val="hps"/>
        </w:rPr>
        <w:t xml:space="preserve">de francs suisses. </w:t>
      </w:r>
      <w:r w:rsidR="00EB267B" w:rsidRPr="004A3269">
        <w:rPr>
          <w:rStyle w:val="hps"/>
        </w:rPr>
        <w:t xml:space="preserve"> </w:t>
      </w:r>
      <w:r w:rsidRPr="004A3269">
        <w:rPr>
          <w:szCs w:val="22"/>
        </w:rPr>
        <w:t>Il sied égalem</w:t>
      </w:r>
      <w:r w:rsidR="00EB267B" w:rsidRPr="004A3269">
        <w:rPr>
          <w:szCs w:val="22"/>
        </w:rPr>
        <w:t>ent de noter qu</w:t>
      </w:r>
      <w:r w:rsidR="009021AA" w:rsidRPr="004A3269">
        <w:rPr>
          <w:szCs w:val="22"/>
        </w:rPr>
        <w:t>’</w:t>
      </w:r>
      <w:r w:rsidR="00EB267B" w:rsidRPr="004A3269">
        <w:rPr>
          <w:szCs w:val="22"/>
        </w:rPr>
        <w:t xml:space="preserve">un solde de </w:t>
      </w:r>
      <w:r w:rsidR="00A0797A" w:rsidRPr="004A3269">
        <w:rPr>
          <w:szCs w:val="22"/>
        </w:rPr>
        <w:t>0,6 million</w:t>
      </w:r>
      <w:r w:rsidRPr="004A3269">
        <w:rPr>
          <w:szCs w:val="22"/>
        </w:rPr>
        <w:t xml:space="preserve"> de francs suisses demeure au </w:t>
      </w:r>
      <w:r w:rsidR="00A0797A" w:rsidRPr="004A3269">
        <w:rPr>
          <w:szCs w:val="22"/>
        </w:rPr>
        <w:t>31 décembre </w:t>
      </w:r>
      <w:r w:rsidRPr="004A3269">
        <w:rPr>
          <w:szCs w:val="22"/>
        </w:rPr>
        <w:t>2014 pour les projets de construction de bâtiments.</w:t>
      </w:r>
      <w:r w:rsidR="00220219" w:rsidRPr="004A3269">
        <w:t xml:space="preserve"> </w:t>
      </w:r>
      <w:r w:rsidR="00EB267B" w:rsidRPr="004A3269">
        <w:t xml:space="preserve"> </w:t>
      </w:r>
      <w:r w:rsidR="00035C6C" w:rsidRPr="004A3269">
        <w:rPr>
          <w:rStyle w:val="hps"/>
        </w:rPr>
        <w:t>Ces</w:t>
      </w:r>
      <w:r w:rsidR="00035C6C" w:rsidRPr="004A3269">
        <w:t xml:space="preserve"> </w:t>
      </w:r>
      <w:r w:rsidR="00035C6C" w:rsidRPr="004A3269">
        <w:rPr>
          <w:rStyle w:val="hps"/>
        </w:rPr>
        <w:t>projets de construction</w:t>
      </w:r>
      <w:r w:rsidR="00035C6C" w:rsidRPr="004A3269">
        <w:t xml:space="preserve"> </w:t>
      </w:r>
      <w:r w:rsidR="00266CE7" w:rsidRPr="004A3269">
        <w:rPr>
          <w:rStyle w:val="hps"/>
        </w:rPr>
        <w:t>n</w:t>
      </w:r>
      <w:r w:rsidR="009021AA" w:rsidRPr="004A3269">
        <w:rPr>
          <w:rStyle w:val="hps"/>
        </w:rPr>
        <w:t>’</w:t>
      </w:r>
      <w:r w:rsidR="00266CE7" w:rsidRPr="004A3269">
        <w:rPr>
          <w:rStyle w:val="hps"/>
        </w:rPr>
        <w:t>ont pas d</w:t>
      </w:r>
      <w:r w:rsidR="009021AA" w:rsidRPr="004A3269">
        <w:rPr>
          <w:rStyle w:val="hps"/>
        </w:rPr>
        <w:t>’</w:t>
      </w:r>
      <w:r w:rsidR="00266CE7" w:rsidRPr="004A3269">
        <w:rPr>
          <w:rStyle w:val="hps"/>
        </w:rPr>
        <w:t>impact sur le niveau des actifs nets</w:t>
      </w:r>
      <w:r w:rsidR="00035C6C" w:rsidRPr="004A3269">
        <w:t xml:space="preserve"> </w:t>
      </w:r>
      <w:r w:rsidR="00266CE7" w:rsidRPr="004A3269">
        <w:rPr>
          <w:rStyle w:val="hps"/>
        </w:rPr>
        <w:t>pendant les</w:t>
      </w:r>
      <w:r w:rsidR="00035C6C" w:rsidRPr="004A3269">
        <w:rPr>
          <w:rStyle w:val="hps"/>
        </w:rPr>
        <w:t xml:space="preserve"> phases</w:t>
      </w:r>
      <w:r w:rsidR="00035C6C" w:rsidRPr="004A3269">
        <w:t xml:space="preserve"> </w:t>
      </w:r>
      <w:r w:rsidR="00035C6C" w:rsidRPr="004A3269">
        <w:rPr>
          <w:rStyle w:val="hps"/>
        </w:rPr>
        <w:t>de construction</w:t>
      </w:r>
      <w:r w:rsidR="00035C6C" w:rsidRPr="004A3269">
        <w:t xml:space="preserve">, </w:t>
      </w:r>
      <w:r w:rsidR="00266CE7" w:rsidRPr="004A3269">
        <w:rPr>
          <w:rStyle w:val="hps"/>
        </w:rPr>
        <w:t>car les</w:t>
      </w:r>
      <w:r w:rsidR="00035C6C" w:rsidRPr="004A3269">
        <w:rPr>
          <w:rStyle w:val="hps"/>
        </w:rPr>
        <w:t xml:space="preserve"> dépenses encourues</w:t>
      </w:r>
      <w:r w:rsidR="00035C6C" w:rsidRPr="004A3269">
        <w:t xml:space="preserve"> </w:t>
      </w:r>
      <w:r w:rsidR="00266CE7" w:rsidRPr="004A3269">
        <w:rPr>
          <w:rStyle w:val="hps"/>
        </w:rPr>
        <w:t>sont</w:t>
      </w:r>
      <w:r w:rsidR="00035C6C" w:rsidRPr="004A3269">
        <w:rPr>
          <w:rStyle w:val="hps"/>
        </w:rPr>
        <w:t xml:space="preserve"> </w:t>
      </w:r>
      <w:r w:rsidR="00266CE7" w:rsidRPr="004A3269">
        <w:rPr>
          <w:rStyle w:val="hps"/>
        </w:rPr>
        <w:t xml:space="preserve">comptabilisées dans le cadre </w:t>
      </w:r>
      <w:r w:rsidR="00035C6C" w:rsidRPr="004A3269">
        <w:rPr>
          <w:rStyle w:val="hps"/>
        </w:rPr>
        <w:t>des travaux en cours</w:t>
      </w:r>
      <w:r w:rsidR="00035C6C" w:rsidRPr="004A3269">
        <w:t xml:space="preserve">. </w:t>
      </w:r>
      <w:r w:rsidR="00266CE7" w:rsidRPr="004A3269">
        <w:t xml:space="preserve"> </w:t>
      </w:r>
      <w:r w:rsidR="00035C6C" w:rsidRPr="004A3269">
        <w:rPr>
          <w:rStyle w:val="hps"/>
        </w:rPr>
        <w:t xml:space="preserve">Le tableau </w:t>
      </w:r>
      <w:r w:rsidR="00266CE7" w:rsidRPr="004A3269">
        <w:rPr>
          <w:rStyle w:val="hps"/>
        </w:rPr>
        <w:t>ci</w:t>
      </w:r>
      <w:r w:rsidR="00A17552" w:rsidRPr="004A3269">
        <w:rPr>
          <w:rStyle w:val="hps"/>
        </w:rPr>
        <w:noBreakHyphen/>
      </w:r>
      <w:r w:rsidR="00266CE7" w:rsidRPr="004A3269">
        <w:rPr>
          <w:rStyle w:val="hps"/>
        </w:rPr>
        <w:t>dessous</w:t>
      </w:r>
      <w:r w:rsidR="00035C6C" w:rsidRPr="004A3269">
        <w:rPr>
          <w:rStyle w:val="hps"/>
        </w:rPr>
        <w:t xml:space="preserve"> détaille</w:t>
      </w:r>
      <w:r w:rsidR="00035C6C" w:rsidRPr="004A3269">
        <w:t xml:space="preserve"> </w:t>
      </w:r>
      <w:r w:rsidR="00035C6C" w:rsidRPr="004A3269">
        <w:rPr>
          <w:rStyle w:val="hps"/>
        </w:rPr>
        <w:t>les</w:t>
      </w:r>
      <w:r w:rsidR="00035C6C" w:rsidRPr="004A3269">
        <w:t xml:space="preserve"> </w:t>
      </w:r>
      <w:r w:rsidR="00035C6C" w:rsidRPr="004A3269">
        <w:rPr>
          <w:rStyle w:val="hps"/>
        </w:rPr>
        <w:t>projets</w:t>
      </w:r>
      <w:r w:rsidR="00035C6C" w:rsidRPr="004A3269">
        <w:t xml:space="preserve"> </w:t>
      </w:r>
      <w:r w:rsidR="00035C6C" w:rsidRPr="004A3269">
        <w:rPr>
          <w:rStyle w:val="hps"/>
        </w:rPr>
        <w:t>financés</w:t>
      </w:r>
      <w:r w:rsidR="00035C6C" w:rsidRPr="004A3269">
        <w:t xml:space="preserve"> </w:t>
      </w:r>
      <w:r w:rsidR="00487183" w:rsidRPr="004A3269">
        <w:rPr>
          <w:rStyle w:val="hps"/>
        </w:rPr>
        <w:t>sur</w:t>
      </w:r>
      <w:r w:rsidR="00035C6C" w:rsidRPr="004A3269">
        <w:rPr>
          <w:rStyle w:val="hps"/>
        </w:rPr>
        <w:t xml:space="preserve"> les réserves</w:t>
      </w:r>
      <w:r w:rsidR="00035C6C" w:rsidRPr="004A3269">
        <w:t xml:space="preserve">, </w:t>
      </w:r>
      <w:r w:rsidR="00035C6C" w:rsidRPr="004A3269">
        <w:rPr>
          <w:rStyle w:val="hps"/>
        </w:rPr>
        <w:t>et</w:t>
      </w:r>
      <w:r w:rsidR="00035C6C" w:rsidRPr="004A3269">
        <w:t xml:space="preserve"> </w:t>
      </w:r>
      <w:r w:rsidR="00035C6C" w:rsidRPr="004A3269">
        <w:rPr>
          <w:rStyle w:val="hps"/>
        </w:rPr>
        <w:t>les dépenses nettes</w:t>
      </w:r>
      <w:r w:rsidR="00035C6C" w:rsidRPr="004A3269">
        <w:t xml:space="preserve"> </w:t>
      </w:r>
      <w:r w:rsidR="00266CE7" w:rsidRPr="004A3269">
        <w:t xml:space="preserve">encourues </w:t>
      </w:r>
      <w:r w:rsidR="00035C6C" w:rsidRPr="004A3269">
        <w:rPr>
          <w:rStyle w:val="hps"/>
        </w:rPr>
        <w:t>au cours de</w:t>
      </w:r>
      <w:r w:rsidR="00035C6C" w:rsidRPr="004A3269">
        <w:t xml:space="preserve"> </w:t>
      </w:r>
      <w:r w:rsidR="00035C6C" w:rsidRPr="004A3269">
        <w:rPr>
          <w:rStyle w:val="hps"/>
        </w:rPr>
        <w:t>l</w:t>
      </w:r>
      <w:r w:rsidR="009021AA" w:rsidRPr="004A3269">
        <w:rPr>
          <w:rStyle w:val="hps"/>
        </w:rPr>
        <w:t>’</w:t>
      </w:r>
      <w:r w:rsidR="00035C6C" w:rsidRPr="004A3269">
        <w:rPr>
          <w:rStyle w:val="hps"/>
        </w:rPr>
        <w:t>année :</w:t>
      </w:r>
    </w:p>
    <w:p w:rsidR="00267140" w:rsidRPr="004A3269" w:rsidRDefault="00267140" w:rsidP="00BB447D">
      <w:pPr>
        <w:pStyle w:val="STYLEDUTEXTE"/>
        <w:rPr>
          <w:szCs w:val="22"/>
        </w:rPr>
      </w:pPr>
    </w:p>
    <w:p w:rsidR="00267140" w:rsidRPr="004A3269" w:rsidRDefault="00150F95" w:rsidP="003A70ED">
      <w:pPr>
        <w:pStyle w:val="StyleHeading211ptNotBoldNotItalicAllcaps"/>
        <w:spacing w:before="0" w:after="0"/>
        <w:rPr>
          <w:szCs w:val="22"/>
        </w:rPr>
      </w:pPr>
      <w:r w:rsidRPr="004A3269">
        <w:rPr>
          <w:noProof/>
          <w:lang w:val="en-US"/>
        </w:rPr>
        <w:drawing>
          <wp:inline distT="0" distB="0" distL="0" distR="0" wp14:anchorId="34BB230B" wp14:editId="0A3C3723">
            <wp:extent cx="5977255" cy="4261706"/>
            <wp:effectExtent l="0" t="0" r="4445" b="571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77255" cy="4261706"/>
                    </a:xfrm>
                    <a:prstGeom prst="rect">
                      <a:avLst/>
                    </a:prstGeom>
                    <a:noFill/>
                    <a:ln>
                      <a:noFill/>
                    </a:ln>
                  </pic:spPr>
                </pic:pic>
              </a:graphicData>
            </a:graphic>
          </wp:inline>
        </w:drawing>
      </w:r>
    </w:p>
    <w:p w:rsidR="00150F95" w:rsidRPr="004A3269" w:rsidRDefault="00150F95" w:rsidP="00150F95"/>
    <w:p w:rsidR="00267140" w:rsidRPr="004A3269" w:rsidRDefault="00EB267B" w:rsidP="00EB267B">
      <w:pPr>
        <w:pStyle w:val="StyleHeading211ptNotBoldNotItalicAllcaps"/>
        <w:tabs>
          <w:tab w:val="left" w:pos="1701"/>
        </w:tabs>
        <w:spacing w:before="0" w:after="0"/>
        <w:rPr>
          <w:szCs w:val="22"/>
        </w:rPr>
      </w:pPr>
      <w:r w:rsidRPr="004A3269">
        <w:rPr>
          <w:b/>
          <w:i w:val="0"/>
          <w:szCs w:val="22"/>
        </w:rPr>
        <w:lastRenderedPageBreak/>
        <w:t>NOTE N° 22</w:t>
      </w:r>
      <w:r w:rsidR="00A0797A" w:rsidRPr="004A3269">
        <w:rPr>
          <w:i w:val="0"/>
          <w:szCs w:val="22"/>
        </w:rPr>
        <w:t> :</w:t>
      </w:r>
      <w:r w:rsidRPr="004A3269">
        <w:rPr>
          <w:b/>
          <w:i w:val="0"/>
          <w:szCs w:val="22"/>
        </w:rPr>
        <w:t xml:space="preserve"> </w:t>
      </w:r>
      <w:r w:rsidRPr="004A3269">
        <w:rPr>
          <w:b/>
          <w:i w:val="0"/>
          <w:szCs w:val="22"/>
        </w:rPr>
        <w:tab/>
        <w:t>RAPPROCHEMENT ENTRE L</w:t>
      </w:r>
      <w:r w:rsidR="009021AA" w:rsidRPr="004A3269">
        <w:rPr>
          <w:b/>
          <w:i w:val="0"/>
          <w:szCs w:val="22"/>
        </w:rPr>
        <w:t>’</w:t>
      </w:r>
      <w:r w:rsidRPr="004A3269">
        <w:rPr>
          <w:b/>
          <w:i w:val="0"/>
          <w:szCs w:val="22"/>
        </w:rPr>
        <w:t>ÉTAT DE COMPARAISON BUDGÉTAIRE ET</w:t>
      </w:r>
      <w:r w:rsidRPr="004A3269">
        <w:rPr>
          <w:i w:val="0"/>
          <w:szCs w:val="22"/>
        </w:rPr>
        <w:t> </w:t>
      </w:r>
      <w:r w:rsidRPr="004A3269">
        <w:rPr>
          <w:b/>
          <w:i w:val="0"/>
          <w:szCs w:val="22"/>
        </w:rPr>
        <w:t>L</w:t>
      </w:r>
      <w:r w:rsidR="009021AA" w:rsidRPr="004A3269">
        <w:rPr>
          <w:b/>
          <w:i w:val="0"/>
          <w:szCs w:val="22"/>
        </w:rPr>
        <w:t>’</w:t>
      </w:r>
      <w:r w:rsidRPr="004A3269">
        <w:rPr>
          <w:b/>
          <w:i w:val="0"/>
          <w:szCs w:val="22"/>
        </w:rPr>
        <w:t>ÉTAT DE LA PERFORMANCE FINANCIÈRE</w:t>
      </w:r>
    </w:p>
    <w:p w:rsidR="00267140" w:rsidRPr="004A3269" w:rsidRDefault="00267140" w:rsidP="006D0C30">
      <w:pPr>
        <w:ind w:left="1191" w:hanging="1191"/>
        <w:jc w:val="both"/>
        <w:rPr>
          <w:szCs w:val="22"/>
        </w:rPr>
      </w:pPr>
    </w:p>
    <w:p w:rsidR="00267140" w:rsidRPr="004A3269" w:rsidRDefault="001526C8" w:rsidP="001526C8">
      <w:pPr>
        <w:pStyle w:val="STYLEDUTEXTE"/>
      </w:pPr>
      <w:r w:rsidRPr="004A3269">
        <w:t>Le programme et budget de l</w:t>
      </w:r>
      <w:r w:rsidR="009021AA" w:rsidRPr="004A3269">
        <w:t>’</w:t>
      </w:r>
      <w:r w:rsidRPr="004A3269">
        <w:t>OMPI est établi sur la base d</w:t>
      </w:r>
      <w:r w:rsidR="009021AA" w:rsidRPr="004A3269">
        <w:t>’</w:t>
      </w:r>
      <w:r w:rsidRPr="004A3269">
        <w:t>une comptabilité d</w:t>
      </w:r>
      <w:r w:rsidR="009021AA" w:rsidRPr="004A3269">
        <w:t>’</w:t>
      </w:r>
      <w:r w:rsidRPr="004A3269">
        <w:t>exercice modifiée, conformément au Règlement financier et à son règlement d</w:t>
      </w:r>
      <w:r w:rsidR="009021AA" w:rsidRPr="004A3269">
        <w:t>’</w:t>
      </w:r>
      <w:r w:rsidRPr="004A3269">
        <w:t>exécution de l</w:t>
      </w:r>
      <w:r w:rsidR="009021AA" w:rsidRPr="004A3269">
        <w:t>’</w:t>
      </w:r>
      <w:r w:rsidRPr="004A3269">
        <w:t>Organisation, et est approuvé par les Assemblées des États membres.</w:t>
      </w:r>
      <w:r w:rsidR="00F9786C" w:rsidRPr="004A3269">
        <w:t xml:space="preserve"> </w:t>
      </w:r>
      <w:r w:rsidR="00EB267B" w:rsidRPr="004A3269">
        <w:t xml:space="preserve"> </w:t>
      </w:r>
      <w:r w:rsidRPr="004A3269">
        <w:t>Le programme et budget p</w:t>
      </w:r>
      <w:r w:rsidR="00EB267B" w:rsidRPr="004A3269">
        <w:t>révoit un budget estimé à 674,0 </w:t>
      </w:r>
      <w:r w:rsidRPr="004A3269">
        <w:t>millions de francs suiss</w:t>
      </w:r>
      <w:r w:rsidR="00EB267B" w:rsidRPr="004A3269">
        <w:t>es pour l</w:t>
      </w:r>
      <w:r w:rsidR="009021AA" w:rsidRPr="004A3269">
        <w:t>’</w:t>
      </w:r>
      <w:r w:rsidR="00EB267B" w:rsidRPr="004A3269">
        <w:t>exercice biennal</w:t>
      </w:r>
      <w:r w:rsidR="00067463" w:rsidRPr="004A3269">
        <w:t> </w:t>
      </w:r>
      <w:r w:rsidR="00EB267B" w:rsidRPr="004A3269">
        <w:t>2014</w:t>
      </w:r>
      <w:r w:rsidR="00A17552" w:rsidRPr="004A3269">
        <w:noBreakHyphen/>
      </w:r>
      <w:r w:rsidRPr="004A3269">
        <w:t>2015.</w:t>
      </w:r>
      <w:r w:rsidR="00EB267B" w:rsidRPr="004A3269">
        <w:t xml:space="preserve"> </w:t>
      </w:r>
      <w:r w:rsidR="00F9786C" w:rsidRPr="004A3269">
        <w:t xml:space="preserve"> </w:t>
      </w:r>
      <w:r w:rsidR="00DD40E2" w:rsidRPr="004A3269">
        <w:rPr>
          <w:rStyle w:val="hps"/>
        </w:rPr>
        <w:t>Pour 2014,</w:t>
      </w:r>
      <w:r w:rsidR="00DD40E2" w:rsidRPr="004A3269">
        <w:t xml:space="preserve"> </w:t>
      </w:r>
      <w:r w:rsidR="00DD40E2" w:rsidRPr="004A3269">
        <w:rPr>
          <w:rStyle w:val="hps"/>
        </w:rPr>
        <w:t>la première</w:t>
      </w:r>
      <w:r w:rsidR="00DD40E2" w:rsidRPr="004A3269">
        <w:t xml:space="preserve"> </w:t>
      </w:r>
      <w:r w:rsidR="00DD40E2" w:rsidRPr="004A3269">
        <w:rPr>
          <w:rStyle w:val="hps"/>
        </w:rPr>
        <w:t>année de l</w:t>
      </w:r>
      <w:r w:rsidR="009021AA" w:rsidRPr="004A3269">
        <w:rPr>
          <w:rStyle w:val="hps"/>
        </w:rPr>
        <w:t>’</w:t>
      </w:r>
      <w:r w:rsidR="00DD40E2" w:rsidRPr="004A3269">
        <w:rPr>
          <w:rStyle w:val="hps"/>
        </w:rPr>
        <w:t>exercice</w:t>
      </w:r>
      <w:r w:rsidR="00DD40E2" w:rsidRPr="004A3269">
        <w:t xml:space="preserve">, le </w:t>
      </w:r>
      <w:r w:rsidR="00DD40E2" w:rsidRPr="004A3269">
        <w:rPr>
          <w:rStyle w:val="hps"/>
        </w:rPr>
        <w:t>budget initial et</w:t>
      </w:r>
      <w:r w:rsidR="00DD40E2" w:rsidRPr="004A3269">
        <w:t xml:space="preserve"> le budget </w:t>
      </w:r>
      <w:r w:rsidR="00DD40E2" w:rsidRPr="004A3269">
        <w:rPr>
          <w:rStyle w:val="hps"/>
        </w:rPr>
        <w:t>final étai</w:t>
      </w:r>
      <w:r w:rsidR="00487183" w:rsidRPr="004A3269">
        <w:rPr>
          <w:rStyle w:val="hps"/>
        </w:rPr>
        <w:t>en</w:t>
      </w:r>
      <w:r w:rsidR="00DD40E2" w:rsidRPr="004A3269">
        <w:rPr>
          <w:rStyle w:val="hps"/>
        </w:rPr>
        <w:t>t</w:t>
      </w:r>
      <w:r w:rsidR="00DD40E2" w:rsidRPr="004A3269">
        <w:t xml:space="preserve"> </w:t>
      </w:r>
      <w:r w:rsidR="00487183" w:rsidRPr="004A3269">
        <w:t xml:space="preserve">estimés à </w:t>
      </w:r>
      <w:r w:rsidR="00DD40E2" w:rsidRPr="004A3269">
        <w:rPr>
          <w:rStyle w:val="hps"/>
        </w:rPr>
        <w:t>351,3 millions</w:t>
      </w:r>
      <w:r w:rsidR="00DD40E2" w:rsidRPr="004A3269">
        <w:t xml:space="preserve"> </w:t>
      </w:r>
      <w:r w:rsidR="00DD40E2" w:rsidRPr="004A3269">
        <w:rPr>
          <w:rStyle w:val="hps"/>
        </w:rPr>
        <w:t>de francs suisses</w:t>
      </w:r>
      <w:r w:rsidR="002B4D33" w:rsidRPr="004A3269">
        <w:rPr>
          <w:rStyle w:val="hps"/>
        </w:rPr>
        <w:t xml:space="preserve"> pour les recettes et à </w:t>
      </w:r>
      <w:r w:rsidR="00DD40E2" w:rsidRPr="004A3269">
        <w:rPr>
          <w:rStyle w:val="hps"/>
        </w:rPr>
        <w:t>337,0</w:t>
      </w:r>
      <w:r w:rsidR="00487183" w:rsidRPr="004A3269">
        <w:t> </w:t>
      </w:r>
      <w:r w:rsidR="00DD40E2" w:rsidRPr="004A3269">
        <w:rPr>
          <w:rStyle w:val="hps"/>
        </w:rPr>
        <w:t>millions de francs suisses</w:t>
      </w:r>
      <w:r w:rsidR="002B4D33" w:rsidRPr="004A3269">
        <w:rPr>
          <w:rStyle w:val="hps"/>
        </w:rPr>
        <w:t xml:space="preserve"> pour les dépenses</w:t>
      </w:r>
      <w:r w:rsidR="00A9158B" w:rsidRPr="004A3269">
        <w:t>.</w:t>
      </w:r>
      <w:r w:rsidR="00F9786C" w:rsidRPr="004A3269">
        <w:t xml:space="preserve"> </w:t>
      </w:r>
      <w:r w:rsidR="00EB267B" w:rsidRPr="004A3269">
        <w:t xml:space="preserve"> </w:t>
      </w:r>
      <w:r w:rsidRPr="004A3269">
        <w:t>Le montant des recettes réelles sur la base d</w:t>
      </w:r>
      <w:r w:rsidR="009021AA" w:rsidRPr="004A3269">
        <w:t>’</w:t>
      </w:r>
      <w:r w:rsidRPr="004A3269">
        <w:t>une comptabilité d</w:t>
      </w:r>
      <w:r w:rsidR="009021AA" w:rsidRPr="004A3269">
        <w:t>’</w:t>
      </w:r>
      <w:r w:rsidRPr="004A3269">
        <w:t>exercice modifiée pour la première année de l</w:t>
      </w:r>
      <w:r w:rsidR="009021AA" w:rsidRPr="004A3269">
        <w:t>’</w:t>
      </w:r>
      <w:r w:rsidR="00EB267B" w:rsidRPr="004A3269">
        <w:t>exercice biennal a été de 378,7 </w:t>
      </w:r>
      <w:r w:rsidRPr="004A3269">
        <w:t>millions de francs suisses.</w:t>
      </w:r>
      <w:r w:rsidR="009C6F06" w:rsidRPr="004A3269">
        <w:t xml:space="preserve"> </w:t>
      </w:r>
      <w:r w:rsidR="00EB267B" w:rsidRPr="004A3269">
        <w:t xml:space="preserve"> </w:t>
      </w:r>
      <w:r w:rsidRPr="004A3269">
        <w:t>Le montant des dépenses réelles sur la base d</w:t>
      </w:r>
      <w:r w:rsidR="009021AA" w:rsidRPr="004A3269">
        <w:t>’</w:t>
      </w:r>
      <w:r w:rsidRPr="004A3269">
        <w:t>une comptabilité d</w:t>
      </w:r>
      <w:r w:rsidR="009021AA" w:rsidRPr="004A3269">
        <w:t>’</w:t>
      </w:r>
      <w:r w:rsidRPr="004A3269">
        <w:t>exercice modifiée pour la première année de l</w:t>
      </w:r>
      <w:r w:rsidR="009021AA" w:rsidRPr="004A3269">
        <w:t>’</w:t>
      </w:r>
      <w:r w:rsidRPr="004A3269">
        <w:t>exercice biennal a été de 308,8</w:t>
      </w:r>
      <w:r w:rsidR="00EB267B" w:rsidRPr="004A3269">
        <w:t> </w:t>
      </w:r>
      <w:r w:rsidRPr="004A3269">
        <w:t>millions de francs suisses.</w:t>
      </w:r>
    </w:p>
    <w:p w:rsidR="00267140" w:rsidRPr="004A3269" w:rsidRDefault="00267140" w:rsidP="00373121">
      <w:pPr>
        <w:pStyle w:val="STYLEDUTEXTE"/>
      </w:pPr>
    </w:p>
    <w:p w:rsidR="009021AA" w:rsidRPr="004A3269" w:rsidRDefault="001526C8" w:rsidP="001526C8">
      <w:pPr>
        <w:pStyle w:val="STYLEDUTEXTE"/>
      </w:pPr>
      <w:r w:rsidRPr="004A3269">
        <w:t>Le rapport sur l</w:t>
      </w:r>
      <w:r w:rsidR="009021AA" w:rsidRPr="004A3269">
        <w:t>’</w:t>
      </w:r>
      <w:r w:rsidRPr="004A3269">
        <w:t>exécution du programme en</w:t>
      </w:r>
      <w:r w:rsidR="00067463" w:rsidRPr="004A3269">
        <w:t> </w:t>
      </w:r>
      <w:r w:rsidRPr="004A3269">
        <w:t>2014 contient des explications sur les variations entre le budget initial et le budget final après virements, et les différences importantes entre les montants inscrits au budget et les montants réels.</w:t>
      </w:r>
      <w:r w:rsidR="00EB267B" w:rsidRPr="004A3269">
        <w:t xml:space="preserve"> </w:t>
      </w:r>
      <w:r w:rsidR="00B22AB8" w:rsidRPr="004A3269">
        <w:t xml:space="preserve"> </w:t>
      </w:r>
      <w:r w:rsidRPr="004A3269">
        <w:t>Le budget et les comptes financiers de l</w:t>
      </w:r>
      <w:r w:rsidR="009021AA" w:rsidRPr="004A3269">
        <w:t>’</w:t>
      </w:r>
      <w:r w:rsidRPr="004A3269">
        <w:t>OMPI sont établis selon deux</w:t>
      </w:r>
      <w:r w:rsidR="00067463" w:rsidRPr="004A3269">
        <w:t> </w:t>
      </w:r>
      <w:r w:rsidRPr="004A3269">
        <w:t>méthodes différentes.</w:t>
      </w:r>
      <w:r w:rsidR="00373121" w:rsidRPr="004A3269">
        <w:t xml:space="preserve"> </w:t>
      </w:r>
      <w:r w:rsidR="00EB267B" w:rsidRPr="004A3269">
        <w:t xml:space="preserve"> </w:t>
      </w:r>
      <w:r w:rsidRPr="004A3269">
        <w:t>L</w:t>
      </w:r>
      <w:r w:rsidR="009021AA" w:rsidRPr="004A3269">
        <w:t>’</w:t>
      </w:r>
      <w:r w:rsidRPr="004A3269">
        <w:t>état de la situation financière, l</w:t>
      </w:r>
      <w:r w:rsidR="009021AA" w:rsidRPr="004A3269">
        <w:t>’</w:t>
      </w:r>
      <w:r w:rsidRPr="004A3269">
        <w:t>état de la performance financière, l</w:t>
      </w:r>
      <w:r w:rsidR="009021AA" w:rsidRPr="004A3269">
        <w:t>’</w:t>
      </w:r>
      <w:r w:rsidRPr="004A3269">
        <w:t>état des variations des actifs nets/capitaux propres et l</w:t>
      </w:r>
      <w:r w:rsidR="009021AA" w:rsidRPr="004A3269">
        <w:t>’</w:t>
      </w:r>
      <w:r w:rsidRPr="004A3269">
        <w:t>état des flux de trésorerie sont établis sur la base d</w:t>
      </w:r>
      <w:r w:rsidR="009021AA" w:rsidRPr="004A3269">
        <w:t>’</w:t>
      </w:r>
      <w:r w:rsidRPr="004A3269">
        <w:t>une comptabilité d</w:t>
      </w:r>
      <w:r w:rsidR="009021AA" w:rsidRPr="004A3269">
        <w:t>’</w:t>
      </w:r>
      <w:r w:rsidRPr="004A3269">
        <w:t>exercice intégrale, tandis que l</w:t>
      </w:r>
      <w:r w:rsidR="009021AA" w:rsidRPr="004A3269">
        <w:t>’</w:t>
      </w:r>
      <w:r w:rsidRPr="004A3269">
        <w:t>état de comparaison des montants budgétaires et des montants réels (état financier V) est préparé sur la base d</w:t>
      </w:r>
      <w:r w:rsidR="009021AA" w:rsidRPr="004A3269">
        <w:t>’</w:t>
      </w:r>
      <w:r w:rsidRPr="004A3269">
        <w:t>une comptabilité d</w:t>
      </w:r>
      <w:r w:rsidR="009021AA" w:rsidRPr="004A3269">
        <w:t>’</w:t>
      </w:r>
      <w:r w:rsidRPr="004A3269">
        <w:t>exercice modifiée.</w:t>
      </w:r>
    </w:p>
    <w:p w:rsidR="00267140" w:rsidRPr="004A3269" w:rsidRDefault="00267140" w:rsidP="00373121">
      <w:pPr>
        <w:pStyle w:val="STYLEDUTEXTE"/>
      </w:pPr>
    </w:p>
    <w:p w:rsidR="00267140" w:rsidRPr="004A3269" w:rsidRDefault="001526C8" w:rsidP="001526C8">
      <w:pPr>
        <w:pStyle w:val="STYLEDUTEXTE"/>
      </w:pPr>
      <w:r w:rsidRPr="004A3269">
        <w:t>Comme l</w:t>
      </w:r>
      <w:r w:rsidR="009021AA" w:rsidRPr="004A3269">
        <w:t>’</w:t>
      </w:r>
      <w:r w:rsidRPr="004A3269">
        <w:t>exige la norme</w:t>
      </w:r>
      <w:r w:rsidR="00067463" w:rsidRPr="004A3269">
        <w:t> </w:t>
      </w:r>
      <w:r w:rsidRPr="004A3269">
        <w:t>IPSAS</w:t>
      </w:r>
      <w:r w:rsidR="00A17552" w:rsidRPr="004A3269">
        <w:noBreakHyphen/>
      </w:r>
      <w:r w:rsidRPr="004A3269">
        <w:t>24, les montants réels présentés sur une base c</w:t>
      </w:r>
      <w:r w:rsidR="00EB267B" w:rsidRPr="004A3269">
        <w:t>omparable dans l</w:t>
      </w:r>
      <w:r w:rsidR="009021AA" w:rsidRPr="004A3269">
        <w:t>’</w:t>
      </w:r>
      <w:r w:rsidR="00EB267B" w:rsidRPr="004A3269">
        <w:t>état financier </w:t>
      </w:r>
      <w:r w:rsidRPr="004A3269">
        <w:t>V sont rapprochés des montants réels présentés dans les états financiers en identifiant séparément toutes les différences relatives à la base, au choix du moment et à l</w:t>
      </w:r>
      <w:r w:rsidR="009021AA" w:rsidRPr="004A3269">
        <w:t>’</w:t>
      </w:r>
      <w:r w:rsidRPr="004A3269">
        <w:t>entité.</w:t>
      </w:r>
      <w:r w:rsidR="00373121" w:rsidRPr="004A3269">
        <w:t xml:space="preserve"> </w:t>
      </w:r>
      <w:r w:rsidR="00EB267B" w:rsidRPr="004A3269">
        <w:t xml:space="preserve"> </w:t>
      </w:r>
      <w:r w:rsidRPr="004A3269">
        <w:t>Le budget de l</w:t>
      </w:r>
      <w:r w:rsidR="009021AA" w:rsidRPr="004A3269">
        <w:t>’</w:t>
      </w:r>
      <w:r w:rsidRPr="004A3269">
        <w:t>OMPI est adopté par les assemblées sur une base biennale, cependant, des estimations distinctes sont préparées pour chacune des deux</w:t>
      </w:r>
      <w:r w:rsidR="00067463" w:rsidRPr="004A3269">
        <w:t> </w:t>
      </w:r>
      <w:r w:rsidRPr="004A3269">
        <w:t>périodes annuelles.</w:t>
      </w:r>
      <w:r w:rsidR="00373121" w:rsidRPr="004A3269">
        <w:t xml:space="preserve"> </w:t>
      </w:r>
      <w:r w:rsidR="00EB267B" w:rsidRPr="004A3269">
        <w:t xml:space="preserve"> </w:t>
      </w:r>
      <w:r w:rsidRPr="004A3269">
        <w:t>Il n</w:t>
      </w:r>
      <w:r w:rsidR="009021AA" w:rsidRPr="004A3269">
        <w:t>’</w:t>
      </w:r>
      <w:r w:rsidRPr="004A3269">
        <w:t>y a aucune différence temporaire à signaler.</w:t>
      </w:r>
      <w:r w:rsidR="0061772D" w:rsidRPr="004A3269">
        <w:t xml:space="preserve"> </w:t>
      </w:r>
      <w:r w:rsidR="00EB267B" w:rsidRPr="004A3269">
        <w:t xml:space="preserve"> </w:t>
      </w:r>
      <w:r w:rsidRPr="004A3269">
        <w:t>Des différences relatives à la base se produisent lorsque le budget approuvé est préparé sur une base autre que sur la base d</w:t>
      </w:r>
      <w:r w:rsidR="009021AA" w:rsidRPr="004A3269">
        <w:t>’</w:t>
      </w:r>
      <w:r w:rsidRPr="004A3269">
        <w:t>une comptabilité d</w:t>
      </w:r>
      <w:r w:rsidR="009021AA" w:rsidRPr="004A3269">
        <w:t>’</w:t>
      </w:r>
      <w:r w:rsidRPr="004A3269">
        <w:t>exercice intégrale.</w:t>
      </w:r>
      <w:r w:rsidR="0061772D" w:rsidRPr="004A3269">
        <w:t xml:space="preserve">  </w:t>
      </w:r>
      <w:r w:rsidRPr="004A3269">
        <w:t>Ces différences relatives à la base comprennent l</w:t>
      </w:r>
      <w:r w:rsidR="009021AA" w:rsidRPr="004A3269">
        <w:t>’</w:t>
      </w:r>
      <w:r w:rsidRPr="004A3269">
        <w:t>amortissement des actifs, la comptabilisation de toutes les provisions et le report des recettes non réalisées.</w:t>
      </w:r>
      <w:r w:rsidR="0061772D" w:rsidRPr="004A3269">
        <w:t xml:space="preserve"> </w:t>
      </w:r>
      <w:r w:rsidR="00EB267B" w:rsidRPr="004A3269">
        <w:t xml:space="preserve"> </w:t>
      </w:r>
      <w:r w:rsidR="00487183" w:rsidRPr="004A3269">
        <w:t>Les différences relatives à l</w:t>
      </w:r>
      <w:r w:rsidR="009021AA" w:rsidRPr="004A3269">
        <w:t>’</w:t>
      </w:r>
      <w:r w:rsidR="00487183" w:rsidRPr="004A3269">
        <w:t>entité représentent l</w:t>
      </w:r>
      <w:r w:rsidR="009021AA" w:rsidRPr="004A3269">
        <w:t>’</w:t>
      </w:r>
      <w:r w:rsidR="00487183" w:rsidRPr="004A3269">
        <w:t>inclusion dans les comptes financiers de l</w:t>
      </w:r>
      <w:r w:rsidR="009021AA" w:rsidRPr="004A3269">
        <w:t>’</w:t>
      </w:r>
      <w:r w:rsidR="00487183" w:rsidRPr="004A3269">
        <w:t>OMPI des comptes spéciaux et des projets financés sur les réserves, qui ne figurent pas dans le programme et budget publié de l</w:t>
      </w:r>
      <w:r w:rsidR="009021AA" w:rsidRPr="004A3269">
        <w:t>’</w:t>
      </w:r>
      <w:r w:rsidR="00487183" w:rsidRPr="004A3269">
        <w:t>OMPI.  Les différences relatives à la présentation représentent le traitement des gains sur l</w:t>
      </w:r>
      <w:r w:rsidR="009021AA" w:rsidRPr="004A3269">
        <w:t>’</w:t>
      </w:r>
      <w:r w:rsidR="00487183" w:rsidRPr="004A3269">
        <w:t>immeuble de placement en tant qu</w:t>
      </w:r>
      <w:r w:rsidR="009021AA" w:rsidRPr="004A3269">
        <w:t>’</w:t>
      </w:r>
      <w:r w:rsidR="00487183" w:rsidRPr="004A3269">
        <w:t>activités d</w:t>
      </w:r>
      <w:r w:rsidR="009021AA" w:rsidRPr="004A3269">
        <w:t>’</w:t>
      </w:r>
      <w:r w:rsidR="00487183" w:rsidRPr="004A3269">
        <w:t>investissement dans l</w:t>
      </w:r>
      <w:r w:rsidR="009021AA" w:rsidRPr="004A3269">
        <w:t>’</w:t>
      </w:r>
      <w:r w:rsidR="00487183" w:rsidRPr="004A3269">
        <w:t>état financier IV</w:t>
      </w:r>
      <w:r w:rsidRPr="004A3269">
        <w:t>.</w:t>
      </w:r>
    </w:p>
    <w:p w:rsidR="00267140" w:rsidRPr="004A3269" w:rsidRDefault="00267140" w:rsidP="0061772D">
      <w:pPr>
        <w:pStyle w:val="STYLEDUTEXTE"/>
      </w:pPr>
    </w:p>
    <w:p w:rsidR="00FD68F2" w:rsidRPr="004A3269" w:rsidRDefault="00FD68F2" w:rsidP="00FD68F2">
      <w:pPr>
        <w:jc w:val="center"/>
      </w:pPr>
      <w:bookmarkStart w:id="16" w:name="RANGE!C6"/>
      <w:bookmarkEnd w:id="16"/>
      <w:r w:rsidRPr="004A3269">
        <w:rPr>
          <w:noProof/>
          <w:lang w:val="en-US"/>
        </w:rPr>
        <w:lastRenderedPageBreak/>
        <w:drawing>
          <wp:inline distT="0" distB="0" distL="0" distR="0" wp14:anchorId="2FEFD5F2" wp14:editId="1EEF643B">
            <wp:extent cx="5977255" cy="3601893"/>
            <wp:effectExtent l="0" t="0" r="444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77255" cy="3601893"/>
                    </a:xfrm>
                    <a:prstGeom prst="rect">
                      <a:avLst/>
                    </a:prstGeom>
                    <a:noFill/>
                    <a:ln>
                      <a:noFill/>
                    </a:ln>
                  </pic:spPr>
                </pic:pic>
              </a:graphicData>
            </a:graphic>
          </wp:inline>
        </w:drawing>
      </w:r>
    </w:p>
    <w:p w:rsidR="00FD68F2" w:rsidRDefault="00FD68F2" w:rsidP="00FD68F2"/>
    <w:p w:rsidR="00B7582E" w:rsidRPr="004A3269" w:rsidRDefault="00B7582E" w:rsidP="00FD68F2"/>
    <w:p w:rsidR="00267140" w:rsidRPr="004A3269" w:rsidRDefault="00EB7CB7" w:rsidP="00FD68F2">
      <w:pPr>
        <w:pStyle w:val="StyleHeading211ptNotBoldNotItalicAllcaps"/>
        <w:keepLines/>
        <w:tabs>
          <w:tab w:val="left" w:pos="1701"/>
        </w:tabs>
        <w:spacing w:before="0" w:after="0"/>
      </w:pPr>
      <w:r w:rsidRPr="004A3269">
        <w:rPr>
          <w:b/>
          <w:i w:val="0"/>
        </w:rPr>
        <w:t>NOTE N°</w:t>
      </w:r>
      <w:r w:rsidRPr="004A3269">
        <w:rPr>
          <w:i w:val="0"/>
        </w:rPr>
        <w:t> </w:t>
      </w:r>
      <w:r w:rsidRPr="004A3269">
        <w:rPr>
          <w:b/>
          <w:i w:val="0"/>
        </w:rPr>
        <w:t>23</w:t>
      </w:r>
      <w:r w:rsidR="00A0797A" w:rsidRPr="004A3269">
        <w:rPr>
          <w:i w:val="0"/>
        </w:rPr>
        <w:t> :</w:t>
      </w:r>
      <w:r w:rsidRPr="004A3269">
        <w:rPr>
          <w:b/>
          <w:i w:val="0"/>
        </w:rPr>
        <w:t xml:space="preserve"> </w:t>
      </w:r>
      <w:r w:rsidRPr="004A3269">
        <w:rPr>
          <w:b/>
          <w:i w:val="0"/>
        </w:rPr>
        <w:tab/>
        <w:t>RECETTES</w:t>
      </w:r>
    </w:p>
    <w:p w:rsidR="00267140" w:rsidRPr="004A3269" w:rsidRDefault="00267140" w:rsidP="00FD68F2">
      <w:pPr>
        <w:keepNext/>
        <w:keepLines/>
      </w:pPr>
    </w:p>
    <w:p w:rsidR="00FD68F2" w:rsidRPr="004A3269" w:rsidRDefault="00FD68F2" w:rsidP="001526C8">
      <w:pPr>
        <w:pStyle w:val="Styletexte"/>
        <w:keepNext/>
        <w:spacing w:after="0"/>
        <w:rPr>
          <w:szCs w:val="22"/>
        </w:rPr>
      </w:pPr>
      <w:r w:rsidRPr="004A3269">
        <w:rPr>
          <w:rFonts w:eastAsia="SimSun"/>
          <w:noProof/>
          <w:lang w:val="en-US"/>
        </w:rPr>
        <w:drawing>
          <wp:inline distT="0" distB="0" distL="0" distR="0" wp14:anchorId="19DB1B34" wp14:editId="05AF6652">
            <wp:extent cx="5977255" cy="3188421"/>
            <wp:effectExtent l="0" t="0" r="444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977255" cy="3188421"/>
                    </a:xfrm>
                    <a:prstGeom prst="rect">
                      <a:avLst/>
                    </a:prstGeom>
                    <a:noFill/>
                    <a:ln>
                      <a:noFill/>
                    </a:ln>
                  </pic:spPr>
                </pic:pic>
              </a:graphicData>
            </a:graphic>
          </wp:inline>
        </w:drawing>
      </w:r>
    </w:p>
    <w:p w:rsidR="00FD68F2" w:rsidRPr="004A3269" w:rsidRDefault="00FD68F2" w:rsidP="00FD68F2">
      <w:pPr>
        <w:pStyle w:val="Styletexte"/>
        <w:spacing w:after="0"/>
        <w:rPr>
          <w:szCs w:val="22"/>
        </w:rPr>
      </w:pPr>
    </w:p>
    <w:p w:rsidR="00267140" w:rsidRPr="004A3269" w:rsidRDefault="001526C8" w:rsidP="00FD68F2">
      <w:pPr>
        <w:pStyle w:val="Styletexte"/>
        <w:spacing w:after="0"/>
        <w:rPr>
          <w:szCs w:val="22"/>
        </w:rPr>
      </w:pPr>
      <w:r w:rsidRPr="004A3269">
        <w:rPr>
          <w:szCs w:val="22"/>
        </w:rPr>
        <w:t>Les montants indiqués pour le programme et budget représentent les recettes réelles perçues relatives au budget de l</w:t>
      </w:r>
      <w:r w:rsidR="009021AA" w:rsidRPr="004A3269">
        <w:rPr>
          <w:szCs w:val="22"/>
        </w:rPr>
        <w:t>’</w:t>
      </w:r>
      <w:r w:rsidRPr="004A3269">
        <w:rPr>
          <w:szCs w:val="22"/>
        </w:rPr>
        <w:t>Organisation adopté par les assemblées.</w:t>
      </w:r>
      <w:r w:rsidR="00373121" w:rsidRPr="004A3269">
        <w:t xml:space="preserve"> </w:t>
      </w:r>
      <w:r w:rsidR="00EB7CB7" w:rsidRPr="004A3269">
        <w:t xml:space="preserve"> </w:t>
      </w:r>
      <w:r w:rsidRPr="004A3269">
        <w:rPr>
          <w:szCs w:val="22"/>
        </w:rPr>
        <w:t>Les contributions volontaires représentent les recettes perçues relatives aux contributions versées par les donateurs pour des projets individuels qui ne figurent pas dans le programme et budget.</w:t>
      </w:r>
    </w:p>
    <w:p w:rsidR="00267140" w:rsidRPr="004A3269" w:rsidRDefault="00267140" w:rsidP="00FD68F2">
      <w:pPr>
        <w:pStyle w:val="Styletexte"/>
        <w:spacing w:after="0"/>
        <w:rPr>
          <w:szCs w:val="22"/>
        </w:rPr>
      </w:pPr>
    </w:p>
    <w:p w:rsidR="009021AA" w:rsidRPr="004A3269" w:rsidRDefault="001526C8" w:rsidP="001526C8">
      <w:pPr>
        <w:pStyle w:val="Styletexte"/>
        <w:spacing w:after="0"/>
        <w:rPr>
          <w:szCs w:val="22"/>
        </w:rPr>
      </w:pPr>
      <w:r w:rsidRPr="004A3269">
        <w:rPr>
          <w:szCs w:val="22"/>
        </w:rPr>
        <w:t>Les ajustements IPSAS concernent principalement le report des recettes non perçues.</w:t>
      </w:r>
      <w:r w:rsidR="00373121" w:rsidRPr="004A3269">
        <w:t xml:space="preserve"> </w:t>
      </w:r>
      <w:r w:rsidR="00EB7CB7" w:rsidRPr="004A3269">
        <w:t xml:space="preserve"> </w:t>
      </w:r>
      <w:r w:rsidRPr="004A3269">
        <w:rPr>
          <w:szCs w:val="22"/>
        </w:rPr>
        <w:t>Les recettes provenant des contributions volontaires sont reportées jusqu</w:t>
      </w:r>
      <w:r w:rsidR="009021AA" w:rsidRPr="004A3269">
        <w:rPr>
          <w:szCs w:val="22"/>
        </w:rPr>
        <w:t>’</w:t>
      </w:r>
      <w:r w:rsidRPr="004A3269">
        <w:rPr>
          <w:szCs w:val="22"/>
        </w:rPr>
        <w:t>à ce qu</w:t>
      </w:r>
      <w:r w:rsidR="009021AA" w:rsidRPr="004A3269">
        <w:rPr>
          <w:szCs w:val="22"/>
        </w:rPr>
        <w:t>’</w:t>
      </w:r>
      <w:r w:rsidRPr="004A3269">
        <w:rPr>
          <w:szCs w:val="22"/>
        </w:rPr>
        <w:t xml:space="preserve">elles soient </w:t>
      </w:r>
      <w:r w:rsidRPr="004A3269">
        <w:rPr>
          <w:szCs w:val="22"/>
        </w:rPr>
        <w:lastRenderedPageBreak/>
        <w:t>réalisées par la prestation des services spécifiques prévus dans le programme de travail convenu avec le donateur.</w:t>
      </w:r>
    </w:p>
    <w:p w:rsidR="00267140" w:rsidRPr="004A3269" w:rsidRDefault="00267140" w:rsidP="000B7D9E">
      <w:pPr>
        <w:pStyle w:val="Styletexte"/>
        <w:spacing w:after="0"/>
        <w:rPr>
          <w:szCs w:val="22"/>
        </w:rPr>
      </w:pPr>
    </w:p>
    <w:p w:rsidR="00267140" w:rsidRPr="004A3269" w:rsidRDefault="001526C8" w:rsidP="001526C8">
      <w:pPr>
        <w:pStyle w:val="Styletexte"/>
        <w:spacing w:after="0"/>
        <w:rPr>
          <w:szCs w:val="22"/>
        </w:rPr>
      </w:pPr>
      <w:r w:rsidRPr="004A3269">
        <w:rPr>
          <w:szCs w:val="22"/>
        </w:rPr>
        <w:t>Les recettes provenant des taxes dues en vertu des systèmes</w:t>
      </w:r>
      <w:r w:rsidR="009021AA" w:rsidRPr="004A3269">
        <w:rPr>
          <w:szCs w:val="22"/>
        </w:rPr>
        <w:t xml:space="preserve"> du PCT</w:t>
      </w:r>
      <w:r w:rsidRPr="004A3269">
        <w:rPr>
          <w:szCs w:val="22"/>
        </w:rPr>
        <w:t xml:space="preserve">, de Madrid et de </w:t>
      </w:r>
      <w:r w:rsidR="009021AA" w:rsidRPr="004A3269">
        <w:rPr>
          <w:szCs w:val="22"/>
        </w:rPr>
        <w:t>La Haye</w:t>
      </w:r>
      <w:r w:rsidRPr="004A3269">
        <w:rPr>
          <w:szCs w:val="22"/>
        </w:rPr>
        <w:t xml:space="preserve"> sont reportées jusqu</w:t>
      </w:r>
      <w:r w:rsidR="009021AA" w:rsidRPr="004A3269">
        <w:rPr>
          <w:szCs w:val="22"/>
        </w:rPr>
        <w:t>’</w:t>
      </w:r>
      <w:r w:rsidRPr="004A3269">
        <w:rPr>
          <w:szCs w:val="22"/>
        </w:rPr>
        <w:t>à ce qu</w:t>
      </w:r>
      <w:r w:rsidR="009021AA" w:rsidRPr="004A3269">
        <w:rPr>
          <w:szCs w:val="22"/>
        </w:rPr>
        <w:t>’</w:t>
      </w:r>
      <w:r w:rsidRPr="004A3269">
        <w:rPr>
          <w:szCs w:val="22"/>
        </w:rPr>
        <w:t>elles soient réalisées, à la publication de la demande internationale, conformément aux règles de chacune des unions.</w:t>
      </w:r>
    </w:p>
    <w:p w:rsidR="00267140" w:rsidRDefault="00267140" w:rsidP="0094797E">
      <w:pPr>
        <w:pStyle w:val="Styletexte"/>
        <w:spacing w:after="0"/>
      </w:pPr>
    </w:p>
    <w:p w:rsidR="00B7582E" w:rsidRPr="004A3269" w:rsidRDefault="00B7582E" w:rsidP="0094797E">
      <w:pPr>
        <w:pStyle w:val="Styletexte"/>
        <w:spacing w:after="0"/>
      </w:pPr>
    </w:p>
    <w:p w:rsidR="00267140" w:rsidRPr="004A3269" w:rsidRDefault="00EB7CB7" w:rsidP="00EB7CB7">
      <w:pPr>
        <w:pStyle w:val="StyleHeading211ptNotBoldNotItalicAllcaps"/>
        <w:tabs>
          <w:tab w:val="left" w:pos="1701"/>
        </w:tabs>
        <w:spacing w:before="0" w:after="0"/>
      </w:pPr>
      <w:r w:rsidRPr="004A3269">
        <w:rPr>
          <w:b/>
          <w:i w:val="0"/>
        </w:rPr>
        <w:t>NOTE N° 24</w:t>
      </w:r>
      <w:r w:rsidR="00A0797A" w:rsidRPr="004A3269">
        <w:rPr>
          <w:i w:val="0"/>
        </w:rPr>
        <w:t> :</w:t>
      </w:r>
      <w:r w:rsidRPr="004A3269">
        <w:rPr>
          <w:b/>
          <w:i w:val="0"/>
        </w:rPr>
        <w:t xml:space="preserve"> </w:t>
      </w:r>
      <w:r w:rsidRPr="004A3269">
        <w:rPr>
          <w:b/>
          <w:i w:val="0"/>
        </w:rPr>
        <w:tab/>
        <w:t>DÉPENSES</w:t>
      </w:r>
    </w:p>
    <w:p w:rsidR="00267140" w:rsidRPr="004A3269" w:rsidRDefault="00267140" w:rsidP="000B7D9E">
      <w:pPr>
        <w:jc w:val="both"/>
        <w:rPr>
          <w:szCs w:val="22"/>
        </w:rPr>
      </w:pPr>
    </w:p>
    <w:p w:rsidR="006F6A7B" w:rsidRPr="004A3269" w:rsidRDefault="006F6A7B" w:rsidP="001526C8">
      <w:pPr>
        <w:jc w:val="both"/>
        <w:rPr>
          <w:szCs w:val="22"/>
        </w:rPr>
      </w:pPr>
      <w:r w:rsidRPr="004A3269">
        <w:rPr>
          <w:noProof/>
          <w:lang w:val="en-US"/>
        </w:rPr>
        <w:drawing>
          <wp:inline distT="0" distB="0" distL="0" distR="0" wp14:anchorId="6F3882F3" wp14:editId="6604A7B3">
            <wp:extent cx="5977255" cy="6173892"/>
            <wp:effectExtent l="0" t="0" r="444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77255" cy="6173892"/>
                    </a:xfrm>
                    <a:prstGeom prst="rect">
                      <a:avLst/>
                    </a:prstGeom>
                    <a:noFill/>
                    <a:ln>
                      <a:noFill/>
                    </a:ln>
                  </pic:spPr>
                </pic:pic>
              </a:graphicData>
            </a:graphic>
          </wp:inline>
        </w:drawing>
      </w:r>
    </w:p>
    <w:p w:rsidR="006F6A7B" w:rsidRPr="004A3269" w:rsidRDefault="006F6A7B" w:rsidP="001526C8">
      <w:pPr>
        <w:jc w:val="both"/>
        <w:rPr>
          <w:szCs w:val="22"/>
        </w:rPr>
      </w:pPr>
    </w:p>
    <w:p w:rsidR="009021AA" w:rsidRPr="004A3269" w:rsidRDefault="001526C8" w:rsidP="001526C8">
      <w:pPr>
        <w:jc w:val="both"/>
        <w:rPr>
          <w:szCs w:val="22"/>
        </w:rPr>
      </w:pPr>
      <w:r w:rsidRPr="004A3269">
        <w:rPr>
          <w:szCs w:val="22"/>
        </w:rPr>
        <w:t>Les dépenses relatives au programme et budget, aux comptes spéciaux et aux projets financés sur les réserves sont présentées sur la base d</w:t>
      </w:r>
      <w:r w:rsidR="009021AA" w:rsidRPr="004A3269">
        <w:rPr>
          <w:szCs w:val="22"/>
        </w:rPr>
        <w:t>’</w:t>
      </w:r>
      <w:r w:rsidRPr="004A3269">
        <w:rPr>
          <w:szCs w:val="22"/>
        </w:rPr>
        <w:t>une comptabilité d</w:t>
      </w:r>
      <w:r w:rsidR="009021AA" w:rsidRPr="004A3269">
        <w:rPr>
          <w:szCs w:val="22"/>
        </w:rPr>
        <w:t>’</w:t>
      </w:r>
      <w:r w:rsidRPr="004A3269">
        <w:rPr>
          <w:szCs w:val="22"/>
        </w:rPr>
        <w:t>exercice modifiée, les dépenses étant comptabilisées lorsque les biens sont reçus et les services sont fournis.</w:t>
      </w:r>
      <w:r w:rsidR="00373121" w:rsidRPr="004A3269">
        <w:t xml:space="preserve">  </w:t>
      </w:r>
      <w:r w:rsidRPr="004A3269">
        <w:rPr>
          <w:szCs w:val="22"/>
        </w:rPr>
        <w:t>Cependant, avant l</w:t>
      </w:r>
      <w:r w:rsidR="009021AA" w:rsidRPr="004A3269">
        <w:rPr>
          <w:szCs w:val="22"/>
        </w:rPr>
        <w:t>’</w:t>
      </w:r>
      <w:r w:rsidRPr="004A3269">
        <w:rPr>
          <w:szCs w:val="22"/>
        </w:rPr>
        <w:t>incidence des ajustements effectués pour se conformer aux normes</w:t>
      </w:r>
      <w:r w:rsidR="00067463" w:rsidRPr="004A3269">
        <w:rPr>
          <w:szCs w:val="22"/>
        </w:rPr>
        <w:t> </w:t>
      </w:r>
      <w:r w:rsidRPr="004A3269">
        <w:rPr>
          <w:szCs w:val="22"/>
        </w:rPr>
        <w:t>IPSAS, les coûts relatifs à l</w:t>
      </w:r>
      <w:r w:rsidR="009021AA" w:rsidRPr="004A3269">
        <w:rPr>
          <w:szCs w:val="22"/>
        </w:rPr>
        <w:t>’</w:t>
      </w:r>
      <w:r w:rsidRPr="004A3269">
        <w:rPr>
          <w:szCs w:val="22"/>
        </w:rPr>
        <w:t>acquisition d</w:t>
      </w:r>
      <w:r w:rsidR="009021AA" w:rsidRPr="004A3269">
        <w:rPr>
          <w:szCs w:val="22"/>
        </w:rPr>
        <w:t>’</w:t>
      </w:r>
      <w:r w:rsidRPr="004A3269">
        <w:rPr>
          <w:szCs w:val="22"/>
        </w:rPr>
        <w:t xml:space="preserve">équipements, les frais liés à la constitution de stocks et les </w:t>
      </w:r>
      <w:r w:rsidRPr="004A3269">
        <w:rPr>
          <w:szCs w:val="22"/>
        </w:rPr>
        <w:lastRenderedPageBreak/>
        <w:t>dépenses liées à la construction sont comptabilisés en tant que dépenses lorsqu</w:t>
      </w:r>
      <w:r w:rsidR="009021AA" w:rsidRPr="004A3269">
        <w:rPr>
          <w:szCs w:val="22"/>
        </w:rPr>
        <w:t>’</w:t>
      </w:r>
      <w:r w:rsidRPr="004A3269">
        <w:rPr>
          <w:szCs w:val="22"/>
        </w:rPr>
        <w:t>ils sont payés et les provisions pour les prestations après la cessation de service ne sont comptabilisées que dans la mesure financée.</w:t>
      </w:r>
      <w:r w:rsidR="002C671C" w:rsidRPr="004A3269">
        <w:t xml:space="preserve"> </w:t>
      </w:r>
      <w:r w:rsidR="00EB7CB7" w:rsidRPr="004A3269">
        <w:t xml:space="preserve"> </w:t>
      </w:r>
      <w:r w:rsidRPr="004A3269">
        <w:rPr>
          <w:szCs w:val="22"/>
        </w:rPr>
        <w:t>En</w:t>
      </w:r>
      <w:r w:rsidR="00067463" w:rsidRPr="004A3269">
        <w:rPr>
          <w:szCs w:val="22"/>
        </w:rPr>
        <w:t> </w:t>
      </w:r>
      <w:r w:rsidRPr="004A3269">
        <w:rPr>
          <w:szCs w:val="22"/>
        </w:rPr>
        <w:t>2014, en application du parag</w:t>
      </w:r>
      <w:r w:rsidR="00EB7CB7" w:rsidRPr="004A3269">
        <w:rPr>
          <w:szCs w:val="22"/>
        </w:rPr>
        <w:t>raphe </w:t>
      </w:r>
      <w:r w:rsidRPr="004A3269">
        <w:rPr>
          <w:szCs w:val="22"/>
        </w:rPr>
        <w:t>39 du programme et budget de l</w:t>
      </w:r>
      <w:r w:rsidR="009021AA" w:rsidRPr="004A3269">
        <w:rPr>
          <w:szCs w:val="22"/>
        </w:rPr>
        <w:t>’</w:t>
      </w:r>
      <w:r w:rsidRPr="004A3269">
        <w:rPr>
          <w:szCs w:val="22"/>
        </w:rPr>
        <w:t>OM</w:t>
      </w:r>
      <w:r w:rsidR="00EB7CB7" w:rsidRPr="004A3269">
        <w:rPr>
          <w:szCs w:val="22"/>
        </w:rPr>
        <w:t>PI pour l</w:t>
      </w:r>
      <w:r w:rsidR="009021AA" w:rsidRPr="004A3269">
        <w:rPr>
          <w:szCs w:val="22"/>
        </w:rPr>
        <w:t>’</w:t>
      </w:r>
      <w:r w:rsidR="00EB7CB7" w:rsidRPr="004A3269">
        <w:rPr>
          <w:szCs w:val="22"/>
        </w:rPr>
        <w:t>exercice biennal</w:t>
      </w:r>
      <w:r w:rsidR="00067463" w:rsidRPr="004A3269">
        <w:rPr>
          <w:szCs w:val="22"/>
        </w:rPr>
        <w:t> </w:t>
      </w:r>
      <w:r w:rsidR="00EB7CB7" w:rsidRPr="004A3269">
        <w:rPr>
          <w:szCs w:val="22"/>
        </w:rPr>
        <w:t>2014</w:t>
      </w:r>
      <w:r w:rsidR="00A17552" w:rsidRPr="004A3269">
        <w:rPr>
          <w:szCs w:val="22"/>
        </w:rPr>
        <w:noBreakHyphen/>
      </w:r>
      <w:r w:rsidRPr="004A3269">
        <w:rPr>
          <w:szCs w:val="22"/>
        </w:rPr>
        <w:t>2015, une charge additionnelle de 6% au titre du coût des postes a été comptabilisée afin d</w:t>
      </w:r>
      <w:r w:rsidR="009021AA" w:rsidRPr="004A3269">
        <w:rPr>
          <w:szCs w:val="22"/>
        </w:rPr>
        <w:t>’</w:t>
      </w:r>
      <w:r w:rsidRPr="004A3269">
        <w:rPr>
          <w:szCs w:val="22"/>
        </w:rPr>
        <w:t>accroître la provision pour les prestations après la cessation de service.</w:t>
      </w:r>
    </w:p>
    <w:p w:rsidR="00267140" w:rsidRPr="004A3269" w:rsidRDefault="00267140" w:rsidP="000B7D9E">
      <w:pPr>
        <w:jc w:val="both"/>
        <w:rPr>
          <w:szCs w:val="22"/>
        </w:rPr>
      </w:pPr>
    </w:p>
    <w:p w:rsidR="00267140" w:rsidRPr="004A3269" w:rsidRDefault="00EB7CB7" w:rsidP="001526C8">
      <w:pPr>
        <w:jc w:val="both"/>
        <w:rPr>
          <w:szCs w:val="22"/>
        </w:rPr>
      </w:pPr>
      <w:r w:rsidRPr="004A3269">
        <w:rPr>
          <w:szCs w:val="22"/>
        </w:rPr>
        <w:t>En </w:t>
      </w:r>
      <w:r w:rsidR="001526C8" w:rsidRPr="004A3269">
        <w:rPr>
          <w:szCs w:val="22"/>
        </w:rPr>
        <w:t>outre, les modifications apportées aux provisions pour créances douteuses, à l</w:t>
      </w:r>
      <w:r w:rsidR="009021AA" w:rsidRPr="004A3269">
        <w:rPr>
          <w:szCs w:val="22"/>
        </w:rPr>
        <w:t>’</w:t>
      </w:r>
      <w:r w:rsidR="001526C8" w:rsidRPr="004A3269">
        <w:rPr>
          <w:szCs w:val="22"/>
        </w:rPr>
        <w:t>amortissement de l</w:t>
      </w:r>
      <w:r w:rsidR="009021AA" w:rsidRPr="004A3269">
        <w:rPr>
          <w:szCs w:val="22"/>
        </w:rPr>
        <w:t>’</w:t>
      </w:r>
      <w:r w:rsidR="001526C8" w:rsidRPr="004A3269">
        <w:rPr>
          <w:szCs w:val="22"/>
        </w:rPr>
        <w:t xml:space="preserve">équipement et des bâtiments et à la sortie des équipements ne sont pas comptabilisées en tant que dépenses </w:t>
      </w:r>
      <w:r w:rsidR="000655BD" w:rsidRPr="004A3269">
        <w:rPr>
          <w:rStyle w:val="hps"/>
        </w:rPr>
        <w:t>dans</w:t>
      </w:r>
      <w:r w:rsidR="007667E1" w:rsidRPr="004A3269">
        <w:rPr>
          <w:rStyle w:val="hps"/>
        </w:rPr>
        <w:t xml:space="preserve"> la</w:t>
      </w:r>
      <w:r w:rsidR="007667E1" w:rsidRPr="004A3269">
        <w:t xml:space="preserve"> </w:t>
      </w:r>
      <w:r w:rsidR="007667E1" w:rsidRPr="004A3269">
        <w:rPr>
          <w:rStyle w:val="hps"/>
        </w:rPr>
        <w:t>comptabilité d</w:t>
      </w:r>
      <w:r w:rsidR="009021AA" w:rsidRPr="004A3269">
        <w:rPr>
          <w:rStyle w:val="hps"/>
        </w:rPr>
        <w:t>’</w:t>
      </w:r>
      <w:r w:rsidR="007667E1" w:rsidRPr="004A3269">
        <w:rPr>
          <w:rStyle w:val="hps"/>
        </w:rPr>
        <w:t xml:space="preserve">exercice </w:t>
      </w:r>
      <w:r w:rsidR="000655BD" w:rsidRPr="004A3269">
        <w:rPr>
          <w:rStyle w:val="hps"/>
        </w:rPr>
        <w:t>intégrale</w:t>
      </w:r>
      <w:r w:rsidR="007667E1" w:rsidRPr="004A3269">
        <w:t xml:space="preserve">. </w:t>
      </w:r>
      <w:r w:rsidR="000655BD" w:rsidRPr="004A3269">
        <w:t xml:space="preserve"> L</w:t>
      </w:r>
      <w:r w:rsidR="007667E1" w:rsidRPr="004A3269">
        <w:rPr>
          <w:rStyle w:val="hps"/>
        </w:rPr>
        <w:t>es</w:t>
      </w:r>
      <w:r w:rsidR="007667E1" w:rsidRPr="004A3269">
        <w:t xml:space="preserve"> </w:t>
      </w:r>
      <w:r w:rsidR="007667E1" w:rsidRPr="004A3269">
        <w:rPr>
          <w:rStyle w:val="hps"/>
        </w:rPr>
        <w:t>coûts d</w:t>
      </w:r>
      <w:r w:rsidR="009021AA" w:rsidRPr="004A3269">
        <w:rPr>
          <w:rStyle w:val="hps"/>
        </w:rPr>
        <w:t>’</w:t>
      </w:r>
      <w:r w:rsidR="007667E1" w:rsidRPr="004A3269">
        <w:rPr>
          <w:rStyle w:val="hps"/>
        </w:rPr>
        <w:t>amortissement</w:t>
      </w:r>
      <w:r w:rsidR="007667E1" w:rsidRPr="004A3269">
        <w:t xml:space="preserve"> </w:t>
      </w:r>
      <w:r w:rsidR="007667E1" w:rsidRPr="004A3269">
        <w:rPr>
          <w:rStyle w:val="hps"/>
        </w:rPr>
        <w:t>des bâtiments (</w:t>
      </w:r>
      <w:r w:rsidR="007667E1" w:rsidRPr="004A3269">
        <w:t>7,1</w:t>
      </w:r>
      <w:r w:rsidR="000655BD" w:rsidRPr="004A3269">
        <w:t> </w:t>
      </w:r>
      <w:r w:rsidR="007667E1" w:rsidRPr="004A3269">
        <w:t xml:space="preserve">millions </w:t>
      </w:r>
      <w:r w:rsidR="007667E1" w:rsidRPr="004A3269">
        <w:rPr>
          <w:rStyle w:val="hps"/>
        </w:rPr>
        <w:t>de francs suisses)</w:t>
      </w:r>
      <w:r w:rsidR="007667E1" w:rsidRPr="004A3269">
        <w:t xml:space="preserve">, </w:t>
      </w:r>
      <w:r w:rsidR="000655BD" w:rsidRPr="004A3269">
        <w:t>des</w:t>
      </w:r>
      <w:r w:rsidR="007667E1" w:rsidRPr="004A3269">
        <w:t xml:space="preserve"> </w:t>
      </w:r>
      <w:r w:rsidR="000655BD" w:rsidRPr="004A3269">
        <w:t xml:space="preserve">actifs incorporels </w:t>
      </w:r>
      <w:r w:rsidR="000655BD" w:rsidRPr="004A3269">
        <w:rPr>
          <w:rStyle w:val="hps"/>
        </w:rPr>
        <w:t>(1,2 </w:t>
      </w:r>
      <w:r w:rsidR="007667E1" w:rsidRPr="004A3269">
        <w:rPr>
          <w:rStyle w:val="hps"/>
        </w:rPr>
        <w:t>million de</w:t>
      </w:r>
      <w:r w:rsidR="007667E1" w:rsidRPr="004A3269">
        <w:t xml:space="preserve"> </w:t>
      </w:r>
      <w:r w:rsidR="007667E1" w:rsidRPr="004A3269">
        <w:rPr>
          <w:rStyle w:val="hps"/>
        </w:rPr>
        <w:t>francs suisses) et</w:t>
      </w:r>
      <w:r w:rsidR="007667E1" w:rsidRPr="004A3269">
        <w:t xml:space="preserve"> </w:t>
      </w:r>
      <w:r w:rsidR="000655BD" w:rsidRPr="004A3269">
        <w:t>de l</w:t>
      </w:r>
      <w:r w:rsidR="009021AA" w:rsidRPr="004A3269">
        <w:t>’</w:t>
      </w:r>
      <w:r w:rsidR="007667E1" w:rsidRPr="004A3269">
        <w:rPr>
          <w:rStyle w:val="hps"/>
        </w:rPr>
        <w:t>équipement</w:t>
      </w:r>
      <w:r w:rsidR="007667E1" w:rsidRPr="004A3269">
        <w:t xml:space="preserve"> </w:t>
      </w:r>
      <w:r w:rsidR="007667E1" w:rsidRPr="004A3269">
        <w:rPr>
          <w:rStyle w:val="hps"/>
        </w:rPr>
        <w:t>(</w:t>
      </w:r>
      <w:r w:rsidR="000655BD" w:rsidRPr="004A3269">
        <w:t>0,8 </w:t>
      </w:r>
      <w:r w:rsidR="007667E1" w:rsidRPr="004A3269">
        <w:t xml:space="preserve">million </w:t>
      </w:r>
      <w:r w:rsidR="007667E1" w:rsidRPr="004A3269">
        <w:rPr>
          <w:rStyle w:val="hps"/>
        </w:rPr>
        <w:t>de francs suisses)</w:t>
      </w:r>
      <w:r w:rsidR="007667E1" w:rsidRPr="004A3269">
        <w:t xml:space="preserve"> </w:t>
      </w:r>
      <w:r w:rsidR="007667E1" w:rsidRPr="004A3269">
        <w:rPr>
          <w:rStyle w:val="hps"/>
        </w:rPr>
        <w:t xml:space="preserve">sont traités </w:t>
      </w:r>
      <w:r w:rsidR="000655BD" w:rsidRPr="004A3269">
        <w:rPr>
          <w:rStyle w:val="hps"/>
        </w:rPr>
        <w:t>en tant qu</w:t>
      </w:r>
      <w:r w:rsidR="009021AA" w:rsidRPr="004A3269">
        <w:rPr>
          <w:rStyle w:val="hps"/>
        </w:rPr>
        <w:t>’</w:t>
      </w:r>
      <w:r w:rsidR="007667E1" w:rsidRPr="004A3269">
        <w:rPr>
          <w:rStyle w:val="hps"/>
        </w:rPr>
        <w:t>ajustements IPSAS</w:t>
      </w:r>
      <w:r w:rsidR="007667E1" w:rsidRPr="004A3269">
        <w:t>.</w:t>
      </w:r>
      <w:r w:rsidR="000655BD" w:rsidRPr="004A3269">
        <w:t xml:space="preserve"> </w:t>
      </w:r>
      <w:r w:rsidR="007667E1" w:rsidRPr="004A3269">
        <w:t xml:space="preserve"> </w:t>
      </w:r>
      <w:r w:rsidR="007667E1" w:rsidRPr="004A3269">
        <w:rPr>
          <w:rStyle w:val="hps"/>
        </w:rPr>
        <w:t>Le transfert</w:t>
      </w:r>
      <w:r w:rsidR="007667E1" w:rsidRPr="004A3269">
        <w:t xml:space="preserve"> </w:t>
      </w:r>
      <w:r w:rsidR="000655BD" w:rsidRPr="004A3269">
        <w:rPr>
          <w:rStyle w:val="hps"/>
        </w:rPr>
        <w:t>aux</w:t>
      </w:r>
      <w:r w:rsidR="007667E1" w:rsidRPr="004A3269">
        <w:rPr>
          <w:rStyle w:val="hps"/>
        </w:rPr>
        <w:t xml:space="preserve"> immobilisations</w:t>
      </w:r>
      <w:r w:rsidR="007667E1" w:rsidRPr="004A3269">
        <w:t xml:space="preserve"> </w:t>
      </w:r>
      <w:r w:rsidR="007667E1" w:rsidRPr="004A3269">
        <w:rPr>
          <w:rStyle w:val="hps"/>
        </w:rPr>
        <w:t>des coûts</w:t>
      </w:r>
      <w:r w:rsidR="007667E1" w:rsidRPr="004A3269">
        <w:t xml:space="preserve"> </w:t>
      </w:r>
      <w:r w:rsidR="007667E1" w:rsidRPr="004A3269">
        <w:rPr>
          <w:rStyle w:val="hps"/>
        </w:rPr>
        <w:t>de construction</w:t>
      </w:r>
      <w:r w:rsidR="007667E1" w:rsidRPr="004A3269">
        <w:t xml:space="preserve"> </w:t>
      </w:r>
      <w:r w:rsidR="000655BD" w:rsidRPr="004A3269">
        <w:rPr>
          <w:rStyle w:val="hps"/>
        </w:rPr>
        <w:t>et d</w:t>
      </w:r>
      <w:r w:rsidR="009021AA" w:rsidRPr="004A3269">
        <w:rPr>
          <w:rStyle w:val="hps"/>
        </w:rPr>
        <w:t>’</w:t>
      </w:r>
      <w:r w:rsidR="000655BD" w:rsidRPr="004A3269">
        <w:rPr>
          <w:rStyle w:val="hps"/>
        </w:rPr>
        <w:t>ajouts aux</w:t>
      </w:r>
      <w:r w:rsidR="007667E1" w:rsidRPr="004A3269">
        <w:rPr>
          <w:rStyle w:val="hps"/>
        </w:rPr>
        <w:t xml:space="preserve"> bâtiments</w:t>
      </w:r>
      <w:r w:rsidR="007667E1" w:rsidRPr="004A3269">
        <w:t xml:space="preserve"> </w:t>
      </w:r>
      <w:r w:rsidR="007667E1" w:rsidRPr="004A3269">
        <w:rPr>
          <w:rStyle w:val="hps"/>
        </w:rPr>
        <w:t>(</w:t>
      </w:r>
      <w:r w:rsidR="000655BD" w:rsidRPr="004A3269">
        <w:t>30,4 </w:t>
      </w:r>
      <w:r w:rsidR="007667E1" w:rsidRPr="004A3269">
        <w:t xml:space="preserve">millions </w:t>
      </w:r>
      <w:r w:rsidR="007667E1" w:rsidRPr="004A3269">
        <w:rPr>
          <w:rStyle w:val="hps"/>
        </w:rPr>
        <w:t>de francs suisses)</w:t>
      </w:r>
      <w:r w:rsidR="007667E1" w:rsidRPr="004A3269">
        <w:t xml:space="preserve"> </w:t>
      </w:r>
      <w:r w:rsidR="000655BD" w:rsidRPr="004A3269">
        <w:rPr>
          <w:rStyle w:val="hps"/>
        </w:rPr>
        <w:t>est</w:t>
      </w:r>
      <w:r w:rsidR="007667E1" w:rsidRPr="004A3269">
        <w:rPr>
          <w:rStyle w:val="hps"/>
        </w:rPr>
        <w:t xml:space="preserve"> également inclus</w:t>
      </w:r>
      <w:r w:rsidR="007667E1" w:rsidRPr="004A3269">
        <w:t xml:space="preserve"> </w:t>
      </w:r>
      <w:r w:rsidR="007667E1" w:rsidRPr="004A3269">
        <w:rPr>
          <w:rStyle w:val="hps"/>
        </w:rPr>
        <w:t>dans les</w:t>
      </w:r>
      <w:r w:rsidR="007667E1" w:rsidRPr="004A3269">
        <w:t xml:space="preserve"> </w:t>
      </w:r>
      <w:r w:rsidR="007667E1" w:rsidRPr="004A3269">
        <w:rPr>
          <w:rStyle w:val="hps"/>
        </w:rPr>
        <w:t>ajustements IPSAS</w:t>
      </w:r>
      <w:r w:rsidR="00717A07" w:rsidRPr="004A3269">
        <w:rPr>
          <w:szCs w:val="22"/>
        </w:rPr>
        <w:t>.</w:t>
      </w:r>
    </w:p>
    <w:p w:rsidR="00267140" w:rsidRDefault="00267140" w:rsidP="002A03DE">
      <w:pPr>
        <w:pStyle w:val="Styletexte"/>
        <w:spacing w:after="0"/>
        <w:rPr>
          <w:szCs w:val="22"/>
        </w:rPr>
      </w:pPr>
    </w:p>
    <w:p w:rsidR="00B7582E" w:rsidRPr="004A3269" w:rsidRDefault="00B7582E" w:rsidP="002A03DE">
      <w:pPr>
        <w:pStyle w:val="Styletexte"/>
        <w:spacing w:after="0"/>
        <w:rPr>
          <w:szCs w:val="22"/>
        </w:rPr>
      </w:pPr>
    </w:p>
    <w:p w:rsidR="00267140" w:rsidRPr="004A3269" w:rsidRDefault="00EB7CB7" w:rsidP="00EB7CB7">
      <w:pPr>
        <w:pStyle w:val="StyleHeading211ptNotBoldNotItalicAllcaps"/>
        <w:tabs>
          <w:tab w:val="left" w:pos="1701"/>
        </w:tabs>
        <w:spacing w:before="0" w:after="0"/>
        <w:rPr>
          <w:szCs w:val="22"/>
        </w:rPr>
      </w:pPr>
      <w:r w:rsidRPr="004A3269">
        <w:rPr>
          <w:b/>
          <w:i w:val="0"/>
          <w:szCs w:val="22"/>
        </w:rPr>
        <w:t>NOTE N°</w:t>
      </w:r>
      <w:r w:rsidRPr="004A3269">
        <w:rPr>
          <w:i w:val="0"/>
          <w:szCs w:val="22"/>
        </w:rPr>
        <w:t xml:space="preserve"> </w:t>
      </w:r>
      <w:r w:rsidRPr="004A3269">
        <w:rPr>
          <w:b/>
          <w:i w:val="0"/>
          <w:szCs w:val="22"/>
        </w:rPr>
        <w:t>25</w:t>
      </w:r>
      <w:r w:rsidR="00A0797A" w:rsidRPr="004A3269">
        <w:rPr>
          <w:i w:val="0"/>
          <w:szCs w:val="22"/>
        </w:rPr>
        <w:t> :</w:t>
      </w:r>
      <w:r w:rsidRPr="004A3269">
        <w:rPr>
          <w:b/>
          <w:i w:val="0"/>
          <w:szCs w:val="22"/>
        </w:rPr>
        <w:t xml:space="preserve"> </w:t>
      </w:r>
      <w:r w:rsidRPr="004A3269">
        <w:rPr>
          <w:b/>
          <w:i w:val="0"/>
          <w:szCs w:val="22"/>
        </w:rPr>
        <w:tab/>
        <w:t>INSTRUMENTS FINANCIERS</w:t>
      </w:r>
    </w:p>
    <w:p w:rsidR="00267140" w:rsidRPr="004A3269" w:rsidRDefault="00267140" w:rsidP="006D0C30">
      <w:pPr>
        <w:pStyle w:val="StyleHeading211ptNotBoldNotItalicAllcaps"/>
        <w:spacing w:before="0" w:after="0"/>
        <w:rPr>
          <w:b/>
          <w:szCs w:val="22"/>
        </w:rPr>
      </w:pPr>
    </w:p>
    <w:p w:rsidR="00267140" w:rsidRPr="004A3269" w:rsidRDefault="001526C8" w:rsidP="001526C8">
      <w:pPr>
        <w:autoSpaceDE w:val="0"/>
        <w:autoSpaceDN w:val="0"/>
        <w:adjustRightInd w:val="0"/>
        <w:jc w:val="both"/>
        <w:rPr>
          <w:szCs w:val="22"/>
          <w:lang w:eastAsia="en-GB"/>
        </w:rPr>
      </w:pPr>
      <w:r w:rsidRPr="004A3269">
        <w:rPr>
          <w:szCs w:val="22"/>
        </w:rPr>
        <w:t>L</w:t>
      </w:r>
      <w:r w:rsidR="009021AA" w:rsidRPr="004A3269">
        <w:rPr>
          <w:szCs w:val="22"/>
        </w:rPr>
        <w:t>’</w:t>
      </w:r>
      <w:r w:rsidRPr="004A3269">
        <w:rPr>
          <w:szCs w:val="22"/>
        </w:rPr>
        <w:t>Organisation est exposée à des risques de change, de crédit, de taux d</w:t>
      </w:r>
      <w:r w:rsidR="009021AA" w:rsidRPr="004A3269">
        <w:rPr>
          <w:szCs w:val="22"/>
        </w:rPr>
        <w:t>’</w:t>
      </w:r>
      <w:r w:rsidRPr="004A3269">
        <w:rPr>
          <w:szCs w:val="22"/>
        </w:rPr>
        <w:t>intérêt et de liquidité pendant le cours normal de ses opérations.</w:t>
      </w:r>
      <w:r w:rsidR="00E01D49" w:rsidRPr="004A3269">
        <w:t xml:space="preserve"> </w:t>
      </w:r>
      <w:r w:rsidR="00EB7CB7" w:rsidRPr="004A3269">
        <w:t xml:space="preserve"> </w:t>
      </w:r>
      <w:r w:rsidRPr="004A3269">
        <w:rPr>
          <w:szCs w:val="22"/>
        </w:rPr>
        <w:t>La présente note donne des informations sur l</w:t>
      </w:r>
      <w:r w:rsidR="009021AA" w:rsidRPr="004A3269">
        <w:rPr>
          <w:szCs w:val="22"/>
        </w:rPr>
        <w:t>’</w:t>
      </w:r>
      <w:r w:rsidRPr="004A3269">
        <w:rPr>
          <w:szCs w:val="22"/>
        </w:rPr>
        <w:t>exposition de l</w:t>
      </w:r>
      <w:r w:rsidR="009021AA" w:rsidRPr="004A3269">
        <w:rPr>
          <w:szCs w:val="22"/>
        </w:rPr>
        <w:t>’</w:t>
      </w:r>
      <w:r w:rsidRPr="004A3269">
        <w:rPr>
          <w:szCs w:val="22"/>
        </w:rPr>
        <w:t>UPOV à chacun de ces risques ainsi que sur les politiques et processus d</w:t>
      </w:r>
      <w:r w:rsidR="009021AA" w:rsidRPr="004A3269">
        <w:rPr>
          <w:szCs w:val="22"/>
        </w:rPr>
        <w:t>’</w:t>
      </w:r>
      <w:r w:rsidRPr="004A3269">
        <w:rPr>
          <w:szCs w:val="22"/>
        </w:rPr>
        <w:t>évaluation et de gestion des risques.</w:t>
      </w:r>
    </w:p>
    <w:p w:rsidR="00267140" w:rsidRPr="004A3269" w:rsidRDefault="00267140" w:rsidP="00FF54A6">
      <w:pPr>
        <w:autoSpaceDE w:val="0"/>
        <w:autoSpaceDN w:val="0"/>
        <w:adjustRightInd w:val="0"/>
        <w:jc w:val="both"/>
        <w:rPr>
          <w:szCs w:val="22"/>
          <w:lang w:eastAsia="en-GB"/>
        </w:rPr>
      </w:pPr>
    </w:p>
    <w:p w:rsidR="00267140" w:rsidRPr="004A3269" w:rsidRDefault="001526C8" w:rsidP="001526C8">
      <w:pPr>
        <w:autoSpaceDE w:val="0"/>
        <w:autoSpaceDN w:val="0"/>
        <w:adjustRightInd w:val="0"/>
        <w:jc w:val="both"/>
        <w:rPr>
          <w:b/>
          <w:szCs w:val="22"/>
          <w:lang w:eastAsia="en-GB"/>
        </w:rPr>
      </w:pPr>
      <w:r w:rsidRPr="004A3269">
        <w:rPr>
          <w:b/>
          <w:szCs w:val="22"/>
          <w:lang w:eastAsia="en-GB"/>
        </w:rPr>
        <w:t>Juste valeur</w:t>
      </w:r>
    </w:p>
    <w:p w:rsidR="00267140" w:rsidRPr="004A3269" w:rsidRDefault="00267140" w:rsidP="00FF54A6">
      <w:pPr>
        <w:autoSpaceDE w:val="0"/>
        <w:autoSpaceDN w:val="0"/>
        <w:adjustRightInd w:val="0"/>
        <w:jc w:val="both"/>
        <w:rPr>
          <w:szCs w:val="22"/>
          <w:lang w:eastAsia="en-GB"/>
        </w:rPr>
      </w:pPr>
    </w:p>
    <w:p w:rsidR="00267140" w:rsidRPr="004A3269" w:rsidRDefault="00EB7CB7" w:rsidP="001526C8">
      <w:pPr>
        <w:autoSpaceDE w:val="0"/>
        <w:autoSpaceDN w:val="0"/>
        <w:adjustRightInd w:val="0"/>
        <w:jc w:val="both"/>
        <w:rPr>
          <w:szCs w:val="22"/>
          <w:lang w:eastAsia="en-GB"/>
        </w:rPr>
      </w:pPr>
      <w:r w:rsidRPr="004A3269">
        <w:rPr>
          <w:szCs w:val="22"/>
          <w:lang w:eastAsia="en-GB"/>
        </w:rPr>
        <w:t>On trouvera ci</w:t>
      </w:r>
      <w:r w:rsidR="00A17552" w:rsidRPr="004A3269">
        <w:rPr>
          <w:szCs w:val="22"/>
          <w:lang w:eastAsia="en-GB"/>
        </w:rPr>
        <w:noBreakHyphen/>
      </w:r>
      <w:r w:rsidR="001526C8" w:rsidRPr="004A3269">
        <w:rPr>
          <w:szCs w:val="22"/>
          <w:lang w:eastAsia="en-GB"/>
        </w:rPr>
        <w:t>dessous une comparaison par classe des valeurs comptables et de la juste valeur des instruments financiers de l</w:t>
      </w:r>
      <w:r w:rsidR="009021AA" w:rsidRPr="004A3269">
        <w:rPr>
          <w:szCs w:val="22"/>
          <w:lang w:eastAsia="en-GB"/>
        </w:rPr>
        <w:t>’</w:t>
      </w:r>
      <w:r w:rsidR="001526C8" w:rsidRPr="004A3269">
        <w:rPr>
          <w:szCs w:val="22"/>
          <w:lang w:eastAsia="en-GB"/>
        </w:rPr>
        <w:t>Organisation.</w:t>
      </w:r>
    </w:p>
    <w:p w:rsidR="00267140" w:rsidRDefault="00267140" w:rsidP="00745B5A">
      <w:pPr>
        <w:autoSpaceDE w:val="0"/>
        <w:autoSpaceDN w:val="0"/>
        <w:adjustRightInd w:val="0"/>
      </w:pPr>
    </w:p>
    <w:p w:rsidR="00680CD7" w:rsidRDefault="00680CD7" w:rsidP="00680CD7">
      <w:pPr>
        <w:autoSpaceDE w:val="0"/>
        <w:autoSpaceDN w:val="0"/>
        <w:adjustRightInd w:val="0"/>
        <w:jc w:val="center"/>
      </w:pPr>
      <w:r w:rsidRPr="00680CD7">
        <w:rPr>
          <w:noProof/>
          <w:lang w:val="en-US"/>
        </w:rPr>
        <w:drawing>
          <wp:inline distT="0" distB="0" distL="0" distR="0">
            <wp:extent cx="5438683" cy="218995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39123" cy="2190127"/>
                    </a:xfrm>
                    <a:prstGeom prst="rect">
                      <a:avLst/>
                    </a:prstGeom>
                    <a:noFill/>
                    <a:ln>
                      <a:noFill/>
                    </a:ln>
                  </pic:spPr>
                </pic:pic>
              </a:graphicData>
            </a:graphic>
          </wp:inline>
        </w:drawing>
      </w:r>
    </w:p>
    <w:p w:rsidR="00680CD7" w:rsidRDefault="00680CD7" w:rsidP="00680CD7">
      <w:pPr>
        <w:autoSpaceDE w:val="0"/>
        <w:autoSpaceDN w:val="0"/>
        <w:adjustRightInd w:val="0"/>
        <w:jc w:val="center"/>
      </w:pPr>
    </w:p>
    <w:p w:rsidR="00680CD7" w:rsidRPr="004A3269" w:rsidRDefault="00680CD7" w:rsidP="00680CD7">
      <w:pPr>
        <w:autoSpaceDE w:val="0"/>
        <w:autoSpaceDN w:val="0"/>
        <w:adjustRightInd w:val="0"/>
        <w:jc w:val="center"/>
      </w:pPr>
      <w:r w:rsidRPr="00680CD7">
        <w:rPr>
          <w:noProof/>
          <w:lang w:val="en-US"/>
        </w:rPr>
        <w:lastRenderedPageBreak/>
        <w:drawing>
          <wp:inline distT="0" distB="0" distL="0" distR="0">
            <wp:extent cx="5248275" cy="2435860"/>
            <wp:effectExtent l="0" t="0" r="952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48275" cy="2435860"/>
                    </a:xfrm>
                    <a:prstGeom prst="rect">
                      <a:avLst/>
                    </a:prstGeom>
                    <a:noFill/>
                    <a:ln>
                      <a:noFill/>
                    </a:ln>
                  </pic:spPr>
                </pic:pic>
              </a:graphicData>
            </a:graphic>
          </wp:inline>
        </w:drawing>
      </w:r>
    </w:p>
    <w:p w:rsidR="008076B5" w:rsidRPr="004A3269" w:rsidRDefault="008076B5" w:rsidP="008076B5">
      <w:pPr>
        <w:autoSpaceDE w:val="0"/>
        <w:autoSpaceDN w:val="0"/>
        <w:adjustRightInd w:val="0"/>
        <w:jc w:val="center"/>
        <w:rPr>
          <w:szCs w:val="22"/>
          <w:lang w:eastAsia="en-GB"/>
        </w:rPr>
      </w:pPr>
    </w:p>
    <w:p w:rsidR="008076B5" w:rsidRPr="004A3269" w:rsidRDefault="008076B5" w:rsidP="008076B5">
      <w:pPr>
        <w:autoSpaceDE w:val="0"/>
        <w:autoSpaceDN w:val="0"/>
        <w:adjustRightInd w:val="0"/>
        <w:rPr>
          <w:szCs w:val="22"/>
          <w:lang w:eastAsia="en-GB"/>
        </w:rPr>
      </w:pPr>
    </w:p>
    <w:p w:rsidR="00267140" w:rsidRPr="004A3269" w:rsidRDefault="001526C8" w:rsidP="008076B5">
      <w:pPr>
        <w:autoSpaceDE w:val="0"/>
        <w:autoSpaceDN w:val="0"/>
        <w:adjustRightInd w:val="0"/>
        <w:rPr>
          <w:szCs w:val="22"/>
          <w:lang w:eastAsia="en-GB"/>
        </w:rPr>
      </w:pPr>
      <w:r w:rsidRPr="004A3269">
        <w:rPr>
          <w:szCs w:val="22"/>
          <w:lang w:eastAsia="en-GB"/>
        </w:rPr>
        <w:t xml:space="preserve">La juste valeur des actifs et passifs financiers est </w:t>
      </w:r>
      <w:proofErr w:type="gramStart"/>
      <w:r w:rsidRPr="004A3269">
        <w:rPr>
          <w:szCs w:val="22"/>
          <w:lang w:eastAsia="en-GB"/>
        </w:rPr>
        <w:t>incorporée</w:t>
      </w:r>
      <w:proofErr w:type="gramEnd"/>
      <w:r w:rsidRPr="004A3269">
        <w:rPr>
          <w:szCs w:val="22"/>
          <w:lang w:eastAsia="en-GB"/>
        </w:rPr>
        <w:t xml:space="preserve"> au montant auquel l</w:t>
      </w:r>
      <w:r w:rsidR="009021AA" w:rsidRPr="004A3269">
        <w:rPr>
          <w:szCs w:val="22"/>
          <w:lang w:eastAsia="en-GB"/>
        </w:rPr>
        <w:t>’</w:t>
      </w:r>
      <w:r w:rsidRPr="004A3269">
        <w:rPr>
          <w:szCs w:val="22"/>
          <w:lang w:eastAsia="en-GB"/>
        </w:rPr>
        <w:t>instrument pourrait être échangé dans une transaction entre parties consentantes autre qu</w:t>
      </w:r>
      <w:r w:rsidR="009021AA" w:rsidRPr="004A3269">
        <w:rPr>
          <w:szCs w:val="22"/>
          <w:lang w:eastAsia="en-GB"/>
        </w:rPr>
        <w:t>’</w:t>
      </w:r>
      <w:r w:rsidRPr="004A3269">
        <w:rPr>
          <w:szCs w:val="22"/>
          <w:lang w:eastAsia="en-GB"/>
        </w:rPr>
        <w:t>une vente forcée ou une liquidation.</w:t>
      </w:r>
      <w:r w:rsidR="00F27BE0" w:rsidRPr="004A3269">
        <w:t xml:space="preserve"> </w:t>
      </w:r>
      <w:r w:rsidR="00EB7CB7" w:rsidRPr="004A3269">
        <w:t xml:space="preserve"> </w:t>
      </w:r>
      <w:r w:rsidRPr="004A3269">
        <w:rPr>
          <w:szCs w:val="22"/>
          <w:lang w:eastAsia="en-GB"/>
        </w:rPr>
        <w:t>Les méthodes et hypothèses suivantes ont été utilisées pour estimer les justes valeurs</w:t>
      </w:r>
      <w:r w:rsidR="00A0797A" w:rsidRPr="004A3269">
        <w:rPr>
          <w:szCs w:val="22"/>
          <w:lang w:eastAsia="en-GB"/>
        </w:rPr>
        <w:t> :</w:t>
      </w:r>
    </w:p>
    <w:p w:rsidR="00267140" w:rsidRPr="004A3269" w:rsidRDefault="00267140" w:rsidP="00F27BE0">
      <w:pPr>
        <w:autoSpaceDE w:val="0"/>
        <w:autoSpaceDN w:val="0"/>
        <w:adjustRightInd w:val="0"/>
        <w:jc w:val="both"/>
        <w:rPr>
          <w:szCs w:val="22"/>
          <w:lang w:eastAsia="en-GB"/>
        </w:rPr>
      </w:pPr>
    </w:p>
    <w:p w:rsidR="00267140" w:rsidRPr="004A3269" w:rsidRDefault="001526C8" w:rsidP="001526C8">
      <w:pPr>
        <w:numPr>
          <w:ilvl w:val="0"/>
          <w:numId w:val="12"/>
        </w:numPr>
        <w:autoSpaceDE w:val="0"/>
        <w:autoSpaceDN w:val="0"/>
        <w:adjustRightInd w:val="0"/>
        <w:jc w:val="both"/>
        <w:rPr>
          <w:szCs w:val="22"/>
          <w:lang w:eastAsia="en-GB"/>
        </w:rPr>
      </w:pPr>
      <w:r w:rsidRPr="004A3269">
        <w:rPr>
          <w:szCs w:val="22"/>
          <w:lang w:eastAsia="en-GB"/>
        </w:rPr>
        <w:t>les dépôts en liquide et à court terme, les créances provenant des opérations de change, les comptes de créanciers et autres passifs courants sont proches de leurs valeurs comptables en raison des échéances à court terme de ces instruments;</w:t>
      </w:r>
    </w:p>
    <w:p w:rsidR="00267140" w:rsidRPr="004A3269" w:rsidRDefault="001526C8" w:rsidP="001526C8">
      <w:pPr>
        <w:numPr>
          <w:ilvl w:val="0"/>
          <w:numId w:val="12"/>
        </w:numPr>
        <w:jc w:val="both"/>
        <w:rPr>
          <w:b/>
          <w:szCs w:val="22"/>
        </w:rPr>
      </w:pPr>
      <w:r w:rsidRPr="004A3269">
        <w:rPr>
          <w:szCs w:val="22"/>
          <w:lang w:eastAsia="en-GB"/>
        </w:rPr>
        <w:t>les prêts à long terme, les comptes de débiteurs et les emprunts sont évalués par l</w:t>
      </w:r>
      <w:r w:rsidR="009021AA" w:rsidRPr="004A3269">
        <w:rPr>
          <w:szCs w:val="22"/>
          <w:lang w:eastAsia="en-GB"/>
        </w:rPr>
        <w:t>’</w:t>
      </w:r>
      <w:r w:rsidRPr="004A3269">
        <w:rPr>
          <w:szCs w:val="22"/>
          <w:lang w:eastAsia="en-GB"/>
        </w:rPr>
        <w:t>Organisation sur la base de paramètres tels que les taux d</w:t>
      </w:r>
      <w:r w:rsidR="009021AA" w:rsidRPr="004A3269">
        <w:rPr>
          <w:szCs w:val="22"/>
          <w:lang w:eastAsia="en-GB"/>
        </w:rPr>
        <w:t>’</w:t>
      </w:r>
      <w:r w:rsidRPr="004A3269">
        <w:rPr>
          <w:szCs w:val="22"/>
          <w:lang w:eastAsia="en-GB"/>
        </w:rPr>
        <w:t>intérêt et les caractéristiques de risque.</w:t>
      </w:r>
      <w:r w:rsidR="00827312" w:rsidRPr="004A3269">
        <w:t xml:space="preserve"> </w:t>
      </w:r>
      <w:r w:rsidR="00EB7CB7" w:rsidRPr="004A3269">
        <w:t xml:space="preserve"> </w:t>
      </w:r>
      <w:r w:rsidRPr="004A3269">
        <w:rPr>
          <w:szCs w:val="22"/>
          <w:lang w:eastAsia="en-GB"/>
        </w:rPr>
        <w:t xml:space="preserve">Des provisions ont été établies pour les comptes de débiteur issus de transactions sans contrepartie qui couvrent les montants dus par les États membres ayant perdu le droit de vote en </w:t>
      </w:r>
      <w:r w:rsidR="00EB7CB7" w:rsidRPr="004A3269">
        <w:rPr>
          <w:szCs w:val="22"/>
          <w:lang w:eastAsia="en-GB"/>
        </w:rPr>
        <w:t>vertu du paragraphe </w:t>
      </w:r>
      <w:r w:rsidRPr="004A3269">
        <w:rPr>
          <w:szCs w:val="22"/>
          <w:lang w:eastAsia="en-GB"/>
        </w:rPr>
        <w:t>5 de l</w:t>
      </w:r>
      <w:r w:rsidR="009021AA" w:rsidRPr="004A3269">
        <w:rPr>
          <w:szCs w:val="22"/>
          <w:lang w:eastAsia="en-GB"/>
        </w:rPr>
        <w:t>’</w:t>
      </w:r>
      <w:r w:rsidRPr="004A3269">
        <w:rPr>
          <w:szCs w:val="22"/>
          <w:lang w:eastAsia="en-GB"/>
        </w:rPr>
        <w:t>article</w:t>
      </w:r>
      <w:r w:rsidR="00EB7CB7" w:rsidRPr="004A3269">
        <w:rPr>
          <w:szCs w:val="22"/>
          <w:lang w:eastAsia="en-GB"/>
        </w:rPr>
        <w:t> </w:t>
      </w:r>
      <w:r w:rsidRPr="004A3269">
        <w:rPr>
          <w:szCs w:val="22"/>
          <w:lang w:eastAsia="en-GB"/>
        </w:rPr>
        <w:t>11 de la Convention instituant l</w:t>
      </w:r>
      <w:r w:rsidR="009021AA" w:rsidRPr="004A3269">
        <w:rPr>
          <w:szCs w:val="22"/>
          <w:lang w:eastAsia="en-GB"/>
        </w:rPr>
        <w:t>’</w:t>
      </w:r>
      <w:r w:rsidRPr="004A3269">
        <w:rPr>
          <w:szCs w:val="22"/>
          <w:lang w:eastAsia="en-GB"/>
        </w:rPr>
        <w:t>OMPI, et les contributions des pays les moins avancés qui ont été gelées par les assemblées</w:t>
      </w:r>
      <w:r w:rsidR="00A0797A" w:rsidRPr="004A3269">
        <w:rPr>
          <w:szCs w:val="22"/>
          <w:lang w:eastAsia="en-GB"/>
        </w:rPr>
        <w:t xml:space="preserve">.  </w:t>
      </w:r>
      <w:r w:rsidRPr="004A3269">
        <w:rPr>
          <w:szCs w:val="22"/>
        </w:rPr>
        <w:t>Le prêt assorti de conditions préférentielles qui a été consenti à</w:t>
      </w:r>
      <w:r w:rsidR="009021AA" w:rsidRPr="004A3269">
        <w:rPr>
          <w:szCs w:val="22"/>
        </w:rPr>
        <w:t xml:space="preserve"> la FCI</w:t>
      </w:r>
      <w:r w:rsidRPr="004A3269">
        <w:rPr>
          <w:szCs w:val="22"/>
        </w:rPr>
        <w:t>G est comptabilisé au coût amorti avec des valeurs fondées sur des flux de liquidité escomptés à</w:t>
      </w:r>
      <w:r w:rsidR="00EB7CB7" w:rsidRPr="004A3269">
        <w:rPr>
          <w:szCs w:val="22"/>
        </w:rPr>
        <w:t xml:space="preserve"> l</w:t>
      </w:r>
      <w:r w:rsidR="009021AA" w:rsidRPr="004A3269">
        <w:rPr>
          <w:szCs w:val="22"/>
        </w:rPr>
        <w:t>’</w:t>
      </w:r>
      <w:r w:rsidR="00EB7CB7" w:rsidRPr="004A3269">
        <w:rPr>
          <w:szCs w:val="22"/>
        </w:rPr>
        <w:t>aide d</w:t>
      </w:r>
      <w:r w:rsidR="009021AA" w:rsidRPr="004A3269">
        <w:rPr>
          <w:szCs w:val="22"/>
        </w:rPr>
        <w:t>’</w:t>
      </w:r>
      <w:r w:rsidR="00EB7CB7" w:rsidRPr="004A3269">
        <w:rPr>
          <w:szCs w:val="22"/>
        </w:rPr>
        <w:t>un taux d</w:t>
      </w:r>
      <w:r w:rsidR="009021AA" w:rsidRPr="004A3269">
        <w:rPr>
          <w:szCs w:val="22"/>
        </w:rPr>
        <w:t>’</w:t>
      </w:r>
      <w:r w:rsidR="00EB7CB7" w:rsidRPr="004A3269">
        <w:rPr>
          <w:szCs w:val="22"/>
        </w:rPr>
        <w:t>escompte de </w:t>
      </w:r>
      <w:r w:rsidRPr="004A3269">
        <w:rPr>
          <w:szCs w:val="22"/>
        </w:rPr>
        <w:t>1,48%.</w:t>
      </w:r>
      <w:r w:rsidR="00231A98" w:rsidRPr="004A3269">
        <w:t xml:space="preserve"> </w:t>
      </w:r>
      <w:r w:rsidR="00EB7CB7" w:rsidRPr="004A3269">
        <w:t xml:space="preserve"> </w:t>
      </w:r>
      <w:r w:rsidR="00B1652A" w:rsidRPr="004A3269">
        <w:rPr>
          <w:rStyle w:val="hps"/>
        </w:rPr>
        <w:t>Le compte des impôts des États</w:t>
      </w:r>
      <w:r w:rsidR="00A17552" w:rsidRPr="004A3269">
        <w:rPr>
          <w:rStyle w:val="hps"/>
        </w:rPr>
        <w:noBreakHyphen/>
      </w:r>
      <w:r w:rsidR="00B1652A" w:rsidRPr="004A3269">
        <w:rPr>
          <w:rStyle w:val="hps"/>
        </w:rPr>
        <w:t>Unis d</w:t>
      </w:r>
      <w:r w:rsidR="009021AA" w:rsidRPr="004A3269">
        <w:rPr>
          <w:rStyle w:val="hps"/>
        </w:rPr>
        <w:t>’</w:t>
      </w:r>
      <w:r w:rsidR="00B1652A" w:rsidRPr="004A3269">
        <w:rPr>
          <w:rStyle w:val="hps"/>
        </w:rPr>
        <w:t xml:space="preserve">Amérique est comptabilisé au coût amorti avec des valeurs fondées sur des flux de </w:t>
      </w:r>
      <w:r w:rsidR="00505179" w:rsidRPr="004A3269">
        <w:rPr>
          <w:rStyle w:val="hps"/>
        </w:rPr>
        <w:t>liquidités</w:t>
      </w:r>
      <w:r w:rsidR="00B1652A" w:rsidRPr="004A3269">
        <w:rPr>
          <w:rStyle w:val="hps"/>
        </w:rPr>
        <w:t xml:space="preserve"> escomptés à l</w:t>
      </w:r>
      <w:r w:rsidR="009021AA" w:rsidRPr="004A3269">
        <w:rPr>
          <w:rStyle w:val="hps"/>
        </w:rPr>
        <w:t>’</w:t>
      </w:r>
      <w:r w:rsidR="00B1652A" w:rsidRPr="004A3269">
        <w:rPr>
          <w:rStyle w:val="hps"/>
        </w:rPr>
        <w:t>aide d</w:t>
      </w:r>
      <w:r w:rsidR="009021AA" w:rsidRPr="004A3269">
        <w:rPr>
          <w:rStyle w:val="hps"/>
        </w:rPr>
        <w:t>’</w:t>
      </w:r>
      <w:r w:rsidR="00B1652A" w:rsidRPr="004A3269">
        <w:rPr>
          <w:rStyle w:val="hps"/>
        </w:rPr>
        <w:t>un taux d</w:t>
      </w:r>
      <w:r w:rsidR="009021AA" w:rsidRPr="004A3269">
        <w:rPr>
          <w:rStyle w:val="hps"/>
        </w:rPr>
        <w:t>’</w:t>
      </w:r>
      <w:r w:rsidR="00B1652A" w:rsidRPr="004A3269">
        <w:rPr>
          <w:rStyle w:val="hps"/>
        </w:rPr>
        <w:t>escompte</w:t>
      </w:r>
      <w:r w:rsidR="00B1652A" w:rsidRPr="004A3269">
        <w:t xml:space="preserve"> </w:t>
      </w:r>
      <w:r w:rsidR="00B1652A" w:rsidRPr="004A3269">
        <w:rPr>
          <w:rStyle w:val="hps"/>
        </w:rPr>
        <w:t>de 1,81%</w:t>
      </w:r>
      <w:r w:rsidR="00231A98" w:rsidRPr="004A3269">
        <w:rPr>
          <w:szCs w:val="22"/>
        </w:rPr>
        <w:t>.</w:t>
      </w:r>
    </w:p>
    <w:p w:rsidR="00267140" w:rsidRPr="004A3269" w:rsidRDefault="00267140" w:rsidP="00FF54A6">
      <w:pPr>
        <w:jc w:val="both"/>
        <w:rPr>
          <w:b/>
          <w:szCs w:val="22"/>
        </w:rPr>
      </w:pPr>
    </w:p>
    <w:p w:rsidR="00267140" w:rsidRPr="004A3269" w:rsidRDefault="001526C8" w:rsidP="001526C8">
      <w:pPr>
        <w:jc w:val="both"/>
        <w:rPr>
          <w:b/>
          <w:szCs w:val="22"/>
        </w:rPr>
      </w:pPr>
      <w:r w:rsidRPr="004A3269">
        <w:rPr>
          <w:b/>
          <w:szCs w:val="22"/>
        </w:rPr>
        <w:t>Risque de crédit</w:t>
      </w:r>
    </w:p>
    <w:p w:rsidR="00267140" w:rsidRPr="004A3269" w:rsidRDefault="00267140" w:rsidP="00216EC2">
      <w:pPr>
        <w:jc w:val="both"/>
        <w:rPr>
          <w:b/>
          <w:szCs w:val="22"/>
        </w:rPr>
      </w:pPr>
    </w:p>
    <w:p w:rsidR="009021AA" w:rsidRPr="004A3269" w:rsidRDefault="001526C8" w:rsidP="00792331">
      <w:pPr>
        <w:autoSpaceDE w:val="0"/>
        <w:autoSpaceDN w:val="0"/>
        <w:adjustRightInd w:val="0"/>
        <w:jc w:val="both"/>
        <w:rPr>
          <w:szCs w:val="22"/>
          <w:lang w:eastAsia="en-GB"/>
        </w:rPr>
      </w:pPr>
      <w:r w:rsidRPr="004A3269">
        <w:rPr>
          <w:szCs w:val="22"/>
          <w:lang w:eastAsia="en-GB"/>
        </w:rPr>
        <w:t>Le risque de crédit est le risque de pertes financières pour l</w:t>
      </w:r>
      <w:r w:rsidR="009021AA" w:rsidRPr="004A3269">
        <w:rPr>
          <w:szCs w:val="22"/>
          <w:lang w:eastAsia="en-GB"/>
        </w:rPr>
        <w:t>’</w:t>
      </w:r>
      <w:r w:rsidRPr="004A3269">
        <w:rPr>
          <w:szCs w:val="22"/>
          <w:lang w:eastAsia="en-GB"/>
        </w:rPr>
        <w:t>Organisation si les contreparties des instruments financiers ne remplissent pas leurs obligations contractuelles;  il émane principalement des prêts et des montants à recevoir ainsi que de la trésorerie et des équivalents de trésorerie.</w:t>
      </w:r>
      <w:r w:rsidR="00216EC2" w:rsidRPr="004A3269">
        <w:rPr>
          <w:szCs w:val="22"/>
          <w:lang w:eastAsia="en-GB"/>
        </w:rPr>
        <w:t xml:space="preserve"> </w:t>
      </w:r>
      <w:r w:rsidR="00EB7CB7" w:rsidRPr="004A3269">
        <w:rPr>
          <w:szCs w:val="22"/>
          <w:lang w:eastAsia="en-GB"/>
        </w:rPr>
        <w:t xml:space="preserve"> </w:t>
      </w:r>
      <w:r w:rsidR="00792331" w:rsidRPr="004A3269">
        <w:rPr>
          <w:szCs w:val="22"/>
          <w:lang w:eastAsia="en-GB"/>
        </w:rPr>
        <w:t>La valeur comptable des actifs financiers représente l</w:t>
      </w:r>
      <w:r w:rsidR="009021AA" w:rsidRPr="004A3269">
        <w:rPr>
          <w:szCs w:val="22"/>
          <w:lang w:eastAsia="en-GB"/>
        </w:rPr>
        <w:t>’</w:t>
      </w:r>
      <w:r w:rsidR="00792331" w:rsidRPr="004A3269">
        <w:rPr>
          <w:szCs w:val="22"/>
          <w:lang w:eastAsia="en-GB"/>
        </w:rPr>
        <w:t xml:space="preserve">exposition maximum au risque de </w:t>
      </w:r>
      <w:r w:rsidR="00EB7CB7" w:rsidRPr="004A3269">
        <w:rPr>
          <w:szCs w:val="22"/>
          <w:lang w:eastAsia="en-GB"/>
        </w:rPr>
        <w:t>crédit qui était au 31 décembre </w:t>
      </w:r>
      <w:r w:rsidR="00792331" w:rsidRPr="004A3269">
        <w:rPr>
          <w:szCs w:val="22"/>
          <w:lang w:eastAsia="en-GB"/>
        </w:rPr>
        <w:t>2014 la suivante</w:t>
      </w:r>
      <w:r w:rsidR="00EB7CB7" w:rsidRPr="004A3269">
        <w:rPr>
          <w:szCs w:val="22"/>
          <w:lang w:eastAsia="en-GB"/>
        </w:rPr>
        <w:t> </w:t>
      </w:r>
      <w:r w:rsidR="00792331" w:rsidRPr="004A3269">
        <w:rPr>
          <w:szCs w:val="22"/>
          <w:lang w:eastAsia="en-GB"/>
        </w:rPr>
        <w:t>:</w:t>
      </w:r>
    </w:p>
    <w:p w:rsidR="00267140" w:rsidRPr="004A3269" w:rsidRDefault="00267140" w:rsidP="00216EC2">
      <w:pPr>
        <w:autoSpaceDE w:val="0"/>
        <w:autoSpaceDN w:val="0"/>
        <w:adjustRightInd w:val="0"/>
        <w:jc w:val="both"/>
        <w:rPr>
          <w:szCs w:val="22"/>
          <w:lang w:eastAsia="en-GB"/>
        </w:rPr>
      </w:pPr>
    </w:p>
    <w:p w:rsidR="008076B5" w:rsidRPr="004A3269" w:rsidRDefault="008076B5" w:rsidP="008076B5">
      <w:pPr>
        <w:jc w:val="center"/>
        <w:rPr>
          <w:szCs w:val="22"/>
        </w:rPr>
      </w:pPr>
      <w:r w:rsidRPr="004A3269">
        <w:rPr>
          <w:noProof/>
          <w:lang w:val="en-US"/>
        </w:rPr>
        <w:drawing>
          <wp:inline distT="0" distB="0" distL="0" distR="0" wp14:anchorId="1086F3E0" wp14:editId="24468A6E">
            <wp:extent cx="5730875" cy="1345565"/>
            <wp:effectExtent l="0" t="0" r="3175" b="698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30875" cy="1345565"/>
                    </a:xfrm>
                    <a:prstGeom prst="rect">
                      <a:avLst/>
                    </a:prstGeom>
                    <a:noFill/>
                    <a:ln>
                      <a:noFill/>
                    </a:ln>
                  </pic:spPr>
                </pic:pic>
              </a:graphicData>
            </a:graphic>
          </wp:inline>
        </w:drawing>
      </w:r>
    </w:p>
    <w:p w:rsidR="008076B5" w:rsidRPr="004A3269" w:rsidRDefault="008076B5" w:rsidP="00792331">
      <w:pPr>
        <w:jc w:val="both"/>
        <w:rPr>
          <w:szCs w:val="22"/>
        </w:rPr>
      </w:pPr>
    </w:p>
    <w:p w:rsidR="00267140" w:rsidRPr="004A3269" w:rsidRDefault="00792331" w:rsidP="00792331">
      <w:pPr>
        <w:jc w:val="both"/>
        <w:rPr>
          <w:szCs w:val="22"/>
        </w:rPr>
      </w:pPr>
      <w:r w:rsidRPr="004A3269">
        <w:rPr>
          <w:szCs w:val="22"/>
        </w:rPr>
        <w:lastRenderedPageBreak/>
        <w:t>Les comptes débiteurs de l</w:t>
      </w:r>
      <w:r w:rsidR="009021AA" w:rsidRPr="004A3269">
        <w:rPr>
          <w:szCs w:val="22"/>
        </w:rPr>
        <w:t>’</w:t>
      </w:r>
      <w:r w:rsidRPr="004A3269">
        <w:rPr>
          <w:szCs w:val="22"/>
        </w:rPr>
        <w:t>Organisation issus de transactions sans contrepartie proviennent presque exclusivement des membres de l</w:t>
      </w:r>
      <w:r w:rsidR="009021AA" w:rsidRPr="004A3269">
        <w:rPr>
          <w:szCs w:val="22"/>
        </w:rPr>
        <w:t>’</w:t>
      </w:r>
      <w:r w:rsidRPr="004A3269">
        <w:rPr>
          <w:szCs w:val="22"/>
        </w:rPr>
        <w:t>Union représentant des gouvernements souverains, ce pour quoi les risques de crédit sont considérés comme mineurs.</w:t>
      </w:r>
      <w:r w:rsidR="00B019C1" w:rsidRPr="004A3269">
        <w:t xml:space="preserve"> </w:t>
      </w:r>
      <w:r w:rsidR="00EB7CB7" w:rsidRPr="004A3269">
        <w:t xml:space="preserve"> </w:t>
      </w:r>
      <w:r w:rsidRPr="004A3269">
        <w:rPr>
          <w:szCs w:val="22"/>
        </w:rPr>
        <w:t>Une provision a été constituée par rapport à la valeur comptable des comptes débiteurs afin de faire apparaître les comptes clients pour lesquels le paiement n</w:t>
      </w:r>
      <w:r w:rsidR="009021AA" w:rsidRPr="004A3269">
        <w:rPr>
          <w:szCs w:val="22"/>
        </w:rPr>
        <w:t>’</w:t>
      </w:r>
      <w:r w:rsidRPr="004A3269">
        <w:rPr>
          <w:szCs w:val="22"/>
        </w:rPr>
        <w:t>est pas anticipé à court terme.</w:t>
      </w:r>
    </w:p>
    <w:p w:rsidR="00267140" w:rsidRPr="004A3269" w:rsidRDefault="00267140" w:rsidP="00B019C1">
      <w:pPr>
        <w:jc w:val="both"/>
        <w:rPr>
          <w:szCs w:val="22"/>
        </w:rPr>
      </w:pPr>
    </w:p>
    <w:p w:rsidR="00267140" w:rsidRPr="004A3269" w:rsidRDefault="00792331" w:rsidP="00792331">
      <w:pPr>
        <w:pStyle w:val="Style3"/>
        <w:spacing w:after="0"/>
        <w:rPr>
          <w:szCs w:val="22"/>
        </w:rPr>
      </w:pPr>
      <w:r w:rsidRPr="004A3269">
        <w:rPr>
          <w:szCs w:val="22"/>
        </w:rPr>
        <w:t>La trésorerie et les équivalents de trésorerie sont détenus auprès de banques présentant un risque souverain ou ayant reçu la note AA – ou une note supérieure.</w:t>
      </w:r>
      <w:r w:rsidR="00B019C1" w:rsidRPr="004A3269">
        <w:t xml:space="preserve"> </w:t>
      </w:r>
      <w:r w:rsidR="00EB7CB7" w:rsidRPr="004A3269">
        <w:t xml:space="preserve"> </w:t>
      </w:r>
      <w:r w:rsidRPr="004A3269">
        <w:rPr>
          <w:szCs w:val="22"/>
        </w:rPr>
        <w:t>L</w:t>
      </w:r>
      <w:r w:rsidR="009021AA" w:rsidRPr="004A3269">
        <w:rPr>
          <w:szCs w:val="22"/>
        </w:rPr>
        <w:t>’</w:t>
      </w:r>
      <w:r w:rsidRPr="004A3269">
        <w:rPr>
          <w:szCs w:val="22"/>
        </w:rPr>
        <w:t>Organisation réduit à un minimum le risque de crédit à sa trésorerie et ses équivalents de trésorerie en détenant la plupart de ses fonds auprès de banques qui présentent des notations élevées ou moyennes supérieures.</w:t>
      </w:r>
      <w:r w:rsidR="00B019C1" w:rsidRPr="004A3269">
        <w:t xml:space="preserve"> </w:t>
      </w:r>
      <w:r w:rsidR="00EB7CB7" w:rsidRPr="004A3269">
        <w:t xml:space="preserve"> </w:t>
      </w:r>
      <w:r w:rsidRPr="004A3269">
        <w:rPr>
          <w:szCs w:val="22"/>
        </w:rPr>
        <w:t>Toutefois, dans certains cas, les fonds sont détenus auprès de banques présentant des notations moyennes inférieures à des fins opérationnelles spécifiques.</w:t>
      </w:r>
      <w:r w:rsidR="00EB7CB7" w:rsidRPr="004A3269">
        <w:rPr>
          <w:szCs w:val="22"/>
        </w:rPr>
        <w:t xml:space="preserve"> </w:t>
      </w:r>
      <w:r w:rsidR="00B019C1" w:rsidRPr="004A3269">
        <w:t xml:space="preserve"> </w:t>
      </w:r>
      <w:r w:rsidRPr="004A3269">
        <w:rPr>
          <w:szCs w:val="22"/>
        </w:rPr>
        <w:t>Par conséquent, les notes de crédit associées à la trésorerie et aux équivalents de trésorerie sont les suivantes</w:t>
      </w:r>
      <w:r w:rsidR="00EB7CB7" w:rsidRPr="004A3269">
        <w:rPr>
          <w:szCs w:val="22"/>
        </w:rPr>
        <w:t> </w:t>
      </w:r>
      <w:r w:rsidRPr="004A3269">
        <w:rPr>
          <w:szCs w:val="22"/>
        </w:rPr>
        <w:t>:</w:t>
      </w:r>
    </w:p>
    <w:p w:rsidR="00267140" w:rsidRPr="004A3269" w:rsidRDefault="00267140" w:rsidP="00523516">
      <w:pPr>
        <w:pStyle w:val="Style3"/>
        <w:spacing w:after="0"/>
        <w:rPr>
          <w:szCs w:val="22"/>
        </w:rPr>
      </w:pPr>
    </w:p>
    <w:p w:rsidR="008076B5" w:rsidRPr="004A3269" w:rsidRDefault="008076B5" w:rsidP="008076B5">
      <w:pPr>
        <w:jc w:val="center"/>
        <w:rPr>
          <w:b/>
          <w:szCs w:val="22"/>
        </w:rPr>
      </w:pPr>
      <w:r w:rsidRPr="004A3269">
        <w:rPr>
          <w:noProof/>
          <w:lang w:val="en-US"/>
        </w:rPr>
        <w:drawing>
          <wp:inline distT="0" distB="0" distL="0" distR="0" wp14:anchorId="099968D6" wp14:editId="5D577F5B">
            <wp:extent cx="5977255" cy="1428523"/>
            <wp:effectExtent l="0" t="0" r="4445" b="63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77255" cy="1428523"/>
                    </a:xfrm>
                    <a:prstGeom prst="rect">
                      <a:avLst/>
                    </a:prstGeom>
                    <a:noFill/>
                    <a:ln>
                      <a:noFill/>
                    </a:ln>
                  </pic:spPr>
                </pic:pic>
              </a:graphicData>
            </a:graphic>
          </wp:inline>
        </w:drawing>
      </w:r>
    </w:p>
    <w:p w:rsidR="008076B5" w:rsidRPr="004A3269" w:rsidRDefault="008076B5" w:rsidP="00792331">
      <w:pPr>
        <w:jc w:val="both"/>
        <w:rPr>
          <w:b/>
          <w:szCs w:val="22"/>
        </w:rPr>
      </w:pPr>
    </w:p>
    <w:p w:rsidR="00267140" w:rsidRPr="004A3269" w:rsidRDefault="00792331" w:rsidP="00792331">
      <w:pPr>
        <w:jc w:val="both"/>
        <w:rPr>
          <w:b/>
          <w:szCs w:val="22"/>
        </w:rPr>
      </w:pPr>
      <w:r w:rsidRPr="004A3269">
        <w:rPr>
          <w:b/>
          <w:szCs w:val="22"/>
        </w:rPr>
        <w:t>Risque de liquidité</w:t>
      </w:r>
    </w:p>
    <w:p w:rsidR="00267140" w:rsidRPr="004A3269" w:rsidRDefault="00267140" w:rsidP="00FF54A6">
      <w:pPr>
        <w:jc w:val="both"/>
        <w:rPr>
          <w:b/>
          <w:szCs w:val="22"/>
        </w:rPr>
      </w:pPr>
    </w:p>
    <w:p w:rsidR="009021AA" w:rsidRPr="004A3269" w:rsidRDefault="00792331" w:rsidP="00792331">
      <w:pPr>
        <w:autoSpaceDE w:val="0"/>
        <w:autoSpaceDN w:val="0"/>
        <w:adjustRightInd w:val="0"/>
        <w:jc w:val="both"/>
        <w:rPr>
          <w:szCs w:val="22"/>
          <w:lang w:eastAsia="en-GB"/>
        </w:rPr>
      </w:pPr>
      <w:r w:rsidRPr="004A3269">
        <w:rPr>
          <w:szCs w:val="22"/>
          <w:lang w:eastAsia="en-GB"/>
        </w:rPr>
        <w:t>Le risque de liquidité est le risque que court l</w:t>
      </w:r>
      <w:r w:rsidR="009021AA" w:rsidRPr="004A3269">
        <w:rPr>
          <w:szCs w:val="22"/>
          <w:lang w:eastAsia="en-GB"/>
        </w:rPr>
        <w:t>’</w:t>
      </w:r>
      <w:r w:rsidRPr="004A3269">
        <w:rPr>
          <w:szCs w:val="22"/>
          <w:lang w:eastAsia="en-GB"/>
        </w:rPr>
        <w:t>Organisation de ne pas pouvoir s</w:t>
      </w:r>
      <w:r w:rsidR="009021AA" w:rsidRPr="004A3269">
        <w:rPr>
          <w:szCs w:val="22"/>
          <w:lang w:eastAsia="en-GB"/>
        </w:rPr>
        <w:t>’</w:t>
      </w:r>
      <w:r w:rsidRPr="004A3269">
        <w:rPr>
          <w:szCs w:val="22"/>
          <w:lang w:eastAsia="en-GB"/>
        </w:rPr>
        <w:t>acquitter de ses obligations dans les délais voulus.</w:t>
      </w:r>
    </w:p>
    <w:p w:rsidR="00267140" w:rsidRPr="004A3269" w:rsidRDefault="00792331" w:rsidP="00792331">
      <w:pPr>
        <w:pStyle w:val="Style3"/>
        <w:spacing w:after="0"/>
        <w:rPr>
          <w:szCs w:val="22"/>
        </w:rPr>
      </w:pPr>
      <w:r w:rsidRPr="004A3269">
        <w:rPr>
          <w:szCs w:val="22"/>
        </w:rPr>
        <w:t>L</w:t>
      </w:r>
      <w:r w:rsidR="009021AA" w:rsidRPr="004A3269">
        <w:rPr>
          <w:szCs w:val="22"/>
        </w:rPr>
        <w:t>’</w:t>
      </w:r>
      <w:r w:rsidRPr="004A3269">
        <w:rPr>
          <w:szCs w:val="22"/>
        </w:rPr>
        <w:t>Organisation n</w:t>
      </w:r>
      <w:r w:rsidR="009021AA" w:rsidRPr="004A3269">
        <w:rPr>
          <w:szCs w:val="22"/>
        </w:rPr>
        <w:t>’</w:t>
      </w:r>
      <w:r w:rsidRPr="004A3269">
        <w:rPr>
          <w:szCs w:val="22"/>
        </w:rPr>
        <w:t>est pas exposée à un risque de liquidité important, car elle dispose de fonds de trésorerie disponibles qui sont reconstitués à partir des résultats de ses opérations.</w:t>
      </w:r>
      <w:r w:rsidR="005665B6" w:rsidRPr="004A3269">
        <w:t xml:space="preserve">  </w:t>
      </w:r>
      <w:r w:rsidRPr="004A3269">
        <w:rPr>
          <w:szCs w:val="22"/>
        </w:rPr>
        <w:t>La politique d</w:t>
      </w:r>
      <w:r w:rsidR="009021AA" w:rsidRPr="004A3269">
        <w:rPr>
          <w:szCs w:val="22"/>
        </w:rPr>
        <w:t>’</w:t>
      </w:r>
      <w:r w:rsidRPr="004A3269">
        <w:rPr>
          <w:szCs w:val="22"/>
        </w:rPr>
        <w:t>investissement de l</w:t>
      </w:r>
      <w:r w:rsidR="009021AA" w:rsidRPr="004A3269">
        <w:rPr>
          <w:szCs w:val="22"/>
        </w:rPr>
        <w:t>’</w:t>
      </w:r>
      <w:r w:rsidRPr="004A3269">
        <w:rPr>
          <w:szCs w:val="22"/>
        </w:rPr>
        <w:t>Organisation a été élaborée de manière à garantir des placements principalement sous forme de dépôts à court terme.</w:t>
      </w:r>
      <w:r w:rsidR="0057641E" w:rsidRPr="004A3269">
        <w:t xml:space="preserve"> </w:t>
      </w:r>
      <w:r w:rsidR="00EB7CB7" w:rsidRPr="004A3269">
        <w:t xml:space="preserve"> </w:t>
      </w:r>
      <w:r w:rsidR="002C18FF" w:rsidRPr="004A3269">
        <w:rPr>
          <w:rStyle w:val="hps"/>
        </w:rPr>
        <w:t>Le tableau suivant présente</w:t>
      </w:r>
      <w:r w:rsidR="002C18FF" w:rsidRPr="004A3269">
        <w:t xml:space="preserve"> </w:t>
      </w:r>
      <w:r w:rsidR="002C18FF" w:rsidRPr="004A3269">
        <w:rPr>
          <w:rStyle w:val="hps"/>
        </w:rPr>
        <w:t>une analyse des échéances</w:t>
      </w:r>
      <w:r w:rsidR="002C18FF" w:rsidRPr="004A3269">
        <w:t xml:space="preserve"> </w:t>
      </w:r>
      <w:r w:rsidR="002C18FF" w:rsidRPr="004A3269">
        <w:rPr>
          <w:rStyle w:val="hps"/>
        </w:rPr>
        <w:t>des emprunts</w:t>
      </w:r>
      <w:r w:rsidR="002C18FF" w:rsidRPr="004A3269">
        <w:t xml:space="preserve"> </w:t>
      </w:r>
      <w:r w:rsidR="002C18FF" w:rsidRPr="004A3269">
        <w:rPr>
          <w:rStyle w:val="hps"/>
        </w:rPr>
        <w:t>de l</w:t>
      </w:r>
      <w:r w:rsidR="009021AA" w:rsidRPr="004A3269">
        <w:rPr>
          <w:rStyle w:val="hps"/>
        </w:rPr>
        <w:t>’</w:t>
      </w:r>
      <w:r w:rsidR="002C18FF" w:rsidRPr="004A3269">
        <w:rPr>
          <w:rStyle w:val="hps"/>
        </w:rPr>
        <w:t>OMPI</w:t>
      </w:r>
      <w:r w:rsidR="002C18FF" w:rsidRPr="004A3269">
        <w:t xml:space="preserve">.  </w:t>
      </w:r>
      <w:r w:rsidR="002C18FF" w:rsidRPr="004A3269">
        <w:rPr>
          <w:rStyle w:val="hps"/>
        </w:rPr>
        <w:t>L</w:t>
      </w:r>
      <w:r w:rsidR="009021AA" w:rsidRPr="004A3269">
        <w:rPr>
          <w:rStyle w:val="hps"/>
        </w:rPr>
        <w:t>’</w:t>
      </w:r>
      <w:r w:rsidR="002C18FF" w:rsidRPr="004A3269">
        <w:rPr>
          <w:rStyle w:val="hps"/>
        </w:rPr>
        <w:t>analyse des échéances de l</w:t>
      </w:r>
      <w:r w:rsidR="009021AA" w:rsidRPr="004A3269">
        <w:rPr>
          <w:rStyle w:val="hps"/>
        </w:rPr>
        <w:t>’</w:t>
      </w:r>
      <w:r w:rsidR="002C18FF" w:rsidRPr="004A3269">
        <w:rPr>
          <w:rStyle w:val="hps"/>
        </w:rPr>
        <w:t>emprunt contracté auprès de</w:t>
      </w:r>
      <w:r w:rsidR="009021AA" w:rsidRPr="004A3269">
        <w:rPr>
          <w:rStyle w:val="hps"/>
        </w:rPr>
        <w:t xml:space="preserve"> la BCG</w:t>
      </w:r>
      <w:r w:rsidR="002C18FF" w:rsidRPr="004A3269">
        <w:rPr>
          <w:rStyle w:val="hps"/>
        </w:rPr>
        <w:t>/BCV</w:t>
      </w:r>
      <w:r w:rsidR="002C18FF" w:rsidRPr="004A3269">
        <w:t xml:space="preserve"> pour le n</w:t>
      </w:r>
      <w:r w:rsidR="002C18FF" w:rsidRPr="004A3269">
        <w:rPr>
          <w:rStyle w:val="hps"/>
        </w:rPr>
        <w:t>ouveau bâtiment</w:t>
      </w:r>
      <w:r w:rsidR="002C18FF" w:rsidRPr="004A3269">
        <w:t xml:space="preserve"> </w:t>
      </w:r>
      <w:r w:rsidR="002C18FF" w:rsidRPr="004A3269">
        <w:rPr>
          <w:rStyle w:val="hps"/>
        </w:rPr>
        <w:t>au 31</w:t>
      </w:r>
      <w:r w:rsidR="002C18FF" w:rsidRPr="004A3269">
        <w:t> d</w:t>
      </w:r>
      <w:r w:rsidR="002C18FF" w:rsidRPr="004A3269">
        <w:rPr>
          <w:rStyle w:val="hps"/>
        </w:rPr>
        <w:t>écembre</w:t>
      </w:r>
      <w:r w:rsidR="002C18FF" w:rsidRPr="004A3269">
        <w:t> </w:t>
      </w:r>
      <w:r w:rsidR="002C18FF" w:rsidRPr="004A3269">
        <w:rPr>
          <w:rStyle w:val="hps"/>
        </w:rPr>
        <w:t>2014</w:t>
      </w:r>
      <w:r w:rsidR="002C18FF" w:rsidRPr="004A3269">
        <w:t xml:space="preserve"> </w:t>
      </w:r>
      <w:r w:rsidR="002C18FF" w:rsidRPr="004A3269">
        <w:rPr>
          <w:rStyle w:val="hps"/>
        </w:rPr>
        <w:t>comprend</w:t>
      </w:r>
      <w:r w:rsidR="002C18FF" w:rsidRPr="004A3269">
        <w:t xml:space="preserve"> </w:t>
      </w:r>
      <w:r w:rsidR="002C18FF" w:rsidRPr="004A3269">
        <w:rPr>
          <w:rStyle w:val="hps"/>
        </w:rPr>
        <w:t>les remboursements annuels</w:t>
      </w:r>
      <w:r w:rsidR="002C18FF" w:rsidRPr="004A3269">
        <w:t xml:space="preserve"> </w:t>
      </w:r>
      <w:r w:rsidR="002C18FF" w:rsidRPr="004A3269">
        <w:rPr>
          <w:rStyle w:val="hps"/>
        </w:rPr>
        <w:t>de</w:t>
      </w:r>
      <w:r w:rsidR="002C18FF" w:rsidRPr="004A3269">
        <w:t xml:space="preserve"> </w:t>
      </w:r>
      <w:r w:rsidR="002C18FF" w:rsidRPr="004A3269">
        <w:rPr>
          <w:rStyle w:val="hps"/>
        </w:rPr>
        <w:t>3,9 millions de</w:t>
      </w:r>
      <w:r w:rsidR="002C18FF" w:rsidRPr="004A3269">
        <w:t xml:space="preserve"> </w:t>
      </w:r>
      <w:r w:rsidR="002C18FF" w:rsidRPr="004A3269">
        <w:rPr>
          <w:rStyle w:val="hps"/>
        </w:rPr>
        <w:t>francs suisses (</w:t>
      </w:r>
      <w:r w:rsidR="002C18FF" w:rsidRPr="004A3269">
        <w:t>soit 3,0%</w:t>
      </w:r>
      <w:r w:rsidR="002C18FF" w:rsidRPr="004A3269">
        <w:rPr>
          <w:rStyle w:val="hps"/>
        </w:rPr>
        <w:t xml:space="preserve"> de la</w:t>
      </w:r>
      <w:r w:rsidR="002C18FF" w:rsidRPr="004A3269">
        <w:t xml:space="preserve"> </w:t>
      </w:r>
      <w:r w:rsidR="002C18FF" w:rsidRPr="004A3269">
        <w:rPr>
          <w:rStyle w:val="hps"/>
        </w:rPr>
        <w:t>valeur totale du prêt</w:t>
      </w:r>
      <w:r w:rsidR="002C18FF" w:rsidRPr="004A3269">
        <w:t xml:space="preserve">) </w:t>
      </w:r>
      <w:r w:rsidR="002C18FF" w:rsidRPr="004A3269">
        <w:rPr>
          <w:rStyle w:val="hps"/>
        </w:rPr>
        <w:t>et</w:t>
      </w:r>
      <w:r w:rsidR="002C18FF" w:rsidRPr="004A3269">
        <w:t xml:space="preserve"> </w:t>
      </w:r>
      <w:r w:rsidR="002C18FF" w:rsidRPr="004A3269">
        <w:rPr>
          <w:rStyle w:val="hps"/>
        </w:rPr>
        <w:t>les remboursements forfaitaires</w:t>
      </w:r>
      <w:r w:rsidR="002C18FF" w:rsidRPr="004A3269">
        <w:t xml:space="preserve"> échelonnés </w:t>
      </w:r>
      <w:r w:rsidR="002C18FF" w:rsidRPr="004A3269">
        <w:rPr>
          <w:rStyle w:val="hps"/>
        </w:rPr>
        <w:t>de 24,0</w:t>
      </w:r>
      <w:r w:rsidR="002C18FF" w:rsidRPr="004A3269">
        <w:t> </w:t>
      </w:r>
      <w:r w:rsidR="002C18FF" w:rsidRPr="004A3269">
        <w:rPr>
          <w:rStyle w:val="hps"/>
        </w:rPr>
        <w:t>millions de francs suisses</w:t>
      </w:r>
      <w:r w:rsidR="002C18FF" w:rsidRPr="004A3269">
        <w:t xml:space="preserve"> </w:t>
      </w:r>
      <w:r w:rsidR="002C18FF" w:rsidRPr="004A3269">
        <w:rPr>
          <w:rStyle w:val="hps"/>
        </w:rPr>
        <w:t>en novembre</w:t>
      </w:r>
      <w:r w:rsidR="002C18FF" w:rsidRPr="004A3269">
        <w:t> </w:t>
      </w:r>
      <w:r w:rsidR="002C18FF" w:rsidRPr="004A3269">
        <w:rPr>
          <w:rStyle w:val="hps"/>
        </w:rPr>
        <w:t>2015</w:t>
      </w:r>
      <w:r w:rsidR="002C18FF" w:rsidRPr="004A3269">
        <w:t xml:space="preserve"> </w:t>
      </w:r>
      <w:r w:rsidR="002C18FF" w:rsidRPr="004A3269">
        <w:rPr>
          <w:rStyle w:val="hps"/>
        </w:rPr>
        <w:t>et de 16,0</w:t>
      </w:r>
      <w:r w:rsidR="002C18FF" w:rsidRPr="004A3269">
        <w:t> </w:t>
      </w:r>
      <w:r w:rsidR="002C18FF" w:rsidRPr="004A3269">
        <w:rPr>
          <w:rStyle w:val="hps"/>
        </w:rPr>
        <w:t>millions</w:t>
      </w:r>
      <w:r w:rsidR="002C18FF" w:rsidRPr="004A3269">
        <w:t xml:space="preserve"> </w:t>
      </w:r>
      <w:r w:rsidR="002C18FF" w:rsidRPr="004A3269">
        <w:rPr>
          <w:rStyle w:val="hps"/>
        </w:rPr>
        <w:t>en janvier</w:t>
      </w:r>
      <w:r w:rsidR="002C18FF" w:rsidRPr="004A3269">
        <w:t> </w:t>
      </w:r>
      <w:r w:rsidR="002C18FF" w:rsidRPr="004A3269">
        <w:rPr>
          <w:rStyle w:val="hps"/>
        </w:rPr>
        <w:t>2016</w:t>
      </w:r>
      <w:r w:rsidR="00A0797A" w:rsidRPr="004A3269">
        <w:rPr>
          <w:szCs w:val="22"/>
        </w:rPr>
        <w:t> :</w:t>
      </w:r>
    </w:p>
    <w:p w:rsidR="00267140" w:rsidRDefault="00267140" w:rsidP="00F23074">
      <w:pPr>
        <w:pStyle w:val="Style3"/>
        <w:spacing w:after="0"/>
      </w:pPr>
    </w:p>
    <w:p w:rsidR="00680CD7" w:rsidRDefault="00680CD7" w:rsidP="00F23074">
      <w:pPr>
        <w:pStyle w:val="Style3"/>
        <w:spacing w:after="0"/>
      </w:pPr>
      <w:r w:rsidRPr="00680CD7">
        <w:rPr>
          <w:noProof/>
          <w:lang w:val="en-US"/>
        </w:rPr>
        <w:drawing>
          <wp:inline distT="0" distB="0" distL="0" distR="0" wp14:anchorId="5C52C9F3" wp14:editId="6F1A6596">
            <wp:extent cx="5977255" cy="1098433"/>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977255" cy="1098433"/>
                    </a:xfrm>
                    <a:prstGeom prst="rect">
                      <a:avLst/>
                    </a:prstGeom>
                    <a:noFill/>
                    <a:ln>
                      <a:noFill/>
                    </a:ln>
                  </pic:spPr>
                </pic:pic>
              </a:graphicData>
            </a:graphic>
          </wp:inline>
        </w:drawing>
      </w:r>
    </w:p>
    <w:p w:rsidR="00680CD7" w:rsidRDefault="00680CD7" w:rsidP="00F23074">
      <w:pPr>
        <w:pStyle w:val="Style3"/>
        <w:spacing w:after="0"/>
      </w:pPr>
    </w:p>
    <w:p w:rsidR="00680CD7" w:rsidRPr="004A3269" w:rsidRDefault="00680CD7" w:rsidP="00F23074">
      <w:pPr>
        <w:pStyle w:val="Style3"/>
        <w:spacing w:after="0"/>
      </w:pPr>
      <w:r w:rsidRPr="00680CD7">
        <w:rPr>
          <w:noProof/>
          <w:lang w:val="en-US"/>
        </w:rPr>
        <w:drawing>
          <wp:inline distT="0" distB="0" distL="0" distR="0" wp14:anchorId="6DDAE079" wp14:editId="00E27354">
            <wp:extent cx="5977255" cy="1098433"/>
            <wp:effectExtent l="0" t="0" r="444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77255" cy="1098433"/>
                    </a:xfrm>
                    <a:prstGeom prst="rect">
                      <a:avLst/>
                    </a:prstGeom>
                    <a:noFill/>
                    <a:ln>
                      <a:noFill/>
                    </a:ln>
                  </pic:spPr>
                </pic:pic>
              </a:graphicData>
            </a:graphic>
          </wp:inline>
        </w:drawing>
      </w:r>
    </w:p>
    <w:p w:rsidR="008076B5" w:rsidRPr="004A3269" w:rsidRDefault="008076B5" w:rsidP="008076B5"/>
    <w:p w:rsidR="00267140" w:rsidRPr="004A3269" w:rsidRDefault="00792331" w:rsidP="00EB7CB7">
      <w:pPr>
        <w:pStyle w:val="Style3"/>
        <w:keepNext/>
        <w:keepLines/>
        <w:spacing w:after="0"/>
        <w:rPr>
          <w:b/>
          <w:szCs w:val="22"/>
        </w:rPr>
      </w:pPr>
      <w:r w:rsidRPr="004A3269">
        <w:rPr>
          <w:b/>
          <w:szCs w:val="22"/>
        </w:rPr>
        <w:lastRenderedPageBreak/>
        <w:t>Risque de change</w:t>
      </w:r>
    </w:p>
    <w:p w:rsidR="00267140" w:rsidRPr="004A3269" w:rsidRDefault="00267140" w:rsidP="00EB7CB7">
      <w:pPr>
        <w:keepNext/>
        <w:keepLines/>
        <w:autoSpaceDE w:val="0"/>
        <w:autoSpaceDN w:val="0"/>
        <w:adjustRightInd w:val="0"/>
        <w:rPr>
          <w:rFonts w:ascii="EYInterstate-Light" w:hAnsi="EYInterstate-Light" w:cs="EYInterstate-Light"/>
          <w:sz w:val="18"/>
          <w:szCs w:val="18"/>
          <w:lang w:eastAsia="en-GB"/>
        </w:rPr>
      </w:pPr>
    </w:p>
    <w:p w:rsidR="009021AA" w:rsidRPr="004A3269" w:rsidRDefault="00792331" w:rsidP="00EB7CB7">
      <w:pPr>
        <w:keepNext/>
        <w:keepLines/>
        <w:jc w:val="both"/>
        <w:rPr>
          <w:szCs w:val="22"/>
        </w:rPr>
      </w:pPr>
      <w:r w:rsidRPr="004A3269">
        <w:rPr>
          <w:szCs w:val="22"/>
        </w:rPr>
        <w:t>Elle perçoit des recettes provenant des taxes et des contributions volontaires et engage des dépenses dans d</w:t>
      </w:r>
      <w:r w:rsidR="009021AA" w:rsidRPr="004A3269">
        <w:rPr>
          <w:szCs w:val="22"/>
        </w:rPr>
        <w:t>’</w:t>
      </w:r>
      <w:r w:rsidRPr="004A3269">
        <w:rPr>
          <w:szCs w:val="22"/>
        </w:rPr>
        <w:t>autres monnaies que sa monnaie fonctionnelle (le franc suisse) et elle est exposée à un risque de change lié à l</w:t>
      </w:r>
      <w:r w:rsidR="009021AA" w:rsidRPr="004A3269">
        <w:rPr>
          <w:szCs w:val="22"/>
        </w:rPr>
        <w:t>’</w:t>
      </w:r>
      <w:r w:rsidRPr="004A3269">
        <w:rPr>
          <w:szCs w:val="22"/>
        </w:rPr>
        <w:t>évolution des cours de change.</w:t>
      </w:r>
      <w:r w:rsidR="00EB7CB7" w:rsidRPr="004A3269">
        <w:rPr>
          <w:szCs w:val="22"/>
        </w:rPr>
        <w:t xml:space="preserve"> </w:t>
      </w:r>
      <w:r w:rsidR="0057641E" w:rsidRPr="004A3269">
        <w:t xml:space="preserve"> </w:t>
      </w:r>
      <w:r w:rsidRPr="004A3269">
        <w:rPr>
          <w:szCs w:val="22"/>
        </w:rPr>
        <w:t>L</w:t>
      </w:r>
      <w:r w:rsidR="009021AA" w:rsidRPr="004A3269">
        <w:rPr>
          <w:szCs w:val="22"/>
        </w:rPr>
        <w:t>’</w:t>
      </w:r>
      <w:r w:rsidRPr="004A3269">
        <w:rPr>
          <w:szCs w:val="22"/>
        </w:rPr>
        <w:t>Organisation est aussi exposée au risque de change découlant des différences de change entre les montants dus aux administrations chargées de la recherche internationale en application du règlement d</w:t>
      </w:r>
      <w:r w:rsidR="009021AA" w:rsidRPr="004A3269">
        <w:rPr>
          <w:szCs w:val="22"/>
        </w:rPr>
        <w:t>’</w:t>
      </w:r>
      <w:r w:rsidRPr="004A3269">
        <w:rPr>
          <w:szCs w:val="22"/>
        </w:rPr>
        <w:t>exécution du Traité de coopération en matière de brevets, d</w:t>
      </w:r>
      <w:r w:rsidR="009021AA" w:rsidRPr="004A3269">
        <w:rPr>
          <w:szCs w:val="22"/>
        </w:rPr>
        <w:t>’</w:t>
      </w:r>
      <w:r w:rsidRPr="004A3269">
        <w:rPr>
          <w:szCs w:val="22"/>
        </w:rPr>
        <w:t>une part, et les montants reçus par les offices nationaux des brevets au titre des taxes de recherche internationale versées par les déposants pour les demandes internationales de brevet, d</w:t>
      </w:r>
      <w:r w:rsidR="009021AA" w:rsidRPr="004A3269">
        <w:rPr>
          <w:szCs w:val="22"/>
        </w:rPr>
        <w:t>’</w:t>
      </w:r>
      <w:r w:rsidRPr="004A3269">
        <w:rPr>
          <w:szCs w:val="22"/>
        </w:rPr>
        <w:t>autre part.</w:t>
      </w:r>
    </w:p>
    <w:p w:rsidR="00267140" w:rsidRPr="004A3269" w:rsidRDefault="00267140" w:rsidP="0057641E">
      <w:pPr>
        <w:pStyle w:val="Style3"/>
        <w:spacing w:after="0"/>
        <w:rPr>
          <w:szCs w:val="22"/>
        </w:rPr>
      </w:pPr>
    </w:p>
    <w:p w:rsidR="00267140" w:rsidRPr="004A3269" w:rsidRDefault="00792331" w:rsidP="00792331">
      <w:pPr>
        <w:pStyle w:val="Style3"/>
        <w:spacing w:after="0"/>
        <w:rPr>
          <w:szCs w:val="22"/>
        </w:rPr>
      </w:pPr>
      <w:r w:rsidRPr="004A3269">
        <w:rPr>
          <w:szCs w:val="22"/>
        </w:rPr>
        <w:t>L</w:t>
      </w:r>
      <w:r w:rsidR="009021AA" w:rsidRPr="004A3269">
        <w:rPr>
          <w:szCs w:val="22"/>
        </w:rPr>
        <w:t>’</w:t>
      </w:r>
      <w:r w:rsidRPr="004A3269">
        <w:rPr>
          <w:szCs w:val="22"/>
        </w:rPr>
        <w:t>Organisation est encore exposée au risque de change lié au coût des pensions pour les fonctionnaires précédemment inscrits à la caisse de retraite fermée qui participent aujourd</w:t>
      </w:r>
      <w:r w:rsidR="009021AA" w:rsidRPr="004A3269">
        <w:rPr>
          <w:szCs w:val="22"/>
        </w:rPr>
        <w:t>’</w:t>
      </w:r>
      <w:r w:rsidRPr="004A3269">
        <w:rPr>
          <w:szCs w:val="22"/>
        </w:rPr>
        <w:t xml:space="preserve">hui à la Caisse commune des pensions du personnel des </w:t>
      </w:r>
      <w:r w:rsidR="009021AA" w:rsidRPr="004A3269">
        <w:rPr>
          <w:szCs w:val="22"/>
        </w:rPr>
        <w:t>Nations Unies</w:t>
      </w:r>
      <w:r w:rsidRPr="004A3269">
        <w:rPr>
          <w:szCs w:val="22"/>
        </w:rPr>
        <w:t>.  En outre, elle a des bureaux extérieurs au Brésil, en Chine, aux États</w:t>
      </w:r>
      <w:r w:rsidR="00A17552" w:rsidRPr="004A3269">
        <w:rPr>
          <w:szCs w:val="22"/>
        </w:rPr>
        <w:noBreakHyphen/>
      </w:r>
      <w:r w:rsidRPr="004A3269">
        <w:rPr>
          <w:szCs w:val="22"/>
        </w:rPr>
        <w:t>Unis d</w:t>
      </w:r>
      <w:r w:rsidR="009021AA" w:rsidRPr="004A3269">
        <w:rPr>
          <w:szCs w:val="22"/>
        </w:rPr>
        <w:t>’</w:t>
      </w:r>
      <w:r w:rsidRPr="004A3269">
        <w:rPr>
          <w:szCs w:val="22"/>
        </w:rPr>
        <w:t>Amérique, au Japon, en Fédération de Russie et à Singapour, qui disposent d</w:t>
      </w:r>
      <w:r w:rsidR="009021AA" w:rsidRPr="004A3269">
        <w:rPr>
          <w:szCs w:val="22"/>
        </w:rPr>
        <w:t>’</w:t>
      </w:r>
      <w:r w:rsidRPr="004A3269">
        <w:rPr>
          <w:szCs w:val="22"/>
        </w:rPr>
        <w:t>actifs limités dans la monnaie locale.</w:t>
      </w:r>
      <w:r w:rsidR="0057641E" w:rsidRPr="004A3269">
        <w:t xml:space="preserve"> </w:t>
      </w:r>
      <w:r w:rsidR="00EB7CB7" w:rsidRPr="004A3269">
        <w:t xml:space="preserve"> </w:t>
      </w:r>
      <w:r w:rsidRPr="004A3269">
        <w:rPr>
          <w:szCs w:val="22"/>
        </w:rPr>
        <w:t>L</w:t>
      </w:r>
      <w:r w:rsidR="009021AA" w:rsidRPr="004A3269">
        <w:rPr>
          <w:szCs w:val="22"/>
        </w:rPr>
        <w:t>’</w:t>
      </w:r>
      <w:r w:rsidRPr="004A3269">
        <w:rPr>
          <w:szCs w:val="22"/>
        </w:rPr>
        <w:t>Organisation fait un usage limité seulement d</w:t>
      </w:r>
      <w:r w:rsidR="009021AA" w:rsidRPr="004A3269">
        <w:rPr>
          <w:szCs w:val="22"/>
        </w:rPr>
        <w:t>’</w:t>
      </w:r>
      <w:r w:rsidRPr="004A3269">
        <w:rPr>
          <w:szCs w:val="22"/>
        </w:rPr>
        <w:t>instruments financiers pour se protéger des risques de change, concrètement pour des placements de courte durée au titre desquels des francs suisses sont convertis en euros pour une période de deux</w:t>
      </w:r>
      <w:r w:rsidR="00067463" w:rsidRPr="004A3269">
        <w:rPr>
          <w:szCs w:val="22"/>
        </w:rPr>
        <w:t> </w:t>
      </w:r>
      <w:r w:rsidRPr="004A3269">
        <w:rPr>
          <w:szCs w:val="22"/>
        </w:rPr>
        <w:t>mois au maximum</w:t>
      </w:r>
      <w:r w:rsidR="00A0797A" w:rsidRPr="004A3269">
        <w:rPr>
          <w:szCs w:val="22"/>
        </w:rPr>
        <w:t xml:space="preserve">.  </w:t>
      </w:r>
      <w:r w:rsidRPr="004A3269">
        <w:rPr>
          <w:szCs w:val="22"/>
        </w:rPr>
        <w:t>Il n</w:t>
      </w:r>
      <w:r w:rsidR="009021AA" w:rsidRPr="004A3269">
        <w:rPr>
          <w:szCs w:val="22"/>
        </w:rPr>
        <w:t>’</w:t>
      </w:r>
      <w:r w:rsidRPr="004A3269">
        <w:rPr>
          <w:szCs w:val="22"/>
        </w:rPr>
        <w:t>y a pas de contrats de couverture en place à la date de clôture.</w:t>
      </w:r>
    </w:p>
    <w:p w:rsidR="00267140" w:rsidRPr="004A3269" w:rsidRDefault="00267140" w:rsidP="0057641E">
      <w:pPr>
        <w:pStyle w:val="Style3"/>
        <w:spacing w:after="0"/>
        <w:rPr>
          <w:b/>
          <w:szCs w:val="22"/>
        </w:rPr>
      </w:pPr>
    </w:p>
    <w:p w:rsidR="00267140" w:rsidRPr="004A3269" w:rsidRDefault="00792331" w:rsidP="00792331">
      <w:pPr>
        <w:pStyle w:val="Style3"/>
        <w:spacing w:after="0"/>
        <w:rPr>
          <w:b/>
          <w:szCs w:val="22"/>
        </w:rPr>
      </w:pPr>
      <w:r w:rsidRPr="004A3269">
        <w:rPr>
          <w:b/>
          <w:szCs w:val="22"/>
        </w:rPr>
        <w:t>Analyse de sensibilité des taux de change</w:t>
      </w:r>
    </w:p>
    <w:p w:rsidR="00267140" w:rsidRPr="004A3269" w:rsidRDefault="00267140" w:rsidP="0057641E">
      <w:pPr>
        <w:pStyle w:val="Style3"/>
        <w:spacing w:after="0"/>
        <w:rPr>
          <w:szCs w:val="22"/>
        </w:rPr>
      </w:pPr>
    </w:p>
    <w:p w:rsidR="00267140" w:rsidRPr="004A3269" w:rsidRDefault="002C18FF" w:rsidP="00792331">
      <w:pPr>
        <w:pStyle w:val="Style3"/>
        <w:spacing w:after="0"/>
        <w:rPr>
          <w:szCs w:val="22"/>
        </w:rPr>
      </w:pPr>
      <w:r w:rsidRPr="004A3269">
        <w:rPr>
          <w:rStyle w:val="hps"/>
        </w:rPr>
        <w:t>L</w:t>
      </w:r>
      <w:r w:rsidR="009021AA" w:rsidRPr="004A3269">
        <w:rPr>
          <w:rStyle w:val="hps"/>
        </w:rPr>
        <w:t>’</w:t>
      </w:r>
      <w:r w:rsidRPr="004A3269">
        <w:rPr>
          <w:rStyle w:val="hps"/>
        </w:rPr>
        <w:t>analyse</w:t>
      </w:r>
      <w:r w:rsidRPr="004A3269">
        <w:t xml:space="preserve"> </w:t>
      </w:r>
      <w:r w:rsidRPr="004A3269">
        <w:rPr>
          <w:rStyle w:val="hps"/>
        </w:rPr>
        <w:t>de</w:t>
      </w:r>
      <w:r w:rsidRPr="004A3269">
        <w:t xml:space="preserve"> </w:t>
      </w:r>
      <w:r w:rsidRPr="004A3269">
        <w:rPr>
          <w:rStyle w:val="hps"/>
        </w:rPr>
        <w:t xml:space="preserve">sensibilité </w:t>
      </w:r>
      <w:r w:rsidR="008F41E0" w:rsidRPr="004A3269">
        <w:rPr>
          <w:rStyle w:val="hps"/>
        </w:rPr>
        <w:t>des</w:t>
      </w:r>
      <w:r w:rsidRPr="004A3269">
        <w:rPr>
          <w:rStyle w:val="hps"/>
        </w:rPr>
        <w:t xml:space="preserve"> taux</w:t>
      </w:r>
      <w:r w:rsidRPr="004A3269">
        <w:t xml:space="preserve"> </w:t>
      </w:r>
      <w:r w:rsidRPr="004A3269">
        <w:rPr>
          <w:rStyle w:val="hps"/>
        </w:rPr>
        <w:t>de change</w:t>
      </w:r>
      <w:r w:rsidRPr="004A3269">
        <w:t xml:space="preserve"> </w:t>
      </w:r>
      <w:r w:rsidR="008F41E0" w:rsidRPr="004A3269">
        <w:rPr>
          <w:rStyle w:val="hps"/>
        </w:rPr>
        <w:t>repose</w:t>
      </w:r>
      <w:r w:rsidRPr="004A3269">
        <w:rPr>
          <w:rStyle w:val="hps"/>
        </w:rPr>
        <w:t xml:space="preserve"> sur</w:t>
      </w:r>
      <w:r w:rsidRPr="004A3269">
        <w:t xml:space="preserve"> </w:t>
      </w:r>
      <w:r w:rsidR="008F41E0" w:rsidRPr="004A3269">
        <w:t xml:space="preserve">des variations </w:t>
      </w:r>
      <w:r w:rsidRPr="004A3269">
        <w:rPr>
          <w:rStyle w:val="hps"/>
        </w:rPr>
        <w:t>raisonnables</w:t>
      </w:r>
      <w:r w:rsidRPr="004A3269">
        <w:t xml:space="preserve"> </w:t>
      </w:r>
      <w:r w:rsidRPr="004A3269">
        <w:rPr>
          <w:rStyle w:val="hps"/>
        </w:rPr>
        <w:t>des taux de change</w:t>
      </w:r>
      <w:r w:rsidRPr="004A3269">
        <w:t xml:space="preserve">. </w:t>
      </w:r>
      <w:r w:rsidR="008F41E0" w:rsidRPr="004A3269">
        <w:t xml:space="preserve"> </w:t>
      </w:r>
      <w:r w:rsidRPr="004A3269">
        <w:rPr>
          <w:rStyle w:val="hps"/>
        </w:rPr>
        <w:t>Un taux</w:t>
      </w:r>
      <w:r w:rsidRPr="004A3269">
        <w:t xml:space="preserve"> </w:t>
      </w:r>
      <w:r w:rsidRPr="004A3269">
        <w:rPr>
          <w:rStyle w:val="hps"/>
        </w:rPr>
        <w:t>de 10,0</w:t>
      </w:r>
      <w:r w:rsidR="008F41E0" w:rsidRPr="004A3269">
        <w:rPr>
          <w:rStyle w:val="hps"/>
        </w:rPr>
        <w:t>%</w:t>
      </w:r>
      <w:r w:rsidRPr="004A3269">
        <w:t xml:space="preserve"> </w:t>
      </w:r>
      <w:r w:rsidRPr="004A3269">
        <w:rPr>
          <w:rStyle w:val="hps"/>
        </w:rPr>
        <w:t>a été appliqué</w:t>
      </w:r>
      <w:r w:rsidRPr="004A3269">
        <w:t xml:space="preserve">, </w:t>
      </w:r>
      <w:r w:rsidRPr="004A3269">
        <w:rPr>
          <w:rStyle w:val="hps"/>
        </w:rPr>
        <w:t>sur la base de</w:t>
      </w:r>
      <w:r w:rsidRPr="004A3269">
        <w:t xml:space="preserve"> </w:t>
      </w:r>
      <w:r w:rsidRPr="004A3269">
        <w:rPr>
          <w:rStyle w:val="hps"/>
        </w:rPr>
        <w:t xml:space="preserve">la </w:t>
      </w:r>
      <w:r w:rsidR="00A4745B" w:rsidRPr="004A3269">
        <w:rPr>
          <w:rStyle w:val="hps"/>
        </w:rPr>
        <w:t>baisse</w:t>
      </w:r>
      <w:r w:rsidRPr="004A3269">
        <w:t xml:space="preserve"> </w:t>
      </w:r>
      <w:r w:rsidRPr="004A3269">
        <w:rPr>
          <w:rStyle w:val="hps"/>
        </w:rPr>
        <w:t>de la valeur des</w:t>
      </w:r>
      <w:r w:rsidRPr="004A3269">
        <w:t xml:space="preserve"> </w:t>
      </w:r>
      <w:r w:rsidRPr="004A3269">
        <w:rPr>
          <w:rStyle w:val="hps"/>
        </w:rPr>
        <w:t>autres</w:t>
      </w:r>
      <w:r w:rsidRPr="004A3269">
        <w:t xml:space="preserve"> </w:t>
      </w:r>
      <w:r w:rsidR="002B4D33" w:rsidRPr="004A3269">
        <w:rPr>
          <w:rStyle w:val="hps"/>
        </w:rPr>
        <w:t>devises</w:t>
      </w:r>
      <w:r w:rsidRPr="004A3269">
        <w:rPr>
          <w:rStyle w:val="hps"/>
        </w:rPr>
        <w:t xml:space="preserve"> par rapport au</w:t>
      </w:r>
      <w:r w:rsidRPr="004A3269">
        <w:t xml:space="preserve"> </w:t>
      </w:r>
      <w:r w:rsidRPr="004A3269">
        <w:rPr>
          <w:rStyle w:val="hps"/>
        </w:rPr>
        <w:t>franc suisse</w:t>
      </w:r>
      <w:r w:rsidRPr="004A3269">
        <w:t xml:space="preserve"> </w:t>
      </w:r>
      <w:r w:rsidRPr="004A3269">
        <w:rPr>
          <w:rStyle w:val="hps"/>
        </w:rPr>
        <w:t>dans les mois suivant</w:t>
      </w:r>
      <w:r w:rsidRPr="004A3269">
        <w:t xml:space="preserve"> </w:t>
      </w:r>
      <w:r w:rsidRPr="004A3269">
        <w:rPr>
          <w:rStyle w:val="hps"/>
        </w:rPr>
        <w:t>l</w:t>
      </w:r>
      <w:r w:rsidR="009021AA" w:rsidRPr="004A3269">
        <w:rPr>
          <w:rStyle w:val="hps"/>
        </w:rPr>
        <w:t>’</w:t>
      </w:r>
      <w:r w:rsidRPr="004A3269">
        <w:rPr>
          <w:rStyle w:val="hps"/>
        </w:rPr>
        <w:t xml:space="preserve">annonce </w:t>
      </w:r>
      <w:r w:rsidR="00A4745B" w:rsidRPr="004A3269">
        <w:rPr>
          <w:rStyle w:val="hps"/>
        </w:rPr>
        <w:t>fait</w:t>
      </w:r>
      <w:r w:rsidR="002B4D33" w:rsidRPr="004A3269">
        <w:rPr>
          <w:rStyle w:val="hps"/>
        </w:rPr>
        <w:t>e</w:t>
      </w:r>
      <w:r w:rsidR="00A4745B" w:rsidRPr="004A3269">
        <w:rPr>
          <w:rStyle w:val="hps"/>
        </w:rPr>
        <w:t xml:space="preserve"> par</w:t>
      </w:r>
      <w:r w:rsidRPr="004A3269">
        <w:rPr>
          <w:rStyle w:val="hps"/>
        </w:rPr>
        <w:t xml:space="preserve"> la</w:t>
      </w:r>
      <w:r w:rsidRPr="004A3269">
        <w:t xml:space="preserve"> </w:t>
      </w:r>
      <w:r w:rsidRPr="004A3269">
        <w:rPr>
          <w:rStyle w:val="hps"/>
        </w:rPr>
        <w:t>Banque nationale suisse</w:t>
      </w:r>
      <w:r w:rsidRPr="004A3269">
        <w:t xml:space="preserve"> </w:t>
      </w:r>
      <w:r w:rsidRPr="004A3269">
        <w:rPr>
          <w:rStyle w:val="hps"/>
        </w:rPr>
        <w:t>le 15</w:t>
      </w:r>
      <w:r w:rsidR="00A4745B" w:rsidRPr="004A3269">
        <w:t> j</w:t>
      </w:r>
      <w:r w:rsidRPr="004A3269">
        <w:rPr>
          <w:rStyle w:val="hps"/>
        </w:rPr>
        <w:t>anvier</w:t>
      </w:r>
      <w:r w:rsidR="00A4745B" w:rsidRPr="004A3269">
        <w:t> </w:t>
      </w:r>
      <w:r w:rsidRPr="004A3269">
        <w:rPr>
          <w:rStyle w:val="hps"/>
        </w:rPr>
        <w:t>2015 (</w:t>
      </w:r>
      <w:r w:rsidRPr="004A3269">
        <w:t xml:space="preserve">voir </w:t>
      </w:r>
      <w:r w:rsidR="00A4745B" w:rsidRPr="004A3269">
        <w:t>la note n° </w:t>
      </w:r>
      <w:r w:rsidRPr="004A3269">
        <w:rPr>
          <w:rStyle w:val="hps"/>
        </w:rPr>
        <w:t>27</w:t>
      </w:r>
      <w:r w:rsidR="00A4745B" w:rsidRPr="004A3269">
        <w:t xml:space="preserve"> : </w:t>
      </w:r>
      <w:r w:rsidRPr="004A3269">
        <w:rPr>
          <w:rStyle w:val="hps"/>
        </w:rPr>
        <w:t>Événements postérieurs à la</w:t>
      </w:r>
      <w:r w:rsidRPr="004A3269">
        <w:t xml:space="preserve"> </w:t>
      </w:r>
      <w:r w:rsidRPr="004A3269">
        <w:rPr>
          <w:rStyle w:val="hps"/>
        </w:rPr>
        <w:t>date de clôture</w:t>
      </w:r>
      <w:r w:rsidR="00A0797A" w:rsidRPr="004A3269">
        <w:rPr>
          <w:rStyle w:val="hps"/>
        </w:rPr>
        <w:t>).</w:t>
      </w:r>
      <w:r w:rsidRPr="004A3269">
        <w:rPr>
          <w:rStyle w:val="hps"/>
        </w:rPr>
        <w:t xml:space="preserve">  </w:t>
      </w:r>
      <w:r w:rsidR="00A4745B" w:rsidRPr="004A3269">
        <w:rPr>
          <w:szCs w:val="22"/>
        </w:rPr>
        <w:t>Les variations sont appliquées</w:t>
      </w:r>
      <w:r w:rsidR="00792331" w:rsidRPr="004A3269">
        <w:rPr>
          <w:szCs w:val="22"/>
        </w:rPr>
        <w:t xml:space="preserve"> aux actifs et passifs financiers détenus dans d</w:t>
      </w:r>
      <w:r w:rsidR="009021AA" w:rsidRPr="004A3269">
        <w:rPr>
          <w:szCs w:val="22"/>
        </w:rPr>
        <w:t>’</w:t>
      </w:r>
      <w:r w:rsidR="00792331" w:rsidRPr="004A3269">
        <w:rPr>
          <w:szCs w:val="22"/>
        </w:rPr>
        <w:t>autres monnaies que le franc suisse pour résumer l</w:t>
      </w:r>
      <w:r w:rsidR="009021AA" w:rsidRPr="004A3269">
        <w:rPr>
          <w:szCs w:val="22"/>
        </w:rPr>
        <w:t>’</w:t>
      </w:r>
      <w:r w:rsidR="00792331" w:rsidRPr="004A3269">
        <w:rPr>
          <w:szCs w:val="22"/>
        </w:rPr>
        <w:t xml:space="preserve">effet sur </w:t>
      </w:r>
      <w:r w:rsidR="00EB7CB7" w:rsidRPr="004A3269">
        <w:rPr>
          <w:szCs w:val="22"/>
        </w:rPr>
        <w:t>l</w:t>
      </w:r>
      <w:r w:rsidR="009021AA" w:rsidRPr="004A3269">
        <w:rPr>
          <w:szCs w:val="22"/>
        </w:rPr>
        <w:t>’</w:t>
      </w:r>
      <w:r w:rsidR="00EB7CB7" w:rsidRPr="004A3269">
        <w:rPr>
          <w:szCs w:val="22"/>
        </w:rPr>
        <w:t>excédent dans les tableaux ci</w:t>
      </w:r>
      <w:r w:rsidR="00A17552" w:rsidRPr="004A3269">
        <w:rPr>
          <w:szCs w:val="22"/>
        </w:rPr>
        <w:noBreakHyphen/>
      </w:r>
      <w:r w:rsidR="00792331" w:rsidRPr="004A3269">
        <w:rPr>
          <w:szCs w:val="22"/>
        </w:rPr>
        <w:t>dessous</w:t>
      </w:r>
      <w:r w:rsidR="00EB7CB7" w:rsidRPr="004A3269">
        <w:rPr>
          <w:szCs w:val="22"/>
        </w:rPr>
        <w:t> </w:t>
      </w:r>
      <w:r w:rsidR="00792331" w:rsidRPr="004A3269">
        <w:rPr>
          <w:szCs w:val="22"/>
        </w:rPr>
        <w:t>:</w:t>
      </w:r>
    </w:p>
    <w:p w:rsidR="00267140" w:rsidRPr="004A3269" w:rsidRDefault="00267140" w:rsidP="0057641E">
      <w:pPr>
        <w:pStyle w:val="Style3"/>
        <w:spacing w:after="0"/>
      </w:pPr>
    </w:p>
    <w:p w:rsidR="00267140" w:rsidRPr="004A3269" w:rsidRDefault="008E7198" w:rsidP="00FE32E4">
      <w:pPr>
        <w:pStyle w:val="Style3Bold"/>
        <w:spacing w:after="0"/>
        <w:jc w:val="center"/>
        <w:rPr>
          <w:bCs w:val="0"/>
          <w:szCs w:val="22"/>
        </w:rPr>
      </w:pPr>
      <w:r w:rsidRPr="004A3269">
        <w:rPr>
          <w:noProof/>
          <w:lang w:val="en-US"/>
        </w:rPr>
        <w:drawing>
          <wp:inline distT="0" distB="0" distL="0" distR="0" wp14:anchorId="7064F591" wp14:editId="6C2DADDD">
            <wp:extent cx="5730875" cy="2981325"/>
            <wp:effectExtent l="0" t="0" r="317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0875" cy="2981325"/>
                    </a:xfrm>
                    <a:prstGeom prst="rect">
                      <a:avLst/>
                    </a:prstGeom>
                    <a:noFill/>
                    <a:ln>
                      <a:noFill/>
                    </a:ln>
                  </pic:spPr>
                </pic:pic>
              </a:graphicData>
            </a:graphic>
          </wp:inline>
        </w:drawing>
      </w:r>
    </w:p>
    <w:p w:rsidR="008E7198" w:rsidRPr="004A3269" w:rsidRDefault="008E7198" w:rsidP="00792331">
      <w:pPr>
        <w:pStyle w:val="Style3Bold"/>
        <w:spacing w:after="0"/>
        <w:rPr>
          <w:szCs w:val="22"/>
        </w:rPr>
      </w:pPr>
    </w:p>
    <w:p w:rsidR="00267140" w:rsidRPr="004A3269" w:rsidRDefault="00792331" w:rsidP="00792331">
      <w:pPr>
        <w:pStyle w:val="Style3Bold"/>
        <w:spacing w:after="0"/>
        <w:rPr>
          <w:szCs w:val="22"/>
        </w:rPr>
      </w:pPr>
      <w:r w:rsidRPr="004A3269">
        <w:rPr>
          <w:szCs w:val="22"/>
        </w:rPr>
        <w:t>Risque de marché</w:t>
      </w:r>
    </w:p>
    <w:p w:rsidR="00267140" w:rsidRPr="004A3269" w:rsidRDefault="00267140" w:rsidP="00FF54A6">
      <w:pPr>
        <w:pStyle w:val="Style3"/>
        <w:spacing w:after="0"/>
        <w:rPr>
          <w:szCs w:val="22"/>
        </w:rPr>
      </w:pPr>
    </w:p>
    <w:p w:rsidR="00267140" w:rsidRPr="004A3269" w:rsidRDefault="00792331" w:rsidP="00792331">
      <w:pPr>
        <w:pStyle w:val="Style3"/>
        <w:spacing w:after="0"/>
        <w:rPr>
          <w:szCs w:val="22"/>
        </w:rPr>
      </w:pPr>
      <w:r w:rsidRPr="004A3269">
        <w:rPr>
          <w:szCs w:val="22"/>
        </w:rPr>
        <w:t>Le risque de marché est le risque des variations des prix du marché comme les taux d</w:t>
      </w:r>
      <w:r w:rsidR="009021AA" w:rsidRPr="004A3269">
        <w:rPr>
          <w:szCs w:val="22"/>
        </w:rPr>
        <w:t>’</w:t>
      </w:r>
      <w:r w:rsidRPr="004A3269">
        <w:rPr>
          <w:szCs w:val="22"/>
        </w:rPr>
        <w:t>intérêt qui affectent le revenu de l</w:t>
      </w:r>
      <w:r w:rsidR="009021AA" w:rsidRPr="004A3269">
        <w:rPr>
          <w:szCs w:val="22"/>
        </w:rPr>
        <w:t>’</w:t>
      </w:r>
      <w:r w:rsidRPr="004A3269">
        <w:rPr>
          <w:szCs w:val="22"/>
        </w:rPr>
        <w:t>Organisation ou la valeur de ses instruments financiers.</w:t>
      </w:r>
      <w:r w:rsidR="00D01DF7" w:rsidRPr="004A3269">
        <w:rPr>
          <w:szCs w:val="22"/>
        </w:rPr>
        <w:t xml:space="preserve"> </w:t>
      </w:r>
      <w:r w:rsidR="00310C5D" w:rsidRPr="004A3269">
        <w:t xml:space="preserve"> </w:t>
      </w:r>
      <w:r w:rsidRPr="004A3269">
        <w:rPr>
          <w:szCs w:val="22"/>
        </w:rPr>
        <w:t>L</w:t>
      </w:r>
      <w:r w:rsidR="009021AA" w:rsidRPr="004A3269">
        <w:rPr>
          <w:szCs w:val="22"/>
        </w:rPr>
        <w:t>’</w:t>
      </w:r>
      <w:r w:rsidRPr="004A3269">
        <w:rPr>
          <w:szCs w:val="22"/>
        </w:rPr>
        <w:t>Organisation est très peu exposée au risque de baisse des taux d</w:t>
      </w:r>
      <w:r w:rsidR="009021AA" w:rsidRPr="004A3269">
        <w:rPr>
          <w:szCs w:val="22"/>
        </w:rPr>
        <w:t>’</w:t>
      </w:r>
      <w:r w:rsidRPr="004A3269">
        <w:rPr>
          <w:szCs w:val="22"/>
        </w:rPr>
        <w:t xml:space="preserve">intérêt, car seul 0,22% de son budget de </w:t>
      </w:r>
      <w:r w:rsidRPr="004A3269">
        <w:rPr>
          <w:szCs w:val="22"/>
        </w:rPr>
        <w:lastRenderedPageBreak/>
        <w:t>fonctionnement est financé à partir des revenus des investissements.</w:t>
      </w:r>
      <w:r w:rsidR="00E01D49" w:rsidRPr="004A3269">
        <w:t xml:space="preserve"> </w:t>
      </w:r>
      <w:r w:rsidR="00D01DF7" w:rsidRPr="004A3269">
        <w:t xml:space="preserve"> </w:t>
      </w:r>
      <w:r w:rsidR="00A4745B" w:rsidRPr="004A3269">
        <w:rPr>
          <w:rStyle w:val="hps"/>
        </w:rPr>
        <w:t>Les</w:t>
      </w:r>
      <w:r w:rsidR="00A4745B" w:rsidRPr="004A3269">
        <w:t xml:space="preserve"> </w:t>
      </w:r>
      <w:r w:rsidR="00A4745B" w:rsidRPr="004A3269">
        <w:rPr>
          <w:rStyle w:val="hps"/>
        </w:rPr>
        <w:t>taux d</w:t>
      </w:r>
      <w:r w:rsidR="009021AA" w:rsidRPr="004A3269">
        <w:rPr>
          <w:rStyle w:val="hps"/>
        </w:rPr>
        <w:t>’</w:t>
      </w:r>
      <w:r w:rsidR="00A4745B" w:rsidRPr="004A3269">
        <w:rPr>
          <w:rStyle w:val="hps"/>
        </w:rPr>
        <w:t>intérêt</w:t>
      </w:r>
      <w:r w:rsidR="00A4745B" w:rsidRPr="004A3269">
        <w:t xml:space="preserve"> </w:t>
      </w:r>
      <w:r w:rsidR="00A4745B" w:rsidRPr="004A3269">
        <w:rPr>
          <w:rStyle w:val="hps"/>
        </w:rPr>
        <w:t>applicables au prêt</w:t>
      </w:r>
      <w:r w:rsidR="00A4745B" w:rsidRPr="004A3269">
        <w:t xml:space="preserve"> consenti par</w:t>
      </w:r>
      <w:r w:rsidR="009021AA" w:rsidRPr="004A3269">
        <w:t xml:space="preserve"> la </w:t>
      </w:r>
      <w:r w:rsidR="009021AA" w:rsidRPr="004A3269">
        <w:rPr>
          <w:rStyle w:val="hps"/>
        </w:rPr>
        <w:t>BCG</w:t>
      </w:r>
      <w:r w:rsidR="00A4745B" w:rsidRPr="004A3269">
        <w:rPr>
          <w:rStyle w:val="hps"/>
        </w:rPr>
        <w:t>/BCV</w:t>
      </w:r>
      <w:r w:rsidR="00A4745B" w:rsidRPr="004A3269">
        <w:t xml:space="preserve"> pour le </w:t>
      </w:r>
      <w:r w:rsidR="00A4745B" w:rsidRPr="004A3269">
        <w:rPr>
          <w:rStyle w:val="hps"/>
        </w:rPr>
        <w:t>nouveau bâtiment</w:t>
      </w:r>
      <w:r w:rsidR="00A4745B" w:rsidRPr="004A3269">
        <w:t xml:space="preserve"> </w:t>
      </w:r>
      <w:r w:rsidR="00A4745B" w:rsidRPr="004A3269">
        <w:rPr>
          <w:rStyle w:val="hps"/>
        </w:rPr>
        <w:t>sont fixés pour les</w:t>
      </w:r>
      <w:r w:rsidR="00A4745B" w:rsidRPr="004A3269">
        <w:t xml:space="preserve"> </w:t>
      </w:r>
      <w:r w:rsidR="00A4745B" w:rsidRPr="004A3269">
        <w:rPr>
          <w:rStyle w:val="hps"/>
        </w:rPr>
        <w:t>périodes d</w:t>
      </w:r>
      <w:r w:rsidR="009021AA" w:rsidRPr="004A3269">
        <w:rPr>
          <w:rStyle w:val="hps"/>
        </w:rPr>
        <w:t>’</w:t>
      </w:r>
      <w:r w:rsidR="00A4745B" w:rsidRPr="004A3269">
        <w:rPr>
          <w:rStyle w:val="hps"/>
        </w:rPr>
        <w:t>utilisation du</w:t>
      </w:r>
      <w:r w:rsidR="00A4745B" w:rsidRPr="004A3269">
        <w:t xml:space="preserve"> </w:t>
      </w:r>
      <w:r w:rsidR="00A4745B" w:rsidRPr="004A3269">
        <w:rPr>
          <w:rStyle w:val="hps"/>
        </w:rPr>
        <w:t>prêt</w:t>
      </w:r>
      <w:r w:rsidR="00725FF2" w:rsidRPr="004A3269">
        <w:rPr>
          <w:szCs w:val="22"/>
        </w:rPr>
        <w:t>.</w:t>
      </w:r>
      <w:r w:rsidR="00E01D49" w:rsidRPr="004A3269">
        <w:rPr>
          <w:szCs w:val="22"/>
        </w:rPr>
        <w:t xml:space="preserve"> </w:t>
      </w:r>
      <w:r w:rsidR="00D01DF7" w:rsidRPr="004A3269">
        <w:rPr>
          <w:szCs w:val="22"/>
        </w:rPr>
        <w:t xml:space="preserve"> </w:t>
      </w:r>
      <w:r w:rsidRPr="004A3269">
        <w:rPr>
          <w:szCs w:val="22"/>
        </w:rPr>
        <w:t>L</w:t>
      </w:r>
      <w:r w:rsidR="009021AA" w:rsidRPr="004A3269">
        <w:rPr>
          <w:szCs w:val="22"/>
        </w:rPr>
        <w:t>’</w:t>
      </w:r>
      <w:r w:rsidRPr="004A3269">
        <w:rPr>
          <w:szCs w:val="22"/>
        </w:rPr>
        <w:t>Organisation n</w:t>
      </w:r>
      <w:r w:rsidR="009021AA" w:rsidRPr="004A3269">
        <w:rPr>
          <w:szCs w:val="22"/>
        </w:rPr>
        <w:t>’</w:t>
      </w:r>
      <w:r w:rsidRPr="004A3269">
        <w:rPr>
          <w:szCs w:val="22"/>
        </w:rPr>
        <w:t>a pas recours à des instruments financiers pour se protéger contre le risque de taux d</w:t>
      </w:r>
      <w:r w:rsidR="009021AA" w:rsidRPr="004A3269">
        <w:rPr>
          <w:szCs w:val="22"/>
        </w:rPr>
        <w:t>’</w:t>
      </w:r>
      <w:r w:rsidRPr="004A3269">
        <w:rPr>
          <w:szCs w:val="22"/>
        </w:rPr>
        <w:t>intérêt.</w:t>
      </w:r>
      <w:r w:rsidR="00E01D49" w:rsidRPr="004A3269">
        <w:t xml:space="preserve"> </w:t>
      </w:r>
      <w:r w:rsidR="00D01DF7" w:rsidRPr="004A3269">
        <w:t xml:space="preserve"> </w:t>
      </w:r>
      <w:r w:rsidR="00A4745B" w:rsidRPr="004A3269">
        <w:rPr>
          <w:rStyle w:val="hps"/>
        </w:rPr>
        <w:t>Les</w:t>
      </w:r>
      <w:r w:rsidR="00A4745B" w:rsidRPr="004A3269">
        <w:t xml:space="preserve"> </w:t>
      </w:r>
      <w:r w:rsidR="00A4745B" w:rsidRPr="004A3269">
        <w:rPr>
          <w:rStyle w:val="hps"/>
        </w:rPr>
        <w:t>taux d</w:t>
      </w:r>
      <w:r w:rsidR="009021AA" w:rsidRPr="004A3269">
        <w:rPr>
          <w:rStyle w:val="hps"/>
        </w:rPr>
        <w:t>’</w:t>
      </w:r>
      <w:r w:rsidR="00A4745B" w:rsidRPr="004A3269">
        <w:rPr>
          <w:rStyle w:val="hps"/>
        </w:rPr>
        <w:t>intérêt et</w:t>
      </w:r>
      <w:r w:rsidR="00A4745B" w:rsidRPr="004A3269">
        <w:t xml:space="preserve"> </w:t>
      </w:r>
      <w:r w:rsidR="00A4745B" w:rsidRPr="004A3269">
        <w:rPr>
          <w:rStyle w:val="hps"/>
        </w:rPr>
        <w:t>le profil</w:t>
      </w:r>
      <w:r w:rsidR="00A4745B" w:rsidRPr="004A3269">
        <w:t xml:space="preserve"> </w:t>
      </w:r>
      <w:r w:rsidR="00A4745B" w:rsidRPr="004A3269">
        <w:rPr>
          <w:rStyle w:val="hps"/>
        </w:rPr>
        <w:t>de maturité</w:t>
      </w:r>
      <w:r w:rsidR="00A4745B" w:rsidRPr="004A3269">
        <w:t xml:space="preserve"> </w:t>
      </w:r>
      <w:r w:rsidR="00A4745B" w:rsidRPr="004A3269">
        <w:rPr>
          <w:rStyle w:val="hps"/>
        </w:rPr>
        <w:t>des instruments financiers</w:t>
      </w:r>
      <w:r w:rsidR="00A4745B" w:rsidRPr="004A3269">
        <w:t xml:space="preserve"> </w:t>
      </w:r>
      <w:r w:rsidR="00A4745B" w:rsidRPr="004A3269">
        <w:rPr>
          <w:rStyle w:val="hps"/>
        </w:rPr>
        <w:t>au 31</w:t>
      </w:r>
      <w:r w:rsidR="00A4745B" w:rsidRPr="004A3269">
        <w:t> d</w:t>
      </w:r>
      <w:r w:rsidR="00A4745B" w:rsidRPr="004A3269">
        <w:rPr>
          <w:rStyle w:val="hps"/>
        </w:rPr>
        <w:t>écembre</w:t>
      </w:r>
      <w:r w:rsidR="00A4745B" w:rsidRPr="004A3269">
        <w:t> </w:t>
      </w:r>
      <w:r w:rsidR="00A4745B" w:rsidRPr="004A3269">
        <w:rPr>
          <w:rStyle w:val="hps"/>
        </w:rPr>
        <w:t>2014 et au 31</w:t>
      </w:r>
      <w:r w:rsidR="00A4745B" w:rsidRPr="004A3269">
        <w:t> d</w:t>
      </w:r>
      <w:r w:rsidR="00A4745B" w:rsidRPr="004A3269">
        <w:rPr>
          <w:rStyle w:val="hps"/>
        </w:rPr>
        <w:t>écembre</w:t>
      </w:r>
      <w:r w:rsidR="00A4745B" w:rsidRPr="004A3269">
        <w:t> </w:t>
      </w:r>
      <w:r w:rsidR="00A4745B" w:rsidRPr="004A3269">
        <w:rPr>
          <w:rStyle w:val="hps"/>
        </w:rPr>
        <w:t>2013 se présentent</w:t>
      </w:r>
      <w:r w:rsidR="00A4745B" w:rsidRPr="004A3269">
        <w:t xml:space="preserve"> </w:t>
      </w:r>
      <w:r w:rsidR="00A4745B" w:rsidRPr="004A3269">
        <w:rPr>
          <w:rStyle w:val="hps"/>
        </w:rPr>
        <w:t>comme suit </w:t>
      </w:r>
      <w:r w:rsidR="00310C5D" w:rsidRPr="004A3269">
        <w:rPr>
          <w:rStyle w:val="hps"/>
        </w:rPr>
        <w:t>:</w:t>
      </w:r>
    </w:p>
    <w:p w:rsidR="00267140" w:rsidRPr="004A3269" w:rsidRDefault="00267140" w:rsidP="00FF54A6">
      <w:pPr>
        <w:pStyle w:val="Style3"/>
        <w:spacing w:after="0"/>
      </w:pPr>
    </w:p>
    <w:p w:rsidR="00D01DF7" w:rsidRPr="004A3269" w:rsidRDefault="008E7198" w:rsidP="008E7198">
      <w:pPr>
        <w:pStyle w:val="Style3"/>
        <w:spacing w:after="0"/>
        <w:jc w:val="center"/>
        <w:rPr>
          <w:b/>
          <w:szCs w:val="22"/>
        </w:rPr>
      </w:pPr>
      <w:r w:rsidRPr="004A3269">
        <w:rPr>
          <w:noProof/>
          <w:lang w:val="en-US"/>
        </w:rPr>
        <w:drawing>
          <wp:inline distT="0" distB="0" distL="0" distR="0" wp14:anchorId="32E55B3C" wp14:editId="23E9E4B1">
            <wp:extent cx="5977255" cy="3848044"/>
            <wp:effectExtent l="0" t="0" r="4445" b="63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977255" cy="3848044"/>
                    </a:xfrm>
                    <a:prstGeom prst="rect">
                      <a:avLst/>
                    </a:prstGeom>
                    <a:noFill/>
                    <a:ln>
                      <a:noFill/>
                    </a:ln>
                  </pic:spPr>
                </pic:pic>
              </a:graphicData>
            </a:graphic>
          </wp:inline>
        </w:drawing>
      </w:r>
    </w:p>
    <w:p w:rsidR="008E7198" w:rsidRPr="004A3269" w:rsidRDefault="008E7198" w:rsidP="00792331">
      <w:pPr>
        <w:pStyle w:val="Style3"/>
        <w:spacing w:after="0"/>
        <w:rPr>
          <w:b/>
          <w:szCs w:val="22"/>
        </w:rPr>
      </w:pPr>
    </w:p>
    <w:p w:rsidR="00267140" w:rsidRPr="004A3269" w:rsidRDefault="00792331" w:rsidP="00792331">
      <w:pPr>
        <w:pStyle w:val="Style3"/>
        <w:spacing w:after="0"/>
        <w:rPr>
          <w:szCs w:val="22"/>
        </w:rPr>
      </w:pPr>
      <w:r w:rsidRPr="004A3269">
        <w:rPr>
          <w:b/>
          <w:szCs w:val="22"/>
        </w:rPr>
        <w:t>Analyse de sensibilité du taux d</w:t>
      </w:r>
      <w:r w:rsidR="009021AA" w:rsidRPr="004A3269">
        <w:rPr>
          <w:b/>
          <w:szCs w:val="22"/>
        </w:rPr>
        <w:t>’</w:t>
      </w:r>
      <w:r w:rsidRPr="004A3269">
        <w:rPr>
          <w:b/>
          <w:szCs w:val="22"/>
        </w:rPr>
        <w:t>intérêt</w:t>
      </w:r>
    </w:p>
    <w:p w:rsidR="00267140" w:rsidRPr="004A3269" w:rsidRDefault="00267140" w:rsidP="00FF54A6">
      <w:pPr>
        <w:pStyle w:val="Style3"/>
        <w:spacing w:after="0"/>
        <w:rPr>
          <w:szCs w:val="22"/>
        </w:rPr>
      </w:pPr>
    </w:p>
    <w:p w:rsidR="00267140" w:rsidRPr="004A3269" w:rsidRDefault="00792331" w:rsidP="00792331">
      <w:pPr>
        <w:pStyle w:val="Style3"/>
        <w:spacing w:after="0"/>
        <w:rPr>
          <w:szCs w:val="22"/>
        </w:rPr>
      </w:pPr>
      <w:r w:rsidRPr="004A3269">
        <w:rPr>
          <w:szCs w:val="22"/>
        </w:rPr>
        <w:t>Si le taux d</w:t>
      </w:r>
      <w:r w:rsidR="009021AA" w:rsidRPr="004A3269">
        <w:rPr>
          <w:szCs w:val="22"/>
        </w:rPr>
        <w:t>’</w:t>
      </w:r>
      <w:r w:rsidRPr="004A3269">
        <w:rPr>
          <w:szCs w:val="22"/>
        </w:rPr>
        <w:t>intérêt moyen au cours de l</w:t>
      </w:r>
      <w:r w:rsidR="009021AA" w:rsidRPr="004A3269">
        <w:rPr>
          <w:szCs w:val="22"/>
        </w:rPr>
        <w:t>’</w:t>
      </w:r>
      <w:r w:rsidRPr="004A3269">
        <w:rPr>
          <w:szCs w:val="22"/>
        </w:rPr>
        <w:t>année avait é</w:t>
      </w:r>
      <w:r w:rsidR="00D01DF7" w:rsidRPr="004A3269">
        <w:rPr>
          <w:szCs w:val="22"/>
        </w:rPr>
        <w:t>té plus élevé ou plus bas de 50 </w:t>
      </w:r>
      <w:r w:rsidRPr="004A3269">
        <w:rPr>
          <w:szCs w:val="22"/>
        </w:rPr>
        <w:t>points, les recettes ou les dépenses en matière d</w:t>
      </w:r>
      <w:r w:rsidR="009021AA" w:rsidRPr="004A3269">
        <w:rPr>
          <w:szCs w:val="22"/>
        </w:rPr>
        <w:t>’</w:t>
      </w:r>
      <w:r w:rsidRPr="004A3269">
        <w:rPr>
          <w:szCs w:val="22"/>
        </w:rPr>
        <w:t>intérêt auraient été affectées comme suit</w:t>
      </w:r>
      <w:r w:rsidR="00A0797A" w:rsidRPr="004A3269">
        <w:rPr>
          <w:szCs w:val="22"/>
        </w:rPr>
        <w:t> :</w:t>
      </w:r>
    </w:p>
    <w:p w:rsidR="00267140" w:rsidRPr="004A3269" w:rsidRDefault="00267140" w:rsidP="00A82302">
      <w:pPr>
        <w:pStyle w:val="Style3"/>
        <w:spacing w:after="0"/>
        <w:jc w:val="left"/>
        <w:rPr>
          <w:szCs w:val="22"/>
        </w:rPr>
      </w:pPr>
    </w:p>
    <w:p w:rsidR="008E7198" w:rsidRDefault="008E7198" w:rsidP="006D4320">
      <w:pPr>
        <w:pStyle w:val="Style3"/>
        <w:spacing w:after="0"/>
        <w:jc w:val="center"/>
        <w:rPr>
          <w:szCs w:val="22"/>
        </w:rPr>
      </w:pPr>
      <w:r w:rsidRPr="004A3269">
        <w:rPr>
          <w:noProof/>
          <w:lang w:val="en-US"/>
        </w:rPr>
        <w:drawing>
          <wp:inline distT="0" distB="0" distL="0" distR="0" wp14:anchorId="214F2766" wp14:editId="74A72E32">
            <wp:extent cx="4906645" cy="2073275"/>
            <wp:effectExtent l="0" t="0" r="8255" b="317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906645" cy="2073275"/>
                    </a:xfrm>
                    <a:prstGeom prst="rect">
                      <a:avLst/>
                    </a:prstGeom>
                    <a:noFill/>
                    <a:ln>
                      <a:noFill/>
                    </a:ln>
                  </pic:spPr>
                </pic:pic>
              </a:graphicData>
            </a:graphic>
          </wp:inline>
        </w:drawing>
      </w:r>
    </w:p>
    <w:p w:rsidR="00680CD7" w:rsidRDefault="00680CD7" w:rsidP="00680CD7">
      <w:pPr>
        <w:pStyle w:val="Style3"/>
        <w:spacing w:after="0"/>
        <w:rPr>
          <w:szCs w:val="22"/>
        </w:rPr>
      </w:pPr>
    </w:p>
    <w:p w:rsidR="00680CD7" w:rsidRPr="004A3269" w:rsidRDefault="00680CD7" w:rsidP="00680CD7">
      <w:pPr>
        <w:pStyle w:val="Style3"/>
        <w:spacing w:after="0"/>
        <w:rPr>
          <w:szCs w:val="22"/>
        </w:rPr>
      </w:pPr>
    </w:p>
    <w:p w:rsidR="00267140" w:rsidRPr="004A3269" w:rsidRDefault="00D01DF7" w:rsidP="00D01DF7">
      <w:pPr>
        <w:pStyle w:val="StyleHeading211ptNotBoldNotItalicAllcaps"/>
        <w:keepLines/>
        <w:tabs>
          <w:tab w:val="left" w:pos="1701"/>
        </w:tabs>
        <w:spacing w:before="0" w:after="0"/>
        <w:rPr>
          <w:szCs w:val="22"/>
        </w:rPr>
      </w:pPr>
      <w:r w:rsidRPr="004A3269">
        <w:rPr>
          <w:b/>
          <w:i w:val="0"/>
          <w:szCs w:val="22"/>
        </w:rPr>
        <w:lastRenderedPageBreak/>
        <w:t>NOTE N° 26</w:t>
      </w:r>
      <w:r w:rsidR="00A0797A" w:rsidRPr="004A3269">
        <w:rPr>
          <w:i w:val="0"/>
          <w:szCs w:val="22"/>
        </w:rPr>
        <w:t> :</w:t>
      </w:r>
      <w:r w:rsidRPr="004A3269">
        <w:rPr>
          <w:b/>
          <w:i w:val="0"/>
          <w:szCs w:val="22"/>
        </w:rPr>
        <w:t xml:space="preserve"> </w:t>
      </w:r>
      <w:r w:rsidRPr="004A3269">
        <w:rPr>
          <w:b/>
          <w:i w:val="0"/>
          <w:szCs w:val="22"/>
        </w:rPr>
        <w:tab/>
        <w:t>GAINS ET PERTES DE CHANGE</w:t>
      </w:r>
    </w:p>
    <w:p w:rsidR="00240BEE" w:rsidRPr="004A3269" w:rsidRDefault="00240BEE" w:rsidP="00D01DF7">
      <w:pPr>
        <w:pStyle w:val="StyleHeading211ptNotBoldNotItalicAllcaps"/>
        <w:keepLines/>
        <w:spacing w:before="0" w:after="0"/>
        <w:rPr>
          <w:szCs w:val="22"/>
        </w:rPr>
      </w:pPr>
    </w:p>
    <w:p w:rsidR="00240BEE" w:rsidRPr="004A3269" w:rsidRDefault="00240BEE" w:rsidP="00240BEE">
      <w:pPr>
        <w:pStyle w:val="Styletexte"/>
        <w:spacing w:after="0"/>
        <w:jc w:val="center"/>
      </w:pPr>
      <w:r w:rsidRPr="004A3269">
        <w:rPr>
          <w:rFonts w:eastAsia="SimSun"/>
          <w:noProof/>
          <w:lang w:val="en-US"/>
        </w:rPr>
        <w:drawing>
          <wp:inline distT="0" distB="0" distL="0" distR="0" wp14:anchorId="412FF26C" wp14:editId="6773F1CC">
            <wp:extent cx="5977255" cy="4425919"/>
            <wp:effectExtent l="0" t="0" r="444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977255" cy="4425919"/>
                    </a:xfrm>
                    <a:prstGeom prst="rect">
                      <a:avLst/>
                    </a:prstGeom>
                    <a:noFill/>
                    <a:ln>
                      <a:noFill/>
                    </a:ln>
                  </pic:spPr>
                </pic:pic>
              </a:graphicData>
            </a:graphic>
          </wp:inline>
        </w:drawing>
      </w:r>
    </w:p>
    <w:p w:rsidR="00240BEE" w:rsidRPr="004A3269" w:rsidRDefault="00240BEE" w:rsidP="00792331">
      <w:pPr>
        <w:pStyle w:val="Styletexte"/>
        <w:spacing w:after="0"/>
      </w:pPr>
    </w:p>
    <w:p w:rsidR="00267140" w:rsidRPr="004A3269" w:rsidRDefault="00792331" w:rsidP="00792331">
      <w:pPr>
        <w:pStyle w:val="Styletexte"/>
        <w:spacing w:after="0"/>
      </w:pPr>
      <w:r w:rsidRPr="004A3269">
        <w:t>L</w:t>
      </w:r>
      <w:r w:rsidR="009021AA" w:rsidRPr="004A3269">
        <w:t>’</w:t>
      </w:r>
      <w:r w:rsidRPr="004A3269">
        <w:t>Organisation réalise des gains et des pertes de change sur les opérations relatives aux comptes de créanciers et aux comptes de débiteurs libellés dans des monnaies autres que le franc suisse sur la base des taux de change en vigueur à la date de l</w:t>
      </w:r>
      <w:r w:rsidR="009021AA" w:rsidRPr="004A3269">
        <w:t>’</w:t>
      </w:r>
      <w:r w:rsidRPr="004A3269">
        <w:t>opération.</w:t>
      </w:r>
      <w:r w:rsidR="00652B08" w:rsidRPr="004A3269">
        <w:t xml:space="preserve"> </w:t>
      </w:r>
      <w:r w:rsidR="00D01DF7" w:rsidRPr="004A3269">
        <w:t xml:space="preserve"> </w:t>
      </w:r>
      <w:r w:rsidRPr="004A3269">
        <w:t xml:space="preserve">Des gains ou des pertes de change sont également réalisés sur </w:t>
      </w:r>
      <w:r w:rsidR="002B4D33" w:rsidRPr="004A3269">
        <w:t xml:space="preserve">les taxes internationales de dépôt et les taxes de traitement </w:t>
      </w:r>
      <w:r w:rsidRPr="004A3269">
        <w:t>payé</w:t>
      </w:r>
      <w:r w:rsidR="002B4D33" w:rsidRPr="004A3269">
        <w:t>e</w:t>
      </w:r>
      <w:r w:rsidRPr="004A3269">
        <w:t>s au titre du Traité de coopération en matière de brevets, qui sont perçu</w:t>
      </w:r>
      <w:r w:rsidR="002B4D33" w:rsidRPr="004A3269">
        <w:t>e</w:t>
      </w:r>
      <w:r w:rsidRPr="004A3269">
        <w:t>s par l</w:t>
      </w:r>
      <w:r w:rsidR="009021AA" w:rsidRPr="004A3269">
        <w:t>’</w:t>
      </w:r>
      <w:r w:rsidRPr="004A3269">
        <w:t>Organisation dans des devises autres que les francs suisses.  Ces gains ou ces pertes de changes peuvent également être réalisés sur des paiements effectués aux administrations chargées de la recherche internationale (ISA) selon le Traité de coopération en matière de brevets, qui sont comptabilisés dans la monnaie de ces administrations mais perçus par l</w:t>
      </w:r>
      <w:r w:rsidR="009021AA" w:rsidRPr="004A3269">
        <w:t>’</w:t>
      </w:r>
      <w:r w:rsidRPr="004A3269">
        <w:t>OMPI en francs suisses ou par l</w:t>
      </w:r>
      <w:r w:rsidR="009021AA" w:rsidRPr="004A3269">
        <w:t>’</w:t>
      </w:r>
      <w:r w:rsidRPr="004A3269">
        <w:t>office récepteur national dans sa monnaie locale</w:t>
      </w:r>
      <w:r w:rsidR="00A0797A" w:rsidRPr="004A3269">
        <w:t xml:space="preserve">.  </w:t>
      </w:r>
      <w:r w:rsidRPr="004A3269">
        <w:t>En outre, les gains et les pertes de change latents liés à la réévaluation des comptes bancaires et autres actifs et passifs monétaires en francs suisses au taux de change en vigueur à la date d</w:t>
      </w:r>
      <w:r w:rsidR="009021AA" w:rsidRPr="004A3269">
        <w:t>’</w:t>
      </w:r>
      <w:r w:rsidRPr="004A3269">
        <w:t>établissement des états financiers sont comptabilisés dans les états financiers</w:t>
      </w:r>
      <w:r w:rsidR="00A0797A" w:rsidRPr="004A3269">
        <w:t xml:space="preserve">.  </w:t>
      </w:r>
      <w:r w:rsidRPr="004A3269">
        <w:t>L</w:t>
      </w:r>
      <w:r w:rsidR="009021AA" w:rsidRPr="004A3269">
        <w:t>’</w:t>
      </w:r>
      <w:r w:rsidRPr="004A3269">
        <w:t xml:space="preserve">effet net de tous les gains et pertes de change de </w:t>
      </w:r>
      <w:r w:rsidR="00A17552" w:rsidRPr="004A3269">
        <w:noBreakHyphen/>
      </w:r>
      <w:r w:rsidR="00A0797A" w:rsidRPr="004A3269">
        <w:t>0,9</w:t>
      </w:r>
      <w:r w:rsidR="00067463" w:rsidRPr="004A3269">
        <w:t> </w:t>
      </w:r>
      <w:r w:rsidR="00A0797A" w:rsidRPr="004A3269">
        <w:t>million</w:t>
      </w:r>
      <w:r w:rsidRPr="004A3269">
        <w:t xml:space="preserve"> de francs suisses est comptabilisé dans le poste des recettes de l</w:t>
      </w:r>
      <w:r w:rsidR="009021AA" w:rsidRPr="004A3269">
        <w:t>’</w:t>
      </w:r>
      <w:r w:rsidRPr="004A3269">
        <w:t>état de la performance financière, principalement la rubrique des taxes du système</w:t>
      </w:r>
      <w:r w:rsidR="009021AA" w:rsidRPr="004A3269">
        <w:t xml:space="preserve"> du PCT</w:t>
      </w:r>
      <w:r w:rsidRPr="004A3269">
        <w:t>.</w:t>
      </w:r>
    </w:p>
    <w:p w:rsidR="00267140" w:rsidRDefault="00267140" w:rsidP="00680CD7">
      <w:pPr>
        <w:pStyle w:val="Styletexte"/>
        <w:spacing w:after="0"/>
      </w:pPr>
    </w:p>
    <w:p w:rsidR="00680CD7" w:rsidRPr="004A3269" w:rsidRDefault="00680CD7" w:rsidP="00680CD7">
      <w:pPr>
        <w:pStyle w:val="Styletexte"/>
        <w:spacing w:after="0"/>
      </w:pPr>
    </w:p>
    <w:p w:rsidR="00267140" w:rsidRPr="004A3269" w:rsidRDefault="00D01DF7" w:rsidP="00D01DF7">
      <w:pPr>
        <w:pStyle w:val="StyleHeading211ptNotBoldNotItalicAllcaps"/>
        <w:tabs>
          <w:tab w:val="left" w:pos="1701"/>
        </w:tabs>
        <w:spacing w:before="0" w:after="0"/>
        <w:rPr>
          <w:b/>
        </w:rPr>
      </w:pPr>
      <w:r w:rsidRPr="004A3269">
        <w:rPr>
          <w:b/>
          <w:i w:val="0"/>
        </w:rPr>
        <w:t xml:space="preserve">NOTE N° 27 : </w:t>
      </w:r>
      <w:r w:rsidRPr="004A3269">
        <w:rPr>
          <w:b/>
          <w:i w:val="0"/>
        </w:rPr>
        <w:tab/>
        <w:t>ÉVÉNEMENTS POSTÉRIEURS À LA DATE D</w:t>
      </w:r>
      <w:r w:rsidR="009021AA" w:rsidRPr="004A3269">
        <w:rPr>
          <w:b/>
          <w:i w:val="0"/>
        </w:rPr>
        <w:t>’</w:t>
      </w:r>
      <w:r w:rsidRPr="004A3269">
        <w:rPr>
          <w:b/>
          <w:i w:val="0"/>
        </w:rPr>
        <w:t>ÉTABLISSEMENT DES ÉTATS FINANCIERS</w:t>
      </w:r>
    </w:p>
    <w:p w:rsidR="00267140" w:rsidRPr="00680CD7" w:rsidRDefault="00267140" w:rsidP="002C14F3">
      <w:pPr>
        <w:pStyle w:val="STYLETITRENOTES"/>
        <w:rPr>
          <w:b w:val="0"/>
        </w:rPr>
      </w:pPr>
    </w:p>
    <w:p w:rsidR="009021AA" w:rsidRPr="004A3269" w:rsidRDefault="00792331" w:rsidP="00792331">
      <w:pPr>
        <w:pStyle w:val="Styletexte"/>
        <w:spacing w:after="0"/>
      </w:pPr>
      <w:r w:rsidRPr="004A3269">
        <w:t>La date d</w:t>
      </w:r>
      <w:r w:rsidR="009021AA" w:rsidRPr="004A3269">
        <w:t>’</w:t>
      </w:r>
      <w:r w:rsidRPr="004A3269">
        <w:t>établissement des états financi</w:t>
      </w:r>
      <w:r w:rsidR="00D01DF7" w:rsidRPr="004A3269">
        <w:t>ers de l</w:t>
      </w:r>
      <w:r w:rsidR="009021AA" w:rsidRPr="004A3269">
        <w:t>’</w:t>
      </w:r>
      <w:r w:rsidR="00D01DF7" w:rsidRPr="004A3269">
        <w:t>OMPI a été fixée au 31 </w:t>
      </w:r>
      <w:r w:rsidRPr="004A3269">
        <w:t>décembre</w:t>
      </w:r>
      <w:r w:rsidR="00D01DF7" w:rsidRPr="004A3269">
        <w:t> 2014 et leur publication au 1</w:t>
      </w:r>
      <w:r w:rsidR="00D01DF7" w:rsidRPr="004A3269">
        <w:rPr>
          <w:vertAlign w:val="superscript"/>
        </w:rPr>
        <w:t>er</w:t>
      </w:r>
      <w:r w:rsidR="00D01DF7" w:rsidRPr="004A3269">
        <w:t> mai </w:t>
      </w:r>
      <w:r w:rsidRPr="004A3269">
        <w:t>2015.</w:t>
      </w:r>
    </w:p>
    <w:p w:rsidR="00267140" w:rsidRPr="004A3269" w:rsidRDefault="00267140" w:rsidP="002C14F3">
      <w:pPr>
        <w:pStyle w:val="Styletexte"/>
        <w:spacing w:after="0"/>
      </w:pPr>
    </w:p>
    <w:p w:rsidR="00267140" w:rsidRPr="004A3269" w:rsidRDefault="00E3385D" w:rsidP="002C14F3">
      <w:pPr>
        <w:pStyle w:val="Styletexte"/>
        <w:spacing w:after="0"/>
        <w:rPr>
          <w:szCs w:val="22"/>
        </w:rPr>
      </w:pPr>
      <w:r w:rsidRPr="004A3269">
        <w:lastRenderedPageBreak/>
        <w:t>Le 15 </w:t>
      </w:r>
      <w:r w:rsidR="00505179" w:rsidRPr="004A3269">
        <w:t>janvier</w:t>
      </w:r>
      <w:r w:rsidRPr="004A3269">
        <w:t> </w:t>
      </w:r>
      <w:r w:rsidR="00A4745B" w:rsidRPr="004A3269">
        <w:t>2015, la Banque nationale suisse (BNS) a annoncé qu</w:t>
      </w:r>
      <w:r w:rsidR="009021AA" w:rsidRPr="004A3269">
        <w:t>’</w:t>
      </w:r>
      <w:r w:rsidR="00A4745B" w:rsidRPr="004A3269">
        <w:t xml:space="preserve">elle </w:t>
      </w:r>
      <w:r w:rsidRPr="004A3269">
        <w:t>abandonnait</w:t>
      </w:r>
      <w:r w:rsidR="00A4745B" w:rsidRPr="004A3269">
        <w:t xml:space="preserve"> sa politique de maintien d</w:t>
      </w:r>
      <w:r w:rsidR="009021AA" w:rsidRPr="004A3269">
        <w:t>’</w:t>
      </w:r>
      <w:r w:rsidR="00A4745B" w:rsidRPr="004A3269">
        <w:t>un</w:t>
      </w:r>
      <w:r w:rsidRPr="004A3269">
        <w:t xml:space="preserve"> taux de change minimum de 1,20 </w:t>
      </w:r>
      <w:r w:rsidR="00A4745B" w:rsidRPr="004A3269">
        <w:t>franc suisse pour un euro.</w:t>
      </w:r>
      <w:r w:rsidRPr="004A3269">
        <w:t xml:space="preserve"> </w:t>
      </w:r>
      <w:r w:rsidR="00A4745B" w:rsidRPr="004A3269">
        <w:t xml:space="preserve"> </w:t>
      </w:r>
      <w:r w:rsidRPr="004A3269">
        <w:t>Cette</w:t>
      </w:r>
      <w:r w:rsidR="00A4745B" w:rsidRPr="004A3269">
        <w:t xml:space="preserve"> politique </w:t>
      </w:r>
      <w:r w:rsidRPr="004A3269">
        <w:t>était en vigueur depuis le 6 septembre </w:t>
      </w:r>
      <w:r w:rsidR="00A4745B" w:rsidRPr="004A3269">
        <w:t xml:space="preserve">2011. </w:t>
      </w:r>
      <w:r w:rsidRPr="004A3269">
        <w:t xml:space="preserve"> </w:t>
      </w:r>
      <w:r w:rsidR="00A4745B" w:rsidRPr="004A3269">
        <w:t>Suite à l</w:t>
      </w:r>
      <w:r w:rsidR="009021AA" w:rsidRPr="004A3269">
        <w:t>’</w:t>
      </w:r>
      <w:r w:rsidR="00A4745B" w:rsidRPr="004A3269">
        <w:t>annonce</w:t>
      </w:r>
      <w:r w:rsidRPr="004A3269">
        <w:t xml:space="preserve"> de</w:t>
      </w:r>
      <w:r w:rsidR="009021AA" w:rsidRPr="004A3269">
        <w:t xml:space="preserve"> la BNS</w:t>
      </w:r>
      <w:r w:rsidR="00A4745B" w:rsidRPr="004A3269">
        <w:t xml:space="preserve">, le franc suisse </w:t>
      </w:r>
      <w:r w:rsidRPr="004A3269">
        <w:t>s</w:t>
      </w:r>
      <w:r w:rsidR="009021AA" w:rsidRPr="004A3269">
        <w:t>’</w:t>
      </w:r>
      <w:r w:rsidRPr="004A3269">
        <w:t>est raffermi</w:t>
      </w:r>
      <w:r w:rsidR="00A4745B" w:rsidRPr="004A3269">
        <w:t xml:space="preserve"> de manière significative, et toutes les autres </w:t>
      </w:r>
      <w:r w:rsidRPr="004A3269">
        <w:t>devises</w:t>
      </w:r>
      <w:r w:rsidR="00A4745B" w:rsidRPr="004A3269">
        <w:t xml:space="preserve"> ont perdu en moyenne 15,0</w:t>
      </w:r>
      <w:r w:rsidRPr="004A3269">
        <w:t>%</w:t>
      </w:r>
      <w:r w:rsidR="00A4745B" w:rsidRPr="004A3269">
        <w:t xml:space="preserve"> de leur valeur par rapport au franc suisse </w:t>
      </w:r>
      <w:r w:rsidRPr="004A3269">
        <w:t>sur</w:t>
      </w:r>
      <w:r w:rsidR="00A4745B" w:rsidRPr="004A3269">
        <w:t xml:space="preserve"> les marchés des devises. </w:t>
      </w:r>
      <w:r w:rsidRPr="004A3269">
        <w:t xml:space="preserve"> Le</w:t>
      </w:r>
      <w:r w:rsidR="00AB3489" w:rsidRPr="004A3269">
        <w:t>s</w:t>
      </w:r>
      <w:r w:rsidR="00AA757F" w:rsidRPr="004A3269">
        <w:t xml:space="preserve"> </w:t>
      </w:r>
      <w:r w:rsidR="00AA757F" w:rsidRPr="004A3269">
        <w:rPr>
          <w:rStyle w:val="preferred"/>
          <w:rFonts w:ascii="Helvetica" w:hAnsi="Helvetica"/>
          <w:sz w:val="21"/>
          <w:szCs w:val="21"/>
        </w:rPr>
        <w:t>taux de change opérationnel</w:t>
      </w:r>
      <w:r w:rsidR="00AB3489" w:rsidRPr="004A3269">
        <w:rPr>
          <w:rStyle w:val="preferred"/>
          <w:rFonts w:ascii="Helvetica" w:hAnsi="Helvetica"/>
          <w:sz w:val="21"/>
          <w:szCs w:val="21"/>
        </w:rPr>
        <w:t>s</w:t>
      </w:r>
      <w:r w:rsidR="00AA757F" w:rsidRPr="004A3269">
        <w:rPr>
          <w:rStyle w:val="preferred"/>
          <w:rFonts w:ascii="Helvetica" w:hAnsi="Helvetica"/>
          <w:sz w:val="21"/>
          <w:szCs w:val="21"/>
        </w:rPr>
        <w:t xml:space="preserve"> de l'Organisation des Nations Unies</w:t>
      </w:r>
      <w:r w:rsidR="00AA757F" w:rsidRPr="004A3269">
        <w:t xml:space="preserve"> </w:t>
      </w:r>
      <w:r w:rsidRPr="004A3269">
        <w:t>(UNORE) à partir du 15 j</w:t>
      </w:r>
      <w:r w:rsidR="00A4745B" w:rsidRPr="004A3269">
        <w:t>anvier</w:t>
      </w:r>
      <w:r w:rsidRPr="004A3269">
        <w:t> </w:t>
      </w:r>
      <w:r w:rsidR="00A4745B" w:rsidRPr="004A3269">
        <w:t xml:space="preserve">2015 </w:t>
      </w:r>
      <w:r w:rsidRPr="004A3269">
        <w:t>avaient</w:t>
      </w:r>
      <w:r w:rsidR="00A4745B" w:rsidRPr="004A3269">
        <w:t xml:space="preserve"> déjà été publié</w:t>
      </w:r>
      <w:r w:rsidRPr="004A3269">
        <w:t>s deux </w:t>
      </w:r>
      <w:r w:rsidR="00A4745B" w:rsidRPr="004A3269">
        <w:t xml:space="preserve">jours auparavant, et </w:t>
      </w:r>
      <w:r w:rsidRPr="004A3269">
        <w:t>n</w:t>
      </w:r>
      <w:r w:rsidR="009021AA" w:rsidRPr="004A3269">
        <w:t>’</w:t>
      </w:r>
      <w:r w:rsidRPr="004A3269">
        <w:t>intégraient</w:t>
      </w:r>
      <w:r w:rsidR="00A4745B" w:rsidRPr="004A3269">
        <w:t xml:space="preserve"> donc pas l</w:t>
      </w:r>
      <w:r w:rsidR="009021AA" w:rsidRPr="004A3269">
        <w:t>’</w:t>
      </w:r>
      <w:r w:rsidR="00A4745B" w:rsidRPr="004A3269">
        <w:t>effet de l</w:t>
      </w:r>
      <w:r w:rsidR="009021AA" w:rsidRPr="004A3269">
        <w:t>’</w:t>
      </w:r>
      <w:r w:rsidR="00A4745B" w:rsidRPr="004A3269">
        <w:t xml:space="preserve">annonce </w:t>
      </w:r>
      <w:r w:rsidRPr="004A3269">
        <w:t>de</w:t>
      </w:r>
      <w:r w:rsidR="009021AA" w:rsidRPr="004A3269">
        <w:t xml:space="preserve"> la BNS</w:t>
      </w:r>
      <w:r w:rsidR="00A4745B" w:rsidRPr="004A3269">
        <w:t>.</w:t>
      </w:r>
      <w:r w:rsidRPr="004A3269">
        <w:t xml:space="preserve"> </w:t>
      </w:r>
      <w:r w:rsidR="00A4745B" w:rsidRPr="004A3269">
        <w:t xml:space="preserve"> Cependant, </w:t>
      </w:r>
      <w:r w:rsidRPr="004A3269">
        <w:t>les nouveaux</w:t>
      </w:r>
      <w:r w:rsidR="00A4745B" w:rsidRPr="004A3269">
        <w:t xml:space="preserve"> UNORE ont ensuite été publié</w:t>
      </w:r>
      <w:r w:rsidRPr="004A3269">
        <w:t>s le 29 janvier, le 26 f</w:t>
      </w:r>
      <w:r w:rsidR="00A4745B" w:rsidRPr="004A3269">
        <w:t xml:space="preserve">évrier et </w:t>
      </w:r>
      <w:r w:rsidRPr="004A3269">
        <w:t>le 11 mars </w:t>
      </w:r>
      <w:r w:rsidR="00A4745B" w:rsidRPr="004A3269">
        <w:t>2015.</w:t>
      </w:r>
      <w:r w:rsidRPr="004A3269">
        <w:t xml:space="preserve">  Pour </w:t>
      </w:r>
      <w:r w:rsidR="0060580B" w:rsidRPr="004A3269">
        <w:t>chacune des</w:t>
      </w:r>
      <w:r w:rsidRPr="004A3269">
        <w:t xml:space="preserve"> trois devises</w:t>
      </w:r>
      <w:r w:rsidR="00A4745B" w:rsidRPr="004A3269">
        <w:t xml:space="preserve"> </w:t>
      </w:r>
      <w:r w:rsidR="0060580B" w:rsidRPr="004A3269">
        <w:t>(hormis</w:t>
      </w:r>
      <w:r w:rsidR="00A4745B" w:rsidRPr="004A3269">
        <w:t xml:space="preserve"> le</w:t>
      </w:r>
      <w:r w:rsidRPr="004A3269">
        <w:t xml:space="preserve"> franc </w:t>
      </w:r>
      <w:r w:rsidR="0060580B" w:rsidRPr="004A3269">
        <w:t xml:space="preserve">suisse) </w:t>
      </w:r>
      <w:r w:rsidRPr="004A3269">
        <w:t xml:space="preserve">dans </w:t>
      </w:r>
      <w:r w:rsidR="0060580B" w:rsidRPr="004A3269">
        <w:t>lesquelles</w:t>
      </w:r>
      <w:r w:rsidRPr="004A3269">
        <w:t xml:space="preserve"> l</w:t>
      </w:r>
      <w:r w:rsidR="009021AA" w:rsidRPr="004A3269">
        <w:t>’</w:t>
      </w:r>
      <w:r w:rsidRPr="004A3269">
        <w:t xml:space="preserve">Organisation </w:t>
      </w:r>
      <w:r w:rsidR="0060580B" w:rsidRPr="004A3269">
        <w:t>perçoit</w:t>
      </w:r>
      <w:r w:rsidR="00A4745B" w:rsidRPr="004A3269">
        <w:t xml:space="preserve"> la </w:t>
      </w:r>
      <w:r w:rsidR="0060580B" w:rsidRPr="004A3269">
        <w:t xml:space="preserve">majeure </w:t>
      </w:r>
      <w:r w:rsidR="00A4745B" w:rsidRPr="004A3269">
        <w:t xml:space="preserve">partie de ses </w:t>
      </w:r>
      <w:r w:rsidR="0060580B" w:rsidRPr="004A3269">
        <w:t>taxes</w:t>
      </w:r>
      <w:r w:rsidR="00A4745B" w:rsidRPr="004A3269">
        <w:t>, le tableau ci</w:t>
      </w:r>
      <w:r w:rsidR="00A17552" w:rsidRPr="004A3269">
        <w:noBreakHyphen/>
      </w:r>
      <w:r w:rsidR="00A4745B" w:rsidRPr="004A3269">
        <w:t xml:space="preserve">dessous </w:t>
      </w:r>
      <w:r w:rsidR="0060580B" w:rsidRPr="004A3269">
        <w:t>illustre</w:t>
      </w:r>
      <w:r w:rsidR="00A4745B" w:rsidRPr="004A3269">
        <w:t xml:space="preserve"> le pourcentage de </w:t>
      </w:r>
      <w:r w:rsidR="0060580B" w:rsidRPr="004A3269">
        <w:t>baisse</w:t>
      </w:r>
      <w:r w:rsidR="00A4745B" w:rsidRPr="004A3269">
        <w:t xml:space="preserve"> de valeur par rapport</w:t>
      </w:r>
      <w:r w:rsidR="0060580B" w:rsidRPr="004A3269">
        <w:t xml:space="preserve"> au franc suisse, sur la base</w:t>
      </w:r>
      <w:r w:rsidR="009021AA" w:rsidRPr="004A3269">
        <w:t xml:space="preserve"> des UNO</w:t>
      </w:r>
      <w:r w:rsidR="00A4745B" w:rsidRPr="004A3269">
        <w:t>RE publié</w:t>
      </w:r>
      <w:r w:rsidR="0060580B" w:rsidRPr="004A3269">
        <w:t>s</w:t>
      </w:r>
      <w:r w:rsidR="00A4745B" w:rsidRPr="004A3269">
        <w:t xml:space="preserve"> avant et après l</w:t>
      </w:r>
      <w:r w:rsidR="009021AA" w:rsidRPr="004A3269">
        <w:t>’</w:t>
      </w:r>
      <w:r w:rsidR="00A4745B" w:rsidRPr="004A3269">
        <w:t xml:space="preserve">annonce </w:t>
      </w:r>
      <w:r w:rsidR="0060580B" w:rsidRPr="004A3269">
        <w:t>de</w:t>
      </w:r>
      <w:r w:rsidR="009021AA" w:rsidRPr="004A3269">
        <w:t xml:space="preserve"> la BNS</w:t>
      </w:r>
      <w:r w:rsidR="00A4745B" w:rsidRPr="004A3269">
        <w:t> :</w:t>
      </w:r>
    </w:p>
    <w:p w:rsidR="00267140" w:rsidRPr="004A3269" w:rsidRDefault="00267140" w:rsidP="002C14F3">
      <w:pPr>
        <w:pStyle w:val="Styletexte"/>
        <w:spacing w:after="0"/>
        <w:rPr>
          <w:szCs w:val="22"/>
        </w:rPr>
      </w:pPr>
    </w:p>
    <w:p w:rsidR="00240BEE" w:rsidRPr="004A3269" w:rsidRDefault="00240BEE" w:rsidP="002C14F3">
      <w:pPr>
        <w:pStyle w:val="Styletexte"/>
        <w:spacing w:after="0"/>
      </w:pPr>
      <w:r w:rsidRPr="004A3269">
        <w:rPr>
          <w:noProof/>
          <w:lang w:val="en-US"/>
        </w:rPr>
        <w:drawing>
          <wp:inline distT="0" distB="0" distL="0" distR="0" wp14:anchorId="26B18F8B" wp14:editId="04DC82C5">
            <wp:extent cx="5977255" cy="1517346"/>
            <wp:effectExtent l="0" t="0" r="4445" b="698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77255" cy="1517346"/>
                    </a:xfrm>
                    <a:prstGeom prst="rect">
                      <a:avLst/>
                    </a:prstGeom>
                    <a:noFill/>
                    <a:ln>
                      <a:noFill/>
                    </a:ln>
                  </pic:spPr>
                </pic:pic>
              </a:graphicData>
            </a:graphic>
          </wp:inline>
        </w:drawing>
      </w:r>
    </w:p>
    <w:p w:rsidR="00240BEE" w:rsidRPr="004A3269" w:rsidRDefault="00240BEE" w:rsidP="002C14F3">
      <w:pPr>
        <w:pStyle w:val="Styletexte"/>
        <w:spacing w:after="0"/>
      </w:pPr>
    </w:p>
    <w:p w:rsidR="00267140" w:rsidRPr="004A3269" w:rsidRDefault="00A4745B" w:rsidP="002C14F3">
      <w:pPr>
        <w:pStyle w:val="Styletexte"/>
        <w:spacing w:after="0"/>
        <w:rPr>
          <w:szCs w:val="22"/>
        </w:rPr>
      </w:pPr>
      <w:r w:rsidRPr="004A3269">
        <w:t>Comme on peut le voir dans le tableau ci</w:t>
      </w:r>
      <w:r w:rsidR="00A17552" w:rsidRPr="004A3269">
        <w:noBreakHyphen/>
      </w:r>
      <w:r w:rsidRPr="004A3269">
        <w:t xml:space="preserve">dessus, après </w:t>
      </w:r>
      <w:r w:rsidR="00881F29" w:rsidRPr="004A3269">
        <w:t>une</w:t>
      </w:r>
      <w:r w:rsidRPr="004A3269">
        <w:t xml:space="preserve"> perte initiale moyenne de 15,0</w:t>
      </w:r>
      <w:r w:rsidR="0060580B" w:rsidRPr="004A3269">
        <w:t>%</w:t>
      </w:r>
      <w:r w:rsidRPr="004A3269">
        <w:t>, les trois</w:t>
      </w:r>
      <w:r w:rsidR="00067463" w:rsidRPr="004A3269">
        <w:t> </w:t>
      </w:r>
      <w:r w:rsidR="0060580B" w:rsidRPr="004A3269">
        <w:t xml:space="preserve">devises se sont raffermies </w:t>
      </w:r>
      <w:r w:rsidRPr="004A3269">
        <w:t>à diff</w:t>
      </w:r>
      <w:r w:rsidR="0060580B" w:rsidRPr="004A3269">
        <w:t>érents degrés au cours des deux </w:t>
      </w:r>
      <w:r w:rsidRPr="004A3269">
        <w:t>mois suivants, même si l</w:t>
      </w:r>
      <w:r w:rsidR="009021AA" w:rsidRPr="004A3269">
        <w:t>’</w:t>
      </w:r>
      <w:r w:rsidRPr="004A3269">
        <w:t>euro est resté 11,4</w:t>
      </w:r>
      <w:r w:rsidR="0060580B" w:rsidRPr="004A3269">
        <w:t>%</w:t>
      </w:r>
      <w:r w:rsidRPr="004A3269">
        <w:t xml:space="preserve"> en </w:t>
      </w:r>
      <w:r w:rsidR="0060580B" w:rsidRPr="004A3269">
        <w:t>deç</w:t>
      </w:r>
      <w:r w:rsidR="00881F29" w:rsidRPr="004A3269">
        <w:t>à</w:t>
      </w:r>
      <w:r w:rsidRPr="004A3269">
        <w:t xml:space="preserve"> de sa valeur avant l</w:t>
      </w:r>
      <w:r w:rsidR="009021AA" w:rsidRPr="004A3269">
        <w:t>’</w:t>
      </w:r>
      <w:r w:rsidRPr="004A3269">
        <w:t xml:space="preserve">annonce </w:t>
      </w:r>
      <w:r w:rsidR="0060580B" w:rsidRPr="004A3269">
        <w:t>de</w:t>
      </w:r>
      <w:r w:rsidR="009021AA" w:rsidRPr="004A3269">
        <w:t xml:space="preserve"> la BNS</w:t>
      </w:r>
      <w:r w:rsidRPr="004A3269">
        <w:t xml:space="preserve">. </w:t>
      </w:r>
      <w:r w:rsidR="0060580B" w:rsidRPr="004A3269">
        <w:t xml:space="preserve"> </w:t>
      </w:r>
      <w:r w:rsidRPr="004A3269">
        <w:t>Bien qu</w:t>
      </w:r>
      <w:r w:rsidR="009021AA" w:rsidRPr="004A3269">
        <w:t>’</w:t>
      </w:r>
      <w:r w:rsidRPr="004A3269">
        <w:t xml:space="preserve">il soit difficile de </w:t>
      </w:r>
      <w:r w:rsidR="00881F29" w:rsidRPr="004A3269">
        <w:t>faire</w:t>
      </w:r>
      <w:r w:rsidRPr="004A3269">
        <w:t xml:space="preserve"> une estimation </w:t>
      </w:r>
      <w:r w:rsidR="0060580B" w:rsidRPr="004A3269">
        <w:t xml:space="preserve">chiffrée </w:t>
      </w:r>
      <w:r w:rsidRPr="004A3269">
        <w:t>complète de l</w:t>
      </w:r>
      <w:r w:rsidR="009021AA" w:rsidRPr="004A3269">
        <w:t>’</w:t>
      </w:r>
      <w:r w:rsidRPr="004A3269">
        <w:t>inci</w:t>
      </w:r>
      <w:r w:rsidR="0060580B" w:rsidRPr="004A3269">
        <w:t xml:space="preserve">dence financière </w:t>
      </w:r>
      <w:r w:rsidR="00881F29" w:rsidRPr="004A3269">
        <w:t>de l</w:t>
      </w:r>
      <w:r w:rsidR="009021AA" w:rsidRPr="004A3269">
        <w:t>’</w:t>
      </w:r>
      <w:r w:rsidR="00881F29" w:rsidRPr="004A3269">
        <w:t xml:space="preserve">appréciation du franc suisse </w:t>
      </w:r>
      <w:r w:rsidR="0060580B" w:rsidRPr="004A3269">
        <w:t>pour l</w:t>
      </w:r>
      <w:r w:rsidR="009021AA" w:rsidRPr="004A3269">
        <w:t>’</w:t>
      </w:r>
      <w:r w:rsidR="0060580B" w:rsidRPr="004A3269">
        <w:t>OMPI en </w:t>
      </w:r>
      <w:r w:rsidRPr="004A3269">
        <w:t xml:space="preserve">2015, il est clair que </w:t>
      </w:r>
      <w:r w:rsidR="00881F29" w:rsidRPr="004A3269">
        <w:t>cette appréciation</w:t>
      </w:r>
      <w:r w:rsidRPr="004A3269">
        <w:t xml:space="preserve"> aura un impact négatif sur les </w:t>
      </w:r>
      <w:r w:rsidR="0060580B" w:rsidRPr="004A3269">
        <w:t>taxes</w:t>
      </w:r>
      <w:r w:rsidRPr="004A3269">
        <w:t xml:space="preserve"> de l</w:t>
      </w:r>
      <w:r w:rsidR="009021AA" w:rsidRPr="004A3269">
        <w:t>’</w:t>
      </w:r>
      <w:r w:rsidRPr="004A3269">
        <w:t xml:space="preserve">OMPI </w:t>
      </w:r>
      <w:r w:rsidR="00881F29" w:rsidRPr="004A3269">
        <w:t>provenant des</w:t>
      </w:r>
      <w:r w:rsidRPr="004A3269">
        <w:t xml:space="preserve"> demandes </w:t>
      </w:r>
      <w:r w:rsidR="00881F29" w:rsidRPr="004A3269">
        <w:t>selon</w:t>
      </w:r>
      <w:r w:rsidR="009021AA" w:rsidRPr="004A3269">
        <w:t xml:space="preserve"> le PCT</w:t>
      </w:r>
      <w:r w:rsidRPr="004A3269">
        <w:t xml:space="preserve"> payé</w:t>
      </w:r>
      <w:r w:rsidR="00881F29" w:rsidRPr="004A3269">
        <w:t>e</w:t>
      </w:r>
      <w:r w:rsidRPr="004A3269">
        <w:t xml:space="preserve">s en devises autres que le franc suisse pendant au moins </w:t>
      </w:r>
      <w:r w:rsidR="0060580B" w:rsidRPr="004A3269">
        <w:t>le</w:t>
      </w:r>
      <w:r w:rsidRPr="004A3269">
        <w:t xml:space="preserve"> premier trimestre de l</w:t>
      </w:r>
      <w:r w:rsidR="009021AA" w:rsidRPr="004A3269">
        <w:t>’</w:t>
      </w:r>
      <w:r w:rsidRPr="004A3269">
        <w:t xml:space="preserve">année. </w:t>
      </w:r>
      <w:r w:rsidR="0060580B" w:rsidRPr="004A3269">
        <w:t xml:space="preserve"> </w:t>
      </w:r>
      <w:r w:rsidRPr="004A3269">
        <w:t>En raison de l</w:t>
      </w:r>
      <w:r w:rsidR="009021AA" w:rsidRPr="004A3269">
        <w:t>’</w:t>
      </w:r>
      <w:r w:rsidRPr="004A3269">
        <w:t xml:space="preserve">appréciation du franc suisse, de nouveaux montants équivalents </w:t>
      </w:r>
      <w:r w:rsidR="00DC6718" w:rsidRPr="004A3269">
        <w:t>en ce qui concerne</w:t>
      </w:r>
      <w:r w:rsidRPr="004A3269">
        <w:t xml:space="preserve"> </w:t>
      </w:r>
      <w:r w:rsidR="00881F29" w:rsidRPr="004A3269">
        <w:t xml:space="preserve">les </w:t>
      </w:r>
      <w:r w:rsidR="00DC6718" w:rsidRPr="004A3269">
        <w:rPr>
          <w:rStyle w:val="hps"/>
        </w:rPr>
        <w:t>taxes internationales de dépôt pour les demandes publiées selon</w:t>
      </w:r>
      <w:r w:rsidR="009021AA" w:rsidRPr="004A3269">
        <w:rPr>
          <w:rStyle w:val="hps"/>
        </w:rPr>
        <w:t xml:space="preserve"> le PCT</w:t>
      </w:r>
      <w:r w:rsidR="00E01F11" w:rsidRPr="004A3269">
        <w:t xml:space="preserve"> </w:t>
      </w:r>
      <w:r w:rsidR="002702A6" w:rsidRPr="004A3269">
        <w:t xml:space="preserve">et </w:t>
      </w:r>
      <w:r w:rsidRPr="004A3269">
        <w:t xml:space="preserve">les </w:t>
      </w:r>
      <w:r w:rsidR="00D3154C" w:rsidRPr="004A3269">
        <w:t>taxes</w:t>
      </w:r>
      <w:r w:rsidRPr="004A3269">
        <w:t xml:space="preserve"> de </w:t>
      </w:r>
      <w:r w:rsidR="00881F29" w:rsidRPr="004A3269">
        <w:t>traitement</w:t>
      </w:r>
      <w:r w:rsidRPr="004A3269">
        <w:t xml:space="preserve"> ont été annoncés pour un certain nombre de </w:t>
      </w:r>
      <w:r w:rsidR="00881F29" w:rsidRPr="004A3269">
        <w:t>devises, avec effet à partir du 1</w:t>
      </w:r>
      <w:r w:rsidR="00881F29" w:rsidRPr="004A3269">
        <w:rPr>
          <w:vertAlign w:val="superscript"/>
        </w:rPr>
        <w:t>er</w:t>
      </w:r>
      <w:r w:rsidR="00881F29" w:rsidRPr="004A3269">
        <w:t> avril </w:t>
      </w:r>
      <w:r w:rsidRPr="004A3269">
        <w:t>2015.</w:t>
      </w:r>
      <w:r w:rsidR="00881F29" w:rsidRPr="004A3269">
        <w:t xml:space="preserve"> </w:t>
      </w:r>
      <w:r w:rsidRPr="004A3269">
        <w:t xml:space="preserve"> </w:t>
      </w:r>
      <w:r w:rsidR="002702A6" w:rsidRPr="004A3269">
        <w:t>L</w:t>
      </w:r>
      <w:r w:rsidR="009021AA" w:rsidRPr="004A3269">
        <w:t>’</w:t>
      </w:r>
      <w:r w:rsidRPr="004A3269">
        <w:t>euro</w:t>
      </w:r>
      <w:r w:rsidR="002702A6" w:rsidRPr="004A3269">
        <w:t xml:space="preserve"> était concerné</w:t>
      </w:r>
      <w:r w:rsidRPr="004A3269">
        <w:t xml:space="preserve">, mais pas le dollar américain </w:t>
      </w:r>
      <w:r w:rsidR="002702A6" w:rsidRPr="004A3269">
        <w:t>ni</w:t>
      </w:r>
      <w:r w:rsidRPr="004A3269">
        <w:t xml:space="preserve"> </w:t>
      </w:r>
      <w:r w:rsidR="002702A6" w:rsidRPr="004A3269">
        <w:t xml:space="preserve">le </w:t>
      </w:r>
      <w:r w:rsidRPr="004A3269">
        <w:t xml:space="preserve">yen </w:t>
      </w:r>
      <w:r w:rsidR="002702A6" w:rsidRPr="004A3269">
        <w:t xml:space="preserve">japonais, car ils ne remplissent </w:t>
      </w:r>
      <w:r w:rsidRPr="004A3269">
        <w:t>pas les conditions pour la fixation d</w:t>
      </w:r>
      <w:r w:rsidR="009021AA" w:rsidRPr="004A3269">
        <w:t>’</w:t>
      </w:r>
      <w:r w:rsidRPr="004A3269">
        <w:t>un nouveau montant équivalent en raison de la reprise d</w:t>
      </w:r>
      <w:r w:rsidR="009021AA" w:rsidRPr="004A3269">
        <w:t>’</w:t>
      </w:r>
      <w:r w:rsidRPr="004A3269">
        <w:t xml:space="preserve">une grande partie de leur valeur par rapport au franc suisse. </w:t>
      </w:r>
      <w:r w:rsidR="002702A6" w:rsidRPr="004A3269">
        <w:t xml:space="preserve"> D</w:t>
      </w:r>
      <w:r w:rsidR="009021AA" w:rsidRPr="004A3269">
        <w:t>’</w:t>
      </w:r>
      <w:r w:rsidR="002702A6" w:rsidRPr="004A3269">
        <w:t>après l</w:t>
      </w:r>
      <w:r w:rsidR="009021AA" w:rsidRPr="004A3269">
        <w:t>’</w:t>
      </w:r>
      <w:r w:rsidRPr="004A3269">
        <w:t>analys</w:t>
      </w:r>
      <w:r w:rsidR="002702A6" w:rsidRPr="004A3269">
        <w:t>e des montants équivalents pour</w:t>
      </w:r>
      <w:r w:rsidR="00902692" w:rsidRPr="004A3269">
        <w:t xml:space="preserve"> les dépôts</w:t>
      </w:r>
      <w:r w:rsidR="002702A6" w:rsidRPr="004A3269">
        <w:t> 2014 et </w:t>
      </w:r>
      <w:r w:rsidRPr="004A3269">
        <w:t xml:space="preserve">2015 et </w:t>
      </w:r>
      <w:r w:rsidR="00902692" w:rsidRPr="004A3269">
        <w:t xml:space="preserve">les </w:t>
      </w:r>
      <w:r w:rsidR="000515B2" w:rsidRPr="004A3269">
        <w:t xml:space="preserve">taux de change </w:t>
      </w:r>
      <w:r w:rsidRPr="004A3269">
        <w:t xml:space="preserve">UNORE </w:t>
      </w:r>
      <w:r w:rsidR="00902692" w:rsidRPr="004A3269">
        <w:t xml:space="preserve">publiés </w:t>
      </w:r>
      <w:r w:rsidRPr="004A3269">
        <w:t>après l</w:t>
      </w:r>
      <w:r w:rsidR="009021AA" w:rsidRPr="004A3269">
        <w:t>’</w:t>
      </w:r>
      <w:r w:rsidRPr="004A3269">
        <w:t xml:space="preserve">annonce </w:t>
      </w:r>
      <w:r w:rsidR="00902692" w:rsidRPr="004A3269">
        <w:t>de</w:t>
      </w:r>
      <w:r w:rsidR="009021AA" w:rsidRPr="004A3269">
        <w:t xml:space="preserve"> la BNS</w:t>
      </w:r>
      <w:r w:rsidRPr="004A3269">
        <w:t xml:space="preserve">, la perte de change </w:t>
      </w:r>
      <w:r w:rsidR="002B4D33" w:rsidRPr="004A3269">
        <w:t>à</w:t>
      </w:r>
      <w:r w:rsidRPr="004A3269">
        <w:t xml:space="preserve"> réception des </w:t>
      </w:r>
      <w:r w:rsidR="00DC6718" w:rsidRPr="004A3269">
        <w:rPr>
          <w:rStyle w:val="hps"/>
        </w:rPr>
        <w:t>taxes internationales de dépôt pour les demandes publiées selon</w:t>
      </w:r>
      <w:r w:rsidR="009021AA" w:rsidRPr="004A3269">
        <w:rPr>
          <w:rStyle w:val="hps"/>
        </w:rPr>
        <w:t xml:space="preserve"> le PCT</w:t>
      </w:r>
      <w:r w:rsidR="00902692" w:rsidRPr="004A3269">
        <w:t xml:space="preserve"> est </w:t>
      </w:r>
      <w:r w:rsidR="00CB3C63" w:rsidRPr="004A3269">
        <w:t xml:space="preserve">estimée </w:t>
      </w:r>
      <w:r w:rsidR="00902692" w:rsidRPr="004A3269">
        <w:t>entre 2,0 et 5,0 </w:t>
      </w:r>
      <w:r w:rsidRPr="004A3269">
        <w:t>millions de francs suisses (voir page</w:t>
      </w:r>
      <w:r w:rsidR="00067463" w:rsidRPr="004A3269">
        <w:t> </w:t>
      </w:r>
      <w:r w:rsidRPr="004A3269">
        <w:t>12</w:t>
      </w:r>
      <w:r w:rsidR="00902692" w:rsidRPr="004A3269">
        <w:t>,</w:t>
      </w:r>
      <w:r w:rsidRPr="004A3269">
        <w:t xml:space="preserve"> </w:t>
      </w:r>
      <w:r w:rsidR="00902692" w:rsidRPr="004A3269">
        <w:t>Examen et analyse des états financiers</w:t>
      </w:r>
      <w:r w:rsidRPr="004A3269">
        <w:t xml:space="preserve">). </w:t>
      </w:r>
      <w:r w:rsidR="00FC5D70" w:rsidRPr="004A3269">
        <w:t xml:space="preserve"> </w:t>
      </w:r>
      <w:r w:rsidRPr="004A3269">
        <w:t xml:space="preserve">Cette estimation dépend </w:t>
      </w:r>
      <w:r w:rsidR="00DC6718" w:rsidRPr="004A3269">
        <w:t xml:space="preserve">des futures </w:t>
      </w:r>
      <w:r w:rsidR="00FC5D70" w:rsidRPr="004A3269">
        <w:t>entrées</w:t>
      </w:r>
      <w:r w:rsidRPr="004A3269">
        <w:t xml:space="preserve"> de trésorerie </w:t>
      </w:r>
      <w:r w:rsidR="00DC6718" w:rsidRPr="004A3269">
        <w:t xml:space="preserve">provenant </w:t>
      </w:r>
      <w:r w:rsidR="00FC5D70" w:rsidRPr="004A3269">
        <w:t>des</w:t>
      </w:r>
      <w:r w:rsidR="00902692" w:rsidRPr="004A3269">
        <w:t xml:space="preserve"> </w:t>
      </w:r>
      <w:r w:rsidR="00DC6718" w:rsidRPr="004A3269">
        <w:rPr>
          <w:rStyle w:val="hps"/>
        </w:rPr>
        <w:t>taxes internationales de dépôt pour les demandes publiées selon</w:t>
      </w:r>
      <w:r w:rsidR="009021AA" w:rsidRPr="004A3269">
        <w:rPr>
          <w:rStyle w:val="hps"/>
        </w:rPr>
        <w:t xml:space="preserve"> le PCT</w:t>
      </w:r>
      <w:r w:rsidRPr="004A3269">
        <w:t xml:space="preserve">, </w:t>
      </w:r>
      <w:r w:rsidR="00FC5D70" w:rsidRPr="004A3269">
        <w:t>ainsi que</w:t>
      </w:r>
      <w:r w:rsidRPr="004A3269">
        <w:t xml:space="preserve"> </w:t>
      </w:r>
      <w:r w:rsidR="00FC5D70" w:rsidRPr="004A3269">
        <w:t>des mouvements de</w:t>
      </w:r>
      <w:r w:rsidRPr="004A3269">
        <w:t xml:space="preserve"> taux </w:t>
      </w:r>
      <w:r w:rsidR="00FC5D70" w:rsidRPr="004A3269">
        <w:t>d</w:t>
      </w:r>
      <w:r w:rsidR="009021AA" w:rsidRPr="004A3269">
        <w:t>’</w:t>
      </w:r>
      <w:r w:rsidR="00FC5D70" w:rsidRPr="004A3269">
        <w:t>intérêt postérieurs</w:t>
      </w:r>
      <w:r w:rsidR="009021AA" w:rsidRPr="004A3269">
        <w:t xml:space="preserve"> aux UNO</w:t>
      </w:r>
      <w:r w:rsidR="00FC5D70" w:rsidRPr="004A3269">
        <w:t xml:space="preserve">RE publiés </w:t>
      </w:r>
      <w:r w:rsidR="00902692" w:rsidRPr="004A3269">
        <w:t>le 11 mars </w:t>
      </w:r>
      <w:r w:rsidRPr="004A3269">
        <w:t>2015</w:t>
      </w:r>
      <w:r w:rsidR="0043594A" w:rsidRPr="004A3269">
        <w:rPr>
          <w:szCs w:val="22"/>
        </w:rPr>
        <w:t>.</w:t>
      </w:r>
    </w:p>
    <w:p w:rsidR="00267140" w:rsidRDefault="00267140" w:rsidP="002C14F3">
      <w:pPr>
        <w:pStyle w:val="Styletexte"/>
        <w:spacing w:after="0"/>
        <w:rPr>
          <w:szCs w:val="22"/>
        </w:rPr>
      </w:pPr>
    </w:p>
    <w:p w:rsidR="00680CD7" w:rsidRPr="004A3269" w:rsidRDefault="00680CD7" w:rsidP="002C14F3">
      <w:pPr>
        <w:pStyle w:val="Styletexte"/>
        <w:spacing w:after="0"/>
        <w:rPr>
          <w:szCs w:val="22"/>
        </w:rPr>
      </w:pPr>
    </w:p>
    <w:p w:rsidR="00267140" w:rsidRPr="004A3269" w:rsidRDefault="00D01DF7" w:rsidP="00D01DF7">
      <w:pPr>
        <w:pStyle w:val="StyleHeading211ptNotBoldNotItalicAllcaps"/>
        <w:tabs>
          <w:tab w:val="left" w:pos="1701"/>
        </w:tabs>
        <w:spacing w:before="0" w:after="0"/>
        <w:rPr>
          <w:b/>
        </w:rPr>
      </w:pPr>
      <w:r w:rsidRPr="004A3269">
        <w:rPr>
          <w:b/>
          <w:i w:val="0"/>
        </w:rPr>
        <w:t>NOTE N° 28</w:t>
      </w:r>
      <w:r w:rsidR="00A0797A" w:rsidRPr="004A3269">
        <w:rPr>
          <w:b/>
          <w:i w:val="0"/>
        </w:rPr>
        <w:t> :</w:t>
      </w:r>
      <w:r w:rsidRPr="004A3269">
        <w:rPr>
          <w:b/>
          <w:i w:val="0"/>
        </w:rPr>
        <w:t xml:space="preserve"> </w:t>
      </w:r>
      <w:r w:rsidRPr="004A3269">
        <w:rPr>
          <w:b/>
          <w:i w:val="0"/>
        </w:rPr>
        <w:tab/>
        <w:t>INFORMATION SECTORIELLE</w:t>
      </w:r>
    </w:p>
    <w:p w:rsidR="00267140" w:rsidRPr="00680CD7" w:rsidRDefault="00267140" w:rsidP="002C14F3">
      <w:pPr>
        <w:pStyle w:val="STYLETITRENOTES"/>
        <w:rPr>
          <w:b w:val="0"/>
        </w:rPr>
      </w:pPr>
    </w:p>
    <w:p w:rsidR="00267140" w:rsidRPr="004A3269" w:rsidRDefault="00792331" w:rsidP="00792331">
      <w:pPr>
        <w:pStyle w:val="Styletexte"/>
        <w:spacing w:after="0"/>
      </w:pPr>
      <w:r w:rsidRPr="004A3269">
        <w:t>L</w:t>
      </w:r>
      <w:r w:rsidR="009021AA" w:rsidRPr="004A3269">
        <w:t>’</w:t>
      </w:r>
      <w:r w:rsidRPr="004A3269">
        <w:t>information sectorielle est présentée dans un format qui représente les diverses unions en tant que segments composant l</w:t>
      </w:r>
      <w:r w:rsidR="009021AA" w:rsidRPr="004A3269">
        <w:t>’</w:t>
      </w:r>
      <w:r w:rsidRPr="004A3269">
        <w:t>Organisation Mondiale de la Propriété Intellectuelle.</w:t>
      </w:r>
      <w:r w:rsidR="00373121" w:rsidRPr="004A3269">
        <w:t xml:space="preserve"> </w:t>
      </w:r>
      <w:r w:rsidR="00D01DF7" w:rsidRPr="004A3269">
        <w:t xml:space="preserve"> </w:t>
      </w:r>
      <w:r w:rsidRPr="004A3269">
        <w:t>Les unions ont été créées par les divers traités administrés par l</w:t>
      </w:r>
      <w:r w:rsidR="009021AA" w:rsidRPr="004A3269">
        <w:t>’</w:t>
      </w:r>
      <w:r w:rsidRPr="004A3269">
        <w:t>OMPI.</w:t>
      </w:r>
    </w:p>
    <w:p w:rsidR="00267140" w:rsidRPr="004A3269" w:rsidRDefault="00267140" w:rsidP="002C14F3">
      <w:pPr>
        <w:pStyle w:val="Styletexte"/>
        <w:spacing w:after="0"/>
      </w:pPr>
    </w:p>
    <w:p w:rsidR="009021AA" w:rsidRPr="004A3269" w:rsidRDefault="00792331" w:rsidP="00792331">
      <w:pPr>
        <w:pStyle w:val="Styletexte"/>
        <w:spacing w:after="0"/>
      </w:pPr>
      <w:r w:rsidRPr="004A3269">
        <w:t>Les unions financées par des contributions de l</w:t>
      </w:r>
      <w:r w:rsidR="009021AA" w:rsidRPr="004A3269">
        <w:t>’</w:t>
      </w:r>
      <w:r w:rsidRPr="004A3269">
        <w:t>OMPI ont été consolidées à des fins de présentation.</w:t>
      </w:r>
      <w:r w:rsidR="00373121" w:rsidRPr="004A3269">
        <w:t xml:space="preserve">  </w:t>
      </w:r>
      <w:r w:rsidR="00FC5D70" w:rsidRPr="004A3269">
        <w:t>Il s</w:t>
      </w:r>
      <w:r w:rsidR="009021AA" w:rsidRPr="004A3269">
        <w:t>’</w:t>
      </w:r>
      <w:r w:rsidR="00FC5D70" w:rsidRPr="004A3269">
        <w:t>agit notamment des unions de Paris, de Berne, de Locarno, de Nice et de l</w:t>
      </w:r>
      <w:r w:rsidR="009021AA" w:rsidRPr="004A3269">
        <w:t>’</w:t>
      </w:r>
      <w:r w:rsidR="00FC5D70" w:rsidRPr="004A3269">
        <w:t>IPC et des fonctions couvertes par la Convention instituant l</w:t>
      </w:r>
      <w:r w:rsidR="009021AA" w:rsidRPr="004A3269">
        <w:t>’</w:t>
      </w:r>
      <w:r w:rsidR="00FC5D70" w:rsidRPr="004A3269">
        <w:t>OMPI.  L</w:t>
      </w:r>
      <w:r w:rsidR="009021AA" w:rsidRPr="004A3269">
        <w:t>’</w:t>
      </w:r>
      <w:r w:rsidR="00FC5D70" w:rsidRPr="004A3269">
        <w:t>Union du Traité de coopération en matière de brevets (PCT), l</w:t>
      </w:r>
      <w:r w:rsidR="009021AA" w:rsidRPr="004A3269">
        <w:t>’</w:t>
      </w:r>
      <w:r w:rsidR="00FC5D70" w:rsidRPr="004A3269">
        <w:t>Union de Madrid (marques), l</w:t>
      </w:r>
      <w:r w:rsidR="009021AA" w:rsidRPr="004A3269">
        <w:t>’</w:t>
      </w:r>
      <w:r w:rsidR="00FC5D70" w:rsidRPr="004A3269">
        <w:t xml:space="preserve">Union de </w:t>
      </w:r>
      <w:r w:rsidR="009021AA" w:rsidRPr="004A3269">
        <w:t>La Haye</w:t>
      </w:r>
      <w:r w:rsidR="00FC5D70" w:rsidRPr="004A3269">
        <w:t xml:space="preserve"> </w:t>
      </w:r>
      <w:r w:rsidR="00FC5D70" w:rsidRPr="004A3269">
        <w:lastRenderedPageBreak/>
        <w:t>(dessins et modèles industriels) et l</w:t>
      </w:r>
      <w:r w:rsidR="009021AA" w:rsidRPr="004A3269">
        <w:t>’</w:t>
      </w:r>
      <w:r w:rsidR="00FC5D70" w:rsidRPr="004A3269">
        <w:t>Union de Lisbonne (appellations d</w:t>
      </w:r>
      <w:r w:rsidR="009021AA" w:rsidRPr="004A3269">
        <w:t>’</w:t>
      </w:r>
      <w:r w:rsidR="00FC5D70" w:rsidRPr="004A3269">
        <w:t>origine) sont régies par une Assemblée qui se réunit annuellement pour adopter un budget et prendre toutes mesures appropriées en vertu des traités concernés</w:t>
      </w:r>
      <w:r w:rsidR="00373121" w:rsidRPr="004A3269">
        <w:t>.</w:t>
      </w:r>
    </w:p>
    <w:p w:rsidR="00267140" w:rsidRPr="004A3269" w:rsidRDefault="00267140" w:rsidP="002C14F3">
      <w:pPr>
        <w:pStyle w:val="Styletexte"/>
        <w:spacing w:after="0"/>
      </w:pPr>
    </w:p>
    <w:p w:rsidR="00267140" w:rsidRPr="004A3269" w:rsidRDefault="00792331" w:rsidP="00792331">
      <w:pPr>
        <w:pStyle w:val="Styletexte"/>
        <w:spacing w:after="0"/>
      </w:pPr>
      <w:r w:rsidRPr="004A3269">
        <w:t>Les actifs et les passifs de l</w:t>
      </w:r>
      <w:r w:rsidR="009021AA" w:rsidRPr="004A3269">
        <w:t>’</w:t>
      </w:r>
      <w:r w:rsidRPr="004A3269">
        <w:t>OMPI, autres que les réserves représentant l</w:t>
      </w:r>
      <w:r w:rsidR="009021AA" w:rsidRPr="004A3269">
        <w:t>’</w:t>
      </w:r>
      <w:r w:rsidRPr="004A3269">
        <w:t>actif net, sont la propriété ou sont sous la responsabilité de l</w:t>
      </w:r>
      <w:r w:rsidR="009021AA" w:rsidRPr="004A3269">
        <w:t>’</w:t>
      </w:r>
      <w:r w:rsidRPr="004A3269">
        <w:t>Organisation entière et non pas des actifs ou des passifs des unions ou des segments.</w:t>
      </w:r>
      <w:r w:rsidR="00373121" w:rsidRPr="004A3269">
        <w:t xml:space="preserve">  </w:t>
      </w:r>
      <w:r w:rsidRPr="004A3269">
        <w:t>Les actifs et les passifs servent généralement à financer un large éventail d</w:t>
      </w:r>
      <w:r w:rsidR="009021AA" w:rsidRPr="004A3269">
        <w:t>’</w:t>
      </w:r>
      <w:r w:rsidRPr="004A3269">
        <w:t>activités de prestation de services dans plusieurs unions (segments).</w:t>
      </w:r>
      <w:r w:rsidR="00373121" w:rsidRPr="004A3269">
        <w:t xml:space="preserve"> </w:t>
      </w:r>
      <w:r w:rsidR="00D01DF7" w:rsidRPr="004A3269">
        <w:t xml:space="preserve"> </w:t>
      </w:r>
      <w:r w:rsidRPr="004A3269">
        <w:t>La seule exception est l</w:t>
      </w:r>
      <w:r w:rsidR="009021AA" w:rsidRPr="004A3269">
        <w:t>’</w:t>
      </w:r>
      <w:r w:rsidRPr="004A3269">
        <w:t>immeuble de placement à Meyrin, détenu par l</w:t>
      </w:r>
      <w:r w:rsidR="009021AA" w:rsidRPr="004A3269">
        <w:t>’</w:t>
      </w:r>
      <w:r w:rsidRPr="004A3269">
        <w:t>Union de Madrid.</w:t>
      </w:r>
      <w:r w:rsidR="00373121" w:rsidRPr="004A3269">
        <w:t xml:space="preserve"> </w:t>
      </w:r>
      <w:r w:rsidR="00D01DF7" w:rsidRPr="004A3269">
        <w:t xml:space="preserve"> </w:t>
      </w:r>
      <w:r w:rsidRPr="004A3269">
        <w:t>Par conséquent, les actifs et les passifs individuels ne seront pas pris en considération dans la communication des informations concernant les unions ou les segments individuels.</w:t>
      </w:r>
      <w:r w:rsidR="00373121" w:rsidRPr="004A3269">
        <w:t xml:space="preserve"> </w:t>
      </w:r>
      <w:r w:rsidR="00D01DF7" w:rsidRPr="004A3269">
        <w:t xml:space="preserve"> </w:t>
      </w:r>
      <w:r w:rsidRPr="004A3269">
        <w:t xml:space="preserve">Seuls les actifs nets/capitaux propres, </w:t>
      </w:r>
      <w:r w:rsidR="009021AA" w:rsidRPr="004A3269">
        <w:t>y compris</w:t>
      </w:r>
      <w:r w:rsidRPr="004A3269">
        <w:t xml:space="preserve"> le fonds de roulement et les réserves, sont représentés par un segment individuel.</w:t>
      </w:r>
    </w:p>
    <w:p w:rsidR="00267140" w:rsidRPr="004A3269" w:rsidRDefault="00267140" w:rsidP="002C14F3">
      <w:pPr>
        <w:pStyle w:val="Styletexte"/>
        <w:spacing w:after="0"/>
      </w:pPr>
    </w:p>
    <w:p w:rsidR="009021AA" w:rsidRPr="004A3269" w:rsidRDefault="00792331" w:rsidP="00792331">
      <w:pPr>
        <w:pStyle w:val="Styletexte"/>
        <w:spacing w:after="0"/>
      </w:pPr>
      <w:r w:rsidRPr="004A3269">
        <w:t>La plupart des recettes sont comptabilisées par union dans les comptes de l</w:t>
      </w:r>
      <w:r w:rsidR="009021AA" w:rsidRPr="004A3269">
        <w:t>’</w:t>
      </w:r>
      <w:r w:rsidRPr="004A3269">
        <w:t xml:space="preserve">OMPI. </w:t>
      </w:r>
      <w:r w:rsidR="00373121" w:rsidRPr="004A3269">
        <w:t xml:space="preserve"> </w:t>
      </w:r>
      <w:r w:rsidRPr="004A3269">
        <w:t>Les recettes provenant des intérêts perçus ont été réparties entre les unions sur la base des réserves de liquidités totales et les recettes courantes en</w:t>
      </w:r>
      <w:r w:rsidR="00067463" w:rsidRPr="004A3269">
        <w:t> </w:t>
      </w:r>
      <w:r w:rsidRPr="004A3269">
        <w:t xml:space="preserve">2014. </w:t>
      </w:r>
      <w:r w:rsidR="00373121" w:rsidRPr="004A3269">
        <w:t xml:space="preserve"> </w:t>
      </w:r>
      <w:r w:rsidRPr="004A3269">
        <w:t>Les dépenses sont comptabilisées selon le programme puis réattribuées aux diverses unions sur la base d</w:t>
      </w:r>
      <w:r w:rsidR="009021AA" w:rsidRPr="004A3269">
        <w:t>’</w:t>
      </w:r>
      <w:r w:rsidRPr="004A3269">
        <w:t>une méthode acceptée par l</w:t>
      </w:r>
      <w:r w:rsidR="009021AA" w:rsidRPr="004A3269">
        <w:t>’</w:t>
      </w:r>
      <w:r w:rsidRPr="004A3269">
        <w:t>Assemblée générale de l</w:t>
      </w:r>
      <w:r w:rsidR="009021AA" w:rsidRPr="004A3269">
        <w:t>’</w:t>
      </w:r>
      <w:r w:rsidRPr="004A3269">
        <w:t>OMPI dans le cadre de l</w:t>
      </w:r>
      <w:r w:rsidR="009021AA" w:rsidRPr="004A3269">
        <w:t>’</w:t>
      </w:r>
      <w:r w:rsidRPr="004A3269">
        <w:t>adoption du programme et budget de l</w:t>
      </w:r>
      <w:r w:rsidR="009021AA" w:rsidRPr="004A3269">
        <w:t>’</w:t>
      </w:r>
      <w:r w:rsidRPr="004A3269">
        <w:t>OM</w:t>
      </w:r>
      <w:r w:rsidR="00D01DF7" w:rsidRPr="004A3269">
        <w:t>PI pour l</w:t>
      </w:r>
      <w:r w:rsidR="009021AA" w:rsidRPr="004A3269">
        <w:t>’</w:t>
      </w:r>
      <w:r w:rsidR="00D01DF7" w:rsidRPr="004A3269">
        <w:t>exercice biennal</w:t>
      </w:r>
      <w:r w:rsidR="00067463" w:rsidRPr="004A3269">
        <w:t> </w:t>
      </w:r>
      <w:r w:rsidR="00D01DF7" w:rsidRPr="004A3269">
        <w:t>2014</w:t>
      </w:r>
      <w:r w:rsidR="00A17552" w:rsidRPr="004A3269">
        <w:noBreakHyphen/>
      </w:r>
      <w:r w:rsidRPr="004A3269">
        <w:t>2015.</w:t>
      </w:r>
    </w:p>
    <w:p w:rsidR="00267140" w:rsidRPr="004A3269" w:rsidRDefault="00267140" w:rsidP="002C14F3">
      <w:pPr>
        <w:pStyle w:val="Styletexte"/>
        <w:spacing w:after="0"/>
      </w:pPr>
    </w:p>
    <w:p w:rsidR="00267140" w:rsidRPr="004A3269" w:rsidRDefault="00792331" w:rsidP="00792331">
      <w:pPr>
        <w:pStyle w:val="Styletexte"/>
        <w:spacing w:after="0"/>
      </w:pPr>
      <w:r w:rsidRPr="004A3269">
        <w:t>Un segment distinct a été créé pour les contributions volontaires qui représentent des montants administrés par l</w:t>
      </w:r>
      <w:r w:rsidR="009021AA" w:rsidRPr="004A3269">
        <w:t>’</w:t>
      </w:r>
      <w:r w:rsidRPr="004A3269">
        <w:t>OMPI pour le compte de donateurs individuels pour mettre en œuvre des programmes liés à la mission de l</w:t>
      </w:r>
      <w:r w:rsidR="009021AA" w:rsidRPr="004A3269">
        <w:t>’</w:t>
      </w:r>
      <w:r w:rsidRPr="004A3269">
        <w:t xml:space="preserve">OMPI. </w:t>
      </w:r>
      <w:r w:rsidR="00373121" w:rsidRPr="004A3269">
        <w:t xml:space="preserve"> </w:t>
      </w:r>
      <w:r w:rsidRPr="004A3269">
        <w:t>Les recettes et les dépenses liées aux contributions volontaires (comptes spéciaux) sont comptabilisées séparément dans le système de comptabilité financière.</w:t>
      </w:r>
    </w:p>
    <w:p w:rsidR="00267140" w:rsidRPr="004A3269" w:rsidRDefault="00267140" w:rsidP="002C14F3">
      <w:pPr>
        <w:pStyle w:val="Styletexte"/>
        <w:spacing w:after="0"/>
      </w:pPr>
    </w:p>
    <w:p w:rsidR="00267140" w:rsidRPr="004A3269" w:rsidRDefault="0011261A" w:rsidP="0011261A">
      <w:pPr>
        <w:pStyle w:val="Styletexte"/>
        <w:spacing w:after="0"/>
      </w:pPr>
      <w:r w:rsidRPr="004A3269">
        <w:t>Tous les frais sont répartis entre les unions qui composent les segments sur la base de la méthode de répartition approuvée.</w:t>
      </w:r>
      <w:r w:rsidR="00D01DF7" w:rsidRPr="004A3269">
        <w:t xml:space="preserve"> </w:t>
      </w:r>
      <w:r w:rsidR="00373121" w:rsidRPr="004A3269">
        <w:t xml:space="preserve"> </w:t>
      </w:r>
      <w:r w:rsidRPr="004A3269">
        <w:t>Les dépenses pour le segment des comptes spéciaux relatifs aux contributions volontaires versées à l</w:t>
      </w:r>
      <w:r w:rsidR="009021AA" w:rsidRPr="004A3269">
        <w:t>’</w:t>
      </w:r>
      <w:r w:rsidRPr="004A3269">
        <w:t>Organisation sont comptabilisées en tant que coûts réels.</w:t>
      </w:r>
      <w:r w:rsidR="00373121" w:rsidRPr="004A3269">
        <w:t xml:space="preserve"> </w:t>
      </w:r>
      <w:r w:rsidR="00D01DF7" w:rsidRPr="004A3269">
        <w:t xml:space="preserve"> </w:t>
      </w:r>
      <w:r w:rsidRPr="004A3269">
        <w:t xml:space="preserve">Les seuls frais </w:t>
      </w:r>
      <w:proofErr w:type="spellStart"/>
      <w:r w:rsidRPr="004A3269">
        <w:t>intersegments</w:t>
      </w:r>
      <w:proofErr w:type="spellEnd"/>
      <w:r w:rsidRPr="004A3269">
        <w:t xml:space="preserve"> représentent les coûts d</w:t>
      </w:r>
      <w:r w:rsidR="009021AA" w:rsidRPr="004A3269">
        <w:t>’</w:t>
      </w:r>
      <w:r w:rsidRPr="004A3269">
        <w:t>appui aux programmes encourus par les unions à l</w:t>
      </w:r>
      <w:r w:rsidR="009021AA" w:rsidRPr="004A3269">
        <w:t>’</w:t>
      </w:r>
      <w:r w:rsidRPr="004A3269">
        <w:t>appui des comptes spéciaux.</w:t>
      </w:r>
      <w:r w:rsidR="00D01DF7" w:rsidRPr="004A3269">
        <w:t xml:space="preserve"> </w:t>
      </w:r>
      <w:r w:rsidR="00373121" w:rsidRPr="004A3269">
        <w:t xml:space="preserve"> </w:t>
      </w:r>
      <w:r w:rsidRPr="004A3269">
        <w:t>Les coûts d</w:t>
      </w:r>
      <w:r w:rsidR="009021AA" w:rsidRPr="004A3269">
        <w:t>’</w:t>
      </w:r>
      <w:r w:rsidRPr="004A3269">
        <w:t>appui aux programmes sont imputés aux comptes spéciaux sur la base d</w:t>
      </w:r>
      <w:r w:rsidR="009021AA" w:rsidRPr="004A3269">
        <w:t>’</w:t>
      </w:r>
      <w:r w:rsidRPr="004A3269">
        <w:t>un pourcentage des dépenses directes totales spécifiées dans l</w:t>
      </w:r>
      <w:r w:rsidR="009021AA" w:rsidRPr="004A3269">
        <w:t>’</w:t>
      </w:r>
      <w:r w:rsidRPr="004A3269">
        <w:t>accord avec le donateur qui verse la contribution volontaire.</w:t>
      </w:r>
    </w:p>
    <w:p w:rsidR="00267140" w:rsidRPr="004A3269" w:rsidRDefault="00055451" w:rsidP="0011261A">
      <w:pPr>
        <w:pStyle w:val="Styletexte"/>
        <w:spacing w:after="0"/>
        <w:rPr>
          <w:b/>
        </w:rPr>
      </w:pPr>
      <w:r w:rsidRPr="004A3269">
        <w:br w:type="page"/>
      </w:r>
      <w:r w:rsidR="0011261A" w:rsidRPr="004A3269">
        <w:rPr>
          <w:b/>
        </w:rPr>
        <w:lastRenderedPageBreak/>
        <w:t>Recettes, dépenses et réserves par segment</w:t>
      </w:r>
    </w:p>
    <w:p w:rsidR="00267140" w:rsidRPr="004A3269" w:rsidRDefault="00267140" w:rsidP="0025037B">
      <w:pPr>
        <w:rPr>
          <w:rFonts w:eastAsia="SimSun"/>
          <w:szCs w:val="22"/>
        </w:rPr>
      </w:pPr>
    </w:p>
    <w:p w:rsidR="00600474" w:rsidRPr="004A3269" w:rsidRDefault="00600474" w:rsidP="00600474">
      <w:pPr>
        <w:pStyle w:val="Styletexte"/>
        <w:spacing w:after="0"/>
        <w:jc w:val="center"/>
        <w:rPr>
          <w:sz w:val="18"/>
          <w:szCs w:val="18"/>
        </w:rPr>
      </w:pPr>
      <w:r w:rsidRPr="004A3269">
        <w:rPr>
          <w:noProof/>
          <w:lang w:val="en-US"/>
        </w:rPr>
        <w:drawing>
          <wp:inline distT="0" distB="0" distL="0" distR="0" wp14:anchorId="53E7EC9C" wp14:editId="036CFD55">
            <wp:extent cx="5977255" cy="7707949"/>
            <wp:effectExtent l="0" t="0" r="4445" b="762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77255" cy="7707949"/>
                    </a:xfrm>
                    <a:prstGeom prst="rect">
                      <a:avLst/>
                    </a:prstGeom>
                    <a:noFill/>
                    <a:ln>
                      <a:noFill/>
                    </a:ln>
                  </pic:spPr>
                </pic:pic>
              </a:graphicData>
            </a:graphic>
          </wp:inline>
        </w:drawing>
      </w:r>
    </w:p>
    <w:p w:rsidR="00600474" w:rsidRPr="004A3269" w:rsidRDefault="00600474" w:rsidP="0011261A">
      <w:pPr>
        <w:pStyle w:val="Styletexte"/>
        <w:spacing w:after="0"/>
        <w:rPr>
          <w:sz w:val="18"/>
          <w:szCs w:val="18"/>
        </w:rPr>
      </w:pPr>
    </w:p>
    <w:p w:rsidR="00267140" w:rsidRPr="004A3269" w:rsidRDefault="0011261A" w:rsidP="0011261A">
      <w:pPr>
        <w:pStyle w:val="Styletexte"/>
        <w:spacing w:after="0"/>
      </w:pPr>
      <w:r w:rsidRPr="004A3269">
        <w:rPr>
          <w:sz w:val="18"/>
          <w:szCs w:val="18"/>
        </w:rPr>
        <w:t>Note</w:t>
      </w:r>
      <w:r w:rsidR="00A0797A" w:rsidRPr="004A3269">
        <w:rPr>
          <w:sz w:val="18"/>
          <w:szCs w:val="18"/>
        </w:rPr>
        <w:t> :</w:t>
      </w:r>
      <w:r w:rsidRPr="004A3269">
        <w:rPr>
          <w:sz w:val="18"/>
          <w:szCs w:val="18"/>
        </w:rPr>
        <w:t xml:space="preserve"> l</w:t>
      </w:r>
      <w:r w:rsidR="009021AA" w:rsidRPr="004A3269">
        <w:rPr>
          <w:sz w:val="18"/>
          <w:szCs w:val="18"/>
        </w:rPr>
        <w:t>’</w:t>
      </w:r>
      <w:r w:rsidRPr="004A3269">
        <w:rPr>
          <w:sz w:val="18"/>
          <w:szCs w:val="18"/>
        </w:rPr>
        <w:t>Union de Madrid a assuré le financement de la contribution de l</w:t>
      </w:r>
      <w:r w:rsidR="009021AA" w:rsidRPr="004A3269">
        <w:rPr>
          <w:sz w:val="18"/>
          <w:szCs w:val="18"/>
        </w:rPr>
        <w:t>’</w:t>
      </w:r>
      <w:r w:rsidRPr="004A3269">
        <w:rPr>
          <w:sz w:val="18"/>
          <w:szCs w:val="18"/>
        </w:rPr>
        <w:t xml:space="preserve">Union de </w:t>
      </w:r>
      <w:r w:rsidR="009021AA" w:rsidRPr="004A3269">
        <w:rPr>
          <w:sz w:val="18"/>
          <w:szCs w:val="18"/>
        </w:rPr>
        <w:t>La Haye</w:t>
      </w:r>
      <w:r w:rsidRPr="004A3269">
        <w:rPr>
          <w:sz w:val="18"/>
          <w:szCs w:val="18"/>
        </w:rPr>
        <w:t xml:space="preserve"> de 3</w:t>
      </w:r>
      <w:r w:rsidR="00067463" w:rsidRPr="004A3269">
        <w:rPr>
          <w:sz w:val="18"/>
          <w:szCs w:val="18"/>
        </w:rPr>
        <w:t> </w:t>
      </w:r>
      <w:r w:rsidRPr="004A3269">
        <w:rPr>
          <w:sz w:val="18"/>
          <w:szCs w:val="18"/>
        </w:rPr>
        <w:t>millions de francs suisses au programme de modernisation informatique des systèmes d</w:t>
      </w:r>
      <w:r w:rsidR="009021AA" w:rsidRPr="004A3269">
        <w:rPr>
          <w:sz w:val="18"/>
          <w:szCs w:val="18"/>
        </w:rPr>
        <w:t>’</w:t>
      </w:r>
      <w:r w:rsidRPr="004A3269">
        <w:rPr>
          <w:sz w:val="18"/>
          <w:szCs w:val="18"/>
        </w:rPr>
        <w:t xml:space="preserve">enregistrement internationaux de Madrid et de </w:t>
      </w:r>
      <w:r w:rsidR="009021AA" w:rsidRPr="004A3269">
        <w:rPr>
          <w:sz w:val="18"/>
          <w:szCs w:val="18"/>
        </w:rPr>
        <w:t>La Haye</w:t>
      </w:r>
      <w:r w:rsidRPr="004A3269">
        <w:rPr>
          <w:sz w:val="18"/>
          <w:szCs w:val="18"/>
        </w:rPr>
        <w:t>.</w:t>
      </w:r>
      <w:r w:rsidR="009819C5" w:rsidRPr="004A3269">
        <w:rPr>
          <w:sz w:val="18"/>
        </w:rPr>
        <w:t xml:space="preserve">  </w:t>
      </w:r>
      <w:r w:rsidRPr="004A3269">
        <w:rPr>
          <w:sz w:val="18"/>
          <w:szCs w:val="18"/>
        </w:rPr>
        <w:t>Cette somme sera remboursée par l</w:t>
      </w:r>
      <w:r w:rsidR="009021AA" w:rsidRPr="004A3269">
        <w:rPr>
          <w:sz w:val="18"/>
          <w:szCs w:val="18"/>
        </w:rPr>
        <w:t>’</w:t>
      </w:r>
      <w:r w:rsidRPr="004A3269">
        <w:rPr>
          <w:sz w:val="18"/>
          <w:szCs w:val="18"/>
        </w:rPr>
        <w:t xml:space="preserve">Union de </w:t>
      </w:r>
      <w:r w:rsidR="009021AA" w:rsidRPr="004A3269">
        <w:rPr>
          <w:sz w:val="18"/>
          <w:szCs w:val="18"/>
        </w:rPr>
        <w:t>La Haye</w:t>
      </w:r>
      <w:r w:rsidRPr="004A3269">
        <w:rPr>
          <w:sz w:val="18"/>
          <w:szCs w:val="18"/>
        </w:rPr>
        <w:t xml:space="preserve"> à l</w:t>
      </w:r>
      <w:r w:rsidR="009021AA" w:rsidRPr="004A3269">
        <w:rPr>
          <w:sz w:val="18"/>
          <w:szCs w:val="18"/>
        </w:rPr>
        <w:t>’</w:t>
      </w:r>
      <w:r w:rsidRPr="004A3269">
        <w:rPr>
          <w:sz w:val="18"/>
          <w:szCs w:val="18"/>
        </w:rPr>
        <w:t>Union de Madrid dès que le solde du fonds de réserve de l</w:t>
      </w:r>
      <w:r w:rsidR="009021AA" w:rsidRPr="004A3269">
        <w:rPr>
          <w:sz w:val="18"/>
          <w:szCs w:val="18"/>
        </w:rPr>
        <w:t>’</w:t>
      </w:r>
      <w:r w:rsidRPr="004A3269">
        <w:rPr>
          <w:sz w:val="18"/>
          <w:szCs w:val="18"/>
        </w:rPr>
        <w:t xml:space="preserve">Union de </w:t>
      </w:r>
      <w:r w:rsidR="009021AA" w:rsidRPr="004A3269">
        <w:rPr>
          <w:sz w:val="18"/>
          <w:szCs w:val="18"/>
        </w:rPr>
        <w:t>La Haye</w:t>
      </w:r>
      <w:r w:rsidRPr="004A3269">
        <w:rPr>
          <w:sz w:val="18"/>
          <w:szCs w:val="18"/>
        </w:rPr>
        <w:t xml:space="preserve"> le permettra.</w:t>
      </w:r>
    </w:p>
    <w:p w:rsidR="009819C5" w:rsidRPr="004A3269" w:rsidRDefault="009819C5" w:rsidP="00521AF6">
      <w:pPr>
        <w:pStyle w:val="Styletexte"/>
        <w:spacing w:after="0"/>
        <w:sectPr w:rsidR="009819C5" w:rsidRPr="004A3269" w:rsidSect="0080775C">
          <w:footerReference w:type="default" r:id="rId112"/>
          <w:pgSz w:w="11907" w:h="16840" w:code="9"/>
          <w:pgMar w:top="851" w:right="1247" w:bottom="1531" w:left="1247" w:header="709" w:footer="709" w:gutter="0"/>
          <w:cols w:space="708"/>
          <w:docGrid w:linePitch="360"/>
        </w:sectPr>
      </w:pPr>
    </w:p>
    <w:p w:rsidR="00267140" w:rsidRPr="004A3269" w:rsidRDefault="0011261A" w:rsidP="0011261A">
      <w:pPr>
        <w:pStyle w:val="STYLE2LASTONE"/>
        <w:jc w:val="center"/>
        <w:rPr>
          <w:bCs/>
          <w:caps w:val="0"/>
          <w:color w:val="auto"/>
          <w:sz w:val="22"/>
          <w:szCs w:val="32"/>
        </w:rPr>
      </w:pPr>
      <w:r w:rsidRPr="004A3269">
        <w:rPr>
          <w:bCs/>
          <w:caps w:val="0"/>
          <w:color w:val="auto"/>
          <w:sz w:val="22"/>
          <w:szCs w:val="32"/>
        </w:rPr>
        <w:lastRenderedPageBreak/>
        <w:t>ANNEXE I</w:t>
      </w:r>
      <w:r w:rsidR="00D01DF7" w:rsidRPr="004A3269">
        <w:rPr>
          <w:bCs/>
          <w:caps w:val="0"/>
          <w:color w:val="auto"/>
          <w:sz w:val="22"/>
          <w:szCs w:val="32"/>
        </w:rPr>
        <w:br/>
      </w:r>
      <w:r w:rsidR="00D01DF7" w:rsidRPr="004A3269">
        <w:rPr>
          <w:bCs/>
          <w:caps w:val="0"/>
          <w:color w:val="auto"/>
          <w:sz w:val="22"/>
          <w:szCs w:val="32"/>
        </w:rPr>
        <w:br/>
        <w:t>ÉTAT DE LA</w:t>
      </w:r>
      <w:r w:rsidR="00D01DF7" w:rsidRPr="004A3269">
        <w:rPr>
          <w:b w:val="0"/>
          <w:bCs/>
          <w:caps w:val="0"/>
          <w:color w:val="auto"/>
          <w:sz w:val="22"/>
          <w:szCs w:val="32"/>
        </w:rPr>
        <w:t xml:space="preserve"> </w:t>
      </w:r>
      <w:r w:rsidR="00D01DF7" w:rsidRPr="004A3269">
        <w:rPr>
          <w:bCs/>
          <w:caps w:val="0"/>
          <w:color w:val="auto"/>
          <w:sz w:val="22"/>
          <w:szCs w:val="32"/>
        </w:rPr>
        <w:t>SITUATION FINANCIÈRE PAR SOURCE DE FINANCEMENT</w:t>
      </w:r>
      <w:r w:rsidRPr="004A3269">
        <w:rPr>
          <w:bCs/>
          <w:caps w:val="0"/>
          <w:color w:val="auto"/>
          <w:sz w:val="22"/>
          <w:szCs w:val="32"/>
        </w:rPr>
        <w:t xml:space="preserve"> [NON VÉRIFIÉ]</w:t>
      </w:r>
    </w:p>
    <w:p w:rsidR="00267140" w:rsidRPr="004A3269" w:rsidRDefault="0011261A" w:rsidP="0011261A">
      <w:pPr>
        <w:jc w:val="center"/>
        <w:rPr>
          <w:rFonts w:eastAsia="SimSun"/>
          <w:b/>
          <w:sz w:val="20"/>
        </w:rPr>
      </w:pPr>
      <w:proofErr w:type="gramStart"/>
      <w:r w:rsidRPr="004A3269">
        <w:rPr>
          <w:rFonts w:eastAsia="SimSun"/>
          <w:b/>
          <w:sz w:val="20"/>
        </w:rPr>
        <w:t>au</w:t>
      </w:r>
      <w:proofErr w:type="gramEnd"/>
      <w:r w:rsidRPr="004A3269">
        <w:rPr>
          <w:rFonts w:eastAsia="SimSun"/>
          <w:b/>
          <w:sz w:val="20"/>
        </w:rPr>
        <w:t xml:space="preserve"> </w:t>
      </w:r>
      <w:r w:rsidR="00A0797A" w:rsidRPr="004A3269">
        <w:rPr>
          <w:rFonts w:eastAsia="SimSun"/>
          <w:b/>
          <w:sz w:val="20"/>
        </w:rPr>
        <w:t>31 décembre </w:t>
      </w:r>
      <w:r w:rsidRPr="004A3269">
        <w:rPr>
          <w:rFonts w:eastAsia="SimSun"/>
          <w:b/>
          <w:sz w:val="20"/>
        </w:rPr>
        <w:t>2014</w:t>
      </w:r>
    </w:p>
    <w:p w:rsidR="00267140" w:rsidRDefault="0011261A" w:rsidP="0011261A">
      <w:pPr>
        <w:jc w:val="center"/>
        <w:rPr>
          <w:rFonts w:eastAsia="SimSun"/>
          <w:i/>
          <w:sz w:val="20"/>
        </w:rPr>
      </w:pPr>
      <w:r w:rsidRPr="004A3269">
        <w:rPr>
          <w:rFonts w:eastAsia="SimSun"/>
          <w:i/>
          <w:sz w:val="20"/>
        </w:rPr>
        <w:t>(</w:t>
      </w:r>
      <w:proofErr w:type="gramStart"/>
      <w:r w:rsidRPr="004A3269">
        <w:rPr>
          <w:rFonts w:eastAsia="SimSun"/>
          <w:i/>
          <w:sz w:val="20"/>
        </w:rPr>
        <w:t>en</w:t>
      </w:r>
      <w:proofErr w:type="gramEnd"/>
      <w:r w:rsidRPr="004A3269">
        <w:rPr>
          <w:rFonts w:eastAsia="SimSun"/>
          <w:i/>
          <w:sz w:val="20"/>
        </w:rPr>
        <w:t xml:space="preserve"> milliers de francs suisses)</w:t>
      </w:r>
    </w:p>
    <w:p w:rsidR="00D73CDC" w:rsidRPr="004A3269" w:rsidRDefault="00D73CDC" w:rsidP="0011261A">
      <w:pPr>
        <w:jc w:val="center"/>
        <w:rPr>
          <w:rFonts w:eastAsia="SimSun"/>
          <w:i/>
          <w:sz w:val="20"/>
        </w:rPr>
      </w:pPr>
    </w:p>
    <w:p w:rsidR="00267140" w:rsidRPr="004A3269" w:rsidRDefault="00BE5058" w:rsidP="002C14F3">
      <w:pPr>
        <w:jc w:val="center"/>
        <w:rPr>
          <w:rFonts w:eastAsia="SimSun"/>
          <w:b/>
          <w:szCs w:val="22"/>
        </w:rPr>
      </w:pPr>
      <w:r w:rsidRPr="00BE5058">
        <w:rPr>
          <w:rFonts w:eastAsia="SimSun"/>
          <w:noProof/>
          <w:lang w:val="en-US"/>
        </w:rPr>
        <w:drawing>
          <wp:inline distT="0" distB="0" distL="0" distR="0" wp14:anchorId="03A45877" wp14:editId="52E26CED">
            <wp:extent cx="6635059" cy="488880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635059" cy="4888800"/>
                    </a:xfrm>
                    <a:prstGeom prst="rect">
                      <a:avLst/>
                    </a:prstGeom>
                    <a:noFill/>
                    <a:ln>
                      <a:noFill/>
                    </a:ln>
                  </pic:spPr>
                </pic:pic>
              </a:graphicData>
            </a:graphic>
          </wp:inline>
        </w:drawing>
      </w:r>
    </w:p>
    <w:p w:rsidR="00267140" w:rsidRPr="004A3269" w:rsidRDefault="008F054B" w:rsidP="0011261A">
      <w:pPr>
        <w:pStyle w:val="Heading1"/>
        <w:spacing w:after="0"/>
        <w:jc w:val="center"/>
        <w:rPr>
          <w:bCs w:val="0"/>
          <w:caps w:val="0"/>
        </w:rPr>
      </w:pPr>
      <w:r w:rsidRPr="004A3269">
        <w:br w:type="page"/>
      </w:r>
      <w:r w:rsidR="0011261A" w:rsidRPr="004A3269">
        <w:lastRenderedPageBreak/>
        <w:t>ANNEXE II</w:t>
      </w:r>
      <w:r w:rsidR="00D01DF7" w:rsidRPr="004A3269">
        <w:br/>
      </w:r>
      <w:r w:rsidR="00D01DF7" w:rsidRPr="004A3269">
        <w:br/>
      </w:r>
      <w:r w:rsidR="0011261A" w:rsidRPr="004A3269">
        <w:t>ÉTAT DE LA</w:t>
      </w:r>
      <w:r w:rsidR="0011261A" w:rsidRPr="004A3269">
        <w:rPr>
          <w:b w:val="0"/>
        </w:rPr>
        <w:t xml:space="preserve"> </w:t>
      </w:r>
      <w:r w:rsidR="0011261A" w:rsidRPr="004A3269">
        <w:t>PERFORMANCE FINANCIÈRE PAR SOURCE DE FINANCEMENT [NON</w:t>
      </w:r>
      <w:r w:rsidR="0011261A" w:rsidRPr="004A3269">
        <w:rPr>
          <w:b w:val="0"/>
        </w:rPr>
        <w:t xml:space="preserve"> </w:t>
      </w:r>
      <w:r w:rsidR="0011261A" w:rsidRPr="004A3269">
        <w:t>VÉRIFIÉ]</w:t>
      </w:r>
    </w:p>
    <w:p w:rsidR="00267140" w:rsidRPr="004A3269" w:rsidRDefault="0011261A" w:rsidP="0011261A">
      <w:pPr>
        <w:jc w:val="center"/>
        <w:rPr>
          <w:rFonts w:eastAsia="SimSun"/>
          <w:b/>
          <w:sz w:val="20"/>
        </w:rPr>
      </w:pPr>
      <w:proofErr w:type="gramStart"/>
      <w:r w:rsidRPr="004A3269">
        <w:rPr>
          <w:rFonts w:eastAsia="SimSun"/>
          <w:b/>
          <w:sz w:val="20"/>
        </w:rPr>
        <w:t>pour</w:t>
      </w:r>
      <w:proofErr w:type="gramEnd"/>
      <w:r w:rsidRPr="004A3269">
        <w:rPr>
          <w:rFonts w:eastAsia="SimSun"/>
          <w:b/>
          <w:sz w:val="20"/>
        </w:rPr>
        <w:t xml:space="preserve"> l</w:t>
      </w:r>
      <w:r w:rsidR="009021AA" w:rsidRPr="004A3269">
        <w:rPr>
          <w:rFonts w:eastAsia="SimSun"/>
          <w:b/>
          <w:sz w:val="20"/>
        </w:rPr>
        <w:t>’</w:t>
      </w:r>
      <w:r w:rsidRPr="004A3269">
        <w:rPr>
          <w:rFonts w:eastAsia="SimSun"/>
          <w:b/>
          <w:sz w:val="20"/>
        </w:rPr>
        <w:t>année s</w:t>
      </w:r>
      <w:r w:rsidR="009021AA" w:rsidRPr="004A3269">
        <w:rPr>
          <w:rFonts w:eastAsia="SimSun"/>
          <w:b/>
          <w:sz w:val="20"/>
        </w:rPr>
        <w:t>’</w:t>
      </w:r>
      <w:r w:rsidRPr="004A3269">
        <w:rPr>
          <w:rFonts w:eastAsia="SimSun"/>
          <w:b/>
          <w:sz w:val="20"/>
        </w:rPr>
        <w:t xml:space="preserve">achevant le </w:t>
      </w:r>
      <w:r w:rsidR="00A0797A" w:rsidRPr="004A3269">
        <w:rPr>
          <w:rFonts w:eastAsia="SimSun"/>
          <w:b/>
          <w:sz w:val="20"/>
        </w:rPr>
        <w:t>31 décembre </w:t>
      </w:r>
      <w:r w:rsidRPr="004A3269">
        <w:rPr>
          <w:rFonts w:eastAsia="SimSun"/>
          <w:b/>
          <w:sz w:val="20"/>
        </w:rPr>
        <w:t>2014</w:t>
      </w:r>
    </w:p>
    <w:p w:rsidR="00267140" w:rsidRPr="004A3269" w:rsidRDefault="0011261A" w:rsidP="0011261A">
      <w:pPr>
        <w:pStyle w:val="Styletexte"/>
        <w:spacing w:after="0"/>
        <w:jc w:val="center"/>
        <w:rPr>
          <w:rFonts w:eastAsia="SimSun"/>
          <w:i/>
          <w:sz w:val="20"/>
        </w:rPr>
      </w:pPr>
      <w:r w:rsidRPr="004A3269">
        <w:rPr>
          <w:rFonts w:eastAsia="SimSun"/>
          <w:i/>
          <w:sz w:val="20"/>
        </w:rPr>
        <w:t>(</w:t>
      </w:r>
      <w:proofErr w:type="gramStart"/>
      <w:r w:rsidRPr="004A3269">
        <w:rPr>
          <w:rFonts w:eastAsia="SimSun"/>
          <w:i/>
          <w:sz w:val="20"/>
        </w:rPr>
        <w:t>en</w:t>
      </w:r>
      <w:proofErr w:type="gramEnd"/>
      <w:r w:rsidRPr="004A3269">
        <w:rPr>
          <w:rFonts w:eastAsia="SimSun"/>
          <w:i/>
          <w:sz w:val="20"/>
        </w:rPr>
        <w:t xml:space="preserve"> milliers de francs suisses)</w:t>
      </w:r>
    </w:p>
    <w:p w:rsidR="00267140" w:rsidRPr="004A3269" w:rsidRDefault="00267140" w:rsidP="002C14F3">
      <w:pPr>
        <w:pStyle w:val="Styletexte"/>
        <w:spacing w:after="0"/>
        <w:jc w:val="center"/>
        <w:rPr>
          <w:rFonts w:eastAsia="SimSun"/>
          <w:b/>
          <w:sz w:val="20"/>
        </w:rPr>
      </w:pPr>
    </w:p>
    <w:p w:rsidR="00267140" w:rsidRPr="004A3269" w:rsidRDefault="00600474" w:rsidP="00BB798A">
      <w:pPr>
        <w:jc w:val="center"/>
      </w:pPr>
      <w:r w:rsidRPr="004A3269">
        <w:rPr>
          <w:noProof/>
          <w:lang w:val="en-US"/>
        </w:rPr>
        <w:drawing>
          <wp:inline distT="0" distB="0" distL="0" distR="0" wp14:anchorId="42F9743E" wp14:editId="76ED59BE">
            <wp:extent cx="7404847" cy="4885645"/>
            <wp:effectExtent l="0" t="0" r="571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404847" cy="4885645"/>
                    </a:xfrm>
                    <a:prstGeom prst="rect">
                      <a:avLst/>
                    </a:prstGeom>
                    <a:noFill/>
                    <a:ln>
                      <a:noFill/>
                    </a:ln>
                  </pic:spPr>
                </pic:pic>
              </a:graphicData>
            </a:graphic>
          </wp:inline>
        </w:drawing>
      </w:r>
    </w:p>
    <w:p w:rsidR="0079125E" w:rsidRPr="004A3269" w:rsidRDefault="0079125E" w:rsidP="00170CF4">
      <w:pPr>
        <w:sectPr w:rsidR="0079125E" w:rsidRPr="004A3269" w:rsidSect="006262D3">
          <w:footerReference w:type="even" r:id="rId115"/>
          <w:pgSz w:w="16840" w:h="11907" w:orient="landscape" w:code="9"/>
          <w:pgMar w:top="851" w:right="1247" w:bottom="1079" w:left="1247" w:header="709" w:footer="188" w:gutter="0"/>
          <w:cols w:space="708"/>
          <w:docGrid w:linePitch="360"/>
        </w:sectPr>
      </w:pPr>
    </w:p>
    <w:p w:rsidR="00267140" w:rsidRPr="004A3269" w:rsidRDefault="00D01DF7" w:rsidP="0011261A">
      <w:pPr>
        <w:pStyle w:val="Heading1"/>
        <w:spacing w:after="0"/>
        <w:jc w:val="center"/>
        <w:rPr>
          <w:bCs w:val="0"/>
          <w:caps w:val="0"/>
        </w:rPr>
      </w:pPr>
      <w:r w:rsidRPr="004A3269">
        <w:rPr>
          <w:bCs w:val="0"/>
          <w:caps w:val="0"/>
        </w:rPr>
        <w:lastRenderedPageBreak/>
        <w:t>ANNEXE III</w:t>
      </w:r>
      <w:r w:rsidRPr="004A3269">
        <w:rPr>
          <w:bCs w:val="0"/>
          <w:caps w:val="0"/>
        </w:rPr>
        <w:br/>
      </w:r>
      <w:r w:rsidRPr="004A3269">
        <w:rPr>
          <w:bCs w:val="0"/>
          <w:caps w:val="0"/>
        </w:rPr>
        <w:br/>
        <w:t>COMPTES SPÉCIAUX PAR CONTRIBUTIONS DE DONATEURS</w:t>
      </w:r>
    </w:p>
    <w:p w:rsidR="00267140" w:rsidRPr="004A3269" w:rsidRDefault="0011261A" w:rsidP="0011261A">
      <w:pPr>
        <w:jc w:val="center"/>
        <w:rPr>
          <w:rFonts w:eastAsia="SimSun"/>
          <w:b/>
          <w:sz w:val="20"/>
        </w:rPr>
      </w:pPr>
      <w:r w:rsidRPr="004A3269">
        <w:rPr>
          <w:rFonts w:eastAsia="SimSun"/>
          <w:b/>
          <w:sz w:val="20"/>
        </w:rPr>
        <w:t>(</w:t>
      </w:r>
      <w:proofErr w:type="gramStart"/>
      <w:r w:rsidRPr="004A3269">
        <w:rPr>
          <w:rFonts w:eastAsia="SimSun"/>
          <w:b/>
          <w:sz w:val="20"/>
        </w:rPr>
        <w:t>en</w:t>
      </w:r>
      <w:proofErr w:type="gramEnd"/>
      <w:r w:rsidRPr="004A3269">
        <w:rPr>
          <w:rFonts w:eastAsia="SimSun"/>
          <w:b/>
          <w:sz w:val="20"/>
        </w:rPr>
        <w:t xml:space="preserve"> francs suisses)</w:t>
      </w:r>
    </w:p>
    <w:p w:rsidR="00267140" w:rsidRPr="004A3269" w:rsidRDefault="00267140" w:rsidP="00EF734D">
      <w:pPr>
        <w:jc w:val="center"/>
        <w:rPr>
          <w:rFonts w:eastAsia="SimSun"/>
        </w:rPr>
      </w:pPr>
    </w:p>
    <w:p w:rsidR="00267140" w:rsidRPr="004A3269" w:rsidRDefault="00600474" w:rsidP="00775B0D">
      <w:pPr>
        <w:autoSpaceDE w:val="0"/>
        <w:autoSpaceDN w:val="0"/>
        <w:adjustRightInd w:val="0"/>
        <w:jc w:val="both"/>
        <w:rPr>
          <w:sz w:val="18"/>
          <w:szCs w:val="18"/>
        </w:rPr>
      </w:pPr>
      <w:r w:rsidRPr="004A3269">
        <w:rPr>
          <w:rFonts w:eastAsia="SimSun"/>
          <w:noProof/>
          <w:lang w:val="en-US"/>
        </w:rPr>
        <w:drawing>
          <wp:inline distT="0" distB="0" distL="0" distR="0" wp14:anchorId="57DC0916" wp14:editId="2F557F10">
            <wp:extent cx="9109710" cy="4259823"/>
            <wp:effectExtent l="0" t="0" r="0" b="762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109710" cy="4259823"/>
                    </a:xfrm>
                    <a:prstGeom prst="rect">
                      <a:avLst/>
                    </a:prstGeom>
                    <a:noFill/>
                    <a:ln>
                      <a:noFill/>
                    </a:ln>
                  </pic:spPr>
                </pic:pic>
              </a:graphicData>
            </a:graphic>
          </wp:inline>
        </w:drawing>
      </w:r>
    </w:p>
    <w:p w:rsidR="00680CD7" w:rsidRDefault="00680CD7" w:rsidP="00D01DF7">
      <w:pPr>
        <w:autoSpaceDE w:val="0"/>
        <w:autoSpaceDN w:val="0"/>
        <w:adjustRightInd w:val="0"/>
        <w:rPr>
          <w:sz w:val="18"/>
          <w:szCs w:val="18"/>
        </w:rPr>
      </w:pPr>
    </w:p>
    <w:p w:rsidR="00A2720E" w:rsidRPr="004A3269" w:rsidRDefault="0011261A" w:rsidP="00D01DF7">
      <w:pPr>
        <w:autoSpaceDE w:val="0"/>
        <w:autoSpaceDN w:val="0"/>
        <w:adjustRightInd w:val="0"/>
        <w:rPr>
          <w:sz w:val="18"/>
          <w:szCs w:val="18"/>
        </w:rPr>
        <w:sectPr w:rsidR="00A2720E" w:rsidRPr="004A3269" w:rsidSect="006262D3">
          <w:pgSz w:w="16840" w:h="11907" w:orient="landscape" w:code="9"/>
          <w:pgMar w:top="851" w:right="1247" w:bottom="1079" w:left="1247" w:header="709" w:footer="188" w:gutter="0"/>
          <w:cols w:space="708"/>
          <w:docGrid w:linePitch="360"/>
        </w:sectPr>
      </w:pPr>
      <w:r w:rsidRPr="004A3269">
        <w:rPr>
          <w:sz w:val="18"/>
          <w:szCs w:val="18"/>
        </w:rPr>
        <w:t>Ce calendrier est établi en conformité avec les exigences en matière de communication de rapports aux donateurs selon les normes</w:t>
      </w:r>
      <w:r w:rsidR="00D01DF7" w:rsidRPr="004A3269">
        <w:rPr>
          <w:sz w:val="18"/>
          <w:szCs w:val="18"/>
        </w:rPr>
        <w:t> </w:t>
      </w:r>
      <w:r w:rsidRPr="004A3269">
        <w:rPr>
          <w:sz w:val="18"/>
          <w:szCs w:val="18"/>
        </w:rPr>
        <w:t>UNSAS qui ne comprennent pas les comptes de régularisation</w:t>
      </w:r>
      <w:r w:rsidR="00A0797A" w:rsidRPr="004A3269">
        <w:rPr>
          <w:sz w:val="18"/>
          <w:szCs w:val="18"/>
        </w:rPr>
        <w:t xml:space="preserve">.  </w:t>
      </w:r>
      <w:r w:rsidRPr="004A3269">
        <w:rPr>
          <w:sz w:val="18"/>
          <w:szCs w:val="18"/>
        </w:rPr>
        <w:t>Les ajustements IPSAS aux soldes de clôture (</w:t>
      </w:r>
      <w:r w:rsidR="00A0797A" w:rsidRPr="004A3269">
        <w:rPr>
          <w:sz w:val="18"/>
          <w:szCs w:val="18"/>
        </w:rPr>
        <w:t>31 décembre </w:t>
      </w:r>
      <w:r w:rsidRPr="004A3269">
        <w:rPr>
          <w:sz w:val="18"/>
          <w:szCs w:val="18"/>
        </w:rPr>
        <w:t xml:space="preserve">2014) ne figurent pas dans la présente annexe mais sont inclus dans les chiffres indiqués à la note </w:t>
      </w:r>
      <w:r w:rsidR="00D01DF7" w:rsidRPr="004A3269">
        <w:rPr>
          <w:sz w:val="18"/>
          <w:szCs w:val="18"/>
        </w:rPr>
        <w:t>n° </w:t>
      </w:r>
      <w:r w:rsidRPr="004A3269">
        <w:rPr>
          <w:sz w:val="18"/>
          <w:szCs w:val="18"/>
        </w:rPr>
        <w:t>14</w:t>
      </w:r>
      <w:r w:rsidR="00D01DF7" w:rsidRPr="004A3269">
        <w:rPr>
          <w:sz w:val="18"/>
          <w:szCs w:val="18"/>
        </w:rPr>
        <w:t> </w:t>
      </w:r>
      <w:r w:rsidRPr="004A3269">
        <w:rPr>
          <w:sz w:val="18"/>
          <w:szCs w:val="18"/>
        </w:rPr>
        <w:t>: Encaissements par anticipation (voir la ligne “Recettes au titre d</w:t>
      </w:r>
      <w:r w:rsidR="009021AA" w:rsidRPr="004A3269">
        <w:rPr>
          <w:sz w:val="18"/>
          <w:szCs w:val="18"/>
        </w:rPr>
        <w:t>’</w:t>
      </w:r>
      <w:r w:rsidRPr="004A3269">
        <w:rPr>
          <w:sz w:val="18"/>
          <w:szCs w:val="18"/>
        </w:rPr>
        <w:t>opérations sans contrepartie directe différées”).</w:t>
      </w:r>
    </w:p>
    <w:p w:rsidR="00267140" w:rsidRPr="004A3269" w:rsidRDefault="00D01DF7" w:rsidP="0011261A">
      <w:pPr>
        <w:pStyle w:val="Heading1"/>
        <w:spacing w:after="0"/>
        <w:jc w:val="center"/>
        <w:rPr>
          <w:bCs w:val="0"/>
          <w:caps w:val="0"/>
        </w:rPr>
      </w:pPr>
      <w:r w:rsidRPr="004A3269">
        <w:rPr>
          <w:bCs w:val="0"/>
          <w:caps w:val="0"/>
        </w:rPr>
        <w:lastRenderedPageBreak/>
        <w:t>ANNEXE IV</w:t>
      </w:r>
      <w:r w:rsidRPr="004A3269">
        <w:rPr>
          <w:bCs w:val="0"/>
          <w:caps w:val="0"/>
        </w:rPr>
        <w:br/>
      </w:r>
      <w:r w:rsidRPr="004A3269">
        <w:rPr>
          <w:bCs w:val="0"/>
          <w:caps w:val="0"/>
        </w:rPr>
        <w:br/>
        <w:t>VERSEMENTS À TITRE GRACIEUX DE L</w:t>
      </w:r>
      <w:r w:rsidR="009021AA" w:rsidRPr="004A3269">
        <w:rPr>
          <w:bCs w:val="0"/>
          <w:caps w:val="0"/>
        </w:rPr>
        <w:t>’</w:t>
      </w:r>
      <w:r w:rsidRPr="004A3269">
        <w:rPr>
          <w:bCs w:val="0"/>
          <w:caps w:val="0"/>
        </w:rPr>
        <w:t>OMPI</w:t>
      </w:r>
    </w:p>
    <w:p w:rsidR="00267140" w:rsidRPr="00680CD7" w:rsidRDefault="00267140" w:rsidP="00680CD7"/>
    <w:p w:rsidR="00267140" w:rsidRPr="004A3269" w:rsidRDefault="0011261A" w:rsidP="0011261A">
      <w:pPr>
        <w:autoSpaceDE w:val="0"/>
        <w:autoSpaceDN w:val="0"/>
        <w:adjustRightInd w:val="0"/>
        <w:jc w:val="both"/>
        <w:rPr>
          <w:szCs w:val="22"/>
        </w:rPr>
      </w:pPr>
      <w:r w:rsidRPr="004A3269">
        <w:rPr>
          <w:szCs w:val="22"/>
        </w:rPr>
        <w:t>L</w:t>
      </w:r>
      <w:r w:rsidR="009021AA" w:rsidRPr="004A3269">
        <w:rPr>
          <w:szCs w:val="22"/>
        </w:rPr>
        <w:t>’</w:t>
      </w:r>
      <w:r w:rsidRPr="004A3269">
        <w:rPr>
          <w:szCs w:val="22"/>
        </w:rPr>
        <w:t>article</w:t>
      </w:r>
      <w:r w:rsidR="00D01DF7" w:rsidRPr="004A3269">
        <w:rPr>
          <w:szCs w:val="22"/>
        </w:rPr>
        <w:t> </w:t>
      </w:r>
      <w:r w:rsidRPr="004A3269">
        <w:rPr>
          <w:szCs w:val="22"/>
        </w:rPr>
        <w:t>5.10 du Règlement financier stipule qu</w:t>
      </w:r>
      <w:r w:rsidR="009021AA" w:rsidRPr="004A3269">
        <w:rPr>
          <w:szCs w:val="22"/>
        </w:rPr>
        <w:t>’</w:t>
      </w:r>
      <w:r w:rsidRPr="004A3269">
        <w:rPr>
          <w:szCs w:val="22"/>
        </w:rPr>
        <w:t>un état récapitulatif des versements à titre gracieux pour l</w:t>
      </w:r>
      <w:r w:rsidR="009021AA" w:rsidRPr="004A3269">
        <w:rPr>
          <w:szCs w:val="22"/>
        </w:rPr>
        <w:t>’</w:t>
      </w:r>
      <w:r w:rsidRPr="004A3269">
        <w:rPr>
          <w:szCs w:val="22"/>
        </w:rPr>
        <w:t>année civile doit figurer dans les états financiers annuels de l</w:t>
      </w:r>
      <w:r w:rsidR="009021AA" w:rsidRPr="004A3269">
        <w:rPr>
          <w:szCs w:val="22"/>
        </w:rPr>
        <w:t>’</w:t>
      </w:r>
      <w:r w:rsidRPr="004A3269">
        <w:rPr>
          <w:szCs w:val="22"/>
        </w:rPr>
        <w:t>Organisation.</w:t>
      </w:r>
    </w:p>
    <w:p w:rsidR="00267140" w:rsidRPr="004A3269" w:rsidRDefault="00267140" w:rsidP="00775B0D">
      <w:pPr>
        <w:autoSpaceDE w:val="0"/>
        <w:autoSpaceDN w:val="0"/>
        <w:adjustRightInd w:val="0"/>
        <w:jc w:val="both"/>
        <w:rPr>
          <w:szCs w:val="22"/>
        </w:rPr>
      </w:pPr>
    </w:p>
    <w:p w:rsidR="009021AA" w:rsidRPr="004A3269" w:rsidRDefault="00FC5D70" w:rsidP="00F60C2F">
      <w:pPr>
        <w:autoSpaceDE w:val="0"/>
        <w:autoSpaceDN w:val="0"/>
        <w:adjustRightInd w:val="0"/>
        <w:jc w:val="both"/>
        <w:rPr>
          <w:szCs w:val="22"/>
        </w:rPr>
      </w:pPr>
      <w:r w:rsidRPr="004A3269">
        <w:rPr>
          <w:rStyle w:val="hps"/>
          <w:szCs w:val="22"/>
        </w:rPr>
        <w:t>Durant</w:t>
      </w:r>
      <w:r w:rsidR="00E3385D" w:rsidRPr="004A3269">
        <w:rPr>
          <w:rStyle w:val="hps"/>
          <w:szCs w:val="22"/>
        </w:rPr>
        <w:t xml:space="preserve"> l</w:t>
      </w:r>
      <w:r w:rsidR="009021AA" w:rsidRPr="004A3269">
        <w:rPr>
          <w:rStyle w:val="hps"/>
          <w:szCs w:val="22"/>
        </w:rPr>
        <w:t>’</w:t>
      </w:r>
      <w:r w:rsidRPr="004A3269">
        <w:rPr>
          <w:szCs w:val="22"/>
        </w:rPr>
        <w:t>exercice qui a pris fin le 31 d</w:t>
      </w:r>
      <w:r w:rsidR="00E3385D" w:rsidRPr="004A3269">
        <w:rPr>
          <w:rStyle w:val="hps"/>
          <w:szCs w:val="22"/>
        </w:rPr>
        <w:t>écembre</w:t>
      </w:r>
      <w:r w:rsidRPr="004A3269">
        <w:rPr>
          <w:szCs w:val="22"/>
        </w:rPr>
        <w:t> </w:t>
      </w:r>
      <w:r w:rsidR="00E3385D" w:rsidRPr="004A3269">
        <w:rPr>
          <w:rStyle w:val="hps"/>
          <w:szCs w:val="22"/>
        </w:rPr>
        <w:t>2014,</w:t>
      </w:r>
      <w:r w:rsidR="00E3385D" w:rsidRPr="004A3269">
        <w:rPr>
          <w:szCs w:val="22"/>
        </w:rPr>
        <w:t xml:space="preserve"> </w:t>
      </w:r>
      <w:r w:rsidR="00E3385D" w:rsidRPr="004A3269">
        <w:rPr>
          <w:rStyle w:val="hps"/>
          <w:szCs w:val="22"/>
        </w:rPr>
        <w:t>l</w:t>
      </w:r>
      <w:r w:rsidR="009021AA" w:rsidRPr="004A3269">
        <w:rPr>
          <w:rStyle w:val="hps"/>
          <w:szCs w:val="22"/>
        </w:rPr>
        <w:t>’</w:t>
      </w:r>
      <w:r w:rsidR="00E3385D" w:rsidRPr="004A3269">
        <w:rPr>
          <w:rStyle w:val="hps"/>
          <w:szCs w:val="22"/>
        </w:rPr>
        <w:t>Organisation</w:t>
      </w:r>
      <w:r w:rsidR="00E3385D" w:rsidRPr="004A3269">
        <w:rPr>
          <w:szCs w:val="22"/>
        </w:rPr>
        <w:t xml:space="preserve"> </w:t>
      </w:r>
      <w:r w:rsidRPr="004A3269">
        <w:rPr>
          <w:szCs w:val="22"/>
        </w:rPr>
        <w:t>a comptabilisé un versement à titre gracieux</w:t>
      </w:r>
      <w:r w:rsidR="00A0797A" w:rsidRPr="004A3269">
        <w:rPr>
          <w:szCs w:val="22"/>
        </w:rPr>
        <w:t xml:space="preserve">.  </w:t>
      </w:r>
      <w:r w:rsidRPr="004A3269">
        <w:rPr>
          <w:szCs w:val="22"/>
        </w:rPr>
        <w:t>D</w:t>
      </w:r>
      <w:r w:rsidR="009021AA" w:rsidRPr="004A3269">
        <w:rPr>
          <w:szCs w:val="22"/>
        </w:rPr>
        <w:t>’</w:t>
      </w:r>
      <w:r w:rsidRPr="004A3269">
        <w:rPr>
          <w:szCs w:val="22"/>
        </w:rPr>
        <w:t xml:space="preserve">un montant de </w:t>
      </w:r>
      <w:r w:rsidRPr="004A3269">
        <w:rPr>
          <w:rStyle w:val="hps"/>
          <w:szCs w:val="22"/>
        </w:rPr>
        <w:t>12 </w:t>
      </w:r>
      <w:r w:rsidR="00E3385D" w:rsidRPr="004A3269">
        <w:rPr>
          <w:rStyle w:val="hps"/>
          <w:szCs w:val="22"/>
        </w:rPr>
        <w:t>500</w:t>
      </w:r>
      <w:r w:rsidRPr="004A3269">
        <w:rPr>
          <w:szCs w:val="22"/>
        </w:rPr>
        <w:t> </w:t>
      </w:r>
      <w:r w:rsidR="00E3385D" w:rsidRPr="004A3269">
        <w:rPr>
          <w:rStyle w:val="hps"/>
          <w:szCs w:val="22"/>
        </w:rPr>
        <w:t>francs suisses</w:t>
      </w:r>
      <w:r w:rsidR="00E3385D" w:rsidRPr="004A3269">
        <w:rPr>
          <w:szCs w:val="22"/>
        </w:rPr>
        <w:t xml:space="preserve">, </w:t>
      </w:r>
      <w:r w:rsidRPr="004A3269">
        <w:rPr>
          <w:szCs w:val="22"/>
        </w:rPr>
        <w:t xml:space="preserve">ce versement a été fait </w:t>
      </w:r>
      <w:r w:rsidR="00E3385D" w:rsidRPr="004A3269">
        <w:rPr>
          <w:rStyle w:val="hps"/>
          <w:szCs w:val="22"/>
        </w:rPr>
        <w:t>au début de</w:t>
      </w:r>
      <w:r w:rsidR="00E3385D" w:rsidRPr="004A3269">
        <w:rPr>
          <w:szCs w:val="22"/>
        </w:rPr>
        <w:t xml:space="preserve"> </w:t>
      </w:r>
      <w:r w:rsidRPr="004A3269">
        <w:rPr>
          <w:szCs w:val="22"/>
        </w:rPr>
        <w:t>l</w:t>
      </w:r>
      <w:r w:rsidR="009021AA" w:rsidRPr="004A3269">
        <w:rPr>
          <w:szCs w:val="22"/>
        </w:rPr>
        <w:t>’</w:t>
      </w:r>
      <w:r w:rsidRPr="004A3269">
        <w:rPr>
          <w:szCs w:val="22"/>
        </w:rPr>
        <w:t>année </w:t>
      </w:r>
      <w:r w:rsidR="00E3385D" w:rsidRPr="004A3269">
        <w:rPr>
          <w:rStyle w:val="hps"/>
          <w:szCs w:val="22"/>
        </w:rPr>
        <w:t>2015</w:t>
      </w:r>
      <w:r w:rsidR="00E3385D" w:rsidRPr="004A3269">
        <w:rPr>
          <w:szCs w:val="22"/>
        </w:rPr>
        <w:t xml:space="preserve"> </w:t>
      </w:r>
      <w:r w:rsidR="00E3385D" w:rsidRPr="004A3269">
        <w:rPr>
          <w:rStyle w:val="hps"/>
          <w:szCs w:val="22"/>
        </w:rPr>
        <w:t>à un ancien</w:t>
      </w:r>
      <w:r w:rsidR="00E3385D" w:rsidRPr="004A3269">
        <w:rPr>
          <w:szCs w:val="22"/>
        </w:rPr>
        <w:t xml:space="preserve"> </w:t>
      </w:r>
      <w:r w:rsidR="00E3385D" w:rsidRPr="004A3269">
        <w:rPr>
          <w:rStyle w:val="hps"/>
          <w:szCs w:val="22"/>
        </w:rPr>
        <w:t>directeur général adjoint</w:t>
      </w:r>
      <w:r w:rsidR="00E3385D" w:rsidRPr="004A3269">
        <w:rPr>
          <w:szCs w:val="22"/>
        </w:rPr>
        <w:t xml:space="preserve"> </w:t>
      </w:r>
      <w:r w:rsidR="00E3385D" w:rsidRPr="004A3269">
        <w:rPr>
          <w:rStyle w:val="hps"/>
          <w:szCs w:val="22"/>
        </w:rPr>
        <w:t>de l</w:t>
      </w:r>
      <w:r w:rsidR="009021AA" w:rsidRPr="004A3269">
        <w:rPr>
          <w:rStyle w:val="hps"/>
          <w:szCs w:val="22"/>
        </w:rPr>
        <w:t>’</w:t>
      </w:r>
      <w:r w:rsidR="00E3385D" w:rsidRPr="004A3269">
        <w:rPr>
          <w:rStyle w:val="hps"/>
          <w:szCs w:val="22"/>
        </w:rPr>
        <w:t>Organisation</w:t>
      </w:r>
      <w:r w:rsidR="00E3385D" w:rsidRPr="004A3269">
        <w:rPr>
          <w:szCs w:val="22"/>
        </w:rPr>
        <w:t xml:space="preserve"> </w:t>
      </w:r>
      <w:r w:rsidR="00E3385D" w:rsidRPr="004A3269">
        <w:rPr>
          <w:rStyle w:val="hps"/>
          <w:szCs w:val="22"/>
        </w:rPr>
        <w:t>à titre de remboursement</w:t>
      </w:r>
      <w:r w:rsidR="00E3385D" w:rsidRPr="004A3269">
        <w:rPr>
          <w:szCs w:val="22"/>
        </w:rPr>
        <w:t xml:space="preserve"> </w:t>
      </w:r>
      <w:r w:rsidRPr="004A3269">
        <w:rPr>
          <w:rStyle w:val="hps"/>
          <w:szCs w:val="22"/>
        </w:rPr>
        <w:t>de</w:t>
      </w:r>
      <w:r w:rsidR="00E3385D" w:rsidRPr="004A3269">
        <w:rPr>
          <w:rStyle w:val="hps"/>
          <w:szCs w:val="22"/>
        </w:rPr>
        <w:t xml:space="preserve"> deux</w:t>
      </w:r>
      <w:r w:rsidRPr="004A3269">
        <w:rPr>
          <w:rStyle w:val="hps"/>
        </w:rPr>
        <w:t> </w:t>
      </w:r>
      <w:r w:rsidR="00E3385D" w:rsidRPr="004A3269">
        <w:rPr>
          <w:rStyle w:val="hps"/>
          <w:szCs w:val="22"/>
        </w:rPr>
        <w:t>mois de</w:t>
      </w:r>
      <w:r w:rsidR="00E3385D" w:rsidRPr="004A3269">
        <w:rPr>
          <w:szCs w:val="22"/>
        </w:rPr>
        <w:t xml:space="preserve"> </w:t>
      </w:r>
      <w:r w:rsidR="00E3385D" w:rsidRPr="004A3269">
        <w:rPr>
          <w:rStyle w:val="hps"/>
          <w:szCs w:val="22"/>
        </w:rPr>
        <w:t>frais de location</w:t>
      </w:r>
      <w:r w:rsidR="00E3385D" w:rsidRPr="004A3269">
        <w:rPr>
          <w:szCs w:val="22"/>
        </w:rPr>
        <w:t xml:space="preserve"> </w:t>
      </w:r>
      <w:r w:rsidR="00E3385D" w:rsidRPr="004A3269">
        <w:rPr>
          <w:rStyle w:val="hps"/>
          <w:szCs w:val="22"/>
        </w:rPr>
        <w:t>engagés après</w:t>
      </w:r>
      <w:r w:rsidR="00E3385D" w:rsidRPr="004A3269">
        <w:rPr>
          <w:szCs w:val="22"/>
        </w:rPr>
        <w:t xml:space="preserve"> </w:t>
      </w:r>
      <w:r w:rsidR="00E3385D" w:rsidRPr="004A3269">
        <w:rPr>
          <w:rStyle w:val="hps"/>
          <w:szCs w:val="22"/>
        </w:rPr>
        <w:t>l</w:t>
      </w:r>
      <w:r w:rsidR="009021AA" w:rsidRPr="004A3269">
        <w:rPr>
          <w:rStyle w:val="hps"/>
          <w:szCs w:val="22"/>
        </w:rPr>
        <w:t>’</w:t>
      </w:r>
      <w:r w:rsidR="00E3385D" w:rsidRPr="004A3269">
        <w:rPr>
          <w:rStyle w:val="hps"/>
          <w:szCs w:val="22"/>
        </w:rPr>
        <w:t>expiration</w:t>
      </w:r>
      <w:r w:rsidR="00E3385D" w:rsidRPr="004A3269">
        <w:rPr>
          <w:szCs w:val="22"/>
        </w:rPr>
        <w:t xml:space="preserve"> </w:t>
      </w:r>
      <w:r w:rsidR="00E3385D" w:rsidRPr="004A3269">
        <w:rPr>
          <w:rStyle w:val="hps"/>
          <w:szCs w:val="22"/>
        </w:rPr>
        <w:t>de son mandat</w:t>
      </w:r>
      <w:r w:rsidR="00F60C2F" w:rsidRPr="004A3269">
        <w:rPr>
          <w:szCs w:val="22"/>
        </w:rPr>
        <w:t>.</w:t>
      </w:r>
    </w:p>
    <w:p w:rsidR="00267140" w:rsidRPr="004A3269" w:rsidRDefault="00267140" w:rsidP="00680CD7">
      <w:pPr>
        <w:pStyle w:val="Endofdocument-Annex"/>
      </w:pPr>
    </w:p>
    <w:p w:rsidR="00267140" w:rsidRPr="004A3269" w:rsidRDefault="00267140" w:rsidP="00680CD7">
      <w:pPr>
        <w:pStyle w:val="Endofdocument-Annex"/>
      </w:pPr>
    </w:p>
    <w:p w:rsidR="00267140" w:rsidRPr="004A3269" w:rsidRDefault="00267140" w:rsidP="00680CD7">
      <w:pPr>
        <w:pStyle w:val="Endofdocument-Annex"/>
      </w:pPr>
    </w:p>
    <w:p w:rsidR="00267140" w:rsidRPr="004A3269" w:rsidRDefault="0011261A" w:rsidP="00680CD7">
      <w:pPr>
        <w:pStyle w:val="Endofdocument-Annex"/>
      </w:pPr>
      <w:r w:rsidRPr="004A3269">
        <w:t>[Fin du document]</w:t>
      </w:r>
    </w:p>
    <w:p w:rsidR="00267140" w:rsidRPr="004A3269" w:rsidRDefault="00267140" w:rsidP="00775B0D">
      <w:pPr>
        <w:autoSpaceDE w:val="0"/>
        <w:autoSpaceDN w:val="0"/>
        <w:adjustRightInd w:val="0"/>
        <w:jc w:val="both"/>
        <w:rPr>
          <w:szCs w:val="22"/>
        </w:rPr>
      </w:pPr>
    </w:p>
    <w:p w:rsidR="0079125E" w:rsidRPr="004A3269" w:rsidRDefault="0079125E" w:rsidP="00D01DF7">
      <w:pPr>
        <w:autoSpaceDE w:val="0"/>
        <w:autoSpaceDN w:val="0"/>
        <w:adjustRightInd w:val="0"/>
        <w:rPr>
          <w:szCs w:val="22"/>
        </w:rPr>
      </w:pPr>
    </w:p>
    <w:sectPr w:rsidR="0079125E" w:rsidRPr="004A3269" w:rsidSect="00A2720E">
      <w:pgSz w:w="11907" w:h="16840" w:code="9"/>
      <w:pgMar w:top="1247" w:right="1079" w:bottom="1247" w:left="851" w:header="709"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DC" w:rsidRDefault="00D73CDC">
      <w:r>
        <w:separator/>
      </w:r>
    </w:p>
  </w:endnote>
  <w:endnote w:type="continuationSeparator" w:id="0">
    <w:p w:rsidR="00D73CDC" w:rsidRDefault="00D73CDC">
      <w:r>
        <w:continuationSeparator/>
      </w:r>
    </w:p>
  </w:endnote>
  <w:endnote w:type="continuationNotice" w:id="1">
    <w:p w:rsidR="00D73CDC" w:rsidRDefault="00D73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宋體">
    <w:altName w:val="Arial Unicode MS"/>
    <w:charset w:val="88"/>
    <w:family w:val="modern"/>
    <w:pitch w:val="fixed"/>
    <w:sig w:usb0="00000001" w:usb1="08080000" w:usb2="00000010" w:usb3="00000000" w:csb0="00100000" w:csb1="00000000"/>
  </w:font>
  <w:font w:name="EYInterstate-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Default="00D73CDC" w:rsidP="00376E3A">
    <w:pPr>
      <w:pStyle w:val="Footer"/>
      <w:ind w:firstLine="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76E3A" w:rsidRDefault="00D73CDC" w:rsidP="00376E3A">
    <w:pPr>
      <w:pStyle w:val="Footer"/>
      <w:jc w:val="center"/>
    </w:pPr>
  </w:p>
  <w:p w:rsidR="00D73CDC" w:rsidRDefault="00D73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76E3A" w:rsidRDefault="00D73CDC" w:rsidP="00376E3A">
    <w:pPr>
      <w:pStyle w:val="Footer"/>
      <w:jc w:val="center"/>
    </w:pPr>
  </w:p>
  <w:p w:rsidR="00D73CDC" w:rsidRDefault="00D73CDC" w:rsidP="00376E3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6F63E7" w:rsidRDefault="00D73CDC">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76E3A" w:rsidRDefault="00D73CDC" w:rsidP="00CC1CA2">
    <w:pPr>
      <w:pStyle w:val="Footer"/>
      <w:jc w:val="center"/>
    </w:pPr>
  </w:p>
  <w:p w:rsidR="00D73CDC" w:rsidRPr="006F63E7" w:rsidRDefault="00D73CDC">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76E3A" w:rsidRDefault="00D73CDC" w:rsidP="00CC1CA2">
    <w:pPr>
      <w:pStyle w:val="Footer"/>
      <w:jc w:val="center"/>
    </w:pPr>
  </w:p>
  <w:p w:rsidR="00D73CDC" w:rsidRPr="00255593" w:rsidRDefault="00D73CDC" w:rsidP="007C12FD">
    <w:pPr>
      <w:pStyle w:val="Footer"/>
      <w:jc w:val="center"/>
      <w:rPr>
        <w:szCs w:val="22"/>
      </w:rPr>
    </w:pPr>
  </w:p>
  <w:p w:rsidR="00D73CDC" w:rsidRPr="006F63E7" w:rsidRDefault="00D73CDC">
    <w:pPr>
      <w:pStyle w:val="Footer"/>
      <w:rPr>
        <w:rFonts w:ascii="Arial Narrow" w:hAnsi="Arial Narrow"/>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175E52" w:rsidRDefault="00D73CDC" w:rsidP="00FB0EF3">
    <w:pPr>
      <w:pStyle w:val="Footer"/>
      <w:jc w:val="center"/>
      <w:rPr>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76E3A" w:rsidRDefault="00D73CDC" w:rsidP="0088601D">
    <w:pPr>
      <w:pStyle w:val="Footer"/>
      <w:jc w:val="center"/>
    </w:pPr>
  </w:p>
  <w:p w:rsidR="00D73CDC" w:rsidRPr="00E826B4" w:rsidRDefault="00D73CDC" w:rsidP="0088601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DC" w:rsidRDefault="00D73CDC">
      <w:r>
        <w:separator/>
      </w:r>
    </w:p>
  </w:footnote>
  <w:footnote w:type="continuationSeparator" w:id="0">
    <w:p w:rsidR="00D73CDC" w:rsidRDefault="00D73CDC">
      <w:r>
        <w:continuationSeparator/>
      </w:r>
    </w:p>
  </w:footnote>
  <w:footnote w:type="continuationNotice" w:id="1">
    <w:p w:rsidR="00D73CDC" w:rsidRDefault="00D73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Default="00D73CDC" w:rsidP="00F1272F">
    <w:pPr>
      <w:jc w:val="right"/>
    </w:pPr>
    <w:r>
      <w:t>WO/PBC/24/8</w:t>
    </w:r>
  </w:p>
  <w:p w:rsidR="00D73CDC" w:rsidRDefault="00D73CDC" w:rsidP="00F1272F">
    <w:pPr>
      <w:jc w:val="right"/>
    </w:pPr>
    <w:proofErr w:type="gramStart"/>
    <w:r>
      <w:t>page</w:t>
    </w:r>
    <w:proofErr w:type="gramEnd"/>
    <w:r>
      <w:t xml:space="preserve"> </w:t>
    </w:r>
    <w:r>
      <w:fldChar w:fldCharType="begin"/>
    </w:r>
    <w:r>
      <w:instrText xml:space="preserve"> PAGE  \* MERGEFORMAT </w:instrText>
    </w:r>
    <w:r>
      <w:fldChar w:fldCharType="separate"/>
    </w:r>
    <w:r w:rsidR="00942AE3">
      <w:rPr>
        <w:noProof/>
      </w:rPr>
      <w:t>85</w:t>
    </w:r>
    <w:r>
      <w:fldChar w:fldCharType="end"/>
    </w:r>
  </w:p>
  <w:p w:rsidR="00D73CDC" w:rsidRDefault="00D73CDC" w:rsidP="00F1272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Default="00D73CDC" w:rsidP="00D256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Default="00D73C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Default="00D73CDC" w:rsidP="00CF6E83">
    <w:pPr>
      <w:pStyle w:val="Header"/>
      <w:rPr>
        <w:b/>
        <w:sz w:val="18"/>
        <w:szCs w:val="18"/>
      </w:rPr>
    </w:pPr>
    <w:r w:rsidRPr="00CF6E83">
      <w:rPr>
        <w:b/>
        <w:sz w:val="18"/>
        <w:szCs w:val="18"/>
      </w:rPr>
      <w:t xml:space="preserve">Financial </w:t>
    </w:r>
    <w:proofErr w:type="spellStart"/>
    <w:r w:rsidRPr="00CF6E83">
      <w:rPr>
        <w:b/>
        <w:sz w:val="18"/>
        <w:szCs w:val="18"/>
      </w:rPr>
      <w:t>Statements</w:t>
    </w:r>
    <w:proofErr w:type="spellEnd"/>
    <w:r w:rsidRPr="00CF6E83">
      <w:rPr>
        <w:b/>
        <w:sz w:val="18"/>
        <w:szCs w:val="18"/>
      </w:rPr>
      <w:t xml:space="preserve"> 2010</w:t>
    </w:r>
  </w:p>
  <w:p w:rsidR="00D73CDC" w:rsidRPr="00CF6E83" w:rsidRDefault="00D73CDC" w:rsidP="00CF6E83">
    <w:pPr>
      <w:pStyle w:val="Header"/>
      <w:rPr>
        <w:b/>
        <w:sz w:val="18"/>
        <w:szCs w:val="18"/>
      </w:rPr>
    </w:pPr>
  </w:p>
  <w:p w:rsidR="00D73CDC" w:rsidRPr="00CF6E83" w:rsidRDefault="00D73CDC" w:rsidP="00CF6E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D7C06" w:rsidRDefault="00D73CDC" w:rsidP="00154F46">
    <w:pPr>
      <w:pStyle w:val="Header"/>
      <w:jc w:val="right"/>
      <w:rPr>
        <w:rStyle w:val="PageNumber"/>
        <w:b/>
        <w:sz w:val="18"/>
        <w:szCs w:val="18"/>
      </w:rPr>
    </w:pPr>
    <w:r w:rsidRPr="003D7C06">
      <w:rPr>
        <w:rFonts w:eastAsia="SimSun"/>
        <w:b/>
        <w:sz w:val="18"/>
        <w:lang w:eastAsia="zh-CN"/>
      </w:rPr>
      <w:t>Rapport financier annuel et états financiers pour 2014</w:t>
    </w:r>
  </w:p>
  <w:p w:rsidR="00D73CDC" w:rsidRPr="003D7C06" w:rsidRDefault="00D73CDC" w:rsidP="00154F46">
    <w:pPr>
      <w:pStyle w:val="Header"/>
      <w:jc w:val="right"/>
      <w:rPr>
        <w:b/>
        <w:sz w:val="18"/>
        <w:szCs w:val="18"/>
      </w:rPr>
    </w:pPr>
    <w:proofErr w:type="gramStart"/>
    <w:r w:rsidRPr="003D7C06">
      <w:rPr>
        <w:rStyle w:val="PageNumber"/>
        <w:b/>
        <w:sz w:val="18"/>
        <w:szCs w:val="18"/>
      </w:rPr>
      <w:t>page</w:t>
    </w:r>
    <w:proofErr w:type="gramEnd"/>
    <w:r w:rsidRPr="003D7C06">
      <w:rPr>
        <w:rStyle w:val="PageNumber"/>
        <w:b/>
        <w:sz w:val="18"/>
        <w:szCs w:val="18"/>
      </w:rPr>
      <w:t xml:space="preserve"> </w:t>
    </w:r>
    <w:r w:rsidRPr="003D7C06">
      <w:rPr>
        <w:b/>
        <w:sz w:val="18"/>
        <w:szCs w:val="18"/>
      </w:rPr>
      <w:fldChar w:fldCharType="begin"/>
    </w:r>
    <w:r w:rsidRPr="003D7C06">
      <w:rPr>
        <w:b/>
        <w:sz w:val="18"/>
        <w:szCs w:val="18"/>
      </w:rPr>
      <w:instrText xml:space="preserve"> PAGE   \* MERGEFORMAT </w:instrText>
    </w:r>
    <w:r w:rsidRPr="003D7C06">
      <w:rPr>
        <w:b/>
        <w:sz w:val="18"/>
        <w:szCs w:val="18"/>
      </w:rPr>
      <w:fldChar w:fldCharType="separate"/>
    </w:r>
    <w:r w:rsidR="00942AE3">
      <w:rPr>
        <w:b/>
        <w:noProof/>
        <w:sz w:val="18"/>
        <w:szCs w:val="18"/>
      </w:rPr>
      <w:t>27</w:t>
    </w:r>
    <w:r w:rsidRPr="003D7C06">
      <w:rPr>
        <w:b/>
        <w:noProof/>
        <w:sz w:val="18"/>
        <w:szCs w:val="18"/>
      </w:rPr>
      <w:fldChar w:fldCharType="end"/>
    </w:r>
  </w:p>
  <w:p w:rsidR="00D73CDC" w:rsidRPr="003D7C06" w:rsidRDefault="00D73CDC" w:rsidP="00154F46">
    <w:pPr>
      <w:pStyle w:val="Header"/>
      <w:tabs>
        <w:tab w:val="left" w:pos="4425"/>
        <w:tab w:val="center" w:pos="4706"/>
      </w:tabs>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CF6E83" w:rsidRDefault="00D73CDC" w:rsidP="00CF6E8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D7C06" w:rsidRDefault="00D73CDC" w:rsidP="00E337BC">
    <w:pPr>
      <w:pStyle w:val="Header"/>
      <w:rPr>
        <w:rStyle w:val="PageNumber"/>
        <w:b/>
        <w:sz w:val="14"/>
        <w:szCs w:val="18"/>
      </w:rPr>
    </w:pPr>
    <w:r w:rsidRPr="003D7C06">
      <w:rPr>
        <w:rFonts w:eastAsia="SimSun"/>
        <w:b/>
        <w:sz w:val="18"/>
        <w:lang w:eastAsia="zh-CN"/>
      </w:rPr>
      <w:t>Rapport financier annuel et états financiers pour 2014</w:t>
    </w:r>
  </w:p>
  <w:p w:rsidR="00D73CDC" w:rsidRPr="003D7C06" w:rsidRDefault="00D73CDC" w:rsidP="00E337BC">
    <w:pPr>
      <w:pStyle w:val="Header"/>
      <w:rPr>
        <w:b/>
        <w:sz w:val="18"/>
        <w:szCs w:val="18"/>
      </w:rPr>
    </w:pPr>
    <w:proofErr w:type="gramStart"/>
    <w:r w:rsidRPr="003D7C06">
      <w:rPr>
        <w:rStyle w:val="PageNumber"/>
        <w:b/>
        <w:sz w:val="18"/>
        <w:szCs w:val="18"/>
      </w:rPr>
      <w:t>page</w:t>
    </w:r>
    <w:proofErr w:type="gramEnd"/>
    <w:r w:rsidRPr="003D7C06">
      <w:rPr>
        <w:rStyle w:val="PageNumber"/>
        <w:b/>
        <w:sz w:val="18"/>
        <w:szCs w:val="18"/>
      </w:rPr>
      <w:t xml:space="preserve"> </w:t>
    </w:r>
    <w:r w:rsidRPr="003D7C06">
      <w:rPr>
        <w:b/>
        <w:sz w:val="18"/>
        <w:szCs w:val="18"/>
      </w:rPr>
      <w:fldChar w:fldCharType="begin"/>
    </w:r>
    <w:r w:rsidRPr="003D7C06">
      <w:rPr>
        <w:b/>
        <w:sz w:val="18"/>
        <w:szCs w:val="18"/>
      </w:rPr>
      <w:instrText xml:space="preserve"> PAGE   \* MERGEFORMAT </w:instrText>
    </w:r>
    <w:r w:rsidRPr="003D7C06">
      <w:rPr>
        <w:b/>
        <w:sz w:val="18"/>
        <w:szCs w:val="18"/>
      </w:rPr>
      <w:fldChar w:fldCharType="separate"/>
    </w:r>
    <w:r w:rsidR="00942AE3">
      <w:rPr>
        <w:b/>
        <w:noProof/>
        <w:sz w:val="18"/>
        <w:szCs w:val="18"/>
      </w:rPr>
      <w:t>2</w:t>
    </w:r>
    <w:r w:rsidRPr="003D7C06">
      <w:rPr>
        <w:b/>
        <w:noProof/>
        <w:sz w:val="18"/>
        <w:szCs w:val="18"/>
      </w:rPr>
      <w:fldChar w:fldCharType="end"/>
    </w:r>
  </w:p>
  <w:p w:rsidR="00D73CDC" w:rsidRPr="003D7C06" w:rsidRDefault="00D73CDC" w:rsidP="00D256FA">
    <w:pPr>
      <w:pStyle w:val="Header"/>
      <w:rPr>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D7C06" w:rsidRDefault="00D73CDC" w:rsidP="001329C9">
    <w:pPr>
      <w:pStyle w:val="Header"/>
      <w:jc w:val="right"/>
      <w:rPr>
        <w:b/>
        <w:sz w:val="18"/>
        <w:szCs w:val="18"/>
      </w:rPr>
    </w:pPr>
    <w:r w:rsidRPr="003D7C06">
      <w:rPr>
        <w:rFonts w:eastAsia="SimSun"/>
        <w:b/>
        <w:sz w:val="18"/>
        <w:lang w:eastAsia="zh-CN"/>
      </w:rPr>
      <w:t>Rapport financier annuel et états financiers pour 2014</w:t>
    </w:r>
  </w:p>
  <w:p w:rsidR="00D73CDC" w:rsidRPr="003D7C06" w:rsidRDefault="00D73CDC" w:rsidP="001954C3">
    <w:pPr>
      <w:pStyle w:val="Header"/>
      <w:jc w:val="right"/>
      <w:rPr>
        <w:b/>
        <w:sz w:val="18"/>
        <w:szCs w:val="18"/>
      </w:rPr>
    </w:pPr>
    <w:proofErr w:type="gramStart"/>
    <w:r w:rsidRPr="003D7C06">
      <w:rPr>
        <w:rStyle w:val="PageNumber"/>
        <w:b/>
        <w:sz w:val="18"/>
        <w:szCs w:val="18"/>
      </w:rPr>
      <w:t>page</w:t>
    </w:r>
    <w:proofErr w:type="gramEnd"/>
    <w:r w:rsidRPr="003D7C06">
      <w:rPr>
        <w:rStyle w:val="PageNumber"/>
        <w:b/>
        <w:sz w:val="18"/>
        <w:szCs w:val="18"/>
      </w:rPr>
      <w:t xml:space="preserve"> </w:t>
    </w:r>
    <w:r w:rsidRPr="003D7C06">
      <w:rPr>
        <w:rStyle w:val="PageNumber"/>
        <w:b/>
        <w:sz w:val="18"/>
        <w:szCs w:val="18"/>
      </w:rPr>
      <w:fldChar w:fldCharType="begin"/>
    </w:r>
    <w:r w:rsidRPr="003D7C06">
      <w:rPr>
        <w:rStyle w:val="PageNumber"/>
        <w:b/>
        <w:sz w:val="18"/>
        <w:szCs w:val="18"/>
      </w:rPr>
      <w:instrText xml:space="preserve"> PAGE </w:instrText>
    </w:r>
    <w:r w:rsidRPr="003D7C06">
      <w:rPr>
        <w:rStyle w:val="PageNumber"/>
        <w:b/>
        <w:sz w:val="18"/>
        <w:szCs w:val="18"/>
      </w:rPr>
      <w:fldChar w:fldCharType="separate"/>
    </w:r>
    <w:r w:rsidR="00942AE3">
      <w:rPr>
        <w:rStyle w:val="PageNumber"/>
        <w:b/>
        <w:noProof/>
        <w:sz w:val="18"/>
        <w:szCs w:val="18"/>
      </w:rPr>
      <w:t>31</w:t>
    </w:r>
    <w:r w:rsidRPr="003D7C06">
      <w:rPr>
        <w:rStyle w:val="PageNumber"/>
        <w:b/>
        <w:sz w:val="18"/>
        <w:szCs w:val="18"/>
      </w:rPr>
      <w:fldChar w:fldCharType="end"/>
    </w:r>
  </w:p>
  <w:p w:rsidR="00D73CDC" w:rsidRPr="003D7C06" w:rsidRDefault="00D73CDC" w:rsidP="00C06325">
    <w:pPr>
      <w:pStyle w:val="Header"/>
      <w:tabs>
        <w:tab w:val="left" w:pos="4425"/>
        <w:tab w:val="center" w:pos="4706"/>
      </w:tabs>
      <w:jc w:val="right"/>
      <w:rPr>
        <w:sz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DC" w:rsidRPr="003D7C06" w:rsidRDefault="00D73CDC" w:rsidP="001329C9">
    <w:pPr>
      <w:pStyle w:val="Header"/>
      <w:jc w:val="right"/>
      <w:rPr>
        <w:b/>
        <w:sz w:val="18"/>
        <w:szCs w:val="18"/>
      </w:rPr>
    </w:pPr>
    <w:r w:rsidRPr="003D7C06">
      <w:rPr>
        <w:rFonts w:eastAsia="SimSun"/>
        <w:b/>
        <w:sz w:val="18"/>
        <w:lang w:eastAsia="zh-CN"/>
      </w:rPr>
      <w:t>Rapport financier annuel et états financiers pour 2014</w:t>
    </w:r>
  </w:p>
  <w:p w:rsidR="00D73CDC" w:rsidRPr="003D7C06" w:rsidRDefault="00D73CDC" w:rsidP="001954C3">
    <w:pPr>
      <w:pStyle w:val="Header"/>
      <w:jc w:val="right"/>
      <w:rPr>
        <w:b/>
        <w:sz w:val="18"/>
        <w:szCs w:val="18"/>
      </w:rPr>
    </w:pPr>
    <w:proofErr w:type="gramStart"/>
    <w:r w:rsidRPr="003D7C06">
      <w:rPr>
        <w:rStyle w:val="PageNumber"/>
        <w:b/>
        <w:sz w:val="18"/>
        <w:szCs w:val="18"/>
      </w:rPr>
      <w:t>page</w:t>
    </w:r>
    <w:proofErr w:type="gramEnd"/>
    <w:r w:rsidRPr="003D7C06">
      <w:rPr>
        <w:rStyle w:val="PageNumber"/>
        <w:b/>
        <w:sz w:val="18"/>
        <w:szCs w:val="18"/>
      </w:rPr>
      <w:t xml:space="preserve"> </w:t>
    </w:r>
    <w:r w:rsidRPr="003D7C06">
      <w:rPr>
        <w:rStyle w:val="PageNumber"/>
        <w:b/>
        <w:sz w:val="18"/>
        <w:szCs w:val="18"/>
      </w:rPr>
      <w:fldChar w:fldCharType="begin"/>
    </w:r>
    <w:r w:rsidRPr="003D7C06">
      <w:rPr>
        <w:rStyle w:val="PageNumber"/>
        <w:b/>
        <w:sz w:val="18"/>
        <w:szCs w:val="18"/>
      </w:rPr>
      <w:instrText xml:space="preserve"> PAGE </w:instrText>
    </w:r>
    <w:r w:rsidRPr="003D7C06">
      <w:rPr>
        <w:rStyle w:val="PageNumber"/>
        <w:b/>
        <w:sz w:val="18"/>
        <w:szCs w:val="18"/>
      </w:rPr>
      <w:fldChar w:fldCharType="separate"/>
    </w:r>
    <w:r w:rsidR="00942AE3">
      <w:rPr>
        <w:rStyle w:val="PageNumber"/>
        <w:b/>
        <w:noProof/>
        <w:sz w:val="18"/>
        <w:szCs w:val="18"/>
      </w:rPr>
      <w:t>85</w:t>
    </w:r>
    <w:r w:rsidRPr="003D7C06">
      <w:rPr>
        <w:rStyle w:val="PageNumber"/>
        <w:b/>
        <w:sz w:val="18"/>
        <w:szCs w:val="18"/>
      </w:rPr>
      <w:fldChar w:fldCharType="end"/>
    </w:r>
  </w:p>
  <w:p w:rsidR="00D73CDC" w:rsidRPr="003D7C06" w:rsidRDefault="00D73CDC" w:rsidP="00C06325">
    <w:pPr>
      <w:pStyle w:val="Header"/>
      <w:tabs>
        <w:tab w:val="left" w:pos="4425"/>
        <w:tab w:val="center" w:pos="4706"/>
      </w:tabs>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76C8C8"/>
    <w:lvl w:ilvl="0">
      <w:start w:val="1"/>
      <w:numFmt w:val="decimal"/>
      <w:lvlText w:val="%1."/>
      <w:lvlJc w:val="left"/>
      <w:pPr>
        <w:tabs>
          <w:tab w:val="num" w:pos="360"/>
        </w:tabs>
        <w:ind w:left="360" w:hanging="360"/>
      </w:pPr>
    </w:lvl>
  </w:abstractNum>
  <w:abstractNum w:abstractNumId="1">
    <w:nsid w:val="06CD29E3"/>
    <w:multiLevelType w:val="multilevel"/>
    <w:tmpl w:val="1BA6097C"/>
    <w:lvl w:ilvl="0">
      <w:start w:val="1"/>
      <w:numFmt w:val="decimal"/>
      <w:lvlRestart w:val="0"/>
      <w:lvlText w:val="%1."/>
      <w:lvlJc w:val="left"/>
      <w:pPr>
        <w:tabs>
          <w:tab w:val="num" w:pos="567"/>
        </w:tabs>
        <w:ind w:left="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4714BA"/>
    <w:multiLevelType w:val="hybridMultilevel"/>
    <w:tmpl w:val="8FDA04AC"/>
    <w:lvl w:ilvl="0" w:tplc="2AA8D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8A13F76"/>
    <w:multiLevelType w:val="hybridMultilevel"/>
    <w:tmpl w:val="BDAA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332B0A"/>
    <w:multiLevelType w:val="hybridMultilevel"/>
    <w:tmpl w:val="297E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0">
    <w:nsid w:val="48831987"/>
    <w:multiLevelType w:val="hybridMultilevel"/>
    <w:tmpl w:val="5746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3">
    <w:nsid w:val="4FE9554E"/>
    <w:multiLevelType w:val="hybridMultilevel"/>
    <w:tmpl w:val="C43022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0063A19"/>
    <w:multiLevelType w:val="hybridMultilevel"/>
    <w:tmpl w:val="9208B87E"/>
    <w:lvl w:ilvl="0" w:tplc="0CB60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224321"/>
    <w:multiLevelType w:val="hybridMultilevel"/>
    <w:tmpl w:val="251E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BB6AEB"/>
    <w:multiLevelType w:val="hybridMultilevel"/>
    <w:tmpl w:val="26E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673A46"/>
    <w:multiLevelType w:val="hybridMultilevel"/>
    <w:tmpl w:val="94A4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9">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B5568A"/>
    <w:multiLevelType w:val="hybridMultilevel"/>
    <w:tmpl w:val="685C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8645E"/>
    <w:multiLevelType w:val="multilevel"/>
    <w:tmpl w:val="15D27DB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5">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25"/>
  </w:num>
  <w:num w:numId="4">
    <w:abstractNumId w:val="11"/>
  </w:num>
  <w:num w:numId="5">
    <w:abstractNumId w:val="22"/>
  </w:num>
  <w:num w:numId="6">
    <w:abstractNumId w:val="3"/>
  </w:num>
  <w:num w:numId="7">
    <w:abstractNumId w:val="18"/>
  </w:num>
  <w:num w:numId="8">
    <w:abstractNumId w:val="12"/>
  </w:num>
  <w:num w:numId="9">
    <w:abstractNumId w:val="24"/>
  </w:num>
  <w:num w:numId="10">
    <w:abstractNumId w:val="4"/>
  </w:num>
  <w:num w:numId="11">
    <w:abstractNumId w:val="9"/>
  </w:num>
  <w:num w:numId="12">
    <w:abstractNumId w:val="6"/>
  </w:num>
  <w:num w:numId="13">
    <w:abstractNumId w:val="16"/>
  </w:num>
  <w:num w:numId="14">
    <w:abstractNumId w:val="2"/>
  </w:num>
  <w:num w:numId="15">
    <w:abstractNumId w:val="20"/>
  </w:num>
  <w:num w:numId="16">
    <w:abstractNumId w:val="10"/>
  </w:num>
  <w:num w:numId="17">
    <w:abstractNumId w:val="13"/>
  </w:num>
  <w:num w:numId="18">
    <w:abstractNumId w:val="14"/>
  </w:num>
  <w:num w:numId="19">
    <w:abstractNumId w:val="17"/>
  </w:num>
  <w:num w:numId="20">
    <w:abstractNumId w:val="7"/>
  </w:num>
  <w:num w:numId="21">
    <w:abstractNumId w:val="15"/>
  </w:num>
  <w:num w:numId="22">
    <w:abstractNumId w:val="0"/>
  </w:num>
  <w:num w:numId="23">
    <w:abstractNumId w:val="19"/>
  </w:num>
  <w:num w:numId="24">
    <w:abstractNumId w:val="23"/>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
    <w:docVar w:name="TextBaseURL" w:val="empty"/>
    <w:docVar w:name="UILng" w:val="en"/>
  </w:docVars>
  <w:rsids>
    <w:rsidRoot w:val="00616460"/>
    <w:rsid w:val="00000282"/>
    <w:rsid w:val="00000E4B"/>
    <w:rsid w:val="00000F92"/>
    <w:rsid w:val="000011D1"/>
    <w:rsid w:val="000016CD"/>
    <w:rsid w:val="0000173A"/>
    <w:rsid w:val="00001A34"/>
    <w:rsid w:val="00003689"/>
    <w:rsid w:val="00004D25"/>
    <w:rsid w:val="00004EBC"/>
    <w:rsid w:val="000050A1"/>
    <w:rsid w:val="00005185"/>
    <w:rsid w:val="000062A7"/>
    <w:rsid w:val="00006BDD"/>
    <w:rsid w:val="00006E74"/>
    <w:rsid w:val="00010FD5"/>
    <w:rsid w:val="000113E0"/>
    <w:rsid w:val="0001164E"/>
    <w:rsid w:val="000122AD"/>
    <w:rsid w:val="00012877"/>
    <w:rsid w:val="00012E64"/>
    <w:rsid w:val="000133E4"/>
    <w:rsid w:val="00013479"/>
    <w:rsid w:val="0001408A"/>
    <w:rsid w:val="000141BC"/>
    <w:rsid w:val="00014301"/>
    <w:rsid w:val="00014943"/>
    <w:rsid w:val="00014C8F"/>
    <w:rsid w:val="0001519E"/>
    <w:rsid w:val="000151E2"/>
    <w:rsid w:val="00015555"/>
    <w:rsid w:val="00016A45"/>
    <w:rsid w:val="00017304"/>
    <w:rsid w:val="0001765B"/>
    <w:rsid w:val="00020A12"/>
    <w:rsid w:val="00020C84"/>
    <w:rsid w:val="0002103C"/>
    <w:rsid w:val="00021995"/>
    <w:rsid w:val="000224E1"/>
    <w:rsid w:val="0002279A"/>
    <w:rsid w:val="00023962"/>
    <w:rsid w:val="00025E23"/>
    <w:rsid w:val="00025E27"/>
    <w:rsid w:val="00026339"/>
    <w:rsid w:val="00026973"/>
    <w:rsid w:val="000309A0"/>
    <w:rsid w:val="00031E12"/>
    <w:rsid w:val="00031F96"/>
    <w:rsid w:val="000332BD"/>
    <w:rsid w:val="00033C2F"/>
    <w:rsid w:val="00033E53"/>
    <w:rsid w:val="0003428C"/>
    <w:rsid w:val="000346B7"/>
    <w:rsid w:val="00034C4E"/>
    <w:rsid w:val="00035BC0"/>
    <w:rsid w:val="00035C6C"/>
    <w:rsid w:val="00036478"/>
    <w:rsid w:val="0003705B"/>
    <w:rsid w:val="00037128"/>
    <w:rsid w:val="00037699"/>
    <w:rsid w:val="00037862"/>
    <w:rsid w:val="0004017C"/>
    <w:rsid w:val="0004056D"/>
    <w:rsid w:val="000406F4"/>
    <w:rsid w:val="0004073E"/>
    <w:rsid w:val="00040BBD"/>
    <w:rsid w:val="00041DBB"/>
    <w:rsid w:val="000430C8"/>
    <w:rsid w:val="000436A6"/>
    <w:rsid w:val="00043ED7"/>
    <w:rsid w:val="000450E2"/>
    <w:rsid w:val="00045142"/>
    <w:rsid w:val="000451B4"/>
    <w:rsid w:val="0004616B"/>
    <w:rsid w:val="00046F78"/>
    <w:rsid w:val="0004756D"/>
    <w:rsid w:val="00050041"/>
    <w:rsid w:val="00050A62"/>
    <w:rsid w:val="00051461"/>
    <w:rsid w:val="000515B2"/>
    <w:rsid w:val="0005205C"/>
    <w:rsid w:val="000520E5"/>
    <w:rsid w:val="0005287E"/>
    <w:rsid w:val="00052BC4"/>
    <w:rsid w:val="00052BF6"/>
    <w:rsid w:val="00054231"/>
    <w:rsid w:val="00054D6F"/>
    <w:rsid w:val="00054EBB"/>
    <w:rsid w:val="00055451"/>
    <w:rsid w:val="00056592"/>
    <w:rsid w:val="00056A60"/>
    <w:rsid w:val="00056CC0"/>
    <w:rsid w:val="00057241"/>
    <w:rsid w:val="000576C0"/>
    <w:rsid w:val="00060024"/>
    <w:rsid w:val="000606EE"/>
    <w:rsid w:val="000609CC"/>
    <w:rsid w:val="00062771"/>
    <w:rsid w:val="000638ED"/>
    <w:rsid w:val="000645F4"/>
    <w:rsid w:val="00065045"/>
    <w:rsid w:val="000655BD"/>
    <w:rsid w:val="00065974"/>
    <w:rsid w:val="00066BCD"/>
    <w:rsid w:val="00066CBE"/>
    <w:rsid w:val="00067463"/>
    <w:rsid w:val="00067E7E"/>
    <w:rsid w:val="00070852"/>
    <w:rsid w:val="00070F5F"/>
    <w:rsid w:val="00071007"/>
    <w:rsid w:val="0007191C"/>
    <w:rsid w:val="000727B5"/>
    <w:rsid w:val="00072B9A"/>
    <w:rsid w:val="00072C88"/>
    <w:rsid w:val="00073095"/>
    <w:rsid w:val="0007311F"/>
    <w:rsid w:val="00073BD4"/>
    <w:rsid w:val="00074CBB"/>
    <w:rsid w:val="000752F2"/>
    <w:rsid w:val="00075878"/>
    <w:rsid w:val="00075B37"/>
    <w:rsid w:val="000760CC"/>
    <w:rsid w:val="000761E6"/>
    <w:rsid w:val="00077718"/>
    <w:rsid w:val="000777E4"/>
    <w:rsid w:val="00077A5D"/>
    <w:rsid w:val="000811C0"/>
    <w:rsid w:val="000821CA"/>
    <w:rsid w:val="00083791"/>
    <w:rsid w:val="00084B11"/>
    <w:rsid w:val="00084BA7"/>
    <w:rsid w:val="00084CEB"/>
    <w:rsid w:val="00085379"/>
    <w:rsid w:val="00085EEF"/>
    <w:rsid w:val="00086054"/>
    <w:rsid w:val="000867DE"/>
    <w:rsid w:val="00086A78"/>
    <w:rsid w:val="00086A8F"/>
    <w:rsid w:val="00086B5A"/>
    <w:rsid w:val="0008789A"/>
    <w:rsid w:val="00087974"/>
    <w:rsid w:val="00087DA7"/>
    <w:rsid w:val="000907F3"/>
    <w:rsid w:val="000908AD"/>
    <w:rsid w:val="000910F5"/>
    <w:rsid w:val="0009143F"/>
    <w:rsid w:val="00091C12"/>
    <w:rsid w:val="000922E1"/>
    <w:rsid w:val="00092748"/>
    <w:rsid w:val="000927CE"/>
    <w:rsid w:val="000928B0"/>
    <w:rsid w:val="00094A7A"/>
    <w:rsid w:val="00094ED7"/>
    <w:rsid w:val="00095EA7"/>
    <w:rsid w:val="00096770"/>
    <w:rsid w:val="00096B73"/>
    <w:rsid w:val="00096BD7"/>
    <w:rsid w:val="00096D2B"/>
    <w:rsid w:val="00096E6B"/>
    <w:rsid w:val="0009798F"/>
    <w:rsid w:val="000A0735"/>
    <w:rsid w:val="000A0FC2"/>
    <w:rsid w:val="000A13E9"/>
    <w:rsid w:val="000A17B1"/>
    <w:rsid w:val="000A189D"/>
    <w:rsid w:val="000A1B3F"/>
    <w:rsid w:val="000A1BF9"/>
    <w:rsid w:val="000A1D1F"/>
    <w:rsid w:val="000A1F0C"/>
    <w:rsid w:val="000A2080"/>
    <w:rsid w:val="000A2C65"/>
    <w:rsid w:val="000A369B"/>
    <w:rsid w:val="000A4848"/>
    <w:rsid w:val="000A4C21"/>
    <w:rsid w:val="000A4CE4"/>
    <w:rsid w:val="000A4D7F"/>
    <w:rsid w:val="000A4F06"/>
    <w:rsid w:val="000A570C"/>
    <w:rsid w:val="000A5BB7"/>
    <w:rsid w:val="000A5D17"/>
    <w:rsid w:val="000A621C"/>
    <w:rsid w:val="000A674A"/>
    <w:rsid w:val="000A6D41"/>
    <w:rsid w:val="000A7041"/>
    <w:rsid w:val="000B14C9"/>
    <w:rsid w:val="000B1CCC"/>
    <w:rsid w:val="000B1E74"/>
    <w:rsid w:val="000B1EF7"/>
    <w:rsid w:val="000B2231"/>
    <w:rsid w:val="000B30F5"/>
    <w:rsid w:val="000B3147"/>
    <w:rsid w:val="000B503B"/>
    <w:rsid w:val="000B5352"/>
    <w:rsid w:val="000B5875"/>
    <w:rsid w:val="000B5A19"/>
    <w:rsid w:val="000B65D3"/>
    <w:rsid w:val="000B6F46"/>
    <w:rsid w:val="000B7056"/>
    <w:rsid w:val="000B746E"/>
    <w:rsid w:val="000B76DB"/>
    <w:rsid w:val="000B77A7"/>
    <w:rsid w:val="000B7A57"/>
    <w:rsid w:val="000B7D9E"/>
    <w:rsid w:val="000C076D"/>
    <w:rsid w:val="000C0AAF"/>
    <w:rsid w:val="000C0BF2"/>
    <w:rsid w:val="000C0FCC"/>
    <w:rsid w:val="000C1041"/>
    <w:rsid w:val="000C1D42"/>
    <w:rsid w:val="000C21EF"/>
    <w:rsid w:val="000C276D"/>
    <w:rsid w:val="000C2770"/>
    <w:rsid w:val="000C2A56"/>
    <w:rsid w:val="000C2EEE"/>
    <w:rsid w:val="000C4699"/>
    <w:rsid w:val="000C50CB"/>
    <w:rsid w:val="000C6F21"/>
    <w:rsid w:val="000C7714"/>
    <w:rsid w:val="000C7B47"/>
    <w:rsid w:val="000D167C"/>
    <w:rsid w:val="000D237D"/>
    <w:rsid w:val="000D2F86"/>
    <w:rsid w:val="000D347D"/>
    <w:rsid w:val="000D385A"/>
    <w:rsid w:val="000D3BEE"/>
    <w:rsid w:val="000D49A1"/>
    <w:rsid w:val="000D49BE"/>
    <w:rsid w:val="000D4B9D"/>
    <w:rsid w:val="000D4C30"/>
    <w:rsid w:val="000D52D7"/>
    <w:rsid w:val="000D5623"/>
    <w:rsid w:val="000D568A"/>
    <w:rsid w:val="000D634E"/>
    <w:rsid w:val="000D688D"/>
    <w:rsid w:val="000D6EAF"/>
    <w:rsid w:val="000D7102"/>
    <w:rsid w:val="000D710B"/>
    <w:rsid w:val="000D7409"/>
    <w:rsid w:val="000D76A0"/>
    <w:rsid w:val="000D7905"/>
    <w:rsid w:val="000E139C"/>
    <w:rsid w:val="000E15C4"/>
    <w:rsid w:val="000E374C"/>
    <w:rsid w:val="000E3920"/>
    <w:rsid w:val="000E42EF"/>
    <w:rsid w:val="000E4343"/>
    <w:rsid w:val="000E49CA"/>
    <w:rsid w:val="000E4CBF"/>
    <w:rsid w:val="000E56DD"/>
    <w:rsid w:val="000E5973"/>
    <w:rsid w:val="000E6A2A"/>
    <w:rsid w:val="000E6A33"/>
    <w:rsid w:val="000E76E1"/>
    <w:rsid w:val="000E7770"/>
    <w:rsid w:val="000E7793"/>
    <w:rsid w:val="000F0625"/>
    <w:rsid w:val="000F14D0"/>
    <w:rsid w:val="000F1AC8"/>
    <w:rsid w:val="000F1C1E"/>
    <w:rsid w:val="000F2F3E"/>
    <w:rsid w:val="000F3C30"/>
    <w:rsid w:val="000F3EF2"/>
    <w:rsid w:val="000F559D"/>
    <w:rsid w:val="000F5762"/>
    <w:rsid w:val="000F5B8D"/>
    <w:rsid w:val="000F64FF"/>
    <w:rsid w:val="000F725B"/>
    <w:rsid w:val="000F7D7A"/>
    <w:rsid w:val="0010173A"/>
    <w:rsid w:val="00101989"/>
    <w:rsid w:val="00101C20"/>
    <w:rsid w:val="00101E79"/>
    <w:rsid w:val="00102521"/>
    <w:rsid w:val="0010280D"/>
    <w:rsid w:val="00103B72"/>
    <w:rsid w:val="00104B4B"/>
    <w:rsid w:val="00104BED"/>
    <w:rsid w:val="00104C42"/>
    <w:rsid w:val="00104CA4"/>
    <w:rsid w:val="00105CF2"/>
    <w:rsid w:val="00105EBF"/>
    <w:rsid w:val="00105F7A"/>
    <w:rsid w:val="0010602A"/>
    <w:rsid w:val="001068A6"/>
    <w:rsid w:val="00106982"/>
    <w:rsid w:val="00106A7A"/>
    <w:rsid w:val="00106B26"/>
    <w:rsid w:val="001073ED"/>
    <w:rsid w:val="00107642"/>
    <w:rsid w:val="001110BA"/>
    <w:rsid w:val="001112FC"/>
    <w:rsid w:val="0011167F"/>
    <w:rsid w:val="00111EA7"/>
    <w:rsid w:val="001122FA"/>
    <w:rsid w:val="0011261A"/>
    <w:rsid w:val="00113D75"/>
    <w:rsid w:val="00113D8C"/>
    <w:rsid w:val="0011457E"/>
    <w:rsid w:val="00114E05"/>
    <w:rsid w:val="00115053"/>
    <w:rsid w:val="001159BE"/>
    <w:rsid w:val="001166DA"/>
    <w:rsid w:val="0011753B"/>
    <w:rsid w:val="001178A6"/>
    <w:rsid w:val="00117CC0"/>
    <w:rsid w:val="00117E63"/>
    <w:rsid w:val="00120CB7"/>
    <w:rsid w:val="00121A1A"/>
    <w:rsid w:val="00121EEF"/>
    <w:rsid w:val="00121F5E"/>
    <w:rsid w:val="00122100"/>
    <w:rsid w:val="001222C1"/>
    <w:rsid w:val="00122C4A"/>
    <w:rsid w:val="00122D81"/>
    <w:rsid w:val="00122E84"/>
    <w:rsid w:val="00122EFC"/>
    <w:rsid w:val="001234DA"/>
    <w:rsid w:val="00123CB3"/>
    <w:rsid w:val="001240E5"/>
    <w:rsid w:val="00124185"/>
    <w:rsid w:val="00124197"/>
    <w:rsid w:val="0012453F"/>
    <w:rsid w:val="00124BA9"/>
    <w:rsid w:val="00124E6C"/>
    <w:rsid w:val="0012536C"/>
    <w:rsid w:val="0012538C"/>
    <w:rsid w:val="00125CD9"/>
    <w:rsid w:val="00125F15"/>
    <w:rsid w:val="001261A9"/>
    <w:rsid w:val="0012683C"/>
    <w:rsid w:val="001272E3"/>
    <w:rsid w:val="00127956"/>
    <w:rsid w:val="00130405"/>
    <w:rsid w:val="00130EF5"/>
    <w:rsid w:val="00131A5A"/>
    <w:rsid w:val="00131ADC"/>
    <w:rsid w:val="001329C9"/>
    <w:rsid w:val="00132F48"/>
    <w:rsid w:val="00133271"/>
    <w:rsid w:val="00133700"/>
    <w:rsid w:val="00133D96"/>
    <w:rsid w:val="0013454B"/>
    <w:rsid w:val="0013456C"/>
    <w:rsid w:val="00135356"/>
    <w:rsid w:val="0013569F"/>
    <w:rsid w:val="001361B6"/>
    <w:rsid w:val="001372BE"/>
    <w:rsid w:val="001375C1"/>
    <w:rsid w:val="0013765C"/>
    <w:rsid w:val="001378AF"/>
    <w:rsid w:val="001378D3"/>
    <w:rsid w:val="001404A2"/>
    <w:rsid w:val="001409B3"/>
    <w:rsid w:val="00140DCA"/>
    <w:rsid w:val="001416DB"/>
    <w:rsid w:val="00141A9A"/>
    <w:rsid w:val="00141D1F"/>
    <w:rsid w:val="0014308A"/>
    <w:rsid w:val="00143679"/>
    <w:rsid w:val="00143709"/>
    <w:rsid w:val="001438B6"/>
    <w:rsid w:val="00143B77"/>
    <w:rsid w:val="00143CEA"/>
    <w:rsid w:val="0014440E"/>
    <w:rsid w:val="001467AE"/>
    <w:rsid w:val="00146A73"/>
    <w:rsid w:val="00146DB0"/>
    <w:rsid w:val="0014738E"/>
    <w:rsid w:val="001477BD"/>
    <w:rsid w:val="001479B9"/>
    <w:rsid w:val="00147B12"/>
    <w:rsid w:val="00150C96"/>
    <w:rsid w:val="00150F95"/>
    <w:rsid w:val="00151AC6"/>
    <w:rsid w:val="00151D4B"/>
    <w:rsid w:val="00151E56"/>
    <w:rsid w:val="00152652"/>
    <w:rsid w:val="001526C8"/>
    <w:rsid w:val="001528AF"/>
    <w:rsid w:val="0015290F"/>
    <w:rsid w:val="00153096"/>
    <w:rsid w:val="0015332B"/>
    <w:rsid w:val="00153A29"/>
    <w:rsid w:val="00154DC5"/>
    <w:rsid w:val="00154F46"/>
    <w:rsid w:val="00155465"/>
    <w:rsid w:val="00155577"/>
    <w:rsid w:val="001555C2"/>
    <w:rsid w:val="00155D78"/>
    <w:rsid w:val="00155DDC"/>
    <w:rsid w:val="00157054"/>
    <w:rsid w:val="00157615"/>
    <w:rsid w:val="00157EFC"/>
    <w:rsid w:val="001609FE"/>
    <w:rsid w:val="00161981"/>
    <w:rsid w:val="00161C1A"/>
    <w:rsid w:val="00161C75"/>
    <w:rsid w:val="00163415"/>
    <w:rsid w:val="00163D77"/>
    <w:rsid w:val="00163E95"/>
    <w:rsid w:val="00164B0D"/>
    <w:rsid w:val="00164B13"/>
    <w:rsid w:val="00167B6B"/>
    <w:rsid w:val="0017014D"/>
    <w:rsid w:val="001708D8"/>
    <w:rsid w:val="00170CCE"/>
    <w:rsid w:val="00170CF4"/>
    <w:rsid w:val="00171F7E"/>
    <w:rsid w:val="0017209A"/>
    <w:rsid w:val="0017238D"/>
    <w:rsid w:val="00172545"/>
    <w:rsid w:val="001729A6"/>
    <w:rsid w:val="00173FBC"/>
    <w:rsid w:val="001742CD"/>
    <w:rsid w:val="001744A0"/>
    <w:rsid w:val="00175168"/>
    <w:rsid w:val="00175497"/>
    <w:rsid w:val="00175D1E"/>
    <w:rsid w:val="00175D93"/>
    <w:rsid w:val="00175E52"/>
    <w:rsid w:val="0017635C"/>
    <w:rsid w:val="001763D6"/>
    <w:rsid w:val="0017684B"/>
    <w:rsid w:val="00177181"/>
    <w:rsid w:val="0017759A"/>
    <w:rsid w:val="0018007D"/>
    <w:rsid w:val="001808C0"/>
    <w:rsid w:val="00180E47"/>
    <w:rsid w:val="00180F6F"/>
    <w:rsid w:val="001816B5"/>
    <w:rsid w:val="00181B63"/>
    <w:rsid w:val="00181BBD"/>
    <w:rsid w:val="001822A4"/>
    <w:rsid w:val="0018241E"/>
    <w:rsid w:val="00182785"/>
    <w:rsid w:val="00182926"/>
    <w:rsid w:val="00182BF0"/>
    <w:rsid w:val="00184463"/>
    <w:rsid w:val="00184578"/>
    <w:rsid w:val="0018526F"/>
    <w:rsid w:val="001854EF"/>
    <w:rsid w:val="001858F6"/>
    <w:rsid w:val="00185945"/>
    <w:rsid w:val="00185D9E"/>
    <w:rsid w:val="00186349"/>
    <w:rsid w:val="001874E0"/>
    <w:rsid w:val="00187AB8"/>
    <w:rsid w:val="00187AC6"/>
    <w:rsid w:val="00190265"/>
    <w:rsid w:val="001904E4"/>
    <w:rsid w:val="0019183F"/>
    <w:rsid w:val="001926C3"/>
    <w:rsid w:val="00192A3F"/>
    <w:rsid w:val="001939AD"/>
    <w:rsid w:val="00193A8E"/>
    <w:rsid w:val="00193B78"/>
    <w:rsid w:val="00193F0E"/>
    <w:rsid w:val="001947BD"/>
    <w:rsid w:val="00194BBD"/>
    <w:rsid w:val="00194E9B"/>
    <w:rsid w:val="00194EBD"/>
    <w:rsid w:val="001954C3"/>
    <w:rsid w:val="001956E8"/>
    <w:rsid w:val="00195732"/>
    <w:rsid w:val="001957B5"/>
    <w:rsid w:val="00195C79"/>
    <w:rsid w:val="00196166"/>
    <w:rsid w:val="00196386"/>
    <w:rsid w:val="001965DD"/>
    <w:rsid w:val="001974B2"/>
    <w:rsid w:val="0019794B"/>
    <w:rsid w:val="00197E20"/>
    <w:rsid w:val="001A06D7"/>
    <w:rsid w:val="001A1436"/>
    <w:rsid w:val="001A14D0"/>
    <w:rsid w:val="001A1BF2"/>
    <w:rsid w:val="001A1F92"/>
    <w:rsid w:val="001A24C7"/>
    <w:rsid w:val="001A2A12"/>
    <w:rsid w:val="001A2AFE"/>
    <w:rsid w:val="001A5234"/>
    <w:rsid w:val="001A5241"/>
    <w:rsid w:val="001A5282"/>
    <w:rsid w:val="001A5F43"/>
    <w:rsid w:val="001A5FA2"/>
    <w:rsid w:val="001A67CA"/>
    <w:rsid w:val="001A68AF"/>
    <w:rsid w:val="001A6EA4"/>
    <w:rsid w:val="001A7157"/>
    <w:rsid w:val="001A7257"/>
    <w:rsid w:val="001A77DD"/>
    <w:rsid w:val="001A78D7"/>
    <w:rsid w:val="001B0249"/>
    <w:rsid w:val="001B0F6B"/>
    <w:rsid w:val="001B102A"/>
    <w:rsid w:val="001B14B2"/>
    <w:rsid w:val="001B15B8"/>
    <w:rsid w:val="001B2BB1"/>
    <w:rsid w:val="001B3146"/>
    <w:rsid w:val="001B3793"/>
    <w:rsid w:val="001B392D"/>
    <w:rsid w:val="001B4A84"/>
    <w:rsid w:val="001B5284"/>
    <w:rsid w:val="001B5974"/>
    <w:rsid w:val="001B5D75"/>
    <w:rsid w:val="001B6554"/>
    <w:rsid w:val="001B71A7"/>
    <w:rsid w:val="001C0031"/>
    <w:rsid w:val="001C0359"/>
    <w:rsid w:val="001C0729"/>
    <w:rsid w:val="001C093A"/>
    <w:rsid w:val="001C1B02"/>
    <w:rsid w:val="001C1C95"/>
    <w:rsid w:val="001C1EF8"/>
    <w:rsid w:val="001C2DBC"/>
    <w:rsid w:val="001C3219"/>
    <w:rsid w:val="001C4123"/>
    <w:rsid w:val="001C4DC1"/>
    <w:rsid w:val="001C5140"/>
    <w:rsid w:val="001C5578"/>
    <w:rsid w:val="001C7D23"/>
    <w:rsid w:val="001D007F"/>
    <w:rsid w:val="001D0993"/>
    <w:rsid w:val="001D0C02"/>
    <w:rsid w:val="001D0D7E"/>
    <w:rsid w:val="001D106A"/>
    <w:rsid w:val="001D11F5"/>
    <w:rsid w:val="001D2360"/>
    <w:rsid w:val="001D2C43"/>
    <w:rsid w:val="001D35A1"/>
    <w:rsid w:val="001E0047"/>
    <w:rsid w:val="001E0770"/>
    <w:rsid w:val="001E0793"/>
    <w:rsid w:val="001E260B"/>
    <w:rsid w:val="001E31C0"/>
    <w:rsid w:val="001E3A71"/>
    <w:rsid w:val="001E3D79"/>
    <w:rsid w:val="001E5FC1"/>
    <w:rsid w:val="001E60A3"/>
    <w:rsid w:val="001E72F5"/>
    <w:rsid w:val="001F0F2B"/>
    <w:rsid w:val="001F14EB"/>
    <w:rsid w:val="001F1D15"/>
    <w:rsid w:val="001F278E"/>
    <w:rsid w:val="001F3424"/>
    <w:rsid w:val="001F360A"/>
    <w:rsid w:val="001F3999"/>
    <w:rsid w:val="001F39EC"/>
    <w:rsid w:val="001F3A48"/>
    <w:rsid w:val="001F46EA"/>
    <w:rsid w:val="001F514D"/>
    <w:rsid w:val="001F530B"/>
    <w:rsid w:val="001F533D"/>
    <w:rsid w:val="001F5BFA"/>
    <w:rsid w:val="001F644D"/>
    <w:rsid w:val="001F6768"/>
    <w:rsid w:val="001F6A09"/>
    <w:rsid w:val="001F6D3D"/>
    <w:rsid w:val="0020035D"/>
    <w:rsid w:val="002008A6"/>
    <w:rsid w:val="00200BF4"/>
    <w:rsid w:val="0020112F"/>
    <w:rsid w:val="0020173D"/>
    <w:rsid w:val="00202270"/>
    <w:rsid w:val="002025FD"/>
    <w:rsid w:val="00202829"/>
    <w:rsid w:val="002034A8"/>
    <w:rsid w:val="00203A75"/>
    <w:rsid w:val="00203C93"/>
    <w:rsid w:val="00203E1A"/>
    <w:rsid w:val="0020422F"/>
    <w:rsid w:val="002044DA"/>
    <w:rsid w:val="00205379"/>
    <w:rsid w:val="0020556A"/>
    <w:rsid w:val="00206022"/>
    <w:rsid w:val="00206368"/>
    <w:rsid w:val="00206B33"/>
    <w:rsid w:val="00207853"/>
    <w:rsid w:val="00207B67"/>
    <w:rsid w:val="00207BC1"/>
    <w:rsid w:val="00207BF2"/>
    <w:rsid w:val="00210093"/>
    <w:rsid w:val="002112C6"/>
    <w:rsid w:val="00211690"/>
    <w:rsid w:val="00211AA0"/>
    <w:rsid w:val="002124A1"/>
    <w:rsid w:val="00212924"/>
    <w:rsid w:val="00212B39"/>
    <w:rsid w:val="002134D5"/>
    <w:rsid w:val="00213542"/>
    <w:rsid w:val="00213F70"/>
    <w:rsid w:val="00213FAB"/>
    <w:rsid w:val="00214141"/>
    <w:rsid w:val="0021433D"/>
    <w:rsid w:val="00214D1C"/>
    <w:rsid w:val="00215456"/>
    <w:rsid w:val="00215815"/>
    <w:rsid w:val="0021657D"/>
    <w:rsid w:val="00216D7F"/>
    <w:rsid w:val="00216EC2"/>
    <w:rsid w:val="0021727B"/>
    <w:rsid w:val="00217898"/>
    <w:rsid w:val="00217D06"/>
    <w:rsid w:val="00220219"/>
    <w:rsid w:val="002202F3"/>
    <w:rsid w:val="00220E28"/>
    <w:rsid w:val="002218B9"/>
    <w:rsid w:val="00221DD2"/>
    <w:rsid w:val="00222565"/>
    <w:rsid w:val="0022292B"/>
    <w:rsid w:val="0022297B"/>
    <w:rsid w:val="00223805"/>
    <w:rsid w:val="002245DA"/>
    <w:rsid w:val="00224A31"/>
    <w:rsid w:val="0022529A"/>
    <w:rsid w:val="00226077"/>
    <w:rsid w:val="0022646E"/>
    <w:rsid w:val="00226557"/>
    <w:rsid w:val="00227E2B"/>
    <w:rsid w:val="0023150D"/>
    <w:rsid w:val="00231A98"/>
    <w:rsid w:val="00231B50"/>
    <w:rsid w:val="00231DD0"/>
    <w:rsid w:val="002320BC"/>
    <w:rsid w:val="00232729"/>
    <w:rsid w:val="00233377"/>
    <w:rsid w:val="00233803"/>
    <w:rsid w:val="00233A0D"/>
    <w:rsid w:val="00233FBD"/>
    <w:rsid w:val="0023484C"/>
    <w:rsid w:val="0023509A"/>
    <w:rsid w:val="00236B91"/>
    <w:rsid w:val="002373F7"/>
    <w:rsid w:val="00240646"/>
    <w:rsid w:val="002407A0"/>
    <w:rsid w:val="00240BEE"/>
    <w:rsid w:val="00241252"/>
    <w:rsid w:val="00241765"/>
    <w:rsid w:val="00242436"/>
    <w:rsid w:val="00243546"/>
    <w:rsid w:val="002437BD"/>
    <w:rsid w:val="002441B5"/>
    <w:rsid w:val="00244ABC"/>
    <w:rsid w:val="0024508E"/>
    <w:rsid w:val="0024525A"/>
    <w:rsid w:val="00245272"/>
    <w:rsid w:val="002453E5"/>
    <w:rsid w:val="00245E1D"/>
    <w:rsid w:val="002463E0"/>
    <w:rsid w:val="00246999"/>
    <w:rsid w:val="00246C1D"/>
    <w:rsid w:val="0024734A"/>
    <w:rsid w:val="002476FE"/>
    <w:rsid w:val="00247733"/>
    <w:rsid w:val="00247DA8"/>
    <w:rsid w:val="002500E0"/>
    <w:rsid w:val="0025037B"/>
    <w:rsid w:val="0025087B"/>
    <w:rsid w:val="00250924"/>
    <w:rsid w:val="0025109C"/>
    <w:rsid w:val="002510AD"/>
    <w:rsid w:val="002514BA"/>
    <w:rsid w:val="002515E4"/>
    <w:rsid w:val="00251C9D"/>
    <w:rsid w:val="0025206F"/>
    <w:rsid w:val="0025228E"/>
    <w:rsid w:val="00254340"/>
    <w:rsid w:val="002553C1"/>
    <w:rsid w:val="002555AF"/>
    <w:rsid w:val="002562D2"/>
    <w:rsid w:val="0025656C"/>
    <w:rsid w:val="00257238"/>
    <w:rsid w:val="0025726F"/>
    <w:rsid w:val="002601E7"/>
    <w:rsid w:val="00260748"/>
    <w:rsid w:val="00260ACB"/>
    <w:rsid w:val="002616AF"/>
    <w:rsid w:val="00261AE9"/>
    <w:rsid w:val="002631E6"/>
    <w:rsid w:val="002632FD"/>
    <w:rsid w:val="00264AC9"/>
    <w:rsid w:val="00265265"/>
    <w:rsid w:val="002653D1"/>
    <w:rsid w:val="00266221"/>
    <w:rsid w:val="0026657B"/>
    <w:rsid w:val="00266925"/>
    <w:rsid w:val="00266C0A"/>
    <w:rsid w:val="00266CE7"/>
    <w:rsid w:val="00267140"/>
    <w:rsid w:val="0026772F"/>
    <w:rsid w:val="002679EB"/>
    <w:rsid w:val="00267C84"/>
    <w:rsid w:val="0027018C"/>
    <w:rsid w:val="002702A6"/>
    <w:rsid w:val="002703CC"/>
    <w:rsid w:val="00270E10"/>
    <w:rsid w:val="002711A6"/>
    <w:rsid w:val="0027196E"/>
    <w:rsid w:val="00271B11"/>
    <w:rsid w:val="00271CA9"/>
    <w:rsid w:val="00271D81"/>
    <w:rsid w:val="00271F20"/>
    <w:rsid w:val="0027239A"/>
    <w:rsid w:val="002728E5"/>
    <w:rsid w:val="00272931"/>
    <w:rsid w:val="002743D4"/>
    <w:rsid w:val="00274CB3"/>
    <w:rsid w:val="00274DF8"/>
    <w:rsid w:val="00275865"/>
    <w:rsid w:val="00275AA0"/>
    <w:rsid w:val="002760C4"/>
    <w:rsid w:val="0027706E"/>
    <w:rsid w:val="002775E5"/>
    <w:rsid w:val="00277DBB"/>
    <w:rsid w:val="00280408"/>
    <w:rsid w:val="0028048E"/>
    <w:rsid w:val="0028170E"/>
    <w:rsid w:val="00281CB4"/>
    <w:rsid w:val="00282461"/>
    <w:rsid w:val="00282948"/>
    <w:rsid w:val="0028323B"/>
    <w:rsid w:val="00283751"/>
    <w:rsid w:val="002840B0"/>
    <w:rsid w:val="0028430F"/>
    <w:rsid w:val="00284419"/>
    <w:rsid w:val="00286625"/>
    <w:rsid w:val="00286971"/>
    <w:rsid w:val="0028729A"/>
    <w:rsid w:val="0029001A"/>
    <w:rsid w:val="00290532"/>
    <w:rsid w:val="00290F08"/>
    <w:rsid w:val="002916EB"/>
    <w:rsid w:val="00291AD8"/>
    <w:rsid w:val="00291EB8"/>
    <w:rsid w:val="002921C8"/>
    <w:rsid w:val="002925D9"/>
    <w:rsid w:val="00292635"/>
    <w:rsid w:val="00292BDF"/>
    <w:rsid w:val="0029349E"/>
    <w:rsid w:val="00293516"/>
    <w:rsid w:val="0029357B"/>
    <w:rsid w:val="00293868"/>
    <w:rsid w:val="00294457"/>
    <w:rsid w:val="002947B5"/>
    <w:rsid w:val="00295158"/>
    <w:rsid w:val="00295300"/>
    <w:rsid w:val="00295680"/>
    <w:rsid w:val="00296372"/>
    <w:rsid w:val="002963A3"/>
    <w:rsid w:val="00297213"/>
    <w:rsid w:val="00297726"/>
    <w:rsid w:val="002A01AE"/>
    <w:rsid w:val="002A0311"/>
    <w:rsid w:val="002A03DE"/>
    <w:rsid w:val="002A05C7"/>
    <w:rsid w:val="002A077C"/>
    <w:rsid w:val="002A0C27"/>
    <w:rsid w:val="002A0E42"/>
    <w:rsid w:val="002A10C0"/>
    <w:rsid w:val="002A10FB"/>
    <w:rsid w:val="002A116C"/>
    <w:rsid w:val="002A13A0"/>
    <w:rsid w:val="002A1684"/>
    <w:rsid w:val="002A18F4"/>
    <w:rsid w:val="002A1C73"/>
    <w:rsid w:val="002A1F28"/>
    <w:rsid w:val="002A472C"/>
    <w:rsid w:val="002A49C8"/>
    <w:rsid w:val="002A5847"/>
    <w:rsid w:val="002A59BA"/>
    <w:rsid w:val="002A6FD8"/>
    <w:rsid w:val="002A704C"/>
    <w:rsid w:val="002A7203"/>
    <w:rsid w:val="002A7C9F"/>
    <w:rsid w:val="002A7F15"/>
    <w:rsid w:val="002B033B"/>
    <w:rsid w:val="002B08B0"/>
    <w:rsid w:val="002B08B4"/>
    <w:rsid w:val="002B092E"/>
    <w:rsid w:val="002B0DC5"/>
    <w:rsid w:val="002B1F31"/>
    <w:rsid w:val="002B2462"/>
    <w:rsid w:val="002B2906"/>
    <w:rsid w:val="002B30DD"/>
    <w:rsid w:val="002B3455"/>
    <w:rsid w:val="002B379E"/>
    <w:rsid w:val="002B3898"/>
    <w:rsid w:val="002B38DF"/>
    <w:rsid w:val="002B391D"/>
    <w:rsid w:val="002B4D33"/>
    <w:rsid w:val="002B527A"/>
    <w:rsid w:val="002B6190"/>
    <w:rsid w:val="002B6240"/>
    <w:rsid w:val="002B662F"/>
    <w:rsid w:val="002B68BB"/>
    <w:rsid w:val="002B6C1B"/>
    <w:rsid w:val="002B7281"/>
    <w:rsid w:val="002B72F6"/>
    <w:rsid w:val="002B7E31"/>
    <w:rsid w:val="002B7FD8"/>
    <w:rsid w:val="002C039A"/>
    <w:rsid w:val="002C04D6"/>
    <w:rsid w:val="002C04E9"/>
    <w:rsid w:val="002C13C3"/>
    <w:rsid w:val="002C14F3"/>
    <w:rsid w:val="002C18FF"/>
    <w:rsid w:val="002C1A4A"/>
    <w:rsid w:val="002C220D"/>
    <w:rsid w:val="002C2E7A"/>
    <w:rsid w:val="002C2EAF"/>
    <w:rsid w:val="002C3006"/>
    <w:rsid w:val="002C362D"/>
    <w:rsid w:val="002C393E"/>
    <w:rsid w:val="002C4A5E"/>
    <w:rsid w:val="002C5F2A"/>
    <w:rsid w:val="002C5F90"/>
    <w:rsid w:val="002C616F"/>
    <w:rsid w:val="002C63A1"/>
    <w:rsid w:val="002C671C"/>
    <w:rsid w:val="002C6CDB"/>
    <w:rsid w:val="002C6F04"/>
    <w:rsid w:val="002C72C9"/>
    <w:rsid w:val="002D0412"/>
    <w:rsid w:val="002D04AA"/>
    <w:rsid w:val="002D090F"/>
    <w:rsid w:val="002D099E"/>
    <w:rsid w:val="002D09C0"/>
    <w:rsid w:val="002D0B66"/>
    <w:rsid w:val="002D0C7E"/>
    <w:rsid w:val="002D0D1C"/>
    <w:rsid w:val="002D1135"/>
    <w:rsid w:val="002D1259"/>
    <w:rsid w:val="002D1D97"/>
    <w:rsid w:val="002D1E38"/>
    <w:rsid w:val="002D2C74"/>
    <w:rsid w:val="002D3C3F"/>
    <w:rsid w:val="002D4323"/>
    <w:rsid w:val="002D4F78"/>
    <w:rsid w:val="002D5AB1"/>
    <w:rsid w:val="002D5DBA"/>
    <w:rsid w:val="002D6254"/>
    <w:rsid w:val="002D6559"/>
    <w:rsid w:val="002D6885"/>
    <w:rsid w:val="002D69BE"/>
    <w:rsid w:val="002D6C26"/>
    <w:rsid w:val="002D6ED3"/>
    <w:rsid w:val="002D6FE5"/>
    <w:rsid w:val="002D7904"/>
    <w:rsid w:val="002D7D9B"/>
    <w:rsid w:val="002E0C2B"/>
    <w:rsid w:val="002E1C1B"/>
    <w:rsid w:val="002E2775"/>
    <w:rsid w:val="002E2E6A"/>
    <w:rsid w:val="002E3073"/>
    <w:rsid w:val="002E5935"/>
    <w:rsid w:val="002E5E04"/>
    <w:rsid w:val="002E77B5"/>
    <w:rsid w:val="002E7AE2"/>
    <w:rsid w:val="002E7B0B"/>
    <w:rsid w:val="002F0100"/>
    <w:rsid w:val="002F04DA"/>
    <w:rsid w:val="002F1095"/>
    <w:rsid w:val="002F129E"/>
    <w:rsid w:val="002F1990"/>
    <w:rsid w:val="002F20D1"/>
    <w:rsid w:val="002F2430"/>
    <w:rsid w:val="002F29C4"/>
    <w:rsid w:val="002F2E35"/>
    <w:rsid w:val="002F34C2"/>
    <w:rsid w:val="002F352C"/>
    <w:rsid w:val="002F4810"/>
    <w:rsid w:val="002F52C1"/>
    <w:rsid w:val="002F5B69"/>
    <w:rsid w:val="002F5F97"/>
    <w:rsid w:val="002F6FEC"/>
    <w:rsid w:val="002F700A"/>
    <w:rsid w:val="002F78E8"/>
    <w:rsid w:val="00300011"/>
    <w:rsid w:val="003006C3"/>
    <w:rsid w:val="00301D0C"/>
    <w:rsid w:val="00302481"/>
    <w:rsid w:val="003026F0"/>
    <w:rsid w:val="00302779"/>
    <w:rsid w:val="00302C15"/>
    <w:rsid w:val="00302EA9"/>
    <w:rsid w:val="0030383E"/>
    <w:rsid w:val="0030391C"/>
    <w:rsid w:val="003039D8"/>
    <w:rsid w:val="00303C2E"/>
    <w:rsid w:val="00303F1E"/>
    <w:rsid w:val="00304118"/>
    <w:rsid w:val="00304370"/>
    <w:rsid w:val="00305006"/>
    <w:rsid w:val="003050ED"/>
    <w:rsid w:val="003051AF"/>
    <w:rsid w:val="00306496"/>
    <w:rsid w:val="00306E59"/>
    <w:rsid w:val="00306F6C"/>
    <w:rsid w:val="003074EF"/>
    <w:rsid w:val="00310512"/>
    <w:rsid w:val="00310C5D"/>
    <w:rsid w:val="00310D8D"/>
    <w:rsid w:val="00310F70"/>
    <w:rsid w:val="0031130D"/>
    <w:rsid w:val="00311863"/>
    <w:rsid w:val="003118B3"/>
    <w:rsid w:val="0031202C"/>
    <w:rsid w:val="00312264"/>
    <w:rsid w:val="00312473"/>
    <w:rsid w:val="003127B9"/>
    <w:rsid w:val="00312802"/>
    <w:rsid w:val="003129EB"/>
    <w:rsid w:val="00312A97"/>
    <w:rsid w:val="00312CB7"/>
    <w:rsid w:val="00312D5A"/>
    <w:rsid w:val="00313920"/>
    <w:rsid w:val="00313BE7"/>
    <w:rsid w:val="0031457A"/>
    <w:rsid w:val="00315487"/>
    <w:rsid w:val="0031550E"/>
    <w:rsid w:val="003172BE"/>
    <w:rsid w:val="0031778E"/>
    <w:rsid w:val="00317E4B"/>
    <w:rsid w:val="00320276"/>
    <w:rsid w:val="00320DCC"/>
    <w:rsid w:val="0032136C"/>
    <w:rsid w:val="00321708"/>
    <w:rsid w:val="0032181F"/>
    <w:rsid w:val="0032242B"/>
    <w:rsid w:val="00322916"/>
    <w:rsid w:val="003229DB"/>
    <w:rsid w:val="00322CBA"/>
    <w:rsid w:val="0032315F"/>
    <w:rsid w:val="00323400"/>
    <w:rsid w:val="003243C2"/>
    <w:rsid w:val="0032480E"/>
    <w:rsid w:val="0032513D"/>
    <w:rsid w:val="0032673E"/>
    <w:rsid w:val="00326AAD"/>
    <w:rsid w:val="00327107"/>
    <w:rsid w:val="003273F2"/>
    <w:rsid w:val="00330A25"/>
    <w:rsid w:val="00330E1A"/>
    <w:rsid w:val="00331016"/>
    <w:rsid w:val="0033113A"/>
    <w:rsid w:val="00331492"/>
    <w:rsid w:val="00331AC0"/>
    <w:rsid w:val="0033238A"/>
    <w:rsid w:val="00332A64"/>
    <w:rsid w:val="00333854"/>
    <w:rsid w:val="00333C51"/>
    <w:rsid w:val="00333CA7"/>
    <w:rsid w:val="00334000"/>
    <w:rsid w:val="00334B0C"/>
    <w:rsid w:val="003350B7"/>
    <w:rsid w:val="00335234"/>
    <w:rsid w:val="003354C1"/>
    <w:rsid w:val="003363D5"/>
    <w:rsid w:val="00336F47"/>
    <w:rsid w:val="003375C4"/>
    <w:rsid w:val="00337609"/>
    <w:rsid w:val="00337DEF"/>
    <w:rsid w:val="003401A4"/>
    <w:rsid w:val="00340DEA"/>
    <w:rsid w:val="003425D7"/>
    <w:rsid w:val="00343A00"/>
    <w:rsid w:val="003443CA"/>
    <w:rsid w:val="003457B2"/>
    <w:rsid w:val="00346990"/>
    <w:rsid w:val="00346CEB"/>
    <w:rsid w:val="0034704A"/>
    <w:rsid w:val="003470AB"/>
    <w:rsid w:val="00347731"/>
    <w:rsid w:val="003478A1"/>
    <w:rsid w:val="003505CA"/>
    <w:rsid w:val="003507A3"/>
    <w:rsid w:val="003508E6"/>
    <w:rsid w:val="003514BF"/>
    <w:rsid w:val="003515C1"/>
    <w:rsid w:val="00351BEA"/>
    <w:rsid w:val="00351E79"/>
    <w:rsid w:val="003520CF"/>
    <w:rsid w:val="00352AB7"/>
    <w:rsid w:val="00352D0A"/>
    <w:rsid w:val="00353597"/>
    <w:rsid w:val="003545E3"/>
    <w:rsid w:val="0035472A"/>
    <w:rsid w:val="00354B28"/>
    <w:rsid w:val="00354B43"/>
    <w:rsid w:val="00355EB2"/>
    <w:rsid w:val="00355F7B"/>
    <w:rsid w:val="0035686F"/>
    <w:rsid w:val="00356E07"/>
    <w:rsid w:val="003571D2"/>
    <w:rsid w:val="00357C61"/>
    <w:rsid w:val="00357EE8"/>
    <w:rsid w:val="00360183"/>
    <w:rsid w:val="003603E1"/>
    <w:rsid w:val="00360417"/>
    <w:rsid w:val="00360506"/>
    <w:rsid w:val="00361250"/>
    <w:rsid w:val="00361BA6"/>
    <w:rsid w:val="00361C71"/>
    <w:rsid w:val="00361EBD"/>
    <w:rsid w:val="00363E57"/>
    <w:rsid w:val="0036428B"/>
    <w:rsid w:val="00364899"/>
    <w:rsid w:val="00364D85"/>
    <w:rsid w:val="003661E6"/>
    <w:rsid w:val="0036670B"/>
    <w:rsid w:val="00366F69"/>
    <w:rsid w:val="00367794"/>
    <w:rsid w:val="003678DA"/>
    <w:rsid w:val="00367DDF"/>
    <w:rsid w:val="003712F4"/>
    <w:rsid w:val="00371C10"/>
    <w:rsid w:val="00372636"/>
    <w:rsid w:val="00372B8F"/>
    <w:rsid w:val="00372DD0"/>
    <w:rsid w:val="00373121"/>
    <w:rsid w:val="00374F72"/>
    <w:rsid w:val="00375133"/>
    <w:rsid w:val="003755AC"/>
    <w:rsid w:val="00376539"/>
    <w:rsid w:val="00376E3A"/>
    <w:rsid w:val="00377226"/>
    <w:rsid w:val="00377706"/>
    <w:rsid w:val="00380C97"/>
    <w:rsid w:val="00382AB2"/>
    <w:rsid w:val="00383941"/>
    <w:rsid w:val="00383BB9"/>
    <w:rsid w:val="003845D4"/>
    <w:rsid w:val="003852F9"/>
    <w:rsid w:val="00386813"/>
    <w:rsid w:val="00387AE4"/>
    <w:rsid w:val="00391190"/>
    <w:rsid w:val="003914CB"/>
    <w:rsid w:val="00391B18"/>
    <w:rsid w:val="003928E9"/>
    <w:rsid w:val="00392933"/>
    <w:rsid w:val="00393F22"/>
    <w:rsid w:val="003945B9"/>
    <w:rsid w:val="00394B59"/>
    <w:rsid w:val="00395AFF"/>
    <w:rsid w:val="003964C2"/>
    <w:rsid w:val="00396D6D"/>
    <w:rsid w:val="003976DC"/>
    <w:rsid w:val="0039791C"/>
    <w:rsid w:val="003A025B"/>
    <w:rsid w:val="003A0753"/>
    <w:rsid w:val="003A1A63"/>
    <w:rsid w:val="003A2435"/>
    <w:rsid w:val="003A25B0"/>
    <w:rsid w:val="003A29B9"/>
    <w:rsid w:val="003A2C70"/>
    <w:rsid w:val="003A36F5"/>
    <w:rsid w:val="003A3B36"/>
    <w:rsid w:val="003A3F3F"/>
    <w:rsid w:val="003A4786"/>
    <w:rsid w:val="003A4B38"/>
    <w:rsid w:val="003A4BBF"/>
    <w:rsid w:val="003A5B9C"/>
    <w:rsid w:val="003A611D"/>
    <w:rsid w:val="003A6337"/>
    <w:rsid w:val="003A687E"/>
    <w:rsid w:val="003A6BF5"/>
    <w:rsid w:val="003A70ED"/>
    <w:rsid w:val="003A7500"/>
    <w:rsid w:val="003A797D"/>
    <w:rsid w:val="003B00CF"/>
    <w:rsid w:val="003B0199"/>
    <w:rsid w:val="003B0680"/>
    <w:rsid w:val="003B068F"/>
    <w:rsid w:val="003B2378"/>
    <w:rsid w:val="003B2684"/>
    <w:rsid w:val="003B2C9E"/>
    <w:rsid w:val="003B2D05"/>
    <w:rsid w:val="003B3524"/>
    <w:rsid w:val="003B3726"/>
    <w:rsid w:val="003B3AFA"/>
    <w:rsid w:val="003B3CC5"/>
    <w:rsid w:val="003B4661"/>
    <w:rsid w:val="003B4B42"/>
    <w:rsid w:val="003B559A"/>
    <w:rsid w:val="003B5F73"/>
    <w:rsid w:val="003B631B"/>
    <w:rsid w:val="003B6B64"/>
    <w:rsid w:val="003C0092"/>
    <w:rsid w:val="003C09C7"/>
    <w:rsid w:val="003C0DC8"/>
    <w:rsid w:val="003C100C"/>
    <w:rsid w:val="003C11D6"/>
    <w:rsid w:val="003C1790"/>
    <w:rsid w:val="003C216E"/>
    <w:rsid w:val="003C2363"/>
    <w:rsid w:val="003C2DEF"/>
    <w:rsid w:val="003C393C"/>
    <w:rsid w:val="003C461B"/>
    <w:rsid w:val="003C4CDD"/>
    <w:rsid w:val="003C5282"/>
    <w:rsid w:val="003C556D"/>
    <w:rsid w:val="003C55F4"/>
    <w:rsid w:val="003C5DC9"/>
    <w:rsid w:val="003C6314"/>
    <w:rsid w:val="003C67FA"/>
    <w:rsid w:val="003C6C2D"/>
    <w:rsid w:val="003C7154"/>
    <w:rsid w:val="003C74FF"/>
    <w:rsid w:val="003C759B"/>
    <w:rsid w:val="003C77BE"/>
    <w:rsid w:val="003C7826"/>
    <w:rsid w:val="003D025D"/>
    <w:rsid w:val="003D0372"/>
    <w:rsid w:val="003D0699"/>
    <w:rsid w:val="003D0789"/>
    <w:rsid w:val="003D0919"/>
    <w:rsid w:val="003D0CC2"/>
    <w:rsid w:val="003D1565"/>
    <w:rsid w:val="003D1862"/>
    <w:rsid w:val="003D1DB3"/>
    <w:rsid w:val="003D32D2"/>
    <w:rsid w:val="003D348A"/>
    <w:rsid w:val="003D3548"/>
    <w:rsid w:val="003D5A77"/>
    <w:rsid w:val="003D6668"/>
    <w:rsid w:val="003D6C9B"/>
    <w:rsid w:val="003D6F77"/>
    <w:rsid w:val="003D7C06"/>
    <w:rsid w:val="003D7FD0"/>
    <w:rsid w:val="003E04A1"/>
    <w:rsid w:val="003E0792"/>
    <w:rsid w:val="003E09A9"/>
    <w:rsid w:val="003E14BD"/>
    <w:rsid w:val="003E197A"/>
    <w:rsid w:val="003E1D54"/>
    <w:rsid w:val="003E220E"/>
    <w:rsid w:val="003E2CCD"/>
    <w:rsid w:val="003E378B"/>
    <w:rsid w:val="003E3C31"/>
    <w:rsid w:val="003E3F7C"/>
    <w:rsid w:val="003E5545"/>
    <w:rsid w:val="003E5632"/>
    <w:rsid w:val="003E6163"/>
    <w:rsid w:val="003E65EA"/>
    <w:rsid w:val="003E6C2E"/>
    <w:rsid w:val="003E7152"/>
    <w:rsid w:val="003E7699"/>
    <w:rsid w:val="003E7975"/>
    <w:rsid w:val="003E7DED"/>
    <w:rsid w:val="003F1348"/>
    <w:rsid w:val="003F150C"/>
    <w:rsid w:val="003F1765"/>
    <w:rsid w:val="003F19D5"/>
    <w:rsid w:val="003F1E8A"/>
    <w:rsid w:val="003F214C"/>
    <w:rsid w:val="003F2945"/>
    <w:rsid w:val="003F3057"/>
    <w:rsid w:val="003F3440"/>
    <w:rsid w:val="003F38A1"/>
    <w:rsid w:val="003F4B8C"/>
    <w:rsid w:val="003F51B1"/>
    <w:rsid w:val="003F5280"/>
    <w:rsid w:val="003F5310"/>
    <w:rsid w:val="003F551A"/>
    <w:rsid w:val="003F5670"/>
    <w:rsid w:val="003F5AC3"/>
    <w:rsid w:val="003F5AEE"/>
    <w:rsid w:val="003F5E95"/>
    <w:rsid w:val="003F5FD3"/>
    <w:rsid w:val="003F671D"/>
    <w:rsid w:val="003F721A"/>
    <w:rsid w:val="003F76CE"/>
    <w:rsid w:val="003F79A9"/>
    <w:rsid w:val="00400A38"/>
    <w:rsid w:val="00400B8F"/>
    <w:rsid w:val="004012DD"/>
    <w:rsid w:val="00401DE4"/>
    <w:rsid w:val="00401DEC"/>
    <w:rsid w:val="00401E0A"/>
    <w:rsid w:val="0040244B"/>
    <w:rsid w:val="00402845"/>
    <w:rsid w:val="00402A18"/>
    <w:rsid w:val="00402EE4"/>
    <w:rsid w:val="00403264"/>
    <w:rsid w:val="004033FA"/>
    <w:rsid w:val="004037C2"/>
    <w:rsid w:val="00403AC3"/>
    <w:rsid w:val="00403E9D"/>
    <w:rsid w:val="00403F2A"/>
    <w:rsid w:val="00403F5F"/>
    <w:rsid w:val="00404264"/>
    <w:rsid w:val="00404477"/>
    <w:rsid w:val="00404DDF"/>
    <w:rsid w:val="00404E22"/>
    <w:rsid w:val="004056A9"/>
    <w:rsid w:val="00405775"/>
    <w:rsid w:val="00406770"/>
    <w:rsid w:val="00406B7C"/>
    <w:rsid w:val="00407191"/>
    <w:rsid w:val="00407333"/>
    <w:rsid w:val="0040797D"/>
    <w:rsid w:val="00410098"/>
    <w:rsid w:val="0041284E"/>
    <w:rsid w:val="00412CDE"/>
    <w:rsid w:val="0041337A"/>
    <w:rsid w:val="0041406F"/>
    <w:rsid w:val="004145D7"/>
    <w:rsid w:val="00414B1A"/>
    <w:rsid w:val="00415C98"/>
    <w:rsid w:val="00415CB4"/>
    <w:rsid w:val="00416842"/>
    <w:rsid w:val="00416BBA"/>
    <w:rsid w:val="00416E50"/>
    <w:rsid w:val="004171E2"/>
    <w:rsid w:val="00417654"/>
    <w:rsid w:val="00417D5F"/>
    <w:rsid w:val="00417D93"/>
    <w:rsid w:val="00417EBB"/>
    <w:rsid w:val="00417F52"/>
    <w:rsid w:val="00420348"/>
    <w:rsid w:val="0042068F"/>
    <w:rsid w:val="00420690"/>
    <w:rsid w:val="004211E9"/>
    <w:rsid w:val="0042174E"/>
    <w:rsid w:val="00422039"/>
    <w:rsid w:val="00422259"/>
    <w:rsid w:val="00422E16"/>
    <w:rsid w:val="0042329A"/>
    <w:rsid w:val="00423A21"/>
    <w:rsid w:val="00423E3B"/>
    <w:rsid w:val="00423F56"/>
    <w:rsid w:val="004246FF"/>
    <w:rsid w:val="00424A1A"/>
    <w:rsid w:val="00425151"/>
    <w:rsid w:val="0042605E"/>
    <w:rsid w:val="004261FF"/>
    <w:rsid w:val="004265DC"/>
    <w:rsid w:val="0042676A"/>
    <w:rsid w:val="00427177"/>
    <w:rsid w:val="004271A8"/>
    <w:rsid w:val="00427465"/>
    <w:rsid w:val="00427886"/>
    <w:rsid w:val="00427B31"/>
    <w:rsid w:val="00427DEA"/>
    <w:rsid w:val="004312B3"/>
    <w:rsid w:val="004313B5"/>
    <w:rsid w:val="00432960"/>
    <w:rsid w:val="00432CC9"/>
    <w:rsid w:val="00433353"/>
    <w:rsid w:val="004333BB"/>
    <w:rsid w:val="004337B7"/>
    <w:rsid w:val="0043404D"/>
    <w:rsid w:val="00434A48"/>
    <w:rsid w:val="00434B45"/>
    <w:rsid w:val="00434D32"/>
    <w:rsid w:val="004350E8"/>
    <w:rsid w:val="004357FD"/>
    <w:rsid w:val="0043594A"/>
    <w:rsid w:val="00435BE0"/>
    <w:rsid w:val="00435DCE"/>
    <w:rsid w:val="00435E24"/>
    <w:rsid w:val="00436290"/>
    <w:rsid w:val="00436667"/>
    <w:rsid w:val="00436706"/>
    <w:rsid w:val="0043681E"/>
    <w:rsid w:val="004370ED"/>
    <w:rsid w:val="0043713D"/>
    <w:rsid w:val="004372FF"/>
    <w:rsid w:val="00437495"/>
    <w:rsid w:val="004374E0"/>
    <w:rsid w:val="0043764A"/>
    <w:rsid w:val="00437A34"/>
    <w:rsid w:val="00437ACF"/>
    <w:rsid w:val="004418AA"/>
    <w:rsid w:val="00441941"/>
    <w:rsid w:val="00442660"/>
    <w:rsid w:val="004427F2"/>
    <w:rsid w:val="00442F97"/>
    <w:rsid w:val="00443A01"/>
    <w:rsid w:val="00443E7F"/>
    <w:rsid w:val="00443EA0"/>
    <w:rsid w:val="00444064"/>
    <w:rsid w:val="004446DA"/>
    <w:rsid w:val="00444999"/>
    <w:rsid w:val="004458F7"/>
    <w:rsid w:val="004463ED"/>
    <w:rsid w:val="004475F3"/>
    <w:rsid w:val="00447796"/>
    <w:rsid w:val="00447B9A"/>
    <w:rsid w:val="00447C71"/>
    <w:rsid w:val="00447F06"/>
    <w:rsid w:val="0045066D"/>
    <w:rsid w:val="00450766"/>
    <w:rsid w:val="004534B3"/>
    <w:rsid w:val="00453B38"/>
    <w:rsid w:val="00453FFA"/>
    <w:rsid w:val="004541E5"/>
    <w:rsid w:val="00454505"/>
    <w:rsid w:val="004550A8"/>
    <w:rsid w:val="0045677D"/>
    <w:rsid w:val="00456A10"/>
    <w:rsid w:val="00456BCC"/>
    <w:rsid w:val="00456ECF"/>
    <w:rsid w:val="004573A9"/>
    <w:rsid w:val="004573E1"/>
    <w:rsid w:val="00457AD6"/>
    <w:rsid w:val="00460B0D"/>
    <w:rsid w:val="0046126B"/>
    <w:rsid w:val="00461B81"/>
    <w:rsid w:val="00461DF2"/>
    <w:rsid w:val="00462FB4"/>
    <w:rsid w:val="00463038"/>
    <w:rsid w:val="0046326A"/>
    <w:rsid w:val="00463369"/>
    <w:rsid w:val="004635D3"/>
    <w:rsid w:val="00463FEA"/>
    <w:rsid w:val="0046479D"/>
    <w:rsid w:val="004648BE"/>
    <w:rsid w:val="00464E3E"/>
    <w:rsid w:val="00464EE4"/>
    <w:rsid w:val="0046507C"/>
    <w:rsid w:val="004652F1"/>
    <w:rsid w:val="0046537C"/>
    <w:rsid w:val="00465BB0"/>
    <w:rsid w:val="00465D1E"/>
    <w:rsid w:val="00465F44"/>
    <w:rsid w:val="00466D16"/>
    <w:rsid w:val="00466F41"/>
    <w:rsid w:val="0046741E"/>
    <w:rsid w:val="004675CD"/>
    <w:rsid w:val="00467B3A"/>
    <w:rsid w:val="00470C2A"/>
    <w:rsid w:val="00470CCD"/>
    <w:rsid w:val="00470EBA"/>
    <w:rsid w:val="0047119C"/>
    <w:rsid w:val="004712CF"/>
    <w:rsid w:val="00471EF7"/>
    <w:rsid w:val="004728B2"/>
    <w:rsid w:val="00472D3A"/>
    <w:rsid w:val="00473C8B"/>
    <w:rsid w:val="004747D8"/>
    <w:rsid w:val="00474955"/>
    <w:rsid w:val="004751E2"/>
    <w:rsid w:val="00475518"/>
    <w:rsid w:val="00475FF6"/>
    <w:rsid w:val="00476695"/>
    <w:rsid w:val="00477856"/>
    <w:rsid w:val="00477A38"/>
    <w:rsid w:val="00477D9B"/>
    <w:rsid w:val="004809ED"/>
    <w:rsid w:val="00480BBC"/>
    <w:rsid w:val="00480C28"/>
    <w:rsid w:val="00480C6D"/>
    <w:rsid w:val="00480EF6"/>
    <w:rsid w:val="00482752"/>
    <w:rsid w:val="00482B48"/>
    <w:rsid w:val="00483279"/>
    <w:rsid w:val="004837E0"/>
    <w:rsid w:val="004837F5"/>
    <w:rsid w:val="00483811"/>
    <w:rsid w:val="004838A7"/>
    <w:rsid w:val="0048450F"/>
    <w:rsid w:val="00484FFA"/>
    <w:rsid w:val="00485159"/>
    <w:rsid w:val="0048551E"/>
    <w:rsid w:val="004858D4"/>
    <w:rsid w:val="00485AAA"/>
    <w:rsid w:val="00485D9F"/>
    <w:rsid w:val="004861DB"/>
    <w:rsid w:val="00486BDD"/>
    <w:rsid w:val="00487183"/>
    <w:rsid w:val="00487427"/>
    <w:rsid w:val="00487CC0"/>
    <w:rsid w:val="00490187"/>
    <w:rsid w:val="0049116A"/>
    <w:rsid w:val="004914C3"/>
    <w:rsid w:val="00491D6D"/>
    <w:rsid w:val="0049228A"/>
    <w:rsid w:val="0049299D"/>
    <w:rsid w:val="00492CA5"/>
    <w:rsid w:val="00493039"/>
    <w:rsid w:val="00493E60"/>
    <w:rsid w:val="00494E1C"/>
    <w:rsid w:val="00495017"/>
    <w:rsid w:val="004951A2"/>
    <w:rsid w:val="004953F8"/>
    <w:rsid w:val="004957BE"/>
    <w:rsid w:val="00495F64"/>
    <w:rsid w:val="004962BF"/>
    <w:rsid w:val="00496DE4"/>
    <w:rsid w:val="00497587"/>
    <w:rsid w:val="004A1887"/>
    <w:rsid w:val="004A1F02"/>
    <w:rsid w:val="004A2452"/>
    <w:rsid w:val="004A2C0E"/>
    <w:rsid w:val="004A2E1A"/>
    <w:rsid w:val="004A3269"/>
    <w:rsid w:val="004A36A2"/>
    <w:rsid w:val="004A38AC"/>
    <w:rsid w:val="004A3B06"/>
    <w:rsid w:val="004A3FAB"/>
    <w:rsid w:val="004A514B"/>
    <w:rsid w:val="004A5226"/>
    <w:rsid w:val="004A532C"/>
    <w:rsid w:val="004A5992"/>
    <w:rsid w:val="004A62D6"/>
    <w:rsid w:val="004A665C"/>
    <w:rsid w:val="004A76FD"/>
    <w:rsid w:val="004B03AA"/>
    <w:rsid w:val="004B04DD"/>
    <w:rsid w:val="004B05B5"/>
    <w:rsid w:val="004B0873"/>
    <w:rsid w:val="004B121C"/>
    <w:rsid w:val="004B236F"/>
    <w:rsid w:val="004B29E1"/>
    <w:rsid w:val="004B3000"/>
    <w:rsid w:val="004B325A"/>
    <w:rsid w:val="004B3682"/>
    <w:rsid w:val="004B399E"/>
    <w:rsid w:val="004B3BCC"/>
    <w:rsid w:val="004B47E9"/>
    <w:rsid w:val="004B5787"/>
    <w:rsid w:val="004B5AA2"/>
    <w:rsid w:val="004B6247"/>
    <w:rsid w:val="004B64C6"/>
    <w:rsid w:val="004B6B43"/>
    <w:rsid w:val="004B738B"/>
    <w:rsid w:val="004B738E"/>
    <w:rsid w:val="004B7483"/>
    <w:rsid w:val="004B758D"/>
    <w:rsid w:val="004B77CF"/>
    <w:rsid w:val="004C04BA"/>
    <w:rsid w:val="004C06E2"/>
    <w:rsid w:val="004C13BD"/>
    <w:rsid w:val="004C19A4"/>
    <w:rsid w:val="004C1D6C"/>
    <w:rsid w:val="004C23BC"/>
    <w:rsid w:val="004C250F"/>
    <w:rsid w:val="004C2F52"/>
    <w:rsid w:val="004C343F"/>
    <w:rsid w:val="004C3F53"/>
    <w:rsid w:val="004C4074"/>
    <w:rsid w:val="004C6014"/>
    <w:rsid w:val="004C7DCA"/>
    <w:rsid w:val="004D0002"/>
    <w:rsid w:val="004D0983"/>
    <w:rsid w:val="004D1D4F"/>
    <w:rsid w:val="004D2338"/>
    <w:rsid w:val="004D2395"/>
    <w:rsid w:val="004D25FF"/>
    <w:rsid w:val="004D2E1D"/>
    <w:rsid w:val="004D30DB"/>
    <w:rsid w:val="004D409A"/>
    <w:rsid w:val="004D413D"/>
    <w:rsid w:val="004D4A56"/>
    <w:rsid w:val="004D4B23"/>
    <w:rsid w:val="004D54E0"/>
    <w:rsid w:val="004D5D4E"/>
    <w:rsid w:val="004D5E4B"/>
    <w:rsid w:val="004D6304"/>
    <w:rsid w:val="004D6CF8"/>
    <w:rsid w:val="004D751A"/>
    <w:rsid w:val="004D7537"/>
    <w:rsid w:val="004D7B34"/>
    <w:rsid w:val="004E0CE7"/>
    <w:rsid w:val="004E109A"/>
    <w:rsid w:val="004E1102"/>
    <w:rsid w:val="004E14EE"/>
    <w:rsid w:val="004E1BD4"/>
    <w:rsid w:val="004E1E28"/>
    <w:rsid w:val="004E215C"/>
    <w:rsid w:val="004E22C5"/>
    <w:rsid w:val="004E2455"/>
    <w:rsid w:val="004E2B48"/>
    <w:rsid w:val="004E2D91"/>
    <w:rsid w:val="004E4148"/>
    <w:rsid w:val="004E4261"/>
    <w:rsid w:val="004E4FE5"/>
    <w:rsid w:val="004E551D"/>
    <w:rsid w:val="004E5C94"/>
    <w:rsid w:val="004E6D4E"/>
    <w:rsid w:val="004E6D9F"/>
    <w:rsid w:val="004E7A9D"/>
    <w:rsid w:val="004E7EB2"/>
    <w:rsid w:val="004F1C02"/>
    <w:rsid w:val="004F2176"/>
    <w:rsid w:val="004F22C0"/>
    <w:rsid w:val="004F2523"/>
    <w:rsid w:val="004F25A4"/>
    <w:rsid w:val="004F3997"/>
    <w:rsid w:val="004F39C3"/>
    <w:rsid w:val="004F3EA0"/>
    <w:rsid w:val="004F5A1E"/>
    <w:rsid w:val="004F5F0C"/>
    <w:rsid w:val="004F64CE"/>
    <w:rsid w:val="004F69A8"/>
    <w:rsid w:val="00500498"/>
    <w:rsid w:val="0050053D"/>
    <w:rsid w:val="0050107F"/>
    <w:rsid w:val="0050145A"/>
    <w:rsid w:val="00501AE8"/>
    <w:rsid w:val="00502023"/>
    <w:rsid w:val="0050238E"/>
    <w:rsid w:val="005023BD"/>
    <w:rsid w:val="00503035"/>
    <w:rsid w:val="005035CF"/>
    <w:rsid w:val="005039C0"/>
    <w:rsid w:val="00504123"/>
    <w:rsid w:val="005042F9"/>
    <w:rsid w:val="00504CFA"/>
    <w:rsid w:val="00505179"/>
    <w:rsid w:val="0050522B"/>
    <w:rsid w:val="005055BD"/>
    <w:rsid w:val="0050600D"/>
    <w:rsid w:val="00506521"/>
    <w:rsid w:val="0050772A"/>
    <w:rsid w:val="00511F9C"/>
    <w:rsid w:val="005123E3"/>
    <w:rsid w:val="00512879"/>
    <w:rsid w:val="00512BF0"/>
    <w:rsid w:val="00512CD9"/>
    <w:rsid w:val="005138F3"/>
    <w:rsid w:val="00513F6A"/>
    <w:rsid w:val="0051522D"/>
    <w:rsid w:val="0051554B"/>
    <w:rsid w:val="00515569"/>
    <w:rsid w:val="00515640"/>
    <w:rsid w:val="005157F4"/>
    <w:rsid w:val="00515D05"/>
    <w:rsid w:val="00516471"/>
    <w:rsid w:val="005167B6"/>
    <w:rsid w:val="00517103"/>
    <w:rsid w:val="00517290"/>
    <w:rsid w:val="005175CB"/>
    <w:rsid w:val="00517A5C"/>
    <w:rsid w:val="00517E49"/>
    <w:rsid w:val="0052038E"/>
    <w:rsid w:val="00520FA0"/>
    <w:rsid w:val="00521411"/>
    <w:rsid w:val="00521AF6"/>
    <w:rsid w:val="0052273A"/>
    <w:rsid w:val="005228E7"/>
    <w:rsid w:val="00522B61"/>
    <w:rsid w:val="00523373"/>
    <w:rsid w:val="00523516"/>
    <w:rsid w:val="00523819"/>
    <w:rsid w:val="005239EC"/>
    <w:rsid w:val="00524174"/>
    <w:rsid w:val="00524385"/>
    <w:rsid w:val="00524DAA"/>
    <w:rsid w:val="00524F3E"/>
    <w:rsid w:val="0052542D"/>
    <w:rsid w:val="0052756D"/>
    <w:rsid w:val="00527598"/>
    <w:rsid w:val="005279FC"/>
    <w:rsid w:val="00527BAD"/>
    <w:rsid w:val="005308ED"/>
    <w:rsid w:val="005310D7"/>
    <w:rsid w:val="00531597"/>
    <w:rsid w:val="00531682"/>
    <w:rsid w:val="00531F2A"/>
    <w:rsid w:val="0053240D"/>
    <w:rsid w:val="0053389E"/>
    <w:rsid w:val="00533E1C"/>
    <w:rsid w:val="00534632"/>
    <w:rsid w:val="00534DA1"/>
    <w:rsid w:val="0053583D"/>
    <w:rsid w:val="00536C0D"/>
    <w:rsid w:val="005374D3"/>
    <w:rsid w:val="00540B8D"/>
    <w:rsid w:val="00540C26"/>
    <w:rsid w:val="00540FC7"/>
    <w:rsid w:val="005425E7"/>
    <w:rsid w:val="0054345E"/>
    <w:rsid w:val="00543639"/>
    <w:rsid w:val="00543A73"/>
    <w:rsid w:val="00543BCA"/>
    <w:rsid w:val="005442DC"/>
    <w:rsid w:val="00545814"/>
    <w:rsid w:val="00546518"/>
    <w:rsid w:val="00546F03"/>
    <w:rsid w:val="00550540"/>
    <w:rsid w:val="005505F4"/>
    <w:rsid w:val="00550AB6"/>
    <w:rsid w:val="00553D55"/>
    <w:rsid w:val="00553E47"/>
    <w:rsid w:val="005540C7"/>
    <w:rsid w:val="005545E6"/>
    <w:rsid w:val="005547FE"/>
    <w:rsid w:val="00554D7A"/>
    <w:rsid w:val="00554E08"/>
    <w:rsid w:val="00556007"/>
    <w:rsid w:val="00556065"/>
    <w:rsid w:val="00556526"/>
    <w:rsid w:val="00556676"/>
    <w:rsid w:val="005566F8"/>
    <w:rsid w:val="00556ED7"/>
    <w:rsid w:val="0055782F"/>
    <w:rsid w:val="0056088A"/>
    <w:rsid w:val="00561873"/>
    <w:rsid w:val="00561A0A"/>
    <w:rsid w:val="0056200A"/>
    <w:rsid w:val="005621FC"/>
    <w:rsid w:val="00562574"/>
    <w:rsid w:val="00562598"/>
    <w:rsid w:val="00562865"/>
    <w:rsid w:val="0056293C"/>
    <w:rsid w:val="00562F56"/>
    <w:rsid w:val="00563007"/>
    <w:rsid w:val="00563516"/>
    <w:rsid w:val="005635A0"/>
    <w:rsid w:val="00563C56"/>
    <w:rsid w:val="00563E45"/>
    <w:rsid w:val="00563E98"/>
    <w:rsid w:val="005640B1"/>
    <w:rsid w:val="005640D9"/>
    <w:rsid w:val="00564BEE"/>
    <w:rsid w:val="00564C0D"/>
    <w:rsid w:val="00564F82"/>
    <w:rsid w:val="00565355"/>
    <w:rsid w:val="005662D4"/>
    <w:rsid w:val="005665B6"/>
    <w:rsid w:val="005670A3"/>
    <w:rsid w:val="00567303"/>
    <w:rsid w:val="00567497"/>
    <w:rsid w:val="00567DC2"/>
    <w:rsid w:val="00567EF8"/>
    <w:rsid w:val="00567FEF"/>
    <w:rsid w:val="005705AD"/>
    <w:rsid w:val="005713A6"/>
    <w:rsid w:val="005719BD"/>
    <w:rsid w:val="00571C92"/>
    <w:rsid w:val="00572323"/>
    <w:rsid w:val="0057242F"/>
    <w:rsid w:val="00572DCB"/>
    <w:rsid w:val="00572DF1"/>
    <w:rsid w:val="00573350"/>
    <w:rsid w:val="00573EDF"/>
    <w:rsid w:val="005743D8"/>
    <w:rsid w:val="00575021"/>
    <w:rsid w:val="00575A7D"/>
    <w:rsid w:val="00575B76"/>
    <w:rsid w:val="0057607A"/>
    <w:rsid w:val="0057641E"/>
    <w:rsid w:val="0057679E"/>
    <w:rsid w:val="00576A50"/>
    <w:rsid w:val="00576EB3"/>
    <w:rsid w:val="0057748F"/>
    <w:rsid w:val="00580647"/>
    <w:rsid w:val="005806C6"/>
    <w:rsid w:val="00580947"/>
    <w:rsid w:val="00580C6D"/>
    <w:rsid w:val="00581509"/>
    <w:rsid w:val="00581D80"/>
    <w:rsid w:val="0058270E"/>
    <w:rsid w:val="005829F9"/>
    <w:rsid w:val="005838AB"/>
    <w:rsid w:val="0058441E"/>
    <w:rsid w:val="005845E8"/>
    <w:rsid w:val="00584861"/>
    <w:rsid w:val="00585068"/>
    <w:rsid w:val="005850EF"/>
    <w:rsid w:val="00585814"/>
    <w:rsid w:val="00585CD8"/>
    <w:rsid w:val="005861B1"/>
    <w:rsid w:val="00587414"/>
    <w:rsid w:val="00587CD1"/>
    <w:rsid w:val="00590EC2"/>
    <w:rsid w:val="00591044"/>
    <w:rsid w:val="00591988"/>
    <w:rsid w:val="00591E07"/>
    <w:rsid w:val="00591E1E"/>
    <w:rsid w:val="00592B26"/>
    <w:rsid w:val="00592C05"/>
    <w:rsid w:val="00592D8F"/>
    <w:rsid w:val="005933EC"/>
    <w:rsid w:val="00593601"/>
    <w:rsid w:val="00593743"/>
    <w:rsid w:val="005939A4"/>
    <w:rsid w:val="00595299"/>
    <w:rsid w:val="00595BE7"/>
    <w:rsid w:val="00595D0B"/>
    <w:rsid w:val="00596143"/>
    <w:rsid w:val="005966FC"/>
    <w:rsid w:val="00596EF0"/>
    <w:rsid w:val="0059721D"/>
    <w:rsid w:val="005A0D7D"/>
    <w:rsid w:val="005A0FC8"/>
    <w:rsid w:val="005A1ABC"/>
    <w:rsid w:val="005A1C29"/>
    <w:rsid w:val="005A2041"/>
    <w:rsid w:val="005A2055"/>
    <w:rsid w:val="005A2D0E"/>
    <w:rsid w:val="005A2DE9"/>
    <w:rsid w:val="005A3105"/>
    <w:rsid w:val="005A339A"/>
    <w:rsid w:val="005A3DB0"/>
    <w:rsid w:val="005A3DB4"/>
    <w:rsid w:val="005A431B"/>
    <w:rsid w:val="005A4A23"/>
    <w:rsid w:val="005A4EB9"/>
    <w:rsid w:val="005A588B"/>
    <w:rsid w:val="005A5920"/>
    <w:rsid w:val="005A776A"/>
    <w:rsid w:val="005A7FE8"/>
    <w:rsid w:val="005B05D1"/>
    <w:rsid w:val="005B0F8A"/>
    <w:rsid w:val="005B127F"/>
    <w:rsid w:val="005B1994"/>
    <w:rsid w:val="005B1A51"/>
    <w:rsid w:val="005B1A7E"/>
    <w:rsid w:val="005B2622"/>
    <w:rsid w:val="005B2A9B"/>
    <w:rsid w:val="005B2B7B"/>
    <w:rsid w:val="005B30FE"/>
    <w:rsid w:val="005B39D9"/>
    <w:rsid w:val="005B42A9"/>
    <w:rsid w:val="005B4712"/>
    <w:rsid w:val="005B4B16"/>
    <w:rsid w:val="005B4BCF"/>
    <w:rsid w:val="005B5067"/>
    <w:rsid w:val="005B50C3"/>
    <w:rsid w:val="005B550D"/>
    <w:rsid w:val="005B5BC1"/>
    <w:rsid w:val="005B6235"/>
    <w:rsid w:val="005B6328"/>
    <w:rsid w:val="005B6DF9"/>
    <w:rsid w:val="005B7242"/>
    <w:rsid w:val="005B7BE5"/>
    <w:rsid w:val="005B7C63"/>
    <w:rsid w:val="005B7F40"/>
    <w:rsid w:val="005C0E56"/>
    <w:rsid w:val="005C25F4"/>
    <w:rsid w:val="005C3097"/>
    <w:rsid w:val="005C374C"/>
    <w:rsid w:val="005C389B"/>
    <w:rsid w:val="005C569A"/>
    <w:rsid w:val="005C5CE8"/>
    <w:rsid w:val="005C5D06"/>
    <w:rsid w:val="005C5F42"/>
    <w:rsid w:val="005C78A8"/>
    <w:rsid w:val="005D0713"/>
    <w:rsid w:val="005D0BCA"/>
    <w:rsid w:val="005D164C"/>
    <w:rsid w:val="005D1841"/>
    <w:rsid w:val="005D1A80"/>
    <w:rsid w:val="005D26D7"/>
    <w:rsid w:val="005D295D"/>
    <w:rsid w:val="005D29A9"/>
    <w:rsid w:val="005D2AB6"/>
    <w:rsid w:val="005D2E89"/>
    <w:rsid w:val="005D2F9D"/>
    <w:rsid w:val="005D3BFB"/>
    <w:rsid w:val="005D4043"/>
    <w:rsid w:val="005D4D8D"/>
    <w:rsid w:val="005D4E83"/>
    <w:rsid w:val="005D5F23"/>
    <w:rsid w:val="005D6354"/>
    <w:rsid w:val="005D63FC"/>
    <w:rsid w:val="005D662B"/>
    <w:rsid w:val="005D6971"/>
    <w:rsid w:val="005D6C20"/>
    <w:rsid w:val="005D775D"/>
    <w:rsid w:val="005D7847"/>
    <w:rsid w:val="005D796B"/>
    <w:rsid w:val="005D7D7F"/>
    <w:rsid w:val="005E0FF9"/>
    <w:rsid w:val="005E214F"/>
    <w:rsid w:val="005E2B8F"/>
    <w:rsid w:val="005E3390"/>
    <w:rsid w:val="005E42E9"/>
    <w:rsid w:val="005E45CE"/>
    <w:rsid w:val="005E4AAC"/>
    <w:rsid w:val="005E53A6"/>
    <w:rsid w:val="005E5AFE"/>
    <w:rsid w:val="005E7DE8"/>
    <w:rsid w:val="005F0F0B"/>
    <w:rsid w:val="005F1A22"/>
    <w:rsid w:val="005F1B4D"/>
    <w:rsid w:val="005F1D95"/>
    <w:rsid w:val="005F229D"/>
    <w:rsid w:val="005F30F4"/>
    <w:rsid w:val="005F313E"/>
    <w:rsid w:val="005F34EA"/>
    <w:rsid w:val="005F38B3"/>
    <w:rsid w:val="005F3C9B"/>
    <w:rsid w:val="005F406C"/>
    <w:rsid w:val="005F4404"/>
    <w:rsid w:val="005F467D"/>
    <w:rsid w:val="005F483E"/>
    <w:rsid w:val="005F5A47"/>
    <w:rsid w:val="005F5A9A"/>
    <w:rsid w:val="005F68B4"/>
    <w:rsid w:val="005F6971"/>
    <w:rsid w:val="005F6CBD"/>
    <w:rsid w:val="005F6D45"/>
    <w:rsid w:val="005F7E62"/>
    <w:rsid w:val="00600474"/>
    <w:rsid w:val="006010E2"/>
    <w:rsid w:val="006012E1"/>
    <w:rsid w:val="00601767"/>
    <w:rsid w:val="00601F0D"/>
    <w:rsid w:val="006023DB"/>
    <w:rsid w:val="006024B1"/>
    <w:rsid w:val="006024E7"/>
    <w:rsid w:val="00603000"/>
    <w:rsid w:val="006035BC"/>
    <w:rsid w:val="006042CE"/>
    <w:rsid w:val="00604BB7"/>
    <w:rsid w:val="0060580B"/>
    <w:rsid w:val="00605D33"/>
    <w:rsid w:val="0060639A"/>
    <w:rsid w:val="006063DC"/>
    <w:rsid w:val="006067CA"/>
    <w:rsid w:val="0060696B"/>
    <w:rsid w:val="00606F70"/>
    <w:rsid w:val="00607A46"/>
    <w:rsid w:val="00607FCB"/>
    <w:rsid w:val="00610341"/>
    <w:rsid w:val="00610372"/>
    <w:rsid w:val="00610813"/>
    <w:rsid w:val="00610984"/>
    <w:rsid w:val="006109C2"/>
    <w:rsid w:val="006111EC"/>
    <w:rsid w:val="00611BFA"/>
    <w:rsid w:val="0061204A"/>
    <w:rsid w:val="00612F9B"/>
    <w:rsid w:val="00612FFA"/>
    <w:rsid w:val="00613AE0"/>
    <w:rsid w:val="00613CE0"/>
    <w:rsid w:val="00613E9C"/>
    <w:rsid w:val="00615571"/>
    <w:rsid w:val="00615D26"/>
    <w:rsid w:val="006160AF"/>
    <w:rsid w:val="00616460"/>
    <w:rsid w:val="00616941"/>
    <w:rsid w:val="0061772D"/>
    <w:rsid w:val="00617741"/>
    <w:rsid w:val="00621202"/>
    <w:rsid w:val="006221B8"/>
    <w:rsid w:val="006222F7"/>
    <w:rsid w:val="006223F5"/>
    <w:rsid w:val="00622660"/>
    <w:rsid w:val="00622B28"/>
    <w:rsid w:val="00623944"/>
    <w:rsid w:val="00624915"/>
    <w:rsid w:val="00624CA1"/>
    <w:rsid w:val="00625661"/>
    <w:rsid w:val="00626081"/>
    <w:rsid w:val="006262D3"/>
    <w:rsid w:val="006269AC"/>
    <w:rsid w:val="006305CD"/>
    <w:rsid w:val="00630BC1"/>
    <w:rsid w:val="00631330"/>
    <w:rsid w:val="00631F76"/>
    <w:rsid w:val="00632008"/>
    <w:rsid w:val="00633402"/>
    <w:rsid w:val="00633A56"/>
    <w:rsid w:val="00633EF5"/>
    <w:rsid w:val="006343A1"/>
    <w:rsid w:val="00634637"/>
    <w:rsid w:val="00634B88"/>
    <w:rsid w:val="006350E6"/>
    <w:rsid w:val="00635886"/>
    <w:rsid w:val="00636586"/>
    <w:rsid w:val="006367A8"/>
    <w:rsid w:val="00637CE1"/>
    <w:rsid w:val="006401B6"/>
    <w:rsid w:val="006401E5"/>
    <w:rsid w:val="0064106E"/>
    <w:rsid w:val="006413E4"/>
    <w:rsid w:val="00641DA3"/>
    <w:rsid w:val="00641F69"/>
    <w:rsid w:val="00642197"/>
    <w:rsid w:val="006422B1"/>
    <w:rsid w:val="00642612"/>
    <w:rsid w:val="00643C4E"/>
    <w:rsid w:val="00644361"/>
    <w:rsid w:val="00644ECB"/>
    <w:rsid w:val="00645F4F"/>
    <w:rsid w:val="00646473"/>
    <w:rsid w:val="0064648C"/>
    <w:rsid w:val="00646EE2"/>
    <w:rsid w:val="0065077D"/>
    <w:rsid w:val="00650C05"/>
    <w:rsid w:val="006511A3"/>
    <w:rsid w:val="00651C43"/>
    <w:rsid w:val="006523F0"/>
    <w:rsid w:val="00652545"/>
    <w:rsid w:val="0065264E"/>
    <w:rsid w:val="00652B08"/>
    <w:rsid w:val="00653704"/>
    <w:rsid w:val="00653B30"/>
    <w:rsid w:val="006541F7"/>
    <w:rsid w:val="0065429D"/>
    <w:rsid w:val="0065501F"/>
    <w:rsid w:val="0065591D"/>
    <w:rsid w:val="006562E0"/>
    <w:rsid w:val="006564EF"/>
    <w:rsid w:val="0065797E"/>
    <w:rsid w:val="00657D67"/>
    <w:rsid w:val="006603BE"/>
    <w:rsid w:val="00660D49"/>
    <w:rsid w:val="00661782"/>
    <w:rsid w:val="00662619"/>
    <w:rsid w:val="00662725"/>
    <w:rsid w:val="00662745"/>
    <w:rsid w:val="00662939"/>
    <w:rsid w:val="00662FA7"/>
    <w:rsid w:val="00664599"/>
    <w:rsid w:val="006645DD"/>
    <w:rsid w:val="006646E7"/>
    <w:rsid w:val="006649E3"/>
    <w:rsid w:val="00664C9C"/>
    <w:rsid w:val="00664E91"/>
    <w:rsid w:val="00664F16"/>
    <w:rsid w:val="006657DC"/>
    <w:rsid w:val="00665935"/>
    <w:rsid w:val="00665EC4"/>
    <w:rsid w:val="0066624D"/>
    <w:rsid w:val="00666ABB"/>
    <w:rsid w:val="00666CE5"/>
    <w:rsid w:val="00666F58"/>
    <w:rsid w:val="00667E19"/>
    <w:rsid w:val="00671980"/>
    <w:rsid w:val="006725A6"/>
    <w:rsid w:val="00672615"/>
    <w:rsid w:val="00672B09"/>
    <w:rsid w:val="00673942"/>
    <w:rsid w:val="00674B79"/>
    <w:rsid w:val="006768AC"/>
    <w:rsid w:val="00680891"/>
    <w:rsid w:val="00680A0A"/>
    <w:rsid w:val="00680CD7"/>
    <w:rsid w:val="006813F8"/>
    <w:rsid w:val="00681C31"/>
    <w:rsid w:val="00681E64"/>
    <w:rsid w:val="00681F1B"/>
    <w:rsid w:val="006821F7"/>
    <w:rsid w:val="00684D9A"/>
    <w:rsid w:val="0068621E"/>
    <w:rsid w:val="00686CBB"/>
    <w:rsid w:val="00686D94"/>
    <w:rsid w:val="00687B81"/>
    <w:rsid w:val="00690EB2"/>
    <w:rsid w:val="00691BCD"/>
    <w:rsid w:val="00691D5D"/>
    <w:rsid w:val="006924BB"/>
    <w:rsid w:val="00693C79"/>
    <w:rsid w:val="006941A6"/>
    <w:rsid w:val="0069423E"/>
    <w:rsid w:val="00694755"/>
    <w:rsid w:val="00694B00"/>
    <w:rsid w:val="0069507F"/>
    <w:rsid w:val="0069543E"/>
    <w:rsid w:val="00695A4A"/>
    <w:rsid w:val="00695C8B"/>
    <w:rsid w:val="00695FBE"/>
    <w:rsid w:val="0069653D"/>
    <w:rsid w:val="00697FA1"/>
    <w:rsid w:val="006A08CA"/>
    <w:rsid w:val="006A09DE"/>
    <w:rsid w:val="006A0F3E"/>
    <w:rsid w:val="006A1AC6"/>
    <w:rsid w:val="006A1D03"/>
    <w:rsid w:val="006A1E81"/>
    <w:rsid w:val="006A20CD"/>
    <w:rsid w:val="006A2800"/>
    <w:rsid w:val="006A2FBE"/>
    <w:rsid w:val="006A36FB"/>
    <w:rsid w:val="006A44C5"/>
    <w:rsid w:val="006A45E4"/>
    <w:rsid w:val="006A4F36"/>
    <w:rsid w:val="006A59B3"/>
    <w:rsid w:val="006A5C9A"/>
    <w:rsid w:val="006A5E25"/>
    <w:rsid w:val="006A5F36"/>
    <w:rsid w:val="006A64E1"/>
    <w:rsid w:val="006A7011"/>
    <w:rsid w:val="006A760F"/>
    <w:rsid w:val="006A77F4"/>
    <w:rsid w:val="006A7DFB"/>
    <w:rsid w:val="006B004F"/>
    <w:rsid w:val="006B0A2A"/>
    <w:rsid w:val="006B0D11"/>
    <w:rsid w:val="006B1231"/>
    <w:rsid w:val="006B132D"/>
    <w:rsid w:val="006B13C7"/>
    <w:rsid w:val="006B2541"/>
    <w:rsid w:val="006B2B8F"/>
    <w:rsid w:val="006B2E65"/>
    <w:rsid w:val="006B3B82"/>
    <w:rsid w:val="006B4296"/>
    <w:rsid w:val="006B4A5F"/>
    <w:rsid w:val="006B5D50"/>
    <w:rsid w:val="006B63E8"/>
    <w:rsid w:val="006B63ED"/>
    <w:rsid w:val="006B6A8C"/>
    <w:rsid w:val="006B7062"/>
    <w:rsid w:val="006B7131"/>
    <w:rsid w:val="006B751B"/>
    <w:rsid w:val="006B789E"/>
    <w:rsid w:val="006C0637"/>
    <w:rsid w:val="006C0761"/>
    <w:rsid w:val="006C08A0"/>
    <w:rsid w:val="006C1085"/>
    <w:rsid w:val="006C13C7"/>
    <w:rsid w:val="006C2948"/>
    <w:rsid w:val="006C2AEA"/>
    <w:rsid w:val="006C3347"/>
    <w:rsid w:val="006C3854"/>
    <w:rsid w:val="006C388C"/>
    <w:rsid w:val="006C39A6"/>
    <w:rsid w:val="006C4EC7"/>
    <w:rsid w:val="006C53CD"/>
    <w:rsid w:val="006C5B33"/>
    <w:rsid w:val="006C66FA"/>
    <w:rsid w:val="006C7438"/>
    <w:rsid w:val="006C7786"/>
    <w:rsid w:val="006D032F"/>
    <w:rsid w:val="006D036D"/>
    <w:rsid w:val="006D0C30"/>
    <w:rsid w:val="006D10A0"/>
    <w:rsid w:val="006D2504"/>
    <w:rsid w:val="006D25DB"/>
    <w:rsid w:val="006D28E7"/>
    <w:rsid w:val="006D2A8A"/>
    <w:rsid w:val="006D2BC2"/>
    <w:rsid w:val="006D2C2D"/>
    <w:rsid w:val="006D2EAC"/>
    <w:rsid w:val="006D38DD"/>
    <w:rsid w:val="006D40D5"/>
    <w:rsid w:val="006D41E4"/>
    <w:rsid w:val="006D4320"/>
    <w:rsid w:val="006D4757"/>
    <w:rsid w:val="006D50D5"/>
    <w:rsid w:val="006D536F"/>
    <w:rsid w:val="006D56D0"/>
    <w:rsid w:val="006D64FB"/>
    <w:rsid w:val="006D66CA"/>
    <w:rsid w:val="006D6A60"/>
    <w:rsid w:val="006D6DE6"/>
    <w:rsid w:val="006D73C0"/>
    <w:rsid w:val="006D7770"/>
    <w:rsid w:val="006D7D07"/>
    <w:rsid w:val="006E06EE"/>
    <w:rsid w:val="006E091E"/>
    <w:rsid w:val="006E13D0"/>
    <w:rsid w:val="006E1432"/>
    <w:rsid w:val="006E16DF"/>
    <w:rsid w:val="006E172D"/>
    <w:rsid w:val="006E1819"/>
    <w:rsid w:val="006E188C"/>
    <w:rsid w:val="006E2E30"/>
    <w:rsid w:val="006E34EE"/>
    <w:rsid w:val="006E3855"/>
    <w:rsid w:val="006E3997"/>
    <w:rsid w:val="006E3B6E"/>
    <w:rsid w:val="006E3D34"/>
    <w:rsid w:val="006E3F2D"/>
    <w:rsid w:val="006E3F99"/>
    <w:rsid w:val="006E4AEC"/>
    <w:rsid w:val="006E57DA"/>
    <w:rsid w:val="006E58E3"/>
    <w:rsid w:val="006E624F"/>
    <w:rsid w:val="006E695B"/>
    <w:rsid w:val="006E6AEF"/>
    <w:rsid w:val="006F0666"/>
    <w:rsid w:val="006F1091"/>
    <w:rsid w:val="006F17A0"/>
    <w:rsid w:val="006F31BE"/>
    <w:rsid w:val="006F3293"/>
    <w:rsid w:val="006F33E6"/>
    <w:rsid w:val="006F3F63"/>
    <w:rsid w:val="006F4395"/>
    <w:rsid w:val="006F4C85"/>
    <w:rsid w:val="006F573C"/>
    <w:rsid w:val="006F57E9"/>
    <w:rsid w:val="006F5A0D"/>
    <w:rsid w:val="006F63E7"/>
    <w:rsid w:val="006F6A7B"/>
    <w:rsid w:val="006F763F"/>
    <w:rsid w:val="006F785A"/>
    <w:rsid w:val="007000F9"/>
    <w:rsid w:val="0070036A"/>
    <w:rsid w:val="007010A9"/>
    <w:rsid w:val="0070253C"/>
    <w:rsid w:val="0070385A"/>
    <w:rsid w:val="00703869"/>
    <w:rsid w:val="007038B5"/>
    <w:rsid w:val="007043AF"/>
    <w:rsid w:val="00704425"/>
    <w:rsid w:val="00705102"/>
    <w:rsid w:val="0070549D"/>
    <w:rsid w:val="00706151"/>
    <w:rsid w:val="007076BC"/>
    <w:rsid w:val="00707E97"/>
    <w:rsid w:val="00710668"/>
    <w:rsid w:val="007111D6"/>
    <w:rsid w:val="007113B2"/>
    <w:rsid w:val="0071161C"/>
    <w:rsid w:val="00711898"/>
    <w:rsid w:val="00712F2D"/>
    <w:rsid w:val="00713282"/>
    <w:rsid w:val="007155EF"/>
    <w:rsid w:val="00715DAB"/>
    <w:rsid w:val="007166A5"/>
    <w:rsid w:val="00716BD1"/>
    <w:rsid w:val="00716C41"/>
    <w:rsid w:val="00716D35"/>
    <w:rsid w:val="00716F63"/>
    <w:rsid w:val="00717300"/>
    <w:rsid w:val="00717672"/>
    <w:rsid w:val="00717A07"/>
    <w:rsid w:val="007203AD"/>
    <w:rsid w:val="007205D4"/>
    <w:rsid w:val="0072096D"/>
    <w:rsid w:val="00720A2E"/>
    <w:rsid w:val="00720FB9"/>
    <w:rsid w:val="0072155D"/>
    <w:rsid w:val="00722220"/>
    <w:rsid w:val="00722B97"/>
    <w:rsid w:val="007231F5"/>
    <w:rsid w:val="007240DA"/>
    <w:rsid w:val="00724BC5"/>
    <w:rsid w:val="0072535C"/>
    <w:rsid w:val="00725FF2"/>
    <w:rsid w:val="00726F01"/>
    <w:rsid w:val="00726FD9"/>
    <w:rsid w:val="007271CE"/>
    <w:rsid w:val="00730012"/>
    <w:rsid w:val="00730C26"/>
    <w:rsid w:val="007310BF"/>
    <w:rsid w:val="0073133A"/>
    <w:rsid w:val="00731815"/>
    <w:rsid w:val="00731AAD"/>
    <w:rsid w:val="00732465"/>
    <w:rsid w:val="00732BBD"/>
    <w:rsid w:val="00733D49"/>
    <w:rsid w:val="007343D2"/>
    <w:rsid w:val="00734652"/>
    <w:rsid w:val="00735081"/>
    <w:rsid w:val="00735149"/>
    <w:rsid w:val="0073564F"/>
    <w:rsid w:val="00735FB9"/>
    <w:rsid w:val="00736AE7"/>
    <w:rsid w:val="007373BF"/>
    <w:rsid w:val="00737578"/>
    <w:rsid w:val="00737888"/>
    <w:rsid w:val="00737B5E"/>
    <w:rsid w:val="0074011D"/>
    <w:rsid w:val="00740763"/>
    <w:rsid w:val="007409CA"/>
    <w:rsid w:val="00740AE2"/>
    <w:rsid w:val="00740D44"/>
    <w:rsid w:val="007410B1"/>
    <w:rsid w:val="00741467"/>
    <w:rsid w:val="007417A7"/>
    <w:rsid w:val="00741E1C"/>
    <w:rsid w:val="00742262"/>
    <w:rsid w:val="00742367"/>
    <w:rsid w:val="007426E6"/>
    <w:rsid w:val="00743002"/>
    <w:rsid w:val="0074488F"/>
    <w:rsid w:val="00744F88"/>
    <w:rsid w:val="007450CE"/>
    <w:rsid w:val="00745339"/>
    <w:rsid w:val="007458AE"/>
    <w:rsid w:val="00745B5A"/>
    <w:rsid w:val="00746031"/>
    <w:rsid w:val="00746C6C"/>
    <w:rsid w:val="00746DBE"/>
    <w:rsid w:val="007473D7"/>
    <w:rsid w:val="00747F88"/>
    <w:rsid w:val="007503A5"/>
    <w:rsid w:val="007506AC"/>
    <w:rsid w:val="0075076C"/>
    <w:rsid w:val="007507A5"/>
    <w:rsid w:val="007509A4"/>
    <w:rsid w:val="00750EF1"/>
    <w:rsid w:val="00751399"/>
    <w:rsid w:val="00751E88"/>
    <w:rsid w:val="00752570"/>
    <w:rsid w:val="00753404"/>
    <w:rsid w:val="007536B6"/>
    <w:rsid w:val="00754209"/>
    <w:rsid w:val="00754514"/>
    <w:rsid w:val="007550D1"/>
    <w:rsid w:val="00755582"/>
    <w:rsid w:val="00757300"/>
    <w:rsid w:val="007605E8"/>
    <w:rsid w:val="0076094D"/>
    <w:rsid w:val="00761A4A"/>
    <w:rsid w:val="00761A91"/>
    <w:rsid w:val="0076210C"/>
    <w:rsid w:val="007622EF"/>
    <w:rsid w:val="007627F4"/>
    <w:rsid w:val="007628A0"/>
    <w:rsid w:val="00762E39"/>
    <w:rsid w:val="0076388B"/>
    <w:rsid w:val="007639BF"/>
    <w:rsid w:val="00763A08"/>
    <w:rsid w:val="007642FB"/>
    <w:rsid w:val="00764789"/>
    <w:rsid w:val="00764912"/>
    <w:rsid w:val="00764E37"/>
    <w:rsid w:val="007662D3"/>
    <w:rsid w:val="007663E2"/>
    <w:rsid w:val="00766589"/>
    <w:rsid w:val="007667E1"/>
    <w:rsid w:val="007674A5"/>
    <w:rsid w:val="007675FF"/>
    <w:rsid w:val="00767780"/>
    <w:rsid w:val="00770ED4"/>
    <w:rsid w:val="0077106F"/>
    <w:rsid w:val="00772113"/>
    <w:rsid w:val="00772B39"/>
    <w:rsid w:val="00772DC0"/>
    <w:rsid w:val="00772EE0"/>
    <w:rsid w:val="00773153"/>
    <w:rsid w:val="0077327F"/>
    <w:rsid w:val="00773342"/>
    <w:rsid w:val="007739CB"/>
    <w:rsid w:val="00774F8C"/>
    <w:rsid w:val="00774FFF"/>
    <w:rsid w:val="0077553F"/>
    <w:rsid w:val="00775866"/>
    <w:rsid w:val="00775B0D"/>
    <w:rsid w:val="007760ED"/>
    <w:rsid w:val="00776411"/>
    <w:rsid w:val="00776844"/>
    <w:rsid w:val="00776D43"/>
    <w:rsid w:val="00777384"/>
    <w:rsid w:val="00777581"/>
    <w:rsid w:val="00777A7D"/>
    <w:rsid w:val="007807CB"/>
    <w:rsid w:val="00780C8E"/>
    <w:rsid w:val="007817F5"/>
    <w:rsid w:val="0078246C"/>
    <w:rsid w:val="00782609"/>
    <w:rsid w:val="00783AB4"/>
    <w:rsid w:val="007840BB"/>
    <w:rsid w:val="00784262"/>
    <w:rsid w:val="00784306"/>
    <w:rsid w:val="00784494"/>
    <w:rsid w:val="0078527A"/>
    <w:rsid w:val="00785578"/>
    <w:rsid w:val="00785F80"/>
    <w:rsid w:val="00785F95"/>
    <w:rsid w:val="0078636F"/>
    <w:rsid w:val="0078684B"/>
    <w:rsid w:val="00787D5F"/>
    <w:rsid w:val="007901FC"/>
    <w:rsid w:val="00790646"/>
    <w:rsid w:val="0079125E"/>
    <w:rsid w:val="00791657"/>
    <w:rsid w:val="00791E76"/>
    <w:rsid w:val="00792331"/>
    <w:rsid w:val="007924DF"/>
    <w:rsid w:val="00795B9B"/>
    <w:rsid w:val="0079728B"/>
    <w:rsid w:val="00797AED"/>
    <w:rsid w:val="00797DF5"/>
    <w:rsid w:val="007A0528"/>
    <w:rsid w:val="007A1072"/>
    <w:rsid w:val="007A1C40"/>
    <w:rsid w:val="007A2A7D"/>
    <w:rsid w:val="007A386C"/>
    <w:rsid w:val="007A53C7"/>
    <w:rsid w:val="007A563C"/>
    <w:rsid w:val="007A5A25"/>
    <w:rsid w:val="007A6625"/>
    <w:rsid w:val="007A66B4"/>
    <w:rsid w:val="007A7155"/>
    <w:rsid w:val="007A74C0"/>
    <w:rsid w:val="007A783B"/>
    <w:rsid w:val="007B02F2"/>
    <w:rsid w:val="007B043E"/>
    <w:rsid w:val="007B04FD"/>
    <w:rsid w:val="007B0B9E"/>
    <w:rsid w:val="007B0D2F"/>
    <w:rsid w:val="007B1055"/>
    <w:rsid w:val="007B1481"/>
    <w:rsid w:val="007B1ED0"/>
    <w:rsid w:val="007B26D7"/>
    <w:rsid w:val="007B2B7C"/>
    <w:rsid w:val="007B2C21"/>
    <w:rsid w:val="007B32D4"/>
    <w:rsid w:val="007B3558"/>
    <w:rsid w:val="007B3E8E"/>
    <w:rsid w:val="007B427B"/>
    <w:rsid w:val="007B4943"/>
    <w:rsid w:val="007B597B"/>
    <w:rsid w:val="007B5EDC"/>
    <w:rsid w:val="007B63CE"/>
    <w:rsid w:val="007B6AA6"/>
    <w:rsid w:val="007C1229"/>
    <w:rsid w:val="007C12FD"/>
    <w:rsid w:val="007C1615"/>
    <w:rsid w:val="007C1D0B"/>
    <w:rsid w:val="007C1DFD"/>
    <w:rsid w:val="007C2F82"/>
    <w:rsid w:val="007C32ED"/>
    <w:rsid w:val="007C469E"/>
    <w:rsid w:val="007C5132"/>
    <w:rsid w:val="007C653E"/>
    <w:rsid w:val="007C6D77"/>
    <w:rsid w:val="007D00BA"/>
    <w:rsid w:val="007D0150"/>
    <w:rsid w:val="007D02E7"/>
    <w:rsid w:val="007D143D"/>
    <w:rsid w:val="007D1D69"/>
    <w:rsid w:val="007D2792"/>
    <w:rsid w:val="007D2EA5"/>
    <w:rsid w:val="007D37BD"/>
    <w:rsid w:val="007D39DD"/>
    <w:rsid w:val="007D4437"/>
    <w:rsid w:val="007D4AC4"/>
    <w:rsid w:val="007D5199"/>
    <w:rsid w:val="007D5F40"/>
    <w:rsid w:val="007D6307"/>
    <w:rsid w:val="007D6379"/>
    <w:rsid w:val="007D6391"/>
    <w:rsid w:val="007D7296"/>
    <w:rsid w:val="007D7F4B"/>
    <w:rsid w:val="007E0000"/>
    <w:rsid w:val="007E00AE"/>
    <w:rsid w:val="007E09BF"/>
    <w:rsid w:val="007E11CF"/>
    <w:rsid w:val="007E294E"/>
    <w:rsid w:val="007E3709"/>
    <w:rsid w:val="007E3A08"/>
    <w:rsid w:val="007E41CB"/>
    <w:rsid w:val="007E52AC"/>
    <w:rsid w:val="007E5C52"/>
    <w:rsid w:val="007E68F0"/>
    <w:rsid w:val="007E746E"/>
    <w:rsid w:val="007E75C3"/>
    <w:rsid w:val="007E795B"/>
    <w:rsid w:val="007F0050"/>
    <w:rsid w:val="007F043D"/>
    <w:rsid w:val="007F1568"/>
    <w:rsid w:val="007F1732"/>
    <w:rsid w:val="007F1842"/>
    <w:rsid w:val="007F18B7"/>
    <w:rsid w:val="007F3317"/>
    <w:rsid w:val="007F339F"/>
    <w:rsid w:val="007F3F90"/>
    <w:rsid w:val="007F43DF"/>
    <w:rsid w:val="007F5600"/>
    <w:rsid w:val="007F5817"/>
    <w:rsid w:val="007F5BDA"/>
    <w:rsid w:val="007F5E66"/>
    <w:rsid w:val="007F68C9"/>
    <w:rsid w:val="007F6AA0"/>
    <w:rsid w:val="007F6B5A"/>
    <w:rsid w:val="007F6CC5"/>
    <w:rsid w:val="007F72EC"/>
    <w:rsid w:val="007F77BD"/>
    <w:rsid w:val="00800D76"/>
    <w:rsid w:val="00802260"/>
    <w:rsid w:val="00802DC6"/>
    <w:rsid w:val="00803415"/>
    <w:rsid w:val="008034FF"/>
    <w:rsid w:val="00803A50"/>
    <w:rsid w:val="00803D02"/>
    <w:rsid w:val="00803E84"/>
    <w:rsid w:val="00804C6B"/>
    <w:rsid w:val="00804F03"/>
    <w:rsid w:val="00805F3F"/>
    <w:rsid w:val="008061C7"/>
    <w:rsid w:val="00806AB3"/>
    <w:rsid w:val="00806E70"/>
    <w:rsid w:val="008076B5"/>
    <w:rsid w:val="0080775C"/>
    <w:rsid w:val="00807A16"/>
    <w:rsid w:val="0081077B"/>
    <w:rsid w:val="00811453"/>
    <w:rsid w:val="00812AC3"/>
    <w:rsid w:val="00812C74"/>
    <w:rsid w:val="00812F48"/>
    <w:rsid w:val="00814DD2"/>
    <w:rsid w:val="00815B6A"/>
    <w:rsid w:val="0081692F"/>
    <w:rsid w:val="00817143"/>
    <w:rsid w:val="008178C9"/>
    <w:rsid w:val="00817A15"/>
    <w:rsid w:val="00817F85"/>
    <w:rsid w:val="008220D6"/>
    <w:rsid w:val="00822A1D"/>
    <w:rsid w:val="0082309C"/>
    <w:rsid w:val="00823372"/>
    <w:rsid w:val="00823CB5"/>
    <w:rsid w:val="00823D8F"/>
    <w:rsid w:val="00824451"/>
    <w:rsid w:val="00824733"/>
    <w:rsid w:val="008258CA"/>
    <w:rsid w:val="00825A8A"/>
    <w:rsid w:val="00825C3E"/>
    <w:rsid w:val="00826198"/>
    <w:rsid w:val="008263BA"/>
    <w:rsid w:val="00826893"/>
    <w:rsid w:val="00827312"/>
    <w:rsid w:val="00830375"/>
    <w:rsid w:val="00831FAA"/>
    <w:rsid w:val="00832852"/>
    <w:rsid w:val="00832C17"/>
    <w:rsid w:val="00833548"/>
    <w:rsid w:val="00833FA9"/>
    <w:rsid w:val="00834357"/>
    <w:rsid w:val="008344E6"/>
    <w:rsid w:val="00834CF6"/>
    <w:rsid w:val="00835845"/>
    <w:rsid w:val="00835A06"/>
    <w:rsid w:val="00835A79"/>
    <w:rsid w:val="00836E66"/>
    <w:rsid w:val="0083736B"/>
    <w:rsid w:val="00837926"/>
    <w:rsid w:val="008409B0"/>
    <w:rsid w:val="00840B6E"/>
    <w:rsid w:val="00841C12"/>
    <w:rsid w:val="00841D99"/>
    <w:rsid w:val="0084254D"/>
    <w:rsid w:val="0084383C"/>
    <w:rsid w:val="008447F7"/>
    <w:rsid w:val="00844F46"/>
    <w:rsid w:val="00844FA0"/>
    <w:rsid w:val="008452EC"/>
    <w:rsid w:val="00845C44"/>
    <w:rsid w:val="008461BD"/>
    <w:rsid w:val="00846D87"/>
    <w:rsid w:val="0084738A"/>
    <w:rsid w:val="0085016F"/>
    <w:rsid w:val="0085083B"/>
    <w:rsid w:val="00850E93"/>
    <w:rsid w:val="00851DFF"/>
    <w:rsid w:val="00851E79"/>
    <w:rsid w:val="0085205D"/>
    <w:rsid w:val="008523C0"/>
    <w:rsid w:val="00852407"/>
    <w:rsid w:val="0085268A"/>
    <w:rsid w:val="00852755"/>
    <w:rsid w:val="008539BA"/>
    <w:rsid w:val="00853A89"/>
    <w:rsid w:val="00854B9D"/>
    <w:rsid w:val="0085518C"/>
    <w:rsid w:val="00855321"/>
    <w:rsid w:val="008566C2"/>
    <w:rsid w:val="00856E6D"/>
    <w:rsid w:val="00857C1E"/>
    <w:rsid w:val="00860592"/>
    <w:rsid w:val="008608BE"/>
    <w:rsid w:val="00860A78"/>
    <w:rsid w:val="00860FB7"/>
    <w:rsid w:val="00861DBF"/>
    <w:rsid w:val="008621BC"/>
    <w:rsid w:val="008625E9"/>
    <w:rsid w:val="00862A83"/>
    <w:rsid w:val="00862F55"/>
    <w:rsid w:val="0086338B"/>
    <w:rsid w:val="00864BFA"/>
    <w:rsid w:val="00864F5E"/>
    <w:rsid w:val="008651BC"/>
    <w:rsid w:val="00865404"/>
    <w:rsid w:val="008659F5"/>
    <w:rsid w:val="00866220"/>
    <w:rsid w:val="00866AA9"/>
    <w:rsid w:val="00866B94"/>
    <w:rsid w:val="00866E54"/>
    <w:rsid w:val="00870E36"/>
    <w:rsid w:val="00870F9A"/>
    <w:rsid w:val="00871407"/>
    <w:rsid w:val="0087204A"/>
    <w:rsid w:val="008720FD"/>
    <w:rsid w:val="008726C5"/>
    <w:rsid w:val="00872B4F"/>
    <w:rsid w:val="00873691"/>
    <w:rsid w:val="0087413F"/>
    <w:rsid w:val="00874412"/>
    <w:rsid w:val="00874829"/>
    <w:rsid w:val="008748D5"/>
    <w:rsid w:val="008750A0"/>
    <w:rsid w:val="008750AD"/>
    <w:rsid w:val="008753AF"/>
    <w:rsid w:val="00876DE0"/>
    <w:rsid w:val="00877663"/>
    <w:rsid w:val="008776EB"/>
    <w:rsid w:val="00877E99"/>
    <w:rsid w:val="00877F08"/>
    <w:rsid w:val="00880624"/>
    <w:rsid w:val="00880730"/>
    <w:rsid w:val="0088120E"/>
    <w:rsid w:val="00881406"/>
    <w:rsid w:val="0088188A"/>
    <w:rsid w:val="00881F29"/>
    <w:rsid w:val="008825C0"/>
    <w:rsid w:val="00883730"/>
    <w:rsid w:val="00883A7A"/>
    <w:rsid w:val="00884094"/>
    <w:rsid w:val="00884AE1"/>
    <w:rsid w:val="00884DFF"/>
    <w:rsid w:val="00885CFC"/>
    <w:rsid w:val="0088601D"/>
    <w:rsid w:val="0088604F"/>
    <w:rsid w:val="008861E8"/>
    <w:rsid w:val="00890251"/>
    <w:rsid w:val="00890D32"/>
    <w:rsid w:val="008911D0"/>
    <w:rsid w:val="00891BAE"/>
    <w:rsid w:val="00892216"/>
    <w:rsid w:val="008925E8"/>
    <w:rsid w:val="00892C28"/>
    <w:rsid w:val="008932A5"/>
    <w:rsid w:val="0089443F"/>
    <w:rsid w:val="00894C23"/>
    <w:rsid w:val="00894CE3"/>
    <w:rsid w:val="00894FAE"/>
    <w:rsid w:val="00895513"/>
    <w:rsid w:val="00895964"/>
    <w:rsid w:val="008975F0"/>
    <w:rsid w:val="008A11DD"/>
    <w:rsid w:val="008A160A"/>
    <w:rsid w:val="008A195D"/>
    <w:rsid w:val="008A36E1"/>
    <w:rsid w:val="008A3850"/>
    <w:rsid w:val="008A3ABB"/>
    <w:rsid w:val="008A3AFB"/>
    <w:rsid w:val="008A4417"/>
    <w:rsid w:val="008A4501"/>
    <w:rsid w:val="008A459A"/>
    <w:rsid w:val="008A4CFF"/>
    <w:rsid w:val="008A4EB9"/>
    <w:rsid w:val="008A50AC"/>
    <w:rsid w:val="008A5E39"/>
    <w:rsid w:val="008A6026"/>
    <w:rsid w:val="008A634A"/>
    <w:rsid w:val="008A65BF"/>
    <w:rsid w:val="008A67A1"/>
    <w:rsid w:val="008A68A9"/>
    <w:rsid w:val="008A6AD5"/>
    <w:rsid w:val="008A7653"/>
    <w:rsid w:val="008A7DA4"/>
    <w:rsid w:val="008B03E5"/>
    <w:rsid w:val="008B1F3B"/>
    <w:rsid w:val="008B26E2"/>
    <w:rsid w:val="008B323D"/>
    <w:rsid w:val="008B393E"/>
    <w:rsid w:val="008B3E16"/>
    <w:rsid w:val="008B510E"/>
    <w:rsid w:val="008B5507"/>
    <w:rsid w:val="008B5E00"/>
    <w:rsid w:val="008B694A"/>
    <w:rsid w:val="008B718A"/>
    <w:rsid w:val="008B7BA2"/>
    <w:rsid w:val="008B7CB4"/>
    <w:rsid w:val="008B7CB5"/>
    <w:rsid w:val="008C07E4"/>
    <w:rsid w:val="008C0C06"/>
    <w:rsid w:val="008C0C25"/>
    <w:rsid w:val="008C1002"/>
    <w:rsid w:val="008C12A3"/>
    <w:rsid w:val="008C12B6"/>
    <w:rsid w:val="008C1E85"/>
    <w:rsid w:val="008C2273"/>
    <w:rsid w:val="008C2AA3"/>
    <w:rsid w:val="008C3035"/>
    <w:rsid w:val="008C30B2"/>
    <w:rsid w:val="008C40EB"/>
    <w:rsid w:val="008C4A2D"/>
    <w:rsid w:val="008C54A6"/>
    <w:rsid w:val="008C54C7"/>
    <w:rsid w:val="008C6D96"/>
    <w:rsid w:val="008C6FA9"/>
    <w:rsid w:val="008D02C5"/>
    <w:rsid w:val="008D076A"/>
    <w:rsid w:val="008D14F3"/>
    <w:rsid w:val="008D1E41"/>
    <w:rsid w:val="008D20E4"/>
    <w:rsid w:val="008D2195"/>
    <w:rsid w:val="008D29C9"/>
    <w:rsid w:val="008D2B02"/>
    <w:rsid w:val="008D30A8"/>
    <w:rsid w:val="008D3198"/>
    <w:rsid w:val="008D353E"/>
    <w:rsid w:val="008D40C4"/>
    <w:rsid w:val="008D42D9"/>
    <w:rsid w:val="008D43D8"/>
    <w:rsid w:val="008D4664"/>
    <w:rsid w:val="008D4909"/>
    <w:rsid w:val="008D5371"/>
    <w:rsid w:val="008D5AAF"/>
    <w:rsid w:val="008D60EB"/>
    <w:rsid w:val="008D6A2D"/>
    <w:rsid w:val="008D6B7A"/>
    <w:rsid w:val="008D7F8F"/>
    <w:rsid w:val="008D7FAD"/>
    <w:rsid w:val="008E04C7"/>
    <w:rsid w:val="008E0997"/>
    <w:rsid w:val="008E0CE2"/>
    <w:rsid w:val="008E2322"/>
    <w:rsid w:val="008E23DD"/>
    <w:rsid w:val="008E2667"/>
    <w:rsid w:val="008E266F"/>
    <w:rsid w:val="008E29B7"/>
    <w:rsid w:val="008E2C90"/>
    <w:rsid w:val="008E2E12"/>
    <w:rsid w:val="008E36C0"/>
    <w:rsid w:val="008E3B39"/>
    <w:rsid w:val="008E3D9C"/>
    <w:rsid w:val="008E5E8C"/>
    <w:rsid w:val="008E6C44"/>
    <w:rsid w:val="008E7198"/>
    <w:rsid w:val="008E7610"/>
    <w:rsid w:val="008E7E9A"/>
    <w:rsid w:val="008F054B"/>
    <w:rsid w:val="008F0705"/>
    <w:rsid w:val="008F0B07"/>
    <w:rsid w:val="008F0BB5"/>
    <w:rsid w:val="008F1A30"/>
    <w:rsid w:val="008F1C9E"/>
    <w:rsid w:val="008F285E"/>
    <w:rsid w:val="008F2C7E"/>
    <w:rsid w:val="008F360D"/>
    <w:rsid w:val="008F3BB0"/>
    <w:rsid w:val="008F3CD9"/>
    <w:rsid w:val="008F41E0"/>
    <w:rsid w:val="008F4294"/>
    <w:rsid w:val="008F45AA"/>
    <w:rsid w:val="008F57C5"/>
    <w:rsid w:val="008F58E1"/>
    <w:rsid w:val="008F6234"/>
    <w:rsid w:val="008F62FB"/>
    <w:rsid w:val="008F63AE"/>
    <w:rsid w:val="008F6654"/>
    <w:rsid w:val="008F7307"/>
    <w:rsid w:val="008F7508"/>
    <w:rsid w:val="008F7FF4"/>
    <w:rsid w:val="00900351"/>
    <w:rsid w:val="00900B2D"/>
    <w:rsid w:val="00901505"/>
    <w:rsid w:val="00901633"/>
    <w:rsid w:val="00901A9A"/>
    <w:rsid w:val="00901E5F"/>
    <w:rsid w:val="009021AA"/>
    <w:rsid w:val="00902692"/>
    <w:rsid w:val="009026FF"/>
    <w:rsid w:val="00902E69"/>
    <w:rsid w:val="00903486"/>
    <w:rsid w:val="0090499A"/>
    <w:rsid w:val="0090510C"/>
    <w:rsid w:val="0090701F"/>
    <w:rsid w:val="00907646"/>
    <w:rsid w:val="009102E8"/>
    <w:rsid w:val="00910A6E"/>
    <w:rsid w:val="00911006"/>
    <w:rsid w:val="00911E8D"/>
    <w:rsid w:val="00911F71"/>
    <w:rsid w:val="00912AB9"/>
    <w:rsid w:val="009134FD"/>
    <w:rsid w:val="00913F9E"/>
    <w:rsid w:val="0091416F"/>
    <w:rsid w:val="00914CE3"/>
    <w:rsid w:val="009151FD"/>
    <w:rsid w:val="0092046C"/>
    <w:rsid w:val="0092055D"/>
    <w:rsid w:val="009214EE"/>
    <w:rsid w:val="0092178D"/>
    <w:rsid w:val="009218F1"/>
    <w:rsid w:val="009235B7"/>
    <w:rsid w:val="00923BF8"/>
    <w:rsid w:val="00923C15"/>
    <w:rsid w:val="0092458A"/>
    <w:rsid w:val="009246AE"/>
    <w:rsid w:val="009248D5"/>
    <w:rsid w:val="00924A09"/>
    <w:rsid w:val="0092507D"/>
    <w:rsid w:val="00925081"/>
    <w:rsid w:val="00925B34"/>
    <w:rsid w:val="00926ED5"/>
    <w:rsid w:val="0092736B"/>
    <w:rsid w:val="00927624"/>
    <w:rsid w:val="009314E8"/>
    <w:rsid w:val="009322C4"/>
    <w:rsid w:val="009323B6"/>
    <w:rsid w:val="00932A4C"/>
    <w:rsid w:val="009331D7"/>
    <w:rsid w:val="00933549"/>
    <w:rsid w:val="0093476A"/>
    <w:rsid w:val="0093482F"/>
    <w:rsid w:val="00935CB5"/>
    <w:rsid w:val="009361A4"/>
    <w:rsid w:val="00936569"/>
    <w:rsid w:val="0093762F"/>
    <w:rsid w:val="00937706"/>
    <w:rsid w:val="00937A1F"/>
    <w:rsid w:val="00937AC9"/>
    <w:rsid w:val="00937C8F"/>
    <w:rsid w:val="00941211"/>
    <w:rsid w:val="00941397"/>
    <w:rsid w:val="00941607"/>
    <w:rsid w:val="00941851"/>
    <w:rsid w:val="00941E30"/>
    <w:rsid w:val="009421B7"/>
    <w:rsid w:val="009424E2"/>
    <w:rsid w:val="00942547"/>
    <w:rsid w:val="0094299F"/>
    <w:rsid w:val="00942AE3"/>
    <w:rsid w:val="00942AF2"/>
    <w:rsid w:val="00942BF7"/>
    <w:rsid w:val="00942C05"/>
    <w:rsid w:val="00942FBD"/>
    <w:rsid w:val="009431DF"/>
    <w:rsid w:val="0094359A"/>
    <w:rsid w:val="009437F0"/>
    <w:rsid w:val="009438CF"/>
    <w:rsid w:val="00943901"/>
    <w:rsid w:val="0094390D"/>
    <w:rsid w:val="00943E44"/>
    <w:rsid w:val="009442BA"/>
    <w:rsid w:val="00944FA0"/>
    <w:rsid w:val="0094668F"/>
    <w:rsid w:val="00946737"/>
    <w:rsid w:val="00946976"/>
    <w:rsid w:val="00946D49"/>
    <w:rsid w:val="009476E7"/>
    <w:rsid w:val="0094797E"/>
    <w:rsid w:val="00950968"/>
    <w:rsid w:val="009514A9"/>
    <w:rsid w:val="00951B94"/>
    <w:rsid w:val="009529BD"/>
    <w:rsid w:val="0095438F"/>
    <w:rsid w:val="00954730"/>
    <w:rsid w:val="00954771"/>
    <w:rsid w:val="00954784"/>
    <w:rsid w:val="00955A95"/>
    <w:rsid w:val="00956303"/>
    <w:rsid w:val="0095662C"/>
    <w:rsid w:val="00956A27"/>
    <w:rsid w:val="00956A2E"/>
    <w:rsid w:val="00957371"/>
    <w:rsid w:val="00957A37"/>
    <w:rsid w:val="00957C01"/>
    <w:rsid w:val="00957E03"/>
    <w:rsid w:val="00957E68"/>
    <w:rsid w:val="00960397"/>
    <w:rsid w:val="0096115C"/>
    <w:rsid w:val="00961660"/>
    <w:rsid w:val="00961A56"/>
    <w:rsid w:val="00961DA0"/>
    <w:rsid w:val="009625FE"/>
    <w:rsid w:val="0096286A"/>
    <w:rsid w:val="0096297B"/>
    <w:rsid w:val="00962DA7"/>
    <w:rsid w:val="00964602"/>
    <w:rsid w:val="00964B11"/>
    <w:rsid w:val="00965088"/>
    <w:rsid w:val="00966425"/>
    <w:rsid w:val="00966CED"/>
    <w:rsid w:val="00966D11"/>
    <w:rsid w:val="00966EE7"/>
    <w:rsid w:val="0096752A"/>
    <w:rsid w:val="00970198"/>
    <w:rsid w:val="0097042F"/>
    <w:rsid w:val="0097160A"/>
    <w:rsid w:val="00972003"/>
    <w:rsid w:val="00972216"/>
    <w:rsid w:val="009731F6"/>
    <w:rsid w:val="009738C2"/>
    <w:rsid w:val="00973B9D"/>
    <w:rsid w:val="00973F09"/>
    <w:rsid w:val="009747D0"/>
    <w:rsid w:val="00974A68"/>
    <w:rsid w:val="009751CF"/>
    <w:rsid w:val="009753F6"/>
    <w:rsid w:val="00975944"/>
    <w:rsid w:val="009762A8"/>
    <w:rsid w:val="00976D4E"/>
    <w:rsid w:val="009775C8"/>
    <w:rsid w:val="00977C83"/>
    <w:rsid w:val="00980329"/>
    <w:rsid w:val="009804B8"/>
    <w:rsid w:val="009804D5"/>
    <w:rsid w:val="00980727"/>
    <w:rsid w:val="009807DE"/>
    <w:rsid w:val="00980E74"/>
    <w:rsid w:val="00980E7C"/>
    <w:rsid w:val="009819C5"/>
    <w:rsid w:val="009819FD"/>
    <w:rsid w:val="00982158"/>
    <w:rsid w:val="00982AC9"/>
    <w:rsid w:val="00982BE7"/>
    <w:rsid w:val="00982FE4"/>
    <w:rsid w:val="0098310F"/>
    <w:rsid w:val="0098314A"/>
    <w:rsid w:val="00983659"/>
    <w:rsid w:val="00983B4F"/>
    <w:rsid w:val="00983DA9"/>
    <w:rsid w:val="0098405C"/>
    <w:rsid w:val="0098408F"/>
    <w:rsid w:val="00984303"/>
    <w:rsid w:val="00984E7D"/>
    <w:rsid w:val="00985227"/>
    <w:rsid w:val="00985B6A"/>
    <w:rsid w:val="00985C89"/>
    <w:rsid w:val="00986AC7"/>
    <w:rsid w:val="00986EBB"/>
    <w:rsid w:val="00986F8C"/>
    <w:rsid w:val="009874D3"/>
    <w:rsid w:val="00987F16"/>
    <w:rsid w:val="00990743"/>
    <w:rsid w:val="00990776"/>
    <w:rsid w:val="00990837"/>
    <w:rsid w:val="00991B7A"/>
    <w:rsid w:val="00992070"/>
    <w:rsid w:val="009921E6"/>
    <w:rsid w:val="0099250B"/>
    <w:rsid w:val="00993227"/>
    <w:rsid w:val="009933FC"/>
    <w:rsid w:val="00993EC2"/>
    <w:rsid w:val="009940CC"/>
    <w:rsid w:val="009940E2"/>
    <w:rsid w:val="0099511F"/>
    <w:rsid w:val="009952D6"/>
    <w:rsid w:val="0099599F"/>
    <w:rsid w:val="00996523"/>
    <w:rsid w:val="00996B6C"/>
    <w:rsid w:val="00996D9C"/>
    <w:rsid w:val="00996E80"/>
    <w:rsid w:val="00996E98"/>
    <w:rsid w:val="009970E7"/>
    <w:rsid w:val="00997202"/>
    <w:rsid w:val="009974A4"/>
    <w:rsid w:val="009A0B3B"/>
    <w:rsid w:val="009A12B8"/>
    <w:rsid w:val="009A1317"/>
    <w:rsid w:val="009A16A9"/>
    <w:rsid w:val="009A1BC5"/>
    <w:rsid w:val="009A1F98"/>
    <w:rsid w:val="009A1F9C"/>
    <w:rsid w:val="009A23A1"/>
    <w:rsid w:val="009A3050"/>
    <w:rsid w:val="009A384E"/>
    <w:rsid w:val="009A3921"/>
    <w:rsid w:val="009A42A0"/>
    <w:rsid w:val="009A4CE2"/>
    <w:rsid w:val="009A5780"/>
    <w:rsid w:val="009A5F21"/>
    <w:rsid w:val="009A638E"/>
    <w:rsid w:val="009A6953"/>
    <w:rsid w:val="009A73F8"/>
    <w:rsid w:val="009A79C8"/>
    <w:rsid w:val="009A7CC8"/>
    <w:rsid w:val="009B0227"/>
    <w:rsid w:val="009B090C"/>
    <w:rsid w:val="009B0EB8"/>
    <w:rsid w:val="009B128A"/>
    <w:rsid w:val="009B1C27"/>
    <w:rsid w:val="009B1C31"/>
    <w:rsid w:val="009B209F"/>
    <w:rsid w:val="009B25A4"/>
    <w:rsid w:val="009B4638"/>
    <w:rsid w:val="009B464D"/>
    <w:rsid w:val="009B5EAE"/>
    <w:rsid w:val="009B649B"/>
    <w:rsid w:val="009B6646"/>
    <w:rsid w:val="009B7A55"/>
    <w:rsid w:val="009B7F35"/>
    <w:rsid w:val="009B7F92"/>
    <w:rsid w:val="009C1416"/>
    <w:rsid w:val="009C1A03"/>
    <w:rsid w:val="009C20F0"/>
    <w:rsid w:val="009C3451"/>
    <w:rsid w:val="009C36F8"/>
    <w:rsid w:val="009C38B8"/>
    <w:rsid w:val="009C3925"/>
    <w:rsid w:val="009C3956"/>
    <w:rsid w:val="009C41D2"/>
    <w:rsid w:val="009C52A3"/>
    <w:rsid w:val="009C533A"/>
    <w:rsid w:val="009C5592"/>
    <w:rsid w:val="009C5D49"/>
    <w:rsid w:val="009C5F84"/>
    <w:rsid w:val="009C63A7"/>
    <w:rsid w:val="009C669E"/>
    <w:rsid w:val="009C6773"/>
    <w:rsid w:val="009C6F06"/>
    <w:rsid w:val="009C7256"/>
    <w:rsid w:val="009C7274"/>
    <w:rsid w:val="009C736B"/>
    <w:rsid w:val="009C7506"/>
    <w:rsid w:val="009C7A44"/>
    <w:rsid w:val="009C7A57"/>
    <w:rsid w:val="009D0481"/>
    <w:rsid w:val="009D08E5"/>
    <w:rsid w:val="009D128C"/>
    <w:rsid w:val="009D2097"/>
    <w:rsid w:val="009D232F"/>
    <w:rsid w:val="009D3322"/>
    <w:rsid w:val="009D3AE0"/>
    <w:rsid w:val="009D3E21"/>
    <w:rsid w:val="009D4497"/>
    <w:rsid w:val="009D44DD"/>
    <w:rsid w:val="009D5988"/>
    <w:rsid w:val="009D766F"/>
    <w:rsid w:val="009E040D"/>
    <w:rsid w:val="009E0531"/>
    <w:rsid w:val="009E1093"/>
    <w:rsid w:val="009E1A0C"/>
    <w:rsid w:val="009E2869"/>
    <w:rsid w:val="009E2879"/>
    <w:rsid w:val="009E4A02"/>
    <w:rsid w:val="009E6CD0"/>
    <w:rsid w:val="009E71B2"/>
    <w:rsid w:val="009E7CEF"/>
    <w:rsid w:val="009E7D01"/>
    <w:rsid w:val="009F0721"/>
    <w:rsid w:val="009F0BE2"/>
    <w:rsid w:val="009F1102"/>
    <w:rsid w:val="009F1B1F"/>
    <w:rsid w:val="009F2C2F"/>
    <w:rsid w:val="009F3675"/>
    <w:rsid w:val="009F3897"/>
    <w:rsid w:val="009F3C52"/>
    <w:rsid w:val="009F40D5"/>
    <w:rsid w:val="009F4270"/>
    <w:rsid w:val="009F46A0"/>
    <w:rsid w:val="009F49AD"/>
    <w:rsid w:val="009F4C95"/>
    <w:rsid w:val="009F52F0"/>
    <w:rsid w:val="009F5BE9"/>
    <w:rsid w:val="009F73C9"/>
    <w:rsid w:val="009F7625"/>
    <w:rsid w:val="009F7630"/>
    <w:rsid w:val="009F76E1"/>
    <w:rsid w:val="00A03B0F"/>
    <w:rsid w:val="00A0498D"/>
    <w:rsid w:val="00A04C38"/>
    <w:rsid w:val="00A05368"/>
    <w:rsid w:val="00A053E6"/>
    <w:rsid w:val="00A05763"/>
    <w:rsid w:val="00A059FE"/>
    <w:rsid w:val="00A05C10"/>
    <w:rsid w:val="00A06680"/>
    <w:rsid w:val="00A06760"/>
    <w:rsid w:val="00A0797A"/>
    <w:rsid w:val="00A07BC0"/>
    <w:rsid w:val="00A07DEB"/>
    <w:rsid w:val="00A10D00"/>
    <w:rsid w:val="00A1108A"/>
    <w:rsid w:val="00A114C2"/>
    <w:rsid w:val="00A114E5"/>
    <w:rsid w:val="00A11AF2"/>
    <w:rsid w:val="00A11D0F"/>
    <w:rsid w:val="00A13212"/>
    <w:rsid w:val="00A134D3"/>
    <w:rsid w:val="00A1413A"/>
    <w:rsid w:val="00A14228"/>
    <w:rsid w:val="00A14791"/>
    <w:rsid w:val="00A16020"/>
    <w:rsid w:val="00A1698F"/>
    <w:rsid w:val="00A16D00"/>
    <w:rsid w:val="00A16DD2"/>
    <w:rsid w:val="00A16E33"/>
    <w:rsid w:val="00A1709C"/>
    <w:rsid w:val="00A17176"/>
    <w:rsid w:val="00A17552"/>
    <w:rsid w:val="00A17C4F"/>
    <w:rsid w:val="00A218DD"/>
    <w:rsid w:val="00A22046"/>
    <w:rsid w:val="00A23C69"/>
    <w:rsid w:val="00A2400B"/>
    <w:rsid w:val="00A24607"/>
    <w:rsid w:val="00A2488A"/>
    <w:rsid w:val="00A24B2E"/>
    <w:rsid w:val="00A24D0F"/>
    <w:rsid w:val="00A25724"/>
    <w:rsid w:val="00A2641F"/>
    <w:rsid w:val="00A266DC"/>
    <w:rsid w:val="00A26A03"/>
    <w:rsid w:val="00A2720E"/>
    <w:rsid w:val="00A3012A"/>
    <w:rsid w:val="00A30806"/>
    <w:rsid w:val="00A30CCA"/>
    <w:rsid w:val="00A30F31"/>
    <w:rsid w:val="00A3144C"/>
    <w:rsid w:val="00A318BE"/>
    <w:rsid w:val="00A31A5A"/>
    <w:rsid w:val="00A32034"/>
    <w:rsid w:val="00A320B0"/>
    <w:rsid w:val="00A32374"/>
    <w:rsid w:val="00A32469"/>
    <w:rsid w:val="00A329FA"/>
    <w:rsid w:val="00A32C94"/>
    <w:rsid w:val="00A3306B"/>
    <w:rsid w:val="00A332BB"/>
    <w:rsid w:val="00A33B20"/>
    <w:rsid w:val="00A33D4B"/>
    <w:rsid w:val="00A3446E"/>
    <w:rsid w:val="00A34FFF"/>
    <w:rsid w:val="00A351EA"/>
    <w:rsid w:val="00A353CB"/>
    <w:rsid w:val="00A36363"/>
    <w:rsid w:val="00A374AD"/>
    <w:rsid w:val="00A37730"/>
    <w:rsid w:val="00A40B11"/>
    <w:rsid w:val="00A40E21"/>
    <w:rsid w:val="00A41E3E"/>
    <w:rsid w:val="00A42181"/>
    <w:rsid w:val="00A421C4"/>
    <w:rsid w:val="00A42779"/>
    <w:rsid w:val="00A42890"/>
    <w:rsid w:val="00A42A51"/>
    <w:rsid w:val="00A42A5B"/>
    <w:rsid w:val="00A42AA0"/>
    <w:rsid w:val="00A435F8"/>
    <w:rsid w:val="00A435F9"/>
    <w:rsid w:val="00A43A6E"/>
    <w:rsid w:val="00A43D7E"/>
    <w:rsid w:val="00A43E85"/>
    <w:rsid w:val="00A43F1D"/>
    <w:rsid w:val="00A451BC"/>
    <w:rsid w:val="00A461A7"/>
    <w:rsid w:val="00A463BD"/>
    <w:rsid w:val="00A46CE7"/>
    <w:rsid w:val="00A4745B"/>
    <w:rsid w:val="00A4756A"/>
    <w:rsid w:val="00A47C26"/>
    <w:rsid w:val="00A47EA1"/>
    <w:rsid w:val="00A50648"/>
    <w:rsid w:val="00A508F9"/>
    <w:rsid w:val="00A5095D"/>
    <w:rsid w:val="00A512C7"/>
    <w:rsid w:val="00A52D56"/>
    <w:rsid w:val="00A52FC2"/>
    <w:rsid w:val="00A539B2"/>
    <w:rsid w:val="00A53B7D"/>
    <w:rsid w:val="00A53C81"/>
    <w:rsid w:val="00A5420D"/>
    <w:rsid w:val="00A5443C"/>
    <w:rsid w:val="00A54D45"/>
    <w:rsid w:val="00A56A43"/>
    <w:rsid w:val="00A5712F"/>
    <w:rsid w:val="00A57537"/>
    <w:rsid w:val="00A57553"/>
    <w:rsid w:val="00A575F4"/>
    <w:rsid w:val="00A60531"/>
    <w:rsid w:val="00A60E47"/>
    <w:rsid w:val="00A60F30"/>
    <w:rsid w:val="00A618F7"/>
    <w:rsid w:val="00A61F9B"/>
    <w:rsid w:val="00A621A1"/>
    <w:rsid w:val="00A627BE"/>
    <w:rsid w:val="00A62CA7"/>
    <w:rsid w:val="00A630DC"/>
    <w:rsid w:val="00A634FC"/>
    <w:rsid w:val="00A635A1"/>
    <w:rsid w:val="00A63691"/>
    <w:rsid w:val="00A63D7E"/>
    <w:rsid w:val="00A646DA"/>
    <w:rsid w:val="00A64991"/>
    <w:rsid w:val="00A65BEC"/>
    <w:rsid w:val="00A660BD"/>
    <w:rsid w:val="00A661F5"/>
    <w:rsid w:val="00A66ADF"/>
    <w:rsid w:val="00A66CD2"/>
    <w:rsid w:val="00A67179"/>
    <w:rsid w:val="00A67AE7"/>
    <w:rsid w:val="00A67F86"/>
    <w:rsid w:val="00A70702"/>
    <w:rsid w:val="00A7167D"/>
    <w:rsid w:val="00A71AF4"/>
    <w:rsid w:val="00A7239D"/>
    <w:rsid w:val="00A730D7"/>
    <w:rsid w:val="00A73B4D"/>
    <w:rsid w:val="00A74529"/>
    <w:rsid w:val="00A74760"/>
    <w:rsid w:val="00A748E4"/>
    <w:rsid w:val="00A756E1"/>
    <w:rsid w:val="00A758D9"/>
    <w:rsid w:val="00A75C3B"/>
    <w:rsid w:val="00A77397"/>
    <w:rsid w:val="00A77417"/>
    <w:rsid w:val="00A778A8"/>
    <w:rsid w:val="00A77C48"/>
    <w:rsid w:val="00A77C82"/>
    <w:rsid w:val="00A77C83"/>
    <w:rsid w:val="00A77F83"/>
    <w:rsid w:val="00A80207"/>
    <w:rsid w:val="00A80D9E"/>
    <w:rsid w:val="00A80F9A"/>
    <w:rsid w:val="00A8147C"/>
    <w:rsid w:val="00A81495"/>
    <w:rsid w:val="00A81A08"/>
    <w:rsid w:val="00A81B23"/>
    <w:rsid w:val="00A81CCE"/>
    <w:rsid w:val="00A8207A"/>
    <w:rsid w:val="00A82302"/>
    <w:rsid w:val="00A8276D"/>
    <w:rsid w:val="00A82A80"/>
    <w:rsid w:val="00A82C1F"/>
    <w:rsid w:val="00A83197"/>
    <w:rsid w:val="00A8346A"/>
    <w:rsid w:val="00A845B4"/>
    <w:rsid w:val="00A84919"/>
    <w:rsid w:val="00A849AC"/>
    <w:rsid w:val="00A849B9"/>
    <w:rsid w:val="00A84E79"/>
    <w:rsid w:val="00A85084"/>
    <w:rsid w:val="00A860BC"/>
    <w:rsid w:val="00A871E6"/>
    <w:rsid w:val="00A8793C"/>
    <w:rsid w:val="00A87A1F"/>
    <w:rsid w:val="00A87FF0"/>
    <w:rsid w:val="00A901C0"/>
    <w:rsid w:val="00A90D95"/>
    <w:rsid w:val="00A9158B"/>
    <w:rsid w:val="00A922B0"/>
    <w:rsid w:val="00A9256B"/>
    <w:rsid w:val="00A9269F"/>
    <w:rsid w:val="00A94A85"/>
    <w:rsid w:val="00A94CEB"/>
    <w:rsid w:val="00A95175"/>
    <w:rsid w:val="00A95B81"/>
    <w:rsid w:val="00A96793"/>
    <w:rsid w:val="00A967EA"/>
    <w:rsid w:val="00A96BC7"/>
    <w:rsid w:val="00A96D64"/>
    <w:rsid w:val="00A971D0"/>
    <w:rsid w:val="00A974EC"/>
    <w:rsid w:val="00A9756B"/>
    <w:rsid w:val="00A97B4A"/>
    <w:rsid w:val="00A97E57"/>
    <w:rsid w:val="00AA0660"/>
    <w:rsid w:val="00AA0DB1"/>
    <w:rsid w:val="00AA1144"/>
    <w:rsid w:val="00AA1406"/>
    <w:rsid w:val="00AA1AC9"/>
    <w:rsid w:val="00AA2FC6"/>
    <w:rsid w:val="00AA33F5"/>
    <w:rsid w:val="00AA3AE9"/>
    <w:rsid w:val="00AA4C87"/>
    <w:rsid w:val="00AA6905"/>
    <w:rsid w:val="00AA6911"/>
    <w:rsid w:val="00AA757F"/>
    <w:rsid w:val="00AA7F86"/>
    <w:rsid w:val="00AB0872"/>
    <w:rsid w:val="00AB0BE2"/>
    <w:rsid w:val="00AB1A30"/>
    <w:rsid w:val="00AB1ECF"/>
    <w:rsid w:val="00AB2775"/>
    <w:rsid w:val="00AB2908"/>
    <w:rsid w:val="00AB2FBE"/>
    <w:rsid w:val="00AB3489"/>
    <w:rsid w:val="00AB36E0"/>
    <w:rsid w:val="00AB3DCC"/>
    <w:rsid w:val="00AB75CA"/>
    <w:rsid w:val="00AC01E6"/>
    <w:rsid w:val="00AC076B"/>
    <w:rsid w:val="00AC0BC3"/>
    <w:rsid w:val="00AC1F9F"/>
    <w:rsid w:val="00AC22C8"/>
    <w:rsid w:val="00AC2A25"/>
    <w:rsid w:val="00AC2CB1"/>
    <w:rsid w:val="00AC38FD"/>
    <w:rsid w:val="00AC3A81"/>
    <w:rsid w:val="00AC45D8"/>
    <w:rsid w:val="00AC4612"/>
    <w:rsid w:val="00AC46EA"/>
    <w:rsid w:val="00AC54EB"/>
    <w:rsid w:val="00AC55DB"/>
    <w:rsid w:val="00AC585D"/>
    <w:rsid w:val="00AC5B48"/>
    <w:rsid w:val="00AC5FFC"/>
    <w:rsid w:val="00AC60BA"/>
    <w:rsid w:val="00AC64C2"/>
    <w:rsid w:val="00AC7219"/>
    <w:rsid w:val="00AC76DC"/>
    <w:rsid w:val="00AD0A52"/>
    <w:rsid w:val="00AD1138"/>
    <w:rsid w:val="00AD1593"/>
    <w:rsid w:val="00AD17C2"/>
    <w:rsid w:val="00AD216F"/>
    <w:rsid w:val="00AD26C9"/>
    <w:rsid w:val="00AD3B02"/>
    <w:rsid w:val="00AD3B60"/>
    <w:rsid w:val="00AD4126"/>
    <w:rsid w:val="00AD4472"/>
    <w:rsid w:val="00AD4A36"/>
    <w:rsid w:val="00AD4BFD"/>
    <w:rsid w:val="00AD58AB"/>
    <w:rsid w:val="00AD5D10"/>
    <w:rsid w:val="00AD649D"/>
    <w:rsid w:val="00AD6B1B"/>
    <w:rsid w:val="00AD78E9"/>
    <w:rsid w:val="00AD7ECE"/>
    <w:rsid w:val="00AE0175"/>
    <w:rsid w:val="00AE03D5"/>
    <w:rsid w:val="00AE12C1"/>
    <w:rsid w:val="00AE15E5"/>
    <w:rsid w:val="00AE17B1"/>
    <w:rsid w:val="00AE2637"/>
    <w:rsid w:val="00AE2900"/>
    <w:rsid w:val="00AE3F7E"/>
    <w:rsid w:val="00AE4C80"/>
    <w:rsid w:val="00AE5658"/>
    <w:rsid w:val="00AE5C6C"/>
    <w:rsid w:val="00AE5FD9"/>
    <w:rsid w:val="00AE6369"/>
    <w:rsid w:val="00AE6380"/>
    <w:rsid w:val="00AE6898"/>
    <w:rsid w:val="00AE733D"/>
    <w:rsid w:val="00AE784B"/>
    <w:rsid w:val="00AE7983"/>
    <w:rsid w:val="00AE7CCA"/>
    <w:rsid w:val="00AE7FAD"/>
    <w:rsid w:val="00AF1490"/>
    <w:rsid w:val="00AF20BD"/>
    <w:rsid w:val="00AF2585"/>
    <w:rsid w:val="00AF25FD"/>
    <w:rsid w:val="00AF3228"/>
    <w:rsid w:val="00AF3410"/>
    <w:rsid w:val="00AF3FAB"/>
    <w:rsid w:val="00AF5215"/>
    <w:rsid w:val="00AF5994"/>
    <w:rsid w:val="00AF5CC8"/>
    <w:rsid w:val="00AF5E0B"/>
    <w:rsid w:val="00AF601D"/>
    <w:rsid w:val="00AF6436"/>
    <w:rsid w:val="00AF67AC"/>
    <w:rsid w:val="00AF7F2F"/>
    <w:rsid w:val="00B006E2"/>
    <w:rsid w:val="00B00D67"/>
    <w:rsid w:val="00B01354"/>
    <w:rsid w:val="00B019C1"/>
    <w:rsid w:val="00B031C2"/>
    <w:rsid w:val="00B03A32"/>
    <w:rsid w:val="00B03AAF"/>
    <w:rsid w:val="00B040B6"/>
    <w:rsid w:val="00B05494"/>
    <w:rsid w:val="00B05725"/>
    <w:rsid w:val="00B05CF5"/>
    <w:rsid w:val="00B06043"/>
    <w:rsid w:val="00B06574"/>
    <w:rsid w:val="00B06A76"/>
    <w:rsid w:val="00B06FE8"/>
    <w:rsid w:val="00B0728A"/>
    <w:rsid w:val="00B0732B"/>
    <w:rsid w:val="00B1007B"/>
    <w:rsid w:val="00B100BC"/>
    <w:rsid w:val="00B10907"/>
    <w:rsid w:val="00B10990"/>
    <w:rsid w:val="00B109BD"/>
    <w:rsid w:val="00B10AB5"/>
    <w:rsid w:val="00B113D8"/>
    <w:rsid w:val="00B1167C"/>
    <w:rsid w:val="00B12724"/>
    <w:rsid w:val="00B12E14"/>
    <w:rsid w:val="00B133FA"/>
    <w:rsid w:val="00B1364C"/>
    <w:rsid w:val="00B13782"/>
    <w:rsid w:val="00B138D3"/>
    <w:rsid w:val="00B139D3"/>
    <w:rsid w:val="00B13B23"/>
    <w:rsid w:val="00B13F3B"/>
    <w:rsid w:val="00B14879"/>
    <w:rsid w:val="00B14E57"/>
    <w:rsid w:val="00B153C1"/>
    <w:rsid w:val="00B156E5"/>
    <w:rsid w:val="00B15996"/>
    <w:rsid w:val="00B1599D"/>
    <w:rsid w:val="00B1652A"/>
    <w:rsid w:val="00B1668B"/>
    <w:rsid w:val="00B173AD"/>
    <w:rsid w:val="00B17A49"/>
    <w:rsid w:val="00B17AE5"/>
    <w:rsid w:val="00B17B73"/>
    <w:rsid w:val="00B20E50"/>
    <w:rsid w:val="00B20EE0"/>
    <w:rsid w:val="00B210E3"/>
    <w:rsid w:val="00B21352"/>
    <w:rsid w:val="00B21472"/>
    <w:rsid w:val="00B219DC"/>
    <w:rsid w:val="00B21AF0"/>
    <w:rsid w:val="00B2249D"/>
    <w:rsid w:val="00B226DF"/>
    <w:rsid w:val="00B22A4E"/>
    <w:rsid w:val="00B22AB8"/>
    <w:rsid w:val="00B230B5"/>
    <w:rsid w:val="00B23807"/>
    <w:rsid w:val="00B23A44"/>
    <w:rsid w:val="00B23AAA"/>
    <w:rsid w:val="00B23E09"/>
    <w:rsid w:val="00B23E93"/>
    <w:rsid w:val="00B24099"/>
    <w:rsid w:val="00B2450B"/>
    <w:rsid w:val="00B246CF"/>
    <w:rsid w:val="00B24768"/>
    <w:rsid w:val="00B25527"/>
    <w:rsid w:val="00B258D4"/>
    <w:rsid w:val="00B25F22"/>
    <w:rsid w:val="00B2754B"/>
    <w:rsid w:val="00B315E9"/>
    <w:rsid w:val="00B3180A"/>
    <w:rsid w:val="00B32794"/>
    <w:rsid w:val="00B32FBF"/>
    <w:rsid w:val="00B34748"/>
    <w:rsid w:val="00B3562C"/>
    <w:rsid w:val="00B35852"/>
    <w:rsid w:val="00B35FB2"/>
    <w:rsid w:val="00B36392"/>
    <w:rsid w:val="00B36DDE"/>
    <w:rsid w:val="00B36FA4"/>
    <w:rsid w:val="00B37E95"/>
    <w:rsid w:val="00B40517"/>
    <w:rsid w:val="00B40D43"/>
    <w:rsid w:val="00B41AAD"/>
    <w:rsid w:val="00B41C36"/>
    <w:rsid w:val="00B42EE4"/>
    <w:rsid w:val="00B4304D"/>
    <w:rsid w:val="00B430C1"/>
    <w:rsid w:val="00B43AAC"/>
    <w:rsid w:val="00B43CB8"/>
    <w:rsid w:val="00B4401B"/>
    <w:rsid w:val="00B44124"/>
    <w:rsid w:val="00B47991"/>
    <w:rsid w:val="00B47A41"/>
    <w:rsid w:val="00B50116"/>
    <w:rsid w:val="00B50911"/>
    <w:rsid w:val="00B51010"/>
    <w:rsid w:val="00B518A6"/>
    <w:rsid w:val="00B51C60"/>
    <w:rsid w:val="00B51F42"/>
    <w:rsid w:val="00B521A9"/>
    <w:rsid w:val="00B521C8"/>
    <w:rsid w:val="00B52B6B"/>
    <w:rsid w:val="00B52D03"/>
    <w:rsid w:val="00B530D6"/>
    <w:rsid w:val="00B531AD"/>
    <w:rsid w:val="00B5320F"/>
    <w:rsid w:val="00B53803"/>
    <w:rsid w:val="00B53B43"/>
    <w:rsid w:val="00B53C44"/>
    <w:rsid w:val="00B544E4"/>
    <w:rsid w:val="00B5503A"/>
    <w:rsid w:val="00B55B30"/>
    <w:rsid w:val="00B55C03"/>
    <w:rsid w:val="00B565A5"/>
    <w:rsid w:val="00B56D4C"/>
    <w:rsid w:val="00B57AB6"/>
    <w:rsid w:val="00B57C4E"/>
    <w:rsid w:val="00B60719"/>
    <w:rsid w:val="00B6083D"/>
    <w:rsid w:val="00B60D7B"/>
    <w:rsid w:val="00B60E20"/>
    <w:rsid w:val="00B61975"/>
    <w:rsid w:val="00B61A92"/>
    <w:rsid w:val="00B61B9E"/>
    <w:rsid w:val="00B6264E"/>
    <w:rsid w:val="00B62850"/>
    <w:rsid w:val="00B628E1"/>
    <w:rsid w:val="00B633C2"/>
    <w:rsid w:val="00B63B45"/>
    <w:rsid w:val="00B63E07"/>
    <w:rsid w:val="00B643B2"/>
    <w:rsid w:val="00B643F1"/>
    <w:rsid w:val="00B64421"/>
    <w:rsid w:val="00B64652"/>
    <w:rsid w:val="00B65B65"/>
    <w:rsid w:val="00B66143"/>
    <w:rsid w:val="00B661E2"/>
    <w:rsid w:val="00B66607"/>
    <w:rsid w:val="00B6723E"/>
    <w:rsid w:val="00B707AD"/>
    <w:rsid w:val="00B70F5D"/>
    <w:rsid w:val="00B71246"/>
    <w:rsid w:val="00B714C3"/>
    <w:rsid w:val="00B71B8E"/>
    <w:rsid w:val="00B72384"/>
    <w:rsid w:val="00B728FF"/>
    <w:rsid w:val="00B73346"/>
    <w:rsid w:val="00B734A5"/>
    <w:rsid w:val="00B73F8E"/>
    <w:rsid w:val="00B7446A"/>
    <w:rsid w:val="00B74705"/>
    <w:rsid w:val="00B74B25"/>
    <w:rsid w:val="00B74D45"/>
    <w:rsid w:val="00B750AC"/>
    <w:rsid w:val="00B75449"/>
    <w:rsid w:val="00B75780"/>
    <w:rsid w:val="00B757DB"/>
    <w:rsid w:val="00B7582E"/>
    <w:rsid w:val="00B758B9"/>
    <w:rsid w:val="00B75A08"/>
    <w:rsid w:val="00B7654C"/>
    <w:rsid w:val="00B769C1"/>
    <w:rsid w:val="00B76CC4"/>
    <w:rsid w:val="00B7754E"/>
    <w:rsid w:val="00B77661"/>
    <w:rsid w:val="00B779CF"/>
    <w:rsid w:val="00B800BA"/>
    <w:rsid w:val="00B8016F"/>
    <w:rsid w:val="00B8039E"/>
    <w:rsid w:val="00B81049"/>
    <w:rsid w:val="00B82C95"/>
    <w:rsid w:val="00B8360C"/>
    <w:rsid w:val="00B8452B"/>
    <w:rsid w:val="00B84C1E"/>
    <w:rsid w:val="00B84D1F"/>
    <w:rsid w:val="00B84F26"/>
    <w:rsid w:val="00B85757"/>
    <w:rsid w:val="00B8598C"/>
    <w:rsid w:val="00B85B4D"/>
    <w:rsid w:val="00B85BE6"/>
    <w:rsid w:val="00B85FA5"/>
    <w:rsid w:val="00B862C2"/>
    <w:rsid w:val="00B863E3"/>
    <w:rsid w:val="00B86539"/>
    <w:rsid w:val="00B86EBF"/>
    <w:rsid w:val="00B873A2"/>
    <w:rsid w:val="00B87D68"/>
    <w:rsid w:val="00B87E07"/>
    <w:rsid w:val="00B90070"/>
    <w:rsid w:val="00B908E1"/>
    <w:rsid w:val="00B9121D"/>
    <w:rsid w:val="00B91E57"/>
    <w:rsid w:val="00B9245C"/>
    <w:rsid w:val="00B932EF"/>
    <w:rsid w:val="00B9384B"/>
    <w:rsid w:val="00B9423C"/>
    <w:rsid w:val="00B944DA"/>
    <w:rsid w:val="00B94D31"/>
    <w:rsid w:val="00B94E49"/>
    <w:rsid w:val="00B94EFE"/>
    <w:rsid w:val="00B9504B"/>
    <w:rsid w:val="00B963F1"/>
    <w:rsid w:val="00B96652"/>
    <w:rsid w:val="00B96827"/>
    <w:rsid w:val="00B96C6B"/>
    <w:rsid w:val="00B97787"/>
    <w:rsid w:val="00B97C67"/>
    <w:rsid w:val="00BA0014"/>
    <w:rsid w:val="00BA0A50"/>
    <w:rsid w:val="00BA0EC1"/>
    <w:rsid w:val="00BA0FF0"/>
    <w:rsid w:val="00BA1171"/>
    <w:rsid w:val="00BA2124"/>
    <w:rsid w:val="00BA28AA"/>
    <w:rsid w:val="00BA2932"/>
    <w:rsid w:val="00BA3046"/>
    <w:rsid w:val="00BA31C8"/>
    <w:rsid w:val="00BA3925"/>
    <w:rsid w:val="00BA3FEA"/>
    <w:rsid w:val="00BA4E87"/>
    <w:rsid w:val="00BA5678"/>
    <w:rsid w:val="00BA668A"/>
    <w:rsid w:val="00BA6A5E"/>
    <w:rsid w:val="00BA7894"/>
    <w:rsid w:val="00BA79F6"/>
    <w:rsid w:val="00BA7EED"/>
    <w:rsid w:val="00BB045A"/>
    <w:rsid w:val="00BB0B66"/>
    <w:rsid w:val="00BB0B8D"/>
    <w:rsid w:val="00BB0CC5"/>
    <w:rsid w:val="00BB174E"/>
    <w:rsid w:val="00BB2132"/>
    <w:rsid w:val="00BB21D8"/>
    <w:rsid w:val="00BB2205"/>
    <w:rsid w:val="00BB2881"/>
    <w:rsid w:val="00BB2A0D"/>
    <w:rsid w:val="00BB341D"/>
    <w:rsid w:val="00BB423E"/>
    <w:rsid w:val="00BB43DE"/>
    <w:rsid w:val="00BB447D"/>
    <w:rsid w:val="00BB52C7"/>
    <w:rsid w:val="00BB53C3"/>
    <w:rsid w:val="00BB54E3"/>
    <w:rsid w:val="00BB5C2D"/>
    <w:rsid w:val="00BB5D88"/>
    <w:rsid w:val="00BB6116"/>
    <w:rsid w:val="00BB62A3"/>
    <w:rsid w:val="00BB6A39"/>
    <w:rsid w:val="00BB72E1"/>
    <w:rsid w:val="00BB75A6"/>
    <w:rsid w:val="00BB78D4"/>
    <w:rsid w:val="00BB798A"/>
    <w:rsid w:val="00BC12D0"/>
    <w:rsid w:val="00BC19A1"/>
    <w:rsid w:val="00BC1EA4"/>
    <w:rsid w:val="00BC26FB"/>
    <w:rsid w:val="00BC2A46"/>
    <w:rsid w:val="00BC2C53"/>
    <w:rsid w:val="00BC2D0E"/>
    <w:rsid w:val="00BC2F1A"/>
    <w:rsid w:val="00BC3702"/>
    <w:rsid w:val="00BC3A63"/>
    <w:rsid w:val="00BC3A64"/>
    <w:rsid w:val="00BC3A8E"/>
    <w:rsid w:val="00BC3ADD"/>
    <w:rsid w:val="00BC3E53"/>
    <w:rsid w:val="00BC3ED4"/>
    <w:rsid w:val="00BC4E0A"/>
    <w:rsid w:val="00BC6187"/>
    <w:rsid w:val="00BC6A25"/>
    <w:rsid w:val="00BC7315"/>
    <w:rsid w:val="00BC7394"/>
    <w:rsid w:val="00BC7D73"/>
    <w:rsid w:val="00BD0069"/>
    <w:rsid w:val="00BD08B3"/>
    <w:rsid w:val="00BD0966"/>
    <w:rsid w:val="00BD0E44"/>
    <w:rsid w:val="00BD1623"/>
    <w:rsid w:val="00BD1ECE"/>
    <w:rsid w:val="00BD2135"/>
    <w:rsid w:val="00BD25C7"/>
    <w:rsid w:val="00BD2D32"/>
    <w:rsid w:val="00BD3142"/>
    <w:rsid w:val="00BD443A"/>
    <w:rsid w:val="00BD4C82"/>
    <w:rsid w:val="00BD55F7"/>
    <w:rsid w:val="00BD5BF1"/>
    <w:rsid w:val="00BD6E29"/>
    <w:rsid w:val="00BD6FAE"/>
    <w:rsid w:val="00BD798C"/>
    <w:rsid w:val="00BD7B52"/>
    <w:rsid w:val="00BE04EE"/>
    <w:rsid w:val="00BE0D85"/>
    <w:rsid w:val="00BE1283"/>
    <w:rsid w:val="00BE226A"/>
    <w:rsid w:val="00BE24D4"/>
    <w:rsid w:val="00BE26C7"/>
    <w:rsid w:val="00BE3169"/>
    <w:rsid w:val="00BE3311"/>
    <w:rsid w:val="00BE4294"/>
    <w:rsid w:val="00BE45FA"/>
    <w:rsid w:val="00BE4C34"/>
    <w:rsid w:val="00BE5058"/>
    <w:rsid w:val="00BE59D1"/>
    <w:rsid w:val="00BE6315"/>
    <w:rsid w:val="00BE6424"/>
    <w:rsid w:val="00BE68DA"/>
    <w:rsid w:val="00BE71CB"/>
    <w:rsid w:val="00BE7BFC"/>
    <w:rsid w:val="00BF10CF"/>
    <w:rsid w:val="00BF15FA"/>
    <w:rsid w:val="00BF1A7D"/>
    <w:rsid w:val="00BF1F54"/>
    <w:rsid w:val="00BF28AE"/>
    <w:rsid w:val="00BF35CF"/>
    <w:rsid w:val="00BF48C3"/>
    <w:rsid w:val="00BF5595"/>
    <w:rsid w:val="00BF5EF2"/>
    <w:rsid w:val="00BF6B93"/>
    <w:rsid w:val="00BF6F6D"/>
    <w:rsid w:val="00BF7005"/>
    <w:rsid w:val="00BF7A2C"/>
    <w:rsid w:val="00BF7A83"/>
    <w:rsid w:val="00C0026A"/>
    <w:rsid w:val="00C006E4"/>
    <w:rsid w:val="00C0148F"/>
    <w:rsid w:val="00C01E20"/>
    <w:rsid w:val="00C0210C"/>
    <w:rsid w:val="00C021FB"/>
    <w:rsid w:val="00C02731"/>
    <w:rsid w:val="00C027EE"/>
    <w:rsid w:val="00C0282D"/>
    <w:rsid w:val="00C030A1"/>
    <w:rsid w:val="00C0408C"/>
    <w:rsid w:val="00C05073"/>
    <w:rsid w:val="00C06325"/>
    <w:rsid w:val="00C066C6"/>
    <w:rsid w:val="00C069A6"/>
    <w:rsid w:val="00C06E8B"/>
    <w:rsid w:val="00C0776D"/>
    <w:rsid w:val="00C079AC"/>
    <w:rsid w:val="00C07BD4"/>
    <w:rsid w:val="00C10B1C"/>
    <w:rsid w:val="00C10DA9"/>
    <w:rsid w:val="00C10DC7"/>
    <w:rsid w:val="00C10E18"/>
    <w:rsid w:val="00C10F4C"/>
    <w:rsid w:val="00C110EC"/>
    <w:rsid w:val="00C11A2C"/>
    <w:rsid w:val="00C11A3B"/>
    <w:rsid w:val="00C12263"/>
    <w:rsid w:val="00C12637"/>
    <w:rsid w:val="00C12D71"/>
    <w:rsid w:val="00C13730"/>
    <w:rsid w:val="00C13EB0"/>
    <w:rsid w:val="00C146C5"/>
    <w:rsid w:val="00C15952"/>
    <w:rsid w:val="00C15A36"/>
    <w:rsid w:val="00C16965"/>
    <w:rsid w:val="00C16971"/>
    <w:rsid w:val="00C16DDB"/>
    <w:rsid w:val="00C16F0F"/>
    <w:rsid w:val="00C177BD"/>
    <w:rsid w:val="00C17CD4"/>
    <w:rsid w:val="00C208B5"/>
    <w:rsid w:val="00C21140"/>
    <w:rsid w:val="00C217B1"/>
    <w:rsid w:val="00C2204B"/>
    <w:rsid w:val="00C2208F"/>
    <w:rsid w:val="00C2254D"/>
    <w:rsid w:val="00C233BE"/>
    <w:rsid w:val="00C2551F"/>
    <w:rsid w:val="00C25F7C"/>
    <w:rsid w:val="00C26126"/>
    <w:rsid w:val="00C265E2"/>
    <w:rsid w:val="00C2673C"/>
    <w:rsid w:val="00C26826"/>
    <w:rsid w:val="00C26D98"/>
    <w:rsid w:val="00C273E7"/>
    <w:rsid w:val="00C274B0"/>
    <w:rsid w:val="00C27562"/>
    <w:rsid w:val="00C278EA"/>
    <w:rsid w:val="00C30AA6"/>
    <w:rsid w:val="00C31509"/>
    <w:rsid w:val="00C315D9"/>
    <w:rsid w:val="00C31B46"/>
    <w:rsid w:val="00C31B9D"/>
    <w:rsid w:val="00C3222D"/>
    <w:rsid w:val="00C328DC"/>
    <w:rsid w:val="00C32DAA"/>
    <w:rsid w:val="00C32FCA"/>
    <w:rsid w:val="00C343D1"/>
    <w:rsid w:val="00C35160"/>
    <w:rsid w:val="00C3692E"/>
    <w:rsid w:val="00C36F40"/>
    <w:rsid w:val="00C37136"/>
    <w:rsid w:val="00C373AB"/>
    <w:rsid w:val="00C404E4"/>
    <w:rsid w:val="00C40743"/>
    <w:rsid w:val="00C4083B"/>
    <w:rsid w:val="00C413C7"/>
    <w:rsid w:val="00C4197E"/>
    <w:rsid w:val="00C41A74"/>
    <w:rsid w:val="00C420CA"/>
    <w:rsid w:val="00C4234D"/>
    <w:rsid w:val="00C42877"/>
    <w:rsid w:val="00C42DD3"/>
    <w:rsid w:val="00C44025"/>
    <w:rsid w:val="00C44667"/>
    <w:rsid w:val="00C44804"/>
    <w:rsid w:val="00C4537E"/>
    <w:rsid w:val="00C45CD2"/>
    <w:rsid w:val="00C476A7"/>
    <w:rsid w:val="00C476F7"/>
    <w:rsid w:val="00C5010B"/>
    <w:rsid w:val="00C505F7"/>
    <w:rsid w:val="00C50CB4"/>
    <w:rsid w:val="00C515EB"/>
    <w:rsid w:val="00C51B50"/>
    <w:rsid w:val="00C52155"/>
    <w:rsid w:val="00C5281F"/>
    <w:rsid w:val="00C52870"/>
    <w:rsid w:val="00C5290E"/>
    <w:rsid w:val="00C543BC"/>
    <w:rsid w:val="00C55849"/>
    <w:rsid w:val="00C55B61"/>
    <w:rsid w:val="00C55D83"/>
    <w:rsid w:val="00C56BD5"/>
    <w:rsid w:val="00C60192"/>
    <w:rsid w:val="00C6149B"/>
    <w:rsid w:val="00C625D9"/>
    <w:rsid w:val="00C62678"/>
    <w:rsid w:val="00C62AE9"/>
    <w:rsid w:val="00C63097"/>
    <w:rsid w:val="00C631B1"/>
    <w:rsid w:val="00C635AF"/>
    <w:rsid w:val="00C63B6D"/>
    <w:rsid w:val="00C64210"/>
    <w:rsid w:val="00C64A1C"/>
    <w:rsid w:val="00C64E7A"/>
    <w:rsid w:val="00C6533C"/>
    <w:rsid w:val="00C66032"/>
    <w:rsid w:val="00C6616C"/>
    <w:rsid w:val="00C664E8"/>
    <w:rsid w:val="00C66956"/>
    <w:rsid w:val="00C66F1A"/>
    <w:rsid w:val="00C678BF"/>
    <w:rsid w:val="00C700C1"/>
    <w:rsid w:val="00C70B06"/>
    <w:rsid w:val="00C70DF0"/>
    <w:rsid w:val="00C70FB4"/>
    <w:rsid w:val="00C7122B"/>
    <w:rsid w:val="00C71864"/>
    <w:rsid w:val="00C719E9"/>
    <w:rsid w:val="00C71C58"/>
    <w:rsid w:val="00C72180"/>
    <w:rsid w:val="00C72491"/>
    <w:rsid w:val="00C742F3"/>
    <w:rsid w:val="00C75259"/>
    <w:rsid w:val="00C7533A"/>
    <w:rsid w:val="00C75440"/>
    <w:rsid w:val="00C766FD"/>
    <w:rsid w:val="00C769FD"/>
    <w:rsid w:val="00C76FCB"/>
    <w:rsid w:val="00C77113"/>
    <w:rsid w:val="00C77302"/>
    <w:rsid w:val="00C77830"/>
    <w:rsid w:val="00C779C1"/>
    <w:rsid w:val="00C77B58"/>
    <w:rsid w:val="00C77B70"/>
    <w:rsid w:val="00C80529"/>
    <w:rsid w:val="00C8068F"/>
    <w:rsid w:val="00C82FEE"/>
    <w:rsid w:val="00C834B2"/>
    <w:rsid w:val="00C8449C"/>
    <w:rsid w:val="00C84CA1"/>
    <w:rsid w:val="00C84E55"/>
    <w:rsid w:val="00C8508F"/>
    <w:rsid w:val="00C85599"/>
    <w:rsid w:val="00C858E0"/>
    <w:rsid w:val="00C858F3"/>
    <w:rsid w:val="00C86375"/>
    <w:rsid w:val="00C867A8"/>
    <w:rsid w:val="00C8694B"/>
    <w:rsid w:val="00C86AAE"/>
    <w:rsid w:val="00C86D3C"/>
    <w:rsid w:val="00C872C7"/>
    <w:rsid w:val="00C9032F"/>
    <w:rsid w:val="00C920EE"/>
    <w:rsid w:val="00C92FDE"/>
    <w:rsid w:val="00C934BE"/>
    <w:rsid w:val="00C954EA"/>
    <w:rsid w:val="00C958A2"/>
    <w:rsid w:val="00C95F7E"/>
    <w:rsid w:val="00C97A70"/>
    <w:rsid w:val="00CA0B51"/>
    <w:rsid w:val="00CA0CDD"/>
    <w:rsid w:val="00CA0F35"/>
    <w:rsid w:val="00CA103E"/>
    <w:rsid w:val="00CA1D7E"/>
    <w:rsid w:val="00CA2709"/>
    <w:rsid w:val="00CA2CF2"/>
    <w:rsid w:val="00CA37A9"/>
    <w:rsid w:val="00CA4061"/>
    <w:rsid w:val="00CA409B"/>
    <w:rsid w:val="00CA4D4F"/>
    <w:rsid w:val="00CA4E75"/>
    <w:rsid w:val="00CA4EAA"/>
    <w:rsid w:val="00CA51CB"/>
    <w:rsid w:val="00CA655B"/>
    <w:rsid w:val="00CA6FF3"/>
    <w:rsid w:val="00CA74F6"/>
    <w:rsid w:val="00CA7F59"/>
    <w:rsid w:val="00CB100C"/>
    <w:rsid w:val="00CB1588"/>
    <w:rsid w:val="00CB15DE"/>
    <w:rsid w:val="00CB1622"/>
    <w:rsid w:val="00CB165B"/>
    <w:rsid w:val="00CB199A"/>
    <w:rsid w:val="00CB1FA3"/>
    <w:rsid w:val="00CB2448"/>
    <w:rsid w:val="00CB26D2"/>
    <w:rsid w:val="00CB2B46"/>
    <w:rsid w:val="00CB32D8"/>
    <w:rsid w:val="00CB3373"/>
    <w:rsid w:val="00CB395F"/>
    <w:rsid w:val="00CB3C5F"/>
    <w:rsid w:val="00CB3C63"/>
    <w:rsid w:val="00CB4004"/>
    <w:rsid w:val="00CB44CD"/>
    <w:rsid w:val="00CB4E50"/>
    <w:rsid w:val="00CB4F7C"/>
    <w:rsid w:val="00CB7ADA"/>
    <w:rsid w:val="00CC0680"/>
    <w:rsid w:val="00CC185E"/>
    <w:rsid w:val="00CC1CA2"/>
    <w:rsid w:val="00CC21EB"/>
    <w:rsid w:val="00CC3BD4"/>
    <w:rsid w:val="00CC3EB0"/>
    <w:rsid w:val="00CC40CE"/>
    <w:rsid w:val="00CC47C0"/>
    <w:rsid w:val="00CC50F5"/>
    <w:rsid w:val="00CC54BC"/>
    <w:rsid w:val="00CC5C07"/>
    <w:rsid w:val="00CC5D08"/>
    <w:rsid w:val="00CC6997"/>
    <w:rsid w:val="00CC77BC"/>
    <w:rsid w:val="00CC7A73"/>
    <w:rsid w:val="00CD0126"/>
    <w:rsid w:val="00CD048F"/>
    <w:rsid w:val="00CD158B"/>
    <w:rsid w:val="00CD1603"/>
    <w:rsid w:val="00CD1675"/>
    <w:rsid w:val="00CD1996"/>
    <w:rsid w:val="00CD19E6"/>
    <w:rsid w:val="00CD1BB3"/>
    <w:rsid w:val="00CD2409"/>
    <w:rsid w:val="00CD2995"/>
    <w:rsid w:val="00CD2B14"/>
    <w:rsid w:val="00CD3C3C"/>
    <w:rsid w:val="00CD3DEA"/>
    <w:rsid w:val="00CD438D"/>
    <w:rsid w:val="00CD4433"/>
    <w:rsid w:val="00CD4AFD"/>
    <w:rsid w:val="00CD4E42"/>
    <w:rsid w:val="00CD53E2"/>
    <w:rsid w:val="00CD63FA"/>
    <w:rsid w:val="00CD6B85"/>
    <w:rsid w:val="00CD7235"/>
    <w:rsid w:val="00CE02E6"/>
    <w:rsid w:val="00CE040F"/>
    <w:rsid w:val="00CE0C6C"/>
    <w:rsid w:val="00CE10D7"/>
    <w:rsid w:val="00CE1597"/>
    <w:rsid w:val="00CE1C3A"/>
    <w:rsid w:val="00CE1DB1"/>
    <w:rsid w:val="00CE211C"/>
    <w:rsid w:val="00CE24F6"/>
    <w:rsid w:val="00CE2A32"/>
    <w:rsid w:val="00CE34EC"/>
    <w:rsid w:val="00CE41BA"/>
    <w:rsid w:val="00CE4522"/>
    <w:rsid w:val="00CE48B1"/>
    <w:rsid w:val="00CE4A1D"/>
    <w:rsid w:val="00CE71D1"/>
    <w:rsid w:val="00CF0030"/>
    <w:rsid w:val="00CF030F"/>
    <w:rsid w:val="00CF0C14"/>
    <w:rsid w:val="00CF0F60"/>
    <w:rsid w:val="00CF12B7"/>
    <w:rsid w:val="00CF1FD2"/>
    <w:rsid w:val="00CF2237"/>
    <w:rsid w:val="00CF2654"/>
    <w:rsid w:val="00CF275F"/>
    <w:rsid w:val="00CF32FA"/>
    <w:rsid w:val="00CF390F"/>
    <w:rsid w:val="00CF44A9"/>
    <w:rsid w:val="00CF4559"/>
    <w:rsid w:val="00CF6554"/>
    <w:rsid w:val="00CF6E83"/>
    <w:rsid w:val="00CF78E6"/>
    <w:rsid w:val="00CF7A0D"/>
    <w:rsid w:val="00D001F5"/>
    <w:rsid w:val="00D004F0"/>
    <w:rsid w:val="00D00581"/>
    <w:rsid w:val="00D0095F"/>
    <w:rsid w:val="00D00A94"/>
    <w:rsid w:val="00D00AE5"/>
    <w:rsid w:val="00D00CD1"/>
    <w:rsid w:val="00D00CEA"/>
    <w:rsid w:val="00D015C7"/>
    <w:rsid w:val="00D0182D"/>
    <w:rsid w:val="00D01AA4"/>
    <w:rsid w:val="00D01DF7"/>
    <w:rsid w:val="00D020A7"/>
    <w:rsid w:val="00D0294A"/>
    <w:rsid w:val="00D03876"/>
    <w:rsid w:val="00D039C4"/>
    <w:rsid w:val="00D03B5F"/>
    <w:rsid w:val="00D04304"/>
    <w:rsid w:val="00D054CB"/>
    <w:rsid w:val="00D05503"/>
    <w:rsid w:val="00D055AC"/>
    <w:rsid w:val="00D05DBD"/>
    <w:rsid w:val="00D061D7"/>
    <w:rsid w:val="00D065C0"/>
    <w:rsid w:val="00D066AE"/>
    <w:rsid w:val="00D06C8A"/>
    <w:rsid w:val="00D078A4"/>
    <w:rsid w:val="00D07E68"/>
    <w:rsid w:val="00D105FC"/>
    <w:rsid w:val="00D1073A"/>
    <w:rsid w:val="00D1207F"/>
    <w:rsid w:val="00D13905"/>
    <w:rsid w:val="00D13A50"/>
    <w:rsid w:val="00D13CCF"/>
    <w:rsid w:val="00D141A2"/>
    <w:rsid w:val="00D14330"/>
    <w:rsid w:val="00D14E9A"/>
    <w:rsid w:val="00D15A7D"/>
    <w:rsid w:val="00D15F44"/>
    <w:rsid w:val="00D16470"/>
    <w:rsid w:val="00D166F6"/>
    <w:rsid w:val="00D16853"/>
    <w:rsid w:val="00D16B57"/>
    <w:rsid w:val="00D16BFD"/>
    <w:rsid w:val="00D16ECF"/>
    <w:rsid w:val="00D16EF0"/>
    <w:rsid w:val="00D1714B"/>
    <w:rsid w:val="00D17871"/>
    <w:rsid w:val="00D17C79"/>
    <w:rsid w:val="00D200A4"/>
    <w:rsid w:val="00D202AD"/>
    <w:rsid w:val="00D2082F"/>
    <w:rsid w:val="00D20EF0"/>
    <w:rsid w:val="00D21147"/>
    <w:rsid w:val="00D21E87"/>
    <w:rsid w:val="00D21F19"/>
    <w:rsid w:val="00D22016"/>
    <w:rsid w:val="00D22345"/>
    <w:rsid w:val="00D22A16"/>
    <w:rsid w:val="00D22CD2"/>
    <w:rsid w:val="00D22DAA"/>
    <w:rsid w:val="00D2406B"/>
    <w:rsid w:val="00D24529"/>
    <w:rsid w:val="00D245E9"/>
    <w:rsid w:val="00D24793"/>
    <w:rsid w:val="00D24AA8"/>
    <w:rsid w:val="00D24AEB"/>
    <w:rsid w:val="00D25452"/>
    <w:rsid w:val="00D25674"/>
    <w:rsid w:val="00D256FA"/>
    <w:rsid w:val="00D260A6"/>
    <w:rsid w:val="00D26674"/>
    <w:rsid w:val="00D26DEA"/>
    <w:rsid w:val="00D27223"/>
    <w:rsid w:val="00D30A9C"/>
    <w:rsid w:val="00D31114"/>
    <w:rsid w:val="00D3154C"/>
    <w:rsid w:val="00D3199D"/>
    <w:rsid w:val="00D32F3C"/>
    <w:rsid w:val="00D33768"/>
    <w:rsid w:val="00D33EA6"/>
    <w:rsid w:val="00D342CF"/>
    <w:rsid w:val="00D3479F"/>
    <w:rsid w:val="00D347D6"/>
    <w:rsid w:val="00D34A60"/>
    <w:rsid w:val="00D35660"/>
    <w:rsid w:val="00D35CDC"/>
    <w:rsid w:val="00D364AC"/>
    <w:rsid w:val="00D36992"/>
    <w:rsid w:val="00D37CB2"/>
    <w:rsid w:val="00D4067E"/>
    <w:rsid w:val="00D41E28"/>
    <w:rsid w:val="00D4208B"/>
    <w:rsid w:val="00D420FF"/>
    <w:rsid w:val="00D42364"/>
    <w:rsid w:val="00D42AD8"/>
    <w:rsid w:val="00D42D4D"/>
    <w:rsid w:val="00D43A0C"/>
    <w:rsid w:val="00D43FF4"/>
    <w:rsid w:val="00D44022"/>
    <w:rsid w:val="00D45062"/>
    <w:rsid w:val="00D451F5"/>
    <w:rsid w:val="00D454F7"/>
    <w:rsid w:val="00D45C9E"/>
    <w:rsid w:val="00D463AE"/>
    <w:rsid w:val="00D47026"/>
    <w:rsid w:val="00D4723C"/>
    <w:rsid w:val="00D476DD"/>
    <w:rsid w:val="00D509E6"/>
    <w:rsid w:val="00D50F6B"/>
    <w:rsid w:val="00D52020"/>
    <w:rsid w:val="00D522EB"/>
    <w:rsid w:val="00D525A2"/>
    <w:rsid w:val="00D52E2A"/>
    <w:rsid w:val="00D5373F"/>
    <w:rsid w:val="00D54141"/>
    <w:rsid w:val="00D544BD"/>
    <w:rsid w:val="00D54826"/>
    <w:rsid w:val="00D5492D"/>
    <w:rsid w:val="00D549EB"/>
    <w:rsid w:val="00D5557C"/>
    <w:rsid w:val="00D55BEB"/>
    <w:rsid w:val="00D56050"/>
    <w:rsid w:val="00D56359"/>
    <w:rsid w:val="00D56560"/>
    <w:rsid w:val="00D56998"/>
    <w:rsid w:val="00D56D90"/>
    <w:rsid w:val="00D56E90"/>
    <w:rsid w:val="00D572C5"/>
    <w:rsid w:val="00D572F3"/>
    <w:rsid w:val="00D57717"/>
    <w:rsid w:val="00D60112"/>
    <w:rsid w:val="00D6011E"/>
    <w:rsid w:val="00D602C9"/>
    <w:rsid w:val="00D60AB8"/>
    <w:rsid w:val="00D61156"/>
    <w:rsid w:val="00D62844"/>
    <w:rsid w:val="00D62AD2"/>
    <w:rsid w:val="00D62F24"/>
    <w:rsid w:val="00D64873"/>
    <w:rsid w:val="00D656CE"/>
    <w:rsid w:val="00D65D40"/>
    <w:rsid w:val="00D65DED"/>
    <w:rsid w:val="00D661C3"/>
    <w:rsid w:val="00D66D84"/>
    <w:rsid w:val="00D67874"/>
    <w:rsid w:val="00D678FF"/>
    <w:rsid w:val="00D67E1B"/>
    <w:rsid w:val="00D701F8"/>
    <w:rsid w:val="00D704F2"/>
    <w:rsid w:val="00D70DF4"/>
    <w:rsid w:val="00D71921"/>
    <w:rsid w:val="00D721C3"/>
    <w:rsid w:val="00D72B4B"/>
    <w:rsid w:val="00D72B7B"/>
    <w:rsid w:val="00D72CDF"/>
    <w:rsid w:val="00D731A0"/>
    <w:rsid w:val="00D73CDC"/>
    <w:rsid w:val="00D74892"/>
    <w:rsid w:val="00D74E42"/>
    <w:rsid w:val="00D75A1F"/>
    <w:rsid w:val="00D75ED0"/>
    <w:rsid w:val="00D76022"/>
    <w:rsid w:val="00D76393"/>
    <w:rsid w:val="00D7663A"/>
    <w:rsid w:val="00D77197"/>
    <w:rsid w:val="00D7782B"/>
    <w:rsid w:val="00D80195"/>
    <w:rsid w:val="00D803A6"/>
    <w:rsid w:val="00D80799"/>
    <w:rsid w:val="00D8161C"/>
    <w:rsid w:val="00D82286"/>
    <w:rsid w:val="00D82BB2"/>
    <w:rsid w:val="00D8318F"/>
    <w:rsid w:val="00D83A2B"/>
    <w:rsid w:val="00D83C40"/>
    <w:rsid w:val="00D8472C"/>
    <w:rsid w:val="00D84A2E"/>
    <w:rsid w:val="00D85623"/>
    <w:rsid w:val="00D860F4"/>
    <w:rsid w:val="00D86972"/>
    <w:rsid w:val="00D875A0"/>
    <w:rsid w:val="00D87F79"/>
    <w:rsid w:val="00D9063A"/>
    <w:rsid w:val="00D90B0B"/>
    <w:rsid w:val="00D90C0B"/>
    <w:rsid w:val="00D90E43"/>
    <w:rsid w:val="00D90EB9"/>
    <w:rsid w:val="00D910E2"/>
    <w:rsid w:val="00D91210"/>
    <w:rsid w:val="00D91C9E"/>
    <w:rsid w:val="00D91F72"/>
    <w:rsid w:val="00D920B3"/>
    <w:rsid w:val="00D92159"/>
    <w:rsid w:val="00D9223E"/>
    <w:rsid w:val="00D92A32"/>
    <w:rsid w:val="00D9341B"/>
    <w:rsid w:val="00D94248"/>
    <w:rsid w:val="00D944BC"/>
    <w:rsid w:val="00D944C4"/>
    <w:rsid w:val="00D94780"/>
    <w:rsid w:val="00D94BA8"/>
    <w:rsid w:val="00D94D51"/>
    <w:rsid w:val="00D94F3B"/>
    <w:rsid w:val="00D95313"/>
    <w:rsid w:val="00D95B40"/>
    <w:rsid w:val="00D95E89"/>
    <w:rsid w:val="00D969F6"/>
    <w:rsid w:val="00D96DA6"/>
    <w:rsid w:val="00D97788"/>
    <w:rsid w:val="00DA160C"/>
    <w:rsid w:val="00DA1E95"/>
    <w:rsid w:val="00DA21AF"/>
    <w:rsid w:val="00DA2384"/>
    <w:rsid w:val="00DA29A2"/>
    <w:rsid w:val="00DA3C6A"/>
    <w:rsid w:val="00DA4BB7"/>
    <w:rsid w:val="00DA5682"/>
    <w:rsid w:val="00DA5A11"/>
    <w:rsid w:val="00DA5AB8"/>
    <w:rsid w:val="00DA671F"/>
    <w:rsid w:val="00DA68FD"/>
    <w:rsid w:val="00DA6C29"/>
    <w:rsid w:val="00DA6FAC"/>
    <w:rsid w:val="00DA7492"/>
    <w:rsid w:val="00DA7F48"/>
    <w:rsid w:val="00DB16DB"/>
    <w:rsid w:val="00DB2198"/>
    <w:rsid w:val="00DB2229"/>
    <w:rsid w:val="00DB223E"/>
    <w:rsid w:val="00DB2A7A"/>
    <w:rsid w:val="00DB2F94"/>
    <w:rsid w:val="00DB2FB0"/>
    <w:rsid w:val="00DB3D0E"/>
    <w:rsid w:val="00DB3DE3"/>
    <w:rsid w:val="00DB46AC"/>
    <w:rsid w:val="00DB489C"/>
    <w:rsid w:val="00DB4A49"/>
    <w:rsid w:val="00DB4C74"/>
    <w:rsid w:val="00DB5D12"/>
    <w:rsid w:val="00DB658E"/>
    <w:rsid w:val="00DC0375"/>
    <w:rsid w:val="00DC09A2"/>
    <w:rsid w:val="00DC0D60"/>
    <w:rsid w:val="00DC391B"/>
    <w:rsid w:val="00DC3F99"/>
    <w:rsid w:val="00DC40F0"/>
    <w:rsid w:val="00DC449E"/>
    <w:rsid w:val="00DC4509"/>
    <w:rsid w:val="00DC4932"/>
    <w:rsid w:val="00DC4D15"/>
    <w:rsid w:val="00DC576D"/>
    <w:rsid w:val="00DC5EBF"/>
    <w:rsid w:val="00DC65C6"/>
    <w:rsid w:val="00DC6718"/>
    <w:rsid w:val="00DC7272"/>
    <w:rsid w:val="00DC7590"/>
    <w:rsid w:val="00DC7B2C"/>
    <w:rsid w:val="00DD06BC"/>
    <w:rsid w:val="00DD07EB"/>
    <w:rsid w:val="00DD10F1"/>
    <w:rsid w:val="00DD1BED"/>
    <w:rsid w:val="00DD22D8"/>
    <w:rsid w:val="00DD284E"/>
    <w:rsid w:val="00DD2DE5"/>
    <w:rsid w:val="00DD3AAA"/>
    <w:rsid w:val="00DD3E9E"/>
    <w:rsid w:val="00DD40E2"/>
    <w:rsid w:val="00DD44C1"/>
    <w:rsid w:val="00DD45D1"/>
    <w:rsid w:val="00DD488D"/>
    <w:rsid w:val="00DD7004"/>
    <w:rsid w:val="00DD72A3"/>
    <w:rsid w:val="00DD7624"/>
    <w:rsid w:val="00DD7B5C"/>
    <w:rsid w:val="00DD7F64"/>
    <w:rsid w:val="00DE0A1B"/>
    <w:rsid w:val="00DE0EC2"/>
    <w:rsid w:val="00DE1EAB"/>
    <w:rsid w:val="00DE2508"/>
    <w:rsid w:val="00DE2646"/>
    <w:rsid w:val="00DE2CCA"/>
    <w:rsid w:val="00DE2EF2"/>
    <w:rsid w:val="00DE2FC1"/>
    <w:rsid w:val="00DE3254"/>
    <w:rsid w:val="00DE3641"/>
    <w:rsid w:val="00DE3BFE"/>
    <w:rsid w:val="00DE3C53"/>
    <w:rsid w:val="00DE450F"/>
    <w:rsid w:val="00DE4AF0"/>
    <w:rsid w:val="00DE4CF2"/>
    <w:rsid w:val="00DE5076"/>
    <w:rsid w:val="00DE51AE"/>
    <w:rsid w:val="00DE62BA"/>
    <w:rsid w:val="00DE7182"/>
    <w:rsid w:val="00DE7502"/>
    <w:rsid w:val="00DE781F"/>
    <w:rsid w:val="00DE7A7C"/>
    <w:rsid w:val="00DF0000"/>
    <w:rsid w:val="00DF039C"/>
    <w:rsid w:val="00DF06E8"/>
    <w:rsid w:val="00DF09B4"/>
    <w:rsid w:val="00DF1851"/>
    <w:rsid w:val="00DF197A"/>
    <w:rsid w:val="00DF1980"/>
    <w:rsid w:val="00DF1A51"/>
    <w:rsid w:val="00DF1B99"/>
    <w:rsid w:val="00DF1D72"/>
    <w:rsid w:val="00DF3420"/>
    <w:rsid w:val="00DF3554"/>
    <w:rsid w:val="00DF3861"/>
    <w:rsid w:val="00DF41A9"/>
    <w:rsid w:val="00DF5344"/>
    <w:rsid w:val="00DF5466"/>
    <w:rsid w:val="00DF5AE5"/>
    <w:rsid w:val="00DF5F9B"/>
    <w:rsid w:val="00DF6A1E"/>
    <w:rsid w:val="00DF6ACF"/>
    <w:rsid w:val="00DF6C72"/>
    <w:rsid w:val="00DF6D18"/>
    <w:rsid w:val="00DF6E69"/>
    <w:rsid w:val="00DF6FD4"/>
    <w:rsid w:val="00DF7091"/>
    <w:rsid w:val="00DF7D14"/>
    <w:rsid w:val="00E00E91"/>
    <w:rsid w:val="00E00FA8"/>
    <w:rsid w:val="00E011DB"/>
    <w:rsid w:val="00E01681"/>
    <w:rsid w:val="00E01A9D"/>
    <w:rsid w:val="00E01D49"/>
    <w:rsid w:val="00E01F11"/>
    <w:rsid w:val="00E02A89"/>
    <w:rsid w:val="00E02D85"/>
    <w:rsid w:val="00E030C7"/>
    <w:rsid w:val="00E04B4E"/>
    <w:rsid w:val="00E050E6"/>
    <w:rsid w:val="00E05480"/>
    <w:rsid w:val="00E05559"/>
    <w:rsid w:val="00E05B64"/>
    <w:rsid w:val="00E05E1B"/>
    <w:rsid w:val="00E05FB0"/>
    <w:rsid w:val="00E0630F"/>
    <w:rsid w:val="00E07BAC"/>
    <w:rsid w:val="00E10346"/>
    <w:rsid w:val="00E10386"/>
    <w:rsid w:val="00E1085E"/>
    <w:rsid w:val="00E11134"/>
    <w:rsid w:val="00E11CEC"/>
    <w:rsid w:val="00E1269C"/>
    <w:rsid w:val="00E12D22"/>
    <w:rsid w:val="00E13500"/>
    <w:rsid w:val="00E13EAF"/>
    <w:rsid w:val="00E1413C"/>
    <w:rsid w:val="00E1450E"/>
    <w:rsid w:val="00E14608"/>
    <w:rsid w:val="00E14D7B"/>
    <w:rsid w:val="00E15215"/>
    <w:rsid w:val="00E15294"/>
    <w:rsid w:val="00E15CD6"/>
    <w:rsid w:val="00E16770"/>
    <w:rsid w:val="00E1681D"/>
    <w:rsid w:val="00E1696F"/>
    <w:rsid w:val="00E16E83"/>
    <w:rsid w:val="00E17250"/>
    <w:rsid w:val="00E202B1"/>
    <w:rsid w:val="00E205C0"/>
    <w:rsid w:val="00E213B1"/>
    <w:rsid w:val="00E21FCA"/>
    <w:rsid w:val="00E220D5"/>
    <w:rsid w:val="00E2256C"/>
    <w:rsid w:val="00E22AA9"/>
    <w:rsid w:val="00E24358"/>
    <w:rsid w:val="00E244E2"/>
    <w:rsid w:val="00E24D8D"/>
    <w:rsid w:val="00E25030"/>
    <w:rsid w:val="00E25734"/>
    <w:rsid w:val="00E260D4"/>
    <w:rsid w:val="00E2611D"/>
    <w:rsid w:val="00E26C32"/>
    <w:rsid w:val="00E26E50"/>
    <w:rsid w:val="00E26ED1"/>
    <w:rsid w:val="00E27321"/>
    <w:rsid w:val="00E27E39"/>
    <w:rsid w:val="00E27EA5"/>
    <w:rsid w:val="00E30492"/>
    <w:rsid w:val="00E3059C"/>
    <w:rsid w:val="00E308A0"/>
    <w:rsid w:val="00E30A43"/>
    <w:rsid w:val="00E31161"/>
    <w:rsid w:val="00E31B07"/>
    <w:rsid w:val="00E32033"/>
    <w:rsid w:val="00E32227"/>
    <w:rsid w:val="00E325FA"/>
    <w:rsid w:val="00E3261E"/>
    <w:rsid w:val="00E33231"/>
    <w:rsid w:val="00E33486"/>
    <w:rsid w:val="00E337BC"/>
    <w:rsid w:val="00E3385D"/>
    <w:rsid w:val="00E33C2E"/>
    <w:rsid w:val="00E340AD"/>
    <w:rsid w:val="00E34D08"/>
    <w:rsid w:val="00E34D09"/>
    <w:rsid w:val="00E35269"/>
    <w:rsid w:val="00E35908"/>
    <w:rsid w:val="00E3594B"/>
    <w:rsid w:val="00E35D4A"/>
    <w:rsid w:val="00E36562"/>
    <w:rsid w:val="00E36B39"/>
    <w:rsid w:val="00E36CD4"/>
    <w:rsid w:val="00E36FC5"/>
    <w:rsid w:val="00E3724D"/>
    <w:rsid w:val="00E37B9E"/>
    <w:rsid w:val="00E4085E"/>
    <w:rsid w:val="00E41285"/>
    <w:rsid w:val="00E43119"/>
    <w:rsid w:val="00E433F4"/>
    <w:rsid w:val="00E43F46"/>
    <w:rsid w:val="00E44BEB"/>
    <w:rsid w:val="00E46753"/>
    <w:rsid w:val="00E469FA"/>
    <w:rsid w:val="00E474A0"/>
    <w:rsid w:val="00E478A0"/>
    <w:rsid w:val="00E47BB1"/>
    <w:rsid w:val="00E47EA7"/>
    <w:rsid w:val="00E5032E"/>
    <w:rsid w:val="00E50CB1"/>
    <w:rsid w:val="00E50F83"/>
    <w:rsid w:val="00E5129F"/>
    <w:rsid w:val="00E518C5"/>
    <w:rsid w:val="00E52B1D"/>
    <w:rsid w:val="00E53FF8"/>
    <w:rsid w:val="00E54177"/>
    <w:rsid w:val="00E5423A"/>
    <w:rsid w:val="00E55335"/>
    <w:rsid w:val="00E5552D"/>
    <w:rsid w:val="00E5562E"/>
    <w:rsid w:val="00E55F06"/>
    <w:rsid w:val="00E562FB"/>
    <w:rsid w:val="00E564D3"/>
    <w:rsid w:val="00E56A37"/>
    <w:rsid w:val="00E570E2"/>
    <w:rsid w:val="00E570E5"/>
    <w:rsid w:val="00E57B0B"/>
    <w:rsid w:val="00E57D22"/>
    <w:rsid w:val="00E6004C"/>
    <w:rsid w:val="00E6033E"/>
    <w:rsid w:val="00E60658"/>
    <w:rsid w:val="00E6095E"/>
    <w:rsid w:val="00E60B12"/>
    <w:rsid w:val="00E62627"/>
    <w:rsid w:val="00E62BDF"/>
    <w:rsid w:val="00E640C2"/>
    <w:rsid w:val="00E641AE"/>
    <w:rsid w:val="00E64951"/>
    <w:rsid w:val="00E65894"/>
    <w:rsid w:val="00E65BDE"/>
    <w:rsid w:val="00E65D13"/>
    <w:rsid w:val="00E660E5"/>
    <w:rsid w:val="00E66F00"/>
    <w:rsid w:val="00E67D42"/>
    <w:rsid w:val="00E67F57"/>
    <w:rsid w:val="00E70373"/>
    <w:rsid w:val="00E704C6"/>
    <w:rsid w:val="00E708CD"/>
    <w:rsid w:val="00E71368"/>
    <w:rsid w:val="00E71470"/>
    <w:rsid w:val="00E72687"/>
    <w:rsid w:val="00E7279F"/>
    <w:rsid w:val="00E72A45"/>
    <w:rsid w:val="00E72C1F"/>
    <w:rsid w:val="00E73EB7"/>
    <w:rsid w:val="00E74206"/>
    <w:rsid w:val="00E74805"/>
    <w:rsid w:val="00E74932"/>
    <w:rsid w:val="00E766DE"/>
    <w:rsid w:val="00E76D22"/>
    <w:rsid w:val="00E8010F"/>
    <w:rsid w:val="00E80158"/>
    <w:rsid w:val="00E801BC"/>
    <w:rsid w:val="00E807F3"/>
    <w:rsid w:val="00E80BF0"/>
    <w:rsid w:val="00E80CCD"/>
    <w:rsid w:val="00E815A6"/>
    <w:rsid w:val="00E816CF"/>
    <w:rsid w:val="00E81C8B"/>
    <w:rsid w:val="00E81D53"/>
    <w:rsid w:val="00E81E31"/>
    <w:rsid w:val="00E820F9"/>
    <w:rsid w:val="00E821B6"/>
    <w:rsid w:val="00E826B4"/>
    <w:rsid w:val="00E82A13"/>
    <w:rsid w:val="00E8347F"/>
    <w:rsid w:val="00E838B8"/>
    <w:rsid w:val="00E83F6D"/>
    <w:rsid w:val="00E842C8"/>
    <w:rsid w:val="00E84A70"/>
    <w:rsid w:val="00E8519D"/>
    <w:rsid w:val="00E851C5"/>
    <w:rsid w:val="00E858AD"/>
    <w:rsid w:val="00E85ADB"/>
    <w:rsid w:val="00E85AFD"/>
    <w:rsid w:val="00E85C2D"/>
    <w:rsid w:val="00E867BA"/>
    <w:rsid w:val="00E872CE"/>
    <w:rsid w:val="00E8754D"/>
    <w:rsid w:val="00E87BE0"/>
    <w:rsid w:val="00E9028A"/>
    <w:rsid w:val="00E9030F"/>
    <w:rsid w:val="00E90551"/>
    <w:rsid w:val="00E907BA"/>
    <w:rsid w:val="00E90841"/>
    <w:rsid w:val="00E908EC"/>
    <w:rsid w:val="00E9091A"/>
    <w:rsid w:val="00E91424"/>
    <w:rsid w:val="00E9190A"/>
    <w:rsid w:val="00E92395"/>
    <w:rsid w:val="00E9242B"/>
    <w:rsid w:val="00E92D60"/>
    <w:rsid w:val="00E93E85"/>
    <w:rsid w:val="00E94023"/>
    <w:rsid w:val="00E94A2A"/>
    <w:rsid w:val="00E95FB0"/>
    <w:rsid w:val="00E96E37"/>
    <w:rsid w:val="00E9775A"/>
    <w:rsid w:val="00E97D7A"/>
    <w:rsid w:val="00EA045D"/>
    <w:rsid w:val="00EA098C"/>
    <w:rsid w:val="00EA10A9"/>
    <w:rsid w:val="00EA125B"/>
    <w:rsid w:val="00EA1F53"/>
    <w:rsid w:val="00EA23CE"/>
    <w:rsid w:val="00EA24DA"/>
    <w:rsid w:val="00EA26F1"/>
    <w:rsid w:val="00EA27D2"/>
    <w:rsid w:val="00EA2841"/>
    <w:rsid w:val="00EA2885"/>
    <w:rsid w:val="00EA29D2"/>
    <w:rsid w:val="00EA2C68"/>
    <w:rsid w:val="00EA323B"/>
    <w:rsid w:val="00EA337E"/>
    <w:rsid w:val="00EA38F7"/>
    <w:rsid w:val="00EA3B36"/>
    <w:rsid w:val="00EA40F9"/>
    <w:rsid w:val="00EA50DA"/>
    <w:rsid w:val="00EA5812"/>
    <w:rsid w:val="00EA665C"/>
    <w:rsid w:val="00EA6E42"/>
    <w:rsid w:val="00EA73F4"/>
    <w:rsid w:val="00EA776B"/>
    <w:rsid w:val="00EB01C6"/>
    <w:rsid w:val="00EB04B3"/>
    <w:rsid w:val="00EB07C0"/>
    <w:rsid w:val="00EB19C4"/>
    <w:rsid w:val="00EB1A53"/>
    <w:rsid w:val="00EB1C03"/>
    <w:rsid w:val="00EB267B"/>
    <w:rsid w:val="00EB2A14"/>
    <w:rsid w:val="00EB2B54"/>
    <w:rsid w:val="00EB3407"/>
    <w:rsid w:val="00EB3656"/>
    <w:rsid w:val="00EB380C"/>
    <w:rsid w:val="00EB4043"/>
    <w:rsid w:val="00EB5CCB"/>
    <w:rsid w:val="00EB628E"/>
    <w:rsid w:val="00EB78B3"/>
    <w:rsid w:val="00EB7CB7"/>
    <w:rsid w:val="00EC0199"/>
    <w:rsid w:val="00EC03EF"/>
    <w:rsid w:val="00EC0417"/>
    <w:rsid w:val="00EC0A47"/>
    <w:rsid w:val="00EC105E"/>
    <w:rsid w:val="00EC10B4"/>
    <w:rsid w:val="00EC2015"/>
    <w:rsid w:val="00EC204E"/>
    <w:rsid w:val="00EC2333"/>
    <w:rsid w:val="00EC2535"/>
    <w:rsid w:val="00EC3316"/>
    <w:rsid w:val="00EC3BA1"/>
    <w:rsid w:val="00EC3C4C"/>
    <w:rsid w:val="00EC3F7B"/>
    <w:rsid w:val="00EC4D52"/>
    <w:rsid w:val="00EC5810"/>
    <w:rsid w:val="00EC5C2C"/>
    <w:rsid w:val="00EC60DE"/>
    <w:rsid w:val="00EC6DE8"/>
    <w:rsid w:val="00EC75CF"/>
    <w:rsid w:val="00ED0048"/>
    <w:rsid w:val="00ED020E"/>
    <w:rsid w:val="00ED0E82"/>
    <w:rsid w:val="00ED13F5"/>
    <w:rsid w:val="00ED297C"/>
    <w:rsid w:val="00ED3EAA"/>
    <w:rsid w:val="00ED404C"/>
    <w:rsid w:val="00ED529C"/>
    <w:rsid w:val="00ED5474"/>
    <w:rsid w:val="00ED6A24"/>
    <w:rsid w:val="00ED7301"/>
    <w:rsid w:val="00ED73CE"/>
    <w:rsid w:val="00ED77D2"/>
    <w:rsid w:val="00EE1776"/>
    <w:rsid w:val="00EE1980"/>
    <w:rsid w:val="00EE2502"/>
    <w:rsid w:val="00EE2B4C"/>
    <w:rsid w:val="00EE32B6"/>
    <w:rsid w:val="00EE32C7"/>
    <w:rsid w:val="00EE3365"/>
    <w:rsid w:val="00EE3A3E"/>
    <w:rsid w:val="00EE3BDA"/>
    <w:rsid w:val="00EE3E86"/>
    <w:rsid w:val="00EE4CF0"/>
    <w:rsid w:val="00EE52B8"/>
    <w:rsid w:val="00EE58C7"/>
    <w:rsid w:val="00EE6B56"/>
    <w:rsid w:val="00EE6C60"/>
    <w:rsid w:val="00EE6C78"/>
    <w:rsid w:val="00EE768C"/>
    <w:rsid w:val="00EE77A1"/>
    <w:rsid w:val="00EE7923"/>
    <w:rsid w:val="00EF0B07"/>
    <w:rsid w:val="00EF16C3"/>
    <w:rsid w:val="00EF1AC3"/>
    <w:rsid w:val="00EF1D2E"/>
    <w:rsid w:val="00EF1D45"/>
    <w:rsid w:val="00EF1E67"/>
    <w:rsid w:val="00EF2A7C"/>
    <w:rsid w:val="00EF36DE"/>
    <w:rsid w:val="00EF47AF"/>
    <w:rsid w:val="00EF4B79"/>
    <w:rsid w:val="00EF5B99"/>
    <w:rsid w:val="00EF5CD1"/>
    <w:rsid w:val="00EF634B"/>
    <w:rsid w:val="00EF64B4"/>
    <w:rsid w:val="00EF679E"/>
    <w:rsid w:val="00EF734D"/>
    <w:rsid w:val="00F0079E"/>
    <w:rsid w:val="00F018B3"/>
    <w:rsid w:val="00F0215B"/>
    <w:rsid w:val="00F030D7"/>
    <w:rsid w:val="00F03292"/>
    <w:rsid w:val="00F03904"/>
    <w:rsid w:val="00F03B41"/>
    <w:rsid w:val="00F046E0"/>
    <w:rsid w:val="00F04A4C"/>
    <w:rsid w:val="00F053AA"/>
    <w:rsid w:val="00F057F7"/>
    <w:rsid w:val="00F05818"/>
    <w:rsid w:val="00F05F68"/>
    <w:rsid w:val="00F06327"/>
    <w:rsid w:val="00F0638C"/>
    <w:rsid w:val="00F06A31"/>
    <w:rsid w:val="00F076EB"/>
    <w:rsid w:val="00F07D47"/>
    <w:rsid w:val="00F07F9B"/>
    <w:rsid w:val="00F110A4"/>
    <w:rsid w:val="00F11275"/>
    <w:rsid w:val="00F112EE"/>
    <w:rsid w:val="00F11884"/>
    <w:rsid w:val="00F11EC5"/>
    <w:rsid w:val="00F1272F"/>
    <w:rsid w:val="00F12D05"/>
    <w:rsid w:val="00F13996"/>
    <w:rsid w:val="00F13FDC"/>
    <w:rsid w:val="00F14535"/>
    <w:rsid w:val="00F14BDC"/>
    <w:rsid w:val="00F1542C"/>
    <w:rsid w:val="00F1544E"/>
    <w:rsid w:val="00F15528"/>
    <w:rsid w:val="00F164F2"/>
    <w:rsid w:val="00F1756F"/>
    <w:rsid w:val="00F179D5"/>
    <w:rsid w:val="00F17F66"/>
    <w:rsid w:val="00F20290"/>
    <w:rsid w:val="00F2171F"/>
    <w:rsid w:val="00F21898"/>
    <w:rsid w:val="00F21B20"/>
    <w:rsid w:val="00F21E7A"/>
    <w:rsid w:val="00F22EC4"/>
    <w:rsid w:val="00F23074"/>
    <w:rsid w:val="00F234A6"/>
    <w:rsid w:val="00F23BE4"/>
    <w:rsid w:val="00F24F46"/>
    <w:rsid w:val="00F2500C"/>
    <w:rsid w:val="00F25211"/>
    <w:rsid w:val="00F2526E"/>
    <w:rsid w:val="00F256F2"/>
    <w:rsid w:val="00F2581C"/>
    <w:rsid w:val="00F25A79"/>
    <w:rsid w:val="00F260A5"/>
    <w:rsid w:val="00F2627F"/>
    <w:rsid w:val="00F2629D"/>
    <w:rsid w:val="00F26463"/>
    <w:rsid w:val="00F26D81"/>
    <w:rsid w:val="00F26E55"/>
    <w:rsid w:val="00F26FB0"/>
    <w:rsid w:val="00F27BE0"/>
    <w:rsid w:val="00F30E22"/>
    <w:rsid w:val="00F30E86"/>
    <w:rsid w:val="00F30F35"/>
    <w:rsid w:val="00F30F6E"/>
    <w:rsid w:val="00F31F5C"/>
    <w:rsid w:val="00F32224"/>
    <w:rsid w:val="00F32902"/>
    <w:rsid w:val="00F32D97"/>
    <w:rsid w:val="00F335A2"/>
    <w:rsid w:val="00F33BBF"/>
    <w:rsid w:val="00F33DD5"/>
    <w:rsid w:val="00F347DE"/>
    <w:rsid w:val="00F351B0"/>
    <w:rsid w:val="00F35B60"/>
    <w:rsid w:val="00F360B6"/>
    <w:rsid w:val="00F36518"/>
    <w:rsid w:val="00F36710"/>
    <w:rsid w:val="00F37AD8"/>
    <w:rsid w:val="00F4028A"/>
    <w:rsid w:val="00F40721"/>
    <w:rsid w:val="00F40C0B"/>
    <w:rsid w:val="00F415FD"/>
    <w:rsid w:val="00F4205F"/>
    <w:rsid w:val="00F4218E"/>
    <w:rsid w:val="00F42320"/>
    <w:rsid w:val="00F42B3F"/>
    <w:rsid w:val="00F43AFC"/>
    <w:rsid w:val="00F43BBC"/>
    <w:rsid w:val="00F447E9"/>
    <w:rsid w:val="00F44C98"/>
    <w:rsid w:val="00F450B7"/>
    <w:rsid w:val="00F45259"/>
    <w:rsid w:val="00F456FA"/>
    <w:rsid w:val="00F46866"/>
    <w:rsid w:val="00F47B2A"/>
    <w:rsid w:val="00F47ED7"/>
    <w:rsid w:val="00F50216"/>
    <w:rsid w:val="00F503AE"/>
    <w:rsid w:val="00F50EC2"/>
    <w:rsid w:val="00F5129C"/>
    <w:rsid w:val="00F512F0"/>
    <w:rsid w:val="00F51479"/>
    <w:rsid w:val="00F52173"/>
    <w:rsid w:val="00F525D6"/>
    <w:rsid w:val="00F52D74"/>
    <w:rsid w:val="00F5345A"/>
    <w:rsid w:val="00F53ADD"/>
    <w:rsid w:val="00F5466B"/>
    <w:rsid w:val="00F54BB7"/>
    <w:rsid w:val="00F55095"/>
    <w:rsid w:val="00F5550D"/>
    <w:rsid w:val="00F5577C"/>
    <w:rsid w:val="00F5667A"/>
    <w:rsid w:val="00F57C52"/>
    <w:rsid w:val="00F57D76"/>
    <w:rsid w:val="00F60530"/>
    <w:rsid w:val="00F6078E"/>
    <w:rsid w:val="00F60C2F"/>
    <w:rsid w:val="00F61018"/>
    <w:rsid w:val="00F615DB"/>
    <w:rsid w:val="00F6238F"/>
    <w:rsid w:val="00F631AD"/>
    <w:rsid w:val="00F6398F"/>
    <w:rsid w:val="00F639CB"/>
    <w:rsid w:val="00F63AEA"/>
    <w:rsid w:val="00F63C40"/>
    <w:rsid w:val="00F64489"/>
    <w:rsid w:val="00F645B5"/>
    <w:rsid w:val="00F647F3"/>
    <w:rsid w:val="00F65098"/>
    <w:rsid w:val="00F65ED9"/>
    <w:rsid w:val="00F6693D"/>
    <w:rsid w:val="00F66ADA"/>
    <w:rsid w:val="00F67BB4"/>
    <w:rsid w:val="00F70EEC"/>
    <w:rsid w:val="00F70FB7"/>
    <w:rsid w:val="00F71C65"/>
    <w:rsid w:val="00F71F37"/>
    <w:rsid w:val="00F72FAC"/>
    <w:rsid w:val="00F731FB"/>
    <w:rsid w:val="00F73729"/>
    <w:rsid w:val="00F73B6B"/>
    <w:rsid w:val="00F73C5E"/>
    <w:rsid w:val="00F74BD1"/>
    <w:rsid w:val="00F75093"/>
    <w:rsid w:val="00F755A6"/>
    <w:rsid w:val="00F76178"/>
    <w:rsid w:val="00F7657F"/>
    <w:rsid w:val="00F77D74"/>
    <w:rsid w:val="00F77F11"/>
    <w:rsid w:val="00F80428"/>
    <w:rsid w:val="00F80994"/>
    <w:rsid w:val="00F80A15"/>
    <w:rsid w:val="00F81A71"/>
    <w:rsid w:val="00F81E36"/>
    <w:rsid w:val="00F82498"/>
    <w:rsid w:val="00F84D2A"/>
    <w:rsid w:val="00F84F6F"/>
    <w:rsid w:val="00F857F8"/>
    <w:rsid w:val="00F85BDB"/>
    <w:rsid w:val="00F86012"/>
    <w:rsid w:val="00F8684E"/>
    <w:rsid w:val="00F87585"/>
    <w:rsid w:val="00F87ED3"/>
    <w:rsid w:val="00F90089"/>
    <w:rsid w:val="00F906B1"/>
    <w:rsid w:val="00F907B2"/>
    <w:rsid w:val="00F90AF9"/>
    <w:rsid w:val="00F90FD2"/>
    <w:rsid w:val="00F91287"/>
    <w:rsid w:val="00F91721"/>
    <w:rsid w:val="00F917CB"/>
    <w:rsid w:val="00F91C1B"/>
    <w:rsid w:val="00F91F70"/>
    <w:rsid w:val="00F921DB"/>
    <w:rsid w:val="00F924E4"/>
    <w:rsid w:val="00F9255D"/>
    <w:rsid w:val="00F94F16"/>
    <w:rsid w:val="00F95294"/>
    <w:rsid w:val="00F954CF"/>
    <w:rsid w:val="00F958E3"/>
    <w:rsid w:val="00F959BA"/>
    <w:rsid w:val="00F96293"/>
    <w:rsid w:val="00F96760"/>
    <w:rsid w:val="00F96EA9"/>
    <w:rsid w:val="00F9705F"/>
    <w:rsid w:val="00F974D5"/>
    <w:rsid w:val="00F9786C"/>
    <w:rsid w:val="00F97F6F"/>
    <w:rsid w:val="00FA0685"/>
    <w:rsid w:val="00FA0CF5"/>
    <w:rsid w:val="00FA2055"/>
    <w:rsid w:val="00FA290A"/>
    <w:rsid w:val="00FA290D"/>
    <w:rsid w:val="00FA2C21"/>
    <w:rsid w:val="00FA311B"/>
    <w:rsid w:val="00FA35E4"/>
    <w:rsid w:val="00FA3AEA"/>
    <w:rsid w:val="00FA59CE"/>
    <w:rsid w:val="00FA5E71"/>
    <w:rsid w:val="00FA6099"/>
    <w:rsid w:val="00FA64E1"/>
    <w:rsid w:val="00FA671B"/>
    <w:rsid w:val="00FA6F08"/>
    <w:rsid w:val="00FA7172"/>
    <w:rsid w:val="00FA7D6A"/>
    <w:rsid w:val="00FB097B"/>
    <w:rsid w:val="00FB0B63"/>
    <w:rsid w:val="00FB0C53"/>
    <w:rsid w:val="00FB0EF3"/>
    <w:rsid w:val="00FB1C35"/>
    <w:rsid w:val="00FB25AC"/>
    <w:rsid w:val="00FB2625"/>
    <w:rsid w:val="00FB2CE2"/>
    <w:rsid w:val="00FB2D4D"/>
    <w:rsid w:val="00FB2DCB"/>
    <w:rsid w:val="00FB31B0"/>
    <w:rsid w:val="00FB3A7C"/>
    <w:rsid w:val="00FB4990"/>
    <w:rsid w:val="00FB5583"/>
    <w:rsid w:val="00FB5D3D"/>
    <w:rsid w:val="00FB6416"/>
    <w:rsid w:val="00FB6D85"/>
    <w:rsid w:val="00FB72D3"/>
    <w:rsid w:val="00FB76D9"/>
    <w:rsid w:val="00FB7FFA"/>
    <w:rsid w:val="00FC0FFB"/>
    <w:rsid w:val="00FC131D"/>
    <w:rsid w:val="00FC13B4"/>
    <w:rsid w:val="00FC19CC"/>
    <w:rsid w:val="00FC1F3B"/>
    <w:rsid w:val="00FC22EE"/>
    <w:rsid w:val="00FC49E0"/>
    <w:rsid w:val="00FC544A"/>
    <w:rsid w:val="00FC5969"/>
    <w:rsid w:val="00FC59E4"/>
    <w:rsid w:val="00FC5D70"/>
    <w:rsid w:val="00FC6B7A"/>
    <w:rsid w:val="00FC6D82"/>
    <w:rsid w:val="00FC76CC"/>
    <w:rsid w:val="00FC7855"/>
    <w:rsid w:val="00FC7B6F"/>
    <w:rsid w:val="00FC7FCC"/>
    <w:rsid w:val="00FD0582"/>
    <w:rsid w:val="00FD0900"/>
    <w:rsid w:val="00FD13DB"/>
    <w:rsid w:val="00FD189D"/>
    <w:rsid w:val="00FD22A1"/>
    <w:rsid w:val="00FD2403"/>
    <w:rsid w:val="00FD387E"/>
    <w:rsid w:val="00FD3907"/>
    <w:rsid w:val="00FD517E"/>
    <w:rsid w:val="00FD5536"/>
    <w:rsid w:val="00FD58C2"/>
    <w:rsid w:val="00FD5B2E"/>
    <w:rsid w:val="00FD62E1"/>
    <w:rsid w:val="00FD68F2"/>
    <w:rsid w:val="00FD73D0"/>
    <w:rsid w:val="00FE06B4"/>
    <w:rsid w:val="00FE0C59"/>
    <w:rsid w:val="00FE16AC"/>
    <w:rsid w:val="00FE198E"/>
    <w:rsid w:val="00FE1A48"/>
    <w:rsid w:val="00FE1BFD"/>
    <w:rsid w:val="00FE2590"/>
    <w:rsid w:val="00FE32E4"/>
    <w:rsid w:val="00FE3326"/>
    <w:rsid w:val="00FE35A6"/>
    <w:rsid w:val="00FE3A7F"/>
    <w:rsid w:val="00FE3D1C"/>
    <w:rsid w:val="00FE4508"/>
    <w:rsid w:val="00FE456C"/>
    <w:rsid w:val="00FE5035"/>
    <w:rsid w:val="00FE5087"/>
    <w:rsid w:val="00FE5287"/>
    <w:rsid w:val="00FE59C8"/>
    <w:rsid w:val="00FE5A51"/>
    <w:rsid w:val="00FE6124"/>
    <w:rsid w:val="00FE66FA"/>
    <w:rsid w:val="00FE6A40"/>
    <w:rsid w:val="00FE6F1F"/>
    <w:rsid w:val="00FE6FEC"/>
    <w:rsid w:val="00FE7E7B"/>
    <w:rsid w:val="00FE7FDC"/>
    <w:rsid w:val="00FF0431"/>
    <w:rsid w:val="00FF13C4"/>
    <w:rsid w:val="00FF1482"/>
    <w:rsid w:val="00FF1550"/>
    <w:rsid w:val="00FF22EB"/>
    <w:rsid w:val="00FF24BB"/>
    <w:rsid w:val="00FF2F3E"/>
    <w:rsid w:val="00FF2FB5"/>
    <w:rsid w:val="00FF2FCB"/>
    <w:rsid w:val="00FF42AC"/>
    <w:rsid w:val="00FF4E65"/>
    <w:rsid w:val="00FF4E97"/>
    <w:rsid w:val="00FF4F3D"/>
    <w:rsid w:val="00FF54A6"/>
    <w:rsid w:val="00FF5DE5"/>
    <w:rsid w:val="00FF6069"/>
    <w:rsid w:val="00FF6318"/>
    <w:rsid w:val="00FF6E5E"/>
    <w:rsid w:val="00FF71AA"/>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528"/>
    <w:rPr>
      <w:rFonts w:ascii="Arial" w:hAnsi="Arial" w:cs="Arial"/>
      <w:sz w:val="22"/>
      <w:lang w:val="fr-FR"/>
    </w:rPr>
  </w:style>
  <w:style w:type="paragraph" w:styleId="Heading1">
    <w:name w:val="heading 1"/>
    <w:basedOn w:val="Normal"/>
    <w:next w:val="Normal"/>
    <w:link w:val="Heading1Char"/>
    <w:qFormat/>
    <w:rsid w:val="00F15528"/>
    <w:pPr>
      <w:keepNext/>
      <w:spacing w:before="240" w:after="60"/>
      <w:outlineLvl w:val="0"/>
    </w:pPr>
    <w:rPr>
      <w:rFonts w:eastAsia="SimSun"/>
      <w:b/>
      <w:bCs/>
      <w:caps/>
      <w:kern w:val="32"/>
      <w:szCs w:val="32"/>
    </w:rPr>
  </w:style>
  <w:style w:type="paragraph" w:styleId="Heading2">
    <w:name w:val="heading 2"/>
    <w:basedOn w:val="Normal"/>
    <w:next w:val="Normal"/>
    <w:qFormat/>
    <w:rsid w:val="00F15528"/>
    <w:pPr>
      <w:keepNext/>
      <w:spacing w:before="240" w:after="60"/>
      <w:outlineLvl w:val="1"/>
    </w:pPr>
    <w:rPr>
      <w:rFonts w:eastAsia="SimSun"/>
      <w:bCs/>
      <w:iCs/>
      <w:caps/>
      <w:szCs w:val="28"/>
    </w:rPr>
  </w:style>
  <w:style w:type="paragraph" w:styleId="Heading3">
    <w:name w:val="heading 3"/>
    <w:basedOn w:val="Normal"/>
    <w:next w:val="Normal"/>
    <w:qFormat/>
    <w:rsid w:val="00F15528"/>
    <w:pPr>
      <w:keepNext/>
      <w:spacing w:before="240" w:after="60"/>
      <w:outlineLvl w:val="2"/>
    </w:pPr>
    <w:rPr>
      <w:rFonts w:eastAsia="SimSun"/>
      <w:bCs/>
      <w:szCs w:val="26"/>
      <w:u w:val="single"/>
    </w:rPr>
  </w:style>
  <w:style w:type="paragraph" w:styleId="Heading4">
    <w:name w:val="heading 4"/>
    <w:basedOn w:val="Normal"/>
    <w:next w:val="Normal"/>
    <w:qFormat/>
    <w:rsid w:val="00F15528"/>
    <w:pPr>
      <w:keepNext/>
      <w:spacing w:before="240" w:after="60"/>
      <w:outlineLvl w:val="3"/>
    </w:pPr>
    <w:rPr>
      <w:rFonts w:eastAsia="SimSun"/>
      <w:bCs/>
      <w:i/>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link w:val="FooterChar"/>
    <w:rsid w:val="00F15528"/>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F15528"/>
    <w:pPr>
      <w:spacing w:after="220"/>
    </w:p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rsid w:val="00F15528"/>
    <w:pPr>
      <w:tabs>
        <w:tab w:val="center" w:pos="4536"/>
        <w:tab w:val="right" w:pos="9072"/>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b/>
      <w:bCs/>
      <w:smallCaps/>
      <w:sz w:val="32"/>
      <w:szCs w:val="30"/>
      <w:lang w:val="en-GB"/>
    </w:rPr>
  </w:style>
  <w:style w:type="paragraph" w:customStyle="1" w:styleId="Style1">
    <w:name w:val="Style1"/>
    <w:basedOn w:val="Normal"/>
    <w:link w:val="Style1Char"/>
    <w:rsid w:val="005B550D"/>
    <w:pPr>
      <w:tabs>
        <w:tab w:val="left" w:pos="8640"/>
      </w:tabs>
    </w:pPr>
    <w:rPr>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b/>
      <w:smallCaps/>
      <w:color w:val="0000FF"/>
    </w:rPr>
  </w:style>
  <w:style w:type="paragraph" w:customStyle="1" w:styleId="StyleArial10pt">
    <w:name w:val="Style Arial 10 pt"/>
    <w:basedOn w:val="Normal"/>
    <w:link w:val="StyleArial10ptChar"/>
    <w:rsid w:val="00164B0D"/>
    <w:pPr>
      <w:ind w:firstLineChars="100" w:firstLine="200"/>
    </w:pPr>
    <w:rPr>
      <w:sz w:val="20"/>
    </w:rPr>
  </w:style>
  <w:style w:type="paragraph" w:customStyle="1" w:styleId="Styletexte">
    <w:name w:val="Style texte"/>
    <w:basedOn w:val="Normal"/>
    <w:link w:val="StyletexteChar"/>
    <w:rsid w:val="00C404E4"/>
    <w:pPr>
      <w:spacing w:after="120"/>
      <w:jc w:val="both"/>
    </w:p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lang w:val="en-GB" w:eastAsia="en-GB"/>
    </w:rPr>
  </w:style>
  <w:style w:type="paragraph" w:customStyle="1" w:styleId="STYLE10">
    <w:name w:val="STYLE 1"/>
    <w:basedOn w:val="Heading1"/>
    <w:next w:val="Heading1"/>
    <w:link w:val="STYLE1Char0"/>
    <w:rsid w:val="00E1681D"/>
    <w:pPr>
      <w:tabs>
        <w:tab w:val="left" w:pos="0"/>
      </w:tabs>
      <w:spacing w:before="120" w:after="0"/>
      <w:jc w:val="center"/>
    </w:pPr>
    <w:rPr>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val="0"/>
    </w:rPr>
  </w:style>
  <w:style w:type="paragraph" w:customStyle="1" w:styleId="STYLE1LASTONE">
    <w:name w:val="STYLE 1 LAST ONE"/>
    <w:basedOn w:val="HEADING10"/>
    <w:next w:val="HEADING10"/>
    <w:link w:val="STYLE1LASTONEChar"/>
    <w:rsid w:val="00283751"/>
    <w:pPr>
      <w:jc w:val="center"/>
    </w:pPr>
    <w:rPr>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link w:val="Heading1"/>
    <w:rsid w:val="005A588B"/>
    <w:rPr>
      <w:rFonts w:ascii="Arial" w:eastAsia="SimSun" w:hAnsi="Arial" w:cs="Arial"/>
      <w:b/>
      <w:bCs/>
      <w:caps/>
      <w:kern w:val="32"/>
      <w:sz w:val="22"/>
      <w:szCs w:val="32"/>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F15528"/>
    <w:rPr>
      <w:sz w:val="18"/>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b/>
      <w:bCs/>
    </w:rPr>
  </w:style>
  <w:style w:type="paragraph" w:customStyle="1" w:styleId="Endofdocument-Annex">
    <w:name w:val="[End of document - Annex]"/>
    <w:basedOn w:val="Normal"/>
    <w:rsid w:val="00D256FA"/>
    <w:pPr>
      <w:ind w:left="5534"/>
    </w:pPr>
    <w:rPr>
      <w:rFonts w:eastAsia="SimSun"/>
      <w:lang w:eastAsia="zh-CN"/>
    </w:rPr>
  </w:style>
  <w:style w:type="paragraph" w:customStyle="1" w:styleId="ONUME">
    <w:name w:val="ONUM E"/>
    <w:basedOn w:val="BodyText"/>
    <w:rsid w:val="00F15528"/>
    <w:pPr>
      <w:numPr>
        <w:numId w:val="24"/>
      </w:numPr>
    </w:p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iCs w:val="0"/>
      <w:caps w:val="0"/>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F15528"/>
    <w:rPr>
      <w:sz w:val="18"/>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FooterChar">
    <w:name w:val="Footer Char"/>
    <w:link w:val="Footer"/>
    <w:rsid w:val="008E2E12"/>
    <w:rPr>
      <w:rFonts w:ascii="Arial" w:hAnsi="Arial" w:cs="Arial"/>
      <w:sz w:val="22"/>
    </w:rPr>
  </w:style>
  <w:style w:type="character" w:customStyle="1" w:styleId="HeaderChar">
    <w:name w:val="Header Char"/>
    <w:link w:val="Header"/>
    <w:rsid w:val="00690EB2"/>
    <w:rPr>
      <w:rFonts w:ascii="Arial" w:hAnsi="Arial" w:cs="Arial"/>
      <w:sz w:val="22"/>
    </w:rPr>
  </w:style>
  <w:style w:type="paragraph" w:styleId="Caption">
    <w:name w:val="caption"/>
    <w:basedOn w:val="Normal"/>
    <w:next w:val="Normal"/>
    <w:qFormat/>
    <w:rsid w:val="00F15528"/>
    <w:rPr>
      <w:b/>
      <w:bCs/>
      <w:sz w:val="18"/>
    </w:rPr>
  </w:style>
  <w:style w:type="paragraph" w:styleId="EndnoteText">
    <w:name w:val="endnote text"/>
    <w:basedOn w:val="Normal"/>
    <w:link w:val="EndnoteTextChar"/>
    <w:rsid w:val="00F15528"/>
    <w:rPr>
      <w:sz w:val="18"/>
    </w:rPr>
  </w:style>
  <w:style w:type="character" w:customStyle="1" w:styleId="EndnoteTextChar">
    <w:name w:val="Endnote Text Char"/>
    <w:basedOn w:val="DefaultParagraphFont"/>
    <w:link w:val="EndnoteText"/>
    <w:rsid w:val="00F15528"/>
    <w:rPr>
      <w:rFonts w:ascii="Arial" w:hAnsi="Arial" w:cs="Arial"/>
      <w:sz w:val="18"/>
    </w:rPr>
  </w:style>
  <w:style w:type="paragraph" w:styleId="ListNumber">
    <w:name w:val="List Number"/>
    <w:basedOn w:val="Normal"/>
    <w:rsid w:val="00F15528"/>
    <w:pPr>
      <w:numPr>
        <w:numId w:val="23"/>
      </w:numPr>
    </w:pPr>
  </w:style>
  <w:style w:type="paragraph" w:customStyle="1" w:styleId="ONUMFS">
    <w:name w:val="ONUM FS"/>
    <w:basedOn w:val="BodyText"/>
    <w:rsid w:val="00F15528"/>
    <w:pPr>
      <w:numPr>
        <w:numId w:val="25"/>
      </w:numPr>
    </w:pPr>
  </w:style>
  <w:style w:type="paragraph" w:styleId="Salutation">
    <w:name w:val="Salutation"/>
    <w:basedOn w:val="Normal"/>
    <w:next w:val="Normal"/>
    <w:link w:val="SalutationChar"/>
    <w:rsid w:val="00F15528"/>
  </w:style>
  <w:style w:type="character" w:customStyle="1" w:styleId="SalutationChar">
    <w:name w:val="Salutation Char"/>
    <w:basedOn w:val="DefaultParagraphFont"/>
    <w:link w:val="Salutation"/>
    <w:rsid w:val="00F15528"/>
    <w:rPr>
      <w:rFonts w:ascii="Arial" w:hAnsi="Arial" w:cs="Arial"/>
      <w:sz w:val="22"/>
    </w:rPr>
  </w:style>
  <w:style w:type="paragraph" w:styleId="Signature">
    <w:name w:val="Signature"/>
    <w:basedOn w:val="Normal"/>
    <w:link w:val="SignatureChar"/>
    <w:rsid w:val="00F15528"/>
    <w:pPr>
      <w:ind w:left="5250"/>
    </w:pPr>
  </w:style>
  <w:style w:type="character" w:customStyle="1" w:styleId="SignatureChar">
    <w:name w:val="Signature Char"/>
    <w:basedOn w:val="DefaultParagraphFont"/>
    <w:link w:val="Signature"/>
    <w:rsid w:val="00F15528"/>
    <w:rPr>
      <w:rFonts w:ascii="Arial" w:hAnsi="Arial" w:cs="Arial"/>
      <w:sz w:val="22"/>
    </w:rPr>
  </w:style>
  <w:style w:type="character" w:customStyle="1" w:styleId="hps">
    <w:name w:val="hps"/>
    <w:basedOn w:val="DefaultParagraphFont"/>
    <w:rsid w:val="00D039C4"/>
  </w:style>
  <w:style w:type="paragraph" w:styleId="Revision">
    <w:name w:val="Revision"/>
    <w:hidden/>
    <w:uiPriority w:val="99"/>
    <w:semiHidden/>
    <w:rsid w:val="008F62FB"/>
    <w:rPr>
      <w:rFonts w:ascii="Arial" w:hAnsi="Arial" w:cs="Arial"/>
      <w:sz w:val="22"/>
      <w:lang w:val="fr-FR"/>
    </w:rPr>
  </w:style>
  <w:style w:type="character" w:customStyle="1" w:styleId="preferred">
    <w:name w:val="preferred"/>
    <w:basedOn w:val="DefaultParagraphFont"/>
    <w:rsid w:val="00CB1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5528"/>
    <w:rPr>
      <w:rFonts w:ascii="Arial" w:hAnsi="Arial" w:cs="Arial"/>
      <w:sz w:val="22"/>
      <w:lang w:val="fr-FR"/>
    </w:rPr>
  </w:style>
  <w:style w:type="paragraph" w:styleId="Heading1">
    <w:name w:val="heading 1"/>
    <w:basedOn w:val="Normal"/>
    <w:next w:val="Normal"/>
    <w:link w:val="Heading1Char"/>
    <w:qFormat/>
    <w:rsid w:val="00F15528"/>
    <w:pPr>
      <w:keepNext/>
      <w:spacing w:before="240" w:after="60"/>
      <w:outlineLvl w:val="0"/>
    </w:pPr>
    <w:rPr>
      <w:rFonts w:eastAsia="SimSun"/>
      <w:b/>
      <w:bCs/>
      <w:caps/>
      <w:kern w:val="32"/>
      <w:szCs w:val="32"/>
    </w:rPr>
  </w:style>
  <w:style w:type="paragraph" w:styleId="Heading2">
    <w:name w:val="heading 2"/>
    <w:basedOn w:val="Normal"/>
    <w:next w:val="Normal"/>
    <w:qFormat/>
    <w:rsid w:val="00F15528"/>
    <w:pPr>
      <w:keepNext/>
      <w:spacing w:before="240" w:after="60"/>
      <w:outlineLvl w:val="1"/>
    </w:pPr>
    <w:rPr>
      <w:rFonts w:eastAsia="SimSun"/>
      <w:bCs/>
      <w:iCs/>
      <w:caps/>
      <w:szCs w:val="28"/>
    </w:rPr>
  </w:style>
  <w:style w:type="paragraph" w:styleId="Heading3">
    <w:name w:val="heading 3"/>
    <w:basedOn w:val="Normal"/>
    <w:next w:val="Normal"/>
    <w:qFormat/>
    <w:rsid w:val="00F15528"/>
    <w:pPr>
      <w:keepNext/>
      <w:spacing w:before="240" w:after="60"/>
      <w:outlineLvl w:val="2"/>
    </w:pPr>
    <w:rPr>
      <w:rFonts w:eastAsia="SimSun"/>
      <w:bCs/>
      <w:szCs w:val="26"/>
      <w:u w:val="single"/>
    </w:rPr>
  </w:style>
  <w:style w:type="paragraph" w:styleId="Heading4">
    <w:name w:val="heading 4"/>
    <w:basedOn w:val="Normal"/>
    <w:next w:val="Normal"/>
    <w:qFormat/>
    <w:rsid w:val="00F15528"/>
    <w:pPr>
      <w:keepNext/>
      <w:spacing w:before="240" w:after="60"/>
      <w:outlineLvl w:val="3"/>
    </w:pPr>
    <w:rPr>
      <w:rFonts w:eastAsia="SimSun"/>
      <w:bCs/>
      <w:i/>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link w:val="FooterChar"/>
    <w:rsid w:val="00F15528"/>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F15528"/>
    <w:pPr>
      <w:spacing w:after="220"/>
    </w:p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link w:val="HeaderChar"/>
    <w:rsid w:val="00F15528"/>
    <w:pPr>
      <w:tabs>
        <w:tab w:val="center" w:pos="4536"/>
        <w:tab w:val="right" w:pos="9072"/>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b/>
      <w:bCs/>
      <w:smallCaps/>
      <w:sz w:val="32"/>
      <w:szCs w:val="30"/>
      <w:lang w:val="en-GB"/>
    </w:rPr>
  </w:style>
  <w:style w:type="paragraph" w:customStyle="1" w:styleId="Style1">
    <w:name w:val="Style1"/>
    <w:basedOn w:val="Normal"/>
    <w:link w:val="Style1Char"/>
    <w:rsid w:val="005B550D"/>
    <w:pPr>
      <w:tabs>
        <w:tab w:val="left" w:pos="8640"/>
      </w:tabs>
    </w:pPr>
    <w:rPr>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b/>
      <w:smallCaps/>
      <w:color w:val="0000FF"/>
    </w:rPr>
  </w:style>
  <w:style w:type="paragraph" w:customStyle="1" w:styleId="StyleArial10pt">
    <w:name w:val="Style Arial 10 pt"/>
    <w:basedOn w:val="Normal"/>
    <w:link w:val="StyleArial10ptChar"/>
    <w:rsid w:val="00164B0D"/>
    <w:pPr>
      <w:ind w:firstLineChars="100" w:firstLine="200"/>
    </w:pPr>
    <w:rPr>
      <w:sz w:val="20"/>
    </w:rPr>
  </w:style>
  <w:style w:type="paragraph" w:customStyle="1" w:styleId="Styletexte">
    <w:name w:val="Style texte"/>
    <w:basedOn w:val="Normal"/>
    <w:link w:val="StyletexteChar"/>
    <w:rsid w:val="00C404E4"/>
    <w:pPr>
      <w:spacing w:after="120"/>
      <w:jc w:val="both"/>
    </w:p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lang w:val="en-GB" w:eastAsia="en-GB"/>
    </w:rPr>
  </w:style>
  <w:style w:type="paragraph" w:customStyle="1" w:styleId="STYLE10">
    <w:name w:val="STYLE 1"/>
    <w:basedOn w:val="Heading1"/>
    <w:next w:val="Heading1"/>
    <w:link w:val="STYLE1Char0"/>
    <w:rsid w:val="00E1681D"/>
    <w:pPr>
      <w:tabs>
        <w:tab w:val="left" w:pos="0"/>
      </w:tabs>
      <w:spacing w:before="120" w:after="0"/>
      <w:jc w:val="center"/>
    </w:pPr>
    <w:rPr>
      <w:b w:val="0"/>
      <w:sz w:val="36"/>
      <w:szCs w:val="36"/>
    </w:rPr>
  </w:style>
  <w:style w:type="paragraph" w:styleId="TOC1">
    <w:name w:val="toc 1"/>
    <w:basedOn w:val="Normal"/>
    <w:next w:val="Normal"/>
    <w:autoRedefine/>
    <w:semiHidden/>
    <w:rsid w:val="00866B94"/>
    <w:pPr>
      <w:framePr w:wrap="around" w:vAnchor="text" w:hAnchor="text" w:y="1"/>
      <w:numPr>
        <w:numId w:val="1"/>
      </w:numPr>
      <w:tabs>
        <w:tab w:val="right" w:leader="dot" w:pos="9403"/>
      </w:tabs>
      <w:spacing w:line="480" w:lineRule="auto"/>
    </w:pPr>
    <w:rPr>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val="0"/>
    </w:rPr>
  </w:style>
  <w:style w:type="paragraph" w:customStyle="1" w:styleId="STYLE1LASTONE">
    <w:name w:val="STYLE 1 LAST ONE"/>
    <w:basedOn w:val="HEADING10"/>
    <w:next w:val="HEADING10"/>
    <w:link w:val="STYLE1LASTONEChar"/>
    <w:rsid w:val="00283751"/>
    <w:pPr>
      <w:jc w:val="center"/>
    </w:pPr>
    <w:rPr>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link w:val="Heading1"/>
    <w:rsid w:val="005A588B"/>
    <w:rPr>
      <w:rFonts w:ascii="Arial" w:eastAsia="SimSun" w:hAnsi="Arial" w:cs="Arial"/>
      <w:b/>
      <w:bCs/>
      <w:caps/>
      <w:kern w:val="32"/>
      <w:sz w:val="22"/>
      <w:szCs w:val="32"/>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F15528"/>
    <w:rPr>
      <w:sz w:val="18"/>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b/>
      <w:bCs/>
    </w:rPr>
  </w:style>
  <w:style w:type="paragraph" w:customStyle="1" w:styleId="Endofdocument-Annex">
    <w:name w:val="[End of document - Annex]"/>
    <w:basedOn w:val="Normal"/>
    <w:rsid w:val="00D256FA"/>
    <w:pPr>
      <w:ind w:left="5534"/>
    </w:pPr>
    <w:rPr>
      <w:rFonts w:eastAsia="SimSun"/>
      <w:lang w:eastAsia="zh-CN"/>
    </w:rPr>
  </w:style>
  <w:style w:type="paragraph" w:customStyle="1" w:styleId="ONUME">
    <w:name w:val="ONUM E"/>
    <w:basedOn w:val="BodyText"/>
    <w:rsid w:val="00F15528"/>
    <w:pPr>
      <w:numPr>
        <w:numId w:val="24"/>
      </w:numPr>
    </w:p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iCs w:val="0"/>
      <w:caps w:val="0"/>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F15528"/>
    <w:rPr>
      <w:sz w:val="18"/>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0A4D7F"/>
    <w:pPr>
      <w:ind w:left="720"/>
    </w:pPr>
  </w:style>
  <w:style w:type="character" w:customStyle="1" w:styleId="FooterChar">
    <w:name w:val="Footer Char"/>
    <w:link w:val="Footer"/>
    <w:rsid w:val="008E2E12"/>
    <w:rPr>
      <w:rFonts w:ascii="Arial" w:hAnsi="Arial" w:cs="Arial"/>
      <w:sz w:val="22"/>
    </w:rPr>
  </w:style>
  <w:style w:type="character" w:customStyle="1" w:styleId="HeaderChar">
    <w:name w:val="Header Char"/>
    <w:link w:val="Header"/>
    <w:rsid w:val="00690EB2"/>
    <w:rPr>
      <w:rFonts w:ascii="Arial" w:hAnsi="Arial" w:cs="Arial"/>
      <w:sz w:val="22"/>
    </w:rPr>
  </w:style>
  <w:style w:type="paragraph" w:styleId="Caption">
    <w:name w:val="caption"/>
    <w:basedOn w:val="Normal"/>
    <w:next w:val="Normal"/>
    <w:qFormat/>
    <w:rsid w:val="00F15528"/>
    <w:rPr>
      <w:b/>
      <w:bCs/>
      <w:sz w:val="18"/>
    </w:rPr>
  </w:style>
  <w:style w:type="paragraph" w:styleId="EndnoteText">
    <w:name w:val="endnote text"/>
    <w:basedOn w:val="Normal"/>
    <w:link w:val="EndnoteTextChar"/>
    <w:rsid w:val="00F15528"/>
    <w:rPr>
      <w:sz w:val="18"/>
    </w:rPr>
  </w:style>
  <w:style w:type="character" w:customStyle="1" w:styleId="EndnoteTextChar">
    <w:name w:val="Endnote Text Char"/>
    <w:basedOn w:val="DefaultParagraphFont"/>
    <w:link w:val="EndnoteText"/>
    <w:rsid w:val="00F15528"/>
    <w:rPr>
      <w:rFonts w:ascii="Arial" w:hAnsi="Arial" w:cs="Arial"/>
      <w:sz w:val="18"/>
    </w:rPr>
  </w:style>
  <w:style w:type="paragraph" w:styleId="ListNumber">
    <w:name w:val="List Number"/>
    <w:basedOn w:val="Normal"/>
    <w:rsid w:val="00F15528"/>
    <w:pPr>
      <w:numPr>
        <w:numId w:val="23"/>
      </w:numPr>
    </w:pPr>
  </w:style>
  <w:style w:type="paragraph" w:customStyle="1" w:styleId="ONUMFS">
    <w:name w:val="ONUM FS"/>
    <w:basedOn w:val="BodyText"/>
    <w:rsid w:val="00F15528"/>
    <w:pPr>
      <w:numPr>
        <w:numId w:val="25"/>
      </w:numPr>
    </w:pPr>
  </w:style>
  <w:style w:type="paragraph" w:styleId="Salutation">
    <w:name w:val="Salutation"/>
    <w:basedOn w:val="Normal"/>
    <w:next w:val="Normal"/>
    <w:link w:val="SalutationChar"/>
    <w:rsid w:val="00F15528"/>
  </w:style>
  <w:style w:type="character" w:customStyle="1" w:styleId="SalutationChar">
    <w:name w:val="Salutation Char"/>
    <w:basedOn w:val="DefaultParagraphFont"/>
    <w:link w:val="Salutation"/>
    <w:rsid w:val="00F15528"/>
    <w:rPr>
      <w:rFonts w:ascii="Arial" w:hAnsi="Arial" w:cs="Arial"/>
      <w:sz w:val="22"/>
    </w:rPr>
  </w:style>
  <w:style w:type="paragraph" w:styleId="Signature">
    <w:name w:val="Signature"/>
    <w:basedOn w:val="Normal"/>
    <w:link w:val="SignatureChar"/>
    <w:rsid w:val="00F15528"/>
    <w:pPr>
      <w:ind w:left="5250"/>
    </w:pPr>
  </w:style>
  <w:style w:type="character" w:customStyle="1" w:styleId="SignatureChar">
    <w:name w:val="Signature Char"/>
    <w:basedOn w:val="DefaultParagraphFont"/>
    <w:link w:val="Signature"/>
    <w:rsid w:val="00F15528"/>
    <w:rPr>
      <w:rFonts w:ascii="Arial" w:hAnsi="Arial" w:cs="Arial"/>
      <w:sz w:val="22"/>
    </w:rPr>
  </w:style>
  <w:style w:type="character" w:customStyle="1" w:styleId="hps">
    <w:name w:val="hps"/>
    <w:basedOn w:val="DefaultParagraphFont"/>
    <w:rsid w:val="00D039C4"/>
  </w:style>
  <w:style w:type="paragraph" w:styleId="Revision">
    <w:name w:val="Revision"/>
    <w:hidden/>
    <w:uiPriority w:val="99"/>
    <w:semiHidden/>
    <w:rsid w:val="008F62FB"/>
    <w:rPr>
      <w:rFonts w:ascii="Arial" w:hAnsi="Arial" w:cs="Arial"/>
      <w:sz w:val="22"/>
      <w:lang w:val="fr-FR"/>
    </w:rPr>
  </w:style>
  <w:style w:type="character" w:customStyle="1" w:styleId="preferred">
    <w:name w:val="preferred"/>
    <w:basedOn w:val="DefaultParagraphFont"/>
    <w:rsid w:val="00CB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63">
      <w:bodyDiv w:val="1"/>
      <w:marLeft w:val="0"/>
      <w:marRight w:val="0"/>
      <w:marTop w:val="0"/>
      <w:marBottom w:val="0"/>
      <w:divBdr>
        <w:top w:val="none" w:sz="0" w:space="0" w:color="auto"/>
        <w:left w:val="none" w:sz="0" w:space="0" w:color="auto"/>
        <w:bottom w:val="none" w:sz="0" w:space="0" w:color="auto"/>
        <w:right w:val="none" w:sz="0" w:space="0" w:color="auto"/>
      </w:divBdr>
    </w:div>
    <w:div w:id="6369034">
      <w:bodyDiv w:val="1"/>
      <w:marLeft w:val="0"/>
      <w:marRight w:val="0"/>
      <w:marTop w:val="0"/>
      <w:marBottom w:val="0"/>
      <w:divBdr>
        <w:top w:val="none" w:sz="0" w:space="0" w:color="auto"/>
        <w:left w:val="none" w:sz="0" w:space="0" w:color="auto"/>
        <w:bottom w:val="none" w:sz="0" w:space="0" w:color="auto"/>
        <w:right w:val="none" w:sz="0" w:space="0" w:color="auto"/>
      </w:divBdr>
    </w:div>
    <w:div w:id="12196439">
      <w:bodyDiv w:val="1"/>
      <w:marLeft w:val="0"/>
      <w:marRight w:val="0"/>
      <w:marTop w:val="0"/>
      <w:marBottom w:val="0"/>
      <w:divBdr>
        <w:top w:val="none" w:sz="0" w:space="0" w:color="auto"/>
        <w:left w:val="none" w:sz="0" w:space="0" w:color="auto"/>
        <w:bottom w:val="none" w:sz="0" w:space="0" w:color="auto"/>
        <w:right w:val="none" w:sz="0" w:space="0" w:color="auto"/>
      </w:divBdr>
    </w:div>
    <w:div w:id="15229567">
      <w:bodyDiv w:val="1"/>
      <w:marLeft w:val="0"/>
      <w:marRight w:val="0"/>
      <w:marTop w:val="0"/>
      <w:marBottom w:val="0"/>
      <w:divBdr>
        <w:top w:val="none" w:sz="0" w:space="0" w:color="auto"/>
        <w:left w:val="none" w:sz="0" w:space="0" w:color="auto"/>
        <w:bottom w:val="none" w:sz="0" w:space="0" w:color="auto"/>
        <w:right w:val="none" w:sz="0" w:space="0" w:color="auto"/>
      </w:divBdr>
    </w:div>
    <w:div w:id="16735751">
      <w:bodyDiv w:val="1"/>
      <w:marLeft w:val="0"/>
      <w:marRight w:val="0"/>
      <w:marTop w:val="0"/>
      <w:marBottom w:val="0"/>
      <w:divBdr>
        <w:top w:val="none" w:sz="0" w:space="0" w:color="auto"/>
        <w:left w:val="none" w:sz="0" w:space="0" w:color="auto"/>
        <w:bottom w:val="none" w:sz="0" w:space="0" w:color="auto"/>
        <w:right w:val="none" w:sz="0" w:space="0" w:color="auto"/>
      </w:divBdr>
    </w:div>
    <w:div w:id="24984391">
      <w:bodyDiv w:val="1"/>
      <w:marLeft w:val="0"/>
      <w:marRight w:val="0"/>
      <w:marTop w:val="0"/>
      <w:marBottom w:val="0"/>
      <w:divBdr>
        <w:top w:val="none" w:sz="0" w:space="0" w:color="auto"/>
        <w:left w:val="none" w:sz="0" w:space="0" w:color="auto"/>
        <w:bottom w:val="none" w:sz="0" w:space="0" w:color="auto"/>
        <w:right w:val="none" w:sz="0" w:space="0" w:color="auto"/>
      </w:divBdr>
    </w:div>
    <w:div w:id="29689579">
      <w:bodyDiv w:val="1"/>
      <w:marLeft w:val="0"/>
      <w:marRight w:val="0"/>
      <w:marTop w:val="0"/>
      <w:marBottom w:val="0"/>
      <w:divBdr>
        <w:top w:val="none" w:sz="0" w:space="0" w:color="auto"/>
        <w:left w:val="none" w:sz="0" w:space="0" w:color="auto"/>
        <w:bottom w:val="none" w:sz="0" w:space="0" w:color="auto"/>
        <w:right w:val="none" w:sz="0" w:space="0" w:color="auto"/>
      </w:divBdr>
    </w:div>
    <w:div w:id="31611686">
      <w:bodyDiv w:val="1"/>
      <w:marLeft w:val="0"/>
      <w:marRight w:val="0"/>
      <w:marTop w:val="0"/>
      <w:marBottom w:val="0"/>
      <w:divBdr>
        <w:top w:val="none" w:sz="0" w:space="0" w:color="auto"/>
        <w:left w:val="none" w:sz="0" w:space="0" w:color="auto"/>
        <w:bottom w:val="none" w:sz="0" w:space="0" w:color="auto"/>
        <w:right w:val="none" w:sz="0" w:space="0" w:color="auto"/>
      </w:divBdr>
    </w:div>
    <w:div w:id="33040195">
      <w:bodyDiv w:val="1"/>
      <w:marLeft w:val="0"/>
      <w:marRight w:val="0"/>
      <w:marTop w:val="0"/>
      <w:marBottom w:val="0"/>
      <w:divBdr>
        <w:top w:val="none" w:sz="0" w:space="0" w:color="auto"/>
        <w:left w:val="none" w:sz="0" w:space="0" w:color="auto"/>
        <w:bottom w:val="none" w:sz="0" w:space="0" w:color="auto"/>
        <w:right w:val="none" w:sz="0" w:space="0" w:color="auto"/>
      </w:divBdr>
    </w:div>
    <w:div w:id="33700265">
      <w:bodyDiv w:val="1"/>
      <w:marLeft w:val="0"/>
      <w:marRight w:val="0"/>
      <w:marTop w:val="0"/>
      <w:marBottom w:val="0"/>
      <w:divBdr>
        <w:top w:val="none" w:sz="0" w:space="0" w:color="auto"/>
        <w:left w:val="none" w:sz="0" w:space="0" w:color="auto"/>
        <w:bottom w:val="none" w:sz="0" w:space="0" w:color="auto"/>
        <w:right w:val="none" w:sz="0" w:space="0" w:color="auto"/>
      </w:divBdr>
    </w:div>
    <w:div w:id="39479059">
      <w:bodyDiv w:val="1"/>
      <w:marLeft w:val="0"/>
      <w:marRight w:val="0"/>
      <w:marTop w:val="0"/>
      <w:marBottom w:val="0"/>
      <w:divBdr>
        <w:top w:val="none" w:sz="0" w:space="0" w:color="auto"/>
        <w:left w:val="none" w:sz="0" w:space="0" w:color="auto"/>
        <w:bottom w:val="none" w:sz="0" w:space="0" w:color="auto"/>
        <w:right w:val="none" w:sz="0" w:space="0" w:color="auto"/>
      </w:divBdr>
    </w:div>
    <w:div w:id="44531421">
      <w:bodyDiv w:val="1"/>
      <w:marLeft w:val="0"/>
      <w:marRight w:val="0"/>
      <w:marTop w:val="0"/>
      <w:marBottom w:val="0"/>
      <w:divBdr>
        <w:top w:val="none" w:sz="0" w:space="0" w:color="auto"/>
        <w:left w:val="none" w:sz="0" w:space="0" w:color="auto"/>
        <w:bottom w:val="none" w:sz="0" w:space="0" w:color="auto"/>
        <w:right w:val="none" w:sz="0" w:space="0" w:color="auto"/>
      </w:divBdr>
    </w:div>
    <w:div w:id="52701807">
      <w:bodyDiv w:val="1"/>
      <w:marLeft w:val="0"/>
      <w:marRight w:val="0"/>
      <w:marTop w:val="0"/>
      <w:marBottom w:val="0"/>
      <w:divBdr>
        <w:top w:val="none" w:sz="0" w:space="0" w:color="auto"/>
        <w:left w:val="none" w:sz="0" w:space="0" w:color="auto"/>
        <w:bottom w:val="none" w:sz="0" w:space="0" w:color="auto"/>
        <w:right w:val="none" w:sz="0" w:space="0" w:color="auto"/>
      </w:divBdr>
    </w:div>
    <w:div w:id="53086192">
      <w:bodyDiv w:val="1"/>
      <w:marLeft w:val="0"/>
      <w:marRight w:val="0"/>
      <w:marTop w:val="0"/>
      <w:marBottom w:val="0"/>
      <w:divBdr>
        <w:top w:val="none" w:sz="0" w:space="0" w:color="auto"/>
        <w:left w:val="none" w:sz="0" w:space="0" w:color="auto"/>
        <w:bottom w:val="none" w:sz="0" w:space="0" w:color="auto"/>
        <w:right w:val="none" w:sz="0" w:space="0" w:color="auto"/>
      </w:divBdr>
    </w:div>
    <w:div w:id="54862980">
      <w:bodyDiv w:val="1"/>
      <w:marLeft w:val="0"/>
      <w:marRight w:val="0"/>
      <w:marTop w:val="0"/>
      <w:marBottom w:val="0"/>
      <w:divBdr>
        <w:top w:val="none" w:sz="0" w:space="0" w:color="auto"/>
        <w:left w:val="none" w:sz="0" w:space="0" w:color="auto"/>
        <w:bottom w:val="none" w:sz="0" w:space="0" w:color="auto"/>
        <w:right w:val="none" w:sz="0" w:space="0" w:color="auto"/>
      </w:divBdr>
    </w:div>
    <w:div w:id="55324666">
      <w:bodyDiv w:val="1"/>
      <w:marLeft w:val="0"/>
      <w:marRight w:val="0"/>
      <w:marTop w:val="0"/>
      <w:marBottom w:val="0"/>
      <w:divBdr>
        <w:top w:val="none" w:sz="0" w:space="0" w:color="auto"/>
        <w:left w:val="none" w:sz="0" w:space="0" w:color="auto"/>
        <w:bottom w:val="none" w:sz="0" w:space="0" w:color="auto"/>
        <w:right w:val="none" w:sz="0" w:space="0" w:color="auto"/>
      </w:divBdr>
    </w:div>
    <w:div w:id="58096496">
      <w:bodyDiv w:val="1"/>
      <w:marLeft w:val="0"/>
      <w:marRight w:val="0"/>
      <w:marTop w:val="0"/>
      <w:marBottom w:val="0"/>
      <w:divBdr>
        <w:top w:val="none" w:sz="0" w:space="0" w:color="auto"/>
        <w:left w:val="none" w:sz="0" w:space="0" w:color="auto"/>
        <w:bottom w:val="none" w:sz="0" w:space="0" w:color="auto"/>
        <w:right w:val="none" w:sz="0" w:space="0" w:color="auto"/>
      </w:divBdr>
    </w:div>
    <w:div w:id="60252877">
      <w:bodyDiv w:val="1"/>
      <w:marLeft w:val="0"/>
      <w:marRight w:val="0"/>
      <w:marTop w:val="0"/>
      <w:marBottom w:val="0"/>
      <w:divBdr>
        <w:top w:val="none" w:sz="0" w:space="0" w:color="auto"/>
        <w:left w:val="none" w:sz="0" w:space="0" w:color="auto"/>
        <w:bottom w:val="none" w:sz="0" w:space="0" w:color="auto"/>
        <w:right w:val="none" w:sz="0" w:space="0" w:color="auto"/>
      </w:divBdr>
    </w:div>
    <w:div w:id="60569424">
      <w:bodyDiv w:val="1"/>
      <w:marLeft w:val="0"/>
      <w:marRight w:val="0"/>
      <w:marTop w:val="0"/>
      <w:marBottom w:val="0"/>
      <w:divBdr>
        <w:top w:val="none" w:sz="0" w:space="0" w:color="auto"/>
        <w:left w:val="none" w:sz="0" w:space="0" w:color="auto"/>
        <w:bottom w:val="none" w:sz="0" w:space="0" w:color="auto"/>
        <w:right w:val="none" w:sz="0" w:space="0" w:color="auto"/>
      </w:divBdr>
      <w:divsChild>
        <w:div w:id="1613367323">
          <w:marLeft w:val="0"/>
          <w:marRight w:val="0"/>
          <w:marTop w:val="0"/>
          <w:marBottom w:val="0"/>
          <w:divBdr>
            <w:top w:val="none" w:sz="0" w:space="0" w:color="auto"/>
            <w:left w:val="none" w:sz="0" w:space="0" w:color="auto"/>
            <w:bottom w:val="none" w:sz="0" w:space="0" w:color="auto"/>
            <w:right w:val="none" w:sz="0" w:space="0" w:color="auto"/>
          </w:divBdr>
          <w:divsChild>
            <w:div w:id="753432497">
              <w:marLeft w:val="0"/>
              <w:marRight w:val="0"/>
              <w:marTop w:val="0"/>
              <w:marBottom w:val="0"/>
              <w:divBdr>
                <w:top w:val="none" w:sz="0" w:space="0" w:color="auto"/>
                <w:left w:val="none" w:sz="0" w:space="0" w:color="auto"/>
                <w:bottom w:val="none" w:sz="0" w:space="0" w:color="auto"/>
                <w:right w:val="none" w:sz="0" w:space="0" w:color="auto"/>
              </w:divBdr>
              <w:divsChild>
                <w:div w:id="1342977175">
                  <w:marLeft w:val="0"/>
                  <w:marRight w:val="0"/>
                  <w:marTop w:val="0"/>
                  <w:marBottom w:val="0"/>
                  <w:divBdr>
                    <w:top w:val="none" w:sz="0" w:space="0" w:color="auto"/>
                    <w:left w:val="none" w:sz="0" w:space="0" w:color="auto"/>
                    <w:bottom w:val="none" w:sz="0" w:space="0" w:color="auto"/>
                    <w:right w:val="none" w:sz="0" w:space="0" w:color="auto"/>
                  </w:divBdr>
                  <w:divsChild>
                    <w:div w:id="612400853">
                      <w:marLeft w:val="0"/>
                      <w:marRight w:val="0"/>
                      <w:marTop w:val="0"/>
                      <w:marBottom w:val="0"/>
                      <w:divBdr>
                        <w:top w:val="none" w:sz="0" w:space="0" w:color="auto"/>
                        <w:left w:val="none" w:sz="0" w:space="0" w:color="auto"/>
                        <w:bottom w:val="none" w:sz="0" w:space="0" w:color="auto"/>
                        <w:right w:val="none" w:sz="0" w:space="0" w:color="auto"/>
                      </w:divBdr>
                      <w:divsChild>
                        <w:div w:id="2032946399">
                          <w:marLeft w:val="0"/>
                          <w:marRight w:val="0"/>
                          <w:marTop w:val="0"/>
                          <w:marBottom w:val="0"/>
                          <w:divBdr>
                            <w:top w:val="none" w:sz="0" w:space="0" w:color="auto"/>
                            <w:left w:val="none" w:sz="0" w:space="0" w:color="auto"/>
                            <w:bottom w:val="none" w:sz="0" w:space="0" w:color="auto"/>
                            <w:right w:val="none" w:sz="0" w:space="0" w:color="auto"/>
                          </w:divBdr>
                          <w:divsChild>
                            <w:div w:id="20671952">
                              <w:marLeft w:val="0"/>
                              <w:marRight w:val="0"/>
                              <w:marTop w:val="0"/>
                              <w:marBottom w:val="0"/>
                              <w:divBdr>
                                <w:top w:val="none" w:sz="0" w:space="0" w:color="auto"/>
                                <w:left w:val="none" w:sz="0" w:space="0" w:color="auto"/>
                                <w:bottom w:val="none" w:sz="0" w:space="0" w:color="auto"/>
                                <w:right w:val="none" w:sz="0" w:space="0" w:color="auto"/>
                              </w:divBdr>
                              <w:divsChild>
                                <w:div w:id="1241525131">
                                  <w:marLeft w:val="0"/>
                                  <w:marRight w:val="0"/>
                                  <w:marTop w:val="0"/>
                                  <w:marBottom w:val="0"/>
                                  <w:divBdr>
                                    <w:top w:val="none" w:sz="0" w:space="0" w:color="auto"/>
                                    <w:left w:val="none" w:sz="0" w:space="0" w:color="auto"/>
                                    <w:bottom w:val="none" w:sz="0" w:space="0" w:color="auto"/>
                                    <w:right w:val="none" w:sz="0" w:space="0" w:color="auto"/>
                                  </w:divBdr>
                                  <w:divsChild>
                                    <w:div w:id="166140812">
                                      <w:marLeft w:val="60"/>
                                      <w:marRight w:val="0"/>
                                      <w:marTop w:val="0"/>
                                      <w:marBottom w:val="0"/>
                                      <w:divBdr>
                                        <w:top w:val="none" w:sz="0" w:space="0" w:color="auto"/>
                                        <w:left w:val="none" w:sz="0" w:space="0" w:color="auto"/>
                                        <w:bottom w:val="none" w:sz="0" w:space="0" w:color="auto"/>
                                        <w:right w:val="none" w:sz="0" w:space="0" w:color="auto"/>
                                      </w:divBdr>
                                      <w:divsChild>
                                        <w:div w:id="2141260417">
                                          <w:marLeft w:val="0"/>
                                          <w:marRight w:val="0"/>
                                          <w:marTop w:val="0"/>
                                          <w:marBottom w:val="0"/>
                                          <w:divBdr>
                                            <w:top w:val="none" w:sz="0" w:space="0" w:color="auto"/>
                                            <w:left w:val="none" w:sz="0" w:space="0" w:color="auto"/>
                                            <w:bottom w:val="none" w:sz="0" w:space="0" w:color="auto"/>
                                            <w:right w:val="none" w:sz="0" w:space="0" w:color="auto"/>
                                          </w:divBdr>
                                          <w:divsChild>
                                            <w:div w:id="968969838">
                                              <w:marLeft w:val="0"/>
                                              <w:marRight w:val="0"/>
                                              <w:marTop w:val="0"/>
                                              <w:marBottom w:val="120"/>
                                              <w:divBdr>
                                                <w:top w:val="single" w:sz="6" w:space="0" w:color="F5F5F5"/>
                                                <w:left w:val="single" w:sz="6" w:space="0" w:color="F5F5F5"/>
                                                <w:bottom w:val="single" w:sz="6" w:space="0" w:color="F5F5F5"/>
                                                <w:right w:val="single" w:sz="6" w:space="0" w:color="F5F5F5"/>
                                              </w:divBdr>
                                              <w:divsChild>
                                                <w:div w:id="368115884">
                                                  <w:marLeft w:val="0"/>
                                                  <w:marRight w:val="0"/>
                                                  <w:marTop w:val="0"/>
                                                  <w:marBottom w:val="0"/>
                                                  <w:divBdr>
                                                    <w:top w:val="none" w:sz="0" w:space="0" w:color="auto"/>
                                                    <w:left w:val="none" w:sz="0" w:space="0" w:color="auto"/>
                                                    <w:bottom w:val="none" w:sz="0" w:space="0" w:color="auto"/>
                                                    <w:right w:val="none" w:sz="0" w:space="0" w:color="auto"/>
                                                  </w:divBdr>
                                                  <w:divsChild>
                                                    <w:div w:id="588781016">
                                                      <w:marLeft w:val="0"/>
                                                      <w:marRight w:val="0"/>
                                                      <w:marTop w:val="0"/>
                                                      <w:marBottom w:val="0"/>
                                                      <w:divBdr>
                                                        <w:top w:val="none" w:sz="0" w:space="0" w:color="auto"/>
                                                        <w:left w:val="none" w:sz="0" w:space="0" w:color="auto"/>
                                                        <w:bottom w:val="none" w:sz="0" w:space="0" w:color="auto"/>
                                                        <w:right w:val="none" w:sz="0" w:space="0" w:color="auto"/>
                                                      </w:divBdr>
                                                    </w:div>
                                                  </w:divsChild>
                                                </w:div>
                                                <w:div w:id="637146849">
                                                  <w:marLeft w:val="0"/>
                                                  <w:marRight w:val="0"/>
                                                  <w:marTop w:val="0"/>
                                                  <w:marBottom w:val="0"/>
                                                  <w:divBdr>
                                                    <w:top w:val="none" w:sz="0" w:space="0" w:color="auto"/>
                                                    <w:left w:val="none" w:sz="0" w:space="0" w:color="auto"/>
                                                    <w:bottom w:val="none" w:sz="0" w:space="0" w:color="auto"/>
                                                    <w:right w:val="none" w:sz="0" w:space="0" w:color="auto"/>
                                                  </w:divBdr>
                                                  <w:divsChild>
                                                    <w:div w:id="10549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38052">
      <w:bodyDiv w:val="1"/>
      <w:marLeft w:val="0"/>
      <w:marRight w:val="0"/>
      <w:marTop w:val="0"/>
      <w:marBottom w:val="0"/>
      <w:divBdr>
        <w:top w:val="none" w:sz="0" w:space="0" w:color="auto"/>
        <w:left w:val="none" w:sz="0" w:space="0" w:color="auto"/>
        <w:bottom w:val="none" w:sz="0" w:space="0" w:color="auto"/>
        <w:right w:val="none" w:sz="0" w:space="0" w:color="auto"/>
      </w:divBdr>
    </w:div>
    <w:div w:id="64227097">
      <w:bodyDiv w:val="1"/>
      <w:marLeft w:val="0"/>
      <w:marRight w:val="0"/>
      <w:marTop w:val="0"/>
      <w:marBottom w:val="0"/>
      <w:divBdr>
        <w:top w:val="none" w:sz="0" w:space="0" w:color="auto"/>
        <w:left w:val="none" w:sz="0" w:space="0" w:color="auto"/>
        <w:bottom w:val="none" w:sz="0" w:space="0" w:color="auto"/>
        <w:right w:val="none" w:sz="0" w:space="0" w:color="auto"/>
      </w:divBdr>
    </w:div>
    <w:div w:id="73360594">
      <w:bodyDiv w:val="1"/>
      <w:marLeft w:val="0"/>
      <w:marRight w:val="0"/>
      <w:marTop w:val="0"/>
      <w:marBottom w:val="0"/>
      <w:divBdr>
        <w:top w:val="none" w:sz="0" w:space="0" w:color="auto"/>
        <w:left w:val="none" w:sz="0" w:space="0" w:color="auto"/>
        <w:bottom w:val="none" w:sz="0" w:space="0" w:color="auto"/>
        <w:right w:val="none" w:sz="0" w:space="0" w:color="auto"/>
      </w:divBdr>
    </w:div>
    <w:div w:id="73868455">
      <w:bodyDiv w:val="1"/>
      <w:marLeft w:val="0"/>
      <w:marRight w:val="0"/>
      <w:marTop w:val="0"/>
      <w:marBottom w:val="0"/>
      <w:divBdr>
        <w:top w:val="none" w:sz="0" w:space="0" w:color="auto"/>
        <w:left w:val="none" w:sz="0" w:space="0" w:color="auto"/>
        <w:bottom w:val="none" w:sz="0" w:space="0" w:color="auto"/>
        <w:right w:val="none" w:sz="0" w:space="0" w:color="auto"/>
      </w:divBdr>
    </w:div>
    <w:div w:id="75830689">
      <w:bodyDiv w:val="1"/>
      <w:marLeft w:val="0"/>
      <w:marRight w:val="0"/>
      <w:marTop w:val="0"/>
      <w:marBottom w:val="0"/>
      <w:divBdr>
        <w:top w:val="none" w:sz="0" w:space="0" w:color="auto"/>
        <w:left w:val="none" w:sz="0" w:space="0" w:color="auto"/>
        <w:bottom w:val="none" w:sz="0" w:space="0" w:color="auto"/>
        <w:right w:val="none" w:sz="0" w:space="0" w:color="auto"/>
      </w:divBdr>
    </w:div>
    <w:div w:id="89550627">
      <w:bodyDiv w:val="1"/>
      <w:marLeft w:val="0"/>
      <w:marRight w:val="0"/>
      <w:marTop w:val="0"/>
      <w:marBottom w:val="0"/>
      <w:divBdr>
        <w:top w:val="none" w:sz="0" w:space="0" w:color="auto"/>
        <w:left w:val="none" w:sz="0" w:space="0" w:color="auto"/>
        <w:bottom w:val="none" w:sz="0" w:space="0" w:color="auto"/>
        <w:right w:val="none" w:sz="0" w:space="0" w:color="auto"/>
      </w:divBdr>
    </w:div>
    <w:div w:id="90899900">
      <w:bodyDiv w:val="1"/>
      <w:marLeft w:val="0"/>
      <w:marRight w:val="0"/>
      <w:marTop w:val="0"/>
      <w:marBottom w:val="0"/>
      <w:divBdr>
        <w:top w:val="none" w:sz="0" w:space="0" w:color="auto"/>
        <w:left w:val="none" w:sz="0" w:space="0" w:color="auto"/>
        <w:bottom w:val="none" w:sz="0" w:space="0" w:color="auto"/>
        <w:right w:val="none" w:sz="0" w:space="0" w:color="auto"/>
      </w:divBdr>
    </w:div>
    <w:div w:id="93289396">
      <w:bodyDiv w:val="1"/>
      <w:marLeft w:val="0"/>
      <w:marRight w:val="0"/>
      <w:marTop w:val="0"/>
      <w:marBottom w:val="0"/>
      <w:divBdr>
        <w:top w:val="none" w:sz="0" w:space="0" w:color="auto"/>
        <w:left w:val="none" w:sz="0" w:space="0" w:color="auto"/>
        <w:bottom w:val="none" w:sz="0" w:space="0" w:color="auto"/>
        <w:right w:val="none" w:sz="0" w:space="0" w:color="auto"/>
      </w:divBdr>
    </w:div>
    <w:div w:id="94719291">
      <w:bodyDiv w:val="1"/>
      <w:marLeft w:val="0"/>
      <w:marRight w:val="0"/>
      <w:marTop w:val="0"/>
      <w:marBottom w:val="0"/>
      <w:divBdr>
        <w:top w:val="none" w:sz="0" w:space="0" w:color="auto"/>
        <w:left w:val="none" w:sz="0" w:space="0" w:color="auto"/>
        <w:bottom w:val="none" w:sz="0" w:space="0" w:color="auto"/>
        <w:right w:val="none" w:sz="0" w:space="0" w:color="auto"/>
      </w:divBdr>
    </w:div>
    <w:div w:id="94979890">
      <w:bodyDiv w:val="1"/>
      <w:marLeft w:val="0"/>
      <w:marRight w:val="0"/>
      <w:marTop w:val="0"/>
      <w:marBottom w:val="0"/>
      <w:divBdr>
        <w:top w:val="none" w:sz="0" w:space="0" w:color="auto"/>
        <w:left w:val="none" w:sz="0" w:space="0" w:color="auto"/>
        <w:bottom w:val="none" w:sz="0" w:space="0" w:color="auto"/>
        <w:right w:val="none" w:sz="0" w:space="0" w:color="auto"/>
      </w:divBdr>
    </w:div>
    <w:div w:id="95249848">
      <w:bodyDiv w:val="1"/>
      <w:marLeft w:val="0"/>
      <w:marRight w:val="0"/>
      <w:marTop w:val="0"/>
      <w:marBottom w:val="0"/>
      <w:divBdr>
        <w:top w:val="none" w:sz="0" w:space="0" w:color="auto"/>
        <w:left w:val="none" w:sz="0" w:space="0" w:color="auto"/>
        <w:bottom w:val="none" w:sz="0" w:space="0" w:color="auto"/>
        <w:right w:val="none" w:sz="0" w:space="0" w:color="auto"/>
      </w:divBdr>
    </w:div>
    <w:div w:id="97410231">
      <w:bodyDiv w:val="1"/>
      <w:marLeft w:val="0"/>
      <w:marRight w:val="0"/>
      <w:marTop w:val="0"/>
      <w:marBottom w:val="0"/>
      <w:divBdr>
        <w:top w:val="none" w:sz="0" w:space="0" w:color="auto"/>
        <w:left w:val="none" w:sz="0" w:space="0" w:color="auto"/>
        <w:bottom w:val="none" w:sz="0" w:space="0" w:color="auto"/>
        <w:right w:val="none" w:sz="0" w:space="0" w:color="auto"/>
      </w:divBdr>
    </w:div>
    <w:div w:id="98527473">
      <w:bodyDiv w:val="1"/>
      <w:marLeft w:val="0"/>
      <w:marRight w:val="0"/>
      <w:marTop w:val="0"/>
      <w:marBottom w:val="0"/>
      <w:divBdr>
        <w:top w:val="none" w:sz="0" w:space="0" w:color="auto"/>
        <w:left w:val="none" w:sz="0" w:space="0" w:color="auto"/>
        <w:bottom w:val="none" w:sz="0" w:space="0" w:color="auto"/>
        <w:right w:val="none" w:sz="0" w:space="0" w:color="auto"/>
      </w:divBdr>
    </w:div>
    <w:div w:id="99685447">
      <w:bodyDiv w:val="1"/>
      <w:marLeft w:val="0"/>
      <w:marRight w:val="0"/>
      <w:marTop w:val="0"/>
      <w:marBottom w:val="0"/>
      <w:divBdr>
        <w:top w:val="none" w:sz="0" w:space="0" w:color="auto"/>
        <w:left w:val="none" w:sz="0" w:space="0" w:color="auto"/>
        <w:bottom w:val="none" w:sz="0" w:space="0" w:color="auto"/>
        <w:right w:val="none" w:sz="0" w:space="0" w:color="auto"/>
      </w:divBdr>
    </w:div>
    <w:div w:id="103812264">
      <w:bodyDiv w:val="1"/>
      <w:marLeft w:val="0"/>
      <w:marRight w:val="0"/>
      <w:marTop w:val="0"/>
      <w:marBottom w:val="0"/>
      <w:divBdr>
        <w:top w:val="none" w:sz="0" w:space="0" w:color="auto"/>
        <w:left w:val="none" w:sz="0" w:space="0" w:color="auto"/>
        <w:bottom w:val="none" w:sz="0" w:space="0" w:color="auto"/>
        <w:right w:val="none" w:sz="0" w:space="0" w:color="auto"/>
      </w:divBdr>
    </w:div>
    <w:div w:id="106118716">
      <w:bodyDiv w:val="1"/>
      <w:marLeft w:val="0"/>
      <w:marRight w:val="0"/>
      <w:marTop w:val="0"/>
      <w:marBottom w:val="0"/>
      <w:divBdr>
        <w:top w:val="none" w:sz="0" w:space="0" w:color="auto"/>
        <w:left w:val="none" w:sz="0" w:space="0" w:color="auto"/>
        <w:bottom w:val="none" w:sz="0" w:space="0" w:color="auto"/>
        <w:right w:val="none" w:sz="0" w:space="0" w:color="auto"/>
      </w:divBdr>
    </w:div>
    <w:div w:id="110444731">
      <w:bodyDiv w:val="1"/>
      <w:marLeft w:val="0"/>
      <w:marRight w:val="0"/>
      <w:marTop w:val="0"/>
      <w:marBottom w:val="0"/>
      <w:divBdr>
        <w:top w:val="none" w:sz="0" w:space="0" w:color="auto"/>
        <w:left w:val="none" w:sz="0" w:space="0" w:color="auto"/>
        <w:bottom w:val="none" w:sz="0" w:space="0" w:color="auto"/>
        <w:right w:val="none" w:sz="0" w:space="0" w:color="auto"/>
      </w:divBdr>
    </w:div>
    <w:div w:id="110519375">
      <w:bodyDiv w:val="1"/>
      <w:marLeft w:val="0"/>
      <w:marRight w:val="0"/>
      <w:marTop w:val="0"/>
      <w:marBottom w:val="0"/>
      <w:divBdr>
        <w:top w:val="none" w:sz="0" w:space="0" w:color="auto"/>
        <w:left w:val="none" w:sz="0" w:space="0" w:color="auto"/>
        <w:bottom w:val="none" w:sz="0" w:space="0" w:color="auto"/>
        <w:right w:val="none" w:sz="0" w:space="0" w:color="auto"/>
      </w:divBdr>
    </w:div>
    <w:div w:id="113330195">
      <w:bodyDiv w:val="1"/>
      <w:marLeft w:val="0"/>
      <w:marRight w:val="0"/>
      <w:marTop w:val="0"/>
      <w:marBottom w:val="0"/>
      <w:divBdr>
        <w:top w:val="none" w:sz="0" w:space="0" w:color="auto"/>
        <w:left w:val="none" w:sz="0" w:space="0" w:color="auto"/>
        <w:bottom w:val="none" w:sz="0" w:space="0" w:color="auto"/>
        <w:right w:val="none" w:sz="0" w:space="0" w:color="auto"/>
      </w:divBdr>
    </w:div>
    <w:div w:id="115297837">
      <w:bodyDiv w:val="1"/>
      <w:marLeft w:val="0"/>
      <w:marRight w:val="0"/>
      <w:marTop w:val="0"/>
      <w:marBottom w:val="0"/>
      <w:divBdr>
        <w:top w:val="none" w:sz="0" w:space="0" w:color="auto"/>
        <w:left w:val="none" w:sz="0" w:space="0" w:color="auto"/>
        <w:bottom w:val="none" w:sz="0" w:space="0" w:color="auto"/>
        <w:right w:val="none" w:sz="0" w:space="0" w:color="auto"/>
      </w:divBdr>
    </w:div>
    <w:div w:id="116412630">
      <w:bodyDiv w:val="1"/>
      <w:marLeft w:val="0"/>
      <w:marRight w:val="0"/>
      <w:marTop w:val="0"/>
      <w:marBottom w:val="0"/>
      <w:divBdr>
        <w:top w:val="none" w:sz="0" w:space="0" w:color="auto"/>
        <w:left w:val="none" w:sz="0" w:space="0" w:color="auto"/>
        <w:bottom w:val="none" w:sz="0" w:space="0" w:color="auto"/>
        <w:right w:val="none" w:sz="0" w:space="0" w:color="auto"/>
      </w:divBdr>
    </w:div>
    <w:div w:id="122237176">
      <w:bodyDiv w:val="1"/>
      <w:marLeft w:val="0"/>
      <w:marRight w:val="0"/>
      <w:marTop w:val="0"/>
      <w:marBottom w:val="0"/>
      <w:divBdr>
        <w:top w:val="none" w:sz="0" w:space="0" w:color="auto"/>
        <w:left w:val="none" w:sz="0" w:space="0" w:color="auto"/>
        <w:bottom w:val="none" w:sz="0" w:space="0" w:color="auto"/>
        <w:right w:val="none" w:sz="0" w:space="0" w:color="auto"/>
      </w:divBdr>
    </w:div>
    <w:div w:id="128086874">
      <w:bodyDiv w:val="1"/>
      <w:marLeft w:val="0"/>
      <w:marRight w:val="0"/>
      <w:marTop w:val="0"/>
      <w:marBottom w:val="0"/>
      <w:divBdr>
        <w:top w:val="none" w:sz="0" w:space="0" w:color="auto"/>
        <w:left w:val="none" w:sz="0" w:space="0" w:color="auto"/>
        <w:bottom w:val="none" w:sz="0" w:space="0" w:color="auto"/>
        <w:right w:val="none" w:sz="0" w:space="0" w:color="auto"/>
      </w:divBdr>
    </w:div>
    <w:div w:id="133259038">
      <w:bodyDiv w:val="1"/>
      <w:marLeft w:val="0"/>
      <w:marRight w:val="0"/>
      <w:marTop w:val="0"/>
      <w:marBottom w:val="0"/>
      <w:divBdr>
        <w:top w:val="none" w:sz="0" w:space="0" w:color="auto"/>
        <w:left w:val="none" w:sz="0" w:space="0" w:color="auto"/>
        <w:bottom w:val="none" w:sz="0" w:space="0" w:color="auto"/>
        <w:right w:val="none" w:sz="0" w:space="0" w:color="auto"/>
      </w:divBdr>
    </w:div>
    <w:div w:id="13526664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38574106">
      <w:bodyDiv w:val="1"/>
      <w:marLeft w:val="0"/>
      <w:marRight w:val="0"/>
      <w:marTop w:val="0"/>
      <w:marBottom w:val="0"/>
      <w:divBdr>
        <w:top w:val="none" w:sz="0" w:space="0" w:color="auto"/>
        <w:left w:val="none" w:sz="0" w:space="0" w:color="auto"/>
        <w:bottom w:val="none" w:sz="0" w:space="0" w:color="auto"/>
        <w:right w:val="none" w:sz="0" w:space="0" w:color="auto"/>
      </w:divBdr>
    </w:div>
    <w:div w:id="139999679">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49296472">
      <w:bodyDiv w:val="1"/>
      <w:marLeft w:val="0"/>
      <w:marRight w:val="0"/>
      <w:marTop w:val="0"/>
      <w:marBottom w:val="0"/>
      <w:divBdr>
        <w:top w:val="none" w:sz="0" w:space="0" w:color="auto"/>
        <w:left w:val="none" w:sz="0" w:space="0" w:color="auto"/>
        <w:bottom w:val="none" w:sz="0" w:space="0" w:color="auto"/>
        <w:right w:val="none" w:sz="0" w:space="0" w:color="auto"/>
      </w:divBdr>
    </w:div>
    <w:div w:id="152651171">
      <w:bodyDiv w:val="1"/>
      <w:marLeft w:val="0"/>
      <w:marRight w:val="0"/>
      <w:marTop w:val="0"/>
      <w:marBottom w:val="0"/>
      <w:divBdr>
        <w:top w:val="none" w:sz="0" w:space="0" w:color="auto"/>
        <w:left w:val="none" w:sz="0" w:space="0" w:color="auto"/>
        <w:bottom w:val="none" w:sz="0" w:space="0" w:color="auto"/>
        <w:right w:val="none" w:sz="0" w:space="0" w:color="auto"/>
      </w:divBdr>
    </w:div>
    <w:div w:id="155609348">
      <w:bodyDiv w:val="1"/>
      <w:marLeft w:val="0"/>
      <w:marRight w:val="0"/>
      <w:marTop w:val="0"/>
      <w:marBottom w:val="0"/>
      <w:divBdr>
        <w:top w:val="none" w:sz="0" w:space="0" w:color="auto"/>
        <w:left w:val="none" w:sz="0" w:space="0" w:color="auto"/>
        <w:bottom w:val="none" w:sz="0" w:space="0" w:color="auto"/>
        <w:right w:val="none" w:sz="0" w:space="0" w:color="auto"/>
      </w:divBdr>
    </w:div>
    <w:div w:id="156314268">
      <w:bodyDiv w:val="1"/>
      <w:marLeft w:val="0"/>
      <w:marRight w:val="0"/>
      <w:marTop w:val="0"/>
      <w:marBottom w:val="0"/>
      <w:divBdr>
        <w:top w:val="none" w:sz="0" w:space="0" w:color="auto"/>
        <w:left w:val="none" w:sz="0" w:space="0" w:color="auto"/>
        <w:bottom w:val="none" w:sz="0" w:space="0" w:color="auto"/>
        <w:right w:val="none" w:sz="0" w:space="0" w:color="auto"/>
      </w:divBdr>
    </w:div>
    <w:div w:id="164394542">
      <w:bodyDiv w:val="1"/>
      <w:marLeft w:val="0"/>
      <w:marRight w:val="0"/>
      <w:marTop w:val="0"/>
      <w:marBottom w:val="0"/>
      <w:divBdr>
        <w:top w:val="none" w:sz="0" w:space="0" w:color="auto"/>
        <w:left w:val="none" w:sz="0" w:space="0" w:color="auto"/>
        <w:bottom w:val="none" w:sz="0" w:space="0" w:color="auto"/>
        <w:right w:val="none" w:sz="0" w:space="0" w:color="auto"/>
      </w:divBdr>
    </w:div>
    <w:div w:id="171648703">
      <w:bodyDiv w:val="1"/>
      <w:marLeft w:val="0"/>
      <w:marRight w:val="0"/>
      <w:marTop w:val="0"/>
      <w:marBottom w:val="0"/>
      <w:divBdr>
        <w:top w:val="none" w:sz="0" w:space="0" w:color="auto"/>
        <w:left w:val="none" w:sz="0" w:space="0" w:color="auto"/>
        <w:bottom w:val="none" w:sz="0" w:space="0" w:color="auto"/>
        <w:right w:val="none" w:sz="0" w:space="0" w:color="auto"/>
      </w:divBdr>
    </w:div>
    <w:div w:id="171728292">
      <w:bodyDiv w:val="1"/>
      <w:marLeft w:val="0"/>
      <w:marRight w:val="0"/>
      <w:marTop w:val="0"/>
      <w:marBottom w:val="0"/>
      <w:divBdr>
        <w:top w:val="none" w:sz="0" w:space="0" w:color="auto"/>
        <w:left w:val="none" w:sz="0" w:space="0" w:color="auto"/>
        <w:bottom w:val="none" w:sz="0" w:space="0" w:color="auto"/>
        <w:right w:val="none" w:sz="0" w:space="0" w:color="auto"/>
      </w:divBdr>
    </w:div>
    <w:div w:id="171922065">
      <w:bodyDiv w:val="1"/>
      <w:marLeft w:val="0"/>
      <w:marRight w:val="0"/>
      <w:marTop w:val="0"/>
      <w:marBottom w:val="0"/>
      <w:divBdr>
        <w:top w:val="none" w:sz="0" w:space="0" w:color="auto"/>
        <w:left w:val="none" w:sz="0" w:space="0" w:color="auto"/>
        <w:bottom w:val="none" w:sz="0" w:space="0" w:color="auto"/>
        <w:right w:val="none" w:sz="0" w:space="0" w:color="auto"/>
      </w:divBdr>
    </w:div>
    <w:div w:id="172688918">
      <w:bodyDiv w:val="1"/>
      <w:marLeft w:val="0"/>
      <w:marRight w:val="0"/>
      <w:marTop w:val="0"/>
      <w:marBottom w:val="0"/>
      <w:divBdr>
        <w:top w:val="none" w:sz="0" w:space="0" w:color="auto"/>
        <w:left w:val="none" w:sz="0" w:space="0" w:color="auto"/>
        <w:bottom w:val="none" w:sz="0" w:space="0" w:color="auto"/>
        <w:right w:val="none" w:sz="0" w:space="0" w:color="auto"/>
      </w:divBdr>
    </w:div>
    <w:div w:id="178786795">
      <w:bodyDiv w:val="1"/>
      <w:marLeft w:val="0"/>
      <w:marRight w:val="0"/>
      <w:marTop w:val="0"/>
      <w:marBottom w:val="0"/>
      <w:divBdr>
        <w:top w:val="none" w:sz="0" w:space="0" w:color="auto"/>
        <w:left w:val="none" w:sz="0" w:space="0" w:color="auto"/>
        <w:bottom w:val="none" w:sz="0" w:space="0" w:color="auto"/>
        <w:right w:val="none" w:sz="0" w:space="0" w:color="auto"/>
      </w:divBdr>
    </w:div>
    <w:div w:id="179861017">
      <w:bodyDiv w:val="1"/>
      <w:marLeft w:val="0"/>
      <w:marRight w:val="0"/>
      <w:marTop w:val="0"/>
      <w:marBottom w:val="0"/>
      <w:divBdr>
        <w:top w:val="none" w:sz="0" w:space="0" w:color="auto"/>
        <w:left w:val="none" w:sz="0" w:space="0" w:color="auto"/>
        <w:bottom w:val="none" w:sz="0" w:space="0" w:color="auto"/>
        <w:right w:val="none" w:sz="0" w:space="0" w:color="auto"/>
      </w:divBdr>
    </w:div>
    <w:div w:id="180165143">
      <w:bodyDiv w:val="1"/>
      <w:marLeft w:val="0"/>
      <w:marRight w:val="0"/>
      <w:marTop w:val="0"/>
      <w:marBottom w:val="0"/>
      <w:divBdr>
        <w:top w:val="none" w:sz="0" w:space="0" w:color="auto"/>
        <w:left w:val="none" w:sz="0" w:space="0" w:color="auto"/>
        <w:bottom w:val="none" w:sz="0" w:space="0" w:color="auto"/>
        <w:right w:val="none" w:sz="0" w:space="0" w:color="auto"/>
      </w:divBdr>
    </w:div>
    <w:div w:id="182137260">
      <w:bodyDiv w:val="1"/>
      <w:marLeft w:val="0"/>
      <w:marRight w:val="0"/>
      <w:marTop w:val="0"/>
      <w:marBottom w:val="0"/>
      <w:divBdr>
        <w:top w:val="none" w:sz="0" w:space="0" w:color="auto"/>
        <w:left w:val="none" w:sz="0" w:space="0" w:color="auto"/>
        <w:bottom w:val="none" w:sz="0" w:space="0" w:color="auto"/>
        <w:right w:val="none" w:sz="0" w:space="0" w:color="auto"/>
      </w:divBdr>
    </w:div>
    <w:div w:id="185868500">
      <w:bodyDiv w:val="1"/>
      <w:marLeft w:val="0"/>
      <w:marRight w:val="0"/>
      <w:marTop w:val="0"/>
      <w:marBottom w:val="0"/>
      <w:divBdr>
        <w:top w:val="none" w:sz="0" w:space="0" w:color="auto"/>
        <w:left w:val="none" w:sz="0" w:space="0" w:color="auto"/>
        <w:bottom w:val="none" w:sz="0" w:space="0" w:color="auto"/>
        <w:right w:val="none" w:sz="0" w:space="0" w:color="auto"/>
      </w:divBdr>
    </w:div>
    <w:div w:id="187178478">
      <w:bodyDiv w:val="1"/>
      <w:marLeft w:val="0"/>
      <w:marRight w:val="0"/>
      <w:marTop w:val="0"/>
      <w:marBottom w:val="0"/>
      <w:divBdr>
        <w:top w:val="none" w:sz="0" w:space="0" w:color="auto"/>
        <w:left w:val="none" w:sz="0" w:space="0" w:color="auto"/>
        <w:bottom w:val="none" w:sz="0" w:space="0" w:color="auto"/>
        <w:right w:val="none" w:sz="0" w:space="0" w:color="auto"/>
      </w:divBdr>
    </w:div>
    <w:div w:id="190191797">
      <w:bodyDiv w:val="1"/>
      <w:marLeft w:val="0"/>
      <w:marRight w:val="0"/>
      <w:marTop w:val="0"/>
      <w:marBottom w:val="0"/>
      <w:divBdr>
        <w:top w:val="none" w:sz="0" w:space="0" w:color="auto"/>
        <w:left w:val="none" w:sz="0" w:space="0" w:color="auto"/>
        <w:bottom w:val="none" w:sz="0" w:space="0" w:color="auto"/>
        <w:right w:val="none" w:sz="0" w:space="0" w:color="auto"/>
      </w:divBdr>
    </w:div>
    <w:div w:id="192426068">
      <w:bodyDiv w:val="1"/>
      <w:marLeft w:val="0"/>
      <w:marRight w:val="0"/>
      <w:marTop w:val="0"/>
      <w:marBottom w:val="0"/>
      <w:divBdr>
        <w:top w:val="none" w:sz="0" w:space="0" w:color="auto"/>
        <w:left w:val="none" w:sz="0" w:space="0" w:color="auto"/>
        <w:bottom w:val="none" w:sz="0" w:space="0" w:color="auto"/>
        <w:right w:val="none" w:sz="0" w:space="0" w:color="auto"/>
      </w:divBdr>
    </w:div>
    <w:div w:id="192965552">
      <w:bodyDiv w:val="1"/>
      <w:marLeft w:val="0"/>
      <w:marRight w:val="0"/>
      <w:marTop w:val="0"/>
      <w:marBottom w:val="0"/>
      <w:divBdr>
        <w:top w:val="none" w:sz="0" w:space="0" w:color="auto"/>
        <w:left w:val="none" w:sz="0" w:space="0" w:color="auto"/>
        <w:bottom w:val="none" w:sz="0" w:space="0" w:color="auto"/>
        <w:right w:val="none" w:sz="0" w:space="0" w:color="auto"/>
      </w:divBdr>
    </w:div>
    <w:div w:id="199056859">
      <w:bodyDiv w:val="1"/>
      <w:marLeft w:val="0"/>
      <w:marRight w:val="0"/>
      <w:marTop w:val="0"/>
      <w:marBottom w:val="0"/>
      <w:divBdr>
        <w:top w:val="none" w:sz="0" w:space="0" w:color="auto"/>
        <w:left w:val="none" w:sz="0" w:space="0" w:color="auto"/>
        <w:bottom w:val="none" w:sz="0" w:space="0" w:color="auto"/>
        <w:right w:val="none" w:sz="0" w:space="0" w:color="auto"/>
      </w:divBdr>
    </w:div>
    <w:div w:id="201333750">
      <w:bodyDiv w:val="1"/>
      <w:marLeft w:val="0"/>
      <w:marRight w:val="0"/>
      <w:marTop w:val="0"/>
      <w:marBottom w:val="0"/>
      <w:divBdr>
        <w:top w:val="none" w:sz="0" w:space="0" w:color="auto"/>
        <w:left w:val="none" w:sz="0" w:space="0" w:color="auto"/>
        <w:bottom w:val="none" w:sz="0" w:space="0" w:color="auto"/>
        <w:right w:val="none" w:sz="0" w:space="0" w:color="auto"/>
      </w:divBdr>
    </w:div>
    <w:div w:id="202793304">
      <w:bodyDiv w:val="1"/>
      <w:marLeft w:val="0"/>
      <w:marRight w:val="0"/>
      <w:marTop w:val="0"/>
      <w:marBottom w:val="0"/>
      <w:divBdr>
        <w:top w:val="none" w:sz="0" w:space="0" w:color="auto"/>
        <w:left w:val="none" w:sz="0" w:space="0" w:color="auto"/>
        <w:bottom w:val="none" w:sz="0" w:space="0" w:color="auto"/>
        <w:right w:val="none" w:sz="0" w:space="0" w:color="auto"/>
      </w:divBdr>
    </w:div>
    <w:div w:id="205222764">
      <w:bodyDiv w:val="1"/>
      <w:marLeft w:val="0"/>
      <w:marRight w:val="0"/>
      <w:marTop w:val="0"/>
      <w:marBottom w:val="0"/>
      <w:divBdr>
        <w:top w:val="none" w:sz="0" w:space="0" w:color="auto"/>
        <w:left w:val="none" w:sz="0" w:space="0" w:color="auto"/>
        <w:bottom w:val="none" w:sz="0" w:space="0" w:color="auto"/>
        <w:right w:val="none" w:sz="0" w:space="0" w:color="auto"/>
      </w:divBdr>
    </w:div>
    <w:div w:id="207231606">
      <w:bodyDiv w:val="1"/>
      <w:marLeft w:val="0"/>
      <w:marRight w:val="0"/>
      <w:marTop w:val="0"/>
      <w:marBottom w:val="0"/>
      <w:divBdr>
        <w:top w:val="none" w:sz="0" w:space="0" w:color="auto"/>
        <w:left w:val="none" w:sz="0" w:space="0" w:color="auto"/>
        <w:bottom w:val="none" w:sz="0" w:space="0" w:color="auto"/>
        <w:right w:val="none" w:sz="0" w:space="0" w:color="auto"/>
      </w:divBdr>
    </w:div>
    <w:div w:id="210463473">
      <w:bodyDiv w:val="1"/>
      <w:marLeft w:val="0"/>
      <w:marRight w:val="0"/>
      <w:marTop w:val="0"/>
      <w:marBottom w:val="0"/>
      <w:divBdr>
        <w:top w:val="none" w:sz="0" w:space="0" w:color="auto"/>
        <w:left w:val="none" w:sz="0" w:space="0" w:color="auto"/>
        <w:bottom w:val="none" w:sz="0" w:space="0" w:color="auto"/>
        <w:right w:val="none" w:sz="0" w:space="0" w:color="auto"/>
      </w:divBdr>
    </w:div>
    <w:div w:id="210775347">
      <w:bodyDiv w:val="1"/>
      <w:marLeft w:val="0"/>
      <w:marRight w:val="0"/>
      <w:marTop w:val="0"/>
      <w:marBottom w:val="0"/>
      <w:divBdr>
        <w:top w:val="none" w:sz="0" w:space="0" w:color="auto"/>
        <w:left w:val="none" w:sz="0" w:space="0" w:color="auto"/>
        <w:bottom w:val="none" w:sz="0" w:space="0" w:color="auto"/>
        <w:right w:val="none" w:sz="0" w:space="0" w:color="auto"/>
      </w:divBdr>
    </w:div>
    <w:div w:id="215513642">
      <w:bodyDiv w:val="1"/>
      <w:marLeft w:val="0"/>
      <w:marRight w:val="0"/>
      <w:marTop w:val="0"/>
      <w:marBottom w:val="0"/>
      <w:divBdr>
        <w:top w:val="none" w:sz="0" w:space="0" w:color="auto"/>
        <w:left w:val="none" w:sz="0" w:space="0" w:color="auto"/>
        <w:bottom w:val="none" w:sz="0" w:space="0" w:color="auto"/>
        <w:right w:val="none" w:sz="0" w:space="0" w:color="auto"/>
      </w:divBdr>
    </w:div>
    <w:div w:id="221255879">
      <w:bodyDiv w:val="1"/>
      <w:marLeft w:val="0"/>
      <w:marRight w:val="0"/>
      <w:marTop w:val="0"/>
      <w:marBottom w:val="0"/>
      <w:divBdr>
        <w:top w:val="none" w:sz="0" w:space="0" w:color="auto"/>
        <w:left w:val="none" w:sz="0" w:space="0" w:color="auto"/>
        <w:bottom w:val="none" w:sz="0" w:space="0" w:color="auto"/>
        <w:right w:val="none" w:sz="0" w:space="0" w:color="auto"/>
      </w:divBdr>
    </w:div>
    <w:div w:id="224683499">
      <w:bodyDiv w:val="1"/>
      <w:marLeft w:val="0"/>
      <w:marRight w:val="0"/>
      <w:marTop w:val="0"/>
      <w:marBottom w:val="0"/>
      <w:divBdr>
        <w:top w:val="none" w:sz="0" w:space="0" w:color="auto"/>
        <w:left w:val="none" w:sz="0" w:space="0" w:color="auto"/>
        <w:bottom w:val="none" w:sz="0" w:space="0" w:color="auto"/>
        <w:right w:val="none" w:sz="0" w:space="0" w:color="auto"/>
      </w:divBdr>
    </w:div>
    <w:div w:id="233392928">
      <w:bodyDiv w:val="1"/>
      <w:marLeft w:val="0"/>
      <w:marRight w:val="0"/>
      <w:marTop w:val="0"/>
      <w:marBottom w:val="0"/>
      <w:divBdr>
        <w:top w:val="none" w:sz="0" w:space="0" w:color="auto"/>
        <w:left w:val="none" w:sz="0" w:space="0" w:color="auto"/>
        <w:bottom w:val="none" w:sz="0" w:space="0" w:color="auto"/>
        <w:right w:val="none" w:sz="0" w:space="0" w:color="auto"/>
      </w:divBdr>
    </w:div>
    <w:div w:id="235895093">
      <w:bodyDiv w:val="1"/>
      <w:marLeft w:val="0"/>
      <w:marRight w:val="0"/>
      <w:marTop w:val="0"/>
      <w:marBottom w:val="0"/>
      <w:divBdr>
        <w:top w:val="none" w:sz="0" w:space="0" w:color="auto"/>
        <w:left w:val="none" w:sz="0" w:space="0" w:color="auto"/>
        <w:bottom w:val="none" w:sz="0" w:space="0" w:color="auto"/>
        <w:right w:val="none" w:sz="0" w:space="0" w:color="auto"/>
      </w:divBdr>
    </w:div>
    <w:div w:id="236944256">
      <w:bodyDiv w:val="1"/>
      <w:marLeft w:val="0"/>
      <w:marRight w:val="0"/>
      <w:marTop w:val="0"/>
      <w:marBottom w:val="0"/>
      <w:divBdr>
        <w:top w:val="none" w:sz="0" w:space="0" w:color="auto"/>
        <w:left w:val="none" w:sz="0" w:space="0" w:color="auto"/>
        <w:bottom w:val="none" w:sz="0" w:space="0" w:color="auto"/>
        <w:right w:val="none" w:sz="0" w:space="0" w:color="auto"/>
      </w:divBdr>
    </w:div>
    <w:div w:id="237134517">
      <w:bodyDiv w:val="1"/>
      <w:marLeft w:val="0"/>
      <w:marRight w:val="0"/>
      <w:marTop w:val="0"/>
      <w:marBottom w:val="0"/>
      <w:divBdr>
        <w:top w:val="none" w:sz="0" w:space="0" w:color="auto"/>
        <w:left w:val="none" w:sz="0" w:space="0" w:color="auto"/>
        <w:bottom w:val="none" w:sz="0" w:space="0" w:color="auto"/>
        <w:right w:val="none" w:sz="0" w:space="0" w:color="auto"/>
      </w:divBdr>
    </w:div>
    <w:div w:id="247080510">
      <w:bodyDiv w:val="1"/>
      <w:marLeft w:val="0"/>
      <w:marRight w:val="0"/>
      <w:marTop w:val="0"/>
      <w:marBottom w:val="0"/>
      <w:divBdr>
        <w:top w:val="none" w:sz="0" w:space="0" w:color="auto"/>
        <w:left w:val="none" w:sz="0" w:space="0" w:color="auto"/>
        <w:bottom w:val="none" w:sz="0" w:space="0" w:color="auto"/>
        <w:right w:val="none" w:sz="0" w:space="0" w:color="auto"/>
      </w:divBdr>
    </w:div>
    <w:div w:id="247808571">
      <w:bodyDiv w:val="1"/>
      <w:marLeft w:val="0"/>
      <w:marRight w:val="0"/>
      <w:marTop w:val="0"/>
      <w:marBottom w:val="0"/>
      <w:divBdr>
        <w:top w:val="none" w:sz="0" w:space="0" w:color="auto"/>
        <w:left w:val="none" w:sz="0" w:space="0" w:color="auto"/>
        <w:bottom w:val="none" w:sz="0" w:space="0" w:color="auto"/>
        <w:right w:val="none" w:sz="0" w:space="0" w:color="auto"/>
      </w:divBdr>
    </w:div>
    <w:div w:id="252860297">
      <w:bodyDiv w:val="1"/>
      <w:marLeft w:val="0"/>
      <w:marRight w:val="0"/>
      <w:marTop w:val="0"/>
      <w:marBottom w:val="0"/>
      <w:divBdr>
        <w:top w:val="none" w:sz="0" w:space="0" w:color="auto"/>
        <w:left w:val="none" w:sz="0" w:space="0" w:color="auto"/>
        <w:bottom w:val="none" w:sz="0" w:space="0" w:color="auto"/>
        <w:right w:val="none" w:sz="0" w:space="0" w:color="auto"/>
      </w:divBdr>
    </w:div>
    <w:div w:id="254831078">
      <w:bodyDiv w:val="1"/>
      <w:marLeft w:val="0"/>
      <w:marRight w:val="0"/>
      <w:marTop w:val="0"/>
      <w:marBottom w:val="0"/>
      <w:divBdr>
        <w:top w:val="none" w:sz="0" w:space="0" w:color="auto"/>
        <w:left w:val="none" w:sz="0" w:space="0" w:color="auto"/>
        <w:bottom w:val="none" w:sz="0" w:space="0" w:color="auto"/>
        <w:right w:val="none" w:sz="0" w:space="0" w:color="auto"/>
      </w:divBdr>
    </w:div>
    <w:div w:id="258221304">
      <w:bodyDiv w:val="1"/>
      <w:marLeft w:val="0"/>
      <w:marRight w:val="0"/>
      <w:marTop w:val="0"/>
      <w:marBottom w:val="0"/>
      <w:divBdr>
        <w:top w:val="none" w:sz="0" w:space="0" w:color="auto"/>
        <w:left w:val="none" w:sz="0" w:space="0" w:color="auto"/>
        <w:bottom w:val="none" w:sz="0" w:space="0" w:color="auto"/>
        <w:right w:val="none" w:sz="0" w:space="0" w:color="auto"/>
      </w:divBdr>
    </w:div>
    <w:div w:id="261114676">
      <w:bodyDiv w:val="1"/>
      <w:marLeft w:val="0"/>
      <w:marRight w:val="0"/>
      <w:marTop w:val="0"/>
      <w:marBottom w:val="0"/>
      <w:divBdr>
        <w:top w:val="none" w:sz="0" w:space="0" w:color="auto"/>
        <w:left w:val="none" w:sz="0" w:space="0" w:color="auto"/>
        <w:bottom w:val="none" w:sz="0" w:space="0" w:color="auto"/>
        <w:right w:val="none" w:sz="0" w:space="0" w:color="auto"/>
      </w:divBdr>
    </w:div>
    <w:div w:id="265037709">
      <w:bodyDiv w:val="1"/>
      <w:marLeft w:val="0"/>
      <w:marRight w:val="0"/>
      <w:marTop w:val="0"/>
      <w:marBottom w:val="0"/>
      <w:divBdr>
        <w:top w:val="none" w:sz="0" w:space="0" w:color="auto"/>
        <w:left w:val="none" w:sz="0" w:space="0" w:color="auto"/>
        <w:bottom w:val="none" w:sz="0" w:space="0" w:color="auto"/>
        <w:right w:val="none" w:sz="0" w:space="0" w:color="auto"/>
      </w:divBdr>
    </w:div>
    <w:div w:id="267783594">
      <w:bodyDiv w:val="1"/>
      <w:marLeft w:val="0"/>
      <w:marRight w:val="0"/>
      <w:marTop w:val="0"/>
      <w:marBottom w:val="0"/>
      <w:divBdr>
        <w:top w:val="none" w:sz="0" w:space="0" w:color="auto"/>
        <w:left w:val="none" w:sz="0" w:space="0" w:color="auto"/>
        <w:bottom w:val="none" w:sz="0" w:space="0" w:color="auto"/>
        <w:right w:val="none" w:sz="0" w:space="0" w:color="auto"/>
      </w:divBdr>
    </w:div>
    <w:div w:id="269121051">
      <w:bodyDiv w:val="1"/>
      <w:marLeft w:val="0"/>
      <w:marRight w:val="0"/>
      <w:marTop w:val="0"/>
      <w:marBottom w:val="0"/>
      <w:divBdr>
        <w:top w:val="none" w:sz="0" w:space="0" w:color="auto"/>
        <w:left w:val="none" w:sz="0" w:space="0" w:color="auto"/>
        <w:bottom w:val="none" w:sz="0" w:space="0" w:color="auto"/>
        <w:right w:val="none" w:sz="0" w:space="0" w:color="auto"/>
      </w:divBdr>
    </w:div>
    <w:div w:id="271474466">
      <w:bodyDiv w:val="1"/>
      <w:marLeft w:val="0"/>
      <w:marRight w:val="0"/>
      <w:marTop w:val="0"/>
      <w:marBottom w:val="0"/>
      <w:divBdr>
        <w:top w:val="none" w:sz="0" w:space="0" w:color="auto"/>
        <w:left w:val="none" w:sz="0" w:space="0" w:color="auto"/>
        <w:bottom w:val="none" w:sz="0" w:space="0" w:color="auto"/>
        <w:right w:val="none" w:sz="0" w:space="0" w:color="auto"/>
      </w:divBdr>
    </w:div>
    <w:div w:id="274362302">
      <w:bodyDiv w:val="1"/>
      <w:marLeft w:val="0"/>
      <w:marRight w:val="0"/>
      <w:marTop w:val="0"/>
      <w:marBottom w:val="0"/>
      <w:divBdr>
        <w:top w:val="none" w:sz="0" w:space="0" w:color="auto"/>
        <w:left w:val="none" w:sz="0" w:space="0" w:color="auto"/>
        <w:bottom w:val="none" w:sz="0" w:space="0" w:color="auto"/>
        <w:right w:val="none" w:sz="0" w:space="0" w:color="auto"/>
      </w:divBdr>
    </w:div>
    <w:div w:id="279992812">
      <w:bodyDiv w:val="1"/>
      <w:marLeft w:val="0"/>
      <w:marRight w:val="0"/>
      <w:marTop w:val="0"/>
      <w:marBottom w:val="0"/>
      <w:divBdr>
        <w:top w:val="none" w:sz="0" w:space="0" w:color="auto"/>
        <w:left w:val="none" w:sz="0" w:space="0" w:color="auto"/>
        <w:bottom w:val="none" w:sz="0" w:space="0" w:color="auto"/>
        <w:right w:val="none" w:sz="0" w:space="0" w:color="auto"/>
      </w:divBdr>
    </w:div>
    <w:div w:id="287202374">
      <w:bodyDiv w:val="1"/>
      <w:marLeft w:val="0"/>
      <w:marRight w:val="0"/>
      <w:marTop w:val="0"/>
      <w:marBottom w:val="0"/>
      <w:divBdr>
        <w:top w:val="none" w:sz="0" w:space="0" w:color="auto"/>
        <w:left w:val="none" w:sz="0" w:space="0" w:color="auto"/>
        <w:bottom w:val="none" w:sz="0" w:space="0" w:color="auto"/>
        <w:right w:val="none" w:sz="0" w:space="0" w:color="auto"/>
      </w:divBdr>
    </w:div>
    <w:div w:id="288515770">
      <w:bodyDiv w:val="1"/>
      <w:marLeft w:val="0"/>
      <w:marRight w:val="0"/>
      <w:marTop w:val="0"/>
      <w:marBottom w:val="0"/>
      <w:divBdr>
        <w:top w:val="none" w:sz="0" w:space="0" w:color="auto"/>
        <w:left w:val="none" w:sz="0" w:space="0" w:color="auto"/>
        <w:bottom w:val="none" w:sz="0" w:space="0" w:color="auto"/>
        <w:right w:val="none" w:sz="0" w:space="0" w:color="auto"/>
      </w:divBdr>
    </w:div>
    <w:div w:id="289945406">
      <w:bodyDiv w:val="1"/>
      <w:marLeft w:val="0"/>
      <w:marRight w:val="0"/>
      <w:marTop w:val="0"/>
      <w:marBottom w:val="0"/>
      <w:divBdr>
        <w:top w:val="none" w:sz="0" w:space="0" w:color="auto"/>
        <w:left w:val="none" w:sz="0" w:space="0" w:color="auto"/>
        <w:bottom w:val="none" w:sz="0" w:space="0" w:color="auto"/>
        <w:right w:val="none" w:sz="0" w:space="0" w:color="auto"/>
      </w:divBdr>
    </w:div>
    <w:div w:id="292642193">
      <w:bodyDiv w:val="1"/>
      <w:marLeft w:val="0"/>
      <w:marRight w:val="0"/>
      <w:marTop w:val="0"/>
      <w:marBottom w:val="0"/>
      <w:divBdr>
        <w:top w:val="none" w:sz="0" w:space="0" w:color="auto"/>
        <w:left w:val="none" w:sz="0" w:space="0" w:color="auto"/>
        <w:bottom w:val="none" w:sz="0" w:space="0" w:color="auto"/>
        <w:right w:val="none" w:sz="0" w:space="0" w:color="auto"/>
      </w:divBdr>
    </w:div>
    <w:div w:id="292753814">
      <w:bodyDiv w:val="1"/>
      <w:marLeft w:val="0"/>
      <w:marRight w:val="0"/>
      <w:marTop w:val="0"/>
      <w:marBottom w:val="0"/>
      <w:divBdr>
        <w:top w:val="none" w:sz="0" w:space="0" w:color="auto"/>
        <w:left w:val="none" w:sz="0" w:space="0" w:color="auto"/>
        <w:bottom w:val="none" w:sz="0" w:space="0" w:color="auto"/>
        <w:right w:val="none" w:sz="0" w:space="0" w:color="auto"/>
      </w:divBdr>
    </w:div>
    <w:div w:id="293414169">
      <w:bodyDiv w:val="1"/>
      <w:marLeft w:val="0"/>
      <w:marRight w:val="0"/>
      <w:marTop w:val="0"/>
      <w:marBottom w:val="0"/>
      <w:divBdr>
        <w:top w:val="none" w:sz="0" w:space="0" w:color="auto"/>
        <w:left w:val="none" w:sz="0" w:space="0" w:color="auto"/>
        <w:bottom w:val="none" w:sz="0" w:space="0" w:color="auto"/>
        <w:right w:val="none" w:sz="0" w:space="0" w:color="auto"/>
      </w:divBdr>
    </w:div>
    <w:div w:id="296689212">
      <w:bodyDiv w:val="1"/>
      <w:marLeft w:val="0"/>
      <w:marRight w:val="0"/>
      <w:marTop w:val="0"/>
      <w:marBottom w:val="0"/>
      <w:divBdr>
        <w:top w:val="none" w:sz="0" w:space="0" w:color="auto"/>
        <w:left w:val="none" w:sz="0" w:space="0" w:color="auto"/>
        <w:bottom w:val="none" w:sz="0" w:space="0" w:color="auto"/>
        <w:right w:val="none" w:sz="0" w:space="0" w:color="auto"/>
      </w:divBdr>
    </w:div>
    <w:div w:id="301424553">
      <w:bodyDiv w:val="1"/>
      <w:marLeft w:val="0"/>
      <w:marRight w:val="0"/>
      <w:marTop w:val="0"/>
      <w:marBottom w:val="0"/>
      <w:divBdr>
        <w:top w:val="none" w:sz="0" w:space="0" w:color="auto"/>
        <w:left w:val="none" w:sz="0" w:space="0" w:color="auto"/>
        <w:bottom w:val="none" w:sz="0" w:space="0" w:color="auto"/>
        <w:right w:val="none" w:sz="0" w:space="0" w:color="auto"/>
      </w:divBdr>
    </w:div>
    <w:div w:id="302541283">
      <w:bodyDiv w:val="1"/>
      <w:marLeft w:val="0"/>
      <w:marRight w:val="0"/>
      <w:marTop w:val="0"/>
      <w:marBottom w:val="0"/>
      <w:divBdr>
        <w:top w:val="none" w:sz="0" w:space="0" w:color="auto"/>
        <w:left w:val="none" w:sz="0" w:space="0" w:color="auto"/>
        <w:bottom w:val="none" w:sz="0" w:space="0" w:color="auto"/>
        <w:right w:val="none" w:sz="0" w:space="0" w:color="auto"/>
      </w:divBdr>
    </w:div>
    <w:div w:id="310252062">
      <w:bodyDiv w:val="1"/>
      <w:marLeft w:val="0"/>
      <w:marRight w:val="0"/>
      <w:marTop w:val="0"/>
      <w:marBottom w:val="0"/>
      <w:divBdr>
        <w:top w:val="none" w:sz="0" w:space="0" w:color="auto"/>
        <w:left w:val="none" w:sz="0" w:space="0" w:color="auto"/>
        <w:bottom w:val="none" w:sz="0" w:space="0" w:color="auto"/>
        <w:right w:val="none" w:sz="0" w:space="0" w:color="auto"/>
      </w:divBdr>
    </w:div>
    <w:div w:id="310603778">
      <w:bodyDiv w:val="1"/>
      <w:marLeft w:val="0"/>
      <w:marRight w:val="0"/>
      <w:marTop w:val="0"/>
      <w:marBottom w:val="0"/>
      <w:divBdr>
        <w:top w:val="none" w:sz="0" w:space="0" w:color="auto"/>
        <w:left w:val="none" w:sz="0" w:space="0" w:color="auto"/>
        <w:bottom w:val="none" w:sz="0" w:space="0" w:color="auto"/>
        <w:right w:val="none" w:sz="0" w:space="0" w:color="auto"/>
      </w:divBdr>
    </w:div>
    <w:div w:id="312607723">
      <w:bodyDiv w:val="1"/>
      <w:marLeft w:val="0"/>
      <w:marRight w:val="0"/>
      <w:marTop w:val="0"/>
      <w:marBottom w:val="0"/>
      <w:divBdr>
        <w:top w:val="none" w:sz="0" w:space="0" w:color="auto"/>
        <w:left w:val="none" w:sz="0" w:space="0" w:color="auto"/>
        <w:bottom w:val="none" w:sz="0" w:space="0" w:color="auto"/>
        <w:right w:val="none" w:sz="0" w:space="0" w:color="auto"/>
      </w:divBdr>
    </w:div>
    <w:div w:id="314068357">
      <w:bodyDiv w:val="1"/>
      <w:marLeft w:val="0"/>
      <w:marRight w:val="0"/>
      <w:marTop w:val="0"/>
      <w:marBottom w:val="0"/>
      <w:divBdr>
        <w:top w:val="none" w:sz="0" w:space="0" w:color="auto"/>
        <w:left w:val="none" w:sz="0" w:space="0" w:color="auto"/>
        <w:bottom w:val="none" w:sz="0" w:space="0" w:color="auto"/>
        <w:right w:val="none" w:sz="0" w:space="0" w:color="auto"/>
      </w:divBdr>
    </w:div>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19892782">
      <w:bodyDiv w:val="1"/>
      <w:marLeft w:val="0"/>
      <w:marRight w:val="0"/>
      <w:marTop w:val="0"/>
      <w:marBottom w:val="0"/>
      <w:divBdr>
        <w:top w:val="none" w:sz="0" w:space="0" w:color="auto"/>
        <w:left w:val="none" w:sz="0" w:space="0" w:color="auto"/>
        <w:bottom w:val="none" w:sz="0" w:space="0" w:color="auto"/>
        <w:right w:val="none" w:sz="0" w:space="0" w:color="auto"/>
      </w:divBdr>
    </w:div>
    <w:div w:id="320818544">
      <w:bodyDiv w:val="1"/>
      <w:marLeft w:val="0"/>
      <w:marRight w:val="0"/>
      <w:marTop w:val="0"/>
      <w:marBottom w:val="0"/>
      <w:divBdr>
        <w:top w:val="none" w:sz="0" w:space="0" w:color="auto"/>
        <w:left w:val="none" w:sz="0" w:space="0" w:color="auto"/>
        <w:bottom w:val="none" w:sz="0" w:space="0" w:color="auto"/>
        <w:right w:val="none" w:sz="0" w:space="0" w:color="auto"/>
      </w:divBdr>
    </w:div>
    <w:div w:id="327169837">
      <w:bodyDiv w:val="1"/>
      <w:marLeft w:val="0"/>
      <w:marRight w:val="0"/>
      <w:marTop w:val="0"/>
      <w:marBottom w:val="0"/>
      <w:divBdr>
        <w:top w:val="none" w:sz="0" w:space="0" w:color="auto"/>
        <w:left w:val="none" w:sz="0" w:space="0" w:color="auto"/>
        <w:bottom w:val="none" w:sz="0" w:space="0" w:color="auto"/>
        <w:right w:val="none" w:sz="0" w:space="0" w:color="auto"/>
      </w:divBdr>
    </w:div>
    <w:div w:id="327246201">
      <w:bodyDiv w:val="1"/>
      <w:marLeft w:val="0"/>
      <w:marRight w:val="0"/>
      <w:marTop w:val="0"/>
      <w:marBottom w:val="0"/>
      <w:divBdr>
        <w:top w:val="none" w:sz="0" w:space="0" w:color="auto"/>
        <w:left w:val="none" w:sz="0" w:space="0" w:color="auto"/>
        <w:bottom w:val="none" w:sz="0" w:space="0" w:color="auto"/>
        <w:right w:val="none" w:sz="0" w:space="0" w:color="auto"/>
      </w:divBdr>
    </w:div>
    <w:div w:id="328679939">
      <w:bodyDiv w:val="1"/>
      <w:marLeft w:val="0"/>
      <w:marRight w:val="0"/>
      <w:marTop w:val="0"/>
      <w:marBottom w:val="0"/>
      <w:divBdr>
        <w:top w:val="none" w:sz="0" w:space="0" w:color="auto"/>
        <w:left w:val="none" w:sz="0" w:space="0" w:color="auto"/>
        <w:bottom w:val="none" w:sz="0" w:space="0" w:color="auto"/>
        <w:right w:val="none" w:sz="0" w:space="0" w:color="auto"/>
      </w:divBdr>
    </w:div>
    <w:div w:id="329796798">
      <w:bodyDiv w:val="1"/>
      <w:marLeft w:val="0"/>
      <w:marRight w:val="0"/>
      <w:marTop w:val="0"/>
      <w:marBottom w:val="0"/>
      <w:divBdr>
        <w:top w:val="none" w:sz="0" w:space="0" w:color="auto"/>
        <w:left w:val="none" w:sz="0" w:space="0" w:color="auto"/>
        <w:bottom w:val="none" w:sz="0" w:space="0" w:color="auto"/>
        <w:right w:val="none" w:sz="0" w:space="0" w:color="auto"/>
      </w:divBdr>
    </w:div>
    <w:div w:id="334843327">
      <w:bodyDiv w:val="1"/>
      <w:marLeft w:val="0"/>
      <w:marRight w:val="0"/>
      <w:marTop w:val="0"/>
      <w:marBottom w:val="0"/>
      <w:divBdr>
        <w:top w:val="none" w:sz="0" w:space="0" w:color="auto"/>
        <w:left w:val="none" w:sz="0" w:space="0" w:color="auto"/>
        <w:bottom w:val="none" w:sz="0" w:space="0" w:color="auto"/>
        <w:right w:val="none" w:sz="0" w:space="0" w:color="auto"/>
      </w:divBdr>
    </w:div>
    <w:div w:id="336857438">
      <w:bodyDiv w:val="1"/>
      <w:marLeft w:val="0"/>
      <w:marRight w:val="0"/>
      <w:marTop w:val="0"/>
      <w:marBottom w:val="0"/>
      <w:divBdr>
        <w:top w:val="none" w:sz="0" w:space="0" w:color="auto"/>
        <w:left w:val="none" w:sz="0" w:space="0" w:color="auto"/>
        <w:bottom w:val="none" w:sz="0" w:space="0" w:color="auto"/>
        <w:right w:val="none" w:sz="0" w:space="0" w:color="auto"/>
      </w:divBdr>
    </w:div>
    <w:div w:id="338196298">
      <w:bodyDiv w:val="1"/>
      <w:marLeft w:val="0"/>
      <w:marRight w:val="0"/>
      <w:marTop w:val="0"/>
      <w:marBottom w:val="0"/>
      <w:divBdr>
        <w:top w:val="none" w:sz="0" w:space="0" w:color="auto"/>
        <w:left w:val="none" w:sz="0" w:space="0" w:color="auto"/>
        <w:bottom w:val="none" w:sz="0" w:space="0" w:color="auto"/>
        <w:right w:val="none" w:sz="0" w:space="0" w:color="auto"/>
      </w:divBdr>
    </w:div>
    <w:div w:id="342435473">
      <w:bodyDiv w:val="1"/>
      <w:marLeft w:val="0"/>
      <w:marRight w:val="0"/>
      <w:marTop w:val="0"/>
      <w:marBottom w:val="0"/>
      <w:divBdr>
        <w:top w:val="none" w:sz="0" w:space="0" w:color="auto"/>
        <w:left w:val="none" w:sz="0" w:space="0" w:color="auto"/>
        <w:bottom w:val="none" w:sz="0" w:space="0" w:color="auto"/>
        <w:right w:val="none" w:sz="0" w:space="0" w:color="auto"/>
      </w:divBdr>
    </w:div>
    <w:div w:id="344982127">
      <w:bodyDiv w:val="1"/>
      <w:marLeft w:val="0"/>
      <w:marRight w:val="0"/>
      <w:marTop w:val="0"/>
      <w:marBottom w:val="0"/>
      <w:divBdr>
        <w:top w:val="none" w:sz="0" w:space="0" w:color="auto"/>
        <w:left w:val="none" w:sz="0" w:space="0" w:color="auto"/>
        <w:bottom w:val="none" w:sz="0" w:space="0" w:color="auto"/>
        <w:right w:val="none" w:sz="0" w:space="0" w:color="auto"/>
      </w:divBdr>
    </w:div>
    <w:div w:id="350760199">
      <w:bodyDiv w:val="1"/>
      <w:marLeft w:val="0"/>
      <w:marRight w:val="0"/>
      <w:marTop w:val="0"/>
      <w:marBottom w:val="0"/>
      <w:divBdr>
        <w:top w:val="none" w:sz="0" w:space="0" w:color="auto"/>
        <w:left w:val="none" w:sz="0" w:space="0" w:color="auto"/>
        <w:bottom w:val="none" w:sz="0" w:space="0" w:color="auto"/>
        <w:right w:val="none" w:sz="0" w:space="0" w:color="auto"/>
      </w:divBdr>
    </w:div>
    <w:div w:id="351613414">
      <w:bodyDiv w:val="1"/>
      <w:marLeft w:val="0"/>
      <w:marRight w:val="0"/>
      <w:marTop w:val="0"/>
      <w:marBottom w:val="0"/>
      <w:divBdr>
        <w:top w:val="none" w:sz="0" w:space="0" w:color="auto"/>
        <w:left w:val="none" w:sz="0" w:space="0" w:color="auto"/>
        <w:bottom w:val="none" w:sz="0" w:space="0" w:color="auto"/>
        <w:right w:val="none" w:sz="0" w:space="0" w:color="auto"/>
      </w:divBdr>
    </w:div>
    <w:div w:id="353964299">
      <w:bodyDiv w:val="1"/>
      <w:marLeft w:val="0"/>
      <w:marRight w:val="0"/>
      <w:marTop w:val="0"/>
      <w:marBottom w:val="0"/>
      <w:divBdr>
        <w:top w:val="none" w:sz="0" w:space="0" w:color="auto"/>
        <w:left w:val="none" w:sz="0" w:space="0" w:color="auto"/>
        <w:bottom w:val="none" w:sz="0" w:space="0" w:color="auto"/>
        <w:right w:val="none" w:sz="0" w:space="0" w:color="auto"/>
      </w:divBdr>
    </w:div>
    <w:div w:id="357003280">
      <w:bodyDiv w:val="1"/>
      <w:marLeft w:val="0"/>
      <w:marRight w:val="0"/>
      <w:marTop w:val="0"/>
      <w:marBottom w:val="0"/>
      <w:divBdr>
        <w:top w:val="none" w:sz="0" w:space="0" w:color="auto"/>
        <w:left w:val="none" w:sz="0" w:space="0" w:color="auto"/>
        <w:bottom w:val="none" w:sz="0" w:space="0" w:color="auto"/>
        <w:right w:val="none" w:sz="0" w:space="0" w:color="auto"/>
      </w:divBdr>
    </w:div>
    <w:div w:id="358161020">
      <w:bodyDiv w:val="1"/>
      <w:marLeft w:val="0"/>
      <w:marRight w:val="0"/>
      <w:marTop w:val="0"/>
      <w:marBottom w:val="0"/>
      <w:divBdr>
        <w:top w:val="none" w:sz="0" w:space="0" w:color="auto"/>
        <w:left w:val="none" w:sz="0" w:space="0" w:color="auto"/>
        <w:bottom w:val="none" w:sz="0" w:space="0" w:color="auto"/>
        <w:right w:val="none" w:sz="0" w:space="0" w:color="auto"/>
      </w:divBdr>
    </w:div>
    <w:div w:id="359400674">
      <w:bodyDiv w:val="1"/>
      <w:marLeft w:val="0"/>
      <w:marRight w:val="0"/>
      <w:marTop w:val="0"/>
      <w:marBottom w:val="0"/>
      <w:divBdr>
        <w:top w:val="none" w:sz="0" w:space="0" w:color="auto"/>
        <w:left w:val="none" w:sz="0" w:space="0" w:color="auto"/>
        <w:bottom w:val="none" w:sz="0" w:space="0" w:color="auto"/>
        <w:right w:val="none" w:sz="0" w:space="0" w:color="auto"/>
      </w:divBdr>
    </w:div>
    <w:div w:id="366759064">
      <w:bodyDiv w:val="1"/>
      <w:marLeft w:val="0"/>
      <w:marRight w:val="0"/>
      <w:marTop w:val="0"/>
      <w:marBottom w:val="0"/>
      <w:divBdr>
        <w:top w:val="none" w:sz="0" w:space="0" w:color="auto"/>
        <w:left w:val="none" w:sz="0" w:space="0" w:color="auto"/>
        <w:bottom w:val="none" w:sz="0" w:space="0" w:color="auto"/>
        <w:right w:val="none" w:sz="0" w:space="0" w:color="auto"/>
      </w:divBdr>
    </w:div>
    <w:div w:id="371997604">
      <w:bodyDiv w:val="1"/>
      <w:marLeft w:val="0"/>
      <w:marRight w:val="0"/>
      <w:marTop w:val="0"/>
      <w:marBottom w:val="0"/>
      <w:divBdr>
        <w:top w:val="none" w:sz="0" w:space="0" w:color="auto"/>
        <w:left w:val="none" w:sz="0" w:space="0" w:color="auto"/>
        <w:bottom w:val="none" w:sz="0" w:space="0" w:color="auto"/>
        <w:right w:val="none" w:sz="0" w:space="0" w:color="auto"/>
      </w:divBdr>
    </w:div>
    <w:div w:id="375395191">
      <w:bodyDiv w:val="1"/>
      <w:marLeft w:val="0"/>
      <w:marRight w:val="0"/>
      <w:marTop w:val="0"/>
      <w:marBottom w:val="0"/>
      <w:divBdr>
        <w:top w:val="none" w:sz="0" w:space="0" w:color="auto"/>
        <w:left w:val="none" w:sz="0" w:space="0" w:color="auto"/>
        <w:bottom w:val="none" w:sz="0" w:space="0" w:color="auto"/>
        <w:right w:val="none" w:sz="0" w:space="0" w:color="auto"/>
      </w:divBdr>
    </w:div>
    <w:div w:id="377095946">
      <w:bodyDiv w:val="1"/>
      <w:marLeft w:val="0"/>
      <w:marRight w:val="0"/>
      <w:marTop w:val="0"/>
      <w:marBottom w:val="0"/>
      <w:divBdr>
        <w:top w:val="none" w:sz="0" w:space="0" w:color="auto"/>
        <w:left w:val="none" w:sz="0" w:space="0" w:color="auto"/>
        <w:bottom w:val="none" w:sz="0" w:space="0" w:color="auto"/>
        <w:right w:val="none" w:sz="0" w:space="0" w:color="auto"/>
      </w:divBdr>
    </w:div>
    <w:div w:id="377364113">
      <w:bodyDiv w:val="1"/>
      <w:marLeft w:val="0"/>
      <w:marRight w:val="0"/>
      <w:marTop w:val="0"/>
      <w:marBottom w:val="0"/>
      <w:divBdr>
        <w:top w:val="none" w:sz="0" w:space="0" w:color="auto"/>
        <w:left w:val="none" w:sz="0" w:space="0" w:color="auto"/>
        <w:bottom w:val="none" w:sz="0" w:space="0" w:color="auto"/>
        <w:right w:val="none" w:sz="0" w:space="0" w:color="auto"/>
      </w:divBdr>
    </w:div>
    <w:div w:id="390734466">
      <w:bodyDiv w:val="1"/>
      <w:marLeft w:val="0"/>
      <w:marRight w:val="0"/>
      <w:marTop w:val="0"/>
      <w:marBottom w:val="0"/>
      <w:divBdr>
        <w:top w:val="none" w:sz="0" w:space="0" w:color="auto"/>
        <w:left w:val="none" w:sz="0" w:space="0" w:color="auto"/>
        <w:bottom w:val="none" w:sz="0" w:space="0" w:color="auto"/>
        <w:right w:val="none" w:sz="0" w:space="0" w:color="auto"/>
      </w:divBdr>
    </w:div>
    <w:div w:id="390734842">
      <w:bodyDiv w:val="1"/>
      <w:marLeft w:val="0"/>
      <w:marRight w:val="0"/>
      <w:marTop w:val="0"/>
      <w:marBottom w:val="0"/>
      <w:divBdr>
        <w:top w:val="none" w:sz="0" w:space="0" w:color="auto"/>
        <w:left w:val="none" w:sz="0" w:space="0" w:color="auto"/>
        <w:bottom w:val="none" w:sz="0" w:space="0" w:color="auto"/>
        <w:right w:val="none" w:sz="0" w:space="0" w:color="auto"/>
      </w:divBdr>
    </w:div>
    <w:div w:id="392697067">
      <w:bodyDiv w:val="1"/>
      <w:marLeft w:val="0"/>
      <w:marRight w:val="0"/>
      <w:marTop w:val="0"/>
      <w:marBottom w:val="0"/>
      <w:divBdr>
        <w:top w:val="none" w:sz="0" w:space="0" w:color="auto"/>
        <w:left w:val="none" w:sz="0" w:space="0" w:color="auto"/>
        <w:bottom w:val="none" w:sz="0" w:space="0" w:color="auto"/>
        <w:right w:val="none" w:sz="0" w:space="0" w:color="auto"/>
      </w:divBdr>
    </w:div>
    <w:div w:id="393282456">
      <w:bodyDiv w:val="1"/>
      <w:marLeft w:val="0"/>
      <w:marRight w:val="0"/>
      <w:marTop w:val="0"/>
      <w:marBottom w:val="0"/>
      <w:divBdr>
        <w:top w:val="none" w:sz="0" w:space="0" w:color="auto"/>
        <w:left w:val="none" w:sz="0" w:space="0" w:color="auto"/>
        <w:bottom w:val="none" w:sz="0" w:space="0" w:color="auto"/>
        <w:right w:val="none" w:sz="0" w:space="0" w:color="auto"/>
      </w:divBdr>
    </w:div>
    <w:div w:id="402802035">
      <w:bodyDiv w:val="1"/>
      <w:marLeft w:val="0"/>
      <w:marRight w:val="0"/>
      <w:marTop w:val="0"/>
      <w:marBottom w:val="0"/>
      <w:divBdr>
        <w:top w:val="none" w:sz="0" w:space="0" w:color="auto"/>
        <w:left w:val="none" w:sz="0" w:space="0" w:color="auto"/>
        <w:bottom w:val="none" w:sz="0" w:space="0" w:color="auto"/>
        <w:right w:val="none" w:sz="0" w:space="0" w:color="auto"/>
      </w:divBdr>
    </w:div>
    <w:div w:id="403265935">
      <w:bodyDiv w:val="1"/>
      <w:marLeft w:val="0"/>
      <w:marRight w:val="0"/>
      <w:marTop w:val="0"/>
      <w:marBottom w:val="0"/>
      <w:divBdr>
        <w:top w:val="none" w:sz="0" w:space="0" w:color="auto"/>
        <w:left w:val="none" w:sz="0" w:space="0" w:color="auto"/>
        <w:bottom w:val="none" w:sz="0" w:space="0" w:color="auto"/>
        <w:right w:val="none" w:sz="0" w:space="0" w:color="auto"/>
      </w:divBdr>
    </w:div>
    <w:div w:id="404107020">
      <w:bodyDiv w:val="1"/>
      <w:marLeft w:val="0"/>
      <w:marRight w:val="0"/>
      <w:marTop w:val="0"/>
      <w:marBottom w:val="0"/>
      <w:divBdr>
        <w:top w:val="none" w:sz="0" w:space="0" w:color="auto"/>
        <w:left w:val="none" w:sz="0" w:space="0" w:color="auto"/>
        <w:bottom w:val="none" w:sz="0" w:space="0" w:color="auto"/>
        <w:right w:val="none" w:sz="0" w:space="0" w:color="auto"/>
      </w:divBdr>
    </w:div>
    <w:div w:id="406615626">
      <w:bodyDiv w:val="1"/>
      <w:marLeft w:val="0"/>
      <w:marRight w:val="0"/>
      <w:marTop w:val="0"/>
      <w:marBottom w:val="0"/>
      <w:divBdr>
        <w:top w:val="none" w:sz="0" w:space="0" w:color="auto"/>
        <w:left w:val="none" w:sz="0" w:space="0" w:color="auto"/>
        <w:bottom w:val="none" w:sz="0" w:space="0" w:color="auto"/>
        <w:right w:val="none" w:sz="0" w:space="0" w:color="auto"/>
      </w:divBdr>
    </w:div>
    <w:div w:id="406657069">
      <w:bodyDiv w:val="1"/>
      <w:marLeft w:val="0"/>
      <w:marRight w:val="0"/>
      <w:marTop w:val="0"/>
      <w:marBottom w:val="0"/>
      <w:divBdr>
        <w:top w:val="none" w:sz="0" w:space="0" w:color="auto"/>
        <w:left w:val="none" w:sz="0" w:space="0" w:color="auto"/>
        <w:bottom w:val="none" w:sz="0" w:space="0" w:color="auto"/>
        <w:right w:val="none" w:sz="0" w:space="0" w:color="auto"/>
      </w:divBdr>
    </w:div>
    <w:div w:id="409080491">
      <w:bodyDiv w:val="1"/>
      <w:marLeft w:val="0"/>
      <w:marRight w:val="0"/>
      <w:marTop w:val="0"/>
      <w:marBottom w:val="0"/>
      <w:divBdr>
        <w:top w:val="none" w:sz="0" w:space="0" w:color="auto"/>
        <w:left w:val="none" w:sz="0" w:space="0" w:color="auto"/>
        <w:bottom w:val="none" w:sz="0" w:space="0" w:color="auto"/>
        <w:right w:val="none" w:sz="0" w:space="0" w:color="auto"/>
      </w:divBdr>
    </w:div>
    <w:div w:id="412168171">
      <w:bodyDiv w:val="1"/>
      <w:marLeft w:val="0"/>
      <w:marRight w:val="0"/>
      <w:marTop w:val="0"/>
      <w:marBottom w:val="0"/>
      <w:divBdr>
        <w:top w:val="none" w:sz="0" w:space="0" w:color="auto"/>
        <w:left w:val="none" w:sz="0" w:space="0" w:color="auto"/>
        <w:bottom w:val="none" w:sz="0" w:space="0" w:color="auto"/>
        <w:right w:val="none" w:sz="0" w:space="0" w:color="auto"/>
      </w:divBdr>
    </w:div>
    <w:div w:id="418064675">
      <w:bodyDiv w:val="1"/>
      <w:marLeft w:val="0"/>
      <w:marRight w:val="0"/>
      <w:marTop w:val="0"/>
      <w:marBottom w:val="0"/>
      <w:divBdr>
        <w:top w:val="none" w:sz="0" w:space="0" w:color="auto"/>
        <w:left w:val="none" w:sz="0" w:space="0" w:color="auto"/>
        <w:bottom w:val="none" w:sz="0" w:space="0" w:color="auto"/>
        <w:right w:val="none" w:sz="0" w:space="0" w:color="auto"/>
      </w:divBdr>
    </w:div>
    <w:div w:id="419718655">
      <w:bodyDiv w:val="1"/>
      <w:marLeft w:val="0"/>
      <w:marRight w:val="0"/>
      <w:marTop w:val="0"/>
      <w:marBottom w:val="0"/>
      <w:divBdr>
        <w:top w:val="none" w:sz="0" w:space="0" w:color="auto"/>
        <w:left w:val="none" w:sz="0" w:space="0" w:color="auto"/>
        <w:bottom w:val="none" w:sz="0" w:space="0" w:color="auto"/>
        <w:right w:val="none" w:sz="0" w:space="0" w:color="auto"/>
      </w:divBdr>
    </w:div>
    <w:div w:id="419912396">
      <w:bodyDiv w:val="1"/>
      <w:marLeft w:val="0"/>
      <w:marRight w:val="0"/>
      <w:marTop w:val="0"/>
      <w:marBottom w:val="0"/>
      <w:divBdr>
        <w:top w:val="none" w:sz="0" w:space="0" w:color="auto"/>
        <w:left w:val="none" w:sz="0" w:space="0" w:color="auto"/>
        <w:bottom w:val="none" w:sz="0" w:space="0" w:color="auto"/>
        <w:right w:val="none" w:sz="0" w:space="0" w:color="auto"/>
      </w:divBdr>
    </w:div>
    <w:div w:id="425732792">
      <w:bodyDiv w:val="1"/>
      <w:marLeft w:val="0"/>
      <w:marRight w:val="0"/>
      <w:marTop w:val="0"/>
      <w:marBottom w:val="0"/>
      <w:divBdr>
        <w:top w:val="none" w:sz="0" w:space="0" w:color="auto"/>
        <w:left w:val="none" w:sz="0" w:space="0" w:color="auto"/>
        <w:bottom w:val="none" w:sz="0" w:space="0" w:color="auto"/>
        <w:right w:val="none" w:sz="0" w:space="0" w:color="auto"/>
      </w:divBdr>
    </w:div>
    <w:div w:id="429206524">
      <w:bodyDiv w:val="1"/>
      <w:marLeft w:val="0"/>
      <w:marRight w:val="0"/>
      <w:marTop w:val="0"/>
      <w:marBottom w:val="0"/>
      <w:divBdr>
        <w:top w:val="none" w:sz="0" w:space="0" w:color="auto"/>
        <w:left w:val="none" w:sz="0" w:space="0" w:color="auto"/>
        <w:bottom w:val="none" w:sz="0" w:space="0" w:color="auto"/>
        <w:right w:val="none" w:sz="0" w:space="0" w:color="auto"/>
      </w:divBdr>
    </w:div>
    <w:div w:id="438447871">
      <w:bodyDiv w:val="1"/>
      <w:marLeft w:val="0"/>
      <w:marRight w:val="0"/>
      <w:marTop w:val="0"/>
      <w:marBottom w:val="0"/>
      <w:divBdr>
        <w:top w:val="none" w:sz="0" w:space="0" w:color="auto"/>
        <w:left w:val="none" w:sz="0" w:space="0" w:color="auto"/>
        <w:bottom w:val="none" w:sz="0" w:space="0" w:color="auto"/>
        <w:right w:val="none" w:sz="0" w:space="0" w:color="auto"/>
      </w:divBdr>
    </w:div>
    <w:div w:id="441535880">
      <w:bodyDiv w:val="1"/>
      <w:marLeft w:val="0"/>
      <w:marRight w:val="0"/>
      <w:marTop w:val="0"/>
      <w:marBottom w:val="0"/>
      <w:divBdr>
        <w:top w:val="none" w:sz="0" w:space="0" w:color="auto"/>
        <w:left w:val="none" w:sz="0" w:space="0" w:color="auto"/>
        <w:bottom w:val="none" w:sz="0" w:space="0" w:color="auto"/>
        <w:right w:val="none" w:sz="0" w:space="0" w:color="auto"/>
      </w:divBdr>
    </w:div>
    <w:div w:id="450826498">
      <w:bodyDiv w:val="1"/>
      <w:marLeft w:val="0"/>
      <w:marRight w:val="0"/>
      <w:marTop w:val="0"/>
      <w:marBottom w:val="0"/>
      <w:divBdr>
        <w:top w:val="none" w:sz="0" w:space="0" w:color="auto"/>
        <w:left w:val="none" w:sz="0" w:space="0" w:color="auto"/>
        <w:bottom w:val="none" w:sz="0" w:space="0" w:color="auto"/>
        <w:right w:val="none" w:sz="0" w:space="0" w:color="auto"/>
      </w:divBdr>
    </w:div>
    <w:div w:id="461316192">
      <w:bodyDiv w:val="1"/>
      <w:marLeft w:val="0"/>
      <w:marRight w:val="0"/>
      <w:marTop w:val="0"/>
      <w:marBottom w:val="0"/>
      <w:divBdr>
        <w:top w:val="none" w:sz="0" w:space="0" w:color="auto"/>
        <w:left w:val="none" w:sz="0" w:space="0" w:color="auto"/>
        <w:bottom w:val="none" w:sz="0" w:space="0" w:color="auto"/>
        <w:right w:val="none" w:sz="0" w:space="0" w:color="auto"/>
      </w:divBdr>
    </w:div>
    <w:div w:id="470439637">
      <w:bodyDiv w:val="1"/>
      <w:marLeft w:val="0"/>
      <w:marRight w:val="0"/>
      <w:marTop w:val="0"/>
      <w:marBottom w:val="0"/>
      <w:divBdr>
        <w:top w:val="none" w:sz="0" w:space="0" w:color="auto"/>
        <w:left w:val="none" w:sz="0" w:space="0" w:color="auto"/>
        <w:bottom w:val="none" w:sz="0" w:space="0" w:color="auto"/>
        <w:right w:val="none" w:sz="0" w:space="0" w:color="auto"/>
      </w:divBdr>
    </w:div>
    <w:div w:id="472523867">
      <w:bodyDiv w:val="1"/>
      <w:marLeft w:val="0"/>
      <w:marRight w:val="0"/>
      <w:marTop w:val="0"/>
      <w:marBottom w:val="0"/>
      <w:divBdr>
        <w:top w:val="none" w:sz="0" w:space="0" w:color="auto"/>
        <w:left w:val="none" w:sz="0" w:space="0" w:color="auto"/>
        <w:bottom w:val="none" w:sz="0" w:space="0" w:color="auto"/>
        <w:right w:val="none" w:sz="0" w:space="0" w:color="auto"/>
      </w:divBdr>
    </w:div>
    <w:div w:id="474569688">
      <w:bodyDiv w:val="1"/>
      <w:marLeft w:val="0"/>
      <w:marRight w:val="0"/>
      <w:marTop w:val="0"/>
      <w:marBottom w:val="0"/>
      <w:divBdr>
        <w:top w:val="none" w:sz="0" w:space="0" w:color="auto"/>
        <w:left w:val="none" w:sz="0" w:space="0" w:color="auto"/>
        <w:bottom w:val="none" w:sz="0" w:space="0" w:color="auto"/>
        <w:right w:val="none" w:sz="0" w:space="0" w:color="auto"/>
      </w:divBdr>
    </w:div>
    <w:div w:id="475730185">
      <w:bodyDiv w:val="1"/>
      <w:marLeft w:val="0"/>
      <w:marRight w:val="0"/>
      <w:marTop w:val="0"/>
      <w:marBottom w:val="0"/>
      <w:divBdr>
        <w:top w:val="none" w:sz="0" w:space="0" w:color="auto"/>
        <w:left w:val="none" w:sz="0" w:space="0" w:color="auto"/>
        <w:bottom w:val="none" w:sz="0" w:space="0" w:color="auto"/>
        <w:right w:val="none" w:sz="0" w:space="0" w:color="auto"/>
      </w:divBdr>
    </w:div>
    <w:div w:id="478497196">
      <w:bodyDiv w:val="1"/>
      <w:marLeft w:val="0"/>
      <w:marRight w:val="0"/>
      <w:marTop w:val="0"/>
      <w:marBottom w:val="0"/>
      <w:divBdr>
        <w:top w:val="none" w:sz="0" w:space="0" w:color="auto"/>
        <w:left w:val="none" w:sz="0" w:space="0" w:color="auto"/>
        <w:bottom w:val="none" w:sz="0" w:space="0" w:color="auto"/>
        <w:right w:val="none" w:sz="0" w:space="0" w:color="auto"/>
      </w:divBdr>
    </w:div>
    <w:div w:id="479074179">
      <w:bodyDiv w:val="1"/>
      <w:marLeft w:val="0"/>
      <w:marRight w:val="0"/>
      <w:marTop w:val="0"/>
      <w:marBottom w:val="0"/>
      <w:divBdr>
        <w:top w:val="none" w:sz="0" w:space="0" w:color="auto"/>
        <w:left w:val="none" w:sz="0" w:space="0" w:color="auto"/>
        <w:bottom w:val="none" w:sz="0" w:space="0" w:color="auto"/>
        <w:right w:val="none" w:sz="0" w:space="0" w:color="auto"/>
      </w:divBdr>
    </w:div>
    <w:div w:id="488713394">
      <w:bodyDiv w:val="1"/>
      <w:marLeft w:val="0"/>
      <w:marRight w:val="0"/>
      <w:marTop w:val="0"/>
      <w:marBottom w:val="0"/>
      <w:divBdr>
        <w:top w:val="none" w:sz="0" w:space="0" w:color="auto"/>
        <w:left w:val="none" w:sz="0" w:space="0" w:color="auto"/>
        <w:bottom w:val="none" w:sz="0" w:space="0" w:color="auto"/>
        <w:right w:val="none" w:sz="0" w:space="0" w:color="auto"/>
      </w:divBdr>
    </w:div>
    <w:div w:id="499082921">
      <w:bodyDiv w:val="1"/>
      <w:marLeft w:val="0"/>
      <w:marRight w:val="0"/>
      <w:marTop w:val="0"/>
      <w:marBottom w:val="0"/>
      <w:divBdr>
        <w:top w:val="none" w:sz="0" w:space="0" w:color="auto"/>
        <w:left w:val="none" w:sz="0" w:space="0" w:color="auto"/>
        <w:bottom w:val="none" w:sz="0" w:space="0" w:color="auto"/>
        <w:right w:val="none" w:sz="0" w:space="0" w:color="auto"/>
      </w:divBdr>
    </w:div>
    <w:div w:id="502234787">
      <w:bodyDiv w:val="1"/>
      <w:marLeft w:val="0"/>
      <w:marRight w:val="0"/>
      <w:marTop w:val="0"/>
      <w:marBottom w:val="0"/>
      <w:divBdr>
        <w:top w:val="none" w:sz="0" w:space="0" w:color="auto"/>
        <w:left w:val="none" w:sz="0" w:space="0" w:color="auto"/>
        <w:bottom w:val="none" w:sz="0" w:space="0" w:color="auto"/>
        <w:right w:val="none" w:sz="0" w:space="0" w:color="auto"/>
      </w:divBdr>
    </w:div>
    <w:div w:id="512889102">
      <w:bodyDiv w:val="1"/>
      <w:marLeft w:val="0"/>
      <w:marRight w:val="0"/>
      <w:marTop w:val="0"/>
      <w:marBottom w:val="0"/>
      <w:divBdr>
        <w:top w:val="none" w:sz="0" w:space="0" w:color="auto"/>
        <w:left w:val="none" w:sz="0" w:space="0" w:color="auto"/>
        <w:bottom w:val="none" w:sz="0" w:space="0" w:color="auto"/>
        <w:right w:val="none" w:sz="0" w:space="0" w:color="auto"/>
      </w:divBdr>
    </w:div>
    <w:div w:id="514922949">
      <w:bodyDiv w:val="1"/>
      <w:marLeft w:val="0"/>
      <w:marRight w:val="0"/>
      <w:marTop w:val="0"/>
      <w:marBottom w:val="0"/>
      <w:divBdr>
        <w:top w:val="none" w:sz="0" w:space="0" w:color="auto"/>
        <w:left w:val="none" w:sz="0" w:space="0" w:color="auto"/>
        <w:bottom w:val="none" w:sz="0" w:space="0" w:color="auto"/>
        <w:right w:val="none" w:sz="0" w:space="0" w:color="auto"/>
      </w:divBdr>
    </w:div>
    <w:div w:id="516888219">
      <w:bodyDiv w:val="1"/>
      <w:marLeft w:val="0"/>
      <w:marRight w:val="0"/>
      <w:marTop w:val="0"/>
      <w:marBottom w:val="0"/>
      <w:divBdr>
        <w:top w:val="none" w:sz="0" w:space="0" w:color="auto"/>
        <w:left w:val="none" w:sz="0" w:space="0" w:color="auto"/>
        <w:bottom w:val="none" w:sz="0" w:space="0" w:color="auto"/>
        <w:right w:val="none" w:sz="0" w:space="0" w:color="auto"/>
      </w:divBdr>
    </w:div>
    <w:div w:id="518130762">
      <w:bodyDiv w:val="1"/>
      <w:marLeft w:val="0"/>
      <w:marRight w:val="0"/>
      <w:marTop w:val="0"/>
      <w:marBottom w:val="0"/>
      <w:divBdr>
        <w:top w:val="none" w:sz="0" w:space="0" w:color="auto"/>
        <w:left w:val="none" w:sz="0" w:space="0" w:color="auto"/>
        <w:bottom w:val="none" w:sz="0" w:space="0" w:color="auto"/>
        <w:right w:val="none" w:sz="0" w:space="0" w:color="auto"/>
      </w:divBdr>
    </w:div>
    <w:div w:id="520971986">
      <w:bodyDiv w:val="1"/>
      <w:marLeft w:val="0"/>
      <w:marRight w:val="0"/>
      <w:marTop w:val="0"/>
      <w:marBottom w:val="0"/>
      <w:divBdr>
        <w:top w:val="none" w:sz="0" w:space="0" w:color="auto"/>
        <w:left w:val="none" w:sz="0" w:space="0" w:color="auto"/>
        <w:bottom w:val="none" w:sz="0" w:space="0" w:color="auto"/>
        <w:right w:val="none" w:sz="0" w:space="0" w:color="auto"/>
      </w:divBdr>
    </w:div>
    <w:div w:id="524903696">
      <w:bodyDiv w:val="1"/>
      <w:marLeft w:val="0"/>
      <w:marRight w:val="0"/>
      <w:marTop w:val="0"/>
      <w:marBottom w:val="0"/>
      <w:divBdr>
        <w:top w:val="none" w:sz="0" w:space="0" w:color="auto"/>
        <w:left w:val="none" w:sz="0" w:space="0" w:color="auto"/>
        <w:bottom w:val="none" w:sz="0" w:space="0" w:color="auto"/>
        <w:right w:val="none" w:sz="0" w:space="0" w:color="auto"/>
      </w:divBdr>
    </w:div>
    <w:div w:id="527377919">
      <w:bodyDiv w:val="1"/>
      <w:marLeft w:val="0"/>
      <w:marRight w:val="0"/>
      <w:marTop w:val="0"/>
      <w:marBottom w:val="0"/>
      <w:divBdr>
        <w:top w:val="none" w:sz="0" w:space="0" w:color="auto"/>
        <w:left w:val="none" w:sz="0" w:space="0" w:color="auto"/>
        <w:bottom w:val="none" w:sz="0" w:space="0" w:color="auto"/>
        <w:right w:val="none" w:sz="0" w:space="0" w:color="auto"/>
      </w:divBdr>
    </w:div>
    <w:div w:id="527529907">
      <w:bodyDiv w:val="1"/>
      <w:marLeft w:val="0"/>
      <w:marRight w:val="0"/>
      <w:marTop w:val="0"/>
      <w:marBottom w:val="0"/>
      <w:divBdr>
        <w:top w:val="none" w:sz="0" w:space="0" w:color="auto"/>
        <w:left w:val="none" w:sz="0" w:space="0" w:color="auto"/>
        <w:bottom w:val="none" w:sz="0" w:space="0" w:color="auto"/>
        <w:right w:val="none" w:sz="0" w:space="0" w:color="auto"/>
      </w:divBdr>
    </w:div>
    <w:div w:id="529343795">
      <w:bodyDiv w:val="1"/>
      <w:marLeft w:val="0"/>
      <w:marRight w:val="0"/>
      <w:marTop w:val="0"/>
      <w:marBottom w:val="0"/>
      <w:divBdr>
        <w:top w:val="none" w:sz="0" w:space="0" w:color="auto"/>
        <w:left w:val="none" w:sz="0" w:space="0" w:color="auto"/>
        <w:bottom w:val="none" w:sz="0" w:space="0" w:color="auto"/>
        <w:right w:val="none" w:sz="0" w:space="0" w:color="auto"/>
      </w:divBdr>
    </w:div>
    <w:div w:id="531845205">
      <w:bodyDiv w:val="1"/>
      <w:marLeft w:val="0"/>
      <w:marRight w:val="0"/>
      <w:marTop w:val="0"/>
      <w:marBottom w:val="0"/>
      <w:divBdr>
        <w:top w:val="none" w:sz="0" w:space="0" w:color="auto"/>
        <w:left w:val="none" w:sz="0" w:space="0" w:color="auto"/>
        <w:bottom w:val="none" w:sz="0" w:space="0" w:color="auto"/>
        <w:right w:val="none" w:sz="0" w:space="0" w:color="auto"/>
      </w:divBdr>
    </w:div>
    <w:div w:id="532689262">
      <w:bodyDiv w:val="1"/>
      <w:marLeft w:val="0"/>
      <w:marRight w:val="0"/>
      <w:marTop w:val="0"/>
      <w:marBottom w:val="0"/>
      <w:divBdr>
        <w:top w:val="none" w:sz="0" w:space="0" w:color="auto"/>
        <w:left w:val="none" w:sz="0" w:space="0" w:color="auto"/>
        <w:bottom w:val="none" w:sz="0" w:space="0" w:color="auto"/>
        <w:right w:val="none" w:sz="0" w:space="0" w:color="auto"/>
      </w:divBdr>
    </w:div>
    <w:div w:id="533468380">
      <w:bodyDiv w:val="1"/>
      <w:marLeft w:val="0"/>
      <w:marRight w:val="0"/>
      <w:marTop w:val="0"/>
      <w:marBottom w:val="0"/>
      <w:divBdr>
        <w:top w:val="none" w:sz="0" w:space="0" w:color="auto"/>
        <w:left w:val="none" w:sz="0" w:space="0" w:color="auto"/>
        <w:bottom w:val="none" w:sz="0" w:space="0" w:color="auto"/>
        <w:right w:val="none" w:sz="0" w:space="0" w:color="auto"/>
      </w:divBdr>
    </w:div>
    <w:div w:id="535121819">
      <w:bodyDiv w:val="1"/>
      <w:marLeft w:val="0"/>
      <w:marRight w:val="0"/>
      <w:marTop w:val="0"/>
      <w:marBottom w:val="0"/>
      <w:divBdr>
        <w:top w:val="none" w:sz="0" w:space="0" w:color="auto"/>
        <w:left w:val="none" w:sz="0" w:space="0" w:color="auto"/>
        <w:bottom w:val="none" w:sz="0" w:space="0" w:color="auto"/>
        <w:right w:val="none" w:sz="0" w:space="0" w:color="auto"/>
      </w:divBdr>
    </w:div>
    <w:div w:id="547650277">
      <w:bodyDiv w:val="1"/>
      <w:marLeft w:val="0"/>
      <w:marRight w:val="0"/>
      <w:marTop w:val="0"/>
      <w:marBottom w:val="0"/>
      <w:divBdr>
        <w:top w:val="none" w:sz="0" w:space="0" w:color="auto"/>
        <w:left w:val="none" w:sz="0" w:space="0" w:color="auto"/>
        <w:bottom w:val="none" w:sz="0" w:space="0" w:color="auto"/>
        <w:right w:val="none" w:sz="0" w:space="0" w:color="auto"/>
      </w:divBdr>
    </w:div>
    <w:div w:id="547882661">
      <w:bodyDiv w:val="1"/>
      <w:marLeft w:val="0"/>
      <w:marRight w:val="0"/>
      <w:marTop w:val="0"/>
      <w:marBottom w:val="0"/>
      <w:divBdr>
        <w:top w:val="none" w:sz="0" w:space="0" w:color="auto"/>
        <w:left w:val="none" w:sz="0" w:space="0" w:color="auto"/>
        <w:bottom w:val="none" w:sz="0" w:space="0" w:color="auto"/>
        <w:right w:val="none" w:sz="0" w:space="0" w:color="auto"/>
      </w:divBdr>
    </w:div>
    <w:div w:id="552355945">
      <w:bodyDiv w:val="1"/>
      <w:marLeft w:val="0"/>
      <w:marRight w:val="0"/>
      <w:marTop w:val="0"/>
      <w:marBottom w:val="0"/>
      <w:divBdr>
        <w:top w:val="none" w:sz="0" w:space="0" w:color="auto"/>
        <w:left w:val="none" w:sz="0" w:space="0" w:color="auto"/>
        <w:bottom w:val="none" w:sz="0" w:space="0" w:color="auto"/>
        <w:right w:val="none" w:sz="0" w:space="0" w:color="auto"/>
      </w:divBdr>
    </w:div>
    <w:div w:id="558394480">
      <w:bodyDiv w:val="1"/>
      <w:marLeft w:val="0"/>
      <w:marRight w:val="0"/>
      <w:marTop w:val="0"/>
      <w:marBottom w:val="0"/>
      <w:divBdr>
        <w:top w:val="none" w:sz="0" w:space="0" w:color="auto"/>
        <w:left w:val="none" w:sz="0" w:space="0" w:color="auto"/>
        <w:bottom w:val="none" w:sz="0" w:space="0" w:color="auto"/>
        <w:right w:val="none" w:sz="0" w:space="0" w:color="auto"/>
      </w:divBdr>
    </w:div>
    <w:div w:id="560679692">
      <w:bodyDiv w:val="1"/>
      <w:marLeft w:val="0"/>
      <w:marRight w:val="0"/>
      <w:marTop w:val="0"/>
      <w:marBottom w:val="0"/>
      <w:divBdr>
        <w:top w:val="none" w:sz="0" w:space="0" w:color="auto"/>
        <w:left w:val="none" w:sz="0" w:space="0" w:color="auto"/>
        <w:bottom w:val="none" w:sz="0" w:space="0" w:color="auto"/>
        <w:right w:val="none" w:sz="0" w:space="0" w:color="auto"/>
      </w:divBdr>
    </w:div>
    <w:div w:id="569849550">
      <w:bodyDiv w:val="1"/>
      <w:marLeft w:val="0"/>
      <w:marRight w:val="0"/>
      <w:marTop w:val="0"/>
      <w:marBottom w:val="0"/>
      <w:divBdr>
        <w:top w:val="none" w:sz="0" w:space="0" w:color="auto"/>
        <w:left w:val="none" w:sz="0" w:space="0" w:color="auto"/>
        <w:bottom w:val="none" w:sz="0" w:space="0" w:color="auto"/>
        <w:right w:val="none" w:sz="0" w:space="0" w:color="auto"/>
      </w:divBdr>
    </w:div>
    <w:div w:id="571156816">
      <w:bodyDiv w:val="1"/>
      <w:marLeft w:val="0"/>
      <w:marRight w:val="0"/>
      <w:marTop w:val="0"/>
      <w:marBottom w:val="0"/>
      <w:divBdr>
        <w:top w:val="none" w:sz="0" w:space="0" w:color="auto"/>
        <w:left w:val="none" w:sz="0" w:space="0" w:color="auto"/>
        <w:bottom w:val="none" w:sz="0" w:space="0" w:color="auto"/>
        <w:right w:val="none" w:sz="0" w:space="0" w:color="auto"/>
      </w:divBdr>
    </w:div>
    <w:div w:id="572546742">
      <w:bodyDiv w:val="1"/>
      <w:marLeft w:val="0"/>
      <w:marRight w:val="0"/>
      <w:marTop w:val="0"/>
      <w:marBottom w:val="0"/>
      <w:divBdr>
        <w:top w:val="none" w:sz="0" w:space="0" w:color="auto"/>
        <w:left w:val="none" w:sz="0" w:space="0" w:color="auto"/>
        <w:bottom w:val="none" w:sz="0" w:space="0" w:color="auto"/>
        <w:right w:val="none" w:sz="0" w:space="0" w:color="auto"/>
      </w:divBdr>
    </w:div>
    <w:div w:id="579947289">
      <w:bodyDiv w:val="1"/>
      <w:marLeft w:val="0"/>
      <w:marRight w:val="0"/>
      <w:marTop w:val="0"/>
      <w:marBottom w:val="0"/>
      <w:divBdr>
        <w:top w:val="none" w:sz="0" w:space="0" w:color="auto"/>
        <w:left w:val="none" w:sz="0" w:space="0" w:color="auto"/>
        <w:bottom w:val="none" w:sz="0" w:space="0" w:color="auto"/>
        <w:right w:val="none" w:sz="0" w:space="0" w:color="auto"/>
      </w:divBdr>
    </w:div>
    <w:div w:id="580604972">
      <w:bodyDiv w:val="1"/>
      <w:marLeft w:val="0"/>
      <w:marRight w:val="0"/>
      <w:marTop w:val="0"/>
      <w:marBottom w:val="0"/>
      <w:divBdr>
        <w:top w:val="none" w:sz="0" w:space="0" w:color="auto"/>
        <w:left w:val="none" w:sz="0" w:space="0" w:color="auto"/>
        <w:bottom w:val="none" w:sz="0" w:space="0" w:color="auto"/>
        <w:right w:val="none" w:sz="0" w:space="0" w:color="auto"/>
      </w:divBdr>
    </w:div>
    <w:div w:id="590549660">
      <w:bodyDiv w:val="1"/>
      <w:marLeft w:val="0"/>
      <w:marRight w:val="0"/>
      <w:marTop w:val="0"/>
      <w:marBottom w:val="0"/>
      <w:divBdr>
        <w:top w:val="none" w:sz="0" w:space="0" w:color="auto"/>
        <w:left w:val="none" w:sz="0" w:space="0" w:color="auto"/>
        <w:bottom w:val="none" w:sz="0" w:space="0" w:color="auto"/>
        <w:right w:val="none" w:sz="0" w:space="0" w:color="auto"/>
      </w:divBdr>
    </w:div>
    <w:div w:id="592671479">
      <w:bodyDiv w:val="1"/>
      <w:marLeft w:val="0"/>
      <w:marRight w:val="0"/>
      <w:marTop w:val="0"/>
      <w:marBottom w:val="0"/>
      <w:divBdr>
        <w:top w:val="none" w:sz="0" w:space="0" w:color="auto"/>
        <w:left w:val="none" w:sz="0" w:space="0" w:color="auto"/>
        <w:bottom w:val="none" w:sz="0" w:space="0" w:color="auto"/>
        <w:right w:val="none" w:sz="0" w:space="0" w:color="auto"/>
      </w:divBdr>
    </w:div>
    <w:div w:id="605382467">
      <w:bodyDiv w:val="1"/>
      <w:marLeft w:val="0"/>
      <w:marRight w:val="0"/>
      <w:marTop w:val="0"/>
      <w:marBottom w:val="0"/>
      <w:divBdr>
        <w:top w:val="none" w:sz="0" w:space="0" w:color="auto"/>
        <w:left w:val="none" w:sz="0" w:space="0" w:color="auto"/>
        <w:bottom w:val="none" w:sz="0" w:space="0" w:color="auto"/>
        <w:right w:val="none" w:sz="0" w:space="0" w:color="auto"/>
      </w:divBdr>
    </w:div>
    <w:div w:id="606471142">
      <w:bodyDiv w:val="1"/>
      <w:marLeft w:val="0"/>
      <w:marRight w:val="0"/>
      <w:marTop w:val="0"/>
      <w:marBottom w:val="0"/>
      <w:divBdr>
        <w:top w:val="none" w:sz="0" w:space="0" w:color="auto"/>
        <w:left w:val="none" w:sz="0" w:space="0" w:color="auto"/>
        <w:bottom w:val="none" w:sz="0" w:space="0" w:color="auto"/>
        <w:right w:val="none" w:sz="0" w:space="0" w:color="auto"/>
      </w:divBdr>
    </w:div>
    <w:div w:id="607397023">
      <w:bodyDiv w:val="1"/>
      <w:marLeft w:val="0"/>
      <w:marRight w:val="0"/>
      <w:marTop w:val="0"/>
      <w:marBottom w:val="0"/>
      <w:divBdr>
        <w:top w:val="none" w:sz="0" w:space="0" w:color="auto"/>
        <w:left w:val="none" w:sz="0" w:space="0" w:color="auto"/>
        <w:bottom w:val="none" w:sz="0" w:space="0" w:color="auto"/>
        <w:right w:val="none" w:sz="0" w:space="0" w:color="auto"/>
      </w:divBdr>
    </w:div>
    <w:div w:id="609707428">
      <w:bodyDiv w:val="1"/>
      <w:marLeft w:val="0"/>
      <w:marRight w:val="0"/>
      <w:marTop w:val="0"/>
      <w:marBottom w:val="0"/>
      <w:divBdr>
        <w:top w:val="none" w:sz="0" w:space="0" w:color="auto"/>
        <w:left w:val="none" w:sz="0" w:space="0" w:color="auto"/>
        <w:bottom w:val="none" w:sz="0" w:space="0" w:color="auto"/>
        <w:right w:val="none" w:sz="0" w:space="0" w:color="auto"/>
      </w:divBdr>
    </w:div>
    <w:div w:id="612320753">
      <w:bodyDiv w:val="1"/>
      <w:marLeft w:val="0"/>
      <w:marRight w:val="0"/>
      <w:marTop w:val="0"/>
      <w:marBottom w:val="0"/>
      <w:divBdr>
        <w:top w:val="none" w:sz="0" w:space="0" w:color="auto"/>
        <w:left w:val="none" w:sz="0" w:space="0" w:color="auto"/>
        <w:bottom w:val="none" w:sz="0" w:space="0" w:color="auto"/>
        <w:right w:val="none" w:sz="0" w:space="0" w:color="auto"/>
      </w:divBdr>
    </w:div>
    <w:div w:id="613679794">
      <w:bodyDiv w:val="1"/>
      <w:marLeft w:val="0"/>
      <w:marRight w:val="0"/>
      <w:marTop w:val="0"/>
      <w:marBottom w:val="0"/>
      <w:divBdr>
        <w:top w:val="none" w:sz="0" w:space="0" w:color="auto"/>
        <w:left w:val="none" w:sz="0" w:space="0" w:color="auto"/>
        <w:bottom w:val="none" w:sz="0" w:space="0" w:color="auto"/>
        <w:right w:val="none" w:sz="0" w:space="0" w:color="auto"/>
      </w:divBdr>
    </w:div>
    <w:div w:id="620694211">
      <w:bodyDiv w:val="1"/>
      <w:marLeft w:val="0"/>
      <w:marRight w:val="0"/>
      <w:marTop w:val="0"/>
      <w:marBottom w:val="0"/>
      <w:divBdr>
        <w:top w:val="none" w:sz="0" w:space="0" w:color="auto"/>
        <w:left w:val="none" w:sz="0" w:space="0" w:color="auto"/>
        <w:bottom w:val="none" w:sz="0" w:space="0" w:color="auto"/>
        <w:right w:val="none" w:sz="0" w:space="0" w:color="auto"/>
      </w:divBdr>
    </w:div>
    <w:div w:id="621575785">
      <w:bodyDiv w:val="1"/>
      <w:marLeft w:val="0"/>
      <w:marRight w:val="0"/>
      <w:marTop w:val="0"/>
      <w:marBottom w:val="0"/>
      <w:divBdr>
        <w:top w:val="none" w:sz="0" w:space="0" w:color="auto"/>
        <w:left w:val="none" w:sz="0" w:space="0" w:color="auto"/>
        <w:bottom w:val="none" w:sz="0" w:space="0" w:color="auto"/>
        <w:right w:val="none" w:sz="0" w:space="0" w:color="auto"/>
      </w:divBdr>
    </w:div>
    <w:div w:id="622854286">
      <w:bodyDiv w:val="1"/>
      <w:marLeft w:val="0"/>
      <w:marRight w:val="0"/>
      <w:marTop w:val="0"/>
      <w:marBottom w:val="0"/>
      <w:divBdr>
        <w:top w:val="none" w:sz="0" w:space="0" w:color="auto"/>
        <w:left w:val="none" w:sz="0" w:space="0" w:color="auto"/>
        <w:bottom w:val="none" w:sz="0" w:space="0" w:color="auto"/>
        <w:right w:val="none" w:sz="0" w:space="0" w:color="auto"/>
      </w:divBdr>
    </w:div>
    <w:div w:id="625623066">
      <w:bodyDiv w:val="1"/>
      <w:marLeft w:val="0"/>
      <w:marRight w:val="0"/>
      <w:marTop w:val="0"/>
      <w:marBottom w:val="0"/>
      <w:divBdr>
        <w:top w:val="none" w:sz="0" w:space="0" w:color="auto"/>
        <w:left w:val="none" w:sz="0" w:space="0" w:color="auto"/>
        <w:bottom w:val="none" w:sz="0" w:space="0" w:color="auto"/>
        <w:right w:val="none" w:sz="0" w:space="0" w:color="auto"/>
      </w:divBdr>
    </w:div>
    <w:div w:id="630789493">
      <w:bodyDiv w:val="1"/>
      <w:marLeft w:val="0"/>
      <w:marRight w:val="0"/>
      <w:marTop w:val="0"/>
      <w:marBottom w:val="0"/>
      <w:divBdr>
        <w:top w:val="none" w:sz="0" w:space="0" w:color="auto"/>
        <w:left w:val="none" w:sz="0" w:space="0" w:color="auto"/>
        <w:bottom w:val="none" w:sz="0" w:space="0" w:color="auto"/>
        <w:right w:val="none" w:sz="0" w:space="0" w:color="auto"/>
      </w:divBdr>
    </w:div>
    <w:div w:id="636643625">
      <w:bodyDiv w:val="1"/>
      <w:marLeft w:val="0"/>
      <w:marRight w:val="0"/>
      <w:marTop w:val="0"/>
      <w:marBottom w:val="0"/>
      <w:divBdr>
        <w:top w:val="none" w:sz="0" w:space="0" w:color="auto"/>
        <w:left w:val="none" w:sz="0" w:space="0" w:color="auto"/>
        <w:bottom w:val="none" w:sz="0" w:space="0" w:color="auto"/>
        <w:right w:val="none" w:sz="0" w:space="0" w:color="auto"/>
      </w:divBdr>
    </w:div>
    <w:div w:id="637104618">
      <w:bodyDiv w:val="1"/>
      <w:marLeft w:val="0"/>
      <w:marRight w:val="0"/>
      <w:marTop w:val="0"/>
      <w:marBottom w:val="0"/>
      <w:divBdr>
        <w:top w:val="none" w:sz="0" w:space="0" w:color="auto"/>
        <w:left w:val="none" w:sz="0" w:space="0" w:color="auto"/>
        <w:bottom w:val="none" w:sz="0" w:space="0" w:color="auto"/>
        <w:right w:val="none" w:sz="0" w:space="0" w:color="auto"/>
      </w:divBdr>
    </w:div>
    <w:div w:id="638264828">
      <w:bodyDiv w:val="1"/>
      <w:marLeft w:val="0"/>
      <w:marRight w:val="0"/>
      <w:marTop w:val="0"/>
      <w:marBottom w:val="0"/>
      <w:divBdr>
        <w:top w:val="none" w:sz="0" w:space="0" w:color="auto"/>
        <w:left w:val="none" w:sz="0" w:space="0" w:color="auto"/>
        <w:bottom w:val="none" w:sz="0" w:space="0" w:color="auto"/>
        <w:right w:val="none" w:sz="0" w:space="0" w:color="auto"/>
      </w:divBdr>
    </w:div>
    <w:div w:id="643581705">
      <w:bodyDiv w:val="1"/>
      <w:marLeft w:val="0"/>
      <w:marRight w:val="0"/>
      <w:marTop w:val="0"/>
      <w:marBottom w:val="0"/>
      <w:divBdr>
        <w:top w:val="none" w:sz="0" w:space="0" w:color="auto"/>
        <w:left w:val="none" w:sz="0" w:space="0" w:color="auto"/>
        <w:bottom w:val="none" w:sz="0" w:space="0" w:color="auto"/>
        <w:right w:val="none" w:sz="0" w:space="0" w:color="auto"/>
      </w:divBdr>
    </w:div>
    <w:div w:id="647127944">
      <w:bodyDiv w:val="1"/>
      <w:marLeft w:val="0"/>
      <w:marRight w:val="0"/>
      <w:marTop w:val="0"/>
      <w:marBottom w:val="0"/>
      <w:divBdr>
        <w:top w:val="none" w:sz="0" w:space="0" w:color="auto"/>
        <w:left w:val="none" w:sz="0" w:space="0" w:color="auto"/>
        <w:bottom w:val="none" w:sz="0" w:space="0" w:color="auto"/>
        <w:right w:val="none" w:sz="0" w:space="0" w:color="auto"/>
      </w:divBdr>
    </w:div>
    <w:div w:id="651058721">
      <w:bodyDiv w:val="1"/>
      <w:marLeft w:val="0"/>
      <w:marRight w:val="0"/>
      <w:marTop w:val="0"/>
      <w:marBottom w:val="0"/>
      <w:divBdr>
        <w:top w:val="none" w:sz="0" w:space="0" w:color="auto"/>
        <w:left w:val="none" w:sz="0" w:space="0" w:color="auto"/>
        <w:bottom w:val="none" w:sz="0" w:space="0" w:color="auto"/>
        <w:right w:val="none" w:sz="0" w:space="0" w:color="auto"/>
      </w:divBdr>
    </w:div>
    <w:div w:id="654384579">
      <w:bodyDiv w:val="1"/>
      <w:marLeft w:val="0"/>
      <w:marRight w:val="0"/>
      <w:marTop w:val="0"/>
      <w:marBottom w:val="0"/>
      <w:divBdr>
        <w:top w:val="none" w:sz="0" w:space="0" w:color="auto"/>
        <w:left w:val="none" w:sz="0" w:space="0" w:color="auto"/>
        <w:bottom w:val="none" w:sz="0" w:space="0" w:color="auto"/>
        <w:right w:val="none" w:sz="0" w:space="0" w:color="auto"/>
      </w:divBdr>
    </w:div>
    <w:div w:id="654574714">
      <w:bodyDiv w:val="1"/>
      <w:marLeft w:val="0"/>
      <w:marRight w:val="0"/>
      <w:marTop w:val="0"/>
      <w:marBottom w:val="0"/>
      <w:divBdr>
        <w:top w:val="none" w:sz="0" w:space="0" w:color="auto"/>
        <w:left w:val="none" w:sz="0" w:space="0" w:color="auto"/>
        <w:bottom w:val="none" w:sz="0" w:space="0" w:color="auto"/>
        <w:right w:val="none" w:sz="0" w:space="0" w:color="auto"/>
      </w:divBdr>
    </w:div>
    <w:div w:id="676856884">
      <w:bodyDiv w:val="1"/>
      <w:marLeft w:val="0"/>
      <w:marRight w:val="0"/>
      <w:marTop w:val="0"/>
      <w:marBottom w:val="0"/>
      <w:divBdr>
        <w:top w:val="none" w:sz="0" w:space="0" w:color="auto"/>
        <w:left w:val="none" w:sz="0" w:space="0" w:color="auto"/>
        <w:bottom w:val="none" w:sz="0" w:space="0" w:color="auto"/>
        <w:right w:val="none" w:sz="0" w:space="0" w:color="auto"/>
      </w:divBdr>
    </w:div>
    <w:div w:id="681516589">
      <w:bodyDiv w:val="1"/>
      <w:marLeft w:val="0"/>
      <w:marRight w:val="0"/>
      <w:marTop w:val="0"/>
      <w:marBottom w:val="0"/>
      <w:divBdr>
        <w:top w:val="none" w:sz="0" w:space="0" w:color="auto"/>
        <w:left w:val="none" w:sz="0" w:space="0" w:color="auto"/>
        <w:bottom w:val="none" w:sz="0" w:space="0" w:color="auto"/>
        <w:right w:val="none" w:sz="0" w:space="0" w:color="auto"/>
      </w:divBdr>
    </w:div>
    <w:div w:id="682901636">
      <w:bodyDiv w:val="1"/>
      <w:marLeft w:val="0"/>
      <w:marRight w:val="0"/>
      <w:marTop w:val="0"/>
      <w:marBottom w:val="0"/>
      <w:divBdr>
        <w:top w:val="none" w:sz="0" w:space="0" w:color="auto"/>
        <w:left w:val="none" w:sz="0" w:space="0" w:color="auto"/>
        <w:bottom w:val="none" w:sz="0" w:space="0" w:color="auto"/>
        <w:right w:val="none" w:sz="0" w:space="0" w:color="auto"/>
      </w:divBdr>
    </w:div>
    <w:div w:id="684983812">
      <w:bodyDiv w:val="1"/>
      <w:marLeft w:val="0"/>
      <w:marRight w:val="0"/>
      <w:marTop w:val="0"/>
      <w:marBottom w:val="0"/>
      <w:divBdr>
        <w:top w:val="none" w:sz="0" w:space="0" w:color="auto"/>
        <w:left w:val="none" w:sz="0" w:space="0" w:color="auto"/>
        <w:bottom w:val="none" w:sz="0" w:space="0" w:color="auto"/>
        <w:right w:val="none" w:sz="0" w:space="0" w:color="auto"/>
      </w:divBdr>
    </w:div>
    <w:div w:id="686907018">
      <w:bodyDiv w:val="1"/>
      <w:marLeft w:val="0"/>
      <w:marRight w:val="0"/>
      <w:marTop w:val="0"/>
      <w:marBottom w:val="0"/>
      <w:divBdr>
        <w:top w:val="none" w:sz="0" w:space="0" w:color="auto"/>
        <w:left w:val="none" w:sz="0" w:space="0" w:color="auto"/>
        <w:bottom w:val="none" w:sz="0" w:space="0" w:color="auto"/>
        <w:right w:val="none" w:sz="0" w:space="0" w:color="auto"/>
      </w:divBdr>
    </w:div>
    <w:div w:id="689183688">
      <w:bodyDiv w:val="1"/>
      <w:marLeft w:val="0"/>
      <w:marRight w:val="0"/>
      <w:marTop w:val="0"/>
      <w:marBottom w:val="0"/>
      <w:divBdr>
        <w:top w:val="none" w:sz="0" w:space="0" w:color="auto"/>
        <w:left w:val="none" w:sz="0" w:space="0" w:color="auto"/>
        <w:bottom w:val="none" w:sz="0" w:space="0" w:color="auto"/>
        <w:right w:val="none" w:sz="0" w:space="0" w:color="auto"/>
      </w:divBdr>
    </w:div>
    <w:div w:id="693506162">
      <w:bodyDiv w:val="1"/>
      <w:marLeft w:val="0"/>
      <w:marRight w:val="0"/>
      <w:marTop w:val="0"/>
      <w:marBottom w:val="0"/>
      <w:divBdr>
        <w:top w:val="none" w:sz="0" w:space="0" w:color="auto"/>
        <w:left w:val="none" w:sz="0" w:space="0" w:color="auto"/>
        <w:bottom w:val="none" w:sz="0" w:space="0" w:color="auto"/>
        <w:right w:val="none" w:sz="0" w:space="0" w:color="auto"/>
      </w:divBdr>
    </w:div>
    <w:div w:id="695499471">
      <w:bodyDiv w:val="1"/>
      <w:marLeft w:val="0"/>
      <w:marRight w:val="0"/>
      <w:marTop w:val="0"/>
      <w:marBottom w:val="0"/>
      <w:divBdr>
        <w:top w:val="none" w:sz="0" w:space="0" w:color="auto"/>
        <w:left w:val="none" w:sz="0" w:space="0" w:color="auto"/>
        <w:bottom w:val="none" w:sz="0" w:space="0" w:color="auto"/>
        <w:right w:val="none" w:sz="0" w:space="0" w:color="auto"/>
      </w:divBdr>
    </w:div>
    <w:div w:id="696665396">
      <w:bodyDiv w:val="1"/>
      <w:marLeft w:val="0"/>
      <w:marRight w:val="0"/>
      <w:marTop w:val="0"/>
      <w:marBottom w:val="0"/>
      <w:divBdr>
        <w:top w:val="none" w:sz="0" w:space="0" w:color="auto"/>
        <w:left w:val="none" w:sz="0" w:space="0" w:color="auto"/>
        <w:bottom w:val="none" w:sz="0" w:space="0" w:color="auto"/>
        <w:right w:val="none" w:sz="0" w:space="0" w:color="auto"/>
      </w:divBdr>
    </w:div>
    <w:div w:id="698089512">
      <w:bodyDiv w:val="1"/>
      <w:marLeft w:val="0"/>
      <w:marRight w:val="0"/>
      <w:marTop w:val="0"/>
      <w:marBottom w:val="0"/>
      <w:divBdr>
        <w:top w:val="none" w:sz="0" w:space="0" w:color="auto"/>
        <w:left w:val="none" w:sz="0" w:space="0" w:color="auto"/>
        <w:bottom w:val="none" w:sz="0" w:space="0" w:color="auto"/>
        <w:right w:val="none" w:sz="0" w:space="0" w:color="auto"/>
      </w:divBdr>
    </w:div>
    <w:div w:id="699623279">
      <w:bodyDiv w:val="1"/>
      <w:marLeft w:val="0"/>
      <w:marRight w:val="0"/>
      <w:marTop w:val="0"/>
      <w:marBottom w:val="0"/>
      <w:divBdr>
        <w:top w:val="none" w:sz="0" w:space="0" w:color="auto"/>
        <w:left w:val="none" w:sz="0" w:space="0" w:color="auto"/>
        <w:bottom w:val="none" w:sz="0" w:space="0" w:color="auto"/>
        <w:right w:val="none" w:sz="0" w:space="0" w:color="auto"/>
      </w:divBdr>
    </w:div>
    <w:div w:id="707224214">
      <w:bodyDiv w:val="1"/>
      <w:marLeft w:val="0"/>
      <w:marRight w:val="0"/>
      <w:marTop w:val="0"/>
      <w:marBottom w:val="0"/>
      <w:divBdr>
        <w:top w:val="none" w:sz="0" w:space="0" w:color="auto"/>
        <w:left w:val="none" w:sz="0" w:space="0" w:color="auto"/>
        <w:bottom w:val="none" w:sz="0" w:space="0" w:color="auto"/>
        <w:right w:val="none" w:sz="0" w:space="0" w:color="auto"/>
      </w:divBdr>
    </w:div>
    <w:div w:id="707295741">
      <w:bodyDiv w:val="1"/>
      <w:marLeft w:val="0"/>
      <w:marRight w:val="0"/>
      <w:marTop w:val="0"/>
      <w:marBottom w:val="0"/>
      <w:divBdr>
        <w:top w:val="none" w:sz="0" w:space="0" w:color="auto"/>
        <w:left w:val="none" w:sz="0" w:space="0" w:color="auto"/>
        <w:bottom w:val="none" w:sz="0" w:space="0" w:color="auto"/>
        <w:right w:val="none" w:sz="0" w:space="0" w:color="auto"/>
      </w:divBdr>
    </w:div>
    <w:div w:id="735320536">
      <w:bodyDiv w:val="1"/>
      <w:marLeft w:val="0"/>
      <w:marRight w:val="0"/>
      <w:marTop w:val="0"/>
      <w:marBottom w:val="0"/>
      <w:divBdr>
        <w:top w:val="none" w:sz="0" w:space="0" w:color="auto"/>
        <w:left w:val="none" w:sz="0" w:space="0" w:color="auto"/>
        <w:bottom w:val="none" w:sz="0" w:space="0" w:color="auto"/>
        <w:right w:val="none" w:sz="0" w:space="0" w:color="auto"/>
      </w:divBdr>
    </w:div>
    <w:div w:id="737628854">
      <w:bodyDiv w:val="1"/>
      <w:marLeft w:val="0"/>
      <w:marRight w:val="0"/>
      <w:marTop w:val="0"/>
      <w:marBottom w:val="0"/>
      <w:divBdr>
        <w:top w:val="none" w:sz="0" w:space="0" w:color="auto"/>
        <w:left w:val="none" w:sz="0" w:space="0" w:color="auto"/>
        <w:bottom w:val="none" w:sz="0" w:space="0" w:color="auto"/>
        <w:right w:val="none" w:sz="0" w:space="0" w:color="auto"/>
      </w:divBdr>
    </w:div>
    <w:div w:id="739132060">
      <w:bodyDiv w:val="1"/>
      <w:marLeft w:val="0"/>
      <w:marRight w:val="0"/>
      <w:marTop w:val="0"/>
      <w:marBottom w:val="0"/>
      <w:divBdr>
        <w:top w:val="none" w:sz="0" w:space="0" w:color="auto"/>
        <w:left w:val="none" w:sz="0" w:space="0" w:color="auto"/>
        <w:bottom w:val="none" w:sz="0" w:space="0" w:color="auto"/>
        <w:right w:val="none" w:sz="0" w:space="0" w:color="auto"/>
      </w:divBdr>
    </w:div>
    <w:div w:id="740637537">
      <w:bodyDiv w:val="1"/>
      <w:marLeft w:val="0"/>
      <w:marRight w:val="0"/>
      <w:marTop w:val="0"/>
      <w:marBottom w:val="0"/>
      <w:divBdr>
        <w:top w:val="none" w:sz="0" w:space="0" w:color="auto"/>
        <w:left w:val="none" w:sz="0" w:space="0" w:color="auto"/>
        <w:bottom w:val="none" w:sz="0" w:space="0" w:color="auto"/>
        <w:right w:val="none" w:sz="0" w:space="0" w:color="auto"/>
      </w:divBdr>
    </w:div>
    <w:div w:id="741025947">
      <w:bodyDiv w:val="1"/>
      <w:marLeft w:val="0"/>
      <w:marRight w:val="0"/>
      <w:marTop w:val="0"/>
      <w:marBottom w:val="0"/>
      <w:divBdr>
        <w:top w:val="none" w:sz="0" w:space="0" w:color="auto"/>
        <w:left w:val="none" w:sz="0" w:space="0" w:color="auto"/>
        <w:bottom w:val="none" w:sz="0" w:space="0" w:color="auto"/>
        <w:right w:val="none" w:sz="0" w:space="0" w:color="auto"/>
      </w:divBdr>
    </w:div>
    <w:div w:id="741411711">
      <w:bodyDiv w:val="1"/>
      <w:marLeft w:val="0"/>
      <w:marRight w:val="0"/>
      <w:marTop w:val="0"/>
      <w:marBottom w:val="0"/>
      <w:divBdr>
        <w:top w:val="none" w:sz="0" w:space="0" w:color="auto"/>
        <w:left w:val="none" w:sz="0" w:space="0" w:color="auto"/>
        <w:bottom w:val="none" w:sz="0" w:space="0" w:color="auto"/>
        <w:right w:val="none" w:sz="0" w:space="0" w:color="auto"/>
      </w:divBdr>
    </w:div>
    <w:div w:id="743988389">
      <w:bodyDiv w:val="1"/>
      <w:marLeft w:val="0"/>
      <w:marRight w:val="0"/>
      <w:marTop w:val="0"/>
      <w:marBottom w:val="0"/>
      <w:divBdr>
        <w:top w:val="none" w:sz="0" w:space="0" w:color="auto"/>
        <w:left w:val="none" w:sz="0" w:space="0" w:color="auto"/>
        <w:bottom w:val="none" w:sz="0" w:space="0" w:color="auto"/>
        <w:right w:val="none" w:sz="0" w:space="0" w:color="auto"/>
      </w:divBdr>
    </w:div>
    <w:div w:id="744690741">
      <w:bodyDiv w:val="1"/>
      <w:marLeft w:val="0"/>
      <w:marRight w:val="0"/>
      <w:marTop w:val="0"/>
      <w:marBottom w:val="0"/>
      <w:divBdr>
        <w:top w:val="none" w:sz="0" w:space="0" w:color="auto"/>
        <w:left w:val="none" w:sz="0" w:space="0" w:color="auto"/>
        <w:bottom w:val="none" w:sz="0" w:space="0" w:color="auto"/>
        <w:right w:val="none" w:sz="0" w:space="0" w:color="auto"/>
      </w:divBdr>
    </w:div>
    <w:div w:id="745227767">
      <w:bodyDiv w:val="1"/>
      <w:marLeft w:val="0"/>
      <w:marRight w:val="0"/>
      <w:marTop w:val="0"/>
      <w:marBottom w:val="0"/>
      <w:divBdr>
        <w:top w:val="none" w:sz="0" w:space="0" w:color="auto"/>
        <w:left w:val="none" w:sz="0" w:space="0" w:color="auto"/>
        <w:bottom w:val="none" w:sz="0" w:space="0" w:color="auto"/>
        <w:right w:val="none" w:sz="0" w:space="0" w:color="auto"/>
      </w:divBdr>
    </w:div>
    <w:div w:id="754546785">
      <w:bodyDiv w:val="1"/>
      <w:marLeft w:val="0"/>
      <w:marRight w:val="0"/>
      <w:marTop w:val="0"/>
      <w:marBottom w:val="0"/>
      <w:divBdr>
        <w:top w:val="none" w:sz="0" w:space="0" w:color="auto"/>
        <w:left w:val="none" w:sz="0" w:space="0" w:color="auto"/>
        <w:bottom w:val="none" w:sz="0" w:space="0" w:color="auto"/>
        <w:right w:val="none" w:sz="0" w:space="0" w:color="auto"/>
      </w:divBdr>
    </w:div>
    <w:div w:id="755977484">
      <w:bodyDiv w:val="1"/>
      <w:marLeft w:val="0"/>
      <w:marRight w:val="0"/>
      <w:marTop w:val="0"/>
      <w:marBottom w:val="0"/>
      <w:divBdr>
        <w:top w:val="none" w:sz="0" w:space="0" w:color="auto"/>
        <w:left w:val="none" w:sz="0" w:space="0" w:color="auto"/>
        <w:bottom w:val="none" w:sz="0" w:space="0" w:color="auto"/>
        <w:right w:val="none" w:sz="0" w:space="0" w:color="auto"/>
      </w:divBdr>
    </w:div>
    <w:div w:id="770470286">
      <w:bodyDiv w:val="1"/>
      <w:marLeft w:val="0"/>
      <w:marRight w:val="0"/>
      <w:marTop w:val="0"/>
      <w:marBottom w:val="0"/>
      <w:divBdr>
        <w:top w:val="none" w:sz="0" w:space="0" w:color="auto"/>
        <w:left w:val="none" w:sz="0" w:space="0" w:color="auto"/>
        <w:bottom w:val="none" w:sz="0" w:space="0" w:color="auto"/>
        <w:right w:val="none" w:sz="0" w:space="0" w:color="auto"/>
      </w:divBdr>
    </w:div>
    <w:div w:id="771433173">
      <w:bodyDiv w:val="1"/>
      <w:marLeft w:val="0"/>
      <w:marRight w:val="0"/>
      <w:marTop w:val="0"/>
      <w:marBottom w:val="0"/>
      <w:divBdr>
        <w:top w:val="none" w:sz="0" w:space="0" w:color="auto"/>
        <w:left w:val="none" w:sz="0" w:space="0" w:color="auto"/>
        <w:bottom w:val="none" w:sz="0" w:space="0" w:color="auto"/>
        <w:right w:val="none" w:sz="0" w:space="0" w:color="auto"/>
      </w:divBdr>
    </w:div>
    <w:div w:id="773328814">
      <w:bodyDiv w:val="1"/>
      <w:marLeft w:val="0"/>
      <w:marRight w:val="0"/>
      <w:marTop w:val="0"/>
      <w:marBottom w:val="0"/>
      <w:divBdr>
        <w:top w:val="none" w:sz="0" w:space="0" w:color="auto"/>
        <w:left w:val="none" w:sz="0" w:space="0" w:color="auto"/>
        <w:bottom w:val="none" w:sz="0" w:space="0" w:color="auto"/>
        <w:right w:val="none" w:sz="0" w:space="0" w:color="auto"/>
      </w:divBdr>
    </w:div>
    <w:div w:id="780807418">
      <w:bodyDiv w:val="1"/>
      <w:marLeft w:val="0"/>
      <w:marRight w:val="0"/>
      <w:marTop w:val="0"/>
      <w:marBottom w:val="0"/>
      <w:divBdr>
        <w:top w:val="none" w:sz="0" w:space="0" w:color="auto"/>
        <w:left w:val="none" w:sz="0" w:space="0" w:color="auto"/>
        <w:bottom w:val="none" w:sz="0" w:space="0" w:color="auto"/>
        <w:right w:val="none" w:sz="0" w:space="0" w:color="auto"/>
      </w:divBdr>
    </w:div>
    <w:div w:id="786200728">
      <w:bodyDiv w:val="1"/>
      <w:marLeft w:val="0"/>
      <w:marRight w:val="0"/>
      <w:marTop w:val="0"/>
      <w:marBottom w:val="0"/>
      <w:divBdr>
        <w:top w:val="none" w:sz="0" w:space="0" w:color="auto"/>
        <w:left w:val="none" w:sz="0" w:space="0" w:color="auto"/>
        <w:bottom w:val="none" w:sz="0" w:space="0" w:color="auto"/>
        <w:right w:val="none" w:sz="0" w:space="0" w:color="auto"/>
      </w:divBdr>
    </w:div>
    <w:div w:id="786508200">
      <w:bodyDiv w:val="1"/>
      <w:marLeft w:val="0"/>
      <w:marRight w:val="0"/>
      <w:marTop w:val="0"/>
      <w:marBottom w:val="0"/>
      <w:divBdr>
        <w:top w:val="none" w:sz="0" w:space="0" w:color="auto"/>
        <w:left w:val="none" w:sz="0" w:space="0" w:color="auto"/>
        <w:bottom w:val="none" w:sz="0" w:space="0" w:color="auto"/>
        <w:right w:val="none" w:sz="0" w:space="0" w:color="auto"/>
      </w:divBdr>
    </w:div>
    <w:div w:id="788082829">
      <w:bodyDiv w:val="1"/>
      <w:marLeft w:val="0"/>
      <w:marRight w:val="0"/>
      <w:marTop w:val="0"/>
      <w:marBottom w:val="0"/>
      <w:divBdr>
        <w:top w:val="none" w:sz="0" w:space="0" w:color="auto"/>
        <w:left w:val="none" w:sz="0" w:space="0" w:color="auto"/>
        <w:bottom w:val="none" w:sz="0" w:space="0" w:color="auto"/>
        <w:right w:val="none" w:sz="0" w:space="0" w:color="auto"/>
      </w:divBdr>
    </w:div>
    <w:div w:id="788743661">
      <w:bodyDiv w:val="1"/>
      <w:marLeft w:val="0"/>
      <w:marRight w:val="0"/>
      <w:marTop w:val="0"/>
      <w:marBottom w:val="0"/>
      <w:divBdr>
        <w:top w:val="none" w:sz="0" w:space="0" w:color="auto"/>
        <w:left w:val="none" w:sz="0" w:space="0" w:color="auto"/>
        <w:bottom w:val="none" w:sz="0" w:space="0" w:color="auto"/>
        <w:right w:val="none" w:sz="0" w:space="0" w:color="auto"/>
      </w:divBdr>
    </w:div>
    <w:div w:id="797338073">
      <w:bodyDiv w:val="1"/>
      <w:marLeft w:val="0"/>
      <w:marRight w:val="0"/>
      <w:marTop w:val="0"/>
      <w:marBottom w:val="0"/>
      <w:divBdr>
        <w:top w:val="none" w:sz="0" w:space="0" w:color="auto"/>
        <w:left w:val="none" w:sz="0" w:space="0" w:color="auto"/>
        <w:bottom w:val="none" w:sz="0" w:space="0" w:color="auto"/>
        <w:right w:val="none" w:sz="0" w:space="0" w:color="auto"/>
      </w:divBdr>
    </w:div>
    <w:div w:id="800610706">
      <w:bodyDiv w:val="1"/>
      <w:marLeft w:val="0"/>
      <w:marRight w:val="0"/>
      <w:marTop w:val="0"/>
      <w:marBottom w:val="0"/>
      <w:divBdr>
        <w:top w:val="none" w:sz="0" w:space="0" w:color="auto"/>
        <w:left w:val="none" w:sz="0" w:space="0" w:color="auto"/>
        <w:bottom w:val="none" w:sz="0" w:space="0" w:color="auto"/>
        <w:right w:val="none" w:sz="0" w:space="0" w:color="auto"/>
      </w:divBdr>
    </w:div>
    <w:div w:id="800801433">
      <w:bodyDiv w:val="1"/>
      <w:marLeft w:val="0"/>
      <w:marRight w:val="0"/>
      <w:marTop w:val="0"/>
      <w:marBottom w:val="0"/>
      <w:divBdr>
        <w:top w:val="none" w:sz="0" w:space="0" w:color="auto"/>
        <w:left w:val="none" w:sz="0" w:space="0" w:color="auto"/>
        <w:bottom w:val="none" w:sz="0" w:space="0" w:color="auto"/>
        <w:right w:val="none" w:sz="0" w:space="0" w:color="auto"/>
      </w:divBdr>
    </w:div>
    <w:div w:id="803811074">
      <w:bodyDiv w:val="1"/>
      <w:marLeft w:val="0"/>
      <w:marRight w:val="0"/>
      <w:marTop w:val="0"/>
      <w:marBottom w:val="0"/>
      <w:divBdr>
        <w:top w:val="none" w:sz="0" w:space="0" w:color="auto"/>
        <w:left w:val="none" w:sz="0" w:space="0" w:color="auto"/>
        <w:bottom w:val="none" w:sz="0" w:space="0" w:color="auto"/>
        <w:right w:val="none" w:sz="0" w:space="0" w:color="auto"/>
      </w:divBdr>
    </w:div>
    <w:div w:id="807555582">
      <w:bodyDiv w:val="1"/>
      <w:marLeft w:val="0"/>
      <w:marRight w:val="0"/>
      <w:marTop w:val="0"/>
      <w:marBottom w:val="0"/>
      <w:divBdr>
        <w:top w:val="none" w:sz="0" w:space="0" w:color="auto"/>
        <w:left w:val="none" w:sz="0" w:space="0" w:color="auto"/>
        <w:bottom w:val="none" w:sz="0" w:space="0" w:color="auto"/>
        <w:right w:val="none" w:sz="0" w:space="0" w:color="auto"/>
      </w:divBdr>
    </w:div>
    <w:div w:id="819808341">
      <w:bodyDiv w:val="1"/>
      <w:marLeft w:val="0"/>
      <w:marRight w:val="0"/>
      <w:marTop w:val="0"/>
      <w:marBottom w:val="0"/>
      <w:divBdr>
        <w:top w:val="none" w:sz="0" w:space="0" w:color="auto"/>
        <w:left w:val="none" w:sz="0" w:space="0" w:color="auto"/>
        <w:bottom w:val="none" w:sz="0" w:space="0" w:color="auto"/>
        <w:right w:val="none" w:sz="0" w:space="0" w:color="auto"/>
      </w:divBdr>
    </w:div>
    <w:div w:id="821310355">
      <w:bodyDiv w:val="1"/>
      <w:marLeft w:val="0"/>
      <w:marRight w:val="0"/>
      <w:marTop w:val="0"/>
      <w:marBottom w:val="0"/>
      <w:divBdr>
        <w:top w:val="none" w:sz="0" w:space="0" w:color="auto"/>
        <w:left w:val="none" w:sz="0" w:space="0" w:color="auto"/>
        <w:bottom w:val="none" w:sz="0" w:space="0" w:color="auto"/>
        <w:right w:val="none" w:sz="0" w:space="0" w:color="auto"/>
      </w:divBdr>
    </w:div>
    <w:div w:id="821656177">
      <w:bodyDiv w:val="1"/>
      <w:marLeft w:val="0"/>
      <w:marRight w:val="0"/>
      <w:marTop w:val="0"/>
      <w:marBottom w:val="0"/>
      <w:divBdr>
        <w:top w:val="none" w:sz="0" w:space="0" w:color="auto"/>
        <w:left w:val="none" w:sz="0" w:space="0" w:color="auto"/>
        <w:bottom w:val="none" w:sz="0" w:space="0" w:color="auto"/>
        <w:right w:val="none" w:sz="0" w:space="0" w:color="auto"/>
      </w:divBdr>
    </w:div>
    <w:div w:id="821847108">
      <w:bodyDiv w:val="1"/>
      <w:marLeft w:val="0"/>
      <w:marRight w:val="0"/>
      <w:marTop w:val="0"/>
      <w:marBottom w:val="0"/>
      <w:divBdr>
        <w:top w:val="none" w:sz="0" w:space="0" w:color="auto"/>
        <w:left w:val="none" w:sz="0" w:space="0" w:color="auto"/>
        <w:bottom w:val="none" w:sz="0" w:space="0" w:color="auto"/>
        <w:right w:val="none" w:sz="0" w:space="0" w:color="auto"/>
      </w:divBdr>
    </w:div>
    <w:div w:id="825584477">
      <w:bodyDiv w:val="1"/>
      <w:marLeft w:val="0"/>
      <w:marRight w:val="0"/>
      <w:marTop w:val="0"/>
      <w:marBottom w:val="0"/>
      <w:divBdr>
        <w:top w:val="none" w:sz="0" w:space="0" w:color="auto"/>
        <w:left w:val="none" w:sz="0" w:space="0" w:color="auto"/>
        <w:bottom w:val="none" w:sz="0" w:space="0" w:color="auto"/>
        <w:right w:val="none" w:sz="0" w:space="0" w:color="auto"/>
      </w:divBdr>
    </w:div>
    <w:div w:id="830491262">
      <w:bodyDiv w:val="1"/>
      <w:marLeft w:val="0"/>
      <w:marRight w:val="0"/>
      <w:marTop w:val="0"/>
      <w:marBottom w:val="0"/>
      <w:divBdr>
        <w:top w:val="none" w:sz="0" w:space="0" w:color="auto"/>
        <w:left w:val="none" w:sz="0" w:space="0" w:color="auto"/>
        <w:bottom w:val="none" w:sz="0" w:space="0" w:color="auto"/>
        <w:right w:val="none" w:sz="0" w:space="0" w:color="auto"/>
      </w:divBdr>
    </w:div>
    <w:div w:id="831021851">
      <w:bodyDiv w:val="1"/>
      <w:marLeft w:val="0"/>
      <w:marRight w:val="0"/>
      <w:marTop w:val="0"/>
      <w:marBottom w:val="0"/>
      <w:divBdr>
        <w:top w:val="none" w:sz="0" w:space="0" w:color="auto"/>
        <w:left w:val="none" w:sz="0" w:space="0" w:color="auto"/>
        <w:bottom w:val="none" w:sz="0" w:space="0" w:color="auto"/>
        <w:right w:val="none" w:sz="0" w:space="0" w:color="auto"/>
      </w:divBdr>
    </w:div>
    <w:div w:id="831146564">
      <w:bodyDiv w:val="1"/>
      <w:marLeft w:val="0"/>
      <w:marRight w:val="0"/>
      <w:marTop w:val="0"/>
      <w:marBottom w:val="0"/>
      <w:divBdr>
        <w:top w:val="none" w:sz="0" w:space="0" w:color="auto"/>
        <w:left w:val="none" w:sz="0" w:space="0" w:color="auto"/>
        <w:bottom w:val="none" w:sz="0" w:space="0" w:color="auto"/>
        <w:right w:val="none" w:sz="0" w:space="0" w:color="auto"/>
      </w:divBdr>
    </w:div>
    <w:div w:id="831944450">
      <w:bodyDiv w:val="1"/>
      <w:marLeft w:val="0"/>
      <w:marRight w:val="0"/>
      <w:marTop w:val="0"/>
      <w:marBottom w:val="0"/>
      <w:divBdr>
        <w:top w:val="none" w:sz="0" w:space="0" w:color="auto"/>
        <w:left w:val="none" w:sz="0" w:space="0" w:color="auto"/>
        <w:bottom w:val="none" w:sz="0" w:space="0" w:color="auto"/>
        <w:right w:val="none" w:sz="0" w:space="0" w:color="auto"/>
      </w:divBdr>
    </w:div>
    <w:div w:id="831988044">
      <w:bodyDiv w:val="1"/>
      <w:marLeft w:val="0"/>
      <w:marRight w:val="0"/>
      <w:marTop w:val="0"/>
      <w:marBottom w:val="0"/>
      <w:divBdr>
        <w:top w:val="none" w:sz="0" w:space="0" w:color="auto"/>
        <w:left w:val="none" w:sz="0" w:space="0" w:color="auto"/>
        <w:bottom w:val="none" w:sz="0" w:space="0" w:color="auto"/>
        <w:right w:val="none" w:sz="0" w:space="0" w:color="auto"/>
      </w:divBdr>
    </w:div>
    <w:div w:id="834802256">
      <w:bodyDiv w:val="1"/>
      <w:marLeft w:val="0"/>
      <w:marRight w:val="0"/>
      <w:marTop w:val="0"/>
      <w:marBottom w:val="0"/>
      <w:divBdr>
        <w:top w:val="none" w:sz="0" w:space="0" w:color="auto"/>
        <w:left w:val="none" w:sz="0" w:space="0" w:color="auto"/>
        <w:bottom w:val="none" w:sz="0" w:space="0" w:color="auto"/>
        <w:right w:val="none" w:sz="0" w:space="0" w:color="auto"/>
      </w:divBdr>
    </w:div>
    <w:div w:id="834883594">
      <w:bodyDiv w:val="1"/>
      <w:marLeft w:val="0"/>
      <w:marRight w:val="0"/>
      <w:marTop w:val="0"/>
      <w:marBottom w:val="0"/>
      <w:divBdr>
        <w:top w:val="none" w:sz="0" w:space="0" w:color="auto"/>
        <w:left w:val="none" w:sz="0" w:space="0" w:color="auto"/>
        <w:bottom w:val="none" w:sz="0" w:space="0" w:color="auto"/>
        <w:right w:val="none" w:sz="0" w:space="0" w:color="auto"/>
      </w:divBdr>
    </w:div>
    <w:div w:id="837892586">
      <w:bodyDiv w:val="1"/>
      <w:marLeft w:val="0"/>
      <w:marRight w:val="0"/>
      <w:marTop w:val="0"/>
      <w:marBottom w:val="0"/>
      <w:divBdr>
        <w:top w:val="none" w:sz="0" w:space="0" w:color="auto"/>
        <w:left w:val="none" w:sz="0" w:space="0" w:color="auto"/>
        <w:bottom w:val="none" w:sz="0" w:space="0" w:color="auto"/>
        <w:right w:val="none" w:sz="0" w:space="0" w:color="auto"/>
      </w:divBdr>
    </w:div>
    <w:div w:id="843783851">
      <w:bodyDiv w:val="1"/>
      <w:marLeft w:val="0"/>
      <w:marRight w:val="0"/>
      <w:marTop w:val="0"/>
      <w:marBottom w:val="0"/>
      <w:divBdr>
        <w:top w:val="none" w:sz="0" w:space="0" w:color="auto"/>
        <w:left w:val="none" w:sz="0" w:space="0" w:color="auto"/>
        <w:bottom w:val="none" w:sz="0" w:space="0" w:color="auto"/>
        <w:right w:val="none" w:sz="0" w:space="0" w:color="auto"/>
      </w:divBdr>
    </w:div>
    <w:div w:id="846600043">
      <w:bodyDiv w:val="1"/>
      <w:marLeft w:val="0"/>
      <w:marRight w:val="0"/>
      <w:marTop w:val="0"/>
      <w:marBottom w:val="0"/>
      <w:divBdr>
        <w:top w:val="none" w:sz="0" w:space="0" w:color="auto"/>
        <w:left w:val="none" w:sz="0" w:space="0" w:color="auto"/>
        <w:bottom w:val="none" w:sz="0" w:space="0" w:color="auto"/>
        <w:right w:val="none" w:sz="0" w:space="0" w:color="auto"/>
      </w:divBdr>
    </w:div>
    <w:div w:id="849181713">
      <w:bodyDiv w:val="1"/>
      <w:marLeft w:val="0"/>
      <w:marRight w:val="0"/>
      <w:marTop w:val="0"/>
      <w:marBottom w:val="0"/>
      <w:divBdr>
        <w:top w:val="none" w:sz="0" w:space="0" w:color="auto"/>
        <w:left w:val="none" w:sz="0" w:space="0" w:color="auto"/>
        <w:bottom w:val="none" w:sz="0" w:space="0" w:color="auto"/>
        <w:right w:val="none" w:sz="0" w:space="0" w:color="auto"/>
      </w:divBdr>
    </w:div>
    <w:div w:id="849488941">
      <w:bodyDiv w:val="1"/>
      <w:marLeft w:val="0"/>
      <w:marRight w:val="0"/>
      <w:marTop w:val="0"/>
      <w:marBottom w:val="0"/>
      <w:divBdr>
        <w:top w:val="none" w:sz="0" w:space="0" w:color="auto"/>
        <w:left w:val="none" w:sz="0" w:space="0" w:color="auto"/>
        <w:bottom w:val="none" w:sz="0" w:space="0" w:color="auto"/>
        <w:right w:val="none" w:sz="0" w:space="0" w:color="auto"/>
      </w:divBdr>
    </w:div>
    <w:div w:id="850530695">
      <w:bodyDiv w:val="1"/>
      <w:marLeft w:val="0"/>
      <w:marRight w:val="0"/>
      <w:marTop w:val="0"/>
      <w:marBottom w:val="0"/>
      <w:divBdr>
        <w:top w:val="none" w:sz="0" w:space="0" w:color="auto"/>
        <w:left w:val="none" w:sz="0" w:space="0" w:color="auto"/>
        <w:bottom w:val="none" w:sz="0" w:space="0" w:color="auto"/>
        <w:right w:val="none" w:sz="0" w:space="0" w:color="auto"/>
      </w:divBdr>
    </w:div>
    <w:div w:id="866526919">
      <w:bodyDiv w:val="1"/>
      <w:marLeft w:val="0"/>
      <w:marRight w:val="0"/>
      <w:marTop w:val="0"/>
      <w:marBottom w:val="0"/>
      <w:divBdr>
        <w:top w:val="none" w:sz="0" w:space="0" w:color="auto"/>
        <w:left w:val="none" w:sz="0" w:space="0" w:color="auto"/>
        <w:bottom w:val="none" w:sz="0" w:space="0" w:color="auto"/>
        <w:right w:val="none" w:sz="0" w:space="0" w:color="auto"/>
      </w:divBdr>
    </w:div>
    <w:div w:id="869420776">
      <w:bodyDiv w:val="1"/>
      <w:marLeft w:val="0"/>
      <w:marRight w:val="0"/>
      <w:marTop w:val="0"/>
      <w:marBottom w:val="0"/>
      <w:divBdr>
        <w:top w:val="none" w:sz="0" w:space="0" w:color="auto"/>
        <w:left w:val="none" w:sz="0" w:space="0" w:color="auto"/>
        <w:bottom w:val="none" w:sz="0" w:space="0" w:color="auto"/>
        <w:right w:val="none" w:sz="0" w:space="0" w:color="auto"/>
      </w:divBdr>
    </w:div>
    <w:div w:id="872771526">
      <w:bodyDiv w:val="1"/>
      <w:marLeft w:val="0"/>
      <w:marRight w:val="0"/>
      <w:marTop w:val="0"/>
      <w:marBottom w:val="0"/>
      <w:divBdr>
        <w:top w:val="none" w:sz="0" w:space="0" w:color="auto"/>
        <w:left w:val="none" w:sz="0" w:space="0" w:color="auto"/>
        <w:bottom w:val="none" w:sz="0" w:space="0" w:color="auto"/>
        <w:right w:val="none" w:sz="0" w:space="0" w:color="auto"/>
      </w:divBdr>
    </w:div>
    <w:div w:id="874122238">
      <w:bodyDiv w:val="1"/>
      <w:marLeft w:val="0"/>
      <w:marRight w:val="0"/>
      <w:marTop w:val="0"/>
      <w:marBottom w:val="0"/>
      <w:divBdr>
        <w:top w:val="none" w:sz="0" w:space="0" w:color="auto"/>
        <w:left w:val="none" w:sz="0" w:space="0" w:color="auto"/>
        <w:bottom w:val="none" w:sz="0" w:space="0" w:color="auto"/>
        <w:right w:val="none" w:sz="0" w:space="0" w:color="auto"/>
      </w:divBdr>
    </w:div>
    <w:div w:id="877935685">
      <w:bodyDiv w:val="1"/>
      <w:marLeft w:val="0"/>
      <w:marRight w:val="0"/>
      <w:marTop w:val="0"/>
      <w:marBottom w:val="0"/>
      <w:divBdr>
        <w:top w:val="none" w:sz="0" w:space="0" w:color="auto"/>
        <w:left w:val="none" w:sz="0" w:space="0" w:color="auto"/>
        <w:bottom w:val="none" w:sz="0" w:space="0" w:color="auto"/>
        <w:right w:val="none" w:sz="0" w:space="0" w:color="auto"/>
      </w:divBdr>
    </w:div>
    <w:div w:id="878325662">
      <w:bodyDiv w:val="1"/>
      <w:marLeft w:val="0"/>
      <w:marRight w:val="0"/>
      <w:marTop w:val="0"/>
      <w:marBottom w:val="0"/>
      <w:divBdr>
        <w:top w:val="none" w:sz="0" w:space="0" w:color="auto"/>
        <w:left w:val="none" w:sz="0" w:space="0" w:color="auto"/>
        <w:bottom w:val="none" w:sz="0" w:space="0" w:color="auto"/>
        <w:right w:val="none" w:sz="0" w:space="0" w:color="auto"/>
      </w:divBdr>
    </w:div>
    <w:div w:id="878475386">
      <w:bodyDiv w:val="1"/>
      <w:marLeft w:val="0"/>
      <w:marRight w:val="0"/>
      <w:marTop w:val="0"/>
      <w:marBottom w:val="0"/>
      <w:divBdr>
        <w:top w:val="none" w:sz="0" w:space="0" w:color="auto"/>
        <w:left w:val="none" w:sz="0" w:space="0" w:color="auto"/>
        <w:bottom w:val="none" w:sz="0" w:space="0" w:color="auto"/>
        <w:right w:val="none" w:sz="0" w:space="0" w:color="auto"/>
      </w:divBdr>
    </w:div>
    <w:div w:id="886458108">
      <w:bodyDiv w:val="1"/>
      <w:marLeft w:val="0"/>
      <w:marRight w:val="0"/>
      <w:marTop w:val="0"/>
      <w:marBottom w:val="0"/>
      <w:divBdr>
        <w:top w:val="none" w:sz="0" w:space="0" w:color="auto"/>
        <w:left w:val="none" w:sz="0" w:space="0" w:color="auto"/>
        <w:bottom w:val="none" w:sz="0" w:space="0" w:color="auto"/>
        <w:right w:val="none" w:sz="0" w:space="0" w:color="auto"/>
      </w:divBdr>
    </w:div>
    <w:div w:id="889344648">
      <w:bodyDiv w:val="1"/>
      <w:marLeft w:val="0"/>
      <w:marRight w:val="0"/>
      <w:marTop w:val="0"/>
      <w:marBottom w:val="0"/>
      <w:divBdr>
        <w:top w:val="none" w:sz="0" w:space="0" w:color="auto"/>
        <w:left w:val="none" w:sz="0" w:space="0" w:color="auto"/>
        <w:bottom w:val="none" w:sz="0" w:space="0" w:color="auto"/>
        <w:right w:val="none" w:sz="0" w:space="0" w:color="auto"/>
      </w:divBdr>
    </w:div>
    <w:div w:id="891188436">
      <w:bodyDiv w:val="1"/>
      <w:marLeft w:val="0"/>
      <w:marRight w:val="0"/>
      <w:marTop w:val="0"/>
      <w:marBottom w:val="0"/>
      <w:divBdr>
        <w:top w:val="none" w:sz="0" w:space="0" w:color="auto"/>
        <w:left w:val="none" w:sz="0" w:space="0" w:color="auto"/>
        <w:bottom w:val="none" w:sz="0" w:space="0" w:color="auto"/>
        <w:right w:val="none" w:sz="0" w:space="0" w:color="auto"/>
      </w:divBdr>
    </w:div>
    <w:div w:id="894462438">
      <w:bodyDiv w:val="1"/>
      <w:marLeft w:val="0"/>
      <w:marRight w:val="0"/>
      <w:marTop w:val="0"/>
      <w:marBottom w:val="0"/>
      <w:divBdr>
        <w:top w:val="none" w:sz="0" w:space="0" w:color="auto"/>
        <w:left w:val="none" w:sz="0" w:space="0" w:color="auto"/>
        <w:bottom w:val="none" w:sz="0" w:space="0" w:color="auto"/>
        <w:right w:val="none" w:sz="0" w:space="0" w:color="auto"/>
      </w:divBdr>
    </w:div>
    <w:div w:id="903028914">
      <w:bodyDiv w:val="1"/>
      <w:marLeft w:val="0"/>
      <w:marRight w:val="0"/>
      <w:marTop w:val="0"/>
      <w:marBottom w:val="0"/>
      <w:divBdr>
        <w:top w:val="none" w:sz="0" w:space="0" w:color="auto"/>
        <w:left w:val="none" w:sz="0" w:space="0" w:color="auto"/>
        <w:bottom w:val="none" w:sz="0" w:space="0" w:color="auto"/>
        <w:right w:val="none" w:sz="0" w:space="0" w:color="auto"/>
      </w:divBdr>
    </w:div>
    <w:div w:id="904140591">
      <w:bodyDiv w:val="1"/>
      <w:marLeft w:val="0"/>
      <w:marRight w:val="0"/>
      <w:marTop w:val="0"/>
      <w:marBottom w:val="0"/>
      <w:divBdr>
        <w:top w:val="none" w:sz="0" w:space="0" w:color="auto"/>
        <w:left w:val="none" w:sz="0" w:space="0" w:color="auto"/>
        <w:bottom w:val="none" w:sz="0" w:space="0" w:color="auto"/>
        <w:right w:val="none" w:sz="0" w:space="0" w:color="auto"/>
      </w:divBdr>
    </w:div>
    <w:div w:id="905191226">
      <w:bodyDiv w:val="1"/>
      <w:marLeft w:val="0"/>
      <w:marRight w:val="0"/>
      <w:marTop w:val="0"/>
      <w:marBottom w:val="0"/>
      <w:divBdr>
        <w:top w:val="none" w:sz="0" w:space="0" w:color="auto"/>
        <w:left w:val="none" w:sz="0" w:space="0" w:color="auto"/>
        <w:bottom w:val="none" w:sz="0" w:space="0" w:color="auto"/>
        <w:right w:val="none" w:sz="0" w:space="0" w:color="auto"/>
      </w:divBdr>
    </w:div>
    <w:div w:id="917403623">
      <w:bodyDiv w:val="1"/>
      <w:marLeft w:val="0"/>
      <w:marRight w:val="0"/>
      <w:marTop w:val="0"/>
      <w:marBottom w:val="0"/>
      <w:divBdr>
        <w:top w:val="none" w:sz="0" w:space="0" w:color="auto"/>
        <w:left w:val="none" w:sz="0" w:space="0" w:color="auto"/>
        <w:bottom w:val="none" w:sz="0" w:space="0" w:color="auto"/>
        <w:right w:val="none" w:sz="0" w:space="0" w:color="auto"/>
      </w:divBdr>
    </w:div>
    <w:div w:id="922909172">
      <w:bodyDiv w:val="1"/>
      <w:marLeft w:val="0"/>
      <w:marRight w:val="0"/>
      <w:marTop w:val="0"/>
      <w:marBottom w:val="0"/>
      <w:divBdr>
        <w:top w:val="none" w:sz="0" w:space="0" w:color="auto"/>
        <w:left w:val="none" w:sz="0" w:space="0" w:color="auto"/>
        <w:bottom w:val="none" w:sz="0" w:space="0" w:color="auto"/>
        <w:right w:val="none" w:sz="0" w:space="0" w:color="auto"/>
      </w:divBdr>
    </w:div>
    <w:div w:id="923955207">
      <w:bodyDiv w:val="1"/>
      <w:marLeft w:val="0"/>
      <w:marRight w:val="0"/>
      <w:marTop w:val="0"/>
      <w:marBottom w:val="0"/>
      <w:divBdr>
        <w:top w:val="none" w:sz="0" w:space="0" w:color="auto"/>
        <w:left w:val="none" w:sz="0" w:space="0" w:color="auto"/>
        <w:bottom w:val="none" w:sz="0" w:space="0" w:color="auto"/>
        <w:right w:val="none" w:sz="0" w:space="0" w:color="auto"/>
      </w:divBdr>
    </w:div>
    <w:div w:id="925846615">
      <w:bodyDiv w:val="1"/>
      <w:marLeft w:val="0"/>
      <w:marRight w:val="0"/>
      <w:marTop w:val="0"/>
      <w:marBottom w:val="0"/>
      <w:divBdr>
        <w:top w:val="none" w:sz="0" w:space="0" w:color="auto"/>
        <w:left w:val="none" w:sz="0" w:space="0" w:color="auto"/>
        <w:bottom w:val="none" w:sz="0" w:space="0" w:color="auto"/>
        <w:right w:val="none" w:sz="0" w:space="0" w:color="auto"/>
      </w:divBdr>
    </w:div>
    <w:div w:id="946424686">
      <w:bodyDiv w:val="1"/>
      <w:marLeft w:val="0"/>
      <w:marRight w:val="0"/>
      <w:marTop w:val="0"/>
      <w:marBottom w:val="0"/>
      <w:divBdr>
        <w:top w:val="none" w:sz="0" w:space="0" w:color="auto"/>
        <w:left w:val="none" w:sz="0" w:space="0" w:color="auto"/>
        <w:bottom w:val="none" w:sz="0" w:space="0" w:color="auto"/>
        <w:right w:val="none" w:sz="0" w:space="0" w:color="auto"/>
      </w:divBdr>
    </w:div>
    <w:div w:id="946693489">
      <w:bodyDiv w:val="1"/>
      <w:marLeft w:val="0"/>
      <w:marRight w:val="0"/>
      <w:marTop w:val="0"/>
      <w:marBottom w:val="0"/>
      <w:divBdr>
        <w:top w:val="none" w:sz="0" w:space="0" w:color="auto"/>
        <w:left w:val="none" w:sz="0" w:space="0" w:color="auto"/>
        <w:bottom w:val="none" w:sz="0" w:space="0" w:color="auto"/>
        <w:right w:val="none" w:sz="0" w:space="0" w:color="auto"/>
      </w:divBdr>
    </w:div>
    <w:div w:id="947352995">
      <w:bodyDiv w:val="1"/>
      <w:marLeft w:val="0"/>
      <w:marRight w:val="0"/>
      <w:marTop w:val="0"/>
      <w:marBottom w:val="0"/>
      <w:divBdr>
        <w:top w:val="none" w:sz="0" w:space="0" w:color="auto"/>
        <w:left w:val="none" w:sz="0" w:space="0" w:color="auto"/>
        <w:bottom w:val="none" w:sz="0" w:space="0" w:color="auto"/>
        <w:right w:val="none" w:sz="0" w:space="0" w:color="auto"/>
      </w:divBdr>
    </w:div>
    <w:div w:id="952908466">
      <w:bodyDiv w:val="1"/>
      <w:marLeft w:val="0"/>
      <w:marRight w:val="0"/>
      <w:marTop w:val="0"/>
      <w:marBottom w:val="0"/>
      <w:divBdr>
        <w:top w:val="none" w:sz="0" w:space="0" w:color="auto"/>
        <w:left w:val="none" w:sz="0" w:space="0" w:color="auto"/>
        <w:bottom w:val="none" w:sz="0" w:space="0" w:color="auto"/>
        <w:right w:val="none" w:sz="0" w:space="0" w:color="auto"/>
      </w:divBdr>
    </w:div>
    <w:div w:id="954870887">
      <w:bodyDiv w:val="1"/>
      <w:marLeft w:val="0"/>
      <w:marRight w:val="0"/>
      <w:marTop w:val="0"/>
      <w:marBottom w:val="0"/>
      <w:divBdr>
        <w:top w:val="none" w:sz="0" w:space="0" w:color="auto"/>
        <w:left w:val="none" w:sz="0" w:space="0" w:color="auto"/>
        <w:bottom w:val="none" w:sz="0" w:space="0" w:color="auto"/>
        <w:right w:val="none" w:sz="0" w:space="0" w:color="auto"/>
      </w:divBdr>
    </w:div>
    <w:div w:id="955599322">
      <w:bodyDiv w:val="1"/>
      <w:marLeft w:val="0"/>
      <w:marRight w:val="0"/>
      <w:marTop w:val="0"/>
      <w:marBottom w:val="0"/>
      <w:divBdr>
        <w:top w:val="none" w:sz="0" w:space="0" w:color="auto"/>
        <w:left w:val="none" w:sz="0" w:space="0" w:color="auto"/>
        <w:bottom w:val="none" w:sz="0" w:space="0" w:color="auto"/>
        <w:right w:val="none" w:sz="0" w:space="0" w:color="auto"/>
      </w:divBdr>
    </w:div>
    <w:div w:id="959796454">
      <w:bodyDiv w:val="1"/>
      <w:marLeft w:val="0"/>
      <w:marRight w:val="0"/>
      <w:marTop w:val="0"/>
      <w:marBottom w:val="0"/>
      <w:divBdr>
        <w:top w:val="none" w:sz="0" w:space="0" w:color="auto"/>
        <w:left w:val="none" w:sz="0" w:space="0" w:color="auto"/>
        <w:bottom w:val="none" w:sz="0" w:space="0" w:color="auto"/>
        <w:right w:val="none" w:sz="0" w:space="0" w:color="auto"/>
      </w:divBdr>
    </w:div>
    <w:div w:id="964384207">
      <w:bodyDiv w:val="1"/>
      <w:marLeft w:val="0"/>
      <w:marRight w:val="0"/>
      <w:marTop w:val="0"/>
      <w:marBottom w:val="0"/>
      <w:divBdr>
        <w:top w:val="none" w:sz="0" w:space="0" w:color="auto"/>
        <w:left w:val="none" w:sz="0" w:space="0" w:color="auto"/>
        <w:bottom w:val="none" w:sz="0" w:space="0" w:color="auto"/>
        <w:right w:val="none" w:sz="0" w:space="0" w:color="auto"/>
      </w:divBdr>
    </w:div>
    <w:div w:id="973291171">
      <w:bodyDiv w:val="1"/>
      <w:marLeft w:val="0"/>
      <w:marRight w:val="0"/>
      <w:marTop w:val="0"/>
      <w:marBottom w:val="0"/>
      <w:divBdr>
        <w:top w:val="none" w:sz="0" w:space="0" w:color="auto"/>
        <w:left w:val="none" w:sz="0" w:space="0" w:color="auto"/>
        <w:bottom w:val="none" w:sz="0" w:space="0" w:color="auto"/>
        <w:right w:val="none" w:sz="0" w:space="0" w:color="auto"/>
      </w:divBdr>
    </w:div>
    <w:div w:id="974674905">
      <w:bodyDiv w:val="1"/>
      <w:marLeft w:val="0"/>
      <w:marRight w:val="0"/>
      <w:marTop w:val="0"/>
      <w:marBottom w:val="0"/>
      <w:divBdr>
        <w:top w:val="none" w:sz="0" w:space="0" w:color="auto"/>
        <w:left w:val="none" w:sz="0" w:space="0" w:color="auto"/>
        <w:bottom w:val="none" w:sz="0" w:space="0" w:color="auto"/>
        <w:right w:val="none" w:sz="0" w:space="0" w:color="auto"/>
      </w:divBdr>
    </w:div>
    <w:div w:id="985233687">
      <w:bodyDiv w:val="1"/>
      <w:marLeft w:val="0"/>
      <w:marRight w:val="0"/>
      <w:marTop w:val="0"/>
      <w:marBottom w:val="0"/>
      <w:divBdr>
        <w:top w:val="none" w:sz="0" w:space="0" w:color="auto"/>
        <w:left w:val="none" w:sz="0" w:space="0" w:color="auto"/>
        <w:bottom w:val="none" w:sz="0" w:space="0" w:color="auto"/>
        <w:right w:val="none" w:sz="0" w:space="0" w:color="auto"/>
      </w:divBdr>
    </w:div>
    <w:div w:id="989209772">
      <w:bodyDiv w:val="1"/>
      <w:marLeft w:val="0"/>
      <w:marRight w:val="0"/>
      <w:marTop w:val="0"/>
      <w:marBottom w:val="0"/>
      <w:divBdr>
        <w:top w:val="none" w:sz="0" w:space="0" w:color="auto"/>
        <w:left w:val="none" w:sz="0" w:space="0" w:color="auto"/>
        <w:bottom w:val="none" w:sz="0" w:space="0" w:color="auto"/>
        <w:right w:val="none" w:sz="0" w:space="0" w:color="auto"/>
      </w:divBdr>
    </w:div>
    <w:div w:id="997615980">
      <w:bodyDiv w:val="1"/>
      <w:marLeft w:val="0"/>
      <w:marRight w:val="0"/>
      <w:marTop w:val="0"/>
      <w:marBottom w:val="0"/>
      <w:divBdr>
        <w:top w:val="none" w:sz="0" w:space="0" w:color="auto"/>
        <w:left w:val="none" w:sz="0" w:space="0" w:color="auto"/>
        <w:bottom w:val="none" w:sz="0" w:space="0" w:color="auto"/>
        <w:right w:val="none" w:sz="0" w:space="0" w:color="auto"/>
      </w:divBdr>
    </w:div>
    <w:div w:id="998458151">
      <w:bodyDiv w:val="1"/>
      <w:marLeft w:val="0"/>
      <w:marRight w:val="0"/>
      <w:marTop w:val="0"/>
      <w:marBottom w:val="0"/>
      <w:divBdr>
        <w:top w:val="none" w:sz="0" w:space="0" w:color="auto"/>
        <w:left w:val="none" w:sz="0" w:space="0" w:color="auto"/>
        <w:bottom w:val="none" w:sz="0" w:space="0" w:color="auto"/>
        <w:right w:val="none" w:sz="0" w:space="0" w:color="auto"/>
      </w:divBdr>
    </w:div>
    <w:div w:id="999116153">
      <w:bodyDiv w:val="1"/>
      <w:marLeft w:val="0"/>
      <w:marRight w:val="0"/>
      <w:marTop w:val="0"/>
      <w:marBottom w:val="0"/>
      <w:divBdr>
        <w:top w:val="none" w:sz="0" w:space="0" w:color="auto"/>
        <w:left w:val="none" w:sz="0" w:space="0" w:color="auto"/>
        <w:bottom w:val="none" w:sz="0" w:space="0" w:color="auto"/>
        <w:right w:val="none" w:sz="0" w:space="0" w:color="auto"/>
      </w:divBdr>
    </w:div>
    <w:div w:id="1000933312">
      <w:bodyDiv w:val="1"/>
      <w:marLeft w:val="0"/>
      <w:marRight w:val="0"/>
      <w:marTop w:val="0"/>
      <w:marBottom w:val="0"/>
      <w:divBdr>
        <w:top w:val="none" w:sz="0" w:space="0" w:color="auto"/>
        <w:left w:val="none" w:sz="0" w:space="0" w:color="auto"/>
        <w:bottom w:val="none" w:sz="0" w:space="0" w:color="auto"/>
        <w:right w:val="none" w:sz="0" w:space="0" w:color="auto"/>
      </w:divBdr>
    </w:div>
    <w:div w:id="1007249881">
      <w:bodyDiv w:val="1"/>
      <w:marLeft w:val="0"/>
      <w:marRight w:val="0"/>
      <w:marTop w:val="0"/>
      <w:marBottom w:val="0"/>
      <w:divBdr>
        <w:top w:val="none" w:sz="0" w:space="0" w:color="auto"/>
        <w:left w:val="none" w:sz="0" w:space="0" w:color="auto"/>
        <w:bottom w:val="none" w:sz="0" w:space="0" w:color="auto"/>
        <w:right w:val="none" w:sz="0" w:space="0" w:color="auto"/>
      </w:divBdr>
    </w:div>
    <w:div w:id="1014571045">
      <w:bodyDiv w:val="1"/>
      <w:marLeft w:val="0"/>
      <w:marRight w:val="0"/>
      <w:marTop w:val="0"/>
      <w:marBottom w:val="0"/>
      <w:divBdr>
        <w:top w:val="none" w:sz="0" w:space="0" w:color="auto"/>
        <w:left w:val="none" w:sz="0" w:space="0" w:color="auto"/>
        <w:bottom w:val="none" w:sz="0" w:space="0" w:color="auto"/>
        <w:right w:val="none" w:sz="0" w:space="0" w:color="auto"/>
      </w:divBdr>
    </w:div>
    <w:div w:id="1031346299">
      <w:bodyDiv w:val="1"/>
      <w:marLeft w:val="0"/>
      <w:marRight w:val="0"/>
      <w:marTop w:val="0"/>
      <w:marBottom w:val="0"/>
      <w:divBdr>
        <w:top w:val="none" w:sz="0" w:space="0" w:color="auto"/>
        <w:left w:val="none" w:sz="0" w:space="0" w:color="auto"/>
        <w:bottom w:val="none" w:sz="0" w:space="0" w:color="auto"/>
        <w:right w:val="none" w:sz="0" w:space="0" w:color="auto"/>
      </w:divBdr>
    </w:div>
    <w:div w:id="1035082403">
      <w:bodyDiv w:val="1"/>
      <w:marLeft w:val="0"/>
      <w:marRight w:val="0"/>
      <w:marTop w:val="0"/>
      <w:marBottom w:val="0"/>
      <w:divBdr>
        <w:top w:val="none" w:sz="0" w:space="0" w:color="auto"/>
        <w:left w:val="none" w:sz="0" w:space="0" w:color="auto"/>
        <w:bottom w:val="none" w:sz="0" w:space="0" w:color="auto"/>
        <w:right w:val="none" w:sz="0" w:space="0" w:color="auto"/>
      </w:divBdr>
    </w:div>
    <w:div w:id="1037201868">
      <w:bodyDiv w:val="1"/>
      <w:marLeft w:val="0"/>
      <w:marRight w:val="0"/>
      <w:marTop w:val="0"/>
      <w:marBottom w:val="0"/>
      <w:divBdr>
        <w:top w:val="none" w:sz="0" w:space="0" w:color="auto"/>
        <w:left w:val="none" w:sz="0" w:space="0" w:color="auto"/>
        <w:bottom w:val="none" w:sz="0" w:space="0" w:color="auto"/>
        <w:right w:val="none" w:sz="0" w:space="0" w:color="auto"/>
      </w:divBdr>
    </w:div>
    <w:div w:id="1037968723">
      <w:bodyDiv w:val="1"/>
      <w:marLeft w:val="0"/>
      <w:marRight w:val="0"/>
      <w:marTop w:val="0"/>
      <w:marBottom w:val="0"/>
      <w:divBdr>
        <w:top w:val="none" w:sz="0" w:space="0" w:color="auto"/>
        <w:left w:val="none" w:sz="0" w:space="0" w:color="auto"/>
        <w:bottom w:val="none" w:sz="0" w:space="0" w:color="auto"/>
        <w:right w:val="none" w:sz="0" w:space="0" w:color="auto"/>
      </w:divBdr>
    </w:div>
    <w:div w:id="1039234172">
      <w:bodyDiv w:val="1"/>
      <w:marLeft w:val="0"/>
      <w:marRight w:val="0"/>
      <w:marTop w:val="0"/>
      <w:marBottom w:val="0"/>
      <w:divBdr>
        <w:top w:val="none" w:sz="0" w:space="0" w:color="auto"/>
        <w:left w:val="none" w:sz="0" w:space="0" w:color="auto"/>
        <w:bottom w:val="none" w:sz="0" w:space="0" w:color="auto"/>
        <w:right w:val="none" w:sz="0" w:space="0" w:color="auto"/>
      </w:divBdr>
    </w:div>
    <w:div w:id="1039235812">
      <w:bodyDiv w:val="1"/>
      <w:marLeft w:val="0"/>
      <w:marRight w:val="0"/>
      <w:marTop w:val="0"/>
      <w:marBottom w:val="0"/>
      <w:divBdr>
        <w:top w:val="none" w:sz="0" w:space="0" w:color="auto"/>
        <w:left w:val="none" w:sz="0" w:space="0" w:color="auto"/>
        <w:bottom w:val="none" w:sz="0" w:space="0" w:color="auto"/>
        <w:right w:val="none" w:sz="0" w:space="0" w:color="auto"/>
      </w:divBdr>
    </w:div>
    <w:div w:id="1039550701">
      <w:bodyDiv w:val="1"/>
      <w:marLeft w:val="0"/>
      <w:marRight w:val="0"/>
      <w:marTop w:val="0"/>
      <w:marBottom w:val="0"/>
      <w:divBdr>
        <w:top w:val="none" w:sz="0" w:space="0" w:color="auto"/>
        <w:left w:val="none" w:sz="0" w:space="0" w:color="auto"/>
        <w:bottom w:val="none" w:sz="0" w:space="0" w:color="auto"/>
        <w:right w:val="none" w:sz="0" w:space="0" w:color="auto"/>
      </w:divBdr>
    </w:div>
    <w:div w:id="1043990794">
      <w:bodyDiv w:val="1"/>
      <w:marLeft w:val="0"/>
      <w:marRight w:val="0"/>
      <w:marTop w:val="0"/>
      <w:marBottom w:val="0"/>
      <w:divBdr>
        <w:top w:val="none" w:sz="0" w:space="0" w:color="auto"/>
        <w:left w:val="none" w:sz="0" w:space="0" w:color="auto"/>
        <w:bottom w:val="none" w:sz="0" w:space="0" w:color="auto"/>
        <w:right w:val="none" w:sz="0" w:space="0" w:color="auto"/>
      </w:divBdr>
    </w:div>
    <w:div w:id="1048147188">
      <w:bodyDiv w:val="1"/>
      <w:marLeft w:val="0"/>
      <w:marRight w:val="0"/>
      <w:marTop w:val="0"/>
      <w:marBottom w:val="0"/>
      <w:divBdr>
        <w:top w:val="none" w:sz="0" w:space="0" w:color="auto"/>
        <w:left w:val="none" w:sz="0" w:space="0" w:color="auto"/>
        <w:bottom w:val="none" w:sz="0" w:space="0" w:color="auto"/>
        <w:right w:val="none" w:sz="0" w:space="0" w:color="auto"/>
      </w:divBdr>
    </w:div>
    <w:div w:id="1061060447">
      <w:bodyDiv w:val="1"/>
      <w:marLeft w:val="0"/>
      <w:marRight w:val="0"/>
      <w:marTop w:val="0"/>
      <w:marBottom w:val="0"/>
      <w:divBdr>
        <w:top w:val="none" w:sz="0" w:space="0" w:color="auto"/>
        <w:left w:val="none" w:sz="0" w:space="0" w:color="auto"/>
        <w:bottom w:val="none" w:sz="0" w:space="0" w:color="auto"/>
        <w:right w:val="none" w:sz="0" w:space="0" w:color="auto"/>
      </w:divBdr>
    </w:div>
    <w:div w:id="1063531009">
      <w:bodyDiv w:val="1"/>
      <w:marLeft w:val="0"/>
      <w:marRight w:val="0"/>
      <w:marTop w:val="0"/>
      <w:marBottom w:val="0"/>
      <w:divBdr>
        <w:top w:val="none" w:sz="0" w:space="0" w:color="auto"/>
        <w:left w:val="none" w:sz="0" w:space="0" w:color="auto"/>
        <w:bottom w:val="none" w:sz="0" w:space="0" w:color="auto"/>
        <w:right w:val="none" w:sz="0" w:space="0" w:color="auto"/>
      </w:divBdr>
    </w:div>
    <w:div w:id="1065765166">
      <w:bodyDiv w:val="1"/>
      <w:marLeft w:val="0"/>
      <w:marRight w:val="0"/>
      <w:marTop w:val="0"/>
      <w:marBottom w:val="0"/>
      <w:divBdr>
        <w:top w:val="none" w:sz="0" w:space="0" w:color="auto"/>
        <w:left w:val="none" w:sz="0" w:space="0" w:color="auto"/>
        <w:bottom w:val="none" w:sz="0" w:space="0" w:color="auto"/>
        <w:right w:val="none" w:sz="0" w:space="0" w:color="auto"/>
      </w:divBdr>
    </w:div>
    <w:div w:id="1071585371">
      <w:bodyDiv w:val="1"/>
      <w:marLeft w:val="0"/>
      <w:marRight w:val="0"/>
      <w:marTop w:val="0"/>
      <w:marBottom w:val="0"/>
      <w:divBdr>
        <w:top w:val="none" w:sz="0" w:space="0" w:color="auto"/>
        <w:left w:val="none" w:sz="0" w:space="0" w:color="auto"/>
        <w:bottom w:val="none" w:sz="0" w:space="0" w:color="auto"/>
        <w:right w:val="none" w:sz="0" w:space="0" w:color="auto"/>
      </w:divBdr>
    </w:div>
    <w:div w:id="1077677049">
      <w:bodyDiv w:val="1"/>
      <w:marLeft w:val="0"/>
      <w:marRight w:val="0"/>
      <w:marTop w:val="0"/>
      <w:marBottom w:val="0"/>
      <w:divBdr>
        <w:top w:val="none" w:sz="0" w:space="0" w:color="auto"/>
        <w:left w:val="none" w:sz="0" w:space="0" w:color="auto"/>
        <w:bottom w:val="none" w:sz="0" w:space="0" w:color="auto"/>
        <w:right w:val="none" w:sz="0" w:space="0" w:color="auto"/>
      </w:divBdr>
    </w:div>
    <w:div w:id="1078283370">
      <w:bodyDiv w:val="1"/>
      <w:marLeft w:val="0"/>
      <w:marRight w:val="0"/>
      <w:marTop w:val="0"/>
      <w:marBottom w:val="0"/>
      <w:divBdr>
        <w:top w:val="none" w:sz="0" w:space="0" w:color="auto"/>
        <w:left w:val="none" w:sz="0" w:space="0" w:color="auto"/>
        <w:bottom w:val="none" w:sz="0" w:space="0" w:color="auto"/>
        <w:right w:val="none" w:sz="0" w:space="0" w:color="auto"/>
      </w:divBdr>
    </w:div>
    <w:div w:id="1083911365">
      <w:bodyDiv w:val="1"/>
      <w:marLeft w:val="0"/>
      <w:marRight w:val="0"/>
      <w:marTop w:val="0"/>
      <w:marBottom w:val="0"/>
      <w:divBdr>
        <w:top w:val="none" w:sz="0" w:space="0" w:color="auto"/>
        <w:left w:val="none" w:sz="0" w:space="0" w:color="auto"/>
        <w:bottom w:val="none" w:sz="0" w:space="0" w:color="auto"/>
        <w:right w:val="none" w:sz="0" w:space="0" w:color="auto"/>
      </w:divBdr>
    </w:div>
    <w:div w:id="1084835316">
      <w:bodyDiv w:val="1"/>
      <w:marLeft w:val="0"/>
      <w:marRight w:val="0"/>
      <w:marTop w:val="0"/>
      <w:marBottom w:val="0"/>
      <w:divBdr>
        <w:top w:val="none" w:sz="0" w:space="0" w:color="auto"/>
        <w:left w:val="none" w:sz="0" w:space="0" w:color="auto"/>
        <w:bottom w:val="none" w:sz="0" w:space="0" w:color="auto"/>
        <w:right w:val="none" w:sz="0" w:space="0" w:color="auto"/>
      </w:divBdr>
    </w:div>
    <w:div w:id="1086150820">
      <w:bodyDiv w:val="1"/>
      <w:marLeft w:val="0"/>
      <w:marRight w:val="0"/>
      <w:marTop w:val="0"/>
      <w:marBottom w:val="0"/>
      <w:divBdr>
        <w:top w:val="none" w:sz="0" w:space="0" w:color="auto"/>
        <w:left w:val="none" w:sz="0" w:space="0" w:color="auto"/>
        <w:bottom w:val="none" w:sz="0" w:space="0" w:color="auto"/>
        <w:right w:val="none" w:sz="0" w:space="0" w:color="auto"/>
      </w:divBdr>
    </w:div>
    <w:div w:id="1086271771">
      <w:bodyDiv w:val="1"/>
      <w:marLeft w:val="0"/>
      <w:marRight w:val="0"/>
      <w:marTop w:val="0"/>
      <w:marBottom w:val="0"/>
      <w:divBdr>
        <w:top w:val="none" w:sz="0" w:space="0" w:color="auto"/>
        <w:left w:val="none" w:sz="0" w:space="0" w:color="auto"/>
        <w:bottom w:val="none" w:sz="0" w:space="0" w:color="auto"/>
        <w:right w:val="none" w:sz="0" w:space="0" w:color="auto"/>
      </w:divBdr>
    </w:div>
    <w:div w:id="1091967474">
      <w:bodyDiv w:val="1"/>
      <w:marLeft w:val="0"/>
      <w:marRight w:val="0"/>
      <w:marTop w:val="0"/>
      <w:marBottom w:val="0"/>
      <w:divBdr>
        <w:top w:val="none" w:sz="0" w:space="0" w:color="auto"/>
        <w:left w:val="none" w:sz="0" w:space="0" w:color="auto"/>
        <w:bottom w:val="none" w:sz="0" w:space="0" w:color="auto"/>
        <w:right w:val="none" w:sz="0" w:space="0" w:color="auto"/>
      </w:divBdr>
    </w:div>
    <w:div w:id="1094203442">
      <w:bodyDiv w:val="1"/>
      <w:marLeft w:val="0"/>
      <w:marRight w:val="0"/>
      <w:marTop w:val="0"/>
      <w:marBottom w:val="0"/>
      <w:divBdr>
        <w:top w:val="none" w:sz="0" w:space="0" w:color="auto"/>
        <w:left w:val="none" w:sz="0" w:space="0" w:color="auto"/>
        <w:bottom w:val="none" w:sz="0" w:space="0" w:color="auto"/>
        <w:right w:val="none" w:sz="0" w:space="0" w:color="auto"/>
      </w:divBdr>
    </w:div>
    <w:div w:id="1098258406">
      <w:bodyDiv w:val="1"/>
      <w:marLeft w:val="0"/>
      <w:marRight w:val="0"/>
      <w:marTop w:val="0"/>
      <w:marBottom w:val="0"/>
      <w:divBdr>
        <w:top w:val="none" w:sz="0" w:space="0" w:color="auto"/>
        <w:left w:val="none" w:sz="0" w:space="0" w:color="auto"/>
        <w:bottom w:val="none" w:sz="0" w:space="0" w:color="auto"/>
        <w:right w:val="none" w:sz="0" w:space="0" w:color="auto"/>
      </w:divBdr>
    </w:div>
    <w:div w:id="1115297299">
      <w:bodyDiv w:val="1"/>
      <w:marLeft w:val="0"/>
      <w:marRight w:val="0"/>
      <w:marTop w:val="0"/>
      <w:marBottom w:val="0"/>
      <w:divBdr>
        <w:top w:val="none" w:sz="0" w:space="0" w:color="auto"/>
        <w:left w:val="none" w:sz="0" w:space="0" w:color="auto"/>
        <w:bottom w:val="none" w:sz="0" w:space="0" w:color="auto"/>
        <w:right w:val="none" w:sz="0" w:space="0" w:color="auto"/>
      </w:divBdr>
    </w:div>
    <w:div w:id="1122572989">
      <w:bodyDiv w:val="1"/>
      <w:marLeft w:val="0"/>
      <w:marRight w:val="0"/>
      <w:marTop w:val="0"/>
      <w:marBottom w:val="0"/>
      <w:divBdr>
        <w:top w:val="none" w:sz="0" w:space="0" w:color="auto"/>
        <w:left w:val="none" w:sz="0" w:space="0" w:color="auto"/>
        <w:bottom w:val="none" w:sz="0" w:space="0" w:color="auto"/>
        <w:right w:val="none" w:sz="0" w:space="0" w:color="auto"/>
      </w:divBdr>
    </w:div>
    <w:div w:id="1125195122">
      <w:bodyDiv w:val="1"/>
      <w:marLeft w:val="0"/>
      <w:marRight w:val="0"/>
      <w:marTop w:val="0"/>
      <w:marBottom w:val="0"/>
      <w:divBdr>
        <w:top w:val="none" w:sz="0" w:space="0" w:color="auto"/>
        <w:left w:val="none" w:sz="0" w:space="0" w:color="auto"/>
        <w:bottom w:val="none" w:sz="0" w:space="0" w:color="auto"/>
        <w:right w:val="none" w:sz="0" w:space="0" w:color="auto"/>
      </w:divBdr>
      <w:divsChild>
        <w:div w:id="121922011">
          <w:marLeft w:val="0"/>
          <w:marRight w:val="0"/>
          <w:marTop w:val="0"/>
          <w:marBottom w:val="0"/>
          <w:divBdr>
            <w:top w:val="none" w:sz="0" w:space="0" w:color="auto"/>
            <w:left w:val="none" w:sz="0" w:space="0" w:color="auto"/>
            <w:bottom w:val="none" w:sz="0" w:space="0" w:color="auto"/>
            <w:right w:val="none" w:sz="0" w:space="0" w:color="auto"/>
          </w:divBdr>
          <w:divsChild>
            <w:div w:id="1730418062">
              <w:marLeft w:val="0"/>
              <w:marRight w:val="0"/>
              <w:marTop w:val="0"/>
              <w:marBottom w:val="0"/>
              <w:divBdr>
                <w:top w:val="none" w:sz="0" w:space="0" w:color="auto"/>
                <w:left w:val="none" w:sz="0" w:space="0" w:color="auto"/>
                <w:bottom w:val="none" w:sz="0" w:space="0" w:color="auto"/>
                <w:right w:val="none" w:sz="0" w:space="0" w:color="auto"/>
              </w:divBdr>
              <w:divsChild>
                <w:div w:id="2132554218">
                  <w:marLeft w:val="0"/>
                  <w:marRight w:val="0"/>
                  <w:marTop w:val="0"/>
                  <w:marBottom w:val="0"/>
                  <w:divBdr>
                    <w:top w:val="none" w:sz="0" w:space="0" w:color="auto"/>
                    <w:left w:val="none" w:sz="0" w:space="0" w:color="auto"/>
                    <w:bottom w:val="none" w:sz="0" w:space="0" w:color="auto"/>
                    <w:right w:val="none" w:sz="0" w:space="0" w:color="auto"/>
                  </w:divBdr>
                  <w:divsChild>
                    <w:div w:id="92895721">
                      <w:marLeft w:val="0"/>
                      <w:marRight w:val="0"/>
                      <w:marTop w:val="0"/>
                      <w:marBottom w:val="0"/>
                      <w:divBdr>
                        <w:top w:val="none" w:sz="0" w:space="0" w:color="auto"/>
                        <w:left w:val="none" w:sz="0" w:space="0" w:color="auto"/>
                        <w:bottom w:val="none" w:sz="0" w:space="0" w:color="auto"/>
                        <w:right w:val="none" w:sz="0" w:space="0" w:color="auto"/>
                      </w:divBdr>
                      <w:divsChild>
                        <w:div w:id="1982883757">
                          <w:marLeft w:val="0"/>
                          <w:marRight w:val="0"/>
                          <w:marTop w:val="0"/>
                          <w:marBottom w:val="0"/>
                          <w:divBdr>
                            <w:top w:val="none" w:sz="0" w:space="0" w:color="auto"/>
                            <w:left w:val="none" w:sz="0" w:space="0" w:color="auto"/>
                            <w:bottom w:val="none" w:sz="0" w:space="0" w:color="auto"/>
                            <w:right w:val="none" w:sz="0" w:space="0" w:color="auto"/>
                          </w:divBdr>
                          <w:divsChild>
                            <w:div w:id="1079131433">
                              <w:marLeft w:val="0"/>
                              <w:marRight w:val="0"/>
                              <w:marTop w:val="0"/>
                              <w:marBottom w:val="0"/>
                              <w:divBdr>
                                <w:top w:val="none" w:sz="0" w:space="0" w:color="auto"/>
                                <w:left w:val="none" w:sz="0" w:space="0" w:color="auto"/>
                                <w:bottom w:val="none" w:sz="0" w:space="0" w:color="auto"/>
                                <w:right w:val="none" w:sz="0" w:space="0" w:color="auto"/>
                              </w:divBdr>
                              <w:divsChild>
                                <w:div w:id="1821579154">
                                  <w:marLeft w:val="0"/>
                                  <w:marRight w:val="0"/>
                                  <w:marTop w:val="0"/>
                                  <w:marBottom w:val="0"/>
                                  <w:divBdr>
                                    <w:top w:val="none" w:sz="0" w:space="0" w:color="auto"/>
                                    <w:left w:val="none" w:sz="0" w:space="0" w:color="auto"/>
                                    <w:bottom w:val="none" w:sz="0" w:space="0" w:color="auto"/>
                                    <w:right w:val="none" w:sz="0" w:space="0" w:color="auto"/>
                                  </w:divBdr>
                                  <w:divsChild>
                                    <w:div w:id="236064188">
                                      <w:marLeft w:val="60"/>
                                      <w:marRight w:val="0"/>
                                      <w:marTop w:val="0"/>
                                      <w:marBottom w:val="0"/>
                                      <w:divBdr>
                                        <w:top w:val="none" w:sz="0" w:space="0" w:color="auto"/>
                                        <w:left w:val="none" w:sz="0" w:space="0" w:color="auto"/>
                                        <w:bottom w:val="none" w:sz="0" w:space="0" w:color="auto"/>
                                        <w:right w:val="none" w:sz="0" w:space="0" w:color="auto"/>
                                      </w:divBdr>
                                      <w:divsChild>
                                        <w:div w:id="813373762">
                                          <w:marLeft w:val="0"/>
                                          <w:marRight w:val="0"/>
                                          <w:marTop w:val="0"/>
                                          <w:marBottom w:val="0"/>
                                          <w:divBdr>
                                            <w:top w:val="none" w:sz="0" w:space="0" w:color="auto"/>
                                            <w:left w:val="none" w:sz="0" w:space="0" w:color="auto"/>
                                            <w:bottom w:val="none" w:sz="0" w:space="0" w:color="auto"/>
                                            <w:right w:val="none" w:sz="0" w:space="0" w:color="auto"/>
                                          </w:divBdr>
                                          <w:divsChild>
                                            <w:div w:id="387538591">
                                              <w:marLeft w:val="0"/>
                                              <w:marRight w:val="0"/>
                                              <w:marTop w:val="0"/>
                                              <w:marBottom w:val="120"/>
                                              <w:divBdr>
                                                <w:top w:val="single" w:sz="6" w:space="0" w:color="F5F5F5"/>
                                                <w:left w:val="single" w:sz="6" w:space="0" w:color="F5F5F5"/>
                                                <w:bottom w:val="single" w:sz="6" w:space="0" w:color="F5F5F5"/>
                                                <w:right w:val="single" w:sz="6" w:space="0" w:color="F5F5F5"/>
                                              </w:divBdr>
                                              <w:divsChild>
                                                <w:div w:id="77674851">
                                                  <w:marLeft w:val="0"/>
                                                  <w:marRight w:val="0"/>
                                                  <w:marTop w:val="0"/>
                                                  <w:marBottom w:val="0"/>
                                                  <w:divBdr>
                                                    <w:top w:val="none" w:sz="0" w:space="0" w:color="auto"/>
                                                    <w:left w:val="none" w:sz="0" w:space="0" w:color="auto"/>
                                                    <w:bottom w:val="none" w:sz="0" w:space="0" w:color="auto"/>
                                                    <w:right w:val="none" w:sz="0" w:space="0" w:color="auto"/>
                                                  </w:divBdr>
                                                  <w:divsChild>
                                                    <w:div w:id="34938225">
                                                      <w:marLeft w:val="0"/>
                                                      <w:marRight w:val="0"/>
                                                      <w:marTop w:val="0"/>
                                                      <w:marBottom w:val="0"/>
                                                      <w:divBdr>
                                                        <w:top w:val="none" w:sz="0" w:space="0" w:color="auto"/>
                                                        <w:left w:val="none" w:sz="0" w:space="0" w:color="auto"/>
                                                        <w:bottom w:val="none" w:sz="0" w:space="0" w:color="auto"/>
                                                        <w:right w:val="none" w:sz="0" w:space="0" w:color="auto"/>
                                                      </w:divBdr>
                                                    </w:div>
                                                  </w:divsChild>
                                                </w:div>
                                                <w:div w:id="142817801">
                                                  <w:marLeft w:val="0"/>
                                                  <w:marRight w:val="0"/>
                                                  <w:marTop w:val="0"/>
                                                  <w:marBottom w:val="0"/>
                                                  <w:divBdr>
                                                    <w:top w:val="none" w:sz="0" w:space="0" w:color="auto"/>
                                                    <w:left w:val="none" w:sz="0" w:space="0" w:color="auto"/>
                                                    <w:bottom w:val="none" w:sz="0" w:space="0" w:color="auto"/>
                                                    <w:right w:val="none" w:sz="0" w:space="0" w:color="auto"/>
                                                  </w:divBdr>
                                                  <w:divsChild>
                                                    <w:div w:id="523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663067">
      <w:bodyDiv w:val="1"/>
      <w:marLeft w:val="0"/>
      <w:marRight w:val="0"/>
      <w:marTop w:val="0"/>
      <w:marBottom w:val="0"/>
      <w:divBdr>
        <w:top w:val="none" w:sz="0" w:space="0" w:color="auto"/>
        <w:left w:val="none" w:sz="0" w:space="0" w:color="auto"/>
        <w:bottom w:val="none" w:sz="0" w:space="0" w:color="auto"/>
        <w:right w:val="none" w:sz="0" w:space="0" w:color="auto"/>
      </w:divBdr>
    </w:div>
    <w:div w:id="1126006132">
      <w:bodyDiv w:val="1"/>
      <w:marLeft w:val="0"/>
      <w:marRight w:val="0"/>
      <w:marTop w:val="0"/>
      <w:marBottom w:val="0"/>
      <w:divBdr>
        <w:top w:val="none" w:sz="0" w:space="0" w:color="auto"/>
        <w:left w:val="none" w:sz="0" w:space="0" w:color="auto"/>
        <w:bottom w:val="none" w:sz="0" w:space="0" w:color="auto"/>
        <w:right w:val="none" w:sz="0" w:space="0" w:color="auto"/>
      </w:divBdr>
    </w:div>
    <w:div w:id="1129396279">
      <w:bodyDiv w:val="1"/>
      <w:marLeft w:val="0"/>
      <w:marRight w:val="0"/>
      <w:marTop w:val="0"/>
      <w:marBottom w:val="0"/>
      <w:divBdr>
        <w:top w:val="none" w:sz="0" w:space="0" w:color="auto"/>
        <w:left w:val="none" w:sz="0" w:space="0" w:color="auto"/>
        <w:bottom w:val="none" w:sz="0" w:space="0" w:color="auto"/>
        <w:right w:val="none" w:sz="0" w:space="0" w:color="auto"/>
      </w:divBdr>
    </w:div>
    <w:div w:id="1130248037">
      <w:bodyDiv w:val="1"/>
      <w:marLeft w:val="0"/>
      <w:marRight w:val="0"/>
      <w:marTop w:val="0"/>
      <w:marBottom w:val="0"/>
      <w:divBdr>
        <w:top w:val="none" w:sz="0" w:space="0" w:color="auto"/>
        <w:left w:val="none" w:sz="0" w:space="0" w:color="auto"/>
        <w:bottom w:val="none" w:sz="0" w:space="0" w:color="auto"/>
        <w:right w:val="none" w:sz="0" w:space="0" w:color="auto"/>
      </w:divBdr>
    </w:div>
    <w:div w:id="1134635859">
      <w:bodyDiv w:val="1"/>
      <w:marLeft w:val="0"/>
      <w:marRight w:val="0"/>
      <w:marTop w:val="0"/>
      <w:marBottom w:val="0"/>
      <w:divBdr>
        <w:top w:val="none" w:sz="0" w:space="0" w:color="auto"/>
        <w:left w:val="none" w:sz="0" w:space="0" w:color="auto"/>
        <w:bottom w:val="none" w:sz="0" w:space="0" w:color="auto"/>
        <w:right w:val="none" w:sz="0" w:space="0" w:color="auto"/>
      </w:divBdr>
    </w:div>
    <w:div w:id="1134983642">
      <w:bodyDiv w:val="1"/>
      <w:marLeft w:val="0"/>
      <w:marRight w:val="0"/>
      <w:marTop w:val="0"/>
      <w:marBottom w:val="0"/>
      <w:divBdr>
        <w:top w:val="none" w:sz="0" w:space="0" w:color="auto"/>
        <w:left w:val="none" w:sz="0" w:space="0" w:color="auto"/>
        <w:bottom w:val="none" w:sz="0" w:space="0" w:color="auto"/>
        <w:right w:val="none" w:sz="0" w:space="0" w:color="auto"/>
      </w:divBdr>
    </w:div>
    <w:div w:id="1140995488">
      <w:bodyDiv w:val="1"/>
      <w:marLeft w:val="0"/>
      <w:marRight w:val="0"/>
      <w:marTop w:val="0"/>
      <w:marBottom w:val="0"/>
      <w:divBdr>
        <w:top w:val="none" w:sz="0" w:space="0" w:color="auto"/>
        <w:left w:val="none" w:sz="0" w:space="0" w:color="auto"/>
        <w:bottom w:val="none" w:sz="0" w:space="0" w:color="auto"/>
        <w:right w:val="none" w:sz="0" w:space="0" w:color="auto"/>
      </w:divBdr>
    </w:div>
    <w:div w:id="1142193878">
      <w:bodyDiv w:val="1"/>
      <w:marLeft w:val="0"/>
      <w:marRight w:val="0"/>
      <w:marTop w:val="0"/>
      <w:marBottom w:val="0"/>
      <w:divBdr>
        <w:top w:val="none" w:sz="0" w:space="0" w:color="auto"/>
        <w:left w:val="none" w:sz="0" w:space="0" w:color="auto"/>
        <w:bottom w:val="none" w:sz="0" w:space="0" w:color="auto"/>
        <w:right w:val="none" w:sz="0" w:space="0" w:color="auto"/>
      </w:divBdr>
    </w:div>
    <w:div w:id="1142965594">
      <w:bodyDiv w:val="1"/>
      <w:marLeft w:val="0"/>
      <w:marRight w:val="0"/>
      <w:marTop w:val="0"/>
      <w:marBottom w:val="0"/>
      <w:divBdr>
        <w:top w:val="none" w:sz="0" w:space="0" w:color="auto"/>
        <w:left w:val="none" w:sz="0" w:space="0" w:color="auto"/>
        <w:bottom w:val="none" w:sz="0" w:space="0" w:color="auto"/>
        <w:right w:val="none" w:sz="0" w:space="0" w:color="auto"/>
      </w:divBdr>
    </w:div>
    <w:div w:id="1144466785">
      <w:bodyDiv w:val="1"/>
      <w:marLeft w:val="0"/>
      <w:marRight w:val="0"/>
      <w:marTop w:val="0"/>
      <w:marBottom w:val="0"/>
      <w:divBdr>
        <w:top w:val="none" w:sz="0" w:space="0" w:color="auto"/>
        <w:left w:val="none" w:sz="0" w:space="0" w:color="auto"/>
        <w:bottom w:val="none" w:sz="0" w:space="0" w:color="auto"/>
        <w:right w:val="none" w:sz="0" w:space="0" w:color="auto"/>
      </w:divBdr>
    </w:div>
    <w:div w:id="1146237987">
      <w:bodyDiv w:val="1"/>
      <w:marLeft w:val="0"/>
      <w:marRight w:val="0"/>
      <w:marTop w:val="0"/>
      <w:marBottom w:val="0"/>
      <w:divBdr>
        <w:top w:val="none" w:sz="0" w:space="0" w:color="auto"/>
        <w:left w:val="none" w:sz="0" w:space="0" w:color="auto"/>
        <w:bottom w:val="none" w:sz="0" w:space="0" w:color="auto"/>
        <w:right w:val="none" w:sz="0" w:space="0" w:color="auto"/>
      </w:divBdr>
    </w:div>
    <w:div w:id="1148667266">
      <w:bodyDiv w:val="1"/>
      <w:marLeft w:val="0"/>
      <w:marRight w:val="0"/>
      <w:marTop w:val="0"/>
      <w:marBottom w:val="0"/>
      <w:divBdr>
        <w:top w:val="none" w:sz="0" w:space="0" w:color="auto"/>
        <w:left w:val="none" w:sz="0" w:space="0" w:color="auto"/>
        <w:bottom w:val="none" w:sz="0" w:space="0" w:color="auto"/>
        <w:right w:val="none" w:sz="0" w:space="0" w:color="auto"/>
      </w:divBdr>
    </w:div>
    <w:div w:id="1149131707">
      <w:bodyDiv w:val="1"/>
      <w:marLeft w:val="0"/>
      <w:marRight w:val="0"/>
      <w:marTop w:val="0"/>
      <w:marBottom w:val="0"/>
      <w:divBdr>
        <w:top w:val="none" w:sz="0" w:space="0" w:color="auto"/>
        <w:left w:val="none" w:sz="0" w:space="0" w:color="auto"/>
        <w:bottom w:val="none" w:sz="0" w:space="0" w:color="auto"/>
        <w:right w:val="none" w:sz="0" w:space="0" w:color="auto"/>
      </w:divBdr>
    </w:div>
    <w:div w:id="1150513952">
      <w:bodyDiv w:val="1"/>
      <w:marLeft w:val="0"/>
      <w:marRight w:val="0"/>
      <w:marTop w:val="0"/>
      <w:marBottom w:val="0"/>
      <w:divBdr>
        <w:top w:val="none" w:sz="0" w:space="0" w:color="auto"/>
        <w:left w:val="none" w:sz="0" w:space="0" w:color="auto"/>
        <w:bottom w:val="none" w:sz="0" w:space="0" w:color="auto"/>
        <w:right w:val="none" w:sz="0" w:space="0" w:color="auto"/>
      </w:divBdr>
    </w:div>
    <w:div w:id="1152404036">
      <w:bodyDiv w:val="1"/>
      <w:marLeft w:val="0"/>
      <w:marRight w:val="0"/>
      <w:marTop w:val="0"/>
      <w:marBottom w:val="0"/>
      <w:divBdr>
        <w:top w:val="none" w:sz="0" w:space="0" w:color="auto"/>
        <w:left w:val="none" w:sz="0" w:space="0" w:color="auto"/>
        <w:bottom w:val="none" w:sz="0" w:space="0" w:color="auto"/>
        <w:right w:val="none" w:sz="0" w:space="0" w:color="auto"/>
      </w:divBdr>
    </w:div>
    <w:div w:id="1153180714">
      <w:bodyDiv w:val="1"/>
      <w:marLeft w:val="0"/>
      <w:marRight w:val="0"/>
      <w:marTop w:val="0"/>
      <w:marBottom w:val="0"/>
      <w:divBdr>
        <w:top w:val="none" w:sz="0" w:space="0" w:color="auto"/>
        <w:left w:val="none" w:sz="0" w:space="0" w:color="auto"/>
        <w:bottom w:val="none" w:sz="0" w:space="0" w:color="auto"/>
        <w:right w:val="none" w:sz="0" w:space="0" w:color="auto"/>
      </w:divBdr>
    </w:div>
    <w:div w:id="1155756974">
      <w:bodyDiv w:val="1"/>
      <w:marLeft w:val="0"/>
      <w:marRight w:val="0"/>
      <w:marTop w:val="0"/>
      <w:marBottom w:val="0"/>
      <w:divBdr>
        <w:top w:val="none" w:sz="0" w:space="0" w:color="auto"/>
        <w:left w:val="none" w:sz="0" w:space="0" w:color="auto"/>
        <w:bottom w:val="none" w:sz="0" w:space="0" w:color="auto"/>
        <w:right w:val="none" w:sz="0" w:space="0" w:color="auto"/>
      </w:divBdr>
    </w:div>
    <w:div w:id="1156150215">
      <w:bodyDiv w:val="1"/>
      <w:marLeft w:val="0"/>
      <w:marRight w:val="0"/>
      <w:marTop w:val="0"/>
      <w:marBottom w:val="0"/>
      <w:divBdr>
        <w:top w:val="none" w:sz="0" w:space="0" w:color="auto"/>
        <w:left w:val="none" w:sz="0" w:space="0" w:color="auto"/>
        <w:bottom w:val="none" w:sz="0" w:space="0" w:color="auto"/>
        <w:right w:val="none" w:sz="0" w:space="0" w:color="auto"/>
      </w:divBdr>
    </w:div>
    <w:div w:id="1157576443">
      <w:bodyDiv w:val="1"/>
      <w:marLeft w:val="0"/>
      <w:marRight w:val="0"/>
      <w:marTop w:val="0"/>
      <w:marBottom w:val="0"/>
      <w:divBdr>
        <w:top w:val="none" w:sz="0" w:space="0" w:color="auto"/>
        <w:left w:val="none" w:sz="0" w:space="0" w:color="auto"/>
        <w:bottom w:val="none" w:sz="0" w:space="0" w:color="auto"/>
        <w:right w:val="none" w:sz="0" w:space="0" w:color="auto"/>
      </w:divBdr>
    </w:div>
    <w:div w:id="1157649151">
      <w:bodyDiv w:val="1"/>
      <w:marLeft w:val="0"/>
      <w:marRight w:val="0"/>
      <w:marTop w:val="0"/>
      <w:marBottom w:val="0"/>
      <w:divBdr>
        <w:top w:val="none" w:sz="0" w:space="0" w:color="auto"/>
        <w:left w:val="none" w:sz="0" w:space="0" w:color="auto"/>
        <w:bottom w:val="none" w:sz="0" w:space="0" w:color="auto"/>
        <w:right w:val="none" w:sz="0" w:space="0" w:color="auto"/>
      </w:divBdr>
    </w:div>
    <w:div w:id="1158882024">
      <w:bodyDiv w:val="1"/>
      <w:marLeft w:val="0"/>
      <w:marRight w:val="0"/>
      <w:marTop w:val="0"/>
      <w:marBottom w:val="0"/>
      <w:divBdr>
        <w:top w:val="none" w:sz="0" w:space="0" w:color="auto"/>
        <w:left w:val="none" w:sz="0" w:space="0" w:color="auto"/>
        <w:bottom w:val="none" w:sz="0" w:space="0" w:color="auto"/>
        <w:right w:val="none" w:sz="0" w:space="0" w:color="auto"/>
      </w:divBdr>
    </w:div>
    <w:div w:id="1159613753">
      <w:bodyDiv w:val="1"/>
      <w:marLeft w:val="0"/>
      <w:marRight w:val="0"/>
      <w:marTop w:val="0"/>
      <w:marBottom w:val="0"/>
      <w:divBdr>
        <w:top w:val="none" w:sz="0" w:space="0" w:color="auto"/>
        <w:left w:val="none" w:sz="0" w:space="0" w:color="auto"/>
        <w:bottom w:val="none" w:sz="0" w:space="0" w:color="auto"/>
        <w:right w:val="none" w:sz="0" w:space="0" w:color="auto"/>
      </w:divBdr>
    </w:div>
    <w:div w:id="1161920499">
      <w:bodyDiv w:val="1"/>
      <w:marLeft w:val="0"/>
      <w:marRight w:val="0"/>
      <w:marTop w:val="0"/>
      <w:marBottom w:val="0"/>
      <w:divBdr>
        <w:top w:val="none" w:sz="0" w:space="0" w:color="auto"/>
        <w:left w:val="none" w:sz="0" w:space="0" w:color="auto"/>
        <w:bottom w:val="none" w:sz="0" w:space="0" w:color="auto"/>
        <w:right w:val="none" w:sz="0" w:space="0" w:color="auto"/>
      </w:divBdr>
    </w:div>
    <w:div w:id="1163623032">
      <w:bodyDiv w:val="1"/>
      <w:marLeft w:val="0"/>
      <w:marRight w:val="0"/>
      <w:marTop w:val="0"/>
      <w:marBottom w:val="0"/>
      <w:divBdr>
        <w:top w:val="none" w:sz="0" w:space="0" w:color="auto"/>
        <w:left w:val="none" w:sz="0" w:space="0" w:color="auto"/>
        <w:bottom w:val="none" w:sz="0" w:space="0" w:color="auto"/>
        <w:right w:val="none" w:sz="0" w:space="0" w:color="auto"/>
      </w:divBdr>
    </w:div>
    <w:div w:id="1166093184">
      <w:bodyDiv w:val="1"/>
      <w:marLeft w:val="0"/>
      <w:marRight w:val="0"/>
      <w:marTop w:val="0"/>
      <w:marBottom w:val="0"/>
      <w:divBdr>
        <w:top w:val="none" w:sz="0" w:space="0" w:color="auto"/>
        <w:left w:val="none" w:sz="0" w:space="0" w:color="auto"/>
        <w:bottom w:val="none" w:sz="0" w:space="0" w:color="auto"/>
        <w:right w:val="none" w:sz="0" w:space="0" w:color="auto"/>
      </w:divBdr>
    </w:div>
    <w:div w:id="1169520624">
      <w:bodyDiv w:val="1"/>
      <w:marLeft w:val="0"/>
      <w:marRight w:val="0"/>
      <w:marTop w:val="0"/>
      <w:marBottom w:val="0"/>
      <w:divBdr>
        <w:top w:val="none" w:sz="0" w:space="0" w:color="auto"/>
        <w:left w:val="none" w:sz="0" w:space="0" w:color="auto"/>
        <w:bottom w:val="none" w:sz="0" w:space="0" w:color="auto"/>
        <w:right w:val="none" w:sz="0" w:space="0" w:color="auto"/>
      </w:divBdr>
    </w:div>
    <w:div w:id="1170604672">
      <w:bodyDiv w:val="1"/>
      <w:marLeft w:val="0"/>
      <w:marRight w:val="0"/>
      <w:marTop w:val="0"/>
      <w:marBottom w:val="0"/>
      <w:divBdr>
        <w:top w:val="none" w:sz="0" w:space="0" w:color="auto"/>
        <w:left w:val="none" w:sz="0" w:space="0" w:color="auto"/>
        <w:bottom w:val="none" w:sz="0" w:space="0" w:color="auto"/>
        <w:right w:val="none" w:sz="0" w:space="0" w:color="auto"/>
      </w:divBdr>
    </w:div>
    <w:div w:id="1173446428">
      <w:bodyDiv w:val="1"/>
      <w:marLeft w:val="0"/>
      <w:marRight w:val="0"/>
      <w:marTop w:val="0"/>
      <w:marBottom w:val="0"/>
      <w:divBdr>
        <w:top w:val="none" w:sz="0" w:space="0" w:color="auto"/>
        <w:left w:val="none" w:sz="0" w:space="0" w:color="auto"/>
        <w:bottom w:val="none" w:sz="0" w:space="0" w:color="auto"/>
        <w:right w:val="none" w:sz="0" w:space="0" w:color="auto"/>
      </w:divBdr>
    </w:div>
    <w:div w:id="1174763566">
      <w:bodyDiv w:val="1"/>
      <w:marLeft w:val="0"/>
      <w:marRight w:val="0"/>
      <w:marTop w:val="0"/>
      <w:marBottom w:val="0"/>
      <w:divBdr>
        <w:top w:val="none" w:sz="0" w:space="0" w:color="auto"/>
        <w:left w:val="none" w:sz="0" w:space="0" w:color="auto"/>
        <w:bottom w:val="none" w:sz="0" w:space="0" w:color="auto"/>
        <w:right w:val="none" w:sz="0" w:space="0" w:color="auto"/>
      </w:divBdr>
    </w:div>
    <w:div w:id="1183085847">
      <w:bodyDiv w:val="1"/>
      <w:marLeft w:val="0"/>
      <w:marRight w:val="0"/>
      <w:marTop w:val="0"/>
      <w:marBottom w:val="0"/>
      <w:divBdr>
        <w:top w:val="none" w:sz="0" w:space="0" w:color="auto"/>
        <w:left w:val="none" w:sz="0" w:space="0" w:color="auto"/>
        <w:bottom w:val="none" w:sz="0" w:space="0" w:color="auto"/>
        <w:right w:val="none" w:sz="0" w:space="0" w:color="auto"/>
      </w:divBdr>
    </w:div>
    <w:div w:id="1185824284">
      <w:bodyDiv w:val="1"/>
      <w:marLeft w:val="0"/>
      <w:marRight w:val="0"/>
      <w:marTop w:val="0"/>
      <w:marBottom w:val="0"/>
      <w:divBdr>
        <w:top w:val="none" w:sz="0" w:space="0" w:color="auto"/>
        <w:left w:val="none" w:sz="0" w:space="0" w:color="auto"/>
        <w:bottom w:val="none" w:sz="0" w:space="0" w:color="auto"/>
        <w:right w:val="none" w:sz="0" w:space="0" w:color="auto"/>
      </w:divBdr>
    </w:div>
    <w:div w:id="1186211852">
      <w:bodyDiv w:val="1"/>
      <w:marLeft w:val="0"/>
      <w:marRight w:val="0"/>
      <w:marTop w:val="0"/>
      <w:marBottom w:val="0"/>
      <w:divBdr>
        <w:top w:val="none" w:sz="0" w:space="0" w:color="auto"/>
        <w:left w:val="none" w:sz="0" w:space="0" w:color="auto"/>
        <w:bottom w:val="none" w:sz="0" w:space="0" w:color="auto"/>
        <w:right w:val="none" w:sz="0" w:space="0" w:color="auto"/>
      </w:divBdr>
    </w:div>
    <w:div w:id="1186822076">
      <w:bodyDiv w:val="1"/>
      <w:marLeft w:val="0"/>
      <w:marRight w:val="0"/>
      <w:marTop w:val="0"/>
      <w:marBottom w:val="0"/>
      <w:divBdr>
        <w:top w:val="none" w:sz="0" w:space="0" w:color="auto"/>
        <w:left w:val="none" w:sz="0" w:space="0" w:color="auto"/>
        <w:bottom w:val="none" w:sz="0" w:space="0" w:color="auto"/>
        <w:right w:val="none" w:sz="0" w:space="0" w:color="auto"/>
      </w:divBdr>
    </w:div>
    <w:div w:id="1190609763">
      <w:bodyDiv w:val="1"/>
      <w:marLeft w:val="0"/>
      <w:marRight w:val="0"/>
      <w:marTop w:val="0"/>
      <w:marBottom w:val="0"/>
      <w:divBdr>
        <w:top w:val="none" w:sz="0" w:space="0" w:color="auto"/>
        <w:left w:val="none" w:sz="0" w:space="0" w:color="auto"/>
        <w:bottom w:val="none" w:sz="0" w:space="0" w:color="auto"/>
        <w:right w:val="none" w:sz="0" w:space="0" w:color="auto"/>
      </w:divBdr>
    </w:div>
    <w:div w:id="1190752309">
      <w:bodyDiv w:val="1"/>
      <w:marLeft w:val="0"/>
      <w:marRight w:val="0"/>
      <w:marTop w:val="0"/>
      <w:marBottom w:val="0"/>
      <w:divBdr>
        <w:top w:val="none" w:sz="0" w:space="0" w:color="auto"/>
        <w:left w:val="none" w:sz="0" w:space="0" w:color="auto"/>
        <w:bottom w:val="none" w:sz="0" w:space="0" w:color="auto"/>
        <w:right w:val="none" w:sz="0" w:space="0" w:color="auto"/>
      </w:divBdr>
    </w:div>
    <w:div w:id="1191411470">
      <w:bodyDiv w:val="1"/>
      <w:marLeft w:val="0"/>
      <w:marRight w:val="0"/>
      <w:marTop w:val="0"/>
      <w:marBottom w:val="0"/>
      <w:divBdr>
        <w:top w:val="none" w:sz="0" w:space="0" w:color="auto"/>
        <w:left w:val="none" w:sz="0" w:space="0" w:color="auto"/>
        <w:bottom w:val="none" w:sz="0" w:space="0" w:color="auto"/>
        <w:right w:val="none" w:sz="0" w:space="0" w:color="auto"/>
      </w:divBdr>
    </w:div>
    <w:div w:id="1197154708">
      <w:bodyDiv w:val="1"/>
      <w:marLeft w:val="0"/>
      <w:marRight w:val="0"/>
      <w:marTop w:val="0"/>
      <w:marBottom w:val="0"/>
      <w:divBdr>
        <w:top w:val="none" w:sz="0" w:space="0" w:color="auto"/>
        <w:left w:val="none" w:sz="0" w:space="0" w:color="auto"/>
        <w:bottom w:val="none" w:sz="0" w:space="0" w:color="auto"/>
        <w:right w:val="none" w:sz="0" w:space="0" w:color="auto"/>
      </w:divBdr>
    </w:div>
    <w:div w:id="1201671610">
      <w:bodyDiv w:val="1"/>
      <w:marLeft w:val="0"/>
      <w:marRight w:val="0"/>
      <w:marTop w:val="0"/>
      <w:marBottom w:val="0"/>
      <w:divBdr>
        <w:top w:val="none" w:sz="0" w:space="0" w:color="auto"/>
        <w:left w:val="none" w:sz="0" w:space="0" w:color="auto"/>
        <w:bottom w:val="none" w:sz="0" w:space="0" w:color="auto"/>
        <w:right w:val="none" w:sz="0" w:space="0" w:color="auto"/>
      </w:divBdr>
    </w:div>
    <w:div w:id="1201823978">
      <w:bodyDiv w:val="1"/>
      <w:marLeft w:val="0"/>
      <w:marRight w:val="0"/>
      <w:marTop w:val="0"/>
      <w:marBottom w:val="0"/>
      <w:divBdr>
        <w:top w:val="none" w:sz="0" w:space="0" w:color="auto"/>
        <w:left w:val="none" w:sz="0" w:space="0" w:color="auto"/>
        <w:bottom w:val="none" w:sz="0" w:space="0" w:color="auto"/>
        <w:right w:val="none" w:sz="0" w:space="0" w:color="auto"/>
      </w:divBdr>
    </w:div>
    <w:div w:id="1203204527">
      <w:bodyDiv w:val="1"/>
      <w:marLeft w:val="0"/>
      <w:marRight w:val="0"/>
      <w:marTop w:val="0"/>
      <w:marBottom w:val="0"/>
      <w:divBdr>
        <w:top w:val="none" w:sz="0" w:space="0" w:color="auto"/>
        <w:left w:val="none" w:sz="0" w:space="0" w:color="auto"/>
        <w:bottom w:val="none" w:sz="0" w:space="0" w:color="auto"/>
        <w:right w:val="none" w:sz="0" w:space="0" w:color="auto"/>
      </w:divBdr>
    </w:div>
    <w:div w:id="1206988501">
      <w:bodyDiv w:val="1"/>
      <w:marLeft w:val="0"/>
      <w:marRight w:val="0"/>
      <w:marTop w:val="0"/>
      <w:marBottom w:val="0"/>
      <w:divBdr>
        <w:top w:val="none" w:sz="0" w:space="0" w:color="auto"/>
        <w:left w:val="none" w:sz="0" w:space="0" w:color="auto"/>
        <w:bottom w:val="none" w:sz="0" w:space="0" w:color="auto"/>
        <w:right w:val="none" w:sz="0" w:space="0" w:color="auto"/>
      </w:divBdr>
    </w:div>
    <w:div w:id="1221938735">
      <w:bodyDiv w:val="1"/>
      <w:marLeft w:val="0"/>
      <w:marRight w:val="0"/>
      <w:marTop w:val="0"/>
      <w:marBottom w:val="0"/>
      <w:divBdr>
        <w:top w:val="none" w:sz="0" w:space="0" w:color="auto"/>
        <w:left w:val="none" w:sz="0" w:space="0" w:color="auto"/>
        <w:bottom w:val="none" w:sz="0" w:space="0" w:color="auto"/>
        <w:right w:val="none" w:sz="0" w:space="0" w:color="auto"/>
      </w:divBdr>
    </w:div>
    <w:div w:id="1227650073">
      <w:bodyDiv w:val="1"/>
      <w:marLeft w:val="0"/>
      <w:marRight w:val="0"/>
      <w:marTop w:val="0"/>
      <w:marBottom w:val="0"/>
      <w:divBdr>
        <w:top w:val="none" w:sz="0" w:space="0" w:color="auto"/>
        <w:left w:val="none" w:sz="0" w:space="0" w:color="auto"/>
        <w:bottom w:val="none" w:sz="0" w:space="0" w:color="auto"/>
        <w:right w:val="none" w:sz="0" w:space="0" w:color="auto"/>
      </w:divBdr>
    </w:div>
    <w:div w:id="1228105487">
      <w:bodyDiv w:val="1"/>
      <w:marLeft w:val="0"/>
      <w:marRight w:val="0"/>
      <w:marTop w:val="0"/>
      <w:marBottom w:val="0"/>
      <w:divBdr>
        <w:top w:val="none" w:sz="0" w:space="0" w:color="auto"/>
        <w:left w:val="none" w:sz="0" w:space="0" w:color="auto"/>
        <w:bottom w:val="none" w:sz="0" w:space="0" w:color="auto"/>
        <w:right w:val="none" w:sz="0" w:space="0" w:color="auto"/>
      </w:divBdr>
    </w:div>
    <w:div w:id="1228952598">
      <w:bodyDiv w:val="1"/>
      <w:marLeft w:val="0"/>
      <w:marRight w:val="0"/>
      <w:marTop w:val="0"/>
      <w:marBottom w:val="0"/>
      <w:divBdr>
        <w:top w:val="none" w:sz="0" w:space="0" w:color="auto"/>
        <w:left w:val="none" w:sz="0" w:space="0" w:color="auto"/>
        <w:bottom w:val="none" w:sz="0" w:space="0" w:color="auto"/>
        <w:right w:val="none" w:sz="0" w:space="0" w:color="auto"/>
      </w:divBdr>
    </w:div>
    <w:div w:id="1235123114">
      <w:bodyDiv w:val="1"/>
      <w:marLeft w:val="0"/>
      <w:marRight w:val="0"/>
      <w:marTop w:val="0"/>
      <w:marBottom w:val="0"/>
      <w:divBdr>
        <w:top w:val="none" w:sz="0" w:space="0" w:color="auto"/>
        <w:left w:val="none" w:sz="0" w:space="0" w:color="auto"/>
        <w:bottom w:val="none" w:sz="0" w:space="0" w:color="auto"/>
        <w:right w:val="none" w:sz="0" w:space="0" w:color="auto"/>
      </w:divBdr>
    </w:div>
    <w:div w:id="1238788874">
      <w:bodyDiv w:val="1"/>
      <w:marLeft w:val="0"/>
      <w:marRight w:val="0"/>
      <w:marTop w:val="0"/>
      <w:marBottom w:val="0"/>
      <w:divBdr>
        <w:top w:val="none" w:sz="0" w:space="0" w:color="auto"/>
        <w:left w:val="none" w:sz="0" w:space="0" w:color="auto"/>
        <w:bottom w:val="none" w:sz="0" w:space="0" w:color="auto"/>
        <w:right w:val="none" w:sz="0" w:space="0" w:color="auto"/>
      </w:divBdr>
    </w:div>
    <w:div w:id="1242058697">
      <w:bodyDiv w:val="1"/>
      <w:marLeft w:val="0"/>
      <w:marRight w:val="0"/>
      <w:marTop w:val="0"/>
      <w:marBottom w:val="0"/>
      <w:divBdr>
        <w:top w:val="none" w:sz="0" w:space="0" w:color="auto"/>
        <w:left w:val="none" w:sz="0" w:space="0" w:color="auto"/>
        <w:bottom w:val="none" w:sz="0" w:space="0" w:color="auto"/>
        <w:right w:val="none" w:sz="0" w:space="0" w:color="auto"/>
      </w:divBdr>
    </w:div>
    <w:div w:id="1245912879">
      <w:bodyDiv w:val="1"/>
      <w:marLeft w:val="0"/>
      <w:marRight w:val="0"/>
      <w:marTop w:val="0"/>
      <w:marBottom w:val="0"/>
      <w:divBdr>
        <w:top w:val="none" w:sz="0" w:space="0" w:color="auto"/>
        <w:left w:val="none" w:sz="0" w:space="0" w:color="auto"/>
        <w:bottom w:val="none" w:sz="0" w:space="0" w:color="auto"/>
        <w:right w:val="none" w:sz="0" w:space="0" w:color="auto"/>
      </w:divBdr>
    </w:div>
    <w:div w:id="1250578290">
      <w:bodyDiv w:val="1"/>
      <w:marLeft w:val="0"/>
      <w:marRight w:val="0"/>
      <w:marTop w:val="0"/>
      <w:marBottom w:val="0"/>
      <w:divBdr>
        <w:top w:val="none" w:sz="0" w:space="0" w:color="auto"/>
        <w:left w:val="none" w:sz="0" w:space="0" w:color="auto"/>
        <w:bottom w:val="none" w:sz="0" w:space="0" w:color="auto"/>
        <w:right w:val="none" w:sz="0" w:space="0" w:color="auto"/>
      </w:divBdr>
    </w:div>
    <w:div w:id="1255866470">
      <w:bodyDiv w:val="1"/>
      <w:marLeft w:val="0"/>
      <w:marRight w:val="0"/>
      <w:marTop w:val="0"/>
      <w:marBottom w:val="0"/>
      <w:divBdr>
        <w:top w:val="none" w:sz="0" w:space="0" w:color="auto"/>
        <w:left w:val="none" w:sz="0" w:space="0" w:color="auto"/>
        <w:bottom w:val="none" w:sz="0" w:space="0" w:color="auto"/>
        <w:right w:val="none" w:sz="0" w:space="0" w:color="auto"/>
      </w:divBdr>
    </w:div>
    <w:div w:id="1260065602">
      <w:bodyDiv w:val="1"/>
      <w:marLeft w:val="0"/>
      <w:marRight w:val="0"/>
      <w:marTop w:val="0"/>
      <w:marBottom w:val="0"/>
      <w:divBdr>
        <w:top w:val="none" w:sz="0" w:space="0" w:color="auto"/>
        <w:left w:val="none" w:sz="0" w:space="0" w:color="auto"/>
        <w:bottom w:val="none" w:sz="0" w:space="0" w:color="auto"/>
        <w:right w:val="none" w:sz="0" w:space="0" w:color="auto"/>
      </w:divBdr>
    </w:div>
    <w:div w:id="1263611431">
      <w:bodyDiv w:val="1"/>
      <w:marLeft w:val="0"/>
      <w:marRight w:val="0"/>
      <w:marTop w:val="0"/>
      <w:marBottom w:val="0"/>
      <w:divBdr>
        <w:top w:val="none" w:sz="0" w:space="0" w:color="auto"/>
        <w:left w:val="none" w:sz="0" w:space="0" w:color="auto"/>
        <w:bottom w:val="none" w:sz="0" w:space="0" w:color="auto"/>
        <w:right w:val="none" w:sz="0" w:space="0" w:color="auto"/>
      </w:divBdr>
    </w:div>
    <w:div w:id="1265189944">
      <w:bodyDiv w:val="1"/>
      <w:marLeft w:val="0"/>
      <w:marRight w:val="0"/>
      <w:marTop w:val="0"/>
      <w:marBottom w:val="0"/>
      <w:divBdr>
        <w:top w:val="none" w:sz="0" w:space="0" w:color="auto"/>
        <w:left w:val="none" w:sz="0" w:space="0" w:color="auto"/>
        <w:bottom w:val="none" w:sz="0" w:space="0" w:color="auto"/>
        <w:right w:val="none" w:sz="0" w:space="0" w:color="auto"/>
      </w:divBdr>
    </w:div>
    <w:div w:id="1267037686">
      <w:bodyDiv w:val="1"/>
      <w:marLeft w:val="0"/>
      <w:marRight w:val="0"/>
      <w:marTop w:val="0"/>
      <w:marBottom w:val="0"/>
      <w:divBdr>
        <w:top w:val="none" w:sz="0" w:space="0" w:color="auto"/>
        <w:left w:val="none" w:sz="0" w:space="0" w:color="auto"/>
        <w:bottom w:val="none" w:sz="0" w:space="0" w:color="auto"/>
        <w:right w:val="none" w:sz="0" w:space="0" w:color="auto"/>
      </w:divBdr>
    </w:div>
    <w:div w:id="1268460736">
      <w:bodyDiv w:val="1"/>
      <w:marLeft w:val="0"/>
      <w:marRight w:val="0"/>
      <w:marTop w:val="0"/>
      <w:marBottom w:val="0"/>
      <w:divBdr>
        <w:top w:val="none" w:sz="0" w:space="0" w:color="auto"/>
        <w:left w:val="none" w:sz="0" w:space="0" w:color="auto"/>
        <w:bottom w:val="none" w:sz="0" w:space="0" w:color="auto"/>
        <w:right w:val="none" w:sz="0" w:space="0" w:color="auto"/>
      </w:divBdr>
    </w:div>
    <w:div w:id="1269579850">
      <w:bodyDiv w:val="1"/>
      <w:marLeft w:val="0"/>
      <w:marRight w:val="0"/>
      <w:marTop w:val="0"/>
      <w:marBottom w:val="0"/>
      <w:divBdr>
        <w:top w:val="none" w:sz="0" w:space="0" w:color="auto"/>
        <w:left w:val="none" w:sz="0" w:space="0" w:color="auto"/>
        <w:bottom w:val="none" w:sz="0" w:space="0" w:color="auto"/>
        <w:right w:val="none" w:sz="0" w:space="0" w:color="auto"/>
      </w:divBdr>
    </w:div>
    <w:div w:id="1272400734">
      <w:bodyDiv w:val="1"/>
      <w:marLeft w:val="0"/>
      <w:marRight w:val="0"/>
      <w:marTop w:val="0"/>
      <w:marBottom w:val="0"/>
      <w:divBdr>
        <w:top w:val="none" w:sz="0" w:space="0" w:color="auto"/>
        <w:left w:val="none" w:sz="0" w:space="0" w:color="auto"/>
        <w:bottom w:val="none" w:sz="0" w:space="0" w:color="auto"/>
        <w:right w:val="none" w:sz="0" w:space="0" w:color="auto"/>
      </w:divBdr>
    </w:div>
    <w:div w:id="1273173662">
      <w:bodyDiv w:val="1"/>
      <w:marLeft w:val="0"/>
      <w:marRight w:val="0"/>
      <w:marTop w:val="0"/>
      <w:marBottom w:val="0"/>
      <w:divBdr>
        <w:top w:val="none" w:sz="0" w:space="0" w:color="auto"/>
        <w:left w:val="none" w:sz="0" w:space="0" w:color="auto"/>
        <w:bottom w:val="none" w:sz="0" w:space="0" w:color="auto"/>
        <w:right w:val="none" w:sz="0" w:space="0" w:color="auto"/>
      </w:divBdr>
    </w:div>
    <w:div w:id="1274284660">
      <w:bodyDiv w:val="1"/>
      <w:marLeft w:val="0"/>
      <w:marRight w:val="0"/>
      <w:marTop w:val="0"/>
      <w:marBottom w:val="0"/>
      <w:divBdr>
        <w:top w:val="none" w:sz="0" w:space="0" w:color="auto"/>
        <w:left w:val="none" w:sz="0" w:space="0" w:color="auto"/>
        <w:bottom w:val="none" w:sz="0" w:space="0" w:color="auto"/>
        <w:right w:val="none" w:sz="0" w:space="0" w:color="auto"/>
      </w:divBdr>
    </w:div>
    <w:div w:id="1274485099">
      <w:bodyDiv w:val="1"/>
      <w:marLeft w:val="0"/>
      <w:marRight w:val="0"/>
      <w:marTop w:val="0"/>
      <w:marBottom w:val="0"/>
      <w:divBdr>
        <w:top w:val="none" w:sz="0" w:space="0" w:color="auto"/>
        <w:left w:val="none" w:sz="0" w:space="0" w:color="auto"/>
        <w:bottom w:val="none" w:sz="0" w:space="0" w:color="auto"/>
        <w:right w:val="none" w:sz="0" w:space="0" w:color="auto"/>
      </w:divBdr>
    </w:div>
    <w:div w:id="1275407247">
      <w:bodyDiv w:val="1"/>
      <w:marLeft w:val="0"/>
      <w:marRight w:val="0"/>
      <w:marTop w:val="0"/>
      <w:marBottom w:val="0"/>
      <w:divBdr>
        <w:top w:val="none" w:sz="0" w:space="0" w:color="auto"/>
        <w:left w:val="none" w:sz="0" w:space="0" w:color="auto"/>
        <w:bottom w:val="none" w:sz="0" w:space="0" w:color="auto"/>
        <w:right w:val="none" w:sz="0" w:space="0" w:color="auto"/>
      </w:divBdr>
    </w:div>
    <w:div w:id="1275865831">
      <w:bodyDiv w:val="1"/>
      <w:marLeft w:val="0"/>
      <w:marRight w:val="0"/>
      <w:marTop w:val="0"/>
      <w:marBottom w:val="0"/>
      <w:divBdr>
        <w:top w:val="none" w:sz="0" w:space="0" w:color="auto"/>
        <w:left w:val="none" w:sz="0" w:space="0" w:color="auto"/>
        <w:bottom w:val="none" w:sz="0" w:space="0" w:color="auto"/>
        <w:right w:val="none" w:sz="0" w:space="0" w:color="auto"/>
      </w:divBdr>
    </w:div>
    <w:div w:id="1276719818">
      <w:bodyDiv w:val="1"/>
      <w:marLeft w:val="0"/>
      <w:marRight w:val="0"/>
      <w:marTop w:val="0"/>
      <w:marBottom w:val="0"/>
      <w:divBdr>
        <w:top w:val="none" w:sz="0" w:space="0" w:color="auto"/>
        <w:left w:val="none" w:sz="0" w:space="0" w:color="auto"/>
        <w:bottom w:val="none" w:sz="0" w:space="0" w:color="auto"/>
        <w:right w:val="none" w:sz="0" w:space="0" w:color="auto"/>
      </w:divBdr>
    </w:div>
    <w:div w:id="1277367934">
      <w:bodyDiv w:val="1"/>
      <w:marLeft w:val="0"/>
      <w:marRight w:val="0"/>
      <w:marTop w:val="0"/>
      <w:marBottom w:val="0"/>
      <w:divBdr>
        <w:top w:val="none" w:sz="0" w:space="0" w:color="auto"/>
        <w:left w:val="none" w:sz="0" w:space="0" w:color="auto"/>
        <w:bottom w:val="none" w:sz="0" w:space="0" w:color="auto"/>
        <w:right w:val="none" w:sz="0" w:space="0" w:color="auto"/>
      </w:divBdr>
    </w:div>
    <w:div w:id="1277521562">
      <w:bodyDiv w:val="1"/>
      <w:marLeft w:val="0"/>
      <w:marRight w:val="0"/>
      <w:marTop w:val="0"/>
      <w:marBottom w:val="0"/>
      <w:divBdr>
        <w:top w:val="none" w:sz="0" w:space="0" w:color="auto"/>
        <w:left w:val="none" w:sz="0" w:space="0" w:color="auto"/>
        <w:bottom w:val="none" w:sz="0" w:space="0" w:color="auto"/>
        <w:right w:val="none" w:sz="0" w:space="0" w:color="auto"/>
      </w:divBdr>
    </w:div>
    <w:div w:id="1282296377">
      <w:bodyDiv w:val="1"/>
      <w:marLeft w:val="0"/>
      <w:marRight w:val="0"/>
      <w:marTop w:val="0"/>
      <w:marBottom w:val="0"/>
      <w:divBdr>
        <w:top w:val="none" w:sz="0" w:space="0" w:color="auto"/>
        <w:left w:val="none" w:sz="0" w:space="0" w:color="auto"/>
        <w:bottom w:val="none" w:sz="0" w:space="0" w:color="auto"/>
        <w:right w:val="none" w:sz="0" w:space="0" w:color="auto"/>
      </w:divBdr>
    </w:div>
    <w:div w:id="1283459893">
      <w:bodyDiv w:val="1"/>
      <w:marLeft w:val="0"/>
      <w:marRight w:val="0"/>
      <w:marTop w:val="0"/>
      <w:marBottom w:val="0"/>
      <w:divBdr>
        <w:top w:val="none" w:sz="0" w:space="0" w:color="auto"/>
        <w:left w:val="none" w:sz="0" w:space="0" w:color="auto"/>
        <w:bottom w:val="none" w:sz="0" w:space="0" w:color="auto"/>
        <w:right w:val="none" w:sz="0" w:space="0" w:color="auto"/>
      </w:divBdr>
    </w:div>
    <w:div w:id="1284387649">
      <w:bodyDiv w:val="1"/>
      <w:marLeft w:val="0"/>
      <w:marRight w:val="0"/>
      <w:marTop w:val="0"/>
      <w:marBottom w:val="0"/>
      <w:divBdr>
        <w:top w:val="none" w:sz="0" w:space="0" w:color="auto"/>
        <w:left w:val="none" w:sz="0" w:space="0" w:color="auto"/>
        <w:bottom w:val="none" w:sz="0" w:space="0" w:color="auto"/>
        <w:right w:val="none" w:sz="0" w:space="0" w:color="auto"/>
      </w:divBdr>
    </w:div>
    <w:div w:id="1289631006">
      <w:bodyDiv w:val="1"/>
      <w:marLeft w:val="0"/>
      <w:marRight w:val="0"/>
      <w:marTop w:val="0"/>
      <w:marBottom w:val="0"/>
      <w:divBdr>
        <w:top w:val="none" w:sz="0" w:space="0" w:color="auto"/>
        <w:left w:val="none" w:sz="0" w:space="0" w:color="auto"/>
        <w:bottom w:val="none" w:sz="0" w:space="0" w:color="auto"/>
        <w:right w:val="none" w:sz="0" w:space="0" w:color="auto"/>
      </w:divBdr>
    </w:div>
    <w:div w:id="1292595684">
      <w:bodyDiv w:val="1"/>
      <w:marLeft w:val="0"/>
      <w:marRight w:val="0"/>
      <w:marTop w:val="0"/>
      <w:marBottom w:val="0"/>
      <w:divBdr>
        <w:top w:val="none" w:sz="0" w:space="0" w:color="auto"/>
        <w:left w:val="none" w:sz="0" w:space="0" w:color="auto"/>
        <w:bottom w:val="none" w:sz="0" w:space="0" w:color="auto"/>
        <w:right w:val="none" w:sz="0" w:space="0" w:color="auto"/>
      </w:divBdr>
    </w:div>
    <w:div w:id="1293172784">
      <w:bodyDiv w:val="1"/>
      <w:marLeft w:val="0"/>
      <w:marRight w:val="0"/>
      <w:marTop w:val="0"/>
      <w:marBottom w:val="0"/>
      <w:divBdr>
        <w:top w:val="none" w:sz="0" w:space="0" w:color="auto"/>
        <w:left w:val="none" w:sz="0" w:space="0" w:color="auto"/>
        <w:bottom w:val="none" w:sz="0" w:space="0" w:color="auto"/>
        <w:right w:val="none" w:sz="0" w:space="0" w:color="auto"/>
      </w:divBdr>
    </w:div>
    <w:div w:id="1297679678">
      <w:bodyDiv w:val="1"/>
      <w:marLeft w:val="0"/>
      <w:marRight w:val="0"/>
      <w:marTop w:val="0"/>
      <w:marBottom w:val="0"/>
      <w:divBdr>
        <w:top w:val="none" w:sz="0" w:space="0" w:color="auto"/>
        <w:left w:val="none" w:sz="0" w:space="0" w:color="auto"/>
        <w:bottom w:val="none" w:sz="0" w:space="0" w:color="auto"/>
        <w:right w:val="none" w:sz="0" w:space="0" w:color="auto"/>
      </w:divBdr>
    </w:div>
    <w:div w:id="1301031267">
      <w:bodyDiv w:val="1"/>
      <w:marLeft w:val="0"/>
      <w:marRight w:val="0"/>
      <w:marTop w:val="0"/>
      <w:marBottom w:val="0"/>
      <w:divBdr>
        <w:top w:val="none" w:sz="0" w:space="0" w:color="auto"/>
        <w:left w:val="none" w:sz="0" w:space="0" w:color="auto"/>
        <w:bottom w:val="none" w:sz="0" w:space="0" w:color="auto"/>
        <w:right w:val="none" w:sz="0" w:space="0" w:color="auto"/>
      </w:divBdr>
    </w:div>
    <w:div w:id="1304120172">
      <w:bodyDiv w:val="1"/>
      <w:marLeft w:val="0"/>
      <w:marRight w:val="0"/>
      <w:marTop w:val="0"/>
      <w:marBottom w:val="0"/>
      <w:divBdr>
        <w:top w:val="none" w:sz="0" w:space="0" w:color="auto"/>
        <w:left w:val="none" w:sz="0" w:space="0" w:color="auto"/>
        <w:bottom w:val="none" w:sz="0" w:space="0" w:color="auto"/>
        <w:right w:val="none" w:sz="0" w:space="0" w:color="auto"/>
      </w:divBdr>
    </w:div>
    <w:div w:id="1305968337">
      <w:bodyDiv w:val="1"/>
      <w:marLeft w:val="0"/>
      <w:marRight w:val="0"/>
      <w:marTop w:val="0"/>
      <w:marBottom w:val="0"/>
      <w:divBdr>
        <w:top w:val="none" w:sz="0" w:space="0" w:color="auto"/>
        <w:left w:val="none" w:sz="0" w:space="0" w:color="auto"/>
        <w:bottom w:val="none" w:sz="0" w:space="0" w:color="auto"/>
        <w:right w:val="none" w:sz="0" w:space="0" w:color="auto"/>
      </w:divBdr>
    </w:div>
    <w:div w:id="1307200539">
      <w:bodyDiv w:val="1"/>
      <w:marLeft w:val="0"/>
      <w:marRight w:val="0"/>
      <w:marTop w:val="0"/>
      <w:marBottom w:val="0"/>
      <w:divBdr>
        <w:top w:val="none" w:sz="0" w:space="0" w:color="auto"/>
        <w:left w:val="none" w:sz="0" w:space="0" w:color="auto"/>
        <w:bottom w:val="none" w:sz="0" w:space="0" w:color="auto"/>
        <w:right w:val="none" w:sz="0" w:space="0" w:color="auto"/>
      </w:divBdr>
    </w:div>
    <w:div w:id="1308125546">
      <w:bodyDiv w:val="1"/>
      <w:marLeft w:val="0"/>
      <w:marRight w:val="0"/>
      <w:marTop w:val="0"/>
      <w:marBottom w:val="0"/>
      <w:divBdr>
        <w:top w:val="none" w:sz="0" w:space="0" w:color="auto"/>
        <w:left w:val="none" w:sz="0" w:space="0" w:color="auto"/>
        <w:bottom w:val="none" w:sz="0" w:space="0" w:color="auto"/>
        <w:right w:val="none" w:sz="0" w:space="0" w:color="auto"/>
      </w:divBdr>
    </w:div>
    <w:div w:id="1315721791">
      <w:bodyDiv w:val="1"/>
      <w:marLeft w:val="0"/>
      <w:marRight w:val="0"/>
      <w:marTop w:val="0"/>
      <w:marBottom w:val="0"/>
      <w:divBdr>
        <w:top w:val="none" w:sz="0" w:space="0" w:color="auto"/>
        <w:left w:val="none" w:sz="0" w:space="0" w:color="auto"/>
        <w:bottom w:val="none" w:sz="0" w:space="0" w:color="auto"/>
        <w:right w:val="none" w:sz="0" w:space="0" w:color="auto"/>
      </w:divBdr>
    </w:div>
    <w:div w:id="1318656261">
      <w:bodyDiv w:val="1"/>
      <w:marLeft w:val="0"/>
      <w:marRight w:val="0"/>
      <w:marTop w:val="0"/>
      <w:marBottom w:val="0"/>
      <w:divBdr>
        <w:top w:val="none" w:sz="0" w:space="0" w:color="auto"/>
        <w:left w:val="none" w:sz="0" w:space="0" w:color="auto"/>
        <w:bottom w:val="none" w:sz="0" w:space="0" w:color="auto"/>
        <w:right w:val="none" w:sz="0" w:space="0" w:color="auto"/>
      </w:divBdr>
    </w:div>
    <w:div w:id="1322587048">
      <w:bodyDiv w:val="1"/>
      <w:marLeft w:val="0"/>
      <w:marRight w:val="0"/>
      <w:marTop w:val="0"/>
      <w:marBottom w:val="0"/>
      <w:divBdr>
        <w:top w:val="none" w:sz="0" w:space="0" w:color="auto"/>
        <w:left w:val="none" w:sz="0" w:space="0" w:color="auto"/>
        <w:bottom w:val="none" w:sz="0" w:space="0" w:color="auto"/>
        <w:right w:val="none" w:sz="0" w:space="0" w:color="auto"/>
      </w:divBdr>
    </w:div>
    <w:div w:id="1323704146">
      <w:bodyDiv w:val="1"/>
      <w:marLeft w:val="0"/>
      <w:marRight w:val="0"/>
      <w:marTop w:val="0"/>
      <w:marBottom w:val="0"/>
      <w:divBdr>
        <w:top w:val="none" w:sz="0" w:space="0" w:color="auto"/>
        <w:left w:val="none" w:sz="0" w:space="0" w:color="auto"/>
        <w:bottom w:val="none" w:sz="0" w:space="0" w:color="auto"/>
        <w:right w:val="none" w:sz="0" w:space="0" w:color="auto"/>
      </w:divBdr>
    </w:div>
    <w:div w:id="1328090148">
      <w:bodyDiv w:val="1"/>
      <w:marLeft w:val="0"/>
      <w:marRight w:val="0"/>
      <w:marTop w:val="0"/>
      <w:marBottom w:val="0"/>
      <w:divBdr>
        <w:top w:val="none" w:sz="0" w:space="0" w:color="auto"/>
        <w:left w:val="none" w:sz="0" w:space="0" w:color="auto"/>
        <w:bottom w:val="none" w:sz="0" w:space="0" w:color="auto"/>
        <w:right w:val="none" w:sz="0" w:space="0" w:color="auto"/>
      </w:divBdr>
    </w:div>
    <w:div w:id="1333993399">
      <w:bodyDiv w:val="1"/>
      <w:marLeft w:val="0"/>
      <w:marRight w:val="0"/>
      <w:marTop w:val="0"/>
      <w:marBottom w:val="0"/>
      <w:divBdr>
        <w:top w:val="none" w:sz="0" w:space="0" w:color="auto"/>
        <w:left w:val="none" w:sz="0" w:space="0" w:color="auto"/>
        <w:bottom w:val="none" w:sz="0" w:space="0" w:color="auto"/>
        <w:right w:val="none" w:sz="0" w:space="0" w:color="auto"/>
      </w:divBdr>
    </w:div>
    <w:div w:id="1343050457">
      <w:bodyDiv w:val="1"/>
      <w:marLeft w:val="0"/>
      <w:marRight w:val="0"/>
      <w:marTop w:val="0"/>
      <w:marBottom w:val="0"/>
      <w:divBdr>
        <w:top w:val="none" w:sz="0" w:space="0" w:color="auto"/>
        <w:left w:val="none" w:sz="0" w:space="0" w:color="auto"/>
        <w:bottom w:val="none" w:sz="0" w:space="0" w:color="auto"/>
        <w:right w:val="none" w:sz="0" w:space="0" w:color="auto"/>
      </w:divBdr>
    </w:div>
    <w:div w:id="1346706627">
      <w:bodyDiv w:val="1"/>
      <w:marLeft w:val="0"/>
      <w:marRight w:val="0"/>
      <w:marTop w:val="0"/>
      <w:marBottom w:val="0"/>
      <w:divBdr>
        <w:top w:val="none" w:sz="0" w:space="0" w:color="auto"/>
        <w:left w:val="none" w:sz="0" w:space="0" w:color="auto"/>
        <w:bottom w:val="none" w:sz="0" w:space="0" w:color="auto"/>
        <w:right w:val="none" w:sz="0" w:space="0" w:color="auto"/>
      </w:divBdr>
    </w:div>
    <w:div w:id="1358854217">
      <w:bodyDiv w:val="1"/>
      <w:marLeft w:val="0"/>
      <w:marRight w:val="0"/>
      <w:marTop w:val="0"/>
      <w:marBottom w:val="0"/>
      <w:divBdr>
        <w:top w:val="none" w:sz="0" w:space="0" w:color="auto"/>
        <w:left w:val="none" w:sz="0" w:space="0" w:color="auto"/>
        <w:bottom w:val="none" w:sz="0" w:space="0" w:color="auto"/>
        <w:right w:val="none" w:sz="0" w:space="0" w:color="auto"/>
      </w:divBdr>
    </w:div>
    <w:div w:id="1360282172">
      <w:bodyDiv w:val="1"/>
      <w:marLeft w:val="0"/>
      <w:marRight w:val="0"/>
      <w:marTop w:val="0"/>
      <w:marBottom w:val="0"/>
      <w:divBdr>
        <w:top w:val="none" w:sz="0" w:space="0" w:color="auto"/>
        <w:left w:val="none" w:sz="0" w:space="0" w:color="auto"/>
        <w:bottom w:val="none" w:sz="0" w:space="0" w:color="auto"/>
        <w:right w:val="none" w:sz="0" w:space="0" w:color="auto"/>
      </w:divBdr>
    </w:div>
    <w:div w:id="1370498565">
      <w:bodyDiv w:val="1"/>
      <w:marLeft w:val="0"/>
      <w:marRight w:val="0"/>
      <w:marTop w:val="0"/>
      <w:marBottom w:val="0"/>
      <w:divBdr>
        <w:top w:val="none" w:sz="0" w:space="0" w:color="auto"/>
        <w:left w:val="none" w:sz="0" w:space="0" w:color="auto"/>
        <w:bottom w:val="none" w:sz="0" w:space="0" w:color="auto"/>
        <w:right w:val="none" w:sz="0" w:space="0" w:color="auto"/>
      </w:divBdr>
    </w:div>
    <w:div w:id="1371689027">
      <w:bodyDiv w:val="1"/>
      <w:marLeft w:val="0"/>
      <w:marRight w:val="0"/>
      <w:marTop w:val="0"/>
      <w:marBottom w:val="0"/>
      <w:divBdr>
        <w:top w:val="none" w:sz="0" w:space="0" w:color="auto"/>
        <w:left w:val="none" w:sz="0" w:space="0" w:color="auto"/>
        <w:bottom w:val="none" w:sz="0" w:space="0" w:color="auto"/>
        <w:right w:val="none" w:sz="0" w:space="0" w:color="auto"/>
      </w:divBdr>
    </w:div>
    <w:div w:id="1379166056">
      <w:bodyDiv w:val="1"/>
      <w:marLeft w:val="0"/>
      <w:marRight w:val="0"/>
      <w:marTop w:val="0"/>
      <w:marBottom w:val="0"/>
      <w:divBdr>
        <w:top w:val="none" w:sz="0" w:space="0" w:color="auto"/>
        <w:left w:val="none" w:sz="0" w:space="0" w:color="auto"/>
        <w:bottom w:val="none" w:sz="0" w:space="0" w:color="auto"/>
        <w:right w:val="none" w:sz="0" w:space="0" w:color="auto"/>
      </w:divBdr>
    </w:div>
    <w:div w:id="1398625270">
      <w:bodyDiv w:val="1"/>
      <w:marLeft w:val="0"/>
      <w:marRight w:val="0"/>
      <w:marTop w:val="0"/>
      <w:marBottom w:val="0"/>
      <w:divBdr>
        <w:top w:val="none" w:sz="0" w:space="0" w:color="auto"/>
        <w:left w:val="none" w:sz="0" w:space="0" w:color="auto"/>
        <w:bottom w:val="none" w:sz="0" w:space="0" w:color="auto"/>
        <w:right w:val="none" w:sz="0" w:space="0" w:color="auto"/>
      </w:divBdr>
    </w:div>
    <w:div w:id="1399211167">
      <w:bodyDiv w:val="1"/>
      <w:marLeft w:val="0"/>
      <w:marRight w:val="0"/>
      <w:marTop w:val="0"/>
      <w:marBottom w:val="0"/>
      <w:divBdr>
        <w:top w:val="none" w:sz="0" w:space="0" w:color="auto"/>
        <w:left w:val="none" w:sz="0" w:space="0" w:color="auto"/>
        <w:bottom w:val="none" w:sz="0" w:space="0" w:color="auto"/>
        <w:right w:val="none" w:sz="0" w:space="0" w:color="auto"/>
      </w:divBdr>
    </w:div>
    <w:div w:id="1406949412">
      <w:bodyDiv w:val="1"/>
      <w:marLeft w:val="0"/>
      <w:marRight w:val="0"/>
      <w:marTop w:val="0"/>
      <w:marBottom w:val="0"/>
      <w:divBdr>
        <w:top w:val="none" w:sz="0" w:space="0" w:color="auto"/>
        <w:left w:val="none" w:sz="0" w:space="0" w:color="auto"/>
        <w:bottom w:val="none" w:sz="0" w:space="0" w:color="auto"/>
        <w:right w:val="none" w:sz="0" w:space="0" w:color="auto"/>
      </w:divBdr>
    </w:div>
    <w:div w:id="1410809908">
      <w:bodyDiv w:val="1"/>
      <w:marLeft w:val="0"/>
      <w:marRight w:val="0"/>
      <w:marTop w:val="0"/>
      <w:marBottom w:val="0"/>
      <w:divBdr>
        <w:top w:val="none" w:sz="0" w:space="0" w:color="auto"/>
        <w:left w:val="none" w:sz="0" w:space="0" w:color="auto"/>
        <w:bottom w:val="none" w:sz="0" w:space="0" w:color="auto"/>
        <w:right w:val="none" w:sz="0" w:space="0" w:color="auto"/>
      </w:divBdr>
    </w:div>
    <w:div w:id="1411538034">
      <w:bodyDiv w:val="1"/>
      <w:marLeft w:val="0"/>
      <w:marRight w:val="0"/>
      <w:marTop w:val="0"/>
      <w:marBottom w:val="0"/>
      <w:divBdr>
        <w:top w:val="none" w:sz="0" w:space="0" w:color="auto"/>
        <w:left w:val="none" w:sz="0" w:space="0" w:color="auto"/>
        <w:bottom w:val="none" w:sz="0" w:space="0" w:color="auto"/>
        <w:right w:val="none" w:sz="0" w:space="0" w:color="auto"/>
      </w:divBdr>
    </w:div>
    <w:div w:id="1412387044">
      <w:bodyDiv w:val="1"/>
      <w:marLeft w:val="0"/>
      <w:marRight w:val="0"/>
      <w:marTop w:val="0"/>
      <w:marBottom w:val="0"/>
      <w:divBdr>
        <w:top w:val="none" w:sz="0" w:space="0" w:color="auto"/>
        <w:left w:val="none" w:sz="0" w:space="0" w:color="auto"/>
        <w:bottom w:val="none" w:sz="0" w:space="0" w:color="auto"/>
        <w:right w:val="none" w:sz="0" w:space="0" w:color="auto"/>
      </w:divBdr>
    </w:div>
    <w:div w:id="1413354189">
      <w:bodyDiv w:val="1"/>
      <w:marLeft w:val="0"/>
      <w:marRight w:val="0"/>
      <w:marTop w:val="0"/>
      <w:marBottom w:val="0"/>
      <w:divBdr>
        <w:top w:val="none" w:sz="0" w:space="0" w:color="auto"/>
        <w:left w:val="none" w:sz="0" w:space="0" w:color="auto"/>
        <w:bottom w:val="none" w:sz="0" w:space="0" w:color="auto"/>
        <w:right w:val="none" w:sz="0" w:space="0" w:color="auto"/>
      </w:divBdr>
    </w:div>
    <w:div w:id="1417171054">
      <w:bodyDiv w:val="1"/>
      <w:marLeft w:val="0"/>
      <w:marRight w:val="0"/>
      <w:marTop w:val="0"/>
      <w:marBottom w:val="0"/>
      <w:divBdr>
        <w:top w:val="none" w:sz="0" w:space="0" w:color="auto"/>
        <w:left w:val="none" w:sz="0" w:space="0" w:color="auto"/>
        <w:bottom w:val="none" w:sz="0" w:space="0" w:color="auto"/>
        <w:right w:val="none" w:sz="0" w:space="0" w:color="auto"/>
      </w:divBdr>
    </w:div>
    <w:div w:id="1420449682">
      <w:bodyDiv w:val="1"/>
      <w:marLeft w:val="0"/>
      <w:marRight w:val="0"/>
      <w:marTop w:val="0"/>
      <w:marBottom w:val="0"/>
      <w:divBdr>
        <w:top w:val="none" w:sz="0" w:space="0" w:color="auto"/>
        <w:left w:val="none" w:sz="0" w:space="0" w:color="auto"/>
        <w:bottom w:val="none" w:sz="0" w:space="0" w:color="auto"/>
        <w:right w:val="none" w:sz="0" w:space="0" w:color="auto"/>
      </w:divBdr>
    </w:div>
    <w:div w:id="1430661666">
      <w:bodyDiv w:val="1"/>
      <w:marLeft w:val="0"/>
      <w:marRight w:val="0"/>
      <w:marTop w:val="0"/>
      <w:marBottom w:val="0"/>
      <w:divBdr>
        <w:top w:val="none" w:sz="0" w:space="0" w:color="auto"/>
        <w:left w:val="none" w:sz="0" w:space="0" w:color="auto"/>
        <w:bottom w:val="none" w:sz="0" w:space="0" w:color="auto"/>
        <w:right w:val="none" w:sz="0" w:space="0" w:color="auto"/>
      </w:divBdr>
    </w:div>
    <w:div w:id="1431660036">
      <w:bodyDiv w:val="1"/>
      <w:marLeft w:val="0"/>
      <w:marRight w:val="0"/>
      <w:marTop w:val="0"/>
      <w:marBottom w:val="0"/>
      <w:divBdr>
        <w:top w:val="none" w:sz="0" w:space="0" w:color="auto"/>
        <w:left w:val="none" w:sz="0" w:space="0" w:color="auto"/>
        <w:bottom w:val="none" w:sz="0" w:space="0" w:color="auto"/>
        <w:right w:val="none" w:sz="0" w:space="0" w:color="auto"/>
      </w:divBdr>
    </w:div>
    <w:div w:id="1441142652">
      <w:bodyDiv w:val="1"/>
      <w:marLeft w:val="0"/>
      <w:marRight w:val="0"/>
      <w:marTop w:val="0"/>
      <w:marBottom w:val="0"/>
      <w:divBdr>
        <w:top w:val="none" w:sz="0" w:space="0" w:color="auto"/>
        <w:left w:val="none" w:sz="0" w:space="0" w:color="auto"/>
        <w:bottom w:val="none" w:sz="0" w:space="0" w:color="auto"/>
        <w:right w:val="none" w:sz="0" w:space="0" w:color="auto"/>
      </w:divBdr>
    </w:div>
    <w:div w:id="1441413812">
      <w:bodyDiv w:val="1"/>
      <w:marLeft w:val="0"/>
      <w:marRight w:val="0"/>
      <w:marTop w:val="0"/>
      <w:marBottom w:val="0"/>
      <w:divBdr>
        <w:top w:val="none" w:sz="0" w:space="0" w:color="auto"/>
        <w:left w:val="none" w:sz="0" w:space="0" w:color="auto"/>
        <w:bottom w:val="none" w:sz="0" w:space="0" w:color="auto"/>
        <w:right w:val="none" w:sz="0" w:space="0" w:color="auto"/>
      </w:divBdr>
    </w:div>
    <w:div w:id="1442453720">
      <w:bodyDiv w:val="1"/>
      <w:marLeft w:val="0"/>
      <w:marRight w:val="0"/>
      <w:marTop w:val="0"/>
      <w:marBottom w:val="0"/>
      <w:divBdr>
        <w:top w:val="none" w:sz="0" w:space="0" w:color="auto"/>
        <w:left w:val="none" w:sz="0" w:space="0" w:color="auto"/>
        <w:bottom w:val="none" w:sz="0" w:space="0" w:color="auto"/>
        <w:right w:val="none" w:sz="0" w:space="0" w:color="auto"/>
      </w:divBdr>
    </w:div>
    <w:div w:id="1442607481">
      <w:bodyDiv w:val="1"/>
      <w:marLeft w:val="0"/>
      <w:marRight w:val="0"/>
      <w:marTop w:val="0"/>
      <w:marBottom w:val="0"/>
      <w:divBdr>
        <w:top w:val="none" w:sz="0" w:space="0" w:color="auto"/>
        <w:left w:val="none" w:sz="0" w:space="0" w:color="auto"/>
        <w:bottom w:val="none" w:sz="0" w:space="0" w:color="auto"/>
        <w:right w:val="none" w:sz="0" w:space="0" w:color="auto"/>
      </w:divBdr>
    </w:div>
    <w:div w:id="1446340284">
      <w:bodyDiv w:val="1"/>
      <w:marLeft w:val="0"/>
      <w:marRight w:val="0"/>
      <w:marTop w:val="0"/>
      <w:marBottom w:val="0"/>
      <w:divBdr>
        <w:top w:val="none" w:sz="0" w:space="0" w:color="auto"/>
        <w:left w:val="none" w:sz="0" w:space="0" w:color="auto"/>
        <w:bottom w:val="none" w:sz="0" w:space="0" w:color="auto"/>
        <w:right w:val="none" w:sz="0" w:space="0" w:color="auto"/>
      </w:divBdr>
    </w:div>
    <w:div w:id="1450969348">
      <w:bodyDiv w:val="1"/>
      <w:marLeft w:val="0"/>
      <w:marRight w:val="0"/>
      <w:marTop w:val="0"/>
      <w:marBottom w:val="0"/>
      <w:divBdr>
        <w:top w:val="none" w:sz="0" w:space="0" w:color="auto"/>
        <w:left w:val="none" w:sz="0" w:space="0" w:color="auto"/>
        <w:bottom w:val="none" w:sz="0" w:space="0" w:color="auto"/>
        <w:right w:val="none" w:sz="0" w:space="0" w:color="auto"/>
      </w:divBdr>
    </w:div>
    <w:div w:id="1462071327">
      <w:bodyDiv w:val="1"/>
      <w:marLeft w:val="0"/>
      <w:marRight w:val="0"/>
      <w:marTop w:val="0"/>
      <w:marBottom w:val="0"/>
      <w:divBdr>
        <w:top w:val="none" w:sz="0" w:space="0" w:color="auto"/>
        <w:left w:val="none" w:sz="0" w:space="0" w:color="auto"/>
        <w:bottom w:val="none" w:sz="0" w:space="0" w:color="auto"/>
        <w:right w:val="none" w:sz="0" w:space="0" w:color="auto"/>
      </w:divBdr>
    </w:div>
    <w:div w:id="1463422964">
      <w:bodyDiv w:val="1"/>
      <w:marLeft w:val="0"/>
      <w:marRight w:val="0"/>
      <w:marTop w:val="0"/>
      <w:marBottom w:val="0"/>
      <w:divBdr>
        <w:top w:val="none" w:sz="0" w:space="0" w:color="auto"/>
        <w:left w:val="none" w:sz="0" w:space="0" w:color="auto"/>
        <w:bottom w:val="none" w:sz="0" w:space="0" w:color="auto"/>
        <w:right w:val="none" w:sz="0" w:space="0" w:color="auto"/>
      </w:divBdr>
    </w:div>
    <w:div w:id="1464613824">
      <w:bodyDiv w:val="1"/>
      <w:marLeft w:val="0"/>
      <w:marRight w:val="0"/>
      <w:marTop w:val="0"/>
      <w:marBottom w:val="0"/>
      <w:divBdr>
        <w:top w:val="none" w:sz="0" w:space="0" w:color="auto"/>
        <w:left w:val="none" w:sz="0" w:space="0" w:color="auto"/>
        <w:bottom w:val="none" w:sz="0" w:space="0" w:color="auto"/>
        <w:right w:val="none" w:sz="0" w:space="0" w:color="auto"/>
      </w:divBdr>
    </w:div>
    <w:div w:id="1464735418">
      <w:bodyDiv w:val="1"/>
      <w:marLeft w:val="0"/>
      <w:marRight w:val="0"/>
      <w:marTop w:val="0"/>
      <w:marBottom w:val="0"/>
      <w:divBdr>
        <w:top w:val="none" w:sz="0" w:space="0" w:color="auto"/>
        <w:left w:val="none" w:sz="0" w:space="0" w:color="auto"/>
        <w:bottom w:val="none" w:sz="0" w:space="0" w:color="auto"/>
        <w:right w:val="none" w:sz="0" w:space="0" w:color="auto"/>
      </w:divBdr>
    </w:div>
    <w:div w:id="1466389214">
      <w:bodyDiv w:val="1"/>
      <w:marLeft w:val="0"/>
      <w:marRight w:val="0"/>
      <w:marTop w:val="0"/>
      <w:marBottom w:val="0"/>
      <w:divBdr>
        <w:top w:val="none" w:sz="0" w:space="0" w:color="auto"/>
        <w:left w:val="none" w:sz="0" w:space="0" w:color="auto"/>
        <w:bottom w:val="none" w:sz="0" w:space="0" w:color="auto"/>
        <w:right w:val="none" w:sz="0" w:space="0" w:color="auto"/>
      </w:divBdr>
    </w:div>
    <w:div w:id="1466582594">
      <w:bodyDiv w:val="1"/>
      <w:marLeft w:val="0"/>
      <w:marRight w:val="0"/>
      <w:marTop w:val="0"/>
      <w:marBottom w:val="0"/>
      <w:divBdr>
        <w:top w:val="none" w:sz="0" w:space="0" w:color="auto"/>
        <w:left w:val="none" w:sz="0" w:space="0" w:color="auto"/>
        <w:bottom w:val="none" w:sz="0" w:space="0" w:color="auto"/>
        <w:right w:val="none" w:sz="0" w:space="0" w:color="auto"/>
      </w:divBdr>
    </w:div>
    <w:div w:id="1467501924">
      <w:bodyDiv w:val="1"/>
      <w:marLeft w:val="0"/>
      <w:marRight w:val="0"/>
      <w:marTop w:val="0"/>
      <w:marBottom w:val="0"/>
      <w:divBdr>
        <w:top w:val="none" w:sz="0" w:space="0" w:color="auto"/>
        <w:left w:val="none" w:sz="0" w:space="0" w:color="auto"/>
        <w:bottom w:val="none" w:sz="0" w:space="0" w:color="auto"/>
        <w:right w:val="none" w:sz="0" w:space="0" w:color="auto"/>
      </w:divBdr>
    </w:div>
    <w:div w:id="1470318690">
      <w:bodyDiv w:val="1"/>
      <w:marLeft w:val="0"/>
      <w:marRight w:val="0"/>
      <w:marTop w:val="0"/>
      <w:marBottom w:val="0"/>
      <w:divBdr>
        <w:top w:val="none" w:sz="0" w:space="0" w:color="auto"/>
        <w:left w:val="none" w:sz="0" w:space="0" w:color="auto"/>
        <w:bottom w:val="none" w:sz="0" w:space="0" w:color="auto"/>
        <w:right w:val="none" w:sz="0" w:space="0" w:color="auto"/>
      </w:divBdr>
    </w:div>
    <w:div w:id="1472164900">
      <w:bodyDiv w:val="1"/>
      <w:marLeft w:val="0"/>
      <w:marRight w:val="0"/>
      <w:marTop w:val="0"/>
      <w:marBottom w:val="0"/>
      <w:divBdr>
        <w:top w:val="none" w:sz="0" w:space="0" w:color="auto"/>
        <w:left w:val="none" w:sz="0" w:space="0" w:color="auto"/>
        <w:bottom w:val="none" w:sz="0" w:space="0" w:color="auto"/>
        <w:right w:val="none" w:sz="0" w:space="0" w:color="auto"/>
      </w:divBdr>
    </w:div>
    <w:div w:id="1475367655">
      <w:bodyDiv w:val="1"/>
      <w:marLeft w:val="0"/>
      <w:marRight w:val="0"/>
      <w:marTop w:val="0"/>
      <w:marBottom w:val="0"/>
      <w:divBdr>
        <w:top w:val="none" w:sz="0" w:space="0" w:color="auto"/>
        <w:left w:val="none" w:sz="0" w:space="0" w:color="auto"/>
        <w:bottom w:val="none" w:sz="0" w:space="0" w:color="auto"/>
        <w:right w:val="none" w:sz="0" w:space="0" w:color="auto"/>
      </w:divBdr>
    </w:div>
    <w:div w:id="1482309236">
      <w:bodyDiv w:val="1"/>
      <w:marLeft w:val="0"/>
      <w:marRight w:val="0"/>
      <w:marTop w:val="0"/>
      <w:marBottom w:val="0"/>
      <w:divBdr>
        <w:top w:val="none" w:sz="0" w:space="0" w:color="auto"/>
        <w:left w:val="none" w:sz="0" w:space="0" w:color="auto"/>
        <w:bottom w:val="none" w:sz="0" w:space="0" w:color="auto"/>
        <w:right w:val="none" w:sz="0" w:space="0" w:color="auto"/>
      </w:divBdr>
    </w:div>
    <w:div w:id="1489518485">
      <w:bodyDiv w:val="1"/>
      <w:marLeft w:val="0"/>
      <w:marRight w:val="0"/>
      <w:marTop w:val="0"/>
      <w:marBottom w:val="0"/>
      <w:divBdr>
        <w:top w:val="none" w:sz="0" w:space="0" w:color="auto"/>
        <w:left w:val="none" w:sz="0" w:space="0" w:color="auto"/>
        <w:bottom w:val="none" w:sz="0" w:space="0" w:color="auto"/>
        <w:right w:val="none" w:sz="0" w:space="0" w:color="auto"/>
      </w:divBdr>
    </w:div>
    <w:div w:id="1491293738">
      <w:bodyDiv w:val="1"/>
      <w:marLeft w:val="0"/>
      <w:marRight w:val="0"/>
      <w:marTop w:val="0"/>
      <w:marBottom w:val="0"/>
      <w:divBdr>
        <w:top w:val="none" w:sz="0" w:space="0" w:color="auto"/>
        <w:left w:val="none" w:sz="0" w:space="0" w:color="auto"/>
        <w:bottom w:val="none" w:sz="0" w:space="0" w:color="auto"/>
        <w:right w:val="none" w:sz="0" w:space="0" w:color="auto"/>
      </w:divBdr>
    </w:div>
    <w:div w:id="1492675105">
      <w:bodyDiv w:val="1"/>
      <w:marLeft w:val="0"/>
      <w:marRight w:val="0"/>
      <w:marTop w:val="0"/>
      <w:marBottom w:val="0"/>
      <w:divBdr>
        <w:top w:val="none" w:sz="0" w:space="0" w:color="auto"/>
        <w:left w:val="none" w:sz="0" w:space="0" w:color="auto"/>
        <w:bottom w:val="none" w:sz="0" w:space="0" w:color="auto"/>
        <w:right w:val="none" w:sz="0" w:space="0" w:color="auto"/>
      </w:divBdr>
    </w:div>
    <w:div w:id="1495872052">
      <w:bodyDiv w:val="1"/>
      <w:marLeft w:val="0"/>
      <w:marRight w:val="0"/>
      <w:marTop w:val="0"/>
      <w:marBottom w:val="0"/>
      <w:divBdr>
        <w:top w:val="none" w:sz="0" w:space="0" w:color="auto"/>
        <w:left w:val="none" w:sz="0" w:space="0" w:color="auto"/>
        <w:bottom w:val="none" w:sz="0" w:space="0" w:color="auto"/>
        <w:right w:val="none" w:sz="0" w:space="0" w:color="auto"/>
      </w:divBdr>
    </w:div>
    <w:div w:id="1497182124">
      <w:bodyDiv w:val="1"/>
      <w:marLeft w:val="0"/>
      <w:marRight w:val="0"/>
      <w:marTop w:val="0"/>
      <w:marBottom w:val="0"/>
      <w:divBdr>
        <w:top w:val="none" w:sz="0" w:space="0" w:color="auto"/>
        <w:left w:val="none" w:sz="0" w:space="0" w:color="auto"/>
        <w:bottom w:val="none" w:sz="0" w:space="0" w:color="auto"/>
        <w:right w:val="none" w:sz="0" w:space="0" w:color="auto"/>
      </w:divBdr>
    </w:div>
    <w:div w:id="1498616970">
      <w:bodyDiv w:val="1"/>
      <w:marLeft w:val="0"/>
      <w:marRight w:val="0"/>
      <w:marTop w:val="0"/>
      <w:marBottom w:val="0"/>
      <w:divBdr>
        <w:top w:val="none" w:sz="0" w:space="0" w:color="auto"/>
        <w:left w:val="none" w:sz="0" w:space="0" w:color="auto"/>
        <w:bottom w:val="none" w:sz="0" w:space="0" w:color="auto"/>
        <w:right w:val="none" w:sz="0" w:space="0" w:color="auto"/>
      </w:divBdr>
    </w:div>
    <w:div w:id="1499688679">
      <w:bodyDiv w:val="1"/>
      <w:marLeft w:val="0"/>
      <w:marRight w:val="0"/>
      <w:marTop w:val="0"/>
      <w:marBottom w:val="0"/>
      <w:divBdr>
        <w:top w:val="none" w:sz="0" w:space="0" w:color="auto"/>
        <w:left w:val="none" w:sz="0" w:space="0" w:color="auto"/>
        <w:bottom w:val="none" w:sz="0" w:space="0" w:color="auto"/>
        <w:right w:val="none" w:sz="0" w:space="0" w:color="auto"/>
      </w:divBdr>
    </w:div>
    <w:div w:id="1503354824">
      <w:bodyDiv w:val="1"/>
      <w:marLeft w:val="0"/>
      <w:marRight w:val="0"/>
      <w:marTop w:val="0"/>
      <w:marBottom w:val="0"/>
      <w:divBdr>
        <w:top w:val="none" w:sz="0" w:space="0" w:color="auto"/>
        <w:left w:val="none" w:sz="0" w:space="0" w:color="auto"/>
        <w:bottom w:val="none" w:sz="0" w:space="0" w:color="auto"/>
        <w:right w:val="none" w:sz="0" w:space="0" w:color="auto"/>
      </w:divBdr>
    </w:div>
    <w:div w:id="1504123692">
      <w:bodyDiv w:val="1"/>
      <w:marLeft w:val="0"/>
      <w:marRight w:val="0"/>
      <w:marTop w:val="0"/>
      <w:marBottom w:val="0"/>
      <w:divBdr>
        <w:top w:val="none" w:sz="0" w:space="0" w:color="auto"/>
        <w:left w:val="none" w:sz="0" w:space="0" w:color="auto"/>
        <w:bottom w:val="none" w:sz="0" w:space="0" w:color="auto"/>
        <w:right w:val="none" w:sz="0" w:space="0" w:color="auto"/>
      </w:divBdr>
    </w:div>
    <w:div w:id="1504393982">
      <w:bodyDiv w:val="1"/>
      <w:marLeft w:val="0"/>
      <w:marRight w:val="0"/>
      <w:marTop w:val="0"/>
      <w:marBottom w:val="0"/>
      <w:divBdr>
        <w:top w:val="none" w:sz="0" w:space="0" w:color="auto"/>
        <w:left w:val="none" w:sz="0" w:space="0" w:color="auto"/>
        <w:bottom w:val="none" w:sz="0" w:space="0" w:color="auto"/>
        <w:right w:val="none" w:sz="0" w:space="0" w:color="auto"/>
      </w:divBdr>
    </w:div>
    <w:div w:id="1511681976">
      <w:bodyDiv w:val="1"/>
      <w:marLeft w:val="0"/>
      <w:marRight w:val="0"/>
      <w:marTop w:val="0"/>
      <w:marBottom w:val="0"/>
      <w:divBdr>
        <w:top w:val="none" w:sz="0" w:space="0" w:color="auto"/>
        <w:left w:val="none" w:sz="0" w:space="0" w:color="auto"/>
        <w:bottom w:val="none" w:sz="0" w:space="0" w:color="auto"/>
        <w:right w:val="none" w:sz="0" w:space="0" w:color="auto"/>
      </w:divBdr>
    </w:div>
    <w:div w:id="1514998723">
      <w:bodyDiv w:val="1"/>
      <w:marLeft w:val="0"/>
      <w:marRight w:val="0"/>
      <w:marTop w:val="0"/>
      <w:marBottom w:val="0"/>
      <w:divBdr>
        <w:top w:val="none" w:sz="0" w:space="0" w:color="auto"/>
        <w:left w:val="none" w:sz="0" w:space="0" w:color="auto"/>
        <w:bottom w:val="none" w:sz="0" w:space="0" w:color="auto"/>
        <w:right w:val="none" w:sz="0" w:space="0" w:color="auto"/>
      </w:divBdr>
    </w:div>
    <w:div w:id="1516572821">
      <w:bodyDiv w:val="1"/>
      <w:marLeft w:val="0"/>
      <w:marRight w:val="0"/>
      <w:marTop w:val="0"/>
      <w:marBottom w:val="0"/>
      <w:divBdr>
        <w:top w:val="none" w:sz="0" w:space="0" w:color="auto"/>
        <w:left w:val="none" w:sz="0" w:space="0" w:color="auto"/>
        <w:bottom w:val="none" w:sz="0" w:space="0" w:color="auto"/>
        <w:right w:val="none" w:sz="0" w:space="0" w:color="auto"/>
      </w:divBdr>
    </w:div>
    <w:div w:id="1524781995">
      <w:bodyDiv w:val="1"/>
      <w:marLeft w:val="0"/>
      <w:marRight w:val="0"/>
      <w:marTop w:val="0"/>
      <w:marBottom w:val="0"/>
      <w:divBdr>
        <w:top w:val="none" w:sz="0" w:space="0" w:color="auto"/>
        <w:left w:val="none" w:sz="0" w:space="0" w:color="auto"/>
        <w:bottom w:val="none" w:sz="0" w:space="0" w:color="auto"/>
        <w:right w:val="none" w:sz="0" w:space="0" w:color="auto"/>
      </w:divBdr>
    </w:div>
    <w:div w:id="1525245135">
      <w:bodyDiv w:val="1"/>
      <w:marLeft w:val="0"/>
      <w:marRight w:val="0"/>
      <w:marTop w:val="0"/>
      <w:marBottom w:val="0"/>
      <w:divBdr>
        <w:top w:val="none" w:sz="0" w:space="0" w:color="auto"/>
        <w:left w:val="none" w:sz="0" w:space="0" w:color="auto"/>
        <w:bottom w:val="none" w:sz="0" w:space="0" w:color="auto"/>
        <w:right w:val="none" w:sz="0" w:space="0" w:color="auto"/>
      </w:divBdr>
    </w:div>
    <w:div w:id="1527060273">
      <w:bodyDiv w:val="1"/>
      <w:marLeft w:val="0"/>
      <w:marRight w:val="0"/>
      <w:marTop w:val="0"/>
      <w:marBottom w:val="0"/>
      <w:divBdr>
        <w:top w:val="none" w:sz="0" w:space="0" w:color="auto"/>
        <w:left w:val="none" w:sz="0" w:space="0" w:color="auto"/>
        <w:bottom w:val="none" w:sz="0" w:space="0" w:color="auto"/>
        <w:right w:val="none" w:sz="0" w:space="0" w:color="auto"/>
      </w:divBdr>
    </w:div>
    <w:div w:id="1527871040">
      <w:bodyDiv w:val="1"/>
      <w:marLeft w:val="0"/>
      <w:marRight w:val="0"/>
      <w:marTop w:val="0"/>
      <w:marBottom w:val="0"/>
      <w:divBdr>
        <w:top w:val="none" w:sz="0" w:space="0" w:color="auto"/>
        <w:left w:val="none" w:sz="0" w:space="0" w:color="auto"/>
        <w:bottom w:val="none" w:sz="0" w:space="0" w:color="auto"/>
        <w:right w:val="none" w:sz="0" w:space="0" w:color="auto"/>
      </w:divBdr>
    </w:div>
    <w:div w:id="1528055471">
      <w:bodyDiv w:val="1"/>
      <w:marLeft w:val="0"/>
      <w:marRight w:val="0"/>
      <w:marTop w:val="0"/>
      <w:marBottom w:val="0"/>
      <w:divBdr>
        <w:top w:val="none" w:sz="0" w:space="0" w:color="auto"/>
        <w:left w:val="none" w:sz="0" w:space="0" w:color="auto"/>
        <w:bottom w:val="none" w:sz="0" w:space="0" w:color="auto"/>
        <w:right w:val="none" w:sz="0" w:space="0" w:color="auto"/>
      </w:divBdr>
    </w:div>
    <w:div w:id="1536195862">
      <w:bodyDiv w:val="1"/>
      <w:marLeft w:val="0"/>
      <w:marRight w:val="0"/>
      <w:marTop w:val="0"/>
      <w:marBottom w:val="0"/>
      <w:divBdr>
        <w:top w:val="none" w:sz="0" w:space="0" w:color="auto"/>
        <w:left w:val="none" w:sz="0" w:space="0" w:color="auto"/>
        <w:bottom w:val="none" w:sz="0" w:space="0" w:color="auto"/>
        <w:right w:val="none" w:sz="0" w:space="0" w:color="auto"/>
      </w:divBdr>
    </w:div>
    <w:div w:id="1540045341">
      <w:bodyDiv w:val="1"/>
      <w:marLeft w:val="0"/>
      <w:marRight w:val="0"/>
      <w:marTop w:val="0"/>
      <w:marBottom w:val="0"/>
      <w:divBdr>
        <w:top w:val="none" w:sz="0" w:space="0" w:color="auto"/>
        <w:left w:val="none" w:sz="0" w:space="0" w:color="auto"/>
        <w:bottom w:val="none" w:sz="0" w:space="0" w:color="auto"/>
        <w:right w:val="none" w:sz="0" w:space="0" w:color="auto"/>
      </w:divBdr>
    </w:div>
    <w:div w:id="1541018473">
      <w:bodyDiv w:val="1"/>
      <w:marLeft w:val="0"/>
      <w:marRight w:val="0"/>
      <w:marTop w:val="0"/>
      <w:marBottom w:val="0"/>
      <w:divBdr>
        <w:top w:val="none" w:sz="0" w:space="0" w:color="auto"/>
        <w:left w:val="none" w:sz="0" w:space="0" w:color="auto"/>
        <w:bottom w:val="none" w:sz="0" w:space="0" w:color="auto"/>
        <w:right w:val="none" w:sz="0" w:space="0" w:color="auto"/>
      </w:divBdr>
    </w:div>
    <w:div w:id="1541821482">
      <w:bodyDiv w:val="1"/>
      <w:marLeft w:val="0"/>
      <w:marRight w:val="0"/>
      <w:marTop w:val="0"/>
      <w:marBottom w:val="0"/>
      <w:divBdr>
        <w:top w:val="none" w:sz="0" w:space="0" w:color="auto"/>
        <w:left w:val="none" w:sz="0" w:space="0" w:color="auto"/>
        <w:bottom w:val="none" w:sz="0" w:space="0" w:color="auto"/>
        <w:right w:val="none" w:sz="0" w:space="0" w:color="auto"/>
      </w:divBdr>
    </w:div>
    <w:div w:id="1543178357">
      <w:bodyDiv w:val="1"/>
      <w:marLeft w:val="0"/>
      <w:marRight w:val="0"/>
      <w:marTop w:val="0"/>
      <w:marBottom w:val="0"/>
      <w:divBdr>
        <w:top w:val="none" w:sz="0" w:space="0" w:color="auto"/>
        <w:left w:val="none" w:sz="0" w:space="0" w:color="auto"/>
        <w:bottom w:val="none" w:sz="0" w:space="0" w:color="auto"/>
        <w:right w:val="none" w:sz="0" w:space="0" w:color="auto"/>
      </w:divBdr>
    </w:div>
    <w:div w:id="1551377243">
      <w:bodyDiv w:val="1"/>
      <w:marLeft w:val="0"/>
      <w:marRight w:val="0"/>
      <w:marTop w:val="0"/>
      <w:marBottom w:val="0"/>
      <w:divBdr>
        <w:top w:val="none" w:sz="0" w:space="0" w:color="auto"/>
        <w:left w:val="none" w:sz="0" w:space="0" w:color="auto"/>
        <w:bottom w:val="none" w:sz="0" w:space="0" w:color="auto"/>
        <w:right w:val="none" w:sz="0" w:space="0" w:color="auto"/>
      </w:divBdr>
    </w:div>
    <w:div w:id="1561745503">
      <w:bodyDiv w:val="1"/>
      <w:marLeft w:val="0"/>
      <w:marRight w:val="0"/>
      <w:marTop w:val="0"/>
      <w:marBottom w:val="0"/>
      <w:divBdr>
        <w:top w:val="none" w:sz="0" w:space="0" w:color="auto"/>
        <w:left w:val="none" w:sz="0" w:space="0" w:color="auto"/>
        <w:bottom w:val="none" w:sz="0" w:space="0" w:color="auto"/>
        <w:right w:val="none" w:sz="0" w:space="0" w:color="auto"/>
      </w:divBdr>
    </w:div>
    <w:div w:id="1568808918">
      <w:bodyDiv w:val="1"/>
      <w:marLeft w:val="0"/>
      <w:marRight w:val="0"/>
      <w:marTop w:val="0"/>
      <w:marBottom w:val="0"/>
      <w:divBdr>
        <w:top w:val="none" w:sz="0" w:space="0" w:color="auto"/>
        <w:left w:val="none" w:sz="0" w:space="0" w:color="auto"/>
        <w:bottom w:val="none" w:sz="0" w:space="0" w:color="auto"/>
        <w:right w:val="none" w:sz="0" w:space="0" w:color="auto"/>
      </w:divBdr>
    </w:div>
    <w:div w:id="1570380583">
      <w:bodyDiv w:val="1"/>
      <w:marLeft w:val="0"/>
      <w:marRight w:val="0"/>
      <w:marTop w:val="0"/>
      <w:marBottom w:val="0"/>
      <w:divBdr>
        <w:top w:val="none" w:sz="0" w:space="0" w:color="auto"/>
        <w:left w:val="none" w:sz="0" w:space="0" w:color="auto"/>
        <w:bottom w:val="none" w:sz="0" w:space="0" w:color="auto"/>
        <w:right w:val="none" w:sz="0" w:space="0" w:color="auto"/>
      </w:divBdr>
    </w:div>
    <w:div w:id="1575159629">
      <w:bodyDiv w:val="1"/>
      <w:marLeft w:val="0"/>
      <w:marRight w:val="0"/>
      <w:marTop w:val="0"/>
      <w:marBottom w:val="0"/>
      <w:divBdr>
        <w:top w:val="none" w:sz="0" w:space="0" w:color="auto"/>
        <w:left w:val="none" w:sz="0" w:space="0" w:color="auto"/>
        <w:bottom w:val="none" w:sz="0" w:space="0" w:color="auto"/>
        <w:right w:val="none" w:sz="0" w:space="0" w:color="auto"/>
      </w:divBdr>
    </w:div>
    <w:div w:id="1578324712">
      <w:bodyDiv w:val="1"/>
      <w:marLeft w:val="0"/>
      <w:marRight w:val="0"/>
      <w:marTop w:val="0"/>
      <w:marBottom w:val="0"/>
      <w:divBdr>
        <w:top w:val="none" w:sz="0" w:space="0" w:color="auto"/>
        <w:left w:val="none" w:sz="0" w:space="0" w:color="auto"/>
        <w:bottom w:val="none" w:sz="0" w:space="0" w:color="auto"/>
        <w:right w:val="none" w:sz="0" w:space="0" w:color="auto"/>
      </w:divBdr>
    </w:div>
    <w:div w:id="1580870656">
      <w:bodyDiv w:val="1"/>
      <w:marLeft w:val="0"/>
      <w:marRight w:val="0"/>
      <w:marTop w:val="0"/>
      <w:marBottom w:val="0"/>
      <w:divBdr>
        <w:top w:val="none" w:sz="0" w:space="0" w:color="auto"/>
        <w:left w:val="none" w:sz="0" w:space="0" w:color="auto"/>
        <w:bottom w:val="none" w:sz="0" w:space="0" w:color="auto"/>
        <w:right w:val="none" w:sz="0" w:space="0" w:color="auto"/>
      </w:divBdr>
    </w:div>
    <w:div w:id="1582595614">
      <w:bodyDiv w:val="1"/>
      <w:marLeft w:val="0"/>
      <w:marRight w:val="0"/>
      <w:marTop w:val="0"/>
      <w:marBottom w:val="0"/>
      <w:divBdr>
        <w:top w:val="none" w:sz="0" w:space="0" w:color="auto"/>
        <w:left w:val="none" w:sz="0" w:space="0" w:color="auto"/>
        <w:bottom w:val="none" w:sz="0" w:space="0" w:color="auto"/>
        <w:right w:val="none" w:sz="0" w:space="0" w:color="auto"/>
      </w:divBdr>
    </w:div>
    <w:div w:id="1583101812">
      <w:bodyDiv w:val="1"/>
      <w:marLeft w:val="0"/>
      <w:marRight w:val="0"/>
      <w:marTop w:val="0"/>
      <w:marBottom w:val="0"/>
      <w:divBdr>
        <w:top w:val="none" w:sz="0" w:space="0" w:color="auto"/>
        <w:left w:val="none" w:sz="0" w:space="0" w:color="auto"/>
        <w:bottom w:val="none" w:sz="0" w:space="0" w:color="auto"/>
        <w:right w:val="none" w:sz="0" w:space="0" w:color="auto"/>
      </w:divBdr>
    </w:div>
    <w:div w:id="1585263783">
      <w:bodyDiv w:val="1"/>
      <w:marLeft w:val="0"/>
      <w:marRight w:val="0"/>
      <w:marTop w:val="0"/>
      <w:marBottom w:val="0"/>
      <w:divBdr>
        <w:top w:val="none" w:sz="0" w:space="0" w:color="auto"/>
        <w:left w:val="none" w:sz="0" w:space="0" w:color="auto"/>
        <w:bottom w:val="none" w:sz="0" w:space="0" w:color="auto"/>
        <w:right w:val="none" w:sz="0" w:space="0" w:color="auto"/>
      </w:divBdr>
    </w:div>
    <w:div w:id="1591624780">
      <w:bodyDiv w:val="1"/>
      <w:marLeft w:val="0"/>
      <w:marRight w:val="0"/>
      <w:marTop w:val="0"/>
      <w:marBottom w:val="0"/>
      <w:divBdr>
        <w:top w:val="none" w:sz="0" w:space="0" w:color="auto"/>
        <w:left w:val="none" w:sz="0" w:space="0" w:color="auto"/>
        <w:bottom w:val="none" w:sz="0" w:space="0" w:color="auto"/>
        <w:right w:val="none" w:sz="0" w:space="0" w:color="auto"/>
      </w:divBdr>
    </w:div>
    <w:div w:id="1604461220">
      <w:bodyDiv w:val="1"/>
      <w:marLeft w:val="0"/>
      <w:marRight w:val="0"/>
      <w:marTop w:val="0"/>
      <w:marBottom w:val="0"/>
      <w:divBdr>
        <w:top w:val="none" w:sz="0" w:space="0" w:color="auto"/>
        <w:left w:val="none" w:sz="0" w:space="0" w:color="auto"/>
        <w:bottom w:val="none" w:sz="0" w:space="0" w:color="auto"/>
        <w:right w:val="none" w:sz="0" w:space="0" w:color="auto"/>
      </w:divBdr>
    </w:div>
    <w:div w:id="1605653160">
      <w:bodyDiv w:val="1"/>
      <w:marLeft w:val="0"/>
      <w:marRight w:val="0"/>
      <w:marTop w:val="0"/>
      <w:marBottom w:val="0"/>
      <w:divBdr>
        <w:top w:val="none" w:sz="0" w:space="0" w:color="auto"/>
        <w:left w:val="none" w:sz="0" w:space="0" w:color="auto"/>
        <w:bottom w:val="none" w:sz="0" w:space="0" w:color="auto"/>
        <w:right w:val="none" w:sz="0" w:space="0" w:color="auto"/>
      </w:divBdr>
    </w:div>
    <w:div w:id="1606884324">
      <w:bodyDiv w:val="1"/>
      <w:marLeft w:val="0"/>
      <w:marRight w:val="0"/>
      <w:marTop w:val="0"/>
      <w:marBottom w:val="0"/>
      <w:divBdr>
        <w:top w:val="none" w:sz="0" w:space="0" w:color="auto"/>
        <w:left w:val="none" w:sz="0" w:space="0" w:color="auto"/>
        <w:bottom w:val="none" w:sz="0" w:space="0" w:color="auto"/>
        <w:right w:val="none" w:sz="0" w:space="0" w:color="auto"/>
      </w:divBdr>
    </w:div>
    <w:div w:id="1611234117">
      <w:bodyDiv w:val="1"/>
      <w:marLeft w:val="0"/>
      <w:marRight w:val="0"/>
      <w:marTop w:val="0"/>
      <w:marBottom w:val="0"/>
      <w:divBdr>
        <w:top w:val="none" w:sz="0" w:space="0" w:color="auto"/>
        <w:left w:val="none" w:sz="0" w:space="0" w:color="auto"/>
        <w:bottom w:val="none" w:sz="0" w:space="0" w:color="auto"/>
        <w:right w:val="none" w:sz="0" w:space="0" w:color="auto"/>
      </w:divBdr>
    </w:div>
    <w:div w:id="1612591494">
      <w:bodyDiv w:val="1"/>
      <w:marLeft w:val="0"/>
      <w:marRight w:val="0"/>
      <w:marTop w:val="0"/>
      <w:marBottom w:val="0"/>
      <w:divBdr>
        <w:top w:val="none" w:sz="0" w:space="0" w:color="auto"/>
        <w:left w:val="none" w:sz="0" w:space="0" w:color="auto"/>
        <w:bottom w:val="none" w:sz="0" w:space="0" w:color="auto"/>
        <w:right w:val="none" w:sz="0" w:space="0" w:color="auto"/>
      </w:divBdr>
    </w:div>
    <w:div w:id="1614708355">
      <w:bodyDiv w:val="1"/>
      <w:marLeft w:val="0"/>
      <w:marRight w:val="0"/>
      <w:marTop w:val="0"/>
      <w:marBottom w:val="0"/>
      <w:divBdr>
        <w:top w:val="none" w:sz="0" w:space="0" w:color="auto"/>
        <w:left w:val="none" w:sz="0" w:space="0" w:color="auto"/>
        <w:bottom w:val="none" w:sz="0" w:space="0" w:color="auto"/>
        <w:right w:val="none" w:sz="0" w:space="0" w:color="auto"/>
      </w:divBdr>
    </w:div>
    <w:div w:id="1616016774">
      <w:bodyDiv w:val="1"/>
      <w:marLeft w:val="0"/>
      <w:marRight w:val="0"/>
      <w:marTop w:val="0"/>
      <w:marBottom w:val="0"/>
      <w:divBdr>
        <w:top w:val="none" w:sz="0" w:space="0" w:color="auto"/>
        <w:left w:val="none" w:sz="0" w:space="0" w:color="auto"/>
        <w:bottom w:val="none" w:sz="0" w:space="0" w:color="auto"/>
        <w:right w:val="none" w:sz="0" w:space="0" w:color="auto"/>
      </w:divBdr>
    </w:div>
    <w:div w:id="1629358709">
      <w:bodyDiv w:val="1"/>
      <w:marLeft w:val="0"/>
      <w:marRight w:val="0"/>
      <w:marTop w:val="0"/>
      <w:marBottom w:val="0"/>
      <w:divBdr>
        <w:top w:val="none" w:sz="0" w:space="0" w:color="auto"/>
        <w:left w:val="none" w:sz="0" w:space="0" w:color="auto"/>
        <w:bottom w:val="none" w:sz="0" w:space="0" w:color="auto"/>
        <w:right w:val="none" w:sz="0" w:space="0" w:color="auto"/>
      </w:divBdr>
    </w:div>
    <w:div w:id="1629582029">
      <w:bodyDiv w:val="1"/>
      <w:marLeft w:val="0"/>
      <w:marRight w:val="0"/>
      <w:marTop w:val="0"/>
      <w:marBottom w:val="0"/>
      <w:divBdr>
        <w:top w:val="none" w:sz="0" w:space="0" w:color="auto"/>
        <w:left w:val="none" w:sz="0" w:space="0" w:color="auto"/>
        <w:bottom w:val="none" w:sz="0" w:space="0" w:color="auto"/>
        <w:right w:val="none" w:sz="0" w:space="0" w:color="auto"/>
      </w:divBdr>
    </w:div>
    <w:div w:id="1630234402">
      <w:bodyDiv w:val="1"/>
      <w:marLeft w:val="0"/>
      <w:marRight w:val="0"/>
      <w:marTop w:val="0"/>
      <w:marBottom w:val="0"/>
      <w:divBdr>
        <w:top w:val="none" w:sz="0" w:space="0" w:color="auto"/>
        <w:left w:val="none" w:sz="0" w:space="0" w:color="auto"/>
        <w:bottom w:val="none" w:sz="0" w:space="0" w:color="auto"/>
        <w:right w:val="none" w:sz="0" w:space="0" w:color="auto"/>
      </w:divBdr>
    </w:div>
    <w:div w:id="1632133138">
      <w:bodyDiv w:val="1"/>
      <w:marLeft w:val="0"/>
      <w:marRight w:val="0"/>
      <w:marTop w:val="0"/>
      <w:marBottom w:val="0"/>
      <w:divBdr>
        <w:top w:val="none" w:sz="0" w:space="0" w:color="auto"/>
        <w:left w:val="none" w:sz="0" w:space="0" w:color="auto"/>
        <w:bottom w:val="none" w:sz="0" w:space="0" w:color="auto"/>
        <w:right w:val="none" w:sz="0" w:space="0" w:color="auto"/>
      </w:divBdr>
    </w:div>
    <w:div w:id="1633975763">
      <w:bodyDiv w:val="1"/>
      <w:marLeft w:val="0"/>
      <w:marRight w:val="0"/>
      <w:marTop w:val="0"/>
      <w:marBottom w:val="0"/>
      <w:divBdr>
        <w:top w:val="none" w:sz="0" w:space="0" w:color="auto"/>
        <w:left w:val="none" w:sz="0" w:space="0" w:color="auto"/>
        <w:bottom w:val="none" w:sz="0" w:space="0" w:color="auto"/>
        <w:right w:val="none" w:sz="0" w:space="0" w:color="auto"/>
      </w:divBdr>
    </w:div>
    <w:div w:id="1637182682">
      <w:bodyDiv w:val="1"/>
      <w:marLeft w:val="0"/>
      <w:marRight w:val="0"/>
      <w:marTop w:val="0"/>
      <w:marBottom w:val="0"/>
      <w:divBdr>
        <w:top w:val="none" w:sz="0" w:space="0" w:color="auto"/>
        <w:left w:val="none" w:sz="0" w:space="0" w:color="auto"/>
        <w:bottom w:val="none" w:sz="0" w:space="0" w:color="auto"/>
        <w:right w:val="none" w:sz="0" w:space="0" w:color="auto"/>
      </w:divBdr>
    </w:div>
    <w:div w:id="1637757966">
      <w:bodyDiv w:val="1"/>
      <w:marLeft w:val="0"/>
      <w:marRight w:val="0"/>
      <w:marTop w:val="0"/>
      <w:marBottom w:val="0"/>
      <w:divBdr>
        <w:top w:val="none" w:sz="0" w:space="0" w:color="auto"/>
        <w:left w:val="none" w:sz="0" w:space="0" w:color="auto"/>
        <w:bottom w:val="none" w:sz="0" w:space="0" w:color="auto"/>
        <w:right w:val="none" w:sz="0" w:space="0" w:color="auto"/>
      </w:divBdr>
    </w:div>
    <w:div w:id="1638409410">
      <w:bodyDiv w:val="1"/>
      <w:marLeft w:val="0"/>
      <w:marRight w:val="0"/>
      <w:marTop w:val="0"/>
      <w:marBottom w:val="0"/>
      <w:divBdr>
        <w:top w:val="none" w:sz="0" w:space="0" w:color="auto"/>
        <w:left w:val="none" w:sz="0" w:space="0" w:color="auto"/>
        <w:bottom w:val="none" w:sz="0" w:space="0" w:color="auto"/>
        <w:right w:val="none" w:sz="0" w:space="0" w:color="auto"/>
      </w:divBdr>
    </w:div>
    <w:div w:id="1639720164">
      <w:bodyDiv w:val="1"/>
      <w:marLeft w:val="0"/>
      <w:marRight w:val="0"/>
      <w:marTop w:val="0"/>
      <w:marBottom w:val="0"/>
      <w:divBdr>
        <w:top w:val="none" w:sz="0" w:space="0" w:color="auto"/>
        <w:left w:val="none" w:sz="0" w:space="0" w:color="auto"/>
        <w:bottom w:val="none" w:sz="0" w:space="0" w:color="auto"/>
        <w:right w:val="none" w:sz="0" w:space="0" w:color="auto"/>
      </w:divBdr>
    </w:div>
    <w:div w:id="1641690928">
      <w:bodyDiv w:val="1"/>
      <w:marLeft w:val="0"/>
      <w:marRight w:val="0"/>
      <w:marTop w:val="0"/>
      <w:marBottom w:val="0"/>
      <w:divBdr>
        <w:top w:val="none" w:sz="0" w:space="0" w:color="auto"/>
        <w:left w:val="none" w:sz="0" w:space="0" w:color="auto"/>
        <w:bottom w:val="none" w:sz="0" w:space="0" w:color="auto"/>
        <w:right w:val="none" w:sz="0" w:space="0" w:color="auto"/>
      </w:divBdr>
    </w:div>
    <w:div w:id="1643269741">
      <w:bodyDiv w:val="1"/>
      <w:marLeft w:val="0"/>
      <w:marRight w:val="0"/>
      <w:marTop w:val="0"/>
      <w:marBottom w:val="0"/>
      <w:divBdr>
        <w:top w:val="none" w:sz="0" w:space="0" w:color="auto"/>
        <w:left w:val="none" w:sz="0" w:space="0" w:color="auto"/>
        <w:bottom w:val="none" w:sz="0" w:space="0" w:color="auto"/>
        <w:right w:val="none" w:sz="0" w:space="0" w:color="auto"/>
      </w:divBdr>
    </w:div>
    <w:div w:id="1647007975">
      <w:bodyDiv w:val="1"/>
      <w:marLeft w:val="0"/>
      <w:marRight w:val="0"/>
      <w:marTop w:val="0"/>
      <w:marBottom w:val="0"/>
      <w:divBdr>
        <w:top w:val="none" w:sz="0" w:space="0" w:color="auto"/>
        <w:left w:val="none" w:sz="0" w:space="0" w:color="auto"/>
        <w:bottom w:val="none" w:sz="0" w:space="0" w:color="auto"/>
        <w:right w:val="none" w:sz="0" w:space="0" w:color="auto"/>
      </w:divBdr>
    </w:div>
    <w:div w:id="1652978887">
      <w:bodyDiv w:val="1"/>
      <w:marLeft w:val="0"/>
      <w:marRight w:val="0"/>
      <w:marTop w:val="0"/>
      <w:marBottom w:val="0"/>
      <w:divBdr>
        <w:top w:val="none" w:sz="0" w:space="0" w:color="auto"/>
        <w:left w:val="none" w:sz="0" w:space="0" w:color="auto"/>
        <w:bottom w:val="none" w:sz="0" w:space="0" w:color="auto"/>
        <w:right w:val="none" w:sz="0" w:space="0" w:color="auto"/>
      </w:divBdr>
    </w:div>
    <w:div w:id="1653024633">
      <w:bodyDiv w:val="1"/>
      <w:marLeft w:val="0"/>
      <w:marRight w:val="0"/>
      <w:marTop w:val="0"/>
      <w:marBottom w:val="0"/>
      <w:divBdr>
        <w:top w:val="none" w:sz="0" w:space="0" w:color="auto"/>
        <w:left w:val="none" w:sz="0" w:space="0" w:color="auto"/>
        <w:bottom w:val="none" w:sz="0" w:space="0" w:color="auto"/>
        <w:right w:val="none" w:sz="0" w:space="0" w:color="auto"/>
      </w:divBdr>
    </w:div>
    <w:div w:id="1653176269">
      <w:bodyDiv w:val="1"/>
      <w:marLeft w:val="0"/>
      <w:marRight w:val="0"/>
      <w:marTop w:val="0"/>
      <w:marBottom w:val="0"/>
      <w:divBdr>
        <w:top w:val="none" w:sz="0" w:space="0" w:color="auto"/>
        <w:left w:val="none" w:sz="0" w:space="0" w:color="auto"/>
        <w:bottom w:val="none" w:sz="0" w:space="0" w:color="auto"/>
        <w:right w:val="none" w:sz="0" w:space="0" w:color="auto"/>
      </w:divBdr>
    </w:div>
    <w:div w:id="1654405423">
      <w:bodyDiv w:val="1"/>
      <w:marLeft w:val="0"/>
      <w:marRight w:val="0"/>
      <w:marTop w:val="0"/>
      <w:marBottom w:val="0"/>
      <w:divBdr>
        <w:top w:val="none" w:sz="0" w:space="0" w:color="auto"/>
        <w:left w:val="none" w:sz="0" w:space="0" w:color="auto"/>
        <w:bottom w:val="none" w:sz="0" w:space="0" w:color="auto"/>
        <w:right w:val="none" w:sz="0" w:space="0" w:color="auto"/>
      </w:divBdr>
    </w:div>
    <w:div w:id="1657104800">
      <w:bodyDiv w:val="1"/>
      <w:marLeft w:val="0"/>
      <w:marRight w:val="0"/>
      <w:marTop w:val="0"/>
      <w:marBottom w:val="0"/>
      <w:divBdr>
        <w:top w:val="none" w:sz="0" w:space="0" w:color="auto"/>
        <w:left w:val="none" w:sz="0" w:space="0" w:color="auto"/>
        <w:bottom w:val="none" w:sz="0" w:space="0" w:color="auto"/>
        <w:right w:val="none" w:sz="0" w:space="0" w:color="auto"/>
      </w:divBdr>
    </w:div>
    <w:div w:id="1663705158">
      <w:bodyDiv w:val="1"/>
      <w:marLeft w:val="0"/>
      <w:marRight w:val="0"/>
      <w:marTop w:val="0"/>
      <w:marBottom w:val="0"/>
      <w:divBdr>
        <w:top w:val="none" w:sz="0" w:space="0" w:color="auto"/>
        <w:left w:val="none" w:sz="0" w:space="0" w:color="auto"/>
        <w:bottom w:val="none" w:sz="0" w:space="0" w:color="auto"/>
        <w:right w:val="none" w:sz="0" w:space="0" w:color="auto"/>
      </w:divBdr>
    </w:div>
    <w:div w:id="1663968337">
      <w:bodyDiv w:val="1"/>
      <w:marLeft w:val="0"/>
      <w:marRight w:val="0"/>
      <w:marTop w:val="0"/>
      <w:marBottom w:val="0"/>
      <w:divBdr>
        <w:top w:val="none" w:sz="0" w:space="0" w:color="auto"/>
        <w:left w:val="none" w:sz="0" w:space="0" w:color="auto"/>
        <w:bottom w:val="none" w:sz="0" w:space="0" w:color="auto"/>
        <w:right w:val="none" w:sz="0" w:space="0" w:color="auto"/>
      </w:divBdr>
    </w:div>
    <w:div w:id="1664700092">
      <w:bodyDiv w:val="1"/>
      <w:marLeft w:val="0"/>
      <w:marRight w:val="0"/>
      <w:marTop w:val="0"/>
      <w:marBottom w:val="0"/>
      <w:divBdr>
        <w:top w:val="none" w:sz="0" w:space="0" w:color="auto"/>
        <w:left w:val="none" w:sz="0" w:space="0" w:color="auto"/>
        <w:bottom w:val="none" w:sz="0" w:space="0" w:color="auto"/>
        <w:right w:val="none" w:sz="0" w:space="0" w:color="auto"/>
      </w:divBdr>
    </w:div>
    <w:div w:id="1665474911">
      <w:bodyDiv w:val="1"/>
      <w:marLeft w:val="0"/>
      <w:marRight w:val="0"/>
      <w:marTop w:val="0"/>
      <w:marBottom w:val="0"/>
      <w:divBdr>
        <w:top w:val="none" w:sz="0" w:space="0" w:color="auto"/>
        <w:left w:val="none" w:sz="0" w:space="0" w:color="auto"/>
        <w:bottom w:val="none" w:sz="0" w:space="0" w:color="auto"/>
        <w:right w:val="none" w:sz="0" w:space="0" w:color="auto"/>
      </w:divBdr>
    </w:div>
    <w:div w:id="1667828200">
      <w:bodyDiv w:val="1"/>
      <w:marLeft w:val="0"/>
      <w:marRight w:val="0"/>
      <w:marTop w:val="0"/>
      <w:marBottom w:val="0"/>
      <w:divBdr>
        <w:top w:val="none" w:sz="0" w:space="0" w:color="auto"/>
        <w:left w:val="none" w:sz="0" w:space="0" w:color="auto"/>
        <w:bottom w:val="none" w:sz="0" w:space="0" w:color="auto"/>
        <w:right w:val="none" w:sz="0" w:space="0" w:color="auto"/>
      </w:divBdr>
    </w:div>
    <w:div w:id="1670909482">
      <w:bodyDiv w:val="1"/>
      <w:marLeft w:val="0"/>
      <w:marRight w:val="0"/>
      <w:marTop w:val="0"/>
      <w:marBottom w:val="0"/>
      <w:divBdr>
        <w:top w:val="none" w:sz="0" w:space="0" w:color="auto"/>
        <w:left w:val="none" w:sz="0" w:space="0" w:color="auto"/>
        <w:bottom w:val="none" w:sz="0" w:space="0" w:color="auto"/>
        <w:right w:val="none" w:sz="0" w:space="0" w:color="auto"/>
      </w:divBdr>
    </w:div>
    <w:div w:id="1672373427">
      <w:bodyDiv w:val="1"/>
      <w:marLeft w:val="0"/>
      <w:marRight w:val="0"/>
      <w:marTop w:val="0"/>
      <w:marBottom w:val="0"/>
      <w:divBdr>
        <w:top w:val="none" w:sz="0" w:space="0" w:color="auto"/>
        <w:left w:val="none" w:sz="0" w:space="0" w:color="auto"/>
        <w:bottom w:val="none" w:sz="0" w:space="0" w:color="auto"/>
        <w:right w:val="none" w:sz="0" w:space="0" w:color="auto"/>
      </w:divBdr>
    </w:div>
    <w:div w:id="1672752905">
      <w:bodyDiv w:val="1"/>
      <w:marLeft w:val="0"/>
      <w:marRight w:val="0"/>
      <w:marTop w:val="0"/>
      <w:marBottom w:val="0"/>
      <w:divBdr>
        <w:top w:val="none" w:sz="0" w:space="0" w:color="auto"/>
        <w:left w:val="none" w:sz="0" w:space="0" w:color="auto"/>
        <w:bottom w:val="none" w:sz="0" w:space="0" w:color="auto"/>
        <w:right w:val="none" w:sz="0" w:space="0" w:color="auto"/>
      </w:divBdr>
    </w:div>
    <w:div w:id="1672834514">
      <w:bodyDiv w:val="1"/>
      <w:marLeft w:val="0"/>
      <w:marRight w:val="0"/>
      <w:marTop w:val="0"/>
      <w:marBottom w:val="0"/>
      <w:divBdr>
        <w:top w:val="none" w:sz="0" w:space="0" w:color="auto"/>
        <w:left w:val="none" w:sz="0" w:space="0" w:color="auto"/>
        <w:bottom w:val="none" w:sz="0" w:space="0" w:color="auto"/>
        <w:right w:val="none" w:sz="0" w:space="0" w:color="auto"/>
      </w:divBdr>
    </w:div>
    <w:div w:id="1677539385">
      <w:bodyDiv w:val="1"/>
      <w:marLeft w:val="0"/>
      <w:marRight w:val="0"/>
      <w:marTop w:val="0"/>
      <w:marBottom w:val="0"/>
      <w:divBdr>
        <w:top w:val="none" w:sz="0" w:space="0" w:color="auto"/>
        <w:left w:val="none" w:sz="0" w:space="0" w:color="auto"/>
        <w:bottom w:val="none" w:sz="0" w:space="0" w:color="auto"/>
        <w:right w:val="none" w:sz="0" w:space="0" w:color="auto"/>
      </w:divBdr>
    </w:div>
    <w:div w:id="1680815695">
      <w:bodyDiv w:val="1"/>
      <w:marLeft w:val="0"/>
      <w:marRight w:val="0"/>
      <w:marTop w:val="0"/>
      <w:marBottom w:val="0"/>
      <w:divBdr>
        <w:top w:val="none" w:sz="0" w:space="0" w:color="auto"/>
        <w:left w:val="none" w:sz="0" w:space="0" w:color="auto"/>
        <w:bottom w:val="none" w:sz="0" w:space="0" w:color="auto"/>
        <w:right w:val="none" w:sz="0" w:space="0" w:color="auto"/>
      </w:divBdr>
    </w:div>
    <w:div w:id="1681665339">
      <w:bodyDiv w:val="1"/>
      <w:marLeft w:val="0"/>
      <w:marRight w:val="0"/>
      <w:marTop w:val="0"/>
      <w:marBottom w:val="0"/>
      <w:divBdr>
        <w:top w:val="none" w:sz="0" w:space="0" w:color="auto"/>
        <w:left w:val="none" w:sz="0" w:space="0" w:color="auto"/>
        <w:bottom w:val="none" w:sz="0" w:space="0" w:color="auto"/>
        <w:right w:val="none" w:sz="0" w:space="0" w:color="auto"/>
      </w:divBdr>
    </w:div>
    <w:div w:id="1682050807">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96155941">
      <w:bodyDiv w:val="1"/>
      <w:marLeft w:val="0"/>
      <w:marRight w:val="0"/>
      <w:marTop w:val="0"/>
      <w:marBottom w:val="0"/>
      <w:divBdr>
        <w:top w:val="none" w:sz="0" w:space="0" w:color="auto"/>
        <w:left w:val="none" w:sz="0" w:space="0" w:color="auto"/>
        <w:bottom w:val="none" w:sz="0" w:space="0" w:color="auto"/>
        <w:right w:val="none" w:sz="0" w:space="0" w:color="auto"/>
      </w:divBdr>
    </w:div>
    <w:div w:id="1703243825">
      <w:bodyDiv w:val="1"/>
      <w:marLeft w:val="0"/>
      <w:marRight w:val="0"/>
      <w:marTop w:val="0"/>
      <w:marBottom w:val="0"/>
      <w:divBdr>
        <w:top w:val="none" w:sz="0" w:space="0" w:color="auto"/>
        <w:left w:val="none" w:sz="0" w:space="0" w:color="auto"/>
        <w:bottom w:val="none" w:sz="0" w:space="0" w:color="auto"/>
        <w:right w:val="none" w:sz="0" w:space="0" w:color="auto"/>
      </w:divBdr>
    </w:div>
    <w:div w:id="1703897896">
      <w:bodyDiv w:val="1"/>
      <w:marLeft w:val="0"/>
      <w:marRight w:val="0"/>
      <w:marTop w:val="0"/>
      <w:marBottom w:val="0"/>
      <w:divBdr>
        <w:top w:val="none" w:sz="0" w:space="0" w:color="auto"/>
        <w:left w:val="none" w:sz="0" w:space="0" w:color="auto"/>
        <w:bottom w:val="none" w:sz="0" w:space="0" w:color="auto"/>
        <w:right w:val="none" w:sz="0" w:space="0" w:color="auto"/>
      </w:divBdr>
    </w:div>
    <w:div w:id="1704741968">
      <w:bodyDiv w:val="1"/>
      <w:marLeft w:val="0"/>
      <w:marRight w:val="0"/>
      <w:marTop w:val="0"/>
      <w:marBottom w:val="0"/>
      <w:divBdr>
        <w:top w:val="none" w:sz="0" w:space="0" w:color="auto"/>
        <w:left w:val="none" w:sz="0" w:space="0" w:color="auto"/>
        <w:bottom w:val="none" w:sz="0" w:space="0" w:color="auto"/>
        <w:right w:val="none" w:sz="0" w:space="0" w:color="auto"/>
      </w:divBdr>
    </w:div>
    <w:div w:id="1705011610">
      <w:bodyDiv w:val="1"/>
      <w:marLeft w:val="0"/>
      <w:marRight w:val="0"/>
      <w:marTop w:val="0"/>
      <w:marBottom w:val="0"/>
      <w:divBdr>
        <w:top w:val="none" w:sz="0" w:space="0" w:color="auto"/>
        <w:left w:val="none" w:sz="0" w:space="0" w:color="auto"/>
        <w:bottom w:val="none" w:sz="0" w:space="0" w:color="auto"/>
        <w:right w:val="none" w:sz="0" w:space="0" w:color="auto"/>
      </w:divBdr>
    </w:div>
    <w:div w:id="1707607223">
      <w:bodyDiv w:val="1"/>
      <w:marLeft w:val="0"/>
      <w:marRight w:val="0"/>
      <w:marTop w:val="0"/>
      <w:marBottom w:val="0"/>
      <w:divBdr>
        <w:top w:val="none" w:sz="0" w:space="0" w:color="auto"/>
        <w:left w:val="none" w:sz="0" w:space="0" w:color="auto"/>
        <w:bottom w:val="none" w:sz="0" w:space="0" w:color="auto"/>
        <w:right w:val="none" w:sz="0" w:space="0" w:color="auto"/>
      </w:divBdr>
    </w:div>
    <w:div w:id="1707829587">
      <w:bodyDiv w:val="1"/>
      <w:marLeft w:val="0"/>
      <w:marRight w:val="0"/>
      <w:marTop w:val="0"/>
      <w:marBottom w:val="0"/>
      <w:divBdr>
        <w:top w:val="none" w:sz="0" w:space="0" w:color="auto"/>
        <w:left w:val="none" w:sz="0" w:space="0" w:color="auto"/>
        <w:bottom w:val="none" w:sz="0" w:space="0" w:color="auto"/>
        <w:right w:val="none" w:sz="0" w:space="0" w:color="auto"/>
      </w:divBdr>
    </w:div>
    <w:div w:id="1709254289">
      <w:bodyDiv w:val="1"/>
      <w:marLeft w:val="0"/>
      <w:marRight w:val="0"/>
      <w:marTop w:val="0"/>
      <w:marBottom w:val="0"/>
      <w:divBdr>
        <w:top w:val="none" w:sz="0" w:space="0" w:color="auto"/>
        <w:left w:val="none" w:sz="0" w:space="0" w:color="auto"/>
        <w:bottom w:val="none" w:sz="0" w:space="0" w:color="auto"/>
        <w:right w:val="none" w:sz="0" w:space="0" w:color="auto"/>
      </w:divBdr>
    </w:div>
    <w:div w:id="1709911396">
      <w:bodyDiv w:val="1"/>
      <w:marLeft w:val="0"/>
      <w:marRight w:val="0"/>
      <w:marTop w:val="0"/>
      <w:marBottom w:val="0"/>
      <w:divBdr>
        <w:top w:val="none" w:sz="0" w:space="0" w:color="auto"/>
        <w:left w:val="none" w:sz="0" w:space="0" w:color="auto"/>
        <w:bottom w:val="none" w:sz="0" w:space="0" w:color="auto"/>
        <w:right w:val="none" w:sz="0" w:space="0" w:color="auto"/>
      </w:divBdr>
    </w:div>
    <w:div w:id="1714689483">
      <w:bodyDiv w:val="1"/>
      <w:marLeft w:val="0"/>
      <w:marRight w:val="0"/>
      <w:marTop w:val="0"/>
      <w:marBottom w:val="0"/>
      <w:divBdr>
        <w:top w:val="none" w:sz="0" w:space="0" w:color="auto"/>
        <w:left w:val="none" w:sz="0" w:space="0" w:color="auto"/>
        <w:bottom w:val="none" w:sz="0" w:space="0" w:color="auto"/>
        <w:right w:val="none" w:sz="0" w:space="0" w:color="auto"/>
      </w:divBdr>
    </w:div>
    <w:div w:id="1714842679">
      <w:bodyDiv w:val="1"/>
      <w:marLeft w:val="0"/>
      <w:marRight w:val="0"/>
      <w:marTop w:val="0"/>
      <w:marBottom w:val="0"/>
      <w:divBdr>
        <w:top w:val="none" w:sz="0" w:space="0" w:color="auto"/>
        <w:left w:val="none" w:sz="0" w:space="0" w:color="auto"/>
        <w:bottom w:val="none" w:sz="0" w:space="0" w:color="auto"/>
        <w:right w:val="none" w:sz="0" w:space="0" w:color="auto"/>
      </w:divBdr>
    </w:div>
    <w:div w:id="1726905482">
      <w:bodyDiv w:val="1"/>
      <w:marLeft w:val="0"/>
      <w:marRight w:val="0"/>
      <w:marTop w:val="0"/>
      <w:marBottom w:val="0"/>
      <w:divBdr>
        <w:top w:val="none" w:sz="0" w:space="0" w:color="auto"/>
        <w:left w:val="none" w:sz="0" w:space="0" w:color="auto"/>
        <w:bottom w:val="none" w:sz="0" w:space="0" w:color="auto"/>
        <w:right w:val="none" w:sz="0" w:space="0" w:color="auto"/>
      </w:divBdr>
    </w:div>
    <w:div w:id="1728413664">
      <w:bodyDiv w:val="1"/>
      <w:marLeft w:val="0"/>
      <w:marRight w:val="0"/>
      <w:marTop w:val="0"/>
      <w:marBottom w:val="0"/>
      <w:divBdr>
        <w:top w:val="none" w:sz="0" w:space="0" w:color="auto"/>
        <w:left w:val="none" w:sz="0" w:space="0" w:color="auto"/>
        <w:bottom w:val="none" w:sz="0" w:space="0" w:color="auto"/>
        <w:right w:val="none" w:sz="0" w:space="0" w:color="auto"/>
      </w:divBdr>
    </w:div>
    <w:div w:id="1732581310">
      <w:bodyDiv w:val="1"/>
      <w:marLeft w:val="0"/>
      <w:marRight w:val="0"/>
      <w:marTop w:val="0"/>
      <w:marBottom w:val="0"/>
      <w:divBdr>
        <w:top w:val="none" w:sz="0" w:space="0" w:color="auto"/>
        <w:left w:val="none" w:sz="0" w:space="0" w:color="auto"/>
        <w:bottom w:val="none" w:sz="0" w:space="0" w:color="auto"/>
        <w:right w:val="none" w:sz="0" w:space="0" w:color="auto"/>
      </w:divBdr>
    </w:div>
    <w:div w:id="1735271976">
      <w:bodyDiv w:val="1"/>
      <w:marLeft w:val="0"/>
      <w:marRight w:val="0"/>
      <w:marTop w:val="0"/>
      <w:marBottom w:val="0"/>
      <w:divBdr>
        <w:top w:val="none" w:sz="0" w:space="0" w:color="auto"/>
        <w:left w:val="none" w:sz="0" w:space="0" w:color="auto"/>
        <w:bottom w:val="none" w:sz="0" w:space="0" w:color="auto"/>
        <w:right w:val="none" w:sz="0" w:space="0" w:color="auto"/>
      </w:divBdr>
    </w:div>
    <w:div w:id="1737892352">
      <w:bodyDiv w:val="1"/>
      <w:marLeft w:val="0"/>
      <w:marRight w:val="0"/>
      <w:marTop w:val="0"/>
      <w:marBottom w:val="0"/>
      <w:divBdr>
        <w:top w:val="none" w:sz="0" w:space="0" w:color="auto"/>
        <w:left w:val="none" w:sz="0" w:space="0" w:color="auto"/>
        <w:bottom w:val="none" w:sz="0" w:space="0" w:color="auto"/>
        <w:right w:val="none" w:sz="0" w:space="0" w:color="auto"/>
      </w:divBdr>
    </w:div>
    <w:div w:id="1739353647">
      <w:bodyDiv w:val="1"/>
      <w:marLeft w:val="0"/>
      <w:marRight w:val="0"/>
      <w:marTop w:val="0"/>
      <w:marBottom w:val="0"/>
      <w:divBdr>
        <w:top w:val="none" w:sz="0" w:space="0" w:color="auto"/>
        <w:left w:val="none" w:sz="0" w:space="0" w:color="auto"/>
        <w:bottom w:val="none" w:sz="0" w:space="0" w:color="auto"/>
        <w:right w:val="none" w:sz="0" w:space="0" w:color="auto"/>
      </w:divBdr>
    </w:div>
    <w:div w:id="1740663646">
      <w:bodyDiv w:val="1"/>
      <w:marLeft w:val="0"/>
      <w:marRight w:val="0"/>
      <w:marTop w:val="0"/>
      <w:marBottom w:val="0"/>
      <w:divBdr>
        <w:top w:val="none" w:sz="0" w:space="0" w:color="auto"/>
        <w:left w:val="none" w:sz="0" w:space="0" w:color="auto"/>
        <w:bottom w:val="none" w:sz="0" w:space="0" w:color="auto"/>
        <w:right w:val="none" w:sz="0" w:space="0" w:color="auto"/>
      </w:divBdr>
    </w:div>
    <w:div w:id="1741127560">
      <w:bodyDiv w:val="1"/>
      <w:marLeft w:val="0"/>
      <w:marRight w:val="0"/>
      <w:marTop w:val="0"/>
      <w:marBottom w:val="0"/>
      <w:divBdr>
        <w:top w:val="none" w:sz="0" w:space="0" w:color="auto"/>
        <w:left w:val="none" w:sz="0" w:space="0" w:color="auto"/>
        <w:bottom w:val="none" w:sz="0" w:space="0" w:color="auto"/>
        <w:right w:val="none" w:sz="0" w:space="0" w:color="auto"/>
      </w:divBdr>
    </w:div>
    <w:div w:id="1741631417">
      <w:bodyDiv w:val="1"/>
      <w:marLeft w:val="0"/>
      <w:marRight w:val="0"/>
      <w:marTop w:val="0"/>
      <w:marBottom w:val="0"/>
      <w:divBdr>
        <w:top w:val="none" w:sz="0" w:space="0" w:color="auto"/>
        <w:left w:val="none" w:sz="0" w:space="0" w:color="auto"/>
        <w:bottom w:val="none" w:sz="0" w:space="0" w:color="auto"/>
        <w:right w:val="none" w:sz="0" w:space="0" w:color="auto"/>
      </w:divBdr>
    </w:div>
    <w:div w:id="1742942113">
      <w:bodyDiv w:val="1"/>
      <w:marLeft w:val="0"/>
      <w:marRight w:val="0"/>
      <w:marTop w:val="0"/>
      <w:marBottom w:val="0"/>
      <w:divBdr>
        <w:top w:val="none" w:sz="0" w:space="0" w:color="auto"/>
        <w:left w:val="none" w:sz="0" w:space="0" w:color="auto"/>
        <w:bottom w:val="none" w:sz="0" w:space="0" w:color="auto"/>
        <w:right w:val="none" w:sz="0" w:space="0" w:color="auto"/>
      </w:divBdr>
    </w:div>
    <w:div w:id="1743259429">
      <w:bodyDiv w:val="1"/>
      <w:marLeft w:val="0"/>
      <w:marRight w:val="0"/>
      <w:marTop w:val="0"/>
      <w:marBottom w:val="0"/>
      <w:divBdr>
        <w:top w:val="none" w:sz="0" w:space="0" w:color="auto"/>
        <w:left w:val="none" w:sz="0" w:space="0" w:color="auto"/>
        <w:bottom w:val="none" w:sz="0" w:space="0" w:color="auto"/>
        <w:right w:val="none" w:sz="0" w:space="0" w:color="auto"/>
      </w:divBdr>
    </w:div>
    <w:div w:id="1744063467">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7531374">
      <w:bodyDiv w:val="1"/>
      <w:marLeft w:val="0"/>
      <w:marRight w:val="0"/>
      <w:marTop w:val="0"/>
      <w:marBottom w:val="0"/>
      <w:divBdr>
        <w:top w:val="none" w:sz="0" w:space="0" w:color="auto"/>
        <w:left w:val="none" w:sz="0" w:space="0" w:color="auto"/>
        <w:bottom w:val="none" w:sz="0" w:space="0" w:color="auto"/>
        <w:right w:val="none" w:sz="0" w:space="0" w:color="auto"/>
      </w:divBdr>
    </w:div>
    <w:div w:id="1750810842">
      <w:bodyDiv w:val="1"/>
      <w:marLeft w:val="0"/>
      <w:marRight w:val="0"/>
      <w:marTop w:val="0"/>
      <w:marBottom w:val="0"/>
      <w:divBdr>
        <w:top w:val="none" w:sz="0" w:space="0" w:color="auto"/>
        <w:left w:val="none" w:sz="0" w:space="0" w:color="auto"/>
        <w:bottom w:val="none" w:sz="0" w:space="0" w:color="auto"/>
        <w:right w:val="none" w:sz="0" w:space="0" w:color="auto"/>
      </w:divBdr>
    </w:div>
    <w:div w:id="1756589116">
      <w:bodyDiv w:val="1"/>
      <w:marLeft w:val="0"/>
      <w:marRight w:val="0"/>
      <w:marTop w:val="0"/>
      <w:marBottom w:val="0"/>
      <w:divBdr>
        <w:top w:val="none" w:sz="0" w:space="0" w:color="auto"/>
        <w:left w:val="none" w:sz="0" w:space="0" w:color="auto"/>
        <w:bottom w:val="none" w:sz="0" w:space="0" w:color="auto"/>
        <w:right w:val="none" w:sz="0" w:space="0" w:color="auto"/>
      </w:divBdr>
    </w:div>
    <w:div w:id="1759256719">
      <w:bodyDiv w:val="1"/>
      <w:marLeft w:val="0"/>
      <w:marRight w:val="0"/>
      <w:marTop w:val="0"/>
      <w:marBottom w:val="0"/>
      <w:divBdr>
        <w:top w:val="none" w:sz="0" w:space="0" w:color="auto"/>
        <w:left w:val="none" w:sz="0" w:space="0" w:color="auto"/>
        <w:bottom w:val="none" w:sz="0" w:space="0" w:color="auto"/>
        <w:right w:val="none" w:sz="0" w:space="0" w:color="auto"/>
      </w:divBdr>
    </w:div>
    <w:div w:id="1760324569">
      <w:bodyDiv w:val="1"/>
      <w:marLeft w:val="0"/>
      <w:marRight w:val="0"/>
      <w:marTop w:val="0"/>
      <w:marBottom w:val="0"/>
      <w:divBdr>
        <w:top w:val="none" w:sz="0" w:space="0" w:color="auto"/>
        <w:left w:val="none" w:sz="0" w:space="0" w:color="auto"/>
        <w:bottom w:val="none" w:sz="0" w:space="0" w:color="auto"/>
        <w:right w:val="none" w:sz="0" w:space="0" w:color="auto"/>
      </w:divBdr>
    </w:div>
    <w:div w:id="1765221187">
      <w:bodyDiv w:val="1"/>
      <w:marLeft w:val="0"/>
      <w:marRight w:val="0"/>
      <w:marTop w:val="0"/>
      <w:marBottom w:val="0"/>
      <w:divBdr>
        <w:top w:val="none" w:sz="0" w:space="0" w:color="auto"/>
        <w:left w:val="none" w:sz="0" w:space="0" w:color="auto"/>
        <w:bottom w:val="none" w:sz="0" w:space="0" w:color="auto"/>
        <w:right w:val="none" w:sz="0" w:space="0" w:color="auto"/>
      </w:divBdr>
    </w:div>
    <w:div w:id="1772387625">
      <w:bodyDiv w:val="1"/>
      <w:marLeft w:val="0"/>
      <w:marRight w:val="0"/>
      <w:marTop w:val="0"/>
      <w:marBottom w:val="0"/>
      <w:divBdr>
        <w:top w:val="none" w:sz="0" w:space="0" w:color="auto"/>
        <w:left w:val="none" w:sz="0" w:space="0" w:color="auto"/>
        <w:bottom w:val="none" w:sz="0" w:space="0" w:color="auto"/>
        <w:right w:val="none" w:sz="0" w:space="0" w:color="auto"/>
      </w:divBdr>
    </w:div>
    <w:div w:id="1775054381">
      <w:bodyDiv w:val="1"/>
      <w:marLeft w:val="0"/>
      <w:marRight w:val="0"/>
      <w:marTop w:val="0"/>
      <w:marBottom w:val="0"/>
      <w:divBdr>
        <w:top w:val="none" w:sz="0" w:space="0" w:color="auto"/>
        <w:left w:val="none" w:sz="0" w:space="0" w:color="auto"/>
        <w:bottom w:val="none" w:sz="0" w:space="0" w:color="auto"/>
        <w:right w:val="none" w:sz="0" w:space="0" w:color="auto"/>
      </w:divBdr>
    </w:div>
    <w:div w:id="1777672565">
      <w:bodyDiv w:val="1"/>
      <w:marLeft w:val="0"/>
      <w:marRight w:val="0"/>
      <w:marTop w:val="0"/>
      <w:marBottom w:val="0"/>
      <w:divBdr>
        <w:top w:val="none" w:sz="0" w:space="0" w:color="auto"/>
        <w:left w:val="none" w:sz="0" w:space="0" w:color="auto"/>
        <w:bottom w:val="none" w:sz="0" w:space="0" w:color="auto"/>
        <w:right w:val="none" w:sz="0" w:space="0" w:color="auto"/>
      </w:divBdr>
    </w:div>
    <w:div w:id="1782454609">
      <w:bodyDiv w:val="1"/>
      <w:marLeft w:val="0"/>
      <w:marRight w:val="0"/>
      <w:marTop w:val="0"/>
      <w:marBottom w:val="0"/>
      <w:divBdr>
        <w:top w:val="none" w:sz="0" w:space="0" w:color="auto"/>
        <w:left w:val="none" w:sz="0" w:space="0" w:color="auto"/>
        <w:bottom w:val="none" w:sz="0" w:space="0" w:color="auto"/>
        <w:right w:val="none" w:sz="0" w:space="0" w:color="auto"/>
      </w:divBdr>
    </w:div>
    <w:div w:id="1782718931">
      <w:bodyDiv w:val="1"/>
      <w:marLeft w:val="0"/>
      <w:marRight w:val="0"/>
      <w:marTop w:val="0"/>
      <w:marBottom w:val="0"/>
      <w:divBdr>
        <w:top w:val="none" w:sz="0" w:space="0" w:color="auto"/>
        <w:left w:val="none" w:sz="0" w:space="0" w:color="auto"/>
        <w:bottom w:val="none" w:sz="0" w:space="0" w:color="auto"/>
        <w:right w:val="none" w:sz="0" w:space="0" w:color="auto"/>
      </w:divBdr>
    </w:div>
    <w:div w:id="1783455533">
      <w:bodyDiv w:val="1"/>
      <w:marLeft w:val="0"/>
      <w:marRight w:val="0"/>
      <w:marTop w:val="0"/>
      <w:marBottom w:val="0"/>
      <w:divBdr>
        <w:top w:val="none" w:sz="0" w:space="0" w:color="auto"/>
        <w:left w:val="none" w:sz="0" w:space="0" w:color="auto"/>
        <w:bottom w:val="none" w:sz="0" w:space="0" w:color="auto"/>
        <w:right w:val="none" w:sz="0" w:space="0" w:color="auto"/>
      </w:divBdr>
    </w:div>
    <w:div w:id="1787187990">
      <w:bodyDiv w:val="1"/>
      <w:marLeft w:val="0"/>
      <w:marRight w:val="0"/>
      <w:marTop w:val="0"/>
      <w:marBottom w:val="0"/>
      <w:divBdr>
        <w:top w:val="none" w:sz="0" w:space="0" w:color="auto"/>
        <w:left w:val="none" w:sz="0" w:space="0" w:color="auto"/>
        <w:bottom w:val="none" w:sz="0" w:space="0" w:color="auto"/>
        <w:right w:val="none" w:sz="0" w:space="0" w:color="auto"/>
      </w:divBdr>
    </w:div>
    <w:div w:id="1789346929">
      <w:bodyDiv w:val="1"/>
      <w:marLeft w:val="0"/>
      <w:marRight w:val="0"/>
      <w:marTop w:val="0"/>
      <w:marBottom w:val="0"/>
      <w:divBdr>
        <w:top w:val="none" w:sz="0" w:space="0" w:color="auto"/>
        <w:left w:val="none" w:sz="0" w:space="0" w:color="auto"/>
        <w:bottom w:val="none" w:sz="0" w:space="0" w:color="auto"/>
        <w:right w:val="none" w:sz="0" w:space="0" w:color="auto"/>
      </w:divBdr>
    </w:div>
    <w:div w:id="1797989440">
      <w:bodyDiv w:val="1"/>
      <w:marLeft w:val="0"/>
      <w:marRight w:val="0"/>
      <w:marTop w:val="0"/>
      <w:marBottom w:val="0"/>
      <w:divBdr>
        <w:top w:val="none" w:sz="0" w:space="0" w:color="auto"/>
        <w:left w:val="none" w:sz="0" w:space="0" w:color="auto"/>
        <w:bottom w:val="none" w:sz="0" w:space="0" w:color="auto"/>
        <w:right w:val="none" w:sz="0" w:space="0" w:color="auto"/>
      </w:divBdr>
    </w:div>
    <w:div w:id="1808234194">
      <w:bodyDiv w:val="1"/>
      <w:marLeft w:val="0"/>
      <w:marRight w:val="0"/>
      <w:marTop w:val="0"/>
      <w:marBottom w:val="0"/>
      <w:divBdr>
        <w:top w:val="none" w:sz="0" w:space="0" w:color="auto"/>
        <w:left w:val="none" w:sz="0" w:space="0" w:color="auto"/>
        <w:bottom w:val="none" w:sz="0" w:space="0" w:color="auto"/>
        <w:right w:val="none" w:sz="0" w:space="0" w:color="auto"/>
      </w:divBdr>
    </w:div>
    <w:div w:id="1810510795">
      <w:bodyDiv w:val="1"/>
      <w:marLeft w:val="0"/>
      <w:marRight w:val="0"/>
      <w:marTop w:val="0"/>
      <w:marBottom w:val="0"/>
      <w:divBdr>
        <w:top w:val="none" w:sz="0" w:space="0" w:color="auto"/>
        <w:left w:val="none" w:sz="0" w:space="0" w:color="auto"/>
        <w:bottom w:val="none" w:sz="0" w:space="0" w:color="auto"/>
        <w:right w:val="none" w:sz="0" w:space="0" w:color="auto"/>
      </w:divBdr>
    </w:div>
    <w:div w:id="1811052897">
      <w:bodyDiv w:val="1"/>
      <w:marLeft w:val="0"/>
      <w:marRight w:val="0"/>
      <w:marTop w:val="0"/>
      <w:marBottom w:val="0"/>
      <w:divBdr>
        <w:top w:val="none" w:sz="0" w:space="0" w:color="auto"/>
        <w:left w:val="none" w:sz="0" w:space="0" w:color="auto"/>
        <w:bottom w:val="none" w:sz="0" w:space="0" w:color="auto"/>
        <w:right w:val="none" w:sz="0" w:space="0" w:color="auto"/>
      </w:divBdr>
    </w:div>
    <w:div w:id="1822381515">
      <w:bodyDiv w:val="1"/>
      <w:marLeft w:val="0"/>
      <w:marRight w:val="0"/>
      <w:marTop w:val="0"/>
      <w:marBottom w:val="0"/>
      <w:divBdr>
        <w:top w:val="none" w:sz="0" w:space="0" w:color="auto"/>
        <w:left w:val="none" w:sz="0" w:space="0" w:color="auto"/>
        <w:bottom w:val="none" w:sz="0" w:space="0" w:color="auto"/>
        <w:right w:val="none" w:sz="0" w:space="0" w:color="auto"/>
      </w:divBdr>
    </w:div>
    <w:div w:id="1826121462">
      <w:bodyDiv w:val="1"/>
      <w:marLeft w:val="0"/>
      <w:marRight w:val="0"/>
      <w:marTop w:val="0"/>
      <w:marBottom w:val="0"/>
      <w:divBdr>
        <w:top w:val="none" w:sz="0" w:space="0" w:color="auto"/>
        <w:left w:val="none" w:sz="0" w:space="0" w:color="auto"/>
        <w:bottom w:val="none" w:sz="0" w:space="0" w:color="auto"/>
        <w:right w:val="none" w:sz="0" w:space="0" w:color="auto"/>
      </w:divBdr>
    </w:div>
    <w:div w:id="1834032437">
      <w:bodyDiv w:val="1"/>
      <w:marLeft w:val="0"/>
      <w:marRight w:val="0"/>
      <w:marTop w:val="0"/>
      <w:marBottom w:val="0"/>
      <w:divBdr>
        <w:top w:val="none" w:sz="0" w:space="0" w:color="auto"/>
        <w:left w:val="none" w:sz="0" w:space="0" w:color="auto"/>
        <w:bottom w:val="none" w:sz="0" w:space="0" w:color="auto"/>
        <w:right w:val="none" w:sz="0" w:space="0" w:color="auto"/>
      </w:divBdr>
    </w:div>
    <w:div w:id="1838232215">
      <w:bodyDiv w:val="1"/>
      <w:marLeft w:val="0"/>
      <w:marRight w:val="0"/>
      <w:marTop w:val="0"/>
      <w:marBottom w:val="0"/>
      <w:divBdr>
        <w:top w:val="none" w:sz="0" w:space="0" w:color="auto"/>
        <w:left w:val="none" w:sz="0" w:space="0" w:color="auto"/>
        <w:bottom w:val="none" w:sz="0" w:space="0" w:color="auto"/>
        <w:right w:val="none" w:sz="0" w:space="0" w:color="auto"/>
      </w:divBdr>
    </w:div>
    <w:div w:id="1842771083">
      <w:bodyDiv w:val="1"/>
      <w:marLeft w:val="0"/>
      <w:marRight w:val="0"/>
      <w:marTop w:val="0"/>
      <w:marBottom w:val="0"/>
      <w:divBdr>
        <w:top w:val="none" w:sz="0" w:space="0" w:color="auto"/>
        <w:left w:val="none" w:sz="0" w:space="0" w:color="auto"/>
        <w:bottom w:val="none" w:sz="0" w:space="0" w:color="auto"/>
        <w:right w:val="none" w:sz="0" w:space="0" w:color="auto"/>
      </w:divBdr>
    </w:div>
    <w:div w:id="1843928628">
      <w:bodyDiv w:val="1"/>
      <w:marLeft w:val="0"/>
      <w:marRight w:val="0"/>
      <w:marTop w:val="0"/>
      <w:marBottom w:val="0"/>
      <w:divBdr>
        <w:top w:val="none" w:sz="0" w:space="0" w:color="auto"/>
        <w:left w:val="none" w:sz="0" w:space="0" w:color="auto"/>
        <w:bottom w:val="none" w:sz="0" w:space="0" w:color="auto"/>
        <w:right w:val="none" w:sz="0" w:space="0" w:color="auto"/>
      </w:divBdr>
    </w:div>
    <w:div w:id="1845124344">
      <w:bodyDiv w:val="1"/>
      <w:marLeft w:val="0"/>
      <w:marRight w:val="0"/>
      <w:marTop w:val="0"/>
      <w:marBottom w:val="0"/>
      <w:divBdr>
        <w:top w:val="none" w:sz="0" w:space="0" w:color="auto"/>
        <w:left w:val="none" w:sz="0" w:space="0" w:color="auto"/>
        <w:bottom w:val="none" w:sz="0" w:space="0" w:color="auto"/>
        <w:right w:val="none" w:sz="0" w:space="0" w:color="auto"/>
      </w:divBdr>
    </w:div>
    <w:div w:id="1847749208">
      <w:bodyDiv w:val="1"/>
      <w:marLeft w:val="0"/>
      <w:marRight w:val="0"/>
      <w:marTop w:val="0"/>
      <w:marBottom w:val="0"/>
      <w:divBdr>
        <w:top w:val="none" w:sz="0" w:space="0" w:color="auto"/>
        <w:left w:val="none" w:sz="0" w:space="0" w:color="auto"/>
        <w:bottom w:val="none" w:sz="0" w:space="0" w:color="auto"/>
        <w:right w:val="none" w:sz="0" w:space="0" w:color="auto"/>
      </w:divBdr>
    </w:div>
    <w:div w:id="1848715820">
      <w:bodyDiv w:val="1"/>
      <w:marLeft w:val="0"/>
      <w:marRight w:val="0"/>
      <w:marTop w:val="0"/>
      <w:marBottom w:val="0"/>
      <w:divBdr>
        <w:top w:val="none" w:sz="0" w:space="0" w:color="auto"/>
        <w:left w:val="none" w:sz="0" w:space="0" w:color="auto"/>
        <w:bottom w:val="none" w:sz="0" w:space="0" w:color="auto"/>
        <w:right w:val="none" w:sz="0" w:space="0" w:color="auto"/>
      </w:divBdr>
    </w:div>
    <w:div w:id="1855337989">
      <w:bodyDiv w:val="1"/>
      <w:marLeft w:val="0"/>
      <w:marRight w:val="0"/>
      <w:marTop w:val="0"/>
      <w:marBottom w:val="0"/>
      <w:divBdr>
        <w:top w:val="none" w:sz="0" w:space="0" w:color="auto"/>
        <w:left w:val="none" w:sz="0" w:space="0" w:color="auto"/>
        <w:bottom w:val="none" w:sz="0" w:space="0" w:color="auto"/>
        <w:right w:val="none" w:sz="0" w:space="0" w:color="auto"/>
      </w:divBdr>
    </w:div>
    <w:div w:id="1861045899">
      <w:bodyDiv w:val="1"/>
      <w:marLeft w:val="0"/>
      <w:marRight w:val="0"/>
      <w:marTop w:val="0"/>
      <w:marBottom w:val="0"/>
      <w:divBdr>
        <w:top w:val="none" w:sz="0" w:space="0" w:color="auto"/>
        <w:left w:val="none" w:sz="0" w:space="0" w:color="auto"/>
        <w:bottom w:val="none" w:sz="0" w:space="0" w:color="auto"/>
        <w:right w:val="none" w:sz="0" w:space="0" w:color="auto"/>
      </w:divBdr>
    </w:div>
    <w:div w:id="1864392969">
      <w:bodyDiv w:val="1"/>
      <w:marLeft w:val="0"/>
      <w:marRight w:val="0"/>
      <w:marTop w:val="0"/>
      <w:marBottom w:val="0"/>
      <w:divBdr>
        <w:top w:val="none" w:sz="0" w:space="0" w:color="auto"/>
        <w:left w:val="none" w:sz="0" w:space="0" w:color="auto"/>
        <w:bottom w:val="none" w:sz="0" w:space="0" w:color="auto"/>
        <w:right w:val="none" w:sz="0" w:space="0" w:color="auto"/>
      </w:divBdr>
    </w:div>
    <w:div w:id="1868058545">
      <w:bodyDiv w:val="1"/>
      <w:marLeft w:val="0"/>
      <w:marRight w:val="0"/>
      <w:marTop w:val="0"/>
      <w:marBottom w:val="0"/>
      <w:divBdr>
        <w:top w:val="none" w:sz="0" w:space="0" w:color="auto"/>
        <w:left w:val="none" w:sz="0" w:space="0" w:color="auto"/>
        <w:bottom w:val="none" w:sz="0" w:space="0" w:color="auto"/>
        <w:right w:val="none" w:sz="0" w:space="0" w:color="auto"/>
      </w:divBdr>
    </w:div>
    <w:div w:id="1871607646">
      <w:bodyDiv w:val="1"/>
      <w:marLeft w:val="0"/>
      <w:marRight w:val="0"/>
      <w:marTop w:val="0"/>
      <w:marBottom w:val="0"/>
      <w:divBdr>
        <w:top w:val="none" w:sz="0" w:space="0" w:color="auto"/>
        <w:left w:val="none" w:sz="0" w:space="0" w:color="auto"/>
        <w:bottom w:val="none" w:sz="0" w:space="0" w:color="auto"/>
        <w:right w:val="none" w:sz="0" w:space="0" w:color="auto"/>
      </w:divBdr>
    </w:div>
    <w:div w:id="1872305362">
      <w:bodyDiv w:val="1"/>
      <w:marLeft w:val="0"/>
      <w:marRight w:val="0"/>
      <w:marTop w:val="0"/>
      <w:marBottom w:val="0"/>
      <w:divBdr>
        <w:top w:val="none" w:sz="0" w:space="0" w:color="auto"/>
        <w:left w:val="none" w:sz="0" w:space="0" w:color="auto"/>
        <w:bottom w:val="none" w:sz="0" w:space="0" w:color="auto"/>
        <w:right w:val="none" w:sz="0" w:space="0" w:color="auto"/>
      </w:divBdr>
    </w:div>
    <w:div w:id="1873297552">
      <w:bodyDiv w:val="1"/>
      <w:marLeft w:val="0"/>
      <w:marRight w:val="0"/>
      <w:marTop w:val="0"/>
      <w:marBottom w:val="0"/>
      <w:divBdr>
        <w:top w:val="none" w:sz="0" w:space="0" w:color="auto"/>
        <w:left w:val="none" w:sz="0" w:space="0" w:color="auto"/>
        <w:bottom w:val="none" w:sz="0" w:space="0" w:color="auto"/>
        <w:right w:val="none" w:sz="0" w:space="0" w:color="auto"/>
      </w:divBdr>
    </w:div>
    <w:div w:id="1875382372">
      <w:bodyDiv w:val="1"/>
      <w:marLeft w:val="0"/>
      <w:marRight w:val="0"/>
      <w:marTop w:val="0"/>
      <w:marBottom w:val="0"/>
      <w:divBdr>
        <w:top w:val="none" w:sz="0" w:space="0" w:color="auto"/>
        <w:left w:val="none" w:sz="0" w:space="0" w:color="auto"/>
        <w:bottom w:val="none" w:sz="0" w:space="0" w:color="auto"/>
        <w:right w:val="none" w:sz="0" w:space="0" w:color="auto"/>
      </w:divBdr>
    </w:div>
    <w:div w:id="1880169573">
      <w:bodyDiv w:val="1"/>
      <w:marLeft w:val="0"/>
      <w:marRight w:val="0"/>
      <w:marTop w:val="0"/>
      <w:marBottom w:val="0"/>
      <w:divBdr>
        <w:top w:val="none" w:sz="0" w:space="0" w:color="auto"/>
        <w:left w:val="none" w:sz="0" w:space="0" w:color="auto"/>
        <w:bottom w:val="none" w:sz="0" w:space="0" w:color="auto"/>
        <w:right w:val="none" w:sz="0" w:space="0" w:color="auto"/>
      </w:divBdr>
    </w:div>
    <w:div w:id="1885092301">
      <w:bodyDiv w:val="1"/>
      <w:marLeft w:val="0"/>
      <w:marRight w:val="0"/>
      <w:marTop w:val="0"/>
      <w:marBottom w:val="0"/>
      <w:divBdr>
        <w:top w:val="none" w:sz="0" w:space="0" w:color="auto"/>
        <w:left w:val="none" w:sz="0" w:space="0" w:color="auto"/>
        <w:bottom w:val="none" w:sz="0" w:space="0" w:color="auto"/>
        <w:right w:val="none" w:sz="0" w:space="0" w:color="auto"/>
      </w:divBdr>
    </w:div>
    <w:div w:id="1892382457">
      <w:bodyDiv w:val="1"/>
      <w:marLeft w:val="0"/>
      <w:marRight w:val="0"/>
      <w:marTop w:val="0"/>
      <w:marBottom w:val="0"/>
      <w:divBdr>
        <w:top w:val="none" w:sz="0" w:space="0" w:color="auto"/>
        <w:left w:val="none" w:sz="0" w:space="0" w:color="auto"/>
        <w:bottom w:val="none" w:sz="0" w:space="0" w:color="auto"/>
        <w:right w:val="none" w:sz="0" w:space="0" w:color="auto"/>
      </w:divBdr>
    </w:div>
    <w:div w:id="1901163731">
      <w:bodyDiv w:val="1"/>
      <w:marLeft w:val="0"/>
      <w:marRight w:val="0"/>
      <w:marTop w:val="0"/>
      <w:marBottom w:val="0"/>
      <w:divBdr>
        <w:top w:val="none" w:sz="0" w:space="0" w:color="auto"/>
        <w:left w:val="none" w:sz="0" w:space="0" w:color="auto"/>
        <w:bottom w:val="none" w:sz="0" w:space="0" w:color="auto"/>
        <w:right w:val="none" w:sz="0" w:space="0" w:color="auto"/>
      </w:divBdr>
    </w:div>
    <w:div w:id="1921020624">
      <w:bodyDiv w:val="1"/>
      <w:marLeft w:val="0"/>
      <w:marRight w:val="0"/>
      <w:marTop w:val="0"/>
      <w:marBottom w:val="0"/>
      <w:divBdr>
        <w:top w:val="none" w:sz="0" w:space="0" w:color="auto"/>
        <w:left w:val="none" w:sz="0" w:space="0" w:color="auto"/>
        <w:bottom w:val="none" w:sz="0" w:space="0" w:color="auto"/>
        <w:right w:val="none" w:sz="0" w:space="0" w:color="auto"/>
      </w:divBdr>
    </w:div>
    <w:div w:id="1931545614">
      <w:bodyDiv w:val="1"/>
      <w:marLeft w:val="0"/>
      <w:marRight w:val="0"/>
      <w:marTop w:val="0"/>
      <w:marBottom w:val="0"/>
      <w:divBdr>
        <w:top w:val="none" w:sz="0" w:space="0" w:color="auto"/>
        <w:left w:val="none" w:sz="0" w:space="0" w:color="auto"/>
        <w:bottom w:val="none" w:sz="0" w:space="0" w:color="auto"/>
        <w:right w:val="none" w:sz="0" w:space="0" w:color="auto"/>
      </w:divBdr>
    </w:div>
    <w:div w:id="1933736931">
      <w:bodyDiv w:val="1"/>
      <w:marLeft w:val="0"/>
      <w:marRight w:val="0"/>
      <w:marTop w:val="0"/>
      <w:marBottom w:val="0"/>
      <w:divBdr>
        <w:top w:val="none" w:sz="0" w:space="0" w:color="auto"/>
        <w:left w:val="none" w:sz="0" w:space="0" w:color="auto"/>
        <w:bottom w:val="none" w:sz="0" w:space="0" w:color="auto"/>
        <w:right w:val="none" w:sz="0" w:space="0" w:color="auto"/>
      </w:divBdr>
    </w:div>
    <w:div w:id="1935703262">
      <w:bodyDiv w:val="1"/>
      <w:marLeft w:val="0"/>
      <w:marRight w:val="0"/>
      <w:marTop w:val="0"/>
      <w:marBottom w:val="0"/>
      <w:divBdr>
        <w:top w:val="none" w:sz="0" w:space="0" w:color="auto"/>
        <w:left w:val="none" w:sz="0" w:space="0" w:color="auto"/>
        <w:bottom w:val="none" w:sz="0" w:space="0" w:color="auto"/>
        <w:right w:val="none" w:sz="0" w:space="0" w:color="auto"/>
      </w:divBdr>
    </w:div>
    <w:div w:id="1939479014">
      <w:bodyDiv w:val="1"/>
      <w:marLeft w:val="0"/>
      <w:marRight w:val="0"/>
      <w:marTop w:val="0"/>
      <w:marBottom w:val="0"/>
      <w:divBdr>
        <w:top w:val="none" w:sz="0" w:space="0" w:color="auto"/>
        <w:left w:val="none" w:sz="0" w:space="0" w:color="auto"/>
        <w:bottom w:val="none" w:sz="0" w:space="0" w:color="auto"/>
        <w:right w:val="none" w:sz="0" w:space="0" w:color="auto"/>
      </w:divBdr>
    </w:div>
    <w:div w:id="1945915765">
      <w:bodyDiv w:val="1"/>
      <w:marLeft w:val="0"/>
      <w:marRight w:val="0"/>
      <w:marTop w:val="0"/>
      <w:marBottom w:val="0"/>
      <w:divBdr>
        <w:top w:val="none" w:sz="0" w:space="0" w:color="auto"/>
        <w:left w:val="none" w:sz="0" w:space="0" w:color="auto"/>
        <w:bottom w:val="none" w:sz="0" w:space="0" w:color="auto"/>
        <w:right w:val="none" w:sz="0" w:space="0" w:color="auto"/>
      </w:divBdr>
    </w:div>
    <w:div w:id="1948266071">
      <w:bodyDiv w:val="1"/>
      <w:marLeft w:val="0"/>
      <w:marRight w:val="0"/>
      <w:marTop w:val="0"/>
      <w:marBottom w:val="0"/>
      <w:divBdr>
        <w:top w:val="none" w:sz="0" w:space="0" w:color="auto"/>
        <w:left w:val="none" w:sz="0" w:space="0" w:color="auto"/>
        <w:bottom w:val="none" w:sz="0" w:space="0" w:color="auto"/>
        <w:right w:val="none" w:sz="0" w:space="0" w:color="auto"/>
      </w:divBdr>
    </w:div>
    <w:div w:id="1951083175">
      <w:bodyDiv w:val="1"/>
      <w:marLeft w:val="0"/>
      <w:marRight w:val="0"/>
      <w:marTop w:val="0"/>
      <w:marBottom w:val="0"/>
      <w:divBdr>
        <w:top w:val="none" w:sz="0" w:space="0" w:color="auto"/>
        <w:left w:val="none" w:sz="0" w:space="0" w:color="auto"/>
        <w:bottom w:val="none" w:sz="0" w:space="0" w:color="auto"/>
        <w:right w:val="none" w:sz="0" w:space="0" w:color="auto"/>
      </w:divBdr>
    </w:div>
    <w:div w:id="1951859523">
      <w:bodyDiv w:val="1"/>
      <w:marLeft w:val="0"/>
      <w:marRight w:val="0"/>
      <w:marTop w:val="0"/>
      <w:marBottom w:val="0"/>
      <w:divBdr>
        <w:top w:val="none" w:sz="0" w:space="0" w:color="auto"/>
        <w:left w:val="none" w:sz="0" w:space="0" w:color="auto"/>
        <w:bottom w:val="none" w:sz="0" w:space="0" w:color="auto"/>
        <w:right w:val="none" w:sz="0" w:space="0" w:color="auto"/>
      </w:divBdr>
    </w:div>
    <w:div w:id="1952276557">
      <w:bodyDiv w:val="1"/>
      <w:marLeft w:val="0"/>
      <w:marRight w:val="0"/>
      <w:marTop w:val="0"/>
      <w:marBottom w:val="0"/>
      <w:divBdr>
        <w:top w:val="none" w:sz="0" w:space="0" w:color="auto"/>
        <w:left w:val="none" w:sz="0" w:space="0" w:color="auto"/>
        <w:bottom w:val="none" w:sz="0" w:space="0" w:color="auto"/>
        <w:right w:val="none" w:sz="0" w:space="0" w:color="auto"/>
      </w:divBdr>
    </w:div>
    <w:div w:id="1953515827">
      <w:bodyDiv w:val="1"/>
      <w:marLeft w:val="0"/>
      <w:marRight w:val="0"/>
      <w:marTop w:val="0"/>
      <w:marBottom w:val="0"/>
      <w:divBdr>
        <w:top w:val="none" w:sz="0" w:space="0" w:color="auto"/>
        <w:left w:val="none" w:sz="0" w:space="0" w:color="auto"/>
        <w:bottom w:val="none" w:sz="0" w:space="0" w:color="auto"/>
        <w:right w:val="none" w:sz="0" w:space="0" w:color="auto"/>
      </w:divBdr>
    </w:div>
    <w:div w:id="1955480967">
      <w:bodyDiv w:val="1"/>
      <w:marLeft w:val="0"/>
      <w:marRight w:val="0"/>
      <w:marTop w:val="0"/>
      <w:marBottom w:val="0"/>
      <w:divBdr>
        <w:top w:val="none" w:sz="0" w:space="0" w:color="auto"/>
        <w:left w:val="none" w:sz="0" w:space="0" w:color="auto"/>
        <w:bottom w:val="none" w:sz="0" w:space="0" w:color="auto"/>
        <w:right w:val="none" w:sz="0" w:space="0" w:color="auto"/>
      </w:divBdr>
    </w:div>
    <w:div w:id="1956206549">
      <w:bodyDiv w:val="1"/>
      <w:marLeft w:val="0"/>
      <w:marRight w:val="0"/>
      <w:marTop w:val="0"/>
      <w:marBottom w:val="0"/>
      <w:divBdr>
        <w:top w:val="none" w:sz="0" w:space="0" w:color="auto"/>
        <w:left w:val="none" w:sz="0" w:space="0" w:color="auto"/>
        <w:bottom w:val="none" w:sz="0" w:space="0" w:color="auto"/>
        <w:right w:val="none" w:sz="0" w:space="0" w:color="auto"/>
      </w:divBdr>
    </w:div>
    <w:div w:id="1960721610">
      <w:bodyDiv w:val="1"/>
      <w:marLeft w:val="0"/>
      <w:marRight w:val="0"/>
      <w:marTop w:val="0"/>
      <w:marBottom w:val="0"/>
      <w:divBdr>
        <w:top w:val="none" w:sz="0" w:space="0" w:color="auto"/>
        <w:left w:val="none" w:sz="0" w:space="0" w:color="auto"/>
        <w:bottom w:val="none" w:sz="0" w:space="0" w:color="auto"/>
        <w:right w:val="none" w:sz="0" w:space="0" w:color="auto"/>
      </w:divBdr>
    </w:div>
    <w:div w:id="1961909639">
      <w:bodyDiv w:val="1"/>
      <w:marLeft w:val="0"/>
      <w:marRight w:val="0"/>
      <w:marTop w:val="0"/>
      <w:marBottom w:val="0"/>
      <w:divBdr>
        <w:top w:val="none" w:sz="0" w:space="0" w:color="auto"/>
        <w:left w:val="none" w:sz="0" w:space="0" w:color="auto"/>
        <w:bottom w:val="none" w:sz="0" w:space="0" w:color="auto"/>
        <w:right w:val="none" w:sz="0" w:space="0" w:color="auto"/>
      </w:divBdr>
    </w:div>
    <w:div w:id="1969046769">
      <w:bodyDiv w:val="1"/>
      <w:marLeft w:val="0"/>
      <w:marRight w:val="0"/>
      <w:marTop w:val="0"/>
      <w:marBottom w:val="0"/>
      <w:divBdr>
        <w:top w:val="none" w:sz="0" w:space="0" w:color="auto"/>
        <w:left w:val="none" w:sz="0" w:space="0" w:color="auto"/>
        <w:bottom w:val="none" w:sz="0" w:space="0" w:color="auto"/>
        <w:right w:val="none" w:sz="0" w:space="0" w:color="auto"/>
      </w:divBdr>
    </w:div>
    <w:div w:id="1974630958">
      <w:bodyDiv w:val="1"/>
      <w:marLeft w:val="0"/>
      <w:marRight w:val="0"/>
      <w:marTop w:val="0"/>
      <w:marBottom w:val="0"/>
      <w:divBdr>
        <w:top w:val="none" w:sz="0" w:space="0" w:color="auto"/>
        <w:left w:val="none" w:sz="0" w:space="0" w:color="auto"/>
        <w:bottom w:val="none" w:sz="0" w:space="0" w:color="auto"/>
        <w:right w:val="none" w:sz="0" w:space="0" w:color="auto"/>
      </w:divBdr>
    </w:div>
    <w:div w:id="1975985323">
      <w:bodyDiv w:val="1"/>
      <w:marLeft w:val="0"/>
      <w:marRight w:val="0"/>
      <w:marTop w:val="0"/>
      <w:marBottom w:val="0"/>
      <w:divBdr>
        <w:top w:val="none" w:sz="0" w:space="0" w:color="auto"/>
        <w:left w:val="none" w:sz="0" w:space="0" w:color="auto"/>
        <w:bottom w:val="none" w:sz="0" w:space="0" w:color="auto"/>
        <w:right w:val="none" w:sz="0" w:space="0" w:color="auto"/>
      </w:divBdr>
    </w:div>
    <w:div w:id="1979065973">
      <w:bodyDiv w:val="1"/>
      <w:marLeft w:val="0"/>
      <w:marRight w:val="0"/>
      <w:marTop w:val="0"/>
      <w:marBottom w:val="0"/>
      <w:divBdr>
        <w:top w:val="none" w:sz="0" w:space="0" w:color="auto"/>
        <w:left w:val="none" w:sz="0" w:space="0" w:color="auto"/>
        <w:bottom w:val="none" w:sz="0" w:space="0" w:color="auto"/>
        <w:right w:val="none" w:sz="0" w:space="0" w:color="auto"/>
      </w:divBdr>
    </w:div>
    <w:div w:id="1985549781">
      <w:bodyDiv w:val="1"/>
      <w:marLeft w:val="0"/>
      <w:marRight w:val="0"/>
      <w:marTop w:val="0"/>
      <w:marBottom w:val="0"/>
      <w:divBdr>
        <w:top w:val="none" w:sz="0" w:space="0" w:color="auto"/>
        <w:left w:val="none" w:sz="0" w:space="0" w:color="auto"/>
        <w:bottom w:val="none" w:sz="0" w:space="0" w:color="auto"/>
        <w:right w:val="none" w:sz="0" w:space="0" w:color="auto"/>
      </w:divBdr>
    </w:div>
    <w:div w:id="1988390779">
      <w:bodyDiv w:val="1"/>
      <w:marLeft w:val="0"/>
      <w:marRight w:val="0"/>
      <w:marTop w:val="0"/>
      <w:marBottom w:val="0"/>
      <w:divBdr>
        <w:top w:val="none" w:sz="0" w:space="0" w:color="auto"/>
        <w:left w:val="none" w:sz="0" w:space="0" w:color="auto"/>
        <w:bottom w:val="none" w:sz="0" w:space="0" w:color="auto"/>
        <w:right w:val="none" w:sz="0" w:space="0" w:color="auto"/>
      </w:divBdr>
    </w:div>
    <w:div w:id="1992833880">
      <w:bodyDiv w:val="1"/>
      <w:marLeft w:val="0"/>
      <w:marRight w:val="0"/>
      <w:marTop w:val="0"/>
      <w:marBottom w:val="0"/>
      <w:divBdr>
        <w:top w:val="none" w:sz="0" w:space="0" w:color="auto"/>
        <w:left w:val="none" w:sz="0" w:space="0" w:color="auto"/>
        <w:bottom w:val="none" w:sz="0" w:space="0" w:color="auto"/>
        <w:right w:val="none" w:sz="0" w:space="0" w:color="auto"/>
      </w:divBdr>
    </w:div>
    <w:div w:id="2001276020">
      <w:bodyDiv w:val="1"/>
      <w:marLeft w:val="0"/>
      <w:marRight w:val="0"/>
      <w:marTop w:val="0"/>
      <w:marBottom w:val="0"/>
      <w:divBdr>
        <w:top w:val="none" w:sz="0" w:space="0" w:color="auto"/>
        <w:left w:val="none" w:sz="0" w:space="0" w:color="auto"/>
        <w:bottom w:val="none" w:sz="0" w:space="0" w:color="auto"/>
        <w:right w:val="none" w:sz="0" w:space="0" w:color="auto"/>
      </w:divBdr>
    </w:div>
    <w:div w:id="2006976564">
      <w:bodyDiv w:val="1"/>
      <w:marLeft w:val="0"/>
      <w:marRight w:val="0"/>
      <w:marTop w:val="0"/>
      <w:marBottom w:val="0"/>
      <w:divBdr>
        <w:top w:val="none" w:sz="0" w:space="0" w:color="auto"/>
        <w:left w:val="none" w:sz="0" w:space="0" w:color="auto"/>
        <w:bottom w:val="none" w:sz="0" w:space="0" w:color="auto"/>
        <w:right w:val="none" w:sz="0" w:space="0" w:color="auto"/>
      </w:divBdr>
    </w:div>
    <w:div w:id="2008046673">
      <w:bodyDiv w:val="1"/>
      <w:marLeft w:val="0"/>
      <w:marRight w:val="0"/>
      <w:marTop w:val="0"/>
      <w:marBottom w:val="0"/>
      <w:divBdr>
        <w:top w:val="none" w:sz="0" w:space="0" w:color="auto"/>
        <w:left w:val="none" w:sz="0" w:space="0" w:color="auto"/>
        <w:bottom w:val="none" w:sz="0" w:space="0" w:color="auto"/>
        <w:right w:val="none" w:sz="0" w:space="0" w:color="auto"/>
      </w:divBdr>
    </w:div>
    <w:div w:id="2014716963">
      <w:bodyDiv w:val="1"/>
      <w:marLeft w:val="0"/>
      <w:marRight w:val="0"/>
      <w:marTop w:val="0"/>
      <w:marBottom w:val="0"/>
      <w:divBdr>
        <w:top w:val="none" w:sz="0" w:space="0" w:color="auto"/>
        <w:left w:val="none" w:sz="0" w:space="0" w:color="auto"/>
        <w:bottom w:val="none" w:sz="0" w:space="0" w:color="auto"/>
        <w:right w:val="none" w:sz="0" w:space="0" w:color="auto"/>
      </w:divBdr>
    </w:div>
    <w:div w:id="2014994607">
      <w:bodyDiv w:val="1"/>
      <w:marLeft w:val="0"/>
      <w:marRight w:val="0"/>
      <w:marTop w:val="0"/>
      <w:marBottom w:val="0"/>
      <w:divBdr>
        <w:top w:val="none" w:sz="0" w:space="0" w:color="auto"/>
        <w:left w:val="none" w:sz="0" w:space="0" w:color="auto"/>
        <w:bottom w:val="none" w:sz="0" w:space="0" w:color="auto"/>
        <w:right w:val="none" w:sz="0" w:space="0" w:color="auto"/>
      </w:divBdr>
    </w:div>
    <w:div w:id="2020231460">
      <w:bodyDiv w:val="1"/>
      <w:marLeft w:val="0"/>
      <w:marRight w:val="0"/>
      <w:marTop w:val="0"/>
      <w:marBottom w:val="0"/>
      <w:divBdr>
        <w:top w:val="none" w:sz="0" w:space="0" w:color="auto"/>
        <w:left w:val="none" w:sz="0" w:space="0" w:color="auto"/>
        <w:bottom w:val="none" w:sz="0" w:space="0" w:color="auto"/>
        <w:right w:val="none" w:sz="0" w:space="0" w:color="auto"/>
      </w:divBdr>
    </w:div>
    <w:div w:id="2021278557">
      <w:bodyDiv w:val="1"/>
      <w:marLeft w:val="0"/>
      <w:marRight w:val="0"/>
      <w:marTop w:val="0"/>
      <w:marBottom w:val="0"/>
      <w:divBdr>
        <w:top w:val="none" w:sz="0" w:space="0" w:color="auto"/>
        <w:left w:val="none" w:sz="0" w:space="0" w:color="auto"/>
        <w:bottom w:val="none" w:sz="0" w:space="0" w:color="auto"/>
        <w:right w:val="none" w:sz="0" w:space="0" w:color="auto"/>
      </w:divBdr>
    </w:div>
    <w:div w:id="2026856738">
      <w:bodyDiv w:val="1"/>
      <w:marLeft w:val="0"/>
      <w:marRight w:val="0"/>
      <w:marTop w:val="0"/>
      <w:marBottom w:val="0"/>
      <w:divBdr>
        <w:top w:val="none" w:sz="0" w:space="0" w:color="auto"/>
        <w:left w:val="none" w:sz="0" w:space="0" w:color="auto"/>
        <w:bottom w:val="none" w:sz="0" w:space="0" w:color="auto"/>
        <w:right w:val="none" w:sz="0" w:space="0" w:color="auto"/>
      </w:divBdr>
    </w:div>
    <w:div w:id="2031713612">
      <w:bodyDiv w:val="1"/>
      <w:marLeft w:val="0"/>
      <w:marRight w:val="0"/>
      <w:marTop w:val="0"/>
      <w:marBottom w:val="0"/>
      <w:divBdr>
        <w:top w:val="none" w:sz="0" w:space="0" w:color="auto"/>
        <w:left w:val="none" w:sz="0" w:space="0" w:color="auto"/>
        <w:bottom w:val="none" w:sz="0" w:space="0" w:color="auto"/>
        <w:right w:val="none" w:sz="0" w:space="0" w:color="auto"/>
      </w:divBdr>
    </w:div>
    <w:div w:id="2031829481">
      <w:bodyDiv w:val="1"/>
      <w:marLeft w:val="0"/>
      <w:marRight w:val="0"/>
      <w:marTop w:val="0"/>
      <w:marBottom w:val="0"/>
      <w:divBdr>
        <w:top w:val="none" w:sz="0" w:space="0" w:color="auto"/>
        <w:left w:val="none" w:sz="0" w:space="0" w:color="auto"/>
        <w:bottom w:val="none" w:sz="0" w:space="0" w:color="auto"/>
        <w:right w:val="none" w:sz="0" w:space="0" w:color="auto"/>
      </w:divBdr>
    </w:div>
    <w:div w:id="2032683568">
      <w:bodyDiv w:val="1"/>
      <w:marLeft w:val="0"/>
      <w:marRight w:val="0"/>
      <w:marTop w:val="0"/>
      <w:marBottom w:val="0"/>
      <w:divBdr>
        <w:top w:val="none" w:sz="0" w:space="0" w:color="auto"/>
        <w:left w:val="none" w:sz="0" w:space="0" w:color="auto"/>
        <w:bottom w:val="none" w:sz="0" w:space="0" w:color="auto"/>
        <w:right w:val="none" w:sz="0" w:space="0" w:color="auto"/>
      </w:divBdr>
    </w:div>
    <w:div w:id="2037808367">
      <w:bodyDiv w:val="1"/>
      <w:marLeft w:val="0"/>
      <w:marRight w:val="0"/>
      <w:marTop w:val="0"/>
      <w:marBottom w:val="0"/>
      <w:divBdr>
        <w:top w:val="none" w:sz="0" w:space="0" w:color="auto"/>
        <w:left w:val="none" w:sz="0" w:space="0" w:color="auto"/>
        <w:bottom w:val="none" w:sz="0" w:space="0" w:color="auto"/>
        <w:right w:val="none" w:sz="0" w:space="0" w:color="auto"/>
      </w:divBdr>
    </w:div>
    <w:div w:id="2040277950">
      <w:bodyDiv w:val="1"/>
      <w:marLeft w:val="0"/>
      <w:marRight w:val="0"/>
      <w:marTop w:val="0"/>
      <w:marBottom w:val="0"/>
      <w:divBdr>
        <w:top w:val="none" w:sz="0" w:space="0" w:color="auto"/>
        <w:left w:val="none" w:sz="0" w:space="0" w:color="auto"/>
        <w:bottom w:val="none" w:sz="0" w:space="0" w:color="auto"/>
        <w:right w:val="none" w:sz="0" w:space="0" w:color="auto"/>
      </w:divBdr>
    </w:div>
    <w:div w:id="2041784474">
      <w:bodyDiv w:val="1"/>
      <w:marLeft w:val="0"/>
      <w:marRight w:val="0"/>
      <w:marTop w:val="0"/>
      <w:marBottom w:val="0"/>
      <w:divBdr>
        <w:top w:val="none" w:sz="0" w:space="0" w:color="auto"/>
        <w:left w:val="none" w:sz="0" w:space="0" w:color="auto"/>
        <w:bottom w:val="none" w:sz="0" w:space="0" w:color="auto"/>
        <w:right w:val="none" w:sz="0" w:space="0" w:color="auto"/>
      </w:divBdr>
    </w:div>
    <w:div w:id="2060350967">
      <w:bodyDiv w:val="1"/>
      <w:marLeft w:val="0"/>
      <w:marRight w:val="0"/>
      <w:marTop w:val="0"/>
      <w:marBottom w:val="0"/>
      <w:divBdr>
        <w:top w:val="none" w:sz="0" w:space="0" w:color="auto"/>
        <w:left w:val="none" w:sz="0" w:space="0" w:color="auto"/>
        <w:bottom w:val="none" w:sz="0" w:space="0" w:color="auto"/>
        <w:right w:val="none" w:sz="0" w:space="0" w:color="auto"/>
      </w:divBdr>
    </w:div>
    <w:div w:id="2060743136">
      <w:bodyDiv w:val="1"/>
      <w:marLeft w:val="0"/>
      <w:marRight w:val="0"/>
      <w:marTop w:val="0"/>
      <w:marBottom w:val="0"/>
      <w:divBdr>
        <w:top w:val="none" w:sz="0" w:space="0" w:color="auto"/>
        <w:left w:val="none" w:sz="0" w:space="0" w:color="auto"/>
        <w:bottom w:val="none" w:sz="0" w:space="0" w:color="auto"/>
        <w:right w:val="none" w:sz="0" w:space="0" w:color="auto"/>
      </w:divBdr>
    </w:div>
    <w:div w:id="2063139759">
      <w:bodyDiv w:val="1"/>
      <w:marLeft w:val="0"/>
      <w:marRight w:val="0"/>
      <w:marTop w:val="0"/>
      <w:marBottom w:val="0"/>
      <w:divBdr>
        <w:top w:val="none" w:sz="0" w:space="0" w:color="auto"/>
        <w:left w:val="none" w:sz="0" w:space="0" w:color="auto"/>
        <w:bottom w:val="none" w:sz="0" w:space="0" w:color="auto"/>
        <w:right w:val="none" w:sz="0" w:space="0" w:color="auto"/>
      </w:divBdr>
    </w:div>
    <w:div w:id="2064254757">
      <w:bodyDiv w:val="1"/>
      <w:marLeft w:val="0"/>
      <w:marRight w:val="0"/>
      <w:marTop w:val="0"/>
      <w:marBottom w:val="0"/>
      <w:divBdr>
        <w:top w:val="none" w:sz="0" w:space="0" w:color="auto"/>
        <w:left w:val="none" w:sz="0" w:space="0" w:color="auto"/>
        <w:bottom w:val="none" w:sz="0" w:space="0" w:color="auto"/>
        <w:right w:val="none" w:sz="0" w:space="0" w:color="auto"/>
      </w:divBdr>
      <w:divsChild>
        <w:div w:id="766004109">
          <w:marLeft w:val="0"/>
          <w:marRight w:val="0"/>
          <w:marTop w:val="0"/>
          <w:marBottom w:val="0"/>
          <w:divBdr>
            <w:top w:val="none" w:sz="0" w:space="0" w:color="auto"/>
            <w:left w:val="none" w:sz="0" w:space="0" w:color="auto"/>
            <w:bottom w:val="none" w:sz="0" w:space="0" w:color="auto"/>
            <w:right w:val="none" w:sz="0" w:space="0" w:color="auto"/>
          </w:divBdr>
          <w:divsChild>
            <w:div w:id="1611742260">
              <w:marLeft w:val="0"/>
              <w:marRight w:val="0"/>
              <w:marTop w:val="0"/>
              <w:marBottom w:val="0"/>
              <w:divBdr>
                <w:top w:val="none" w:sz="0" w:space="0" w:color="auto"/>
                <w:left w:val="none" w:sz="0" w:space="0" w:color="auto"/>
                <w:bottom w:val="none" w:sz="0" w:space="0" w:color="auto"/>
                <w:right w:val="none" w:sz="0" w:space="0" w:color="auto"/>
              </w:divBdr>
              <w:divsChild>
                <w:div w:id="407578492">
                  <w:marLeft w:val="0"/>
                  <w:marRight w:val="0"/>
                  <w:marTop w:val="0"/>
                  <w:marBottom w:val="0"/>
                  <w:divBdr>
                    <w:top w:val="none" w:sz="0" w:space="0" w:color="auto"/>
                    <w:left w:val="none" w:sz="0" w:space="0" w:color="auto"/>
                    <w:bottom w:val="none" w:sz="0" w:space="0" w:color="auto"/>
                    <w:right w:val="none" w:sz="0" w:space="0" w:color="auto"/>
                  </w:divBdr>
                  <w:divsChild>
                    <w:div w:id="281350269">
                      <w:marLeft w:val="0"/>
                      <w:marRight w:val="0"/>
                      <w:marTop w:val="0"/>
                      <w:marBottom w:val="0"/>
                      <w:divBdr>
                        <w:top w:val="none" w:sz="0" w:space="0" w:color="auto"/>
                        <w:left w:val="none" w:sz="0" w:space="0" w:color="auto"/>
                        <w:bottom w:val="none" w:sz="0" w:space="0" w:color="auto"/>
                        <w:right w:val="none" w:sz="0" w:space="0" w:color="auto"/>
                      </w:divBdr>
                      <w:divsChild>
                        <w:div w:id="1316101993">
                          <w:marLeft w:val="0"/>
                          <w:marRight w:val="0"/>
                          <w:marTop w:val="0"/>
                          <w:marBottom w:val="0"/>
                          <w:divBdr>
                            <w:top w:val="none" w:sz="0" w:space="0" w:color="auto"/>
                            <w:left w:val="none" w:sz="0" w:space="0" w:color="auto"/>
                            <w:bottom w:val="none" w:sz="0" w:space="0" w:color="auto"/>
                            <w:right w:val="none" w:sz="0" w:space="0" w:color="auto"/>
                          </w:divBdr>
                          <w:divsChild>
                            <w:div w:id="1238589565">
                              <w:marLeft w:val="0"/>
                              <w:marRight w:val="0"/>
                              <w:marTop w:val="0"/>
                              <w:marBottom w:val="0"/>
                              <w:divBdr>
                                <w:top w:val="none" w:sz="0" w:space="0" w:color="auto"/>
                                <w:left w:val="none" w:sz="0" w:space="0" w:color="auto"/>
                                <w:bottom w:val="none" w:sz="0" w:space="0" w:color="auto"/>
                                <w:right w:val="none" w:sz="0" w:space="0" w:color="auto"/>
                              </w:divBdr>
                              <w:divsChild>
                                <w:div w:id="271087166">
                                  <w:marLeft w:val="0"/>
                                  <w:marRight w:val="0"/>
                                  <w:marTop w:val="0"/>
                                  <w:marBottom w:val="0"/>
                                  <w:divBdr>
                                    <w:top w:val="none" w:sz="0" w:space="0" w:color="auto"/>
                                    <w:left w:val="none" w:sz="0" w:space="0" w:color="auto"/>
                                    <w:bottom w:val="none" w:sz="0" w:space="0" w:color="auto"/>
                                    <w:right w:val="none" w:sz="0" w:space="0" w:color="auto"/>
                                  </w:divBdr>
                                  <w:divsChild>
                                    <w:div w:id="1073772496">
                                      <w:marLeft w:val="60"/>
                                      <w:marRight w:val="0"/>
                                      <w:marTop w:val="0"/>
                                      <w:marBottom w:val="0"/>
                                      <w:divBdr>
                                        <w:top w:val="none" w:sz="0" w:space="0" w:color="auto"/>
                                        <w:left w:val="none" w:sz="0" w:space="0" w:color="auto"/>
                                        <w:bottom w:val="none" w:sz="0" w:space="0" w:color="auto"/>
                                        <w:right w:val="none" w:sz="0" w:space="0" w:color="auto"/>
                                      </w:divBdr>
                                      <w:divsChild>
                                        <w:div w:id="328484954">
                                          <w:marLeft w:val="0"/>
                                          <w:marRight w:val="0"/>
                                          <w:marTop w:val="0"/>
                                          <w:marBottom w:val="0"/>
                                          <w:divBdr>
                                            <w:top w:val="none" w:sz="0" w:space="0" w:color="auto"/>
                                            <w:left w:val="none" w:sz="0" w:space="0" w:color="auto"/>
                                            <w:bottom w:val="none" w:sz="0" w:space="0" w:color="auto"/>
                                            <w:right w:val="none" w:sz="0" w:space="0" w:color="auto"/>
                                          </w:divBdr>
                                          <w:divsChild>
                                            <w:div w:id="1394233460">
                                              <w:marLeft w:val="0"/>
                                              <w:marRight w:val="0"/>
                                              <w:marTop w:val="0"/>
                                              <w:marBottom w:val="120"/>
                                              <w:divBdr>
                                                <w:top w:val="single" w:sz="6" w:space="0" w:color="F5F5F5"/>
                                                <w:left w:val="single" w:sz="6" w:space="0" w:color="F5F5F5"/>
                                                <w:bottom w:val="single" w:sz="6" w:space="0" w:color="F5F5F5"/>
                                                <w:right w:val="single" w:sz="6" w:space="0" w:color="F5F5F5"/>
                                              </w:divBdr>
                                              <w:divsChild>
                                                <w:div w:id="1287390941">
                                                  <w:marLeft w:val="0"/>
                                                  <w:marRight w:val="0"/>
                                                  <w:marTop w:val="0"/>
                                                  <w:marBottom w:val="0"/>
                                                  <w:divBdr>
                                                    <w:top w:val="none" w:sz="0" w:space="0" w:color="auto"/>
                                                    <w:left w:val="none" w:sz="0" w:space="0" w:color="auto"/>
                                                    <w:bottom w:val="none" w:sz="0" w:space="0" w:color="auto"/>
                                                    <w:right w:val="none" w:sz="0" w:space="0" w:color="auto"/>
                                                  </w:divBdr>
                                                  <w:divsChild>
                                                    <w:div w:id="161094803">
                                                      <w:marLeft w:val="0"/>
                                                      <w:marRight w:val="0"/>
                                                      <w:marTop w:val="0"/>
                                                      <w:marBottom w:val="0"/>
                                                      <w:divBdr>
                                                        <w:top w:val="none" w:sz="0" w:space="0" w:color="auto"/>
                                                        <w:left w:val="none" w:sz="0" w:space="0" w:color="auto"/>
                                                        <w:bottom w:val="none" w:sz="0" w:space="0" w:color="auto"/>
                                                        <w:right w:val="none" w:sz="0" w:space="0" w:color="auto"/>
                                                      </w:divBdr>
                                                    </w:div>
                                                  </w:divsChild>
                                                </w:div>
                                                <w:div w:id="29112603">
                                                  <w:marLeft w:val="0"/>
                                                  <w:marRight w:val="0"/>
                                                  <w:marTop w:val="0"/>
                                                  <w:marBottom w:val="0"/>
                                                  <w:divBdr>
                                                    <w:top w:val="none" w:sz="0" w:space="0" w:color="auto"/>
                                                    <w:left w:val="none" w:sz="0" w:space="0" w:color="auto"/>
                                                    <w:bottom w:val="none" w:sz="0" w:space="0" w:color="auto"/>
                                                    <w:right w:val="none" w:sz="0" w:space="0" w:color="auto"/>
                                                  </w:divBdr>
                                                  <w:divsChild>
                                                    <w:div w:id="13815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450400">
      <w:bodyDiv w:val="1"/>
      <w:marLeft w:val="0"/>
      <w:marRight w:val="0"/>
      <w:marTop w:val="0"/>
      <w:marBottom w:val="0"/>
      <w:divBdr>
        <w:top w:val="none" w:sz="0" w:space="0" w:color="auto"/>
        <w:left w:val="none" w:sz="0" w:space="0" w:color="auto"/>
        <w:bottom w:val="none" w:sz="0" w:space="0" w:color="auto"/>
        <w:right w:val="none" w:sz="0" w:space="0" w:color="auto"/>
      </w:divBdr>
    </w:div>
    <w:div w:id="2065986846">
      <w:bodyDiv w:val="1"/>
      <w:marLeft w:val="0"/>
      <w:marRight w:val="0"/>
      <w:marTop w:val="0"/>
      <w:marBottom w:val="0"/>
      <w:divBdr>
        <w:top w:val="none" w:sz="0" w:space="0" w:color="auto"/>
        <w:left w:val="none" w:sz="0" w:space="0" w:color="auto"/>
        <w:bottom w:val="none" w:sz="0" w:space="0" w:color="auto"/>
        <w:right w:val="none" w:sz="0" w:space="0" w:color="auto"/>
      </w:divBdr>
    </w:div>
    <w:div w:id="2067482391">
      <w:bodyDiv w:val="1"/>
      <w:marLeft w:val="0"/>
      <w:marRight w:val="0"/>
      <w:marTop w:val="0"/>
      <w:marBottom w:val="0"/>
      <w:divBdr>
        <w:top w:val="none" w:sz="0" w:space="0" w:color="auto"/>
        <w:left w:val="none" w:sz="0" w:space="0" w:color="auto"/>
        <w:bottom w:val="none" w:sz="0" w:space="0" w:color="auto"/>
        <w:right w:val="none" w:sz="0" w:space="0" w:color="auto"/>
      </w:divBdr>
    </w:div>
    <w:div w:id="2071032417">
      <w:bodyDiv w:val="1"/>
      <w:marLeft w:val="0"/>
      <w:marRight w:val="0"/>
      <w:marTop w:val="0"/>
      <w:marBottom w:val="0"/>
      <w:divBdr>
        <w:top w:val="none" w:sz="0" w:space="0" w:color="auto"/>
        <w:left w:val="none" w:sz="0" w:space="0" w:color="auto"/>
        <w:bottom w:val="none" w:sz="0" w:space="0" w:color="auto"/>
        <w:right w:val="none" w:sz="0" w:space="0" w:color="auto"/>
      </w:divBdr>
    </w:div>
    <w:div w:id="2072461513">
      <w:bodyDiv w:val="1"/>
      <w:marLeft w:val="0"/>
      <w:marRight w:val="0"/>
      <w:marTop w:val="0"/>
      <w:marBottom w:val="0"/>
      <w:divBdr>
        <w:top w:val="none" w:sz="0" w:space="0" w:color="auto"/>
        <w:left w:val="none" w:sz="0" w:space="0" w:color="auto"/>
        <w:bottom w:val="none" w:sz="0" w:space="0" w:color="auto"/>
        <w:right w:val="none" w:sz="0" w:space="0" w:color="auto"/>
      </w:divBdr>
    </w:div>
    <w:div w:id="2073044523">
      <w:bodyDiv w:val="1"/>
      <w:marLeft w:val="0"/>
      <w:marRight w:val="0"/>
      <w:marTop w:val="0"/>
      <w:marBottom w:val="0"/>
      <w:divBdr>
        <w:top w:val="none" w:sz="0" w:space="0" w:color="auto"/>
        <w:left w:val="none" w:sz="0" w:space="0" w:color="auto"/>
        <w:bottom w:val="none" w:sz="0" w:space="0" w:color="auto"/>
        <w:right w:val="none" w:sz="0" w:space="0" w:color="auto"/>
      </w:divBdr>
    </w:div>
    <w:div w:id="2077196219">
      <w:bodyDiv w:val="1"/>
      <w:marLeft w:val="0"/>
      <w:marRight w:val="0"/>
      <w:marTop w:val="0"/>
      <w:marBottom w:val="0"/>
      <w:divBdr>
        <w:top w:val="none" w:sz="0" w:space="0" w:color="auto"/>
        <w:left w:val="none" w:sz="0" w:space="0" w:color="auto"/>
        <w:bottom w:val="none" w:sz="0" w:space="0" w:color="auto"/>
        <w:right w:val="none" w:sz="0" w:space="0" w:color="auto"/>
      </w:divBdr>
    </w:div>
    <w:div w:id="2077782964">
      <w:bodyDiv w:val="1"/>
      <w:marLeft w:val="0"/>
      <w:marRight w:val="0"/>
      <w:marTop w:val="0"/>
      <w:marBottom w:val="0"/>
      <w:divBdr>
        <w:top w:val="none" w:sz="0" w:space="0" w:color="auto"/>
        <w:left w:val="none" w:sz="0" w:space="0" w:color="auto"/>
        <w:bottom w:val="none" w:sz="0" w:space="0" w:color="auto"/>
        <w:right w:val="none" w:sz="0" w:space="0" w:color="auto"/>
      </w:divBdr>
    </w:div>
    <w:div w:id="2078090727">
      <w:bodyDiv w:val="1"/>
      <w:marLeft w:val="0"/>
      <w:marRight w:val="0"/>
      <w:marTop w:val="0"/>
      <w:marBottom w:val="0"/>
      <w:divBdr>
        <w:top w:val="none" w:sz="0" w:space="0" w:color="auto"/>
        <w:left w:val="none" w:sz="0" w:space="0" w:color="auto"/>
        <w:bottom w:val="none" w:sz="0" w:space="0" w:color="auto"/>
        <w:right w:val="none" w:sz="0" w:space="0" w:color="auto"/>
      </w:divBdr>
    </w:div>
    <w:div w:id="2078432352">
      <w:bodyDiv w:val="1"/>
      <w:marLeft w:val="0"/>
      <w:marRight w:val="0"/>
      <w:marTop w:val="0"/>
      <w:marBottom w:val="0"/>
      <w:divBdr>
        <w:top w:val="none" w:sz="0" w:space="0" w:color="auto"/>
        <w:left w:val="none" w:sz="0" w:space="0" w:color="auto"/>
        <w:bottom w:val="none" w:sz="0" w:space="0" w:color="auto"/>
        <w:right w:val="none" w:sz="0" w:space="0" w:color="auto"/>
      </w:divBdr>
    </w:div>
    <w:div w:id="2078743708">
      <w:bodyDiv w:val="1"/>
      <w:marLeft w:val="0"/>
      <w:marRight w:val="0"/>
      <w:marTop w:val="0"/>
      <w:marBottom w:val="0"/>
      <w:divBdr>
        <w:top w:val="none" w:sz="0" w:space="0" w:color="auto"/>
        <w:left w:val="none" w:sz="0" w:space="0" w:color="auto"/>
        <w:bottom w:val="none" w:sz="0" w:space="0" w:color="auto"/>
        <w:right w:val="none" w:sz="0" w:space="0" w:color="auto"/>
      </w:divBdr>
    </w:div>
    <w:div w:id="2079084947">
      <w:bodyDiv w:val="1"/>
      <w:marLeft w:val="0"/>
      <w:marRight w:val="0"/>
      <w:marTop w:val="0"/>
      <w:marBottom w:val="0"/>
      <w:divBdr>
        <w:top w:val="none" w:sz="0" w:space="0" w:color="auto"/>
        <w:left w:val="none" w:sz="0" w:space="0" w:color="auto"/>
        <w:bottom w:val="none" w:sz="0" w:space="0" w:color="auto"/>
        <w:right w:val="none" w:sz="0" w:space="0" w:color="auto"/>
      </w:divBdr>
    </w:div>
    <w:div w:id="2085715322">
      <w:bodyDiv w:val="1"/>
      <w:marLeft w:val="0"/>
      <w:marRight w:val="0"/>
      <w:marTop w:val="0"/>
      <w:marBottom w:val="0"/>
      <w:divBdr>
        <w:top w:val="none" w:sz="0" w:space="0" w:color="auto"/>
        <w:left w:val="none" w:sz="0" w:space="0" w:color="auto"/>
        <w:bottom w:val="none" w:sz="0" w:space="0" w:color="auto"/>
        <w:right w:val="none" w:sz="0" w:space="0" w:color="auto"/>
      </w:divBdr>
    </w:div>
    <w:div w:id="2091584891">
      <w:bodyDiv w:val="1"/>
      <w:marLeft w:val="0"/>
      <w:marRight w:val="0"/>
      <w:marTop w:val="0"/>
      <w:marBottom w:val="0"/>
      <w:divBdr>
        <w:top w:val="none" w:sz="0" w:space="0" w:color="auto"/>
        <w:left w:val="none" w:sz="0" w:space="0" w:color="auto"/>
        <w:bottom w:val="none" w:sz="0" w:space="0" w:color="auto"/>
        <w:right w:val="none" w:sz="0" w:space="0" w:color="auto"/>
      </w:divBdr>
      <w:divsChild>
        <w:div w:id="938374916">
          <w:marLeft w:val="0"/>
          <w:marRight w:val="0"/>
          <w:marTop w:val="0"/>
          <w:marBottom w:val="0"/>
          <w:divBdr>
            <w:top w:val="none" w:sz="0" w:space="0" w:color="auto"/>
            <w:left w:val="none" w:sz="0" w:space="0" w:color="auto"/>
            <w:bottom w:val="none" w:sz="0" w:space="0" w:color="auto"/>
            <w:right w:val="none" w:sz="0" w:space="0" w:color="auto"/>
          </w:divBdr>
          <w:divsChild>
            <w:div w:id="2042315542">
              <w:marLeft w:val="0"/>
              <w:marRight w:val="0"/>
              <w:marTop w:val="0"/>
              <w:marBottom w:val="0"/>
              <w:divBdr>
                <w:top w:val="none" w:sz="0" w:space="0" w:color="auto"/>
                <w:left w:val="none" w:sz="0" w:space="0" w:color="auto"/>
                <w:bottom w:val="none" w:sz="0" w:space="0" w:color="auto"/>
                <w:right w:val="none" w:sz="0" w:space="0" w:color="auto"/>
              </w:divBdr>
              <w:divsChild>
                <w:div w:id="1939676789">
                  <w:marLeft w:val="0"/>
                  <w:marRight w:val="0"/>
                  <w:marTop w:val="0"/>
                  <w:marBottom w:val="0"/>
                  <w:divBdr>
                    <w:top w:val="none" w:sz="0" w:space="0" w:color="auto"/>
                    <w:left w:val="none" w:sz="0" w:space="0" w:color="auto"/>
                    <w:bottom w:val="none" w:sz="0" w:space="0" w:color="auto"/>
                    <w:right w:val="none" w:sz="0" w:space="0" w:color="auto"/>
                  </w:divBdr>
                  <w:divsChild>
                    <w:div w:id="2065979881">
                      <w:marLeft w:val="0"/>
                      <w:marRight w:val="0"/>
                      <w:marTop w:val="0"/>
                      <w:marBottom w:val="0"/>
                      <w:divBdr>
                        <w:top w:val="none" w:sz="0" w:space="0" w:color="auto"/>
                        <w:left w:val="none" w:sz="0" w:space="0" w:color="auto"/>
                        <w:bottom w:val="none" w:sz="0" w:space="0" w:color="auto"/>
                        <w:right w:val="none" w:sz="0" w:space="0" w:color="auto"/>
                      </w:divBdr>
                      <w:divsChild>
                        <w:div w:id="1775246054">
                          <w:marLeft w:val="0"/>
                          <w:marRight w:val="0"/>
                          <w:marTop w:val="0"/>
                          <w:marBottom w:val="0"/>
                          <w:divBdr>
                            <w:top w:val="none" w:sz="0" w:space="0" w:color="auto"/>
                            <w:left w:val="none" w:sz="0" w:space="0" w:color="auto"/>
                            <w:bottom w:val="none" w:sz="0" w:space="0" w:color="auto"/>
                            <w:right w:val="none" w:sz="0" w:space="0" w:color="auto"/>
                          </w:divBdr>
                          <w:divsChild>
                            <w:div w:id="1110973998">
                              <w:marLeft w:val="0"/>
                              <w:marRight w:val="0"/>
                              <w:marTop w:val="0"/>
                              <w:marBottom w:val="0"/>
                              <w:divBdr>
                                <w:top w:val="none" w:sz="0" w:space="0" w:color="auto"/>
                                <w:left w:val="none" w:sz="0" w:space="0" w:color="auto"/>
                                <w:bottom w:val="none" w:sz="0" w:space="0" w:color="auto"/>
                                <w:right w:val="none" w:sz="0" w:space="0" w:color="auto"/>
                              </w:divBdr>
                              <w:divsChild>
                                <w:div w:id="466507647">
                                  <w:marLeft w:val="0"/>
                                  <w:marRight w:val="0"/>
                                  <w:marTop w:val="0"/>
                                  <w:marBottom w:val="0"/>
                                  <w:divBdr>
                                    <w:top w:val="none" w:sz="0" w:space="0" w:color="auto"/>
                                    <w:left w:val="none" w:sz="0" w:space="0" w:color="auto"/>
                                    <w:bottom w:val="none" w:sz="0" w:space="0" w:color="auto"/>
                                    <w:right w:val="none" w:sz="0" w:space="0" w:color="auto"/>
                                  </w:divBdr>
                                  <w:divsChild>
                                    <w:div w:id="864291838">
                                      <w:marLeft w:val="60"/>
                                      <w:marRight w:val="0"/>
                                      <w:marTop w:val="0"/>
                                      <w:marBottom w:val="0"/>
                                      <w:divBdr>
                                        <w:top w:val="none" w:sz="0" w:space="0" w:color="auto"/>
                                        <w:left w:val="none" w:sz="0" w:space="0" w:color="auto"/>
                                        <w:bottom w:val="none" w:sz="0" w:space="0" w:color="auto"/>
                                        <w:right w:val="none" w:sz="0" w:space="0" w:color="auto"/>
                                      </w:divBdr>
                                      <w:divsChild>
                                        <w:div w:id="1282767064">
                                          <w:marLeft w:val="0"/>
                                          <w:marRight w:val="0"/>
                                          <w:marTop w:val="0"/>
                                          <w:marBottom w:val="0"/>
                                          <w:divBdr>
                                            <w:top w:val="none" w:sz="0" w:space="0" w:color="auto"/>
                                            <w:left w:val="none" w:sz="0" w:space="0" w:color="auto"/>
                                            <w:bottom w:val="none" w:sz="0" w:space="0" w:color="auto"/>
                                            <w:right w:val="none" w:sz="0" w:space="0" w:color="auto"/>
                                          </w:divBdr>
                                          <w:divsChild>
                                            <w:div w:id="838470225">
                                              <w:marLeft w:val="0"/>
                                              <w:marRight w:val="0"/>
                                              <w:marTop w:val="0"/>
                                              <w:marBottom w:val="120"/>
                                              <w:divBdr>
                                                <w:top w:val="single" w:sz="6" w:space="0" w:color="F5F5F5"/>
                                                <w:left w:val="single" w:sz="6" w:space="0" w:color="F5F5F5"/>
                                                <w:bottom w:val="single" w:sz="6" w:space="0" w:color="F5F5F5"/>
                                                <w:right w:val="single" w:sz="6" w:space="0" w:color="F5F5F5"/>
                                              </w:divBdr>
                                              <w:divsChild>
                                                <w:div w:id="2109494801">
                                                  <w:marLeft w:val="0"/>
                                                  <w:marRight w:val="0"/>
                                                  <w:marTop w:val="0"/>
                                                  <w:marBottom w:val="0"/>
                                                  <w:divBdr>
                                                    <w:top w:val="none" w:sz="0" w:space="0" w:color="auto"/>
                                                    <w:left w:val="none" w:sz="0" w:space="0" w:color="auto"/>
                                                    <w:bottom w:val="none" w:sz="0" w:space="0" w:color="auto"/>
                                                    <w:right w:val="none" w:sz="0" w:space="0" w:color="auto"/>
                                                  </w:divBdr>
                                                  <w:divsChild>
                                                    <w:div w:id="1103375410">
                                                      <w:marLeft w:val="0"/>
                                                      <w:marRight w:val="0"/>
                                                      <w:marTop w:val="0"/>
                                                      <w:marBottom w:val="0"/>
                                                      <w:divBdr>
                                                        <w:top w:val="none" w:sz="0" w:space="0" w:color="auto"/>
                                                        <w:left w:val="none" w:sz="0" w:space="0" w:color="auto"/>
                                                        <w:bottom w:val="none" w:sz="0" w:space="0" w:color="auto"/>
                                                        <w:right w:val="none" w:sz="0" w:space="0" w:color="auto"/>
                                                      </w:divBdr>
                                                    </w:div>
                                                  </w:divsChild>
                                                </w:div>
                                                <w:div w:id="2040230518">
                                                  <w:marLeft w:val="0"/>
                                                  <w:marRight w:val="0"/>
                                                  <w:marTop w:val="0"/>
                                                  <w:marBottom w:val="0"/>
                                                  <w:divBdr>
                                                    <w:top w:val="none" w:sz="0" w:space="0" w:color="auto"/>
                                                    <w:left w:val="none" w:sz="0" w:space="0" w:color="auto"/>
                                                    <w:bottom w:val="none" w:sz="0" w:space="0" w:color="auto"/>
                                                    <w:right w:val="none" w:sz="0" w:space="0" w:color="auto"/>
                                                  </w:divBdr>
                                                  <w:divsChild>
                                                    <w:div w:id="19387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198614">
      <w:bodyDiv w:val="1"/>
      <w:marLeft w:val="0"/>
      <w:marRight w:val="0"/>
      <w:marTop w:val="0"/>
      <w:marBottom w:val="0"/>
      <w:divBdr>
        <w:top w:val="none" w:sz="0" w:space="0" w:color="auto"/>
        <w:left w:val="none" w:sz="0" w:space="0" w:color="auto"/>
        <w:bottom w:val="none" w:sz="0" w:space="0" w:color="auto"/>
        <w:right w:val="none" w:sz="0" w:space="0" w:color="auto"/>
      </w:divBdr>
    </w:div>
    <w:div w:id="2101640736">
      <w:bodyDiv w:val="1"/>
      <w:marLeft w:val="0"/>
      <w:marRight w:val="0"/>
      <w:marTop w:val="0"/>
      <w:marBottom w:val="0"/>
      <w:divBdr>
        <w:top w:val="none" w:sz="0" w:space="0" w:color="auto"/>
        <w:left w:val="none" w:sz="0" w:space="0" w:color="auto"/>
        <w:bottom w:val="none" w:sz="0" w:space="0" w:color="auto"/>
        <w:right w:val="none" w:sz="0" w:space="0" w:color="auto"/>
      </w:divBdr>
    </w:div>
    <w:div w:id="2101679964">
      <w:bodyDiv w:val="1"/>
      <w:marLeft w:val="0"/>
      <w:marRight w:val="0"/>
      <w:marTop w:val="0"/>
      <w:marBottom w:val="0"/>
      <w:divBdr>
        <w:top w:val="none" w:sz="0" w:space="0" w:color="auto"/>
        <w:left w:val="none" w:sz="0" w:space="0" w:color="auto"/>
        <w:bottom w:val="none" w:sz="0" w:space="0" w:color="auto"/>
        <w:right w:val="none" w:sz="0" w:space="0" w:color="auto"/>
      </w:divBdr>
    </w:div>
    <w:div w:id="2105688768">
      <w:bodyDiv w:val="1"/>
      <w:marLeft w:val="0"/>
      <w:marRight w:val="0"/>
      <w:marTop w:val="0"/>
      <w:marBottom w:val="0"/>
      <w:divBdr>
        <w:top w:val="none" w:sz="0" w:space="0" w:color="auto"/>
        <w:left w:val="none" w:sz="0" w:space="0" w:color="auto"/>
        <w:bottom w:val="none" w:sz="0" w:space="0" w:color="auto"/>
        <w:right w:val="none" w:sz="0" w:space="0" w:color="auto"/>
      </w:divBdr>
    </w:div>
    <w:div w:id="2113015360">
      <w:bodyDiv w:val="1"/>
      <w:marLeft w:val="0"/>
      <w:marRight w:val="0"/>
      <w:marTop w:val="0"/>
      <w:marBottom w:val="0"/>
      <w:divBdr>
        <w:top w:val="none" w:sz="0" w:space="0" w:color="auto"/>
        <w:left w:val="none" w:sz="0" w:space="0" w:color="auto"/>
        <w:bottom w:val="none" w:sz="0" w:space="0" w:color="auto"/>
        <w:right w:val="none" w:sz="0" w:space="0" w:color="auto"/>
      </w:divBdr>
    </w:div>
    <w:div w:id="2121290670">
      <w:bodyDiv w:val="1"/>
      <w:marLeft w:val="0"/>
      <w:marRight w:val="0"/>
      <w:marTop w:val="0"/>
      <w:marBottom w:val="0"/>
      <w:divBdr>
        <w:top w:val="none" w:sz="0" w:space="0" w:color="auto"/>
        <w:left w:val="none" w:sz="0" w:space="0" w:color="auto"/>
        <w:bottom w:val="none" w:sz="0" w:space="0" w:color="auto"/>
        <w:right w:val="none" w:sz="0" w:space="0" w:color="auto"/>
      </w:divBdr>
    </w:div>
    <w:div w:id="2121996893">
      <w:bodyDiv w:val="1"/>
      <w:marLeft w:val="0"/>
      <w:marRight w:val="0"/>
      <w:marTop w:val="0"/>
      <w:marBottom w:val="0"/>
      <w:divBdr>
        <w:top w:val="none" w:sz="0" w:space="0" w:color="auto"/>
        <w:left w:val="none" w:sz="0" w:space="0" w:color="auto"/>
        <w:bottom w:val="none" w:sz="0" w:space="0" w:color="auto"/>
        <w:right w:val="none" w:sz="0" w:space="0" w:color="auto"/>
      </w:divBdr>
    </w:div>
    <w:div w:id="2122264052">
      <w:bodyDiv w:val="1"/>
      <w:marLeft w:val="0"/>
      <w:marRight w:val="0"/>
      <w:marTop w:val="0"/>
      <w:marBottom w:val="0"/>
      <w:divBdr>
        <w:top w:val="none" w:sz="0" w:space="0" w:color="auto"/>
        <w:left w:val="none" w:sz="0" w:space="0" w:color="auto"/>
        <w:bottom w:val="none" w:sz="0" w:space="0" w:color="auto"/>
        <w:right w:val="none" w:sz="0" w:space="0" w:color="auto"/>
      </w:divBdr>
    </w:div>
    <w:div w:id="2125273427">
      <w:bodyDiv w:val="1"/>
      <w:marLeft w:val="0"/>
      <w:marRight w:val="0"/>
      <w:marTop w:val="0"/>
      <w:marBottom w:val="0"/>
      <w:divBdr>
        <w:top w:val="none" w:sz="0" w:space="0" w:color="auto"/>
        <w:left w:val="none" w:sz="0" w:space="0" w:color="auto"/>
        <w:bottom w:val="none" w:sz="0" w:space="0" w:color="auto"/>
        <w:right w:val="none" w:sz="0" w:space="0" w:color="auto"/>
      </w:divBdr>
    </w:div>
    <w:div w:id="2129931509">
      <w:bodyDiv w:val="1"/>
      <w:marLeft w:val="0"/>
      <w:marRight w:val="0"/>
      <w:marTop w:val="0"/>
      <w:marBottom w:val="0"/>
      <w:divBdr>
        <w:top w:val="none" w:sz="0" w:space="0" w:color="auto"/>
        <w:left w:val="none" w:sz="0" w:space="0" w:color="auto"/>
        <w:bottom w:val="none" w:sz="0" w:space="0" w:color="auto"/>
        <w:right w:val="none" w:sz="0" w:space="0" w:color="auto"/>
      </w:divBdr>
    </w:div>
    <w:div w:id="2131434112">
      <w:bodyDiv w:val="1"/>
      <w:marLeft w:val="0"/>
      <w:marRight w:val="0"/>
      <w:marTop w:val="0"/>
      <w:marBottom w:val="0"/>
      <w:divBdr>
        <w:top w:val="none" w:sz="0" w:space="0" w:color="auto"/>
        <w:left w:val="none" w:sz="0" w:space="0" w:color="auto"/>
        <w:bottom w:val="none" w:sz="0" w:space="0" w:color="auto"/>
        <w:right w:val="none" w:sz="0" w:space="0" w:color="auto"/>
      </w:divBdr>
    </w:div>
    <w:div w:id="2132821039">
      <w:bodyDiv w:val="1"/>
      <w:marLeft w:val="0"/>
      <w:marRight w:val="0"/>
      <w:marTop w:val="0"/>
      <w:marBottom w:val="0"/>
      <w:divBdr>
        <w:top w:val="none" w:sz="0" w:space="0" w:color="auto"/>
        <w:left w:val="none" w:sz="0" w:space="0" w:color="auto"/>
        <w:bottom w:val="none" w:sz="0" w:space="0" w:color="auto"/>
        <w:right w:val="none" w:sz="0" w:space="0" w:color="auto"/>
      </w:divBdr>
    </w:div>
    <w:div w:id="2134327888">
      <w:bodyDiv w:val="1"/>
      <w:marLeft w:val="0"/>
      <w:marRight w:val="0"/>
      <w:marTop w:val="0"/>
      <w:marBottom w:val="0"/>
      <w:divBdr>
        <w:top w:val="none" w:sz="0" w:space="0" w:color="auto"/>
        <w:left w:val="none" w:sz="0" w:space="0" w:color="auto"/>
        <w:bottom w:val="none" w:sz="0" w:space="0" w:color="auto"/>
        <w:right w:val="none" w:sz="0" w:space="0" w:color="auto"/>
      </w:divBdr>
    </w:div>
    <w:div w:id="2137797754">
      <w:bodyDiv w:val="1"/>
      <w:marLeft w:val="0"/>
      <w:marRight w:val="0"/>
      <w:marTop w:val="0"/>
      <w:marBottom w:val="0"/>
      <w:divBdr>
        <w:top w:val="none" w:sz="0" w:space="0" w:color="auto"/>
        <w:left w:val="none" w:sz="0" w:space="0" w:color="auto"/>
        <w:bottom w:val="none" w:sz="0" w:space="0" w:color="auto"/>
        <w:right w:val="none" w:sz="0" w:space="0" w:color="auto"/>
      </w:divBdr>
    </w:div>
    <w:div w:id="2137990923">
      <w:bodyDiv w:val="1"/>
      <w:marLeft w:val="0"/>
      <w:marRight w:val="0"/>
      <w:marTop w:val="0"/>
      <w:marBottom w:val="0"/>
      <w:divBdr>
        <w:top w:val="none" w:sz="0" w:space="0" w:color="auto"/>
        <w:left w:val="none" w:sz="0" w:space="0" w:color="auto"/>
        <w:bottom w:val="none" w:sz="0" w:space="0" w:color="auto"/>
        <w:right w:val="none" w:sz="0" w:space="0" w:color="auto"/>
      </w:divBdr>
    </w:div>
    <w:div w:id="2140292929">
      <w:bodyDiv w:val="1"/>
      <w:marLeft w:val="0"/>
      <w:marRight w:val="0"/>
      <w:marTop w:val="0"/>
      <w:marBottom w:val="0"/>
      <w:divBdr>
        <w:top w:val="none" w:sz="0" w:space="0" w:color="auto"/>
        <w:left w:val="none" w:sz="0" w:space="0" w:color="auto"/>
        <w:bottom w:val="none" w:sz="0" w:space="0" w:color="auto"/>
        <w:right w:val="none" w:sz="0" w:space="0" w:color="auto"/>
      </w:divBdr>
    </w:div>
    <w:div w:id="2145266397">
      <w:bodyDiv w:val="1"/>
      <w:marLeft w:val="0"/>
      <w:marRight w:val="0"/>
      <w:marTop w:val="0"/>
      <w:marBottom w:val="0"/>
      <w:divBdr>
        <w:top w:val="none" w:sz="0" w:space="0" w:color="auto"/>
        <w:left w:val="none" w:sz="0" w:space="0" w:color="auto"/>
        <w:bottom w:val="none" w:sz="0" w:space="0" w:color="auto"/>
        <w:right w:val="none" w:sz="0" w:space="0" w:color="auto"/>
      </w:divBdr>
    </w:div>
    <w:div w:id="21465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117" Type="http://schemas.openxmlformats.org/officeDocument/2006/relationships/fontTable" Target="fontTable.xml"/><Relationship Id="rId21" Type="http://schemas.openxmlformats.org/officeDocument/2006/relationships/image" Target="media/image3.emf"/><Relationship Id="rId42" Type="http://schemas.openxmlformats.org/officeDocument/2006/relationships/image" Target="media/image24.emf"/><Relationship Id="rId47" Type="http://schemas.openxmlformats.org/officeDocument/2006/relationships/image" Target="media/image29.emf"/><Relationship Id="rId63" Type="http://schemas.openxmlformats.org/officeDocument/2006/relationships/image" Target="media/image42.emf"/><Relationship Id="rId68" Type="http://schemas.openxmlformats.org/officeDocument/2006/relationships/header" Target="header9.xml"/><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footer" Target="footer7.xml"/><Relationship Id="rId16" Type="http://schemas.openxmlformats.org/officeDocument/2006/relationships/footer" Target="footer3.xml"/><Relationship Id="rId107" Type="http://schemas.openxmlformats.org/officeDocument/2006/relationships/image" Target="media/image84.emf"/><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4.emf"/><Relationship Id="rId58" Type="http://schemas.openxmlformats.org/officeDocument/2006/relationships/footer" Target="footer5.xml"/><Relationship Id="rId66" Type="http://schemas.openxmlformats.org/officeDocument/2006/relationships/image" Target="media/image45.emf"/><Relationship Id="rId74" Type="http://schemas.openxmlformats.org/officeDocument/2006/relationships/image" Target="media/image51.emf"/><Relationship Id="rId79" Type="http://schemas.openxmlformats.org/officeDocument/2006/relationships/image" Target="media/image56.emf"/><Relationship Id="rId87" Type="http://schemas.openxmlformats.org/officeDocument/2006/relationships/image" Target="media/image64.emf"/><Relationship Id="rId102" Type="http://schemas.openxmlformats.org/officeDocument/2006/relationships/image" Target="media/image79.emf"/><Relationship Id="rId110" Type="http://schemas.openxmlformats.org/officeDocument/2006/relationships/image" Target="media/image87.emf"/><Relationship Id="rId115" Type="http://schemas.openxmlformats.org/officeDocument/2006/relationships/footer" Target="footer8.xml"/><Relationship Id="rId5" Type="http://schemas.openxmlformats.org/officeDocument/2006/relationships/settings" Target="settings.xml"/><Relationship Id="rId61" Type="http://schemas.openxmlformats.org/officeDocument/2006/relationships/image" Target="media/image40.emf"/><Relationship Id="rId82" Type="http://schemas.openxmlformats.org/officeDocument/2006/relationships/image" Target="media/image59.emf"/><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7.emf"/><Relationship Id="rId64" Type="http://schemas.openxmlformats.org/officeDocument/2006/relationships/image" Target="media/image43.emf"/><Relationship Id="rId69" Type="http://schemas.openxmlformats.org/officeDocument/2006/relationships/footer" Target="footer6.xml"/><Relationship Id="rId77" Type="http://schemas.openxmlformats.org/officeDocument/2006/relationships/image" Target="media/image54.emf"/><Relationship Id="rId100" Type="http://schemas.openxmlformats.org/officeDocument/2006/relationships/image" Target="media/image77.emf"/><Relationship Id="rId105" Type="http://schemas.openxmlformats.org/officeDocument/2006/relationships/image" Target="media/image82.emf"/><Relationship Id="rId113" Type="http://schemas.openxmlformats.org/officeDocument/2006/relationships/image" Target="media/image89.emf"/><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image" Target="media/image49.emf"/><Relationship Id="rId80" Type="http://schemas.openxmlformats.org/officeDocument/2006/relationships/image" Target="media/image57.emf"/><Relationship Id="rId85" Type="http://schemas.openxmlformats.org/officeDocument/2006/relationships/image" Target="media/image62.emf"/><Relationship Id="rId93" Type="http://schemas.openxmlformats.org/officeDocument/2006/relationships/image" Target="media/image70.emf"/><Relationship Id="rId98" Type="http://schemas.openxmlformats.org/officeDocument/2006/relationships/image" Target="media/image75.e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38.emf"/><Relationship Id="rId67" Type="http://schemas.openxmlformats.org/officeDocument/2006/relationships/image" Target="media/image46.emf"/><Relationship Id="rId103" Type="http://schemas.openxmlformats.org/officeDocument/2006/relationships/image" Target="media/image80.emf"/><Relationship Id="rId108" Type="http://schemas.openxmlformats.org/officeDocument/2006/relationships/image" Target="media/image85.emf"/><Relationship Id="rId116" Type="http://schemas.openxmlformats.org/officeDocument/2006/relationships/image" Target="media/image91.emf"/><Relationship Id="rId20" Type="http://schemas.openxmlformats.org/officeDocument/2006/relationships/image" Target="media/image2.emf"/><Relationship Id="rId41" Type="http://schemas.openxmlformats.org/officeDocument/2006/relationships/image" Target="media/image23.emf"/><Relationship Id="rId54" Type="http://schemas.openxmlformats.org/officeDocument/2006/relationships/image" Target="media/image35.emf"/><Relationship Id="rId62" Type="http://schemas.openxmlformats.org/officeDocument/2006/relationships/image" Target="media/image41.emf"/><Relationship Id="rId70" Type="http://schemas.openxmlformats.org/officeDocument/2006/relationships/image" Target="media/image47.emf"/><Relationship Id="rId75" Type="http://schemas.openxmlformats.org/officeDocument/2006/relationships/image" Target="media/image52.emf"/><Relationship Id="rId83" Type="http://schemas.openxmlformats.org/officeDocument/2006/relationships/image" Target="media/image60.emf"/><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11" Type="http://schemas.openxmlformats.org/officeDocument/2006/relationships/image" Target="media/image88.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header" Target="header8.xml"/><Relationship Id="rId106" Type="http://schemas.openxmlformats.org/officeDocument/2006/relationships/image" Target="media/image83.emf"/><Relationship Id="rId114" Type="http://schemas.openxmlformats.org/officeDocument/2006/relationships/image" Target="media/image90.emf"/><Relationship Id="rId10" Type="http://schemas.openxmlformats.org/officeDocument/2006/relationships/header" Target="header1.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3.emf"/><Relationship Id="rId60" Type="http://schemas.openxmlformats.org/officeDocument/2006/relationships/image" Target="media/image39.emf"/><Relationship Id="rId65" Type="http://schemas.openxmlformats.org/officeDocument/2006/relationships/image" Target="media/image44.emf"/><Relationship Id="rId73" Type="http://schemas.openxmlformats.org/officeDocument/2006/relationships/image" Target="media/image50.emf"/><Relationship Id="rId78" Type="http://schemas.openxmlformats.org/officeDocument/2006/relationships/image" Target="media/image55.emf"/><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image" Target="media/image21.emf"/><Relationship Id="rId109" Type="http://schemas.openxmlformats.org/officeDocument/2006/relationships/image" Target="media/image86.emf"/><Relationship Id="rId34" Type="http://schemas.openxmlformats.org/officeDocument/2006/relationships/image" Target="media/image16.emf"/><Relationship Id="rId50" Type="http://schemas.openxmlformats.org/officeDocument/2006/relationships/image" Target="media/image32.emf"/><Relationship Id="rId55" Type="http://schemas.openxmlformats.org/officeDocument/2006/relationships/image" Target="media/image36.emf"/><Relationship Id="rId76" Type="http://schemas.openxmlformats.org/officeDocument/2006/relationships/image" Target="media/image53.emf"/><Relationship Id="rId97" Type="http://schemas.openxmlformats.org/officeDocument/2006/relationships/image" Target="media/image74.emf"/><Relationship Id="rId104" Type="http://schemas.openxmlformats.org/officeDocument/2006/relationships/image" Target="media/image81.emf"/><Relationship Id="rId7" Type="http://schemas.openxmlformats.org/officeDocument/2006/relationships/footnotes" Target="footnotes.xml"/><Relationship Id="rId71" Type="http://schemas.openxmlformats.org/officeDocument/2006/relationships/image" Target="media/image48.emf"/><Relationship Id="rId92" Type="http://schemas.openxmlformats.org/officeDocument/2006/relationships/image" Target="media/image69.emf"/><Relationship Id="rId2" Type="http://schemas.openxmlformats.org/officeDocument/2006/relationships/numbering" Target="numbering.xml"/><Relationship Id="rId29"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DAB5-44D7-4F92-9365-9E4F7398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89</Pages>
  <Words>26509</Words>
  <Characters>144707</Characters>
  <Application>Microsoft Office Word</Application>
  <DocSecurity>0</DocSecurity>
  <Lines>1205</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NOTES TO THE FINANCIAL STATEMENTS</vt:lpstr>
      <vt:lpstr>NOTES TO THE FINANCIAL STATEMENTS</vt:lpstr>
    </vt:vector>
  </TitlesOfParts>
  <Company>WIPO</Company>
  <LinksUpToDate>false</LinksUpToDate>
  <CharactersWithSpaces>170875</CharactersWithSpaces>
  <SharedDoc>false</SharedDoc>
  <HLinks>
    <vt:vector size="6" baseType="variant">
      <vt:variant>
        <vt:i4>3604515</vt:i4>
      </vt:variant>
      <vt:variant>
        <vt:i4>3</vt:i4>
      </vt:variant>
      <vt:variant>
        <vt:i4>0</vt:i4>
      </vt:variant>
      <vt:variant>
        <vt:i4>5</vt:i4>
      </vt:variant>
      <vt:variant>
        <vt:lpwstr>http://www.unjspf.org/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SHEPHERD</dc:creator>
  <cp:keywords>AMP/KO/NGG/ko</cp:keywords>
  <cp:lastModifiedBy>MITON GENOUD Anne</cp:lastModifiedBy>
  <cp:revision>3</cp:revision>
  <cp:lastPrinted>2015-08-10T12:36:00Z</cp:lastPrinted>
  <dcterms:created xsi:type="dcterms:W3CDTF">2015-08-04T15:35:00Z</dcterms:created>
  <dcterms:modified xsi:type="dcterms:W3CDTF">2015-08-10T12:46:00Z</dcterms:modified>
</cp:coreProperties>
</file>