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22C48" w:rsidRPr="00A22C48" w:rsidTr="00020D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1D30" w:rsidRPr="00A22C48" w:rsidRDefault="00C91D30" w:rsidP="00020DD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1D30" w:rsidRPr="00A22C48" w:rsidRDefault="00C91D30" w:rsidP="00020DD2">
            <w:pPr>
              <w:rPr>
                <w:lang w:val="fr-FR"/>
              </w:rPr>
            </w:pPr>
            <w:r w:rsidRPr="00A22C48">
              <w:rPr>
                <w:noProof/>
                <w:lang w:eastAsia="en-US"/>
              </w:rPr>
              <w:drawing>
                <wp:inline distT="0" distB="0" distL="0" distR="0" wp14:anchorId="181EE03F" wp14:editId="738D9CB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1D30" w:rsidRPr="00A22C48" w:rsidRDefault="00C91D30" w:rsidP="00020DD2">
            <w:pPr>
              <w:jc w:val="right"/>
              <w:rPr>
                <w:lang w:val="fr-FR"/>
              </w:rPr>
            </w:pPr>
            <w:r w:rsidRPr="00A22C4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22C48" w:rsidRPr="00A22C48" w:rsidTr="00020D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1D30" w:rsidRPr="00A22C48" w:rsidRDefault="00C91D30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2C48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1" w:name="Code"/>
            <w:bookmarkEnd w:id="1"/>
            <w:r w:rsidRPr="00A22C48">
              <w:rPr>
                <w:rFonts w:ascii="Arial Black" w:hAnsi="Arial Black"/>
                <w:caps/>
                <w:sz w:val="15"/>
                <w:lang w:val="fr-FR"/>
              </w:rPr>
              <w:t xml:space="preserve">INF/10 </w:t>
            </w:r>
          </w:p>
        </w:tc>
      </w:tr>
      <w:tr w:rsidR="00A22C48" w:rsidRPr="00A22C48" w:rsidTr="00020D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1D30" w:rsidRPr="00A22C48" w:rsidRDefault="00C91D30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2C4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B5A63" w:rsidRPr="00A22C4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22C4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A22C4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91D30" w:rsidRPr="00A22C48" w:rsidTr="00020D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1D30" w:rsidRPr="00A22C48" w:rsidRDefault="00C91D30" w:rsidP="0079542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2C4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B5A63" w:rsidRPr="00A22C4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22C4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79542F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A22C48">
              <w:rPr>
                <w:rFonts w:ascii="Arial Black" w:hAnsi="Arial Black"/>
                <w:caps/>
                <w:sz w:val="15"/>
                <w:lang w:val="fr-FR"/>
              </w:rPr>
              <w:t> octobre 2015</w:t>
            </w:r>
          </w:p>
        </w:tc>
      </w:tr>
    </w:tbl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  <w:r w:rsidRPr="00A22C48">
        <w:rPr>
          <w:b/>
          <w:sz w:val="28"/>
          <w:szCs w:val="28"/>
          <w:lang w:val="fr-FR"/>
        </w:rPr>
        <w:t>Assemblées des États membres de l</w:t>
      </w:r>
      <w:r w:rsidR="005D266A" w:rsidRPr="00A22C48">
        <w:rPr>
          <w:b/>
          <w:sz w:val="28"/>
          <w:szCs w:val="28"/>
          <w:lang w:val="fr-FR"/>
        </w:rPr>
        <w:t>’</w:t>
      </w:r>
      <w:r w:rsidRPr="00A22C48">
        <w:rPr>
          <w:b/>
          <w:sz w:val="28"/>
          <w:szCs w:val="28"/>
          <w:lang w:val="fr-FR"/>
        </w:rPr>
        <w:t>OMPI</w:t>
      </w: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b/>
          <w:sz w:val="24"/>
          <w:szCs w:val="24"/>
          <w:lang w:val="fr-FR"/>
        </w:rPr>
      </w:pPr>
      <w:r w:rsidRPr="00A22C48">
        <w:rPr>
          <w:b/>
          <w:sz w:val="24"/>
          <w:szCs w:val="24"/>
          <w:lang w:val="fr-FR"/>
        </w:rPr>
        <w:t>Cinquante</w:t>
      </w:r>
      <w:r w:rsidR="00D84F21">
        <w:rPr>
          <w:b/>
          <w:sz w:val="24"/>
          <w:szCs w:val="24"/>
          <w:lang w:val="fr-FR"/>
        </w:rPr>
        <w:t>-</w:t>
      </w:r>
      <w:r w:rsidRPr="00A22C48">
        <w:rPr>
          <w:b/>
          <w:sz w:val="24"/>
          <w:szCs w:val="24"/>
          <w:lang w:val="fr-FR"/>
        </w:rPr>
        <w:t>cinquième série de réunions</w:t>
      </w:r>
    </w:p>
    <w:p w:rsidR="00C91D30" w:rsidRPr="00A22C48" w:rsidRDefault="00C91D30" w:rsidP="00C91D30">
      <w:pPr>
        <w:rPr>
          <w:lang w:val="fr-FR"/>
        </w:rPr>
      </w:pPr>
      <w:r w:rsidRPr="00A22C48">
        <w:rPr>
          <w:b/>
          <w:sz w:val="24"/>
          <w:szCs w:val="24"/>
          <w:lang w:val="fr-FR"/>
        </w:rPr>
        <w:t>Genève, 5 – 1</w:t>
      </w:r>
      <w:r w:rsidR="005D266A" w:rsidRPr="00A22C48">
        <w:rPr>
          <w:b/>
          <w:sz w:val="24"/>
          <w:szCs w:val="24"/>
          <w:lang w:val="fr-FR"/>
        </w:rPr>
        <w:t>4 octobre 20</w:t>
      </w:r>
      <w:r w:rsidRPr="00A22C48">
        <w:rPr>
          <w:b/>
          <w:sz w:val="24"/>
          <w:szCs w:val="24"/>
          <w:lang w:val="fr-FR"/>
        </w:rPr>
        <w:t>15</w:t>
      </w:r>
    </w:p>
    <w:p w:rsidR="00C91D30" w:rsidRPr="00A22C48" w:rsidRDefault="00C91D30" w:rsidP="00C91D30">
      <w:pPr>
        <w:rPr>
          <w:lang w:val="fr-FR"/>
        </w:rPr>
      </w:pPr>
    </w:p>
    <w:p w:rsidR="00C91D30" w:rsidRPr="00A22C48" w:rsidRDefault="00C91D30" w:rsidP="00C91D30">
      <w:pPr>
        <w:rPr>
          <w:lang w:val="fr-FR"/>
        </w:rPr>
      </w:pPr>
      <w:bookmarkStart w:id="4" w:name="_GoBack"/>
      <w:bookmarkEnd w:id="4"/>
    </w:p>
    <w:p w:rsidR="00C91D30" w:rsidRPr="00A22C48" w:rsidRDefault="00C91D30" w:rsidP="00C91D30">
      <w:pPr>
        <w:rPr>
          <w:lang w:val="fr-FR"/>
        </w:rPr>
      </w:pPr>
    </w:p>
    <w:p w:rsidR="00151CCE" w:rsidRPr="00A22C48" w:rsidRDefault="003F489A" w:rsidP="003F489A">
      <w:pPr>
        <w:rPr>
          <w:caps/>
          <w:sz w:val="24"/>
          <w:lang w:val="fr-FR"/>
        </w:rPr>
      </w:pPr>
      <w:r w:rsidRPr="00A22C48">
        <w:rPr>
          <w:caps/>
          <w:sz w:val="24"/>
          <w:lang w:val="fr-FR"/>
        </w:rPr>
        <w:t xml:space="preserve">Avis des </w:t>
      </w:r>
      <w:r w:rsidR="003A7278">
        <w:rPr>
          <w:caps/>
          <w:sz w:val="24"/>
          <w:lang w:val="fr-FR"/>
        </w:rPr>
        <w:t>É</w:t>
      </w:r>
      <w:r w:rsidRPr="00A22C48">
        <w:rPr>
          <w:caps/>
          <w:sz w:val="24"/>
          <w:lang w:val="fr-FR"/>
        </w:rPr>
        <w:t>tats</w:t>
      </w:r>
      <w:r w:rsidR="00D84F21">
        <w:rPr>
          <w:caps/>
          <w:sz w:val="24"/>
          <w:lang w:val="fr-FR"/>
        </w:rPr>
        <w:noBreakHyphen/>
      </w:r>
      <w:r w:rsidR="003A7278">
        <w:rPr>
          <w:caps/>
          <w:sz w:val="24"/>
          <w:lang w:val="fr-FR"/>
        </w:rPr>
        <w:t>U</w:t>
      </w:r>
      <w:r w:rsidRPr="00A22C48">
        <w:rPr>
          <w:caps/>
          <w:sz w:val="24"/>
          <w:lang w:val="fr-FR"/>
        </w:rPr>
        <w:t>nis d</w:t>
      </w:r>
      <w:r w:rsidR="005D266A" w:rsidRPr="00A22C48">
        <w:rPr>
          <w:caps/>
          <w:sz w:val="24"/>
          <w:lang w:val="fr-FR"/>
        </w:rPr>
        <w:t>’</w:t>
      </w:r>
      <w:r w:rsidR="003A7278">
        <w:rPr>
          <w:caps/>
          <w:sz w:val="24"/>
          <w:lang w:val="fr-FR"/>
        </w:rPr>
        <w:t>A</w:t>
      </w:r>
      <w:r w:rsidRPr="00A22C48">
        <w:rPr>
          <w:caps/>
          <w:sz w:val="24"/>
          <w:lang w:val="fr-FR"/>
        </w:rPr>
        <w:t>mérique sur le système de CONTRIBUTION unique et</w:t>
      </w:r>
      <w:r w:rsidR="005D266A" w:rsidRPr="00A22C48">
        <w:rPr>
          <w:caps/>
          <w:sz w:val="24"/>
          <w:lang w:val="fr-FR"/>
        </w:rPr>
        <w:t xml:space="preserve"> le BUD</w:t>
      </w:r>
      <w:r w:rsidRPr="00A22C48">
        <w:rPr>
          <w:caps/>
          <w:sz w:val="24"/>
          <w:lang w:val="fr-FR"/>
        </w:rPr>
        <w:t>GET unique en ce qui concerne l</w:t>
      </w:r>
      <w:r w:rsidR="005D266A" w:rsidRPr="00A22C48">
        <w:rPr>
          <w:caps/>
          <w:sz w:val="24"/>
          <w:lang w:val="fr-FR"/>
        </w:rPr>
        <w:t>’</w:t>
      </w:r>
      <w:r w:rsidR="003A7278">
        <w:rPr>
          <w:caps/>
          <w:sz w:val="24"/>
          <w:lang w:val="fr-FR"/>
        </w:rPr>
        <w:t>A</w:t>
      </w:r>
      <w:r w:rsidR="00A22C48" w:rsidRPr="00A22C48">
        <w:rPr>
          <w:caps/>
          <w:sz w:val="24"/>
          <w:lang w:val="fr-FR"/>
        </w:rPr>
        <w:t>rrangement de </w:t>
      </w:r>
      <w:r w:rsidR="003A7278">
        <w:rPr>
          <w:caps/>
          <w:sz w:val="24"/>
          <w:lang w:val="fr-FR"/>
        </w:rPr>
        <w:t>L</w:t>
      </w:r>
      <w:r w:rsidRPr="00A22C48">
        <w:rPr>
          <w:caps/>
          <w:sz w:val="24"/>
          <w:lang w:val="fr-FR"/>
        </w:rPr>
        <w:t>ISBONNE</w:t>
      </w:r>
    </w:p>
    <w:p w:rsidR="00151CCE" w:rsidRPr="00A22C48" w:rsidRDefault="00151CCE" w:rsidP="008B2CC1">
      <w:pPr>
        <w:rPr>
          <w:lang w:val="fr-FR"/>
        </w:rPr>
      </w:pPr>
    </w:p>
    <w:p w:rsidR="00151CCE" w:rsidRPr="00A22C48" w:rsidRDefault="003F489A" w:rsidP="003F489A">
      <w:pPr>
        <w:rPr>
          <w:i/>
          <w:lang w:val="fr-FR"/>
        </w:rPr>
      </w:pPr>
      <w:bookmarkStart w:id="5" w:name="Prepared"/>
      <w:bookmarkEnd w:id="5"/>
      <w:r w:rsidRPr="00A22C48">
        <w:rPr>
          <w:i/>
          <w:lang w:val="fr-FR"/>
        </w:rPr>
        <w:t>Document établi par le Secrétariat</w:t>
      </w:r>
    </w:p>
    <w:p w:rsidR="00151CCE" w:rsidRPr="00A22C48" w:rsidRDefault="00151CCE">
      <w:pPr>
        <w:rPr>
          <w:lang w:val="fr-FR"/>
        </w:rPr>
      </w:pPr>
    </w:p>
    <w:p w:rsidR="00151CCE" w:rsidRPr="00A22C48" w:rsidRDefault="00151CCE">
      <w:pPr>
        <w:rPr>
          <w:lang w:val="fr-FR"/>
        </w:rPr>
      </w:pPr>
    </w:p>
    <w:p w:rsidR="00151CCE" w:rsidRPr="00A22C48" w:rsidRDefault="00151CCE">
      <w:pPr>
        <w:rPr>
          <w:lang w:val="fr-FR"/>
        </w:rPr>
      </w:pPr>
    </w:p>
    <w:p w:rsidR="00151CCE" w:rsidRPr="00A22C48" w:rsidRDefault="00151CCE" w:rsidP="0053057A">
      <w:pPr>
        <w:rPr>
          <w:lang w:val="fr-FR"/>
        </w:rPr>
      </w:pPr>
    </w:p>
    <w:p w:rsidR="00151CCE" w:rsidRPr="00A22C48" w:rsidRDefault="003F489A" w:rsidP="003F489A">
      <w:pPr>
        <w:rPr>
          <w:lang w:val="fr-FR"/>
        </w:rPr>
      </w:pPr>
      <w:r w:rsidRPr="00A22C48">
        <w:rPr>
          <w:lang w:val="fr-FR"/>
        </w:rPr>
        <w:t xml:space="preserve">Dans une communication datée du </w:t>
      </w:r>
      <w:r w:rsidR="005D266A" w:rsidRPr="00A22C48">
        <w:rPr>
          <w:lang w:val="fr-FR"/>
        </w:rPr>
        <w:t>1</w:t>
      </w:r>
      <w:r w:rsidR="005D266A" w:rsidRPr="00A22C48">
        <w:rPr>
          <w:vertAlign w:val="superscript"/>
          <w:lang w:val="fr-FR"/>
        </w:rPr>
        <w:t>er</w:t>
      </w:r>
      <w:r w:rsidR="005D266A" w:rsidRPr="00A22C48">
        <w:rPr>
          <w:lang w:val="fr-FR"/>
        </w:rPr>
        <w:t> octobre 20</w:t>
      </w:r>
      <w:r w:rsidRPr="00A22C48">
        <w:rPr>
          <w:lang w:val="fr-FR"/>
        </w:rPr>
        <w:t>15, reproduite dans l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annexe du présent document, la délégation des États</w:t>
      </w:r>
      <w:r w:rsidR="00D84F21">
        <w:rPr>
          <w:lang w:val="fr-FR"/>
        </w:rPr>
        <w:noBreakHyphen/>
      </w:r>
      <w:r w:rsidRPr="00A22C48">
        <w:rPr>
          <w:lang w:val="fr-FR"/>
        </w:rPr>
        <w:t>Unis d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Amérique a demandé que sa contribution intitulée “Avis des États</w:t>
      </w:r>
      <w:r w:rsidR="00D84F21">
        <w:rPr>
          <w:lang w:val="fr-FR"/>
        </w:rPr>
        <w:noBreakHyphen/>
      </w:r>
      <w:r w:rsidRPr="00A22C48">
        <w:rPr>
          <w:lang w:val="fr-FR"/>
        </w:rPr>
        <w:t>Unis d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Amérique sur le système de contribution unique et le budget unique en ce qui concerne l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Arrangement de Lisbonne</w:t>
      </w:r>
      <w:r w:rsidR="00BB5A63" w:rsidRPr="00A22C48">
        <w:rPr>
          <w:lang w:val="fr-FR"/>
        </w:rPr>
        <w:t>”</w:t>
      </w:r>
      <w:r w:rsidRPr="00A22C48">
        <w:rPr>
          <w:lang w:val="fr-FR"/>
        </w:rPr>
        <w:t xml:space="preserve"> soit </w:t>
      </w:r>
      <w:r w:rsidR="00D12A81" w:rsidRPr="00A22C48">
        <w:rPr>
          <w:lang w:val="fr-FR"/>
        </w:rPr>
        <w:t>diffusée, pour examen,</w:t>
      </w:r>
      <w:r w:rsidRPr="00A22C48">
        <w:rPr>
          <w:lang w:val="fr-FR"/>
        </w:rPr>
        <w:t xml:space="preserve"> en tant que document d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information officiel au titre du point</w:t>
      </w:r>
      <w:r w:rsidR="00BB5A63" w:rsidRPr="00A22C48">
        <w:rPr>
          <w:lang w:val="fr-FR"/>
        </w:rPr>
        <w:t> </w:t>
      </w:r>
      <w:r w:rsidRPr="00A22C48">
        <w:rPr>
          <w:lang w:val="fr-FR"/>
        </w:rPr>
        <w:t>11 de l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 xml:space="preserve">ordre du jour intitulé </w:t>
      </w:r>
      <w:r w:rsidR="00BB5A63" w:rsidRPr="00A22C48">
        <w:rPr>
          <w:lang w:val="fr-FR"/>
        </w:rPr>
        <w:t>“</w:t>
      </w:r>
      <w:r w:rsidRPr="00A22C48">
        <w:rPr>
          <w:lang w:val="fr-FR"/>
        </w:rPr>
        <w:t>Rapport sur le Comité du programme et budget</w:t>
      </w:r>
      <w:r w:rsidR="00BB5A63" w:rsidRPr="00A22C48">
        <w:rPr>
          <w:lang w:val="fr-FR"/>
        </w:rPr>
        <w:t>”</w:t>
      </w:r>
      <w:r w:rsidRPr="00A22C48">
        <w:rPr>
          <w:lang w:val="fr-FR"/>
        </w:rPr>
        <w:t>.</w:t>
      </w:r>
    </w:p>
    <w:p w:rsidR="00151CCE" w:rsidRPr="00A22C48" w:rsidRDefault="00151CCE" w:rsidP="00A22C48">
      <w:pPr>
        <w:pStyle w:val="Endofdocument-Annex"/>
        <w:rPr>
          <w:lang w:val="fr-FR"/>
        </w:rPr>
      </w:pPr>
    </w:p>
    <w:p w:rsidR="00151CCE" w:rsidRPr="00A22C48" w:rsidRDefault="00151CCE" w:rsidP="00A22C48">
      <w:pPr>
        <w:pStyle w:val="Endofdocument-Annex"/>
        <w:rPr>
          <w:lang w:val="fr-FR"/>
        </w:rPr>
      </w:pPr>
    </w:p>
    <w:p w:rsidR="00151CCE" w:rsidRPr="00A22C48" w:rsidRDefault="00151CCE" w:rsidP="00A22C48">
      <w:pPr>
        <w:pStyle w:val="Endofdocument-Annex"/>
        <w:rPr>
          <w:lang w:val="fr-FR"/>
        </w:rPr>
      </w:pPr>
    </w:p>
    <w:p w:rsidR="00151CCE" w:rsidRPr="00A22C48" w:rsidRDefault="003F489A" w:rsidP="00A22C48">
      <w:pPr>
        <w:pStyle w:val="Endofdocument-Annex"/>
        <w:rPr>
          <w:lang w:val="fr-FR"/>
        </w:rPr>
      </w:pPr>
      <w:r w:rsidRPr="00A22C48">
        <w:rPr>
          <w:lang w:val="fr-FR"/>
        </w:rPr>
        <w:t>[L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annexe suit]</w:t>
      </w:r>
    </w:p>
    <w:p w:rsidR="00151CCE" w:rsidRPr="00A22C48" w:rsidRDefault="00151CCE" w:rsidP="001C2B6E">
      <w:pPr>
        <w:spacing w:after="120" w:line="260" w:lineRule="atLeast"/>
        <w:contextualSpacing/>
        <w:rPr>
          <w:lang w:val="fr-FR"/>
        </w:rPr>
      </w:pPr>
    </w:p>
    <w:p w:rsidR="001C2B6E" w:rsidRPr="00A22C48" w:rsidRDefault="001C2B6E" w:rsidP="001C2B6E">
      <w:pPr>
        <w:spacing w:after="120" w:line="260" w:lineRule="atLeast"/>
        <w:ind w:left="5500"/>
        <w:contextualSpacing/>
        <w:rPr>
          <w:lang w:val="fr-FR"/>
        </w:rPr>
        <w:sectPr w:rsidR="001C2B6E" w:rsidRPr="00A22C48" w:rsidSect="00C07BF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  <w:r w:rsidRPr="00A22C48">
        <w:rPr>
          <w:b/>
          <w:szCs w:val="22"/>
          <w:lang w:val="fr-FR"/>
        </w:rPr>
        <w:lastRenderedPageBreak/>
        <w:t>Traduction d’une lettre</w:t>
      </w: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szCs w:val="22"/>
          <w:lang w:val="fr-FR"/>
        </w:rPr>
        <w:tab/>
      </w:r>
      <w:proofErr w:type="gramStart"/>
      <w:r w:rsidRPr="00A22C48">
        <w:rPr>
          <w:b/>
          <w:szCs w:val="22"/>
          <w:lang w:val="fr-FR"/>
        </w:rPr>
        <w:t>adressée</w:t>
      </w:r>
      <w:proofErr w:type="gramEnd"/>
      <w:r w:rsidRPr="00A22C48">
        <w:rPr>
          <w:b/>
          <w:szCs w:val="22"/>
          <w:lang w:val="fr-FR"/>
        </w:rPr>
        <w:t xml:space="preserve"> par : </w:t>
      </w:r>
      <w:r w:rsidRPr="00A22C48">
        <w:rPr>
          <w:b/>
          <w:lang w:val="fr-FR"/>
        </w:rPr>
        <w:tab/>
      </w:r>
      <w:r w:rsidRPr="00A22C48">
        <w:rPr>
          <w:b/>
          <w:szCs w:val="22"/>
          <w:lang w:val="fr-FR"/>
        </w:rPr>
        <w:t>Office des brevets et des marques des États</w:t>
      </w:r>
      <w:r w:rsidR="00D84F21">
        <w:rPr>
          <w:b/>
          <w:szCs w:val="22"/>
          <w:lang w:val="fr-FR"/>
        </w:rPr>
        <w:noBreakHyphen/>
      </w:r>
      <w:r w:rsidRPr="00A22C48">
        <w:rPr>
          <w:b/>
          <w:szCs w:val="22"/>
          <w:lang w:val="fr-FR"/>
        </w:rPr>
        <w:t>Unis d’Amérique</w:t>
      </w: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b/>
          <w:szCs w:val="22"/>
          <w:lang w:val="fr-FR"/>
        </w:rPr>
        <w:tab/>
      </w:r>
      <w:r w:rsidRPr="00A22C48">
        <w:rPr>
          <w:b/>
          <w:szCs w:val="22"/>
          <w:lang w:val="fr-FR"/>
        </w:rPr>
        <w:tab/>
        <w:t>P O. Box 1450, Alexandria, Virginia 22313</w:t>
      </w:r>
      <w:r w:rsidR="00D84F21">
        <w:rPr>
          <w:b/>
          <w:szCs w:val="22"/>
          <w:lang w:val="fr-FR"/>
        </w:rPr>
        <w:noBreakHyphen/>
      </w:r>
      <w:r w:rsidRPr="00A22C48">
        <w:rPr>
          <w:b/>
          <w:szCs w:val="22"/>
          <w:lang w:val="fr-FR"/>
        </w:rPr>
        <w:t>1450</w:t>
      </w: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rFonts w:ascii="arial bold" w:hAnsi="arial bold" w:hint="eastAsia"/>
          <w:b/>
          <w:caps/>
          <w:szCs w:val="22"/>
          <w:lang w:val="fr-FR"/>
        </w:rPr>
      </w:pPr>
      <w:r w:rsidRPr="00A22C48">
        <w:rPr>
          <w:b/>
          <w:szCs w:val="22"/>
          <w:lang w:val="fr-FR"/>
        </w:rPr>
        <w:tab/>
      </w:r>
      <w:r w:rsidRPr="00A22C48">
        <w:rPr>
          <w:b/>
          <w:szCs w:val="22"/>
          <w:lang w:val="fr-FR"/>
        </w:rPr>
        <w:tab/>
      </w:r>
      <w:r w:rsidRPr="00A22C48">
        <w:rPr>
          <w:rFonts w:ascii="arial bold" w:hAnsi="arial bold"/>
          <w:b/>
          <w:caps/>
          <w:szCs w:val="22"/>
          <w:lang w:val="fr-FR"/>
        </w:rPr>
        <w:t>États</w:t>
      </w:r>
      <w:r w:rsidR="00D84F21">
        <w:rPr>
          <w:rFonts w:ascii="arial bold" w:hAnsi="arial bold"/>
          <w:b/>
          <w:caps/>
          <w:szCs w:val="22"/>
          <w:lang w:val="fr-FR"/>
        </w:rPr>
        <w:noBreakHyphen/>
      </w:r>
      <w:r w:rsidRPr="00A22C48">
        <w:rPr>
          <w:rFonts w:ascii="arial bold" w:hAnsi="arial bold"/>
          <w:b/>
          <w:caps/>
          <w:szCs w:val="22"/>
          <w:lang w:val="fr-FR"/>
        </w:rPr>
        <w:t>Unis d’Amérique</w:t>
      </w: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</w:p>
    <w:p w:rsidR="004122DA" w:rsidRPr="00A22C48" w:rsidRDefault="004122DA" w:rsidP="004122DA">
      <w:pPr>
        <w:tabs>
          <w:tab w:val="right" w:pos="2552"/>
          <w:tab w:val="left" w:pos="3119"/>
        </w:tabs>
        <w:rPr>
          <w:b/>
          <w:szCs w:val="22"/>
          <w:lang w:val="fr-FR"/>
        </w:rPr>
      </w:pP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szCs w:val="22"/>
          <w:lang w:val="fr-FR"/>
        </w:rPr>
        <w:tab/>
      </w:r>
      <w:proofErr w:type="gramStart"/>
      <w:r w:rsidRPr="00A22C48">
        <w:rPr>
          <w:b/>
          <w:szCs w:val="22"/>
          <w:lang w:val="fr-FR"/>
        </w:rPr>
        <w:t>à</w:t>
      </w:r>
      <w:proofErr w:type="gramEnd"/>
      <w:r w:rsidRPr="00A22C48">
        <w:rPr>
          <w:b/>
          <w:szCs w:val="22"/>
          <w:lang w:val="fr-FR"/>
        </w:rPr>
        <w:t xml:space="preserve"> : </w:t>
      </w:r>
      <w:r w:rsidRPr="00A22C48">
        <w:rPr>
          <w:b/>
          <w:szCs w:val="22"/>
          <w:lang w:val="fr-FR"/>
        </w:rPr>
        <w:tab/>
        <w:t>Organisation Mondiale de la Propriété Intellectuelle</w:t>
      </w: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b/>
          <w:szCs w:val="22"/>
          <w:lang w:val="fr-FR"/>
        </w:rPr>
        <w:tab/>
      </w:r>
      <w:r w:rsidRPr="00A22C48">
        <w:rPr>
          <w:b/>
          <w:szCs w:val="22"/>
          <w:lang w:val="fr-FR"/>
        </w:rPr>
        <w:tab/>
        <w:t xml:space="preserve">34, chemin des </w:t>
      </w:r>
      <w:proofErr w:type="spellStart"/>
      <w:r w:rsidRPr="00A22C48">
        <w:rPr>
          <w:b/>
          <w:szCs w:val="22"/>
          <w:lang w:val="fr-FR"/>
        </w:rPr>
        <w:t>Colombettes</w:t>
      </w:r>
      <w:proofErr w:type="spellEnd"/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b/>
          <w:szCs w:val="22"/>
          <w:lang w:val="fr-FR"/>
        </w:rPr>
        <w:tab/>
      </w:r>
      <w:r w:rsidRPr="00A22C48">
        <w:rPr>
          <w:b/>
          <w:szCs w:val="22"/>
          <w:lang w:val="fr-FR"/>
        </w:rPr>
        <w:tab/>
        <w:t>1211 Genève</w:t>
      </w:r>
    </w:p>
    <w:p w:rsidR="004122DA" w:rsidRPr="00A22C48" w:rsidRDefault="004122DA" w:rsidP="004122DA">
      <w:pPr>
        <w:tabs>
          <w:tab w:val="right" w:pos="2552"/>
          <w:tab w:val="left" w:pos="3119"/>
        </w:tabs>
        <w:ind w:left="3119" w:hanging="3119"/>
        <w:rPr>
          <w:b/>
          <w:szCs w:val="22"/>
          <w:lang w:val="fr-FR"/>
        </w:rPr>
      </w:pPr>
      <w:r w:rsidRPr="00A22C48">
        <w:rPr>
          <w:b/>
          <w:szCs w:val="22"/>
          <w:lang w:val="fr-FR"/>
        </w:rPr>
        <w:tab/>
      </w:r>
      <w:r w:rsidRPr="00A22C48">
        <w:rPr>
          <w:b/>
          <w:szCs w:val="22"/>
          <w:lang w:val="fr-FR"/>
        </w:rPr>
        <w:tab/>
        <w:t>SUISSE</w:t>
      </w: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4122DA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A22C48">
      <w:pPr>
        <w:tabs>
          <w:tab w:val="left" w:pos="1985"/>
          <w:tab w:val="center" w:pos="7088"/>
        </w:tabs>
        <w:rPr>
          <w:szCs w:val="22"/>
          <w:lang w:val="fr-FR"/>
        </w:rPr>
      </w:pPr>
      <w:r w:rsidRPr="00A22C48">
        <w:rPr>
          <w:szCs w:val="22"/>
          <w:lang w:val="fr-FR"/>
        </w:rPr>
        <w:t>Madame, Monsieur,</w:t>
      </w:r>
    </w:p>
    <w:p w:rsidR="004122DA" w:rsidRPr="00A22C48" w:rsidRDefault="004122DA" w:rsidP="00A22C48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4122DA" w:rsidRPr="00A22C48" w:rsidRDefault="004122DA" w:rsidP="00A22C48">
      <w:pPr>
        <w:rPr>
          <w:b/>
          <w:szCs w:val="22"/>
          <w:lang w:val="fr-FR"/>
        </w:rPr>
      </w:pPr>
      <w:r w:rsidRPr="00A22C48">
        <w:rPr>
          <w:szCs w:val="22"/>
          <w:lang w:val="fr-FR"/>
        </w:rPr>
        <w:t>Au nom des États</w:t>
      </w:r>
      <w:r w:rsidR="00D84F21">
        <w:rPr>
          <w:szCs w:val="22"/>
          <w:lang w:val="fr-FR"/>
        </w:rPr>
        <w:noBreakHyphen/>
      </w:r>
      <w:r w:rsidRPr="00A22C48">
        <w:rPr>
          <w:szCs w:val="22"/>
          <w:lang w:val="fr-FR"/>
        </w:rPr>
        <w:t>Unis d’Amérique, j’ai le plaisir de transmettre le document explicatif ci</w:t>
      </w:r>
      <w:r w:rsidR="00D84F21">
        <w:rPr>
          <w:szCs w:val="22"/>
          <w:lang w:val="fr-FR"/>
        </w:rPr>
        <w:noBreakHyphen/>
      </w:r>
      <w:r w:rsidRPr="00A22C48">
        <w:rPr>
          <w:szCs w:val="22"/>
          <w:lang w:val="fr-FR"/>
        </w:rPr>
        <w:t>joint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à la cinquante</w:t>
      </w:r>
      <w:r w:rsidR="00D84F21">
        <w:rPr>
          <w:szCs w:val="22"/>
          <w:lang w:val="fr-FR"/>
        </w:rPr>
        <w:noBreakHyphen/>
      </w:r>
      <w:r w:rsidR="00A22C48" w:rsidRPr="00A22C48">
        <w:rPr>
          <w:szCs w:val="22"/>
          <w:lang w:val="fr-FR"/>
        </w:rPr>
        <w:t>cinquième </w:t>
      </w:r>
      <w:r w:rsidRPr="00A22C48">
        <w:rPr>
          <w:szCs w:val="22"/>
          <w:lang w:val="fr-FR"/>
        </w:rPr>
        <w:t>série de réunions des assemblées des États membres de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l’OMPI et quarante</w:t>
      </w:r>
      <w:r w:rsidR="00D84F21">
        <w:rPr>
          <w:szCs w:val="22"/>
          <w:lang w:val="fr-FR"/>
        </w:rPr>
        <w:noBreakHyphen/>
      </w:r>
      <w:r w:rsidRPr="00A22C48">
        <w:rPr>
          <w:szCs w:val="22"/>
          <w:lang w:val="fr-FR"/>
        </w:rPr>
        <w:t>septième </w:t>
      </w:r>
      <w:r w:rsidR="00A22C48" w:rsidRPr="00A22C48">
        <w:rPr>
          <w:szCs w:val="22"/>
          <w:lang w:val="fr-FR"/>
        </w:rPr>
        <w:t>session (22</w:t>
      </w:r>
      <w:r w:rsidR="00A22C48" w:rsidRPr="00A22C48">
        <w:rPr>
          <w:szCs w:val="22"/>
          <w:vertAlign w:val="superscript"/>
          <w:lang w:val="fr-FR"/>
        </w:rPr>
        <w:t>e</w:t>
      </w:r>
      <w:r w:rsidR="00A22C48" w:rsidRPr="00A22C48">
        <w:rPr>
          <w:szCs w:val="22"/>
          <w:lang w:val="fr-FR"/>
        </w:rPr>
        <w:t> </w:t>
      </w:r>
      <w:r w:rsidRPr="00A22C48">
        <w:rPr>
          <w:szCs w:val="22"/>
          <w:lang w:val="fr-FR"/>
        </w:rPr>
        <w:t>session ordinaire) de l’Assemblée générale de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l’OMPI, du</w:t>
      </w:r>
      <w:r w:rsidR="00A22C48" w:rsidRPr="00A22C48">
        <w:rPr>
          <w:szCs w:val="22"/>
          <w:lang w:val="fr-FR"/>
        </w:rPr>
        <w:t> 5 </w:t>
      </w:r>
      <w:r w:rsidRPr="00A22C48">
        <w:rPr>
          <w:szCs w:val="22"/>
          <w:lang w:val="fr-FR"/>
        </w:rPr>
        <w:t>au</w:t>
      </w:r>
      <w:r w:rsidR="00A22C48" w:rsidRPr="00A22C48">
        <w:rPr>
          <w:szCs w:val="22"/>
          <w:lang w:val="fr-FR"/>
        </w:rPr>
        <w:t> </w:t>
      </w:r>
      <w:r w:rsidRPr="00A22C48">
        <w:rPr>
          <w:szCs w:val="22"/>
          <w:lang w:val="fr-FR"/>
        </w:rPr>
        <w:t>14 octobre 2015.  Ce document est soumis à l’examen des assemblées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en tant que document officiel, au titre du point 11 (Rapport sur le Comité du programme et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budget) du projet d’ordre du jour unifié et annoté (A/55/1 Prov.4).  Le document a également été</w:t>
      </w:r>
      <w:r w:rsidR="00A22C48" w:rsidRPr="00A22C48">
        <w:rPr>
          <w:szCs w:val="22"/>
          <w:lang w:val="fr-FR"/>
        </w:rPr>
        <w:t xml:space="preserve"> </w:t>
      </w:r>
      <w:r w:rsidRPr="00A22C48">
        <w:rPr>
          <w:szCs w:val="22"/>
          <w:lang w:val="fr-FR"/>
        </w:rPr>
        <w:t>distribué à la vingt</w:t>
      </w:r>
      <w:r w:rsidR="00D84F21">
        <w:rPr>
          <w:szCs w:val="22"/>
          <w:lang w:val="fr-FR"/>
        </w:rPr>
        <w:noBreakHyphen/>
      </w:r>
      <w:r w:rsidRPr="00A22C48">
        <w:rPr>
          <w:szCs w:val="22"/>
          <w:lang w:val="fr-FR"/>
        </w:rPr>
        <w:t>quatrième session du Comité du programme et budget.</w:t>
      </w:r>
    </w:p>
    <w:p w:rsidR="004122DA" w:rsidRPr="00A22C48" w:rsidRDefault="004122DA" w:rsidP="00A22C48">
      <w:pPr>
        <w:rPr>
          <w:szCs w:val="22"/>
          <w:lang w:val="fr-FR"/>
        </w:rPr>
      </w:pPr>
    </w:p>
    <w:p w:rsidR="004122DA" w:rsidRPr="00A22C48" w:rsidRDefault="004122DA" w:rsidP="00A22C48">
      <w:pPr>
        <w:rPr>
          <w:szCs w:val="22"/>
          <w:lang w:val="fr-FR"/>
        </w:rPr>
      </w:pPr>
      <w:r w:rsidRPr="00A22C48">
        <w:rPr>
          <w:szCs w:val="22"/>
          <w:lang w:val="fr-FR"/>
        </w:rPr>
        <w:t>Je vous saurais gré de bien vouloir diffuser ce document.</w:t>
      </w:r>
    </w:p>
    <w:p w:rsidR="004122DA" w:rsidRPr="00A22C48" w:rsidRDefault="004122DA" w:rsidP="00A22C48">
      <w:pPr>
        <w:rPr>
          <w:szCs w:val="22"/>
          <w:lang w:val="fr-FR"/>
        </w:rPr>
      </w:pPr>
    </w:p>
    <w:p w:rsidR="004122DA" w:rsidRPr="00A22C48" w:rsidRDefault="004122DA" w:rsidP="00A22C48">
      <w:pPr>
        <w:rPr>
          <w:szCs w:val="22"/>
          <w:lang w:val="fr-FR"/>
        </w:rPr>
      </w:pPr>
      <w:r w:rsidRPr="00A22C48">
        <w:rPr>
          <w:szCs w:val="22"/>
          <w:lang w:val="fr-FR"/>
        </w:rPr>
        <w:t>Veuillez agréer, Madame, Monsieur, l’assurance de ma considération distinguée.</w:t>
      </w:r>
    </w:p>
    <w:p w:rsidR="004122DA" w:rsidRPr="00A22C48" w:rsidRDefault="004122DA" w:rsidP="004122DA">
      <w:pPr>
        <w:rPr>
          <w:szCs w:val="22"/>
          <w:lang w:val="fr-FR"/>
        </w:rPr>
      </w:pPr>
    </w:p>
    <w:p w:rsidR="004122DA" w:rsidRPr="00A22C48" w:rsidRDefault="004122DA" w:rsidP="004122DA">
      <w:pPr>
        <w:rPr>
          <w:szCs w:val="22"/>
          <w:lang w:val="fr-FR"/>
        </w:rPr>
      </w:pPr>
    </w:p>
    <w:p w:rsidR="00A22C48" w:rsidRPr="00A22C48" w:rsidRDefault="00A22C48" w:rsidP="004122DA">
      <w:pPr>
        <w:rPr>
          <w:szCs w:val="22"/>
          <w:lang w:val="fr-FR"/>
        </w:rPr>
      </w:pPr>
    </w:p>
    <w:p w:rsidR="00A22C48" w:rsidRPr="00A22C48" w:rsidRDefault="00A22C48" w:rsidP="004122DA">
      <w:pPr>
        <w:rPr>
          <w:szCs w:val="22"/>
          <w:lang w:val="fr-FR"/>
        </w:rPr>
      </w:pPr>
    </w:p>
    <w:p w:rsidR="004122DA" w:rsidRPr="00A22C48" w:rsidRDefault="004122DA" w:rsidP="004122DA">
      <w:pPr>
        <w:pStyle w:val="Signature"/>
        <w:rPr>
          <w:szCs w:val="22"/>
          <w:lang w:val="fr-FR"/>
        </w:rPr>
      </w:pPr>
      <w:r w:rsidRPr="00A22C48">
        <w:rPr>
          <w:szCs w:val="22"/>
          <w:lang w:val="fr-FR"/>
        </w:rPr>
        <w:t>(Signé :) Karin FERRITER</w:t>
      </w:r>
    </w:p>
    <w:p w:rsidR="004122DA" w:rsidRPr="00A22C48" w:rsidRDefault="004122DA" w:rsidP="004122DA">
      <w:pPr>
        <w:pStyle w:val="Signature"/>
        <w:rPr>
          <w:szCs w:val="22"/>
          <w:lang w:val="fr-FR"/>
        </w:rPr>
      </w:pPr>
    </w:p>
    <w:p w:rsidR="004122DA" w:rsidRPr="00A22C48" w:rsidRDefault="004122DA" w:rsidP="004122DA">
      <w:pPr>
        <w:rPr>
          <w:szCs w:val="22"/>
          <w:lang w:val="fr-FR"/>
        </w:rPr>
      </w:pPr>
    </w:p>
    <w:p w:rsidR="004122DA" w:rsidRPr="00A22C48" w:rsidRDefault="004122DA" w:rsidP="004122DA">
      <w:pPr>
        <w:rPr>
          <w:szCs w:val="22"/>
          <w:lang w:val="fr-FR"/>
        </w:rPr>
      </w:pPr>
    </w:p>
    <w:p w:rsidR="00A22C48" w:rsidRPr="00A22C48" w:rsidRDefault="00A22C48" w:rsidP="004122DA">
      <w:pPr>
        <w:rPr>
          <w:szCs w:val="22"/>
          <w:lang w:val="fr-FR"/>
        </w:rPr>
      </w:pPr>
    </w:p>
    <w:p w:rsidR="00A22C48" w:rsidRPr="00A22C48" w:rsidRDefault="00A22C48" w:rsidP="004122DA">
      <w:pPr>
        <w:rPr>
          <w:szCs w:val="22"/>
          <w:lang w:val="fr-FR"/>
        </w:rPr>
      </w:pPr>
    </w:p>
    <w:p w:rsidR="004122DA" w:rsidRPr="00A22C48" w:rsidRDefault="004122DA" w:rsidP="004122DA">
      <w:pPr>
        <w:tabs>
          <w:tab w:val="left" w:pos="1701"/>
          <w:tab w:val="left" w:pos="2268"/>
        </w:tabs>
        <w:rPr>
          <w:szCs w:val="22"/>
          <w:lang w:val="fr-FR"/>
        </w:rPr>
      </w:pPr>
      <w:r w:rsidRPr="00A22C48">
        <w:rPr>
          <w:szCs w:val="22"/>
          <w:lang w:val="fr-FR"/>
        </w:rPr>
        <w:t>Pièce jointe</w:t>
      </w:r>
    </w:p>
    <w:p w:rsidR="004122DA" w:rsidRPr="00A22C48" w:rsidRDefault="004122DA" w:rsidP="004122DA">
      <w:pPr>
        <w:rPr>
          <w:szCs w:val="22"/>
          <w:lang w:val="fr-FR"/>
        </w:rPr>
      </w:pPr>
    </w:p>
    <w:p w:rsidR="004122DA" w:rsidRPr="00A22C48" w:rsidRDefault="004122DA" w:rsidP="004122DA">
      <w:pPr>
        <w:rPr>
          <w:szCs w:val="22"/>
          <w:lang w:val="fr-FR"/>
        </w:rPr>
      </w:pPr>
    </w:p>
    <w:p w:rsidR="004122DA" w:rsidRPr="00A22C48" w:rsidRDefault="004122DA" w:rsidP="00062D9D">
      <w:pPr>
        <w:spacing w:after="120" w:line="260" w:lineRule="atLeast"/>
        <w:contextualSpacing/>
        <w:rPr>
          <w:lang w:val="fr-FR"/>
        </w:rPr>
      </w:pPr>
    </w:p>
    <w:p w:rsidR="004122DA" w:rsidRPr="00A22C48" w:rsidRDefault="004122DA">
      <w:pPr>
        <w:rPr>
          <w:rFonts w:asciiTheme="minorHAnsi" w:eastAsiaTheme="minorHAnsi" w:hAnsiTheme="minorHAnsi" w:cstheme="minorBidi"/>
          <w:b/>
          <w:szCs w:val="22"/>
          <w:lang w:val="fr-FR" w:eastAsia="en-US"/>
        </w:rPr>
        <w:sectPr w:rsidR="004122DA" w:rsidRPr="00A22C48" w:rsidSect="004122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7" w:right="1134" w:bottom="1418" w:left="1418" w:header="720" w:footer="720" w:gutter="0"/>
          <w:pgNumType w:start="1"/>
          <w:cols w:space="720"/>
          <w:titlePg/>
          <w:docGrid w:linePitch="360"/>
        </w:sectPr>
      </w:pPr>
    </w:p>
    <w:p w:rsidR="00151CCE" w:rsidRPr="00A22C48" w:rsidRDefault="003F489A" w:rsidP="003F489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lastRenderedPageBreak/>
        <w:t>Avis des États</w:t>
      </w:r>
      <w:r w:rsidR="00D84F21">
        <w:rPr>
          <w:rFonts w:asciiTheme="minorHAnsi" w:eastAsiaTheme="minorHAnsi" w:hAnsiTheme="minorHAnsi" w:cstheme="minorBidi"/>
          <w:b/>
          <w:szCs w:val="22"/>
          <w:lang w:val="fr-FR" w:eastAsia="en-US"/>
        </w:rPr>
        <w:noBreakHyphen/>
      </w:r>
      <w:r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>Unis d</w:t>
      </w:r>
      <w:r w:rsidR="005D266A"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 xml:space="preserve">Amérique sur le système de contribution unique et le budget unique </w:t>
      </w:r>
      <w:r w:rsidR="00A22C48"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br/>
      </w:r>
      <w:r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>en ce qui concerne l</w:t>
      </w:r>
      <w:r w:rsidR="005D266A"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b/>
          <w:szCs w:val="22"/>
          <w:lang w:val="fr-FR" w:eastAsia="en-US"/>
        </w:rPr>
        <w:t>Arrangement de Lisbonne</w:t>
      </w:r>
    </w:p>
    <w:p w:rsidR="00151CCE" w:rsidRPr="00A22C48" w:rsidRDefault="00F86EF2" w:rsidP="0070084A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C</w:t>
      </w:r>
      <w:r w:rsidR="00584E82" w:rsidRPr="00A22C48">
        <w:rPr>
          <w:rFonts w:asciiTheme="minorHAnsi" w:eastAsiaTheme="minorHAnsi" w:hAnsiTheme="minorHAnsi" w:cstheme="minorBidi"/>
          <w:szCs w:val="22"/>
          <w:lang w:val="fr-FR" w:eastAsia="en-US"/>
        </w:rPr>
        <w:t>ertaines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préoccupations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ont été exprimées</w:t>
      </w:r>
      <w:r w:rsidR="00584E82" w:rsidRPr="00A22C48">
        <w:rPr>
          <w:rFonts w:asciiTheme="minorHAnsi" w:eastAsiaTheme="minorHAnsi" w:hAnsiTheme="minorHAnsi" w:cstheme="minorBidi"/>
          <w:szCs w:val="22"/>
          <w:lang w:val="fr-FR" w:eastAsia="en-US"/>
        </w:rPr>
        <w:t>,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selon lesquelles la proposition des États</w:t>
      </w:r>
      <w:r w:rsidR="00D84F21">
        <w:rPr>
          <w:rFonts w:asciiTheme="minorHAnsi" w:eastAsiaTheme="minorHAnsi" w:hAnsiTheme="minorHAnsi" w:cstheme="minorBidi"/>
          <w:szCs w:val="22"/>
          <w:lang w:val="fr-FR" w:eastAsia="en-US"/>
        </w:rPr>
        <w:noBreakHyphen/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Unis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Amérique tendant à ce que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Union de Lisbonne dispose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 budget équilibré reposant sur une ou plusieurs sources de financement définies dans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Arrangement de Lisbonne concernant la protection des appellations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origine et leur enregistrement international (Arrangement de Lisbonne) </w:t>
      </w:r>
      <w:r w:rsidR="00584E82" w:rsidRPr="00A22C48">
        <w:rPr>
          <w:rFonts w:asciiTheme="minorHAnsi" w:eastAsiaTheme="minorHAnsi" w:hAnsiTheme="minorHAnsi" w:cstheme="minorBidi"/>
          <w:szCs w:val="22"/>
          <w:lang w:val="fr-FR" w:eastAsia="en-US"/>
        </w:rPr>
        <w:t>re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met en question le système de contribution unique et le budget unique.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Les États</w:t>
      </w:r>
      <w:r w:rsidR="00D84F21">
        <w:rPr>
          <w:rFonts w:asciiTheme="minorHAnsi" w:eastAsiaTheme="minorHAnsi" w:hAnsiTheme="minorHAnsi" w:cstheme="minorBidi"/>
          <w:szCs w:val="22"/>
          <w:lang w:val="fr-FR" w:eastAsia="en-US"/>
        </w:rPr>
        <w:noBreakHyphen/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Unis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Amérique souscrivent pleinement aux décisions 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antérieures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relatives au système de contribution unique et au budget unique.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Nous avons examiné attentivement les préoccupations exprimées et le présent document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information </w:t>
      </w:r>
      <w:r w:rsidR="00DA44D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est destiné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à </w:t>
      </w:r>
      <w:r w:rsidR="00DA44D3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y </w:t>
      </w:r>
      <w:r w:rsidR="0070084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répondre.</w:t>
      </w:r>
    </w:p>
    <w:p w:rsidR="005D266A" w:rsidRPr="00A22C48" w:rsidRDefault="0070084A" w:rsidP="007008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HAnsi"/>
          <w:b/>
          <w:szCs w:val="22"/>
          <w:lang w:val="fr-FR" w:eastAsia="en-US"/>
        </w:rPr>
        <w:t>Système de contribution unique</w:t>
      </w:r>
    </w:p>
    <w:p w:rsidR="00151CCE" w:rsidRPr="00A22C48" w:rsidRDefault="00151CCE" w:rsidP="00062D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Cs w:val="22"/>
          <w:lang w:val="fr-FR" w:eastAsia="en-US"/>
        </w:rPr>
      </w:pPr>
    </w:p>
    <w:p w:rsidR="00151CCE" w:rsidRPr="00A22C48" w:rsidRDefault="00DF6E9B" w:rsidP="000E7E33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Le système de contribution unique a 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été 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adopté en</w:t>
      </w:r>
      <w:r w:rsidR="00BB5A6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 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1993 par la Conférence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OMPI et les assemblées des unions de Paris et de Berne pour financer les dépenses générales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OMPI et des six unions financées par des contributions (Paris, Berne, IPC, Nice, Locarno et Vienne)</w:t>
      </w:r>
      <w:r w:rsidRPr="00A22C48">
        <w:rPr>
          <w:rStyle w:val="FootnoteReference"/>
          <w:rFonts w:asciiTheme="minorHAnsi" w:eastAsiaTheme="minorHAnsi" w:hAnsiTheme="minorHAnsi" w:cstheme="minorBidi"/>
          <w:szCs w:val="22"/>
          <w:lang w:val="fr-FR" w:eastAsia="en-US"/>
        </w:rPr>
        <w:footnoteReference w:id="2"/>
      </w:r>
      <w:r w:rsidR="00BB5A6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Le système de contribution unique était destiné à encourager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adhésion de nouveaux 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É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tats parties à la Convention instituant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OMPI et aux traités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OMPI, et à faire en sorte que la contribution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 membre reste la même, quel que soit le nombre de traités auxquels il adhère.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Union de 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La Haye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,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Union de Lisbonne,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Union de Madrid et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Union du PCT n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étaient pas couvertes par le système de contribution unique car ces systèmes devaient être financés par le paiement de taxes. </w:t>
      </w:r>
      <w:r w:rsidR="00062D9D" w:rsidRPr="00A22C48">
        <w:rPr>
          <w:rFonts w:asciiTheme="minorHAnsi" w:hAnsiTheme="minorHAnsi"/>
          <w:lang w:val="fr-FR"/>
        </w:rPr>
        <w:t xml:space="preserve"> 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En</w:t>
      </w:r>
      <w:r w:rsidR="00BB5A6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 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>2003, les assemblées des États membres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OMPI ont adopté 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l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es modifications 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qu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il était proposé d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apporter à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divers traités afin de mettre en œuvre le système de contribution unique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;  ces modifications ne</w:t>
      </w:r>
      <w:r w:rsidR="004938C7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sont pas encore entrées en vigueur.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4938C7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Arrangement de Lisbonne n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4938C7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était pas considéré comme 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visant </w:t>
      </w:r>
      <w:r w:rsidR="004938C7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une union financée par des contributions lorsque le système de contribution unique a été créé;  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Union de Lisbonne</w:t>
      </w:r>
      <w:r w:rsidR="004938C7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était considérée comme une union financée par le paiement de taxes</w:t>
      </w:r>
      <w:r w:rsidR="004938C7" w:rsidRPr="00A22C48">
        <w:rPr>
          <w:rStyle w:val="FootnoteReference"/>
          <w:rFonts w:asciiTheme="minorHAnsi" w:eastAsiaTheme="minorHAnsi" w:hAnsiTheme="minorHAnsi" w:cstheme="minorBidi"/>
          <w:szCs w:val="22"/>
          <w:lang w:val="fr-FR" w:eastAsia="en-US"/>
        </w:rPr>
        <w:footnoteReference w:id="3"/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Par ailleurs, en</w:t>
      </w:r>
      <w:r w:rsidR="00BB5A6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 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200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3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, lorsque de nouvelles modifications ont été proposées afin de mettre en œuvre le système de contribution unique,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Assemblée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857F59">
        <w:rPr>
          <w:rFonts w:asciiTheme="minorHAnsi" w:eastAsiaTheme="minorHAnsi" w:hAnsiTheme="minorHAnsi" w:cstheme="minorBidi"/>
          <w:szCs w:val="22"/>
          <w:lang w:val="fr-FR" w:eastAsia="en-US"/>
        </w:rPr>
        <w:t>Union de Lisbonne a adopté l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es modifications </w:t>
      </w:r>
      <w:r w:rsidR="00AF2C66" w:rsidRPr="00A22C48">
        <w:rPr>
          <w:rFonts w:asciiTheme="minorHAnsi" w:eastAsiaTheme="minorHAnsi" w:hAnsiTheme="minorHAnsi" w:cstheme="minorBidi"/>
          <w:szCs w:val="22"/>
          <w:lang w:val="fr-FR" w:eastAsia="en-US"/>
        </w:rPr>
        <w:t>relatives au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budget unique (voir ci</w:t>
      </w:r>
      <w:r w:rsidR="00D84F21">
        <w:rPr>
          <w:rFonts w:asciiTheme="minorHAnsi" w:eastAsiaTheme="minorHAnsi" w:hAnsiTheme="minorHAnsi" w:cstheme="minorBidi"/>
          <w:szCs w:val="22"/>
          <w:lang w:val="fr-FR" w:eastAsia="en-US"/>
        </w:rPr>
        <w:noBreakHyphen/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après), mais n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a pas adopté </w:t>
      </w:r>
      <w:r w:rsidR="00857F59">
        <w:rPr>
          <w:rFonts w:asciiTheme="minorHAnsi" w:eastAsiaTheme="minorHAnsi" w:hAnsiTheme="minorHAnsi" w:cstheme="minorBidi"/>
          <w:szCs w:val="22"/>
          <w:lang w:val="fr-FR" w:eastAsia="en-US"/>
        </w:rPr>
        <w:t>les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 xml:space="preserve"> modifications visant à faire de l</w:t>
      </w:r>
      <w:r w:rsidR="005D266A" w:rsidRPr="00A22C48">
        <w:rPr>
          <w:rFonts w:asciiTheme="minorHAnsi" w:eastAsiaTheme="minorHAnsi" w:hAnsiTheme="minorHAnsi" w:cstheme="minorBidi"/>
          <w:szCs w:val="22"/>
          <w:lang w:val="fr-FR" w:eastAsia="en-US"/>
        </w:rPr>
        <w:t>’</w:t>
      </w:r>
      <w:r w:rsidR="000E7E33" w:rsidRPr="00A22C48">
        <w:rPr>
          <w:rFonts w:asciiTheme="minorHAnsi" w:eastAsiaTheme="minorHAnsi" w:hAnsiTheme="minorHAnsi" w:cstheme="minorBidi"/>
          <w:szCs w:val="22"/>
          <w:lang w:val="fr-FR" w:eastAsia="en-US"/>
        </w:rPr>
        <w:t>Union de Lisbonne une union financée par des contributions.</w:t>
      </w:r>
    </w:p>
    <w:p w:rsidR="00151CCE" w:rsidRPr="00A22C48" w:rsidRDefault="00151CCE" w:rsidP="00062D9D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Cs w:val="22"/>
          <w:lang w:val="fr-FR" w:eastAsia="en-US"/>
        </w:rPr>
      </w:pPr>
    </w:p>
    <w:p w:rsidR="00D84F21" w:rsidRDefault="00D84F21">
      <w:pPr>
        <w:rPr>
          <w:rFonts w:asciiTheme="minorHAnsi" w:eastAsiaTheme="minorHAnsi" w:hAnsiTheme="minorHAnsi" w:cstheme="minorHAnsi"/>
          <w:b/>
          <w:szCs w:val="22"/>
          <w:lang w:val="fr-FR" w:eastAsia="en-US"/>
        </w:rPr>
        <w:sectPr w:rsidR="00D84F21" w:rsidSect="00A22C48">
          <w:footerReference w:type="default" r:id="rId17"/>
          <w:headerReference w:type="first" r:id="rId18"/>
          <w:pgSz w:w="11907" w:h="16839" w:code="9"/>
          <w:pgMar w:top="567" w:right="1134" w:bottom="1418" w:left="1418" w:header="720" w:footer="720" w:gutter="0"/>
          <w:cols w:space="720"/>
          <w:titlePg/>
          <w:docGrid w:linePitch="360"/>
        </w:sectPr>
      </w:pPr>
    </w:p>
    <w:p w:rsidR="005D266A" w:rsidRPr="00A22C48" w:rsidRDefault="000E7E33" w:rsidP="000E7E3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HAnsi"/>
          <w:b/>
          <w:szCs w:val="22"/>
          <w:lang w:val="fr-FR" w:eastAsia="en-US"/>
        </w:rPr>
        <w:lastRenderedPageBreak/>
        <w:t>Budget unique</w:t>
      </w:r>
    </w:p>
    <w:p w:rsidR="00151CCE" w:rsidRPr="00A22C48" w:rsidRDefault="00151CCE" w:rsidP="00062D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Cs w:val="22"/>
          <w:lang w:val="fr-FR" w:eastAsia="en-US"/>
        </w:rPr>
      </w:pPr>
    </w:p>
    <w:p w:rsidR="00151CCE" w:rsidRPr="00A22C48" w:rsidRDefault="002A124D" w:rsidP="00486F84">
      <w:pPr>
        <w:spacing w:after="120" w:line="260" w:lineRule="atLeast"/>
        <w:contextualSpacing/>
        <w:rPr>
          <w:rFonts w:asciiTheme="minorHAnsi" w:eastAsiaTheme="minorHAnsi" w:hAnsiTheme="minorHAnsi" w:cstheme="minorBidi"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Le budget unique</w:t>
      </w:r>
      <w:r w:rsidRPr="00A22C48">
        <w:rPr>
          <w:rStyle w:val="FootnoteReference"/>
          <w:rFonts w:asciiTheme="minorHAnsi" w:eastAsiaTheme="minorHAnsi" w:hAnsiTheme="minorHAnsi" w:cstheme="minorHAnsi"/>
          <w:szCs w:val="22"/>
          <w:lang w:val="fr-FR" w:eastAsia="en-US"/>
        </w:rPr>
        <w:footnoteReference w:id="4"/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renvoie à un livre de comptes unique des recettes et des dépenses, établi par le Bureau international et rendant compte des budgets de toutes les unions, qu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elles soient financées par des contributions ou par 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le paiement 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de taxes</w:t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, 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ainsi que</w:t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de celui de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Organisation dans son ensemble.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Il y a encore des budgets distincts pour les unions financées par le paiement de taxes (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La Haye</w:t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, Lisbonne, Madrid et PCT)</w:t>
      </w:r>
      <w:r w:rsidR="00486F84" w:rsidRPr="00A22C48">
        <w:rPr>
          <w:rStyle w:val="FootnoteReference"/>
          <w:rFonts w:asciiTheme="minorHAnsi" w:eastAsiaTheme="minorHAnsi" w:hAnsiTheme="minorHAnsi" w:cstheme="minorHAnsi"/>
          <w:szCs w:val="22"/>
          <w:lang w:val="fr-FR" w:eastAsia="en-US"/>
        </w:rPr>
        <w:footnoteReference w:id="5"/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, ainsi que 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le prévoient</w:t>
      </w:r>
      <w:r w:rsidR="00486F84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les traités correspondants.</w:t>
      </w:r>
    </w:p>
    <w:p w:rsidR="00151CCE" w:rsidRPr="00A22C48" w:rsidRDefault="00151CCE" w:rsidP="00062D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Cs w:val="22"/>
          <w:lang w:val="fr-FR" w:eastAsia="en-US"/>
        </w:rPr>
      </w:pPr>
    </w:p>
    <w:p w:rsidR="00151CCE" w:rsidRPr="00A22C48" w:rsidRDefault="00217A2A" w:rsidP="009B2D2D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En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 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2003, les assemblées de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OMPI sont convenues de réviser</w:t>
      </w:r>
      <w:r w:rsidRPr="00A22C48">
        <w:rPr>
          <w:rStyle w:val="FootnoteReference"/>
          <w:rFonts w:asciiTheme="minorHAnsi" w:eastAsiaTheme="minorHAnsi" w:hAnsiTheme="minorHAnsi" w:cstheme="minorHAnsi"/>
          <w:szCs w:val="22"/>
          <w:lang w:val="fr-FR" w:eastAsia="en-US"/>
        </w:rPr>
        <w:footnoteReference w:id="6"/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la Convention instituant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OMPI et tous les traités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de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AF2C66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OMPI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afin de supprimer une disposition qui renvoyait à 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“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un budget distinct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”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pour 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“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les dépenses communes aux Unions et le budget de la Conférence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”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et de la remplacer par le texte 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“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Les recettes et les dépenses des Unions sont présentées dans le budget de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Organisation de façon objective et transparente</w:t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.”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Ceci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était 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destiné à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mettre en œuvre le système de contribution unique pour les unions financées par des contributions 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et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, en conséquence,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a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effet pratique de créer un budget unique pour les unions financées par des contributions</w:t>
      </w:r>
      <w:r w:rsidRPr="00A22C48">
        <w:rPr>
          <w:rStyle w:val="FootnoteReference"/>
          <w:rFonts w:asciiTheme="minorHAnsi" w:eastAsiaTheme="minorHAnsi" w:hAnsiTheme="minorHAnsi" w:cstheme="minorHAnsi"/>
          <w:szCs w:val="22"/>
          <w:lang w:val="fr-FR" w:eastAsia="en-US"/>
        </w:rPr>
        <w:footnoteReference w:id="7"/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="008961B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Ces modificati</w:t>
      </w:r>
      <w:r w:rsidR="009B2D2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ons n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9B2D2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ont cependant pas créé de concept de budget unique pour toutes les unions et tous les arrangements;  elles ont uniquement permis d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9B2D2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établir un document de budget unique pour toutes les unions, comprenant les budgets des unions financées par des contributions et les budgets des unions financées par d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9B2D2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autres sources</w:t>
      </w:r>
      <w:r w:rsidR="009B2D2D" w:rsidRPr="00A22C48">
        <w:rPr>
          <w:rStyle w:val="FootnoteReference"/>
          <w:rFonts w:asciiTheme="minorHAnsi" w:eastAsiaTheme="minorHAnsi" w:hAnsiTheme="minorHAnsi" w:cstheme="minorHAnsi"/>
          <w:szCs w:val="22"/>
          <w:lang w:val="fr-FR" w:eastAsia="en-US"/>
        </w:rPr>
        <w:footnoteReference w:id="8"/>
      </w:r>
      <w:r w:rsidR="00BB5A63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.</w:t>
      </w:r>
    </w:p>
    <w:p w:rsidR="00151CCE" w:rsidRPr="00A22C48" w:rsidRDefault="00151CCE" w:rsidP="00062D9D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Cs w:val="22"/>
          <w:lang w:val="fr-FR" w:eastAsia="en-US"/>
        </w:rPr>
      </w:pPr>
    </w:p>
    <w:p w:rsidR="00151CCE" w:rsidRPr="00A22C48" w:rsidRDefault="00011671" w:rsidP="00011671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Cs w:val="22"/>
          <w:lang w:val="fr-FR" w:eastAsia="en-US"/>
        </w:rPr>
      </w:pP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Les 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finance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s 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de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9C11F1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Union de Lisbonne sont régie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s par </w:t>
      </w:r>
      <w:r w:rsidR="00B1189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="00B1189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a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rrangement à proprement parler.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article 11 prévoit des taxes et, si nécessaire, les contributions des membres de l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’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>Union de Lisbonne pour financer ses opérations.</w:t>
      </w:r>
      <w:r w:rsidR="00062D9D" w:rsidRPr="00A22C48">
        <w:rPr>
          <w:rFonts w:asciiTheme="minorHAnsi" w:hAnsiTheme="minorHAnsi"/>
          <w:lang w:val="fr-FR"/>
        </w:rPr>
        <w:t xml:space="preserve">  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Les unions du PCT, de Madrid et de </w:t>
      </w:r>
      <w:r w:rsidR="005D266A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La Haye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sont dotées de dispositions similaires </w:t>
      </w:r>
      <w:r w:rsidR="00B1189D" w:rsidRPr="00A22C48">
        <w:rPr>
          <w:rFonts w:asciiTheme="minorHAnsi" w:eastAsiaTheme="minorHAnsi" w:hAnsiTheme="minorHAnsi" w:cstheme="minorHAnsi"/>
          <w:szCs w:val="22"/>
          <w:lang w:val="fr-FR" w:eastAsia="en-US"/>
        </w:rPr>
        <w:t>en matière de</w:t>
      </w:r>
      <w:r w:rsidRPr="00A22C48">
        <w:rPr>
          <w:rFonts w:asciiTheme="minorHAnsi" w:eastAsiaTheme="minorHAnsi" w:hAnsiTheme="minorHAnsi" w:cstheme="minorHAnsi"/>
          <w:szCs w:val="22"/>
          <w:lang w:val="fr-FR" w:eastAsia="en-US"/>
        </w:rPr>
        <w:t xml:space="preserve"> financement.</w:t>
      </w:r>
    </w:p>
    <w:p w:rsidR="00151CCE" w:rsidRPr="00A22C48" w:rsidRDefault="00151CCE">
      <w:pPr>
        <w:rPr>
          <w:lang w:val="fr-FR"/>
        </w:rPr>
      </w:pPr>
    </w:p>
    <w:p w:rsidR="00151CCE" w:rsidRPr="00A22C48" w:rsidRDefault="00151CCE">
      <w:pPr>
        <w:rPr>
          <w:lang w:val="fr-FR"/>
        </w:rPr>
      </w:pPr>
    </w:p>
    <w:p w:rsidR="00151CCE" w:rsidRPr="00A22C48" w:rsidRDefault="00151CCE">
      <w:pPr>
        <w:rPr>
          <w:lang w:val="fr-FR"/>
        </w:rPr>
      </w:pPr>
    </w:p>
    <w:p w:rsidR="00584E82" w:rsidRPr="00A22C48" w:rsidRDefault="00011671" w:rsidP="00011671">
      <w:pPr>
        <w:ind w:left="5533"/>
        <w:rPr>
          <w:lang w:val="fr-FR"/>
        </w:rPr>
      </w:pPr>
      <w:r w:rsidRPr="00A22C48">
        <w:rPr>
          <w:lang w:val="fr-FR"/>
        </w:rPr>
        <w:t>[Fin de l</w:t>
      </w:r>
      <w:r w:rsidR="005D266A" w:rsidRPr="00A22C48">
        <w:rPr>
          <w:lang w:val="fr-FR"/>
        </w:rPr>
        <w:t>’</w:t>
      </w:r>
      <w:r w:rsidRPr="00A22C48">
        <w:rPr>
          <w:lang w:val="fr-FR"/>
        </w:rPr>
        <w:t>annexe et du document]</w:t>
      </w:r>
    </w:p>
    <w:p w:rsidR="00584E82" w:rsidRPr="00A22C48" w:rsidRDefault="00584E82">
      <w:pPr>
        <w:rPr>
          <w:lang w:val="fr-FR"/>
        </w:rPr>
      </w:pPr>
    </w:p>
    <w:sectPr w:rsidR="00584E82" w:rsidRPr="00A22C48" w:rsidSect="00A22C48">
      <w:footerReference w:type="first" r:id="rId19"/>
      <w:pgSz w:w="11907" w:h="16839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6E" w:rsidRDefault="001C2B6E">
      <w:r>
        <w:separator/>
      </w:r>
    </w:p>
  </w:endnote>
  <w:endnote w:type="continuationSeparator" w:id="0">
    <w:p w:rsidR="001C2B6E" w:rsidRDefault="001C2B6E" w:rsidP="003B38C1">
      <w:r>
        <w:separator/>
      </w:r>
    </w:p>
    <w:p w:rsidR="001C2B6E" w:rsidRPr="003B38C1" w:rsidRDefault="001C2B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2B6E" w:rsidRPr="003B38C1" w:rsidRDefault="001C2B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D" w:rsidRDefault="00B82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74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D67" w:rsidRDefault="00882B35" w:rsidP="00412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D" w:rsidRPr="004122DA" w:rsidRDefault="00B8291B" w:rsidP="00D84F21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860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2DA" w:rsidRDefault="004122DA" w:rsidP="00412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21" w:rsidRPr="004122DA" w:rsidRDefault="00D84F21" w:rsidP="00D84F21">
    <w:pPr>
      <w:pStyle w:val="Footer"/>
      <w:jc w:val="center"/>
    </w:pPr>
    <w:r>
      <w:fldChar w:fldCharType="begin"/>
    </w:r>
    <w:r>
      <w:instrText>=</w:instrText>
    </w:r>
    <w:r>
      <w:fldChar w:fldCharType="begin"/>
    </w:r>
    <w:r>
      <w:instrText xml:space="preserve"> PAGE </w:instrText>
    </w:r>
    <w:r>
      <w:fldChar w:fldCharType="separate"/>
    </w:r>
    <w:r w:rsidR="00B8291B">
      <w:rPr>
        <w:noProof/>
      </w:rPr>
      <w:instrText>3</w:instrText>
    </w:r>
    <w:r>
      <w:fldChar w:fldCharType="end"/>
    </w:r>
    <w:r>
      <w:instrText>-1</w:instrText>
    </w:r>
    <w:r>
      <w:fldChar w:fldCharType="separate"/>
    </w:r>
    <w:r w:rsidR="00B829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6E" w:rsidRDefault="001C2B6E">
      <w:r>
        <w:separator/>
      </w:r>
    </w:p>
  </w:footnote>
  <w:footnote w:type="continuationSeparator" w:id="0">
    <w:p w:rsidR="001C2B6E" w:rsidRDefault="001C2B6E" w:rsidP="008B60B2">
      <w:r>
        <w:separator/>
      </w:r>
    </w:p>
    <w:p w:rsidR="001C2B6E" w:rsidRPr="00ED77FB" w:rsidRDefault="001C2B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2B6E" w:rsidRPr="00ED77FB" w:rsidRDefault="001C2B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6E9B" w:rsidRPr="00D84F21" w:rsidRDefault="00DF6E9B" w:rsidP="000E7E33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0E7E33" w:rsidRPr="00D84F21">
        <w:rPr>
          <w:lang w:val="fr-CH"/>
        </w:rPr>
        <w:t xml:space="preserve">Voir </w:t>
      </w:r>
      <w:r w:rsidR="00AF2C66" w:rsidRPr="00D84F21">
        <w:rPr>
          <w:lang w:val="fr-CH"/>
        </w:rPr>
        <w:t xml:space="preserve">le </w:t>
      </w:r>
      <w:r w:rsidR="000E7E33" w:rsidRPr="00D84F21">
        <w:rPr>
          <w:lang w:val="fr-CH"/>
        </w:rPr>
        <w:t>document intitulé “Système de contribution unique pour les six</w:t>
      </w:r>
      <w:r w:rsidR="00BB6147" w:rsidRPr="00D84F21">
        <w:rPr>
          <w:lang w:val="fr-CH"/>
        </w:rPr>
        <w:t> </w:t>
      </w:r>
      <w:r w:rsidR="000E7E33" w:rsidRPr="00D84F21">
        <w:rPr>
          <w:lang w:val="fr-CH"/>
        </w:rPr>
        <w:t>unions financées par des contributions et alignement des contributions des États qui ne sont membres d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aucune union”, AB/XXIV/5 (3</w:t>
      </w:r>
      <w:r w:rsidR="00FA27CC" w:rsidRPr="00D84F21">
        <w:rPr>
          <w:lang w:val="fr-CH"/>
        </w:rPr>
        <w:t>1 mai 19</w:t>
      </w:r>
      <w:r w:rsidR="000E7E33" w:rsidRPr="00D84F21">
        <w:rPr>
          <w:lang w:val="fr-CH"/>
        </w:rPr>
        <w:t>93), à l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 xml:space="preserve">adresse </w:t>
      </w:r>
      <w:hyperlink r:id="rId1" w:history="1">
        <w:r w:rsidR="000E7E33" w:rsidRPr="00D84F21">
          <w:rPr>
            <w:rStyle w:val="Hyperlink"/>
            <w:lang w:val="fr-CH"/>
          </w:rPr>
          <w:t>http://www.wipo.int/mdocsarchives/AB_XXIV_1993/AB_XXIV_5_F.pdf</w:t>
        </w:r>
      </w:hyperlink>
      <w:r w:rsidR="000E7E33" w:rsidRPr="00D84F21">
        <w:rPr>
          <w:lang w:val="fr-CH"/>
        </w:rPr>
        <w:t xml:space="preserve"> et le paragraphe</w:t>
      </w:r>
      <w:r w:rsidR="00BB6147" w:rsidRPr="00D84F21">
        <w:rPr>
          <w:lang w:val="fr-CH"/>
        </w:rPr>
        <w:t> </w:t>
      </w:r>
      <w:r w:rsidR="000E7E33" w:rsidRPr="00D84F21">
        <w:rPr>
          <w:lang w:val="fr-CH"/>
        </w:rPr>
        <w:t>19 du document A/34/9, par exemple.</w:t>
      </w:r>
    </w:p>
  </w:footnote>
  <w:footnote w:id="3">
    <w:p w:rsidR="004938C7" w:rsidRPr="00D84F21" w:rsidRDefault="004938C7" w:rsidP="000E7E33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0E7E33" w:rsidRPr="00D84F21">
        <w:rPr>
          <w:lang w:val="fr-CH"/>
        </w:rPr>
        <w:t xml:space="preserve">Voir, par exemple, le </w:t>
      </w:r>
      <w:r w:rsidR="00BB6147" w:rsidRPr="00D84F21">
        <w:rPr>
          <w:lang w:val="fr-CH"/>
        </w:rPr>
        <w:t>“</w:t>
      </w:r>
      <w:r w:rsidR="000E7E33" w:rsidRPr="00D84F21">
        <w:rPr>
          <w:lang w:val="fr-CH"/>
        </w:rPr>
        <w:t>Texte final des modificat</w:t>
      </w:r>
      <w:r w:rsidR="002A124D" w:rsidRPr="00D84F21">
        <w:rPr>
          <w:lang w:val="fr-CH"/>
        </w:rPr>
        <w:t>i</w:t>
      </w:r>
      <w:r w:rsidR="000E7E33" w:rsidRPr="00D84F21">
        <w:rPr>
          <w:lang w:val="fr-CH"/>
        </w:rPr>
        <w:t>ons qu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il est proposé d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apporter à la Convention de Paris</w:t>
      </w:r>
      <w:r w:rsidR="00BB6147" w:rsidRPr="00D84F21">
        <w:rPr>
          <w:lang w:val="fr-CH"/>
        </w:rPr>
        <w:t>”</w:t>
      </w:r>
      <w:r w:rsidR="000E7E33" w:rsidRPr="00D84F21">
        <w:rPr>
          <w:lang w:val="fr-CH"/>
        </w:rPr>
        <w:t xml:space="preserve"> et </w:t>
      </w:r>
      <w:r w:rsidR="00BB6147" w:rsidRPr="00D84F21">
        <w:rPr>
          <w:lang w:val="fr-CH"/>
        </w:rPr>
        <w:t>“</w:t>
      </w:r>
      <w:r w:rsidR="000E7E33" w:rsidRPr="00D84F21">
        <w:rPr>
          <w:lang w:val="fr-CH"/>
        </w:rPr>
        <w:t>L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Union de Lisbonne n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étant pas une union financée par des contributions, aucune modification n</w:t>
      </w:r>
      <w:r w:rsidR="00FA27CC" w:rsidRPr="00D84F21">
        <w:rPr>
          <w:lang w:val="fr-CH"/>
        </w:rPr>
        <w:t>’</w:t>
      </w:r>
      <w:r w:rsidR="000E7E33" w:rsidRPr="00D84F21">
        <w:rPr>
          <w:lang w:val="fr-CH"/>
        </w:rPr>
        <w:t>est nécessaire en ce qui concerne le système de contribution unique</w:t>
      </w:r>
      <w:r w:rsidR="00BB6147" w:rsidRPr="00D84F21">
        <w:rPr>
          <w:lang w:val="fr-CH"/>
        </w:rPr>
        <w:t>”.</w:t>
      </w:r>
    </w:p>
  </w:footnote>
  <w:footnote w:id="4">
    <w:p w:rsidR="002A124D" w:rsidRPr="00D84F21" w:rsidRDefault="002A124D" w:rsidP="002A124D">
      <w:pPr>
        <w:pStyle w:val="FootnoteText"/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Pr="00D84F21">
        <w:rPr>
          <w:lang w:val="fr-CH"/>
        </w:rPr>
        <w:t>En</w:t>
      </w:r>
      <w:r w:rsidR="00BB6147" w:rsidRPr="00D84F21">
        <w:rPr>
          <w:lang w:val="fr-CH"/>
        </w:rPr>
        <w:t> </w:t>
      </w:r>
      <w:r w:rsidRPr="00D84F21">
        <w:rPr>
          <w:lang w:val="fr-CH"/>
        </w:rPr>
        <w:t>2003, lorsque la pratique du système de contribution unique a été adoptée</w:t>
      </w:r>
      <w:r w:rsidR="00AF2C66" w:rsidRPr="00D84F21">
        <w:rPr>
          <w:lang w:val="fr-CH"/>
        </w:rPr>
        <w:t>, le Secrétariat a expliqué qu</w:t>
      </w:r>
      <w:r w:rsidR="00FA27CC" w:rsidRPr="00D84F21">
        <w:rPr>
          <w:lang w:val="fr-CH"/>
        </w:rPr>
        <w:t>’“</w:t>
      </w:r>
      <w:r w:rsidR="00AF2C66" w:rsidRPr="00D84F21">
        <w:rPr>
          <w:lang w:val="fr-CH"/>
        </w:rPr>
        <w:t>u</w:t>
      </w:r>
      <w:r w:rsidRPr="00D84F21">
        <w:rPr>
          <w:lang w:val="fr-CH"/>
        </w:rPr>
        <w:t>ne nouvelle disposition de base est proposée à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article</w:t>
      </w:r>
      <w:r w:rsidR="00BB6147" w:rsidRPr="00D84F21">
        <w:rPr>
          <w:lang w:val="fr-CH"/>
        </w:rPr>
        <w:t> </w:t>
      </w:r>
      <w:r w:rsidRPr="00D84F21">
        <w:rPr>
          <w:lang w:val="fr-CH"/>
        </w:rPr>
        <w:t>11.1) pour le budget, compte tenu de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 xml:space="preserve">adoption du système de contribution unique. </w:t>
      </w:r>
      <w:r w:rsidR="00486F84" w:rsidRPr="00D84F21">
        <w:rPr>
          <w:lang w:val="fr-CH"/>
        </w:rPr>
        <w:t xml:space="preserve"> </w:t>
      </w:r>
      <w:r w:rsidRPr="00D84F21">
        <w:rPr>
          <w:lang w:val="fr-CH"/>
        </w:rPr>
        <w:t>Cette nouvelle disposition vise à répondre au vœu exprimé par de nombreuses délégations au sein du Groupe de travail sur la réforme statutaire qui ont estimé que, bien que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Organisation ait un système de contribution unique, elle ne doit pas avoir un budget unique dans lequel toutes les recettes et les dépenses seraient confondues quel qu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en soit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objet ou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origine.</w:t>
      </w:r>
      <w:r w:rsidR="00B1189D" w:rsidRPr="00D84F21">
        <w:rPr>
          <w:lang w:val="fr-CH"/>
        </w:rPr>
        <w:t xml:space="preserve"> </w:t>
      </w:r>
      <w:r w:rsidRPr="00D84F21">
        <w:rPr>
          <w:lang w:val="fr-CH"/>
        </w:rPr>
        <w:t xml:space="preserve"> </w:t>
      </w:r>
      <w:r w:rsidR="00486F84" w:rsidRPr="00D84F21">
        <w:rPr>
          <w:lang w:val="fr-CH"/>
        </w:rPr>
        <w:t>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article 11.1) exigerait, par conséquent, que le budget de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>Organisation soit présenté de telle sorte que les recettes et les dépenses de l</w:t>
      </w:r>
      <w:r w:rsidR="00FA27CC" w:rsidRPr="00D84F21">
        <w:rPr>
          <w:lang w:val="fr-CH"/>
        </w:rPr>
        <w:t>’</w:t>
      </w:r>
      <w:r w:rsidRPr="00D84F21">
        <w:rPr>
          <w:lang w:val="fr-CH"/>
        </w:rPr>
        <w:t xml:space="preserve">Organisation et des diverses unions soient indiquées </w:t>
      </w:r>
      <w:r w:rsidR="00E2016B">
        <w:rPr>
          <w:lang w:val="fr-CH"/>
        </w:rPr>
        <w:t>‘</w:t>
      </w:r>
      <w:r w:rsidRPr="00D84F21">
        <w:rPr>
          <w:lang w:val="fr-CH"/>
        </w:rPr>
        <w:t>de façon objective et transparente</w:t>
      </w:r>
      <w:r w:rsidR="00E2016B">
        <w:rPr>
          <w:lang w:val="fr-CH"/>
        </w:rPr>
        <w:t>’</w:t>
      </w:r>
      <w:r w:rsidRPr="00D84F21">
        <w:rPr>
          <w:lang w:val="fr-CH"/>
        </w:rPr>
        <w:t>”.</w:t>
      </w:r>
      <w:r w:rsidR="00486F84" w:rsidRPr="00D84F21">
        <w:rPr>
          <w:lang w:val="fr-CH"/>
        </w:rPr>
        <w:t xml:space="preserve">  </w:t>
      </w:r>
      <w:proofErr w:type="spellStart"/>
      <w:r w:rsidRPr="00D84F21">
        <w:t>Voir</w:t>
      </w:r>
      <w:proofErr w:type="spellEnd"/>
      <w:r w:rsidRPr="00D84F21">
        <w:t xml:space="preserve"> la page</w:t>
      </w:r>
      <w:r w:rsidR="00BB6147" w:rsidRPr="00D84F21">
        <w:t> </w:t>
      </w:r>
      <w:r w:rsidRPr="00D84F21">
        <w:t>24 du document A/39/2.</w:t>
      </w:r>
    </w:p>
  </w:footnote>
  <w:footnote w:id="5">
    <w:p w:rsidR="00486F84" w:rsidRPr="00D84F21" w:rsidRDefault="00486F84" w:rsidP="00217A2A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584E82" w:rsidRPr="00D84F21">
        <w:rPr>
          <w:lang w:val="fr-CH"/>
        </w:rPr>
        <w:t xml:space="preserve">Voir le document intitulé </w:t>
      </w:r>
      <w:r w:rsidR="00BB6147" w:rsidRPr="00D84F21">
        <w:rPr>
          <w:lang w:val="fr-CH"/>
        </w:rPr>
        <w:t>“</w:t>
      </w:r>
      <w:r w:rsidR="00584E82" w:rsidRPr="00D84F21">
        <w:rPr>
          <w:lang w:val="fr-CH"/>
        </w:rPr>
        <w:t>Ré</w:t>
      </w:r>
      <w:r w:rsidR="00217A2A" w:rsidRPr="00D84F21">
        <w:rPr>
          <w:lang w:val="fr-CH"/>
        </w:rPr>
        <w:t>forme statutaire</w:t>
      </w:r>
      <w:r w:rsidR="00BB6147" w:rsidRPr="00D84F21">
        <w:rPr>
          <w:lang w:val="fr-CH"/>
        </w:rPr>
        <w:t>”</w:t>
      </w:r>
      <w:r w:rsidR="00217A2A" w:rsidRPr="00D84F21">
        <w:rPr>
          <w:lang w:val="fr-CH"/>
        </w:rPr>
        <w:t xml:space="preserve"> (document A/34/9 du 2</w:t>
      </w:r>
      <w:r w:rsidR="00FA27CC" w:rsidRPr="00D84F21">
        <w:rPr>
          <w:lang w:val="fr-CH"/>
        </w:rPr>
        <w:t>8 mai 19</w:t>
      </w:r>
      <w:r w:rsidR="00217A2A" w:rsidRPr="00D84F21">
        <w:rPr>
          <w:lang w:val="fr-CH"/>
        </w:rPr>
        <w:t>99), dont le paragraphe</w:t>
      </w:r>
      <w:r w:rsidR="00BB6147" w:rsidRPr="00D84F21">
        <w:rPr>
          <w:lang w:val="fr-CH"/>
        </w:rPr>
        <w:t> </w:t>
      </w:r>
      <w:r w:rsidR="00217A2A" w:rsidRPr="00D84F21">
        <w:rPr>
          <w:lang w:val="fr-CH"/>
        </w:rPr>
        <w:t>58.iii) prévoit ce qui suit</w:t>
      </w:r>
      <w:r w:rsidR="00BB6147" w:rsidRPr="00D84F21">
        <w:rPr>
          <w:lang w:val="fr-CH"/>
        </w:rPr>
        <w:t> :</w:t>
      </w:r>
      <w:r w:rsidR="00217A2A" w:rsidRPr="00D84F21">
        <w:rPr>
          <w:lang w:val="fr-CH"/>
        </w:rPr>
        <w:t xml:space="preserve"> </w:t>
      </w:r>
      <w:r w:rsidR="00BB6147" w:rsidRPr="00D84F21">
        <w:rPr>
          <w:lang w:val="fr-CH"/>
        </w:rPr>
        <w:t>“</w:t>
      </w:r>
      <w:r w:rsidR="00217A2A" w:rsidRPr="00D84F21">
        <w:rPr>
          <w:lang w:val="fr-CH"/>
        </w:rPr>
        <w:t>Alors qu</w:t>
      </w:r>
      <w:r w:rsidR="00FA27CC" w:rsidRPr="00D84F21">
        <w:rPr>
          <w:lang w:val="fr-CH"/>
        </w:rPr>
        <w:t>’</w:t>
      </w:r>
      <w:r w:rsidR="00217A2A" w:rsidRPr="00D84F21">
        <w:rPr>
          <w:lang w:val="fr-CH"/>
        </w:rPr>
        <w:t>un système de contribution unique et, en conséquence, un budget unique ont été établis dans la pratique pour les unions financées par des contributions, il y a encore des budgets distincts pour les unions</w:t>
      </w:r>
      <w:r w:rsidR="00FA27CC" w:rsidRPr="00D84F21">
        <w:rPr>
          <w:lang w:val="fr-CH"/>
        </w:rPr>
        <w:t xml:space="preserve"> du PCT</w:t>
      </w:r>
      <w:r w:rsidR="00217A2A" w:rsidRPr="00D84F21">
        <w:rPr>
          <w:lang w:val="fr-CH"/>
        </w:rPr>
        <w:t xml:space="preserve">, de Madrid et de </w:t>
      </w:r>
      <w:r w:rsidR="00FA27CC" w:rsidRPr="00D84F21">
        <w:rPr>
          <w:lang w:val="fr-CH"/>
        </w:rPr>
        <w:t>La Haye</w:t>
      </w:r>
      <w:r w:rsidR="00217A2A" w:rsidRPr="00D84F21">
        <w:rPr>
          <w:lang w:val="fr-CH"/>
        </w:rPr>
        <w:t>.</w:t>
      </w:r>
      <w:r w:rsidR="00BB6147" w:rsidRPr="00D84F21">
        <w:rPr>
          <w:lang w:val="fr-CH"/>
        </w:rPr>
        <w:t>”</w:t>
      </w:r>
    </w:p>
  </w:footnote>
  <w:footnote w:id="6">
    <w:p w:rsidR="00217A2A" w:rsidRPr="00D84F21" w:rsidRDefault="00217A2A" w:rsidP="009B2D2D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9B2D2D" w:rsidRPr="00D84F21">
        <w:rPr>
          <w:lang w:val="fr-CH"/>
        </w:rPr>
        <w:t>Cette modifica</w:t>
      </w:r>
      <w:r w:rsidR="00294D48" w:rsidRPr="00D84F21">
        <w:rPr>
          <w:lang w:val="fr-CH"/>
        </w:rPr>
        <w:t>ti</w:t>
      </w:r>
      <w:r w:rsidR="009B2D2D" w:rsidRPr="00D84F21">
        <w:rPr>
          <w:lang w:val="fr-CH"/>
        </w:rPr>
        <w:t>on n</w:t>
      </w:r>
      <w:r w:rsidR="00FA27CC" w:rsidRPr="00D84F21">
        <w:rPr>
          <w:lang w:val="fr-CH"/>
        </w:rPr>
        <w:t>’</w:t>
      </w:r>
      <w:r w:rsidR="009B2D2D" w:rsidRPr="00D84F21">
        <w:rPr>
          <w:lang w:val="fr-CH"/>
        </w:rPr>
        <w:t xml:space="preserve">est pas </w:t>
      </w:r>
      <w:r w:rsidR="00B1189D" w:rsidRPr="00D84F21">
        <w:rPr>
          <w:lang w:val="fr-CH"/>
        </w:rPr>
        <w:t>encore</w:t>
      </w:r>
      <w:r w:rsidR="009B2D2D" w:rsidRPr="00D84F21">
        <w:rPr>
          <w:lang w:val="fr-CH"/>
        </w:rPr>
        <w:t xml:space="preserve"> en vigueur.</w:t>
      </w:r>
      <w:r w:rsidRPr="00D84F21">
        <w:rPr>
          <w:lang w:val="fr-CH"/>
        </w:rPr>
        <w:t xml:space="preserve">  </w:t>
      </w:r>
      <w:r w:rsidR="009B2D2D" w:rsidRPr="00D84F21">
        <w:rPr>
          <w:lang w:val="fr-CH"/>
        </w:rPr>
        <w:t>Selon le Bureau international, le système de contribution unique correspond à la décision d</w:t>
      </w:r>
      <w:r w:rsidR="00FA27CC" w:rsidRPr="00D84F21">
        <w:rPr>
          <w:lang w:val="fr-CH"/>
        </w:rPr>
        <w:t>’</w:t>
      </w:r>
      <w:r w:rsidR="009B2D2D" w:rsidRPr="00D84F21">
        <w:rPr>
          <w:lang w:val="fr-CH"/>
        </w:rPr>
        <w:t xml:space="preserve">un État membre et non à une exigence </w:t>
      </w:r>
      <w:r w:rsidR="00B1189D" w:rsidRPr="00D84F21">
        <w:rPr>
          <w:lang w:val="fr-CH"/>
        </w:rPr>
        <w:t xml:space="preserve">comprise dans un traité, puisque cette modification </w:t>
      </w:r>
      <w:r w:rsidR="009B2D2D" w:rsidRPr="00D84F21">
        <w:rPr>
          <w:lang w:val="fr-CH"/>
        </w:rPr>
        <w:t>n</w:t>
      </w:r>
      <w:r w:rsidR="00FA27CC" w:rsidRPr="00D84F21">
        <w:rPr>
          <w:lang w:val="fr-CH"/>
        </w:rPr>
        <w:t>’</w:t>
      </w:r>
      <w:r w:rsidR="009B2D2D" w:rsidRPr="00D84F21">
        <w:rPr>
          <w:lang w:val="fr-CH"/>
        </w:rPr>
        <w:t>est pas encore en vigueur</w:t>
      </w:r>
      <w:r w:rsidR="00BB6147" w:rsidRPr="00D84F21">
        <w:rPr>
          <w:lang w:val="fr-CH"/>
        </w:rPr>
        <w:t> :</w:t>
      </w:r>
      <w:r w:rsidR="009B2D2D" w:rsidRPr="00D84F21">
        <w:rPr>
          <w:lang w:val="fr-CH"/>
        </w:rPr>
        <w:t xml:space="preserve"> </w:t>
      </w:r>
      <w:r w:rsidR="00BB6147" w:rsidRPr="00D84F21">
        <w:rPr>
          <w:lang w:val="fr-CH"/>
        </w:rPr>
        <w:t>“</w:t>
      </w:r>
      <w:r w:rsidR="00E2016B">
        <w:rPr>
          <w:lang w:val="fr-CH"/>
        </w:rPr>
        <w:t>Quinze </w:t>
      </w:r>
      <w:r w:rsidR="009B2D2D" w:rsidRPr="00D84F21">
        <w:rPr>
          <w:lang w:val="fr-CH"/>
        </w:rPr>
        <w:t xml:space="preserve">États membres ont </w:t>
      </w:r>
      <w:r w:rsidR="00B1189D" w:rsidRPr="00D84F21">
        <w:rPr>
          <w:lang w:val="fr-CH"/>
        </w:rPr>
        <w:t>officiellement accepté</w:t>
      </w:r>
      <w:r w:rsidR="009B2D2D" w:rsidRPr="00D84F21">
        <w:rPr>
          <w:lang w:val="fr-CH"/>
        </w:rPr>
        <w:t xml:space="preserve"> les</w:t>
      </w:r>
      <w:r w:rsidR="009B2D2D" w:rsidRPr="00D84F21">
        <w:rPr>
          <w:u w:val="single"/>
          <w:lang w:val="fr-CH"/>
        </w:rPr>
        <w:t xml:space="preserve"> </w:t>
      </w:r>
      <w:r w:rsidR="009B2D2D" w:rsidRPr="00D84F21">
        <w:rPr>
          <w:lang w:val="fr-CH"/>
        </w:rPr>
        <w:t xml:space="preserve">modifications proposées, qui entreront en vigueur un mois après la réception par le </w:t>
      </w:r>
      <w:r w:rsidR="00B1189D" w:rsidRPr="00D84F21">
        <w:rPr>
          <w:lang w:val="fr-CH"/>
        </w:rPr>
        <w:t>D</w:t>
      </w:r>
      <w:r w:rsidR="009B2D2D" w:rsidRPr="00D84F21">
        <w:rPr>
          <w:lang w:val="fr-CH"/>
        </w:rPr>
        <w:t>irecteur général des notifications écrites d</w:t>
      </w:r>
      <w:r w:rsidR="00FA27CC" w:rsidRPr="00D84F21">
        <w:rPr>
          <w:lang w:val="fr-CH"/>
        </w:rPr>
        <w:t>’</w:t>
      </w:r>
      <w:r w:rsidR="009B2D2D" w:rsidRPr="00D84F21">
        <w:rPr>
          <w:lang w:val="fr-CH"/>
        </w:rPr>
        <w:t>acceptation de la part des trois</w:t>
      </w:r>
      <w:r w:rsidR="00BB6147" w:rsidRPr="00D84F21">
        <w:rPr>
          <w:lang w:val="fr-CH"/>
        </w:rPr>
        <w:t> </w:t>
      </w:r>
      <w:r w:rsidR="009B2D2D" w:rsidRPr="00D84F21">
        <w:rPr>
          <w:lang w:val="fr-CH"/>
        </w:rPr>
        <w:t>quarts des États membres de l</w:t>
      </w:r>
      <w:r w:rsidR="00FA27CC" w:rsidRPr="00D84F21">
        <w:rPr>
          <w:lang w:val="fr-CH"/>
        </w:rPr>
        <w:t>’</w:t>
      </w:r>
      <w:r w:rsidR="009B2D2D" w:rsidRPr="00D84F21">
        <w:rPr>
          <w:lang w:val="fr-CH"/>
        </w:rPr>
        <w:t>OMPI</w:t>
      </w:r>
      <w:r w:rsidR="00BB6147" w:rsidRPr="00D84F21">
        <w:rPr>
          <w:lang w:val="fr-CH"/>
        </w:rPr>
        <w:t>”.</w:t>
      </w:r>
      <w:r w:rsidR="00B1189D" w:rsidRPr="00D84F21">
        <w:rPr>
          <w:lang w:val="fr-CH"/>
        </w:rPr>
        <w:t xml:space="preserve">  Paragraphe</w:t>
      </w:r>
      <w:r w:rsidR="00BB6147" w:rsidRPr="00D84F21">
        <w:rPr>
          <w:lang w:val="fr-CH"/>
        </w:rPr>
        <w:t> </w:t>
      </w:r>
      <w:r w:rsidR="00B1189D" w:rsidRPr="00D84F21">
        <w:rPr>
          <w:lang w:val="fr-CH"/>
        </w:rPr>
        <w:t xml:space="preserve">14 du </w:t>
      </w:r>
      <w:r w:rsidR="009B2D2D" w:rsidRPr="00D84F21">
        <w:rPr>
          <w:lang w:val="fr-CH"/>
        </w:rPr>
        <w:t xml:space="preserve">document WO/PBC/24/16 </w:t>
      </w:r>
      <w:r w:rsidR="00B1189D" w:rsidRPr="00D84F21">
        <w:rPr>
          <w:lang w:val="fr-CH"/>
        </w:rPr>
        <w:t xml:space="preserve">intitulé </w:t>
      </w:r>
      <w:r w:rsidR="00BB6147" w:rsidRPr="00D84F21">
        <w:rPr>
          <w:lang w:val="fr-CH"/>
        </w:rPr>
        <w:t>“</w:t>
      </w:r>
      <w:r w:rsidR="00B1189D" w:rsidRPr="00D84F21">
        <w:rPr>
          <w:lang w:val="fr-CH"/>
        </w:rPr>
        <w:t>Options pour assurer la viabilité financière de l</w:t>
      </w:r>
      <w:r w:rsidR="00FA27CC" w:rsidRPr="00D84F21">
        <w:rPr>
          <w:lang w:val="fr-CH"/>
        </w:rPr>
        <w:t>’</w:t>
      </w:r>
      <w:r w:rsidR="00B1189D" w:rsidRPr="00D84F21">
        <w:rPr>
          <w:lang w:val="fr-CH"/>
        </w:rPr>
        <w:t>Union de Lisbonne”, établi par le Secrétariat (</w:t>
      </w:r>
      <w:r w:rsidR="00FA27CC" w:rsidRPr="00D84F21">
        <w:rPr>
          <w:lang w:val="fr-CH"/>
        </w:rPr>
        <w:t>7 août 20</w:t>
      </w:r>
      <w:r w:rsidR="00B1189D" w:rsidRPr="00D84F21">
        <w:rPr>
          <w:lang w:val="fr-CH"/>
        </w:rPr>
        <w:t>15), vingt</w:t>
      </w:r>
      <w:r w:rsidR="00FA27CC" w:rsidRPr="00D84F21">
        <w:rPr>
          <w:lang w:val="fr-CH"/>
        </w:rPr>
        <w:t>-</w:t>
      </w:r>
      <w:r w:rsidR="00B1189D" w:rsidRPr="00D84F21">
        <w:rPr>
          <w:lang w:val="fr-CH"/>
        </w:rPr>
        <w:t>quatrième</w:t>
      </w:r>
      <w:r w:rsidR="00BB6147" w:rsidRPr="00D84F21">
        <w:rPr>
          <w:lang w:val="fr-CH"/>
        </w:rPr>
        <w:t> </w:t>
      </w:r>
      <w:r w:rsidR="00B1189D" w:rsidRPr="00D84F21">
        <w:rPr>
          <w:lang w:val="fr-CH"/>
        </w:rPr>
        <w:t>session du Comité du programme et budget (Genève, 14</w:t>
      </w:r>
      <w:r w:rsidR="00E2016B">
        <w:rPr>
          <w:lang w:val="fr-CH"/>
        </w:rPr>
        <w:t xml:space="preserve"> – </w:t>
      </w:r>
      <w:r w:rsidR="00B1189D" w:rsidRPr="00D84F21">
        <w:rPr>
          <w:lang w:val="fr-CH"/>
        </w:rPr>
        <w:t>1</w:t>
      </w:r>
      <w:r w:rsidR="00FA27CC" w:rsidRPr="00D84F21">
        <w:rPr>
          <w:lang w:val="fr-CH"/>
        </w:rPr>
        <w:t>8 septembre 20</w:t>
      </w:r>
      <w:r w:rsidR="00B1189D" w:rsidRPr="00D84F21">
        <w:rPr>
          <w:lang w:val="fr-CH"/>
        </w:rPr>
        <w:t>15)</w:t>
      </w:r>
      <w:r w:rsidR="009B2D2D" w:rsidRPr="00D84F21">
        <w:rPr>
          <w:i/>
          <w:lang w:val="fr-CH"/>
        </w:rPr>
        <w:t>.</w:t>
      </w:r>
    </w:p>
  </w:footnote>
  <w:footnote w:id="7">
    <w:p w:rsidR="00217A2A" w:rsidRPr="00D84F21" w:rsidRDefault="00217A2A" w:rsidP="00011671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011671" w:rsidRPr="00D84F21">
        <w:rPr>
          <w:lang w:val="fr-CH"/>
        </w:rPr>
        <w:t>Voir, à la page</w:t>
      </w:r>
      <w:r w:rsidR="00BB6147" w:rsidRPr="00D84F21">
        <w:rPr>
          <w:lang w:val="fr-CH"/>
        </w:rPr>
        <w:t> </w:t>
      </w:r>
      <w:r w:rsidR="00011671" w:rsidRPr="00D84F21">
        <w:rPr>
          <w:lang w:val="fr-CH"/>
        </w:rPr>
        <w:t xml:space="preserve">8 du document </w:t>
      </w:r>
      <w:r w:rsidR="00E2016B">
        <w:rPr>
          <w:lang w:val="fr-CH"/>
        </w:rPr>
        <w:t>A/39/3, la note </w:t>
      </w:r>
      <w:r w:rsidR="00011671" w:rsidRPr="00D84F21">
        <w:rPr>
          <w:lang w:val="fr-CH"/>
        </w:rPr>
        <w:t>16.03 sur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article</w:t>
      </w:r>
      <w:r w:rsidR="00BB6147" w:rsidRPr="00D84F21">
        <w:rPr>
          <w:lang w:val="fr-CH"/>
        </w:rPr>
        <w:t> </w:t>
      </w:r>
      <w:r w:rsidR="00011671" w:rsidRPr="00D84F21">
        <w:rPr>
          <w:lang w:val="fr-CH"/>
        </w:rPr>
        <w:t>16 de la Convention de Paris</w:t>
      </w:r>
      <w:r w:rsidR="00294D48" w:rsidRPr="00D84F21">
        <w:rPr>
          <w:lang w:val="fr-CH"/>
        </w:rPr>
        <w:t xml:space="preserve"> pour la mise en œ</w:t>
      </w:r>
      <w:r w:rsidR="00011671" w:rsidRPr="00D84F21">
        <w:rPr>
          <w:lang w:val="fr-CH"/>
        </w:rPr>
        <w:t>uvre des modifica</w:t>
      </w:r>
      <w:r w:rsidR="00294D48" w:rsidRPr="00D84F21">
        <w:rPr>
          <w:lang w:val="fr-CH"/>
        </w:rPr>
        <w:t>ti</w:t>
      </w:r>
      <w:r w:rsidR="00011671" w:rsidRPr="00D84F21">
        <w:rPr>
          <w:lang w:val="fr-CH"/>
        </w:rPr>
        <w:t>ons de</w:t>
      </w:r>
      <w:r w:rsidR="00BB6147" w:rsidRPr="00D84F21">
        <w:rPr>
          <w:lang w:val="fr-CH"/>
        </w:rPr>
        <w:t> </w:t>
      </w:r>
      <w:r w:rsidR="00011671" w:rsidRPr="00D84F21">
        <w:rPr>
          <w:lang w:val="fr-CH"/>
        </w:rPr>
        <w:t>2003</w:t>
      </w:r>
      <w:r w:rsidR="00BB6147" w:rsidRPr="00D84F21">
        <w:rPr>
          <w:lang w:val="fr-CH"/>
        </w:rPr>
        <w:t> :</w:t>
      </w:r>
      <w:r w:rsidR="00011671" w:rsidRPr="00D84F21">
        <w:rPr>
          <w:lang w:val="fr-CH"/>
        </w:rPr>
        <w:t xml:space="preserve"> </w:t>
      </w:r>
      <w:r w:rsidR="00BB6147" w:rsidRPr="00D84F21">
        <w:rPr>
          <w:lang w:val="fr-CH"/>
        </w:rPr>
        <w:t>“</w:t>
      </w:r>
      <w:r w:rsidR="00011671" w:rsidRPr="00D84F21">
        <w:rPr>
          <w:lang w:val="fr-CH"/>
        </w:rPr>
        <w:t>Depuis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introduction du système de contribution unique, le budget de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Union de Paris fait partie du budget des unions financées par des contributions, dans le programme et budget de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Organisation et des unions administrées par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OMPI</w:t>
      </w:r>
      <w:r w:rsidR="00BB6147" w:rsidRPr="00D84F21">
        <w:rPr>
          <w:lang w:val="fr-CH"/>
        </w:rPr>
        <w:t>”</w:t>
      </w:r>
      <w:r w:rsidR="00011671" w:rsidRPr="00D84F21">
        <w:rPr>
          <w:lang w:val="fr-CH"/>
        </w:rPr>
        <w:t>.</w:t>
      </w:r>
    </w:p>
  </w:footnote>
  <w:footnote w:id="8">
    <w:p w:rsidR="009B2D2D" w:rsidRPr="00D84F21" w:rsidRDefault="009B2D2D" w:rsidP="00011671">
      <w:pPr>
        <w:pStyle w:val="FootnoteText"/>
        <w:rPr>
          <w:lang w:val="fr-CH"/>
        </w:rPr>
      </w:pPr>
      <w:r w:rsidRPr="00D84F21">
        <w:rPr>
          <w:rStyle w:val="FootnoteReference"/>
        </w:rPr>
        <w:footnoteRef/>
      </w:r>
      <w:r w:rsidRPr="00D84F21">
        <w:rPr>
          <w:lang w:val="fr-CH"/>
        </w:rPr>
        <w:t xml:space="preserve"> </w:t>
      </w:r>
      <w:r w:rsidR="004122DA" w:rsidRPr="00D84F21">
        <w:rPr>
          <w:lang w:val="fr-CH"/>
        </w:rPr>
        <w:tab/>
      </w:r>
      <w:r w:rsidR="00011671" w:rsidRPr="00D84F21">
        <w:rPr>
          <w:lang w:val="fr-CH"/>
        </w:rPr>
        <w:t>Voir, à la page</w:t>
      </w:r>
      <w:r w:rsidR="00BB6147" w:rsidRPr="00D84F21">
        <w:rPr>
          <w:lang w:val="fr-CH"/>
        </w:rPr>
        <w:t> </w:t>
      </w:r>
      <w:r w:rsidR="00011671" w:rsidRPr="00D84F21">
        <w:rPr>
          <w:lang w:val="fr-CH"/>
        </w:rPr>
        <w:t>10 du document A/39/3, la note 16.07</w:t>
      </w:r>
      <w:r w:rsidR="00BB6147" w:rsidRPr="00D84F21">
        <w:rPr>
          <w:lang w:val="fr-CH"/>
        </w:rPr>
        <w:t> :</w:t>
      </w:r>
      <w:r w:rsidR="00011671" w:rsidRPr="00D84F21">
        <w:rPr>
          <w:lang w:val="fr-CH"/>
        </w:rPr>
        <w:t xml:space="preserve"> </w:t>
      </w:r>
      <w:r w:rsidR="00BB6147" w:rsidRPr="00D84F21">
        <w:rPr>
          <w:lang w:val="fr-CH"/>
        </w:rPr>
        <w:t>“</w:t>
      </w:r>
      <w:r w:rsidR="00011671" w:rsidRPr="00D84F21">
        <w:rPr>
          <w:lang w:val="fr-CH"/>
        </w:rPr>
        <w:t>C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 xml:space="preserve">est ainsi que le terme </w:t>
      </w:r>
      <w:r w:rsidR="00E2016B">
        <w:rPr>
          <w:lang w:val="fr-CH"/>
        </w:rPr>
        <w:t>‘</w:t>
      </w:r>
      <w:r w:rsidR="00011671" w:rsidRPr="00D84F21">
        <w:rPr>
          <w:lang w:val="fr-CH"/>
        </w:rPr>
        <w:t>budget de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Union</w:t>
      </w:r>
      <w:r w:rsidR="00E2016B">
        <w:rPr>
          <w:lang w:val="fr-CH"/>
        </w:rPr>
        <w:t>’</w:t>
      </w:r>
      <w:r w:rsidR="00011671" w:rsidRPr="00D84F21">
        <w:rPr>
          <w:lang w:val="fr-CH"/>
        </w:rPr>
        <w:t xml:space="preserve"> est remplacé par </w:t>
      </w:r>
      <w:r w:rsidR="00E2016B">
        <w:rPr>
          <w:lang w:val="fr-CH"/>
        </w:rPr>
        <w:t>‘</w:t>
      </w:r>
      <w:r w:rsidR="00011671" w:rsidRPr="00D84F21">
        <w:rPr>
          <w:lang w:val="fr-CH"/>
        </w:rPr>
        <w:t>recettes de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Union</w:t>
      </w:r>
      <w:r w:rsidR="00E2016B">
        <w:rPr>
          <w:lang w:val="fr-CH"/>
        </w:rPr>
        <w:t>’</w:t>
      </w:r>
      <w:r w:rsidR="00011671" w:rsidRPr="00D84F21">
        <w:rPr>
          <w:lang w:val="fr-CH"/>
        </w:rPr>
        <w:t xml:space="preserve"> compte tenu du fait que les budgets des diverses unions administrées par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OMPI et celui de l</w:t>
      </w:r>
      <w:r w:rsidR="00FA27CC" w:rsidRPr="00D84F21">
        <w:rPr>
          <w:lang w:val="fr-CH"/>
        </w:rPr>
        <w:t>’</w:t>
      </w:r>
      <w:r w:rsidR="00011671" w:rsidRPr="00D84F21">
        <w:rPr>
          <w:lang w:val="fr-CH"/>
        </w:rPr>
        <w:t>Organisation sont présentés de manière intégrée dans un document unique.</w:t>
      </w:r>
      <w:r w:rsidR="00BB6147" w:rsidRPr="00D84F21">
        <w:rPr>
          <w:lang w:val="fr-CH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E" w:rsidRPr="00D13C08" w:rsidRDefault="001C2B6E" w:rsidP="00C07BF4">
    <w:pPr>
      <w:jc w:val="right"/>
    </w:pPr>
    <w:r w:rsidRPr="00D13C08">
      <w:rPr>
        <w:caps/>
      </w:rPr>
      <w:t>WO/GA/4</w:t>
    </w:r>
    <w:r>
      <w:rPr>
        <w:caps/>
      </w:rPr>
      <w:t>7/XX</w:t>
    </w:r>
  </w:p>
  <w:p w:rsidR="001C2B6E" w:rsidRPr="00D13C08" w:rsidRDefault="001C2B6E" w:rsidP="00C07BF4">
    <w:pPr>
      <w:jc w:val="right"/>
    </w:pPr>
    <w:proofErr w:type="gramStart"/>
    <w:r w:rsidRPr="00D13C08">
      <w:t>page</w:t>
    </w:r>
    <w:proofErr w:type="gramEnd"/>
    <w:r w:rsidRPr="00D13C08">
      <w:t xml:space="preserve"> </w:t>
    </w:r>
    <w:r w:rsidRPr="00D13C08">
      <w:fldChar w:fldCharType="begin"/>
    </w:r>
    <w:r w:rsidRPr="00D13C08">
      <w:instrText xml:space="preserve"> PAGE  \* MERGEFORMAT </w:instrText>
    </w:r>
    <w:r w:rsidRPr="00D13C08">
      <w:fldChar w:fldCharType="separate"/>
    </w:r>
    <w:r w:rsidR="006D4E75">
      <w:rPr>
        <w:noProof/>
      </w:rPr>
      <w:t>3</w:t>
    </w:r>
    <w:r w:rsidRPr="00D13C08">
      <w:fldChar w:fldCharType="end"/>
    </w:r>
  </w:p>
  <w:p w:rsidR="001C2B6E" w:rsidRDefault="001C2B6E" w:rsidP="00C07BF4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D" w:rsidRDefault="00B829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DA" w:rsidRDefault="004122DA" w:rsidP="004122DA">
    <w:pPr>
      <w:pStyle w:val="Header"/>
      <w:jc w:val="right"/>
    </w:pPr>
    <w:r>
      <w:t>A/55/INF/10</w:t>
    </w:r>
  </w:p>
  <w:p w:rsidR="004122DA" w:rsidRDefault="004122DA" w:rsidP="004122DA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6D4E75">
      <w:rPr>
        <w:noProof/>
        <w:szCs w:val="22"/>
      </w:rPr>
      <w:t>3</w:t>
    </w:r>
    <w:r w:rsidRPr="00D13C08">
      <w:rPr>
        <w:szCs w:val="22"/>
      </w:rPr>
      <w:fldChar w:fldCharType="end"/>
    </w:r>
  </w:p>
  <w:p w:rsidR="004122DA" w:rsidRDefault="004122DA" w:rsidP="004122DA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70" w:rsidRDefault="002D4C70" w:rsidP="002D4C70">
    <w:pPr>
      <w:pStyle w:val="Header"/>
      <w:jc w:val="right"/>
    </w:pPr>
    <w:r>
      <w:t>A/55/INF/10</w:t>
    </w:r>
  </w:p>
  <w:p w:rsidR="002D4C70" w:rsidRDefault="004122DA" w:rsidP="002D4C70">
    <w:pPr>
      <w:pStyle w:val="Header"/>
      <w:jc w:val="right"/>
    </w:pPr>
    <w:r>
      <w:t>ANNEXE</w:t>
    </w:r>
  </w:p>
  <w:p w:rsidR="002D4C70" w:rsidRDefault="002D4C70" w:rsidP="002D4C70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C48" w:rsidRDefault="00A22C48" w:rsidP="002D4C70">
    <w:pPr>
      <w:pStyle w:val="Header"/>
      <w:jc w:val="right"/>
    </w:pPr>
    <w:r>
      <w:t>A/55/INF/10</w:t>
    </w:r>
  </w:p>
  <w:p w:rsidR="00A22C48" w:rsidRDefault="00A22C48" w:rsidP="002D4C70">
    <w:pPr>
      <w:pStyle w:val="Header"/>
      <w:jc w:val="right"/>
    </w:pPr>
    <w:proofErr w:type="spellStart"/>
    <w:r>
      <w:t>Annexe</w:t>
    </w:r>
    <w:proofErr w:type="spellEnd"/>
    <w:r>
      <w:t>, page </w:t>
    </w:r>
    <w:r>
      <w:fldChar w:fldCharType="begin"/>
    </w:r>
    <w:r>
      <w:instrText>PAGE   \* MERGEFORMAT</w:instrText>
    </w:r>
    <w:r>
      <w:fldChar w:fldCharType="separate"/>
    </w:r>
    <w:r w:rsidR="00B8291B" w:rsidRPr="00B8291B">
      <w:rPr>
        <w:noProof/>
        <w:lang w:val="fr-FR"/>
      </w:rPr>
      <w:t>3</w:t>
    </w:r>
    <w:r>
      <w:fldChar w:fldCharType="end"/>
    </w:r>
  </w:p>
  <w:p w:rsidR="00A22C48" w:rsidRDefault="00A22C48" w:rsidP="002D4C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Glossaries\EN-FR|TextBase TMs\Budget and Finance\Meetings|TextBase TMs\Budget and Finance\Other|TextBase TMs\Budget and Finance\Publications"/>
    <w:docVar w:name="TextBaseURL" w:val="empty"/>
    <w:docVar w:name="UILng" w:val="en"/>
  </w:docVars>
  <w:rsids>
    <w:rsidRoot w:val="001C2B6E"/>
    <w:rsid w:val="00011671"/>
    <w:rsid w:val="00043CAA"/>
    <w:rsid w:val="00062D9D"/>
    <w:rsid w:val="00075432"/>
    <w:rsid w:val="000968ED"/>
    <w:rsid w:val="000E7E33"/>
    <w:rsid w:val="000F5E56"/>
    <w:rsid w:val="001200FF"/>
    <w:rsid w:val="001362EE"/>
    <w:rsid w:val="00143DF1"/>
    <w:rsid w:val="00151CCE"/>
    <w:rsid w:val="001832A6"/>
    <w:rsid w:val="001C2B6E"/>
    <w:rsid w:val="00217A2A"/>
    <w:rsid w:val="0022571E"/>
    <w:rsid w:val="002634C4"/>
    <w:rsid w:val="002928D3"/>
    <w:rsid w:val="00294D48"/>
    <w:rsid w:val="002A124D"/>
    <w:rsid w:val="002D4C70"/>
    <w:rsid w:val="002F1FE6"/>
    <w:rsid w:val="002F4E68"/>
    <w:rsid w:val="00312F7F"/>
    <w:rsid w:val="003228B7"/>
    <w:rsid w:val="00342865"/>
    <w:rsid w:val="003673CF"/>
    <w:rsid w:val="003845C1"/>
    <w:rsid w:val="003A6F89"/>
    <w:rsid w:val="003A7278"/>
    <w:rsid w:val="003B38C1"/>
    <w:rsid w:val="003E2E42"/>
    <w:rsid w:val="003F489A"/>
    <w:rsid w:val="004122DA"/>
    <w:rsid w:val="00423E3E"/>
    <w:rsid w:val="00427AF4"/>
    <w:rsid w:val="004400E2"/>
    <w:rsid w:val="004647DA"/>
    <w:rsid w:val="00474062"/>
    <w:rsid w:val="00477D6B"/>
    <w:rsid w:val="00486F84"/>
    <w:rsid w:val="004938C7"/>
    <w:rsid w:val="004F4B07"/>
    <w:rsid w:val="0053057A"/>
    <w:rsid w:val="00560A29"/>
    <w:rsid w:val="00561364"/>
    <w:rsid w:val="0058145A"/>
    <w:rsid w:val="00584E82"/>
    <w:rsid w:val="005D266A"/>
    <w:rsid w:val="00605827"/>
    <w:rsid w:val="00615764"/>
    <w:rsid w:val="00646050"/>
    <w:rsid w:val="006713CA"/>
    <w:rsid w:val="00676C5C"/>
    <w:rsid w:val="00691425"/>
    <w:rsid w:val="006C5F8B"/>
    <w:rsid w:val="006D4E75"/>
    <w:rsid w:val="0070084A"/>
    <w:rsid w:val="007058FB"/>
    <w:rsid w:val="0076340B"/>
    <w:rsid w:val="0079542F"/>
    <w:rsid w:val="007A7B7C"/>
    <w:rsid w:val="007B6A58"/>
    <w:rsid w:val="007C4540"/>
    <w:rsid w:val="007D1613"/>
    <w:rsid w:val="00817150"/>
    <w:rsid w:val="00853F26"/>
    <w:rsid w:val="00857F59"/>
    <w:rsid w:val="00882B35"/>
    <w:rsid w:val="008961B3"/>
    <w:rsid w:val="008B2CC1"/>
    <w:rsid w:val="008B60B2"/>
    <w:rsid w:val="0090731E"/>
    <w:rsid w:val="00916EE2"/>
    <w:rsid w:val="0092240C"/>
    <w:rsid w:val="00966A22"/>
    <w:rsid w:val="0096722F"/>
    <w:rsid w:val="00980843"/>
    <w:rsid w:val="009B2D2D"/>
    <w:rsid w:val="009C11F1"/>
    <w:rsid w:val="009E2791"/>
    <w:rsid w:val="009E3F6F"/>
    <w:rsid w:val="009F499F"/>
    <w:rsid w:val="00A22C48"/>
    <w:rsid w:val="00A42DAF"/>
    <w:rsid w:val="00A45BD8"/>
    <w:rsid w:val="00A50708"/>
    <w:rsid w:val="00A65E95"/>
    <w:rsid w:val="00A85B8E"/>
    <w:rsid w:val="00AB19B2"/>
    <w:rsid w:val="00AC205C"/>
    <w:rsid w:val="00AF2C66"/>
    <w:rsid w:val="00B05A69"/>
    <w:rsid w:val="00B11265"/>
    <w:rsid w:val="00B1189D"/>
    <w:rsid w:val="00B8291B"/>
    <w:rsid w:val="00B9734B"/>
    <w:rsid w:val="00BB5A63"/>
    <w:rsid w:val="00BB6147"/>
    <w:rsid w:val="00C11BFE"/>
    <w:rsid w:val="00C52FC7"/>
    <w:rsid w:val="00C91D30"/>
    <w:rsid w:val="00C94629"/>
    <w:rsid w:val="00D12A81"/>
    <w:rsid w:val="00D330FD"/>
    <w:rsid w:val="00D45252"/>
    <w:rsid w:val="00D67827"/>
    <w:rsid w:val="00D71B4D"/>
    <w:rsid w:val="00D84F21"/>
    <w:rsid w:val="00D93D55"/>
    <w:rsid w:val="00DA44D3"/>
    <w:rsid w:val="00DB02A8"/>
    <w:rsid w:val="00DF6E9B"/>
    <w:rsid w:val="00E2016B"/>
    <w:rsid w:val="00E335FE"/>
    <w:rsid w:val="00E5021F"/>
    <w:rsid w:val="00EC4E49"/>
    <w:rsid w:val="00ED77FB"/>
    <w:rsid w:val="00F021A6"/>
    <w:rsid w:val="00F66152"/>
    <w:rsid w:val="00F76571"/>
    <w:rsid w:val="00F86EF2"/>
    <w:rsid w:val="00FA27CC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unhideWhenUsed/>
    <w:rsid w:val="00062D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2D9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5D266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unhideWhenUsed/>
    <w:rsid w:val="00062D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2D9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5D266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docsarchives/AB_XXIV_1993/AB_XXIV_5_F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E0B2-7C93-49F6-8E82-A87CD840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21</TotalTime>
  <Pages>4</Pages>
  <Words>970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HÄFLIGER Patience</dc:creator>
  <cp:keywords>NGG/ko</cp:keywords>
  <cp:lastModifiedBy>HÄFLIGER Patience</cp:lastModifiedBy>
  <cp:revision>13</cp:revision>
  <cp:lastPrinted>2015-10-04T11:53:00Z</cp:lastPrinted>
  <dcterms:created xsi:type="dcterms:W3CDTF">2015-10-03T15:49:00Z</dcterms:created>
  <dcterms:modified xsi:type="dcterms:W3CDTF">2015-10-04T11:54:00Z</dcterms:modified>
</cp:coreProperties>
</file>