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D5" w:rsidRPr="00D505F5" w:rsidRDefault="00432040" w:rsidP="00432040">
      <w:pPr>
        <w:pStyle w:val="AnnexTitle"/>
        <w:numPr>
          <w:ilvl w:val="0"/>
          <w:numId w:val="0"/>
        </w:numPr>
        <w:ind w:left="1814" w:hanging="1814"/>
      </w:pPr>
      <w:bookmarkStart w:id="0" w:name="_Toc505698367"/>
      <w:bookmarkStart w:id="1" w:name="_Toc19689760"/>
      <w:bookmarkStart w:id="2" w:name="_GoBack"/>
      <w:bookmarkEnd w:id="2"/>
      <w:r>
        <w:t>ANNEXE III</w:t>
      </w:r>
      <w:r>
        <w:tab/>
      </w:r>
      <w:r w:rsidR="003805D5" w:rsidRPr="00D505F5">
        <w:t>Répartition des recettes et des dépenses par union en 2020</w:t>
      </w:r>
      <w:r w:rsidR="00AF4785">
        <w:noBreakHyphen/>
      </w:r>
      <w:r w:rsidR="003805D5" w:rsidRPr="00D505F5">
        <w:t>20</w:t>
      </w:r>
      <w:bookmarkEnd w:id="0"/>
      <w:r w:rsidR="003805D5" w:rsidRPr="00D505F5">
        <w:t>21</w:t>
      </w:r>
      <w:bookmarkEnd w:id="1"/>
    </w:p>
    <w:p w:rsidR="00AE6881" w:rsidRPr="00D505F5" w:rsidRDefault="00AE6881" w:rsidP="00AE6881">
      <w:pPr>
        <w:pStyle w:val="Heading1NoNumb"/>
      </w:pPr>
      <w:r w:rsidRPr="00D505F5">
        <w:t>Introduction</w:t>
      </w:r>
    </w:p>
    <w:p w:rsidR="00AE6881" w:rsidRPr="00D505F5" w:rsidRDefault="00AE6881" w:rsidP="00AE6881">
      <w:r w:rsidRPr="00D505F5">
        <w:t>Conformément au Règlement financier de l</w:t>
      </w:r>
      <w:r w:rsidR="00AD1C27">
        <w:t>’</w:t>
      </w:r>
      <w:r w:rsidRPr="00D505F5">
        <w:t>OMPI (article 2.3), la présente annexe présente le programme et budget par union pour l</w:t>
      </w:r>
      <w:r w:rsidR="00AD1C27">
        <w:t>’</w:t>
      </w:r>
      <w:r w:rsidRPr="00D505F5">
        <w:t>exercice biennal 2020</w:t>
      </w:r>
      <w:r w:rsidR="00AF4785">
        <w:noBreakHyphen/>
      </w:r>
      <w:r w:rsidRPr="00D505F5">
        <w:t>2021.  Les unions comprennent les unions financées par des contributions (Paris, Berne, IPC, Nice, Locarno et Vienne) et la Convention instituant l</w:t>
      </w:r>
      <w:r w:rsidR="00AD1C27">
        <w:t>’</w:t>
      </w:r>
      <w:r w:rsidRPr="00D505F5">
        <w:t>OMPI, et les unions des quatre systèmes d</w:t>
      </w:r>
      <w:r w:rsidR="00AD1C27">
        <w:t>’</w:t>
      </w:r>
      <w:r w:rsidRPr="00D505F5">
        <w:t xml:space="preserve">enregistrement international (PCT, Madrid, </w:t>
      </w:r>
      <w:r w:rsidR="00AD1C27">
        <w:t>La Haye</w:t>
      </w:r>
      <w:r w:rsidRPr="00D505F5">
        <w:t xml:space="preserve"> et Lisbon</w:t>
      </w:r>
      <w:r w:rsidR="001D4966" w:rsidRPr="00D505F5">
        <w:t>ne)</w:t>
      </w:r>
      <w:r w:rsidR="001D4966">
        <w:t>.  L</w:t>
      </w:r>
      <w:r w:rsidR="001D4966" w:rsidRPr="00D505F5">
        <w:t>a</w:t>
      </w:r>
      <w:r w:rsidRPr="00D505F5">
        <w:t xml:space="preserve"> méthode utilisée pour la répartition des recettes et des dépenses entre les unions dans le cadre du programme et budget pour l</w:t>
      </w:r>
      <w:r w:rsidR="00AD1C27">
        <w:t>’</w:t>
      </w:r>
      <w:r w:rsidRPr="00D505F5">
        <w:t>exercice biennal 2020</w:t>
      </w:r>
      <w:r w:rsidR="00AF4785">
        <w:noBreakHyphen/>
      </w:r>
      <w:r w:rsidRPr="00D505F5">
        <w:t>2021</w:t>
      </w:r>
      <w:r w:rsidR="00432040">
        <w:t xml:space="preserve"> est restée identique</w:t>
      </w:r>
      <w:r w:rsidRPr="00D505F5">
        <w:t xml:space="preserve"> à celle utilisée pour l</w:t>
      </w:r>
      <w:r w:rsidR="00AD1C27">
        <w:t>’</w:t>
      </w:r>
      <w:r w:rsidRPr="00D505F5">
        <w:t>exercice biennal 2018</w:t>
      </w:r>
      <w:r w:rsidR="00AF4785">
        <w:noBreakHyphen/>
      </w:r>
      <w:r w:rsidRPr="00D505F5">
        <w:t>2019.  S</w:t>
      </w:r>
      <w:r w:rsidR="00AD1C27">
        <w:t>’</w:t>
      </w:r>
      <w:r w:rsidRPr="00D505F5">
        <w:t>agissant de la répartition des dépenses directes et indirectes des unions, conformément à la pratique antérieure, les calculs ont été affinés pour mieux refléter l</w:t>
      </w:r>
      <w:r w:rsidR="00AD1C27">
        <w:t>’</w:t>
      </w:r>
      <w:r w:rsidRPr="00D505F5">
        <w:t>évolution des activités de l</w:t>
      </w:r>
      <w:r w:rsidR="00AD1C27">
        <w:t>’</w:t>
      </w:r>
      <w:r w:rsidRPr="00D505F5">
        <w:t>Organisation rendue possible par les systèmes ERP/</w:t>
      </w:r>
      <w:r w:rsidR="001D4966" w:rsidRPr="00D505F5">
        <w:t>EPM</w:t>
      </w:r>
      <w:r w:rsidR="001D4966">
        <w:t xml:space="preserve">.  </w:t>
      </w:r>
      <w:r w:rsidR="001D4966" w:rsidRPr="00D505F5">
        <w:t>Le</w:t>
      </w:r>
      <w:r w:rsidRPr="00D505F5">
        <w:t>s tableaux 11, 12 et 13 donnent un aperçu de la répartition des recettes et des dépenses par union pour l</w:t>
      </w:r>
      <w:r w:rsidR="00AD1C27">
        <w:t>’</w:t>
      </w:r>
      <w:r w:rsidRPr="00D505F5">
        <w:t>exercice biennal 2020</w:t>
      </w:r>
      <w:r w:rsidR="00AF4785">
        <w:noBreakHyphen/>
      </w:r>
      <w:r w:rsidRPr="00D505F5">
        <w:t>2021, des recettes prévisionnelles par union pour l</w:t>
      </w:r>
      <w:r w:rsidR="00AD1C27">
        <w:t>’</w:t>
      </w:r>
      <w:r w:rsidRPr="00D505F5">
        <w:t>exercice biennal 2020</w:t>
      </w:r>
      <w:r w:rsidR="00AF4785">
        <w:noBreakHyphen/>
      </w:r>
      <w:r w:rsidRPr="00D505F5">
        <w:t>2021 et du budget pour 2020</w:t>
      </w:r>
      <w:r w:rsidR="00AF4785">
        <w:noBreakHyphen/>
      </w:r>
      <w:r w:rsidRPr="00D505F5">
        <w:t>2021 par programme et par union.</w:t>
      </w:r>
    </w:p>
    <w:p w:rsidR="00AE6881" w:rsidRPr="00D505F5" w:rsidRDefault="00AE6881" w:rsidP="00AE6881">
      <w:pPr>
        <w:pStyle w:val="Heading1NoNumb"/>
      </w:pPr>
      <w:r w:rsidRPr="00D505F5">
        <w:t>Répartition des recettes par union</w:t>
      </w:r>
    </w:p>
    <w:p w:rsidR="00AE6881" w:rsidRPr="00D505F5" w:rsidRDefault="00AE6881" w:rsidP="00AE6881">
      <w:r w:rsidRPr="00D505F5">
        <w:t>L</w:t>
      </w:r>
      <w:r w:rsidR="00AD1C27">
        <w:t>’</w:t>
      </w:r>
      <w:r w:rsidRPr="00D505F5">
        <w:t>allocation des recettes aux unions est fondée sur la méthode de répartition ci</w:t>
      </w:r>
      <w:r w:rsidR="00AF4785">
        <w:noBreakHyphen/>
      </w:r>
      <w:r w:rsidRPr="00D505F5">
        <w:t>après</w:t>
      </w:r>
      <w:r w:rsidR="00AD1C27">
        <w:t> :</w:t>
      </w:r>
    </w:p>
    <w:p w:rsidR="00AE6881" w:rsidRPr="00D505F5" w:rsidRDefault="00AE6881" w:rsidP="00AE6881">
      <w:pPr>
        <w:pStyle w:val="Bullet2"/>
      </w:pPr>
      <w:r w:rsidRPr="00D505F5">
        <w:t>les recettes provenant des contributions des États membres sont allouées aux unions financées par des contributions;</w:t>
      </w:r>
    </w:p>
    <w:p w:rsidR="00AE6881" w:rsidRPr="00D505F5" w:rsidRDefault="00AE6881" w:rsidP="00AE6881">
      <w:pPr>
        <w:pStyle w:val="Bullet2"/>
      </w:pPr>
      <w:r w:rsidRPr="00D505F5">
        <w:t>les recettes provenant des taxes des systèmes d</w:t>
      </w:r>
      <w:r w:rsidR="00AD1C27">
        <w:t>’</w:t>
      </w:r>
      <w:r w:rsidRPr="00D505F5">
        <w:t xml:space="preserve">enregistrement du PCT, de Madrid, de </w:t>
      </w:r>
      <w:r w:rsidR="00AD1C27">
        <w:t>La Haye</w:t>
      </w:r>
      <w:r w:rsidRPr="00D505F5">
        <w:t xml:space="preserve"> et de Lisbonne sont allouées aux unions respectives;</w:t>
      </w:r>
    </w:p>
    <w:p w:rsidR="00AE6881" w:rsidRPr="00D505F5" w:rsidRDefault="00AE6881" w:rsidP="00AE6881">
      <w:pPr>
        <w:pStyle w:val="Bullet2"/>
      </w:pPr>
      <w:r w:rsidRPr="00D505F5">
        <w:t>les recettes provenant des publications sont attribuées aux unions financées par des contributions et aux unions du PCT et de Madrid sur la base des estimations relatives aux recettes provenant des publications de chacune de ces unions;</w:t>
      </w:r>
    </w:p>
    <w:p w:rsidR="00AE6881" w:rsidRPr="00D505F5" w:rsidRDefault="00AE6881" w:rsidP="00AE6881">
      <w:pPr>
        <w:pStyle w:val="Bullet2"/>
      </w:pPr>
      <w:r w:rsidRPr="00D505F5">
        <w:t>les recettes provenant du Centre d</w:t>
      </w:r>
      <w:r w:rsidR="00AD1C27">
        <w:t>’</w:t>
      </w:r>
      <w:r w:rsidRPr="00D505F5">
        <w:t>arbitrage et de médiation sont réparties entre les unions sur la base des estimations du chef de programme;</w:t>
      </w:r>
    </w:p>
    <w:p w:rsidR="00AE6881" w:rsidRPr="00D505F5" w:rsidRDefault="00AE6881" w:rsidP="00AE6881">
      <w:pPr>
        <w:pStyle w:val="Bullet2"/>
      </w:pPr>
      <w:r w:rsidRPr="00D505F5">
        <w:t>les autres recettes sont réparties de manière égale entre toutes les unions;  et</w:t>
      </w:r>
    </w:p>
    <w:p w:rsidR="00AE6881" w:rsidRPr="00D505F5" w:rsidRDefault="00811905" w:rsidP="00AE6881">
      <w:pPr>
        <w:pStyle w:val="Bullet2"/>
      </w:pPr>
      <w:r w:rsidRPr="00D505F5">
        <w:t xml:space="preserve">les </w:t>
      </w:r>
      <w:r w:rsidR="00AE6881" w:rsidRPr="00D505F5">
        <w:t>ajustement</w:t>
      </w:r>
      <w:r w:rsidRPr="00D505F5">
        <w:t>s</w:t>
      </w:r>
      <w:r w:rsidR="00AE6881" w:rsidRPr="00D505F5">
        <w:t xml:space="preserve"> IPSAS apporté</w:t>
      </w:r>
      <w:r w:rsidRPr="00D505F5">
        <w:t>s</w:t>
      </w:r>
      <w:r w:rsidR="00AE6881" w:rsidRPr="00D505F5">
        <w:t xml:space="preserve"> aux recettes sur une base budgétaire </w:t>
      </w:r>
      <w:r w:rsidRPr="00D505F5">
        <w:t>sont</w:t>
      </w:r>
      <w:r w:rsidR="00AE6881" w:rsidRPr="00D505F5">
        <w:t xml:space="preserve"> réparti</w:t>
      </w:r>
      <w:r w:rsidRPr="00D505F5">
        <w:t>s</w:t>
      </w:r>
      <w:r w:rsidR="00AE6881" w:rsidRPr="00D505F5">
        <w:t xml:space="preserve"> de manière </w:t>
      </w:r>
      <w:r w:rsidRPr="00D505F5">
        <w:t>uniforme</w:t>
      </w:r>
      <w:r w:rsidR="00AE6881" w:rsidRPr="00D505F5">
        <w:t xml:space="preserve"> entre toutes les unions.</w:t>
      </w:r>
    </w:p>
    <w:p w:rsidR="00AE6881" w:rsidRPr="00D505F5" w:rsidRDefault="00AE6881" w:rsidP="00AE6881">
      <w:pPr>
        <w:pStyle w:val="Heading1NoNumb"/>
      </w:pPr>
      <w:r w:rsidRPr="00D505F5">
        <w:t>Répartition des dépenses par union</w:t>
      </w:r>
    </w:p>
    <w:p w:rsidR="00AE6881" w:rsidRPr="00D505F5" w:rsidRDefault="00AE6881" w:rsidP="00AE6881">
      <w:pPr>
        <w:pStyle w:val="Heading2NoNumb"/>
      </w:pPr>
      <w:r w:rsidRPr="00D505F5">
        <w:t>Principes de répartition</w:t>
      </w:r>
    </w:p>
    <w:p w:rsidR="00AE6881" w:rsidRPr="00D505F5" w:rsidRDefault="00AE6881" w:rsidP="00AE6881">
      <w:r w:rsidRPr="00D505F5">
        <w:t>Les dépenses sont réparties entre les unions selon les quatre catégories suivantes</w:t>
      </w:r>
      <w:r w:rsidR="00AD1C27">
        <w:t> :</w:t>
      </w:r>
    </w:p>
    <w:p w:rsidR="00AE6881" w:rsidRPr="00D505F5" w:rsidRDefault="00AE6881" w:rsidP="00AE6881">
      <w:pPr>
        <w:pStyle w:val="NumbList1"/>
        <w:numPr>
          <w:ilvl w:val="0"/>
          <w:numId w:val="44"/>
        </w:numPr>
        <w:ind w:left="680" w:hanging="340"/>
      </w:pPr>
      <w:r w:rsidRPr="00D505F5">
        <w:t>“dépenses directes des unions” (par exemple, les dépenses faites au titre du programme 5 – Système du PCT – constituent des “dépenses directes” de l</w:t>
      </w:r>
      <w:r w:rsidR="00AD1C27">
        <w:t>’</w:t>
      </w:r>
      <w:r w:rsidRPr="00D505F5">
        <w:t>Union du PCT);</w:t>
      </w:r>
    </w:p>
    <w:p w:rsidR="00AE6881" w:rsidRPr="00D505F5" w:rsidRDefault="00AE6881" w:rsidP="00AE6881">
      <w:pPr>
        <w:pStyle w:val="NumbList1"/>
        <w:numPr>
          <w:ilvl w:val="0"/>
          <w:numId w:val="44"/>
        </w:numPr>
        <w:ind w:left="680" w:hanging="340"/>
      </w:pPr>
      <w:r w:rsidRPr="00D505F5">
        <w:t>“dépenses indirectes des unions” (par exemple, la part des dépenses faites au titre du programme 9 – Bureaux régionaux et PMA – prise en charge par l</w:t>
      </w:r>
      <w:r w:rsidR="00AD1C27">
        <w:t>’</w:t>
      </w:r>
      <w:r w:rsidRPr="00D505F5">
        <w:t>Union du PCT constitue une “dépense indirecte de l</w:t>
      </w:r>
      <w:r w:rsidR="00AD1C27">
        <w:t>’</w:t>
      </w:r>
      <w:r w:rsidRPr="00D505F5">
        <w:t>union”);</w:t>
      </w:r>
    </w:p>
    <w:p w:rsidR="00AE6881" w:rsidRPr="00D505F5" w:rsidRDefault="00AE6881" w:rsidP="00AE6881">
      <w:pPr>
        <w:pStyle w:val="NumbList1"/>
        <w:numPr>
          <w:ilvl w:val="0"/>
          <w:numId w:val="44"/>
        </w:numPr>
        <w:ind w:left="680" w:hanging="340"/>
      </w:pPr>
      <w:r w:rsidRPr="00D505F5">
        <w:t>“dépenses administratives directes” (par exemple, les dépenses faites au titre du programme 23 – DGRH – concernant l</w:t>
      </w:r>
      <w:r w:rsidR="00AD1C27">
        <w:t>’</w:t>
      </w:r>
      <w:r w:rsidRPr="00D505F5">
        <w:t>appui en matière de ressources humaines fourni au programme 5 constituent des “dépenses administratives directes” de l</w:t>
      </w:r>
      <w:r w:rsidR="00AD1C27">
        <w:t>’</w:t>
      </w:r>
      <w:r w:rsidRPr="00D505F5">
        <w:t>Union du PCT);  et</w:t>
      </w:r>
    </w:p>
    <w:p w:rsidR="00AE6881" w:rsidRPr="00D505F5" w:rsidRDefault="00AE6881" w:rsidP="00AE6881">
      <w:pPr>
        <w:pStyle w:val="NumbList1"/>
        <w:numPr>
          <w:ilvl w:val="0"/>
          <w:numId w:val="44"/>
        </w:numPr>
        <w:ind w:left="680" w:hanging="340"/>
      </w:pPr>
      <w:r w:rsidRPr="00D505F5">
        <w:t>“dépenses administratives indirectes” (par exemple, la part des dépenses faites au titre du programme 23 concernant l</w:t>
      </w:r>
      <w:r w:rsidR="00AD1C27">
        <w:t>’</w:t>
      </w:r>
      <w:r w:rsidRPr="00D505F5">
        <w:t>appui en matière de ressources humaines fourni au programme 9 prise en charge par l</w:t>
      </w:r>
      <w:r w:rsidR="00AD1C27">
        <w:t>’</w:t>
      </w:r>
      <w:r w:rsidRPr="00D505F5">
        <w:t>Union du PCT constitue une “dépense administrative indirecte”).</w:t>
      </w:r>
    </w:p>
    <w:p w:rsidR="00AE6881" w:rsidRPr="00D505F5" w:rsidRDefault="00AE6881" w:rsidP="00AE6881">
      <w:r w:rsidRPr="00D505F5">
        <w:t>Les dépenses directes des unions sont réparties entre les unions soit en intégralité soit sur la base d</w:t>
      </w:r>
      <w:r w:rsidR="00AD1C27">
        <w:t>’</w:t>
      </w:r>
      <w:r w:rsidRPr="00D505F5">
        <w:t>estimations d</w:t>
      </w:r>
      <w:r w:rsidR="00811905" w:rsidRPr="00D505F5">
        <w:t>u chef</w:t>
      </w:r>
      <w:r w:rsidRPr="00D505F5">
        <w:t xml:space="preserve"> de program</w:t>
      </w:r>
      <w:r w:rsidR="001D4966" w:rsidRPr="00D505F5">
        <w:t>me</w:t>
      </w:r>
      <w:r w:rsidR="001D4966">
        <w:t xml:space="preserve">.  </w:t>
      </w:r>
      <w:r w:rsidR="001D4966" w:rsidRPr="00D505F5">
        <w:t>Le</w:t>
      </w:r>
      <w:r w:rsidRPr="00D505F5">
        <w:t>s dépenses administratives directes sont réparties entre les unions sur la base de l</w:t>
      </w:r>
      <w:r w:rsidR="00AD1C27">
        <w:t>’</w:t>
      </w:r>
      <w:r w:rsidRPr="00D505F5">
        <w:t>effectif relatif.</w:t>
      </w:r>
    </w:p>
    <w:p w:rsidR="00AE6881" w:rsidRPr="00D505F5" w:rsidRDefault="00AE6881" w:rsidP="00AE6881">
      <w:r w:rsidRPr="00D505F5">
        <w:lastRenderedPageBreak/>
        <w:t>Les dépenses indirectes des unions et les dépenses administratives indirectes sont réparties entre les unions sur la base du principe de la “capacité de paiement”.  Si l</w:t>
      </w:r>
      <w:r w:rsidR="00AD1C27">
        <w:t>’</w:t>
      </w:r>
      <w:r w:rsidRPr="00D505F5">
        <w:t>union dispose d</w:t>
      </w:r>
      <w:r w:rsidR="00AD1C27">
        <w:t>’</w:t>
      </w:r>
      <w:r w:rsidRPr="00D505F5">
        <w:t>un niveau de réserves supérieur au montant recommandé, elle est réputée être à même de financer les activités indirect</w:t>
      </w:r>
      <w:r w:rsidR="001D4966" w:rsidRPr="00D505F5">
        <w:t>es</w:t>
      </w:r>
      <w:r w:rsidR="001D4966">
        <w:t xml:space="preserve">.  </w:t>
      </w:r>
      <w:r w:rsidR="001D4966" w:rsidRPr="00D505F5">
        <w:t>La</w:t>
      </w:r>
      <w:r w:rsidRPr="00D505F5">
        <w:t xml:space="preserve"> “capacité de paiement” représente la différence entre les recettes prévisionnelles biennales d</w:t>
      </w:r>
      <w:r w:rsidR="00AD1C27">
        <w:t>’</w:t>
      </w:r>
      <w:r w:rsidRPr="00D505F5">
        <w:t>une union, d</w:t>
      </w:r>
      <w:r w:rsidR="00AD1C27">
        <w:t>’</w:t>
      </w:r>
      <w:r w:rsidRPr="00D505F5">
        <w:t>une part, et les dépenses directes de l</w:t>
      </w:r>
      <w:r w:rsidR="00AD1C27">
        <w:t>’</w:t>
      </w:r>
      <w:r w:rsidRPr="00D505F5">
        <w:t>union et ses dépenses administratives directes, d</w:t>
      </w:r>
      <w:r w:rsidR="00AD1C27">
        <w:t>’</w:t>
      </w:r>
      <w:r w:rsidRPr="00D505F5">
        <w:t>autre pa</w:t>
      </w:r>
      <w:r w:rsidR="001D4966" w:rsidRPr="00D505F5">
        <w:t>rt</w:t>
      </w:r>
      <w:r w:rsidR="001D4966">
        <w:t xml:space="preserve">.  </w:t>
      </w:r>
      <w:r w:rsidR="001D4966" w:rsidRPr="00D505F5">
        <w:t>La</w:t>
      </w:r>
      <w:r w:rsidRPr="00D505F5">
        <w:t xml:space="preserve"> mesure dans laquelle cet appui peut être fourni par chaque union est fonction de la proportion relative dans laquelle ses recettes dépassent ses dépenses directes.</w:t>
      </w:r>
    </w:p>
    <w:p w:rsidR="00AE6881" w:rsidRPr="00D505F5" w:rsidRDefault="00AE6881" w:rsidP="00AE6881">
      <w:pPr>
        <w:pStyle w:val="Heading2NoNumb"/>
      </w:pPr>
      <w:r w:rsidRPr="00D505F5">
        <w:t>Répartition des dépenses de l</w:t>
      </w:r>
      <w:r w:rsidR="00AD1C27">
        <w:t>’</w:t>
      </w:r>
      <w:r w:rsidRPr="00D505F5">
        <w:t>exercice biennal 2020</w:t>
      </w:r>
      <w:r w:rsidR="00AF4785">
        <w:noBreakHyphen/>
      </w:r>
      <w:r w:rsidRPr="00D505F5">
        <w:t>2021 par catégorie</w:t>
      </w:r>
    </w:p>
    <w:p w:rsidR="00AE6881" w:rsidRPr="00D505F5" w:rsidRDefault="00AE6881" w:rsidP="00AE6881">
      <w:r w:rsidRPr="00D505F5">
        <w:t>Le tableau ci</w:t>
      </w:r>
      <w:r w:rsidR="00AF4785">
        <w:noBreakHyphen/>
      </w:r>
      <w:r w:rsidRPr="00D505F5">
        <w:t>dessous résume la répartition des dépenses de l</w:t>
      </w:r>
      <w:r w:rsidR="00AD1C27">
        <w:t>’</w:t>
      </w:r>
      <w:r w:rsidRPr="00D505F5">
        <w:t>exercice biennal 2020</w:t>
      </w:r>
      <w:r w:rsidR="00AF4785">
        <w:noBreakHyphen/>
      </w:r>
      <w:r w:rsidRPr="00D505F5">
        <w:t>2021 entre les unions sur la base de quatre catégories de répartiti</w:t>
      </w:r>
      <w:r w:rsidR="001D4966" w:rsidRPr="00D505F5">
        <w:t>on</w:t>
      </w:r>
      <w:r w:rsidR="001D4966">
        <w:t xml:space="preserve">.  </w:t>
      </w:r>
      <w:r w:rsidR="001D4966" w:rsidRPr="00D505F5">
        <w:t>Le</w:t>
      </w:r>
      <w:r w:rsidRPr="00D505F5">
        <w:t>s dépenses indirectes sont réparties entre les unions du PCT et de Madrid en fonction de leur “capacité de paiement”.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pPr>
            <w:r w:rsidRPr="00D505F5">
              <w:t>Unions financées par des contributions</w:t>
            </w:r>
          </w:p>
        </w:tc>
        <w:tc>
          <w:tcPr>
            <w:tcW w:w="1000" w:type="pct"/>
            <w:shd w:val="clear" w:color="auto" w:fill="C6CFD7" w:themeFill="accent3" w:themeFillTint="66"/>
          </w:tcPr>
          <w:p w:rsidR="00AE6881" w:rsidRPr="00D505F5" w:rsidRDefault="00AE6881" w:rsidP="0034642C">
            <w:pPr>
              <w:pStyle w:val="TableHeading"/>
            </w:pPr>
            <w:r w:rsidRPr="00D505F5">
              <w:t>Union du PCT</w:t>
            </w:r>
          </w:p>
        </w:tc>
        <w:tc>
          <w:tcPr>
            <w:tcW w:w="1000" w:type="pct"/>
            <w:shd w:val="clear" w:color="auto" w:fill="C6CFD7" w:themeFill="accent3" w:themeFillTint="66"/>
          </w:tcPr>
          <w:p w:rsidR="00AE6881" w:rsidRPr="00D505F5" w:rsidRDefault="00AE6881" w:rsidP="0034642C">
            <w:pPr>
              <w:pStyle w:val="TableHeading"/>
            </w:pPr>
            <w:r w:rsidRPr="00D505F5">
              <w:t>Union de Madrid</w:t>
            </w:r>
          </w:p>
        </w:tc>
        <w:tc>
          <w:tcPr>
            <w:tcW w:w="1000" w:type="pct"/>
            <w:shd w:val="clear" w:color="auto" w:fill="C6CFD7" w:themeFill="accent3" w:themeFillTint="66"/>
          </w:tcPr>
          <w:p w:rsidR="00AE6881" w:rsidRPr="00D505F5" w:rsidRDefault="00AE6881" w:rsidP="0034642C">
            <w:pPr>
              <w:pStyle w:val="TableHeading"/>
            </w:pPr>
            <w:r w:rsidRPr="00D505F5">
              <w:t xml:space="preserve">Union de </w:t>
            </w:r>
            <w:r w:rsidR="00AD1C27">
              <w:t>La Haye</w:t>
            </w:r>
          </w:p>
        </w:tc>
        <w:tc>
          <w:tcPr>
            <w:tcW w:w="1000" w:type="pct"/>
            <w:shd w:val="clear" w:color="auto" w:fill="C6CFD7" w:themeFill="accent3" w:themeFillTint="66"/>
          </w:tcPr>
          <w:p w:rsidR="00AE6881" w:rsidRPr="00D505F5" w:rsidRDefault="00AE6881" w:rsidP="0034642C">
            <w:pPr>
              <w:pStyle w:val="TableHeading"/>
            </w:pPr>
            <w:r w:rsidRPr="00D505F5">
              <w:t>Union de Lisbonne</w:t>
            </w:r>
          </w:p>
        </w:tc>
      </w:tr>
      <w:tr w:rsidR="00AE6881" w:rsidRPr="00D505F5" w:rsidTr="0034642C">
        <w:tc>
          <w:tcPr>
            <w:tcW w:w="1000" w:type="pct"/>
          </w:tcPr>
          <w:p w:rsidR="00AE6881" w:rsidRPr="00D505F5" w:rsidRDefault="00AE6881" w:rsidP="0034642C">
            <w:pPr>
              <w:pStyle w:val="TableText"/>
            </w:pPr>
            <w:r w:rsidRPr="00D505F5">
              <w:t>Dépenses directes de l</w:t>
            </w:r>
            <w:r w:rsidR="00AD1C27">
              <w:t>’</w:t>
            </w:r>
            <w:r w:rsidRPr="00D505F5">
              <w:t>union</w:t>
            </w:r>
          </w:p>
        </w:tc>
        <w:tc>
          <w:tcPr>
            <w:tcW w:w="1000" w:type="pct"/>
          </w:tcPr>
          <w:p w:rsidR="00AE6881" w:rsidRPr="00D505F5" w:rsidRDefault="00AE6881" w:rsidP="0034642C">
            <w:pPr>
              <w:pStyle w:val="TableText"/>
            </w:pPr>
            <w:r w:rsidRPr="00D505F5">
              <w:t>Dépenses directes de l</w:t>
            </w:r>
            <w:r w:rsidR="00AD1C27">
              <w:t>’</w:t>
            </w:r>
            <w:r w:rsidRPr="00D505F5">
              <w:t>union</w:t>
            </w:r>
          </w:p>
        </w:tc>
        <w:tc>
          <w:tcPr>
            <w:tcW w:w="1000" w:type="pct"/>
          </w:tcPr>
          <w:p w:rsidR="00AE6881" w:rsidRPr="00D505F5" w:rsidRDefault="00AE6881" w:rsidP="0034642C">
            <w:pPr>
              <w:pStyle w:val="TableText"/>
            </w:pPr>
            <w:r w:rsidRPr="00D505F5">
              <w:t>Dépenses directes de l</w:t>
            </w:r>
            <w:r w:rsidR="00AD1C27">
              <w:t>’</w:t>
            </w:r>
            <w:r w:rsidRPr="00D505F5">
              <w:t>union</w:t>
            </w:r>
          </w:p>
        </w:tc>
        <w:tc>
          <w:tcPr>
            <w:tcW w:w="1000" w:type="pct"/>
          </w:tcPr>
          <w:p w:rsidR="00AE6881" w:rsidRPr="00D505F5" w:rsidRDefault="00AE6881" w:rsidP="0034642C">
            <w:pPr>
              <w:pStyle w:val="TableText"/>
            </w:pPr>
            <w:r w:rsidRPr="00D505F5">
              <w:t>Dépenses directes de l</w:t>
            </w:r>
            <w:r w:rsidR="00AD1C27">
              <w:t>’</w:t>
            </w:r>
            <w:r w:rsidRPr="00D505F5">
              <w:t>union</w:t>
            </w:r>
          </w:p>
        </w:tc>
        <w:tc>
          <w:tcPr>
            <w:tcW w:w="1000" w:type="pct"/>
          </w:tcPr>
          <w:p w:rsidR="00AE6881" w:rsidRPr="00D505F5" w:rsidRDefault="00AE6881" w:rsidP="0034642C">
            <w:pPr>
              <w:pStyle w:val="TableText"/>
            </w:pPr>
            <w:r w:rsidRPr="00D505F5">
              <w:t>Dépenses directes de l</w:t>
            </w:r>
            <w:r w:rsidR="00AD1C27">
              <w:t>’</w:t>
            </w:r>
            <w:r w:rsidRPr="00D505F5">
              <w:t>union</w:t>
            </w:r>
          </w:p>
        </w:tc>
      </w:tr>
      <w:tr w:rsidR="00AE6881" w:rsidRPr="00D505F5" w:rsidTr="0034642C">
        <w:tc>
          <w:tcPr>
            <w:tcW w:w="1000" w:type="pct"/>
          </w:tcPr>
          <w:p w:rsidR="00AE6881" w:rsidRPr="00D505F5" w:rsidRDefault="00AE6881" w:rsidP="0034642C">
            <w:pPr>
              <w:pStyle w:val="TableText"/>
            </w:pPr>
            <w:r w:rsidRPr="00D505F5">
              <w:t>Dépenses administratives directes</w:t>
            </w:r>
          </w:p>
        </w:tc>
        <w:tc>
          <w:tcPr>
            <w:tcW w:w="1000" w:type="pct"/>
          </w:tcPr>
          <w:p w:rsidR="00AE6881" w:rsidRPr="00D505F5" w:rsidRDefault="00AE6881" w:rsidP="0034642C">
            <w:pPr>
              <w:pStyle w:val="TableText"/>
            </w:pPr>
            <w:r w:rsidRPr="00D505F5">
              <w:t>Dépenses administratives directes</w:t>
            </w:r>
          </w:p>
        </w:tc>
        <w:tc>
          <w:tcPr>
            <w:tcW w:w="1000" w:type="pct"/>
          </w:tcPr>
          <w:p w:rsidR="00AE6881" w:rsidRPr="00D505F5" w:rsidRDefault="00AE6881" w:rsidP="0034642C">
            <w:pPr>
              <w:pStyle w:val="TableText"/>
            </w:pPr>
            <w:r w:rsidRPr="00D505F5">
              <w:t>Dépenses administratives directes</w:t>
            </w:r>
          </w:p>
        </w:tc>
        <w:tc>
          <w:tcPr>
            <w:tcW w:w="1000" w:type="pct"/>
          </w:tcPr>
          <w:p w:rsidR="00AE6881" w:rsidRPr="00D505F5" w:rsidRDefault="00AE6881" w:rsidP="0034642C">
            <w:pPr>
              <w:pStyle w:val="TableText"/>
            </w:pPr>
            <w:r w:rsidRPr="00D505F5">
              <w:t>Dépenses administratives directes</w:t>
            </w:r>
          </w:p>
        </w:tc>
        <w:tc>
          <w:tcPr>
            <w:tcW w:w="1000" w:type="pct"/>
          </w:tcPr>
          <w:p w:rsidR="00AE6881" w:rsidRPr="00D505F5" w:rsidRDefault="00AE6881" w:rsidP="0034642C">
            <w:pPr>
              <w:pStyle w:val="TableText"/>
            </w:pPr>
            <w:r w:rsidRPr="00D505F5">
              <w:t>Dépenses administratives directes</w:t>
            </w:r>
          </w:p>
        </w:tc>
      </w:tr>
      <w:tr w:rsidR="00AE6881" w:rsidRPr="00D505F5" w:rsidTr="0034642C">
        <w:tc>
          <w:tcPr>
            <w:tcW w:w="1000" w:type="pct"/>
          </w:tcPr>
          <w:p w:rsidR="00AE6881" w:rsidRPr="00D505F5" w:rsidRDefault="00AE6881" w:rsidP="0034642C">
            <w:pPr>
              <w:pStyle w:val="TableText"/>
            </w:pPr>
            <w:r w:rsidRPr="00D505F5">
              <w:t>Dépenses indirectes de l</w:t>
            </w:r>
            <w:r w:rsidR="00AD1C27">
              <w:t>’</w:t>
            </w:r>
            <w:r w:rsidRPr="00D505F5">
              <w:t>union</w:t>
            </w:r>
          </w:p>
        </w:tc>
        <w:tc>
          <w:tcPr>
            <w:tcW w:w="1000" w:type="pct"/>
          </w:tcPr>
          <w:p w:rsidR="00AE6881" w:rsidRPr="00D505F5" w:rsidRDefault="00AE6881" w:rsidP="0034642C">
            <w:pPr>
              <w:pStyle w:val="TableText"/>
            </w:pPr>
            <w:r w:rsidRPr="00D505F5">
              <w:t>Dépenses indirectes de l</w:t>
            </w:r>
            <w:r w:rsidR="00AD1C27">
              <w:t>’</w:t>
            </w:r>
            <w:r w:rsidRPr="00D505F5">
              <w:t>union</w:t>
            </w:r>
          </w:p>
        </w:tc>
        <w:tc>
          <w:tcPr>
            <w:tcW w:w="1000" w:type="pct"/>
          </w:tcPr>
          <w:p w:rsidR="00AE6881" w:rsidRPr="00D505F5" w:rsidRDefault="00AE6881" w:rsidP="0034642C">
            <w:pPr>
              <w:pStyle w:val="TableText"/>
            </w:pPr>
            <w:r w:rsidRPr="00D505F5">
              <w:t>Dépenses indirectes de l</w:t>
            </w:r>
            <w:r w:rsidR="00AD1C27">
              <w:t>’</w:t>
            </w:r>
            <w:r w:rsidRPr="00D505F5">
              <w:t>union</w:t>
            </w:r>
          </w:p>
        </w:tc>
        <w:tc>
          <w:tcPr>
            <w:tcW w:w="1000" w:type="pct"/>
          </w:tcPr>
          <w:p w:rsidR="00AE6881" w:rsidRPr="00D505F5" w:rsidRDefault="00AE6881" w:rsidP="0034642C">
            <w:pPr>
              <w:pStyle w:val="TableText"/>
            </w:pPr>
            <w:r w:rsidRPr="00D505F5">
              <w:t>Dépenses indirectes de l</w:t>
            </w:r>
            <w:r w:rsidR="00AD1C27">
              <w:t>’</w:t>
            </w:r>
            <w:r w:rsidRPr="00D505F5">
              <w:t>union</w:t>
            </w:r>
          </w:p>
        </w:tc>
        <w:tc>
          <w:tcPr>
            <w:tcW w:w="1000" w:type="pct"/>
          </w:tcPr>
          <w:p w:rsidR="00AE6881" w:rsidRPr="00D505F5" w:rsidRDefault="00AE6881" w:rsidP="0034642C">
            <w:pPr>
              <w:pStyle w:val="TableText"/>
            </w:pPr>
            <w:r w:rsidRPr="00D505F5">
              <w:t>Dépenses indirectes de l</w:t>
            </w:r>
            <w:r w:rsidR="00AD1C27">
              <w:t>’</w:t>
            </w:r>
            <w:r w:rsidRPr="00D505F5">
              <w:t>union</w:t>
            </w:r>
          </w:p>
        </w:tc>
      </w:tr>
      <w:tr w:rsidR="00AE6881" w:rsidRPr="00D505F5" w:rsidTr="0034642C">
        <w:tc>
          <w:tcPr>
            <w:tcW w:w="1000" w:type="pct"/>
          </w:tcPr>
          <w:p w:rsidR="00AE6881" w:rsidRPr="00D505F5" w:rsidRDefault="00AE6881" w:rsidP="0034642C">
            <w:pPr>
              <w:pStyle w:val="TableText"/>
            </w:pPr>
            <w:r w:rsidRPr="00D505F5">
              <w:t>Dépenses administratives indirectes</w:t>
            </w:r>
          </w:p>
        </w:tc>
        <w:tc>
          <w:tcPr>
            <w:tcW w:w="1000" w:type="pct"/>
          </w:tcPr>
          <w:p w:rsidR="00AE6881" w:rsidRPr="00D505F5" w:rsidRDefault="00AE6881" w:rsidP="0034642C">
            <w:pPr>
              <w:pStyle w:val="TableText"/>
            </w:pPr>
            <w:r w:rsidRPr="00D505F5">
              <w:t>Dépenses administratives indirectes</w:t>
            </w:r>
          </w:p>
        </w:tc>
        <w:tc>
          <w:tcPr>
            <w:tcW w:w="1000" w:type="pct"/>
          </w:tcPr>
          <w:p w:rsidR="00AE6881" w:rsidRPr="00D505F5" w:rsidRDefault="00AE6881" w:rsidP="0034642C">
            <w:pPr>
              <w:pStyle w:val="TableText"/>
            </w:pPr>
            <w:r w:rsidRPr="00D505F5">
              <w:t>Dépenses administratives indirectes</w:t>
            </w:r>
          </w:p>
        </w:tc>
        <w:tc>
          <w:tcPr>
            <w:tcW w:w="1000" w:type="pct"/>
          </w:tcPr>
          <w:p w:rsidR="00AE6881" w:rsidRPr="00D505F5" w:rsidRDefault="00AE6881" w:rsidP="0034642C">
            <w:pPr>
              <w:pStyle w:val="TableText"/>
            </w:pPr>
            <w:r w:rsidRPr="00D505F5">
              <w:t>Dépenses administratives indirectes</w:t>
            </w:r>
          </w:p>
        </w:tc>
        <w:tc>
          <w:tcPr>
            <w:tcW w:w="1000" w:type="pct"/>
          </w:tcPr>
          <w:p w:rsidR="00AE6881" w:rsidRPr="00D505F5" w:rsidRDefault="00AE6881" w:rsidP="0034642C">
            <w:pPr>
              <w:pStyle w:val="TableText"/>
            </w:pPr>
            <w:r w:rsidRPr="00D505F5">
              <w:t>Dépenses administratives indirectes</w:t>
            </w: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Les ajustements IPSAS apportés aux dépenses</w:t>
            </w:r>
          </w:p>
        </w:tc>
      </w:tr>
    </w:tbl>
    <w:p w:rsidR="00AE6881" w:rsidRPr="00D505F5" w:rsidRDefault="00AE6881" w:rsidP="00AE6881">
      <w:pPr>
        <w:pStyle w:val="Heading2NoNumb"/>
      </w:pPr>
      <w:r w:rsidRPr="00D505F5">
        <w:t>Répartition des dépenses par résultat escompté</w:t>
      </w:r>
    </w:p>
    <w:p w:rsidR="00AE6881" w:rsidRPr="00D505F5" w:rsidRDefault="00AE6881" w:rsidP="00AE6881">
      <w:r w:rsidRPr="00D505F5">
        <w:t>Les activités de l</w:t>
      </w:r>
      <w:r w:rsidR="00AD1C27">
        <w:t>’</w:t>
      </w:r>
      <w:r w:rsidRPr="00D505F5">
        <w:t>OMPI sont mises en œuvre conformément à une structure programmatiq</w:t>
      </w:r>
      <w:r w:rsidR="001D4966" w:rsidRPr="00D505F5">
        <w:t>ue</w:t>
      </w:r>
      <w:r w:rsidR="001D4966">
        <w:t xml:space="preserve">.  </w:t>
      </w:r>
      <w:r w:rsidR="001D4966" w:rsidRPr="00D505F5">
        <w:t>Le</w:t>
      </w:r>
      <w:r w:rsidRPr="00D505F5">
        <w:t>s programmes entreprennent des activités qui contribuent à l</w:t>
      </w:r>
      <w:r w:rsidR="00AD1C27">
        <w:t>’</w:t>
      </w:r>
      <w:r w:rsidRPr="00D505F5">
        <w:t>obtention des résultats escomptés au niveau de l</w:t>
      </w:r>
      <w:r w:rsidR="00AD1C27">
        <w:t>’</w:t>
      </w:r>
      <w:r w:rsidRPr="00D505F5">
        <w:t>Organisation.</w:t>
      </w:r>
    </w:p>
    <w:p w:rsidR="00AE6881" w:rsidRPr="00D505F5" w:rsidRDefault="00AE6881" w:rsidP="00AE6881">
      <w:pPr>
        <w:keepNext/>
      </w:pPr>
      <w:r w:rsidRPr="00D505F5">
        <w:t>Les dépenses relatives aux activités menées aux fins de contribuer au résultat escompté I.1 “Renforcement de la coopération entre les États membres en ce qui concerne l</w:t>
      </w:r>
      <w:r w:rsidR="00AD1C27">
        <w:t>’</w:t>
      </w:r>
      <w:r w:rsidRPr="00D505F5">
        <w:t>élaboration de cadres normatifs internationaux équilibrés dans le domaine de la propriété intellectuelle”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1 </w:t>
      </w:r>
      <w:r w:rsidRPr="00D505F5">
        <w:tab/>
        <w:t>(Droit des brevets)</w:t>
      </w:r>
    </w:p>
    <w:p w:rsidR="00AE6881" w:rsidRPr="00D505F5" w:rsidRDefault="00AE6881" w:rsidP="00AE6881">
      <w:pPr>
        <w:pStyle w:val="NormalProgram"/>
        <w:keepNext/>
      </w:pPr>
      <w:r w:rsidRPr="00D505F5">
        <w:t xml:space="preserve">Programme 2 </w:t>
      </w:r>
      <w:r w:rsidRPr="00D505F5">
        <w:tab/>
        <w:t>(Marques, dessins et modèles industriels et indications géographiques)</w:t>
      </w:r>
    </w:p>
    <w:p w:rsidR="00AE6881" w:rsidRPr="00D505F5" w:rsidRDefault="00AE6881" w:rsidP="00AE6881">
      <w:pPr>
        <w:pStyle w:val="NormalProgram"/>
        <w:keepNext/>
      </w:pPr>
      <w:r w:rsidRPr="00D505F5">
        <w:t xml:space="preserve">Programme 3 </w:t>
      </w:r>
      <w:r w:rsidRPr="00D505F5">
        <w:tab/>
        <w:t>(Droit d</w:t>
      </w:r>
      <w:r w:rsidR="00AD1C27">
        <w:t>’</w:t>
      </w:r>
      <w:r w:rsidRPr="00D505F5">
        <w:t>auteur et droits connexes)</w:t>
      </w:r>
    </w:p>
    <w:p w:rsidR="00AE6881" w:rsidRPr="00D505F5" w:rsidRDefault="00AE6881" w:rsidP="00AE6881">
      <w:pPr>
        <w:pStyle w:val="NormalProgram"/>
        <w:keepNext/>
      </w:pPr>
      <w:r w:rsidRPr="00D505F5">
        <w:t>Programme 4</w:t>
      </w:r>
      <w:r w:rsidRPr="00D505F5">
        <w:tab/>
        <w:t>(Savoirs traditionnels, expressions culturelles traditionnelles et ressources génétiques)</w:t>
      </w:r>
    </w:p>
    <w:p w:rsidR="00AE6881" w:rsidRPr="00D505F5" w:rsidRDefault="00AE6881" w:rsidP="00AE6881">
      <w:pPr>
        <w:pStyle w:val="NormalProgram"/>
        <w:keepNext/>
      </w:pPr>
      <w:r w:rsidRPr="00D505F5">
        <w:t>Programme 18</w:t>
      </w:r>
      <w:r w:rsidRPr="00D505F5">
        <w:tab/>
        <w:t>(Propriété intellectuelle et défis mondiaux)</w:t>
      </w:r>
    </w:p>
    <w:p w:rsidR="00AE6881" w:rsidRPr="00D505F5" w:rsidRDefault="00AE6881" w:rsidP="00AE6881">
      <w:pPr>
        <w:keepNext/>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pPr>
            <w:r w:rsidRPr="00D505F5">
              <w:t>Programme 1 – SCP</w:t>
            </w:r>
          </w:p>
          <w:p w:rsidR="00AE6881" w:rsidRPr="00D505F5" w:rsidRDefault="00AE6881" w:rsidP="0034642C">
            <w:pPr>
              <w:pStyle w:val="TableItalicCenter"/>
            </w:pPr>
            <w:r w:rsidRPr="00D505F5">
              <w:t>(10% – estimation du chef de programme)</w:t>
            </w:r>
          </w:p>
        </w:tc>
        <w:tc>
          <w:tcPr>
            <w:tcW w:w="1000" w:type="pct"/>
          </w:tcPr>
          <w:p w:rsidR="00AE6881" w:rsidRPr="00D505F5" w:rsidRDefault="00AE6881" w:rsidP="0034642C">
            <w:pPr>
              <w:pStyle w:val="TableTextCenter"/>
            </w:pPr>
            <w:r w:rsidRPr="00D505F5">
              <w:t>Programme 1 – SCP</w:t>
            </w:r>
          </w:p>
          <w:p w:rsidR="00AE6881" w:rsidRPr="00D505F5" w:rsidRDefault="00AE6881" w:rsidP="0034642C">
            <w:pPr>
              <w:pStyle w:val="TableText"/>
              <w:jc w:val="center"/>
              <w:rPr>
                <w:i/>
              </w:rPr>
            </w:pPr>
            <w:r w:rsidRPr="00D505F5">
              <w:rPr>
                <w:i/>
              </w:rPr>
              <w:t>(90% – estimation du chef de programme)</w:t>
            </w:r>
          </w:p>
        </w:tc>
        <w:tc>
          <w:tcPr>
            <w:tcW w:w="1000" w:type="pct"/>
          </w:tcPr>
          <w:p w:rsidR="00AE6881" w:rsidRPr="00D505F5" w:rsidRDefault="00AE6881" w:rsidP="0034642C">
            <w:pPr>
              <w:pStyle w:val="TableTextCenter"/>
            </w:pPr>
            <w:r w:rsidRPr="00D505F5">
              <w:t>Programme 2 – SCT</w:t>
            </w:r>
          </w:p>
          <w:p w:rsidR="00AE6881" w:rsidRPr="00D505F5" w:rsidRDefault="00AE6881" w:rsidP="0034642C">
            <w:pPr>
              <w:pStyle w:val="TableText"/>
              <w:jc w:val="center"/>
              <w:rPr>
                <w:i/>
              </w:rPr>
            </w:pPr>
            <w:r w:rsidRPr="00D505F5">
              <w:rPr>
                <w:i/>
              </w:rPr>
              <w:t>(65% – estimation du chef de programme)</w:t>
            </w:r>
          </w:p>
        </w:tc>
        <w:tc>
          <w:tcPr>
            <w:tcW w:w="1000" w:type="pct"/>
          </w:tcPr>
          <w:p w:rsidR="00AE6881" w:rsidRPr="00D505F5" w:rsidRDefault="00AE6881" w:rsidP="0034642C">
            <w:pPr>
              <w:pStyle w:val="TableTextCenter"/>
            </w:pPr>
            <w:r w:rsidRPr="00D505F5">
              <w:t>Programme 2 – SCT</w:t>
            </w:r>
          </w:p>
          <w:p w:rsidR="00AE6881" w:rsidRPr="00D505F5" w:rsidRDefault="00AE6881" w:rsidP="0034642C">
            <w:pPr>
              <w:pStyle w:val="TableText"/>
              <w:jc w:val="center"/>
              <w:rPr>
                <w:i/>
              </w:rPr>
            </w:pPr>
            <w:r w:rsidRPr="00D505F5">
              <w:rPr>
                <w:i/>
              </w:rPr>
              <w:t>(15% – estimation du chef de programme)</w:t>
            </w: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pPr>
            <w:r w:rsidRPr="00D505F5">
              <w:t>Programme 2 – SCT</w:t>
            </w:r>
          </w:p>
          <w:p w:rsidR="00AE6881" w:rsidRPr="00D505F5" w:rsidRDefault="00AE6881" w:rsidP="0034642C">
            <w:pPr>
              <w:pStyle w:val="TableText"/>
              <w:keepNext/>
              <w:keepLines/>
              <w:jc w:val="center"/>
              <w:rPr>
                <w:i/>
              </w:rPr>
            </w:pPr>
            <w:r w:rsidRPr="00D505F5">
              <w:rPr>
                <w:i/>
              </w:rPr>
              <w:t>(20% – estimation du chef de programme)</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pPr>
            <w:r w:rsidRPr="00D505F5">
              <w:t>Programme 3 – SCCR</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pPr>
            <w:r w:rsidRPr="00D505F5">
              <w:t>Programme 4 – IGC</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 1 (renforcement des capacités) et programme 18</w:t>
            </w:r>
          </w:p>
        </w:tc>
      </w:tr>
    </w:tbl>
    <w:p w:rsidR="00AE6881" w:rsidRPr="00D505F5" w:rsidRDefault="00AE6881" w:rsidP="00AE6881">
      <w:pPr>
        <w:pStyle w:val="NormalNoSpace"/>
      </w:pPr>
    </w:p>
    <w:p w:rsidR="00AE6881" w:rsidRPr="00D505F5" w:rsidRDefault="00AE6881" w:rsidP="00AE6881">
      <w:pPr>
        <w:keepNext/>
      </w:pPr>
      <w:r w:rsidRPr="00D505F5">
        <w:lastRenderedPageBreak/>
        <w:t>Les dépenses relatives aux activités menées aux fins de contribuer au résultat escompté I.2 “Cadres législatifs, réglementaires et politiques de propriété intellectuelle adaptés et équilibrés” mises en œuvre par les programmes ci</w:t>
      </w:r>
      <w:r w:rsidR="00AF4785">
        <w:noBreakHyphen/>
      </w:r>
      <w:r w:rsidRPr="00D505F5">
        <w:t>après</w:t>
      </w:r>
      <w:r w:rsidR="00AD1C27">
        <w:t> :</w:t>
      </w:r>
    </w:p>
    <w:p w:rsidR="00AE6881" w:rsidRPr="00D505F5" w:rsidRDefault="00AE6881" w:rsidP="00AE6881">
      <w:pPr>
        <w:pStyle w:val="NormalProgram"/>
        <w:keepNext/>
        <w:rPr>
          <w:szCs w:val="18"/>
        </w:rPr>
      </w:pPr>
      <w:r w:rsidRPr="00D505F5">
        <w:rPr>
          <w:szCs w:val="18"/>
        </w:rPr>
        <w:t>Programme 1</w:t>
      </w:r>
      <w:r w:rsidRPr="00D505F5">
        <w:rPr>
          <w:rFonts w:cs="Arial"/>
          <w:szCs w:val="18"/>
        </w:rPr>
        <w:tab/>
        <w:t>(Dr</w:t>
      </w:r>
      <w:r w:rsidRPr="00D505F5">
        <w:rPr>
          <w:szCs w:val="18"/>
        </w:rPr>
        <w:t>oit des brevets)</w:t>
      </w:r>
    </w:p>
    <w:p w:rsidR="00AE6881" w:rsidRPr="00D505F5" w:rsidRDefault="00AE6881" w:rsidP="00AE6881">
      <w:pPr>
        <w:pStyle w:val="NormalProgram"/>
        <w:keepNext/>
        <w:rPr>
          <w:szCs w:val="18"/>
        </w:rPr>
      </w:pPr>
      <w:r w:rsidRPr="00D505F5">
        <w:rPr>
          <w:szCs w:val="18"/>
        </w:rPr>
        <w:t>Programme 2</w:t>
      </w:r>
      <w:r w:rsidRPr="00D505F5">
        <w:rPr>
          <w:szCs w:val="18"/>
        </w:rPr>
        <w:tab/>
        <w:t>(Marques, dessins et modèles industriels et indications géographiques)</w:t>
      </w:r>
    </w:p>
    <w:p w:rsidR="00AE6881" w:rsidRPr="00D505F5" w:rsidRDefault="00AE6881" w:rsidP="00AE6881">
      <w:pPr>
        <w:pStyle w:val="NormalProgram"/>
        <w:keepNext/>
        <w:rPr>
          <w:szCs w:val="18"/>
        </w:rPr>
      </w:pPr>
      <w:r w:rsidRPr="00D505F5">
        <w:rPr>
          <w:szCs w:val="18"/>
        </w:rPr>
        <w:t>Programme 3</w:t>
      </w:r>
      <w:r w:rsidRPr="00D505F5">
        <w:rPr>
          <w:szCs w:val="18"/>
        </w:rPr>
        <w:tab/>
        <w:t>(Droit d</w:t>
      </w:r>
      <w:r w:rsidR="00AD1C27">
        <w:rPr>
          <w:szCs w:val="18"/>
        </w:rPr>
        <w:t>’</w:t>
      </w:r>
      <w:r w:rsidRPr="00D505F5">
        <w:rPr>
          <w:szCs w:val="18"/>
        </w:rPr>
        <w:t>auteur et droits connexes)</w:t>
      </w:r>
    </w:p>
    <w:p w:rsidR="00AE6881" w:rsidRPr="00D505F5" w:rsidRDefault="00AE6881" w:rsidP="00AE6881">
      <w:pPr>
        <w:pStyle w:val="NormalProgram"/>
        <w:keepNext/>
        <w:rPr>
          <w:szCs w:val="18"/>
        </w:rPr>
      </w:pPr>
      <w:r w:rsidRPr="00D505F5">
        <w:rPr>
          <w:szCs w:val="18"/>
        </w:rPr>
        <w:t>Programme 9</w:t>
      </w:r>
      <w:r w:rsidRPr="00D505F5">
        <w:rPr>
          <w:szCs w:val="18"/>
        </w:rPr>
        <w:tab/>
        <w:t>(Bureaux régionaux et PMA)</w:t>
      </w:r>
    </w:p>
    <w:p w:rsidR="00AE6881" w:rsidRPr="00D505F5" w:rsidRDefault="00AE6881" w:rsidP="00AE6881">
      <w:pPr>
        <w:pStyle w:val="NormalProgram"/>
        <w:keepNext/>
        <w:rPr>
          <w:szCs w:val="18"/>
        </w:rPr>
      </w:pPr>
      <w:r w:rsidRPr="00D505F5">
        <w:rPr>
          <w:szCs w:val="18"/>
        </w:rPr>
        <w:t>Programme 10</w:t>
      </w:r>
      <w:r w:rsidRPr="00D505F5">
        <w:rPr>
          <w:szCs w:val="18"/>
        </w:rPr>
        <w:tab/>
        <w:t>(Pays en transition et pays développés)</w:t>
      </w:r>
    </w:p>
    <w:p w:rsidR="00AE6881" w:rsidRPr="00D505F5" w:rsidRDefault="00AE6881" w:rsidP="00AE6881">
      <w:pPr>
        <w:pStyle w:val="NormalProgram"/>
        <w:keepNext/>
        <w:rPr>
          <w:szCs w:val="18"/>
        </w:rPr>
      </w:pPr>
      <w:r w:rsidRPr="00D505F5">
        <w:rPr>
          <w:szCs w:val="18"/>
        </w:rPr>
        <w:t>Programme 17</w:t>
      </w:r>
      <w:r w:rsidRPr="00D505F5">
        <w:rPr>
          <w:szCs w:val="18"/>
        </w:rPr>
        <w:tab/>
        <w:t>(Promotion du respect de la propriété intellectuelle)</w:t>
      </w:r>
    </w:p>
    <w:p w:rsidR="00AE6881" w:rsidRPr="00D505F5" w:rsidRDefault="00AE6881" w:rsidP="00AE6881">
      <w:pPr>
        <w:pStyle w:val="NormalProgram"/>
        <w:keepNext/>
        <w:rPr>
          <w:szCs w:val="18"/>
        </w:rPr>
      </w:pPr>
      <w:r w:rsidRPr="00D505F5">
        <w:rPr>
          <w:szCs w:val="18"/>
        </w:rPr>
        <w:t>Programme 18</w:t>
      </w:r>
      <w:r w:rsidRPr="00D505F5">
        <w:rPr>
          <w:szCs w:val="18"/>
        </w:rPr>
        <w:tab/>
        <w:t>(Propriété intellectuelle et défis mondiaux)</w:t>
      </w:r>
    </w:p>
    <w:p w:rsidR="00AE6881" w:rsidRPr="00D505F5" w:rsidRDefault="00AE6881" w:rsidP="00AE6881">
      <w:pPr>
        <w:pStyle w:val="NormalProgram"/>
        <w:keepNext/>
        <w:rPr>
          <w:szCs w:val="18"/>
        </w:rPr>
      </w:pPr>
      <w:r w:rsidRPr="00D505F5">
        <w:rPr>
          <w:szCs w:val="18"/>
        </w:rPr>
        <w:t>Programme 20</w:t>
      </w:r>
      <w:r w:rsidRPr="00D505F5">
        <w:rPr>
          <w:szCs w:val="18"/>
        </w:rPr>
        <w:tab/>
        <w:t>(Relations extérieures, partenariats et bureaux extérieurs)</w:t>
      </w:r>
    </w:p>
    <w:p w:rsidR="00AE6881" w:rsidRPr="00D505F5" w:rsidRDefault="00AE6881" w:rsidP="00AE6881">
      <w:pPr>
        <w:keepNext/>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keepLines/>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keepNext/>
              <w:keepLines/>
            </w:pPr>
            <w:r w:rsidRPr="00D505F5">
              <w:t>Programme 1 – Promotion du PLT et du Traité de Budapest</w:t>
            </w:r>
          </w:p>
          <w:p w:rsidR="00AE6881" w:rsidRPr="00D505F5" w:rsidRDefault="00AE6881" w:rsidP="0034642C">
            <w:pPr>
              <w:pStyle w:val="TableItalicCenter"/>
            </w:pPr>
            <w:r w:rsidRPr="00D505F5">
              <w:t>(10% – estimation du chef de programme)</w:t>
            </w:r>
          </w:p>
        </w:tc>
        <w:tc>
          <w:tcPr>
            <w:tcW w:w="1000" w:type="pct"/>
          </w:tcPr>
          <w:p w:rsidR="00AE6881" w:rsidRPr="00D505F5" w:rsidRDefault="00AE6881" w:rsidP="0034642C">
            <w:pPr>
              <w:pStyle w:val="TableTextCenter"/>
            </w:pPr>
            <w:r w:rsidRPr="00D505F5">
              <w:t>Programme 1 – Promotion du PLT et du Traité de Budapest</w:t>
            </w:r>
          </w:p>
          <w:p w:rsidR="00AE6881" w:rsidRPr="00D505F5" w:rsidRDefault="00AE6881" w:rsidP="0034642C">
            <w:pPr>
              <w:pStyle w:val="TableItalicCenter"/>
            </w:pPr>
            <w:r w:rsidRPr="00D505F5">
              <w:t>(90% – estimation du chef de programme)</w:t>
            </w:r>
          </w:p>
        </w:tc>
        <w:tc>
          <w:tcPr>
            <w:tcW w:w="1000" w:type="pct"/>
          </w:tcPr>
          <w:p w:rsidR="00AE6881" w:rsidRPr="00D505F5" w:rsidRDefault="00AE6881" w:rsidP="0034642C">
            <w:pPr>
              <w:pStyle w:val="TableTextCenter"/>
            </w:pPr>
            <w:r w:rsidRPr="00D505F5">
              <w:t>Programme 2 – Promotion du Traité de Singapour</w:t>
            </w:r>
          </w:p>
          <w:p w:rsidR="00AE6881" w:rsidRPr="00D505F5" w:rsidRDefault="00AE6881" w:rsidP="0034642C">
            <w:pPr>
              <w:pStyle w:val="TableItalicCenter"/>
            </w:pPr>
            <w:r w:rsidRPr="00D505F5">
              <w:t>(65% – estimation du chef de programme)</w:t>
            </w:r>
          </w:p>
        </w:tc>
        <w:tc>
          <w:tcPr>
            <w:tcW w:w="1000" w:type="pct"/>
          </w:tcPr>
          <w:p w:rsidR="00AE6881" w:rsidRPr="00D505F5" w:rsidRDefault="00AE6881" w:rsidP="0034642C">
            <w:pPr>
              <w:pStyle w:val="TableTextCenter"/>
            </w:pPr>
            <w:r w:rsidRPr="00D505F5">
              <w:t>Programme 2 – Promotion du Traité de Singapour</w:t>
            </w:r>
          </w:p>
          <w:p w:rsidR="00AE6881" w:rsidRPr="00D505F5" w:rsidRDefault="00AE6881" w:rsidP="0034642C">
            <w:pPr>
              <w:pStyle w:val="TableItalicCenter"/>
            </w:pPr>
            <w:r w:rsidRPr="00D505F5">
              <w:t>(15% – estimation du chef de programme)</w:t>
            </w: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keepNext/>
              <w:keepLines/>
            </w:pPr>
            <w:r w:rsidRPr="00D505F5">
              <w:t>Programme 2 – Promotion du Traité de Singapour</w:t>
            </w:r>
          </w:p>
          <w:p w:rsidR="00AE6881" w:rsidRPr="00D505F5" w:rsidRDefault="00AE6881" w:rsidP="0034642C">
            <w:pPr>
              <w:pStyle w:val="TableItalicCenter"/>
            </w:pPr>
            <w:r w:rsidRPr="00D505F5">
              <w:t>(20% – estimation du chef de programme)</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keepNext/>
              <w:keepLines/>
            </w:pPr>
            <w:r w:rsidRPr="00D505F5">
              <w:t>Programme 3 – Promotion des traités (Beijing, Marrakech, WCT, WPPT, etc.)</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1 (conseils législatifs), 9, 10, 17, 18 et 20</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I.3 “Sécurité juridique accrue en ce qui concerne la protection des emblèmes d</w:t>
      </w:r>
      <w:r w:rsidR="00AD1C27">
        <w:t>’</w:t>
      </w:r>
      <w:r w:rsidRPr="00D505F5">
        <w:t>États et des noms et emblèmes d</w:t>
      </w:r>
      <w:r w:rsidR="00AD1C27">
        <w:t>’</w:t>
      </w:r>
      <w:r w:rsidRPr="00D505F5">
        <w:t>organisations internationales intergouvernementales” mises en œuvre par le programme 2 (Marques, dessins et modèles industriels et indications géographiques) sont réparties en tant que dépenses “directes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2 – article 6</w:t>
            </w:r>
            <w:r w:rsidRPr="00D505F5">
              <w:rPr>
                <w:i/>
              </w:rPr>
              <w:t>ter</w:t>
            </w:r>
          </w:p>
          <w:p w:rsidR="00AE6881" w:rsidRPr="00D505F5" w:rsidRDefault="00AE6881" w:rsidP="0034642C">
            <w:pPr>
              <w:pStyle w:val="TableItalicCenter"/>
            </w:pPr>
            <w:r w:rsidRPr="00D505F5">
              <w:t>(20%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2 – article 6</w:t>
            </w:r>
            <w:r w:rsidRPr="00D505F5">
              <w:rPr>
                <w:i/>
              </w:rPr>
              <w:t>ter</w:t>
            </w:r>
          </w:p>
          <w:p w:rsidR="00AE6881" w:rsidRPr="00D505F5" w:rsidRDefault="00AE6881" w:rsidP="0034642C">
            <w:pPr>
              <w:pStyle w:val="TableText"/>
              <w:jc w:val="center"/>
              <w:rPr>
                <w:i/>
              </w:rPr>
            </w:pPr>
            <w:r w:rsidRPr="00D505F5">
              <w:t>(65%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2 – article 6</w:t>
            </w:r>
            <w:r w:rsidRPr="00D505F5">
              <w:rPr>
                <w:i/>
              </w:rPr>
              <w:t>ter</w:t>
            </w:r>
          </w:p>
          <w:p w:rsidR="00AE6881" w:rsidRPr="00D505F5" w:rsidRDefault="00AE6881" w:rsidP="0034642C">
            <w:pPr>
              <w:pStyle w:val="TableText"/>
              <w:jc w:val="center"/>
              <w:rPr>
                <w:i/>
              </w:rPr>
            </w:pPr>
            <w:r w:rsidRPr="00D505F5">
              <w:t>(15%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I.4 “Intérêt croissant pour l</w:t>
      </w:r>
      <w:r w:rsidR="00AD1C27">
        <w:t>’</w:t>
      </w:r>
      <w:r w:rsidRPr="00D505F5">
        <w:t>OMPI en tant qu</w:t>
      </w:r>
      <w:r w:rsidR="00AD1C27">
        <w:t>’</w:t>
      </w:r>
      <w:r w:rsidRPr="00D505F5">
        <w:t>instance d</w:t>
      </w:r>
      <w:r w:rsidR="00AD1C27">
        <w:t>’</w:t>
      </w:r>
      <w:r w:rsidRPr="00D505F5">
        <w:t>analyse des questions relatives à la protection internationale des brevets, modèles d</w:t>
      </w:r>
      <w:r w:rsidR="00AD1C27">
        <w:t>’</w:t>
      </w:r>
      <w:r w:rsidRPr="00D505F5">
        <w:t>utilité, schémas de configuration (topographies) de circuits intégrés et informations confidentielles” mises en œuvre par le programme 1 (Droit des brevets) sont réparties en tant que dépenses “directes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 – Informations confidentielles</w:t>
            </w:r>
          </w:p>
          <w:p w:rsidR="00AE6881" w:rsidRPr="00D505F5" w:rsidRDefault="00AE6881" w:rsidP="0034642C">
            <w:pPr>
              <w:pStyle w:val="TableItalicCenter"/>
            </w:pPr>
            <w:r w:rsidRPr="00D505F5">
              <w:t>(10%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 – Informations confidentielles</w:t>
            </w:r>
          </w:p>
          <w:p w:rsidR="00AE6881" w:rsidRPr="00D505F5" w:rsidRDefault="00AE6881" w:rsidP="0034642C">
            <w:pPr>
              <w:pStyle w:val="TableText"/>
              <w:jc w:val="center"/>
              <w:rPr>
                <w:i/>
              </w:rPr>
            </w:pPr>
            <w:r w:rsidRPr="00D505F5">
              <w:t>(90%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pPr>
      <w:r w:rsidRPr="00D505F5">
        <w:lastRenderedPageBreak/>
        <w:t>Les dépenses relatives aux activités menées aux fins de contribuer au résultat escompté II.1 “Utilisation plus large et plus efficace du système du PCT pour le dépôt des demandes internationales de brevet, notamment par les pays en développement et les PMA”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5 </w:t>
      </w:r>
      <w:r w:rsidRPr="00D505F5">
        <w:tab/>
        <w:t>(PCT)</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 xml:space="preserve">Programme 10 </w:t>
      </w:r>
      <w:r w:rsidRPr="00D505F5">
        <w:tab/>
        <w:t>(Pays en transition et pays développés)</w:t>
      </w:r>
    </w:p>
    <w:p w:rsidR="00AE6881" w:rsidRPr="00D505F5" w:rsidRDefault="00AE6881" w:rsidP="00AE6881">
      <w:pPr>
        <w:pStyle w:val="NormalProgram"/>
        <w:keepNext/>
      </w:pPr>
      <w:r w:rsidRPr="00D505F5">
        <w:t xml:space="preserve">Programme 20 </w:t>
      </w:r>
      <w:r w:rsidRPr="00D505F5">
        <w:tab/>
        <w:t>(Relations extérieures, partenariats et bureaux extérieurs)</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keepNext/>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TextCenter"/>
              <w:keepNext/>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keepNext/>
              <w:jc w:val="center"/>
            </w:pPr>
            <w:r w:rsidRPr="00D505F5">
              <w:t>Programme 5 – Assemblée de l</w:t>
            </w:r>
            <w:r w:rsidR="00AD1C27">
              <w:t>’</w:t>
            </w:r>
            <w:r w:rsidRPr="00D505F5">
              <w:t>Union du PCT, Groupe de travail du PCT, activités juridiques et promotionnelles du PCT</w:t>
            </w:r>
          </w:p>
          <w:p w:rsidR="00AE6881" w:rsidRPr="00D505F5" w:rsidRDefault="00AE6881" w:rsidP="0034642C">
            <w:pPr>
              <w:pStyle w:val="TableText"/>
              <w:keepNext/>
              <w:jc w:val="center"/>
            </w:pPr>
            <w:r w:rsidRPr="00D505F5">
              <w:t>Programme 9 – Promotion du système du PCT</w:t>
            </w:r>
          </w:p>
          <w:p w:rsidR="00AE6881" w:rsidRPr="00D505F5" w:rsidRDefault="00AE6881" w:rsidP="0034642C">
            <w:pPr>
              <w:pStyle w:val="TableText"/>
              <w:keepNext/>
              <w:jc w:val="center"/>
            </w:pPr>
            <w:r w:rsidRPr="00D505F5">
              <w:t>Programme 10 – Promotion du système du PCT</w:t>
            </w:r>
          </w:p>
          <w:p w:rsidR="00AE6881" w:rsidRPr="00D505F5" w:rsidRDefault="00AE6881" w:rsidP="0034642C">
            <w:pPr>
              <w:pStyle w:val="TableText"/>
              <w:keepNext/>
              <w:jc w:val="center"/>
            </w:pPr>
            <w:r w:rsidRPr="00D505F5">
              <w:t>Programme 20 – Promotion du système du PCT</w:t>
            </w:r>
          </w:p>
          <w:p w:rsidR="00AE6881" w:rsidRPr="00D505F5" w:rsidRDefault="00AE6881" w:rsidP="0034642C">
            <w:pPr>
              <w:pStyle w:val="TableText"/>
              <w:keepNext/>
              <w:jc w:val="center"/>
              <w:rPr>
                <w:i/>
              </w:rPr>
            </w:pPr>
          </w:p>
        </w:tc>
        <w:tc>
          <w:tcPr>
            <w:tcW w:w="1000" w:type="pct"/>
          </w:tcPr>
          <w:p w:rsidR="00AE6881" w:rsidRPr="00D505F5" w:rsidRDefault="00AE6881" w:rsidP="0034642C">
            <w:pPr>
              <w:pStyle w:val="TableText"/>
              <w:keepNext/>
              <w:jc w:val="center"/>
              <w:rPr>
                <w:i/>
              </w:rPr>
            </w:pPr>
          </w:p>
        </w:tc>
        <w:tc>
          <w:tcPr>
            <w:tcW w:w="1000" w:type="pct"/>
          </w:tcPr>
          <w:p w:rsidR="00AE6881" w:rsidRPr="00D505F5" w:rsidRDefault="00AE6881" w:rsidP="0034642C">
            <w:pPr>
              <w:pStyle w:val="TableText"/>
              <w:keepNext/>
              <w:jc w:val="center"/>
              <w:rPr>
                <w:i/>
              </w:rPr>
            </w:pPr>
          </w:p>
        </w:tc>
        <w:tc>
          <w:tcPr>
            <w:tcW w:w="1000" w:type="pct"/>
          </w:tcPr>
          <w:p w:rsidR="00AE6881" w:rsidRPr="00D505F5" w:rsidRDefault="00AE6881" w:rsidP="0034642C">
            <w:pPr>
              <w:pStyle w:val="TableText"/>
              <w:keepNext/>
            </w:pPr>
          </w:p>
        </w:tc>
      </w:tr>
    </w:tbl>
    <w:p w:rsidR="00AE6881" w:rsidRPr="00D505F5" w:rsidRDefault="00AE6881" w:rsidP="00AE6881">
      <w:pPr>
        <w:keepNext/>
      </w:pPr>
      <w:r w:rsidRPr="00D505F5">
        <w:t>Les dépenses relatives aux activités menées aux fins de contribuer au résultat escompté II.2 “Amélioration de la productivité et de la qualité de service des opérations du PCT” mises en œuvre par le programme 5 (PCT) sont attribuées en tant que dépenses “directes de l</w:t>
      </w:r>
      <w:r w:rsidR="00AD1C27">
        <w:t>’</w:t>
      </w:r>
      <w:r w:rsidRPr="00D505F5">
        <w:t>union” à l</w:t>
      </w:r>
      <w:r w:rsidR="00AD1C27">
        <w:t>’</w:t>
      </w:r>
      <w:r w:rsidRPr="00D505F5">
        <w:t>Union du PCT.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ItalicCente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r w:rsidRPr="00D505F5">
              <w:t>Programme 5 – Services de traitement, services de traduction et systèmes informatiques du PCT</w:t>
            </w: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pPr>
      <w:r w:rsidRPr="00D505F5">
        <w:t xml:space="preserve">Les dépenses relatives aux activités menées aux fins de contribuer au résultat escompté II.3 “Utilisation plus large et plus efficace du système de </w:t>
      </w:r>
      <w:r w:rsidR="00AD1C27">
        <w:t>La Haye</w:t>
      </w:r>
      <w:r w:rsidRPr="00D505F5">
        <w:t>, notamment par les pays en développement et les PMA”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9 </w:t>
      </w:r>
      <w:r w:rsidRPr="00D505F5">
        <w:tab/>
        <w:t>(Bureaux régionaux et PMA)</w:t>
      </w:r>
    </w:p>
    <w:p w:rsidR="00AE6881" w:rsidRPr="00D505F5" w:rsidRDefault="00AE6881" w:rsidP="00AE6881">
      <w:pPr>
        <w:pStyle w:val="NormalProgram"/>
        <w:keepNext/>
      </w:pPr>
      <w:r w:rsidRPr="00D505F5">
        <w:t xml:space="preserve">Programme 10 </w:t>
      </w:r>
      <w:r w:rsidRPr="00D505F5">
        <w:tab/>
        <w:t>(Pays en transition et pays développés)</w:t>
      </w:r>
    </w:p>
    <w:p w:rsidR="00AE6881" w:rsidRPr="00D505F5" w:rsidRDefault="00AE6881" w:rsidP="00AE6881">
      <w:pPr>
        <w:pStyle w:val="NormalProgram"/>
        <w:keepNext/>
      </w:pPr>
      <w:r w:rsidRPr="00D505F5">
        <w:t xml:space="preserve">Programme 20 </w:t>
      </w:r>
      <w:r w:rsidRPr="00D505F5">
        <w:tab/>
        <w:t>(Relations extérieures et bureaux extérieurs)</w:t>
      </w:r>
    </w:p>
    <w:p w:rsidR="00AE6881" w:rsidRPr="00D505F5" w:rsidRDefault="00AE6881" w:rsidP="00AE6881">
      <w:pPr>
        <w:pStyle w:val="NormalProgram"/>
        <w:keepNext/>
      </w:pPr>
      <w:r w:rsidRPr="00D505F5">
        <w:t>Programme 31</w:t>
      </w:r>
      <w:r w:rsidRPr="00D505F5">
        <w:tab/>
        <w:t xml:space="preserve">(Système de </w:t>
      </w:r>
      <w:r w:rsidR="00AD1C27">
        <w:t>La Haye</w:t>
      </w:r>
      <w:r w:rsidRPr="00D505F5">
        <w:t>)</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pPr>
            <w:r w:rsidRPr="00D505F5">
              <w:t xml:space="preserve">Programme 31 – Groupe de travail de </w:t>
            </w:r>
            <w:r w:rsidR="00AD1C27">
              <w:t>La Haye</w:t>
            </w:r>
            <w:r w:rsidRPr="00D505F5">
              <w:t>, activités juridiques</w:t>
            </w:r>
          </w:p>
          <w:p w:rsidR="00AE6881" w:rsidRPr="00D505F5" w:rsidRDefault="00AE6881" w:rsidP="0034642C">
            <w:pPr>
              <w:pStyle w:val="TableText"/>
              <w:jc w:val="center"/>
            </w:pPr>
            <w:r w:rsidRPr="00D505F5">
              <w:t xml:space="preserve">et promotionnelles de </w:t>
            </w:r>
            <w:r w:rsidR="00AD1C27">
              <w:t>La Haye</w:t>
            </w:r>
          </w:p>
          <w:p w:rsidR="00AE6881" w:rsidRPr="00D505F5" w:rsidRDefault="00AE6881" w:rsidP="0034642C">
            <w:pPr>
              <w:pStyle w:val="TableText"/>
              <w:jc w:val="center"/>
            </w:pPr>
            <w:r w:rsidRPr="00D505F5">
              <w:t xml:space="preserve">Programme 9 – Promotion du système de </w:t>
            </w:r>
            <w:r w:rsidR="00AD1C27">
              <w:t>La Haye</w:t>
            </w:r>
          </w:p>
          <w:p w:rsidR="00AE6881" w:rsidRPr="00D505F5" w:rsidRDefault="00AE6881" w:rsidP="0034642C">
            <w:pPr>
              <w:pStyle w:val="TableText"/>
              <w:jc w:val="center"/>
            </w:pPr>
            <w:r w:rsidRPr="00D505F5">
              <w:t xml:space="preserve">Programme 10 – Promotion du système de </w:t>
            </w:r>
            <w:r w:rsidR="00AD1C27">
              <w:t>La Haye</w:t>
            </w:r>
          </w:p>
          <w:p w:rsidR="00AE6881" w:rsidRPr="00D505F5" w:rsidRDefault="00AE6881" w:rsidP="0034642C">
            <w:pPr>
              <w:pStyle w:val="TableText"/>
              <w:jc w:val="center"/>
              <w:rPr>
                <w:i/>
              </w:rPr>
            </w:pPr>
            <w:r w:rsidRPr="00D505F5">
              <w:t xml:space="preserve">Programme 20 – Promotion du système de </w:t>
            </w:r>
            <w:r w:rsidR="00AD1C27">
              <w:t>La Haye</w:t>
            </w:r>
          </w:p>
        </w:tc>
        <w:tc>
          <w:tcPr>
            <w:tcW w:w="1000" w:type="pct"/>
          </w:tcPr>
          <w:p w:rsidR="00AE6881" w:rsidRPr="00D505F5" w:rsidRDefault="00AE6881" w:rsidP="0034642C">
            <w:pPr>
              <w:pStyle w:val="TableText"/>
            </w:pPr>
          </w:p>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pPr>
      <w:r w:rsidRPr="00D505F5">
        <w:lastRenderedPageBreak/>
        <w:t xml:space="preserve">Les dépenses relatives aux activités menées aux fins de contribuer au résultat escompté II.4 “Amélioration de la productivité et de la qualité de service des opérations de </w:t>
      </w:r>
      <w:r w:rsidR="00AD1C27">
        <w:t>La Haye</w:t>
      </w:r>
      <w:r w:rsidRPr="00D505F5">
        <w:t xml:space="preserve">” mises en œuvre par le programme 31 (Système de </w:t>
      </w:r>
      <w:r w:rsidR="00AD1C27">
        <w:t>La Haye</w:t>
      </w:r>
      <w:r w:rsidRPr="00D505F5">
        <w:t>) sont attribuées en tant que dépenses “directes de l</w:t>
      </w:r>
      <w:r w:rsidR="00AD1C27">
        <w:t>’</w:t>
      </w:r>
      <w:r w:rsidRPr="00D505F5">
        <w:t>union” à l</w:t>
      </w:r>
      <w:r w:rsidR="00AD1C27">
        <w:t>’</w:t>
      </w:r>
      <w:r w:rsidRPr="00D505F5">
        <w:t xml:space="preserve">Union de </w:t>
      </w:r>
      <w:r w:rsidR="00AD1C27">
        <w:t>La Haye</w:t>
      </w:r>
      <w:r w:rsidRPr="00D505F5">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pPr>
            <w:r w:rsidRPr="00D505F5">
              <w:t xml:space="preserve">Programme 31 Services de traitement et système informatique du système de </w:t>
            </w:r>
            <w:r w:rsidR="00AD1C27">
              <w:t>La Haye</w:t>
            </w:r>
          </w:p>
        </w:tc>
        <w:tc>
          <w:tcPr>
            <w:tcW w:w="1000" w:type="pct"/>
          </w:tcPr>
          <w:p w:rsidR="00AE6881" w:rsidRPr="00D505F5" w:rsidRDefault="00AE6881" w:rsidP="0034642C">
            <w:pPr>
              <w:pStyle w:val="TableText"/>
            </w:pPr>
          </w:p>
        </w:tc>
      </w:tr>
    </w:tbl>
    <w:p w:rsidR="00AE6881" w:rsidRPr="00D505F5" w:rsidRDefault="00AE6881" w:rsidP="00AE6881"/>
    <w:p w:rsidR="00AE6881" w:rsidRPr="00D505F5" w:rsidRDefault="00AE6881" w:rsidP="00AE6881">
      <w:pPr>
        <w:keepNext/>
      </w:pPr>
      <w:r w:rsidRPr="00D505F5">
        <w:t>Les dépenses relatives aux activités menées aux fins de contribuer au résultat escompté II.5 “Utilisation plus large et plus efficace du système de Madrid, notamment par les pays en développement et les PMA”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6 </w:t>
      </w:r>
      <w:r w:rsidRPr="00D505F5">
        <w:tab/>
        <w:t>(Système de Madrid)</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 xml:space="preserve">Programme 10 </w:t>
      </w:r>
      <w:r w:rsidRPr="00D505F5">
        <w:tab/>
        <w:t>(Pays en transition et pays développés)</w:t>
      </w:r>
    </w:p>
    <w:p w:rsidR="00AE6881" w:rsidRPr="00D505F5" w:rsidRDefault="00AE6881" w:rsidP="00AE6881">
      <w:pPr>
        <w:pStyle w:val="NormalProgram"/>
        <w:keepNext/>
      </w:pPr>
      <w:r w:rsidRPr="00D505F5">
        <w:t xml:space="preserve">Programme 20 </w:t>
      </w:r>
      <w:r w:rsidRPr="00D505F5">
        <w:tab/>
        <w:t>(Relations extérieures et bureaux extérieurs)</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r w:rsidRPr="00D505F5">
              <w:t>Programme 6 – Assemblée de l</w:t>
            </w:r>
            <w:r w:rsidR="00AD1C27">
              <w:t>’</w:t>
            </w:r>
            <w:r w:rsidRPr="00D505F5">
              <w:t>Union de Madrid, Groupe de travail de Madrid, activités juridiques et promotionnelles du système de Madrid</w:t>
            </w: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Programme 9 – Promotion du système de Madrid</w:t>
            </w:r>
          </w:p>
          <w:p w:rsidR="00AE6881" w:rsidRPr="00D505F5" w:rsidRDefault="00AE6881" w:rsidP="0034642C">
            <w:pPr>
              <w:pStyle w:val="TableText"/>
              <w:jc w:val="center"/>
            </w:pPr>
            <w:r w:rsidRPr="00D505F5">
              <w:t>Programme 10 – Promotion du système de Madrid</w:t>
            </w:r>
          </w:p>
          <w:p w:rsidR="00AE6881" w:rsidRPr="00D505F5" w:rsidRDefault="00AE6881" w:rsidP="0034642C">
            <w:pPr>
              <w:pStyle w:val="TableText"/>
              <w:jc w:val="center"/>
            </w:pPr>
            <w:r w:rsidRPr="00D505F5">
              <w:t>Programme 20 – Promotion du système de Madrid</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II.6 “Amélioration de la productivité et de la qualité de service des opérations du système de Madrid” mises en œuvre par le programme 6 (Système de Madrid) sont attribuées en tant que dépenses “directes de l</w:t>
      </w:r>
      <w:r w:rsidR="00AD1C27">
        <w:t>’</w:t>
      </w:r>
      <w:r w:rsidRPr="00D505F5">
        <w:t>Union” à l</w:t>
      </w:r>
      <w:r w:rsidR="00AD1C27">
        <w:t>’</w:t>
      </w:r>
      <w:r w:rsidRPr="00D505F5">
        <w:t>Union de Madrid.</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spacing w:after="200" w:line="276" w:lineRule="auto"/>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r w:rsidRPr="00D505F5">
              <w:t>Programme 6 – Services de traitement et de traduction et système informatique du système de Madrid</w:t>
            </w:r>
            <w:r w:rsidRPr="00D505F5">
              <w:rPr>
                <w:rStyle w:val="FootnoteReference"/>
              </w:rPr>
              <w:footnoteReference w:id="2"/>
            </w: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keepLines/>
      </w:pPr>
      <w:r w:rsidRPr="00D505F5">
        <w:lastRenderedPageBreak/>
        <w:t>Les dépenses relatives aux activités menées aux fins de contribuer au résultat escompté II.7 “De plus en plus de litiges internationaux ou nationaux de propriété intellectuelle sont évités ou réglés par la médiation, l</w:t>
      </w:r>
      <w:r w:rsidR="00AD1C27">
        <w:t>’</w:t>
      </w:r>
      <w:r w:rsidRPr="00D505F5">
        <w:t>arbitrage et d</w:t>
      </w:r>
      <w:r w:rsidR="00AD1C27">
        <w:t>’</w:t>
      </w:r>
      <w:r w:rsidRPr="00D505F5">
        <w:t>autres modes extrajudiciaires de règlement des litiges de l</w:t>
      </w:r>
      <w:r w:rsidR="00AD1C27">
        <w:t>’</w:t>
      </w:r>
      <w:r w:rsidRPr="00D505F5">
        <w:t>OMPI” et au résultat escompté II.8 “Protection effective de la propriété intellectuelle dans les gTLD et les ccTLD”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7 </w:t>
      </w:r>
      <w:r w:rsidRPr="00D505F5">
        <w:tab/>
        <w:t>(Centre d</w:t>
      </w:r>
      <w:r w:rsidR="00AD1C27">
        <w:t>’</w:t>
      </w:r>
      <w:r w:rsidRPr="00D505F5">
        <w:t>arbitrage et de médiation de l</w:t>
      </w:r>
      <w:r w:rsidR="00AD1C27">
        <w:t>’</w:t>
      </w:r>
      <w:r w:rsidRPr="00D505F5">
        <w:t>OMPI)</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 xml:space="preserve">Programme 10 </w:t>
      </w:r>
      <w:r w:rsidRPr="00D505F5">
        <w:tab/>
        <w:t>(Pays en transition et pays développés)</w:t>
      </w:r>
    </w:p>
    <w:p w:rsidR="00AE6881" w:rsidRPr="00D505F5" w:rsidRDefault="00AE6881" w:rsidP="00AE6881">
      <w:pPr>
        <w:pStyle w:val="NormalProgram"/>
        <w:keepNext/>
      </w:pPr>
      <w:r w:rsidRPr="00D505F5">
        <w:t>Programme 20</w:t>
      </w:r>
      <w:r w:rsidRPr="00D505F5">
        <w:tab/>
        <w:t>(Relations extérieures et bureaux extérieurs)</w:t>
      </w:r>
    </w:p>
    <w:p w:rsidR="00AE6881" w:rsidRPr="00D505F5" w:rsidRDefault="00AE6881" w:rsidP="00AE6881">
      <w:pPr>
        <w:keepNext/>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r w:rsidR="00AD1C27">
        <w:t>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pPr>
            <w:r w:rsidRPr="00D505F5">
              <w:t>Programme 7 – Services de règlement extrajudiciaire des litiges</w:t>
            </w:r>
          </w:p>
          <w:p w:rsidR="00AE6881" w:rsidRPr="00D505F5" w:rsidRDefault="00AE6881" w:rsidP="0034642C">
            <w:pPr>
              <w:pStyle w:val="TableItalicCenter"/>
            </w:pPr>
            <w:r w:rsidRPr="00D505F5">
              <w:t>(18% – estimation du chef de programme)</w:t>
            </w:r>
          </w:p>
        </w:tc>
        <w:tc>
          <w:tcPr>
            <w:tcW w:w="1000" w:type="pct"/>
          </w:tcPr>
          <w:p w:rsidR="00AE6881" w:rsidRPr="00D505F5" w:rsidRDefault="00AE6881" w:rsidP="0034642C">
            <w:pPr>
              <w:pStyle w:val="TableItalicCenter"/>
            </w:pPr>
            <w:r w:rsidRPr="00D505F5">
              <w:rPr>
                <w:i w:val="0"/>
              </w:rPr>
              <w:t>Programme 7 – Services de règlement extrajudiciaire des litiges (17% – estimation du chef de programme)</w:t>
            </w:r>
          </w:p>
        </w:tc>
        <w:tc>
          <w:tcPr>
            <w:tcW w:w="1000" w:type="pct"/>
          </w:tcPr>
          <w:p w:rsidR="00AE6881" w:rsidRPr="00D505F5" w:rsidRDefault="00AE6881" w:rsidP="0034642C">
            <w:pPr>
              <w:pStyle w:val="TableItalicCenter"/>
            </w:pPr>
            <w:r w:rsidRPr="00D505F5">
              <w:rPr>
                <w:i w:val="0"/>
              </w:rPr>
              <w:t>Programme 7 – Services de règlement extrajudiciaire des litiges (46% – estimation du chef de programme)</w:t>
            </w:r>
          </w:p>
        </w:tc>
        <w:tc>
          <w:tcPr>
            <w:tcW w:w="1000" w:type="pct"/>
          </w:tcPr>
          <w:p w:rsidR="00AE6881" w:rsidRPr="00D505F5" w:rsidRDefault="00AE6881" w:rsidP="0034642C">
            <w:pPr>
              <w:pStyle w:val="TableItalicCenter"/>
            </w:pPr>
            <w:r w:rsidRPr="00D505F5">
              <w:rPr>
                <w:i w:val="0"/>
              </w:rPr>
              <w:t>Programme 7 – Services de règlement extrajudiciaire des litiges (19% – estimation du chef de programme)</w:t>
            </w:r>
          </w:p>
        </w:tc>
        <w:tc>
          <w:tcPr>
            <w:tcW w:w="1000" w:type="pct"/>
          </w:tcPr>
          <w:p w:rsidR="00AE6881" w:rsidRPr="00D505F5" w:rsidRDefault="00AE6881" w:rsidP="0034642C">
            <w:pPr>
              <w:pStyle w:val="TableItalicCenter"/>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9, 10 et 20</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II.9 “Utilisation plus large et plus efficace du système de Lisbonne, notamment par les pays en développement et les PMA” mises en œuvre par le programme 32 (Système de Lisbonne) sont attribuées en tant que dépenses “directes de l</w:t>
      </w:r>
      <w:r w:rsidR="00AD1C27">
        <w:t>’</w:t>
      </w:r>
      <w:r w:rsidRPr="00D505F5">
        <w:t>Union” à l</w:t>
      </w:r>
      <w:r w:rsidR="00AD1C27">
        <w:t>’</w:t>
      </w:r>
      <w:r w:rsidRPr="00D505F5">
        <w:t>Union de Lisbonne mises en œuvre par les programmes ci</w:t>
      </w:r>
      <w:r w:rsidR="00AF4785">
        <w:noBreakHyphen/>
      </w:r>
      <w:r w:rsidRPr="00D505F5">
        <w:t>après</w:t>
      </w:r>
      <w:r w:rsidR="00AD1C27">
        <w:t> :</w:t>
      </w:r>
    </w:p>
    <w:p w:rsidR="00AE6881" w:rsidRPr="00D505F5" w:rsidRDefault="00AE6881" w:rsidP="00AE6881">
      <w:pPr>
        <w:keepNext/>
        <w:tabs>
          <w:tab w:val="left" w:pos="1701"/>
        </w:tabs>
        <w:ind w:left="1701" w:hanging="1021"/>
        <w:contextualSpacing/>
        <w:rPr>
          <w:rFonts w:eastAsia="Arial" w:cs="Arial"/>
        </w:rPr>
      </w:pPr>
      <w:r w:rsidRPr="00D505F5">
        <w:rPr>
          <w:rFonts w:eastAsia="Arial" w:cs="Arial"/>
        </w:rPr>
        <w:t>Programme 9 (Bureaux régionaux et PMA)</w:t>
      </w:r>
    </w:p>
    <w:p w:rsidR="00AE6881" w:rsidRPr="00D505F5" w:rsidRDefault="00AE6881" w:rsidP="00AE6881">
      <w:pPr>
        <w:keepNext/>
        <w:tabs>
          <w:tab w:val="left" w:pos="1701"/>
        </w:tabs>
        <w:ind w:left="1701" w:hanging="1021"/>
        <w:contextualSpacing/>
        <w:rPr>
          <w:rFonts w:eastAsia="Arial" w:cs="Arial"/>
        </w:rPr>
      </w:pPr>
      <w:r w:rsidRPr="00D505F5">
        <w:rPr>
          <w:rFonts w:eastAsia="Arial" w:cs="Arial"/>
        </w:rPr>
        <w:t>Programme 10 (Pays en transition et pays développés)</w:t>
      </w:r>
    </w:p>
    <w:p w:rsidR="00AE6881" w:rsidRPr="00D505F5" w:rsidRDefault="00AE6881" w:rsidP="00AE6881">
      <w:pPr>
        <w:keepNext/>
        <w:tabs>
          <w:tab w:val="left" w:pos="1701"/>
        </w:tabs>
        <w:ind w:left="1701" w:hanging="1021"/>
        <w:contextualSpacing/>
        <w:rPr>
          <w:rFonts w:eastAsia="Arial" w:cs="Arial"/>
        </w:rPr>
      </w:pPr>
      <w:r w:rsidRPr="00D505F5">
        <w:rPr>
          <w:rFonts w:eastAsia="Arial" w:cs="Arial"/>
        </w:rPr>
        <w:t>Programme 20 (Relations extérieures et bureaux extérieurs)</w:t>
      </w:r>
    </w:p>
    <w:p w:rsidR="00AE6881" w:rsidRPr="00D505F5" w:rsidRDefault="00AE6881" w:rsidP="00AE6881">
      <w:pPr>
        <w:keepNext/>
        <w:ind w:left="680"/>
        <w:rPr>
          <w:rFonts w:eastAsia="Arial" w:cs="Arial"/>
        </w:rPr>
      </w:pPr>
      <w:r w:rsidRPr="00D505F5">
        <w:rPr>
          <w:rFonts w:eastAsia="Arial" w:cs="Arial"/>
        </w:rPr>
        <w:t>Programme 32 (Service d</w:t>
      </w:r>
      <w:r w:rsidR="00AD1C27">
        <w:rPr>
          <w:rFonts w:eastAsia="Arial" w:cs="Arial"/>
        </w:rPr>
        <w:t>’</w:t>
      </w:r>
      <w:r w:rsidRPr="00D505F5">
        <w:rPr>
          <w:rFonts w:eastAsia="Arial" w:cs="Arial"/>
        </w:rPr>
        <w:t>enregistrement de Lisbonne)</w:t>
      </w:r>
    </w:p>
    <w:p w:rsidR="00AE6881" w:rsidRPr="00D505F5" w:rsidRDefault="00AE6881" w:rsidP="00AE6881">
      <w:pPr>
        <w:keepNext/>
        <w:rPr>
          <w:rFonts w:eastAsia="Arial" w:cs="Arial"/>
        </w:rPr>
      </w:pPr>
      <w:r w:rsidRPr="00D505F5">
        <w:t>sont réparties en tant que dépenses “directes de l</w:t>
      </w:r>
      <w:r w:rsidR="00AD1C27">
        <w:t>’</w:t>
      </w:r>
      <w:r w:rsidRPr="00D505F5">
        <w:t>union”</w:t>
      </w:r>
      <w:r w:rsidR="00525C3B" w:rsidRPr="00D505F5">
        <w:t>,</w:t>
      </w:r>
      <w:r w:rsidRPr="00D505F5">
        <w:t xml:space="preserve"> comme indiqué ci</w:t>
      </w:r>
      <w:r w:rsidR="00AF4785">
        <w:noBreakHyphen/>
      </w:r>
      <w:r w:rsidRPr="00D505F5">
        <w:t>après</w:t>
      </w:r>
      <w:r w:rsidRPr="00D505F5">
        <w:rPr>
          <w:rFonts w:eastAsia="Arial" w:cs="Arial"/>
        </w:rPr>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TextCenter"/>
              <w:keepNext/>
            </w:pPr>
          </w:p>
        </w:tc>
        <w:tc>
          <w:tcPr>
            <w:tcW w:w="1000" w:type="pct"/>
            <w:shd w:val="clear" w:color="auto" w:fill="C6CFD7" w:themeFill="accent3" w:themeFillTint="66"/>
          </w:tcPr>
          <w:p w:rsidR="00AE6881" w:rsidRPr="00D505F5" w:rsidRDefault="00AE6881" w:rsidP="0034642C">
            <w:pPr>
              <w:pStyle w:val="TableHeading"/>
              <w:jc w:val="center"/>
            </w:pPr>
            <w:r w:rsidRPr="00D505F5">
              <w:t>Union de Lisbonne</w:t>
            </w:r>
          </w:p>
          <w:p w:rsidR="00AE6881" w:rsidRPr="00D505F5" w:rsidRDefault="00AE6881" w:rsidP="0034642C">
            <w:pPr>
              <w:pStyle w:val="TableTextCenter"/>
              <w:keepNext/>
            </w:pPr>
            <w:r w:rsidRPr="00D505F5">
              <w:t>Dépenses directes de l</w:t>
            </w:r>
            <w:r w:rsidR="00AD1C27">
              <w:t>’</w:t>
            </w:r>
            <w:r w:rsidRPr="00D505F5">
              <w:t>union</w:t>
            </w: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ItalicCente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jc w:val="center"/>
              <w:rPr>
                <w:i/>
              </w:rPr>
            </w:pPr>
          </w:p>
        </w:tc>
        <w:tc>
          <w:tcPr>
            <w:tcW w:w="1000" w:type="pct"/>
            <w:tcBorders>
              <w:bottom w:val="single" w:sz="18" w:space="0" w:color="C6CFD7" w:themeColor="accent3" w:themeTint="66"/>
            </w:tcBorders>
          </w:tcPr>
          <w:p w:rsidR="00AE6881" w:rsidRPr="00D505F5" w:rsidRDefault="00AE6881" w:rsidP="0034642C">
            <w:pPr>
              <w:pStyle w:val="TableText"/>
              <w:jc w:val="center"/>
            </w:pPr>
            <w:r w:rsidRPr="00D505F5">
              <w:t>Programme 32 – Traitement et développement informatique du système de Lisbonne, Groupe de travail de Lisbonne, promotion</w:t>
            </w:r>
          </w:p>
          <w:p w:rsidR="00AE6881" w:rsidRPr="00D505F5" w:rsidRDefault="00AE6881" w:rsidP="0034642C">
            <w:pPr>
              <w:pStyle w:val="TableText"/>
              <w:jc w:val="center"/>
            </w:pPr>
            <w:r w:rsidRPr="00D505F5">
              <w:t>Programme 9 – Promotion du système de Lisbonne</w:t>
            </w:r>
          </w:p>
          <w:p w:rsidR="00AE6881" w:rsidRPr="00D505F5" w:rsidRDefault="00AE6881" w:rsidP="0034642C">
            <w:pPr>
              <w:pStyle w:val="TableText"/>
              <w:jc w:val="center"/>
            </w:pPr>
            <w:r w:rsidRPr="00D505F5">
              <w:t>Programme 10 – Promotion du système de Lisbonne</w:t>
            </w:r>
          </w:p>
          <w:p w:rsidR="00AE6881" w:rsidRPr="00D505F5" w:rsidRDefault="00AE6881" w:rsidP="0034642C">
            <w:pPr>
              <w:pStyle w:val="TableText"/>
              <w:jc w:val="center"/>
            </w:pPr>
            <w:r w:rsidRPr="00D505F5">
              <w:t>Programme 20 – Promotion du système de Lisbonne</w:t>
            </w:r>
          </w:p>
        </w:tc>
      </w:tr>
    </w:tbl>
    <w:p w:rsidR="00AE6881" w:rsidRPr="00D505F5" w:rsidRDefault="00AE6881" w:rsidP="00AE6881">
      <w:pPr>
        <w:spacing w:after="0" w:line="240" w:lineRule="auto"/>
        <w:rPr>
          <w:rFonts w:eastAsia="Arial" w:cs="Arial"/>
        </w:rPr>
      </w:pPr>
    </w:p>
    <w:p w:rsidR="00AE6881" w:rsidRPr="00D505F5" w:rsidRDefault="00AE6881" w:rsidP="00AE6881">
      <w:pPr>
        <w:spacing w:after="0" w:line="240" w:lineRule="auto"/>
        <w:rPr>
          <w:rFonts w:eastAsia="Arial" w:cs="Arial"/>
        </w:rPr>
      </w:pPr>
      <w:r w:rsidRPr="00D505F5">
        <w:rPr>
          <w:rFonts w:eastAsia="Arial" w:cs="Arial"/>
        </w:rPr>
        <w:t>Les dépenses relatives aux activités menées aux fins de contribuer au résultat escompté II.10 “Amélioration de la productivité et de la qualité de service des opérations du système de Lisbonne” mises en œuvre par le programme 32 (Système de Lisbonne) sont attribuées en tant que dépenses “directes de l</w:t>
      </w:r>
      <w:r w:rsidR="00AD1C27">
        <w:rPr>
          <w:rFonts w:eastAsia="Arial" w:cs="Arial"/>
        </w:rPr>
        <w:t>’</w:t>
      </w:r>
      <w:r w:rsidRPr="00D505F5">
        <w:rPr>
          <w:rFonts w:eastAsia="Arial" w:cs="Arial"/>
        </w:rPr>
        <w:t>Union” à l</w:t>
      </w:r>
      <w:r w:rsidR="00AD1C27">
        <w:rPr>
          <w:rFonts w:eastAsia="Arial" w:cs="Arial"/>
        </w:rPr>
        <w:t>’</w:t>
      </w:r>
      <w:r w:rsidRPr="00D505F5">
        <w:rPr>
          <w:rFonts w:eastAsia="Arial" w:cs="Arial"/>
        </w:rPr>
        <w:t>Union de Lisbonne.</w:t>
      </w:r>
    </w:p>
    <w:p w:rsidR="00AE6881" w:rsidRPr="00D505F5" w:rsidRDefault="00AE6881" w:rsidP="00AE6881">
      <w:pPr>
        <w:spacing w:after="0" w:line="240" w:lineRule="auto"/>
        <w:rPr>
          <w:rFonts w:eastAsia="Arial" w:cs="Arial"/>
        </w:rPr>
      </w:pPr>
    </w:p>
    <w:tbl>
      <w:tblPr>
        <w:tblStyle w:val="TableGrid7"/>
        <w:tblW w:w="9639" w:type="dxa"/>
        <w:tblBorders>
          <w:top w:val="none" w:sz="0" w:space="0" w:color="auto"/>
          <w:left w:val="none" w:sz="0" w:space="0" w:color="auto"/>
          <w:bottom w:val="single" w:sz="12" w:space="0" w:color="AAB8C4"/>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1777"/>
        <w:gridCol w:w="2078"/>
      </w:tblGrid>
      <w:tr w:rsidR="00AE6881" w:rsidRPr="00D505F5" w:rsidTr="0034642C">
        <w:tc>
          <w:tcPr>
            <w:tcW w:w="1000" w:type="pct"/>
            <w:shd w:val="clear" w:color="auto" w:fill="C6CFD7"/>
          </w:tcPr>
          <w:p w:rsidR="00AE6881" w:rsidRPr="00D505F5" w:rsidRDefault="00AE6881" w:rsidP="0034642C">
            <w:pPr>
              <w:spacing w:after="0" w:line="200" w:lineRule="atLeast"/>
              <w:ind w:left="113"/>
              <w:jc w:val="center"/>
              <w:rPr>
                <w:rFonts w:ascii="Arial Narrow" w:hAnsi="Arial Narrow"/>
                <w:sz w:val="16"/>
              </w:rPr>
            </w:pPr>
          </w:p>
        </w:tc>
        <w:tc>
          <w:tcPr>
            <w:tcW w:w="1000" w:type="pct"/>
            <w:shd w:val="clear" w:color="auto" w:fill="C6CFD7"/>
          </w:tcPr>
          <w:p w:rsidR="00AE6881" w:rsidRPr="00D505F5" w:rsidRDefault="00AE6881" w:rsidP="0034642C">
            <w:pPr>
              <w:spacing w:after="0" w:line="200" w:lineRule="atLeast"/>
              <w:ind w:left="113"/>
              <w:jc w:val="center"/>
              <w:rPr>
                <w:rFonts w:ascii="Arial Narrow" w:hAnsi="Arial Narrow"/>
                <w:sz w:val="16"/>
              </w:rPr>
            </w:pPr>
          </w:p>
        </w:tc>
        <w:tc>
          <w:tcPr>
            <w:tcW w:w="1000" w:type="pct"/>
            <w:shd w:val="clear" w:color="auto" w:fill="C6CFD7"/>
          </w:tcPr>
          <w:p w:rsidR="00AE6881" w:rsidRPr="00D505F5" w:rsidRDefault="00AE6881" w:rsidP="0034642C">
            <w:pPr>
              <w:spacing w:after="0" w:line="200" w:lineRule="atLeast"/>
              <w:ind w:left="113"/>
              <w:jc w:val="center"/>
              <w:rPr>
                <w:rFonts w:ascii="Arial Narrow" w:hAnsi="Arial Narrow"/>
                <w:sz w:val="16"/>
              </w:rPr>
            </w:pPr>
          </w:p>
        </w:tc>
        <w:tc>
          <w:tcPr>
            <w:tcW w:w="922" w:type="pct"/>
            <w:shd w:val="clear" w:color="auto" w:fill="C6CFD7"/>
          </w:tcPr>
          <w:p w:rsidR="00AE6881" w:rsidRPr="00D505F5" w:rsidRDefault="00AE6881" w:rsidP="0034642C">
            <w:pPr>
              <w:spacing w:after="0" w:line="200" w:lineRule="atLeast"/>
              <w:ind w:left="113"/>
              <w:jc w:val="center"/>
              <w:rPr>
                <w:rFonts w:ascii="Arial Narrow" w:hAnsi="Arial Narrow"/>
                <w:sz w:val="16"/>
              </w:rPr>
            </w:pPr>
          </w:p>
        </w:tc>
        <w:tc>
          <w:tcPr>
            <w:tcW w:w="1078" w:type="pct"/>
            <w:shd w:val="clear" w:color="auto" w:fill="C6CFD7"/>
          </w:tcPr>
          <w:p w:rsidR="00AE6881" w:rsidRPr="00D505F5" w:rsidRDefault="00AE6881" w:rsidP="0034642C">
            <w:pPr>
              <w:pStyle w:val="TableHeading"/>
              <w:jc w:val="center"/>
            </w:pPr>
            <w:r w:rsidRPr="00D505F5">
              <w:t>Union de Lisbonne</w:t>
            </w:r>
          </w:p>
          <w:p w:rsidR="00AE6881" w:rsidRPr="00D505F5" w:rsidRDefault="00AE6881" w:rsidP="0034642C">
            <w:pPr>
              <w:pStyle w:val="TableTextCenter"/>
              <w:keepNext/>
            </w:pPr>
            <w:r w:rsidRPr="00D505F5">
              <w:t>Dépenses directes de l</w:t>
            </w:r>
            <w:r w:rsidR="00AD1C27">
              <w:t>’</w:t>
            </w:r>
            <w:r w:rsidRPr="00D505F5">
              <w:t>union</w:t>
            </w:r>
          </w:p>
        </w:tc>
      </w:tr>
      <w:tr w:rsidR="00AE6881" w:rsidRPr="00D505F5" w:rsidTr="0034642C">
        <w:tc>
          <w:tcPr>
            <w:tcW w:w="1000" w:type="pct"/>
          </w:tcPr>
          <w:p w:rsidR="00AE6881" w:rsidRPr="00D505F5" w:rsidRDefault="00AE6881" w:rsidP="0034642C">
            <w:pPr>
              <w:keepNext/>
              <w:keepLines/>
              <w:spacing w:after="0" w:line="200" w:lineRule="atLeast"/>
              <w:ind w:left="113"/>
              <w:jc w:val="center"/>
              <w:rPr>
                <w:rFonts w:ascii="Arial Narrow" w:hAnsi="Arial Narrow"/>
                <w:i/>
                <w:sz w:val="16"/>
              </w:rPr>
            </w:pPr>
          </w:p>
        </w:tc>
        <w:tc>
          <w:tcPr>
            <w:tcW w:w="1000" w:type="pct"/>
          </w:tcPr>
          <w:p w:rsidR="00AE6881" w:rsidRPr="00D505F5" w:rsidRDefault="00AE6881" w:rsidP="0034642C">
            <w:pPr>
              <w:spacing w:after="0" w:line="200" w:lineRule="atLeast"/>
              <w:jc w:val="center"/>
              <w:rPr>
                <w:rFonts w:ascii="Arial Narrow" w:hAnsi="Arial Narrow"/>
                <w:i/>
                <w:sz w:val="16"/>
              </w:rPr>
            </w:pPr>
          </w:p>
        </w:tc>
        <w:tc>
          <w:tcPr>
            <w:tcW w:w="1000" w:type="pct"/>
          </w:tcPr>
          <w:p w:rsidR="00AE6881" w:rsidRPr="00D505F5" w:rsidRDefault="00AE6881" w:rsidP="0034642C">
            <w:pPr>
              <w:spacing w:after="0" w:line="200" w:lineRule="atLeast"/>
              <w:jc w:val="center"/>
              <w:rPr>
                <w:rFonts w:ascii="Arial Narrow" w:hAnsi="Arial Narrow"/>
                <w:i/>
                <w:sz w:val="16"/>
              </w:rPr>
            </w:pPr>
          </w:p>
        </w:tc>
        <w:tc>
          <w:tcPr>
            <w:tcW w:w="922" w:type="pct"/>
          </w:tcPr>
          <w:p w:rsidR="00AE6881" w:rsidRPr="00D505F5" w:rsidRDefault="00AE6881" w:rsidP="0034642C">
            <w:pPr>
              <w:spacing w:after="0" w:line="200" w:lineRule="atLeast"/>
              <w:jc w:val="center"/>
              <w:rPr>
                <w:rFonts w:ascii="Arial Narrow" w:hAnsi="Arial Narrow"/>
                <w:i/>
                <w:sz w:val="16"/>
              </w:rPr>
            </w:pPr>
          </w:p>
        </w:tc>
        <w:tc>
          <w:tcPr>
            <w:tcW w:w="1078" w:type="pct"/>
          </w:tcPr>
          <w:p w:rsidR="00AE6881" w:rsidRPr="00D505F5" w:rsidRDefault="00AE6881" w:rsidP="0034642C">
            <w:pPr>
              <w:spacing w:after="0" w:line="200" w:lineRule="atLeast"/>
              <w:jc w:val="center"/>
              <w:rPr>
                <w:rFonts w:ascii="Arial Narrow" w:hAnsi="Arial Narrow"/>
                <w:sz w:val="16"/>
              </w:rPr>
            </w:pPr>
            <w:r w:rsidRPr="00D505F5">
              <w:rPr>
                <w:rFonts w:ascii="Arial Narrow" w:hAnsi="Arial Narrow"/>
                <w:sz w:val="16"/>
              </w:rPr>
              <w:t>Programme 32 – Traitement et développement informatique du système de Lisbonne, Groupe de travail de Lisbonne, promotion</w:t>
            </w:r>
          </w:p>
        </w:tc>
      </w:tr>
    </w:tbl>
    <w:p w:rsidR="00AE6881" w:rsidRPr="00D505F5" w:rsidRDefault="00AE6881" w:rsidP="00AE6881">
      <w:pPr>
        <w:pStyle w:val="NormalNoSpace"/>
      </w:pPr>
    </w:p>
    <w:p w:rsidR="00AE6881" w:rsidRPr="00D505F5" w:rsidRDefault="00AE6881" w:rsidP="00AE6881">
      <w:pPr>
        <w:keepNext/>
        <w:keepLines/>
      </w:pPr>
      <w:r w:rsidRPr="00D505F5">
        <w:lastRenderedPageBreak/>
        <w:t>Les dépenses relatives aux activités menées aux fins de contribuer au résultat escompté III.2 “Mise en valeur des ressources humaines pour répondre aux besoins variés en matière d</w:t>
      </w:r>
      <w:r w:rsidR="00AD1C27">
        <w:t>’</w:t>
      </w:r>
      <w:r w:rsidRPr="00D505F5">
        <w:t>utilisation efficace de la propriété intellectuelle au service du développement dans les pays en développement, les PMA et les économies en transition”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Programme 2</w:t>
      </w:r>
      <w:r w:rsidRPr="00D505F5">
        <w:tab/>
        <w:t>(Marques, dessins et modèles industriels et indications géographiques)</w:t>
      </w:r>
    </w:p>
    <w:p w:rsidR="00AE6881" w:rsidRPr="00D505F5" w:rsidRDefault="00AE6881" w:rsidP="00AE6881">
      <w:pPr>
        <w:pStyle w:val="NormalProgram"/>
        <w:keepNext/>
      </w:pPr>
      <w:r w:rsidRPr="00D505F5">
        <w:t>Programme 3</w:t>
      </w:r>
      <w:r w:rsidRPr="00D505F5">
        <w:tab/>
        <w:t>(Droit d</w:t>
      </w:r>
      <w:r w:rsidR="00AD1C27">
        <w:t>’</w:t>
      </w:r>
      <w:r w:rsidRPr="00D505F5">
        <w:t>auteur et droits connexes)</w:t>
      </w:r>
    </w:p>
    <w:p w:rsidR="00AE6881" w:rsidRPr="00D505F5" w:rsidRDefault="00AE6881" w:rsidP="00AE6881">
      <w:pPr>
        <w:pStyle w:val="NormalProgram"/>
        <w:keepNext/>
      </w:pPr>
      <w:r w:rsidRPr="00D505F5">
        <w:t xml:space="preserve">Programme 4 </w:t>
      </w:r>
      <w:r w:rsidRPr="00D505F5">
        <w:tab/>
        <w:t>(Savoirs traditionnels, expressions culturelles traditionnelles et ressources génétiques)</w:t>
      </w:r>
    </w:p>
    <w:p w:rsidR="00AE6881" w:rsidRPr="00D505F5" w:rsidRDefault="00AE6881" w:rsidP="00AE6881">
      <w:pPr>
        <w:pStyle w:val="NormalProgram"/>
        <w:keepNext/>
        <w:rPr>
          <w:rFonts w:eastAsia="Arial" w:cs="Arial"/>
        </w:rPr>
      </w:pPr>
      <w:r w:rsidRPr="00D505F5">
        <w:t>Programme </w:t>
      </w:r>
      <w:r w:rsidRPr="00D505F5">
        <w:rPr>
          <w:rFonts w:eastAsia="Arial" w:cs="Arial"/>
        </w:rPr>
        <w:t>8</w:t>
      </w:r>
      <w:r w:rsidRPr="00D505F5">
        <w:rPr>
          <w:rFonts w:eastAsia="Arial" w:cs="Arial"/>
        </w:rPr>
        <w:tab/>
        <w:t>(Coordination du Plan d</w:t>
      </w:r>
      <w:r w:rsidR="00AD1C27">
        <w:rPr>
          <w:rFonts w:eastAsia="Arial" w:cs="Arial"/>
        </w:rPr>
        <w:t>’</w:t>
      </w:r>
      <w:r w:rsidRPr="00D505F5">
        <w:rPr>
          <w:rFonts w:eastAsia="Arial" w:cs="Arial"/>
        </w:rPr>
        <w:t>action pour le développement)</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 xml:space="preserve">Programme 10 </w:t>
      </w:r>
      <w:r w:rsidRPr="00D505F5">
        <w:tab/>
        <w:t>(Pays en transition et pays développés)</w:t>
      </w:r>
    </w:p>
    <w:p w:rsidR="00AE6881" w:rsidRPr="00D505F5" w:rsidRDefault="00AE6881" w:rsidP="00AE6881">
      <w:pPr>
        <w:pStyle w:val="NormalProgram"/>
        <w:keepNext/>
      </w:pPr>
      <w:r w:rsidRPr="00D505F5">
        <w:t xml:space="preserve">Programme 11 </w:t>
      </w:r>
      <w:r w:rsidRPr="00D505F5">
        <w:tab/>
        <w:t>(Académie de l</w:t>
      </w:r>
      <w:r w:rsidR="00AD1C27">
        <w:t>’</w:t>
      </w:r>
      <w:r w:rsidRPr="00D505F5">
        <w:t>OMPI)</w:t>
      </w:r>
    </w:p>
    <w:p w:rsidR="00AE6881" w:rsidRPr="00D505F5" w:rsidRDefault="00AE6881" w:rsidP="00AE6881">
      <w:pPr>
        <w:pStyle w:val="NormalProgram"/>
        <w:keepNext/>
      </w:pPr>
      <w:r w:rsidRPr="00D505F5">
        <w:t xml:space="preserve">Programme 14 </w:t>
      </w:r>
      <w:r w:rsidRPr="00D505F5">
        <w:tab/>
        <w:t>(Information et savoirs)</w:t>
      </w:r>
    </w:p>
    <w:p w:rsidR="00AE6881" w:rsidRPr="00D505F5" w:rsidRDefault="00AE6881" w:rsidP="00AE6881">
      <w:pPr>
        <w:pStyle w:val="NormalProgram"/>
        <w:keepNext/>
      </w:pPr>
      <w:r w:rsidRPr="00D505F5">
        <w:t>Programme 17</w:t>
      </w:r>
      <w:r w:rsidRPr="00D505F5">
        <w:tab/>
        <w:t>(Promotion du respect de la propriété intellectuelle)</w:t>
      </w:r>
    </w:p>
    <w:p w:rsidR="00AE6881" w:rsidRPr="00D505F5" w:rsidRDefault="00AE6881" w:rsidP="00AE6881">
      <w:pPr>
        <w:pStyle w:val="NormalProgram"/>
        <w:keepNext/>
      </w:pPr>
      <w:r w:rsidRPr="00D505F5">
        <w:t>Programme 18</w:t>
      </w:r>
      <w:r w:rsidRPr="00D505F5">
        <w:tab/>
        <w:t>(Propriété intellectuelle et défis mondiaux)</w:t>
      </w:r>
    </w:p>
    <w:p w:rsidR="00AE6881" w:rsidRPr="00D505F5" w:rsidRDefault="00AE6881" w:rsidP="00AE6881">
      <w:pPr>
        <w:pStyle w:val="NormalProgram"/>
        <w:keepNext/>
      </w:pPr>
      <w:r w:rsidRPr="00D505F5">
        <w:t xml:space="preserve">Programme 20 </w:t>
      </w:r>
      <w:r w:rsidRPr="00D505F5">
        <w:tab/>
        <w:t>(Relations extérieures et bureaux extérieurs)</w:t>
      </w:r>
    </w:p>
    <w:p w:rsidR="00AE6881" w:rsidRPr="00D505F5" w:rsidRDefault="00AE6881" w:rsidP="00AE6881">
      <w:pPr>
        <w:pStyle w:val="NormalProgram"/>
        <w:keepNext/>
      </w:pPr>
      <w:r w:rsidRPr="00D505F5">
        <w:t xml:space="preserve">Programme 30 </w:t>
      </w:r>
      <w:r w:rsidRPr="00D505F5">
        <w:tab/>
        <w:t>(PME)</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r w:rsidR="00AD1C27">
        <w:t>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pPr>
            <w:r w:rsidRPr="00D505F5">
              <w:t>Programme 2 – Renforcement des capacités en matière de marques, de dessins et modèles et d</w:t>
            </w:r>
            <w:r w:rsidR="00AD1C27">
              <w:t>’</w:t>
            </w:r>
            <w:r w:rsidRPr="00D505F5">
              <w:t>indications géographiques</w:t>
            </w:r>
          </w:p>
          <w:p w:rsidR="00AE6881" w:rsidRPr="00D505F5" w:rsidRDefault="00AE6881" w:rsidP="0034642C">
            <w:pPr>
              <w:pStyle w:val="TableItalicCenter"/>
            </w:pPr>
            <w:r w:rsidRPr="00D505F5">
              <w:t>(20% – estimation du chef de programme)</w:t>
            </w: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Center"/>
            </w:pPr>
            <w:r w:rsidRPr="00D505F5">
              <w:t>Programme 2 – Renforcement des capacités en matière de marques, de dessins et modèles et d</w:t>
            </w:r>
            <w:r w:rsidR="00AD1C27">
              <w:t>’</w:t>
            </w:r>
            <w:r w:rsidRPr="00D505F5">
              <w:t>indications géographiques</w:t>
            </w:r>
          </w:p>
          <w:p w:rsidR="00AE6881" w:rsidRPr="00D505F5" w:rsidRDefault="00AE6881" w:rsidP="0034642C">
            <w:pPr>
              <w:pStyle w:val="TableItalicCenter"/>
            </w:pPr>
            <w:r w:rsidRPr="00D505F5">
              <w:t>(65% – estimation du chef de programme)</w:t>
            </w:r>
          </w:p>
        </w:tc>
        <w:tc>
          <w:tcPr>
            <w:tcW w:w="1000" w:type="pct"/>
          </w:tcPr>
          <w:p w:rsidR="00AE6881" w:rsidRPr="00D505F5" w:rsidRDefault="00AE6881" w:rsidP="0034642C">
            <w:pPr>
              <w:pStyle w:val="TableTextCenter"/>
            </w:pPr>
            <w:r w:rsidRPr="00D505F5">
              <w:t>Programme 2 – Renforcement des capacités en matière de marques, de dessins et modèles et d</w:t>
            </w:r>
            <w:r w:rsidR="00AD1C27">
              <w:t>’</w:t>
            </w:r>
            <w:r w:rsidRPr="00D505F5">
              <w:t>indications géographiques</w:t>
            </w:r>
          </w:p>
          <w:p w:rsidR="00AE6881" w:rsidRPr="00D505F5" w:rsidRDefault="00AE6881" w:rsidP="0034642C">
            <w:pPr>
              <w:pStyle w:val="TableItalicCenter"/>
            </w:pPr>
            <w:r w:rsidRPr="00D505F5">
              <w:t>(15% – estimation du chef de programme)</w:t>
            </w: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rPr>
                <w:i/>
              </w:rPr>
            </w:pPr>
            <w:r w:rsidRPr="00D505F5">
              <w:t>Programme 3 – ABC</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TextCenter"/>
            </w:pPr>
            <w:r w:rsidRPr="00D505F5">
              <w:t>Programme 4 – Renforcement des capacités en matière de savoirs traditionnels, d</w:t>
            </w:r>
            <w:r w:rsidR="00AD1C27">
              <w:t>’</w:t>
            </w:r>
            <w:r w:rsidRPr="00D505F5">
              <w:t>expressions culturelles traditionnelles et de ressources génétiques</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3 (développement du droit d</w:t>
            </w:r>
            <w:r w:rsidR="00AD1C27">
              <w:t>’</w:t>
            </w:r>
            <w:r w:rsidRPr="00D505F5">
              <w:t>auteur), 8, 9, 10, 11, 14, 17, 18, 20 et 30</w:t>
            </w:r>
          </w:p>
        </w:tc>
      </w:tr>
    </w:tbl>
    <w:p w:rsidR="00AE6881" w:rsidRPr="00D505F5" w:rsidRDefault="00AE6881" w:rsidP="00AE6881">
      <w:pPr>
        <w:pStyle w:val="NormalNoSpace"/>
      </w:pPr>
    </w:p>
    <w:p w:rsidR="00AE6881" w:rsidRPr="00D505F5" w:rsidRDefault="00AE6881" w:rsidP="00AE6881">
      <w:pPr>
        <w:keepNext/>
        <w:rPr>
          <w:rFonts w:eastAsia="Arial" w:cs="Arial"/>
        </w:rPr>
      </w:pPr>
      <w:r w:rsidRPr="00D505F5">
        <w:rPr>
          <w:rFonts w:eastAsia="Arial" w:cs="Arial"/>
        </w:rPr>
        <w:t>Les dépenses relatives aux activités menées aux fins de contribuer aux résultats escomptés III.4 “Accords de coopération avec les institutions des pays en développement, des PMA et des pays en transition renforcés et adaptés à leurs besoins” mises en œuvre par les programmes ci</w:t>
      </w:r>
      <w:r w:rsidR="00AF4785">
        <w:rPr>
          <w:rFonts w:eastAsia="Arial" w:cs="Arial"/>
        </w:rPr>
        <w:noBreakHyphen/>
      </w:r>
      <w:r w:rsidRPr="00D505F5">
        <w:rPr>
          <w:rFonts w:eastAsia="Arial" w:cs="Arial"/>
        </w:rPr>
        <w:t>après</w:t>
      </w:r>
      <w:r w:rsidR="00AD1C27">
        <w:rPr>
          <w:rFonts w:eastAsia="Arial" w:cs="Arial"/>
        </w:rPr>
        <w:t> :</w:t>
      </w:r>
    </w:p>
    <w:p w:rsidR="00AE6881" w:rsidRPr="00D505F5" w:rsidRDefault="00AE6881" w:rsidP="00AE6881">
      <w:pPr>
        <w:keepNext/>
        <w:tabs>
          <w:tab w:val="left" w:pos="1701"/>
          <w:tab w:val="left" w:pos="1985"/>
        </w:tabs>
        <w:ind w:left="1701" w:hanging="1021"/>
        <w:contextualSpacing/>
        <w:rPr>
          <w:rFonts w:eastAsia="Arial" w:cs="Arial"/>
        </w:rPr>
      </w:pPr>
      <w:r w:rsidRPr="00D505F5">
        <w:t>Programme 3</w:t>
      </w:r>
      <w:r w:rsidRPr="00D505F5">
        <w:tab/>
        <w:t>(Droit d</w:t>
      </w:r>
      <w:r w:rsidR="00AD1C27">
        <w:t>’</w:t>
      </w:r>
      <w:r w:rsidRPr="00D505F5">
        <w:t>auteur et droits connexes)</w:t>
      </w:r>
    </w:p>
    <w:p w:rsidR="00AE6881" w:rsidRPr="00D505F5" w:rsidRDefault="00AE6881" w:rsidP="00AE6881">
      <w:pPr>
        <w:keepNext/>
        <w:tabs>
          <w:tab w:val="left" w:pos="1701"/>
          <w:tab w:val="left" w:pos="1985"/>
        </w:tabs>
        <w:ind w:left="1701" w:hanging="1021"/>
        <w:contextualSpacing/>
        <w:rPr>
          <w:rFonts w:eastAsia="Arial" w:cs="Arial"/>
        </w:rPr>
      </w:pPr>
      <w:r w:rsidRPr="00D505F5">
        <w:t>Programme 9</w:t>
      </w:r>
      <w:r w:rsidRPr="00D505F5">
        <w:tab/>
        <w:t>(Bureaux régionaux et PMA)</w:t>
      </w:r>
    </w:p>
    <w:p w:rsidR="00AE6881" w:rsidRPr="00D505F5" w:rsidRDefault="00AE6881" w:rsidP="00AE6881">
      <w:pPr>
        <w:keepNext/>
        <w:tabs>
          <w:tab w:val="left" w:pos="1701"/>
          <w:tab w:val="left" w:pos="1985"/>
        </w:tabs>
        <w:ind w:left="1701" w:hanging="1021"/>
        <w:contextualSpacing/>
        <w:rPr>
          <w:rFonts w:eastAsia="Arial" w:cs="Arial"/>
        </w:rPr>
      </w:pPr>
      <w:r w:rsidRPr="00D505F5">
        <w:t xml:space="preserve">Programme 10 </w:t>
      </w:r>
      <w:r w:rsidRPr="00D505F5">
        <w:tab/>
        <w:t>(Pays en transition et pays développés)</w:t>
      </w:r>
    </w:p>
    <w:p w:rsidR="00AE6881" w:rsidRPr="00D505F5" w:rsidRDefault="00AE6881" w:rsidP="00AE6881">
      <w:pPr>
        <w:keepNext/>
        <w:tabs>
          <w:tab w:val="left" w:pos="1701"/>
        </w:tabs>
        <w:ind w:left="1701" w:hanging="1021"/>
        <w:contextualSpacing/>
        <w:rPr>
          <w:rFonts w:eastAsia="Arial" w:cs="Arial"/>
        </w:rPr>
      </w:pPr>
    </w:p>
    <w:p w:rsidR="00AE6881" w:rsidRPr="00D505F5" w:rsidRDefault="00AE6881" w:rsidP="00AE6881">
      <w:pPr>
        <w:keepNext/>
        <w:rPr>
          <w:rFonts w:eastAsia="Arial" w:cs="Arial"/>
        </w:rPr>
      </w:pPr>
      <w:r w:rsidRPr="00D505F5">
        <w:rPr>
          <w:rFonts w:eastAsia="Arial" w:cs="Arial"/>
        </w:rPr>
        <w:t>sont réparties en tant que dépenses “directes de l</w:t>
      </w:r>
      <w:r w:rsidR="00AD1C27">
        <w:rPr>
          <w:rFonts w:eastAsia="Arial" w:cs="Arial"/>
        </w:rPr>
        <w:t>’</w:t>
      </w:r>
      <w:r w:rsidRPr="00D505F5">
        <w:rPr>
          <w:rFonts w:eastAsia="Arial" w:cs="Arial"/>
        </w:rPr>
        <w:t>union” et dépenses “indirectes de l</w:t>
      </w:r>
      <w:r w:rsidR="00AD1C27">
        <w:rPr>
          <w:rFonts w:eastAsia="Arial" w:cs="Arial"/>
        </w:rPr>
        <w:t>’</w:t>
      </w:r>
      <w:r w:rsidRPr="00D505F5">
        <w:rPr>
          <w:rFonts w:eastAsia="Arial" w:cs="Arial"/>
        </w:rPr>
        <w:t>union”, comme indiqué ci</w:t>
      </w:r>
      <w:r w:rsidR="00AF4785">
        <w:rPr>
          <w:rFonts w:eastAsia="Arial" w:cs="Arial"/>
        </w:rPr>
        <w:noBreakHyphen/>
      </w:r>
      <w:r w:rsidRPr="00D505F5">
        <w:rPr>
          <w:rFonts w:eastAsia="Arial" w:cs="Arial"/>
        </w:rPr>
        <w:t>après.</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cPr>
          <w:p w:rsidR="00AE6881" w:rsidRPr="00D505F5" w:rsidRDefault="00AE6881" w:rsidP="0034642C">
            <w:pPr>
              <w:pStyle w:val="TableTextCenter"/>
              <w:rPr>
                <w:b/>
              </w:rPr>
            </w:pPr>
            <w:r w:rsidRPr="00D505F5">
              <w:rPr>
                <w:b/>
              </w:rPr>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cPr>
          <w:p w:rsidR="00AE6881" w:rsidRPr="00D505F5" w:rsidRDefault="00AE6881" w:rsidP="0034642C">
            <w:pPr>
              <w:keepNext/>
              <w:spacing w:after="0" w:line="200" w:lineRule="atLeast"/>
              <w:ind w:left="113"/>
              <w:jc w:val="center"/>
              <w:rPr>
                <w:rFonts w:ascii="Arial Narrow" w:hAnsi="Arial Narrow"/>
                <w:sz w:val="16"/>
              </w:rPr>
            </w:pPr>
          </w:p>
        </w:tc>
        <w:tc>
          <w:tcPr>
            <w:tcW w:w="1000" w:type="pct"/>
            <w:shd w:val="clear" w:color="auto" w:fill="C6CFD7"/>
          </w:tcPr>
          <w:p w:rsidR="00AE6881" w:rsidRPr="00D505F5" w:rsidRDefault="00AE6881" w:rsidP="0034642C">
            <w:pPr>
              <w:keepNext/>
              <w:spacing w:after="0" w:line="200" w:lineRule="atLeast"/>
              <w:ind w:left="113"/>
              <w:jc w:val="center"/>
              <w:rPr>
                <w:rFonts w:ascii="Arial Narrow" w:hAnsi="Arial Narrow"/>
                <w:sz w:val="16"/>
              </w:rPr>
            </w:pPr>
          </w:p>
        </w:tc>
        <w:tc>
          <w:tcPr>
            <w:tcW w:w="1000" w:type="pct"/>
            <w:shd w:val="clear" w:color="auto" w:fill="C6CFD7"/>
          </w:tcPr>
          <w:p w:rsidR="00AE6881" w:rsidRPr="00D505F5" w:rsidRDefault="00AE6881" w:rsidP="0034642C">
            <w:pPr>
              <w:keepNext/>
              <w:spacing w:after="0" w:line="200" w:lineRule="atLeast"/>
              <w:ind w:left="113"/>
              <w:jc w:val="center"/>
              <w:rPr>
                <w:rFonts w:ascii="Arial Narrow" w:hAnsi="Arial Narrow"/>
                <w:sz w:val="16"/>
              </w:rPr>
            </w:pPr>
          </w:p>
        </w:tc>
        <w:tc>
          <w:tcPr>
            <w:tcW w:w="1000" w:type="pct"/>
            <w:shd w:val="clear" w:color="auto" w:fill="C6CFD7"/>
          </w:tcPr>
          <w:p w:rsidR="00AE6881" w:rsidRPr="00D505F5" w:rsidRDefault="00AE6881" w:rsidP="0034642C">
            <w:pPr>
              <w:keepNext/>
              <w:spacing w:after="0" w:line="200" w:lineRule="atLeast"/>
              <w:ind w:left="113"/>
              <w:jc w:val="center"/>
              <w:rPr>
                <w:rFonts w:ascii="Arial Narrow" w:hAnsi="Arial Narrow"/>
                <w:sz w:val="16"/>
              </w:rPr>
            </w:pPr>
          </w:p>
        </w:tc>
      </w:tr>
      <w:tr w:rsidR="00AE6881" w:rsidRPr="00D505F5" w:rsidTr="0034642C">
        <w:trPr>
          <w:gridAfter w:val="2"/>
          <w:wAfter w:w="2000" w:type="pct"/>
        </w:trPr>
        <w:tc>
          <w:tcPr>
            <w:tcW w:w="1000" w:type="pct"/>
            <w:shd w:val="clear" w:color="auto" w:fill="auto"/>
          </w:tcPr>
          <w:p w:rsidR="00AE6881" w:rsidRPr="00D505F5" w:rsidRDefault="00AE6881" w:rsidP="0034642C">
            <w:pPr>
              <w:keepNext/>
              <w:spacing w:after="0" w:line="200" w:lineRule="atLeast"/>
              <w:ind w:left="113"/>
              <w:jc w:val="center"/>
              <w:rPr>
                <w:rFonts w:ascii="Arial Narrow" w:hAnsi="Arial Narrow"/>
                <w:i/>
                <w:sz w:val="14"/>
              </w:rPr>
            </w:pPr>
            <w:r w:rsidRPr="00D505F5">
              <w:rPr>
                <w:rFonts w:ascii="Arial Narrow" w:hAnsi="Arial Narrow"/>
                <w:sz w:val="16"/>
              </w:rPr>
              <w:t>Programme 3 – Renforcement des capacités des organisations de gestion collective</w:t>
            </w:r>
          </w:p>
        </w:tc>
        <w:tc>
          <w:tcPr>
            <w:tcW w:w="1000" w:type="pct"/>
          </w:tcPr>
          <w:p w:rsidR="00AE6881" w:rsidRPr="00D505F5" w:rsidRDefault="00AE6881" w:rsidP="0034642C">
            <w:pPr>
              <w:keepNext/>
              <w:spacing w:after="0" w:line="200" w:lineRule="atLeast"/>
              <w:jc w:val="center"/>
              <w:rPr>
                <w:rFonts w:ascii="Arial Narrow" w:hAnsi="Arial Narrow"/>
                <w:i/>
                <w:sz w:val="16"/>
              </w:rPr>
            </w:pPr>
          </w:p>
        </w:tc>
        <w:tc>
          <w:tcPr>
            <w:tcW w:w="1000" w:type="pct"/>
          </w:tcPr>
          <w:p w:rsidR="00AE6881" w:rsidRPr="00D505F5" w:rsidRDefault="00AE6881" w:rsidP="0034642C">
            <w:pPr>
              <w:keepNext/>
              <w:spacing w:after="0" w:line="200" w:lineRule="atLeast"/>
              <w:rPr>
                <w:rFonts w:ascii="Arial Narrow" w:hAnsi="Arial Narrow"/>
                <w:sz w:val="16"/>
              </w:rPr>
            </w:pPr>
          </w:p>
        </w:tc>
      </w:tr>
      <w:tr w:rsidR="00AE6881" w:rsidRPr="00D505F5" w:rsidTr="0034642C">
        <w:tc>
          <w:tcPr>
            <w:tcW w:w="5000" w:type="pct"/>
            <w:gridSpan w:val="5"/>
            <w:shd w:val="clear" w:color="auto" w:fill="C6CFD7"/>
          </w:tcPr>
          <w:p w:rsidR="00AE6881" w:rsidRPr="00D505F5" w:rsidRDefault="00AE6881" w:rsidP="0034642C">
            <w:pPr>
              <w:spacing w:after="0" w:line="200" w:lineRule="atLeast"/>
              <w:jc w:val="center"/>
              <w:rPr>
                <w:rFonts w:ascii="Arial Narrow" w:hAnsi="Arial Narrow"/>
                <w:sz w:val="16"/>
              </w:rPr>
            </w:pPr>
            <w:r w:rsidRPr="00D505F5">
              <w:rPr>
                <w:rFonts w:ascii="Arial Narrow" w:hAnsi="Arial Narrow"/>
                <w:sz w:val="16"/>
              </w:rPr>
              <w:t>Dépenses indirectes de l</w:t>
            </w:r>
            <w:r w:rsidR="00AD1C27">
              <w:rPr>
                <w:rFonts w:ascii="Arial Narrow" w:hAnsi="Arial Narrow"/>
                <w:sz w:val="16"/>
              </w:rPr>
              <w:t>’</w:t>
            </w:r>
            <w:r w:rsidRPr="00D505F5">
              <w:rPr>
                <w:rFonts w:ascii="Arial Narrow" w:hAnsi="Arial Narrow"/>
                <w:sz w:val="16"/>
              </w:rPr>
              <w:t>union</w:t>
            </w:r>
            <w:r w:rsidR="00AD1C27">
              <w:rPr>
                <w:rFonts w:ascii="Arial Narrow" w:hAnsi="Arial Narrow"/>
                <w:sz w:val="16"/>
              </w:rPr>
              <w:t> :</w:t>
            </w:r>
            <w:r w:rsidRPr="00D505F5">
              <w:rPr>
                <w:rFonts w:ascii="Arial Narrow" w:hAnsi="Arial Narrow"/>
                <w:sz w:val="16"/>
              </w:rPr>
              <w:t xml:space="preserve"> programmes 3 (développement du droit d</w:t>
            </w:r>
            <w:r w:rsidR="00AD1C27">
              <w:rPr>
                <w:rFonts w:ascii="Arial Narrow" w:hAnsi="Arial Narrow"/>
                <w:sz w:val="16"/>
              </w:rPr>
              <w:t>’</w:t>
            </w:r>
            <w:r w:rsidRPr="00D505F5">
              <w:rPr>
                <w:rFonts w:ascii="Arial Narrow" w:hAnsi="Arial Narrow"/>
                <w:sz w:val="16"/>
              </w:rPr>
              <w:t>auteur), 9 et 10</w:t>
            </w:r>
          </w:p>
        </w:tc>
      </w:tr>
    </w:tbl>
    <w:p w:rsidR="00AE6881" w:rsidRPr="00D505F5" w:rsidRDefault="00AE6881" w:rsidP="00AE6881">
      <w:pPr>
        <w:pStyle w:val="NormalNoSpace"/>
      </w:pPr>
    </w:p>
    <w:p w:rsidR="00AE6881" w:rsidRPr="00D505F5" w:rsidRDefault="00AE6881" w:rsidP="00AE6881">
      <w:pPr>
        <w:keepNext/>
        <w:keepLines/>
      </w:pPr>
      <w:r w:rsidRPr="00D505F5">
        <w:lastRenderedPageBreak/>
        <w:t>Les dépenses relatives aux activités menées aux fins de contribuer au résultat escompté IV.1 “Système actualisé et mondialement accepté des classifications internationales et des normes de l</w:t>
      </w:r>
      <w:r w:rsidR="00AD1C27">
        <w:t>’</w:t>
      </w:r>
      <w:r w:rsidRPr="00D505F5">
        <w:t>OMPI pour faciliter l</w:t>
      </w:r>
      <w:r w:rsidR="00AD1C27">
        <w:t>’</w:t>
      </w:r>
      <w:r w:rsidRPr="00D505F5">
        <w:t>accès des parties prenantes du monde entier à l</w:t>
      </w:r>
      <w:r w:rsidR="00AD1C27">
        <w:t>’</w:t>
      </w:r>
      <w:r w:rsidRPr="00D505F5">
        <w:t>information en matière de propriété intellectuelle, ainsi que son utilisation et sa diffusion” mises en œuvre par le programme 12 (Classifications internationales et normes) sont réparties en tant que dépenses “directes de l</w:t>
      </w:r>
      <w:r w:rsidR="00AD1C27">
        <w:t>’</w:t>
      </w:r>
      <w:r w:rsidRPr="00D505F5">
        <w:t>union”</w:t>
      </w:r>
      <w:r w:rsidR="00525C3B" w:rsidRPr="00D505F5">
        <w:t>,</w:t>
      </w:r>
      <w:r w:rsidRPr="00D505F5">
        <w:t xml:space="preserve">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keepLines/>
              <w:jc w:val="center"/>
            </w:pPr>
            <w:r w:rsidRPr="00D505F5">
              <w:t>Unions financées par des contributions</w:t>
            </w:r>
          </w:p>
          <w:p w:rsidR="00AE6881" w:rsidRPr="00D505F5" w:rsidRDefault="00AE6881" w:rsidP="0034642C">
            <w:pPr>
              <w:pStyle w:val="TableTextCenter"/>
              <w:keepNext/>
              <w:keepLines/>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TextCenter"/>
              <w:keepNext/>
              <w:keepLines/>
            </w:pPr>
            <w:r w:rsidRPr="00D505F5">
              <w:t>Programme 12 – Classifications internationales et normes de l</w:t>
            </w:r>
            <w:r w:rsidR="00AD1C27">
              <w:t>’</w:t>
            </w:r>
            <w:r w:rsidRPr="00D505F5">
              <w:t>OMPI</w:t>
            </w:r>
          </w:p>
          <w:p w:rsidR="00AE6881" w:rsidRPr="00D505F5" w:rsidRDefault="00AE6881" w:rsidP="0034642C">
            <w:pPr>
              <w:pStyle w:val="TableItalicCenter"/>
            </w:pPr>
            <w:r w:rsidRPr="00D505F5">
              <w:t>(9%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12 – Classifications internationales et normes de l</w:t>
            </w:r>
            <w:r w:rsidR="00AD1C27">
              <w:t>’</w:t>
            </w:r>
            <w:r w:rsidRPr="00D505F5">
              <w:t>OMPI</w:t>
            </w:r>
          </w:p>
          <w:p w:rsidR="00AE6881" w:rsidRPr="00D505F5" w:rsidRDefault="00AE6881" w:rsidP="0034642C">
            <w:pPr>
              <w:pStyle w:val="TableItalicCenter"/>
            </w:pPr>
            <w:r w:rsidRPr="00D505F5">
              <w:t>(70%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12 – Classifications internationales et normes de l</w:t>
            </w:r>
            <w:r w:rsidR="00AD1C27">
              <w:t>’</w:t>
            </w:r>
            <w:r w:rsidRPr="00D505F5">
              <w:t>OMPI</w:t>
            </w:r>
          </w:p>
          <w:p w:rsidR="00AE6881" w:rsidRPr="00D505F5" w:rsidRDefault="00AE6881" w:rsidP="0034642C">
            <w:pPr>
              <w:pStyle w:val="TableItalicCenter"/>
            </w:pPr>
            <w:r w:rsidRPr="00D505F5">
              <w:t>(20%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12 – Classifications internationales et normes de l</w:t>
            </w:r>
            <w:r w:rsidR="00AD1C27">
              <w:t>’</w:t>
            </w:r>
            <w:r w:rsidRPr="00D505F5">
              <w:t>OMPI</w:t>
            </w:r>
          </w:p>
          <w:p w:rsidR="00AE6881" w:rsidRPr="00D505F5" w:rsidRDefault="00AE6881" w:rsidP="0034642C">
            <w:pPr>
              <w:pStyle w:val="TableItalicCenter"/>
            </w:pPr>
            <w:r w:rsidRPr="00D505F5">
              <w:t>(1%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IV.2 “Amélioration de l</w:t>
      </w:r>
      <w:r w:rsidR="00AD1C27">
        <w:t>’</w:t>
      </w:r>
      <w:r w:rsidRPr="00D505F5">
        <w:t>accessibilité et de l</w:t>
      </w:r>
      <w:r w:rsidR="00AD1C27">
        <w:t>’</w:t>
      </w:r>
      <w:r w:rsidRPr="00D505F5">
        <w:t>utilisation de l</w:t>
      </w:r>
      <w:r w:rsidR="00AD1C27">
        <w:t>’</w:t>
      </w:r>
      <w:r w:rsidRPr="00D505F5">
        <w:t>information en matière de propriété intellectuelle par les institutions compétentes et le public afin de promouvoir l</w:t>
      </w:r>
      <w:r w:rsidR="00AD1C27">
        <w:t>’</w:t>
      </w:r>
      <w:r w:rsidRPr="00D505F5">
        <w:t>innovation et la créativité”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 xml:space="preserve">Programme 4 </w:t>
      </w:r>
      <w:r w:rsidRPr="00D505F5">
        <w:tab/>
        <w:t>(Savoirs traditionnels, expressions culturelles traditionnelles et ressources génétiques)</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Programme 13</w:t>
      </w:r>
      <w:r w:rsidRPr="00D505F5">
        <w:tab/>
        <w:t>(Bases de données mondiales)</w:t>
      </w:r>
    </w:p>
    <w:p w:rsidR="00AE6881" w:rsidRPr="00D505F5" w:rsidRDefault="00AE6881" w:rsidP="00AE6881">
      <w:pPr>
        <w:pStyle w:val="NormalProgram"/>
        <w:keepNext/>
      </w:pPr>
      <w:r w:rsidRPr="00D505F5">
        <w:t xml:space="preserve">Programme 14 </w:t>
      </w:r>
      <w:r w:rsidRPr="00D505F5">
        <w:tab/>
        <w:t>(Information et savoirs)</w:t>
      </w:r>
    </w:p>
    <w:p w:rsidR="00AE6881" w:rsidRPr="00D505F5" w:rsidRDefault="00AE6881" w:rsidP="00AE6881">
      <w:pPr>
        <w:pStyle w:val="NormalProgram"/>
        <w:keepNext/>
      </w:pPr>
      <w:r w:rsidRPr="00D505F5">
        <w:t xml:space="preserve">Programme 20 </w:t>
      </w:r>
      <w:r w:rsidRPr="00D505F5">
        <w:tab/>
        <w:t>(Relations extérieures et bureaux extérieurs)</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r w:rsidR="00AD1C27">
        <w:t>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keepNext/>
              <w:keepLines/>
            </w:pPr>
            <w:r w:rsidRPr="00D505F5">
              <w:t>Programme 4 – Bases de données sur les savoirs traditionnels, les expressions culturelles traditionnelles et les ressources génétiques</w:t>
            </w:r>
          </w:p>
        </w:tc>
        <w:tc>
          <w:tcPr>
            <w:tcW w:w="1000" w:type="pct"/>
          </w:tcPr>
          <w:p w:rsidR="00AE6881" w:rsidRPr="00D505F5" w:rsidRDefault="00AE6881" w:rsidP="0034642C">
            <w:pPr>
              <w:pStyle w:val="TableTextCenter"/>
              <w:rPr>
                <w:i/>
              </w:rPr>
            </w:pPr>
            <w:r w:rsidRPr="00D505F5">
              <w:t>Programme 13 – Infrastructure des bases de données mondiales, outils de recherche et de traduction automatique</w:t>
            </w:r>
          </w:p>
          <w:p w:rsidR="00AE6881" w:rsidRPr="00D505F5" w:rsidRDefault="00AE6881" w:rsidP="0034642C">
            <w:pPr>
              <w:pStyle w:val="TableItalicCenter"/>
            </w:pPr>
            <w:r w:rsidRPr="00D505F5">
              <w:t>(59,4% – estimation du chef de programme)</w:t>
            </w:r>
          </w:p>
        </w:tc>
        <w:tc>
          <w:tcPr>
            <w:tcW w:w="1000" w:type="pct"/>
          </w:tcPr>
          <w:p w:rsidR="00AE6881" w:rsidRPr="00D505F5" w:rsidRDefault="00AE6881" w:rsidP="0034642C">
            <w:pPr>
              <w:pStyle w:val="TableTextCenter"/>
            </w:pPr>
            <w:r w:rsidRPr="00D505F5">
              <w:t>Programme 13 – Infrastructure des bases de données mondiales, outils de recherche et de traduction automatique</w:t>
            </w:r>
          </w:p>
          <w:p w:rsidR="00AE6881" w:rsidRPr="00D505F5" w:rsidRDefault="00AE6881" w:rsidP="0034642C">
            <w:pPr>
              <w:pStyle w:val="TableItalicCenter"/>
            </w:pPr>
            <w:r w:rsidRPr="00D505F5">
              <w:t>(31,7% – estimation du chef de programme)</w:t>
            </w:r>
          </w:p>
        </w:tc>
        <w:tc>
          <w:tcPr>
            <w:tcW w:w="1000" w:type="pct"/>
          </w:tcPr>
          <w:p w:rsidR="00AE6881" w:rsidRPr="00D505F5" w:rsidRDefault="00AE6881" w:rsidP="0034642C">
            <w:pPr>
              <w:pStyle w:val="TableTextCenter"/>
            </w:pPr>
            <w:r w:rsidRPr="00D505F5">
              <w:t>Programme 13 – Infrastructure des bases de données mondiales, outils de recherche et de traduction automatique</w:t>
            </w:r>
          </w:p>
          <w:p w:rsidR="00AE6881" w:rsidRPr="00D505F5" w:rsidRDefault="00AE6881" w:rsidP="0034642C">
            <w:pPr>
              <w:pStyle w:val="TableItalicCenter"/>
            </w:pPr>
            <w:r w:rsidRPr="00D505F5">
              <w:t>(8,9% – estimation du chef de programme)</w:t>
            </w:r>
          </w:p>
        </w:tc>
        <w:tc>
          <w:tcPr>
            <w:tcW w:w="1000" w:type="pct"/>
          </w:tcPr>
          <w:p w:rsidR="00AE6881" w:rsidRPr="00D505F5" w:rsidRDefault="00AE6881" w:rsidP="0034642C">
            <w:pPr>
              <w:pStyle w:val="TableItalicCenter"/>
            </w:pPr>
          </w:p>
        </w:tc>
      </w:tr>
      <w:tr w:rsidR="00AE6881" w:rsidRPr="00D505F5" w:rsidTr="0034642C">
        <w:tc>
          <w:tcPr>
            <w:tcW w:w="1000" w:type="pct"/>
          </w:tcPr>
          <w:p w:rsidR="00AE6881" w:rsidRPr="00D505F5" w:rsidRDefault="00AE6881" w:rsidP="0034642C">
            <w:pPr>
              <w:pStyle w:val="TableTextCenter"/>
              <w:keepNext/>
              <w:keepLines/>
            </w:pPr>
          </w:p>
        </w:tc>
        <w:tc>
          <w:tcPr>
            <w:tcW w:w="1000" w:type="pct"/>
          </w:tcPr>
          <w:p w:rsidR="00AE6881" w:rsidRPr="00D505F5" w:rsidRDefault="00AE6881" w:rsidP="0034642C">
            <w:pPr>
              <w:pStyle w:val="TableItalicCenter"/>
            </w:pPr>
            <w:r w:rsidRPr="00D505F5">
              <w:rPr>
                <w:i w:val="0"/>
              </w:rPr>
              <w:t>Programme 14 – Diffusion mondiale de données de propriété intellectuelle (59,4% – part des recettes)</w:t>
            </w:r>
          </w:p>
        </w:tc>
        <w:tc>
          <w:tcPr>
            <w:tcW w:w="1000" w:type="pct"/>
          </w:tcPr>
          <w:p w:rsidR="00AE6881" w:rsidRPr="00D505F5" w:rsidRDefault="00AE6881" w:rsidP="0034642C">
            <w:pPr>
              <w:pStyle w:val="TableTextCenter"/>
            </w:pPr>
            <w:r w:rsidRPr="00D505F5">
              <w:t>Programme 14 – Diffusion mondiale de données de propriété intellectuelle</w:t>
            </w:r>
          </w:p>
          <w:p w:rsidR="00AE6881" w:rsidRPr="00D505F5" w:rsidRDefault="00AE6881" w:rsidP="0034642C">
            <w:pPr>
              <w:pStyle w:val="TableItalicCenter"/>
            </w:pPr>
            <w:r w:rsidRPr="00D505F5">
              <w:t>(31,7% – part des recettes)</w:t>
            </w:r>
          </w:p>
        </w:tc>
        <w:tc>
          <w:tcPr>
            <w:tcW w:w="1000" w:type="pct"/>
          </w:tcPr>
          <w:p w:rsidR="00AE6881" w:rsidRPr="00D505F5" w:rsidRDefault="00AE6881" w:rsidP="0034642C">
            <w:pPr>
              <w:pStyle w:val="TableItalicCenter"/>
              <w:rPr>
                <w:i w:val="0"/>
              </w:rPr>
            </w:pPr>
            <w:r w:rsidRPr="00D505F5">
              <w:rPr>
                <w:i w:val="0"/>
              </w:rPr>
              <w:t>Programme 14 – Diffusion mondiale de données de propriété intellectuelle</w:t>
            </w:r>
          </w:p>
          <w:p w:rsidR="00AE6881" w:rsidRPr="00D505F5" w:rsidRDefault="00AE6881" w:rsidP="0034642C">
            <w:pPr>
              <w:pStyle w:val="TableItalicCenter"/>
            </w:pPr>
            <w:r w:rsidRPr="00D505F5">
              <w:t>(8,9% – part des recettes)</w:t>
            </w: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9, 13 (WIPO Lex), 14 et 20</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IV.3 “Élargissement de la portée géographique du contenu et de l</w:t>
      </w:r>
      <w:r w:rsidR="00AD1C27">
        <w:t>’</w:t>
      </w:r>
      <w:r w:rsidRPr="00D505F5">
        <w:t>utilisation des bases de données mondiales de l</w:t>
      </w:r>
      <w:r w:rsidR="00AD1C27">
        <w:t>’</w:t>
      </w:r>
      <w:r w:rsidRPr="00D505F5">
        <w:t>OMPI en matière de propriété intellectuelle” mises en œuvre par le programme 13 (Bases de données mondiales) sont réparties en tant que dépenses “directes de l</w:t>
      </w:r>
      <w:r w:rsidR="00AD1C27">
        <w:t>’</w:t>
      </w:r>
      <w:r w:rsidRPr="00D505F5">
        <w:t>union”</w:t>
      </w:r>
      <w:r w:rsidR="00525C3B" w:rsidRPr="00D505F5">
        <w:t>,</w:t>
      </w:r>
      <w:r w:rsidRPr="00D505F5">
        <w:t xml:space="preserve">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de Madrid</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Borders>
              <w:bottom w:val="single" w:sz="18" w:space="0" w:color="C6CFD7" w:themeColor="accent3" w:themeTint="66"/>
            </w:tcBorders>
          </w:tcPr>
          <w:p w:rsidR="00AE6881" w:rsidRPr="00D505F5" w:rsidRDefault="00AE6881" w:rsidP="0034642C">
            <w:pPr>
              <w:pStyle w:val="TableItalicCenter"/>
            </w:pP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13 – Extension de la couverture des bases de données mondiales</w:t>
            </w:r>
          </w:p>
          <w:p w:rsidR="00AE6881" w:rsidRPr="00D505F5" w:rsidRDefault="00AE6881" w:rsidP="0034642C">
            <w:pPr>
              <w:pStyle w:val="TableItalicCenter"/>
            </w:pPr>
            <w:r w:rsidRPr="00D505F5">
              <w:t>(59,4%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13 – Extension de la couverture des bases de données mondiales</w:t>
            </w:r>
          </w:p>
          <w:p w:rsidR="00AE6881" w:rsidRPr="00D505F5" w:rsidRDefault="00AE6881" w:rsidP="0034642C">
            <w:pPr>
              <w:pStyle w:val="TableItalicCenter"/>
            </w:pPr>
            <w:r w:rsidRPr="00D505F5">
              <w:t>(31,7%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Center"/>
            </w:pPr>
            <w:r w:rsidRPr="00D505F5">
              <w:t>Programme 13 – Extension de la couverture des bases de données mondiales</w:t>
            </w:r>
          </w:p>
          <w:p w:rsidR="00AE6881" w:rsidRPr="00D505F5" w:rsidRDefault="00AE6881" w:rsidP="0034642C">
            <w:pPr>
              <w:pStyle w:val="TableItalicCenter"/>
            </w:pPr>
            <w:r w:rsidRPr="00D505F5">
              <w:t>(8,9% – estimation du chef de programme)</w:t>
            </w:r>
          </w:p>
        </w:tc>
        <w:tc>
          <w:tcPr>
            <w:tcW w:w="1000" w:type="pct"/>
            <w:tcBorders>
              <w:bottom w:val="single" w:sz="18" w:space="0" w:color="C6CFD7" w:themeColor="accent3" w:themeTint="66"/>
            </w:tcBorders>
          </w:tcPr>
          <w:p w:rsidR="00AE6881" w:rsidRPr="00D505F5" w:rsidRDefault="00AE6881" w:rsidP="0034642C">
            <w:pPr>
              <w:pStyle w:val="TableText"/>
            </w:pPr>
          </w:p>
        </w:tc>
      </w:tr>
    </w:tbl>
    <w:p w:rsidR="00AE6881" w:rsidRPr="00D505F5" w:rsidRDefault="00AE6881" w:rsidP="00AE6881">
      <w:pPr>
        <w:pStyle w:val="NormalNoSpace"/>
      </w:pPr>
    </w:p>
    <w:p w:rsidR="00AE6881" w:rsidRPr="00D505F5" w:rsidRDefault="00AE6881" w:rsidP="00AE6881">
      <w:pPr>
        <w:keepNext/>
        <w:keepLines/>
      </w:pPr>
      <w:r w:rsidRPr="00D505F5">
        <w:lastRenderedPageBreak/>
        <w:t>Les dépenses relatives aux activités menées aux fins de contribuer au résultat escompté IV.4 “Amélioration de l</w:t>
      </w:r>
      <w:r w:rsidR="00AD1C27">
        <w:t>’</w:t>
      </w:r>
      <w:r w:rsidRPr="00D505F5">
        <w:t>infrastructure technique et du savoir pour les offices et les autres institutions de propriété intellectuelle pour fournir à leurs parties prenantes des services améliorés (moins chers, plus rapides, de meilleure qualité) et de rationaliser l</w:t>
      </w:r>
      <w:r w:rsidR="00AD1C27">
        <w:t>’</w:t>
      </w:r>
      <w:r w:rsidRPr="00D505F5">
        <w:t>administration de la propriété intellectuelle”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Programme 3</w:t>
      </w:r>
      <w:r w:rsidRPr="00D505F5">
        <w:tab/>
        <w:t>(Droit d</w:t>
      </w:r>
      <w:r w:rsidR="00AD1C27">
        <w:t>’</w:t>
      </w:r>
      <w:r w:rsidRPr="00D505F5">
        <w:t>auteur et droits connexes)</w:t>
      </w:r>
    </w:p>
    <w:p w:rsidR="00AE6881" w:rsidRPr="00D505F5" w:rsidRDefault="00AE6881" w:rsidP="00AE6881">
      <w:pPr>
        <w:pStyle w:val="NormalProgram"/>
        <w:keepNext/>
      </w:pPr>
      <w:r w:rsidRPr="00D505F5">
        <w:t>Programme 9</w:t>
      </w:r>
      <w:r w:rsidRPr="00D505F5">
        <w:tab/>
        <w:t>(Bureaux régionaux et PMA)</w:t>
      </w:r>
    </w:p>
    <w:p w:rsidR="00AE6881" w:rsidRPr="00D505F5" w:rsidRDefault="00AE6881" w:rsidP="00AE6881">
      <w:pPr>
        <w:pStyle w:val="NormalProgram"/>
        <w:keepNext/>
      </w:pPr>
      <w:r w:rsidRPr="00D505F5">
        <w:t>Programme 13</w:t>
      </w:r>
      <w:r w:rsidRPr="00D505F5">
        <w:tab/>
        <w:t>(Bases de données mondiales)</w:t>
      </w:r>
    </w:p>
    <w:p w:rsidR="00AE6881" w:rsidRPr="00D505F5" w:rsidRDefault="00AE6881" w:rsidP="00AE6881">
      <w:pPr>
        <w:pStyle w:val="NormalProgram"/>
        <w:keepNext/>
      </w:pPr>
      <w:r w:rsidRPr="00D505F5">
        <w:t>Programme 15</w:t>
      </w:r>
      <w:r w:rsidRPr="00D505F5">
        <w:tab/>
        <w:t>(Solutions opérationnelles pour les offices de propriété intellectuelle)</w:t>
      </w:r>
    </w:p>
    <w:p w:rsidR="00AE6881" w:rsidRPr="00D505F5" w:rsidRDefault="00AE6881" w:rsidP="00AE6881">
      <w:pPr>
        <w:pStyle w:val="NormalProgram"/>
        <w:keepNext/>
      </w:pPr>
      <w:r w:rsidRPr="00D505F5">
        <w:t>Programme 20</w:t>
      </w:r>
      <w:r w:rsidRPr="00D505F5">
        <w:tab/>
        <w:t>(Relations extérieures et bureaux extérieurs)</w:t>
      </w:r>
    </w:p>
    <w:p w:rsidR="00AE6881" w:rsidRPr="00D505F5" w:rsidRDefault="00AE6881" w:rsidP="00AE6881">
      <w:pPr>
        <w:pStyle w:val="NormalNumb"/>
        <w:keepNext/>
        <w:numPr>
          <w:ilvl w:val="0"/>
          <w:numId w:val="0"/>
        </w:numPr>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keepNext/>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Union du PCT</w:t>
            </w:r>
          </w:p>
          <w:p w:rsidR="00AE6881" w:rsidRPr="00D505F5" w:rsidRDefault="00AE6881" w:rsidP="0034642C">
            <w:pPr>
              <w:pStyle w:val="TableTextCenter"/>
              <w:keepNext/>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keepNext/>
              <w:spacing w:before="40" w:after="20" w:line="200" w:lineRule="atLeast"/>
              <w:ind w:left="113"/>
              <w:jc w:val="center"/>
              <w:rPr>
                <w:rFonts w:ascii="Arial Narrow" w:hAnsi="Arial Narrow"/>
                <w:b/>
                <w:sz w:val="16"/>
              </w:rPr>
            </w:pPr>
            <w:r w:rsidRPr="00D505F5">
              <w:rPr>
                <w:rFonts w:ascii="Arial Narrow" w:hAnsi="Arial Narrow"/>
                <w:b/>
                <w:sz w:val="16"/>
              </w:rPr>
              <w:t>Union de Madrid</w:t>
            </w:r>
          </w:p>
          <w:p w:rsidR="00AE6881" w:rsidRPr="00D505F5" w:rsidRDefault="00AE6881" w:rsidP="0034642C">
            <w:pPr>
              <w:pStyle w:val="TableTextCenter"/>
              <w:keepNext/>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Heading"/>
              <w:jc w:val="center"/>
            </w:pPr>
            <w:r w:rsidRPr="00D505F5">
              <w:t xml:space="preserve">Union de </w:t>
            </w:r>
            <w:r w:rsidR="00AD1C27">
              <w:t>La Haye</w:t>
            </w:r>
          </w:p>
          <w:p w:rsidR="00AE6881" w:rsidRPr="00D505F5" w:rsidRDefault="00AE6881" w:rsidP="0034642C">
            <w:pPr>
              <w:pStyle w:val="TableTextCenter"/>
              <w:keepNext/>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keepNext/>
            </w:pPr>
          </w:p>
        </w:tc>
      </w:tr>
      <w:tr w:rsidR="00AE6881" w:rsidRPr="00D505F5" w:rsidTr="0034642C">
        <w:tc>
          <w:tcPr>
            <w:tcW w:w="1000" w:type="pct"/>
          </w:tcPr>
          <w:p w:rsidR="00AE6881" w:rsidRPr="00D505F5" w:rsidRDefault="00AE6881" w:rsidP="0034642C">
            <w:pPr>
              <w:pStyle w:val="TableTextCenter"/>
              <w:keepNext/>
              <w:keepLines/>
            </w:pPr>
            <w:r w:rsidRPr="00D505F5">
              <w:t>Programme 3 – Systèmes de gestion des données numériques</w:t>
            </w:r>
          </w:p>
        </w:tc>
        <w:tc>
          <w:tcPr>
            <w:tcW w:w="1000" w:type="pct"/>
          </w:tcPr>
          <w:p w:rsidR="00AE6881" w:rsidRPr="00D505F5" w:rsidRDefault="00AE6881" w:rsidP="0034642C">
            <w:pPr>
              <w:pStyle w:val="TableTextCenter"/>
            </w:pPr>
            <w:r w:rsidRPr="00D505F5">
              <w:t>Programme 13 – Systèmes de ROC dans les offices nationaux</w:t>
            </w:r>
          </w:p>
          <w:p w:rsidR="00AE6881" w:rsidRPr="00D505F5" w:rsidRDefault="00AE6881" w:rsidP="0034642C">
            <w:pPr>
              <w:pStyle w:val="TableText"/>
              <w:jc w:val="center"/>
              <w:rPr>
                <w:i/>
              </w:rPr>
            </w:pPr>
            <w:r w:rsidRPr="00D505F5">
              <w:rPr>
                <w:i/>
              </w:rPr>
              <w:t>(59,4% – estimation du chef de programme)</w:t>
            </w:r>
          </w:p>
        </w:tc>
        <w:tc>
          <w:tcPr>
            <w:tcW w:w="1000" w:type="pct"/>
          </w:tcPr>
          <w:p w:rsidR="00AE6881" w:rsidRPr="00D505F5" w:rsidRDefault="00AE6881" w:rsidP="0034642C">
            <w:pPr>
              <w:keepNext/>
              <w:keepLines/>
              <w:spacing w:after="0" w:line="200" w:lineRule="atLeast"/>
              <w:ind w:left="113"/>
              <w:jc w:val="center"/>
              <w:rPr>
                <w:rFonts w:ascii="Arial Narrow" w:hAnsi="Arial Narrow"/>
                <w:sz w:val="16"/>
              </w:rPr>
            </w:pPr>
            <w:r w:rsidRPr="00D505F5">
              <w:rPr>
                <w:rFonts w:ascii="Arial Narrow" w:hAnsi="Arial Narrow"/>
                <w:sz w:val="16"/>
              </w:rPr>
              <w:t>Programme 13 – Systèmes de ROC dans les offices nationaux</w:t>
            </w:r>
          </w:p>
          <w:p w:rsidR="00AE6881" w:rsidRPr="00D505F5" w:rsidRDefault="00AE6881" w:rsidP="0034642C">
            <w:pPr>
              <w:pStyle w:val="TableText"/>
              <w:jc w:val="center"/>
              <w:rPr>
                <w:i/>
              </w:rPr>
            </w:pPr>
            <w:r w:rsidRPr="00D505F5">
              <w:rPr>
                <w:i/>
              </w:rPr>
              <w:t>(31,7% – estimation du chef de programme)</w:t>
            </w:r>
          </w:p>
        </w:tc>
        <w:tc>
          <w:tcPr>
            <w:tcW w:w="1000" w:type="pct"/>
          </w:tcPr>
          <w:p w:rsidR="00AE6881" w:rsidRPr="00D505F5" w:rsidRDefault="00AE6881" w:rsidP="0034642C">
            <w:pPr>
              <w:pStyle w:val="TableTextCenter"/>
            </w:pPr>
            <w:r w:rsidRPr="00D505F5">
              <w:t>Programme 13 – Systèmes de ROC dans les offices nationaux</w:t>
            </w:r>
          </w:p>
          <w:p w:rsidR="00AE6881" w:rsidRPr="00D505F5" w:rsidRDefault="00AE6881" w:rsidP="0034642C">
            <w:pPr>
              <w:pStyle w:val="TableText"/>
              <w:jc w:val="center"/>
              <w:rPr>
                <w:i/>
              </w:rPr>
            </w:pPr>
            <w:r w:rsidRPr="00D505F5">
              <w:rPr>
                <w:i/>
              </w:rPr>
              <w:t>(8,9% – estimation du chef de programme)</w:t>
            </w: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34642C">
            <w:pPr>
              <w:pStyle w:val="TableItalicCenter"/>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9, 15 et 20</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 résultat escompté VII.1 “Plateformes et instruments fondés sur la propriété intellectuelle pour le transfert de connaissances et l</w:t>
      </w:r>
      <w:r w:rsidR="00AD1C27">
        <w:t>’</w:t>
      </w:r>
      <w:r w:rsidRPr="00D505F5">
        <w:t>adaptation et la diffusion de la technologie entre les pays développés et les pays en développement, notamment les PMA, pour relever des défis mondiaux” mises en œuvre par les programmes ci</w:t>
      </w:r>
      <w:r w:rsidR="00AF4785">
        <w:noBreakHyphen/>
      </w:r>
      <w:r w:rsidRPr="00D505F5">
        <w:t>après</w:t>
      </w:r>
      <w:r w:rsidR="00AD1C27">
        <w:t> :</w:t>
      </w:r>
    </w:p>
    <w:p w:rsidR="00AE6881" w:rsidRPr="00D505F5" w:rsidRDefault="00AE6881" w:rsidP="00AE6881">
      <w:pPr>
        <w:pStyle w:val="NormalProgram"/>
        <w:keepNext/>
      </w:pPr>
      <w:r w:rsidRPr="00D505F5">
        <w:t>Programme 3</w:t>
      </w:r>
      <w:r w:rsidRPr="00D505F5">
        <w:tab/>
        <w:t>(Droit d</w:t>
      </w:r>
      <w:r w:rsidR="00AD1C27">
        <w:t>’</w:t>
      </w:r>
      <w:r w:rsidRPr="00D505F5">
        <w:t>auteur et droits connexes)</w:t>
      </w:r>
    </w:p>
    <w:p w:rsidR="00AE6881" w:rsidRPr="00D505F5" w:rsidRDefault="00AE6881" w:rsidP="00AE6881">
      <w:pPr>
        <w:pStyle w:val="NormalProgram"/>
        <w:keepNext/>
      </w:pPr>
      <w:r w:rsidRPr="00D505F5">
        <w:t xml:space="preserve">Programme 4 </w:t>
      </w:r>
      <w:r w:rsidRPr="00D505F5">
        <w:tab/>
        <w:t>(Savoirs traditionnels, expressions culturelles traditionnelles et ressources génétiques)</w:t>
      </w:r>
    </w:p>
    <w:p w:rsidR="00AE6881" w:rsidRPr="00D505F5" w:rsidRDefault="00AE6881" w:rsidP="00AE6881">
      <w:pPr>
        <w:pStyle w:val="NormalProgram"/>
        <w:keepNext/>
      </w:pPr>
      <w:r w:rsidRPr="00D505F5">
        <w:t>Programme 18</w:t>
      </w:r>
      <w:r w:rsidRPr="00D505F5">
        <w:tab/>
        <w:t>(Propriété intellectuelle et défis mondiaux)</w:t>
      </w:r>
    </w:p>
    <w:p w:rsidR="00AE6881" w:rsidRPr="00D505F5" w:rsidRDefault="00AE6881" w:rsidP="00AE6881">
      <w:pPr>
        <w:pStyle w:val="NormalProgram"/>
        <w:keepNext/>
      </w:pPr>
      <w:r w:rsidRPr="00D505F5">
        <w:t xml:space="preserve">Programme 20 </w:t>
      </w:r>
      <w:r w:rsidRPr="00D505F5">
        <w:tab/>
        <w:t>(Relations extérieures et bureaux extérieurs)</w:t>
      </w:r>
    </w:p>
    <w:p w:rsidR="00AE6881" w:rsidRPr="00D505F5" w:rsidRDefault="00AE6881" w:rsidP="00AE6881">
      <w:pPr>
        <w:keepNext/>
      </w:pPr>
      <w:r w:rsidRPr="00D505F5">
        <w:t>sont réparties en tant que dépenses “directes de l</w:t>
      </w:r>
      <w:r w:rsidR="00AD1C27">
        <w:t>’</w:t>
      </w:r>
      <w:r w:rsidRPr="00D505F5">
        <w:t>union” et dépenses “indirectes de l</w:t>
      </w:r>
      <w:r w:rsidR="00AD1C27">
        <w:t>’</w:t>
      </w:r>
      <w:r w:rsidRPr="00D505F5">
        <w:t>union”, comme indiqué ci</w:t>
      </w:r>
      <w:r w:rsidR="00AF4785">
        <w:noBreakHyphen/>
      </w:r>
      <w:r w:rsidRPr="00D505F5">
        <w:t>après</w:t>
      </w:r>
      <w:r w:rsidR="00AD1C27">
        <w:t>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AE6881" w:rsidRPr="00D505F5" w:rsidTr="0034642C">
        <w:tc>
          <w:tcPr>
            <w:tcW w:w="1000" w:type="pct"/>
            <w:shd w:val="clear" w:color="auto" w:fill="C6CFD7" w:themeFill="accent3" w:themeFillTint="66"/>
          </w:tcPr>
          <w:p w:rsidR="00AE6881" w:rsidRPr="00D505F5" w:rsidRDefault="00AE6881" w:rsidP="0034642C">
            <w:pPr>
              <w:pStyle w:val="TableHeading"/>
              <w:jc w:val="center"/>
            </w:pPr>
            <w:r w:rsidRPr="00D505F5">
              <w:t>Unions financées par des contributions</w:t>
            </w:r>
          </w:p>
          <w:p w:rsidR="00AE6881" w:rsidRPr="00D505F5" w:rsidRDefault="00AE6881" w:rsidP="0034642C">
            <w:pPr>
              <w:pStyle w:val="TableTextCenter"/>
            </w:pPr>
            <w:r w:rsidRPr="00D505F5">
              <w:t>Dépenses directes de l</w:t>
            </w:r>
            <w:r w:rsidR="00AD1C27">
              <w:t>’</w:t>
            </w:r>
            <w:r w:rsidRPr="00D505F5">
              <w:t>union</w:t>
            </w: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c>
          <w:tcPr>
            <w:tcW w:w="1000" w:type="pct"/>
            <w:shd w:val="clear" w:color="auto" w:fill="C6CFD7" w:themeFill="accent3" w:themeFillTint="66"/>
          </w:tcPr>
          <w:p w:rsidR="00AE6881" w:rsidRPr="00D505F5" w:rsidRDefault="00AE6881" w:rsidP="0034642C">
            <w:pPr>
              <w:pStyle w:val="TableTextCenter"/>
            </w:pPr>
          </w:p>
        </w:tc>
      </w:tr>
      <w:tr w:rsidR="00AE6881" w:rsidRPr="00D505F5" w:rsidTr="0034642C">
        <w:tc>
          <w:tcPr>
            <w:tcW w:w="1000" w:type="pct"/>
          </w:tcPr>
          <w:p w:rsidR="00AE6881" w:rsidRPr="00D505F5" w:rsidRDefault="00AE6881" w:rsidP="0034642C">
            <w:pPr>
              <w:pStyle w:val="TableTextCenter"/>
              <w:keepNext/>
              <w:keepLines/>
              <w:rPr>
                <w:i/>
              </w:rPr>
            </w:pPr>
            <w:r w:rsidRPr="00D505F5">
              <w:t>Programme 3 – Service d</w:t>
            </w:r>
            <w:r w:rsidR="00AD1C27">
              <w:t>’</w:t>
            </w:r>
            <w:r w:rsidRPr="00D505F5">
              <w:t>échange de livres et normes de publication ouverte de l</w:t>
            </w:r>
            <w:r w:rsidR="00AD1C27">
              <w:t>’</w:t>
            </w:r>
            <w:r w:rsidRPr="00D505F5">
              <w:t>ABC</w:t>
            </w: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jc w:val="center"/>
              <w:rPr>
                <w:i/>
              </w:rPr>
            </w:pPr>
          </w:p>
        </w:tc>
        <w:tc>
          <w:tcPr>
            <w:tcW w:w="1000" w:type="pct"/>
          </w:tcPr>
          <w:p w:rsidR="00AE6881" w:rsidRPr="00D505F5" w:rsidRDefault="00AE6881" w:rsidP="0034642C">
            <w:pPr>
              <w:pStyle w:val="TableText"/>
            </w:pPr>
          </w:p>
        </w:tc>
      </w:tr>
      <w:tr w:rsidR="00AE6881" w:rsidRPr="00D505F5" w:rsidTr="0034642C">
        <w:tc>
          <w:tcPr>
            <w:tcW w:w="1000" w:type="pct"/>
          </w:tcPr>
          <w:p w:rsidR="00AE6881" w:rsidRPr="00D505F5" w:rsidRDefault="00AE6881" w:rsidP="00D11828">
            <w:pPr>
              <w:pStyle w:val="TableTextCenter"/>
              <w:keepNext/>
              <w:keepLines/>
            </w:pPr>
            <w:r w:rsidRPr="00D505F5">
              <w:t xml:space="preserve">Programme 4 – Appui à WIPO Re:Search et </w:t>
            </w:r>
            <w:r w:rsidR="00D11828" w:rsidRPr="00D505F5">
              <w:t>WIPO GREEN</w:t>
            </w: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c>
          <w:tcPr>
            <w:tcW w:w="1000" w:type="pct"/>
          </w:tcPr>
          <w:p w:rsidR="00AE6881" w:rsidRPr="00D505F5" w:rsidRDefault="00AE6881" w:rsidP="0034642C">
            <w:pPr>
              <w:pStyle w:val="TableText"/>
            </w:pPr>
          </w:p>
        </w:tc>
      </w:tr>
      <w:tr w:rsidR="00AE6881" w:rsidRPr="00D505F5" w:rsidTr="0034642C">
        <w:tc>
          <w:tcPr>
            <w:tcW w:w="5000" w:type="pct"/>
            <w:gridSpan w:val="5"/>
            <w:shd w:val="clear" w:color="auto" w:fill="C6CFD7" w:themeFill="accent3" w:themeFillTint="66"/>
          </w:tcPr>
          <w:p w:rsidR="00AE6881" w:rsidRPr="00D505F5" w:rsidRDefault="00AE6881" w:rsidP="0034642C">
            <w:pPr>
              <w:pStyle w:val="TableText"/>
              <w:jc w:val="center"/>
            </w:pPr>
            <w:r w:rsidRPr="00D505F5">
              <w:t>Dépenses indirectes de l</w:t>
            </w:r>
            <w:r w:rsidR="00AD1C27">
              <w:t>’</w:t>
            </w:r>
            <w:r w:rsidRPr="00D505F5">
              <w:t>union</w:t>
            </w:r>
            <w:r w:rsidR="00AD1C27">
              <w:t> :</w:t>
            </w:r>
            <w:r w:rsidRPr="00D505F5">
              <w:t xml:space="preserve"> programmes 18 et 20</w:t>
            </w:r>
          </w:p>
        </w:tc>
      </w:tr>
    </w:tbl>
    <w:p w:rsidR="00AE6881" w:rsidRPr="00D505F5" w:rsidRDefault="00AE6881" w:rsidP="00AE6881">
      <w:pPr>
        <w:pStyle w:val="NormalNoSpace"/>
      </w:pPr>
    </w:p>
    <w:p w:rsidR="00AE6881" w:rsidRPr="00D505F5" w:rsidRDefault="00AE6881" w:rsidP="00AE6881">
      <w:pPr>
        <w:keepNext/>
      </w:pPr>
      <w:r w:rsidRPr="00D505F5">
        <w:t>Les dépenses relatives aux activités menées aux fins de contribuer aux résultats escomptés III.1, III.3, III.6, V.1, V.2, VI.1, VI.2, VIII.1, VIII.2, VIII.4 et VIII.5 sont réparties en tant que dépenses “indirectes de l</w:t>
      </w:r>
      <w:r w:rsidR="00AD1C27">
        <w:t>’</w:t>
      </w:r>
      <w:r w:rsidRPr="00D505F5">
        <w:t>Union” sur la base du principe de la “capacité de paiement”.</w:t>
      </w:r>
    </w:p>
    <w:p w:rsidR="00AE6881" w:rsidRPr="00D505F5" w:rsidRDefault="00AE6881" w:rsidP="00AE6881">
      <w:pPr>
        <w:keepNext/>
      </w:pPr>
      <w:r w:rsidRPr="00D505F5">
        <w:t>Les dépenses relatives aux activités pour les résultats escomptés I.1,</w:t>
      </w:r>
      <w:r w:rsidR="008F6DB3" w:rsidRPr="00D505F5">
        <w:rPr>
          <w:rFonts w:eastAsia="Arial" w:cs="Arial"/>
        </w:rPr>
        <w:t xml:space="preserve"> I.2,</w:t>
      </w:r>
      <w:r w:rsidRPr="00D505F5">
        <w:rPr>
          <w:rFonts w:eastAsia="Arial" w:cs="Arial"/>
        </w:rPr>
        <w:t xml:space="preserve"> III.2, IV.2, VIII.1 et VIII.3</w:t>
      </w:r>
      <w:r w:rsidRPr="00D505F5">
        <w:t xml:space="preserve"> mises en œuvre par le programme 21 et aux activités pour le résultat escompté VIII.5 mises en œuvre par les programmes 21 et 24 sont réparties de la même manière que les dépenses au titre des activités administratives et de gestion.</w:t>
      </w:r>
    </w:p>
    <w:p w:rsidR="00AE6881" w:rsidRPr="00D505F5" w:rsidRDefault="00AE6881" w:rsidP="00AE6881">
      <w:r w:rsidRPr="00D505F5">
        <w:t>Les dépenses relatives aux activités menées aux fins de contribuer à l</w:t>
      </w:r>
      <w:r w:rsidR="00AD1C27">
        <w:t>’</w:t>
      </w:r>
      <w:r w:rsidRPr="00D505F5">
        <w:t>objectif stratégique IX “Structure d</w:t>
      </w:r>
      <w:r w:rsidR="00AD1C27">
        <w:t>’</w:t>
      </w:r>
      <w:r w:rsidRPr="00D505F5">
        <w:t>appui administratif et financier efficace afin de permettre à l</w:t>
      </w:r>
      <w:r w:rsidR="00AD1C27">
        <w:t>’</w:t>
      </w:r>
      <w:r w:rsidRPr="00D505F5">
        <w:t>OMPI d</w:t>
      </w:r>
      <w:r w:rsidR="00AD1C27">
        <w:t>’</w:t>
      </w:r>
      <w:r w:rsidRPr="00D505F5">
        <w:t xml:space="preserve">exécuter ses programmes” (résultats escomptés IX.1 à IX.5) mises en œuvre par les programmes </w:t>
      </w:r>
      <w:r w:rsidR="00811905" w:rsidRPr="00D505F5">
        <w:t xml:space="preserve">indiqués </w:t>
      </w:r>
      <w:r w:rsidRPr="00D505F5">
        <w:t>ci</w:t>
      </w:r>
      <w:r w:rsidR="00AF4785">
        <w:noBreakHyphen/>
      </w:r>
      <w:r w:rsidRPr="00D505F5">
        <w:t>après sont attribuées en tant que dépenses “administratives directes” à l</w:t>
      </w:r>
      <w:r w:rsidR="00AD1C27">
        <w:t>’</w:t>
      </w:r>
      <w:r w:rsidRPr="00D505F5">
        <w:t>ensemble des unions comme suit</w:t>
      </w:r>
      <w:r w:rsidR="00AD1C27">
        <w:t> :</w:t>
      </w:r>
      <w:r w:rsidRPr="00D505F5">
        <w:t xml:space="preserve"> a) attribution directe aux unions des coûts administratifs tels que la part du coût de l</w:t>
      </w:r>
      <w:r w:rsidR="00AD1C27">
        <w:t>’</w:t>
      </w:r>
      <w:r w:rsidRPr="00D505F5">
        <w:t>hébergement du serveur au CIC et la part du coût de la Section des recettes aux finances;  et b) attribution aux unions des autres coûts “administratifs directs” sur la base de leur part relative dans l</w:t>
      </w:r>
      <w:r w:rsidR="00AD1C27">
        <w:t>’</w:t>
      </w:r>
      <w:r w:rsidRPr="00D505F5">
        <w:t>effect</w:t>
      </w:r>
      <w:r w:rsidR="001D4966" w:rsidRPr="00D505F5">
        <w:t>if</w:t>
      </w:r>
      <w:r w:rsidR="001D4966">
        <w:t xml:space="preserve">.  </w:t>
      </w:r>
      <w:r w:rsidR="001D4966" w:rsidRPr="00D505F5">
        <w:t>Le</w:t>
      </w:r>
      <w:r w:rsidRPr="00D505F5">
        <w:t>s dépenses administratives connexes qui ne sont pas attribuées en tant que dépenses “administratives directes” sont réparties en tant que dépenses “administratives indirectes” sur la base du princip</w:t>
      </w:r>
      <w:r w:rsidR="006E4DCF" w:rsidRPr="00D505F5">
        <w:t>e de la “capacité de paiement”.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639"/>
      </w:tblGrid>
      <w:tr w:rsidR="00AE6881" w:rsidRPr="00D505F5" w:rsidTr="0034642C">
        <w:tc>
          <w:tcPr>
            <w:tcW w:w="5000" w:type="pct"/>
            <w:shd w:val="clear" w:color="auto" w:fill="C6CFD7" w:themeFill="accent3" w:themeFillTint="66"/>
          </w:tcPr>
          <w:p w:rsidR="00AE6881" w:rsidRPr="00D505F5" w:rsidRDefault="00AE6881" w:rsidP="0034642C">
            <w:pPr>
              <w:pStyle w:val="TableTextCenter"/>
              <w:keepNext/>
              <w:keepLines/>
            </w:pPr>
            <w:r w:rsidRPr="00D505F5">
              <w:lastRenderedPageBreak/>
              <w:t>Dépenses administratives directes/indirectes</w:t>
            </w:r>
          </w:p>
        </w:tc>
      </w:tr>
      <w:tr w:rsidR="00AE6881" w:rsidRPr="00D505F5" w:rsidTr="0034642C">
        <w:tc>
          <w:tcPr>
            <w:tcW w:w="5000" w:type="pct"/>
          </w:tcPr>
          <w:p w:rsidR="00AE6881" w:rsidRPr="00D505F5" w:rsidRDefault="00AE6881" w:rsidP="0034642C">
            <w:pPr>
              <w:pStyle w:val="TableText"/>
              <w:keepNext/>
            </w:pPr>
            <w:r w:rsidRPr="00D505F5">
              <w:t>Programme 21</w:t>
            </w:r>
            <w:r w:rsidRPr="00D505F5">
              <w:rPr>
                <w:rFonts w:ascii="Arial" w:hAnsi="Arial" w:cs="Arial"/>
                <w:szCs w:val="16"/>
              </w:rPr>
              <w:t xml:space="preserve"> (</w:t>
            </w:r>
            <w:r w:rsidRPr="00D505F5">
              <w:t>Direction g</w:t>
            </w:r>
            <w:r w:rsidRPr="00D505F5">
              <w:rPr>
                <w:rFonts w:cs="Arial Narrow"/>
              </w:rPr>
              <w:t>é</w:t>
            </w:r>
            <w:r w:rsidRPr="00D505F5">
              <w:t>n</w:t>
            </w:r>
            <w:r w:rsidRPr="00D505F5">
              <w:rPr>
                <w:rFonts w:cs="Arial Narrow"/>
              </w:rPr>
              <w:t>é</w:t>
            </w:r>
            <w:r w:rsidRPr="00D505F5">
              <w:t>rale)</w:t>
            </w:r>
          </w:p>
        </w:tc>
      </w:tr>
      <w:tr w:rsidR="00AE6881" w:rsidRPr="00D505F5" w:rsidTr="0034642C">
        <w:tc>
          <w:tcPr>
            <w:tcW w:w="5000" w:type="pct"/>
          </w:tcPr>
          <w:p w:rsidR="00AE6881" w:rsidRPr="00D505F5" w:rsidRDefault="00AE6881" w:rsidP="0034642C">
            <w:pPr>
              <w:pStyle w:val="TableText"/>
              <w:keepNext/>
            </w:pPr>
            <w:r w:rsidRPr="00D505F5">
              <w:t>Programme 22 (Gestion du programme et des ressources)</w:t>
            </w:r>
          </w:p>
        </w:tc>
      </w:tr>
      <w:tr w:rsidR="00AE6881" w:rsidRPr="00D505F5" w:rsidTr="0034642C">
        <w:tc>
          <w:tcPr>
            <w:tcW w:w="5000" w:type="pct"/>
          </w:tcPr>
          <w:p w:rsidR="00AE6881" w:rsidRPr="00D505F5" w:rsidRDefault="00AE6881" w:rsidP="0034642C">
            <w:pPr>
              <w:pStyle w:val="TableText"/>
              <w:keepNext/>
            </w:pPr>
            <w:r w:rsidRPr="00D505F5">
              <w:t>Programme 23 (DGRH)</w:t>
            </w:r>
          </w:p>
        </w:tc>
      </w:tr>
      <w:tr w:rsidR="00AE6881" w:rsidRPr="00D505F5" w:rsidTr="0034642C">
        <w:tc>
          <w:tcPr>
            <w:tcW w:w="5000" w:type="pct"/>
          </w:tcPr>
          <w:p w:rsidR="00AE6881" w:rsidRPr="00D505F5" w:rsidRDefault="00AE6881" w:rsidP="0034642C">
            <w:pPr>
              <w:pStyle w:val="TableText"/>
              <w:keepNext/>
            </w:pPr>
            <w:r w:rsidRPr="00D505F5">
              <w:t>Programme 24 (Services d</w:t>
            </w:r>
            <w:r w:rsidR="00AD1C27">
              <w:rPr>
                <w:rFonts w:cs="Arial Narrow"/>
              </w:rPr>
              <w:t>’</w:t>
            </w:r>
            <w:r w:rsidRPr="00D505F5">
              <w:t>appui g</w:t>
            </w:r>
            <w:r w:rsidRPr="00D505F5">
              <w:rPr>
                <w:rFonts w:cs="Arial Narrow"/>
              </w:rPr>
              <w:t>é</w:t>
            </w:r>
            <w:r w:rsidRPr="00D505F5">
              <w:t>n</w:t>
            </w:r>
            <w:r w:rsidRPr="00D505F5">
              <w:rPr>
                <w:rFonts w:cs="Arial Narrow"/>
              </w:rPr>
              <w:t>é</w:t>
            </w:r>
            <w:r w:rsidRPr="00D505F5">
              <w:t>raux)</w:t>
            </w:r>
          </w:p>
        </w:tc>
      </w:tr>
      <w:tr w:rsidR="00AE6881" w:rsidRPr="00D505F5" w:rsidTr="0034642C">
        <w:tc>
          <w:tcPr>
            <w:tcW w:w="5000" w:type="pct"/>
          </w:tcPr>
          <w:p w:rsidR="00AE6881" w:rsidRPr="00D505F5" w:rsidRDefault="00AE6881" w:rsidP="0034642C">
            <w:pPr>
              <w:pStyle w:val="TableText"/>
              <w:keepNext/>
            </w:pPr>
            <w:r w:rsidRPr="00D505F5">
              <w:t>Programme 25 (TIC)</w:t>
            </w:r>
          </w:p>
        </w:tc>
      </w:tr>
      <w:tr w:rsidR="00AE6881" w:rsidRPr="00D505F5" w:rsidTr="0034642C">
        <w:tc>
          <w:tcPr>
            <w:tcW w:w="5000" w:type="pct"/>
          </w:tcPr>
          <w:p w:rsidR="00AE6881" w:rsidRPr="00D505F5" w:rsidRDefault="00AE6881" w:rsidP="0034642C">
            <w:pPr>
              <w:pStyle w:val="TableText"/>
              <w:keepNext/>
            </w:pPr>
            <w:r w:rsidRPr="00D505F5">
              <w:t>Programme 26 (Supervision interne)</w:t>
            </w:r>
          </w:p>
        </w:tc>
      </w:tr>
      <w:tr w:rsidR="00AE6881" w:rsidRPr="00D505F5" w:rsidTr="0034642C">
        <w:tc>
          <w:tcPr>
            <w:tcW w:w="5000" w:type="pct"/>
          </w:tcPr>
          <w:p w:rsidR="00AE6881" w:rsidRPr="00D505F5" w:rsidRDefault="00AE6881" w:rsidP="0034642C">
            <w:pPr>
              <w:pStyle w:val="TableText"/>
              <w:keepNext/>
            </w:pPr>
            <w:r w:rsidRPr="00D505F5">
              <w:t>Programme 27 (Services de conf</w:t>
            </w:r>
            <w:r w:rsidRPr="00D505F5">
              <w:rPr>
                <w:rFonts w:cs="Arial Narrow"/>
              </w:rPr>
              <w:t>é</w:t>
            </w:r>
            <w:r w:rsidRPr="00D505F5">
              <w:t>rence et services linguistiques)</w:t>
            </w:r>
          </w:p>
        </w:tc>
      </w:tr>
      <w:tr w:rsidR="00AE6881" w:rsidRPr="00D505F5" w:rsidTr="0034642C">
        <w:tc>
          <w:tcPr>
            <w:tcW w:w="5000" w:type="pct"/>
            <w:tcBorders>
              <w:bottom w:val="single" w:sz="18" w:space="0" w:color="C6CFD7" w:themeColor="accent3" w:themeTint="66"/>
            </w:tcBorders>
          </w:tcPr>
          <w:p w:rsidR="00AE6881" w:rsidRPr="00D505F5" w:rsidRDefault="00AE6881" w:rsidP="0034642C">
            <w:pPr>
              <w:pStyle w:val="TableText"/>
            </w:pPr>
            <w:r w:rsidRPr="00D505F5">
              <w:t>Programme 28 (Sécurité de l</w:t>
            </w:r>
            <w:r w:rsidR="00AD1C27">
              <w:t>’</w:t>
            </w:r>
            <w:r w:rsidRPr="00D505F5">
              <w:t>information, des biens et des personnes)</w:t>
            </w:r>
          </w:p>
        </w:tc>
      </w:tr>
    </w:tbl>
    <w:p w:rsidR="00AE6881" w:rsidRPr="00D505F5" w:rsidRDefault="00AE6881" w:rsidP="00AE6881">
      <w:pPr>
        <w:pStyle w:val="Heading1NoNumb"/>
      </w:pPr>
      <w:r w:rsidRPr="00D505F5">
        <w:t>Répartition des ajustements IPSAS par union</w:t>
      </w:r>
    </w:p>
    <w:p w:rsidR="00AE6881" w:rsidRPr="00D505F5" w:rsidRDefault="00AE6881" w:rsidP="00AE6881">
      <w:r w:rsidRPr="00D505F5">
        <w:t>Les ajustements apportés aux dépenses au titre des normes IPSAS sont répartis au prorata entre les unions en fonction des parts relatives des dépens</w:t>
      </w:r>
      <w:r w:rsidR="001D4966" w:rsidRPr="00D505F5">
        <w:t>es</w:t>
      </w:r>
      <w:r w:rsidR="001D4966">
        <w:t xml:space="preserve">.  </w:t>
      </w:r>
      <w:r w:rsidR="001D4966" w:rsidRPr="00D505F5">
        <w:t>Le</w:t>
      </w:r>
      <w:r w:rsidRPr="00D505F5">
        <w:t>s ajustements IPSAS incluent les prestations au personnel après la cessation de service et l</w:t>
      </w:r>
      <w:r w:rsidR="00AD1C27">
        <w:t>’</w:t>
      </w:r>
      <w:r w:rsidRPr="00D505F5">
        <w:t>amortissement des bâtiments et de l</w:t>
      </w:r>
      <w:r w:rsidR="00AD1C27">
        <w:t>’</w:t>
      </w:r>
      <w:r w:rsidRPr="00D505F5">
        <w:t>équipement, des logiciels et des droits de superficie.</w:t>
      </w:r>
    </w:p>
    <w:p w:rsidR="00AE6881" w:rsidRPr="00D505F5" w:rsidRDefault="00AE6881" w:rsidP="00AE6881">
      <w:pPr>
        <w:pStyle w:val="TableAndChartTitle"/>
      </w:pPr>
      <w:r w:rsidRPr="00D505F5">
        <w:t>Tableau 11.  Scénario global par union</w:t>
      </w:r>
    </w:p>
    <w:p w:rsidR="00AE6881" w:rsidRPr="00D505F5" w:rsidRDefault="00AE6881" w:rsidP="00AE6881">
      <w:pPr>
        <w:pStyle w:val="TableAndChartTitleAddText"/>
      </w:pPr>
      <w:r w:rsidRPr="00D505F5">
        <w:t>(en milliers de francs suisses)</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255"/>
        <w:gridCol w:w="716"/>
        <w:gridCol w:w="522"/>
        <w:gridCol w:w="722"/>
        <w:gridCol w:w="522"/>
        <w:gridCol w:w="711"/>
        <w:gridCol w:w="522"/>
        <w:gridCol w:w="720"/>
        <w:gridCol w:w="522"/>
        <w:gridCol w:w="719"/>
        <w:gridCol w:w="515"/>
        <w:gridCol w:w="718"/>
        <w:gridCol w:w="522"/>
      </w:tblGrid>
      <w:tr w:rsidR="00AE6881" w:rsidRPr="00D505F5" w:rsidTr="0034642C">
        <w:tc>
          <w:tcPr>
            <w:tcW w:w="2255" w:type="dxa"/>
            <w:shd w:val="clear" w:color="auto" w:fill="C6CFD7" w:themeFill="accent3" w:themeFillTint="66"/>
          </w:tcPr>
          <w:p w:rsidR="00AE6881" w:rsidRPr="00D505F5" w:rsidRDefault="00AE6881" w:rsidP="0034642C">
            <w:pPr>
              <w:pStyle w:val="TableHeading"/>
            </w:pPr>
          </w:p>
        </w:tc>
        <w:tc>
          <w:tcPr>
            <w:tcW w:w="1238"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Unions financées par des contributions</w:t>
            </w:r>
          </w:p>
        </w:tc>
        <w:tc>
          <w:tcPr>
            <w:tcW w:w="1244"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du PCT</w:t>
            </w:r>
          </w:p>
        </w:tc>
        <w:tc>
          <w:tcPr>
            <w:tcW w:w="123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de Madrid</w:t>
            </w:r>
          </w:p>
        </w:tc>
        <w:tc>
          <w:tcPr>
            <w:tcW w:w="1242"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 xml:space="preserve">Union de </w:t>
            </w:r>
            <w:r w:rsidR="00AD1C27">
              <w:t>La Haye</w:t>
            </w:r>
          </w:p>
        </w:tc>
        <w:tc>
          <w:tcPr>
            <w:tcW w:w="1234"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de Lisbonne</w:t>
            </w:r>
          </w:p>
        </w:tc>
        <w:tc>
          <w:tcPr>
            <w:tcW w:w="1240"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Total</w:t>
            </w:r>
          </w:p>
        </w:tc>
      </w:tr>
      <w:tr w:rsidR="001F5BFD" w:rsidRPr="00D505F5" w:rsidTr="001F5BFD">
        <w:tc>
          <w:tcPr>
            <w:tcW w:w="2255" w:type="dxa"/>
            <w:tcBorders>
              <w:bottom w:val="single" w:sz="4" w:space="0" w:color="C6CFD7" w:themeColor="accent3" w:themeTint="66"/>
            </w:tcBorders>
          </w:tcPr>
          <w:p w:rsidR="001F5BFD" w:rsidRPr="00D505F5" w:rsidRDefault="001F5BFD" w:rsidP="001F5BFD">
            <w:pPr>
              <w:pStyle w:val="TableTextBold"/>
              <w:keepNext/>
              <w:rPr>
                <w:bCs/>
              </w:rPr>
            </w:pPr>
            <w:r w:rsidRPr="00D505F5">
              <w:rPr>
                <w:bCs/>
              </w:rPr>
              <w:t>Recettes 2020</w:t>
            </w:r>
            <w:r w:rsidR="00AF4785">
              <w:rPr>
                <w:bCs/>
              </w:rPr>
              <w:noBreakHyphen/>
            </w:r>
            <w:r w:rsidRPr="00D505F5">
              <w:rPr>
                <w:bCs/>
              </w:rPr>
              <w:t>2021</w:t>
            </w:r>
          </w:p>
        </w:tc>
        <w:tc>
          <w:tcPr>
            <w:tcW w:w="716"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36 084</w:t>
            </w:r>
          </w:p>
        </w:tc>
        <w:tc>
          <w:tcPr>
            <w:tcW w:w="522"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c>
          <w:tcPr>
            <w:tcW w:w="722" w:type="dxa"/>
            <w:tcBorders>
              <w:bottom w:val="single" w:sz="4" w:space="0" w:color="C6CFD7" w:themeColor="accent3" w:themeTint="66"/>
            </w:tcBorders>
            <w:vAlign w:val="center"/>
          </w:tcPr>
          <w:p w:rsidR="001F5BFD" w:rsidRPr="00D505F5" w:rsidRDefault="00625748"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667 565</w:t>
            </w:r>
          </w:p>
        </w:tc>
        <w:tc>
          <w:tcPr>
            <w:tcW w:w="522"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c>
          <w:tcPr>
            <w:tcW w:w="711"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164 </w:t>
            </w:r>
            <w:r w:rsidR="00625748" w:rsidRPr="00D505F5">
              <w:rPr>
                <w:rFonts w:ascii="Arial Narrow" w:hAnsi="Arial Narrow"/>
                <w:b/>
                <w:sz w:val="16"/>
                <w:lang w:eastAsia="fr-CH"/>
              </w:rPr>
              <w:t>345</w:t>
            </w:r>
          </w:p>
        </w:tc>
        <w:tc>
          <w:tcPr>
            <w:tcW w:w="522"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c>
          <w:tcPr>
            <w:tcW w:w="720"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13 </w:t>
            </w:r>
            <w:r w:rsidR="00625748" w:rsidRPr="00D505F5">
              <w:rPr>
                <w:rFonts w:ascii="Arial Narrow" w:hAnsi="Arial Narrow"/>
                <w:b/>
                <w:sz w:val="16"/>
                <w:lang w:eastAsia="fr-CH"/>
              </w:rPr>
              <w:t>995</w:t>
            </w:r>
          </w:p>
        </w:tc>
        <w:tc>
          <w:tcPr>
            <w:tcW w:w="522"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c>
          <w:tcPr>
            <w:tcW w:w="719"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779</w:t>
            </w:r>
          </w:p>
        </w:tc>
        <w:tc>
          <w:tcPr>
            <w:tcW w:w="515"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c>
          <w:tcPr>
            <w:tcW w:w="718" w:type="dxa"/>
            <w:tcBorders>
              <w:bottom w:val="single" w:sz="4" w:space="0" w:color="C6CFD7" w:themeColor="accent3" w:themeTint="66"/>
            </w:tcBorders>
            <w:vAlign w:val="center"/>
          </w:tcPr>
          <w:p w:rsidR="001F5BFD" w:rsidRPr="00D505F5" w:rsidRDefault="00625748" w:rsidP="001F5BFD">
            <w:pPr>
              <w:spacing w:after="0" w:line="200" w:lineRule="atLeast"/>
              <w:ind w:right="57"/>
              <w:jc w:val="right"/>
              <w:rPr>
                <w:rFonts w:ascii="Arial Narrow" w:hAnsi="Arial Narrow"/>
                <w:b/>
                <w:sz w:val="16"/>
                <w:lang w:eastAsia="fr-CH"/>
              </w:rPr>
            </w:pPr>
            <w:r w:rsidRPr="00D505F5">
              <w:rPr>
                <w:rFonts w:ascii="Arial Narrow" w:hAnsi="Arial Narrow"/>
                <w:b/>
                <w:sz w:val="16"/>
                <w:lang w:eastAsia="fr-CH"/>
              </w:rPr>
              <w:t>882 768</w:t>
            </w:r>
          </w:p>
        </w:tc>
        <w:tc>
          <w:tcPr>
            <w:tcW w:w="522" w:type="dxa"/>
            <w:tcBorders>
              <w:bottom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b/>
                <w:sz w:val="16"/>
                <w:lang w:eastAsia="fr-CH"/>
              </w:rPr>
            </w:pPr>
          </w:p>
        </w:tc>
      </w:tr>
      <w:tr w:rsidR="001F5BFD" w:rsidRPr="00D505F5" w:rsidTr="001F5BFD">
        <w:tc>
          <w:tcPr>
            <w:tcW w:w="2255" w:type="dxa"/>
            <w:tcBorders>
              <w:top w:val="single" w:sz="4" w:space="0" w:color="C6CFD7" w:themeColor="accent3" w:themeTint="66"/>
            </w:tcBorders>
          </w:tcPr>
          <w:p w:rsidR="001F5BFD" w:rsidRPr="00D505F5" w:rsidRDefault="001F5BFD" w:rsidP="001F5BFD">
            <w:pPr>
              <w:pStyle w:val="TableTextBold"/>
              <w:keepNext/>
            </w:pPr>
            <w:r w:rsidRPr="00D505F5">
              <w:t>Dépenses 2020</w:t>
            </w:r>
            <w:r w:rsidR="00AF4785">
              <w:noBreakHyphen/>
            </w:r>
            <w:r w:rsidRPr="00D505F5">
              <w:t xml:space="preserve">2021 </w:t>
            </w:r>
          </w:p>
        </w:tc>
        <w:tc>
          <w:tcPr>
            <w:tcW w:w="716"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5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7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5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711"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5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720"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5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719"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515"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718"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c>
          <w:tcPr>
            <w:tcW w:w="522" w:type="dxa"/>
            <w:tcBorders>
              <w:top w:val="single" w:sz="4" w:space="0" w:color="C6CFD7" w:themeColor="accent3" w:themeTint="66"/>
            </w:tcBorders>
            <w:vAlign w:val="center"/>
          </w:tcPr>
          <w:p w:rsidR="001F5BFD" w:rsidRPr="00D505F5" w:rsidRDefault="001F5BFD" w:rsidP="001F5BFD">
            <w:pPr>
              <w:spacing w:after="0" w:line="200" w:lineRule="atLeast"/>
              <w:ind w:right="57"/>
              <w:jc w:val="right"/>
              <w:rPr>
                <w:rFonts w:ascii="Arial Narrow" w:hAnsi="Arial Narrow"/>
                <w:szCs w:val="20"/>
                <w:lang w:eastAsia="fr-CH"/>
              </w:rPr>
            </w:pPr>
          </w:p>
        </w:tc>
      </w:tr>
      <w:tr w:rsidR="001F5BFD" w:rsidRPr="00D505F5" w:rsidTr="001F5BFD">
        <w:tc>
          <w:tcPr>
            <w:tcW w:w="2255" w:type="dxa"/>
          </w:tcPr>
          <w:p w:rsidR="001F5BFD" w:rsidRPr="00D505F5" w:rsidRDefault="001F5BFD" w:rsidP="001F5BFD">
            <w:pPr>
              <w:pStyle w:val="TableTextItalic"/>
              <w:keepNext/>
            </w:pPr>
            <w:r w:rsidRPr="00D505F5">
              <w:t>Dépenses directes de l</w:t>
            </w:r>
            <w:r w:rsidR="00AD1C27">
              <w:t>’</w:t>
            </w:r>
            <w:r w:rsidRPr="00D505F5">
              <w:t>union</w:t>
            </w:r>
          </w:p>
        </w:tc>
        <w:tc>
          <w:tcPr>
            <w:tcW w:w="716" w:type="dxa"/>
            <w:vAlign w:val="center"/>
          </w:tcPr>
          <w:p w:rsidR="001F5BFD" w:rsidRPr="00D505F5" w:rsidRDefault="001F5BFD"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25 </w:t>
            </w:r>
            <w:r w:rsidR="00625748" w:rsidRPr="00D505F5">
              <w:rPr>
                <w:rFonts w:ascii="Arial Narrow" w:hAnsi="Arial Narrow"/>
                <w:sz w:val="16"/>
                <w:lang w:eastAsia="fr-CH"/>
              </w:rPr>
              <w:t>761</w:t>
            </w:r>
          </w:p>
        </w:tc>
        <w:tc>
          <w:tcPr>
            <w:tcW w:w="522"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722" w:type="dxa"/>
            <w:vAlign w:val="center"/>
          </w:tcPr>
          <w:p w:rsidR="001F5BFD" w:rsidRPr="00D505F5" w:rsidRDefault="00625748"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242 701</w:t>
            </w:r>
          </w:p>
        </w:tc>
        <w:tc>
          <w:tcPr>
            <w:tcW w:w="522"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711" w:type="dxa"/>
            <w:vAlign w:val="center"/>
          </w:tcPr>
          <w:p w:rsidR="001F5BFD" w:rsidRPr="00D505F5" w:rsidRDefault="00625748"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79 150</w:t>
            </w:r>
          </w:p>
        </w:tc>
        <w:tc>
          <w:tcPr>
            <w:tcW w:w="522"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720" w:type="dxa"/>
            <w:vAlign w:val="center"/>
          </w:tcPr>
          <w:p w:rsidR="001F5BFD" w:rsidRPr="00D505F5" w:rsidRDefault="001F5BFD"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19 </w:t>
            </w:r>
            <w:r w:rsidR="00625748" w:rsidRPr="00D505F5">
              <w:rPr>
                <w:rFonts w:ascii="Arial Narrow" w:hAnsi="Arial Narrow"/>
                <w:sz w:val="16"/>
                <w:lang w:eastAsia="fr-CH"/>
              </w:rPr>
              <w:t>900</w:t>
            </w:r>
          </w:p>
        </w:tc>
        <w:tc>
          <w:tcPr>
            <w:tcW w:w="522"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719" w:type="dxa"/>
            <w:vAlign w:val="center"/>
          </w:tcPr>
          <w:p w:rsidR="001F5BFD" w:rsidRPr="00D505F5" w:rsidRDefault="001F5BFD"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1 </w:t>
            </w:r>
            <w:r w:rsidR="00625748" w:rsidRPr="00D505F5">
              <w:rPr>
                <w:rFonts w:ascii="Arial Narrow" w:hAnsi="Arial Narrow"/>
                <w:sz w:val="16"/>
                <w:lang w:eastAsia="fr-CH"/>
              </w:rPr>
              <w:t>591</w:t>
            </w:r>
          </w:p>
        </w:tc>
        <w:tc>
          <w:tcPr>
            <w:tcW w:w="515"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c>
          <w:tcPr>
            <w:tcW w:w="718" w:type="dxa"/>
            <w:vAlign w:val="center"/>
          </w:tcPr>
          <w:p w:rsidR="001F5BFD" w:rsidRPr="00D505F5" w:rsidRDefault="00625748" w:rsidP="001F5BFD">
            <w:pPr>
              <w:spacing w:after="0" w:line="200" w:lineRule="atLeast"/>
              <w:ind w:right="57"/>
              <w:jc w:val="right"/>
              <w:rPr>
                <w:rFonts w:ascii="Arial Narrow" w:hAnsi="Arial Narrow"/>
                <w:sz w:val="16"/>
                <w:lang w:eastAsia="fr-CH"/>
              </w:rPr>
            </w:pPr>
            <w:r w:rsidRPr="00D505F5">
              <w:rPr>
                <w:rFonts w:ascii="Arial Narrow" w:hAnsi="Arial Narrow"/>
                <w:sz w:val="16"/>
                <w:lang w:eastAsia="fr-CH"/>
              </w:rPr>
              <w:t>369 104</w:t>
            </w:r>
          </w:p>
        </w:tc>
        <w:tc>
          <w:tcPr>
            <w:tcW w:w="522" w:type="dxa"/>
            <w:vAlign w:val="center"/>
          </w:tcPr>
          <w:p w:rsidR="001F5BFD" w:rsidRPr="00D505F5" w:rsidRDefault="001F5BFD" w:rsidP="001F5BFD">
            <w:pPr>
              <w:spacing w:after="0" w:line="200" w:lineRule="atLeast"/>
              <w:ind w:right="57"/>
              <w:jc w:val="right"/>
              <w:rPr>
                <w:rFonts w:ascii="Arial Narrow" w:hAnsi="Arial Narrow"/>
                <w:sz w:val="16"/>
                <w:lang w:eastAsia="fr-CH"/>
              </w:rPr>
            </w:pPr>
          </w:p>
        </w:tc>
      </w:tr>
      <w:tr w:rsidR="001F5BFD" w:rsidRPr="00D505F5" w:rsidTr="001F5BFD">
        <w:tc>
          <w:tcPr>
            <w:tcW w:w="2255" w:type="dxa"/>
          </w:tcPr>
          <w:p w:rsidR="001F5BFD" w:rsidRPr="00D505F5" w:rsidRDefault="001F5BFD" w:rsidP="001F5BFD">
            <w:pPr>
              <w:pStyle w:val="TableTextItalic"/>
              <w:keepNext/>
            </w:pPr>
            <w:r w:rsidRPr="00D505F5">
              <w:t>Dépenses administratives directes</w:t>
            </w:r>
          </w:p>
        </w:tc>
        <w:tc>
          <w:tcPr>
            <w:tcW w:w="716" w:type="dxa"/>
            <w:vAlign w:val="center"/>
          </w:tcPr>
          <w:p w:rsidR="001F5BFD" w:rsidRPr="00D505F5" w:rsidRDefault="001F5BFD"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12 </w:t>
            </w:r>
            <w:r w:rsidR="00625748" w:rsidRPr="00D505F5">
              <w:rPr>
                <w:rFonts w:ascii="Arial Narrow" w:hAnsi="Arial Narrow"/>
                <w:sz w:val="16"/>
                <w:lang w:eastAsia="fr-CH"/>
              </w:rPr>
              <w:t>750</w:t>
            </w:r>
          </w:p>
        </w:tc>
        <w:tc>
          <w:tcPr>
            <w:tcW w:w="522"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22" w:type="dxa"/>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117 630</w:t>
            </w:r>
          </w:p>
        </w:tc>
        <w:tc>
          <w:tcPr>
            <w:tcW w:w="522"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1" w:type="dxa"/>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56 206</w:t>
            </w:r>
          </w:p>
        </w:tc>
        <w:tc>
          <w:tcPr>
            <w:tcW w:w="522"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20" w:type="dxa"/>
            <w:vAlign w:val="center"/>
          </w:tcPr>
          <w:p w:rsidR="001F5BFD" w:rsidRPr="00D505F5" w:rsidRDefault="001F5BFD"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11 </w:t>
            </w:r>
            <w:r w:rsidR="00625748" w:rsidRPr="00D505F5">
              <w:rPr>
                <w:rFonts w:ascii="Arial Narrow" w:hAnsi="Arial Narrow"/>
                <w:sz w:val="16"/>
                <w:lang w:eastAsia="fr-CH"/>
              </w:rPr>
              <w:t>786</w:t>
            </w:r>
          </w:p>
        </w:tc>
        <w:tc>
          <w:tcPr>
            <w:tcW w:w="522"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9" w:type="dxa"/>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846</w:t>
            </w:r>
          </w:p>
        </w:tc>
        <w:tc>
          <w:tcPr>
            <w:tcW w:w="515"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8" w:type="dxa"/>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199 218</w:t>
            </w:r>
          </w:p>
        </w:tc>
        <w:tc>
          <w:tcPr>
            <w:tcW w:w="522" w:type="dxa"/>
            <w:vAlign w:val="center"/>
          </w:tcPr>
          <w:p w:rsidR="001F5BFD" w:rsidRPr="00D505F5" w:rsidRDefault="001F5BFD" w:rsidP="00432040">
            <w:pPr>
              <w:spacing w:after="0" w:line="200" w:lineRule="exact"/>
              <w:ind w:right="57"/>
              <w:jc w:val="right"/>
              <w:rPr>
                <w:rFonts w:ascii="Arial Narrow" w:hAnsi="Arial Narrow"/>
                <w:sz w:val="16"/>
                <w:lang w:eastAsia="fr-CH"/>
              </w:rPr>
            </w:pPr>
          </w:p>
        </w:tc>
      </w:tr>
      <w:tr w:rsidR="001F5BFD" w:rsidRPr="00D505F5" w:rsidTr="001F5BFD">
        <w:tc>
          <w:tcPr>
            <w:tcW w:w="2255" w:type="dxa"/>
            <w:tcBorders>
              <w:bottom w:val="single" w:sz="4" w:space="0" w:color="C6CFD7" w:themeColor="accent3" w:themeTint="66"/>
            </w:tcBorders>
          </w:tcPr>
          <w:p w:rsidR="001F5BFD" w:rsidRPr="00D505F5" w:rsidRDefault="001F5BFD" w:rsidP="001F5BFD">
            <w:pPr>
              <w:pStyle w:val="TableText"/>
              <w:keepNext/>
            </w:pPr>
            <w:r w:rsidRPr="00D505F5">
              <w:t>Total partiel, dépenses directes</w:t>
            </w:r>
          </w:p>
        </w:tc>
        <w:tc>
          <w:tcPr>
            <w:tcW w:w="716" w:type="dxa"/>
            <w:tcBorders>
              <w:bottom w:val="single" w:sz="4" w:space="0" w:color="C6CFD7" w:themeColor="accent3" w:themeTint="66"/>
            </w:tcBorders>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38 511</w:t>
            </w:r>
          </w:p>
        </w:tc>
        <w:tc>
          <w:tcPr>
            <w:tcW w:w="522"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22" w:type="dxa"/>
            <w:tcBorders>
              <w:bottom w:val="single" w:sz="4" w:space="0" w:color="C6CFD7" w:themeColor="accent3" w:themeTint="66"/>
            </w:tcBorders>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360 332</w:t>
            </w:r>
          </w:p>
        </w:tc>
        <w:tc>
          <w:tcPr>
            <w:tcW w:w="522"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1" w:type="dxa"/>
            <w:tcBorders>
              <w:bottom w:val="single" w:sz="4" w:space="0" w:color="C6CFD7" w:themeColor="accent3" w:themeTint="66"/>
            </w:tcBorders>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135 357</w:t>
            </w:r>
          </w:p>
        </w:tc>
        <w:tc>
          <w:tcPr>
            <w:tcW w:w="522"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20"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31 </w:t>
            </w:r>
            <w:r w:rsidR="00625748" w:rsidRPr="00D505F5">
              <w:rPr>
                <w:rFonts w:ascii="Arial Narrow" w:hAnsi="Arial Narrow"/>
                <w:sz w:val="16"/>
                <w:lang w:eastAsia="fr-CH"/>
              </w:rPr>
              <w:t>686</w:t>
            </w:r>
          </w:p>
        </w:tc>
        <w:tc>
          <w:tcPr>
            <w:tcW w:w="522"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9"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2 </w:t>
            </w:r>
            <w:r w:rsidR="00625748" w:rsidRPr="00D505F5">
              <w:rPr>
                <w:rFonts w:ascii="Arial Narrow" w:hAnsi="Arial Narrow"/>
                <w:sz w:val="16"/>
                <w:lang w:eastAsia="fr-CH"/>
              </w:rPr>
              <w:t>437</w:t>
            </w:r>
          </w:p>
        </w:tc>
        <w:tc>
          <w:tcPr>
            <w:tcW w:w="515"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c>
          <w:tcPr>
            <w:tcW w:w="718" w:type="dxa"/>
            <w:tcBorders>
              <w:bottom w:val="single" w:sz="4" w:space="0" w:color="C6CFD7" w:themeColor="accent3" w:themeTint="66"/>
            </w:tcBorders>
            <w:vAlign w:val="center"/>
          </w:tcPr>
          <w:p w:rsidR="001F5BFD" w:rsidRPr="00D505F5" w:rsidRDefault="00625748"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568 322</w:t>
            </w:r>
          </w:p>
        </w:tc>
        <w:tc>
          <w:tcPr>
            <w:tcW w:w="522" w:type="dxa"/>
            <w:tcBorders>
              <w:bottom w:val="single" w:sz="4" w:space="0" w:color="C6CFD7" w:themeColor="accent3" w:themeTint="66"/>
            </w:tcBorders>
            <w:vAlign w:val="center"/>
          </w:tcPr>
          <w:p w:rsidR="001F5BFD" w:rsidRPr="00D505F5" w:rsidRDefault="001F5BFD" w:rsidP="00432040">
            <w:pPr>
              <w:spacing w:after="0" w:line="200" w:lineRule="exact"/>
              <w:ind w:right="57"/>
              <w:jc w:val="right"/>
              <w:rPr>
                <w:rFonts w:ascii="Arial Narrow" w:hAnsi="Arial Narrow"/>
                <w:sz w:val="16"/>
                <w:lang w:eastAsia="fr-CH"/>
              </w:rPr>
            </w:pPr>
          </w:p>
        </w:tc>
      </w:tr>
      <w:tr w:rsidR="00625748" w:rsidRPr="00D505F5" w:rsidTr="005C1B08">
        <w:tc>
          <w:tcPr>
            <w:tcW w:w="2255" w:type="dxa"/>
            <w:tcBorders>
              <w:bottom w:val="single" w:sz="4" w:space="0" w:color="C6CFD7" w:themeColor="accent3" w:themeTint="66"/>
            </w:tcBorders>
          </w:tcPr>
          <w:p w:rsidR="00625748" w:rsidRPr="00D505F5" w:rsidRDefault="00625748" w:rsidP="00625748">
            <w:pPr>
              <w:pStyle w:val="TableText"/>
              <w:keepNext/>
            </w:pPr>
          </w:p>
        </w:tc>
        <w:tc>
          <w:tcPr>
            <w:tcW w:w="716"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22"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722"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22"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711"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22"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720"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22"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719"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15"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718" w:type="dxa"/>
            <w:tcBorders>
              <w:bottom w:val="single" w:sz="4" w:space="0" w:color="C6CFD7" w:themeColor="accent3" w:themeTint="66"/>
            </w:tcBorders>
            <w:vAlign w:val="bottom"/>
          </w:tcPr>
          <w:p w:rsidR="00625748" w:rsidRPr="00D505F5" w:rsidRDefault="00625748" w:rsidP="00432040">
            <w:pPr>
              <w:spacing w:after="0" w:line="200" w:lineRule="exact"/>
              <w:ind w:right="57"/>
              <w:jc w:val="right"/>
              <w:rPr>
                <w:rFonts w:ascii="Arial Narrow" w:hAnsi="Arial Narrow"/>
                <w:sz w:val="16"/>
                <w:lang w:eastAsia="fr-CH"/>
              </w:rPr>
            </w:pPr>
          </w:p>
        </w:tc>
        <w:tc>
          <w:tcPr>
            <w:tcW w:w="522" w:type="dxa"/>
            <w:tcBorders>
              <w:bottom w:val="single" w:sz="4" w:space="0" w:color="C6CFD7" w:themeColor="accent3" w:themeTint="66"/>
            </w:tcBorders>
            <w:vAlign w:val="center"/>
          </w:tcPr>
          <w:p w:rsidR="00625748" w:rsidRPr="00D505F5" w:rsidRDefault="00625748" w:rsidP="00432040">
            <w:pPr>
              <w:spacing w:after="0" w:line="200" w:lineRule="exact"/>
              <w:ind w:right="57"/>
              <w:jc w:val="right"/>
              <w:rPr>
                <w:rFonts w:ascii="Arial Narrow" w:hAnsi="Arial Narrow"/>
                <w:sz w:val="16"/>
                <w:lang w:eastAsia="fr-CH"/>
              </w:rPr>
            </w:pPr>
          </w:p>
        </w:tc>
      </w:tr>
      <w:tr w:rsidR="00432040" w:rsidRPr="00D505F5" w:rsidTr="00035001">
        <w:tc>
          <w:tcPr>
            <w:tcW w:w="2255" w:type="dxa"/>
            <w:tcBorders>
              <w:top w:val="single" w:sz="4" w:space="0" w:color="C6CFD7" w:themeColor="accent3" w:themeTint="66"/>
            </w:tcBorders>
          </w:tcPr>
          <w:p w:rsidR="00432040" w:rsidRPr="00D505F5" w:rsidRDefault="00432040" w:rsidP="00432040">
            <w:pPr>
              <w:pStyle w:val="TableTextItalic"/>
              <w:keepNext/>
            </w:pPr>
            <w:r w:rsidRPr="00D505F5">
              <w:t>Dépenses indirectes de l</w:t>
            </w:r>
            <w:r w:rsidR="00AD1C27">
              <w:t>’</w:t>
            </w:r>
            <w:r w:rsidRPr="00D505F5">
              <w:t>union</w:t>
            </w:r>
          </w:p>
        </w:tc>
        <w:tc>
          <w:tcPr>
            <w:tcW w:w="716" w:type="dxa"/>
            <w:tcBorders>
              <w:top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2"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120 651</w:t>
            </w:r>
          </w:p>
        </w:tc>
        <w:tc>
          <w:tcPr>
            <w:tcW w:w="522"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1"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11 384</w:t>
            </w:r>
          </w:p>
        </w:tc>
        <w:tc>
          <w:tcPr>
            <w:tcW w:w="522"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0" w:type="dxa"/>
            <w:tcBorders>
              <w:top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9" w:type="dxa"/>
            <w:tcBorders>
              <w:top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15"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8" w:type="dxa"/>
            <w:tcBorders>
              <w:top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132 035</w:t>
            </w:r>
          </w:p>
        </w:tc>
        <w:tc>
          <w:tcPr>
            <w:tcW w:w="522" w:type="dxa"/>
            <w:tcBorders>
              <w:top w:val="single" w:sz="4"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sz w:val="16"/>
                <w:lang w:eastAsia="fr-CH"/>
              </w:rPr>
            </w:pPr>
          </w:p>
        </w:tc>
      </w:tr>
      <w:tr w:rsidR="00432040" w:rsidRPr="00D505F5" w:rsidTr="00035001">
        <w:tc>
          <w:tcPr>
            <w:tcW w:w="2255" w:type="dxa"/>
          </w:tcPr>
          <w:p w:rsidR="00432040" w:rsidRPr="00D505F5" w:rsidRDefault="00432040" w:rsidP="00432040">
            <w:pPr>
              <w:pStyle w:val="TableTextItalic"/>
              <w:keepNext/>
            </w:pPr>
            <w:r w:rsidRPr="00D505F5">
              <w:t>Dépenses administratives indirectes</w:t>
            </w:r>
          </w:p>
        </w:tc>
        <w:tc>
          <w:tcPr>
            <w:tcW w:w="716" w:type="dxa"/>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vAlign w:val="bottom"/>
          </w:tcPr>
          <w:p w:rsidR="00432040" w:rsidRPr="00432040" w:rsidRDefault="00432040" w:rsidP="00432040">
            <w:pPr>
              <w:spacing w:after="0" w:line="200" w:lineRule="exact"/>
              <w:rPr>
                <w:rFonts w:ascii="Arial Narrow" w:eastAsia="Times New Roman" w:hAnsi="Arial Narrow" w:cs="Times New Roman"/>
                <w:sz w:val="16"/>
                <w:szCs w:val="16"/>
                <w:lang w:val="fr-CH" w:eastAsia="fr-CH"/>
              </w:rPr>
            </w:pPr>
          </w:p>
        </w:tc>
        <w:tc>
          <w:tcPr>
            <w:tcW w:w="722" w:type="dxa"/>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62 178</w:t>
            </w:r>
          </w:p>
        </w:tc>
        <w:tc>
          <w:tcPr>
            <w:tcW w:w="522" w:type="dxa"/>
            <w:vAlign w:val="bottom"/>
          </w:tcPr>
          <w:p w:rsidR="00432040" w:rsidRPr="00432040" w:rsidRDefault="00432040" w:rsidP="00432040">
            <w:pPr>
              <w:spacing w:after="0" w:line="200" w:lineRule="exact"/>
              <w:rPr>
                <w:rFonts w:ascii="Arial Narrow" w:eastAsia="Times New Roman" w:hAnsi="Arial Narrow" w:cs="Times New Roman"/>
                <w:sz w:val="16"/>
                <w:szCs w:val="16"/>
                <w:lang w:val="fr-CH" w:eastAsia="fr-CH"/>
              </w:rPr>
            </w:pPr>
          </w:p>
        </w:tc>
        <w:tc>
          <w:tcPr>
            <w:tcW w:w="711" w:type="dxa"/>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5 867</w:t>
            </w:r>
          </w:p>
        </w:tc>
        <w:tc>
          <w:tcPr>
            <w:tcW w:w="522" w:type="dxa"/>
            <w:vAlign w:val="bottom"/>
          </w:tcPr>
          <w:p w:rsidR="00432040" w:rsidRPr="00432040" w:rsidRDefault="00432040" w:rsidP="00432040">
            <w:pPr>
              <w:spacing w:after="0" w:line="200" w:lineRule="exact"/>
              <w:rPr>
                <w:rFonts w:ascii="Arial Narrow" w:eastAsia="Times New Roman" w:hAnsi="Arial Narrow" w:cs="Times New Roman"/>
                <w:sz w:val="16"/>
                <w:szCs w:val="16"/>
                <w:lang w:val="fr-CH" w:eastAsia="fr-CH"/>
              </w:rPr>
            </w:pPr>
          </w:p>
        </w:tc>
        <w:tc>
          <w:tcPr>
            <w:tcW w:w="720" w:type="dxa"/>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vAlign w:val="bottom"/>
          </w:tcPr>
          <w:p w:rsidR="00432040" w:rsidRPr="00432040" w:rsidRDefault="00432040" w:rsidP="00432040">
            <w:pPr>
              <w:spacing w:after="0" w:line="200" w:lineRule="exact"/>
              <w:rPr>
                <w:rFonts w:ascii="Arial Narrow" w:eastAsia="Times New Roman" w:hAnsi="Arial Narrow" w:cs="Times New Roman"/>
                <w:sz w:val="16"/>
                <w:szCs w:val="16"/>
                <w:lang w:val="fr-CH" w:eastAsia="fr-CH"/>
              </w:rPr>
            </w:pPr>
          </w:p>
        </w:tc>
        <w:tc>
          <w:tcPr>
            <w:tcW w:w="719" w:type="dxa"/>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15" w:type="dxa"/>
            <w:vAlign w:val="bottom"/>
          </w:tcPr>
          <w:p w:rsidR="00432040" w:rsidRPr="00432040" w:rsidRDefault="00432040" w:rsidP="00432040">
            <w:pPr>
              <w:spacing w:after="0" w:line="200" w:lineRule="exact"/>
              <w:rPr>
                <w:rFonts w:ascii="Arial Narrow" w:eastAsia="Times New Roman" w:hAnsi="Arial Narrow" w:cs="Times New Roman"/>
                <w:sz w:val="16"/>
                <w:szCs w:val="16"/>
                <w:lang w:val="fr-CH" w:eastAsia="fr-CH"/>
              </w:rPr>
            </w:pPr>
          </w:p>
        </w:tc>
        <w:tc>
          <w:tcPr>
            <w:tcW w:w="718" w:type="dxa"/>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68 044</w:t>
            </w:r>
          </w:p>
        </w:tc>
        <w:tc>
          <w:tcPr>
            <w:tcW w:w="522" w:type="dxa"/>
            <w:vAlign w:val="center"/>
          </w:tcPr>
          <w:p w:rsidR="00432040" w:rsidRPr="00D505F5" w:rsidRDefault="00432040" w:rsidP="00432040">
            <w:pPr>
              <w:spacing w:after="0" w:line="200" w:lineRule="exact"/>
              <w:ind w:right="57"/>
              <w:jc w:val="right"/>
              <w:rPr>
                <w:rFonts w:ascii="Arial Narrow" w:hAnsi="Arial Narrow"/>
                <w:sz w:val="16"/>
                <w:lang w:eastAsia="fr-CH"/>
              </w:rPr>
            </w:pPr>
          </w:p>
        </w:tc>
      </w:tr>
      <w:tr w:rsidR="00432040" w:rsidRPr="00D505F5" w:rsidTr="00035001">
        <w:tc>
          <w:tcPr>
            <w:tcW w:w="2255" w:type="dxa"/>
            <w:tcBorders>
              <w:bottom w:val="single" w:sz="4" w:space="0" w:color="C6CFD7" w:themeColor="accent3" w:themeTint="66"/>
            </w:tcBorders>
          </w:tcPr>
          <w:p w:rsidR="00432040" w:rsidRPr="00D505F5" w:rsidRDefault="00432040" w:rsidP="00432040">
            <w:pPr>
              <w:pStyle w:val="TableText"/>
              <w:keepNext/>
            </w:pPr>
            <w:r w:rsidRPr="00D505F5">
              <w:t>Total partiel, dépenses indirectes</w:t>
            </w:r>
          </w:p>
        </w:tc>
        <w:tc>
          <w:tcPr>
            <w:tcW w:w="716" w:type="dxa"/>
            <w:tcBorders>
              <w:bottom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2"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182 828</w:t>
            </w:r>
          </w:p>
        </w:tc>
        <w:tc>
          <w:tcPr>
            <w:tcW w:w="522"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1"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17 251</w:t>
            </w:r>
          </w:p>
        </w:tc>
        <w:tc>
          <w:tcPr>
            <w:tcW w:w="522"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0" w:type="dxa"/>
            <w:tcBorders>
              <w:bottom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22"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9" w:type="dxa"/>
            <w:tcBorders>
              <w:bottom w:val="single" w:sz="4"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15"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8" w:type="dxa"/>
            <w:tcBorders>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200 079</w:t>
            </w:r>
          </w:p>
        </w:tc>
        <w:tc>
          <w:tcPr>
            <w:tcW w:w="522" w:type="dxa"/>
            <w:tcBorders>
              <w:bottom w:val="single" w:sz="4"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sz w:val="16"/>
                <w:lang w:eastAsia="fr-CH"/>
              </w:rPr>
            </w:pPr>
          </w:p>
        </w:tc>
      </w:tr>
      <w:tr w:rsidR="00432040" w:rsidRPr="00D505F5" w:rsidTr="00035001">
        <w:tc>
          <w:tcPr>
            <w:tcW w:w="2255" w:type="dxa"/>
            <w:tcBorders>
              <w:top w:val="single" w:sz="4" w:space="0" w:color="C6CFD7" w:themeColor="accent3" w:themeTint="66"/>
              <w:bottom w:val="single" w:sz="18" w:space="0" w:color="C6CFD7" w:themeColor="accent3" w:themeTint="66"/>
            </w:tcBorders>
          </w:tcPr>
          <w:p w:rsidR="00432040" w:rsidRPr="00D505F5" w:rsidRDefault="00432040" w:rsidP="00432040">
            <w:pPr>
              <w:pStyle w:val="TableTextBold"/>
              <w:keepNext/>
            </w:pPr>
            <w:r w:rsidRPr="00D505F5">
              <w:t>Total, dépenses 2020</w:t>
            </w:r>
            <w:r w:rsidR="00AF4785">
              <w:noBreakHyphen/>
            </w:r>
            <w:r w:rsidRPr="00D505F5">
              <w:t>2021</w:t>
            </w:r>
          </w:p>
        </w:tc>
        <w:tc>
          <w:tcPr>
            <w:tcW w:w="716"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38 511</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543 160</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1"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152 607</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0"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31 686</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9"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2 437</w:t>
            </w:r>
          </w:p>
        </w:tc>
        <w:tc>
          <w:tcPr>
            <w:tcW w:w="515"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8"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768 401</w:t>
            </w:r>
          </w:p>
        </w:tc>
        <w:tc>
          <w:tcPr>
            <w:tcW w:w="522" w:type="dxa"/>
            <w:tcBorders>
              <w:top w:val="single" w:sz="4" w:space="0" w:color="C6CFD7" w:themeColor="accent3" w:themeTint="66"/>
              <w:bottom w:val="single" w:sz="18"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b/>
                <w:sz w:val="16"/>
                <w:lang w:eastAsia="fr-CH"/>
              </w:rPr>
            </w:pPr>
          </w:p>
        </w:tc>
      </w:tr>
      <w:tr w:rsidR="00432040" w:rsidRPr="00D505F5" w:rsidTr="00C14027">
        <w:tc>
          <w:tcPr>
            <w:tcW w:w="2255" w:type="dxa"/>
            <w:tcBorders>
              <w:top w:val="single" w:sz="18" w:space="0" w:color="C6CFD7" w:themeColor="accent3" w:themeTint="66"/>
              <w:bottom w:val="single" w:sz="4" w:space="0" w:color="C6CFD7" w:themeColor="accent3" w:themeTint="66"/>
            </w:tcBorders>
          </w:tcPr>
          <w:p w:rsidR="00432040" w:rsidRPr="00D505F5" w:rsidRDefault="00432040" w:rsidP="00432040">
            <w:pPr>
              <w:pStyle w:val="TableText"/>
              <w:keepNext/>
            </w:pPr>
            <w:r w:rsidRPr="00D505F5">
              <w:t>Ajustement estimé du budget au titre des normes IPSAS</w:t>
            </w:r>
          </w:p>
        </w:tc>
        <w:tc>
          <w:tcPr>
            <w:tcW w:w="716"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928</w:t>
            </w:r>
          </w:p>
        </w:tc>
        <w:tc>
          <w:tcPr>
            <w:tcW w:w="522"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2"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13 090</w:t>
            </w:r>
          </w:p>
        </w:tc>
        <w:tc>
          <w:tcPr>
            <w:tcW w:w="522"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1"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3 678</w:t>
            </w:r>
          </w:p>
        </w:tc>
        <w:tc>
          <w:tcPr>
            <w:tcW w:w="522"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20"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764</w:t>
            </w:r>
          </w:p>
        </w:tc>
        <w:tc>
          <w:tcPr>
            <w:tcW w:w="522"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9"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59</w:t>
            </w:r>
          </w:p>
        </w:tc>
        <w:tc>
          <w:tcPr>
            <w:tcW w:w="515"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p>
        </w:tc>
        <w:tc>
          <w:tcPr>
            <w:tcW w:w="718" w:type="dxa"/>
            <w:tcBorders>
              <w:top w:val="single" w:sz="18" w:space="0" w:color="C6CFD7" w:themeColor="accent3" w:themeTint="66"/>
              <w:bottom w:val="single" w:sz="4"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18 518</w:t>
            </w:r>
          </w:p>
        </w:tc>
        <w:tc>
          <w:tcPr>
            <w:tcW w:w="522" w:type="dxa"/>
            <w:tcBorders>
              <w:top w:val="single" w:sz="18" w:space="0" w:color="C6CFD7" w:themeColor="accent3" w:themeTint="66"/>
              <w:bottom w:val="single" w:sz="4"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sz w:val="16"/>
                <w:lang w:eastAsia="fr-CH"/>
              </w:rPr>
            </w:pPr>
          </w:p>
        </w:tc>
      </w:tr>
      <w:tr w:rsidR="00432040" w:rsidRPr="00D505F5" w:rsidTr="00C14027">
        <w:tc>
          <w:tcPr>
            <w:tcW w:w="2255" w:type="dxa"/>
            <w:tcBorders>
              <w:top w:val="single" w:sz="4" w:space="0" w:color="C6CFD7" w:themeColor="accent3" w:themeTint="66"/>
              <w:bottom w:val="single" w:sz="18" w:space="0" w:color="C6CFD7" w:themeColor="accent3" w:themeTint="66"/>
            </w:tcBorders>
          </w:tcPr>
          <w:p w:rsidR="00432040" w:rsidRPr="00D505F5" w:rsidRDefault="00432040" w:rsidP="00432040">
            <w:pPr>
              <w:pStyle w:val="TableTextBold"/>
              <w:keepNext/>
            </w:pPr>
            <w:r w:rsidRPr="00D505F5">
              <w:t xml:space="preserve">Total des dépenses après ajustements IPSAS </w:t>
            </w:r>
          </w:p>
        </w:tc>
        <w:tc>
          <w:tcPr>
            <w:tcW w:w="716"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39 439</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556 250</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1"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156 285</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0"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32 450</w:t>
            </w:r>
          </w:p>
        </w:tc>
        <w:tc>
          <w:tcPr>
            <w:tcW w:w="522"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9"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2 496</w:t>
            </w:r>
          </w:p>
        </w:tc>
        <w:tc>
          <w:tcPr>
            <w:tcW w:w="515"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8" w:type="dxa"/>
            <w:tcBorders>
              <w:top w:val="single" w:sz="4"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786 919</w:t>
            </w:r>
          </w:p>
        </w:tc>
        <w:tc>
          <w:tcPr>
            <w:tcW w:w="522" w:type="dxa"/>
            <w:tcBorders>
              <w:top w:val="single" w:sz="4" w:space="0" w:color="C6CFD7" w:themeColor="accent3" w:themeTint="66"/>
              <w:bottom w:val="single" w:sz="18"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b/>
                <w:sz w:val="16"/>
                <w:lang w:eastAsia="fr-CH"/>
              </w:rPr>
            </w:pPr>
          </w:p>
        </w:tc>
      </w:tr>
      <w:tr w:rsidR="00432040" w:rsidRPr="00D505F5" w:rsidTr="00C14027">
        <w:tc>
          <w:tcPr>
            <w:tcW w:w="2255" w:type="dxa"/>
            <w:tcBorders>
              <w:top w:val="single" w:sz="18" w:space="0" w:color="C6CFD7" w:themeColor="accent3" w:themeTint="66"/>
              <w:bottom w:val="single" w:sz="18" w:space="0" w:color="C6CFD7" w:themeColor="accent3" w:themeTint="66"/>
            </w:tcBorders>
          </w:tcPr>
          <w:p w:rsidR="00432040" w:rsidRPr="00D505F5" w:rsidRDefault="00432040" w:rsidP="00432040">
            <w:pPr>
              <w:pStyle w:val="TableTextBold"/>
              <w:keepNext/>
            </w:pPr>
            <w:r w:rsidRPr="00D505F5">
              <w:t>Résultat d</w:t>
            </w:r>
            <w:r w:rsidR="00AD1C27">
              <w:t>’</w:t>
            </w:r>
            <w:r w:rsidRPr="00D505F5">
              <w:t>exploitation</w:t>
            </w:r>
          </w:p>
        </w:tc>
        <w:tc>
          <w:tcPr>
            <w:tcW w:w="716"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(3 355)</w:t>
            </w:r>
          </w:p>
        </w:tc>
        <w:tc>
          <w:tcPr>
            <w:tcW w:w="522"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2"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111 315</w:t>
            </w:r>
          </w:p>
        </w:tc>
        <w:tc>
          <w:tcPr>
            <w:tcW w:w="522"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1"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8 060</w:t>
            </w:r>
          </w:p>
        </w:tc>
        <w:tc>
          <w:tcPr>
            <w:tcW w:w="522"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20"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(18 455)</w:t>
            </w:r>
          </w:p>
        </w:tc>
        <w:tc>
          <w:tcPr>
            <w:tcW w:w="522"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9"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(1 717)</w:t>
            </w:r>
          </w:p>
        </w:tc>
        <w:tc>
          <w:tcPr>
            <w:tcW w:w="515"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rPr>
                <w:rFonts w:ascii="Arial Narrow" w:eastAsia="Times New Roman" w:hAnsi="Arial Narrow" w:cs="Times New Roman"/>
                <w:b/>
                <w:bCs/>
                <w:sz w:val="16"/>
                <w:szCs w:val="16"/>
                <w:lang w:val="fr-CH" w:eastAsia="fr-CH"/>
              </w:rPr>
            </w:pPr>
          </w:p>
        </w:tc>
        <w:tc>
          <w:tcPr>
            <w:tcW w:w="718" w:type="dxa"/>
            <w:tcBorders>
              <w:top w:val="single" w:sz="18" w:space="0" w:color="C6CFD7" w:themeColor="accent3" w:themeTint="66"/>
              <w:bottom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95 849</w:t>
            </w:r>
          </w:p>
        </w:tc>
        <w:tc>
          <w:tcPr>
            <w:tcW w:w="522" w:type="dxa"/>
            <w:tcBorders>
              <w:top w:val="single" w:sz="18" w:space="0" w:color="C6CFD7" w:themeColor="accent3" w:themeTint="66"/>
              <w:bottom w:val="single" w:sz="18"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b/>
                <w:sz w:val="16"/>
                <w:lang w:eastAsia="fr-CH"/>
              </w:rPr>
            </w:pPr>
          </w:p>
        </w:tc>
      </w:tr>
      <w:tr w:rsidR="00432040" w:rsidRPr="00D505F5" w:rsidTr="00C14027">
        <w:tc>
          <w:tcPr>
            <w:tcW w:w="2255" w:type="dxa"/>
            <w:tcBorders>
              <w:top w:val="single" w:sz="18" w:space="0" w:color="C6CFD7" w:themeColor="accent3" w:themeTint="66"/>
            </w:tcBorders>
          </w:tcPr>
          <w:p w:rsidR="00432040" w:rsidRPr="00D505F5" w:rsidRDefault="00432040" w:rsidP="00432040">
            <w:pPr>
              <w:pStyle w:val="TableText"/>
            </w:pPr>
            <w:r w:rsidRPr="00D505F5">
              <w:t>Montant recommandé des FRR*</w:t>
            </w:r>
          </w:p>
        </w:tc>
        <w:tc>
          <w:tcPr>
            <w:tcW w:w="716"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19 255</w:t>
            </w:r>
          </w:p>
        </w:tc>
        <w:tc>
          <w:tcPr>
            <w:tcW w:w="522"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hAnsi="Arial Narrow"/>
                <w:sz w:val="14"/>
                <w:lang w:val="fr-CH"/>
              </w:rPr>
            </w:pPr>
            <w:r w:rsidRPr="00432040">
              <w:rPr>
                <w:rFonts w:ascii="Arial Narrow" w:hAnsi="Arial Narrow"/>
                <w:sz w:val="14"/>
                <w:lang w:val="fr-CH"/>
              </w:rPr>
              <w:t>50%</w:t>
            </w:r>
          </w:p>
        </w:tc>
        <w:tc>
          <w:tcPr>
            <w:tcW w:w="722"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135 790</w:t>
            </w:r>
          </w:p>
        </w:tc>
        <w:tc>
          <w:tcPr>
            <w:tcW w:w="522"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hAnsi="Arial Narrow"/>
                <w:sz w:val="14"/>
                <w:lang w:val="fr-CH"/>
              </w:rPr>
            </w:pPr>
            <w:r w:rsidRPr="00432040">
              <w:rPr>
                <w:rFonts w:ascii="Arial Narrow" w:hAnsi="Arial Narrow"/>
                <w:sz w:val="14"/>
                <w:lang w:val="fr-CH"/>
              </w:rPr>
              <w:t>25%</w:t>
            </w:r>
          </w:p>
        </w:tc>
        <w:tc>
          <w:tcPr>
            <w:tcW w:w="711"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38 152</w:t>
            </w:r>
          </w:p>
        </w:tc>
        <w:tc>
          <w:tcPr>
            <w:tcW w:w="522"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hAnsi="Arial Narrow"/>
                <w:sz w:val="14"/>
                <w:lang w:val="fr-CH"/>
              </w:rPr>
            </w:pPr>
            <w:r w:rsidRPr="00432040">
              <w:rPr>
                <w:rFonts w:ascii="Arial Narrow" w:hAnsi="Arial Narrow"/>
                <w:sz w:val="14"/>
                <w:lang w:val="fr-CH"/>
              </w:rPr>
              <w:t>25%</w:t>
            </w:r>
          </w:p>
        </w:tc>
        <w:tc>
          <w:tcPr>
            <w:tcW w:w="720"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4 753</w:t>
            </w:r>
          </w:p>
        </w:tc>
        <w:tc>
          <w:tcPr>
            <w:tcW w:w="522"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hAnsi="Arial Narrow"/>
                <w:sz w:val="14"/>
                <w:lang w:val="fr-CH"/>
              </w:rPr>
            </w:pPr>
            <w:r w:rsidRPr="00432040">
              <w:rPr>
                <w:rFonts w:ascii="Arial Narrow" w:hAnsi="Arial Narrow"/>
                <w:sz w:val="14"/>
                <w:lang w:val="fr-CH"/>
              </w:rPr>
              <w:t>15%</w:t>
            </w:r>
          </w:p>
        </w:tc>
        <w:tc>
          <w:tcPr>
            <w:tcW w:w="719" w:type="dxa"/>
            <w:tcBorders>
              <w:top w:val="single" w:sz="18" w:space="0" w:color="C6CFD7" w:themeColor="accent3" w:themeTint="66"/>
            </w:tcBorders>
            <w:vAlign w:val="bottom"/>
          </w:tcPr>
          <w:p w:rsidR="00432040" w:rsidRPr="00432040" w:rsidRDefault="00AF4785" w:rsidP="00432040">
            <w:pPr>
              <w:spacing w:after="0" w:line="20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515"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n.d.</w:t>
            </w:r>
          </w:p>
        </w:tc>
        <w:tc>
          <w:tcPr>
            <w:tcW w:w="718" w:type="dxa"/>
            <w:tcBorders>
              <w:top w:val="single" w:sz="18" w:space="0" w:color="C6CFD7" w:themeColor="accent3" w:themeTint="66"/>
            </w:tcBorders>
            <w:vAlign w:val="bottom"/>
          </w:tcPr>
          <w:p w:rsidR="00432040" w:rsidRPr="00432040" w:rsidRDefault="00432040" w:rsidP="00432040">
            <w:pPr>
              <w:spacing w:after="0" w:line="20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197 950</w:t>
            </w:r>
          </w:p>
        </w:tc>
        <w:tc>
          <w:tcPr>
            <w:tcW w:w="522" w:type="dxa"/>
            <w:tcBorders>
              <w:top w:val="single" w:sz="18" w:space="0" w:color="C6CFD7" w:themeColor="accent3" w:themeTint="66"/>
            </w:tcBorders>
            <w:vAlign w:val="center"/>
          </w:tcPr>
          <w:p w:rsidR="00432040" w:rsidRPr="00D505F5" w:rsidRDefault="00432040" w:rsidP="00432040">
            <w:pPr>
              <w:spacing w:after="0" w:line="200" w:lineRule="exact"/>
              <w:ind w:right="57"/>
              <w:jc w:val="right"/>
              <w:rPr>
                <w:rFonts w:ascii="Arial Narrow" w:hAnsi="Arial Narrow"/>
                <w:sz w:val="16"/>
                <w:lang w:eastAsia="fr-CH"/>
              </w:rPr>
            </w:pPr>
            <w:r w:rsidRPr="00D505F5">
              <w:rPr>
                <w:rFonts w:ascii="Arial Narrow" w:hAnsi="Arial Narrow"/>
                <w:sz w:val="16"/>
                <w:lang w:eastAsia="fr-CH"/>
              </w:rPr>
              <w:t>25,8%</w:t>
            </w:r>
          </w:p>
        </w:tc>
      </w:tr>
      <w:tr w:rsidR="00432040" w:rsidRPr="00D505F5" w:rsidTr="0034642C">
        <w:tc>
          <w:tcPr>
            <w:tcW w:w="9686" w:type="dxa"/>
            <w:gridSpan w:val="13"/>
          </w:tcPr>
          <w:p w:rsidR="00432040" w:rsidRPr="00D505F5" w:rsidRDefault="00432040" w:rsidP="00432040">
            <w:pPr>
              <w:pStyle w:val="TableNumb"/>
              <w:jc w:val="left"/>
              <w:rPr>
                <w:rFonts w:eastAsia="Times New Roman" w:cs="Times New Roman"/>
                <w:szCs w:val="16"/>
                <w:lang w:eastAsia="fr-CH"/>
              </w:rPr>
            </w:pPr>
            <w:r w:rsidRPr="00D505F5">
              <w:t>* Les montants recommandés pour les FRR sont calculés en appliquant les facteurs PBE aux dépenses biennales de chaque union, conformément à la politique révisée relative aux réserves (WO/PBC/23/8).</w:t>
            </w:r>
          </w:p>
        </w:tc>
      </w:tr>
    </w:tbl>
    <w:p w:rsidR="00AE6881" w:rsidRPr="00D505F5" w:rsidRDefault="00AE6881" w:rsidP="00AE6881">
      <w:pPr>
        <w:pStyle w:val="TableNotes"/>
      </w:pPr>
    </w:p>
    <w:p w:rsidR="00AE6881" w:rsidRPr="00D505F5" w:rsidRDefault="00AE6881" w:rsidP="00AE6881">
      <w:pPr>
        <w:pStyle w:val="TableAndChartTitle"/>
      </w:pPr>
      <w:r w:rsidRPr="00D505F5">
        <w:lastRenderedPageBreak/>
        <w:t>Tableau 12.  Recettes prévisionnelles par union</w:t>
      </w:r>
    </w:p>
    <w:p w:rsidR="00AE6881" w:rsidRPr="00D505F5" w:rsidRDefault="00AE6881" w:rsidP="00AE6881">
      <w:pPr>
        <w:pStyle w:val="TableAndChartTitleAddText"/>
      </w:pPr>
      <w:r w:rsidRPr="00D505F5">
        <w:t>(en milliers de francs suisses)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369"/>
        <w:gridCol w:w="724"/>
        <w:gridCol w:w="486"/>
        <w:gridCol w:w="726"/>
        <w:gridCol w:w="486"/>
        <w:gridCol w:w="726"/>
        <w:gridCol w:w="486"/>
        <w:gridCol w:w="726"/>
        <w:gridCol w:w="486"/>
        <w:gridCol w:w="726"/>
        <w:gridCol w:w="486"/>
        <w:gridCol w:w="726"/>
        <w:gridCol w:w="486"/>
      </w:tblGrid>
      <w:tr w:rsidR="00AE6881" w:rsidRPr="00D505F5" w:rsidTr="0034642C">
        <w:tc>
          <w:tcPr>
            <w:tcW w:w="2393" w:type="dxa"/>
            <w:shd w:val="clear" w:color="auto" w:fill="C6CFD7" w:themeFill="accent3" w:themeFillTint="66"/>
          </w:tcPr>
          <w:p w:rsidR="00AE6881" w:rsidRPr="00D505F5" w:rsidRDefault="00AE6881" w:rsidP="0034642C">
            <w:pPr>
              <w:pStyle w:val="TableHeading"/>
            </w:pPr>
          </w:p>
        </w:tc>
        <w:tc>
          <w:tcPr>
            <w:tcW w:w="121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Unions financées par des contributions</w:t>
            </w:r>
          </w:p>
        </w:tc>
        <w:tc>
          <w:tcPr>
            <w:tcW w:w="121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du PCT</w:t>
            </w:r>
          </w:p>
        </w:tc>
        <w:tc>
          <w:tcPr>
            <w:tcW w:w="121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de Madrid</w:t>
            </w:r>
          </w:p>
        </w:tc>
        <w:tc>
          <w:tcPr>
            <w:tcW w:w="121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 xml:space="preserve">Union de </w:t>
            </w:r>
            <w:r w:rsidR="00AD1C27">
              <w:t>La Haye</w:t>
            </w:r>
          </w:p>
        </w:tc>
        <w:tc>
          <w:tcPr>
            <w:tcW w:w="1181"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Union de Lisbonne</w:t>
            </w:r>
          </w:p>
        </w:tc>
        <w:tc>
          <w:tcPr>
            <w:tcW w:w="1213" w:type="dxa"/>
            <w:gridSpan w:val="2"/>
            <w:tcBorders>
              <w:bottom w:val="single" w:sz="4" w:space="0" w:color="72899D" w:themeColor="accent3"/>
            </w:tcBorders>
            <w:shd w:val="clear" w:color="auto" w:fill="C6CFD7" w:themeFill="accent3" w:themeFillTint="66"/>
          </w:tcPr>
          <w:p w:rsidR="00AE6881" w:rsidRPr="00D505F5" w:rsidRDefault="00AE6881" w:rsidP="0034642C">
            <w:pPr>
              <w:pStyle w:val="TableHeading"/>
            </w:pPr>
            <w:r w:rsidRPr="00D505F5">
              <w:t>Total</w:t>
            </w:r>
          </w:p>
        </w:tc>
      </w:tr>
      <w:tr w:rsidR="00AE6881" w:rsidRPr="00D505F5" w:rsidTr="0034642C">
        <w:tc>
          <w:tcPr>
            <w:tcW w:w="2393" w:type="dxa"/>
            <w:shd w:val="clear" w:color="auto" w:fill="C6CFD7" w:themeFill="accent3" w:themeFillTint="66"/>
          </w:tcPr>
          <w:p w:rsidR="00AE6881" w:rsidRPr="00D505F5" w:rsidRDefault="00AE6881" w:rsidP="0034642C">
            <w:pPr>
              <w:pStyle w:val="TableHeading"/>
            </w:pPr>
          </w:p>
        </w:tc>
        <w:tc>
          <w:tcPr>
            <w:tcW w:w="727" w:type="dxa"/>
            <w:tcBorders>
              <w:top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86" w:type="dxa"/>
            <w:tcBorders>
              <w:top w:val="single" w:sz="4" w:space="0" w:color="72899D" w:themeColor="accent3"/>
              <w:righ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c>
          <w:tcPr>
            <w:tcW w:w="727" w:type="dxa"/>
            <w:tcBorders>
              <w:top w:val="single" w:sz="4" w:space="0" w:color="72899D" w:themeColor="accent3"/>
              <w:lef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86" w:type="dxa"/>
            <w:tcBorders>
              <w:top w:val="single" w:sz="4" w:space="0" w:color="72899D" w:themeColor="accent3"/>
              <w:righ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c>
          <w:tcPr>
            <w:tcW w:w="727" w:type="dxa"/>
            <w:tcBorders>
              <w:top w:val="single" w:sz="4" w:space="0" w:color="72899D" w:themeColor="accent3"/>
              <w:lef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86" w:type="dxa"/>
            <w:tcBorders>
              <w:top w:val="single" w:sz="4" w:space="0" w:color="72899D" w:themeColor="accent3"/>
              <w:righ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c>
          <w:tcPr>
            <w:tcW w:w="727" w:type="dxa"/>
            <w:tcBorders>
              <w:top w:val="single" w:sz="4" w:space="0" w:color="72899D" w:themeColor="accent3"/>
              <w:lef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86" w:type="dxa"/>
            <w:tcBorders>
              <w:top w:val="single" w:sz="4" w:space="0" w:color="72899D" w:themeColor="accent3"/>
              <w:righ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c>
          <w:tcPr>
            <w:tcW w:w="727" w:type="dxa"/>
            <w:tcBorders>
              <w:top w:val="single" w:sz="4" w:space="0" w:color="72899D" w:themeColor="accent3"/>
              <w:lef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54" w:type="dxa"/>
            <w:tcBorders>
              <w:top w:val="single" w:sz="4" w:space="0" w:color="72899D" w:themeColor="accent3"/>
              <w:righ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c>
          <w:tcPr>
            <w:tcW w:w="727" w:type="dxa"/>
            <w:tcBorders>
              <w:top w:val="single" w:sz="4" w:space="0" w:color="72899D" w:themeColor="accent3"/>
              <w:left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Montant</w:t>
            </w:r>
          </w:p>
        </w:tc>
        <w:tc>
          <w:tcPr>
            <w:tcW w:w="486" w:type="dxa"/>
            <w:tcBorders>
              <w:top w:val="single" w:sz="4" w:space="0" w:color="72899D" w:themeColor="accent3"/>
            </w:tcBorders>
            <w:shd w:val="clear" w:color="auto" w:fill="C6CFD7" w:themeFill="accent3" w:themeFillTint="66"/>
          </w:tcPr>
          <w:p w:rsidR="00AE6881" w:rsidRPr="00D505F5" w:rsidRDefault="00AE6881" w:rsidP="0034642C">
            <w:pPr>
              <w:pStyle w:val="TableHeadingRight"/>
            </w:pPr>
            <w:r w:rsidRPr="00D505F5">
              <w:t>%</w:t>
            </w:r>
          </w:p>
        </w:tc>
      </w:tr>
      <w:tr w:rsidR="00AE6881" w:rsidRPr="00D505F5" w:rsidTr="0034642C">
        <w:tc>
          <w:tcPr>
            <w:tcW w:w="2393" w:type="dxa"/>
          </w:tcPr>
          <w:p w:rsidR="00AE6881" w:rsidRPr="00D505F5" w:rsidRDefault="00AE6881" w:rsidP="0034642C">
            <w:pPr>
              <w:pStyle w:val="TableText"/>
              <w:keepNext/>
            </w:pPr>
            <w:r w:rsidRPr="00D505F5">
              <w:rPr>
                <w:rFonts w:eastAsia="Times New Roman" w:cs="Times New Roman"/>
                <w:b/>
                <w:bCs/>
                <w:szCs w:val="16"/>
                <w:lang w:eastAsia="fr-CH"/>
              </w:rPr>
              <w:t>Recettes sur une base comptable</w:t>
            </w: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jc w:val="center"/>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54"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r>
      <w:tr w:rsidR="00AE6881" w:rsidRPr="00D505F5" w:rsidTr="0034642C">
        <w:tc>
          <w:tcPr>
            <w:tcW w:w="2393" w:type="dxa"/>
            <w:vAlign w:val="bottom"/>
          </w:tcPr>
          <w:p w:rsidR="00AE6881" w:rsidRPr="00D505F5" w:rsidRDefault="00AE6881" w:rsidP="0034642C">
            <w:pPr>
              <w:pStyle w:val="TableText"/>
              <w:keepNext/>
              <w:tabs>
                <w:tab w:val="left" w:pos="390"/>
              </w:tabs>
            </w:pPr>
            <w:r w:rsidRPr="00D505F5">
              <w:rPr>
                <w:rFonts w:eastAsia="Times New Roman" w:cs="Times New Roman"/>
                <w:i/>
                <w:szCs w:val="16"/>
                <w:lang w:eastAsia="fr-CH"/>
              </w:rPr>
              <w:t>Taxes</w:t>
            </w:r>
          </w:p>
        </w:tc>
        <w:tc>
          <w:tcPr>
            <w:tcW w:w="727" w:type="dxa"/>
          </w:tcPr>
          <w:p w:rsidR="00AE6881" w:rsidRPr="00D505F5" w:rsidRDefault="00AE6881" w:rsidP="00811905">
            <w:pPr>
              <w:pStyle w:val="TableNumb"/>
              <w:ind w:left="-6"/>
            </w:pPr>
            <w:r w:rsidRPr="00D505F5">
              <w:rPr>
                <w:rFonts w:eastAsia="Times New Roman" w:cs="Times New Roman"/>
                <w:szCs w:val="16"/>
                <w:lang w:eastAsia="fr-CH"/>
              </w:rPr>
              <w:t xml:space="preserve"> – </w:t>
            </w:r>
          </w:p>
        </w:tc>
        <w:tc>
          <w:tcPr>
            <w:tcW w:w="486"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625748" w:rsidP="0034642C">
            <w:pPr>
              <w:pStyle w:val="TableNumb"/>
            </w:pPr>
            <w:r w:rsidRPr="00D505F5">
              <w:rPr>
                <w:rFonts w:eastAsia="Times New Roman" w:cs="Times New Roman"/>
                <w:szCs w:val="16"/>
                <w:lang w:eastAsia="fr-CH"/>
              </w:rPr>
              <w:t>665 575</w:t>
            </w:r>
          </w:p>
        </w:tc>
        <w:tc>
          <w:tcPr>
            <w:tcW w:w="486" w:type="dxa"/>
          </w:tcPr>
          <w:p w:rsidR="00AE6881" w:rsidRPr="00D505F5" w:rsidRDefault="00AE6881" w:rsidP="0034642C">
            <w:pPr>
              <w:pStyle w:val="TableNumb"/>
            </w:pPr>
            <w:r w:rsidRPr="00D505F5">
              <w:rPr>
                <w:rFonts w:eastAsia="Times New Roman" w:cs="Times New Roman"/>
                <w:szCs w:val="16"/>
                <w:lang w:eastAsia="fr-CH"/>
              </w:rPr>
              <w:t>99,7%</w:t>
            </w:r>
          </w:p>
        </w:tc>
        <w:tc>
          <w:tcPr>
            <w:tcW w:w="727" w:type="dxa"/>
          </w:tcPr>
          <w:p w:rsidR="00AE6881" w:rsidRPr="00D505F5" w:rsidRDefault="00AE6881" w:rsidP="0034642C">
            <w:pPr>
              <w:pStyle w:val="TableNumb"/>
            </w:pPr>
            <w:r w:rsidRPr="00D505F5">
              <w:rPr>
                <w:rFonts w:eastAsia="Times New Roman" w:cs="Times New Roman"/>
                <w:szCs w:val="16"/>
                <w:lang w:eastAsia="fr-CH"/>
              </w:rPr>
              <w:t>162 </w:t>
            </w:r>
            <w:r w:rsidR="00625748" w:rsidRPr="00D505F5">
              <w:rPr>
                <w:rFonts w:eastAsia="Times New Roman" w:cs="Times New Roman"/>
                <w:szCs w:val="16"/>
                <w:lang w:eastAsia="fr-CH"/>
              </w:rPr>
              <w:t>039</w:t>
            </w:r>
          </w:p>
        </w:tc>
        <w:tc>
          <w:tcPr>
            <w:tcW w:w="486" w:type="dxa"/>
          </w:tcPr>
          <w:p w:rsidR="00AE6881" w:rsidRPr="00D505F5" w:rsidRDefault="00AE6881" w:rsidP="0034642C">
            <w:pPr>
              <w:pStyle w:val="TableNumb"/>
            </w:pPr>
            <w:r w:rsidRPr="00D505F5">
              <w:rPr>
                <w:rFonts w:eastAsia="Times New Roman" w:cs="Times New Roman"/>
                <w:szCs w:val="16"/>
                <w:lang w:eastAsia="fr-CH"/>
              </w:rPr>
              <w:t>98,6%</w:t>
            </w:r>
          </w:p>
        </w:tc>
        <w:tc>
          <w:tcPr>
            <w:tcW w:w="727" w:type="dxa"/>
          </w:tcPr>
          <w:p w:rsidR="00AE6881" w:rsidRPr="00D505F5" w:rsidRDefault="00625748" w:rsidP="0034642C">
            <w:pPr>
              <w:pStyle w:val="TableNumb"/>
            </w:pPr>
            <w:r w:rsidRPr="00D505F5">
              <w:rPr>
                <w:rFonts w:eastAsia="Times New Roman" w:cs="Times New Roman"/>
                <w:szCs w:val="16"/>
                <w:lang w:eastAsia="fr-CH"/>
              </w:rPr>
              <w:t>12 639</w:t>
            </w:r>
          </w:p>
        </w:tc>
        <w:tc>
          <w:tcPr>
            <w:tcW w:w="486" w:type="dxa"/>
          </w:tcPr>
          <w:p w:rsidR="00AE6881" w:rsidRPr="00D505F5" w:rsidRDefault="00625748" w:rsidP="0034642C">
            <w:pPr>
              <w:pStyle w:val="TableNumb"/>
            </w:pPr>
            <w:r w:rsidRPr="00D505F5">
              <w:rPr>
                <w:rFonts w:eastAsia="Times New Roman" w:cs="Times New Roman"/>
                <w:szCs w:val="16"/>
                <w:lang w:eastAsia="fr-CH"/>
              </w:rPr>
              <w:t>90,3</w:t>
            </w:r>
            <w:r w:rsidR="00AE6881" w:rsidRPr="00D505F5">
              <w:rPr>
                <w:rFonts w:eastAsia="Times New Roman" w:cs="Times New Roman"/>
                <w:szCs w:val="16"/>
                <w:lang w:eastAsia="fr-CH"/>
              </w:rPr>
              <w:t>%</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50 </w:t>
            </w:r>
          </w:p>
        </w:tc>
        <w:tc>
          <w:tcPr>
            <w:tcW w:w="454" w:type="dxa"/>
          </w:tcPr>
          <w:p w:rsidR="00AE6881" w:rsidRPr="00D505F5" w:rsidRDefault="00AE6881" w:rsidP="0034642C">
            <w:pPr>
              <w:pStyle w:val="TableNumb"/>
            </w:pPr>
            <w:r w:rsidRPr="00D505F5">
              <w:rPr>
                <w:rFonts w:eastAsia="Times New Roman" w:cs="Times New Roman"/>
                <w:szCs w:val="16"/>
                <w:lang w:eastAsia="fr-CH"/>
              </w:rPr>
              <w:t>6,4%</w:t>
            </w:r>
          </w:p>
        </w:tc>
        <w:tc>
          <w:tcPr>
            <w:tcW w:w="727" w:type="dxa"/>
          </w:tcPr>
          <w:p w:rsidR="00AE6881" w:rsidRPr="00D505F5" w:rsidRDefault="00625748" w:rsidP="0034642C">
            <w:pPr>
              <w:pStyle w:val="TableNumb"/>
            </w:pPr>
            <w:r w:rsidRPr="00D505F5">
              <w:rPr>
                <w:rFonts w:eastAsia="Times New Roman" w:cs="Times New Roman"/>
                <w:szCs w:val="16"/>
                <w:lang w:eastAsia="fr-CH"/>
              </w:rPr>
              <w:t>840 302</w:t>
            </w:r>
          </w:p>
        </w:tc>
        <w:tc>
          <w:tcPr>
            <w:tcW w:w="486" w:type="dxa"/>
          </w:tcPr>
          <w:p w:rsidR="00AE6881" w:rsidRPr="00D505F5" w:rsidRDefault="00AE6881" w:rsidP="0034642C">
            <w:pPr>
              <w:pStyle w:val="TableNumb"/>
            </w:pPr>
            <w:r w:rsidRPr="00D505F5">
              <w:rPr>
                <w:rFonts w:eastAsia="Times New Roman" w:cs="Times New Roman"/>
                <w:szCs w:val="16"/>
                <w:lang w:eastAsia="fr-CH"/>
              </w:rPr>
              <w:t>95,2%</w:t>
            </w:r>
          </w:p>
        </w:tc>
      </w:tr>
      <w:tr w:rsidR="00AE6881" w:rsidRPr="00D505F5" w:rsidTr="0034642C">
        <w:tc>
          <w:tcPr>
            <w:tcW w:w="2393" w:type="dxa"/>
          </w:tcPr>
          <w:p w:rsidR="00AE6881" w:rsidRPr="00D505F5" w:rsidRDefault="00AE6881" w:rsidP="00811905">
            <w:pPr>
              <w:pStyle w:val="TableText"/>
              <w:keepNext/>
            </w:pPr>
            <w:r w:rsidRPr="00D505F5">
              <w:rPr>
                <w:rFonts w:eastAsia="Times New Roman" w:cs="Times New Roman"/>
                <w:b/>
                <w:bCs/>
                <w:szCs w:val="16"/>
                <w:lang w:eastAsia="fr-CH"/>
              </w:rPr>
              <w:t xml:space="preserve">Recettes sur </w:t>
            </w:r>
            <w:r w:rsidR="00811905" w:rsidRPr="00D505F5">
              <w:rPr>
                <w:rFonts w:eastAsia="Times New Roman" w:cs="Times New Roman"/>
                <w:b/>
                <w:bCs/>
                <w:szCs w:val="16"/>
                <w:lang w:eastAsia="fr-CH"/>
              </w:rPr>
              <w:t>la base d</w:t>
            </w:r>
            <w:r w:rsidR="00AD1C27">
              <w:rPr>
                <w:rFonts w:eastAsia="Times New Roman" w:cs="Times New Roman"/>
                <w:b/>
                <w:bCs/>
                <w:szCs w:val="16"/>
                <w:lang w:eastAsia="fr-CH"/>
              </w:rPr>
              <w:t>’</w:t>
            </w:r>
            <w:r w:rsidR="00811905" w:rsidRPr="00D505F5">
              <w:rPr>
                <w:rFonts w:eastAsia="Times New Roman" w:cs="Times New Roman"/>
                <w:b/>
                <w:bCs/>
                <w:szCs w:val="16"/>
                <w:lang w:eastAsia="fr-CH"/>
              </w:rPr>
              <w:t>une comptabilité de caisse</w:t>
            </w: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54" w:type="dxa"/>
          </w:tcPr>
          <w:p w:rsidR="00AE6881" w:rsidRPr="00D505F5" w:rsidRDefault="00AE6881" w:rsidP="0034642C">
            <w:pPr>
              <w:pStyle w:val="TableNumb"/>
            </w:pPr>
          </w:p>
        </w:tc>
        <w:tc>
          <w:tcPr>
            <w:tcW w:w="727" w:type="dxa"/>
          </w:tcPr>
          <w:p w:rsidR="00AE6881" w:rsidRPr="00D505F5" w:rsidRDefault="00AE6881" w:rsidP="0034642C">
            <w:pPr>
              <w:pStyle w:val="TableNumb"/>
            </w:pPr>
          </w:p>
        </w:tc>
        <w:tc>
          <w:tcPr>
            <w:tcW w:w="486" w:type="dxa"/>
          </w:tcPr>
          <w:p w:rsidR="00AE6881" w:rsidRPr="00D505F5" w:rsidRDefault="00AE6881" w:rsidP="0034642C">
            <w:pPr>
              <w:pStyle w:val="TableNumb"/>
            </w:pPr>
          </w:p>
        </w:tc>
      </w:tr>
      <w:tr w:rsidR="00AE6881" w:rsidRPr="00D505F5" w:rsidTr="0034642C">
        <w:tc>
          <w:tcPr>
            <w:tcW w:w="2393" w:type="dxa"/>
          </w:tcPr>
          <w:p w:rsidR="00AE6881" w:rsidRPr="00D505F5" w:rsidRDefault="00AE6881" w:rsidP="0034642C">
            <w:pPr>
              <w:pStyle w:val="TableText"/>
              <w:keepNext/>
              <w:rPr>
                <w:i/>
              </w:rPr>
            </w:pPr>
            <w:r w:rsidRPr="00D505F5">
              <w:rPr>
                <w:i/>
              </w:rPr>
              <w:t>Contributions (unitaires)</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34 754 </w:t>
            </w:r>
          </w:p>
        </w:tc>
        <w:tc>
          <w:tcPr>
            <w:tcW w:w="486" w:type="dxa"/>
          </w:tcPr>
          <w:p w:rsidR="00AE6881" w:rsidRPr="00D505F5" w:rsidRDefault="00AE6881" w:rsidP="0034642C">
            <w:pPr>
              <w:pStyle w:val="TableNumb"/>
            </w:pPr>
            <w:r w:rsidRPr="00D505F5">
              <w:rPr>
                <w:rFonts w:eastAsia="Times New Roman" w:cs="Times New Roman"/>
                <w:szCs w:val="16"/>
                <w:lang w:eastAsia="fr-CH"/>
              </w:rPr>
              <w:t>96,3%</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86"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86"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86"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54"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34 754 </w:t>
            </w:r>
          </w:p>
        </w:tc>
        <w:tc>
          <w:tcPr>
            <w:tcW w:w="486" w:type="dxa"/>
          </w:tcPr>
          <w:p w:rsidR="00AE6881" w:rsidRPr="00D505F5" w:rsidRDefault="00AE6881" w:rsidP="0034642C">
            <w:pPr>
              <w:pStyle w:val="TableNumb"/>
            </w:pPr>
            <w:r w:rsidRPr="00D505F5">
              <w:rPr>
                <w:rFonts w:eastAsia="Times New Roman" w:cs="Times New Roman"/>
                <w:szCs w:val="16"/>
                <w:lang w:eastAsia="fr-CH"/>
              </w:rPr>
              <w:t>3,9%</w:t>
            </w:r>
          </w:p>
        </w:tc>
      </w:tr>
      <w:tr w:rsidR="00AE6881" w:rsidRPr="00D505F5" w:rsidTr="0034642C">
        <w:tc>
          <w:tcPr>
            <w:tcW w:w="2393" w:type="dxa"/>
          </w:tcPr>
          <w:p w:rsidR="00AE6881" w:rsidRPr="00D505F5" w:rsidRDefault="00AE6881" w:rsidP="0034642C">
            <w:pPr>
              <w:pStyle w:val="TableText"/>
              <w:keepNext/>
              <w:rPr>
                <w:i/>
              </w:rPr>
            </w:pPr>
            <w:r w:rsidRPr="00D505F5">
              <w:rPr>
                <w:i/>
              </w:rPr>
              <w:t>Arbitrage</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594 </w:t>
            </w:r>
          </w:p>
        </w:tc>
        <w:tc>
          <w:tcPr>
            <w:tcW w:w="486" w:type="dxa"/>
          </w:tcPr>
          <w:p w:rsidR="00AE6881" w:rsidRPr="00D505F5" w:rsidRDefault="00AE6881" w:rsidP="0034642C">
            <w:pPr>
              <w:pStyle w:val="TableNumb"/>
            </w:pPr>
            <w:r w:rsidRPr="00D505F5">
              <w:rPr>
                <w:rFonts w:eastAsia="Times New Roman" w:cs="Times New Roman"/>
                <w:szCs w:val="16"/>
                <w:lang w:eastAsia="fr-CH"/>
              </w:rPr>
              <w:t>1,6%</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561 </w:t>
            </w:r>
          </w:p>
        </w:tc>
        <w:tc>
          <w:tcPr>
            <w:tcW w:w="486" w:type="dxa"/>
          </w:tcPr>
          <w:p w:rsidR="00AE6881" w:rsidRPr="00D505F5" w:rsidRDefault="00AE6881" w:rsidP="0034642C">
            <w:pPr>
              <w:pStyle w:val="TableNumb"/>
            </w:pPr>
            <w:r w:rsidRPr="00D505F5">
              <w:rPr>
                <w:rFonts w:eastAsia="Times New Roman" w:cs="Times New Roman"/>
                <w:szCs w:val="16"/>
                <w:lang w:eastAsia="fr-CH"/>
              </w:rPr>
              <w:t>0,1%</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1 518 </w:t>
            </w:r>
          </w:p>
        </w:tc>
        <w:tc>
          <w:tcPr>
            <w:tcW w:w="486" w:type="dxa"/>
          </w:tcPr>
          <w:p w:rsidR="00AE6881" w:rsidRPr="00D505F5" w:rsidRDefault="00AE6881" w:rsidP="0034642C">
            <w:pPr>
              <w:pStyle w:val="TableNumb"/>
            </w:pPr>
            <w:r w:rsidRPr="00D505F5">
              <w:rPr>
                <w:rFonts w:eastAsia="Times New Roman" w:cs="Times New Roman"/>
                <w:szCs w:val="16"/>
                <w:lang w:eastAsia="fr-CH"/>
              </w:rPr>
              <w:t>0,9%</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627 </w:t>
            </w:r>
          </w:p>
        </w:tc>
        <w:tc>
          <w:tcPr>
            <w:tcW w:w="486" w:type="dxa"/>
          </w:tcPr>
          <w:p w:rsidR="00AE6881" w:rsidRPr="00D505F5" w:rsidRDefault="00AE6881" w:rsidP="0034642C">
            <w:pPr>
              <w:pStyle w:val="TableNumb"/>
            </w:pPr>
            <w:r w:rsidRPr="00D505F5">
              <w:rPr>
                <w:rFonts w:eastAsia="Times New Roman" w:cs="Times New Roman"/>
                <w:szCs w:val="16"/>
                <w:lang w:eastAsia="fr-CH"/>
              </w:rPr>
              <w:t>4,</w:t>
            </w:r>
            <w:r w:rsidR="00625748" w:rsidRPr="00D505F5">
              <w:rPr>
                <w:rFonts w:eastAsia="Times New Roman" w:cs="Times New Roman"/>
                <w:szCs w:val="16"/>
                <w:lang w:eastAsia="fr-CH"/>
              </w:rPr>
              <w:t>5</w:t>
            </w:r>
            <w:r w:rsidRPr="00D505F5">
              <w:rPr>
                <w:rFonts w:eastAsia="Times New Roman" w:cs="Times New Roman"/>
                <w:szCs w:val="16"/>
                <w:lang w:eastAsia="fr-CH"/>
              </w:rPr>
              <w:t>%</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54"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3 300 </w:t>
            </w:r>
          </w:p>
        </w:tc>
        <w:tc>
          <w:tcPr>
            <w:tcW w:w="486" w:type="dxa"/>
          </w:tcPr>
          <w:p w:rsidR="00AE6881" w:rsidRPr="00D505F5" w:rsidRDefault="00AE6881" w:rsidP="0034642C">
            <w:pPr>
              <w:pStyle w:val="TableNumb"/>
            </w:pPr>
            <w:r w:rsidRPr="00D505F5">
              <w:rPr>
                <w:rFonts w:eastAsia="Times New Roman" w:cs="Times New Roman"/>
                <w:szCs w:val="16"/>
                <w:lang w:eastAsia="fr-CH"/>
              </w:rPr>
              <w:t>0,4%</w:t>
            </w:r>
          </w:p>
        </w:tc>
      </w:tr>
      <w:tr w:rsidR="00AE6881" w:rsidRPr="00D505F5" w:rsidTr="0034642C">
        <w:tc>
          <w:tcPr>
            <w:tcW w:w="2393" w:type="dxa"/>
          </w:tcPr>
          <w:p w:rsidR="00AE6881" w:rsidRPr="00D505F5" w:rsidRDefault="00AE6881" w:rsidP="0034642C">
            <w:pPr>
              <w:pStyle w:val="TableText"/>
              <w:keepNext/>
              <w:rPr>
                <w:i/>
              </w:rPr>
            </w:pPr>
            <w:r w:rsidRPr="00D505F5">
              <w:rPr>
                <w:i/>
              </w:rPr>
              <w:t>Publications</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7 </w:t>
            </w:r>
          </w:p>
        </w:tc>
        <w:tc>
          <w:tcPr>
            <w:tcW w:w="486" w:type="dxa"/>
          </w:tcPr>
          <w:p w:rsidR="00AE6881" w:rsidRPr="00D505F5" w:rsidRDefault="00AE6881" w:rsidP="0034642C">
            <w:pPr>
              <w:pStyle w:val="TableNumb"/>
            </w:pPr>
            <w:r w:rsidRPr="00D505F5">
              <w:rPr>
                <w:rFonts w:eastAsia="Times New Roman" w:cs="Times New Roman"/>
                <w:szCs w:val="16"/>
                <w:lang w:eastAsia="fr-CH"/>
              </w:rPr>
              <w:t>0,0%</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700 </w:t>
            </w:r>
          </w:p>
        </w:tc>
        <w:tc>
          <w:tcPr>
            <w:tcW w:w="486" w:type="dxa"/>
          </w:tcPr>
          <w:p w:rsidR="00AE6881" w:rsidRPr="00D505F5" w:rsidRDefault="00AE6881" w:rsidP="0034642C">
            <w:pPr>
              <w:pStyle w:val="TableNumb"/>
            </w:pPr>
            <w:r w:rsidRPr="00D505F5">
              <w:rPr>
                <w:rFonts w:eastAsia="Times New Roman" w:cs="Times New Roman"/>
                <w:szCs w:val="16"/>
                <w:lang w:eastAsia="fr-CH"/>
              </w:rPr>
              <w:t>0,1%</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60 </w:t>
            </w:r>
          </w:p>
        </w:tc>
        <w:tc>
          <w:tcPr>
            <w:tcW w:w="486" w:type="dxa"/>
          </w:tcPr>
          <w:p w:rsidR="00AE6881" w:rsidRPr="00D505F5" w:rsidRDefault="00AE6881" w:rsidP="0034642C">
            <w:pPr>
              <w:pStyle w:val="TableNumb"/>
            </w:pPr>
            <w:r w:rsidRPr="00D505F5">
              <w:rPr>
                <w:rFonts w:eastAsia="Times New Roman" w:cs="Times New Roman"/>
                <w:szCs w:val="16"/>
                <w:lang w:eastAsia="fr-CH"/>
              </w:rPr>
              <w:t>0,0%</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86"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454" w:type="dxa"/>
          </w:tcPr>
          <w:p w:rsidR="00AE6881" w:rsidRPr="00D505F5" w:rsidRDefault="00AE6881" w:rsidP="0034642C">
            <w:pPr>
              <w:pStyle w:val="TableNumb"/>
            </w:pPr>
            <w:r w:rsidRPr="00D505F5">
              <w:rPr>
                <w:rFonts w:eastAsia="Times New Roman" w:cs="Times New Roman"/>
                <w:szCs w:val="16"/>
                <w:lang w:eastAsia="fr-CH"/>
              </w:rPr>
              <w:t xml:space="preserve">  – </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767 </w:t>
            </w:r>
          </w:p>
        </w:tc>
        <w:tc>
          <w:tcPr>
            <w:tcW w:w="486" w:type="dxa"/>
          </w:tcPr>
          <w:p w:rsidR="00AE6881" w:rsidRPr="00D505F5" w:rsidRDefault="00AE6881" w:rsidP="0034642C">
            <w:pPr>
              <w:pStyle w:val="TableNumb"/>
            </w:pPr>
            <w:r w:rsidRPr="00D505F5">
              <w:rPr>
                <w:rFonts w:eastAsia="Times New Roman" w:cs="Times New Roman"/>
                <w:szCs w:val="16"/>
                <w:lang w:eastAsia="fr-CH"/>
              </w:rPr>
              <w:t>0,1%</w:t>
            </w:r>
          </w:p>
        </w:tc>
      </w:tr>
      <w:tr w:rsidR="00AE6881" w:rsidRPr="00D505F5" w:rsidTr="0034642C">
        <w:tc>
          <w:tcPr>
            <w:tcW w:w="2393" w:type="dxa"/>
          </w:tcPr>
          <w:p w:rsidR="00AE6881" w:rsidRPr="00D505F5" w:rsidRDefault="00AE6881" w:rsidP="0034642C">
            <w:pPr>
              <w:pStyle w:val="TableText"/>
              <w:keepNext/>
              <w:rPr>
                <w:i/>
              </w:rPr>
            </w:pPr>
            <w:r w:rsidRPr="00D505F5">
              <w:rPr>
                <w:i/>
              </w:rPr>
              <w:t>Autres recettes</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86" w:type="dxa"/>
          </w:tcPr>
          <w:p w:rsidR="00AE6881" w:rsidRPr="00D505F5" w:rsidRDefault="00AE6881" w:rsidP="0034642C">
            <w:pPr>
              <w:pStyle w:val="TableNumb"/>
            </w:pPr>
            <w:r w:rsidRPr="00D505F5">
              <w:rPr>
                <w:rFonts w:eastAsia="Times New Roman" w:cs="Times New Roman"/>
                <w:szCs w:val="16"/>
                <w:lang w:eastAsia="fr-CH"/>
              </w:rPr>
              <w:t>1,9%</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86" w:type="dxa"/>
          </w:tcPr>
          <w:p w:rsidR="00AE6881" w:rsidRPr="00D505F5" w:rsidRDefault="00AE6881" w:rsidP="0034642C">
            <w:pPr>
              <w:pStyle w:val="TableNumb"/>
            </w:pPr>
            <w:r w:rsidRPr="00D505F5">
              <w:rPr>
                <w:rFonts w:eastAsia="Times New Roman" w:cs="Times New Roman"/>
                <w:szCs w:val="16"/>
                <w:lang w:eastAsia="fr-CH"/>
              </w:rPr>
              <w:t>0,1%</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86" w:type="dxa"/>
          </w:tcPr>
          <w:p w:rsidR="00AE6881" w:rsidRPr="00D505F5" w:rsidRDefault="00AE6881" w:rsidP="0034642C">
            <w:pPr>
              <w:pStyle w:val="TableNumb"/>
            </w:pPr>
            <w:r w:rsidRPr="00D505F5">
              <w:rPr>
                <w:rFonts w:eastAsia="Times New Roman" w:cs="Times New Roman"/>
                <w:szCs w:val="16"/>
                <w:lang w:eastAsia="fr-CH"/>
              </w:rPr>
              <w:t>0,4%</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86" w:type="dxa"/>
          </w:tcPr>
          <w:p w:rsidR="00AE6881" w:rsidRPr="00D505F5" w:rsidRDefault="00625748" w:rsidP="0034642C">
            <w:pPr>
              <w:pStyle w:val="TableNumb"/>
            </w:pPr>
            <w:r w:rsidRPr="00D505F5">
              <w:rPr>
                <w:rFonts w:eastAsia="Times New Roman" w:cs="Times New Roman"/>
                <w:szCs w:val="16"/>
                <w:lang w:eastAsia="fr-CH"/>
              </w:rPr>
              <w:t>4,8</w:t>
            </w:r>
            <w:r w:rsidR="00AE6881" w:rsidRPr="00D505F5">
              <w:rPr>
                <w:rFonts w:eastAsia="Times New Roman" w:cs="Times New Roman"/>
                <w:szCs w:val="16"/>
                <w:lang w:eastAsia="fr-CH"/>
              </w:rPr>
              <w:t>%</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54" w:type="dxa"/>
          </w:tcPr>
          <w:p w:rsidR="00AE6881" w:rsidRPr="00D505F5" w:rsidRDefault="00E71771" w:rsidP="0034642C">
            <w:pPr>
              <w:pStyle w:val="TableNumb"/>
            </w:pPr>
            <w:r>
              <w:rPr>
                <w:rFonts w:eastAsia="Times New Roman" w:cs="Times New Roman"/>
                <w:szCs w:val="16"/>
                <w:lang w:eastAsia="fr-CH"/>
              </w:rPr>
              <w:t>86,8</w:t>
            </w:r>
            <w:r w:rsidR="00AE6881" w:rsidRPr="00D505F5">
              <w:rPr>
                <w:rFonts w:eastAsia="Times New Roman" w:cs="Times New Roman"/>
                <w:szCs w:val="16"/>
                <w:lang w:eastAsia="fr-CH"/>
              </w:rPr>
              <w:t>%</w:t>
            </w:r>
          </w:p>
        </w:tc>
        <w:tc>
          <w:tcPr>
            <w:tcW w:w="727" w:type="dxa"/>
          </w:tcPr>
          <w:p w:rsidR="00AE6881" w:rsidRPr="00D505F5" w:rsidRDefault="00AE6881" w:rsidP="0034642C">
            <w:pPr>
              <w:pStyle w:val="TableNumb"/>
            </w:pPr>
            <w:r w:rsidRPr="00D505F5">
              <w:rPr>
                <w:rFonts w:eastAsia="Times New Roman" w:cs="Times New Roman"/>
                <w:szCs w:val="16"/>
                <w:lang w:eastAsia="fr-CH"/>
              </w:rPr>
              <w:t xml:space="preserve">    3 380 </w:t>
            </w:r>
          </w:p>
        </w:tc>
        <w:tc>
          <w:tcPr>
            <w:tcW w:w="486" w:type="dxa"/>
          </w:tcPr>
          <w:p w:rsidR="00AE6881" w:rsidRPr="00D505F5" w:rsidRDefault="00AE6881" w:rsidP="0034642C">
            <w:pPr>
              <w:pStyle w:val="TableNumb"/>
            </w:pPr>
            <w:r w:rsidRPr="00D505F5">
              <w:rPr>
                <w:rFonts w:eastAsia="Times New Roman" w:cs="Times New Roman"/>
                <w:szCs w:val="16"/>
                <w:lang w:eastAsia="fr-CH"/>
              </w:rPr>
              <w:t>0,4%</w:t>
            </w:r>
          </w:p>
        </w:tc>
      </w:tr>
      <w:tr w:rsidR="00AE6881" w:rsidRPr="00D505F5" w:rsidTr="0034642C">
        <w:tc>
          <w:tcPr>
            <w:tcW w:w="2393" w:type="dxa"/>
            <w:tcBorders>
              <w:top w:val="single" w:sz="4" w:space="0" w:color="C6CFD7" w:themeColor="accent3" w:themeTint="66"/>
            </w:tcBorders>
          </w:tcPr>
          <w:p w:rsidR="00AE6881" w:rsidRPr="00D505F5" w:rsidRDefault="00AE6881" w:rsidP="0034642C">
            <w:pPr>
              <w:pStyle w:val="TableText"/>
              <w:keepNext/>
            </w:pPr>
            <w:r w:rsidRPr="00D505F5">
              <w:t>Sous</w:t>
            </w:r>
            <w:r w:rsidR="00AF4785">
              <w:noBreakHyphen/>
            </w:r>
            <w:r w:rsidRPr="00D505F5">
              <w:t>total</w:t>
            </w:r>
          </w:p>
        </w:tc>
        <w:tc>
          <w:tcPr>
            <w:tcW w:w="727" w:type="dxa"/>
            <w:tcBorders>
              <w:top w:val="single" w:sz="4" w:space="0" w:color="C6CFD7" w:themeColor="accent3" w:themeTint="66"/>
            </w:tcBorders>
          </w:tcPr>
          <w:p w:rsidR="00AE6881" w:rsidRPr="00D505F5" w:rsidRDefault="00AE6881" w:rsidP="0034642C">
            <w:pPr>
              <w:pStyle w:val="TableNumb"/>
              <w:rPr>
                <w:rFonts w:eastAsia="Times New Roman" w:cs="Times New Roman"/>
                <w:szCs w:val="16"/>
                <w:lang w:eastAsia="fr-CH"/>
              </w:rPr>
            </w:pPr>
            <w:r w:rsidRPr="00D505F5">
              <w:rPr>
                <w:rFonts w:eastAsia="Times New Roman" w:cs="Times New Roman"/>
                <w:szCs w:val="16"/>
                <w:lang w:eastAsia="fr-CH"/>
              </w:rPr>
              <w:t xml:space="preserve"> 36 031 </w:t>
            </w:r>
          </w:p>
        </w:tc>
        <w:tc>
          <w:tcPr>
            <w:tcW w:w="486"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99,9%</w:t>
            </w:r>
          </w:p>
        </w:tc>
        <w:tc>
          <w:tcPr>
            <w:tcW w:w="727"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1 937 </w:t>
            </w:r>
          </w:p>
        </w:tc>
        <w:tc>
          <w:tcPr>
            <w:tcW w:w="486"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0,3%</w:t>
            </w:r>
          </w:p>
        </w:tc>
        <w:tc>
          <w:tcPr>
            <w:tcW w:w="727"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2 254 </w:t>
            </w:r>
          </w:p>
        </w:tc>
        <w:tc>
          <w:tcPr>
            <w:tcW w:w="486"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1,4%</w:t>
            </w:r>
          </w:p>
        </w:tc>
        <w:tc>
          <w:tcPr>
            <w:tcW w:w="727"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1 303 </w:t>
            </w:r>
          </w:p>
        </w:tc>
        <w:tc>
          <w:tcPr>
            <w:tcW w:w="486"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9,</w:t>
            </w:r>
            <w:r w:rsidR="00625748" w:rsidRPr="00D505F5">
              <w:rPr>
                <w:rFonts w:eastAsia="Times New Roman" w:cs="Times New Roman"/>
                <w:szCs w:val="16"/>
                <w:lang w:eastAsia="fr-CH"/>
              </w:rPr>
              <w:t>3</w:t>
            </w:r>
            <w:r w:rsidRPr="00D505F5">
              <w:rPr>
                <w:rFonts w:eastAsia="Times New Roman" w:cs="Times New Roman"/>
                <w:szCs w:val="16"/>
                <w:lang w:eastAsia="fr-CH"/>
              </w:rPr>
              <w:t>%</w:t>
            </w:r>
          </w:p>
        </w:tc>
        <w:tc>
          <w:tcPr>
            <w:tcW w:w="727"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676 </w:t>
            </w:r>
          </w:p>
        </w:tc>
        <w:tc>
          <w:tcPr>
            <w:tcW w:w="454" w:type="dxa"/>
            <w:tcBorders>
              <w:top w:val="single" w:sz="4" w:space="0" w:color="C6CFD7" w:themeColor="accent3" w:themeTint="66"/>
            </w:tcBorders>
          </w:tcPr>
          <w:p w:rsidR="00AE6881" w:rsidRPr="00D505F5" w:rsidRDefault="00E71771" w:rsidP="0034642C">
            <w:pPr>
              <w:pStyle w:val="TableNumb"/>
            </w:pPr>
            <w:r>
              <w:rPr>
                <w:rFonts w:eastAsia="Times New Roman" w:cs="Times New Roman"/>
                <w:szCs w:val="16"/>
                <w:lang w:eastAsia="fr-CH"/>
              </w:rPr>
              <w:t>86,8</w:t>
            </w:r>
            <w:r w:rsidR="00AE6881" w:rsidRPr="00D505F5">
              <w:rPr>
                <w:rFonts w:eastAsia="Times New Roman" w:cs="Times New Roman"/>
                <w:szCs w:val="16"/>
                <w:lang w:eastAsia="fr-CH"/>
              </w:rPr>
              <w:t>%</w:t>
            </w:r>
          </w:p>
        </w:tc>
        <w:tc>
          <w:tcPr>
            <w:tcW w:w="727"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42 201 </w:t>
            </w:r>
          </w:p>
        </w:tc>
        <w:tc>
          <w:tcPr>
            <w:tcW w:w="486" w:type="dxa"/>
            <w:tcBorders>
              <w:top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4,</w:t>
            </w:r>
            <w:r w:rsidR="00625748" w:rsidRPr="00D505F5">
              <w:rPr>
                <w:rFonts w:eastAsia="Times New Roman" w:cs="Times New Roman"/>
                <w:szCs w:val="16"/>
                <w:lang w:eastAsia="fr-CH"/>
              </w:rPr>
              <w:t>8</w:t>
            </w:r>
            <w:r w:rsidRPr="00D505F5">
              <w:rPr>
                <w:rFonts w:eastAsia="Times New Roman" w:cs="Times New Roman"/>
                <w:szCs w:val="16"/>
                <w:lang w:eastAsia="fr-CH"/>
              </w:rPr>
              <w:t>%</w:t>
            </w:r>
          </w:p>
        </w:tc>
      </w:tr>
      <w:tr w:rsidR="00AE6881" w:rsidRPr="00D505F5" w:rsidTr="0034642C">
        <w:tc>
          <w:tcPr>
            <w:tcW w:w="2393" w:type="dxa"/>
            <w:tcBorders>
              <w:bottom w:val="single" w:sz="4" w:space="0" w:color="C6CFD7" w:themeColor="accent3" w:themeTint="66"/>
            </w:tcBorders>
          </w:tcPr>
          <w:p w:rsidR="00AE6881" w:rsidRPr="00D505F5" w:rsidRDefault="00AE6881" w:rsidP="0034642C">
            <w:pPr>
              <w:pStyle w:val="TableText"/>
              <w:keepNext/>
            </w:pPr>
            <w:r w:rsidRPr="00D505F5">
              <w:t>Ajustements IPSAS aux recettes selon la méthode de la comptabilité de caisse</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53 </w:t>
            </w:r>
          </w:p>
        </w:tc>
        <w:tc>
          <w:tcPr>
            <w:tcW w:w="486"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0,1%</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53 </w:t>
            </w:r>
          </w:p>
        </w:tc>
        <w:tc>
          <w:tcPr>
            <w:tcW w:w="486"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0,0%</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53 </w:t>
            </w:r>
          </w:p>
        </w:tc>
        <w:tc>
          <w:tcPr>
            <w:tcW w:w="486"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0,0%</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53 </w:t>
            </w:r>
          </w:p>
        </w:tc>
        <w:tc>
          <w:tcPr>
            <w:tcW w:w="486"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0,4%</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53 </w:t>
            </w:r>
          </w:p>
        </w:tc>
        <w:tc>
          <w:tcPr>
            <w:tcW w:w="454" w:type="dxa"/>
            <w:tcBorders>
              <w:bottom w:val="single" w:sz="4" w:space="0" w:color="C6CFD7" w:themeColor="accent3" w:themeTint="66"/>
            </w:tcBorders>
          </w:tcPr>
          <w:p w:rsidR="00AE6881" w:rsidRPr="00D505F5" w:rsidRDefault="00E71771" w:rsidP="0034642C">
            <w:pPr>
              <w:pStyle w:val="TableNumb"/>
            </w:pPr>
            <w:r>
              <w:rPr>
                <w:rFonts w:eastAsia="Times New Roman" w:cs="Times New Roman"/>
                <w:szCs w:val="16"/>
                <w:lang w:eastAsia="fr-CH"/>
              </w:rPr>
              <w:t>6,8</w:t>
            </w:r>
            <w:r w:rsidR="00AE6881" w:rsidRPr="00D505F5">
              <w:rPr>
                <w:rFonts w:eastAsia="Times New Roman" w:cs="Times New Roman"/>
                <w:szCs w:val="16"/>
                <w:lang w:eastAsia="fr-CH"/>
              </w:rPr>
              <w:t>%</w:t>
            </w:r>
          </w:p>
        </w:tc>
        <w:tc>
          <w:tcPr>
            <w:tcW w:w="727"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 xml:space="preserve"> 264 </w:t>
            </w:r>
          </w:p>
        </w:tc>
        <w:tc>
          <w:tcPr>
            <w:tcW w:w="486" w:type="dxa"/>
            <w:tcBorders>
              <w:bottom w:val="single" w:sz="4" w:space="0" w:color="C6CFD7" w:themeColor="accent3" w:themeTint="66"/>
            </w:tcBorders>
          </w:tcPr>
          <w:p w:rsidR="00AE6881" w:rsidRPr="00D505F5" w:rsidRDefault="00AE6881" w:rsidP="0034642C">
            <w:pPr>
              <w:pStyle w:val="TableNumb"/>
            </w:pPr>
            <w:r w:rsidRPr="00D505F5">
              <w:rPr>
                <w:rFonts w:eastAsia="Times New Roman" w:cs="Times New Roman"/>
                <w:szCs w:val="16"/>
                <w:lang w:eastAsia="fr-CH"/>
              </w:rPr>
              <w:t>0,0%</w:t>
            </w:r>
          </w:p>
        </w:tc>
      </w:tr>
      <w:tr w:rsidR="00AE6881" w:rsidRPr="00D505F5" w:rsidTr="0034642C">
        <w:tc>
          <w:tcPr>
            <w:tcW w:w="2393"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TextBold"/>
            </w:pPr>
            <w:r w:rsidRPr="00D505F5">
              <w:t>Total</w:t>
            </w:r>
          </w:p>
        </w:tc>
        <w:tc>
          <w:tcPr>
            <w:tcW w:w="727"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 xml:space="preserve"> 36 084 </w:t>
            </w:r>
          </w:p>
        </w:tc>
        <w:tc>
          <w:tcPr>
            <w:tcW w:w="486"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c>
          <w:tcPr>
            <w:tcW w:w="727" w:type="dxa"/>
            <w:tcBorders>
              <w:top w:val="single" w:sz="4" w:space="0" w:color="C6CFD7" w:themeColor="accent3" w:themeTint="66"/>
              <w:bottom w:val="single" w:sz="18" w:space="0" w:color="C6CFD7" w:themeColor="accent3" w:themeTint="66"/>
            </w:tcBorders>
          </w:tcPr>
          <w:p w:rsidR="00AE6881" w:rsidRPr="00D505F5" w:rsidRDefault="00625748" w:rsidP="0034642C">
            <w:pPr>
              <w:pStyle w:val="TableNumbBold"/>
            </w:pPr>
            <w:r w:rsidRPr="00D505F5">
              <w:rPr>
                <w:rFonts w:eastAsia="Times New Roman" w:cs="Times New Roman"/>
                <w:szCs w:val="16"/>
                <w:lang w:eastAsia="fr-CH"/>
              </w:rPr>
              <w:t>667 565</w:t>
            </w:r>
          </w:p>
        </w:tc>
        <w:tc>
          <w:tcPr>
            <w:tcW w:w="486"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c>
          <w:tcPr>
            <w:tcW w:w="727"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164 </w:t>
            </w:r>
            <w:r w:rsidR="00625748" w:rsidRPr="00D505F5">
              <w:rPr>
                <w:rFonts w:eastAsia="Times New Roman" w:cs="Times New Roman"/>
                <w:szCs w:val="16"/>
                <w:lang w:eastAsia="fr-CH"/>
              </w:rPr>
              <w:t>345</w:t>
            </w:r>
          </w:p>
        </w:tc>
        <w:tc>
          <w:tcPr>
            <w:tcW w:w="486"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c>
          <w:tcPr>
            <w:tcW w:w="727"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 xml:space="preserve"> 13 </w:t>
            </w:r>
            <w:r w:rsidR="00625748" w:rsidRPr="00D505F5">
              <w:rPr>
                <w:rFonts w:eastAsia="Times New Roman" w:cs="Times New Roman"/>
                <w:szCs w:val="16"/>
                <w:lang w:eastAsia="fr-CH"/>
              </w:rPr>
              <w:t>995</w:t>
            </w:r>
          </w:p>
        </w:tc>
        <w:tc>
          <w:tcPr>
            <w:tcW w:w="486"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c>
          <w:tcPr>
            <w:tcW w:w="727"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 xml:space="preserve"> 779 </w:t>
            </w:r>
          </w:p>
        </w:tc>
        <w:tc>
          <w:tcPr>
            <w:tcW w:w="454"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c>
          <w:tcPr>
            <w:tcW w:w="727" w:type="dxa"/>
            <w:tcBorders>
              <w:top w:val="single" w:sz="4" w:space="0" w:color="C6CFD7" w:themeColor="accent3" w:themeTint="66"/>
              <w:bottom w:val="single" w:sz="18" w:space="0" w:color="C6CFD7" w:themeColor="accent3" w:themeTint="66"/>
            </w:tcBorders>
          </w:tcPr>
          <w:p w:rsidR="00AE6881" w:rsidRPr="00D505F5" w:rsidRDefault="00625748" w:rsidP="0034642C">
            <w:pPr>
              <w:pStyle w:val="TableNumbBold"/>
            </w:pPr>
            <w:r w:rsidRPr="00D505F5">
              <w:rPr>
                <w:rFonts w:eastAsia="Times New Roman" w:cs="Times New Roman"/>
                <w:szCs w:val="16"/>
                <w:lang w:eastAsia="fr-CH"/>
              </w:rPr>
              <w:t>882 768</w:t>
            </w:r>
          </w:p>
        </w:tc>
        <w:tc>
          <w:tcPr>
            <w:tcW w:w="486" w:type="dxa"/>
            <w:tcBorders>
              <w:top w:val="single" w:sz="4" w:space="0" w:color="C6CFD7" w:themeColor="accent3" w:themeTint="66"/>
              <w:bottom w:val="single" w:sz="18" w:space="0" w:color="C6CFD7" w:themeColor="accent3" w:themeTint="66"/>
            </w:tcBorders>
          </w:tcPr>
          <w:p w:rsidR="00AE6881" w:rsidRPr="00D505F5" w:rsidRDefault="00AE6881" w:rsidP="0034642C">
            <w:pPr>
              <w:pStyle w:val="TableNumbBold"/>
            </w:pPr>
            <w:r w:rsidRPr="00D505F5">
              <w:rPr>
                <w:rFonts w:eastAsia="Times New Roman" w:cs="Times New Roman"/>
                <w:bCs/>
                <w:szCs w:val="16"/>
                <w:lang w:eastAsia="fr-CH"/>
              </w:rPr>
              <w:t>100%</w:t>
            </w:r>
          </w:p>
        </w:tc>
      </w:tr>
    </w:tbl>
    <w:p w:rsidR="003805D5" w:rsidRPr="00D505F5" w:rsidRDefault="003805D5" w:rsidP="003805D5"/>
    <w:p w:rsidR="003805D5" w:rsidRPr="00D505F5" w:rsidRDefault="003805D5" w:rsidP="003805D5">
      <w:pPr>
        <w:sectPr w:rsidR="003805D5" w:rsidRPr="00D505F5" w:rsidSect="00272746">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361" w:left="1134" w:header="567" w:footer="454" w:gutter="0"/>
          <w:cols w:space="708"/>
          <w:titlePg/>
          <w:docGrid w:linePitch="360"/>
        </w:sectPr>
      </w:pPr>
    </w:p>
    <w:p w:rsidR="003805D5" w:rsidRPr="00D505F5" w:rsidRDefault="003805D5" w:rsidP="003805D5">
      <w:pPr>
        <w:pStyle w:val="TableAndChartTitle"/>
      </w:pPr>
      <w:r w:rsidRPr="00D505F5">
        <w:lastRenderedPageBreak/>
        <w:t>Tableau 13.  Budget par programme et par union</w:t>
      </w:r>
    </w:p>
    <w:p w:rsidR="003805D5" w:rsidRPr="00D505F5" w:rsidRDefault="003805D5" w:rsidP="003805D5">
      <w:pPr>
        <w:pStyle w:val="TableAndChartTitleAddText"/>
      </w:pPr>
      <w:r w:rsidRPr="00D505F5">
        <w:t>(en francs suisses)</w:t>
      </w:r>
    </w:p>
    <w:tbl>
      <w:tblPr>
        <w:tblW w:w="14480" w:type="dxa"/>
        <w:tblCellMar>
          <w:left w:w="70" w:type="dxa"/>
          <w:right w:w="70" w:type="dxa"/>
        </w:tblCellMar>
        <w:tblLook w:val="04A0" w:firstRow="1" w:lastRow="0" w:firstColumn="1" w:lastColumn="0" w:noHBand="0" w:noVBand="1"/>
      </w:tblPr>
      <w:tblGrid>
        <w:gridCol w:w="455"/>
        <w:gridCol w:w="5641"/>
        <w:gridCol w:w="1804"/>
        <w:gridCol w:w="1316"/>
        <w:gridCol w:w="1316"/>
        <w:gridCol w:w="1316"/>
        <w:gridCol w:w="1316"/>
        <w:gridCol w:w="1316"/>
      </w:tblGrid>
      <w:tr w:rsidR="00AE6881" w:rsidRPr="00D505F5" w:rsidTr="0034642C">
        <w:trPr>
          <w:trHeight w:val="195"/>
        </w:trPr>
        <w:tc>
          <w:tcPr>
            <w:tcW w:w="455" w:type="dxa"/>
            <w:tcBorders>
              <w:top w:val="nil"/>
              <w:left w:val="nil"/>
              <w:bottom w:val="nil"/>
              <w:right w:val="nil"/>
            </w:tcBorders>
            <w:shd w:val="clear" w:color="000000" w:fill="C7CFD8"/>
            <w:noWrap/>
            <w:vAlign w:val="center"/>
            <w:hideMark/>
          </w:tcPr>
          <w:p w:rsidR="00AE6881" w:rsidRPr="00D505F5" w:rsidRDefault="00AE6881" w:rsidP="00432040">
            <w:pPr>
              <w:spacing w:before="60" w:after="0" w:line="160" w:lineRule="exact"/>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 </w:t>
            </w:r>
          </w:p>
        </w:tc>
        <w:tc>
          <w:tcPr>
            <w:tcW w:w="5641" w:type="dxa"/>
            <w:tcBorders>
              <w:top w:val="nil"/>
              <w:left w:val="nil"/>
              <w:bottom w:val="nil"/>
              <w:right w:val="nil"/>
            </w:tcBorders>
            <w:shd w:val="clear" w:color="000000" w:fill="C7CFD8"/>
            <w:vAlign w:val="center"/>
            <w:hideMark/>
          </w:tcPr>
          <w:p w:rsidR="00AE6881" w:rsidRPr="00D505F5" w:rsidRDefault="00AE6881" w:rsidP="00432040">
            <w:pPr>
              <w:spacing w:before="60" w:after="0" w:line="160" w:lineRule="exact"/>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 </w:t>
            </w:r>
          </w:p>
        </w:tc>
        <w:tc>
          <w:tcPr>
            <w:tcW w:w="1804" w:type="dxa"/>
            <w:tcBorders>
              <w:top w:val="nil"/>
              <w:left w:val="nil"/>
              <w:bottom w:val="nil"/>
              <w:right w:val="single" w:sz="4" w:space="0" w:color="BFBFBF"/>
            </w:tcBorders>
            <w:shd w:val="clear" w:color="000000" w:fill="C7CFD8"/>
            <w:hideMark/>
          </w:tcPr>
          <w:p w:rsidR="00AE6881" w:rsidRPr="00D505F5" w:rsidRDefault="00AE6881" w:rsidP="00432040">
            <w:pPr>
              <w:pStyle w:val="TableText"/>
              <w:spacing w:before="60" w:line="160" w:lineRule="exact"/>
              <w:rPr>
                <w:b/>
              </w:rPr>
            </w:pPr>
            <w:r w:rsidRPr="00D505F5">
              <w:rPr>
                <w:b/>
              </w:rPr>
              <w:t>Unions financées par des contributions</w:t>
            </w:r>
          </w:p>
        </w:tc>
        <w:tc>
          <w:tcPr>
            <w:tcW w:w="1316" w:type="dxa"/>
            <w:tcBorders>
              <w:top w:val="nil"/>
              <w:left w:val="nil"/>
              <w:bottom w:val="nil"/>
              <w:right w:val="single" w:sz="4" w:space="0" w:color="BFBFBF"/>
            </w:tcBorders>
            <w:shd w:val="clear" w:color="000000" w:fill="C7CFD8"/>
            <w:noWrap/>
            <w:hideMark/>
          </w:tcPr>
          <w:p w:rsidR="00AE6881" w:rsidRPr="00D505F5" w:rsidRDefault="00AE6881" w:rsidP="00432040">
            <w:pPr>
              <w:pStyle w:val="TableText"/>
              <w:spacing w:before="60" w:line="160" w:lineRule="exact"/>
              <w:rPr>
                <w:b/>
              </w:rPr>
            </w:pPr>
            <w:r w:rsidRPr="00D505F5">
              <w:rPr>
                <w:b/>
              </w:rPr>
              <w:t>Union du PCT</w:t>
            </w:r>
          </w:p>
        </w:tc>
        <w:tc>
          <w:tcPr>
            <w:tcW w:w="1316" w:type="dxa"/>
            <w:tcBorders>
              <w:top w:val="nil"/>
              <w:left w:val="nil"/>
              <w:bottom w:val="nil"/>
              <w:right w:val="single" w:sz="4" w:space="0" w:color="BFBFBF"/>
            </w:tcBorders>
            <w:shd w:val="clear" w:color="000000" w:fill="C7CFD8"/>
            <w:noWrap/>
            <w:hideMark/>
          </w:tcPr>
          <w:p w:rsidR="00AE6881" w:rsidRPr="00D505F5" w:rsidRDefault="00AE6881" w:rsidP="00432040">
            <w:pPr>
              <w:pStyle w:val="TableText"/>
              <w:spacing w:before="60" w:line="160" w:lineRule="exact"/>
              <w:rPr>
                <w:b/>
              </w:rPr>
            </w:pPr>
            <w:r w:rsidRPr="00D505F5">
              <w:rPr>
                <w:b/>
              </w:rPr>
              <w:t>Union de Madrid</w:t>
            </w:r>
          </w:p>
        </w:tc>
        <w:tc>
          <w:tcPr>
            <w:tcW w:w="1316" w:type="dxa"/>
            <w:tcBorders>
              <w:top w:val="nil"/>
              <w:left w:val="nil"/>
              <w:bottom w:val="nil"/>
              <w:right w:val="single" w:sz="4" w:space="0" w:color="BFBFBF"/>
            </w:tcBorders>
            <w:shd w:val="clear" w:color="000000" w:fill="C7CFD8"/>
            <w:noWrap/>
            <w:hideMark/>
          </w:tcPr>
          <w:p w:rsidR="00AE6881" w:rsidRPr="00D505F5" w:rsidRDefault="00AE6881" w:rsidP="00432040">
            <w:pPr>
              <w:pStyle w:val="TableText"/>
              <w:spacing w:before="60" w:line="160" w:lineRule="exact"/>
              <w:rPr>
                <w:b/>
              </w:rPr>
            </w:pPr>
            <w:r w:rsidRPr="00D505F5">
              <w:rPr>
                <w:b/>
              </w:rPr>
              <w:t xml:space="preserve">Union de </w:t>
            </w:r>
            <w:r w:rsidR="00AD1C27">
              <w:rPr>
                <w:b/>
              </w:rPr>
              <w:t>La Haye</w:t>
            </w:r>
          </w:p>
        </w:tc>
        <w:tc>
          <w:tcPr>
            <w:tcW w:w="1316" w:type="dxa"/>
            <w:tcBorders>
              <w:top w:val="nil"/>
              <w:left w:val="nil"/>
              <w:bottom w:val="nil"/>
              <w:right w:val="single" w:sz="4" w:space="0" w:color="BFBFBF"/>
            </w:tcBorders>
            <w:shd w:val="clear" w:color="000000" w:fill="C7CFD8"/>
            <w:noWrap/>
            <w:hideMark/>
          </w:tcPr>
          <w:p w:rsidR="00AE6881" w:rsidRPr="00D505F5" w:rsidRDefault="00AE6881" w:rsidP="00432040">
            <w:pPr>
              <w:pStyle w:val="TableText"/>
              <w:spacing w:before="60" w:line="160" w:lineRule="exact"/>
              <w:rPr>
                <w:b/>
              </w:rPr>
            </w:pPr>
            <w:r w:rsidRPr="00D505F5">
              <w:rPr>
                <w:b/>
              </w:rPr>
              <w:t>Union de Lisbonne</w:t>
            </w:r>
          </w:p>
        </w:tc>
        <w:tc>
          <w:tcPr>
            <w:tcW w:w="1316" w:type="dxa"/>
            <w:tcBorders>
              <w:top w:val="nil"/>
              <w:left w:val="nil"/>
              <w:bottom w:val="nil"/>
              <w:right w:val="nil"/>
            </w:tcBorders>
            <w:shd w:val="clear" w:color="000000" w:fill="C7CFD8"/>
            <w:hideMark/>
          </w:tcPr>
          <w:p w:rsidR="00AE6881" w:rsidRPr="00D505F5" w:rsidRDefault="00AE6881" w:rsidP="00432040">
            <w:pPr>
              <w:pStyle w:val="TableText"/>
              <w:spacing w:before="60" w:line="160" w:lineRule="exact"/>
              <w:rPr>
                <w:b/>
              </w:rPr>
            </w:pPr>
            <w:r w:rsidRPr="00D505F5">
              <w:rPr>
                <w:b/>
              </w:rPr>
              <w:t>Total</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Droit des brevets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413 140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5 587 398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176 362</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6 176 900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Marques, dessins et modèles industriels et indications géographiques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1 083 600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3 521 700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812 700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5 418 000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3</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Droit d</w:t>
            </w:r>
            <w:r w:rsidR="00AD1C27">
              <w:t>’</w:t>
            </w:r>
            <w:r w:rsidRPr="00D505F5">
              <w:t>auteur et droits connexes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13 997 306</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3 005 973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283 627</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17 286 906</w:t>
            </w:r>
          </w:p>
        </w:tc>
      </w:tr>
      <w:tr w:rsidR="00432040" w:rsidRPr="00D505F5" w:rsidTr="0034642C">
        <w:trPr>
          <w:trHeight w:val="140"/>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4</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Savoirs traditionnels, expressions culturelles traditionnelles et ressources génétiques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7 279 770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7 279 770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5</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Système du PCT</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222 078 589</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222 078 589</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6</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Système de Madrid</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62 172 573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312 232</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66 085</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62 550 890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7</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Centre d</w:t>
            </w:r>
            <w:r w:rsidR="00AD1C27">
              <w:t>’</w:t>
            </w:r>
            <w:r w:rsidRPr="00D505F5">
              <w:t>arbitrage et de médiation de l</w:t>
            </w:r>
            <w:r w:rsidR="00AD1C27">
              <w:t>’</w:t>
            </w:r>
            <w:r w:rsidRPr="00D505F5">
              <w:t>OMPI</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2 326 281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2 197 043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5 944 939</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2 455 518</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12 923 781</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8</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Coordination du Plan d</w:t>
            </w:r>
            <w:r w:rsidR="00AD1C27">
              <w:t>’</w:t>
            </w:r>
            <w:r w:rsidRPr="00D505F5">
              <w:t>action pour le développement</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3 448 831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325 413</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3 774 244</w:t>
            </w:r>
          </w:p>
        </w:tc>
      </w:tr>
      <w:tr w:rsidR="00432040" w:rsidRPr="00D505F5" w:rsidTr="0034642C">
        <w:trPr>
          <w:trHeight w:val="412"/>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9</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Afrique, pays arabes, Asie et Pacifique, pays d</w:t>
            </w:r>
            <w:r w:rsidR="00AD1C27">
              <w:t>’</w:t>
            </w:r>
            <w:r w:rsidRPr="00D505F5">
              <w:t>Amérique latine et des Caraïbes, pays les moins avancés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25 499 754</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3 310 333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682 267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69 590</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29 561 944</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10</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Pays en transition et pays développés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7 066 455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1 337 360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607 165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10 000</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9 020 980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11</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Académie de l</w:t>
            </w:r>
            <w:r w:rsidR="00AD1C27">
              <w:t>’</w:t>
            </w:r>
            <w:r w:rsidRPr="00D505F5">
              <w:t>OMPI</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12 246 363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1 155 499</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13 401 862</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12</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Classifications internationales et normes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661 070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5 141 658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1 469 045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73 452</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7 345 226</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13</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Bases de données mondiales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7 115 278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3 039 723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814 249</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10 969 250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14</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Service d</w:t>
            </w:r>
            <w:r w:rsidR="00AD1C27">
              <w:t>’</w:t>
            </w:r>
            <w:r w:rsidRPr="00D505F5">
              <w:t>accès à l</w:t>
            </w:r>
            <w:r w:rsidR="00AD1C27">
              <w:t>’</w:t>
            </w:r>
            <w:r w:rsidRPr="00D505F5">
              <w:t>information et aux savoirs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6 338 117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1 287 287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236 968</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7 862 372</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15</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Solutions opérationnelles pour les offices de propriété intellectuelle</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en-US"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13 427 550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1 266 950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14 694 500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16</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 xml:space="preserve">Économie et statistiques </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7 006 139</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661 061</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7 667 200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17</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Promotion du respect de la propriété intellectuelle</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4 369 224</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412 256</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4 781 480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18</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Propriété intellectuelle et défis mondiaux</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4 576 120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431 778</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5 007 898</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19</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Communications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15 382 155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1 451 375</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16 833 530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20</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Relations extérieures, partenariats et bureaux extérieurs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en-US"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12 865 498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1 721 001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691 605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25 000</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15 303 104</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21</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Direction générale</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1 316 263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18 286 200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6 073 972</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1 150 991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87 377</w:t>
            </w:r>
          </w:p>
        </w:tc>
        <w:tc>
          <w:tcPr>
            <w:tcW w:w="1316" w:type="dxa"/>
            <w:tcBorders>
              <w:top w:val="nil"/>
              <w:left w:val="nil"/>
              <w:bottom w:val="nil"/>
              <w:right w:val="nil"/>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26 914 802</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22</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Gestion du programme et des ressources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1 817 678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26 012 208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10 699 543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1 966 878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120 662</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40 616 968</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23</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Gestion et mise en valeur des ressources humaines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1 313 722</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18 250 891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6 062 244</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1 148 768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87 208</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26 862 833</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24</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Services d</w:t>
            </w:r>
            <w:r w:rsidR="00AD1C27">
              <w:t>’</w:t>
            </w:r>
            <w:r w:rsidRPr="00D505F5">
              <w:t>appui généraux</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1 966 296</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27 316 788</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9 073 586</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1 719 404</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130 527</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40 206 601</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25</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Technologies de l</w:t>
            </w:r>
            <w:r w:rsidR="00AD1C27">
              <w:t>’</w:t>
            </w:r>
            <w:r w:rsidRPr="00D505F5">
              <w:t>information et de la communication</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2 316 054</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34 099 071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11 614 707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2 284 655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153 745</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50 468 231</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26</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Supervision interne</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253 885</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3 527 106</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1 171 569</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222 007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16 853</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5 191 421</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27</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Services de conférence et services linguistiques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1 833 163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25 467 229</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8 459 233</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1 602 987</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121 690</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37 484 302</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28</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Sécurité de l</w:t>
            </w:r>
            <w:r w:rsidR="00AD1C27">
              <w:t>’</w:t>
            </w:r>
            <w:r w:rsidRPr="00D505F5">
              <w:t>information, des biens et des personnes</w:t>
            </w:r>
          </w:p>
        </w:tc>
        <w:tc>
          <w:tcPr>
            <w:tcW w:w="1804"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1 213 330</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16 856 201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5 598 981</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1 060 982</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80 544</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24 810 038</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30</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Appui aux PME et à la création d</w:t>
            </w:r>
            <w:r w:rsidR="00AD1C27">
              <w:t>’</w:t>
            </w:r>
            <w:r w:rsidRPr="00D505F5">
              <w:t>entreprises</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5 999 712</w:t>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566 100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6 565 812</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31</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 xml:space="preserve">Système de </w:t>
            </w:r>
            <w:r w:rsidR="00AD1C27">
              <w:t>La Haye</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13 214 300</w:t>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13 214 300</w:t>
            </w:r>
          </w:p>
        </w:tc>
      </w:tr>
      <w:tr w:rsidR="00432040" w:rsidRPr="00D505F5" w:rsidTr="0034642C">
        <w:trPr>
          <w:trHeight w:val="217"/>
        </w:trPr>
        <w:tc>
          <w:tcPr>
            <w:tcW w:w="455" w:type="dxa"/>
            <w:tcBorders>
              <w:top w:val="nil"/>
              <w:left w:val="nil"/>
              <w:bottom w:val="nil"/>
              <w:right w:val="nil"/>
            </w:tcBorders>
            <w:shd w:val="clear" w:color="auto" w:fill="auto"/>
            <w:noWrap/>
            <w:hideMark/>
          </w:tcPr>
          <w:p w:rsidR="00432040" w:rsidRPr="00D505F5" w:rsidRDefault="00432040" w:rsidP="00432040">
            <w:pPr>
              <w:spacing w:before="60" w:after="0" w:line="160" w:lineRule="exact"/>
              <w:jc w:val="center"/>
              <w:rPr>
                <w:rFonts w:ascii="Arial Narrow" w:eastAsia="Times New Roman" w:hAnsi="Arial Narrow" w:cs="Times New Roman"/>
                <w:sz w:val="16"/>
                <w:szCs w:val="16"/>
                <w:lang w:eastAsia="fr-CH"/>
              </w:rPr>
            </w:pPr>
            <w:r w:rsidRPr="00D505F5">
              <w:rPr>
                <w:rFonts w:ascii="Arial Narrow" w:eastAsia="Times New Roman" w:hAnsi="Arial Narrow" w:cs="Times New Roman"/>
                <w:sz w:val="16"/>
                <w:szCs w:val="16"/>
                <w:lang w:eastAsia="fr-CH"/>
              </w:rPr>
              <w:t>32</w:t>
            </w:r>
          </w:p>
        </w:tc>
        <w:tc>
          <w:tcPr>
            <w:tcW w:w="5641" w:type="dxa"/>
            <w:tcBorders>
              <w:top w:val="nil"/>
              <w:left w:val="nil"/>
              <w:bottom w:val="nil"/>
              <w:right w:val="nil"/>
            </w:tcBorders>
            <w:shd w:val="clear" w:color="auto" w:fill="auto"/>
            <w:hideMark/>
          </w:tcPr>
          <w:p w:rsidR="00432040" w:rsidRPr="00D505F5" w:rsidRDefault="00432040" w:rsidP="00432040">
            <w:pPr>
              <w:pStyle w:val="TableText"/>
              <w:spacing w:before="60" w:line="160" w:lineRule="exact"/>
            </w:pPr>
            <w:r w:rsidRPr="00D505F5">
              <w:t>Système de Lisbonne</w:t>
            </w:r>
          </w:p>
        </w:tc>
        <w:tc>
          <w:tcPr>
            <w:tcW w:w="1804"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AF4785" w:rsidP="00432040">
            <w:pPr>
              <w:spacing w:before="60" w:after="0" w:line="160" w:lineRule="exact"/>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noBreakHyphen/>
            </w:r>
          </w:p>
        </w:tc>
        <w:tc>
          <w:tcPr>
            <w:tcW w:w="1316" w:type="dxa"/>
            <w:tcBorders>
              <w:top w:val="nil"/>
              <w:left w:val="nil"/>
              <w:bottom w:val="nil"/>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1 419 900</w:t>
            </w:r>
          </w:p>
        </w:tc>
        <w:tc>
          <w:tcPr>
            <w:tcW w:w="1316" w:type="dxa"/>
            <w:tcBorders>
              <w:top w:val="nil"/>
              <w:left w:val="nil"/>
              <w:bottom w:val="nil"/>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1 419 900</w:t>
            </w:r>
          </w:p>
        </w:tc>
      </w:tr>
      <w:tr w:rsidR="00432040" w:rsidRPr="00D505F5" w:rsidTr="0034642C">
        <w:trPr>
          <w:trHeight w:val="217"/>
        </w:trPr>
        <w:tc>
          <w:tcPr>
            <w:tcW w:w="455" w:type="dxa"/>
            <w:tcBorders>
              <w:top w:val="nil"/>
              <w:left w:val="nil"/>
              <w:bottom w:val="single" w:sz="4" w:space="0" w:color="BFBFBF"/>
              <w:right w:val="nil"/>
            </w:tcBorders>
            <w:shd w:val="clear" w:color="auto" w:fill="auto"/>
            <w:hideMark/>
          </w:tcPr>
          <w:p w:rsidR="00432040" w:rsidRPr="00D505F5" w:rsidRDefault="00432040" w:rsidP="00432040">
            <w:pPr>
              <w:spacing w:before="60" w:after="0" w:line="160" w:lineRule="exact"/>
              <w:jc w:val="center"/>
              <w:rPr>
                <w:rFonts w:ascii="Arial Narrow" w:eastAsia="Times New Roman" w:hAnsi="Arial Narrow" w:cs="Times New Roman"/>
                <w:color w:val="FFFFFF"/>
                <w:sz w:val="16"/>
                <w:szCs w:val="16"/>
                <w:lang w:eastAsia="fr-CH"/>
              </w:rPr>
            </w:pPr>
            <w:r w:rsidRPr="00D505F5">
              <w:rPr>
                <w:rFonts w:ascii="Arial Narrow" w:eastAsia="Times New Roman" w:hAnsi="Arial Narrow" w:cs="Times New Roman"/>
                <w:color w:val="FFFFFF"/>
                <w:sz w:val="16"/>
                <w:szCs w:val="16"/>
                <w:lang w:eastAsia="fr-CH"/>
              </w:rPr>
              <w:t>UN</w:t>
            </w:r>
          </w:p>
        </w:tc>
        <w:tc>
          <w:tcPr>
            <w:tcW w:w="5641" w:type="dxa"/>
            <w:tcBorders>
              <w:top w:val="nil"/>
              <w:left w:val="nil"/>
              <w:bottom w:val="single" w:sz="4" w:space="0" w:color="BFBFBF"/>
              <w:right w:val="nil"/>
            </w:tcBorders>
            <w:shd w:val="clear" w:color="auto" w:fill="auto"/>
            <w:hideMark/>
          </w:tcPr>
          <w:p w:rsidR="00432040" w:rsidRPr="00D505F5" w:rsidRDefault="00432040" w:rsidP="00432040">
            <w:pPr>
              <w:pStyle w:val="TableText"/>
              <w:spacing w:before="60" w:line="160" w:lineRule="exact"/>
            </w:pPr>
            <w:r w:rsidRPr="00D505F5">
              <w:t>Non affecté</w:t>
            </w:r>
          </w:p>
        </w:tc>
        <w:tc>
          <w:tcPr>
            <w:tcW w:w="1804" w:type="dxa"/>
            <w:tcBorders>
              <w:top w:val="nil"/>
              <w:left w:val="nil"/>
              <w:bottom w:val="single" w:sz="4" w:space="0" w:color="BFBFBF"/>
              <w:right w:val="single" w:sz="4" w:space="0" w:color="BFBFBF"/>
            </w:tcBorders>
            <w:shd w:val="clear" w:color="auto" w:fill="auto"/>
            <w:noWrap/>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719 263</w:t>
            </w:r>
          </w:p>
        </w:tc>
        <w:tc>
          <w:tcPr>
            <w:tcW w:w="1316" w:type="dxa"/>
            <w:tcBorders>
              <w:top w:val="nil"/>
              <w:left w:val="nil"/>
              <w:bottom w:val="single" w:sz="4" w:space="0" w:color="BFBFBF"/>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9 992 362</w:t>
            </w:r>
          </w:p>
        </w:tc>
        <w:tc>
          <w:tcPr>
            <w:tcW w:w="1316" w:type="dxa"/>
            <w:tcBorders>
              <w:top w:val="nil"/>
              <w:left w:val="nil"/>
              <w:bottom w:val="single" w:sz="4" w:space="0" w:color="BFBFBF"/>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3 319 078</w:t>
            </w:r>
          </w:p>
        </w:tc>
        <w:tc>
          <w:tcPr>
            <w:tcW w:w="1316" w:type="dxa"/>
            <w:tcBorders>
              <w:top w:val="nil"/>
              <w:left w:val="nil"/>
              <w:bottom w:val="single" w:sz="4" w:space="0" w:color="BFBFBF"/>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628 951</w:t>
            </w:r>
          </w:p>
        </w:tc>
        <w:tc>
          <w:tcPr>
            <w:tcW w:w="1316" w:type="dxa"/>
            <w:tcBorders>
              <w:top w:val="nil"/>
              <w:left w:val="nil"/>
              <w:bottom w:val="single" w:sz="4" w:space="0" w:color="BFBFBF"/>
              <w:right w:val="single" w:sz="4" w:space="0" w:color="BFBFBF"/>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47 746</w:t>
            </w:r>
          </w:p>
        </w:tc>
        <w:tc>
          <w:tcPr>
            <w:tcW w:w="1316" w:type="dxa"/>
            <w:tcBorders>
              <w:top w:val="nil"/>
              <w:left w:val="nil"/>
              <w:bottom w:val="single" w:sz="4" w:space="0" w:color="BFBFBF"/>
              <w:right w:val="nil"/>
            </w:tcBorders>
            <w:shd w:val="clear" w:color="auto" w:fill="auto"/>
            <w:noWrap/>
            <w:hideMark/>
          </w:tcPr>
          <w:p w:rsidR="00432040" w:rsidRPr="00432040" w:rsidRDefault="00432040" w:rsidP="00432040">
            <w:pPr>
              <w:spacing w:before="60" w:after="0" w:line="160" w:lineRule="exact"/>
              <w:jc w:val="right"/>
              <w:rPr>
                <w:rFonts w:ascii="Arial Narrow" w:eastAsia="Times New Roman" w:hAnsi="Arial Narrow" w:cs="Times New Roman"/>
                <w:sz w:val="16"/>
                <w:szCs w:val="16"/>
                <w:lang w:val="fr-CH" w:eastAsia="fr-CH"/>
              </w:rPr>
            </w:pPr>
            <w:r w:rsidRPr="00432040">
              <w:rPr>
                <w:rFonts w:ascii="Arial Narrow" w:eastAsia="Times New Roman" w:hAnsi="Arial Narrow" w:cs="Times New Roman"/>
                <w:sz w:val="16"/>
                <w:szCs w:val="16"/>
                <w:lang w:val="fr-CH" w:eastAsia="fr-CH"/>
              </w:rPr>
              <w:t>14 707 400</w:t>
            </w:r>
          </w:p>
        </w:tc>
      </w:tr>
      <w:tr w:rsidR="00432040" w:rsidRPr="00D505F5" w:rsidTr="0034642C">
        <w:trPr>
          <w:trHeight w:val="249"/>
        </w:trPr>
        <w:tc>
          <w:tcPr>
            <w:tcW w:w="455" w:type="dxa"/>
            <w:tcBorders>
              <w:top w:val="single" w:sz="4" w:space="0" w:color="BFBFBF"/>
              <w:left w:val="nil"/>
              <w:bottom w:val="single" w:sz="18" w:space="0" w:color="BFBFBF"/>
              <w:right w:val="nil"/>
            </w:tcBorders>
            <w:shd w:val="clear" w:color="auto" w:fill="auto"/>
            <w:hideMark/>
          </w:tcPr>
          <w:p w:rsidR="00432040" w:rsidRPr="00D505F5" w:rsidRDefault="00432040" w:rsidP="00432040">
            <w:pPr>
              <w:spacing w:before="60" w:after="0" w:line="160" w:lineRule="exact"/>
              <w:rPr>
                <w:rFonts w:ascii="Arial Narrow" w:eastAsia="Times New Roman" w:hAnsi="Arial Narrow" w:cs="Times New Roman"/>
                <w:b/>
                <w:bCs/>
                <w:sz w:val="16"/>
                <w:szCs w:val="16"/>
                <w:lang w:eastAsia="fr-CH"/>
              </w:rPr>
            </w:pPr>
            <w:r w:rsidRPr="00D505F5">
              <w:rPr>
                <w:rFonts w:ascii="Arial Narrow" w:eastAsia="Times New Roman" w:hAnsi="Arial Narrow" w:cs="Times New Roman"/>
                <w:b/>
                <w:bCs/>
                <w:sz w:val="16"/>
                <w:szCs w:val="16"/>
                <w:lang w:eastAsia="fr-CH"/>
              </w:rPr>
              <w:t> </w:t>
            </w:r>
          </w:p>
        </w:tc>
        <w:tc>
          <w:tcPr>
            <w:tcW w:w="5641" w:type="dxa"/>
            <w:tcBorders>
              <w:top w:val="single" w:sz="4" w:space="0" w:color="BFBFBF"/>
              <w:left w:val="nil"/>
              <w:bottom w:val="single" w:sz="18" w:space="0" w:color="BFBFBF"/>
              <w:right w:val="nil"/>
            </w:tcBorders>
            <w:shd w:val="clear" w:color="auto" w:fill="auto"/>
            <w:hideMark/>
          </w:tcPr>
          <w:p w:rsidR="00432040" w:rsidRPr="00D505F5" w:rsidRDefault="00432040" w:rsidP="00432040">
            <w:pPr>
              <w:spacing w:before="60" w:after="0" w:line="160" w:lineRule="exact"/>
              <w:rPr>
                <w:rFonts w:ascii="Arial Narrow" w:eastAsia="Times New Roman" w:hAnsi="Arial Narrow" w:cs="Times New Roman"/>
                <w:b/>
                <w:bCs/>
                <w:sz w:val="16"/>
                <w:szCs w:val="16"/>
                <w:lang w:eastAsia="fr-CH"/>
              </w:rPr>
            </w:pPr>
            <w:r w:rsidRPr="00D505F5">
              <w:rPr>
                <w:rFonts w:ascii="Arial Narrow" w:eastAsia="Times New Roman" w:hAnsi="Arial Narrow" w:cs="Times New Roman"/>
                <w:b/>
                <w:bCs/>
                <w:sz w:val="16"/>
                <w:szCs w:val="16"/>
                <w:lang w:eastAsia="fr-CH"/>
              </w:rPr>
              <w:t xml:space="preserve"> TOTAL </w:t>
            </w:r>
          </w:p>
        </w:tc>
        <w:tc>
          <w:tcPr>
            <w:tcW w:w="1804" w:type="dxa"/>
            <w:tcBorders>
              <w:top w:val="single" w:sz="4" w:space="0" w:color="BFBFBF"/>
              <w:left w:val="nil"/>
              <w:bottom w:val="single" w:sz="18" w:space="0" w:color="BFBFBF"/>
              <w:right w:val="single" w:sz="4" w:space="0" w:color="BFBFBF"/>
            </w:tcBorders>
            <w:shd w:val="clear" w:color="auto" w:fill="auto"/>
            <w:hideMark/>
          </w:tcPr>
          <w:p w:rsidR="00432040" w:rsidRPr="00432040" w:rsidRDefault="00432040" w:rsidP="00432040">
            <w:pPr>
              <w:spacing w:before="60" w:after="0" w:line="160" w:lineRule="exact"/>
              <w:ind w:firstLineChars="100" w:firstLine="160"/>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38 510 821</w:t>
            </w:r>
          </w:p>
        </w:tc>
        <w:tc>
          <w:tcPr>
            <w:tcW w:w="1316" w:type="dxa"/>
            <w:tcBorders>
              <w:top w:val="single" w:sz="4" w:space="0" w:color="BFBFBF"/>
              <w:left w:val="nil"/>
              <w:bottom w:val="single" w:sz="18" w:space="0" w:color="BFBFBF"/>
              <w:right w:val="single" w:sz="4" w:space="0" w:color="BFBFBF"/>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543 159 914</w:t>
            </w:r>
          </w:p>
        </w:tc>
        <w:tc>
          <w:tcPr>
            <w:tcW w:w="1316" w:type="dxa"/>
            <w:tcBorders>
              <w:top w:val="single" w:sz="4" w:space="0" w:color="BFBFBF"/>
              <w:left w:val="nil"/>
              <w:bottom w:val="single" w:sz="18" w:space="0" w:color="BFBFBF"/>
              <w:right w:val="single" w:sz="4" w:space="0" w:color="BFBFBF"/>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152 607 293</w:t>
            </w:r>
          </w:p>
        </w:tc>
        <w:tc>
          <w:tcPr>
            <w:tcW w:w="1316" w:type="dxa"/>
            <w:tcBorders>
              <w:top w:val="single" w:sz="4" w:space="0" w:color="BFBFBF"/>
              <w:left w:val="nil"/>
              <w:bottom w:val="single" w:sz="18" w:space="0" w:color="BFBFBF"/>
              <w:right w:val="single" w:sz="4" w:space="0" w:color="BFBFBF"/>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31 686 080</w:t>
            </w:r>
          </w:p>
        </w:tc>
        <w:tc>
          <w:tcPr>
            <w:tcW w:w="1316" w:type="dxa"/>
            <w:tcBorders>
              <w:top w:val="single" w:sz="4" w:space="0" w:color="BFBFBF"/>
              <w:left w:val="nil"/>
              <w:bottom w:val="single" w:sz="18" w:space="0" w:color="BFBFBF"/>
              <w:right w:val="single" w:sz="4" w:space="0" w:color="BFBFBF"/>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2 436 926</w:t>
            </w:r>
          </w:p>
        </w:tc>
        <w:tc>
          <w:tcPr>
            <w:tcW w:w="1316" w:type="dxa"/>
            <w:tcBorders>
              <w:top w:val="single" w:sz="4" w:space="0" w:color="BFBFBF"/>
              <w:left w:val="nil"/>
              <w:bottom w:val="single" w:sz="18" w:space="0" w:color="BFBFBF"/>
              <w:right w:val="nil"/>
            </w:tcBorders>
            <w:shd w:val="clear" w:color="auto" w:fill="auto"/>
            <w:hideMark/>
          </w:tcPr>
          <w:p w:rsidR="00432040" w:rsidRPr="00432040" w:rsidRDefault="00432040" w:rsidP="00432040">
            <w:pPr>
              <w:spacing w:before="60" w:after="0" w:line="160" w:lineRule="exact"/>
              <w:jc w:val="right"/>
              <w:rPr>
                <w:rFonts w:ascii="Arial Narrow" w:eastAsia="Times New Roman" w:hAnsi="Arial Narrow" w:cs="Times New Roman"/>
                <w:b/>
                <w:bCs/>
                <w:sz w:val="16"/>
                <w:szCs w:val="16"/>
                <w:lang w:val="fr-CH" w:eastAsia="fr-CH"/>
              </w:rPr>
            </w:pPr>
            <w:r w:rsidRPr="00432040">
              <w:rPr>
                <w:rFonts w:ascii="Arial Narrow" w:eastAsia="Times New Roman" w:hAnsi="Arial Narrow" w:cs="Times New Roman"/>
                <w:b/>
                <w:bCs/>
                <w:sz w:val="16"/>
                <w:szCs w:val="16"/>
                <w:lang w:val="fr-CH" w:eastAsia="fr-CH"/>
              </w:rPr>
              <w:t>768 401 034</w:t>
            </w:r>
          </w:p>
        </w:tc>
      </w:tr>
    </w:tbl>
    <w:p w:rsidR="007047E4" w:rsidRPr="00B23124" w:rsidRDefault="007047E4" w:rsidP="00432040">
      <w:pPr>
        <w:rPr>
          <w:rFonts w:asciiTheme="majorHAnsi" w:hAnsiTheme="majorHAnsi" w:cstheme="majorHAnsi"/>
        </w:rPr>
      </w:pPr>
    </w:p>
    <w:sectPr w:rsidR="007047E4" w:rsidRPr="00B23124" w:rsidSect="00432040">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1134" w:left="1134"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C7" w:rsidRDefault="00F808C7" w:rsidP="005F4C42">
      <w:pPr>
        <w:spacing w:after="0"/>
      </w:pPr>
      <w:r>
        <w:separator/>
      </w:r>
    </w:p>
    <w:p w:rsidR="00F808C7" w:rsidRDefault="00F808C7"/>
  </w:endnote>
  <w:endnote w:type="continuationSeparator" w:id="0">
    <w:p w:rsidR="00F808C7" w:rsidRDefault="00F808C7" w:rsidP="005F4C42">
      <w:pPr>
        <w:spacing w:after="0"/>
      </w:pPr>
      <w:r>
        <w:continuationSeparator/>
      </w:r>
    </w:p>
    <w:p w:rsidR="00F808C7" w:rsidRDefault="00F808C7"/>
  </w:endnote>
  <w:endnote w:type="continuationNotice" w:id="1">
    <w:p w:rsidR="00F808C7" w:rsidRDefault="00F808C7">
      <w:pPr>
        <w:spacing w:after="0" w:line="240" w:lineRule="auto"/>
      </w:pPr>
    </w:p>
    <w:p w:rsidR="00F808C7" w:rsidRDefault="00F80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C7" w:rsidRDefault="00F808C7" w:rsidP="00221B3F">
    <w:pPr>
      <w:pStyle w:val="Footer"/>
      <w:jc w:val="center"/>
    </w:pPr>
    <w:r>
      <w:fldChar w:fldCharType="begin"/>
    </w:r>
    <w:r>
      <w:instrText xml:space="preserve"> PAGE   \* MERGEFORMAT </w:instrText>
    </w:r>
    <w:r>
      <w:fldChar w:fldCharType="separate"/>
    </w:r>
    <w:r w:rsidR="0053629C">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C7" w:rsidRDefault="00F808C7" w:rsidP="006F44D7">
    <w:pPr>
      <w:pStyle w:val="Footer"/>
      <w:jc w:val="center"/>
    </w:pPr>
    <w:r>
      <w:fldChar w:fldCharType="begin"/>
    </w:r>
    <w:r>
      <w:instrText xml:space="preserve"> PAGE   \* MERGEFORMAT </w:instrText>
    </w:r>
    <w:r>
      <w:fldChar w:fldCharType="separate"/>
    </w:r>
    <w:r w:rsidR="0053629C">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746" w:rsidRDefault="00272746" w:rsidP="00272746">
    <w:pPr>
      <w:pStyle w:val="Footer"/>
      <w:jc w:val="center"/>
    </w:pPr>
    <w:r>
      <w:fldChar w:fldCharType="begin"/>
    </w:r>
    <w:r>
      <w:instrText xml:space="preserve"> PAGE   \* MERGEFORMAT </w:instrText>
    </w:r>
    <w:r>
      <w:fldChar w:fldCharType="separate"/>
    </w:r>
    <w:r w:rsidR="0053629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C7" w:rsidRDefault="00F808C7" w:rsidP="00221B3F">
    <w:pPr>
      <w:pStyle w:val="Footer"/>
      <w:jc w:val="center"/>
    </w:pPr>
    <w:r>
      <w:fldChar w:fldCharType="begin"/>
    </w:r>
    <w:r>
      <w:instrText xml:space="preserve"> PAGE   \* MERGEFORMAT </w:instrText>
    </w:r>
    <w:r>
      <w:fldChar w:fldCharType="separate"/>
    </w:r>
    <w:r w:rsidR="00432040">
      <w:rPr>
        <w:noProof/>
      </w:rPr>
      <w:t>84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C7" w:rsidRDefault="00F808C7" w:rsidP="00201628">
    <w:pPr>
      <w:pStyle w:val="Footer"/>
      <w:jc w:val="center"/>
    </w:pPr>
    <w:r>
      <w:fldChar w:fldCharType="begin"/>
    </w:r>
    <w:r>
      <w:instrText xml:space="preserve"> PAGE   \* MERGEFORMAT </w:instrText>
    </w:r>
    <w:r>
      <w:fldChar w:fldCharType="separate"/>
    </w:r>
    <w:r w:rsidR="00432040">
      <w:rPr>
        <w:noProof/>
      </w:rPr>
      <w:t>13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746" w:rsidRDefault="00272746" w:rsidP="00272746">
    <w:pPr>
      <w:pStyle w:val="Footer"/>
      <w:jc w:val="center"/>
    </w:pPr>
    <w:r>
      <w:fldChar w:fldCharType="begin"/>
    </w:r>
    <w:r>
      <w:instrText xml:space="preserve"> PAGE   \* MERGEFORMAT </w:instrText>
    </w:r>
    <w:r>
      <w:fldChar w:fldCharType="separate"/>
    </w:r>
    <w:r w:rsidR="0053629C">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C7" w:rsidRDefault="00F808C7" w:rsidP="005F4C42">
      <w:pPr>
        <w:spacing w:after="0"/>
      </w:pPr>
      <w:r>
        <w:separator/>
      </w:r>
    </w:p>
    <w:p w:rsidR="00F808C7" w:rsidRDefault="00F808C7"/>
  </w:footnote>
  <w:footnote w:type="continuationSeparator" w:id="0">
    <w:p w:rsidR="00F808C7" w:rsidRDefault="00F808C7" w:rsidP="005F4C42">
      <w:pPr>
        <w:spacing w:after="0"/>
      </w:pPr>
      <w:r>
        <w:continuationSeparator/>
      </w:r>
    </w:p>
    <w:p w:rsidR="00F808C7" w:rsidRDefault="00F808C7"/>
  </w:footnote>
  <w:footnote w:type="continuationNotice" w:id="1">
    <w:p w:rsidR="00F808C7" w:rsidRDefault="00F808C7">
      <w:pPr>
        <w:spacing w:after="0" w:line="240" w:lineRule="auto"/>
      </w:pPr>
    </w:p>
    <w:p w:rsidR="00F808C7" w:rsidRDefault="00F808C7"/>
  </w:footnote>
  <w:footnote w:id="2">
    <w:p w:rsidR="00F808C7" w:rsidRPr="003743C1" w:rsidRDefault="00F808C7" w:rsidP="008F35D4">
      <w:pPr>
        <w:pStyle w:val="FootnoteText"/>
      </w:pPr>
      <w:r w:rsidRPr="003743C1">
        <w:rPr>
          <w:rStyle w:val="FootnoteReference"/>
        </w:rPr>
        <w:footnoteRef/>
      </w:r>
      <w:r w:rsidRPr="003743C1">
        <w:t xml:space="preserve"> La part des ressources dans le cadre du Programme 6 en soutenant les opérations du système de </w:t>
      </w:r>
      <w:r w:rsidR="008D6714">
        <w:t>La Haye</w:t>
      </w:r>
      <w:r w:rsidRPr="003743C1">
        <w:t xml:space="preserve"> est attribuée à l</w:t>
      </w:r>
      <w:r w:rsidR="008D6714">
        <w:t>’</w:t>
      </w:r>
      <w:r w:rsidRPr="003743C1">
        <w:t xml:space="preserve">Union de </w:t>
      </w:r>
      <w:r w:rsidR="008D6714">
        <w:t>La Haye</w:t>
      </w:r>
      <w:r w:rsidRPr="003743C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394"/>
    </w:tblGrid>
    <w:tr w:rsidR="00F808C7" w:rsidRPr="00EE4A70" w:rsidTr="00A5162D">
      <w:tc>
        <w:tcPr>
          <w:tcW w:w="5245" w:type="dxa"/>
        </w:tcPr>
        <w:p w:rsidR="00432040" w:rsidRPr="00A5162D" w:rsidRDefault="00432040" w:rsidP="00432040">
          <w:pPr>
            <w:pStyle w:val="Header"/>
            <w:rPr>
              <w:caps/>
            </w:rPr>
          </w:pPr>
          <w:r>
            <w:rPr>
              <w:caps/>
              <w:noProof/>
            </w:rPr>
            <w:t>ANNEXES</w:t>
          </w:r>
        </w:p>
        <w:p w:rsidR="00F808C7" w:rsidRDefault="00432040" w:rsidP="00432040">
          <w:pPr>
            <w:pStyle w:val="Header"/>
          </w:pPr>
          <w:r>
            <w:rPr>
              <w:noProof/>
            </w:rPr>
            <w:t>ANNEXE III</w:t>
          </w:r>
        </w:p>
      </w:tc>
      <w:tc>
        <w:tcPr>
          <w:tcW w:w="4394" w:type="dxa"/>
        </w:tcPr>
        <w:p w:rsidR="00F808C7" w:rsidRPr="00B801C0" w:rsidRDefault="00F808C7" w:rsidP="00C14FB8">
          <w:pPr>
            <w:pStyle w:val="Header"/>
            <w:jc w:val="right"/>
            <w:rPr>
              <w:b/>
            </w:rPr>
          </w:pPr>
          <w:r w:rsidRPr="00B801C0">
            <w:rPr>
              <w:b/>
            </w:rPr>
            <w:t>Organisation Mondiale de la Propriété Intellectuelle</w:t>
          </w:r>
        </w:p>
        <w:p w:rsidR="00F808C7" w:rsidRDefault="001D4966" w:rsidP="001D4966">
          <w:pPr>
            <w:pStyle w:val="Header"/>
            <w:jc w:val="right"/>
          </w:pPr>
          <w:r>
            <w:t>P</w:t>
          </w:r>
          <w:r w:rsidR="00F808C7">
            <w:t xml:space="preserve">rogramme et budget </w:t>
          </w:r>
          <w:r>
            <w:t xml:space="preserve">pour </w:t>
          </w:r>
          <w:r w:rsidR="00F808C7">
            <w:t>2020-2021</w:t>
          </w:r>
        </w:p>
        <w:p w:rsidR="001D4966" w:rsidRPr="00267FE2" w:rsidRDefault="001D4966" w:rsidP="001D4966">
          <w:pPr>
            <w:pStyle w:val="Header"/>
            <w:jc w:val="right"/>
          </w:pPr>
        </w:p>
      </w:tc>
    </w:tr>
  </w:tbl>
  <w:p w:rsidR="00F808C7" w:rsidRPr="00267FE2" w:rsidRDefault="00F808C7" w:rsidP="00221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394"/>
    </w:tblGrid>
    <w:tr w:rsidR="00F808C7" w:rsidRPr="00EE4A70" w:rsidTr="00A5162D">
      <w:tc>
        <w:tcPr>
          <w:tcW w:w="5245" w:type="dxa"/>
        </w:tcPr>
        <w:p w:rsidR="00F808C7" w:rsidRPr="00A5162D" w:rsidRDefault="00432040" w:rsidP="002D669B">
          <w:pPr>
            <w:pStyle w:val="Header"/>
            <w:rPr>
              <w:caps/>
            </w:rPr>
          </w:pPr>
          <w:r>
            <w:rPr>
              <w:caps/>
              <w:noProof/>
            </w:rPr>
            <w:t>ANNEXES</w:t>
          </w:r>
        </w:p>
        <w:p w:rsidR="00F808C7" w:rsidRDefault="00432040" w:rsidP="002D669B">
          <w:pPr>
            <w:pStyle w:val="Header"/>
          </w:pPr>
          <w:r>
            <w:rPr>
              <w:noProof/>
            </w:rPr>
            <w:t>ANNEXE III</w:t>
          </w:r>
        </w:p>
      </w:tc>
      <w:tc>
        <w:tcPr>
          <w:tcW w:w="4394" w:type="dxa"/>
        </w:tcPr>
        <w:p w:rsidR="00F808C7" w:rsidRPr="00B801C0" w:rsidRDefault="00F808C7" w:rsidP="00C14FB8">
          <w:pPr>
            <w:pStyle w:val="Header"/>
            <w:jc w:val="right"/>
            <w:rPr>
              <w:b/>
            </w:rPr>
          </w:pPr>
          <w:r w:rsidRPr="00B801C0">
            <w:rPr>
              <w:b/>
            </w:rPr>
            <w:t>Organisation Mondiale de la Propriété Intellectuelle</w:t>
          </w:r>
        </w:p>
        <w:p w:rsidR="00F808C7" w:rsidRDefault="001D4966" w:rsidP="001D4966">
          <w:pPr>
            <w:pStyle w:val="Header"/>
            <w:jc w:val="right"/>
          </w:pPr>
          <w:r>
            <w:t>P</w:t>
          </w:r>
          <w:r w:rsidR="00F808C7">
            <w:t xml:space="preserve">rogramme et budget </w:t>
          </w:r>
          <w:r>
            <w:t xml:space="preserve">pour </w:t>
          </w:r>
          <w:r w:rsidR="00F808C7">
            <w:t>2020-2021</w:t>
          </w:r>
        </w:p>
        <w:p w:rsidR="001D4966" w:rsidRPr="00267FE2" w:rsidRDefault="001D4966" w:rsidP="001D4966">
          <w:pPr>
            <w:pStyle w:val="Header"/>
            <w:jc w:val="right"/>
          </w:pPr>
        </w:p>
      </w:tc>
    </w:tr>
  </w:tbl>
  <w:p w:rsidR="00F808C7" w:rsidRPr="00267FE2" w:rsidRDefault="00F808C7" w:rsidP="00AE6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394"/>
    </w:tblGrid>
    <w:tr w:rsidR="00272746" w:rsidRPr="00EE4A70" w:rsidTr="00A5162D">
      <w:tc>
        <w:tcPr>
          <w:tcW w:w="5245" w:type="dxa"/>
        </w:tcPr>
        <w:p w:rsidR="001D4966" w:rsidRPr="00A5162D" w:rsidRDefault="001D4966" w:rsidP="001D4966">
          <w:pPr>
            <w:pStyle w:val="Header"/>
            <w:rPr>
              <w:caps/>
            </w:rPr>
          </w:pPr>
          <w:r>
            <w:rPr>
              <w:caps/>
              <w:noProof/>
            </w:rPr>
            <w:t>ANNEXES</w:t>
          </w:r>
        </w:p>
        <w:p w:rsidR="00272746" w:rsidRDefault="001D4966" w:rsidP="001D4966">
          <w:pPr>
            <w:pStyle w:val="Header"/>
          </w:pPr>
          <w:r>
            <w:rPr>
              <w:noProof/>
            </w:rPr>
            <w:t>ANNEXE III</w:t>
          </w:r>
        </w:p>
      </w:tc>
      <w:tc>
        <w:tcPr>
          <w:tcW w:w="4394" w:type="dxa"/>
        </w:tcPr>
        <w:p w:rsidR="00272746" w:rsidRPr="00B801C0" w:rsidRDefault="00272746" w:rsidP="00C14FB8">
          <w:pPr>
            <w:pStyle w:val="Header"/>
            <w:jc w:val="right"/>
            <w:rPr>
              <w:b/>
            </w:rPr>
          </w:pPr>
          <w:r w:rsidRPr="00B801C0">
            <w:rPr>
              <w:b/>
            </w:rPr>
            <w:t>Organisation Mondiale de la Propriété Intellectuelle</w:t>
          </w:r>
        </w:p>
        <w:p w:rsidR="00272746" w:rsidRDefault="001D4966" w:rsidP="001D4966">
          <w:pPr>
            <w:pStyle w:val="Header"/>
            <w:jc w:val="right"/>
          </w:pPr>
          <w:r>
            <w:t>P</w:t>
          </w:r>
          <w:r w:rsidR="00272746">
            <w:t>rogramme et budget</w:t>
          </w:r>
          <w:r>
            <w:t xml:space="preserve"> pour </w:t>
          </w:r>
          <w:r w:rsidR="00272746">
            <w:t>2020-2021</w:t>
          </w:r>
        </w:p>
        <w:p w:rsidR="001D4966" w:rsidRPr="00267FE2" w:rsidRDefault="001D4966" w:rsidP="001D4966">
          <w:pPr>
            <w:pStyle w:val="Header"/>
            <w:jc w:val="right"/>
          </w:pPr>
        </w:p>
      </w:tc>
    </w:tr>
  </w:tbl>
  <w:p w:rsidR="00272746" w:rsidRPr="00267FE2" w:rsidRDefault="00272746" w:rsidP="002727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61"/>
      <w:gridCol w:w="6209"/>
    </w:tblGrid>
    <w:tr w:rsidR="00F808C7" w:rsidRPr="00EE4A70" w:rsidTr="003D5910">
      <w:tc>
        <w:tcPr>
          <w:tcW w:w="5727" w:type="dxa"/>
        </w:tcPr>
        <w:p w:rsidR="00F808C7" w:rsidRDefault="00F808C7" w:rsidP="002D669B">
          <w:pPr>
            <w:pStyle w:val="Header"/>
          </w:pPr>
          <w:r>
            <w:rPr>
              <w:noProof/>
            </w:rPr>
            <w:fldChar w:fldCharType="begin"/>
          </w:r>
          <w:r>
            <w:rPr>
              <w:noProof/>
            </w:rPr>
            <w:instrText xml:space="preserve"> STYLEREF  "SectionTitleNumb"  \* MERGEFORMAT </w:instrText>
          </w:r>
          <w:r>
            <w:rPr>
              <w:noProof/>
            </w:rPr>
            <w:fldChar w:fldCharType="separate"/>
          </w:r>
          <w:r w:rsidR="00432040">
            <w:rPr>
              <w:noProof/>
            </w:rPr>
            <w:t>APPENDICES</w:t>
          </w:r>
          <w:r>
            <w:rPr>
              <w:noProof/>
            </w:rPr>
            <w:fldChar w:fldCharType="end"/>
          </w:r>
        </w:p>
        <w:p w:rsidR="00F808C7" w:rsidRDefault="00F808C7" w:rsidP="002D669B">
          <w:pPr>
            <w:pStyle w:val="Header"/>
          </w:pPr>
          <w:r>
            <w:fldChar w:fldCharType="begin"/>
          </w:r>
          <w:r>
            <w:instrText xml:space="preserve"> STYLEREF  </w:instrText>
          </w:r>
          <w:r w:rsidRPr="00A53F69">
            <w:instrText>AppendixTitle</w:instrText>
          </w:r>
          <w:r>
            <w:instrText xml:space="preserve"> \n  \* MERGEFORMAT </w:instrText>
          </w:r>
          <w:r>
            <w:fldChar w:fldCharType="separate"/>
          </w:r>
          <w:r w:rsidR="00432040" w:rsidRPr="00432040">
            <w:rPr>
              <w:b/>
              <w:bCs/>
              <w:noProof/>
              <w:lang w:val="en-US"/>
            </w:rPr>
            <w:t>APPENDICE C</w:t>
          </w:r>
          <w:r>
            <w:rPr>
              <w:noProof/>
            </w:rPr>
            <w:fldChar w:fldCharType="end"/>
          </w:r>
        </w:p>
      </w:tc>
      <w:tc>
        <w:tcPr>
          <w:tcW w:w="4253" w:type="dxa"/>
        </w:tcPr>
        <w:p w:rsidR="00F808C7" w:rsidRPr="00B801C0" w:rsidRDefault="00F808C7" w:rsidP="004C334C">
          <w:pPr>
            <w:pStyle w:val="Header"/>
            <w:jc w:val="right"/>
            <w:rPr>
              <w:b/>
            </w:rPr>
          </w:pPr>
          <w:r w:rsidRPr="00B801C0">
            <w:rPr>
              <w:b/>
            </w:rPr>
            <w:t>Organisation Mondiale de la Propriété Intellectuelle</w:t>
          </w:r>
        </w:p>
        <w:p w:rsidR="00F808C7" w:rsidRPr="00B801C0" w:rsidRDefault="00F808C7" w:rsidP="004C334C">
          <w:pPr>
            <w:pStyle w:val="Header"/>
            <w:jc w:val="right"/>
          </w:pPr>
          <w:r w:rsidRPr="00B801C0">
            <w:t>Programme et budget pour l’exercice biennal 2018</w:t>
          </w:r>
          <w:r>
            <w:t>-20</w:t>
          </w:r>
          <w:r w:rsidRPr="00B801C0">
            <w:t>19</w:t>
          </w:r>
        </w:p>
        <w:p w:rsidR="00F808C7" w:rsidRPr="00267FE2" w:rsidRDefault="00F808C7" w:rsidP="002D669B">
          <w:pPr>
            <w:pStyle w:val="Header"/>
            <w:jc w:val="right"/>
          </w:pPr>
        </w:p>
      </w:tc>
    </w:tr>
  </w:tbl>
  <w:p w:rsidR="00F808C7" w:rsidRPr="00267FE2" w:rsidRDefault="00F808C7" w:rsidP="00221B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31"/>
      <w:gridCol w:w="4107"/>
    </w:tblGrid>
    <w:tr w:rsidR="00F808C7" w:rsidRPr="00EE4A70" w:rsidTr="003D5910">
      <w:tc>
        <w:tcPr>
          <w:tcW w:w="5727" w:type="dxa"/>
        </w:tcPr>
        <w:p w:rsidR="00F808C7" w:rsidRDefault="00F808C7" w:rsidP="002D669B">
          <w:pPr>
            <w:pStyle w:val="Header"/>
          </w:pPr>
          <w:r>
            <w:rPr>
              <w:noProof/>
            </w:rPr>
            <w:fldChar w:fldCharType="begin"/>
          </w:r>
          <w:r>
            <w:rPr>
              <w:noProof/>
            </w:rPr>
            <w:instrText xml:space="preserve"> STYLEREF  "SectionTitleNumb"  \* MERGEFORMAT </w:instrText>
          </w:r>
          <w:r>
            <w:rPr>
              <w:noProof/>
            </w:rPr>
            <w:fldChar w:fldCharType="separate"/>
          </w:r>
          <w:r w:rsidR="00432040">
            <w:rPr>
              <w:b/>
              <w:bCs/>
              <w:noProof/>
              <w:lang w:val="en-US"/>
            </w:rPr>
            <w:t>Error! No text of specified style in document.</w:t>
          </w:r>
          <w:r>
            <w:rPr>
              <w:noProof/>
            </w:rPr>
            <w:fldChar w:fldCharType="end"/>
          </w:r>
        </w:p>
        <w:p w:rsidR="00F808C7" w:rsidRDefault="00F808C7" w:rsidP="002D669B">
          <w:pPr>
            <w:pStyle w:val="Header"/>
          </w:pPr>
          <w:r>
            <w:fldChar w:fldCharType="begin"/>
          </w:r>
          <w:r>
            <w:instrText xml:space="preserve"> STYLEREF  </w:instrText>
          </w:r>
          <w:r w:rsidRPr="00A53F69">
            <w:instrText>AppendixTitle</w:instrText>
          </w:r>
          <w:r>
            <w:instrText xml:space="preserve"> \n  \* MERGEFORMAT </w:instrText>
          </w:r>
          <w:r>
            <w:fldChar w:fldCharType="separate"/>
          </w:r>
          <w:r w:rsidR="00432040">
            <w:rPr>
              <w:b/>
              <w:bCs/>
              <w:noProof/>
              <w:lang w:val="en-US"/>
            </w:rPr>
            <w:t>Error! No text of specified style in document.</w:t>
          </w:r>
          <w:r>
            <w:rPr>
              <w:noProof/>
            </w:rPr>
            <w:fldChar w:fldCharType="end"/>
          </w:r>
        </w:p>
      </w:tc>
      <w:tc>
        <w:tcPr>
          <w:tcW w:w="4253" w:type="dxa"/>
        </w:tcPr>
        <w:p w:rsidR="00F808C7" w:rsidRPr="00B801C0" w:rsidRDefault="00F808C7" w:rsidP="004C334C">
          <w:pPr>
            <w:pStyle w:val="Header"/>
            <w:jc w:val="right"/>
            <w:rPr>
              <w:b/>
            </w:rPr>
          </w:pPr>
          <w:r w:rsidRPr="00B801C0">
            <w:rPr>
              <w:b/>
            </w:rPr>
            <w:t>Organisation Mondiale de la Propriété Intellectuelle</w:t>
          </w:r>
        </w:p>
        <w:p w:rsidR="00F808C7" w:rsidRPr="00B801C0" w:rsidRDefault="00F808C7" w:rsidP="004C334C">
          <w:pPr>
            <w:pStyle w:val="Header"/>
            <w:jc w:val="right"/>
          </w:pPr>
          <w:r w:rsidRPr="00B801C0">
            <w:t>Programme et budget pour l’exercice biennal 2018</w:t>
          </w:r>
          <w:r>
            <w:t>-20</w:t>
          </w:r>
          <w:r w:rsidRPr="00B801C0">
            <w:t>19</w:t>
          </w:r>
        </w:p>
        <w:p w:rsidR="00F808C7" w:rsidRPr="00267FE2" w:rsidRDefault="00F808C7" w:rsidP="002D669B">
          <w:pPr>
            <w:pStyle w:val="Header"/>
            <w:jc w:val="right"/>
          </w:pPr>
        </w:p>
      </w:tc>
    </w:tr>
  </w:tbl>
  <w:p w:rsidR="00F808C7" w:rsidRPr="00267FE2" w:rsidRDefault="00F808C7" w:rsidP="00AE6A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61"/>
      <w:gridCol w:w="6209"/>
    </w:tblGrid>
    <w:tr w:rsidR="00272746" w:rsidRPr="00EE4A70" w:rsidTr="00432040">
      <w:tc>
        <w:tcPr>
          <w:tcW w:w="5727" w:type="dxa"/>
        </w:tcPr>
        <w:p w:rsidR="00432040" w:rsidRPr="00A5162D" w:rsidRDefault="00432040" w:rsidP="00432040">
          <w:pPr>
            <w:pStyle w:val="Header"/>
            <w:rPr>
              <w:caps/>
            </w:rPr>
          </w:pPr>
          <w:r>
            <w:rPr>
              <w:caps/>
              <w:noProof/>
            </w:rPr>
            <w:t>ANNEXES</w:t>
          </w:r>
        </w:p>
        <w:p w:rsidR="00272746" w:rsidRDefault="00432040" w:rsidP="00432040">
          <w:pPr>
            <w:pStyle w:val="Header"/>
          </w:pPr>
          <w:r>
            <w:rPr>
              <w:noProof/>
            </w:rPr>
            <w:t>ANNEXE III</w:t>
          </w:r>
        </w:p>
      </w:tc>
      <w:tc>
        <w:tcPr>
          <w:tcW w:w="4253" w:type="dxa"/>
        </w:tcPr>
        <w:p w:rsidR="00272746" w:rsidRPr="00B801C0" w:rsidRDefault="00272746" w:rsidP="004C334C">
          <w:pPr>
            <w:pStyle w:val="Header"/>
            <w:jc w:val="right"/>
            <w:rPr>
              <w:b/>
            </w:rPr>
          </w:pPr>
          <w:r w:rsidRPr="00B801C0">
            <w:rPr>
              <w:b/>
            </w:rPr>
            <w:t>Organisation Mondiale de la Propriété Intellectuelle</w:t>
          </w:r>
        </w:p>
        <w:p w:rsidR="00272746" w:rsidRPr="00B801C0" w:rsidRDefault="00272746" w:rsidP="004C334C">
          <w:pPr>
            <w:pStyle w:val="Header"/>
            <w:jc w:val="right"/>
          </w:pPr>
          <w:r w:rsidRPr="00B801C0">
            <w:t xml:space="preserve">Programme et budget pour </w:t>
          </w:r>
          <w:r w:rsidR="001D4966">
            <w:t>2020-2021</w:t>
          </w:r>
        </w:p>
        <w:p w:rsidR="00272746" w:rsidRPr="00267FE2" w:rsidRDefault="00272746" w:rsidP="002D669B">
          <w:pPr>
            <w:pStyle w:val="Header"/>
            <w:jc w:val="right"/>
          </w:pPr>
        </w:p>
      </w:tc>
    </w:tr>
  </w:tbl>
  <w:p w:rsidR="00272746" w:rsidRPr="00267FE2" w:rsidRDefault="00272746" w:rsidP="0027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02"/>
    <w:multiLevelType w:val="multilevel"/>
    <w:tmpl w:val="3676C0E6"/>
    <w:styleLink w:val="NumbListChart"/>
    <w:lvl w:ilvl="0">
      <w:start w:val="1"/>
      <w:numFmt w:val="decimal"/>
      <w:pStyle w:val="ChartTitle"/>
      <w:suff w:val="space"/>
      <w:lvlText w:val="Ch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30192D"/>
    <w:multiLevelType w:val="hybridMultilevel"/>
    <w:tmpl w:val="DD6E489A"/>
    <w:lvl w:ilvl="0" w:tplc="7514F6A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 w15:restartNumberingAfterBreak="0">
    <w:nsid w:val="09C752DB"/>
    <w:multiLevelType w:val="hybridMultilevel"/>
    <w:tmpl w:val="4C80293C"/>
    <w:lvl w:ilvl="0" w:tplc="F7ECB06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4" w15:restartNumberingAfterBreak="0">
    <w:nsid w:val="09D011D4"/>
    <w:multiLevelType w:val="hybridMultilevel"/>
    <w:tmpl w:val="E8C2D7D6"/>
    <w:lvl w:ilvl="0" w:tplc="156E880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 w15:restartNumberingAfterBreak="0">
    <w:nsid w:val="09E665A3"/>
    <w:multiLevelType w:val="hybridMultilevel"/>
    <w:tmpl w:val="F3780D4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28323E"/>
    <w:multiLevelType w:val="multilevel"/>
    <w:tmpl w:val="CBC27932"/>
    <w:numStyleLink w:val="NumbListMain"/>
  </w:abstractNum>
  <w:abstractNum w:abstractNumId="7" w15:restartNumberingAfterBreak="0">
    <w:nsid w:val="0F682A0B"/>
    <w:multiLevelType w:val="hybridMultilevel"/>
    <w:tmpl w:val="C6567774"/>
    <w:lvl w:ilvl="0" w:tplc="1F487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34320"/>
    <w:multiLevelType w:val="hybridMultilevel"/>
    <w:tmpl w:val="C3EEF6B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105F36A3"/>
    <w:multiLevelType w:val="hybridMultilevel"/>
    <w:tmpl w:val="2856CE8A"/>
    <w:lvl w:ilvl="0" w:tplc="8C6C7CA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0" w15:restartNumberingAfterBreak="0">
    <w:nsid w:val="13F30CBB"/>
    <w:multiLevelType w:val="multilevel"/>
    <w:tmpl w:val="CBC27932"/>
    <w:numStyleLink w:val="NumbListMain"/>
  </w:abstractNum>
  <w:abstractNum w:abstractNumId="11" w15:restartNumberingAfterBreak="0">
    <w:nsid w:val="1EA84346"/>
    <w:multiLevelType w:val="hybridMultilevel"/>
    <w:tmpl w:val="2C32FD6A"/>
    <w:lvl w:ilvl="0" w:tplc="6EDC87EE">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2" w15:restartNumberingAfterBreak="0">
    <w:nsid w:val="1F61756F"/>
    <w:multiLevelType w:val="multilevel"/>
    <w:tmpl w:val="58D8B4EE"/>
    <w:numStyleLink w:val="NumbListAnnex"/>
  </w:abstractNum>
  <w:abstractNum w:abstractNumId="13" w15:restartNumberingAfterBreak="0">
    <w:nsid w:val="1FDC6AE4"/>
    <w:multiLevelType w:val="multilevel"/>
    <w:tmpl w:val="19A2CFCE"/>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lvlText w:val="(%4)"/>
      <w:lvlJc w:val="left"/>
      <w:pPr>
        <w:tabs>
          <w:tab w:val="num" w:pos="680"/>
        </w:tabs>
        <w:ind w:left="680" w:hanging="340"/>
      </w:pPr>
      <w:rPr>
        <w:rFonts w:hint="default"/>
      </w:rPr>
    </w:lvl>
    <w:lvl w:ilvl="4">
      <w:start w:val="1"/>
      <w:numFmt w:val="lowerLetter"/>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bullet"/>
      <w:lvlText w:val="o"/>
      <w:lvlJc w:val="left"/>
      <w:pPr>
        <w:ind w:left="2520" w:hanging="360"/>
      </w:pPr>
      <w:rPr>
        <w:rFonts w:ascii="Courier New" w:hAnsi="Courier New" w:cs="Courier New"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8B55E37"/>
    <w:multiLevelType w:val="multilevel"/>
    <w:tmpl w:val="3676C0E6"/>
    <w:numStyleLink w:val="NumbListChart"/>
  </w:abstractNum>
  <w:abstractNum w:abstractNumId="16" w15:restartNumberingAfterBreak="0">
    <w:nsid w:val="2AF23926"/>
    <w:multiLevelType w:val="multilevel"/>
    <w:tmpl w:val="C824C848"/>
    <w:lvl w:ilvl="0">
      <w:start w:val="1"/>
      <w:numFmt w:val="upperRoman"/>
      <w:lvlText w:val="%1."/>
      <w:lvlJc w:val="left"/>
      <w:pPr>
        <w:tabs>
          <w:tab w:val="num" w:pos="680"/>
        </w:tabs>
        <w:ind w:left="680" w:hanging="680"/>
      </w:pPr>
      <w:rPr>
        <w:rFonts w:hint="default"/>
      </w:rPr>
    </w:lvl>
    <w:lvl w:ilvl="1">
      <w:start w:val="1"/>
      <w:numFmt w:val="upperRoman"/>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lvlRestart w:val="0"/>
      <w:lvlText w:val="%5."/>
      <w:lvlJc w:val="left"/>
      <w:pPr>
        <w:ind w:left="0" w:firstLine="0"/>
      </w:pPr>
      <w:rPr>
        <w:rFonts w:hint="default"/>
        <w:b w:val="0"/>
        <w:color w:val="auto"/>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ED0EBF"/>
    <w:multiLevelType w:val="hybridMultilevel"/>
    <w:tmpl w:val="C6008F18"/>
    <w:lvl w:ilvl="0" w:tplc="5B02BBB4">
      <w:start w:val="1"/>
      <w:numFmt w:val="lowerRoman"/>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9" w15:restartNumberingAfterBreak="0">
    <w:nsid w:val="2F5B64AE"/>
    <w:multiLevelType w:val="hybridMultilevel"/>
    <w:tmpl w:val="41886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B24F0"/>
    <w:multiLevelType w:val="multilevel"/>
    <w:tmpl w:val="F660697A"/>
    <w:styleLink w:val="NumbLstTabBullet"/>
    <w:lvl w:ilvl="0">
      <w:start w:val="1"/>
      <w:numFmt w:val="bullet"/>
      <w:pStyle w:val="TableBullet1"/>
      <w:lvlText w:val="–"/>
      <w:lvlJc w:val="left"/>
      <w:pPr>
        <w:tabs>
          <w:tab w:val="num" w:pos="284"/>
        </w:tabs>
        <w:ind w:left="284" w:hanging="171"/>
      </w:pPr>
      <w:rPr>
        <w:rFonts w:ascii="Arial Narrow" w:hAnsi="Arial Narrow" w:hint="default"/>
        <w:color w:val="auto"/>
      </w:rPr>
    </w:lvl>
    <w:lvl w:ilvl="1">
      <w:start w:val="1"/>
      <w:numFmt w:val="bullet"/>
      <w:pStyle w:val="TableBullet2"/>
      <w:lvlText w:val="•"/>
      <w:lvlJc w:val="left"/>
      <w:pPr>
        <w:tabs>
          <w:tab w:val="num" w:pos="454"/>
        </w:tabs>
        <w:ind w:left="454" w:hanging="170"/>
      </w:pPr>
      <w:rPr>
        <w:rFonts w:ascii="Arial Narrow" w:hAnsi="Arial Narro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A565D3"/>
    <w:multiLevelType w:val="multilevel"/>
    <w:tmpl w:val="BA42F494"/>
    <w:styleLink w:val="NumbListAppendix"/>
    <w:lvl w:ilvl="0">
      <w:start w:val="1"/>
      <w:numFmt w:val="upperLetter"/>
      <w:pStyle w:val="AppendixTitle"/>
      <w:lvlText w:val="APPENDIC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5D69A7"/>
    <w:multiLevelType w:val="multilevel"/>
    <w:tmpl w:val="BA42F494"/>
    <w:numStyleLink w:val="NumbListAppendix"/>
  </w:abstractNum>
  <w:abstractNum w:abstractNumId="23" w15:restartNumberingAfterBreak="0">
    <w:nsid w:val="366D23E9"/>
    <w:multiLevelType w:val="hybridMultilevel"/>
    <w:tmpl w:val="BD1C7A84"/>
    <w:lvl w:ilvl="0" w:tplc="DE4A5C86">
      <w:start w:val="7"/>
      <w:numFmt w:val="bullet"/>
      <w:lvlText w:val="-"/>
      <w:lvlJc w:val="left"/>
      <w:pPr>
        <w:ind w:left="833" w:hanging="360"/>
      </w:pPr>
      <w:rPr>
        <w:rFonts w:ascii="Arial" w:eastAsia="Times New Roman"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37DE7915"/>
    <w:multiLevelType w:val="hybridMultilevel"/>
    <w:tmpl w:val="78BC4164"/>
    <w:lvl w:ilvl="0" w:tplc="039CF0C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25" w15:restartNumberingAfterBreak="0">
    <w:nsid w:val="3DEE0EED"/>
    <w:multiLevelType w:val="hybridMultilevel"/>
    <w:tmpl w:val="8CBCAA1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4F00EC"/>
    <w:multiLevelType w:val="hybridMultilevel"/>
    <w:tmpl w:val="C9ECFB74"/>
    <w:lvl w:ilvl="0" w:tplc="0A1C243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27" w15:restartNumberingAfterBreak="0">
    <w:nsid w:val="44FD4F82"/>
    <w:multiLevelType w:val="hybridMultilevel"/>
    <w:tmpl w:val="7DEEBBE6"/>
    <w:lvl w:ilvl="0" w:tplc="0CEC03D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28" w15:restartNumberingAfterBreak="0">
    <w:nsid w:val="4AFB53E3"/>
    <w:multiLevelType w:val="hybridMultilevel"/>
    <w:tmpl w:val="548E215C"/>
    <w:lvl w:ilvl="0" w:tplc="9C96CF2C">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6B3091"/>
    <w:multiLevelType w:val="hybridMultilevel"/>
    <w:tmpl w:val="AB068F46"/>
    <w:lvl w:ilvl="0" w:tplc="E38647D2">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1" w15:restartNumberingAfterBreak="0">
    <w:nsid w:val="59A14B6D"/>
    <w:multiLevelType w:val="hybridMultilevel"/>
    <w:tmpl w:val="490A52D4"/>
    <w:lvl w:ilvl="0" w:tplc="EC562EB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2" w15:restartNumberingAfterBreak="0">
    <w:nsid w:val="5A024755"/>
    <w:multiLevelType w:val="multilevel"/>
    <w:tmpl w:val="58D8B4EE"/>
    <w:styleLink w:val="NumbListAnnex"/>
    <w:lvl w:ilvl="0">
      <w:start w:val="1"/>
      <w:numFmt w:val="upperRoman"/>
      <w:pStyle w:val="AnnexTitle"/>
      <w:lvlText w:val="ANNEXE %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232C8B"/>
    <w:multiLevelType w:val="hybridMultilevel"/>
    <w:tmpl w:val="33C21DEA"/>
    <w:lvl w:ilvl="0" w:tplc="75FA6534">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95A2C"/>
    <w:multiLevelType w:val="hybridMultilevel"/>
    <w:tmpl w:val="32404A70"/>
    <w:lvl w:ilvl="0" w:tplc="5B02BBB4">
      <w:start w:val="1"/>
      <w:numFmt w:val="lowerRoman"/>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35" w15:restartNumberingAfterBreak="0">
    <w:nsid w:val="5EFA5F3F"/>
    <w:multiLevelType w:val="hybridMultilevel"/>
    <w:tmpl w:val="9B906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15C69"/>
    <w:multiLevelType w:val="hybridMultilevel"/>
    <w:tmpl w:val="F1F02DF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5E4E8F"/>
    <w:multiLevelType w:val="hybridMultilevel"/>
    <w:tmpl w:val="C1B48900"/>
    <w:lvl w:ilvl="0" w:tplc="403A3DE4">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8" w15:restartNumberingAfterBreak="0">
    <w:nsid w:val="647E7578"/>
    <w:multiLevelType w:val="multilevel"/>
    <w:tmpl w:val="F660697A"/>
    <w:numStyleLink w:val="NumbLstTabBullet"/>
  </w:abstractNum>
  <w:abstractNum w:abstractNumId="39" w15:restartNumberingAfterBreak="0">
    <w:nsid w:val="65E1237D"/>
    <w:multiLevelType w:val="hybridMultilevel"/>
    <w:tmpl w:val="E250BE18"/>
    <w:lvl w:ilvl="0" w:tplc="E92E242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40" w15:restartNumberingAfterBreak="0">
    <w:nsid w:val="67AF7A4C"/>
    <w:multiLevelType w:val="multilevel"/>
    <w:tmpl w:val="B1EC3128"/>
    <w:lvl w:ilvl="0">
      <w:start w:val="1"/>
      <w:numFmt w:val="upperRoman"/>
      <w:lvlText w:val="%1."/>
      <w:lvlJc w:val="left"/>
      <w:pPr>
        <w:tabs>
          <w:tab w:val="num" w:pos="680"/>
        </w:tabs>
        <w:ind w:left="680" w:hanging="680"/>
      </w:pPr>
      <w:rPr>
        <w:rFonts w:hint="default"/>
      </w:rPr>
    </w:lvl>
    <w:lvl w:ilvl="1">
      <w:start w:val="1"/>
      <w:numFmt w:val="upperRoman"/>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005E3D"/>
    <w:multiLevelType w:val="hybridMultilevel"/>
    <w:tmpl w:val="4822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4A5C7D"/>
    <w:multiLevelType w:val="multilevel"/>
    <w:tmpl w:val="09D47876"/>
    <w:styleLink w:val="NumbListTable"/>
    <w:lvl w:ilvl="0">
      <w:start w:val="1"/>
      <w:numFmt w:val="decimal"/>
      <w:suff w:val="space"/>
      <w:lvlText w:val="Table %1:"/>
      <w:lvlJc w:val="left"/>
      <w:pPr>
        <w:ind w:left="510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0D0AB1"/>
    <w:multiLevelType w:val="hybridMultilevel"/>
    <w:tmpl w:val="A56CB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5A662D"/>
    <w:multiLevelType w:val="hybridMultilevel"/>
    <w:tmpl w:val="63BA6656"/>
    <w:lvl w:ilvl="0" w:tplc="2C784CBE">
      <w:start w:val="1"/>
      <w:numFmt w:val="decimal"/>
      <w:pStyle w:val="Style1"/>
      <w:lvlText w:val="13.%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1649A"/>
    <w:multiLevelType w:val="hybridMultilevel"/>
    <w:tmpl w:val="8D4C337A"/>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484D6A"/>
    <w:multiLevelType w:val="hybridMultilevel"/>
    <w:tmpl w:val="D52C8B6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7C7438A7"/>
    <w:multiLevelType w:val="multilevel"/>
    <w:tmpl w:val="C0D8AC20"/>
    <w:numStyleLink w:val="NUmbListBullet"/>
  </w:abstractNum>
  <w:abstractNum w:abstractNumId="48" w15:restartNumberingAfterBreak="0">
    <w:nsid w:val="7CE23054"/>
    <w:multiLevelType w:val="multilevel"/>
    <w:tmpl w:val="CBC27932"/>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Objectif Stratégique %2"/>
      <w:lvlJc w:val="left"/>
      <w:pPr>
        <w:ind w:left="3402" w:hanging="3402"/>
      </w:pPr>
      <w:rPr>
        <w:rFonts w:hint="default"/>
      </w:rPr>
    </w:lvl>
    <w:lvl w:ilvl="2">
      <w:start w:val="1"/>
      <w:numFmt w:val="none"/>
      <w:lvlRestart w:val="0"/>
      <w:suff w:val="nothing"/>
      <w:lvlText w:val=""/>
      <w:lvlJc w:val="left"/>
      <w:pPr>
        <w:ind w:left="2268" w:hanging="2268"/>
      </w:pPr>
      <w:rPr>
        <w:rFonts w:hint="default"/>
      </w:rPr>
    </w:lvl>
    <w:lvl w:ilvl="3">
      <w:start w:val="1"/>
      <w:numFmt w:val="none"/>
      <w:pStyle w:val="ProgramTitle"/>
      <w:suff w:val="nothing"/>
      <w:lvlText w:val=""/>
      <w:lvlJc w:val="left"/>
      <w:pPr>
        <w:ind w:left="2948" w:hanging="2948"/>
      </w:pPr>
      <w:rPr>
        <w:rFonts w:hint="default"/>
      </w:rPr>
    </w:lvl>
    <w:lvl w:ilvl="4">
      <w:start w:val="1"/>
      <w:numFmt w:val="decimal"/>
      <w:pStyle w:val="NormalNumb"/>
      <w:suff w:val="nothing"/>
      <w:lvlText w:val="%5.  "/>
      <w:lvlJc w:val="left"/>
      <w:pPr>
        <w:ind w:left="0" w:firstLine="0"/>
      </w:pPr>
      <w:rPr>
        <w:rFonts w:hint="default"/>
      </w:rPr>
    </w:lvl>
    <w:lvl w:ilvl="5">
      <w:start w:val="1"/>
      <w:numFmt w:val="decimal"/>
      <w:pStyle w:val="NormalNumb2"/>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D841131"/>
    <w:multiLevelType w:val="hybridMultilevel"/>
    <w:tmpl w:val="25F2110A"/>
    <w:lvl w:ilvl="0" w:tplc="6ED2E89C">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num w:numId="1">
    <w:abstractNumId w:val="48"/>
  </w:num>
  <w:num w:numId="2">
    <w:abstractNumId w:val="0"/>
  </w:num>
  <w:num w:numId="3">
    <w:abstractNumId w:val="15"/>
  </w:num>
  <w:num w:numId="4">
    <w:abstractNumId w:val="32"/>
  </w:num>
  <w:num w:numId="5">
    <w:abstractNumId w:val="21"/>
  </w:num>
  <w:num w:numId="6">
    <w:abstractNumId w:val="17"/>
  </w:num>
  <w:num w:numId="7">
    <w:abstractNumId w:val="20"/>
  </w:num>
  <w:num w:numId="8">
    <w:abstractNumId w:val="42"/>
  </w:num>
  <w:num w:numId="9">
    <w:abstractNumId w:val="47"/>
  </w:num>
  <w:num w:numId="10">
    <w:abstractNumId w:val="38"/>
  </w:num>
  <w:num w:numId="11">
    <w:abstractNumId w:val="12"/>
    <w:lvlOverride w:ilvl="0">
      <w:lvl w:ilvl="0">
        <w:start w:val="1"/>
        <w:numFmt w:val="upperRoman"/>
        <w:lvlText w:val="ANNEXE %1"/>
        <w:lvlJc w:val="left"/>
        <w:pPr>
          <w:tabs>
            <w:tab w:val="num" w:pos="1814"/>
          </w:tabs>
          <w:ind w:left="1814" w:hanging="181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2"/>
  </w:num>
  <w:num w:numId="13">
    <w:abstractNumId w:val="13"/>
  </w:num>
  <w:num w:numId="14">
    <w:abstractNumId w:val="43"/>
  </w:num>
  <w:num w:numId="15">
    <w:abstractNumId w:val="29"/>
  </w:num>
  <w:num w:numId="16">
    <w:abstractNumId w:val="1"/>
  </w:num>
  <w:num w:numId="17">
    <w:abstractNumId w:val="14"/>
  </w:num>
  <w:num w:numId="18">
    <w:abstractNumId w:val="44"/>
  </w:num>
  <w:num w:numId="19">
    <w:abstractNumId w:val="35"/>
  </w:num>
  <w:num w:numId="20">
    <w:abstractNumId w:val="41"/>
  </w:num>
  <w:num w:numId="21">
    <w:abstractNumId w:val="19"/>
  </w:num>
  <w:num w:numId="22">
    <w:abstractNumId w:val="33"/>
  </w:num>
  <w:num w:numId="23">
    <w:abstractNumId w:val="2"/>
  </w:num>
  <w:num w:numId="24">
    <w:abstractNumId w:val="9"/>
  </w:num>
  <w:num w:numId="25">
    <w:abstractNumId w:val="27"/>
  </w:num>
  <w:num w:numId="26">
    <w:abstractNumId w:val="8"/>
  </w:num>
  <w:num w:numId="27">
    <w:abstractNumId w:val="16"/>
  </w:num>
  <w:num w:numId="28">
    <w:abstractNumId w:val="4"/>
  </w:num>
  <w:num w:numId="29">
    <w:abstractNumId w:val="45"/>
  </w:num>
  <w:num w:numId="30">
    <w:abstractNumId w:val="31"/>
  </w:num>
  <w:num w:numId="31">
    <w:abstractNumId w:val="30"/>
  </w:num>
  <w:num w:numId="32">
    <w:abstractNumId w:val="23"/>
  </w:num>
  <w:num w:numId="33">
    <w:abstractNumId w:val="3"/>
  </w:num>
  <w:num w:numId="34">
    <w:abstractNumId w:val="46"/>
  </w:num>
  <w:num w:numId="35">
    <w:abstractNumId w:val="24"/>
  </w:num>
  <w:num w:numId="36">
    <w:abstractNumId w:val="28"/>
  </w:num>
  <w:num w:numId="37">
    <w:abstractNumId w:val="37"/>
  </w:num>
  <w:num w:numId="38">
    <w:abstractNumId w:val="49"/>
  </w:num>
  <w:num w:numId="39">
    <w:abstractNumId w:val="26"/>
  </w:num>
  <w:num w:numId="40">
    <w:abstractNumId w:val="11"/>
  </w:num>
  <w:num w:numId="41">
    <w:abstractNumId w:val="10"/>
  </w:num>
  <w:num w:numId="42">
    <w:abstractNumId w:val="34"/>
  </w:num>
  <w:num w:numId="43">
    <w:abstractNumId w:val="39"/>
  </w:num>
  <w:num w:numId="44">
    <w:abstractNumId w:val="18"/>
  </w:num>
  <w:num w:numId="45">
    <w:abstractNumId w:val="4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7"/>
  </w:num>
  <w:num w:numId="49">
    <w:abstractNumId w:val="38"/>
  </w:num>
  <w:num w:numId="50">
    <w:abstractNumId w:val="36"/>
  </w:num>
  <w:num w:numId="51">
    <w:abstractNumId w:val="5"/>
  </w:num>
  <w:num w:numId="52">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DocNo" w:val="WIPO Example Layout 2a.docx"/>
    <w:docVar w:name="SourceLng" w:val="eng"/>
    <w:docVar w:name="TargetLng" w:val="fra"/>
    <w:docVar w:name="TermBases" w:val="WIPOLDTERM"/>
    <w:docVar w:name="TermBaseURL" w:val="empty"/>
    <w:docVar w:name="TextBases" w:val="TextBase TMs\WorkspaceFTS\Administration &amp; Finance\PB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 w:name="zFooterFullNameToggle" w:val="False"/>
  </w:docVars>
  <w:rsids>
    <w:rsidRoot w:val="008D3EAB"/>
    <w:rsid w:val="0000047E"/>
    <w:rsid w:val="00000868"/>
    <w:rsid w:val="00001B7A"/>
    <w:rsid w:val="000024CC"/>
    <w:rsid w:val="000030F4"/>
    <w:rsid w:val="0000530E"/>
    <w:rsid w:val="00005D07"/>
    <w:rsid w:val="00007940"/>
    <w:rsid w:val="00007D01"/>
    <w:rsid w:val="00010E69"/>
    <w:rsid w:val="00011157"/>
    <w:rsid w:val="00011FB6"/>
    <w:rsid w:val="000163F9"/>
    <w:rsid w:val="000209FD"/>
    <w:rsid w:val="000212EA"/>
    <w:rsid w:val="0002450C"/>
    <w:rsid w:val="000249AC"/>
    <w:rsid w:val="000253E3"/>
    <w:rsid w:val="00025DD9"/>
    <w:rsid w:val="00027BD6"/>
    <w:rsid w:val="00027DEC"/>
    <w:rsid w:val="00030788"/>
    <w:rsid w:val="0003164F"/>
    <w:rsid w:val="000323BF"/>
    <w:rsid w:val="000326AD"/>
    <w:rsid w:val="0003301C"/>
    <w:rsid w:val="00033509"/>
    <w:rsid w:val="00033CA4"/>
    <w:rsid w:val="00036670"/>
    <w:rsid w:val="00037F9C"/>
    <w:rsid w:val="00040D33"/>
    <w:rsid w:val="000431FA"/>
    <w:rsid w:val="000434C0"/>
    <w:rsid w:val="00045298"/>
    <w:rsid w:val="00045379"/>
    <w:rsid w:val="00046283"/>
    <w:rsid w:val="00046958"/>
    <w:rsid w:val="00047050"/>
    <w:rsid w:val="0004720F"/>
    <w:rsid w:val="0004722C"/>
    <w:rsid w:val="00047AE7"/>
    <w:rsid w:val="00050140"/>
    <w:rsid w:val="0005050C"/>
    <w:rsid w:val="000507D3"/>
    <w:rsid w:val="00050CCF"/>
    <w:rsid w:val="00050EA7"/>
    <w:rsid w:val="000519C3"/>
    <w:rsid w:val="000540FA"/>
    <w:rsid w:val="0005486C"/>
    <w:rsid w:val="00055293"/>
    <w:rsid w:val="000555BB"/>
    <w:rsid w:val="00056478"/>
    <w:rsid w:val="00056D67"/>
    <w:rsid w:val="00061764"/>
    <w:rsid w:val="0006216B"/>
    <w:rsid w:val="000626E1"/>
    <w:rsid w:val="00063C91"/>
    <w:rsid w:val="00063F07"/>
    <w:rsid w:val="0006440C"/>
    <w:rsid w:val="00064ACF"/>
    <w:rsid w:val="00064FFF"/>
    <w:rsid w:val="00066500"/>
    <w:rsid w:val="000670A0"/>
    <w:rsid w:val="00067CB8"/>
    <w:rsid w:val="00070F82"/>
    <w:rsid w:val="000715E0"/>
    <w:rsid w:val="00071861"/>
    <w:rsid w:val="000728A1"/>
    <w:rsid w:val="00074607"/>
    <w:rsid w:val="00076233"/>
    <w:rsid w:val="00080146"/>
    <w:rsid w:val="000801A1"/>
    <w:rsid w:val="0008110F"/>
    <w:rsid w:val="0008301F"/>
    <w:rsid w:val="000836D0"/>
    <w:rsid w:val="000840A6"/>
    <w:rsid w:val="00084608"/>
    <w:rsid w:val="00084EB0"/>
    <w:rsid w:val="00084F70"/>
    <w:rsid w:val="000850A1"/>
    <w:rsid w:val="00085A7A"/>
    <w:rsid w:val="00086AED"/>
    <w:rsid w:val="000871FB"/>
    <w:rsid w:val="0009099B"/>
    <w:rsid w:val="00091588"/>
    <w:rsid w:val="00092F22"/>
    <w:rsid w:val="000930C9"/>
    <w:rsid w:val="00093E57"/>
    <w:rsid w:val="00093E94"/>
    <w:rsid w:val="00096382"/>
    <w:rsid w:val="00097DBF"/>
    <w:rsid w:val="00097FA1"/>
    <w:rsid w:val="000A0195"/>
    <w:rsid w:val="000A15FD"/>
    <w:rsid w:val="000A4018"/>
    <w:rsid w:val="000A644D"/>
    <w:rsid w:val="000A6859"/>
    <w:rsid w:val="000A7033"/>
    <w:rsid w:val="000A70BE"/>
    <w:rsid w:val="000A7951"/>
    <w:rsid w:val="000B0428"/>
    <w:rsid w:val="000B0597"/>
    <w:rsid w:val="000B0C4F"/>
    <w:rsid w:val="000B4EA9"/>
    <w:rsid w:val="000B58E2"/>
    <w:rsid w:val="000B5FA5"/>
    <w:rsid w:val="000B601E"/>
    <w:rsid w:val="000C0F2C"/>
    <w:rsid w:val="000C21E2"/>
    <w:rsid w:val="000C24F2"/>
    <w:rsid w:val="000C312F"/>
    <w:rsid w:val="000C4785"/>
    <w:rsid w:val="000C6F8A"/>
    <w:rsid w:val="000C733B"/>
    <w:rsid w:val="000C7970"/>
    <w:rsid w:val="000C7ACC"/>
    <w:rsid w:val="000D070F"/>
    <w:rsid w:val="000D0E8C"/>
    <w:rsid w:val="000D150A"/>
    <w:rsid w:val="000D19B3"/>
    <w:rsid w:val="000D2CEE"/>
    <w:rsid w:val="000D32D8"/>
    <w:rsid w:val="000D428B"/>
    <w:rsid w:val="000D462B"/>
    <w:rsid w:val="000D4933"/>
    <w:rsid w:val="000D6FA4"/>
    <w:rsid w:val="000D76B9"/>
    <w:rsid w:val="000E12A8"/>
    <w:rsid w:val="000E13BE"/>
    <w:rsid w:val="000E1487"/>
    <w:rsid w:val="000E3C45"/>
    <w:rsid w:val="000E57A9"/>
    <w:rsid w:val="000E73FC"/>
    <w:rsid w:val="000F0231"/>
    <w:rsid w:val="000F284F"/>
    <w:rsid w:val="000F3083"/>
    <w:rsid w:val="000F3A5C"/>
    <w:rsid w:val="000F45AE"/>
    <w:rsid w:val="000F78FD"/>
    <w:rsid w:val="00100668"/>
    <w:rsid w:val="00100A01"/>
    <w:rsid w:val="00100CB2"/>
    <w:rsid w:val="00102535"/>
    <w:rsid w:val="00103199"/>
    <w:rsid w:val="00103DD1"/>
    <w:rsid w:val="00106264"/>
    <w:rsid w:val="0011082B"/>
    <w:rsid w:val="001109B3"/>
    <w:rsid w:val="00110F01"/>
    <w:rsid w:val="001111D2"/>
    <w:rsid w:val="00113564"/>
    <w:rsid w:val="0011377B"/>
    <w:rsid w:val="0011464E"/>
    <w:rsid w:val="00114B50"/>
    <w:rsid w:val="00114BD0"/>
    <w:rsid w:val="00116658"/>
    <w:rsid w:val="00117D71"/>
    <w:rsid w:val="00117E6A"/>
    <w:rsid w:val="00120C2F"/>
    <w:rsid w:val="00121A4B"/>
    <w:rsid w:val="00122534"/>
    <w:rsid w:val="0012293C"/>
    <w:rsid w:val="0012457C"/>
    <w:rsid w:val="001248DF"/>
    <w:rsid w:val="00124DF7"/>
    <w:rsid w:val="00127270"/>
    <w:rsid w:val="0012737B"/>
    <w:rsid w:val="001274D3"/>
    <w:rsid w:val="001279E2"/>
    <w:rsid w:val="00130376"/>
    <w:rsid w:val="00130647"/>
    <w:rsid w:val="00132291"/>
    <w:rsid w:val="00132826"/>
    <w:rsid w:val="00133B4E"/>
    <w:rsid w:val="00136B81"/>
    <w:rsid w:val="0013714D"/>
    <w:rsid w:val="001371EC"/>
    <w:rsid w:val="001376C3"/>
    <w:rsid w:val="0014050A"/>
    <w:rsid w:val="001406BB"/>
    <w:rsid w:val="00141257"/>
    <w:rsid w:val="001417EF"/>
    <w:rsid w:val="001456C4"/>
    <w:rsid w:val="00145798"/>
    <w:rsid w:val="00146AFA"/>
    <w:rsid w:val="00146D6C"/>
    <w:rsid w:val="00146FA7"/>
    <w:rsid w:val="00147E54"/>
    <w:rsid w:val="001505C3"/>
    <w:rsid w:val="00150BC1"/>
    <w:rsid w:val="0015121E"/>
    <w:rsid w:val="00151292"/>
    <w:rsid w:val="0015146F"/>
    <w:rsid w:val="00151AA3"/>
    <w:rsid w:val="0015216C"/>
    <w:rsid w:val="00153485"/>
    <w:rsid w:val="001538D3"/>
    <w:rsid w:val="00153A39"/>
    <w:rsid w:val="0015485D"/>
    <w:rsid w:val="001549D8"/>
    <w:rsid w:val="001558B4"/>
    <w:rsid w:val="0015748E"/>
    <w:rsid w:val="001579C8"/>
    <w:rsid w:val="00157D0C"/>
    <w:rsid w:val="001609F3"/>
    <w:rsid w:val="00161BE0"/>
    <w:rsid w:val="001622E1"/>
    <w:rsid w:val="00162B39"/>
    <w:rsid w:val="00162C2A"/>
    <w:rsid w:val="0016382A"/>
    <w:rsid w:val="001645EA"/>
    <w:rsid w:val="00166E1B"/>
    <w:rsid w:val="0016780F"/>
    <w:rsid w:val="00170C09"/>
    <w:rsid w:val="0017145C"/>
    <w:rsid w:val="00171EE9"/>
    <w:rsid w:val="00172B45"/>
    <w:rsid w:val="00172FC1"/>
    <w:rsid w:val="00173489"/>
    <w:rsid w:val="001753F0"/>
    <w:rsid w:val="001757AD"/>
    <w:rsid w:val="00175F55"/>
    <w:rsid w:val="00180905"/>
    <w:rsid w:val="00180D2F"/>
    <w:rsid w:val="00181C90"/>
    <w:rsid w:val="00182101"/>
    <w:rsid w:val="0018213D"/>
    <w:rsid w:val="001829F3"/>
    <w:rsid w:val="00182D90"/>
    <w:rsid w:val="00182F17"/>
    <w:rsid w:val="00183049"/>
    <w:rsid w:val="001833EE"/>
    <w:rsid w:val="001834D9"/>
    <w:rsid w:val="00183BCC"/>
    <w:rsid w:val="00184B37"/>
    <w:rsid w:val="001859B3"/>
    <w:rsid w:val="001921C5"/>
    <w:rsid w:val="00194F53"/>
    <w:rsid w:val="00196E1D"/>
    <w:rsid w:val="001A0A89"/>
    <w:rsid w:val="001A2D4A"/>
    <w:rsid w:val="001A3B15"/>
    <w:rsid w:val="001A51E9"/>
    <w:rsid w:val="001A5779"/>
    <w:rsid w:val="001A5D02"/>
    <w:rsid w:val="001A6ACD"/>
    <w:rsid w:val="001A719A"/>
    <w:rsid w:val="001A74C7"/>
    <w:rsid w:val="001A7E0A"/>
    <w:rsid w:val="001B099D"/>
    <w:rsid w:val="001B20D9"/>
    <w:rsid w:val="001B28A1"/>
    <w:rsid w:val="001B301B"/>
    <w:rsid w:val="001B36A0"/>
    <w:rsid w:val="001B5C72"/>
    <w:rsid w:val="001B6FDE"/>
    <w:rsid w:val="001C0E23"/>
    <w:rsid w:val="001C1C54"/>
    <w:rsid w:val="001C1F2E"/>
    <w:rsid w:val="001C1F65"/>
    <w:rsid w:val="001C2524"/>
    <w:rsid w:val="001C254C"/>
    <w:rsid w:val="001C46EA"/>
    <w:rsid w:val="001C5246"/>
    <w:rsid w:val="001C552F"/>
    <w:rsid w:val="001C699B"/>
    <w:rsid w:val="001C6CF4"/>
    <w:rsid w:val="001C76DE"/>
    <w:rsid w:val="001C7956"/>
    <w:rsid w:val="001D1FEB"/>
    <w:rsid w:val="001D21F6"/>
    <w:rsid w:val="001D27DC"/>
    <w:rsid w:val="001D2EF4"/>
    <w:rsid w:val="001D33B2"/>
    <w:rsid w:val="001D411B"/>
    <w:rsid w:val="001D4966"/>
    <w:rsid w:val="001D5611"/>
    <w:rsid w:val="001D57A5"/>
    <w:rsid w:val="001D65CF"/>
    <w:rsid w:val="001D7989"/>
    <w:rsid w:val="001D7BCE"/>
    <w:rsid w:val="001E02CF"/>
    <w:rsid w:val="001E0471"/>
    <w:rsid w:val="001E0720"/>
    <w:rsid w:val="001E21C3"/>
    <w:rsid w:val="001E2D60"/>
    <w:rsid w:val="001E347B"/>
    <w:rsid w:val="001E3784"/>
    <w:rsid w:val="001E3D3E"/>
    <w:rsid w:val="001E4DC4"/>
    <w:rsid w:val="001E4FD9"/>
    <w:rsid w:val="001E5120"/>
    <w:rsid w:val="001E5392"/>
    <w:rsid w:val="001E5501"/>
    <w:rsid w:val="001E5747"/>
    <w:rsid w:val="001E680D"/>
    <w:rsid w:val="001E6D3B"/>
    <w:rsid w:val="001E716C"/>
    <w:rsid w:val="001E794D"/>
    <w:rsid w:val="001F0FCA"/>
    <w:rsid w:val="001F27B0"/>
    <w:rsid w:val="001F4D5E"/>
    <w:rsid w:val="001F544C"/>
    <w:rsid w:val="001F5BFD"/>
    <w:rsid w:val="001F7C4F"/>
    <w:rsid w:val="001F7C5C"/>
    <w:rsid w:val="002001B9"/>
    <w:rsid w:val="002005D4"/>
    <w:rsid w:val="0020152D"/>
    <w:rsid w:val="00201628"/>
    <w:rsid w:val="00201794"/>
    <w:rsid w:val="00202230"/>
    <w:rsid w:val="002023D8"/>
    <w:rsid w:val="00202EA3"/>
    <w:rsid w:val="002033D3"/>
    <w:rsid w:val="00204150"/>
    <w:rsid w:val="00204868"/>
    <w:rsid w:val="00204BBE"/>
    <w:rsid w:val="002055EA"/>
    <w:rsid w:val="002072EB"/>
    <w:rsid w:val="002117AD"/>
    <w:rsid w:val="00211AA0"/>
    <w:rsid w:val="002122D7"/>
    <w:rsid w:val="002126FD"/>
    <w:rsid w:val="00213094"/>
    <w:rsid w:val="00214661"/>
    <w:rsid w:val="00216265"/>
    <w:rsid w:val="002174BA"/>
    <w:rsid w:val="00217A6C"/>
    <w:rsid w:val="00220022"/>
    <w:rsid w:val="00220504"/>
    <w:rsid w:val="00220619"/>
    <w:rsid w:val="00221B3F"/>
    <w:rsid w:val="00223685"/>
    <w:rsid w:val="00223F3C"/>
    <w:rsid w:val="002246CD"/>
    <w:rsid w:val="002259BD"/>
    <w:rsid w:val="00226BC6"/>
    <w:rsid w:val="00226E49"/>
    <w:rsid w:val="002305C3"/>
    <w:rsid w:val="002311BF"/>
    <w:rsid w:val="00231DEA"/>
    <w:rsid w:val="00232DD7"/>
    <w:rsid w:val="0023337F"/>
    <w:rsid w:val="00233B00"/>
    <w:rsid w:val="002353D6"/>
    <w:rsid w:val="00236062"/>
    <w:rsid w:val="0023696D"/>
    <w:rsid w:val="00236A9F"/>
    <w:rsid w:val="00236E66"/>
    <w:rsid w:val="00236F4E"/>
    <w:rsid w:val="002405C9"/>
    <w:rsid w:val="00241947"/>
    <w:rsid w:val="00244BDE"/>
    <w:rsid w:val="002465F9"/>
    <w:rsid w:val="002471F0"/>
    <w:rsid w:val="00247219"/>
    <w:rsid w:val="0025032D"/>
    <w:rsid w:val="002510C5"/>
    <w:rsid w:val="002514AE"/>
    <w:rsid w:val="002514F8"/>
    <w:rsid w:val="002524B0"/>
    <w:rsid w:val="002531E0"/>
    <w:rsid w:val="00253601"/>
    <w:rsid w:val="002543F0"/>
    <w:rsid w:val="002574DF"/>
    <w:rsid w:val="00257AE6"/>
    <w:rsid w:val="00257D1F"/>
    <w:rsid w:val="0026279B"/>
    <w:rsid w:val="0026583A"/>
    <w:rsid w:val="00265F0C"/>
    <w:rsid w:val="0026645A"/>
    <w:rsid w:val="00266E48"/>
    <w:rsid w:val="00267FE2"/>
    <w:rsid w:val="00270314"/>
    <w:rsid w:val="002703D0"/>
    <w:rsid w:val="00271468"/>
    <w:rsid w:val="00272054"/>
    <w:rsid w:val="00272746"/>
    <w:rsid w:val="00272ED3"/>
    <w:rsid w:val="002747B9"/>
    <w:rsid w:val="00276835"/>
    <w:rsid w:val="00276C19"/>
    <w:rsid w:val="00276E31"/>
    <w:rsid w:val="0028089A"/>
    <w:rsid w:val="00282EA6"/>
    <w:rsid w:val="00282F14"/>
    <w:rsid w:val="002849C2"/>
    <w:rsid w:val="00285285"/>
    <w:rsid w:val="00285A5C"/>
    <w:rsid w:val="002860EB"/>
    <w:rsid w:val="0028660F"/>
    <w:rsid w:val="0029146C"/>
    <w:rsid w:val="00294F88"/>
    <w:rsid w:val="00296855"/>
    <w:rsid w:val="002A1A52"/>
    <w:rsid w:val="002A3616"/>
    <w:rsid w:val="002A36F3"/>
    <w:rsid w:val="002A3B73"/>
    <w:rsid w:val="002B0952"/>
    <w:rsid w:val="002B1AD1"/>
    <w:rsid w:val="002B1CE4"/>
    <w:rsid w:val="002B23CF"/>
    <w:rsid w:val="002B320E"/>
    <w:rsid w:val="002B369F"/>
    <w:rsid w:val="002B3830"/>
    <w:rsid w:val="002B3C41"/>
    <w:rsid w:val="002B464D"/>
    <w:rsid w:val="002B64C2"/>
    <w:rsid w:val="002B6AF9"/>
    <w:rsid w:val="002B7964"/>
    <w:rsid w:val="002C02F5"/>
    <w:rsid w:val="002C092D"/>
    <w:rsid w:val="002C20C4"/>
    <w:rsid w:val="002C3069"/>
    <w:rsid w:val="002C4C24"/>
    <w:rsid w:val="002C62F5"/>
    <w:rsid w:val="002C657B"/>
    <w:rsid w:val="002C7377"/>
    <w:rsid w:val="002C7B18"/>
    <w:rsid w:val="002D1283"/>
    <w:rsid w:val="002D164F"/>
    <w:rsid w:val="002D37F5"/>
    <w:rsid w:val="002D4458"/>
    <w:rsid w:val="002D46CF"/>
    <w:rsid w:val="002D4E56"/>
    <w:rsid w:val="002D53B5"/>
    <w:rsid w:val="002D5453"/>
    <w:rsid w:val="002D669B"/>
    <w:rsid w:val="002D6872"/>
    <w:rsid w:val="002D7BA6"/>
    <w:rsid w:val="002E008C"/>
    <w:rsid w:val="002E04EC"/>
    <w:rsid w:val="002E0ED9"/>
    <w:rsid w:val="002E11C8"/>
    <w:rsid w:val="002E2252"/>
    <w:rsid w:val="002E23CA"/>
    <w:rsid w:val="002E50D4"/>
    <w:rsid w:val="002E5A8B"/>
    <w:rsid w:val="002E60E5"/>
    <w:rsid w:val="002E6440"/>
    <w:rsid w:val="002E7BE3"/>
    <w:rsid w:val="002E7C4B"/>
    <w:rsid w:val="002F0A22"/>
    <w:rsid w:val="002F1CD3"/>
    <w:rsid w:val="002F2ED6"/>
    <w:rsid w:val="002F31EF"/>
    <w:rsid w:val="002F40BA"/>
    <w:rsid w:val="002F73FA"/>
    <w:rsid w:val="002F7B8D"/>
    <w:rsid w:val="00300E9E"/>
    <w:rsid w:val="00302518"/>
    <w:rsid w:val="00303705"/>
    <w:rsid w:val="0030536A"/>
    <w:rsid w:val="00305A18"/>
    <w:rsid w:val="00305D70"/>
    <w:rsid w:val="00311732"/>
    <w:rsid w:val="0031344B"/>
    <w:rsid w:val="003140B1"/>
    <w:rsid w:val="00314102"/>
    <w:rsid w:val="00314974"/>
    <w:rsid w:val="003153E7"/>
    <w:rsid w:val="00316052"/>
    <w:rsid w:val="003166C8"/>
    <w:rsid w:val="003206F1"/>
    <w:rsid w:val="003212A8"/>
    <w:rsid w:val="00321E19"/>
    <w:rsid w:val="003245E7"/>
    <w:rsid w:val="00324CD7"/>
    <w:rsid w:val="00327262"/>
    <w:rsid w:val="00327657"/>
    <w:rsid w:val="00327951"/>
    <w:rsid w:val="00327ACA"/>
    <w:rsid w:val="00327C45"/>
    <w:rsid w:val="003306CA"/>
    <w:rsid w:val="00330F97"/>
    <w:rsid w:val="00331B5C"/>
    <w:rsid w:val="0033256C"/>
    <w:rsid w:val="00333486"/>
    <w:rsid w:val="003353D8"/>
    <w:rsid w:val="003423ED"/>
    <w:rsid w:val="003443C6"/>
    <w:rsid w:val="003449BE"/>
    <w:rsid w:val="00345C51"/>
    <w:rsid w:val="00345E55"/>
    <w:rsid w:val="003462C4"/>
    <w:rsid w:val="0034642C"/>
    <w:rsid w:val="0034680F"/>
    <w:rsid w:val="003469F1"/>
    <w:rsid w:val="0034702E"/>
    <w:rsid w:val="0034756C"/>
    <w:rsid w:val="00350C60"/>
    <w:rsid w:val="00351595"/>
    <w:rsid w:val="00351EBE"/>
    <w:rsid w:val="00352ED1"/>
    <w:rsid w:val="00353097"/>
    <w:rsid w:val="00353466"/>
    <w:rsid w:val="00353964"/>
    <w:rsid w:val="00353E24"/>
    <w:rsid w:val="0035596D"/>
    <w:rsid w:val="0035640A"/>
    <w:rsid w:val="00356AAF"/>
    <w:rsid w:val="00357F6F"/>
    <w:rsid w:val="00360062"/>
    <w:rsid w:val="00361360"/>
    <w:rsid w:val="003614A8"/>
    <w:rsid w:val="003618A8"/>
    <w:rsid w:val="00362EA3"/>
    <w:rsid w:val="00364E7B"/>
    <w:rsid w:val="00365351"/>
    <w:rsid w:val="00365426"/>
    <w:rsid w:val="00367014"/>
    <w:rsid w:val="00367DBA"/>
    <w:rsid w:val="00367E6C"/>
    <w:rsid w:val="00370779"/>
    <w:rsid w:val="00371FBF"/>
    <w:rsid w:val="00372330"/>
    <w:rsid w:val="00372C59"/>
    <w:rsid w:val="00373BEF"/>
    <w:rsid w:val="00373DA7"/>
    <w:rsid w:val="003743C1"/>
    <w:rsid w:val="00374448"/>
    <w:rsid w:val="00374A47"/>
    <w:rsid w:val="00374EAD"/>
    <w:rsid w:val="003757CF"/>
    <w:rsid w:val="00376E32"/>
    <w:rsid w:val="00376EF9"/>
    <w:rsid w:val="0037700F"/>
    <w:rsid w:val="00377A63"/>
    <w:rsid w:val="00377F31"/>
    <w:rsid w:val="00380006"/>
    <w:rsid w:val="003805D5"/>
    <w:rsid w:val="0038092D"/>
    <w:rsid w:val="00381C47"/>
    <w:rsid w:val="00382CE1"/>
    <w:rsid w:val="00383E3F"/>
    <w:rsid w:val="00386EA4"/>
    <w:rsid w:val="00387852"/>
    <w:rsid w:val="003901ED"/>
    <w:rsid w:val="00390995"/>
    <w:rsid w:val="00390C3B"/>
    <w:rsid w:val="00390CF6"/>
    <w:rsid w:val="0039210A"/>
    <w:rsid w:val="0039381C"/>
    <w:rsid w:val="00393F29"/>
    <w:rsid w:val="0039441B"/>
    <w:rsid w:val="003947AF"/>
    <w:rsid w:val="0039481D"/>
    <w:rsid w:val="0039522C"/>
    <w:rsid w:val="00395BF4"/>
    <w:rsid w:val="00395FF6"/>
    <w:rsid w:val="003978EA"/>
    <w:rsid w:val="00397BB6"/>
    <w:rsid w:val="003A056F"/>
    <w:rsid w:val="003A096B"/>
    <w:rsid w:val="003A169E"/>
    <w:rsid w:val="003A18E0"/>
    <w:rsid w:val="003A2CDA"/>
    <w:rsid w:val="003A2EB7"/>
    <w:rsid w:val="003A3DAE"/>
    <w:rsid w:val="003A4D68"/>
    <w:rsid w:val="003A5644"/>
    <w:rsid w:val="003A5ACE"/>
    <w:rsid w:val="003A5F0D"/>
    <w:rsid w:val="003A6061"/>
    <w:rsid w:val="003A6841"/>
    <w:rsid w:val="003A75A4"/>
    <w:rsid w:val="003A7BE3"/>
    <w:rsid w:val="003A7EAC"/>
    <w:rsid w:val="003B303C"/>
    <w:rsid w:val="003B48A3"/>
    <w:rsid w:val="003B4AA9"/>
    <w:rsid w:val="003B5026"/>
    <w:rsid w:val="003C1C67"/>
    <w:rsid w:val="003C3683"/>
    <w:rsid w:val="003C3944"/>
    <w:rsid w:val="003C54F6"/>
    <w:rsid w:val="003D0259"/>
    <w:rsid w:val="003D0806"/>
    <w:rsid w:val="003D3165"/>
    <w:rsid w:val="003D4622"/>
    <w:rsid w:val="003D4B9F"/>
    <w:rsid w:val="003D5910"/>
    <w:rsid w:val="003D7953"/>
    <w:rsid w:val="003E0BC9"/>
    <w:rsid w:val="003E1AE7"/>
    <w:rsid w:val="003E1B21"/>
    <w:rsid w:val="003E39A4"/>
    <w:rsid w:val="003E474C"/>
    <w:rsid w:val="003E55B1"/>
    <w:rsid w:val="003E58F4"/>
    <w:rsid w:val="003E5EA0"/>
    <w:rsid w:val="003E64D1"/>
    <w:rsid w:val="003E7E38"/>
    <w:rsid w:val="003F014C"/>
    <w:rsid w:val="003F0F63"/>
    <w:rsid w:val="003F2628"/>
    <w:rsid w:val="003F2673"/>
    <w:rsid w:val="003F27E6"/>
    <w:rsid w:val="003F301C"/>
    <w:rsid w:val="003F39CE"/>
    <w:rsid w:val="003F3C46"/>
    <w:rsid w:val="003F400D"/>
    <w:rsid w:val="003F4607"/>
    <w:rsid w:val="003F4F3C"/>
    <w:rsid w:val="003F60EA"/>
    <w:rsid w:val="003F6517"/>
    <w:rsid w:val="003F6CD7"/>
    <w:rsid w:val="004001B0"/>
    <w:rsid w:val="004002F6"/>
    <w:rsid w:val="004007C5"/>
    <w:rsid w:val="00400877"/>
    <w:rsid w:val="00403280"/>
    <w:rsid w:val="004041DD"/>
    <w:rsid w:val="00404724"/>
    <w:rsid w:val="0040679A"/>
    <w:rsid w:val="0040773E"/>
    <w:rsid w:val="00410187"/>
    <w:rsid w:val="00412E95"/>
    <w:rsid w:val="004132BC"/>
    <w:rsid w:val="004137CA"/>
    <w:rsid w:val="0041480B"/>
    <w:rsid w:val="00414F2F"/>
    <w:rsid w:val="00415597"/>
    <w:rsid w:val="00415AAC"/>
    <w:rsid w:val="004162F6"/>
    <w:rsid w:val="0041728B"/>
    <w:rsid w:val="00420601"/>
    <w:rsid w:val="004214FF"/>
    <w:rsid w:val="004217D4"/>
    <w:rsid w:val="00423DDF"/>
    <w:rsid w:val="004265FA"/>
    <w:rsid w:val="00426B6B"/>
    <w:rsid w:val="004305C8"/>
    <w:rsid w:val="0043139F"/>
    <w:rsid w:val="004319DF"/>
    <w:rsid w:val="00431AE7"/>
    <w:rsid w:val="00431B5E"/>
    <w:rsid w:val="00431EB9"/>
    <w:rsid w:val="00431FCB"/>
    <w:rsid w:val="00432040"/>
    <w:rsid w:val="0043285E"/>
    <w:rsid w:val="00433259"/>
    <w:rsid w:val="004407E4"/>
    <w:rsid w:val="0044242F"/>
    <w:rsid w:val="00443A1B"/>
    <w:rsid w:val="00443A48"/>
    <w:rsid w:val="00445909"/>
    <w:rsid w:val="00446B4C"/>
    <w:rsid w:val="004505CC"/>
    <w:rsid w:val="00450CAC"/>
    <w:rsid w:val="004523E3"/>
    <w:rsid w:val="00452426"/>
    <w:rsid w:val="00452E78"/>
    <w:rsid w:val="004531B2"/>
    <w:rsid w:val="004546A1"/>
    <w:rsid w:val="004551BF"/>
    <w:rsid w:val="00455E82"/>
    <w:rsid w:val="004564CD"/>
    <w:rsid w:val="00460483"/>
    <w:rsid w:val="00460BD3"/>
    <w:rsid w:val="00461996"/>
    <w:rsid w:val="004620B7"/>
    <w:rsid w:val="0046250D"/>
    <w:rsid w:val="00462DDE"/>
    <w:rsid w:val="00464027"/>
    <w:rsid w:val="00464766"/>
    <w:rsid w:val="00464BD7"/>
    <w:rsid w:val="0046550D"/>
    <w:rsid w:val="00467305"/>
    <w:rsid w:val="00467CBA"/>
    <w:rsid w:val="00467CF4"/>
    <w:rsid w:val="0047013F"/>
    <w:rsid w:val="004708FD"/>
    <w:rsid w:val="00471291"/>
    <w:rsid w:val="004713F9"/>
    <w:rsid w:val="004719BA"/>
    <w:rsid w:val="00471E5A"/>
    <w:rsid w:val="00472F46"/>
    <w:rsid w:val="0047383A"/>
    <w:rsid w:val="00473AB3"/>
    <w:rsid w:val="00474777"/>
    <w:rsid w:val="00475113"/>
    <w:rsid w:val="00476674"/>
    <w:rsid w:val="00476833"/>
    <w:rsid w:val="00477A99"/>
    <w:rsid w:val="00477AAF"/>
    <w:rsid w:val="00477B20"/>
    <w:rsid w:val="00477E56"/>
    <w:rsid w:val="004807F8"/>
    <w:rsid w:val="0048126C"/>
    <w:rsid w:val="004813AC"/>
    <w:rsid w:val="00482A60"/>
    <w:rsid w:val="00482FF7"/>
    <w:rsid w:val="00483831"/>
    <w:rsid w:val="00483F24"/>
    <w:rsid w:val="00484964"/>
    <w:rsid w:val="00485191"/>
    <w:rsid w:val="00485449"/>
    <w:rsid w:val="004867E9"/>
    <w:rsid w:val="00486EDE"/>
    <w:rsid w:val="0048773E"/>
    <w:rsid w:val="004915CE"/>
    <w:rsid w:val="00492499"/>
    <w:rsid w:val="00492710"/>
    <w:rsid w:val="004944DB"/>
    <w:rsid w:val="0049553D"/>
    <w:rsid w:val="004963D0"/>
    <w:rsid w:val="004967A2"/>
    <w:rsid w:val="004A11F1"/>
    <w:rsid w:val="004A1BDA"/>
    <w:rsid w:val="004A317C"/>
    <w:rsid w:val="004A49BB"/>
    <w:rsid w:val="004A4F15"/>
    <w:rsid w:val="004A5843"/>
    <w:rsid w:val="004A76F0"/>
    <w:rsid w:val="004B1601"/>
    <w:rsid w:val="004B2F81"/>
    <w:rsid w:val="004B302B"/>
    <w:rsid w:val="004B32B6"/>
    <w:rsid w:val="004B3D1C"/>
    <w:rsid w:val="004B48E8"/>
    <w:rsid w:val="004B536A"/>
    <w:rsid w:val="004B63F6"/>
    <w:rsid w:val="004B6689"/>
    <w:rsid w:val="004B6E26"/>
    <w:rsid w:val="004B700C"/>
    <w:rsid w:val="004B7296"/>
    <w:rsid w:val="004B7F03"/>
    <w:rsid w:val="004C1107"/>
    <w:rsid w:val="004C1931"/>
    <w:rsid w:val="004C196A"/>
    <w:rsid w:val="004C2BBE"/>
    <w:rsid w:val="004C334C"/>
    <w:rsid w:val="004C5036"/>
    <w:rsid w:val="004C5985"/>
    <w:rsid w:val="004C6B84"/>
    <w:rsid w:val="004C6F61"/>
    <w:rsid w:val="004C78CB"/>
    <w:rsid w:val="004C7D01"/>
    <w:rsid w:val="004D11C4"/>
    <w:rsid w:val="004D13E6"/>
    <w:rsid w:val="004D236B"/>
    <w:rsid w:val="004D2F14"/>
    <w:rsid w:val="004D60B1"/>
    <w:rsid w:val="004D63F0"/>
    <w:rsid w:val="004D779D"/>
    <w:rsid w:val="004D7E82"/>
    <w:rsid w:val="004E06AE"/>
    <w:rsid w:val="004E1C59"/>
    <w:rsid w:val="004E2202"/>
    <w:rsid w:val="004E23CE"/>
    <w:rsid w:val="004E2C2E"/>
    <w:rsid w:val="004E3DA2"/>
    <w:rsid w:val="004E6601"/>
    <w:rsid w:val="004E67F3"/>
    <w:rsid w:val="004F2297"/>
    <w:rsid w:val="004F2D74"/>
    <w:rsid w:val="004F35DA"/>
    <w:rsid w:val="004F3941"/>
    <w:rsid w:val="004F4665"/>
    <w:rsid w:val="004F5238"/>
    <w:rsid w:val="004F5303"/>
    <w:rsid w:val="004F5752"/>
    <w:rsid w:val="004F5A2A"/>
    <w:rsid w:val="004F6C3A"/>
    <w:rsid w:val="004F6E70"/>
    <w:rsid w:val="005018EC"/>
    <w:rsid w:val="00502653"/>
    <w:rsid w:val="005031BB"/>
    <w:rsid w:val="005039D7"/>
    <w:rsid w:val="00504A10"/>
    <w:rsid w:val="00505E7B"/>
    <w:rsid w:val="00506DB2"/>
    <w:rsid w:val="00507BE1"/>
    <w:rsid w:val="00512468"/>
    <w:rsid w:val="0051284D"/>
    <w:rsid w:val="00513FD7"/>
    <w:rsid w:val="00514744"/>
    <w:rsid w:val="00514BB1"/>
    <w:rsid w:val="00515A33"/>
    <w:rsid w:val="00515C0D"/>
    <w:rsid w:val="00516583"/>
    <w:rsid w:val="005165F5"/>
    <w:rsid w:val="005171EB"/>
    <w:rsid w:val="00521028"/>
    <w:rsid w:val="005214C6"/>
    <w:rsid w:val="00523622"/>
    <w:rsid w:val="00524031"/>
    <w:rsid w:val="00525596"/>
    <w:rsid w:val="00525AFA"/>
    <w:rsid w:val="00525C3B"/>
    <w:rsid w:val="00526111"/>
    <w:rsid w:val="005266CA"/>
    <w:rsid w:val="00526CA6"/>
    <w:rsid w:val="0053078C"/>
    <w:rsid w:val="0053270A"/>
    <w:rsid w:val="005328BB"/>
    <w:rsid w:val="005333C8"/>
    <w:rsid w:val="0053389A"/>
    <w:rsid w:val="00534333"/>
    <w:rsid w:val="00536235"/>
    <w:rsid w:val="0053629C"/>
    <w:rsid w:val="005406A0"/>
    <w:rsid w:val="00541279"/>
    <w:rsid w:val="0054207C"/>
    <w:rsid w:val="005424EF"/>
    <w:rsid w:val="005442B5"/>
    <w:rsid w:val="005454E2"/>
    <w:rsid w:val="005462EE"/>
    <w:rsid w:val="0054655E"/>
    <w:rsid w:val="0054781E"/>
    <w:rsid w:val="0055165B"/>
    <w:rsid w:val="005518D8"/>
    <w:rsid w:val="00552FD7"/>
    <w:rsid w:val="0055307D"/>
    <w:rsid w:val="00553315"/>
    <w:rsid w:val="00555DF4"/>
    <w:rsid w:val="0055706A"/>
    <w:rsid w:val="00557DDA"/>
    <w:rsid w:val="00560D9E"/>
    <w:rsid w:val="005614FD"/>
    <w:rsid w:val="005615AB"/>
    <w:rsid w:val="00562E5F"/>
    <w:rsid w:val="00562F8F"/>
    <w:rsid w:val="0056390F"/>
    <w:rsid w:val="00563E56"/>
    <w:rsid w:val="005647E0"/>
    <w:rsid w:val="00564812"/>
    <w:rsid w:val="00564C1B"/>
    <w:rsid w:val="00565E69"/>
    <w:rsid w:val="00566A6C"/>
    <w:rsid w:val="00566EBC"/>
    <w:rsid w:val="00566EF1"/>
    <w:rsid w:val="005677F4"/>
    <w:rsid w:val="0057094A"/>
    <w:rsid w:val="00570B71"/>
    <w:rsid w:val="00571B1D"/>
    <w:rsid w:val="005722A2"/>
    <w:rsid w:val="00573DBF"/>
    <w:rsid w:val="005741A6"/>
    <w:rsid w:val="00574566"/>
    <w:rsid w:val="00574769"/>
    <w:rsid w:val="00575A10"/>
    <w:rsid w:val="0058133C"/>
    <w:rsid w:val="00581544"/>
    <w:rsid w:val="00581970"/>
    <w:rsid w:val="00583C5D"/>
    <w:rsid w:val="00584311"/>
    <w:rsid w:val="00584891"/>
    <w:rsid w:val="00585436"/>
    <w:rsid w:val="005864F3"/>
    <w:rsid w:val="0058651D"/>
    <w:rsid w:val="005867A2"/>
    <w:rsid w:val="005901EE"/>
    <w:rsid w:val="0059211C"/>
    <w:rsid w:val="0059287C"/>
    <w:rsid w:val="00592E63"/>
    <w:rsid w:val="0059371D"/>
    <w:rsid w:val="00593FF0"/>
    <w:rsid w:val="00596E09"/>
    <w:rsid w:val="005A0D39"/>
    <w:rsid w:val="005A1878"/>
    <w:rsid w:val="005A1B33"/>
    <w:rsid w:val="005A23CB"/>
    <w:rsid w:val="005A25D2"/>
    <w:rsid w:val="005A26D8"/>
    <w:rsid w:val="005A2EAE"/>
    <w:rsid w:val="005A35EF"/>
    <w:rsid w:val="005A3E55"/>
    <w:rsid w:val="005A3F7E"/>
    <w:rsid w:val="005A407F"/>
    <w:rsid w:val="005A4143"/>
    <w:rsid w:val="005A5653"/>
    <w:rsid w:val="005A576D"/>
    <w:rsid w:val="005A625F"/>
    <w:rsid w:val="005A79F7"/>
    <w:rsid w:val="005B1094"/>
    <w:rsid w:val="005B171D"/>
    <w:rsid w:val="005B3A78"/>
    <w:rsid w:val="005B5A3F"/>
    <w:rsid w:val="005B72FC"/>
    <w:rsid w:val="005C1B08"/>
    <w:rsid w:val="005C1D85"/>
    <w:rsid w:val="005C1EC7"/>
    <w:rsid w:val="005C2356"/>
    <w:rsid w:val="005C309E"/>
    <w:rsid w:val="005C41D5"/>
    <w:rsid w:val="005C4223"/>
    <w:rsid w:val="005C7D68"/>
    <w:rsid w:val="005D0E86"/>
    <w:rsid w:val="005D1019"/>
    <w:rsid w:val="005D20E1"/>
    <w:rsid w:val="005D2300"/>
    <w:rsid w:val="005D233E"/>
    <w:rsid w:val="005D2531"/>
    <w:rsid w:val="005D431C"/>
    <w:rsid w:val="005D4DB1"/>
    <w:rsid w:val="005D4EBB"/>
    <w:rsid w:val="005D6BE5"/>
    <w:rsid w:val="005D7150"/>
    <w:rsid w:val="005D7DEE"/>
    <w:rsid w:val="005D7FC3"/>
    <w:rsid w:val="005E05BA"/>
    <w:rsid w:val="005E0856"/>
    <w:rsid w:val="005E0DCC"/>
    <w:rsid w:val="005E1050"/>
    <w:rsid w:val="005E1A42"/>
    <w:rsid w:val="005E2146"/>
    <w:rsid w:val="005E2EC8"/>
    <w:rsid w:val="005E3236"/>
    <w:rsid w:val="005E330F"/>
    <w:rsid w:val="005E59B6"/>
    <w:rsid w:val="005F007E"/>
    <w:rsid w:val="005F0580"/>
    <w:rsid w:val="005F3B58"/>
    <w:rsid w:val="005F4C42"/>
    <w:rsid w:val="005F55B0"/>
    <w:rsid w:val="005F6BC7"/>
    <w:rsid w:val="005F7025"/>
    <w:rsid w:val="00600632"/>
    <w:rsid w:val="00600AA8"/>
    <w:rsid w:val="00603BAC"/>
    <w:rsid w:val="00603DC5"/>
    <w:rsid w:val="00604642"/>
    <w:rsid w:val="00604EEB"/>
    <w:rsid w:val="0060522F"/>
    <w:rsid w:val="006065C5"/>
    <w:rsid w:val="00606675"/>
    <w:rsid w:val="0060699A"/>
    <w:rsid w:val="00606BD6"/>
    <w:rsid w:val="006078E8"/>
    <w:rsid w:val="00610773"/>
    <w:rsid w:val="00610F15"/>
    <w:rsid w:val="0061105D"/>
    <w:rsid w:val="006111DA"/>
    <w:rsid w:val="00611F03"/>
    <w:rsid w:val="00612377"/>
    <w:rsid w:val="006145B8"/>
    <w:rsid w:val="00615555"/>
    <w:rsid w:val="0061597D"/>
    <w:rsid w:val="00615E00"/>
    <w:rsid w:val="00617610"/>
    <w:rsid w:val="00617B29"/>
    <w:rsid w:val="006208F2"/>
    <w:rsid w:val="00622949"/>
    <w:rsid w:val="00624D11"/>
    <w:rsid w:val="00624E2A"/>
    <w:rsid w:val="00625367"/>
    <w:rsid w:val="0062570A"/>
    <w:rsid w:val="00625748"/>
    <w:rsid w:val="006264C3"/>
    <w:rsid w:val="00626F04"/>
    <w:rsid w:val="00627229"/>
    <w:rsid w:val="00627437"/>
    <w:rsid w:val="00627F86"/>
    <w:rsid w:val="00630530"/>
    <w:rsid w:val="00630EE8"/>
    <w:rsid w:val="0063116B"/>
    <w:rsid w:val="00631DE4"/>
    <w:rsid w:val="00632D73"/>
    <w:rsid w:val="00633CCE"/>
    <w:rsid w:val="00636CD4"/>
    <w:rsid w:val="00637556"/>
    <w:rsid w:val="0063769D"/>
    <w:rsid w:val="00637BE8"/>
    <w:rsid w:val="00640479"/>
    <w:rsid w:val="00642330"/>
    <w:rsid w:val="00642C80"/>
    <w:rsid w:val="00643D85"/>
    <w:rsid w:val="00643F6E"/>
    <w:rsid w:val="00645676"/>
    <w:rsid w:val="00645C37"/>
    <w:rsid w:val="006464FB"/>
    <w:rsid w:val="0064764A"/>
    <w:rsid w:val="00650F3E"/>
    <w:rsid w:val="006517F8"/>
    <w:rsid w:val="00651CA0"/>
    <w:rsid w:val="006534AE"/>
    <w:rsid w:val="00653DE8"/>
    <w:rsid w:val="00654B86"/>
    <w:rsid w:val="00654FEF"/>
    <w:rsid w:val="00655DCA"/>
    <w:rsid w:val="0065667E"/>
    <w:rsid w:val="00656C9B"/>
    <w:rsid w:val="00657372"/>
    <w:rsid w:val="00660141"/>
    <w:rsid w:val="00660277"/>
    <w:rsid w:val="0066107F"/>
    <w:rsid w:val="006611FB"/>
    <w:rsid w:val="00663B59"/>
    <w:rsid w:val="0066578F"/>
    <w:rsid w:val="006704BC"/>
    <w:rsid w:val="00671198"/>
    <w:rsid w:val="00671493"/>
    <w:rsid w:val="006716AA"/>
    <w:rsid w:val="006716F5"/>
    <w:rsid w:val="006738FF"/>
    <w:rsid w:val="00674023"/>
    <w:rsid w:val="00675BD3"/>
    <w:rsid w:val="00675E70"/>
    <w:rsid w:val="00677B53"/>
    <w:rsid w:val="0068164B"/>
    <w:rsid w:val="006829F2"/>
    <w:rsid w:val="00682E4C"/>
    <w:rsid w:val="00683526"/>
    <w:rsid w:val="00684E7E"/>
    <w:rsid w:val="00685546"/>
    <w:rsid w:val="0068696E"/>
    <w:rsid w:val="00691D2A"/>
    <w:rsid w:val="006928EA"/>
    <w:rsid w:val="00693A74"/>
    <w:rsid w:val="00695688"/>
    <w:rsid w:val="00695F11"/>
    <w:rsid w:val="006966CE"/>
    <w:rsid w:val="0069689D"/>
    <w:rsid w:val="00697904"/>
    <w:rsid w:val="006A0C0B"/>
    <w:rsid w:val="006A0DF5"/>
    <w:rsid w:val="006A18B8"/>
    <w:rsid w:val="006A1ECB"/>
    <w:rsid w:val="006A39F6"/>
    <w:rsid w:val="006A4680"/>
    <w:rsid w:val="006A5292"/>
    <w:rsid w:val="006A57D7"/>
    <w:rsid w:val="006A796B"/>
    <w:rsid w:val="006B2BBD"/>
    <w:rsid w:val="006B36A7"/>
    <w:rsid w:val="006B3BC9"/>
    <w:rsid w:val="006B3BEB"/>
    <w:rsid w:val="006B4CC0"/>
    <w:rsid w:val="006B4E4E"/>
    <w:rsid w:val="006B560A"/>
    <w:rsid w:val="006B5987"/>
    <w:rsid w:val="006B5A7A"/>
    <w:rsid w:val="006B76F0"/>
    <w:rsid w:val="006C0475"/>
    <w:rsid w:val="006C151B"/>
    <w:rsid w:val="006C215C"/>
    <w:rsid w:val="006C2EE6"/>
    <w:rsid w:val="006C3ACE"/>
    <w:rsid w:val="006C577D"/>
    <w:rsid w:val="006C5A82"/>
    <w:rsid w:val="006C5BCA"/>
    <w:rsid w:val="006C5EE5"/>
    <w:rsid w:val="006C6030"/>
    <w:rsid w:val="006D1050"/>
    <w:rsid w:val="006D2B76"/>
    <w:rsid w:val="006D30D1"/>
    <w:rsid w:val="006D3AF3"/>
    <w:rsid w:val="006D45B7"/>
    <w:rsid w:val="006D5C6E"/>
    <w:rsid w:val="006D67E4"/>
    <w:rsid w:val="006D6C27"/>
    <w:rsid w:val="006D735B"/>
    <w:rsid w:val="006D7822"/>
    <w:rsid w:val="006E09A1"/>
    <w:rsid w:val="006E328B"/>
    <w:rsid w:val="006E4DCF"/>
    <w:rsid w:val="006F1635"/>
    <w:rsid w:val="006F1FE0"/>
    <w:rsid w:val="006F21B6"/>
    <w:rsid w:val="006F2294"/>
    <w:rsid w:val="006F303D"/>
    <w:rsid w:val="006F32CE"/>
    <w:rsid w:val="006F369B"/>
    <w:rsid w:val="006F44D7"/>
    <w:rsid w:val="006F4EA3"/>
    <w:rsid w:val="006F70EE"/>
    <w:rsid w:val="006F7C2B"/>
    <w:rsid w:val="00700EB5"/>
    <w:rsid w:val="0070144A"/>
    <w:rsid w:val="00702460"/>
    <w:rsid w:val="007027F9"/>
    <w:rsid w:val="0070333F"/>
    <w:rsid w:val="007047E4"/>
    <w:rsid w:val="0070527E"/>
    <w:rsid w:val="0070546B"/>
    <w:rsid w:val="0070600F"/>
    <w:rsid w:val="00707916"/>
    <w:rsid w:val="00707C28"/>
    <w:rsid w:val="007110A4"/>
    <w:rsid w:val="007111C2"/>
    <w:rsid w:val="00711CF1"/>
    <w:rsid w:val="00713683"/>
    <w:rsid w:val="00715196"/>
    <w:rsid w:val="007167CF"/>
    <w:rsid w:val="00717D5F"/>
    <w:rsid w:val="00720C76"/>
    <w:rsid w:val="0072136F"/>
    <w:rsid w:val="0072141C"/>
    <w:rsid w:val="0072224B"/>
    <w:rsid w:val="007225B2"/>
    <w:rsid w:val="007225EA"/>
    <w:rsid w:val="00723290"/>
    <w:rsid w:val="00724ED0"/>
    <w:rsid w:val="00727A11"/>
    <w:rsid w:val="00731BC2"/>
    <w:rsid w:val="00731EAA"/>
    <w:rsid w:val="00733157"/>
    <w:rsid w:val="00733924"/>
    <w:rsid w:val="00735BAC"/>
    <w:rsid w:val="007361A1"/>
    <w:rsid w:val="0074045A"/>
    <w:rsid w:val="0074247A"/>
    <w:rsid w:val="0074581F"/>
    <w:rsid w:val="00745A6B"/>
    <w:rsid w:val="007461D5"/>
    <w:rsid w:val="00746469"/>
    <w:rsid w:val="00746A15"/>
    <w:rsid w:val="00746BFE"/>
    <w:rsid w:val="00747487"/>
    <w:rsid w:val="00747EE9"/>
    <w:rsid w:val="00750093"/>
    <w:rsid w:val="00752593"/>
    <w:rsid w:val="00752EEC"/>
    <w:rsid w:val="007533ED"/>
    <w:rsid w:val="00753D3C"/>
    <w:rsid w:val="00753E9C"/>
    <w:rsid w:val="00753F6B"/>
    <w:rsid w:val="00754613"/>
    <w:rsid w:val="00754827"/>
    <w:rsid w:val="00754E50"/>
    <w:rsid w:val="00755CB5"/>
    <w:rsid w:val="00755DB7"/>
    <w:rsid w:val="00755FCD"/>
    <w:rsid w:val="00757EE6"/>
    <w:rsid w:val="00760759"/>
    <w:rsid w:val="00760C79"/>
    <w:rsid w:val="00762700"/>
    <w:rsid w:val="00762AFB"/>
    <w:rsid w:val="00763525"/>
    <w:rsid w:val="007636DA"/>
    <w:rsid w:val="007636EA"/>
    <w:rsid w:val="00763E13"/>
    <w:rsid w:val="007653E2"/>
    <w:rsid w:val="00770821"/>
    <w:rsid w:val="007710F6"/>
    <w:rsid w:val="007719EA"/>
    <w:rsid w:val="007723FB"/>
    <w:rsid w:val="007742D3"/>
    <w:rsid w:val="00774F7E"/>
    <w:rsid w:val="00776602"/>
    <w:rsid w:val="00777522"/>
    <w:rsid w:val="00780106"/>
    <w:rsid w:val="0078155C"/>
    <w:rsid w:val="00781994"/>
    <w:rsid w:val="00781F29"/>
    <w:rsid w:val="0078294E"/>
    <w:rsid w:val="00782B60"/>
    <w:rsid w:val="0078324E"/>
    <w:rsid w:val="007834BF"/>
    <w:rsid w:val="00783C45"/>
    <w:rsid w:val="00786DE6"/>
    <w:rsid w:val="007873EF"/>
    <w:rsid w:val="00787F04"/>
    <w:rsid w:val="00791321"/>
    <w:rsid w:val="00794E0C"/>
    <w:rsid w:val="00794FE2"/>
    <w:rsid w:val="0079589E"/>
    <w:rsid w:val="00796B0B"/>
    <w:rsid w:val="00797146"/>
    <w:rsid w:val="00797AB8"/>
    <w:rsid w:val="00797E38"/>
    <w:rsid w:val="007A1346"/>
    <w:rsid w:val="007A1611"/>
    <w:rsid w:val="007A5D5F"/>
    <w:rsid w:val="007A7575"/>
    <w:rsid w:val="007B0147"/>
    <w:rsid w:val="007B11EF"/>
    <w:rsid w:val="007B2422"/>
    <w:rsid w:val="007B3ECC"/>
    <w:rsid w:val="007B5B02"/>
    <w:rsid w:val="007B7C21"/>
    <w:rsid w:val="007C3C77"/>
    <w:rsid w:val="007C41C7"/>
    <w:rsid w:val="007C5582"/>
    <w:rsid w:val="007C5B8F"/>
    <w:rsid w:val="007C5C8D"/>
    <w:rsid w:val="007C66D5"/>
    <w:rsid w:val="007C708E"/>
    <w:rsid w:val="007D1543"/>
    <w:rsid w:val="007D32EF"/>
    <w:rsid w:val="007D6039"/>
    <w:rsid w:val="007D69E7"/>
    <w:rsid w:val="007E0328"/>
    <w:rsid w:val="007E21B2"/>
    <w:rsid w:val="007E2954"/>
    <w:rsid w:val="007E3324"/>
    <w:rsid w:val="007E3696"/>
    <w:rsid w:val="007E79EA"/>
    <w:rsid w:val="007F113C"/>
    <w:rsid w:val="007F19DA"/>
    <w:rsid w:val="007F23FB"/>
    <w:rsid w:val="007F290F"/>
    <w:rsid w:val="007F3696"/>
    <w:rsid w:val="007F3FCB"/>
    <w:rsid w:val="007F40F7"/>
    <w:rsid w:val="007F5167"/>
    <w:rsid w:val="007F76FB"/>
    <w:rsid w:val="007F7932"/>
    <w:rsid w:val="00801159"/>
    <w:rsid w:val="0080116C"/>
    <w:rsid w:val="00802F9F"/>
    <w:rsid w:val="00803740"/>
    <w:rsid w:val="00804D19"/>
    <w:rsid w:val="0080563D"/>
    <w:rsid w:val="0080749C"/>
    <w:rsid w:val="00807582"/>
    <w:rsid w:val="00811905"/>
    <w:rsid w:val="0081253F"/>
    <w:rsid w:val="008140A2"/>
    <w:rsid w:val="00814EBD"/>
    <w:rsid w:val="00817A01"/>
    <w:rsid w:val="008205C3"/>
    <w:rsid w:val="008215E0"/>
    <w:rsid w:val="00821741"/>
    <w:rsid w:val="00821C69"/>
    <w:rsid w:val="00822019"/>
    <w:rsid w:val="00822330"/>
    <w:rsid w:val="00822E35"/>
    <w:rsid w:val="008234A1"/>
    <w:rsid w:val="00823D9B"/>
    <w:rsid w:val="0082446F"/>
    <w:rsid w:val="00826908"/>
    <w:rsid w:val="008301CB"/>
    <w:rsid w:val="00831543"/>
    <w:rsid w:val="00831567"/>
    <w:rsid w:val="008317C0"/>
    <w:rsid w:val="0083201A"/>
    <w:rsid w:val="00832B25"/>
    <w:rsid w:val="00835D9F"/>
    <w:rsid w:val="00836618"/>
    <w:rsid w:val="00836FB7"/>
    <w:rsid w:val="008377B2"/>
    <w:rsid w:val="00837D16"/>
    <w:rsid w:val="0084041F"/>
    <w:rsid w:val="008410A0"/>
    <w:rsid w:val="00842D26"/>
    <w:rsid w:val="0084307D"/>
    <w:rsid w:val="00843615"/>
    <w:rsid w:val="00843C16"/>
    <w:rsid w:val="00844547"/>
    <w:rsid w:val="008477DC"/>
    <w:rsid w:val="0085072D"/>
    <w:rsid w:val="00850DCF"/>
    <w:rsid w:val="00851225"/>
    <w:rsid w:val="00852141"/>
    <w:rsid w:val="00853A40"/>
    <w:rsid w:val="00853EE1"/>
    <w:rsid w:val="008541C6"/>
    <w:rsid w:val="00854CDE"/>
    <w:rsid w:val="00855D92"/>
    <w:rsid w:val="00856890"/>
    <w:rsid w:val="0086027B"/>
    <w:rsid w:val="008612C6"/>
    <w:rsid w:val="008615AF"/>
    <w:rsid w:val="008628AE"/>
    <w:rsid w:val="00863A1D"/>
    <w:rsid w:val="00863A87"/>
    <w:rsid w:val="00863FD6"/>
    <w:rsid w:val="008651FC"/>
    <w:rsid w:val="0086554E"/>
    <w:rsid w:val="008668B2"/>
    <w:rsid w:val="00866E96"/>
    <w:rsid w:val="00867A54"/>
    <w:rsid w:val="0087165B"/>
    <w:rsid w:val="008719F9"/>
    <w:rsid w:val="008726C3"/>
    <w:rsid w:val="0087289F"/>
    <w:rsid w:val="00873412"/>
    <w:rsid w:val="00874F51"/>
    <w:rsid w:val="008778A2"/>
    <w:rsid w:val="00877CCA"/>
    <w:rsid w:val="00877FF2"/>
    <w:rsid w:val="00880086"/>
    <w:rsid w:val="00880CAF"/>
    <w:rsid w:val="008811A5"/>
    <w:rsid w:val="008812DB"/>
    <w:rsid w:val="008815AB"/>
    <w:rsid w:val="008826D7"/>
    <w:rsid w:val="008844B1"/>
    <w:rsid w:val="008845C5"/>
    <w:rsid w:val="00884AC4"/>
    <w:rsid w:val="00884B13"/>
    <w:rsid w:val="00884F81"/>
    <w:rsid w:val="008855B4"/>
    <w:rsid w:val="0089017B"/>
    <w:rsid w:val="00891726"/>
    <w:rsid w:val="00891C88"/>
    <w:rsid w:val="00891E6B"/>
    <w:rsid w:val="0089245A"/>
    <w:rsid w:val="00894C3B"/>
    <w:rsid w:val="00895B49"/>
    <w:rsid w:val="00896F84"/>
    <w:rsid w:val="00897110"/>
    <w:rsid w:val="008A38A6"/>
    <w:rsid w:val="008A4CFE"/>
    <w:rsid w:val="008A6367"/>
    <w:rsid w:val="008A7321"/>
    <w:rsid w:val="008A7777"/>
    <w:rsid w:val="008B0C0A"/>
    <w:rsid w:val="008B11CE"/>
    <w:rsid w:val="008B18BF"/>
    <w:rsid w:val="008B3775"/>
    <w:rsid w:val="008B3886"/>
    <w:rsid w:val="008B389B"/>
    <w:rsid w:val="008B4CC8"/>
    <w:rsid w:val="008B506C"/>
    <w:rsid w:val="008C062F"/>
    <w:rsid w:val="008C0F8D"/>
    <w:rsid w:val="008C25E9"/>
    <w:rsid w:val="008C28E8"/>
    <w:rsid w:val="008C6661"/>
    <w:rsid w:val="008C7BD2"/>
    <w:rsid w:val="008D017C"/>
    <w:rsid w:val="008D1AB5"/>
    <w:rsid w:val="008D22D3"/>
    <w:rsid w:val="008D29B3"/>
    <w:rsid w:val="008D3343"/>
    <w:rsid w:val="008D37CE"/>
    <w:rsid w:val="008D3EAB"/>
    <w:rsid w:val="008D3EEE"/>
    <w:rsid w:val="008D3FD2"/>
    <w:rsid w:val="008D51FD"/>
    <w:rsid w:val="008D5A43"/>
    <w:rsid w:val="008D6714"/>
    <w:rsid w:val="008D68E1"/>
    <w:rsid w:val="008D7E4E"/>
    <w:rsid w:val="008E07A9"/>
    <w:rsid w:val="008E13D5"/>
    <w:rsid w:val="008E1671"/>
    <w:rsid w:val="008E1DAB"/>
    <w:rsid w:val="008E27E7"/>
    <w:rsid w:val="008E2C37"/>
    <w:rsid w:val="008E2D92"/>
    <w:rsid w:val="008E3499"/>
    <w:rsid w:val="008E3DEC"/>
    <w:rsid w:val="008E47E1"/>
    <w:rsid w:val="008E488A"/>
    <w:rsid w:val="008E5AFB"/>
    <w:rsid w:val="008E657D"/>
    <w:rsid w:val="008E718C"/>
    <w:rsid w:val="008E782A"/>
    <w:rsid w:val="008F20BD"/>
    <w:rsid w:val="008F264C"/>
    <w:rsid w:val="008F35D4"/>
    <w:rsid w:val="008F4DE0"/>
    <w:rsid w:val="008F4E77"/>
    <w:rsid w:val="008F50BC"/>
    <w:rsid w:val="008F6DB3"/>
    <w:rsid w:val="009002D1"/>
    <w:rsid w:val="0090042F"/>
    <w:rsid w:val="00906ED0"/>
    <w:rsid w:val="009077D1"/>
    <w:rsid w:val="00907B01"/>
    <w:rsid w:val="00907E30"/>
    <w:rsid w:val="00911391"/>
    <w:rsid w:val="0091360B"/>
    <w:rsid w:val="00913B5E"/>
    <w:rsid w:val="00914CD5"/>
    <w:rsid w:val="0091525A"/>
    <w:rsid w:val="00916F13"/>
    <w:rsid w:val="00917092"/>
    <w:rsid w:val="00921664"/>
    <w:rsid w:val="00921FB2"/>
    <w:rsid w:val="0092269F"/>
    <w:rsid w:val="00924625"/>
    <w:rsid w:val="009247AF"/>
    <w:rsid w:val="00925FD8"/>
    <w:rsid w:val="009263BD"/>
    <w:rsid w:val="0092654B"/>
    <w:rsid w:val="00926EEF"/>
    <w:rsid w:val="00927819"/>
    <w:rsid w:val="009278E6"/>
    <w:rsid w:val="00927ACA"/>
    <w:rsid w:val="00932F22"/>
    <w:rsid w:val="00933494"/>
    <w:rsid w:val="00933AA5"/>
    <w:rsid w:val="0093448E"/>
    <w:rsid w:val="009346CA"/>
    <w:rsid w:val="00934F65"/>
    <w:rsid w:val="00935779"/>
    <w:rsid w:val="00936AC8"/>
    <w:rsid w:val="00937B68"/>
    <w:rsid w:val="0094018B"/>
    <w:rsid w:val="009402CE"/>
    <w:rsid w:val="00940CAC"/>
    <w:rsid w:val="00942FEE"/>
    <w:rsid w:val="00943475"/>
    <w:rsid w:val="009434A1"/>
    <w:rsid w:val="0094350E"/>
    <w:rsid w:val="00943FD0"/>
    <w:rsid w:val="00944D69"/>
    <w:rsid w:val="009455CB"/>
    <w:rsid w:val="00945938"/>
    <w:rsid w:val="00946842"/>
    <w:rsid w:val="00946848"/>
    <w:rsid w:val="0094713D"/>
    <w:rsid w:val="00947A95"/>
    <w:rsid w:val="00950314"/>
    <w:rsid w:val="009529C4"/>
    <w:rsid w:val="00953F68"/>
    <w:rsid w:val="009543BC"/>
    <w:rsid w:val="00954ECD"/>
    <w:rsid w:val="00957D40"/>
    <w:rsid w:val="009604C8"/>
    <w:rsid w:val="0096227E"/>
    <w:rsid w:val="0096241D"/>
    <w:rsid w:val="00962D68"/>
    <w:rsid w:val="00963559"/>
    <w:rsid w:val="00963B4D"/>
    <w:rsid w:val="0096422D"/>
    <w:rsid w:val="009661F8"/>
    <w:rsid w:val="00966FE8"/>
    <w:rsid w:val="009676AC"/>
    <w:rsid w:val="009677DD"/>
    <w:rsid w:val="00971228"/>
    <w:rsid w:val="00971820"/>
    <w:rsid w:val="009752BE"/>
    <w:rsid w:val="00975541"/>
    <w:rsid w:val="0097703D"/>
    <w:rsid w:val="00977CE9"/>
    <w:rsid w:val="00977F18"/>
    <w:rsid w:val="009814E2"/>
    <w:rsid w:val="00981813"/>
    <w:rsid w:val="00981F81"/>
    <w:rsid w:val="00983F69"/>
    <w:rsid w:val="0098644A"/>
    <w:rsid w:val="00986B2C"/>
    <w:rsid w:val="009908EB"/>
    <w:rsid w:val="00992089"/>
    <w:rsid w:val="00992BBA"/>
    <w:rsid w:val="009942A6"/>
    <w:rsid w:val="009943CE"/>
    <w:rsid w:val="0099527D"/>
    <w:rsid w:val="00995611"/>
    <w:rsid w:val="009967C9"/>
    <w:rsid w:val="009A1095"/>
    <w:rsid w:val="009A1C53"/>
    <w:rsid w:val="009A28D0"/>
    <w:rsid w:val="009A2923"/>
    <w:rsid w:val="009A30AE"/>
    <w:rsid w:val="009A5CC3"/>
    <w:rsid w:val="009A6A68"/>
    <w:rsid w:val="009A6E62"/>
    <w:rsid w:val="009B02DC"/>
    <w:rsid w:val="009B0EB8"/>
    <w:rsid w:val="009B118D"/>
    <w:rsid w:val="009B171B"/>
    <w:rsid w:val="009B2690"/>
    <w:rsid w:val="009B29DC"/>
    <w:rsid w:val="009B3E33"/>
    <w:rsid w:val="009B438E"/>
    <w:rsid w:val="009B4BAE"/>
    <w:rsid w:val="009B4C64"/>
    <w:rsid w:val="009B4FA2"/>
    <w:rsid w:val="009B581B"/>
    <w:rsid w:val="009B5F09"/>
    <w:rsid w:val="009B6504"/>
    <w:rsid w:val="009B6FBE"/>
    <w:rsid w:val="009B7B00"/>
    <w:rsid w:val="009C24FE"/>
    <w:rsid w:val="009C2F76"/>
    <w:rsid w:val="009C356E"/>
    <w:rsid w:val="009C39E2"/>
    <w:rsid w:val="009C4019"/>
    <w:rsid w:val="009C4CF1"/>
    <w:rsid w:val="009C4E4B"/>
    <w:rsid w:val="009C5EF6"/>
    <w:rsid w:val="009C70AA"/>
    <w:rsid w:val="009C72CE"/>
    <w:rsid w:val="009C7DC1"/>
    <w:rsid w:val="009D0359"/>
    <w:rsid w:val="009D23D8"/>
    <w:rsid w:val="009D33F8"/>
    <w:rsid w:val="009D482B"/>
    <w:rsid w:val="009D4BF1"/>
    <w:rsid w:val="009D4C02"/>
    <w:rsid w:val="009D4E49"/>
    <w:rsid w:val="009D5100"/>
    <w:rsid w:val="009D6573"/>
    <w:rsid w:val="009D6EB2"/>
    <w:rsid w:val="009E1109"/>
    <w:rsid w:val="009E3C6C"/>
    <w:rsid w:val="009E3DDA"/>
    <w:rsid w:val="009E5CFC"/>
    <w:rsid w:val="009E675A"/>
    <w:rsid w:val="009F1E9E"/>
    <w:rsid w:val="009F2049"/>
    <w:rsid w:val="009F447A"/>
    <w:rsid w:val="009F496A"/>
    <w:rsid w:val="009F6446"/>
    <w:rsid w:val="009F77B0"/>
    <w:rsid w:val="00A0058B"/>
    <w:rsid w:val="00A0091B"/>
    <w:rsid w:val="00A01510"/>
    <w:rsid w:val="00A01DFF"/>
    <w:rsid w:val="00A0282F"/>
    <w:rsid w:val="00A02EC5"/>
    <w:rsid w:val="00A03E1C"/>
    <w:rsid w:val="00A058F1"/>
    <w:rsid w:val="00A06AA1"/>
    <w:rsid w:val="00A07514"/>
    <w:rsid w:val="00A1067B"/>
    <w:rsid w:val="00A112AD"/>
    <w:rsid w:val="00A1215E"/>
    <w:rsid w:val="00A15E2A"/>
    <w:rsid w:val="00A17A6A"/>
    <w:rsid w:val="00A208C3"/>
    <w:rsid w:val="00A224D3"/>
    <w:rsid w:val="00A23640"/>
    <w:rsid w:val="00A23698"/>
    <w:rsid w:val="00A252AD"/>
    <w:rsid w:val="00A2722D"/>
    <w:rsid w:val="00A3094D"/>
    <w:rsid w:val="00A31255"/>
    <w:rsid w:val="00A3159C"/>
    <w:rsid w:val="00A318F4"/>
    <w:rsid w:val="00A31CBE"/>
    <w:rsid w:val="00A32402"/>
    <w:rsid w:val="00A3281F"/>
    <w:rsid w:val="00A3324A"/>
    <w:rsid w:val="00A33659"/>
    <w:rsid w:val="00A33C13"/>
    <w:rsid w:val="00A36F09"/>
    <w:rsid w:val="00A37B74"/>
    <w:rsid w:val="00A37CB0"/>
    <w:rsid w:val="00A42F6D"/>
    <w:rsid w:val="00A44522"/>
    <w:rsid w:val="00A44578"/>
    <w:rsid w:val="00A451A4"/>
    <w:rsid w:val="00A45A11"/>
    <w:rsid w:val="00A47ECF"/>
    <w:rsid w:val="00A501CA"/>
    <w:rsid w:val="00A5029C"/>
    <w:rsid w:val="00A5162D"/>
    <w:rsid w:val="00A53F69"/>
    <w:rsid w:val="00A54255"/>
    <w:rsid w:val="00A54BDA"/>
    <w:rsid w:val="00A57053"/>
    <w:rsid w:val="00A57398"/>
    <w:rsid w:val="00A57F5C"/>
    <w:rsid w:val="00A6055B"/>
    <w:rsid w:val="00A611F5"/>
    <w:rsid w:val="00A62D3C"/>
    <w:rsid w:val="00A63180"/>
    <w:rsid w:val="00A646A2"/>
    <w:rsid w:val="00A654E5"/>
    <w:rsid w:val="00A65983"/>
    <w:rsid w:val="00A65F01"/>
    <w:rsid w:val="00A66698"/>
    <w:rsid w:val="00A66783"/>
    <w:rsid w:val="00A67090"/>
    <w:rsid w:val="00A67C30"/>
    <w:rsid w:val="00A67D09"/>
    <w:rsid w:val="00A705AA"/>
    <w:rsid w:val="00A705FF"/>
    <w:rsid w:val="00A70DA8"/>
    <w:rsid w:val="00A70EAC"/>
    <w:rsid w:val="00A73552"/>
    <w:rsid w:val="00A735B7"/>
    <w:rsid w:val="00A74852"/>
    <w:rsid w:val="00A74DBC"/>
    <w:rsid w:val="00A75B20"/>
    <w:rsid w:val="00A75FE0"/>
    <w:rsid w:val="00A76785"/>
    <w:rsid w:val="00A76B5D"/>
    <w:rsid w:val="00A76B98"/>
    <w:rsid w:val="00A770AF"/>
    <w:rsid w:val="00A82CDE"/>
    <w:rsid w:val="00A84149"/>
    <w:rsid w:val="00A84F74"/>
    <w:rsid w:val="00A85764"/>
    <w:rsid w:val="00A85AA4"/>
    <w:rsid w:val="00A85C8C"/>
    <w:rsid w:val="00A86734"/>
    <w:rsid w:val="00A86D7A"/>
    <w:rsid w:val="00A872A4"/>
    <w:rsid w:val="00A87EBC"/>
    <w:rsid w:val="00A93D57"/>
    <w:rsid w:val="00A93D76"/>
    <w:rsid w:val="00A94988"/>
    <w:rsid w:val="00A9505D"/>
    <w:rsid w:val="00A95431"/>
    <w:rsid w:val="00A976ED"/>
    <w:rsid w:val="00AA06B2"/>
    <w:rsid w:val="00AA2182"/>
    <w:rsid w:val="00AA42A7"/>
    <w:rsid w:val="00AA464D"/>
    <w:rsid w:val="00AA55C7"/>
    <w:rsid w:val="00AA6F84"/>
    <w:rsid w:val="00AB0F67"/>
    <w:rsid w:val="00AB1693"/>
    <w:rsid w:val="00AB4D4A"/>
    <w:rsid w:val="00AB5DA6"/>
    <w:rsid w:val="00AC0218"/>
    <w:rsid w:val="00AC0661"/>
    <w:rsid w:val="00AC14C1"/>
    <w:rsid w:val="00AC4941"/>
    <w:rsid w:val="00AC4A6B"/>
    <w:rsid w:val="00AC5497"/>
    <w:rsid w:val="00AC5E57"/>
    <w:rsid w:val="00AC65BA"/>
    <w:rsid w:val="00AD1C27"/>
    <w:rsid w:val="00AD2364"/>
    <w:rsid w:val="00AD2EA0"/>
    <w:rsid w:val="00AD4609"/>
    <w:rsid w:val="00AD4EE7"/>
    <w:rsid w:val="00AD6B85"/>
    <w:rsid w:val="00AD6FFB"/>
    <w:rsid w:val="00AD771E"/>
    <w:rsid w:val="00AE12F5"/>
    <w:rsid w:val="00AE4190"/>
    <w:rsid w:val="00AE45FA"/>
    <w:rsid w:val="00AE6394"/>
    <w:rsid w:val="00AE6881"/>
    <w:rsid w:val="00AE6A90"/>
    <w:rsid w:val="00AF0330"/>
    <w:rsid w:val="00AF1E14"/>
    <w:rsid w:val="00AF2AE7"/>
    <w:rsid w:val="00AF2F62"/>
    <w:rsid w:val="00AF3A3C"/>
    <w:rsid w:val="00AF3A87"/>
    <w:rsid w:val="00AF4031"/>
    <w:rsid w:val="00AF4785"/>
    <w:rsid w:val="00AF4C89"/>
    <w:rsid w:val="00AF60FD"/>
    <w:rsid w:val="00AF6C72"/>
    <w:rsid w:val="00AF7F25"/>
    <w:rsid w:val="00B01378"/>
    <w:rsid w:val="00B02301"/>
    <w:rsid w:val="00B02684"/>
    <w:rsid w:val="00B03352"/>
    <w:rsid w:val="00B05322"/>
    <w:rsid w:val="00B0551D"/>
    <w:rsid w:val="00B05527"/>
    <w:rsid w:val="00B0558A"/>
    <w:rsid w:val="00B06A47"/>
    <w:rsid w:val="00B072C7"/>
    <w:rsid w:val="00B07530"/>
    <w:rsid w:val="00B07BC3"/>
    <w:rsid w:val="00B10171"/>
    <w:rsid w:val="00B10412"/>
    <w:rsid w:val="00B12C9A"/>
    <w:rsid w:val="00B149DD"/>
    <w:rsid w:val="00B14EE8"/>
    <w:rsid w:val="00B16963"/>
    <w:rsid w:val="00B17CCC"/>
    <w:rsid w:val="00B20279"/>
    <w:rsid w:val="00B2029A"/>
    <w:rsid w:val="00B20E19"/>
    <w:rsid w:val="00B22257"/>
    <w:rsid w:val="00B2250C"/>
    <w:rsid w:val="00B23124"/>
    <w:rsid w:val="00B23698"/>
    <w:rsid w:val="00B23703"/>
    <w:rsid w:val="00B2373F"/>
    <w:rsid w:val="00B24259"/>
    <w:rsid w:val="00B2796B"/>
    <w:rsid w:val="00B27CD8"/>
    <w:rsid w:val="00B306EE"/>
    <w:rsid w:val="00B308B6"/>
    <w:rsid w:val="00B32794"/>
    <w:rsid w:val="00B32E91"/>
    <w:rsid w:val="00B3312D"/>
    <w:rsid w:val="00B332BB"/>
    <w:rsid w:val="00B33F17"/>
    <w:rsid w:val="00B3511B"/>
    <w:rsid w:val="00B360D6"/>
    <w:rsid w:val="00B41569"/>
    <w:rsid w:val="00B417DE"/>
    <w:rsid w:val="00B4539A"/>
    <w:rsid w:val="00B45626"/>
    <w:rsid w:val="00B45903"/>
    <w:rsid w:val="00B46CA8"/>
    <w:rsid w:val="00B4727B"/>
    <w:rsid w:val="00B503EC"/>
    <w:rsid w:val="00B507C5"/>
    <w:rsid w:val="00B50AD2"/>
    <w:rsid w:val="00B515E1"/>
    <w:rsid w:val="00B516F8"/>
    <w:rsid w:val="00B52F0F"/>
    <w:rsid w:val="00B54215"/>
    <w:rsid w:val="00B553E1"/>
    <w:rsid w:val="00B56484"/>
    <w:rsid w:val="00B56574"/>
    <w:rsid w:val="00B565FE"/>
    <w:rsid w:val="00B57B76"/>
    <w:rsid w:val="00B60E1E"/>
    <w:rsid w:val="00B63D04"/>
    <w:rsid w:val="00B6465B"/>
    <w:rsid w:val="00B64BB5"/>
    <w:rsid w:val="00B64E0F"/>
    <w:rsid w:val="00B6521B"/>
    <w:rsid w:val="00B65295"/>
    <w:rsid w:val="00B657C6"/>
    <w:rsid w:val="00B660E5"/>
    <w:rsid w:val="00B6691A"/>
    <w:rsid w:val="00B66AF0"/>
    <w:rsid w:val="00B72043"/>
    <w:rsid w:val="00B721D9"/>
    <w:rsid w:val="00B76AAF"/>
    <w:rsid w:val="00B7787E"/>
    <w:rsid w:val="00B801C0"/>
    <w:rsid w:val="00B8107B"/>
    <w:rsid w:val="00B81352"/>
    <w:rsid w:val="00B818DD"/>
    <w:rsid w:val="00B827D4"/>
    <w:rsid w:val="00B82812"/>
    <w:rsid w:val="00B82A12"/>
    <w:rsid w:val="00B832CD"/>
    <w:rsid w:val="00B83CD2"/>
    <w:rsid w:val="00B840B2"/>
    <w:rsid w:val="00B84449"/>
    <w:rsid w:val="00B845B6"/>
    <w:rsid w:val="00B84877"/>
    <w:rsid w:val="00B85764"/>
    <w:rsid w:val="00B86C28"/>
    <w:rsid w:val="00B87785"/>
    <w:rsid w:val="00B87F9B"/>
    <w:rsid w:val="00B90832"/>
    <w:rsid w:val="00B92C0B"/>
    <w:rsid w:val="00B92EEF"/>
    <w:rsid w:val="00B94279"/>
    <w:rsid w:val="00B95F3C"/>
    <w:rsid w:val="00B968E0"/>
    <w:rsid w:val="00B97304"/>
    <w:rsid w:val="00BA0A3F"/>
    <w:rsid w:val="00BA2A79"/>
    <w:rsid w:val="00BA2C71"/>
    <w:rsid w:val="00BA4138"/>
    <w:rsid w:val="00BA5F75"/>
    <w:rsid w:val="00BB0BBE"/>
    <w:rsid w:val="00BB2833"/>
    <w:rsid w:val="00BB4A59"/>
    <w:rsid w:val="00BB5A6B"/>
    <w:rsid w:val="00BB5F0C"/>
    <w:rsid w:val="00BB6142"/>
    <w:rsid w:val="00BB61CA"/>
    <w:rsid w:val="00BC252B"/>
    <w:rsid w:val="00BC2806"/>
    <w:rsid w:val="00BC2C43"/>
    <w:rsid w:val="00BC346B"/>
    <w:rsid w:val="00BC3D98"/>
    <w:rsid w:val="00BC48B8"/>
    <w:rsid w:val="00BD00D8"/>
    <w:rsid w:val="00BD1529"/>
    <w:rsid w:val="00BD1783"/>
    <w:rsid w:val="00BD17AA"/>
    <w:rsid w:val="00BD2905"/>
    <w:rsid w:val="00BD4559"/>
    <w:rsid w:val="00BD527C"/>
    <w:rsid w:val="00BD599F"/>
    <w:rsid w:val="00BD7B43"/>
    <w:rsid w:val="00BD7FBC"/>
    <w:rsid w:val="00BE10C2"/>
    <w:rsid w:val="00BE138C"/>
    <w:rsid w:val="00BE18AB"/>
    <w:rsid w:val="00BE28E8"/>
    <w:rsid w:val="00BE7161"/>
    <w:rsid w:val="00BF0C12"/>
    <w:rsid w:val="00BF0FC2"/>
    <w:rsid w:val="00BF1336"/>
    <w:rsid w:val="00BF205A"/>
    <w:rsid w:val="00BF260B"/>
    <w:rsid w:val="00BF26C9"/>
    <w:rsid w:val="00BF34F4"/>
    <w:rsid w:val="00BF4B0B"/>
    <w:rsid w:val="00BF529A"/>
    <w:rsid w:val="00BF5B5E"/>
    <w:rsid w:val="00BF5CDC"/>
    <w:rsid w:val="00BF5EC9"/>
    <w:rsid w:val="00BF66FE"/>
    <w:rsid w:val="00C00809"/>
    <w:rsid w:val="00C00EC6"/>
    <w:rsid w:val="00C020B2"/>
    <w:rsid w:val="00C0335C"/>
    <w:rsid w:val="00C05CA6"/>
    <w:rsid w:val="00C05EAF"/>
    <w:rsid w:val="00C07E88"/>
    <w:rsid w:val="00C1092A"/>
    <w:rsid w:val="00C10D4E"/>
    <w:rsid w:val="00C11476"/>
    <w:rsid w:val="00C13E36"/>
    <w:rsid w:val="00C14FB8"/>
    <w:rsid w:val="00C167AE"/>
    <w:rsid w:val="00C16FB0"/>
    <w:rsid w:val="00C17C7A"/>
    <w:rsid w:val="00C20335"/>
    <w:rsid w:val="00C24BDF"/>
    <w:rsid w:val="00C25EE8"/>
    <w:rsid w:val="00C2783F"/>
    <w:rsid w:val="00C27C88"/>
    <w:rsid w:val="00C27D24"/>
    <w:rsid w:val="00C305D7"/>
    <w:rsid w:val="00C30937"/>
    <w:rsid w:val="00C31FAD"/>
    <w:rsid w:val="00C32C24"/>
    <w:rsid w:val="00C33339"/>
    <w:rsid w:val="00C333AF"/>
    <w:rsid w:val="00C359E7"/>
    <w:rsid w:val="00C35D8A"/>
    <w:rsid w:val="00C36B9F"/>
    <w:rsid w:val="00C40503"/>
    <w:rsid w:val="00C405F7"/>
    <w:rsid w:val="00C43055"/>
    <w:rsid w:val="00C43FAE"/>
    <w:rsid w:val="00C50092"/>
    <w:rsid w:val="00C50A4A"/>
    <w:rsid w:val="00C51726"/>
    <w:rsid w:val="00C528DE"/>
    <w:rsid w:val="00C52E16"/>
    <w:rsid w:val="00C5328C"/>
    <w:rsid w:val="00C543BF"/>
    <w:rsid w:val="00C5498D"/>
    <w:rsid w:val="00C56861"/>
    <w:rsid w:val="00C57466"/>
    <w:rsid w:val="00C57786"/>
    <w:rsid w:val="00C603AD"/>
    <w:rsid w:val="00C60E85"/>
    <w:rsid w:val="00C629C7"/>
    <w:rsid w:val="00C6468C"/>
    <w:rsid w:val="00C64811"/>
    <w:rsid w:val="00C65955"/>
    <w:rsid w:val="00C67858"/>
    <w:rsid w:val="00C67B5E"/>
    <w:rsid w:val="00C706F6"/>
    <w:rsid w:val="00C70CC0"/>
    <w:rsid w:val="00C718ED"/>
    <w:rsid w:val="00C73520"/>
    <w:rsid w:val="00C745FD"/>
    <w:rsid w:val="00C74B79"/>
    <w:rsid w:val="00C74E26"/>
    <w:rsid w:val="00C7677B"/>
    <w:rsid w:val="00C76F18"/>
    <w:rsid w:val="00C76F28"/>
    <w:rsid w:val="00C80BAE"/>
    <w:rsid w:val="00C80BBF"/>
    <w:rsid w:val="00C81161"/>
    <w:rsid w:val="00C82DAD"/>
    <w:rsid w:val="00C8497A"/>
    <w:rsid w:val="00C84A00"/>
    <w:rsid w:val="00C85028"/>
    <w:rsid w:val="00C85227"/>
    <w:rsid w:val="00C85BDA"/>
    <w:rsid w:val="00C866AD"/>
    <w:rsid w:val="00C87B34"/>
    <w:rsid w:val="00C87EBC"/>
    <w:rsid w:val="00C90A61"/>
    <w:rsid w:val="00C918A3"/>
    <w:rsid w:val="00C928A4"/>
    <w:rsid w:val="00C9305B"/>
    <w:rsid w:val="00C9378A"/>
    <w:rsid w:val="00C93A00"/>
    <w:rsid w:val="00C95349"/>
    <w:rsid w:val="00C95581"/>
    <w:rsid w:val="00C9628A"/>
    <w:rsid w:val="00C96CBB"/>
    <w:rsid w:val="00CA0444"/>
    <w:rsid w:val="00CA1D20"/>
    <w:rsid w:val="00CA229D"/>
    <w:rsid w:val="00CA29FB"/>
    <w:rsid w:val="00CA3901"/>
    <w:rsid w:val="00CA55FF"/>
    <w:rsid w:val="00CA6F1F"/>
    <w:rsid w:val="00CA6F54"/>
    <w:rsid w:val="00CA707E"/>
    <w:rsid w:val="00CA7120"/>
    <w:rsid w:val="00CA739E"/>
    <w:rsid w:val="00CB17A4"/>
    <w:rsid w:val="00CB2E6B"/>
    <w:rsid w:val="00CB3FC4"/>
    <w:rsid w:val="00CB405D"/>
    <w:rsid w:val="00CB6492"/>
    <w:rsid w:val="00CB6A76"/>
    <w:rsid w:val="00CB7815"/>
    <w:rsid w:val="00CB7D7A"/>
    <w:rsid w:val="00CC0232"/>
    <w:rsid w:val="00CC2D09"/>
    <w:rsid w:val="00CC46A1"/>
    <w:rsid w:val="00CC55CE"/>
    <w:rsid w:val="00CC6B29"/>
    <w:rsid w:val="00CC7BBC"/>
    <w:rsid w:val="00CC7DCE"/>
    <w:rsid w:val="00CD0165"/>
    <w:rsid w:val="00CD1AE2"/>
    <w:rsid w:val="00CD1C4E"/>
    <w:rsid w:val="00CD28C7"/>
    <w:rsid w:val="00CD5945"/>
    <w:rsid w:val="00CD650F"/>
    <w:rsid w:val="00CD6919"/>
    <w:rsid w:val="00CD72F4"/>
    <w:rsid w:val="00CE2C28"/>
    <w:rsid w:val="00CE3C17"/>
    <w:rsid w:val="00CE60B0"/>
    <w:rsid w:val="00CE68BA"/>
    <w:rsid w:val="00CE68FB"/>
    <w:rsid w:val="00CE6CFC"/>
    <w:rsid w:val="00CE6D81"/>
    <w:rsid w:val="00CF128F"/>
    <w:rsid w:val="00CF17D0"/>
    <w:rsid w:val="00CF2960"/>
    <w:rsid w:val="00CF2C4A"/>
    <w:rsid w:val="00CF2F85"/>
    <w:rsid w:val="00CF41D5"/>
    <w:rsid w:val="00CF423E"/>
    <w:rsid w:val="00CF4D64"/>
    <w:rsid w:val="00CF5FAF"/>
    <w:rsid w:val="00CF68B6"/>
    <w:rsid w:val="00D00229"/>
    <w:rsid w:val="00D01B3A"/>
    <w:rsid w:val="00D025E7"/>
    <w:rsid w:val="00D02EA6"/>
    <w:rsid w:val="00D03E04"/>
    <w:rsid w:val="00D05B1C"/>
    <w:rsid w:val="00D05BDB"/>
    <w:rsid w:val="00D065B5"/>
    <w:rsid w:val="00D06D8A"/>
    <w:rsid w:val="00D074A3"/>
    <w:rsid w:val="00D11828"/>
    <w:rsid w:val="00D14512"/>
    <w:rsid w:val="00D1571F"/>
    <w:rsid w:val="00D15998"/>
    <w:rsid w:val="00D15E34"/>
    <w:rsid w:val="00D217EF"/>
    <w:rsid w:val="00D21DFC"/>
    <w:rsid w:val="00D21E62"/>
    <w:rsid w:val="00D2210C"/>
    <w:rsid w:val="00D222B8"/>
    <w:rsid w:val="00D243EF"/>
    <w:rsid w:val="00D26159"/>
    <w:rsid w:val="00D26A07"/>
    <w:rsid w:val="00D27799"/>
    <w:rsid w:val="00D27CE8"/>
    <w:rsid w:val="00D27ED7"/>
    <w:rsid w:val="00D317C7"/>
    <w:rsid w:val="00D31DAB"/>
    <w:rsid w:val="00D3203B"/>
    <w:rsid w:val="00D320F2"/>
    <w:rsid w:val="00D32759"/>
    <w:rsid w:val="00D332A2"/>
    <w:rsid w:val="00D333D0"/>
    <w:rsid w:val="00D34189"/>
    <w:rsid w:val="00D347AC"/>
    <w:rsid w:val="00D34A9A"/>
    <w:rsid w:val="00D360DC"/>
    <w:rsid w:val="00D371EF"/>
    <w:rsid w:val="00D378C5"/>
    <w:rsid w:val="00D37FEC"/>
    <w:rsid w:val="00D40012"/>
    <w:rsid w:val="00D40262"/>
    <w:rsid w:val="00D42282"/>
    <w:rsid w:val="00D423CC"/>
    <w:rsid w:val="00D42748"/>
    <w:rsid w:val="00D4315F"/>
    <w:rsid w:val="00D43F04"/>
    <w:rsid w:val="00D441CB"/>
    <w:rsid w:val="00D44F04"/>
    <w:rsid w:val="00D47909"/>
    <w:rsid w:val="00D50344"/>
    <w:rsid w:val="00D505F5"/>
    <w:rsid w:val="00D50C24"/>
    <w:rsid w:val="00D50C8B"/>
    <w:rsid w:val="00D518AC"/>
    <w:rsid w:val="00D51C94"/>
    <w:rsid w:val="00D53B4E"/>
    <w:rsid w:val="00D53C1B"/>
    <w:rsid w:val="00D54886"/>
    <w:rsid w:val="00D54B55"/>
    <w:rsid w:val="00D55CD7"/>
    <w:rsid w:val="00D571BE"/>
    <w:rsid w:val="00D573F5"/>
    <w:rsid w:val="00D57BD7"/>
    <w:rsid w:val="00D57E17"/>
    <w:rsid w:val="00D57FF9"/>
    <w:rsid w:val="00D6097C"/>
    <w:rsid w:val="00D6481E"/>
    <w:rsid w:val="00D660FD"/>
    <w:rsid w:val="00D674BC"/>
    <w:rsid w:val="00D67C0F"/>
    <w:rsid w:val="00D67EC2"/>
    <w:rsid w:val="00D70543"/>
    <w:rsid w:val="00D73B73"/>
    <w:rsid w:val="00D73F70"/>
    <w:rsid w:val="00D74103"/>
    <w:rsid w:val="00D759AF"/>
    <w:rsid w:val="00D75DFF"/>
    <w:rsid w:val="00D76FE7"/>
    <w:rsid w:val="00D7729F"/>
    <w:rsid w:val="00D77B71"/>
    <w:rsid w:val="00D834EB"/>
    <w:rsid w:val="00D84473"/>
    <w:rsid w:val="00D844FC"/>
    <w:rsid w:val="00D84707"/>
    <w:rsid w:val="00D87AF7"/>
    <w:rsid w:val="00D87DA7"/>
    <w:rsid w:val="00D90471"/>
    <w:rsid w:val="00D909A1"/>
    <w:rsid w:val="00D9257D"/>
    <w:rsid w:val="00D92680"/>
    <w:rsid w:val="00D931C4"/>
    <w:rsid w:val="00D93765"/>
    <w:rsid w:val="00D95AF6"/>
    <w:rsid w:val="00D964FF"/>
    <w:rsid w:val="00DA1064"/>
    <w:rsid w:val="00DA1704"/>
    <w:rsid w:val="00DA4550"/>
    <w:rsid w:val="00DA6654"/>
    <w:rsid w:val="00DA666E"/>
    <w:rsid w:val="00DA7014"/>
    <w:rsid w:val="00DB2EE9"/>
    <w:rsid w:val="00DB3951"/>
    <w:rsid w:val="00DB42F0"/>
    <w:rsid w:val="00DB4C84"/>
    <w:rsid w:val="00DB54B4"/>
    <w:rsid w:val="00DB66A3"/>
    <w:rsid w:val="00DB6849"/>
    <w:rsid w:val="00DB70CD"/>
    <w:rsid w:val="00DB76BE"/>
    <w:rsid w:val="00DB7A38"/>
    <w:rsid w:val="00DB7DC2"/>
    <w:rsid w:val="00DC22A8"/>
    <w:rsid w:val="00DC2A26"/>
    <w:rsid w:val="00DC2B32"/>
    <w:rsid w:val="00DC2C9F"/>
    <w:rsid w:val="00DC2D62"/>
    <w:rsid w:val="00DC399E"/>
    <w:rsid w:val="00DC5A41"/>
    <w:rsid w:val="00DC6250"/>
    <w:rsid w:val="00DC712A"/>
    <w:rsid w:val="00DC77C8"/>
    <w:rsid w:val="00DD109E"/>
    <w:rsid w:val="00DD15EB"/>
    <w:rsid w:val="00DD16D1"/>
    <w:rsid w:val="00DD2428"/>
    <w:rsid w:val="00DD3146"/>
    <w:rsid w:val="00DD6AC7"/>
    <w:rsid w:val="00DE0451"/>
    <w:rsid w:val="00DE07CB"/>
    <w:rsid w:val="00DE1781"/>
    <w:rsid w:val="00DE203B"/>
    <w:rsid w:val="00DE33E1"/>
    <w:rsid w:val="00DE599F"/>
    <w:rsid w:val="00DE644C"/>
    <w:rsid w:val="00DE67A4"/>
    <w:rsid w:val="00DE6D62"/>
    <w:rsid w:val="00DE7AD6"/>
    <w:rsid w:val="00DE7D9D"/>
    <w:rsid w:val="00DF2058"/>
    <w:rsid w:val="00DF290D"/>
    <w:rsid w:val="00DF2970"/>
    <w:rsid w:val="00DF2D8B"/>
    <w:rsid w:val="00DF350C"/>
    <w:rsid w:val="00DF623F"/>
    <w:rsid w:val="00DF651B"/>
    <w:rsid w:val="00DF7151"/>
    <w:rsid w:val="00DF7615"/>
    <w:rsid w:val="00E00337"/>
    <w:rsid w:val="00E02067"/>
    <w:rsid w:val="00E02200"/>
    <w:rsid w:val="00E0305D"/>
    <w:rsid w:val="00E049C2"/>
    <w:rsid w:val="00E04AE7"/>
    <w:rsid w:val="00E05CF5"/>
    <w:rsid w:val="00E066EF"/>
    <w:rsid w:val="00E06EF1"/>
    <w:rsid w:val="00E06F36"/>
    <w:rsid w:val="00E104EC"/>
    <w:rsid w:val="00E13B3F"/>
    <w:rsid w:val="00E148F1"/>
    <w:rsid w:val="00E152B4"/>
    <w:rsid w:val="00E17207"/>
    <w:rsid w:val="00E17DC0"/>
    <w:rsid w:val="00E20DD4"/>
    <w:rsid w:val="00E21134"/>
    <w:rsid w:val="00E23E19"/>
    <w:rsid w:val="00E24109"/>
    <w:rsid w:val="00E24642"/>
    <w:rsid w:val="00E257B6"/>
    <w:rsid w:val="00E26A15"/>
    <w:rsid w:val="00E320D6"/>
    <w:rsid w:val="00E33780"/>
    <w:rsid w:val="00E33EA2"/>
    <w:rsid w:val="00E35BCC"/>
    <w:rsid w:val="00E36007"/>
    <w:rsid w:val="00E3707C"/>
    <w:rsid w:val="00E37796"/>
    <w:rsid w:val="00E37830"/>
    <w:rsid w:val="00E404B0"/>
    <w:rsid w:val="00E40838"/>
    <w:rsid w:val="00E4108B"/>
    <w:rsid w:val="00E41753"/>
    <w:rsid w:val="00E425C2"/>
    <w:rsid w:val="00E4475D"/>
    <w:rsid w:val="00E44AEF"/>
    <w:rsid w:val="00E47309"/>
    <w:rsid w:val="00E4789C"/>
    <w:rsid w:val="00E502BC"/>
    <w:rsid w:val="00E51CD8"/>
    <w:rsid w:val="00E52211"/>
    <w:rsid w:val="00E54724"/>
    <w:rsid w:val="00E54AE4"/>
    <w:rsid w:val="00E575FD"/>
    <w:rsid w:val="00E6006E"/>
    <w:rsid w:val="00E61CCE"/>
    <w:rsid w:val="00E633A9"/>
    <w:rsid w:val="00E635D0"/>
    <w:rsid w:val="00E637F4"/>
    <w:rsid w:val="00E63ADE"/>
    <w:rsid w:val="00E63E6B"/>
    <w:rsid w:val="00E649AF"/>
    <w:rsid w:val="00E651FC"/>
    <w:rsid w:val="00E658C6"/>
    <w:rsid w:val="00E659F4"/>
    <w:rsid w:val="00E67064"/>
    <w:rsid w:val="00E67A1C"/>
    <w:rsid w:val="00E702C1"/>
    <w:rsid w:val="00E71771"/>
    <w:rsid w:val="00E72BCD"/>
    <w:rsid w:val="00E72EBC"/>
    <w:rsid w:val="00E733FB"/>
    <w:rsid w:val="00E74ACD"/>
    <w:rsid w:val="00E74CF7"/>
    <w:rsid w:val="00E76A50"/>
    <w:rsid w:val="00E76A81"/>
    <w:rsid w:val="00E77386"/>
    <w:rsid w:val="00E7752B"/>
    <w:rsid w:val="00E80F05"/>
    <w:rsid w:val="00E812DA"/>
    <w:rsid w:val="00E8153B"/>
    <w:rsid w:val="00E85426"/>
    <w:rsid w:val="00E86D73"/>
    <w:rsid w:val="00E87975"/>
    <w:rsid w:val="00E9022A"/>
    <w:rsid w:val="00E91762"/>
    <w:rsid w:val="00E92235"/>
    <w:rsid w:val="00E92ECD"/>
    <w:rsid w:val="00E9337C"/>
    <w:rsid w:val="00E93C3D"/>
    <w:rsid w:val="00E93DBC"/>
    <w:rsid w:val="00E93FF3"/>
    <w:rsid w:val="00E9412B"/>
    <w:rsid w:val="00E9544E"/>
    <w:rsid w:val="00E95617"/>
    <w:rsid w:val="00E976B6"/>
    <w:rsid w:val="00E97734"/>
    <w:rsid w:val="00E97C82"/>
    <w:rsid w:val="00EA0974"/>
    <w:rsid w:val="00EA0EEF"/>
    <w:rsid w:val="00EA1F48"/>
    <w:rsid w:val="00EA3855"/>
    <w:rsid w:val="00EA39D2"/>
    <w:rsid w:val="00EA3BD2"/>
    <w:rsid w:val="00EA3C8F"/>
    <w:rsid w:val="00EA4041"/>
    <w:rsid w:val="00EA4330"/>
    <w:rsid w:val="00EA442B"/>
    <w:rsid w:val="00EA4EE2"/>
    <w:rsid w:val="00EA584C"/>
    <w:rsid w:val="00EA5852"/>
    <w:rsid w:val="00EA6057"/>
    <w:rsid w:val="00EA66CC"/>
    <w:rsid w:val="00EA6DE0"/>
    <w:rsid w:val="00EB1686"/>
    <w:rsid w:val="00EB16CD"/>
    <w:rsid w:val="00EB2597"/>
    <w:rsid w:val="00EB3B56"/>
    <w:rsid w:val="00EB3C4D"/>
    <w:rsid w:val="00EB4553"/>
    <w:rsid w:val="00EB4FEC"/>
    <w:rsid w:val="00EB5398"/>
    <w:rsid w:val="00EB68E3"/>
    <w:rsid w:val="00EB71AB"/>
    <w:rsid w:val="00EC01BF"/>
    <w:rsid w:val="00EC2E92"/>
    <w:rsid w:val="00EC38E5"/>
    <w:rsid w:val="00EC3C28"/>
    <w:rsid w:val="00EC42DE"/>
    <w:rsid w:val="00EC4C8E"/>
    <w:rsid w:val="00EC5AD6"/>
    <w:rsid w:val="00EC7DDF"/>
    <w:rsid w:val="00EC7E71"/>
    <w:rsid w:val="00ED0489"/>
    <w:rsid w:val="00ED0526"/>
    <w:rsid w:val="00ED0AFC"/>
    <w:rsid w:val="00ED0BE1"/>
    <w:rsid w:val="00ED36F4"/>
    <w:rsid w:val="00ED4F08"/>
    <w:rsid w:val="00ED6859"/>
    <w:rsid w:val="00ED6EC8"/>
    <w:rsid w:val="00EE111E"/>
    <w:rsid w:val="00EE13F0"/>
    <w:rsid w:val="00EE17C8"/>
    <w:rsid w:val="00EE1C84"/>
    <w:rsid w:val="00EE2BF7"/>
    <w:rsid w:val="00EE2CEB"/>
    <w:rsid w:val="00EE2D12"/>
    <w:rsid w:val="00EE4A70"/>
    <w:rsid w:val="00EE7566"/>
    <w:rsid w:val="00EE7B6F"/>
    <w:rsid w:val="00EF028B"/>
    <w:rsid w:val="00EF0BB3"/>
    <w:rsid w:val="00EF0F28"/>
    <w:rsid w:val="00EF218E"/>
    <w:rsid w:val="00EF4754"/>
    <w:rsid w:val="00EF58F8"/>
    <w:rsid w:val="00EF6572"/>
    <w:rsid w:val="00EF6BB2"/>
    <w:rsid w:val="00EF7F45"/>
    <w:rsid w:val="00F0350E"/>
    <w:rsid w:val="00F03616"/>
    <w:rsid w:val="00F039F4"/>
    <w:rsid w:val="00F05D1A"/>
    <w:rsid w:val="00F07081"/>
    <w:rsid w:val="00F071B1"/>
    <w:rsid w:val="00F0741C"/>
    <w:rsid w:val="00F10382"/>
    <w:rsid w:val="00F13D95"/>
    <w:rsid w:val="00F15E8D"/>
    <w:rsid w:val="00F164B2"/>
    <w:rsid w:val="00F174A9"/>
    <w:rsid w:val="00F20730"/>
    <w:rsid w:val="00F22808"/>
    <w:rsid w:val="00F22CAF"/>
    <w:rsid w:val="00F233BA"/>
    <w:rsid w:val="00F23D81"/>
    <w:rsid w:val="00F24B98"/>
    <w:rsid w:val="00F24EEE"/>
    <w:rsid w:val="00F26D16"/>
    <w:rsid w:val="00F27EC2"/>
    <w:rsid w:val="00F3125D"/>
    <w:rsid w:val="00F3138C"/>
    <w:rsid w:val="00F3552C"/>
    <w:rsid w:val="00F35C63"/>
    <w:rsid w:val="00F40042"/>
    <w:rsid w:val="00F40256"/>
    <w:rsid w:val="00F417B2"/>
    <w:rsid w:val="00F42C87"/>
    <w:rsid w:val="00F43C77"/>
    <w:rsid w:val="00F43CA1"/>
    <w:rsid w:val="00F43E19"/>
    <w:rsid w:val="00F44002"/>
    <w:rsid w:val="00F47817"/>
    <w:rsid w:val="00F517AF"/>
    <w:rsid w:val="00F52C63"/>
    <w:rsid w:val="00F54DF9"/>
    <w:rsid w:val="00F555AE"/>
    <w:rsid w:val="00F56E49"/>
    <w:rsid w:val="00F60370"/>
    <w:rsid w:val="00F604E5"/>
    <w:rsid w:val="00F605DB"/>
    <w:rsid w:val="00F60A5A"/>
    <w:rsid w:val="00F619C2"/>
    <w:rsid w:val="00F62465"/>
    <w:rsid w:val="00F62E0D"/>
    <w:rsid w:val="00F62EAB"/>
    <w:rsid w:val="00F6300F"/>
    <w:rsid w:val="00F63135"/>
    <w:rsid w:val="00F63958"/>
    <w:rsid w:val="00F63B37"/>
    <w:rsid w:val="00F64115"/>
    <w:rsid w:val="00F6473E"/>
    <w:rsid w:val="00F64B13"/>
    <w:rsid w:val="00F64BE0"/>
    <w:rsid w:val="00F65E4F"/>
    <w:rsid w:val="00F67C6C"/>
    <w:rsid w:val="00F70332"/>
    <w:rsid w:val="00F70424"/>
    <w:rsid w:val="00F70B07"/>
    <w:rsid w:val="00F70E5B"/>
    <w:rsid w:val="00F720AE"/>
    <w:rsid w:val="00F72BB0"/>
    <w:rsid w:val="00F73755"/>
    <w:rsid w:val="00F757F7"/>
    <w:rsid w:val="00F75EAD"/>
    <w:rsid w:val="00F76F57"/>
    <w:rsid w:val="00F77BCB"/>
    <w:rsid w:val="00F808C7"/>
    <w:rsid w:val="00F825A4"/>
    <w:rsid w:val="00F83180"/>
    <w:rsid w:val="00F83CEA"/>
    <w:rsid w:val="00F8456D"/>
    <w:rsid w:val="00F8550B"/>
    <w:rsid w:val="00F8593C"/>
    <w:rsid w:val="00F8620C"/>
    <w:rsid w:val="00F8704B"/>
    <w:rsid w:val="00F870D3"/>
    <w:rsid w:val="00F87F73"/>
    <w:rsid w:val="00F925D7"/>
    <w:rsid w:val="00F927A8"/>
    <w:rsid w:val="00F929A9"/>
    <w:rsid w:val="00F93876"/>
    <w:rsid w:val="00F946CA"/>
    <w:rsid w:val="00F94B94"/>
    <w:rsid w:val="00F96631"/>
    <w:rsid w:val="00F97014"/>
    <w:rsid w:val="00F97023"/>
    <w:rsid w:val="00F97936"/>
    <w:rsid w:val="00FA019B"/>
    <w:rsid w:val="00FA058B"/>
    <w:rsid w:val="00FA0C7A"/>
    <w:rsid w:val="00FA116C"/>
    <w:rsid w:val="00FA161E"/>
    <w:rsid w:val="00FA240C"/>
    <w:rsid w:val="00FA2E82"/>
    <w:rsid w:val="00FA3D50"/>
    <w:rsid w:val="00FA42D7"/>
    <w:rsid w:val="00FA4F0B"/>
    <w:rsid w:val="00FA5E14"/>
    <w:rsid w:val="00FA7B3B"/>
    <w:rsid w:val="00FA7CFF"/>
    <w:rsid w:val="00FB061E"/>
    <w:rsid w:val="00FB2BB0"/>
    <w:rsid w:val="00FB2CBC"/>
    <w:rsid w:val="00FB2D4C"/>
    <w:rsid w:val="00FB3DD8"/>
    <w:rsid w:val="00FB407A"/>
    <w:rsid w:val="00FB5DA9"/>
    <w:rsid w:val="00FB6447"/>
    <w:rsid w:val="00FB6578"/>
    <w:rsid w:val="00FB7717"/>
    <w:rsid w:val="00FC0146"/>
    <w:rsid w:val="00FC220E"/>
    <w:rsid w:val="00FC2D82"/>
    <w:rsid w:val="00FC30E3"/>
    <w:rsid w:val="00FC30EC"/>
    <w:rsid w:val="00FC328E"/>
    <w:rsid w:val="00FC4755"/>
    <w:rsid w:val="00FC4918"/>
    <w:rsid w:val="00FC6F32"/>
    <w:rsid w:val="00FC7415"/>
    <w:rsid w:val="00FC7AA3"/>
    <w:rsid w:val="00FC7E5B"/>
    <w:rsid w:val="00FD03A5"/>
    <w:rsid w:val="00FD041F"/>
    <w:rsid w:val="00FD0494"/>
    <w:rsid w:val="00FD14A6"/>
    <w:rsid w:val="00FD2884"/>
    <w:rsid w:val="00FD2B63"/>
    <w:rsid w:val="00FD4337"/>
    <w:rsid w:val="00FD59AF"/>
    <w:rsid w:val="00FD63B0"/>
    <w:rsid w:val="00FD737D"/>
    <w:rsid w:val="00FD7787"/>
    <w:rsid w:val="00FD78F8"/>
    <w:rsid w:val="00FE0A17"/>
    <w:rsid w:val="00FE2523"/>
    <w:rsid w:val="00FE2EE8"/>
    <w:rsid w:val="00FE40D1"/>
    <w:rsid w:val="00FE416F"/>
    <w:rsid w:val="00FE4A3F"/>
    <w:rsid w:val="00FE4C56"/>
    <w:rsid w:val="00FE4FC2"/>
    <w:rsid w:val="00FE63AB"/>
    <w:rsid w:val="00FE6901"/>
    <w:rsid w:val="00FF162A"/>
    <w:rsid w:val="00FF24E2"/>
    <w:rsid w:val="00FF295C"/>
    <w:rsid w:val="00FF3171"/>
    <w:rsid w:val="00FF39C8"/>
    <w:rsid w:val="00FF436F"/>
    <w:rsid w:val="00FF536E"/>
    <w:rsid w:val="00FF55D8"/>
    <w:rsid w:val="00FF5CB0"/>
    <w:rsid w:val="00FF7956"/>
    <w:rsid w:val="00FF7E12"/>
    <w:rsid w:val="00FF7E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docId w15:val="{1CFDE8B2-2CD7-4856-953D-F943CD7F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6" w:qFormat="1"/>
    <w:lsdException w:name="heading 1" w:uiPriority="49" w:qFormat="1"/>
    <w:lsdException w:name="heading 2" w:semiHidden="1" w:uiPriority="49" w:unhideWhenUsed="1" w:qFormat="1"/>
    <w:lsdException w:name="heading 3" w:semiHidden="1" w:uiPriority="49" w:unhideWhenUsed="1" w:qFormat="1"/>
    <w:lsdException w:name="heading 4" w:semiHidden="1" w:uiPriority="6"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B07BC3"/>
    <w:pPr>
      <w:spacing w:after="180" w:line="220" w:lineRule="atLeast"/>
    </w:pPr>
    <w:rPr>
      <w:rFonts w:ascii="Arial" w:hAnsi="Arial"/>
      <w:sz w:val="18"/>
      <w:lang w:val="fr-FR"/>
    </w:rPr>
  </w:style>
  <w:style w:type="paragraph" w:styleId="Heading1">
    <w:name w:val="heading 1"/>
    <w:basedOn w:val="Normal"/>
    <w:next w:val="Normal"/>
    <w:link w:val="Heading1Char"/>
    <w:uiPriority w:val="49"/>
    <w:qFormat/>
    <w:rsid w:val="001417EF"/>
    <w:pPr>
      <w:keepNext/>
      <w:keepLines/>
      <w:spacing w:before="280"/>
      <w:outlineLvl w:val="0"/>
    </w:pPr>
    <w:rPr>
      <w:rFonts w:eastAsiaTheme="majorEastAsia" w:cstheme="majorBidi"/>
      <w:bCs/>
      <w:color w:val="005172" w:themeColor="text2"/>
      <w:sz w:val="32"/>
      <w:szCs w:val="28"/>
    </w:rPr>
  </w:style>
  <w:style w:type="paragraph" w:styleId="Heading2">
    <w:name w:val="heading 2"/>
    <w:basedOn w:val="Normal"/>
    <w:next w:val="Normal"/>
    <w:link w:val="Heading2Char"/>
    <w:uiPriority w:val="49"/>
    <w:qFormat/>
    <w:rsid w:val="001417EF"/>
    <w:pPr>
      <w:keepNext/>
      <w:keepLines/>
      <w:spacing w:before="180" w:after="90"/>
      <w:ind w:left="680"/>
      <w:outlineLvl w:val="1"/>
    </w:pPr>
    <w:rPr>
      <w:rFonts w:ascii="Arial Bold" w:eastAsiaTheme="majorEastAsia" w:hAnsi="Arial Bold" w:cstheme="majorBidi"/>
      <w:b/>
      <w:bCs/>
      <w:color w:val="005172" w:themeColor="text2"/>
      <w:sz w:val="22"/>
      <w:szCs w:val="26"/>
    </w:rPr>
  </w:style>
  <w:style w:type="paragraph" w:styleId="Heading3">
    <w:name w:val="heading 3"/>
    <w:basedOn w:val="Normal"/>
    <w:next w:val="Normal"/>
    <w:link w:val="Heading3Char"/>
    <w:uiPriority w:val="49"/>
    <w:qFormat/>
    <w:rsid w:val="0031344B"/>
    <w:pPr>
      <w:keepNext/>
      <w:keepLines/>
      <w:spacing w:before="240" w:after="120"/>
      <w:outlineLvl w:val="2"/>
    </w:pPr>
    <w:rPr>
      <w:rFonts w:eastAsiaTheme="majorEastAsia" w:cstheme="majorBidi"/>
      <w:b/>
      <w:bCs/>
      <w:i/>
      <w:color w:val="005172" w:themeColor="text2"/>
    </w:rPr>
  </w:style>
  <w:style w:type="paragraph" w:styleId="Heading4">
    <w:name w:val="heading 4"/>
    <w:basedOn w:val="Normal"/>
    <w:next w:val="Normal"/>
    <w:link w:val="Heading4Char"/>
    <w:uiPriority w:val="6"/>
    <w:qFormat/>
    <w:rsid w:val="001417EF"/>
    <w:pPr>
      <w:keepNext/>
      <w:keepLines/>
      <w:spacing w:before="200" w:after="0"/>
      <w:outlineLvl w:val="3"/>
    </w:pPr>
    <w:rPr>
      <w:rFonts w:asciiTheme="majorHAnsi" w:eastAsiaTheme="majorEastAsia" w:hAnsiTheme="majorHAnsi" w:cstheme="majorBidi"/>
      <w:b/>
      <w:bCs/>
      <w:i/>
      <w:iCs/>
      <w:color w:val="005172" w:themeColor="text2"/>
    </w:rPr>
  </w:style>
  <w:style w:type="paragraph" w:styleId="Heading5">
    <w:name w:val="heading 5"/>
    <w:basedOn w:val="Normal"/>
    <w:next w:val="Normal"/>
    <w:link w:val="Heading5Char"/>
    <w:unhideWhenUsed/>
    <w:qFormat/>
    <w:rsid w:val="0087289F"/>
    <w:pPr>
      <w:keepNext/>
      <w:keepLines/>
      <w:spacing w:before="200" w:line="240" w:lineRule="auto"/>
      <w:outlineLvl w:val="4"/>
    </w:pPr>
    <w:rPr>
      <w:rFonts w:asciiTheme="majorHAnsi" w:eastAsiaTheme="majorEastAsia" w:hAnsiTheme="majorHAnsi" w:cstheme="majorBidi"/>
      <w:color w:val="002A49" w:themeColor="accent1" w:themeShade="7F"/>
      <w:szCs w:val="20"/>
      <w:lang w:val="en-US" w:eastAsia="zh-CN"/>
    </w:rPr>
  </w:style>
  <w:style w:type="paragraph" w:styleId="Heading6">
    <w:name w:val="heading 6"/>
    <w:basedOn w:val="Normal"/>
    <w:next w:val="Normal"/>
    <w:link w:val="Heading6Char"/>
    <w:unhideWhenUsed/>
    <w:qFormat/>
    <w:rsid w:val="0087289F"/>
    <w:pPr>
      <w:keepNext/>
      <w:keepLines/>
      <w:spacing w:before="200" w:line="240" w:lineRule="auto"/>
      <w:outlineLvl w:val="5"/>
    </w:pPr>
    <w:rPr>
      <w:rFonts w:ascii="Cambria" w:eastAsia="Times New Roman" w:hAnsi="Cambria" w:cs="Times New Roman"/>
      <w:i/>
      <w:iCs/>
      <w:color w:val="243F60"/>
      <w:szCs w:val="20"/>
      <w:lang w:val="en-US" w:eastAsia="zh-CN"/>
    </w:rPr>
  </w:style>
  <w:style w:type="paragraph" w:styleId="Heading7">
    <w:name w:val="heading 7"/>
    <w:basedOn w:val="Heading6"/>
    <w:next w:val="Normal"/>
    <w:link w:val="Heading7Char"/>
    <w:qFormat/>
    <w:rsid w:val="0087289F"/>
    <w:pPr>
      <w:keepLines w:val="0"/>
      <w:tabs>
        <w:tab w:val="num" w:pos="1296"/>
      </w:tabs>
      <w:spacing w:before="0" w:line="300" w:lineRule="atLeast"/>
      <w:ind w:left="1296" w:hanging="1296"/>
      <w:outlineLvl w:val="6"/>
    </w:pPr>
    <w:rPr>
      <w:rFonts w:ascii="Arial" w:hAnsi="Arial" w:cs="Arial"/>
      <w:b/>
      <w:bCs/>
      <w:i w:val="0"/>
      <w:iCs w:val="0"/>
      <w:caps/>
      <w:color w:val="3E484E"/>
      <w:szCs w:val="26"/>
      <w:lang w:val="en-GB" w:eastAsia="da-DK"/>
    </w:rPr>
  </w:style>
  <w:style w:type="paragraph" w:styleId="Heading8">
    <w:name w:val="heading 8"/>
    <w:basedOn w:val="Heading7"/>
    <w:next w:val="Normal"/>
    <w:link w:val="Heading8Char"/>
    <w:qFormat/>
    <w:rsid w:val="0087289F"/>
    <w:pPr>
      <w:tabs>
        <w:tab w:val="clear" w:pos="1296"/>
        <w:tab w:val="num" w:pos="1440"/>
      </w:tabs>
      <w:ind w:left="1440" w:hanging="1440"/>
      <w:outlineLvl w:val="7"/>
    </w:pPr>
  </w:style>
  <w:style w:type="paragraph" w:styleId="Heading9">
    <w:name w:val="heading 9"/>
    <w:basedOn w:val="Heading8"/>
    <w:next w:val="Normal"/>
    <w:link w:val="Heading9Char"/>
    <w:qFormat/>
    <w:rsid w:val="0087289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9"/>
    <w:rsid w:val="001417EF"/>
    <w:rPr>
      <w:rFonts w:ascii="Arial" w:eastAsiaTheme="majorEastAsia" w:hAnsi="Arial" w:cstheme="majorBidi"/>
      <w:bCs/>
      <w:color w:val="005172" w:themeColor="text2"/>
      <w:sz w:val="32"/>
      <w:szCs w:val="28"/>
    </w:rPr>
  </w:style>
  <w:style w:type="character" w:customStyle="1" w:styleId="Heading2Char">
    <w:name w:val="Heading 2 Char"/>
    <w:basedOn w:val="DefaultParagraphFont"/>
    <w:link w:val="Heading2"/>
    <w:uiPriority w:val="49"/>
    <w:rsid w:val="001417EF"/>
    <w:rPr>
      <w:rFonts w:ascii="Arial Bold" w:eastAsiaTheme="majorEastAsia" w:hAnsi="Arial Bold" w:cstheme="majorBidi"/>
      <w:b/>
      <w:bCs/>
      <w:color w:val="005172" w:themeColor="text2"/>
      <w:szCs w:val="26"/>
    </w:rPr>
  </w:style>
  <w:style w:type="paragraph" w:customStyle="1" w:styleId="Heading1Numb">
    <w:name w:val="Heading 1Numb"/>
    <w:basedOn w:val="Heading1NoNumb"/>
    <w:uiPriority w:val="49"/>
    <w:semiHidden/>
    <w:qFormat/>
    <w:rsid w:val="00B81352"/>
  </w:style>
  <w:style w:type="paragraph" w:customStyle="1" w:styleId="NormalNumb">
    <w:name w:val="NormalNumb"/>
    <w:basedOn w:val="Normal"/>
    <w:uiPriority w:val="6"/>
    <w:qFormat/>
    <w:rsid w:val="000F284F"/>
    <w:pPr>
      <w:numPr>
        <w:ilvl w:val="4"/>
        <w:numId w:val="41"/>
      </w:numPr>
    </w:pPr>
  </w:style>
  <w:style w:type="numbering" w:customStyle="1" w:styleId="NumbListMain">
    <w:name w:val="NumbListMain"/>
    <w:uiPriority w:val="99"/>
    <w:rsid w:val="000F284F"/>
    <w:pPr>
      <w:numPr>
        <w:numId w:val="1"/>
      </w:numPr>
    </w:pPr>
  </w:style>
  <w:style w:type="character" w:customStyle="1" w:styleId="Heading3Char">
    <w:name w:val="Heading 3 Char"/>
    <w:basedOn w:val="DefaultParagraphFont"/>
    <w:link w:val="Heading3"/>
    <w:uiPriority w:val="49"/>
    <w:rsid w:val="0031344B"/>
    <w:rPr>
      <w:rFonts w:ascii="Arial" w:eastAsiaTheme="majorEastAsia" w:hAnsi="Arial" w:cstheme="majorBidi"/>
      <w:b/>
      <w:bCs/>
      <w:i/>
      <w:color w:val="005172" w:themeColor="text2"/>
      <w:sz w:val="18"/>
    </w:rPr>
  </w:style>
  <w:style w:type="paragraph" w:styleId="FootnoteText">
    <w:name w:val="footnote text"/>
    <w:basedOn w:val="Normal"/>
    <w:link w:val="FootnoteTextChar"/>
    <w:uiPriority w:val="99"/>
    <w:unhideWhenUsed/>
    <w:rsid w:val="007167CF"/>
    <w:pPr>
      <w:spacing w:after="60" w:line="240" w:lineRule="auto"/>
      <w:ind w:left="113" w:hanging="113"/>
    </w:pPr>
    <w:rPr>
      <w:sz w:val="16"/>
      <w:szCs w:val="20"/>
    </w:rPr>
  </w:style>
  <w:style w:type="character" w:customStyle="1" w:styleId="FootnoteTextChar">
    <w:name w:val="Footnote Text Char"/>
    <w:basedOn w:val="DefaultParagraphFont"/>
    <w:link w:val="FootnoteText"/>
    <w:uiPriority w:val="99"/>
    <w:rsid w:val="007167CF"/>
    <w:rPr>
      <w:rFonts w:ascii="Arial" w:hAnsi="Arial"/>
      <w:sz w:val="16"/>
      <w:szCs w:val="20"/>
    </w:rPr>
  </w:style>
  <w:style w:type="character" w:styleId="FootnoteReference">
    <w:name w:val="footnote reference"/>
    <w:aliases w:val="Footnote,callout"/>
    <w:basedOn w:val="DefaultParagraphFont"/>
    <w:uiPriority w:val="99"/>
    <w:unhideWhenUsed/>
    <w:rsid w:val="005F4C42"/>
    <w:rPr>
      <w:vertAlign w:val="superscript"/>
    </w:rPr>
  </w:style>
  <w:style w:type="table" w:styleId="TableGrid">
    <w:name w:val="Table Grid"/>
    <w:basedOn w:val="TableNormal"/>
    <w:rsid w:val="008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17"/>
    <w:qFormat/>
    <w:rsid w:val="00DF7615"/>
    <w:pPr>
      <w:spacing w:after="0" w:line="200" w:lineRule="atLeast"/>
      <w:ind w:left="113"/>
    </w:pPr>
    <w:rPr>
      <w:rFonts w:ascii="Arial Narrow" w:hAnsi="Arial Narrow"/>
      <w:sz w:val="16"/>
    </w:rPr>
  </w:style>
  <w:style w:type="paragraph" w:customStyle="1" w:styleId="TableTextBold">
    <w:name w:val="TableTextBold"/>
    <w:basedOn w:val="TableText"/>
    <w:uiPriority w:val="17"/>
    <w:qFormat/>
    <w:rsid w:val="0003301C"/>
    <w:rPr>
      <w:b/>
    </w:rPr>
  </w:style>
  <w:style w:type="paragraph" w:customStyle="1" w:styleId="TableTextItalic">
    <w:name w:val="TableTextItalic"/>
    <w:basedOn w:val="TableText"/>
    <w:uiPriority w:val="17"/>
    <w:qFormat/>
    <w:rsid w:val="003E0BC9"/>
    <w:pPr>
      <w:ind w:left="340"/>
    </w:pPr>
    <w:rPr>
      <w:i/>
    </w:rPr>
  </w:style>
  <w:style w:type="paragraph" w:customStyle="1" w:styleId="TableHeading">
    <w:name w:val="TableHeading"/>
    <w:basedOn w:val="TableText"/>
    <w:uiPriority w:val="17"/>
    <w:qFormat/>
    <w:rsid w:val="00FD0494"/>
    <w:pPr>
      <w:keepNext/>
      <w:spacing w:before="40" w:after="20"/>
    </w:pPr>
    <w:rPr>
      <w:b/>
    </w:rPr>
  </w:style>
  <w:style w:type="paragraph" w:customStyle="1" w:styleId="TableNumb">
    <w:name w:val="TableNumb"/>
    <w:basedOn w:val="TableText"/>
    <w:uiPriority w:val="19"/>
    <w:qFormat/>
    <w:rsid w:val="00660277"/>
    <w:pPr>
      <w:ind w:left="0" w:right="113"/>
      <w:jc w:val="right"/>
    </w:pPr>
  </w:style>
  <w:style w:type="paragraph" w:customStyle="1" w:styleId="TableHeadingRight">
    <w:name w:val="TableHeadingRight"/>
    <w:basedOn w:val="TableHeading"/>
    <w:uiPriority w:val="17"/>
    <w:qFormat/>
    <w:rsid w:val="00515A33"/>
    <w:pPr>
      <w:ind w:left="0" w:right="113"/>
      <w:jc w:val="right"/>
    </w:pPr>
  </w:style>
  <w:style w:type="paragraph" w:customStyle="1" w:styleId="TableNumbBold">
    <w:name w:val="TableNumbBold"/>
    <w:basedOn w:val="TableNumb"/>
    <w:uiPriority w:val="19"/>
    <w:qFormat/>
    <w:rsid w:val="002D6872"/>
    <w:rPr>
      <w:b/>
    </w:rPr>
  </w:style>
  <w:style w:type="character" w:styleId="PlaceholderText">
    <w:name w:val="Placeholder Text"/>
    <w:basedOn w:val="DefaultParagraphFont"/>
    <w:uiPriority w:val="99"/>
    <w:semiHidden/>
    <w:rsid w:val="0090042F"/>
    <w:rPr>
      <w:color w:val="808080"/>
    </w:rPr>
  </w:style>
  <w:style w:type="numbering" w:customStyle="1" w:styleId="NumbListTable">
    <w:name w:val="NumbListTable"/>
    <w:uiPriority w:val="99"/>
    <w:rsid w:val="008E5AFB"/>
    <w:pPr>
      <w:numPr>
        <w:numId w:val="8"/>
      </w:numPr>
    </w:pPr>
  </w:style>
  <w:style w:type="paragraph" w:customStyle="1" w:styleId="TableAndChartTitleAddText">
    <w:name w:val="TableAndChartTitleAddText"/>
    <w:basedOn w:val="Normal"/>
    <w:next w:val="Normal"/>
    <w:uiPriority w:val="15"/>
    <w:qFormat/>
    <w:rsid w:val="005A26D8"/>
    <w:pPr>
      <w:keepNext/>
      <w:keepLines/>
      <w:spacing w:before="60"/>
      <w:jc w:val="center"/>
    </w:pPr>
    <w:rPr>
      <w:i/>
    </w:rPr>
  </w:style>
  <w:style w:type="paragraph" w:styleId="Header">
    <w:name w:val="header"/>
    <w:basedOn w:val="Normal"/>
    <w:link w:val="HeaderChar"/>
    <w:unhideWhenUsed/>
    <w:rsid w:val="002F31EF"/>
    <w:pPr>
      <w:tabs>
        <w:tab w:val="center" w:pos="4513"/>
        <w:tab w:val="right" w:pos="9026"/>
      </w:tabs>
      <w:spacing w:after="0"/>
    </w:pPr>
    <w:rPr>
      <w:color w:val="005694" w:themeColor="accent1"/>
      <w:sz w:val="16"/>
    </w:rPr>
  </w:style>
  <w:style w:type="character" w:customStyle="1" w:styleId="HeaderChar">
    <w:name w:val="Header Char"/>
    <w:basedOn w:val="DefaultParagraphFont"/>
    <w:link w:val="Header"/>
    <w:rsid w:val="002F31EF"/>
    <w:rPr>
      <w:rFonts w:ascii="Arial" w:hAnsi="Arial"/>
      <w:color w:val="005694" w:themeColor="accent1"/>
      <w:sz w:val="16"/>
    </w:rPr>
  </w:style>
  <w:style w:type="paragraph" w:styleId="Footer">
    <w:name w:val="footer"/>
    <w:basedOn w:val="Normal"/>
    <w:link w:val="FooterChar"/>
    <w:uiPriority w:val="99"/>
    <w:unhideWhenUsed/>
    <w:rsid w:val="006534AE"/>
    <w:pPr>
      <w:tabs>
        <w:tab w:val="center" w:pos="4513"/>
        <w:tab w:val="right" w:pos="9026"/>
      </w:tabs>
      <w:spacing w:after="0"/>
    </w:pPr>
  </w:style>
  <w:style w:type="character" w:customStyle="1" w:styleId="FooterChar">
    <w:name w:val="Footer Char"/>
    <w:basedOn w:val="DefaultParagraphFont"/>
    <w:link w:val="Footer"/>
    <w:uiPriority w:val="99"/>
    <w:rsid w:val="006534AE"/>
    <w:rPr>
      <w:rFonts w:ascii="Arial" w:hAnsi="Arial"/>
      <w:sz w:val="18"/>
    </w:rPr>
  </w:style>
  <w:style w:type="paragraph" w:customStyle="1" w:styleId="ChartTitle">
    <w:name w:val="ChartTitle"/>
    <w:basedOn w:val="Normal"/>
    <w:next w:val="Normal"/>
    <w:uiPriority w:val="49"/>
    <w:semiHidden/>
    <w:qFormat/>
    <w:rsid w:val="001417EF"/>
    <w:pPr>
      <w:numPr>
        <w:numId w:val="3"/>
      </w:numPr>
      <w:spacing w:before="180" w:after="90"/>
      <w:jc w:val="center"/>
    </w:pPr>
    <w:rPr>
      <w:b/>
      <w:color w:val="005172" w:themeColor="text2"/>
    </w:rPr>
  </w:style>
  <w:style w:type="numbering" w:customStyle="1" w:styleId="NumbListChart">
    <w:name w:val="NumbListChart"/>
    <w:uiPriority w:val="99"/>
    <w:rsid w:val="005F7025"/>
    <w:pPr>
      <w:numPr>
        <w:numId w:val="2"/>
      </w:numPr>
    </w:pPr>
  </w:style>
  <w:style w:type="paragraph" w:styleId="BalloonText">
    <w:name w:val="Balloon Text"/>
    <w:basedOn w:val="Normal"/>
    <w:link w:val="BalloonTextChar"/>
    <w:uiPriority w:val="99"/>
    <w:unhideWhenUsed/>
    <w:rsid w:val="00C9558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95581"/>
    <w:rPr>
      <w:rFonts w:ascii="Tahoma" w:hAnsi="Tahoma" w:cs="Tahoma"/>
      <w:sz w:val="16"/>
      <w:szCs w:val="16"/>
    </w:rPr>
  </w:style>
  <w:style w:type="paragraph" w:customStyle="1" w:styleId="NormalNoSpace">
    <w:name w:val="NormalNoSpace"/>
    <w:basedOn w:val="Normal"/>
    <w:uiPriority w:val="6"/>
    <w:qFormat/>
    <w:rsid w:val="007C66D5"/>
    <w:pPr>
      <w:spacing w:after="0"/>
    </w:pPr>
  </w:style>
  <w:style w:type="paragraph" w:customStyle="1" w:styleId="TableNumbItalics">
    <w:name w:val="TableNumbItalics"/>
    <w:basedOn w:val="TableNumb"/>
    <w:uiPriority w:val="19"/>
    <w:qFormat/>
    <w:rsid w:val="00A06AA1"/>
    <w:rPr>
      <w:i/>
    </w:rPr>
  </w:style>
  <w:style w:type="paragraph" w:customStyle="1" w:styleId="NormalNumb2">
    <w:name w:val="NormalNumb2"/>
    <w:basedOn w:val="NormalNumb"/>
    <w:uiPriority w:val="6"/>
    <w:qFormat/>
    <w:rsid w:val="00100A01"/>
    <w:pPr>
      <w:numPr>
        <w:ilvl w:val="5"/>
      </w:numPr>
    </w:pPr>
  </w:style>
  <w:style w:type="paragraph" w:customStyle="1" w:styleId="FooterSmall">
    <w:name w:val="FooterSmall"/>
    <w:basedOn w:val="Footer"/>
    <w:uiPriority w:val="49"/>
    <w:semiHidden/>
    <w:qFormat/>
    <w:rsid w:val="00AB0F67"/>
    <w:rPr>
      <w:sz w:val="16"/>
    </w:rPr>
  </w:style>
  <w:style w:type="paragraph" w:customStyle="1" w:styleId="SectionTitle">
    <w:name w:val="SectionTitle"/>
    <w:basedOn w:val="Normal"/>
    <w:uiPriority w:val="1"/>
    <w:qFormat/>
    <w:rsid w:val="001417EF"/>
    <w:pPr>
      <w:keepNext/>
      <w:keepLines/>
      <w:pageBreakBefore/>
      <w:spacing w:after="480"/>
      <w:outlineLvl w:val="0"/>
    </w:pPr>
    <w:rPr>
      <w:caps/>
      <w:color w:val="005172" w:themeColor="text2"/>
      <w:sz w:val="44"/>
    </w:rPr>
  </w:style>
  <w:style w:type="paragraph" w:customStyle="1" w:styleId="SectionTitleNumb">
    <w:name w:val="SectionTitleNumb"/>
    <w:basedOn w:val="SectionTitle"/>
    <w:uiPriority w:val="1"/>
    <w:qFormat/>
    <w:rsid w:val="00763525"/>
    <w:pPr>
      <w:numPr>
        <w:numId w:val="41"/>
      </w:numPr>
    </w:pPr>
  </w:style>
  <w:style w:type="paragraph" w:customStyle="1" w:styleId="StrategyTitle">
    <w:name w:val="StrategyTitle"/>
    <w:basedOn w:val="Normal"/>
    <w:uiPriority w:val="2"/>
    <w:qFormat/>
    <w:rsid w:val="00267FE2"/>
    <w:pPr>
      <w:keepNext/>
      <w:keepLines/>
      <w:pageBreakBefore/>
      <w:numPr>
        <w:ilvl w:val="1"/>
        <w:numId w:val="41"/>
      </w:numPr>
      <w:outlineLvl w:val="0"/>
    </w:pPr>
    <w:rPr>
      <w:color w:val="005172" w:themeColor="text2"/>
      <w:sz w:val="32"/>
    </w:rPr>
  </w:style>
  <w:style w:type="paragraph" w:customStyle="1" w:styleId="ProgramTitle">
    <w:name w:val="ProgramTitle"/>
    <w:basedOn w:val="Normal"/>
    <w:uiPriority w:val="3"/>
    <w:qFormat/>
    <w:rsid w:val="000F284F"/>
    <w:pPr>
      <w:keepNext/>
      <w:keepLines/>
      <w:pageBreakBefore/>
      <w:numPr>
        <w:ilvl w:val="3"/>
        <w:numId w:val="41"/>
      </w:numPr>
      <w:outlineLvl w:val="1"/>
    </w:pPr>
    <w:rPr>
      <w:b/>
      <w:color w:val="005172" w:themeColor="text2"/>
      <w:sz w:val="32"/>
    </w:rPr>
  </w:style>
  <w:style w:type="paragraph" w:styleId="TOC1">
    <w:name w:val="toc 1"/>
    <w:basedOn w:val="Normal"/>
    <w:next w:val="Normal"/>
    <w:autoRedefine/>
    <w:uiPriority w:val="39"/>
    <w:qFormat/>
    <w:rsid w:val="00153A39"/>
    <w:pPr>
      <w:pBdr>
        <w:top w:val="single" w:sz="4" w:space="9" w:color="005172" w:themeColor="text2"/>
        <w:between w:val="single" w:sz="4" w:space="9" w:color="005172" w:themeColor="text2"/>
      </w:pBdr>
      <w:tabs>
        <w:tab w:val="left" w:pos="680"/>
        <w:tab w:val="right" w:pos="9639"/>
      </w:tabs>
      <w:spacing w:after="0"/>
    </w:pPr>
    <w:rPr>
      <w:caps/>
      <w:color w:val="005172" w:themeColor="text2"/>
      <w:sz w:val="22"/>
    </w:rPr>
  </w:style>
  <w:style w:type="paragraph" w:styleId="TOC2">
    <w:name w:val="toc 2"/>
    <w:basedOn w:val="Normal"/>
    <w:next w:val="Normal"/>
    <w:autoRedefine/>
    <w:uiPriority w:val="39"/>
    <w:qFormat/>
    <w:rsid w:val="00E658C6"/>
    <w:pPr>
      <w:keepNext/>
      <w:tabs>
        <w:tab w:val="left" w:pos="2770"/>
        <w:tab w:val="right" w:leader="dot" w:pos="9639"/>
      </w:tabs>
      <w:spacing w:before="180" w:after="90"/>
      <w:ind w:left="2778" w:right="-1" w:hanging="2098"/>
    </w:pPr>
    <w:rPr>
      <w:b/>
      <w:noProof/>
    </w:rPr>
  </w:style>
  <w:style w:type="paragraph" w:styleId="TOC3">
    <w:name w:val="toc 3"/>
    <w:basedOn w:val="Normal"/>
    <w:next w:val="Normal"/>
    <w:autoRedefine/>
    <w:uiPriority w:val="39"/>
    <w:qFormat/>
    <w:rsid w:val="00E658C6"/>
    <w:pPr>
      <w:tabs>
        <w:tab w:val="left" w:pos="2381"/>
        <w:tab w:val="right" w:leader="dot" w:pos="9639"/>
      </w:tabs>
      <w:spacing w:before="90" w:after="90"/>
      <w:ind w:left="2353" w:right="-1" w:hanging="1673"/>
    </w:pPr>
  </w:style>
  <w:style w:type="character" w:styleId="Hyperlink">
    <w:name w:val="Hyperlink"/>
    <w:basedOn w:val="DefaultParagraphFont"/>
    <w:uiPriority w:val="99"/>
    <w:unhideWhenUsed/>
    <w:rsid w:val="00643D85"/>
    <w:rPr>
      <w:color w:val="005694" w:themeColor="hyperlink"/>
      <w:u w:val="single"/>
    </w:rPr>
  </w:style>
  <w:style w:type="paragraph" w:customStyle="1" w:styleId="ProgramAnnex">
    <w:name w:val="ProgramAnnex"/>
    <w:basedOn w:val="Normal"/>
    <w:uiPriority w:val="5"/>
    <w:semiHidden/>
    <w:qFormat/>
    <w:rsid w:val="00B87F9B"/>
    <w:pPr>
      <w:keepNext/>
      <w:keepLines/>
      <w:pageBreakBefore/>
      <w:spacing w:after="120"/>
      <w:ind w:left="3629" w:hanging="3629"/>
      <w:outlineLvl w:val="1"/>
    </w:pPr>
    <w:rPr>
      <w:b/>
      <w:color w:val="005172" w:themeColor="text2"/>
      <w:sz w:val="32"/>
    </w:rPr>
  </w:style>
  <w:style w:type="paragraph" w:styleId="TOC4">
    <w:name w:val="toc 4"/>
    <w:basedOn w:val="Normal"/>
    <w:next w:val="Normal"/>
    <w:autoRedefine/>
    <w:uiPriority w:val="39"/>
    <w:rsid w:val="002471F0"/>
    <w:pPr>
      <w:tabs>
        <w:tab w:val="left" w:pos="3969"/>
        <w:tab w:val="right" w:leader="dot" w:pos="9639"/>
      </w:tabs>
      <w:spacing w:after="90"/>
      <w:ind w:left="2381"/>
    </w:pPr>
    <w:rPr>
      <w:i/>
    </w:rPr>
  </w:style>
  <w:style w:type="paragraph" w:customStyle="1" w:styleId="TableHeading2">
    <w:name w:val="TableHeading2"/>
    <w:basedOn w:val="TableHeading"/>
    <w:uiPriority w:val="16"/>
    <w:qFormat/>
    <w:rsid w:val="001417EF"/>
    <w:pPr>
      <w:spacing w:before="60" w:after="60"/>
    </w:pPr>
    <w:rPr>
      <w:rFonts w:ascii="Arial Bold" w:hAnsi="Arial Bold"/>
      <w:color w:val="005172" w:themeColor="text2"/>
      <w:sz w:val="22"/>
    </w:rPr>
  </w:style>
  <w:style w:type="paragraph" w:customStyle="1" w:styleId="TableAndChartTitle">
    <w:name w:val="TableAndChartTitle"/>
    <w:basedOn w:val="Normal"/>
    <w:next w:val="Normal"/>
    <w:uiPriority w:val="14"/>
    <w:qFormat/>
    <w:rsid w:val="00B07BC3"/>
    <w:pPr>
      <w:keepNext/>
      <w:keepLines/>
      <w:spacing w:before="240" w:after="60"/>
      <w:jc w:val="center"/>
    </w:pPr>
    <w:rPr>
      <w:b/>
      <w:color w:val="005172"/>
    </w:rPr>
  </w:style>
  <w:style w:type="paragraph" w:customStyle="1" w:styleId="Heading1NoNumb">
    <w:name w:val="Heading 1NoNumb"/>
    <w:basedOn w:val="Normal"/>
    <w:next w:val="Normal"/>
    <w:uiPriority w:val="6"/>
    <w:qFormat/>
    <w:rsid w:val="00AD6FFB"/>
    <w:pPr>
      <w:keepNext/>
      <w:spacing w:before="320" w:after="240"/>
      <w:outlineLvl w:val="2"/>
    </w:pPr>
    <w:rPr>
      <w:color w:val="005172" w:themeColor="text2"/>
      <w:sz w:val="32"/>
    </w:rPr>
  </w:style>
  <w:style w:type="paragraph" w:customStyle="1" w:styleId="Heading2NoNumb">
    <w:name w:val="Heading 2NoNumb"/>
    <w:basedOn w:val="Normal"/>
    <w:uiPriority w:val="6"/>
    <w:qFormat/>
    <w:rsid w:val="00AD6FFB"/>
    <w:pPr>
      <w:keepNext/>
      <w:spacing w:before="240"/>
      <w:outlineLvl w:val="2"/>
    </w:pPr>
    <w:rPr>
      <w:rFonts w:ascii="Arial Bold" w:hAnsi="Arial Bold"/>
      <w:b/>
      <w:color w:val="005172" w:themeColor="text2"/>
      <w:sz w:val="22"/>
    </w:rPr>
  </w:style>
  <w:style w:type="paragraph" w:customStyle="1" w:styleId="AnnexTitle">
    <w:name w:val="AnnexTitle"/>
    <w:basedOn w:val="Normal"/>
    <w:uiPriority w:val="5"/>
    <w:qFormat/>
    <w:rsid w:val="000E12A8"/>
    <w:pPr>
      <w:keepNext/>
      <w:keepLines/>
      <w:pageBreakBefore/>
      <w:numPr>
        <w:numId w:val="4"/>
      </w:numPr>
      <w:ind w:left="1871" w:hanging="1871"/>
      <w:outlineLvl w:val="1"/>
    </w:pPr>
    <w:rPr>
      <w:b/>
      <w:color w:val="005172" w:themeColor="text2"/>
      <w:sz w:val="32"/>
    </w:rPr>
  </w:style>
  <w:style w:type="numbering" w:customStyle="1" w:styleId="NumbListAnnex">
    <w:name w:val="NumbListAnnex"/>
    <w:uiPriority w:val="99"/>
    <w:rsid w:val="00757EE6"/>
    <w:pPr>
      <w:numPr>
        <w:numId w:val="4"/>
      </w:numPr>
    </w:pPr>
  </w:style>
  <w:style w:type="paragraph" w:customStyle="1" w:styleId="AppendixTitle">
    <w:name w:val="AppendixTitle"/>
    <w:basedOn w:val="Normal"/>
    <w:next w:val="Normal"/>
    <w:uiPriority w:val="6"/>
    <w:qFormat/>
    <w:rsid w:val="00851225"/>
    <w:pPr>
      <w:keepNext/>
      <w:keepLines/>
      <w:pageBreakBefore/>
      <w:numPr>
        <w:numId w:val="12"/>
      </w:numPr>
      <w:tabs>
        <w:tab w:val="clear" w:pos="2268"/>
      </w:tabs>
      <w:ind w:left="2381" w:hanging="2381"/>
      <w:outlineLvl w:val="1"/>
    </w:pPr>
    <w:rPr>
      <w:b/>
      <w:color w:val="005172" w:themeColor="text2"/>
      <w:sz w:val="32"/>
    </w:rPr>
  </w:style>
  <w:style w:type="numbering" w:customStyle="1" w:styleId="NumbListAppendix">
    <w:name w:val="NumbListAppendix"/>
    <w:uiPriority w:val="99"/>
    <w:rsid w:val="002B1AD1"/>
    <w:pPr>
      <w:numPr>
        <w:numId w:val="5"/>
      </w:numPr>
    </w:pPr>
  </w:style>
  <w:style w:type="paragraph" w:customStyle="1" w:styleId="SectionTitleNoTOC">
    <w:name w:val="SectionTitleNoTOC"/>
    <w:basedOn w:val="SectionTitle"/>
    <w:uiPriority w:val="6"/>
    <w:qFormat/>
    <w:rsid w:val="00884AC4"/>
  </w:style>
  <w:style w:type="paragraph" w:customStyle="1" w:styleId="TableNotes">
    <w:name w:val="TableNotes"/>
    <w:basedOn w:val="Normal"/>
    <w:uiPriority w:val="8"/>
    <w:qFormat/>
    <w:rsid w:val="00EE2D12"/>
    <w:pPr>
      <w:spacing w:before="60"/>
    </w:pPr>
    <w:rPr>
      <w:sz w:val="15"/>
    </w:rPr>
  </w:style>
  <w:style w:type="paragraph" w:customStyle="1" w:styleId="Bullet1">
    <w:name w:val="Bullet 1"/>
    <w:basedOn w:val="Normal"/>
    <w:uiPriority w:val="6"/>
    <w:qFormat/>
    <w:rsid w:val="006B5A7A"/>
    <w:pPr>
      <w:numPr>
        <w:numId w:val="9"/>
      </w:numPr>
    </w:pPr>
  </w:style>
  <w:style w:type="numbering" w:customStyle="1" w:styleId="NUmbListBullet">
    <w:name w:val="NUmbListBullet"/>
    <w:uiPriority w:val="99"/>
    <w:rsid w:val="006B5A7A"/>
    <w:pPr>
      <w:numPr>
        <w:numId w:val="6"/>
      </w:numPr>
    </w:pPr>
  </w:style>
  <w:style w:type="character" w:customStyle="1" w:styleId="charColoured">
    <w:name w:val="charColoured"/>
    <w:basedOn w:val="DefaultParagraphFont"/>
    <w:uiPriority w:val="1"/>
    <w:qFormat/>
    <w:rsid w:val="001417EF"/>
    <w:rPr>
      <w:color w:val="005172" w:themeColor="text2"/>
    </w:rPr>
  </w:style>
  <w:style w:type="character" w:customStyle="1" w:styleId="Heading4Char">
    <w:name w:val="Heading 4 Char"/>
    <w:basedOn w:val="DefaultParagraphFont"/>
    <w:link w:val="Heading4"/>
    <w:uiPriority w:val="6"/>
    <w:rsid w:val="00B516F8"/>
    <w:rPr>
      <w:rFonts w:asciiTheme="majorHAnsi" w:eastAsiaTheme="majorEastAsia" w:hAnsiTheme="majorHAnsi" w:cstheme="majorBidi"/>
      <w:b/>
      <w:bCs/>
      <w:i/>
      <w:iCs/>
      <w:color w:val="005172" w:themeColor="text2"/>
      <w:sz w:val="18"/>
    </w:rPr>
  </w:style>
  <w:style w:type="paragraph" w:styleId="TOCHeading">
    <w:name w:val="TOC Heading"/>
    <w:basedOn w:val="Heading1"/>
    <w:next w:val="Normal"/>
    <w:uiPriority w:val="39"/>
    <w:unhideWhenUsed/>
    <w:qFormat/>
    <w:rsid w:val="0096227E"/>
    <w:pPr>
      <w:spacing w:before="480" w:after="0" w:line="276" w:lineRule="auto"/>
      <w:outlineLvl w:val="9"/>
    </w:pPr>
    <w:rPr>
      <w:rFonts w:asciiTheme="majorHAnsi" w:hAnsiTheme="majorHAnsi"/>
      <w:b/>
      <w:color w:val="00406E" w:themeColor="accent1" w:themeShade="BF"/>
      <w:sz w:val="28"/>
      <w:lang w:val="en-US" w:eastAsia="ja-JP"/>
    </w:rPr>
  </w:style>
  <w:style w:type="paragraph" w:customStyle="1" w:styleId="Bullet2">
    <w:name w:val="Bullet 2"/>
    <w:basedOn w:val="Normal"/>
    <w:uiPriority w:val="6"/>
    <w:qFormat/>
    <w:rsid w:val="006B5A7A"/>
    <w:pPr>
      <w:numPr>
        <w:ilvl w:val="1"/>
        <w:numId w:val="9"/>
      </w:numPr>
    </w:pPr>
  </w:style>
  <w:style w:type="paragraph" w:customStyle="1" w:styleId="NormalProgram">
    <w:name w:val="NormalProgram"/>
    <w:basedOn w:val="Normal"/>
    <w:uiPriority w:val="6"/>
    <w:qFormat/>
    <w:rsid w:val="00045298"/>
    <w:pPr>
      <w:tabs>
        <w:tab w:val="left" w:pos="1701"/>
      </w:tabs>
      <w:ind w:left="1701" w:hanging="1021"/>
      <w:contextualSpacing/>
    </w:pPr>
  </w:style>
  <w:style w:type="paragraph" w:styleId="Title">
    <w:name w:val="Title"/>
    <w:basedOn w:val="Normal"/>
    <w:next w:val="Normal"/>
    <w:link w:val="TitleChar"/>
    <w:uiPriority w:val="49"/>
    <w:qFormat/>
    <w:rsid w:val="00F42C87"/>
    <w:pPr>
      <w:pBdr>
        <w:bottom w:val="single" w:sz="8" w:space="4" w:color="005694" w:themeColor="accent1"/>
      </w:pBdr>
      <w:spacing w:after="300"/>
      <w:contextualSpacing/>
    </w:pPr>
    <w:rPr>
      <w:rFonts w:asciiTheme="majorHAnsi" w:eastAsiaTheme="majorEastAsia" w:hAnsiTheme="majorHAnsi" w:cstheme="majorBidi"/>
      <w:color w:val="003C55" w:themeColor="text2" w:themeShade="BF"/>
      <w:spacing w:val="5"/>
      <w:kern w:val="28"/>
      <w:sz w:val="52"/>
      <w:szCs w:val="52"/>
    </w:rPr>
  </w:style>
  <w:style w:type="character" w:customStyle="1" w:styleId="TitleChar">
    <w:name w:val="Title Char"/>
    <w:basedOn w:val="DefaultParagraphFont"/>
    <w:link w:val="Title"/>
    <w:uiPriority w:val="49"/>
    <w:rsid w:val="00F42C87"/>
    <w:rPr>
      <w:rFonts w:asciiTheme="majorHAnsi" w:eastAsiaTheme="majorEastAsia" w:hAnsiTheme="majorHAnsi" w:cstheme="majorBidi"/>
      <w:color w:val="003C55" w:themeColor="text2" w:themeShade="BF"/>
      <w:spacing w:val="5"/>
      <w:kern w:val="28"/>
      <w:sz w:val="52"/>
      <w:szCs w:val="52"/>
    </w:rPr>
  </w:style>
  <w:style w:type="paragraph" w:styleId="BodyText2">
    <w:name w:val="Body Text 2"/>
    <w:basedOn w:val="Normal"/>
    <w:link w:val="BodyText2Char"/>
    <w:uiPriority w:val="99"/>
    <w:unhideWhenUsed/>
    <w:rsid w:val="00F42C87"/>
    <w:pPr>
      <w:spacing w:after="120" w:line="480" w:lineRule="auto"/>
    </w:pPr>
  </w:style>
  <w:style w:type="character" w:customStyle="1" w:styleId="BodyText2Char">
    <w:name w:val="Body Text 2 Char"/>
    <w:basedOn w:val="DefaultParagraphFont"/>
    <w:link w:val="BodyText2"/>
    <w:uiPriority w:val="99"/>
    <w:rsid w:val="00F42C87"/>
    <w:rPr>
      <w:rFonts w:ascii="Arial" w:hAnsi="Arial"/>
      <w:sz w:val="18"/>
    </w:rPr>
  </w:style>
  <w:style w:type="paragraph" w:styleId="BodyText3">
    <w:name w:val="Body Text 3"/>
    <w:basedOn w:val="Normal"/>
    <w:link w:val="BodyText3Char"/>
    <w:uiPriority w:val="99"/>
    <w:semiHidden/>
    <w:unhideWhenUsed/>
    <w:rsid w:val="00F42C87"/>
    <w:pPr>
      <w:spacing w:after="120"/>
    </w:pPr>
    <w:rPr>
      <w:sz w:val="16"/>
      <w:szCs w:val="16"/>
    </w:rPr>
  </w:style>
  <w:style w:type="character" w:customStyle="1" w:styleId="BodyText3Char">
    <w:name w:val="Body Text 3 Char"/>
    <w:basedOn w:val="DefaultParagraphFont"/>
    <w:link w:val="BodyText3"/>
    <w:uiPriority w:val="99"/>
    <w:semiHidden/>
    <w:rsid w:val="00F42C87"/>
    <w:rPr>
      <w:rFonts w:ascii="Arial" w:hAnsi="Arial"/>
      <w:sz w:val="16"/>
      <w:szCs w:val="16"/>
    </w:rPr>
  </w:style>
  <w:style w:type="paragraph" w:customStyle="1" w:styleId="TableSmText">
    <w:name w:val="TableSmText"/>
    <w:basedOn w:val="TableText"/>
    <w:uiPriority w:val="8"/>
    <w:qFormat/>
    <w:rsid w:val="009604C8"/>
    <w:pPr>
      <w:spacing w:line="160" w:lineRule="atLeast"/>
    </w:pPr>
    <w:rPr>
      <w:sz w:val="14"/>
    </w:rPr>
  </w:style>
  <w:style w:type="paragraph" w:customStyle="1" w:styleId="TableSmHeading">
    <w:name w:val="TableSmHeading"/>
    <w:basedOn w:val="TableSmText"/>
    <w:uiPriority w:val="8"/>
    <w:qFormat/>
    <w:rsid w:val="0080563D"/>
    <w:pPr>
      <w:spacing w:before="20" w:after="10"/>
    </w:pPr>
    <w:rPr>
      <w:b/>
    </w:rPr>
  </w:style>
  <w:style w:type="paragraph" w:customStyle="1" w:styleId="TableTextWith">
    <w:name w:val="TableTextWith"/>
    <w:basedOn w:val="TableText"/>
    <w:uiPriority w:val="8"/>
    <w:qFormat/>
    <w:rsid w:val="00524031"/>
    <w:pPr>
      <w:spacing w:after="80"/>
    </w:pPr>
  </w:style>
  <w:style w:type="paragraph" w:customStyle="1" w:styleId="TableBullet1">
    <w:name w:val="TableBullet1"/>
    <w:basedOn w:val="TableText"/>
    <w:uiPriority w:val="8"/>
    <w:qFormat/>
    <w:rsid w:val="006B5A7A"/>
    <w:pPr>
      <w:numPr>
        <w:numId w:val="10"/>
      </w:numPr>
    </w:pPr>
  </w:style>
  <w:style w:type="numbering" w:customStyle="1" w:styleId="NumbLstTabBullet">
    <w:name w:val="NumbLstTabBullet"/>
    <w:uiPriority w:val="99"/>
    <w:rsid w:val="006B5A7A"/>
    <w:pPr>
      <w:numPr>
        <w:numId w:val="7"/>
      </w:numPr>
    </w:pPr>
  </w:style>
  <w:style w:type="paragraph" w:styleId="BodyText">
    <w:name w:val="Body Text"/>
    <w:basedOn w:val="Normal"/>
    <w:link w:val="BodyTextChar"/>
    <w:rsid w:val="00282F14"/>
    <w:pPr>
      <w:spacing w:after="120"/>
    </w:pPr>
  </w:style>
  <w:style w:type="character" w:customStyle="1" w:styleId="BodyTextChar">
    <w:name w:val="Body Text Char"/>
    <w:basedOn w:val="DefaultParagraphFont"/>
    <w:link w:val="BodyText"/>
    <w:rsid w:val="00B516F8"/>
    <w:rPr>
      <w:rFonts w:ascii="Arial" w:hAnsi="Arial"/>
      <w:sz w:val="18"/>
    </w:rPr>
  </w:style>
  <w:style w:type="paragraph" w:styleId="ListParagraph">
    <w:name w:val="List Paragraph"/>
    <w:basedOn w:val="Normal"/>
    <w:uiPriority w:val="34"/>
    <w:qFormat/>
    <w:rsid w:val="004407E4"/>
    <w:pPr>
      <w:spacing w:after="0" w:line="240" w:lineRule="auto"/>
      <w:ind w:left="720"/>
      <w:contextualSpacing/>
    </w:pPr>
    <w:rPr>
      <w:rFonts w:ascii="Calibri" w:eastAsia="Times New Roman" w:hAnsi="Calibri" w:cs="Arial"/>
      <w:sz w:val="22"/>
      <w:lang w:val="en-US" w:eastAsia="ja-JP"/>
    </w:rPr>
  </w:style>
  <w:style w:type="paragraph" w:customStyle="1" w:styleId="NumbList1">
    <w:name w:val="NumbList 1"/>
    <w:basedOn w:val="Normal"/>
    <w:uiPriority w:val="6"/>
    <w:qFormat/>
    <w:rsid w:val="006B5A7A"/>
    <w:pPr>
      <w:numPr>
        <w:ilvl w:val="3"/>
        <w:numId w:val="9"/>
      </w:numPr>
    </w:pPr>
  </w:style>
  <w:style w:type="paragraph" w:customStyle="1" w:styleId="TableHeadingCenter">
    <w:name w:val="TableHeadingCenter"/>
    <w:basedOn w:val="TableHeading"/>
    <w:uiPriority w:val="8"/>
    <w:qFormat/>
    <w:rsid w:val="00EA1F48"/>
    <w:pPr>
      <w:jc w:val="center"/>
    </w:pPr>
  </w:style>
  <w:style w:type="paragraph" w:customStyle="1" w:styleId="TableTextCenter">
    <w:name w:val="TableTextCenter"/>
    <w:basedOn w:val="TableText"/>
    <w:uiPriority w:val="8"/>
    <w:qFormat/>
    <w:rsid w:val="00EA1F48"/>
    <w:pPr>
      <w:jc w:val="center"/>
    </w:pPr>
  </w:style>
  <w:style w:type="paragraph" w:customStyle="1" w:styleId="TableItalic">
    <w:name w:val="TableItalic"/>
    <w:basedOn w:val="TableText"/>
    <w:uiPriority w:val="8"/>
    <w:qFormat/>
    <w:rsid w:val="00F97023"/>
    <w:pPr>
      <w:keepNext/>
      <w:keepLines/>
    </w:pPr>
    <w:rPr>
      <w:i/>
    </w:rPr>
  </w:style>
  <w:style w:type="paragraph" w:customStyle="1" w:styleId="TableItalicCenter">
    <w:name w:val="TableItalicCenter"/>
    <w:basedOn w:val="TableItalic"/>
    <w:uiPriority w:val="8"/>
    <w:qFormat/>
    <w:rsid w:val="00F97023"/>
    <w:pPr>
      <w:jc w:val="center"/>
    </w:pPr>
  </w:style>
  <w:style w:type="paragraph" w:customStyle="1" w:styleId="AlphaList">
    <w:name w:val="AlphaList"/>
    <w:basedOn w:val="Normal"/>
    <w:uiPriority w:val="6"/>
    <w:qFormat/>
    <w:rsid w:val="006B5A7A"/>
    <w:pPr>
      <w:numPr>
        <w:ilvl w:val="4"/>
        <w:numId w:val="9"/>
      </w:numPr>
    </w:pPr>
  </w:style>
  <w:style w:type="paragraph" w:customStyle="1" w:styleId="TableBullet2">
    <w:name w:val="TableBullet2"/>
    <w:basedOn w:val="TableText"/>
    <w:uiPriority w:val="6"/>
    <w:qFormat/>
    <w:rsid w:val="006B5A7A"/>
    <w:pPr>
      <w:numPr>
        <w:ilvl w:val="1"/>
        <w:numId w:val="10"/>
      </w:numPr>
    </w:pPr>
    <w:rPr>
      <w:color w:val="000000"/>
      <w:szCs w:val="16"/>
    </w:rPr>
  </w:style>
  <w:style w:type="paragraph" w:customStyle="1" w:styleId="NormalAbb">
    <w:name w:val="NormalAbb"/>
    <w:basedOn w:val="Normal"/>
    <w:uiPriority w:val="6"/>
    <w:qFormat/>
    <w:rsid w:val="000D070F"/>
    <w:pPr>
      <w:ind w:left="1361" w:hanging="1361"/>
      <w:contextualSpacing/>
    </w:pPr>
  </w:style>
  <w:style w:type="paragraph" w:customStyle="1" w:styleId="TableSmNumb">
    <w:name w:val="TableSmNumb"/>
    <w:basedOn w:val="TableSmText"/>
    <w:uiPriority w:val="8"/>
    <w:qFormat/>
    <w:rsid w:val="00797AB8"/>
    <w:pPr>
      <w:ind w:left="0" w:right="85"/>
      <w:jc w:val="right"/>
    </w:pPr>
  </w:style>
  <w:style w:type="paragraph" w:customStyle="1" w:styleId="TableSmHeadingRight">
    <w:name w:val="TableSmHeadingRight"/>
    <w:basedOn w:val="TableSmHeading"/>
    <w:uiPriority w:val="8"/>
    <w:qFormat/>
    <w:rsid w:val="00797AB8"/>
    <w:pPr>
      <w:ind w:left="0" w:right="85"/>
      <w:jc w:val="right"/>
    </w:pPr>
  </w:style>
  <w:style w:type="paragraph" w:customStyle="1" w:styleId="TableFootnote">
    <w:name w:val="TableFootnote"/>
    <w:basedOn w:val="TableText"/>
    <w:uiPriority w:val="8"/>
    <w:qFormat/>
    <w:rsid w:val="00096382"/>
    <w:pPr>
      <w:ind w:left="226" w:hanging="113"/>
    </w:pPr>
  </w:style>
  <w:style w:type="paragraph" w:styleId="Caption">
    <w:name w:val="caption"/>
    <w:basedOn w:val="Normal"/>
    <w:next w:val="Normal"/>
    <w:uiPriority w:val="35"/>
    <w:unhideWhenUsed/>
    <w:qFormat/>
    <w:rsid w:val="001417EF"/>
    <w:pPr>
      <w:spacing w:after="200" w:line="240" w:lineRule="auto"/>
    </w:pPr>
    <w:rPr>
      <w:b/>
      <w:bCs/>
      <w:color w:val="005172" w:themeColor="text2"/>
      <w:szCs w:val="18"/>
    </w:rPr>
  </w:style>
  <w:style w:type="character" w:styleId="IntenseEmphasis">
    <w:name w:val="Intense Emphasis"/>
    <w:basedOn w:val="DefaultParagraphFont"/>
    <w:uiPriority w:val="49"/>
    <w:qFormat/>
    <w:rsid w:val="001417EF"/>
    <w:rPr>
      <w:b/>
      <w:bCs/>
      <w:i/>
      <w:iCs/>
      <w:color w:val="005172" w:themeColor="text2"/>
    </w:rPr>
  </w:style>
  <w:style w:type="paragraph" w:styleId="IntenseQuote">
    <w:name w:val="Intense Quote"/>
    <w:basedOn w:val="Normal"/>
    <w:next w:val="Normal"/>
    <w:link w:val="IntenseQuoteChar"/>
    <w:uiPriority w:val="49"/>
    <w:qFormat/>
    <w:rsid w:val="001417EF"/>
    <w:pPr>
      <w:pBdr>
        <w:bottom w:val="single" w:sz="4" w:space="4" w:color="005694" w:themeColor="accent1"/>
      </w:pBdr>
      <w:spacing w:before="200" w:after="280"/>
      <w:ind w:left="936" w:right="936"/>
    </w:pPr>
    <w:rPr>
      <w:b/>
      <w:bCs/>
      <w:i/>
      <w:iCs/>
      <w:color w:val="005172" w:themeColor="text2"/>
    </w:rPr>
  </w:style>
  <w:style w:type="character" w:customStyle="1" w:styleId="IntenseQuoteChar">
    <w:name w:val="Intense Quote Char"/>
    <w:basedOn w:val="DefaultParagraphFont"/>
    <w:link w:val="IntenseQuote"/>
    <w:uiPriority w:val="49"/>
    <w:rsid w:val="001417EF"/>
    <w:rPr>
      <w:rFonts w:ascii="Arial" w:hAnsi="Arial"/>
      <w:b/>
      <w:bCs/>
      <w:i/>
      <w:iCs/>
      <w:color w:val="005172" w:themeColor="text2"/>
      <w:sz w:val="18"/>
    </w:rPr>
  </w:style>
  <w:style w:type="paragraph" w:customStyle="1" w:styleId="ChartPara">
    <w:name w:val="ChartPara"/>
    <w:basedOn w:val="Normal"/>
    <w:uiPriority w:val="6"/>
    <w:qFormat/>
    <w:rsid w:val="00DF623F"/>
    <w:pPr>
      <w:ind w:left="1418"/>
    </w:pPr>
  </w:style>
  <w:style w:type="paragraph" w:customStyle="1" w:styleId="ProgramIntro">
    <w:name w:val="ProgramIntro"/>
    <w:basedOn w:val="Normal"/>
    <w:uiPriority w:val="5"/>
    <w:qFormat/>
    <w:rsid w:val="00B87F9B"/>
    <w:pPr>
      <w:ind w:left="3629"/>
    </w:pPr>
    <w:rPr>
      <w:color w:val="005172" w:themeColor="text2"/>
      <w:sz w:val="26"/>
    </w:rPr>
  </w:style>
  <w:style w:type="paragraph" w:customStyle="1" w:styleId="DocTitle">
    <w:name w:val="DocTitle"/>
    <w:basedOn w:val="Normal"/>
    <w:uiPriority w:val="6"/>
    <w:qFormat/>
    <w:rsid w:val="00593FF0"/>
    <w:pPr>
      <w:jc w:val="center"/>
    </w:pPr>
    <w:rPr>
      <w:b/>
      <w:color w:val="005172" w:themeColor="text2"/>
      <w:sz w:val="44"/>
    </w:rPr>
  </w:style>
  <w:style w:type="paragraph" w:customStyle="1" w:styleId="TYableText">
    <w:name w:val="TYableText"/>
    <w:basedOn w:val="Normal"/>
    <w:rsid w:val="00584311"/>
  </w:style>
  <w:style w:type="character" w:styleId="CommentReference">
    <w:name w:val="annotation reference"/>
    <w:basedOn w:val="DefaultParagraphFont"/>
    <w:uiPriority w:val="99"/>
    <w:unhideWhenUsed/>
    <w:rsid w:val="00C8497A"/>
    <w:rPr>
      <w:sz w:val="16"/>
      <w:szCs w:val="16"/>
    </w:rPr>
  </w:style>
  <w:style w:type="paragraph" w:styleId="CommentText">
    <w:name w:val="annotation text"/>
    <w:basedOn w:val="Normal"/>
    <w:link w:val="CommentTextChar"/>
    <w:uiPriority w:val="99"/>
    <w:unhideWhenUsed/>
    <w:rsid w:val="00C8497A"/>
    <w:pPr>
      <w:spacing w:line="240" w:lineRule="auto"/>
    </w:pPr>
    <w:rPr>
      <w:sz w:val="20"/>
      <w:szCs w:val="20"/>
    </w:rPr>
  </w:style>
  <w:style w:type="character" w:customStyle="1" w:styleId="CommentTextChar">
    <w:name w:val="Comment Text Char"/>
    <w:basedOn w:val="DefaultParagraphFont"/>
    <w:link w:val="CommentText"/>
    <w:uiPriority w:val="99"/>
    <w:rsid w:val="00C8497A"/>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C8497A"/>
    <w:rPr>
      <w:b/>
      <w:bCs/>
    </w:rPr>
  </w:style>
  <w:style w:type="character" w:customStyle="1" w:styleId="CommentSubjectChar">
    <w:name w:val="Comment Subject Char"/>
    <w:basedOn w:val="CommentTextChar"/>
    <w:link w:val="CommentSubject"/>
    <w:uiPriority w:val="99"/>
    <w:rsid w:val="00C8497A"/>
    <w:rPr>
      <w:rFonts w:ascii="Arial" w:hAnsi="Arial"/>
      <w:b/>
      <w:bCs/>
      <w:sz w:val="20"/>
      <w:szCs w:val="20"/>
      <w:lang w:val="fr-FR"/>
    </w:rPr>
  </w:style>
  <w:style w:type="paragraph" w:styleId="Revision">
    <w:name w:val="Revision"/>
    <w:hidden/>
    <w:uiPriority w:val="99"/>
    <w:semiHidden/>
    <w:rsid w:val="007719EA"/>
    <w:pPr>
      <w:spacing w:after="0" w:line="240" w:lineRule="auto"/>
    </w:pPr>
    <w:rPr>
      <w:rFonts w:ascii="Arial" w:hAnsi="Arial"/>
      <w:sz w:val="18"/>
      <w:lang w:val="fr-FR"/>
    </w:rPr>
  </w:style>
  <w:style w:type="character" w:styleId="FollowedHyperlink">
    <w:name w:val="FollowedHyperlink"/>
    <w:basedOn w:val="DefaultParagraphFont"/>
    <w:uiPriority w:val="99"/>
    <w:unhideWhenUsed/>
    <w:rsid w:val="00671493"/>
    <w:rPr>
      <w:color w:val="9B7CB7" w:themeColor="followedHyperlink"/>
      <w:u w:val="single"/>
    </w:rPr>
  </w:style>
  <w:style w:type="character" w:customStyle="1" w:styleId="null1">
    <w:name w:val="null1"/>
    <w:basedOn w:val="DefaultParagraphFont"/>
    <w:rsid w:val="001248DF"/>
  </w:style>
  <w:style w:type="character" w:customStyle="1" w:styleId="Heading5Char">
    <w:name w:val="Heading 5 Char"/>
    <w:basedOn w:val="DefaultParagraphFont"/>
    <w:link w:val="Heading5"/>
    <w:rsid w:val="0087289F"/>
    <w:rPr>
      <w:rFonts w:asciiTheme="majorHAnsi" w:eastAsiaTheme="majorEastAsia" w:hAnsiTheme="majorHAnsi" w:cstheme="majorBidi"/>
      <w:color w:val="002A49" w:themeColor="accent1" w:themeShade="7F"/>
      <w:sz w:val="18"/>
      <w:szCs w:val="20"/>
      <w:lang w:val="en-US" w:eastAsia="zh-CN"/>
    </w:rPr>
  </w:style>
  <w:style w:type="character" w:customStyle="1" w:styleId="Heading6Char">
    <w:name w:val="Heading 6 Char"/>
    <w:basedOn w:val="DefaultParagraphFont"/>
    <w:link w:val="Heading6"/>
    <w:rsid w:val="0087289F"/>
    <w:rPr>
      <w:rFonts w:ascii="Cambria" w:eastAsia="Times New Roman" w:hAnsi="Cambria" w:cs="Times New Roman"/>
      <w:i/>
      <w:iCs/>
      <w:color w:val="243F60"/>
      <w:sz w:val="18"/>
      <w:szCs w:val="20"/>
      <w:lang w:val="en-US" w:eastAsia="zh-CN"/>
    </w:rPr>
  </w:style>
  <w:style w:type="character" w:customStyle="1" w:styleId="Heading7Char">
    <w:name w:val="Heading 7 Char"/>
    <w:basedOn w:val="DefaultParagraphFont"/>
    <w:link w:val="Heading7"/>
    <w:rsid w:val="0087289F"/>
    <w:rPr>
      <w:rFonts w:ascii="Arial" w:eastAsia="Times New Roman" w:hAnsi="Arial" w:cs="Arial"/>
      <w:b/>
      <w:bCs/>
      <w:caps/>
      <w:color w:val="3E484E"/>
      <w:sz w:val="18"/>
      <w:szCs w:val="26"/>
      <w:lang w:eastAsia="da-DK"/>
    </w:rPr>
  </w:style>
  <w:style w:type="character" w:customStyle="1" w:styleId="Heading8Char">
    <w:name w:val="Heading 8 Char"/>
    <w:basedOn w:val="DefaultParagraphFont"/>
    <w:link w:val="Heading8"/>
    <w:rsid w:val="0087289F"/>
    <w:rPr>
      <w:rFonts w:ascii="Arial" w:eastAsia="Times New Roman" w:hAnsi="Arial" w:cs="Arial"/>
      <w:b/>
      <w:bCs/>
      <w:caps/>
      <w:color w:val="3E484E"/>
      <w:sz w:val="18"/>
      <w:szCs w:val="26"/>
      <w:lang w:eastAsia="da-DK"/>
    </w:rPr>
  </w:style>
  <w:style w:type="character" w:customStyle="1" w:styleId="Heading9Char">
    <w:name w:val="Heading 9 Char"/>
    <w:basedOn w:val="DefaultParagraphFont"/>
    <w:link w:val="Heading9"/>
    <w:rsid w:val="0087289F"/>
    <w:rPr>
      <w:rFonts w:ascii="Arial" w:eastAsia="Times New Roman" w:hAnsi="Arial" w:cs="Arial"/>
      <w:b/>
      <w:bCs/>
      <w:caps/>
      <w:color w:val="3E484E"/>
      <w:sz w:val="18"/>
      <w:szCs w:val="26"/>
      <w:lang w:eastAsia="da-DK"/>
    </w:rPr>
  </w:style>
  <w:style w:type="paragraph" w:customStyle="1" w:styleId="Endofdocument-Annex">
    <w:name w:val="[End of document - Annex]"/>
    <w:basedOn w:val="Normal"/>
    <w:rsid w:val="0087289F"/>
    <w:pPr>
      <w:spacing w:line="240" w:lineRule="auto"/>
      <w:ind w:left="5534"/>
    </w:pPr>
    <w:rPr>
      <w:rFonts w:eastAsia="SimSun" w:cs="Arial"/>
      <w:szCs w:val="20"/>
      <w:lang w:val="en-US" w:eastAsia="zh-CN"/>
    </w:rPr>
  </w:style>
  <w:style w:type="paragraph" w:styleId="EndnoteText">
    <w:name w:val="endnote text"/>
    <w:basedOn w:val="Normal"/>
    <w:link w:val="EndnoteTextChar"/>
    <w:semiHidden/>
    <w:rsid w:val="0087289F"/>
    <w:pPr>
      <w:spacing w:line="240" w:lineRule="auto"/>
    </w:pPr>
    <w:rPr>
      <w:rFonts w:eastAsia="SimSun" w:cs="Arial"/>
      <w:szCs w:val="20"/>
      <w:lang w:val="en-US" w:eastAsia="zh-CN"/>
    </w:rPr>
  </w:style>
  <w:style w:type="character" w:customStyle="1" w:styleId="EndnoteTextChar">
    <w:name w:val="Endnote Text Char"/>
    <w:basedOn w:val="DefaultParagraphFont"/>
    <w:link w:val="EndnoteText"/>
    <w:semiHidden/>
    <w:rsid w:val="0087289F"/>
    <w:rPr>
      <w:rFonts w:ascii="Arial" w:eastAsia="SimSun" w:hAnsi="Arial" w:cs="Arial"/>
      <w:sz w:val="18"/>
      <w:szCs w:val="20"/>
      <w:lang w:val="en-US" w:eastAsia="zh-CN"/>
    </w:rPr>
  </w:style>
  <w:style w:type="paragraph" w:styleId="ListNumber">
    <w:name w:val="List Number"/>
    <w:basedOn w:val="Normal"/>
    <w:semiHidden/>
    <w:rsid w:val="0087289F"/>
    <w:pPr>
      <w:numPr>
        <w:numId w:val="15"/>
      </w:numPr>
      <w:spacing w:line="240" w:lineRule="auto"/>
    </w:pPr>
    <w:rPr>
      <w:rFonts w:eastAsia="SimSun" w:cs="Arial"/>
      <w:szCs w:val="20"/>
      <w:lang w:val="en-US" w:eastAsia="zh-CN"/>
    </w:rPr>
  </w:style>
  <w:style w:type="paragraph" w:customStyle="1" w:styleId="ONUME">
    <w:name w:val="ONUM E"/>
    <w:basedOn w:val="BodyText"/>
    <w:link w:val="ONUMEChar"/>
    <w:rsid w:val="0087289F"/>
    <w:pPr>
      <w:numPr>
        <w:numId w:val="16"/>
      </w:numPr>
      <w:spacing w:after="220" w:line="240" w:lineRule="auto"/>
    </w:pPr>
    <w:rPr>
      <w:rFonts w:eastAsia="SimSun" w:cs="Arial"/>
      <w:szCs w:val="20"/>
      <w:lang w:val="en-US" w:eastAsia="zh-CN"/>
    </w:rPr>
  </w:style>
  <w:style w:type="paragraph" w:customStyle="1" w:styleId="ONUMFS">
    <w:name w:val="ONUM FS"/>
    <w:basedOn w:val="BodyText"/>
    <w:rsid w:val="0087289F"/>
    <w:pPr>
      <w:numPr>
        <w:numId w:val="17"/>
      </w:numPr>
      <w:spacing w:after="220" w:line="240" w:lineRule="auto"/>
    </w:pPr>
    <w:rPr>
      <w:rFonts w:eastAsia="SimSun" w:cs="Arial"/>
      <w:szCs w:val="20"/>
      <w:lang w:val="en-US" w:eastAsia="zh-CN"/>
    </w:rPr>
  </w:style>
  <w:style w:type="paragraph" w:styleId="Salutation">
    <w:name w:val="Salutation"/>
    <w:basedOn w:val="Normal"/>
    <w:next w:val="Normal"/>
    <w:link w:val="SalutationChar"/>
    <w:semiHidden/>
    <w:rsid w:val="0087289F"/>
    <w:pPr>
      <w:spacing w:line="240" w:lineRule="auto"/>
    </w:pPr>
    <w:rPr>
      <w:rFonts w:eastAsia="SimSun" w:cs="Arial"/>
      <w:szCs w:val="20"/>
      <w:lang w:val="en-US" w:eastAsia="zh-CN"/>
    </w:rPr>
  </w:style>
  <w:style w:type="character" w:customStyle="1" w:styleId="SalutationChar">
    <w:name w:val="Salutation Char"/>
    <w:basedOn w:val="DefaultParagraphFont"/>
    <w:link w:val="Salutation"/>
    <w:semiHidden/>
    <w:rsid w:val="0087289F"/>
    <w:rPr>
      <w:rFonts w:ascii="Arial" w:eastAsia="SimSun" w:hAnsi="Arial" w:cs="Arial"/>
      <w:sz w:val="18"/>
      <w:szCs w:val="20"/>
      <w:lang w:val="en-US" w:eastAsia="zh-CN"/>
    </w:rPr>
  </w:style>
  <w:style w:type="paragraph" w:styleId="Signature">
    <w:name w:val="Signature"/>
    <w:basedOn w:val="Normal"/>
    <w:link w:val="SignatureChar"/>
    <w:semiHidden/>
    <w:rsid w:val="0087289F"/>
    <w:pPr>
      <w:spacing w:line="240" w:lineRule="auto"/>
      <w:ind w:left="5250"/>
    </w:pPr>
    <w:rPr>
      <w:rFonts w:eastAsia="SimSun" w:cs="Arial"/>
      <w:szCs w:val="20"/>
      <w:lang w:val="en-US" w:eastAsia="zh-CN"/>
    </w:rPr>
  </w:style>
  <w:style w:type="character" w:customStyle="1" w:styleId="SignatureChar">
    <w:name w:val="Signature Char"/>
    <w:basedOn w:val="DefaultParagraphFont"/>
    <w:link w:val="Signature"/>
    <w:semiHidden/>
    <w:rsid w:val="0087289F"/>
    <w:rPr>
      <w:rFonts w:ascii="Arial" w:eastAsia="SimSun" w:hAnsi="Arial" w:cs="Arial"/>
      <w:sz w:val="18"/>
      <w:szCs w:val="20"/>
      <w:lang w:val="en-US" w:eastAsia="zh-CN"/>
    </w:rPr>
  </w:style>
  <w:style w:type="character" w:customStyle="1" w:styleId="DecisionInvitingParaChar">
    <w:name w:val="Decision Inviting Para. Char"/>
    <w:link w:val="DecisionInvitingPara"/>
    <w:locked/>
    <w:rsid w:val="0087289F"/>
    <w:rPr>
      <w:rFonts w:ascii="Arial" w:hAnsi="Arial" w:cs="Arial"/>
      <w:i/>
    </w:rPr>
  </w:style>
  <w:style w:type="paragraph" w:customStyle="1" w:styleId="DecisionInvitingPara">
    <w:name w:val="Decision Inviting Para."/>
    <w:basedOn w:val="Normal"/>
    <w:link w:val="DecisionInvitingParaChar"/>
    <w:rsid w:val="0087289F"/>
    <w:pPr>
      <w:spacing w:after="120" w:line="260" w:lineRule="exact"/>
      <w:ind w:left="5534"/>
    </w:pPr>
    <w:rPr>
      <w:rFonts w:cs="Arial"/>
      <w:i/>
      <w:sz w:val="22"/>
      <w:lang w:val="en-GB"/>
    </w:rPr>
  </w:style>
  <w:style w:type="character" w:customStyle="1" w:styleId="ONUMEChar">
    <w:name w:val="ONUM E Char"/>
    <w:link w:val="ONUME"/>
    <w:locked/>
    <w:rsid w:val="0087289F"/>
    <w:rPr>
      <w:rFonts w:ascii="Arial" w:eastAsia="SimSun" w:hAnsi="Arial" w:cs="Arial"/>
      <w:sz w:val="18"/>
      <w:szCs w:val="20"/>
      <w:lang w:val="en-US" w:eastAsia="zh-CN"/>
    </w:rPr>
  </w:style>
  <w:style w:type="paragraph" w:styleId="NormalWeb">
    <w:name w:val="Normal (Web)"/>
    <w:basedOn w:val="Normal"/>
    <w:uiPriority w:val="99"/>
    <w:rsid w:val="0087289F"/>
    <w:pPr>
      <w:spacing w:before="100" w:beforeAutospacing="1" w:after="100" w:afterAutospacing="1" w:line="240" w:lineRule="auto"/>
    </w:pPr>
    <w:rPr>
      <w:rFonts w:eastAsia="Times New Roman" w:cs="Arial"/>
      <w:szCs w:val="18"/>
      <w:lang w:val="en-US"/>
    </w:rPr>
  </w:style>
  <w:style w:type="paragraph" w:customStyle="1" w:styleId="StyleHeading214ptAuto">
    <w:name w:val="Style Heading 2 + 14 pt Auto"/>
    <w:basedOn w:val="Heading2"/>
    <w:rsid w:val="0087289F"/>
    <w:pPr>
      <w:keepNext w:val="0"/>
      <w:keepLines w:val="0"/>
      <w:widowControl w:val="0"/>
      <w:tabs>
        <w:tab w:val="num" w:pos="567"/>
      </w:tabs>
      <w:spacing w:before="0" w:after="180" w:line="300" w:lineRule="atLeast"/>
      <w:ind w:left="567" w:hanging="567"/>
      <w:jc w:val="center"/>
    </w:pPr>
    <w:rPr>
      <w:rFonts w:eastAsia="Times New Roman" w:cs="Times New Roman"/>
      <w:b w:val="0"/>
      <w:bCs w:val="0"/>
      <w:iCs/>
      <w:color w:val="auto"/>
      <w:sz w:val="24"/>
      <w:szCs w:val="24"/>
      <w:lang w:val="en-GB" w:eastAsia="da-DK"/>
    </w:rPr>
  </w:style>
  <w:style w:type="paragraph" w:customStyle="1" w:styleId="StyleHeading3BoldNounderline">
    <w:name w:val="Style Heading 3 + Bold No underline"/>
    <w:basedOn w:val="Heading3"/>
    <w:rsid w:val="0087289F"/>
    <w:pPr>
      <w:keepLines w:val="0"/>
      <w:tabs>
        <w:tab w:val="left" w:pos="1985"/>
        <w:tab w:val="right" w:pos="9072"/>
      </w:tabs>
      <w:spacing w:before="0" w:after="180" w:line="240" w:lineRule="auto"/>
    </w:pPr>
    <w:rPr>
      <w:rFonts w:eastAsia="Times New Roman" w:cs="Arial"/>
      <w:i w:val="0"/>
      <w:iCs/>
      <w:color w:val="auto"/>
      <w:szCs w:val="28"/>
      <w:lang w:val="en-US"/>
    </w:rPr>
  </w:style>
  <w:style w:type="paragraph" w:customStyle="1" w:styleId="Default">
    <w:name w:val="Default"/>
    <w:rsid w:val="0087289F"/>
    <w:pPr>
      <w:autoSpaceDE w:val="0"/>
      <w:autoSpaceDN w:val="0"/>
      <w:adjustRightInd w:val="0"/>
      <w:spacing w:after="0" w:line="240" w:lineRule="auto"/>
    </w:pPr>
    <w:rPr>
      <w:rFonts w:ascii="Arial" w:eastAsia="Batang" w:hAnsi="Arial" w:cs="Arial"/>
      <w:color w:val="000000"/>
      <w:sz w:val="24"/>
      <w:szCs w:val="24"/>
      <w:lang w:val="en-US" w:eastAsia="ja-JP"/>
    </w:rPr>
  </w:style>
  <w:style w:type="paragraph" w:customStyle="1" w:styleId="Heading">
    <w:name w:val="Heading"/>
    <w:basedOn w:val="Heading1"/>
    <w:uiPriority w:val="99"/>
    <w:rsid w:val="0087289F"/>
    <w:pPr>
      <w:keepNext w:val="0"/>
      <w:keepLines w:val="0"/>
      <w:tabs>
        <w:tab w:val="left" w:pos="567"/>
      </w:tabs>
      <w:overflowPunct w:val="0"/>
      <w:autoSpaceDE w:val="0"/>
      <w:autoSpaceDN w:val="0"/>
      <w:adjustRightInd w:val="0"/>
      <w:spacing w:before="600" w:after="240" w:line="240" w:lineRule="auto"/>
      <w:jc w:val="center"/>
      <w:outlineLvl w:val="9"/>
    </w:pPr>
    <w:rPr>
      <w:rFonts w:ascii="Times New Roman" w:eastAsia="Times New Roman" w:hAnsi="Times New Roman" w:cs="Times New Roman"/>
      <w:b/>
      <w:color w:val="auto"/>
      <w:sz w:val="28"/>
      <w:lang w:eastAsia="zh-CN"/>
    </w:rPr>
  </w:style>
  <w:style w:type="table" w:customStyle="1" w:styleId="TableGrid1">
    <w:name w:val="Table Grid1"/>
    <w:basedOn w:val="TableNormal"/>
    <w:next w:val="TableGrid"/>
    <w:uiPriority w:val="59"/>
    <w:rsid w:val="008728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7289F"/>
    <w:pPr>
      <w:spacing w:line="240" w:lineRule="auto"/>
    </w:pPr>
    <w:rPr>
      <w:rFonts w:ascii="Courier New" w:eastAsia="SimSun" w:hAnsi="Courier New" w:cs="Courier New"/>
      <w:color w:val="0000FF"/>
      <w:sz w:val="20"/>
      <w:szCs w:val="20"/>
      <w:lang w:val="en-US" w:eastAsia="zh-CN"/>
    </w:rPr>
  </w:style>
  <w:style w:type="character" w:customStyle="1" w:styleId="PlainTextChar">
    <w:name w:val="Plain Text Char"/>
    <w:basedOn w:val="DefaultParagraphFont"/>
    <w:link w:val="PlainText"/>
    <w:uiPriority w:val="99"/>
    <w:rsid w:val="0087289F"/>
    <w:rPr>
      <w:rFonts w:ascii="Courier New" w:eastAsia="SimSun" w:hAnsi="Courier New" w:cs="Courier New"/>
      <w:color w:val="0000FF"/>
      <w:sz w:val="20"/>
      <w:szCs w:val="20"/>
      <w:lang w:val="en-US" w:eastAsia="zh-CN"/>
    </w:rPr>
  </w:style>
  <w:style w:type="character" w:styleId="PageNumber">
    <w:name w:val="page number"/>
    <w:basedOn w:val="DefaultParagraphFont"/>
    <w:rsid w:val="0087289F"/>
  </w:style>
  <w:style w:type="paragraph" w:customStyle="1" w:styleId="null">
    <w:name w:val="null"/>
    <w:basedOn w:val="Normal"/>
    <w:rsid w:val="0087289F"/>
    <w:pPr>
      <w:spacing w:before="100" w:beforeAutospacing="1" w:after="100" w:afterAutospacing="1" w:line="240" w:lineRule="auto"/>
    </w:pPr>
    <w:rPr>
      <w:rFonts w:ascii="Times New Roman" w:hAnsi="Times New Roman" w:cs="Times New Roman"/>
      <w:sz w:val="24"/>
      <w:szCs w:val="24"/>
      <w:lang w:val="en-US"/>
    </w:rPr>
  </w:style>
  <w:style w:type="paragraph" w:customStyle="1" w:styleId="Endofdocument">
    <w:name w:val="End of document"/>
    <w:basedOn w:val="Normal"/>
    <w:rsid w:val="0087289F"/>
    <w:pPr>
      <w:spacing w:line="240" w:lineRule="auto"/>
      <w:ind w:left="4536"/>
      <w:jc w:val="center"/>
    </w:pPr>
    <w:rPr>
      <w:rFonts w:ascii="Times New Roman" w:eastAsia="Times New Roman" w:hAnsi="Times New Roman" w:cs="Times New Roman"/>
      <w:sz w:val="24"/>
      <w:szCs w:val="20"/>
      <w:lang w:val="en-US"/>
    </w:rPr>
  </w:style>
  <w:style w:type="paragraph" w:styleId="BlockText">
    <w:name w:val="Block Text"/>
    <w:basedOn w:val="Normal"/>
    <w:rsid w:val="0087289F"/>
    <w:pPr>
      <w:tabs>
        <w:tab w:val="left" w:pos="2127"/>
      </w:tabs>
      <w:spacing w:after="40" w:line="240" w:lineRule="auto"/>
      <w:ind w:left="2127" w:right="896" w:hanging="2127"/>
    </w:pPr>
    <w:rPr>
      <w:rFonts w:ascii="Times New Roman" w:eastAsia="Times New Roman" w:hAnsi="Times New Roman" w:cs="Times New Roman"/>
      <w:sz w:val="24"/>
      <w:szCs w:val="20"/>
      <w:lang w:val="en-US"/>
    </w:rPr>
  </w:style>
  <w:style w:type="character" w:styleId="Emphasis">
    <w:name w:val="Emphasis"/>
    <w:uiPriority w:val="20"/>
    <w:qFormat/>
    <w:rsid w:val="0087289F"/>
    <w:rPr>
      <w:i/>
      <w:iCs/>
    </w:rPr>
  </w:style>
  <w:style w:type="character" w:customStyle="1" w:styleId="st">
    <w:name w:val="st"/>
    <w:basedOn w:val="DefaultParagraphFont"/>
    <w:rsid w:val="0087289F"/>
  </w:style>
  <w:style w:type="paragraph" w:customStyle="1" w:styleId="StyleHeading4">
    <w:name w:val="Style Heading 4"/>
    <w:basedOn w:val="Normal"/>
    <w:qFormat/>
    <w:rsid w:val="0087289F"/>
    <w:pPr>
      <w:keepNext/>
      <w:spacing w:line="240" w:lineRule="auto"/>
      <w:ind w:left="1843" w:hanging="1843"/>
      <w:outlineLvl w:val="2"/>
    </w:pPr>
    <w:rPr>
      <w:rFonts w:eastAsia="SimSun" w:cs="Arial"/>
      <w:b/>
      <w:bCs/>
      <w:i/>
      <w:sz w:val="20"/>
      <w:szCs w:val="26"/>
      <w:lang w:val="en-US" w:eastAsia="zh-CN"/>
    </w:rPr>
  </w:style>
  <w:style w:type="paragraph" w:styleId="TOC5">
    <w:name w:val="toc 5"/>
    <w:basedOn w:val="TOC4"/>
    <w:next w:val="Normal"/>
    <w:autoRedefine/>
    <w:uiPriority w:val="39"/>
    <w:rsid w:val="0087289F"/>
    <w:pPr>
      <w:tabs>
        <w:tab w:val="clear" w:pos="9639"/>
        <w:tab w:val="left" w:pos="1985"/>
        <w:tab w:val="left" w:pos="2835"/>
        <w:tab w:val="right" w:pos="3969"/>
        <w:tab w:val="right" w:leader="dot" w:pos="9498"/>
      </w:tabs>
      <w:ind w:left="1985" w:hanging="1418"/>
    </w:pPr>
    <w:rPr>
      <w:rFonts w:eastAsia="Times New Roman"/>
      <w:b/>
      <w:iCs/>
      <w:noProof/>
      <w:szCs w:val="20"/>
    </w:rPr>
  </w:style>
  <w:style w:type="paragraph" w:customStyle="1" w:styleId="StyleHeading3ComplexItalic">
    <w:name w:val="Style Heading 3 + (Complex) Italic"/>
    <w:basedOn w:val="StyleHeading214ptAuto"/>
    <w:link w:val="StyleHeading3ComplexItalicChar"/>
    <w:rsid w:val="0087289F"/>
    <w:pPr>
      <w:keepNext/>
      <w:widowControl/>
      <w:tabs>
        <w:tab w:val="clear" w:pos="567"/>
        <w:tab w:val="left" w:pos="2835"/>
      </w:tabs>
      <w:spacing w:line="240" w:lineRule="auto"/>
      <w:ind w:left="2835" w:hanging="2835"/>
      <w:jc w:val="left"/>
      <w:outlineLvl w:val="2"/>
    </w:pPr>
    <w:rPr>
      <w:rFonts w:ascii="Arial" w:eastAsia="SimSun" w:hAnsi="Arial" w:cs="Arial"/>
      <w:b/>
      <w:iCs w:val="0"/>
      <w:sz w:val="22"/>
      <w:szCs w:val="22"/>
      <w:lang w:val="en-US" w:eastAsia="en-US"/>
    </w:rPr>
  </w:style>
  <w:style w:type="character" w:customStyle="1" w:styleId="StyleHeading3ComplexItalicChar">
    <w:name w:val="Style Heading 3 + (Complex) Italic Char"/>
    <w:link w:val="StyleHeading3ComplexItalic"/>
    <w:rsid w:val="0087289F"/>
    <w:rPr>
      <w:rFonts w:ascii="Arial" w:eastAsia="SimSun" w:hAnsi="Arial" w:cs="Arial"/>
      <w:b/>
      <w:lang w:val="en-US"/>
    </w:rPr>
  </w:style>
  <w:style w:type="paragraph" w:customStyle="1" w:styleId="StyleStyleHeading3ComplexItalicLatin">
    <w:name w:val="Style Style Heading 3 + (Complex) Italic + (Latin)"/>
    <w:basedOn w:val="StyleHeading3ComplexItalic"/>
    <w:link w:val="StyleStyleHeading3ComplexItalicLatinChar"/>
    <w:rsid w:val="0087289F"/>
    <w:rPr>
      <w:rFonts w:eastAsia="Times New Roman"/>
      <w:bCs/>
    </w:rPr>
  </w:style>
  <w:style w:type="character" w:customStyle="1" w:styleId="StyleStyleHeading3ComplexItalicLatinChar">
    <w:name w:val="Style Style Heading 3 + (Complex) Italic + (Latin) Char"/>
    <w:link w:val="StyleStyleHeading3ComplexItalicLatin"/>
    <w:rsid w:val="0087289F"/>
    <w:rPr>
      <w:rFonts w:ascii="Arial" w:eastAsia="Times New Roman" w:hAnsi="Arial" w:cs="Arial"/>
      <w:b/>
      <w:bCs/>
      <w:lang w:val="en-US"/>
    </w:rPr>
  </w:style>
  <w:style w:type="paragraph" w:customStyle="1" w:styleId="CharCharCharChar">
    <w:name w:val="Char Char Char Char"/>
    <w:basedOn w:val="Normal"/>
    <w:rsid w:val="0087289F"/>
    <w:pPr>
      <w:spacing w:after="160" w:line="240" w:lineRule="exact"/>
    </w:pPr>
    <w:rPr>
      <w:rFonts w:ascii="Verdana" w:eastAsia="Times New Roman" w:hAnsi="Verdana" w:cs="Times New Roman"/>
      <w:sz w:val="20"/>
      <w:szCs w:val="20"/>
      <w:lang w:val="en-GB"/>
    </w:rPr>
  </w:style>
  <w:style w:type="paragraph" w:styleId="BodyTextIndent">
    <w:name w:val="Body Text Indent"/>
    <w:basedOn w:val="Normal"/>
    <w:link w:val="BodyTextIndentChar"/>
    <w:rsid w:val="0087289F"/>
    <w:pPr>
      <w:spacing w:line="240" w:lineRule="auto"/>
      <w:ind w:left="567"/>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87289F"/>
    <w:rPr>
      <w:rFonts w:ascii="Times New Roman" w:eastAsia="Times New Roman" w:hAnsi="Times New Roman" w:cs="Times New Roman"/>
      <w:sz w:val="24"/>
      <w:szCs w:val="20"/>
      <w:lang w:val="en-US"/>
    </w:rPr>
  </w:style>
  <w:style w:type="character" w:customStyle="1" w:styleId="hps">
    <w:name w:val="hps"/>
    <w:basedOn w:val="DefaultParagraphFont"/>
    <w:rsid w:val="0087289F"/>
  </w:style>
  <w:style w:type="paragraph" w:customStyle="1" w:styleId="1">
    <w:name w:val="1"/>
    <w:basedOn w:val="Normal"/>
    <w:rsid w:val="0087289F"/>
    <w:pPr>
      <w:spacing w:after="160" w:line="240" w:lineRule="exact"/>
    </w:pPr>
    <w:rPr>
      <w:rFonts w:ascii="Verdana" w:eastAsia="Times New Roman" w:hAnsi="Verdana" w:cs="Times New Roman"/>
      <w:sz w:val="20"/>
      <w:szCs w:val="20"/>
      <w:lang w:val="en-GB"/>
    </w:rPr>
  </w:style>
  <w:style w:type="paragraph" w:customStyle="1" w:styleId="NormalArial">
    <w:name w:val="Normal + Arial"/>
    <w:aliases w:val="10 pt"/>
    <w:basedOn w:val="ListParagraph"/>
    <w:rsid w:val="0087289F"/>
    <w:pPr>
      <w:spacing w:after="180"/>
      <w:ind w:left="-28"/>
      <w:contextualSpacing w:val="0"/>
    </w:pPr>
    <w:rPr>
      <w:rFonts w:ascii="Arial" w:eastAsia="MS Mincho" w:hAnsi="Arial"/>
      <w:bCs/>
      <w:sz w:val="20"/>
      <w:szCs w:val="20"/>
    </w:rPr>
  </w:style>
  <w:style w:type="paragraph" w:customStyle="1" w:styleId="Normal6">
    <w:name w:val="Normal+6"/>
    <w:basedOn w:val="Normal"/>
    <w:next w:val="Normal"/>
    <w:rsid w:val="0087289F"/>
    <w:pPr>
      <w:autoSpaceDE w:val="0"/>
      <w:autoSpaceDN w:val="0"/>
      <w:adjustRightInd w:val="0"/>
      <w:spacing w:line="240" w:lineRule="auto"/>
    </w:pPr>
    <w:rPr>
      <w:rFonts w:eastAsia="Times New Roman" w:cs="Times New Roman"/>
      <w:sz w:val="24"/>
      <w:szCs w:val="24"/>
      <w:lang w:val="en-US"/>
    </w:rPr>
  </w:style>
  <w:style w:type="character" w:customStyle="1" w:styleId="paracolourtext1">
    <w:name w:val="paracolourtext1"/>
    <w:rsid w:val="0087289F"/>
    <w:rPr>
      <w:b w:val="0"/>
      <w:bCs w:val="0"/>
      <w:i w:val="0"/>
      <w:iCs w:val="0"/>
      <w:color w:val="800000"/>
      <w:sz w:val="20"/>
      <w:szCs w:val="20"/>
    </w:rPr>
  </w:style>
  <w:style w:type="paragraph" w:customStyle="1" w:styleId="Body">
    <w:name w:val="Body"/>
    <w:rsid w:val="0087289F"/>
    <w:pPr>
      <w:spacing w:after="0" w:line="240" w:lineRule="auto"/>
    </w:pPr>
    <w:rPr>
      <w:rFonts w:ascii="Helvetica" w:eastAsia="ヒラギノ角ゴ Pro W3" w:hAnsi="Helvetica" w:cs="Angsana New"/>
      <w:color w:val="000000"/>
      <w:sz w:val="24"/>
      <w:szCs w:val="20"/>
      <w:lang w:val="en-US" w:bidi="th-TH"/>
    </w:rPr>
  </w:style>
  <w:style w:type="paragraph" w:customStyle="1" w:styleId="tes1">
    <w:name w:val="tes1"/>
    <w:basedOn w:val="Normal"/>
    <w:rsid w:val="0087289F"/>
    <w:pPr>
      <w:suppressAutoHyphens/>
      <w:spacing w:line="240" w:lineRule="auto"/>
      <w:ind w:left="1134" w:right="2195"/>
      <w:jc w:val="both"/>
    </w:pPr>
    <w:rPr>
      <w:rFonts w:ascii="Times New Roman" w:eastAsia="Times New Roman" w:hAnsi="Times New Roman" w:cs="Times New Roman"/>
      <w:b/>
      <w:spacing w:val="4"/>
      <w:w w:val="103"/>
      <w:kern w:val="14"/>
      <w:sz w:val="20"/>
      <w:szCs w:val="20"/>
      <w:lang w:val="en-GB"/>
    </w:rPr>
  </w:style>
  <w:style w:type="paragraph" w:customStyle="1" w:styleId="Style10">
    <w:name w:val="Style10"/>
    <w:basedOn w:val="Normal"/>
    <w:autoRedefine/>
    <w:rsid w:val="0087289F"/>
    <w:pPr>
      <w:tabs>
        <w:tab w:val="left" w:pos="340"/>
        <w:tab w:val="left" w:pos="680"/>
        <w:tab w:val="left" w:pos="1021"/>
        <w:tab w:val="left" w:pos="1361"/>
      </w:tabs>
      <w:suppressAutoHyphens/>
      <w:spacing w:line="240" w:lineRule="auto"/>
      <w:jc w:val="both"/>
    </w:pPr>
    <w:rPr>
      <w:rFonts w:ascii="Times New Roman" w:eastAsia="Times New Roman" w:hAnsi="Times New Roman" w:cs="Times New Roman"/>
      <w:snapToGrid w:val="0"/>
      <w:sz w:val="20"/>
      <w:szCs w:val="20"/>
      <w:lang w:val="en-US"/>
    </w:rPr>
  </w:style>
  <w:style w:type="paragraph" w:customStyle="1" w:styleId="Style11">
    <w:name w:val="Style11"/>
    <w:basedOn w:val="FootnoteText"/>
    <w:autoRedefine/>
    <w:rsid w:val="0087289F"/>
    <w:pPr>
      <w:suppressAutoHyphens/>
      <w:spacing w:after="180"/>
      <w:ind w:left="0" w:firstLine="340"/>
      <w:jc w:val="both"/>
    </w:pPr>
    <w:rPr>
      <w:rFonts w:ascii="Times New Roman" w:eastAsia="Times New Roman" w:hAnsi="Times New Roman" w:cs="Times New Roman"/>
      <w:snapToGrid w:val="0"/>
      <w:lang w:val="en-US"/>
    </w:rPr>
  </w:style>
  <w:style w:type="paragraph" w:styleId="Subtitle">
    <w:name w:val="Subtitle"/>
    <w:basedOn w:val="Normal"/>
    <w:link w:val="SubtitleChar"/>
    <w:qFormat/>
    <w:rsid w:val="0087289F"/>
    <w:pPr>
      <w:spacing w:line="240" w:lineRule="auto"/>
      <w:jc w:val="center"/>
    </w:pPr>
    <w:rPr>
      <w:rFonts w:ascii="Times New Roman" w:eastAsia="Times New Roman" w:hAnsi="Times New Roman" w:cs="Times New Roman"/>
      <w:b/>
      <w:caps/>
      <w:color w:val="0000FF"/>
      <w:sz w:val="28"/>
      <w:szCs w:val="20"/>
      <w:lang w:val="en-US"/>
    </w:rPr>
  </w:style>
  <w:style w:type="character" w:customStyle="1" w:styleId="SubtitleChar">
    <w:name w:val="Subtitle Char"/>
    <w:basedOn w:val="DefaultParagraphFont"/>
    <w:link w:val="Subtitle"/>
    <w:rsid w:val="0087289F"/>
    <w:rPr>
      <w:rFonts w:ascii="Times New Roman" w:eastAsia="Times New Roman" w:hAnsi="Times New Roman" w:cs="Times New Roman"/>
      <w:b/>
      <w:caps/>
      <w:color w:val="0000FF"/>
      <w:sz w:val="28"/>
      <w:szCs w:val="20"/>
      <w:lang w:val="en-US"/>
    </w:rPr>
  </w:style>
  <w:style w:type="paragraph" w:styleId="BodyTextIndent2">
    <w:name w:val="Body Text Indent 2"/>
    <w:basedOn w:val="Normal"/>
    <w:link w:val="BodyTextIndent2Char"/>
    <w:rsid w:val="0087289F"/>
    <w:pPr>
      <w:tabs>
        <w:tab w:val="left" w:pos="714"/>
      </w:tabs>
      <w:spacing w:after="100" w:line="240" w:lineRule="auto"/>
      <w:ind w:hanging="6"/>
      <w:jc w:val="both"/>
    </w:pPr>
    <w:rPr>
      <w:rFonts w:eastAsia="Times New Roman" w:cs="Times New Roman"/>
      <w:snapToGrid w:val="0"/>
      <w:color w:val="000000"/>
      <w:sz w:val="20"/>
      <w:szCs w:val="20"/>
      <w:lang w:val="en-US"/>
    </w:rPr>
  </w:style>
  <w:style w:type="character" w:customStyle="1" w:styleId="BodyTextIndent2Char">
    <w:name w:val="Body Text Indent 2 Char"/>
    <w:basedOn w:val="DefaultParagraphFont"/>
    <w:link w:val="BodyTextIndent2"/>
    <w:rsid w:val="0087289F"/>
    <w:rPr>
      <w:rFonts w:ascii="Arial" w:eastAsia="Times New Roman" w:hAnsi="Arial" w:cs="Times New Roman"/>
      <w:snapToGrid w:val="0"/>
      <w:color w:val="000000"/>
      <w:sz w:val="20"/>
      <w:szCs w:val="20"/>
      <w:lang w:val="en-US"/>
    </w:rPr>
  </w:style>
  <w:style w:type="paragraph" w:customStyle="1" w:styleId="3029-Titrechapitre">
    <w:name w:val="3029-Titre chapitre"/>
    <w:basedOn w:val="Heading1"/>
    <w:rsid w:val="0087289F"/>
    <w:pPr>
      <w:keepLines w:val="0"/>
      <w:spacing w:before="0" w:after="0" w:line="240" w:lineRule="auto"/>
    </w:pPr>
    <w:rPr>
      <w:rFonts w:ascii="Arial Black" w:eastAsia="Times" w:hAnsi="Arial Black" w:cs="Times New Roman"/>
      <w:bCs w:val="0"/>
      <w:color w:val="000080"/>
      <w:sz w:val="30"/>
      <w:szCs w:val="20"/>
    </w:rPr>
  </w:style>
  <w:style w:type="character" w:customStyle="1" w:styleId="underline">
    <w:name w:val="underline"/>
    <w:rsid w:val="0087289F"/>
    <w:rPr>
      <w:u w:val="single"/>
    </w:rPr>
  </w:style>
  <w:style w:type="paragraph" w:customStyle="1" w:styleId="zanxhead">
    <w:name w:val="zanxhead"/>
    <w:basedOn w:val="Normal"/>
    <w:rsid w:val="0087289F"/>
    <w:pPr>
      <w:spacing w:before="200" w:line="240" w:lineRule="auto"/>
    </w:pPr>
    <w:rPr>
      <w:rFonts w:ascii="Times New Roman" w:eastAsia="Times New Roman" w:hAnsi="Times New Roman" w:cs="Times New Roman"/>
      <w:b/>
      <w:color w:val="0000FF"/>
      <w:sz w:val="24"/>
      <w:szCs w:val="20"/>
      <w:lang w:val="en-US"/>
    </w:rPr>
  </w:style>
  <w:style w:type="paragraph" w:customStyle="1" w:styleId="zanxtext">
    <w:name w:val="zanxtext"/>
    <w:basedOn w:val="Normal"/>
    <w:rsid w:val="0087289F"/>
    <w:pPr>
      <w:spacing w:before="120" w:line="240" w:lineRule="auto"/>
    </w:pPr>
    <w:rPr>
      <w:rFonts w:ascii="Times New Roman" w:eastAsia="Times New Roman" w:hAnsi="Times New Roman" w:cs="Times New Roman"/>
      <w:sz w:val="24"/>
      <w:szCs w:val="20"/>
      <w:lang w:val="en-US"/>
    </w:rPr>
  </w:style>
  <w:style w:type="character" w:styleId="Strong">
    <w:name w:val="Strong"/>
    <w:qFormat/>
    <w:rsid w:val="0087289F"/>
    <w:rPr>
      <w:b/>
      <w:bCs/>
    </w:rPr>
  </w:style>
  <w:style w:type="paragraph" w:customStyle="1" w:styleId="preparedby">
    <w:name w:val="prepared by"/>
    <w:basedOn w:val="Normal"/>
    <w:next w:val="Normal"/>
    <w:rsid w:val="0087289F"/>
    <w:pPr>
      <w:spacing w:before="120" w:after="480" w:line="260" w:lineRule="atLeast"/>
      <w:ind w:left="1021"/>
      <w:contextualSpacing/>
    </w:pPr>
    <w:rPr>
      <w:rFonts w:eastAsia="Times New Roman" w:cs="Times New Roman"/>
      <w:i/>
      <w:sz w:val="20"/>
      <w:szCs w:val="20"/>
      <w:lang w:val="en-US"/>
    </w:rPr>
  </w:style>
  <w:style w:type="paragraph" w:customStyle="1" w:styleId="Documenttitle">
    <w:name w:val="Document title"/>
    <w:basedOn w:val="Normal"/>
    <w:next w:val="preparedby"/>
    <w:rsid w:val="0087289F"/>
    <w:pPr>
      <w:spacing w:before="840" w:line="336" w:lineRule="exact"/>
      <w:ind w:left="1021"/>
      <w:contextualSpacing/>
    </w:pPr>
    <w:rPr>
      <w:rFonts w:eastAsia="Times New Roman" w:cs="Times New Roman"/>
      <w:sz w:val="24"/>
      <w:szCs w:val="20"/>
      <w:lang w:val="en-US"/>
    </w:rPr>
  </w:style>
  <w:style w:type="paragraph" w:customStyle="1" w:styleId="MeetinglanguageDate">
    <w:name w:val="Meeting language &amp; Date"/>
    <w:basedOn w:val="Normal"/>
    <w:next w:val="Meetingtitle"/>
    <w:rsid w:val="0087289F"/>
    <w:pPr>
      <w:spacing w:after="1680" w:line="160" w:lineRule="exact"/>
      <w:ind w:left="1021"/>
      <w:contextualSpacing/>
      <w:jc w:val="right"/>
    </w:pPr>
    <w:rPr>
      <w:rFonts w:ascii="Arial Black" w:eastAsia="Times New Roman" w:hAnsi="Arial Black" w:cs="Times New Roman"/>
      <w:b/>
      <w:caps/>
      <w:sz w:val="15"/>
      <w:szCs w:val="20"/>
      <w:lang w:val="en-US"/>
    </w:rPr>
  </w:style>
  <w:style w:type="paragraph" w:customStyle="1" w:styleId="Meetingtitle">
    <w:name w:val="Meeting title"/>
    <w:basedOn w:val="Normal"/>
    <w:next w:val="Sessiontitle"/>
    <w:rsid w:val="0087289F"/>
    <w:pPr>
      <w:spacing w:line="336" w:lineRule="exact"/>
      <w:ind w:left="1021"/>
    </w:pPr>
    <w:rPr>
      <w:rFonts w:eastAsia="Times New Roman" w:cs="Times New Roman"/>
      <w:b/>
      <w:sz w:val="28"/>
      <w:szCs w:val="20"/>
      <w:lang w:val="en-US"/>
    </w:rPr>
  </w:style>
  <w:style w:type="paragraph" w:customStyle="1" w:styleId="Sessiontitle">
    <w:name w:val="Session title"/>
    <w:basedOn w:val="Meetingtitle"/>
    <w:next w:val="Meetingplacedate"/>
    <w:rsid w:val="0087289F"/>
    <w:pPr>
      <w:spacing w:before="480"/>
      <w:contextualSpacing/>
    </w:pPr>
    <w:rPr>
      <w:sz w:val="24"/>
    </w:rPr>
  </w:style>
  <w:style w:type="paragraph" w:customStyle="1" w:styleId="Meetingplacedate">
    <w:name w:val="Meeting place &amp; date"/>
    <w:basedOn w:val="Sessiontitle"/>
    <w:next w:val="Documenttitle"/>
    <w:rsid w:val="0087289F"/>
    <w:pPr>
      <w:spacing w:before="0"/>
      <w:contextualSpacing w:val="0"/>
    </w:pPr>
  </w:style>
  <w:style w:type="paragraph" w:customStyle="1" w:styleId="Language">
    <w:name w:val="Language"/>
    <w:basedOn w:val="Normal"/>
    <w:next w:val="Normal"/>
    <w:rsid w:val="0087289F"/>
    <w:pPr>
      <w:spacing w:after="120" w:line="340" w:lineRule="atLeast"/>
      <w:ind w:left="1021"/>
      <w:contextualSpacing/>
      <w:jc w:val="right"/>
    </w:pPr>
    <w:rPr>
      <w:rFonts w:eastAsia="Times New Roman" w:cs="Times New Roman"/>
      <w:b/>
      <w:caps/>
      <w:sz w:val="40"/>
      <w:szCs w:val="20"/>
      <w:lang w:val="en-US"/>
    </w:rPr>
  </w:style>
  <w:style w:type="paragraph" w:customStyle="1" w:styleId="MeetingCode">
    <w:name w:val="Meeting Code"/>
    <w:basedOn w:val="MeetinglanguageDate"/>
    <w:rsid w:val="0087289F"/>
    <w:pPr>
      <w:spacing w:before="1800" w:after="0"/>
    </w:pPr>
  </w:style>
  <w:style w:type="paragraph" w:customStyle="1" w:styleId="CarCarCar">
    <w:name w:val="Car Car Car"/>
    <w:basedOn w:val="Normal"/>
    <w:rsid w:val="0087289F"/>
    <w:pPr>
      <w:spacing w:after="160" w:line="240" w:lineRule="exact"/>
    </w:pPr>
    <w:rPr>
      <w:rFonts w:ascii="Verdana" w:eastAsia="PMingLiU" w:hAnsi="Verdana" w:cs="Times New Roman"/>
      <w:sz w:val="20"/>
      <w:szCs w:val="20"/>
      <w:lang w:val="en-US"/>
    </w:rPr>
  </w:style>
  <w:style w:type="paragraph" w:customStyle="1" w:styleId="Paragraphedeliste1">
    <w:name w:val="Paragraphe de liste1"/>
    <w:autoRedefine/>
    <w:rsid w:val="0087289F"/>
    <w:pPr>
      <w:ind w:left="720"/>
    </w:pPr>
    <w:rPr>
      <w:rFonts w:ascii="Lucida Grande" w:eastAsia="ヒラギノ角ゴ Pro W3" w:hAnsi="Lucida Grande" w:cs="Times New Roman"/>
      <w:color w:val="000000"/>
      <w:szCs w:val="20"/>
    </w:rPr>
  </w:style>
  <w:style w:type="paragraph" w:customStyle="1" w:styleId="Body1">
    <w:name w:val="Body 1"/>
    <w:rsid w:val="0087289F"/>
    <w:pPr>
      <w:spacing w:after="0" w:line="240" w:lineRule="auto"/>
    </w:pPr>
    <w:rPr>
      <w:rFonts w:ascii="Helvetica" w:eastAsia="Arial Unicode MS" w:hAnsi="Helvetica" w:cs="Times New Roman"/>
      <w:color w:val="000000"/>
      <w:sz w:val="24"/>
      <w:szCs w:val="20"/>
      <w:lang w:val="en-US"/>
    </w:rPr>
  </w:style>
  <w:style w:type="character" w:customStyle="1" w:styleId="Bona">
    <w:name w:val="Bona"/>
    <w:semiHidden/>
    <w:rsid w:val="0087289F"/>
    <w:rPr>
      <w:rFonts w:ascii="Arial" w:hAnsi="Arial" w:cs="Arial"/>
      <w:color w:val="000080"/>
      <w:sz w:val="20"/>
      <w:szCs w:val="20"/>
    </w:rPr>
  </w:style>
  <w:style w:type="paragraph" w:customStyle="1" w:styleId="Peromissi">
    <w:name w:val="Per omissió"/>
    <w:rsid w:val="008728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CH" w:eastAsia="fr-CH"/>
    </w:rPr>
  </w:style>
  <w:style w:type="numbering" w:customStyle="1" w:styleId="NoList1">
    <w:name w:val="No List1"/>
    <w:next w:val="NoList"/>
    <w:uiPriority w:val="99"/>
    <w:semiHidden/>
    <w:unhideWhenUsed/>
    <w:rsid w:val="0087289F"/>
  </w:style>
  <w:style w:type="paragraph" w:customStyle="1" w:styleId="StyleStyleHeading3ComplexItalicLatin12pt">
    <w:name w:val="Style Style Heading 3 + (Complex) Italic + (Latin) 12 pt"/>
    <w:basedOn w:val="StyleHeading3ComplexItalic"/>
    <w:link w:val="StyleStyleHeading3ComplexItalicLatin12ptChar"/>
    <w:rsid w:val="0087289F"/>
    <w:pPr>
      <w:tabs>
        <w:tab w:val="clear" w:pos="2835"/>
        <w:tab w:val="left" w:pos="1985"/>
      </w:tabs>
      <w:ind w:left="0" w:firstLine="0"/>
    </w:pPr>
    <w:rPr>
      <w:rFonts w:eastAsia="Times New Roman"/>
      <w:iCs/>
      <w:caps/>
    </w:rPr>
  </w:style>
  <w:style w:type="character" w:customStyle="1" w:styleId="StyleStyleHeading3ComplexItalicLatin12ptChar">
    <w:name w:val="Style Style Heading 3 + (Complex) Italic + (Latin) 12 pt Char"/>
    <w:link w:val="StyleStyleHeading3ComplexItalicLatin12pt"/>
    <w:rsid w:val="0087289F"/>
    <w:rPr>
      <w:rFonts w:ascii="Arial" w:eastAsia="Times New Roman" w:hAnsi="Arial" w:cs="Arial"/>
      <w:b/>
      <w:iCs/>
      <w:caps/>
      <w:lang w:val="en-US"/>
    </w:rPr>
  </w:style>
  <w:style w:type="table" w:styleId="TableClassic2">
    <w:name w:val="Table Classic 2"/>
    <w:basedOn w:val="TableNormal"/>
    <w:rsid w:val="0087289F"/>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87289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6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694" w:themeFill="accent1"/>
      </w:tcPr>
    </w:tblStylePr>
    <w:tblStylePr w:type="lastCol">
      <w:rPr>
        <w:b/>
        <w:bCs/>
        <w:color w:val="FFFFFF" w:themeColor="background1"/>
      </w:rPr>
      <w:tblPr/>
      <w:tcPr>
        <w:tcBorders>
          <w:left w:val="nil"/>
          <w:right w:val="nil"/>
          <w:insideH w:val="nil"/>
          <w:insideV w:val="nil"/>
        </w:tcBorders>
        <w:shd w:val="clear" w:color="auto" w:fill="0056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7289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6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6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6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6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B3FF" w:themeFill="accent1" w:themeFillTint="7F"/>
      </w:tcPr>
    </w:tblStylePr>
  </w:style>
  <w:style w:type="table" w:customStyle="1" w:styleId="GridTable4-Accent11">
    <w:name w:val="Grid Table 4 - Accent 11"/>
    <w:basedOn w:val="TableNormal"/>
    <w:uiPriority w:val="49"/>
    <w:rsid w:val="0087289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25A3FF" w:themeColor="accent1" w:themeTint="99"/>
        <w:left w:val="single" w:sz="4" w:space="0" w:color="25A3FF" w:themeColor="accent1" w:themeTint="99"/>
        <w:bottom w:val="single" w:sz="4" w:space="0" w:color="25A3FF" w:themeColor="accent1" w:themeTint="99"/>
        <w:right w:val="single" w:sz="4" w:space="0" w:color="25A3FF" w:themeColor="accent1" w:themeTint="99"/>
        <w:insideH w:val="single" w:sz="4" w:space="0" w:color="25A3FF" w:themeColor="accent1" w:themeTint="99"/>
        <w:insideV w:val="single" w:sz="4" w:space="0" w:color="25A3FF" w:themeColor="accent1" w:themeTint="99"/>
      </w:tblBorders>
    </w:tblPr>
    <w:tblStylePr w:type="firstRow">
      <w:rPr>
        <w:b/>
        <w:bCs/>
        <w:color w:val="FFFFFF" w:themeColor="background1"/>
      </w:rPr>
      <w:tblPr/>
      <w:tcPr>
        <w:tcBorders>
          <w:top w:val="single" w:sz="4" w:space="0" w:color="005694" w:themeColor="accent1"/>
          <w:left w:val="single" w:sz="4" w:space="0" w:color="005694" w:themeColor="accent1"/>
          <w:bottom w:val="single" w:sz="4" w:space="0" w:color="005694" w:themeColor="accent1"/>
          <w:right w:val="single" w:sz="4" w:space="0" w:color="005694" w:themeColor="accent1"/>
          <w:insideH w:val="nil"/>
          <w:insideV w:val="nil"/>
        </w:tcBorders>
        <w:shd w:val="clear" w:color="auto" w:fill="005694" w:themeFill="accent1"/>
      </w:tcPr>
    </w:tblStylePr>
    <w:tblStylePr w:type="lastRow">
      <w:rPr>
        <w:b/>
        <w:bCs/>
      </w:rPr>
      <w:tblPr/>
      <w:tcPr>
        <w:tcBorders>
          <w:top w:val="double" w:sz="4" w:space="0" w:color="005694" w:themeColor="accent1"/>
        </w:tcBorders>
      </w:tcPr>
    </w:tblStylePr>
    <w:tblStylePr w:type="firstCol">
      <w:rPr>
        <w:b/>
        <w:bCs/>
      </w:rPr>
    </w:tblStylePr>
    <w:tblStylePr w:type="lastCol">
      <w:rPr>
        <w:b/>
        <w:bCs/>
      </w:rPr>
    </w:tblStylePr>
    <w:tblStylePr w:type="band1Vert">
      <w:tblPr/>
      <w:tcPr>
        <w:shd w:val="clear" w:color="auto" w:fill="B6E0FF" w:themeFill="accent1" w:themeFillTint="33"/>
      </w:tcPr>
    </w:tblStylePr>
    <w:tblStylePr w:type="band1Horz">
      <w:tblPr/>
      <w:tcPr>
        <w:shd w:val="clear" w:color="auto" w:fill="B6E0FF" w:themeFill="accent1" w:themeFillTint="33"/>
      </w:tcPr>
    </w:tblStylePr>
  </w:style>
  <w:style w:type="paragraph" w:customStyle="1" w:styleId="Style1">
    <w:name w:val="Style1"/>
    <w:basedOn w:val="Normal"/>
    <w:qFormat/>
    <w:rsid w:val="0087289F"/>
    <w:pPr>
      <w:numPr>
        <w:numId w:val="18"/>
      </w:numPr>
      <w:spacing w:line="240" w:lineRule="auto"/>
    </w:pPr>
    <w:rPr>
      <w:rFonts w:eastAsia="Times New Roman" w:cs="Times New Roman"/>
      <w:sz w:val="20"/>
      <w:szCs w:val="24"/>
      <w:lang w:val="en-US"/>
    </w:rPr>
  </w:style>
  <w:style w:type="numbering" w:customStyle="1" w:styleId="NumbListMain1">
    <w:name w:val="NumbListMain1"/>
    <w:uiPriority w:val="99"/>
    <w:rsid w:val="0087289F"/>
  </w:style>
  <w:style w:type="table" w:customStyle="1" w:styleId="TableGrid2">
    <w:name w:val="Table Grid2"/>
    <w:basedOn w:val="TableNormal"/>
    <w:next w:val="TableGrid"/>
    <w:uiPriority w:val="59"/>
    <w:rsid w:val="0087289F"/>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87289F"/>
    <w:rPr>
      <w:color w:val="000099"/>
      <w:u w:val="single"/>
    </w:rPr>
  </w:style>
  <w:style w:type="character" w:customStyle="1" w:styleId="FootnoteAnchor">
    <w:name w:val="Footnote Anchor"/>
    <w:rsid w:val="0087289F"/>
    <w:rPr>
      <w:vertAlign w:val="superscript"/>
    </w:rPr>
  </w:style>
  <w:style w:type="paragraph" w:styleId="TOC6">
    <w:name w:val="toc 6"/>
    <w:basedOn w:val="Normal"/>
    <w:next w:val="Normal"/>
    <w:autoRedefine/>
    <w:uiPriority w:val="39"/>
    <w:unhideWhenUsed/>
    <w:rsid w:val="0087289F"/>
    <w:pPr>
      <w:spacing w:after="100" w:line="276"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87289F"/>
    <w:pPr>
      <w:spacing w:after="100" w:line="276"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87289F"/>
    <w:pPr>
      <w:spacing w:after="100" w:line="276"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87289F"/>
    <w:pPr>
      <w:spacing w:after="100" w:line="276" w:lineRule="auto"/>
      <w:ind w:left="1760"/>
    </w:pPr>
    <w:rPr>
      <w:rFonts w:asciiTheme="minorHAnsi" w:eastAsiaTheme="minorEastAsia" w:hAnsiTheme="minorHAnsi"/>
      <w:lang w:val="en-US"/>
    </w:rPr>
  </w:style>
  <w:style w:type="table" w:customStyle="1" w:styleId="TableGrid4">
    <w:name w:val="Table Grid4"/>
    <w:basedOn w:val="TableNormal"/>
    <w:next w:val="TableGrid"/>
    <w:uiPriority w:val="59"/>
    <w:rsid w:val="008728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289F"/>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
    <w:name w:val="xl73"/>
    <w:basedOn w:val="Normal"/>
    <w:rsid w:val="0087289F"/>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4">
    <w:name w:val="xl74"/>
    <w:basedOn w:val="Normal"/>
    <w:rsid w:val="0087289F"/>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5">
    <w:name w:val="xl75"/>
    <w:basedOn w:val="Normal"/>
    <w:rsid w:val="0087289F"/>
    <w:pP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76">
    <w:name w:val="xl76"/>
    <w:basedOn w:val="Normal"/>
    <w:rsid w:val="0087289F"/>
    <w:pPr>
      <w:spacing w:before="100" w:beforeAutospacing="1" w:after="100" w:afterAutospacing="1" w:line="240" w:lineRule="auto"/>
    </w:pPr>
    <w:rPr>
      <w:rFonts w:ascii="Arial Narrow" w:eastAsia="Times New Roman" w:hAnsi="Arial Narrow" w:cs="Times New Roman"/>
      <w:sz w:val="16"/>
      <w:szCs w:val="16"/>
      <w:lang w:val="en-US"/>
    </w:rPr>
  </w:style>
  <w:style w:type="paragraph" w:customStyle="1" w:styleId="xl77">
    <w:name w:val="xl77"/>
    <w:basedOn w:val="Normal"/>
    <w:rsid w:val="0087289F"/>
    <w:pPr>
      <w:pBdr>
        <w:bottom w:val="single" w:sz="4" w:space="0" w:color="546778"/>
      </w:pBdr>
      <w:shd w:val="clear" w:color="000000" w:fill="C7CFD8"/>
      <w:spacing w:before="100" w:beforeAutospacing="1" w:after="100" w:afterAutospacing="1" w:line="240" w:lineRule="auto"/>
      <w:textAlignment w:val="center"/>
    </w:pPr>
    <w:rPr>
      <w:rFonts w:ascii="Arial Narrow" w:eastAsia="Times New Roman" w:hAnsi="Arial Narrow" w:cs="Times New Roman"/>
      <w:b/>
      <w:bCs/>
      <w:sz w:val="16"/>
      <w:szCs w:val="16"/>
      <w:lang w:val="en-US"/>
    </w:rPr>
  </w:style>
  <w:style w:type="paragraph" w:customStyle="1" w:styleId="xl78">
    <w:name w:val="xl78"/>
    <w:basedOn w:val="Normal"/>
    <w:rsid w:val="0087289F"/>
    <w:pPr>
      <w:pBdr>
        <w:bottom w:val="single" w:sz="4" w:space="0" w:color="546778"/>
      </w:pBdr>
      <w:shd w:val="clear" w:color="000000" w:fill="C7CFD8"/>
      <w:spacing w:before="100" w:beforeAutospacing="1" w:after="100" w:afterAutospacing="1" w:line="240" w:lineRule="auto"/>
      <w:textAlignment w:val="center"/>
    </w:pPr>
    <w:rPr>
      <w:rFonts w:ascii="Arial Narrow" w:eastAsia="Times New Roman" w:hAnsi="Arial Narrow" w:cs="Times New Roman"/>
      <w:b/>
      <w:bCs/>
      <w:sz w:val="16"/>
      <w:szCs w:val="16"/>
      <w:lang w:val="en-US"/>
    </w:rPr>
  </w:style>
  <w:style w:type="paragraph" w:customStyle="1" w:styleId="xl79">
    <w:name w:val="xl79"/>
    <w:basedOn w:val="Normal"/>
    <w:rsid w:val="0087289F"/>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en-US"/>
    </w:rPr>
  </w:style>
  <w:style w:type="paragraph" w:customStyle="1" w:styleId="xl80">
    <w:name w:val="xl80"/>
    <w:basedOn w:val="Normal"/>
    <w:rsid w:val="0087289F"/>
    <w:pPr>
      <w:shd w:val="clear" w:color="000000" w:fill="C7CFD8"/>
      <w:spacing w:before="100" w:beforeAutospacing="1" w:after="100" w:afterAutospacing="1" w:line="240" w:lineRule="auto"/>
    </w:pPr>
    <w:rPr>
      <w:rFonts w:ascii="Arial Narrow" w:eastAsia="Times New Roman" w:hAnsi="Arial Narrow" w:cs="Times New Roman"/>
      <w:b/>
      <w:bCs/>
      <w:sz w:val="16"/>
      <w:szCs w:val="16"/>
      <w:lang w:val="en-US"/>
    </w:rPr>
  </w:style>
  <w:style w:type="paragraph" w:customStyle="1" w:styleId="xl81">
    <w:name w:val="xl81"/>
    <w:basedOn w:val="Normal"/>
    <w:rsid w:val="0087289F"/>
    <w:pP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2">
    <w:name w:val="xl82"/>
    <w:basedOn w:val="Normal"/>
    <w:rsid w:val="0087289F"/>
    <w:pP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3">
    <w:name w:val="xl83"/>
    <w:basedOn w:val="Normal"/>
    <w:rsid w:val="0087289F"/>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4">
    <w:name w:val="xl84"/>
    <w:basedOn w:val="Normal"/>
    <w:rsid w:val="0087289F"/>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5">
    <w:name w:val="xl85"/>
    <w:basedOn w:val="Normal"/>
    <w:rsid w:val="0087289F"/>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86">
    <w:name w:val="xl86"/>
    <w:basedOn w:val="Normal"/>
    <w:rsid w:val="0087289F"/>
    <w:pPr>
      <w:pBdr>
        <w:top w:val="single" w:sz="4" w:space="0" w:color="C7CFD8"/>
        <w:bottom w:val="single" w:sz="4" w:space="0" w:color="C7CFD8"/>
      </w:pBdr>
      <w:spacing w:before="100" w:beforeAutospacing="1" w:after="100" w:afterAutospacing="1" w:line="240" w:lineRule="auto"/>
      <w:textAlignment w:val="top"/>
    </w:pPr>
    <w:rPr>
      <w:rFonts w:ascii="Arial Narrow" w:eastAsia="Times New Roman" w:hAnsi="Arial Narrow" w:cs="Times New Roman"/>
      <w:sz w:val="16"/>
      <w:szCs w:val="16"/>
      <w:lang w:val="en-US"/>
    </w:rPr>
  </w:style>
  <w:style w:type="paragraph" w:customStyle="1" w:styleId="xl87">
    <w:name w:val="xl87"/>
    <w:basedOn w:val="Normal"/>
    <w:rsid w:val="0087289F"/>
    <w:pPr>
      <w:pBdr>
        <w:top w:val="single" w:sz="4" w:space="0" w:color="C7CFD8"/>
        <w:bottom w:val="single" w:sz="12" w:space="0" w:color="C7CFD8"/>
      </w:pBdr>
      <w:spacing w:before="100" w:beforeAutospacing="1" w:after="100" w:afterAutospacing="1" w:line="240" w:lineRule="auto"/>
      <w:textAlignment w:val="top"/>
    </w:pPr>
    <w:rPr>
      <w:rFonts w:ascii="Arial Narrow" w:eastAsia="Times New Roman" w:hAnsi="Arial Narrow" w:cs="Times New Roman"/>
      <w:b/>
      <w:bCs/>
      <w:color w:val="005172"/>
      <w:sz w:val="16"/>
      <w:szCs w:val="16"/>
      <w:lang w:val="en-US"/>
    </w:rPr>
  </w:style>
  <w:style w:type="paragraph" w:customStyle="1" w:styleId="xl88">
    <w:name w:val="xl88"/>
    <w:basedOn w:val="Normal"/>
    <w:rsid w:val="0087289F"/>
    <w:pPr>
      <w:pBdr>
        <w:top w:val="single" w:sz="4" w:space="0" w:color="C7CFD8"/>
        <w:bottom w:val="single" w:sz="12"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en-US"/>
    </w:rPr>
  </w:style>
  <w:style w:type="paragraph" w:customStyle="1" w:styleId="xl89">
    <w:name w:val="xl89"/>
    <w:basedOn w:val="Normal"/>
    <w:rsid w:val="0087289F"/>
    <w:pPr>
      <w:pBdr>
        <w:top w:val="single" w:sz="4" w:space="0" w:color="C7CFD8"/>
        <w:bottom w:val="single" w:sz="12" w:space="0" w:color="C7CFD8"/>
      </w:pBdr>
      <w:spacing w:before="100" w:beforeAutospacing="1" w:after="100" w:afterAutospacing="1" w:line="240" w:lineRule="auto"/>
      <w:textAlignment w:val="top"/>
    </w:pPr>
    <w:rPr>
      <w:rFonts w:ascii="Arial Narrow" w:eastAsia="Times New Roman" w:hAnsi="Arial Narrow" w:cs="Times New Roman"/>
      <w:b/>
      <w:bCs/>
      <w:sz w:val="16"/>
      <w:szCs w:val="16"/>
      <w:lang w:val="en-US"/>
    </w:rPr>
  </w:style>
  <w:style w:type="paragraph" w:customStyle="1" w:styleId="xl90">
    <w:name w:val="xl90"/>
    <w:basedOn w:val="Normal"/>
    <w:rsid w:val="0087289F"/>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en-US"/>
    </w:rPr>
  </w:style>
  <w:style w:type="character" w:styleId="EndnoteReference">
    <w:name w:val="endnote reference"/>
    <w:basedOn w:val="DefaultParagraphFont"/>
    <w:uiPriority w:val="99"/>
    <w:rsid w:val="0087289F"/>
    <w:rPr>
      <w:vertAlign w:val="superscript"/>
    </w:rPr>
  </w:style>
  <w:style w:type="character" w:customStyle="1" w:styleId="admitted">
    <w:name w:val="admitted"/>
    <w:basedOn w:val="DefaultParagraphFont"/>
    <w:rsid w:val="0087289F"/>
  </w:style>
  <w:style w:type="character" w:customStyle="1" w:styleId="CommentTextChar1">
    <w:name w:val="Comment Text Char1"/>
    <w:basedOn w:val="DefaultParagraphFont"/>
    <w:rsid w:val="0087289F"/>
    <w:rPr>
      <w:rFonts w:ascii="Arial" w:hAnsi="Arial" w:cs="Arial"/>
      <w:sz w:val="18"/>
    </w:rPr>
  </w:style>
  <w:style w:type="paragraph" w:customStyle="1" w:styleId="Paragraphedeliste">
    <w:name w:val="Paragraphe de liste"/>
    <w:autoRedefine/>
    <w:rsid w:val="0087289F"/>
    <w:pPr>
      <w:ind w:left="720"/>
    </w:pPr>
    <w:rPr>
      <w:rFonts w:ascii="Lucida Grande" w:eastAsia="ヒラギノ角ゴ Pro W3" w:hAnsi="Lucida Grande" w:cs="Times New Roman"/>
      <w:color w:val="000000"/>
      <w:szCs w:val="20"/>
    </w:rPr>
  </w:style>
  <w:style w:type="table" w:customStyle="1" w:styleId="MediumShading2-Accent11">
    <w:name w:val="Medium Shading 2 - Accent 11"/>
    <w:basedOn w:val="TableNormal"/>
    <w:uiPriority w:val="64"/>
    <w:rsid w:val="0087289F"/>
    <w:pP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56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5694"/>
      </w:tcPr>
    </w:tblStylePr>
    <w:tblStylePr w:type="lastCol">
      <w:rPr>
        <w:b/>
        <w:bCs/>
        <w:color w:val="FFFFFF"/>
      </w:rPr>
      <w:tblPr/>
      <w:tcPr>
        <w:tcBorders>
          <w:left w:val="nil"/>
          <w:right w:val="nil"/>
          <w:insideH w:val="nil"/>
          <w:insideV w:val="nil"/>
        </w:tcBorders>
        <w:shd w:val="clear" w:color="auto" w:fill="0056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sonormal0">
    <w:name w:val="msonormal"/>
    <w:basedOn w:val="Normal"/>
    <w:rsid w:val="00D43F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43F04"/>
    <w:pPr>
      <w:spacing w:before="100" w:beforeAutospacing="1" w:after="100" w:afterAutospacing="1" w:line="240" w:lineRule="auto"/>
    </w:pPr>
    <w:rPr>
      <w:rFonts w:eastAsia="Times New Roman" w:cs="Arial"/>
      <w:color w:val="FF0000"/>
      <w:szCs w:val="18"/>
      <w:lang w:val="en-US"/>
    </w:rPr>
  </w:style>
  <w:style w:type="paragraph" w:customStyle="1" w:styleId="font6">
    <w:name w:val="font6"/>
    <w:basedOn w:val="Normal"/>
    <w:rsid w:val="00D43F04"/>
    <w:pPr>
      <w:spacing w:before="100" w:beforeAutospacing="1" w:after="100" w:afterAutospacing="1" w:line="240" w:lineRule="auto"/>
    </w:pPr>
    <w:rPr>
      <w:rFonts w:eastAsia="Times New Roman" w:cs="Arial"/>
      <w:szCs w:val="18"/>
      <w:lang w:val="en-US"/>
    </w:rPr>
  </w:style>
  <w:style w:type="paragraph" w:customStyle="1" w:styleId="font7">
    <w:name w:val="font7"/>
    <w:basedOn w:val="Normal"/>
    <w:rsid w:val="00D43F04"/>
    <w:pPr>
      <w:spacing w:before="100" w:beforeAutospacing="1" w:after="100" w:afterAutospacing="1" w:line="240" w:lineRule="auto"/>
    </w:pPr>
    <w:rPr>
      <w:rFonts w:eastAsia="Times New Roman" w:cs="Arial"/>
      <w:b/>
      <w:bCs/>
      <w:color w:val="000000"/>
      <w:szCs w:val="18"/>
      <w:lang w:val="en-US"/>
    </w:rPr>
  </w:style>
  <w:style w:type="paragraph" w:customStyle="1" w:styleId="font8">
    <w:name w:val="font8"/>
    <w:basedOn w:val="Normal"/>
    <w:rsid w:val="00D43F04"/>
    <w:pPr>
      <w:spacing w:before="100" w:beforeAutospacing="1" w:after="100" w:afterAutospacing="1" w:line="240" w:lineRule="auto"/>
    </w:pPr>
    <w:rPr>
      <w:rFonts w:eastAsia="Times New Roman" w:cs="Arial"/>
      <w:b/>
      <w:bCs/>
      <w:szCs w:val="18"/>
      <w:lang w:val="en-US"/>
    </w:rPr>
  </w:style>
  <w:style w:type="paragraph" w:customStyle="1" w:styleId="font9">
    <w:name w:val="font9"/>
    <w:basedOn w:val="Normal"/>
    <w:rsid w:val="00D43F04"/>
    <w:pPr>
      <w:spacing w:before="100" w:beforeAutospacing="1" w:after="100" w:afterAutospacing="1" w:line="240" w:lineRule="auto"/>
    </w:pPr>
    <w:rPr>
      <w:rFonts w:eastAsia="Times New Roman" w:cs="Arial"/>
      <w:sz w:val="16"/>
      <w:szCs w:val="16"/>
      <w:lang w:val="en-US"/>
    </w:rPr>
  </w:style>
  <w:style w:type="paragraph" w:customStyle="1" w:styleId="font10">
    <w:name w:val="font10"/>
    <w:basedOn w:val="Normal"/>
    <w:rsid w:val="00D43F04"/>
    <w:pPr>
      <w:spacing w:before="100" w:beforeAutospacing="1" w:after="100" w:afterAutospacing="1" w:line="240" w:lineRule="auto"/>
    </w:pPr>
    <w:rPr>
      <w:rFonts w:eastAsia="Times New Roman" w:cs="Arial"/>
      <w:sz w:val="16"/>
      <w:szCs w:val="16"/>
      <w:lang w:val="en-US"/>
    </w:rPr>
  </w:style>
  <w:style w:type="paragraph" w:customStyle="1" w:styleId="xl65">
    <w:name w:val="xl65"/>
    <w:basedOn w:val="Normal"/>
    <w:rsid w:val="00D43F0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6">
    <w:name w:val="xl66"/>
    <w:basedOn w:val="Normal"/>
    <w:rsid w:val="00D43F0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7">
    <w:name w:val="xl67"/>
    <w:basedOn w:val="Normal"/>
    <w:rsid w:val="00D43F0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68">
    <w:name w:val="xl68"/>
    <w:basedOn w:val="Normal"/>
    <w:rsid w:val="00D43F0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9">
    <w:name w:val="xl69"/>
    <w:basedOn w:val="Normal"/>
    <w:rsid w:val="00D43F0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0">
    <w:name w:val="xl70"/>
    <w:basedOn w:val="Normal"/>
    <w:rsid w:val="00D43F04"/>
    <w:pPr>
      <w:shd w:val="clear" w:color="000000" w:fill="C7CFD8"/>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1">
    <w:name w:val="xl71"/>
    <w:basedOn w:val="Normal"/>
    <w:rsid w:val="00D43F04"/>
    <w:pPr>
      <w:shd w:val="clear" w:color="000000" w:fill="C7CFD8"/>
      <w:spacing w:before="100" w:beforeAutospacing="1" w:after="100" w:afterAutospacing="1" w:line="240" w:lineRule="auto"/>
      <w:jc w:val="center"/>
      <w:textAlignment w:val="center"/>
    </w:pPr>
    <w:rPr>
      <w:rFonts w:ascii="Times New Roman" w:eastAsia="Times New Roman" w:hAnsi="Times New Roman" w:cs="Times New Roman"/>
      <w:b/>
      <w:bCs/>
      <w:szCs w:val="18"/>
      <w:lang w:val="en-US"/>
    </w:rPr>
  </w:style>
  <w:style w:type="paragraph" w:customStyle="1" w:styleId="xl72">
    <w:name w:val="xl72"/>
    <w:basedOn w:val="Normal"/>
    <w:rsid w:val="00D43F04"/>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3">
    <w:name w:val="xl63"/>
    <w:basedOn w:val="Normal"/>
    <w:rsid w:val="00D43F0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4">
    <w:name w:val="xl64"/>
    <w:basedOn w:val="Normal"/>
    <w:rsid w:val="00D43F0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91">
    <w:name w:val="xl91"/>
    <w:basedOn w:val="Normal"/>
    <w:rsid w:val="00D43F04"/>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2">
    <w:name w:val="xl92"/>
    <w:basedOn w:val="Normal"/>
    <w:rsid w:val="00D43F04"/>
    <w:pPr>
      <w:pBdr>
        <w:top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3">
    <w:name w:val="xl93"/>
    <w:basedOn w:val="Normal"/>
    <w:rsid w:val="00D43F04"/>
    <w:pPr>
      <w:pBdr>
        <w:top w:val="single" w:sz="4" w:space="0" w:color="546778"/>
        <w:righ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4">
    <w:name w:val="xl94"/>
    <w:basedOn w:val="Normal"/>
    <w:rsid w:val="00D43F04"/>
    <w:pPr>
      <w:pBdr>
        <w:top w:val="single" w:sz="4" w:space="0" w:color="546778"/>
        <w:lef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5">
    <w:name w:val="xl95"/>
    <w:basedOn w:val="Normal"/>
    <w:rsid w:val="00D43F04"/>
    <w:pPr>
      <w:pBdr>
        <w:top w:val="single" w:sz="4" w:space="0" w:color="546778"/>
        <w:right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6">
    <w:name w:val="xl96"/>
    <w:basedOn w:val="Normal"/>
    <w:rsid w:val="00D43F04"/>
    <w:pPr>
      <w:pBdr>
        <w:top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7">
    <w:name w:val="xl97"/>
    <w:basedOn w:val="Normal"/>
    <w:rsid w:val="00D43F04"/>
    <w:pPr>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8">
    <w:name w:val="xl98"/>
    <w:basedOn w:val="Normal"/>
    <w:rsid w:val="00D43F04"/>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99">
    <w:name w:val="xl99"/>
    <w:basedOn w:val="Normal"/>
    <w:rsid w:val="00D43F04"/>
    <w:pPr>
      <w:spacing w:before="100" w:beforeAutospacing="1" w:after="100" w:afterAutospacing="1" w:line="240" w:lineRule="auto"/>
      <w:textAlignment w:val="top"/>
    </w:pPr>
    <w:rPr>
      <w:rFonts w:eastAsia="Times New Roman" w:cs="Arial"/>
      <w:sz w:val="22"/>
      <w:lang w:val="fr-CH" w:eastAsia="fr-CH"/>
    </w:rPr>
  </w:style>
  <w:style w:type="paragraph" w:customStyle="1" w:styleId="xl100">
    <w:name w:val="xl100"/>
    <w:basedOn w:val="Normal"/>
    <w:rsid w:val="00D43F04"/>
    <w:pPr>
      <w:spacing w:before="100" w:beforeAutospacing="1" w:after="100" w:afterAutospacing="1" w:line="240" w:lineRule="auto"/>
      <w:textAlignment w:val="top"/>
    </w:pPr>
    <w:rPr>
      <w:rFonts w:eastAsia="Times New Roman" w:cs="Arial"/>
      <w:b/>
      <w:bCs/>
      <w:sz w:val="22"/>
      <w:lang w:val="fr-CH" w:eastAsia="fr-CH"/>
    </w:rPr>
  </w:style>
  <w:style w:type="paragraph" w:customStyle="1" w:styleId="xl101">
    <w:name w:val="xl101"/>
    <w:basedOn w:val="Normal"/>
    <w:rsid w:val="00D43F04"/>
    <w:pPr>
      <w:pBdr>
        <w:top w:val="single" w:sz="4" w:space="0" w:color="C7CFD8"/>
        <w:bottom w:val="single" w:sz="12" w:space="0" w:color="C7CFD8"/>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2">
    <w:name w:val="xl102"/>
    <w:basedOn w:val="Normal"/>
    <w:rsid w:val="00D43F04"/>
    <w:pPr>
      <w:pBdr>
        <w:top w:val="single" w:sz="4" w:space="0" w:color="C7CFD8"/>
        <w:bottom w:val="single" w:sz="12" w:space="0" w:color="C7CFD8"/>
        <w:right w:val="single" w:sz="4" w:space="0" w:color="FFFFFF"/>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3">
    <w:name w:val="xl103"/>
    <w:basedOn w:val="Normal"/>
    <w:rsid w:val="00D43F04"/>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104">
    <w:name w:val="xl104"/>
    <w:basedOn w:val="Normal"/>
    <w:rsid w:val="00D43F04"/>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5">
    <w:name w:val="xl105"/>
    <w:basedOn w:val="Normal"/>
    <w:rsid w:val="00D43F04"/>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6">
    <w:name w:val="xl106"/>
    <w:basedOn w:val="Normal"/>
    <w:rsid w:val="00D43F04"/>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7">
    <w:name w:val="xl107"/>
    <w:basedOn w:val="Normal"/>
    <w:rsid w:val="00D43F04"/>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8">
    <w:name w:val="xl108"/>
    <w:basedOn w:val="Normal"/>
    <w:rsid w:val="00D43F04"/>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109">
    <w:name w:val="xl109"/>
    <w:basedOn w:val="Normal"/>
    <w:rsid w:val="00D43F04"/>
    <w:pPr>
      <w:spacing w:before="100" w:beforeAutospacing="1" w:after="100" w:afterAutospacing="1" w:line="240" w:lineRule="auto"/>
      <w:jc w:val="right"/>
      <w:textAlignment w:val="top"/>
    </w:pPr>
    <w:rPr>
      <w:rFonts w:eastAsia="Times New Roman" w:cs="Arial"/>
      <w:sz w:val="22"/>
      <w:lang w:val="fr-CH" w:eastAsia="fr-CH"/>
    </w:rPr>
  </w:style>
  <w:style w:type="paragraph" w:customStyle="1" w:styleId="xl110">
    <w:name w:val="xl110"/>
    <w:basedOn w:val="Normal"/>
    <w:rsid w:val="00D43F04"/>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numbering" w:customStyle="1" w:styleId="NumbListChart1">
    <w:name w:val="NumbListChart1"/>
    <w:uiPriority w:val="99"/>
    <w:rsid w:val="00D43F04"/>
  </w:style>
  <w:style w:type="numbering" w:customStyle="1" w:styleId="NumbListAnnex1">
    <w:name w:val="NumbListAnnex1"/>
    <w:uiPriority w:val="99"/>
    <w:rsid w:val="00D43F04"/>
  </w:style>
  <w:style w:type="numbering" w:customStyle="1" w:styleId="NumbLstTabBullet1">
    <w:name w:val="NumbLstTabBullet1"/>
    <w:uiPriority w:val="99"/>
    <w:rsid w:val="00D43F04"/>
  </w:style>
  <w:style w:type="paragraph" w:customStyle="1" w:styleId="xl111">
    <w:name w:val="xl111"/>
    <w:basedOn w:val="Normal"/>
    <w:rsid w:val="00D43F04"/>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2">
    <w:name w:val="xl112"/>
    <w:basedOn w:val="Normal"/>
    <w:rsid w:val="00D43F04"/>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3">
    <w:name w:val="xl113"/>
    <w:basedOn w:val="Normal"/>
    <w:rsid w:val="00D43F04"/>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4">
    <w:name w:val="xl114"/>
    <w:basedOn w:val="Normal"/>
    <w:rsid w:val="00D43F04"/>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5">
    <w:name w:val="xl115"/>
    <w:basedOn w:val="Normal"/>
    <w:rsid w:val="00D43F04"/>
    <w:pPr>
      <w:pBdr>
        <w:top w:val="single" w:sz="4" w:space="0" w:color="C7CFD8"/>
        <w:bottom w:val="single" w:sz="4" w:space="0" w:color="C7CFD8"/>
      </w:pBdr>
      <w:spacing w:before="100" w:beforeAutospacing="1" w:after="100" w:afterAutospacing="1" w:line="240" w:lineRule="auto"/>
      <w:jc w:val="right"/>
      <w:textAlignment w:val="center"/>
    </w:pPr>
    <w:rPr>
      <w:rFonts w:ascii="Arial Narrow" w:eastAsia="Times New Roman" w:hAnsi="Arial Narrow" w:cs="Times New Roman"/>
      <w:sz w:val="16"/>
      <w:szCs w:val="16"/>
      <w:lang w:val="fr-CH" w:eastAsia="fr-CH"/>
    </w:rPr>
  </w:style>
  <w:style w:type="paragraph" w:customStyle="1" w:styleId="xl116">
    <w:name w:val="xl116"/>
    <w:basedOn w:val="Normal"/>
    <w:rsid w:val="00D43F04"/>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color w:val="005694"/>
      <w:sz w:val="16"/>
      <w:szCs w:val="16"/>
      <w:lang w:val="fr-CH" w:eastAsia="fr-CH"/>
    </w:rPr>
  </w:style>
  <w:style w:type="paragraph" w:customStyle="1" w:styleId="xl117">
    <w:name w:val="xl117"/>
    <w:basedOn w:val="Normal"/>
    <w:rsid w:val="00D43F04"/>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b/>
      <w:bCs/>
      <w:sz w:val="16"/>
      <w:szCs w:val="16"/>
      <w:lang w:val="fr-CH" w:eastAsia="fr-CH"/>
    </w:rPr>
  </w:style>
  <w:style w:type="paragraph" w:customStyle="1" w:styleId="xl118">
    <w:name w:val="xl118"/>
    <w:basedOn w:val="Normal"/>
    <w:rsid w:val="00D43F04"/>
    <w:pPr>
      <w:pBdr>
        <w:top w:val="single" w:sz="4" w:space="0" w:color="C7CFD8"/>
        <w:bottom w:val="single" w:sz="8" w:space="0" w:color="C7CFD8"/>
      </w:pBdr>
      <w:spacing w:before="100" w:beforeAutospacing="1" w:after="100" w:afterAutospacing="1" w:line="240" w:lineRule="auto"/>
      <w:textAlignment w:val="center"/>
    </w:pPr>
    <w:rPr>
      <w:rFonts w:ascii="Arial Narrow" w:eastAsia="Times New Roman" w:hAnsi="Arial Narrow" w:cs="Times New Roman"/>
      <w:b/>
      <w:bCs/>
      <w:sz w:val="16"/>
      <w:szCs w:val="16"/>
      <w:lang w:val="fr-CH" w:eastAsia="fr-CH"/>
    </w:rPr>
  </w:style>
  <w:style w:type="paragraph" w:customStyle="1" w:styleId="xl119">
    <w:name w:val="xl119"/>
    <w:basedOn w:val="Normal"/>
    <w:rsid w:val="00D43F04"/>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fr-CH" w:eastAsia="fr-CH"/>
    </w:rPr>
  </w:style>
  <w:style w:type="paragraph" w:customStyle="1" w:styleId="TOC11">
    <w:name w:val="TOC 11"/>
    <w:basedOn w:val="Normal"/>
    <w:next w:val="Normal"/>
    <w:autoRedefine/>
    <w:uiPriority w:val="39"/>
    <w:qFormat/>
    <w:rsid w:val="00D43F04"/>
    <w:pPr>
      <w:pBdr>
        <w:top w:val="single" w:sz="4" w:space="9" w:color="005172"/>
        <w:between w:val="single" w:sz="4" w:space="9" w:color="005172"/>
      </w:pBdr>
      <w:tabs>
        <w:tab w:val="left" w:pos="680"/>
        <w:tab w:val="right" w:pos="9639"/>
      </w:tabs>
      <w:spacing w:after="0"/>
    </w:pPr>
    <w:rPr>
      <w:rFonts w:eastAsia="Arial" w:cs="Arial"/>
      <w:color w:val="005172"/>
      <w:sz w:val="22"/>
      <w:lang w:val="en-GB"/>
    </w:rPr>
  </w:style>
  <w:style w:type="character" w:customStyle="1" w:styleId="Hyperlink1">
    <w:name w:val="Hyperlink1"/>
    <w:basedOn w:val="DefaultParagraphFont"/>
    <w:uiPriority w:val="99"/>
    <w:unhideWhenUsed/>
    <w:rsid w:val="00D43F04"/>
    <w:rPr>
      <w:color w:val="005694"/>
      <w:u w:val="single"/>
    </w:rPr>
  </w:style>
  <w:style w:type="paragraph" w:customStyle="1" w:styleId="TOCHeading1">
    <w:name w:val="TOC Heading1"/>
    <w:basedOn w:val="Heading1"/>
    <w:next w:val="Normal"/>
    <w:uiPriority w:val="39"/>
    <w:semiHidden/>
    <w:unhideWhenUsed/>
    <w:qFormat/>
    <w:rsid w:val="00D43F04"/>
    <w:pPr>
      <w:spacing w:before="480" w:after="0" w:line="276" w:lineRule="auto"/>
      <w:outlineLvl w:val="9"/>
    </w:pPr>
    <w:rPr>
      <w:rFonts w:eastAsia="SimHei" w:cs="Arial"/>
      <w:b/>
      <w:color w:val="003C55"/>
      <w:sz w:val="28"/>
      <w:lang w:val="en-US" w:eastAsia="ja-JP"/>
    </w:rPr>
  </w:style>
  <w:style w:type="paragraph" w:customStyle="1" w:styleId="Title1">
    <w:name w:val="Title1"/>
    <w:basedOn w:val="Normal"/>
    <w:next w:val="Normal"/>
    <w:uiPriority w:val="49"/>
    <w:qFormat/>
    <w:rsid w:val="00D43F04"/>
    <w:pPr>
      <w:pBdr>
        <w:bottom w:val="single" w:sz="8" w:space="4" w:color="005172"/>
      </w:pBdr>
      <w:spacing w:after="300"/>
      <w:contextualSpacing/>
    </w:pPr>
    <w:rPr>
      <w:rFonts w:eastAsia="SimHei" w:cs="Arial"/>
      <w:color w:val="003C55"/>
      <w:spacing w:val="5"/>
      <w:kern w:val="28"/>
      <w:sz w:val="52"/>
      <w:szCs w:val="52"/>
      <w:lang w:val="en-GB"/>
    </w:rPr>
  </w:style>
  <w:style w:type="character" w:customStyle="1" w:styleId="IntenseEmphasis1">
    <w:name w:val="Intense Emphasis1"/>
    <w:basedOn w:val="DefaultParagraphFont"/>
    <w:uiPriority w:val="49"/>
    <w:semiHidden/>
    <w:qFormat/>
    <w:rsid w:val="00D43F04"/>
    <w:rPr>
      <w:b/>
      <w:bCs/>
      <w:i/>
      <w:iCs/>
      <w:color w:val="005172"/>
    </w:rPr>
  </w:style>
  <w:style w:type="paragraph" w:customStyle="1" w:styleId="IntenseQuote1">
    <w:name w:val="Intense Quote1"/>
    <w:basedOn w:val="Normal"/>
    <w:next w:val="Normal"/>
    <w:uiPriority w:val="49"/>
    <w:semiHidden/>
    <w:qFormat/>
    <w:rsid w:val="00D43F04"/>
    <w:pPr>
      <w:pBdr>
        <w:bottom w:val="single" w:sz="4" w:space="4" w:color="005172"/>
      </w:pBdr>
      <w:spacing w:before="200" w:after="280"/>
      <w:ind w:left="936" w:right="936"/>
    </w:pPr>
    <w:rPr>
      <w:rFonts w:eastAsia="Arial" w:cs="Arial"/>
      <w:b/>
      <w:bCs/>
      <w:i/>
      <w:iCs/>
      <w:color w:val="005172"/>
      <w:lang w:val="en-GB"/>
    </w:rPr>
  </w:style>
  <w:style w:type="character" w:customStyle="1" w:styleId="TitleChar1">
    <w:name w:val="Title Char1"/>
    <w:basedOn w:val="DefaultParagraphFont"/>
    <w:rsid w:val="00D43F04"/>
    <w:rPr>
      <w:rFonts w:asciiTheme="majorHAnsi" w:eastAsiaTheme="majorEastAsia" w:hAnsiTheme="majorHAnsi" w:cstheme="majorBidi"/>
      <w:spacing w:val="-10"/>
      <w:kern w:val="28"/>
      <w:sz w:val="56"/>
      <w:szCs w:val="56"/>
    </w:rPr>
  </w:style>
  <w:style w:type="character" w:customStyle="1" w:styleId="IntenseQuoteChar1">
    <w:name w:val="Intense Quote Char1"/>
    <w:basedOn w:val="DefaultParagraphFont"/>
    <w:uiPriority w:val="30"/>
    <w:rsid w:val="00D43F04"/>
    <w:rPr>
      <w:rFonts w:ascii="Arial" w:hAnsi="Arial" w:cs="Arial"/>
      <w:i/>
      <w:iCs/>
      <w:color w:val="005694" w:themeColor="accent1"/>
      <w:sz w:val="22"/>
    </w:rPr>
  </w:style>
  <w:style w:type="numbering" w:customStyle="1" w:styleId="NumbListChart2">
    <w:name w:val="NumbListChart2"/>
    <w:uiPriority w:val="99"/>
    <w:rsid w:val="00D43F04"/>
  </w:style>
  <w:style w:type="numbering" w:customStyle="1" w:styleId="NumbListChart3">
    <w:name w:val="NumbListChart3"/>
    <w:uiPriority w:val="99"/>
    <w:rsid w:val="00D43F04"/>
  </w:style>
  <w:style w:type="paragraph" w:customStyle="1" w:styleId="Paragraphedeliste2">
    <w:name w:val="Paragraphe de liste2"/>
    <w:autoRedefine/>
    <w:rsid w:val="003805D5"/>
    <w:pPr>
      <w:ind w:left="720"/>
    </w:pPr>
    <w:rPr>
      <w:rFonts w:ascii="Lucida Grande" w:eastAsia="ヒラギノ角ゴ Pro W3" w:hAnsi="Lucida Grande" w:cs="Times New Roman"/>
      <w:color w:val="000000"/>
      <w:szCs w:val="20"/>
    </w:rPr>
  </w:style>
  <w:style w:type="table" w:customStyle="1" w:styleId="TableGrid7">
    <w:name w:val="Table Grid7"/>
    <w:basedOn w:val="TableNormal"/>
    <w:next w:val="TableGrid"/>
    <w:uiPriority w:val="59"/>
    <w:rsid w:val="00AE6881"/>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974">
      <w:bodyDiv w:val="1"/>
      <w:marLeft w:val="0"/>
      <w:marRight w:val="0"/>
      <w:marTop w:val="0"/>
      <w:marBottom w:val="0"/>
      <w:divBdr>
        <w:top w:val="none" w:sz="0" w:space="0" w:color="auto"/>
        <w:left w:val="none" w:sz="0" w:space="0" w:color="auto"/>
        <w:bottom w:val="none" w:sz="0" w:space="0" w:color="auto"/>
        <w:right w:val="none" w:sz="0" w:space="0" w:color="auto"/>
      </w:divBdr>
    </w:div>
    <w:div w:id="216235927">
      <w:bodyDiv w:val="1"/>
      <w:marLeft w:val="0"/>
      <w:marRight w:val="0"/>
      <w:marTop w:val="0"/>
      <w:marBottom w:val="0"/>
      <w:divBdr>
        <w:top w:val="none" w:sz="0" w:space="0" w:color="auto"/>
        <w:left w:val="none" w:sz="0" w:space="0" w:color="auto"/>
        <w:bottom w:val="none" w:sz="0" w:space="0" w:color="auto"/>
        <w:right w:val="none" w:sz="0" w:space="0" w:color="auto"/>
      </w:divBdr>
    </w:div>
    <w:div w:id="224876686">
      <w:bodyDiv w:val="1"/>
      <w:marLeft w:val="0"/>
      <w:marRight w:val="0"/>
      <w:marTop w:val="0"/>
      <w:marBottom w:val="0"/>
      <w:divBdr>
        <w:top w:val="none" w:sz="0" w:space="0" w:color="auto"/>
        <w:left w:val="none" w:sz="0" w:space="0" w:color="auto"/>
        <w:bottom w:val="none" w:sz="0" w:space="0" w:color="auto"/>
        <w:right w:val="none" w:sz="0" w:space="0" w:color="auto"/>
      </w:divBdr>
    </w:div>
    <w:div w:id="226231986">
      <w:bodyDiv w:val="1"/>
      <w:marLeft w:val="0"/>
      <w:marRight w:val="0"/>
      <w:marTop w:val="0"/>
      <w:marBottom w:val="0"/>
      <w:divBdr>
        <w:top w:val="none" w:sz="0" w:space="0" w:color="auto"/>
        <w:left w:val="none" w:sz="0" w:space="0" w:color="auto"/>
        <w:bottom w:val="none" w:sz="0" w:space="0" w:color="auto"/>
        <w:right w:val="none" w:sz="0" w:space="0" w:color="auto"/>
      </w:divBdr>
    </w:div>
    <w:div w:id="232854675">
      <w:bodyDiv w:val="1"/>
      <w:marLeft w:val="0"/>
      <w:marRight w:val="0"/>
      <w:marTop w:val="0"/>
      <w:marBottom w:val="0"/>
      <w:divBdr>
        <w:top w:val="none" w:sz="0" w:space="0" w:color="auto"/>
        <w:left w:val="none" w:sz="0" w:space="0" w:color="auto"/>
        <w:bottom w:val="none" w:sz="0" w:space="0" w:color="auto"/>
        <w:right w:val="none" w:sz="0" w:space="0" w:color="auto"/>
      </w:divBdr>
    </w:div>
    <w:div w:id="233786415">
      <w:bodyDiv w:val="1"/>
      <w:marLeft w:val="0"/>
      <w:marRight w:val="0"/>
      <w:marTop w:val="0"/>
      <w:marBottom w:val="0"/>
      <w:divBdr>
        <w:top w:val="none" w:sz="0" w:space="0" w:color="auto"/>
        <w:left w:val="none" w:sz="0" w:space="0" w:color="auto"/>
        <w:bottom w:val="none" w:sz="0" w:space="0" w:color="auto"/>
        <w:right w:val="none" w:sz="0" w:space="0" w:color="auto"/>
      </w:divBdr>
    </w:div>
    <w:div w:id="261495255">
      <w:bodyDiv w:val="1"/>
      <w:marLeft w:val="0"/>
      <w:marRight w:val="0"/>
      <w:marTop w:val="0"/>
      <w:marBottom w:val="0"/>
      <w:divBdr>
        <w:top w:val="none" w:sz="0" w:space="0" w:color="auto"/>
        <w:left w:val="none" w:sz="0" w:space="0" w:color="auto"/>
        <w:bottom w:val="none" w:sz="0" w:space="0" w:color="auto"/>
        <w:right w:val="none" w:sz="0" w:space="0" w:color="auto"/>
      </w:divBdr>
    </w:div>
    <w:div w:id="339282920">
      <w:bodyDiv w:val="1"/>
      <w:marLeft w:val="0"/>
      <w:marRight w:val="0"/>
      <w:marTop w:val="0"/>
      <w:marBottom w:val="0"/>
      <w:divBdr>
        <w:top w:val="none" w:sz="0" w:space="0" w:color="auto"/>
        <w:left w:val="none" w:sz="0" w:space="0" w:color="auto"/>
        <w:bottom w:val="none" w:sz="0" w:space="0" w:color="auto"/>
        <w:right w:val="none" w:sz="0" w:space="0" w:color="auto"/>
      </w:divBdr>
    </w:div>
    <w:div w:id="357707643">
      <w:bodyDiv w:val="1"/>
      <w:marLeft w:val="0"/>
      <w:marRight w:val="0"/>
      <w:marTop w:val="0"/>
      <w:marBottom w:val="0"/>
      <w:divBdr>
        <w:top w:val="none" w:sz="0" w:space="0" w:color="auto"/>
        <w:left w:val="none" w:sz="0" w:space="0" w:color="auto"/>
        <w:bottom w:val="none" w:sz="0" w:space="0" w:color="auto"/>
        <w:right w:val="none" w:sz="0" w:space="0" w:color="auto"/>
      </w:divBdr>
    </w:div>
    <w:div w:id="368335413">
      <w:bodyDiv w:val="1"/>
      <w:marLeft w:val="0"/>
      <w:marRight w:val="0"/>
      <w:marTop w:val="0"/>
      <w:marBottom w:val="0"/>
      <w:divBdr>
        <w:top w:val="none" w:sz="0" w:space="0" w:color="auto"/>
        <w:left w:val="none" w:sz="0" w:space="0" w:color="auto"/>
        <w:bottom w:val="none" w:sz="0" w:space="0" w:color="auto"/>
        <w:right w:val="none" w:sz="0" w:space="0" w:color="auto"/>
      </w:divBdr>
    </w:div>
    <w:div w:id="423189210">
      <w:bodyDiv w:val="1"/>
      <w:marLeft w:val="0"/>
      <w:marRight w:val="0"/>
      <w:marTop w:val="0"/>
      <w:marBottom w:val="0"/>
      <w:divBdr>
        <w:top w:val="none" w:sz="0" w:space="0" w:color="auto"/>
        <w:left w:val="none" w:sz="0" w:space="0" w:color="auto"/>
        <w:bottom w:val="none" w:sz="0" w:space="0" w:color="auto"/>
        <w:right w:val="none" w:sz="0" w:space="0" w:color="auto"/>
      </w:divBdr>
    </w:div>
    <w:div w:id="471141077">
      <w:bodyDiv w:val="1"/>
      <w:marLeft w:val="0"/>
      <w:marRight w:val="0"/>
      <w:marTop w:val="0"/>
      <w:marBottom w:val="0"/>
      <w:divBdr>
        <w:top w:val="none" w:sz="0" w:space="0" w:color="auto"/>
        <w:left w:val="none" w:sz="0" w:space="0" w:color="auto"/>
        <w:bottom w:val="none" w:sz="0" w:space="0" w:color="auto"/>
        <w:right w:val="none" w:sz="0" w:space="0" w:color="auto"/>
      </w:divBdr>
    </w:div>
    <w:div w:id="484277720">
      <w:bodyDiv w:val="1"/>
      <w:marLeft w:val="0"/>
      <w:marRight w:val="0"/>
      <w:marTop w:val="0"/>
      <w:marBottom w:val="0"/>
      <w:divBdr>
        <w:top w:val="none" w:sz="0" w:space="0" w:color="auto"/>
        <w:left w:val="none" w:sz="0" w:space="0" w:color="auto"/>
        <w:bottom w:val="none" w:sz="0" w:space="0" w:color="auto"/>
        <w:right w:val="none" w:sz="0" w:space="0" w:color="auto"/>
      </w:divBdr>
    </w:div>
    <w:div w:id="506293000">
      <w:bodyDiv w:val="1"/>
      <w:marLeft w:val="0"/>
      <w:marRight w:val="0"/>
      <w:marTop w:val="0"/>
      <w:marBottom w:val="0"/>
      <w:divBdr>
        <w:top w:val="none" w:sz="0" w:space="0" w:color="auto"/>
        <w:left w:val="none" w:sz="0" w:space="0" w:color="auto"/>
        <w:bottom w:val="none" w:sz="0" w:space="0" w:color="auto"/>
        <w:right w:val="none" w:sz="0" w:space="0" w:color="auto"/>
      </w:divBdr>
    </w:div>
    <w:div w:id="685329747">
      <w:bodyDiv w:val="1"/>
      <w:marLeft w:val="0"/>
      <w:marRight w:val="0"/>
      <w:marTop w:val="0"/>
      <w:marBottom w:val="0"/>
      <w:divBdr>
        <w:top w:val="none" w:sz="0" w:space="0" w:color="auto"/>
        <w:left w:val="none" w:sz="0" w:space="0" w:color="auto"/>
        <w:bottom w:val="none" w:sz="0" w:space="0" w:color="auto"/>
        <w:right w:val="none" w:sz="0" w:space="0" w:color="auto"/>
      </w:divBdr>
    </w:div>
    <w:div w:id="710157146">
      <w:bodyDiv w:val="1"/>
      <w:marLeft w:val="0"/>
      <w:marRight w:val="0"/>
      <w:marTop w:val="0"/>
      <w:marBottom w:val="0"/>
      <w:divBdr>
        <w:top w:val="none" w:sz="0" w:space="0" w:color="auto"/>
        <w:left w:val="none" w:sz="0" w:space="0" w:color="auto"/>
        <w:bottom w:val="none" w:sz="0" w:space="0" w:color="auto"/>
        <w:right w:val="none" w:sz="0" w:space="0" w:color="auto"/>
      </w:divBdr>
    </w:div>
    <w:div w:id="739135956">
      <w:bodyDiv w:val="1"/>
      <w:marLeft w:val="0"/>
      <w:marRight w:val="0"/>
      <w:marTop w:val="0"/>
      <w:marBottom w:val="0"/>
      <w:divBdr>
        <w:top w:val="none" w:sz="0" w:space="0" w:color="auto"/>
        <w:left w:val="none" w:sz="0" w:space="0" w:color="auto"/>
        <w:bottom w:val="none" w:sz="0" w:space="0" w:color="auto"/>
        <w:right w:val="none" w:sz="0" w:space="0" w:color="auto"/>
      </w:divBdr>
    </w:div>
    <w:div w:id="884172331">
      <w:bodyDiv w:val="1"/>
      <w:marLeft w:val="0"/>
      <w:marRight w:val="0"/>
      <w:marTop w:val="0"/>
      <w:marBottom w:val="0"/>
      <w:divBdr>
        <w:top w:val="none" w:sz="0" w:space="0" w:color="auto"/>
        <w:left w:val="none" w:sz="0" w:space="0" w:color="auto"/>
        <w:bottom w:val="none" w:sz="0" w:space="0" w:color="auto"/>
        <w:right w:val="none" w:sz="0" w:space="0" w:color="auto"/>
      </w:divBdr>
    </w:div>
    <w:div w:id="912812266">
      <w:bodyDiv w:val="1"/>
      <w:marLeft w:val="0"/>
      <w:marRight w:val="0"/>
      <w:marTop w:val="0"/>
      <w:marBottom w:val="0"/>
      <w:divBdr>
        <w:top w:val="none" w:sz="0" w:space="0" w:color="auto"/>
        <w:left w:val="none" w:sz="0" w:space="0" w:color="auto"/>
        <w:bottom w:val="none" w:sz="0" w:space="0" w:color="auto"/>
        <w:right w:val="none" w:sz="0" w:space="0" w:color="auto"/>
      </w:divBdr>
    </w:div>
    <w:div w:id="988169180">
      <w:bodyDiv w:val="1"/>
      <w:marLeft w:val="0"/>
      <w:marRight w:val="0"/>
      <w:marTop w:val="0"/>
      <w:marBottom w:val="0"/>
      <w:divBdr>
        <w:top w:val="none" w:sz="0" w:space="0" w:color="auto"/>
        <w:left w:val="none" w:sz="0" w:space="0" w:color="auto"/>
        <w:bottom w:val="none" w:sz="0" w:space="0" w:color="auto"/>
        <w:right w:val="none" w:sz="0" w:space="0" w:color="auto"/>
      </w:divBdr>
    </w:div>
    <w:div w:id="1003818887">
      <w:bodyDiv w:val="1"/>
      <w:marLeft w:val="0"/>
      <w:marRight w:val="0"/>
      <w:marTop w:val="0"/>
      <w:marBottom w:val="0"/>
      <w:divBdr>
        <w:top w:val="none" w:sz="0" w:space="0" w:color="auto"/>
        <w:left w:val="none" w:sz="0" w:space="0" w:color="auto"/>
        <w:bottom w:val="none" w:sz="0" w:space="0" w:color="auto"/>
        <w:right w:val="none" w:sz="0" w:space="0" w:color="auto"/>
      </w:divBdr>
    </w:div>
    <w:div w:id="1019963926">
      <w:bodyDiv w:val="1"/>
      <w:marLeft w:val="0"/>
      <w:marRight w:val="0"/>
      <w:marTop w:val="0"/>
      <w:marBottom w:val="0"/>
      <w:divBdr>
        <w:top w:val="none" w:sz="0" w:space="0" w:color="auto"/>
        <w:left w:val="none" w:sz="0" w:space="0" w:color="auto"/>
        <w:bottom w:val="none" w:sz="0" w:space="0" w:color="auto"/>
        <w:right w:val="none" w:sz="0" w:space="0" w:color="auto"/>
      </w:divBdr>
    </w:div>
    <w:div w:id="1053775463">
      <w:bodyDiv w:val="1"/>
      <w:marLeft w:val="0"/>
      <w:marRight w:val="0"/>
      <w:marTop w:val="0"/>
      <w:marBottom w:val="0"/>
      <w:divBdr>
        <w:top w:val="none" w:sz="0" w:space="0" w:color="auto"/>
        <w:left w:val="none" w:sz="0" w:space="0" w:color="auto"/>
        <w:bottom w:val="none" w:sz="0" w:space="0" w:color="auto"/>
        <w:right w:val="none" w:sz="0" w:space="0" w:color="auto"/>
      </w:divBdr>
    </w:div>
    <w:div w:id="1056322581">
      <w:bodyDiv w:val="1"/>
      <w:marLeft w:val="0"/>
      <w:marRight w:val="0"/>
      <w:marTop w:val="0"/>
      <w:marBottom w:val="0"/>
      <w:divBdr>
        <w:top w:val="none" w:sz="0" w:space="0" w:color="auto"/>
        <w:left w:val="none" w:sz="0" w:space="0" w:color="auto"/>
        <w:bottom w:val="none" w:sz="0" w:space="0" w:color="auto"/>
        <w:right w:val="none" w:sz="0" w:space="0" w:color="auto"/>
      </w:divBdr>
    </w:div>
    <w:div w:id="1125925587">
      <w:bodyDiv w:val="1"/>
      <w:marLeft w:val="0"/>
      <w:marRight w:val="0"/>
      <w:marTop w:val="0"/>
      <w:marBottom w:val="0"/>
      <w:divBdr>
        <w:top w:val="none" w:sz="0" w:space="0" w:color="auto"/>
        <w:left w:val="none" w:sz="0" w:space="0" w:color="auto"/>
        <w:bottom w:val="none" w:sz="0" w:space="0" w:color="auto"/>
        <w:right w:val="none" w:sz="0" w:space="0" w:color="auto"/>
      </w:divBdr>
    </w:div>
    <w:div w:id="1140609332">
      <w:bodyDiv w:val="1"/>
      <w:marLeft w:val="0"/>
      <w:marRight w:val="0"/>
      <w:marTop w:val="0"/>
      <w:marBottom w:val="0"/>
      <w:divBdr>
        <w:top w:val="none" w:sz="0" w:space="0" w:color="auto"/>
        <w:left w:val="none" w:sz="0" w:space="0" w:color="auto"/>
        <w:bottom w:val="none" w:sz="0" w:space="0" w:color="auto"/>
        <w:right w:val="none" w:sz="0" w:space="0" w:color="auto"/>
      </w:divBdr>
    </w:div>
    <w:div w:id="1150563772">
      <w:bodyDiv w:val="1"/>
      <w:marLeft w:val="0"/>
      <w:marRight w:val="0"/>
      <w:marTop w:val="0"/>
      <w:marBottom w:val="0"/>
      <w:divBdr>
        <w:top w:val="none" w:sz="0" w:space="0" w:color="auto"/>
        <w:left w:val="none" w:sz="0" w:space="0" w:color="auto"/>
        <w:bottom w:val="none" w:sz="0" w:space="0" w:color="auto"/>
        <w:right w:val="none" w:sz="0" w:space="0" w:color="auto"/>
      </w:divBdr>
    </w:div>
    <w:div w:id="1201478256">
      <w:bodyDiv w:val="1"/>
      <w:marLeft w:val="0"/>
      <w:marRight w:val="0"/>
      <w:marTop w:val="0"/>
      <w:marBottom w:val="0"/>
      <w:divBdr>
        <w:top w:val="none" w:sz="0" w:space="0" w:color="auto"/>
        <w:left w:val="none" w:sz="0" w:space="0" w:color="auto"/>
        <w:bottom w:val="none" w:sz="0" w:space="0" w:color="auto"/>
        <w:right w:val="none" w:sz="0" w:space="0" w:color="auto"/>
      </w:divBdr>
    </w:div>
    <w:div w:id="1271474014">
      <w:bodyDiv w:val="1"/>
      <w:marLeft w:val="0"/>
      <w:marRight w:val="0"/>
      <w:marTop w:val="0"/>
      <w:marBottom w:val="0"/>
      <w:divBdr>
        <w:top w:val="none" w:sz="0" w:space="0" w:color="auto"/>
        <w:left w:val="none" w:sz="0" w:space="0" w:color="auto"/>
        <w:bottom w:val="none" w:sz="0" w:space="0" w:color="auto"/>
        <w:right w:val="none" w:sz="0" w:space="0" w:color="auto"/>
      </w:divBdr>
    </w:div>
    <w:div w:id="1290478599">
      <w:bodyDiv w:val="1"/>
      <w:marLeft w:val="0"/>
      <w:marRight w:val="0"/>
      <w:marTop w:val="0"/>
      <w:marBottom w:val="0"/>
      <w:divBdr>
        <w:top w:val="none" w:sz="0" w:space="0" w:color="auto"/>
        <w:left w:val="none" w:sz="0" w:space="0" w:color="auto"/>
        <w:bottom w:val="none" w:sz="0" w:space="0" w:color="auto"/>
        <w:right w:val="none" w:sz="0" w:space="0" w:color="auto"/>
      </w:divBdr>
    </w:div>
    <w:div w:id="1296377296">
      <w:bodyDiv w:val="1"/>
      <w:marLeft w:val="0"/>
      <w:marRight w:val="0"/>
      <w:marTop w:val="0"/>
      <w:marBottom w:val="0"/>
      <w:divBdr>
        <w:top w:val="none" w:sz="0" w:space="0" w:color="auto"/>
        <w:left w:val="none" w:sz="0" w:space="0" w:color="auto"/>
        <w:bottom w:val="none" w:sz="0" w:space="0" w:color="auto"/>
        <w:right w:val="none" w:sz="0" w:space="0" w:color="auto"/>
      </w:divBdr>
    </w:div>
    <w:div w:id="1351223705">
      <w:bodyDiv w:val="1"/>
      <w:marLeft w:val="0"/>
      <w:marRight w:val="0"/>
      <w:marTop w:val="0"/>
      <w:marBottom w:val="0"/>
      <w:divBdr>
        <w:top w:val="none" w:sz="0" w:space="0" w:color="auto"/>
        <w:left w:val="none" w:sz="0" w:space="0" w:color="auto"/>
        <w:bottom w:val="none" w:sz="0" w:space="0" w:color="auto"/>
        <w:right w:val="none" w:sz="0" w:space="0" w:color="auto"/>
      </w:divBdr>
    </w:div>
    <w:div w:id="1438403537">
      <w:bodyDiv w:val="1"/>
      <w:marLeft w:val="0"/>
      <w:marRight w:val="0"/>
      <w:marTop w:val="0"/>
      <w:marBottom w:val="0"/>
      <w:divBdr>
        <w:top w:val="none" w:sz="0" w:space="0" w:color="auto"/>
        <w:left w:val="none" w:sz="0" w:space="0" w:color="auto"/>
        <w:bottom w:val="none" w:sz="0" w:space="0" w:color="auto"/>
        <w:right w:val="none" w:sz="0" w:space="0" w:color="auto"/>
      </w:divBdr>
    </w:div>
    <w:div w:id="1523014486">
      <w:bodyDiv w:val="1"/>
      <w:marLeft w:val="0"/>
      <w:marRight w:val="0"/>
      <w:marTop w:val="0"/>
      <w:marBottom w:val="0"/>
      <w:divBdr>
        <w:top w:val="none" w:sz="0" w:space="0" w:color="auto"/>
        <w:left w:val="none" w:sz="0" w:space="0" w:color="auto"/>
        <w:bottom w:val="none" w:sz="0" w:space="0" w:color="auto"/>
        <w:right w:val="none" w:sz="0" w:space="0" w:color="auto"/>
      </w:divBdr>
    </w:div>
    <w:div w:id="1591967024">
      <w:bodyDiv w:val="1"/>
      <w:marLeft w:val="0"/>
      <w:marRight w:val="0"/>
      <w:marTop w:val="0"/>
      <w:marBottom w:val="0"/>
      <w:divBdr>
        <w:top w:val="none" w:sz="0" w:space="0" w:color="auto"/>
        <w:left w:val="none" w:sz="0" w:space="0" w:color="auto"/>
        <w:bottom w:val="none" w:sz="0" w:space="0" w:color="auto"/>
        <w:right w:val="none" w:sz="0" w:space="0" w:color="auto"/>
      </w:divBdr>
    </w:div>
    <w:div w:id="1597326561">
      <w:bodyDiv w:val="1"/>
      <w:marLeft w:val="0"/>
      <w:marRight w:val="0"/>
      <w:marTop w:val="0"/>
      <w:marBottom w:val="0"/>
      <w:divBdr>
        <w:top w:val="none" w:sz="0" w:space="0" w:color="auto"/>
        <w:left w:val="none" w:sz="0" w:space="0" w:color="auto"/>
        <w:bottom w:val="none" w:sz="0" w:space="0" w:color="auto"/>
        <w:right w:val="none" w:sz="0" w:space="0" w:color="auto"/>
      </w:divBdr>
    </w:div>
    <w:div w:id="1600408766">
      <w:bodyDiv w:val="1"/>
      <w:marLeft w:val="0"/>
      <w:marRight w:val="0"/>
      <w:marTop w:val="0"/>
      <w:marBottom w:val="0"/>
      <w:divBdr>
        <w:top w:val="none" w:sz="0" w:space="0" w:color="auto"/>
        <w:left w:val="none" w:sz="0" w:space="0" w:color="auto"/>
        <w:bottom w:val="none" w:sz="0" w:space="0" w:color="auto"/>
        <w:right w:val="none" w:sz="0" w:space="0" w:color="auto"/>
      </w:divBdr>
    </w:div>
    <w:div w:id="1638802857">
      <w:bodyDiv w:val="1"/>
      <w:marLeft w:val="0"/>
      <w:marRight w:val="0"/>
      <w:marTop w:val="0"/>
      <w:marBottom w:val="0"/>
      <w:divBdr>
        <w:top w:val="none" w:sz="0" w:space="0" w:color="auto"/>
        <w:left w:val="none" w:sz="0" w:space="0" w:color="auto"/>
        <w:bottom w:val="none" w:sz="0" w:space="0" w:color="auto"/>
        <w:right w:val="none" w:sz="0" w:space="0" w:color="auto"/>
      </w:divBdr>
    </w:div>
    <w:div w:id="1667705591">
      <w:bodyDiv w:val="1"/>
      <w:marLeft w:val="0"/>
      <w:marRight w:val="0"/>
      <w:marTop w:val="0"/>
      <w:marBottom w:val="0"/>
      <w:divBdr>
        <w:top w:val="none" w:sz="0" w:space="0" w:color="auto"/>
        <w:left w:val="none" w:sz="0" w:space="0" w:color="auto"/>
        <w:bottom w:val="none" w:sz="0" w:space="0" w:color="auto"/>
        <w:right w:val="none" w:sz="0" w:space="0" w:color="auto"/>
      </w:divBdr>
    </w:div>
    <w:div w:id="1774208486">
      <w:bodyDiv w:val="1"/>
      <w:marLeft w:val="0"/>
      <w:marRight w:val="0"/>
      <w:marTop w:val="0"/>
      <w:marBottom w:val="0"/>
      <w:divBdr>
        <w:top w:val="none" w:sz="0" w:space="0" w:color="auto"/>
        <w:left w:val="none" w:sz="0" w:space="0" w:color="auto"/>
        <w:bottom w:val="none" w:sz="0" w:space="0" w:color="auto"/>
        <w:right w:val="none" w:sz="0" w:space="0" w:color="auto"/>
      </w:divBdr>
    </w:div>
    <w:div w:id="1850363851">
      <w:bodyDiv w:val="1"/>
      <w:marLeft w:val="0"/>
      <w:marRight w:val="0"/>
      <w:marTop w:val="0"/>
      <w:marBottom w:val="0"/>
      <w:divBdr>
        <w:top w:val="none" w:sz="0" w:space="0" w:color="auto"/>
        <w:left w:val="none" w:sz="0" w:space="0" w:color="auto"/>
        <w:bottom w:val="none" w:sz="0" w:space="0" w:color="auto"/>
        <w:right w:val="none" w:sz="0" w:space="0" w:color="auto"/>
      </w:divBdr>
    </w:div>
    <w:div w:id="1892033615">
      <w:bodyDiv w:val="1"/>
      <w:marLeft w:val="0"/>
      <w:marRight w:val="0"/>
      <w:marTop w:val="0"/>
      <w:marBottom w:val="0"/>
      <w:divBdr>
        <w:top w:val="none" w:sz="0" w:space="0" w:color="auto"/>
        <w:left w:val="none" w:sz="0" w:space="0" w:color="auto"/>
        <w:bottom w:val="none" w:sz="0" w:space="0" w:color="auto"/>
        <w:right w:val="none" w:sz="0" w:space="0" w:color="auto"/>
      </w:divBdr>
    </w:div>
    <w:div w:id="1999310732">
      <w:bodyDiv w:val="1"/>
      <w:marLeft w:val="0"/>
      <w:marRight w:val="0"/>
      <w:marTop w:val="0"/>
      <w:marBottom w:val="0"/>
      <w:divBdr>
        <w:top w:val="none" w:sz="0" w:space="0" w:color="auto"/>
        <w:left w:val="none" w:sz="0" w:space="0" w:color="auto"/>
        <w:bottom w:val="none" w:sz="0" w:space="0" w:color="auto"/>
        <w:right w:val="none" w:sz="0" w:space="0" w:color="auto"/>
      </w:divBdr>
    </w:div>
    <w:div w:id="2055735166">
      <w:bodyDiv w:val="1"/>
      <w:marLeft w:val="0"/>
      <w:marRight w:val="0"/>
      <w:marTop w:val="0"/>
      <w:marBottom w:val="0"/>
      <w:divBdr>
        <w:top w:val="none" w:sz="0" w:space="0" w:color="auto"/>
        <w:left w:val="none" w:sz="0" w:space="0" w:color="auto"/>
        <w:bottom w:val="none" w:sz="0" w:space="0" w:color="auto"/>
        <w:right w:val="none" w:sz="0" w:space="0" w:color="auto"/>
      </w:divBdr>
    </w:div>
    <w:div w:id="21247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WIPO\WIP\WIPO%20English%20TEMPLATE%202017%2012%2011.dotm" TargetMode="External"/></Relationships>
</file>

<file path=word/theme/theme1.xml><?xml version="1.0" encoding="utf-8"?>
<a:theme xmlns:a="http://schemas.openxmlformats.org/drawingml/2006/main" name="Office Theme">
  <a:themeElements>
    <a:clrScheme name="WIPONew">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Report</b:SourceType>
    <b:Guid>{C7415682-FB53-4546-9B08-6A355DC2DF61}</b:Guid>
    <b:RefOrder>1</b:RefOrder>
  </b:Source>
</b:Sources>
</file>

<file path=customXml/itemProps1.xml><?xml version="1.0" encoding="utf-8"?>
<ds:datastoreItem xmlns:ds="http://schemas.openxmlformats.org/officeDocument/2006/customXml" ds:itemID="{E23D37F2-89D0-4FDC-855F-A51BF228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English TEMPLATE 2017 12 11</Template>
  <TotalTime>15</TotalTime>
  <Pages>12</Pages>
  <Words>5272</Words>
  <Characters>28403</Characters>
  <Application>Microsoft Office Word</Application>
  <DocSecurity>0</DocSecurity>
  <Lines>1446</Lines>
  <Paragraphs>840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FOR OFFICIAL USE ONLY</cp:keywords>
  <dc:description/>
  <cp:lastModifiedBy>HÄFLIGER Patience</cp:lastModifiedBy>
  <cp:revision>8</cp:revision>
  <cp:lastPrinted>2019-07-02T07:35:00Z</cp:lastPrinted>
  <dcterms:created xsi:type="dcterms:W3CDTF">2019-10-09T07:06:00Z</dcterms:created>
  <dcterms:modified xsi:type="dcterms:W3CDTF">2019-10-09T08:08:00Z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d987690c-54af-444c-87df-ab46b51290c2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