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E02B4" w:rsidRDefault="00DB0349" w:rsidP="00DC5E6D">
      <w:pPr>
        <w:spacing w:after="120"/>
        <w:jc w:val="right"/>
        <w:rPr>
          <w:lang w:val="fr-FR"/>
        </w:rPr>
      </w:pPr>
      <w:bookmarkStart w:id="0" w:name="_GoBack"/>
      <w:bookmarkEnd w:id="0"/>
      <w:r w:rsidRPr="00CE02B4">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E02B4">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29EED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C22CE2" w:rsidRPr="00CE02B4" w:rsidRDefault="00940092" w:rsidP="00DB0349">
      <w:pPr>
        <w:jc w:val="right"/>
        <w:rPr>
          <w:rFonts w:ascii="Arial Black" w:hAnsi="Arial Black"/>
          <w:caps/>
          <w:sz w:val="15"/>
          <w:szCs w:val="15"/>
          <w:lang w:val="fr-FR"/>
        </w:rPr>
      </w:pPr>
      <w:r w:rsidRPr="00CE02B4">
        <w:rPr>
          <w:rFonts w:ascii="Arial Black" w:hAnsi="Arial Black"/>
          <w:caps/>
          <w:sz w:val="15"/>
          <w:szCs w:val="15"/>
          <w:lang w:val="fr-FR"/>
        </w:rPr>
        <w:t>A/62/</w:t>
      </w:r>
      <w:bookmarkStart w:id="1" w:name="Code"/>
      <w:bookmarkEnd w:id="1"/>
      <w:r w:rsidR="00FA79DB" w:rsidRPr="00CE02B4">
        <w:rPr>
          <w:rFonts w:ascii="Arial Black" w:hAnsi="Arial Black"/>
          <w:caps/>
          <w:sz w:val="15"/>
          <w:szCs w:val="15"/>
          <w:lang w:val="fr-FR"/>
        </w:rPr>
        <w:t>4</w:t>
      </w:r>
      <w:r w:rsidR="00645B6F">
        <w:rPr>
          <w:rFonts w:ascii="Arial Black" w:hAnsi="Arial Black"/>
          <w:caps/>
          <w:sz w:val="15"/>
          <w:szCs w:val="15"/>
          <w:lang w:val="fr-FR"/>
        </w:rPr>
        <w:t> Rev.</w:t>
      </w:r>
    </w:p>
    <w:p w:rsidR="008B2CC1" w:rsidRPr="00CE02B4" w:rsidRDefault="00DB0349" w:rsidP="00DB0349">
      <w:pPr>
        <w:jc w:val="right"/>
        <w:rPr>
          <w:rFonts w:ascii="Arial Black" w:hAnsi="Arial Black"/>
          <w:caps/>
          <w:sz w:val="15"/>
          <w:szCs w:val="15"/>
          <w:lang w:val="fr-FR"/>
        </w:rPr>
      </w:pPr>
      <w:r w:rsidRPr="00CE02B4">
        <w:rPr>
          <w:rFonts w:ascii="Arial Black" w:hAnsi="Arial Black"/>
          <w:caps/>
          <w:sz w:val="15"/>
          <w:szCs w:val="15"/>
          <w:lang w:val="fr-FR"/>
        </w:rPr>
        <w:t>Original</w:t>
      </w:r>
      <w:r w:rsidR="00C22CE2" w:rsidRPr="00CE02B4">
        <w:rPr>
          <w:rFonts w:ascii="Arial Black" w:hAnsi="Arial Black"/>
          <w:caps/>
          <w:sz w:val="15"/>
          <w:szCs w:val="15"/>
          <w:lang w:val="fr-FR"/>
        </w:rPr>
        <w:t> :</w:t>
      </w:r>
      <w:r w:rsidRPr="00CE02B4">
        <w:rPr>
          <w:rFonts w:ascii="Arial Black" w:hAnsi="Arial Black"/>
          <w:caps/>
          <w:sz w:val="15"/>
          <w:szCs w:val="15"/>
          <w:lang w:val="fr-FR"/>
        </w:rPr>
        <w:t xml:space="preserve"> </w:t>
      </w:r>
      <w:bookmarkStart w:id="2" w:name="Original"/>
      <w:r w:rsidR="00FA79DB" w:rsidRPr="00CE02B4">
        <w:rPr>
          <w:rFonts w:ascii="Arial Black" w:hAnsi="Arial Black"/>
          <w:caps/>
          <w:sz w:val="15"/>
          <w:szCs w:val="15"/>
          <w:lang w:val="fr-FR"/>
        </w:rPr>
        <w:t>anglais</w:t>
      </w:r>
    </w:p>
    <w:bookmarkEnd w:id="2"/>
    <w:p w:rsidR="008B2CC1" w:rsidRPr="00CE02B4" w:rsidRDefault="00DB0349" w:rsidP="00DB0349">
      <w:pPr>
        <w:spacing w:after="1200"/>
        <w:jc w:val="right"/>
        <w:rPr>
          <w:rFonts w:ascii="Arial Black" w:hAnsi="Arial Black"/>
          <w:caps/>
          <w:sz w:val="15"/>
          <w:szCs w:val="15"/>
          <w:lang w:val="fr-FR"/>
        </w:rPr>
      </w:pPr>
      <w:r w:rsidRPr="00CE02B4">
        <w:rPr>
          <w:rFonts w:ascii="Arial Black" w:hAnsi="Arial Black"/>
          <w:caps/>
          <w:sz w:val="15"/>
          <w:szCs w:val="15"/>
          <w:lang w:val="fr-FR"/>
        </w:rPr>
        <w:t>date</w:t>
      </w:r>
      <w:r w:rsidR="00C22CE2" w:rsidRPr="00CE02B4">
        <w:rPr>
          <w:rFonts w:ascii="Arial Black" w:hAnsi="Arial Black"/>
          <w:caps/>
          <w:sz w:val="15"/>
          <w:szCs w:val="15"/>
          <w:lang w:val="fr-FR"/>
        </w:rPr>
        <w:t> :</w:t>
      </w:r>
      <w:r w:rsidRPr="00CE02B4">
        <w:rPr>
          <w:rFonts w:ascii="Arial Black" w:hAnsi="Arial Black"/>
          <w:caps/>
          <w:sz w:val="15"/>
          <w:szCs w:val="15"/>
          <w:lang w:val="fr-FR"/>
        </w:rPr>
        <w:t xml:space="preserve"> </w:t>
      </w:r>
      <w:bookmarkStart w:id="3" w:name="Date"/>
      <w:r w:rsidR="00C1494A">
        <w:rPr>
          <w:rFonts w:ascii="Arial Black" w:hAnsi="Arial Black"/>
          <w:caps/>
          <w:sz w:val="15"/>
          <w:szCs w:val="15"/>
          <w:lang w:val="fr-FR"/>
        </w:rPr>
        <w:t>20</w:t>
      </w:r>
      <w:r w:rsidR="00C22CE2" w:rsidRPr="00CE02B4">
        <w:rPr>
          <w:rFonts w:ascii="Arial Black" w:hAnsi="Arial Black"/>
          <w:caps/>
          <w:sz w:val="15"/>
          <w:szCs w:val="15"/>
          <w:lang w:val="fr-FR"/>
        </w:rPr>
        <w:t> </w:t>
      </w:r>
      <w:r w:rsidR="00C1494A">
        <w:rPr>
          <w:rFonts w:ascii="Arial Black" w:hAnsi="Arial Black"/>
          <w:caps/>
          <w:sz w:val="15"/>
          <w:szCs w:val="15"/>
          <w:lang w:val="fr-FR"/>
        </w:rPr>
        <w:t>septembre</w:t>
      </w:r>
      <w:r w:rsidR="00C22CE2" w:rsidRPr="00CE02B4">
        <w:rPr>
          <w:rFonts w:ascii="Arial Black" w:hAnsi="Arial Black"/>
          <w:caps/>
          <w:sz w:val="15"/>
          <w:szCs w:val="15"/>
          <w:lang w:val="fr-FR"/>
        </w:rPr>
        <w:t> 20</w:t>
      </w:r>
      <w:r w:rsidR="00FA79DB" w:rsidRPr="00CE02B4">
        <w:rPr>
          <w:rFonts w:ascii="Arial Black" w:hAnsi="Arial Black"/>
          <w:caps/>
          <w:sz w:val="15"/>
          <w:szCs w:val="15"/>
          <w:lang w:val="fr-FR"/>
        </w:rPr>
        <w:t>21</w:t>
      </w:r>
    </w:p>
    <w:bookmarkEnd w:id="3"/>
    <w:p w:rsidR="003845C1" w:rsidRPr="00CE02B4" w:rsidRDefault="00940092" w:rsidP="00CE02B4">
      <w:pPr>
        <w:spacing w:after="600"/>
        <w:rPr>
          <w:b/>
          <w:sz w:val="28"/>
          <w:szCs w:val="28"/>
          <w:lang w:val="fr-FR"/>
        </w:rPr>
      </w:pPr>
      <w:r w:rsidRPr="00CE02B4">
        <w:rPr>
          <w:b/>
          <w:sz w:val="28"/>
          <w:szCs w:val="28"/>
          <w:lang w:val="fr-FR"/>
        </w:rPr>
        <w:t>Assemblées des États membres de l</w:t>
      </w:r>
      <w:r w:rsidR="00C22CE2" w:rsidRPr="00CE02B4">
        <w:rPr>
          <w:b/>
          <w:sz w:val="28"/>
          <w:szCs w:val="28"/>
          <w:lang w:val="fr-FR"/>
        </w:rPr>
        <w:t>’</w:t>
      </w:r>
      <w:r w:rsidRPr="00CE02B4">
        <w:rPr>
          <w:b/>
          <w:sz w:val="28"/>
          <w:szCs w:val="28"/>
          <w:lang w:val="fr-FR"/>
        </w:rPr>
        <w:t>OMPI</w:t>
      </w:r>
    </w:p>
    <w:p w:rsidR="008B2CC1" w:rsidRPr="00CE02B4" w:rsidRDefault="00940092" w:rsidP="008B2CC1">
      <w:pPr>
        <w:rPr>
          <w:b/>
          <w:sz w:val="24"/>
          <w:szCs w:val="24"/>
          <w:lang w:val="fr-FR"/>
        </w:rPr>
      </w:pPr>
      <w:r w:rsidRPr="00CE02B4">
        <w:rPr>
          <w:b/>
          <w:sz w:val="24"/>
          <w:lang w:val="fr-FR"/>
        </w:rPr>
        <w:t>Soixante</w:t>
      </w:r>
      <w:r w:rsidR="00CE02B4" w:rsidRPr="00CE02B4">
        <w:rPr>
          <w:b/>
          <w:sz w:val="24"/>
          <w:lang w:val="fr-FR"/>
        </w:rPr>
        <w:noBreakHyphen/>
      </w:r>
      <w:r w:rsidRPr="00CE02B4">
        <w:rPr>
          <w:b/>
          <w:sz w:val="24"/>
          <w:lang w:val="fr-FR"/>
        </w:rPr>
        <w:t>deuxième série de réunions</w:t>
      </w:r>
    </w:p>
    <w:p w:rsidR="008B2CC1" w:rsidRPr="00CE02B4" w:rsidRDefault="00940092" w:rsidP="00DB0349">
      <w:pPr>
        <w:spacing w:after="720"/>
        <w:rPr>
          <w:b/>
          <w:sz w:val="24"/>
          <w:szCs w:val="24"/>
          <w:lang w:val="fr-FR"/>
        </w:rPr>
      </w:pPr>
      <w:r w:rsidRPr="00CE02B4">
        <w:rPr>
          <w:b/>
          <w:sz w:val="24"/>
          <w:lang w:val="fr-FR"/>
        </w:rPr>
        <w:t xml:space="preserve">Genève, 4 – </w:t>
      </w:r>
      <w:r w:rsidR="00C22CE2" w:rsidRPr="00CE02B4">
        <w:rPr>
          <w:b/>
          <w:sz w:val="24"/>
          <w:lang w:val="fr-FR"/>
        </w:rPr>
        <w:t>8 octobre 20</w:t>
      </w:r>
      <w:r w:rsidRPr="00CE02B4">
        <w:rPr>
          <w:b/>
          <w:sz w:val="24"/>
          <w:lang w:val="fr-FR"/>
        </w:rPr>
        <w:t>21</w:t>
      </w:r>
    </w:p>
    <w:p w:rsidR="008B2CC1" w:rsidRPr="00CE02B4" w:rsidRDefault="00CE02B4" w:rsidP="00CE02B4">
      <w:pPr>
        <w:spacing w:after="360"/>
        <w:rPr>
          <w:caps/>
          <w:sz w:val="24"/>
          <w:lang w:val="fr-FR"/>
        </w:rPr>
      </w:pPr>
      <w:bookmarkStart w:id="4" w:name="TitleOfDoc"/>
      <w:r w:rsidRPr="00CE02B4">
        <w:rPr>
          <w:caps/>
          <w:sz w:val="24"/>
          <w:lang w:val="fr-FR"/>
        </w:rPr>
        <w:t>Mise à jour de la liste des organisations non gouvernementales admises en qualité d’observatrices à l’OMPI</w:t>
      </w:r>
    </w:p>
    <w:p w:rsidR="00525B63" w:rsidRPr="00CE02B4" w:rsidRDefault="00FA79DB" w:rsidP="00DB0349">
      <w:pPr>
        <w:spacing w:after="960"/>
        <w:rPr>
          <w:lang w:val="fr-FR"/>
        </w:rPr>
      </w:pPr>
      <w:bookmarkStart w:id="5" w:name="Prepared"/>
      <w:bookmarkEnd w:id="4"/>
      <w:r w:rsidRPr="00CE02B4">
        <w:rPr>
          <w:i/>
          <w:lang w:val="fr-FR"/>
        </w:rPr>
        <w:t>Document établi par le Secrétariat</w:t>
      </w:r>
    </w:p>
    <w:bookmarkEnd w:id="5"/>
    <w:p w:rsidR="00FA79DB" w:rsidRPr="00CE02B4" w:rsidRDefault="00CE02B4" w:rsidP="00CE02B4">
      <w:pPr>
        <w:pStyle w:val="Heading2"/>
      </w:pPr>
      <w:r w:rsidRPr="00CE02B4">
        <w:t>Introduction</w:t>
      </w:r>
    </w:p>
    <w:p w:rsidR="00FA79DB" w:rsidRPr="00CE02B4" w:rsidRDefault="00FA79DB" w:rsidP="00CE02B4">
      <w:pPr>
        <w:pStyle w:val="ONUMFS"/>
        <w:rPr>
          <w:lang w:val="fr-FR"/>
        </w:rPr>
      </w:pPr>
      <w:r w:rsidRPr="00CE02B4">
        <w:rPr>
          <w:lang w:val="fr-FR"/>
        </w:rPr>
        <w:t>À la cinquante</w:t>
      </w:r>
      <w:r w:rsidR="00CE02B4" w:rsidRPr="00CE02B4">
        <w:rPr>
          <w:lang w:val="fr-FR"/>
        </w:rPr>
        <w:noBreakHyphen/>
      </w:r>
      <w:r w:rsidRPr="00CE02B4">
        <w:rPr>
          <w:lang w:val="fr-FR"/>
        </w:rPr>
        <w:t>huitième série de réunions des assemblées des États membres de l</w:t>
      </w:r>
      <w:r w:rsidR="00C22CE2" w:rsidRPr="00CE02B4">
        <w:rPr>
          <w:lang w:val="fr-FR"/>
        </w:rPr>
        <w:t>’</w:t>
      </w:r>
      <w:r w:rsidRPr="00CE02B4">
        <w:rPr>
          <w:lang w:val="fr-FR"/>
        </w:rPr>
        <w:t>Organisation Mondiale de la Propriété Intellectuelle (OMPI) et des unions administrées par l</w:t>
      </w:r>
      <w:r w:rsidR="00C22CE2" w:rsidRPr="00CE02B4">
        <w:rPr>
          <w:lang w:val="fr-FR"/>
        </w:rPr>
        <w:t>’</w:t>
      </w:r>
      <w:r w:rsidRPr="00CE02B4">
        <w:rPr>
          <w:lang w:val="fr-FR"/>
        </w:rPr>
        <w:t>OMPI (assemblées) tenue du 2</w:t>
      </w:r>
      <w:r w:rsidR="00C22CE2" w:rsidRPr="00CE02B4">
        <w:rPr>
          <w:lang w:val="fr-FR"/>
        </w:rPr>
        <w:t>4 septembre</w:t>
      </w:r>
      <w:r w:rsidRPr="00CE02B4">
        <w:rPr>
          <w:lang w:val="fr-FR"/>
        </w:rPr>
        <w:t xml:space="preserve"> au </w:t>
      </w:r>
      <w:r w:rsidR="00C22CE2" w:rsidRPr="00CE02B4">
        <w:rPr>
          <w:lang w:val="fr-FR"/>
        </w:rPr>
        <w:t>2 octobre 20</w:t>
      </w:r>
      <w:r w:rsidRPr="00CE02B4">
        <w:rPr>
          <w:lang w:val="fr-FR"/>
        </w:rPr>
        <w:t>18, les assemblées ont accueilli favorablement l</w:t>
      </w:r>
      <w:r w:rsidR="00C22CE2" w:rsidRPr="00CE02B4">
        <w:rPr>
          <w:lang w:val="fr-FR"/>
        </w:rPr>
        <w:t>’</w:t>
      </w:r>
      <w:r w:rsidRPr="00CE02B4">
        <w:rPr>
          <w:lang w:val="fr-FR"/>
        </w:rPr>
        <w:t>approche exposée dans le document</w:t>
      </w:r>
      <w:r w:rsidR="00F717AA" w:rsidRPr="00CE02B4">
        <w:rPr>
          <w:lang w:val="fr-FR"/>
        </w:rPr>
        <w:t> </w:t>
      </w:r>
      <w:r w:rsidRPr="00CE02B4">
        <w:rPr>
          <w:lang w:val="fr-FR"/>
        </w:rPr>
        <w:t>A/58/8 intitulé “Actualisation de la liste des organisations non gouvernementales admises en qualité d</w:t>
      </w:r>
      <w:r w:rsidR="00C22CE2" w:rsidRPr="00CE02B4">
        <w:rPr>
          <w:lang w:val="fr-FR"/>
        </w:rPr>
        <w:t>’</w:t>
      </w:r>
      <w:r w:rsidRPr="00CE02B4">
        <w:rPr>
          <w:lang w:val="fr-FR"/>
        </w:rPr>
        <w:t>observatrices à l</w:t>
      </w:r>
      <w:r w:rsidR="00C22CE2" w:rsidRPr="00CE02B4">
        <w:rPr>
          <w:lang w:val="fr-FR"/>
        </w:rPr>
        <w:t>’</w:t>
      </w:r>
      <w:r w:rsidRPr="00CE02B4">
        <w:rPr>
          <w:lang w:val="fr-FR"/>
        </w:rPr>
        <w:t>OMPI”.  Ledit document contenait une analyse de l</w:t>
      </w:r>
      <w:r w:rsidR="00C22CE2" w:rsidRPr="00CE02B4">
        <w:rPr>
          <w:lang w:val="fr-FR"/>
        </w:rPr>
        <w:t>’</w:t>
      </w:r>
      <w:r w:rsidRPr="00CE02B4">
        <w:rPr>
          <w:lang w:val="fr-FR"/>
        </w:rPr>
        <w:t>augmentation du nombre d</w:t>
      </w:r>
      <w:r w:rsidR="00C22CE2" w:rsidRPr="00CE02B4">
        <w:rPr>
          <w:lang w:val="fr-FR"/>
        </w:rPr>
        <w:t>’</w:t>
      </w:r>
      <w:r w:rsidRPr="00CE02B4">
        <w:rPr>
          <w:lang w:val="fr-FR"/>
        </w:rPr>
        <w:t>organisations non gouvernementales (ONG) admises en qualité d</w:t>
      </w:r>
      <w:r w:rsidR="00C22CE2" w:rsidRPr="00CE02B4">
        <w:rPr>
          <w:lang w:val="fr-FR"/>
        </w:rPr>
        <w:t>’</w:t>
      </w:r>
      <w:r w:rsidRPr="00CE02B4">
        <w:rPr>
          <w:lang w:val="fr-FR"/>
        </w:rPr>
        <w:t>observatrices par les assemblées au cours des deux</w:t>
      </w:r>
      <w:r w:rsidR="009310C9" w:rsidRPr="00CE02B4">
        <w:rPr>
          <w:lang w:val="fr-FR"/>
        </w:rPr>
        <w:t> </w:t>
      </w:r>
      <w:r w:rsidRPr="00CE02B4">
        <w:rPr>
          <w:lang w:val="fr-FR"/>
        </w:rPr>
        <w:t>dernières décennies, ainsi que des taux de participation respectifs des observateurs aux sessions des assemblées et des comités de l</w:t>
      </w:r>
      <w:r w:rsidR="00C22CE2" w:rsidRPr="00CE02B4">
        <w:rPr>
          <w:lang w:val="fr-FR"/>
        </w:rPr>
        <w:t>’</w:t>
      </w:r>
      <w:r w:rsidRPr="00CE02B4">
        <w:rPr>
          <w:lang w:val="fr-FR"/>
        </w:rPr>
        <w:t>OMPI et présentait en outre une procédure de mise à jour de la liste</w:t>
      </w:r>
      <w:r w:rsidR="00C22CE2" w:rsidRPr="00CE02B4">
        <w:rPr>
          <w:lang w:val="fr-FR"/>
        </w:rPr>
        <w:t xml:space="preserve"> des ONG</w:t>
      </w:r>
      <w:r w:rsidRPr="00CE02B4">
        <w:rPr>
          <w:lang w:val="fr-FR"/>
        </w:rPr>
        <w:t xml:space="preserve"> dotées du statut d</w:t>
      </w:r>
      <w:r w:rsidR="00C22CE2" w:rsidRPr="00CE02B4">
        <w:rPr>
          <w:lang w:val="fr-FR"/>
        </w:rPr>
        <w:t>’</w:t>
      </w:r>
      <w:r w:rsidRPr="00CE02B4">
        <w:rPr>
          <w:lang w:val="fr-FR"/>
        </w:rPr>
        <w:t>observateur afin d</w:t>
      </w:r>
      <w:r w:rsidR="00C22CE2" w:rsidRPr="00CE02B4">
        <w:rPr>
          <w:lang w:val="fr-FR"/>
        </w:rPr>
        <w:t>’</w:t>
      </w:r>
      <w:r w:rsidRPr="00CE02B4">
        <w:rPr>
          <w:lang w:val="fr-FR"/>
        </w:rPr>
        <w:t xml:space="preserve">atténuer les difficultés liées à cette augmentation (voir les </w:t>
      </w:r>
      <w:r w:rsidR="00C22CE2" w:rsidRPr="00CE02B4">
        <w:rPr>
          <w:lang w:val="fr-FR"/>
        </w:rPr>
        <w:t>paragraphes 2</w:t>
      </w:r>
      <w:r w:rsidRPr="00CE02B4">
        <w:rPr>
          <w:lang w:val="fr-FR"/>
        </w:rPr>
        <w:t>5 et 26 des documents</w:t>
      </w:r>
      <w:r w:rsidR="00F717AA" w:rsidRPr="00CE02B4">
        <w:rPr>
          <w:lang w:val="fr-FR"/>
        </w:rPr>
        <w:t> </w:t>
      </w:r>
      <w:r w:rsidRPr="00CE02B4">
        <w:rPr>
          <w:lang w:val="fr-FR"/>
        </w:rPr>
        <w:t xml:space="preserve">A/58/8 et A/58/11).  Le Secrétariat ferait ensuite rapport aux assemblées </w:t>
      </w:r>
      <w:r w:rsidR="00817806" w:rsidRPr="00CE02B4">
        <w:rPr>
          <w:lang w:val="fr-FR"/>
        </w:rPr>
        <w:t>sur l</w:t>
      </w:r>
      <w:r w:rsidRPr="00CE02B4">
        <w:rPr>
          <w:lang w:val="fr-FR"/>
        </w:rPr>
        <w:t>es résultats de la mise à jour de la liste</w:t>
      </w:r>
      <w:r w:rsidR="00C22CE2" w:rsidRPr="00CE02B4">
        <w:rPr>
          <w:lang w:val="fr-FR"/>
        </w:rPr>
        <w:t xml:space="preserve"> des ONG</w:t>
      </w:r>
      <w:r w:rsidRPr="00CE02B4">
        <w:rPr>
          <w:lang w:val="fr-FR"/>
        </w:rPr>
        <w:t xml:space="preserve"> </w:t>
      </w:r>
      <w:r w:rsidR="00817806" w:rsidRPr="00CE02B4">
        <w:rPr>
          <w:lang w:val="fr-FR"/>
        </w:rPr>
        <w:t>ayant</w:t>
      </w:r>
      <w:r w:rsidRPr="00CE02B4">
        <w:rPr>
          <w:lang w:val="fr-FR"/>
        </w:rPr>
        <w:t xml:space="preserve"> </w:t>
      </w:r>
      <w:r w:rsidR="00D879F3" w:rsidRPr="00CE02B4">
        <w:rPr>
          <w:lang w:val="fr-FR"/>
        </w:rPr>
        <w:t>l</w:t>
      </w:r>
      <w:r w:rsidRPr="00CE02B4">
        <w:rPr>
          <w:lang w:val="fr-FR"/>
        </w:rPr>
        <w:t>e statut d</w:t>
      </w:r>
      <w:r w:rsidR="00C22CE2" w:rsidRPr="00CE02B4">
        <w:rPr>
          <w:lang w:val="fr-FR"/>
        </w:rPr>
        <w:t>’</w:t>
      </w:r>
      <w:r w:rsidRPr="00CE02B4">
        <w:rPr>
          <w:lang w:val="fr-FR"/>
        </w:rPr>
        <w:t xml:space="preserve">observateur, </w:t>
      </w:r>
      <w:r w:rsidR="00C22CE2" w:rsidRPr="00CE02B4">
        <w:rPr>
          <w:lang w:val="fr-FR"/>
        </w:rPr>
        <w:t>à savoir</w:t>
      </w:r>
      <w:r w:rsidRPr="00CE02B4">
        <w:rPr>
          <w:lang w:val="fr-FR"/>
        </w:rPr>
        <w:t xml:space="preserve"> les réponses au questionnaire, ainsi que sur toute révision </w:t>
      </w:r>
      <w:r w:rsidR="00BF155D" w:rsidRPr="00CE02B4">
        <w:rPr>
          <w:lang w:val="fr-FR"/>
        </w:rPr>
        <w:t>a</w:t>
      </w:r>
      <w:r w:rsidRPr="00CE02B4">
        <w:rPr>
          <w:lang w:val="fr-FR"/>
        </w:rPr>
        <w:t>pportée</w:t>
      </w:r>
      <w:r w:rsidR="00BF155D" w:rsidRPr="00CE02B4">
        <w:rPr>
          <w:lang w:val="fr-FR"/>
        </w:rPr>
        <w:t xml:space="preserve"> à la liste</w:t>
      </w:r>
      <w:r w:rsidRPr="00CE02B4">
        <w:rPr>
          <w:lang w:val="fr-FR"/>
        </w:rPr>
        <w:t>, ce qui est l</w:t>
      </w:r>
      <w:r w:rsidR="00C22CE2" w:rsidRPr="00CE02B4">
        <w:rPr>
          <w:lang w:val="fr-FR"/>
        </w:rPr>
        <w:t>’</w:t>
      </w:r>
      <w:r w:rsidRPr="00CE02B4">
        <w:rPr>
          <w:lang w:val="fr-FR"/>
        </w:rPr>
        <w:t>objet du présent document.</w:t>
      </w:r>
    </w:p>
    <w:p w:rsidR="00FA79DB" w:rsidRPr="00CE02B4" w:rsidRDefault="00CE02B4" w:rsidP="00CE02B4">
      <w:pPr>
        <w:pStyle w:val="Heading2"/>
      </w:pPr>
      <w:r>
        <w:t>P</w:t>
      </w:r>
      <w:r w:rsidRPr="00CE02B4">
        <w:t>rocessus de mise à jour</w:t>
      </w:r>
    </w:p>
    <w:p w:rsidR="00FA79DB" w:rsidRPr="00CE02B4" w:rsidRDefault="00FA79DB" w:rsidP="00CE02B4">
      <w:pPr>
        <w:pStyle w:val="ONUMFS"/>
        <w:rPr>
          <w:lang w:val="fr-FR"/>
        </w:rPr>
      </w:pPr>
      <w:r w:rsidRPr="00CE02B4">
        <w:rPr>
          <w:lang w:val="fr-FR"/>
        </w:rPr>
        <w:t xml:space="preserve">Sur la base de la décision susmentionnée, le Secrétariat a pris plusieurs mesures, comme indiqué au </w:t>
      </w:r>
      <w:r w:rsidR="00C22CE2" w:rsidRPr="00CE02B4">
        <w:rPr>
          <w:lang w:val="fr-FR"/>
        </w:rPr>
        <w:t>paragraphe 1</w:t>
      </w:r>
      <w:r w:rsidRPr="00CE02B4">
        <w:rPr>
          <w:lang w:val="fr-FR"/>
        </w:rPr>
        <w:t>0 du document</w:t>
      </w:r>
      <w:r w:rsidR="00F717AA" w:rsidRPr="00CE02B4">
        <w:rPr>
          <w:lang w:val="fr-FR"/>
        </w:rPr>
        <w:t> </w:t>
      </w:r>
      <w:r w:rsidRPr="00CE02B4">
        <w:rPr>
          <w:lang w:val="fr-FR"/>
        </w:rPr>
        <w:t>A/58/8, pour recenser</w:t>
      </w:r>
      <w:r w:rsidR="00C22CE2" w:rsidRPr="00CE02B4">
        <w:rPr>
          <w:lang w:val="fr-FR"/>
        </w:rPr>
        <w:t xml:space="preserve"> les ONG</w:t>
      </w:r>
      <w:r w:rsidRPr="00CE02B4">
        <w:rPr>
          <w:lang w:val="fr-FR"/>
        </w:rPr>
        <w:t xml:space="preserve"> qui n</w:t>
      </w:r>
      <w:r w:rsidR="00C22CE2" w:rsidRPr="00CE02B4">
        <w:rPr>
          <w:lang w:val="fr-FR"/>
        </w:rPr>
        <w:t>’</w:t>
      </w:r>
      <w:r w:rsidRPr="00CE02B4">
        <w:rPr>
          <w:lang w:val="fr-FR"/>
        </w:rPr>
        <w:t>existent plus ou ne souhaitent plus participer aux sessions des assemblées et des comités de l</w:t>
      </w:r>
      <w:r w:rsidR="00C22CE2" w:rsidRPr="00CE02B4">
        <w:rPr>
          <w:lang w:val="fr-FR"/>
        </w:rPr>
        <w:t>’</w:t>
      </w:r>
      <w:r w:rsidRPr="00CE02B4">
        <w:rPr>
          <w:lang w:val="fr-FR"/>
        </w:rPr>
        <w:t>OMPI.</w:t>
      </w:r>
    </w:p>
    <w:p w:rsidR="00FA79DB" w:rsidRPr="00CE02B4" w:rsidRDefault="00FA79DB" w:rsidP="007B213A">
      <w:pPr>
        <w:pStyle w:val="ONUMFS"/>
        <w:keepLines/>
        <w:rPr>
          <w:u w:val="single"/>
          <w:lang w:val="fr-FR"/>
        </w:rPr>
      </w:pPr>
      <w:r w:rsidRPr="00CE02B4">
        <w:rPr>
          <w:lang w:val="fr-FR"/>
        </w:rPr>
        <w:lastRenderedPageBreak/>
        <w:t xml:space="preserve">En </w:t>
      </w:r>
      <w:r w:rsidR="00C22CE2" w:rsidRPr="00CE02B4">
        <w:rPr>
          <w:lang w:val="fr-FR"/>
        </w:rPr>
        <w:t>mai 20</w:t>
      </w:r>
      <w:r w:rsidRPr="00CE02B4">
        <w:rPr>
          <w:lang w:val="fr-FR"/>
        </w:rPr>
        <w:t>19, le Secrétariat a diffusé une première enquête par le biais de la note C.</w:t>
      </w:r>
      <w:r w:rsidR="009310C9" w:rsidRPr="00CE02B4">
        <w:rPr>
          <w:lang w:val="fr-FR"/>
        </w:rPr>
        <w:t> </w:t>
      </w:r>
      <w:r w:rsidRPr="00CE02B4">
        <w:rPr>
          <w:lang w:val="fr-FR"/>
        </w:rPr>
        <w:t>N</w:t>
      </w:r>
      <w:r w:rsidR="00E102D3" w:rsidRPr="00CE02B4">
        <w:rPr>
          <w:lang w:val="fr-FR"/>
        </w:rPr>
        <w:t> </w:t>
      </w:r>
      <w:r w:rsidRPr="00CE02B4">
        <w:rPr>
          <w:lang w:val="fr-FR"/>
        </w:rPr>
        <w:t>3904, demandant à toutes</w:t>
      </w:r>
      <w:r w:rsidR="00C22CE2" w:rsidRPr="00CE02B4">
        <w:rPr>
          <w:lang w:val="fr-FR"/>
        </w:rPr>
        <w:t xml:space="preserve"> les ONG</w:t>
      </w:r>
      <w:r w:rsidRPr="00CE02B4">
        <w:rPr>
          <w:lang w:val="fr-FR"/>
        </w:rPr>
        <w:t xml:space="preserve"> admises en qualité </w:t>
      </w:r>
      <w:r w:rsidR="00F717AA" w:rsidRPr="00CE02B4">
        <w:rPr>
          <w:lang w:val="fr-FR"/>
        </w:rPr>
        <w:t>d’observatrices</w:t>
      </w:r>
      <w:r w:rsidRPr="00CE02B4">
        <w:rPr>
          <w:lang w:val="fr-FR"/>
        </w:rPr>
        <w:t xml:space="preserve"> à l</w:t>
      </w:r>
      <w:r w:rsidR="00C22CE2" w:rsidRPr="00CE02B4">
        <w:rPr>
          <w:lang w:val="fr-FR"/>
        </w:rPr>
        <w:t>’</w:t>
      </w:r>
      <w:r w:rsidR="001F5803" w:rsidRPr="00CE02B4">
        <w:rPr>
          <w:lang w:val="fr-FR"/>
        </w:rPr>
        <w:t>OMPI, dont la liste figurait</w:t>
      </w:r>
      <w:r w:rsidRPr="00CE02B4">
        <w:rPr>
          <w:lang w:val="fr-FR"/>
        </w:rPr>
        <w:t xml:space="preserve"> à l</w:t>
      </w:r>
      <w:r w:rsidR="00C22CE2" w:rsidRPr="00CE02B4">
        <w:rPr>
          <w:lang w:val="fr-FR"/>
        </w:rPr>
        <w:t>’</w:t>
      </w:r>
      <w:r w:rsidRPr="00CE02B4">
        <w:rPr>
          <w:lang w:val="fr-FR"/>
        </w:rPr>
        <w:t>annexe du document</w:t>
      </w:r>
      <w:r w:rsidR="00F717AA" w:rsidRPr="00CE02B4">
        <w:rPr>
          <w:lang w:val="fr-FR"/>
        </w:rPr>
        <w:t> </w:t>
      </w:r>
      <w:r w:rsidRPr="00CE02B4">
        <w:rPr>
          <w:lang w:val="fr-FR"/>
        </w:rPr>
        <w:t>A/58/INF/1Rev. mais qui n</w:t>
      </w:r>
      <w:r w:rsidR="00C22CE2" w:rsidRPr="00CE02B4">
        <w:rPr>
          <w:lang w:val="fr-FR"/>
        </w:rPr>
        <w:t>’</w:t>
      </w:r>
      <w:r w:rsidRPr="00CE02B4">
        <w:rPr>
          <w:lang w:val="fr-FR"/>
        </w:rPr>
        <w:t>avaient pas participé aux assemblées ou aux comités de l</w:t>
      </w:r>
      <w:r w:rsidR="00C22CE2" w:rsidRPr="00CE02B4">
        <w:rPr>
          <w:lang w:val="fr-FR"/>
        </w:rPr>
        <w:t>’</w:t>
      </w:r>
      <w:r w:rsidRPr="00CE02B4">
        <w:rPr>
          <w:lang w:val="fr-FR"/>
        </w:rPr>
        <w:t>OMPI</w:t>
      </w:r>
      <w:r w:rsidRPr="00CE02B4">
        <w:rPr>
          <w:rStyle w:val="FootnoteReference"/>
          <w:lang w:val="fr-FR"/>
        </w:rPr>
        <w:footnoteReference w:id="2"/>
      </w:r>
      <w:r w:rsidRPr="00CE02B4">
        <w:rPr>
          <w:lang w:val="fr-FR"/>
        </w:rPr>
        <w:t xml:space="preserve"> durant la période comprise entre 2013 et 2017, de confirmer qu</w:t>
      </w:r>
      <w:r w:rsidR="00C22CE2" w:rsidRPr="00CE02B4">
        <w:rPr>
          <w:lang w:val="fr-FR"/>
        </w:rPr>
        <w:t>’</w:t>
      </w:r>
      <w:r w:rsidRPr="00CE02B4">
        <w:rPr>
          <w:lang w:val="fr-FR"/>
        </w:rPr>
        <w:t>elles restaient intéressées par les travaux de l</w:t>
      </w:r>
      <w:r w:rsidR="00C22CE2" w:rsidRPr="00CE02B4">
        <w:rPr>
          <w:lang w:val="fr-FR"/>
        </w:rPr>
        <w:t>’</w:t>
      </w:r>
      <w:r w:rsidRPr="00CE02B4">
        <w:rPr>
          <w:lang w:val="fr-FR"/>
        </w:rPr>
        <w:t>OMPI et qu</w:t>
      </w:r>
      <w:r w:rsidR="00C22CE2" w:rsidRPr="00CE02B4">
        <w:rPr>
          <w:lang w:val="fr-FR"/>
        </w:rPr>
        <w:t>’</w:t>
      </w:r>
      <w:r w:rsidRPr="00CE02B4">
        <w:rPr>
          <w:lang w:val="fr-FR"/>
        </w:rPr>
        <w:t>elles souhaitaient conserver leur statut d</w:t>
      </w:r>
      <w:r w:rsidR="00C22CE2" w:rsidRPr="00CE02B4">
        <w:rPr>
          <w:lang w:val="fr-FR"/>
        </w:rPr>
        <w:t>’</w:t>
      </w:r>
      <w:r w:rsidRPr="00CE02B4">
        <w:rPr>
          <w:lang w:val="fr-FR"/>
        </w:rPr>
        <w:t>observateur</w:t>
      </w:r>
      <w:r w:rsidRPr="00CE02B4">
        <w:rPr>
          <w:rStyle w:val="FootnoteReference"/>
          <w:lang w:val="fr-FR"/>
        </w:rPr>
        <w:footnoteReference w:id="3"/>
      </w:r>
      <w:r w:rsidRPr="00CE02B4">
        <w:rPr>
          <w:lang w:val="fr-FR"/>
        </w:rPr>
        <w:t>.</w:t>
      </w:r>
    </w:p>
    <w:p w:rsidR="00FA79DB" w:rsidRPr="00CE02B4" w:rsidRDefault="00FA79DB" w:rsidP="00CE02B4">
      <w:pPr>
        <w:pStyle w:val="ONUMFS"/>
        <w:rPr>
          <w:lang w:val="fr-FR"/>
        </w:rPr>
      </w:pPr>
      <w:r w:rsidRPr="00CE02B4">
        <w:rPr>
          <w:lang w:val="fr-FR"/>
        </w:rPr>
        <w:t>Cette première communication a été suivie de deux</w:t>
      </w:r>
      <w:r w:rsidR="009310C9" w:rsidRPr="00CE02B4">
        <w:rPr>
          <w:lang w:val="fr-FR"/>
        </w:rPr>
        <w:t> </w:t>
      </w:r>
      <w:r w:rsidRPr="00CE02B4">
        <w:rPr>
          <w:lang w:val="fr-FR"/>
        </w:rPr>
        <w:t xml:space="preserve">rappels, </w:t>
      </w:r>
      <w:r w:rsidR="00C22CE2" w:rsidRPr="00CE02B4">
        <w:rPr>
          <w:lang w:val="fr-FR"/>
        </w:rPr>
        <w:t>à savoir</w:t>
      </w:r>
      <w:r w:rsidRPr="00CE02B4">
        <w:rPr>
          <w:lang w:val="fr-FR"/>
        </w:rPr>
        <w:t xml:space="preserve"> les notes C.</w:t>
      </w:r>
      <w:r w:rsidR="009310C9" w:rsidRPr="00CE02B4">
        <w:rPr>
          <w:lang w:val="fr-FR"/>
        </w:rPr>
        <w:t> </w:t>
      </w:r>
      <w:r w:rsidR="00E102D3" w:rsidRPr="00CE02B4">
        <w:rPr>
          <w:lang w:val="fr-FR"/>
        </w:rPr>
        <w:t>N </w:t>
      </w:r>
      <w:r w:rsidRPr="00CE02B4">
        <w:rPr>
          <w:lang w:val="fr-FR"/>
        </w:rPr>
        <w:t xml:space="preserve">3925 et 4045, envoyées respectivement en </w:t>
      </w:r>
      <w:r w:rsidR="00C22CE2" w:rsidRPr="00CE02B4">
        <w:rPr>
          <w:lang w:val="fr-FR"/>
        </w:rPr>
        <w:t>décembre 20</w:t>
      </w:r>
      <w:r w:rsidRPr="00CE02B4">
        <w:rPr>
          <w:lang w:val="fr-FR"/>
        </w:rPr>
        <w:t xml:space="preserve">19 et </w:t>
      </w:r>
      <w:r w:rsidR="00C22CE2" w:rsidRPr="00CE02B4">
        <w:rPr>
          <w:lang w:val="fr-FR"/>
        </w:rPr>
        <w:t>novembre 20</w:t>
      </w:r>
      <w:r w:rsidRPr="00CE02B4">
        <w:rPr>
          <w:lang w:val="fr-FR"/>
        </w:rPr>
        <w:t xml:space="preserve">20 </w:t>
      </w:r>
      <w:r w:rsidR="00C22CE2" w:rsidRPr="00CE02B4">
        <w:rPr>
          <w:lang w:val="fr-FR"/>
        </w:rPr>
        <w:t>aux ONG</w:t>
      </w:r>
      <w:r w:rsidRPr="00CE02B4">
        <w:rPr>
          <w:lang w:val="fr-FR"/>
        </w:rPr>
        <w:t xml:space="preserve"> qui n</w:t>
      </w:r>
      <w:r w:rsidR="00C22CE2" w:rsidRPr="00CE02B4">
        <w:rPr>
          <w:lang w:val="fr-FR"/>
        </w:rPr>
        <w:t>’</w:t>
      </w:r>
      <w:r w:rsidRPr="00CE02B4">
        <w:rPr>
          <w:lang w:val="fr-FR"/>
        </w:rPr>
        <w:t>avaient pas encore répon</w:t>
      </w:r>
      <w:r w:rsidR="00E102D3" w:rsidRPr="00CE02B4">
        <w:rPr>
          <w:lang w:val="fr-FR"/>
        </w:rPr>
        <w:t>du.  Un</w:t>
      </w:r>
      <w:r w:rsidRPr="00CE02B4">
        <w:rPr>
          <w:lang w:val="fr-FR"/>
        </w:rPr>
        <w:t xml:space="preserve"> troisième rappel a été envoyé en </w:t>
      </w:r>
      <w:r w:rsidR="00C22CE2" w:rsidRPr="00CE02B4">
        <w:rPr>
          <w:lang w:val="fr-FR"/>
        </w:rPr>
        <w:t>mars 20</w:t>
      </w:r>
      <w:r w:rsidRPr="00CE02B4">
        <w:rPr>
          <w:lang w:val="fr-FR"/>
        </w:rPr>
        <w:t xml:space="preserve">21 </w:t>
      </w:r>
      <w:r w:rsidR="001F5803" w:rsidRPr="00CE02B4">
        <w:rPr>
          <w:lang w:val="fr-FR"/>
        </w:rPr>
        <w:t xml:space="preserve">aux </w:t>
      </w:r>
      <w:r w:rsidRPr="00CE02B4">
        <w:rPr>
          <w:lang w:val="fr-FR"/>
        </w:rPr>
        <w:t>ONG qui n</w:t>
      </w:r>
      <w:r w:rsidR="00C22CE2" w:rsidRPr="00CE02B4">
        <w:rPr>
          <w:lang w:val="fr-FR"/>
        </w:rPr>
        <w:t>’</w:t>
      </w:r>
      <w:r w:rsidRPr="00CE02B4">
        <w:rPr>
          <w:lang w:val="fr-FR"/>
        </w:rPr>
        <w:t>avaient répondu à aucune des trois</w:t>
      </w:r>
      <w:r w:rsidR="009310C9" w:rsidRPr="00CE02B4">
        <w:rPr>
          <w:lang w:val="fr-FR"/>
        </w:rPr>
        <w:t> </w:t>
      </w:r>
      <w:r w:rsidRPr="00CE02B4">
        <w:rPr>
          <w:lang w:val="fr-FR"/>
        </w:rPr>
        <w:t>notes précédentes et pour lesquelles le Secrétariat avait trouvé des coordonnées nouvelles ou supplémentaires.</w:t>
      </w:r>
    </w:p>
    <w:p w:rsidR="00C22CE2" w:rsidRPr="00CE02B4" w:rsidRDefault="00FA79DB" w:rsidP="00CE02B4">
      <w:pPr>
        <w:pStyle w:val="ONUMFS"/>
        <w:rPr>
          <w:lang w:val="fr-FR"/>
        </w:rPr>
      </w:pPr>
      <w:r w:rsidRPr="00CE02B4">
        <w:rPr>
          <w:lang w:val="fr-FR"/>
        </w:rPr>
        <w:t>Enfin, le Secrétariat a informé</w:t>
      </w:r>
      <w:r w:rsidR="00C22CE2" w:rsidRPr="00CE02B4">
        <w:rPr>
          <w:lang w:val="fr-FR"/>
        </w:rPr>
        <w:t xml:space="preserve"> les ONG</w:t>
      </w:r>
      <w:r w:rsidRPr="00CE02B4">
        <w:rPr>
          <w:lang w:val="fr-FR"/>
        </w:rPr>
        <w:t xml:space="preserve"> concernées, c</w:t>
      </w:r>
      <w:r w:rsidR="00C22CE2" w:rsidRPr="00CE02B4">
        <w:rPr>
          <w:lang w:val="fr-FR"/>
        </w:rPr>
        <w:t>’</w:t>
      </w:r>
      <w:r w:rsidRPr="00CE02B4">
        <w:rPr>
          <w:lang w:val="fr-FR"/>
        </w:rPr>
        <w:t>est</w:t>
      </w:r>
      <w:r w:rsidR="00CE02B4" w:rsidRPr="00CE02B4">
        <w:rPr>
          <w:lang w:val="fr-FR"/>
        </w:rPr>
        <w:noBreakHyphen/>
      </w:r>
      <w:r w:rsidRPr="00CE02B4">
        <w:rPr>
          <w:lang w:val="fr-FR"/>
        </w:rPr>
        <w:t>à</w:t>
      </w:r>
      <w:r w:rsidR="00CE02B4" w:rsidRPr="00CE02B4">
        <w:rPr>
          <w:lang w:val="fr-FR"/>
        </w:rPr>
        <w:noBreakHyphen/>
      </w:r>
      <w:r w:rsidRPr="00CE02B4">
        <w:rPr>
          <w:lang w:val="fr-FR"/>
        </w:rPr>
        <w:t>dire celles qui n</w:t>
      </w:r>
      <w:r w:rsidR="00C22CE2" w:rsidRPr="00CE02B4">
        <w:rPr>
          <w:lang w:val="fr-FR"/>
        </w:rPr>
        <w:t>’</w:t>
      </w:r>
      <w:r w:rsidRPr="00CE02B4">
        <w:rPr>
          <w:lang w:val="fr-FR"/>
        </w:rPr>
        <w:t>avaient répondu à aucune des communications susmentionnées, par la note C.</w:t>
      </w:r>
      <w:r w:rsidR="009310C9" w:rsidRPr="00CE02B4">
        <w:rPr>
          <w:lang w:val="fr-FR"/>
        </w:rPr>
        <w:t> </w:t>
      </w:r>
      <w:r w:rsidRPr="00CE02B4">
        <w:rPr>
          <w:lang w:val="fr-FR"/>
        </w:rPr>
        <w:t>N 4067</w:t>
      </w:r>
      <w:r w:rsidR="00F717AA" w:rsidRPr="00CE02B4">
        <w:rPr>
          <w:lang w:val="fr-FR"/>
        </w:rPr>
        <w:t> </w:t>
      </w:r>
      <w:r w:rsidRPr="00CE02B4">
        <w:rPr>
          <w:lang w:val="fr-FR"/>
        </w:rPr>
        <w:t>datée du 1</w:t>
      </w:r>
      <w:r w:rsidR="00C22CE2" w:rsidRPr="00CE02B4">
        <w:rPr>
          <w:lang w:val="fr-FR"/>
        </w:rPr>
        <w:t>9 avril 20</w:t>
      </w:r>
      <w:r w:rsidRPr="00CE02B4">
        <w:rPr>
          <w:lang w:val="fr-FR"/>
        </w:rPr>
        <w:t xml:space="preserve">21, que, conformément à la décision susmentionnée adoptée par les assemblées </w:t>
      </w:r>
      <w:r w:rsidR="00C22CE2" w:rsidRPr="00CE02B4">
        <w:rPr>
          <w:lang w:val="fr-FR"/>
        </w:rPr>
        <w:t>en 2018</w:t>
      </w:r>
      <w:r w:rsidRPr="00CE02B4">
        <w:rPr>
          <w:lang w:val="fr-FR"/>
        </w:rPr>
        <w:t>, l</w:t>
      </w:r>
      <w:r w:rsidR="00C22CE2" w:rsidRPr="00CE02B4">
        <w:rPr>
          <w:lang w:val="fr-FR"/>
        </w:rPr>
        <w:t>’</w:t>
      </w:r>
      <w:r w:rsidRPr="00CE02B4">
        <w:rPr>
          <w:lang w:val="fr-FR"/>
        </w:rPr>
        <w:t>absence de réponse à l</w:t>
      </w:r>
      <w:r w:rsidR="00C22CE2" w:rsidRPr="00CE02B4">
        <w:rPr>
          <w:lang w:val="fr-FR"/>
        </w:rPr>
        <w:t>’</w:t>
      </w:r>
      <w:r w:rsidRPr="00CE02B4">
        <w:rPr>
          <w:lang w:val="fr-FR"/>
        </w:rPr>
        <w:t>enquête et aux communications de suivi, avait été considérée comme une indication selon laquelle l</w:t>
      </w:r>
      <w:r w:rsidR="00C22CE2" w:rsidRPr="00CE02B4">
        <w:rPr>
          <w:lang w:val="fr-FR"/>
        </w:rPr>
        <w:t>’</w:t>
      </w:r>
      <w:r w:rsidRPr="00CE02B4">
        <w:rPr>
          <w:lang w:val="fr-FR"/>
        </w:rPr>
        <w:t>ONG ne souhaitait pas conserver le statut d</w:t>
      </w:r>
      <w:r w:rsidR="00C22CE2" w:rsidRPr="00CE02B4">
        <w:rPr>
          <w:lang w:val="fr-FR"/>
        </w:rPr>
        <w:t>’</w:t>
      </w:r>
      <w:r w:rsidRPr="00CE02B4">
        <w:rPr>
          <w:lang w:val="fr-FR"/>
        </w:rPr>
        <w:t>observateur à l</w:t>
      </w:r>
      <w:r w:rsidR="00C22CE2" w:rsidRPr="00CE02B4">
        <w:rPr>
          <w:lang w:val="fr-FR"/>
        </w:rPr>
        <w:t>’</w:t>
      </w:r>
      <w:r w:rsidRPr="00CE02B4">
        <w:rPr>
          <w:lang w:val="fr-FR"/>
        </w:rPr>
        <w:t>O</w:t>
      </w:r>
      <w:r w:rsidR="00E102D3" w:rsidRPr="00CE02B4">
        <w:rPr>
          <w:lang w:val="fr-FR"/>
        </w:rPr>
        <w:t>MPI.  En</w:t>
      </w:r>
      <w:r w:rsidRPr="00CE02B4">
        <w:rPr>
          <w:lang w:val="fr-FR"/>
        </w:rPr>
        <w:t xml:space="preserve"> conséquence,</w:t>
      </w:r>
      <w:r w:rsidR="00C22CE2" w:rsidRPr="00CE02B4">
        <w:rPr>
          <w:lang w:val="fr-FR"/>
        </w:rPr>
        <w:t xml:space="preserve"> les ONG</w:t>
      </w:r>
      <w:r w:rsidRPr="00CE02B4">
        <w:rPr>
          <w:lang w:val="fr-FR"/>
        </w:rPr>
        <w:t xml:space="preserve"> concernées ont été retirées de la liste des organisations admises en qualité </w:t>
      </w:r>
      <w:r w:rsidR="001F5803" w:rsidRPr="00CE02B4">
        <w:rPr>
          <w:lang w:val="fr-FR"/>
        </w:rPr>
        <w:t>d’observatrices</w:t>
      </w:r>
      <w:r w:rsidRPr="00CE02B4">
        <w:rPr>
          <w:lang w:val="fr-FR"/>
        </w:rPr>
        <w:t xml:space="preserve"> à l</w:t>
      </w:r>
      <w:r w:rsidR="00C22CE2" w:rsidRPr="00CE02B4">
        <w:rPr>
          <w:lang w:val="fr-FR"/>
        </w:rPr>
        <w:t>’</w:t>
      </w:r>
      <w:r w:rsidRPr="00CE02B4">
        <w:rPr>
          <w:lang w:val="fr-FR"/>
        </w:rPr>
        <w:t>OMPI le 1</w:t>
      </w:r>
      <w:r w:rsidR="00C22CE2" w:rsidRPr="00CE02B4">
        <w:rPr>
          <w:lang w:val="fr-FR"/>
        </w:rPr>
        <w:t>6 avril 20</w:t>
      </w:r>
      <w:r w:rsidRPr="00CE02B4">
        <w:rPr>
          <w:lang w:val="fr-FR"/>
        </w:rPr>
        <w:t>21.</w:t>
      </w:r>
    </w:p>
    <w:p w:rsidR="00FA79DB" w:rsidRPr="00CE02B4" w:rsidRDefault="00FA79DB" w:rsidP="00CE02B4">
      <w:pPr>
        <w:pStyle w:val="ONUMFS"/>
        <w:rPr>
          <w:u w:val="single"/>
          <w:lang w:val="fr-FR"/>
        </w:rPr>
      </w:pPr>
      <w:r w:rsidRPr="00CE02B4">
        <w:rPr>
          <w:lang w:val="fr-FR"/>
        </w:rPr>
        <w:t>Les ONG concernées ont également été informées que ce retrait n</w:t>
      </w:r>
      <w:r w:rsidR="00C22CE2" w:rsidRPr="00CE02B4">
        <w:rPr>
          <w:lang w:val="fr-FR"/>
        </w:rPr>
        <w:t>’</w:t>
      </w:r>
      <w:r w:rsidRPr="00CE02B4">
        <w:rPr>
          <w:lang w:val="fr-FR"/>
        </w:rPr>
        <w:t>affectait pas le statut d</w:t>
      </w:r>
      <w:r w:rsidR="00C22CE2" w:rsidRPr="00CE02B4">
        <w:rPr>
          <w:lang w:val="fr-FR"/>
        </w:rPr>
        <w:t>’</w:t>
      </w:r>
      <w:r w:rsidRPr="00CE02B4">
        <w:rPr>
          <w:lang w:val="fr-FR"/>
        </w:rPr>
        <w:t>observateur ad</w:t>
      </w:r>
      <w:r w:rsidR="009310C9" w:rsidRPr="00CE02B4">
        <w:rPr>
          <w:lang w:val="fr-FR"/>
        </w:rPr>
        <w:t> </w:t>
      </w:r>
      <w:r w:rsidRPr="00CE02B4">
        <w:rPr>
          <w:lang w:val="fr-FR"/>
        </w:rPr>
        <w:t>hoc d</w:t>
      </w:r>
      <w:r w:rsidR="00C22CE2" w:rsidRPr="00CE02B4">
        <w:rPr>
          <w:lang w:val="fr-FR"/>
        </w:rPr>
        <w:t>’</w:t>
      </w:r>
      <w:r w:rsidRPr="00CE02B4">
        <w:rPr>
          <w:lang w:val="fr-FR"/>
        </w:rPr>
        <w:t>une organisation au sein d</w:t>
      </w:r>
      <w:r w:rsidR="00C22CE2" w:rsidRPr="00CE02B4">
        <w:rPr>
          <w:lang w:val="fr-FR"/>
        </w:rPr>
        <w:t>’</w:t>
      </w:r>
      <w:r w:rsidRPr="00CE02B4">
        <w:rPr>
          <w:lang w:val="fr-FR"/>
        </w:rPr>
        <w:t>un comité de l</w:t>
      </w:r>
      <w:r w:rsidR="00C22CE2" w:rsidRPr="00CE02B4">
        <w:rPr>
          <w:lang w:val="fr-FR"/>
        </w:rPr>
        <w:t>’</w:t>
      </w:r>
      <w:r w:rsidRPr="00CE02B4">
        <w:rPr>
          <w:lang w:val="fr-FR"/>
        </w:rPr>
        <w:t>OMPI et qu</w:t>
      </w:r>
      <w:r w:rsidR="00C22CE2" w:rsidRPr="00CE02B4">
        <w:rPr>
          <w:lang w:val="fr-FR"/>
        </w:rPr>
        <w:t>’</w:t>
      </w:r>
      <w:r w:rsidRPr="00CE02B4">
        <w:rPr>
          <w:lang w:val="fr-FR"/>
        </w:rPr>
        <w:t xml:space="preserve">un </w:t>
      </w:r>
      <w:r w:rsidR="00C22CE2" w:rsidRPr="00CE02B4">
        <w:rPr>
          <w:lang w:val="fr-FR"/>
        </w:rPr>
        <w:t>“</w:t>
      </w:r>
      <w:r w:rsidRPr="00CE02B4">
        <w:rPr>
          <w:lang w:val="fr-FR"/>
        </w:rPr>
        <w:t>principe de rétablissement</w:t>
      </w:r>
      <w:r w:rsidR="00C22CE2" w:rsidRPr="00CE02B4">
        <w:rPr>
          <w:lang w:val="fr-FR"/>
        </w:rPr>
        <w:t>”</w:t>
      </w:r>
      <w:r w:rsidRPr="00CE02B4">
        <w:rPr>
          <w:lang w:val="fr-FR"/>
        </w:rPr>
        <w:t xml:space="preserve"> avait été mis en place selon lequel</w:t>
      </w:r>
      <w:r w:rsidR="00C22CE2" w:rsidRPr="00CE02B4">
        <w:rPr>
          <w:lang w:val="fr-FR"/>
        </w:rPr>
        <w:t xml:space="preserve"> les ONG</w:t>
      </w:r>
      <w:r w:rsidRPr="00CE02B4">
        <w:rPr>
          <w:lang w:val="fr-FR"/>
        </w:rPr>
        <w:t xml:space="preserve"> concernées pouvaient demander à recouvrer leur statut d</w:t>
      </w:r>
      <w:r w:rsidR="00C22CE2" w:rsidRPr="00CE02B4">
        <w:rPr>
          <w:lang w:val="fr-FR"/>
        </w:rPr>
        <w:t>’</w:t>
      </w:r>
      <w:r w:rsidRPr="00CE02B4">
        <w:rPr>
          <w:lang w:val="fr-FR"/>
        </w:rPr>
        <w:t>observateur sans qu</w:t>
      </w:r>
      <w:r w:rsidR="00C22CE2" w:rsidRPr="00CE02B4">
        <w:rPr>
          <w:lang w:val="fr-FR"/>
        </w:rPr>
        <w:t>’</w:t>
      </w:r>
      <w:r w:rsidRPr="00CE02B4">
        <w:rPr>
          <w:lang w:val="fr-FR"/>
        </w:rPr>
        <w:t>il soit nécessaire de déposer une nouvelle demande, dans un délai d</w:t>
      </w:r>
      <w:r w:rsidR="00C22CE2" w:rsidRPr="00CE02B4">
        <w:rPr>
          <w:lang w:val="fr-FR"/>
        </w:rPr>
        <w:t>’</w:t>
      </w:r>
      <w:r w:rsidRPr="00CE02B4">
        <w:rPr>
          <w:lang w:val="fr-FR"/>
        </w:rPr>
        <w:t>un an après leur retrait de la liste, soit jusqu</w:t>
      </w:r>
      <w:r w:rsidR="00C22CE2" w:rsidRPr="00CE02B4">
        <w:rPr>
          <w:lang w:val="fr-FR"/>
        </w:rPr>
        <w:t>’</w:t>
      </w:r>
      <w:r w:rsidRPr="00CE02B4">
        <w:rPr>
          <w:lang w:val="fr-FR"/>
        </w:rPr>
        <w:t>au 1</w:t>
      </w:r>
      <w:r w:rsidR="00C22CE2" w:rsidRPr="00CE02B4">
        <w:rPr>
          <w:lang w:val="fr-FR"/>
        </w:rPr>
        <w:t>6 avril 20</w:t>
      </w:r>
      <w:r w:rsidRPr="00CE02B4">
        <w:rPr>
          <w:lang w:val="fr-FR"/>
        </w:rPr>
        <w:t>22.</w:t>
      </w:r>
    </w:p>
    <w:p w:rsidR="00FA79DB" w:rsidRPr="00CE02B4" w:rsidRDefault="00CE02B4" w:rsidP="00CE02B4">
      <w:pPr>
        <w:pStyle w:val="Heading2"/>
      </w:pPr>
      <w:r w:rsidRPr="00CE02B4">
        <w:t>Résultats</w:t>
      </w:r>
    </w:p>
    <w:p w:rsidR="00DC5E6D" w:rsidRDefault="00FA79DB" w:rsidP="007F51C8">
      <w:pPr>
        <w:pStyle w:val="ONUMFS"/>
        <w:rPr>
          <w:lang w:val="fr-FR"/>
        </w:rPr>
      </w:pPr>
      <w:r w:rsidRPr="00DC5E6D">
        <w:rPr>
          <w:lang w:val="fr-FR"/>
        </w:rPr>
        <w:t>Conformément à la procédure de mise à jour décrite ci</w:t>
      </w:r>
      <w:r w:rsidR="00CE02B4" w:rsidRPr="00DC5E6D">
        <w:rPr>
          <w:lang w:val="fr-FR"/>
        </w:rPr>
        <w:noBreakHyphen/>
      </w:r>
      <w:r w:rsidRPr="00DC5E6D">
        <w:rPr>
          <w:lang w:val="fr-FR"/>
        </w:rPr>
        <w:t>dessus, le Secrétariat a recensé 168</w:t>
      </w:r>
      <w:r w:rsidR="00F717AA" w:rsidRPr="00DC5E6D">
        <w:rPr>
          <w:lang w:val="fr-FR"/>
        </w:rPr>
        <w:t> </w:t>
      </w:r>
      <w:r w:rsidRPr="00DC5E6D">
        <w:rPr>
          <w:lang w:val="fr-FR"/>
        </w:rPr>
        <w:t>ONG, sur un total de 341</w:t>
      </w:r>
      <w:r w:rsidR="00F717AA" w:rsidRPr="00DC5E6D">
        <w:rPr>
          <w:lang w:val="fr-FR"/>
        </w:rPr>
        <w:t> </w:t>
      </w:r>
      <w:r w:rsidRPr="00DC5E6D">
        <w:rPr>
          <w:lang w:val="fr-FR"/>
        </w:rPr>
        <w:t>admises en qualité d</w:t>
      </w:r>
      <w:r w:rsidR="00C22CE2" w:rsidRPr="00DC5E6D">
        <w:rPr>
          <w:lang w:val="fr-FR"/>
        </w:rPr>
        <w:t>’</w:t>
      </w:r>
      <w:r w:rsidRPr="00DC5E6D">
        <w:rPr>
          <w:lang w:val="fr-FR"/>
        </w:rPr>
        <w:t>observatrices à l</w:t>
      </w:r>
      <w:r w:rsidR="00C22CE2" w:rsidRPr="00DC5E6D">
        <w:rPr>
          <w:lang w:val="fr-FR"/>
        </w:rPr>
        <w:t>’</w:t>
      </w:r>
      <w:r w:rsidRPr="00DC5E6D">
        <w:rPr>
          <w:lang w:val="fr-FR"/>
        </w:rPr>
        <w:t xml:space="preserve">OMPI à partir </w:t>
      </w:r>
      <w:r w:rsidR="00C22CE2" w:rsidRPr="00DC5E6D">
        <w:rPr>
          <w:lang w:val="fr-FR"/>
        </w:rPr>
        <w:t>de 2017</w:t>
      </w:r>
      <w:r w:rsidRPr="00DC5E6D">
        <w:rPr>
          <w:lang w:val="fr-FR"/>
        </w:rPr>
        <w:t>, qui n</w:t>
      </w:r>
      <w:r w:rsidR="00C22CE2" w:rsidRPr="00DC5E6D">
        <w:rPr>
          <w:lang w:val="fr-FR"/>
        </w:rPr>
        <w:t>’</w:t>
      </w:r>
      <w:r w:rsidRPr="00DC5E6D">
        <w:rPr>
          <w:lang w:val="fr-FR"/>
        </w:rPr>
        <w:t>avaient pas participé aux sessions des assemblées ou des comités de l</w:t>
      </w:r>
      <w:r w:rsidR="00C22CE2" w:rsidRPr="00DC5E6D">
        <w:rPr>
          <w:lang w:val="fr-FR"/>
        </w:rPr>
        <w:t>’</w:t>
      </w:r>
      <w:r w:rsidRPr="00DC5E6D">
        <w:rPr>
          <w:lang w:val="fr-FR"/>
        </w:rPr>
        <w:t>OMPI pendant la période comprise entre 2013 et 2017.  À l</w:t>
      </w:r>
      <w:r w:rsidR="00C22CE2" w:rsidRPr="00DC5E6D">
        <w:rPr>
          <w:lang w:val="fr-FR"/>
        </w:rPr>
        <w:t>’</w:t>
      </w:r>
      <w:r w:rsidRPr="00DC5E6D">
        <w:rPr>
          <w:lang w:val="fr-FR"/>
        </w:rPr>
        <w:t>issue du processus de mise à jour, 64</w:t>
      </w:r>
      <w:r w:rsidR="00F717AA" w:rsidRPr="00DC5E6D">
        <w:rPr>
          <w:lang w:val="fr-FR"/>
        </w:rPr>
        <w:t> </w:t>
      </w:r>
      <w:r w:rsidRPr="00DC5E6D">
        <w:rPr>
          <w:lang w:val="fr-FR"/>
        </w:rPr>
        <w:t>ONG (38%) au total sur les 168</w:t>
      </w:r>
      <w:r w:rsidR="00F717AA" w:rsidRPr="00DC5E6D">
        <w:rPr>
          <w:lang w:val="fr-FR"/>
        </w:rPr>
        <w:t> visées</w:t>
      </w:r>
      <w:r w:rsidRPr="00DC5E6D">
        <w:rPr>
          <w:lang w:val="fr-FR"/>
        </w:rPr>
        <w:t xml:space="preserve"> avaient répondu </w:t>
      </w:r>
      <w:r w:rsidR="00F717AA" w:rsidRPr="00DC5E6D">
        <w:rPr>
          <w:lang w:val="fr-FR"/>
        </w:rPr>
        <w:t>au questionnaire</w:t>
      </w:r>
      <w:r w:rsidRPr="00DC5E6D">
        <w:rPr>
          <w:lang w:val="fr-FR"/>
        </w:rPr>
        <w:t xml:space="preserve"> et fourni au Secrétariat des coordonnées actualisé</w:t>
      </w:r>
      <w:r w:rsidR="00E102D3" w:rsidRPr="00DC5E6D">
        <w:rPr>
          <w:lang w:val="fr-FR"/>
        </w:rPr>
        <w:t>es.  Ce</w:t>
      </w:r>
      <w:r w:rsidRPr="00DC5E6D">
        <w:rPr>
          <w:lang w:val="fr-FR"/>
        </w:rPr>
        <w:t>s informations ont été utilisées pour mettre à jour les documents et bases de données concernant les observateurs à l</w:t>
      </w:r>
      <w:r w:rsidR="00C22CE2" w:rsidRPr="00DC5E6D">
        <w:rPr>
          <w:lang w:val="fr-FR"/>
        </w:rPr>
        <w:t>’</w:t>
      </w:r>
      <w:r w:rsidRPr="00DC5E6D">
        <w:rPr>
          <w:lang w:val="fr-FR"/>
        </w:rPr>
        <w:t>O</w:t>
      </w:r>
      <w:r w:rsidR="00E102D3" w:rsidRPr="00DC5E6D">
        <w:rPr>
          <w:lang w:val="fr-FR"/>
        </w:rPr>
        <w:t>MPI.  La</w:t>
      </w:r>
      <w:r w:rsidRPr="00DC5E6D">
        <w:rPr>
          <w:lang w:val="fr-FR"/>
        </w:rPr>
        <w:t xml:space="preserve"> grande majorité, soit 95% environ,</w:t>
      </w:r>
      <w:r w:rsidR="00C22CE2" w:rsidRPr="00DC5E6D">
        <w:rPr>
          <w:lang w:val="fr-FR"/>
        </w:rPr>
        <w:t xml:space="preserve"> des ONG</w:t>
      </w:r>
      <w:r w:rsidRPr="00DC5E6D">
        <w:rPr>
          <w:lang w:val="fr-FR"/>
        </w:rPr>
        <w:t xml:space="preserve"> qui avaient répondu à l</w:t>
      </w:r>
      <w:r w:rsidR="00C22CE2" w:rsidRPr="00DC5E6D">
        <w:rPr>
          <w:lang w:val="fr-FR"/>
        </w:rPr>
        <w:t>’</w:t>
      </w:r>
      <w:r w:rsidRPr="00DC5E6D">
        <w:rPr>
          <w:lang w:val="fr-FR"/>
        </w:rPr>
        <w:t>enquête ont demandé à conserver leur statut d</w:t>
      </w:r>
      <w:r w:rsidR="00C22CE2" w:rsidRPr="00DC5E6D">
        <w:rPr>
          <w:lang w:val="fr-FR"/>
        </w:rPr>
        <w:t>’</w:t>
      </w:r>
      <w:r w:rsidRPr="00DC5E6D">
        <w:rPr>
          <w:lang w:val="fr-FR"/>
        </w:rPr>
        <w:t>observateur, tandis que 5% seulement ont expressément demandé à être retirées de la liste des observateu</w:t>
      </w:r>
      <w:r w:rsidR="00E102D3" w:rsidRPr="00DC5E6D">
        <w:rPr>
          <w:lang w:val="fr-FR"/>
        </w:rPr>
        <w:t>rs.  En</w:t>
      </w:r>
      <w:r w:rsidRPr="00DC5E6D">
        <w:rPr>
          <w:lang w:val="fr-FR"/>
        </w:rPr>
        <w:t xml:space="preserve"> conséquence, ces dernières, ainsi que toutes</w:t>
      </w:r>
      <w:r w:rsidR="00C22CE2" w:rsidRPr="00DC5E6D">
        <w:rPr>
          <w:lang w:val="fr-FR"/>
        </w:rPr>
        <w:t xml:space="preserve"> les ONG</w:t>
      </w:r>
      <w:r w:rsidRPr="00DC5E6D">
        <w:rPr>
          <w:lang w:val="fr-FR"/>
        </w:rPr>
        <w:t xml:space="preserve"> qui n</w:t>
      </w:r>
      <w:r w:rsidR="00C22CE2" w:rsidRPr="00DC5E6D">
        <w:rPr>
          <w:lang w:val="fr-FR"/>
        </w:rPr>
        <w:t>’</w:t>
      </w:r>
      <w:r w:rsidRPr="00DC5E6D">
        <w:rPr>
          <w:lang w:val="fr-FR"/>
        </w:rPr>
        <w:t xml:space="preserve">avaient répondu à aucune des communications envoyées, ont été retirées de la liste des observateurs, </w:t>
      </w:r>
      <w:r w:rsidR="001F5803" w:rsidRPr="00DC5E6D">
        <w:rPr>
          <w:lang w:val="fr-FR"/>
        </w:rPr>
        <w:t>soit</w:t>
      </w:r>
      <w:r w:rsidRPr="00DC5E6D">
        <w:rPr>
          <w:lang w:val="fr-FR"/>
        </w:rPr>
        <w:t xml:space="preserve"> un total de 107</w:t>
      </w:r>
      <w:r w:rsidR="001F5803" w:rsidRPr="00DC5E6D">
        <w:rPr>
          <w:lang w:val="fr-FR"/>
        </w:rPr>
        <w:t> </w:t>
      </w:r>
      <w:r w:rsidRPr="00DC5E6D">
        <w:rPr>
          <w:lang w:val="fr-FR"/>
        </w:rPr>
        <w:t xml:space="preserve">(environ 64%) sur </w:t>
      </w:r>
      <w:r w:rsidR="001F5803" w:rsidRPr="00DC5E6D">
        <w:rPr>
          <w:lang w:val="fr-FR"/>
        </w:rPr>
        <w:t xml:space="preserve">les </w:t>
      </w:r>
      <w:r w:rsidRPr="00DC5E6D">
        <w:rPr>
          <w:lang w:val="fr-FR"/>
        </w:rPr>
        <w:t>168</w:t>
      </w:r>
      <w:r w:rsidR="00F717AA" w:rsidRPr="00DC5E6D">
        <w:rPr>
          <w:lang w:val="fr-FR"/>
        </w:rPr>
        <w:t> </w:t>
      </w:r>
      <w:r w:rsidRPr="00DC5E6D">
        <w:rPr>
          <w:lang w:val="fr-FR"/>
        </w:rPr>
        <w:t>ONG</w:t>
      </w:r>
      <w:r w:rsidR="001F5803" w:rsidRPr="00DC5E6D">
        <w:rPr>
          <w:lang w:val="fr-FR"/>
        </w:rPr>
        <w:t xml:space="preserve"> visées</w:t>
      </w:r>
      <w:r w:rsidRPr="00CE02B4">
        <w:rPr>
          <w:rStyle w:val="FootnoteReference"/>
          <w:lang w:val="fr-FR"/>
        </w:rPr>
        <w:footnoteReference w:id="4"/>
      </w:r>
      <w:r w:rsidRPr="00DC5E6D">
        <w:rPr>
          <w:lang w:val="fr-FR"/>
        </w:rPr>
        <w:t>.  Jusqu</w:t>
      </w:r>
      <w:r w:rsidR="00C22CE2" w:rsidRPr="00DC5E6D">
        <w:rPr>
          <w:lang w:val="fr-FR"/>
        </w:rPr>
        <w:t>’</w:t>
      </w:r>
      <w:r w:rsidRPr="00DC5E6D">
        <w:rPr>
          <w:lang w:val="fr-FR"/>
        </w:rPr>
        <w:t xml:space="preserve">à présent, </w:t>
      </w:r>
      <w:r w:rsidR="005B7C5C">
        <w:rPr>
          <w:lang w:val="fr-FR"/>
        </w:rPr>
        <w:t>trois</w:t>
      </w:r>
      <w:r w:rsidR="009310C9" w:rsidRPr="00DC5E6D">
        <w:rPr>
          <w:lang w:val="fr-FR"/>
        </w:rPr>
        <w:t> </w:t>
      </w:r>
      <w:r w:rsidRPr="00DC5E6D">
        <w:rPr>
          <w:lang w:val="fr-FR"/>
        </w:rPr>
        <w:t>ONG sur les 107 qui avaient été supprimées ont demandé à recouvrer leur statut d</w:t>
      </w:r>
      <w:r w:rsidR="00C22CE2" w:rsidRPr="00DC5E6D">
        <w:rPr>
          <w:lang w:val="fr-FR"/>
        </w:rPr>
        <w:t>’</w:t>
      </w:r>
      <w:r w:rsidRPr="00DC5E6D">
        <w:rPr>
          <w:lang w:val="fr-FR"/>
        </w:rPr>
        <w:t xml:space="preserve">observateur en </w:t>
      </w:r>
      <w:r w:rsidR="00DC5E6D">
        <w:rPr>
          <w:lang w:val="fr-FR"/>
        </w:rPr>
        <w:br/>
      </w:r>
    </w:p>
    <w:p w:rsidR="00CE02B4" w:rsidRPr="00DC5E6D" w:rsidRDefault="00FA79DB" w:rsidP="00DC5E6D">
      <w:pPr>
        <w:pStyle w:val="ONUMFS"/>
        <w:numPr>
          <w:ilvl w:val="0"/>
          <w:numId w:val="0"/>
        </w:numPr>
        <w:rPr>
          <w:lang w:val="fr-FR"/>
        </w:rPr>
      </w:pPr>
      <w:r w:rsidRPr="00DC5E6D">
        <w:rPr>
          <w:lang w:val="fr-FR"/>
        </w:rPr>
        <w:lastRenderedPageBreak/>
        <w:t xml:space="preserve">invoquant le </w:t>
      </w:r>
      <w:r w:rsidR="00C22CE2" w:rsidRPr="00DC5E6D">
        <w:rPr>
          <w:lang w:val="fr-FR"/>
        </w:rPr>
        <w:t>“</w:t>
      </w:r>
      <w:r w:rsidRPr="00DC5E6D">
        <w:rPr>
          <w:lang w:val="fr-FR"/>
        </w:rPr>
        <w:t>principe de rétablissement</w:t>
      </w:r>
      <w:r w:rsidR="00C22CE2" w:rsidRPr="00DC5E6D">
        <w:rPr>
          <w:lang w:val="fr-FR"/>
        </w:rPr>
        <w:t>”</w:t>
      </w:r>
      <w:r w:rsidRPr="00DC5E6D">
        <w:rPr>
          <w:lang w:val="fr-FR"/>
        </w:rPr>
        <w:t xml:space="preserve"> et ont donc été réinscrites sur la liste des observateurs</w:t>
      </w:r>
      <w:r w:rsidRPr="00CE02B4">
        <w:rPr>
          <w:rStyle w:val="FootnoteReference"/>
          <w:lang w:val="fr-FR"/>
        </w:rPr>
        <w:footnoteReference w:id="5"/>
      </w:r>
      <w:r w:rsidRPr="00DC5E6D">
        <w:rPr>
          <w:lang w:val="fr-FR"/>
        </w:rPr>
        <w:t xml:space="preserve">. </w:t>
      </w:r>
      <w:r w:rsidR="009310C9" w:rsidRPr="00DC5E6D">
        <w:rPr>
          <w:lang w:val="fr-FR"/>
        </w:rPr>
        <w:t xml:space="preserve"> </w:t>
      </w:r>
      <w:r w:rsidRPr="00DC5E6D">
        <w:rPr>
          <w:lang w:val="fr-FR"/>
        </w:rPr>
        <w:t>Avec</w:t>
      </w:r>
      <w:r w:rsidR="00C22CE2" w:rsidRPr="00DC5E6D">
        <w:rPr>
          <w:lang w:val="fr-FR"/>
        </w:rPr>
        <w:t xml:space="preserve"> les ONG</w:t>
      </w:r>
      <w:r w:rsidRPr="00DC5E6D">
        <w:rPr>
          <w:lang w:val="fr-FR"/>
        </w:rPr>
        <w:t xml:space="preserve"> nouvellement admises en qualité d</w:t>
      </w:r>
      <w:r w:rsidR="00C22CE2" w:rsidRPr="00DC5E6D">
        <w:rPr>
          <w:lang w:val="fr-FR"/>
        </w:rPr>
        <w:t>’</w:t>
      </w:r>
      <w:r w:rsidRPr="00DC5E6D">
        <w:rPr>
          <w:lang w:val="fr-FR"/>
        </w:rPr>
        <w:t xml:space="preserve">observatrices </w:t>
      </w:r>
      <w:r w:rsidR="00C22CE2" w:rsidRPr="00DC5E6D">
        <w:rPr>
          <w:lang w:val="fr-FR"/>
        </w:rPr>
        <w:t>en 2018</w:t>
      </w:r>
      <w:r w:rsidR="005B7C5C">
        <w:rPr>
          <w:lang w:val="fr-FR"/>
        </w:rPr>
        <w:t>, 2019 et 2020, 268</w:t>
      </w:r>
      <w:r w:rsidR="001F5803" w:rsidRPr="00DC5E6D">
        <w:rPr>
          <w:lang w:val="fr-FR"/>
        </w:rPr>
        <w:t xml:space="preserve"> organisations </w:t>
      </w:r>
      <w:r w:rsidR="00F717AA" w:rsidRPr="00DC5E6D">
        <w:rPr>
          <w:lang w:val="fr-FR"/>
        </w:rPr>
        <w:t>au total,</w:t>
      </w:r>
      <w:r w:rsidRPr="00DC5E6D">
        <w:rPr>
          <w:lang w:val="fr-FR"/>
        </w:rPr>
        <w:t xml:space="preserve"> </w:t>
      </w:r>
      <w:r w:rsidR="00C22CE2" w:rsidRPr="00DC5E6D">
        <w:rPr>
          <w:lang w:val="fr-FR"/>
        </w:rPr>
        <w:t>à savoir</w:t>
      </w:r>
      <w:r w:rsidRPr="00DC5E6D">
        <w:rPr>
          <w:lang w:val="fr-FR"/>
        </w:rPr>
        <w:t xml:space="preserve"> 189</w:t>
      </w:r>
      <w:r w:rsidR="00F717AA" w:rsidRPr="00DC5E6D">
        <w:rPr>
          <w:lang w:val="fr-FR"/>
        </w:rPr>
        <w:t> </w:t>
      </w:r>
      <w:r w:rsidRPr="00DC5E6D">
        <w:rPr>
          <w:lang w:val="fr-FR"/>
        </w:rPr>
        <w:t>ONG internationales et 7</w:t>
      </w:r>
      <w:r w:rsidR="005B7C5C">
        <w:rPr>
          <w:lang w:val="fr-FR"/>
        </w:rPr>
        <w:t>9</w:t>
      </w:r>
      <w:r w:rsidR="00F717AA" w:rsidRPr="00DC5E6D">
        <w:rPr>
          <w:lang w:val="fr-FR"/>
        </w:rPr>
        <w:t> </w:t>
      </w:r>
      <w:r w:rsidRPr="00DC5E6D">
        <w:rPr>
          <w:lang w:val="fr-FR"/>
        </w:rPr>
        <w:t>ONG nationales, sont actuellement admises en qualité d</w:t>
      </w:r>
      <w:r w:rsidR="00C22CE2" w:rsidRPr="00DC5E6D">
        <w:rPr>
          <w:lang w:val="fr-FR"/>
        </w:rPr>
        <w:t>’</w:t>
      </w:r>
      <w:r w:rsidRPr="00DC5E6D">
        <w:rPr>
          <w:lang w:val="fr-FR"/>
        </w:rPr>
        <w:t>observatrices à l</w:t>
      </w:r>
      <w:r w:rsidR="00C22CE2" w:rsidRPr="00DC5E6D">
        <w:rPr>
          <w:lang w:val="fr-FR"/>
        </w:rPr>
        <w:t>’</w:t>
      </w:r>
      <w:r w:rsidRPr="00DC5E6D">
        <w:rPr>
          <w:lang w:val="fr-FR"/>
        </w:rPr>
        <w:t>OMPI par les assemblées.</w:t>
      </w:r>
    </w:p>
    <w:p w:rsidR="00FA79DB" w:rsidRPr="00CE02B4" w:rsidRDefault="00FA79DB" w:rsidP="00CE02B4">
      <w:pPr>
        <w:pStyle w:val="ONUMFS"/>
        <w:ind w:left="5533"/>
        <w:rPr>
          <w:i/>
          <w:lang w:val="fr-FR"/>
        </w:rPr>
      </w:pPr>
      <w:r w:rsidRPr="00CE02B4">
        <w:rPr>
          <w:i/>
          <w:lang w:val="fr-FR"/>
        </w:rPr>
        <w:t>Les assemblées de l</w:t>
      </w:r>
      <w:r w:rsidR="00C22CE2" w:rsidRPr="00CE02B4">
        <w:rPr>
          <w:i/>
          <w:lang w:val="fr-FR"/>
        </w:rPr>
        <w:t>’</w:t>
      </w:r>
      <w:r w:rsidRPr="00CE02B4">
        <w:rPr>
          <w:i/>
          <w:lang w:val="fr-FR"/>
        </w:rPr>
        <w:t xml:space="preserve">OMPI, chacune pour ce qui la concerne, sont invitées à prendre note du document intitulé </w:t>
      </w:r>
      <w:r w:rsidR="00C22CE2" w:rsidRPr="00CE02B4">
        <w:rPr>
          <w:i/>
          <w:lang w:val="fr-FR"/>
        </w:rPr>
        <w:t>“</w:t>
      </w:r>
      <w:r w:rsidRPr="00CE02B4">
        <w:rPr>
          <w:i/>
          <w:lang w:val="fr-FR"/>
        </w:rPr>
        <w:t>Mise à jour de la liste des organisations non gouvernementales admises en qualité d</w:t>
      </w:r>
      <w:r w:rsidR="00C22CE2" w:rsidRPr="00CE02B4">
        <w:rPr>
          <w:i/>
          <w:lang w:val="fr-FR"/>
        </w:rPr>
        <w:t>’</w:t>
      </w:r>
      <w:r w:rsidRPr="00CE02B4">
        <w:rPr>
          <w:i/>
          <w:lang w:val="fr-FR"/>
        </w:rPr>
        <w:t>observatrices à l</w:t>
      </w:r>
      <w:r w:rsidR="00C22CE2" w:rsidRPr="00CE02B4">
        <w:rPr>
          <w:i/>
          <w:lang w:val="fr-FR"/>
        </w:rPr>
        <w:t>’</w:t>
      </w:r>
      <w:r w:rsidRPr="00CE02B4">
        <w:rPr>
          <w:i/>
          <w:lang w:val="fr-FR"/>
        </w:rPr>
        <w:t>OMPI</w:t>
      </w:r>
      <w:r w:rsidR="00C22CE2" w:rsidRPr="00CE02B4">
        <w:rPr>
          <w:i/>
          <w:lang w:val="fr-FR"/>
        </w:rPr>
        <w:t>”</w:t>
      </w:r>
      <w:r w:rsidRPr="00CE02B4">
        <w:rPr>
          <w:i/>
          <w:lang w:val="fr-FR"/>
        </w:rPr>
        <w:t xml:space="preserve"> (document</w:t>
      </w:r>
      <w:r w:rsidR="00F717AA" w:rsidRPr="00CE02B4">
        <w:rPr>
          <w:i/>
          <w:lang w:val="fr-FR"/>
        </w:rPr>
        <w:t> </w:t>
      </w:r>
      <w:r w:rsidRPr="00CE02B4">
        <w:rPr>
          <w:i/>
          <w:lang w:val="fr-FR"/>
        </w:rPr>
        <w:t>A/62/4</w:t>
      </w:r>
      <w:r w:rsidR="005B7C5C">
        <w:rPr>
          <w:i/>
          <w:lang w:val="fr-FR"/>
        </w:rPr>
        <w:t> </w:t>
      </w:r>
      <w:proofErr w:type="spellStart"/>
      <w:r w:rsidR="005B7C5C">
        <w:rPr>
          <w:i/>
          <w:lang w:val="fr-FR"/>
        </w:rPr>
        <w:t>Rev</w:t>
      </w:r>
      <w:proofErr w:type="spellEnd"/>
      <w:r w:rsidR="005B7C5C">
        <w:rPr>
          <w:i/>
          <w:lang w:val="fr-FR"/>
        </w:rPr>
        <w:t>.</w:t>
      </w:r>
      <w:r w:rsidRPr="00CE02B4">
        <w:rPr>
          <w:i/>
          <w:lang w:val="fr-FR"/>
        </w:rPr>
        <w:t>).</w:t>
      </w:r>
    </w:p>
    <w:p w:rsidR="00FA79DB" w:rsidRPr="00CE02B4" w:rsidRDefault="00FA79DB" w:rsidP="00CE02B4">
      <w:pPr>
        <w:pStyle w:val="Endofdocument-Annex"/>
        <w:sectPr w:rsidR="00FA79DB" w:rsidRPr="00CE02B4" w:rsidSect="007B213A">
          <w:headerReference w:type="default" r:id="rId8"/>
          <w:endnotePr>
            <w:numFmt w:val="decimal"/>
          </w:endnotePr>
          <w:pgSz w:w="11907" w:h="16840" w:code="9"/>
          <w:pgMar w:top="567" w:right="1134" w:bottom="1418" w:left="1418" w:header="510" w:footer="1021" w:gutter="0"/>
          <w:pgNumType w:start="1"/>
          <w:cols w:space="720"/>
          <w:titlePg/>
          <w:docGrid w:linePitch="299"/>
        </w:sectPr>
      </w:pPr>
      <w:r w:rsidRPr="00CE02B4">
        <w:t>[L</w:t>
      </w:r>
      <w:r w:rsidR="00C22CE2" w:rsidRPr="00CE02B4">
        <w:t>’</w:t>
      </w:r>
      <w:r w:rsidRPr="00CE02B4">
        <w:t>annexe suit]</w:t>
      </w:r>
    </w:p>
    <w:p w:rsidR="00FA79DB" w:rsidRPr="00CE02B4" w:rsidRDefault="00FA79DB" w:rsidP="00FA79DB">
      <w:pPr>
        <w:pStyle w:val="Heading3"/>
        <w:spacing w:after="480"/>
        <w:rPr>
          <w:u w:val="none"/>
          <w:lang w:val="fr-FR"/>
        </w:rPr>
      </w:pPr>
      <w:r w:rsidRPr="00CE02B4">
        <w:rPr>
          <w:u w:val="none"/>
          <w:lang w:val="fr-FR"/>
        </w:rPr>
        <w:lastRenderedPageBreak/>
        <w:t>Figure</w:t>
      </w:r>
      <w:r w:rsidR="00C22CE2" w:rsidRPr="00CE02B4">
        <w:rPr>
          <w:u w:val="none"/>
          <w:lang w:val="fr-FR"/>
        </w:rPr>
        <w:t> :</w:t>
      </w:r>
      <w:r w:rsidRPr="00CE02B4">
        <w:rPr>
          <w:u w:val="none"/>
          <w:lang w:val="fr-FR"/>
        </w:rPr>
        <w:t xml:space="preserve"> Part</w:t>
      </w:r>
      <w:r w:rsidR="00C22CE2" w:rsidRPr="00CE02B4">
        <w:rPr>
          <w:u w:val="none"/>
          <w:lang w:val="fr-FR"/>
        </w:rPr>
        <w:t xml:space="preserve"> des ONG</w:t>
      </w:r>
      <w:r w:rsidRPr="00CE02B4">
        <w:rPr>
          <w:u w:val="none"/>
          <w:lang w:val="fr-FR"/>
        </w:rPr>
        <w:t xml:space="preserve"> observatrices visées par la procédure de mise à jour et finalement retenues ou non retenues en qualité d</w:t>
      </w:r>
      <w:r w:rsidR="00C22CE2" w:rsidRPr="00CE02B4">
        <w:rPr>
          <w:u w:val="none"/>
          <w:lang w:val="fr-FR"/>
        </w:rPr>
        <w:t>’</w:t>
      </w:r>
      <w:r w:rsidRPr="00CE02B4">
        <w:rPr>
          <w:u w:val="none"/>
          <w:lang w:val="fr-FR"/>
        </w:rPr>
        <w:t>observatrices (</w:t>
      </w:r>
      <w:r w:rsidR="005B7C5C">
        <w:rPr>
          <w:u w:val="none"/>
          <w:lang w:val="fr-FR"/>
        </w:rPr>
        <w:t>les chiffres tiennent compte d</w:t>
      </w:r>
      <w:r w:rsidR="00C22CE2" w:rsidRPr="00CE02B4">
        <w:rPr>
          <w:u w:val="none"/>
          <w:lang w:val="fr-FR"/>
        </w:rPr>
        <w:t>es ONG</w:t>
      </w:r>
      <w:r w:rsidRPr="00CE02B4">
        <w:rPr>
          <w:u w:val="none"/>
          <w:lang w:val="fr-FR"/>
        </w:rPr>
        <w:t xml:space="preserve"> ayant recouvré le statut d</w:t>
      </w:r>
      <w:r w:rsidR="00C22CE2" w:rsidRPr="00CE02B4">
        <w:rPr>
          <w:u w:val="none"/>
          <w:lang w:val="fr-FR"/>
        </w:rPr>
        <w:t>’</w:t>
      </w:r>
      <w:r w:rsidRPr="00CE02B4">
        <w:rPr>
          <w:u w:val="none"/>
          <w:lang w:val="fr-FR"/>
        </w:rPr>
        <w:t>observateur)</w:t>
      </w:r>
    </w:p>
    <w:p w:rsidR="00FA79DB" w:rsidRPr="00CE02B4" w:rsidRDefault="00FA79DB" w:rsidP="007B213A">
      <w:r w:rsidRPr="00CE02B4">
        <w:rPr>
          <w:noProof/>
          <w:lang w:val="en-US" w:eastAsia="en-US"/>
        </w:rPr>
        <w:drawing>
          <wp:inline distT="0" distB="0" distL="0" distR="0" wp14:anchorId="2FA83CC2" wp14:editId="642FA7D4">
            <wp:extent cx="5940425" cy="3093720"/>
            <wp:effectExtent l="0" t="0" r="3175" b="11430"/>
            <wp:docPr id="1" name="Chart 1" descr="Showing the number of  NGOs" title="Two Chart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79DB" w:rsidRPr="00CE02B4" w:rsidRDefault="00FA79DB" w:rsidP="00FA79DB">
      <w:pPr>
        <w:rPr>
          <w:u w:val="single"/>
          <w:lang w:val="fr-FR"/>
        </w:rPr>
      </w:pPr>
      <w:r w:rsidRPr="00CE02B4">
        <w:rPr>
          <w:u w:val="single"/>
          <w:lang w:val="fr-FR"/>
        </w:rPr>
        <w:br w:type="page"/>
      </w:r>
    </w:p>
    <w:p w:rsidR="00FA79DB" w:rsidRPr="00CE02B4" w:rsidRDefault="00FA79DB" w:rsidP="00FA79DB">
      <w:pPr>
        <w:pStyle w:val="Heading3"/>
        <w:spacing w:after="240"/>
        <w:rPr>
          <w:lang w:val="fr-FR"/>
        </w:rPr>
      </w:pPr>
      <w:r w:rsidRPr="00CE02B4">
        <w:rPr>
          <w:lang w:val="fr-FR"/>
        </w:rPr>
        <w:lastRenderedPageBreak/>
        <w:t>Tableau A</w:t>
      </w:r>
      <w:r w:rsidR="00C22CE2" w:rsidRPr="007B213A">
        <w:rPr>
          <w:u w:val="none"/>
          <w:lang w:val="fr-FR"/>
        </w:rPr>
        <w:t> :</w:t>
      </w:r>
      <w:r w:rsidRPr="007B213A">
        <w:rPr>
          <w:u w:val="none"/>
          <w:lang w:val="fr-FR"/>
        </w:rPr>
        <w:t xml:space="preserve"> ONG internationales retirées de la liste des observateurs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rnational NGOs"/>
        <w:tblDescription w:val="Names of the International NGOs"/>
      </w:tblPr>
      <w:tblGrid>
        <w:gridCol w:w="9355"/>
      </w:tblGrid>
      <w:tr w:rsidR="00FA79DB" w:rsidRPr="00CE02B4" w:rsidTr="007F77E5">
        <w:trPr>
          <w:trHeight w:val="260"/>
          <w:tblHeader/>
        </w:trPr>
        <w:tc>
          <w:tcPr>
            <w:tcW w:w="9355" w:type="dxa"/>
            <w:shd w:val="clear" w:color="auto" w:fill="BFBFBF" w:themeFill="background1" w:themeFillShade="BF"/>
            <w:noWrap/>
          </w:tcPr>
          <w:p w:rsidR="00FA79DB" w:rsidRPr="00CE02B4" w:rsidRDefault="00FA79DB" w:rsidP="007F77E5">
            <w:pPr>
              <w:rPr>
                <w:rFonts w:eastAsia="Times New Roman"/>
                <w:b/>
                <w:szCs w:val="22"/>
                <w:lang w:val="fr-FR" w:eastAsia="en-US"/>
              </w:rPr>
            </w:pPr>
            <w:r w:rsidRPr="00CE02B4">
              <w:rPr>
                <w:rFonts w:eastAsia="Times New Roman"/>
                <w:b/>
                <w:szCs w:val="22"/>
                <w:lang w:val="fr-FR" w:eastAsia="en-US"/>
              </w:rPr>
              <w:t>Nom de l</w:t>
            </w:r>
            <w:r w:rsidR="00C22CE2" w:rsidRPr="00CE02B4">
              <w:rPr>
                <w:rFonts w:eastAsia="Times New Roman"/>
                <w:b/>
                <w:szCs w:val="22"/>
                <w:lang w:val="fr-FR" w:eastAsia="en-US"/>
              </w:rPr>
              <w:t>’</w:t>
            </w:r>
            <w:r w:rsidRPr="00CE02B4">
              <w:rPr>
                <w:rFonts w:eastAsia="Times New Roman"/>
                <w:b/>
                <w:szCs w:val="22"/>
                <w:lang w:val="fr-FR" w:eastAsia="en-US"/>
              </w:rPr>
              <w:t>ONG internationale</w:t>
            </w:r>
          </w:p>
        </w:tc>
      </w:tr>
      <w:tr w:rsidR="00FA79DB" w:rsidRPr="00CE02B4" w:rsidTr="007F77E5">
        <w:trPr>
          <w:trHeight w:val="260"/>
          <w:tblHeader/>
        </w:trPr>
        <w:tc>
          <w:tcPr>
            <w:tcW w:w="9355" w:type="dxa"/>
            <w:shd w:val="clear" w:color="auto" w:fill="auto"/>
            <w:noWrap/>
          </w:tcPr>
          <w:p w:rsidR="00FA79DB" w:rsidRPr="00CE02B4" w:rsidRDefault="00FA79DB" w:rsidP="007F77E5">
            <w:pPr>
              <w:rPr>
                <w:rFonts w:eastAsia="Times New Roman"/>
                <w:b/>
                <w:szCs w:val="22"/>
                <w:lang w:val="fr-FR" w:eastAsia="en-US"/>
              </w:rPr>
            </w:pP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ActionAid</w:t>
            </w:r>
            <w:proofErr w:type="spellEnd"/>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Afro</w:t>
            </w:r>
            <w:r w:rsidRPr="00CE02B4">
              <w:rPr>
                <w:rFonts w:eastAsia="Times New Roman"/>
                <w:szCs w:val="22"/>
                <w:lang w:val="fr-FR" w:eastAsia="en-US"/>
              </w:rPr>
              <w:noBreakHyphen/>
              <w:t>Asian Book Council</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Alfa</w:t>
            </w:r>
            <w:r w:rsidRPr="00CE02B4">
              <w:rPr>
                <w:rFonts w:eastAsia="Times New Roman"/>
                <w:szCs w:val="22"/>
                <w:lang w:val="fr-FR" w:eastAsia="en-US"/>
              </w:rPr>
              <w:noBreakHyphen/>
              <w:t>Redi</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Alliance des sociétés cinématographiques européennes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Alliance européenne des agences de presse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Asia &amp; Pacific Internet Association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du droit international</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du transport aérien international</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européenne des industries de l’informatique et des télécommunications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européenne des radios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européenne pour l’administration de la recherche industrielle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européenne pour la protection des cultures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internationale de l’hôtellerie et restauration</w:t>
            </w:r>
          </w:p>
        </w:tc>
      </w:tr>
      <w:tr w:rsidR="00CB1698" w:rsidRPr="00CE02B4" w:rsidTr="007F77E5">
        <w:trPr>
          <w:trHeight w:val="275"/>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internationale de publicité</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internationale des arts plastiques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internationale des auteurs de comics et de cartoons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internationale des avocats du monde et des industries du spectacle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internationale des études et recherches sur l’information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internationale des interprètes de conférence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 xml:space="preserve">Association </w:t>
            </w:r>
            <w:proofErr w:type="spellStart"/>
            <w:r w:rsidRPr="00CE02B4">
              <w:rPr>
                <w:rFonts w:eastAsia="Times New Roman"/>
                <w:szCs w:val="22"/>
                <w:lang w:val="fr-FR" w:eastAsia="en-US"/>
              </w:rPr>
              <w:t>IQSensato</w:t>
            </w:r>
            <w:proofErr w:type="spellEnd"/>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pour la promotion de la propriété intellectuelle en Afrique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pour la protection de la propriété industrielle dans le monde arabe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Association pour une infrastructure de l’information libre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Bureau européen des unions de consommateurs</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Centre for Innovation Law and Policy</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Coalition for Intellectual Property Rights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Comité des instituts nationaux d’agents de brevets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Commission internationale de juristes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 xml:space="preserve">Computer </w:t>
            </w:r>
            <w:proofErr w:type="spellStart"/>
            <w:r w:rsidRPr="00CE02B4">
              <w:rPr>
                <w:rFonts w:eastAsia="Times New Roman"/>
                <w:szCs w:val="22"/>
                <w:lang w:val="fr-FR" w:eastAsia="en-US"/>
              </w:rPr>
              <w:t>Professionals</w:t>
            </w:r>
            <w:proofErr w:type="spellEnd"/>
            <w:r w:rsidRPr="00CE02B4">
              <w:rPr>
                <w:rFonts w:eastAsia="Times New Roman"/>
                <w:szCs w:val="22"/>
                <w:lang w:val="fr-FR" w:eastAsia="en-US"/>
              </w:rPr>
              <w:t xml:space="preserve"> for Social </w:t>
            </w:r>
            <w:proofErr w:type="spellStart"/>
            <w:r w:rsidRPr="00CE02B4">
              <w:rPr>
                <w:rFonts w:eastAsia="Times New Roman"/>
                <w:szCs w:val="22"/>
                <w:lang w:val="fr-FR" w:eastAsia="en-US"/>
              </w:rPr>
              <w:t>Responsibility</w:t>
            </w:r>
            <w:proofErr w:type="spellEnd"/>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Confédération internationale des travailleurs intellectuels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Conseil européen de l’industrie de la bande magnétique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Conseil européen des chambres de commerce américaines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Conseil francophone de la chanson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Conseil international de la danse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Consumers</w:t>
            </w:r>
            <w:proofErr w:type="spellEnd"/>
            <w:r w:rsidRPr="00CE02B4">
              <w:rPr>
                <w:rFonts w:eastAsia="Times New Roman"/>
                <w:szCs w:val="22"/>
                <w:lang w:val="fr-FR" w:eastAsia="en-US"/>
              </w:rPr>
              <w:t xml:space="preserve"> International</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Entidad</w:t>
            </w:r>
            <w:proofErr w:type="spellEnd"/>
            <w:r w:rsidRPr="00CE02B4">
              <w:rPr>
                <w:rFonts w:eastAsia="Times New Roman"/>
                <w:szCs w:val="22"/>
                <w:lang w:val="fr-FR" w:eastAsia="en-US"/>
              </w:rPr>
              <w:t xml:space="preserve"> de </w:t>
            </w:r>
            <w:proofErr w:type="spellStart"/>
            <w:r w:rsidRPr="00CE02B4">
              <w:rPr>
                <w:rFonts w:eastAsia="Times New Roman"/>
                <w:szCs w:val="22"/>
                <w:lang w:val="fr-FR" w:eastAsia="en-US"/>
              </w:rPr>
              <w:t>Gestión</w:t>
            </w:r>
            <w:proofErr w:type="spellEnd"/>
            <w:r w:rsidRPr="00CE02B4">
              <w:rPr>
                <w:rFonts w:eastAsia="Times New Roman"/>
                <w:szCs w:val="22"/>
                <w:lang w:val="fr-FR" w:eastAsia="en-US"/>
              </w:rPr>
              <w:t xml:space="preserve"> de </w:t>
            </w:r>
            <w:proofErr w:type="spellStart"/>
            <w:r w:rsidRPr="00CE02B4">
              <w:rPr>
                <w:rFonts w:eastAsia="Times New Roman"/>
                <w:szCs w:val="22"/>
                <w:lang w:val="fr-FR" w:eastAsia="en-US"/>
              </w:rPr>
              <w:t>Derechos</w:t>
            </w:r>
            <w:proofErr w:type="spellEnd"/>
            <w:r w:rsidRPr="00CE02B4">
              <w:rPr>
                <w:rFonts w:eastAsia="Times New Roman"/>
                <w:szCs w:val="22"/>
                <w:lang w:val="fr-FR" w:eastAsia="en-US"/>
              </w:rPr>
              <w:t xml:space="preserve"> de los </w:t>
            </w:r>
            <w:proofErr w:type="spellStart"/>
            <w:r w:rsidRPr="00CE02B4">
              <w:rPr>
                <w:rFonts w:eastAsia="Times New Roman"/>
                <w:szCs w:val="22"/>
                <w:lang w:val="fr-FR" w:eastAsia="en-US"/>
              </w:rPr>
              <w:t>Productores</w:t>
            </w:r>
            <w:proofErr w:type="spellEnd"/>
            <w:r w:rsidRPr="00CE02B4">
              <w:rPr>
                <w:rFonts w:eastAsia="Times New Roman"/>
                <w:szCs w:val="22"/>
                <w:lang w:val="fr-FR" w:eastAsia="en-US"/>
              </w:rPr>
              <w:t xml:space="preserve"> </w:t>
            </w:r>
            <w:proofErr w:type="spellStart"/>
            <w:r w:rsidRPr="00CE02B4">
              <w:rPr>
                <w:rFonts w:eastAsia="Times New Roman"/>
                <w:szCs w:val="22"/>
                <w:lang w:val="fr-FR" w:eastAsia="en-US"/>
              </w:rPr>
              <w:t>Audiovisuales</w:t>
            </w:r>
            <w:proofErr w:type="spellEnd"/>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European</w:t>
            </w:r>
            <w:proofErr w:type="spellEnd"/>
            <w:r w:rsidRPr="00CE02B4">
              <w:rPr>
                <w:rFonts w:eastAsia="Times New Roman"/>
                <w:szCs w:val="22"/>
                <w:lang w:val="fr-FR" w:eastAsia="en-US"/>
              </w:rPr>
              <w:t xml:space="preserve"> </w:t>
            </w:r>
            <w:proofErr w:type="spellStart"/>
            <w:r w:rsidRPr="00CE02B4">
              <w:rPr>
                <w:rFonts w:eastAsia="Times New Roman"/>
                <w:szCs w:val="22"/>
                <w:lang w:val="fr-FR" w:eastAsia="en-US"/>
              </w:rPr>
              <w:t>Cable</w:t>
            </w:r>
            <w:proofErr w:type="spellEnd"/>
            <w:r w:rsidRPr="00CE02B4">
              <w:rPr>
                <w:rFonts w:eastAsia="Times New Roman"/>
                <w:szCs w:val="22"/>
                <w:lang w:val="fr-FR" w:eastAsia="en-US"/>
              </w:rPr>
              <w:t xml:space="preserve"> Communications Association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European</w:t>
            </w:r>
            <w:proofErr w:type="spellEnd"/>
            <w:r w:rsidRPr="00CE02B4">
              <w:rPr>
                <w:rFonts w:eastAsia="Times New Roman"/>
                <w:szCs w:val="22"/>
                <w:lang w:val="fr-FR" w:eastAsia="en-US"/>
              </w:rPr>
              <w:t xml:space="preserve"> Composer and </w:t>
            </w:r>
            <w:proofErr w:type="spellStart"/>
            <w:r w:rsidRPr="00CE02B4">
              <w:rPr>
                <w:rFonts w:eastAsia="Times New Roman"/>
                <w:szCs w:val="22"/>
                <w:lang w:val="fr-FR" w:eastAsia="en-US"/>
              </w:rPr>
              <w:t>Songwriter</w:t>
            </w:r>
            <w:proofErr w:type="spellEnd"/>
            <w:r w:rsidRPr="00CE02B4">
              <w:rPr>
                <w:rFonts w:eastAsia="Times New Roman"/>
                <w:szCs w:val="22"/>
                <w:lang w:val="fr-FR" w:eastAsia="en-US"/>
              </w:rPr>
              <w:t xml:space="preserve"> Alliance</w:t>
            </w:r>
          </w:p>
        </w:tc>
      </w:tr>
      <w:tr w:rsidR="00CB1698" w:rsidRPr="00CE02B4" w:rsidTr="007F77E5">
        <w:trPr>
          <w:trHeight w:val="275"/>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European</w:t>
            </w:r>
            <w:proofErr w:type="spellEnd"/>
            <w:r w:rsidRPr="00CE02B4">
              <w:rPr>
                <w:rFonts w:eastAsia="Times New Roman"/>
                <w:szCs w:val="22"/>
                <w:lang w:val="fr-FR" w:eastAsia="en-US"/>
              </w:rPr>
              <w:t xml:space="preserve"> </w:t>
            </w:r>
            <w:proofErr w:type="spellStart"/>
            <w:r w:rsidRPr="00CE02B4">
              <w:rPr>
                <w:rFonts w:eastAsia="Times New Roman"/>
                <w:szCs w:val="22"/>
                <w:lang w:val="fr-FR" w:eastAsia="en-US"/>
              </w:rPr>
              <w:t>Generic</w:t>
            </w:r>
            <w:proofErr w:type="spellEnd"/>
            <w:r w:rsidRPr="00CE02B4">
              <w:rPr>
                <w:rFonts w:eastAsia="Times New Roman"/>
                <w:szCs w:val="22"/>
                <w:lang w:val="fr-FR" w:eastAsia="en-US"/>
              </w:rPr>
              <w:t xml:space="preserve"> </w:t>
            </w:r>
            <w:proofErr w:type="spellStart"/>
            <w:r w:rsidRPr="00CE02B4">
              <w:rPr>
                <w:rFonts w:eastAsia="Times New Roman"/>
                <w:szCs w:val="22"/>
                <w:lang w:val="fr-FR" w:eastAsia="en-US"/>
              </w:rPr>
              <w:t>medicines</w:t>
            </w:r>
            <w:proofErr w:type="spellEnd"/>
            <w:r w:rsidRPr="00CE02B4">
              <w:rPr>
                <w:rFonts w:eastAsia="Times New Roman"/>
                <w:szCs w:val="22"/>
                <w:lang w:val="fr-FR" w:eastAsia="en-US"/>
              </w:rPr>
              <w:t xml:space="preserve"> Association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arabe pour la protection des droits de propriété intellectuelle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des scénaristes d’Europe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européenne des mandataires de l’industrie en propriété industrielle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européenne des réalisateurs de l’audiovisuel</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internationale des architectes d’intérieur</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internationale des associations de distributeurs de films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internationale des bureaux d’extraits de presse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internationale des organisations d’hôteliers, restaurateurs et cafetiers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internationale des producteurs de films indépendants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Fédération latino</w:t>
            </w:r>
            <w:r w:rsidRPr="00CE02B4">
              <w:rPr>
                <w:rFonts w:eastAsia="Times New Roman"/>
                <w:szCs w:val="22"/>
                <w:lang w:val="fr-FR" w:eastAsia="en-US"/>
              </w:rPr>
              <w:noBreakHyphen/>
              <w:t>américaine des éditeurs de musique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lastRenderedPageBreak/>
              <w:t>Fédération mondiale des annonceurs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Groupement international des artistes interprètes ou exécutants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Hipatia</w:t>
            </w:r>
            <w:proofErr w:type="spellEnd"/>
            <w:r w:rsidRPr="00CE02B4">
              <w:rPr>
                <w:rFonts w:eastAsia="Times New Roman"/>
                <w:szCs w:val="22"/>
                <w:lang w:val="fr-FR" w:eastAsia="en-US"/>
              </w:rPr>
              <w:t xml:space="preserve"> Cultural Association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Institut de droit communautaire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Institut international des communications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Institut latino</w:t>
            </w:r>
            <w:r w:rsidRPr="00CE02B4">
              <w:rPr>
                <w:rFonts w:eastAsia="Times New Roman"/>
                <w:szCs w:val="22"/>
                <w:lang w:val="fr-FR" w:eastAsia="en-US"/>
              </w:rPr>
              <w:noBreakHyphen/>
              <w:t>américain de haute technologie, d’informatique et de droit</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International Alliance of Orchestra Associations</w:t>
            </w:r>
          </w:p>
        </w:tc>
      </w:tr>
      <w:tr w:rsidR="00CB1698" w:rsidRPr="00817B5D" w:rsidTr="007F77E5">
        <w:trPr>
          <w:trHeight w:val="260"/>
        </w:trPr>
        <w:tc>
          <w:tcPr>
            <w:tcW w:w="9355" w:type="dxa"/>
            <w:noWrap/>
            <w:hideMark/>
          </w:tcPr>
          <w:p w:rsidR="00CB1698" w:rsidRPr="00DC5E6D" w:rsidRDefault="00CB1698" w:rsidP="00E977AD">
            <w:pPr>
              <w:rPr>
                <w:rFonts w:eastAsia="Times New Roman"/>
                <w:szCs w:val="22"/>
                <w:lang w:eastAsia="en-US"/>
              </w:rPr>
            </w:pPr>
            <w:r w:rsidRPr="00DC5E6D">
              <w:rPr>
                <w:rFonts w:eastAsia="Times New Roman"/>
                <w:szCs w:val="22"/>
                <w:lang w:eastAsia="en-US"/>
              </w:rPr>
              <w:t xml:space="preserve">International </w:t>
            </w:r>
            <w:proofErr w:type="spellStart"/>
            <w:r w:rsidRPr="00DC5E6D">
              <w:rPr>
                <w:rFonts w:eastAsia="Times New Roman"/>
                <w:szCs w:val="22"/>
                <w:lang w:eastAsia="en-US"/>
              </w:rPr>
              <w:t>Anticounterfeiting</w:t>
            </w:r>
            <w:proofErr w:type="spellEnd"/>
            <w:r w:rsidRPr="00DC5E6D">
              <w:rPr>
                <w:rFonts w:eastAsia="Times New Roman"/>
                <w:szCs w:val="22"/>
                <w:lang w:eastAsia="en-US"/>
              </w:rPr>
              <w:t xml:space="preserve"> Coalition, Inc., Inc.</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International Association of IT Lawyers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International Communications Round Table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International Franchise Association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 xml:space="preserve">International </w:t>
            </w:r>
            <w:proofErr w:type="spellStart"/>
            <w:r w:rsidRPr="00CE02B4">
              <w:rPr>
                <w:rFonts w:eastAsia="Times New Roman"/>
                <w:szCs w:val="22"/>
                <w:lang w:val="fr-FR" w:eastAsia="en-US"/>
              </w:rPr>
              <w:t>Intellectual</w:t>
            </w:r>
            <w:proofErr w:type="spellEnd"/>
            <w:r w:rsidRPr="00CE02B4">
              <w:rPr>
                <w:rFonts w:eastAsia="Times New Roman"/>
                <w:szCs w:val="22"/>
                <w:lang w:val="fr-FR" w:eastAsia="en-US"/>
              </w:rPr>
              <w:t xml:space="preserve"> </w:t>
            </w:r>
            <w:proofErr w:type="spellStart"/>
            <w:r w:rsidRPr="00CE02B4">
              <w:rPr>
                <w:rFonts w:eastAsia="Times New Roman"/>
                <w:szCs w:val="22"/>
                <w:lang w:val="fr-FR" w:eastAsia="en-US"/>
              </w:rPr>
              <w:t>Property</w:t>
            </w:r>
            <w:proofErr w:type="spellEnd"/>
            <w:r w:rsidRPr="00CE02B4">
              <w:rPr>
                <w:rFonts w:eastAsia="Times New Roman"/>
                <w:szCs w:val="22"/>
                <w:lang w:val="fr-FR" w:eastAsia="en-US"/>
              </w:rPr>
              <w:t xml:space="preserve"> Alliance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International Music Managers Forum</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International Poetry for Peace Association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International Policy Network</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Licensing</w:t>
            </w:r>
            <w:proofErr w:type="spellEnd"/>
            <w:r w:rsidRPr="00CE02B4">
              <w:rPr>
                <w:rFonts w:eastAsia="Times New Roman"/>
                <w:szCs w:val="22"/>
                <w:lang w:val="fr-FR" w:eastAsia="en-US"/>
              </w:rPr>
              <w:t xml:space="preserve"> </w:t>
            </w:r>
            <w:proofErr w:type="spellStart"/>
            <w:r w:rsidRPr="00CE02B4">
              <w:rPr>
                <w:rFonts w:eastAsia="Times New Roman"/>
                <w:szCs w:val="22"/>
                <w:lang w:val="fr-FR" w:eastAsia="en-US"/>
              </w:rPr>
              <w:t>Executives</w:t>
            </w:r>
            <w:proofErr w:type="spellEnd"/>
            <w:r w:rsidRPr="00CE02B4">
              <w:rPr>
                <w:rFonts w:eastAsia="Times New Roman"/>
                <w:szCs w:val="22"/>
                <w:lang w:val="fr-FR" w:eastAsia="en-US"/>
              </w:rPr>
              <w:t xml:space="preserve"> Society (International)</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 xml:space="preserve">Organisation de la télévision </w:t>
            </w:r>
            <w:proofErr w:type="spellStart"/>
            <w:r w:rsidRPr="00CE02B4">
              <w:rPr>
                <w:rFonts w:eastAsia="Times New Roman"/>
                <w:szCs w:val="22"/>
                <w:lang w:val="fr-FR" w:eastAsia="en-US"/>
              </w:rPr>
              <w:t>ibéroaméricaine</w:t>
            </w:r>
            <w:proofErr w:type="spellEnd"/>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Organisation ibéro</w:t>
            </w:r>
            <w:r w:rsidRPr="00CE02B4">
              <w:rPr>
                <w:rFonts w:eastAsia="Times New Roman"/>
                <w:szCs w:val="22"/>
                <w:lang w:val="fr-FR" w:eastAsia="en-US"/>
              </w:rPr>
              <w:noBreakHyphen/>
              <w:t>américaine des droits d’auteur</w:t>
            </w:r>
            <w:r w:rsidRPr="00CE02B4">
              <w:rPr>
                <w:rFonts w:eastAsia="Times New Roman"/>
                <w:szCs w:val="22"/>
                <w:lang w:val="fr-FR" w:eastAsia="en-US"/>
              </w:rPr>
              <w:noBreakHyphen/>
            </w:r>
            <w:proofErr w:type="spellStart"/>
            <w:r w:rsidRPr="00CE02B4">
              <w:rPr>
                <w:rFonts w:eastAsia="Times New Roman"/>
                <w:szCs w:val="22"/>
                <w:lang w:val="fr-FR" w:eastAsia="en-US"/>
              </w:rPr>
              <w:t>Latinautor</w:t>
            </w:r>
            <w:proofErr w:type="spellEnd"/>
            <w:r w:rsidRPr="00CE02B4">
              <w:rPr>
                <w:rFonts w:eastAsia="Times New Roman"/>
                <w:szCs w:val="22"/>
                <w:lang w:val="fr-FR" w:eastAsia="en-US"/>
              </w:rPr>
              <w:t xml:space="preserve"> Inc. (statut d’observateur rétabli, voir le “Tableau C)</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Organisation internationale des journalistes</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Public Interest Intellectual Property Advisors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Rights</w:t>
            </w:r>
            <w:proofErr w:type="spellEnd"/>
            <w:r w:rsidRPr="00CE02B4">
              <w:rPr>
                <w:rFonts w:eastAsia="Times New Roman"/>
                <w:szCs w:val="22"/>
                <w:lang w:val="fr-FR" w:eastAsia="en-US"/>
              </w:rPr>
              <w:t xml:space="preserve"> &amp; </w:t>
            </w:r>
            <w:proofErr w:type="spellStart"/>
            <w:r w:rsidRPr="00CE02B4">
              <w:rPr>
                <w:rFonts w:eastAsia="Times New Roman"/>
                <w:szCs w:val="22"/>
                <w:lang w:val="fr-FR" w:eastAsia="en-US"/>
              </w:rPr>
              <w:t>Democracy</w:t>
            </w:r>
            <w:proofErr w:type="spellEnd"/>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Royal Institute of International Affairs (Chatham House)</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Royal Society for Encouragement of Arts, Manufactures and Commerce</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Scandinavian</w:t>
            </w:r>
            <w:proofErr w:type="spellEnd"/>
            <w:r w:rsidRPr="00CE02B4">
              <w:rPr>
                <w:rFonts w:eastAsia="Times New Roman"/>
                <w:szCs w:val="22"/>
                <w:lang w:val="fr-FR" w:eastAsia="en-US"/>
              </w:rPr>
              <w:t xml:space="preserve"> Patent Attorney Society</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Scholarly Publishing and Academic Resources Coalition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Société arabe pour la propriété intellectuelle (statut d’observateur rétabli, voir le “Tableau C”)</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Société internationale pour le droit d’auteur</w:t>
            </w:r>
          </w:p>
        </w:tc>
      </w:tr>
      <w:tr w:rsidR="00CB1698" w:rsidRPr="00817B5D" w:rsidTr="007F77E5">
        <w:trPr>
          <w:trHeight w:val="260"/>
        </w:trPr>
        <w:tc>
          <w:tcPr>
            <w:tcW w:w="9355" w:type="dxa"/>
            <w:noWrap/>
            <w:hideMark/>
          </w:tcPr>
          <w:p w:rsidR="00CB1698" w:rsidRPr="00CB1698" w:rsidRDefault="00CB1698" w:rsidP="00E977AD">
            <w:pPr>
              <w:rPr>
                <w:rFonts w:eastAsia="Times New Roman"/>
                <w:szCs w:val="22"/>
                <w:lang w:eastAsia="en-US"/>
              </w:rPr>
            </w:pPr>
            <w:r w:rsidRPr="00CB1698">
              <w:rPr>
                <w:rFonts w:eastAsia="Times New Roman"/>
                <w:szCs w:val="22"/>
                <w:lang w:eastAsia="en-US"/>
              </w:rPr>
              <w:t>Southern and Eastern Africa Copyright Network</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proofErr w:type="spellStart"/>
            <w:r w:rsidRPr="00CE02B4">
              <w:rPr>
                <w:rFonts w:eastAsia="Times New Roman"/>
                <w:szCs w:val="22"/>
                <w:lang w:val="fr-FR" w:eastAsia="en-US"/>
              </w:rPr>
              <w:t>Special</w:t>
            </w:r>
            <w:proofErr w:type="spellEnd"/>
            <w:r w:rsidRPr="00CE02B4">
              <w:rPr>
                <w:rFonts w:eastAsia="Times New Roman"/>
                <w:szCs w:val="22"/>
                <w:lang w:val="fr-FR" w:eastAsia="en-US"/>
              </w:rPr>
              <w:t xml:space="preserve"> </w:t>
            </w:r>
            <w:proofErr w:type="spellStart"/>
            <w:r w:rsidRPr="00CE02B4">
              <w:rPr>
                <w:rFonts w:eastAsia="Times New Roman"/>
                <w:szCs w:val="22"/>
                <w:lang w:val="fr-FR" w:eastAsia="en-US"/>
              </w:rPr>
              <w:t>Libraries</w:t>
            </w:r>
            <w:proofErr w:type="spellEnd"/>
            <w:r w:rsidRPr="00CE02B4">
              <w:rPr>
                <w:rFonts w:eastAsia="Times New Roman"/>
                <w:szCs w:val="22"/>
                <w:lang w:val="fr-FR" w:eastAsia="en-US"/>
              </w:rPr>
              <w:t xml:space="preserve"> Association</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Syndicat international des auteurs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Union des journalistes africains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Union des radiodiffusions des Caraïbes</w:t>
            </w:r>
          </w:p>
        </w:tc>
      </w:tr>
      <w:tr w:rsidR="00CB1698" w:rsidRPr="00CE02B4" w:rsidTr="007F77E5">
        <w:trPr>
          <w:trHeight w:val="260"/>
        </w:trPr>
        <w:tc>
          <w:tcPr>
            <w:tcW w:w="9355" w:type="dxa"/>
            <w:noWrap/>
            <w:hideMark/>
          </w:tcPr>
          <w:p w:rsidR="00CB1698" w:rsidRPr="00CE02B4" w:rsidRDefault="00CB1698" w:rsidP="00E977AD">
            <w:pPr>
              <w:rPr>
                <w:rFonts w:eastAsia="Times New Roman"/>
                <w:szCs w:val="22"/>
                <w:lang w:val="fr-FR" w:eastAsia="en-US"/>
              </w:rPr>
            </w:pPr>
            <w:r w:rsidRPr="00CE02B4">
              <w:rPr>
                <w:rFonts w:eastAsia="Times New Roman"/>
                <w:szCs w:val="22"/>
                <w:lang w:val="fr-FR" w:eastAsia="en-US"/>
              </w:rPr>
              <w:t>Union internationale des avocats</w:t>
            </w:r>
          </w:p>
        </w:tc>
      </w:tr>
      <w:tr w:rsidR="00E977AD" w:rsidRPr="00817B5D" w:rsidTr="007F77E5">
        <w:trPr>
          <w:trHeight w:val="260"/>
        </w:trPr>
        <w:tc>
          <w:tcPr>
            <w:tcW w:w="9355" w:type="dxa"/>
            <w:noWrap/>
            <w:hideMark/>
          </w:tcPr>
          <w:p w:rsidR="00E977AD" w:rsidRPr="00CB1698" w:rsidRDefault="00E977AD" w:rsidP="00E977AD">
            <w:pPr>
              <w:rPr>
                <w:rFonts w:eastAsia="Times New Roman"/>
                <w:szCs w:val="22"/>
                <w:lang w:eastAsia="en-US"/>
              </w:rPr>
            </w:pPr>
            <w:r w:rsidRPr="00CB1698">
              <w:rPr>
                <w:rFonts w:eastAsia="Times New Roman"/>
                <w:szCs w:val="22"/>
                <w:lang w:eastAsia="en-US"/>
              </w:rPr>
              <w:t>3 → Trade – Human Rights – Equitable Economy</w:t>
            </w:r>
          </w:p>
        </w:tc>
      </w:tr>
    </w:tbl>
    <w:p w:rsidR="00FA79DB" w:rsidRPr="00CB1698" w:rsidRDefault="00FA79DB" w:rsidP="00FA79DB">
      <w:pPr>
        <w:rPr>
          <w:u w:val="single"/>
          <w:lang w:val="en-US"/>
        </w:rPr>
      </w:pPr>
      <w:r w:rsidRPr="00CB1698">
        <w:rPr>
          <w:u w:val="single"/>
          <w:lang w:val="en-US"/>
        </w:rPr>
        <w:br w:type="page"/>
      </w:r>
    </w:p>
    <w:p w:rsidR="00FA79DB" w:rsidRPr="00CE02B4" w:rsidRDefault="00FA79DB" w:rsidP="00FA79DB">
      <w:pPr>
        <w:pStyle w:val="Heading3"/>
        <w:spacing w:after="240"/>
        <w:rPr>
          <w:lang w:val="fr-FR"/>
        </w:rPr>
      </w:pPr>
      <w:r w:rsidRPr="00CE02B4">
        <w:rPr>
          <w:lang w:val="fr-FR"/>
        </w:rPr>
        <w:lastRenderedPageBreak/>
        <w:t>Tableau B</w:t>
      </w:r>
      <w:r w:rsidR="00C22CE2" w:rsidRPr="007B213A">
        <w:rPr>
          <w:u w:val="none"/>
          <w:lang w:val="fr-FR"/>
        </w:rPr>
        <w:t> :</w:t>
      </w:r>
      <w:r w:rsidRPr="007B213A">
        <w:rPr>
          <w:u w:val="none"/>
          <w:lang w:val="fr-FR"/>
        </w:rPr>
        <w:t> ONG nationales retiré</w:t>
      </w:r>
      <w:r w:rsidR="007B213A" w:rsidRPr="007B213A">
        <w:rPr>
          <w:u w:val="none"/>
          <w:lang w:val="fr-FR"/>
        </w:rPr>
        <w:t>es de la liste des observateurs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w:tblDescription w:val="Names of National NGOs"/>
      </w:tblPr>
      <w:tblGrid>
        <w:gridCol w:w="9355"/>
      </w:tblGrid>
      <w:tr w:rsidR="00FA79DB" w:rsidRPr="00CE02B4" w:rsidTr="007F77E5">
        <w:trPr>
          <w:trHeight w:val="260"/>
          <w:tblHeader/>
        </w:trPr>
        <w:tc>
          <w:tcPr>
            <w:tcW w:w="9355" w:type="dxa"/>
            <w:shd w:val="clear" w:color="auto" w:fill="BFBFBF" w:themeFill="background1" w:themeFillShade="BF"/>
            <w:noWrap/>
          </w:tcPr>
          <w:p w:rsidR="00FA79DB" w:rsidRPr="00CE02B4" w:rsidRDefault="00FA79DB" w:rsidP="007F77E5">
            <w:pPr>
              <w:rPr>
                <w:rFonts w:eastAsia="Times New Roman"/>
                <w:b/>
                <w:szCs w:val="22"/>
                <w:lang w:val="fr-FR" w:eastAsia="en-US"/>
              </w:rPr>
            </w:pPr>
            <w:r w:rsidRPr="00CE02B4">
              <w:rPr>
                <w:rFonts w:eastAsia="Times New Roman"/>
                <w:b/>
                <w:szCs w:val="22"/>
                <w:lang w:val="fr-FR" w:eastAsia="en-US"/>
              </w:rPr>
              <w:t>Nom de l</w:t>
            </w:r>
            <w:r w:rsidR="00C22CE2" w:rsidRPr="00CE02B4">
              <w:rPr>
                <w:rFonts w:eastAsia="Times New Roman"/>
                <w:b/>
                <w:szCs w:val="22"/>
                <w:lang w:val="fr-FR" w:eastAsia="en-US"/>
              </w:rPr>
              <w:t>’</w:t>
            </w:r>
            <w:r w:rsidRPr="00CE02B4">
              <w:rPr>
                <w:rFonts w:eastAsia="Times New Roman"/>
                <w:b/>
                <w:szCs w:val="22"/>
                <w:lang w:val="fr-FR" w:eastAsia="en-US"/>
              </w:rPr>
              <w:t>ONG nationale</w:t>
            </w:r>
          </w:p>
        </w:tc>
      </w:tr>
      <w:tr w:rsidR="00FA79DB" w:rsidRPr="00CE02B4" w:rsidTr="007F77E5">
        <w:trPr>
          <w:trHeight w:val="260"/>
        </w:trPr>
        <w:tc>
          <w:tcPr>
            <w:tcW w:w="9355" w:type="dxa"/>
            <w:shd w:val="clear" w:color="auto" w:fill="auto"/>
            <w:noWrap/>
          </w:tcPr>
          <w:p w:rsidR="00FA79DB" w:rsidRPr="00CE02B4" w:rsidRDefault="00FA79DB" w:rsidP="007F77E5">
            <w:pPr>
              <w:rPr>
                <w:rFonts w:eastAsia="Times New Roman"/>
                <w:b/>
                <w:szCs w:val="22"/>
                <w:lang w:val="fr-FR" w:eastAsia="en-US"/>
              </w:rPr>
            </w:pP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Alliance pour les droits des créateurs</w:t>
            </w:r>
          </w:p>
        </w:tc>
      </w:tr>
      <w:tr w:rsidR="00CB1698" w:rsidRPr="00817B5D" w:rsidTr="007F77E5">
        <w:trPr>
          <w:trHeight w:val="260"/>
        </w:trPr>
        <w:tc>
          <w:tcPr>
            <w:tcW w:w="9355" w:type="dxa"/>
            <w:noWrap/>
            <w:hideMark/>
          </w:tcPr>
          <w:p w:rsidR="00CB1698" w:rsidRPr="00CB1698" w:rsidRDefault="00CB1698" w:rsidP="00E977AD">
            <w:r w:rsidRPr="00CB1698">
              <w:t>Alliance Towards Harnessing Global Opportunities Corporation</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 xml:space="preserve">American </w:t>
            </w:r>
            <w:proofErr w:type="spellStart"/>
            <w:r w:rsidRPr="00CE02B4">
              <w:rPr>
                <w:lang w:val="fr-FR"/>
              </w:rPr>
              <w:t>BioIndustry</w:t>
            </w:r>
            <w:proofErr w:type="spellEnd"/>
            <w:r w:rsidRPr="00CE02B4">
              <w:rPr>
                <w:lang w:val="fr-FR"/>
              </w:rPr>
              <w:t xml:space="preserve"> Alliance</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 xml:space="preserve">Association </w:t>
            </w:r>
            <w:proofErr w:type="spellStart"/>
            <w:r w:rsidRPr="00CE02B4">
              <w:rPr>
                <w:lang w:val="fr-FR"/>
              </w:rPr>
              <w:t>Bouregreg</w:t>
            </w:r>
            <w:proofErr w:type="spellEnd"/>
          </w:p>
        </w:tc>
      </w:tr>
      <w:tr w:rsidR="00CB1698" w:rsidRPr="00CE02B4" w:rsidTr="007F77E5">
        <w:trPr>
          <w:trHeight w:val="260"/>
        </w:trPr>
        <w:tc>
          <w:tcPr>
            <w:tcW w:w="9355" w:type="dxa"/>
            <w:noWrap/>
            <w:hideMark/>
          </w:tcPr>
          <w:p w:rsidR="00CB1698" w:rsidRPr="00CE02B4" w:rsidRDefault="00CB1698" w:rsidP="005B7C5C">
            <w:pPr>
              <w:ind w:right="-104"/>
              <w:rPr>
                <w:lang w:val="fr-FR"/>
              </w:rPr>
            </w:pPr>
            <w:r w:rsidRPr="00CE02B4">
              <w:rPr>
                <w:lang w:val="fr-FR"/>
              </w:rPr>
              <w:t>Association coréenne des conseils en brevets</w:t>
            </w:r>
            <w:r w:rsidR="005B7C5C">
              <w:rPr>
                <w:lang w:val="fr-FR"/>
              </w:rPr>
              <w:t xml:space="preserve"> (le statut d’observateur a été rétabli, voir le “Tableau D”)</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Association italienne pour les bibliothèques</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Association nationale des artistes interprètes</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Association pour la promotion de l’innovation scientifique</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Association syrienne en faveur de la propriété intellectuelle</w:t>
            </w:r>
          </w:p>
        </w:tc>
      </w:tr>
      <w:tr w:rsidR="00CB1698" w:rsidRPr="00817B5D" w:rsidTr="007F77E5">
        <w:trPr>
          <w:trHeight w:val="260"/>
        </w:trPr>
        <w:tc>
          <w:tcPr>
            <w:tcW w:w="9355" w:type="dxa"/>
            <w:noWrap/>
            <w:hideMark/>
          </w:tcPr>
          <w:p w:rsidR="00CB1698" w:rsidRPr="00CB1698" w:rsidRDefault="00CB1698" w:rsidP="00E977AD">
            <w:r w:rsidRPr="00CB1698">
              <w:t>Center for Information Society and Intellectual Property</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Centre brésilien de relations internationales</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 xml:space="preserve">EXIT Centre – Information </w:t>
            </w:r>
            <w:proofErr w:type="spellStart"/>
            <w:r w:rsidRPr="00CE02B4">
              <w:rPr>
                <w:lang w:val="fr-FR"/>
              </w:rPr>
              <w:t>Technology</w:t>
            </w:r>
            <w:proofErr w:type="spellEnd"/>
            <w:r w:rsidRPr="00CE02B4">
              <w:rPr>
                <w:lang w:val="fr-FR"/>
              </w:rPr>
              <w:t xml:space="preserve"> Business Support Centre</w:t>
            </w:r>
          </w:p>
        </w:tc>
      </w:tr>
      <w:tr w:rsidR="00CB1698" w:rsidRPr="00CE02B4" w:rsidTr="007F77E5">
        <w:trPr>
          <w:trHeight w:val="260"/>
        </w:trPr>
        <w:tc>
          <w:tcPr>
            <w:tcW w:w="9355" w:type="dxa"/>
            <w:noWrap/>
            <w:hideMark/>
          </w:tcPr>
          <w:p w:rsidR="00CB1698" w:rsidRPr="00CE02B4" w:rsidRDefault="00CB1698" w:rsidP="00E977AD">
            <w:pPr>
              <w:rPr>
                <w:lang w:val="fr-FR"/>
              </w:rPr>
            </w:pPr>
            <w:proofErr w:type="spellStart"/>
            <w:r w:rsidRPr="00CE02B4">
              <w:rPr>
                <w:lang w:val="fr-FR"/>
              </w:rPr>
              <w:t>Fundaçao</w:t>
            </w:r>
            <w:proofErr w:type="spellEnd"/>
            <w:r w:rsidRPr="00CE02B4">
              <w:rPr>
                <w:lang w:val="fr-FR"/>
              </w:rPr>
              <w:t xml:space="preserve"> </w:t>
            </w:r>
            <w:proofErr w:type="spellStart"/>
            <w:r w:rsidRPr="00CE02B4">
              <w:rPr>
                <w:lang w:val="fr-FR"/>
              </w:rPr>
              <w:t>Getulio</w:t>
            </w:r>
            <w:proofErr w:type="spellEnd"/>
            <w:r w:rsidRPr="00CE02B4">
              <w:rPr>
                <w:lang w:val="fr-FR"/>
              </w:rPr>
              <w:t xml:space="preserve"> Vargas</w:t>
            </w:r>
          </w:p>
        </w:tc>
      </w:tr>
      <w:tr w:rsidR="00CB1698" w:rsidRPr="00CE02B4" w:rsidTr="007F77E5">
        <w:trPr>
          <w:trHeight w:val="260"/>
        </w:trPr>
        <w:tc>
          <w:tcPr>
            <w:tcW w:w="9355" w:type="dxa"/>
            <w:noWrap/>
            <w:hideMark/>
          </w:tcPr>
          <w:p w:rsidR="00CB1698" w:rsidRPr="00CE02B4" w:rsidRDefault="00CB1698" w:rsidP="00E977AD">
            <w:pPr>
              <w:rPr>
                <w:lang w:val="fr-FR"/>
              </w:rPr>
            </w:pPr>
            <w:proofErr w:type="spellStart"/>
            <w:r w:rsidRPr="00CE02B4">
              <w:rPr>
                <w:lang w:val="fr-FR"/>
              </w:rPr>
              <w:t>Fundación</w:t>
            </w:r>
            <w:proofErr w:type="spellEnd"/>
            <w:r w:rsidRPr="00CE02B4">
              <w:rPr>
                <w:lang w:val="fr-FR"/>
              </w:rPr>
              <w:t xml:space="preserve"> para la </w:t>
            </w:r>
            <w:proofErr w:type="spellStart"/>
            <w:r w:rsidRPr="00CE02B4">
              <w:rPr>
                <w:lang w:val="fr-FR"/>
              </w:rPr>
              <w:t>Difusión</w:t>
            </w:r>
            <w:proofErr w:type="spellEnd"/>
            <w:r w:rsidRPr="00CE02B4">
              <w:rPr>
                <w:lang w:val="fr-FR"/>
              </w:rPr>
              <w:t xml:space="preserve"> </w:t>
            </w:r>
            <w:proofErr w:type="spellStart"/>
            <w:r w:rsidRPr="00CE02B4">
              <w:rPr>
                <w:lang w:val="fr-FR"/>
              </w:rPr>
              <w:t>del</w:t>
            </w:r>
            <w:proofErr w:type="spellEnd"/>
            <w:r w:rsidRPr="00CE02B4">
              <w:rPr>
                <w:lang w:val="fr-FR"/>
              </w:rPr>
              <w:t xml:space="preserve"> </w:t>
            </w:r>
            <w:proofErr w:type="spellStart"/>
            <w:r w:rsidRPr="00CE02B4">
              <w:rPr>
                <w:lang w:val="fr-FR"/>
              </w:rPr>
              <w:t>Conocimiento</w:t>
            </w:r>
            <w:proofErr w:type="spellEnd"/>
            <w:r w:rsidRPr="00CE02B4">
              <w:rPr>
                <w:lang w:val="fr-FR"/>
              </w:rPr>
              <w:t xml:space="preserve"> y el </w:t>
            </w:r>
            <w:proofErr w:type="spellStart"/>
            <w:r w:rsidRPr="00CE02B4">
              <w:rPr>
                <w:lang w:val="fr-FR"/>
              </w:rPr>
              <w:t>Desarrollo</w:t>
            </w:r>
            <w:proofErr w:type="spellEnd"/>
            <w:r w:rsidRPr="00CE02B4">
              <w:rPr>
                <w:lang w:val="fr-FR"/>
              </w:rPr>
              <w:t xml:space="preserve"> </w:t>
            </w:r>
            <w:proofErr w:type="spellStart"/>
            <w:r w:rsidRPr="00CE02B4">
              <w:rPr>
                <w:lang w:val="fr-FR"/>
              </w:rPr>
              <w:t>Sustentable</w:t>
            </w:r>
            <w:proofErr w:type="spellEnd"/>
            <w:r w:rsidRPr="00CE02B4">
              <w:rPr>
                <w:lang w:val="fr-FR"/>
              </w:rPr>
              <w:t xml:space="preserve"> </w:t>
            </w:r>
            <w:proofErr w:type="spellStart"/>
            <w:r w:rsidRPr="00CE02B4">
              <w:rPr>
                <w:lang w:val="fr-FR"/>
              </w:rPr>
              <w:t>Vía</w:t>
            </w:r>
            <w:proofErr w:type="spellEnd"/>
            <w:r w:rsidRPr="00CE02B4">
              <w:rPr>
                <w:lang w:val="fr-FR"/>
              </w:rPr>
              <w:t xml:space="preserve"> Libre</w:t>
            </w:r>
          </w:p>
        </w:tc>
      </w:tr>
      <w:tr w:rsidR="00CB1698" w:rsidRPr="00CE02B4" w:rsidTr="007F77E5">
        <w:trPr>
          <w:trHeight w:val="260"/>
        </w:trPr>
        <w:tc>
          <w:tcPr>
            <w:tcW w:w="9355" w:type="dxa"/>
            <w:noWrap/>
            <w:hideMark/>
          </w:tcPr>
          <w:p w:rsidR="00CB1698" w:rsidRPr="00CE02B4" w:rsidRDefault="00CB1698" w:rsidP="00E977AD">
            <w:pPr>
              <w:rPr>
                <w:lang w:val="fr-FR"/>
              </w:rPr>
            </w:pPr>
            <w:proofErr w:type="spellStart"/>
            <w:r w:rsidRPr="00CE02B4">
              <w:rPr>
                <w:lang w:val="fr-FR"/>
              </w:rPr>
              <w:t>Healthcheck</w:t>
            </w:r>
            <w:proofErr w:type="spellEnd"/>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Innovation Business Club</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Institut du droit du commerce international et du développement</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Institut sud</w:t>
            </w:r>
            <w:r w:rsidRPr="00CE02B4">
              <w:rPr>
                <w:lang w:val="fr-FR"/>
              </w:rPr>
              <w:noBreakHyphen/>
              <w:t>africain du droit de la propriété intellectuelle</w:t>
            </w:r>
          </w:p>
        </w:tc>
      </w:tr>
      <w:tr w:rsidR="00CB1698" w:rsidRPr="00CE02B4" w:rsidTr="007F77E5">
        <w:trPr>
          <w:trHeight w:val="260"/>
        </w:trPr>
        <w:tc>
          <w:tcPr>
            <w:tcW w:w="9355" w:type="dxa"/>
            <w:noWrap/>
            <w:hideMark/>
          </w:tcPr>
          <w:p w:rsidR="00CB1698" w:rsidRPr="00CE02B4" w:rsidRDefault="00CB1698" w:rsidP="00E977AD">
            <w:pPr>
              <w:rPr>
                <w:lang w:val="fr-FR"/>
              </w:rPr>
            </w:pPr>
            <w:proofErr w:type="spellStart"/>
            <w:r w:rsidRPr="00CE02B4">
              <w:rPr>
                <w:lang w:val="fr-FR"/>
              </w:rPr>
              <w:t>Intellectual</w:t>
            </w:r>
            <w:proofErr w:type="spellEnd"/>
            <w:r w:rsidRPr="00CE02B4">
              <w:rPr>
                <w:lang w:val="fr-FR"/>
              </w:rPr>
              <w:t xml:space="preserve"> </w:t>
            </w:r>
            <w:proofErr w:type="spellStart"/>
            <w:r w:rsidRPr="00CE02B4">
              <w:rPr>
                <w:lang w:val="fr-FR"/>
              </w:rPr>
              <w:t>Property</w:t>
            </w:r>
            <w:proofErr w:type="spellEnd"/>
            <w:r w:rsidRPr="00CE02B4">
              <w:rPr>
                <w:lang w:val="fr-FR"/>
              </w:rPr>
              <w:t xml:space="preserve"> </w:t>
            </w:r>
            <w:proofErr w:type="spellStart"/>
            <w:r w:rsidRPr="00CE02B4">
              <w:rPr>
                <w:lang w:val="fr-FR"/>
              </w:rPr>
              <w:t>Left</w:t>
            </w:r>
            <w:proofErr w:type="spellEnd"/>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 xml:space="preserve">International </w:t>
            </w:r>
            <w:proofErr w:type="spellStart"/>
            <w:r w:rsidRPr="00CE02B4">
              <w:rPr>
                <w:lang w:val="fr-FR"/>
              </w:rPr>
              <w:t>Intellectual</w:t>
            </w:r>
            <w:proofErr w:type="spellEnd"/>
            <w:r w:rsidRPr="00CE02B4">
              <w:rPr>
                <w:lang w:val="fr-FR"/>
              </w:rPr>
              <w:t xml:space="preserve"> </w:t>
            </w:r>
            <w:proofErr w:type="spellStart"/>
            <w:r w:rsidRPr="00CE02B4">
              <w:rPr>
                <w:lang w:val="fr-FR"/>
              </w:rPr>
              <w:t>Property</w:t>
            </w:r>
            <w:proofErr w:type="spellEnd"/>
            <w:r w:rsidRPr="00CE02B4">
              <w:rPr>
                <w:lang w:val="fr-FR"/>
              </w:rPr>
              <w:t xml:space="preserve"> Society</w:t>
            </w:r>
          </w:p>
        </w:tc>
      </w:tr>
      <w:tr w:rsidR="00CB1698" w:rsidRPr="00CE02B4" w:rsidTr="007F77E5">
        <w:trPr>
          <w:trHeight w:val="260"/>
        </w:trPr>
        <w:tc>
          <w:tcPr>
            <w:tcW w:w="9355" w:type="dxa"/>
            <w:noWrap/>
            <w:hideMark/>
          </w:tcPr>
          <w:p w:rsidR="00CB1698" w:rsidRPr="00CE02B4" w:rsidRDefault="00CB1698" w:rsidP="00E977AD">
            <w:pPr>
              <w:rPr>
                <w:lang w:val="fr-FR"/>
              </w:rPr>
            </w:pPr>
            <w:proofErr w:type="spellStart"/>
            <w:r w:rsidRPr="00CE02B4">
              <w:rPr>
                <w:lang w:val="fr-FR"/>
              </w:rPr>
              <w:t>Korean</w:t>
            </w:r>
            <w:proofErr w:type="spellEnd"/>
            <w:r w:rsidRPr="00CE02B4">
              <w:rPr>
                <w:lang w:val="fr-FR"/>
              </w:rPr>
              <w:t xml:space="preserve"> Progressive Network</w:t>
            </w:r>
          </w:p>
        </w:tc>
      </w:tr>
      <w:tr w:rsidR="00CB1698" w:rsidRPr="00817B5D" w:rsidTr="007F77E5">
        <w:trPr>
          <w:trHeight w:val="260"/>
        </w:trPr>
        <w:tc>
          <w:tcPr>
            <w:tcW w:w="9355" w:type="dxa"/>
            <w:noWrap/>
            <w:hideMark/>
          </w:tcPr>
          <w:p w:rsidR="00CB1698" w:rsidRPr="00CB1698" w:rsidRDefault="00CB1698" w:rsidP="00E977AD">
            <w:r w:rsidRPr="00CB1698">
              <w:t>Mexican National Association of Pharmaceutical Manufacturers</w:t>
            </w:r>
          </w:p>
        </w:tc>
      </w:tr>
      <w:tr w:rsidR="00CB1698" w:rsidRPr="00817B5D" w:rsidTr="007F77E5">
        <w:trPr>
          <w:trHeight w:val="260"/>
        </w:trPr>
        <w:tc>
          <w:tcPr>
            <w:tcW w:w="9355" w:type="dxa"/>
            <w:noWrap/>
            <w:hideMark/>
          </w:tcPr>
          <w:p w:rsidR="00CB1698" w:rsidRPr="00CB1698" w:rsidRDefault="00CB1698" w:rsidP="00E977AD">
            <w:r w:rsidRPr="00CB1698">
              <w:t>Picture Archive Council of America</w:t>
            </w:r>
          </w:p>
        </w:tc>
      </w:tr>
      <w:tr w:rsidR="00CB1698" w:rsidRPr="00CE02B4" w:rsidTr="007F77E5">
        <w:trPr>
          <w:trHeight w:val="260"/>
        </w:trPr>
        <w:tc>
          <w:tcPr>
            <w:tcW w:w="9355" w:type="dxa"/>
            <w:noWrap/>
            <w:hideMark/>
          </w:tcPr>
          <w:p w:rsidR="00CB1698" w:rsidRPr="00CE02B4" w:rsidRDefault="00CB1698" w:rsidP="00E977AD">
            <w:pPr>
              <w:rPr>
                <w:lang w:val="fr-FR"/>
              </w:rPr>
            </w:pPr>
            <w:r w:rsidRPr="00CE02B4">
              <w:rPr>
                <w:lang w:val="fr-FR"/>
              </w:rPr>
              <w:t xml:space="preserve">United States </w:t>
            </w:r>
            <w:proofErr w:type="spellStart"/>
            <w:r w:rsidRPr="00CE02B4">
              <w:rPr>
                <w:lang w:val="fr-FR"/>
              </w:rPr>
              <w:t>Telecommunications</w:t>
            </w:r>
            <w:proofErr w:type="spellEnd"/>
            <w:r w:rsidRPr="00CE02B4">
              <w:rPr>
                <w:lang w:val="fr-FR"/>
              </w:rPr>
              <w:t xml:space="preserve"> Association</w:t>
            </w:r>
          </w:p>
        </w:tc>
      </w:tr>
    </w:tbl>
    <w:p w:rsidR="00FA79DB" w:rsidRPr="00CE02B4" w:rsidRDefault="00FA79DB" w:rsidP="00FA79DB">
      <w:pPr>
        <w:pStyle w:val="Heading3"/>
        <w:spacing w:before="480" w:after="240"/>
        <w:rPr>
          <w:lang w:val="fr-FR"/>
        </w:rPr>
      </w:pPr>
      <w:r w:rsidRPr="00CE02B4">
        <w:rPr>
          <w:lang w:val="fr-FR"/>
        </w:rPr>
        <w:t>Tableau C</w:t>
      </w:r>
      <w:r w:rsidR="00C22CE2" w:rsidRPr="007B213A">
        <w:rPr>
          <w:u w:val="none"/>
          <w:lang w:val="fr-FR"/>
        </w:rPr>
        <w:t> :</w:t>
      </w:r>
      <w:r w:rsidRPr="007B213A">
        <w:rPr>
          <w:u w:val="none"/>
          <w:lang w:val="fr-FR"/>
        </w:rPr>
        <w:t> ONG internationales dont le statut d</w:t>
      </w:r>
      <w:r w:rsidR="00C22CE2" w:rsidRPr="007B213A">
        <w:rPr>
          <w:u w:val="none"/>
          <w:lang w:val="fr-FR"/>
        </w:rPr>
        <w:t>’</w:t>
      </w:r>
      <w:r w:rsidRPr="007B213A">
        <w:rPr>
          <w:u w:val="none"/>
          <w:lang w:val="fr-FR"/>
        </w:rPr>
        <w:t>observateur a été rétabli sur demande</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2"/>
        <w:tblDescription w:val="Names of National NGOs"/>
      </w:tblPr>
      <w:tblGrid>
        <w:gridCol w:w="9355"/>
      </w:tblGrid>
      <w:tr w:rsidR="00FA79DB" w:rsidRPr="00CE02B4" w:rsidTr="007F77E5">
        <w:trPr>
          <w:trHeight w:val="260"/>
          <w:tblHeader/>
        </w:trPr>
        <w:tc>
          <w:tcPr>
            <w:tcW w:w="9355" w:type="dxa"/>
            <w:shd w:val="clear" w:color="auto" w:fill="BFBFBF" w:themeFill="background1" w:themeFillShade="BF"/>
            <w:noWrap/>
          </w:tcPr>
          <w:p w:rsidR="00FA79DB" w:rsidRPr="00CE02B4" w:rsidRDefault="00FA79DB" w:rsidP="007F77E5">
            <w:pPr>
              <w:rPr>
                <w:rFonts w:eastAsia="Times New Roman"/>
                <w:b/>
                <w:szCs w:val="22"/>
                <w:lang w:val="fr-FR" w:eastAsia="en-US"/>
              </w:rPr>
            </w:pPr>
            <w:r w:rsidRPr="00CE02B4">
              <w:rPr>
                <w:rFonts w:eastAsia="Times New Roman"/>
                <w:b/>
                <w:szCs w:val="22"/>
                <w:lang w:val="fr-FR" w:eastAsia="en-US"/>
              </w:rPr>
              <w:t>Nom de l</w:t>
            </w:r>
            <w:r w:rsidR="00C22CE2" w:rsidRPr="00CE02B4">
              <w:rPr>
                <w:rFonts w:eastAsia="Times New Roman"/>
                <w:b/>
                <w:szCs w:val="22"/>
                <w:lang w:val="fr-FR" w:eastAsia="en-US"/>
              </w:rPr>
              <w:t>’</w:t>
            </w:r>
            <w:r w:rsidRPr="00CE02B4">
              <w:rPr>
                <w:rFonts w:eastAsia="Times New Roman"/>
                <w:b/>
                <w:szCs w:val="22"/>
                <w:lang w:val="fr-FR" w:eastAsia="en-US"/>
              </w:rPr>
              <w:t>ONG internationale</w:t>
            </w:r>
          </w:p>
        </w:tc>
      </w:tr>
      <w:tr w:rsidR="00FA79DB" w:rsidRPr="00CE02B4" w:rsidTr="007F77E5">
        <w:trPr>
          <w:trHeight w:val="260"/>
          <w:tblHeader/>
        </w:trPr>
        <w:tc>
          <w:tcPr>
            <w:tcW w:w="9355" w:type="dxa"/>
            <w:shd w:val="clear" w:color="auto" w:fill="auto"/>
            <w:noWrap/>
          </w:tcPr>
          <w:p w:rsidR="00FA79DB" w:rsidRPr="00CE02B4" w:rsidRDefault="00FA79DB" w:rsidP="007F77E5">
            <w:pPr>
              <w:rPr>
                <w:rFonts w:eastAsia="Times New Roman"/>
                <w:b/>
                <w:szCs w:val="22"/>
                <w:lang w:val="fr-FR" w:eastAsia="en-US"/>
              </w:rPr>
            </w:pPr>
          </w:p>
        </w:tc>
      </w:tr>
      <w:tr w:rsidR="00FA79DB" w:rsidRPr="00CE02B4" w:rsidTr="007F77E5">
        <w:trPr>
          <w:trHeight w:val="260"/>
          <w:tblHeader/>
        </w:trPr>
        <w:tc>
          <w:tcPr>
            <w:tcW w:w="9355" w:type="dxa"/>
            <w:shd w:val="clear" w:color="auto" w:fill="auto"/>
            <w:noWrap/>
            <w:hideMark/>
          </w:tcPr>
          <w:p w:rsidR="00FA79DB" w:rsidRPr="00CE02B4" w:rsidRDefault="00FA79DB" w:rsidP="007F77E5">
            <w:pPr>
              <w:rPr>
                <w:rFonts w:eastAsia="Times New Roman"/>
                <w:szCs w:val="22"/>
                <w:lang w:val="fr-FR" w:eastAsia="en-US"/>
              </w:rPr>
            </w:pPr>
            <w:r w:rsidRPr="00CE02B4">
              <w:rPr>
                <w:rFonts w:eastAsia="Times New Roman"/>
                <w:szCs w:val="22"/>
                <w:lang w:val="fr-FR" w:eastAsia="en-US"/>
              </w:rPr>
              <w:t>Organisation ibéro</w:t>
            </w:r>
            <w:r w:rsidR="00CE02B4" w:rsidRPr="00CE02B4">
              <w:rPr>
                <w:rFonts w:eastAsia="Times New Roman"/>
                <w:szCs w:val="22"/>
                <w:lang w:val="fr-FR" w:eastAsia="en-US"/>
              </w:rPr>
              <w:noBreakHyphen/>
            </w:r>
            <w:r w:rsidRPr="00CE02B4">
              <w:rPr>
                <w:rFonts w:eastAsia="Times New Roman"/>
                <w:szCs w:val="22"/>
                <w:lang w:val="fr-FR" w:eastAsia="en-US"/>
              </w:rPr>
              <w:t>américaine des droits d</w:t>
            </w:r>
            <w:r w:rsidR="00C22CE2" w:rsidRPr="00CE02B4">
              <w:rPr>
                <w:rFonts w:eastAsia="Times New Roman"/>
                <w:szCs w:val="22"/>
                <w:lang w:val="fr-FR" w:eastAsia="en-US"/>
              </w:rPr>
              <w:t>’</w:t>
            </w:r>
            <w:r w:rsidRPr="00CE02B4">
              <w:rPr>
                <w:rFonts w:eastAsia="Times New Roman"/>
                <w:szCs w:val="22"/>
                <w:lang w:val="fr-FR" w:eastAsia="en-US"/>
              </w:rPr>
              <w:t>auteur</w:t>
            </w:r>
            <w:r w:rsidR="00CE02B4" w:rsidRPr="00CE02B4">
              <w:rPr>
                <w:rFonts w:eastAsia="Times New Roman"/>
                <w:szCs w:val="22"/>
                <w:lang w:val="fr-FR" w:eastAsia="en-US"/>
              </w:rPr>
              <w:noBreakHyphen/>
            </w:r>
            <w:proofErr w:type="spellStart"/>
            <w:r w:rsidRPr="00CE02B4">
              <w:rPr>
                <w:rFonts w:eastAsia="Times New Roman"/>
                <w:szCs w:val="22"/>
                <w:lang w:val="fr-FR" w:eastAsia="en-US"/>
              </w:rPr>
              <w:t>Latinautor</w:t>
            </w:r>
            <w:proofErr w:type="spellEnd"/>
            <w:r w:rsidRPr="00CE02B4">
              <w:rPr>
                <w:rFonts w:eastAsia="Times New Roman"/>
                <w:szCs w:val="22"/>
                <w:lang w:val="fr-FR" w:eastAsia="en-US"/>
              </w:rPr>
              <w:t xml:space="preserve"> Inc.</w:t>
            </w:r>
          </w:p>
        </w:tc>
      </w:tr>
      <w:tr w:rsidR="00E977AD" w:rsidRPr="00CE02B4" w:rsidTr="007F77E5">
        <w:trPr>
          <w:trHeight w:val="260"/>
          <w:tblHeader/>
        </w:trPr>
        <w:tc>
          <w:tcPr>
            <w:tcW w:w="9355" w:type="dxa"/>
            <w:shd w:val="clear" w:color="auto" w:fill="auto"/>
            <w:noWrap/>
          </w:tcPr>
          <w:p w:rsidR="00E977AD" w:rsidRPr="00CE02B4" w:rsidRDefault="00E977AD" w:rsidP="007F77E5">
            <w:pPr>
              <w:rPr>
                <w:rFonts w:eastAsia="Times New Roman"/>
                <w:szCs w:val="22"/>
                <w:lang w:val="fr-FR" w:eastAsia="en-US"/>
              </w:rPr>
            </w:pPr>
            <w:r w:rsidRPr="00CE02B4">
              <w:rPr>
                <w:rFonts w:eastAsia="Times New Roman"/>
                <w:szCs w:val="22"/>
                <w:lang w:val="fr-FR" w:eastAsia="en-US"/>
              </w:rPr>
              <w:t>Société arabe pour la propriété intellectuelle</w:t>
            </w:r>
          </w:p>
        </w:tc>
      </w:tr>
    </w:tbl>
    <w:p w:rsidR="00C1494A" w:rsidRPr="00C1494A" w:rsidRDefault="00C1494A" w:rsidP="00C1494A">
      <w:pPr>
        <w:pStyle w:val="Heading3"/>
        <w:spacing w:before="480" w:after="240"/>
      </w:pPr>
      <w:r w:rsidRPr="00C1494A">
        <w:t>Tableau D</w:t>
      </w:r>
      <w:r w:rsidRPr="00645B6F">
        <w:rPr>
          <w:u w:val="none"/>
        </w:rPr>
        <w:t> </w:t>
      </w:r>
      <w:r w:rsidRPr="00C1494A">
        <w:rPr>
          <w:u w:val="none"/>
        </w:rPr>
        <w:t xml:space="preserve">: ONG nationales </w:t>
      </w:r>
      <w:r w:rsidRPr="007B213A">
        <w:rPr>
          <w:u w:val="none"/>
          <w:lang w:val="fr-FR"/>
        </w:rPr>
        <w:t>dont le statut d’observateur a été rétabli sur demande</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2"/>
        <w:tblDescription w:val="Names of National NGOs"/>
      </w:tblPr>
      <w:tblGrid>
        <w:gridCol w:w="9355"/>
      </w:tblGrid>
      <w:tr w:rsidR="00C1494A" w:rsidRPr="00E83349" w:rsidTr="00F346CC">
        <w:trPr>
          <w:trHeight w:val="260"/>
          <w:tblHeader/>
        </w:trPr>
        <w:tc>
          <w:tcPr>
            <w:tcW w:w="9355" w:type="dxa"/>
            <w:shd w:val="clear" w:color="auto" w:fill="BFBFBF" w:themeFill="background1" w:themeFillShade="BF"/>
            <w:noWrap/>
          </w:tcPr>
          <w:p w:rsidR="00C1494A" w:rsidRPr="00E83349" w:rsidRDefault="00C1494A" w:rsidP="00C1494A">
            <w:pPr>
              <w:rPr>
                <w:rFonts w:eastAsia="Times New Roman"/>
                <w:b/>
                <w:color w:val="000000"/>
                <w:szCs w:val="22"/>
                <w:lang w:eastAsia="en-US"/>
              </w:rPr>
            </w:pPr>
            <w:r w:rsidRPr="00CE02B4">
              <w:rPr>
                <w:rFonts w:eastAsia="Times New Roman"/>
                <w:b/>
                <w:szCs w:val="22"/>
                <w:lang w:val="fr-FR" w:eastAsia="en-US"/>
              </w:rPr>
              <w:t>Nom de l’ONG nationale</w:t>
            </w:r>
          </w:p>
        </w:tc>
      </w:tr>
      <w:tr w:rsidR="00C1494A" w:rsidRPr="00E83349" w:rsidTr="00F346CC">
        <w:trPr>
          <w:trHeight w:val="260"/>
          <w:tblHeader/>
        </w:trPr>
        <w:tc>
          <w:tcPr>
            <w:tcW w:w="9355" w:type="dxa"/>
            <w:shd w:val="clear" w:color="auto" w:fill="auto"/>
            <w:noWrap/>
          </w:tcPr>
          <w:p w:rsidR="00C1494A" w:rsidRPr="006F1C1E" w:rsidRDefault="00C1494A" w:rsidP="00F346CC">
            <w:pPr>
              <w:rPr>
                <w:rFonts w:eastAsia="Times New Roman"/>
                <w:b/>
                <w:color w:val="000000"/>
                <w:szCs w:val="22"/>
                <w:lang w:eastAsia="en-US"/>
              </w:rPr>
            </w:pPr>
          </w:p>
        </w:tc>
      </w:tr>
      <w:tr w:rsidR="00C1494A" w:rsidRPr="00C1494A" w:rsidTr="00F346CC">
        <w:trPr>
          <w:trHeight w:val="260"/>
          <w:tblHeader/>
        </w:trPr>
        <w:tc>
          <w:tcPr>
            <w:tcW w:w="9355" w:type="dxa"/>
            <w:shd w:val="clear" w:color="auto" w:fill="auto"/>
            <w:noWrap/>
          </w:tcPr>
          <w:p w:rsidR="00C1494A" w:rsidRPr="00C1494A" w:rsidRDefault="00C1494A" w:rsidP="00C1494A">
            <w:pPr>
              <w:rPr>
                <w:rFonts w:eastAsia="Times New Roman"/>
                <w:color w:val="000000"/>
                <w:szCs w:val="22"/>
                <w:lang w:val="fr-CH" w:eastAsia="en-US"/>
              </w:rPr>
            </w:pPr>
            <w:r w:rsidRPr="00C1494A">
              <w:rPr>
                <w:rFonts w:eastAsia="Times New Roman"/>
                <w:color w:val="000000"/>
                <w:szCs w:val="22"/>
                <w:lang w:val="fr-CH" w:eastAsia="en-US"/>
              </w:rPr>
              <w:t xml:space="preserve">Association </w:t>
            </w:r>
            <w:r>
              <w:rPr>
                <w:rFonts w:eastAsia="Times New Roman"/>
                <w:color w:val="000000"/>
                <w:szCs w:val="22"/>
                <w:lang w:val="fr-CH" w:eastAsia="en-US"/>
              </w:rPr>
              <w:t>coréenne</w:t>
            </w:r>
            <w:r w:rsidRPr="00C1494A">
              <w:rPr>
                <w:rFonts w:eastAsia="Times New Roman"/>
                <w:color w:val="000000"/>
                <w:szCs w:val="22"/>
                <w:lang w:val="fr-CH" w:eastAsia="en-US"/>
              </w:rPr>
              <w:t xml:space="preserve"> des conseils en brevets</w:t>
            </w:r>
          </w:p>
        </w:tc>
      </w:tr>
      <w:tr w:rsidR="00C1494A" w:rsidRPr="00C1494A" w:rsidTr="00F346CC">
        <w:trPr>
          <w:trHeight w:val="260"/>
          <w:tblHeader/>
        </w:trPr>
        <w:tc>
          <w:tcPr>
            <w:tcW w:w="9355" w:type="dxa"/>
            <w:shd w:val="clear" w:color="auto" w:fill="auto"/>
            <w:noWrap/>
          </w:tcPr>
          <w:p w:rsidR="00C1494A" w:rsidRPr="00C1494A" w:rsidRDefault="00C1494A" w:rsidP="00F346CC">
            <w:pPr>
              <w:rPr>
                <w:rFonts w:eastAsia="Times New Roman"/>
                <w:color w:val="000000"/>
                <w:szCs w:val="22"/>
                <w:lang w:val="fr-CH" w:eastAsia="en-US"/>
              </w:rPr>
            </w:pPr>
          </w:p>
        </w:tc>
      </w:tr>
    </w:tbl>
    <w:p w:rsidR="000F5E56" w:rsidRPr="00CE02B4" w:rsidRDefault="00FA79DB" w:rsidP="007B213A">
      <w:pPr>
        <w:pStyle w:val="Endofdocument-Annex"/>
      </w:pPr>
      <w:r w:rsidRPr="00CE02B4">
        <w:t>[Fin de l</w:t>
      </w:r>
      <w:r w:rsidR="00C22CE2" w:rsidRPr="00CE02B4">
        <w:t>’</w:t>
      </w:r>
      <w:r w:rsidRPr="00CE02B4">
        <w:t>annexe et du document]</w:t>
      </w:r>
    </w:p>
    <w:sectPr w:rsidR="000F5E56" w:rsidRPr="00CE02B4" w:rsidSect="007B213A">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9DB" w:rsidRDefault="00FA79DB">
      <w:r>
        <w:separator/>
      </w:r>
    </w:p>
  </w:endnote>
  <w:endnote w:type="continuationSeparator" w:id="0">
    <w:p w:rsidR="00FA79DB" w:rsidRPr="009D30E6" w:rsidRDefault="00FA79DB" w:rsidP="00D45252">
      <w:pPr>
        <w:rPr>
          <w:sz w:val="17"/>
          <w:szCs w:val="17"/>
        </w:rPr>
      </w:pPr>
      <w:r w:rsidRPr="009D30E6">
        <w:rPr>
          <w:sz w:val="17"/>
          <w:szCs w:val="17"/>
        </w:rPr>
        <w:separator/>
      </w:r>
    </w:p>
    <w:p w:rsidR="00FA79DB" w:rsidRPr="009D30E6" w:rsidRDefault="00FA79DB" w:rsidP="00D45252">
      <w:pPr>
        <w:spacing w:after="60"/>
        <w:rPr>
          <w:sz w:val="17"/>
          <w:szCs w:val="17"/>
        </w:rPr>
      </w:pPr>
      <w:r w:rsidRPr="009D30E6">
        <w:rPr>
          <w:sz w:val="17"/>
          <w:szCs w:val="17"/>
        </w:rPr>
        <w:t>[Suite de la note de la page précédente]</w:t>
      </w:r>
    </w:p>
  </w:endnote>
  <w:endnote w:type="continuationNotice" w:id="1">
    <w:p w:rsidR="00FA79DB" w:rsidRPr="009D30E6" w:rsidRDefault="00FA79D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9DB" w:rsidRDefault="00FA79DB">
      <w:r>
        <w:separator/>
      </w:r>
    </w:p>
  </w:footnote>
  <w:footnote w:type="continuationSeparator" w:id="0">
    <w:p w:rsidR="00FA79DB" w:rsidRDefault="00FA79DB" w:rsidP="007461F1">
      <w:r>
        <w:separator/>
      </w:r>
    </w:p>
    <w:p w:rsidR="00FA79DB" w:rsidRPr="009D30E6" w:rsidRDefault="00FA79DB" w:rsidP="007461F1">
      <w:pPr>
        <w:spacing w:after="60"/>
        <w:rPr>
          <w:sz w:val="17"/>
          <w:szCs w:val="17"/>
        </w:rPr>
      </w:pPr>
      <w:r w:rsidRPr="009D30E6">
        <w:rPr>
          <w:sz w:val="17"/>
          <w:szCs w:val="17"/>
        </w:rPr>
        <w:t>[Suite de la note de la page précédente]</w:t>
      </w:r>
    </w:p>
  </w:footnote>
  <w:footnote w:type="continuationNotice" w:id="1">
    <w:p w:rsidR="00FA79DB" w:rsidRPr="009D30E6" w:rsidRDefault="00FA79DB" w:rsidP="007461F1">
      <w:pPr>
        <w:spacing w:before="60"/>
        <w:jc w:val="right"/>
        <w:rPr>
          <w:sz w:val="17"/>
          <w:szCs w:val="17"/>
        </w:rPr>
      </w:pPr>
      <w:r w:rsidRPr="009D30E6">
        <w:rPr>
          <w:sz w:val="17"/>
          <w:szCs w:val="17"/>
        </w:rPr>
        <w:t>[Suite de la note page suivante]</w:t>
      </w:r>
    </w:p>
  </w:footnote>
  <w:footnote w:id="2">
    <w:p w:rsidR="00FA79DB" w:rsidRPr="00254802" w:rsidRDefault="00FA79DB" w:rsidP="00FA79DB">
      <w:pPr>
        <w:pStyle w:val="FootnoteText"/>
        <w:rPr>
          <w:lang w:val="fr-FR"/>
        </w:rPr>
      </w:pPr>
      <w:r w:rsidRPr="00254802">
        <w:rPr>
          <w:rStyle w:val="FootnoteReference"/>
          <w:lang w:val="fr-FR"/>
        </w:rPr>
        <w:footnoteRef/>
      </w:r>
      <w:r w:rsidRPr="00254802">
        <w:rPr>
          <w:lang w:val="fr-FR"/>
        </w:rPr>
        <w:t xml:space="preserve"> </w:t>
      </w:r>
      <w:r w:rsidR="00CE02B4">
        <w:rPr>
          <w:lang w:val="fr-FR"/>
        </w:rPr>
        <w:tab/>
      </w:r>
      <w:r w:rsidRPr="00254802">
        <w:rPr>
          <w:lang w:val="fr-FR"/>
        </w:rPr>
        <w:t xml:space="preserve">Le terme </w:t>
      </w:r>
      <w:r w:rsidR="00B22B4B">
        <w:rPr>
          <w:lang w:val="fr-FR"/>
        </w:rPr>
        <w:t>“</w:t>
      </w:r>
      <w:r w:rsidR="00B22B4B" w:rsidRPr="00254802">
        <w:rPr>
          <w:lang w:val="fr-FR"/>
        </w:rPr>
        <w:t>c</w:t>
      </w:r>
      <w:r w:rsidRPr="00254802">
        <w:rPr>
          <w:lang w:val="fr-FR"/>
        </w:rPr>
        <w:t>omité</w:t>
      </w:r>
      <w:r w:rsidR="00B22B4B" w:rsidRPr="00254802">
        <w:rPr>
          <w:lang w:val="fr-FR"/>
        </w:rPr>
        <w:t>s</w:t>
      </w:r>
      <w:r w:rsidR="00B22B4B">
        <w:rPr>
          <w:lang w:val="fr-FR"/>
        </w:rPr>
        <w:t>”</w:t>
      </w:r>
      <w:r w:rsidRPr="00254802">
        <w:rPr>
          <w:lang w:val="fr-FR"/>
        </w:rPr>
        <w:t xml:space="preserve"> désigne le Comité consultatif sur l</w:t>
      </w:r>
      <w:r w:rsidR="00B22B4B">
        <w:rPr>
          <w:lang w:val="fr-FR"/>
        </w:rPr>
        <w:t>’</w:t>
      </w:r>
      <w:r w:rsidRPr="00254802">
        <w:rPr>
          <w:lang w:val="fr-FR"/>
        </w:rPr>
        <w:t>application des droits (ACE), le Comité du développement et de la propriété intellectuelle (CDIP), le Comité des normes de l</w:t>
      </w:r>
      <w:r w:rsidR="00B22B4B">
        <w:rPr>
          <w:lang w:val="fr-FR"/>
        </w:rPr>
        <w:t>’</w:t>
      </w:r>
      <w:r w:rsidRPr="00254802">
        <w:rPr>
          <w:lang w:val="fr-FR"/>
        </w:rPr>
        <w:t>OMPI (CWS), le Comité intergouvernemental de la propriété intellectuelle relative aux ressources génétiques, aux savoirs traditionnels et au Folklore (IGC), le Comité permanent du droit d</w:t>
      </w:r>
      <w:r w:rsidR="00B22B4B">
        <w:rPr>
          <w:lang w:val="fr-FR"/>
        </w:rPr>
        <w:t>’</w:t>
      </w:r>
      <w:r w:rsidRPr="00254802">
        <w:rPr>
          <w:lang w:val="fr-FR"/>
        </w:rPr>
        <w:t>auteur et des droits connexes (SCCR), le Comité permanent du droit des brevets (SCP) et le Comité permanent du droit des marques, des dessins et modèles industriels et des indications géographiques (SCT).</w:t>
      </w:r>
    </w:p>
  </w:footnote>
  <w:footnote w:id="3">
    <w:p w:rsidR="00FA79DB" w:rsidRPr="00254802" w:rsidRDefault="00FA79DB" w:rsidP="00FA79DB">
      <w:pPr>
        <w:pStyle w:val="FootnoteText"/>
        <w:rPr>
          <w:lang w:val="fr-FR"/>
        </w:rPr>
      </w:pPr>
      <w:r w:rsidRPr="00254802">
        <w:rPr>
          <w:rStyle w:val="FootnoteReference"/>
          <w:lang w:val="fr-FR"/>
        </w:rPr>
        <w:footnoteRef/>
      </w:r>
      <w:r w:rsidRPr="00254802">
        <w:rPr>
          <w:lang w:val="fr-FR"/>
        </w:rPr>
        <w:t xml:space="preserve"> </w:t>
      </w:r>
      <w:r w:rsidR="00CE02B4">
        <w:rPr>
          <w:lang w:val="fr-FR"/>
        </w:rPr>
        <w:tab/>
      </w:r>
      <w:r w:rsidRPr="00254802">
        <w:rPr>
          <w:lang w:val="fr-FR"/>
        </w:rPr>
        <w:t>Le processus de mise à jour portait uniquement sur le statut d</w:t>
      </w:r>
      <w:r w:rsidR="00B22B4B">
        <w:rPr>
          <w:lang w:val="fr-FR"/>
        </w:rPr>
        <w:t>’</w:t>
      </w:r>
      <w:r w:rsidRPr="00254802">
        <w:rPr>
          <w:lang w:val="fr-FR"/>
        </w:rPr>
        <w:t xml:space="preserve">observateur octroyé par les assemblées. </w:t>
      </w:r>
      <w:r w:rsidR="009310C9">
        <w:rPr>
          <w:lang w:val="fr-FR"/>
        </w:rPr>
        <w:t xml:space="preserve"> </w:t>
      </w:r>
      <w:r w:rsidRPr="00254802">
        <w:rPr>
          <w:lang w:val="fr-FR"/>
        </w:rPr>
        <w:t>Le statut d</w:t>
      </w:r>
      <w:r w:rsidR="00B22B4B">
        <w:rPr>
          <w:lang w:val="fr-FR"/>
        </w:rPr>
        <w:t>’</w:t>
      </w:r>
      <w:r w:rsidRPr="00254802">
        <w:rPr>
          <w:lang w:val="fr-FR"/>
        </w:rPr>
        <w:t>observateur ad</w:t>
      </w:r>
      <w:r w:rsidR="009310C9">
        <w:rPr>
          <w:lang w:val="fr-FR"/>
        </w:rPr>
        <w:t> </w:t>
      </w:r>
      <w:r w:rsidRPr="00254802">
        <w:rPr>
          <w:lang w:val="fr-FR"/>
        </w:rPr>
        <w:t>hoc octroyé par un organe subsidiaire de l</w:t>
      </w:r>
      <w:r w:rsidR="00B22B4B">
        <w:rPr>
          <w:lang w:val="fr-FR"/>
        </w:rPr>
        <w:t>’</w:t>
      </w:r>
      <w:r w:rsidRPr="00254802">
        <w:rPr>
          <w:lang w:val="fr-FR"/>
        </w:rPr>
        <w:t>OMPI n</w:t>
      </w:r>
      <w:r w:rsidR="00B22B4B">
        <w:rPr>
          <w:lang w:val="fr-FR"/>
        </w:rPr>
        <w:t>’</w:t>
      </w:r>
      <w:r w:rsidRPr="00254802">
        <w:rPr>
          <w:lang w:val="fr-FR"/>
        </w:rPr>
        <w:t>était pas concerné.</w:t>
      </w:r>
    </w:p>
  </w:footnote>
  <w:footnote w:id="4">
    <w:p w:rsidR="00FA79DB" w:rsidRPr="00254802" w:rsidRDefault="00FA79DB" w:rsidP="00FA79DB">
      <w:pPr>
        <w:pStyle w:val="FootnoteText"/>
        <w:rPr>
          <w:lang w:val="fr-FR"/>
        </w:rPr>
      </w:pPr>
      <w:r w:rsidRPr="00254802">
        <w:rPr>
          <w:rStyle w:val="FootnoteReference"/>
          <w:lang w:val="fr-FR"/>
        </w:rPr>
        <w:footnoteRef/>
      </w:r>
      <w:r w:rsidRPr="00254802">
        <w:rPr>
          <w:lang w:val="fr-FR"/>
        </w:rPr>
        <w:t xml:space="preserve"> </w:t>
      </w:r>
      <w:r w:rsidR="00CE02B4">
        <w:rPr>
          <w:lang w:val="fr-FR"/>
        </w:rPr>
        <w:tab/>
      </w:r>
      <w:r w:rsidRPr="00254802">
        <w:rPr>
          <w:lang w:val="fr-FR"/>
        </w:rPr>
        <w:t>Pour la liste détaillée</w:t>
      </w:r>
      <w:r w:rsidR="00B22B4B" w:rsidRPr="00254802">
        <w:rPr>
          <w:lang w:val="fr-FR"/>
        </w:rPr>
        <w:t xml:space="preserve"> des</w:t>
      </w:r>
      <w:r w:rsidR="00B22B4B">
        <w:rPr>
          <w:lang w:val="fr-FR"/>
        </w:rPr>
        <w:t> </w:t>
      </w:r>
      <w:r w:rsidR="00B22B4B" w:rsidRPr="00254802">
        <w:rPr>
          <w:lang w:val="fr-FR"/>
        </w:rPr>
        <w:t>ONG</w:t>
      </w:r>
      <w:r w:rsidRPr="00254802">
        <w:rPr>
          <w:lang w:val="fr-FR"/>
        </w:rPr>
        <w:t xml:space="preserve"> avec le statut d</w:t>
      </w:r>
      <w:r w:rsidR="00B22B4B">
        <w:rPr>
          <w:lang w:val="fr-FR"/>
        </w:rPr>
        <w:t>’</w:t>
      </w:r>
      <w:r w:rsidRPr="00254802">
        <w:rPr>
          <w:lang w:val="fr-FR"/>
        </w:rPr>
        <w:t>observateur qui ont été retiré</w:t>
      </w:r>
      <w:r w:rsidR="00D879F3">
        <w:rPr>
          <w:lang w:val="fr-FR"/>
        </w:rPr>
        <w:t>es</w:t>
      </w:r>
      <w:r w:rsidRPr="00254802">
        <w:rPr>
          <w:lang w:val="fr-FR"/>
        </w:rPr>
        <w:t xml:space="preserve"> de la liste des observateurs à l</w:t>
      </w:r>
      <w:r w:rsidR="00B22B4B">
        <w:rPr>
          <w:lang w:val="fr-FR"/>
        </w:rPr>
        <w:t>’</w:t>
      </w:r>
      <w:r w:rsidRPr="00254802">
        <w:rPr>
          <w:lang w:val="fr-FR"/>
        </w:rPr>
        <w:t xml:space="preserve">OMPI, voir le </w:t>
      </w:r>
      <w:r w:rsidR="00B22B4B">
        <w:rPr>
          <w:lang w:val="fr-FR"/>
        </w:rPr>
        <w:t>“</w:t>
      </w:r>
      <w:r w:rsidR="00B22B4B" w:rsidRPr="00254802">
        <w:rPr>
          <w:lang w:val="fr-FR"/>
        </w:rPr>
        <w:t>T</w:t>
      </w:r>
      <w:r w:rsidRPr="00254802">
        <w:rPr>
          <w:lang w:val="fr-FR"/>
        </w:rPr>
        <w:t xml:space="preserve">ableau </w:t>
      </w:r>
      <w:r w:rsidR="00B22B4B" w:rsidRPr="00254802">
        <w:rPr>
          <w:lang w:val="fr-FR"/>
        </w:rPr>
        <w:t>A</w:t>
      </w:r>
      <w:r w:rsidR="00B22B4B">
        <w:rPr>
          <w:lang w:val="fr-FR"/>
        </w:rPr>
        <w:t>”</w:t>
      </w:r>
      <w:r w:rsidRPr="00254802">
        <w:rPr>
          <w:lang w:val="fr-FR"/>
        </w:rPr>
        <w:t xml:space="preserve"> (ONG internationales) et le </w:t>
      </w:r>
      <w:r w:rsidR="00B22B4B">
        <w:rPr>
          <w:lang w:val="fr-FR"/>
        </w:rPr>
        <w:t>“</w:t>
      </w:r>
      <w:r w:rsidR="00B22B4B" w:rsidRPr="00254802">
        <w:rPr>
          <w:lang w:val="fr-FR"/>
        </w:rPr>
        <w:t>T</w:t>
      </w:r>
      <w:r w:rsidRPr="00254802">
        <w:rPr>
          <w:lang w:val="fr-FR"/>
        </w:rPr>
        <w:t xml:space="preserve">ableau </w:t>
      </w:r>
      <w:r w:rsidR="00B22B4B" w:rsidRPr="00254802">
        <w:rPr>
          <w:lang w:val="fr-FR"/>
        </w:rPr>
        <w:t>B</w:t>
      </w:r>
      <w:r w:rsidR="00B22B4B">
        <w:rPr>
          <w:lang w:val="fr-FR"/>
        </w:rPr>
        <w:t>”</w:t>
      </w:r>
      <w:r w:rsidRPr="00254802">
        <w:rPr>
          <w:lang w:val="fr-FR"/>
        </w:rPr>
        <w:t xml:space="preserve"> (ONG nationales) à l</w:t>
      </w:r>
      <w:r w:rsidR="00B22B4B">
        <w:rPr>
          <w:lang w:val="fr-FR"/>
        </w:rPr>
        <w:t>’</w:t>
      </w:r>
      <w:r w:rsidRPr="00254802">
        <w:rPr>
          <w:lang w:val="fr-FR"/>
        </w:rPr>
        <w:t>annexe du présent document.</w:t>
      </w:r>
    </w:p>
  </w:footnote>
  <w:footnote w:id="5">
    <w:p w:rsidR="00FA79DB" w:rsidRPr="00254802" w:rsidRDefault="00FA79DB" w:rsidP="00FA79DB">
      <w:pPr>
        <w:pStyle w:val="FootnoteText"/>
        <w:rPr>
          <w:lang w:val="fr-FR"/>
        </w:rPr>
      </w:pPr>
      <w:r w:rsidRPr="00254802">
        <w:rPr>
          <w:rStyle w:val="FootnoteReference"/>
          <w:lang w:val="fr-FR"/>
        </w:rPr>
        <w:footnoteRef/>
      </w:r>
      <w:r w:rsidRPr="00254802">
        <w:rPr>
          <w:lang w:val="fr-FR"/>
        </w:rPr>
        <w:t xml:space="preserve"> </w:t>
      </w:r>
      <w:r w:rsidR="00CE02B4">
        <w:rPr>
          <w:lang w:val="fr-FR"/>
        </w:rPr>
        <w:tab/>
      </w:r>
      <w:r w:rsidRPr="00254802">
        <w:rPr>
          <w:lang w:val="fr-FR"/>
        </w:rPr>
        <w:t>Pour la liste détaillée</w:t>
      </w:r>
      <w:r w:rsidR="00B22B4B" w:rsidRPr="00254802">
        <w:rPr>
          <w:lang w:val="fr-FR"/>
        </w:rPr>
        <w:t xml:space="preserve"> des</w:t>
      </w:r>
      <w:r w:rsidR="00B22B4B">
        <w:rPr>
          <w:lang w:val="fr-FR"/>
        </w:rPr>
        <w:t> </w:t>
      </w:r>
      <w:r w:rsidR="00B22B4B" w:rsidRPr="00254802">
        <w:rPr>
          <w:lang w:val="fr-FR"/>
        </w:rPr>
        <w:t>ONG</w:t>
      </w:r>
      <w:r w:rsidRPr="00254802">
        <w:rPr>
          <w:lang w:val="fr-FR"/>
        </w:rPr>
        <w:t xml:space="preserve"> ayant le statut d</w:t>
      </w:r>
      <w:r w:rsidR="00B22B4B">
        <w:rPr>
          <w:lang w:val="fr-FR"/>
        </w:rPr>
        <w:t>’</w:t>
      </w:r>
      <w:r w:rsidRPr="00254802">
        <w:rPr>
          <w:lang w:val="fr-FR"/>
        </w:rPr>
        <w:t xml:space="preserve">observateur concernées, voir le </w:t>
      </w:r>
      <w:r w:rsidR="00B22B4B">
        <w:rPr>
          <w:lang w:val="fr-FR"/>
        </w:rPr>
        <w:t>“</w:t>
      </w:r>
      <w:r w:rsidR="00B22B4B" w:rsidRPr="00254802">
        <w:rPr>
          <w:lang w:val="fr-FR"/>
        </w:rPr>
        <w:t>T</w:t>
      </w:r>
      <w:r w:rsidRPr="00254802">
        <w:rPr>
          <w:lang w:val="fr-FR"/>
        </w:rPr>
        <w:t xml:space="preserve">ableau </w:t>
      </w:r>
      <w:r w:rsidR="00B22B4B" w:rsidRPr="00254802">
        <w:rPr>
          <w:lang w:val="fr-FR"/>
        </w:rPr>
        <w:t>C</w:t>
      </w:r>
      <w:r w:rsidR="00B22B4B">
        <w:rPr>
          <w:lang w:val="fr-FR"/>
        </w:rPr>
        <w:t>”</w:t>
      </w:r>
      <w:r w:rsidR="005B7C5C">
        <w:rPr>
          <w:lang w:val="fr-FR"/>
        </w:rPr>
        <w:t xml:space="preserve"> et le “Tableau D”</w:t>
      </w:r>
      <w:r w:rsidRPr="00254802">
        <w:rPr>
          <w:lang w:val="fr-FR"/>
        </w:rPr>
        <w:t xml:space="preserve"> à l</w:t>
      </w:r>
      <w:r w:rsidR="00B22B4B">
        <w:rPr>
          <w:lang w:val="fr-FR"/>
        </w:rPr>
        <w:t>’</w:t>
      </w:r>
      <w:r w:rsidRPr="00254802">
        <w:rPr>
          <w:lang w:val="fr-FR"/>
        </w:rPr>
        <w:t>annexe du présent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DB" w:rsidRDefault="00FA79DB" w:rsidP="00477D6B">
    <w:pPr>
      <w:jc w:val="right"/>
    </w:pPr>
    <w:r>
      <w:t>A/62/4</w:t>
    </w:r>
    <w:r w:rsidR="00645B6F">
      <w:t> </w:t>
    </w:r>
    <w:proofErr w:type="spellStart"/>
    <w:r w:rsidR="00645B6F">
      <w:t>Rev</w:t>
    </w:r>
    <w:proofErr w:type="spellEnd"/>
    <w:r w:rsidR="00645B6F">
      <w:t>.</w:t>
    </w:r>
  </w:p>
  <w:p w:rsidR="00FA79DB" w:rsidRDefault="00DC5E6D" w:rsidP="009E61EA">
    <w:pPr>
      <w:spacing w:after="480"/>
      <w:jc w:val="right"/>
    </w:pPr>
    <w:r>
      <w:t>page </w:t>
    </w:r>
    <w:r>
      <w:fldChar w:fldCharType="begin"/>
    </w:r>
    <w:r>
      <w:instrText xml:space="preserve"> PAGE   \* MERGEFORMAT </w:instrText>
    </w:r>
    <w:r>
      <w:fldChar w:fldCharType="separate"/>
    </w:r>
    <w:r w:rsidR="00A06593">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FA79DB" w:rsidP="00477D6B">
    <w:pPr>
      <w:jc w:val="right"/>
    </w:pPr>
    <w:bookmarkStart w:id="6" w:name="Code2"/>
    <w:bookmarkEnd w:id="6"/>
    <w:r>
      <w:t>A/62/4</w:t>
    </w:r>
    <w:r w:rsidR="00645B6F">
      <w:t> </w:t>
    </w:r>
    <w:proofErr w:type="spellStart"/>
    <w:r w:rsidR="00645B6F">
      <w:t>Rev</w:t>
    </w:r>
    <w:proofErr w:type="spellEnd"/>
    <w:r w:rsidR="00645B6F">
      <w:t>.</w:t>
    </w:r>
  </w:p>
  <w:p w:rsidR="00F16975" w:rsidRDefault="007B213A" w:rsidP="007B213A">
    <w:pPr>
      <w:spacing w:after="480"/>
      <w:jc w:val="right"/>
    </w:pPr>
    <w:r>
      <w:t>Annexe, page </w:t>
    </w:r>
    <w:r w:rsidR="00F16975">
      <w:fldChar w:fldCharType="begin"/>
    </w:r>
    <w:r w:rsidR="00F16975">
      <w:instrText xml:space="preserve"> PAGE  \* MERGEFORMAT </w:instrText>
    </w:r>
    <w:r w:rsidR="00F16975">
      <w:fldChar w:fldCharType="separate"/>
    </w:r>
    <w:r w:rsidR="00A06593">
      <w:rPr>
        <w:noProof/>
      </w:rPr>
      <w:t>4</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13A" w:rsidRPr="00CE02B4" w:rsidRDefault="007B213A" w:rsidP="007B213A">
    <w:pPr>
      <w:jc w:val="right"/>
      <w:rPr>
        <w:lang w:val="fr-FR"/>
      </w:rPr>
    </w:pPr>
    <w:r w:rsidRPr="00CE02B4">
      <w:rPr>
        <w:lang w:val="fr-FR"/>
      </w:rPr>
      <w:t>A/62/4</w:t>
    </w:r>
    <w:r w:rsidR="00645B6F">
      <w:rPr>
        <w:lang w:val="fr-FR"/>
      </w:rPr>
      <w:t> </w:t>
    </w:r>
    <w:proofErr w:type="spellStart"/>
    <w:r w:rsidR="00645B6F">
      <w:rPr>
        <w:lang w:val="fr-FR"/>
      </w:rPr>
      <w:t>Rev</w:t>
    </w:r>
    <w:proofErr w:type="spellEnd"/>
    <w:r w:rsidR="00645B6F">
      <w:rPr>
        <w:lang w:val="fr-FR"/>
      </w:rPr>
      <w:t>.</w:t>
    </w:r>
  </w:p>
  <w:p w:rsidR="007B213A" w:rsidRPr="00CE02B4" w:rsidRDefault="007B213A" w:rsidP="007B213A">
    <w:pPr>
      <w:spacing w:after="480"/>
      <w:jc w:val="right"/>
      <w:rPr>
        <w:lang w:val="fr-FR"/>
      </w:rPr>
    </w:pPr>
    <w:r w:rsidRPr="00CE02B4">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DB"/>
    <w:rsid w:val="00011B7D"/>
    <w:rsid w:val="00075432"/>
    <w:rsid w:val="000F111D"/>
    <w:rsid w:val="000F5E56"/>
    <w:rsid w:val="001362EE"/>
    <w:rsid w:val="001832A6"/>
    <w:rsid w:val="00195C6E"/>
    <w:rsid w:val="001B266A"/>
    <w:rsid w:val="001D3D56"/>
    <w:rsid w:val="001F5803"/>
    <w:rsid w:val="00240654"/>
    <w:rsid w:val="002634C4"/>
    <w:rsid w:val="002D4918"/>
    <w:rsid w:val="002E4D1A"/>
    <w:rsid w:val="002F16BC"/>
    <w:rsid w:val="002F4E68"/>
    <w:rsid w:val="00315FCA"/>
    <w:rsid w:val="003845C1"/>
    <w:rsid w:val="003A1BCD"/>
    <w:rsid w:val="004008A2"/>
    <w:rsid w:val="004025DF"/>
    <w:rsid w:val="00423E3E"/>
    <w:rsid w:val="0042687C"/>
    <w:rsid w:val="00427AF4"/>
    <w:rsid w:val="004647DA"/>
    <w:rsid w:val="00477D6B"/>
    <w:rsid w:val="004A06BD"/>
    <w:rsid w:val="004D6471"/>
    <w:rsid w:val="004F4E31"/>
    <w:rsid w:val="00525B63"/>
    <w:rsid w:val="00547476"/>
    <w:rsid w:val="00561DB8"/>
    <w:rsid w:val="00567A4C"/>
    <w:rsid w:val="005B7C5C"/>
    <w:rsid w:val="005E6516"/>
    <w:rsid w:val="00605827"/>
    <w:rsid w:val="00645B6F"/>
    <w:rsid w:val="00676936"/>
    <w:rsid w:val="006B0DB5"/>
    <w:rsid w:val="006E4243"/>
    <w:rsid w:val="007461F1"/>
    <w:rsid w:val="007B213A"/>
    <w:rsid w:val="007D6961"/>
    <w:rsid w:val="007F07CB"/>
    <w:rsid w:val="00810CEF"/>
    <w:rsid w:val="0081208D"/>
    <w:rsid w:val="00817806"/>
    <w:rsid w:val="00817B5D"/>
    <w:rsid w:val="00842A13"/>
    <w:rsid w:val="00855A7D"/>
    <w:rsid w:val="008A2DFF"/>
    <w:rsid w:val="008B2CC1"/>
    <w:rsid w:val="008E7930"/>
    <w:rsid w:val="0090731E"/>
    <w:rsid w:val="009310C9"/>
    <w:rsid w:val="00940092"/>
    <w:rsid w:val="00966A22"/>
    <w:rsid w:val="00974CD6"/>
    <w:rsid w:val="009D30E6"/>
    <w:rsid w:val="009E3F6F"/>
    <w:rsid w:val="009F499F"/>
    <w:rsid w:val="00A06593"/>
    <w:rsid w:val="00A8453F"/>
    <w:rsid w:val="00AC0AE4"/>
    <w:rsid w:val="00AD61DB"/>
    <w:rsid w:val="00B22B4B"/>
    <w:rsid w:val="00B87BCF"/>
    <w:rsid w:val="00BA62D4"/>
    <w:rsid w:val="00BF155D"/>
    <w:rsid w:val="00C01684"/>
    <w:rsid w:val="00C1494A"/>
    <w:rsid w:val="00C22CE2"/>
    <w:rsid w:val="00C40E15"/>
    <w:rsid w:val="00C664C8"/>
    <w:rsid w:val="00C76A79"/>
    <w:rsid w:val="00CA15F5"/>
    <w:rsid w:val="00CB1698"/>
    <w:rsid w:val="00CE02B4"/>
    <w:rsid w:val="00CF0460"/>
    <w:rsid w:val="00D45252"/>
    <w:rsid w:val="00D71B4D"/>
    <w:rsid w:val="00D75C1E"/>
    <w:rsid w:val="00D879F3"/>
    <w:rsid w:val="00D93D55"/>
    <w:rsid w:val="00DB0349"/>
    <w:rsid w:val="00DC5E6D"/>
    <w:rsid w:val="00DD6A16"/>
    <w:rsid w:val="00E0091A"/>
    <w:rsid w:val="00E102D3"/>
    <w:rsid w:val="00E203AA"/>
    <w:rsid w:val="00E527A5"/>
    <w:rsid w:val="00E76456"/>
    <w:rsid w:val="00E977AD"/>
    <w:rsid w:val="00EE71CB"/>
    <w:rsid w:val="00F16975"/>
    <w:rsid w:val="00F66152"/>
    <w:rsid w:val="00F717AA"/>
    <w:rsid w:val="00FA79D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3C03A07-06AF-40BD-8DEA-CF4F79E8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CE02B4"/>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CE02B4"/>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rsid w:val="00FA79DB"/>
    <w:rPr>
      <w:vertAlign w:val="superscript"/>
    </w:rPr>
  </w:style>
  <w:style w:type="table" w:styleId="TableGrid">
    <w:name w:val="Table Grid"/>
    <w:basedOn w:val="TableNormal"/>
    <w:rsid w:val="00FA79D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E102D3"/>
    <w:rPr>
      <w:color w:val="0000FF" w:themeColor="hyperlink"/>
      <w:u w:val="single"/>
    </w:rPr>
  </w:style>
  <w:style w:type="character" w:styleId="CommentReference">
    <w:name w:val="annotation reference"/>
    <w:basedOn w:val="DefaultParagraphFont"/>
    <w:semiHidden/>
    <w:unhideWhenUsed/>
    <w:rsid w:val="00C1494A"/>
    <w:rPr>
      <w:sz w:val="16"/>
      <w:szCs w:val="16"/>
    </w:rPr>
  </w:style>
  <w:style w:type="character" w:customStyle="1" w:styleId="CommentTextChar">
    <w:name w:val="Comment Text Char"/>
    <w:basedOn w:val="DefaultParagraphFont"/>
    <w:link w:val="CommentText"/>
    <w:semiHidden/>
    <w:rsid w:val="00C1494A"/>
    <w:rPr>
      <w:rFonts w:ascii="Arial" w:eastAsia="SimSun" w:hAnsi="Arial" w:cs="Arial"/>
      <w:sz w:val="18"/>
      <w:lang w:eastAsia="zh-CN"/>
    </w:rPr>
  </w:style>
  <w:style w:type="paragraph" w:styleId="BalloonText">
    <w:name w:val="Balloon Text"/>
    <w:basedOn w:val="Normal"/>
    <w:link w:val="BalloonTextChar"/>
    <w:semiHidden/>
    <w:unhideWhenUsed/>
    <w:rsid w:val="00C1494A"/>
    <w:rPr>
      <w:rFonts w:ascii="Segoe UI" w:hAnsi="Segoe UI" w:cs="Segoe UI"/>
      <w:sz w:val="18"/>
      <w:szCs w:val="18"/>
    </w:rPr>
  </w:style>
  <w:style w:type="character" w:customStyle="1" w:styleId="BalloonTextChar">
    <w:name w:val="Balloon Text Char"/>
    <w:basedOn w:val="DefaultParagraphFont"/>
    <w:link w:val="BalloonText"/>
    <w:semiHidden/>
    <w:rsid w:val="00C1494A"/>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F).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16741226427398E-2"/>
          <c:y val="0.10765583181412668"/>
          <c:w val="0.82796651754714523"/>
          <c:h val="0.78468833637174662"/>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DD-456D-AEB3-D386BCF382A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1DD-456D-AEB3-D386BCF382A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1DD-456D-AEB3-D386BCF382A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1DD-456D-AEB3-D386BCF382A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11DD-456D-AEB3-D386BCF382A0}"/>
              </c:ext>
            </c:extLst>
          </c:dPt>
          <c:dLbls>
            <c:dLbl>
              <c:idx val="0"/>
              <c:layout>
                <c:manualLayout>
                  <c:x val="7.5090245023312716E-3"/>
                  <c:y val="0.42534326046924564"/>
                </c:manualLayout>
              </c:layout>
              <c:tx>
                <c:rich>
                  <a:bodyPr/>
                  <a:lstStyle/>
                  <a:p>
                    <a:r>
                      <a:rPr lang="en-US"/>
                      <a:t>ONG observatrices non visées</a:t>
                    </a:r>
                    <a:r>
                      <a:rPr lang="en-US" baseline="0"/>
                      <a:t> par la procédure de mise à jour : 173</a:t>
                    </a:r>
                    <a:endParaRPr lang="en-US"/>
                  </a:p>
                </c:rich>
              </c:tx>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1DD-456D-AEB3-D386BCF382A0}"/>
                </c:ext>
              </c:extLst>
            </c:dLbl>
            <c:dLbl>
              <c:idx val="2"/>
              <c:layout>
                <c:manualLayout>
                  <c:x val="-2.4404329632576702E-2"/>
                  <c:y val="9.4834574225322377E-2"/>
                </c:manualLayout>
              </c:layout>
              <c:tx>
                <c:rich>
                  <a:bodyPr/>
                  <a:lstStyle/>
                  <a:p>
                    <a:r>
                      <a:rPr lang="en-US"/>
                      <a:t>ONG observatrices maintenues sur la liste : </a:t>
                    </a:r>
                    <a:r>
                      <a:rPr lang="en-US" baseline="0"/>
                      <a:t>64</a:t>
                    </a:r>
                    <a:endParaRPr lang="en-US"/>
                  </a:p>
                </c:rich>
              </c:tx>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1DD-456D-AEB3-D386BCF382A0}"/>
                </c:ext>
              </c:extLst>
            </c:dLbl>
            <c:dLbl>
              <c:idx val="3"/>
              <c:layout>
                <c:manualLayout>
                  <c:x val="-9.3862806279142261E-3"/>
                  <c:y val="-0.27898215068266097"/>
                </c:manualLayout>
              </c:layout>
              <c:tx>
                <c:rich>
                  <a:bodyPr/>
                  <a:lstStyle/>
                  <a:p>
                    <a:r>
                      <a:rPr lang="en-US"/>
                      <a:t>ONG observatrices</a:t>
                    </a:r>
                    <a:r>
                      <a:rPr lang="en-US" baseline="0"/>
                      <a:t> supprimées de la liste : 104</a:t>
                    </a:r>
                  </a:p>
                </c:rich>
              </c:tx>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1DD-456D-AEB3-D386BCF382A0}"/>
                </c:ext>
              </c:extLst>
            </c:dLbl>
            <c:dLbl>
              <c:idx val="4"/>
              <c:layout>
                <c:manualLayout>
                  <c:x val="1.8772562569176449E-2"/>
                  <c:y val="-0.22658967198065763"/>
                </c:manualLayout>
              </c:layout>
              <c:tx>
                <c:rich>
                  <a:bodyPr/>
                  <a:lstStyle/>
                  <a:p>
                    <a:r>
                      <a:rPr lang="en-US"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ONG observatrices dans le groupe cible</a:t>
                    </a:r>
                    <a:r>
                      <a:rPr lang="en-US" sz="1000"/>
                      <a:t> :</a:t>
                    </a:r>
                    <a:r>
                      <a:rPr lang="en-US" sz="1000" baseline="0"/>
                      <a:t> </a:t>
                    </a:r>
                    <a:fld id="{99E79E1C-1E45-44EF-A6E0-F34175FA69C6}" type="VALUE">
                      <a:rPr lang="en-US" sz="1000" baseline="0"/>
                      <a:pPr/>
                      <a:t>[VALUE]</a:t>
                    </a:fld>
                    <a:endParaRPr lang="en-US" sz="1000"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11DD-456D-AEB3-D386BCF382A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Sheet1!$A$6:$A$9</c:f>
              <c:strCache>
                <c:ptCount val="4"/>
                <c:pt idx="0">
                  <c:v>NGO observer not in traget group</c:v>
                </c:pt>
                <c:pt idx="1">
                  <c:v>NGO obsever in target group</c:v>
                </c:pt>
                <c:pt idx="2">
                  <c:v>NGO observer retained</c:v>
                </c:pt>
                <c:pt idx="3">
                  <c:v>NGO observers deleted</c:v>
                </c:pt>
              </c:strCache>
            </c:strRef>
          </c:cat>
          <c:val>
            <c:numRef>
              <c:f>Sheet1!$B$6:$B$9</c:f>
              <c:numCache>
                <c:formatCode>General</c:formatCode>
                <c:ptCount val="4"/>
                <c:pt idx="0">
                  <c:v>173</c:v>
                </c:pt>
                <c:pt idx="2">
                  <c:v>63</c:v>
                </c:pt>
                <c:pt idx="3">
                  <c:v>105</c:v>
                </c:pt>
              </c:numCache>
            </c:numRef>
          </c:val>
          <c:extLst>
            <c:ext xmlns:c16="http://schemas.microsoft.com/office/drawing/2014/chart" uri="{C3380CC4-5D6E-409C-BE32-E72D297353CC}">
              <c16:uniqueId val="{0000000A-11DD-456D-AEB3-D386BCF382A0}"/>
            </c:ext>
          </c:extLst>
        </c:ser>
        <c:dLbls>
          <c:dLblPos val="outEnd"/>
          <c:showLegendKey val="0"/>
          <c:showVal val="1"/>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(F)</Template>
  <TotalTime>137</TotalTime>
  <Pages>7</Pages>
  <Words>1619</Words>
  <Characters>10017</Characters>
  <Application>Microsoft Office Word</Application>
  <DocSecurity>0</DocSecurity>
  <Lines>213</Lines>
  <Paragraphs>141</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A/62/4 Rev.</dc:title>
  <dc:subject>Sixty-Second Series of Meetings</dc:subject>
  <dc:creator>WIPO</dc:creator>
  <cp:keywords>PUBLIC</cp:keywords>
  <cp:lastModifiedBy>HÄFLIGER Patience</cp:lastModifiedBy>
  <cp:revision>7</cp:revision>
  <cp:lastPrinted>2011-05-19T12:37:00Z</cp:lastPrinted>
  <dcterms:created xsi:type="dcterms:W3CDTF">2021-09-15T07:17:00Z</dcterms:created>
  <dcterms:modified xsi:type="dcterms:W3CDTF">2021-09-20T16:26:00Z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