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A53CB" w:rsidRDefault="00DB0349" w:rsidP="00DB0349">
      <w:pPr>
        <w:spacing w:after="120"/>
        <w:jc w:val="right"/>
        <w:rPr>
          <w:lang w:val="fr-FR"/>
        </w:rPr>
      </w:pPr>
      <w:bookmarkStart w:id="0" w:name="_GoBack"/>
      <w:bookmarkEnd w:id="0"/>
      <w:r w:rsidRPr="00FA53CB">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FA53CB">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C48BC86"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FA53CB" w:rsidRDefault="00F66968" w:rsidP="00DB0349">
      <w:pPr>
        <w:jc w:val="right"/>
        <w:rPr>
          <w:rFonts w:ascii="Arial Black" w:hAnsi="Arial Black"/>
          <w:caps/>
          <w:sz w:val="15"/>
          <w:szCs w:val="15"/>
          <w:lang w:val="fr-FR"/>
        </w:rPr>
      </w:pPr>
      <w:r w:rsidRPr="00FA53CB">
        <w:rPr>
          <w:rFonts w:ascii="Arial Black" w:hAnsi="Arial Black"/>
          <w:caps/>
          <w:sz w:val="15"/>
          <w:szCs w:val="15"/>
          <w:lang w:val="fr-FR"/>
        </w:rPr>
        <w:t>A/64/</w:t>
      </w:r>
      <w:bookmarkStart w:id="1" w:name="Code"/>
      <w:r w:rsidR="00EE3B3A" w:rsidRPr="00FA53CB">
        <w:rPr>
          <w:rFonts w:ascii="Arial Black" w:hAnsi="Arial Black"/>
          <w:caps/>
          <w:sz w:val="15"/>
          <w:szCs w:val="15"/>
          <w:lang w:val="fr-FR"/>
        </w:rPr>
        <w:t>10</w:t>
      </w:r>
    </w:p>
    <w:bookmarkEnd w:id="1"/>
    <w:p w:rsidR="008B2CC1" w:rsidRPr="00FA53CB" w:rsidRDefault="00DB0349" w:rsidP="00DB0349">
      <w:pPr>
        <w:jc w:val="right"/>
        <w:rPr>
          <w:rFonts w:ascii="Arial Black" w:hAnsi="Arial Black"/>
          <w:caps/>
          <w:sz w:val="15"/>
          <w:szCs w:val="15"/>
          <w:lang w:val="fr-FR"/>
        </w:rPr>
      </w:pPr>
      <w:r w:rsidRPr="00FA53CB">
        <w:rPr>
          <w:rFonts w:ascii="Arial Black" w:hAnsi="Arial Black"/>
          <w:caps/>
          <w:sz w:val="15"/>
          <w:szCs w:val="15"/>
          <w:lang w:val="fr-FR"/>
        </w:rPr>
        <w:t>Original</w:t>
      </w:r>
      <w:r w:rsidR="00446489" w:rsidRPr="00FA53CB">
        <w:rPr>
          <w:rFonts w:ascii="Arial Black" w:hAnsi="Arial Black"/>
          <w:caps/>
          <w:sz w:val="15"/>
          <w:szCs w:val="15"/>
          <w:lang w:val="fr-FR"/>
        </w:rPr>
        <w:t> :</w:t>
      </w:r>
      <w:r w:rsidRPr="00FA53CB">
        <w:rPr>
          <w:rFonts w:ascii="Arial Black" w:hAnsi="Arial Black"/>
          <w:caps/>
          <w:sz w:val="15"/>
          <w:szCs w:val="15"/>
          <w:lang w:val="fr-FR"/>
        </w:rPr>
        <w:t xml:space="preserve"> </w:t>
      </w:r>
      <w:bookmarkStart w:id="2" w:name="Original"/>
      <w:r w:rsidR="00EE3B3A" w:rsidRPr="00FA53CB">
        <w:rPr>
          <w:rFonts w:ascii="Arial Black" w:hAnsi="Arial Black"/>
          <w:caps/>
          <w:sz w:val="15"/>
          <w:szCs w:val="15"/>
          <w:lang w:val="fr-FR"/>
        </w:rPr>
        <w:t>anglais</w:t>
      </w:r>
    </w:p>
    <w:bookmarkEnd w:id="2"/>
    <w:p w:rsidR="008B2CC1" w:rsidRPr="00FA53CB" w:rsidRDefault="00DB0349" w:rsidP="00DB0349">
      <w:pPr>
        <w:spacing w:after="1200"/>
        <w:jc w:val="right"/>
        <w:rPr>
          <w:rFonts w:ascii="Arial Black" w:hAnsi="Arial Black"/>
          <w:caps/>
          <w:sz w:val="15"/>
          <w:szCs w:val="15"/>
          <w:lang w:val="fr-FR"/>
        </w:rPr>
      </w:pPr>
      <w:r w:rsidRPr="00FA53CB">
        <w:rPr>
          <w:rFonts w:ascii="Arial Black" w:hAnsi="Arial Black"/>
          <w:caps/>
          <w:sz w:val="15"/>
          <w:szCs w:val="15"/>
          <w:lang w:val="fr-FR"/>
        </w:rPr>
        <w:t>date</w:t>
      </w:r>
      <w:r w:rsidR="00446489" w:rsidRPr="00FA53CB">
        <w:rPr>
          <w:rFonts w:ascii="Arial Black" w:hAnsi="Arial Black"/>
          <w:caps/>
          <w:sz w:val="15"/>
          <w:szCs w:val="15"/>
          <w:lang w:val="fr-FR"/>
        </w:rPr>
        <w:t> :</w:t>
      </w:r>
      <w:r w:rsidRPr="00FA53CB">
        <w:rPr>
          <w:rFonts w:ascii="Arial Black" w:hAnsi="Arial Black"/>
          <w:caps/>
          <w:sz w:val="15"/>
          <w:szCs w:val="15"/>
          <w:lang w:val="fr-FR"/>
        </w:rPr>
        <w:t xml:space="preserve"> </w:t>
      </w:r>
      <w:bookmarkStart w:id="3" w:name="Date"/>
      <w:r w:rsidR="00EE3B3A" w:rsidRPr="00FA53CB">
        <w:rPr>
          <w:rFonts w:ascii="Arial Black" w:hAnsi="Arial Black"/>
          <w:caps/>
          <w:sz w:val="15"/>
          <w:szCs w:val="15"/>
          <w:lang w:val="fr-FR"/>
        </w:rPr>
        <w:t>21 juin 2023</w:t>
      </w:r>
    </w:p>
    <w:bookmarkEnd w:id="3"/>
    <w:p w:rsidR="00C40E15" w:rsidRPr="00FA53CB" w:rsidRDefault="00F66968" w:rsidP="00DB0349">
      <w:pPr>
        <w:spacing w:after="600"/>
        <w:rPr>
          <w:b/>
          <w:sz w:val="28"/>
          <w:szCs w:val="28"/>
          <w:lang w:val="fr-FR"/>
        </w:rPr>
      </w:pPr>
      <w:r w:rsidRPr="00FA53CB">
        <w:rPr>
          <w:b/>
          <w:sz w:val="28"/>
          <w:szCs w:val="28"/>
          <w:lang w:val="fr-FR"/>
        </w:rPr>
        <w:t>Assemblées des États membres de l</w:t>
      </w:r>
      <w:r w:rsidR="00446489" w:rsidRPr="00FA53CB">
        <w:rPr>
          <w:b/>
          <w:sz w:val="28"/>
          <w:szCs w:val="28"/>
          <w:lang w:val="fr-FR"/>
        </w:rPr>
        <w:t>’</w:t>
      </w:r>
      <w:r w:rsidRPr="00FA53CB">
        <w:rPr>
          <w:b/>
          <w:sz w:val="28"/>
          <w:szCs w:val="28"/>
          <w:lang w:val="fr-FR"/>
        </w:rPr>
        <w:t>OMPI</w:t>
      </w:r>
    </w:p>
    <w:p w:rsidR="008B2CC1" w:rsidRPr="00FA53CB" w:rsidRDefault="00F66968" w:rsidP="008B2CC1">
      <w:pPr>
        <w:rPr>
          <w:b/>
          <w:sz w:val="24"/>
          <w:szCs w:val="24"/>
          <w:lang w:val="fr-FR"/>
        </w:rPr>
      </w:pPr>
      <w:r w:rsidRPr="00FA53CB">
        <w:rPr>
          <w:b/>
          <w:sz w:val="24"/>
          <w:szCs w:val="24"/>
          <w:lang w:val="fr-FR"/>
        </w:rPr>
        <w:t>Soixante</w:t>
      </w:r>
      <w:r w:rsidR="000226F3">
        <w:rPr>
          <w:b/>
          <w:sz w:val="24"/>
          <w:szCs w:val="24"/>
          <w:lang w:val="fr-FR"/>
        </w:rPr>
        <w:noBreakHyphen/>
      </w:r>
      <w:r w:rsidRPr="00FA53CB">
        <w:rPr>
          <w:b/>
          <w:sz w:val="24"/>
          <w:szCs w:val="24"/>
          <w:lang w:val="fr-FR"/>
        </w:rPr>
        <w:t>quatrième série de réunions</w:t>
      </w:r>
    </w:p>
    <w:p w:rsidR="008B2CC1" w:rsidRPr="00FA53CB" w:rsidRDefault="00F66968" w:rsidP="00DB0349">
      <w:pPr>
        <w:spacing w:after="720"/>
        <w:rPr>
          <w:b/>
          <w:sz w:val="24"/>
          <w:szCs w:val="24"/>
          <w:lang w:val="fr-FR"/>
        </w:rPr>
      </w:pPr>
      <w:r w:rsidRPr="00FA53CB">
        <w:rPr>
          <w:b/>
          <w:sz w:val="24"/>
          <w:szCs w:val="24"/>
          <w:lang w:val="fr-FR"/>
        </w:rPr>
        <w:t>Genève, 6 – 1</w:t>
      </w:r>
      <w:r w:rsidR="00446489" w:rsidRPr="00FA53CB">
        <w:rPr>
          <w:b/>
          <w:sz w:val="24"/>
          <w:szCs w:val="24"/>
          <w:lang w:val="fr-FR"/>
        </w:rPr>
        <w:t>4 juillet 20</w:t>
      </w:r>
      <w:r w:rsidRPr="00FA53CB">
        <w:rPr>
          <w:b/>
          <w:sz w:val="24"/>
          <w:szCs w:val="24"/>
          <w:lang w:val="fr-FR"/>
        </w:rPr>
        <w:t>23</w:t>
      </w:r>
    </w:p>
    <w:p w:rsidR="008B2CC1" w:rsidRPr="00FA53CB" w:rsidRDefault="00EE3B3A" w:rsidP="00DB0349">
      <w:pPr>
        <w:spacing w:after="360"/>
        <w:rPr>
          <w:caps/>
          <w:sz w:val="24"/>
          <w:lang w:val="fr-FR"/>
        </w:rPr>
      </w:pPr>
      <w:bookmarkStart w:id="4" w:name="TitleOfDoc"/>
      <w:r w:rsidRPr="00FA53CB">
        <w:rPr>
          <w:caps/>
          <w:sz w:val="24"/>
          <w:lang w:val="fr-FR"/>
        </w:rPr>
        <w:t>Proposition du groupe des pays d</w:t>
      </w:r>
      <w:r w:rsidR="00446489" w:rsidRPr="00FA53CB">
        <w:rPr>
          <w:caps/>
          <w:sz w:val="24"/>
          <w:lang w:val="fr-FR"/>
        </w:rPr>
        <w:t>’</w:t>
      </w:r>
      <w:r w:rsidRPr="00FA53CB">
        <w:rPr>
          <w:caps/>
          <w:sz w:val="24"/>
          <w:lang w:val="fr-FR"/>
        </w:rPr>
        <w:t>Europe centrale et des États baltes relative à la composition du Comité de coordination de l</w:t>
      </w:r>
      <w:r w:rsidR="00446489" w:rsidRPr="00FA53CB">
        <w:rPr>
          <w:caps/>
          <w:sz w:val="24"/>
          <w:lang w:val="fr-FR"/>
        </w:rPr>
        <w:t>’</w:t>
      </w:r>
      <w:r w:rsidRPr="00FA53CB">
        <w:rPr>
          <w:caps/>
          <w:sz w:val="24"/>
          <w:lang w:val="fr-FR"/>
        </w:rPr>
        <w:t>OMPI</w:t>
      </w:r>
    </w:p>
    <w:p w:rsidR="00525B63" w:rsidRPr="00FA53CB" w:rsidRDefault="00EE3B3A" w:rsidP="00DB0349">
      <w:pPr>
        <w:spacing w:after="960"/>
        <w:rPr>
          <w:lang w:val="fr-FR"/>
        </w:rPr>
      </w:pPr>
      <w:bookmarkStart w:id="5" w:name="Prepared"/>
      <w:bookmarkEnd w:id="4"/>
      <w:r w:rsidRPr="00FA53CB">
        <w:rPr>
          <w:i/>
          <w:lang w:val="fr-FR"/>
        </w:rPr>
        <w:t>présentée par le groupe des pays d</w:t>
      </w:r>
      <w:r w:rsidR="00446489" w:rsidRPr="00FA53CB">
        <w:rPr>
          <w:i/>
          <w:lang w:val="fr-FR"/>
        </w:rPr>
        <w:t>’</w:t>
      </w:r>
      <w:r w:rsidRPr="00FA53CB">
        <w:rPr>
          <w:i/>
          <w:lang w:val="fr-FR"/>
        </w:rPr>
        <w:t>Europe centrale et des États baltes</w:t>
      </w:r>
    </w:p>
    <w:bookmarkEnd w:id="5"/>
    <w:p w:rsidR="00EE3B3A" w:rsidRPr="00FA53CB" w:rsidRDefault="00EE3B3A" w:rsidP="000226F3">
      <w:pPr>
        <w:pStyle w:val="ONUMFS"/>
        <w:numPr>
          <w:ilvl w:val="0"/>
          <w:numId w:val="0"/>
        </w:numPr>
        <w:rPr>
          <w:lang w:val="fr-FR"/>
        </w:rPr>
      </w:pPr>
      <w:r w:rsidRPr="00FA53CB">
        <w:rPr>
          <w:lang w:val="fr-FR"/>
        </w:rPr>
        <w:t>Dans une communication reçue par le Secrétariat le 2</w:t>
      </w:r>
      <w:r w:rsidR="00446489" w:rsidRPr="00FA53CB">
        <w:rPr>
          <w:lang w:val="fr-FR"/>
        </w:rPr>
        <w:t>0 juin 20</w:t>
      </w:r>
      <w:r w:rsidRPr="00FA53CB">
        <w:rPr>
          <w:lang w:val="fr-FR"/>
        </w:rPr>
        <w:t>23, le groupe des pays d</w:t>
      </w:r>
      <w:r w:rsidR="00446489" w:rsidRPr="00FA53CB">
        <w:rPr>
          <w:lang w:val="fr-FR"/>
        </w:rPr>
        <w:t>’</w:t>
      </w:r>
      <w:r w:rsidRPr="00FA53CB">
        <w:rPr>
          <w:lang w:val="fr-FR"/>
        </w:rPr>
        <w:t xml:space="preserve">Europe centrale et des États baltes </w:t>
      </w:r>
      <w:r w:rsidR="007B3681">
        <w:rPr>
          <w:lang w:val="fr-FR"/>
        </w:rPr>
        <w:t>a</w:t>
      </w:r>
      <w:r w:rsidRPr="00FA53CB">
        <w:rPr>
          <w:lang w:val="fr-FR"/>
        </w:rPr>
        <w:t xml:space="preserve"> soumis la proposition ci</w:t>
      </w:r>
      <w:r w:rsidR="000226F3">
        <w:rPr>
          <w:lang w:val="fr-FR"/>
        </w:rPr>
        <w:noBreakHyphen/>
      </w:r>
      <w:r w:rsidRPr="00FA53CB">
        <w:rPr>
          <w:lang w:val="fr-FR"/>
        </w:rPr>
        <w:t xml:space="preserve">jointe au titre du </w:t>
      </w:r>
      <w:r w:rsidR="00446489" w:rsidRPr="00FA53CB">
        <w:rPr>
          <w:lang w:val="fr-FR"/>
        </w:rPr>
        <w:t>point 7</w:t>
      </w:r>
      <w:r w:rsidRPr="00FA53CB">
        <w:rPr>
          <w:lang w:val="fr-FR"/>
        </w:rPr>
        <w:t xml:space="preserve"> de l</w:t>
      </w:r>
      <w:r w:rsidR="00446489" w:rsidRPr="00FA53CB">
        <w:rPr>
          <w:lang w:val="fr-FR"/>
        </w:rPr>
        <w:t>’</w:t>
      </w:r>
      <w:r w:rsidRPr="00FA53CB">
        <w:rPr>
          <w:lang w:val="fr-FR"/>
        </w:rPr>
        <w:t>ordre du jour intitulé “Composition du Comité de coordination de l</w:t>
      </w:r>
      <w:r w:rsidR="00446489" w:rsidRPr="00FA53CB">
        <w:rPr>
          <w:lang w:val="fr-FR"/>
        </w:rPr>
        <w:t>’</w:t>
      </w:r>
      <w:r w:rsidRPr="00FA53CB">
        <w:rPr>
          <w:lang w:val="fr-FR"/>
        </w:rPr>
        <w:t>OMPI et des comités exécutifs des unions de Paris et de Berne”</w:t>
      </w:r>
      <w:r w:rsidR="000226F3">
        <w:rPr>
          <w:lang w:val="fr-FR"/>
        </w:rPr>
        <w:t>.</w:t>
      </w:r>
    </w:p>
    <w:p w:rsidR="00EE3B3A" w:rsidRPr="00FA53CB" w:rsidRDefault="00EE3B3A" w:rsidP="000226F3">
      <w:pPr>
        <w:pStyle w:val="Endofdocument-Annex"/>
      </w:pPr>
      <w:r w:rsidRPr="00FA53CB">
        <w:t>[L</w:t>
      </w:r>
      <w:r w:rsidR="00446489" w:rsidRPr="00FA53CB">
        <w:t>’</w:t>
      </w:r>
      <w:r w:rsidRPr="00FA53CB">
        <w:t>annexe suit]</w:t>
      </w:r>
    </w:p>
    <w:p w:rsidR="00EE3B3A" w:rsidRPr="00FA53CB" w:rsidRDefault="00EE3B3A" w:rsidP="00EE3B3A">
      <w:pPr>
        <w:spacing w:after="220"/>
        <w:rPr>
          <w:lang w:val="fr-FR"/>
        </w:rPr>
        <w:sectPr w:rsidR="00EE3B3A" w:rsidRPr="00FA53CB" w:rsidSect="008803D4">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rsidR="00EE3B3A" w:rsidRPr="00EF003E" w:rsidRDefault="00EE3B3A" w:rsidP="00EF003E">
      <w:pPr>
        <w:spacing w:after="840"/>
        <w:jc w:val="center"/>
        <w:rPr>
          <w:b/>
          <w:bCs/>
          <w:sz w:val="40"/>
          <w:szCs w:val="40"/>
          <w:lang w:val="fr-FR"/>
        </w:rPr>
      </w:pPr>
      <w:bookmarkStart w:id="6" w:name="_Hlk77853057"/>
      <w:r w:rsidRPr="00EF003E">
        <w:rPr>
          <w:b/>
          <w:sz w:val="40"/>
          <w:szCs w:val="40"/>
          <w:lang w:val="fr-FR"/>
        </w:rPr>
        <w:lastRenderedPageBreak/>
        <w:t>Proposition du groupe des pays d</w:t>
      </w:r>
      <w:r w:rsidR="00446489" w:rsidRPr="00EF003E">
        <w:rPr>
          <w:b/>
          <w:sz w:val="40"/>
          <w:szCs w:val="40"/>
          <w:lang w:val="fr-FR"/>
        </w:rPr>
        <w:t>’</w:t>
      </w:r>
      <w:r w:rsidRPr="00EF003E">
        <w:rPr>
          <w:b/>
          <w:sz w:val="40"/>
          <w:szCs w:val="40"/>
          <w:lang w:val="fr-FR"/>
        </w:rPr>
        <w:t>Europe centrale et des États baltes sur la répartition des sièges vacants en vue de l</w:t>
      </w:r>
      <w:r w:rsidR="00446489" w:rsidRPr="00EF003E">
        <w:rPr>
          <w:b/>
          <w:sz w:val="40"/>
          <w:szCs w:val="40"/>
          <w:lang w:val="fr-FR"/>
        </w:rPr>
        <w:t>’</w:t>
      </w:r>
      <w:r w:rsidRPr="00EF003E">
        <w:rPr>
          <w:b/>
          <w:sz w:val="40"/>
          <w:szCs w:val="40"/>
          <w:lang w:val="fr-FR"/>
        </w:rPr>
        <w:t>élection</w:t>
      </w:r>
      <w:r w:rsidR="00554C46" w:rsidRPr="00EF003E">
        <w:rPr>
          <w:b/>
          <w:sz w:val="40"/>
          <w:szCs w:val="40"/>
          <w:lang w:val="fr-FR"/>
        </w:rPr>
        <w:t xml:space="preserve"> </w:t>
      </w:r>
      <w:r w:rsidRPr="00EF003E">
        <w:rPr>
          <w:b/>
          <w:sz w:val="40"/>
          <w:szCs w:val="40"/>
          <w:lang w:val="fr-FR"/>
        </w:rPr>
        <w:t>des membres du Comité de coordination de l</w:t>
      </w:r>
      <w:r w:rsidR="00446489" w:rsidRPr="00EF003E">
        <w:rPr>
          <w:b/>
          <w:sz w:val="40"/>
          <w:szCs w:val="40"/>
          <w:lang w:val="fr-FR"/>
        </w:rPr>
        <w:t>’</w:t>
      </w:r>
      <w:r w:rsidRPr="00EF003E">
        <w:rPr>
          <w:b/>
          <w:sz w:val="40"/>
          <w:szCs w:val="40"/>
          <w:lang w:val="fr-FR"/>
        </w:rPr>
        <w:t>OMPI</w:t>
      </w:r>
    </w:p>
    <w:p w:rsidR="00446489" w:rsidRPr="00EF003E" w:rsidRDefault="00EE3B3A" w:rsidP="00EF003E">
      <w:pPr>
        <w:pStyle w:val="ONUMFS"/>
        <w:spacing w:after="320"/>
        <w:ind w:left="567" w:hanging="567"/>
        <w:jc w:val="both"/>
        <w:rPr>
          <w:sz w:val="32"/>
          <w:szCs w:val="32"/>
        </w:rPr>
      </w:pPr>
      <w:r w:rsidRPr="00EF003E">
        <w:rPr>
          <w:sz w:val="32"/>
          <w:szCs w:val="32"/>
        </w:rPr>
        <w:t xml:space="preserve">Lors de la session </w:t>
      </w:r>
      <w:r w:rsidR="00446489" w:rsidRPr="00EF003E">
        <w:rPr>
          <w:sz w:val="32"/>
          <w:szCs w:val="32"/>
        </w:rPr>
        <w:t>de 2019</w:t>
      </w:r>
      <w:r w:rsidRPr="00EF003E">
        <w:rPr>
          <w:sz w:val="32"/>
          <w:szCs w:val="32"/>
        </w:rPr>
        <w:t xml:space="preserve"> des assemblées des États membres de l</w:t>
      </w:r>
      <w:r w:rsidR="00446489" w:rsidRPr="00EF003E">
        <w:rPr>
          <w:sz w:val="32"/>
          <w:szCs w:val="32"/>
        </w:rPr>
        <w:t>’</w:t>
      </w:r>
      <w:r w:rsidRPr="00EF003E">
        <w:rPr>
          <w:sz w:val="32"/>
          <w:szCs w:val="32"/>
        </w:rPr>
        <w:t xml:space="preserve">OMPI, les États membres ont décidé que </w:t>
      </w:r>
      <w:r w:rsidR="00446489" w:rsidRPr="00EF003E">
        <w:rPr>
          <w:sz w:val="32"/>
          <w:szCs w:val="32"/>
        </w:rPr>
        <w:t>“</w:t>
      </w:r>
      <w:r w:rsidRPr="00EF003E">
        <w:rPr>
          <w:sz w:val="32"/>
          <w:szCs w:val="32"/>
        </w:rPr>
        <w:t>le président de l</w:t>
      </w:r>
      <w:r w:rsidR="00446489" w:rsidRPr="00EF003E">
        <w:rPr>
          <w:sz w:val="32"/>
          <w:szCs w:val="32"/>
        </w:rPr>
        <w:t>’</w:t>
      </w:r>
      <w:r w:rsidRPr="00EF003E">
        <w:rPr>
          <w:sz w:val="32"/>
          <w:szCs w:val="32"/>
        </w:rPr>
        <w:t>Assemblée générale de l</w:t>
      </w:r>
      <w:r w:rsidR="00446489" w:rsidRPr="00EF003E">
        <w:rPr>
          <w:sz w:val="32"/>
          <w:szCs w:val="32"/>
        </w:rPr>
        <w:t>’</w:t>
      </w:r>
      <w:r w:rsidRPr="00EF003E">
        <w:rPr>
          <w:sz w:val="32"/>
          <w:szCs w:val="32"/>
        </w:rPr>
        <w:t>OMPI entreprendra des consultations avec les États membres sur la répartition des sièges vacants lors des assemblées</w:t>
      </w:r>
      <w:r w:rsidR="007B3681" w:rsidRPr="00EF003E">
        <w:rPr>
          <w:sz w:val="32"/>
          <w:szCs w:val="32"/>
        </w:rPr>
        <w:t> </w:t>
      </w:r>
      <w:r w:rsidRPr="00EF003E">
        <w:rPr>
          <w:sz w:val="32"/>
          <w:szCs w:val="32"/>
        </w:rPr>
        <w:t>2021 de l</w:t>
      </w:r>
      <w:r w:rsidR="00446489" w:rsidRPr="00EF003E">
        <w:rPr>
          <w:sz w:val="32"/>
          <w:szCs w:val="32"/>
        </w:rPr>
        <w:t>’</w:t>
      </w:r>
      <w:r w:rsidRPr="00EF003E">
        <w:rPr>
          <w:sz w:val="32"/>
          <w:szCs w:val="32"/>
        </w:rPr>
        <w:t>OMPI, en vue de l</w:t>
      </w:r>
      <w:r w:rsidR="00446489" w:rsidRPr="00EF003E">
        <w:rPr>
          <w:sz w:val="32"/>
          <w:szCs w:val="32"/>
        </w:rPr>
        <w:t>’</w:t>
      </w:r>
      <w:r w:rsidRPr="00EF003E">
        <w:rPr>
          <w:sz w:val="32"/>
          <w:szCs w:val="32"/>
        </w:rPr>
        <w:t>élection des membres du Comité de coordination de l</w:t>
      </w:r>
      <w:r w:rsidR="00446489" w:rsidRPr="00EF003E">
        <w:rPr>
          <w:sz w:val="32"/>
          <w:szCs w:val="32"/>
        </w:rPr>
        <w:t>’</w:t>
      </w:r>
      <w:r w:rsidRPr="00EF003E">
        <w:rPr>
          <w:sz w:val="32"/>
          <w:szCs w:val="32"/>
        </w:rPr>
        <w:t>OMPI et du Comité exécutif de l</w:t>
      </w:r>
      <w:r w:rsidR="00446489" w:rsidRPr="00EF003E">
        <w:rPr>
          <w:sz w:val="32"/>
          <w:szCs w:val="32"/>
        </w:rPr>
        <w:t>’</w:t>
      </w:r>
      <w:r w:rsidRPr="00EF003E">
        <w:rPr>
          <w:sz w:val="32"/>
          <w:szCs w:val="32"/>
        </w:rPr>
        <w:t>Union de Paris et du Comité exécutif de l</w:t>
      </w:r>
      <w:r w:rsidR="00446489" w:rsidRPr="00EF003E">
        <w:rPr>
          <w:sz w:val="32"/>
          <w:szCs w:val="32"/>
        </w:rPr>
        <w:t>’</w:t>
      </w:r>
      <w:r w:rsidRPr="00EF003E">
        <w:rPr>
          <w:sz w:val="32"/>
          <w:szCs w:val="32"/>
        </w:rPr>
        <w:t>Union de Berne lors desdites assemblées de l</w:t>
      </w:r>
      <w:r w:rsidR="00446489" w:rsidRPr="00EF003E">
        <w:rPr>
          <w:sz w:val="32"/>
          <w:szCs w:val="32"/>
        </w:rPr>
        <w:t>’</w:t>
      </w:r>
      <w:r w:rsidRPr="00EF003E">
        <w:rPr>
          <w:sz w:val="32"/>
          <w:szCs w:val="32"/>
        </w:rPr>
        <w:t>OMPI</w:t>
      </w:r>
      <w:r w:rsidR="00446489" w:rsidRPr="00EF003E">
        <w:rPr>
          <w:sz w:val="32"/>
          <w:szCs w:val="32"/>
        </w:rPr>
        <w:t>”</w:t>
      </w:r>
      <w:r w:rsidRPr="00EF003E">
        <w:rPr>
          <w:sz w:val="32"/>
          <w:szCs w:val="32"/>
        </w:rPr>
        <w:t xml:space="preserve">. </w:t>
      </w:r>
      <w:r w:rsidR="0020204B" w:rsidRPr="00EF003E">
        <w:rPr>
          <w:sz w:val="32"/>
          <w:szCs w:val="32"/>
        </w:rPr>
        <w:t xml:space="preserve"> </w:t>
      </w:r>
      <w:r w:rsidRPr="00EF003E">
        <w:rPr>
          <w:sz w:val="32"/>
          <w:szCs w:val="32"/>
        </w:rPr>
        <w:t>Au regard des récentes adhésions, le Comité de coordination devrait compter 90</w:t>
      </w:r>
      <w:r w:rsidR="007B3681" w:rsidRPr="00EF003E">
        <w:rPr>
          <w:sz w:val="32"/>
          <w:szCs w:val="32"/>
        </w:rPr>
        <w:t> </w:t>
      </w:r>
      <w:r w:rsidRPr="00EF003E">
        <w:rPr>
          <w:sz w:val="32"/>
          <w:szCs w:val="32"/>
        </w:rPr>
        <w:t>membres à ce jo</w:t>
      </w:r>
      <w:r w:rsidR="00FA53CB" w:rsidRPr="00EF003E">
        <w:rPr>
          <w:sz w:val="32"/>
          <w:szCs w:val="32"/>
        </w:rPr>
        <w:t>ur.  Pa</w:t>
      </w:r>
      <w:r w:rsidRPr="00EF003E">
        <w:rPr>
          <w:sz w:val="32"/>
          <w:szCs w:val="32"/>
        </w:rPr>
        <w:t>r conséquent, 7</w:t>
      </w:r>
      <w:r w:rsidR="007B3681" w:rsidRPr="00EF003E">
        <w:rPr>
          <w:sz w:val="32"/>
          <w:szCs w:val="32"/>
        </w:rPr>
        <w:t> </w:t>
      </w:r>
      <w:r w:rsidRPr="00EF003E">
        <w:rPr>
          <w:sz w:val="32"/>
          <w:szCs w:val="32"/>
        </w:rPr>
        <w:t>sièges vacants supplémentaires doivent être attribués, contre 83</w:t>
      </w:r>
      <w:r w:rsidR="007B3681" w:rsidRPr="00EF003E">
        <w:rPr>
          <w:sz w:val="32"/>
          <w:szCs w:val="32"/>
        </w:rPr>
        <w:t> </w:t>
      </w:r>
      <w:r w:rsidRPr="00EF003E">
        <w:rPr>
          <w:sz w:val="32"/>
          <w:szCs w:val="32"/>
        </w:rPr>
        <w:t>sièges lors des assemblées</w:t>
      </w:r>
      <w:r w:rsidR="007B3681" w:rsidRPr="00EF003E">
        <w:rPr>
          <w:sz w:val="32"/>
          <w:szCs w:val="32"/>
        </w:rPr>
        <w:t> </w:t>
      </w:r>
      <w:r w:rsidRPr="00EF003E">
        <w:rPr>
          <w:sz w:val="32"/>
          <w:szCs w:val="32"/>
        </w:rPr>
        <w:t>2021 de l</w:t>
      </w:r>
      <w:r w:rsidR="00446489" w:rsidRPr="00EF003E">
        <w:rPr>
          <w:sz w:val="32"/>
          <w:szCs w:val="32"/>
        </w:rPr>
        <w:t>’</w:t>
      </w:r>
      <w:r w:rsidRPr="00EF003E">
        <w:rPr>
          <w:sz w:val="32"/>
          <w:szCs w:val="32"/>
        </w:rPr>
        <w:t>OMPI.</w:t>
      </w:r>
    </w:p>
    <w:p w:rsidR="00EE3B3A" w:rsidRPr="00EF003E" w:rsidRDefault="00EE3B3A" w:rsidP="00EF003E">
      <w:pPr>
        <w:pStyle w:val="ONUMFS"/>
        <w:spacing w:after="320"/>
        <w:ind w:left="567" w:hanging="567"/>
        <w:jc w:val="both"/>
        <w:rPr>
          <w:bCs/>
          <w:sz w:val="32"/>
          <w:szCs w:val="32"/>
        </w:rPr>
      </w:pPr>
      <w:r w:rsidRPr="00EF003E">
        <w:rPr>
          <w:sz w:val="32"/>
          <w:szCs w:val="32"/>
        </w:rPr>
        <w:t>Le groupe des pays d</w:t>
      </w:r>
      <w:r w:rsidR="00446489" w:rsidRPr="00EF003E">
        <w:rPr>
          <w:sz w:val="32"/>
          <w:szCs w:val="32"/>
        </w:rPr>
        <w:t>’</w:t>
      </w:r>
      <w:r w:rsidRPr="00EF003E">
        <w:rPr>
          <w:sz w:val="32"/>
          <w:szCs w:val="32"/>
        </w:rPr>
        <w:t>Europe centrale et des États baltes note en outre que, selon l</w:t>
      </w:r>
      <w:r w:rsidR="00446489" w:rsidRPr="00EF003E">
        <w:rPr>
          <w:sz w:val="32"/>
          <w:szCs w:val="32"/>
        </w:rPr>
        <w:t>’article 1</w:t>
      </w:r>
      <w:r w:rsidRPr="00EF003E">
        <w:rPr>
          <w:sz w:val="32"/>
          <w:szCs w:val="32"/>
        </w:rPr>
        <w:t>4.4) de la Convention de Paris et l</w:t>
      </w:r>
      <w:r w:rsidR="00446489" w:rsidRPr="00EF003E">
        <w:rPr>
          <w:sz w:val="32"/>
          <w:szCs w:val="32"/>
        </w:rPr>
        <w:t>’article 2</w:t>
      </w:r>
      <w:r w:rsidRPr="00EF003E">
        <w:rPr>
          <w:sz w:val="32"/>
          <w:szCs w:val="32"/>
        </w:rPr>
        <w:t>3.4) de la Convention de Berne, “lors de l</w:t>
      </w:r>
      <w:r w:rsidR="00446489" w:rsidRPr="00EF003E">
        <w:rPr>
          <w:sz w:val="32"/>
          <w:szCs w:val="32"/>
        </w:rPr>
        <w:t>’</w:t>
      </w:r>
      <w:r w:rsidRPr="00EF003E">
        <w:rPr>
          <w:sz w:val="32"/>
          <w:szCs w:val="32"/>
        </w:rPr>
        <w:t>élection des membres du Comité exécutif, l</w:t>
      </w:r>
      <w:r w:rsidR="00446489" w:rsidRPr="00EF003E">
        <w:rPr>
          <w:sz w:val="32"/>
          <w:szCs w:val="32"/>
        </w:rPr>
        <w:t>’</w:t>
      </w:r>
      <w:r w:rsidRPr="00EF003E">
        <w:rPr>
          <w:sz w:val="32"/>
          <w:szCs w:val="32"/>
        </w:rPr>
        <w:t>Assemblée tient compte d</w:t>
      </w:r>
      <w:r w:rsidR="00446489" w:rsidRPr="00EF003E">
        <w:rPr>
          <w:sz w:val="32"/>
          <w:szCs w:val="32"/>
        </w:rPr>
        <w:t>’</w:t>
      </w:r>
      <w:r w:rsidRPr="00EF003E">
        <w:rPr>
          <w:sz w:val="32"/>
          <w:szCs w:val="32"/>
        </w:rPr>
        <w:t>une répartition géographique équitable et de la nécessité pour tous les pays parties aux Arrangements particuliers établis en relation avec l</w:t>
      </w:r>
      <w:r w:rsidR="00446489" w:rsidRPr="00EF003E">
        <w:rPr>
          <w:sz w:val="32"/>
          <w:szCs w:val="32"/>
        </w:rPr>
        <w:t>’</w:t>
      </w:r>
      <w:r w:rsidRPr="00EF003E">
        <w:rPr>
          <w:sz w:val="32"/>
          <w:szCs w:val="32"/>
        </w:rPr>
        <w:t>Union d</w:t>
      </w:r>
      <w:r w:rsidR="00446489" w:rsidRPr="00EF003E">
        <w:rPr>
          <w:sz w:val="32"/>
          <w:szCs w:val="32"/>
        </w:rPr>
        <w:t>’</w:t>
      </w:r>
      <w:r w:rsidRPr="00EF003E">
        <w:rPr>
          <w:sz w:val="32"/>
          <w:szCs w:val="32"/>
        </w:rPr>
        <w:t>être parmi les pays constituant le Comité exécutif”.</w:t>
      </w:r>
    </w:p>
    <w:p w:rsidR="00446489" w:rsidRPr="00EF003E" w:rsidRDefault="00EE3B3A" w:rsidP="00EF003E">
      <w:pPr>
        <w:pStyle w:val="ONUMFS"/>
        <w:spacing w:after="320"/>
        <w:ind w:left="567" w:hanging="567"/>
        <w:jc w:val="both"/>
        <w:rPr>
          <w:sz w:val="32"/>
          <w:szCs w:val="32"/>
        </w:rPr>
      </w:pPr>
      <w:r w:rsidRPr="00EF003E">
        <w:rPr>
          <w:sz w:val="32"/>
          <w:szCs w:val="32"/>
        </w:rPr>
        <w:t>Jusqu</w:t>
      </w:r>
      <w:r w:rsidR="00446489" w:rsidRPr="00EF003E">
        <w:rPr>
          <w:sz w:val="32"/>
          <w:szCs w:val="32"/>
        </w:rPr>
        <w:t>’</w:t>
      </w:r>
      <w:r w:rsidRPr="00EF003E">
        <w:rPr>
          <w:sz w:val="32"/>
          <w:szCs w:val="32"/>
        </w:rPr>
        <w:t>ici, aucun accord n</w:t>
      </w:r>
      <w:r w:rsidR="00446489" w:rsidRPr="00EF003E">
        <w:rPr>
          <w:sz w:val="32"/>
          <w:szCs w:val="32"/>
        </w:rPr>
        <w:t>’</w:t>
      </w:r>
      <w:r w:rsidRPr="00EF003E">
        <w:rPr>
          <w:sz w:val="32"/>
          <w:szCs w:val="32"/>
        </w:rPr>
        <w:t>a été trouvé sur la composition du Comité de coordination de l</w:t>
      </w:r>
      <w:r w:rsidR="00446489" w:rsidRPr="00EF003E">
        <w:rPr>
          <w:sz w:val="32"/>
          <w:szCs w:val="32"/>
        </w:rPr>
        <w:t>’</w:t>
      </w:r>
      <w:r w:rsidRPr="00EF003E">
        <w:rPr>
          <w:sz w:val="32"/>
          <w:szCs w:val="32"/>
        </w:rPr>
        <w:t>O</w:t>
      </w:r>
      <w:r w:rsidR="00FA53CB" w:rsidRPr="00EF003E">
        <w:rPr>
          <w:sz w:val="32"/>
          <w:szCs w:val="32"/>
        </w:rPr>
        <w:t>MPI.  Co</w:t>
      </w:r>
      <w:r w:rsidRPr="00EF003E">
        <w:rPr>
          <w:sz w:val="32"/>
          <w:szCs w:val="32"/>
        </w:rPr>
        <w:t>mpte tenu de la répartition inégale des 83</w:t>
      </w:r>
      <w:r w:rsidR="007B3681" w:rsidRPr="00EF003E">
        <w:rPr>
          <w:sz w:val="32"/>
          <w:szCs w:val="32"/>
        </w:rPr>
        <w:t> </w:t>
      </w:r>
      <w:r w:rsidRPr="00EF003E">
        <w:rPr>
          <w:sz w:val="32"/>
          <w:szCs w:val="32"/>
        </w:rPr>
        <w:t xml:space="preserve">sièges entre les groupes régionaux et dans le cadre de la reprise des consultations en vue de prendre en compte les faits nouveaux et les changements intervenus dans la composition des groupes régionaux, les discussions sur la composition du Comité de coordination, </w:t>
      </w:r>
      <w:r w:rsidRPr="00EF003E">
        <w:rPr>
          <w:sz w:val="32"/>
          <w:szCs w:val="32"/>
        </w:rPr>
        <w:lastRenderedPageBreak/>
        <w:t>fondées sur une répartition géographique équitable, sont nécessaires à la lumière de l</w:t>
      </w:r>
      <w:r w:rsidR="00446489" w:rsidRPr="00EF003E">
        <w:rPr>
          <w:sz w:val="32"/>
          <w:szCs w:val="32"/>
        </w:rPr>
        <w:t>’article 1</w:t>
      </w:r>
      <w:r w:rsidRPr="00EF003E">
        <w:rPr>
          <w:sz w:val="32"/>
          <w:szCs w:val="32"/>
        </w:rPr>
        <w:t>4.4) de la Convention de Paris et de l</w:t>
      </w:r>
      <w:r w:rsidR="00446489" w:rsidRPr="00EF003E">
        <w:rPr>
          <w:sz w:val="32"/>
          <w:szCs w:val="32"/>
        </w:rPr>
        <w:t>’article 2</w:t>
      </w:r>
      <w:r w:rsidRPr="00EF003E">
        <w:rPr>
          <w:sz w:val="32"/>
          <w:szCs w:val="32"/>
        </w:rPr>
        <w:t>3.4) de la Convention de Berne.</w:t>
      </w:r>
    </w:p>
    <w:p w:rsidR="00446489" w:rsidRPr="00EF003E" w:rsidRDefault="00EE3B3A" w:rsidP="00EF003E">
      <w:pPr>
        <w:pStyle w:val="ONUMFS"/>
        <w:spacing w:after="320"/>
        <w:ind w:left="567" w:hanging="567"/>
        <w:jc w:val="both"/>
        <w:rPr>
          <w:sz w:val="32"/>
          <w:szCs w:val="32"/>
        </w:rPr>
      </w:pPr>
      <w:r w:rsidRPr="00EF003E">
        <w:rPr>
          <w:sz w:val="32"/>
          <w:szCs w:val="32"/>
        </w:rPr>
        <w:t>Le groupe des pays d</w:t>
      </w:r>
      <w:r w:rsidR="00446489" w:rsidRPr="00EF003E">
        <w:rPr>
          <w:sz w:val="32"/>
          <w:szCs w:val="32"/>
        </w:rPr>
        <w:t>’</w:t>
      </w:r>
      <w:r w:rsidRPr="00EF003E">
        <w:rPr>
          <w:sz w:val="32"/>
          <w:szCs w:val="32"/>
        </w:rPr>
        <w:t xml:space="preserve">Europe centrale et des États baltes note que selon les </w:t>
      </w:r>
      <w:r w:rsidR="00446489" w:rsidRPr="00EF003E">
        <w:rPr>
          <w:sz w:val="32"/>
          <w:szCs w:val="32"/>
        </w:rPr>
        <w:t>articles 8</w:t>
      </w:r>
      <w:r w:rsidRPr="00EF003E">
        <w:rPr>
          <w:sz w:val="32"/>
          <w:szCs w:val="32"/>
        </w:rPr>
        <w:t>.1)a) et 11.9)a) de la Convention instituant l</w:t>
      </w:r>
      <w:r w:rsidR="00446489" w:rsidRPr="00EF003E">
        <w:rPr>
          <w:sz w:val="32"/>
          <w:szCs w:val="32"/>
        </w:rPr>
        <w:t>’</w:t>
      </w:r>
      <w:r w:rsidRPr="00EF003E">
        <w:rPr>
          <w:sz w:val="32"/>
          <w:szCs w:val="32"/>
        </w:rPr>
        <w:t>OMPI, le Comité de coordination comprend les catégories suivantes de membres</w:t>
      </w:r>
      <w:r w:rsidR="00446489" w:rsidRPr="00EF003E">
        <w:rPr>
          <w:sz w:val="32"/>
          <w:szCs w:val="32"/>
        </w:rPr>
        <w:t> :</w:t>
      </w:r>
    </w:p>
    <w:p w:rsidR="00446489" w:rsidRPr="00EF003E" w:rsidRDefault="00EE3B3A" w:rsidP="00EF003E">
      <w:pPr>
        <w:pStyle w:val="ONUMFS"/>
        <w:numPr>
          <w:ilvl w:val="1"/>
          <w:numId w:val="6"/>
        </w:numPr>
        <w:spacing w:after="0"/>
        <w:ind w:left="1134" w:hanging="567"/>
        <w:jc w:val="both"/>
        <w:rPr>
          <w:sz w:val="32"/>
          <w:szCs w:val="32"/>
        </w:rPr>
      </w:pPr>
      <w:r w:rsidRPr="00EF003E">
        <w:rPr>
          <w:sz w:val="32"/>
          <w:szCs w:val="32"/>
        </w:rPr>
        <w:t>les États élus membres ordinaires du Comité exécutif de l</w:t>
      </w:r>
      <w:r w:rsidR="00446489" w:rsidRPr="00EF003E">
        <w:rPr>
          <w:sz w:val="32"/>
          <w:szCs w:val="32"/>
        </w:rPr>
        <w:t>’</w:t>
      </w:r>
      <w:r w:rsidRPr="00EF003E">
        <w:rPr>
          <w:sz w:val="32"/>
          <w:szCs w:val="32"/>
        </w:rPr>
        <w:t>Union de Paris et du Comité exécutif de l</w:t>
      </w:r>
      <w:r w:rsidR="00446489" w:rsidRPr="00EF003E">
        <w:rPr>
          <w:sz w:val="32"/>
          <w:szCs w:val="32"/>
        </w:rPr>
        <w:t>’</w:t>
      </w:r>
      <w:r w:rsidRPr="00EF003E">
        <w:rPr>
          <w:sz w:val="32"/>
          <w:szCs w:val="32"/>
        </w:rPr>
        <w:t>Union de Berne;</w:t>
      </w:r>
    </w:p>
    <w:p w:rsidR="00EE3B3A" w:rsidRPr="00EF003E" w:rsidRDefault="00EE3B3A" w:rsidP="00EF003E">
      <w:pPr>
        <w:pStyle w:val="ONUMFS"/>
        <w:numPr>
          <w:ilvl w:val="1"/>
          <w:numId w:val="6"/>
        </w:numPr>
        <w:spacing w:after="0"/>
        <w:ind w:left="1134" w:hanging="567"/>
        <w:jc w:val="both"/>
        <w:rPr>
          <w:sz w:val="32"/>
          <w:szCs w:val="32"/>
        </w:rPr>
      </w:pPr>
      <w:r w:rsidRPr="00EF003E">
        <w:rPr>
          <w:sz w:val="32"/>
          <w:szCs w:val="32"/>
        </w:rPr>
        <w:t>la Suisse, en tant qu</w:t>
      </w:r>
      <w:r w:rsidR="00446489" w:rsidRPr="00EF003E">
        <w:rPr>
          <w:sz w:val="32"/>
          <w:szCs w:val="32"/>
        </w:rPr>
        <w:t>’</w:t>
      </w:r>
      <w:r w:rsidRPr="00EF003E">
        <w:rPr>
          <w:sz w:val="32"/>
          <w:szCs w:val="32"/>
        </w:rPr>
        <w:t>État sur le territoire duquel l</w:t>
      </w:r>
      <w:r w:rsidR="00446489" w:rsidRPr="00EF003E">
        <w:rPr>
          <w:sz w:val="32"/>
          <w:szCs w:val="32"/>
        </w:rPr>
        <w:t>’</w:t>
      </w:r>
      <w:r w:rsidRPr="00EF003E">
        <w:rPr>
          <w:sz w:val="32"/>
          <w:szCs w:val="32"/>
        </w:rPr>
        <w:t>Organisation a son siège, en qualité de membre ex</w:t>
      </w:r>
      <w:r w:rsidR="0020204B" w:rsidRPr="00EF003E">
        <w:rPr>
          <w:sz w:val="32"/>
          <w:szCs w:val="32"/>
        </w:rPr>
        <w:t> </w:t>
      </w:r>
      <w:r w:rsidRPr="00EF003E">
        <w:rPr>
          <w:sz w:val="32"/>
          <w:szCs w:val="32"/>
        </w:rPr>
        <w:t>officio;</w:t>
      </w:r>
      <w:r w:rsidR="0020204B" w:rsidRPr="00EF003E">
        <w:rPr>
          <w:sz w:val="32"/>
          <w:szCs w:val="32"/>
        </w:rPr>
        <w:t xml:space="preserve"> </w:t>
      </w:r>
      <w:r w:rsidRPr="00EF003E">
        <w:rPr>
          <w:sz w:val="32"/>
          <w:szCs w:val="32"/>
        </w:rPr>
        <w:t xml:space="preserve"> et</w:t>
      </w:r>
    </w:p>
    <w:p w:rsidR="00446489" w:rsidRPr="00EF003E" w:rsidRDefault="00EE3B3A" w:rsidP="00EF003E">
      <w:pPr>
        <w:pStyle w:val="ONUMFS"/>
        <w:numPr>
          <w:ilvl w:val="1"/>
          <w:numId w:val="6"/>
        </w:numPr>
        <w:ind w:left="1134" w:hanging="567"/>
        <w:jc w:val="both"/>
        <w:rPr>
          <w:sz w:val="32"/>
          <w:szCs w:val="32"/>
        </w:rPr>
      </w:pPr>
      <w:r w:rsidRPr="00EF003E">
        <w:rPr>
          <w:sz w:val="32"/>
          <w:szCs w:val="32"/>
        </w:rPr>
        <w:t>un quart des États parties à la Convention instituant l</w:t>
      </w:r>
      <w:r w:rsidR="00446489" w:rsidRPr="00EF003E">
        <w:rPr>
          <w:sz w:val="32"/>
          <w:szCs w:val="32"/>
        </w:rPr>
        <w:t>’</w:t>
      </w:r>
      <w:r w:rsidRPr="00EF003E">
        <w:rPr>
          <w:sz w:val="32"/>
          <w:szCs w:val="32"/>
        </w:rPr>
        <w:t>OMPI qui ne sont membres d</w:t>
      </w:r>
      <w:r w:rsidR="00446489" w:rsidRPr="00EF003E">
        <w:rPr>
          <w:sz w:val="32"/>
          <w:szCs w:val="32"/>
        </w:rPr>
        <w:t>’</w:t>
      </w:r>
      <w:r w:rsidRPr="00EF003E">
        <w:rPr>
          <w:sz w:val="32"/>
          <w:szCs w:val="32"/>
        </w:rPr>
        <w:t>aucune des unions administrées par l</w:t>
      </w:r>
      <w:r w:rsidR="00446489" w:rsidRPr="00EF003E">
        <w:rPr>
          <w:sz w:val="32"/>
          <w:szCs w:val="32"/>
        </w:rPr>
        <w:t>’</w:t>
      </w:r>
      <w:r w:rsidRPr="00EF003E">
        <w:rPr>
          <w:sz w:val="32"/>
          <w:szCs w:val="32"/>
        </w:rPr>
        <w:t>OMPI, et qui sont désignés par la Conférence de l</w:t>
      </w:r>
      <w:r w:rsidR="00446489" w:rsidRPr="00EF003E">
        <w:rPr>
          <w:sz w:val="32"/>
          <w:szCs w:val="32"/>
        </w:rPr>
        <w:t>’</w:t>
      </w:r>
      <w:r w:rsidRPr="00EF003E">
        <w:rPr>
          <w:sz w:val="32"/>
          <w:szCs w:val="32"/>
        </w:rPr>
        <w:t>OMPI et siègent en qualité de membres ad</w:t>
      </w:r>
      <w:r w:rsidR="0020204B" w:rsidRPr="00EF003E">
        <w:rPr>
          <w:sz w:val="32"/>
          <w:szCs w:val="32"/>
        </w:rPr>
        <w:t> </w:t>
      </w:r>
      <w:r w:rsidRPr="00EF003E">
        <w:rPr>
          <w:sz w:val="32"/>
          <w:szCs w:val="32"/>
        </w:rPr>
        <w:t>hoc du Comité de coordination de l</w:t>
      </w:r>
      <w:r w:rsidR="00446489" w:rsidRPr="00EF003E">
        <w:rPr>
          <w:sz w:val="32"/>
          <w:szCs w:val="32"/>
        </w:rPr>
        <w:t>’</w:t>
      </w:r>
      <w:r w:rsidRPr="00EF003E">
        <w:rPr>
          <w:sz w:val="32"/>
          <w:szCs w:val="32"/>
        </w:rPr>
        <w:t>OMPI.</w:t>
      </w:r>
    </w:p>
    <w:p w:rsidR="00EE3B3A" w:rsidRPr="00EF003E" w:rsidRDefault="00EE3B3A" w:rsidP="00EF003E">
      <w:pPr>
        <w:pStyle w:val="ONUMFS"/>
        <w:spacing w:after="320"/>
        <w:ind w:left="567" w:hanging="567"/>
        <w:jc w:val="both"/>
        <w:rPr>
          <w:sz w:val="32"/>
          <w:szCs w:val="32"/>
        </w:rPr>
      </w:pPr>
      <w:r w:rsidRPr="00EF003E">
        <w:rPr>
          <w:sz w:val="32"/>
          <w:szCs w:val="32"/>
        </w:rPr>
        <w:t>Le groupe des pays d</w:t>
      </w:r>
      <w:r w:rsidR="00446489" w:rsidRPr="00EF003E">
        <w:rPr>
          <w:sz w:val="32"/>
          <w:szCs w:val="32"/>
        </w:rPr>
        <w:t>’</w:t>
      </w:r>
      <w:r w:rsidRPr="00EF003E">
        <w:rPr>
          <w:sz w:val="32"/>
          <w:szCs w:val="32"/>
        </w:rPr>
        <w:t>Europe centrale et des États baltes souhaite indiquer que</w:t>
      </w:r>
      <w:r w:rsidR="00446489" w:rsidRPr="00EF003E">
        <w:rPr>
          <w:sz w:val="32"/>
          <w:szCs w:val="32"/>
        </w:rPr>
        <w:t> :</w:t>
      </w:r>
    </w:p>
    <w:p w:rsidR="00446489" w:rsidRPr="00EF003E" w:rsidRDefault="00EE3B3A" w:rsidP="00EF003E">
      <w:pPr>
        <w:pStyle w:val="ONUMFS"/>
        <w:numPr>
          <w:ilvl w:val="0"/>
          <w:numId w:val="11"/>
        </w:numPr>
        <w:tabs>
          <w:tab w:val="clear" w:pos="567"/>
          <w:tab w:val="num" w:pos="1134"/>
        </w:tabs>
        <w:spacing w:after="0"/>
        <w:ind w:left="1134" w:hanging="567"/>
        <w:jc w:val="both"/>
        <w:rPr>
          <w:sz w:val="32"/>
          <w:szCs w:val="32"/>
        </w:rPr>
      </w:pPr>
      <w:r w:rsidRPr="00EF003E">
        <w:rPr>
          <w:sz w:val="32"/>
          <w:szCs w:val="32"/>
        </w:rPr>
        <w:t>Tous les membres actuels du groupe des pays d</w:t>
      </w:r>
      <w:r w:rsidR="00446489" w:rsidRPr="00EF003E">
        <w:rPr>
          <w:sz w:val="32"/>
          <w:szCs w:val="32"/>
        </w:rPr>
        <w:t>’</w:t>
      </w:r>
      <w:r w:rsidRPr="00EF003E">
        <w:rPr>
          <w:sz w:val="32"/>
          <w:szCs w:val="32"/>
        </w:rPr>
        <w:t>Europe centrale et des États baltes sont depuis longtemps parties aux c</w:t>
      </w:r>
      <w:r w:rsidR="00EF003E">
        <w:rPr>
          <w:sz w:val="32"/>
          <w:szCs w:val="32"/>
        </w:rPr>
        <w:t>onventions de Paris et de Berne.</w:t>
      </w:r>
    </w:p>
    <w:p w:rsidR="00446489" w:rsidRPr="00EF003E" w:rsidRDefault="00EE3B3A" w:rsidP="00EF003E">
      <w:pPr>
        <w:pStyle w:val="ONUMFS"/>
        <w:numPr>
          <w:ilvl w:val="0"/>
          <w:numId w:val="11"/>
        </w:numPr>
        <w:tabs>
          <w:tab w:val="clear" w:pos="567"/>
          <w:tab w:val="num" w:pos="1134"/>
        </w:tabs>
        <w:spacing w:after="0"/>
        <w:ind w:left="1134" w:hanging="567"/>
        <w:jc w:val="both"/>
        <w:rPr>
          <w:sz w:val="32"/>
          <w:szCs w:val="32"/>
        </w:rPr>
      </w:pPr>
      <w:r w:rsidRPr="00EF003E">
        <w:rPr>
          <w:sz w:val="32"/>
          <w:szCs w:val="32"/>
        </w:rPr>
        <w:t>Le groupe des pays d</w:t>
      </w:r>
      <w:r w:rsidR="00446489" w:rsidRPr="00EF003E">
        <w:rPr>
          <w:sz w:val="32"/>
          <w:szCs w:val="32"/>
        </w:rPr>
        <w:t>’</w:t>
      </w:r>
      <w:r w:rsidRPr="00EF003E">
        <w:rPr>
          <w:sz w:val="32"/>
          <w:szCs w:val="32"/>
        </w:rPr>
        <w:t>Europe centrale et des États baltes, avec 6</w:t>
      </w:r>
      <w:r w:rsidR="007B3681" w:rsidRPr="00EF003E">
        <w:rPr>
          <w:sz w:val="32"/>
          <w:szCs w:val="32"/>
        </w:rPr>
        <w:t> </w:t>
      </w:r>
      <w:r w:rsidRPr="00EF003E">
        <w:rPr>
          <w:sz w:val="32"/>
          <w:szCs w:val="32"/>
        </w:rPr>
        <w:t>sièges, reste l</w:t>
      </w:r>
      <w:r w:rsidR="00446489" w:rsidRPr="00EF003E">
        <w:rPr>
          <w:sz w:val="32"/>
          <w:szCs w:val="32"/>
        </w:rPr>
        <w:t>’</w:t>
      </w:r>
      <w:r w:rsidRPr="00EF003E">
        <w:rPr>
          <w:sz w:val="32"/>
          <w:szCs w:val="32"/>
        </w:rPr>
        <w:t>un des groupes régionaux les plus sous</w:t>
      </w:r>
      <w:r w:rsidR="000226F3" w:rsidRPr="00EF003E">
        <w:rPr>
          <w:sz w:val="32"/>
          <w:szCs w:val="32"/>
        </w:rPr>
        <w:noBreakHyphen/>
      </w:r>
      <w:r w:rsidRPr="00EF003E">
        <w:rPr>
          <w:sz w:val="32"/>
          <w:szCs w:val="32"/>
        </w:rPr>
        <w:t>représentés au sein du Comité de coordination.</w:t>
      </w:r>
    </w:p>
    <w:p w:rsidR="00EE3B3A" w:rsidRPr="00EF003E" w:rsidRDefault="00EE3B3A" w:rsidP="00EF003E">
      <w:pPr>
        <w:pStyle w:val="ONUMFS"/>
        <w:numPr>
          <w:ilvl w:val="0"/>
          <w:numId w:val="11"/>
        </w:numPr>
        <w:tabs>
          <w:tab w:val="clear" w:pos="567"/>
          <w:tab w:val="num" w:pos="1134"/>
        </w:tabs>
        <w:spacing w:after="0"/>
        <w:ind w:left="1134" w:hanging="567"/>
        <w:jc w:val="both"/>
        <w:rPr>
          <w:sz w:val="32"/>
          <w:szCs w:val="32"/>
        </w:rPr>
      </w:pPr>
      <w:r w:rsidRPr="00EF003E">
        <w:rPr>
          <w:sz w:val="32"/>
          <w:szCs w:val="32"/>
        </w:rPr>
        <w:t>La sous</w:t>
      </w:r>
      <w:r w:rsidR="000226F3" w:rsidRPr="00EF003E">
        <w:rPr>
          <w:sz w:val="32"/>
          <w:szCs w:val="32"/>
        </w:rPr>
        <w:noBreakHyphen/>
      </w:r>
      <w:r w:rsidRPr="00EF003E">
        <w:rPr>
          <w:sz w:val="32"/>
          <w:szCs w:val="32"/>
        </w:rPr>
        <w:t>représentation du groupe des pays d</w:t>
      </w:r>
      <w:r w:rsidR="00446489" w:rsidRPr="00EF003E">
        <w:rPr>
          <w:sz w:val="32"/>
          <w:szCs w:val="32"/>
        </w:rPr>
        <w:t>’</w:t>
      </w:r>
      <w:r w:rsidRPr="00EF003E">
        <w:rPr>
          <w:sz w:val="32"/>
          <w:szCs w:val="32"/>
        </w:rPr>
        <w:t>Europe centrale et des États baltes est encore plus visible si l</w:t>
      </w:r>
      <w:r w:rsidR="00446489" w:rsidRPr="00EF003E">
        <w:rPr>
          <w:sz w:val="32"/>
          <w:szCs w:val="32"/>
        </w:rPr>
        <w:t>’</w:t>
      </w:r>
      <w:r w:rsidRPr="00EF003E">
        <w:rPr>
          <w:sz w:val="32"/>
          <w:szCs w:val="32"/>
        </w:rPr>
        <w:t>on tient compte de l</w:t>
      </w:r>
      <w:r w:rsidR="00446489" w:rsidRPr="00EF003E">
        <w:rPr>
          <w:sz w:val="32"/>
          <w:szCs w:val="32"/>
        </w:rPr>
        <w:t>’</w:t>
      </w:r>
      <w:r w:rsidRPr="00EF003E">
        <w:rPr>
          <w:sz w:val="32"/>
          <w:szCs w:val="32"/>
        </w:rPr>
        <w:t>adhésion au groupe de deux</w:t>
      </w:r>
      <w:r w:rsidR="0020204B" w:rsidRPr="00EF003E">
        <w:rPr>
          <w:sz w:val="32"/>
          <w:szCs w:val="32"/>
        </w:rPr>
        <w:t> </w:t>
      </w:r>
      <w:r w:rsidRPr="00EF003E">
        <w:rPr>
          <w:sz w:val="32"/>
          <w:szCs w:val="32"/>
        </w:rPr>
        <w:t>pays (la Géorgie et l</w:t>
      </w:r>
      <w:r w:rsidR="00446489" w:rsidRPr="00EF003E">
        <w:rPr>
          <w:sz w:val="32"/>
          <w:szCs w:val="32"/>
        </w:rPr>
        <w:t>’</w:t>
      </w:r>
      <w:r w:rsidRPr="00EF003E">
        <w:rPr>
          <w:sz w:val="32"/>
          <w:szCs w:val="32"/>
        </w:rPr>
        <w:t xml:space="preserve">Ukraine) </w:t>
      </w:r>
      <w:r w:rsidR="00446489" w:rsidRPr="00EF003E">
        <w:rPr>
          <w:sz w:val="32"/>
          <w:szCs w:val="32"/>
        </w:rPr>
        <w:t>depuis 2011</w:t>
      </w:r>
      <w:r w:rsidRPr="00EF003E">
        <w:rPr>
          <w:sz w:val="32"/>
          <w:szCs w:val="32"/>
        </w:rPr>
        <w:t>;  toutefois, en raison de ces changements, ni l</w:t>
      </w:r>
      <w:r w:rsidR="00446489" w:rsidRPr="00EF003E">
        <w:rPr>
          <w:sz w:val="32"/>
          <w:szCs w:val="32"/>
        </w:rPr>
        <w:t>’</w:t>
      </w:r>
      <w:r w:rsidRPr="00EF003E">
        <w:rPr>
          <w:sz w:val="32"/>
          <w:szCs w:val="32"/>
        </w:rPr>
        <w:t>augmentation du nombre de sièges attribués au groupe des pays d</w:t>
      </w:r>
      <w:r w:rsidR="00446489" w:rsidRPr="00EF003E">
        <w:rPr>
          <w:sz w:val="32"/>
          <w:szCs w:val="32"/>
        </w:rPr>
        <w:t>’</w:t>
      </w:r>
      <w:r w:rsidRPr="00EF003E">
        <w:rPr>
          <w:sz w:val="32"/>
          <w:szCs w:val="32"/>
        </w:rPr>
        <w:t>Europe centrale et des États baltes, ni la réduction du nombre de sièges attribués aux groupes ayant enregistré une diminution de leur nombre de pays, n</w:t>
      </w:r>
      <w:r w:rsidR="00446489" w:rsidRPr="00EF003E">
        <w:rPr>
          <w:sz w:val="32"/>
          <w:szCs w:val="32"/>
        </w:rPr>
        <w:t>’</w:t>
      </w:r>
      <w:r w:rsidR="00EF003E">
        <w:rPr>
          <w:sz w:val="32"/>
          <w:szCs w:val="32"/>
        </w:rPr>
        <w:t>ont été prises en considération.</w:t>
      </w:r>
    </w:p>
    <w:p w:rsidR="00EE3B3A" w:rsidRPr="00EF003E" w:rsidRDefault="00EE3B3A" w:rsidP="00EF003E">
      <w:pPr>
        <w:pStyle w:val="ONUMFS"/>
        <w:numPr>
          <w:ilvl w:val="0"/>
          <w:numId w:val="11"/>
        </w:numPr>
        <w:tabs>
          <w:tab w:val="clear" w:pos="567"/>
          <w:tab w:val="num" w:pos="1134"/>
        </w:tabs>
        <w:spacing w:after="0"/>
        <w:ind w:left="1134" w:hanging="567"/>
        <w:jc w:val="both"/>
        <w:rPr>
          <w:sz w:val="32"/>
          <w:szCs w:val="32"/>
        </w:rPr>
      </w:pPr>
      <w:r w:rsidRPr="00EF003E">
        <w:rPr>
          <w:sz w:val="32"/>
          <w:szCs w:val="32"/>
        </w:rPr>
        <w:lastRenderedPageBreak/>
        <w:t>Le groupe des pays d</w:t>
      </w:r>
      <w:r w:rsidR="00446489" w:rsidRPr="00EF003E">
        <w:rPr>
          <w:sz w:val="32"/>
          <w:szCs w:val="32"/>
        </w:rPr>
        <w:t>’</w:t>
      </w:r>
      <w:r w:rsidRPr="00EF003E">
        <w:rPr>
          <w:sz w:val="32"/>
          <w:szCs w:val="32"/>
        </w:rPr>
        <w:t>Europe centrale et des États baltes est en deuxième position en ce qui concerne le nombre total de ratifications des traités de l</w:t>
      </w:r>
      <w:r w:rsidR="00446489" w:rsidRPr="00EF003E">
        <w:rPr>
          <w:sz w:val="32"/>
          <w:szCs w:val="32"/>
        </w:rPr>
        <w:t>’</w:t>
      </w:r>
      <w:r w:rsidRPr="00EF003E">
        <w:rPr>
          <w:sz w:val="32"/>
          <w:szCs w:val="32"/>
        </w:rPr>
        <w:t>O</w:t>
      </w:r>
      <w:r w:rsidR="00FA53CB" w:rsidRPr="00EF003E">
        <w:rPr>
          <w:sz w:val="32"/>
          <w:szCs w:val="32"/>
        </w:rPr>
        <w:t>MPI.  Pa</w:t>
      </w:r>
      <w:r w:rsidRPr="00EF003E">
        <w:rPr>
          <w:sz w:val="32"/>
          <w:szCs w:val="32"/>
        </w:rPr>
        <w:t>r ailleurs, les États membres du groupe des pays d</w:t>
      </w:r>
      <w:r w:rsidR="00446489" w:rsidRPr="00EF003E">
        <w:rPr>
          <w:sz w:val="32"/>
          <w:szCs w:val="32"/>
        </w:rPr>
        <w:t>’</w:t>
      </w:r>
      <w:r w:rsidRPr="00EF003E">
        <w:rPr>
          <w:sz w:val="32"/>
          <w:szCs w:val="32"/>
        </w:rPr>
        <w:t>Europe centrale et des États baltes comptent en moyenne le plus grand nombre de ratifications par pays.</w:t>
      </w:r>
    </w:p>
    <w:p w:rsidR="00446489" w:rsidRPr="00EF003E" w:rsidRDefault="00EE3B3A" w:rsidP="00EF003E">
      <w:pPr>
        <w:pStyle w:val="ONUMFS"/>
        <w:numPr>
          <w:ilvl w:val="0"/>
          <w:numId w:val="11"/>
        </w:numPr>
        <w:tabs>
          <w:tab w:val="clear" w:pos="567"/>
          <w:tab w:val="num" w:pos="1134"/>
        </w:tabs>
        <w:spacing w:after="320"/>
        <w:ind w:left="1134" w:hanging="567"/>
        <w:jc w:val="both"/>
        <w:rPr>
          <w:sz w:val="32"/>
          <w:szCs w:val="32"/>
        </w:rPr>
      </w:pPr>
      <w:r w:rsidRPr="00EF003E">
        <w:rPr>
          <w:sz w:val="32"/>
          <w:szCs w:val="32"/>
        </w:rPr>
        <w:t>Une augmentation continue du nombre d</w:t>
      </w:r>
      <w:r w:rsidR="00446489" w:rsidRPr="00EF003E">
        <w:rPr>
          <w:sz w:val="32"/>
          <w:szCs w:val="32"/>
        </w:rPr>
        <w:t>’</w:t>
      </w:r>
      <w:r w:rsidRPr="00EF003E">
        <w:rPr>
          <w:sz w:val="32"/>
          <w:szCs w:val="32"/>
        </w:rPr>
        <w:t>enregistrements effectués à partir des pays du groupe des pays d</w:t>
      </w:r>
      <w:r w:rsidR="00446489" w:rsidRPr="00EF003E">
        <w:rPr>
          <w:sz w:val="32"/>
          <w:szCs w:val="32"/>
        </w:rPr>
        <w:t>’</w:t>
      </w:r>
      <w:r w:rsidRPr="00EF003E">
        <w:rPr>
          <w:sz w:val="32"/>
          <w:szCs w:val="32"/>
        </w:rPr>
        <w:t>Europe centrale et des États baltes dans le cadre des différents systèmes de propriété intellectuelle a été notée au cours des deux</w:t>
      </w:r>
      <w:r w:rsidR="0020204B" w:rsidRPr="00EF003E">
        <w:rPr>
          <w:sz w:val="32"/>
          <w:szCs w:val="32"/>
        </w:rPr>
        <w:t> </w:t>
      </w:r>
      <w:r w:rsidRPr="00EF003E">
        <w:rPr>
          <w:sz w:val="32"/>
          <w:szCs w:val="32"/>
        </w:rPr>
        <w:t>dernières décennies.</w:t>
      </w:r>
    </w:p>
    <w:p w:rsidR="00446489" w:rsidRPr="00EF003E" w:rsidRDefault="00EE3B3A" w:rsidP="00EF003E">
      <w:pPr>
        <w:pStyle w:val="ONUMFS"/>
        <w:spacing w:after="320"/>
        <w:ind w:left="567" w:hanging="567"/>
        <w:jc w:val="both"/>
        <w:rPr>
          <w:sz w:val="32"/>
          <w:szCs w:val="32"/>
        </w:rPr>
      </w:pPr>
      <w:r w:rsidRPr="00EF003E">
        <w:rPr>
          <w:sz w:val="32"/>
          <w:szCs w:val="32"/>
        </w:rPr>
        <w:t>Le groupe des pays d</w:t>
      </w:r>
      <w:r w:rsidR="00446489" w:rsidRPr="00EF003E">
        <w:rPr>
          <w:sz w:val="32"/>
          <w:szCs w:val="32"/>
        </w:rPr>
        <w:t>’</w:t>
      </w:r>
      <w:r w:rsidRPr="00EF003E">
        <w:rPr>
          <w:sz w:val="32"/>
          <w:szCs w:val="32"/>
        </w:rPr>
        <w:t xml:space="preserve">Europe centrale et des États baltes réitère que la </w:t>
      </w:r>
      <w:r w:rsidRPr="00EF003E">
        <w:rPr>
          <w:b/>
          <w:bCs/>
          <w:sz w:val="32"/>
          <w:szCs w:val="32"/>
        </w:rPr>
        <w:t>répartition actuelle</w:t>
      </w:r>
      <w:r w:rsidRPr="00EF003E">
        <w:rPr>
          <w:sz w:val="32"/>
          <w:szCs w:val="32"/>
        </w:rPr>
        <w:t xml:space="preserve"> des sièges au sein du Comité de coordination n</w:t>
      </w:r>
      <w:r w:rsidR="00446489" w:rsidRPr="00EF003E">
        <w:rPr>
          <w:sz w:val="32"/>
          <w:szCs w:val="32"/>
        </w:rPr>
        <w:t>’</w:t>
      </w:r>
      <w:r w:rsidRPr="00EF003E">
        <w:rPr>
          <w:sz w:val="32"/>
          <w:szCs w:val="32"/>
        </w:rPr>
        <w:t>est pas équitablement proportionnée ni représentative de la taille relative des différents groupes régionaux de l</w:t>
      </w:r>
      <w:r w:rsidR="00446489" w:rsidRPr="00EF003E">
        <w:rPr>
          <w:sz w:val="32"/>
          <w:szCs w:val="32"/>
        </w:rPr>
        <w:t>’</w:t>
      </w:r>
      <w:r w:rsidRPr="00EF003E">
        <w:rPr>
          <w:sz w:val="32"/>
          <w:szCs w:val="32"/>
        </w:rPr>
        <w:t xml:space="preserve">OMPI (comme il ressort </w:t>
      </w:r>
      <w:r w:rsidRPr="00EF003E">
        <w:rPr>
          <w:sz w:val="32"/>
          <w:szCs w:val="32"/>
          <w:u w:val="single"/>
        </w:rPr>
        <w:t>de l</w:t>
      </w:r>
      <w:r w:rsidR="00446489" w:rsidRPr="00EF003E">
        <w:rPr>
          <w:sz w:val="32"/>
          <w:szCs w:val="32"/>
          <w:u w:val="single"/>
        </w:rPr>
        <w:t>’annexe A</w:t>
      </w:r>
      <w:r w:rsidRPr="00EF003E">
        <w:rPr>
          <w:sz w:val="32"/>
          <w:szCs w:val="32"/>
          <w:u w:val="single"/>
        </w:rPr>
        <w:t xml:space="preserve"> et de l</w:t>
      </w:r>
      <w:r w:rsidR="00446489" w:rsidRPr="00EF003E">
        <w:rPr>
          <w:sz w:val="32"/>
          <w:szCs w:val="32"/>
          <w:u w:val="single"/>
        </w:rPr>
        <w:t>’annexe B</w:t>
      </w:r>
      <w:r w:rsidRPr="00EF003E">
        <w:rPr>
          <w:sz w:val="32"/>
          <w:szCs w:val="32"/>
          <w:u w:val="single"/>
        </w:rPr>
        <w:t xml:space="preserve"> du document A/64/9, jointes au présent docume</w:t>
      </w:r>
      <w:r w:rsidR="00FA53CB" w:rsidRPr="00EF003E">
        <w:rPr>
          <w:sz w:val="32"/>
          <w:szCs w:val="32"/>
          <w:u w:val="single"/>
        </w:rPr>
        <w:t>nt</w:t>
      </w:r>
      <w:r w:rsidR="00FA53CB" w:rsidRPr="00EF003E">
        <w:rPr>
          <w:sz w:val="32"/>
          <w:szCs w:val="32"/>
        </w:rPr>
        <w:t>).  Le</w:t>
      </w:r>
      <w:r w:rsidRPr="00EF003E">
        <w:rPr>
          <w:sz w:val="32"/>
          <w:szCs w:val="32"/>
        </w:rPr>
        <w:t xml:space="preserve"> groupe des pays d</w:t>
      </w:r>
      <w:r w:rsidR="00446489" w:rsidRPr="00EF003E">
        <w:rPr>
          <w:sz w:val="32"/>
          <w:szCs w:val="32"/>
        </w:rPr>
        <w:t>’</w:t>
      </w:r>
      <w:r w:rsidRPr="00EF003E">
        <w:rPr>
          <w:sz w:val="32"/>
          <w:szCs w:val="32"/>
        </w:rPr>
        <w:t>Europe centrale et des États baltes est l</w:t>
      </w:r>
      <w:r w:rsidR="00446489" w:rsidRPr="00EF003E">
        <w:rPr>
          <w:sz w:val="32"/>
          <w:szCs w:val="32"/>
        </w:rPr>
        <w:t>’</w:t>
      </w:r>
      <w:r w:rsidRPr="00EF003E">
        <w:rPr>
          <w:sz w:val="32"/>
          <w:szCs w:val="32"/>
        </w:rPr>
        <w:t>un des groupes régionaux les plus sous</w:t>
      </w:r>
      <w:r w:rsidR="000226F3" w:rsidRPr="00EF003E">
        <w:rPr>
          <w:sz w:val="32"/>
          <w:szCs w:val="32"/>
        </w:rPr>
        <w:noBreakHyphen/>
      </w:r>
      <w:r w:rsidRPr="00EF003E">
        <w:rPr>
          <w:sz w:val="32"/>
          <w:szCs w:val="32"/>
        </w:rPr>
        <w:t>représentés au sein du Comité de coordination dans sa composition actuel</w:t>
      </w:r>
      <w:r w:rsidR="00FA53CB" w:rsidRPr="00EF003E">
        <w:rPr>
          <w:sz w:val="32"/>
          <w:szCs w:val="32"/>
        </w:rPr>
        <w:t>le.  Su</w:t>
      </w:r>
      <w:r w:rsidRPr="00EF003E">
        <w:rPr>
          <w:sz w:val="32"/>
          <w:szCs w:val="32"/>
        </w:rPr>
        <w:t>r la base des informations susmentionnées, une représentation accrue du groupe des pays d</w:t>
      </w:r>
      <w:r w:rsidR="00446489" w:rsidRPr="00EF003E">
        <w:rPr>
          <w:sz w:val="32"/>
          <w:szCs w:val="32"/>
        </w:rPr>
        <w:t>’</w:t>
      </w:r>
      <w:r w:rsidRPr="00EF003E">
        <w:rPr>
          <w:sz w:val="32"/>
          <w:szCs w:val="32"/>
        </w:rPr>
        <w:t>Europe centrale et des États baltes devrait être considérée comme une étape nécessaire pour assurer une représentation équilibrée de tous les groupes régionaux compte tenu des critères actuels.</w:t>
      </w:r>
    </w:p>
    <w:p w:rsidR="00446489" w:rsidRPr="00EF003E" w:rsidRDefault="00EE3B3A" w:rsidP="00EF003E">
      <w:pPr>
        <w:pStyle w:val="ONUMFS"/>
        <w:spacing w:after="320"/>
        <w:ind w:left="567" w:hanging="567"/>
        <w:jc w:val="both"/>
        <w:rPr>
          <w:sz w:val="32"/>
          <w:szCs w:val="32"/>
        </w:rPr>
      </w:pPr>
      <w:r w:rsidRPr="00EF003E">
        <w:rPr>
          <w:sz w:val="32"/>
          <w:szCs w:val="32"/>
        </w:rPr>
        <w:t>En outre, le groupe des pays d</w:t>
      </w:r>
      <w:r w:rsidR="00446489" w:rsidRPr="00EF003E">
        <w:rPr>
          <w:sz w:val="32"/>
          <w:szCs w:val="32"/>
        </w:rPr>
        <w:t>’</w:t>
      </w:r>
      <w:r w:rsidRPr="00EF003E">
        <w:rPr>
          <w:sz w:val="32"/>
          <w:szCs w:val="32"/>
        </w:rPr>
        <w:t>Europe centrale et des États baltes estime que le nombre d</w:t>
      </w:r>
      <w:r w:rsidR="00446489" w:rsidRPr="00EF003E">
        <w:rPr>
          <w:sz w:val="32"/>
          <w:szCs w:val="32"/>
        </w:rPr>
        <w:t>’</w:t>
      </w:r>
      <w:r w:rsidRPr="00EF003E">
        <w:rPr>
          <w:sz w:val="32"/>
          <w:szCs w:val="32"/>
        </w:rPr>
        <w:t>adhésions à la Convention de Paris et à la Convention de Berne, qui définit le nombre total de sièges au sein du Comité de coordination, ne doit pas être le seul critère à être pris en considération lors de la détermination de la composition régionale du Comité de coordinati</w:t>
      </w:r>
      <w:r w:rsidR="00FA53CB" w:rsidRPr="00EF003E">
        <w:rPr>
          <w:sz w:val="32"/>
          <w:szCs w:val="32"/>
        </w:rPr>
        <w:t>on.  Ce</w:t>
      </w:r>
      <w:r w:rsidRPr="00EF003E">
        <w:rPr>
          <w:sz w:val="32"/>
          <w:szCs w:val="32"/>
        </w:rPr>
        <w:t xml:space="preserve"> critère ne semble plus pertinent, compte tenu du fait que, comme en ce qui concerne le groupe</w:t>
      </w:r>
      <w:r w:rsidR="0020204B" w:rsidRPr="00EF003E">
        <w:rPr>
          <w:sz w:val="32"/>
          <w:szCs w:val="32"/>
        </w:rPr>
        <w:t> </w:t>
      </w:r>
      <w:r w:rsidRPr="00EF003E">
        <w:rPr>
          <w:sz w:val="32"/>
          <w:szCs w:val="32"/>
        </w:rPr>
        <w:t>B, le groupe des pays d</w:t>
      </w:r>
      <w:r w:rsidR="00446489" w:rsidRPr="00EF003E">
        <w:rPr>
          <w:sz w:val="32"/>
          <w:szCs w:val="32"/>
        </w:rPr>
        <w:t>’</w:t>
      </w:r>
      <w:r w:rsidRPr="00EF003E">
        <w:rPr>
          <w:sz w:val="32"/>
          <w:szCs w:val="32"/>
        </w:rPr>
        <w:t>Asie centrale, du Caucase et d</w:t>
      </w:r>
      <w:r w:rsidR="00446489" w:rsidRPr="00EF003E">
        <w:rPr>
          <w:sz w:val="32"/>
          <w:szCs w:val="32"/>
        </w:rPr>
        <w:t>’</w:t>
      </w:r>
      <w:r w:rsidRPr="00EF003E">
        <w:rPr>
          <w:sz w:val="32"/>
          <w:szCs w:val="32"/>
        </w:rPr>
        <w:t>Europe orientale ou le groupe des pays d</w:t>
      </w:r>
      <w:r w:rsidR="00446489" w:rsidRPr="00EF003E">
        <w:rPr>
          <w:sz w:val="32"/>
          <w:szCs w:val="32"/>
        </w:rPr>
        <w:t>’</w:t>
      </w:r>
      <w:r w:rsidRPr="00EF003E">
        <w:rPr>
          <w:sz w:val="32"/>
          <w:szCs w:val="32"/>
        </w:rPr>
        <w:t>Amérique latine et des Caraïbes, tous les membres du groupe des pays d</w:t>
      </w:r>
      <w:r w:rsidR="00446489" w:rsidRPr="00EF003E">
        <w:rPr>
          <w:sz w:val="32"/>
          <w:szCs w:val="32"/>
        </w:rPr>
        <w:t>’</w:t>
      </w:r>
      <w:r w:rsidRPr="00EF003E">
        <w:rPr>
          <w:sz w:val="32"/>
          <w:szCs w:val="32"/>
        </w:rPr>
        <w:t xml:space="preserve">Europe centrale et des États </w:t>
      </w:r>
      <w:r w:rsidRPr="00EF003E">
        <w:rPr>
          <w:sz w:val="32"/>
          <w:szCs w:val="32"/>
        </w:rPr>
        <w:lastRenderedPageBreak/>
        <w:t>baltes ont adhéré aux deux</w:t>
      </w:r>
      <w:r w:rsidR="0020204B" w:rsidRPr="00EF003E">
        <w:rPr>
          <w:sz w:val="32"/>
          <w:szCs w:val="32"/>
        </w:rPr>
        <w:t> </w:t>
      </w:r>
      <w:r w:rsidRPr="00EF003E">
        <w:rPr>
          <w:sz w:val="32"/>
          <w:szCs w:val="32"/>
        </w:rPr>
        <w:t>conventio</w:t>
      </w:r>
      <w:r w:rsidR="00FA53CB" w:rsidRPr="00EF003E">
        <w:rPr>
          <w:sz w:val="32"/>
          <w:szCs w:val="32"/>
        </w:rPr>
        <w:t>ns.  Si</w:t>
      </w:r>
      <w:r w:rsidRPr="00EF003E">
        <w:rPr>
          <w:sz w:val="32"/>
          <w:szCs w:val="32"/>
        </w:rPr>
        <w:t xml:space="preserve"> ces critères ont longtemps servi de mesures d</w:t>
      </w:r>
      <w:r w:rsidR="00446489" w:rsidRPr="00EF003E">
        <w:rPr>
          <w:sz w:val="32"/>
          <w:szCs w:val="32"/>
        </w:rPr>
        <w:t>’</w:t>
      </w:r>
      <w:r w:rsidRPr="00EF003E">
        <w:rPr>
          <w:sz w:val="32"/>
          <w:szCs w:val="32"/>
        </w:rPr>
        <w:t>incitation visant à encourager les États membres de l</w:t>
      </w:r>
      <w:r w:rsidR="00446489" w:rsidRPr="00EF003E">
        <w:rPr>
          <w:sz w:val="32"/>
          <w:szCs w:val="32"/>
        </w:rPr>
        <w:t>’</w:t>
      </w:r>
      <w:r w:rsidRPr="00EF003E">
        <w:rPr>
          <w:sz w:val="32"/>
          <w:szCs w:val="32"/>
        </w:rPr>
        <w:t>OMPI à adhérer aux instruments de l</w:t>
      </w:r>
      <w:r w:rsidR="00446489" w:rsidRPr="00EF003E">
        <w:rPr>
          <w:sz w:val="32"/>
          <w:szCs w:val="32"/>
        </w:rPr>
        <w:t>’</w:t>
      </w:r>
      <w:r w:rsidRPr="00EF003E">
        <w:rPr>
          <w:sz w:val="32"/>
          <w:szCs w:val="32"/>
        </w:rPr>
        <w:t>OMPI, ils ne peuvent plus servir de paramètre pour déterminer la composition du Comité de coordination.</w:t>
      </w:r>
    </w:p>
    <w:p w:rsidR="00EE3B3A" w:rsidRPr="00EF003E" w:rsidRDefault="00EE3B3A" w:rsidP="00EF003E">
      <w:pPr>
        <w:pStyle w:val="ONUMFS"/>
        <w:spacing w:after="320"/>
        <w:ind w:left="567" w:hanging="567"/>
        <w:jc w:val="both"/>
        <w:rPr>
          <w:sz w:val="32"/>
          <w:szCs w:val="32"/>
        </w:rPr>
      </w:pPr>
      <w:r w:rsidRPr="00EF003E">
        <w:rPr>
          <w:sz w:val="32"/>
          <w:szCs w:val="32"/>
        </w:rPr>
        <w:t>Compte tenu de ce qui précède, la répartition des sept</w:t>
      </w:r>
      <w:r w:rsidR="0020204B" w:rsidRPr="00EF003E">
        <w:rPr>
          <w:sz w:val="32"/>
          <w:szCs w:val="32"/>
        </w:rPr>
        <w:t> </w:t>
      </w:r>
      <w:r w:rsidRPr="00EF003E">
        <w:rPr>
          <w:sz w:val="32"/>
          <w:szCs w:val="32"/>
        </w:rPr>
        <w:t>sièges vacants au sein du Comité de coordination devrait mieux tenir compte de la composition de l</w:t>
      </w:r>
      <w:r w:rsidR="00446489" w:rsidRPr="00EF003E">
        <w:rPr>
          <w:sz w:val="32"/>
          <w:szCs w:val="32"/>
        </w:rPr>
        <w:t>’</w:t>
      </w:r>
      <w:r w:rsidRPr="00EF003E">
        <w:rPr>
          <w:sz w:val="32"/>
          <w:szCs w:val="32"/>
        </w:rPr>
        <w:t>OMPI et de la taille relative des groupes régionaux à l</w:t>
      </w:r>
      <w:r w:rsidR="00446489" w:rsidRPr="00EF003E">
        <w:rPr>
          <w:sz w:val="32"/>
          <w:szCs w:val="32"/>
        </w:rPr>
        <w:t>’</w:t>
      </w:r>
      <w:r w:rsidRPr="00EF003E">
        <w:rPr>
          <w:sz w:val="32"/>
          <w:szCs w:val="32"/>
        </w:rPr>
        <w:t>OMPI, étant entendu que chaque groupe régional devrait être représenté au Comité de coordinati</w:t>
      </w:r>
      <w:r w:rsidR="00FA53CB" w:rsidRPr="00EF003E">
        <w:rPr>
          <w:sz w:val="32"/>
          <w:szCs w:val="32"/>
        </w:rPr>
        <w:t>on.  Le</w:t>
      </w:r>
      <w:r w:rsidRPr="00EF003E">
        <w:rPr>
          <w:sz w:val="32"/>
          <w:szCs w:val="32"/>
        </w:rPr>
        <w:t xml:space="preserve"> groupe des pays d</w:t>
      </w:r>
      <w:r w:rsidR="00446489" w:rsidRPr="00EF003E">
        <w:rPr>
          <w:sz w:val="32"/>
          <w:szCs w:val="32"/>
        </w:rPr>
        <w:t>’</w:t>
      </w:r>
      <w:r w:rsidRPr="00EF003E">
        <w:rPr>
          <w:sz w:val="32"/>
          <w:szCs w:val="32"/>
        </w:rPr>
        <w:t>Europe centrale et des États baltes estime donc qu</w:t>
      </w:r>
      <w:r w:rsidR="00446489" w:rsidRPr="00EF003E">
        <w:rPr>
          <w:sz w:val="32"/>
          <w:szCs w:val="32"/>
        </w:rPr>
        <w:t>’</w:t>
      </w:r>
      <w:r w:rsidRPr="00EF003E">
        <w:rPr>
          <w:sz w:val="32"/>
          <w:szCs w:val="32"/>
        </w:rPr>
        <w:t>il est sous</w:t>
      </w:r>
      <w:r w:rsidR="000226F3" w:rsidRPr="00EF003E">
        <w:rPr>
          <w:sz w:val="32"/>
          <w:szCs w:val="32"/>
        </w:rPr>
        <w:noBreakHyphen/>
      </w:r>
      <w:r w:rsidRPr="00EF003E">
        <w:rPr>
          <w:sz w:val="32"/>
          <w:szCs w:val="32"/>
        </w:rPr>
        <w:t>représenté au sein du Comité de coordination et qu</w:t>
      </w:r>
      <w:r w:rsidR="00446489" w:rsidRPr="00EF003E">
        <w:rPr>
          <w:sz w:val="32"/>
          <w:szCs w:val="32"/>
        </w:rPr>
        <w:t>’</w:t>
      </w:r>
      <w:r w:rsidRPr="00EF003E">
        <w:rPr>
          <w:sz w:val="32"/>
          <w:szCs w:val="32"/>
        </w:rPr>
        <w:t>il mérite des sièges supplémentaires.</w:t>
      </w:r>
    </w:p>
    <w:p w:rsidR="00EE3B3A" w:rsidRPr="00554C46" w:rsidRDefault="00EE3B3A" w:rsidP="00554C46"/>
    <w:bookmarkEnd w:id="6"/>
    <w:p w:rsidR="00EE3B3A" w:rsidRPr="00554C46" w:rsidRDefault="00EE3B3A" w:rsidP="00554C46">
      <w:pPr>
        <w:sectPr w:rsidR="00EE3B3A" w:rsidRPr="00554C46" w:rsidSect="000226F3">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pPr>
    </w:p>
    <w:p w:rsidR="00EE3B3A" w:rsidRPr="00554C46" w:rsidRDefault="00446489" w:rsidP="00554C46">
      <w:pPr>
        <w:spacing w:after="120"/>
        <w:ind w:firstLine="567"/>
        <w:jc w:val="right"/>
        <w:rPr>
          <w:bCs/>
          <w:sz w:val="32"/>
          <w:szCs w:val="21"/>
          <w:u w:val="single"/>
          <w:lang w:val="fr-FR"/>
        </w:rPr>
      </w:pPr>
      <w:r w:rsidRPr="00554C46">
        <w:rPr>
          <w:sz w:val="32"/>
          <w:u w:val="single"/>
          <w:lang w:val="fr-FR"/>
        </w:rPr>
        <w:lastRenderedPageBreak/>
        <w:t>Annexe A</w:t>
      </w:r>
    </w:p>
    <w:p w:rsidR="00EE3B3A" w:rsidRPr="00B6770F" w:rsidRDefault="00EE3B3A" w:rsidP="00554C46">
      <w:pPr>
        <w:spacing w:after="120"/>
        <w:jc w:val="center"/>
        <w:rPr>
          <w:b/>
          <w:bCs/>
          <w:sz w:val="28"/>
          <w:szCs w:val="28"/>
          <w:u w:val="single"/>
          <w:lang w:val="fr-FR"/>
        </w:rPr>
      </w:pPr>
      <w:r w:rsidRPr="00B6770F">
        <w:rPr>
          <w:b/>
          <w:sz w:val="28"/>
          <w:szCs w:val="28"/>
          <w:u w:val="single"/>
          <w:lang w:val="fr-FR"/>
        </w:rPr>
        <w:t xml:space="preserve">Répartition des sièges au sein du Comité de coordination entre les groupes régionaux </w:t>
      </w:r>
      <w:r w:rsidR="00B6770F">
        <w:rPr>
          <w:b/>
          <w:sz w:val="28"/>
          <w:szCs w:val="28"/>
          <w:u w:val="single"/>
          <w:lang w:val="fr-FR"/>
        </w:rPr>
        <w:br/>
      </w:r>
      <w:r w:rsidRPr="00B6770F">
        <w:rPr>
          <w:b/>
          <w:sz w:val="28"/>
          <w:szCs w:val="28"/>
          <w:u w:val="single"/>
          <w:lang w:val="fr-FR"/>
        </w:rPr>
        <w:t>pour l</w:t>
      </w:r>
      <w:r w:rsidR="00446489" w:rsidRPr="00B6770F">
        <w:rPr>
          <w:b/>
          <w:sz w:val="28"/>
          <w:szCs w:val="28"/>
          <w:u w:val="single"/>
          <w:lang w:val="fr-FR"/>
        </w:rPr>
        <w:t>’</w:t>
      </w:r>
      <w:r w:rsidRPr="00B6770F">
        <w:rPr>
          <w:b/>
          <w:sz w:val="28"/>
          <w:szCs w:val="28"/>
          <w:u w:val="single"/>
          <w:lang w:val="fr-FR"/>
        </w:rPr>
        <w:t>exercice biennal</w:t>
      </w:r>
      <w:r w:rsidRPr="00B6770F">
        <w:rPr>
          <w:b/>
          <w:bCs/>
          <w:sz w:val="28"/>
          <w:szCs w:val="28"/>
          <w:u w:val="single"/>
          <w:vertAlign w:val="superscript"/>
          <w:lang w:val="fr-FR"/>
        </w:rPr>
        <w:footnoteReference w:id="2"/>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252"/>
        <w:gridCol w:w="992"/>
        <w:gridCol w:w="1134"/>
        <w:gridCol w:w="1843"/>
        <w:gridCol w:w="1276"/>
        <w:gridCol w:w="1417"/>
        <w:gridCol w:w="1134"/>
        <w:gridCol w:w="851"/>
        <w:gridCol w:w="850"/>
      </w:tblGrid>
      <w:tr w:rsidR="00554C46" w:rsidRPr="00554C46" w:rsidTr="00554C46">
        <w:trPr>
          <w:trHeight w:val="372"/>
          <w:jc w:val="center"/>
        </w:trPr>
        <w:tc>
          <w:tcPr>
            <w:tcW w:w="988" w:type="dxa"/>
            <w:shd w:val="clear" w:color="auto" w:fill="92CDDC" w:themeFill="accent5" w:themeFillTint="99"/>
            <w:vAlign w:val="center"/>
          </w:tcPr>
          <w:p w:rsidR="00EE3B3A" w:rsidRPr="00554C46" w:rsidRDefault="00EE3B3A" w:rsidP="00F346AD">
            <w:pPr>
              <w:jc w:val="center"/>
              <w:rPr>
                <w:b/>
                <w:bCs/>
                <w:sz w:val="19"/>
                <w:szCs w:val="19"/>
                <w:lang w:val="fr-FR"/>
              </w:rPr>
            </w:pPr>
            <w:r w:rsidRPr="00554C46">
              <w:rPr>
                <w:b/>
                <w:sz w:val="19"/>
                <w:szCs w:val="19"/>
                <w:lang w:val="fr-FR"/>
              </w:rPr>
              <w:t>Nombre de sièges</w:t>
            </w:r>
          </w:p>
        </w:tc>
        <w:tc>
          <w:tcPr>
            <w:tcW w:w="4252" w:type="dxa"/>
            <w:shd w:val="clear" w:color="auto" w:fill="92CDDC" w:themeFill="accent5" w:themeFillTint="99"/>
            <w:vAlign w:val="center"/>
          </w:tcPr>
          <w:p w:rsidR="00EE3B3A" w:rsidRPr="00554C46" w:rsidRDefault="00EE3B3A" w:rsidP="00F346AD">
            <w:pPr>
              <w:jc w:val="center"/>
              <w:rPr>
                <w:b/>
                <w:bCs/>
                <w:sz w:val="19"/>
                <w:szCs w:val="19"/>
                <w:lang w:val="fr-FR"/>
              </w:rPr>
            </w:pPr>
            <w:r w:rsidRPr="00554C46">
              <w:rPr>
                <w:b/>
                <w:sz w:val="19"/>
                <w:szCs w:val="19"/>
                <w:lang w:val="fr-FR"/>
              </w:rPr>
              <w:t>Objet</w:t>
            </w:r>
          </w:p>
        </w:tc>
        <w:tc>
          <w:tcPr>
            <w:tcW w:w="992" w:type="dxa"/>
            <w:shd w:val="clear" w:color="auto" w:fill="92CDDC" w:themeFill="accent5" w:themeFillTint="99"/>
            <w:vAlign w:val="center"/>
          </w:tcPr>
          <w:p w:rsidR="00EE3B3A" w:rsidRPr="00554C46" w:rsidRDefault="00EE3B3A" w:rsidP="00F346AD">
            <w:pPr>
              <w:jc w:val="center"/>
              <w:rPr>
                <w:b/>
                <w:bCs/>
                <w:sz w:val="19"/>
                <w:szCs w:val="19"/>
                <w:lang w:val="fr-FR"/>
              </w:rPr>
            </w:pPr>
            <w:r w:rsidRPr="00554C46">
              <w:rPr>
                <w:b/>
                <w:sz w:val="19"/>
                <w:szCs w:val="19"/>
                <w:lang w:val="fr-FR"/>
              </w:rPr>
              <w:t>Groupe B</w:t>
            </w:r>
          </w:p>
        </w:tc>
        <w:tc>
          <w:tcPr>
            <w:tcW w:w="1134" w:type="dxa"/>
            <w:shd w:val="clear" w:color="auto" w:fill="92CDDC" w:themeFill="accent5" w:themeFillTint="99"/>
            <w:vAlign w:val="center"/>
          </w:tcPr>
          <w:p w:rsidR="00EE3B3A" w:rsidRPr="00554C46" w:rsidRDefault="00EE3B3A" w:rsidP="00F346AD">
            <w:pPr>
              <w:jc w:val="center"/>
              <w:rPr>
                <w:b/>
                <w:bCs/>
                <w:sz w:val="19"/>
                <w:szCs w:val="19"/>
                <w:lang w:val="fr-FR"/>
              </w:rPr>
            </w:pPr>
            <w:r w:rsidRPr="00554C46">
              <w:rPr>
                <w:b/>
                <w:sz w:val="19"/>
                <w:szCs w:val="19"/>
                <w:lang w:val="fr-FR"/>
              </w:rPr>
              <w:t>Groupe des pays africains</w:t>
            </w:r>
          </w:p>
        </w:tc>
        <w:tc>
          <w:tcPr>
            <w:tcW w:w="1843" w:type="dxa"/>
            <w:shd w:val="clear" w:color="auto" w:fill="92CDDC" w:themeFill="accent5" w:themeFillTint="99"/>
            <w:vAlign w:val="center"/>
          </w:tcPr>
          <w:p w:rsidR="00EE3B3A" w:rsidRPr="00554C46" w:rsidRDefault="00EE3B3A" w:rsidP="00F346AD">
            <w:pPr>
              <w:jc w:val="center"/>
              <w:rPr>
                <w:b/>
                <w:bCs/>
                <w:sz w:val="19"/>
                <w:szCs w:val="19"/>
                <w:lang w:val="fr-FR"/>
              </w:rPr>
            </w:pPr>
            <w:r w:rsidRPr="00554C46">
              <w:rPr>
                <w:b/>
                <w:sz w:val="19"/>
                <w:szCs w:val="19"/>
                <w:lang w:val="fr-FR"/>
              </w:rPr>
              <w:t>Groupe des pays d</w:t>
            </w:r>
            <w:r w:rsidR="00446489" w:rsidRPr="00554C46">
              <w:rPr>
                <w:b/>
                <w:sz w:val="19"/>
                <w:szCs w:val="19"/>
                <w:lang w:val="fr-FR"/>
              </w:rPr>
              <w:t>’</w:t>
            </w:r>
            <w:r w:rsidRPr="00554C46">
              <w:rPr>
                <w:b/>
                <w:sz w:val="19"/>
                <w:szCs w:val="19"/>
                <w:lang w:val="fr-FR"/>
              </w:rPr>
              <w:t>Asie centrale, du Caucase et d</w:t>
            </w:r>
            <w:r w:rsidR="00446489" w:rsidRPr="00554C46">
              <w:rPr>
                <w:b/>
                <w:sz w:val="19"/>
                <w:szCs w:val="19"/>
                <w:lang w:val="fr-FR"/>
              </w:rPr>
              <w:t>’</w:t>
            </w:r>
            <w:r w:rsidRPr="00554C46">
              <w:rPr>
                <w:b/>
                <w:sz w:val="19"/>
                <w:szCs w:val="19"/>
                <w:lang w:val="fr-FR"/>
              </w:rPr>
              <w:t>Europe orientale</w:t>
            </w:r>
          </w:p>
        </w:tc>
        <w:tc>
          <w:tcPr>
            <w:tcW w:w="1276" w:type="dxa"/>
            <w:shd w:val="clear" w:color="auto" w:fill="92CDDC" w:themeFill="accent5" w:themeFillTint="99"/>
            <w:vAlign w:val="center"/>
          </w:tcPr>
          <w:p w:rsidR="00EE3B3A" w:rsidRPr="00554C46" w:rsidRDefault="00EE3B3A" w:rsidP="00F346AD">
            <w:pPr>
              <w:jc w:val="center"/>
              <w:rPr>
                <w:b/>
                <w:bCs/>
                <w:sz w:val="19"/>
                <w:szCs w:val="19"/>
                <w:lang w:val="fr-FR"/>
              </w:rPr>
            </w:pPr>
            <w:r w:rsidRPr="00554C46">
              <w:rPr>
                <w:b/>
                <w:sz w:val="19"/>
                <w:szCs w:val="19"/>
                <w:lang w:val="fr-FR"/>
              </w:rPr>
              <w:t>Groupe des pays d</w:t>
            </w:r>
            <w:r w:rsidR="00446489" w:rsidRPr="00554C46">
              <w:rPr>
                <w:b/>
                <w:sz w:val="19"/>
                <w:szCs w:val="19"/>
                <w:lang w:val="fr-FR"/>
              </w:rPr>
              <w:t>’</w:t>
            </w:r>
            <w:r w:rsidRPr="00554C46">
              <w:rPr>
                <w:b/>
                <w:sz w:val="19"/>
                <w:szCs w:val="19"/>
                <w:lang w:val="fr-FR"/>
              </w:rPr>
              <w:t>Europe centrale et des États baltes</w:t>
            </w:r>
          </w:p>
        </w:tc>
        <w:tc>
          <w:tcPr>
            <w:tcW w:w="1417" w:type="dxa"/>
            <w:shd w:val="clear" w:color="auto" w:fill="92CDDC" w:themeFill="accent5" w:themeFillTint="99"/>
            <w:vAlign w:val="center"/>
          </w:tcPr>
          <w:p w:rsidR="00EE3B3A" w:rsidRPr="00554C46" w:rsidRDefault="00EE3B3A" w:rsidP="00F346AD">
            <w:pPr>
              <w:jc w:val="center"/>
              <w:rPr>
                <w:b/>
                <w:bCs/>
                <w:sz w:val="19"/>
                <w:szCs w:val="19"/>
                <w:lang w:val="fr-FR"/>
              </w:rPr>
            </w:pPr>
            <w:r w:rsidRPr="00554C46">
              <w:rPr>
                <w:b/>
                <w:sz w:val="19"/>
                <w:szCs w:val="19"/>
                <w:lang w:val="fr-FR"/>
              </w:rPr>
              <w:t>Groupe des pays d</w:t>
            </w:r>
            <w:r w:rsidR="00446489" w:rsidRPr="00554C46">
              <w:rPr>
                <w:b/>
                <w:sz w:val="19"/>
                <w:szCs w:val="19"/>
                <w:lang w:val="fr-FR"/>
              </w:rPr>
              <w:t>’</w:t>
            </w:r>
            <w:r w:rsidRPr="00554C46">
              <w:rPr>
                <w:b/>
                <w:sz w:val="19"/>
                <w:szCs w:val="19"/>
                <w:lang w:val="fr-FR"/>
              </w:rPr>
              <w:t>Amérique latine et des Caraïbes</w:t>
            </w:r>
          </w:p>
        </w:tc>
        <w:tc>
          <w:tcPr>
            <w:tcW w:w="1134" w:type="dxa"/>
            <w:shd w:val="clear" w:color="auto" w:fill="92CDDC" w:themeFill="accent5" w:themeFillTint="99"/>
            <w:vAlign w:val="center"/>
          </w:tcPr>
          <w:p w:rsidR="00EE3B3A" w:rsidRPr="00554C46" w:rsidRDefault="00EE3B3A" w:rsidP="00F346AD">
            <w:pPr>
              <w:jc w:val="center"/>
              <w:rPr>
                <w:b/>
                <w:bCs/>
                <w:sz w:val="19"/>
                <w:szCs w:val="19"/>
                <w:lang w:val="fr-FR"/>
              </w:rPr>
            </w:pPr>
            <w:r w:rsidRPr="00554C46">
              <w:rPr>
                <w:b/>
                <w:sz w:val="19"/>
                <w:szCs w:val="19"/>
                <w:lang w:val="fr-FR"/>
              </w:rPr>
              <w:t>Groupe des pays d</w:t>
            </w:r>
            <w:r w:rsidR="00446489" w:rsidRPr="00554C46">
              <w:rPr>
                <w:b/>
                <w:sz w:val="19"/>
                <w:szCs w:val="19"/>
                <w:lang w:val="fr-FR"/>
              </w:rPr>
              <w:t>’</w:t>
            </w:r>
            <w:r w:rsidRPr="00554C46">
              <w:rPr>
                <w:b/>
                <w:sz w:val="19"/>
                <w:szCs w:val="19"/>
                <w:lang w:val="fr-FR"/>
              </w:rPr>
              <w:t>Asie et du Pacifique</w:t>
            </w:r>
          </w:p>
        </w:tc>
        <w:tc>
          <w:tcPr>
            <w:tcW w:w="851" w:type="dxa"/>
            <w:shd w:val="clear" w:color="auto" w:fill="92CDDC" w:themeFill="accent5" w:themeFillTint="99"/>
            <w:vAlign w:val="center"/>
          </w:tcPr>
          <w:p w:rsidR="00EE3B3A" w:rsidRPr="00554C46" w:rsidRDefault="00EE3B3A" w:rsidP="00F346AD">
            <w:pPr>
              <w:jc w:val="center"/>
              <w:rPr>
                <w:b/>
                <w:bCs/>
                <w:sz w:val="19"/>
                <w:szCs w:val="19"/>
                <w:lang w:val="fr-FR"/>
              </w:rPr>
            </w:pPr>
            <w:r w:rsidRPr="00554C46">
              <w:rPr>
                <w:b/>
                <w:sz w:val="19"/>
                <w:szCs w:val="19"/>
                <w:lang w:val="fr-FR"/>
              </w:rPr>
              <w:t>Chine</w:t>
            </w:r>
          </w:p>
        </w:tc>
        <w:tc>
          <w:tcPr>
            <w:tcW w:w="850" w:type="dxa"/>
            <w:shd w:val="clear" w:color="auto" w:fill="92CDDC" w:themeFill="accent5" w:themeFillTint="99"/>
            <w:vAlign w:val="center"/>
          </w:tcPr>
          <w:p w:rsidR="00EE3B3A" w:rsidRPr="00554C46" w:rsidRDefault="00EE3B3A" w:rsidP="00F346AD">
            <w:pPr>
              <w:jc w:val="center"/>
              <w:rPr>
                <w:b/>
                <w:bCs/>
                <w:sz w:val="19"/>
                <w:szCs w:val="19"/>
                <w:lang w:val="fr-FR"/>
              </w:rPr>
            </w:pPr>
            <w:r w:rsidRPr="00554C46">
              <w:rPr>
                <w:b/>
                <w:sz w:val="19"/>
                <w:szCs w:val="19"/>
                <w:lang w:val="fr-FR"/>
              </w:rPr>
              <w:t>Total</w:t>
            </w:r>
          </w:p>
        </w:tc>
      </w:tr>
      <w:tr w:rsidR="00554C46" w:rsidRPr="00554C46" w:rsidTr="00554C46">
        <w:trPr>
          <w:trHeight w:val="510"/>
          <w:jc w:val="center"/>
        </w:trPr>
        <w:tc>
          <w:tcPr>
            <w:tcW w:w="988" w:type="dxa"/>
            <w:vAlign w:val="center"/>
          </w:tcPr>
          <w:p w:rsidR="00EE3B3A" w:rsidRPr="00554C46" w:rsidRDefault="00EE3B3A" w:rsidP="00F346AD">
            <w:pPr>
              <w:numPr>
                <w:ilvl w:val="0"/>
                <w:numId w:val="8"/>
              </w:numPr>
              <w:spacing w:after="160" w:line="259" w:lineRule="auto"/>
              <w:contextualSpacing/>
              <w:rPr>
                <w:rFonts w:ascii="Calibri" w:eastAsia="Calibri" w:hAnsi="Calibri" w:cs="Times New Roman"/>
                <w:sz w:val="19"/>
                <w:szCs w:val="19"/>
                <w:lang w:val="fr-FR" w:eastAsia="en-US"/>
              </w:rPr>
            </w:pPr>
          </w:p>
        </w:tc>
        <w:tc>
          <w:tcPr>
            <w:tcW w:w="4252"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 xml:space="preserve">Nombre total de membres au sein du groupe </w:t>
            </w:r>
          </w:p>
        </w:tc>
        <w:tc>
          <w:tcPr>
            <w:tcW w:w="992"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 xml:space="preserve">32 </w:t>
            </w:r>
          </w:p>
        </w:tc>
        <w:tc>
          <w:tcPr>
            <w:tcW w:w="1134"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53</w:t>
            </w:r>
          </w:p>
        </w:tc>
        <w:tc>
          <w:tcPr>
            <w:tcW w:w="1843"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9</w:t>
            </w:r>
          </w:p>
        </w:tc>
        <w:tc>
          <w:tcPr>
            <w:tcW w:w="1276"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 xml:space="preserve">19 </w:t>
            </w:r>
          </w:p>
        </w:tc>
        <w:tc>
          <w:tcPr>
            <w:tcW w:w="1417"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 xml:space="preserve">33 </w:t>
            </w:r>
          </w:p>
        </w:tc>
        <w:tc>
          <w:tcPr>
            <w:tcW w:w="1134"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46</w:t>
            </w:r>
          </w:p>
        </w:tc>
        <w:tc>
          <w:tcPr>
            <w:tcW w:w="851"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 xml:space="preserve">1 </w:t>
            </w:r>
          </w:p>
        </w:tc>
        <w:tc>
          <w:tcPr>
            <w:tcW w:w="850" w:type="dxa"/>
            <w:vAlign w:val="center"/>
          </w:tcPr>
          <w:p w:rsidR="00EE3B3A" w:rsidRPr="00554C46" w:rsidRDefault="00EE3B3A" w:rsidP="00F346AD">
            <w:pPr>
              <w:jc w:val="center"/>
              <w:rPr>
                <w:sz w:val="19"/>
                <w:szCs w:val="19"/>
                <w:lang w:val="fr-FR"/>
              </w:rPr>
            </w:pPr>
            <w:r w:rsidRPr="00554C46">
              <w:rPr>
                <w:sz w:val="19"/>
                <w:szCs w:val="19"/>
                <w:lang w:val="fr-FR"/>
              </w:rPr>
              <w:t>193</w:t>
            </w:r>
          </w:p>
        </w:tc>
      </w:tr>
      <w:tr w:rsidR="00554C46" w:rsidRPr="00554C46" w:rsidTr="00554C46">
        <w:trPr>
          <w:trHeight w:val="510"/>
          <w:jc w:val="center"/>
        </w:trPr>
        <w:tc>
          <w:tcPr>
            <w:tcW w:w="988" w:type="dxa"/>
            <w:vAlign w:val="center"/>
          </w:tcPr>
          <w:p w:rsidR="00EE3B3A" w:rsidRPr="00554C46" w:rsidRDefault="00EE3B3A" w:rsidP="00F346AD">
            <w:pPr>
              <w:numPr>
                <w:ilvl w:val="0"/>
                <w:numId w:val="8"/>
              </w:numPr>
              <w:spacing w:after="160" w:line="259" w:lineRule="auto"/>
              <w:contextualSpacing/>
              <w:rPr>
                <w:rFonts w:ascii="Calibri" w:eastAsia="Calibri" w:hAnsi="Calibri" w:cs="Times New Roman"/>
                <w:sz w:val="19"/>
                <w:szCs w:val="19"/>
                <w:lang w:val="fr-FR" w:eastAsia="en-US"/>
              </w:rPr>
            </w:pPr>
          </w:p>
        </w:tc>
        <w:tc>
          <w:tcPr>
            <w:tcW w:w="4252"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 xml:space="preserve">Sièges actuellement attribués au sein du Comité de coordination </w:t>
            </w:r>
          </w:p>
        </w:tc>
        <w:tc>
          <w:tcPr>
            <w:tcW w:w="992"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 xml:space="preserve">23 </w:t>
            </w:r>
          </w:p>
        </w:tc>
        <w:tc>
          <w:tcPr>
            <w:tcW w:w="1134"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 xml:space="preserve">19 </w:t>
            </w:r>
          </w:p>
        </w:tc>
        <w:tc>
          <w:tcPr>
            <w:tcW w:w="1843"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 xml:space="preserve">4 </w:t>
            </w:r>
          </w:p>
        </w:tc>
        <w:tc>
          <w:tcPr>
            <w:tcW w:w="1276"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 xml:space="preserve">6 </w:t>
            </w:r>
          </w:p>
        </w:tc>
        <w:tc>
          <w:tcPr>
            <w:tcW w:w="1417"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 xml:space="preserve">15 </w:t>
            </w:r>
          </w:p>
        </w:tc>
        <w:tc>
          <w:tcPr>
            <w:tcW w:w="1134"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 xml:space="preserve">15 </w:t>
            </w:r>
          </w:p>
        </w:tc>
        <w:tc>
          <w:tcPr>
            <w:tcW w:w="851"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 xml:space="preserve">1 </w:t>
            </w:r>
          </w:p>
        </w:tc>
        <w:tc>
          <w:tcPr>
            <w:tcW w:w="850" w:type="dxa"/>
            <w:vAlign w:val="center"/>
          </w:tcPr>
          <w:p w:rsidR="00EE3B3A" w:rsidRPr="00554C46" w:rsidRDefault="00EE3B3A" w:rsidP="00F346AD">
            <w:pPr>
              <w:jc w:val="center"/>
              <w:rPr>
                <w:sz w:val="19"/>
                <w:szCs w:val="19"/>
                <w:lang w:val="fr-FR"/>
              </w:rPr>
            </w:pPr>
            <w:r w:rsidRPr="00554C46">
              <w:rPr>
                <w:sz w:val="19"/>
                <w:szCs w:val="19"/>
                <w:lang w:val="fr-FR"/>
              </w:rPr>
              <w:t>83</w:t>
            </w:r>
          </w:p>
        </w:tc>
      </w:tr>
      <w:tr w:rsidR="00554C46" w:rsidRPr="00554C46" w:rsidTr="00554C46">
        <w:trPr>
          <w:trHeight w:val="578"/>
          <w:jc w:val="center"/>
        </w:trPr>
        <w:tc>
          <w:tcPr>
            <w:tcW w:w="988" w:type="dxa"/>
            <w:vAlign w:val="center"/>
          </w:tcPr>
          <w:p w:rsidR="00EE3B3A" w:rsidRPr="00554C46" w:rsidRDefault="00EE3B3A" w:rsidP="00F346AD">
            <w:pPr>
              <w:numPr>
                <w:ilvl w:val="0"/>
                <w:numId w:val="8"/>
              </w:numPr>
              <w:spacing w:after="160" w:line="259" w:lineRule="auto"/>
              <w:contextualSpacing/>
              <w:rPr>
                <w:rFonts w:ascii="Calibri" w:eastAsia="Calibri" w:hAnsi="Calibri" w:cs="Times New Roman"/>
                <w:sz w:val="19"/>
                <w:szCs w:val="19"/>
                <w:lang w:val="fr-FR" w:eastAsia="en-US"/>
              </w:rPr>
            </w:pPr>
          </w:p>
        </w:tc>
        <w:tc>
          <w:tcPr>
            <w:tcW w:w="4252"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Pourcentage des membres du groupe représentés au sein du Comité de coordination</w:t>
            </w:r>
            <w:r w:rsidRPr="00554C46">
              <w:rPr>
                <w:color w:val="000000" w:themeColor="text1"/>
                <w:sz w:val="19"/>
                <w:szCs w:val="19"/>
                <w:vertAlign w:val="superscript"/>
                <w:lang w:val="fr-FR"/>
              </w:rPr>
              <w:footnoteReference w:id="3"/>
            </w:r>
          </w:p>
        </w:tc>
        <w:tc>
          <w:tcPr>
            <w:tcW w:w="992"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71,88%</w:t>
            </w:r>
          </w:p>
        </w:tc>
        <w:tc>
          <w:tcPr>
            <w:tcW w:w="1134"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35,85%</w:t>
            </w:r>
          </w:p>
        </w:tc>
        <w:tc>
          <w:tcPr>
            <w:tcW w:w="1843"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44,44%</w:t>
            </w:r>
          </w:p>
        </w:tc>
        <w:tc>
          <w:tcPr>
            <w:tcW w:w="1276"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31,58%</w:t>
            </w:r>
          </w:p>
        </w:tc>
        <w:tc>
          <w:tcPr>
            <w:tcW w:w="1417"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45,45%</w:t>
            </w:r>
          </w:p>
        </w:tc>
        <w:tc>
          <w:tcPr>
            <w:tcW w:w="1134"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32,61%</w:t>
            </w:r>
          </w:p>
        </w:tc>
        <w:tc>
          <w:tcPr>
            <w:tcW w:w="851"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n.d.</w:t>
            </w:r>
          </w:p>
        </w:tc>
        <w:tc>
          <w:tcPr>
            <w:tcW w:w="850" w:type="dxa"/>
            <w:vAlign w:val="center"/>
          </w:tcPr>
          <w:p w:rsidR="00EE3B3A" w:rsidRPr="00554C46" w:rsidRDefault="000226F3" w:rsidP="00F346AD">
            <w:pPr>
              <w:jc w:val="center"/>
              <w:rPr>
                <w:sz w:val="19"/>
                <w:szCs w:val="19"/>
                <w:lang w:val="fr-FR"/>
              </w:rPr>
            </w:pPr>
            <w:r w:rsidRPr="00554C46">
              <w:rPr>
                <w:sz w:val="19"/>
                <w:szCs w:val="19"/>
                <w:lang w:val="fr-FR"/>
              </w:rPr>
              <w:noBreakHyphen/>
            </w:r>
            <w:r w:rsidR="00EE3B3A" w:rsidRPr="00554C46">
              <w:rPr>
                <w:sz w:val="19"/>
                <w:szCs w:val="19"/>
                <w:lang w:val="fr-FR"/>
              </w:rPr>
              <w:t xml:space="preserve"> </w:t>
            </w:r>
          </w:p>
        </w:tc>
      </w:tr>
      <w:tr w:rsidR="00554C46" w:rsidRPr="00554C46" w:rsidTr="00554C46">
        <w:trPr>
          <w:trHeight w:val="510"/>
          <w:jc w:val="center"/>
        </w:trPr>
        <w:tc>
          <w:tcPr>
            <w:tcW w:w="988" w:type="dxa"/>
            <w:vAlign w:val="center"/>
          </w:tcPr>
          <w:p w:rsidR="00EE3B3A" w:rsidRPr="00554C46" w:rsidRDefault="00EE3B3A" w:rsidP="00F346AD">
            <w:pPr>
              <w:numPr>
                <w:ilvl w:val="0"/>
                <w:numId w:val="8"/>
              </w:numPr>
              <w:spacing w:after="160" w:line="259" w:lineRule="auto"/>
              <w:contextualSpacing/>
              <w:rPr>
                <w:rFonts w:ascii="Calibri" w:eastAsia="Calibri" w:hAnsi="Calibri" w:cs="Times New Roman"/>
                <w:sz w:val="19"/>
                <w:szCs w:val="19"/>
                <w:lang w:val="fr-FR" w:eastAsia="en-US"/>
              </w:rPr>
            </w:pPr>
          </w:p>
        </w:tc>
        <w:tc>
          <w:tcPr>
            <w:tcW w:w="4252"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Pourcentage du groupe dans la composition de l</w:t>
            </w:r>
            <w:r w:rsidR="00446489" w:rsidRPr="00554C46">
              <w:rPr>
                <w:color w:val="000000" w:themeColor="text1"/>
                <w:sz w:val="19"/>
                <w:szCs w:val="19"/>
                <w:lang w:val="fr-FR"/>
              </w:rPr>
              <w:t>’</w:t>
            </w:r>
            <w:r w:rsidRPr="00554C46">
              <w:rPr>
                <w:color w:val="000000" w:themeColor="text1"/>
                <w:sz w:val="19"/>
                <w:szCs w:val="19"/>
                <w:lang w:val="fr-FR"/>
              </w:rPr>
              <w:t>OMPI</w:t>
            </w:r>
            <w:r w:rsidRPr="00554C46">
              <w:rPr>
                <w:color w:val="000000" w:themeColor="text1"/>
                <w:sz w:val="19"/>
                <w:szCs w:val="19"/>
                <w:vertAlign w:val="superscript"/>
                <w:lang w:val="fr-FR"/>
              </w:rPr>
              <w:footnoteReference w:id="4"/>
            </w:r>
            <w:r w:rsidRPr="00554C46">
              <w:rPr>
                <w:color w:val="000000" w:themeColor="text1"/>
                <w:sz w:val="19"/>
                <w:szCs w:val="19"/>
                <w:lang w:val="fr-FR"/>
              </w:rPr>
              <w:t xml:space="preserve"> </w:t>
            </w:r>
          </w:p>
        </w:tc>
        <w:tc>
          <w:tcPr>
            <w:tcW w:w="992"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16,58%</w:t>
            </w:r>
          </w:p>
        </w:tc>
        <w:tc>
          <w:tcPr>
            <w:tcW w:w="1134"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27,46%</w:t>
            </w:r>
          </w:p>
        </w:tc>
        <w:tc>
          <w:tcPr>
            <w:tcW w:w="1843"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4,66%</w:t>
            </w:r>
          </w:p>
        </w:tc>
        <w:tc>
          <w:tcPr>
            <w:tcW w:w="1276"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9,84%</w:t>
            </w:r>
          </w:p>
        </w:tc>
        <w:tc>
          <w:tcPr>
            <w:tcW w:w="1417"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17,10%</w:t>
            </w:r>
          </w:p>
        </w:tc>
        <w:tc>
          <w:tcPr>
            <w:tcW w:w="1134"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23,83%</w:t>
            </w:r>
          </w:p>
        </w:tc>
        <w:tc>
          <w:tcPr>
            <w:tcW w:w="851" w:type="dxa"/>
            <w:vAlign w:val="center"/>
          </w:tcPr>
          <w:p w:rsidR="00EE3B3A" w:rsidRPr="00554C46" w:rsidRDefault="00EE3B3A" w:rsidP="00FA53CB">
            <w:pPr>
              <w:jc w:val="center"/>
              <w:rPr>
                <w:color w:val="000000" w:themeColor="text1"/>
                <w:sz w:val="19"/>
                <w:szCs w:val="19"/>
                <w:lang w:val="fr-FR"/>
              </w:rPr>
            </w:pPr>
            <w:r w:rsidRPr="00554C46">
              <w:rPr>
                <w:color w:val="000000" w:themeColor="text1"/>
                <w:sz w:val="19"/>
                <w:szCs w:val="19"/>
                <w:lang w:val="fr-FR"/>
              </w:rPr>
              <w:t xml:space="preserve">n.d. </w:t>
            </w:r>
          </w:p>
        </w:tc>
        <w:tc>
          <w:tcPr>
            <w:tcW w:w="850" w:type="dxa"/>
            <w:vAlign w:val="center"/>
          </w:tcPr>
          <w:p w:rsidR="00EE3B3A" w:rsidRPr="00554C46" w:rsidRDefault="00EE3B3A" w:rsidP="00F346AD">
            <w:pPr>
              <w:jc w:val="center"/>
              <w:rPr>
                <w:sz w:val="19"/>
                <w:szCs w:val="19"/>
                <w:lang w:val="fr-FR"/>
              </w:rPr>
            </w:pPr>
            <w:r w:rsidRPr="00554C46">
              <w:rPr>
                <w:sz w:val="19"/>
                <w:szCs w:val="19"/>
                <w:lang w:val="fr-FR"/>
              </w:rPr>
              <w:t>100%</w:t>
            </w:r>
          </w:p>
        </w:tc>
      </w:tr>
      <w:tr w:rsidR="00554C46" w:rsidRPr="00554C46" w:rsidTr="00554C46">
        <w:trPr>
          <w:trHeight w:val="510"/>
          <w:jc w:val="center"/>
        </w:trPr>
        <w:tc>
          <w:tcPr>
            <w:tcW w:w="988" w:type="dxa"/>
            <w:vAlign w:val="center"/>
          </w:tcPr>
          <w:p w:rsidR="00EE3B3A" w:rsidRPr="00554C46" w:rsidRDefault="00EE3B3A" w:rsidP="00F346AD">
            <w:pPr>
              <w:numPr>
                <w:ilvl w:val="0"/>
                <w:numId w:val="8"/>
              </w:numPr>
              <w:spacing w:after="160" w:line="259" w:lineRule="auto"/>
              <w:contextualSpacing/>
              <w:rPr>
                <w:rFonts w:ascii="Calibri" w:eastAsia="Calibri" w:hAnsi="Calibri" w:cs="Times New Roman"/>
                <w:sz w:val="19"/>
                <w:szCs w:val="19"/>
                <w:lang w:val="fr-FR" w:eastAsia="en-US"/>
              </w:rPr>
            </w:pPr>
          </w:p>
        </w:tc>
        <w:tc>
          <w:tcPr>
            <w:tcW w:w="4252"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Pourcentage du groupe dans la composition du Comité de coordination</w:t>
            </w:r>
            <w:r w:rsidRPr="00554C46">
              <w:rPr>
                <w:color w:val="000000" w:themeColor="text1"/>
                <w:sz w:val="19"/>
                <w:szCs w:val="19"/>
                <w:vertAlign w:val="superscript"/>
                <w:lang w:val="fr-FR"/>
              </w:rPr>
              <w:footnoteReference w:id="5"/>
            </w:r>
          </w:p>
        </w:tc>
        <w:tc>
          <w:tcPr>
            <w:tcW w:w="992"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27,71%</w:t>
            </w:r>
          </w:p>
        </w:tc>
        <w:tc>
          <w:tcPr>
            <w:tcW w:w="1134"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22,89%</w:t>
            </w:r>
          </w:p>
        </w:tc>
        <w:tc>
          <w:tcPr>
            <w:tcW w:w="1843"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4,82%</w:t>
            </w:r>
          </w:p>
        </w:tc>
        <w:tc>
          <w:tcPr>
            <w:tcW w:w="1276"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7,23%</w:t>
            </w:r>
          </w:p>
        </w:tc>
        <w:tc>
          <w:tcPr>
            <w:tcW w:w="1417"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18,07%</w:t>
            </w:r>
          </w:p>
        </w:tc>
        <w:tc>
          <w:tcPr>
            <w:tcW w:w="1134"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18,07%</w:t>
            </w:r>
          </w:p>
        </w:tc>
        <w:tc>
          <w:tcPr>
            <w:tcW w:w="851"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n.d.</w:t>
            </w:r>
          </w:p>
        </w:tc>
        <w:tc>
          <w:tcPr>
            <w:tcW w:w="850" w:type="dxa"/>
            <w:vAlign w:val="center"/>
          </w:tcPr>
          <w:p w:rsidR="00EE3B3A" w:rsidRPr="00554C46" w:rsidRDefault="00EE3B3A" w:rsidP="00F346AD">
            <w:pPr>
              <w:jc w:val="center"/>
              <w:rPr>
                <w:sz w:val="19"/>
                <w:szCs w:val="19"/>
                <w:lang w:val="fr-FR"/>
              </w:rPr>
            </w:pPr>
            <w:r w:rsidRPr="00554C46">
              <w:rPr>
                <w:sz w:val="19"/>
                <w:szCs w:val="19"/>
                <w:lang w:val="fr-FR"/>
              </w:rPr>
              <w:t>100%</w:t>
            </w:r>
          </w:p>
        </w:tc>
      </w:tr>
      <w:tr w:rsidR="00554C46" w:rsidRPr="00554C46" w:rsidTr="00554C46">
        <w:trPr>
          <w:trHeight w:val="964"/>
          <w:jc w:val="center"/>
        </w:trPr>
        <w:tc>
          <w:tcPr>
            <w:tcW w:w="988" w:type="dxa"/>
            <w:vAlign w:val="center"/>
          </w:tcPr>
          <w:p w:rsidR="00EE3B3A" w:rsidRPr="00554C46" w:rsidRDefault="00EE3B3A" w:rsidP="00F346AD">
            <w:pPr>
              <w:numPr>
                <w:ilvl w:val="0"/>
                <w:numId w:val="8"/>
              </w:numPr>
              <w:spacing w:after="160" w:line="259" w:lineRule="auto"/>
              <w:contextualSpacing/>
              <w:rPr>
                <w:rFonts w:ascii="Calibri" w:eastAsia="Calibri" w:hAnsi="Calibri" w:cs="Times New Roman"/>
                <w:sz w:val="19"/>
                <w:szCs w:val="19"/>
                <w:lang w:val="fr-FR" w:eastAsia="en-US"/>
              </w:rPr>
            </w:pPr>
          </w:p>
        </w:tc>
        <w:tc>
          <w:tcPr>
            <w:tcW w:w="4252"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Nombre de sièges au sein du Comité de coordination selon la part du groupe dans la composition de l</w:t>
            </w:r>
            <w:r w:rsidR="00446489" w:rsidRPr="00554C46">
              <w:rPr>
                <w:color w:val="000000" w:themeColor="text1"/>
                <w:sz w:val="19"/>
                <w:szCs w:val="19"/>
                <w:lang w:val="fr-FR"/>
              </w:rPr>
              <w:t>’</w:t>
            </w:r>
            <w:r w:rsidRPr="00554C46">
              <w:rPr>
                <w:color w:val="000000" w:themeColor="text1"/>
                <w:sz w:val="19"/>
                <w:szCs w:val="19"/>
                <w:lang w:val="fr-FR"/>
              </w:rPr>
              <w:t>OMPI, sur la base de 83</w:t>
            </w:r>
            <w:r w:rsidR="007B3681" w:rsidRPr="00554C46">
              <w:rPr>
                <w:color w:val="000000" w:themeColor="text1"/>
                <w:sz w:val="19"/>
                <w:szCs w:val="19"/>
                <w:lang w:val="fr-FR"/>
              </w:rPr>
              <w:t> </w:t>
            </w:r>
            <w:r w:rsidRPr="00554C46">
              <w:rPr>
                <w:color w:val="000000" w:themeColor="text1"/>
                <w:sz w:val="19"/>
                <w:szCs w:val="19"/>
                <w:lang w:val="fr-FR"/>
              </w:rPr>
              <w:t>sièges au Comité de coordination</w:t>
            </w:r>
            <w:r w:rsidRPr="00554C46">
              <w:rPr>
                <w:color w:val="000000" w:themeColor="text1"/>
                <w:sz w:val="19"/>
                <w:szCs w:val="19"/>
                <w:vertAlign w:val="superscript"/>
                <w:lang w:val="fr-FR"/>
              </w:rPr>
              <w:footnoteReference w:id="6"/>
            </w:r>
          </w:p>
        </w:tc>
        <w:tc>
          <w:tcPr>
            <w:tcW w:w="992"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13,76</w:t>
            </w:r>
          </w:p>
        </w:tc>
        <w:tc>
          <w:tcPr>
            <w:tcW w:w="1134"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22,79</w:t>
            </w:r>
          </w:p>
        </w:tc>
        <w:tc>
          <w:tcPr>
            <w:tcW w:w="1843"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3,87</w:t>
            </w:r>
          </w:p>
        </w:tc>
        <w:tc>
          <w:tcPr>
            <w:tcW w:w="1276"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8,17</w:t>
            </w:r>
          </w:p>
        </w:tc>
        <w:tc>
          <w:tcPr>
            <w:tcW w:w="1417"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14,19</w:t>
            </w:r>
          </w:p>
        </w:tc>
        <w:tc>
          <w:tcPr>
            <w:tcW w:w="1134"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19,78</w:t>
            </w:r>
          </w:p>
        </w:tc>
        <w:tc>
          <w:tcPr>
            <w:tcW w:w="851"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n.d.</w:t>
            </w:r>
          </w:p>
        </w:tc>
        <w:tc>
          <w:tcPr>
            <w:tcW w:w="850" w:type="dxa"/>
            <w:vAlign w:val="center"/>
          </w:tcPr>
          <w:p w:rsidR="00EE3B3A" w:rsidRPr="00554C46" w:rsidRDefault="00EE3B3A" w:rsidP="00F346AD">
            <w:pPr>
              <w:jc w:val="center"/>
              <w:rPr>
                <w:sz w:val="19"/>
                <w:szCs w:val="19"/>
                <w:lang w:val="fr-FR"/>
              </w:rPr>
            </w:pPr>
            <w:r w:rsidRPr="00554C46">
              <w:rPr>
                <w:sz w:val="19"/>
                <w:szCs w:val="19"/>
                <w:lang w:val="fr-FR"/>
              </w:rPr>
              <w:t>83</w:t>
            </w:r>
          </w:p>
        </w:tc>
      </w:tr>
      <w:tr w:rsidR="00554C46" w:rsidRPr="00554C46" w:rsidTr="00554C46">
        <w:trPr>
          <w:trHeight w:val="510"/>
          <w:jc w:val="center"/>
        </w:trPr>
        <w:tc>
          <w:tcPr>
            <w:tcW w:w="988" w:type="dxa"/>
            <w:vAlign w:val="center"/>
          </w:tcPr>
          <w:p w:rsidR="00EE3B3A" w:rsidRPr="00554C46" w:rsidRDefault="00EE3B3A" w:rsidP="00F346AD">
            <w:pPr>
              <w:numPr>
                <w:ilvl w:val="0"/>
                <w:numId w:val="8"/>
              </w:numPr>
              <w:spacing w:after="160" w:line="259" w:lineRule="auto"/>
              <w:contextualSpacing/>
              <w:rPr>
                <w:rFonts w:ascii="Calibri" w:eastAsia="Calibri" w:hAnsi="Calibri" w:cs="Times New Roman"/>
                <w:sz w:val="19"/>
                <w:szCs w:val="19"/>
                <w:lang w:val="fr-FR" w:eastAsia="en-US"/>
              </w:rPr>
            </w:pPr>
          </w:p>
        </w:tc>
        <w:tc>
          <w:tcPr>
            <w:tcW w:w="4252" w:type="dxa"/>
            <w:vAlign w:val="center"/>
          </w:tcPr>
          <w:p w:rsidR="00EE3B3A" w:rsidRPr="00554C46" w:rsidRDefault="00EE3B3A" w:rsidP="00F346AD">
            <w:pPr>
              <w:jc w:val="center"/>
              <w:rPr>
                <w:b/>
                <w:color w:val="000000" w:themeColor="text1"/>
                <w:sz w:val="19"/>
                <w:szCs w:val="19"/>
                <w:lang w:val="fr-FR"/>
              </w:rPr>
            </w:pPr>
            <w:r w:rsidRPr="00554C46">
              <w:rPr>
                <w:b/>
                <w:color w:val="000000" w:themeColor="text1"/>
                <w:sz w:val="19"/>
                <w:szCs w:val="19"/>
                <w:lang w:val="fr-FR"/>
              </w:rPr>
              <w:t>Différentiel (entre la ligne</w:t>
            </w:r>
            <w:r w:rsidR="007B3681" w:rsidRPr="00554C46">
              <w:rPr>
                <w:b/>
                <w:color w:val="000000" w:themeColor="text1"/>
                <w:sz w:val="19"/>
                <w:szCs w:val="19"/>
                <w:lang w:val="fr-FR"/>
              </w:rPr>
              <w:t> </w:t>
            </w:r>
            <w:r w:rsidRPr="00554C46">
              <w:rPr>
                <w:b/>
                <w:color w:val="000000" w:themeColor="text1"/>
                <w:sz w:val="19"/>
                <w:szCs w:val="19"/>
                <w:lang w:val="fr-FR"/>
              </w:rPr>
              <w:t>6 et la ligne</w:t>
            </w:r>
            <w:r w:rsidR="007B3681" w:rsidRPr="00554C46">
              <w:rPr>
                <w:b/>
                <w:color w:val="000000" w:themeColor="text1"/>
                <w:sz w:val="19"/>
                <w:szCs w:val="19"/>
                <w:lang w:val="fr-FR"/>
              </w:rPr>
              <w:t> </w:t>
            </w:r>
            <w:r w:rsidRPr="00554C46">
              <w:rPr>
                <w:b/>
                <w:color w:val="000000" w:themeColor="text1"/>
                <w:sz w:val="19"/>
                <w:szCs w:val="19"/>
                <w:lang w:val="fr-FR"/>
              </w:rPr>
              <w:t>2)</w:t>
            </w:r>
            <w:r w:rsidRPr="00554C46">
              <w:rPr>
                <w:b/>
                <w:color w:val="000000" w:themeColor="text1"/>
                <w:sz w:val="19"/>
                <w:szCs w:val="19"/>
                <w:vertAlign w:val="superscript"/>
                <w:lang w:val="fr-FR"/>
              </w:rPr>
              <w:footnoteReference w:id="7"/>
            </w:r>
          </w:p>
        </w:tc>
        <w:tc>
          <w:tcPr>
            <w:tcW w:w="992" w:type="dxa"/>
            <w:vAlign w:val="center"/>
          </w:tcPr>
          <w:p w:rsidR="00EE3B3A" w:rsidRPr="00554C46" w:rsidRDefault="000226F3" w:rsidP="00F346AD">
            <w:pPr>
              <w:jc w:val="center"/>
              <w:rPr>
                <w:b/>
                <w:color w:val="000000" w:themeColor="text1"/>
                <w:sz w:val="19"/>
                <w:szCs w:val="19"/>
                <w:u w:val="single"/>
                <w:lang w:val="fr-FR"/>
              </w:rPr>
            </w:pPr>
            <w:r w:rsidRPr="00554C46">
              <w:rPr>
                <w:b/>
                <w:color w:val="000000" w:themeColor="text1"/>
                <w:sz w:val="19"/>
                <w:szCs w:val="19"/>
                <w:u w:val="single"/>
                <w:lang w:val="fr-FR"/>
              </w:rPr>
              <w:noBreakHyphen/>
            </w:r>
            <w:r w:rsidR="00EE3B3A" w:rsidRPr="00554C46">
              <w:rPr>
                <w:b/>
                <w:color w:val="000000" w:themeColor="text1"/>
                <w:sz w:val="19"/>
                <w:szCs w:val="19"/>
                <w:u w:val="single"/>
                <w:lang w:val="fr-FR"/>
              </w:rPr>
              <w:t>9,24</w:t>
            </w:r>
          </w:p>
        </w:tc>
        <w:tc>
          <w:tcPr>
            <w:tcW w:w="1134" w:type="dxa"/>
            <w:vAlign w:val="center"/>
          </w:tcPr>
          <w:p w:rsidR="00EE3B3A" w:rsidRPr="00554C46" w:rsidRDefault="00EE3B3A" w:rsidP="00F346AD">
            <w:pPr>
              <w:jc w:val="center"/>
              <w:rPr>
                <w:b/>
                <w:color w:val="000000" w:themeColor="text1"/>
                <w:sz w:val="19"/>
                <w:szCs w:val="19"/>
                <w:u w:val="single"/>
                <w:lang w:val="fr-FR"/>
              </w:rPr>
            </w:pPr>
            <w:r w:rsidRPr="00554C46">
              <w:rPr>
                <w:b/>
                <w:color w:val="000000" w:themeColor="text1"/>
                <w:sz w:val="19"/>
                <w:szCs w:val="19"/>
                <w:u w:val="single"/>
                <w:lang w:val="fr-FR"/>
              </w:rPr>
              <w:t>3,79</w:t>
            </w:r>
          </w:p>
        </w:tc>
        <w:tc>
          <w:tcPr>
            <w:tcW w:w="1843" w:type="dxa"/>
            <w:vAlign w:val="center"/>
          </w:tcPr>
          <w:p w:rsidR="00EE3B3A" w:rsidRPr="00554C46" w:rsidRDefault="000226F3" w:rsidP="00F346AD">
            <w:pPr>
              <w:jc w:val="center"/>
              <w:rPr>
                <w:b/>
                <w:color w:val="000000" w:themeColor="text1"/>
                <w:sz w:val="19"/>
                <w:szCs w:val="19"/>
                <w:u w:val="single"/>
                <w:lang w:val="fr-FR"/>
              </w:rPr>
            </w:pPr>
            <w:r w:rsidRPr="00554C46">
              <w:rPr>
                <w:b/>
                <w:color w:val="000000" w:themeColor="text1"/>
                <w:sz w:val="19"/>
                <w:szCs w:val="19"/>
                <w:u w:val="single"/>
                <w:lang w:val="fr-FR"/>
              </w:rPr>
              <w:noBreakHyphen/>
            </w:r>
            <w:r w:rsidR="00EE3B3A" w:rsidRPr="00554C46">
              <w:rPr>
                <w:b/>
                <w:color w:val="000000" w:themeColor="text1"/>
                <w:sz w:val="19"/>
                <w:szCs w:val="19"/>
                <w:u w:val="single"/>
                <w:lang w:val="fr-FR"/>
              </w:rPr>
              <w:t>0,13</w:t>
            </w:r>
          </w:p>
        </w:tc>
        <w:tc>
          <w:tcPr>
            <w:tcW w:w="1276" w:type="dxa"/>
            <w:vAlign w:val="center"/>
          </w:tcPr>
          <w:p w:rsidR="00EE3B3A" w:rsidRPr="00554C46" w:rsidRDefault="00EE3B3A" w:rsidP="00F346AD">
            <w:pPr>
              <w:jc w:val="center"/>
              <w:rPr>
                <w:b/>
                <w:color w:val="000000" w:themeColor="text1"/>
                <w:sz w:val="19"/>
                <w:szCs w:val="19"/>
                <w:u w:val="single"/>
                <w:lang w:val="fr-FR"/>
              </w:rPr>
            </w:pPr>
            <w:r w:rsidRPr="00554C46">
              <w:rPr>
                <w:b/>
                <w:color w:val="000000" w:themeColor="text1"/>
                <w:sz w:val="19"/>
                <w:szCs w:val="19"/>
                <w:u w:val="single"/>
                <w:lang w:val="fr-FR"/>
              </w:rPr>
              <w:t>2,17</w:t>
            </w:r>
          </w:p>
        </w:tc>
        <w:tc>
          <w:tcPr>
            <w:tcW w:w="1417" w:type="dxa"/>
            <w:vAlign w:val="center"/>
          </w:tcPr>
          <w:p w:rsidR="00EE3B3A" w:rsidRPr="00554C46" w:rsidRDefault="000226F3" w:rsidP="00F346AD">
            <w:pPr>
              <w:jc w:val="center"/>
              <w:rPr>
                <w:b/>
                <w:color w:val="000000" w:themeColor="text1"/>
                <w:sz w:val="19"/>
                <w:szCs w:val="19"/>
                <w:u w:val="single"/>
                <w:lang w:val="fr-FR"/>
              </w:rPr>
            </w:pPr>
            <w:r w:rsidRPr="00554C46">
              <w:rPr>
                <w:b/>
                <w:color w:val="000000" w:themeColor="text1"/>
                <w:sz w:val="19"/>
                <w:szCs w:val="19"/>
                <w:u w:val="single"/>
                <w:lang w:val="fr-FR"/>
              </w:rPr>
              <w:noBreakHyphen/>
            </w:r>
            <w:r w:rsidR="00EE3B3A" w:rsidRPr="00554C46">
              <w:rPr>
                <w:b/>
                <w:color w:val="000000" w:themeColor="text1"/>
                <w:sz w:val="19"/>
                <w:szCs w:val="19"/>
                <w:u w:val="single"/>
                <w:lang w:val="fr-FR"/>
              </w:rPr>
              <w:t>0,81</w:t>
            </w:r>
          </w:p>
        </w:tc>
        <w:tc>
          <w:tcPr>
            <w:tcW w:w="1134" w:type="dxa"/>
            <w:vAlign w:val="center"/>
          </w:tcPr>
          <w:p w:rsidR="00EE3B3A" w:rsidRPr="00554C46" w:rsidRDefault="00EE3B3A" w:rsidP="00F346AD">
            <w:pPr>
              <w:jc w:val="center"/>
              <w:rPr>
                <w:b/>
                <w:color w:val="000000" w:themeColor="text1"/>
                <w:sz w:val="19"/>
                <w:szCs w:val="19"/>
                <w:u w:val="single"/>
                <w:lang w:val="fr-FR"/>
              </w:rPr>
            </w:pPr>
            <w:r w:rsidRPr="00554C46">
              <w:rPr>
                <w:b/>
                <w:color w:val="000000" w:themeColor="text1"/>
                <w:sz w:val="19"/>
                <w:szCs w:val="19"/>
                <w:u w:val="single"/>
                <w:lang w:val="fr-FR"/>
              </w:rPr>
              <w:t>4,78</w:t>
            </w:r>
          </w:p>
        </w:tc>
        <w:tc>
          <w:tcPr>
            <w:tcW w:w="851" w:type="dxa"/>
            <w:vAlign w:val="center"/>
          </w:tcPr>
          <w:p w:rsidR="00EE3B3A" w:rsidRPr="00554C46" w:rsidRDefault="00EE3B3A" w:rsidP="00F346AD">
            <w:pPr>
              <w:jc w:val="center"/>
              <w:rPr>
                <w:color w:val="000000" w:themeColor="text1"/>
                <w:sz w:val="19"/>
                <w:szCs w:val="19"/>
                <w:lang w:val="fr-FR"/>
              </w:rPr>
            </w:pPr>
            <w:r w:rsidRPr="00554C46">
              <w:rPr>
                <w:color w:val="000000" w:themeColor="text1"/>
                <w:sz w:val="19"/>
                <w:szCs w:val="19"/>
                <w:lang w:val="fr-FR"/>
              </w:rPr>
              <w:t>n.d.</w:t>
            </w:r>
          </w:p>
        </w:tc>
        <w:tc>
          <w:tcPr>
            <w:tcW w:w="850" w:type="dxa"/>
            <w:vAlign w:val="center"/>
          </w:tcPr>
          <w:p w:rsidR="00EE3B3A" w:rsidRPr="00554C46" w:rsidRDefault="000226F3" w:rsidP="00F346AD">
            <w:pPr>
              <w:jc w:val="center"/>
              <w:rPr>
                <w:b/>
                <w:sz w:val="19"/>
                <w:szCs w:val="19"/>
                <w:lang w:val="fr-FR"/>
              </w:rPr>
            </w:pPr>
            <w:r w:rsidRPr="00554C46">
              <w:rPr>
                <w:b/>
                <w:sz w:val="19"/>
                <w:szCs w:val="19"/>
                <w:lang w:val="fr-FR"/>
              </w:rPr>
              <w:noBreakHyphen/>
            </w:r>
          </w:p>
        </w:tc>
      </w:tr>
    </w:tbl>
    <w:p w:rsidR="00EE3B3A" w:rsidRPr="00554C46" w:rsidRDefault="00EE3B3A" w:rsidP="00554C46">
      <w:pPr>
        <w:rPr>
          <w:sz w:val="12"/>
        </w:rPr>
      </w:pPr>
      <w:r w:rsidRPr="00554C46">
        <w:rPr>
          <w:sz w:val="12"/>
        </w:rPr>
        <w:br w:type="page"/>
      </w:r>
    </w:p>
    <w:p w:rsidR="00EE3B3A" w:rsidRPr="00554C46" w:rsidRDefault="00446489" w:rsidP="00554C46">
      <w:pPr>
        <w:spacing w:after="120"/>
        <w:jc w:val="right"/>
        <w:rPr>
          <w:sz w:val="32"/>
          <w:szCs w:val="32"/>
          <w:u w:val="single"/>
          <w:lang w:val="fr-FR"/>
        </w:rPr>
      </w:pPr>
      <w:r w:rsidRPr="00554C46">
        <w:rPr>
          <w:sz w:val="32"/>
          <w:szCs w:val="32"/>
          <w:u w:val="single"/>
          <w:lang w:val="fr-FR"/>
        </w:rPr>
        <w:lastRenderedPageBreak/>
        <w:t>Annexe B</w:t>
      </w:r>
    </w:p>
    <w:p w:rsidR="00EE3B3A" w:rsidRPr="00B6770F" w:rsidRDefault="00EE3B3A" w:rsidP="00554C46">
      <w:pPr>
        <w:spacing w:after="120"/>
        <w:jc w:val="center"/>
        <w:rPr>
          <w:rFonts w:eastAsiaTheme="minorHAnsi"/>
          <w:b/>
          <w:bCs/>
          <w:sz w:val="28"/>
          <w:szCs w:val="28"/>
          <w:u w:val="single"/>
          <w:lang w:val="fr-FR"/>
        </w:rPr>
      </w:pPr>
      <w:r w:rsidRPr="00B6770F">
        <w:rPr>
          <w:b/>
          <w:sz w:val="28"/>
          <w:szCs w:val="28"/>
          <w:u w:val="single"/>
          <w:lang w:val="fr-FR"/>
        </w:rPr>
        <w:t xml:space="preserve">Adhésions aux unions de Paris et de Berne </w:t>
      </w:r>
      <w:r w:rsidR="00446489" w:rsidRPr="00B6770F">
        <w:rPr>
          <w:b/>
          <w:sz w:val="28"/>
          <w:szCs w:val="28"/>
          <w:u w:val="single"/>
          <w:lang w:val="fr-FR"/>
        </w:rPr>
        <w:t>depuis 2011</w:t>
      </w:r>
    </w:p>
    <w:tbl>
      <w:tblPr>
        <w:tblpPr w:leftFromText="180" w:rightFromText="180" w:vertAnchor="text" w:tblpXSpec="center" w:tblpY="1"/>
        <w:tblOverlap w:val="never"/>
        <w:tblW w:w="14155" w:type="dxa"/>
        <w:tblLayout w:type="fixed"/>
        <w:tblCellMar>
          <w:left w:w="0" w:type="dxa"/>
          <w:right w:w="0" w:type="dxa"/>
        </w:tblCellMar>
        <w:tblLook w:val="04A0" w:firstRow="1" w:lastRow="0" w:firstColumn="1" w:lastColumn="0" w:noHBand="0" w:noVBand="1"/>
      </w:tblPr>
      <w:tblGrid>
        <w:gridCol w:w="1015"/>
        <w:gridCol w:w="2519"/>
        <w:gridCol w:w="1276"/>
        <w:gridCol w:w="1417"/>
        <w:gridCol w:w="1843"/>
        <w:gridCol w:w="1630"/>
        <w:gridCol w:w="1380"/>
        <w:gridCol w:w="1549"/>
        <w:gridCol w:w="804"/>
        <w:gridCol w:w="722"/>
      </w:tblGrid>
      <w:tr w:rsidR="004F4720" w:rsidRPr="00554C46" w:rsidTr="004F4720">
        <w:trPr>
          <w:trHeight w:val="110"/>
        </w:trPr>
        <w:tc>
          <w:tcPr>
            <w:tcW w:w="1015"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rsidR="00EE3B3A" w:rsidRPr="00554C46" w:rsidRDefault="00EE3B3A" w:rsidP="00446489">
            <w:pPr>
              <w:rPr>
                <w:rFonts w:eastAsiaTheme="minorHAnsi"/>
                <w:b/>
                <w:bCs/>
                <w:color w:val="000000" w:themeColor="text1"/>
                <w:sz w:val="19"/>
                <w:szCs w:val="19"/>
                <w:lang w:val="fr-FR"/>
              </w:rPr>
            </w:pPr>
            <w:r w:rsidRPr="00554C46">
              <w:rPr>
                <w:b/>
                <w:color w:val="000000" w:themeColor="text1"/>
                <w:sz w:val="19"/>
                <w:szCs w:val="19"/>
                <w:lang w:val="fr-FR"/>
              </w:rPr>
              <w:t>Nombre de sièges</w:t>
            </w:r>
          </w:p>
        </w:tc>
        <w:tc>
          <w:tcPr>
            <w:tcW w:w="2519"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EE3B3A" w:rsidRPr="00554C46" w:rsidRDefault="00EE3B3A" w:rsidP="00446489">
            <w:pPr>
              <w:jc w:val="center"/>
              <w:rPr>
                <w:rFonts w:eastAsiaTheme="minorHAnsi"/>
                <w:b/>
                <w:bCs/>
                <w:color w:val="000000" w:themeColor="text1"/>
                <w:sz w:val="19"/>
                <w:szCs w:val="19"/>
                <w:lang w:val="fr-FR"/>
              </w:rPr>
            </w:pPr>
            <w:r w:rsidRPr="00554C46">
              <w:rPr>
                <w:b/>
                <w:color w:val="000000" w:themeColor="text1"/>
                <w:sz w:val="19"/>
                <w:szCs w:val="19"/>
                <w:lang w:val="fr-FR"/>
              </w:rPr>
              <w:t>Objet</w:t>
            </w:r>
          </w:p>
        </w:tc>
        <w:tc>
          <w:tcPr>
            <w:tcW w:w="1276"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EE3B3A" w:rsidRPr="00554C46" w:rsidRDefault="00CA79D4" w:rsidP="00446489">
            <w:pPr>
              <w:rPr>
                <w:rFonts w:eastAsiaTheme="minorHAnsi"/>
                <w:color w:val="000000" w:themeColor="text1"/>
                <w:sz w:val="19"/>
                <w:szCs w:val="19"/>
                <w:lang w:val="fr-FR"/>
              </w:rPr>
            </w:pPr>
            <w:r>
              <w:rPr>
                <w:b/>
                <w:color w:val="000000" w:themeColor="text1"/>
                <w:sz w:val="19"/>
                <w:szCs w:val="19"/>
                <w:lang w:val="fr-FR"/>
              </w:rPr>
              <w:t>Groupe B</w:t>
            </w:r>
          </w:p>
        </w:tc>
        <w:tc>
          <w:tcPr>
            <w:tcW w:w="1417"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EE3B3A" w:rsidRPr="00554C46" w:rsidRDefault="00EE3B3A" w:rsidP="00446489">
            <w:pPr>
              <w:rPr>
                <w:rFonts w:eastAsiaTheme="minorHAnsi"/>
                <w:color w:val="000000" w:themeColor="text1"/>
                <w:sz w:val="19"/>
                <w:szCs w:val="19"/>
                <w:lang w:val="fr-FR"/>
              </w:rPr>
            </w:pPr>
            <w:r w:rsidRPr="00554C46">
              <w:rPr>
                <w:b/>
                <w:color w:val="000000" w:themeColor="text1"/>
                <w:sz w:val="19"/>
                <w:szCs w:val="19"/>
                <w:lang w:val="fr-FR"/>
              </w:rPr>
              <w:t>Groupe des pays africains</w:t>
            </w:r>
          </w:p>
        </w:tc>
        <w:tc>
          <w:tcPr>
            <w:tcW w:w="1843"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EE3B3A" w:rsidRPr="00554C46" w:rsidRDefault="00EE3B3A" w:rsidP="00446489">
            <w:pPr>
              <w:rPr>
                <w:rFonts w:eastAsiaTheme="minorHAnsi"/>
                <w:color w:val="000000" w:themeColor="text1"/>
                <w:sz w:val="19"/>
                <w:szCs w:val="19"/>
                <w:lang w:val="fr-FR"/>
              </w:rPr>
            </w:pPr>
            <w:r w:rsidRPr="00554C46">
              <w:rPr>
                <w:b/>
                <w:color w:val="000000" w:themeColor="text1"/>
                <w:sz w:val="19"/>
                <w:szCs w:val="19"/>
                <w:lang w:val="fr-FR"/>
              </w:rPr>
              <w:t>Groupe des pays d</w:t>
            </w:r>
            <w:r w:rsidR="00446489" w:rsidRPr="00554C46">
              <w:rPr>
                <w:b/>
                <w:color w:val="000000" w:themeColor="text1"/>
                <w:sz w:val="19"/>
                <w:szCs w:val="19"/>
                <w:lang w:val="fr-FR"/>
              </w:rPr>
              <w:t>’</w:t>
            </w:r>
            <w:r w:rsidRPr="00554C46">
              <w:rPr>
                <w:b/>
                <w:color w:val="000000" w:themeColor="text1"/>
                <w:sz w:val="19"/>
                <w:szCs w:val="19"/>
                <w:lang w:val="fr-FR"/>
              </w:rPr>
              <w:t>Asie centrale, du Caucase et d</w:t>
            </w:r>
            <w:r w:rsidR="00446489" w:rsidRPr="00554C46">
              <w:rPr>
                <w:b/>
                <w:color w:val="000000" w:themeColor="text1"/>
                <w:sz w:val="19"/>
                <w:szCs w:val="19"/>
                <w:lang w:val="fr-FR"/>
              </w:rPr>
              <w:t>’</w:t>
            </w:r>
            <w:r w:rsidR="00CA79D4">
              <w:rPr>
                <w:b/>
                <w:color w:val="000000" w:themeColor="text1"/>
                <w:sz w:val="19"/>
                <w:szCs w:val="19"/>
                <w:lang w:val="fr-FR"/>
              </w:rPr>
              <w:t>Europe orientale</w:t>
            </w:r>
          </w:p>
        </w:tc>
        <w:tc>
          <w:tcPr>
            <w:tcW w:w="1630"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EE3B3A" w:rsidRPr="00554C46" w:rsidRDefault="00EE3B3A" w:rsidP="00446489">
            <w:pPr>
              <w:rPr>
                <w:rFonts w:eastAsiaTheme="minorHAnsi"/>
                <w:color w:val="000000" w:themeColor="text1"/>
                <w:sz w:val="19"/>
                <w:szCs w:val="19"/>
                <w:lang w:val="fr-FR"/>
              </w:rPr>
            </w:pPr>
            <w:r w:rsidRPr="00554C46">
              <w:rPr>
                <w:b/>
                <w:color w:val="000000" w:themeColor="text1"/>
                <w:sz w:val="19"/>
                <w:szCs w:val="19"/>
                <w:lang w:val="fr-FR"/>
              </w:rPr>
              <w:t>Groupe des pays d</w:t>
            </w:r>
            <w:r w:rsidR="00446489" w:rsidRPr="00554C46">
              <w:rPr>
                <w:b/>
                <w:color w:val="000000" w:themeColor="text1"/>
                <w:sz w:val="19"/>
                <w:szCs w:val="19"/>
                <w:lang w:val="fr-FR"/>
              </w:rPr>
              <w:t>’</w:t>
            </w:r>
            <w:r w:rsidRPr="00554C46">
              <w:rPr>
                <w:b/>
                <w:color w:val="000000" w:themeColor="text1"/>
                <w:sz w:val="19"/>
                <w:szCs w:val="19"/>
                <w:lang w:val="fr-FR"/>
              </w:rPr>
              <w:t>Euro</w:t>
            </w:r>
            <w:r w:rsidR="00CA79D4">
              <w:rPr>
                <w:b/>
                <w:color w:val="000000" w:themeColor="text1"/>
                <w:sz w:val="19"/>
                <w:szCs w:val="19"/>
                <w:lang w:val="fr-FR"/>
              </w:rPr>
              <w:t>pe centrale et des États baltes</w:t>
            </w:r>
          </w:p>
        </w:tc>
        <w:tc>
          <w:tcPr>
            <w:tcW w:w="1380"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EE3B3A" w:rsidRPr="00554C46" w:rsidRDefault="00EE3B3A" w:rsidP="00446489">
            <w:pPr>
              <w:rPr>
                <w:rFonts w:eastAsiaTheme="minorHAnsi"/>
                <w:color w:val="000000" w:themeColor="text1"/>
                <w:sz w:val="19"/>
                <w:szCs w:val="19"/>
                <w:lang w:val="fr-FR"/>
              </w:rPr>
            </w:pPr>
            <w:r w:rsidRPr="00554C46">
              <w:rPr>
                <w:b/>
                <w:color w:val="000000" w:themeColor="text1"/>
                <w:sz w:val="19"/>
                <w:szCs w:val="19"/>
                <w:lang w:val="fr-FR"/>
              </w:rPr>
              <w:t>Groupe des pays d</w:t>
            </w:r>
            <w:r w:rsidR="00446489" w:rsidRPr="00554C46">
              <w:rPr>
                <w:b/>
                <w:color w:val="000000" w:themeColor="text1"/>
                <w:sz w:val="19"/>
                <w:szCs w:val="19"/>
                <w:lang w:val="fr-FR"/>
              </w:rPr>
              <w:t>’</w:t>
            </w:r>
            <w:r w:rsidR="00CA79D4">
              <w:rPr>
                <w:b/>
                <w:color w:val="000000" w:themeColor="text1"/>
                <w:sz w:val="19"/>
                <w:szCs w:val="19"/>
                <w:lang w:val="fr-FR"/>
              </w:rPr>
              <w:t>Amérique latine et des Caraïbes</w:t>
            </w:r>
          </w:p>
        </w:tc>
        <w:tc>
          <w:tcPr>
            <w:tcW w:w="1549"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EE3B3A" w:rsidRPr="00554C46" w:rsidRDefault="00EE3B3A" w:rsidP="00446489">
            <w:pPr>
              <w:rPr>
                <w:rFonts w:eastAsiaTheme="minorHAnsi"/>
                <w:color w:val="000000" w:themeColor="text1"/>
                <w:sz w:val="19"/>
                <w:szCs w:val="19"/>
                <w:lang w:val="fr-FR"/>
              </w:rPr>
            </w:pPr>
            <w:r w:rsidRPr="00554C46">
              <w:rPr>
                <w:b/>
                <w:color w:val="000000" w:themeColor="text1"/>
                <w:sz w:val="19"/>
                <w:szCs w:val="19"/>
                <w:lang w:val="fr-FR"/>
              </w:rPr>
              <w:t>Groupe des pays d</w:t>
            </w:r>
            <w:r w:rsidR="00446489" w:rsidRPr="00554C46">
              <w:rPr>
                <w:b/>
                <w:color w:val="000000" w:themeColor="text1"/>
                <w:sz w:val="19"/>
                <w:szCs w:val="19"/>
                <w:lang w:val="fr-FR"/>
              </w:rPr>
              <w:t>’</w:t>
            </w:r>
            <w:r w:rsidRPr="00554C46">
              <w:rPr>
                <w:b/>
                <w:color w:val="000000" w:themeColor="text1"/>
                <w:sz w:val="19"/>
                <w:szCs w:val="19"/>
                <w:lang w:val="fr-FR"/>
              </w:rPr>
              <w:t>Asie et du Pacif</w:t>
            </w:r>
            <w:r w:rsidR="00CA79D4">
              <w:rPr>
                <w:b/>
                <w:color w:val="000000" w:themeColor="text1"/>
                <w:sz w:val="19"/>
                <w:szCs w:val="19"/>
                <w:lang w:val="fr-FR"/>
              </w:rPr>
              <w:t>ique</w:t>
            </w:r>
          </w:p>
        </w:tc>
        <w:tc>
          <w:tcPr>
            <w:tcW w:w="804"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EE3B3A" w:rsidRPr="00554C46" w:rsidRDefault="00CA79D4" w:rsidP="00446489">
            <w:pPr>
              <w:rPr>
                <w:rFonts w:eastAsiaTheme="minorHAnsi"/>
                <w:color w:val="000000" w:themeColor="text1"/>
                <w:sz w:val="19"/>
                <w:szCs w:val="19"/>
                <w:lang w:val="fr-FR"/>
              </w:rPr>
            </w:pPr>
            <w:r>
              <w:rPr>
                <w:b/>
                <w:color w:val="000000" w:themeColor="text1"/>
                <w:sz w:val="19"/>
                <w:szCs w:val="19"/>
                <w:lang w:val="fr-FR"/>
              </w:rPr>
              <w:t>Chine</w:t>
            </w:r>
          </w:p>
        </w:tc>
        <w:tc>
          <w:tcPr>
            <w:tcW w:w="722"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EE3B3A" w:rsidRPr="00554C46" w:rsidRDefault="00CA79D4" w:rsidP="00446489">
            <w:pPr>
              <w:rPr>
                <w:rFonts w:eastAsiaTheme="minorHAnsi"/>
                <w:b/>
                <w:bCs/>
                <w:color w:val="000000" w:themeColor="text1"/>
                <w:sz w:val="19"/>
                <w:szCs w:val="19"/>
                <w:lang w:val="fr-FR"/>
              </w:rPr>
            </w:pPr>
            <w:r>
              <w:rPr>
                <w:b/>
                <w:color w:val="000000" w:themeColor="text1"/>
                <w:sz w:val="19"/>
                <w:szCs w:val="19"/>
                <w:lang w:val="fr-FR"/>
              </w:rPr>
              <w:t>Total</w:t>
            </w:r>
          </w:p>
        </w:tc>
      </w:tr>
      <w:tr w:rsidR="004F4720" w:rsidRPr="00FA53CB" w:rsidTr="004F4720">
        <w:trPr>
          <w:trHeight w:val="57"/>
        </w:trPr>
        <w:tc>
          <w:tcPr>
            <w:tcW w:w="101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EE3B3A" w:rsidRPr="00CA79D4" w:rsidRDefault="00EE3B3A" w:rsidP="00446489">
            <w:pPr>
              <w:spacing w:line="252" w:lineRule="auto"/>
              <w:ind w:hanging="360"/>
              <w:rPr>
                <w:rFonts w:eastAsiaTheme="minorHAnsi"/>
                <w:sz w:val="20"/>
                <w:lang w:val="fr-FR"/>
              </w:rPr>
            </w:pPr>
            <w:r w:rsidRPr="00CA79D4">
              <w:rPr>
                <w:sz w:val="20"/>
                <w:lang w:val="fr-FR"/>
              </w:rPr>
              <w:t>1.</w:t>
            </w:r>
            <w:r w:rsidR="0020204B" w:rsidRPr="00CA79D4">
              <w:rPr>
                <w:sz w:val="20"/>
                <w:lang w:val="fr-FR"/>
              </w:rPr>
              <w:t xml:space="preserve">  </w:t>
            </w:r>
            <w:r w:rsidRPr="00CA79D4">
              <w:rPr>
                <w:sz w:val="20"/>
                <w:lang w:val="fr-FR"/>
              </w:rPr>
              <w:t>1</w:t>
            </w:r>
          </w:p>
        </w:tc>
        <w:tc>
          <w:tcPr>
            <w:tcW w:w="2519"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EE3B3A" w:rsidRPr="00CA79D4" w:rsidRDefault="00EE3B3A" w:rsidP="00446489">
            <w:pPr>
              <w:jc w:val="center"/>
              <w:rPr>
                <w:rFonts w:eastAsiaTheme="minorHAnsi"/>
                <w:sz w:val="20"/>
                <w:lang w:val="fr-FR"/>
              </w:rPr>
            </w:pPr>
            <w:r w:rsidRPr="00CA79D4">
              <w:rPr>
                <w:sz w:val="20"/>
                <w:lang w:val="fr-FR"/>
              </w:rPr>
              <w:t>Nombre de membres au sein de l</w:t>
            </w:r>
            <w:r w:rsidR="00446489" w:rsidRPr="00CA79D4">
              <w:rPr>
                <w:sz w:val="20"/>
                <w:lang w:val="fr-FR"/>
              </w:rPr>
              <w:t>’</w:t>
            </w:r>
            <w:r w:rsidRPr="00CA79D4">
              <w:rPr>
                <w:sz w:val="20"/>
                <w:lang w:val="fr-FR"/>
              </w:rPr>
              <w:t>Union de Paris</w:t>
            </w:r>
          </w:p>
        </w:tc>
        <w:tc>
          <w:tcPr>
            <w:tcW w:w="1276"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EE3B3A" w:rsidRPr="00CA79D4" w:rsidRDefault="00EE3B3A" w:rsidP="00446489">
            <w:pPr>
              <w:rPr>
                <w:rFonts w:eastAsiaTheme="minorHAnsi"/>
                <w:sz w:val="20"/>
                <w:lang w:val="fr-FR"/>
              </w:rPr>
            </w:pPr>
            <w:r w:rsidRPr="00CA79D4">
              <w:rPr>
                <w:sz w:val="20"/>
                <w:lang w:val="fr-FR"/>
              </w:rPr>
              <w:t>32</w:t>
            </w:r>
          </w:p>
        </w:tc>
        <w:tc>
          <w:tcPr>
            <w:tcW w:w="1417"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EE3B3A" w:rsidRPr="00CA79D4" w:rsidRDefault="00EE3B3A" w:rsidP="00446489">
            <w:pPr>
              <w:rPr>
                <w:rFonts w:eastAsiaTheme="minorHAnsi"/>
                <w:sz w:val="20"/>
                <w:lang w:val="fr-FR"/>
              </w:rPr>
            </w:pPr>
            <w:r w:rsidRPr="00CA79D4">
              <w:rPr>
                <w:sz w:val="20"/>
                <w:lang w:val="fr-FR"/>
              </w:rPr>
              <w:t>50</w:t>
            </w:r>
          </w:p>
        </w:tc>
        <w:tc>
          <w:tcPr>
            <w:tcW w:w="1843"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EE3B3A" w:rsidRPr="00CA79D4" w:rsidRDefault="00EE3B3A" w:rsidP="00446489">
            <w:pPr>
              <w:rPr>
                <w:rFonts w:eastAsiaTheme="minorHAnsi"/>
                <w:sz w:val="20"/>
                <w:lang w:val="fr-FR"/>
              </w:rPr>
            </w:pPr>
            <w:r w:rsidRPr="00CA79D4">
              <w:rPr>
                <w:sz w:val="20"/>
                <w:lang w:val="fr-FR"/>
              </w:rPr>
              <w:t>9</w:t>
            </w:r>
          </w:p>
        </w:tc>
        <w:tc>
          <w:tcPr>
            <w:tcW w:w="163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EE3B3A" w:rsidRPr="00CA79D4" w:rsidRDefault="00EE3B3A" w:rsidP="00446489">
            <w:pPr>
              <w:rPr>
                <w:rFonts w:eastAsiaTheme="minorHAnsi"/>
                <w:sz w:val="20"/>
                <w:lang w:val="fr-FR"/>
              </w:rPr>
            </w:pPr>
            <w:r w:rsidRPr="00CA79D4">
              <w:rPr>
                <w:sz w:val="20"/>
                <w:lang w:val="fr-FR"/>
              </w:rPr>
              <w:t>19</w:t>
            </w:r>
          </w:p>
        </w:tc>
        <w:tc>
          <w:tcPr>
            <w:tcW w:w="138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EE3B3A" w:rsidRPr="00CA79D4" w:rsidRDefault="00EE3B3A" w:rsidP="00446489">
            <w:pPr>
              <w:rPr>
                <w:rFonts w:eastAsiaTheme="minorHAnsi"/>
                <w:sz w:val="20"/>
                <w:lang w:val="fr-FR"/>
              </w:rPr>
            </w:pPr>
            <w:r w:rsidRPr="00CA79D4">
              <w:rPr>
                <w:sz w:val="20"/>
                <w:lang w:val="fr-FR"/>
              </w:rPr>
              <w:t>33</w:t>
            </w:r>
          </w:p>
        </w:tc>
        <w:tc>
          <w:tcPr>
            <w:tcW w:w="1549"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EE3B3A" w:rsidRPr="00CA79D4" w:rsidRDefault="00EE3B3A" w:rsidP="00446489">
            <w:pPr>
              <w:rPr>
                <w:rFonts w:eastAsiaTheme="minorHAnsi"/>
                <w:sz w:val="20"/>
                <w:lang w:val="fr-FR"/>
              </w:rPr>
            </w:pPr>
            <w:r w:rsidRPr="00CA79D4">
              <w:rPr>
                <w:sz w:val="20"/>
                <w:lang w:val="fr-FR"/>
              </w:rPr>
              <w:t>35</w:t>
            </w:r>
          </w:p>
        </w:tc>
        <w:tc>
          <w:tcPr>
            <w:tcW w:w="804"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EE3B3A" w:rsidRPr="00CA79D4" w:rsidRDefault="00EE3B3A" w:rsidP="00446489">
            <w:pPr>
              <w:rPr>
                <w:rFonts w:eastAsiaTheme="minorHAnsi"/>
                <w:sz w:val="20"/>
                <w:lang w:val="fr-FR"/>
              </w:rPr>
            </w:pPr>
            <w:r w:rsidRPr="00CA79D4">
              <w:rPr>
                <w:sz w:val="20"/>
                <w:lang w:val="fr-FR"/>
              </w:rPr>
              <w:t>1</w:t>
            </w:r>
          </w:p>
        </w:tc>
        <w:tc>
          <w:tcPr>
            <w:tcW w:w="722"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EE3B3A" w:rsidRPr="00CA79D4" w:rsidRDefault="00EE3B3A" w:rsidP="00446489">
            <w:pPr>
              <w:rPr>
                <w:rFonts w:eastAsiaTheme="minorHAnsi"/>
                <w:sz w:val="20"/>
                <w:lang w:val="fr-FR"/>
              </w:rPr>
            </w:pPr>
            <w:r w:rsidRPr="00CA79D4">
              <w:rPr>
                <w:sz w:val="20"/>
                <w:lang w:val="fr-FR"/>
              </w:rPr>
              <w:t>179</w:t>
            </w:r>
          </w:p>
        </w:tc>
      </w:tr>
      <w:tr w:rsidR="00554C46" w:rsidRPr="00FA53CB" w:rsidTr="004F4720">
        <w:trPr>
          <w:trHeight w:val="110"/>
        </w:trPr>
        <w:tc>
          <w:tcPr>
            <w:tcW w:w="1015" w:type="dxa"/>
            <w:tcBorders>
              <w:top w:val="single" w:sz="8" w:space="0" w:color="auto"/>
              <w:left w:val="single" w:sz="8" w:space="0" w:color="auto"/>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EE3B3A" w:rsidRPr="00CA79D4" w:rsidRDefault="00EE3B3A" w:rsidP="00446489">
            <w:pPr>
              <w:spacing w:line="252" w:lineRule="auto"/>
              <w:ind w:hanging="360"/>
              <w:rPr>
                <w:rFonts w:eastAsiaTheme="minorHAnsi"/>
                <w:sz w:val="20"/>
                <w:lang w:val="fr-FR"/>
              </w:rPr>
            </w:pPr>
            <w:r w:rsidRPr="00CA79D4">
              <w:rPr>
                <w:sz w:val="20"/>
                <w:lang w:val="fr-FR"/>
              </w:rPr>
              <w:t>2.</w:t>
            </w:r>
            <w:r w:rsidR="0020204B" w:rsidRPr="00CA79D4">
              <w:rPr>
                <w:sz w:val="20"/>
                <w:lang w:val="fr-FR"/>
              </w:rPr>
              <w:t xml:space="preserve">  </w:t>
            </w:r>
            <w:r w:rsidRPr="00CA79D4">
              <w:rPr>
                <w:sz w:val="20"/>
                <w:lang w:val="fr-FR"/>
              </w:rPr>
              <w:t>2</w:t>
            </w:r>
          </w:p>
        </w:tc>
        <w:tc>
          <w:tcPr>
            <w:tcW w:w="2519"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EE3B3A" w:rsidRPr="00CA79D4" w:rsidRDefault="00EE3B3A" w:rsidP="00446489">
            <w:pPr>
              <w:jc w:val="center"/>
              <w:rPr>
                <w:rFonts w:eastAsiaTheme="minorHAnsi"/>
                <w:sz w:val="20"/>
                <w:lang w:val="fr-FR"/>
              </w:rPr>
            </w:pPr>
            <w:r w:rsidRPr="00CA79D4">
              <w:rPr>
                <w:sz w:val="20"/>
                <w:lang w:val="fr-FR"/>
              </w:rPr>
              <w:t xml:space="preserve">Adhésions à la Convention de Paris depuis </w:t>
            </w:r>
            <w:r w:rsidR="00446489" w:rsidRPr="00CA79D4">
              <w:rPr>
                <w:sz w:val="20"/>
                <w:lang w:val="fr-FR"/>
              </w:rPr>
              <w:t>janvier 20</w:t>
            </w:r>
            <w:r w:rsidRPr="00CA79D4">
              <w:rPr>
                <w:sz w:val="20"/>
                <w:lang w:val="fr-FR"/>
              </w:rPr>
              <w:t>11</w:t>
            </w:r>
          </w:p>
        </w:tc>
        <w:tc>
          <w:tcPr>
            <w:tcW w:w="1276"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EE3B3A" w:rsidRPr="00CA79D4" w:rsidRDefault="00EE3B3A" w:rsidP="00446489">
            <w:pPr>
              <w:rPr>
                <w:rFonts w:eastAsiaTheme="minorHAnsi"/>
                <w:sz w:val="20"/>
                <w:lang w:val="fr-FR"/>
              </w:rPr>
            </w:pPr>
            <w:r w:rsidRPr="00CA79D4">
              <w:rPr>
                <w:sz w:val="20"/>
                <w:lang w:val="fr-FR"/>
              </w:rPr>
              <w:t>0</w:t>
            </w:r>
          </w:p>
        </w:tc>
        <w:tc>
          <w:tcPr>
            <w:tcW w:w="1417"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EE3B3A" w:rsidRPr="00CA79D4" w:rsidRDefault="00EE3B3A" w:rsidP="00446489">
            <w:pPr>
              <w:rPr>
                <w:rFonts w:eastAsiaTheme="minorHAnsi"/>
                <w:sz w:val="20"/>
                <w:lang w:val="fr-FR"/>
              </w:rPr>
            </w:pPr>
            <w:r w:rsidRPr="00CA79D4">
              <w:rPr>
                <w:sz w:val="20"/>
                <w:lang w:val="fr-FR"/>
              </w:rPr>
              <w:t>1*</w:t>
            </w:r>
          </w:p>
          <w:p w:rsidR="00EE3B3A" w:rsidRPr="00CA79D4" w:rsidRDefault="00EE3B3A" w:rsidP="00446489">
            <w:pPr>
              <w:rPr>
                <w:rFonts w:eastAsiaTheme="minorHAnsi"/>
                <w:sz w:val="20"/>
                <w:lang w:val="fr-FR"/>
              </w:rPr>
            </w:pPr>
            <w:r w:rsidRPr="00CA79D4">
              <w:rPr>
                <w:sz w:val="20"/>
                <w:lang w:val="fr-FR"/>
              </w:rPr>
              <w:t>*Cabo Verde</w:t>
            </w:r>
          </w:p>
        </w:tc>
        <w:tc>
          <w:tcPr>
            <w:tcW w:w="1843"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EE3B3A" w:rsidRPr="00CA79D4" w:rsidRDefault="00EE3B3A" w:rsidP="00446489">
            <w:pPr>
              <w:rPr>
                <w:rFonts w:eastAsiaTheme="minorHAnsi"/>
                <w:sz w:val="20"/>
                <w:lang w:val="fr-FR"/>
              </w:rPr>
            </w:pPr>
            <w:r w:rsidRPr="00CA79D4">
              <w:rPr>
                <w:sz w:val="20"/>
                <w:lang w:val="fr-FR"/>
              </w:rPr>
              <w:t>0</w:t>
            </w:r>
          </w:p>
        </w:tc>
        <w:tc>
          <w:tcPr>
            <w:tcW w:w="1630"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EE3B3A" w:rsidRPr="00CA79D4" w:rsidRDefault="00EE3B3A" w:rsidP="00446489">
            <w:pPr>
              <w:rPr>
                <w:rFonts w:eastAsiaTheme="minorHAnsi"/>
                <w:sz w:val="20"/>
                <w:lang w:val="fr-FR"/>
              </w:rPr>
            </w:pPr>
            <w:r w:rsidRPr="00CA79D4">
              <w:rPr>
                <w:sz w:val="20"/>
                <w:lang w:val="fr-FR"/>
              </w:rPr>
              <w:t>0</w:t>
            </w:r>
          </w:p>
        </w:tc>
        <w:tc>
          <w:tcPr>
            <w:tcW w:w="1380"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EE3B3A" w:rsidRPr="00CA79D4" w:rsidRDefault="00EE3B3A" w:rsidP="00446489">
            <w:pPr>
              <w:rPr>
                <w:rFonts w:eastAsiaTheme="minorHAnsi"/>
                <w:sz w:val="20"/>
                <w:lang w:val="fr-FR"/>
              </w:rPr>
            </w:pPr>
            <w:r w:rsidRPr="00CA79D4">
              <w:rPr>
                <w:sz w:val="20"/>
                <w:lang w:val="fr-FR"/>
              </w:rPr>
              <w:t>0</w:t>
            </w:r>
          </w:p>
        </w:tc>
        <w:tc>
          <w:tcPr>
            <w:tcW w:w="1549"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EE3B3A" w:rsidRPr="00CA79D4" w:rsidRDefault="00EE3B3A" w:rsidP="00446489">
            <w:pPr>
              <w:rPr>
                <w:rFonts w:eastAsiaTheme="minorHAnsi"/>
                <w:sz w:val="20"/>
                <w:lang w:val="fr-FR"/>
              </w:rPr>
            </w:pPr>
            <w:r w:rsidRPr="00CA79D4">
              <w:rPr>
                <w:sz w:val="20"/>
                <w:lang w:val="fr-FR"/>
              </w:rPr>
              <w:t>5*</w:t>
            </w:r>
          </w:p>
          <w:p w:rsidR="00EE3B3A" w:rsidRPr="00CA79D4" w:rsidRDefault="00EE3B3A" w:rsidP="00446489">
            <w:pPr>
              <w:rPr>
                <w:rFonts w:eastAsiaTheme="minorHAnsi"/>
                <w:sz w:val="20"/>
                <w:lang w:val="fr-FR"/>
              </w:rPr>
            </w:pPr>
            <w:r w:rsidRPr="00CA79D4">
              <w:rPr>
                <w:i/>
                <w:sz w:val="20"/>
                <w:lang w:val="fr-FR"/>
              </w:rPr>
              <w:t>*Afghanistan, Brunéi, Kiribati, Koweït, Samoa</w:t>
            </w:r>
          </w:p>
        </w:tc>
        <w:tc>
          <w:tcPr>
            <w:tcW w:w="804"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EE3B3A" w:rsidRPr="00CA79D4" w:rsidRDefault="00EE3B3A" w:rsidP="00446489">
            <w:pPr>
              <w:rPr>
                <w:rFonts w:eastAsiaTheme="minorHAnsi"/>
                <w:sz w:val="20"/>
                <w:lang w:val="fr-FR"/>
              </w:rPr>
            </w:pPr>
            <w:r w:rsidRPr="00CA79D4">
              <w:rPr>
                <w:sz w:val="20"/>
                <w:lang w:val="fr-FR"/>
              </w:rPr>
              <w:t>0</w:t>
            </w:r>
          </w:p>
        </w:tc>
        <w:tc>
          <w:tcPr>
            <w:tcW w:w="722"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EE3B3A" w:rsidRPr="00CA79D4" w:rsidRDefault="00EE3B3A" w:rsidP="00446489">
            <w:pPr>
              <w:rPr>
                <w:rFonts w:eastAsiaTheme="minorHAnsi"/>
                <w:sz w:val="20"/>
                <w:lang w:val="fr-FR"/>
              </w:rPr>
            </w:pPr>
            <w:r w:rsidRPr="00CA79D4">
              <w:rPr>
                <w:sz w:val="20"/>
                <w:lang w:val="fr-FR"/>
              </w:rPr>
              <w:t>6</w:t>
            </w:r>
          </w:p>
        </w:tc>
      </w:tr>
      <w:tr w:rsidR="004F4720" w:rsidRPr="00FA53CB" w:rsidTr="004F4720">
        <w:trPr>
          <w:trHeight w:val="510"/>
        </w:trPr>
        <w:tc>
          <w:tcPr>
            <w:tcW w:w="1015" w:type="dxa"/>
            <w:tcBorders>
              <w:top w:val="single" w:sz="4" w:space="0" w:color="auto"/>
              <w:left w:val="single" w:sz="8" w:space="0" w:color="auto"/>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EE3B3A" w:rsidRPr="00CA79D4" w:rsidRDefault="00EE3B3A" w:rsidP="00446489">
            <w:pPr>
              <w:spacing w:line="252" w:lineRule="auto"/>
              <w:ind w:hanging="360"/>
              <w:rPr>
                <w:rFonts w:eastAsiaTheme="minorHAnsi"/>
                <w:sz w:val="20"/>
                <w:lang w:val="fr-FR"/>
              </w:rPr>
            </w:pPr>
            <w:r w:rsidRPr="00CA79D4">
              <w:rPr>
                <w:sz w:val="20"/>
                <w:lang w:val="fr-FR"/>
              </w:rPr>
              <w:t>3.</w:t>
            </w:r>
            <w:r w:rsidR="0020204B" w:rsidRPr="00CA79D4">
              <w:rPr>
                <w:sz w:val="20"/>
                <w:lang w:val="fr-FR"/>
              </w:rPr>
              <w:t xml:space="preserve">  </w:t>
            </w:r>
            <w:r w:rsidRPr="00CA79D4">
              <w:rPr>
                <w:sz w:val="20"/>
                <w:lang w:val="fr-FR"/>
              </w:rPr>
              <w:t>3</w:t>
            </w:r>
          </w:p>
        </w:tc>
        <w:tc>
          <w:tcPr>
            <w:tcW w:w="2519"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EE3B3A" w:rsidRPr="00CA79D4" w:rsidRDefault="00EE3B3A" w:rsidP="00446489">
            <w:pPr>
              <w:jc w:val="center"/>
              <w:rPr>
                <w:rFonts w:eastAsiaTheme="minorHAnsi"/>
                <w:sz w:val="20"/>
                <w:lang w:val="fr-FR"/>
              </w:rPr>
            </w:pPr>
            <w:r w:rsidRPr="00CA79D4">
              <w:rPr>
                <w:sz w:val="20"/>
                <w:lang w:val="fr-FR"/>
              </w:rPr>
              <w:t>Nombre de membres au sein de l</w:t>
            </w:r>
            <w:r w:rsidR="00446489" w:rsidRPr="00CA79D4">
              <w:rPr>
                <w:sz w:val="20"/>
                <w:lang w:val="fr-FR"/>
              </w:rPr>
              <w:t>’</w:t>
            </w:r>
            <w:r w:rsidRPr="00CA79D4">
              <w:rPr>
                <w:sz w:val="20"/>
                <w:lang w:val="fr-FR"/>
              </w:rPr>
              <w:t>Union de Berne</w:t>
            </w:r>
          </w:p>
        </w:tc>
        <w:tc>
          <w:tcPr>
            <w:tcW w:w="1276"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EE3B3A" w:rsidRPr="00CA79D4" w:rsidRDefault="00EE3B3A" w:rsidP="00446489">
            <w:pPr>
              <w:rPr>
                <w:rFonts w:eastAsiaTheme="minorHAnsi"/>
                <w:sz w:val="20"/>
                <w:lang w:val="fr-FR"/>
              </w:rPr>
            </w:pPr>
            <w:r w:rsidRPr="00CA79D4">
              <w:rPr>
                <w:sz w:val="20"/>
                <w:lang w:val="fr-FR"/>
              </w:rPr>
              <w:t>32</w:t>
            </w:r>
          </w:p>
        </w:tc>
        <w:tc>
          <w:tcPr>
            <w:tcW w:w="1417"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EE3B3A" w:rsidRPr="00CA79D4" w:rsidRDefault="00EE3B3A" w:rsidP="00446489">
            <w:pPr>
              <w:rPr>
                <w:rFonts w:eastAsiaTheme="minorHAnsi"/>
                <w:sz w:val="20"/>
                <w:lang w:val="fr-FR"/>
              </w:rPr>
            </w:pPr>
            <w:r w:rsidRPr="00CA79D4">
              <w:rPr>
                <w:sz w:val="20"/>
                <w:lang w:val="fr-FR"/>
              </w:rPr>
              <w:t>47</w:t>
            </w:r>
          </w:p>
        </w:tc>
        <w:tc>
          <w:tcPr>
            <w:tcW w:w="1843"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EE3B3A" w:rsidRPr="00CA79D4" w:rsidRDefault="00EE3B3A" w:rsidP="00446489">
            <w:pPr>
              <w:rPr>
                <w:rFonts w:eastAsiaTheme="minorHAnsi"/>
                <w:sz w:val="20"/>
                <w:lang w:val="fr-FR"/>
              </w:rPr>
            </w:pPr>
            <w:r w:rsidRPr="00CA79D4">
              <w:rPr>
                <w:sz w:val="20"/>
                <w:lang w:val="fr-FR"/>
              </w:rPr>
              <w:t>9</w:t>
            </w:r>
          </w:p>
        </w:tc>
        <w:tc>
          <w:tcPr>
            <w:tcW w:w="1630"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EE3B3A" w:rsidRPr="00CA79D4" w:rsidRDefault="00EE3B3A" w:rsidP="00446489">
            <w:pPr>
              <w:rPr>
                <w:rFonts w:eastAsiaTheme="minorHAnsi"/>
                <w:sz w:val="20"/>
                <w:lang w:val="fr-FR"/>
              </w:rPr>
            </w:pPr>
            <w:r w:rsidRPr="00CA79D4">
              <w:rPr>
                <w:sz w:val="20"/>
                <w:lang w:val="fr-FR"/>
              </w:rPr>
              <w:t>19</w:t>
            </w:r>
          </w:p>
        </w:tc>
        <w:tc>
          <w:tcPr>
            <w:tcW w:w="1380"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EE3B3A" w:rsidRPr="00CA79D4" w:rsidRDefault="00EE3B3A" w:rsidP="00446489">
            <w:pPr>
              <w:rPr>
                <w:rFonts w:eastAsiaTheme="minorHAnsi"/>
                <w:sz w:val="20"/>
                <w:lang w:val="fr-FR"/>
              </w:rPr>
            </w:pPr>
            <w:r w:rsidRPr="00CA79D4">
              <w:rPr>
                <w:sz w:val="20"/>
                <w:lang w:val="fr-FR"/>
              </w:rPr>
              <w:t>33</w:t>
            </w:r>
          </w:p>
        </w:tc>
        <w:tc>
          <w:tcPr>
            <w:tcW w:w="1549"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EE3B3A" w:rsidRPr="00CA79D4" w:rsidRDefault="00EE3B3A" w:rsidP="00446489">
            <w:pPr>
              <w:rPr>
                <w:rFonts w:eastAsiaTheme="minorHAnsi"/>
                <w:sz w:val="20"/>
                <w:lang w:val="fr-FR"/>
              </w:rPr>
            </w:pPr>
            <w:r w:rsidRPr="00CA79D4">
              <w:rPr>
                <w:sz w:val="20"/>
                <w:lang w:val="fr-FR"/>
              </w:rPr>
              <w:t>39</w:t>
            </w:r>
          </w:p>
        </w:tc>
        <w:tc>
          <w:tcPr>
            <w:tcW w:w="804"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EE3B3A" w:rsidRPr="00CA79D4" w:rsidRDefault="00EE3B3A" w:rsidP="00446489">
            <w:pPr>
              <w:rPr>
                <w:rFonts w:eastAsiaTheme="minorHAnsi"/>
                <w:sz w:val="20"/>
                <w:lang w:val="fr-FR"/>
              </w:rPr>
            </w:pPr>
            <w:r w:rsidRPr="00CA79D4">
              <w:rPr>
                <w:sz w:val="20"/>
                <w:lang w:val="fr-FR"/>
              </w:rPr>
              <w:t>1</w:t>
            </w:r>
          </w:p>
        </w:tc>
        <w:tc>
          <w:tcPr>
            <w:tcW w:w="722"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EE3B3A" w:rsidRPr="00CA79D4" w:rsidRDefault="00EE3B3A" w:rsidP="00446489">
            <w:pPr>
              <w:rPr>
                <w:rFonts w:eastAsiaTheme="minorHAnsi"/>
                <w:sz w:val="20"/>
                <w:lang w:val="fr-FR"/>
              </w:rPr>
            </w:pPr>
            <w:r w:rsidRPr="00CA79D4">
              <w:rPr>
                <w:sz w:val="20"/>
                <w:lang w:val="fr-FR"/>
              </w:rPr>
              <w:t>181</w:t>
            </w:r>
          </w:p>
        </w:tc>
      </w:tr>
      <w:tr w:rsidR="00554C46" w:rsidRPr="00FA53CB" w:rsidTr="004F4720">
        <w:trPr>
          <w:trHeight w:val="110"/>
        </w:trPr>
        <w:tc>
          <w:tcPr>
            <w:tcW w:w="1015" w:type="dxa"/>
            <w:tcBorders>
              <w:top w:val="nil"/>
              <w:left w:val="single" w:sz="8" w:space="0" w:color="auto"/>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EE3B3A" w:rsidRPr="00CA79D4" w:rsidRDefault="00EE3B3A" w:rsidP="00446489">
            <w:pPr>
              <w:spacing w:line="252" w:lineRule="auto"/>
              <w:ind w:hanging="360"/>
              <w:rPr>
                <w:rFonts w:eastAsiaTheme="minorHAnsi"/>
                <w:sz w:val="20"/>
                <w:lang w:val="fr-FR"/>
              </w:rPr>
            </w:pPr>
            <w:r w:rsidRPr="00CA79D4">
              <w:rPr>
                <w:sz w:val="20"/>
                <w:lang w:val="fr-FR"/>
              </w:rPr>
              <w:t>4.</w:t>
            </w:r>
            <w:r w:rsidR="0020204B" w:rsidRPr="00CA79D4">
              <w:rPr>
                <w:sz w:val="20"/>
                <w:lang w:val="fr-FR"/>
              </w:rPr>
              <w:t xml:space="preserve">  </w:t>
            </w:r>
            <w:r w:rsidRPr="00CA79D4">
              <w:rPr>
                <w:sz w:val="20"/>
                <w:lang w:val="fr-FR"/>
              </w:rPr>
              <w:t>4</w:t>
            </w:r>
          </w:p>
        </w:tc>
        <w:tc>
          <w:tcPr>
            <w:tcW w:w="2519"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EE3B3A" w:rsidRPr="00CA79D4" w:rsidRDefault="00EE3B3A" w:rsidP="00446489">
            <w:pPr>
              <w:jc w:val="center"/>
              <w:rPr>
                <w:rFonts w:eastAsiaTheme="minorHAnsi"/>
                <w:sz w:val="20"/>
                <w:lang w:val="fr-FR"/>
              </w:rPr>
            </w:pPr>
            <w:r w:rsidRPr="00CA79D4">
              <w:rPr>
                <w:sz w:val="20"/>
                <w:lang w:val="fr-FR"/>
              </w:rPr>
              <w:t xml:space="preserve">Adhésions à la Convention de Berne depuis </w:t>
            </w:r>
            <w:r w:rsidR="00446489" w:rsidRPr="00CA79D4">
              <w:rPr>
                <w:sz w:val="20"/>
                <w:lang w:val="fr-FR"/>
              </w:rPr>
              <w:t>janvier 20</w:t>
            </w:r>
            <w:r w:rsidRPr="00CA79D4">
              <w:rPr>
                <w:sz w:val="20"/>
                <w:lang w:val="fr-FR"/>
              </w:rPr>
              <w:t>11</w:t>
            </w:r>
          </w:p>
        </w:tc>
        <w:tc>
          <w:tcPr>
            <w:tcW w:w="1276"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EE3B3A" w:rsidRPr="00CA79D4" w:rsidRDefault="00EE3B3A" w:rsidP="00446489">
            <w:pPr>
              <w:rPr>
                <w:rFonts w:eastAsiaTheme="minorHAnsi"/>
                <w:sz w:val="20"/>
                <w:lang w:val="fr-FR"/>
              </w:rPr>
            </w:pPr>
            <w:r w:rsidRPr="00CA79D4">
              <w:rPr>
                <w:sz w:val="20"/>
                <w:lang w:val="fr-FR"/>
              </w:rPr>
              <w:t>2*</w:t>
            </w:r>
          </w:p>
          <w:p w:rsidR="00EE3B3A" w:rsidRPr="00CA79D4" w:rsidRDefault="00EE3B3A" w:rsidP="00446489">
            <w:pPr>
              <w:rPr>
                <w:rFonts w:eastAsiaTheme="minorHAnsi"/>
                <w:sz w:val="20"/>
                <w:lang w:val="fr-FR"/>
              </w:rPr>
            </w:pPr>
            <w:r w:rsidRPr="00CA79D4">
              <w:rPr>
                <w:sz w:val="20"/>
                <w:lang w:val="fr-FR"/>
              </w:rPr>
              <w:t>*Nouvelle</w:t>
            </w:r>
            <w:r w:rsidR="004F4720">
              <w:rPr>
                <w:sz w:val="20"/>
                <w:lang w:val="fr-FR"/>
              </w:rPr>
              <w:t>-</w:t>
            </w:r>
            <w:r w:rsidRPr="00CA79D4">
              <w:rPr>
                <w:sz w:val="20"/>
                <w:lang w:val="fr-FR"/>
              </w:rPr>
              <w:t>Zélande (adhésion à l</w:t>
            </w:r>
            <w:r w:rsidR="00446489" w:rsidRPr="00CA79D4">
              <w:rPr>
                <w:sz w:val="20"/>
                <w:lang w:val="fr-FR"/>
              </w:rPr>
              <w:t>’</w:t>
            </w:r>
            <w:r w:rsidRPr="00CA79D4">
              <w:rPr>
                <w:sz w:val="20"/>
                <w:lang w:val="fr-FR"/>
              </w:rPr>
              <w:t>Acte de Paris), Saint</w:t>
            </w:r>
            <w:r w:rsidR="000226F3" w:rsidRPr="00CA79D4">
              <w:rPr>
                <w:sz w:val="20"/>
                <w:lang w:val="fr-FR"/>
              </w:rPr>
              <w:noBreakHyphen/>
            </w:r>
            <w:r w:rsidRPr="00CA79D4">
              <w:rPr>
                <w:sz w:val="20"/>
                <w:lang w:val="fr-FR"/>
              </w:rPr>
              <w:t>Marin</w:t>
            </w:r>
          </w:p>
        </w:tc>
        <w:tc>
          <w:tcPr>
            <w:tcW w:w="1417"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EE3B3A" w:rsidRPr="00CA79D4" w:rsidRDefault="00EE3B3A" w:rsidP="00446489">
            <w:pPr>
              <w:rPr>
                <w:rFonts w:eastAsiaTheme="minorHAnsi"/>
                <w:sz w:val="20"/>
                <w:lang w:val="fr-FR"/>
              </w:rPr>
            </w:pPr>
            <w:r w:rsidRPr="00CA79D4">
              <w:rPr>
                <w:sz w:val="20"/>
                <w:lang w:val="fr-FR"/>
              </w:rPr>
              <w:t>4*</w:t>
            </w:r>
          </w:p>
          <w:p w:rsidR="00EE3B3A" w:rsidRPr="00CA79D4" w:rsidRDefault="00EE3B3A" w:rsidP="00446489">
            <w:pPr>
              <w:rPr>
                <w:rFonts w:eastAsiaTheme="minorHAnsi"/>
                <w:sz w:val="20"/>
                <w:lang w:val="fr-FR"/>
              </w:rPr>
            </w:pPr>
            <w:r w:rsidRPr="00CA79D4">
              <w:rPr>
                <w:i/>
                <w:sz w:val="20"/>
                <w:lang w:val="fr-FR"/>
              </w:rPr>
              <w:t>*Burundi, Mozambique, Sao Tomé</w:t>
            </w:r>
            <w:r w:rsidR="000226F3" w:rsidRPr="00CA79D4">
              <w:rPr>
                <w:i/>
                <w:sz w:val="20"/>
                <w:lang w:val="fr-FR"/>
              </w:rPr>
              <w:noBreakHyphen/>
            </w:r>
            <w:r w:rsidRPr="00CA79D4">
              <w:rPr>
                <w:i/>
                <w:sz w:val="20"/>
                <w:lang w:val="fr-FR"/>
              </w:rPr>
              <w:t>et</w:t>
            </w:r>
            <w:r w:rsidR="004F4720">
              <w:rPr>
                <w:i/>
                <w:sz w:val="20"/>
                <w:lang w:val="fr-FR"/>
              </w:rPr>
              <w:t>-</w:t>
            </w:r>
            <w:r w:rsidRPr="00CA79D4">
              <w:rPr>
                <w:i/>
                <w:sz w:val="20"/>
                <w:lang w:val="fr-FR"/>
              </w:rPr>
              <w:t>Principe,</w:t>
            </w:r>
          </w:p>
          <w:p w:rsidR="00EE3B3A" w:rsidRPr="00CA79D4" w:rsidRDefault="00EE3B3A" w:rsidP="00446489">
            <w:pPr>
              <w:rPr>
                <w:rFonts w:eastAsiaTheme="minorHAnsi"/>
                <w:sz w:val="20"/>
                <w:lang w:val="fr-FR"/>
              </w:rPr>
            </w:pPr>
          </w:p>
          <w:p w:rsidR="00EE3B3A" w:rsidRPr="00CA79D4" w:rsidRDefault="00EE3B3A" w:rsidP="00446489">
            <w:pPr>
              <w:rPr>
                <w:rFonts w:eastAsiaTheme="minorHAnsi"/>
                <w:sz w:val="20"/>
                <w:lang w:val="fr-FR"/>
              </w:rPr>
            </w:pPr>
            <w:r w:rsidRPr="00CA79D4">
              <w:rPr>
                <w:i/>
                <w:sz w:val="20"/>
                <w:lang w:val="fr-FR"/>
              </w:rPr>
              <w:t>Ouganda</w:t>
            </w:r>
          </w:p>
        </w:tc>
        <w:tc>
          <w:tcPr>
            <w:tcW w:w="1843"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EE3B3A" w:rsidRPr="00CA79D4" w:rsidRDefault="00EE3B3A" w:rsidP="00446489">
            <w:pPr>
              <w:rPr>
                <w:rFonts w:eastAsiaTheme="minorHAnsi"/>
                <w:sz w:val="20"/>
                <w:lang w:val="fr-FR"/>
              </w:rPr>
            </w:pPr>
            <w:r w:rsidRPr="00CA79D4">
              <w:rPr>
                <w:sz w:val="20"/>
                <w:lang w:val="fr-FR"/>
              </w:rPr>
              <w:t>1*</w:t>
            </w:r>
          </w:p>
          <w:p w:rsidR="00EE3B3A" w:rsidRPr="00CA79D4" w:rsidRDefault="00EE3B3A" w:rsidP="00446489">
            <w:pPr>
              <w:rPr>
                <w:rFonts w:eastAsiaTheme="minorHAnsi"/>
                <w:sz w:val="20"/>
                <w:lang w:val="fr-FR"/>
              </w:rPr>
            </w:pPr>
            <w:r w:rsidRPr="00CA79D4">
              <w:rPr>
                <w:i/>
                <w:sz w:val="20"/>
                <w:lang w:val="fr-FR"/>
              </w:rPr>
              <w:t>*Turkménistan</w:t>
            </w:r>
          </w:p>
        </w:tc>
        <w:tc>
          <w:tcPr>
            <w:tcW w:w="1630"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EE3B3A" w:rsidRPr="00CA79D4" w:rsidRDefault="00EE3B3A" w:rsidP="00446489">
            <w:pPr>
              <w:rPr>
                <w:rFonts w:eastAsiaTheme="minorHAnsi"/>
                <w:sz w:val="20"/>
                <w:lang w:val="fr-FR"/>
              </w:rPr>
            </w:pPr>
            <w:r w:rsidRPr="00CA79D4">
              <w:rPr>
                <w:sz w:val="20"/>
                <w:lang w:val="fr-FR"/>
              </w:rPr>
              <w:t>0</w:t>
            </w:r>
          </w:p>
        </w:tc>
        <w:tc>
          <w:tcPr>
            <w:tcW w:w="1380"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EE3B3A" w:rsidRPr="00CA79D4" w:rsidRDefault="00EE3B3A" w:rsidP="00446489">
            <w:pPr>
              <w:rPr>
                <w:rFonts w:eastAsiaTheme="minorHAnsi"/>
                <w:sz w:val="20"/>
                <w:lang w:val="fr-FR"/>
              </w:rPr>
            </w:pPr>
            <w:r w:rsidRPr="00CA79D4">
              <w:rPr>
                <w:sz w:val="20"/>
                <w:lang w:val="fr-FR"/>
              </w:rPr>
              <w:t>0</w:t>
            </w:r>
          </w:p>
        </w:tc>
        <w:tc>
          <w:tcPr>
            <w:tcW w:w="1549"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EE3B3A" w:rsidRPr="00CA79D4" w:rsidRDefault="00EE3B3A" w:rsidP="00446489">
            <w:pPr>
              <w:rPr>
                <w:rFonts w:eastAsiaTheme="minorHAnsi"/>
                <w:sz w:val="20"/>
                <w:lang w:val="fr-FR"/>
              </w:rPr>
            </w:pPr>
            <w:r w:rsidRPr="00CA79D4">
              <w:rPr>
                <w:sz w:val="20"/>
                <w:lang w:val="fr-FR"/>
              </w:rPr>
              <w:t>11*</w:t>
            </w:r>
          </w:p>
          <w:p w:rsidR="00EE3B3A" w:rsidRPr="004F4720" w:rsidRDefault="00EE3B3A" w:rsidP="00446489">
            <w:pPr>
              <w:rPr>
                <w:rFonts w:eastAsiaTheme="minorHAnsi"/>
                <w:spacing w:val="-4"/>
                <w:sz w:val="20"/>
                <w:lang w:val="fr-FR"/>
              </w:rPr>
            </w:pPr>
            <w:r w:rsidRPr="004F4720">
              <w:rPr>
                <w:i/>
                <w:spacing w:val="-4"/>
                <w:sz w:val="20"/>
                <w:lang w:val="fr-FR"/>
              </w:rPr>
              <w:t xml:space="preserve">*Afghanistan, Cambodge, Kiribati, Koweït, Nauru, Nioué, Îles Cook, Îles Salomon, République démocratique populaire lao, </w:t>
            </w:r>
            <w:r w:rsidRPr="004F4720">
              <w:rPr>
                <w:i/>
                <w:spacing w:val="-10"/>
                <w:sz w:val="20"/>
                <w:lang w:val="fr-FR"/>
              </w:rPr>
              <w:t>Tuvalu, Vanuatu</w:t>
            </w:r>
          </w:p>
        </w:tc>
        <w:tc>
          <w:tcPr>
            <w:tcW w:w="804"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EE3B3A" w:rsidRPr="00CA79D4" w:rsidRDefault="00EE3B3A" w:rsidP="00446489">
            <w:pPr>
              <w:rPr>
                <w:rFonts w:eastAsiaTheme="minorHAnsi"/>
                <w:sz w:val="20"/>
                <w:lang w:val="fr-FR"/>
              </w:rPr>
            </w:pPr>
            <w:r w:rsidRPr="00CA79D4">
              <w:rPr>
                <w:sz w:val="20"/>
                <w:lang w:val="fr-FR"/>
              </w:rPr>
              <w:t>0</w:t>
            </w:r>
          </w:p>
        </w:tc>
        <w:tc>
          <w:tcPr>
            <w:tcW w:w="722"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EE3B3A" w:rsidRPr="00CA79D4" w:rsidRDefault="00EE3B3A" w:rsidP="00446489">
            <w:pPr>
              <w:rPr>
                <w:rFonts w:eastAsiaTheme="minorHAnsi"/>
                <w:sz w:val="20"/>
                <w:lang w:val="fr-FR"/>
              </w:rPr>
            </w:pPr>
            <w:r w:rsidRPr="00CA79D4">
              <w:rPr>
                <w:sz w:val="20"/>
                <w:lang w:val="fr-FR"/>
              </w:rPr>
              <w:t>18</w:t>
            </w:r>
          </w:p>
        </w:tc>
      </w:tr>
      <w:tr w:rsidR="00554C46" w:rsidRPr="00FA53CB" w:rsidTr="004F4720">
        <w:trPr>
          <w:trHeight w:val="110"/>
        </w:trPr>
        <w:tc>
          <w:tcPr>
            <w:tcW w:w="1015" w:type="dxa"/>
            <w:tcBorders>
              <w:top w:val="nil"/>
              <w:left w:val="single" w:sz="8" w:space="0" w:color="auto"/>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EE3B3A" w:rsidRPr="00CA79D4" w:rsidRDefault="00EE3B3A" w:rsidP="00446489">
            <w:pPr>
              <w:spacing w:line="252" w:lineRule="auto"/>
              <w:ind w:hanging="360"/>
              <w:rPr>
                <w:rFonts w:eastAsiaTheme="minorHAnsi"/>
                <w:sz w:val="20"/>
                <w:lang w:val="fr-FR"/>
              </w:rPr>
            </w:pPr>
            <w:r w:rsidRPr="00CA79D4">
              <w:rPr>
                <w:sz w:val="20"/>
                <w:lang w:val="fr-FR"/>
              </w:rPr>
              <w:t>5.</w:t>
            </w:r>
            <w:r w:rsidR="0020204B" w:rsidRPr="00CA79D4">
              <w:rPr>
                <w:sz w:val="20"/>
                <w:lang w:val="fr-FR"/>
              </w:rPr>
              <w:t xml:space="preserve">  </w:t>
            </w:r>
            <w:r w:rsidRPr="00CA79D4">
              <w:rPr>
                <w:sz w:val="20"/>
                <w:lang w:val="fr-FR"/>
              </w:rPr>
              <w:t>5</w:t>
            </w:r>
          </w:p>
        </w:tc>
        <w:tc>
          <w:tcPr>
            <w:tcW w:w="2519"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EE3B3A" w:rsidRPr="00CA79D4" w:rsidRDefault="00EE3B3A" w:rsidP="00446489">
            <w:pPr>
              <w:jc w:val="center"/>
              <w:rPr>
                <w:rFonts w:eastAsiaTheme="minorHAnsi"/>
                <w:b/>
                <w:bCs/>
                <w:sz w:val="20"/>
                <w:lang w:val="fr-FR"/>
              </w:rPr>
            </w:pPr>
            <w:r w:rsidRPr="00CA79D4">
              <w:rPr>
                <w:b/>
                <w:sz w:val="20"/>
                <w:lang w:val="fr-FR"/>
              </w:rPr>
              <w:t xml:space="preserve">Nombre total de nouvelles adhésions aux unions de Paris et de Berne </w:t>
            </w:r>
            <w:r w:rsidR="00446489" w:rsidRPr="00CA79D4">
              <w:rPr>
                <w:b/>
                <w:sz w:val="20"/>
                <w:lang w:val="fr-FR"/>
              </w:rPr>
              <w:t>depuis 2011</w:t>
            </w:r>
            <w:r w:rsidRPr="00CA79D4">
              <w:rPr>
                <w:b/>
                <w:sz w:val="20"/>
                <w:lang w:val="fr-FR"/>
              </w:rPr>
              <w:t xml:space="preserve"> (ligne 2 + ligne</w:t>
            </w:r>
            <w:r w:rsidR="007B3681" w:rsidRPr="00CA79D4">
              <w:rPr>
                <w:b/>
                <w:sz w:val="20"/>
                <w:lang w:val="fr-FR"/>
              </w:rPr>
              <w:t> </w:t>
            </w:r>
            <w:r w:rsidRPr="00CA79D4">
              <w:rPr>
                <w:b/>
                <w:sz w:val="20"/>
                <w:lang w:val="fr-FR"/>
              </w:rPr>
              <w:t>4)</w:t>
            </w:r>
          </w:p>
        </w:tc>
        <w:tc>
          <w:tcPr>
            <w:tcW w:w="1276"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EE3B3A" w:rsidRPr="00CA79D4" w:rsidRDefault="00EE3B3A" w:rsidP="00446489">
            <w:pPr>
              <w:rPr>
                <w:rFonts w:eastAsiaTheme="minorHAnsi"/>
                <w:b/>
                <w:bCs/>
                <w:sz w:val="20"/>
                <w:lang w:val="fr-FR"/>
              </w:rPr>
            </w:pPr>
            <w:r w:rsidRPr="00CA79D4">
              <w:rPr>
                <w:b/>
                <w:sz w:val="20"/>
                <w:lang w:val="fr-FR"/>
              </w:rPr>
              <w:t>2</w:t>
            </w:r>
          </w:p>
        </w:tc>
        <w:tc>
          <w:tcPr>
            <w:tcW w:w="1417"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EE3B3A" w:rsidRPr="00CA79D4" w:rsidRDefault="00EE3B3A" w:rsidP="00446489">
            <w:pPr>
              <w:rPr>
                <w:rFonts w:eastAsiaTheme="minorHAnsi"/>
                <w:b/>
                <w:bCs/>
                <w:sz w:val="20"/>
                <w:lang w:val="fr-FR"/>
              </w:rPr>
            </w:pPr>
            <w:r w:rsidRPr="00CA79D4">
              <w:rPr>
                <w:b/>
                <w:sz w:val="20"/>
                <w:lang w:val="fr-FR"/>
              </w:rPr>
              <w:t>5</w:t>
            </w:r>
          </w:p>
        </w:tc>
        <w:tc>
          <w:tcPr>
            <w:tcW w:w="1843"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EE3B3A" w:rsidRPr="00CA79D4" w:rsidRDefault="00EE3B3A" w:rsidP="00446489">
            <w:pPr>
              <w:rPr>
                <w:rFonts w:eastAsiaTheme="minorHAnsi"/>
                <w:b/>
                <w:bCs/>
                <w:sz w:val="20"/>
                <w:lang w:val="fr-FR"/>
              </w:rPr>
            </w:pPr>
            <w:r w:rsidRPr="00CA79D4">
              <w:rPr>
                <w:b/>
                <w:sz w:val="20"/>
                <w:lang w:val="fr-FR"/>
              </w:rPr>
              <w:t>1</w:t>
            </w:r>
          </w:p>
        </w:tc>
        <w:tc>
          <w:tcPr>
            <w:tcW w:w="1630"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EE3B3A" w:rsidRPr="00CA79D4" w:rsidRDefault="00EE3B3A" w:rsidP="00446489">
            <w:pPr>
              <w:rPr>
                <w:rFonts w:eastAsiaTheme="minorHAnsi"/>
                <w:b/>
                <w:bCs/>
                <w:sz w:val="20"/>
                <w:lang w:val="fr-FR"/>
              </w:rPr>
            </w:pPr>
            <w:r w:rsidRPr="00CA79D4">
              <w:rPr>
                <w:b/>
                <w:sz w:val="20"/>
                <w:lang w:val="fr-FR"/>
              </w:rPr>
              <w:t>0</w:t>
            </w:r>
          </w:p>
        </w:tc>
        <w:tc>
          <w:tcPr>
            <w:tcW w:w="1380"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EE3B3A" w:rsidRPr="00CA79D4" w:rsidRDefault="00EE3B3A" w:rsidP="00446489">
            <w:pPr>
              <w:rPr>
                <w:rFonts w:eastAsiaTheme="minorHAnsi"/>
                <w:b/>
                <w:bCs/>
                <w:sz w:val="20"/>
                <w:lang w:val="fr-FR"/>
              </w:rPr>
            </w:pPr>
            <w:r w:rsidRPr="00CA79D4">
              <w:rPr>
                <w:b/>
                <w:sz w:val="20"/>
                <w:lang w:val="fr-FR"/>
              </w:rPr>
              <w:t>0</w:t>
            </w:r>
          </w:p>
        </w:tc>
        <w:tc>
          <w:tcPr>
            <w:tcW w:w="1549"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EE3B3A" w:rsidRPr="00CA79D4" w:rsidRDefault="00EE3B3A" w:rsidP="00446489">
            <w:pPr>
              <w:rPr>
                <w:rFonts w:eastAsiaTheme="minorHAnsi"/>
                <w:b/>
                <w:bCs/>
                <w:sz w:val="20"/>
                <w:lang w:val="fr-FR"/>
              </w:rPr>
            </w:pPr>
            <w:r w:rsidRPr="00CA79D4">
              <w:rPr>
                <w:b/>
                <w:sz w:val="20"/>
                <w:lang w:val="fr-FR"/>
              </w:rPr>
              <w:t>16</w:t>
            </w:r>
          </w:p>
        </w:tc>
        <w:tc>
          <w:tcPr>
            <w:tcW w:w="804"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EE3B3A" w:rsidRPr="00CA79D4" w:rsidRDefault="00EE3B3A" w:rsidP="00446489">
            <w:pPr>
              <w:rPr>
                <w:rFonts w:eastAsiaTheme="minorHAnsi"/>
                <w:b/>
                <w:bCs/>
                <w:sz w:val="20"/>
                <w:lang w:val="fr-FR"/>
              </w:rPr>
            </w:pPr>
            <w:r w:rsidRPr="00CA79D4">
              <w:rPr>
                <w:b/>
                <w:sz w:val="20"/>
                <w:lang w:val="fr-FR"/>
              </w:rPr>
              <w:t>0</w:t>
            </w:r>
          </w:p>
        </w:tc>
        <w:tc>
          <w:tcPr>
            <w:tcW w:w="722"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EE3B3A" w:rsidRPr="00CA79D4" w:rsidRDefault="00EE3B3A" w:rsidP="00446489">
            <w:pPr>
              <w:rPr>
                <w:rFonts w:eastAsiaTheme="minorHAnsi"/>
                <w:b/>
                <w:bCs/>
                <w:sz w:val="20"/>
                <w:lang w:val="fr-FR"/>
              </w:rPr>
            </w:pPr>
            <w:r w:rsidRPr="00CA79D4">
              <w:rPr>
                <w:b/>
                <w:sz w:val="20"/>
                <w:lang w:val="fr-FR"/>
              </w:rPr>
              <w:t>24</w:t>
            </w:r>
          </w:p>
        </w:tc>
      </w:tr>
    </w:tbl>
    <w:p w:rsidR="000F5E56" w:rsidRPr="00FA53CB" w:rsidRDefault="00EE3B3A" w:rsidP="004F4720">
      <w:pPr>
        <w:pStyle w:val="Endofdocument-Annex"/>
        <w:spacing w:before="600"/>
        <w:ind w:left="10069"/>
      </w:pPr>
      <w:r w:rsidRPr="00FA53CB">
        <w:t>[Fin de l</w:t>
      </w:r>
      <w:r w:rsidR="00446489" w:rsidRPr="00FA53CB">
        <w:t>’</w:t>
      </w:r>
      <w:r w:rsidRPr="00FA53CB">
        <w:t>annexe et du document]</w:t>
      </w:r>
    </w:p>
    <w:sectPr w:rsidR="000F5E56" w:rsidRPr="00FA53CB" w:rsidSect="00554C46">
      <w:headerReference w:type="default" r:id="rId16"/>
      <w:headerReference w:type="first" r:id="rId17"/>
      <w:endnotePr>
        <w:numFmt w:val="decimal"/>
      </w:endnotePr>
      <w:pgSz w:w="16840" w:h="11907" w:orient="landscape" w:code="9"/>
      <w:pgMar w:top="1418" w:right="1247"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B3A" w:rsidRDefault="00EE3B3A">
      <w:r>
        <w:separator/>
      </w:r>
    </w:p>
  </w:endnote>
  <w:endnote w:type="continuationSeparator" w:id="0">
    <w:p w:rsidR="00EE3B3A" w:rsidRPr="009D30E6" w:rsidRDefault="00EE3B3A" w:rsidP="00D45252">
      <w:pPr>
        <w:rPr>
          <w:sz w:val="17"/>
          <w:szCs w:val="17"/>
        </w:rPr>
      </w:pPr>
      <w:r w:rsidRPr="009D30E6">
        <w:rPr>
          <w:sz w:val="17"/>
          <w:szCs w:val="17"/>
        </w:rPr>
        <w:separator/>
      </w:r>
    </w:p>
    <w:p w:rsidR="00EE3B3A" w:rsidRPr="009D30E6" w:rsidRDefault="00EE3B3A" w:rsidP="00D45252">
      <w:pPr>
        <w:spacing w:after="60"/>
        <w:rPr>
          <w:sz w:val="17"/>
          <w:szCs w:val="17"/>
        </w:rPr>
      </w:pPr>
      <w:r w:rsidRPr="009D30E6">
        <w:rPr>
          <w:sz w:val="17"/>
          <w:szCs w:val="17"/>
        </w:rPr>
        <w:t>[Suite de la note de la page précédente]</w:t>
      </w:r>
    </w:p>
  </w:endnote>
  <w:endnote w:type="continuationNotice" w:id="1">
    <w:p w:rsidR="00EE3B3A" w:rsidRPr="009D30E6" w:rsidRDefault="00EE3B3A"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681" w:rsidRDefault="007B3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3CB" w:rsidRDefault="00FA5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681" w:rsidRDefault="007B3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B3A" w:rsidRDefault="00EE3B3A">
      <w:r>
        <w:separator/>
      </w:r>
    </w:p>
  </w:footnote>
  <w:footnote w:type="continuationSeparator" w:id="0">
    <w:p w:rsidR="00EE3B3A" w:rsidRDefault="00EE3B3A" w:rsidP="007461F1">
      <w:r>
        <w:separator/>
      </w:r>
    </w:p>
    <w:p w:rsidR="00EE3B3A" w:rsidRPr="009D30E6" w:rsidRDefault="00EE3B3A" w:rsidP="007461F1">
      <w:pPr>
        <w:spacing w:after="60"/>
        <w:rPr>
          <w:sz w:val="17"/>
          <w:szCs w:val="17"/>
        </w:rPr>
      </w:pPr>
      <w:r w:rsidRPr="009D30E6">
        <w:rPr>
          <w:sz w:val="17"/>
          <w:szCs w:val="17"/>
        </w:rPr>
        <w:t>[Suite de la note de la page précédente]</w:t>
      </w:r>
    </w:p>
  </w:footnote>
  <w:footnote w:type="continuationNotice" w:id="1">
    <w:p w:rsidR="00EE3B3A" w:rsidRPr="009D30E6" w:rsidRDefault="00EE3B3A" w:rsidP="007461F1">
      <w:pPr>
        <w:spacing w:before="60"/>
        <w:jc w:val="right"/>
        <w:rPr>
          <w:sz w:val="17"/>
          <w:szCs w:val="17"/>
        </w:rPr>
      </w:pPr>
      <w:r w:rsidRPr="009D30E6">
        <w:rPr>
          <w:sz w:val="17"/>
          <w:szCs w:val="17"/>
        </w:rPr>
        <w:t>[Suite de la note page suivante]</w:t>
      </w:r>
    </w:p>
  </w:footnote>
  <w:footnote w:id="2">
    <w:p w:rsidR="00EE3B3A" w:rsidRPr="00554C46" w:rsidRDefault="00EE3B3A" w:rsidP="00554C46">
      <w:pPr>
        <w:pStyle w:val="FootnoteText"/>
        <w:tabs>
          <w:tab w:val="left" w:pos="567"/>
        </w:tabs>
        <w:jc w:val="both"/>
        <w:rPr>
          <w:szCs w:val="18"/>
        </w:rPr>
      </w:pPr>
      <w:r w:rsidRPr="00554C46">
        <w:rPr>
          <w:szCs w:val="18"/>
          <w:vertAlign w:val="superscript"/>
        </w:rPr>
        <w:footnoteRef/>
      </w:r>
      <w:r w:rsidRPr="00554C46">
        <w:rPr>
          <w:szCs w:val="18"/>
          <w:vertAlign w:val="superscript"/>
        </w:rPr>
        <w:t xml:space="preserve"> </w:t>
      </w:r>
      <w:r w:rsidR="00554C46">
        <w:rPr>
          <w:szCs w:val="18"/>
        </w:rPr>
        <w:tab/>
      </w:r>
      <w:r w:rsidRPr="00554C46">
        <w:rPr>
          <w:szCs w:val="18"/>
        </w:rPr>
        <w:t>La présente annexe se fonde sur le tableau contenu dans le document A/59/12 daté du 2</w:t>
      </w:r>
      <w:r w:rsidR="00932171" w:rsidRPr="00554C46">
        <w:rPr>
          <w:szCs w:val="18"/>
        </w:rPr>
        <w:t>4 septembre 20</w:t>
      </w:r>
      <w:r w:rsidRPr="00554C46">
        <w:rPr>
          <w:szCs w:val="18"/>
        </w:rPr>
        <w:t>19, le document WO/GA/51/17 daté du 2</w:t>
      </w:r>
      <w:r w:rsidR="00932171" w:rsidRPr="00554C46">
        <w:rPr>
          <w:szCs w:val="18"/>
        </w:rPr>
        <w:t>4 septembre 20</w:t>
      </w:r>
      <w:r w:rsidRPr="00554C46">
        <w:rPr>
          <w:szCs w:val="18"/>
        </w:rPr>
        <w:t>19 et le document A/62/13 daté du 1</w:t>
      </w:r>
      <w:r w:rsidR="00932171" w:rsidRPr="00554C46">
        <w:rPr>
          <w:szCs w:val="18"/>
        </w:rPr>
        <w:t>7 décembre 20</w:t>
      </w:r>
      <w:r w:rsidRPr="00554C46">
        <w:rPr>
          <w:szCs w:val="18"/>
        </w:rPr>
        <w:t>21</w:t>
      </w:r>
      <w:r w:rsidR="0020204B" w:rsidRPr="00554C46">
        <w:rPr>
          <w:szCs w:val="18"/>
        </w:rPr>
        <w:t xml:space="preserve">. </w:t>
      </w:r>
      <w:r w:rsidRPr="00554C46">
        <w:rPr>
          <w:szCs w:val="18"/>
        </w:rPr>
        <w:t xml:space="preserve"> Elle a été actualisée de manière à tenir compte de l</w:t>
      </w:r>
      <w:r w:rsidR="00932171" w:rsidRPr="00554C46">
        <w:rPr>
          <w:szCs w:val="18"/>
        </w:rPr>
        <w:t>’</w:t>
      </w:r>
      <w:r w:rsidRPr="00554C46">
        <w:rPr>
          <w:szCs w:val="18"/>
        </w:rPr>
        <w:t>adhésion de Nauru (membre du groupe des pays d</w:t>
      </w:r>
      <w:r w:rsidR="00932171" w:rsidRPr="00554C46">
        <w:rPr>
          <w:szCs w:val="18"/>
        </w:rPr>
        <w:t>’</w:t>
      </w:r>
      <w:r w:rsidRPr="00554C46">
        <w:rPr>
          <w:szCs w:val="18"/>
        </w:rPr>
        <w:t>Asie et du Pacifique) à l</w:t>
      </w:r>
      <w:r w:rsidR="00932171" w:rsidRPr="00554C46">
        <w:rPr>
          <w:szCs w:val="18"/>
        </w:rPr>
        <w:t>’</w:t>
      </w:r>
      <w:r w:rsidRPr="00554C46">
        <w:rPr>
          <w:szCs w:val="18"/>
        </w:rPr>
        <w:t xml:space="preserve">OMPI depuis la session </w:t>
      </w:r>
      <w:r w:rsidR="00932171" w:rsidRPr="00554C46">
        <w:rPr>
          <w:szCs w:val="18"/>
        </w:rPr>
        <w:t>de 2019</w:t>
      </w:r>
      <w:r w:rsidRPr="00554C46">
        <w:rPr>
          <w:szCs w:val="18"/>
        </w:rPr>
        <w:t xml:space="preserve"> des assemblées des États membres de l</w:t>
      </w:r>
      <w:r w:rsidR="00932171" w:rsidRPr="00554C46">
        <w:rPr>
          <w:szCs w:val="18"/>
        </w:rPr>
        <w:t>’</w:t>
      </w:r>
      <w:r w:rsidRPr="00554C46">
        <w:rPr>
          <w:szCs w:val="18"/>
        </w:rPr>
        <w:t>OMPI.</w:t>
      </w:r>
    </w:p>
  </w:footnote>
  <w:footnote w:id="3">
    <w:p w:rsidR="00EE3B3A" w:rsidRPr="00554C46" w:rsidRDefault="00EE3B3A" w:rsidP="00554C46">
      <w:pPr>
        <w:pStyle w:val="FootnoteText"/>
        <w:tabs>
          <w:tab w:val="left" w:pos="567"/>
        </w:tabs>
        <w:rPr>
          <w:szCs w:val="18"/>
        </w:rPr>
      </w:pPr>
      <w:r w:rsidRPr="00554C46">
        <w:rPr>
          <w:szCs w:val="18"/>
          <w:vertAlign w:val="superscript"/>
        </w:rPr>
        <w:footnoteRef/>
      </w:r>
      <w:r w:rsidRPr="00554C46">
        <w:rPr>
          <w:szCs w:val="18"/>
          <w:vertAlign w:val="superscript"/>
        </w:rPr>
        <w:t xml:space="preserve"> </w:t>
      </w:r>
      <w:r w:rsidR="00554C46">
        <w:rPr>
          <w:szCs w:val="18"/>
        </w:rPr>
        <w:tab/>
      </w:r>
      <w:r w:rsidRPr="00554C46">
        <w:rPr>
          <w:szCs w:val="18"/>
        </w:rPr>
        <w:t>Fondé sur</w:t>
      </w:r>
      <w:r w:rsidR="00932171" w:rsidRPr="00554C46">
        <w:rPr>
          <w:szCs w:val="18"/>
        </w:rPr>
        <w:t> :</w:t>
      </w:r>
      <w:r w:rsidRPr="00554C46">
        <w:rPr>
          <w:szCs w:val="18"/>
        </w:rPr>
        <w:t xml:space="preserve"> (nombre de sièges au Comité de coordination actuellement attribués au groupe régional)/(nombre total de membres au sein du groupe régional) x 100%.</w:t>
      </w:r>
    </w:p>
  </w:footnote>
  <w:footnote w:id="4">
    <w:p w:rsidR="00EE3B3A" w:rsidRPr="00554C46" w:rsidRDefault="00EE3B3A" w:rsidP="00554C46">
      <w:pPr>
        <w:pStyle w:val="FootnoteText"/>
        <w:tabs>
          <w:tab w:val="left" w:pos="567"/>
          <w:tab w:val="left" w:pos="8198"/>
        </w:tabs>
        <w:rPr>
          <w:szCs w:val="18"/>
        </w:rPr>
      </w:pPr>
      <w:r w:rsidRPr="00554C46">
        <w:rPr>
          <w:szCs w:val="18"/>
          <w:vertAlign w:val="superscript"/>
        </w:rPr>
        <w:footnoteRef/>
      </w:r>
      <w:r w:rsidRPr="00554C46">
        <w:rPr>
          <w:szCs w:val="18"/>
          <w:vertAlign w:val="superscript"/>
        </w:rPr>
        <w:t xml:space="preserve"> </w:t>
      </w:r>
      <w:r w:rsidR="00554C46">
        <w:rPr>
          <w:szCs w:val="18"/>
        </w:rPr>
        <w:tab/>
      </w:r>
      <w:r w:rsidRPr="00554C46">
        <w:rPr>
          <w:szCs w:val="18"/>
        </w:rPr>
        <w:t>Fondé sur</w:t>
      </w:r>
      <w:r w:rsidR="00932171" w:rsidRPr="00554C46">
        <w:rPr>
          <w:szCs w:val="18"/>
        </w:rPr>
        <w:t> :</w:t>
      </w:r>
      <w:r w:rsidRPr="00554C46">
        <w:rPr>
          <w:szCs w:val="18"/>
        </w:rPr>
        <w:t xml:space="preserve"> (nombre de membres au sein du groupe régional)/(nombre total de membres de l</w:t>
      </w:r>
      <w:r w:rsidR="00932171" w:rsidRPr="00554C46">
        <w:rPr>
          <w:szCs w:val="18"/>
        </w:rPr>
        <w:t>’</w:t>
      </w:r>
      <w:r w:rsidR="00B6770F">
        <w:rPr>
          <w:szCs w:val="18"/>
        </w:rPr>
        <w:t>OMPI) x 100%.</w:t>
      </w:r>
    </w:p>
  </w:footnote>
  <w:footnote w:id="5">
    <w:p w:rsidR="00EE3B3A" w:rsidRPr="00554C46" w:rsidRDefault="00EE3B3A" w:rsidP="00554C46">
      <w:pPr>
        <w:pStyle w:val="FootnoteText"/>
        <w:tabs>
          <w:tab w:val="left" w:pos="567"/>
        </w:tabs>
        <w:rPr>
          <w:szCs w:val="18"/>
        </w:rPr>
      </w:pPr>
      <w:r w:rsidRPr="00554C46">
        <w:rPr>
          <w:szCs w:val="18"/>
          <w:vertAlign w:val="superscript"/>
        </w:rPr>
        <w:footnoteRef/>
      </w:r>
      <w:r w:rsidRPr="00554C46">
        <w:rPr>
          <w:szCs w:val="18"/>
          <w:vertAlign w:val="superscript"/>
        </w:rPr>
        <w:t xml:space="preserve"> </w:t>
      </w:r>
      <w:r w:rsidR="00554C46">
        <w:rPr>
          <w:szCs w:val="18"/>
        </w:rPr>
        <w:tab/>
      </w:r>
      <w:r w:rsidRPr="00554C46">
        <w:rPr>
          <w:szCs w:val="18"/>
        </w:rPr>
        <w:t>Fondé sur</w:t>
      </w:r>
      <w:r w:rsidR="00932171" w:rsidRPr="00554C46">
        <w:rPr>
          <w:szCs w:val="18"/>
        </w:rPr>
        <w:t> :</w:t>
      </w:r>
      <w:r w:rsidRPr="00554C46">
        <w:rPr>
          <w:szCs w:val="18"/>
        </w:rPr>
        <w:t xml:space="preserve"> (nombre de sièges au Comité de coordination actuellement attribués au groupe régional)/(nombre total de sièges au Comité de coordination) x 100%.</w:t>
      </w:r>
    </w:p>
  </w:footnote>
  <w:footnote w:id="6">
    <w:p w:rsidR="00EE3B3A" w:rsidRPr="00554C46" w:rsidRDefault="00EE3B3A" w:rsidP="00554C46">
      <w:pPr>
        <w:pStyle w:val="FootnoteText"/>
        <w:tabs>
          <w:tab w:val="left" w:pos="567"/>
        </w:tabs>
        <w:rPr>
          <w:szCs w:val="18"/>
        </w:rPr>
      </w:pPr>
      <w:r w:rsidRPr="00554C46">
        <w:rPr>
          <w:rStyle w:val="FootnoteReference"/>
          <w:szCs w:val="18"/>
        </w:rPr>
        <w:footnoteRef/>
      </w:r>
      <w:r w:rsidRPr="00554C46">
        <w:rPr>
          <w:szCs w:val="18"/>
        </w:rPr>
        <w:t xml:space="preserve"> </w:t>
      </w:r>
      <w:r w:rsidR="00554C46">
        <w:rPr>
          <w:szCs w:val="18"/>
        </w:rPr>
        <w:tab/>
      </w:r>
      <w:r w:rsidRPr="00554C46">
        <w:rPr>
          <w:szCs w:val="18"/>
        </w:rPr>
        <w:t>Fondé sur</w:t>
      </w:r>
      <w:r w:rsidR="00932171" w:rsidRPr="00554C46">
        <w:rPr>
          <w:szCs w:val="18"/>
        </w:rPr>
        <w:t> :</w:t>
      </w:r>
      <w:r w:rsidRPr="00554C46">
        <w:rPr>
          <w:szCs w:val="18"/>
        </w:rPr>
        <w:t xml:space="preserve"> (pourcentage du groupe dans la composition de l</w:t>
      </w:r>
      <w:r w:rsidR="00932171" w:rsidRPr="00554C46">
        <w:rPr>
          <w:szCs w:val="18"/>
        </w:rPr>
        <w:t>’</w:t>
      </w:r>
      <w:r w:rsidRPr="00554C46">
        <w:rPr>
          <w:szCs w:val="18"/>
        </w:rPr>
        <w:t>OMPI) x (nombre total de sièges au Comité de coordination).</w:t>
      </w:r>
    </w:p>
  </w:footnote>
  <w:footnote w:id="7">
    <w:p w:rsidR="00EE3B3A" w:rsidRPr="00554C46" w:rsidRDefault="00EE3B3A" w:rsidP="00554C46">
      <w:pPr>
        <w:pStyle w:val="FootnoteText"/>
        <w:tabs>
          <w:tab w:val="left" w:pos="567"/>
        </w:tabs>
        <w:jc w:val="both"/>
        <w:rPr>
          <w:szCs w:val="18"/>
        </w:rPr>
      </w:pPr>
      <w:r w:rsidRPr="00554C46">
        <w:rPr>
          <w:rStyle w:val="FootnoteReference"/>
          <w:szCs w:val="18"/>
        </w:rPr>
        <w:footnoteRef/>
      </w:r>
      <w:r w:rsidRPr="00554C46">
        <w:rPr>
          <w:szCs w:val="18"/>
        </w:rPr>
        <w:t xml:space="preserve"> </w:t>
      </w:r>
      <w:r w:rsidR="00554C46">
        <w:rPr>
          <w:szCs w:val="18"/>
        </w:rPr>
        <w:tab/>
      </w:r>
      <w:r w:rsidRPr="00554C46">
        <w:rPr>
          <w:szCs w:val="18"/>
        </w:rPr>
        <w:t>Fondé sur</w:t>
      </w:r>
      <w:r w:rsidR="00932171" w:rsidRPr="00554C46">
        <w:rPr>
          <w:szCs w:val="18"/>
        </w:rPr>
        <w:t> :</w:t>
      </w:r>
      <w:r w:rsidRPr="00554C46">
        <w:rPr>
          <w:szCs w:val="18"/>
        </w:rPr>
        <w:t xml:space="preserve"> (nombre de sièges au Comité de coordination selon la part du groupe dans la composition de l</w:t>
      </w:r>
      <w:r w:rsidR="00932171" w:rsidRPr="00554C46">
        <w:rPr>
          <w:szCs w:val="18"/>
        </w:rPr>
        <w:t>’</w:t>
      </w:r>
      <w:r w:rsidRPr="00554C46">
        <w:rPr>
          <w:szCs w:val="18"/>
        </w:rPr>
        <w:t>OMPI, sur la base de 83</w:t>
      </w:r>
      <w:r w:rsidR="007B3681" w:rsidRPr="00554C46">
        <w:rPr>
          <w:szCs w:val="18"/>
        </w:rPr>
        <w:t> </w:t>
      </w:r>
      <w:r w:rsidRPr="00554C46">
        <w:rPr>
          <w:szCs w:val="18"/>
        </w:rPr>
        <w:t xml:space="preserve">sièges) – (répartition actuelle des sièges au sein du Comité de coordination). </w:t>
      </w:r>
      <w:r w:rsidR="0020204B" w:rsidRPr="00554C46">
        <w:rPr>
          <w:szCs w:val="18"/>
        </w:rPr>
        <w:t xml:space="preserve"> </w:t>
      </w:r>
      <w:r w:rsidRPr="00554C46">
        <w:rPr>
          <w:szCs w:val="18"/>
        </w:rPr>
        <w:t>Un nombre négatif signifie qu</w:t>
      </w:r>
      <w:r w:rsidR="00932171" w:rsidRPr="00554C46">
        <w:rPr>
          <w:szCs w:val="18"/>
        </w:rPr>
        <w:t>’</w:t>
      </w:r>
      <w:r w:rsidRPr="00554C46">
        <w:rPr>
          <w:szCs w:val="18"/>
        </w:rPr>
        <w:t>un groupe régional est surreprésenté à hauteur de ce nombre de sièges au sein du Comité de coordination.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681" w:rsidRDefault="007B3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B3A" w:rsidRDefault="00EE3B3A" w:rsidP="00477D6B">
    <w:pPr>
      <w:jc w:val="right"/>
    </w:pPr>
    <w:r>
      <w:t>A/64/10</w:t>
    </w:r>
  </w:p>
  <w:p w:rsidR="00EE3B3A" w:rsidRDefault="00EE3B3A" w:rsidP="00477D6B">
    <w:pPr>
      <w:jc w:val="right"/>
    </w:pPr>
    <w:r>
      <w:t>Annexe, page</w:t>
    </w:r>
    <w:r w:rsidR="007B3681">
      <w:t> </w:t>
    </w:r>
    <w:r>
      <w:fldChar w:fldCharType="begin"/>
    </w:r>
    <w:r>
      <w:instrText xml:space="preserve"> PAGE  \* MERGEFORMAT </w:instrText>
    </w:r>
    <w:r>
      <w:fldChar w:fldCharType="separate"/>
    </w:r>
    <w:r w:rsidR="000226F3">
      <w:rPr>
        <w:noProof/>
      </w:rPr>
      <w:t>5</w:t>
    </w:r>
    <w:r>
      <w:fldChar w:fldCharType="end"/>
    </w:r>
  </w:p>
  <w:p w:rsidR="00EE3B3A" w:rsidRDefault="00EE3B3A" w:rsidP="00477D6B">
    <w:pPr>
      <w:jc w:val="right"/>
    </w:pPr>
  </w:p>
  <w:p w:rsidR="00EE3B3A" w:rsidRDefault="00EE3B3A"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681" w:rsidRDefault="007B36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6F3" w:rsidRDefault="000226F3" w:rsidP="00477D6B">
    <w:pPr>
      <w:jc w:val="right"/>
    </w:pPr>
    <w:r>
      <w:t>A/64/10</w:t>
    </w:r>
  </w:p>
  <w:p w:rsidR="000226F3" w:rsidRDefault="000226F3" w:rsidP="000226F3">
    <w:pPr>
      <w:spacing w:after="480"/>
      <w:jc w:val="right"/>
    </w:pPr>
    <w:r>
      <w:t>Annexe, page </w:t>
    </w:r>
    <w:r>
      <w:fldChar w:fldCharType="begin"/>
    </w:r>
    <w:r>
      <w:instrText xml:space="preserve"> PAGE  \* MERGEFORMAT </w:instrText>
    </w:r>
    <w:r>
      <w:fldChar w:fldCharType="separate"/>
    </w:r>
    <w:r w:rsidR="00A005BA">
      <w:rPr>
        <w:noProof/>
      </w:rPr>
      <w:t>4</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B3A" w:rsidRDefault="00EE3B3A" w:rsidP="00727EF6">
    <w:pPr>
      <w:pStyle w:val="Header"/>
      <w:jc w:val="right"/>
    </w:pPr>
    <w:r>
      <w:t>A/64/10</w:t>
    </w:r>
  </w:p>
  <w:p w:rsidR="00EE3B3A" w:rsidRDefault="000226F3" w:rsidP="000226F3">
    <w:pPr>
      <w:pStyle w:val="Header"/>
      <w:spacing w:after="480"/>
      <w:jc w:val="right"/>
    </w:pPr>
    <w:r>
      <w:t>ANNEXE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6F3" w:rsidRDefault="000226F3" w:rsidP="000226F3">
    <w:pPr>
      <w:jc w:val="right"/>
    </w:pPr>
    <w:r>
      <w:t>A/64/10</w:t>
    </w:r>
  </w:p>
  <w:p w:rsidR="000226F3" w:rsidRDefault="000226F3" w:rsidP="000226F3">
    <w:pPr>
      <w:spacing w:after="480"/>
      <w:jc w:val="right"/>
    </w:pPr>
    <w:r>
      <w:t>Annexe, page </w:t>
    </w:r>
    <w:r>
      <w:fldChar w:fldCharType="begin"/>
    </w:r>
    <w:r>
      <w:instrText xml:space="preserve"> PAGE  \* MERGEFORMAT </w:instrText>
    </w:r>
    <w:r>
      <w:fldChar w:fldCharType="separate"/>
    </w:r>
    <w:r w:rsidR="00A005BA">
      <w:rPr>
        <w:noProof/>
      </w:rPr>
      <w:t>6</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6F3" w:rsidRDefault="000226F3" w:rsidP="000226F3">
    <w:pPr>
      <w:jc w:val="right"/>
    </w:pPr>
    <w:r>
      <w:t>A/64/10</w:t>
    </w:r>
  </w:p>
  <w:p w:rsidR="000226F3" w:rsidRDefault="000226F3" w:rsidP="000226F3">
    <w:pPr>
      <w:spacing w:after="480"/>
      <w:jc w:val="right"/>
    </w:pPr>
    <w:r>
      <w:t>Annexe, page </w:t>
    </w:r>
    <w:r>
      <w:fldChar w:fldCharType="begin"/>
    </w:r>
    <w:r>
      <w:instrText xml:space="preserve"> PAGE  \* MERGEFORMAT </w:instrText>
    </w:r>
    <w:r>
      <w:fldChar w:fldCharType="separate"/>
    </w:r>
    <w:r w:rsidR="00A005BA">
      <w:rPr>
        <w:noProof/>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E0096E"/>
    <w:multiLevelType w:val="multilevel"/>
    <w:tmpl w:val="FF46CA74"/>
    <w:lvl w:ilvl="0">
      <w:start w:val="1"/>
      <w:numFmt w:val="bullet"/>
      <w:lvlText w:val=""/>
      <w:lvlJc w:val="left"/>
      <w:pPr>
        <w:tabs>
          <w:tab w:val="num" w:pos="567"/>
        </w:tabs>
        <w:ind w:left="0" w:firstLine="0"/>
      </w:pPr>
      <w:rPr>
        <w:rFonts w:ascii="Wingdings" w:hAnsi="Wingding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091481A"/>
    <w:multiLevelType w:val="hybridMultilevel"/>
    <w:tmpl w:val="88DA772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7EA0921"/>
    <w:multiLevelType w:val="hybridMultilevel"/>
    <w:tmpl w:val="D3C027C2"/>
    <w:lvl w:ilvl="0" w:tplc="4809000F">
      <w:start w:val="1"/>
      <w:numFmt w:val="decimal"/>
      <w:lvlText w:val="%1."/>
      <w:lvlJc w:val="left"/>
      <w:pPr>
        <w:ind w:left="502" w:hanging="360"/>
      </w:pPr>
    </w:lvl>
    <w:lvl w:ilvl="1" w:tplc="48090019" w:tentative="1">
      <w:start w:val="1"/>
      <w:numFmt w:val="lowerLetter"/>
      <w:lvlText w:val="%2."/>
      <w:lvlJc w:val="left"/>
      <w:pPr>
        <w:ind w:left="1222" w:hanging="360"/>
      </w:pPr>
    </w:lvl>
    <w:lvl w:ilvl="2" w:tplc="4809001B" w:tentative="1">
      <w:start w:val="1"/>
      <w:numFmt w:val="lowerRoman"/>
      <w:lvlText w:val="%3."/>
      <w:lvlJc w:val="right"/>
      <w:pPr>
        <w:ind w:left="1942" w:hanging="180"/>
      </w:pPr>
    </w:lvl>
    <w:lvl w:ilvl="3" w:tplc="4809000F" w:tentative="1">
      <w:start w:val="1"/>
      <w:numFmt w:val="decimal"/>
      <w:lvlText w:val="%4."/>
      <w:lvlJc w:val="left"/>
      <w:pPr>
        <w:ind w:left="2662" w:hanging="360"/>
      </w:pPr>
    </w:lvl>
    <w:lvl w:ilvl="4" w:tplc="48090019" w:tentative="1">
      <w:start w:val="1"/>
      <w:numFmt w:val="lowerLetter"/>
      <w:lvlText w:val="%5."/>
      <w:lvlJc w:val="left"/>
      <w:pPr>
        <w:ind w:left="3382" w:hanging="360"/>
      </w:pPr>
    </w:lvl>
    <w:lvl w:ilvl="5" w:tplc="4809001B" w:tentative="1">
      <w:start w:val="1"/>
      <w:numFmt w:val="lowerRoman"/>
      <w:lvlText w:val="%6."/>
      <w:lvlJc w:val="right"/>
      <w:pPr>
        <w:ind w:left="4102" w:hanging="180"/>
      </w:pPr>
    </w:lvl>
    <w:lvl w:ilvl="6" w:tplc="4809000F" w:tentative="1">
      <w:start w:val="1"/>
      <w:numFmt w:val="decimal"/>
      <w:lvlText w:val="%7."/>
      <w:lvlJc w:val="left"/>
      <w:pPr>
        <w:ind w:left="4822" w:hanging="360"/>
      </w:pPr>
    </w:lvl>
    <w:lvl w:ilvl="7" w:tplc="48090019" w:tentative="1">
      <w:start w:val="1"/>
      <w:numFmt w:val="lowerLetter"/>
      <w:lvlText w:val="%8."/>
      <w:lvlJc w:val="left"/>
      <w:pPr>
        <w:ind w:left="5542" w:hanging="360"/>
      </w:pPr>
    </w:lvl>
    <w:lvl w:ilvl="8" w:tplc="4809001B" w:tentative="1">
      <w:start w:val="1"/>
      <w:numFmt w:val="lowerRoman"/>
      <w:lvlText w:val="%9."/>
      <w:lvlJc w:val="right"/>
      <w:pPr>
        <w:ind w:left="6262"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4253E4"/>
    <w:multiLevelType w:val="multilevel"/>
    <w:tmpl w:val="9C4CB296"/>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792723F5"/>
    <w:multiLevelType w:val="hybridMultilevel"/>
    <w:tmpl w:val="70B440F2"/>
    <w:lvl w:ilvl="0" w:tplc="37786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8"/>
  </w:num>
  <w:num w:numId="5">
    <w:abstractNumId w:val="1"/>
  </w:num>
  <w:num w:numId="6">
    <w:abstractNumId w:val="5"/>
  </w:num>
  <w:num w:numId="7">
    <w:abstractNumId w:val="9"/>
  </w:num>
  <w:num w:numId="8">
    <w:abstractNumId w:val="6"/>
  </w:num>
  <w:num w:numId="9">
    <w:abstractNumId w:val="1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B3A"/>
    <w:rsid w:val="00011B7D"/>
    <w:rsid w:val="000226F3"/>
    <w:rsid w:val="00075432"/>
    <w:rsid w:val="000F5E56"/>
    <w:rsid w:val="001362EE"/>
    <w:rsid w:val="001832A6"/>
    <w:rsid w:val="00195C6E"/>
    <w:rsid w:val="001B266A"/>
    <w:rsid w:val="001D3D56"/>
    <w:rsid w:val="0020204B"/>
    <w:rsid w:val="00240654"/>
    <w:rsid w:val="002634C4"/>
    <w:rsid w:val="002D4918"/>
    <w:rsid w:val="002E4D1A"/>
    <w:rsid w:val="002F16BC"/>
    <w:rsid w:val="002F4E68"/>
    <w:rsid w:val="00307530"/>
    <w:rsid w:val="00315FCA"/>
    <w:rsid w:val="003845C1"/>
    <w:rsid w:val="003A1BCD"/>
    <w:rsid w:val="004008A2"/>
    <w:rsid w:val="004025DF"/>
    <w:rsid w:val="00423E3E"/>
    <w:rsid w:val="00427AF4"/>
    <w:rsid w:val="00446489"/>
    <w:rsid w:val="004647DA"/>
    <w:rsid w:val="00477D6B"/>
    <w:rsid w:val="004D6471"/>
    <w:rsid w:val="004F4720"/>
    <w:rsid w:val="004F4E31"/>
    <w:rsid w:val="00525B63"/>
    <w:rsid w:val="00547476"/>
    <w:rsid w:val="00554C46"/>
    <w:rsid w:val="00561DB8"/>
    <w:rsid w:val="00567A4C"/>
    <w:rsid w:val="005E6516"/>
    <w:rsid w:val="00605827"/>
    <w:rsid w:val="00676936"/>
    <w:rsid w:val="006B0DB5"/>
    <w:rsid w:val="006E4243"/>
    <w:rsid w:val="007461F1"/>
    <w:rsid w:val="007B3681"/>
    <w:rsid w:val="007D6961"/>
    <w:rsid w:val="007F07CB"/>
    <w:rsid w:val="00810CEF"/>
    <w:rsid w:val="0081208D"/>
    <w:rsid w:val="00842A13"/>
    <w:rsid w:val="008B2CC1"/>
    <w:rsid w:val="008E7930"/>
    <w:rsid w:val="0090731E"/>
    <w:rsid w:val="00932171"/>
    <w:rsid w:val="00966A22"/>
    <w:rsid w:val="00974CD6"/>
    <w:rsid w:val="009D0491"/>
    <w:rsid w:val="009D30E6"/>
    <w:rsid w:val="009E3F6F"/>
    <w:rsid w:val="009F499F"/>
    <w:rsid w:val="00A005BA"/>
    <w:rsid w:val="00A02BD3"/>
    <w:rsid w:val="00AA1F20"/>
    <w:rsid w:val="00AC0AE4"/>
    <w:rsid w:val="00AD61DB"/>
    <w:rsid w:val="00B6770F"/>
    <w:rsid w:val="00B87BCF"/>
    <w:rsid w:val="00BA62D4"/>
    <w:rsid w:val="00C40E15"/>
    <w:rsid w:val="00C664C8"/>
    <w:rsid w:val="00C76A79"/>
    <w:rsid w:val="00CA15F5"/>
    <w:rsid w:val="00CA79D4"/>
    <w:rsid w:val="00CF0460"/>
    <w:rsid w:val="00D45252"/>
    <w:rsid w:val="00D71B4D"/>
    <w:rsid w:val="00D75C1E"/>
    <w:rsid w:val="00D93D55"/>
    <w:rsid w:val="00DB0349"/>
    <w:rsid w:val="00DD6A16"/>
    <w:rsid w:val="00E0091A"/>
    <w:rsid w:val="00E203AA"/>
    <w:rsid w:val="00E527A5"/>
    <w:rsid w:val="00E76456"/>
    <w:rsid w:val="00EE3B3A"/>
    <w:rsid w:val="00EE71CB"/>
    <w:rsid w:val="00EF003E"/>
    <w:rsid w:val="00F16975"/>
    <w:rsid w:val="00F66152"/>
    <w:rsid w:val="00F66968"/>
    <w:rsid w:val="00FA53CB"/>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C4C3449-7A04-4B81-9344-F23F9DE6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semiHidden/>
    <w:rsid w:val="004025DF"/>
    <w:rPr>
      <w:sz w:val="18"/>
    </w:rPr>
  </w:style>
  <w:style w:type="paragraph" w:customStyle="1" w:styleId="Endofdocument-Annex">
    <w:name w:val="[End of document - Annex]"/>
    <w:basedOn w:val="Normal"/>
    <w:rsid w:val="00446489"/>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FootnoteTextChar">
    <w:name w:val="Footnote Text Char"/>
    <w:link w:val="FootnoteText"/>
    <w:uiPriority w:val="99"/>
    <w:semiHidden/>
    <w:rsid w:val="00EE3B3A"/>
    <w:rPr>
      <w:rFonts w:ascii="Arial" w:eastAsia="SimSun" w:hAnsi="Arial" w:cs="Arial"/>
      <w:sz w:val="18"/>
      <w:lang w:eastAsia="zh-CN"/>
    </w:rPr>
  </w:style>
  <w:style w:type="character" w:styleId="FootnoteReference">
    <w:name w:val="footnote reference"/>
    <w:uiPriority w:val="99"/>
    <w:semiHidden/>
    <w:unhideWhenUsed/>
    <w:rsid w:val="00EE3B3A"/>
    <w:rPr>
      <w:vertAlign w:val="superscript"/>
    </w:rPr>
  </w:style>
  <w:style w:type="character" w:customStyle="1" w:styleId="HeaderChar">
    <w:name w:val="Header Char"/>
    <w:link w:val="Header"/>
    <w:uiPriority w:val="99"/>
    <w:rsid w:val="00EE3B3A"/>
    <w:rPr>
      <w:rFonts w:ascii="Arial" w:eastAsia="SimSun" w:hAnsi="Arial" w:cs="Arial"/>
      <w:sz w:val="22"/>
      <w:lang w:eastAsia="zh-CN"/>
    </w:rPr>
  </w:style>
  <w:style w:type="paragraph" w:styleId="ListParagraph">
    <w:name w:val="List Paragraph"/>
    <w:basedOn w:val="Normal"/>
    <w:uiPriority w:val="34"/>
    <w:qFormat/>
    <w:rsid w:val="00EE3B3A"/>
    <w:pPr>
      <w:ind w:left="720"/>
      <w:contextualSpacing/>
    </w:pPr>
    <w:rPr>
      <w:lang w:val="fr-FR"/>
    </w:rPr>
  </w:style>
  <w:style w:type="character" w:styleId="Hyperlink">
    <w:name w:val="Hyperlink"/>
    <w:basedOn w:val="DefaultParagraphFont"/>
    <w:semiHidden/>
    <w:unhideWhenUsed/>
    <w:rsid w:val="00FA53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4%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64 (F)</Template>
  <TotalTime>1</TotalTime>
  <Pages>7</Pages>
  <Words>1568</Words>
  <Characters>7802</Characters>
  <Application>Microsoft Office Word</Application>
  <DocSecurity>0</DocSecurity>
  <Lines>458</Lines>
  <Paragraphs>260</Paragraphs>
  <ScaleCrop>false</ScaleCrop>
  <HeadingPairs>
    <vt:vector size="2" baseType="variant">
      <vt:variant>
        <vt:lpstr>Title</vt:lpstr>
      </vt:variant>
      <vt:variant>
        <vt:i4>1</vt:i4>
      </vt:variant>
    </vt:vector>
  </HeadingPairs>
  <TitlesOfParts>
    <vt:vector size="1" baseType="lpstr">
      <vt:lpstr>A/64/10</vt:lpstr>
    </vt:vector>
  </TitlesOfParts>
  <Company>WIPO</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A/64/10</dc:title>
  <dc:creator>WIPO</dc:creator>
  <cp:keywords>FOR OFFICIAL USE ONLY</cp:keywords>
  <cp:lastModifiedBy>HÄFLIGER Patience</cp:lastModifiedBy>
  <cp:revision>3</cp:revision>
  <cp:lastPrinted>2011-05-19T12:37:00Z</cp:lastPrinted>
  <dcterms:created xsi:type="dcterms:W3CDTF">2023-06-23T09:10:00Z</dcterms:created>
  <dcterms:modified xsi:type="dcterms:W3CDTF">2023-06-23T09:11:00Z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2023-06-23T09:11:14Z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93975132-ff08-4a28-a2f7-d4eb11a9fd1c</vt:lpwstr>
  </property>
  <property fmtid="{D5CDD505-2E9C-101B-9397-08002B2CF9AE}" pid="14" name="MSIP_Label_20773ee6-353b-4fb9-a59d-0b94c8c67bea_ContentBits">
    <vt:lpwstr>0</vt:lpwstr>
  </property>
</Properties>
</file>