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0763" w14:textId="712F0181" w:rsidR="008B2CC1" w:rsidRPr="00FC18CF" w:rsidRDefault="0075430B" w:rsidP="00F11D94">
      <w:pPr>
        <w:spacing w:after="120"/>
        <w:jc w:val="right"/>
        <w:rPr>
          <w:lang w:val="fr-FR"/>
        </w:rPr>
      </w:pPr>
      <w:r w:rsidRPr="00FC18CF">
        <w:rPr>
          <w:noProof/>
          <w:lang w:val="fr-FR" w:eastAsia="en-US"/>
        </w:rPr>
        <w:drawing>
          <wp:inline distT="0" distB="0" distL="0" distR="0" wp14:anchorId="4FB3894F" wp14:editId="35A778C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r w:rsidR="00461632" w:rsidRPr="00FC18CF">
        <w:rPr>
          <w:rFonts w:ascii="Arial Black" w:hAnsi="Arial Black"/>
          <w:caps/>
          <w:noProof/>
          <w:sz w:val="15"/>
          <w:szCs w:val="15"/>
          <w:lang w:val="fr-FR" w:eastAsia="en-US"/>
        </w:rPr>
        <mc:AlternateContent>
          <mc:Choice Requires="wps">
            <w:drawing>
              <wp:inline distT="0" distB="0" distL="0" distR="0" wp14:anchorId="2C451560" wp14:editId="3359B61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6F74E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18A3A5B" w14:textId="77777777" w:rsidR="008B2CC1" w:rsidRPr="00FC18CF" w:rsidRDefault="005F10BC" w:rsidP="001024FE">
      <w:pPr>
        <w:jc w:val="right"/>
        <w:rPr>
          <w:rFonts w:ascii="Arial Black" w:hAnsi="Arial Black"/>
          <w:caps/>
          <w:sz w:val="15"/>
          <w:szCs w:val="15"/>
          <w:lang w:val="fr-FR"/>
        </w:rPr>
      </w:pPr>
      <w:r w:rsidRPr="00FC18CF">
        <w:rPr>
          <w:rFonts w:ascii="Arial Black" w:hAnsi="Arial Black"/>
          <w:caps/>
          <w:sz w:val="15"/>
          <w:szCs w:val="15"/>
          <w:lang w:val="fr-FR"/>
        </w:rPr>
        <w:t>a/6</w:t>
      </w:r>
      <w:r w:rsidR="008417FC" w:rsidRPr="00FC18CF">
        <w:rPr>
          <w:rFonts w:ascii="Arial Black" w:hAnsi="Arial Black"/>
          <w:caps/>
          <w:sz w:val="15"/>
          <w:szCs w:val="15"/>
          <w:lang w:val="fr-FR"/>
        </w:rPr>
        <w:t>5</w:t>
      </w:r>
      <w:r w:rsidRPr="00FC18CF">
        <w:rPr>
          <w:rFonts w:ascii="Arial Black" w:hAnsi="Arial Black"/>
          <w:caps/>
          <w:sz w:val="15"/>
          <w:szCs w:val="15"/>
          <w:lang w:val="fr-FR"/>
        </w:rPr>
        <w:t>/</w:t>
      </w:r>
      <w:bookmarkStart w:id="0" w:name="Code"/>
      <w:r w:rsidR="006B7887" w:rsidRPr="00FC18CF">
        <w:rPr>
          <w:rFonts w:ascii="Arial Black" w:hAnsi="Arial Black"/>
          <w:caps/>
          <w:sz w:val="15"/>
          <w:szCs w:val="15"/>
          <w:lang w:val="fr-FR"/>
        </w:rPr>
        <w:t>8</w:t>
      </w:r>
    </w:p>
    <w:bookmarkEnd w:id="0"/>
    <w:p w14:paraId="3EED8349" w14:textId="196C208B" w:rsidR="00CE65D4" w:rsidRPr="00FC18CF" w:rsidRDefault="00CE65D4" w:rsidP="00CE65D4">
      <w:pPr>
        <w:jc w:val="right"/>
        <w:rPr>
          <w:rFonts w:ascii="Arial Black" w:hAnsi="Arial Black"/>
          <w:caps/>
          <w:sz w:val="15"/>
          <w:szCs w:val="15"/>
          <w:lang w:val="fr-FR"/>
        </w:rPr>
      </w:pPr>
      <w:r w:rsidRPr="00FC18CF">
        <w:rPr>
          <w:rFonts w:ascii="Arial Black" w:hAnsi="Arial Black"/>
          <w:caps/>
          <w:sz w:val="15"/>
          <w:szCs w:val="15"/>
          <w:lang w:val="fr-FR"/>
        </w:rPr>
        <w:t>ORIGINAL</w:t>
      </w:r>
      <w:r w:rsidR="0075430B" w:rsidRPr="00FC18CF">
        <w:rPr>
          <w:rFonts w:ascii="Arial Black" w:hAnsi="Arial Black"/>
          <w:caps/>
          <w:sz w:val="15"/>
          <w:szCs w:val="15"/>
          <w:lang w:val="fr-FR"/>
        </w:rPr>
        <w:t xml:space="preserve"> </w:t>
      </w:r>
      <w:r w:rsidRPr="00FC18CF">
        <w:rPr>
          <w:rFonts w:ascii="Arial Black" w:hAnsi="Arial Black"/>
          <w:caps/>
          <w:sz w:val="15"/>
          <w:szCs w:val="15"/>
          <w:lang w:val="fr-FR"/>
        </w:rPr>
        <w:t xml:space="preserve">: </w:t>
      </w:r>
      <w:bookmarkStart w:id="1" w:name="Original"/>
      <w:r w:rsidR="0075430B" w:rsidRPr="00FC18CF">
        <w:rPr>
          <w:rFonts w:ascii="Arial Black" w:hAnsi="Arial Black"/>
          <w:caps/>
          <w:sz w:val="15"/>
          <w:szCs w:val="15"/>
          <w:lang w:val="fr-FR"/>
        </w:rPr>
        <w:t>anglais</w:t>
      </w:r>
    </w:p>
    <w:bookmarkEnd w:id="1"/>
    <w:p w14:paraId="38D25346" w14:textId="6CA34BB3" w:rsidR="008B2CC1" w:rsidRPr="00FC18CF" w:rsidRDefault="00CE65D4" w:rsidP="00CE65D4">
      <w:pPr>
        <w:spacing w:after="1200"/>
        <w:jc w:val="right"/>
        <w:rPr>
          <w:rFonts w:ascii="Arial Black" w:hAnsi="Arial Black"/>
          <w:caps/>
          <w:sz w:val="15"/>
          <w:szCs w:val="15"/>
          <w:lang w:val="fr-FR"/>
        </w:rPr>
      </w:pPr>
      <w:r w:rsidRPr="00FC18CF">
        <w:rPr>
          <w:rFonts w:ascii="Arial Black" w:hAnsi="Arial Black"/>
          <w:caps/>
          <w:sz w:val="15"/>
          <w:szCs w:val="15"/>
          <w:lang w:val="fr-FR"/>
        </w:rPr>
        <w:t>DATE</w:t>
      </w:r>
      <w:r w:rsidR="0075430B" w:rsidRPr="00FC18CF">
        <w:rPr>
          <w:rFonts w:ascii="Arial Black" w:hAnsi="Arial Black"/>
          <w:caps/>
          <w:sz w:val="15"/>
          <w:szCs w:val="15"/>
          <w:lang w:val="fr-FR"/>
        </w:rPr>
        <w:t xml:space="preserve"> </w:t>
      </w:r>
      <w:r w:rsidRPr="00FC18CF">
        <w:rPr>
          <w:rFonts w:ascii="Arial Black" w:hAnsi="Arial Black"/>
          <w:caps/>
          <w:sz w:val="15"/>
          <w:szCs w:val="15"/>
          <w:lang w:val="fr-FR"/>
        </w:rPr>
        <w:t xml:space="preserve">: </w:t>
      </w:r>
      <w:bookmarkStart w:id="2" w:name="Date"/>
      <w:r w:rsidR="006B7887" w:rsidRPr="00FC18CF">
        <w:rPr>
          <w:rFonts w:ascii="Arial Black" w:hAnsi="Arial Black"/>
          <w:caps/>
          <w:sz w:val="15"/>
          <w:szCs w:val="15"/>
          <w:lang w:val="fr-FR"/>
        </w:rPr>
        <w:t>13</w:t>
      </w:r>
      <w:r w:rsidR="0075430B" w:rsidRPr="00FC18CF">
        <w:rPr>
          <w:rFonts w:ascii="Arial Black" w:hAnsi="Arial Black"/>
          <w:caps/>
          <w:sz w:val="15"/>
          <w:szCs w:val="15"/>
          <w:lang w:val="fr-FR"/>
        </w:rPr>
        <w:t xml:space="preserve"> juillet</w:t>
      </w:r>
      <w:r w:rsidR="006B7887" w:rsidRPr="00FC18CF">
        <w:rPr>
          <w:rFonts w:ascii="Arial Black" w:hAnsi="Arial Black"/>
          <w:caps/>
          <w:sz w:val="15"/>
          <w:szCs w:val="15"/>
          <w:lang w:val="fr-FR"/>
        </w:rPr>
        <w:t xml:space="preserve"> 2024</w:t>
      </w:r>
    </w:p>
    <w:bookmarkEnd w:id="2"/>
    <w:p w14:paraId="35559A2A" w14:textId="77777777" w:rsidR="0075430B" w:rsidRPr="00FC18CF" w:rsidRDefault="0075430B" w:rsidP="0075430B">
      <w:pPr>
        <w:spacing w:after="600"/>
        <w:rPr>
          <w:b/>
          <w:sz w:val="28"/>
          <w:szCs w:val="28"/>
          <w:lang w:val="fr-FR"/>
        </w:rPr>
      </w:pPr>
      <w:r w:rsidRPr="00FC18CF">
        <w:rPr>
          <w:b/>
          <w:sz w:val="28"/>
          <w:szCs w:val="28"/>
          <w:lang w:val="fr-FR"/>
        </w:rPr>
        <w:t>Assemblées des États membres de l’OMPI</w:t>
      </w:r>
    </w:p>
    <w:p w14:paraId="5549482E" w14:textId="77777777" w:rsidR="0075430B" w:rsidRPr="00FC18CF" w:rsidRDefault="0075430B" w:rsidP="0075430B">
      <w:pPr>
        <w:rPr>
          <w:b/>
          <w:sz w:val="24"/>
          <w:szCs w:val="24"/>
          <w:lang w:val="fr-FR"/>
        </w:rPr>
      </w:pPr>
      <w:bookmarkStart w:id="3" w:name="TitleOfDoc"/>
      <w:r w:rsidRPr="00FC18CF">
        <w:rPr>
          <w:b/>
          <w:sz w:val="24"/>
          <w:szCs w:val="24"/>
          <w:lang w:val="fr-FR"/>
        </w:rPr>
        <w:t>Soixante</w:t>
      </w:r>
      <w:r w:rsidRPr="00FC18CF">
        <w:rPr>
          <w:b/>
          <w:sz w:val="24"/>
          <w:szCs w:val="24"/>
          <w:lang w:val="fr-FR"/>
        </w:rPr>
        <w:noBreakHyphen/>
        <w:t>cinquième série de réunions</w:t>
      </w:r>
    </w:p>
    <w:p w14:paraId="7762F6F5" w14:textId="77777777" w:rsidR="0075430B" w:rsidRPr="00FC18CF" w:rsidRDefault="0075430B" w:rsidP="0075430B">
      <w:pPr>
        <w:spacing w:after="720"/>
        <w:rPr>
          <w:b/>
          <w:sz w:val="24"/>
          <w:szCs w:val="24"/>
          <w:lang w:val="fr-FR"/>
        </w:rPr>
      </w:pPr>
      <w:r w:rsidRPr="00FC18CF">
        <w:rPr>
          <w:b/>
          <w:sz w:val="24"/>
          <w:szCs w:val="24"/>
          <w:lang w:val="fr-FR"/>
        </w:rPr>
        <w:t>Genève, 9 – 17 juillet 2024</w:t>
      </w:r>
    </w:p>
    <w:p w14:paraId="44A6854F" w14:textId="14702260" w:rsidR="008B2CC1" w:rsidRPr="00FC18CF" w:rsidRDefault="006B7887" w:rsidP="00CE65D4">
      <w:pPr>
        <w:spacing w:after="360"/>
        <w:rPr>
          <w:caps/>
          <w:sz w:val="24"/>
          <w:lang w:val="fr-FR"/>
        </w:rPr>
      </w:pPr>
      <w:r w:rsidRPr="00FC18CF">
        <w:rPr>
          <w:caps/>
          <w:sz w:val="24"/>
          <w:lang w:val="fr-FR"/>
        </w:rPr>
        <w:t>propos</w:t>
      </w:r>
      <w:r w:rsidR="002E0443" w:rsidRPr="00FC18CF">
        <w:rPr>
          <w:caps/>
          <w:sz w:val="24"/>
          <w:lang w:val="fr-FR"/>
        </w:rPr>
        <w:t xml:space="preserve">ition commune du groupe </w:t>
      </w:r>
      <w:r w:rsidR="00CA4E00" w:rsidRPr="00FC18CF">
        <w:rPr>
          <w:caps/>
          <w:sz w:val="24"/>
          <w:lang w:val="fr-FR"/>
        </w:rPr>
        <w:t>des pays d’Europe centrale et des États baltes et du</w:t>
      </w:r>
      <w:r w:rsidRPr="00FC18CF">
        <w:rPr>
          <w:caps/>
          <w:sz w:val="24"/>
          <w:lang w:val="fr-FR"/>
        </w:rPr>
        <w:t xml:space="preserve"> GROUP</w:t>
      </w:r>
      <w:r w:rsidR="00CA4E00" w:rsidRPr="00FC18CF">
        <w:rPr>
          <w:caps/>
          <w:sz w:val="24"/>
          <w:lang w:val="fr-FR"/>
        </w:rPr>
        <w:t>e</w:t>
      </w:r>
      <w:r w:rsidRPr="00FC18CF">
        <w:rPr>
          <w:caps/>
          <w:sz w:val="24"/>
          <w:lang w:val="fr-FR"/>
        </w:rPr>
        <w:t xml:space="preserve"> B </w:t>
      </w:r>
      <w:r w:rsidR="00CA4E00" w:rsidRPr="00FC18CF">
        <w:rPr>
          <w:caps/>
          <w:sz w:val="24"/>
          <w:lang w:val="fr-FR"/>
        </w:rPr>
        <w:t xml:space="preserve">relative à </w:t>
      </w:r>
      <w:bookmarkStart w:id="4" w:name="_Hlk171866087"/>
      <w:r w:rsidR="00CA4E00" w:rsidRPr="00FC18CF">
        <w:rPr>
          <w:caps/>
          <w:sz w:val="24"/>
          <w:lang w:val="fr-FR"/>
        </w:rPr>
        <w:t>l’</w:t>
      </w:r>
      <w:r w:rsidR="00026AF8" w:rsidRPr="00FC18CF">
        <w:rPr>
          <w:caps/>
          <w:sz w:val="24"/>
          <w:lang w:val="fr-FR"/>
        </w:rPr>
        <w:t xml:space="preserve">Assistance et </w:t>
      </w:r>
      <w:r w:rsidR="00CA4E00" w:rsidRPr="00FC18CF">
        <w:rPr>
          <w:caps/>
          <w:sz w:val="24"/>
          <w:lang w:val="fr-FR"/>
        </w:rPr>
        <w:t>À l’</w:t>
      </w:r>
      <w:r w:rsidR="00026AF8" w:rsidRPr="00FC18CF">
        <w:rPr>
          <w:caps/>
          <w:sz w:val="24"/>
          <w:lang w:val="fr-FR"/>
        </w:rPr>
        <w:t>appui au secteur de l’innovation et de la cr</w:t>
      </w:r>
      <w:r w:rsidR="00CA4E00" w:rsidRPr="00FC18CF">
        <w:rPr>
          <w:caps/>
          <w:sz w:val="24"/>
          <w:lang w:val="fr-FR"/>
        </w:rPr>
        <w:t>É</w:t>
      </w:r>
      <w:r w:rsidR="00026AF8" w:rsidRPr="00FC18CF">
        <w:rPr>
          <w:caps/>
          <w:sz w:val="24"/>
          <w:lang w:val="fr-FR"/>
        </w:rPr>
        <w:t>ativit</w:t>
      </w:r>
      <w:r w:rsidR="00CA4E00" w:rsidRPr="00FC18CF">
        <w:rPr>
          <w:caps/>
          <w:sz w:val="24"/>
          <w:lang w:val="fr-FR"/>
        </w:rPr>
        <w:t>É</w:t>
      </w:r>
      <w:r w:rsidR="00026AF8" w:rsidRPr="00FC18CF">
        <w:rPr>
          <w:caps/>
          <w:sz w:val="24"/>
          <w:lang w:val="fr-FR"/>
        </w:rPr>
        <w:t xml:space="preserve"> et au syst</w:t>
      </w:r>
      <w:r w:rsidR="00CA4E00" w:rsidRPr="00FC18CF">
        <w:rPr>
          <w:caps/>
          <w:sz w:val="24"/>
          <w:lang w:val="fr-FR"/>
        </w:rPr>
        <w:t>È</w:t>
      </w:r>
      <w:r w:rsidR="00026AF8" w:rsidRPr="00FC18CF">
        <w:rPr>
          <w:caps/>
          <w:sz w:val="24"/>
          <w:lang w:val="fr-FR"/>
        </w:rPr>
        <w:t>me de la propri</w:t>
      </w:r>
      <w:r w:rsidR="00CA4E00" w:rsidRPr="00FC18CF">
        <w:rPr>
          <w:caps/>
          <w:sz w:val="24"/>
          <w:lang w:val="fr-FR"/>
        </w:rPr>
        <w:t>É</w:t>
      </w:r>
      <w:r w:rsidR="00026AF8" w:rsidRPr="00FC18CF">
        <w:rPr>
          <w:caps/>
          <w:sz w:val="24"/>
          <w:lang w:val="fr-FR"/>
        </w:rPr>
        <w:t>t</w:t>
      </w:r>
      <w:r w:rsidR="00CA4E00" w:rsidRPr="00FC18CF">
        <w:rPr>
          <w:caps/>
          <w:sz w:val="24"/>
          <w:lang w:val="fr-FR"/>
        </w:rPr>
        <w:t>É</w:t>
      </w:r>
      <w:r w:rsidR="00026AF8" w:rsidRPr="00FC18CF">
        <w:rPr>
          <w:caps/>
          <w:sz w:val="24"/>
          <w:lang w:val="fr-FR"/>
        </w:rPr>
        <w:t xml:space="preserve"> intellectuelle de l’Ukraine</w:t>
      </w:r>
      <w:bookmarkEnd w:id="4"/>
    </w:p>
    <w:p w14:paraId="4354EEA8" w14:textId="03FD53CE" w:rsidR="008B2CC1" w:rsidRPr="00FC18CF" w:rsidRDefault="00FA5FC8" w:rsidP="00CE65D4">
      <w:pPr>
        <w:spacing w:after="960"/>
        <w:rPr>
          <w:i/>
          <w:lang w:val="fr-FR"/>
        </w:rPr>
      </w:pPr>
      <w:bookmarkStart w:id="5" w:name="Prepared"/>
      <w:bookmarkEnd w:id="3"/>
      <w:proofErr w:type="gramStart"/>
      <w:r w:rsidRPr="00FC18CF">
        <w:rPr>
          <w:i/>
          <w:lang w:val="fr-FR"/>
        </w:rPr>
        <w:t>présentée</w:t>
      </w:r>
      <w:proofErr w:type="gramEnd"/>
      <w:r w:rsidRPr="00FC18CF">
        <w:rPr>
          <w:i/>
          <w:lang w:val="fr-FR"/>
        </w:rPr>
        <w:t xml:space="preserve"> par le groupe des pays d’Europe centrale et des États baltes et le groupe B </w:t>
      </w:r>
    </w:p>
    <w:bookmarkEnd w:id="5"/>
    <w:p w14:paraId="42131B02" w14:textId="632E8EA2" w:rsidR="006B7887" w:rsidRPr="00FC18CF" w:rsidRDefault="00FA5FC8" w:rsidP="006B7887">
      <w:pPr>
        <w:spacing w:after="720"/>
        <w:rPr>
          <w:lang w:val="fr-FR"/>
        </w:rPr>
      </w:pPr>
      <w:r w:rsidRPr="00FC18CF">
        <w:rPr>
          <w:lang w:val="fr-FR"/>
        </w:rPr>
        <w:t xml:space="preserve">Dans une </w:t>
      </w:r>
      <w:r w:rsidR="006B7887" w:rsidRPr="00FC18CF">
        <w:rPr>
          <w:lang w:val="fr-FR"/>
        </w:rPr>
        <w:t xml:space="preserve">communication </w:t>
      </w:r>
      <w:r w:rsidRPr="00FC18CF">
        <w:rPr>
          <w:lang w:val="fr-FR"/>
        </w:rPr>
        <w:t>au</w:t>
      </w:r>
      <w:r w:rsidR="006B7887" w:rsidRPr="00FC18CF">
        <w:rPr>
          <w:lang w:val="fr-FR"/>
        </w:rPr>
        <w:t xml:space="preserve"> Secr</w:t>
      </w:r>
      <w:r w:rsidRPr="00FC18CF">
        <w:rPr>
          <w:lang w:val="fr-FR"/>
        </w:rPr>
        <w:t>é</w:t>
      </w:r>
      <w:r w:rsidR="006B7887" w:rsidRPr="00FC18CF">
        <w:rPr>
          <w:lang w:val="fr-FR"/>
        </w:rPr>
        <w:t>tariat re</w:t>
      </w:r>
      <w:r w:rsidRPr="00FC18CF">
        <w:rPr>
          <w:lang w:val="fr-FR"/>
        </w:rPr>
        <w:t>çue le 12 juillet </w:t>
      </w:r>
      <w:r w:rsidR="006B7887" w:rsidRPr="00FC18CF">
        <w:rPr>
          <w:lang w:val="fr-FR"/>
        </w:rPr>
        <w:t xml:space="preserve">2024, </w:t>
      </w:r>
      <w:r w:rsidR="000727E9" w:rsidRPr="00FC18CF">
        <w:rPr>
          <w:lang w:val="fr-FR"/>
        </w:rPr>
        <w:t>le groupe des pays d’Europe centrale et des États baltes et le groupe </w:t>
      </w:r>
      <w:r w:rsidR="006B7887" w:rsidRPr="00FC18CF">
        <w:rPr>
          <w:lang w:val="fr-FR"/>
        </w:rPr>
        <w:t>B</w:t>
      </w:r>
      <w:r w:rsidR="000727E9" w:rsidRPr="00FC18CF">
        <w:rPr>
          <w:lang w:val="fr-FR"/>
        </w:rPr>
        <w:t xml:space="preserve"> ont soumis la proposition commune ci</w:t>
      </w:r>
      <w:r w:rsidR="000727E9" w:rsidRPr="00FC18CF">
        <w:rPr>
          <w:lang w:val="fr-FR"/>
        </w:rPr>
        <w:noBreakHyphen/>
        <w:t xml:space="preserve">jointe au titre du point 18 de l’ordre du jour intitulé </w:t>
      </w:r>
      <w:r w:rsidR="006B7887" w:rsidRPr="00FC18CF">
        <w:rPr>
          <w:lang w:val="fr-FR"/>
        </w:rPr>
        <w:t xml:space="preserve">“Assistance </w:t>
      </w:r>
      <w:r w:rsidR="000727E9" w:rsidRPr="00FC18CF">
        <w:rPr>
          <w:lang w:val="fr-FR"/>
        </w:rPr>
        <w:t>et appui au secteur de l’innovation et de la créativité et au système de la propriété intellectuelle de l’Ukraine</w:t>
      </w:r>
      <w:r w:rsidR="006B7887" w:rsidRPr="00FC18CF">
        <w:rPr>
          <w:lang w:val="fr-FR"/>
        </w:rPr>
        <w:t>”.</w:t>
      </w:r>
    </w:p>
    <w:p w14:paraId="720005BF" w14:textId="333799A9" w:rsidR="006B7887" w:rsidRPr="00FC18CF" w:rsidRDefault="006B7887" w:rsidP="006B7887">
      <w:pPr>
        <w:spacing w:after="220"/>
        <w:ind w:left="5533"/>
        <w:rPr>
          <w:lang w:val="fr-FR"/>
        </w:rPr>
      </w:pPr>
      <w:r w:rsidRPr="00FC18CF">
        <w:rPr>
          <w:lang w:val="fr-FR"/>
        </w:rPr>
        <w:t>[</w:t>
      </w:r>
      <w:r w:rsidR="008A3235" w:rsidRPr="00FC18CF">
        <w:rPr>
          <w:lang w:val="fr-FR"/>
        </w:rPr>
        <w:t>L’a</w:t>
      </w:r>
      <w:r w:rsidRPr="00FC18CF">
        <w:rPr>
          <w:lang w:val="fr-FR"/>
        </w:rPr>
        <w:t>nnex</w:t>
      </w:r>
      <w:r w:rsidR="008A3235" w:rsidRPr="00FC18CF">
        <w:rPr>
          <w:lang w:val="fr-FR"/>
        </w:rPr>
        <w:t>e suit</w:t>
      </w:r>
      <w:r w:rsidRPr="00FC18CF">
        <w:rPr>
          <w:lang w:val="fr-FR"/>
        </w:rPr>
        <w:t>]</w:t>
      </w:r>
    </w:p>
    <w:p w14:paraId="05E9716B" w14:textId="77777777" w:rsidR="006B7887" w:rsidRPr="00FC18CF" w:rsidRDefault="006B7887" w:rsidP="006B7887">
      <w:pPr>
        <w:spacing w:after="220"/>
        <w:rPr>
          <w:lang w:val="fr-FR"/>
        </w:rPr>
        <w:sectPr w:rsidR="006B7887" w:rsidRPr="00FC18CF" w:rsidSect="008803D4">
          <w:headerReference w:type="default" r:id="rId9"/>
          <w:endnotePr>
            <w:numFmt w:val="decimal"/>
          </w:endnotePr>
          <w:pgSz w:w="11907" w:h="16840" w:code="9"/>
          <w:pgMar w:top="567" w:right="1134" w:bottom="1418" w:left="1418" w:header="510" w:footer="1021" w:gutter="0"/>
          <w:cols w:space="720"/>
          <w:titlePg/>
          <w:docGrid w:linePitch="299"/>
        </w:sectPr>
      </w:pPr>
    </w:p>
    <w:p w14:paraId="26153F31" w14:textId="0A8430E0" w:rsidR="007C77A2" w:rsidRPr="00FC18CF" w:rsidRDefault="007C77A2" w:rsidP="007C77A2">
      <w:pPr>
        <w:spacing w:after="120"/>
        <w:jc w:val="right"/>
        <w:rPr>
          <w:rFonts w:asciiTheme="minorHAnsi" w:eastAsia="Calibri" w:hAnsiTheme="minorHAnsi" w:cstheme="minorHAnsi"/>
          <w:i/>
          <w:iCs/>
          <w:kern w:val="2"/>
          <w:szCs w:val="22"/>
          <w:u w:val="single"/>
          <w:lang w:val="fr-FR" w:eastAsia="en-US"/>
        </w:rPr>
      </w:pPr>
      <w:r w:rsidRPr="00FC18CF">
        <w:rPr>
          <w:rFonts w:asciiTheme="minorHAnsi" w:eastAsia="Calibri" w:hAnsiTheme="minorHAnsi" w:cstheme="minorHAnsi"/>
          <w:i/>
          <w:iCs/>
          <w:kern w:val="2"/>
          <w:szCs w:val="22"/>
          <w:u w:val="single"/>
          <w:lang w:val="fr-FR" w:eastAsia="en-US"/>
        </w:rPr>
        <w:lastRenderedPageBreak/>
        <w:t>Propos</w:t>
      </w:r>
      <w:r w:rsidR="003F33D4" w:rsidRPr="00FC18CF">
        <w:rPr>
          <w:rFonts w:asciiTheme="minorHAnsi" w:eastAsia="Calibri" w:hAnsiTheme="minorHAnsi" w:cstheme="minorHAnsi"/>
          <w:i/>
          <w:iCs/>
          <w:kern w:val="2"/>
          <w:szCs w:val="22"/>
          <w:u w:val="single"/>
          <w:lang w:val="fr-FR" w:eastAsia="en-US"/>
        </w:rPr>
        <w:t>ition de décision</w:t>
      </w:r>
    </w:p>
    <w:p w14:paraId="077FAE6D" w14:textId="18BC10E6" w:rsidR="007C77A2" w:rsidRPr="00FC18CF" w:rsidRDefault="003F33D4" w:rsidP="007C77A2">
      <w:pPr>
        <w:spacing w:after="360" w:line="259" w:lineRule="auto"/>
        <w:rPr>
          <w:rFonts w:ascii="Times New Roman" w:eastAsia="Calibri" w:hAnsi="Times New Roman" w:cs="Times New Roman"/>
          <w:kern w:val="2"/>
          <w:sz w:val="28"/>
          <w:szCs w:val="28"/>
          <w:lang w:val="fr-FR" w:eastAsia="en-US"/>
        </w:rPr>
      </w:pPr>
      <w:r w:rsidRPr="00FC18CF">
        <w:rPr>
          <w:rFonts w:ascii="Times New Roman" w:eastAsia="Calibri" w:hAnsi="Times New Roman" w:cs="Times New Roman"/>
          <w:b/>
          <w:bCs/>
          <w:caps/>
          <w:kern w:val="2"/>
          <w:sz w:val="28"/>
          <w:szCs w:val="28"/>
          <w:lang w:val="fr-FR" w:eastAsia="en-US"/>
        </w:rPr>
        <w:t>Point </w:t>
      </w:r>
      <w:r w:rsidR="007C77A2" w:rsidRPr="00FC18CF">
        <w:rPr>
          <w:rFonts w:ascii="Times New Roman" w:eastAsia="Calibri" w:hAnsi="Times New Roman" w:cs="Times New Roman"/>
          <w:b/>
          <w:bCs/>
          <w:caps/>
          <w:kern w:val="2"/>
          <w:sz w:val="28"/>
          <w:szCs w:val="28"/>
          <w:lang w:val="fr-FR" w:eastAsia="en-US"/>
        </w:rPr>
        <w:t>18</w:t>
      </w:r>
      <w:r w:rsidRPr="00FC18CF">
        <w:rPr>
          <w:rFonts w:ascii="Times New Roman" w:eastAsia="Calibri" w:hAnsi="Times New Roman" w:cs="Times New Roman"/>
          <w:b/>
          <w:bCs/>
          <w:caps/>
          <w:kern w:val="2"/>
          <w:sz w:val="28"/>
          <w:szCs w:val="28"/>
          <w:lang w:val="fr-FR" w:eastAsia="en-US"/>
        </w:rPr>
        <w:t xml:space="preserve"> de l’ordre du jour</w:t>
      </w:r>
      <w:r w:rsidRPr="00FC18CF">
        <w:rPr>
          <w:rFonts w:ascii="Times New Roman" w:eastAsia="Calibri" w:hAnsi="Times New Roman" w:cs="Times New Roman"/>
          <w:b/>
          <w:bCs/>
          <w:kern w:val="2"/>
          <w:sz w:val="28"/>
          <w:szCs w:val="28"/>
          <w:lang w:val="fr-FR" w:eastAsia="en-US"/>
        </w:rPr>
        <w:t xml:space="preserve"> – </w:t>
      </w:r>
      <w:r w:rsidRPr="00FC18CF">
        <w:rPr>
          <w:rFonts w:ascii="Times New Roman" w:eastAsia="Calibri" w:hAnsi="Times New Roman" w:cs="Times New Roman"/>
          <w:kern w:val="2"/>
          <w:sz w:val="28"/>
          <w:szCs w:val="28"/>
          <w:lang w:val="fr-FR" w:eastAsia="en-US"/>
        </w:rPr>
        <w:t>ASSISTANCE</w:t>
      </w:r>
      <w:r w:rsidRPr="00FC18CF">
        <w:rPr>
          <w:rFonts w:ascii="Times New Roman" w:eastAsia="Calibri" w:hAnsi="Times New Roman" w:cs="Times New Roman"/>
          <w:b/>
          <w:bCs/>
          <w:kern w:val="2"/>
          <w:sz w:val="28"/>
          <w:szCs w:val="28"/>
          <w:lang w:val="fr-FR" w:eastAsia="en-US"/>
        </w:rPr>
        <w:t xml:space="preserve"> </w:t>
      </w:r>
      <w:r w:rsidRPr="00FC18CF">
        <w:rPr>
          <w:rFonts w:ascii="Times New Roman" w:eastAsia="Calibri" w:hAnsi="Times New Roman" w:cs="Times New Roman"/>
          <w:kern w:val="2"/>
          <w:sz w:val="28"/>
          <w:szCs w:val="28"/>
          <w:lang w:val="fr-FR" w:eastAsia="en-US"/>
        </w:rPr>
        <w:t>ET APPUI AU SECTEUR DE L’INNOVATION ET DE LA CRÉATIVITÉ ET AU SYSTÈME DE LA PROPRIÉTÉ INTELLECTUELLE DE L’UKRAINE</w:t>
      </w:r>
      <w:r w:rsidRPr="00FC18CF">
        <w:rPr>
          <w:rFonts w:ascii="Times New Roman" w:eastAsia="Calibri" w:hAnsi="Times New Roman" w:cs="Times New Roman"/>
          <w:b/>
          <w:bCs/>
          <w:kern w:val="2"/>
          <w:sz w:val="28"/>
          <w:szCs w:val="28"/>
          <w:lang w:val="fr-FR" w:eastAsia="en-US"/>
        </w:rPr>
        <w:t xml:space="preserve"> </w:t>
      </w:r>
      <w:r w:rsidR="007C77A2" w:rsidRPr="00FC18CF">
        <w:rPr>
          <w:rFonts w:ascii="Times New Roman" w:eastAsia="Calibri" w:hAnsi="Times New Roman" w:cs="Times New Roman"/>
          <w:kern w:val="2"/>
          <w:sz w:val="28"/>
          <w:szCs w:val="28"/>
          <w:lang w:val="fr-FR" w:eastAsia="en-US"/>
        </w:rPr>
        <w:t>(document A/65/7)</w:t>
      </w:r>
    </w:p>
    <w:p w14:paraId="48534A03" w14:textId="695602F4" w:rsidR="007C77A2" w:rsidRPr="00FC18CF" w:rsidRDefault="00FC18CF" w:rsidP="007C77A2">
      <w:pPr>
        <w:spacing w:after="160" w:line="259" w:lineRule="auto"/>
        <w:rPr>
          <w:rFonts w:ascii="Times New Roman" w:eastAsia="Calibri" w:hAnsi="Times New Roman" w:cs="Times New Roman"/>
          <w:kern w:val="2"/>
          <w:sz w:val="28"/>
          <w:szCs w:val="28"/>
          <w:lang w:val="fr-FR" w:eastAsia="en-US"/>
        </w:rPr>
      </w:pPr>
      <w:r w:rsidRPr="00FC18CF">
        <w:rPr>
          <w:rFonts w:ascii="Times New Roman" w:eastAsia="Calibri" w:hAnsi="Times New Roman" w:cs="Times New Roman"/>
          <w:kern w:val="2"/>
          <w:sz w:val="28"/>
          <w:szCs w:val="28"/>
          <w:lang w:val="fr-FR" w:eastAsia="en-US"/>
        </w:rPr>
        <w:t>Les assemblées de l’OMPI, chacune pour ce qui la concerne,</w:t>
      </w:r>
    </w:p>
    <w:p w14:paraId="3E4B3AB1" w14:textId="19D89808" w:rsidR="007C77A2" w:rsidRPr="00FC18CF" w:rsidRDefault="00810CED" w:rsidP="007C77A2">
      <w:pPr>
        <w:spacing w:after="160" w:line="259" w:lineRule="auto"/>
        <w:rPr>
          <w:rFonts w:ascii="Times New Roman" w:eastAsia="Calibri" w:hAnsi="Times New Roman" w:cs="Times New Roman"/>
          <w:sz w:val="28"/>
          <w:szCs w:val="28"/>
          <w:lang w:val="fr-FR" w:eastAsia="en-US"/>
        </w:rPr>
      </w:pPr>
      <w:r>
        <w:rPr>
          <w:rFonts w:ascii="Times New Roman" w:eastAsia="Calibri" w:hAnsi="Times New Roman" w:cs="Times New Roman"/>
          <w:i/>
          <w:sz w:val="28"/>
          <w:szCs w:val="28"/>
          <w:lang w:val="fr-FR" w:eastAsia="en-US"/>
        </w:rPr>
        <w:t>r</w:t>
      </w:r>
      <w:r w:rsidR="00FC18CF" w:rsidRPr="00FC18CF">
        <w:rPr>
          <w:rFonts w:ascii="Times New Roman" w:eastAsia="Calibri" w:hAnsi="Times New Roman" w:cs="Times New Roman"/>
          <w:i/>
          <w:sz w:val="28"/>
          <w:szCs w:val="28"/>
          <w:lang w:val="fr-FR" w:eastAsia="en-US"/>
        </w:rPr>
        <w:t>appelant</w:t>
      </w:r>
      <w:r w:rsidR="00FC18CF" w:rsidRPr="00FC18CF">
        <w:rPr>
          <w:rFonts w:ascii="Times New Roman" w:eastAsia="Calibri" w:hAnsi="Times New Roman" w:cs="Times New Roman"/>
          <w:iCs/>
          <w:sz w:val="28"/>
          <w:szCs w:val="28"/>
          <w:lang w:val="fr-FR" w:eastAsia="en-US"/>
        </w:rPr>
        <w:t xml:space="preserve"> </w:t>
      </w:r>
      <w:r w:rsidR="00FC18CF" w:rsidRPr="00FC18CF">
        <w:rPr>
          <w:rFonts w:ascii="Times New Roman" w:eastAsia="Calibri" w:hAnsi="Times New Roman" w:cs="Times New Roman"/>
          <w:sz w:val="28"/>
          <w:szCs w:val="28"/>
          <w:lang w:val="fr-FR" w:eastAsia="en-US"/>
        </w:rPr>
        <w:t xml:space="preserve">leurs décisions relatives à l’assistance et à l’appui au </w:t>
      </w:r>
      <w:r w:rsidR="00FC18CF">
        <w:rPr>
          <w:rFonts w:ascii="Times New Roman" w:eastAsia="Calibri" w:hAnsi="Times New Roman" w:cs="Times New Roman"/>
          <w:sz w:val="28"/>
          <w:szCs w:val="28"/>
          <w:lang w:val="fr-FR" w:eastAsia="en-US"/>
        </w:rPr>
        <w:t xml:space="preserve">secteur de l’innovation et de la créativité et au système de </w:t>
      </w:r>
      <w:r>
        <w:rPr>
          <w:rFonts w:ascii="Times New Roman" w:eastAsia="Calibri" w:hAnsi="Times New Roman" w:cs="Times New Roman"/>
          <w:sz w:val="28"/>
          <w:szCs w:val="28"/>
          <w:lang w:val="fr-FR" w:eastAsia="en-US"/>
        </w:rPr>
        <w:t>la propriété intellectuelle de l’</w:t>
      </w:r>
      <w:r w:rsidR="007C77A2" w:rsidRPr="00FC18CF">
        <w:rPr>
          <w:rFonts w:ascii="Times New Roman" w:eastAsia="Calibri" w:hAnsi="Times New Roman" w:cs="Times New Roman"/>
          <w:sz w:val="28"/>
          <w:szCs w:val="28"/>
          <w:lang w:val="fr-FR" w:eastAsia="en-US"/>
        </w:rPr>
        <w:t xml:space="preserve">Ukraine </w:t>
      </w:r>
      <w:r>
        <w:rPr>
          <w:rFonts w:ascii="Times New Roman" w:eastAsia="Calibri" w:hAnsi="Times New Roman" w:cs="Times New Roman"/>
          <w:sz w:val="28"/>
          <w:szCs w:val="28"/>
          <w:lang w:val="fr-FR" w:eastAsia="en-US"/>
        </w:rPr>
        <w:t xml:space="preserve">figurant dans les </w:t>
      </w:r>
      <w:r w:rsidR="007C77A2" w:rsidRPr="00FC18CF">
        <w:rPr>
          <w:rFonts w:ascii="Times New Roman" w:eastAsia="Calibri" w:hAnsi="Times New Roman" w:cs="Times New Roman"/>
          <w:sz w:val="28"/>
          <w:szCs w:val="28"/>
          <w:lang w:val="fr-FR" w:eastAsia="en-US"/>
        </w:rPr>
        <w:t xml:space="preserve">documents </w:t>
      </w:r>
      <w:hyperlink r:id="rId10" w:history="1">
        <w:r w:rsidR="007C77A2" w:rsidRPr="00FC18CF">
          <w:rPr>
            <w:rFonts w:ascii="Times New Roman" w:eastAsia="Calibri" w:hAnsi="Times New Roman" w:cs="Times New Roman"/>
            <w:color w:val="0000FF"/>
            <w:sz w:val="28"/>
            <w:szCs w:val="28"/>
            <w:u w:val="single"/>
            <w:lang w:val="fr-FR" w:eastAsia="en-US"/>
          </w:rPr>
          <w:t>A/63/10</w:t>
        </w:r>
      </w:hyperlink>
      <w:r w:rsidR="007C77A2" w:rsidRPr="00FC18CF">
        <w:rPr>
          <w:rFonts w:ascii="Times New Roman" w:eastAsia="Calibri" w:hAnsi="Times New Roman" w:cs="Times New Roman"/>
          <w:sz w:val="28"/>
          <w:szCs w:val="28"/>
          <w:lang w:val="fr-FR" w:eastAsia="en-US"/>
        </w:rPr>
        <w:t xml:space="preserve"> </w:t>
      </w:r>
      <w:r>
        <w:rPr>
          <w:rFonts w:ascii="Times New Roman" w:eastAsia="Calibri" w:hAnsi="Times New Roman" w:cs="Times New Roman"/>
          <w:sz w:val="28"/>
          <w:szCs w:val="28"/>
          <w:lang w:val="fr-FR" w:eastAsia="en-US"/>
        </w:rPr>
        <w:t>et</w:t>
      </w:r>
      <w:r w:rsidR="007C77A2" w:rsidRPr="00FC18CF">
        <w:rPr>
          <w:rFonts w:ascii="Times New Roman" w:eastAsia="Calibri" w:hAnsi="Times New Roman" w:cs="Times New Roman"/>
          <w:sz w:val="28"/>
          <w:szCs w:val="28"/>
          <w:lang w:val="fr-FR" w:eastAsia="en-US"/>
        </w:rPr>
        <w:t xml:space="preserve"> </w:t>
      </w:r>
      <w:hyperlink r:id="rId11" w:history="1">
        <w:r w:rsidR="007C77A2" w:rsidRPr="00FC18CF">
          <w:rPr>
            <w:rFonts w:ascii="Times New Roman" w:eastAsia="Calibri" w:hAnsi="Times New Roman" w:cs="Times New Roman"/>
            <w:color w:val="0059C6"/>
            <w:kern w:val="2"/>
            <w:sz w:val="28"/>
            <w:szCs w:val="28"/>
            <w:u w:val="single"/>
            <w:bdr w:val="none" w:sz="0" w:space="0" w:color="auto" w:frame="1"/>
            <w:lang w:val="fr-FR" w:eastAsia="en-US"/>
          </w:rPr>
          <w:t>A/64/14</w:t>
        </w:r>
      </w:hyperlink>
      <w:r w:rsidR="007C77A2" w:rsidRPr="00FC18CF">
        <w:rPr>
          <w:rFonts w:ascii="Times New Roman" w:eastAsia="Calibri" w:hAnsi="Times New Roman" w:cs="Times New Roman"/>
          <w:sz w:val="28"/>
          <w:szCs w:val="28"/>
          <w:lang w:val="fr-FR" w:eastAsia="en-US"/>
        </w:rPr>
        <w:t>;</w:t>
      </w:r>
    </w:p>
    <w:p w14:paraId="424E1673" w14:textId="6AEE9E47" w:rsidR="00810CED" w:rsidRPr="00FC18CF" w:rsidRDefault="00810CED" w:rsidP="007C77A2">
      <w:pPr>
        <w:spacing w:after="160" w:line="259" w:lineRule="auto"/>
        <w:rPr>
          <w:rFonts w:ascii="Times New Roman" w:eastAsia="Calibri" w:hAnsi="Times New Roman" w:cs="Times New Roman"/>
          <w:kern w:val="2"/>
          <w:sz w:val="28"/>
          <w:szCs w:val="28"/>
          <w:lang w:val="fr-FR" w:eastAsia="en-US"/>
        </w:rPr>
      </w:pPr>
      <w:proofErr w:type="gramStart"/>
      <w:r>
        <w:rPr>
          <w:rFonts w:ascii="Times New Roman" w:eastAsia="Calibri" w:hAnsi="Times New Roman" w:cs="Times New Roman"/>
          <w:kern w:val="2"/>
          <w:sz w:val="28"/>
          <w:szCs w:val="28"/>
          <w:lang w:val="fr-FR" w:eastAsia="en-US"/>
        </w:rPr>
        <w:t>ont</w:t>
      </w:r>
      <w:proofErr w:type="gramEnd"/>
      <w:r>
        <w:rPr>
          <w:rFonts w:ascii="Times New Roman" w:eastAsia="Calibri" w:hAnsi="Times New Roman" w:cs="Times New Roman"/>
          <w:kern w:val="2"/>
          <w:sz w:val="28"/>
          <w:szCs w:val="28"/>
          <w:lang w:val="fr-FR" w:eastAsia="en-US"/>
        </w:rPr>
        <w:t xml:space="preserve"> pris </w:t>
      </w:r>
      <w:r w:rsidRPr="00810CED">
        <w:rPr>
          <w:rFonts w:ascii="Times New Roman" w:eastAsia="Calibri" w:hAnsi="Times New Roman" w:cs="Times New Roman"/>
          <w:kern w:val="2"/>
          <w:sz w:val="28"/>
          <w:szCs w:val="28"/>
          <w:lang w:val="fr-FR" w:eastAsia="en-US"/>
        </w:rPr>
        <w:t>note du rapport sur l'assistance et l</w:t>
      </w:r>
      <w:r>
        <w:rPr>
          <w:rFonts w:ascii="Times New Roman" w:eastAsia="Calibri" w:hAnsi="Times New Roman" w:cs="Times New Roman"/>
          <w:kern w:val="2"/>
          <w:sz w:val="28"/>
          <w:szCs w:val="28"/>
          <w:lang w:val="fr-FR" w:eastAsia="en-US"/>
        </w:rPr>
        <w:t xml:space="preserve">’appui </w:t>
      </w:r>
      <w:r w:rsidRPr="00810CED">
        <w:rPr>
          <w:rFonts w:ascii="Times New Roman" w:eastAsia="Calibri" w:hAnsi="Times New Roman" w:cs="Times New Roman"/>
          <w:kern w:val="2"/>
          <w:sz w:val="28"/>
          <w:szCs w:val="28"/>
          <w:lang w:val="fr-FR" w:eastAsia="en-US"/>
        </w:rPr>
        <w:t>au secteur de l'innovation et de la créativité et au système de propriété intellectuelle de l'Ukraine</w:t>
      </w:r>
      <w:r>
        <w:rPr>
          <w:rFonts w:ascii="Times New Roman" w:eastAsia="Calibri" w:hAnsi="Times New Roman" w:cs="Times New Roman"/>
          <w:kern w:val="2"/>
          <w:sz w:val="28"/>
          <w:szCs w:val="28"/>
          <w:lang w:val="fr-FR" w:eastAsia="en-US"/>
        </w:rPr>
        <w:t xml:space="preserve"> figurant dans </w:t>
      </w:r>
      <w:r w:rsidRPr="00810CED">
        <w:rPr>
          <w:rFonts w:ascii="Times New Roman" w:eastAsia="Calibri" w:hAnsi="Times New Roman" w:cs="Times New Roman"/>
          <w:kern w:val="2"/>
          <w:sz w:val="28"/>
          <w:szCs w:val="28"/>
          <w:lang w:val="fr-FR" w:eastAsia="en-US"/>
        </w:rPr>
        <w:t xml:space="preserve">le document A/65/7, et des effets négatifs persistants de la guerre en cours sur le secteur de l'innovation et de la créativité et sur le système de </w:t>
      </w:r>
      <w:r>
        <w:rPr>
          <w:rFonts w:ascii="Times New Roman" w:eastAsia="Calibri" w:hAnsi="Times New Roman" w:cs="Times New Roman"/>
          <w:kern w:val="2"/>
          <w:sz w:val="28"/>
          <w:szCs w:val="28"/>
          <w:lang w:val="fr-FR" w:eastAsia="en-US"/>
        </w:rPr>
        <w:t xml:space="preserve">la </w:t>
      </w:r>
      <w:r w:rsidRPr="00810CED">
        <w:rPr>
          <w:rFonts w:ascii="Times New Roman" w:eastAsia="Calibri" w:hAnsi="Times New Roman" w:cs="Times New Roman"/>
          <w:kern w:val="2"/>
          <w:sz w:val="28"/>
          <w:szCs w:val="28"/>
          <w:lang w:val="fr-FR" w:eastAsia="en-US"/>
        </w:rPr>
        <w:t>propriété intellectuelle de l'Ukraine;</w:t>
      </w:r>
      <w:r>
        <w:rPr>
          <w:rFonts w:ascii="Times New Roman" w:eastAsia="Calibri" w:hAnsi="Times New Roman" w:cs="Times New Roman"/>
          <w:kern w:val="2"/>
          <w:sz w:val="28"/>
          <w:szCs w:val="28"/>
          <w:lang w:val="fr-FR" w:eastAsia="en-US"/>
        </w:rPr>
        <w:t xml:space="preserve"> </w:t>
      </w:r>
      <w:r w:rsidRPr="00810CED">
        <w:rPr>
          <w:rFonts w:ascii="Times New Roman" w:eastAsia="Calibri" w:hAnsi="Times New Roman" w:cs="Times New Roman"/>
          <w:kern w:val="2"/>
          <w:sz w:val="28"/>
          <w:szCs w:val="28"/>
          <w:lang w:val="fr-FR" w:eastAsia="en-US"/>
        </w:rPr>
        <w:t xml:space="preserve"> et</w:t>
      </w:r>
    </w:p>
    <w:p w14:paraId="0B430C94" w14:textId="07C0D82A" w:rsidR="007C77A2" w:rsidRPr="00FC18CF" w:rsidRDefault="00810CED" w:rsidP="007C77A2">
      <w:pPr>
        <w:spacing w:after="160" w:line="259" w:lineRule="auto"/>
        <w:rPr>
          <w:rFonts w:ascii="Times New Roman" w:eastAsia="Calibri" w:hAnsi="Times New Roman" w:cs="Times New Roman"/>
          <w:kern w:val="2"/>
          <w:sz w:val="28"/>
          <w:szCs w:val="28"/>
          <w:lang w:val="fr-FR" w:eastAsia="en-US"/>
        </w:rPr>
      </w:pPr>
      <w:proofErr w:type="gramStart"/>
      <w:r>
        <w:rPr>
          <w:rFonts w:ascii="Times New Roman" w:eastAsia="Calibri" w:hAnsi="Times New Roman" w:cs="Times New Roman"/>
          <w:kern w:val="2"/>
          <w:sz w:val="28"/>
          <w:szCs w:val="28"/>
          <w:lang w:val="fr-FR" w:eastAsia="en-US"/>
        </w:rPr>
        <w:t>ont</w:t>
      </w:r>
      <w:proofErr w:type="gramEnd"/>
      <w:r>
        <w:rPr>
          <w:rFonts w:ascii="Times New Roman" w:eastAsia="Calibri" w:hAnsi="Times New Roman" w:cs="Times New Roman"/>
          <w:kern w:val="2"/>
          <w:sz w:val="28"/>
          <w:szCs w:val="28"/>
          <w:lang w:val="fr-FR" w:eastAsia="en-US"/>
        </w:rPr>
        <w:t xml:space="preserve"> demandé au Bureau international </w:t>
      </w:r>
      <w:r w:rsidR="007C77A2" w:rsidRPr="00FC18CF">
        <w:rPr>
          <w:rFonts w:ascii="Times New Roman" w:eastAsia="Calibri" w:hAnsi="Times New Roman" w:cs="Times New Roman"/>
          <w:kern w:val="2"/>
          <w:sz w:val="28"/>
          <w:szCs w:val="28"/>
          <w:lang w:val="fr-FR" w:eastAsia="en-US"/>
        </w:rPr>
        <w:t>:</w:t>
      </w:r>
    </w:p>
    <w:p w14:paraId="26464616" w14:textId="40D7FBB2" w:rsidR="007C77A2" w:rsidRDefault="00250155" w:rsidP="007C77A2">
      <w:pPr>
        <w:numPr>
          <w:ilvl w:val="1"/>
          <w:numId w:val="7"/>
        </w:numPr>
        <w:spacing w:after="160" w:line="259" w:lineRule="auto"/>
        <w:contextualSpacing/>
        <w:rPr>
          <w:rFonts w:ascii="Times New Roman" w:eastAsia="Calibri" w:hAnsi="Times New Roman" w:cs="Times New Roman"/>
          <w:kern w:val="2"/>
          <w:sz w:val="28"/>
          <w:szCs w:val="28"/>
          <w:lang w:val="fr-FR" w:eastAsia="en-US"/>
        </w:rPr>
      </w:pPr>
      <w:proofErr w:type="gramStart"/>
      <w:r w:rsidRPr="00250155">
        <w:rPr>
          <w:rFonts w:ascii="Times New Roman" w:eastAsia="Calibri" w:hAnsi="Times New Roman" w:cs="Times New Roman"/>
          <w:kern w:val="2"/>
          <w:sz w:val="28"/>
          <w:szCs w:val="28"/>
          <w:lang w:val="fr-FR" w:eastAsia="en-US"/>
        </w:rPr>
        <w:t>de</w:t>
      </w:r>
      <w:proofErr w:type="gramEnd"/>
      <w:r w:rsidRPr="00250155">
        <w:rPr>
          <w:rFonts w:ascii="Times New Roman" w:eastAsia="Calibri" w:hAnsi="Times New Roman" w:cs="Times New Roman"/>
          <w:kern w:val="2"/>
          <w:sz w:val="28"/>
          <w:szCs w:val="28"/>
          <w:lang w:val="fr-FR" w:eastAsia="en-US"/>
        </w:rPr>
        <w:t xml:space="preserve"> poursuivre sa coopération étroite avec l'Ukraine afin de garantir son assistance et son appui constants aux créateurs, aux innovateurs et aux membres de la communauté de la propriété intellectuelle, en s’attachant à atténuer les effets négatifs de la guerre et à reconstruire un écosystème innovant et créatif en Ukraine qui profite à toutes les parties prenantes et renforce l'économie du pays</w:t>
      </w:r>
      <w:r w:rsidR="007C77A2" w:rsidRPr="00FC18CF">
        <w:rPr>
          <w:rFonts w:ascii="Times New Roman" w:eastAsia="Calibri" w:hAnsi="Times New Roman" w:cs="Times New Roman"/>
          <w:kern w:val="2"/>
          <w:sz w:val="28"/>
          <w:szCs w:val="28"/>
          <w:lang w:val="fr-FR" w:eastAsia="en-US"/>
        </w:rPr>
        <w:t xml:space="preserve">; </w:t>
      </w:r>
      <w:r>
        <w:rPr>
          <w:rFonts w:ascii="Times New Roman" w:eastAsia="Calibri" w:hAnsi="Times New Roman" w:cs="Times New Roman"/>
          <w:kern w:val="2"/>
          <w:sz w:val="28"/>
          <w:szCs w:val="28"/>
          <w:lang w:val="fr-FR" w:eastAsia="en-US"/>
        </w:rPr>
        <w:t xml:space="preserve"> </w:t>
      </w:r>
    </w:p>
    <w:p w14:paraId="70FB75EF" w14:textId="52BAB954" w:rsidR="007C77A2" w:rsidRPr="009C0346" w:rsidRDefault="009C0346" w:rsidP="007C77A2">
      <w:pPr>
        <w:numPr>
          <w:ilvl w:val="1"/>
          <w:numId w:val="7"/>
        </w:numPr>
        <w:spacing w:after="160" w:line="259" w:lineRule="auto"/>
        <w:contextualSpacing/>
        <w:rPr>
          <w:rFonts w:ascii="Times New Roman" w:eastAsia="Calibri" w:hAnsi="Times New Roman" w:cs="Times New Roman"/>
          <w:kern w:val="2"/>
          <w:sz w:val="28"/>
          <w:szCs w:val="28"/>
          <w:lang w:val="fr-FR" w:eastAsia="en-US"/>
        </w:rPr>
      </w:pPr>
      <w:proofErr w:type="gramStart"/>
      <w:r w:rsidRPr="009C0346">
        <w:rPr>
          <w:rFonts w:ascii="Times New Roman" w:eastAsia="Calibri" w:hAnsi="Times New Roman" w:cs="Times New Roman"/>
          <w:kern w:val="2"/>
          <w:sz w:val="28"/>
          <w:szCs w:val="28"/>
          <w:lang w:val="fr-FR" w:eastAsia="en-US"/>
        </w:rPr>
        <w:t>de</w:t>
      </w:r>
      <w:proofErr w:type="gramEnd"/>
      <w:r w:rsidRPr="009C0346">
        <w:rPr>
          <w:rFonts w:ascii="Times New Roman" w:eastAsia="Calibri" w:hAnsi="Times New Roman" w:cs="Times New Roman"/>
          <w:kern w:val="2"/>
          <w:sz w:val="28"/>
          <w:szCs w:val="28"/>
          <w:lang w:val="fr-FR" w:eastAsia="en-US"/>
        </w:rPr>
        <w:t xml:space="preserve"> fournir une évaluation actualisée de</w:t>
      </w:r>
      <w:r w:rsidR="00112B42">
        <w:rPr>
          <w:rFonts w:ascii="Times New Roman" w:eastAsia="Calibri" w:hAnsi="Times New Roman" w:cs="Times New Roman"/>
          <w:kern w:val="2"/>
          <w:sz w:val="28"/>
          <w:szCs w:val="28"/>
          <w:lang w:val="fr-FR" w:eastAsia="en-US"/>
        </w:rPr>
        <w:t>s répercussions</w:t>
      </w:r>
      <w:r w:rsidRPr="009C0346">
        <w:rPr>
          <w:rFonts w:ascii="Times New Roman" w:eastAsia="Calibri" w:hAnsi="Times New Roman" w:cs="Times New Roman"/>
          <w:kern w:val="2"/>
          <w:sz w:val="28"/>
          <w:szCs w:val="28"/>
          <w:lang w:val="fr-FR" w:eastAsia="en-US"/>
        </w:rPr>
        <w:t xml:space="preserve"> à moyen et long terme de la guerre sur le secteur et l'écosystème de l'innovation et de la créativité en Ukraine</w:t>
      </w:r>
      <w:r w:rsidR="007C77A2" w:rsidRPr="009C0346">
        <w:rPr>
          <w:rFonts w:ascii="Times New Roman" w:eastAsia="Calibri" w:hAnsi="Times New Roman" w:cs="Times New Roman"/>
          <w:kern w:val="2"/>
          <w:sz w:val="28"/>
          <w:szCs w:val="28"/>
          <w:lang w:val="fr-FR" w:eastAsia="en-US"/>
        </w:rPr>
        <w:t xml:space="preserve">; </w:t>
      </w:r>
      <w:r>
        <w:rPr>
          <w:rFonts w:ascii="Times New Roman" w:eastAsia="Calibri" w:hAnsi="Times New Roman" w:cs="Times New Roman"/>
          <w:kern w:val="2"/>
          <w:sz w:val="28"/>
          <w:szCs w:val="28"/>
          <w:lang w:val="fr-FR" w:eastAsia="en-US"/>
        </w:rPr>
        <w:t xml:space="preserve"> </w:t>
      </w:r>
    </w:p>
    <w:p w14:paraId="79E837A6" w14:textId="7A8EEEC7" w:rsidR="007C77A2" w:rsidRPr="009C0346" w:rsidRDefault="009C0346" w:rsidP="007C77A2">
      <w:pPr>
        <w:numPr>
          <w:ilvl w:val="1"/>
          <w:numId w:val="7"/>
        </w:numPr>
        <w:spacing w:after="160" w:line="259" w:lineRule="auto"/>
        <w:contextualSpacing/>
        <w:rPr>
          <w:rFonts w:ascii="Times New Roman" w:eastAsia="Calibri" w:hAnsi="Times New Roman" w:cs="Times New Roman"/>
          <w:kern w:val="2"/>
          <w:sz w:val="28"/>
          <w:szCs w:val="28"/>
          <w:lang w:val="fr-FR" w:eastAsia="en-US"/>
        </w:rPr>
      </w:pPr>
      <w:proofErr w:type="gramStart"/>
      <w:r w:rsidRPr="009C0346">
        <w:rPr>
          <w:rFonts w:ascii="Times New Roman" w:eastAsia="Calibri" w:hAnsi="Times New Roman" w:cs="Times New Roman"/>
          <w:kern w:val="2"/>
          <w:sz w:val="28"/>
          <w:szCs w:val="28"/>
          <w:lang w:val="fr-FR" w:eastAsia="en-US"/>
        </w:rPr>
        <w:t>de</w:t>
      </w:r>
      <w:proofErr w:type="gramEnd"/>
      <w:r w:rsidRPr="009C0346">
        <w:rPr>
          <w:rFonts w:ascii="Times New Roman" w:eastAsia="Calibri" w:hAnsi="Times New Roman" w:cs="Times New Roman"/>
          <w:kern w:val="2"/>
          <w:sz w:val="28"/>
          <w:szCs w:val="28"/>
          <w:lang w:val="fr-FR" w:eastAsia="en-US"/>
        </w:rPr>
        <w:t xml:space="preserve"> prendre des mesures pour faire en sorte que les publications sur les ressources et les plateformes de l'OMPI respectent les principes de souveraineté, d'indépendance et d'intégrité territoriale de l'Ukraine à l'intérieur de ses frontières internationalement reconnues</w:t>
      </w:r>
      <w:r w:rsidR="007C77A2" w:rsidRPr="009C0346">
        <w:rPr>
          <w:rFonts w:ascii="Times New Roman" w:eastAsia="Calibri" w:hAnsi="Times New Roman" w:cs="Times New Roman"/>
          <w:color w:val="333333"/>
          <w:kern w:val="2"/>
          <w:sz w:val="28"/>
          <w:szCs w:val="28"/>
          <w:lang w:val="fr-FR" w:eastAsia="en-US"/>
        </w:rPr>
        <w:t>;</w:t>
      </w:r>
      <w:r>
        <w:rPr>
          <w:rFonts w:ascii="Times New Roman" w:eastAsia="Calibri" w:hAnsi="Times New Roman" w:cs="Times New Roman"/>
          <w:color w:val="333333"/>
          <w:kern w:val="2"/>
          <w:sz w:val="28"/>
          <w:szCs w:val="28"/>
          <w:lang w:val="fr-FR" w:eastAsia="en-US"/>
        </w:rPr>
        <w:t xml:space="preserve">  et</w:t>
      </w:r>
    </w:p>
    <w:p w14:paraId="5CABD5D0" w14:textId="56FEB447" w:rsidR="007C77A2" w:rsidRPr="009C0346" w:rsidRDefault="009C0346" w:rsidP="007C77A2">
      <w:pPr>
        <w:numPr>
          <w:ilvl w:val="1"/>
          <w:numId w:val="7"/>
        </w:numPr>
        <w:spacing w:after="160" w:line="259" w:lineRule="auto"/>
        <w:contextualSpacing/>
        <w:rPr>
          <w:rFonts w:ascii="Times New Roman" w:eastAsia="Calibri" w:hAnsi="Times New Roman" w:cs="Times New Roman"/>
          <w:kern w:val="2"/>
          <w:sz w:val="28"/>
          <w:szCs w:val="28"/>
          <w:lang w:val="fr-FR" w:eastAsia="en-US"/>
        </w:rPr>
      </w:pPr>
      <w:proofErr w:type="gramStart"/>
      <w:r w:rsidRPr="009C0346">
        <w:rPr>
          <w:rFonts w:ascii="Times New Roman" w:eastAsia="Calibri" w:hAnsi="Times New Roman" w:cs="Times New Roman"/>
          <w:kern w:val="2"/>
          <w:sz w:val="28"/>
          <w:szCs w:val="28"/>
          <w:lang w:val="fr-FR" w:eastAsia="en-US"/>
        </w:rPr>
        <w:t>de</w:t>
      </w:r>
      <w:proofErr w:type="gramEnd"/>
      <w:r w:rsidRPr="009C0346">
        <w:rPr>
          <w:rFonts w:ascii="Times New Roman" w:eastAsia="Calibri" w:hAnsi="Times New Roman" w:cs="Times New Roman"/>
          <w:kern w:val="2"/>
          <w:sz w:val="28"/>
          <w:szCs w:val="28"/>
          <w:lang w:val="fr-FR" w:eastAsia="en-US"/>
        </w:rPr>
        <w:t xml:space="preserve"> rendre compte de la mise en œuvre de la présente décision et d'autres activités pertinentes lors des assemblées de l'OMPI de 2025, et chaque année par la suite</w:t>
      </w:r>
      <w:r w:rsidR="007C77A2" w:rsidRPr="009C0346">
        <w:rPr>
          <w:rFonts w:ascii="Times New Roman" w:eastAsia="Calibri" w:hAnsi="Times New Roman" w:cs="Times New Roman"/>
          <w:kern w:val="2"/>
          <w:sz w:val="28"/>
          <w:szCs w:val="28"/>
          <w:lang w:val="fr-FR" w:eastAsia="en-US"/>
        </w:rPr>
        <w:t>.</w:t>
      </w:r>
    </w:p>
    <w:p w14:paraId="0CEC5021" w14:textId="77777777" w:rsidR="007C77A2" w:rsidRPr="009C0346" w:rsidRDefault="007C77A2" w:rsidP="007C77A2">
      <w:pPr>
        <w:spacing w:after="160" w:line="259" w:lineRule="auto"/>
        <w:contextualSpacing/>
        <w:rPr>
          <w:rFonts w:asciiTheme="minorHAnsi" w:eastAsia="Calibri" w:hAnsiTheme="minorHAnsi" w:cstheme="minorHAnsi"/>
          <w:kern w:val="2"/>
          <w:szCs w:val="22"/>
          <w:lang w:val="fr-FR" w:eastAsia="en-US"/>
        </w:rPr>
      </w:pPr>
    </w:p>
    <w:p w14:paraId="2C547D65" w14:textId="0DC37510" w:rsidR="002928D3" w:rsidRPr="009C0346" w:rsidRDefault="007C77A2" w:rsidP="007C77A2">
      <w:pPr>
        <w:spacing w:after="720"/>
        <w:ind w:left="5530"/>
        <w:rPr>
          <w:lang w:val="fr-FR"/>
        </w:rPr>
      </w:pPr>
      <w:r w:rsidRPr="009C0346">
        <w:rPr>
          <w:lang w:val="fr-FR"/>
        </w:rPr>
        <w:t>[</w:t>
      </w:r>
      <w:r w:rsidR="009C0346" w:rsidRPr="009C0346">
        <w:rPr>
          <w:lang w:val="fr-FR"/>
        </w:rPr>
        <w:t xml:space="preserve">Fin de l’annexe et du </w:t>
      </w:r>
      <w:r w:rsidRPr="009C0346">
        <w:rPr>
          <w:lang w:val="fr-FR"/>
        </w:rPr>
        <w:t>document]</w:t>
      </w:r>
    </w:p>
    <w:sectPr w:rsidR="002928D3" w:rsidRPr="009C0346" w:rsidSect="002812B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3FE8" w14:textId="77777777" w:rsidR="00CF0463" w:rsidRDefault="00CF0463">
      <w:r>
        <w:separator/>
      </w:r>
    </w:p>
  </w:endnote>
  <w:endnote w:type="continuationSeparator" w:id="0">
    <w:p w14:paraId="0E2E4D8F" w14:textId="77777777" w:rsidR="00CF0463" w:rsidRDefault="00CF0463" w:rsidP="003B38C1">
      <w:r>
        <w:separator/>
      </w:r>
    </w:p>
    <w:p w14:paraId="21622B10" w14:textId="77777777" w:rsidR="00CF0463" w:rsidRPr="003B38C1" w:rsidRDefault="00CF0463" w:rsidP="003B38C1">
      <w:pPr>
        <w:spacing w:after="60"/>
        <w:rPr>
          <w:sz w:val="17"/>
        </w:rPr>
      </w:pPr>
      <w:r>
        <w:rPr>
          <w:sz w:val="17"/>
        </w:rPr>
        <w:t>[Endnote continued from previous page]</w:t>
      </w:r>
    </w:p>
  </w:endnote>
  <w:endnote w:type="continuationNotice" w:id="1">
    <w:p w14:paraId="72C0992E" w14:textId="77777777" w:rsidR="00CF0463" w:rsidRPr="003B38C1" w:rsidRDefault="00CF04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7D36" w14:textId="77777777" w:rsidR="00CF0463" w:rsidRDefault="00CF0463">
      <w:r>
        <w:separator/>
      </w:r>
    </w:p>
  </w:footnote>
  <w:footnote w:type="continuationSeparator" w:id="0">
    <w:p w14:paraId="469957C3" w14:textId="77777777" w:rsidR="00CF0463" w:rsidRDefault="00CF0463" w:rsidP="008B60B2">
      <w:r>
        <w:separator/>
      </w:r>
    </w:p>
    <w:p w14:paraId="03C8A597" w14:textId="77777777" w:rsidR="00CF0463" w:rsidRPr="00ED77FB" w:rsidRDefault="00CF0463" w:rsidP="008B60B2">
      <w:pPr>
        <w:spacing w:after="60"/>
        <w:rPr>
          <w:sz w:val="17"/>
          <w:szCs w:val="17"/>
        </w:rPr>
      </w:pPr>
      <w:r w:rsidRPr="00ED77FB">
        <w:rPr>
          <w:sz w:val="17"/>
          <w:szCs w:val="17"/>
        </w:rPr>
        <w:t>[Footnote continued from previous page]</w:t>
      </w:r>
    </w:p>
  </w:footnote>
  <w:footnote w:type="continuationNotice" w:id="1">
    <w:p w14:paraId="6BBBB44C" w14:textId="77777777" w:rsidR="00CF0463" w:rsidRPr="00ED77FB" w:rsidRDefault="00CF04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AC90" w14:textId="36C9CF44" w:rsidR="006B7887" w:rsidRDefault="006B7887" w:rsidP="00477D6B">
    <w:pPr>
      <w:jc w:val="right"/>
    </w:pPr>
    <w:r>
      <w:t>A/6</w:t>
    </w:r>
    <w:r w:rsidR="007C77A2">
      <w:t>5</w:t>
    </w:r>
    <w:r>
      <w:t>/</w:t>
    </w:r>
    <w:r w:rsidR="007C77A2">
      <w:t>8</w:t>
    </w:r>
  </w:p>
  <w:p w14:paraId="3617DC71" w14:textId="64D95DE9" w:rsidR="006B7887" w:rsidRDefault="007C77A2" w:rsidP="00477D6B">
    <w:pPr>
      <w:jc w:val="right"/>
    </w:pPr>
    <w:r>
      <w:t>ANNEX</w:t>
    </w:r>
    <w:r w:rsidR="003F33D4">
      <w:t>E</w:t>
    </w:r>
  </w:p>
  <w:p w14:paraId="4C70BA82" w14:textId="77777777" w:rsidR="006B7887" w:rsidRDefault="006B7887" w:rsidP="00477D6B">
    <w:pPr>
      <w:jc w:val="right"/>
    </w:pPr>
  </w:p>
  <w:p w14:paraId="1BAFF6CE" w14:textId="77777777" w:rsidR="006B7887" w:rsidRDefault="006B788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AB0F07"/>
    <w:multiLevelType w:val="hybridMultilevel"/>
    <w:tmpl w:val="4A12F2C8"/>
    <w:lvl w:ilvl="0" w:tplc="C4B618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2"/>
  </w:num>
  <w:num w:numId="2" w16cid:durableId="180895070">
    <w:abstractNumId w:val="5"/>
  </w:num>
  <w:num w:numId="3" w16cid:durableId="1356350649">
    <w:abstractNumId w:val="0"/>
  </w:num>
  <w:num w:numId="4" w16cid:durableId="1151099335">
    <w:abstractNumId w:val="6"/>
  </w:num>
  <w:num w:numId="5" w16cid:durableId="797770133">
    <w:abstractNumId w:val="1"/>
  </w:num>
  <w:num w:numId="6" w16cid:durableId="878471050">
    <w:abstractNumId w:val="4"/>
  </w:num>
  <w:num w:numId="7" w16cid:durableId="1130904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87"/>
    <w:rsid w:val="0001647B"/>
    <w:rsid w:val="00026AF8"/>
    <w:rsid w:val="00043CAA"/>
    <w:rsid w:val="000727E9"/>
    <w:rsid w:val="00075432"/>
    <w:rsid w:val="000968ED"/>
    <w:rsid w:val="000F5E56"/>
    <w:rsid w:val="001024FE"/>
    <w:rsid w:val="00112B42"/>
    <w:rsid w:val="00124096"/>
    <w:rsid w:val="001362EE"/>
    <w:rsid w:val="00142868"/>
    <w:rsid w:val="001832A6"/>
    <w:rsid w:val="001C6808"/>
    <w:rsid w:val="002121FA"/>
    <w:rsid w:val="002334E5"/>
    <w:rsid w:val="00250155"/>
    <w:rsid w:val="002634C4"/>
    <w:rsid w:val="002928D3"/>
    <w:rsid w:val="002E0443"/>
    <w:rsid w:val="002F1FE6"/>
    <w:rsid w:val="002F4E68"/>
    <w:rsid w:val="00312F7F"/>
    <w:rsid w:val="003228B7"/>
    <w:rsid w:val="003508A3"/>
    <w:rsid w:val="003673CF"/>
    <w:rsid w:val="003845C1"/>
    <w:rsid w:val="003A6F89"/>
    <w:rsid w:val="003B38C1"/>
    <w:rsid w:val="003D352A"/>
    <w:rsid w:val="003F33D4"/>
    <w:rsid w:val="00423E3E"/>
    <w:rsid w:val="00427AF4"/>
    <w:rsid w:val="004400E2"/>
    <w:rsid w:val="00461632"/>
    <w:rsid w:val="004647DA"/>
    <w:rsid w:val="00474062"/>
    <w:rsid w:val="00477D6B"/>
    <w:rsid w:val="00495E81"/>
    <w:rsid w:val="004D39C4"/>
    <w:rsid w:val="0053057A"/>
    <w:rsid w:val="00560A29"/>
    <w:rsid w:val="0058055F"/>
    <w:rsid w:val="00594D27"/>
    <w:rsid w:val="005F10BC"/>
    <w:rsid w:val="00601760"/>
    <w:rsid w:val="00605827"/>
    <w:rsid w:val="00646050"/>
    <w:rsid w:val="006713CA"/>
    <w:rsid w:val="00676C5C"/>
    <w:rsid w:val="00695558"/>
    <w:rsid w:val="006B7887"/>
    <w:rsid w:val="006D5E0F"/>
    <w:rsid w:val="007058FB"/>
    <w:rsid w:val="007379DF"/>
    <w:rsid w:val="0075430B"/>
    <w:rsid w:val="007B6A58"/>
    <w:rsid w:val="007C77A2"/>
    <w:rsid w:val="007D1613"/>
    <w:rsid w:val="00810CED"/>
    <w:rsid w:val="00813C5E"/>
    <w:rsid w:val="008417FC"/>
    <w:rsid w:val="00873EE5"/>
    <w:rsid w:val="008A3235"/>
    <w:rsid w:val="008B2CC1"/>
    <w:rsid w:val="008B4B5E"/>
    <w:rsid w:val="008B60B2"/>
    <w:rsid w:val="0090731E"/>
    <w:rsid w:val="00916EE2"/>
    <w:rsid w:val="00966A22"/>
    <w:rsid w:val="0096722F"/>
    <w:rsid w:val="00980843"/>
    <w:rsid w:val="009C0346"/>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BA71EB"/>
    <w:rsid w:val="00C11BFE"/>
    <w:rsid w:val="00C94629"/>
    <w:rsid w:val="00CA4E00"/>
    <w:rsid w:val="00CE65D4"/>
    <w:rsid w:val="00CF0330"/>
    <w:rsid w:val="00CF0463"/>
    <w:rsid w:val="00D45252"/>
    <w:rsid w:val="00D71B4D"/>
    <w:rsid w:val="00D841CB"/>
    <w:rsid w:val="00D93D55"/>
    <w:rsid w:val="00E161A2"/>
    <w:rsid w:val="00E335FE"/>
    <w:rsid w:val="00E5021F"/>
    <w:rsid w:val="00E671A6"/>
    <w:rsid w:val="00E77E6C"/>
    <w:rsid w:val="00EC4E49"/>
    <w:rsid w:val="00ED77FB"/>
    <w:rsid w:val="00EF6612"/>
    <w:rsid w:val="00F021A6"/>
    <w:rsid w:val="00F11D94"/>
    <w:rsid w:val="00F301AE"/>
    <w:rsid w:val="00F66152"/>
    <w:rsid w:val="00FA5FC8"/>
    <w:rsid w:val="00FC18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77010"/>
  <w15:docId w15:val="{1FBDEDE8-F3A9-4292-BF5D-D8A1585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CF0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3/a-64/doc_details.jsp?doc_id=619934" TargetMode="External"/><Relationship Id="rId5" Type="http://schemas.openxmlformats.org/officeDocument/2006/relationships/webSettings" Target="webSettings.xml"/><Relationship Id="rId10" Type="http://schemas.openxmlformats.org/officeDocument/2006/relationships/hyperlink" Target="https://www.wipo.int/edocs/mdocs/govbody/en/a_63/a_63_10.pdf"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60</TotalTime>
  <Pages>2</Pages>
  <Words>448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A/65/8</vt:lpstr>
    </vt:vector>
  </TitlesOfParts>
  <Company>WIPO</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A/65/8</dc:title>
  <dc:creator>WIPO</dc:creator>
  <cp:keywords>FOR OFFICIAL USE ONLY</cp:keywords>
  <cp:lastModifiedBy>MARIN-CUDRAZ DAVI Nicoletta</cp:lastModifiedBy>
  <cp:revision>4</cp:revision>
  <cp:lastPrinted>2011-02-15T11:56:00Z</cp:lastPrinted>
  <dcterms:created xsi:type="dcterms:W3CDTF">2024-07-14T14:11:00Z</dcterms:created>
  <dcterms:modified xsi:type="dcterms:W3CDTF">2024-07-15T09:13:00Z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