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407A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0B96AE7" wp14:editId="0446DEC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DDD87B5" wp14:editId="26ABF78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B435F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6A7830" w14:textId="77777777"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265E59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733B36">
        <w:rPr>
          <w:rFonts w:ascii="Arial Black" w:hAnsi="Arial Black"/>
          <w:caps/>
          <w:sz w:val="15"/>
          <w:szCs w:val="15"/>
        </w:rPr>
        <w:t>INF/3</w:t>
      </w:r>
    </w:p>
    <w:bookmarkEnd w:id="0"/>
    <w:p w14:paraId="3F91AA8B" w14:textId="528D8762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EF134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33B3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2487FEB" w14:textId="050843C5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EF134B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733B36">
        <w:rPr>
          <w:rFonts w:ascii="Arial Black" w:hAnsi="Arial Black"/>
          <w:caps/>
          <w:sz w:val="15"/>
          <w:szCs w:val="15"/>
        </w:rPr>
        <w:t>5 </w:t>
      </w:r>
      <w:r w:rsidR="00EF134B">
        <w:rPr>
          <w:rFonts w:ascii="Arial Black" w:hAnsi="Arial Black"/>
          <w:caps/>
          <w:sz w:val="15"/>
          <w:szCs w:val="15"/>
        </w:rPr>
        <w:t>juillet 20</w:t>
      </w:r>
      <w:r w:rsidR="00733B3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42604A04" w14:textId="1C61DD57"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EF134B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14:paraId="030447A9" w14:textId="218062E2"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DA196D">
        <w:rPr>
          <w:b/>
          <w:sz w:val="24"/>
          <w:szCs w:val="24"/>
        </w:rPr>
        <w:noBreakHyphen/>
      </w:r>
      <w:r w:rsidR="00265E59" w:rsidRPr="00265E59">
        <w:rPr>
          <w:b/>
          <w:sz w:val="24"/>
          <w:szCs w:val="24"/>
        </w:rPr>
        <w:t xml:space="preserve">cinquième </w:t>
      </w:r>
      <w:r w:rsidRPr="00F66968">
        <w:rPr>
          <w:b/>
          <w:sz w:val="24"/>
          <w:szCs w:val="24"/>
        </w:rPr>
        <w:t>série de réunions</w:t>
      </w:r>
    </w:p>
    <w:p w14:paraId="563DC774" w14:textId="0CAE683C"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 xml:space="preserve">Genève, </w:t>
      </w:r>
      <w:r w:rsidR="00265E59">
        <w:rPr>
          <w:b/>
          <w:sz w:val="24"/>
          <w:szCs w:val="24"/>
        </w:rPr>
        <w:t>9</w:t>
      </w:r>
      <w:r w:rsidR="00265E59" w:rsidRPr="00F66968">
        <w:rPr>
          <w:b/>
          <w:sz w:val="24"/>
          <w:szCs w:val="24"/>
        </w:rPr>
        <w:t xml:space="preserve"> – 1</w:t>
      </w:r>
      <w:r w:rsidR="00265E59">
        <w:rPr>
          <w:b/>
          <w:sz w:val="24"/>
          <w:szCs w:val="24"/>
        </w:rPr>
        <w:t>7</w:t>
      </w:r>
      <w:r w:rsidR="007439DD">
        <w:rPr>
          <w:b/>
          <w:sz w:val="24"/>
          <w:szCs w:val="24"/>
        </w:rPr>
        <w:t> </w:t>
      </w:r>
      <w:r w:rsidR="00EF134B" w:rsidRPr="00F66968">
        <w:rPr>
          <w:b/>
          <w:sz w:val="24"/>
          <w:szCs w:val="24"/>
        </w:rPr>
        <w:t>juillet</w:t>
      </w:r>
      <w:r w:rsidR="00EF134B">
        <w:rPr>
          <w:b/>
          <w:sz w:val="24"/>
          <w:szCs w:val="24"/>
        </w:rPr>
        <w:t> </w:t>
      </w:r>
      <w:r w:rsidR="00EF134B" w:rsidRPr="00F66968">
        <w:rPr>
          <w:b/>
          <w:sz w:val="24"/>
          <w:szCs w:val="24"/>
        </w:rPr>
        <w:t>20</w:t>
      </w:r>
      <w:r w:rsidR="00265E59" w:rsidRPr="00F66968">
        <w:rPr>
          <w:b/>
          <w:sz w:val="24"/>
          <w:szCs w:val="24"/>
        </w:rPr>
        <w:t>2</w:t>
      </w:r>
      <w:r w:rsidR="00265E59">
        <w:rPr>
          <w:b/>
          <w:sz w:val="24"/>
          <w:szCs w:val="24"/>
        </w:rPr>
        <w:t>4</w:t>
      </w:r>
    </w:p>
    <w:p w14:paraId="1B199BAA" w14:textId="37953DB2" w:rsidR="008B2CC1" w:rsidRPr="00733B36" w:rsidRDefault="00733B36" w:rsidP="00DB0349">
      <w:pPr>
        <w:spacing w:after="360"/>
        <w:rPr>
          <w:caps/>
          <w:sz w:val="24"/>
        </w:rPr>
      </w:pPr>
      <w:bookmarkStart w:id="3" w:name="TitleOfDoc"/>
      <w:r w:rsidRPr="00733B36">
        <w:rPr>
          <w:caps/>
          <w:sz w:val="24"/>
        </w:rPr>
        <w:t>Situation en ce qui concerne l</w:t>
      </w:r>
      <w:r w:rsidR="00EF134B">
        <w:rPr>
          <w:caps/>
          <w:sz w:val="24"/>
        </w:rPr>
        <w:t>’</w:t>
      </w:r>
      <w:r w:rsidRPr="00733B36">
        <w:rPr>
          <w:caps/>
          <w:sz w:val="24"/>
        </w:rPr>
        <w:t>adhésion aux traités administrés par l</w:t>
      </w:r>
      <w:r w:rsidR="00EF134B">
        <w:rPr>
          <w:caps/>
          <w:sz w:val="24"/>
        </w:rPr>
        <w:t>’</w:t>
      </w:r>
      <w:r w:rsidRPr="00733B36">
        <w:rPr>
          <w:caps/>
          <w:sz w:val="24"/>
        </w:rPr>
        <w:t>ompi et la réforme statutaire</w:t>
      </w:r>
    </w:p>
    <w:p w14:paraId="4075902A" w14:textId="2D0B68B9" w:rsidR="00525B63" w:rsidRPr="00FC1611" w:rsidRDefault="00733B36" w:rsidP="00DB0349">
      <w:pPr>
        <w:spacing w:after="960"/>
        <w:rPr>
          <w:i/>
          <w:iCs/>
        </w:rPr>
      </w:pPr>
      <w:bookmarkStart w:id="4" w:name="Prepared"/>
      <w:bookmarkEnd w:id="3"/>
      <w:r w:rsidRPr="00733B36">
        <w:rPr>
          <w:i/>
          <w:iCs/>
        </w:rPr>
        <w:t>Document d</w:t>
      </w:r>
      <w:r w:rsidR="00EF134B">
        <w:rPr>
          <w:i/>
          <w:iCs/>
        </w:rPr>
        <w:t>’</w:t>
      </w:r>
      <w:r w:rsidRPr="00733B36">
        <w:rPr>
          <w:i/>
          <w:iCs/>
        </w:rPr>
        <w:t>information établi par le Secrétariat</w:t>
      </w:r>
    </w:p>
    <w:bookmarkEnd w:id="4"/>
    <w:p w14:paraId="69937555" w14:textId="47A8C34C" w:rsidR="00733B36" w:rsidRPr="00426B05" w:rsidRDefault="00733B36" w:rsidP="007439DD">
      <w:pPr>
        <w:spacing w:after="480"/>
        <w:rPr>
          <w:i/>
        </w:rPr>
      </w:pPr>
      <w:r>
        <w:t>Le présent document montre la situation en ce qui concerne les adhésions aux traités administrés par l</w:t>
      </w:r>
      <w:r w:rsidR="00EF134B">
        <w:t>’</w:t>
      </w:r>
      <w:r>
        <w:t>Organisation Mondiale de la Propriété Intellectuelle (OMPI) qui ont été actualisés à la suite de l</w:t>
      </w:r>
      <w:r w:rsidR="00EF134B">
        <w:t>’</w:t>
      </w:r>
      <w:r>
        <w:t>adoption d</w:t>
      </w:r>
      <w:r w:rsidR="00EF134B">
        <w:t>’</w:t>
      </w:r>
      <w:r>
        <w:t>un nouvel acte ou instrument</w:t>
      </w:r>
      <w:r w:rsidRPr="000379A9">
        <w:rPr>
          <w:vertAlign w:val="superscript"/>
        </w:rPr>
        <w:footnoteReference w:id="2"/>
      </w:r>
      <w:r>
        <w:t xml:space="preserve"> (auquel cas une adhésion est nécessaire) ou à la suite d</w:t>
      </w:r>
      <w:r w:rsidR="00EF134B">
        <w:t>’</w:t>
      </w:r>
      <w:r>
        <w:t>une modification</w:t>
      </w:r>
      <w:r w:rsidRPr="000379A9">
        <w:rPr>
          <w:vertAlign w:val="superscript"/>
        </w:rPr>
        <w:footnoteReference w:id="3"/>
      </w:r>
      <w:r>
        <w:t xml:space="preserve"> (auquel cas une acceptation est nécessaire), et qui font respectivement l</w:t>
      </w:r>
      <w:r w:rsidR="00EF134B">
        <w:t>’</w:t>
      </w:r>
      <w:r>
        <w:t>objet des parties</w:t>
      </w:r>
      <w:r w:rsidR="007439DD">
        <w:t> </w:t>
      </w:r>
      <w:r>
        <w:t>I et II du présent docume</w:t>
      </w:r>
      <w:r w:rsidR="00DA196D">
        <w:t>nt.  L’o</w:t>
      </w:r>
      <w:r>
        <w:t>bjectif du document est de rappeler à certaines parties contractantes la nécessité d</w:t>
      </w:r>
      <w:r w:rsidR="00EF134B">
        <w:t>’</w:t>
      </w:r>
      <w:r>
        <w:t>envisager la mise à jour de leur adhésion à ces traités, le cas échéant, et de les inviter respectueusement à prendre une telle mesure.</w:t>
      </w:r>
    </w:p>
    <w:p w14:paraId="59093C22" w14:textId="7D588AD2" w:rsidR="00733B36" w:rsidRPr="007439DD" w:rsidRDefault="00733B36" w:rsidP="007439DD">
      <w:pPr>
        <w:pStyle w:val="Heading1"/>
        <w:keepNext w:val="0"/>
        <w:ind w:left="567" w:hanging="567"/>
      </w:pPr>
      <w:r w:rsidRPr="007439DD">
        <w:t>I.</w:t>
      </w:r>
      <w:r w:rsidR="007439DD">
        <w:tab/>
      </w:r>
      <w:r w:rsidR="007439DD" w:rsidRPr="007439DD">
        <w:t>Situation en ce qui concerne l</w:t>
      </w:r>
      <w:r w:rsidR="00EF134B">
        <w:t>’</w:t>
      </w:r>
      <w:r w:rsidR="007439DD" w:rsidRPr="007439DD">
        <w:t>adhésion à certains traités administrés par l</w:t>
      </w:r>
      <w:r w:rsidR="00EF134B">
        <w:t>’</w:t>
      </w:r>
      <w:r w:rsidRPr="007439DD">
        <w:t>OMPI</w:t>
      </w:r>
    </w:p>
    <w:p w14:paraId="5254C0AA" w14:textId="74CBE783" w:rsidR="00733B36" w:rsidRPr="007439DD" w:rsidRDefault="00733B36" w:rsidP="007439DD">
      <w:pPr>
        <w:pStyle w:val="Heading2"/>
        <w:keepNext w:val="0"/>
      </w:pPr>
      <w:r w:rsidRPr="007439DD">
        <w:t>A.</w:t>
      </w:r>
      <w:r w:rsidR="007439DD">
        <w:tab/>
      </w:r>
      <w:r w:rsidRPr="007439DD">
        <w:t>Convention de Paris pour la protection de la propriété industrielle (1883)</w:t>
      </w:r>
    </w:p>
    <w:p w14:paraId="21A49140" w14:textId="5169B1EF" w:rsidR="00733B36" w:rsidRPr="007439DD" w:rsidRDefault="00733B36" w:rsidP="007439DD">
      <w:pPr>
        <w:pStyle w:val="ONUMFS"/>
        <w:rPr>
          <w:szCs w:val="22"/>
        </w:rPr>
      </w:pPr>
      <w:r>
        <w:t>La Convention de Paris pour la protection de la propriété industrielle (Convention de Paris) a été révisée à plusieurs reprises depuis qu</w:t>
      </w:r>
      <w:r w:rsidR="00EF134B">
        <w:t>’</w:t>
      </w:r>
      <w:r>
        <w:t xml:space="preserve">elle a été conclue </w:t>
      </w:r>
      <w:r w:rsidR="00EF134B">
        <w:t>en 1883</w:t>
      </w:r>
      <w:r>
        <w:t xml:space="preserve">.  Elle a été </w:t>
      </w:r>
      <w:r>
        <w:lastRenderedPageBreak/>
        <w:t xml:space="preserve">révisée à Bruxelles </w:t>
      </w:r>
      <w:r w:rsidR="00EF134B">
        <w:t>en 1900</w:t>
      </w:r>
      <w:r>
        <w:t xml:space="preserve">, </w:t>
      </w:r>
      <w:r w:rsidRPr="007439DD">
        <w:t xml:space="preserve">à Washington </w:t>
      </w:r>
      <w:r w:rsidR="00EF134B" w:rsidRPr="007439DD">
        <w:t>en</w:t>
      </w:r>
      <w:r w:rsidR="00EF134B">
        <w:t> </w:t>
      </w:r>
      <w:r w:rsidR="00EF134B" w:rsidRPr="007439DD">
        <w:t>1911</w:t>
      </w:r>
      <w:r w:rsidRPr="007439DD">
        <w:t xml:space="preserve">, à </w:t>
      </w:r>
      <w:r w:rsidR="00EF134B">
        <w:t>La Haye</w:t>
      </w:r>
      <w:r w:rsidRPr="007439DD">
        <w:t xml:space="preserve"> </w:t>
      </w:r>
      <w:r w:rsidR="00EF134B" w:rsidRPr="007439DD">
        <w:t>en</w:t>
      </w:r>
      <w:r w:rsidR="00EF134B">
        <w:t> </w:t>
      </w:r>
      <w:r w:rsidR="00EF134B" w:rsidRPr="007439DD">
        <w:t>1925</w:t>
      </w:r>
      <w:r w:rsidRPr="007439DD">
        <w:t xml:space="preserve">, à Londres </w:t>
      </w:r>
      <w:r w:rsidR="00EF134B" w:rsidRPr="007439DD">
        <w:t>en</w:t>
      </w:r>
      <w:r w:rsidR="00EF134B">
        <w:t> </w:t>
      </w:r>
      <w:r w:rsidR="00EF134B" w:rsidRPr="007439DD">
        <w:t>1934</w:t>
      </w:r>
      <w:r w:rsidRPr="007439DD">
        <w:t xml:space="preserve">, à Lisbonne </w:t>
      </w:r>
      <w:r w:rsidR="00EF134B" w:rsidRPr="007439DD">
        <w:t>en</w:t>
      </w:r>
      <w:r w:rsidR="00EF134B">
        <w:t> </w:t>
      </w:r>
      <w:r w:rsidR="00EF134B" w:rsidRPr="007439DD">
        <w:t>1958</w:t>
      </w:r>
      <w:r w:rsidRPr="007439DD">
        <w:t xml:space="preserve"> et à Stockholm </w:t>
      </w:r>
      <w:r w:rsidR="00EF134B" w:rsidRPr="007439DD">
        <w:t>en</w:t>
      </w:r>
      <w:r w:rsidR="00EF134B">
        <w:t> </w:t>
      </w:r>
      <w:r w:rsidR="00EF134B" w:rsidRPr="007439DD">
        <w:t>1967</w:t>
      </w:r>
      <w:r w:rsidRPr="007439DD">
        <w:t xml:space="preserve">, et a été modifiée </w:t>
      </w:r>
      <w:r w:rsidR="00EF134B" w:rsidRPr="007439DD">
        <w:t>en</w:t>
      </w:r>
      <w:r w:rsidR="00EF134B">
        <w:t> </w:t>
      </w:r>
      <w:r w:rsidR="00EF134B" w:rsidRPr="007439DD">
        <w:t>1979</w:t>
      </w:r>
      <w:r w:rsidRPr="007439DD">
        <w:t>.</w:t>
      </w:r>
    </w:p>
    <w:p w14:paraId="41650EE1" w14:textId="46C1B9A4" w:rsidR="00733B36" w:rsidRDefault="00733B36" w:rsidP="007439DD">
      <w:pPr>
        <w:pStyle w:val="ONUMFS"/>
        <w:rPr>
          <w:szCs w:val="22"/>
        </w:rPr>
      </w:pPr>
      <w:r>
        <w:t>Pour des raisons historiques, la révision de Stockholm a donné aux parties contractantes la possibilité d</w:t>
      </w:r>
      <w:r w:rsidR="00EF134B">
        <w:t>’</w:t>
      </w:r>
      <w:r>
        <w:t>accepter uniquement une partie de la révision (de l</w:t>
      </w:r>
      <w:r w:rsidR="00EF134B">
        <w:t>’</w:t>
      </w:r>
      <w:r>
        <w:t>article premier à l</w:t>
      </w:r>
      <w:r w:rsidR="00EF134B">
        <w:t>’</w:t>
      </w:r>
      <w:r>
        <w:t>article</w:t>
      </w:r>
      <w:r w:rsidR="007439DD">
        <w:t> </w:t>
      </w:r>
      <w:r>
        <w:t>12, c</w:t>
      </w:r>
      <w:r w:rsidR="00EF134B">
        <w:t>’</w:t>
      </w:r>
      <w:r>
        <w:t>est</w:t>
      </w:r>
      <w:r w:rsidR="00DA196D">
        <w:noBreakHyphen/>
      </w:r>
      <w:r>
        <w:t>à</w:t>
      </w:r>
      <w:r w:rsidR="00DA196D">
        <w:noBreakHyphen/>
      </w:r>
      <w:r>
        <w:t>dire les articles qui constituent les dispositions de fond, ou les articles</w:t>
      </w:r>
      <w:r w:rsidR="007439DD">
        <w:t> </w:t>
      </w:r>
      <w:r>
        <w:t>13 à 30, qui constituent les dispositions administratives et clauses finales) ou d</w:t>
      </w:r>
      <w:r w:rsidR="00EF134B">
        <w:t>’</w:t>
      </w:r>
      <w:r>
        <w:t>en accepter une partie préalablement à l</w:t>
      </w:r>
      <w:r w:rsidR="00EF134B">
        <w:t>’</w:t>
      </w:r>
      <w:r>
        <w:t>autre.</w:t>
      </w:r>
    </w:p>
    <w:p w14:paraId="5CF8A447" w14:textId="1DE97332" w:rsidR="00733B36" w:rsidRDefault="00733B36" w:rsidP="007439DD">
      <w:pPr>
        <w:pStyle w:val="ONUMFS"/>
        <w:rPr>
          <w:szCs w:val="22"/>
        </w:rPr>
      </w:pPr>
      <w:r>
        <w:t>Certains États membres qui ont accepté l</w:t>
      </w:r>
      <w:r w:rsidR="00EF134B">
        <w:t>’</w:t>
      </w:r>
      <w:r>
        <w:t>Acte de Stockholm à l</w:t>
      </w:r>
      <w:r w:rsidR="00EF134B">
        <w:t>’</w:t>
      </w:r>
      <w:r>
        <w:t>exclusion des dispositions de fond restent liés, à ce jour, par les dispositions de fond d</w:t>
      </w:r>
      <w:r w:rsidR="00EF134B">
        <w:t>’</w:t>
      </w:r>
      <w:r>
        <w:t>un acte antérieur qui ne tiennent pas compte des conceptions les plus récentes relatives aux sujets traités par la Conventi</w:t>
      </w:r>
      <w:r w:rsidR="00DA196D">
        <w:t>on.  Le</w:t>
      </w:r>
      <w:r>
        <w:t>s États membres concernés sont l</w:t>
      </w:r>
      <w:r w:rsidR="00EF134B">
        <w:t>’</w:t>
      </w:r>
      <w:r>
        <w:t>Argentine, les Bahamas, le Liban, Malte, les Philippines, la République</w:t>
      </w:r>
      <w:r w:rsidR="00DA196D">
        <w:noBreakHyphen/>
      </w:r>
      <w:r>
        <w:t>Unie de Tanzanie, Sri</w:t>
      </w:r>
      <w:r w:rsidR="00362F74">
        <w:t> </w:t>
      </w:r>
      <w:r>
        <w:t>Lanka et la Zambie.</w:t>
      </w:r>
    </w:p>
    <w:p w14:paraId="0BF56E08" w14:textId="2BD39D7A" w:rsidR="00EF134B" w:rsidRDefault="00733B36" w:rsidP="007439DD">
      <w:pPr>
        <w:pStyle w:val="ONUMFS"/>
      </w:pPr>
      <w:r>
        <w:t>D</w:t>
      </w:r>
      <w:r w:rsidR="00EF134B">
        <w:t>’</w:t>
      </w:r>
      <w:r>
        <w:t xml:space="preserve">autres États membres, </w:t>
      </w:r>
      <w:r w:rsidR="00EF134B">
        <w:t>à savoir</w:t>
      </w:r>
      <w:r>
        <w:t xml:space="preserve"> la République dominicaine et le Nigéria, n</w:t>
      </w:r>
      <w:r w:rsidR="00EF134B">
        <w:t>’</w:t>
      </w:r>
      <w:r>
        <w:t>ont jamais adhéré à l</w:t>
      </w:r>
      <w:r w:rsidR="00EF134B">
        <w:t>’</w:t>
      </w:r>
      <w:r>
        <w:t>Acte de Stockholm mais restent liés par un acte antérie</w:t>
      </w:r>
      <w:r w:rsidR="00DA196D">
        <w:t>ur.  De</w:t>
      </w:r>
      <w:r>
        <w:t xml:space="preserve"> ce fait, ils ne sont pas membres de l</w:t>
      </w:r>
      <w:r w:rsidR="00EF134B">
        <w:t>’</w:t>
      </w:r>
      <w:r>
        <w:t>Assemblée de l</w:t>
      </w:r>
      <w:r w:rsidR="00EF134B">
        <w:t>’</w:t>
      </w:r>
      <w:r>
        <w:t>Union de Paris et ne peuvent donc pas participer aux travaux de l</w:t>
      </w:r>
      <w:r w:rsidR="00EF134B">
        <w:t>’</w:t>
      </w:r>
      <w:r>
        <w:t>organe de prise de décisions de l</w:t>
      </w:r>
      <w:r w:rsidR="00EF134B">
        <w:t>’</w:t>
      </w:r>
      <w:r>
        <w:t>Union.</w:t>
      </w:r>
    </w:p>
    <w:p w14:paraId="561DFF1F" w14:textId="4AE20FB3" w:rsidR="00EF134B" w:rsidRDefault="00733B36" w:rsidP="007439DD">
      <w:pPr>
        <w:pStyle w:val="ONUMFS"/>
      </w:pPr>
      <w:r>
        <w:t>Les États membres concernés sont respectueusement invités à envisager une adhésion au dernier acte de la Convention de Paris ou à accepter toutes les dispositions de cet acte, selon le c</w:t>
      </w:r>
      <w:r w:rsidR="00DA196D">
        <w:t>as.  Co</w:t>
      </w:r>
      <w:r>
        <w:t>mme il l</w:t>
      </w:r>
      <w:r w:rsidR="00EF134B">
        <w:t>’</w:t>
      </w:r>
      <w:r>
        <w:t xml:space="preserve">a indiqué à plusieurs reprises, </w:t>
      </w:r>
      <w:r w:rsidR="00EF134B">
        <w:t>y compris</w:t>
      </w:r>
      <w:r>
        <w:t xml:space="preserve"> dans des </w:t>
      </w:r>
      <w:r>
        <w:rPr>
          <w:i/>
          <w:iCs/>
        </w:rPr>
        <w:t>notes verbales</w:t>
      </w:r>
      <w:r>
        <w:t xml:space="preserve"> adressées aux États membres concernés, le Secrétariat est disposé à fournir des informations et une assistance à cet égard.</w:t>
      </w:r>
    </w:p>
    <w:p w14:paraId="67D25891" w14:textId="706B0EA7" w:rsidR="00733B36" w:rsidRPr="009D391E" w:rsidRDefault="00733B36" w:rsidP="007439DD">
      <w:pPr>
        <w:pStyle w:val="Heading2"/>
      </w:pPr>
      <w:r>
        <w:t>B.</w:t>
      </w:r>
      <w:r w:rsidR="007439DD">
        <w:tab/>
      </w:r>
      <w:r>
        <w:t>Convention de Berne pour la protection des œuvres littéraires et artistiques (1886)</w:t>
      </w:r>
    </w:p>
    <w:p w14:paraId="0B9CA64B" w14:textId="2AC069D3" w:rsidR="00733B36" w:rsidRPr="005863F5" w:rsidRDefault="00733B36" w:rsidP="007439DD">
      <w:pPr>
        <w:pStyle w:val="ONUMFS"/>
        <w:rPr>
          <w:szCs w:val="22"/>
        </w:rPr>
      </w:pPr>
      <w:r>
        <w:t>La Convention de Berne pour la protection des œuvres littéraires et artistiques (Convention de Berne) a été révisée à plusieurs reprises depuis qu</w:t>
      </w:r>
      <w:r w:rsidR="00EF134B">
        <w:t>’</w:t>
      </w:r>
      <w:r>
        <w:t xml:space="preserve">elle a été conclue </w:t>
      </w:r>
      <w:r w:rsidR="00EF134B">
        <w:t>en 1886</w:t>
      </w:r>
      <w:r>
        <w:t xml:space="preserve">.  Elle a été complétée à Paris </w:t>
      </w:r>
      <w:r w:rsidR="00EF134B">
        <w:t>en 1896</w:t>
      </w:r>
      <w:r>
        <w:t xml:space="preserve">, révisée à Berlin </w:t>
      </w:r>
      <w:r w:rsidR="00EF134B">
        <w:t>en 1908</w:t>
      </w:r>
      <w:r>
        <w:t xml:space="preserve">, complétée à Berne </w:t>
      </w:r>
      <w:r w:rsidR="00EF134B">
        <w:t>en 1914</w:t>
      </w:r>
      <w:r>
        <w:t xml:space="preserve">, révisée à Rome </w:t>
      </w:r>
      <w:r w:rsidR="00EF134B">
        <w:t>en 1928</w:t>
      </w:r>
      <w:r>
        <w:t xml:space="preserve">, à Bruxelles </w:t>
      </w:r>
      <w:r w:rsidR="00EF134B">
        <w:t>en 1948</w:t>
      </w:r>
      <w:r>
        <w:t xml:space="preserve">, à Stockholm </w:t>
      </w:r>
      <w:r w:rsidR="00EF134B">
        <w:t>en 1967</w:t>
      </w:r>
      <w:r>
        <w:t xml:space="preserve"> et à Paris </w:t>
      </w:r>
      <w:r w:rsidR="00EF134B">
        <w:t>en 1971</w:t>
      </w:r>
      <w:r>
        <w:t xml:space="preserve">, et modifiée </w:t>
      </w:r>
      <w:r w:rsidR="00EF134B">
        <w:t>en 1979</w:t>
      </w:r>
      <w:r>
        <w:t>.</w:t>
      </w:r>
    </w:p>
    <w:p w14:paraId="283DE161" w14:textId="6AA5F53C" w:rsidR="00EF134B" w:rsidRDefault="00733B36" w:rsidP="007439DD">
      <w:pPr>
        <w:pStyle w:val="ONUMFS"/>
      </w:pPr>
      <w:r>
        <w:t>Pour des raisons historiques, les révisions de Stockholm et de Paris ont également donné aux parties contractantes la possibilité d</w:t>
      </w:r>
      <w:r w:rsidR="00EF134B">
        <w:t>’</w:t>
      </w:r>
      <w:r>
        <w:t>accepter uniquement une partie de la révision, c</w:t>
      </w:r>
      <w:r w:rsidR="00EF134B">
        <w:t>’</w:t>
      </w:r>
      <w:r>
        <w:t>est</w:t>
      </w:r>
      <w:r w:rsidR="00DA196D">
        <w:noBreakHyphen/>
      </w:r>
      <w:r>
        <w:t>à</w:t>
      </w:r>
      <w:r w:rsidR="00DA196D">
        <w:noBreakHyphen/>
      </w:r>
      <w:r>
        <w:t>dire d</w:t>
      </w:r>
      <w:r w:rsidR="00EF134B">
        <w:t>’</w:t>
      </w:r>
      <w:r>
        <w:t>accepter uniquement les dispositions administratives et clauses finales (articles</w:t>
      </w:r>
      <w:r w:rsidR="007439DD">
        <w:t> </w:t>
      </w:r>
      <w:r>
        <w:t>22 à 38).  Il existe encore, à ce jour, des États liés par les dispositions administratives de l</w:t>
      </w:r>
      <w:r w:rsidR="00EF134B">
        <w:t>’</w:t>
      </w:r>
      <w:r>
        <w:t>Acte de Paris uniquement (et, dans certains cas, de l</w:t>
      </w:r>
      <w:r w:rsidR="00EF134B">
        <w:t>’</w:t>
      </w:r>
      <w:r>
        <w:t>Acte de Stockholm), et non par les dispositions de fond de cet ac</w:t>
      </w:r>
      <w:r w:rsidR="00DA196D">
        <w:t>te.  Le</w:t>
      </w:r>
      <w:r>
        <w:t>s États concernés sont l</w:t>
      </w:r>
      <w:r w:rsidR="00EF134B">
        <w:t>’</w:t>
      </w:r>
      <w:r>
        <w:t>Afrique du Sud, les Bahamas, les Fidji, Malte, le Pakistan, le Tchad et le Zimbabwe.</w:t>
      </w:r>
    </w:p>
    <w:p w14:paraId="20969EE8" w14:textId="479DB490" w:rsidR="00733B36" w:rsidRPr="009C5000" w:rsidRDefault="00733B36" w:rsidP="007439DD">
      <w:pPr>
        <w:pStyle w:val="ONUMFS"/>
        <w:rPr>
          <w:szCs w:val="22"/>
        </w:rPr>
      </w:pPr>
      <w:r>
        <w:t>En revanche, d</w:t>
      </w:r>
      <w:r w:rsidR="00EF134B">
        <w:t>’</w:t>
      </w:r>
      <w:r>
        <w:t>autres États membres, qui n</w:t>
      </w:r>
      <w:r w:rsidR="00EF134B">
        <w:t>’</w:t>
      </w:r>
      <w:r>
        <w:t>ont adhéré ni à l</w:t>
      </w:r>
      <w:r w:rsidR="00EF134B">
        <w:t>’</w:t>
      </w:r>
      <w:r>
        <w:t xml:space="preserve">Acte de Stockholm ni à </w:t>
      </w:r>
      <w:proofErr w:type="gramStart"/>
      <w:r>
        <w:t>l</w:t>
      </w:r>
      <w:r w:rsidR="00EF134B">
        <w:t>’</w:t>
      </w:r>
      <w:r>
        <w:t>Acte</w:t>
      </w:r>
      <w:proofErr w:type="gramEnd"/>
      <w:r>
        <w:t xml:space="preserve"> de Paris, ne sont pas membres de l</w:t>
      </w:r>
      <w:r w:rsidR="00EF134B">
        <w:t>’</w:t>
      </w:r>
      <w:r>
        <w:t>Assemblée de l</w:t>
      </w:r>
      <w:r w:rsidR="00EF134B">
        <w:t>’</w:t>
      </w:r>
      <w:r>
        <w:t>Union de Berne et ne peuvent donc pas participer aux travaux de l</w:t>
      </w:r>
      <w:r w:rsidR="00EF134B">
        <w:t>’</w:t>
      </w:r>
      <w:r>
        <w:t>organe de prise de décisions de l</w:t>
      </w:r>
      <w:r w:rsidR="00EF134B">
        <w:t>’</w:t>
      </w:r>
      <w:r>
        <w:t>Uni</w:t>
      </w:r>
      <w:r w:rsidR="00DA196D">
        <w:t>on.  Le</w:t>
      </w:r>
      <w:r>
        <w:t xml:space="preserve"> Liban et Madagascar relèvent de cette catégor</w:t>
      </w:r>
      <w:r w:rsidR="00DA196D">
        <w:t>ie.  La</w:t>
      </w:r>
      <w:r>
        <w:t xml:space="preserve"> même offre d</w:t>
      </w:r>
      <w:r w:rsidR="00EF134B">
        <w:t>’</w:t>
      </w:r>
      <w:r>
        <w:t>information et d</w:t>
      </w:r>
      <w:r w:rsidR="00EF134B">
        <w:t>’</w:t>
      </w:r>
      <w:r>
        <w:t>assistance que celle mentionnée plus haut a été présentée aux États membres concernés et reste valable.</w:t>
      </w:r>
    </w:p>
    <w:p w14:paraId="4D5ADFEE" w14:textId="77777777" w:rsidR="00733B36" w:rsidRDefault="00733B36" w:rsidP="007439DD">
      <w:pPr>
        <w:pStyle w:val="ONUMFS"/>
        <w:rPr>
          <w:szCs w:val="22"/>
        </w:rPr>
      </w:pPr>
      <w:r>
        <w:t>Les pays concernés sont respectueusement invités à adhérer au dernier acte de la Convention de Berne ou à accepter toutes les dispositions de cet acte, selon le cas.</w:t>
      </w:r>
    </w:p>
    <w:p w14:paraId="324D8966" w14:textId="3F5E42E2" w:rsidR="00733B36" w:rsidRPr="001B679A" w:rsidRDefault="00733B36" w:rsidP="007439DD">
      <w:pPr>
        <w:pStyle w:val="Heading2"/>
        <w:ind w:left="567" w:hanging="567"/>
      </w:pPr>
      <w:r>
        <w:t>C.</w:t>
      </w:r>
      <w:r w:rsidR="007439DD">
        <w:tab/>
      </w:r>
      <w:r>
        <w:t>Arrangement de Nice concernant la classification internationale des produits et des services aux fins de l</w:t>
      </w:r>
      <w:r w:rsidR="00EF134B">
        <w:t>’</w:t>
      </w:r>
      <w:r>
        <w:t>enregistrement des marques (1957)</w:t>
      </w:r>
    </w:p>
    <w:p w14:paraId="639CE306" w14:textId="113D900E" w:rsidR="00733B36" w:rsidRDefault="00733B36" w:rsidP="007439DD">
      <w:pPr>
        <w:pStyle w:val="ONUMFS"/>
      </w:pPr>
      <w:r>
        <w:t>L</w:t>
      </w:r>
      <w:r w:rsidR="00EF134B">
        <w:t>’</w:t>
      </w:r>
      <w:r>
        <w:t>Arrangement de Nice a été révisé deux</w:t>
      </w:r>
      <w:r w:rsidR="00362F74">
        <w:t> </w:t>
      </w:r>
      <w:r>
        <w:t xml:space="preserve">fois depuis son adoption </w:t>
      </w:r>
      <w:r w:rsidR="00EF134B">
        <w:t>en 1957</w:t>
      </w:r>
      <w:r>
        <w:t xml:space="preserve">, à Stockholm </w:t>
      </w:r>
      <w:r w:rsidR="00EF134B">
        <w:t>en 1967</w:t>
      </w:r>
      <w:r>
        <w:t xml:space="preserve"> et à Genève </w:t>
      </w:r>
      <w:r w:rsidR="00EF134B">
        <w:t>en 1977</w:t>
      </w:r>
      <w:r>
        <w:t xml:space="preserve">.  Certains États membres, </w:t>
      </w:r>
      <w:r w:rsidR="00EF134B">
        <w:t>à savoir</w:t>
      </w:r>
      <w:r>
        <w:t xml:space="preserve"> l</w:t>
      </w:r>
      <w:r w:rsidR="00EF134B">
        <w:t>’</w:t>
      </w:r>
      <w:r>
        <w:t xml:space="preserve">Algérie, Israël et le Maroc, </w:t>
      </w:r>
      <w:r>
        <w:lastRenderedPageBreak/>
        <w:t>restent liés par l</w:t>
      </w:r>
      <w:r w:rsidR="00EF134B">
        <w:t>’</w:t>
      </w:r>
      <w:r>
        <w:t>Acte de Stockholm, et deux</w:t>
      </w:r>
      <w:r w:rsidR="00362F74">
        <w:t> </w:t>
      </w:r>
      <w:r>
        <w:t>autres États, le Liban et la Tunisie (qui, par conséquent, ne sont pas membres de l</w:t>
      </w:r>
      <w:r w:rsidR="00EF134B">
        <w:t>’</w:t>
      </w:r>
      <w:r>
        <w:t>assemblée), restent liés par l</w:t>
      </w:r>
      <w:r w:rsidR="00EF134B">
        <w:t>’</w:t>
      </w:r>
      <w:r>
        <w:t>arrangement initi</w:t>
      </w:r>
      <w:r w:rsidR="00DA196D">
        <w:t>al.  Ce</w:t>
      </w:r>
      <w:r>
        <w:t>s États sont respectueusement invités à envisager une adhésion à l</w:t>
      </w:r>
      <w:r w:rsidR="00EF134B">
        <w:t>’</w:t>
      </w:r>
      <w:r>
        <w:t>Acte de Genève de l</w:t>
      </w:r>
      <w:r w:rsidR="00EF134B">
        <w:t>’</w:t>
      </w:r>
      <w:r>
        <w:t>Arrangement de Nice ou une ratification dudit Acte, et le Secrétariat est disposé à fournir toute assistance nécessaire à cet égard.</w:t>
      </w:r>
    </w:p>
    <w:p w14:paraId="14BE3646" w14:textId="74B1787B" w:rsidR="00733B36" w:rsidRPr="007439DD" w:rsidRDefault="00733B36" w:rsidP="007439DD">
      <w:pPr>
        <w:pStyle w:val="Heading2"/>
        <w:ind w:left="567" w:hanging="567"/>
      </w:pPr>
      <w:r w:rsidRPr="007439DD">
        <w:t>D.</w:t>
      </w:r>
      <w:r w:rsidR="007439DD">
        <w:tab/>
      </w:r>
      <w:r w:rsidRPr="007439DD">
        <w:t>Arrangement de Lisbonne concernant la protection des appellations d</w:t>
      </w:r>
      <w:r w:rsidR="00EF134B">
        <w:t>’</w:t>
      </w:r>
      <w:r w:rsidRPr="007439DD">
        <w:t>origine et leur enregistrement international (1958)</w:t>
      </w:r>
    </w:p>
    <w:p w14:paraId="64C74DE4" w14:textId="14163D43" w:rsidR="00733B36" w:rsidRPr="007439DD" w:rsidRDefault="00733B36" w:rsidP="007439DD">
      <w:pPr>
        <w:pStyle w:val="ONUMFS"/>
      </w:pPr>
      <w:r>
        <w:t>L</w:t>
      </w:r>
      <w:r w:rsidR="00EF134B">
        <w:t>’</w:t>
      </w:r>
      <w:r>
        <w:t xml:space="preserve">Arrangement de Lisbonne, adopté </w:t>
      </w:r>
      <w:r w:rsidR="00EF134B">
        <w:t>en 1958</w:t>
      </w:r>
      <w:r>
        <w:t xml:space="preserve">, a été révisé à Stockholm </w:t>
      </w:r>
      <w:r w:rsidR="00EF134B">
        <w:t>en 1967</w:t>
      </w:r>
      <w:r>
        <w:t xml:space="preserve">, et modifié </w:t>
      </w:r>
      <w:r w:rsidR="00EF134B">
        <w:t>en 1979</w:t>
      </w:r>
      <w:r>
        <w:t>.  Ainsi qu</w:t>
      </w:r>
      <w:r w:rsidR="00EF134B">
        <w:t>’</w:t>
      </w:r>
      <w:r>
        <w:t>il est indiqué plus haut pour les autres traités, Haïti, qui n</w:t>
      </w:r>
      <w:r w:rsidR="00EF134B">
        <w:t>’</w:t>
      </w:r>
      <w:r>
        <w:t>est pas lié par l</w:t>
      </w:r>
      <w:r w:rsidR="00EF134B">
        <w:t>’</w:t>
      </w:r>
      <w:r>
        <w:t>Acte de Stockholm de l</w:t>
      </w:r>
      <w:r w:rsidR="00EF134B">
        <w:t>’</w:t>
      </w:r>
      <w:r>
        <w:t>Arrangement de Lisbonne et, par conséquent, n</w:t>
      </w:r>
      <w:r w:rsidR="00EF134B">
        <w:t>’</w:t>
      </w:r>
      <w:r>
        <w:t>est pas membre de l</w:t>
      </w:r>
      <w:r w:rsidR="00EF134B">
        <w:t>’</w:t>
      </w:r>
      <w:r>
        <w:t>Assemblée de l</w:t>
      </w:r>
      <w:r w:rsidR="00EF134B">
        <w:t>’</w:t>
      </w:r>
      <w:r>
        <w:t>Union de Lisbonne, est respectueusement invité à adhérer au dernier acte en vigueur.</w:t>
      </w:r>
    </w:p>
    <w:p w14:paraId="10FE641D" w14:textId="77777777" w:rsidR="00EF134B" w:rsidRDefault="00733B36" w:rsidP="007439DD">
      <w:pPr>
        <w:pStyle w:val="Heading1"/>
        <w:rPr>
          <w:i/>
        </w:rPr>
      </w:pPr>
      <w:r w:rsidRPr="007439DD">
        <w:t>II.</w:t>
      </w:r>
      <w:r w:rsidRPr="007439DD">
        <w:tab/>
        <w:t>Réforme statutaire</w:t>
      </w:r>
    </w:p>
    <w:p w14:paraId="3F123CAC" w14:textId="77777777" w:rsidR="00EF134B" w:rsidRDefault="00733B36" w:rsidP="007439DD">
      <w:pPr>
        <w:pStyle w:val="ONUMFS"/>
      </w:pPr>
      <w:r>
        <w:t>Pour donner suite à la demande formulée par le Comité du programme et budget (PBC) lors des délibérations sur les questions relatives à la gouvernance, le Secrétariat a, à plusieurs reprises, fourni aux États membres des informations sur le processus de réforme statutaire.</w:t>
      </w:r>
    </w:p>
    <w:p w14:paraId="1843F392" w14:textId="4CCBBE1F" w:rsidR="00733B36" w:rsidRDefault="00733B36" w:rsidP="007439DD">
      <w:pPr>
        <w:pStyle w:val="ONUMFS"/>
      </w:pPr>
      <w:r>
        <w:t>Il a présenté un exposé sur ce sujet à la vingt</w:t>
      </w:r>
      <w:r w:rsidR="00DA196D">
        <w:noBreakHyphen/>
      </w:r>
      <w:r>
        <w:t>six</w:t>
      </w:r>
      <w:r w:rsidR="00EF134B">
        <w:t>ième session du PBC</w:t>
      </w:r>
      <w:r>
        <w:t xml:space="preserve"> tenue du 10 au 14</w:t>
      </w:r>
      <w:r w:rsidR="007439DD">
        <w:t> </w:t>
      </w:r>
      <w:r w:rsidR="00EF134B">
        <w:t>juillet 20</w:t>
      </w:r>
      <w:r>
        <w:t xml:space="preserve">17 (voir le </w:t>
      </w:r>
      <w:r w:rsidR="00EF134B">
        <w:t>document WO</w:t>
      </w:r>
      <w:r>
        <w:t>/PBC/26/8).  À la suite de cet exposé et à la demande</w:t>
      </w:r>
      <w:r w:rsidR="00EF134B">
        <w:t xml:space="preserve"> du PBC</w:t>
      </w:r>
      <w:r>
        <w:t>, le Secrétariat a rendu compte</w:t>
      </w:r>
      <w:r w:rsidR="00EF134B">
        <w:t xml:space="preserve"> au PBC</w:t>
      </w:r>
      <w:r>
        <w:t>, à ses vingt</w:t>
      </w:r>
      <w:r w:rsidR="00DA196D">
        <w:noBreakHyphen/>
      </w:r>
      <w:proofErr w:type="gramStart"/>
      <w:r>
        <w:t>huitième et trent</w:t>
      </w:r>
      <w:r w:rsidR="00EF134B">
        <w:t>ième session</w:t>
      </w:r>
      <w:r>
        <w:t>s</w:t>
      </w:r>
      <w:proofErr w:type="gramEnd"/>
      <w:r>
        <w:t xml:space="preserve">, de la situation concernant la mise en œuvre des modifications </w:t>
      </w:r>
      <w:r w:rsidR="00EF134B">
        <w:t>de 1999</w:t>
      </w:r>
      <w:r>
        <w:t xml:space="preserve"> et </w:t>
      </w:r>
      <w:r w:rsidR="00EF134B">
        <w:t>de 2003</w:t>
      </w:r>
      <w:r>
        <w:t xml:space="preserve"> (voir respectivement les </w:t>
      </w:r>
      <w:r w:rsidR="00EF134B">
        <w:t>documents WO</w:t>
      </w:r>
      <w:r>
        <w:t>/PBC/28/12 et WO/PBC/30/13</w:t>
      </w:r>
      <w:r w:rsidR="00362F74">
        <w:t> </w:t>
      </w:r>
      <w:proofErr w:type="spellStart"/>
      <w:r>
        <w:t>Rev</w:t>
      </w:r>
      <w:proofErr w:type="spellEnd"/>
      <w:r>
        <w:t>.) et a établi régulièrement des documents d</w:t>
      </w:r>
      <w:r w:rsidR="00EF134B">
        <w:t>’</w:t>
      </w:r>
      <w:r>
        <w:t>information à l</w:t>
      </w:r>
      <w:r w:rsidR="00EF134B">
        <w:t>’</w:t>
      </w:r>
      <w:r>
        <w:t>occasion des assemblées des États membres de l</w:t>
      </w:r>
      <w:r w:rsidR="00EF134B">
        <w:t>’</w:t>
      </w:r>
      <w:r>
        <w:t>OMPI et des unions administrées par l</w:t>
      </w:r>
      <w:r w:rsidR="00EF134B">
        <w:t>’</w:t>
      </w:r>
      <w:r>
        <w:t>OMPI.</w:t>
      </w:r>
    </w:p>
    <w:p w14:paraId="2642EC2C" w14:textId="7E440BBB" w:rsidR="00EF134B" w:rsidRDefault="00733B36" w:rsidP="007439DD">
      <w:pPr>
        <w:pStyle w:val="ONUMFS"/>
      </w:pPr>
      <w:r>
        <w:t xml:space="preserve">Il convient de rappeler que la modification apportée </w:t>
      </w:r>
      <w:r w:rsidR="00EF134B">
        <w:t>en 1999</w:t>
      </w:r>
      <w:r>
        <w:t xml:space="preserve"> à la Convention instituant l</w:t>
      </w:r>
      <w:r w:rsidR="00EF134B">
        <w:t>’</w:t>
      </w:r>
      <w:r>
        <w:t>OMPI limiterait le nombre de mandats qu</w:t>
      </w:r>
      <w:r w:rsidR="00EF134B">
        <w:t>’</w:t>
      </w:r>
      <w:r>
        <w:t>un Directeur général pourrait accomplir à deux</w:t>
      </w:r>
      <w:r w:rsidR="00362F74">
        <w:t> </w:t>
      </w:r>
      <w:r>
        <w:t>périodes déterminées de six</w:t>
      </w:r>
      <w:r w:rsidR="00362F74">
        <w:t> </w:t>
      </w:r>
      <w:r>
        <w:t>années chacu</w:t>
      </w:r>
      <w:r w:rsidR="00DA196D">
        <w:t>ne.  Le</w:t>
      </w:r>
      <w:r>
        <w:t xml:space="preserve">s modifications apportées </w:t>
      </w:r>
      <w:r w:rsidR="00EF134B">
        <w:t>en 2003</w:t>
      </w:r>
      <w:r>
        <w:t xml:space="preserve"> à la Convention instituant l</w:t>
      </w:r>
      <w:r w:rsidR="00EF134B">
        <w:t>’</w:t>
      </w:r>
      <w:r>
        <w:t>OMPI et à d</w:t>
      </w:r>
      <w:r w:rsidR="00EF134B">
        <w:t>’</w:t>
      </w:r>
      <w:r>
        <w:t>autres traités administrés par l</w:t>
      </w:r>
      <w:r w:rsidR="00EF134B">
        <w:t>’</w:t>
      </w:r>
      <w:r>
        <w:t>OMPI visaient à</w:t>
      </w:r>
      <w:r w:rsidR="00EF134B">
        <w:t> :</w:t>
      </w:r>
      <w:r>
        <w:t xml:space="preserve"> i)</w:t>
      </w:r>
      <w:r w:rsidR="00362F74">
        <w:t> </w:t>
      </w:r>
      <w:r>
        <w:t xml:space="preserve">dissoudre la Conférence de </w:t>
      </w:r>
      <w:proofErr w:type="gramStart"/>
      <w:r>
        <w:t>l</w:t>
      </w:r>
      <w:r w:rsidR="00EF134B">
        <w:t>’</w:t>
      </w:r>
      <w:r>
        <w:t>OMPI;  ii</w:t>
      </w:r>
      <w:proofErr w:type="gramEnd"/>
      <w:r>
        <w:t>)</w:t>
      </w:r>
      <w:r w:rsidR="00362F74">
        <w:t> </w:t>
      </w:r>
      <w:r>
        <w:t xml:space="preserve">officialiser le système de contribution unique et les changements apportés aux classes de contribution qui étaient appliqués dans la pratique </w:t>
      </w:r>
      <w:r w:rsidR="00EF134B">
        <w:t>depuis 1994</w:t>
      </w:r>
      <w:r>
        <w:t>;  et iii)</w:t>
      </w:r>
      <w:r w:rsidR="00362F74">
        <w:t> </w:t>
      </w:r>
      <w:r>
        <w:t>établir des sessions ordinaires annuelles (plutôt que bisannuelles) de l</w:t>
      </w:r>
      <w:r w:rsidR="00EF134B">
        <w:t>’</w:t>
      </w:r>
      <w:r>
        <w:t>Assemblée générale de l</w:t>
      </w:r>
      <w:r w:rsidR="00EF134B">
        <w:t>’</w:t>
      </w:r>
      <w:r>
        <w:t>OMPI et des autres assemblées des unions administrées par l</w:t>
      </w:r>
      <w:r w:rsidR="00EF134B">
        <w:t>’</w:t>
      </w:r>
      <w:r>
        <w:t>OMPI.</w:t>
      </w:r>
    </w:p>
    <w:p w14:paraId="21687A96" w14:textId="639F6766" w:rsidR="00733B36" w:rsidRDefault="00733B36" w:rsidP="007439DD">
      <w:pPr>
        <w:pStyle w:val="ONUMFS"/>
      </w:pPr>
      <w:r>
        <w:t>Aucune de ces modifications n</w:t>
      </w:r>
      <w:r w:rsidR="00EF134B">
        <w:t>’</w:t>
      </w:r>
      <w:r>
        <w:t>est entrée en vigueur du fait que le Directeur général n</w:t>
      </w:r>
      <w:r w:rsidR="00EF134B">
        <w:t>’</w:t>
      </w:r>
      <w:r>
        <w:t>a pas encore reçu le nombre de notifications d</w:t>
      </w:r>
      <w:r w:rsidR="00EF134B">
        <w:t>’</w:t>
      </w:r>
      <w:r>
        <w:t>acceptation des modifications requis de la part des États membres de l</w:t>
      </w:r>
      <w:r w:rsidR="00EF134B">
        <w:t>’</w:t>
      </w:r>
      <w:r>
        <w:t>O</w:t>
      </w:r>
      <w:r w:rsidR="00DA196D">
        <w:t>MPI.  En</w:t>
      </w:r>
      <w:r>
        <w:t xml:space="preserve"> conséquence, il y a un décalage entre le fonctionnement de l</w:t>
      </w:r>
      <w:r w:rsidR="00EF134B">
        <w:t>’</w:t>
      </w:r>
      <w:r>
        <w:t>OMPI et sa structure statutaire.</w:t>
      </w:r>
    </w:p>
    <w:p w14:paraId="40339C98" w14:textId="48811A85" w:rsidR="00733B36" w:rsidRDefault="00733B36" w:rsidP="007439DD">
      <w:pPr>
        <w:pStyle w:val="ONUMFS"/>
      </w:pPr>
      <w:r>
        <w:t>À ce jour, le Directeur général a reçu 56</w:t>
      </w:r>
      <w:r w:rsidR="007439DD">
        <w:t> </w:t>
      </w:r>
      <w:r>
        <w:t>notifications d</w:t>
      </w:r>
      <w:r w:rsidR="00EF134B">
        <w:t>’</w:t>
      </w:r>
      <w:r>
        <w:t xml:space="preserve">acceptation sur les 129 requises pour la modification </w:t>
      </w:r>
      <w:r w:rsidR="00EF134B">
        <w:t>de 1999</w:t>
      </w:r>
      <w:r>
        <w:t>, et 23 sur les 135</w:t>
      </w:r>
      <w:r w:rsidR="007439DD">
        <w:t> </w:t>
      </w:r>
      <w:r>
        <w:t xml:space="preserve">notifications requises pour les modifications </w:t>
      </w:r>
      <w:r w:rsidR="00EF134B">
        <w:t>de 2003</w:t>
      </w:r>
      <w:r>
        <w:t xml:space="preserve">. </w:t>
      </w:r>
      <w:r w:rsidR="007439DD">
        <w:t xml:space="preserve"> </w:t>
      </w:r>
      <w:r>
        <w:t>Voir la publication n°</w:t>
      </w:r>
      <w:r w:rsidR="007439DD">
        <w:t> </w:t>
      </w:r>
      <w:r>
        <w:t>423 de l</w:t>
      </w:r>
      <w:r w:rsidR="00EF134B">
        <w:t>’</w:t>
      </w:r>
      <w:r>
        <w:t>OMPI, qui est reproduite dans l</w:t>
      </w:r>
      <w:r w:rsidR="00EF134B">
        <w:t>’</w:t>
      </w:r>
      <w:r>
        <w:t>annexe du présent document.</w:t>
      </w:r>
    </w:p>
    <w:p w14:paraId="71B29283" w14:textId="28368EDE" w:rsidR="00EF134B" w:rsidRDefault="00733B36" w:rsidP="007439DD">
      <w:pPr>
        <w:pStyle w:val="ONUMFS"/>
      </w:pPr>
      <w:r>
        <w:t>Les États membres sont respectueusement invités à transmettre leurs instruments d</w:t>
      </w:r>
      <w:r w:rsidR="00EF134B">
        <w:t>’</w:t>
      </w:r>
      <w:r>
        <w:t>acceptation des modifications aux traités pertinents administrés par l</w:t>
      </w:r>
      <w:r w:rsidR="00EF134B">
        <w:t>’</w:t>
      </w:r>
      <w:r>
        <w:t>O</w:t>
      </w:r>
      <w:r w:rsidR="00DA196D">
        <w:t>MPI.  Il</w:t>
      </w:r>
      <w:r>
        <w:t>s combleraient ainsi l</w:t>
      </w:r>
      <w:r w:rsidR="00EF134B">
        <w:t>’</w:t>
      </w:r>
      <w:r>
        <w:t>écart susmentionné et mèneraient à son terme un processus de rationalisation de la structure de gouvernance de l</w:t>
      </w:r>
      <w:r w:rsidR="00EF134B">
        <w:t>’</w:t>
      </w:r>
      <w:r>
        <w:t>Organisation.</w:t>
      </w:r>
    </w:p>
    <w:p w14:paraId="264A9920" w14:textId="1934F34B" w:rsidR="00733B36" w:rsidRDefault="00733B36" w:rsidP="007439DD">
      <w:pPr>
        <w:pStyle w:val="EndofDocument"/>
        <w:spacing w:before="720"/>
        <w:ind w:left="5533"/>
      </w:pPr>
      <w:r>
        <w:rPr>
          <w:rFonts w:ascii="Arial" w:hAnsi="Arial"/>
          <w:sz w:val="22"/>
        </w:rPr>
        <w:t>[L</w:t>
      </w:r>
      <w:r w:rsidR="00EF134B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 suit]</w:t>
      </w:r>
    </w:p>
    <w:sectPr w:rsidR="00733B36" w:rsidSect="00733B3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0C42" w14:textId="77777777" w:rsidR="00733B36" w:rsidRDefault="00733B36">
      <w:r>
        <w:separator/>
      </w:r>
    </w:p>
  </w:endnote>
  <w:endnote w:type="continuationSeparator" w:id="0">
    <w:p w14:paraId="0C257DFA" w14:textId="77777777" w:rsidR="00733B36" w:rsidRPr="009D30E6" w:rsidRDefault="00733B3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55E9493" w14:textId="77777777" w:rsidR="00733B36" w:rsidRPr="009D30E6" w:rsidRDefault="00733B3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43657B0" w14:textId="77777777" w:rsidR="00733B36" w:rsidRPr="009D30E6" w:rsidRDefault="00733B3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BE66" w14:textId="77777777" w:rsidR="00733B36" w:rsidRDefault="00733B36">
      <w:r>
        <w:separator/>
      </w:r>
    </w:p>
  </w:footnote>
  <w:footnote w:type="continuationSeparator" w:id="0">
    <w:p w14:paraId="0A2133A9" w14:textId="77777777" w:rsidR="00733B36" w:rsidRDefault="00733B36" w:rsidP="007461F1">
      <w:r>
        <w:separator/>
      </w:r>
    </w:p>
    <w:p w14:paraId="36C7991C" w14:textId="77777777" w:rsidR="00733B36" w:rsidRPr="009D30E6" w:rsidRDefault="00733B3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DE39F8F" w14:textId="77777777" w:rsidR="00733B36" w:rsidRPr="009D30E6" w:rsidRDefault="00733B3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6E12556" w14:textId="380A408A" w:rsidR="00733B36" w:rsidRPr="00474B67" w:rsidRDefault="00733B36" w:rsidP="00733B36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7439DD">
        <w:tab/>
        <w:t>I</w:t>
      </w:r>
      <w:r>
        <w:t>l s</w:t>
      </w:r>
      <w:r w:rsidR="00D33271">
        <w:t>’</w:t>
      </w:r>
      <w:r>
        <w:t>agit de la Convention de Paris pour la protection de la propriété industrielle, de la Convention de Berne pour la protection des œuvres littéraires et artistiques, de l</w:t>
      </w:r>
      <w:r w:rsidR="00D33271">
        <w:t>’</w:t>
      </w:r>
      <w:r>
        <w:t>Arrangement de Nice concernant la classification internationale des produits et des services aux fins de l</w:t>
      </w:r>
      <w:r w:rsidR="00D33271">
        <w:t>’</w:t>
      </w:r>
      <w:r>
        <w:t>enregistrement des marques et de l</w:t>
      </w:r>
      <w:r w:rsidR="00D33271">
        <w:t>’</w:t>
      </w:r>
      <w:r>
        <w:t>Arrangement de Lisbonne concernant la protection des appellations d</w:t>
      </w:r>
      <w:r w:rsidR="00D33271">
        <w:t>’</w:t>
      </w:r>
      <w:r>
        <w:t>origine et leur enregistrement international, pour ce qui concerne l</w:t>
      </w:r>
      <w:r w:rsidR="00D33271">
        <w:t>’</w:t>
      </w:r>
      <w:r>
        <w:t xml:space="preserve">Acte de Stockholm </w:t>
      </w:r>
      <w:r w:rsidR="00D33271">
        <w:t>de 1967</w:t>
      </w:r>
      <w:r>
        <w:t xml:space="preserve"> dudit Arrangement.</w:t>
      </w:r>
    </w:p>
  </w:footnote>
  <w:footnote w:id="3">
    <w:p w14:paraId="56621D5F" w14:textId="24873EFC" w:rsidR="00733B36" w:rsidRPr="00474B67" w:rsidRDefault="00733B36" w:rsidP="007439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39DD">
        <w:tab/>
      </w:r>
      <w:r>
        <w:t>Voir la deuxième partie consacrée à la réforme statutaire.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7105" w14:textId="77777777" w:rsidR="00F16975" w:rsidRDefault="00733B36" w:rsidP="00477D6B">
    <w:pPr>
      <w:jc w:val="right"/>
    </w:pPr>
    <w:bookmarkStart w:id="5" w:name="Code2"/>
    <w:bookmarkEnd w:id="5"/>
    <w:r>
      <w:t>A/65/INF/3</w:t>
    </w:r>
  </w:p>
  <w:p w14:paraId="18313256" w14:textId="35907B24" w:rsidR="004F4E31" w:rsidRDefault="00F16975" w:rsidP="007439DD">
    <w:pPr>
      <w:spacing w:after="480"/>
      <w:jc w:val="right"/>
    </w:pPr>
    <w:proofErr w:type="gramStart"/>
    <w:r>
      <w:t>page</w:t>
    </w:r>
    <w:proofErr w:type="gramEnd"/>
    <w:r w:rsidR="007439D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5739D0"/>
    <w:multiLevelType w:val="hybridMultilevel"/>
    <w:tmpl w:val="FF4801D4"/>
    <w:lvl w:ilvl="0" w:tplc="9762FB8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208151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36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65E59"/>
    <w:rsid w:val="002D4918"/>
    <w:rsid w:val="002E4D1A"/>
    <w:rsid w:val="002F16BC"/>
    <w:rsid w:val="002F4E68"/>
    <w:rsid w:val="00315FCA"/>
    <w:rsid w:val="00362F74"/>
    <w:rsid w:val="003845C1"/>
    <w:rsid w:val="00391035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33B36"/>
    <w:rsid w:val="007439DD"/>
    <w:rsid w:val="007461F1"/>
    <w:rsid w:val="007B2215"/>
    <w:rsid w:val="007D6961"/>
    <w:rsid w:val="007F07CB"/>
    <w:rsid w:val="00810CEF"/>
    <w:rsid w:val="0081208D"/>
    <w:rsid w:val="00842A13"/>
    <w:rsid w:val="008A2F28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85F03"/>
    <w:rsid w:val="00AA1F20"/>
    <w:rsid w:val="00AC0AE4"/>
    <w:rsid w:val="00AD61DB"/>
    <w:rsid w:val="00B87BCF"/>
    <w:rsid w:val="00BA62D4"/>
    <w:rsid w:val="00C3552C"/>
    <w:rsid w:val="00C40E15"/>
    <w:rsid w:val="00C664C8"/>
    <w:rsid w:val="00C76A79"/>
    <w:rsid w:val="00CA15F5"/>
    <w:rsid w:val="00CF0460"/>
    <w:rsid w:val="00D33271"/>
    <w:rsid w:val="00D45252"/>
    <w:rsid w:val="00D71B4D"/>
    <w:rsid w:val="00D75C1E"/>
    <w:rsid w:val="00D93D55"/>
    <w:rsid w:val="00DA196D"/>
    <w:rsid w:val="00DB0349"/>
    <w:rsid w:val="00DD6A16"/>
    <w:rsid w:val="00E0091A"/>
    <w:rsid w:val="00E203AA"/>
    <w:rsid w:val="00E527A5"/>
    <w:rsid w:val="00E76456"/>
    <w:rsid w:val="00EE71CB"/>
    <w:rsid w:val="00EF134B"/>
    <w:rsid w:val="00F16975"/>
    <w:rsid w:val="00F66152"/>
    <w:rsid w:val="00F6696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D12EAB"/>
  <w15:docId w15:val="{7D52BD1B-240D-461D-AD6E-35E93501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7439DD"/>
    <w:pPr>
      <w:outlineLvl w:val="0"/>
    </w:pPr>
    <w:rPr>
      <w:i w:val="0"/>
      <w:iCs/>
      <w:caps/>
    </w:rPr>
  </w:style>
  <w:style w:type="paragraph" w:styleId="Heading2">
    <w:name w:val="heading 2"/>
    <w:basedOn w:val="Heading3"/>
    <w:next w:val="Normal"/>
    <w:qFormat/>
    <w:rsid w:val="007439DD"/>
    <w:pPr>
      <w:outlineLvl w:val="1"/>
    </w:pPr>
  </w:style>
  <w:style w:type="paragraph" w:styleId="Heading3">
    <w:name w:val="heading 3"/>
    <w:basedOn w:val="Normal"/>
    <w:next w:val="Normal"/>
    <w:qFormat/>
    <w:rsid w:val="007439DD"/>
    <w:pPr>
      <w:keepNext/>
      <w:spacing w:before="240" w:after="240"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733B36"/>
    <w:rPr>
      <w:vertAlign w:val="superscript"/>
    </w:rPr>
  </w:style>
  <w:style w:type="paragraph" w:styleId="BodyTextIndent">
    <w:name w:val="Body Text Indent"/>
    <w:basedOn w:val="Normal"/>
    <w:link w:val="BodyTextIndentChar"/>
    <w:rsid w:val="00733B36"/>
    <w:pPr>
      <w:ind w:left="567"/>
    </w:pPr>
    <w:rPr>
      <w:rFonts w:ascii="Times New Roman" w:eastAsia="Times New Roman" w:hAnsi="Times New Roman" w:cs="Times New Roman"/>
      <w:sz w:val="24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733B36"/>
    <w:rPr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733B36"/>
    <w:pPr>
      <w:ind w:left="720"/>
      <w:contextualSpacing/>
    </w:pPr>
    <w:rPr>
      <w:lang w:val="fr-FR"/>
    </w:rPr>
  </w:style>
  <w:style w:type="paragraph" w:customStyle="1" w:styleId="EndofDocument">
    <w:name w:val="End of Document"/>
    <w:basedOn w:val="Normal"/>
    <w:rsid w:val="00733B36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character" w:styleId="Hyperlink">
    <w:name w:val="Hyperlink"/>
    <w:basedOn w:val="DefaultParagraphFont"/>
    <w:semiHidden/>
    <w:unhideWhenUsed/>
    <w:rsid w:val="00DA1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0</TotalTime>
  <Pages>3</Pages>
  <Words>1353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</vt:lpstr>
    </vt:vector>
  </TitlesOfParts>
  <Company>WIPO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A/65/INF/3</dc:title>
  <dc:creator>LE GUEN Haude</dc:creator>
  <cp:keywords>FOR OFFICIAL USE ONLY</cp:keywords>
  <cp:lastModifiedBy>Raquel Mallo Alvarez </cp:lastModifiedBy>
  <cp:revision>2</cp:revision>
  <cp:lastPrinted>2011-05-19T12:37:00Z</cp:lastPrinted>
  <dcterms:created xsi:type="dcterms:W3CDTF">2024-07-04T10:07:00Z</dcterms:created>
  <dcterms:modified xsi:type="dcterms:W3CDTF">2024-07-04T10:07:00Z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