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DA" w:rsidRPr="008B2CC1" w:rsidRDefault="000048DA" w:rsidP="000048DA">
      <w:pPr>
        <w:spacing w:after="120"/>
        <w:jc w:val="right"/>
      </w:pPr>
      <w:bookmarkStart w:id="0" w:name="TitleOfDoc"/>
      <w:r>
        <w:rPr>
          <w:noProof/>
          <w:lang w:val="en-US" w:eastAsia="en-US"/>
        </w:rPr>
        <w:drawing>
          <wp:inline distT="0" distB="0" distL="0" distR="0" wp14:anchorId="3C875E0A" wp14:editId="302F74E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27A4C8DE" wp14:editId="77BAA5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165CF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0048DA" w:rsidRPr="00DB0349" w:rsidRDefault="000048DA" w:rsidP="000048DA">
      <w:pPr>
        <w:jc w:val="right"/>
        <w:rPr>
          <w:rFonts w:ascii="Arial Black" w:hAnsi="Arial Black"/>
          <w:caps/>
          <w:sz w:val="15"/>
          <w:szCs w:val="15"/>
        </w:rPr>
      </w:pPr>
      <w:r w:rsidRPr="00170776">
        <w:rPr>
          <w:rFonts w:ascii="Arial Black" w:hAnsi="Arial Black"/>
          <w:caps/>
          <w:sz w:val="15"/>
          <w:szCs w:val="15"/>
        </w:rPr>
        <w:t>BP/A/39/</w:t>
      </w:r>
      <w:bookmarkStart w:id="1" w:name="Code"/>
      <w:r>
        <w:rPr>
          <w:rFonts w:ascii="Arial Black" w:hAnsi="Arial Black"/>
          <w:caps/>
          <w:sz w:val="15"/>
          <w:szCs w:val="15"/>
        </w:rPr>
        <w:t>1</w:t>
      </w:r>
    </w:p>
    <w:bookmarkEnd w:id="1"/>
    <w:p w:rsidR="000048DA" w:rsidRPr="00DB0349" w:rsidRDefault="000048DA" w:rsidP="000048DA">
      <w:pPr>
        <w:jc w:val="right"/>
        <w:rPr>
          <w:rFonts w:ascii="Arial Black" w:hAnsi="Arial Black"/>
          <w:caps/>
          <w:sz w:val="15"/>
          <w:szCs w:val="15"/>
        </w:rPr>
      </w:pPr>
      <w:r>
        <w:rPr>
          <w:rFonts w:ascii="Arial Black" w:hAnsi="Arial Black"/>
          <w:caps/>
          <w:sz w:val="15"/>
          <w:szCs w:val="15"/>
        </w:rPr>
        <w:t xml:space="preserve">Original : </w:t>
      </w:r>
      <w:bookmarkStart w:id="2" w:name="Original"/>
      <w:r>
        <w:rPr>
          <w:rFonts w:ascii="Arial Black" w:hAnsi="Arial Black"/>
          <w:caps/>
          <w:sz w:val="15"/>
          <w:szCs w:val="15"/>
        </w:rPr>
        <w:t>anglais</w:t>
      </w:r>
    </w:p>
    <w:bookmarkEnd w:id="2"/>
    <w:p w:rsidR="000048DA" w:rsidRPr="00DB0349" w:rsidRDefault="000048DA" w:rsidP="000048DA">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Pr>
          <w:rFonts w:ascii="Arial Black" w:hAnsi="Arial Black"/>
          <w:caps/>
          <w:sz w:val="15"/>
          <w:szCs w:val="15"/>
        </w:rPr>
        <w:t>13 mai 2022</w:t>
      </w:r>
    </w:p>
    <w:bookmarkEnd w:id="3"/>
    <w:p w:rsidR="000048DA" w:rsidRPr="00CB7EE4" w:rsidRDefault="000048DA" w:rsidP="000048DA">
      <w:pPr>
        <w:spacing w:after="600"/>
        <w:rPr>
          <w:b/>
          <w:sz w:val="28"/>
          <w:szCs w:val="28"/>
        </w:rPr>
      </w:pPr>
      <w:r w:rsidRPr="00CB7EE4">
        <w:rPr>
          <w:b/>
          <w:sz w:val="28"/>
          <w:szCs w:val="28"/>
        </w:rPr>
        <w:t>Union pour la reconnaissance internationale du dépôt des micro</w:t>
      </w:r>
      <w:r w:rsidR="00F43C42">
        <w:rPr>
          <w:b/>
          <w:sz w:val="28"/>
          <w:szCs w:val="28"/>
        </w:rPr>
        <w:noBreakHyphen/>
      </w:r>
      <w:r w:rsidRPr="00CB7EE4">
        <w:rPr>
          <w:b/>
          <w:sz w:val="28"/>
          <w:szCs w:val="28"/>
        </w:rPr>
        <w:t>organismes aux fins de la procédure en matière de brevets (Union de Budapest)</w:t>
      </w:r>
    </w:p>
    <w:p w:rsidR="000048DA" w:rsidRPr="00DB0349" w:rsidRDefault="000048DA" w:rsidP="000048DA">
      <w:pPr>
        <w:spacing w:after="720"/>
        <w:rPr>
          <w:b/>
          <w:sz w:val="28"/>
          <w:szCs w:val="28"/>
        </w:rPr>
      </w:pPr>
      <w:r>
        <w:rPr>
          <w:b/>
          <w:sz w:val="28"/>
          <w:szCs w:val="28"/>
        </w:rPr>
        <w:t>Assemblée</w:t>
      </w:r>
    </w:p>
    <w:p w:rsidR="000048DA" w:rsidRPr="003845C1" w:rsidRDefault="000048DA" w:rsidP="000048DA">
      <w:pPr>
        <w:rPr>
          <w:b/>
          <w:sz w:val="24"/>
          <w:szCs w:val="24"/>
        </w:rPr>
      </w:pPr>
      <w:r w:rsidRPr="00170776">
        <w:rPr>
          <w:b/>
          <w:sz w:val="24"/>
          <w:szCs w:val="24"/>
        </w:rPr>
        <w:t>Trente</w:t>
      </w:r>
      <w:r w:rsidR="00F43C42">
        <w:rPr>
          <w:b/>
          <w:sz w:val="24"/>
          <w:szCs w:val="24"/>
        </w:rPr>
        <w:noBreakHyphen/>
      </w:r>
      <w:r w:rsidRPr="00170776">
        <w:rPr>
          <w:b/>
          <w:sz w:val="24"/>
          <w:szCs w:val="24"/>
        </w:rPr>
        <w:t>neuv</w:t>
      </w:r>
      <w:r>
        <w:rPr>
          <w:b/>
          <w:sz w:val="24"/>
          <w:szCs w:val="24"/>
        </w:rPr>
        <w:t xml:space="preserve">ième session </w:t>
      </w:r>
      <w:r w:rsidRPr="00170776">
        <w:rPr>
          <w:b/>
          <w:sz w:val="24"/>
          <w:szCs w:val="24"/>
        </w:rPr>
        <w:t>(18</w:t>
      </w:r>
      <w:r w:rsidRPr="005671A9">
        <w:rPr>
          <w:b/>
          <w:sz w:val="24"/>
          <w:szCs w:val="24"/>
          <w:vertAlign w:val="superscript"/>
        </w:rPr>
        <w:t>e</w:t>
      </w:r>
      <w:r w:rsidR="00F43C42">
        <w:rPr>
          <w:b/>
          <w:sz w:val="24"/>
          <w:szCs w:val="24"/>
        </w:rPr>
        <w:t> </w:t>
      </w:r>
      <w:r w:rsidRPr="00170776">
        <w:rPr>
          <w:b/>
          <w:sz w:val="24"/>
          <w:szCs w:val="24"/>
        </w:rPr>
        <w:t>session extraordinaire)</w:t>
      </w:r>
    </w:p>
    <w:p w:rsidR="000048DA" w:rsidRPr="003845C1" w:rsidRDefault="000048DA" w:rsidP="000048DA">
      <w:pPr>
        <w:spacing w:after="720"/>
        <w:rPr>
          <w:b/>
          <w:sz w:val="24"/>
          <w:szCs w:val="24"/>
        </w:rPr>
      </w:pPr>
      <w:r w:rsidRPr="00170776">
        <w:rPr>
          <w:b/>
          <w:sz w:val="24"/>
          <w:szCs w:val="24"/>
        </w:rPr>
        <w:t>Genève, 1</w:t>
      </w:r>
      <w:r>
        <w:rPr>
          <w:b/>
          <w:sz w:val="24"/>
          <w:szCs w:val="24"/>
        </w:rPr>
        <w:t>4</w:t>
      </w:r>
      <w:r w:rsidRPr="00170776">
        <w:rPr>
          <w:b/>
          <w:sz w:val="24"/>
          <w:szCs w:val="24"/>
        </w:rPr>
        <w:t xml:space="preserve"> – 22</w:t>
      </w:r>
      <w:r>
        <w:rPr>
          <w:b/>
          <w:sz w:val="24"/>
          <w:szCs w:val="24"/>
        </w:rPr>
        <w:t> </w:t>
      </w:r>
      <w:r w:rsidRPr="00170776">
        <w:rPr>
          <w:b/>
          <w:sz w:val="24"/>
          <w:szCs w:val="24"/>
        </w:rPr>
        <w:t>juillet</w:t>
      </w:r>
      <w:r>
        <w:rPr>
          <w:b/>
          <w:sz w:val="24"/>
          <w:szCs w:val="24"/>
        </w:rPr>
        <w:t> </w:t>
      </w:r>
      <w:r w:rsidRPr="00170776">
        <w:rPr>
          <w:b/>
          <w:sz w:val="24"/>
          <w:szCs w:val="24"/>
        </w:rPr>
        <w:t>2022</w:t>
      </w:r>
    </w:p>
    <w:p w:rsidR="000048DA" w:rsidRPr="00842A13" w:rsidRDefault="000048DA" w:rsidP="000048DA">
      <w:pPr>
        <w:spacing w:after="360"/>
        <w:rPr>
          <w:caps/>
          <w:sz w:val="24"/>
        </w:rPr>
      </w:pPr>
      <w:r>
        <w:rPr>
          <w:caps/>
          <w:sz w:val="24"/>
        </w:rPr>
        <w:t>Formules utilisées en application du Traité de Budapest</w:t>
      </w:r>
    </w:p>
    <w:p w:rsidR="000048DA" w:rsidRPr="00842A13" w:rsidRDefault="000048DA" w:rsidP="000048DA">
      <w:pPr>
        <w:spacing w:after="960"/>
      </w:pPr>
      <w:bookmarkStart w:id="4" w:name="Prepared"/>
      <w:r>
        <w:rPr>
          <w:i/>
        </w:rPr>
        <w:t>Document établi par le Secrétariat</w:t>
      </w:r>
    </w:p>
    <w:bookmarkEnd w:id="4"/>
    <w:p w:rsidR="00DC4D07" w:rsidRPr="001B5679" w:rsidRDefault="00DC4D07" w:rsidP="00DC4D07">
      <w:pPr>
        <w:pStyle w:val="Heading1"/>
        <w:spacing w:after="220"/>
      </w:pPr>
      <w:r w:rsidRPr="001B5679">
        <w:t>Résumé</w:t>
      </w:r>
    </w:p>
    <w:p w:rsidR="00DC4D07" w:rsidRPr="001B5679" w:rsidRDefault="00DC4D07" w:rsidP="00F43C42">
      <w:pPr>
        <w:pStyle w:val="ONUMFS"/>
      </w:pPr>
      <w:r w:rsidRPr="001B5679">
        <w:t>Le présent document contient une proposition visant à inclure des espaces pour l</w:t>
      </w:r>
      <w:r w:rsidR="000048DA">
        <w:t>’</w:t>
      </w:r>
      <w:r w:rsidRPr="001B5679">
        <w:t>indication d</w:t>
      </w:r>
      <w:r w:rsidR="000048DA">
        <w:t>’</w:t>
      </w:r>
      <w:r w:rsidRPr="001B5679">
        <w:t>une adresse de courrier électronique (ci</w:t>
      </w:r>
      <w:r w:rsidR="00F43C42">
        <w:noBreakHyphen/>
      </w:r>
      <w:r w:rsidRPr="001B5679">
        <w:t xml:space="preserve">après </w:t>
      </w:r>
      <w:r w:rsidR="00624027">
        <w:t>“</w:t>
      </w:r>
      <w:r w:rsidR="00624027" w:rsidRPr="001B5679">
        <w:t>a</w:t>
      </w:r>
      <w:r w:rsidRPr="001B5679">
        <w:t>dresse électroniqu</w:t>
      </w:r>
      <w:r w:rsidR="00624027" w:rsidRPr="001B5679">
        <w:t>e</w:t>
      </w:r>
      <w:r w:rsidR="00624027">
        <w:t>”</w:t>
      </w:r>
      <w:r w:rsidRPr="001B5679">
        <w:t>) et d</w:t>
      </w:r>
      <w:r w:rsidR="000048DA">
        <w:t>’</w:t>
      </w:r>
      <w:r w:rsidRPr="001B5679">
        <w:t>un numéro de téléphone dans les formules établies en application du Traité de Budapest sur la reconnaissance internationale du dépôt des micro</w:t>
      </w:r>
      <w:r w:rsidR="00F43C42">
        <w:noBreakHyphen/>
      </w:r>
      <w:r w:rsidRPr="001B5679">
        <w:t>organismes aux fins de la procédure en matière de brevets (Traité de Budapest).</w:t>
      </w:r>
    </w:p>
    <w:p w:rsidR="00DC4D07" w:rsidRPr="001B5679" w:rsidRDefault="0055011F" w:rsidP="00F43C42">
      <w:pPr>
        <w:pStyle w:val="ONUMFS"/>
      </w:pPr>
      <w:r>
        <w:t>Conformément à la politique de l</w:t>
      </w:r>
      <w:r w:rsidR="000048DA">
        <w:t>’</w:t>
      </w:r>
      <w:r>
        <w:t>OMPI en matière de multilinguisme</w:t>
      </w:r>
      <w:r w:rsidR="00DC4D07" w:rsidRPr="001B5679">
        <w:t>, il est également proposé que ces formules soient établies dans les six</w:t>
      </w:r>
      <w:r w:rsidR="006F26DF">
        <w:t> </w:t>
      </w:r>
      <w:r w:rsidR="00DC4D07" w:rsidRPr="001B5679">
        <w:t>langues de l</w:t>
      </w:r>
      <w:r w:rsidR="000048DA">
        <w:t>’</w:t>
      </w:r>
      <w:r w:rsidR="00DC4D07" w:rsidRPr="001B5679">
        <w:t xml:space="preserve">Organisation des </w:t>
      </w:r>
      <w:r w:rsidR="000048DA">
        <w:t>Nations Unies</w:t>
      </w:r>
      <w:r w:rsidR="00DC4D07" w:rsidRPr="001B5679">
        <w:t xml:space="preserve"> (ONU) et que des modifications soient apportées à la </w:t>
      </w:r>
      <w:r w:rsidR="00624027" w:rsidRPr="001B5679">
        <w:t>règle</w:t>
      </w:r>
      <w:r w:rsidR="00624027">
        <w:t> </w:t>
      </w:r>
      <w:r w:rsidR="00624027" w:rsidRPr="001B5679">
        <w:t>1</w:t>
      </w:r>
      <w:r w:rsidR="00DC4D07" w:rsidRPr="001B5679">
        <w:t>1.4.a) et b)</w:t>
      </w:r>
      <w:r w:rsidR="006F26DF">
        <w:t> </w:t>
      </w:r>
      <w:r w:rsidR="00DC4D07" w:rsidRPr="001B5679">
        <w:t>du règlement d</w:t>
      </w:r>
      <w:r w:rsidR="000048DA">
        <w:t>’</w:t>
      </w:r>
      <w:r w:rsidR="00DC4D07" w:rsidRPr="001B5679">
        <w:t>exécution du Traité de Budapest afin que les six</w:t>
      </w:r>
      <w:r w:rsidR="006F26DF">
        <w:t> </w:t>
      </w:r>
      <w:r w:rsidR="00DC4D07" w:rsidRPr="001B5679">
        <w:t>langues de l</w:t>
      </w:r>
      <w:r w:rsidR="000048DA">
        <w:t>’</w:t>
      </w:r>
      <w:r w:rsidR="00DC4D07" w:rsidRPr="001B5679">
        <w:t xml:space="preserve">ONU soient couvertes </w:t>
      </w:r>
      <w:r w:rsidR="0049642A">
        <w:t>en vertu de</w:t>
      </w:r>
      <w:r w:rsidR="00DC4D07" w:rsidRPr="001B5679">
        <w:t xml:space="preserve"> ces dispositions.</w:t>
      </w:r>
    </w:p>
    <w:p w:rsidR="00DC4D07" w:rsidRPr="001B5679" w:rsidRDefault="00DC4D07" w:rsidP="00DC4D07">
      <w:pPr>
        <w:pStyle w:val="Heading1"/>
        <w:spacing w:after="220"/>
      </w:pPr>
      <w:r w:rsidRPr="001B5679">
        <w:t>Formules utilisées en application du Traité de Budapest</w:t>
      </w:r>
    </w:p>
    <w:p w:rsidR="00DC4D07" w:rsidRPr="001B5679" w:rsidRDefault="00DC4D07" w:rsidP="00F43C42">
      <w:pPr>
        <w:pStyle w:val="ONUMFS"/>
      </w:pPr>
      <w:r w:rsidRPr="001B5679">
        <w:t xml:space="preserve">Quatorze formules, numérotées de BP/1 à BP/14, sont disponibles en application du Traité de Budapest (voir la liste des </w:t>
      </w:r>
      <w:r w:rsidR="0049642A">
        <w:t>formule</w:t>
      </w:r>
      <w:r w:rsidRPr="001B5679">
        <w:t>s à l</w:t>
      </w:r>
      <w:r w:rsidR="000048DA">
        <w:t>’</w:t>
      </w:r>
      <w:r w:rsidR="00624027" w:rsidRPr="001B5679">
        <w:t>annexe</w:t>
      </w:r>
      <w:r w:rsidR="00624027">
        <w:t> </w:t>
      </w:r>
      <w:r w:rsidR="00624027" w:rsidRPr="001B5679">
        <w:t>I</w:t>
      </w:r>
      <w:r w:rsidRPr="001B5679">
        <w:t xml:space="preserve">).  Elles ont été établies par le Bureau </w:t>
      </w:r>
      <w:r w:rsidRPr="001B5679">
        <w:lastRenderedPageBreak/>
        <w:t>international de l</w:t>
      </w:r>
      <w:r w:rsidR="000048DA">
        <w:t>’</w:t>
      </w:r>
      <w:r w:rsidRPr="001B5679">
        <w:t>OMPI sur la base des discussions tenues par l</w:t>
      </w:r>
      <w:r w:rsidR="000048DA">
        <w:t>’</w:t>
      </w:r>
      <w:r w:rsidRPr="001B5679">
        <w:t>Assemblée de l</w:t>
      </w:r>
      <w:r w:rsidR="000048DA">
        <w:t>’</w:t>
      </w:r>
      <w:r w:rsidRPr="001B5679">
        <w:t>Union de Budapest (ci</w:t>
      </w:r>
      <w:r w:rsidR="00F43C42">
        <w:noBreakHyphen/>
      </w:r>
      <w:r w:rsidRPr="001B5679">
        <w:t xml:space="preserve">après </w:t>
      </w:r>
      <w:r w:rsidR="00624027">
        <w:t>“</w:t>
      </w:r>
      <w:r w:rsidR="00624027" w:rsidRPr="001B5679">
        <w:t>A</w:t>
      </w:r>
      <w:r w:rsidRPr="001B5679">
        <w:t>ssemblé</w:t>
      </w:r>
      <w:r w:rsidR="00624027" w:rsidRPr="001B5679">
        <w:t>e</w:t>
      </w:r>
      <w:r w:rsidR="00624027">
        <w:t>”</w:t>
      </w:r>
      <w:r w:rsidRPr="001B5679">
        <w:t>) et du Comité intérimaire consultatif aux fins de la préparation de l</w:t>
      </w:r>
      <w:r w:rsidR="000048DA">
        <w:t>’</w:t>
      </w:r>
      <w:r w:rsidRPr="001B5679">
        <w:t>entrée en vigueur du Traité de Budapest.</w:t>
      </w:r>
    </w:p>
    <w:p w:rsidR="00DC4D07" w:rsidRPr="001B5679" w:rsidRDefault="00DC4D07" w:rsidP="00F43C42">
      <w:pPr>
        <w:pStyle w:val="ONUMFS"/>
      </w:pPr>
      <w:r w:rsidRPr="001B5679">
        <w:t>Le règlement d</w:t>
      </w:r>
      <w:r w:rsidR="000048DA">
        <w:t>’</w:t>
      </w:r>
      <w:r w:rsidRPr="001B5679">
        <w:t>exécution du Traité de Budapest ne prévoit pas l</w:t>
      </w:r>
      <w:r w:rsidR="000048DA">
        <w:t>’</w:t>
      </w:r>
      <w:r w:rsidRPr="001B5679">
        <w:t>établissement de toutes ces formules, mais uniquement des formules BP/4, 5, 6, 9 et 12.  Quant aux autres, qui portent les numéros BP/1, 2, 3, 7, 8, 10, 11, 13 et 14, l</w:t>
      </w:r>
      <w:r w:rsidR="000048DA">
        <w:t>’</w:t>
      </w:r>
      <w:r w:rsidRPr="001B5679">
        <w:t>Assemblée a jugé utile de les faire établir comme modèl</w:t>
      </w:r>
      <w:r w:rsidR="00F43C42" w:rsidRPr="001B5679">
        <w:t>es</w:t>
      </w:r>
      <w:r w:rsidR="00F43C42">
        <w:t xml:space="preserve">.  </w:t>
      </w:r>
      <w:r w:rsidR="00F43C42" w:rsidRPr="001B5679">
        <w:t>Le</w:t>
      </w:r>
      <w:r w:rsidRPr="001B5679">
        <w:t xml:space="preserve"> Bureau international a donc établi ces formules en conséquence.</w:t>
      </w:r>
    </w:p>
    <w:p w:rsidR="00DC4D07" w:rsidRPr="001B5679" w:rsidRDefault="00DC4D07" w:rsidP="00F43C42">
      <w:pPr>
        <w:pStyle w:val="ONUMFS"/>
      </w:pPr>
      <w:r w:rsidRPr="001B5679">
        <w:t xml:space="preserve">Les formules BP/4, 5, 6 et 9 sont dénommées </w:t>
      </w:r>
      <w:r w:rsidR="00624027">
        <w:t>“</w:t>
      </w:r>
      <w:r w:rsidR="00624027" w:rsidRPr="001B5679">
        <w:t>f</w:t>
      </w:r>
      <w:r w:rsidRPr="001B5679">
        <w:t>ormules internationale</w:t>
      </w:r>
      <w:r w:rsidR="00624027" w:rsidRPr="001B5679">
        <w:t>s</w:t>
      </w:r>
      <w:r w:rsidR="00624027">
        <w:t>”</w:t>
      </w:r>
      <w:r w:rsidRPr="001B5679">
        <w:t>.  Elles concernent le récépissé du dépôt d</w:t>
      </w:r>
      <w:r w:rsidR="000048DA">
        <w:t>’</w:t>
      </w:r>
      <w:r w:rsidRPr="001B5679">
        <w:t>un micro</w:t>
      </w:r>
      <w:r w:rsidR="00F43C42">
        <w:noBreakHyphen/>
      </w:r>
      <w:r w:rsidRPr="001B5679">
        <w:t>organisme et la déclaration sur la viabilité, qui sont délivrés par les autorités de dépôt internationales (ADI).  Ces formules internationales sont disponibles en français, anglais, espagnol et russe, conformément à la décision de l</w:t>
      </w:r>
      <w:r w:rsidR="000048DA">
        <w:t>’</w:t>
      </w:r>
      <w:r w:rsidRPr="001B5679">
        <w:t>Assembl</w:t>
      </w:r>
      <w:r w:rsidR="00F43C42" w:rsidRPr="001B5679">
        <w:t>ée</w:t>
      </w:r>
      <w:r w:rsidR="00F43C42">
        <w:t xml:space="preserve">.  </w:t>
      </w:r>
      <w:r w:rsidR="00F43C42" w:rsidRPr="001B5679">
        <w:t>D</w:t>
      </w:r>
      <w:r w:rsidR="00F43C42">
        <w:t>’</w:t>
      </w:r>
      <w:r w:rsidR="00F43C42" w:rsidRPr="001B5679">
        <w:t>a</w:t>
      </w:r>
      <w:r w:rsidRPr="001B5679">
        <w:t>utres formules sont actuellement disponibles en français et en anglais.</w:t>
      </w:r>
    </w:p>
    <w:p w:rsidR="00DC4D07" w:rsidRPr="00F43C42" w:rsidRDefault="00F43C42" w:rsidP="00F43C42">
      <w:pPr>
        <w:pStyle w:val="Heading1"/>
        <w:spacing w:after="220"/>
      </w:pPr>
      <w:r w:rsidRPr="00F43C42">
        <w:t>Ajout d’un numéro de téléphone et d’une adresse électronique dans les formules utilisées en application du Traité de Budapest</w:t>
      </w:r>
    </w:p>
    <w:p w:rsidR="00DC4D07" w:rsidRPr="001B5679" w:rsidRDefault="00EA7322" w:rsidP="00F43C42">
      <w:pPr>
        <w:pStyle w:val="ONUMFS"/>
      </w:pPr>
      <w:r w:rsidRPr="001B5679">
        <w:t xml:space="preserve">Toutes les formules BP contiennent des espaces réservés </w:t>
      </w:r>
      <w:r>
        <w:t>au</w:t>
      </w:r>
      <w:r w:rsidRPr="001B5679">
        <w:t xml:space="preserve"> nom et à </w:t>
      </w:r>
      <w:r>
        <w:t>l</w:t>
      </w:r>
      <w:r w:rsidR="000048DA">
        <w:t>’</w:t>
      </w:r>
      <w:r w:rsidRPr="001B5679">
        <w:t>adresse du déposant d</w:t>
      </w:r>
      <w:r w:rsidR="000048DA">
        <w:t>’</w:t>
      </w:r>
      <w:r w:rsidRPr="001B5679">
        <w:t>un micro</w:t>
      </w:r>
      <w:r w:rsidR="00F43C42">
        <w:noBreakHyphen/>
      </w:r>
      <w:r w:rsidRPr="001B5679">
        <w:t>organisme ou du requérant d</w:t>
      </w:r>
      <w:r w:rsidR="000048DA">
        <w:t>’</w:t>
      </w:r>
      <w:r w:rsidRPr="001B5679">
        <w:t>un échantillon de micro</w:t>
      </w:r>
      <w:r w:rsidR="00F43C42">
        <w:noBreakHyphen/>
      </w:r>
      <w:r w:rsidRPr="001B5679">
        <w:t xml:space="preserve">organisme </w:t>
      </w:r>
      <w:r>
        <w:t>à des</w:t>
      </w:r>
      <w:r w:rsidR="00DC4D07" w:rsidRPr="001B5679">
        <w:t xml:space="preserve"> fins d</w:t>
      </w:r>
      <w:r w:rsidR="000048DA">
        <w:t>’</w:t>
      </w:r>
      <w:r w:rsidR="00DC4D07" w:rsidRPr="001B5679">
        <w:t>identification et de la communicati</w:t>
      </w:r>
      <w:r w:rsidR="00F43C42" w:rsidRPr="001B5679">
        <w:t>on</w:t>
      </w:r>
      <w:r w:rsidR="00F43C42">
        <w:t xml:space="preserve">.  </w:t>
      </w:r>
      <w:r w:rsidR="00F43C42" w:rsidRPr="001B5679">
        <w:t>To</w:t>
      </w:r>
      <w:r w:rsidR="00DC4D07" w:rsidRPr="001B5679">
        <w:t xml:space="preserve">utefois, aucune ne </w:t>
      </w:r>
      <w:r w:rsidR="005D0567">
        <w:t>contient</w:t>
      </w:r>
      <w:r w:rsidR="00DC4D07" w:rsidRPr="001B5679">
        <w:t xml:space="preserve"> d</w:t>
      </w:r>
      <w:r w:rsidR="000048DA">
        <w:t>’</w:t>
      </w:r>
      <w:r w:rsidR="00DC4D07" w:rsidRPr="001B5679">
        <w:t xml:space="preserve">espace </w:t>
      </w:r>
      <w:r w:rsidR="005D0567">
        <w:t>dédié à</w:t>
      </w:r>
      <w:r w:rsidR="00DC4D07" w:rsidRPr="001B5679">
        <w:t xml:space="preserve"> l</w:t>
      </w:r>
      <w:r w:rsidR="000048DA">
        <w:t>’</w:t>
      </w:r>
      <w:r w:rsidR="00DC4D07" w:rsidRPr="001B5679">
        <w:t xml:space="preserve">adresse électronique </w:t>
      </w:r>
      <w:r w:rsidR="00A31A9E">
        <w:t>ou</w:t>
      </w:r>
      <w:r w:rsidR="00DC4D07" w:rsidRPr="001B5679">
        <w:t xml:space="preserve"> </w:t>
      </w:r>
      <w:r w:rsidR="00A31A9E">
        <w:t>au</w:t>
      </w:r>
      <w:r w:rsidR="00DC4D07" w:rsidRPr="001B5679">
        <w:t xml:space="preserve"> numéro de téléphone d</w:t>
      </w:r>
      <w:r w:rsidR="000048DA">
        <w:t>’</w:t>
      </w:r>
      <w:r w:rsidR="00DC4D07" w:rsidRPr="001B5679">
        <w:t>une partie concernée.</w:t>
      </w:r>
    </w:p>
    <w:p w:rsidR="00DC4D07" w:rsidRPr="001B5679" w:rsidRDefault="00DC4D07" w:rsidP="00F43C42">
      <w:pPr>
        <w:pStyle w:val="ONUMFS"/>
      </w:pPr>
      <w:r w:rsidRPr="001B5679">
        <w:t xml:space="preserve">Dans la pratique, le courrier électronique et le téléphone sont des moyens de communication </w:t>
      </w:r>
      <w:r w:rsidR="002C6066">
        <w:t>couran</w:t>
      </w:r>
      <w:r w:rsidR="00F43C42">
        <w:t xml:space="preserve">ts.  </w:t>
      </w:r>
      <w:r w:rsidR="00F43C42" w:rsidRPr="001B5679">
        <w:t>L</w:t>
      </w:r>
      <w:r w:rsidR="00F43C42">
        <w:t>’</w:t>
      </w:r>
      <w:r w:rsidR="00F43C42" w:rsidRPr="001B5679">
        <w:t>i</w:t>
      </w:r>
      <w:r w:rsidRPr="001B5679">
        <w:t>ndication des numéros de téléphone et des adresses électroniques permet également d</w:t>
      </w:r>
      <w:r w:rsidR="000048DA">
        <w:t>’</w:t>
      </w:r>
      <w:r w:rsidRPr="001B5679">
        <w:t>identifier les parties concernées et de communiquer avec elles chaque fois que cela est nécessai</w:t>
      </w:r>
      <w:r w:rsidR="00F43C42" w:rsidRPr="001B5679">
        <w:t>re</w:t>
      </w:r>
      <w:r w:rsidR="00F43C42">
        <w:t xml:space="preserve">.  </w:t>
      </w:r>
      <w:r w:rsidR="00F43C42" w:rsidRPr="001B5679">
        <w:t>La</w:t>
      </w:r>
      <w:r w:rsidRPr="001B5679">
        <w:t xml:space="preserve"> possibilité d</w:t>
      </w:r>
      <w:r w:rsidR="000048DA">
        <w:t>’</w:t>
      </w:r>
      <w:r w:rsidRPr="001B5679">
        <w:t>inclure ces informations dans les formules BP servira les intérêts des utilisateurs du système de Budapest, en assurant une communication rapide entre</w:t>
      </w:r>
      <w:r w:rsidR="00624027" w:rsidRPr="001B5679">
        <w:t xml:space="preserve"> les</w:t>
      </w:r>
      <w:r w:rsidR="00624027">
        <w:t> </w:t>
      </w:r>
      <w:r w:rsidR="00624027" w:rsidRPr="001B5679">
        <w:t>ADI</w:t>
      </w:r>
      <w:r w:rsidRPr="001B5679">
        <w:t>, les offices de propriété intellectuelle et les déposants d</w:t>
      </w:r>
      <w:r w:rsidR="000048DA">
        <w:t>’</w:t>
      </w:r>
      <w:r w:rsidRPr="001B5679">
        <w:t>un micro</w:t>
      </w:r>
      <w:r w:rsidR="00F43C42">
        <w:noBreakHyphen/>
      </w:r>
      <w:r w:rsidRPr="001B5679">
        <w:t>organisme ou les requérants d</w:t>
      </w:r>
      <w:r w:rsidR="000048DA">
        <w:t>’</w:t>
      </w:r>
      <w:r w:rsidRPr="001B5679">
        <w:t>un échantillon de micro</w:t>
      </w:r>
      <w:r w:rsidR="00F43C42">
        <w:noBreakHyphen/>
      </w:r>
      <w:r w:rsidRPr="001B5679">
        <w:t>organismes dépos</w:t>
      </w:r>
      <w:r w:rsidR="00F43C42" w:rsidRPr="001B5679">
        <w:t>és</w:t>
      </w:r>
      <w:r w:rsidR="00F43C42">
        <w:t xml:space="preserve">.  </w:t>
      </w:r>
      <w:r w:rsidR="00F43C42" w:rsidRPr="001B5679">
        <w:t>Il</w:t>
      </w:r>
      <w:r w:rsidRPr="001B5679">
        <w:t xml:space="preserve"> est donc proposé </w:t>
      </w:r>
      <w:r w:rsidR="00A31A9E">
        <w:t>d</w:t>
      </w:r>
      <w:r w:rsidR="000048DA">
        <w:t>’</w:t>
      </w:r>
      <w:r w:rsidR="00A31A9E">
        <w:t>ajouter</w:t>
      </w:r>
      <w:r w:rsidRPr="001B5679">
        <w:t xml:space="preserve"> des espaces pour l</w:t>
      </w:r>
      <w:r w:rsidR="000048DA">
        <w:t>’</w:t>
      </w:r>
      <w:r w:rsidRPr="001B5679">
        <w:t>adresse électronique et le numéro de téléphone dans les formules BP.</w:t>
      </w:r>
    </w:p>
    <w:p w:rsidR="00DC4D07" w:rsidRPr="001B5679" w:rsidRDefault="00DC4D07" w:rsidP="00F43C42">
      <w:pPr>
        <w:pStyle w:val="ONUMFS"/>
      </w:pPr>
      <w:r w:rsidRPr="001B5679">
        <w:t xml:space="preserve">Conformément à la </w:t>
      </w:r>
      <w:r w:rsidR="00624027" w:rsidRPr="001B5679">
        <w:t>règle</w:t>
      </w:r>
      <w:r w:rsidR="00624027">
        <w:t> </w:t>
      </w:r>
      <w:r w:rsidR="00624027" w:rsidRPr="001B5679">
        <w:t>1</w:t>
      </w:r>
      <w:r w:rsidRPr="001B5679">
        <w:t>1.3.a) du règlement d</w:t>
      </w:r>
      <w:r w:rsidR="000048DA">
        <w:t>’</w:t>
      </w:r>
      <w:r w:rsidRPr="001B5679">
        <w:t>exécution du Traité de Budapest, le contenu de la formule BP/12, qui concerne la remise d</w:t>
      </w:r>
      <w:r w:rsidR="000048DA">
        <w:t>’</w:t>
      </w:r>
      <w:r w:rsidRPr="001B5679">
        <w:t>échantillons de micro</w:t>
      </w:r>
      <w:r w:rsidR="00F43C42">
        <w:noBreakHyphen/>
      </w:r>
      <w:r w:rsidRPr="001B5679">
        <w:t>organismes déposés à la partie qui y a droit, est fixé par l</w:t>
      </w:r>
      <w:r w:rsidR="000048DA">
        <w:t>’</w:t>
      </w:r>
      <w:r w:rsidRPr="001B5679">
        <w:t>Assembl</w:t>
      </w:r>
      <w:r w:rsidR="00F43C42" w:rsidRPr="001B5679">
        <w:t>ée</w:t>
      </w:r>
      <w:r w:rsidR="00F43C42">
        <w:t xml:space="preserve">.  </w:t>
      </w:r>
      <w:r w:rsidR="00F43C42" w:rsidRPr="001B5679">
        <w:t>Pa</w:t>
      </w:r>
      <w:r w:rsidRPr="001B5679">
        <w:t>r conséquent, l</w:t>
      </w:r>
      <w:r w:rsidR="000048DA">
        <w:t>’</w:t>
      </w:r>
      <w:r w:rsidRPr="001B5679">
        <w:t>Assemblée est invitée à examiner la possib</w:t>
      </w:r>
      <w:r w:rsidR="005C5F41">
        <w:t>i</w:t>
      </w:r>
      <w:r w:rsidRPr="001B5679">
        <w:t xml:space="preserve">lité </w:t>
      </w:r>
      <w:r w:rsidR="00A31A9E">
        <w:t>d</w:t>
      </w:r>
      <w:r w:rsidR="000048DA">
        <w:t>’</w:t>
      </w:r>
      <w:r w:rsidR="00A31A9E">
        <w:t>ajouter</w:t>
      </w:r>
      <w:r w:rsidRPr="001B5679">
        <w:t xml:space="preserve"> l</w:t>
      </w:r>
      <w:r w:rsidR="000048DA">
        <w:t>’</w:t>
      </w:r>
      <w:r w:rsidRPr="001B5679">
        <w:t xml:space="preserve">adresse électronique et le numéro de téléphone de la partie concernée dans le contenu de la </w:t>
      </w:r>
      <w:r w:rsidR="0049642A">
        <w:t>formule</w:t>
      </w:r>
      <w:r w:rsidRPr="001B5679">
        <w:t xml:space="preserve"> BP/12.</w:t>
      </w:r>
    </w:p>
    <w:p w:rsidR="00DC4D07" w:rsidRPr="001B5679" w:rsidRDefault="00DC4D07" w:rsidP="00F43C42">
      <w:pPr>
        <w:pStyle w:val="ONUMFS"/>
      </w:pPr>
      <w:r w:rsidRPr="001B5679">
        <w:t xml:space="preserve">En ce qui concerne les autres formules BP, les formules internationales (BP/4, BP/5, BP/6 et BP/9) sont établies par le Directeur général (voir la </w:t>
      </w:r>
      <w:r w:rsidR="00624027" w:rsidRPr="001B5679">
        <w:t>règle</w:t>
      </w:r>
      <w:r w:rsidR="00624027">
        <w:t> </w:t>
      </w:r>
      <w:r w:rsidR="00624027" w:rsidRPr="001B5679">
        <w:t>7</w:t>
      </w:r>
      <w:r w:rsidRPr="001B5679">
        <w:t xml:space="preserve">.2.a) et la </w:t>
      </w:r>
      <w:r w:rsidR="00624027" w:rsidRPr="001B5679">
        <w:t>règle</w:t>
      </w:r>
      <w:r w:rsidR="00624027">
        <w:t> </w:t>
      </w:r>
      <w:r w:rsidR="00624027" w:rsidRPr="001B5679">
        <w:t>1</w:t>
      </w:r>
      <w:r w:rsidRPr="001B5679">
        <w:t>0.2.d) du règlement d</w:t>
      </w:r>
      <w:r w:rsidR="000048DA">
        <w:t>’</w:t>
      </w:r>
      <w:r w:rsidRPr="001B5679">
        <w:t>exécution du Traité de Budape</w:t>
      </w:r>
      <w:r w:rsidR="00F43C42" w:rsidRPr="001B5679">
        <w:t>st)</w:t>
      </w:r>
      <w:r w:rsidR="00F43C42">
        <w:t xml:space="preserve">.  </w:t>
      </w:r>
      <w:r w:rsidR="00F43C42" w:rsidRPr="001B5679">
        <w:t>Le</w:t>
      </w:r>
      <w:r w:rsidRPr="001B5679">
        <w:t>s autres formules BP</w:t>
      </w:r>
      <w:r w:rsidRPr="001B5679">
        <w:rPr>
          <w:rStyle w:val="FootnoteReference"/>
        </w:rPr>
        <w:footnoteReference w:id="2"/>
      </w:r>
      <w:r w:rsidRPr="001B5679">
        <w:t xml:space="preserve"> </w:t>
      </w:r>
      <w:r w:rsidR="002C6066">
        <w:t xml:space="preserve">le </w:t>
      </w:r>
      <w:r w:rsidRPr="001B5679">
        <w:t>sont par le Bureau international à titre de référence uniquement ou de modèle pour les utilisateurs du système de Budape</w:t>
      </w:r>
      <w:r w:rsidR="00F43C42" w:rsidRPr="001B5679">
        <w:t>st</w:t>
      </w:r>
      <w:r w:rsidR="00F43C42">
        <w:t xml:space="preserve">.  </w:t>
      </w:r>
      <w:r w:rsidR="00F43C42" w:rsidRPr="001B5679">
        <w:t>En</w:t>
      </w:r>
      <w:r w:rsidRPr="001B5679">
        <w:t xml:space="preserve"> conséquence, le Bureau international établira </w:t>
      </w:r>
      <w:r w:rsidR="00B51531">
        <w:t>des</w:t>
      </w:r>
      <w:r w:rsidRPr="001B5679">
        <w:t xml:space="preserve"> projet</w:t>
      </w:r>
      <w:r w:rsidR="00B51531">
        <w:t>s</w:t>
      </w:r>
      <w:r w:rsidRPr="001B5679">
        <w:t xml:space="preserve"> de formules BP </w:t>
      </w:r>
      <w:r w:rsidR="00B51531">
        <w:t xml:space="preserve">révisées </w:t>
      </w:r>
      <w:r w:rsidRPr="001B5679">
        <w:t>qui contiendr</w:t>
      </w:r>
      <w:r w:rsidR="00B51531">
        <w:t>ont</w:t>
      </w:r>
      <w:r w:rsidRPr="001B5679">
        <w:t xml:space="preserve"> des espaces pour </w:t>
      </w:r>
      <w:r w:rsidR="001B3724">
        <w:t>l</w:t>
      </w:r>
      <w:r w:rsidR="000048DA">
        <w:t>’</w:t>
      </w:r>
      <w:r w:rsidR="001B3724">
        <w:t>ajout</w:t>
      </w:r>
      <w:r w:rsidRPr="001B5679">
        <w:t xml:space="preserve"> de l</w:t>
      </w:r>
      <w:r w:rsidR="000048DA">
        <w:t>’</w:t>
      </w:r>
      <w:r w:rsidRPr="001B5679">
        <w:t>adresse électronique et du numéro de téléphone du déposant ou du requérant, et les communiquera aux États membres pour consultation, avant la finalisation et la publication des formules BP révisées.</w:t>
      </w:r>
    </w:p>
    <w:p w:rsidR="00DC4D07" w:rsidRPr="001B5679" w:rsidRDefault="00DC4D07" w:rsidP="00DC4D07">
      <w:pPr>
        <w:pStyle w:val="Heading1"/>
        <w:spacing w:after="220"/>
      </w:pPr>
      <w:r w:rsidRPr="001B5679">
        <w:t xml:space="preserve">Établissement des formules </w:t>
      </w:r>
      <w:r w:rsidR="00670915">
        <w:t xml:space="preserve">BP </w:t>
      </w:r>
      <w:r w:rsidRPr="001B5679">
        <w:t>dans les six</w:t>
      </w:r>
      <w:r w:rsidR="006F26DF">
        <w:t> </w:t>
      </w:r>
      <w:r w:rsidRPr="001B5679">
        <w:t>langues de l</w:t>
      </w:r>
      <w:r w:rsidR="000048DA">
        <w:t>’</w:t>
      </w:r>
      <w:r w:rsidRPr="001B5679">
        <w:t>ONU</w:t>
      </w:r>
    </w:p>
    <w:p w:rsidR="00DC4D07" w:rsidRPr="001B5679" w:rsidRDefault="00DC4D07" w:rsidP="00F43C42">
      <w:pPr>
        <w:pStyle w:val="ONUMFS"/>
      </w:pPr>
      <w:r w:rsidRPr="001B5679">
        <w:t xml:space="preserve">Conformément aux </w:t>
      </w:r>
      <w:r w:rsidR="00624027" w:rsidRPr="001B5679">
        <w:t>règles</w:t>
      </w:r>
      <w:r w:rsidR="00624027">
        <w:t> </w:t>
      </w:r>
      <w:r w:rsidR="00624027" w:rsidRPr="001B5679">
        <w:t>7</w:t>
      </w:r>
      <w:r w:rsidRPr="001B5679">
        <w:t>.2.a) et 10.2.d) du règlement d</w:t>
      </w:r>
      <w:r w:rsidR="000048DA">
        <w:t>’</w:t>
      </w:r>
      <w:r w:rsidRPr="001B5679">
        <w:t xml:space="preserve">exécution du Traité de Budapest, </w:t>
      </w:r>
      <w:r w:rsidR="00670915" w:rsidRPr="001B5679">
        <w:t>l</w:t>
      </w:r>
      <w:r w:rsidR="000048DA">
        <w:t>’</w:t>
      </w:r>
      <w:r w:rsidR="00670915" w:rsidRPr="001B5679">
        <w:t xml:space="preserve">Assemblée </w:t>
      </w:r>
      <w:r w:rsidR="00670915">
        <w:t xml:space="preserve">définit </w:t>
      </w:r>
      <w:r w:rsidRPr="001B5679">
        <w:t xml:space="preserve">les langues </w:t>
      </w:r>
      <w:r w:rsidR="00670915">
        <w:t>dans lesquelles les</w:t>
      </w:r>
      <w:r w:rsidRPr="001B5679">
        <w:t xml:space="preserve"> formules BP/4, 5, 6 et 9 sont </w:t>
      </w:r>
      <w:r w:rsidR="00670915">
        <w:t>rédigé</w:t>
      </w:r>
      <w:r w:rsidR="00F43C42">
        <w:t>es.  À</w:t>
      </w:r>
      <w:r w:rsidR="00F43C42" w:rsidRPr="001B5679">
        <w:t xml:space="preserve"> </w:t>
      </w:r>
      <w:r w:rsidRPr="001B5679">
        <w:t>sa deux</w:t>
      </w:r>
      <w:r w:rsidR="000048DA">
        <w:t>ième session</w:t>
      </w:r>
      <w:r w:rsidR="00C20D86">
        <w:t>,</w:t>
      </w:r>
      <w:r w:rsidRPr="001B5679">
        <w:t xml:space="preserve"> </w:t>
      </w:r>
      <w:r w:rsidR="00624027" w:rsidRPr="001B5679">
        <w:t>en</w:t>
      </w:r>
      <w:r w:rsidR="00624027">
        <w:t> </w:t>
      </w:r>
      <w:r w:rsidR="00624027" w:rsidRPr="001B5679">
        <w:t>1981</w:t>
      </w:r>
      <w:r w:rsidRPr="001B5679">
        <w:t>, l</w:t>
      </w:r>
      <w:r w:rsidR="000048DA">
        <w:t>’</w:t>
      </w:r>
      <w:r w:rsidRPr="001B5679">
        <w:t xml:space="preserve">Assemblée a indiqué que ces formules seraient </w:t>
      </w:r>
      <w:r w:rsidRPr="001B5679">
        <w:lastRenderedPageBreak/>
        <w:t>établies en français, anglais, espagnol et russe</w:t>
      </w:r>
      <w:r w:rsidRPr="001B5679">
        <w:rPr>
          <w:rStyle w:val="FootnoteReference"/>
        </w:rPr>
        <w:footnoteReference w:id="3"/>
      </w:r>
      <w:r w:rsidRPr="001B5679">
        <w:t>.  D</w:t>
      </w:r>
      <w:r w:rsidR="000048DA">
        <w:t>’</w:t>
      </w:r>
      <w:r w:rsidRPr="001B5679">
        <w:t>autres formules sont habituellement établies par le Bureau international en français et en anglais.</w:t>
      </w:r>
    </w:p>
    <w:p w:rsidR="00DC4D07" w:rsidRPr="001B5679" w:rsidRDefault="00DC4D07" w:rsidP="00F43C42">
      <w:pPr>
        <w:pStyle w:val="ONUMFS"/>
      </w:pPr>
      <w:r w:rsidRPr="001B5679">
        <w:t>Depuis la décision prise par l</w:t>
      </w:r>
      <w:r w:rsidR="000048DA">
        <w:t>’</w:t>
      </w:r>
      <w:r w:rsidRPr="001B5679">
        <w:t xml:space="preserve">Assemblée </w:t>
      </w:r>
      <w:r w:rsidR="00624027" w:rsidRPr="001B5679">
        <w:t>en</w:t>
      </w:r>
      <w:r w:rsidR="00624027">
        <w:t> </w:t>
      </w:r>
      <w:r w:rsidR="00624027" w:rsidRPr="001B5679">
        <w:t>1981</w:t>
      </w:r>
      <w:r w:rsidRPr="001B5679">
        <w:t>, la Chine ainsi que plusieurs pays dont la langue officielle est l</w:t>
      </w:r>
      <w:r w:rsidR="000048DA">
        <w:t>’</w:t>
      </w:r>
      <w:r w:rsidRPr="001B5679">
        <w:t>arabe</w:t>
      </w:r>
      <w:r w:rsidRPr="001B5679">
        <w:rPr>
          <w:rStyle w:val="FootnoteReference"/>
        </w:rPr>
        <w:footnoteReference w:id="4"/>
      </w:r>
      <w:r w:rsidRPr="001B5679">
        <w:t>, ou dont les langues officielles comprennent l</w:t>
      </w:r>
      <w:r w:rsidR="000048DA">
        <w:t>’</w:t>
      </w:r>
      <w:r w:rsidRPr="001B5679">
        <w:t>arabe, ont adhéré au Traité de Budape</w:t>
      </w:r>
      <w:r w:rsidR="00F43C42" w:rsidRPr="001B5679">
        <w:t>st</w:t>
      </w:r>
      <w:r w:rsidR="00F43C42">
        <w:t xml:space="preserve">.  </w:t>
      </w:r>
      <w:r w:rsidR="00F43C42" w:rsidRPr="001B5679">
        <w:t>Pa</w:t>
      </w:r>
      <w:r w:rsidRPr="001B5679">
        <w:t>rmi les 85</w:t>
      </w:r>
      <w:r w:rsidR="00F43C42">
        <w:t> </w:t>
      </w:r>
      <w:r w:rsidRPr="001B5679">
        <w:t>États parties au Traité de Budapest, bon nombre ont l</w:t>
      </w:r>
      <w:r w:rsidR="000048DA">
        <w:t>’</w:t>
      </w:r>
      <w:r w:rsidRPr="001B5679">
        <w:t>arabe, le chinois, l</w:t>
      </w:r>
      <w:r w:rsidR="000048DA">
        <w:t>’</w:t>
      </w:r>
      <w:r w:rsidRPr="001B5679">
        <w:t>espagnol ou le russe comme langue officiel</w:t>
      </w:r>
      <w:r w:rsidR="00F43C42" w:rsidRPr="001B5679">
        <w:t>le</w:t>
      </w:r>
      <w:r w:rsidR="00F43C42">
        <w:t xml:space="preserve">.  </w:t>
      </w:r>
      <w:r w:rsidR="00F43C42" w:rsidRPr="001B5679">
        <w:t>Co</w:t>
      </w:r>
      <w:r w:rsidRPr="001B5679">
        <w:t>mpte tenu de l</w:t>
      </w:r>
      <w:r w:rsidR="000048DA">
        <w:t>’</w:t>
      </w:r>
      <w:r w:rsidRPr="001B5679">
        <w:t>élargissement de la portée géographique du traité, la mise à disposition des formules BP dans des langues supplémentaires permettrait aux utilisateurs du système de Budapest de choisir parmi davantage de langues pour accomplir les procédures prévues par le Traité de Budape</w:t>
      </w:r>
      <w:r w:rsidR="00F43C42" w:rsidRPr="001B5679">
        <w:t>st</w:t>
      </w:r>
      <w:r w:rsidR="00F43C42">
        <w:t xml:space="preserve">.  </w:t>
      </w:r>
      <w:r w:rsidR="00F43C42" w:rsidRPr="001B5679">
        <w:t>Il</w:t>
      </w:r>
      <w:r w:rsidRPr="001B5679">
        <w:t xml:space="preserve"> est donc proposé que l</w:t>
      </w:r>
      <w:r w:rsidR="000048DA">
        <w:t>’</w:t>
      </w:r>
      <w:r w:rsidRPr="001B5679">
        <w:t xml:space="preserve">Assemblée indique que les formules BP/4, 5, 6 et 9 peuvent être </w:t>
      </w:r>
      <w:r w:rsidR="00C20D86">
        <w:t>rédigées</w:t>
      </w:r>
      <w:r w:rsidRPr="001B5679">
        <w:t xml:space="preserve"> dans les six</w:t>
      </w:r>
      <w:r w:rsidR="006F26DF">
        <w:t> </w:t>
      </w:r>
      <w:r w:rsidRPr="001B5679">
        <w:t>langues officielles de l</w:t>
      </w:r>
      <w:r w:rsidR="000048DA">
        <w:t>’</w:t>
      </w:r>
      <w:r w:rsidRPr="001B5679">
        <w:t xml:space="preserve">ONU, </w:t>
      </w:r>
      <w:r w:rsidR="000048DA">
        <w:t>à savoir</w:t>
      </w:r>
      <w:r w:rsidRPr="001B5679">
        <w:t xml:space="preserve"> le français, l</w:t>
      </w:r>
      <w:r w:rsidR="000048DA">
        <w:t>’</w:t>
      </w:r>
      <w:r w:rsidRPr="001B5679">
        <w:t>anglais, l</w:t>
      </w:r>
      <w:r w:rsidR="000048DA">
        <w:t>’</w:t>
      </w:r>
      <w:r w:rsidRPr="001B5679">
        <w:t>arabe, le chinois, l</w:t>
      </w:r>
      <w:r w:rsidR="000048DA">
        <w:t>’</w:t>
      </w:r>
      <w:r w:rsidRPr="001B5679">
        <w:t>espagnol et le russe.</w:t>
      </w:r>
    </w:p>
    <w:p w:rsidR="00624027" w:rsidRDefault="00DC4D07" w:rsidP="00F43C42">
      <w:pPr>
        <w:pStyle w:val="ONUMFS"/>
      </w:pPr>
      <w:r w:rsidRPr="001B5679">
        <w:t>Les formules BP/10, 11, 12 et 13 concernant la remise d</w:t>
      </w:r>
      <w:r w:rsidR="000048DA">
        <w:t>’</w:t>
      </w:r>
      <w:r w:rsidRPr="001B5679">
        <w:t>échantillons de micro</w:t>
      </w:r>
      <w:r w:rsidR="00F43C42">
        <w:noBreakHyphen/>
      </w:r>
      <w:r w:rsidRPr="001B5679">
        <w:t xml:space="preserve">organismes renvoient aux </w:t>
      </w:r>
      <w:r w:rsidR="00624027" w:rsidRPr="001B5679">
        <w:t>règles</w:t>
      </w:r>
      <w:r w:rsidR="00624027">
        <w:t> </w:t>
      </w:r>
      <w:r w:rsidR="00624027" w:rsidRPr="001B5679">
        <w:t>1</w:t>
      </w:r>
      <w:r w:rsidRPr="001B5679">
        <w:t>1.1, 11.2 et 11.3 du règlement d</w:t>
      </w:r>
      <w:r w:rsidR="000048DA">
        <w:t>’</w:t>
      </w:r>
      <w:r w:rsidRPr="001B5679">
        <w:t>exécution du Traité de Budape</w:t>
      </w:r>
      <w:r w:rsidR="00F43C42" w:rsidRPr="001B5679">
        <w:t>st</w:t>
      </w:r>
      <w:r w:rsidR="00F43C42">
        <w:t xml:space="preserve">.  </w:t>
      </w:r>
      <w:r w:rsidR="00F43C42" w:rsidRPr="001B5679">
        <w:t>La</w:t>
      </w:r>
      <w:r w:rsidRPr="001B5679">
        <w:t xml:space="preserve"> </w:t>
      </w:r>
      <w:r w:rsidR="00624027" w:rsidRPr="001B5679">
        <w:t>règle</w:t>
      </w:r>
      <w:r w:rsidR="00624027">
        <w:t> </w:t>
      </w:r>
      <w:r w:rsidR="00624027" w:rsidRPr="001B5679">
        <w:t>1</w:t>
      </w:r>
      <w:r w:rsidRPr="001B5679">
        <w:t>1.4.a) et 11.4.b) couvre les questions relatives aux langues et à la traduction d</w:t>
      </w:r>
      <w:r w:rsidR="000048DA">
        <w:t>’</w:t>
      </w:r>
      <w:r w:rsidRPr="001B5679">
        <w:t>une requête, d</w:t>
      </w:r>
      <w:r w:rsidR="000048DA">
        <w:t>’</w:t>
      </w:r>
      <w:r w:rsidRPr="001B5679">
        <w:t>une déclaration, d</w:t>
      </w:r>
      <w:r w:rsidR="000048DA">
        <w:t>’</w:t>
      </w:r>
      <w:r w:rsidRPr="001B5679">
        <w:t>une certification ou d</w:t>
      </w:r>
      <w:r w:rsidR="000048DA">
        <w:t>’</w:t>
      </w:r>
      <w:r w:rsidRPr="001B5679">
        <w:t xml:space="preserve">une communication visée aux </w:t>
      </w:r>
      <w:r w:rsidR="00624027" w:rsidRPr="001B5679">
        <w:t>règles</w:t>
      </w:r>
      <w:r w:rsidR="00624027">
        <w:t> </w:t>
      </w:r>
      <w:r w:rsidR="00624027" w:rsidRPr="001B5679">
        <w:t>1</w:t>
      </w:r>
      <w:r w:rsidRPr="001B5679">
        <w:t xml:space="preserve">1.1, 11.2 et 11.3.  Elles fixent i) les langues dans lesquelles toute requête, déclaration, certification ou communication doit être </w:t>
      </w:r>
      <w:proofErr w:type="gramStart"/>
      <w:r w:rsidRPr="001B5679">
        <w:t>adressée</w:t>
      </w:r>
      <w:r w:rsidR="006F26DF">
        <w:t xml:space="preserve">; </w:t>
      </w:r>
      <w:r w:rsidRPr="001B5679">
        <w:t xml:space="preserve"> et</w:t>
      </w:r>
      <w:proofErr w:type="gramEnd"/>
      <w:r w:rsidRPr="001B5679">
        <w:t xml:space="preserve"> ii)</w:t>
      </w:r>
      <w:r w:rsidR="006F26DF">
        <w:t> </w:t>
      </w:r>
      <w:r w:rsidRPr="001B5679">
        <w:t>les cas dans lesquels une traduction de ces différents types de communication est fournie par le Bureau internation</w:t>
      </w:r>
      <w:r w:rsidR="00F43C42" w:rsidRPr="001B5679">
        <w:t>al</w:t>
      </w:r>
      <w:r w:rsidR="00F43C42">
        <w:t xml:space="preserve">.  </w:t>
      </w:r>
      <w:r w:rsidR="00F43C42" w:rsidRPr="001B5679">
        <w:t>Pl</w:t>
      </w:r>
      <w:r w:rsidRPr="001B5679">
        <w:t>us précisément, ces communications doivent être rédigées en français, en anglais, en russe ou en espagnol dans certains cas et en français ou en anglais dans d</w:t>
      </w:r>
      <w:r w:rsidR="000048DA">
        <w:t>’</w:t>
      </w:r>
      <w:r w:rsidRPr="001B5679">
        <w:t>autres cas, selon la ou les langues officielles de l</w:t>
      </w:r>
      <w:r w:rsidR="000048DA">
        <w:t>’</w:t>
      </w:r>
      <w:r w:rsidRPr="001B5679">
        <w:t>ADI concern</w:t>
      </w:r>
      <w:r w:rsidR="00F43C42" w:rsidRPr="001B5679">
        <w:t>ée</w:t>
      </w:r>
      <w:r w:rsidR="00F43C42">
        <w:t>.  Da</w:t>
      </w:r>
      <w:r w:rsidR="00E83DFC">
        <w:t>ns d</w:t>
      </w:r>
      <w:r w:rsidR="000048DA">
        <w:t>’</w:t>
      </w:r>
      <w:r w:rsidR="00E83DFC">
        <w:t>autres cas encore</w:t>
      </w:r>
      <w:r w:rsidRPr="001B5679">
        <w:t>, le Bureau international est tenu d</w:t>
      </w:r>
      <w:r w:rsidR="000048DA">
        <w:t>’</w:t>
      </w:r>
      <w:r w:rsidRPr="001B5679">
        <w:t>établir, sur demande, une traduction certifiée conforme de ces communications depuis ou vers le russe ou l</w:t>
      </w:r>
      <w:r w:rsidR="000048DA">
        <w:t>’</w:t>
      </w:r>
      <w:r w:rsidRPr="001B5679">
        <w:t>espagnol.</w:t>
      </w:r>
    </w:p>
    <w:p w:rsidR="00DC4D07" w:rsidRPr="001B5679" w:rsidRDefault="00DC4D07" w:rsidP="00F43C42">
      <w:pPr>
        <w:pStyle w:val="ONUMFS"/>
      </w:pPr>
      <w:r w:rsidRPr="001B5679">
        <w:t>En cohérence avec l</w:t>
      </w:r>
      <w:r w:rsidR="000048DA">
        <w:t>’</w:t>
      </w:r>
      <w:r w:rsidRPr="001B5679">
        <w:t>élargissement des langues des formules BP ainsi qu</w:t>
      </w:r>
      <w:r w:rsidR="000048DA">
        <w:t>’</w:t>
      </w:r>
      <w:r w:rsidRPr="001B5679">
        <w:t>avec l</w:t>
      </w:r>
      <w:r w:rsidR="000048DA">
        <w:t>’</w:t>
      </w:r>
      <w:r w:rsidRPr="001B5679">
        <w:t>engagement de l</w:t>
      </w:r>
      <w:r w:rsidR="000048DA">
        <w:t>’</w:t>
      </w:r>
      <w:r w:rsidRPr="001B5679">
        <w:t>OMPI en faveur du multilinguisme, à la fois comme valeur essentielle de l</w:t>
      </w:r>
      <w:r w:rsidR="000048DA">
        <w:t>’</w:t>
      </w:r>
      <w:r w:rsidRPr="001B5679">
        <w:t>Organisation et en tant que moyen de s</w:t>
      </w:r>
      <w:r w:rsidR="000048DA">
        <w:t>’</w:t>
      </w:r>
      <w:r w:rsidRPr="001B5679">
        <w:t>adresser au public du monde entier</w:t>
      </w:r>
      <w:r w:rsidRPr="001B5679">
        <w:rPr>
          <w:rStyle w:val="FootnoteReference"/>
        </w:rPr>
        <w:footnoteReference w:id="5"/>
      </w:r>
      <w:r w:rsidRPr="001B5679">
        <w:t>, il est proposé que l</w:t>
      </w:r>
      <w:r w:rsidR="000048DA">
        <w:t>’</w:t>
      </w:r>
      <w:r w:rsidRPr="001B5679">
        <w:t xml:space="preserve">Assemblée modifie la </w:t>
      </w:r>
      <w:r w:rsidR="00624027" w:rsidRPr="001B5679">
        <w:t>règle</w:t>
      </w:r>
      <w:r w:rsidR="00624027">
        <w:t> </w:t>
      </w:r>
      <w:r w:rsidR="00624027" w:rsidRPr="001B5679">
        <w:t>1</w:t>
      </w:r>
      <w:r w:rsidRPr="001B5679">
        <w:t>1.4.a) et 11.4.b) afin que les communications en arabe et en chinois soient incluses dans ces dispositions, et qu</w:t>
      </w:r>
      <w:r w:rsidR="000048DA">
        <w:t>’</w:t>
      </w:r>
      <w:r w:rsidRPr="001B5679">
        <w:t>une traduction depuis ou vers l</w:t>
      </w:r>
      <w:r w:rsidR="000048DA">
        <w:t>’</w:t>
      </w:r>
      <w:r w:rsidRPr="001B5679">
        <w:t>arabe et le chinois certifiée conforme des communications puisse être demandée au Bureau internation</w:t>
      </w:r>
      <w:r w:rsidR="00F43C42" w:rsidRPr="001B5679">
        <w:t>al</w:t>
      </w:r>
      <w:r w:rsidR="00F43C42">
        <w:t xml:space="preserve">.  </w:t>
      </w:r>
      <w:r w:rsidR="00F43C42" w:rsidRPr="001B5679">
        <w:t>L</w:t>
      </w:r>
      <w:r w:rsidR="00F43C42">
        <w:t>’</w:t>
      </w:r>
      <w:r w:rsidR="00F43C42" w:rsidRPr="001B5679">
        <w:t>a</w:t>
      </w:r>
      <w:r w:rsidR="00624027" w:rsidRPr="001B5679">
        <w:t>nnexe</w:t>
      </w:r>
      <w:r w:rsidR="00624027">
        <w:t> </w:t>
      </w:r>
      <w:r w:rsidR="00624027" w:rsidRPr="001B5679">
        <w:t>I</w:t>
      </w:r>
      <w:r w:rsidRPr="001B5679">
        <w:t>I du présent document présente les modifications qu</w:t>
      </w:r>
      <w:r w:rsidR="000048DA">
        <w:t>’</w:t>
      </w:r>
      <w:r w:rsidRPr="001B5679">
        <w:t>il est proposé d</w:t>
      </w:r>
      <w:r w:rsidR="000048DA">
        <w:t>’</w:t>
      </w:r>
      <w:r w:rsidRPr="001B5679">
        <w:t xml:space="preserve">apporter à la </w:t>
      </w:r>
      <w:r w:rsidR="00624027" w:rsidRPr="001B5679">
        <w:t>règle</w:t>
      </w:r>
      <w:r w:rsidR="00624027">
        <w:t> </w:t>
      </w:r>
      <w:r w:rsidR="00624027" w:rsidRPr="001B5679">
        <w:t>1</w:t>
      </w:r>
      <w:r w:rsidRPr="001B5679">
        <w:t>1.4.a) et 11.4.b).  Il est proposé que l</w:t>
      </w:r>
      <w:r w:rsidR="000048DA">
        <w:t>’</w:t>
      </w:r>
      <w:r w:rsidRPr="001B5679">
        <w:t>Assemblée adopte les modifications figurant à l</w:t>
      </w:r>
      <w:r w:rsidR="000048DA">
        <w:t>’</w:t>
      </w:r>
      <w:r w:rsidR="00624027" w:rsidRPr="001B5679">
        <w:t>annexe</w:t>
      </w:r>
      <w:r w:rsidR="00624027">
        <w:t> </w:t>
      </w:r>
      <w:r w:rsidR="00624027" w:rsidRPr="001B5679">
        <w:t>I</w:t>
      </w:r>
      <w:r w:rsidRPr="001B5679">
        <w:t>I, qui entreront en vigueur le</w:t>
      </w:r>
      <w:r w:rsidR="000048DA">
        <w:t xml:space="preserve"> 1</w:t>
      </w:r>
      <w:r w:rsidR="000048DA" w:rsidRPr="000048DA">
        <w:rPr>
          <w:vertAlign w:val="superscript"/>
        </w:rPr>
        <w:t>er</w:t>
      </w:r>
      <w:r w:rsidR="000048DA">
        <w:t> </w:t>
      </w:r>
      <w:r w:rsidR="00624027" w:rsidRPr="001B5679">
        <w:t>janvier</w:t>
      </w:r>
      <w:r w:rsidR="00624027">
        <w:t> </w:t>
      </w:r>
      <w:r w:rsidR="00624027" w:rsidRPr="001B5679">
        <w:t>20</w:t>
      </w:r>
      <w:r w:rsidRPr="001B5679">
        <w:t>23 et s</w:t>
      </w:r>
      <w:r w:rsidR="000048DA">
        <w:t>’</w:t>
      </w:r>
      <w:r w:rsidRPr="001B5679">
        <w:t>appliqueront à une requête, une déclaration, une certification ou une communication visé</w:t>
      </w:r>
      <w:r w:rsidR="00D02FD1">
        <w:t xml:space="preserve">e aux </w:t>
      </w:r>
      <w:r w:rsidR="00624027">
        <w:t>règles 1</w:t>
      </w:r>
      <w:r w:rsidR="00D02FD1">
        <w:t>1.1, 11.2 et 11.3</w:t>
      </w:r>
      <w:r w:rsidR="00666707">
        <w:t xml:space="preserve"> et</w:t>
      </w:r>
      <w:r w:rsidRPr="001B5679">
        <w:t xml:space="preserve"> déposée ou soumise à cette date ou à une date ultérieure.</w:t>
      </w:r>
    </w:p>
    <w:p w:rsidR="00DC4D07" w:rsidRPr="001B5679" w:rsidRDefault="00DC4D07" w:rsidP="00F43C42">
      <w:pPr>
        <w:pStyle w:val="ONUMFS"/>
      </w:pPr>
      <w:r w:rsidRPr="001B5679">
        <w:t>Il convient de noter que, dans la pratique, même si la langue officielle (ou l</w:t>
      </w:r>
      <w:r w:rsidR="000048DA">
        <w:t>’</w:t>
      </w:r>
      <w:r w:rsidRPr="001B5679">
        <w:t>une des langues officielles)</w:t>
      </w:r>
      <w:r w:rsidR="00624027" w:rsidRPr="001B5679">
        <w:t xml:space="preserve"> de</w:t>
      </w:r>
      <w:r w:rsidR="00624027">
        <w:t>s </w:t>
      </w:r>
      <w:r w:rsidR="00624027" w:rsidRPr="001B5679">
        <w:t>ADI</w:t>
      </w:r>
      <w:r w:rsidRPr="001B5679">
        <w:t xml:space="preserve"> n</w:t>
      </w:r>
      <w:r w:rsidR="000048DA">
        <w:t>’</w:t>
      </w:r>
      <w:r w:rsidRPr="001B5679">
        <w:t>est pas l</w:t>
      </w:r>
      <w:r w:rsidR="000048DA">
        <w:t>’</w:t>
      </w:r>
      <w:r w:rsidRPr="001B5679">
        <w:t>anglais, elles acceptent toutes l</w:t>
      </w:r>
      <w:r w:rsidR="000048DA">
        <w:t>’</w:t>
      </w:r>
      <w:r w:rsidRPr="001B5679">
        <w:t>anglais comme langue de travail ou de communicati</w:t>
      </w:r>
      <w:r w:rsidR="00F43C42" w:rsidRPr="001B5679">
        <w:t>on</w:t>
      </w:r>
      <w:r w:rsidR="00F43C42">
        <w:t xml:space="preserve">.  </w:t>
      </w:r>
      <w:r w:rsidR="00F43C42" w:rsidRPr="001B5679">
        <w:t>Le</w:t>
      </w:r>
      <w:r w:rsidRPr="001B5679">
        <w:t xml:space="preserve"> Bureau international n</w:t>
      </w:r>
      <w:r w:rsidR="000048DA">
        <w:t>’</w:t>
      </w:r>
      <w:r w:rsidRPr="001B5679">
        <w:t xml:space="preserve">a trouvé aucune trace de demande de traduction selon la </w:t>
      </w:r>
      <w:r w:rsidR="00624027" w:rsidRPr="001B5679">
        <w:t>règle</w:t>
      </w:r>
      <w:r w:rsidR="00624027">
        <w:t> </w:t>
      </w:r>
      <w:r w:rsidR="00624027" w:rsidRPr="001B5679">
        <w:t>1</w:t>
      </w:r>
      <w:r w:rsidRPr="001B5679">
        <w:t xml:space="preserve">1.4.a) ou b).  Par conséquent, la modification de la </w:t>
      </w:r>
      <w:r w:rsidR="00624027" w:rsidRPr="001B5679">
        <w:t>règle</w:t>
      </w:r>
      <w:r w:rsidR="00624027">
        <w:t> </w:t>
      </w:r>
      <w:r w:rsidR="00624027" w:rsidRPr="001B5679">
        <w:t>1</w:t>
      </w:r>
      <w:r w:rsidRPr="001B5679">
        <w:t>1.4.a) et b)</w:t>
      </w:r>
      <w:r w:rsidR="006F26DF">
        <w:t> </w:t>
      </w:r>
      <w:r w:rsidRPr="001B5679">
        <w:t>ne devrait pas avoir d</w:t>
      </w:r>
      <w:r w:rsidR="000048DA">
        <w:t>’</w:t>
      </w:r>
      <w:r w:rsidRPr="001B5679">
        <w:t>incidence significative sur le volume de travail de traduction du Bureau international.</w:t>
      </w:r>
    </w:p>
    <w:p w:rsidR="00DC4D07" w:rsidRPr="001B5679" w:rsidRDefault="00DC4D07" w:rsidP="00F43C42">
      <w:pPr>
        <w:pStyle w:val="ONUMFS"/>
      </w:pPr>
      <w:r w:rsidRPr="001B5679">
        <w:t>S</w:t>
      </w:r>
      <w:r w:rsidR="000048DA">
        <w:t>’</w:t>
      </w:r>
      <w:r w:rsidRPr="001B5679">
        <w:t xml:space="preserve">agissant des autres formules BP, </w:t>
      </w:r>
      <w:r w:rsidR="009C6D4D">
        <w:t>sauf décision contraire de l</w:t>
      </w:r>
      <w:r w:rsidR="000048DA">
        <w:t>’</w:t>
      </w:r>
      <w:r w:rsidR="009C6D4D">
        <w:t>Assemblée</w:t>
      </w:r>
      <w:r w:rsidRPr="001B5679">
        <w:t>, le Bureau international les établira également dans les six</w:t>
      </w:r>
      <w:r w:rsidR="006F26DF">
        <w:t> </w:t>
      </w:r>
      <w:r w:rsidRPr="001B5679">
        <w:t>langues de l</w:t>
      </w:r>
      <w:r w:rsidR="000048DA">
        <w:t>’</w:t>
      </w:r>
      <w:r w:rsidRPr="001B5679">
        <w:t>ONU afin de fournir un niveau de service uniforme aux déposants, aux requérants,</w:t>
      </w:r>
      <w:r w:rsidR="00624027" w:rsidRPr="001B5679">
        <w:t xml:space="preserve"> aux</w:t>
      </w:r>
      <w:r w:rsidR="00624027">
        <w:t> </w:t>
      </w:r>
      <w:r w:rsidR="00624027" w:rsidRPr="001B5679">
        <w:t>AD</w:t>
      </w:r>
      <w:r w:rsidR="00624027">
        <w:t>I</w:t>
      </w:r>
      <w:r w:rsidRPr="001B5679">
        <w:t xml:space="preserve"> et aux offices de propriété intellectuelle.</w:t>
      </w:r>
    </w:p>
    <w:p w:rsidR="00624027" w:rsidRPr="00F43C42" w:rsidRDefault="00DC4D07" w:rsidP="00F43C42">
      <w:pPr>
        <w:pStyle w:val="ONUMFS"/>
        <w:ind w:left="5533"/>
        <w:rPr>
          <w:i/>
        </w:rPr>
      </w:pPr>
      <w:r w:rsidRPr="00F43C42">
        <w:rPr>
          <w:i/>
        </w:rPr>
        <w:lastRenderedPageBreak/>
        <w:t>L</w:t>
      </w:r>
      <w:r w:rsidR="000048DA" w:rsidRPr="00F43C42">
        <w:rPr>
          <w:i/>
        </w:rPr>
        <w:t>’</w:t>
      </w:r>
      <w:r w:rsidRPr="00F43C42">
        <w:rPr>
          <w:i/>
        </w:rPr>
        <w:t>Assemblée de l</w:t>
      </w:r>
      <w:r w:rsidR="000048DA" w:rsidRPr="00F43C42">
        <w:rPr>
          <w:i/>
        </w:rPr>
        <w:t>’</w:t>
      </w:r>
      <w:r w:rsidRPr="00F43C42">
        <w:rPr>
          <w:i/>
        </w:rPr>
        <w:t>Union de Budapest est invitée</w:t>
      </w:r>
    </w:p>
    <w:p w:rsidR="00DC4D07" w:rsidRPr="00F43C42" w:rsidRDefault="00DC4D07" w:rsidP="00F43C42">
      <w:pPr>
        <w:pStyle w:val="ONUMFS"/>
        <w:numPr>
          <w:ilvl w:val="0"/>
          <w:numId w:val="9"/>
        </w:numPr>
        <w:ind w:left="6236"/>
        <w:rPr>
          <w:i/>
        </w:rPr>
      </w:pPr>
      <w:proofErr w:type="gramStart"/>
      <w:r w:rsidRPr="00F43C42">
        <w:rPr>
          <w:i/>
        </w:rPr>
        <w:t>à</w:t>
      </w:r>
      <w:proofErr w:type="gramEnd"/>
      <w:r w:rsidRPr="00F43C42">
        <w:rPr>
          <w:i/>
        </w:rPr>
        <w:t xml:space="preserve"> fixer le contenu de la formule BP/12, comme indiqué au </w:t>
      </w:r>
      <w:r w:rsidR="00624027" w:rsidRPr="00F43C42">
        <w:rPr>
          <w:i/>
        </w:rPr>
        <w:t>paragraphe 8</w:t>
      </w:r>
      <w:r w:rsidRPr="00F43C42">
        <w:rPr>
          <w:i/>
        </w:rPr>
        <w:t xml:space="preserve"> du document BP/A/39/1;</w:t>
      </w:r>
    </w:p>
    <w:p w:rsidR="00DC4D07" w:rsidRPr="00F43C42" w:rsidRDefault="00DC4D07" w:rsidP="00F43C42">
      <w:pPr>
        <w:pStyle w:val="ONUMFS"/>
        <w:numPr>
          <w:ilvl w:val="0"/>
          <w:numId w:val="9"/>
        </w:numPr>
        <w:ind w:left="6236"/>
        <w:rPr>
          <w:i/>
          <w:iCs/>
        </w:rPr>
      </w:pPr>
      <w:proofErr w:type="gramStart"/>
      <w:r w:rsidRPr="00F43C42">
        <w:rPr>
          <w:i/>
        </w:rPr>
        <w:t>à</w:t>
      </w:r>
      <w:proofErr w:type="gramEnd"/>
      <w:r w:rsidRPr="00F43C42">
        <w:rPr>
          <w:i/>
        </w:rPr>
        <w:t xml:space="preserve"> prendre note du contenu du </w:t>
      </w:r>
      <w:r w:rsidR="00624027" w:rsidRPr="00F43C42">
        <w:rPr>
          <w:i/>
        </w:rPr>
        <w:t>paragraphe 9</w:t>
      </w:r>
      <w:r w:rsidRPr="00F43C42">
        <w:rPr>
          <w:i/>
        </w:rPr>
        <w:t xml:space="preserve"> du document BP/A/39/1;</w:t>
      </w:r>
    </w:p>
    <w:p w:rsidR="00624027" w:rsidRPr="00F43C42" w:rsidRDefault="00DC4D07" w:rsidP="00F43C42">
      <w:pPr>
        <w:pStyle w:val="ONUMFS"/>
        <w:numPr>
          <w:ilvl w:val="0"/>
          <w:numId w:val="9"/>
        </w:numPr>
        <w:ind w:left="6236"/>
        <w:rPr>
          <w:i/>
          <w:iCs/>
        </w:rPr>
      </w:pPr>
      <w:bookmarkStart w:id="5" w:name="_GoBack"/>
      <w:bookmarkEnd w:id="5"/>
      <w:r w:rsidRPr="00F43C42">
        <w:rPr>
          <w:i/>
          <w:iCs/>
        </w:rPr>
        <w:t xml:space="preserve">à indiquer les langues </w:t>
      </w:r>
      <w:r w:rsidR="0059061B" w:rsidRPr="00F43C42">
        <w:rPr>
          <w:i/>
          <w:iCs/>
        </w:rPr>
        <w:t>dans lesquelles les</w:t>
      </w:r>
      <w:r w:rsidRPr="00F43C42">
        <w:rPr>
          <w:i/>
          <w:iCs/>
        </w:rPr>
        <w:t xml:space="preserve"> </w:t>
      </w:r>
      <w:r w:rsidR="0049642A" w:rsidRPr="00F43C42">
        <w:rPr>
          <w:i/>
          <w:iCs/>
        </w:rPr>
        <w:t>formule</w:t>
      </w:r>
      <w:r w:rsidRPr="00F43C42">
        <w:rPr>
          <w:i/>
          <w:iCs/>
        </w:rPr>
        <w:t>s BP/4, BP/5, BP/6 et BP/9</w:t>
      </w:r>
      <w:r w:rsidR="0059061B" w:rsidRPr="00F43C42">
        <w:rPr>
          <w:i/>
          <w:iCs/>
        </w:rPr>
        <w:t xml:space="preserve"> sont </w:t>
      </w:r>
      <w:r w:rsidR="00662B06" w:rsidRPr="00F43C42">
        <w:rPr>
          <w:i/>
          <w:iCs/>
        </w:rPr>
        <w:t>rédigées</w:t>
      </w:r>
      <w:r w:rsidR="0059061B" w:rsidRPr="00F43C42">
        <w:rPr>
          <w:i/>
          <w:iCs/>
        </w:rPr>
        <w:t>,</w:t>
      </w:r>
      <w:r w:rsidRPr="00F43C42">
        <w:rPr>
          <w:i/>
          <w:iCs/>
        </w:rPr>
        <w:t xml:space="preserve"> comme indiqué au </w:t>
      </w:r>
      <w:r w:rsidR="00624027" w:rsidRPr="00F43C42">
        <w:rPr>
          <w:i/>
          <w:iCs/>
        </w:rPr>
        <w:t>paragraphe 1</w:t>
      </w:r>
      <w:r w:rsidRPr="00F43C42">
        <w:rPr>
          <w:i/>
          <w:iCs/>
        </w:rPr>
        <w:t>1 du document BP/A/39/1</w:t>
      </w:r>
      <w:r w:rsidR="006F26DF" w:rsidRPr="00F43C42">
        <w:rPr>
          <w:i/>
          <w:iCs/>
        </w:rPr>
        <w:t xml:space="preserve">; </w:t>
      </w:r>
      <w:r w:rsidRPr="00F43C42">
        <w:rPr>
          <w:i/>
          <w:iCs/>
        </w:rPr>
        <w:t xml:space="preserve"> et</w:t>
      </w:r>
    </w:p>
    <w:p w:rsidR="00DC4D07" w:rsidRPr="00F43C42" w:rsidRDefault="00DC4D07" w:rsidP="00F43C42">
      <w:pPr>
        <w:pStyle w:val="ONUMFS"/>
        <w:numPr>
          <w:ilvl w:val="0"/>
          <w:numId w:val="9"/>
        </w:numPr>
        <w:ind w:left="6236"/>
        <w:rPr>
          <w:i/>
          <w:iCs/>
        </w:rPr>
      </w:pPr>
      <w:r w:rsidRPr="00F43C42">
        <w:rPr>
          <w:i/>
          <w:iCs/>
        </w:rPr>
        <w:t>à adopter les propositions de modification du règlement d</w:t>
      </w:r>
      <w:r w:rsidR="000048DA" w:rsidRPr="00F43C42">
        <w:rPr>
          <w:i/>
          <w:iCs/>
        </w:rPr>
        <w:t>’</w:t>
      </w:r>
      <w:r w:rsidRPr="00F43C42">
        <w:rPr>
          <w:i/>
          <w:iCs/>
        </w:rPr>
        <w:t>exécution du Traité de Budapest, telles qu</w:t>
      </w:r>
      <w:r w:rsidR="000048DA" w:rsidRPr="00F43C42">
        <w:rPr>
          <w:i/>
          <w:iCs/>
        </w:rPr>
        <w:t>’</w:t>
      </w:r>
      <w:r w:rsidRPr="00F43C42">
        <w:rPr>
          <w:i/>
          <w:iCs/>
        </w:rPr>
        <w:t>elles figurent à l</w:t>
      </w:r>
      <w:r w:rsidR="000048DA" w:rsidRPr="00F43C42">
        <w:rPr>
          <w:i/>
          <w:iCs/>
        </w:rPr>
        <w:t>’</w:t>
      </w:r>
      <w:r w:rsidR="00624027" w:rsidRPr="00F43C42">
        <w:rPr>
          <w:i/>
          <w:iCs/>
        </w:rPr>
        <w:t>annexe I</w:t>
      </w:r>
      <w:r w:rsidRPr="00F43C42">
        <w:rPr>
          <w:i/>
          <w:iCs/>
        </w:rPr>
        <w:t>I, afin qu</w:t>
      </w:r>
      <w:r w:rsidR="000048DA" w:rsidRPr="00F43C42">
        <w:rPr>
          <w:i/>
          <w:iCs/>
        </w:rPr>
        <w:t>’</w:t>
      </w:r>
      <w:r w:rsidRPr="00F43C42">
        <w:rPr>
          <w:i/>
          <w:iCs/>
        </w:rPr>
        <w:t>elles entrent en vigueur le</w:t>
      </w:r>
      <w:r w:rsidR="000048DA" w:rsidRPr="00F43C42">
        <w:rPr>
          <w:i/>
          <w:iCs/>
        </w:rPr>
        <w:t xml:space="preserve"> 1</w:t>
      </w:r>
      <w:r w:rsidR="000048DA" w:rsidRPr="00F43C42">
        <w:rPr>
          <w:i/>
          <w:iCs/>
          <w:vertAlign w:val="superscript"/>
        </w:rPr>
        <w:t>er</w:t>
      </w:r>
      <w:r w:rsidR="000048DA" w:rsidRPr="00F43C42">
        <w:rPr>
          <w:i/>
          <w:iCs/>
        </w:rPr>
        <w:t> </w:t>
      </w:r>
      <w:r w:rsidR="00624027" w:rsidRPr="00F43C42">
        <w:rPr>
          <w:i/>
          <w:iCs/>
        </w:rPr>
        <w:t>janvier 20</w:t>
      </w:r>
      <w:r w:rsidRPr="00F43C42">
        <w:rPr>
          <w:i/>
          <w:iCs/>
        </w:rPr>
        <w:t>23.</w:t>
      </w:r>
    </w:p>
    <w:p w:rsidR="00DC4D07" w:rsidRPr="00F43C42" w:rsidRDefault="00DC4D07" w:rsidP="00F43C42">
      <w:pPr>
        <w:pStyle w:val="Endofdocument-Annex"/>
        <w:spacing w:before="720"/>
        <w:rPr>
          <w:lang w:val="fr-FR"/>
        </w:rPr>
      </w:pPr>
      <w:r w:rsidRPr="00F43C42">
        <w:rPr>
          <w:lang w:val="fr-FR"/>
        </w:rPr>
        <w:t>[Les annexes suivent]</w:t>
      </w:r>
    </w:p>
    <w:p w:rsidR="00DC4D07" w:rsidRPr="001B5679" w:rsidRDefault="00DC4D07" w:rsidP="00DC4D07">
      <w:pPr>
        <w:spacing w:after="220"/>
      </w:pPr>
    </w:p>
    <w:p w:rsidR="00DC4D07" w:rsidRPr="001B5679" w:rsidRDefault="00DC4D07" w:rsidP="00DC4D07">
      <w:pPr>
        <w:spacing w:after="220"/>
        <w:sectPr w:rsidR="00DC4D07" w:rsidRPr="001B5679" w:rsidSect="00D616B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DC4D07" w:rsidRPr="001B5679" w:rsidRDefault="00DC4D07" w:rsidP="00F43C42">
      <w:pPr>
        <w:spacing w:after="480"/>
        <w:jc w:val="center"/>
        <w:rPr>
          <w:bCs/>
          <w:caps/>
        </w:rPr>
      </w:pPr>
      <w:r w:rsidRPr="001B5679">
        <w:rPr>
          <w:bCs/>
          <w:caps/>
        </w:rPr>
        <w:lastRenderedPageBreak/>
        <w:t xml:space="preserve">Formules utilisées en application du Traité de Budapest et de son </w:t>
      </w:r>
      <w:r w:rsidR="006F26DF">
        <w:rPr>
          <w:bCs/>
          <w:caps/>
        </w:rPr>
        <w:t>règle</w:t>
      </w:r>
      <w:r w:rsidRPr="001B5679">
        <w:rPr>
          <w:bCs/>
          <w:caps/>
        </w:rPr>
        <w:t>ment d</w:t>
      </w:r>
      <w:r w:rsidR="000048DA">
        <w:rPr>
          <w:bCs/>
          <w:caps/>
        </w:rPr>
        <w:t>’</w:t>
      </w:r>
      <w:r w:rsidRPr="001B5679">
        <w:rPr>
          <w:bCs/>
          <w:caps/>
        </w:rPr>
        <w:t>exécution</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BP/1</w:t>
      </w:r>
      <w:r w:rsidR="000048DA">
        <w:rPr>
          <w:lang w:val="fr-CH"/>
        </w:rPr>
        <w:t> :</w:t>
      </w:r>
      <w:r w:rsidR="006F26DF">
        <w:rPr>
          <w:lang w:val="fr-CH"/>
        </w:rPr>
        <w:t xml:space="preserve"> </w:t>
      </w:r>
      <w:r w:rsidRPr="001B5679">
        <w:rPr>
          <w:lang w:val="fr-CH"/>
        </w:rPr>
        <w:tab/>
        <w:t>Déclaration en cas de dépôt initial (</w:t>
      </w:r>
      <w:r w:rsidR="00624027" w:rsidRPr="001B5679">
        <w:rPr>
          <w:lang w:val="fr-CH"/>
        </w:rPr>
        <w:t>règle</w:t>
      </w:r>
      <w:r w:rsidR="00624027">
        <w:rPr>
          <w:lang w:val="fr-CH"/>
        </w:rPr>
        <w:t> </w:t>
      </w:r>
      <w:r w:rsidR="00624027" w:rsidRPr="001B5679">
        <w:rPr>
          <w:lang w:val="fr-CH"/>
        </w:rPr>
        <w:t>6</w:t>
      </w:r>
      <w:r w:rsidRPr="001B5679">
        <w:rPr>
          <w:lang w:val="fr-CH"/>
        </w:rPr>
        <w:t>.1)</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BP/2</w:t>
      </w:r>
      <w:r w:rsidR="000048DA">
        <w:rPr>
          <w:lang w:val="fr-CH"/>
        </w:rPr>
        <w:t> :</w:t>
      </w:r>
      <w:r w:rsidR="006F26DF">
        <w:rPr>
          <w:lang w:val="fr-CH"/>
        </w:rPr>
        <w:t xml:space="preserve"> </w:t>
      </w:r>
      <w:r w:rsidRPr="001B5679">
        <w:rPr>
          <w:lang w:val="fr-CH"/>
        </w:rPr>
        <w:tab/>
        <w:t>Déclaration en cas de nouveau dépôt auprès de la même autorité de dépôt internationale (</w:t>
      </w:r>
      <w:r w:rsidR="00624027" w:rsidRPr="001B5679">
        <w:rPr>
          <w:lang w:val="fr-CH"/>
        </w:rPr>
        <w:t>règle</w:t>
      </w:r>
      <w:r w:rsidR="00624027">
        <w:rPr>
          <w:lang w:val="fr-CH"/>
        </w:rPr>
        <w:t> </w:t>
      </w:r>
      <w:r w:rsidR="00624027" w:rsidRPr="001B5679">
        <w:rPr>
          <w:lang w:val="fr-CH"/>
        </w:rPr>
        <w:t>6</w:t>
      </w:r>
      <w:r w:rsidRPr="001B5679">
        <w:rPr>
          <w:lang w:val="fr-CH"/>
        </w:rPr>
        <w:t>.2)</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BP/3</w:t>
      </w:r>
      <w:r w:rsidR="000048DA">
        <w:rPr>
          <w:lang w:val="fr-CH"/>
        </w:rPr>
        <w:t> :</w:t>
      </w:r>
      <w:r w:rsidR="006F26DF">
        <w:rPr>
          <w:lang w:val="fr-CH"/>
        </w:rPr>
        <w:t xml:space="preserve"> </w:t>
      </w:r>
      <w:r w:rsidRPr="001B5679">
        <w:rPr>
          <w:lang w:val="fr-CH"/>
        </w:rPr>
        <w:tab/>
        <w:t>Déclaration en cas de nouveau dépôt auprès d</w:t>
      </w:r>
      <w:r w:rsidR="000048DA">
        <w:rPr>
          <w:lang w:val="fr-CH"/>
        </w:rPr>
        <w:t>’</w:t>
      </w:r>
      <w:r w:rsidRPr="001B5679">
        <w:rPr>
          <w:lang w:val="fr-CH"/>
        </w:rPr>
        <w:t>une autre autorité de dépôt internationale (</w:t>
      </w:r>
      <w:r w:rsidR="00624027" w:rsidRPr="001B5679">
        <w:rPr>
          <w:lang w:val="fr-CH"/>
        </w:rPr>
        <w:t>règle</w:t>
      </w:r>
      <w:r w:rsidR="00624027">
        <w:rPr>
          <w:lang w:val="fr-CH"/>
        </w:rPr>
        <w:t> </w:t>
      </w:r>
      <w:r w:rsidR="00624027" w:rsidRPr="001B5679">
        <w:rPr>
          <w:lang w:val="fr-CH"/>
        </w:rPr>
        <w:t>6</w:t>
      </w:r>
      <w:r w:rsidRPr="001B5679">
        <w:rPr>
          <w:lang w:val="fr-CH"/>
        </w:rPr>
        <w:t>.2)</w:t>
      </w:r>
    </w:p>
    <w:p w:rsidR="00624027" w:rsidRDefault="00DC4D07" w:rsidP="00F43C42">
      <w:pPr>
        <w:pStyle w:val="ListParagraph"/>
        <w:numPr>
          <w:ilvl w:val="0"/>
          <w:numId w:val="8"/>
        </w:numPr>
        <w:tabs>
          <w:tab w:val="left" w:pos="1418"/>
        </w:tabs>
        <w:spacing w:after="220"/>
        <w:ind w:left="567" w:hanging="567"/>
        <w:contextualSpacing w:val="0"/>
        <w:rPr>
          <w:lang w:val="fr-CH"/>
        </w:rPr>
      </w:pPr>
      <w:r>
        <w:rPr>
          <w:lang w:val="fr-CH"/>
        </w:rPr>
        <w:t>BP/4</w:t>
      </w:r>
      <w:r w:rsidR="000048DA">
        <w:rPr>
          <w:lang w:val="fr-CH"/>
        </w:rPr>
        <w:t> :</w:t>
      </w:r>
      <w:r w:rsidR="006F26DF">
        <w:rPr>
          <w:lang w:val="fr-CH"/>
        </w:rPr>
        <w:t xml:space="preserve"> </w:t>
      </w:r>
      <w:r>
        <w:rPr>
          <w:lang w:val="fr-CH"/>
        </w:rPr>
        <w:tab/>
      </w:r>
      <w:r w:rsidRPr="001B5679">
        <w:rPr>
          <w:lang w:val="fr-CH"/>
        </w:rPr>
        <w:t>Récépissé en cas de dépôt initial (</w:t>
      </w:r>
      <w:r w:rsidR="00624027" w:rsidRPr="001B5679">
        <w:rPr>
          <w:lang w:val="fr-CH"/>
        </w:rPr>
        <w:t>règle</w:t>
      </w:r>
      <w:r w:rsidR="00624027">
        <w:rPr>
          <w:lang w:val="fr-CH"/>
        </w:rPr>
        <w:t> </w:t>
      </w:r>
      <w:r w:rsidR="00624027" w:rsidRPr="001B5679">
        <w:rPr>
          <w:lang w:val="fr-CH"/>
        </w:rPr>
        <w:t>7</w:t>
      </w:r>
      <w:r w:rsidRPr="001B5679">
        <w:rPr>
          <w:lang w:val="fr-CH"/>
        </w:rPr>
        <w:t>.1)</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Pr>
          <w:lang w:val="fr-CH"/>
        </w:rPr>
        <w:t>BP/5</w:t>
      </w:r>
      <w:r w:rsidR="000048DA">
        <w:rPr>
          <w:lang w:val="fr-CH"/>
        </w:rPr>
        <w:t> :</w:t>
      </w:r>
      <w:r w:rsidR="006F26DF">
        <w:rPr>
          <w:lang w:val="fr-CH"/>
        </w:rPr>
        <w:t xml:space="preserve"> </w:t>
      </w:r>
      <w:r>
        <w:rPr>
          <w:lang w:val="fr-CH"/>
        </w:rPr>
        <w:tab/>
      </w:r>
      <w:r w:rsidRPr="001B5679">
        <w:rPr>
          <w:lang w:val="fr-CH"/>
        </w:rPr>
        <w:t>Récépissé en cas de nouveau dépôt (</w:t>
      </w:r>
      <w:r w:rsidR="00624027" w:rsidRPr="001B5679">
        <w:rPr>
          <w:lang w:val="fr-CH"/>
        </w:rPr>
        <w:t>règle</w:t>
      </w:r>
      <w:r w:rsidR="00624027">
        <w:rPr>
          <w:lang w:val="fr-CH"/>
        </w:rPr>
        <w:t> </w:t>
      </w:r>
      <w:r w:rsidR="00624027" w:rsidRPr="001B5679">
        <w:rPr>
          <w:lang w:val="fr-CH"/>
        </w:rPr>
        <w:t>7</w:t>
      </w:r>
      <w:r w:rsidRPr="001B5679">
        <w:rPr>
          <w:lang w:val="fr-CH"/>
        </w:rPr>
        <w:t>.1)</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BP/6</w:t>
      </w:r>
      <w:r w:rsidR="000048DA">
        <w:rPr>
          <w:lang w:val="fr-CH"/>
        </w:rPr>
        <w:t> :</w:t>
      </w:r>
      <w:r w:rsidR="006F26DF">
        <w:rPr>
          <w:lang w:val="fr-CH"/>
        </w:rPr>
        <w:t xml:space="preserve"> </w:t>
      </w:r>
      <w:r w:rsidRPr="001B5679">
        <w:rPr>
          <w:lang w:val="fr-CH"/>
        </w:rPr>
        <w:tab/>
        <w:t>Récépissé en cas de transfert (</w:t>
      </w:r>
      <w:r w:rsidR="00624027" w:rsidRPr="001B5679">
        <w:rPr>
          <w:lang w:val="fr-CH"/>
        </w:rPr>
        <w:t>règle</w:t>
      </w:r>
      <w:r w:rsidR="00624027">
        <w:rPr>
          <w:lang w:val="fr-CH"/>
        </w:rPr>
        <w:t> </w:t>
      </w:r>
      <w:r w:rsidR="00624027" w:rsidRPr="001B5679">
        <w:rPr>
          <w:lang w:val="fr-CH"/>
        </w:rPr>
        <w:t>7</w:t>
      </w:r>
      <w:r w:rsidRPr="001B5679">
        <w:rPr>
          <w:lang w:val="fr-CH"/>
        </w:rPr>
        <w:t>.1)</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BP/7</w:t>
      </w:r>
      <w:r w:rsidR="000048DA">
        <w:rPr>
          <w:lang w:val="fr-CH"/>
        </w:rPr>
        <w:t> :</w:t>
      </w:r>
      <w:r w:rsidR="006F26DF">
        <w:rPr>
          <w:lang w:val="fr-CH"/>
        </w:rPr>
        <w:t xml:space="preserve"> </w:t>
      </w:r>
      <w:r w:rsidRPr="001B5679">
        <w:rPr>
          <w:lang w:val="fr-CH"/>
        </w:rPr>
        <w:tab/>
        <w:t>Communication de l</w:t>
      </w:r>
      <w:r w:rsidR="000048DA">
        <w:rPr>
          <w:lang w:val="fr-CH"/>
        </w:rPr>
        <w:t>’</w:t>
      </w:r>
      <w:r w:rsidRPr="001B5679">
        <w:rPr>
          <w:lang w:val="fr-CH"/>
        </w:rPr>
        <w:t>indication ultérieure ou de modifications de la description scientifique et/ou de la désignation taxonomique proposée (</w:t>
      </w:r>
      <w:r w:rsidR="00624027" w:rsidRPr="001B5679">
        <w:rPr>
          <w:lang w:val="fr-CH"/>
        </w:rPr>
        <w:t>règle</w:t>
      </w:r>
      <w:r w:rsidR="00624027">
        <w:rPr>
          <w:lang w:val="fr-CH"/>
        </w:rPr>
        <w:t> </w:t>
      </w:r>
      <w:r w:rsidR="00624027" w:rsidRPr="001B5679">
        <w:rPr>
          <w:lang w:val="fr-CH"/>
        </w:rPr>
        <w:t>8</w:t>
      </w:r>
      <w:r w:rsidRPr="001B5679">
        <w:rPr>
          <w:lang w:val="fr-CH"/>
        </w:rPr>
        <w:t>.1)</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BP/8</w:t>
      </w:r>
      <w:r w:rsidR="000048DA">
        <w:rPr>
          <w:lang w:val="fr-CH"/>
        </w:rPr>
        <w:t> :</w:t>
      </w:r>
      <w:r w:rsidR="006F26DF">
        <w:rPr>
          <w:lang w:val="fr-CH"/>
        </w:rPr>
        <w:t xml:space="preserve"> </w:t>
      </w:r>
      <w:r w:rsidRPr="001B5679">
        <w:rPr>
          <w:lang w:val="fr-CH"/>
        </w:rPr>
        <w:tab/>
        <w:t>Attestation relative à l</w:t>
      </w:r>
      <w:r w:rsidR="000048DA">
        <w:rPr>
          <w:lang w:val="fr-CH"/>
        </w:rPr>
        <w:t>’</w:t>
      </w:r>
      <w:r w:rsidRPr="001B5679">
        <w:rPr>
          <w:lang w:val="fr-CH"/>
        </w:rPr>
        <w:t>indication ultérieure ou à des modifications de la description scientifique et/ou de la désignation taxonomique proposée (</w:t>
      </w:r>
      <w:r w:rsidR="00624027" w:rsidRPr="001B5679">
        <w:rPr>
          <w:lang w:val="fr-CH"/>
        </w:rPr>
        <w:t>règle</w:t>
      </w:r>
      <w:r w:rsidR="00624027">
        <w:rPr>
          <w:lang w:val="fr-CH"/>
        </w:rPr>
        <w:t> </w:t>
      </w:r>
      <w:r w:rsidR="00624027" w:rsidRPr="001B5679">
        <w:rPr>
          <w:lang w:val="fr-CH"/>
        </w:rPr>
        <w:t>8</w:t>
      </w:r>
      <w:r w:rsidRPr="001B5679">
        <w:rPr>
          <w:lang w:val="fr-CH"/>
        </w:rPr>
        <w:t>.2)</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BP/9</w:t>
      </w:r>
      <w:r w:rsidR="000048DA">
        <w:rPr>
          <w:lang w:val="fr-CH"/>
        </w:rPr>
        <w:t> :</w:t>
      </w:r>
      <w:r w:rsidRPr="001B5679">
        <w:rPr>
          <w:lang w:val="fr-CH"/>
        </w:rPr>
        <w:t xml:space="preserve"> </w:t>
      </w:r>
      <w:r w:rsidRPr="001B5679">
        <w:rPr>
          <w:lang w:val="fr-CH"/>
        </w:rPr>
        <w:tab/>
        <w:t>Déclaration sur la viabilité (</w:t>
      </w:r>
      <w:r w:rsidR="00624027" w:rsidRPr="001B5679">
        <w:rPr>
          <w:lang w:val="fr-CH"/>
        </w:rPr>
        <w:t>règle</w:t>
      </w:r>
      <w:r w:rsidR="00624027">
        <w:rPr>
          <w:lang w:val="fr-CH"/>
        </w:rPr>
        <w:t> </w:t>
      </w:r>
      <w:r w:rsidR="00624027" w:rsidRPr="001B5679">
        <w:rPr>
          <w:lang w:val="fr-CH"/>
        </w:rPr>
        <w:t>1</w:t>
      </w:r>
      <w:r w:rsidRPr="001B5679">
        <w:rPr>
          <w:lang w:val="fr-CH"/>
        </w:rPr>
        <w:t>0.2)</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BP/10</w:t>
      </w:r>
      <w:r w:rsidR="000048DA">
        <w:rPr>
          <w:lang w:val="fr-CH"/>
        </w:rPr>
        <w:t> :</w:t>
      </w:r>
      <w:r w:rsidR="006F26DF">
        <w:rPr>
          <w:lang w:val="fr-CH"/>
        </w:rPr>
        <w:t xml:space="preserve"> </w:t>
      </w:r>
      <w:r w:rsidRPr="001B5679">
        <w:rPr>
          <w:lang w:val="fr-CH"/>
        </w:rPr>
        <w:tab/>
        <w:t>Requête en remise d</w:t>
      </w:r>
      <w:r w:rsidR="000048DA">
        <w:rPr>
          <w:lang w:val="fr-CH"/>
        </w:rPr>
        <w:t>’</w:t>
      </w:r>
      <w:r w:rsidRPr="001B5679">
        <w:rPr>
          <w:lang w:val="fr-CH"/>
        </w:rPr>
        <w:t>échantillons de micro</w:t>
      </w:r>
      <w:r w:rsidR="00F43C42">
        <w:rPr>
          <w:lang w:val="fr-CH"/>
        </w:rPr>
        <w:noBreakHyphen/>
      </w:r>
      <w:r w:rsidRPr="001B5679">
        <w:rPr>
          <w:lang w:val="fr-CH"/>
        </w:rPr>
        <w:t>organismes déposés (</w:t>
      </w:r>
      <w:r w:rsidR="00624027" w:rsidRPr="001B5679">
        <w:rPr>
          <w:lang w:val="fr-CH"/>
        </w:rPr>
        <w:t>règle</w:t>
      </w:r>
      <w:r w:rsidR="00624027">
        <w:rPr>
          <w:lang w:val="fr-CH"/>
        </w:rPr>
        <w:t> </w:t>
      </w:r>
      <w:r w:rsidR="00624027" w:rsidRPr="001B5679">
        <w:rPr>
          <w:lang w:val="fr-CH"/>
        </w:rPr>
        <w:t>1</w:t>
      </w:r>
      <w:r w:rsidRPr="001B5679">
        <w:rPr>
          <w:lang w:val="fr-CH"/>
        </w:rPr>
        <w:t>1.1)</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BP/11</w:t>
      </w:r>
      <w:r w:rsidR="000048DA">
        <w:rPr>
          <w:lang w:val="fr-CH"/>
        </w:rPr>
        <w:t> :</w:t>
      </w:r>
      <w:r w:rsidR="006F26DF">
        <w:rPr>
          <w:lang w:val="fr-CH"/>
        </w:rPr>
        <w:t xml:space="preserve"> </w:t>
      </w:r>
      <w:r w:rsidRPr="001B5679">
        <w:rPr>
          <w:lang w:val="fr-CH"/>
        </w:rPr>
        <w:tab/>
        <w:t>Requête en remise d</w:t>
      </w:r>
      <w:r w:rsidR="000048DA">
        <w:rPr>
          <w:lang w:val="fr-CH"/>
        </w:rPr>
        <w:t>’</w:t>
      </w:r>
      <w:r w:rsidRPr="001B5679">
        <w:rPr>
          <w:lang w:val="fr-CH"/>
        </w:rPr>
        <w:t>échantillons de micro</w:t>
      </w:r>
      <w:r w:rsidR="00F43C42">
        <w:rPr>
          <w:lang w:val="fr-CH"/>
        </w:rPr>
        <w:noBreakHyphen/>
      </w:r>
      <w:r w:rsidRPr="001B5679">
        <w:rPr>
          <w:lang w:val="fr-CH"/>
        </w:rPr>
        <w:t>organismes déposés (</w:t>
      </w:r>
      <w:r w:rsidR="00624027" w:rsidRPr="001B5679">
        <w:rPr>
          <w:lang w:val="fr-CH"/>
        </w:rPr>
        <w:t>règle</w:t>
      </w:r>
      <w:r w:rsidR="00624027">
        <w:rPr>
          <w:lang w:val="fr-CH"/>
        </w:rPr>
        <w:t> </w:t>
      </w:r>
      <w:r w:rsidR="00624027" w:rsidRPr="001B5679">
        <w:rPr>
          <w:lang w:val="fr-CH"/>
        </w:rPr>
        <w:t>1</w:t>
      </w:r>
      <w:r w:rsidRPr="001B5679">
        <w:rPr>
          <w:lang w:val="fr-CH"/>
        </w:rPr>
        <w:t>1.2.ii))</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BP/12</w:t>
      </w:r>
      <w:r w:rsidR="000048DA">
        <w:rPr>
          <w:lang w:val="fr-CH"/>
        </w:rPr>
        <w:t> :</w:t>
      </w:r>
      <w:r w:rsidRPr="001B5679">
        <w:rPr>
          <w:lang w:val="fr-CH"/>
        </w:rPr>
        <w:t xml:space="preserve"> </w:t>
      </w:r>
      <w:r w:rsidRPr="001B5679">
        <w:rPr>
          <w:lang w:val="fr-CH"/>
        </w:rPr>
        <w:tab/>
        <w:t>Requête en remise d</w:t>
      </w:r>
      <w:r w:rsidR="000048DA">
        <w:rPr>
          <w:lang w:val="fr-CH"/>
        </w:rPr>
        <w:t>’</w:t>
      </w:r>
      <w:r w:rsidRPr="001B5679">
        <w:rPr>
          <w:lang w:val="fr-CH"/>
        </w:rPr>
        <w:t>échantillons de micro</w:t>
      </w:r>
      <w:r w:rsidR="00F43C42">
        <w:rPr>
          <w:lang w:val="fr-CH"/>
        </w:rPr>
        <w:noBreakHyphen/>
      </w:r>
      <w:r w:rsidRPr="001B5679">
        <w:rPr>
          <w:lang w:val="fr-CH"/>
        </w:rPr>
        <w:t>organismes déposés (</w:t>
      </w:r>
      <w:r w:rsidR="00624027" w:rsidRPr="001B5679">
        <w:rPr>
          <w:lang w:val="fr-CH"/>
        </w:rPr>
        <w:t>règle</w:t>
      </w:r>
      <w:r w:rsidR="00624027">
        <w:rPr>
          <w:lang w:val="fr-CH"/>
        </w:rPr>
        <w:t> </w:t>
      </w:r>
      <w:r w:rsidR="00624027" w:rsidRPr="001B5679">
        <w:rPr>
          <w:lang w:val="fr-CH"/>
        </w:rPr>
        <w:t>1</w:t>
      </w:r>
      <w:r w:rsidRPr="001B5679">
        <w:rPr>
          <w:lang w:val="fr-CH"/>
        </w:rPr>
        <w:t>1.3.a))</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BP/13</w:t>
      </w:r>
      <w:r w:rsidR="000048DA">
        <w:rPr>
          <w:lang w:val="fr-CH"/>
        </w:rPr>
        <w:t> :</w:t>
      </w:r>
      <w:r w:rsidR="006F26DF">
        <w:rPr>
          <w:lang w:val="fr-CH"/>
        </w:rPr>
        <w:t xml:space="preserve"> </w:t>
      </w:r>
      <w:r w:rsidRPr="001B5679">
        <w:rPr>
          <w:lang w:val="fr-CH"/>
        </w:rPr>
        <w:tab/>
        <w:t>Requête en remise d</w:t>
      </w:r>
      <w:r w:rsidR="000048DA">
        <w:rPr>
          <w:lang w:val="fr-CH"/>
        </w:rPr>
        <w:t>’</w:t>
      </w:r>
      <w:r w:rsidRPr="001B5679">
        <w:rPr>
          <w:lang w:val="fr-CH"/>
        </w:rPr>
        <w:t>échantillons de micro</w:t>
      </w:r>
      <w:r w:rsidR="00F43C42">
        <w:rPr>
          <w:lang w:val="fr-CH"/>
        </w:rPr>
        <w:noBreakHyphen/>
      </w:r>
      <w:r w:rsidRPr="001B5679">
        <w:rPr>
          <w:lang w:val="fr-CH"/>
        </w:rPr>
        <w:t>organismes déposés (</w:t>
      </w:r>
      <w:r w:rsidR="00624027" w:rsidRPr="001B5679">
        <w:rPr>
          <w:lang w:val="fr-CH"/>
        </w:rPr>
        <w:t>règle</w:t>
      </w:r>
      <w:r w:rsidR="00624027">
        <w:rPr>
          <w:lang w:val="fr-CH"/>
        </w:rPr>
        <w:t> </w:t>
      </w:r>
      <w:r w:rsidR="00624027" w:rsidRPr="001B5679">
        <w:rPr>
          <w:lang w:val="fr-CH"/>
        </w:rPr>
        <w:t>1</w:t>
      </w:r>
      <w:r w:rsidRPr="001B5679">
        <w:rPr>
          <w:lang w:val="fr-CH"/>
        </w:rPr>
        <w:t>1.3.b))</w:t>
      </w:r>
    </w:p>
    <w:p w:rsidR="00DC4D07" w:rsidRPr="001B5679" w:rsidRDefault="00DC4D07" w:rsidP="00F43C42">
      <w:pPr>
        <w:pStyle w:val="ListParagraph"/>
        <w:numPr>
          <w:ilvl w:val="0"/>
          <w:numId w:val="8"/>
        </w:numPr>
        <w:tabs>
          <w:tab w:val="left" w:pos="1418"/>
        </w:tabs>
        <w:spacing w:after="220"/>
        <w:ind w:left="567" w:hanging="567"/>
        <w:contextualSpacing w:val="0"/>
        <w:rPr>
          <w:lang w:val="fr-CH"/>
        </w:rPr>
      </w:pPr>
      <w:r w:rsidRPr="001B5679">
        <w:rPr>
          <w:lang w:val="fr-CH"/>
        </w:rPr>
        <w:t>BP/14</w:t>
      </w:r>
      <w:r w:rsidR="000048DA">
        <w:rPr>
          <w:lang w:val="fr-CH"/>
        </w:rPr>
        <w:t> :</w:t>
      </w:r>
      <w:r w:rsidR="006F26DF">
        <w:rPr>
          <w:lang w:val="fr-CH"/>
        </w:rPr>
        <w:t xml:space="preserve"> </w:t>
      </w:r>
      <w:r w:rsidRPr="001B5679">
        <w:rPr>
          <w:lang w:val="fr-CH"/>
        </w:rPr>
        <w:tab/>
        <w:t>Notification de la remise d</w:t>
      </w:r>
      <w:r w:rsidR="000048DA">
        <w:rPr>
          <w:lang w:val="fr-CH"/>
        </w:rPr>
        <w:t>’</w:t>
      </w:r>
      <w:r w:rsidRPr="001B5679">
        <w:rPr>
          <w:lang w:val="fr-CH"/>
        </w:rPr>
        <w:t>échantillons de micro</w:t>
      </w:r>
      <w:r w:rsidR="00F43C42">
        <w:rPr>
          <w:lang w:val="fr-CH"/>
        </w:rPr>
        <w:noBreakHyphen/>
      </w:r>
      <w:r w:rsidRPr="001B5679">
        <w:rPr>
          <w:lang w:val="fr-CH"/>
        </w:rPr>
        <w:t>organismes déposés (</w:t>
      </w:r>
      <w:r w:rsidR="00624027" w:rsidRPr="001B5679">
        <w:rPr>
          <w:lang w:val="fr-CH"/>
        </w:rPr>
        <w:t>règle</w:t>
      </w:r>
      <w:r w:rsidR="00624027">
        <w:rPr>
          <w:lang w:val="fr-CH"/>
        </w:rPr>
        <w:t> </w:t>
      </w:r>
      <w:r w:rsidR="00624027" w:rsidRPr="001B5679">
        <w:rPr>
          <w:lang w:val="fr-CH"/>
        </w:rPr>
        <w:t>1</w:t>
      </w:r>
      <w:r w:rsidRPr="001B5679">
        <w:rPr>
          <w:lang w:val="fr-CH"/>
        </w:rPr>
        <w:t>1.4.g))</w:t>
      </w:r>
    </w:p>
    <w:p w:rsidR="00DC4D07" w:rsidRPr="008D4C76" w:rsidRDefault="00DC4D07" w:rsidP="00F43C42">
      <w:pPr>
        <w:pStyle w:val="Endofdocument-Annex"/>
        <w:spacing w:before="720"/>
        <w:rPr>
          <w:lang w:val="fr-CH"/>
        </w:rPr>
      </w:pPr>
      <w:r w:rsidRPr="008D4C76">
        <w:rPr>
          <w:lang w:val="fr-CH"/>
        </w:rPr>
        <w:t>[L</w:t>
      </w:r>
      <w:r w:rsidR="000048DA" w:rsidRPr="008D4C76">
        <w:rPr>
          <w:lang w:val="fr-CH"/>
        </w:rPr>
        <w:t>’</w:t>
      </w:r>
      <w:r w:rsidR="00624027" w:rsidRPr="008D4C76">
        <w:rPr>
          <w:lang w:val="fr-CH"/>
        </w:rPr>
        <w:t>annexe I</w:t>
      </w:r>
      <w:r w:rsidRPr="008D4C76">
        <w:rPr>
          <w:lang w:val="fr-CH"/>
        </w:rPr>
        <w:t>I suit]</w:t>
      </w:r>
    </w:p>
    <w:p w:rsidR="00DC4D07" w:rsidRPr="001B5679" w:rsidRDefault="00DC4D07" w:rsidP="00DC4D07">
      <w:pPr>
        <w:rPr>
          <w:i/>
        </w:rPr>
      </w:pPr>
      <w:r w:rsidRPr="001B5679">
        <w:rPr>
          <w:i/>
        </w:rPr>
        <w:br w:type="page"/>
      </w:r>
    </w:p>
    <w:p w:rsidR="00DC4D07" w:rsidRPr="001B5679" w:rsidRDefault="00DC4D07" w:rsidP="00F43C42">
      <w:pPr>
        <w:spacing w:after="480"/>
        <w:jc w:val="center"/>
        <w:rPr>
          <w:szCs w:val="22"/>
        </w:rPr>
      </w:pPr>
      <w:r w:rsidRPr="001B5679">
        <w:rPr>
          <w:szCs w:val="22"/>
        </w:rPr>
        <w:lastRenderedPageBreak/>
        <w:t>PROPOSITIONS DE MODIFICATION DU RÈGLEMENT D</w:t>
      </w:r>
      <w:r w:rsidR="000048DA">
        <w:rPr>
          <w:szCs w:val="22"/>
        </w:rPr>
        <w:t>’</w:t>
      </w:r>
      <w:r w:rsidRPr="001B5679">
        <w:rPr>
          <w:szCs w:val="22"/>
        </w:rPr>
        <w:t>EXÉCUTION DU TRAITÉ DE BUDAPEST</w:t>
      </w:r>
      <w:r w:rsidRPr="001B5679">
        <w:rPr>
          <w:rStyle w:val="FootnoteReference"/>
          <w:szCs w:val="22"/>
        </w:rPr>
        <w:footnoteReference w:id="6"/>
      </w:r>
    </w:p>
    <w:p w:rsidR="00DC4D07" w:rsidRPr="001B5679" w:rsidRDefault="00624027" w:rsidP="00DC4D07">
      <w:pPr>
        <w:spacing w:after="220"/>
        <w:jc w:val="center"/>
        <w:rPr>
          <w:b/>
        </w:rPr>
      </w:pPr>
      <w:r w:rsidRPr="001B5679">
        <w:rPr>
          <w:b/>
        </w:rPr>
        <w:t>Règle</w:t>
      </w:r>
      <w:r>
        <w:rPr>
          <w:b/>
        </w:rPr>
        <w:t> </w:t>
      </w:r>
      <w:r w:rsidRPr="001B5679">
        <w:rPr>
          <w:b/>
        </w:rPr>
        <w:t>1</w:t>
      </w:r>
      <w:r w:rsidR="00DC4D07" w:rsidRPr="001B5679">
        <w:rPr>
          <w:b/>
        </w:rPr>
        <w:t>1</w:t>
      </w:r>
    </w:p>
    <w:p w:rsidR="00DC4D07" w:rsidRPr="001B5679" w:rsidRDefault="00DC4D07" w:rsidP="00DC4D07">
      <w:pPr>
        <w:spacing w:after="220"/>
        <w:jc w:val="center"/>
        <w:rPr>
          <w:b/>
        </w:rPr>
      </w:pPr>
      <w:r w:rsidRPr="001B5679">
        <w:rPr>
          <w:b/>
        </w:rPr>
        <w:t>Remise d</w:t>
      </w:r>
      <w:r w:rsidR="000048DA">
        <w:rPr>
          <w:b/>
        </w:rPr>
        <w:t>’</w:t>
      </w:r>
      <w:r w:rsidRPr="001B5679">
        <w:rPr>
          <w:b/>
        </w:rPr>
        <w:t>échantillons</w:t>
      </w:r>
    </w:p>
    <w:p w:rsidR="00DC4D07" w:rsidRPr="001B5679" w:rsidRDefault="00DC4D07" w:rsidP="00F43C42">
      <w:pPr>
        <w:tabs>
          <w:tab w:val="left" w:pos="567"/>
        </w:tabs>
        <w:spacing w:after="220"/>
      </w:pPr>
      <w:r w:rsidRPr="001B5679">
        <w:t>11.4</w:t>
      </w:r>
      <w:r w:rsidR="00F43C42">
        <w:tab/>
      </w:r>
      <w:r w:rsidRPr="001B5679">
        <w:rPr>
          <w:i/>
        </w:rPr>
        <w:t>Règles communes</w:t>
      </w:r>
    </w:p>
    <w:p w:rsidR="00624027" w:rsidRDefault="00DC4D07" w:rsidP="00F43C42">
      <w:pPr>
        <w:tabs>
          <w:tab w:val="left" w:pos="1134"/>
        </w:tabs>
        <w:spacing w:after="220"/>
        <w:ind w:firstLine="567"/>
      </w:pPr>
      <w:r w:rsidRPr="006B478F">
        <w:t>a)</w:t>
      </w:r>
      <w:r w:rsidR="00F43C42">
        <w:tab/>
      </w:r>
      <w:r w:rsidRPr="001B5679">
        <w:t xml:space="preserve">Toute requête, déclaration, certification ou communication visée aux </w:t>
      </w:r>
      <w:r w:rsidR="00624027" w:rsidRPr="001B5679">
        <w:t>règles</w:t>
      </w:r>
      <w:r w:rsidR="00624027">
        <w:t> </w:t>
      </w:r>
      <w:r w:rsidR="00624027" w:rsidRPr="001B5679">
        <w:t>1</w:t>
      </w:r>
      <w:r w:rsidRPr="001B5679">
        <w:t>1.1, 11.2 et 11.3</w:t>
      </w:r>
    </w:p>
    <w:p w:rsidR="00DC4D07" w:rsidRPr="001B5679" w:rsidRDefault="00F43C42" w:rsidP="00F43C42">
      <w:pPr>
        <w:tabs>
          <w:tab w:val="left" w:pos="1701"/>
        </w:tabs>
        <w:spacing w:after="220"/>
        <w:ind w:firstLine="1134"/>
      </w:pPr>
      <w:r>
        <w:t>i)</w:t>
      </w:r>
      <w:r>
        <w:tab/>
      </w:r>
      <w:r w:rsidR="00DC4D07" w:rsidRPr="001B5679">
        <w:t xml:space="preserve">est rédigée en français, en anglais, </w:t>
      </w:r>
      <w:r w:rsidR="00DC4D07" w:rsidRPr="001B5679">
        <w:rPr>
          <w:color w:val="0070C0"/>
          <w:u w:val="single"/>
        </w:rPr>
        <w:t>en arabe, en chinois,</w:t>
      </w:r>
      <w:r w:rsidR="00DC4D07" w:rsidRPr="001B5679">
        <w:rPr>
          <w:color w:val="0070C0"/>
        </w:rPr>
        <w:t xml:space="preserve"> </w:t>
      </w:r>
      <w:r w:rsidR="00DC4D07" w:rsidRPr="001B5679">
        <w:t>en espagnol ou en russe si elle est adressée à une autorité de dépôt internationale dont la langue officielle est ou dont les langues officielles comprennent le français, l</w:t>
      </w:r>
      <w:r w:rsidR="000048DA">
        <w:t>’</w:t>
      </w:r>
      <w:r w:rsidR="00DC4D07" w:rsidRPr="001B5679">
        <w:t xml:space="preserve">anglais, </w:t>
      </w:r>
      <w:r w:rsidR="00DC4D07" w:rsidRPr="001B5679">
        <w:rPr>
          <w:color w:val="0070C0"/>
          <w:u w:val="single"/>
        </w:rPr>
        <w:t>l</w:t>
      </w:r>
      <w:r w:rsidR="000048DA">
        <w:rPr>
          <w:color w:val="0070C0"/>
          <w:u w:val="single"/>
        </w:rPr>
        <w:t>’</w:t>
      </w:r>
      <w:r w:rsidR="00DC4D07" w:rsidRPr="001B5679">
        <w:rPr>
          <w:color w:val="0070C0"/>
          <w:u w:val="single"/>
        </w:rPr>
        <w:t>arabe, le chinois,</w:t>
      </w:r>
      <w:r w:rsidR="00DC4D07" w:rsidRPr="001B5679">
        <w:t xml:space="preserve"> l</w:t>
      </w:r>
      <w:r w:rsidR="000048DA">
        <w:t>’</w:t>
      </w:r>
      <w:r w:rsidR="00DC4D07" w:rsidRPr="001B5679">
        <w:t>espagnol ou le russe, respectivement;  toutefois, lorsqu</w:t>
      </w:r>
      <w:r w:rsidR="000048DA">
        <w:t>’</w:t>
      </w:r>
      <w:r w:rsidR="00DC4D07" w:rsidRPr="001B5679">
        <w:t xml:space="preserve">elle doit être rédigée </w:t>
      </w:r>
      <w:r w:rsidR="00DC4D07" w:rsidRPr="001B5679">
        <w:rPr>
          <w:color w:val="0070C0"/>
          <w:u w:val="single"/>
        </w:rPr>
        <w:t>en arabe, en chinois,</w:t>
      </w:r>
      <w:r w:rsidR="00DC4D07" w:rsidRPr="001B5679">
        <w:t xml:space="preserve"> en espagnol ou en russe, elle peut être présentée en français ou en anglais au lieu de l</w:t>
      </w:r>
      <w:r w:rsidR="000048DA">
        <w:t>’</w:t>
      </w:r>
      <w:r w:rsidR="00DC4D07" w:rsidRPr="001B5679">
        <w:t xml:space="preserve">être </w:t>
      </w:r>
      <w:r w:rsidR="00027FBD" w:rsidRPr="001B5679">
        <w:rPr>
          <w:color w:val="0070C0"/>
          <w:u w:val="single"/>
        </w:rPr>
        <w:t>en arabe, en chinois,</w:t>
      </w:r>
      <w:r w:rsidR="00027FBD" w:rsidRPr="001B5679">
        <w:t xml:space="preserve"> </w:t>
      </w:r>
      <w:r w:rsidR="00DC4D07" w:rsidRPr="001B5679">
        <w:t>en espagnol ou en russe et, si elle est ainsi présentée, le Bureau international établit à bref délai et gratuitement, à la demande de la partie intéressée visée dans lesdites règles ou de l</w:t>
      </w:r>
      <w:r w:rsidR="000048DA">
        <w:t>’</w:t>
      </w:r>
      <w:r w:rsidR="00DC4D07" w:rsidRPr="001B5679">
        <w:t xml:space="preserve">autorité de dépôt internationale, une traduction </w:t>
      </w:r>
      <w:r w:rsidR="00DC4D07" w:rsidRPr="001B5679">
        <w:rPr>
          <w:color w:val="0070C0"/>
          <w:u w:val="single"/>
        </w:rPr>
        <w:t>en arabe, en chinois,</w:t>
      </w:r>
      <w:r w:rsidR="00DC4D07" w:rsidRPr="001B5679">
        <w:t xml:space="preserve"> en espagnol ou en russe certifiée conforme;</w:t>
      </w:r>
    </w:p>
    <w:p w:rsidR="00624027" w:rsidRDefault="00F43C42" w:rsidP="00F43C42">
      <w:pPr>
        <w:tabs>
          <w:tab w:val="left" w:pos="1701"/>
        </w:tabs>
        <w:spacing w:after="220"/>
        <w:ind w:firstLine="1134"/>
      </w:pPr>
      <w:r>
        <w:t>ii)</w:t>
      </w:r>
      <w:r>
        <w:tab/>
      </w:r>
      <w:r w:rsidR="00DC4D07" w:rsidRPr="001B5679">
        <w:t xml:space="preserve">est rédigée, dans tous les autres cas, en français ou en </w:t>
      </w:r>
      <w:proofErr w:type="gramStart"/>
      <w:r w:rsidR="00DC4D07" w:rsidRPr="001B5679">
        <w:t>anglais;  toutefois</w:t>
      </w:r>
      <w:proofErr w:type="gramEnd"/>
      <w:r w:rsidR="00DC4D07" w:rsidRPr="001B5679">
        <w:t>, elle peut être rédigée dans la langue officielle ou dans l</w:t>
      </w:r>
      <w:r w:rsidR="000048DA">
        <w:t>’</w:t>
      </w:r>
      <w:r w:rsidR="00DC4D07" w:rsidRPr="001B5679">
        <w:t>une des langues officielles de l</w:t>
      </w:r>
      <w:r w:rsidR="000048DA">
        <w:t>’</w:t>
      </w:r>
      <w:r w:rsidR="00DC4D07" w:rsidRPr="001B5679">
        <w:t>autorité de dépôt internationale au lieu de l</w:t>
      </w:r>
      <w:r w:rsidR="000048DA">
        <w:t>’</w:t>
      </w:r>
      <w:r w:rsidR="00DC4D07" w:rsidRPr="001B5679">
        <w:t>être en français ou en anglais.</w:t>
      </w:r>
    </w:p>
    <w:p w:rsidR="00DC4D07" w:rsidRPr="001B5679" w:rsidRDefault="00DC4D07" w:rsidP="00F43C42">
      <w:pPr>
        <w:tabs>
          <w:tab w:val="left" w:pos="1134"/>
        </w:tabs>
        <w:spacing w:after="220"/>
        <w:ind w:firstLine="567"/>
      </w:pPr>
      <w:r w:rsidRPr="006B478F">
        <w:t>b)</w:t>
      </w:r>
      <w:r w:rsidR="00F43C42">
        <w:tab/>
      </w:r>
      <w:r w:rsidRPr="001B5679">
        <w:t>Nonobstant l</w:t>
      </w:r>
      <w:r w:rsidR="000048DA">
        <w:t>’</w:t>
      </w:r>
      <w:r w:rsidR="00624027" w:rsidRPr="001B5679">
        <w:t>alinéa</w:t>
      </w:r>
      <w:r w:rsidR="00624027">
        <w:t> </w:t>
      </w:r>
      <w:r w:rsidR="00624027" w:rsidRPr="00884BD1">
        <w:t>a)</w:t>
      </w:r>
      <w:r w:rsidRPr="001B5679">
        <w:t xml:space="preserve">, lorsque la requête visée à la </w:t>
      </w:r>
      <w:r w:rsidR="00624027" w:rsidRPr="001B5679">
        <w:t>règle</w:t>
      </w:r>
      <w:r w:rsidR="00624027">
        <w:t> </w:t>
      </w:r>
      <w:r w:rsidR="00624027" w:rsidRPr="001B5679">
        <w:t>1</w:t>
      </w:r>
      <w:r w:rsidRPr="001B5679">
        <w:t xml:space="preserve">1.1 est faite par un office de propriété industrielle dont la langue officielle est </w:t>
      </w:r>
      <w:r w:rsidRPr="001B5679">
        <w:rPr>
          <w:color w:val="0070C0"/>
          <w:u w:val="single"/>
        </w:rPr>
        <w:t>l</w:t>
      </w:r>
      <w:r w:rsidR="000048DA">
        <w:rPr>
          <w:color w:val="0070C0"/>
          <w:u w:val="single"/>
        </w:rPr>
        <w:t>’</w:t>
      </w:r>
      <w:r w:rsidRPr="001B5679">
        <w:rPr>
          <w:color w:val="0070C0"/>
          <w:u w:val="single"/>
        </w:rPr>
        <w:t>arabe, le chinois,</w:t>
      </w:r>
      <w:r w:rsidRPr="001B5679">
        <w:rPr>
          <w:color w:val="0070C0"/>
        </w:rPr>
        <w:t xml:space="preserve"> </w:t>
      </w:r>
      <w:r w:rsidRPr="001B5679">
        <w:t>l</w:t>
      </w:r>
      <w:r w:rsidR="000048DA">
        <w:t>’</w:t>
      </w:r>
      <w:r w:rsidRPr="001B5679">
        <w:t xml:space="preserve">espagnol ou le russe, cette requête peut être rédigée </w:t>
      </w:r>
      <w:r w:rsidRPr="001B5679">
        <w:rPr>
          <w:color w:val="0070C0"/>
          <w:u w:val="single"/>
        </w:rPr>
        <w:t>en arabe, en chinois,</w:t>
      </w:r>
      <w:r w:rsidRPr="001B5679">
        <w:t xml:space="preserve"> en espagnol ou en russe, respectivement, et le Bureau international établit à bref délai et gratuitement, à la demande de cet office ou de l</w:t>
      </w:r>
      <w:r w:rsidR="000048DA">
        <w:t>’</w:t>
      </w:r>
      <w:r w:rsidRPr="001B5679">
        <w:t>autorité de dépôt internationale qui a reçu ladite requête, une traduction en français ou en anglais certifiée conforme.</w:t>
      </w:r>
    </w:p>
    <w:p w:rsidR="00DC4D07" w:rsidRPr="001B5679" w:rsidRDefault="00DC4D07" w:rsidP="00F43C42">
      <w:pPr>
        <w:tabs>
          <w:tab w:val="left" w:pos="1134"/>
        </w:tabs>
        <w:spacing w:after="220"/>
        <w:ind w:firstLine="567"/>
        <w:rPr>
          <w:i/>
        </w:rPr>
      </w:pPr>
      <w:r w:rsidRPr="006B478F">
        <w:t>c) à h)</w:t>
      </w:r>
      <w:r w:rsidR="00F43C42">
        <w:tab/>
      </w:r>
      <w:r w:rsidRPr="001B5679">
        <w:rPr>
          <w:i/>
        </w:rPr>
        <w:t>[sans changement]</w:t>
      </w:r>
    </w:p>
    <w:p w:rsidR="008B2CC1" w:rsidRPr="00F43C42" w:rsidRDefault="00DC4D07" w:rsidP="00F43C42">
      <w:pPr>
        <w:pStyle w:val="Endofdocument-Annex"/>
        <w:spacing w:before="720"/>
        <w:rPr>
          <w:caps/>
          <w:sz w:val="24"/>
          <w:lang w:val="fr-FR"/>
        </w:rPr>
      </w:pPr>
      <w:r w:rsidRPr="00F43C42">
        <w:rPr>
          <w:lang w:val="fr-FR"/>
        </w:rPr>
        <w:t>[Fin de l</w:t>
      </w:r>
      <w:r w:rsidR="000048DA" w:rsidRPr="00F43C42">
        <w:rPr>
          <w:lang w:val="fr-FR"/>
        </w:rPr>
        <w:t>’</w:t>
      </w:r>
      <w:r w:rsidR="00624027" w:rsidRPr="00F43C42">
        <w:rPr>
          <w:lang w:val="fr-FR"/>
        </w:rPr>
        <w:t>annexe I</w:t>
      </w:r>
      <w:r w:rsidRPr="00F43C42">
        <w:rPr>
          <w:lang w:val="fr-FR"/>
        </w:rPr>
        <w:t>I et du document]</w:t>
      </w:r>
    </w:p>
    <w:bookmarkEnd w:id="0"/>
    <w:sectPr w:rsidR="008B2CC1" w:rsidRPr="00F43C42" w:rsidSect="00912EB6">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B6" w:rsidRDefault="00912EB6">
      <w:r>
        <w:separator/>
      </w:r>
    </w:p>
  </w:endnote>
  <w:endnote w:type="continuationSeparator" w:id="0">
    <w:p w:rsidR="00912EB6" w:rsidRPr="009D30E6" w:rsidRDefault="00912EB6" w:rsidP="00D45252">
      <w:pPr>
        <w:rPr>
          <w:sz w:val="17"/>
          <w:szCs w:val="17"/>
        </w:rPr>
      </w:pPr>
      <w:r w:rsidRPr="009D30E6">
        <w:rPr>
          <w:sz w:val="17"/>
          <w:szCs w:val="17"/>
        </w:rPr>
        <w:separator/>
      </w:r>
    </w:p>
    <w:p w:rsidR="00912EB6" w:rsidRPr="009D30E6" w:rsidRDefault="00912EB6" w:rsidP="00D45252">
      <w:pPr>
        <w:spacing w:after="60"/>
        <w:rPr>
          <w:sz w:val="17"/>
          <w:szCs w:val="17"/>
        </w:rPr>
      </w:pPr>
      <w:r w:rsidRPr="009D30E6">
        <w:rPr>
          <w:sz w:val="17"/>
          <w:szCs w:val="17"/>
        </w:rPr>
        <w:t>[Suite de la note de la page précédente]</w:t>
      </w:r>
    </w:p>
  </w:endnote>
  <w:endnote w:type="continuationNotice" w:id="1">
    <w:p w:rsidR="00912EB6" w:rsidRPr="009D30E6" w:rsidRDefault="00912EB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DA" w:rsidRDefault="0000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C67" w:rsidRDefault="00D57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DA" w:rsidRDefault="0000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B6" w:rsidRDefault="00912EB6">
      <w:r>
        <w:separator/>
      </w:r>
    </w:p>
  </w:footnote>
  <w:footnote w:type="continuationSeparator" w:id="0">
    <w:p w:rsidR="00912EB6" w:rsidRDefault="00912EB6" w:rsidP="007461F1">
      <w:r>
        <w:separator/>
      </w:r>
    </w:p>
    <w:p w:rsidR="00912EB6" w:rsidRPr="009D30E6" w:rsidRDefault="00912EB6" w:rsidP="007461F1">
      <w:pPr>
        <w:spacing w:after="60"/>
        <w:rPr>
          <w:sz w:val="17"/>
          <w:szCs w:val="17"/>
        </w:rPr>
      </w:pPr>
      <w:r w:rsidRPr="009D30E6">
        <w:rPr>
          <w:sz w:val="17"/>
          <w:szCs w:val="17"/>
        </w:rPr>
        <w:t>[Suite de la note de la page précédente]</w:t>
      </w:r>
    </w:p>
  </w:footnote>
  <w:footnote w:type="continuationNotice" w:id="1">
    <w:p w:rsidR="00912EB6" w:rsidRPr="009D30E6" w:rsidRDefault="00912EB6" w:rsidP="007461F1">
      <w:pPr>
        <w:spacing w:before="60"/>
        <w:jc w:val="right"/>
        <w:rPr>
          <w:sz w:val="17"/>
          <w:szCs w:val="17"/>
        </w:rPr>
      </w:pPr>
      <w:r w:rsidRPr="009D30E6">
        <w:rPr>
          <w:sz w:val="17"/>
          <w:szCs w:val="17"/>
        </w:rPr>
        <w:t>[Suite de la note page suivante]</w:t>
      </w:r>
    </w:p>
  </w:footnote>
  <w:footnote w:id="2">
    <w:p w:rsidR="00DC4D07" w:rsidRPr="009F78BA" w:rsidRDefault="00DC4D07" w:rsidP="00DC4D07">
      <w:pPr>
        <w:pStyle w:val="FootnoteText"/>
      </w:pPr>
      <w:r w:rsidRPr="009F78BA">
        <w:rPr>
          <w:rStyle w:val="FootnoteReference"/>
        </w:rPr>
        <w:footnoteRef/>
      </w:r>
      <w:r w:rsidRPr="009F78BA">
        <w:t xml:space="preserve"> </w:t>
      </w:r>
      <w:r w:rsidRPr="009F78BA">
        <w:tab/>
        <w:t>BP/1, BP/2, BP/3, BP/7, BP/8, BP/10, BP/11, BP/13 et BP/14.</w:t>
      </w:r>
    </w:p>
  </w:footnote>
  <w:footnote w:id="3">
    <w:p w:rsidR="00DC4D07" w:rsidRPr="009F78BA" w:rsidRDefault="00DC4D07" w:rsidP="00DC4D07">
      <w:pPr>
        <w:pStyle w:val="FootnoteText"/>
      </w:pPr>
      <w:r w:rsidRPr="009F78BA">
        <w:rPr>
          <w:rStyle w:val="FootnoteReference"/>
        </w:rPr>
        <w:footnoteRef/>
      </w:r>
      <w:r w:rsidRPr="009F78BA">
        <w:t xml:space="preserve"> </w:t>
      </w:r>
      <w:r w:rsidRPr="009F78BA">
        <w:tab/>
        <w:t>Document BP/A/II/11.</w:t>
      </w:r>
    </w:p>
  </w:footnote>
  <w:footnote w:id="4">
    <w:p w:rsidR="00DC4D07" w:rsidRPr="009F78BA" w:rsidRDefault="00DC4D07" w:rsidP="00DC4D07">
      <w:pPr>
        <w:pStyle w:val="FootnoteText"/>
      </w:pPr>
      <w:r w:rsidRPr="009F78BA">
        <w:rPr>
          <w:rStyle w:val="FootnoteReference"/>
        </w:rPr>
        <w:footnoteRef/>
      </w:r>
      <w:r w:rsidRPr="009F78BA">
        <w:t xml:space="preserve"> </w:t>
      </w:r>
      <w:r w:rsidRPr="009F78BA">
        <w:tab/>
      </w:r>
      <w:r w:rsidR="004663EF">
        <w:t>Arabie saoudite</w:t>
      </w:r>
      <w:r w:rsidRPr="009F78BA">
        <w:t>, Bahreïn, Émirats arabes unis, Jordanie, Maroc, Oman, Qatar et Tunisie.</w:t>
      </w:r>
    </w:p>
  </w:footnote>
  <w:footnote w:id="5">
    <w:p w:rsidR="00DC4D07" w:rsidRPr="009F78BA" w:rsidRDefault="00DC4D07" w:rsidP="00DC4D07">
      <w:pPr>
        <w:pStyle w:val="FootnoteText"/>
      </w:pPr>
      <w:r w:rsidRPr="009F78BA">
        <w:rPr>
          <w:rStyle w:val="FootnoteReference"/>
        </w:rPr>
        <w:footnoteRef/>
      </w:r>
      <w:r w:rsidR="00095BF9">
        <w:t xml:space="preserve"> </w:t>
      </w:r>
      <w:r w:rsidR="00095BF9">
        <w:tab/>
      </w:r>
      <w:r w:rsidR="00BE55B7">
        <w:t>Paragraphe 5</w:t>
      </w:r>
      <w:r w:rsidRPr="009F78BA">
        <w:t xml:space="preserve"> du document WO/PBC/32/6.</w:t>
      </w:r>
    </w:p>
  </w:footnote>
  <w:footnote w:id="6">
    <w:p w:rsidR="00DC4D07" w:rsidRPr="009F78BA" w:rsidRDefault="00DC4D07" w:rsidP="00F43C42">
      <w:pPr>
        <w:pStyle w:val="FootnoteText"/>
        <w:tabs>
          <w:tab w:val="left" w:pos="567"/>
        </w:tabs>
      </w:pPr>
      <w:r w:rsidRPr="009F78BA">
        <w:rPr>
          <w:rStyle w:val="FootnoteReference"/>
        </w:rPr>
        <w:footnoteRef/>
      </w:r>
      <w:r w:rsidRPr="009F78BA">
        <w:t xml:space="preserve"> </w:t>
      </w:r>
      <w:r w:rsidRPr="009F78BA">
        <w:tab/>
        <w:t>Les dispositions qu</w:t>
      </w:r>
      <w:r w:rsidR="004663EF">
        <w:t>’</w:t>
      </w:r>
      <w:r w:rsidRPr="009F78BA">
        <w:t>il est proposé d</w:t>
      </w:r>
      <w:r w:rsidR="004663EF">
        <w:t>’</w:t>
      </w:r>
      <w:r w:rsidRPr="009F78BA">
        <w:t>ajouter sont indiquées en bleu et soulignées.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DA" w:rsidRDefault="0000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07" w:rsidRDefault="00DC4D07" w:rsidP="0052668B">
    <w:pPr>
      <w:pStyle w:val="Header"/>
      <w:jc w:val="right"/>
    </w:pPr>
    <w:r>
      <w:t>BP/A/39/1</w:t>
    </w:r>
  </w:p>
  <w:p w:rsidR="00DC4D07" w:rsidRDefault="00DC4D07" w:rsidP="00F43C42">
    <w:pPr>
      <w:pStyle w:val="Header"/>
      <w:spacing w:after="480"/>
      <w:jc w:val="right"/>
    </w:pPr>
    <w:r>
      <w:t>page</w:t>
    </w:r>
    <w:r w:rsidR="00F43C42">
      <w:t> </w:t>
    </w:r>
    <w:r>
      <w:fldChar w:fldCharType="begin"/>
    </w:r>
    <w:r>
      <w:instrText xml:space="preserve"> PAGE   \* MERGEFORMAT </w:instrText>
    </w:r>
    <w:r>
      <w:fldChar w:fldCharType="separate"/>
    </w:r>
    <w:r w:rsidR="00603026">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DA" w:rsidRDefault="000048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912EB6" w:rsidP="00477D6B">
    <w:pPr>
      <w:jc w:val="right"/>
    </w:pPr>
    <w:bookmarkStart w:id="6" w:name="Code2"/>
    <w:bookmarkEnd w:id="6"/>
    <w:r>
      <w:t>BP/A/39/1</w:t>
    </w:r>
  </w:p>
  <w:p w:rsidR="00F16975" w:rsidRDefault="005C5F41" w:rsidP="00F43C42">
    <w:pPr>
      <w:spacing w:after="480"/>
      <w:jc w:val="right"/>
    </w:pPr>
    <w:r>
      <w:t>ANNEXE II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41" w:rsidRDefault="005C5F41" w:rsidP="005C5F41">
    <w:pPr>
      <w:jc w:val="right"/>
    </w:pPr>
    <w:r>
      <w:t>BP/A/39/1</w:t>
    </w:r>
  </w:p>
  <w:p w:rsidR="005C5F41" w:rsidRDefault="005C5F41" w:rsidP="00F43C42">
    <w:pPr>
      <w:pStyle w:val="Header"/>
      <w:spacing w:after="480"/>
      <w:jc w:val="right"/>
    </w:pPr>
    <w:r>
      <w:t>ANNEXE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C4B15"/>
    <w:multiLevelType w:val="hybridMultilevel"/>
    <w:tmpl w:val="684CB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506C3E"/>
    <w:multiLevelType w:val="hybridMultilevel"/>
    <w:tmpl w:val="739C86BA"/>
    <w:lvl w:ilvl="0" w:tplc="991A0660">
      <w:start w:val="1"/>
      <w:numFmt w:val="lowerRoman"/>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70EF0"/>
    <w:multiLevelType w:val="multilevel"/>
    <w:tmpl w:val="713C972E"/>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B6"/>
    <w:rsid w:val="000048DA"/>
    <w:rsid w:val="00011B7D"/>
    <w:rsid w:val="00027FBD"/>
    <w:rsid w:val="00075432"/>
    <w:rsid w:val="00095BF9"/>
    <w:rsid w:val="000F5E56"/>
    <w:rsid w:val="001362EE"/>
    <w:rsid w:val="00170776"/>
    <w:rsid w:val="001832A6"/>
    <w:rsid w:val="00195C6E"/>
    <w:rsid w:val="001B266A"/>
    <w:rsid w:val="001B3724"/>
    <w:rsid w:val="001D3D56"/>
    <w:rsid w:val="00240654"/>
    <w:rsid w:val="002634C4"/>
    <w:rsid w:val="002C6066"/>
    <w:rsid w:val="002D4918"/>
    <w:rsid w:val="002E4D1A"/>
    <w:rsid w:val="002F16BC"/>
    <w:rsid w:val="002F4E68"/>
    <w:rsid w:val="00315FCA"/>
    <w:rsid w:val="00373E4F"/>
    <w:rsid w:val="003845C1"/>
    <w:rsid w:val="003A1BCD"/>
    <w:rsid w:val="004008A2"/>
    <w:rsid w:val="004025DF"/>
    <w:rsid w:val="00423E3E"/>
    <w:rsid w:val="00427AF4"/>
    <w:rsid w:val="00453B5B"/>
    <w:rsid w:val="004647DA"/>
    <w:rsid w:val="004663EF"/>
    <w:rsid w:val="00477D6B"/>
    <w:rsid w:val="0049642A"/>
    <w:rsid w:val="004C53E7"/>
    <w:rsid w:val="004D6471"/>
    <w:rsid w:val="004F4E31"/>
    <w:rsid w:val="00525B63"/>
    <w:rsid w:val="00547476"/>
    <w:rsid w:val="0055011F"/>
    <w:rsid w:val="00561DB8"/>
    <w:rsid w:val="00564392"/>
    <w:rsid w:val="005671A9"/>
    <w:rsid w:val="00567A4C"/>
    <w:rsid w:val="0059061B"/>
    <w:rsid w:val="005C5F41"/>
    <w:rsid w:val="005D0567"/>
    <w:rsid w:val="005E6516"/>
    <w:rsid w:val="00603026"/>
    <w:rsid w:val="00605827"/>
    <w:rsid w:val="00624027"/>
    <w:rsid w:val="00662B06"/>
    <w:rsid w:val="00666707"/>
    <w:rsid w:val="00670915"/>
    <w:rsid w:val="00676936"/>
    <w:rsid w:val="006B0DB5"/>
    <w:rsid w:val="006B478F"/>
    <w:rsid w:val="006E4243"/>
    <w:rsid w:val="006F26DF"/>
    <w:rsid w:val="00711061"/>
    <w:rsid w:val="007461F1"/>
    <w:rsid w:val="007A3CD8"/>
    <w:rsid w:val="007D6961"/>
    <w:rsid w:val="007F07CB"/>
    <w:rsid w:val="008077B9"/>
    <w:rsid w:val="00810CEF"/>
    <w:rsid w:val="0081208D"/>
    <w:rsid w:val="00842A13"/>
    <w:rsid w:val="00884BD1"/>
    <w:rsid w:val="00890E33"/>
    <w:rsid w:val="008B2CC1"/>
    <w:rsid w:val="008D4C76"/>
    <w:rsid w:val="008E7930"/>
    <w:rsid w:val="0090731E"/>
    <w:rsid w:val="00912EB6"/>
    <w:rsid w:val="00966A22"/>
    <w:rsid w:val="00974CD6"/>
    <w:rsid w:val="009C6D4D"/>
    <w:rsid w:val="009D30E6"/>
    <w:rsid w:val="009E3F6F"/>
    <w:rsid w:val="009F499F"/>
    <w:rsid w:val="00A02BD3"/>
    <w:rsid w:val="00A31A9E"/>
    <w:rsid w:val="00A80B6C"/>
    <w:rsid w:val="00AC0AE4"/>
    <w:rsid w:val="00AD61DB"/>
    <w:rsid w:val="00B51531"/>
    <w:rsid w:val="00B87BCF"/>
    <w:rsid w:val="00BA62D4"/>
    <w:rsid w:val="00BE55B7"/>
    <w:rsid w:val="00C20D86"/>
    <w:rsid w:val="00C40E15"/>
    <w:rsid w:val="00C664C8"/>
    <w:rsid w:val="00C76A79"/>
    <w:rsid w:val="00CA15F5"/>
    <w:rsid w:val="00CB7EE4"/>
    <w:rsid w:val="00CF0460"/>
    <w:rsid w:val="00D02FD1"/>
    <w:rsid w:val="00D45252"/>
    <w:rsid w:val="00D57C67"/>
    <w:rsid w:val="00D71B4D"/>
    <w:rsid w:val="00D75C1E"/>
    <w:rsid w:val="00D93D55"/>
    <w:rsid w:val="00DB0349"/>
    <w:rsid w:val="00DC4D07"/>
    <w:rsid w:val="00DD6A16"/>
    <w:rsid w:val="00DF181A"/>
    <w:rsid w:val="00E0091A"/>
    <w:rsid w:val="00E203AA"/>
    <w:rsid w:val="00E527A5"/>
    <w:rsid w:val="00E76456"/>
    <w:rsid w:val="00E83DFC"/>
    <w:rsid w:val="00EA7322"/>
    <w:rsid w:val="00EE71CB"/>
    <w:rsid w:val="00F16975"/>
    <w:rsid w:val="00F43C42"/>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2F7A0D2-4705-4A3F-8E52-FF3FFDB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DC4D07"/>
    <w:pPr>
      <w:ind w:left="720"/>
      <w:contextualSpacing/>
    </w:pPr>
    <w:rPr>
      <w:lang w:val="en-US"/>
    </w:rPr>
  </w:style>
  <w:style w:type="character" w:styleId="FootnoteReference">
    <w:name w:val="footnote reference"/>
    <w:basedOn w:val="DefaultParagraphFont"/>
    <w:semiHidden/>
    <w:rsid w:val="00DC4D07"/>
    <w:rPr>
      <w:vertAlign w:val="superscript"/>
    </w:rPr>
  </w:style>
  <w:style w:type="character" w:customStyle="1" w:styleId="HeaderChar">
    <w:name w:val="Header Char"/>
    <w:basedOn w:val="DefaultParagraphFont"/>
    <w:link w:val="Header"/>
    <w:uiPriority w:val="99"/>
    <w:rsid w:val="00DC4D07"/>
    <w:rPr>
      <w:rFonts w:ascii="Arial" w:eastAsia="SimSun" w:hAnsi="Arial" w:cs="Arial"/>
      <w:sz w:val="22"/>
      <w:lang w:eastAsia="zh-CN"/>
    </w:rPr>
  </w:style>
  <w:style w:type="character" w:customStyle="1" w:styleId="FootnoteTextChar">
    <w:name w:val="Footnote Text Char"/>
    <w:basedOn w:val="DefaultParagraphFont"/>
    <w:link w:val="FootnoteText"/>
    <w:semiHidden/>
    <w:rsid w:val="00DC4D07"/>
    <w:rPr>
      <w:rFonts w:ascii="Arial" w:eastAsia="SimSun" w:hAnsi="Arial" w:cs="Arial"/>
      <w:sz w:val="18"/>
      <w:lang w:eastAsia="zh-CN"/>
    </w:rPr>
  </w:style>
  <w:style w:type="character" w:styleId="Hyperlink">
    <w:name w:val="Hyperlink"/>
    <w:basedOn w:val="DefaultParagraphFont"/>
    <w:semiHidden/>
    <w:unhideWhenUsed/>
    <w:rsid w:val="00F43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P%20A%203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BP A 39 (F)</Template>
  <TotalTime>38</TotalTime>
  <Pages>6</Pages>
  <Words>1975</Words>
  <Characters>10657</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BP/A/39/1</vt:lpstr>
      <vt:lpstr>BP/A/39/</vt:lpstr>
    </vt:vector>
  </TitlesOfParts>
  <Company>WIPO</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BP/A/39/1</dc:title>
  <dc:subject>Sixty-Third Series of Meetings</dc:subject>
  <dc:creator>WIPO</dc:creator>
  <cp:keywords>PUBLIC</cp:keywords>
  <cp:lastModifiedBy>MARIN-CUDRAZ DAVI Nicoletta</cp:lastModifiedBy>
  <cp:revision>37</cp:revision>
  <cp:lastPrinted>2011-05-19T12:37:00Z</cp:lastPrinted>
  <dcterms:created xsi:type="dcterms:W3CDTF">2022-05-04T13:36:00Z</dcterms:created>
  <dcterms:modified xsi:type="dcterms:W3CDTF">2022-05-11T07:24:00Z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6cbaec24-8e39-44a9-83aa-9a4ebc196754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