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9AB1B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ja-JP"/>
        </w:rPr>
        <w:drawing>
          <wp:inline distT="0" distB="0" distL="0" distR="0" wp14:anchorId="1FAD67D1" wp14:editId="5A74932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ja-JP"/>
        </w:rPr>
        <mc:AlternateContent>
          <mc:Choice Requires="wps">
            <w:drawing>
              <wp:inline distT="0" distB="0" distL="0" distR="0" wp14:anchorId="453EB515" wp14:editId="11B5C60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38137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175E3D5" w14:textId="724FB158" w:rsidR="008B2CC1" w:rsidRPr="00DB0349" w:rsidRDefault="00170776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170776">
        <w:rPr>
          <w:rFonts w:ascii="Arial Black" w:hAnsi="Arial Black"/>
          <w:caps/>
          <w:sz w:val="15"/>
          <w:szCs w:val="15"/>
        </w:rPr>
        <w:t>BP/A/</w:t>
      </w:r>
      <w:r w:rsidR="005A156F">
        <w:rPr>
          <w:rFonts w:ascii="Arial Black" w:hAnsi="Arial Black"/>
          <w:caps/>
          <w:sz w:val="15"/>
          <w:szCs w:val="15"/>
        </w:rPr>
        <w:t>41</w:t>
      </w:r>
      <w:r w:rsidRPr="00170776"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370FC6">
        <w:rPr>
          <w:rFonts w:ascii="Arial Black" w:hAnsi="Arial Black"/>
          <w:caps/>
          <w:sz w:val="15"/>
          <w:szCs w:val="15"/>
        </w:rPr>
        <w:t>2</w:t>
      </w:r>
      <w:r w:rsidR="008E656A">
        <w:rPr>
          <w:rFonts w:ascii="Arial Black" w:hAnsi="Arial Black"/>
          <w:caps/>
          <w:sz w:val="15"/>
          <w:szCs w:val="15"/>
        </w:rPr>
        <w:t> </w:t>
      </w:r>
      <w:r w:rsidR="00370FC6">
        <w:rPr>
          <w:rFonts w:ascii="Arial Black" w:hAnsi="Arial Black"/>
          <w:caps/>
          <w:sz w:val="15"/>
          <w:szCs w:val="15"/>
        </w:rPr>
        <w:t>Prov.</w:t>
      </w:r>
    </w:p>
    <w:bookmarkEnd w:id="0"/>
    <w:p w14:paraId="22B21EA0" w14:textId="713C2C51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FD685E">
        <w:rPr>
          <w:rFonts w:ascii="Arial Black" w:hAnsi="Arial Black"/>
          <w:caps/>
          <w:sz w:val="15"/>
          <w:szCs w:val="15"/>
        </w:rPr>
        <w:t> :</w:t>
      </w:r>
      <w:bookmarkStart w:id="1" w:name="Original"/>
      <w:r w:rsidR="00370FC6">
        <w:rPr>
          <w:rFonts w:ascii="Arial Black" w:hAnsi="Arial Black"/>
          <w:caps/>
          <w:sz w:val="15"/>
          <w:szCs w:val="15"/>
        </w:rPr>
        <w:t xml:space="preserve"> anglais</w:t>
      </w:r>
    </w:p>
    <w:bookmarkEnd w:id="1"/>
    <w:p w14:paraId="264D951A" w14:textId="33C9B09B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FD685E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370FC6">
        <w:rPr>
          <w:rFonts w:ascii="Arial Black" w:hAnsi="Arial Black"/>
          <w:caps/>
          <w:sz w:val="15"/>
          <w:szCs w:val="15"/>
        </w:rPr>
        <w:t>14 </w:t>
      </w:r>
      <w:r w:rsidR="00FD685E">
        <w:rPr>
          <w:rFonts w:ascii="Arial Black" w:hAnsi="Arial Black"/>
          <w:caps/>
          <w:sz w:val="15"/>
          <w:szCs w:val="15"/>
        </w:rPr>
        <w:t>août 20</w:t>
      </w:r>
      <w:r w:rsidR="00370FC6">
        <w:rPr>
          <w:rFonts w:ascii="Arial Black" w:hAnsi="Arial Black"/>
          <w:caps/>
          <w:sz w:val="15"/>
          <w:szCs w:val="15"/>
        </w:rPr>
        <w:t>24</w:t>
      </w:r>
    </w:p>
    <w:bookmarkEnd w:id="2"/>
    <w:p w14:paraId="095DD589" w14:textId="75D81FF9" w:rsidR="00C40E15" w:rsidRPr="00DB0349" w:rsidRDefault="00170776" w:rsidP="00DB0349">
      <w:pPr>
        <w:spacing w:after="600"/>
        <w:rPr>
          <w:b/>
          <w:sz w:val="28"/>
          <w:szCs w:val="28"/>
        </w:rPr>
      </w:pPr>
      <w:r w:rsidRPr="00170776">
        <w:rPr>
          <w:b/>
          <w:sz w:val="28"/>
          <w:szCs w:val="28"/>
        </w:rPr>
        <w:t>Union pour la reconnaissance internationale du dépôt des micro</w:t>
      </w:r>
      <w:r w:rsidR="00C26FF7">
        <w:rPr>
          <w:b/>
          <w:sz w:val="28"/>
          <w:szCs w:val="28"/>
        </w:rPr>
        <w:noBreakHyphen/>
      </w:r>
      <w:r w:rsidRPr="00170776">
        <w:rPr>
          <w:b/>
          <w:sz w:val="28"/>
          <w:szCs w:val="28"/>
        </w:rPr>
        <w:t>organismes aux fins de la procédure en matière de brevets (Union de Budapest)</w:t>
      </w:r>
    </w:p>
    <w:p w14:paraId="6FD5A4BF" w14:textId="77777777" w:rsidR="003845C1" w:rsidRPr="00DB0349" w:rsidRDefault="00C40E15" w:rsidP="00DB0349">
      <w:pPr>
        <w:spacing w:after="720"/>
        <w:rPr>
          <w:b/>
          <w:sz w:val="28"/>
          <w:szCs w:val="28"/>
        </w:rPr>
      </w:pPr>
      <w:r>
        <w:rPr>
          <w:b/>
          <w:sz w:val="28"/>
          <w:szCs w:val="28"/>
        </w:rPr>
        <w:t>Assemblée</w:t>
      </w:r>
    </w:p>
    <w:p w14:paraId="721E2FE1" w14:textId="6A442503" w:rsidR="008B2CC1" w:rsidRPr="003845C1" w:rsidRDefault="00E02D5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Quarante</w:t>
      </w:r>
      <w:r w:rsidR="00FD685E">
        <w:rPr>
          <w:b/>
          <w:sz w:val="24"/>
          <w:szCs w:val="24"/>
        </w:rPr>
        <w:t> et unième session</w:t>
      </w:r>
      <w:r w:rsidR="005671A9">
        <w:rPr>
          <w:b/>
          <w:sz w:val="24"/>
          <w:szCs w:val="24"/>
        </w:rPr>
        <w:t xml:space="preserve"> </w:t>
      </w:r>
      <w:r w:rsidR="00170776" w:rsidRPr="00170776">
        <w:rPr>
          <w:b/>
          <w:sz w:val="24"/>
          <w:szCs w:val="24"/>
        </w:rPr>
        <w:t>(1</w:t>
      </w:r>
      <w:r w:rsidR="00172A07">
        <w:rPr>
          <w:b/>
          <w:sz w:val="24"/>
          <w:szCs w:val="24"/>
        </w:rPr>
        <w:t>9</w:t>
      </w:r>
      <w:r w:rsidR="00170776" w:rsidRPr="005671A9">
        <w:rPr>
          <w:b/>
          <w:sz w:val="24"/>
          <w:szCs w:val="24"/>
          <w:vertAlign w:val="superscript"/>
        </w:rPr>
        <w:t>e</w:t>
      </w:r>
      <w:r w:rsidR="00D359B3">
        <w:rPr>
          <w:b/>
          <w:sz w:val="24"/>
          <w:szCs w:val="24"/>
        </w:rPr>
        <w:t> </w:t>
      </w:r>
      <w:r w:rsidR="00170776" w:rsidRPr="00170776">
        <w:rPr>
          <w:b/>
          <w:sz w:val="24"/>
          <w:szCs w:val="24"/>
        </w:rPr>
        <w:t>session extraordinaire)</w:t>
      </w:r>
    </w:p>
    <w:p w14:paraId="0B1FAFF8" w14:textId="2E964EB1" w:rsidR="008B2CC1" w:rsidRPr="003845C1" w:rsidRDefault="00170776" w:rsidP="00DB0349">
      <w:pPr>
        <w:spacing w:after="720"/>
        <w:rPr>
          <w:b/>
          <w:sz w:val="24"/>
          <w:szCs w:val="24"/>
        </w:rPr>
      </w:pPr>
      <w:r w:rsidRPr="00170776">
        <w:rPr>
          <w:b/>
          <w:sz w:val="24"/>
          <w:szCs w:val="24"/>
        </w:rPr>
        <w:t xml:space="preserve">Genève, </w:t>
      </w:r>
      <w:r w:rsidR="005A156F">
        <w:rPr>
          <w:b/>
          <w:sz w:val="24"/>
          <w:szCs w:val="24"/>
        </w:rPr>
        <w:t>9</w:t>
      </w:r>
      <w:r w:rsidRPr="00170776">
        <w:rPr>
          <w:b/>
          <w:sz w:val="24"/>
          <w:szCs w:val="24"/>
        </w:rPr>
        <w:t xml:space="preserve"> – </w:t>
      </w:r>
      <w:r w:rsidR="005A156F">
        <w:rPr>
          <w:b/>
          <w:sz w:val="24"/>
          <w:szCs w:val="24"/>
        </w:rPr>
        <w:t>17</w:t>
      </w:r>
      <w:r w:rsidR="00D359B3">
        <w:rPr>
          <w:b/>
          <w:sz w:val="24"/>
          <w:szCs w:val="24"/>
        </w:rPr>
        <w:t> </w:t>
      </w:r>
      <w:r w:rsidR="00FD685E" w:rsidRPr="00170776">
        <w:rPr>
          <w:b/>
          <w:sz w:val="24"/>
          <w:szCs w:val="24"/>
        </w:rPr>
        <w:t>juillet</w:t>
      </w:r>
      <w:r w:rsidR="00FD685E">
        <w:rPr>
          <w:b/>
          <w:sz w:val="24"/>
          <w:szCs w:val="24"/>
        </w:rPr>
        <w:t> </w:t>
      </w:r>
      <w:r w:rsidR="00FD685E" w:rsidRPr="00170776">
        <w:rPr>
          <w:b/>
          <w:sz w:val="24"/>
          <w:szCs w:val="24"/>
        </w:rPr>
        <w:t>20</w:t>
      </w:r>
      <w:r w:rsidRPr="00170776">
        <w:rPr>
          <w:b/>
          <w:sz w:val="24"/>
          <w:szCs w:val="24"/>
        </w:rPr>
        <w:t>2</w:t>
      </w:r>
      <w:r w:rsidR="005A156F">
        <w:rPr>
          <w:b/>
          <w:sz w:val="24"/>
          <w:szCs w:val="24"/>
        </w:rPr>
        <w:t>4</w:t>
      </w:r>
    </w:p>
    <w:p w14:paraId="59AE7FDB" w14:textId="77777777" w:rsidR="008B2CC1" w:rsidRPr="00842A13" w:rsidRDefault="00370FC6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Projet de rapport</w:t>
      </w:r>
    </w:p>
    <w:p w14:paraId="166BC855" w14:textId="77777777" w:rsidR="00525B63" w:rsidRPr="00B9791A" w:rsidRDefault="00370FC6" w:rsidP="00DB0349">
      <w:pPr>
        <w:spacing w:after="960"/>
        <w:rPr>
          <w:i/>
          <w:iCs/>
        </w:rPr>
      </w:pPr>
      <w:bookmarkStart w:id="4" w:name="Prepared"/>
      <w:bookmarkEnd w:id="3"/>
      <w:proofErr w:type="gramStart"/>
      <w:r>
        <w:rPr>
          <w:i/>
          <w:iCs/>
        </w:rPr>
        <w:t>établi</w:t>
      </w:r>
      <w:proofErr w:type="gramEnd"/>
      <w:r>
        <w:rPr>
          <w:i/>
          <w:iCs/>
        </w:rPr>
        <w:t xml:space="preserve"> par le Secrétariat</w:t>
      </w:r>
    </w:p>
    <w:bookmarkEnd w:id="4"/>
    <w:p w14:paraId="372B1376" w14:textId="61A16534" w:rsidR="00370FC6" w:rsidRDefault="00370FC6" w:rsidP="0095348A">
      <w:pPr>
        <w:pStyle w:val="ONUMFS"/>
      </w:pPr>
      <w:r>
        <w:t>L</w:t>
      </w:r>
      <w:r w:rsidR="00FD685E">
        <w:t>’</w:t>
      </w:r>
      <w:r>
        <w:t>assemblée avait à examiner les points suivants du projet d</w:t>
      </w:r>
      <w:r w:rsidR="00FD685E">
        <w:t>’</w:t>
      </w:r>
      <w:r>
        <w:t>ordre du jour unifié (document </w:t>
      </w:r>
      <w:hyperlink r:id="rId8" w:history="1">
        <w:r>
          <w:rPr>
            <w:rStyle w:val="Hyperlink"/>
          </w:rPr>
          <w:t>A/65/1</w:t>
        </w:r>
      </w:hyperlink>
      <w:r>
        <w:t>)</w:t>
      </w:r>
      <w:r w:rsidR="00FD685E">
        <w:t> :</w:t>
      </w:r>
      <w:r>
        <w:t xml:space="preserve"> 1, 2, 3, 4, 6, 8.ii), 9, 15, </w:t>
      </w:r>
      <w:r w:rsidR="0048769D">
        <w:t xml:space="preserve">18, </w:t>
      </w:r>
      <w:r>
        <w:t>21 et 22.</w:t>
      </w:r>
    </w:p>
    <w:p w14:paraId="0A96758E" w14:textId="2C80619D" w:rsidR="00370FC6" w:rsidRDefault="00370FC6" w:rsidP="0095348A">
      <w:pPr>
        <w:pStyle w:val="ONUMFS"/>
      </w:pPr>
      <w:r>
        <w:t>Les rapports sur ces points, à l</w:t>
      </w:r>
      <w:r w:rsidR="00FD685E">
        <w:t>’</w:t>
      </w:r>
      <w:r>
        <w:t>exception du point 15, figurent dans le projet de rapport général (document </w:t>
      </w:r>
      <w:hyperlink r:id="rId9" w:history="1">
        <w:r>
          <w:rPr>
            <w:rStyle w:val="Hyperlink"/>
          </w:rPr>
          <w:t>A/65/11</w:t>
        </w:r>
        <w:r w:rsidR="0095348A">
          <w:rPr>
            <w:rStyle w:val="Hyperlink"/>
          </w:rPr>
          <w:t> </w:t>
        </w:r>
        <w:r>
          <w:rPr>
            <w:rStyle w:val="Hyperlink"/>
          </w:rPr>
          <w:t>Prov.</w:t>
        </w:r>
      </w:hyperlink>
      <w:r>
        <w:t>).</w:t>
      </w:r>
    </w:p>
    <w:p w14:paraId="49287A57" w14:textId="77777777" w:rsidR="00370FC6" w:rsidRDefault="00370FC6" w:rsidP="0095348A">
      <w:pPr>
        <w:pStyle w:val="ONUMFS"/>
      </w:pPr>
      <w:r>
        <w:t>Le rapport sur le point 15 figure dans le présent document.</w:t>
      </w:r>
    </w:p>
    <w:p w14:paraId="30EA2676" w14:textId="17E8E82A" w:rsidR="00370FC6" w:rsidRDefault="00370FC6" w:rsidP="0095348A">
      <w:pPr>
        <w:pStyle w:val="ONUMFS"/>
      </w:pPr>
      <w:r>
        <w:t>M.</w:t>
      </w:r>
      <w:r w:rsidR="00D359B3">
        <w:t> </w:t>
      </w:r>
      <w:r>
        <w:t>Farkas (Hongrie), vice</w:t>
      </w:r>
      <w:r w:rsidR="00C26FF7">
        <w:noBreakHyphen/>
      </w:r>
      <w:r>
        <w:t>président de l</w:t>
      </w:r>
      <w:r w:rsidR="00FD685E">
        <w:t>’</w:t>
      </w:r>
      <w:r>
        <w:t>Assemblée de l</w:t>
      </w:r>
      <w:r w:rsidR="00FD685E">
        <w:t>’</w:t>
      </w:r>
      <w:r>
        <w:t>Union de Budapest, a présidé la session.</w:t>
      </w:r>
    </w:p>
    <w:p w14:paraId="21D241F4" w14:textId="74CB56B3" w:rsidR="00370FC6" w:rsidRPr="0095348A" w:rsidRDefault="00370FC6" w:rsidP="006649EF">
      <w:pPr>
        <w:pStyle w:val="Heading2"/>
        <w:keepLines/>
        <w:spacing w:line="480" w:lineRule="auto"/>
      </w:pPr>
      <w:r w:rsidRPr="0095348A">
        <w:lastRenderedPageBreak/>
        <w:t>P</w:t>
      </w:r>
      <w:r w:rsidR="0095348A" w:rsidRPr="0095348A">
        <w:t>oint 15 de l</w:t>
      </w:r>
      <w:r w:rsidR="00FD685E">
        <w:t>’</w:t>
      </w:r>
      <w:r w:rsidR="0095348A" w:rsidRPr="0095348A">
        <w:t>ordre du jour unifié</w:t>
      </w:r>
      <w:r>
        <w:br/>
        <w:t>A</w:t>
      </w:r>
      <w:r w:rsidR="0095348A" w:rsidRPr="0095348A">
        <w:t>ssemblée de l</w:t>
      </w:r>
      <w:r w:rsidR="00FD685E">
        <w:t>’</w:t>
      </w:r>
      <w:r w:rsidR="0095348A" w:rsidRPr="0095348A">
        <w:t xml:space="preserve">union de </w:t>
      </w:r>
      <w:r w:rsidR="0095348A">
        <w:t>B</w:t>
      </w:r>
      <w:r w:rsidR="0095348A" w:rsidRPr="0095348A">
        <w:t>udapest</w:t>
      </w:r>
    </w:p>
    <w:p w14:paraId="1A38F340" w14:textId="0792309F" w:rsidR="00370FC6" w:rsidRDefault="00370FC6" w:rsidP="006649EF">
      <w:pPr>
        <w:pStyle w:val="ONUMFS"/>
        <w:keepNext/>
        <w:keepLines/>
      </w:pPr>
      <w:r>
        <w:t>Le vice</w:t>
      </w:r>
      <w:r w:rsidR="00C26FF7">
        <w:noBreakHyphen/>
      </w:r>
      <w:r>
        <w:t>président a rappelé certains faits nouveaux concernant le système de Budapest survenus depuis la dernière réunion de l</w:t>
      </w:r>
      <w:r w:rsidR="00FD685E">
        <w:t>’</w:t>
      </w:r>
      <w:r>
        <w:t>Assemblée de l</w:t>
      </w:r>
      <w:r w:rsidR="00FD685E">
        <w:t>’</w:t>
      </w:r>
      <w:r>
        <w:t>Union de Budape</w:t>
      </w:r>
      <w:r w:rsidR="00B63D78">
        <w:t>st.  To</w:t>
      </w:r>
      <w:r>
        <w:t>ut d</w:t>
      </w:r>
      <w:r w:rsidR="00FD685E">
        <w:t>’</w:t>
      </w:r>
      <w:r>
        <w:t>abord, le vice</w:t>
      </w:r>
      <w:r w:rsidR="00C26FF7">
        <w:noBreakHyphen/>
      </w:r>
      <w:r>
        <w:t>président a indiqué que le Rwanda avait adhéré au Traité de Budapest sur la reconnaissance internationale du dépôt des micro</w:t>
      </w:r>
      <w:r w:rsidR="00C26FF7">
        <w:noBreakHyphen/>
      </w:r>
      <w:r>
        <w:t>organismes aux fins de la procédure en matière de brevets (ci</w:t>
      </w:r>
      <w:r w:rsidR="00C26FF7">
        <w:noBreakHyphen/>
      </w:r>
      <w:r>
        <w:t>après dénommé “Traité de Budapest”) le 4 septembre 2023 et a fait observer que cette adhésion avait porté à 89 le nombre d</w:t>
      </w:r>
      <w:r w:rsidR="00FD685E">
        <w:t>’</w:t>
      </w:r>
      <w:r>
        <w:t>États parties au Traité de Budape</w:t>
      </w:r>
      <w:r w:rsidR="00B63D78">
        <w:t>st.  En</w:t>
      </w:r>
      <w:r>
        <w:t>suite, il a indiqué que l</w:t>
      </w:r>
      <w:r w:rsidR="00FD685E">
        <w:t>’</w:t>
      </w:r>
      <w:proofErr w:type="spellStart"/>
      <w:r>
        <w:t>University</w:t>
      </w:r>
      <w:proofErr w:type="spellEnd"/>
      <w:r>
        <w:t xml:space="preserve"> of Coimbra </w:t>
      </w:r>
      <w:proofErr w:type="spellStart"/>
      <w:r>
        <w:t>Bacteria</w:t>
      </w:r>
      <w:proofErr w:type="spellEnd"/>
      <w:r>
        <w:t xml:space="preserve"> Culture Collection (UCCCB), située au Portugal, avait acquis le statut d</w:t>
      </w:r>
      <w:r w:rsidR="00FD685E">
        <w:t>’</w:t>
      </w:r>
      <w:r>
        <w:t>autorité de dépôt internationale le 25 avril 2024.</w:t>
      </w:r>
    </w:p>
    <w:p w14:paraId="15D8AE47" w14:textId="738D3D60" w:rsidR="00370FC6" w:rsidRPr="00A75E1D" w:rsidRDefault="00370FC6" w:rsidP="0095348A">
      <w:pPr>
        <w:pStyle w:val="ONUMFS"/>
      </w:pPr>
      <w:r>
        <w:t>Les délibérations ont eu lieu sur la base du document </w:t>
      </w:r>
      <w:hyperlink r:id="rId10" w:history="1">
        <w:r>
          <w:rPr>
            <w:rStyle w:val="Hyperlink"/>
          </w:rPr>
          <w:t>BP/A/41/1</w:t>
        </w:r>
      </w:hyperlink>
      <w:r>
        <w:t>.</w:t>
      </w:r>
    </w:p>
    <w:p w14:paraId="34A28CF8" w14:textId="05922223" w:rsidR="00370FC6" w:rsidRDefault="00370FC6" w:rsidP="0095348A">
      <w:pPr>
        <w:pStyle w:val="ONUMFS"/>
      </w:pPr>
      <w:r>
        <w:t xml:space="preserve">Le Secrétariat a souligné certaines informations contenues dans le </w:t>
      </w:r>
      <w:r w:rsidR="00FD685E">
        <w:t>document</w:t>
      </w:r>
      <w:r w:rsidR="00733F3E">
        <w:t> </w:t>
      </w:r>
      <w:r w:rsidR="00FD685E">
        <w:t>BP</w:t>
      </w:r>
      <w:r>
        <w:t>/A/41/1, qui donne un aperçu de l</w:t>
      </w:r>
      <w:r w:rsidR="00FD685E">
        <w:t>’</w:t>
      </w:r>
      <w:r>
        <w:t>évolution récente du système de Budapest, ainsi que des activités du Bureau international relatives à son fonctionneme</w:t>
      </w:r>
      <w:r w:rsidR="00B63D78">
        <w:t>nt.  Le</w:t>
      </w:r>
      <w:r>
        <w:t xml:space="preserve"> Secrétariat a notamment informé l</w:t>
      </w:r>
      <w:r w:rsidR="00FD685E">
        <w:t>’</w:t>
      </w:r>
      <w:r>
        <w:t>Assemblée de l</w:t>
      </w:r>
      <w:r w:rsidR="00FD685E">
        <w:t>’</w:t>
      </w:r>
      <w:r>
        <w:t>Union de Budapest des notifications et communications reçues des États contractants, ainsi que des organisations intergouvernementales de propriété industrielle, et a également fait état des dernières statistiqu</w:t>
      </w:r>
      <w:r w:rsidR="00B63D78">
        <w:t>es.  Se</w:t>
      </w:r>
      <w:r>
        <w:t xml:space="preserve"> référant à la Réunion des États membres et des autorités de dépôt internationales en application du Traité de Budapest, organisée par le Bureau international les 13 et 14 novembre 2023 à Genève, le Secrétariat a déclaré que cette réunion avait porté sur divers sujets et avait donné aux participants l</w:t>
      </w:r>
      <w:r w:rsidR="00FD685E">
        <w:t>’</w:t>
      </w:r>
      <w:r>
        <w:t>occasion de partager des informations et des données d</w:t>
      </w:r>
      <w:r w:rsidR="00FD685E">
        <w:t>’</w:t>
      </w:r>
      <w:r>
        <w:t>expérience concernant la mise en œuvre pratique du Traité de Budape</w:t>
      </w:r>
      <w:r w:rsidR="00B63D78">
        <w:t>st.  No</w:t>
      </w:r>
      <w:r>
        <w:t>tant les réactions positives des participants, le Secrétariat a déclaré que, bien qu</w:t>
      </w:r>
      <w:r w:rsidR="00FD685E">
        <w:t>’</w:t>
      </w:r>
      <w:r>
        <w:t>il s</w:t>
      </w:r>
      <w:r w:rsidR="00FD685E">
        <w:t>’</w:t>
      </w:r>
      <w:r>
        <w:t>agisse d</w:t>
      </w:r>
      <w:r w:rsidR="00FD685E">
        <w:t>’</w:t>
      </w:r>
      <w:r>
        <w:t>une réunion ad</w:t>
      </w:r>
      <w:r w:rsidR="008E656A">
        <w:t> </w:t>
      </w:r>
      <w:r>
        <w:t>hoc sans décision ni recommandation, l</w:t>
      </w:r>
      <w:r w:rsidR="00FD685E">
        <w:t>’</w:t>
      </w:r>
      <w:r>
        <w:t>un des sujets à l</w:t>
      </w:r>
      <w:r w:rsidR="00FD685E">
        <w:t>’</w:t>
      </w:r>
      <w:r>
        <w:t>examen avait ouvert la voie à des améliorations potentielles dans le système de Budape</w:t>
      </w:r>
      <w:r w:rsidR="00B63D78">
        <w:t>st.  En</w:t>
      </w:r>
      <w:r>
        <w:t xml:space="preserve"> outre, le Secrétariat a informé l</w:t>
      </w:r>
      <w:r w:rsidR="00FD685E">
        <w:t>’</w:t>
      </w:r>
      <w:r>
        <w:t>Assemblée de l</w:t>
      </w:r>
      <w:r w:rsidR="00FD685E">
        <w:t>’</w:t>
      </w:r>
      <w:r>
        <w:t>Union de Budapest que le Bureau international avait reçu deux</w:t>
      </w:r>
      <w:r w:rsidR="008E656A">
        <w:t> </w:t>
      </w:r>
      <w:r>
        <w:t>communications, de la Fédération de Russie et de l</w:t>
      </w:r>
      <w:r w:rsidR="00FD685E">
        <w:t>’</w:t>
      </w:r>
      <w:r>
        <w:t>Indonésie, respectivement le 28 juin et le 7 juillet 2024, concernant la désignation de deux</w:t>
      </w:r>
      <w:r w:rsidR="008E656A">
        <w:t> </w:t>
      </w:r>
      <w:r>
        <w:t>nouvelles autorités de dépôt internationales dans le cadre du système de Budape</w:t>
      </w:r>
      <w:r w:rsidR="00B63D78">
        <w:t>st.  Le</w:t>
      </w:r>
      <w:r>
        <w:t>s communications seront prochainement notifiées aux gouvernements des États et aux organisations intergouvernementales de propriété industrielle concernés, et publiées sur le site Web de l</w:t>
      </w:r>
      <w:r w:rsidR="00FD685E">
        <w:t>’</w:t>
      </w:r>
      <w:r>
        <w:t>O</w:t>
      </w:r>
      <w:r w:rsidR="00B63D78">
        <w:t>MPI.  Le</w:t>
      </w:r>
      <w:r>
        <w:t xml:space="preserve"> Secrétariat a réaffirmé son engagement constant à aider les États contractants actuels et futurs à mettre en œuvre le Traité de Budapest et à fournir une assistance continue sur les questions relatives au système de Budape</w:t>
      </w:r>
      <w:r w:rsidR="00B63D78">
        <w:t>st.  En</w:t>
      </w:r>
      <w:r>
        <w:t>fin, le Secrétariat a invité l</w:t>
      </w:r>
      <w:r w:rsidR="00FD685E">
        <w:t>’</w:t>
      </w:r>
      <w:r>
        <w:t>Assemblée de l</w:t>
      </w:r>
      <w:r w:rsidR="00FD685E">
        <w:t>’</w:t>
      </w:r>
      <w:r>
        <w:t>Union de Budapest à prendre note des informations contenues dans le document.</w:t>
      </w:r>
    </w:p>
    <w:p w14:paraId="5B06E241" w14:textId="3D94EBDE" w:rsidR="00370FC6" w:rsidRDefault="00370FC6" w:rsidP="0095348A">
      <w:pPr>
        <w:pStyle w:val="ONUMFS"/>
      </w:pPr>
      <w:r>
        <w:t xml:space="preserve">La délégation de la Chine a pris note des faits nouveaux concernant le système de Budapest indiqués dans le </w:t>
      </w:r>
      <w:r w:rsidR="00FD685E">
        <w:t>document</w:t>
      </w:r>
      <w:r w:rsidR="00733F3E">
        <w:t> </w:t>
      </w:r>
      <w:r w:rsidR="00FD685E">
        <w:t>BP</w:t>
      </w:r>
      <w:r>
        <w:t>/A/41/1 et a souligné l</w:t>
      </w:r>
      <w:r w:rsidR="00FD685E">
        <w:t>’</w:t>
      </w:r>
      <w:r>
        <w:t>augmentation du nombre de dépôts de micro</w:t>
      </w:r>
      <w:r w:rsidR="00C26FF7">
        <w:noBreakHyphen/>
      </w:r>
      <w:r>
        <w:t>organismes aux fins de la procédure en matière de brevets, le nombre d</w:t>
      </w:r>
      <w:r w:rsidR="00FD685E">
        <w:t>’</w:t>
      </w:r>
      <w:r>
        <w:t>échantillons de micro</w:t>
      </w:r>
      <w:r w:rsidR="00C26FF7">
        <w:noBreakHyphen/>
      </w:r>
      <w:r>
        <w:t>organismes déposés remis ces dernières années, ainsi que l</w:t>
      </w:r>
      <w:r w:rsidR="00FD685E">
        <w:t>’</w:t>
      </w:r>
      <w:r>
        <w:t>augmentation du nombre d</w:t>
      </w:r>
      <w:r w:rsidR="00FD685E">
        <w:t>’</w:t>
      </w:r>
      <w:r>
        <w:t>États contractants du Traité de Budapest et d</w:t>
      </w:r>
      <w:r w:rsidR="00FD685E">
        <w:t>’</w:t>
      </w:r>
      <w:r>
        <w:t>autorités de dépôt international</w:t>
      </w:r>
      <w:r w:rsidR="00B63D78">
        <w:t>es.  El</w:t>
      </w:r>
      <w:r>
        <w:t>le s</w:t>
      </w:r>
      <w:r w:rsidR="00FD685E">
        <w:t>’</w:t>
      </w:r>
      <w:r>
        <w:t>est félicitée de l</w:t>
      </w:r>
      <w:r w:rsidR="00FD685E">
        <w:t>’</w:t>
      </w:r>
      <w:r>
        <w:t>organisation de la réunion des États membres et des autorités de dépôt internationales en application du Traité de Budapest, qui s</w:t>
      </w:r>
      <w:r w:rsidR="00FD685E">
        <w:t>’</w:t>
      </w:r>
      <w:r>
        <w:t>est tenue en novembre 2023.</w:t>
      </w:r>
    </w:p>
    <w:p w14:paraId="3222C17D" w14:textId="36A1EEF9" w:rsidR="00370FC6" w:rsidRDefault="00370FC6" w:rsidP="0095348A">
      <w:pPr>
        <w:pStyle w:val="ONUMFS"/>
      </w:pPr>
      <w:r>
        <w:t>La délégation de la République tchèque s</w:t>
      </w:r>
      <w:r w:rsidR="00FD685E">
        <w:t>’</w:t>
      </w:r>
      <w:r>
        <w:t>est félicitée de la poursuite du développement du système de Budapest tel qu</w:t>
      </w:r>
      <w:r w:rsidR="00FD685E">
        <w:t>’</w:t>
      </w:r>
      <w:r>
        <w:t xml:space="preserve">il est présenté dans le </w:t>
      </w:r>
      <w:r w:rsidR="00FD685E">
        <w:t>document BP</w:t>
      </w:r>
      <w:r>
        <w:t>/A/41/1.  Concernant le développement du système de Budapest, elle s</w:t>
      </w:r>
      <w:r w:rsidR="00FD685E">
        <w:t>’</w:t>
      </w:r>
      <w:r>
        <w:t>est prononcée en faveur de la création d</w:t>
      </w:r>
      <w:r w:rsidR="00FD685E">
        <w:t>’</w:t>
      </w:r>
      <w:r>
        <w:t>un groupe d</w:t>
      </w:r>
      <w:r w:rsidR="00FD685E">
        <w:t>’</w:t>
      </w:r>
      <w:r>
        <w:t>experts spécialisé sous l</w:t>
      </w:r>
      <w:r w:rsidR="00FD685E">
        <w:t>’</w:t>
      </w:r>
      <w:r>
        <w:t>égide de l</w:t>
      </w:r>
      <w:r w:rsidR="00FD685E">
        <w:t>’</w:t>
      </w:r>
      <w:r>
        <w:t>Assemblée de l</w:t>
      </w:r>
      <w:r w:rsidR="00FD685E">
        <w:t>’</w:t>
      </w:r>
      <w:r>
        <w:t>Union de Budapest, chargé d</w:t>
      </w:r>
      <w:r w:rsidR="00FD685E">
        <w:t>’</w:t>
      </w:r>
      <w:r>
        <w:t>examiner la question de la manipulation des micro</w:t>
      </w:r>
      <w:r w:rsidR="00C26FF7">
        <w:noBreakHyphen/>
      </w:r>
      <w:r>
        <w:t>organismes déposés après la période de conservation obligatoi</w:t>
      </w:r>
      <w:r w:rsidR="00B63D78">
        <w:t xml:space="preserve">re.  À </w:t>
      </w:r>
      <w:r>
        <w:t>la suite de consultations menées au niveau national avec la collection de culture agissant en tant qu</w:t>
      </w:r>
      <w:r w:rsidR="00FD685E">
        <w:t>’</w:t>
      </w:r>
      <w:r>
        <w:t>autorité de dépôt internationale, elle a déclaré qu</w:t>
      </w:r>
      <w:r w:rsidR="00FD685E">
        <w:t>’</w:t>
      </w:r>
      <w:r>
        <w:t xml:space="preserve">elle </w:t>
      </w:r>
      <w:r>
        <w:lastRenderedPageBreak/>
        <w:t>souhaiterait obtenir des précisions sur la règle 9.1 du règlement d</w:t>
      </w:r>
      <w:r w:rsidR="00FD685E">
        <w:t>’</w:t>
      </w:r>
      <w:r>
        <w:t>exécution du Traité de Budape</w:t>
      </w:r>
      <w:r w:rsidR="00B63D78">
        <w:t>st.  Se</w:t>
      </w:r>
      <w:r>
        <w:t>lon la délégation, des conseils sur la mise en œuvre de cette règle seraient utiles à la fois pour les autorités de dépôt internationales et pour les déposants de micro</w:t>
      </w:r>
      <w:r w:rsidR="00C26FF7">
        <w:noBreakHyphen/>
      </w:r>
      <w:r>
        <w:t>organism</w:t>
      </w:r>
      <w:r w:rsidR="00B63D78">
        <w:t>es.  El</w:t>
      </w:r>
      <w:r>
        <w:t>le a déclaré qu</w:t>
      </w:r>
      <w:r w:rsidR="00FD685E">
        <w:t>’</w:t>
      </w:r>
      <w:r>
        <w:t>elle continuait de participer activement aux travaux en cours sur cette question.</w:t>
      </w:r>
    </w:p>
    <w:p w14:paraId="7A65A522" w14:textId="732AE37D" w:rsidR="00370FC6" w:rsidRDefault="00370FC6" w:rsidP="0095348A">
      <w:pPr>
        <w:pStyle w:val="ONUMFS"/>
      </w:pPr>
      <w:r>
        <w:t>La délégation de la Hongrie a fait part de sa satisfaction concernant le rapport d</w:t>
      </w:r>
      <w:r w:rsidR="00FD685E">
        <w:t>’</w:t>
      </w:r>
      <w:r>
        <w:t>activité présenté par le Secrétariat, notamment l</w:t>
      </w:r>
      <w:r w:rsidR="00FD685E">
        <w:t>’</w:t>
      </w:r>
      <w:r>
        <w:t>augmentation du nombre de membres du Traité de Budapest, qui s</w:t>
      </w:r>
      <w:r w:rsidR="00FD685E">
        <w:t>’</w:t>
      </w:r>
      <w:r>
        <w:t>élève à 89.  Elle a déclaré que l</w:t>
      </w:r>
      <w:r w:rsidR="00FD685E">
        <w:t>’</w:t>
      </w:r>
      <w:r>
        <w:t>échange d</w:t>
      </w:r>
      <w:r w:rsidR="00FD685E">
        <w:t>’</w:t>
      </w:r>
      <w:r>
        <w:t>informations et de données d</w:t>
      </w:r>
      <w:r w:rsidR="00FD685E">
        <w:t>’</w:t>
      </w:r>
      <w:r>
        <w:t>expérience était une priorité pour maintenir et développer les systèmes internationa</w:t>
      </w:r>
      <w:r w:rsidR="00B63D78">
        <w:t xml:space="preserve">ux.  À </w:t>
      </w:r>
      <w:r>
        <w:t>cet égard, la délégation a évoqué l</w:t>
      </w:r>
      <w:r w:rsidR="00FD685E">
        <w:t>’</w:t>
      </w:r>
      <w:r>
        <w:t>organisation réussie de la réunion des États membres et des autorités de dépôt internationales en application du Traité de Budapest, tenue en novembre 2023.  Elle a réaffirmé son souhait de contribuer à la poursuite du développement du système de Budapest et a fait part de son appui à toute proposition future, en particulier s</w:t>
      </w:r>
      <w:r w:rsidR="00FD685E">
        <w:t>’</w:t>
      </w:r>
      <w:r>
        <w:t>il s</w:t>
      </w:r>
      <w:r w:rsidR="00FD685E">
        <w:t>’</w:t>
      </w:r>
      <w:r>
        <w:t>avérait nécessaire que les États membres créent un groupe d</w:t>
      </w:r>
      <w:r w:rsidR="00FD685E">
        <w:t>’</w:t>
      </w:r>
      <w:r>
        <w:t>experts chargé d</w:t>
      </w:r>
      <w:r w:rsidR="00FD685E">
        <w:t>’</w:t>
      </w:r>
      <w:r>
        <w:t>examiner des questions spécifiques, telles que le traitement des micro</w:t>
      </w:r>
      <w:r w:rsidR="00C26FF7">
        <w:noBreakHyphen/>
      </w:r>
      <w:r>
        <w:t>organismes déposés auprès des autorités de dépôt internationales après l</w:t>
      </w:r>
      <w:r w:rsidR="00FD685E">
        <w:t>’</w:t>
      </w:r>
      <w:r>
        <w:t>expiration de la période de conservation obligatoire.</w:t>
      </w:r>
    </w:p>
    <w:p w14:paraId="287D098E" w14:textId="381383EE" w:rsidR="00370FC6" w:rsidRDefault="00370FC6" w:rsidP="0095348A">
      <w:pPr>
        <w:pStyle w:val="ONUMFS"/>
      </w:pPr>
      <w:r>
        <w:t>La délégation du Brésil a remercié le Secrétariat pour le rapport d</w:t>
      </w:r>
      <w:r w:rsidR="00FD685E">
        <w:t>’</w:t>
      </w:r>
      <w:r>
        <w:t>activité et a souligné les efforts continus déployés par le Brésil pour faire avancer la procédure législative visant à ratifier le Traité de Budape</w:t>
      </w:r>
      <w:r w:rsidR="00B63D78">
        <w:t>st.  El</w:t>
      </w:r>
      <w:r>
        <w:t xml:space="preserve">le a indiqué que, bien que son pays ne soit pas encore </w:t>
      </w:r>
      <w:proofErr w:type="gramStart"/>
      <w:r>
        <w:t>partie</w:t>
      </w:r>
      <w:proofErr w:type="gramEnd"/>
      <w:r>
        <w:t xml:space="preserve"> au Traité de Budapest, l</w:t>
      </w:r>
      <w:r w:rsidR="00FD685E">
        <w:t>’</w:t>
      </w:r>
      <w:r>
        <w:t>Institut national de la propriété industrielle (INPI) avait déjà accepté, aux fins du caractère suffisant de la divulgation dans les demandes de brevet, le dépôt de matériel biologique auprès d</w:t>
      </w:r>
      <w:r w:rsidR="00FD685E">
        <w:t>’</w:t>
      </w:r>
      <w:r>
        <w:t>autorités de dépôt international</w:t>
      </w:r>
      <w:r w:rsidR="00B63D78">
        <w:t>es.  Ce</w:t>
      </w:r>
      <w:r>
        <w:t>pendant, elle a noté que les inventeurs qui devaient effectuer un dépôt aux fins de la procédure en matière de brevets devaient envoyer leur matériel biologique à l</w:t>
      </w:r>
      <w:r w:rsidR="00FD685E">
        <w:t>’</w:t>
      </w:r>
      <w:r>
        <w:t>une des autorités de dépôt internationales reconnues en vertu du Traité de Budapest et situées à l</w:t>
      </w:r>
      <w:r w:rsidR="00FD685E">
        <w:t>’</w:t>
      </w:r>
      <w:r>
        <w:t>étranger, ce qui entraînait une augmentation des coûts et des difficultés logistiques et bureaucratiques supplémentair</w:t>
      </w:r>
      <w:r w:rsidR="00B63D78">
        <w:t>es.  La</w:t>
      </w:r>
      <w:r>
        <w:t xml:space="preserve"> délégation a dit espérer que cette situation serait résolue au moment de son adhésion au trai</w:t>
      </w:r>
      <w:r w:rsidR="00B63D78">
        <w:t>té.  En</w:t>
      </w:r>
      <w:r>
        <w:t xml:space="preserve"> prévision de l</w:t>
      </w:r>
      <w:r w:rsidR="00FD685E">
        <w:t>’</w:t>
      </w:r>
      <w:r>
        <w:t>adhésion, l</w:t>
      </w:r>
      <w:r w:rsidR="00FD685E">
        <w:t>’</w:t>
      </w:r>
      <w:r>
        <w:t>INPI avait reçu un mandat du groupe de travail créé au sein du groupe interministériel brésilien de la propriété intellectuelle pour mener des études visant à accélérer le processus réglementaire nécessaire à la mise en œuvre du Traité de Budape</w:t>
      </w:r>
      <w:r w:rsidR="00B63D78">
        <w:t>st.  La</w:t>
      </w:r>
      <w:r>
        <w:t xml:space="preserve"> délégation a déclaré qu</w:t>
      </w:r>
      <w:r w:rsidR="00FD685E">
        <w:t>’</w:t>
      </w:r>
      <w:r>
        <w:t>elle comptait présenter un rapport sur l</w:t>
      </w:r>
      <w:r w:rsidR="00FD685E">
        <w:t>’</w:t>
      </w:r>
      <w:r>
        <w:t>état d</w:t>
      </w:r>
      <w:r w:rsidR="00FD685E">
        <w:t>’</w:t>
      </w:r>
      <w:r>
        <w:t>avancement des travaux lors de la prochaine session des assemblées.</w:t>
      </w:r>
    </w:p>
    <w:p w14:paraId="5FE45E55" w14:textId="722208B4" w:rsidR="00370FC6" w:rsidRDefault="00370FC6" w:rsidP="0095348A">
      <w:pPr>
        <w:pStyle w:val="ONUMFS"/>
      </w:pPr>
      <w:r>
        <w:t>La délégation de la République de Corée a remercié le Secrétariat d</w:t>
      </w:r>
      <w:r w:rsidR="00FD685E">
        <w:t>’</w:t>
      </w:r>
      <w:r>
        <w:t xml:space="preserve">avoir établi le </w:t>
      </w:r>
      <w:r w:rsidR="00FD685E">
        <w:t>document</w:t>
      </w:r>
      <w:r w:rsidR="00733F3E">
        <w:t> </w:t>
      </w:r>
      <w:r w:rsidR="00FD685E">
        <w:t>BP</w:t>
      </w:r>
      <w:r>
        <w:t>/A/41/1.  Notant que le Traité de Budapest et le Protocole de Nagoya avaient des objectifs et des États membres différents, la délégation a souligné qu</w:t>
      </w:r>
      <w:r w:rsidR="00FD685E">
        <w:t>’</w:t>
      </w:r>
      <w:r>
        <w:t>il n</w:t>
      </w:r>
      <w:r w:rsidR="00FD685E">
        <w:t>’</w:t>
      </w:r>
      <w:r>
        <w:t>y avait aucune raison de débattre de ce dernier au sein de l</w:t>
      </w:r>
      <w:r w:rsidR="00FD685E">
        <w:t>’</w:t>
      </w:r>
      <w:r>
        <w:t>Assemblée de l</w:t>
      </w:r>
      <w:r w:rsidR="00FD685E">
        <w:t>’</w:t>
      </w:r>
      <w:r>
        <w:t>Union de Budapest ou d</w:t>
      </w:r>
      <w:r w:rsidR="00FD685E">
        <w:t>’</w:t>
      </w:r>
      <w:r>
        <w:t>un groupe de trava</w:t>
      </w:r>
      <w:r w:rsidR="00B63D78">
        <w:t>il.  En</w:t>
      </w:r>
      <w:r>
        <w:t xml:space="preserve"> outre, rappelant l</w:t>
      </w:r>
      <w:r w:rsidR="00FD685E">
        <w:t>’</w:t>
      </w:r>
      <w:r>
        <w:t>existence de quatre</w:t>
      </w:r>
      <w:r w:rsidR="008E656A">
        <w:t> </w:t>
      </w:r>
      <w:r>
        <w:t>autorités de dépôt internationales en République de Corée, la délégation a manifesté son vif intérêt pour le dépôt de micro</w:t>
      </w:r>
      <w:r w:rsidR="00C26FF7">
        <w:noBreakHyphen/>
      </w:r>
      <w:r>
        <w:t>organismes et les autorités de dépôt international</w:t>
      </w:r>
      <w:r w:rsidR="00B63D78">
        <w:t>es.  El</w:t>
      </w:r>
      <w:r>
        <w:t>le a donc exprimé sa volonté de participer activement aux discussions sur ces questio</w:t>
      </w:r>
      <w:r w:rsidR="00B63D78">
        <w:t>ns.  En</w:t>
      </w:r>
      <w:r>
        <w:t xml:space="preserve"> conséquence, la délégation a demandé au Secrétariat de communiquer rapidement aux États membres les dates et l</w:t>
      </w:r>
      <w:r w:rsidR="00FD685E">
        <w:t>’</w:t>
      </w:r>
      <w:r>
        <w:t>ordre du jour des réunions afin de faciliter la participation.</w:t>
      </w:r>
    </w:p>
    <w:p w14:paraId="5703C33C" w14:textId="389DB21B" w:rsidR="00370FC6" w:rsidRDefault="00370FC6" w:rsidP="0095348A">
      <w:pPr>
        <w:pStyle w:val="ONUMFS"/>
      </w:pPr>
      <w:r>
        <w:t>La délégation de l</w:t>
      </w:r>
      <w:r w:rsidR="00FD685E">
        <w:t>’</w:t>
      </w:r>
      <w:r>
        <w:t>Indonésie a fait part de sa volonté de participer de manière constructive aux discussions concernant le Traité de Budape</w:t>
      </w:r>
      <w:r w:rsidR="00B63D78">
        <w:t>st.  So</w:t>
      </w:r>
      <w:r>
        <w:t>n pays étant partie contractante du traité depuis le 13 octobre 2022, elle a indiqué que l</w:t>
      </w:r>
      <w:r w:rsidR="00FD685E">
        <w:t>’</w:t>
      </w:r>
      <w:r>
        <w:t>Indonésie était déterminée à défendre les principes du Traité de Budapest et à renforcer la coopération internationale dans le domaine de la propriété intellectuel</w:t>
      </w:r>
      <w:r w:rsidR="00B63D78">
        <w:t>le.  Se</w:t>
      </w:r>
      <w:r>
        <w:t xml:space="preserve"> référant à la récente communication soumise par l</w:t>
      </w:r>
      <w:r w:rsidR="00FD685E">
        <w:t>’</w:t>
      </w:r>
      <w:r>
        <w:t>Indonésie concernant l</w:t>
      </w:r>
      <w:r w:rsidR="00FD685E">
        <w:t>’</w:t>
      </w:r>
      <w:r>
        <w:t>acquisition du statut d</w:t>
      </w:r>
      <w:r w:rsidR="00FD685E">
        <w:t>’</w:t>
      </w:r>
      <w:r>
        <w:t>autorité de dépôt internationale par l</w:t>
      </w:r>
      <w:r w:rsidR="00FD685E">
        <w:t>’</w:t>
      </w:r>
      <w:proofErr w:type="spellStart"/>
      <w:r>
        <w:t>Indonesian</w:t>
      </w:r>
      <w:proofErr w:type="spellEnd"/>
      <w:r>
        <w:t xml:space="preserve"> Culture Collection (</w:t>
      </w:r>
      <w:proofErr w:type="spellStart"/>
      <w:r>
        <w:t>InaCC</w:t>
      </w:r>
      <w:proofErr w:type="spellEnd"/>
      <w:r>
        <w:t>), la délégation a rappelé que l</w:t>
      </w:r>
      <w:r w:rsidR="00FD685E">
        <w:t>’</w:t>
      </w:r>
      <w:proofErr w:type="spellStart"/>
      <w:r>
        <w:t>InaCC</w:t>
      </w:r>
      <w:proofErr w:type="spellEnd"/>
      <w:r>
        <w:t xml:space="preserve"> avait été fondée en 2014 et avait joué un rôle crucial dans la gestion des ressources biologiques nationales, en particulier les microbes, et que l</w:t>
      </w:r>
      <w:r w:rsidR="00FD685E">
        <w:t>’</w:t>
      </w:r>
      <w:proofErr w:type="spellStart"/>
      <w:r>
        <w:t>InaCC</w:t>
      </w:r>
      <w:proofErr w:type="spellEnd"/>
      <w:r>
        <w:t xml:space="preserve"> était conforme aux exigences de l</w:t>
      </w:r>
      <w:r w:rsidR="00FD685E">
        <w:t>’</w:t>
      </w:r>
      <w:r>
        <w:t>article 6.2) du Traité de Budape</w:t>
      </w:r>
      <w:r w:rsidR="00B63D78">
        <w:t xml:space="preserve">st.  </w:t>
      </w:r>
      <w:r w:rsidR="00B63D78">
        <w:lastRenderedPageBreak/>
        <w:t>El</w:t>
      </w:r>
      <w:r>
        <w:t>le a souligné que l</w:t>
      </w:r>
      <w:r w:rsidR="00FD685E">
        <w:t>’</w:t>
      </w:r>
      <w:r>
        <w:t>acquisition du statut d</w:t>
      </w:r>
      <w:r w:rsidR="00FD685E">
        <w:t>’</w:t>
      </w:r>
      <w:r>
        <w:t>autorité de dépôt internationale par l</w:t>
      </w:r>
      <w:r w:rsidR="00FD685E">
        <w:t>’</w:t>
      </w:r>
      <w:proofErr w:type="spellStart"/>
      <w:r>
        <w:t>InaCC</w:t>
      </w:r>
      <w:proofErr w:type="spellEnd"/>
      <w:r>
        <w:t xml:space="preserve"> ne profiterait pas seulement à l</w:t>
      </w:r>
      <w:r w:rsidR="00FD685E">
        <w:t>’</w:t>
      </w:r>
      <w:r>
        <w:t>Indonésie, mais contribuerait également à l</w:t>
      </w:r>
      <w:r w:rsidR="00FD685E">
        <w:t>’</w:t>
      </w:r>
      <w:r>
        <w:t>effort mondial de promotion de l</w:t>
      </w:r>
      <w:r w:rsidR="00FD685E">
        <w:t>’</w:t>
      </w:r>
      <w:r>
        <w:t>innovation et de la recherche scientifiq</w:t>
      </w:r>
      <w:r w:rsidR="00B63D78">
        <w:t>ue.  La</w:t>
      </w:r>
      <w:r>
        <w:t xml:space="preserve"> délégation a déclaré qu</w:t>
      </w:r>
      <w:r w:rsidR="00FD685E">
        <w:t>’</w:t>
      </w:r>
      <w:r>
        <w:t xml:space="preserve">elle attendait avec intérêt des délibérations et </w:t>
      </w:r>
      <w:proofErr w:type="gramStart"/>
      <w:r>
        <w:t>une coopération fructueuses</w:t>
      </w:r>
      <w:proofErr w:type="gramEnd"/>
      <w:r>
        <w:t xml:space="preserve"> dans le cadre du Traité de Budapest.</w:t>
      </w:r>
    </w:p>
    <w:p w14:paraId="4665C544" w14:textId="5B337D47" w:rsidR="00370FC6" w:rsidRDefault="00370FC6" w:rsidP="0095348A">
      <w:pPr>
        <w:pStyle w:val="ONUMFS"/>
      </w:pPr>
      <w:r>
        <w:t>La délégation du Portugal a souhaité la bienvenue à la nouvelle partie contractante du Traité de Budapest, s</w:t>
      </w:r>
      <w:r w:rsidR="00FD685E">
        <w:t>’</w:t>
      </w:r>
      <w:r>
        <w:t>est référée à la récente déclaration de l</w:t>
      </w:r>
      <w:r w:rsidR="00FD685E">
        <w:t>’</w:t>
      </w:r>
      <w:r>
        <w:t>Organisation africaine de la propriété intellectuelle (OAPI) et a pris note du nombre croissant d</w:t>
      </w:r>
      <w:r w:rsidR="00FD685E">
        <w:t>’</w:t>
      </w:r>
      <w:r>
        <w:t>autorités de dépôt internationales, signe de la croissance continue du système de Budape</w:t>
      </w:r>
      <w:r w:rsidR="00B63D78">
        <w:t>st.  El</w:t>
      </w:r>
      <w:r>
        <w:t xml:space="preserve">le </w:t>
      </w:r>
      <w:bookmarkStart w:id="5" w:name="_Hlk172708701"/>
      <w:r>
        <w:t>a souligné que l</w:t>
      </w:r>
      <w:r w:rsidR="00FD685E">
        <w:t>’</w:t>
      </w:r>
      <w:r>
        <w:t>UCCCB avait récemment acquis</w:t>
      </w:r>
      <w:bookmarkEnd w:id="5"/>
      <w:r>
        <w:t xml:space="preserve"> le statut d</w:t>
      </w:r>
      <w:r w:rsidR="00FD685E">
        <w:t>’</w:t>
      </w:r>
      <w:r>
        <w:t>autorité de dépôt internationale le 25 avril 2024 et qu</w:t>
      </w:r>
      <w:r w:rsidR="00FD685E">
        <w:t>’</w:t>
      </w:r>
      <w:r>
        <w:t>il s</w:t>
      </w:r>
      <w:r w:rsidR="00FD685E">
        <w:t>’</w:t>
      </w:r>
      <w:r>
        <w:t>agissait de la première collection de cultures du Portugal à avoir acquis ce statut et de la cinquantième autorité de dépôt internationale au tot</w:t>
      </w:r>
      <w:r w:rsidR="00B63D78">
        <w:t>al.  La</w:t>
      </w:r>
      <w:r>
        <w:t xml:space="preserve"> délégation s</w:t>
      </w:r>
      <w:r w:rsidR="00FD685E">
        <w:t>’</w:t>
      </w:r>
      <w:r>
        <w:t>est déclarée prête à coopérer avec les autorités de dépôt internationales aux niveaux national et international et a souligné l</w:t>
      </w:r>
      <w:r w:rsidR="00FD685E">
        <w:t>’</w:t>
      </w:r>
      <w:r>
        <w:t>importance du partage d</w:t>
      </w:r>
      <w:r w:rsidR="00FD685E">
        <w:t>’</w:t>
      </w:r>
      <w:r>
        <w:t>informations et de données d</w:t>
      </w:r>
      <w:r w:rsidR="00FD685E">
        <w:t>’</w:t>
      </w:r>
      <w:r>
        <w:t>expérience pour la mise en œuvre du Traité de Budapest à l</w:t>
      </w:r>
      <w:r w:rsidR="00FD685E">
        <w:t>’</w:t>
      </w:r>
      <w:r>
        <w:t>échelon mondial.</w:t>
      </w:r>
    </w:p>
    <w:p w14:paraId="494D8DD4" w14:textId="192039EC" w:rsidR="00370FC6" w:rsidRDefault="00370FC6" w:rsidP="0095348A">
      <w:pPr>
        <w:pStyle w:val="ONUMFS"/>
      </w:pPr>
      <w:r>
        <w:t>La délégation de la Fédération de Russie s</w:t>
      </w:r>
      <w:r w:rsidR="00FD685E">
        <w:t>’</w:t>
      </w:r>
      <w:r>
        <w:t xml:space="preserve">est référée au </w:t>
      </w:r>
      <w:r w:rsidR="00FD685E">
        <w:t>document</w:t>
      </w:r>
      <w:r w:rsidR="00733F3E">
        <w:t> </w:t>
      </w:r>
      <w:r w:rsidR="00FD685E">
        <w:t>BP</w:t>
      </w:r>
      <w:r>
        <w:t>/A/41/1 et s</w:t>
      </w:r>
      <w:r w:rsidR="00FD685E">
        <w:t>’</w:t>
      </w:r>
      <w:r>
        <w:t>est félicitée de l</w:t>
      </w:r>
      <w:r w:rsidR="00FD685E">
        <w:t>’</w:t>
      </w:r>
      <w:r>
        <w:t>organisation et de la tenue de la réunion des États membres et des autorités de dépôt internationales en novembre 2023.  La réunion a permis aux États membres de procéder à un échange très enrichissant de données d</w:t>
      </w:r>
      <w:r w:rsidR="00FD685E">
        <w:t>’</w:t>
      </w:r>
      <w:r>
        <w:t>expérience et d</w:t>
      </w:r>
      <w:r w:rsidR="00FD685E">
        <w:t>’</w:t>
      </w:r>
      <w:r>
        <w:t>examiner les approches relatives aux aspects pratiques du dépôt, de la conservation et du transfert de matériel biologiq</w:t>
      </w:r>
      <w:r w:rsidR="00B63D78">
        <w:t>ue.  En</w:t>
      </w:r>
      <w:r>
        <w:t xml:space="preserve"> particulier, la délégation a fait référence à la discussion sur les pratiques des autorités de dépôt internationales en ce qui concerne le matériel biologique déposé après l</w:t>
      </w:r>
      <w:r w:rsidR="00FD685E">
        <w:t>’</w:t>
      </w:r>
      <w:r>
        <w:t>expiration de la période de conservation, et au partage d</w:t>
      </w:r>
      <w:r w:rsidR="00FD685E">
        <w:t>’</w:t>
      </w:r>
      <w:r>
        <w:t>informations sur les technologies les plus récentes dans ce domai</w:t>
      </w:r>
      <w:r w:rsidR="00B63D78">
        <w:t>ne.  El</w:t>
      </w:r>
      <w:r>
        <w:t>le a également mentionné le partage d</w:t>
      </w:r>
      <w:r w:rsidR="00FD685E">
        <w:t>’</w:t>
      </w:r>
      <w:r>
        <w:t>informations entre les participants sur les pratiques concernant la coopération entre les offices de propriété intellectuelle et les autorités de dépôt international</w:t>
      </w:r>
      <w:r w:rsidR="00B63D78">
        <w:t>es.  El</w:t>
      </w:r>
      <w:r>
        <w:t>le a déclaré que cet échange d</w:t>
      </w:r>
      <w:r w:rsidR="00FD685E">
        <w:t>’</w:t>
      </w:r>
      <w:r>
        <w:t>informations riche et utile entre les membres du système de Budapest était arrivé au bon moment et avait permis à la Fédération de Russie de soumettre au Bureau international une demande concernant l</w:t>
      </w:r>
      <w:r w:rsidR="00FD685E">
        <w:t>’</w:t>
      </w:r>
      <w:r>
        <w:t>acquisition du statut d</w:t>
      </w:r>
      <w:r w:rsidR="00FD685E">
        <w:t>’</w:t>
      </w:r>
      <w:r>
        <w:t xml:space="preserve">autorité de dépôt internationale par la Collection of </w:t>
      </w:r>
      <w:proofErr w:type="spellStart"/>
      <w:r>
        <w:t>Eubiotic</w:t>
      </w:r>
      <w:proofErr w:type="spellEnd"/>
      <w:r>
        <w:t xml:space="preserve"> and </w:t>
      </w:r>
      <w:proofErr w:type="spellStart"/>
      <w:r>
        <w:t>Epiphytic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 (CEEM), </w:t>
      </w:r>
      <w:proofErr w:type="spellStart"/>
      <w:r>
        <w:t>Kuban</w:t>
      </w:r>
      <w:proofErr w:type="spellEnd"/>
      <w:r>
        <w:t xml:space="preserve"> State </w:t>
      </w:r>
      <w:proofErr w:type="spellStart"/>
      <w:r>
        <w:t>Agrarian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>, d</w:t>
      </w:r>
      <w:r w:rsidR="00FD685E">
        <w:t>’</w:t>
      </w:r>
      <w:r>
        <w:t>après le nom de I. T. </w:t>
      </w:r>
      <w:proofErr w:type="spellStart"/>
      <w:r>
        <w:t>Trubil</w:t>
      </w:r>
      <w:r w:rsidR="00B63D78">
        <w:t>in</w:t>
      </w:r>
      <w:proofErr w:type="spellEnd"/>
      <w:r w:rsidR="00B63D78">
        <w:t>.  La</w:t>
      </w:r>
      <w:r>
        <w:t xml:space="preserve"> délégation a indiqué que la demande avait été bien reçue par le Bureau international et qu</w:t>
      </w:r>
      <w:r w:rsidR="00FD685E">
        <w:t>’</w:t>
      </w:r>
      <w:r>
        <w:t>elle serait notifiée aux États membres.</w:t>
      </w:r>
    </w:p>
    <w:p w14:paraId="3F46ECD6" w14:textId="1A53F161" w:rsidR="00370FC6" w:rsidRDefault="00370FC6" w:rsidP="0095348A">
      <w:pPr>
        <w:pStyle w:val="ONUMFS"/>
      </w:pPr>
      <w:r>
        <w:t>La délégation de l</w:t>
      </w:r>
      <w:r w:rsidR="00FD685E">
        <w:t>’</w:t>
      </w:r>
      <w:r>
        <w:t>Espagne a remercié le Secrétariat pour les mises à jour concernant la nouvelle adhésion au Traité de Budapest et les nouvelles autorités de dépôt international</w:t>
      </w:r>
      <w:r w:rsidR="00B63D78">
        <w:t>es.  El</w:t>
      </w:r>
      <w:r>
        <w:t>le s</w:t>
      </w:r>
      <w:r w:rsidR="00FD685E">
        <w:t>’</w:t>
      </w:r>
      <w:r>
        <w:t>est prononcée en faveur de la création d</w:t>
      </w:r>
      <w:r w:rsidR="00FD685E">
        <w:t>’</w:t>
      </w:r>
      <w:r>
        <w:t>un groupe d</w:t>
      </w:r>
      <w:r w:rsidR="00FD685E">
        <w:t>’</w:t>
      </w:r>
      <w:r>
        <w:t>experts chargé de tâches spécifiques dans le cadre de l</w:t>
      </w:r>
      <w:r w:rsidR="00FD685E">
        <w:t>’</w:t>
      </w:r>
      <w:r>
        <w:t>Assemblée de l</w:t>
      </w:r>
      <w:r w:rsidR="00FD685E">
        <w:t>’</w:t>
      </w:r>
      <w:r>
        <w:t>Union de Budapest, et plus particulièrement de la question de la manipulation des micro</w:t>
      </w:r>
      <w:r w:rsidR="00C26FF7">
        <w:noBreakHyphen/>
      </w:r>
      <w:r>
        <w:t>organismes déposés par les autorités de dépôt internationales après l</w:t>
      </w:r>
      <w:r w:rsidR="00FD685E">
        <w:t>’</w:t>
      </w:r>
      <w:r>
        <w:t>expiration de la période de conservation obligatoire prévue à la règle 9.1) du Traité de Budapest.</w:t>
      </w:r>
    </w:p>
    <w:p w14:paraId="1EF89A06" w14:textId="18895D56" w:rsidR="00370FC6" w:rsidRDefault="00370FC6" w:rsidP="0095348A">
      <w:pPr>
        <w:pStyle w:val="ONUMFS"/>
        <w:tabs>
          <w:tab w:val="clear" w:pos="567"/>
          <w:tab w:val="left" w:pos="1134"/>
        </w:tabs>
        <w:ind w:left="567"/>
      </w:pPr>
      <w:r>
        <w:t>L</w:t>
      </w:r>
      <w:r w:rsidR="00FD685E">
        <w:t>’</w:t>
      </w:r>
      <w:r>
        <w:t>Assemblée de l</w:t>
      </w:r>
      <w:r w:rsidR="00FD685E">
        <w:t>’</w:t>
      </w:r>
      <w:r>
        <w:t>Union de Budapest a pris note du “Rapport d</w:t>
      </w:r>
      <w:r w:rsidR="00FD685E">
        <w:t>’</w:t>
      </w:r>
      <w:r>
        <w:t>activité sur le fonctionnement du système de Budapest” (</w:t>
      </w:r>
      <w:r w:rsidR="00FD685E">
        <w:t>document</w:t>
      </w:r>
      <w:r w:rsidR="00141760">
        <w:t> </w:t>
      </w:r>
      <w:r w:rsidR="00FD685E">
        <w:t>BP</w:t>
      </w:r>
      <w:r>
        <w:t>/A/41/1).</w:t>
      </w:r>
    </w:p>
    <w:p w14:paraId="3FF11B34" w14:textId="7BAE9F00" w:rsidR="000F5E56" w:rsidRPr="0048769D" w:rsidRDefault="00370FC6" w:rsidP="0048769D">
      <w:pPr>
        <w:pStyle w:val="Endofdocument-Annex"/>
      </w:pPr>
      <w:r w:rsidRPr="0048769D">
        <w:t>[Fin du document]</w:t>
      </w:r>
    </w:p>
    <w:sectPr w:rsidR="000F5E56" w:rsidRPr="0048769D" w:rsidSect="00370FC6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7ECC1" w14:textId="77777777" w:rsidR="00370FC6" w:rsidRDefault="00370FC6">
      <w:r>
        <w:separator/>
      </w:r>
    </w:p>
  </w:endnote>
  <w:endnote w:type="continuationSeparator" w:id="0">
    <w:p w14:paraId="71927D71" w14:textId="77777777" w:rsidR="00370FC6" w:rsidRPr="009D30E6" w:rsidRDefault="00370FC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BE35901" w14:textId="77777777" w:rsidR="00370FC6" w:rsidRPr="009D30E6" w:rsidRDefault="00370FC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FBED7AF" w14:textId="77777777" w:rsidR="00370FC6" w:rsidRPr="009D30E6" w:rsidRDefault="00370FC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9FB90" w14:textId="77777777" w:rsidR="00370FC6" w:rsidRDefault="00370FC6">
      <w:r>
        <w:separator/>
      </w:r>
    </w:p>
  </w:footnote>
  <w:footnote w:type="continuationSeparator" w:id="0">
    <w:p w14:paraId="20B7515D" w14:textId="77777777" w:rsidR="00370FC6" w:rsidRDefault="00370FC6" w:rsidP="007461F1">
      <w:r>
        <w:separator/>
      </w:r>
    </w:p>
    <w:p w14:paraId="33B91D4D" w14:textId="77777777" w:rsidR="00370FC6" w:rsidRPr="009D30E6" w:rsidRDefault="00370FC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7FCC174" w14:textId="77777777" w:rsidR="00370FC6" w:rsidRPr="009D30E6" w:rsidRDefault="00370FC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63CBB" w14:textId="3D8BF656" w:rsidR="00F16975" w:rsidRDefault="00370FC6" w:rsidP="00477D6B">
    <w:pPr>
      <w:jc w:val="right"/>
    </w:pPr>
    <w:bookmarkStart w:id="6" w:name="Code2"/>
    <w:bookmarkEnd w:id="6"/>
    <w:r>
      <w:t>BP/A/41/2</w:t>
    </w:r>
    <w:r w:rsidR="0095348A">
      <w:t> </w:t>
    </w:r>
    <w:r>
      <w:t>Prov.</w:t>
    </w:r>
  </w:p>
  <w:p w14:paraId="7B74B97B" w14:textId="78B47262" w:rsidR="00F16975" w:rsidRDefault="00F16975" w:rsidP="0095348A">
    <w:pPr>
      <w:spacing w:after="480"/>
      <w:jc w:val="right"/>
    </w:pPr>
    <w:r>
      <w:t>page</w:t>
    </w:r>
    <w:r w:rsidR="0095348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0975923">
    <w:abstractNumId w:val="2"/>
  </w:num>
  <w:num w:numId="2" w16cid:durableId="415637826">
    <w:abstractNumId w:val="4"/>
  </w:num>
  <w:num w:numId="3" w16cid:durableId="237522126">
    <w:abstractNumId w:val="0"/>
  </w:num>
  <w:num w:numId="4" w16cid:durableId="1041594395">
    <w:abstractNumId w:val="5"/>
  </w:num>
  <w:num w:numId="5" w16cid:durableId="401678042">
    <w:abstractNumId w:val="1"/>
  </w:num>
  <w:num w:numId="6" w16cid:durableId="808859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C6"/>
    <w:rsid w:val="00011B7D"/>
    <w:rsid w:val="00061EBB"/>
    <w:rsid w:val="00075432"/>
    <w:rsid w:val="000B664C"/>
    <w:rsid w:val="000F5E56"/>
    <w:rsid w:val="001362EE"/>
    <w:rsid w:val="00141760"/>
    <w:rsid w:val="00170776"/>
    <w:rsid w:val="00172A07"/>
    <w:rsid w:val="001832A6"/>
    <w:rsid w:val="00195C6E"/>
    <w:rsid w:val="001B266A"/>
    <w:rsid w:val="001D3D56"/>
    <w:rsid w:val="00240654"/>
    <w:rsid w:val="002634C4"/>
    <w:rsid w:val="002D4918"/>
    <w:rsid w:val="002E4D1A"/>
    <w:rsid w:val="002F16BC"/>
    <w:rsid w:val="002F4E68"/>
    <w:rsid w:val="00315FCA"/>
    <w:rsid w:val="003532E4"/>
    <w:rsid w:val="00370FC6"/>
    <w:rsid w:val="003845C1"/>
    <w:rsid w:val="003A1BCD"/>
    <w:rsid w:val="004008A2"/>
    <w:rsid w:val="004025DF"/>
    <w:rsid w:val="00423E3E"/>
    <w:rsid w:val="00427AF4"/>
    <w:rsid w:val="004647DA"/>
    <w:rsid w:val="00477D6B"/>
    <w:rsid w:val="00485F51"/>
    <w:rsid w:val="0048769D"/>
    <w:rsid w:val="004D6471"/>
    <w:rsid w:val="004F4E31"/>
    <w:rsid w:val="00525B63"/>
    <w:rsid w:val="00547476"/>
    <w:rsid w:val="00561DB8"/>
    <w:rsid w:val="005671A9"/>
    <w:rsid w:val="00567A4C"/>
    <w:rsid w:val="005A156F"/>
    <w:rsid w:val="005E6516"/>
    <w:rsid w:val="00605827"/>
    <w:rsid w:val="006649EF"/>
    <w:rsid w:val="00676936"/>
    <w:rsid w:val="006B0DB5"/>
    <w:rsid w:val="006E4243"/>
    <w:rsid w:val="00733F3E"/>
    <w:rsid w:val="007461F1"/>
    <w:rsid w:val="00761922"/>
    <w:rsid w:val="007D6961"/>
    <w:rsid w:val="007F07CB"/>
    <w:rsid w:val="00810CEF"/>
    <w:rsid w:val="0081208D"/>
    <w:rsid w:val="00842A13"/>
    <w:rsid w:val="00850588"/>
    <w:rsid w:val="008B2CC1"/>
    <w:rsid w:val="008E36AA"/>
    <w:rsid w:val="008E656A"/>
    <w:rsid w:val="008E7930"/>
    <w:rsid w:val="0090731E"/>
    <w:rsid w:val="0095348A"/>
    <w:rsid w:val="00966A22"/>
    <w:rsid w:val="00974CD6"/>
    <w:rsid w:val="0099665A"/>
    <w:rsid w:val="009D30E6"/>
    <w:rsid w:val="009E3F6F"/>
    <w:rsid w:val="009F499F"/>
    <w:rsid w:val="00A02BD3"/>
    <w:rsid w:val="00AC0AE4"/>
    <w:rsid w:val="00AD61DB"/>
    <w:rsid w:val="00B63D78"/>
    <w:rsid w:val="00B87323"/>
    <w:rsid w:val="00B87BCF"/>
    <w:rsid w:val="00B9791A"/>
    <w:rsid w:val="00BA62D4"/>
    <w:rsid w:val="00C26FF7"/>
    <w:rsid w:val="00C40E15"/>
    <w:rsid w:val="00C664C8"/>
    <w:rsid w:val="00C716BA"/>
    <w:rsid w:val="00C76A79"/>
    <w:rsid w:val="00CA15F5"/>
    <w:rsid w:val="00CF0460"/>
    <w:rsid w:val="00D359B3"/>
    <w:rsid w:val="00D45252"/>
    <w:rsid w:val="00D61D20"/>
    <w:rsid w:val="00D71B4D"/>
    <w:rsid w:val="00D74EEB"/>
    <w:rsid w:val="00D75C1E"/>
    <w:rsid w:val="00D93D55"/>
    <w:rsid w:val="00DB0349"/>
    <w:rsid w:val="00DD6A16"/>
    <w:rsid w:val="00E0091A"/>
    <w:rsid w:val="00E02D5D"/>
    <w:rsid w:val="00E203AA"/>
    <w:rsid w:val="00E527A5"/>
    <w:rsid w:val="00E76456"/>
    <w:rsid w:val="00E809BF"/>
    <w:rsid w:val="00EC2772"/>
    <w:rsid w:val="00EE71CB"/>
    <w:rsid w:val="00F16975"/>
    <w:rsid w:val="00F66152"/>
    <w:rsid w:val="00FD685E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9D70F7"/>
  <w15:docId w15:val="{BE24B4B0-322F-4793-B0EC-6A55019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8769D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nhideWhenUsed/>
    <w:rsid w:val="00370F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534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assemblies/2024/a-65/doc_details.jsp?doc_id=6331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wipo.int/about-wipo/fr/assemblies/2024/a-65/doc_details.jsp?doc_id=6303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fr/assemblies/2024/a-65/doc_details.jsp?doc_id=6340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P_A_41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BP_A_41 (F)</Template>
  <TotalTime>16</TotalTime>
  <Pages>4</Pages>
  <Words>2002</Words>
  <Characters>11357</Characters>
  <Application>Microsoft Office Word</Application>
  <DocSecurity>0</DocSecurity>
  <Lines>210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BP/A/41/2 Prov.</vt:lpstr>
    </vt:vector>
  </TitlesOfParts>
  <Company>WIPO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BP/A/41/2 Prov.</dc:title>
  <dc:creator>WIPO</dc:creator>
  <cp:keywords>FOR OFFICIAL USE ONLY</cp:keywords>
  <cp:lastModifiedBy>MARIN-CUDRAZ DAVI Nicoletta</cp:lastModifiedBy>
  <cp:revision>13</cp:revision>
  <cp:lastPrinted>2011-05-19T12:37:00Z</cp:lastPrinted>
  <dcterms:created xsi:type="dcterms:W3CDTF">2024-07-30T08:00:00Z</dcterms:created>
  <dcterms:modified xsi:type="dcterms:W3CDTF">2024-08-14T08:19:00Z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09b4ce2b-7643-4659-afbb-8585ae2a9861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2024-07-30T08:02:22Z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80dec03d-cd77-4d28-80aa-ad2cd9d3a259</vt:lpwstr>
  </property>
  <property fmtid="{D5CDD505-2E9C-101B-9397-08002B2CF9AE}" pid="14" name="MSIP_Label_20773ee6-353b-4fb9-a59d-0b94c8c67bea_ContentBits">
    <vt:lpwstr>0</vt:lpwstr>
  </property>
</Properties>
</file>