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20921" w:rsidRPr="00947914" w:rsidTr="008769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4172" w:rsidRPr="00947914" w:rsidRDefault="003E4172" w:rsidP="008769C1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E4172" w:rsidRPr="00947914" w:rsidRDefault="003E4172" w:rsidP="008769C1">
            <w:pPr>
              <w:rPr>
                <w:lang w:val="fr-FR"/>
              </w:rPr>
            </w:pPr>
            <w:r w:rsidRPr="00947914">
              <w:rPr>
                <w:noProof/>
                <w:lang w:eastAsia="en-US"/>
              </w:rPr>
              <w:drawing>
                <wp:inline distT="0" distB="0" distL="0" distR="0" wp14:anchorId="08122823" wp14:editId="3B9A7E50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E4172" w:rsidRPr="00947914" w:rsidRDefault="003E4172" w:rsidP="008769C1">
            <w:pPr>
              <w:jc w:val="right"/>
              <w:rPr>
                <w:lang w:val="fr-FR"/>
              </w:rPr>
            </w:pPr>
            <w:r w:rsidRPr="0094791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20921" w:rsidRPr="00947914" w:rsidTr="008769C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E4172" w:rsidRPr="00947914" w:rsidRDefault="003E4172" w:rsidP="008769C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47914">
              <w:rPr>
                <w:rFonts w:ascii="Arial Black" w:hAnsi="Arial Black"/>
                <w:caps/>
                <w:sz w:val="15"/>
                <w:lang w:val="fr-FR"/>
              </w:rPr>
              <w:t>h/a/34/</w:t>
            </w:r>
            <w:bookmarkStart w:id="1" w:name="Code"/>
            <w:bookmarkEnd w:id="1"/>
            <w:r w:rsidRPr="00947914">
              <w:rPr>
                <w:rFonts w:ascii="Arial Black" w:hAnsi="Arial Black"/>
                <w:caps/>
                <w:sz w:val="15"/>
                <w:lang w:val="fr-FR"/>
              </w:rPr>
              <w:t xml:space="preserve">1 </w:t>
            </w:r>
          </w:p>
        </w:tc>
      </w:tr>
      <w:tr w:rsidR="00520921" w:rsidRPr="00947914" w:rsidTr="008769C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E4172" w:rsidRPr="00947914" w:rsidRDefault="003E4172" w:rsidP="003E417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4791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C1718" w:rsidRPr="0094791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47914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947914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520921" w:rsidRPr="00947914" w:rsidTr="008769C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E4172" w:rsidRPr="00947914" w:rsidRDefault="003E4172" w:rsidP="003E417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4791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C1718" w:rsidRPr="0094791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47914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947914">
              <w:rPr>
                <w:rFonts w:ascii="Arial Black" w:hAnsi="Arial Black"/>
                <w:caps/>
                <w:sz w:val="15"/>
                <w:lang w:val="fr-FR"/>
              </w:rPr>
              <w:t>23 juin 2014</w:t>
            </w:r>
          </w:p>
        </w:tc>
      </w:tr>
    </w:tbl>
    <w:p w:rsidR="003E4172" w:rsidRPr="00947914" w:rsidRDefault="003E4172" w:rsidP="003E4172">
      <w:pPr>
        <w:rPr>
          <w:lang w:val="fr-FR"/>
        </w:rPr>
      </w:pPr>
    </w:p>
    <w:p w:rsidR="003E4172" w:rsidRPr="00947914" w:rsidRDefault="003E4172" w:rsidP="003E4172">
      <w:pPr>
        <w:rPr>
          <w:lang w:val="fr-FR"/>
        </w:rPr>
      </w:pPr>
    </w:p>
    <w:p w:rsidR="003E4172" w:rsidRPr="00947914" w:rsidRDefault="003E4172" w:rsidP="003E4172">
      <w:pPr>
        <w:rPr>
          <w:lang w:val="fr-FR"/>
        </w:rPr>
      </w:pPr>
    </w:p>
    <w:p w:rsidR="003E4172" w:rsidRPr="00947914" w:rsidRDefault="003E4172" w:rsidP="003E4172">
      <w:pPr>
        <w:rPr>
          <w:lang w:val="fr-FR"/>
        </w:rPr>
      </w:pPr>
    </w:p>
    <w:p w:rsidR="003E4172" w:rsidRPr="00947914" w:rsidRDefault="003E4172" w:rsidP="003E4172">
      <w:pPr>
        <w:rPr>
          <w:lang w:val="fr-FR"/>
        </w:rPr>
      </w:pPr>
    </w:p>
    <w:p w:rsidR="003E4172" w:rsidRPr="00947914" w:rsidRDefault="003E4172" w:rsidP="003E4172">
      <w:pPr>
        <w:rPr>
          <w:b/>
          <w:sz w:val="28"/>
          <w:szCs w:val="28"/>
          <w:lang w:val="fr-FR"/>
        </w:rPr>
      </w:pPr>
      <w:r w:rsidRPr="00947914">
        <w:rPr>
          <w:b/>
          <w:sz w:val="28"/>
          <w:szCs w:val="28"/>
          <w:lang w:val="fr-FR"/>
        </w:rPr>
        <w:t xml:space="preserve">Union particulière pour le dépôt international des dessins et modèles industriels (Union de </w:t>
      </w:r>
      <w:r w:rsidR="004C1718" w:rsidRPr="00947914">
        <w:rPr>
          <w:b/>
          <w:sz w:val="28"/>
          <w:szCs w:val="28"/>
          <w:lang w:val="fr-FR"/>
        </w:rPr>
        <w:t>La </w:t>
      </w:r>
      <w:r w:rsidRPr="00947914">
        <w:rPr>
          <w:b/>
          <w:sz w:val="28"/>
          <w:szCs w:val="28"/>
          <w:lang w:val="fr-FR"/>
        </w:rPr>
        <w:t>Haye)</w:t>
      </w:r>
    </w:p>
    <w:p w:rsidR="003E4172" w:rsidRPr="00947914" w:rsidRDefault="003E4172" w:rsidP="003E4172">
      <w:pPr>
        <w:rPr>
          <w:lang w:val="fr-FR"/>
        </w:rPr>
      </w:pPr>
    </w:p>
    <w:p w:rsidR="003E4172" w:rsidRPr="00947914" w:rsidRDefault="003E4172" w:rsidP="003E4172">
      <w:pPr>
        <w:rPr>
          <w:lang w:val="fr-FR"/>
        </w:rPr>
      </w:pPr>
    </w:p>
    <w:p w:rsidR="003E4172" w:rsidRPr="00947914" w:rsidRDefault="003E4172" w:rsidP="003E4172">
      <w:pPr>
        <w:rPr>
          <w:b/>
          <w:sz w:val="28"/>
          <w:szCs w:val="28"/>
          <w:lang w:val="fr-FR"/>
        </w:rPr>
      </w:pPr>
      <w:r w:rsidRPr="00947914">
        <w:rPr>
          <w:b/>
          <w:sz w:val="28"/>
          <w:szCs w:val="28"/>
          <w:lang w:val="fr-FR"/>
        </w:rPr>
        <w:t>Assemblée</w:t>
      </w:r>
    </w:p>
    <w:p w:rsidR="003E4172" w:rsidRPr="00947914" w:rsidRDefault="003E4172" w:rsidP="003E4172">
      <w:pPr>
        <w:rPr>
          <w:lang w:val="fr-FR"/>
        </w:rPr>
      </w:pPr>
    </w:p>
    <w:p w:rsidR="003E4172" w:rsidRPr="00947914" w:rsidRDefault="003E4172" w:rsidP="003E4172">
      <w:pPr>
        <w:rPr>
          <w:lang w:val="fr-FR"/>
        </w:rPr>
      </w:pPr>
    </w:p>
    <w:p w:rsidR="003E4172" w:rsidRPr="00947914" w:rsidRDefault="003E4172" w:rsidP="003E4172">
      <w:pPr>
        <w:rPr>
          <w:b/>
          <w:sz w:val="24"/>
          <w:szCs w:val="24"/>
          <w:lang w:val="fr-FR"/>
        </w:rPr>
      </w:pPr>
      <w:r w:rsidRPr="00947914">
        <w:rPr>
          <w:b/>
          <w:sz w:val="24"/>
          <w:szCs w:val="24"/>
          <w:lang w:val="fr-FR"/>
        </w:rPr>
        <w:t>Trente</w:t>
      </w:r>
      <w:r w:rsidR="00642ACC">
        <w:rPr>
          <w:b/>
          <w:sz w:val="24"/>
          <w:szCs w:val="24"/>
          <w:lang w:val="fr-FR"/>
        </w:rPr>
        <w:noBreakHyphen/>
      </w:r>
      <w:r w:rsidRPr="00947914">
        <w:rPr>
          <w:b/>
          <w:sz w:val="24"/>
          <w:szCs w:val="24"/>
          <w:lang w:val="fr-FR"/>
        </w:rPr>
        <w:t>quatrième</w:t>
      </w:r>
      <w:r w:rsidR="004C1718" w:rsidRPr="00947914">
        <w:rPr>
          <w:b/>
          <w:sz w:val="24"/>
          <w:szCs w:val="24"/>
          <w:lang w:val="fr-FR"/>
        </w:rPr>
        <w:t> </w:t>
      </w:r>
      <w:r w:rsidRPr="00947914">
        <w:rPr>
          <w:b/>
          <w:sz w:val="24"/>
          <w:szCs w:val="24"/>
          <w:lang w:val="fr-FR"/>
        </w:rPr>
        <w:t>session (15</w:t>
      </w:r>
      <w:r w:rsidRPr="00947914">
        <w:rPr>
          <w:b/>
          <w:sz w:val="24"/>
          <w:szCs w:val="24"/>
          <w:vertAlign w:val="superscript"/>
          <w:lang w:val="fr-FR"/>
        </w:rPr>
        <w:t xml:space="preserve">e </w:t>
      </w:r>
      <w:r w:rsidRPr="00947914">
        <w:rPr>
          <w:b/>
          <w:sz w:val="24"/>
          <w:szCs w:val="24"/>
          <w:lang w:val="fr-FR"/>
        </w:rPr>
        <w:t>session extraordinaire)</w:t>
      </w:r>
    </w:p>
    <w:p w:rsidR="003E4172" w:rsidRPr="00947914" w:rsidRDefault="003E4172" w:rsidP="003E4172">
      <w:pPr>
        <w:rPr>
          <w:b/>
          <w:sz w:val="24"/>
          <w:szCs w:val="24"/>
          <w:lang w:val="fr-FR"/>
        </w:rPr>
      </w:pPr>
      <w:r w:rsidRPr="00947914">
        <w:rPr>
          <w:b/>
          <w:sz w:val="24"/>
          <w:szCs w:val="24"/>
          <w:lang w:val="fr-FR"/>
        </w:rPr>
        <w:t>Genève, 22 – 30 septembre 2014</w:t>
      </w:r>
    </w:p>
    <w:p w:rsidR="003E4172" w:rsidRPr="00947914" w:rsidRDefault="003E4172" w:rsidP="003E4172">
      <w:pPr>
        <w:rPr>
          <w:lang w:val="fr-FR"/>
        </w:rPr>
      </w:pPr>
    </w:p>
    <w:p w:rsidR="003E4172" w:rsidRPr="00947914" w:rsidRDefault="003E4172" w:rsidP="003E4172">
      <w:pPr>
        <w:rPr>
          <w:lang w:val="fr-FR"/>
        </w:rPr>
      </w:pPr>
    </w:p>
    <w:p w:rsidR="003E4172" w:rsidRPr="00947914" w:rsidRDefault="003E4172" w:rsidP="003E4172">
      <w:pPr>
        <w:rPr>
          <w:lang w:val="fr-FR"/>
        </w:rPr>
      </w:pPr>
    </w:p>
    <w:p w:rsidR="00800E89" w:rsidRPr="00947914" w:rsidRDefault="00D67904" w:rsidP="00D67904">
      <w:pPr>
        <w:rPr>
          <w:caps/>
          <w:sz w:val="24"/>
          <w:lang w:val="fr-FR"/>
        </w:rPr>
      </w:pPr>
      <w:r w:rsidRPr="00947914">
        <w:rPr>
          <w:caps/>
          <w:sz w:val="24"/>
          <w:lang w:val="fr-FR"/>
        </w:rPr>
        <w:t>Rapport sur l</w:t>
      </w:r>
      <w:r w:rsidR="004E2797" w:rsidRPr="00947914">
        <w:rPr>
          <w:caps/>
          <w:sz w:val="24"/>
          <w:lang w:val="fr-FR"/>
        </w:rPr>
        <w:t>’</w:t>
      </w:r>
      <w:r w:rsidRPr="00947914">
        <w:rPr>
          <w:caps/>
          <w:sz w:val="24"/>
          <w:lang w:val="fr-FR"/>
        </w:rPr>
        <w:t>état d</w:t>
      </w:r>
      <w:r w:rsidR="004E2797" w:rsidRPr="00947914">
        <w:rPr>
          <w:caps/>
          <w:sz w:val="24"/>
          <w:lang w:val="fr-FR"/>
        </w:rPr>
        <w:t>’</w:t>
      </w:r>
      <w:r w:rsidRPr="00947914">
        <w:rPr>
          <w:caps/>
          <w:sz w:val="24"/>
          <w:lang w:val="fr-FR"/>
        </w:rPr>
        <w:t>avancement du programme de modernisation informatique (système d</w:t>
      </w:r>
      <w:r w:rsidR="004E2797" w:rsidRPr="00947914">
        <w:rPr>
          <w:caps/>
          <w:sz w:val="24"/>
          <w:lang w:val="fr-FR"/>
        </w:rPr>
        <w:t>’</w:t>
      </w:r>
      <w:r w:rsidRPr="00947914">
        <w:rPr>
          <w:caps/>
          <w:sz w:val="24"/>
          <w:lang w:val="fr-FR"/>
        </w:rPr>
        <w:t>enregistrement international de La Haye)</w:t>
      </w:r>
    </w:p>
    <w:p w:rsidR="00800E89" w:rsidRPr="00947914" w:rsidRDefault="00800E89" w:rsidP="008B2CC1">
      <w:pPr>
        <w:rPr>
          <w:lang w:val="fr-FR"/>
        </w:rPr>
      </w:pPr>
    </w:p>
    <w:p w:rsidR="00800E89" w:rsidRPr="00947914" w:rsidRDefault="00B43526" w:rsidP="00B43526">
      <w:pPr>
        <w:rPr>
          <w:i/>
          <w:lang w:val="fr-FR"/>
        </w:rPr>
      </w:pPr>
      <w:bookmarkStart w:id="4" w:name="Prepared"/>
      <w:bookmarkEnd w:id="4"/>
      <w:proofErr w:type="gramStart"/>
      <w:r w:rsidRPr="00947914">
        <w:rPr>
          <w:i/>
          <w:lang w:val="fr-FR"/>
        </w:rPr>
        <w:t>établi</w:t>
      </w:r>
      <w:proofErr w:type="gramEnd"/>
      <w:r w:rsidRPr="00947914">
        <w:rPr>
          <w:i/>
          <w:lang w:val="fr-FR"/>
        </w:rPr>
        <w:t xml:space="preserve"> par le Bureau</w:t>
      </w:r>
      <w:r w:rsidRPr="00947914">
        <w:rPr>
          <w:lang w:val="fr-FR"/>
        </w:rPr>
        <w:t xml:space="preserve"> </w:t>
      </w:r>
      <w:r w:rsidRPr="00947914">
        <w:rPr>
          <w:i/>
          <w:lang w:val="fr-FR"/>
        </w:rPr>
        <w:t>international</w:t>
      </w:r>
    </w:p>
    <w:p w:rsidR="00800E89" w:rsidRPr="00947914" w:rsidRDefault="00800E89">
      <w:pPr>
        <w:rPr>
          <w:lang w:val="fr-FR"/>
        </w:rPr>
      </w:pPr>
    </w:p>
    <w:p w:rsidR="00800E89" w:rsidRPr="00947914" w:rsidRDefault="00800E89">
      <w:pPr>
        <w:rPr>
          <w:lang w:val="fr-FR"/>
        </w:rPr>
      </w:pPr>
    </w:p>
    <w:p w:rsidR="00800E89" w:rsidRPr="00947914" w:rsidRDefault="00800E89">
      <w:pPr>
        <w:rPr>
          <w:lang w:val="fr-FR"/>
        </w:rPr>
      </w:pPr>
    </w:p>
    <w:p w:rsidR="00800E89" w:rsidRPr="00947914" w:rsidRDefault="00664059" w:rsidP="00520921">
      <w:pPr>
        <w:pStyle w:val="Heading1"/>
        <w:rPr>
          <w:lang w:val="fr-FR"/>
        </w:rPr>
      </w:pPr>
      <w:r w:rsidRPr="00947914">
        <w:rPr>
          <w:lang w:val="fr-FR"/>
        </w:rPr>
        <w:t>Introduction</w:t>
      </w:r>
    </w:p>
    <w:p w:rsidR="00800E89" w:rsidRPr="00947914" w:rsidRDefault="00800E89">
      <w:pPr>
        <w:rPr>
          <w:lang w:val="fr-FR"/>
        </w:rPr>
      </w:pPr>
    </w:p>
    <w:p w:rsidR="00800E89" w:rsidRPr="00947914" w:rsidRDefault="00B43526" w:rsidP="00B41C97">
      <w:pPr>
        <w:pStyle w:val="ONUMFS"/>
        <w:rPr>
          <w:lang w:val="fr-FR"/>
        </w:rPr>
      </w:pPr>
      <w:r w:rsidRPr="00947914">
        <w:rPr>
          <w:lang w:val="fr-FR"/>
        </w:rPr>
        <w:t>Le présent document vise à rendre compte de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état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avancement du programme de modernisation informatique (ci</w:t>
      </w:r>
      <w:r w:rsidR="00A431A9">
        <w:rPr>
          <w:lang w:val="fr-FR"/>
        </w:rPr>
        <w:noBreakHyphen/>
      </w:r>
      <w:r w:rsidRPr="00947914">
        <w:rPr>
          <w:lang w:val="fr-FR"/>
        </w:rPr>
        <w:t xml:space="preserve">après dénommé </w:t>
      </w:r>
      <w:r w:rsidR="00AC141B" w:rsidRPr="00947914">
        <w:rPr>
          <w:lang w:val="fr-FR"/>
        </w:rPr>
        <w:t>“</w:t>
      </w:r>
      <w:r w:rsidRPr="00947914">
        <w:rPr>
          <w:lang w:val="fr-FR"/>
        </w:rPr>
        <w:t>programme</w:t>
      </w:r>
      <w:r w:rsidR="00AC141B" w:rsidRPr="00947914">
        <w:rPr>
          <w:lang w:val="fr-FR"/>
        </w:rPr>
        <w:t>”</w:t>
      </w:r>
      <w:r w:rsidRPr="00947914">
        <w:rPr>
          <w:lang w:val="fr-FR"/>
        </w:rPr>
        <w:t>) depuis la dernière session de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Assemblée de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Union de La Haye (ci</w:t>
      </w:r>
      <w:r w:rsidR="00A431A9">
        <w:rPr>
          <w:lang w:val="fr-FR"/>
        </w:rPr>
        <w:noBreakHyphen/>
      </w:r>
      <w:r w:rsidRPr="00947914">
        <w:rPr>
          <w:lang w:val="fr-FR"/>
        </w:rPr>
        <w:t xml:space="preserve">après dénommée </w:t>
      </w:r>
      <w:r w:rsidR="00AC141B" w:rsidRPr="00947914">
        <w:rPr>
          <w:lang w:val="fr-FR"/>
        </w:rPr>
        <w:t>“</w:t>
      </w:r>
      <w:r w:rsidRPr="00947914">
        <w:rPr>
          <w:lang w:val="fr-FR"/>
        </w:rPr>
        <w:t>assemblée</w:t>
      </w:r>
      <w:r w:rsidR="00AC141B" w:rsidRPr="00947914">
        <w:rPr>
          <w:lang w:val="fr-FR"/>
        </w:rPr>
        <w:t>”</w:t>
      </w:r>
      <w:r w:rsidRPr="00947914">
        <w:rPr>
          <w:lang w:val="fr-FR"/>
        </w:rPr>
        <w:t>) en octobre 2013.</w:t>
      </w:r>
      <w:r w:rsidR="00E830F4" w:rsidRPr="00947914">
        <w:rPr>
          <w:lang w:val="fr-FR"/>
        </w:rPr>
        <w:t xml:space="preserve">  </w:t>
      </w:r>
      <w:r w:rsidRPr="00947914">
        <w:rPr>
          <w:lang w:val="fr-FR"/>
        </w:rPr>
        <w:t>Il vise également à informer les membres de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assemblée des modifications apportées aux principes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exécution du programme et au calendrier correspondant.</w:t>
      </w:r>
    </w:p>
    <w:p w:rsidR="00800E89" w:rsidRPr="00947914" w:rsidRDefault="00FD7942" w:rsidP="00B41C97">
      <w:pPr>
        <w:pStyle w:val="ONUMFS"/>
        <w:rPr>
          <w:lang w:val="fr-FR"/>
        </w:rPr>
      </w:pPr>
      <w:r w:rsidRPr="00947914">
        <w:rPr>
          <w:lang w:val="fr-FR"/>
        </w:rPr>
        <w:t>Le précédent rapport sur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état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 xml:space="preserve">avancement du programme </w:t>
      </w:r>
      <w:r w:rsidR="00937905" w:rsidRPr="00947914">
        <w:rPr>
          <w:lang w:val="fr-FR"/>
        </w:rPr>
        <w:t>figure</w:t>
      </w:r>
      <w:r w:rsidRPr="00947914">
        <w:rPr>
          <w:lang w:val="fr-FR"/>
        </w:rPr>
        <w:t xml:space="preserve"> dans le </w:t>
      </w:r>
      <w:r w:rsidR="007B5D31" w:rsidRPr="00947914">
        <w:rPr>
          <w:lang w:val="fr-FR"/>
        </w:rPr>
        <w:t>document</w:t>
      </w:r>
      <w:r w:rsidR="007B5D31">
        <w:rPr>
          <w:lang w:val="fr-FR"/>
        </w:rPr>
        <w:t> </w:t>
      </w:r>
      <w:r w:rsidRPr="00947914">
        <w:rPr>
          <w:lang w:val="fr-FR"/>
        </w:rPr>
        <w:t>H/A/32/1.</w:t>
      </w:r>
    </w:p>
    <w:p w:rsidR="00800E89" w:rsidRPr="00947914" w:rsidRDefault="00BA06F5" w:rsidP="0074270E">
      <w:pPr>
        <w:pStyle w:val="ONUMFS"/>
        <w:rPr>
          <w:rFonts w:eastAsia="Times New Roman"/>
          <w:sz w:val="20"/>
          <w:lang w:val="fr-FR" w:eastAsia="en-US"/>
        </w:rPr>
      </w:pPr>
      <w:r w:rsidRPr="00947914">
        <w:rPr>
          <w:lang w:val="fr-FR"/>
        </w:rPr>
        <w:t xml:space="preserve">Il </w:t>
      </w:r>
      <w:r w:rsidR="0074270E">
        <w:rPr>
          <w:lang w:val="fr-FR"/>
        </w:rPr>
        <w:t xml:space="preserve">convient de </w:t>
      </w:r>
      <w:r w:rsidRPr="00947914">
        <w:rPr>
          <w:lang w:val="fr-FR"/>
        </w:rPr>
        <w:t>rappel</w:t>
      </w:r>
      <w:r w:rsidR="0074270E">
        <w:rPr>
          <w:lang w:val="fr-FR"/>
        </w:rPr>
        <w:t>er</w:t>
      </w:r>
      <w:r w:rsidRPr="00947914">
        <w:rPr>
          <w:lang w:val="fr-FR"/>
        </w:rPr>
        <w:t xml:space="preserve"> que le programme doit être mis en </w:t>
      </w:r>
      <w:r w:rsidR="007D7325" w:rsidRPr="00947914">
        <w:rPr>
          <w:lang w:val="fr-FR"/>
        </w:rPr>
        <w:t>œuvre</w:t>
      </w:r>
      <w:r w:rsidRPr="00947914">
        <w:rPr>
          <w:lang w:val="fr-FR"/>
        </w:rPr>
        <w:t xml:space="preserve"> en trois</w:t>
      </w:r>
      <w:r w:rsidR="004C1718" w:rsidRPr="00947914">
        <w:rPr>
          <w:lang w:val="fr-FR"/>
        </w:rPr>
        <w:t> </w:t>
      </w:r>
      <w:r w:rsidRPr="00947914">
        <w:rPr>
          <w:lang w:val="fr-FR"/>
        </w:rPr>
        <w:t>phases</w:t>
      </w:r>
      <w:r w:rsidR="004C1718" w:rsidRPr="00947914">
        <w:rPr>
          <w:lang w:val="fr-FR"/>
        </w:rPr>
        <w:t> </w:t>
      </w:r>
      <w:r w:rsidRPr="00947914">
        <w:rPr>
          <w:lang w:val="fr-FR"/>
        </w:rPr>
        <w:t>: ph</w:t>
      </w:r>
      <w:r w:rsidR="007D7325" w:rsidRPr="00947914">
        <w:rPr>
          <w:lang w:val="fr-FR"/>
        </w:rPr>
        <w:t>ase</w:t>
      </w:r>
      <w:r w:rsidR="00A431A9">
        <w:rPr>
          <w:lang w:val="fr-FR"/>
        </w:rPr>
        <w:t> </w:t>
      </w:r>
      <w:r w:rsidR="007D7325" w:rsidRPr="00947914">
        <w:rPr>
          <w:lang w:val="fr-FR"/>
        </w:rPr>
        <w:t>I, phase</w:t>
      </w:r>
      <w:r w:rsidR="00A431A9">
        <w:rPr>
          <w:lang w:val="fr-FR"/>
        </w:rPr>
        <w:t> </w:t>
      </w:r>
      <w:r w:rsidR="007D7325" w:rsidRPr="00947914">
        <w:rPr>
          <w:lang w:val="fr-FR"/>
        </w:rPr>
        <w:t>II et phase</w:t>
      </w:r>
      <w:r w:rsidR="00A431A9">
        <w:rPr>
          <w:lang w:val="fr-FR"/>
        </w:rPr>
        <w:t> </w:t>
      </w:r>
      <w:r w:rsidR="007D7325" w:rsidRPr="00947914">
        <w:rPr>
          <w:lang w:val="fr-FR"/>
        </w:rPr>
        <w:t xml:space="preserve">III.  </w:t>
      </w:r>
      <w:r w:rsidRPr="00947914">
        <w:rPr>
          <w:lang w:val="fr-FR"/>
        </w:rPr>
        <w:t>La phase I est constituée de sous</w:t>
      </w:r>
      <w:r w:rsidR="00642ACC">
        <w:rPr>
          <w:lang w:val="fr-FR"/>
        </w:rPr>
        <w:noBreakHyphen/>
      </w:r>
      <w:r w:rsidRPr="00947914">
        <w:rPr>
          <w:lang w:val="fr-FR"/>
        </w:rPr>
        <w:t>projets visant à produire des résultats positifs immédiats ou à jeter les bases techniques de la phase II.  La phase</w:t>
      </w:r>
      <w:r w:rsidR="00A431A9">
        <w:rPr>
          <w:lang w:val="fr-FR"/>
        </w:rPr>
        <w:t> </w:t>
      </w:r>
      <w:r w:rsidRPr="00947914">
        <w:rPr>
          <w:lang w:val="fr-FR"/>
        </w:rPr>
        <w:t>II correspond à la migration technique proprement dite, élément par élément, du système informatique actuel, qui prend en charge les procédures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enregistrement international de Madrid et de La Haye, vers une technologie moderne qui garantira aux parties prenantes des systèmes de Madrid et de La Haye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accès, dans les années à venir, à une plate</w:t>
      </w:r>
      <w:r w:rsidR="00A431A9">
        <w:rPr>
          <w:lang w:val="fr-FR"/>
        </w:rPr>
        <w:noBreakHyphen/>
      </w:r>
      <w:r w:rsidRPr="00947914">
        <w:rPr>
          <w:lang w:val="fr-FR"/>
        </w:rPr>
        <w:t>forme technique conforme aux normes du secteur.</w:t>
      </w:r>
      <w:r w:rsidR="00001A1F" w:rsidRPr="00947914">
        <w:rPr>
          <w:rFonts w:eastAsia="Times New Roman"/>
          <w:szCs w:val="22"/>
          <w:lang w:val="fr-FR" w:eastAsia="en-US"/>
        </w:rPr>
        <w:t xml:space="preserve">  </w:t>
      </w:r>
      <w:r w:rsidRPr="00947914">
        <w:rPr>
          <w:rFonts w:eastAsia="Times New Roman"/>
          <w:szCs w:val="22"/>
          <w:lang w:val="fr-FR" w:eastAsia="en-US"/>
        </w:rPr>
        <w:t>La phase</w:t>
      </w:r>
      <w:r w:rsidR="00A431A9">
        <w:rPr>
          <w:rFonts w:eastAsia="Times New Roman"/>
          <w:szCs w:val="22"/>
          <w:lang w:val="fr-FR" w:eastAsia="en-US"/>
        </w:rPr>
        <w:t> </w:t>
      </w:r>
      <w:r w:rsidRPr="00947914">
        <w:rPr>
          <w:rFonts w:eastAsia="Times New Roman"/>
          <w:szCs w:val="22"/>
          <w:lang w:val="fr-FR" w:eastAsia="en-US"/>
        </w:rPr>
        <w:t xml:space="preserve">III est la phase facultative à mettre en </w:t>
      </w:r>
      <w:r w:rsidR="007D7325" w:rsidRPr="00947914">
        <w:rPr>
          <w:rFonts w:eastAsia="Times New Roman"/>
          <w:szCs w:val="22"/>
          <w:lang w:val="fr-FR" w:eastAsia="en-US"/>
        </w:rPr>
        <w:t>œuvre</w:t>
      </w:r>
      <w:r w:rsidRPr="00947914">
        <w:rPr>
          <w:rFonts w:eastAsia="Times New Roman"/>
          <w:szCs w:val="22"/>
          <w:lang w:val="fr-FR" w:eastAsia="en-US"/>
        </w:rPr>
        <w:t xml:space="preserve"> par le Bureau international afin d</w:t>
      </w:r>
      <w:r w:rsidR="004E2797" w:rsidRPr="00947914">
        <w:rPr>
          <w:rFonts w:eastAsia="Times New Roman"/>
          <w:szCs w:val="22"/>
          <w:lang w:val="fr-FR" w:eastAsia="en-US"/>
        </w:rPr>
        <w:t>’</w:t>
      </w:r>
      <w:r w:rsidRPr="00947914">
        <w:rPr>
          <w:rFonts w:eastAsia="Times New Roman"/>
          <w:szCs w:val="22"/>
          <w:lang w:val="fr-FR" w:eastAsia="en-US"/>
        </w:rPr>
        <w:t>assurer la stabilisation du nouveau système après son lancement officiel.</w:t>
      </w:r>
    </w:p>
    <w:p w:rsidR="00800E89" w:rsidRPr="00947914" w:rsidRDefault="00BA06F5" w:rsidP="00752811">
      <w:pPr>
        <w:pStyle w:val="Heading1"/>
        <w:spacing w:before="0"/>
        <w:rPr>
          <w:lang w:val="fr-FR"/>
        </w:rPr>
      </w:pPr>
      <w:r w:rsidRPr="00947914">
        <w:rPr>
          <w:lang w:val="fr-FR"/>
        </w:rPr>
        <w:lastRenderedPageBreak/>
        <w:t>P</w:t>
      </w:r>
      <w:r w:rsidR="00520921" w:rsidRPr="00947914">
        <w:rPr>
          <w:lang w:val="fr-FR"/>
        </w:rPr>
        <w:t>hase </w:t>
      </w:r>
      <w:r w:rsidRPr="00947914">
        <w:rPr>
          <w:lang w:val="fr-FR"/>
        </w:rPr>
        <w:t>I – État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 xml:space="preserve">avancement de la mise en </w:t>
      </w:r>
      <w:r w:rsidR="00B41C97" w:rsidRPr="00947914">
        <w:rPr>
          <w:lang w:val="fr-FR"/>
        </w:rPr>
        <w:t>œuvre</w:t>
      </w:r>
    </w:p>
    <w:p w:rsidR="00B41C97" w:rsidRPr="00947914" w:rsidRDefault="00B41C97" w:rsidP="00B41C97">
      <w:pPr>
        <w:rPr>
          <w:lang w:val="fr-FR"/>
        </w:rPr>
      </w:pPr>
    </w:p>
    <w:p w:rsidR="00800E89" w:rsidRPr="00947914" w:rsidRDefault="00BA06F5" w:rsidP="0074270E">
      <w:pPr>
        <w:pStyle w:val="ONUMFS"/>
        <w:rPr>
          <w:lang w:val="fr-FR"/>
        </w:rPr>
      </w:pPr>
      <w:r w:rsidRPr="00947914">
        <w:rPr>
          <w:lang w:val="fr-FR"/>
        </w:rPr>
        <w:t xml:space="preserve">Suite au lancement réussi du nouveau logiciel de </w:t>
      </w:r>
      <w:r w:rsidR="00EF3EBF" w:rsidRPr="00947914">
        <w:rPr>
          <w:lang w:val="fr-FR"/>
        </w:rPr>
        <w:t>dépôt</w:t>
      </w:r>
      <w:r w:rsidRPr="00947914">
        <w:rPr>
          <w:lang w:val="fr-FR"/>
        </w:rPr>
        <w:t xml:space="preserve"> électronique en ligne en juin 2013, la phase</w:t>
      </w:r>
      <w:r w:rsidR="00A431A9">
        <w:rPr>
          <w:lang w:val="fr-FR"/>
        </w:rPr>
        <w:t> </w:t>
      </w:r>
      <w:r w:rsidRPr="00947914">
        <w:rPr>
          <w:lang w:val="fr-FR"/>
        </w:rPr>
        <w:t>I du programme a été achevée avec succès.</w:t>
      </w:r>
      <w:r w:rsidR="00001A1F" w:rsidRPr="00947914">
        <w:rPr>
          <w:szCs w:val="22"/>
          <w:lang w:val="fr-FR"/>
        </w:rPr>
        <w:t xml:space="preserve">  </w:t>
      </w:r>
      <w:r w:rsidRPr="00947914">
        <w:rPr>
          <w:szCs w:val="22"/>
          <w:lang w:val="fr-FR"/>
        </w:rPr>
        <w:t>En conséquence, les fonds restant au titre de la phase</w:t>
      </w:r>
      <w:r w:rsidR="00A431A9">
        <w:rPr>
          <w:szCs w:val="22"/>
          <w:lang w:val="fr-FR"/>
        </w:rPr>
        <w:t> </w:t>
      </w:r>
      <w:r w:rsidRPr="00947914">
        <w:rPr>
          <w:szCs w:val="22"/>
          <w:lang w:val="fr-FR"/>
        </w:rPr>
        <w:t>I seront utilisés pour la phase</w:t>
      </w:r>
      <w:r w:rsidR="00A431A9">
        <w:rPr>
          <w:szCs w:val="22"/>
          <w:lang w:val="fr-FR"/>
        </w:rPr>
        <w:t> </w:t>
      </w:r>
      <w:r w:rsidRPr="00947914">
        <w:rPr>
          <w:szCs w:val="22"/>
          <w:lang w:val="fr-FR"/>
        </w:rPr>
        <w:t>II, et il ne sera plus rendu compte de la phase</w:t>
      </w:r>
      <w:r w:rsidR="00A431A9">
        <w:rPr>
          <w:szCs w:val="22"/>
          <w:lang w:val="fr-FR"/>
        </w:rPr>
        <w:t> </w:t>
      </w:r>
      <w:r w:rsidRPr="00947914">
        <w:rPr>
          <w:szCs w:val="22"/>
          <w:lang w:val="fr-FR"/>
        </w:rPr>
        <w:t>I du programme dans les futurs documents soumis à l</w:t>
      </w:r>
      <w:r w:rsidR="004E2797" w:rsidRPr="00947914">
        <w:rPr>
          <w:szCs w:val="22"/>
          <w:lang w:val="fr-FR"/>
        </w:rPr>
        <w:t>’</w:t>
      </w:r>
      <w:r w:rsidRPr="00947914">
        <w:rPr>
          <w:szCs w:val="22"/>
          <w:lang w:val="fr-FR"/>
        </w:rPr>
        <w:t>assemblée.</w:t>
      </w:r>
    </w:p>
    <w:p w:rsidR="00B41C97" w:rsidRPr="00947914" w:rsidRDefault="00B41C97" w:rsidP="005A034C">
      <w:pPr>
        <w:rPr>
          <w:lang w:val="fr-FR"/>
        </w:rPr>
      </w:pPr>
    </w:p>
    <w:p w:rsidR="00800E89" w:rsidRPr="00947914" w:rsidRDefault="00520921" w:rsidP="005A034C">
      <w:pPr>
        <w:pStyle w:val="Heading1"/>
        <w:spacing w:before="0"/>
        <w:rPr>
          <w:lang w:val="fr-FR"/>
        </w:rPr>
      </w:pPr>
      <w:r w:rsidRPr="00947914">
        <w:rPr>
          <w:lang w:val="fr-FR"/>
        </w:rPr>
        <w:t>Phase II – Informations générales</w:t>
      </w:r>
    </w:p>
    <w:p w:rsidR="00800E89" w:rsidRPr="00947914" w:rsidRDefault="00800E89" w:rsidP="00EA1C16">
      <w:pPr>
        <w:rPr>
          <w:lang w:val="fr-FR"/>
        </w:rPr>
      </w:pPr>
    </w:p>
    <w:p w:rsidR="00B41C97" w:rsidRPr="00947914" w:rsidRDefault="00BA06F5" w:rsidP="00B41C97">
      <w:pPr>
        <w:pStyle w:val="ONUMFS"/>
        <w:rPr>
          <w:lang w:val="fr-FR"/>
        </w:rPr>
      </w:pPr>
      <w:r w:rsidRPr="00947914">
        <w:rPr>
          <w:lang w:val="fr-FR"/>
        </w:rPr>
        <w:t>Il convient de rappeler que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approche adoptée pour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exécution de la phase II du programme consiste à procéder à une migration technique, élément par élément, du système actuel vers une architecture moderne orientée services</w:t>
      </w:r>
      <w:r w:rsidR="0074270E">
        <w:rPr>
          <w:lang w:val="fr-FR"/>
        </w:rPr>
        <w:t>,</w:t>
      </w:r>
      <w:r w:rsidRPr="00947914">
        <w:rPr>
          <w:lang w:val="fr-FR"/>
        </w:rPr>
        <w:t xml:space="preserve"> grâce à la sélection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un partenaire informatique qualifié (</w:t>
      </w:r>
      <w:r w:rsidRPr="00947914">
        <w:rPr>
          <w:i/>
          <w:lang w:val="fr-FR"/>
        </w:rPr>
        <w:t>ELCA Informatique SA</w:t>
      </w:r>
      <w:r w:rsidRPr="00947914">
        <w:rPr>
          <w:lang w:val="fr-FR"/>
        </w:rPr>
        <w:t>).</w:t>
      </w:r>
    </w:p>
    <w:p w:rsidR="00800E89" w:rsidRPr="00947914" w:rsidRDefault="00D02187" w:rsidP="00B41C97">
      <w:pPr>
        <w:pStyle w:val="ONUMFS"/>
        <w:rPr>
          <w:lang w:val="fr-FR"/>
        </w:rPr>
      </w:pPr>
      <w:r w:rsidRPr="00947914">
        <w:rPr>
          <w:lang w:val="fr-FR"/>
        </w:rPr>
        <w:t>Cette migration technique vise à convertir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application, la base de donnée</w:t>
      </w:r>
      <w:r w:rsidR="00C6475B" w:rsidRPr="00947914">
        <w:rPr>
          <w:lang w:val="fr-FR"/>
        </w:rPr>
        <w:t>s</w:t>
      </w:r>
      <w:r w:rsidRPr="00947914">
        <w:rPr>
          <w:lang w:val="fr-FR"/>
        </w:rPr>
        <w:t xml:space="preserve"> et les procédures de travail internes  existantes en passant du langage de programmation Natural et du système de gestion de bases de données </w:t>
      </w:r>
      <w:proofErr w:type="spellStart"/>
      <w:r w:rsidRPr="00947914">
        <w:rPr>
          <w:lang w:val="fr-FR"/>
        </w:rPr>
        <w:t>Adabas</w:t>
      </w:r>
      <w:proofErr w:type="spellEnd"/>
      <w:r w:rsidRPr="00947914">
        <w:rPr>
          <w:lang w:val="fr-FR"/>
        </w:rPr>
        <w:t xml:space="preserve"> au langage Java et au système de gestion de bases de données Oracle </w:t>
      </w:r>
      <w:r w:rsidR="00EA774D">
        <w:rPr>
          <w:lang w:val="fr-FR"/>
        </w:rPr>
        <w:t xml:space="preserve">tout </w:t>
      </w:r>
      <w:r w:rsidRPr="00947914">
        <w:rPr>
          <w:lang w:val="fr-FR"/>
        </w:rPr>
        <w:t>en introduisant un outil moderne de gestion des processus opérationnels.</w:t>
      </w:r>
      <w:r w:rsidR="00E830F4" w:rsidRPr="00947914">
        <w:rPr>
          <w:lang w:val="fr-FR"/>
        </w:rPr>
        <w:t xml:space="preserve">  </w:t>
      </w:r>
      <w:r w:rsidRPr="00947914">
        <w:rPr>
          <w:lang w:val="fr-FR"/>
        </w:rPr>
        <w:t>Cette migration permettra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éliminer le risque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obsolescence de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infrastructure actuelle.</w:t>
      </w:r>
    </w:p>
    <w:p w:rsidR="00B41C97" w:rsidRPr="00947914" w:rsidRDefault="00B41C97" w:rsidP="00B41C97">
      <w:pPr>
        <w:rPr>
          <w:lang w:val="fr-FR"/>
        </w:rPr>
      </w:pPr>
    </w:p>
    <w:p w:rsidR="00800E89" w:rsidRPr="00947914" w:rsidRDefault="00520921" w:rsidP="00A431A9">
      <w:pPr>
        <w:pStyle w:val="Heading1"/>
        <w:spacing w:before="0"/>
        <w:rPr>
          <w:lang w:val="fr-FR"/>
        </w:rPr>
      </w:pPr>
      <w:r w:rsidRPr="00947914">
        <w:rPr>
          <w:lang w:val="fr-FR"/>
        </w:rPr>
        <w:t>Phase II – Résultats obtenus</w:t>
      </w:r>
    </w:p>
    <w:p w:rsidR="00800E89" w:rsidRPr="00947914" w:rsidRDefault="00800E89" w:rsidP="00EA1C16">
      <w:pPr>
        <w:rPr>
          <w:lang w:val="fr-FR"/>
        </w:rPr>
      </w:pPr>
    </w:p>
    <w:p w:rsidR="004E2797" w:rsidRPr="00947914" w:rsidRDefault="00D02187" w:rsidP="00B41C97">
      <w:pPr>
        <w:pStyle w:val="ONUMFS"/>
        <w:rPr>
          <w:lang w:val="fr-FR"/>
        </w:rPr>
      </w:pPr>
      <w:r w:rsidRPr="00947914">
        <w:rPr>
          <w:lang w:val="fr-FR"/>
        </w:rPr>
        <w:t>Après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achèvement des étapes 1 et</w:t>
      </w:r>
      <w:r w:rsidR="00A431A9">
        <w:rPr>
          <w:lang w:val="fr-FR"/>
        </w:rPr>
        <w:t> </w:t>
      </w:r>
      <w:r w:rsidRPr="00947914">
        <w:rPr>
          <w:lang w:val="fr-FR"/>
        </w:rPr>
        <w:t>2 du projet (analyse et conception), le partenaire informatique extérieur a entrepris comme prévu la conversion technique du système existant, dénommé DMAPS, à la fin de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année 2013.</w:t>
      </w:r>
    </w:p>
    <w:p w:rsidR="00B41C97" w:rsidRPr="00947914" w:rsidRDefault="00D02187" w:rsidP="00B41C97">
      <w:pPr>
        <w:pStyle w:val="ONUMFS"/>
        <w:rPr>
          <w:lang w:val="fr-FR"/>
        </w:rPr>
      </w:pPr>
      <w:r w:rsidRPr="00947914">
        <w:rPr>
          <w:lang w:val="fr-FR"/>
        </w:rPr>
        <w:t>Avant la fin de</w:t>
      </w:r>
      <w:r w:rsidR="004C1718" w:rsidRPr="00947914">
        <w:rPr>
          <w:lang w:val="fr-FR"/>
        </w:rPr>
        <w:t> </w:t>
      </w:r>
      <w:r w:rsidRPr="00947914">
        <w:rPr>
          <w:lang w:val="fr-FR"/>
        </w:rPr>
        <w:t>2013, il était évident que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 xml:space="preserve">adhésion prochaine de nouveaux États membres (Chine, </w:t>
      </w:r>
      <w:r w:rsidR="00EF3EBF" w:rsidRPr="00947914">
        <w:rPr>
          <w:lang w:val="fr-FR"/>
        </w:rPr>
        <w:t>États</w:t>
      </w:r>
      <w:r w:rsidR="00A431A9">
        <w:rPr>
          <w:lang w:val="fr-FR"/>
        </w:rPr>
        <w:noBreakHyphen/>
      </w:r>
      <w:r w:rsidR="00EF3EBF" w:rsidRPr="00947914">
        <w:rPr>
          <w:lang w:val="fr-FR"/>
        </w:rPr>
        <w:t>Unis d</w:t>
      </w:r>
      <w:r w:rsidR="004E2797" w:rsidRPr="00947914">
        <w:rPr>
          <w:lang w:val="fr-FR"/>
        </w:rPr>
        <w:t>’</w:t>
      </w:r>
      <w:r w:rsidR="00EF3EBF" w:rsidRPr="00947914">
        <w:rPr>
          <w:lang w:val="fr-FR"/>
        </w:rPr>
        <w:t>Amérique</w:t>
      </w:r>
      <w:r w:rsidRPr="00947914">
        <w:rPr>
          <w:lang w:val="fr-FR"/>
        </w:rPr>
        <w:t>,</w:t>
      </w:r>
      <w:r w:rsidR="00EF3EBF" w:rsidRPr="00947914">
        <w:rPr>
          <w:lang w:val="fr-FR"/>
        </w:rPr>
        <w:t xml:space="preserve"> </w:t>
      </w:r>
      <w:r w:rsidRPr="00947914">
        <w:rPr>
          <w:lang w:val="fr-FR"/>
        </w:rPr>
        <w:t>Japon et République de Corée) à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Arrangement de La</w:t>
      </w:r>
      <w:r w:rsidR="004C1718" w:rsidRPr="00947914">
        <w:rPr>
          <w:lang w:val="fr-FR"/>
        </w:rPr>
        <w:t> </w:t>
      </w:r>
      <w:r w:rsidRPr="00947914">
        <w:rPr>
          <w:lang w:val="fr-FR"/>
        </w:rPr>
        <w:t>Haye concernant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enregistrement international des dessins et modèles industriels nécessiterait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apporter des modifications à la procédure du système de La</w:t>
      </w:r>
      <w:r w:rsidR="004C1718" w:rsidRPr="00947914">
        <w:rPr>
          <w:lang w:val="fr-FR"/>
        </w:rPr>
        <w:t> </w:t>
      </w:r>
      <w:r w:rsidRPr="00947914">
        <w:rPr>
          <w:lang w:val="fr-FR"/>
        </w:rPr>
        <w:t>Haye et, par</w:t>
      </w:r>
      <w:r w:rsidR="009B1313">
        <w:rPr>
          <w:lang w:val="fr-FR"/>
        </w:rPr>
        <w:t xml:space="preserve"> conséquent</w:t>
      </w:r>
      <w:r w:rsidRPr="00947914">
        <w:rPr>
          <w:lang w:val="fr-FR"/>
        </w:rPr>
        <w:t>, au système DMAPS existant.</w:t>
      </w:r>
    </w:p>
    <w:p w:rsidR="00B41C97" w:rsidRPr="00947914" w:rsidRDefault="00ED5E02" w:rsidP="00B41C97">
      <w:pPr>
        <w:pStyle w:val="ONUMFS"/>
        <w:rPr>
          <w:lang w:val="fr-FR"/>
        </w:rPr>
      </w:pPr>
      <w:r w:rsidRPr="00947914">
        <w:rPr>
          <w:lang w:val="fr-FR"/>
        </w:rPr>
        <w:t>C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 xml:space="preserve">est pourquoi, afin de réduire autant que possible le risque </w:t>
      </w:r>
      <w:r w:rsidR="00EF3EBF" w:rsidRPr="00947914">
        <w:rPr>
          <w:lang w:val="fr-FR"/>
        </w:rPr>
        <w:t>opérationnel</w:t>
      </w:r>
      <w:r w:rsidRPr="00947914">
        <w:rPr>
          <w:lang w:val="fr-FR"/>
        </w:rPr>
        <w:t xml:space="preserve"> lié à la sous</w:t>
      </w:r>
      <w:r w:rsidR="00A431A9">
        <w:rPr>
          <w:lang w:val="fr-FR"/>
        </w:rPr>
        <w:noBreakHyphen/>
      </w:r>
      <w:r w:rsidRPr="00947914">
        <w:rPr>
          <w:lang w:val="fr-FR"/>
        </w:rPr>
        <w:t xml:space="preserve">traitance de ces nouvelles fonctions, </w:t>
      </w:r>
      <w:r w:rsidR="009B1313">
        <w:rPr>
          <w:lang w:val="fr-FR"/>
        </w:rPr>
        <w:t>il a été décidé que la conception serait</w:t>
      </w:r>
      <w:r w:rsidR="00A16914">
        <w:rPr>
          <w:lang w:val="fr-FR"/>
        </w:rPr>
        <w:t xml:space="preserve"> </w:t>
      </w:r>
      <w:r w:rsidR="009B1313">
        <w:rPr>
          <w:lang w:val="fr-FR"/>
        </w:rPr>
        <w:t xml:space="preserve">faite directement au sein du système DMAPS existant et confiée </w:t>
      </w:r>
      <w:r w:rsidR="00A16914">
        <w:rPr>
          <w:lang w:val="fr-FR"/>
        </w:rPr>
        <w:t xml:space="preserve">à </w:t>
      </w:r>
      <w:r w:rsidRPr="00947914">
        <w:rPr>
          <w:lang w:val="fr-FR"/>
        </w:rPr>
        <w:t>des ressources internes,</w:t>
      </w:r>
      <w:r w:rsidR="00A16914">
        <w:rPr>
          <w:lang w:val="fr-FR"/>
        </w:rPr>
        <w:t xml:space="preserve"> </w:t>
      </w:r>
      <w:r w:rsidRPr="00947914">
        <w:rPr>
          <w:lang w:val="fr-FR"/>
        </w:rPr>
        <w:t>et de re</w:t>
      </w:r>
      <w:r w:rsidR="00C6475B" w:rsidRPr="00947914">
        <w:rPr>
          <w:lang w:val="fr-FR"/>
        </w:rPr>
        <w:t>prendre</w:t>
      </w:r>
      <w:r w:rsidRPr="00947914">
        <w:rPr>
          <w:lang w:val="fr-FR"/>
        </w:rPr>
        <w:t xml:space="preserve">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opération de conversion technique à une date ultérieure.</w:t>
      </w:r>
    </w:p>
    <w:p w:rsidR="004E2797" w:rsidRPr="00947914" w:rsidRDefault="00307BF9" w:rsidP="00B41C97">
      <w:pPr>
        <w:pStyle w:val="ONUMFS"/>
        <w:rPr>
          <w:lang w:val="fr-FR"/>
        </w:rPr>
      </w:pPr>
      <w:r w:rsidRPr="00947914">
        <w:rPr>
          <w:lang w:val="fr-FR"/>
        </w:rPr>
        <w:t xml:space="preserve">Le partenaire externe a rapidement </w:t>
      </w:r>
      <w:r w:rsidR="00C6475B" w:rsidRPr="00947914">
        <w:rPr>
          <w:lang w:val="fr-FR"/>
        </w:rPr>
        <w:t xml:space="preserve">été </w:t>
      </w:r>
      <w:r w:rsidRPr="00947914">
        <w:rPr>
          <w:lang w:val="fr-FR"/>
        </w:rPr>
        <w:t>in</w:t>
      </w:r>
      <w:r w:rsidR="00C6475B" w:rsidRPr="00947914">
        <w:rPr>
          <w:lang w:val="fr-FR"/>
        </w:rPr>
        <w:t>vité</w:t>
      </w:r>
      <w:r w:rsidRPr="00947914">
        <w:rPr>
          <w:lang w:val="fr-FR"/>
        </w:rPr>
        <w:t xml:space="preserve"> 1)</w:t>
      </w:r>
      <w:r w:rsidR="00C6475B" w:rsidRPr="00947914">
        <w:rPr>
          <w:lang w:val="fr-FR"/>
        </w:rPr>
        <w:t> à</w:t>
      </w:r>
      <w:r w:rsidRPr="00947914">
        <w:rPr>
          <w:lang w:val="fr-FR"/>
        </w:rPr>
        <w:t xml:space="preserve"> suspendre les activités relatives à la conversion technique du système DMAPS, bien qu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une conversion préliminaire</w:t>
      </w:r>
      <w:r w:rsidR="004E2797" w:rsidRPr="00947914">
        <w:rPr>
          <w:lang w:val="fr-FR"/>
        </w:rPr>
        <w:t xml:space="preserve"> d</w:t>
      </w:r>
      <w:r w:rsidR="00A16914">
        <w:rPr>
          <w:lang w:val="fr-FR"/>
        </w:rPr>
        <w:t>e</w:t>
      </w:r>
      <w:r w:rsidR="004E2797" w:rsidRPr="00947914">
        <w:rPr>
          <w:lang w:val="fr-FR"/>
        </w:rPr>
        <w:t> DMA</w:t>
      </w:r>
      <w:r w:rsidRPr="00947914">
        <w:rPr>
          <w:lang w:val="fr-FR"/>
        </w:rPr>
        <w:t>PS en un nouveau système dénommé DIRIS (</w:t>
      </w:r>
      <w:r w:rsidRPr="00752811">
        <w:rPr>
          <w:i/>
          <w:lang w:val="fr-FR"/>
        </w:rPr>
        <w:t xml:space="preserve">Design International </w:t>
      </w:r>
      <w:proofErr w:type="spellStart"/>
      <w:r w:rsidRPr="00752811">
        <w:rPr>
          <w:i/>
          <w:lang w:val="fr-FR"/>
        </w:rPr>
        <w:t>Registries</w:t>
      </w:r>
      <w:proofErr w:type="spellEnd"/>
      <w:r w:rsidRPr="00752811">
        <w:rPr>
          <w:i/>
          <w:lang w:val="fr-FR"/>
        </w:rPr>
        <w:t xml:space="preserve"> Information System</w:t>
      </w:r>
      <w:r w:rsidRPr="00947914">
        <w:rPr>
          <w:lang w:val="fr-FR"/>
        </w:rPr>
        <w:t>) ait été livrée au Bureau international et</w:t>
      </w:r>
      <w:r w:rsidR="00C6475B" w:rsidRPr="00947914">
        <w:rPr>
          <w:lang w:val="fr-FR"/>
        </w:rPr>
        <w:t> </w:t>
      </w:r>
      <w:r w:rsidRPr="00947914">
        <w:rPr>
          <w:lang w:val="fr-FR"/>
        </w:rPr>
        <w:t>2)</w:t>
      </w:r>
      <w:r w:rsidR="00C6475B" w:rsidRPr="00947914">
        <w:rPr>
          <w:lang w:val="fr-FR"/>
        </w:rPr>
        <w:t> à</w:t>
      </w:r>
      <w:r w:rsidRPr="00947914">
        <w:rPr>
          <w:lang w:val="fr-FR"/>
        </w:rPr>
        <w:t xml:space="preserve"> suspendre la composante DIRIS du programme de modernisation informatique (la conversion proprement dite du système DMAPS en une nouvelle plate</w:t>
      </w:r>
      <w:r w:rsidR="00A431A9">
        <w:rPr>
          <w:lang w:val="fr-FR"/>
        </w:rPr>
        <w:noBreakHyphen/>
      </w:r>
      <w:r w:rsidRPr="00947914">
        <w:rPr>
          <w:lang w:val="fr-FR"/>
        </w:rPr>
        <w:t>forme logicielle) jusqu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à ce que les modifications nécessaires du système DMAPS existant soient stabilisées.</w:t>
      </w:r>
      <w:r w:rsidR="00E53D6E" w:rsidRPr="00947914">
        <w:rPr>
          <w:lang w:val="fr-FR"/>
        </w:rPr>
        <w:t xml:space="preserve">  </w:t>
      </w:r>
      <w:r w:rsidRPr="00947914">
        <w:rPr>
          <w:lang w:val="fr-FR"/>
        </w:rPr>
        <w:t>À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 xml:space="preserve">époque, la conversion technique du système DMAPS existant pouvait être reprise </w:t>
      </w:r>
      <w:r w:rsidR="00A16914">
        <w:rPr>
          <w:lang w:val="fr-FR"/>
        </w:rPr>
        <w:t xml:space="preserve">dans un </w:t>
      </w:r>
      <w:r w:rsidRPr="00947914">
        <w:rPr>
          <w:lang w:val="fr-FR"/>
        </w:rPr>
        <w:t xml:space="preserve">délai </w:t>
      </w:r>
      <w:r w:rsidR="00A16914">
        <w:rPr>
          <w:lang w:val="fr-FR"/>
        </w:rPr>
        <w:t xml:space="preserve">rapide </w:t>
      </w:r>
      <w:r w:rsidRPr="00947914">
        <w:rPr>
          <w:lang w:val="fr-FR"/>
        </w:rPr>
        <w:t>par un partenaire externe.</w:t>
      </w:r>
    </w:p>
    <w:p w:rsidR="00800E89" w:rsidRPr="00947914" w:rsidRDefault="00751FA5" w:rsidP="00B41C97">
      <w:pPr>
        <w:pStyle w:val="ONUMFS"/>
        <w:rPr>
          <w:lang w:val="fr-FR"/>
        </w:rPr>
      </w:pPr>
      <w:r w:rsidRPr="00947914">
        <w:rPr>
          <w:lang w:val="fr-FR"/>
        </w:rPr>
        <w:t>Pendant l</w:t>
      </w:r>
      <w:r w:rsidR="00C6475B" w:rsidRPr="00947914">
        <w:rPr>
          <w:lang w:val="fr-FR"/>
        </w:rPr>
        <w:t>a suspension des activités relatives à l</w:t>
      </w:r>
      <w:r w:rsidR="004E2797" w:rsidRPr="00947914">
        <w:rPr>
          <w:lang w:val="fr-FR"/>
        </w:rPr>
        <w:t>’</w:t>
      </w:r>
      <w:r w:rsidR="00C6475B" w:rsidRPr="00947914">
        <w:rPr>
          <w:lang w:val="fr-FR"/>
        </w:rPr>
        <w:t>établissement du système</w:t>
      </w:r>
      <w:r w:rsidRPr="00947914">
        <w:rPr>
          <w:lang w:val="fr-FR"/>
        </w:rPr>
        <w:t xml:space="preserve"> DIRIS,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installation de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application logicielle équivalente MIRIS (</w:t>
      </w:r>
      <w:r w:rsidRPr="007B5D31">
        <w:rPr>
          <w:i/>
          <w:lang w:val="fr-FR"/>
        </w:rPr>
        <w:t xml:space="preserve">Madrid International </w:t>
      </w:r>
      <w:proofErr w:type="spellStart"/>
      <w:r w:rsidRPr="007B5D31">
        <w:rPr>
          <w:i/>
          <w:lang w:val="fr-FR"/>
        </w:rPr>
        <w:t>Registries</w:t>
      </w:r>
      <w:proofErr w:type="spellEnd"/>
      <w:r w:rsidRPr="007B5D31">
        <w:rPr>
          <w:i/>
          <w:lang w:val="fr-FR"/>
        </w:rPr>
        <w:t xml:space="preserve"> Information System</w:t>
      </w:r>
      <w:r w:rsidRPr="00947914">
        <w:rPr>
          <w:lang w:val="fr-FR"/>
        </w:rPr>
        <w:t>) se poursuit.</w:t>
      </w:r>
      <w:r w:rsidR="00D23F17" w:rsidRPr="00947914">
        <w:rPr>
          <w:lang w:val="fr-FR"/>
        </w:rPr>
        <w:t xml:space="preserve"> </w:t>
      </w:r>
      <w:r w:rsidR="000A0941" w:rsidRPr="00947914">
        <w:rPr>
          <w:lang w:val="fr-FR"/>
        </w:rPr>
        <w:t xml:space="preserve"> </w:t>
      </w:r>
      <w:r w:rsidRPr="00947914">
        <w:rPr>
          <w:lang w:val="fr-FR"/>
        </w:rPr>
        <w:t>En conséquence, les enseignements tirés de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 xml:space="preserve">expérience de la mise en </w:t>
      </w:r>
      <w:r w:rsidR="00800E89" w:rsidRPr="00947914">
        <w:rPr>
          <w:lang w:val="fr-FR"/>
        </w:rPr>
        <w:t>œuvre</w:t>
      </w:r>
      <w:r w:rsidRPr="00947914">
        <w:rPr>
          <w:lang w:val="fr-FR"/>
        </w:rPr>
        <w:t xml:space="preserve"> du système MIRIS pourront être mis à profit lors de la reprise de la conversion du système DMAPS.</w:t>
      </w:r>
      <w:bookmarkStart w:id="5" w:name="_GoBack"/>
      <w:bookmarkEnd w:id="5"/>
    </w:p>
    <w:p w:rsidR="004E2797" w:rsidRPr="00947914" w:rsidRDefault="00520921" w:rsidP="00A431A9">
      <w:pPr>
        <w:pStyle w:val="Heading1"/>
        <w:keepLines/>
        <w:rPr>
          <w:lang w:val="fr-FR"/>
        </w:rPr>
      </w:pPr>
      <w:r w:rsidRPr="00947914">
        <w:rPr>
          <w:lang w:val="fr-FR"/>
        </w:rPr>
        <w:lastRenderedPageBreak/>
        <w:t xml:space="preserve">Phase II – Calendrier </w:t>
      </w:r>
      <w:r w:rsidR="00CD0768" w:rsidRPr="00947914">
        <w:rPr>
          <w:lang w:val="fr-FR"/>
        </w:rPr>
        <w:t xml:space="preserve">global de mise en œuvre </w:t>
      </w:r>
      <w:r w:rsidRPr="00947914">
        <w:rPr>
          <w:lang w:val="fr-FR"/>
        </w:rPr>
        <w:t>du projet</w:t>
      </w:r>
    </w:p>
    <w:p w:rsidR="00800E89" w:rsidRPr="00947914" w:rsidRDefault="00800E89" w:rsidP="00A431A9">
      <w:pPr>
        <w:keepNext/>
        <w:keepLines/>
        <w:rPr>
          <w:lang w:val="fr-FR"/>
        </w:rPr>
      </w:pPr>
    </w:p>
    <w:p w:rsidR="004E2797" w:rsidRPr="00947914" w:rsidRDefault="004D352F" w:rsidP="00A431A9">
      <w:pPr>
        <w:pStyle w:val="ONUMFS"/>
        <w:keepNext/>
        <w:keepLines/>
        <w:rPr>
          <w:lang w:val="fr-FR"/>
        </w:rPr>
      </w:pPr>
      <w:r w:rsidRPr="00947914">
        <w:rPr>
          <w:lang w:val="fr-FR"/>
        </w:rPr>
        <w:t>Lors du lancement du programme de modernisation informatique, en</w:t>
      </w:r>
      <w:r w:rsidR="004C1718" w:rsidRPr="00947914">
        <w:rPr>
          <w:lang w:val="fr-FR"/>
        </w:rPr>
        <w:t> </w:t>
      </w:r>
      <w:r w:rsidRPr="00947914">
        <w:rPr>
          <w:lang w:val="fr-FR"/>
        </w:rPr>
        <w:t>2008, les enjeux pour le Service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enregistrement de La</w:t>
      </w:r>
      <w:r w:rsidR="004C1718" w:rsidRPr="00947914">
        <w:rPr>
          <w:lang w:val="fr-FR"/>
        </w:rPr>
        <w:t> </w:t>
      </w:r>
      <w:r w:rsidRPr="00947914">
        <w:rPr>
          <w:lang w:val="fr-FR"/>
        </w:rPr>
        <w:t>Haye étaient fondamentalement différents de ce qu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ils sont aujourd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hui.</w:t>
      </w:r>
      <w:r w:rsidR="00C44565" w:rsidRPr="00947914">
        <w:rPr>
          <w:lang w:val="fr-FR"/>
        </w:rPr>
        <w:t xml:space="preserve"> </w:t>
      </w:r>
      <w:r w:rsidR="00D23F17" w:rsidRPr="00947914">
        <w:rPr>
          <w:lang w:val="fr-FR"/>
        </w:rPr>
        <w:t xml:space="preserve"> </w:t>
      </w:r>
      <w:r w:rsidR="00EF6EB3" w:rsidRPr="00947914">
        <w:rPr>
          <w:lang w:val="fr-FR"/>
        </w:rPr>
        <w:t>Compte tenu de la nature particulièrement dynamique et fluide des procédures d</w:t>
      </w:r>
      <w:r w:rsidR="004E2797" w:rsidRPr="00947914">
        <w:rPr>
          <w:lang w:val="fr-FR"/>
        </w:rPr>
        <w:t>’</w:t>
      </w:r>
      <w:r w:rsidR="00EF6EB3" w:rsidRPr="00947914">
        <w:rPr>
          <w:lang w:val="fr-FR"/>
        </w:rPr>
        <w:t>enregistrement international du système de La</w:t>
      </w:r>
      <w:r w:rsidR="004C1718" w:rsidRPr="00947914">
        <w:rPr>
          <w:lang w:val="fr-FR"/>
        </w:rPr>
        <w:t> </w:t>
      </w:r>
      <w:r w:rsidR="00EF6EB3" w:rsidRPr="00947914">
        <w:rPr>
          <w:lang w:val="fr-FR"/>
        </w:rPr>
        <w:t>Haye, il est extrêmement important que le système DIRIS soit en mesure de répondre aux enjeux initiaux comme aux nouveaux</w:t>
      </w:r>
      <w:r w:rsidR="00CD0768" w:rsidRPr="00947914">
        <w:rPr>
          <w:lang w:val="fr-FR"/>
        </w:rPr>
        <w:t xml:space="preserve"> défis</w:t>
      </w:r>
      <w:r w:rsidR="00EF6EB3" w:rsidRPr="00947914">
        <w:rPr>
          <w:lang w:val="fr-FR"/>
        </w:rPr>
        <w:t>.</w:t>
      </w:r>
      <w:r w:rsidR="00C44565" w:rsidRPr="00947914">
        <w:rPr>
          <w:lang w:val="fr-FR"/>
        </w:rPr>
        <w:t xml:space="preserve"> </w:t>
      </w:r>
      <w:r w:rsidR="00D23F17" w:rsidRPr="00947914">
        <w:rPr>
          <w:lang w:val="fr-FR"/>
        </w:rPr>
        <w:t xml:space="preserve"> </w:t>
      </w:r>
      <w:r w:rsidR="00D07520" w:rsidRPr="00947914">
        <w:rPr>
          <w:lang w:val="fr-FR"/>
        </w:rPr>
        <w:t xml:space="preserve">Afin de réduire autant que possible tout risque connexe, un examen externe du programme de modernisation informatique a été </w:t>
      </w:r>
      <w:r w:rsidR="00F55F29">
        <w:rPr>
          <w:lang w:val="fr-FR"/>
        </w:rPr>
        <w:t>initié</w:t>
      </w:r>
      <w:r w:rsidR="00D07520" w:rsidRPr="00947914">
        <w:rPr>
          <w:lang w:val="fr-FR"/>
        </w:rPr>
        <w:t xml:space="preserve"> à la fin du deuxième trimestre de</w:t>
      </w:r>
      <w:r w:rsidR="004C1718" w:rsidRPr="00947914">
        <w:rPr>
          <w:lang w:val="fr-FR"/>
        </w:rPr>
        <w:t> </w:t>
      </w:r>
      <w:r w:rsidR="00D07520" w:rsidRPr="00947914">
        <w:rPr>
          <w:lang w:val="fr-FR"/>
        </w:rPr>
        <w:t>2014, tout en sachant que, à la suite d</w:t>
      </w:r>
      <w:r w:rsidR="004E2797" w:rsidRPr="00947914">
        <w:rPr>
          <w:lang w:val="fr-FR"/>
        </w:rPr>
        <w:t>’</w:t>
      </w:r>
      <w:r w:rsidR="00D07520" w:rsidRPr="00947914">
        <w:rPr>
          <w:lang w:val="fr-FR"/>
        </w:rPr>
        <w:t>un audit interne des processus de génération de recettes du Secteur des marques et des dessins et modèles, il a été recommandé de procéder à une analyse à l</w:t>
      </w:r>
      <w:r w:rsidR="004E2797" w:rsidRPr="00947914">
        <w:rPr>
          <w:lang w:val="fr-FR"/>
        </w:rPr>
        <w:t>’</w:t>
      </w:r>
      <w:r w:rsidR="00D07520" w:rsidRPr="00947914">
        <w:rPr>
          <w:lang w:val="fr-FR"/>
        </w:rPr>
        <w:t xml:space="preserve">issue de la mise en </w:t>
      </w:r>
      <w:r w:rsidR="00800E89" w:rsidRPr="00947914">
        <w:rPr>
          <w:lang w:val="fr-FR"/>
        </w:rPr>
        <w:t>œuvre</w:t>
      </w:r>
      <w:r w:rsidR="00D07520" w:rsidRPr="00947914">
        <w:rPr>
          <w:lang w:val="fr-FR"/>
        </w:rPr>
        <w:t xml:space="preserve"> de la phase II du programme.</w:t>
      </w:r>
      <w:r w:rsidR="00C44565" w:rsidRPr="00947914">
        <w:rPr>
          <w:lang w:val="fr-FR"/>
        </w:rPr>
        <w:t xml:space="preserve">  </w:t>
      </w:r>
      <w:r w:rsidR="00D07520" w:rsidRPr="00947914">
        <w:rPr>
          <w:lang w:val="fr-FR"/>
        </w:rPr>
        <w:t>Cette analyse doit notamment porter sur l</w:t>
      </w:r>
      <w:r w:rsidR="004E2797" w:rsidRPr="00947914">
        <w:rPr>
          <w:lang w:val="fr-FR"/>
        </w:rPr>
        <w:t>’</w:t>
      </w:r>
      <w:r w:rsidR="00D07520" w:rsidRPr="00947914">
        <w:rPr>
          <w:lang w:val="fr-FR"/>
        </w:rPr>
        <w:t>approche générale, les fonctions et les performances du système, les processus d</w:t>
      </w:r>
      <w:r w:rsidR="004E2797" w:rsidRPr="00947914">
        <w:rPr>
          <w:lang w:val="fr-FR"/>
        </w:rPr>
        <w:t>’</w:t>
      </w:r>
      <w:r w:rsidR="00D07520" w:rsidRPr="00947914">
        <w:rPr>
          <w:lang w:val="fr-FR"/>
        </w:rPr>
        <w:t>essai et les stratégies en matière d</w:t>
      </w:r>
      <w:r w:rsidR="004E2797" w:rsidRPr="00947914">
        <w:rPr>
          <w:lang w:val="fr-FR"/>
        </w:rPr>
        <w:t>’</w:t>
      </w:r>
      <w:r w:rsidR="00D07520" w:rsidRPr="00947914">
        <w:rPr>
          <w:lang w:val="fr-FR"/>
        </w:rPr>
        <w:t>externalisation.</w:t>
      </w:r>
      <w:r w:rsidR="00C44565" w:rsidRPr="00947914">
        <w:rPr>
          <w:lang w:val="fr-FR"/>
        </w:rPr>
        <w:t xml:space="preserve">  </w:t>
      </w:r>
      <w:r w:rsidR="00D07520" w:rsidRPr="00947914">
        <w:rPr>
          <w:lang w:val="fr-FR"/>
        </w:rPr>
        <w:t xml:space="preserve">Cette analyse permettra au Bureau international de déterminer avec davantage de précision la date prévue pour </w:t>
      </w:r>
      <w:r w:rsidR="00CD0768" w:rsidRPr="00947914">
        <w:rPr>
          <w:lang w:val="fr-FR"/>
        </w:rPr>
        <w:t>la mise en service</w:t>
      </w:r>
      <w:r w:rsidR="00D07520" w:rsidRPr="00947914">
        <w:rPr>
          <w:lang w:val="fr-FR"/>
        </w:rPr>
        <w:t xml:space="preserve"> du système DIRIS.</w:t>
      </w:r>
    </w:p>
    <w:p w:rsidR="00800E89" w:rsidRPr="00947914" w:rsidRDefault="00D07520" w:rsidP="00B41C97">
      <w:pPr>
        <w:pStyle w:val="ONUMFS"/>
        <w:rPr>
          <w:lang w:val="fr-FR"/>
        </w:rPr>
      </w:pPr>
      <w:r w:rsidRPr="00947914">
        <w:rPr>
          <w:lang w:val="fr-FR"/>
        </w:rPr>
        <w:t>La phase II du programme a été lancée au troisième trimestre de 2010.  Les tâches</w:t>
      </w:r>
      <w:r w:rsidR="00A16914">
        <w:rPr>
          <w:lang w:val="fr-FR"/>
        </w:rPr>
        <w:t> </w:t>
      </w:r>
      <w:r w:rsidRPr="00947914">
        <w:rPr>
          <w:lang w:val="fr-FR"/>
        </w:rPr>
        <w:t>1</w:t>
      </w:r>
      <w:r w:rsidR="00CD0768" w:rsidRPr="00947914">
        <w:rPr>
          <w:lang w:val="fr-FR"/>
        </w:rPr>
        <w:t> </w:t>
      </w:r>
      <w:r w:rsidRPr="00947914">
        <w:rPr>
          <w:lang w:val="fr-FR"/>
        </w:rPr>
        <w:t xml:space="preserve">à 10 du </w:t>
      </w:r>
      <w:r w:rsidR="00A16914">
        <w:rPr>
          <w:lang w:val="fr-FR"/>
        </w:rPr>
        <w:t>plan</w:t>
      </w:r>
      <w:r w:rsidRPr="00947914">
        <w:rPr>
          <w:lang w:val="fr-FR"/>
        </w:rPr>
        <w:t xml:space="preserve"> global de mise en œuvre du projet présenté dans la figure 1 ci</w:t>
      </w:r>
      <w:r w:rsidR="00A431A9">
        <w:rPr>
          <w:lang w:val="fr-FR"/>
        </w:rPr>
        <w:noBreakHyphen/>
      </w:r>
      <w:r w:rsidRPr="00947914">
        <w:rPr>
          <w:lang w:val="fr-FR"/>
        </w:rPr>
        <w:t>dessous ont déjà été menées à bien.</w:t>
      </w:r>
      <w:r w:rsidR="00E830F4" w:rsidRPr="00947914">
        <w:rPr>
          <w:lang w:val="fr-FR"/>
        </w:rPr>
        <w:t xml:space="preserve">  </w:t>
      </w:r>
      <w:r w:rsidRPr="00947914">
        <w:rPr>
          <w:lang w:val="fr-FR"/>
        </w:rPr>
        <w:t>La tâche 11 a été suspendue et devrait reprendre le 1</w:t>
      </w:r>
      <w:r w:rsidRPr="00947914">
        <w:rPr>
          <w:vertAlign w:val="superscript"/>
          <w:lang w:val="fr-FR"/>
        </w:rPr>
        <w:t>er</w:t>
      </w:r>
      <w:r w:rsidR="00CD0768" w:rsidRPr="00947914">
        <w:rPr>
          <w:lang w:val="fr-FR"/>
        </w:rPr>
        <w:t> </w:t>
      </w:r>
      <w:r w:rsidRPr="00947914">
        <w:rPr>
          <w:lang w:val="fr-FR"/>
        </w:rPr>
        <w:t>janvier</w:t>
      </w:r>
      <w:r w:rsidR="00CD0768" w:rsidRPr="00947914">
        <w:rPr>
          <w:lang w:val="fr-FR"/>
        </w:rPr>
        <w:t> </w:t>
      </w:r>
      <w:r w:rsidRPr="00947914">
        <w:rPr>
          <w:lang w:val="fr-FR"/>
        </w:rPr>
        <w:t>2015.</w:t>
      </w:r>
      <w:r w:rsidR="00E830F4" w:rsidRPr="00947914">
        <w:rPr>
          <w:lang w:val="fr-FR"/>
        </w:rPr>
        <w:t xml:space="preserve">  </w:t>
      </w:r>
      <w:r w:rsidRPr="00947914">
        <w:rPr>
          <w:lang w:val="fr-FR"/>
        </w:rPr>
        <w:t>Le programme se déroule selon le calendrier suivant :</w:t>
      </w:r>
    </w:p>
    <w:p w:rsidR="00800E89" w:rsidRPr="00646860" w:rsidRDefault="001237BE" w:rsidP="00646860">
      <w:pPr>
        <w:jc w:val="center"/>
        <w:rPr>
          <w:b/>
          <w:sz w:val="16"/>
          <w:szCs w:val="16"/>
          <w:lang w:val="fr-FR"/>
        </w:rPr>
      </w:pPr>
      <w:r>
        <w:object w:dxaOrig="15786" w:dyaOrig="6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79.25pt" o:ole="">
            <v:imagedata r:id="rId11" o:title=""/>
          </v:shape>
          <o:OLEObject Type="Embed" ProgID="Visio.Drawing.11" ShapeID="_x0000_i1025" DrawAspect="Content" ObjectID="_1465993726" r:id="rId12"/>
        </w:object>
      </w:r>
      <w:r w:rsidR="00D07520" w:rsidRPr="00646860">
        <w:rPr>
          <w:b/>
          <w:sz w:val="16"/>
          <w:szCs w:val="16"/>
          <w:lang w:val="fr-FR"/>
        </w:rPr>
        <w:t>Figure 1</w:t>
      </w:r>
      <w:r w:rsidR="00646860" w:rsidRPr="00646860">
        <w:rPr>
          <w:b/>
          <w:sz w:val="16"/>
          <w:szCs w:val="16"/>
          <w:lang w:val="fr-FR"/>
        </w:rPr>
        <w:t xml:space="preserve"> </w:t>
      </w:r>
      <w:r w:rsidR="00D07520" w:rsidRPr="00646860">
        <w:rPr>
          <w:b/>
          <w:sz w:val="16"/>
          <w:szCs w:val="16"/>
          <w:lang w:val="fr-FR"/>
        </w:rPr>
        <w:t>– Phase II – Calendrier global de mise en œuvre du projet</w:t>
      </w:r>
    </w:p>
    <w:p w:rsidR="00800E89" w:rsidRPr="00947914" w:rsidRDefault="00800E89" w:rsidP="00EA1C16">
      <w:pPr>
        <w:rPr>
          <w:lang w:val="fr-FR"/>
        </w:rPr>
      </w:pPr>
    </w:p>
    <w:p w:rsidR="00800E89" w:rsidRPr="00947914" w:rsidRDefault="001155ED" w:rsidP="00B41C97">
      <w:pPr>
        <w:pStyle w:val="ONUMFS"/>
        <w:rPr>
          <w:lang w:val="fr-FR"/>
        </w:rPr>
      </w:pPr>
      <w:r w:rsidRPr="00947914">
        <w:rPr>
          <w:lang w:val="fr-FR"/>
        </w:rPr>
        <w:t>Comme indiqué dans les précédents rapports sur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état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avancement du programme de modernisation informatique, et uniquement dans la mesure nécessaire, le Bureau international proposera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entrer dans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exécution de la phase</w:t>
      </w:r>
      <w:r w:rsidR="00A431A9">
        <w:rPr>
          <w:lang w:val="fr-FR"/>
        </w:rPr>
        <w:t> </w:t>
      </w:r>
      <w:r w:rsidRPr="00947914">
        <w:rPr>
          <w:lang w:val="fr-FR"/>
        </w:rPr>
        <w:t xml:space="preserve">III du programme afin de prendre en charge certaines activités postérieures à la mise en service telles que </w:t>
      </w:r>
      <w:r w:rsidR="005A034C">
        <w:rPr>
          <w:lang w:val="fr-FR"/>
        </w:rPr>
        <w:t xml:space="preserve">la </w:t>
      </w:r>
      <w:r w:rsidRPr="00947914">
        <w:rPr>
          <w:lang w:val="fr-FR"/>
        </w:rPr>
        <w:t>correction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 xml:space="preserve">erreurs de programmation, </w:t>
      </w:r>
      <w:r w:rsidR="005A034C">
        <w:rPr>
          <w:lang w:val="fr-FR"/>
        </w:rPr>
        <w:t>l’</w:t>
      </w:r>
      <w:r w:rsidRPr="00947914">
        <w:rPr>
          <w:lang w:val="fr-FR"/>
        </w:rPr>
        <w:t xml:space="preserve">amélioration des performances, </w:t>
      </w:r>
      <w:r w:rsidR="005A034C">
        <w:rPr>
          <w:lang w:val="fr-FR"/>
        </w:rPr>
        <w:t xml:space="preserve">la </w:t>
      </w:r>
      <w:r w:rsidRPr="00947914">
        <w:rPr>
          <w:lang w:val="fr-FR"/>
        </w:rPr>
        <w:t>transformation de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 xml:space="preserve">interface utilisateur et </w:t>
      </w:r>
      <w:r w:rsidR="005A034C">
        <w:rPr>
          <w:lang w:val="fr-FR"/>
        </w:rPr>
        <w:t xml:space="preserve">la </w:t>
      </w:r>
      <w:r w:rsidRPr="00947914">
        <w:rPr>
          <w:lang w:val="fr-FR"/>
        </w:rPr>
        <w:t>reconfiguration éventuelle des processus.</w:t>
      </w:r>
      <w:r w:rsidR="00B96686" w:rsidRPr="00947914">
        <w:rPr>
          <w:lang w:val="fr-FR"/>
        </w:rPr>
        <w:t xml:space="preserve">  </w:t>
      </w:r>
      <w:r w:rsidRPr="00947914">
        <w:rPr>
          <w:lang w:val="fr-FR"/>
        </w:rPr>
        <w:t>Étant donné que la nécessité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une éventuelle phase</w:t>
      </w:r>
      <w:r w:rsidR="00CD0768" w:rsidRPr="00947914">
        <w:rPr>
          <w:lang w:val="fr-FR"/>
        </w:rPr>
        <w:t> </w:t>
      </w:r>
      <w:r w:rsidRPr="00947914">
        <w:rPr>
          <w:lang w:val="fr-FR"/>
        </w:rPr>
        <w:t>III ne pourra être évaluée qu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après la mise en service, ses modalités seront détaillées dans le prochain rapport sur l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état d</w:t>
      </w:r>
      <w:r w:rsidR="004E2797" w:rsidRPr="00947914">
        <w:rPr>
          <w:lang w:val="fr-FR"/>
        </w:rPr>
        <w:t>’</w:t>
      </w:r>
      <w:r w:rsidRPr="00947914">
        <w:rPr>
          <w:lang w:val="fr-FR"/>
        </w:rPr>
        <w:t>avancement du programme.</w:t>
      </w:r>
    </w:p>
    <w:p w:rsidR="00B41C97" w:rsidRPr="00947914" w:rsidRDefault="00B41C97" w:rsidP="008D7968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00E89" w:rsidRPr="00947914" w:rsidRDefault="00520921" w:rsidP="007B5D31">
      <w:pPr>
        <w:pStyle w:val="Heading1"/>
        <w:keepLines/>
        <w:spacing w:before="0"/>
        <w:rPr>
          <w:lang w:val="fr-FR"/>
        </w:rPr>
      </w:pPr>
      <w:r w:rsidRPr="00947914">
        <w:rPr>
          <w:lang w:val="fr-FR"/>
        </w:rPr>
        <w:lastRenderedPageBreak/>
        <w:t>Utilisation du budget</w:t>
      </w:r>
    </w:p>
    <w:p w:rsidR="00800E89" w:rsidRPr="00947914" w:rsidRDefault="00800E89" w:rsidP="007B5D31">
      <w:pPr>
        <w:keepNext/>
        <w:keepLines/>
        <w:rPr>
          <w:lang w:val="fr-FR"/>
        </w:rPr>
      </w:pPr>
    </w:p>
    <w:p w:rsidR="00800E89" w:rsidRPr="007B5D31" w:rsidRDefault="001155ED" w:rsidP="007B5D31">
      <w:pPr>
        <w:pStyle w:val="ONUMFS"/>
        <w:keepNext/>
        <w:keepLines/>
        <w:numPr>
          <w:ilvl w:val="0"/>
          <w:numId w:val="0"/>
        </w:numPr>
        <w:rPr>
          <w:lang w:val="fr-FR"/>
        </w:rPr>
      </w:pPr>
      <w:r w:rsidRPr="007B5D31">
        <w:rPr>
          <w:lang w:val="fr-FR"/>
        </w:rPr>
        <w:t>Une dotation totale de 13,804</w:t>
      </w:r>
      <w:r w:rsidR="004C1718" w:rsidRPr="007B5D31">
        <w:rPr>
          <w:lang w:val="fr-FR"/>
        </w:rPr>
        <w:t> </w:t>
      </w:r>
      <w:r w:rsidRPr="007B5D31">
        <w:rPr>
          <w:lang w:val="fr-FR"/>
        </w:rPr>
        <w:t>millions de francs suisses a été approuvée pour le projet (un montant de 10,804</w:t>
      </w:r>
      <w:r w:rsidR="004C1718" w:rsidRPr="007B5D31">
        <w:rPr>
          <w:lang w:val="fr-FR"/>
        </w:rPr>
        <w:t> </w:t>
      </w:r>
      <w:r w:rsidRPr="007B5D31">
        <w:rPr>
          <w:lang w:val="fr-FR"/>
        </w:rPr>
        <w:t>millions de francs suisses a été approuvé par l</w:t>
      </w:r>
      <w:r w:rsidR="004E2797" w:rsidRPr="007B5D31">
        <w:rPr>
          <w:lang w:val="fr-FR"/>
        </w:rPr>
        <w:t>’</w:t>
      </w:r>
      <w:r w:rsidRPr="007B5D31">
        <w:rPr>
          <w:lang w:val="fr-FR"/>
        </w:rPr>
        <w:t>Assemblée de l</w:t>
      </w:r>
      <w:r w:rsidR="004E2797" w:rsidRPr="007B5D31">
        <w:rPr>
          <w:lang w:val="fr-FR"/>
        </w:rPr>
        <w:t>’</w:t>
      </w:r>
      <w:r w:rsidRPr="007B5D31">
        <w:rPr>
          <w:lang w:val="fr-FR"/>
        </w:rPr>
        <w:t>Union de Madrid et un montant de 3 millions de francs suisses par l</w:t>
      </w:r>
      <w:r w:rsidR="004E2797" w:rsidRPr="007B5D31">
        <w:rPr>
          <w:lang w:val="fr-FR"/>
        </w:rPr>
        <w:t>’</w:t>
      </w:r>
      <w:r w:rsidRPr="007B5D31">
        <w:rPr>
          <w:lang w:val="fr-FR"/>
        </w:rPr>
        <w:t>Assemblée de l</w:t>
      </w:r>
      <w:r w:rsidR="004E2797" w:rsidRPr="007B5D31">
        <w:rPr>
          <w:lang w:val="fr-FR"/>
        </w:rPr>
        <w:t>’</w:t>
      </w:r>
      <w:r w:rsidRPr="007B5D31">
        <w:rPr>
          <w:lang w:val="fr-FR"/>
        </w:rPr>
        <w:t>Union de La</w:t>
      </w:r>
      <w:r w:rsidR="004C1718" w:rsidRPr="007B5D31">
        <w:rPr>
          <w:lang w:val="fr-FR"/>
        </w:rPr>
        <w:t> </w:t>
      </w:r>
      <w:r w:rsidRPr="007B5D31">
        <w:rPr>
          <w:lang w:val="fr-FR"/>
        </w:rPr>
        <w:t>Haye).</w:t>
      </w:r>
      <w:r w:rsidR="001C2A8C" w:rsidRPr="007B5D31">
        <w:rPr>
          <w:lang w:val="fr-FR"/>
        </w:rPr>
        <w:t xml:space="preserve">  </w:t>
      </w:r>
      <w:r w:rsidRPr="007B5D31">
        <w:rPr>
          <w:lang w:val="fr-FR"/>
        </w:rPr>
        <w:t>À ce jour, les dépenses effectives s</w:t>
      </w:r>
      <w:r w:rsidR="004E2797" w:rsidRPr="007B5D31">
        <w:rPr>
          <w:lang w:val="fr-FR"/>
        </w:rPr>
        <w:t>’</w:t>
      </w:r>
      <w:r w:rsidRPr="007B5D31">
        <w:rPr>
          <w:lang w:val="fr-FR"/>
        </w:rPr>
        <w:t>élèvent à 10,464</w:t>
      </w:r>
      <w:r w:rsidR="004C1718" w:rsidRPr="007B5D31">
        <w:rPr>
          <w:lang w:val="fr-FR"/>
        </w:rPr>
        <w:t> </w:t>
      </w:r>
      <w:r w:rsidRPr="007B5D31">
        <w:rPr>
          <w:lang w:val="fr-FR"/>
        </w:rPr>
        <w:t>millions de francs suisses, soit 76</w:t>
      </w:r>
      <w:r w:rsidR="007B5D31">
        <w:rPr>
          <w:lang w:val="fr-FR"/>
        </w:rPr>
        <w:t> </w:t>
      </w:r>
      <w:r w:rsidR="007B5D31" w:rsidRPr="007B5D31">
        <w:rPr>
          <w:lang w:val="fr-FR"/>
        </w:rPr>
        <w:t>pour</w:t>
      </w:r>
      <w:r w:rsidR="007B5D31">
        <w:rPr>
          <w:lang w:val="fr-FR"/>
        </w:rPr>
        <w:t> </w:t>
      </w:r>
      <w:r w:rsidR="007B5D31" w:rsidRPr="007B5D31">
        <w:rPr>
          <w:lang w:val="fr-FR"/>
        </w:rPr>
        <w:t>cent</w:t>
      </w:r>
      <w:r w:rsidRPr="007B5D31">
        <w:rPr>
          <w:lang w:val="fr-FR"/>
        </w:rPr>
        <w:t xml:space="preserve"> du budget du projet.</w:t>
      </w:r>
      <w:r w:rsidR="001C2A8C" w:rsidRPr="007B5D31">
        <w:rPr>
          <w:lang w:val="fr-FR"/>
        </w:rPr>
        <w:t xml:space="preserve">  </w:t>
      </w:r>
      <w:r w:rsidRPr="007B5D31">
        <w:rPr>
          <w:lang w:val="fr-FR"/>
        </w:rPr>
        <w:t>Le solde devrait être suffisant pour mener à bien la phase</w:t>
      </w:r>
      <w:r w:rsidR="0060377A" w:rsidRPr="007B5D31">
        <w:rPr>
          <w:lang w:val="fr-FR"/>
        </w:rPr>
        <w:t> </w:t>
      </w:r>
      <w:r w:rsidRPr="007B5D31">
        <w:rPr>
          <w:lang w:val="fr-FR"/>
        </w:rPr>
        <w:t>II du programme, étant entendu que les conclusions de l</w:t>
      </w:r>
      <w:r w:rsidR="004E2797" w:rsidRPr="007B5D31">
        <w:rPr>
          <w:lang w:val="fr-FR"/>
        </w:rPr>
        <w:t>’</w:t>
      </w:r>
      <w:r w:rsidRPr="007B5D31">
        <w:rPr>
          <w:lang w:val="fr-FR"/>
        </w:rPr>
        <w:t>analyse externe peuvent nécessiter l</w:t>
      </w:r>
      <w:r w:rsidR="004E2797" w:rsidRPr="007B5D31">
        <w:rPr>
          <w:lang w:val="fr-FR"/>
        </w:rPr>
        <w:t>’</w:t>
      </w:r>
      <w:r w:rsidRPr="007B5D31">
        <w:rPr>
          <w:lang w:val="fr-FR"/>
        </w:rPr>
        <w:t>affectation de ressources supplémentaires afin de garantir une gestion des risques et une assurance qualité appropriées.</w:t>
      </w:r>
    </w:p>
    <w:p w:rsidR="00800E89" w:rsidRPr="00947914" w:rsidRDefault="00800E89" w:rsidP="001C2A8C">
      <w:pPr>
        <w:rPr>
          <w:lang w:val="fr-FR"/>
        </w:rPr>
      </w:pPr>
    </w:p>
    <w:p w:rsidR="001C2A8C" w:rsidRPr="00947914" w:rsidRDefault="00B522E1" w:rsidP="00B522E1">
      <w:pPr>
        <w:pStyle w:val="Caption"/>
        <w:keepNext/>
        <w:jc w:val="center"/>
        <w:rPr>
          <w:lang w:val="fr-FR"/>
        </w:rPr>
      </w:pPr>
      <w:r w:rsidRPr="00947914">
        <w:rPr>
          <w:lang w:val="fr-FR"/>
        </w:rPr>
        <w:t>Tableau</w:t>
      </w:r>
      <w:r w:rsidR="001C2A8C" w:rsidRPr="00947914">
        <w:rPr>
          <w:lang w:val="fr-FR"/>
        </w:rPr>
        <w:t xml:space="preserve"> </w:t>
      </w:r>
      <w:r w:rsidR="00F157FB" w:rsidRPr="00947914">
        <w:rPr>
          <w:lang w:val="fr-FR"/>
        </w:rPr>
        <w:fldChar w:fldCharType="begin"/>
      </w:r>
      <w:r w:rsidR="00F157FB" w:rsidRPr="00947914">
        <w:rPr>
          <w:lang w:val="fr-FR"/>
        </w:rPr>
        <w:instrText xml:space="preserve"> SEQ Table \* ARABIC </w:instrText>
      </w:r>
      <w:r w:rsidR="00F157FB" w:rsidRPr="00947914">
        <w:rPr>
          <w:lang w:val="fr-FR"/>
        </w:rPr>
        <w:fldChar w:fldCharType="separate"/>
      </w:r>
      <w:r w:rsidR="00682D0F">
        <w:rPr>
          <w:noProof/>
          <w:lang w:val="fr-FR"/>
        </w:rPr>
        <w:t>1</w:t>
      </w:r>
      <w:r w:rsidR="00F157FB" w:rsidRPr="00947914">
        <w:rPr>
          <w:lang w:val="fr-FR"/>
        </w:rPr>
        <w:fldChar w:fldCharType="end"/>
      </w:r>
      <w:r w:rsidR="001C2A8C" w:rsidRPr="00947914">
        <w:rPr>
          <w:lang w:val="fr-FR"/>
        </w:rPr>
        <w:t xml:space="preserve"> </w:t>
      </w:r>
      <w:r w:rsidR="004C1718" w:rsidRPr="00947914">
        <w:rPr>
          <w:lang w:val="fr-FR"/>
        </w:rPr>
        <w:t>–</w:t>
      </w:r>
      <w:r w:rsidRPr="00947914">
        <w:rPr>
          <w:lang w:val="fr-FR"/>
        </w:rPr>
        <w:t xml:space="preserve"> Situation financière (en milliers de francs suisses), à fin </w:t>
      </w:r>
      <w:r w:rsidR="004E2797" w:rsidRPr="00947914">
        <w:rPr>
          <w:lang w:val="fr-FR"/>
        </w:rPr>
        <w:t>mars 20</w:t>
      </w:r>
      <w:r w:rsidRPr="00947914">
        <w:rPr>
          <w:lang w:val="fr-FR"/>
        </w:rPr>
        <w:t>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756"/>
        <w:gridCol w:w="2030"/>
        <w:gridCol w:w="2393"/>
      </w:tblGrid>
      <w:tr w:rsidR="00520921" w:rsidRPr="00947914" w:rsidTr="00752811">
        <w:trPr>
          <w:trHeight w:val="989"/>
        </w:trPr>
        <w:tc>
          <w:tcPr>
            <w:tcW w:w="2284" w:type="dxa"/>
            <w:shd w:val="clear" w:color="auto" w:fill="4F81BD"/>
          </w:tcPr>
          <w:p w:rsidR="001C2A8C" w:rsidRPr="00947914" w:rsidRDefault="001C2A8C" w:rsidP="000B10DA">
            <w:pPr>
              <w:rPr>
                <w:lang w:val="fr-FR"/>
              </w:rPr>
            </w:pPr>
          </w:p>
        </w:tc>
        <w:tc>
          <w:tcPr>
            <w:tcW w:w="2756" w:type="dxa"/>
            <w:shd w:val="clear" w:color="auto" w:fill="4F81BD"/>
          </w:tcPr>
          <w:p w:rsidR="001C2A8C" w:rsidRPr="00947914" w:rsidRDefault="00B522E1" w:rsidP="00B522E1">
            <w:pPr>
              <w:jc w:val="center"/>
              <w:rPr>
                <w:lang w:val="fr-FR"/>
              </w:rPr>
            </w:pPr>
            <w:r w:rsidRPr="00947914">
              <w:rPr>
                <w:lang w:val="fr-FR"/>
              </w:rPr>
              <w:t>Fonds provenant des</w:t>
            </w:r>
            <w:r w:rsidR="005A034C">
              <w:rPr>
                <w:lang w:val="fr-FR"/>
              </w:rPr>
              <w:t xml:space="preserve"> réserves</w:t>
            </w:r>
            <w:r w:rsidRPr="00947914">
              <w:rPr>
                <w:lang w:val="fr-FR"/>
              </w:rPr>
              <w:t xml:space="preserve"> </w:t>
            </w:r>
          </w:p>
        </w:tc>
        <w:tc>
          <w:tcPr>
            <w:tcW w:w="2030" w:type="dxa"/>
            <w:shd w:val="clear" w:color="auto" w:fill="4F81BD"/>
          </w:tcPr>
          <w:p w:rsidR="001C2A8C" w:rsidRPr="00947914" w:rsidRDefault="00800E89" w:rsidP="00800E89">
            <w:pPr>
              <w:jc w:val="center"/>
              <w:rPr>
                <w:lang w:val="fr-FR"/>
              </w:rPr>
            </w:pPr>
            <w:r w:rsidRPr="00947914">
              <w:rPr>
                <w:lang w:val="fr-FR"/>
              </w:rPr>
              <w:t xml:space="preserve">Dépenses hors engagements et </w:t>
            </w:r>
            <w:proofErr w:type="spellStart"/>
            <w:r w:rsidRPr="00947914">
              <w:rPr>
                <w:lang w:val="fr-FR"/>
              </w:rPr>
              <w:t>préengagements</w:t>
            </w:r>
            <w:proofErr w:type="spellEnd"/>
          </w:p>
        </w:tc>
        <w:tc>
          <w:tcPr>
            <w:tcW w:w="2393" w:type="dxa"/>
            <w:shd w:val="clear" w:color="auto" w:fill="4F81BD"/>
          </w:tcPr>
          <w:p w:rsidR="001C2A8C" w:rsidRPr="00947914" w:rsidRDefault="00800E89" w:rsidP="00800E89">
            <w:pPr>
              <w:jc w:val="center"/>
              <w:rPr>
                <w:lang w:val="fr-FR"/>
              </w:rPr>
            </w:pPr>
            <w:r w:rsidRPr="00947914">
              <w:rPr>
                <w:lang w:val="fr-FR"/>
              </w:rPr>
              <w:t xml:space="preserve">Solde à fin </w:t>
            </w:r>
            <w:r w:rsidR="004E2797" w:rsidRPr="00947914">
              <w:rPr>
                <w:lang w:val="fr-FR"/>
              </w:rPr>
              <w:t>mars 20</w:t>
            </w:r>
            <w:r w:rsidRPr="00947914">
              <w:rPr>
                <w:lang w:val="fr-FR"/>
              </w:rPr>
              <w:t>14</w:t>
            </w:r>
          </w:p>
        </w:tc>
      </w:tr>
      <w:tr w:rsidR="00520921" w:rsidRPr="00947914" w:rsidTr="00752811">
        <w:tc>
          <w:tcPr>
            <w:tcW w:w="2284" w:type="dxa"/>
            <w:shd w:val="clear" w:color="auto" w:fill="auto"/>
          </w:tcPr>
          <w:p w:rsidR="001C2A8C" w:rsidRPr="00947914" w:rsidRDefault="00800E89" w:rsidP="00800E89">
            <w:pPr>
              <w:rPr>
                <w:lang w:val="fr-FR"/>
              </w:rPr>
            </w:pPr>
            <w:r w:rsidRPr="00947914">
              <w:rPr>
                <w:lang w:val="fr-FR"/>
              </w:rPr>
              <w:t>Phase I</w:t>
            </w:r>
          </w:p>
        </w:tc>
        <w:tc>
          <w:tcPr>
            <w:tcW w:w="2756" w:type="dxa"/>
            <w:shd w:val="clear" w:color="auto" w:fill="auto"/>
          </w:tcPr>
          <w:p w:rsidR="001C2A8C" w:rsidRPr="00947914" w:rsidRDefault="00800E89" w:rsidP="00800E89">
            <w:pPr>
              <w:jc w:val="right"/>
              <w:rPr>
                <w:lang w:val="fr-FR"/>
              </w:rPr>
            </w:pPr>
            <w:r w:rsidRPr="00947914">
              <w:rPr>
                <w:lang w:val="fr-FR"/>
              </w:rPr>
              <w:t>3 569</w:t>
            </w:r>
          </w:p>
        </w:tc>
        <w:tc>
          <w:tcPr>
            <w:tcW w:w="2030" w:type="dxa"/>
            <w:shd w:val="clear" w:color="auto" w:fill="auto"/>
          </w:tcPr>
          <w:p w:rsidR="001C2A8C" w:rsidRPr="00947914" w:rsidRDefault="00800E89" w:rsidP="00800E89">
            <w:pPr>
              <w:jc w:val="right"/>
              <w:rPr>
                <w:lang w:val="fr-FR"/>
              </w:rPr>
            </w:pPr>
            <w:r w:rsidRPr="00947914">
              <w:rPr>
                <w:lang w:val="fr-FR"/>
              </w:rPr>
              <w:t>3 277</w:t>
            </w:r>
          </w:p>
        </w:tc>
        <w:tc>
          <w:tcPr>
            <w:tcW w:w="2393" w:type="dxa"/>
            <w:shd w:val="clear" w:color="auto" w:fill="auto"/>
          </w:tcPr>
          <w:p w:rsidR="001C2A8C" w:rsidRPr="00947914" w:rsidRDefault="001C2A8C" w:rsidP="000B10DA">
            <w:pPr>
              <w:jc w:val="right"/>
              <w:rPr>
                <w:lang w:val="fr-FR"/>
              </w:rPr>
            </w:pPr>
            <w:r w:rsidRPr="00947914">
              <w:rPr>
                <w:lang w:val="fr-FR"/>
              </w:rPr>
              <w:t>292</w:t>
            </w:r>
          </w:p>
        </w:tc>
      </w:tr>
      <w:tr w:rsidR="00520921" w:rsidRPr="00947914" w:rsidTr="00752811"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:rsidR="001C2A8C" w:rsidRPr="00947914" w:rsidRDefault="00800E89" w:rsidP="00800E89">
            <w:pPr>
              <w:rPr>
                <w:lang w:val="fr-FR"/>
              </w:rPr>
            </w:pPr>
            <w:r w:rsidRPr="00947914">
              <w:rPr>
                <w:lang w:val="fr-FR"/>
              </w:rPr>
              <w:t>Phase II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shd w:val="clear" w:color="auto" w:fill="auto"/>
          </w:tcPr>
          <w:p w:rsidR="001C2A8C" w:rsidRPr="00947914" w:rsidRDefault="00800E89" w:rsidP="00800E89">
            <w:pPr>
              <w:jc w:val="right"/>
              <w:rPr>
                <w:lang w:val="fr-FR"/>
              </w:rPr>
            </w:pPr>
            <w:r w:rsidRPr="00947914">
              <w:rPr>
                <w:lang w:val="fr-FR"/>
              </w:rPr>
              <w:t>10 235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:rsidR="001C2A8C" w:rsidRPr="00947914" w:rsidRDefault="00800E89" w:rsidP="00800E89">
            <w:pPr>
              <w:jc w:val="right"/>
              <w:rPr>
                <w:lang w:val="fr-FR"/>
              </w:rPr>
            </w:pPr>
            <w:r w:rsidRPr="00947914">
              <w:rPr>
                <w:lang w:val="fr-FR"/>
              </w:rPr>
              <w:t>7 187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1C2A8C" w:rsidRPr="00947914" w:rsidRDefault="00800E89" w:rsidP="00800E89">
            <w:pPr>
              <w:jc w:val="right"/>
              <w:rPr>
                <w:lang w:val="fr-FR"/>
              </w:rPr>
            </w:pPr>
            <w:r w:rsidRPr="00947914">
              <w:rPr>
                <w:lang w:val="fr-FR"/>
              </w:rPr>
              <w:t>3 048</w:t>
            </w:r>
          </w:p>
        </w:tc>
      </w:tr>
      <w:tr w:rsidR="00520921" w:rsidRPr="00947914" w:rsidTr="00752811">
        <w:tc>
          <w:tcPr>
            <w:tcW w:w="2284" w:type="dxa"/>
            <w:shd w:val="clear" w:color="auto" w:fill="4F81BD"/>
          </w:tcPr>
          <w:p w:rsidR="001C2A8C" w:rsidRPr="00947914" w:rsidRDefault="00800E89" w:rsidP="00800E89">
            <w:pPr>
              <w:rPr>
                <w:lang w:val="fr-FR"/>
              </w:rPr>
            </w:pPr>
            <w:r w:rsidRPr="00947914">
              <w:rPr>
                <w:lang w:val="fr-FR"/>
              </w:rPr>
              <w:t>Total</w:t>
            </w:r>
          </w:p>
        </w:tc>
        <w:tc>
          <w:tcPr>
            <w:tcW w:w="2756" w:type="dxa"/>
            <w:shd w:val="clear" w:color="auto" w:fill="4F81BD"/>
          </w:tcPr>
          <w:p w:rsidR="001C2A8C" w:rsidRPr="00947914" w:rsidRDefault="00800E89" w:rsidP="00800E89">
            <w:pPr>
              <w:jc w:val="right"/>
              <w:rPr>
                <w:lang w:val="fr-FR"/>
              </w:rPr>
            </w:pPr>
            <w:r w:rsidRPr="00947914">
              <w:rPr>
                <w:lang w:val="fr-FR"/>
              </w:rPr>
              <w:t>13 804</w:t>
            </w:r>
          </w:p>
        </w:tc>
        <w:tc>
          <w:tcPr>
            <w:tcW w:w="2030" w:type="dxa"/>
            <w:shd w:val="clear" w:color="auto" w:fill="4F81BD"/>
          </w:tcPr>
          <w:p w:rsidR="001C2A8C" w:rsidRPr="00947914" w:rsidRDefault="00800E89" w:rsidP="00800E89">
            <w:pPr>
              <w:jc w:val="right"/>
              <w:rPr>
                <w:lang w:val="fr-FR"/>
              </w:rPr>
            </w:pPr>
            <w:r w:rsidRPr="00947914">
              <w:rPr>
                <w:lang w:val="fr-FR"/>
              </w:rPr>
              <w:t>10 464</w:t>
            </w:r>
          </w:p>
        </w:tc>
        <w:tc>
          <w:tcPr>
            <w:tcW w:w="2393" w:type="dxa"/>
            <w:shd w:val="clear" w:color="auto" w:fill="4F81BD"/>
          </w:tcPr>
          <w:p w:rsidR="001C2A8C" w:rsidRPr="00947914" w:rsidRDefault="00800E89" w:rsidP="00800E89">
            <w:pPr>
              <w:jc w:val="right"/>
              <w:rPr>
                <w:lang w:val="fr-FR"/>
              </w:rPr>
            </w:pPr>
            <w:r w:rsidRPr="00947914">
              <w:rPr>
                <w:lang w:val="fr-FR"/>
              </w:rPr>
              <w:t>3 340</w:t>
            </w:r>
          </w:p>
        </w:tc>
      </w:tr>
    </w:tbl>
    <w:p w:rsidR="00800E89" w:rsidRPr="00947914" w:rsidRDefault="00800E89" w:rsidP="001C2A8C">
      <w:pPr>
        <w:rPr>
          <w:lang w:val="fr-FR"/>
        </w:rPr>
      </w:pPr>
    </w:p>
    <w:p w:rsidR="00800E89" w:rsidRPr="00947914" w:rsidRDefault="00800E89" w:rsidP="00937A85">
      <w:pPr>
        <w:rPr>
          <w:lang w:val="fr-FR"/>
        </w:rPr>
      </w:pPr>
    </w:p>
    <w:p w:rsidR="004E2797" w:rsidRPr="00947914" w:rsidRDefault="00800E89" w:rsidP="00B41C97">
      <w:pPr>
        <w:pStyle w:val="ONUMFS"/>
        <w:ind w:left="5533"/>
        <w:rPr>
          <w:i/>
          <w:lang w:val="fr-FR"/>
        </w:rPr>
      </w:pPr>
      <w:r w:rsidRPr="00947914">
        <w:rPr>
          <w:i/>
          <w:lang w:val="fr-FR"/>
        </w:rPr>
        <w:t>L</w:t>
      </w:r>
      <w:r w:rsidR="004E2797" w:rsidRPr="00947914">
        <w:rPr>
          <w:i/>
          <w:lang w:val="fr-FR"/>
        </w:rPr>
        <w:t>’</w:t>
      </w:r>
      <w:r w:rsidRPr="00947914">
        <w:rPr>
          <w:i/>
          <w:lang w:val="fr-FR"/>
        </w:rPr>
        <w:t>assemblée est invitée à prendre note du contenu du rapport sur l</w:t>
      </w:r>
      <w:r w:rsidR="004E2797" w:rsidRPr="00947914">
        <w:rPr>
          <w:i/>
          <w:lang w:val="fr-FR"/>
        </w:rPr>
        <w:t>’</w:t>
      </w:r>
      <w:r w:rsidRPr="00947914">
        <w:rPr>
          <w:i/>
          <w:lang w:val="fr-FR"/>
        </w:rPr>
        <w:t>état d</w:t>
      </w:r>
      <w:r w:rsidR="004E2797" w:rsidRPr="00947914">
        <w:rPr>
          <w:i/>
          <w:lang w:val="fr-FR"/>
        </w:rPr>
        <w:t>’</w:t>
      </w:r>
      <w:r w:rsidRPr="00947914">
        <w:rPr>
          <w:i/>
          <w:lang w:val="fr-FR"/>
        </w:rPr>
        <w:t>avancement du programme de modernisation informatique (système d</w:t>
      </w:r>
      <w:r w:rsidR="004E2797" w:rsidRPr="00947914">
        <w:rPr>
          <w:i/>
          <w:lang w:val="fr-FR"/>
        </w:rPr>
        <w:t>’</w:t>
      </w:r>
      <w:r w:rsidRPr="00947914">
        <w:rPr>
          <w:i/>
          <w:lang w:val="fr-FR"/>
        </w:rPr>
        <w:t>enregistrement international de La</w:t>
      </w:r>
      <w:r w:rsidR="004C1718" w:rsidRPr="00947914">
        <w:rPr>
          <w:i/>
          <w:lang w:val="fr-FR"/>
        </w:rPr>
        <w:t> </w:t>
      </w:r>
      <w:r w:rsidRPr="00947914">
        <w:rPr>
          <w:i/>
          <w:lang w:val="fr-FR"/>
        </w:rPr>
        <w:t>Haye) (document H/A/34/1).</w:t>
      </w:r>
    </w:p>
    <w:p w:rsidR="00520921" w:rsidRPr="00947914" w:rsidRDefault="00520921" w:rsidP="00800E89">
      <w:pPr>
        <w:ind w:left="5533"/>
        <w:rPr>
          <w:lang w:val="fr-FR"/>
        </w:rPr>
      </w:pPr>
    </w:p>
    <w:p w:rsidR="00520921" w:rsidRPr="00947914" w:rsidRDefault="00520921" w:rsidP="00800E89">
      <w:pPr>
        <w:ind w:left="5533"/>
        <w:rPr>
          <w:lang w:val="fr-FR"/>
        </w:rPr>
      </w:pPr>
    </w:p>
    <w:p w:rsidR="00800E89" w:rsidRPr="00947914" w:rsidRDefault="00800E89" w:rsidP="00800E89">
      <w:pPr>
        <w:ind w:left="5533"/>
        <w:rPr>
          <w:lang w:val="fr-FR"/>
        </w:rPr>
      </w:pPr>
      <w:r w:rsidRPr="00947914">
        <w:rPr>
          <w:lang w:val="fr-FR"/>
        </w:rPr>
        <w:t>[Fin du document]</w:t>
      </w:r>
    </w:p>
    <w:p w:rsidR="00800E89" w:rsidRPr="00947914" w:rsidRDefault="00800E89" w:rsidP="009D2934">
      <w:pPr>
        <w:ind w:left="5533"/>
        <w:rPr>
          <w:lang w:val="fr-FR"/>
        </w:rPr>
      </w:pPr>
    </w:p>
    <w:p w:rsidR="00E830F4" w:rsidRPr="00947914" w:rsidRDefault="00E830F4" w:rsidP="009D2934">
      <w:pPr>
        <w:ind w:left="5533"/>
        <w:rPr>
          <w:lang w:val="fr-FR"/>
        </w:rPr>
      </w:pPr>
    </w:p>
    <w:sectPr w:rsidR="00E830F4" w:rsidRPr="00947914" w:rsidSect="00EA2503">
      <w:headerReference w:type="even" r:id="rId13"/>
      <w:headerReference w:type="defaul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AA" w:rsidRDefault="00FB47AA">
      <w:r>
        <w:separator/>
      </w:r>
    </w:p>
  </w:endnote>
  <w:endnote w:type="continuationSeparator" w:id="0">
    <w:p w:rsidR="00FB47AA" w:rsidRDefault="00FB47AA" w:rsidP="003B38C1">
      <w:r>
        <w:separator/>
      </w:r>
    </w:p>
    <w:p w:rsidR="00FB47AA" w:rsidRPr="003B38C1" w:rsidRDefault="00FB47A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B47AA" w:rsidRPr="003B38C1" w:rsidRDefault="00FB47A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EB9" w:rsidRPr="00324EB9" w:rsidRDefault="00324EB9" w:rsidP="00324EB9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AA" w:rsidRDefault="00FB47AA">
      <w:r>
        <w:separator/>
      </w:r>
    </w:p>
  </w:footnote>
  <w:footnote w:type="continuationSeparator" w:id="0">
    <w:p w:rsidR="00FB47AA" w:rsidRDefault="00FB47AA" w:rsidP="008B60B2">
      <w:r>
        <w:separator/>
      </w:r>
    </w:p>
    <w:p w:rsidR="00FB47AA" w:rsidRPr="00ED77FB" w:rsidRDefault="00FB47A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B47AA" w:rsidRPr="00ED77FB" w:rsidRDefault="00FB47A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F4" w:rsidRDefault="00E830F4" w:rsidP="001C63E0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682D0F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E830F4" w:rsidRDefault="00E830F4" w:rsidP="004B757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F4" w:rsidRDefault="00A33E5A" w:rsidP="004B7572">
    <w:pPr>
      <w:jc w:val="right"/>
    </w:pPr>
    <w:r w:rsidRPr="00A33E5A">
      <w:t>H/A/34</w:t>
    </w:r>
    <w:r w:rsidR="00E830F4" w:rsidRPr="00A33E5A">
      <w:t>/1</w:t>
    </w:r>
  </w:p>
  <w:p w:rsidR="00E830F4" w:rsidRDefault="00E830F4" w:rsidP="004B7572">
    <w:pPr>
      <w:jc w:val="right"/>
    </w:pPr>
    <w:proofErr w:type="gramStart"/>
    <w:r>
      <w:t>page</w:t>
    </w:r>
    <w:proofErr w:type="gramEnd"/>
    <w:r>
      <w:t xml:space="preserve"> </w:t>
    </w:r>
    <w:r w:rsidR="005305C5">
      <w:fldChar w:fldCharType="begin"/>
    </w:r>
    <w:r w:rsidR="005305C5">
      <w:instrText xml:space="preserve"> PAGE  \* MERGEFORMAT </w:instrText>
    </w:r>
    <w:r w:rsidR="005305C5">
      <w:fldChar w:fldCharType="separate"/>
    </w:r>
    <w:r w:rsidR="00682D0F">
      <w:rPr>
        <w:noProof/>
      </w:rPr>
      <w:t>3</w:t>
    </w:r>
    <w:r w:rsidR="005305C5">
      <w:rPr>
        <w:noProof/>
      </w:rPr>
      <w:fldChar w:fldCharType="end"/>
    </w:r>
  </w:p>
  <w:p w:rsidR="00E830F4" w:rsidRDefault="00E830F4" w:rsidP="0093790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AC8D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FFB19A2"/>
    <w:multiLevelType w:val="multilevel"/>
    <w:tmpl w:val="09CC3FD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208C4C7A"/>
    <w:multiLevelType w:val="hybridMultilevel"/>
    <w:tmpl w:val="FD1481D4"/>
    <w:lvl w:ilvl="0" w:tplc="4D9EF9DC">
      <w:start w:val="2"/>
      <w:numFmt w:val="lowerRoman"/>
      <w:lvlText w:val="(%1)"/>
      <w:lvlJc w:val="left"/>
      <w:pPr>
        <w:tabs>
          <w:tab w:val="num" w:pos="6990"/>
        </w:tabs>
        <w:ind w:left="69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070"/>
        </w:tabs>
        <w:ind w:left="8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790"/>
        </w:tabs>
        <w:ind w:left="8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510"/>
        </w:tabs>
        <w:ind w:left="9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230"/>
        </w:tabs>
        <w:ind w:left="10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0950"/>
        </w:tabs>
        <w:ind w:left="10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1670"/>
        </w:tabs>
        <w:ind w:left="11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2390"/>
        </w:tabs>
        <w:ind w:left="12390" w:hanging="180"/>
      </w:pPr>
      <w:rPr>
        <w:rFonts w:cs="Times New Roman"/>
      </w:rPr>
    </w:lvl>
  </w:abstractNum>
  <w:abstractNum w:abstractNumId="3">
    <w:nsid w:val="268A301A"/>
    <w:multiLevelType w:val="multilevel"/>
    <w:tmpl w:val="81EA6450"/>
    <w:lvl w:ilvl="0">
      <w:start w:val="1"/>
      <w:numFmt w:val="none"/>
      <w:lvlRestart w:val="0"/>
      <w:pStyle w:val="ONUME"/>
      <w:lvlText w:val="(i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1701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26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/>
      </w:pPr>
      <w:rPr>
        <w:rFonts w:hint="default"/>
      </w:rPr>
    </w:lvl>
  </w:abstractNum>
  <w:abstractNum w:abstractNumId="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1"/>
  </w:num>
  <w:num w:numId="20">
    <w:abstractNumId w:val="3"/>
  </w:num>
  <w:num w:numId="2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|PreTradBeta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Lisbonne|WorkspaceFTS\EN-FR\Madrid|WorkspaceFTS\EN-FR\PCT|WorkspaceFTS\EN-FR\PLT|WorkspaceFTS\EN-FR\SCCR|WorkspaceFTS\EN-FR\SCP|WorkspaceFTS\EN-FR\SCT|WorkspaceFTS\EN-FR\UPOV|WorkspaceFTS\EN-FR\WO_CC|WorkspaceFTS\EN-FR\WO_GA|WorkspaceFTS\EN-FR\WO_PBC|Administrative\Meetings|Administrative\Other|Administrative\Publications|Budget and Finance\Meetings|Budget and Finance\Other|Budget and Finance\Publications|Copyright\Meetings|Copyright\Other|Copyright\Publications|Glossaries\EN-FR|Patents\Meetings|Patents\Other|Patents\Publications|Trademarks\Meetings|Trademarks\Other|Trademarks\Publications|Treaties\Model Laws|Treaties\Other Laws and Agreements|Treaties\WIPO-administered|IP in General\Academy|IP in General\Arbitration and Mediation|IP in General\Meetings|IP in General\Other|IP in General\Press Room|IP in General\Publications"/>
    <w:docVar w:name="TextBaseURL" w:val="empty"/>
    <w:docVar w:name="UILng" w:val="en"/>
  </w:docVars>
  <w:rsids>
    <w:rsidRoot w:val="003E4897"/>
    <w:rsid w:val="00001A1F"/>
    <w:rsid w:val="000035BE"/>
    <w:rsid w:val="00004B2B"/>
    <w:rsid w:val="00006DB8"/>
    <w:rsid w:val="00010A6C"/>
    <w:rsid w:val="00013432"/>
    <w:rsid w:val="0001682D"/>
    <w:rsid w:val="00030B2C"/>
    <w:rsid w:val="00031BD9"/>
    <w:rsid w:val="00034381"/>
    <w:rsid w:val="000379B4"/>
    <w:rsid w:val="00041745"/>
    <w:rsid w:val="00042E44"/>
    <w:rsid w:val="00043CAA"/>
    <w:rsid w:val="00045613"/>
    <w:rsid w:val="00047B16"/>
    <w:rsid w:val="00052993"/>
    <w:rsid w:val="000539F4"/>
    <w:rsid w:val="00053DA1"/>
    <w:rsid w:val="00056F04"/>
    <w:rsid w:val="00064445"/>
    <w:rsid w:val="000648CA"/>
    <w:rsid w:val="0007091D"/>
    <w:rsid w:val="000745FE"/>
    <w:rsid w:val="00075432"/>
    <w:rsid w:val="0007682F"/>
    <w:rsid w:val="000848BF"/>
    <w:rsid w:val="00093BD8"/>
    <w:rsid w:val="0009460D"/>
    <w:rsid w:val="000968ED"/>
    <w:rsid w:val="00097A31"/>
    <w:rsid w:val="000A00CC"/>
    <w:rsid w:val="000A0941"/>
    <w:rsid w:val="000A322E"/>
    <w:rsid w:val="000A4648"/>
    <w:rsid w:val="000C12A9"/>
    <w:rsid w:val="000C1BE1"/>
    <w:rsid w:val="000C1CC2"/>
    <w:rsid w:val="000D5455"/>
    <w:rsid w:val="000F137E"/>
    <w:rsid w:val="000F5E56"/>
    <w:rsid w:val="00102B47"/>
    <w:rsid w:val="00103281"/>
    <w:rsid w:val="00104636"/>
    <w:rsid w:val="0010788E"/>
    <w:rsid w:val="00114826"/>
    <w:rsid w:val="001155ED"/>
    <w:rsid w:val="001237BE"/>
    <w:rsid w:val="001328C5"/>
    <w:rsid w:val="00134376"/>
    <w:rsid w:val="001362EE"/>
    <w:rsid w:val="001413E9"/>
    <w:rsid w:val="00150687"/>
    <w:rsid w:val="00152E5D"/>
    <w:rsid w:val="00154263"/>
    <w:rsid w:val="00155AEF"/>
    <w:rsid w:val="00157763"/>
    <w:rsid w:val="0015797F"/>
    <w:rsid w:val="001720BB"/>
    <w:rsid w:val="00175B41"/>
    <w:rsid w:val="00182263"/>
    <w:rsid w:val="001832A6"/>
    <w:rsid w:val="00193E38"/>
    <w:rsid w:val="001B0257"/>
    <w:rsid w:val="001C1D0F"/>
    <w:rsid w:val="001C2A8C"/>
    <w:rsid w:val="001C63E0"/>
    <w:rsid w:val="001D03B1"/>
    <w:rsid w:val="001D6859"/>
    <w:rsid w:val="001E1AE9"/>
    <w:rsid w:val="001E27AB"/>
    <w:rsid w:val="001E3CD8"/>
    <w:rsid w:val="001E4F1B"/>
    <w:rsid w:val="001E70ED"/>
    <w:rsid w:val="001F15BD"/>
    <w:rsid w:val="001F5BF5"/>
    <w:rsid w:val="00205C7D"/>
    <w:rsid w:val="0021499A"/>
    <w:rsid w:val="00214ADE"/>
    <w:rsid w:val="0021549B"/>
    <w:rsid w:val="002229C7"/>
    <w:rsid w:val="002277D1"/>
    <w:rsid w:val="00236CC8"/>
    <w:rsid w:val="00254F0E"/>
    <w:rsid w:val="00255062"/>
    <w:rsid w:val="0025665D"/>
    <w:rsid w:val="002610F6"/>
    <w:rsid w:val="002634C4"/>
    <w:rsid w:val="002707AF"/>
    <w:rsid w:val="00271E81"/>
    <w:rsid w:val="00272965"/>
    <w:rsid w:val="00273875"/>
    <w:rsid w:val="00275192"/>
    <w:rsid w:val="00281399"/>
    <w:rsid w:val="0028552A"/>
    <w:rsid w:val="002928D3"/>
    <w:rsid w:val="00295494"/>
    <w:rsid w:val="002B479A"/>
    <w:rsid w:val="002C673B"/>
    <w:rsid w:val="002D1155"/>
    <w:rsid w:val="002D17E0"/>
    <w:rsid w:val="002D5C25"/>
    <w:rsid w:val="002D6F89"/>
    <w:rsid w:val="002F1799"/>
    <w:rsid w:val="002F1FE6"/>
    <w:rsid w:val="002F397B"/>
    <w:rsid w:val="002F4E68"/>
    <w:rsid w:val="002F62C8"/>
    <w:rsid w:val="002F69DE"/>
    <w:rsid w:val="00307BF9"/>
    <w:rsid w:val="00307EF0"/>
    <w:rsid w:val="003123A0"/>
    <w:rsid w:val="00312F7F"/>
    <w:rsid w:val="00314694"/>
    <w:rsid w:val="00324EB9"/>
    <w:rsid w:val="00331CC2"/>
    <w:rsid w:val="00346582"/>
    <w:rsid w:val="003673CF"/>
    <w:rsid w:val="003711EC"/>
    <w:rsid w:val="0037749C"/>
    <w:rsid w:val="00377A03"/>
    <w:rsid w:val="0038118F"/>
    <w:rsid w:val="003845C1"/>
    <w:rsid w:val="00385969"/>
    <w:rsid w:val="0039043A"/>
    <w:rsid w:val="00397946"/>
    <w:rsid w:val="003A0330"/>
    <w:rsid w:val="003A6F89"/>
    <w:rsid w:val="003A70D8"/>
    <w:rsid w:val="003B04B5"/>
    <w:rsid w:val="003B38C1"/>
    <w:rsid w:val="003B5432"/>
    <w:rsid w:val="003B7C04"/>
    <w:rsid w:val="003E0DA5"/>
    <w:rsid w:val="003E4172"/>
    <w:rsid w:val="003E4218"/>
    <w:rsid w:val="003E4897"/>
    <w:rsid w:val="00405DDE"/>
    <w:rsid w:val="00406017"/>
    <w:rsid w:val="00423E3E"/>
    <w:rsid w:val="00426D81"/>
    <w:rsid w:val="00427AF4"/>
    <w:rsid w:val="00432E9B"/>
    <w:rsid w:val="0044268F"/>
    <w:rsid w:val="00443B0A"/>
    <w:rsid w:val="00445BA0"/>
    <w:rsid w:val="00446425"/>
    <w:rsid w:val="0045736E"/>
    <w:rsid w:val="004647DA"/>
    <w:rsid w:val="00466D1D"/>
    <w:rsid w:val="00474062"/>
    <w:rsid w:val="0047592A"/>
    <w:rsid w:val="00477D6B"/>
    <w:rsid w:val="004819F1"/>
    <w:rsid w:val="00485FB1"/>
    <w:rsid w:val="00497537"/>
    <w:rsid w:val="00497B89"/>
    <w:rsid w:val="004A06B2"/>
    <w:rsid w:val="004A18AA"/>
    <w:rsid w:val="004A4A47"/>
    <w:rsid w:val="004B7572"/>
    <w:rsid w:val="004C1718"/>
    <w:rsid w:val="004C53A5"/>
    <w:rsid w:val="004D352F"/>
    <w:rsid w:val="004E0752"/>
    <w:rsid w:val="004E2797"/>
    <w:rsid w:val="004E60D3"/>
    <w:rsid w:val="004E7B4A"/>
    <w:rsid w:val="004F3731"/>
    <w:rsid w:val="0050170C"/>
    <w:rsid w:val="0050613B"/>
    <w:rsid w:val="005075AB"/>
    <w:rsid w:val="00507A26"/>
    <w:rsid w:val="00514558"/>
    <w:rsid w:val="00520921"/>
    <w:rsid w:val="005259C9"/>
    <w:rsid w:val="00526FD9"/>
    <w:rsid w:val="0053057A"/>
    <w:rsid w:val="005305C5"/>
    <w:rsid w:val="00533A70"/>
    <w:rsid w:val="00535C5E"/>
    <w:rsid w:val="00543240"/>
    <w:rsid w:val="00560A29"/>
    <w:rsid w:val="00560CD4"/>
    <w:rsid w:val="00574BDB"/>
    <w:rsid w:val="00580046"/>
    <w:rsid w:val="00595C16"/>
    <w:rsid w:val="005975F4"/>
    <w:rsid w:val="005A034C"/>
    <w:rsid w:val="005A2285"/>
    <w:rsid w:val="005B1E4A"/>
    <w:rsid w:val="005B5890"/>
    <w:rsid w:val="005B6FB1"/>
    <w:rsid w:val="005C6730"/>
    <w:rsid w:val="005D78FE"/>
    <w:rsid w:val="005E0C36"/>
    <w:rsid w:val="005E1D45"/>
    <w:rsid w:val="005F0978"/>
    <w:rsid w:val="005F1B3E"/>
    <w:rsid w:val="005F3442"/>
    <w:rsid w:val="005F50EC"/>
    <w:rsid w:val="005F7017"/>
    <w:rsid w:val="00601F15"/>
    <w:rsid w:val="0060377A"/>
    <w:rsid w:val="00605827"/>
    <w:rsid w:val="00640880"/>
    <w:rsid w:val="00642ACC"/>
    <w:rsid w:val="00646050"/>
    <w:rsid w:val="00646860"/>
    <w:rsid w:val="00654B7D"/>
    <w:rsid w:val="00661557"/>
    <w:rsid w:val="00664059"/>
    <w:rsid w:val="006713CA"/>
    <w:rsid w:val="0067411E"/>
    <w:rsid w:val="00675E8C"/>
    <w:rsid w:val="00676C5C"/>
    <w:rsid w:val="00677E19"/>
    <w:rsid w:val="00682D0F"/>
    <w:rsid w:val="00682FA1"/>
    <w:rsid w:val="00690C33"/>
    <w:rsid w:val="006A130B"/>
    <w:rsid w:val="006A54ED"/>
    <w:rsid w:val="006A60C3"/>
    <w:rsid w:val="006B2F48"/>
    <w:rsid w:val="006B60E0"/>
    <w:rsid w:val="006C263E"/>
    <w:rsid w:val="006C6504"/>
    <w:rsid w:val="006C73E3"/>
    <w:rsid w:val="006D0535"/>
    <w:rsid w:val="006D5A91"/>
    <w:rsid w:val="006E78DA"/>
    <w:rsid w:val="006F063F"/>
    <w:rsid w:val="006F148A"/>
    <w:rsid w:val="006F29B9"/>
    <w:rsid w:val="006F53C9"/>
    <w:rsid w:val="0071351F"/>
    <w:rsid w:val="00715159"/>
    <w:rsid w:val="00721585"/>
    <w:rsid w:val="00722A61"/>
    <w:rsid w:val="00726661"/>
    <w:rsid w:val="0074270E"/>
    <w:rsid w:val="007461EA"/>
    <w:rsid w:val="00751FA5"/>
    <w:rsid w:val="00752811"/>
    <w:rsid w:val="007544EC"/>
    <w:rsid w:val="00761A8D"/>
    <w:rsid w:val="007638A0"/>
    <w:rsid w:val="00763CDF"/>
    <w:rsid w:val="00777317"/>
    <w:rsid w:val="00780721"/>
    <w:rsid w:val="00785DE1"/>
    <w:rsid w:val="00794F0C"/>
    <w:rsid w:val="007A002F"/>
    <w:rsid w:val="007A58AF"/>
    <w:rsid w:val="007B1DD6"/>
    <w:rsid w:val="007B5D31"/>
    <w:rsid w:val="007B7D71"/>
    <w:rsid w:val="007C23F7"/>
    <w:rsid w:val="007D0616"/>
    <w:rsid w:val="007D1613"/>
    <w:rsid w:val="007D7325"/>
    <w:rsid w:val="007E699F"/>
    <w:rsid w:val="007E7E4C"/>
    <w:rsid w:val="00800E89"/>
    <w:rsid w:val="0081568A"/>
    <w:rsid w:val="00847246"/>
    <w:rsid w:val="0086362E"/>
    <w:rsid w:val="00874202"/>
    <w:rsid w:val="008845D9"/>
    <w:rsid w:val="008928B1"/>
    <w:rsid w:val="008A3E99"/>
    <w:rsid w:val="008B13FF"/>
    <w:rsid w:val="008B2CC1"/>
    <w:rsid w:val="008B36D8"/>
    <w:rsid w:val="008B37BF"/>
    <w:rsid w:val="008B60B2"/>
    <w:rsid w:val="008C0023"/>
    <w:rsid w:val="008C5B56"/>
    <w:rsid w:val="008C5FFD"/>
    <w:rsid w:val="008C6E4B"/>
    <w:rsid w:val="008D0DCC"/>
    <w:rsid w:val="008D6555"/>
    <w:rsid w:val="008D7968"/>
    <w:rsid w:val="008E4E59"/>
    <w:rsid w:val="008F5EA7"/>
    <w:rsid w:val="009027C8"/>
    <w:rsid w:val="00902ED7"/>
    <w:rsid w:val="00903516"/>
    <w:rsid w:val="00903930"/>
    <w:rsid w:val="0090731E"/>
    <w:rsid w:val="00916EE2"/>
    <w:rsid w:val="0093438D"/>
    <w:rsid w:val="0093778E"/>
    <w:rsid w:val="00937905"/>
    <w:rsid w:val="00937A85"/>
    <w:rsid w:val="0094200B"/>
    <w:rsid w:val="00947914"/>
    <w:rsid w:val="00966A22"/>
    <w:rsid w:val="00967184"/>
    <w:rsid w:val="0096722F"/>
    <w:rsid w:val="00970043"/>
    <w:rsid w:val="00970D6F"/>
    <w:rsid w:val="009751CE"/>
    <w:rsid w:val="00980843"/>
    <w:rsid w:val="009A185E"/>
    <w:rsid w:val="009A6101"/>
    <w:rsid w:val="009B1313"/>
    <w:rsid w:val="009C64E9"/>
    <w:rsid w:val="009D2934"/>
    <w:rsid w:val="009D2A86"/>
    <w:rsid w:val="009D5A7F"/>
    <w:rsid w:val="009D6B6B"/>
    <w:rsid w:val="009D72E0"/>
    <w:rsid w:val="009E2791"/>
    <w:rsid w:val="009E3F6F"/>
    <w:rsid w:val="009E3FB2"/>
    <w:rsid w:val="009F373B"/>
    <w:rsid w:val="009F499F"/>
    <w:rsid w:val="009F6BDA"/>
    <w:rsid w:val="009F7EC1"/>
    <w:rsid w:val="00A025BC"/>
    <w:rsid w:val="00A06A85"/>
    <w:rsid w:val="00A11B67"/>
    <w:rsid w:val="00A1235C"/>
    <w:rsid w:val="00A16914"/>
    <w:rsid w:val="00A22CCB"/>
    <w:rsid w:val="00A247DC"/>
    <w:rsid w:val="00A33E5A"/>
    <w:rsid w:val="00A41FF4"/>
    <w:rsid w:val="00A42DAF"/>
    <w:rsid w:val="00A431A9"/>
    <w:rsid w:val="00A45BD8"/>
    <w:rsid w:val="00A52B7A"/>
    <w:rsid w:val="00A66C02"/>
    <w:rsid w:val="00A677B6"/>
    <w:rsid w:val="00A74673"/>
    <w:rsid w:val="00A81366"/>
    <w:rsid w:val="00A977F0"/>
    <w:rsid w:val="00AA0F8D"/>
    <w:rsid w:val="00AC0B60"/>
    <w:rsid w:val="00AC10DD"/>
    <w:rsid w:val="00AC141B"/>
    <w:rsid w:val="00AC205C"/>
    <w:rsid w:val="00AD0C6E"/>
    <w:rsid w:val="00AD43F3"/>
    <w:rsid w:val="00AD56FB"/>
    <w:rsid w:val="00AD7719"/>
    <w:rsid w:val="00AE48EF"/>
    <w:rsid w:val="00AE5A71"/>
    <w:rsid w:val="00AF0A6B"/>
    <w:rsid w:val="00AF1D1D"/>
    <w:rsid w:val="00AF2945"/>
    <w:rsid w:val="00AF2D3A"/>
    <w:rsid w:val="00AF3F7B"/>
    <w:rsid w:val="00AF5A05"/>
    <w:rsid w:val="00AF5FAE"/>
    <w:rsid w:val="00B05A69"/>
    <w:rsid w:val="00B13F1A"/>
    <w:rsid w:val="00B13FED"/>
    <w:rsid w:val="00B3105B"/>
    <w:rsid w:val="00B34109"/>
    <w:rsid w:val="00B36AB2"/>
    <w:rsid w:val="00B37DEC"/>
    <w:rsid w:val="00B41C97"/>
    <w:rsid w:val="00B43526"/>
    <w:rsid w:val="00B474CC"/>
    <w:rsid w:val="00B522E1"/>
    <w:rsid w:val="00B60F45"/>
    <w:rsid w:val="00B6267A"/>
    <w:rsid w:val="00B73D72"/>
    <w:rsid w:val="00B86BA3"/>
    <w:rsid w:val="00B92B5A"/>
    <w:rsid w:val="00B96686"/>
    <w:rsid w:val="00B9734B"/>
    <w:rsid w:val="00BA06F5"/>
    <w:rsid w:val="00BA67B0"/>
    <w:rsid w:val="00BA77CF"/>
    <w:rsid w:val="00BB0D9B"/>
    <w:rsid w:val="00BB5CD4"/>
    <w:rsid w:val="00BC2A52"/>
    <w:rsid w:val="00BD1B76"/>
    <w:rsid w:val="00BE228C"/>
    <w:rsid w:val="00BE7536"/>
    <w:rsid w:val="00BF5AC1"/>
    <w:rsid w:val="00BF5DC9"/>
    <w:rsid w:val="00C01EBA"/>
    <w:rsid w:val="00C0664D"/>
    <w:rsid w:val="00C11BFE"/>
    <w:rsid w:val="00C149F9"/>
    <w:rsid w:val="00C27D2D"/>
    <w:rsid w:val="00C32AC3"/>
    <w:rsid w:val="00C37736"/>
    <w:rsid w:val="00C44565"/>
    <w:rsid w:val="00C6475B"/>
    <w:rsid w:val="00C64E9F"/>
    <w:rsid w:val="00C72CEB"/>
    <w:rsid w:val="00C76E8F"/>
    <w:rsid w:val="00C86093"/>
    <w:rsid w:val="00C9269A"/>
    <w:rsid w:val="00C92A8B"/>
    <w:rsid w:val="00C92D80"/>
    <w:rsid w:val="00C96966"/>
    <w:rsid w:val="00CA5ECB"/>
    <w:rsid w:val="00CA6965"/>
    <w:rsid w:val="00CB37EE"/>
    <w:rsid w:val="00CB70A0"/>
    <w:rsid w:val="00CC00C4"/>
    <w:rsid w:val="00CC5609"/>
    <w:rsid w:val="00CC6F64"/>
    <w:rsid w:val="00CD0768"/>
    <w:rsid w:val="00CD2539"/>
    <w:rsid w:val="00CD4DBF"/>
    <w:rsid w:val="00CE05D2"/>
    <w:rsid w:val="00CE6A0A"/>
    <w:rsid w:val="00CE7AED"/>
    <w:rsid w:val="00D02187"/>
    <w:rsid w:val="00D06321"/>
    <w:rsid w:val="00D07520"/>
    <w:rsid w:val="00D23F17"/>
    <w:rsid w:val="00D45252"/>
    <w:rsid w:val="00D45D03"/>
    <w:rsid w:val="00D52ED3"/>
    <w:rsid w:val="00D54EF5"/>
    <w:rsid w:val="00D577E3"/>
    <w:rsid w:val="00D62ED8"/>
    <w:rsid w:val="00D63E7E"/>
    <w:rsid w:val="00D66495"/>
    <w:rsid w:val="00D67904"/>
    <w:rsid w:val="00D71B4D"/>
    <w:rsid w:val="00D818C7"/>
    <w:rsid w:val="00D90D6E"/>
    <w:rsid w:val="00D93D55"/>
    <w:rsid w:val="00DA2C87"/>
    <w:rsid w:val="00DA57C0"/>
    <w:rsid w:val="00DB46E2"/>
    <w:rsid w:val="00DC09AB"/>
    <w:rsid w:val="00DC36F7"/>
    <w:rsid w:val="00DC3B81"/>
    <w:rsid w:val="00DD5099"/>
    <w:rsid w:val="00DE6F8B"/>
    <w:rsid w:val="00E018B9"/>
    <w:rsid w:val="00E05E58"/>
    <w:rsid w:val="00E10498"/>
    <w:rsid w:val="00E1488A"/>
    <w:rsid w:val="00E14A03"/>
    <w:rsid w:val="00E31A9F"/>
    <w:rsid w:val="00E335FE"/>
    <w:rsid w:val="00E44062"/>
    <w:rsid w:val="00E45380"/>
    <w:rsid w:val="00E5190E"/>
    <w:rsid w:val="00E53D6E"/>
    <w:rsid w:val="00E57FEB"/>
    <w:rsid w:val="00E61832"/>
    <w:rsid w:val="00E75D0B"/>
    <w:rsid w:val="00E830F4"/>
    <w:rsid w:val="00E93ABF"/>
    <w:rsid w:val="00EA1263"/>
    <w:rsid w:val="00EA1C16"/>
    <w:rsid w:val="00EA2503"/>
    <w:rsid w:val="00EA774D"/>
    <w:rsid w:val="00EB05DB"/>
    <w:rsid w:val="00EC20DE"/>
    <w:rsid w:val="00EC4E49"/>
    <w:rsid w:val="00ED06D6"/>
    <w:rsid w:val="00ED2526"/>
    <w:rsid w:val="00ED558C"/>
    <w:rsid w:val="00ED5E02"/>
    <w:rsid w:val="00ED77FB"/>
    <w:rsid w:val="00EE45FA"/>
    <w:rsid w:val="00EF3EBF"/>
    <w:rsid w:val="00EF6EB3"/>
    <w:rsid w:val="00F03D37"/>
    <w:rsid w:val="00F0458E"/>
    <w:rsid w:val="00F157FB"/>
    <w:rsid w:val="00F15B72"/>
    <w:rsid w:val="00F25043"/>
    <w:rsid w:val="00F35183"/>
    <w:rsid w:val="00F42279"/>
    <w:rsid w:val="00F4771F"/>
    <w:rsid w:val="00F55F29"/>
    <w:rsid w:val="00F61647"/>
    <w:rsid w:val="00F66152"/>
    <w:rsid w:val="00F66E9E"/>
    <w:rsid w:val="00F74219"/>
    <w:rsid w:val="00F93792"/>
    <w:rsid w:val="00FB1E9B"/>
    <w:rsid w:val="00FB47AA"/>
    <w:rsid w:val="00FC0519"/>
    <w:rsid w:val="00FD0F5F"/>
    <w:rsid w:val="00FD7942"/>
    <w:rsid w:val="00FD7AB4"/>
    <w:rsid w:val="00FF0B4A"/>
    <w:rsid w:val="00FF0C61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464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464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464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A4648"/>
    <w:rPr>
      <w:rFonts w:ascii="Calibri" w:hAnsi="Calibri" w:cs="Times New Roman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customStyle="1" w:styleId="Assembly">
    <w:name w:val="Assembly"/>
    <w:basedOn w:val="Normal"/>
    <w:next w:val="Normal"/>
    <w:uiPriority w:val="99"/>
    <w:rsid w:val="00093BD8"/>
    <w:pPr>
      <w:spacing w:before="480" w:line="336" w:lineRule="exact"/>
      <w:ind w:left="1021"/>
      <w:contextualSpacing/>
    </w:pPr>
    <w:rPr>
      <w:rFonts w:eastAsia="MS Mincho" w:cs="Times New Roman"/>
      <w:b/>
      <w:sz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8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20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19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3E4897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E4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648"/>
    <w:rPr>
      <w:rFonts w:eastAsia="SimSun" w:cs="Arial"/>
      <w:sz w:val="2"/>
      <w:lang w:eastAsia="zh-CN"/>
    </w:rPr>
  </w:style>
  <w:style w:type="paragraph" w:customStyle="1" w:styleId="Endofdocument">
    <w:name w:val="End of document"/>
    <w:basedOn w:val="Normal"/>
    <w:uiPriority w:val="99"/>
    <w:rsid w:val="00B13FED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character" w:styleId="PageNumber">
    <w:name w:val="page number"/>
    <w:basedOn w:val="DefaultParagraphFont"/>
    <w:uiPriority w:val="99"/>
    <w:rsid w:val="004B757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6649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A4648"/>
    <w:rPr>
      <w:rFonts w:eastAsia="SimSun" w:cs="Arial"/>
      <w:sz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F4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4648"/>
    <w:rPr>
      <w:rFonts w:ascii="Arial" w:eastAsia="SimSun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182263"/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464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464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464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A4648"/>
    <w:rPr>
      <w:rFonts w:ascii="Calibri" w:hAnsi="Calibri" w:cs="Times New Roman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customStyle="1" w:styleId="Assembly">
    <w:name w:val="Assembly"/>
    <w:basedOn w:val="Normal"/>
    <w:next w:val="Normal"/>
    <w:uiPriority w:val="99"/>
    <w:rsid w:val="00093BD8"/>
    <w:pPr>
      <w:spacing w:before="480" w:line="336" w:lineRule="exact"/>
      <w:ind w:left="1021"/>
      <w:contextualSpacing/>
    </w:pPr>
    <w:rPr>
      <w:rFonts w:eastAsia="MS Mincho" w:cs="Times New Roman"/>
      <w:b/>
      <w:sz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A4648"/>
    <w:rPr>
      <w:rFonts w:ascii="Arial" w:eastAsia="SimSun" w:hAnsi="Arial" w:cs="Arial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8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20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19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A4648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3E4897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E4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648"/>
    <w:rPr>
      <w:rFonts w:eastAsia="SimSun" w:cs="Arial"/>
      <w:sz w:val="2"/>
      <w:lang w:eastAsia="zh-CN"/>
    </w:rPr>
  </w:style>
  <w:style w:type="paragraph" w:customStyle="1" w:styleId="Endofdocument">
    <w:name w:val="End of document"/>
    <w:basedOn w:val="Normal"/>
    <w:uiPriority w:val="99"/>
    <w:rsid w:val="00B13FED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character" w:styleId="PageNumber">
    <w:name w:val="page number"/>
    <w:basedOn w:val="DefaultParagraphFont"/>
    <w:uiPriority w:val="99"/>
    <w:rsid w:val="004B757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6649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A4648"/>
    <w:rPr>
      <w:rFonts w:eastAsia="SimSun" w:cs="Arial"/>
      <w:sz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F4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4648"/>
    <w:rPr>
      <w:rFonts w:ascii="Arial" w:eastAsia="SimSun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182263"/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0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BCEC-D3A3-4794-8FBC-68EC416BE3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9FC22-C4F7-4CA5-BF3C-7257C7EB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1322</Words>
  <Characters>7272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H/A/30/</vt:lpstr>
      <vt:lpstr>H/A/30/</vt:lpstr>
    </vt:vector>
  </TitlesOfParts>
  <Company>WIPO</Company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H/A/30/</dc:title>
  <dc:creator>Coutantic</dc:creator>
  <cp:keywords>JCH/ko</cp:keywords>
  <cp:lastModifiedBy>DORE Marie-Pierre</cp:lastModifiedBy>
  <cp:revision>11</cp:revision>
  <cp:lastPrinted>2014-07-04T13:42:00Z</cp:lastPrinted>
  <dcterms:created xsi:type="dcterms:W3CDTF">2014-07-04T10:22:00Z</dcterms:created>
  <dcterms:modified xsi:type="dcterms:W3CDTF">2014-07-04T13:42:00Z</dcterms:modified>
</cp:coreProperties>
</file>