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0A854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11760B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H/A/41/</w:t>
      </w:r>
      <w:bookmarkStart w:id="1" w:name="Code"/>
      <w:bookmarkEnd w:id="1"/>
      <w:r w:rsidR="00B179D9">
        <w:rPr>
          <w:rFonts w:ascii="Arial Black" w:hAnsi="Arial Black"/>
          <w:caps/>
          <w:sz w:val="15"/>
          <w:szCs w:val="15"/>
        </w:rPr>
        <w:t>2</w:t>
      </w:r>
    </w:p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827BC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B179D9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320EFD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>
        <w:rPr>
          <w:rFonts w:ascii="Arial Black" w:hAnsi="Arial Black"/>
          <w:caps/>
          <w:sz w:val="15"/>
          <w:szCs w:val="15"/>
        </w:rPr>
        <w:t>ate</w:t>
      </w:r>
      <w:r w:rsidR="00827BC7">
        <w:rPr>
          <w:rFonts w:ascii="Arial Black" w:hAnsi="Arial Black"/>
          <w:caps/>
          <w:sz w:val="15"/>
          <w:szCs w:val="15"/>
        </w:rPr>
        <w:t> :</w:t>
      </w:r>
      <w:r w:rsidR="00DB0349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BB70CE">
        <w:rPr>
          <w:rFonts w:ascii="Arial Black" w:hAnsi="Arial Black"/>
          <w:caps/>
          <w:sz w:val="15"/>
          <w:szCs w:val="15"/>
        </w:rPr>
        <w:t>17</w:t>
      </w:r>
      <w:r w:rsidR="00B179D9">
        <w:rPr>
          <w:rFonts w:ascii="Arial Black" w:hAnsi="Arial Black"/>
          <w:caps/>
          <w:sz w:val="15"/>
          <w:szCs w:val="15"/>
        </w:rPr>
        <w:t> </w:t>
      </w:r>
      <w:r w:rsidR="00BB70CE">
        <w:rPr>
          <w:rFonts w:ascii="Arial Black" w:hAnsi="Arial Black"/>
          <w:caps/>
          <w:sz w:val="15"/>
          <w:szCs w:val="15"/>
        </w:rPr>
        <w:t>décembre</w:t>
      </w:r>
      <w:r w:rsidR="00B179D9">
        <w:rPr>
          <w:rFonts w:ascii="Arial Black" w:hAnsi="Arial Black"/>
          <w:caps/>
          <w:sz w:val="15"/>
          <w:szCs w:val="15"/>
        </w:rPr>
        <w:t> 2021</w:t>
      </w:r>
    </w:p>
    <w:bookmarkEnd w:id="3"/>
    <w:p w:rsidR="00C40E15" w:rsidRPr="0011760B" w:rsidRDefault="0011760B" w:rsidP="00DB0349">
      <w:pPr>
        <w:spacing w:after="600"/>
        <w:rPr>
          <w:b/>
          <w:sz w:val="28"/>
          <w:szCs w:val="28"/>
        </w:rPr>
      </w:pPr>
      <w:r w:rsidRPr="0011760B">
        <w:rPr>
          <w:b/>
          <w:sz w:val="28"/>
        </w:rPr>
        <w:t xml:space="preserve">Union particulière pour le dépôt international des dessins et modèles industriels (Union de </w:t>
      </w:r>
      <w:r w:rsidR="00827BC7">
        <w:rPr>
          <w:b/>
          <w:sz w:val="28"/>
        </w:rPr>
        <w:t>La Haye</w:t>
      </w:r>
      <w:r w:rsidRPr="0011760B">
        <w:rPr>
          <w:b/>
          <w:sz w:val="28"/>
          <w:szCs w:val="28"/>
        </w:rPr>
        <w:t>)</w:t>
      </w:r>
    </w:p>
    <w:p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8B2CC1" w:rsidRPr="003845C1" w:rsidRDefault="0011760B" w:rsidP="008B2CC1">
      <w:pPr>
        <w:rPr>
          <w:b/>
          <w:sz w:val="24"/>
          <w:szCs w:val="24"/>
        </w:rPr>
      </w:pPr>
      <w:r w:rsidRPr="00DB1B70">
        <w:rPr>
          <w:b/>
          <w:bCs/>
          <w:iCs/>
          <w:sz w:val="24"/>
        </w:rPr>
        <w:t>Quarante</w:t>
      </w:r>
      <w:r w:rsidR="00827BC7">
        <w:rPr>
          <w:b/>
          <w:bCs/>
          <w:iCs/>
          <w:sz w:val="24"/>
        </w:rPr>
        <w:t> et unième session</w:t>
      </w:r>
      <w:r w:rsidRPr="00DB1B70">
        <w:rPr>
          <w:b/>
          <w:bCs/>
          <w:iCs/>
          <w:sz w:val="24"/>
        </w:rPr>
        <w:t xml:space="preserve"> (23</w:t>
      </w:r>
      <w:r w:rsidRPr="00DB1B70">
        <w:rPr>
          <w:b/>
          <w:bCs/>
          <w:iCs/>
          <w:sz w:val="24"/>
          <w:vertAlign w:val="superscript"/>
        </w:rPr>
        <w:t>e</w:t>
      </w:r>
      <w:r w:rsidRPr="00DB1B70">
        <w:rPr>
          <w:b/>
          <w:bCs/>
          <w:iCs/>
          <w:sz w:val="24"/>
        </w:rPr>
        <w:t xml:space="preserve"> session ordinaire)</w:t>
      </w:r>
    </w:p>
    <w:p w:rsidR="008B2CC1" w:rsidRPr="003845C1" w:rsidRDefault="0011760B" w:rsidP="00DB0349">
      <w:pPr>
        <w:spacing w:after="720"/>
        <w:rPr>
          <w:b/>
          <w:sz w:val="24"/>
          <w:szCs w:val="24"/>
        </w:rPr>
      </w:pPr>
      <w:r w:rsidRPr="00DB1B70">
        <w:rPr>
          <w:b/>
          <w:bCs/>
          <w:iCs/>
          <w:sz w:val="24"/>
        </w:rPr>
        <w:t xml:space="preserve">Genève, 4 – </w:t>
      </w:r>
      <w:r w:rsidR="00827BC7" w:rsidRPr="00DB1B70">
        <w:rPr>
          <w:b/>
          <w:bCs/>
          <w:iCs/>
          <w:sz w:val="24"/>
        </w:rPr>
        <w:t>8</w:t>
      </w:r>
      <w:r w:rsidR="00827BC7">
        <w:rPr>
          <w:b/>
          <w:bCs/>
          <w:iCs/>
          <w:sz w:val="24"/>
        </w:rPr>
        <w:t> </w:t>
      </w:r>
      <w:r w:rsidR="00827BC7" w:rsidRPr="00DB1B70">
        <w:rPr>
          <w:b/>
          <w:bCs/>
          <w:iCs/>
          <w:sz w:val="24"/>
        </w:rPr>
        <w:t>octobre</w:t>
      </w:r>
      <w:r w:rsidR="00827BC7">
        <w:rPr>
          <w:b/>
          <w:bCs/>
          <w:iCs/>
          <w:sz w:val="24"/>
        </w:rPr>
        <w:t> </w:t>
      </w:r>
      <w:r w:rsidR="00827BC7" w:rsidRPr="00DB1B70">
        <w:rPr>
          <w:b/>
          <w:bCs/>
          <w:iCs/>
          <w:sz w:val="24"/>
        </w:rPr>
        <w:t>20</w:t>
      </w:r>
      <w:r w:rsidRPr="00DB1B70">
        <w:rPr>
          <w:b/>
          <w:bCs/>
          <w:iCs/>
          <w:sz w:val="24"/>
        </w:rPr>
        <w:t>21</w:t>
      </w:r>
    </w:p>
    <w:p w:rsidR="008B2CC1" w:rsidRPr="00842A13" w:rsidRDefault="00BB70CE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</w:t>
      </w:r>
      <w:r w:rsidR="00B179D9">
        <w:rPr>
          <w:caps/>
          <w:sz w:val="24"/>
        </w:rPr>
        <w:t>apport</w:t>
      </w:r>
    </w:p>
    <w:p w:rsidR="00525B63" w:rsidRPr="00842A13" w:rsidRDefault="00BB70CE" w:rsidP="00DB0349">
      <w:pPr>
        <w:spacing w:after="960"/>
      </w:pPr>
      <w:bookmarkStart w:id="5" w:name="Prepared"/>
      <w:bookmarkEnd w:id="4"/>
      <w:r>
        <w:rPr>
          <w:i/>
        </w:rPr>
        <w:t>adopt</w:t>
      </w:r>
      <w:r w:rsidR="00B179D9">
        <w:rPr>
          <w:i/>
        </w:rPr>
        <w:t>é par l</w:t>
      </w:r>
      <w:r>
        <w:rPr>
          <w:i/>
        </w:rPr>
        <w:t>’assemblée</w:t>
      </w:r>
    </w:p>
    <w:bookmarkEnd w:id="5"/>
    <w:p w:rsidR="00B179D9" w:rsidRPr="00FF2653" w:rsidRDefault="00B179D9" w:rsidP="00B179D9">
      <w:pPr>
        <w:pStyle w:val="ONUMFS"/>
        <w:rPr>
          <w:lang w:val="fr-FR"/>
        </w:rPr>
      </w:pPr>
      <w:r w:rsidRPr="00FF2653">
        <w:rPr>
          <w:lang w:val="fr-FR"/>
        </w:rPr>
        <w:t>L</w:t>
      </w:r>
      <w:r w:rsidR="00827BC7">
        <w:rPr>
          <w:lang w:val="fr-FR"/>
        </w:rPr>
        <w:t>’</w:t>
      </w:r>
      <w:r w:rsidRPr="00FF2653">
        <w:rPr>
          <w:lang w:val="fr-FR"/>
        </w:rPr>
        <w:t>assemblée avait à examiner les points suivants de l</w:t>
      </w:r>
      <w:r w:rsidR="00827BC7">
        <w:rPr>
          <w:lang w:val="fr-FR"/>
        </w:rPr>
        <w:t>’</w:t>
      </w:r>
      <w:r w:rsidRPr="00FF2653">
        <w:rPr>
          <w:lang w:val="fr-FR"/>
        </w:rPr>
        <w:t>ordre du jour unifié (document A/6</w:t>
      </w:r>
      <w:r>
        <w:rPr>
          <w:lang w:val="fr-FR"/>
        </w:rPr>
        <w:t>2</w:t>
      </w:r>
      <w:r w:rsidRPr="00FF2653">
        <w:rPr>
          <w:lang w:val="fr-FR"/>
        </w:rPr>
        <w:t>/1)</w:t>
      </w:r>
      <w:r w:rsidR="00827BC7">
        <w:rPr>
          <w:lang w:val="fr-FR"/>
        </w:rPr>
        <w:t> :</w:t>
      </w:r>
      <w:r w:rsidRPr="00FF2653">
        <w:rPr>
          <w:lang w:val="fr-FR"/>
        </w:rPr>
        <w:t xml:space="preserve"> 1, 2, </w:t>
      </w:r>
      <w:r>
        <w:rPr>
          <w:lang w:val="fr-FR"/>
        </w:rPr>
        <w:t xml:space="preserve">3, </w:t>
      </w:r>
      <w:r w:rsidRPr="00FF2653">
        <w:rPr>
          <w:lang w:val="fr-FR"/>
        </w:rPr>
        <w:t>4,</w:t>
      </w:r>
      <w:r>
        <w:rPr>
          <w:lang w:val="fr-FR"/>
        </w:rPr>
        <w:t xml:space="preserve"> 5, 6, 10.ii), 11, 12, 23, 32 et 33</w:t>
      </w:r>
      <w:r w:rsidRPr="00FF2653">
        <w:rPr>
          <w:lang w:val="fr-FR"/>
        </w:rPr>
        <w:t>.</w:t>
      </w:r>
    </w:p>
    <w:p w:rsidR="00B179D9" w:rsidRPr="00FF2653" w:rsidRDefault="00B179D9" w:rsidP="00B179D9">
      <w:pPr>
        <w:pStyle w:val="ONUMFS"/>
        <w:rPr>
          <w:lang w:val="fr-FR"/>
        </w:rPr>
      </w:pPr>
      <w:r w:rsidRPr="00FF2653">
        <w:rPr>
          <w:lang w:val="fr-FR"/>
        </w:rPr>
        <w:t>Le</w:t>
      </w:r>
      <w:r>
        <w:rPr>
          <w:lang w:val="fr-FR"/>
        </w:rPr>
        <w:t>s</w:t>
      </w:r>
      <w:r w:rsidRPr="00FF2653">
        <w:rPr>
          <w:lang w:val="fr-FR"/>
        </w:rPr>
        <w:t xml:space="preserve"> rapport</w:t>
      </w:r>
      <w:r>
        <w:rPr>
          <w:lang w:val="fr-FR"/>
        </w:rPr>
        <w:t>s</w:t>
      </w:r>
      <w:r w:rsidRPr="00FF2653">
        <w:rPr>
          <w:lang w:val="fr-FR"/>
        </w:rPr>
        <w:t xml:space="preserve"> sur ces points, à l</w:t>
      </w:r>
      <w:r w:rsidR="00827BC7">
        <w:rPr>
          <w:lang w:val="fr-FR"/>
        </w:rPr>
        <w:t>’</w:t>
      </w:r>
      <w:r w:rsidRPr="00FF2653">
        <w:rPr>
          <w:lang w:val="fr-FR"/>
        </w:rPr>
        <w:t>exception du point </w:t>
      </w:r>
      <w:r>
        <w:rPr>
          <w:lang w:val="fr-FR"/>
        </w:rPr>
        <w:t>23</w:t>
      </w:r>
      <w:r w:rsidRPr="00FF2653">
        <w:rPr>
          <w:lang w:val="fr-FR"/>
        </w:rPr>
        <w:t>, figure</w:t>
      </w:r>
      <w:r>
        <w:rPr>
          <w:lang w:val="fr-FR"/>
        </w:rPr>
        <w:t>nt</w:t>
      </w:r>
      <w:r w:rsidRPr="00FF2653">
        <w:rPr>
          <w:lang w:val="fr-FR"/>
        </w:rPr>
        <w:t xml:space="preserve"> dans le rapport général (document A/6</w:t>
      </w:r>
      <w:r>
        <w:rPr>
          <w:lang w:val="fr-FR"/>
        </w:rPr>
        <w:t>2</w:t>
      </w:r>
      <w:r w:rsidRPr="00FF2653">
        <w:rPr>
          <w:lang w:val="fr-FR"/>
        </w:rPr>
        <w:t>/1</w:t>
      </w:r>
      <w:r>
        <w:rPr>
          <w:lang w:val="fr-FR"/>
        </w:rPr>
        <w:t>3</w:t>
      </w:r>
      <w:r w:rsidRPr="00FF2653">
        <w:rPr>
          <w:lang w:val="fr-FR"/>
        </w:rPr>
        <w:t>).</w:t>
      </w:r>
    </w:p>
    <w:p w:rsidR="00B179D9" w:rsidRPr="00FF2653" w:rsidRDefault="00B179D9" w:rsidP="00B179D9">
      <w:pPr>
        <w:pStyle w:val="ONUMFS"/>
        <w:rPr>
          <w:lang w:val="fr-FR"/>
        </w:rPr>
      </w:pPr>
      <w:r w:rsidRPr="00FF2653">
        <w:rPr>
          <w:lang w:val="fr-FR"/>
        </w:rPr>
        <w:t>Le rapport sur le point </w:t>
      </w:r>
      <w:r>
        <w:rPr>
          <w:lang w:val="fr-FR"/>
        </w:rPr>
        <w:t>23</w:t>
      </w:r>
      <w:r w:rsidRPr="00FF2653">
        <w:rPr>
          <w:lang w:val="fr-FR"/>
        </w:rPr>
        <w:t xml:space="preserve"> figure dans le présent document.</w:t>
      </w:r>
    </w:p>
    <w:p w:rsidR="00B179D9" w:rsidRPr="000C7631" w:rsidRDefault="007E26F8" w:rsidP="00B179D9">
      <w:pPr>
        <w:pStyle w:val="ONUMFS"/>
        <w:rPr>
          <w:lang w:val="fr-FR"/>
        </w:rPr>
      </w:pPr>
      <w:r w:rsidRPr="004845B2">
        <w:t>M. </w:t>
      </w:r>
      <w:r>
        <w:t xml:space="preserve">David R. Gerk </w:t>
      </w:r>
      <w:r w:rsidR="00B179D9" w:rsidRPr="0033013B">
        <w:t>(</w:t>
      </w:r>
      <w:r>
        <w:t>États</w:t>
      </w:r>
      <w:r w:rsidR="0072210D">
        <w:noBreakHyphen/>
      </w:r>
      <w:r>
        <w:t>Unis d</w:t>
      </w:r>
      <w:r w:rsidR="00827BC7">
        <w:t>’</w:t>
      </w:r>
      <w:r>
        <w:t>Amérique</w:t>
      </w:r>
      <w:r w:rsidR="00B179D9" w:rsidRPr="0033013B">
        <w:t xml:space="preserve">) </w:t>
      </w:r>
      <w:r w:rsidR="00B179D9">
        <w:t>a été élu président de l</w:t>
      </w:r>
      <w:r w:rsidR="00827BC7">
        <w:t>’</w:t>
      </w:r>
      <w:r w:rsidR="00B179D9">
        <w:t>assemblée</w:t>
      </w:r>
      <w:r w:rsidR="00B179D9" w:rsidRPr="0033013B">
        <w:t xml:space="preserve">;  </w:t>
      </w:r>
      <w:r>
        <w:t>Mme Grace Issahaque</w:t>
      </w:r>
      <w:r w:rsidR="00B179D9" w:rsidRPr="000E6CDD" w:rsidDel="000E6CDD">
        <w:t xml:space="preserve"> </w:t>
      </w:r>
      <w:r w:rsidR="00B179D9">
        <w:t>(</w:t>
      </w:r>
      <w:r>
        <w:t>Ghana</w:t>
      </w:r>
      <w:r w:rsidR="00B179D9">
        <w:t xml:space="preserve">) </w:t>
      </w:r>
      <w:r>
        <w:t>a</w:t>
      </w:r>
      <w:r w:rsidR="00B179D9">
        <w:t xml:space="preserve"> été élu</w:t>
      </w:r>
      <w:r>
        <w:t>e vice</w:t>
      </w:r>
      <w:r w:rsidR="0072210D">
        <w:noBreakHyphen/>
      </w:r>
      <w:r>
        <w:t>présidente</w:t>
      </w:r>
      <w:r w:rsidR="00B179D9" w:rsidRPr="000C7631">
        <w:rPr>
          <w:lang w:val="fr-FR"/>
        </w:rPr>
        <w:t>.</w:t>
      </w:r>
    </w:p>
    <w:p w:rsidR="00B179D9" w:rsidRDefault="00B179D9">
      <w:pPr>
        <w:rPr>
          <w:bCs/>
          <w:iCs/>
          <w:caps/>
          <w:szCs w:val="28"/>
          <w:lang w:val="fr-FR"/>
        </w:rPr>
      </w:pPr>
      <w:r>
        <w:rPr>
          <w:lang w:val="fr-FR"/>
        </w:rPr>
        <w:br w:type="page"/>
      </w:r>
    </w:p>
    <w:p w:rsidR="00B179D9" w:rsidRPr="00FF2653" w:rsidRDefault="00827BC7" w:rsidP="00B179D9">
      <w:pPr>
        <w:pStyle w:val="Heading2"/>
        <w:spacing w:before="480"/>
        <w:rPr>
          <w:lang w:val="fr-FR"/>
        </w:rPr>
      </w:pPr>
      <w:r w:rsidRPr="00FF2653">
        <w:rPr>
          <w:lang w:val="fr-FR"/>
        </w:rPr>
        <w:lastRenderedPageBreak/>
        <w:t>Point</w:t>
      </w:r>
      <w:r>
        <w:rPr>
          <w:lang w:val="fr-FR"/>
        </w:rPr>
        <w:t> 2</w:t>
      </w:r>
      <w:r w:rsidR="00B179D9">
        <w:rPr>
          <w:lang w:val="fr-FR"/>
        </w:rPr>
        <w:t>3</w:t>
      </w:r>
      <w:r w:rsidR="00B179D9" w:rsidRPr="00FF2653">
        <w:rPr>
          <w:lang w:val="fr-FR"/>
        </w:rPr>
        <w:t xml:space="preserve"> de l</w:t>
      </w:r>
      <w:r>
        <w:rPr>
          <w:lang w:val="fr-FR"/>
        </w:rPr>
        <w:t>’</w:t>
      </w:r>
      <w:r w:rsidR="00B179D9" w:rsidRPr="00FF2653">
        <w:rPr>
          <w:lang w:val="fr-FR"/>
        </w:rPr>
        <w:t>ordre du jour unifié</w:t>
      </w:r>
    </w:p>
    <w:p w:rsidR="00B179D9" w:rsidRPr="00FF2653" w:rsidRDefault="00B179D9" w:rsidP="00B179D9">
      <w:pPr>
        <w:pStyle w:val="Heading2"/>
        <w:spacing w:after="240"/>
        <w:rPr>
          <w:lang w:val="fr-FR"/>
        </w:rPr>
      </w:pPr>
      <w:r w:rsidRPr="00FF2653">
        <w:rPr>
          <w:lang w:val="fr-FR"/>
        </w:rPr>
        <w:t xml:space="preserve">Système de </w:t>
      </w:r>
      <w:r w:rsidR="00827BC7">
        <w:rPr>
          <w:lang w:val="fr-FR"/>
        </w:rPr>
        <w:t>La Haye</w:t>
      </w:r>
    </w:p>
    <w:p w:rsidR="00E00BC9" w:rsidRPr="00FB0B62" w:rsidRDefault="00E00BC9" w:rsidP="00E00BC9">
      <w:pPr>
        <w:pStyle w:val="ONUMFS"/>
        <w:rPr>
          <w:lang w:val="fr-FR"/>
        </w:rPr>
      </w:pPr>
      <w:r w:rsidRPr="00FB0B62">
        <w:rPr>
          <w:lang w:val="fr-FR"/>
        </w:rPr>
        <w:t>Le président a accueilli une nouvelle partie contractante au sein de l</w:t>
      </w:r>
      <w:r w:rsidR="00827BC7">
        <w:rPr>
          <w:lang w:val="fr-FR"/>
        </w:rPr>
        <w:t>’</w:t>
      </w:r>
      <w:r w:rsidRPr="00FB0B62">
        <w:rPr>
          <w:lang w:val="fr-FR"/>
        </w:rPr>
        <w:t>Assemblée de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Union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, </w:t>
      </w:r>
      <w:r w:rsidR="00827BC7">
        <w:rPr>
          <w:lang w:val="fr-FR"/>
        </w:rPr>
        <w:t>à savoir</w:t>
      </w:r>
      <w:r w:rsidRPr="00FB0B62">
        <w:rPr>
          <w:lang w:val="fr-FR"/>
        </w:rPr>
        <w:t xml:space="preserve"> le Bélarus, devenu membre depuis la dernière session de septembre 2020.</w:t>
      </w:r>
    </w:p>
    <w:p w:rsidR="00E00BC9" w:rsidRPr="00FB0B62" w:rsidRDefault="00E00BC9" w:rsidP="00E00BC9">
      <w:pPr>
        <w:pStyle w:val="ONUMFS"/>
        <w:rPr>
          <w:lang w:val="fr-FR"/>
        </w:rPr>
      </w:pPr>
      <w:r w:rsidRPr="00FB0B62">
        <w:rPr>
          <w:lang w:val="fr-FR"/>
        </w:rPr>
        <w:t xml:space="preserve">Les délibérations ont eu lieu sur la base du document </w:t>
      </w:r>
      <w:hyperlink r:id="rId8" w:history="1">
        <w:r w:rsidRPr="007B1116">
          <w:rPr>
            <w:rStyle w:val="Hyperlink"/>
            <w:lang w:val="fr-FR"/>
          </w:rPr>
          <w:t>H/A/41/1</w:t>
        </w:r>
      </w:hyperlink>
      <w:r w:rsidRPr="00FB0B62">
        <w:rPr>
          <w:lang w:val="fr-FR"/>
        </w:rPr>
        <w:t>.</w:t>
      </w:r>
    </w:p>
    <w:p w:rsidR="00E00BC9" w:rsidRPr="00FB0B62" w:rsidRDefault="00E00BC9" w:rsidP="00E00BC9">
      <w:pPr>
        <w:pStyle w:val="ONUMFS"/>
        <w:rPr>
          <w:lang w:val="fr-FR"/>
        </w:rPr>
      </w:pPr>
      <w:r w:rsidRPr="00FB0B62">
        <w:rPr>
          <w:lang w:val="fr-FR"/>
        </w:rPr>
        <w:t>Le Secrétariat a expliqué que la réunion de l</w:t>
      </w:r>
      <w:r w:rsidR="00827BC7">
        <w:rPr>
          <w:lang w:val="fr-FR"/>
        </w:rPr>
        <w:t>’</w:t>
      </w:r>
      <w:r w:rsidRPr="00FB0B62">
        <w:rPr>
          <w:lang w:val="fr-FR"/>
        </w:rPr>
        <w:t>Assemblée de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Union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organisée l</w:t>
      </w:r>
      <w:r w:rsidR="00827BC7">
        <w:rPr>
          <w:lang w:val="fr-FR"/>
        </w:rPr>
        <w:t>’</w:t>
      </w:r>
      <w:r w:rsidRPr="00FB0B62">
        <w:rPr>
          <w:lang w:val="fr-FR"/>
        </w:rPr>
        <w:t>année dernière s</w:t>
      </w:r>
      <w:r w:rsidR="00827BC7">
        <w:rPr>
          <w:lang w:val="fr-FR"/>
        </w:rPr>
        <w:t>’</w:t>
      </w:r>
      <w:r w:rsidRPr="00FB0B62">
        <w:rPr>
          <w:lang w:val="fr-FR"/>
        </w:rPr>
        <w:t>était tenue selon un ordre du jour réduit, ne permettant pas d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examiner les modifications de fond recommandées par le Groupe de travail sur le développement juridique du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concernant l</w:t>
      </w:r>
      <w:r w:rsidR="00827BC7">
        <w:rPr>
          <w:lang w:val="fr-FR"/>
        </w:rPr>
        <w:t>’</w:t>
      </w:r>
      <w:r w:rsidRPr="00FB0B62">
        <w:rPr>
          <w:lang w:val="fr-FR"/>
        </w:rPr>
        <w:t>enregistrement international des dessins et modèles industriels (ci</w:t>
      </w:r>
      <w:r w:rsidR="0072210D">
        <w:rPr>
          <w:lang w:val="fr-FR"/>
        </w:rPr>
        <w:noBreakHyphen/>
      </w:r>
      <w:r w:rsidRPr="00FB0B62">
        <w:rPr>
          <w:lang w:val="fr-FR"/>
        </w:rPr>
        <w:t>après dénommé “groupe de travail”).  En conséquence, le document H/A/41/1 contenait les recommandations des sessions 2019 et 2020 du groupe de trava</w:t>
      </w:r>
      <w:r w:rsidR="004845B2" w:rsidRPr="00FB0B62">
        <w:rPr>
          <w:lang w:val="fr-FR"/>
        </w:rPr>
        <w:t>il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Le</w:t>
      </w:r>
      <w:r w:rsidRPr="00FB0B62">
        <w:rPr>
          <w:lang w:val="fr-FR"/>
        </w:rPr>
        <w:t xml:space="preserve"> Secrétariat a souligné que chacune des modifications proposées dans ce document visait à renforcer la </w:t>
      </w:r>
      <w:r w:rsidR="00CD42E7">
        <w:rPr>
          <w:lang w:val="fr-FR"/>
        </w:rPr>
        <w:t xml:space="preserve">facilité d’utilisation </w:t>
      </w:r>
      <w:r w:rsidRPr="00FB0B62">
        <w:rPr>
          <w:lang w:val="fr-FR"/>
        </w:rPr>
        <w:t xml:space="preserve">du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en simplifiant ses procédures, et en offrant aux utilisateurs davantage de souplesse dans leurs stratégies et une protection accrue de leurs intérê</w:t>
      </w:r>
      <w:r w:rsidR="004845B2" w:rsidRPr="00FB0B62">
        <w:rPr>
          <w:lang w:val="fr-FR"/>
        </w:rPr>
        <w:t>ts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Da</w:t>
      </w:r>
      <w:r w:rsidRPr="00FB0B62">
        <w:rPr>
          <w:lang w:val="fr-FR"/>
        </w:rPr>
        <w:t>ns ce contexte, la première proposition, concernant la modification de la règle 21 du règlement d</w:t>
      </w:r>
      <w:r w:rsidR="00827BC7">
        <w:rPr>
          <w:lang w:val="fr-FR"/>
        </w:rPr>
        <w:t>’</w:t>
      </w:r>
      <w:r w:rsidRPr="00FB0B62">
        <w:rPr>
          <w:lang w:val="fr-FR"/>
        </w:rPr>
        <w:t>exécution commun, visait à faciliter l</w:t>
      </w:r>
      <w:r w:rsidR="00827BC7">
        <w:rPr>
          <w:lang w:val="fr-FR"/>
        </w:rPr>
        <w:t>’</w:t>
      </w:r>
      <w:r w:rsidRPr="00FB0B62">
        <w:rPr>
          <w:lang w:val="fr-FR"/>
        </w:rPr>
        <w:t>inscription d</w:t>
      </w:r>
      <w:r w:rsidR="00827BC7">
        <w:rPr>
          <w:lang w:val="fr-FR"/>
        </w:rPr>
        <w:t>’</w:t>
      </w:r>
      <w:r w:rsidRPr="00FB0B62">
        <w:rPr>
          <w:lang w:val="fr-FR"/>
        </w:rPr>
        <w:t>un changement de titulaire lorsque la demande était signée par le nouveau titulaire d</w:t>
      </w:r>
      <w:r w:rsidR="00827BC7">
        <w:rPr>
          <w:lang w:val="fr-FR"/>
        </w:rPr>
        <w:t>’</w:t>
      </w:r>
      <w:r w:rsidRPr="00FB0B62">
        <w:rPr>
          <w:lang w:val="fr-FR"/>
        </w:rPr>
        <w:t>un enregistrement internation</w:t>
      </w:r>
      <w:r w:rsidR="004845B2" w:rsidRPr="00FB0B62">
        <w:rPr>
          <w:lang w:val="fr-FR"/>
        </w:rPr>
        <w:t>al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De</w:t>
      </w:r>
      <w:r w:rsidRPr="00FB0B62">
        <w:rPr>
          <w:lang w:val="fr-FR"/>
        </w:rPr>
        <w:t>uxièmement, la proposition concernant une nouvelle règle 22</w:t>
      </w:r>
      <w:r w:rsidRPr="00FB0B62">
        <w:rPr>
          <w:i/>
          <w:lang w:val="fr-FR"/>
        </w:rPr>
        <w:t>bis</w:t>
      </w:r>
      <w:r w:rsidRPr="00FB0B62">
        <w:rPr>
          <w:lang w:val="fr-FR"/>
        </w:rPr>
        <w:t>, accompagnée de quelques modifications de la règle 15 et du barème des taxes, visait à permettre aux utilisateurs d</w:t>
      </w:r>
      <w:r w:rsidR="00827BC7">
        <w:rPr>
          <w:lang w:val="fr-FR"/>
        </w:rPr>
        <w:t>’</w:t>
      </w:r>
      <w:r w:rsidRPr="00FB0B62">
        <w:rPr>
          <w:lang w:val="fr-FR"/>
        </w:rPr>
        <w:t>ajouter une revendication de priorité après le dép</w:t>
      </w:r>
      <w:r w:rsidR="004845B2" w:rsidRPr="00FB0B62">
        <w:rPr>
          <w:lang w:val="fr-FR"/>
        </w:rPr>
        <w:t>ôt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Tr</w:t>
      </w:r>
      <w:r w:rsidRPr="00FB0B62">
        <w:rPr>
          <w:lang w:val="fr-FR"/>
        </w:rPr>
        <w:t>oisièmement, il a été proposé de modifier la règle 5.  La règle 5 offre aux utilisateurs une protection en cas de non</w:t>
      </w:r>
      <w:r w:rsidR="0072210D">
        <w:rPr>
          <w:lang w:val="fr-FR"/>
        </w:rPr>
        <w:noBreakHyphen/>
      </w:r>
      <w:r w:rsidRPr="00FB0B62">
        <w:rPr>
          <w:lang w:val="fr-FR"/>
        </w:rPr>
        <w:t>respect d</w:t>
      </w:r>
      <w:r w:rsidR="00827BC7">
        <w:rPr>
          <w:lang w:val="fr-FR"/>
        </w:rPr>
        <w:t>’</w:t>
      </w:r>
      <w:r w:rsidRPr="00FB0B62">
        <w:rPr>
          <w:lang w:val="fr-FR"/>
        </w:rPr>
        <w:t>un délai, mais a été jugée trop restrictive dans le cadre de la pandémie de COVID</w:t>
      </w:r>
      <w:r w:rsidR="0072210D">
        <w:rPr>
          <w:lang w:val="fr-FR"/>
        </w:rPr>
        <w:noBreakHyphen/>
      </w:r>
      <w:r w:rsidRPr="00FB0B62">
        <w:rPr>
          <w:lang w:val="fr-FR"/>
        </w:rPr>
        <w:t>19.  La modification proposée offrirait aux utilisateurs des garanties adéquates en cas d</w:t>
      </w:r>
      <w:r w:rsidR="00827BC7">
        <w:rPr>
          <w:lang w:val="fr-FR"/>
        </w:rPr>
        <w:t>’</w:t>
      </w:r>
      <w:r w:rsidRPr="00FB0B62">
        <w:rPr>
          <w:lang w:val="fr-FR"/>
        </w:rPr>
        <w:t>événement de force majeure, notamment une pandém</w:t>
      </w:r>
      <w:r w:rsidR="004845B2" w:rsidRPr="00FB0B62">
        <w:rPr>
          <w:lang w:val="fr-FR"/>
        </w:rPr>
        <w:t>ie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Le</w:t>
      </w:r>
      <w:r w:rsidRPr="00FB0B62">
        <w:rPr>
          <w:lang w:val="fr-FR"/>
        </w:rPr>
        <w:t xml:space="preserve"> Secrétariat a ajouté que d</w:t>
      </w:r>
      <w:r w:rsidR="00827BC7">
        <w:rPr>
          <w:lang w:val="fr-FR"/>
        </w:rPr>
        <w:t>’</w:t>
      </w:r>
      <w:r w:rsidRPr="00FB0B62">
        <w:rPr>
          <w:lang w:val="fr-FR"/>
        </w:rPr>
        <w:t>autres services de l</w:t>
      </w:r>
      <w:r w:rsidR="00827BC7">
        <w:rPr>
          <w:lang w:val="fr-FR"/>
        </w:rPr>
        <w:t>’</w:t>
      </w:r>
      <w:r w:rsidRPr="00FB0B62">
        <w:rPr>
          <w:lang w:val="fr-FR"/>
        </w:rPr>
        <w:t>OMPI avaient proposé des modifications similaires de leurs cadres juridiqu</w:t>
      </w:r>
      <w:r w:rsidR="004845B2" w:rsidRPr="00FB0B62">
        <w:rPr>
          <w:lang w:val="fr-FR"/>
        </w:rPr>
        <w:t>es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En</w:t>
      </w:r>
      <w:r w:rsidRPr="00FB0B62">
        <w:rPr>
          <w:lang w:val="fr-FR"/>
        </w:rPr>
        <w:t>fin, la dernière proposition visait à modifier la règle 17 et à introduire une disposition transitoire conne</w:t>
      </w:r>
      <w:r w:rsidR="004845B2" w:rsidRPr="00FB0B62">
        <w:rPr>
          <w:lang w:val="fr-FR"/>
        </w:rPr>
        <w:t>xe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</w:t>
      </w:r>
      <w:r w:rsidR="004845B2">
        <w:rPr>
          <w:lang w:val="fr-FR"/>
        </w:rPr>
        <w:t>’</w:t>
      </w:r>
      <w:r w:rsidR="004845B2" w:rsidRPr="00FB0B62">
        <w:rPr>
          <w:lang w:val="fr-FR"/>
        </w:rPr>
        <w:t>o</w:t>
      </w:r>
      <w:r w:rsidRPr="00FB0B62">
        <w:rPr>
          <w:lang w:val="fr-FR"/>
        </w:rPr>
        <w:t>bjectif de cette proposition de modification était de répondre aux attentes des utilisateurs en portant le délai de publication standard de six à 12 mois, tout en introduisant la possibilité de demander une publication anticipée à tout moment au cours de cette pério</w:t>
      </w:r>
      <w:r w:rsidR="004845B2" w:rsidRPr="00FB0B62">
        <w:rPr>
          <w:lang w:val="fr-FR"/>
        </w:rPr>
        <w:t>de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Le</w:t>
      </w:r>
      <w:r w:rsidRPr="00FB0B62">
        <w:rPr>
          <w:lang w:val="fr-FR"/>
        </w:rPr>
        <w:t xml:space="preserve"> Secrétariat a noté que, à l</w:t>
      </w:r>
      <w:r w:rsidR="00827BC7">
        <w:rPr>
          <w:lang w:val="fr-FR"/>
        </w:rPr>
        <w:t>’</w:t>
      </w:r>
      <w:r w:rsidRPr="00FB0B62">
        <w:rPr>
          <w:lang w:val="fr-FR"/>
        </w:rPr>
        <w:t>exception de la nouvelle règle 22</w:t>
      </w:r>
      <w:r w:rsidRPr="00FB0B62">
        <w:rPr>
          <w:i/>
          <w:lang w:val="fr-FR"/>
        </w:rPr>
        <w:t>bis</w:t>
      </w:r>
      <w:r w:rsidRPr="00FB0B62">
        <w:rPr>
          <w:lang w:val="fr-FR"/>
        </w:rPr>
        <w:t xml:space="preserve"> proposée et des modifications connexes, pour lesquelles il était proposé de laisser la date d</w:t>
      </w:r>
      <w:r w:rsidR="00827BC7">
        <w:rPr>
          <w:lang w:val="fr-FR"/>
        </w:rPr>
        <w:t>’</w:t>
      </w:r>
      <w:r w:rsidRPr="00FB0B62">
        <w:rPr>
          <w:lang w:val="fr-FR"/>
        </w:rPr>
        <w:t>entrée en vigueur à la discrétion du Bureau international, la date d</w:t>
      </w:r>
      <w:r w:rsidR="00827BC7">
        <w:rPr>
          <w:lang w:val="fr-FR"/>
        </w:rPr>
        <w:t>’</w:t>
      </w:r>
      <w:r w:rsidRPr="00FB0B62">
        <w:rPr>
          <w:lang w:val="fr-FR"/>
        </w:rPr>
        <w:t>entrée en vigueur proposée pour toutes ces modifications était le</w:t>
      </w:r>
      <w:r w:rsidR="00827BC7">
        <w:rPr>
          <w:lang w:val="fr-FR"/>
        </w:rPr>
        <w:t xml:space="preserve"> 1</w:t>
      </w:r>
      <w:r w:rsidR="00827BC7" w:rsidRPr="00827BC7">
        <w:rPr>
          <w:vertAlign w:val="superscript"/>
          <w:lang w:val="fr-FR"/>
        </w:rPr>
        <w:t>er</w:t>
      </w:r>
      <w:r w:rsidR="00827BC7">
        <w:rPr>
          <w:lang w:val="fr-FR"/>
        </w:rPr>
        <w:t> </w:t>
      </w:r>
      <w:r w:rsidRPr="00FB0B62">
        <w:rPr>
          <w:lang w:val="fr-FR"/>
        </w:rPr>
        <w:t>janvier 2022.  Le</w:t>
      </w:r>
      <w:r w:rsidR="00DC1B9E">
        <w:rPr>
          <w:lang w:val="fr-FR"/>
        </w:rPr>
        <w:t> </w:t>
      </w:r>
      <w:r w:rsidRPr="00FB0B62">
        <w:rPr>
          <w:lang w:val="fr-FR"/>
        </w:rPr>
        <w:t>Secrétariat a rappelé qu</w:t>
      </w:r>
      <w:r w:rsidR="00827BC7">
        <w:rPr>
          <w:lang w:val="fr-FR"/>
        </w:rPr>
        <w:t>’</w:t>
      </w:r>
      <w:r w:rsidRPr="00FB0B62">
        <w:rPr>
          <w:lang w:val="fr-FR"/>
        </w:rPr>
        <w:t>en ce qui concerne les propositions de modification des règles 5</w:t>
      </w:r>
      <w:r w:rsidR="00DC1B9E">
        <w:rPr>
          <w:lang w:val="fr-FR"/>
        </w:rPr>
        <w:t> </w:t>
      </w:r>
      <w:r w:rsidRPr="00FB0B62">
        <w:rPr>
          <w:lang w:val="fr-FR"/>
        </w:rPr>
        <w:t>et</w:t>
      </w:r>
      <w:r w:rsidR="00DC1B9E">
        <w:rPr>
          <w:lang w:val="fr-FR"/>
        </w:rPr>
        <w:t> </w:t>
      </w:r>
      <w:r w:rsidRPr="00FB0B62">
        <w:rPr>
          <w:lang w:val="fr-FR"/>
        </w:rPr>
        <w:t>21, le groupe de travail avait recommandé des dates plus rapprochées, mais que celles</w:t>
      </w:r>
      <w:r w:rsidR="0072210D">
        <w:rPr>
          <w:lang w:val="fr-FR"/>
        </w:rPr>
        <w:noBreakHyphen/>
      </w:r>
      <w:r w:rsidRPr="00FB0B62">
        <w:rPr>
          <w:lang w:val="fr-FR"/>
        </w:rPr>
        <w:t>ci étaient devenues sans objet, l</w:t>
      </w:r>
      <w:r w:rsidR="00827BC7">
        <w:rPr>
          <w:lang w:val="fr-FR"/>
        </w:rPr>
        <w:t>’</w:t>
      </w:r>
      <w:r>
        <w:rPr>
          <w:lang w:val="fr-FR"/>
        </w:rPr>
        <w:t>a</w:t>
      </w:r>
      <w:r w:rsidRPr="00FB0B62">
        <w:rPr>
          <w:lang w:val="fr-FR"/>
        </w:rPr>
        <w:t>ssemblée n</w:t>
      </w:r>
      <w:r w:rsidR="00827BC7">
        <w:rPr>
          <w:lang w:val="fr-FR"/>
        </w:rPr>
        <w:t>’</w:t>
      </w:r>
      <w:r w:rsidRPr="00FB0B62">
        <w:rPr>
          <w:lang w:val="fr-FR"/>
        </w:rPr>
        <w:t>ayant encore pas eu l</w:t>
      </w:r>
      <w:r w:rsidR="00827BC7">
        <w:rPr>
          <w:lang w:val="fr-FR"/>
        </w:rPr>
        <w:t>’</w:t>
      </w:r>
      <w:r w:rsidRPr="00FB0B62">
        <w:rPr>
          <w:lang w:val="fr-FR"/>
        </w:rPr>
        <w:t>occasion d</w:t>
      </w:r>
      <w:r w:rsidR="00827BC7">
        <w:rPr>
          <w:lang w:val="fr-FR"/>
        </w:rPr>
        <w:t>’</w:t>
      </w:r>
      <w:r w:rsidRPr="00FB0B62">
        <w:rPr>
          <w:lang w:val="fr-FR"/>
        </w:rPr>
        <w:t>adopter lesdites propositions de modification.</w:t>
      </w:r>
    </w:p>
    <w:p w:rsidR="00E00BC9" w:rsidRPr="00FB0B62" w:rsidRDefault="00E00BC9" w:rsidP="00E00BC9">
      <w:pPr>
        <w:pStyle w:val="ONUMFS"/>
        <w:rPr>
          <w:lang w:val="fr-FR"/>
        </w:rPr>
      </w:pPr>
      <w:r>
        <w:rPr>
          <w:lang w:val="fr-FR"/>
        </w:rPr>
        <w:t>La délégation du Bélarus, parl</w:t>
      </w:r>
      <w:r w:rsidRPr="00FB0B62">
        <w:rPr>
          <w:lang w:val="fr-FR"/>
        </w:rPr>
        <w:t>ant au nom du groupe des pays d</w:t>
      </w:r>
      <w:r w:rsidR="00827BC7">
        <w:rPr>
          <w:lang w:val="fr-FR"/>
        </w:rPr>
        <w:t>’</w:t>
      </w:r>
      <w:r w:rsidRPr="00FB0B62">
        <w:rPr>
          <w:lang w:val="fr-FR"/>
        </w:rPr>
        <w:t>Asie centrale, du</w:t>
      </w:r>
      <w:r w:rsidR="00921860">
        <w:rPr>
          <w:lang w:val="fr-FR"/>
        </w:rPr>
        <w:t> </w:t>
      </w:r>
      <w:r w:rsidRPr="00FB0B62">
        <w:rPr>
          <w:lang w:val="fr-FR"/>
        </w:rPr>
        <w:t>Caucase et d</w:t>
      </w:r>
      <w:r w:rsidR="00827BC7">
        <w:rPr>
          <w:lang w:val="fr-FR"/>
        </w:rPr>
        <w:t>’</w:t>
      </w:r>
      <w:r w:rsidRPr="00FB0B62">
        <w:rPr>
          <w:lang w:val="fr-FR"/>
        </w:rPr>
        <w:t>Europe orientale, s</w:t>
      </w:r>
      <w:r w:rsidR="00827BC7">
        <w:rPr>
          <w:lang w:val="fr-FR"/>
        </w:rPr>
        <w:t>’</w:t>
      </w:r>
      <w:r w:rsidRPr="00FB0B62">
        <w:rPr>
          <w:lang w:val="fr-FR"/>
        </w:rPr>
        <w:t>est déclarée en faveur des modifications proposé</w:t>
      </w:r>
      <w:r w:rsidR="004845B2" w:rsidRPr="00FB0B62">
        <w:rPr>
          <w:lang w:val="fr-FR"/>
        </w:rPr>
        <w:t>es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El</w:t>
      </w:r>
      <w:r w:rsidRPr="00FB0B62">
        <w:rPr>
          <w:lang w:val="fr-FR"/>
        </w:rPr>
        <w:t>le a</w:t>
      </w:r>
      <w:r w:rsidR="00921860">
        <w:rPr>
          <w:lang w:val="fr-FR"/>
        </w:rPr>
        <w:t> </w:t>
      </w:r>
      <w:r w:rsidRPr="00FB0B62">
        <w:rPr>
          <w:lang w:val="fr-FR"/>
        </w:rPr>
        <w:t>également déclaré qu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elle espérait obtenir une confirmation des propositions concernant le développement linguistique du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au sein du groupe de travail, notant que la priorité devait être donnée aux langues officielles des </w:t>
      </w:r>
      <w:r w:rsidR="00827BC7">
        <w:rPr>
          <w:lang w:val="fr-FR"/>
        </w:rPr>
        <w:t>Nations Uni</w:t>
      </w:r>
      <w:r w:rsidR="004845B2">
        <w:rPr>
          <w:lang w:val="fr-FR"/>
        </w:rPr>
        <w:t xml:space="preserve">es.  </w:t>
      </w:r>
      <w:r w:rsidR="004845B2" w:rsidRPr="00FB0B62">
        <w:rPr>
          <w:lang w:val="fr-FR"/>
        </w:rPr>
        <w:t>En</w:t>
      </w:r>
      <w:r w:rsidRPr="00FB0B62">
        <w:rPr>
          <w:lang w:val="fr-FR"/>
        </w:rPr>
        <w:t xml:space="preserve"> sa qualité de représentante du pays, la délégation du </w:t>
      </w:r>
      <w:r>
        <w:rPr>
          <w:lang w:val="fr-FR"/>
        </w:rPr>
        <w:t>Bélarus</w:t>
      </w:r>
      <w:r w:rsidRPr="00FB0B62">
        <w:rPr>
          <w:lang w:val="fr-FR"/>
        </w:rPr>
        <w:t xml:space="preserve"> a remercié le président d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avoir </w:t>
      </w:r>
      <w:r w:rsidR="00AF1ECB">
        <w:rPr>
          <w:lang w:val="fr-FR"/>
        </w:rPr>
        <w:t>m</w:t>
      </w:r>
      <w:r w:rsidR="002A7AC3">
        <w:rPr>
          <w:lang w:val="fr-FR"/>
        </w:rPr>
        <w:t>entionné l’adhésion du</w:t>
      </w:r>
      <w:r w:rsidRPr="00FB0B62">
        <w:rPr>
          <w:lang w:val="fr-FR"/>
        </w:rPr>
        <w:t xml:space="preserve"> </w:t>
      </w:r>
      <w:r>
        <w:rPr>
          <w:lang w:val="fr-FR"/>
        </w:rPr>
        <w:t>Bélarus</w:t>
      </w:r>
      <w:r w:rsidRPr="00FB0B62">
        <w:rPr>
          <w:lang w:val="fr-FR"/>
        </w:rPr>
        <w:t xml:space="preserve"> au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>, une convention clé, portant le nombre de</w:t>
      </w:r>
      <w:r w:rsidR="002A7AC3">
        <w:rPr>
          <w:lang w:val="fr-FR"/>
        </w:rPr>
        <w:t xml:space="preserve"> </w:t>
      </w:r>
      <w:r w:rsidRPr="00FB0B62">
        <w:rPr>
          <w:lang w:val="fr-FR"/>
        </w:rPr>
        <w:t>s</w:t>
      </w:r>
      <w:r w:rsidR="002A7AC3">
        <w:rPr>
          <w:lang w:val="fr-FR"/>
        </w:rPr>
        <w:t>es</w:t>
      </w:r>
      <w:r w:rsidRPr="00FB0B62">
        <w:rPr>
          <w:lang w:val="fr-FR"/>
        </w:rPr>
        <w:t xml:space="preserve"> ratifications à 19.</w:t>
      </w:r>
    </w:p>
    <w:p w:rsidR="00E00BC9" w:rsidRPr="00FB0B62" w:rsidRDefault="00E00BC9" w:rsidP="001C6F66">
      <w:pPr>
        <w:pStyle w:val="ONUMFS"/>
        <w:keepLines/>
        <w:rPr>
          <w:lang w:val="fr-FR"/>
        </w:rPr>
      </w:pPr>
      <w:r w:rsidRPr="00FB0B62">
        <w:rPr>
          <w:lang w:val="fr-FR"/>
        </w:rPr>
        <w:lastRenderedPageBreak/>
        <w:t>La délégation de la Chine a souscrit aux modifications proposé</w:t>
      </w:r>
      <w:r w:rsidR="004845B2" w:rsidRPr="00FB0B62">
        <w:rPr>
          <w:lang w:val="fr-FR"/>
        </w:rPr>
        <w:t>es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s</w:t>
      </w:r>
      <w:r w:rsidR="00827BC7">
        <w:rPr>
          <w:lang w:val="fr-FR"/>
        </w:rPr>
        <w:t>’</w:t>
      </w:r>
      <w:r w:rsidRPr="00FB0B62">
        <w:rPr>
          <w:lang w:val="fr-FR"/>
        </w:rPr>
        <w:t>est également félicitée du travail accompli et de l</w:t>
      </w:r>
      <w:r w:rsidR="00827BC7">
        <w:rPr>
          <w:lang w:val="fr-FR"/>
        </w:rPr>
        <w:t>’</w:t>
      </w:r>
      <w:r w:rsidRPr="00FB0B62">
        <w:rPr>
          <w:lang w:val="fr-FR"/>
        </w:rPr>
        <w:t>attitude constructive des membres de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Union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et du Secrétariat dans la promotion de ces modificatio</w:t>
      </w:r>
      <w:r w:rsidR="004845B2" w:rsidRPr="00FB0B62">
        <w:rPr>
          <w:lang w:val="fr-FR"/>
        </w:rPr>
        <w:t>ns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a dit estimer que le multilinguisme était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une des valeurs fondamentales du système des </w:t>
      </w:r>
      <w:r w:rsidR="00827BC7">
        <w:rPr>
          <w:lang w:val="fr-FR"/>
        </w:rPr>
        <w:t>Nations Unies</w:t>
      </w:r>
      <w:r w:rsidRPr="00FB0B62">
        <w:rPr>
          <w:lang w:val="fr-FR"/>
        </w:rPr>
        <w:t xml:space="preserve">, </w:t>
      </w:r>
      <w:r w:rsidR="00827BC7">
        <w:rPr>
          <w:lang w:val="fr-FR"/>
        </w:rPr>
        <w:t>y compris</w:t>
      </w:r>
      <w:r w:rsidRPr="00FB0B62">
        <w:rPr>
          <w:lang w:val="fr-FR"/>
        </w:rPr>
        <w:t xml:space="preserve"> de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OMPI, et que le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et les autres systèmes de services mondiaux de propriété intellectuelle administrés par l</w:t>
      </w:r>
      <w:r w:rsidR="00827BC7">
        <w:rPr>
          <w:lang w:val="fr-FR"/>
        </w:rPr>
        <w:t>’</w:t>
      </w:r>
      <w:r w:rsidRPr="00FB0B62">
        <w:rPr>
          <w:lang w:val="fr-FR"/>
        </w:rPr>
        <w:t>OMPI devraient également appliquer cette vale</w:t>
      </w:r>
      <w:r w:rsidR="004845B2" w:rsidRPr="00FB0B62">
        <w:rPr>
          <w:lang w:val="fr-FR"/>
        </w:rPr>
        <w:t>ur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En</w:t>
      </w:r>
      <w:r w:rsidRPr="00FB0B62">
        <w:rPr>
          <w:lang w:val="fr-FR"/>
        </w:rPr>
        <w:t xml:space="preserve"> particulier, le système devait être optimisé et amélioré afin de répondre aux besoins d</w:t>
      </w:r>
      <w:r w:rsidR="00827BC7">
        <w:rPr>
          <w:lang w:val="fr-FR"/>
        </w:rPr>
        <w:t>’</w:t>
      </w:r>
      <w:r w:rsidRPr="00FB0B62">
        <w:rPr>
          <w:lang w:val="fr-FR"/>
        </w:rPr>
        <w:t>un plus grand nombre d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utilisateurs, compte tenu de </w:t>
      </w:r>
      <w:r w:rsidR="00CC3C0D">
        <w:rPr>
          <w:lang w:val="fr-FR"/>
        </w:rPr>
        <w:t>l’</w:t>
      </w:r>
      <w:r w:rsidRPr="00FB0B62">
        <w:rPr>
          <w:lang w:val="fr-FR"/>
        </w:rPr>
        <w:t xml:space="preserve">expansion </w:t>
      </w:r>
      <w:r w:rsidR="00CC3C0D">
        <w:rPr>
          <w:lang w:val="fr-FR"/>
        </w:rPr>
        <w:t xml:space="preserve">de sa couverture </w:t>
      </w:r>
      <w:r w:rsidRPr="00FB0B62">
        <w:rPr>
          <w:lang w:val="fr-FR"/>
        </w:rPr>
        <w:t>géographiq</w:t>
      </w:r>
      <w:r w:rsidR="004845B2" w:rsidRPr="00FB0B62">
        <w:rPr>
          <w:lang w:val="fr-FR"/>
        </w:rPr>
        <w:t>ue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Af</w:t>
      </w:r>
      <w:r w:rsidRPr="00FB0B62">
        <w:rPr>
          <w:lang w:val="fr-FR"/>
        </w:rPr>
        <w:t>in de s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adapter à la croissance rapide affichée par le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ces dernières années,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introduction de langues officielles des </w:t>
      </w:r>
      <w:r w:rsidR="00827BC7">
        <w:rPr>
          <w:lang w:val="fr-FR"/>
        </w:rPr>
        <w:t>Nations Unies</w:t>
      </w:r>
      <w:r w:rsidRPr="00FB0B62">
        <w:rPr>
          <w:lang w:val="fr-FR"/>
        </w:rPr>
        <w:t xml:space="preserve"> telles que l</w:t>
      </w:r>
      <w:r w:rsidR="00827BC7">
        <w:rPr>
          <w:lang w:val="fr-FR"/>
        </w:rPr>
        <w:t>’</w:t>
      </w:r>
      <w:r w:rsidRPr="00FB0B62">
        <w:rPr>
          <w:lang w:val="fr-FR"/>
        </w:rPr>
        <w:t>arabe, le chinois et le russe devait être accélérée afin que le système puisse mieux servir ses utilisateurs mondia</w:t>
      </w:r>
      <w:r w:rsidR="004845B2" w:rsidRPr="00FB0B62">
        <w:rPr>
          <w:lang w:val="fr-FR"/>
        </w:rPr>
        <w:t>ux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a ajouté qu</w:t>
      </w:r>
      <w:r w:rsidR="00827BC7">
        <w:rPr>
          <w:lang w:val="fr-FR"/>
        </w:rPr>
        <w:t>’</w:t>
      </w:r>
      <w:r w:rsidRPr="00FB0B62">
        <w:rPr>
          <w:lang w:val="fr-FR"/>
        </w:rPr>
        <w:t>elle avait accéléré son processus d</w:t>
      </w:r>
      <w:r w:rsidR="00827BC7">
        <w:rPr>
          <w:lang w:val="fr-FR"/>
        </w:rPr>
        <w:t>’</w:t>
      </w:r>
      <w:r w:rsidRPr="00FB0B62">
        <w:rPr>
          <w:lang w:val="fr-FR"/>
        </w:rPr>
        <w:t>adhésion à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Arrangement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et a dit espérer continuer de participer aux travaux liés au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>, en sa nouvelle qualité, dans un avenir proche.</w:t>
      </w:r>
    </w:p>
    <w:p w:rsidR="00E00BC9" w:rsidRPr="00FB0B62" w:rsidRDefault="00E00BC9" w:rsidP="00E00BC9">
      <w:pPr>
        <w:pStyle w:val="ONUMFS"/>
        <w:rPr>
          <w:lang w:val="fr-FR"/>
        </w:rPr>
      </w:pPr>
      <w:r w:rsidRPr="00FB0B62">
        <w:rPr>
          <w:lang w:val="fr-FR"/>
        </w:rPr>
        <w:t>La délégation de la Fédération de Russie s</w:t>
      </w:r>
      <w:r w:rsidR="00827BC7">
        <w:rPr>
          <w:lang w:val="fr-FR"/>
        </w:rPr>
        <w:t>’</w:t>
      </w:r>
      <w:r w:rsidRPr="00FB0B62">
        <w:rPr>
          <w:lang w:val="fr-FR"/>
        </w:rPr>
        <w:t>est associée à la déclaration faite par la délégation du Bélarus au nom du groupe des pays d</w:t>
      </w:r>
      <w:r w:rsidR="00827BC7">
        <w:rPr>
          <w:lang w:val="fr-FR"/>
        </w:rPr>
        <w:t>’</w:t>
      </w:r>
      <w:r w:rsidRPr="00FB0B62">
        <w:rPr>
          <w:lang w:val="fr-FR"/>
        </w:rPr>
        <w:t>Asie centrale, du Caucase et d</w:t>
      </w:r>
      <w:r w:rsidR="00827BC7">
        <w:rPr>
          <w:lang w:val="fr-FR"/>
        </w:rPr>
        <w:t>’</w:t>
      </w:r>
      <w:r w:rsidRPr="00FB0B62">
        <w:rPr>
          <w:lang w:val="fr-FR"/>
        </w:rPr>
        <w:t>Europe orienta</w:t>
      </w:r>
      <w:r w:rsidR="004845B2" w:rsidRPr="00FB0B62">
        <w:rPr>
          <w:lang w:val="fr-FR"/>
        </w:rPr>
        <w:t>le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</w:t>
      </w:r>
      <w:r w:rsidR="000E3C51">
        <w:rPr>
          <w:lang w:val="fr-FR"/>
        </w:rPr>
        <w:t>a salué</w:t>
      </w:r>
      <w:r w:rsidRPr="00FB0B62">
        <w:rPr>
          <w:lang w:val="fr-FR"/>
        </w:rPr>
        <w:t xml:space="preserve">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adhésion du Bélarus au système de </w:t>
      </w:r>
      <w:r w:rsidR="00827BC7">
        <w:rPr>
          <w:lang w:val="fr-FR"/>
        </w:rPr>
        <w:t>La Haye</w:t>
      </w:r>
      <w:r w:rsidRPr="00FB0B62">
        <w:rPr>
          <w:lang w:val="fr-FR"/>
        </w:rPr>
        <w:t xml:space="preserve"> et s</w:t>
      </w:r>
      <w:r w:rsidR="00827BC7">
        <w:rPr>
          <w:lang w:val="fr-FR"/>
        </w:rPr>
        <w:t>’</w:t>
      </w:r>
      <w:r w:rsidRPr="00FB0B62">
        <w:rPr>
          <w:lang w:val="fr-FR"/>
        </w:rPr>
        <w:t>est dite en faveur des propositions de modification du règlement d</w:t>
      </w:r>
      <w:r w:rsidR="00827BC7">
        <w:rPr>
          <w:lang w:val="fr-FR"/>
        </w:rPr>
        <w:t>’</w:t>
      </w:r>
      <w:r w:rsidRPr="00FB0B62">
        <w:rPr>
          <w:lang w:val="fr-FR"/>
        </w:rPr>
        <w:t>exécution commun, partageant l</w:t>
      </w:r>
      <w:r w:rsidR="00827BC7">
        <w:rPr>
          <w:lang w:val="fr-FR"/>
        </w:rPr>
        <w:t>’</w:t>
      </w:r>
      <w:r w:rsidRPr="00FB0B62">
        <w:rPr>
          <w:lang w:val="fr-FR"/>
        </w:rPr>
        <w:t>avis du Secrétariat selon lequel ces modifications répondaient aux besoins des utilisateurs du systè</w:t>
      </w:r>
      <w:r w:rsidR="004845B2" w:rsidRPr="00FB0B62">
        <w:rPr>
          <w:lang w:val="fr-FR"/>
        </w:rPr>
        <w:t>me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a jugé qu</w:t>
      </w:r>
      <w:r w:rsidR="00827BC7">
        <w:rPr>
          <w:lang w:val="fr-FR"/>
        </w:rPr>
        <w:t>’</w:t>
      </w:r>
      <w:r w:rsidRPr="00FB0B62">
        <w:rPr>
          <w:lang w:val="fr-FR"/>
        </w:rPr>
        <w:t>il était important de poursuivre les travaux sur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élargissement du régime linguistique du système de </w:t>
      </w:r>
      <w:r w:rsidR="00827BC7">
        <w:rPr>
          <w:lang w:val="fr-FR"/>
        </w:rPr>
        <w:t>La Ha</w:t>
      </w:r>
      <w:r w:rsidR="004845B2">
        <w:rPr>
          <w:lang w:val="fr-FR"/>
        </w:rPr>
        <w:t xml:space="preserve">ye.  </w:t>
      </w:r>
      <w:r w:rsidR="004845B2" w:rsidRPr="00FB0B62">
        <w:rPr>
          <w:lang w:val="fr-FR"/>
        </w:rPr>
        <w:t>El</w:t>
      </w:r>
      <w:r w:rsidRPr="00FB0B62">
        <w:rPr>
          <w:lang w:val="fr-FR"/>
        </w:rPr>
        <w:t>le a également estimé qu</w:t>
      </w:r>
      <w:r w:rsidR="00827BC7">
        <w:rPr>
          <w:lang w:val="fr-FR"/>
        </w:rPr>
        <w:t>’</w:t>
      </w:r>
      <w:r w:rsidRPr="00FB0B62">
        <w:rPr>
          <w:lang w:val="fr-FR"/>
        </w:rPr>
        <w:t>il était essentiel de procéder à une évaluation complète des perspectives et de mettre au point un système plus efficace utilisant la technologie de la traduction automati</w:t>
      </w:r>
      <w:r w:rsidR="006A1501">
        <w:rPr>
          <w:lang w:val="fr-FR"/>
        </w:rPr>
        <w:t>sée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Le</w:t>
      </w:r>
      <w:r w:rsidRPr="00FB0B62">
        <w:rPr>
          <w:lang w:val="fr-FR"/>
        </w:rPr>
        <w:t xml:space="preserve"> système serait conforme aux besoins des utilisateurs des différentes régions du mon</w:t>
      </w:r>
      <w:r w:rsidR="004845B2" w:rsidRPr="00FB0B62">
        <w:rPr>
          <w:lang w:val="fr-FR"/>
        </w:rPr>
        <w:t>de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a donc noté que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ajout de langues des </w:t>
      </w:r>
      <w:r w:rsidR="00827BC7">
        <w:rPr>
          <w:lang w:val="fr-FR"/>
        </w:rPr>
        <w:t>Nations Unies</w:t>
      </w:r>
      <w:r w:rsidRPr="00FB0B62">
        <w:rPr>
          <w:lang w:val="fr-FR"/>
        </w:rPr>
        <w:t xml:space="preserve"> devait être une question prioritai</w:t>
      </w:r>
      <w:r w:rsidR="004845B2" w:rsidRPr="00FB0B62">
        <w:rPr>
          <w:lang w:val="fr-FR"/>
        </w:rPr>
        <w:t>re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diversification du régime linguistique contribuerait à renforcer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attrait du système de </w:t>
      </w:r>
      <w:r w:rsidR="00827BC7">
        <w:rPr>
          <w:lang w:val="fr-FR"/>
        </w:rPr>
        <w:t>La Ha</w:t>
      </w:r>
      <w:r w:rsidR="004845B2">
        <w:rPr>
          <w:lang w:val="fr-FR"/>
        </w:rPr>
        <w:t xml:space="preserve">ye.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a dit attendre avec intérêt la poursuite du dialogue sur cette question, ainsi que la poursuite des activités conjointes visant à simplifier le régime linguistique actuel, en tenant compte des besoins des différents utilisateurs aux quatre coins de la planète.</w:t>
      </w:r>
    </w:p>
    <w:p w:rsidR="00E00BC9" w:rsidRPr="00FB0B62" w:rsidRDefault="00E00BC9" w:rsidP="00E00BC9">
      <w:pPr>
        <w:pStyle w:val="ONUMFS"/>
        <w:rPr>
          <w:lang w:val="fr-FR"/>
        </w:rPr>
      </w:pPr>
      <w:r w:rsidRPr="00FB0B62">
        <w:rPr>
          <w:lang w:val="fr-FR"/>
        </w:rPr>
        <w:t>La délégation du Maroc s</w:t>
      </w:r>
      <w:r w:rsidR="00827BC7">
        <w:rPr>
          <w:lang w:val="fr-FR"/>
        </w:rPr>
        <w:t>’</w:t>
      </w:r>
      <w:r w:rsidRPr="00FB0B62">
        <w:rPr>
          <w:lang w:val="fr-FR"/>
        </w:rPr>
        <w:t>est déclarée en faveur des modifications proposé</w:t>
      </w:r>
      <w:r w:rsidR="004845B2" w:rsidRPr="00FB0B62">
        <w:rPr>
          <w:lang w:val="fr-FR"/>
        </w:rPr>
        <w:t>es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El</w:t>
      </w:r>
      <w:r w:rsidRPr="00FB0B62">
        <w:rPr>
          <w:lang w:val="fr-FR"/>
        </w:rPr>
        <w:t xml:space="preserve">le a ajouté que les dessins et modèles industriels constituaient un aspect important du développement socioéconomique </w:t>
      </w:r>
      <w:r w:rsidR="00145CEA">
        <w:rPr>
          <w:lang w:val="fr-FR"/>
        </w:rPr>
        <w:t>a</w:t>
      </w:r>
      <w:r w:rsidRPr="00FB0B62">
        <w:rPr>
          <w:lang w:val="fr-FR"/>
        </w:rPr>
        <w:t>u Maroc, et représentaient un outil majeur pour la mise en valeur de la créativité des artisans et créateurs marocai</w:t>
      </w:r>
      <w:r w:rsidR="004845B2" w:rsidRPr="00FB0B62">
        <w:rPr>
          <w:lang w:val="fr-FR"/>
        </w:rPr>
        <w:t>ns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La</w:t>
      </w:r>
      <w:r w:rsidRPr="00FB0B62">
        <w:rPr>
          <w:lang w:val="fr-FR"/>
        </w:rPr>
        <w:t xml:space="preserve"> délégation a indiqué qu</w:t>
      </w:r>
      <w:r w:rsidR="00827BC7">
        <w:rPr>
          <w:lang w:val="fr-FR"/>
        </w:rPr>
        <w:t>’</w:t>
      </w:r>
      <w:r w:rsidRPr="00FB0B62">
        <w:rPr>
          <w:lang w:val="fr-FR"/>
        </w:rPr>
        <w:t>elle avait enregistré un bon niveau d</w:t>
      </w:r>
      <w:r w:rsidR="00827BC7">
        <w:rPr>
          <w:lang w:val="fr-FR"/>
        </w:rPr>
        <w:t>’</w:t>
      </w:r>
      <w:r w:rsidRPr="00FB0B62">
        <w:rPr>
          <w:lang w:val="fr-FR"/>
        </w:rPr>
        <w:t>utilisation du système au niveau nation</w:t>
      </w:r>
      <w:r w:rsidR="004845B2" w:rsidRPr="00FB0B62">
        <w:rPr>
          <w:lang w:val="fr-FR"/>
        </w:rPr>
        <w:t>al</w:t>
      </w:r>
      <w:r w:rsidR="004845B2">
        <w:rPr>
          <w:lang w:val="fr-FR"/>
        </w:rPr>
        <w:t xml:space="preserve">.  </w:t>
      </w:r>
      <w:r w:rsidR="004845B2" w:rsidRPr="00FB0B62">
        <w:rPr>
          <w:lang w:val="fr-FR"/>
        </w:rPr>
        <w:t>Ce</w:t>
      </w:r>
      <w:r w:rsidRPr="00FB0B62">
        <w:rPr>
          <w:lang w:val="fr-FR"/>
        </w:rPr>
        <w:t>la s</w:t>
      </w:r>
      <w:r w:rsidR="00827BC7">
        <w:rPr>
          <w:lang w:val="fr-FR"/>
        </w:rPr>
        <w:t>’</w:t>
      </w:r>
      <w:r w:rsidRPr="00FB0B62">
        <w:rPr>
          <w:lang w:val="fr-FR"/>
        </w:rPr>
        <w:t>était traduit par la dixième place du Maroc au classement mondial pour les dessins et modèles industriels par origine et PIB, ainsi que l</w:t>
      </w:r>
      <w:r w:rsidR="00827BC7">
        <w:rPr>
          <w:lang w:val="fr-FR"/>
        </w:rPr>
        <w:t>’</w:t>
      </w:r>
      <w:r w:rsidRPr="00FB0B62">
        <w:rPr>
          <w:lang w:val="fr-FR"/>
        </w:rPr>
        <w:t xml:space="preserve">indiquait </w:t>
      </w:r>
      <w:r w:rsidRPr="00145CEA">
        <w:rPr>
          <w:lang w:val="fr-FR"/>
        </w:rPr>
        <w:t>l</w:t>
      </w:r>
      <w:r w:rsidR="00827BC7" w:rsidRPr="007758FC">
        <w:rPr>
          <w:lang w:val="fr-FR"/>
        </w:rPr>
        <w:t>’</w:t>
      </w:r>
      <w:r w:rsidRPr="001C6F66">
        <w:rPr>
          <w:i/>
          <w:lang w:val="fr-FR"/>
        </w:rPr>
        <w:t>Indice mondial de l</w:t>
      </w:r>
      <w:r w:rsidR="00827BC7" w:rsidRPr="001C6F66">
        <w:rPr>
          <w:i/>
          <w:lang w:val="fr-FR"/>
        </w:rPr>
        <w:t>’</w:t>
      </w:r>
      <w:r w:rsidRPr="001C6F66">
        <w:rPr>
          <w:i/>
          <w:lang w:val="fr-FR"/>
        </w:rPr>
        <w:t>innovation de 2021</w:t>
      </w:r>
      <w:r w:rsidRPr="00FB0B62">
        <w:rPr>
          <w:lang w:val="fr-FR"/>
        </w:rPr>
        <w:t>.  Pour cette raison, le Maroc avait accueilli très favorablement les modifications proposées, qui allaient profiter à tous les utilisateurs et contribuer à la promotion du système auprès des concepteurs et des créateurs.</w:t>
      </w:r>
    </w:p>
    <w:p w:rsidR="00E00BC9" w:rsidRPr="006F587E" w:rsidRDefault="00E00BC9" w:rsidP="00E00BC9">
      <w:pPr>
        <w:pStyle w:val="ONUMFS"/>
        <w:ind w:left="567"/>
      </w:pPr>
      <w:r w:rsidRPr="006F587E">
        <w:t>L</w:t>
      </w:r>
      <w:r w:rsidR="00827BC7">
        <w:t>’</w:t>
      </w:r>
      <w:r w:rsidRPr="006F587E">
        <w:t>Assemblée de l</w:t>
      </w:r>
      <w:r w:rsidR="00827BC7">
        <w:t>’</w:t>
      </w:r>
      <w:r w:rsidRPr="006F587E">
        <w:t xml:space="preserve">Union de </w:t>
      </w:r>
      <w:r w:rsidR="00827BC7">
        <w:t>La Haye</w:t>
      </w:r>
      <w:r w:rsidRPr="006F587E">
        <w:t xml:space="preserve"> a adopté</w:t>
      </w:r>
    </w:p>
    <w:p w:rsidR="00E00BC9" w:rsidRPr="006F587E" w:rsidRDefault="00E00BC9" w:rsidP="00E00BC9">
      <w:pPr>
        <w:pStyle w:val="ONUMFS"/>
        <w:numPr>
          <w:ilvl w:val="2"/>
          <w:numId w:val="6"/>
        </w:numPr>
      </w:pPr>
      <w:r w:rsidRPr="006F587E">
        <w:t>les modifications des règles 5, 17, 21 et 37 du règlement d</w:t>
      </w:r>
      <w:r w:rsidR="00827BC7">
        <w:t>’</w:t>
      </w:r>
      <w:r w:rsidRPr="006F587E">
        <w:t>exécution commun indiquées aux annexes I et</w:t>
      </w:r>
      <w:r w:rsidR="007E26F8">
        <w:t> </w:t>
      </w:r>
      <w:r w:rsidRPr="006F587E">
        <w:t>III du document</w:t>
      </w:r>
      <w:r>
        <w:t> </w:t>
      </w:r>
      <w:r w:rsidRPr="006F587E">
        <w:t>H/A/41/1, avec une date d</w:t>
      </w:r>
      <w:r w:rsidR="00827BC7">
        <w:t>’</w:t>
      </w:r>
      <w:r w:rsidRPr="006F587E">
        <w:t>entrée en vigueur fixée au</w:t>
      </w:r>
      <w:r w:rsidR="00827BC7">
        <w:t xml:space="preserve"> 1</w:t>
      </w:r>
      <w:r w:rsidR="00827BC7" w:rsidRPr="00827BC7">
        <w:rPr>
          <w:vertAlign w:val="superscript"/>
        </w:rPr>
        <w:t>er</w:t>
      </w:r>
      <w:r w:rsidR="00827BC7">
        <w:t> </w:t>
      </w:r>
      <w:r w:rsidRPr="006F587E">
        <w:t>janvier 2022</w:t>
      </w:r>
      <w:r>
        <w:t>,</w:t>
      </w:r>
      <w:r w:rsidRPr="006F587E">
        <w:t xml:space="preserve"> et</w:t>
      </w:r>
    </w:p>
    <w:p w:rsidR="00E00BC9" w:rsidRPr="006F587E" w:rsidRDefault="00E00BC9" w:rsidP="00E00BC9">
      <w:pPr>
        <w:pStyle w:val="ONUMFS"/>
        <w:numPr>
          <w:ilvl w:val="2"/>
          <w:numId w:val="6"/>
        </w:numPr>
      </w:pPr>
      <w:r w:rsidRPr="006F587E">
        <w:t>les modifications des règles 15 et 22</w:t>
      </w:r>
      <w:r w:rsidRPr="006F587E">
        <w:rPr>
          <w:i/>
        </w:rPr>
        <w:t>bis</w:t>
      </w:r>
      <w:r w:rsidRPr="006F587E">
        <w:t xml:space="preserve"> du règlement d</w:t>
      </w:r>
      <w:r w:rsidR="00827BC7">
        <w:t>’</w:t>
      </w:r>
      <w:r w:rsidRPr="006F587E">
        <w:t>exécution commun et du barème des taxes indiquées aux annexes II et IV du document</w:t>
      </w:r>
      <w:r>
        <w:t> </w:t>
      </w:r>
      <w:r w:rsidRPr="006F587E">
        <w:t>H/A/41/1, avec une date d</w:t>
      </w:r>
      <w:r w:rsidR="00827BC7">
        <w:t>’</w:t>
      </w:r>
      <w:r w:rsidRPr="006F587E">
        <w:t>entrée en vigueur à déterminer par le Bureau international.</w:t>
      </w:r>
    </w:p>
    <w:p w:rsidR="000F5E56" w:rsidRDefault="00E00BC9" w:rsidP="00E00BC9">
      <w:pPr>
        <w:pStyle w:val="Endofdocument-Annex"/>
        <w:spacing w:before="720"/>
      </w:pPr>
      <w:r>
        <w:t>[Fin du document]</w:t>
      </w:r>
    </w:p>
    <w:sectPr w:rsidR="000F5E56" w:rsidSect="00B179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D9" w:rsidRDefault="00B179D9">
      <w:r>
        <w:separator/>
      </w:r>
    </w:p>
  </w:endnote>
  <w:endnote w:type="continuationSeparator" w:id="0">
    <w:p w:rsidR="00B179D9" w:rsidRPr="009D30E6" w:rsidRDefault="00B179D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179D9" w:rsidRPr="009D30E6" w:rsidRDefault="00B179D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179D9" w:rsidRPr="009D30E6" w:rsidRDefault="00B179D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D9" w:rsidRDefault="00B179D9">
      <w:r>
        <w:separator/>
      </w:r>
    </w:p>
  </w:footnote>
  <w:footnote w:type="continuationSeparator" w:id="0">
    <w:p w:rsidR="00B179D9" w:rsidRDefault="00B179D9" w:rsidP="007461F1">
      <w:r>
        <w:separator/>
      </w:r>
    </w:p>
    <w:p w:rsidR="00B179D9" w:rsidRPr="009D30E6" w:rsidRDefault="00B179D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179D9" w:rsidRPr="009D30E6" w:rsidRDefault="00B179D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B179D9" w:rsidP="00477D6B">
    <w:pPr>
      <w:jc w:val="right"/>
    </w:pPr>
    <w:bookmarkStart w:id="6" w:name="Code2"/>
    <w:bookmarkEnd w:id="6"/>
    <w:r>
      <w:t>H/A/41/2</w:t>
    </w:r>
  </w:p>
  <w:p w:rsidR="004F4E31" w:rsidRDefault="00B179D9" w:rsidP="00B179D9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9B5503">
      <w:rPr>
        <w:noProof/>
      </w:rPr>
      <w:t>3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82BA6"/>
    <w:multiLevelType w:val="hybridMultilevel"/>
    <w:tmpl w:val="E13E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9"/>
    <w:rsid w:val="0000701B"/>
    <w:rsid w:val="00011B7D"/>
    <w:rsid w:val="00075432"/>
    <w:rsid w:val="000A1B36"/>
    <w:rsid w:val="000E3C51"/>
    <w:rsid w:val="000F5E56"/>
    <w:rsid w:val="0011760B"/>
    <w:rsid w:val="001362EE"/>
    <w:rsid w:val="00145CEA"/>
    <w:rsid w:val="001832A6"/>
    <w:rsid w:val="00195C6E"/>
    <w:rsid w:val="001B266A"/>
    <w:rsid w:val="001C6F66"/>
    <w:rsid w:val="001D3D56"/>
    <w:rsid w:val="00240654"/>
    <w:rsid w:val="002634C4"/>
    <w:rsid w:val="002A7AC3"/>
    <w:rsid w:val="002D4918"/>
    <w:rsid w:val="002E4D1A"/>
    <w:rsid w:val="002F16BC"/>
    <w:rsid w:val="002F4E68"/>
    <w:rsid w:val="00315FCA"/>
    <w:rsid w:val="00320EFD"/>
    <w:rsid w:val="0033792A"/>
    <w:rsid w:val="003845C1"/>
    <w:rsid w:val="003A1BCD"/>
    <w:rsid w:val="004008A2"/>
    <w:rsid w:val="004025DF"/>
    <w:rsid w:val="00423E3E"/>
    <w:rsid w:val="00427AF4"/>
    <w:rsid w:val="004647DA"/>
    <w:rsid w:val="00477D6B"/>
    <w:rsid w:val="004845B2"/>
    <w:rsid w:val="004D6471"/>
    <w:rsid w:val="004F4E31"/>
    <w:rsid w:val="00525B63"/>
    <w:rsid w:val="00547476"/>
    <w:rsid w:val="00561DB8"/>
    <w:rsid w:val="00567A4C"/>
    <w:rsid w:val="005D578E"/>
    <w:rsid w:val="005E6516"/>
    <w:rsid w:val="00605827"/>
    <w:rsid w:val="00676936"/>
    <w:rsid w:val="006A1501"/>
    <w:rsid w:val="006B0DB5"/>
    <w:rsid w:val="006E4243"/>
    <w:rsid w:val="0072210D"/>
    <w:rsid w:val="007461F1"/>
    <w:rsid w:val="007758FC"/>
    <w:rsid w:val="007B1116"/>
    <w:rsid w:val="007D6961"/>
    <w:rsid w:val="007E26F8"/>
    <w:rsid w:val="007F07CB"/>
    <w:rsid w:val="00810CEF"/>
    <w:rsid w:val="0081208D"/>
    <w:rsid w:val="00827BC7"/>
    <w:rsid w:val="00842A13"/>
    <w:rsid w:val="008B2CC1"/>
    <w:rsid w:val="008E7930"/>
    <w:rsid w:val="0090731E"/>
    <w:rsid w:val="00921860"/>
    <w:rsid w:val="00966A22"/>
    <w:rsid w:val="00974CD6"/>
    <w:rsid w:val="009B5503"/>
    <w:rsid w:val="009D30E6"/>
    <w:rsid w:val="009E3144"/>
    <w:rsid w:val="009E3F6F"/>
    <w:rsid w:val="009F499F"/>
    <w:rsid w:val="00AC0AE4"/>
    <w:rsid w:val="00AD61DB"/>
    <w:rsid w:val="00AF1ECB"/>
    <w:rsid w:val="00B13487"/>
    <w:rsid w:val="00B179D9"/>
    <w:rsid w:val="00B51708"/>
    <w:rsid w:val="00B87BCF"/>
    <w:rsid w:val="00BA62D4"/>
    <w:rsid w:val="00BB70CE"/>
    <w:rsid w:val="00C40E15"/>
    <w:rsid w:val="00C664C8"/>
    <w:rsid w:val="00C76A79"/>
    <w:rsid w:val="00CA15F5"/>
    <w:rsid w:val="00CC3C0D"/>
    <w:rsid w:val="00CD3635"/>
    <w:rsid w:val="00CD42E7"/>
    <w:rsid w:val="00CE3A1B"/>
    <w:rsid w:val="00CF0460"/>
    <w:rsid w:val="00D45252"/>
    <w:rsid w:val="00D71B4D"/>
    <w:rsid w:val="00D75C1E"/>
    <w:rsid w:val="00D93D55"/>
    <w:rsid w:val="00DB0349"/>
    <w:rsid w:val="00DC1B9E"/>
    <w:rsid w:val="00DD6A16"/>
    <w:rsid w:val="00E0091A"/>
    <w:rsid w:val="00E00BC9"/>
    <w:rsid w:val="00E166AE"/>
    <w:rsid w:val="00E203AA"/>
    <w:rsid w:val="00E527A5"/>
    <w:rsid w:val="00E52C8A"/>
    <w:rsid w:val="00E5541B"/>
    <w:rsid w:val="00E76456"/>
    <w:rsid w:val="00EC1164"/>
    <w:rsid w:val="00EE71CB"/>
    <w:rsid w:val="00F16975"/>
    <w:rsid w:val="00F37AAE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BCF42BCB-B60E-4AB1-AFB8-8AE6B067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B179D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E00BC9"/>
    <w:pPr>
      <w:ind w:left="720"/>
      <w:contextualSpacing/>
    </w:pPr>
    <w:rPr>
      <w:rFonts w:eastAsia="Times New Roman"/>
      <w:lang w:val="en-US" w:eastAsia="en-US"/>
    </w:rPr>
  </w:style>
  <w:style w:type="character" w:styleId="Hyperlink">
    <w:name w:val="Hyperlink"/>
    <w:basedOn w:val="DefaultParagraphFont"/>
    <w:unhideWhenUsed/>
    <w:rsid w:val="007B1116"/>
    <w:rPr>
      <w:color w:val="auto"/>
      <w:u w:val="none"/>
    </w:rPr>
  </w:style>
  <w:style w:type="paragraph" w:styleId="BalloonText">
    <w:name w:val="Balloon Text"/>
    <w:basedOn w:val="Normal"/>
    <w:link w:val="BalloonTextChar"/>
    <w:semiHidden/>
    <w:unhideWhenUsed/>
    <w:rsid w:val="00145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5CE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1/a_62/doc_details.jsp?doc_id=5444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_A_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H_A_41 (F)</Template>
  <TotalTime>6</TotalTime>
  <Pages>3</Pages>
  <Words>1318</Words>
  <Characters>7160</Characters>
  <Application>Microsoft Office Word</Application>
  <DocSecurity>0</DocSecurity>
  <Lines>112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H/A/41/</vt:lpstr>
    </vt:vector>
  </TitlesOfParts>
  <Company>WIPO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H/A/41/2</dc:title>
  <dc:creator>WIPO</dc:creator>
  <cp:keywords>PUBLIC</cp:keywords>
  <cp:lastModifiedBy>HÄFLIGER Patience</cp:lastModifiedBy>
  <cp:revision>5</cp:revision>
  <cp:lastPrinted>2011-05-19T12:37:00Z</cp:lastPrinted>
  <dcterms:created xsi:type="dcterms:W3CDTF">2021-10-29T09:54:00Z</dcterms:created>
  <dcterms:modified xsi:type="dcterms:W3CDTF">2021-12-13T16:17:00Z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70f2e521-bc71-440c-9053-dc70674b9698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