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87" w:rsidRPr="00123893" w:rsidRDefault="00073287" w:rsidP="00073287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F</w:t>
      </w:r>
    </w:p>
    <w:p w:rsidR="00073287" w:rsidRDefault="00073287" w:rsidP="00073287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1137933C" wp14:editId="1C181E0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87" w:rsidRPr="00EA3800" w:rsidRDefault="00073287" w:rsidP="00073287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>
        <w:rPr>
          <w:rFonts w:ascii="Arial Black" w:hAnsi="Arial Black"/>
          <w:b/>
          <w:caps/>
          <w:sz w:val="15"/>
          <w:lang w:val="fr-CH"/>
        </w:rPr>
        <w:t>LI/A/35</w:t>
      </w:r>
      <w:r w:rsidRPr="00EA3800">
        <w:rPr>
          <w:rFonts w:ascii="Arial Black" w:hAnsi="Arial Black"/>
          <w:b/>
          <w:caps/>
          <w:sz w:val="15"/>
          <w:lang w:val="fr-CH"/>
        </w:rPr>
        <w:t>/</w:t>
      </w:r>
      <w:bookmarkStart w:id="0" w:name="Code"/>
      <w:bookmarkEnd w:id="0"/>
      <w:r>
        <w:rPr>
          <w:rFonts w:ascii="Arial Black" w:hAnsi="Arial Black"/>
          <w:b/>
          <w:caps/>
          <w:sz w:val="15"/>
          <w:lang w:val="fr-CH"/>
        </w:rPr>
        <w:t>2</w:t>
      </w:r>
    </w:p>
    <w:p w:rsidR="00073287" w:rsidRPr="00EA3800" w:rsidRDefault="00073287" w:rsidP="00073287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EA3800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EA3800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073287" w:rsidRPr="00EA3800" w:rsidRDefault="00073287" w:rsidP="00073287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EA3800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EA3800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Date"/>
      <w:bookmarkEnd w:id="2"/>
      <w:r>
        <w:rPr>
          <w:rFonts w:ascii="Arial Black" w:hAnsi="Arial Black"/>
          <w:b/>
          <w:caps/>
          <w:sz w:val="15"/>
          <w:lang w:val="fr-CH"/>
        </w:rPr>
        <w:t>23 juillet 2018</w:t>
      </w:r>
    </w:p>
    <w:p w:rsidR="00073287" w:rsidRDefault="00073287" w:rsidP="00073287">
      <w:pPr>
        <w:pStyle w:val="Heading1"/>
        <w:rPr>
          <w:lang w:val="fr-CH"/>
        </w:rPr>
      </w:pPr>
      <w:r w:rsidRPr="00EA3800">
        <w:rPr>
          <w:lang w:val="fr-CH"/>
        </w:rPr>
        <w:t>Union particulière pour la protection des appellations d</w:t>
      </w:r>
      <w:r>
        <w:rPr>
          <w:lang w:val="fr-CH"/>
        </w:rPr>
        <w:t>’</w:t>
      </w:r>
      <w:r w:rsidRPr="00EA3800">
        <w:rPr>
          <w:lang w:val="fr-CH"/>
        </w:rPr>
        <w:t>origine et leur enregistrement international (Union de Lisbonne)</w:t>
      </w:r>
    </w:p>
    <w:p w:rsidR="00073287" w:rsidRDefault="00073287" w:rsidP="00073287">
      <w:pPr>
        <w:pStyle w:val="Heading1"/>
        <w:rPr>
          <w:lang w:val="fr-CH"/>
        </w:rPr>
      </w:pPr>
      <w:r>
        <w:rPr>
          <w:lang w:val="fr-CH"/>
        </w:rPr>
        <w:t>Assemblée</w:t>
      </w:r>
    </w:p>
    <w:p w:rsidR="00073287" w:rsidRPr="00AE52F6" w:rsidRDefault="00073287" w:rsidP="00073287">
      <w:pPr>
        <w:spacing w:after="720"/>
        <w:rPr>
          <w:b/>
          <w:sz w:val="24"/>
          <w:szCs w:val="24"/>
          <w:lang w:val="fr-CH"/>
        </w:rPr>
      </w:pPr>
      <w:r w:rsidRPr="00AE52F6">
        <w:rPr>
          <w:b/>
          <w:sz w:val="24"/>
          <w:szCs w:val="24"/>
          <w:lang w:val="fr-CH"/>
        </w:rPr>
        <w:t>Trente-cinquième session (13</w:t>
      </w:r>
      <w:r w:rsidRPr="00AE52F6">
        <w:rPr>
          <w:b/>
          <w:sz w:val="24"/>
          <w:szCs w:val="24"/>
          <w:vertAlign w:val="superscript"/>
          <w:lang w:val="fr-CH"/>
        </w:rPr>
        <w:t>e</w:t>
      </w:r>
      <w:r w:rsidRPr="00AE52F6">
        <w:rPr>
          <w:b/>
          <w:sz w:val="24"/>
          <w:szCs w:val="24"/>
          <w:lang w:val="fr-CH"/>
        </w:rPr>
        <w:t xml:space="preserve"> session extraordinaire</w:t>
      </w:r>
      <w:proofErr w:type="gramStart"/>
      <w:r w:rsidRPr="00AE52F6">
        <w:rPr>
          <w:b/>
          <w:sz w:val="24"/>
          <w:szCs w:val="24"/>
          <w:lang w:val="fr-CH"/>
        </w:rPr>
        <w:t>)</w:t>
      </w:r>
      <w:proofErr w:type="gramEnd"/>
      <w:r w:rsidRPr="00AE52F6">
        <w:rPr>
          <w:b/>
          <w:sz w:val="24"/>
          <w:szCs w:val="24"/>
          <w:lang w:val="fr-CH"/>
        </w:rPr>
        <w:br/>
        <w:t>Genève, 24 septembre – 2 octobre 2018</w:t>
      </w:r>
    </w:p>
    <w:p w:rsidR="003E6EC4" w:rsidRPr="005446AA" w:rsidRDefault="00BE2657" w:rsidP="00BE2657">
      <w:pPr>
        <w:spacing w:after="360"/>
        <w:rPr>
          <w:caps/>
          <w:sz w:val="24"/>
          <w:lang w:val="fr-FR"/>
        </w:rPr>
      </w:pPr>
      <w:r w:rsidRPr="005446AA">
        <w:rPr>
          <w:caps/>
          <w:sz w:val="24"/>
          <w:lang w:val="fr-FR"/>
        </w:rPr>
        <w:t>Proposition</w:t>
      </w:r>
      <w:r w:rsidR="006A65A1" w:rsidRPr="005446AA">
        <w:rPr>
          <w:caps/>
          <w:sz w:val="24"/>
          <w:lang w:val="fr-FR"/>
        </w:rPr>
        <w:t>s</w:t>
      </w:r>
      <w:r w:rsidRPr="005446AA">
        <w:rPr>
          <w:caps/>
          <w:sz w:val="24"/>
          <w:lang w:val="fr-FR"/>
        </w:rPr>
        <w:t xml:space="preserve"> de modification du règlement d</w:t>
      </w:r>
      <w:r w:rsidR="00CD115B" w:rsidRPr="005446AA">
        <w:rPr>
          <w:caps/>
          <w:sz w:val="24"/>
          <w:lang w:val="fr-FR"/>
        </w:rPr>
        <w:t>’</w:t>
      </w:r>
      <w:r w:rsidRPr="005446AA">
        <w:rPr>
          <w:caps/>
          <w:sz w:val="24"/>
          <w:lang w:val="fr-FR"/>
        </w:rPr>
        <w:t>exécution commun à l</w:t>
      </w:r>
      <w:r w:rsidR="00CD115B" w:rsidRPr="005446AA">
        <w:rPr>
          <w:caps/>
          <w:sz w:val="24"/>
          <w:lang w:val="fr-FR"/>
        </w:rPr>
        <w:t>’</w:t>
      </w:r>
      <w:r w:rsidRPr="005446AA">
        <w:rPr>
          <w:caps/>
          <w:sz w:val="24"/>
          <w:lang w:val="fr-FR"/>
        </w:rPr>
        <w:t>Arrangement de Lisbonne et à l</w:t>
      </w:r>
      <w:r w:rsidR="00CD115B" w:rsidRPr="005446AA">
        <w:rPr>
          <w:caps/>
          <w:sz w:val="24"/>
          <w:lang w:val="fr-FR"/>
        </w:rPr>
        <w:t>’</w:t>
      </w:r>
      <w:r w:rsidRPr="005446AA">
        <w:rPr>
          <w:caps/>
          <w:sz w:val="24"/>
          <w:lang w:val="fr-FR"/>
        </w:rPr>
        <w:t>Acte de Genève de l</w:t>
      </w:r>
      <w:r w:rsidR="00CD115B" w:rsidRPr="005446AA">
        <w:rPr>
          <w:caps/>
          <w:sz w:val="24"/>
          <w:lang w:val="fr-FR"/>
        </w:rPr>
        <w:t>’</w:t>
      </w:r>
      <w:r w:rsidRPr="005446AA">
        <w:rPr>
          <w:caps/>
          <w:sz w:val="24"/>
          <w:lang w:val="fr-FR"/>
        </w:rPr>
        <w:t>Arrangement de Lisbonne</w:t>
      </w:r>
    </w:p>
    <w:p w:rsidR="003E6EC4" w:rsidRPr="005446AA" w:rsidRDefault="00375E89" w:rsidP="009C127D">
      <w:pPr>
        <w:spacing w:after="960"/>
        <w:rPr>
          <w:i/>
          <w:lang w:val="fr-FR"/>
        </w:rPr>
      </w:pPr>
      <w:bookmarkStart w:id="3" w:name="Prepared"/>
      <w:bookmarkEnd w:id="3"/>
      <w:r w:rsidRPr="005446AA">
        <w:rPr>
          <w:i/>
          <w:lang w:val="fr-FR"/>
        </w:rPr>
        <w:t>Document établi par le Bureau international</w:t>
      </w:r>
    </w:p>
    <w:p w:rsidR="00CD115B" w:rsidRPr="005446AA" w:rsidRDefault="00505C51" w:rsidP="001662C6">
      <w:pPr>
        <w:pStyle w:val="ONUMFS"/>
        <w:widowControl w:val="0"/>
        <w:rPr>
          <w:lang w:val="fr-FR"/>
        </w:rPr>
      </w:pPr>
      <w:r w:rsidRPr="005446AA">
        <w:rPr>
          <w:lang w:val="fr-FR"/>
        </w:rPr>
        <w:t>Le présent document contient des propositions de modification du barème des taxes figurant dans le règlement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exécution commun à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Arrangement de Lisbonne concernant la protection des appellations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origine et leur enregistrement international et à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Acte de Genève de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Arrangement de Lisbonne sur les appellations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 xml:space="preserve">origine et les indications géographiques </w:t>
      </w:r>
      <w:r w:rsidR="00FD2DBE">
        <w:rPr>
          <w:lang w:val="fr-FR"/>
        </w:rPr>
        <w:br/>
      </w:r>
      <w:r w:rsidRPr="005446AA">
        <w:rPr>
          <w:lang w:val="fr-FR"/>
        </w:rPr>
        <w:t>(ci</w:t>
      </w:r>
      <w:r w:rsidR="00CD115B" w:rsidRPr="005446AA">
        <w:rPr>
          <w:lang w:val="fr-FR"/>
        </w:rPr>
        <w:t>-</w:t>
      </w:r>
      <w:r w:rsidRPr="005446AA">
        <w:rPr>
          <w:lang w:val="fr-FR"/>
        </w:rPr>
        <w:t xml:space="preserve">après dénommé </w:t>
      </w:r>
      <w:r w:rsidR="00CD115B" w:rsidRPr="005446AA">
        <w:rPr>
          <w:lang w:val="fr-FR"/>
        </w:rPr>
        <w:t>“r</w:t>
      </w:r>
      <w:r w:rsidRPr="005446AA">
        <w:rPr>
          <w:lang w:val="fr-FR"/>
        </w:rPr>
        <w:t>èglement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exécution commu</w:t>
      </w:r>
      <w:r w:rsidR="00CD115B" w:rsidRPr="005446AA">
        <w:rPr>
          <w:lang w:val="fr-FR"/>
        </w:rPr>
        <w:t>n”</w:t>
      </w:r>
      <w:r w:rsidRPr="005446AA">
        <w:rPr>
          <w:lang w:val="fr-FR"/>
        </w:rPr>
        <w:t>)</w:t>
      </w:r>
      <w:r w:rsidRPr="005446AA">
        <w:rPr>
          <w:rStyle w:val="FootnoteReference"/>
          <w:lang w:val="fr-FR"/>
        </w:rPr>
        <w:footnoteReference w:id="2"/>
      </w:r>
      <w:r w:rsidRPr="005446AA">
        <w:rPr>
          <w:lang w:val="fr-FR"/>
        </w:rPr>
        <w:t>, comme convenu par le Groupe de travail sur le développement du système de Lisbonne (ci</w:t>
      </w:r>
      <w:r w:rsidR="00CD115B" w:rsidRPr="005446AA">
        <w:rPr>
          <w:rFonts w:eastAsia="MS Gothic"/>
          <w:lang w:val="fr-FR"/>
        </w:rPr>
        <w:t>-</w:t>
      </w:r>
      <w:r w:rsidRPr="005446AA">
        <w:rPr>
          <w:lang w:val="fr-FR"/>
        </w:rPr>
        <w:t>après dénommé “groupe de travail”) en vue de leur soumission à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Assemblée de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Union de Lisbonne pour examen durant la session en cours.</w:t>
      </w:r>
    </w:p>
    <w:p w:rsidR="00F12BC4" w:rsidRDefault="00F12BC4">
      <w:pPr>
        <w:rPr>
          <w:lang w:val="fr-FR"/>
        </w:rPr>
      </w:pPr>
      <w:r>
        <w:rPr>
          <w:lang w:val="fr-FR"/>
        </w:rPr>
        <w:lastRenderedPageBreak/>
        <w:br w:type="page"/>
      </w:r>
    </w:p>
    <w:p w:rsidR="003E6EC4" w:rsidRPr="005446AA" w:rsidRDefault="00FD2DBE" w:rsidP="001662C6">
      <w:pPr>
        <w:pStyle w:val="ONUMFS"/>
        <w:widowControl w:val="0"/>
        <w:rPr>
          <w:lang w:val="fr-FR"/>
        </w:rPr>
      </w:pPr>
      <w:bookmarkStart w:id="4" w:name="_GoBack"/>
      <w:bookmarkEnd w:id="4"/>
      <w:r>
        <w:rPr>
          <w:lang w:val="fr-FR"/>
        </w:rPr>
        <w:t>L</w:t>
      </w:r>
      <w:r w:rsidR="003E6EC4" w:rsidRPr="005446AA">
        <w:rPr>
          <w:lang w:val="fr-FR"/>
        </w:rPr>
        <w:t>es propositions de modification du règlement d</w:t>
      </w:r>
      <w:r w:rsidR="00CD115B" w:rsidRPr="005446AA">
        <w:rPr>
          <w:lang w:val="fr-FR"/>
        </w:rPr>
        <w:t>’</w:t>
      </w:r>
      <w:r w:rsidR="003E6EC4" w:rsidRPr="005446AA">
        <w:rPr>
          <w:lang w:val="fr-FR"/>
        </w:rPr>
        <w:t xml:space="preserve">exécution commun prévoient </w:t>
      </w:r>
      <w:r w:rsidR="00EB38E7" w:rsidRPr="005446AA">
        <w:rPr>
          <w:lang w:val="fr-FR"/>
        </w:rPr>
        <w:t>de ramener à</w:t>
      </w:r>
      <w:r w:rsidR="003E6EC4" w:rsidRPr="005446AA">
        <w:rPr>
          <w:lang w:val="fr-FR"/>
        </w:rPr>
        <w:t xml:space="preserve"> 50% du montant </w:t>
      </w:r>
      <w:r w:rsidR="001E6853" w:rsidRPr="005446AA">
        <w:rPr>
          <w:lang w:val="fr-FR"/>
        </w:rPr>
        <w:t>prescrit les</w:t>
      </w:r>
      <w:r w:rsidR="003E6EC4" w:rsidRPr="005446AA">
        <w:rPr>
          <w:lang w:val="fr-FR"/>
        </w:rPr>
        <w:t xml:space="preserve"> taxes </w:t>
      </w:r>
      <w:r w:rsidR="001E6853" w:rsidRPr="005446AA">
        <w:rPr>
          <w:lang w:val="fr-FR"/>
        </w:rPr>
        <w:t xml:space="preserve">pour </w:t>
      </w:r>
      <w:r w:rsidR="003E6EC4" w:rsidRPr="005446AA">
        <w:rPr>
          <w:lang w:val="fr-FR"/>
        </w:rPr>
        <w:t>les pays les moins avancés (PMA)</w:t>
      </w:r>
      <w:r w:rsidR="00EB38E7" w:rsidRPr="005446AA">
        <w:rPr>
          <w:lang w:val="fr-FR"/>
        </w:rPr>
        <w:t xml:space="preserve"> </w:t>
      </w:r>
      <w:r w:rsidR="00CD115B" w:rsidRPr="005446AA">
        <w:rPr>
          <w:lang w:val="fr-FR"/>
        </w:rPr>
        <w:t>à l’égard</w:t>
      </w:r>
      <w:r w:rsidR="00EB38E7" w:rsidRPr="005446AA">
        <w:rPr>
          <w:lang w:val="fr-FR"/>
        </w:rPr>
        <w:t xml:space="preserve"> des enregistrements internationaux d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>appellations d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>origine et d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>indications géographiques, ainsi qu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>il est prévu à l</w:t>
      </w:r>
      <w:r w:rsidR="00CD115B" w:rsidRPr="005446AA">
        <w:rPr>
          <w:lang w:val="fr-FR"/>
        </w:rPr>
        <w:t>’article 7</w:t>
      </w:r>
      <w:r w:rsidR="00EB38E7" w:rsidRPr="005446AA">
        <w:rPr>
          <w:lang w:val="fr-FR"/>
        </w:rPr>
        <w:t>.3) de l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>Acte de Genève de l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>Arrangement de Lisbonne sur les appellations d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>origine et les indications géographiques (ci</w:t>
      </w:r>
      <w:r w:rsidR="00CD115B" w:rsidRPr="005446AA">
        <w:rPr>
          <w:lang w:val="fr-FR"/>
        </w:rPr>
        <w:t>-</w:t>
      </w:r>
      <w:r w:rsidR="00EB38E7" w:rsidRPr="005446AA">
        <w:rPr>
          <w:lang w:val="fr-FR"/>
        </w:rPr>
        <w:t xml:space="preserve">après dénommé </w:t>
      </w:r>
      <w:r w:rsidR="00CD115B" w:rsidRPr="005446AA">
        <w:rPr>
          <w:lang w:val="fr-FR"/>
        </w:rPr>
        <w:t>“A</w:t>
      </w:r>
      <w:r w:rsidR="00EB38E7" w:rsidRPr="005446AA">
        <w:rPr>
          <w:lang w:val="fr-FR"/>
        </w:rPr>
        <w:t>cte de Genèv</w:t>
      </w:r>
      <w:r w:rsidR="00CD115B" w:rsidRPr="005446AA">
        <w:rPr>
          <w:lang w:val="fr-FR"/>
        </w:rPr>
        <w:t>e”</w:t>
      </w:r>
      <w:r w:rsidR="00EB38E7" w:rsidRPr="005446AA">
        <w:rPr>
          <w:lang w:val="fr-FR"/>
        </w:rPr>
        <w:t>).</w:t>
      </w:r>
      <w:r w:rsidR="00B51003" w:rsidRPr="005446AA">
        <w:rPr>
          <w:lang w:val="fr-FR"/>
        </w:rPr>
        <w:t xml:space="preserve"> </w:t>
      </w:r>
      <w:r w:rsidR="00F44509" w:rsidRPr="005446AA">
        <w:rPr>
          <w:lang w:val="fr-FR"/>
        </w:rPr>
        <w:t xml:space="preserve"> </w:t>
      </w:r>
      <w:r w:rsidR="00EB38E7" w:rsidRPr="005446AA">
        <w:rPr>
          <w:lang w:val="fr-FR"/>
        </w:rPr>
        <w:t>Afin de mettre en œuvre la réduction des taxes, il est proposé d</w:t>
      </w:r>
      <w:r w:rsidR="00CD115B" w:rsidRPr="005446AA">
        <w:rPr>
          <w:lang w:val="fr-FR"/>
        </w:rPr>
        <w:t>’</w:t>
      </w:r>
      <w:r w:rsidR="00EB38E7" w:rsidRPr="005446AA">
        <w:rPr>
          <w:lang w:val="fr-FR"/>
        </w:rPr>
        <w:t xml:space="preserve">insérer une note aux </w:t>
      </w:r>
      <w:r w:rsidR="00CD115B" w:rsidRPr="005446AA">
        <w:rPr>
          <w:lang w:val="fr-FR"/>
        </w:rPr>
        <w:t>points i)</w:t>
      </w:r>
      <w:r w:rsidR="00EB38E7" w:rsidRPr="005446AA">
        <w:rPr>
          <w:lang w:val="fr-FR"/>
        </w:rPr>
        <w:t xml:space="preserve"> </w:t>
      </w:r>
      <w:r w:rsidR="001662C6">
        <w:rPr>
          <w:lang w:val="fr-FR"/>
        </w:rPr>
        <w:t>et</w:t>
      </w:r>
      <w:r w:rsidR="001662C6">
        <w:rPr>
          <w:lang w:val="fr-FR"/>
        </w:rPr>
        <w:t> </w:t>
      </w:r>
      <w:r w:rsidR="00EB38E7" w:rsidRPr="005446AA">
        <w:rPr>
          <w:lang w:val="fr-FR"/>
        </w:rPr>
        <w:t>ii)</w:t>
      </w:r>
      <w:r w:rsidR="00F44509" w:rsidRPr="005446AA">
        <w:rPr>
          <w:lang w:val="fr-FR"/>
        </w:rPr>
        <w:t> </w:t>
      </w:r>
      <w:r w:rsidR="00EB38E7" w:rsidRPr="005446AA">
        <w:rPr>
          <w:lang w:val="fr-FR"/>
        </w:rPr>
        <w:t xml:space="preserve">de la </w:t>
      </w:r>
      <w:r w:rsidR="00CD115B" w:rsidRPr="005446AA">
        <w:rPr>
          <w:lang w:val="fr-FR"/>
        </w:rPr>
        <w:t>règle 8</w:t>
      </w:r>
      <w:r w:rsidR="00EB38E7" w:rsidRPr="005446AA">
        <w:rPr>
          <w:lang w:val="fr-FR"/>
        </w:rPr>
        <w:t>.1).</w:t>
      </w:r>
    </w:p>
    <w:p w:rsidR="003E6EC4" w:rsidRPr="005446AA" w:rsidRDefault="001E6853" w:rsidP="00E92C58">
      <w:pPr>
        <w:pStyle w:val="ONUMFS"/>
        <w:rPr>
          <w:lang w:val="fr-FR"/>
        </w:rPr>
      </w:pPr>
      <w:r w:rsidRPr="005446AA">
        <w:rPr>
          <w:lang w:val="fr-FR"/>
        </w:rPr>
        <w:t xml:space="preserve">Le groupe de travail a également recommandé </w:t>
      </w:r>
      <w:r w:rsidR="00B664CC" w:rsidRPr="005446AA">
        <w:rPr>
          <w:lang w:val="fr-FR"/>
        </w:rPr>
        <w:t>à</w:t>
      </w:r>
      <w:r w:rsidRPr="005446AA">
        <w:rPr>
          <w:lang w:val="fr-FR"/>
        </w:rPr>
        <w:t xml:space="preserve">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Assemblée de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Union de Lisbonne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 xml:space="preserve">appliquer la réduction de taxes indiquée au </w:t>
      </w:r>
      <w:r w:rsidR="00CD115B" w:rsidRPr="005446AA">
        <w:rPr>
          <w:lang w:val="fr-FR"/>
        </w:rPr>
        <w:t>paragraphe 2</w:t>
      </w:r>
      <w:r w:rsidRPr="005446AA">
        <w:rPr>
          <w:lang w:val="fr-FR"/>
        </w:rPr>
        <w:t xml:space="preserve"> pendant une durée de trois</w:t>
      </w:r>
      <w:r w:rsidR="00F44509" w:rsidRPr="005446AA">
        <w:rPr>
          <w:lang w:val="fr-FR"/>
        </w:rPr>
        <w:t> </w:t>
      </w:r>
      <w:r w:rsidRPr="005446AA">
        <w:rPr>
          <w:lang w:val="fr-FR"/>
        </w:rPr>
        <w:t>ans à compter de la date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entrée en vigueur de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Acte de Genève et de réévaluer la question de la réduction de taxes dans le cadre du système de Lisbonne une année avant 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expiration de ce délai</w:t>
      </w:r>
      <w:r w:rsidR="00E30C32" w:rsidRPr="005446AA">
        <w:rPr>
          <w:lang w:val="fr-FR"/>
        </w:rPr>
        <w:t>.</w:t>
      </w:r>
    </w:p>
    <w:p w:rsidR="003E6EC4" w:rsidRPr="005446AA" w:rsidRDefault="001E6853" w:rsidP="00E92C58">
      <w:pPr>
        <w:pStyle w:val="ONUMFS"/>
        <w:rPr>
          <w:lang w:val="fr-FR"/>
        </w:rPr>
      </w:pPr>
      <w:r w:rsidRPr="005446AA">
        <w:rPr>
          <w:lang w:val="fr-FR"/>
        </w:rPr>
        <w:t>L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annexe du présent document contient les modifications qu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>il est proposé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 xml:space="preserve">apporter à la </w:t>
      </w:r>
      <w:r w:rsidR="00CD115B" w:rsidRPr="005446AA">
        <w:rPr>
          <w:lang w:val="fr-FR"/>
        </w:rPr>
        <w:t>règle 8</w:t>
      </w:r>
      <w:r w:rsidRPr="005446AA">
        <w:rPr>
          <w:lang w:val="fr-FR"/>
        </w:rPr>
        <w:t>.1) du règlement d</w:t>
      </w:r>
      <w:r w:rsidR="00CD115B" w:rsidRPr="005446AA">
        <w:rPr>
          <w:lang w:val="fr-FR"/>
        </w:rPr>
        <w:t>’</w:t>
      </w:r>
      <w:r w:rsidRPr="005446AA">
        <w:rPr>
          <w:lang w:val="fr-FR"/>
        </w:rPr>
        <w:t xml:space="preserve">exécution commun, indiquées aux </w:t>
      </w:r>
      <w:r w:rsidR="00CD115B" w:rsidRPr="005446AA">
        <w:rPr>
          <w:lang w:val="fr-FR"/>
        </w:rPr>
        <w:t>paragraphes 2</w:t>
      </w:r>
      <w:r w:rsidRPr="005446AA">
        <w:rPr>
          <w:lang w:val="fr-FR"/>
        </w:rPr>
        <w:t xml:space="preserve"> et 3</w:t>
      </w:r>
      <w:r w:rsidR="00E30C32" w:rsidRPr="005446AA">
        <w:rPr>
          <w:rFonts w:eastAsiaTheme="minorHAnsi"/>
          <w:lang w:val="fr-FR" w:eastAsia="en-US"/>
        </w:rPr>
        <w:t>.</w:t>
      </w:r>
    </w:p>
    <w:p w:rsidR="00CD115B" w:rsidRPr="005446AA" w:rsidRDefault="001E6853" w:rsidP="00E92C58">
      <w:pPr>
        <w:pStyle w:val="ONUMFS"/>
        <w:ind w:left="5534"/>
        <w:rPr>
          <w:i/>
          <w:lang w:val="fr-FR"/>
        </w:rPr>
      </w:pPr>
      <w:r w:rsidRPr="005446AA">
        <w:rPr>
          <w:i/>
          <w:lang w:val="fr-FR"/>
        </w:rPr>
        <w:t>L</w:t>
      </w:r>
      <w:r w:rsidR="00CD115B" w:rsidRPr="005446AA">
        <w:rPr>
          <w:i/>
          <w:lang w:val="fr-FR"/>
        </w:rPr>
        <w:t>’</w:t>
      </w:r>
      <w:r w:rsidRPr="005446AA">
        <w:rPr>
          <w:i/>
          <w:lang w:val="fr-FR"/>
        </w:rPr>
        <w:t>Assemblée de l</w:t>
      </w:r>
      <w:r w:rsidR="00CD115B" w:rsidRPr="005446AA">
        <w:rPr>
          <w:i/>
          <w:lang w:val="fr-FR"/>
        </w:rPr>
        <w:t>’</w:t>
      </w:r>
      <w:r w:rsidRPr="005446AA">
        <w:rPr>
          <w:i/>
          <w:lang w:val="fr-FR"/>
        </w:rPr>
        <w:t>Union</w:t>
      </w:r>
      <w:r w:rsidR="00686465" w:rsidRPr="005446AA">
        <w:rPr>
          <w:i/>
          <w:lang w:val="fr-FR"/>
        </w:rPr>
        <w:t xml:space="preserve"> de Lisbonne</w:t>
      </w:r>
      <w:r w:rsidRPr="005446AA">
        <w:rPr>
          <w:i/>
          <w:lang w:val="fr-FR"/>
        </w:rPr>
        <w:t xml:space="preserve"> est invitée</w:t>
      </w:r>
    </w:p>
    <w:p w:rsidR="00CD115B" w:rsidRPr="00C3214C" w:rsidRDefault="001E6853" w:rsidP="00273B82">
      <w:pPr>
        <w:pStyle w:val="ONUMFS"/>
        <w:numPr>
          <w:ilvl w:val="2"/>
          <w:numId w:val="6"/>
        </w:numPr>
        <w:tabs>
          <w:tab w:val="clear" w:pos="1701"/>
        </w:tabs>
        <w:ind w:left="6237"/>
        <w:rPr>
          <w:i/>
          <w:lang w:val="fr-FR"/>
        </w:rPr>
      </w:pPr>
      <w:r w:rsidRPr="00C3214C">
        <w:rPr>
          <w:i/>
          <w:lang w:val="fr-FR"/>
        </w:rPr>
        <w:t>à adopter les modification</w:t>
      </w:r>
      <w:r w:rsidR="00B664CC" w:rsidRPr="00C3214C">
        <w:rPr>
          <w:i/>
          <w:lang w:val="fr-FR"/>
        </w:rPr>
        <w:t>s</w:t>
      </w:r>
      <w:r w:rsidRPr="00C3214C">
        <w:rPr>
          <w:i/>
          <w:lang w:val="fr-FR"/>
        </w:rPr>
        <w:t xml:space="preserve"> du</w:t>
      </w:r>
      <w:r w:rsidR="00B764A3" w:rsidRPr="00C3214C">
        <w:rPr>
          <w:i/>
          <w:lang w:val="fr-FR"/>
        </w:rPr>
        <w:t xml:space="preserve"> </w:t>
      </w:r>
      <w:r w:rsidRPr="00C3214C">
        <w:rPr>
          <w:i/>
          <w:lang w:val="fr-FR"/>
        </w:rPr>
        <w:t>règlement d</w:t>
      </w:r>
      <w:r w:rsidR="00CD115B" w:rsidRPr="00C3214C">
        <w:rPr>
          <w:i/>
          <w:lang w:val="fr-FR"/>
        </w:rPr>
        <w:t>’</w:t>
      </w:r>
      <w:r w:rsidRPr="00C3214C">
        <w:rPr>
          <w:i/>
          <w:lang w:val="fr-FR"/>
        </w:rPr>
        <w:t>exécution commun à l</w:t>
      </w:r>
      <w:r w:rsidR="00CD115B" w:rsidRPr="00C3214C">
        <w:rPr>
          <w:i/>
          <w:lang w:val="fr-FR"/>
        </w:rPr>
        <w:t>’</w:t>
      </w:r>
      <w:r w:rsidRPr="00C3214C">
        <w:rPr>
          <w:i/>
          <w:lang w:val="fr-FR"/>
        </w:rPr>
        <w:t>Arrangement de Lisbonne et à</w:t>
      </w:r>
      <w:r w:rsidR="00B764A3" w:rsidRPr="00C3214C">
        <w:rPr>
          <w:i/>
          <w:lang w:val="fr-FR"/>
        </w:rPr>
        <w:t> </w:t>
      </w:r>
      <w:r w:rsidRPr="00C3214C">
        <w:rPr>
          <w:i/>
          <w:lang w:val="fr-FR"/>
        </w:rPr>
        <w:t>l</w:t>
      </w:r>
      <w:r w:rsidR="00CD115B" w:rsidRPr="00C3214C">
        <w:rPr>
          <w:i/>
          <w:lang w:val="fr-FR"/>
        </w:rPr>
        <w:t>’</w:t>
      </w:r>
      <w:r w:rsidRPr="00C3214C">
        <w:rPr>
          <w:i/>
          <w:lang w:val="fr-FR"/>
        </w:rPr>
        <w:t>Acte de Genève de l</w:t>
      </w:r>
      <w:r w:rsidR="00CD115B" w:rsidRPr="00C3214C">
        <w:rPr>
          <w:i/>
          <w:lang w:val="fr-FR"/>
        </w:rPr>
        <w:t>’</w:t>
      </w:r>
      <w:r w:rsidR="00B664CC" w:rsidRPr="00C3214C">
        <w:rPr>
          <w:i/>
          <w:lang w:val="fr-FR"/>
        </w:rPr>
        <w:t>Arrangement de Lisbonne présentées à l</w:t>
      </w:r>
      <w:r w:rsidR="00CD115B" w:rsidRPr="00C3214C">
        <w:rPr>
          <w:i/>
          <w:lang w:val="fr-FR"/>
        </w:rPr>
        <w:t>’</w:t>
      </w:r>
      <w:r w:rsidR="00B664CC" w:rsidRPr="00C3214C">
        <w:rPr>
          <w:i/>
          <w:lang w:val="fr-FR"/>
        </w:rPr>
        <w:t xml:space="preserve">annexe du </w:t>
      </w:r>
      <w:r w:rsidR="00E30C32" w:rsidRPr="00C3214C">
        <w:rPr>
          <w:i/>
          <w:lang w:val="fr-FR"/>
        </w:rPr>
        <w:t>document</w:t>
      </w:r>
      <w:r w:rsidR="006258C9" w:rsidRPr="00C3214C">
        <w:rPr>
          <w:i/>
          <w:lang w:val="fr-FR"/>
        </w:rPr>
        <w:t> </w:t>
      </w:r>
      <w:r w:rsidR="00E30C32" w:rsidRPr="00C3214C">
        <w:rPr>
          <w:i/>
          <w:lang w:val="fr-FR"/>
        </w:rPr>
        <w:t>LI/A/35/2</w:t>
      </w:r>
      <w:r w:rsidR="00B664CC" w:rsidRPr="00C3214C">
        <w:rPr>
          <w:i/>
          <w:lang w:val="fr-FR"/>
        </w:rPr>
        <w:t xml:space="preserve"> et</w:t>
      </w:r>
    </w:p>
    <w:p w:rsidR="003E6EC4" w:rsidRPr="00C3214C" w:rsidRDefault="00B664CC" w:rsidP="00273B82">
      <w:pPr>
        <w:pStyle w:val="ONUMFS"/>
        <w:numPr>
          <w:ilvl w:val="2"/>
          <w:numId w:val="6"/>
        </w:numPr>
        <w:ind w:left="6237"/>
        <w:rPr>
          <w:i/>
          <w:lang w:val="fr-FR"/>
        </w:rPr>
      </w:pPr>
      <w:r w:rsidRPr="00C3214C">
        <w:rPr>
          <w:i/>
          <w:lang w:val="fr-FR"/>
        </w:rPr>
        <w:t>à réévaluer la question de la réduction des taxes dans le cadre du système de Lisbonne une année avant l</w:t>
      </w:r>
      <w:r w:rsidR="00CD115B" w:rsidRPr="00C3214C">
        <w:rPr>
          <w:i/>
          <w:lang w:val="fr-FR"/>
        </w:rPr>
        <w:t>’</w:t>
      </w:r>
      <w:r w:rsidRPr="00C3214C">
        <w:rPr>
          <w:i/>
          <w:lang w:val="fr-FR"/>
        </w:rPr>
        <w:t xml:space="preserve">expiration du délai indiqué au </w:t>
      </w:r>
      <w:r w:rsidR="00CD115B" w:rsidRPr="00C3214C">
        <w:rPr>
          <w:i/>
          <w:lang w:val="fr-FR"/>
        </w:rPr>
        <w:t>paragraphe 3</w:t>
      </w:r>
      <w:r w:rsidRPr="00C3214C">
        <w:rPr>
          <w:i/>
          <w:lang w:val="fr-FR"/>
        </w:rPr>
        <w:t xml:space="preserve"> du</w:t>
      </w:r>
      <w:r w:rsidR="00E30C32" w:rsidRPr="00C3214C">
        <w:rPr>
          <w:i/>
          <w:lang w:val="fr-FR"/>
        </w:rPr>
        <w:t xml:space="preserve"> document</w:t>
      </w:r>
      <w:r w:rsidR="006258C9" w:rsidRPr="00C3214C">
        <w:rPr>
          <w:i/>
          <w:lang w:val="fr-FR"/>
        </w:rPr>
        <w:t> </w:t>
      </w:r>
      <w:r w:rsidR="00E30C32" w:rsidRPr="00C3214C">
        <w:rPr>
          <w:i/>
          <w:lang w:val="fr-FR"/>
        </w:rPr>
        <w:t>LI/A/35/2.</w:t>
      </w:r>
    </w:p>
    <w:p w:rsidR="003E6EC4" w:rsidRPr="003129A6" w:rsidRDefault="00E30C32" w:rsidP="00233E8E">
      <w:pPr>
        <w:pStyle w:val="Endofdocument-Annex"/>
        <w:spacing w:before="720"/>
        <w:rPr>
          <w:lang w:val="fr-FR"/>
        </w:rPr>
      </w:pPr>
      <w:r w:rsidRPr="003129A6">
        <w:rPr>
          <w:lang w:val="fr-FR"/>
        </w:rPr>
        <w:t>[</w:t>
      </w:r>
      <w:r w:rsidR="00B664CC" w:rsidRPr="003129A6">
        <w:rPr>
          <w:lang w:val="fr-FR"/>
        </w:rPr>
        <w:t>L</w:t>
      </w:r>
      <w:r w:rsidR="00CD115B">
        <w:rPr>
          <w:lang w:val="fr-FR"/>
        </w:rPr>
        <w:t>’</w:t>
      </w:r>
      <w:r w:rsidR="00B664CC" w:rsidRPr="003129A6">
        <w:rPr>
          <w:lang w:val="fr-FR"/>
        </w:rPr>
        <w:t>annexe suit</w:t>
      </w:r>
      <w:r w:rsidRPr="003129A6">
        <w:rPr>
          <w:lang w:val="fr-FR"/>
        </w:rPr>
        <w:t>]</w:t>
      </w:r>
    </w:p>
    <w:p w:rsidR="003E6EC4" w:rsidRPr="003129A6" w:rsidRDefault="003E6EC4" w:rsidP="00E30C32">
      <w:pPr>
        <w:rPr>
          <w:rFonts w:eastAsia="Times New Roman"/>
          <w:szCs w:val="22"/>
          <w:lang w:val="fr-FR" w:eastAsia="en-US"/>
        </w:rPr>
      </w:pPr>
    </w:p>
    <w:p w:rsidR="00E30C32" w:rsidRPr="003129A6" w:rsidRDefault="00E30C32" w:rsidP="00E30C32">
      <w:pPr>
        <w:rPr>
          <w:szCs w:val="22"/>
          <w:lang w:val="fr-FR"/>
        </w:rPr>
        <w:sectPr w:rsidR="00E30C32" w:rsidRPr="003129A6" w:rsidSect="00E30C32">
          <w:headerReference w:type="default" r:id="rId10"/>
          <w:headerReference w:type="first" r:id="rId11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3E6EC4" w:rsidRPr="003129A6" w:rsidRDefault="00B664CC" w:rsidP="00B51003">
      <w:pPr>
        <w:pStyle w:val="Heading2"/>
        <w:rPr>
          <w:lang w:val="fr-FR"/>
        </w:rPr>
      </w:pPr>
      <w:r w:rsidRPr="003129A6">
        <w:rPr>
          <w:lang w:val="fr-FR"/>
        </w:rPr>
        <w:t>MODIFICATION DU BARÈME DES TAXES FIGURANT DANS LE RÈGLEMENT D</w:t>
      </w:r>
      <w:r w:rsidR="00CD115B">
        <w:rPr>
          <w:lang w:val="fr-FR"/>
        </w:rPr>
        <w:t>’</w:t>
      </w:r>
      <w:r w:rsidRPr="003129A6">
        <w:rPr>
          <w:lang w:val="fr-FR"/>
        </w:rPr>
        <w:t>EXÉCUTION COMMUN À L</w:t>
      </w:r>
      <w:r w:rsidR="00CD115B">
        <w:rPr>
          <w:lang w:val="fr-FR"/>
        </w:rPr>
        <w:t>’</w:t>
      </w:r>
      <w:r w:rsidRPr="003129A6">
        <w:rPr>
          <w:lang w:val="fr-FR"/>
        </w:rPr>
        <w:t>ARRANGEMENT DE LISBONNE ET À L</w:t>
      </w:r>
      <w:r w:rsidR="00CD115B">
        <w:rPr>
          <w:lang w:val="fr-FR"/>
        </w:rPr>
        <w:t>’</w:t>
      </w:r>
      <w:r w:rsidRPr="003129A6">
        <w:rPr>
          <w:lang w:val="fr-FR"/>
        </w:rPr>
        <w:t>ACTE DE GENÈVE DE L</w:t>
      </w:r>
      <w:r w:rsidR="00CD115B">
        <w:rPr>
          <w:lang w:val="fr-FR"/>
        </w:rPr>
        <w:t>’</w:t>
      </w:r>
      <w:r w:rsidRPr="003129A6">
        <w:rPr>
          <w:lang w:val="fr-FR"/>
        </w:rPr>
        <w:t>ARRANGEMENT DE LISBONNE</w:t>
      </w:r>
    </w:p>
    <w:p w:rsidR="003E6EC4" w:rsidRPr="003129A6" w:rsidRDefault="00CD115B" w:rsidP="00B51003">
      <w:pPr>
        <w:keepNext/>
        <w:spacing w:before="480"/>
        <w:jc w:val="center"/>
        <w:rPr>
          <w:b/>
          <w:lang w:val="fr-FR"/>
        </w:rPr>
      </w:pPr>
      <w:r w:rsidRPr="003129A6">
        <w:rPr>
          <w:b/>
          <w:lang w:val="fr-FR"/>
        </w:rPr>
        <w:t>Règle</w:t>
      </w:r>
      <w:r>
        <w:rPr>
          <w:b/>
          <w:lang w:val="fr-FR"/>
        </w:rPr>
        <w:t> </w:t>
      </w:r>
      <w:r w:rsidRPr="003129A6">
        <w:rPr>
          <w:b/>
          <w:lang w:val="fr-FR"/>
        </w:rPr>
        <w:t>8</w:t>
      </w:r>
    </w:p>
    <w:p w:rsidR="003E6EC4" w:rsidRPr="003129A6" w:rsidRDefault="00B664CC" w:rsidP="00B51003">
      <w:pPr>
        <w:keepNext/>
        <w:spacing w:after="240"/>
        <w:jc w:val="center"/>
        <w:rPr>
          <w:lang w:val="fr-FR"/>
        </w:rPr>
      </w:pPr>
      <w:r w:rsidRPr="003129A6">
        <w:rPr>
          <w:lang w:val="fr-FR"/>
        </w:rPr>
        <w:t>Taxes</w:t>
      </w:r>
    </w:p>
    <w:p w:rsidR="003E6EC4" w:rsidRPr="003129A6" w:rsidRDefault="00B51003" w:rsidP="00B51003">
      <w:pPr>
        <w:keepNext/>
        <w:tabs>
          <w:tab w:val="left" w:pos="567"/>
          <w:tab w:val="left" w:pos="1134"/>
        </w:tabs>
        <w:rPr>
          <w:lang w:val="fr-FR"/>
        </w:rPr>
      </w:pPr>
      <w:r w:rsidRPr="003129A6">
        <w:rPr>
          <w:lang w:val="fr-FR"/>
        </w:rPr>
        <w:t>1)</w:t>
      </w:r>
      <w:r w:rsidRPr="003129A6">
        <w:rPr>
          <w:lang w:val="fr-FR"/>
        </w:rPr>
        <w:tab/>
      </w:r>
      <w:r w:rsidR="00B664CC" w:rsidRPr="003129A6">
        <w:rPr>
          <w:i/>
          <w:lang w:val="fr-FR"/>
        </w:rPr>
        <w:t>[Montant des taxes</w:t>
      </w:r>
      <w:r w:rsidRPr="003129A6">
        <w:rPr>
          <w:i/>
          <w:lang w:val="fr-FR"/>
        </w:rPr>
        <w:t>]</w:t>
      </w:r>
      <w:r w:rsidRPr="003129A6">
        <w:rPr>
          <w:lang w:val="fr-FR"/>
        </w:rPr>
        <w:t xml:space="preserve"> </w:t>
      </w:r>
      <w:r w:rsidR="00B664CC" w:rsidRPr="003129A6">
        <w:rPr>
          <w:lang w:val="fr-FR"/>
        </w:rPr>
        <w:t>Le Bureau international perçoit les taxes suivantes, payables en francs suisses</w:t>
      </w:r>
      <w:r w:rsidR="00CD115B">
        <w:rPr>
          <w:lang w:val="fr-FR"/>
        </w:rPr>
        <w:t> :</w:t>
      </w:r>
    </w:p>
    <w:p w:rsidR="003E6EC4" w:rsidRPr="003129A6" w:rsidRDefault="00B664CC" w:rsidP="00B71347">
      <w:pPr>
        <w:pStyle w:val="ListParagraph"/>
        <w:numPr>
          <w:ilvl w:val="2"/>
          <w:numId w:val="11"/>
        </w:numPr>
        <w:tabs>
          <w:tab w:val="right" w:pos="1134"/>
          <w:tab w:val="left" w:pos="1701"/>
          <w:tab w:val="right" w:pos="8789"/>
        </w:tabs>
        <w:ind w:left="1701" w:hanging="283"/>
        <w:rPr>
          <w:lang w:val="fr-FR"/>
        </w:rPr>
      </w:pPr>
      <w:r w:rsidRPr="003129A6">
        <w:rPr>
          <w:lang w:val="fr-FR"/>
        </w:rPr>
        <w:t>taxe d</w:t>
      </w:r>
      <w:r w:rsidR="00CD115B">
        <w:rPr>
          <w:lang w:val="fr-FR"/>
        </w:rPr>
        <w:t>’</w:t>
      </w:r>
      <w:r w:rsidRPr="003129A6">
        <w:rPr>
          <w:lang w:val="fr-FR"/>
        </w:rPr>
        <w:t>enregistrement international</w:t>
      </w:r>
      <w:r w:rsidR="00B51003" w:rsidRPr="003129A6">
        <w:rPr>
          <w:b/>
          <w:color w:val="FF0000"/>
          <w:u w:val="single"/>
          <w:vertAlign w:val="superscript"/>
          <w:lang w:val="fr-FR"/>
        </w:rPr>
        <w:footnoteReference w:customMarkFollows="1" w:id="3"/>
        <w:sym w:font="Symbol" w:char="F02A"/>
      </w:r>
      <w:r w:rsidR="00B51003" w:rsidRPr="003129A6">
        <w:rPr>
          <w:lang w:val="fr-FR"/>
        </w:rPr>
        <w:tab/>
        <w:t>1000</w:t>
      </w:r>
    </w:p>
    <w:p w:rsidR="003E6EC4" w:rsidRPr="003129A6" w:rsidRDefault="00B664CC" w:rsidP="00B71347">
      <w:pPr>
        <w:pStyle w:val="ListParagraph"/>
        <w:numPr>
          <w:ilvl w:val="2"/>
          <w:numId w:val="11"/>
        </w:numPr>
        <w:tabs>
          <w:tab w:val="right" w:pos="1134"/>
          <w:tab w:val="left" w:pos="1701"/>
          <w:tab w:val="right" w:pos="8789"/>
        </w:tabs>
        <w:ind w:left="1701" w:hanging="283"/>
        <w:rPr>
          <w:lang w:val="fr-FR"/>
        </w:rPr>
      </w:pPr>
      <w:r w:rsidRPr="003129A6">
        <w:rPr>
          <w:lang w:val="fr-FR"/>
        </w:rPr>
        <w:t>taxe pour chaque modification d</w:t>
      </w:r>
      <w:r w:rsidR="00CD115B">
        <w:rPr>
          <w:lang w:val="fr-FR"/>
        </w:rPr>
        <w:t>’</w:t>
      </w:r>
      <w:r w:rsidRPr="003129A6">
        <w:rPr>
          <w:lang w:val="fr-FR"/>
        </w:rPr>
        <w:t>un enregistrement international</w:t>
      </w:r>
      <w:r w:rsidR="00B51003" w:rsidRPr="003129A6">
        <w:rPr>
          <w:b/>
          <w:color w:val="FF0000"/>
          <w:u w:val="single"/>
          <w:vertAlign w:val="superscript"/>
          <w:lang w:val="fr-FR"/>
        </w:rPr>
        <w:footnoteReference w:customMarkFollows="1" w:id="4"/>
        <w:sym w:font="Symbol" w:char="F02A"/>
      </w:r>
      <w:r w:rsidR="00B51003" w:rsidRPr="003129A6">
        <w:rPr>
          <w:lang w:val="fr-FR"/>
        </w:rPr>
        <w:tab/>
        <w:t>500</w:t>
      </w:r>
    </w:p>
    <w:p w:rsidR="003E6EC4" w:rsidRPr="003129A6" w:rsidRDefault="00B664CC" w:rsidP="00B71347">
      <w:pPr>
        <w:pStyle w:val="ListParagraph"/>
        <w:numPr>
          <w:ilvl w:val="2"/>
          <w:numId w:val="11"/>
        </w:numPr>
        <w:tabs>
          <w:tab w:val="right" w:pos="1134"/>
          <w:tab w:val="left" w:pos="1701"/>
          <w:tab w:val="right" w:pos="8789"/>
        </w:tabs>
        <w:ind w:left="1701" w:hanging="283"/>
        <w:rPr>
          <w:lang w:val="fr-FR"/>
        </w:rPr>
      </w:pPr>
      <w:r w:rsidRPr="003129A6">
        <w:rPr>
          <w:lang w:val="fr-FR"/>
        </w:rPr>
        <w:t>taxe pour la fourniture d</w:t>
      </w:r>
      <w:r w:rsidR="00CD115B">
        <w:rPr>
          <w:lang w:val="fr-FR"/>
        </w:rPr>
        <w:t>’</w:t>
      </w:r>
      <w:r w:rsidRPr="003129A6">
        <w:rPr>
          <w:lang w:val="fr-FR"/>
        </w:rPr>
        <w:t>un extrait du registre international</w:t>
      </w:r>
      <w:r w:rsidR="00B51003" w:rsidRPr="003129A6">
        <w:rPr>
          <w:lang w:val="fr-FR"/>
        </w:rPr>
        <w:tab/>
        <w:t>150</w:t>
      </w:r>
    </w:p>
    <w:p w:rsidR="00BD111D" w:rsidRPr="003129A6" w:rsidRDefault="00B664CC" w:rsidP="00B71347">
      <w:pPr>
        <w:pStyle w:val="ListParagraph"/>
        <w:numPr>
          <w:ilvl w:val="2"/>
          <w:numId w:val="11"/>
        </w:numPr>
        <w:tabs>
          <w:tab w:val="right" w:pos="1134"/>
          <w:tab w:val="left" w:pos="1701"/>
          <w:tab w:val="right" w:pos="8789"/>
        </w:tabs>
        <w:ind w:left="1701" w:right="1984" w:hanging="283"/>
        <w:rPr>
          <w:lang w:val="fr-FR"/>
        </w:rPr>
      </w:pPr>
      <w:r w:rsidRPr="003129A6">
        <w:rPr>
          <w:lang w:val="fr-FR"/>
        </w:rPr>
        <w:t>taxe pour la fourniture d</w:t>
      </w:r>
      <w:r w:rsidR="00CD115B">
        <w:rPr>
          <w:lang w:val="fr-FR"/>
        </w:rPr>
        <w:t>’</w:t>
      </w:r>
      <w:r w:rsidRPr="003129A6">
        <w:rPr>
          <w:lang w:val="fr-FR"/>
        </w:rPr>
        <w:t>une attestation ou de tout autre</w:t>
      </w:r>
    </w:p>
    <w:p w:rsidR="003E6EC4" w:rsidRPr="003129A6" w:rsidRDefault="00B664CC" w:rsidP="00B71347">
      <w:pPr>
        <w:pStyle w:val="ListParagraph"/>
        <w:tabs>
          <w:tab w:val="left" w:pos="1134"/>
          <w:tab w:val="left" w:pos="1701"/>
          <w:tab w:val="left" w:pos="8460"/>
        </w:tabs>
        <w:ind w:left="1701" w:right="1984"/>
        <w:rPr>
          <w:lang w:val="fr-FR"/>
        </w:rPr>
      </w:pPr>
      <w:proofErr w:type="gramStart"/>
      <w:r w:rsidRPr="003129A6">
        <w:rPr>
          <w:lang w:val="fr-FR"/>
        </w:rPr>
        <w:t>renseignement</w:t>
      </w:r>
      <w:proofErr w:type="gramEnd"/>
      <w:r w:rsidRPr="003129A6">
        <w:rPr>
          <w:lang w:val="fr-FR"/>
        </w:rPr>
        <w:t xml:space="preserve"> par é</w:t>
      </w:r>
      <w:r w:rsidR="00BD111D" w:rsidRPr="003129A6">
        <w:rPr>
          <w:lang w:val="fr-FR"/>
        </w:rPr>
        <w:t>crit sur le contenu du registre i</w:t>
      </w:r>
      <w:r w:rsidRPr="003129A6">
        <w:rPr>
          <w:lang w:val="fr-FR"/>
        </w:rPr>
        <w:t>nternational</w:t>
      </w:r>
      <w:r w:rsidR="00EF5B0B" w:rsidRPr="003129A6">
        <w:rPr>
          <w:lang w:val="fr-FR"/>
        </w:rPr>
        <w:tab/>
        <w:t>100</w:t>
      </w:r>
    </w:p>
    <w:p w:rsidR="00CD115B" w:rsidRDefault="00B664CC" w:rsidP="00B71347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</w:tabs>
        <w:ind w:left="1701" w:right="1984" w:hanging="283"/>
        <w:rPr>
          <w:lang w:val="fr-FR"/>
        </w:rPr>
      </w:pPr>
      <w:r w:rsidRPr="003129A6">
        <w:rPr>
          <w:lang w:val="fr-FR"/>
        </w:rPr>
        <w:t>taxes individuelles visées à l</w:t>
      </w:r>
      <w:r w:rsidR="00CD115B">
        <w:rPr>
          <w:lang w:val="fr-FR"/>
        </w:rPr>
        <w:t>’</w:t>
      </w:r>
      <w:r w:rsidR="00CD115B" w:rsidRPr="003129A6">
        <w:rPr>
          <w:lang w:val="fr-FR"/>
        </w:rPr>
        <w:t>alinéa</w:t>
      </w:r>
      <w:r w:rsidR="00CD115B">
        <w:rPr>
          <w:lang w:val="fr-FR"/>
        </w:rPr>
        <w:t> </w:t>
      </w:r>
      <w:r w:rsidR="00CD115B" w:rsidRPr="003129A6">
        <w:rPr>
          <w:lang w:val="fr-FR"/>
        </w:rPr>
        <w:t>2</w:t>
      </w:r>
      <w:r w:rsidRPr="003129A6">
        <w:rPr>
          <w:lang w:val="fr-FR"/>
        </w:rPr>
        <w:t>).</w:t>
      </w:r>
    </w:p>
    <w:p w:rsidR="003E6EC4" w:rsidRPr="003129A6" w:rsidRDefault="00B51003" w:rsidP="00B51003">
      <w:pPr>
        <w:tabs>
          <w:tab w:val="left" w:pos="1170"/>
        </w:tabs>
        <w:spacing w:before="240" w:after="720"/>
        <w:ind w:firstLine="567"/>
        <w:rPr>
          <w:szCs w:val="22"/>
          <w:lang w:val="fr-FR"/>
        </w:rPr>
      </w:pPr>
      <w:r w:rsidRPr="003129A6">
        <w:rPr>
          <w:szCs w:val="22"/>
          <w:lang w:val="fr-FR"/>
        </w:rPr>
        <w:t>[…]</w:t>
      </w:r>
    </w:p>
    <w:p w:rsidR="003E6EC4" w:rsidRPr="003129A6" w:rsidRDefault="00B51003" w:rsidP="00B51003">
      <w:pPr>
        <w:ind w:left="5098" w:firstLine="431"/>
        <w:rPr>
          <w:szCs w:val="22"/>
          <w:lang w:val="fr-FR"/>
        </w:rPr>
      </w:pPr>
      <w:r w:rsidRPr="003129A6">
        <w:rPr>
          <w:szCs w:val="22"/>
          <w:lang w:val="fr-FR"/>
        </w:rPr>
        <w:t>[</w:t>
      </w:r>
      <w:r w:rsidR="00B664CC" w:rsidRPr="003129A6">
        <w:rPr>
          <w:szCs w:val="22"/>
          <w:lang w:val="fr-FR"/>
        </w:rPr>
        <w:t>Fin de l</w:t>
      </w:r>
      <w:r w:rsidR="00CD115B">
        <w:rPr>
          <w:szCs w:val="22"/>
          <w:lang w:val="fr-FR"/>
        </w:rPr>
        <w:t>’</w:t>
      </w:r>
      <w:r w:rsidR="00B664CC" w:rsidRPr="003129A6">
        <w:rPr>
          <w:szCs w:val="22"/>
          <w:lang w:val="fr-FR"/>
        </w:rPr>
        <w:t>annexe et du</w:t>
      </w:r>
      <w:r w:rsidRPr="003129A6">
        <w:rPr>
          <w:szCs w:val="22"/>
          <w:lang w:val="fr-FR"/>
        </w:rPr>
        <w:t xml:space="preserve"> document]</w:t>
      </w:r>
    </w:p>
    <w:sectPr w:rsidR="003E6EC4" w:rsidRPr="003129A6" w:rsidSect="00AC6315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DB" w:rsidRDefault="004B05DB">
      <w:r>
        <w:separator/>
      </w:r>
    </w:p>
  </w:endnote>
  <w:endnote w:type="continuationSeparator" w:id="0">
    <w:p w:rsidR="004B05DB" w:rsidRDefault="004B05DB" w:rsidP="003B38C1">
      <w:r>
        <w:separator/>
      </w:r>
    </w:p>
    <w:p w:rsidR="004B05DB" w:rsidRPr="003B38C1" w:rsidRDefault="004B05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B05DB" w:rsidRPr="003B38C1" w:rsidRDefault="004B05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DB" w:rsidRDefault="004B05DB">
      <w:r>
        <w:separator/>
      </w:r>
    </w:p>
  </w:footnote>
  <w:footnote w:type="continuationSeparator" w:id="0">
    <w:p w:rsidR="004B05DB" w:rsidRDefault="004B05DB" w:rsidP="008B60B2">
      <w:r>
        <w:separator/>
      </w:r>
    </w:p>
    <w:p w:rsidR="004B05DB" w:rsidRPr="00ED77FB" w:rsidRDefault="004B05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B05DB" w:rsidRPr="00ED77FB" w:rsidRDefault="004B05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05C51" w:rsidRPr="005446AA" w:rsidRDefault="00505C51" w:rsidP="00505C51">
      <w:pPr>
        <w:pStyle w:val="FootnoteText"/>
        <w:rPr>
          <w:lang w:val="fr-FR"/>
        </w:rPr>
      </w:pPr>
      <w:r w:rsidRPr="003129A6">
        <w:rPr>
          <w:rStyle w:val="FootnoteReference"/>
          <w:lang w:val="fr-FR"/>
        </w:rPr>
        <w:footnoteRef/>
      </w:r>
      <w:r w:rsidRPr="003129A6">
        <w:rPr>
          <w:lang w:val="fr-FR"/>
        </w:rPr>
        <w:t xml:space="preserve"> </w:t>
      </w:r>
      <w:r w:rsidRPr="003129A6">
        <w:rPr>
          <w:lang w:val="fr-FR"/>
        </w:rPr>
        <w:tab/>
      </w:r>
      <w:r w:rsidRPr="005446AA">
        <w:rPr>
          <w:lang w:val="fr-FR"/>
        </w:rPr>
        <w:t xml:space="preserve">Dans le présent document, le terme </w:t>
      </w:r>
      <w:r w:rsidR="00086166" w:rsidRPr="005446AA">
        <w:rPr>
          <w:lang w:val="fr-FR"/>
        </w:rPr>
        <w:t>“r</w:t>
      </w:r>
      <w:r w:rsidRPr="005446AA">
        <w:rPr>
          <w:lang w:val="fr-FR"/>
        </w:rPr>
        <w:t>ègle</w:t>
      </w:r>
      <w:r w:rsidR="00086166" w:rsidRPr="005446AA">
        <w:rPr>
          <w:lang w:val="fr-FR"/>
        </w:rPr>
        <w:t>s”</w:t>
      </w:r>
      <w:r w:rsidRPr="005446AA">
        <w:rPr>
          <w:lang w:val="fr-FR"/>
        </w:rPr>
        <w:t xml:space="preserve"> renvoie aux règles du règlement d</w:t>
      </w:r>
      <w:r w:rsidR="00086166" w:rsidRPr="005446AA">
        <w:rPr>
          <w:lang w:val="fr-FR"/>
        </w:rPr>
        <w:t>’</w:t>
      </w:r>
      <w:r w:rsidRPr="005446AA">
        <w:rPr>
          <w:lang w:val="fr-FR"/>
        </w:rPr>
        <w:t>exécution commun ou aux dispositions qu</w:t>
      </w:r>
      <w:r w:rsidR="00086166" w:rsidRPr="005446AA">
        <w:rPr>
          <w:lang w:val="fr-FR"/>
        </w:rPr>
        <w:t>’</w:t>
      </w:r>
      <w:r w:rsidRPr="005446AA">
        <w:rPr>
          <w:lang w:val="fr-FR"/>
        </w:rPr>
        <w:t xml:space="preserve">il est proposé de modifier.  </w:t>
      </w:r>
    </w:p>
  </w:footnote>
  <w:footnote w:id="3">
    <w:p w:rsidR="00B51003" w:rsidRPr="003129A6" w:rsidRDefault="00B51003" w:rsidP="00B51003">
      <w:pPr>
        <w:pStyle w:val="FootnoteText"/>
        <w:rPr>
          <w:b/>
          <w:color w:val="FF0000"/>
          <w:u w:val="single"/>
          <w:lang w:val="fr-FR"/>
        </w:rPr>
      </w:pPr>
      <w:r w:rsidRPr="003129A6">
        <w:rPr>
          <w:rStyle w:val="FootnoteReference"/>
          <w:b/>
          <w:color w:val="FF0000"/>
          <w:u w:val="single"/>
          <w:lang w:val="fr-FR"/>
        </w:rPr>
        <w:sym w:font="Symbol" w:char="F02A"/>
      </w:r>
      <w:r w:rsidRPr="003129A6">
        <w:rPr>
          <w:b/>
          <w:color w:val="FF0000"/>
          <w:u w:val="single"/>
          <w:lang w:val="fr-FR"/>
        </w:rPr>
        <w:tab/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Pour un enregistrement international désignant une aire géographique située dans un pays de la catégorie des pays les moins avancés (PMA), conformément aux listes établies par l</w:t>
      </w:r>
      <w:r w:rsidR="00086166">
        <w:rPr>
          <w:b/>
          <w:color w:val="FF0000"/>
          <w:sz w:val="16"/>
          <w:szCs w:val="16"/>
          <w:u w:val="single"/>
          <w:lang w:val="fr-FR"/>
        </w:rPr>
        <w:t>’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 xml:space="preserve">Organisation des </w:t>
      </w:r>
      <w:r w:rsidR="00086166">
        <w:rPr>
          <w:b/>
          <w:color w:val="FF0000"/>
          <w:sz w:val="16"/>
          <w:szCs w:val="16"/>
          <w:u w:val="single"/>
          <w:lang w:val="fr-FR"/>
        </w:rPr>
        <w:t>Nations Unies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, la taxe est ramenée à 50% du montant prescrit (arrondi au nombre entier le plus proche).  Dans ce cas, la taxe sera de 50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>0</w:t>
      </w:r>
      <w:r w:rsidR="00086166">
        <w:rPr>
          <w:b/>
          <w:color w:val="FF0000"/>
          <w:sz w:val="16"/>
          <w:szCs w:val="16"/>
          <w:u w:val="single"/>
          <w:lang w:val="fr-FR"/>
        </w:rPr>
        <w:t> 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>franc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s suisses pour un enregistrement international désignant une aire géographique d</w:t>
      </w:r>
      <w:r w:rsidR="00086166">
        <w:rPr>
          <w:b/>
          <w:color w:val="FF0000"/>
          <w:sz w:val="16"/>
          <w:szCs w:val="16"/>
          <w:u w:val="single"/>
          <w:lang w:val="fr-FR"/>
        </w:rPr>
        <w:t>’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origine située dans un pays de la catégorie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 xml:space="preserve"> des</w:t>
      </w:r>
      <w:r w:rsidR="00086166">
        <w:rPr>
          <w:b/>
          <w:color w:val="FF0000"/>
          <w:sz w:val="16"/>
          <w:szCs w:val="16"/>
          <w:u w:val="single"/>
          <w:lang w:val="fr-FR"/>
        </w:rPr>
        <w:t> 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>PMA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, et de 25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>0</w:t>
      </w:r>
      <w:r w:rsidR="00086166">
        <w:rPr>
          <w:b/>
          <w:color w:val="FF0000"/>
          <w:sz w:val="16"/>
          <w:szCs w:val="16"/>
          <w:u w:val="single"/>
          <w:lang w:val="fr-FR"/>
        </w:rPr>
        <w:t> 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>franc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s suisses pour chaque modification d</w:t>
      </w:r>
      <w:r w:rsidR="00086166">
        <w:rPr>
          <w:b/>
          <w:color w:val="FF0000"/>
          <w:sz w:val="16"/>
          <w:szCs w:val="16"/>
          <w:u w:val="single"/>
          <w:lang w:val="fr-FR"/>
        </w:rPr>
        <w:t>’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un enregistrement international désignant une aire géographique d</w:t>
      </w:r>
      <w:r w:rsidR="00086166">
        <w:rPr>
          <w:b/>
          <w:color w:val="FF0000"/>
          <w:sz w:val="16"/>
          <w:szCs w:val="16"/>
          <w:u w:val="single"/>
          <w:lang w:val="fr-FR"/>
        </w:rPr>
        <w:t>’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origine située dans un pays de la catégorie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 xml:space="preserve"> des</w:t>
      </w:r>
      <w:r w:rsidR="00086166">
        <w:rPr>
          <w:b/>
          <w:color w:val="FF0000"/>
          <w:sz w:val="16"/>
          <w:szCs w:val="16"/>
          <w:u w:val="single"/>
          <w:lang w:val="fr-FR"/>
        </w:rPr>
        <w:t> </w:t>
      </w:r>
      <w:r w:rsidR="00086166" w:rsidRPr="003129A6">
        <w:rPr>
          <w:b/>
          <w:color w:val="FF0000"/>
          <w:sz w:val="16"/>
          <w:szCs w:val="16"/>
          <w:u w:val="single"/>
          <w:lang w:val="fr-FR"/>
        </w:rPr>
        <w:t>PMA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.  Ces réductions de taxes seront applicables pendant une durée de trois</w:t>
      </w:r>
      <w:r w:rsidR="00F44509">
        <w:rPr>
          <w:b/>
          <w:color w:val="FF0000"/>
          <w:sz w:val="16"/>
          <w:szCs w:val="16"/>
          <w:u w:val="single"/>
          <w:lang w:val="fr-FR"/>
        </w:rPr>
        <w:t> 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ans à compter de la date d</w:t>
      </w:r>
      <w:r w:rsidR="00086166">
        <w:rPr>
          <w:b/>
          <w:color w:val="FF0000"/>
          <w:sz w:val="16"/>
          <w:szCs w:val="16"/>
          <w:u w:val="single"/>
          <w:lang w:val="fr-FR"/>
        </w:rPr>
        <w:t>’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entrée en vigueur de l</w:t>
      </w:r>
      <w:r w:rsidR="00086166">
        <w:rPr>
          <w:b/>
          <w:color w:val="FF0000"/>
          <w:sz w:val="16"/>
          <w:szCs w:val="16"/>
          <w:u w:val="single"/>
          <w:lang w:val="fr-FR"/>
        </w:rPr>
        <w:t>’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Acte de Genève de l</w:t>
      </w:r>
      <w:r w:rsidR="00086166">
        <w:rPr>
          <w:b/>
          <w:color w:val="FF0000"/>
          <w:sz w:val="16"/>
          <w:szCs w:val="16"/>
          <w:u w:val="single"/>
          <w:lang w:val="fr-FR"/>
        </w:rPr>
        <w:t>’</w:t>
      </w:r>
      <w:r w:rsidR="00BD111D" w:rsidRPr="003129A6">
        <w:rPr>
          <w:b/>
          <w:color w:val="FF0000"/>
          <w:sz w:val="16"/>
          <w:szCs w:val="16"/>
          <w:u w:val="single"/>
          <w:lang w:val="fr-FR"/>
        </w:rPr>
        <w:t>Arrangement de Lisbonne</w:t>
      </w:r>
      <w:r w:rsidR="00FD2DBE">
        <w:rPr>
          <w:b/>
          <w:color w:val="FF0000"/>
          <w:sz w:val="16"/>
          <w:szCs w:val="16"/>
          <w:u w:val="single"/>
          <w:lang w:val="fr-FR"/>
        </w:rPr>
        <w:t>.</w:t>
      </w:r>
    </w:p>
  </w:footnote>
  <w:footnote w:id="4">
    <w:p w:rsidR="00B51003" w:rsidRPr="003129A6" w:rsidRDefault="00B51003" w:rsidP="00B51003">
      <w:pPr>
        <w:pStyle w:val="FootnoteText"/>
        <w:rPr>
          <w:b/>
          <w:color w:val="FF0000"/>
          <w:u w:val="single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8386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0C32" w:rsidRDefault="00E30C32" w:rsidP="00E028AC">
        <w:pPr>
          <w:pStyle w:val="Header"/>
          <w:jc w:val="right"/>
        </w:pPr>
        <w:r>
          <w:t>LI/A/35/2</w:t>
        </w:r>
      </w:p>
      <w:p w:rsidR="00E30C32" w:rsidRDefault="00E30C32" w:rsidP="00E028AC">
        <w:pPr>
          <w:pStyle w:val="Header"/>
          <w:jc w:val="right"/>
          <w:rPr>
            <w:noProof/>
          </w:rPr>
        </w:pPr>
        <w:proofErr w:type="gramStart"/>
        <w:r>
          <w:t>page</w:t>
        </w:r>
        <w:proofErr w:type="gramEnd"/>
        <w:r w:rsidR="006258C9">
          <w:t> 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BC4">
          <w:rPr>
            <w:noProof/>
          </w:rPr>
          <w:t>2</w:t>
        </w:r>
        <w:r>
          <w:rPr>
            <w:noProof/>
          </w:rPr>
          <w:fldChar w:fldCharType="end"/>
        </w:r>
      </w:p>
      <w:p w:rsidR="00E30C32" w:rsidRDefault="00F12BC4" w:rsidP="00E028AC">
        <w:pPr>
          <w:pStyle w:val="Header"/>
          <w:jc w:val="right"/>
          <w:rPr>
            <w:noProof/>
          </w:rPr>
        </w:pPr>
      </w:p>
    </w:sdtContent>
  </w:sdt>
  <w:p w:rsidR="00E30C32" w:rsidRDefault="00E30C32" w:rsidP="00E028A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C32" w:rsidRDefault="00E30C32" w:rsidP="004209EA">
    <w:pPr>
      <w:pStyle w:val="Header"/>
      <w:tabs>
        <w:tab w:val="clear" w:pos="4536"/>
        <w:tab w:val="clear" w:pos="9072"/>
        <w:tab w:val="left" w:pos="7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37" w:rsidRPr="00251237" w:rsidRDefault="00251237" w:rsidP="00251237">
    <w:pPr>
      <w:pStyle w:val="Header"/>
      <w:jc w:val="right"/>
    </w:pPr>
    <w:r>
      <w:t>LI/</w:t>
    </w:r>
    <w:r w:rsidR="00BB2616">
      <w:t>A/35/2</w:t>
    </w:r>
  </w:p>
  <w:p w:rsidR="00653EF6" w:rsidRDefault="00653EF6" w:rsidP="00EF1920">
    <w:pPr>
      <w:spacing w:after="480"/>
      <w:jc w:val="right"/>
    </w:pPr>
    <w:r>
      <w:t>A</w:t>
    </w:r>
    <w:r w:rsidR="00A61A0C">
      <w:t>NNEX</w:t>
    </w:r>
    <w:r w:rsidR="00BB2616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94C6F"/>
    <w:multiLevelType w:val="hybridMultilevel"/>
    <w:tmpl w:val="FF002892"/>
    <w:lvl w:ilvl="0" w:tplc="AF723B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49" w:hanging="360"/>
      </w:pPr>
    </w:lvl>
    <w:lvl w:ilvl="2" w:tplc="100C001B" w:tentative="1">
      <w:start w:val="1"/>
      <w:numFmt w:val="lowerRoman"/>
      <w:lvlText w:val="%3."/>
      <w:lvlJc w:val="right"/>
      <w:pPr>
        <w:ind w:left="2569" w:hanging="180"/>
      </w:pPr>
    </w:lvl>
    <w:lvl w:ilvl="3" w:tplc="100C000F" w:tentative="1">
      <w:start w:val="1"/>
      <w:numFmt w:val="decimal"/>
      <w:lvlText w:val="%4."/>
      <w:lvlJc w:val="left"/>
      <w:pPr>
        <w:ind w:left="3289" w:hanging="360"/>
      </w:pPr>
    </w:lvl>
    <w:lvl w:ilvl="4" w:tplc="100C0019" w:tentative="1">
      <w:start w:val="1"/>
      <w:numFmt w:val="lowerLetter"/>
      <w:lvlText w:val="%5."/>
      <w:lvlJc w:val="left"/>
      <w:pPr>
        <w:ind w:left="4009" w:hanging="360"/>
      </w:pPr>
    </w:lvl>
    <w:lvl w:ilvl="5" w:tplc="100C001B" w:tentative="1">
      <w:start w:val="1"/>
      <w:numFmt w:val="lowerRoman"/>
      <w:lvlText w:val="%6."/>
      <w:lvlJc w:val="right"/>
      <w:pPr>
        <w:ind w:left="4729" w:hanging="180"/>
      </w:pPr>
    </w:lvl>
    <w:lvl w:ilvl="6" w:tplc="100C000F" w:tentative="1">
      <w:start w:val="1"/>
      <w:numFmt w:val="decimal"/>
      <w:lvlText w:val="%7."/>
      <w:lvlJc w:val="left"/>
      <w:pPr>
        <w:ind w:left="5449" w:hanging="360"/>
      </w:pPr>
    </w:lvl>
    <w:lvl w:ilvl="7" w:tplc="100C0019" w:tentative="1">
      <w:start w:val="1"/>
      <w:numFmt w:val="lowerLetter"/>
      <w:lvlText w:val="%8."/>
      <w:lvlJc w:val="left"/>
      <w:pPr>
        <w:ind w:left="6169" w:hanging="360"/>
      </w:pPr>
    </w:lvl>
    <w:lvl w:ilvl="8" w:tplc="10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8CDC3D3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B97057D"/>
    <w:multiLevelType w:val="hybridMultilevel"/>
    <w:tmpl w:val="12024318"/>
    <w:lvl w:ilvl="0" w:tplc="3F5C089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56C3A"/>
    <w:multiLevelType w:val="hybridMultilevel"/>
    <w:tmpl w:val="99E20378"/>
    <w:lvl w:ilvl="0" w:tplc="AF723B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|UPOV_Beta|UPOVOld|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C6315"/>
    <w:rsid w:val="00020F23"/>
    <w:rsid w:val="00043CAA"/>
    <w:rsid w:val="00064FB6"/>
    <w:rsid w:val="00073287"/>
    <w:rsid w:val="00075432"/>
    <w:rsid w:val="000765C4"/>
    <w:rsid w:val="00086166"/>
    <w:rsid w:val="000968ED"/>
    <w:rsid w:val="000A6C69"/>
    <w:rsid w:val="000C117A"/>
    <w:rsid w:val="000F5E56"/>
    <w:rsid w:val="001362EE"/>
    <w:rsid w:val="00156693"/>
    <w:rsid w:val="001647D5"/>
    <w:rsid w:val="001662C6"/>
    <w:rsid w:val="00174BF5"/>
    <w:rsid w:val="001832A6"/>
    <w:rsid w:val="001E6853"/>
    <w:rsid w:val="00206637"/>
    <w:rsid w:val="0021217E"/>
    <w:rsid w:val="00233E8E"/>
    <w:rsid w:val="00251237"/>
    <w:rsid w:val="002634C4"/>
    <w:rsid w:val="00273B82"/>
    <w:rsid w:val="00282A76"/>
    <w:rsid w:val="002928D3"/>
    <w:rsid w:val="002F1FE6"/>
    <w:rsid w:val="002F4E68"/>
    <w:rsid w:val="00306F47"/>
    <w:rsid w:val="0031036F"/>
    <w:rsid w:val="003129A6"/>
    <w:rsid w:val="00312F7F"/>
    <w:rsid w:val="00350AE2"/>
    <w:rsid w:val="00361450"/>
    <w:rsid w:val="003673CF"/>
    <w:rsid w:val="00375E89"/>
    <w:rsid w:val="003845C1"/>
    <w:rsid w:val="003A6F89"/>
    <w:rsid w:val="003B38C1"/>
    <w:rsid w:val="003D57B0"/>
    <w:rsid w:val="003E6EC4"/>
    <w:rsid w:val="00423E3E"/>
    <w:rsid w:val="00427AF4"/>
    <w:rsid w:val="004647DA"/>
    <w:rsid w:val="00474062"/>
    <w:rsid w:val="0047713C"/>
    <w:rsid w:val="00477D6B"/>
    <w:rsid w:val="004B05DB"/>
    <w:rsid w:val="005019FF"/>
    <w:rsid w:val="00504DE4"/>
    <w:rsid w:val="00505C51"/>
    <w:rsid w:val="00513B45"/>
    <w:rsid w:val="0053057A"/>
    <w:rsid w:val="005446AA"/>
    <w:rsid w:val="00560A29"/>
    <w:rsid w:val="00597187"/>
    <w:rsid w:val="005C6649"/>
    <w:rsid w:val="00605827"/>
    <w:rsid w:val="00615E38"/>
    <w:rsid w:val="006258C9"/>
    <w:rsid w:val="00631D0A"/>
    <w:rsid w:val="00646050"/>
    <w:rsid w:val="00653EF6"/>
    <w:rsid w:val="006713CA"/>
    <w:rsid w:val="00676C5C"/>
    <w:rsid w:val="00686465"/>
    <w:rsid w:val="006A65A1"/>
    <w:rsid w:val="006E03EC"/>
    <w:rsid w:val="006E4F5F"/>
    <w:rsid w:val="00711CBC"/>
    <w:rsid w:val="00783FB8"/>
    <w:rsid w:val="007D1613"/>
    <w:rsid w:val="007D42A8"/>
    <w:rsid w:val="007E4C0E"/>
    <w:rsid w:val="007F025D"/>
    <w:rsid w:val="007F12EC"/>
    <w:rsid w:val="008237EF"/>
    <w:rsid w:val="00846A2D"/>
    <w:rsid w:val="00860537"/>
    <w:rsid w:val="00877718"/>
    <w:rsid w:val="008A134B"/>
    <w:rsid w:val="008B2CC1"/>
    <w:rsid w:val="008B60B2"/>
    <w:rsid w:val="008C5BA2"/>
    <w:rsid w:val="0090731E"/>
    <w:rsid w:val="009125DB"/>
    <w:rsid w:val="00916EE2"/>
    <w:rsid w:val="0096099B"/>
    <w:rsid w:val="00966A22"/>
    <w:rsid w:val="0096722F"/>
    <w:rsid w:val="00980843"/>
    <w:rsid w:val="009C127D"/>
    <w:rsid w:val="009D2CFC"/>
    <w:rsid w:val="009E2791"/>
    <w:rsid w:val="009E3F6F"/>
    <w:rsid w:val="009F499F"/>
    <w:rsid w:val="00A37342"/>
    <w:rsid w:val="00A42DAF"/>
    <w:rsid w:val="00A45BD8"/>
    <w:rsid w:val="00A61A0C"/>
    <w:rsid w:val="00A869B7"/>
    <w:rsid w:val="00AA2DD4"/>
    <w:rsid w:val="00AC205C"/>
    <w:rsid w:val="00AC6315"/>
    <w:rsid w:val="00AE4D2B"/>
    <w:rsid w:val="00AF0A6B"/>
    <w:rsid w:val="00B016B1"/>
    <w:rsid w:val="00B05A69"/>
    <w:rsid w:val="00B1775F"/>
    <w:rsid w:val="00B46642"/>
    <w:rsid w:val="00B51003"/>
    <w:rsid w:val="00B664CC"/>
    <w:rsid w:val="00B71347"/>
    <w:rsid w:val="00B764A3"/>
    <w:rsid w:val="00B9734B"/>
    <w:rsid w:val="00BA30E2"/>
    <w:rsid w:val="00BB2616"/>
    <w:rsid w:val="00BD111D"/>
    <w:rsid w:val="00BE2657"/>
    <w:rsid w:val="00C11BFE"/>
    <w:rsid w:val="00C3214C"/>
    <w:rsid w:val="00C5068F"/>
    <w:rsid w:val="00C5283D"/>
    <w:rsid w:val="00C86D74"/>
    <w:rsid w:val="00CB1B0E"/>
    <w:rsid w:val="00CC5FB7"/>
    <w:rsid w:val="00CD04F1"/>
    <w:rsid w:val="00CD115B"/>
    <w:rsid w:val="00CD7F59"/>
    <w:rsid w:val="00D44A0B"/>
    <w:rsid w:val="00D45252"/>
    <w:rsid w:val="00D6324D"/>
    <w:rsid w:val="00D66E37"/>
    <w:rsid w:val="00D71B4D"/>
    <w:rsid w:val="00D93D55"/>
    <w:rsid w:val="00D95159"/>
    <w:rsid w:val="00DF023A"/>
    <w:rsid w:val="00DF383E"/>
    <w:rsid w:val="00E15015"/>
    <w:rsid w:val="00E30C32"/>
    <w:rsid w:val="00E335FE"/>
    <w:rsid w:val="00E3673F"/>
    <w:rsid w:val="00E85557"/>
    <w:rsid w:val="00E92C58"/>
    <w:rsid w:val="00EA7D6E"/>
    <w:rsid w:val="00EB38E7"/>
    <w:rsid w:val="00EC4E49"/>
    <w:rsid w:val="00ED77FB"/>
    <w:rsid w:val="00EE45FA"/>
    <w:rsid w:val="00EF1920"/>
    <w:rsid w:val="00EF5B0B"/>
    <w:rsid w:val="00F12BC4"/>
    <w:rsid w:val="00F44509"/>
    <w:rsid w:val="00F66152"/>
    <w:rsid w:val="00FD2DBE"/>
    <w:rsid w:val="00F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C631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53EF6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653EF6"/>
    <w:rPr>
      <w:vertAlign w:val="superscript"/>
    </w:rPr>
  </w:style>
  <w:style w:type="paragraph" w:customStyle="1" w:styleId="Default">
    <w:name w:val="Default"/>
    <w:rsid w:val="00653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EF6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F1920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625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C631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53EF6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653EF6"/>
    <w:rPr>
      <w:vertAlign w:val="superscript"/>
    </w:rPr>
  </w:style>
  <w:style w:type="paragraph" w:customStyle="1" w:styleId="Default">
    <w:name w:val="Default"/>
    <w:rsid w:val="00653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EF6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F1920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625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ADE9-6DD4-4225-A660-0E9DF6E6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35 (E).dotm</Template>
  <TotalTime>22</TotalTime>
  <Pages>3</Pages>
  <Words>507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LI/A/35/</vt:lpstr>
      <vt:lpstr>LI/A/35/</vt:lpstr>
    </vt:vector>
  </TitlesOfParts>
  <Company>WIPO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LI/A/35/</dc:title>
  <dc:subject>Thirty-Fifth (13th Extraordinary) Session</dc:subject>
  <dc:creator>DORE Marie-Pierre</dc:creator>
  <cp:lastModifiedBy>DORE Marie-Pierre</cp:lastModifiedBy>
  <cp:revision>20</cp:revision>
  <cp:lastPrinted>2018-07-13T09:10:00Z</cp:lastPrinted>
  <dcterms:created xsi:type="dcterms:W3CDTF">2018-07-11T12:08:00Z</dcterms:created>
  <dcterms:modified xsi:type="dcterms:W3CDTF">2018-07-13T12:08:00Z</dcterms:modified>
  <cp:category>Special Union for the Protection of Appellations of Origin and their International Registration (Lisbon Union)</cp:category>
</cp:coreProperties>
</file>