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8F0A73" w:rsidRDefault="00217165" w:rsidP="006E4F5F">
      <w:pPr>
        <w:widowControl w:val="0"/>
        <w:jc w:val="right"/>
        <w:rPr>
          <w:b/>
          <w:sz w:val="2"/>
          <w:szCs w:val="40"/>
          <w:lang w:val="fr-FR"/>
        </w:rPr>
      </w:pPr>
      <w:bookmarkStart w:id="0" w:name="_GoBack"/>
      <w:bookmarkEnd w:id="0"/>
      <w:r w:rsidRPr="008F0A73">
        <w:rPr>
          <w:b/>
          <w:sz w:val="40"/>
          <w:szCs w:val="40"/>
          <w:lang w:val="fr-FR"/>
        </w:rPr>
        <w:t>F</w:t>
      </w:r>
    </w:p>
    <w:p w:rsidR="006E4F5F" w:rsidRPr="008F0A73" w:rsidRDefault="00217165" w:rsidP="006E4F5F">
      <w:pPr>
        <w:spacing w:line="360" w:lineRule="auto"/>
        <w:ind w:left="4592"/>
        <w:rPr>
          <w:rFonts w:ascii="Arial Black" w:hAnsi="Arial Black"/>
          <w:caps/>
          <w:sz w:val="15"/>
          <w:lang w:val="fr-FR"/>
        </w:rPr>
      </w:pPr>
      <w:r w:rsidRPr="008F0A73">
        <w:rPr>
          <w:noProof/>
          <w:lang w:eastAsia="en-US"/>
        </w:rPr>
        <w:drawing>
          <wp:inline distT="0" distB="0" distL="0" distR="0" wp14:anchorId="67B7C36F" wp14:editId="0FD173AF">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8F0A73" w:rsidRDefault="00EA3800" w:rsidP="00AA2DD4">
      <w:pPr>
        <w:pBdr>
          <w:top w:val="single" w:sz="4" w:space="10" w:color="auto"/>
        </w:pBdr>
        <w:spacing w:before="120"/>
        <w:jc w:val="right"/>
        <w:rPr>
          <w:rFonts w:ascii="Arial Black" w:hAnsi="Arial Black"/>
          <w:b/>
          <w:caps/>
          <w:sz w:val="15"/>
          <w:lang w:val="fr-FR"/>
        </w:rPr>
      </w:pPr>
      <w:r w:rsidRPr="008F0A73">
        <w:rPr>
          <w:rFonts w:ascii="Arial Black" w:hAnsi="Arial Black"/>
          <w:b/>
          <w:caps/>
          <w:sz w:val="15"/>
          <w:lang w:val="fr-FR"/>
        </w:rPr>
        <w:t>LI/A/35</w:t>
      </w:r>
      <w:r w:rsidR="006E4F5F" w:rsidRPr="008F0A73">
        <w:rPr>
          <w:rFonts w:ascii="Arial Black" w:hAnsi="Arial Black"/>
          <w:b/>
          <w:caps/>
          <w:sz w:val="15"/>
          <w:lang w:val="fr-FR"/>
        </w:rPr>
        <w:t>/</w:t>
      </w:r>
      <w:bookmarkStart w:id="1" w:name="Code"/>
      <w:bookmarkEnd w:id="1"/>
      <w:r w:rsidR="00334B02" w:rsidRPr="008F0A73">
        <w:rPr>
          <w:rFonts w:ascii="Arial Black" w:hAnsi="Arial Black"/>
          <w:b/>
          <w:caps/>
          <w:sz w:val="15"/>
          <w:lang w:val="fr-FR"/>
        </w:rPr>
        <w:t>3</w:t>
      </w:r>
    </w:p>
    <w:p w:rsidR="006E4F5F" w:rsidRPr="008F0A73" w:rsidRDefault="006E4F5F" w:rsidP="006E4F5F">
      <w:pPr>
        <w:jc w:val="right"/>
        <w:rPr>
          <w:rFonts w:ascii="Arial Black" w:hAnsi="Arial Black"/>
          <w:b/>
          <w:caps/>
          <w:sz w:val="15"/>
          <w:lang w:val="fr-FR"/>
        </w:rPr>
      </w:pPr>
      <w:r w:rsidRPr="008F0A73">
        <w:rPr>
          <w:rFonts w:ascii="Arial Black" w:hAnsi="Arial Black"/>
          <w:b/>
          <w:caps/>
          <w:sz w:val="15"/>
          <w:lang w:val="fr-FR"/>
        </w:rPr>
        <w:t>ORIGINAL</w:t>
      </w:r>
      <w:r w:rsidR="006B6155">
        <w:rPr>
          <w:rFonts w:ascii="Arial Black" w:hAnsi="Arial Black"/>
          <w:b/>
          <w:caps/>
          <w:sz w:val="15"/>
          <w:lang w:val="fr-FR"/>
        </w:rPr>
        <w:t> :</w:t>
      </w:r>
      <w:r w:rsidR="005376E7" w:rsidRPr="008F0A73">
        <w:rPr>
          <w:rFonts w:ascii="Arial Black" w:hAnsi="Arial Black"/>
          <w:b/>
          <w:caps/>
          <w:sz w:val="15"/>
          <w:lang w:val="fr-FR"/>
        </w:rPr>
        <w:t xml:space="preserve"> </w:t>
      </w:r>
      <w:bookmarkStart w:id="2" w:name="Original"/>
      <w:bookmarkEnd w:id="2"/>
      <w:r w:rsidR="00334B02" w:rsidRPr="008F0A73">
        <w:rPr>
          <w:rFonts w:ascii="Arial Black" w:hAnsi="Arial Black"/>
          <w:b/>
          <w:caps/>
          <w:sz w:val="15"/>
          <w:lang w:val="fr-FR"/>
        </w:rPr>
        <w:t>anglais</w:t>
      </w:r>
    </w:p>
    <w:p w:rsidR="006E4F5F" w:rsidRPr="008F0A73" w:rsidRDefault="006E4F5F" w:rsidP="006E4F5F">
      <w:pPr>
        <w:spacing w:line="1680" w:lineRule="auto"/>
        <w:jc w:val="right"/>
        <w:rPr>
          <w:rFonts w:ascii="Arial Black" w:hAnsi="Arial Black"/>
          <w:b/>
          <w:caps/>
          <w:sz w:val="15"/>
          <w:lang w:val="fr-FR"/>
        </w:rPr>
      </w:pPr>
      <w:r w:rsidRPr="008F0A73">
        <w:rPr>
          <w:rFonts w:ascii="Arial Black" w:hAnsi="Arial Black"/>
          <w:b/>
          <w:caps/>
          <w:sz w:val="15"/>
          <w:lang w:val="fr-FR"/>
        </w:rPr>
        <w:t>DATE</w:t>
      </w:r>
      <w:r w:rsidR="006B6155">
        <w:rPr>
          <w:rFonts w:ascii="Arial Black" w:hAnsi="Arial Black"/>
          <w:b/>
          <w:caps/>
          <w:sz w:val="15"/>
          <w:lang w:val="fr-FR"/>
        </w:rPr>
        <w:t> :</w:t>
      </w:r>
      <w:r w:rsidRPr="008F0A73">
        <w:rPr>
          <w:rFonts w:ascii="Arial Black" w:hAnsi="Arial Black"/>
          <w:b/>
          <w:caps/>
          <w:sz w:val="15"/>
          <w:lang w:val="fr-FR"/>
        </w:rPr>
        <w:t xml:space="preserve"> </w:t>
      </w:r>
      <w:bookmarkStart w:id="3" w:name="Date"/>
      <w:bookmarkEnd w:id="3"/>
      <w:r w:rsidR="004F7D8A">
        <w:rPr>
          <w:rFonts w:ascii="Arial Black" w:hAnsi="Arial Black"/>
          <w:b/>
          <w:caps/>
          <w:sz w:val="15"/>
          <w:lang w:val="fr-FR"/>
        </w:rPr>
        <w:t>7 dÉ</w:t>
      </w:r>
      <w:r w:rsidR="00716412">
        <w:rPr>
          <w:rFonts w:ascii="Arial Black" w:hAnsi="Arial Black"/>
          <w:b/>
          <w:caps/>
          <w:sz w:val="15"/>
          <w:lang w:val="fr-FR"/>
        </w:rPr>
        <w:t>cembre </w:t>
      </w:r>
      <w:r w:rsidR="00334B02" w:rsidRPr="008F0A73">
        <w:rPr>
          <w:rFonts w:ascii="Arial Black" w:hAnsi="Arial Black"/>
          <w:b/>
          <w:caps/>
          <w:sz w:val="15"/>
          <w:lang w:val="fr-FR"/>
        </w:rPr>
        <w:t>2018</w:t>
      </w:r>
    </w:p>
    <w:p w:rsidR="00EA3800" w:rsidRPr="008F0A73" w:rsidRDefault="00EA3800" w:rsidP="00EA3800">
      <w:pPr>
        <w:pStyle w:val="Heading1"/>
        <w:rPr>
          <w:lang w:val="fr-FR"/>
        </w:rPr>
      </w:pPr>
      <w:r w:rsidRPr="008F0A73">
        <w:rPr>
          <w:lang w:val="fr-FR"/>
        </w:rPr>
        <w:t>Union particulière pour la protection des appellations d</w:t>
      </w:r>
      <w:r w:rsidR="006B6155">
        <w:rPr>
          <w:lang w:val="fr-FR"/>
        </w:rPr>
        <w:t>’</w:t>
      </w:r>
      <w:r w:rsidRPr="008F0A73">
        <w:rPr>
          <w:lang w:val="fr-FR"/>
        </w:rPr>
        <w:t>origine et leur enregistrement international (Union de Lisbonne)</w:t>
      </w:r>
    </w:p>
    <w:p w:rsidR="00EA3800" w:rsidRPr="008F0A73" w:rsidRDefault="00EA3800" w:rsidP="00EA3800">
      <w:pPr>
        <w:pStyle w:val="Heading1"/>
        <w:rPr>
          <w:lang w:val="fr-FR"/>
        </w:rPr>
      </w:pPr>
      <w:r w:rsidRPr="008F0A73">
        <w:rPr>
          <w:lang w:val="fr-FR"/>
        </w:rPr>
        <w:t>Assemblée</w:t>
      </w:r>
    </w:p>
    <w:p w:rsidR="008B2CC1" w:rsidRPr="008F0A73" w:rsidRDefault="00EA3800" w:rsidP="00AE52F6">
      <w:pPr>
        <w:spacing w:after="720"/>
        <w:rPr>
          <w:b/>
          <w:sz w:val="24"/>
          <w:szCs w:val="24"/>
          <w:lang w:val="fr-FR"/>
        </w:rPr>
      </w:pPr>
      <w:r w:rsidRPr="008F0A73">
        <w:rPr>
          <w:b/>
          <w:sz w:val="24"/>
          <w:szCs w:val="24"/>
          <w:lang w:val="fr-FR"/>
        </w:rPr>
        <w:t>Trente</w:t>
      </w:r>
      <w:r w:rsidR="006B6155">
        <w:rPr>
          <w:b/>
          <w:sz w:val="24"/>
          <w:szCs w:val="24"/>
          <w:lang w:val="fr-FR"/>
        </w:rPr>
        <w:t>-</w:t>
      </w:r>
      <w:r w:rsidRPr="008F0A73">
        <w:rPr>
          <w:b/>
          <w:sz w:val="24"/>
          <w:szCs w:val="24"/>
          <w:lang w:val="fr-FR"/>
        </w:rPr>
        <w:t>cinqu</w:t>
      </w:r>
      <w:r w:rsidR="006B6155">
        <w:rPr>
          <w:b/>
          <w:sz w:val="24"/>
          <w:szCs w:val="24"/>
          <w:lang w:val="fr-FR"/>
        </w:rPr>
        <w:t>ième session</w:t>
      </w:r>
      <w:r w:rsidRPr="008F0A73">
        <w:rPr>
          <w:b/>
          <w:sz w:val="24"/>
          <w:szCs w:val="24"/>
          <w:lang w:val="fr-FR"/>
        </w:rPr>
        <w:t xml:space="preserve"> (13</w:t>
      </w:r>
      <w:r w:rsidRPr="008F0A73">
        <w:rPr>
          <w:b/>
          <w:sz w:val="24"/>
          <w:szCs w:val="24"/>
          <w:vertAlign w:val="superscript"/>
          <w:lang w:val="fr-FR"/>
        </w:rPr>
        <w:t>e</w:t>
      </w:r>
      <w:r w:rsidRPr="008F0A73">
        <w:rPr>
          <w:b/>
          <w:sz w:val="24"/>
          <w:szCs w:val="24"/>
          <w:lang w:val="fr-FR"/>
        </w:rPr>
        <w:t xml:space="preserve"> session extraordinaire)</w:t>
      </w:r>
      <w:r w:rsidR="003D57B0" w:rsidRPr="008F0A73">
        <w:rPr>
          <w:b/>
          <w:sz w:val="24"/>
          <w:szCs w:val="24"/>
          <w:lang w:val="fr-FR"/>
        </w:rPr>
        <w:br/>
      </w:r>
      <w:r w:rsidR="002A633A" w:rsidRPr="008F0A73">
        <w:rPr>
          <w:b/>
          <w:sz w:val="24"/>
          <w:szCs w:val="24"/>
          <w:lang w:val="fr-FR"/>
        </w:rPr>
        <w:t>Genè</w:t>
      </w:r>
      <w:r w:rsidR="00217165" w:rsidRPr="008F0A73">
        <w:rPr>
          <w:b/>
          <w:sz w:val="24"/>
          <w:szCs w:val="24"/>
          <w:lang w:val="fr-FR"/>
        </w:rPr>
        <w:t>ve</w:t>
      </w:r>
      <w:r w:rsidR="00DF023A" w:rsidRPr="008F0A73">
        <w:rPr>
          <w:b/>
          <w:sz w:val="24"/>
          <w:szCs w:val="24"/>
          <w:lang w:val="fr-FR"/>
        </w:rPr>
        <w:t xml:space="preserve">, </w:t>
      </w:r>
      <w:r w:rsidR="002A633A" w:rsidRPr="008F0A73">
        <w:rPr>
          <w:b/>
          <w:sz w:val="24"/>
          <w:szCs w:val="24"/>
          <w:lang w:val="fr-FR"/>
        </w:rPr>
        <w:t>2</w:t>
      </w:r>
      <w:r w:rsidR="006B6155" w:rsidRPr="008F0A73">
        <w:rPr>
          <w:b/>
          <w:sz w:val="24"/>
          <w:szCs w:val="24"/>
          <w:lang w:val="fr-FR"/>
        </w:rPr>
        <w:t>4</w:t>
      </w:r>
      <w:r w:rsidR="006B6155">
        <w:rPr>
          <w:b/>
          <w:sz w:val="24"/>
          <w:szCs w:val="24"/>
          <w:lang w:val="fr-FR"/>
        </w:rPr>
        <w:t> </w:t>
      </w:r>
      <w:r w:rsidR="006B6155" w:rsidRPr="008F0A73">
        <w:rPr>
          <w:b/>
          <w:sz w:val="24"/>
          <w:szCs w:val="24"/>
          <w:lang w:val="fr-FR"/>
        </w:rPr>
        <w:t>septembre</w:t>
      </w:r>
      <w:r w:rsidR="00217165" w:rsidRPr="008F0A73">
        <w:rPr>
          <w:b/>
          <w:sz w:val="24"/>
          <w:szCs w:val="24"/>
          <w:lang w:val="fr-FR"/>
        </w:rPr>
        <w:t xml:space="preserve"> –</w:t>
      </w:r>
      <w:r w:rsidR="002A633A" w:rsidRPr="008F0A73">
        <w:rPr>
          <w:b/>
          <w:sz w:val="24"/>
          <w:szCs w:val="24"/>
          <w:lang w:val="fr-FR"/>
        </w:rPr>
        <w:t xml:space="preserve"> </w:t>
      </w:r>
      <w:r w:rsidR="006B6155" w:rsidRPr="008F0A73">
        <w:rPr>
          <w:b/>
          <w:sz w:val="24"/>
          <w:szCs w:val="24"/>
          <w:lang w:val="fr-FR"/>
        </w:rPr>
        <w:t>2</w:t>
      </w:r>
      <w:r w:rsidR="006B6155">
        <w:rPr>
          <w:b/>
          <w:sz w:val="24"/>
          <w:szCs w:val="24"/>
          <w:lang w:val="fr-FR"/>
        </w:rPr>
        <w:t> </w:t>
      </w:r>
      <w:r w:rsidR="006B6155" w:rsidRPr="008F0A73">
        <w:rPr>
          <w:b/>
          <w:sz w:val="24"/>
          <w:szCs w:val="24"/>
          <w:lang w:val="fr-FR"/>
        </w:rPr>
        <w:t>octobre</w:t>
      </w:r>
      <w:r w:rsidR="006B6155">
        <w:rPr>
          <w:b/>
          <w:sz w:val="24"/>
          <w:szCs w:val="24"/>
          <w:lang w:val="fr-FR"/>
        </w:rPr>
        <w:t> </w:t>
      </w:r>
      <w:r w:rsidR="006B6155" w:rsidRPr="008F0A73">
        <w:rPr>
          <w:b/>
          <w:sz w:val="24"/>
          <w:szCs w:val="24"/>
          <w:lang w:val="fr-FR"/>
        </w:rPr>
        <w:t>20</w:t>
      </w:r>
      <w:r w:rsidR="00DF023A" w:rsidRPr="008F0A73">
        <w:rPr>
          <w:b/>
          <w:sz w:val="24"/>
          <w:szCs w:val="24"/>
          <w:lang w:val="fr-FR"/>
        </w:rPr>
        <w:t>18</w:t>
      </w:r>
    </w:p>
    <w:p w:rsidR="008B2CC1" w:rsidRPr="008F0A73" w:rsidRDefault="00334B02" w:rsidP="00AE52F6">
      <w:pPr>
        <w:spacing w:after="360"/>
        <w:rPr>
          <w:caps/>
          <w:sz w:val="24"/>
          <w:lang w:val="fr-FR"/>
        </w:rPr>
      </w:pPr>
      <w:bookmarkStart w:id="4" w:name="TitleOfDoc"/>
      <w:bookmarkEnd w:id="4"/>
      <w:r w:rsidRPr="008F0A73">
        <w:rPr>
          <w:caps/>
          <w:sz w:val="24"/>
          <w:lang w:val="fr-FR"/>
        </w:rPr>
        <w:t>rapport</w:t>
      </w:r>
    </w:p>
    <w:p w:rsidR="008B2CC1" w:rsidRPr="008F0A73" w:rsidRDefault="00716412" w:rsidP="009C127D">
      <w:pPr>
        <w:spacing w:after="960"/>
        <w:rPr>
          <w:i/>
          <w:lang w:val="fr-FR"/>
        </w:rPr>
      </w:pPr>
      <w:bookmarkStart w:id="5" w:name="Prepared"/>
      <w:bookmarkEnd w:id="5"/>
      <w:r>
        <w:rPr>
          <w:i/>
          <w:lang w:val="fr-FR"/>
        </w:rPr>
        <w:t>adopté par l</w:t>
      </w:r>
      <w:r w:rsidR="006B6155">
        <w:rPr>
          <w:i/>
          <w:lang w:val="fr-FR"/>
        </w:rPr>
        <w:t>’</w:t>
      </w:r>
      <w:r>
        <w:rPr>
          <w:i/>
          <w:lang w:val="fr-FR"/>
        </w:rPr>
        <w:t>assemblée</w:t>
      </w:r>
    </w:p>
    <w:p w:rsidR="006564F4" w:rsidRPr="008F0A73" w:rsidRDefault="006564F4" w:rsidP="006564F4">
      <w:pPr>
        <w:pStyle w:val="ONUMFS"/>
        <w:rPr>
          <w:lang w:val="fr-FR"/>
        </w:rPr>
      </w:pPr>
      <w:r w:rsidRPr="008F0A73">
        <w:rPr>
          <w:lang w:val="fr-FR"/>
        </w:rPr>
        <w:t>L</w:t>
      </w:r>
      <w:r w:rsidR="006B6155">
        <w:rPr>
          <w:lang w:val="fr-FR"/>
        </w:rPr>
        <w:t>’</w:t>
      </w:r>
      <w:r w:rsidRPr="008F0A73">
        <w:rPr>
          <w:lang w:val="fr-FR"/>
        </w:rPr>
        <w:t>assemblée avait à examiner les points suivants du projet d</w:t>
      </w:r>
      <w:r w:rsidR="006B6155">
        <w:rPr>
          <w:lang w:val="fr-FR"/>
        </w:rPr>
        <w:t>’</w:t>
      </w:r>
      <w:r w:rsidRPr="008F0A73">
        <w:rPr>
          <w:lang w:val="fr-FR"/>
        </w:rPr>
        <w:t>ordre du jour unifié (document A/58/1)</w:t>
      </w:r>
      <w:r w:rsidR="006B6155">
        <w:rPr>
          <w:lang w:val="fr-FR"/>
        </w:rPr>
        <w:t> :</w:t>
      </w:r>
      <w:r w:rsidRPr="008F0A73">
        <w:rPr>
          <w:lang w:val="fr-FR"/>
        </w:rPr>
        <w:t xml:space="preserve"> 1, 2, 4, 5, 6, 11.ii), 12, </w:t>
      </w:r>
      <w:r w:rsidR="00152AAD">
        <w:rPr>
          <w:lang w:val="fr-FR"/>
        </w:rPr>
        <w:t xml:space="preserve">24, </w:t>
      </w:r>
      <w:r w:rsidRPr="008F0A73">
        <w:rPr>
          <w:lang w:val="fr-FR"/>
        </w:rPr>
        <w:t>29 et 30.</w:t>
      </w:r>
    </w:p>
    <w:p w:rsidR="006564F4" w:rsidRPr="008F0A73" w:rsidRDefault="006564F4" w:rsidP="006564F4">
      <w:pPr>
        <w:pStyle w:val="ONUMFS"/>
        <w:rPr>
          <w:lang w:val="fr-FR"/>
        </w:rPr>
      </w:pPr>
      <w:r w:rsidRPr="008F0A73">
        <w:rPr>
          <w:lang w:val="fr-FR"/>
        </w:rPr>
        <w:t>Le rapport sur ces points, à l</w:t>
      </w:r>
      <w:r w:rsidR="006B6155">
        <w:rPr>
          <w:lang w:val="fr-FR"/>
        </w:rPr>
        <w:t>’</w:t>
      </w:r>
      <w:r w:rsidRPr="008F0A73">
        <w:rPr>
          <w:lang w:val="fr-FR"/>
        </w:rPr>
        <w:t>exception du point 24, figure dans le rapport général (document A/58/</w:t>
      </w:r>
      <w:r w:rsidR="00152AAD">
        <w:rPr>
          <w:lang w:val="fr-FR"/>
        </w:rPr>
        <w:t>11</w:t>
      </w:r>
      <w:r w:rsidRPr="008F0A73">
        <w:rPr>
          <w:lang w:val="fr-FR"/>
        </w:rPr>
        <w:t>).</w:t>
      </w:r>
    </w:p>
    <w:p w:rsidR="006564F4" w:rsidRPr="008F0A73" w:rsidRDefault="006564F4" w:rsidP="006564F4">
      <w:pPr>
        <w:pStyle w:val="ONUMFS"/>
        <w:rPr>
          <w:lang w:val="fr-FR"/>
        </w:rPr>
      </w:pPr>
      <w:r w:rsidRPr="008F0A73">
        <w:rPr>
          <w:lang w:val="fr-FR"/>
        </w:rPr>
        <w:t>Le rapport sur le point 24 figure dans le présent document.</w:t>
      </w:r>
    </w:p>
    <w:p w:rsidR="006564F4" w:rsidRPr="008F0A73" w:rsidRDefault="006564F4" w:rsidP="006564F4">
      <w:pPr>
        <w:pStyle w:val="ONUMFS"/>
        <w:rPr>
          <w:lang w:val="fr-FR"/>
        </w:rPr>
      </w:pPr>
      <w:r w:rsidRPr="008F0A73">
        <w:rPr>
          <w:lang w:val="fr-FR"/>
        </w:rPr>
        <w:t>M. João Pina de Morais (Portugal), président de l</w:t>
      </w:r>
      <w:r w:rsidR="006B6155">
        <w:rPr>
          <w:lang w:val="fr-FR"/>
        </w:rPr>
        <w:t>’</w:t>
      </w:r>
      <w:r w:rsidRPr="008F0A73">
        <w:rPr>
          <w:lang w:val="fr-FR"/>
        </w:rPr>
        <w:t>assemblée, a présidé la session.</w:t>
      </w:r>
    </w:p>
    <w:p w:rsidR="006564F4" w:rsidRPr="008F0A73" w:rsidRDefault="006564F4">
      <w:pPr>
        <w:rPr>
          <w:lang w:val="fr-FR"/>
        </w:rPr>
      </w:pPr>
      <w:r w:rsidRPr="008F0A73">
        <w:rPr>
          <w:lang w:val="fr-FR"/>
        </w:rPr>
        <w:br w:type="page"/>
      </w:r>
    </w:p>
    <w:p w:rsidR="008F0A73" w:rsidRPr="008F0A73" w:rsidRDefault="008F0A73" w:rsidP="008F0A73">
      <w:pPr>
        <w:pStyle w:val="Heading3"/>
        <w:rPr>
          <w:lang w:val="fr-FR"/>
        </w:rPr>
      </w:pPr>
      <w:r w:rsidRPr="008F0A73">
        <w:rPr>
          <w:lang w:val="fr-FR"/>
        </w:rPr>
        <w:lastRenderedPageBreak/>
        <w:t>Point 24 de l</w:t>
      </w:r>
      <w:r w:rsidR="006B6155">
        <w:rPr>
          <w:lang w:val="fr-FR"/>
        </w:rPr>
        <w:t>’</w:t>
      </w:r>
      <w:r w:rsidRPr="008F0A73">
        <w:rPr>
          <w:lang w:val="fr-FR"/>
        </w:rPr>
        <w:t>ordre du jour unifié</w:t>
      </w:r>
    </w:p>
    <w:p w:rsidR="008F0A73" w:rsidRPr="008F0A73" w:rsidRDefault="008F0A73" w:rsidP="008F0A73">
      <w:pPr>
        <w:pStyle w:val="Heading3"/>
        <w:rPr>
          <w:lang w:val="fr-FR"/>
        </w:rPr>
      </w:pPr>
      <w:r w:rsidRPr="008F0A73">
        <w:rPr>
          <w:lang w:val="fr-FR"/>
        </w:rPr>
        <w:t>Système de Lisbonne</w:t>
      </w:r>
    </w:p>
    <w:p w:rsidR="008F0A73" w:rsidRPr="008F0A73" w:rsidRDefault="008F0A73" w:rsidP="008F0A73">
      <w:pPr>
        <w:pStyle w:val="ONUMFS"/>
        <w:numPr>
          <w:ilvl w:val="0"/>
          <w:numId w:val="6"/>
        </w:numPr>
        <w:rPr>
          <w:lang w:val="fr-FR"/>
        </w:rPr>
      </w:pPr>
      <w:r w:rsidRPr="008F0A73">
        <w:rPr>
          <w:lang w:val="fr-FR"/>
        </w:rPr>
        <w:t>Le président de l</w:t>
      </w:r>
      <w:r w:rsidR="006B6155">
        <w:rPr>
          <w:lang w:val="fr-FR"/>
        </w:rPr>
        <w:t>’</w:t>
      </w:r>
      <w:r w:rsidRPr="008F0A73">
        <w:rPr>
          <w:lang w:val="fr-FR"/>
        </w:rPr>
        <w:t>Assemblée de l</w:t>
      </w:r>
      <w:r w:rsidR="006B6155">
        <w:rPr>
          <w:lang w:val="fr-FR"/>
        </w:rPr>
        <w:t>’</w:t>
      </w:r>
      <w:r w:rsidRPr="008F0A73">
        <w:rPr>
          <w:lang w:val="fr-FR"/>
        </w:rPr>
        <w:t>Union de Lisbonne a rappelé certains faits nouveaux importants concernant le système de Lisbonne survenus depuis la dernière réunion de l</w:t>
      </w:r>
      <w:r w:rsidR="006B6155">
        <w:rPr>
          <w:lang w:val="fr-FR"/>
        </w:rPr>
        <w:t>’</w:t>
      </w:r>
      <w:r w:rsidRPr="008F0A73">
        <w:rPr>
          <w:lang w:val="fr-FR"/>
        </w:rPr>
        <w:t>Assemblée de l</w:t>
      </w:r>
      <w:r w:rsidR="006B6155">
        <w:rPr>
          <w:lang w:val="fr-FR"/>
        </w:rPr>
        <w:t>’</w:t>
      </w:r>
      <w:r w:rsidRPr="008F0A73">
        <w:rPr>
          <w:lang w:val="fr-FR"/>
        </w:rPr>
        <w:t>Union de Lisbonne l</w:t>
      </w:r>
      <w:r w:rsidR="006B6155">
        <w:rPr>
          <w:lang w:val="fr-FR"/>
        </w:rPr>
        <w:t>’</w:t>
      </w:r>
      <w:r w:rsidRPr="008F0A73">
        <w:rPr>
          <w:lang w:val="fr-FR"/>
        </w:rPr>
        <w:t>année précéden</w:t>
      </w:r>
      <w:r w:rsidR="008F6158" w:rsidRPr="008F0A73">
        <w:rPr>
          <w:lang w:val="fr-FR"/>
        </w:rPr>
        <w:t>te</w:t>
      </w:r>
      <w:r w:rsidR="008F6158">
        <w:rPr>
          <w:lang w:val="fr-FR"/>
        </w:rPr>
        <w:t xml:space="preserve">.  </w:t>
      </w:r>
      <w:r w:rsidR="008F6158" w:rsidRPr="008F0A73">
        <w:rPr>
          <w:lang w:val="fr-FR"/>
        </w:rPr>
        <w:t>Pr</w:t>
      </w:r>
      <w:r w:rsidRPr="008F0A73">
        <w:rPr>
          <w:lang w:val="fr-FR"/>
        </w:rPr>
        <w:t>emièrement, il a indiqué que, le 9 mars 2018, le Cambodge avait déposé le premier instrument d</w:t>
      </w:r>
      <w:r w:rsidR="006B6155">
        <w:rPr>
          <w:lang w:val="fr-FR"/>
        </w:rPr>
        <w:t>’</w:t>
      </w:r>
      <w:r w:rsidRPr="008F0A73">
        <w:rPr>
          <w:lang w:val="fr-FR"/>
        </w:rPr>
        <w:t>adhésion à l</w:t>
      </w:r>
      <w:r w:rsidR="006B6155">
        <w:rPr>
          <w:lang w:val="fr-FR"/>
        </w:rPr>
        <w:t>’</w:t>
      </w:r>
      <w:r w:rsidRPr="008F0A73">
        <w:rPr>
          <w:lang w:val="fr-FR"/>
        </w:rPr>
        <w:t>Acte de Genève de l</w:t>
      </w:r>
      <w:r w:rsidR="006B6155">
        <w:rPr>
          <w:lang w:val="fr-FR"/>
        </w:rPr>
        <w:t>’</w:t>
      </w:r>
      <w:r w:rsidRPr="008F0A73">
        <w:rPr>
          <w:lang w:val="fr-FR"/>
        </w:rPr>
        <w:t>Arrangement de Lisbon</w:t>
      </w:r>
      <w:r w:rsidR="008F6158" w:rsidRPr="008F0A73">
        <w:rPr>
          <w:lang w:val="fr-FR"/>
        </w:rPr>
        <w:t>ne</w:t>
      </w:r>
      <w:r w:rsidR="008F6158">
        <w:rPr>
          <w:lang w:val="fr-FR"/>
        </w:rPr>
        <w:t xml:space="preserve">.  </w:t>
      </w:r>
      <w:r w:rsidR="008F6158" w:rsidRPr="008F0A73">
        <w:rPr>
          <w:lang w:val="fr-FR"/>
        </w:rPr>
        <w:t>Sa</w:t>
      </w:r>
      <w:r w:rsidRPr="008F0A73">
        <w:rPr>
          <w:lang w:val="fr-FR"/>
        </w:rPr>
        <w:t>chant que d</w:t>
      </w:r>
      <w:r w:rsidR="006B6155">
        <w:rPr>
          <w:lang w:val="fr-FR"/>
        </w:rPr>
        <w:t>’</w:t>
      </w:r>
      <w:r w:rsidRPr="008F0A73">
        <w:rPr>
          <w:lang w:val="fr-FR"/>
        </w:rPr>
        <w:t>autres États membres de l</w:t>
      </w:r>
      <w:r w:rsidR="006B6155">
        <w:rPr>
          <w:lang w:val="fr-FR"/>
        </w:rPr>
        <w:t>’</w:t>
      </w:r>
      <w:r w:rsidRPr="008F0A73">
        <w:rPr>
          <w:lang w:val="fr-FR"/>
        </w:rPr>
        <w:t>OMPI et organisations intergouvernementales envisageaient également d</w:t>
      </w:r>
      <w:r w:rsidR="006B6155">
        <w:rPr>
          <w:lang w:val="fr-FR"/>
        </w:rPr>
        <w:t>’</w:t>
      </w:r>
      <w:r w:rsidRPr="008F0A73">
        <w:rPr>
          <w:lang w:val="fr-FR"/>
        </w:rPr>
        <w:t>adhérer à l</w:t>
      </w:r>
      <w:r w:rsidR="006B6155">
        <w:rPr>
          <w:lang w:val="fr-FR"/>
        </w:rPr>
        <w:t>’</w:t>
      </w:r>
      <w:r w:rsidRPr="008F0A73">
        <w:rPr>
          <w:lang w:val="fr-FR"/>
        </w:rPr>
        <w:t>Acte de Genève et que le dépôt d</w:t>
      </w:r>
      <w:r w:rsidR="006B6155">
        <w:rPr>
          <w:lang w:val="fr-FR"/>
        </w:rPr>
        <w:t>’</w:t>
      </w:r>
      <w:r w:rsidRPr="008F0A73">
        <w:rPr>
          <w:lang w:val="fr-FR"/>
        </w:rPr>
        <w:t>un nouvel instrument d</w:t>
      </w:r>
      <w:r w:rsidR="006B6155">
        <w:rPr>
          <w:lang w:val="fr-FR"/>
        </w:rPr>
        <w:t>’</w:t>
      </w:r>
      <w:r w:rsidRPr="008F0A73">
        <w:rPr>
          <w:lang w:val="fr-FR"/>
        </w:rPr>
        <w:t>adhésion avait été annoncé d</w:t>
      </w:r>
      <w:r w:rsidR="006B6155">
        <w:rPr>
          <w:lang w:val="fr-FR"/>
        </w:rPr>
        <w:t>’</w:t>
      </w:r>
      <w:r w:rsidRPr="008F0A73">
        <w:rPr>
          <w:lang w:val="fr-FR"/>
        </w:rPr>
        <w:t>ici la fin de la semaine, il les a exhortés à suivre l</w:t>
      </w:r>
      <w:r w:rsidR="006B6155">
        <w:rPr>
          <w:lang w:val="fr-FR"/>
        </w:rPr>
        <w:t>’</w:t>
      </w:r>
      <w:r w:rsidRPr="008F0A73">
        <w:rPr>
          <w:lang w:val="fr-FR"/>
        </w:rPr>
        <w:t>exemple du Cambodge et à accélérer leur processus d</w:t>
      </w:r>
      <w:r w:rsidR="006B6155">
        <w:rPr>
          <w:lang w:val="fr-FR"/>
        </w:rPr>
        <w:t>’</w:t>
      </w:r>
      <w:r w:rsidRPr="008F0A73">
        <w:rPr>
          <w:lang w:val="fr-FR"/>
        </w:rPr>
        <w:t>adhésion, afin que l</w:t>
      </w:r>
      <w:r w:rsidR="006B6155">
        <w:rPr>
          <w:lang w:val="fr-FR"/>
        </w:rPr>
        <w:t>’</w:t>
      </w:r>
      <w:r w:rsidRPr="008F0A73">
        <w:rPr>
          <w:lang w:val="fr-FR"/>
        </w:rPr>
        <w:t>Assemblée de l</w:t>
      </w:r>
      <w:r w:rsidR="006B6155">
        <w:rPr>
          <w:lang w:val="fr-FR"/>
        </w:rPr>
        <w:t>’</w:t>
      </w:r>
      <w:r w:rsidRPr="008F0A73">
        <w:rPr>
          <w:lang w:val="fr-FR"/>
        </w:rPr>
        <w:t>Union de Lisbonne puisse célébrer l</w:t>
      </w:r>
      <w:r w:rsidR="006B6155">
        <w:rPr>
          <w:lang w:val="fr-FR"/>
        </w:rPr>
        <w:t>’</w:t>
      </w:r>
      <w:r w:rsidRPr="008F0A73">
        <w:rPr>
          <w:lang w:val="fr-FR"/>
        </w:rPr>
        <w:t>entrée en vigueur de l</w:t>
      </w:r>
      <w:r w:rsidR="006B6155">
        <w:rPr>
          <w:lang w:val="fr-FR"/>
        </w:rPr>
        <w:t>’</w:t>
      </w:r>
      <w:r w:rsidRPr="008F0A73">
        <w:rPr>
          <w:lang w:val="fr-FR"/>
        </w:rPr>
        <w:t>Acte de Genève à sa prochaine sessi</w:t>
      </w:r>
      <w:r w:rsidR="008F6158" w:rsidRPr="008F0A73">
        <w:rPr>
          <w:lang w:val="fr-FR"/>
        </w:rPr>
        <w:t>on</w:t>
      </w:r>
      <w:r w:rsidR="008F6158">
        <w:rPr>
          <w:lang w:val="fr-FR"/>
        </w:rPr>
        <w:t xml:space="preserve">.  </w:t>
      </w:r>
      <w:r w:rsidR="008F6158" w:rsidRPr="008F0A73">
        <w:rPr>
          <w:lang w:val="fr-FR"/>
        </w:rPr>
        <w:t>De</w:t>
      </w:r>
      <w:r w:rsidRPr="008F0A73">
        <w:rPr>
          <w:lang w:val="fr-FR"/>
        </w:rPr>
        <w:t>uxièmement, s</w:t>
      </w:r>
      <w:r w:rsidR="006B6155">
        <w:rPr>
          <w:lang w:val="fr-FR"/>
        </w:rPr>
        <w:t>’</w:t>
      </w:r>
      <w:r w:rsidRPr="008F0A73">
        <w:rPr>
          <w:lang w:val="fr-FR"/>
        </w:rPr>
        <w:t>agissant du fonctionnement au jour le jour du Service d</w:t>
      </w:r>
      <w:r w:rsidR="006B6155">
        <w:rPr>
          <w:lang w:val="fr-FR"/>
        </w:rPr>
        <w:t>’</w:t>
      </w:r>
      <w:r w:rsidRPr="008F0A73">
        <w:rPr>
          <w:lang w:val="fr-FR"/>
        </w:rPr>
        <w:t>enregistrement de Lisbonne, le président a indiqué qu</w:t>
      </w:r>
      <w:r w:rsidR="006B6155">
        <w:rPr>
          <w:lang w:val="fr-FR"/>
        </w:rPr>
        <w:t>’</w:t>
      </w:r>
      <w:r w:rsidRPr="008F0A73">
        <w:rPr>
          <w:lang w:val="fr-FR"/>
        </w:rPr>
        <w:t>au cours du dernier exercice biennal, 61 nouvelles demandes au total avaient été enregistrées et que, depuis le début de l</w:t>
      </w:r>
      <w:r w:rsidR="006B6155">
        <w:rPr>
          <w:lang w:val="fr-FR"/>
        </w:rPr>
        <w:t>’</w:t>
      </w:r>
      <w:r w:rsidRPr="008F0A73">
        <w:rPr>
          <w:lang w:val="fr-FR"/>
        </w:rPr>
        <w:t>année, 30 nouvelles demandes internationales avaient été reçues, dont trois</w:t>
      </w:r>
      <w:r w:rsidR="002B2E02">
        <w:rPr>
          <w:lang w:val="fr-FR"/>
        </w:rPr>
        <w:t> </w:t>
      </w:r>
      <w:r w:rsidRPr="008F0A73">
        <w:rPr>
          <w:lang w:val="fr-FR"/>
        </w:rPr>
        <w:t>de Bosnie</w:t>
      </w:r>
      <w:r w:rsidR="006B6155">
        <w:rPr>
          <w:lang w:val="fr-FR"/>
        </w:rPr>
        <w:t>-</w:t>
      </w:r>
      <w:r w:rsidRPr="008F0A73">
        <w:rPr>
          <w:lang w:val="fr-FR"/>
        </w:rPr>
        <w:t>Herzégovine, cinq</w:t>
      </w:r>
      <w:r w:rsidR="002B2E02">
        <w:rPr>
          <w:lang w:val="fr-FR"/>
        </w:rPr>
        <w:t> </w:t>
      </w:r>
      <w:r w:rsidRPr="008F0A73">
        <w:rPr>
          <w:lang w:val="fr-FR"/>
        </w:rPr>
        <w:t>d</w:t>
      </w:r>
      <w:r w:rsidR="006B6155">
        <w:rPr>
          <w:lang w:val="fr-FR"/>
        </w:rPr>
        <w:t>’</w:t>
      </w:r>
      <w:r w:rsidRPr="008F0A73">
        <w:rPr>
          <w:lang w:val="fr-FR"/>
        </w:rPr>
        <w:t>Italie, une du Mexique et deux</w:t>
      </w:r>
      <w:r w:rsidR="002B2E02">
        <w:rPr>
          <w:lang w:val="fr-FR"/>
        </w:rPr>
        <w:t> </w:t>
      </w:r>
      <w:r w:rsidRPr="008F0A73">
        <w:rPr>
          <w:lang w:val="fr-FR"/>
        </w:rPr>
        <w:t>du Pérou, portant ainsi le nombre total d</w:t>
      </w:r>
      <w:r w:rsidR="006B6155">
        <w:rPr>
          <w:lang w:val="fr-FR"/>
        </w:rPr>
        <w:t>’</w:t>
      </w:r>
      <w:r w:rsidRPr="008F0A73">
        <w:rPr>
          <w:lang w:val="fr-FR"/>
        </w:rPr>
        <w:t>enregistrements internationaux inscrits à 1127, dont 1010 étaient en vigue</w:t>
      </w:r>
      <w:r w:rsidR="008F6158" w:rsidRPr="008F0A73">
        <w:rPr>
          <w:lang w:val="fr-FR"/>
        </w:rPr>
        <w:t>ur</w:t>
      </w:r>
      <w:r w:rsidR="008F6158">
        <w:rPr>
          <w:lang w:val="fr-FR"/>
        </w:rPr>
        <w:t xml:space="preserve">.  </w:t>
      </w:r>
      <w:r w:rsidR="008F6158" w:rsidRPr="008F0A73">
        <w:rPr>
          <w:lang w:val="fr-FR"/>
        </w:rPr>
        <w:t>Il</w:t>
      </w:r>
      <w:r w:rsidRPr="008F0A73">
        <w:rPr>
          <w:lang w:val="fr-FR"/>
        </w:rPr>
        <w:t xml:space="preserve"> a ajouté que ces chiffres confirmaient l</w:t>
      </w:r>
      <w:r w:rsidR="006B6155">
        <w:rPr>
          <w:lang w:val="fr-FR"/>
        </w:rPr>
        <w:t>’</w:t>
      </w:r>
      <w:r w:rsidRPr="008F0A73">
        <w:rPr>
          <w:lang w:val="fr-FR"/>
        </w:rPr>
        <w:t>intérêt renouvelé cette année encore des membres de l</w:t>
      </w:r>
      <w:r w:rsidR="006B6155">
        <w:rPr>
          <w:lang w:val="fr-FR"/>
        </w:rPr>
        <w:t>’</w:t>
      </w:r>
      <w:r w:rsidRPr="008F0A73">
        <w:rPr>
          <w:lang w:val="fr-FR"/>
        </w:rPr>
        <w:t>Union de Lisbonne pour le systè</w:t>
      </w:r>
      <w:r w:rsidR="008F6158" w:rsidRPr="008F0A73">
        <w:rPr>
          <w:lang w:val="fr-FR"/>
        </w:rPr>
        <w:t>me</w:t>
      </w:r>
      <w:r w:rsidR="008F6158">
        <w:rPr>
          <w:lang w:val="fr-FR"/>
        </w:rPr>
        <w:t xml:space="preserve">.  </w:t>
      </w:r>
      <w:r w:rsidR="008F6158" w:rsidRPr="008F0A73">
        <w:rPr>
          <w:lang w:val="fr-FR"/>
        </w:rPr>
        <w:t>Pl</w:t>
      </w:r>
      <w:r w:rsidRPr="008F0A73">
        <w:rPr>
          <w:lang w:val="fr-FR"/>
        </w:rPr>
        <w:t>us intéressant encore, il a souligné que les dépôts pour les nouvelles appellations d</w:t>
      </w:r>
      <w:r w:rsidR="006B6155">
        <w:rPr>
          <w:lang w:val="fr-FR"/>
        </w:rPr>
        <w:t>’</w:t>
      </w:r>
      <w:r w:rsidRPr="008F0A73">
        <w:rPr>
          <w:lang w:val="fr-FR"/>
        </w:rPr>
        <w:t>origine provenaient de plus en plus de membres de l</w:t>
      </w:r>
      <w:r w:rsidR="006B6155">
        <w:rPr>
          <w:lang w:val="fr-FR"/>
        </w:rPr>
        <w:t>’</w:t>
      </w:r>
      <w:r w:rsidRPr="008F0A73">
        <w:rPr>
          <w:lang w:val="fr-FR"/>
        </w:rPr>
        <w:t>Union de Lisbonne en dehors de l</w:t>
      </w:r>
      <w:r w:rsidR="006B6155">
        <w:rPr>
          <w:lang w:val="fr-FR"/>
        </w:rPr>
        <w:t>’</w:t>
      </w:r>
      <w:r w:rsidRPr="008F0A73">
        <w:rPr>
          <w:lang w:val="fr-FR"/>
        </w:rPr>
        <w:t>Europe et que le pourcentage de dépôts provenant de pays en développement avait augmenté régulièrement ces dernières anné</w:t>
      </w:r>
      <w:r w:rsidR="008F6158" w:rsidRPr="008F0A73">
        <w:rPr>
          <w:lang w:val="fr-FR"/>
        </w:rPr>
        <w:t>es</w:t>
      </w:r>
      <w:r w:rsidR="008F6158">
        <w:rPr>
          <w:lang w:val="fr-FR"/>
        </w:rPr>
        <w:t xml:space="preserve">.  </w:t>
      </w:r>
      <w:r w:rsidR="008F6158" w:rsidRPr="008F0A73">
        <w:rPr>
          <w:lang w:val="fr-FR"/>
        </w:rPr>
        <w:t>Un</w:t>
      </w:r>
      <w:r w:rsidRPr="008F0A73">
        <w:rPr>
          <w:lang w:val="fr-FR"/>
        </w:rPr>
        <w:t>e fois de plus, cela confirmait un intérêt géographique plus large pour le système de Lisbonne et son potentiel à devenir un système véritablement mondial dans les années à ven</w:t>
      </w:r>
      <w:r w:rsidR="008F6158" w:rsidRPr="008F0A73">
        <w:rPr>
          <w:lang w:val="fr-FR"/>
        </w:rPr>
        <w:t>ir</w:t>
      </w:r>
      <w:r w:rsidR="008F6158">
        <w:rPr>
          <w:lang w:val="fr-FR"/>
        </w:rPr>
        <w:t xml:space="preserve">.  </w:t>
      </w:r>
      <w:r w:rsidR="008F6158" w:rsidRPr="008F0A73">
        <w:rPr>
          <w:lang w:val="fr-FR"/>
        </w:rPr>
        <w:t>Tr</w:t>
      </w:r>
      <w:r w:rsidRPr="008F0A73">
        <w:rPr>
          <w:lang w:val="fr-FR"/>
        </w:rPr>
        <w:t>oisièmement, se référant à la situation financière de l</w:t>
      </w:r>
      <w:r w:rsidR="006B6155">
        <w:rPr>
          <w:lang w:val="fr-FR"/>
        </w:rPr>
        <w:t>’</w:t>
      </w:r>
      <w:r w:rsidRPr="008F0A73">
        <w:rPr>
          <w:lang w:val="fr-FR"/>
        </w:rPr>
        <w:t>Union de Lisbonne, il a rappelé qu</w:t>
      </w:r>
      <w:r w:rsidR="006B6155">
        <w:rPr>
          <w:lang w:val="fr-FR"/>
        </w:rPr>
        <w:t>’</w:t>
      </w:r>
      <w:r w:rsidRPr="008F0A73">
        <w:rPr>
          <w:lang w:val="fr-FR"/>
        </w:rPr>
        <w:t>au cours de l</w:t>
      </w:r>
      <w:r w:rsidR="006B6155">
        <w:rPr>
          <w:lang w:val="fr-FR"/>
        </w:rPr>
        <w:t>’</w:t>
      </w:r>
      <w:r w:rsidRPr="008F0A73">
        <w:rPr>
          <w:lang w:val="fr-FR"/>
        </w:rPr>
        <w:t>exercice biennal 2016</w:t>
      </w:r>
      <w:r w:rsidR="006B6155">
        <w:rPr>
          <w:lang w:val="fr-FR"/>
        </w:rPr>
        <w:t>-</w:t>
      </w:r>
      <w:r w:rsidRPr="008F0A73">
        <w:rPr>
          <w:lang w:val="fr-FR"/>
        </w:rPr>
        <w:t>2017, les recettes totales de l</w:t>
      </w:r>
      <w:r w:rsidR="006B6155">
        <w:rPr>
          <w:lang w:val="fr-FR"/>
        </w:rPr>
        <w:t>’</w:t>
      </w:r>
      <w:r w:rsidRPr="008F0A73">
        <w:rPr>
          <w:lang w:val="fr-FR"/>
        </w:rPr>
        <w:t>Union de Lisbonne s</w:t>
      </w:r>
      <w:r w:rsidR="006B6155">
        <w:rPr>
          <w:lang w:val="fr-FR"/>
        </w:rPr>
        <w:t>’</w:t>
      </w:r>
      <w:r w:rsidRPr="008F0A73">
        <w:rPr>
          <w:lang w:val="fr-FR"/>
        </w:rPr>
        <w:t>étaient élevées à 2 358 564 francs suisses et les dépenses totales à 2 434 114 francs suisses, le déficit pour l</w:t>
      </w:r>
      <w:r w:rsidR="006B6155">
        <w:rPr>
          <w:lang w:val="fr-FR"/>
        </w:rPr>
        <w:t>’</w:t>
      </w:r>
      <w:r w:rsidRPr="008F0A73">
        <w:rPr>
          <w:lang w:val="fr-FR"/>
        </w:rPr>
        <w:t>exercice biennal 2016</w:t>
      </w:r>
      <w:r w:rsidR="006B6155">
        <w:rPr>
          <w:lang w:val="fr-FR"/>
        </w:rPr>
        <w:t>-</w:t>
      </w:r>
      <w:r w:rsidRPr="008F0A73">
        <w:rPr>
          <w:lang w:val="fr-FR"/>
        </w:rPr>
        <w:t>2017 atteignant 75 550 francs suiss</w:t>
      </w:r>
      <w:r w:rsidR="008F6158" w:rsidRPr="008F0A73">
        <w:rPr>
          <w:lang w:val="fr-FR"/>
        </w:rPr>
        <w:t>es</w:t>
      </w:r>
      <w:r w:rsidR="008F6158">
        <w:rPr>
          <w:lang w:val="fr-FR"/>
        </w:rPr>
        <w:t xml:space="preserve">.  </w:t>
      </w:r>
      <w:r w:rsidR="008F6158" w:rsidRPr="008F0A73">
        <w:rPr>
          <w:lang w:val="fr-FR"/>
        </w:rPr>
        <w:t>Il</w:t>
      </w:r>
      <w:r w:rsidRPr="008F0A73">
        <w:rPr>
          <w:lang w:val="fr-FR"/>
        </w:rPr>
        <w:t xml:space="preserve"> a souligné que ce résultat extrêmement positif avait été obtenu grâce au versement de subventions par les membres de l</w:t>
      </w:r>
      <w:r w:rsidR="006B6155">
        <w:rPr>
          <w:lang w:val="fr-FR"/>
        </w:rPr>
        <w:t>’</w:t>
      </w:r>
      <w:r w:rsidRPr="008F0A73">
        <w:rPr>
          <w:lang w:val="fr-FR"/>
        </w:rPr>
        <w:t>Union de Lisbonne en 2016 au titre de l</w:t>
      </w:r>
      <w:r w:rsidR="006B6155">
        <w:rPr>
          <w:lang w:val="fr-FR"/>
        </w:rPr>
        <w:t>’</w:t>
      </w:r>
      <w:r w:rsidRPr="008F0A73">
        <w:rPr>
          <w:lang w:val="fr-FR"/>
        </w:rPr>
        <w:t>article 11.3)iii) de l</w:t>
      </w:r>
      <w:r w:rsidR="006B6155">
        <w:rPr>
          <w:lang w:val="fr-FR"/>
        </w:rPr>
        <w:t>’</w:t>
      </w:r>
      <w:r w:rsidRPr="008F0A73">
        <w:rPr>
          <w:lang w:val="fr-FR"/>
        </w:rPr>
        <w:t>Arrangement de Lisbon</w:t>
      </w:r>
      <w:r w:rsidR="008F6158" w:rsidRPr="008F0A73">
        <w:rPr>
          <w:lang w:val="fr-FR"/>
        </w:rPr>
        <w:t>ne</w:t>
      </w:r>
      <w:r w:rsidR="008F6158">
        <w:rPr>
          <w:lang w:val="fr-FR"/>
        </w:rPr>
        <w:t xml:space="preserve">.  </w:t>
      </w:r>
      <w:r w:rsidR="008F6158" w:rsidRPr="008F0A73">
        <w:rPr>
          <w:lang w:val="fr-FR"/>
        </w:rPr>
        <w:t>Il</w:t>
      </w:r>
      <w:r w:rsidRPr="008F0A73">
        <w:rPr>
          <w:lang w:val="fr-FR"/>
        </w:rPr>
        <w:t xml:space="preserve"> a en outre précisé que ces subventions s</w:t>
      </w:r>
      <w:r w:rsidR="006B6155">
        <w:rPr>
          <w:lang w:val="fr-FR"/>
        </w:rPr>
        <w:t>’</w:t>
      </w:r>
      <w:r w:rsidRPr="008F0A73">
        <w:rPr>
          <w:lang w:val="fr-FR"/>
        </w:rPr>
        <w:t>étaient élevées au total à 1 323 488 francs suisses pour l</w:t>
      </w:r>
      <w:r w:rsidR="006B6155">
        <w:rPr>
          <w:lang w:val="fr-FR"/>
        </w:rPr>
        <w:t>’</w:t>
      </w:r>
      <w:r w:rsidRPr="008F0A73">
        <w:rPr>
          <w:lang w:val="fr-FR"/>
        </w:rPr>
        <w:t>exercice biennal 2016</w:t>
      </w:r>
      <w:r w:rsidR="006B6155">
        <w:rPr>
          <w:lang w:val="fr-FR"/>
        </w:rPr>
        <w:t>-</w:t>
      </w:r>
      <w:r w:rsidRPr="008F0A73">
        <w:rPr>
          <w:lang w:val="fr-FR"/>
        </w:rPr>
        <w:t>2017 et que, suite à la décision des assemblées en 2017, les membres de l</w:t>
      </w:r>
      <w:r w:rsidR="006B6155">
        <w:rPr>
          <w:lang w:val="fr-FR"/>
        </w:rPr>
        <w:t>’</w:t>
      </w:r>
      <w:r w:rsidRPr="008F0A73">
        <w:rPr>
          <w:lang w:val="fr-FR"/>
        </w:rPr>
        <w:t>Union de Lisbonne continueraient à discuter de la viabilité financière de l</w:t>
      </w:r>
      <w:r w:rsidR="006B6155">
        <w:rPr>
          <w:lang w:val="fr-FR"/>
        </w:rPr>
        <w:t>’</w:t>
      </w:r>
      <w:r w:rsidRPr="008F0A73">
        <w:rPr>
          <w:lang w:val="fr-FR"/>
        </w:rPr>
        <w:t>Union de Lisbonne en 2018.  Passant aux deux documents inscrits à l</w:t>
      </w:r>
      <w:r w:rsidR="006B6155">
        <w:rPr>
          <w:lang w:val="fr-FR"/>
        </w:rPr>
        <w:t>’</w:t>
      </w:r>
      <w:r w:rsidRPr="008F0A73">
        <w:rPr>
          <w:lang w:val="fr-FR"/>
        </w:rPr>
        <w:t xml:space="preserve">ordre du jour, </w:t>
      </w:r>
      <w:r w:rsidR="006B6155">
        <w:rPr>
          <w:lang w:val="fr-FR"/>
        </w:rPr>
        <w:t>à savoir</w:t>
      </w:r>
      <w:r w:rsidRPr="008F0A73">
        <w:rPr>
          <w:lang w:val="fr-FR"/>
        </w:rPr>
        <w:t xml:space="preserve"> les documents LI/A/35/1 et LI/A/35/2, il a indiqué qu</w:t>
      </w:r>
      <w:r w:rsidR="006B6155">
        <w:rPr>
          <w:lang w:val="fr-FR"/>
        </w:rPr>
        <w:t>’</w:t>
      </w:r>
      <w:r w:rsidRPr="008F0A73">
        <w:rPr>
          <w:lang w:val="fr-FR"/>
        </w:rPr>
        <w:t>ils seraient examinés séparément.</w:t>
      </w:r>
    </w:p>
    <w:p w:rsidR="008F0A73" w:rsidRPr="008F0A73" w:rsidRDefault="008F0A73" w:rsidP="008F0A73">
      <w:pPr>
        <w:pStyle w:val="Heading4"/>
      </w:pPr>
      <w:r w:rsidRPr="008F0A73">
        <w:t>Rapport sur le Groupe de travail sur le développement du système de Lisbonne</w:t>
      </w:r>
    </w:p>
    <w:p w:rsidR="008F0A73" w:rsidRPr="008F0A73" w:rsidRDefault="008F0A73" w:rsidP="008F0A73">
      <w:pPr>
        <w:pStyle w:val="ONUMFS"/>
        <w:numPr>
          <w:ilvl w:val="0"/>
          <w:numId w:val="6"/>
        </w:numPr>
        <w:ind w:left="567" w:hanging="567"/>
        <w:rPr>
          <w:lang w:val="fr-FR"/>
        </w:rPr>
      </w:pPr>
      <w:r w:rsidRPr="008F0A73">
        <w:rPr>
          <w:lang w:val="fr-FR"/>
        </w:rPr>
        <w:t>Les délibérations ont eu lieu sur la base du document LI/A/35/1.</w:t>
      </w:r>
    </w:p>
    <w:p w:rsidR="008F0A73" w:rsidRPr="008F0A73" w:rsidRDefault="008F0A73" w:rsidP="008F0A73">
      <w:pPr>
        <w:pStyle w:val="ONUMFS"/>
        <w:numPr>
          <w:ilvl w:val="0"/>
          <w:numId w:val="6"/>
        </w:numPr>
        <w:rPr>
          <w:lang w:val="fr-FR"/>
        </w:rPr>
      </w:pPr>
      <w:r w:rsidRPr="008F0A73">
        <w:rPr>
          <w:lang w:val="fr-FR"/>
        </w:rPr>
        <w:t>Présentant le document à l</w:t>
      </w:r>
      <w:r w:rsidR="006B6155">
        <w:rPr>
          <w:lang w:val="fr-FR"/>
        </w:rPr>
        <w:t>’</w:t>
      </w:r>
      <w:r w:rsidRPr="008F0A73">
        <w:rPr>
          <w:lang w:val="fr-FR"/>
        </w:rPr>
        <w:t>examen, le Secrétariat a rappelé qu</w:t>
      </w:r>
      <w:r w:rsidR="006B6155">
        <w:rPr>
          <w:lang w:val="fr-FR"/>
        </w:rPr>
        <w:t>’</w:t>
      </w:r>
      <w:r w:rsidRPr="008F0A73">
        <w:rPr>
          <w:lang w:val="fr-FR"/>
        </w:rPr>
        <w:t>en 2017, l</w:t>
      </w:r>
      <w:r w:rsidR="006B6155">
        <w:rPr>
          <w:lang w:val="fr-FR"/>
        </w:rPr>
        <w:t>’</w:t>
      </w:r>
      <w:r w:rsidRPr="008F0A73">
        <w:rPr>
          <w:lang w:val="fr-FR"/>
        </w:rPr>
        <w:t>Assemblée de l</w:t>
      </w:r>
      <w:r w:rsidR="006B6155">
        <w:rPr>
          <w:lang w:val="fr-FR"/>
        </w:rPr>
        <w:t>’</w:t>
      </w:r>
      <w:r w:rsidRPr="008F0A73">
        <w:rPr>
          <w:lang w:val="fr-FR"/>
        </w:rPr>
        <w:t>Union de Lisbonne avait prolongé le mandat du Groupe de travail de Lisbonne afin de permettre la poursuite des discussions sur le développement du système de Lisbonne et les solutions visant à assurer sa viabilité financiè</w:t>
      </w:r>
      <w:r w:rsidR="008F6158" w:rsidRPr="008F0A73">
        <w:rPr>
          <w:lang w:val="fr-FR"/>
        </w:rPr>
        <w:t>re</w:t>
      </w:r>
      <w:r w:rsidR="008F6158">
        <w:rPr>
          <w:lang w:val="fr-FR"/>
        </w:rPr>
        <w:t xml:space="preserve">.  </w:t>
      </w:r>
      <w:r w:rsidR="008F6158" w:rsidRPr="008F0A73">
        <w:rPr>
          <w:lang w:val="fr-FR"/>
        </w:rPr>
        <w:t>Le</w:t>
      </w:r>
      <w:r w:rsidRPr="008F0A73">
        <w:rPr>
          <w:lang w:val="fr-FR"/>
        </w:rPr>
        <w:t xml:space="preserve"> Groupe de travail sur le développement du système de Lisbonne (ci</w:t>
      </w:r>
      <w:r w:rsidR="006B6155">
        <w:rPr>
          <w:lang w:val="fr-FR"/>
        </w:rPr>
        <w:t>-</w:t>
      </w:r>
      <w:r w:rsidRPr="008F0A73">
        <w:rPr>
          <w:lang w:val="fr-FR"/>
        </w:rPr>
        <w:t>après dénommé “groupe de travail”) a tenu sa première session les 11 et 12 juin 2018.  Deux questions figuraient à l</w:t>
      </w:r>
      <w:r w:rsidR="006B6155">
        <w:rPr>
          <w:lang w:val="fr-FR"/>
        </w:rPr>
        <w:t>’</w:t>
      </w:r>
      <w:r w:rsidRPr="008F0A73">
        <w:rPr>
          <w:lang w:val="fr-FR"/>
        </w:rPr>
        <w:t xml:space="preserve">ordre du jour de cette première session, </w:t>
      </w:r>
      <w:r w:rsidR="006B6155">
        <w:rPr>
          <w:lang w:val="fr-FR"/>
        </w:rPr>
        <w:t>à savoir</w:t>
      </w:r>
      <w:r w:rsidRPr="008F0A73">
        <w:rPr>
          <w:lang w:val="fr-FR"/>
        </w:rPr>
        <w:t xml:space="preserve"> la réduction des taxes prescrites par l</w:t>
      </w:r>
      <w:r w:rsidR="006B6155">
        <w:rPr>
          <w:lang w:val="fr-FR"/>
        </w:rPr>
        <w:t>’</w:t>
      </w:r>
      <w:r w:rsidRPr="008F0A73">
        <w:rPr>
          <w:lang w:val="fr-FR"/>
        </w:rPr>
        <w:t>article 7.3) de l</w:t>
      </w:r>
      <w:r w:rsidR="006B6155">
        <w:rPr>
          <w:lang w:val="fr-FR"/>
        </w:rPr>
        <w:t>’</w:t>
      </w:r>
      <w:r w:rsidRPr="008F0A73">
        <w:rPr>
          <w:lang w:val="fr-FR"/>
        </w:rPr>
        <w:t>Acte de Genève de l</w:t>
      </w:r>
      <w:r w:rsidR="006B6155">
        <w:rPr>
          <w:lang w:val="fr-FR"/>
        </w:rPr>
        <w:t>’</w:t>
      </w:r>
      <w:r w:rsidRPr="008F0A73">
        <w:rPr>
          <w:lang w:val="fr-FR"/>
        </w:rPr>
        <w:t>Arrangement de Lisbonne sur les appellations d</w:t>
      </w:r>
      <w:r w:rsidR="006B6155">
        <w:rPr>
          <w:lang w:val="fr-FR"/>
        </w:rPr>
        <w:t>’</w:t>
      </w:r>
      <w:r w:rsidRPr="008F0A73">
        <w:rPr>
          <w:lang w:val="fr-FR"/>
        </w:rPr>
        <w:t>origine et les indications géographiques et la viabilité financière de l</w:t>
      </w:r>
      <w:r w:rsidR="006B6155">
        <w:rPr>
          <w:lang w:val="fr-FR"/>
        </w:rPr>
        <w:t>’</w:t>
      </w:r>
      <w:r w:rsidRPr="008F0A73">
        <w:rPr>
          <w:lang w:val="fr-FR"/>
        </w:rPr>
        <w:t>Union de Lisbon</w:t>
      </w:r>
      <w:r w:rsidR="008F6158" w:rsidRPr="008F0A73">
        <w:rPr>
          <w:lang w:val="fr-FR"/>
        </w:rPr>
        <w:t>ne</w:t>
      </w:r>
      <w:r w:rsidR="008F6158">
        <w:rPr>
          <w:lang w:val="fr-FR"/>
        </w:rPr>
        <w:t xml:space="preserve">.  </w:t>
      </w:r>
      <w:r w:rsidR="008F6158" w:rsidRPr="008F0A73">
        <w:rPr>
          <w:lang w:val="fr-FR"/>
        </w:rPr>
        <w:t>Le</w:t>
      </w:r>
      <w:r w:rsidRPr="008F0A73">
        <w:rPr>
          <w:lang w:val="fr-FR"/>
        </w:rPr>
        <w:t xml:space="preserve"> document LI/A/35/1 rendait compte des résultats des débats de la première session du groupe de travail.</w:t>
      </w:r>
    </w:p>
    <w:p w:rsidR="008F0A73" w:rsidRPr="008F0A73" w:rsidRDefault="008F0A73" w:rsidP="008F0A73">
      <w:pPr>
        <w:pStyle w:val="ONUMFS"/>
        <w:numPr>
          <w:ilvl w:val="0"/>
          <w:numId w:val="6"/>
        </w:numPr>
        <w:rPr>
          <w:lang w:val="fr-FR"/>
        </w:rPr>
      </w:pPr>
      <w:r w:rsidRPr="008F0A73">
        <w:rPr>
          <w:lang w:val="fr-FR"/>
        </w:rPr>
        <w:t>La délégation de l</w:t>
      </w:r>
      <w:r w:rsidR="006B6155">
        <w:rPr>
          <w:lang w:val="fr-FR"/>
        </w:rPr>
        <w:t>’</w:t>
      </w:r>
      <w:r w:rsidRPr="008F0A73">
        <w:rPr>
          <w:lang w:val="fr-FR"/>
        </w:rPr>
        <w:t>Iran (République islamique d</w:t>
      </w:r>
      <w:r w:rsidR="006B6155">
        <w:rPr>
          <w:lang w:val="fr-FR"/>
        </w:rPr>
        <w:t>’</w:t>
      </w:r>
      <w:r w:rsidRPr="008F0A73">
        <w:rPr>
          <w:lang w:val="fr-FR"/>
        </w:rPr>
        <w:t>) a indiqué que tous étaient conscients des problèmes rencontrés pour obtenir une reconnaissance des indications géographiques sur les marchés étrange</w:t>
      </w:r>
      <w:r w:rsidR="008F6158" w:rsidRPr="008F0A73">
        <w:rPr>
          <w:lang w:val="fr-FR"/>
        </w:rPr>
        <w:t>rs</w:t>
      </w:r>
      <w:r w:rsidR="008F6158">
        <w:rPr>
          <w:lang w:val="fr-FR"/>
        </w:rPr>
        <w:t xml:space="preserve">.  </w:t>
      </w:r>
      <w:r w:rsidR="008F6158" w:rsidRPr="008F0A73">
        <w:rPr>
          <w:lang w:val="fr-FR"/>
        </w:rPr>
        <w:t>El</w:t>
      </w:r>
      <w:r w:rsidRPr="008F0A73">
        <w:rPr>
          <w:lang w:val="fr-FR"/>
        </w:rPr>
        <w:t>le était donc d</w:t>
      </w:r>
      <w:r w:rsidR="006B6155">
        <w:rPr>
          <w:lang w:val="fr-FR"/>
        </w:rPr>
        <w:t>’</w:t>
      </w:r>
      <w:r w:rsidRPr="008F0A73">
        <w:rPr>
          <w:lang w:val="fr-FR"/>
        </w:rPr>
        <w:t>avis qu</w:t>
      </w:r>
      <w:r w:rsidR="006B6155">
        <w:rPr>
          <w:lang w:val="fr-FR"/>
        </w:rPr>
        <w:t>’</w:t>
      </w:r>
      <w:r w:rsidRPr="008F0A73">
        <w:rPr>
          <w:lang w:val="fr-FR"/>
        </w:rPr>
        <w:t>un système assurant la reconnaissance et la protection des indications géographiques à l</w:t>
      </w:r>
      <w:r w:rsidR="006B6155">
        <w:rPr>
          <w:lang w:val="fr-FR"/>
        </w:rPr>
        <w:t>’</w:t>
      </w:r>
      <w:r w:rsidRPr="008F0A73">
        <w:rPr>
          <w:lang w:val="fr-FR"/>
        </w:rPr>
        <w:t>échelon international était un élément important du système de propriété intellectuel</w:t>
      </w:r>
      <w:r w:rsidR="008F6158" w:rsidRPr="008F0A73">
        <w:rPr>
          <w:lang w:val="fr-FR"/>
        </w:rPr>
        <w:t>le</w:t>
      </w:r>
      <w:r w:rsidR="008F6158">
        <w:rPr>
          <w:lang w:val="fr-FR"/>
        </w:rPr>
        <w:t xml:space="preserve">.  </w:t>
      </w:r>
      <w:r w:rsidR="008F6158" w:rsidRPr="008F0A73">
        <w:rPr>
          <w:lang w:val="fr-FR"/>
        </w:rPr>
        <w:t>El</w:t>
      </w:r>
      <w:r w:rsidRPr="008F0A73">
        <w:rPr>
          <w:lang w:val="fr-FR"/>
        </w:rPr>
        <w:t>le a en outre indiqué que la République islamique d</w:t>
      </w:r>
      <w:r w:rsidR="006B6155">
        <w:rPr>
          <w:lang w:val="fr-FR"/>
        </w:rPr>
        <w:t>’</w:t>
      </w:r>
      <w:r w:rsidRPr="008F0A73">
        <w:rPr>
          <w:lang w:val="fr-FR"/>
        </w:rPr>
        <w:t>Iran attachait la plus haute importance à la protection de ses noms géographiques en dehors de son territoire national dans le cadre du système de Lisbonne.  À cet égard, la délégation a fait observer que, depuis la précédente session de l</w:t>
      </w:r>
      <w:r w:rsidR="006B6155">
        <w:rPr>
          <w:lang w:val="fr-FR"/>
        </w:rPr>
        <w:t>’</w:t>
      </w:r>
      <w:r w:rsidRPr="008F0A73">
        <w:rPr>
          <w:lang w:val="fr-FR"/>
        </w:rPr>
        <w:t>Assemblée de l</w:t>
      </w:r>
      <w:r w:rsidR="006B6155">
        <w:rPr>
          <w:lang w:val="fr-FR"/>
        </w:rPr>
        <w:t>’</w:t>
      </w:r>
      <w:r w:rsidRPr="008F0A73">
        <w:rPr>
          <w:lang w:val="fr-FR"/>
        </w:rPr>
        <w:t>Union de Lisbonne en 2017, la République islamique d</w:t>
      </w:r>
      <w:r w:rsidR="006B6155">
        <w:rPr>
          <w:lang w:val="fr-FR"/>
        </w:rPr>
        <w:t>’</w:t>
      </w:r>
      <w:r w:rsidRPr="008F0A73">
        <w:rPr>
          <w:lang w:val="fr-FR"/>
        </w:rPr>
        <w:t>Iran avait présenté 19 nouvelles demandes internationales au titre du système de Lisbonne, ce qui portait à 60 le nombre total d</w:t>
      </w:r>
      <w:r w:rsidR="006B6155">
        <w:rPr>
          <w:lang w:val="fr-FR"/>
        </w:rPr>
        <w:t>’</w:t>
      </w:r>
      <w:r w:rsidRPr="008F0A73">
        <w:rPr>
          <w:lang w:val="fr-FR"/>
        </w:rPr>
        <w:t>enregistrements internationaux iraniens au titre du système de Lisbon</w:t>
      </w:r>
      <w:r w:rsidR="008F6158" w:rsidRPr="008F0A73">
        <w:rPr>
          <w:lang w:val="fr-FR"/>
        </w:rPr>
        <w:t>ne</w:t>
      </w:r>
      <w:r w:rsidR="008F6158">
        <w:rPr>
          <w:lang w:val="fr-FR"/>
        </w:rPr>
        <w:t xml:space="preserve">.  </w:t>
      </w:r>
      <w:r w:rsidR="008F6158" w:rsidRPr="008F0A73">
        <w:rPr>
          <w:lang w:val="fr-FR"/>
        </w:rPr>
        <w:t>La</w:t>
      </w:r>
      <w:r w:rsidRPr="008F0A73">
        <w:rPr>
          <w:lang w:val="fr-FR"/>
        </w:rPr>
        <w:t xml:space="preserve"> délégation s</w:t>
      </w:r>
      <w:r w:rsidR="006B6155">
        <w:rPr>
          <w:lang w:val="fr-FR"/>
        </w:rPr>
        <w:t>’</w:t>
      </w:r>
      <w:r w:rsidRPr="008F0A73">
        <w:rPr>
          <w:lang w:val="fr-FR"/>
        </w:rPr>
        <w:t>est également déclarée satisfaite de l</w:t>
      </w:r>
      <w:r w:rsidR="006B6155">
        <w:rPr>
          <w:lang w:val="fr-FR"/>
        </w:rPr>
        <w:t>’</w:t>
      </w:r>
      <w:r w:rsidRPr="008F0A73">
        <w:rPr>
          <w:lang w:val="fr-FR"/>
        </w:rPr>
        <w:t>augmentation de 26% du nombre d</w:t>
      </w:r>
      <w:r w:rsidR="006B6155">
        <w:rPr>
          <w:lang w:val="fr-FR"/>
        </w:rPr>
        <w:t>’</w:t>
      </w:r>
      <w:r w:rsidRPr="008F0A73">
        <w:rPr>
          <w:lang w:val="fr-FR"/>
        </w:rPr>
        <w:t>enregistrements internationaux dans le cadre du système de Lisbonne, provenant essentiellement de pays en développeme</w:t>
      </w:r>
      <w:r w:rsidR="008F6158" w:rsidRPr="008F0A73">
        <w:rPr>
          <w:lang w:val="fr-FR"/>
        </w:rPr>
        <w:t>nt</w:t>
      </w:r>
      <w:r w:rsidR="008F6158">
        <w:rPr>
          <w:lang w:val="fr-FR"/>
        </w:rPr>
        <w:t xml:space="preserve">.  </w:t>
      </w:r>
      <w:r w:rsidR="008F6158" w:rsidRPr="008F0A73">
        <w:rPr>
          <w:lang w:val="fr-FR"/>
        </w:rPr>
        <w:t>El</w:t>
      </w:r>
      <w:r w:rsidRPr="008F0A73">
        <w:rPr>
          <w:lang w:val="fr-FR"/>
        </w:rPr>
        <w:t>le a rappelé que le nombre d</w:t>
      </w:r>
      <w:r w:rsidR="006B6155">
        <w:rPr>
          <w:lang w:val="fr-FR"/>
        </w:rPr>
        <w:t>’</w:t>
      </w:r>
      <w:r w:rsidRPr="008F0A73">
        <w:rPr>
          <w:lang w:val="fr-FR"/>
        </w:rPr>
        <w:t>enregistrements d</w:t>
      </w:r>
      <w:r w:rsidR="006B6155">
        <w:rPr>
          <w:lang w:val="fr-FR"/>
        </w:rPr>
        <w:t>’</w:t>
      </w:r>
      <w:r w:rsidRPr="008F0A73">
        <w:rPr>
          <w:lang w:val="fr-FR"/>
        </w:rPr>
        <w:t>appellations d</w:t>
      </w:r>
      <w:r w:rsidR="006B6155">
        <w:rPr>
          <w:lang w:val="fr-FR"/>
        </w:rPr>
        <w:t>’</w:t>
      </w:r>
      <w:r w:rsidRPr="008F0A73">
        <w:rPr>
          <w:lang w:val="fr-FR"/>
        </w:rPr>
        <w:t>origine de pays en développement avait doublé au cours des 10 dernières années, passant de 5% en 2007 à 10% en 2017.  Concernant la question de la viabilité financière de l</w:t>
      </w:r>
      <w:r w:rsidR="006B6155">
        <w:rPr>
          <w:lang w:val="fr-FR"/>
        </w:rPr>
        <w:t>’</w:t>
      </w:r>
      <w:r w:rsidRPr="008F0A73">
        <w:rPr>
          <w:lang w:val="fr-FR"/>
        </w:rPr>
        <w:t>Union de Lisbonne, la délégation se félicitait des nombreuses idées présentées à la première session du groupe de travail et prenait acte des progrès réalisés vers l</w:t>
      </w:r>
      <w:r w:rsidR="006B6155">
        <w:rPr>
          <w:lang w:val="fr-FR"/>
        </w:rPr>
        <w:t>’</w:t>
      </w:r>
      <w:r w:rsidRPr="008F0A73">
        <w:rPr>
          <w:lang w:val="fr-FR"/>
        </w:rPr>
        <w:t>émergence d</w:t>
      </w:r>
      <w:r w:rsidR="006B6155">
        <w:rPr>
          <w:lang w:val="fr-FR"/>
        </w:rPr>
        <w:t>’</w:t>
      </w:r>
      <w:r w:rsidRPr="008F0A73">
        <w:rPr>
          <w:lang w:val="fr-FR"/>
        </w:rPr>
        <w:t>une solution appropri</w:t>
      </w:r>
      <w:r w:rsidR="008F6158" w:rsidRPr="008F0A73">
        <w:rPr>
          <w:lang w:val="fr-FR"/>
        </w:rPr>
        <w:t>ée</w:t>
      </w:r>
      <w:r w:rsidR="008F6158">
        <w:rPr>
          <w:lang w:val="fr-FR"/>
        </w:rPr>
        <w:t xml:space="preserve">.  </w:t>
      </w:r>
      <w:r w:rsidR="008F6158" w:rsidRPr="008F0A73">
        <w:rPr>
          <w:lang w:val="fr-FR"/>
        </w:rPr>
        <w:t>El</w:t>
      </w:r>
      <w:r w:rsidRPr="008F0A73">
        <w:rPr>
          <w:lang w:val="fr-FR"/>
        </w:rPr>
        <w:t>le était convaincue qu</w:t>
      </w:r>
      <w:r w:rsidR="006B6155">
        <w:rPr>
          <w:lang w:val="fr-FR"/>
        </w:rPr>
        <w:t>’</w:t>
      </w:r>
      <w:r w:rsidRPr="008F0A73">
        <w:rPr>
          <w:lang w:val="fr-FR"/>
        </w:rPr>
        <w:t>il existait un moyen de soutenir financièrement l</w:t>
      </w:r>
      <w:r w:rsidR="006B6155">
        <w:rPr>
          <w:lang w:val="fr-FR"/>
        </w:rPr>
        <w:t>’</w:t>
      </w:r>
      <w:r w:rsidRPr="008F0A73">
        <w:rPr>
          <w:lang w:val="fr-FR"/>
        </w:rPr>
        <w:t>Union de Lisbonne tout en assurant le respect total des principes de longue date de solidarité et d</w:t>
      </w:r>
      <w:r w:rsidR="006B6155">
        <w:rPr>
          <w:lang w:val="fr-FR"/>
        </w:rPr>
        <w:t>’</w:t>
      </w:r>
      <w:r w:rsidRPr="008F0A73">
        <w:rPr>
          <w:lang w:val="fr-FR"/>
        </w:rPr>
        <w:t>égalité de traitement dans chaque domaine de la propriété intellectuel</w:t>
      </w:r>
      <w:r w:rsidR="008F6158" w:rsidRPr="008F0A73">
        <w:rPr>
          <w:lang w:val="fr-FR"/>
        </w:rPr>
        <w:t>le</w:t>
      </w:r>
      <w:r w:rsidR="008F6158">
        <w:rPr>
          <w:lang w:val="fr-FR"/>
        </w:rPr>
        <w:t xml:space="preserve">.  </w:t>
      </w:r>
      <w:r w:rsidR="008F6158" w:rsidRPr="008F0A73">
        <w:rPr>
          <w:lang w:val="fr-FR"/>
        </w:rPr>
        <w:t>S</w:t>
      </w:r>
      <w:r w:rsidR="008F6158">
        <w:rPr>
          <w:lang w:val="fr-FR"/>
        </w:rPr>
        <w:t>’</w:t>
      </w:r>
      <w:r w:rsidR="008F6158" w:rsidRPr="008F0A73">
        <w:rPr>
          <w:lang w:val="fr-FR"/>
        </w:rPr>
        <w:t>a</w:t>
      </w:r>
      <w:r w:rsidRPr="008F0A73">
        <w:rPr>
          <w:lang w:val="fr-FR"/>
        </w:rPr>
        <w:t>gissant d</w:t>
      </w:r>
      <w:r w:rsidR="006B6155">
        <w:rPr>
          <w:lang w:val="fr-FR"/>
        </w:rPr>
        <w:t>’</w:t>
      </w:r>
      <w:r w:rsidRPr="008F0A73">
        <w:rPr>
          <w:lang w:val="fr-FR"/>
        </w:rPr>
        <w:t>assurer la viabilité financière à long terme du système de Lisbonne, la délégation a réaffirmé la nécessité d</w:t>
      </w:r>
      <w:r w:rsidR="006B6155">
        <w:rPr>
          <w:lang w:val="fr-FR"/>
        </w:rPr>
        <w:t>’</w:t>
      </w:r>
      <w:r w:rsidRPr="008F0A73">
        <w:rPr>
          <w:lang w:val="fr-FR"/>
        </w:rPr>
        <w:t xml:space="preserve">une promotion solide du système de Lisbonne, </w:t>
      </w:r>
      <w:r w:rsidR="006B6155">
        <w:rPr>
          <w:lang w:val="fr-FR"/>
        </w:rPr>
        <w:t>y compris</w:t>
      </w:r>
      <w:r w:rsidRPr="008F0A73">
        <w:rPr>
          <w:lang w:val="fr-FR"/>
        </w:rPr>
        <w:t xml:space="preserve"> de l</w:t>
      </w:r>
      <w:r w:rsidR="006B6155">
        <w:rPr>
          <w:lang w:val="fr-FR"/>
        </w:rPr>
        <w:t>’</w:t>
      </w:r>
      <w:r w:rsidRPr="008F0A73">
        <w:rPr>
          <w:lang w:val="fr-FR"/>
        </w:rPr>
        <w:t>Acte de Genè</w:t>
      </w:r>
      <w:r w:rsidR="008F6158" w:rsidRPr="008F0A73">
        <w:rPr>
          <w:lang w:val="fr-FR"/>
        </w:rPr>
        <w:t>ve</w:t>
      </w:r>
      <w:r w:rsidR="008F6158">
        <w:rPr>
          <w:lang w:val="fr-FR"/>
        </w:rPr>
        <w:t xml:space="preserve">.  </w:t>
      </w:r>
      <w:r w:rsidR="008F6158" w:rsidRPr="008F0A73">
        <w:rPr>
          <w:lang w:val="fr-FR"/>
        </w:rPr>
        <w:t>En</w:t>
      </w:r>
      <w:r w:rsidRPr="008F0A73">
        <w:rPr>
          <w:lang w:val="fr-FR"/>
        </w:rPr>
        <w:t xml:space="preserve"> guise de conclusion, elle a déclaré qu</w:t>
      </w:r>
      <w:r w:rsidR="006B6155">
        <w:rPr>
          <w:lang w:val="fr-FR"/>
        </w:rPr>
        <w:t>’</w:t>
      </w:r>
      <w:r w:rsidRPr="008F0A73">
        <w:rPr>
          <w:lang w:val="fr-FR"/>
        </w:rPr>
        <w:t>elle restait attachée à la pratique des organisations internationales qui avaient toujours fondé leur fonctionnement et leurs processus décisionnels sur les principes fondamentaux de solidarité, de confiance et d</w:t>
      </w:r>
      <w:r w:rsidR="006B6155">
        <w:rPr>
          <w:lang w:val="fr-FR"/>
        </w:rPr>
        <w:t>’</w:t>
      </w:r>
      <w:r w:rsidRPr="008F0A73">
        <w:rPr>
          <w:lang w:val="fr-FR"/>
        </w:rPr>
        <w:t>égalité de traitement.</w:t>
      </w:r>
    </w:p>
    <w:p w:rsidR="008F0A73" w:rsidRPr="0035146B" w:rsidRDefault="00152AAD" w:rsidP="008F0A73">
      <w:pPr>
        <w:pStyle w:val="ONUMFS"/>
        <w:numPr>
          <w:ilvl w:val="0"/>
          <w:numId w:val="6"/>
        </w:numPr>
        <w:rPr>
          <w:spacing w:val="-2"/>
          <w:lang w:val="fr-FR"/>
        </w:rPr>
      </w:pPr>
      <w:r w:rsidRPr="0035146B">
        <w:rPr>
          <w:spacing w:val="-2"/>
          <w:lang w:val="fr-FR"/>
        </w:rPr>
        <w:t>La délégation de la Hongrie a noté</w:t>
      </w:r>
      <w:r w:rsidR="008F0A73" w:rsidRPr="0035146B">
        <w:rPr>
          <w:spacing w:val="-2"/>
          <w:lang w:val="fr-FR"/>
        </w:rPr>
        <w:t xml:space="preserve"> avec satisfaction les progrès réalisés à la première session du groupe de travail</w:t>
      </w:r>
      <w:r w:rsidRPr="0035146B">
        <w:rPr>
          <w:spacing w:val="-2"/>
          <w:lang w:val="fr-FR"/>
        </w:rPr>
        <w:t xml:space="preserve"> et </w:t>
      </w:r>
      <w:r w:rsidR="008F0A73" w:rsidRPr="0035146B">
        <w:rPr>
          <w:spacing w:val="-2"/>
          <w:lang w:val="fr-FR"/>
        </w:rPr>
        <w:t>s</w:t>
      </w:r>
      <w:r w:rsidR="006B6155" w:rsidRPr="0035146B">
        <w:rPr>
          <w:spacing w:val="-2"/>
          <w:lang w:val="fr-FR"/>
        </w:rPr>
        <w:t>’</w:t>
      </w:r>
      <w:r w:rsidR="008F0A73" w:rsidRPr="0035146B">
        <w:rPr>
          <w:spacing w:val="-2"/>
          <w:lang w:val="fr-FR"/>
        </w:rPr>
        <w:t>est félicitée des récentes évolutions positives liées au système de Lisbonne, notamment le dépôt de nouvelles demandes internationales et l</w:t>
      </w:r>
      <w:r w:rsidR="006B6155" w:rsidRPr="0035146B">
        <w:rPr>
          <w:spacing w:val="-2"/>
          <w:lang w:val="fr-FR"/>
        </w:rPr>
        <w:t>’</w:t>
      </w:r>
      <w:r w:rsidR="008F0A73" w:rsidRPr="0035146B">
        <w:rPr>
          <w:spacing w:val="-2"/>
          <w:lang w:val="fr-FR"/>
        </w:rPr>
        <w:t>adhésion du Cambodge à l</w:t>
      </w:r>
      <w:r w:rsidR="006B6155" w:rsidRPr="0035146B">
        <w:rPr>
          <w:spacing w:val="-2"/>
          <w:lang w:val="fr-FR"/>
        </w:rPr>
        <w:t>’</w:t>
      </w:r>
      <w:r w:rsidR="008F0A73" w:rsidRPr="0035146B">
        <w:rPr>
          <w:spacing w:val="-2"/>
          <w:lang w:val="fr-FR"/>
        </w:rPr>
        <w:t>Acte de Genève après le dépôt de son instrument d</w:t>
      </w:r>
      <w:r w:rsidR="006B6155" w:rsidRPr="0035146B">
        <w:rPr>
          <w:spacing w:val="-2"/>
          <w:lang w:val="fr-FR"/>
        </w:rPr>
        <w:t>’</w:t>
      </w:r>
      <w:r w:rsidR="008F0A73" w:rsidRPr="0035146B">
        <w:rPr>
          <w:spacing w:val="-2"/>
          <w:lang w:val="fr-FR"/>
        </w:rPr>
        <w:t>adhésion en mars 2018.  Étant donné que la première adhésion à l</w:t>
      </w:r>
      <w:r w:rsidR="006B6155" w:rsidRPr="0035146B">
        <w:rPr>
          <w:spacing w:val="-2"/>
          <w:lang w:val="fr-FR"/>
        </w:rPr>
        <w:t>’</w:t>
      </w:r>
      <w:r w:rsidR="008F0A73" w:rsidRPr="0035146B">
        <w:rPr>
          <w:spacing w:val="-2"/>
          <w:lang w:val="fr-FR"/>
        </w:rPr>
        <w:t>Acte de Genève est le résultat du travail assidu de promotion entrepris par l</w:t>
      </w:r>
      <w:r w:rsidR="006B6155" w:rsidRPr="0035146B">
        <w:rPr>
          <w:spacing w:val="-2"/>
          <w:lang w:val="fr-FR"/>
        </w:rPr>
        <w:t>’</w:t>
      </w:r>
      <w:r w:rsidR="008F0A73" w:rsidRPr="0035146B">
        <w:rPr>
          <w:spacing w:val="-2"/>
          <w:lang w:val="fr-FR"/>
        </w:rPr>
        <w:t>OMPI sur les appellations d</w:t>
      </w:r>
      <w:r w:rsidR="006B6155" w:rsidRPr="0035146B">
        <w:rPr>
          <w:spacing w:val="-2"/>
          <w:lang w:val="fr-FR"/>
        </w:rPr>
        <w:t>’</w:t>
      </w:r>
      <w:r w:rsidR="008F0A73" w:rsidRPr="0035146B">
        <w:rPr>
          <w:spacing w:val="-2"/>
          <w:lang w:val="fr-FR"/>
        </w:rPr>
        <w:t>origine et les indications géographiques, la délégation a encouragé le Secrétariat à poursuivre ses activités de promotion renforcées et ciblé</w:t>
      </w:r>
      <w:r w:rsidR="008F6158" w:rsidRPr="0035146B">
        <w:rPr>
          <w:spacing w:val="-2"/>
          <w:lang w:val="fr-FR"/>
        </w:rPr>
        <w:t>es.  El</w:t>
      </w:r>
      <w:r w:rsidR="008F0A73" w:rsidRPr="0035146B">
        <w:rPr>
          <w:spacing w:val="-2"/>
          <w:lang w:val="fr-FR"/>
        </w:rPr>
        <w:t>le appuyait l</w:t>
      </w:r>
      <w:r w:rsidR="006B6155" w:rsidRPr="0035146B">
        <w:rPr>
          <w:spacing w:val="-2"/>
          <w:lang w:val="fr-FR"/>
        </w:rPr>
        <w:t>’</w:t>
      </w:r>
      <w:r w:rsidR="008F0A73" w:rsidRPr="0035146B">
        <w:rPr>
          <w:spacing w:val="-2"/>
          <w:lang w:val="fr-FR"/>
        </w:rPr>
        <w:t>adoption d</w:t>
      </w:r>
      <w:r w:rsidR="006B6155" w:rsidRPr="0035146B">
        <w:rPr>
          <w:spacing w:val="-2"/>
          <w:lang w:val="fr-FR"/>
        </w:rPr>
        <w:t>’</w:t>
      </w:r>
      <w:r w:rsidR="008F0A73" w:rsidRPr="0035146B">
        <w:rPr>
          <w:spacing w:val="-2"/>
          <w:lang w:val="fr-FR"/>
        </w:rPr>
        <w:t xml:space="preserve">une réduction de 50% du montant prescrit des taxes pour les pays les moins avancés (PMA) </w:t>
      </w:r>
      <w:r w:rsidR="006B6155" w:rsidRPr="0035146B">
        <w:rPr>
          <w:spacing w:val="-2"/>
          <w:lang w:val="fr-FR"/>
        </w:rPr>
        <w:t>à l’égard</w:t>
      </w:r>
      <w:r w:rsidR="008F0A73" w:rsidRPr="0035146B">
        <w:rPr>
          <w:spacing w:val="-2"/>
          <w:lang w:val="fr-FR"/>
        </w:rPr>
        <w:t xml:space="preserve"> des enregistrements internationaux, estimant que la modification proposée du barème des taxes rendrait le système de Lisbonne plus attrayant pour les parties contractantes actuelles et futur</w:t>
      </w:r>
      <w:r w:rsidR="008F6158" w:rsidRPr="0035146B">
        <w:rPr>
          <w:spacing w:val="-2"/>
          <w:lang w:val="fr-FR"/>
        </w:rPr>
        <w:t>es.  Co</w:t>
      </w:r>
      <w:r w:rsidR="008F0A73" w:rsidRPr="0035146B">
        <w:rPr>
          <w:spacing w:val="-2"/>
          <w:lang w:val="fr-FR"/>
        </w:rPr>
        <w:t>ncernant la viabilité financière du système de Lisbonne, la délégation a réaffirmé qu</w:t>
      </w:r>
      <w:r w:rsidR="006B6155" w:rsidRPr="0035146B">
        <w:rPr>
          <w:spacing w:val="-2"/>
          <w:lang w:val="fr-FR"/>
        </w:rPr>
        <w:t>’</w:t>
      </w:r>
      <w:r w:rsidR="008F0A73" w:rsidRPr="0035146B">
        <w:rPr>
          <w:spacing w:val="-2"/>
          <w:lang w:val="fr-FR"/>
        </w:rPr>
        <w:t>elle était fermement résolue à contribuer de manière constructive aux discussions lors des futures sessions du groupe de travail ou des réunions informell</w:t>
      </w:r>
      <w:r w:rsidR="008F6158" w:rsidRPr="0035146B">
        <w:rPr>
          <w:spacing w:val="-2"/>
          <w:lang w:val="fr-FR"/>
        </w:rPr>
        <w:t>es.  Es</w:t>
      </w:r>
      <w:r w:rsidR="008F0A73" w:rsidRPr="0035146B">
        <w:rPr>
          <w:spacing w:val="-2"/>
          <w:lang w:val="fr-FR"/>
        </w:rPr>
        <w:t>timant qu</w:t>
      </w:r>
      <w:r w:rsidR="006B6155" w:rsidRPr="0035146B">
        <w:rPr>
          <w:spacing w:val="-2"/>
          <w:lang w:val="fr-FR"/>
        </w:rPr>
        <w:t>’</w:t>
      </w:r>
      <w:r w:rsidR="008F0A73" w:rsidRPr="0035146B">
        <w:rPr>
          <w:spacing w:val="-2"/>
          <w:lang w:val="fr-FR"/>
        </w:rPr>
        <w:t>une solution raisonnable et équilibrée devait être trouvée pour assurer la viabilité à long terme du système de Lisbonne, elle a toutefois mis en garde contre le fait que toutes les mesures futures possibles devaient respecter le principe de solidarité financière entre les unions et les programmes budgétaires, la capacité à payer et la nécessité d</w:t>
      </w:r>
      <w:r w:rsidR="006B6155" w:rsidRPr="0035146B">
        <w:rPr>
          <w:spacing w:val="-2"/>
          <w:lang w:val="fr-FR"/>
        </w:rPr>
        <w:t>’</w:t>
      </w:r>
      <w:r w:rsidR="008F0A73" w:rsidRPr="0035146B">
        <w:rPr>
          <w:spacing w:val="-2"/>
          <w:lang w:val="fr-FR"/>
        </w:rPr>
        <w:t>une coopération entre les unio</w:t>
      </w:r>
      <w:r w:rsidR="008F6158" w:rsidRPr="0035146B">
        <w:rPr>
          <w:spacing w:val="-2"/>
          <w:lang w:val="fr-FR"/>
        </w:rPr>
        <w:t>ns.  La</w:t>
      </w:r>
      <w:r w:rsidR="008F0A73" w:rsidRPr="0035146B">
        <w:rPr>
          <w:spacing w:val="-2"/>
          <w:lang w:val="fr-FR"/>
        </w:rPr>
        <w:t xml:space="preserve"> délégation a conclu en disant que les remarquables résultats financiers de l</w:t>
      </w:r>
      <w:r w:rsidR="006B6155" w:rsidRPr="0035146B">
        <w:rPr>
          <w:spacing w:val="-2"/>
          <w:lang w:val="fr-FR"/>
        </w:rPr>
        <w:t>’</w:t>
      </w:r>
      <w:r w:rsidR="008F0A73" w:rsidRPr="0035146B">
        <w:rPr>
          <w:spacing w:val="-2"/>
          <w:lang w:val="fr-FR"/>
        </w:rPr>
        <w:t>OMPI constituaient une base solide pour allouer les ressources nécessaires au maintien, à l</w:t>
      </w:r>
      <w:r w:rsidR="006B6155" w:rsidRPr="0035146B">
        <w:rPr>
          <w:spacing w:val="-2"/>
          <w:lang w:val="fr-FR"/>
        </w:rPr>
        <w:t>’</w:t>
      </w:r>
      <w:r w:rsidR="008F0A73" w:rsidRPr="0035146B">
        <w:rPr>
          <w:spacing w:val="-2"/>
          <w:lang w:val="fr-FR"/>
        </w:rPr>
        <w:t>amélioration et à la promotion des quatre systèmes mondiaux d</w:t>
      </w:r>
      <w:r w:rsidR="006B6155" w:rsidRPr="0035146B">
        <w:rPr>
          <w:spacing w:val="-2"/>
          <w:lang w:val="fr-FR"/>
        </w:rPr>
        <w:t>’</w:t>
      </w:r>
      <w:r w:rsidR="008F0A73" w:rsidRPr="0035146B">
        <w:rPr>
          <w:spacing w:val="-2"/>
          <w:lang w:val="fr-FR"/>
        </w:rPr>
        <w:t xml:space="preserve">enregistrement de la propriété intellectuelle, </w:t>
      </w:r>
      <w:r w:rsidR="006B6155" w:rsidRPr="0035146B">
        <w:rPr>
          <w:spacing w:val="-2"/>
          <w:lang w:val="fr-FR"/>
        </w:rPr>
        <w:t>à savoir</w:t>
      </w:r>
      <w:r w:rsidR="008F0A73" w:rsidRPr="0035146B">
        <w:rPr>
          <w:spacing w:val="-2"/>
          <w:lang w:val="fr-FR"/>
        </w:rPr>
        <w:t xml:space="preserve"> le PCT, Madrid, </w:t>
      </w:r>
      <w:r w:rsidR="006B6155" w:rsidRPr="0035146B">
        <w:rPr>
          <w:spacing w:val="-2"/>
          <w:lang w:val="fr-FR"/>
        </w:rPr>
        <w:t>La Haye</w:t>
      </w:r>
      <w:r w:rsidR="008F0A73" w:rsidRPr="0035146B">
        <w:rPr>
          <w:spacing w:val="-2"/>
          <w:lang w:val="fr-FR"/>
        </w:rPr>
        <w:t xml:space="preserve"> et Lisbonne.</w:t>
      </w:r>
    </w:p>
    <w:p w:rsidR="008F0A73" w:rsidRPr="0035146B" w:rsidRDefault="00152AAD" w:rsidP="008F0A73">
      <w:pPr>
        <w:pStyle w:val="ONUMFS"/>
        <w:numPr>
          <w:ilvl w:val="0"/>
          <w:numId w:val="6"/>
        </w:numPr>
        <w:rPr>
          <w:spacing w:val="-2"/>
          <w:lang w:val="fr-FR"/>
        </w:rPr>
      </w:pPr>
      <w:r w:rsidRPr="0035146B">
        <w:rPr>
          <w:spacing w:val="-2"/>
          <w:lang w:val="fr-FR"/>
        </w:rPr>
        <w:t>La délégation de l</w:t>
      </w:r>
      <w:r w:rsidR="006B6155" w:rsidRPr="0035146B">
        <w:rPr>
          <w:spacing w:val="-2"/>
          <w:lang w:val="fr-FR"/>
        </w:rPr>
        <w:t>’</w:t>
      </w:r>
      <w:r w:rsidRPr="0035146B">
        <w:rPr>
          <w:spacing w:val="-2"/>
          <w:lang w:val="fr-FR"/>
        </w:rPr>
        <w:t xml:space="preserve">Italie a noté </w:t>
      </w:r>
      <w:r w:rsidR="008F0A73" w:rsidRPr="0035146B">
        <w:rPr>
          <w:spacing w:val="-2"/>
          <w:lang w:val="fr-FR"/>
        </w:rPr>
        <w:t>avec satisfaction l</w:t>
      </w:r>
      <w:r w:rsidR="006B6155" w:rsidRPr="0035146B">
        <w:rPr>
          <w:spacing w:val="-2"/>
          <w:lang w:val="fr-FR"/>
        </w:rPr>
        <w:t>’</w:t>
      </w:r>
      <w:r w:rsidR="008F0A73" w:rsidRPr="0035146B">
        <w:rPr>
          <w:spacing w:val="-2"/>
          <w:lang w:val="fr-FR"/>
        </w:rPr>
        <w:t>intérêt accru manifesté par certains États membres de l</w:t>
      </w:r>
      <w:r w:rsidR="006B6155" w:rsidRPr="0035146B">
        <w:rPr>
          <w:spacing w:val="-2"/>
          <w:lang w:val="fr-FR"/>
        </w:rPr>
        <w:t>’</w:t>
      </w:r>
      <w:r w:rsidR="008F0A73" w:rsidRPr="0035146B">
        <w:rPr>
          <w:spacing w:val="-2"/>
          <w:lang w:val="fr-FR"/>
        </w:rPr>
        <w:t>OMPI en faveur de l</w:t>
      </w:r>
      <w:r w:rsidR="006B6155" w:rsidRPr="0035146B">
        <w:rPr>
          <w:spacing w:val="-2"/>
          <w:lang w:val="fr-FR"/>
        </w:rPr>
        <w:t>’</w:t>
      </w:r>
      <w:r w:rsidR="008F0A73" w:rsidRPr="0035146B">
        <w:rPr>
          <w:spacing w:val="-2"/>
          <w:lang w:val="fr-FR"/>
        </w:rPr>
        <w:t>adhésion au système de Lisbonne</w:t>
      </w:r>
      <w:r w:rsidRPr="0035146B">
        <w:rPr>
          <w:spacing w:val="-2"/>
          <w:lang w:val="fr-FR"/>
        </w:rPr>
        <w:t xml:space="preserve"> et</w:t>
      </w:r>
      <w:r w:rsidR="008F0A73" w:rsidRPr="0035146B">
        <w:rPr>
          <w:spacing w:val="-2"/>
          <w:lang w:val="fr-FR"/>
        </w:rPr>
        <w:t xml:space="preserve"> a réitéré sa demande de renforcement des activités de promotion qui devaient être plus incisives afin d</w:t>
      </w:r>
      <w:r w:rsidR="006B6155" w:rsidRPr="0035146B">
        <w:rPr>
          <w:spacing w:val="-2"/>
          <w:lang w:val="fr-FR"/>
        </w:rPr>
        <w:t>’</w:t>
      </w:r>
      <w:r w:rsidR="008F0A73" w:rsidRPr="0035146B">
        <w:rPr>
          <w:spacing w:val="-2"/>
          <w:lang w:val="fr-FR"/>
        </w:rPr>
        <w:t>attirer de nouvelles parties contractantes au système de Lisbon</w:t>
      </w:r>
      <w:r w:rsidR="008F6158" w:rsidRPr="0035146B">
        <w:rPr>
          <w:spacing w:val="-2"/>
          <w:lang w:val="fr-FR"/>
        </w:rPr>
        <w:t>ne.  Ce</w:t>
      </w:r>
      <w:r w:rsidR="008F0A73" w:rsidRPr="0035146B">
        <w:rPr>
          <w:spacing w:val="-2"/>
          <w:lang w:val="fr-FR"/>
        </w:rPr>
        <w:t xml:space="preserve"> renforcement se justifiait d</w:t>
      </w:r>
      <w:r w:rsidR="006B6155" w:rsidRPr="0035146B">
        <w:rPr>
          <w:spacing w:val="-2"/>
          <w:lang w:val="fr-FR"/>
        </w:rPr>
        <w:t>’</w:t>
      </w:r>
      <w:r w:rsidR="008F0A73" w:rsidRPr="0035146B">
        <w:rPr>
          <w:spacing w:val="-2"/>
          <w:lang w:val="fr-FR"/>
        </w:rPr>
        <w:t>autant plus au vu du lancement officiel de la procédure formelle d</w:t>
      </w:r>
      <w:r w:rsidR="006B6155" w:rsidRPr="0035146B">
        <w:rPr>
          <w:spacing w:val="-2"/>
          <w:lang w:val="fr-FR"/>
        </w:rPr>
        <w:t>’</w:t>
      </w:r>
      <w:r w:rsidR="008F0A73" w:rsidRPr="0035146B">
        <w:rPr>
          <w:spacing w:val="-2"/>
          <w:lang w:val="fr-FR"/>
        </w:rPr>
        <w:t>adhésion de l</w:t>
      </w:r>
      <w:r w:rsidR="006B6155" w:rsidRPr="0035146B">
        <w:rPr>
          <w:spacing w:val="-2"/>
          <w:lang w:val="fr-FR"/>
        </w:rPr>
        <w:t>’</w:t>
      </w:r>
      <w:r w:rsidR="008F0A73" w:rsidRPr="0035146B">
        <w:rPr>
          <w:spacing w:val="-2"/>
          <w:lang w:val="fr-FR"/>
        </w:rPr>
        <w:t>Union européenne à l</w:t>
      </w:r>
      <w:r w:rsidR="006B6155" w:rsidRPr="0035146B">
        <w:rPr>
          <w:spacing w:val="-2"/>
          <w:lang w:val="fr-FR"/>
        </w:rPr>
        <w:t>’</w:t>
      </w:r>
      <w:r w:rsidR="008F0A73" w:rsidRPr="0035146B">
        <w:rPr>
          <w:spacing w:val="-2"/>
          <w:lang w:val="fr-FR"/>
        </w:rPr>
        <w:t>Acte de Genève de l</w:t>
      </w:r>
      <w:r w:rsidR="006B6155" w:rsidRPr="0035146B">
        <w:rPr>
          <w:spacing w:val="-2"/>
          <w:lang w:val="fr-FR"/>
        </w:rPr>
        <w:t>’</w:t>
      </w:r>
      <w:r w:rsidR="008F0A73" w:rsidRPr="0035146B">
        <w:rPr>
          <w:spacing w:val="-2"/>
          <w:lang w:val="fr-FR"/>
        </w:rPr>
        <w:t>Arrangement de Lisbonne et de l</w:t>
      </w:r>
      <w:r w:rsidR="006B6155" w:rsidRPr="0035146B">
        <w:rPr>
          <w:spacing w:val="-2"/>
          <w:lang w:val="fr-FR"/>
        </w:rPr>
        <w:t>’</w:t>
      </w:r>
      <w:r w:rsidR="008F0A73" w:rsidRPr="0035146B">
        <w:rPr>
          <w:spacing w:val="-2"/>
          <w:lang w:val="fr-FR"/>
        </w:rPr>
        <w:t>entrée en vigueur prévue de l</w:t>
      </w:r>
      <w:r w:rsidR="006B6155" w:rsidRPr="0035146B">
        <w:rPr>
          <w:spacing w:val="-2"/>
          <w:lang w:val="fr-FR"/>
        </w:rPr>
        <w:t>’</w:t>
      </w:r>
      <w:r w:rsidR="008F0A73" w:rsidRPr="0035146B">
        <w:rPr>
          <w:spacing w:val="-2"/>
          <w:lang w:val="fr-FR"/>
        </w:rPr>
        <w:t>Acte de Genève.</w:t>
      </w:r>
    </w:p>
    <w:p w:rsidR="008F0A73" w:rsidRPr="008F0A73" w:rsidRDefault="008F0A73" w:rsidP="008F0A73">
      <w:pPr>
        <w:pStyle w:val="ONUMFS"/>
        <w:numPr>
          <w:ilvl w:val="0"/>
          <w:numId w:val="6"/>
        </w:numPr>
        <w:rPr>
          <w:lang w:val="fr-FR"/>
        </w:rPr>
      </w:pPr>
      <w:r w:rsidRPr="008F0A73">
        <w:rPr>
          <w:lang w:val="fr-FR"/>
        </w:rPr>
        <w:t>La délégation du Portugal s</w:t>
      </w:r>
      <w:r w:rsidR="006B6155">
        <w:rPr>
          <w:lang w:val="fr-FR"/>
        </w:rPr>
        <w:t>’</w:t>
      </w:r>
      <w:r w:rsidRPr="008F0A73">
        <w:rPr>
          <w:lang w:val="fr-FR"/>
        </w:rPr>
        <w:t>est félicitée des progrès réalisés par le groupe de travail pour trouver des solutions permettant d</w:t>
      </w:r>
      <w:r w:rsidR="006B6155">
        <w:rPr>
          <w:lang w:val="fr-FR"/>
        </w:rPr>
        <w:t>’</w:t>
      </w:r>
      <w:r w:rsidRPr="008F0A73">
        <w:rPr>
          <w:lang w:val="fr-FR"/>
        </w:rPr>
        <w:t>assurer la viabilité financière du système de Lisbonne à moyen et à long ter</w:t>
      </w:r>
      <w:r w:rsidR="008F6158" w:rsidRPr="008F0A73">
        <w:rPr>
          <w:lang w:val="fr-FR"/>
        </w:rPr>
        <w:t>me</w:t>
      </w:r>
      <w:r w:rsidR="008F6158">
        <w:rPr>
          <w:lang w:val="fr-FR"/>
        </w:rPr>
        <w:t xml:space="preserve">.  </w:t>
      </w:r>
      <w:r w:rsidR="008F6158" w:rsidRPr="008F0A73">
        <w:rPr>
          <w:lang w:val="fr-FR"/>
        </w:rPr>
        <w:t>El</w:t>
      </w:r>
      <w:r w:rsidRPr="008F0A73">
        <w:rPr>
          <w:lang w:val="fr-FR"/>
        </w:rPr>
        <w:t>le a déclaré qu</w:t>
      </w:r>
      <w:r w:rsidR="006B6155">
        <w:rPr>
          <w:lang w:val="fr-FR"/>
        </w:rPr>
        <w:t>’</w:t>
      </w:r>
      <w:r w:rsidRPr="008F0A73">
        <w:rPr>
          <w:lang w:val="fr-FR"/>
        </w:rPr>
        <w:t>elle continuerait à contribuer de manière constructive aux discussions afin de trouver des mécanismes appropriés pour accroître l</w:t>
      </w:r>
      <w:r w:rsidR="006B6155">
        <w:rPr>
          <w:lang w:val="fr-FR"/>
        </w:rPr>
        <w:t>’</w:t>
      </w:r>
      <w:r w:rsidRPr="008F0A73">
        <w:rPr>
          <w:lang w:val="fr-FR"/>
        </w:rPr>
        <w:t>utilisation du système de Lisbonne, assurant ainsi sa viabilité financiè</w:t>
      </w:r>
      <w:r w:rsidR="008F6158" w:rsidRPr="008F0A73">
        <w:rPr>
          <w:lang w:val="fr-FR"/>
        </w:rPr>
        <w:t>re</w:t>
      </w:r>
      <w:r w:rsidR="008F6158">
        <w:rPr>
          <w:lang w:val="fr-FR"/>
        </w:rPr>
        <w:t xml:space="preserve">.  </w:t>
      </w:r>
      <w:r w:rsidR="008F6158" w:rsidRPr="008F0A73">
        <w:rPr>
          <w:lang w:val="fr-FR"/>
        </w:rPr>
        <w:t>El</w:t>
      </w:r>
      <w:r w:rsidRPr="008F0A73">
        <w:rPr>
          <w:lang w:val="fr-FR"/>
        </w:rPr>
        <w:t>le a indiqué que toute solution qui serait proposée devrait tenir compte de l</w:t>
      </w:r>
      <w:r w:rsidR="006B6155">
        <w:rPr>
          <w:lang w:val="fr-FR"/>
        </w:rPr>
        <w:t>’</w:t>
      </w:r>
      <w:r w:rsidRPr="008F0A73">
        <w:rPr>
          <w:lang w:val="fr-FR"/>
        </w:rPr>
        <w:t>Organisation dans son ensemble et respecter les principes de non</w:t>
      </w:r>
      <w:r w:rsidR="006B6155">
        <w:rPr>
          <w:lang w:val="fr-FR"/>
        </w:rPr>
        <w:t>-</w:t>
      </w:r>
      <w:r w:rsidRPr="008F0A73">
        <w:rPr>
          <w:lang w:val="fr-FR"/>
        </w:rPr>
        <w:t>discrimination en matière de propriété industrielle, ainsi que la capacité à payer des unio</w:t>
      </w:r>
      <w:r w:rsidR="008F6158" w:rsidRPr="008F0A73">
        <w:rPr>
          <w:lang w:val="fr-FR"/>
        </w:rPr>
        <w:t>ns</w:t>
      </w:r>
      <w:r w:rsidR="008F6158">
        <w:rPr>
          <w:lang w:val="fr-FR"/>
        </w:rPr>
        <w:t xml:space="preserve">.  </w:t>
      </w:r>
      <w:r w:rsidR="008F6158" w:rsidRPr="008F0A73">
        <w:rPr>
          <w:lang w:val="fr-FR"/>
        </w:rPr>
        <w:t>La</w:t>
      </w:r>
      <w:r w:rsidRPr="008F0A73">
        <w:rPr>
          <w:lang w:val="fr-FR"/>
        </w:rPr>
        <w:t xml:space="preserve"> délégation a appuyé l</w:t>
      </w:r>
      <w:r w:rsidR="006B6155">
        <w:rPr>
          <w:lang w:val="fr-FR"/>
        </w:rPr>
        <w:t>’</w:t>
      </w:r>
      <w:r w:rsidRPr="008F0A73">
        <w:rPr>
          <w:lang w:val="fr-FR"/>
        </w:rPr>
        <w:t>adoption de la réduction proposée de 50% pour les PMA afin d</w:t>
      </w:r>
      <w:r w:rsidR="006B6155">
        <w:rPr>
          <w:lang w:val="fr-FR"/>
        </w:rPr>
        <w:t>’</w:t>
      </w:r>
      <w:r w:rsidRPr="008F0A73">
        <w:rPr>
          <w:lang w:val="fr-FR"/>
        </w:rPr>
        <w:t>aider ces pays à bénéficier du système de Lisbonne d</w:t>
      </w:r>
      <w:r w:rsidR="006B6155">
        <w:rPr>
          <w:lang w:val="fr-FR"/>
        </w:rPr>
        <w:t>’</w:t>
      </w:r>
      <w:r w:rsidRPr="008F0A73">
        <w:rPr>
          <w:lang w:val="fr-FR"/>
        </w:rPr>
        <w:t>un point de vue économique, social et culturel.</w:t>
      </w:r>
    </w:p>
    <w:p w:rsidR="008F0A73" w:rsidRPr="008F0A73" w:rsidRDefault="008F0A73" w:rsidP="008F0A73">
      <w:pPr>
        <w:pStyle w:val="ONUMFS"/>
        <w:numPr>
          <w:ilvl w:val="0"/>
          <w:numId w:val="6"/>
        </w:numPr>
        <w:rPr>
          <w:lang w:val="fr-FR"/>
        </w:rPr>
      </w:pPr>
      <w:r w:rsidRPr="008F0A73">
        <w:rPr>
          <w:lang w:val="fr-FR"/>
        </w:rPr>
        <w:t>La délégation de la France s</w:t>
      </w:r>
      <w:r w:rsidR="006B6155">
        <w:rPr>
          <w:lang w:val="fr-FR"/>
        </w:rPr>
        <w:t>’</w:t>
      </w:r>
      <w:r w:rsidRPr="008F0A73">
        <w:rPr>
          <w:lang w:val="fr-FR"/>
        </w:rPr>
        <w:t>est associée aux déclarations faites par les délégations précédentes.</w:t>
      </w:r>
    </w:p>
    <w:p w:rsidR="008F0A73" w:rsidRPr="0035146B" w:rsidRDefault="00152AAD" w:rsidP="008F0A73">
      <w:pPr>
        <w:pStyle w:val="ONUMFS"/>
        <w:numPr>
          <w:ilvl w:val="0"/>
          <w:numId w:val="6"/>
        </w:numPr>
        <w:rPr>
          <w:spacing w:val="-2"/>
          <w:lang w:val="fr-FR"/>
        </w:rPr>
      </w:pPr>
      <w:r w:rsidRPr="0035146B">
        <w:rPr>
          <w:spacing w:val="-2"/>
          <w:lang w:val="fr-FR"/>
        </w:rPr>
        <w:t>La délégation de la Suisse s</w:t>
      </w:r>
      <w:r w:rsidR="006B6155" w:rsidRPr="0035146B">
        <w:rPr>
          <w:spacing w:val="-2"/>
          <w:lang w:val="fr-FR"/>
        </w:rPr>
        <w:t>’</w:t>
      </w:r>
      <w:r w:rsidRPr="0035146B">
        <w:rPr>
          <w:spacing w:val="-2"/>
          <w:lang w:val="fr-FR"/>
        </w:rPr>
        <w:t xml:space="preserve">est félicitée </w:t>
      </w:r>
      <w:r w:rsidR="008F0A73" w:rsidRPr="0035146B">
        <w:rPr>
          <w:spacing w:val="-2"/>
          <w:lang w:val="fr-FR"/>
        </w:rPr>
        <w:t>de la première adhésion à l</w:t>
      </w:r>
      <w:r w:rsidR="006B6155" w:rsidRPr="0035146B">
        <w:rPr>
          <w:spacing w:val="-2"/>
          <w:lang w:val="fr-FR"/>
        </w:rPr>
        <w:t>’</w:t>
      </w:r>
      <w:r w:rsidR="008F0A73" w:rsidRPr="0035146B">
        <w:rPr>
          <w:spacing w:val="-2"/>
          <w:lang w:val="fr-FR"/>
        </w:rPr>
        <w:t>Acte de Genève de l</w:t>
      </w:r>
      <w:r w:rsidR="006B6155" w:rsidRPr="0035146B">
        <w:rPr>
          <w:spacing w:val="-2"/>
          <w:lang w:val="fr-FR"/>
        </w:rPr>
        <w:t>’</w:t>
      </w:r>
      <w:r w:rsidR="008F0A73" w:rsidRPr="0035146B">
        <w:rPr>
          <w:spacing w:val="-2"/>
          <w:lang w:val="fr-FR"/>
        </w:rPr>
        <w:t>Arrangement de Lisbonne</w:t>
      </w:r>
      <w:r w:rsidRPr="0035146B">
        <w:rPr>
          <w:spacing w:val="-2"/>
          <w:lang w:val="fr-FR"/>
        </w:rPr>
        <w:t xml:space="preserve"> et</w:t>
      </w:r>
      <w:r w:rsidR="008F0A73" w:rsidRPr="0035146B">
        <w:rPr>
          <w:spacing w:val="-2"/>
          <w:lang w:val="fr-FR"/>
        </w:rPr>
        <w:t xml:space="preserve"> a fait valoir que le système de Lisbonne offrait de vastes possibilités, d</w:t>
      </w:r>
      <w:r w:rsidR="006B6155" w:rsidRPr="0035146B">
        <w:rPr>
          <w:spacing w:val="-2"/>
          <w:lang w:val="fr-FR"/>
        </w:rPr>
        <w:t>’</w:t>
      </w:r>
      <w:r w:rsidR="008F0A73" w:rsidRPr="0035146B">
        <w:rPr>
          <w:spacing w:val="-2"/>
          <w:lang w:val="fr-FR"/>
        </w:rPr>
        <w:t>autant plus que l</w:t>
      </w:r>
      <w:r w:rsidR="006B6155" w:rsidRPr="0035146B">
        <w:rPr>
          <w:spacing w:val="-2"/>
          <w:lang w:val="fr-FR"/>
        </w:rPr>
        <w:t>’</w:t>
      </w:r>
      <w:r w:rsidR="008F0A73" w:rsidRPr="0035146B">
        <w:rPr>
          <w:spacing w:val="-2"/>
          <w:lang w:val="fr-FR"/>
        </w:rPr>
        <w:t>économie de régions entières sur tous les continents reposait dans une large mesure, parfois entièrement, sur la protection appropriée de l</w:t>
      </w:r>
      <w:r w:rsidR="006B6155" w:rsidRPr="0035146B">
        <w:rPr>
          <w:spacing w:val="-2"/>
          <w:lang w:val="fr-FR"/>
        </w:rPr>
        <w:t>’</w:t>
      </w:r>
      <w:r w:rsidR="008F0A73" w:rsidRPr="0035146B">
        <w:rPr>
          <w:spacing w:val="-2"/>
          <w:lang w:val="fr-FR"/>
        </w:rPr>
        <w:t>indication géographique ou de l</w:t>
      </w:r>
      <w:r w:rsidR="006B6155" w:rsidRPr="0035146B">
        <w:rPr>
          <w:spacing w:val="-2"/>
          <w:lang w:val="fr-FR"/>
        </w:rPr>
        <w:t>’</w:t>
      </w:r>
      <w:r w:rsidR="008F0A73" w:rsidRPr="0035146B">
        <w:rPr>
          <w:spacing w:val="-2"/>
          <w:lang w:val="fr-FR"/>
        </w:rPr>
        <w:t>appellation d</w:t>
      </w:r>
      <w:r w:rsidR="006B6155" w:rsidRPr="0035146B">
        <w:rPr>
          <w:spacing w:val="-2"/>
          <w:lang w:val="fr-FR"/>
        </w:rPr>
        <w:t>’</w:t>
      </w:r>
      <w:r w:rsidR="008F0A73" w:rsidRPr="0035146B">
        <w:rPr>
          <w:spacing w:val="-2"/>
          <w:lang w:val="fr-FR"/>
        </w:rPr>
        <w:t xml:space="preserve">origine qui distinguait </w:t>
      </w:r>
      <w:r w:rsidR="00BF3742" w:rsidRPr="0035146B">
        <w:rPr>
          <w:spacing w:val="-2"/>
          <w:lang w:val="fr-FR"/>
        </w:rPr>
        <w:t>la production</w:t>
      </w:r>
      <w:r w:rsidR="008F0A73" w:rsidRPr="0035146B">
        <w:rPr>
          <w:spacing w:val="-2"/>
          <w:lang w:val="fr-FR"/>
        </w:rPr>
        <w:t xml:space="preserve"> de </w:t>
      </w:r>
      <w:r w:rsidR="000D0B35" w:rsidRPr="0035146B">
        <w:rPr>
          <w:spacing w:val="-2"/>
          <w:lang w:val="fr-FR"/>
        </w:rPr>
        <w:t xml:space="preserve">ces </w:t>
      </w:r>
      <w:r w:rsidR="008F0A73" w:rsidRPr="0035146B">
        <w:rPr>
          <w:spacing w:val="-2"/>
          <w:lang w:val="fr-FR"/>
        </w:rPr>
        <w:t>région</w:t>
      </w:r>
      <w:r w:rsidR="000D0B35" w:rsidRPr="0035146B">
        <w:rPr>
          <w:spacing w:val="-2"/>
          <w:lang w:val="fr-FR"/>
        </w:rPr>
        <w:t>s</w:t>
      </w:r>
      <w:r w:rsidR="00BF3742" w:rsidRPr="0035146B">
        <w:rPr>
          <w:spacing w:val="-2"/>
          <w:lang w:val="fr-FR"/>
        </w:rPr>
        <w:t xml:space="preserve"> et incorporait</w:t>
      </w:r>
      <w:r w:rsidR="000D0B35" w:rsidRPr="0035146B">
        <w:rPr>
          <w:spacing w:val="-2"/>
          <w:lang w:val="fr-FR"/>
        </w:rPr>
        <w:t xml:space="preserve"> la</w:t>
      </w:r>
      <w:r w:rsidR="008F0A73" w:rsidRPr="0035146B">
        <w:rPr>
          <w:spacing w:val="-2"/>
          <w:lang w:val="fr-FR"/>
        </w:rPr>
        <w:t xml:space="preserve"> réputation </w:t>
      </w:r>
      <w:r w:rsidR="000D0B35" w:rsidRPr="0035146B">
        <w:rPr>
          <w:spacing w:val="-2"/>
          <w:lang w:val="fr-FR"/>
        </w:rPr>
        <w:t xml:space="preserve">qui lui conférait une place particulière </w:t>
      </w:r>
      <w:r w:rsidR="008F0A73" w:rsidRPr="0035146B">
        <w:rPr>
          <w:spacing w:val="-2"/>
          <w:lang w:val="fr-FR"/>
        </w:rPr>
        <w:t>sur le marché mondi</w:t>
      </w:r>
      <w:r w:rsidR="008F6158" w:rsidRPr="0035146B">
        <w:rPr>
          <w:spacing w:val="-2"/>
          <w:lang w:val="fr-FR"/>
        </w:rPr>
        <w:t>al.  La</w:t>
      </w:r>
      <w:r w:rsidR="008F0A73" w:rsidRPr="0035146B">
        <w:rPr>
          <w:spacing w:val="-2"/>
          <w:lang w:val="fr-FR"/>
        </w:rPr>
        <w:t xml:space="preserve"> délégation souhaitait donc que le système de Lisbonne </w:t>
      </w:r>
      <w:r w:rsidR="000D0B35" w:rsidRPr="0035146B">
        <w:rPr>
          <w:spacing w:val="-2"/>
          <w:lang w:val="fr-FR"/>
        </w:rPr>
        <w:t>se développe efficacement et</w:t>
      </w:r>
      <w:r w:rsidR="008F0A73" w:rsidRPr="0035146B">
        <w:rPr>
          <w:spacing w:val="-2"/>
          <w:lang w:val="fr-FR"/>
        </w:rPr>
        <w:t xml:space="preserve"> réponde aux besoins de ses membr</w:t>
      </w:r>
      <w:r w:rsidR="008F6158" w:rsidRPr="0035146B">
        <w:rPr>
          <w:spacing w:val="-2"/>
          <w:lang w:val="fr-FR"/>
        </w:rPr>
        <w:t>es.  El</w:t>
      </w:r>
      <w:r w:rsidR="008F0A73" w:rsidRPr="0035146B">
        <w:rPr>
          <w:spacing w:val="-2"/>
          <w:lang w:val="fr-FR"/>
        </w:rPr>
        <w:t>le a également pris note de l</w:t>
      </w:r>
      <w:r w:rsidR="006B6155" w:rsidRPr="0035146B">
        <w:rPr>
          <w:spacing w:val="-2"/>
          <w:lang w:val="fr-FR"/>
        </w:rPr>
        <w:t>’</w:t>
      </w:r>
      <w:r w:rsidR="008F0A73" w:rsidRPr="0035146B">
        <w:rPr>
          <w:spacing w:val="-2"/>
          <w:lang w:val="fr-FR"/>
        </w:rPr>
        <w:t>approche sérieuse adoptée par les membres de l</w:t>
      </w:r>
      <w:r w:rsidR="006B6155" w:rsidRPr="0035146B">
        <w:rPr>
          <w:spacing w:val="-2"/>
          <w:lang w:val="fr-FR"/>
        </w:rPr>
        <w:t>’</w:t>
      </w:r>
      <w:r w:rsidR="008F0A73" w:rsidRPr="0035146B">
        <w:rPr>
          <w:spacing w:val="-2"/>
          <w:lang w:val="fr-FR"/>
        </w:rPr>
        <w:t>Union de Lisbonne pour examiner les questions relatives au financement du systè</w:t>
      </w:r>
      <w:r w:rsidR="008F6158" w:rsidRPr="0035146B">
        <w:rPr>
          <w:spacing w:val="-2"/>
          <w:lang w:val="fr-FR"/>
        </w:rPr>
        <w:t>me.  Co</w:t>
      </w:r>
      <w:r w:rsidR="008F0A73" w:rsidRPr="0035146B">
        <w:rPr>
          <w:spacing w:val="-2"/>
          <w:lang w:val="fr-FR"/>
        </w:rPr>
        <w:t>nsidérant que le système était dans une phase de transition dans l</w:t>
      </w:r>
      <w:r w:rsidR="006B6155" w:rsidRPr="0035146B">
        <w:rPr>
          <w:spacing w:val="-2"/>
          <w:lang w:val="fr-FR"/>
        </w:rPr>
        <w:t>’</w:t>
      </w:r>
      <w:r w:rsidR="008F0A73" w:rsidRPr="0035146B">
        <w:rPr>
          <w:spacing w:val="-2"/>
          <w:lang w:val="fr-FR"/>
        </w:rPr>
        <w:t>attente de l</w:t>
      </w:r>
      <w:r w:rsidR="006B6155" w:rsidRPr="0035146B">
        <w:rPr>
          <w:spacing w:val="-2"/>
          <w:lang w:val="fr-FR"/>
        </w:rPr>
        <w:t>’</w:t>
      </w:r>
      <w:r w:rsidR="008F0A73" w:rsidRPr="0035146B">
        <w:rPr>
          <w:spacing w:val="-2"/>
          <w:lang w:val="fr-FR"/>
        </w:rPr>
        <w:t>entrée en vigueur de l</w:t>
      </w:r>
      <w:r w:rsidR="006B6155" w:rsidRPr="0035146B">
        <w:rPr>
          <w:spacing w:val="-2"/>
          <w:lang w:val="fr-FR"/>
        </w:rPr>
        <w:t>’</w:t>
      </w:r>
      <w:r w:rsidR="008F0A73" w:rsidRPr="0035146B">
        <w:rPr>
          <w:spacing w:val="-2"/>
          <w:lang w:val="fr-FR"/>
        </w:rPr>
        <w:t>Acte de Genève et compte tenu des questions encore ouvertes quant à son développement et à son financement, elle était favorable à ce qu</w:t>
      </w:r>
      <w:r w:rsidR="006B6155" w:rsidRPr="0035146B">
        <w:rPr>
          <w:spacing w:val="-2"/>
          <w:lang w:val="fr-FR"/>
        </w:rPr>
        <w:t>’</w:t>
      </w:r>
      <w:r w:rsidR="008F0A73" w:rsidRPr="0035146B">
        <w:rPr>
          <w:spacing w:val="-2"/>
          <w:lang w:val="fr-FR"/>
        </w:rPr>
        <w:t>une nouvelle session du groupe de travail soit convoquée en 2019, avant les prochaines assemblé</w:t>
      </w:r>
      <w:r w:rsidR="008F6158" w:rsidRPr="0035146B">
        <w:rPr>
          <w:spacing w:val="-2"/>
          <w:lang w:val="fr-FR"/>
        </w:rPr>
        <w:t>es.  La</w:t>
      </w:r>
      <w:r w:rsidR="008F0A73" w:rsidRPr="0035146B">
        <w:rPr>
          <w:spacing w:val="-2"/>
          <w:lang w:val="fr-FR"/>
        </w:rPr>
        <w:t xml:space="preserve"> délégation a conclu en disant que, grâce à sa récente modernisation par l</w:t>
      </w:r>
      <w:r w:rsidR="006B6155" w:rsidRPr="0035146B">
        <w:rPr>
          <w:spacing w:val="-2"/>
          <w:lang w:val="fr-FR"/>
        </w:rPr>
        <w:t>’</w:t>
      </w:r>
      <w:r w:rsidR="008F0A73" w:rsidRPr="0035146B">
        <w:rPr>
          <w:spacing w:val="-2"/>
          <w:lang w:val="fr-FR"/>
        </w:rPr>
        <w:t>Acte de Genève, le système de Lisbonne était appelé à prendre une nouvelle ampleur grâce à la participation d</w:t>
      </w:r>
      <w:r w:rsidR="006B6155" w:rsidRPr="0035146B">
        <w:rPr>
          <w:spacing w:val="-2"/>
          <w:lang w:val="fr-FR"/>
        </w:rPr>
        <w:t>’</w:t>
      </w:r>
      <w:r w:rsidR="008F0A73" w:rsidRPr="0035146B">
        <w:rPr>
          <w:spacing w:val="-2"/>
          <w:lang w:val="fr-FR"/>
        </w:rPr>
        <w:t>un plus grand nombre de pays, ce qui irait dans l</w:t>
      </w:r>
      <w:r w:rsidR="006B6155" w:rsidRPr="0035146B">
        <w:rPr>
          <w:spacing w:val="-2"/>
          <w:lang w:val="fr-FR"/>
        </w:rPr>
        <w:t>’</w:t>
      </w:r>
      <w:r w:rsidR="008F0A73" w:rsidRPr="0035146B">
        <w:rPr>
          <w:spacing w:val="-2"/>
          <w:lang w:val="fr-FR"/>
        </w:rPr>
        <w:t>intérêt des producteurs dont l</w:t>
      </w:r>
      <w:r w:rsidR="006B6155" w:rsidRPr="0035146B">
        <w:rPr>
          <w:spacing w:val="-2"/>
          <w:lang w:val="fr-FR"/>
        </w:rPr>
        <w:t>’</w:t>
      </w:r>
      <w:r w:rsidR="008F0A73" w:rsidRPr="0035146B">
        <w:rPr>
          <w:spacing w:val="-2"/>
          <w:lang w:val="fr-FR"/>
        </w:rPr>
        <w:t>indication géographique ou l</w:t>
      </w:r>
      <w:r w:rsidR="006B6155" w:rsidRPr="0035146B">
        <w:rPr>
          <w:spacing w:val="-2"/>
          <w:lang w:val="fr-FR"/>
        </w:rPr>
        <w:t>’</w:t>
      </w:r>
      <w:r w:rsidR="008F0A73" w:rsidRPr="0035146B">
        <w:rPr>
          <w:spacing w:val="-2"/>
          <w:lang w:val="fr-FR"/>
        </w:rPr>
        <w:t>appellation d</w:t>
      </w:r>
      <w:r w:rsidR="006B6155" w:rsidRPr="0035146B">
        <w:rPr>
          <w:spacing w:val="-2"/>
          <w:lang w:val="fr-FR"/>
        </w:rPr>
        <w:t>’</w:t>
      </w:r>
      <w:r w:rsidR="008F0A73" w:rsidRPr="0035146B">
        <w:rPr>
          <w:spacing w:val="-2"/>
          <w:lang w:val="fr-FR"/>
        </w:rPr>
        <w:t>origine constituait le principal actif de propriété intellectuelle dont ils disposaient, indépendamment du niveau de développement du pays dans lequel ils se trouvaient.</w:t>
      </w:r>
    </w:p>
    <w:p w:rsidR="008F0A73" w:rsidRPr="008F0A73" w:rsidRDefault="008F0A73" w:rsidP="008F0A73">
      <w:pPr>
        <w:pStyle w:val="ONUMFS"/>
        <w:numPr>
          <w:ilvl w:val="0"/>
          <w:numId w:val="6"/>
        </w:numPr>
        <w:ind w:left="567"/>
        <w:rPr>
          <w:lang w:val="fr-FR"/>
        </w:rPr>
      </w:pPr>
      <w:r w:rsidRPr="008F0A73">
        <w:rPr>
          <w:lang w:val="fr-FR"/>
        </w:rPr>
        <w:t>L</w:t>
      </w:r>
      <w:r w:rsidR="006B6155">
        <w:rPr>
          <w:lang w:val="fr-FR"/>
        </w:rPr>
        <w:t>’</w:t>
      </w:r>
      <w:r w:rsidRPr="008F0A73">
        <w:rPr>
          <w:lang w:val="fr-FR"/>
        </w:rPr>
        <w:t>Assemblée de l</w:t>
      </w:r>
      <w:r w:rsidR="006B6155">
        <w:rPr>
          <w:lang w:val="fr-FR"/>
        </w:rPr>
        <w:t>’</w:t>
      </w:r>
      <w:r w:rsidRPr="008F0A73">
        <w:rPr>
          <w:lang w:val="fr-FR"/>
        </w:rPr>
        <w:t>Union de Lisbonne a pris note du “Rapport sur le Groupe de travail sur le développement du système de Lisbonne” (document LI/A/35/1).</w:t>
      </w:r>
    </w:p>
    <w:p w:rsidR="008F0A73" w:rsidRPr="008F0A73" w:rsidRDefault="008F0A73" w:rsidP="008F0A73">
      <w:pPr>
        <w:pStyle w:val="Heading4"/>
      </w:pPr>
      <w:r w:rsidRPr="008F0A73">
        <w:t>Propositions de modification du règlement d</w:t>
      </w:r>
      <w:r w:rsidR="006B6155">
        <w:t>’</w:t>
      </w:r>
      <w:r w:rsidRPr="008F0A73">
        <w:t>exécution commun à l</w:t>
      </w:r>
      <w:r w:rsidR="006B6155">
        <w:t>’</w:t>
      </w:r>
      <w:r w:rsidRPr="008F0A73">
        <w:t>Arrangement de Lisbonne et à l</w:t>
      </w:r>
      <w:r w:rsidR="006B6155">
        <w:t>’</w:t>
      </w:r>
      <w:r w:rsidRPr="008F0A73">
        <w:t>Acte de Genève de l</w:t>
      </w:r>
      <w:r w:rsidR="006B6155">
        <w:t>’</w:t>
      </w:r>
      <w:r w:rsidRPr="008F0A73">
        <w:t>Arrangement de Lisbonne</w:t>
      </w:r>
    </w:p>
    <w:p w:rsidR="008F0A73" w:rsidRPr="008F0A73" w:rsidRDefault="008F0A73" w:rsidP="008F0A73">
      <w:pPr>
        <w:pStyle w:val="ONUMFS"/>
        <w:numPr>
          <w:ilvl w:val="0"/>
          <w:numId w:val="6"/>
        </w:numPr>
        <w:rPr>
          <w:lang w:val="fr-FR"/>
        </w:rPr>
      </w:pPr>
      <w:r w:rsidRPr="008F0A73">
        <w:rPr>
          <w:lang w:val="fr-FR"/>
        </w:rPr>
        <w:t>Les délibérations ont eu lieu sur la base du document LI/A/35/2.</w:t>
      </w:r>
    </w:p>
    <w:p w:rsidR="008F0A73" w:rsidRPr="0035146B" w:rsidRDefault="008F0A73" w:rsidP="008F0A73">
      <w:pPr>
        <w:pStyle w:val="ONUMFS"/>
        <w:numPr>
          <w:ilvl w:val="0"/>
          <w:numId w:val="6"/>
        </w:numPr>
        <w:rPr>
          <w:spacing w:val="-2"/>
          <w:lang w:val="fr-FR"/>
        </w:rPr>
      </w:pPr>
      <w:r w:rsidRPr="0035146B">
        <w:rPr>
          <w:spacing w:val="-2"/>
          <w:lang w:val="fr-FR"/>
        </w:rPr>
        <w:t>Présentant le document à l</w:t>
      </w:r>
      <w:r w:rsidR="006B6155" w:rsidRPr="0035146B">
        <w:rPr>
          <w:spacing w:val="-2"/>
          <w:lang w:val="fr-FR"/>
        </w:rPr>
        <w:t>’</w:t>
      </w:r>
      <w:r w:rsidRPr="0035146B">
        <w:rPr>
          <w:spacing w:val="-2"/>
          <w:lang w:val="fr-FR"/>
        </w:rPr>
        <w:t>examen, le Secrétariat a rappelé que les délibérations concernant les réductions de taxes relatives à certains enregistrements internationaux d</w:t>
      </w:r>
      <w:r w:rsidR="006B6155" w:rsidRPr="0035146B">
        <w:rPr>
          <w:spacing w:val="-2"/>
          <w:lang w:val="fr-FR"/>
        </w:rPr>
        <w:t>’</w:t>
      </w:r>
      <w:r w:rsidRPr="0035146B">
        <w:rPr>
          <w:spacing w:val="-2"/>
          <w:lang w:val="fr-FR"/>
        </w:rPr>
        <w:t>appellations d</w:t>
      </w:r>
      <w:r w:rsidR="006B6155" w:rsidRPr="0035146B">
        <w:rPr>
          <w:spacing w:val="-2"/>
          <w:lang w:val="fr-FR"/>
        </w:rPr>
        <w:t>’</w:t>
      </w:r>
      <w:r w:rsidRPr="0035146B">
        <w:rPr>
          <w:spacing w:val="-2"/>
          <w:lang w:val="fr-FR"/>
        </w:rPr>
        <w:t>origine et d</w:t>
      </w:r>
      <w:r w:rsidR="006B6155" w:rsidRPr="0035146B">
        <w:rPr>
          <w:spacing w:val="-2"/>
          <w:lang w:val="fr-FR"/>
        </w:rPr>
        <w:t>’</w:t>
      </w:r>
      <w:r w:rsidRPr="0035146B">
        <w:rPr>
          <w:spacing w:val="-2"/>
          <w:lang w:val="fr-FR"/>
        </w:rPr>
        <w:t>indications géographiques prévues à l</w:t>
      </w:r>
      <w:r w:rsidR="006B6155" w:rsidRPr="0035146B">
        <w:rPr>
          <w:spacing w:val="-2"/>
          <w:lang w:val="fr-FR"/>
        </w:rPr>
        <w:t>’</w:t>
      </w:r>
      <w:r w:rsidRPr="0035146B">
        <w:rPr>
          <w:spacing w:val="-2"/>
          <w:lang w:val="fr-FR"/>
        </w:rPr>
        <w:t>article 7.3) de l</w:t>
      </w:r>
      <w:r w:rsidR="006B6155" w:rsidRPr="0035146B">
        <w:rPr>
          <w:spacing w:val="-2"/>
          <w:lang w:val="fr-FR"/>
        </w:rPr>
        <w:t>’</w:t>
      </w:r>
      <w:r w:rsidRPr="0035146B">
        <w:rPr>
          <w:spacing w:val="-2"/>
          <w:lang w:val="fr-FR"/>
        </w:rPr>
        <w:t>Acte de Genève avaient eu lieu lors de la première session du Groupe de travail sur le développement du système de Lisbonne (ci</w:t>
      </w:r>
      <w:r w:rsidR="006B6155" w:rsidRPr="0035146B">
        <w:rPr>
          <w:spacing w:val="-2"/>
          <w:lang w:val="fr-FR"/>
        </w:rPr>
        <w:t>-</w:t>
      </w:r>
      <w:r w:rsidRPr="0035146B">
        <w:rPr>
          <w:spacing w:val="-2"/>
          <w:lang w:val="fr-FR"/>
        </w:rPr>
        <w:t>après dénommé “groupe de travail”) les 11 et 12 juin 2018.  À la fin de cette session, le groupe de travail avait décidé de soumettre les deux recommandations suivantes à la présente assemblée</w:t>
      </w:r>
      <w:r w:rsidR="006B6155" w:rsidRPr="0035146B">
        <w:rPr>
          <w:spacing w:val="-2"/>
          <w:lang w:val="fr-FR"/>
        </w:rPr>
        <w:t> :</w:t>
      </w:r>
      <w:r w:rsidRPr="0035146B">
        <w:rPr>
          <w:spacing w:val="-2"/>
          <w:lang w:val="fr-FR"/>
        </w:rPr>
        <w:t xml:space="preserve"> premièrement, adopter une réduction de 50% du montant prescrit des taxes pour les PMA </w:t>
      </w:r>
      <w:r w:rsidR="006B6155" w:rsidRPr="0035146B">
        <w:rPr>
          <w:spacing w:val="-2"/>
          <w:lang w:val="fr-FR"/>
        </w:rPr>
        <w:t>à l’égard</w:t>
      </w:r>
      <w:r w:rsidRPr="0035146B">
        <w:rPr>
          <w:spacing w:val="-2"/>
          <w:lang w:val="fr-FR"/>
        </w:rPr>
        <w:t xml:space="preserve"> des enregistrements internationaux d</w:t>
      </w:r>
      <w:r w:rsidR="006B6155" w:rsidRPr="0035146B">
        <w:rPr>
          <w:spacing w:val="-2"/>
          <w:lang w:val="fr-FR"/>
        </w:rPr>
        <w:t>’</w:t>
      </w:r>
      <w:r w:rsidRPr="0035146B">
        <w:rPr>
          <w:spacing w:val="-2"/>
          <w:lang w:val="fr-FR"/>
        </w:rPr>
        <w:t>appellations d</w:t>
      </w:r>
      <w:r w:rsidR="006B6155" w:rsidRPr="0035146B">
        <w:rPr>
          <w:spacing w:val="-2"/>
          <w:lang w:val="fr-FR"/>
        </w:rPr>
        <w:t>’</w:t>
      </w:r>
      <w:r w:rsidRPr="0035146B">
        <w:rPr>
          <w:spacing w:val="-2"/>
          <w:lang w:val="fr-FR"/>
        </w:rPr>
        <w:t>origine et d</w:t>
      </w:r>
      <w:r w:rsidR="006B6155" w:rsidRPr="0035146B">
        <w:rPr>
          <w:spacing w:val="-2"/>
          <w:lang w:val="fr-FR"/>
        </w:rPr>
        <w:t>’</w:t>
      </w:r>
      <w:r w:rsidRPr="0035146B">
        <w:rPr>
          <w:spacing w:val="-2"/>
          <w:lang w:val="fr-FR"/>
        </w:rPr>
        <w:t>indications géographiques, conformément à l</w:t>
      </w:r>
      <w:r w:rsidR="006B6155" w:rsidRPr="0035146B">
        <w:rPr>
          <w:spacing w:val="-2"/>
          <w:lang w:val="fr-FR"/>
        </w:rPr>
        <w:t>’</w:t>
      </w:r>
      <w:r w:rsidRPr="0035146B">
        <w:rPr>
          <w:spacing w:val="-2"/>
          <w:lang w:val="fr-FR"/>
        </w:rPr>
        <w:t>article 7.3) de l</w:t>
      </w:r>
      <w:r w:rsidR="006B6155" w:rsidRPr="0035146B">
        <w:rPr>
          <w:spacing w:val="-2"/>
          <w:lang w:val="fr-FR"/>
        </w:rPr>
        <w:t>’</w:t>
      </w:r>
      <w:r w:rsidRPr="0035146B">
        <w:rPr>
          <w:spacing w:val="-2"/>
          <w:lang w:val="fr-FR"/>
        </w:rPr>
        <w:t>Acte de Genève de l</w:t>
      </w:r>
      <w:r w:rsidR="006B6155" w:rsidRPr="0035146B">
        <w:rPr>
          <w:spacing w:val="-2"/>
          <w:lang w:val="fr-FR"/>
        </w:rPr>
        <w:t>’</w:t>
      </w:r>
      <w:r w:rsidRPr="0035146B">
        <w:rPr>
          <w:spacing w:val="-2"/>
          <w:lang w:val="fr-FR"/>
        </w:rPr>
        <w:t>Arrangement de Lisbonne sur les appellations d</w:t>
      </w:r>
      <w:r w:rsidR="006B6155" w:rsidRPr="0035146B">
        <w:rPr>
          <w:spacing w:val="-2"/>
          <w:lang w:val="fr-FR"/>
        </w:rPr>
        <w:t>’</w:t>
      </w:r>
      <w:r w:rsidRPr="0035146B">
        <w:rPr>
          <w:spacing w:val="-2"/>
          <w:lang w:val="fr-FR"/>
        </w:rPr>
        <w:t>origine et les indications géographiques et, deuxièmement, appliquer ces réductions pendant une durée de trois ans, à compter de la date d</w:t>
      </w:r>
      <w:r w:rsidR="006B6155" w:rsidRPr="0035146B">
        <w:rPr>
          <w:spacing w:val="-2"/>
          <w:lang w:val="fr-FR"/>
        </w:rPr>
        <w:t>’</w:t>
      </w:r>
      <w:r w:rsidRPr="0035146B">
        <w:rPr>
          <w:spacing w:val="-2"/>
          <w:lang w:val="fr-FR"/>
        </w:rPr>
        <w:t>entrée en vigueur de l</w:t>
      </w:r>
      <w:r w:rsidR="006B6155" w:rsidRPr="0035146B">
        <w:rPr>
          <w:spacing w:val="-2"/>
          <w:lang w:val="fr-FR"/>
        </w:rPr>
        <w:t>’</w:t>
      </w:r>
      <w:r w:rsidRPr="0035146B">
        <w:rPr>
          <w:spacing w:val="-2"/>
          <w:lang w:val="fr-FR"/>
        </w:rPr>
        <w:t>Acte de Genève et réévaluer la question de la réduction des taxes dans le cadre du système de Lisbonne une année avant l</w:t>
      </w:r>
      <w:r w:rsidR="006B6155" w:rsidRPr="0035146B">
        <w:rPr>
          <w:spacing w:val="-2"/>
          <w:lang w:val="fr-FR"/>
        </w:rPr>
        <w:t>’</w:t>
      </w:r>
      <w:r w:rsidRPr="0035146B">
        <w:rPr>
          <w:spacing w:val="-2"/>
          <w:lang w:val="fr-FR"/>
        </w:rPr>
        <w:t>expiration de ce dél</w:t>
      </w:r>
      <w:r w:rsidR="008F6158" w:rsidRPr="0035146B">
        <w:rPr>
          <w:spacing w:val="-2"/>
          <w:lang w:val="fr-FR"/>
        </w:rPr>
        <w:t>ai.  Le</w:t>
      </w:r>
      <w:r w:rsidRPr="0035146B">
        <w:rPr>
          <w:spacing w:val="-2"/>
          <w:lang w:val="fr-FR"/>
        </w:rPr>
        <w:t xml:space="preserve"> Secrétariat a indiqué que le barème révisé des taxes figurait à l</w:t>
      </w:r>
      <w:r w:rsidR="006B6155" w:rsidRPr="0035146B">
        <w:rPr>
          <w:spacing w:val="-2"/>
          <w:lang w:val="fr-FR"/>
        </w:rPr>
        <w:t>’</w:t>
      </w:r>
      <w:r w:rsidRPr="0035146B">
        <w:rPr>
          <w:spacing w:val="-2"/>
          <w:lang w:val="fr-FR"/>
        </w:rPr>
        <w:t>annexe du document LI/A/35/2.</w:t>
      </w:r>
    </w:p>
    <w:p w:rsidR="008F0A73" w:rsidRPr="008F0A73" w:rsidRDefault="00152AAD" w:rsidP="008F0A73">
      <w:pPr>
        <w:pStyle w:val="ONUMFS"/>
        <w:numPr>
          <w:ilvl w:val="0"/>
          <w:numId w:val="6"/>
        </w:numPr>
        <w:rPr>
          <w:lang w:val="fr-FR"/>
        </w:rPr>
      </w:pPr>
      <w:r w:rsidRPr="008F0A73">
        <w:rPr>
          <w:lang w:val="fr-FR"/>
        </w:rPr>
        <w:t xml:space="preserve">La délégation de la France </w:t>
      </w:r>
      <w:r>
        <w:rPr>
          <w:lang w:val="fr-FR"/>
        </w:rPr>
        <w:t xml:space="preserve">a </w:t>
      </w:r>
      <w:r w:rsidR="008F0A73" w:rsidRPr="008F0A73">
        <w:rPr>
          <w:lang w:val="fr-FR"/>
        </w:rPr>
        <w:t xml:space="preserve">noté que le groupe de travail proposait </w:t>
      </w:r>
      <w:r>
        <w:rPr>
          <w:lang w:val="fr-FR"/>
        </w:rPr>
        <w:t>à l</w:t>
      </w:r>
      <w:r w:rsidR="006B6155">
        <w:rPr>
          <w:lang w:val="fr-FR"/>
        </w:rPr>
        <w:t>’</w:t>
      </w:r>
      <w:r>
        <w:rPr>
          <w:lang w:val="fr-FR"/>
        </w:rPr>
        <w:t>a</w:t>
      </w:r>
      <w:r w:rsidR="008F0A73" w:rsidRPr="008F0A73">
        <w:rPr>
          <w:lang w:val="fr-FR"/>
        </w:rPr>
        <w:t>ssemblée d</w:t>
      </w:r>
      <w:r w:rsidR="006B6155">
        <w:rPr>
          <w:lang w:val="fr-FR"/>
        </w:rPr>
        <w:t>’</w:t>
      </w:r>
      <w:r w:rsidR="008F0A73" w:rsidRPr="008F0A73">
        <w:rPr>
          <w:lang w:val="fr-FR"/>
        </w:rPr>
        <w:t>adopter une décision concernant la mise en œuvre d</w:t>
      </w:r>
      <w:r w:rsidR="006B6155">
        <w:rPr>
          <w:lang w:val="fr-FR"/>
        </w:rPr>
        <w:t>’</w:t>
      </w:r>
      <w:r w:rsidR="008F0A73" w:rsidRPr="008F0A73">
        <w:rPr>
          <w:lang w:val="fr-FR"/>
        </w:rPr>
        <w:t>une réduction des taxes au titre de l</w:t>
      </w:r>
      <w:r w:rsidR="006B6155">
        <w:rPr>
          <w:lang w:val="fr-FR"/>
        </w:rPr>
        <w:t>’</w:t>
      </w:r>
      <w:r w:rsidR="008F0A73" w:rsidRPr="008F0A73">
        <w:rPr>
          <w:lang w:val="fr-FR"/>
        </w:rPr>
        <w:t>Acte de Genève qui serait bénéfique pour les PMA</w:t>
      </w:r>
      <w:r>
        <w:rPr>
          <w:lang w:val="fr-FR"/>
        </w:rPr>
        <w:t xml:space="preserve"> et</w:t>
      </w:r>
      <w:r w:rsidR="008F0A73" w:rsidRPr="008F0A73">
        <w:rPr>
          <w:lang w:val="fr-FR"/>
        </w:rPr>
        <w:t xml:space="preserve"> a rappelé que cette proposition avait suscité une vive inquiétude à la dernière session du Comité du programme et budget (PBC).  Certaines délégations avaient notamment estimé que les décisions prises par l</w:t>
      </w:r>
      <w:r w:rsidR="006B6155">
        <w:rPr>
          <w:lang w:val="fr-FR"/>
        </w:rPr>
        <w:t>’</w:t>
      </w:r>
      <w:r w:rsidR="008F0A73" w:rsidRPr="008F0A73">
        <w:rPr>
          <w:lang w:val="fr-FR"/>
        </w:rPr>
        <w:t>Assemblée de l</w:t>
      </w:r>
      <w:r w:rsidR="006B6155">
        <w:rPr>
          <w:lang w:val="fr-FR"/>
        </w:rPr>
        <w:t>’</w:t>
      </w:r>
      <w:r w:rsidR="008F0A73" w:rsidRPr="008F0A73">
        <w:rPr>
          <w:lang w:val="fr-FR"/>
        </w:rPr>
        <w:t>Union de Lisbonne n</w:t>
      </w:r>
      <w:r w:rsidR="006B6155">
        <w:rPr>
          <w:lang w:val="fr-FR"/>
        </w:rPr>
        <w:t>’</w:t>
      </w:r>
      <w:r w:rsidR="008F0A73" w:rsidRPr="008F0A73">
        <w:rPr>
          <w:lang w:val="fr-FR"/>
        </w:rPr>
        <w:t>avaient pas été prises en considération par les 28 États membres de l</w:t>
      </w:r>
      <w:r w:rsidR="006B6155">
        <w:rPr>
          <w:lang w:val="fr-FR"/>
        </w:rPr>
        <w:t>’</w:t>
      </w:r>
      <w:r w:rsidR="008F0A73" w:rsidRPr="008F0A73">
        <w:rPr>
          <w:lang w:val="fr-FR"/>
        </w:rPr>
        <w:t>Union de Lisbon</w:t>
      </w:r>
      <w:r w:rsidR="008F6158" w:rsidRPr="008F0A73">
        <w:rPr>
          <w:lang w:val="fr-FR"/>
        </w:rPr>
        <w:t>ne</w:t>
      </w:r>
      <w:r w:rsidR="008F6158">
        <w:rPr>
          <w:lang w:val="fr-FR"/>
        </w:rPr>
        <w:t xml:space="preserve">.  </w:t>
      </w:r>
      <w:r w:rsidR="008F6158" w:rsidRPr="008F0A73">
        <w:rPr>
          <w:lang w:val="fr-FR"/>
        </w:rPr>
        <w:t>La</w:t>
      </w:r>
      <w:r w:rsidR="008F0A73" w:rsidRPr="008F0A73">
        <w:rPr>
          <w:lang w:val="fr-FR"/>
        </w:rPr>
        <w:t> délégation a par ailleurs rappelé que les groupes de travail des différentes unions étaient des réunions techniques au cours desquelles des avis étaient échangés et où chacun était libre de présenter une proposition qui serait transmise à l</w:t>
      </w:r>
      <w:r w:rsidR="006B6155">
        <w:rPr>
          <w:lang w:val="fr-FR"/>
        </w:rPr>
        <w:t>’</w:t>
      </w:r>
      <w:r w:rsidR="008F0A73" w:rsidRPr="008F0A73">
        <w:rPr>
          <w:lang w:val="fr-FR"/>
        </w:rPr>
        <w:t>assemblée concern</w:t>
      </w:r>
      <w:r w:rsidR="008F6158" w:rsidRPr="008F0A73">
        <w:rPr>
          <w:lang w:val="fr-FR"/>
        </w:rPr>
        <w:t>ée</w:t>
      </w:r>
      <w:r w:rsidR="008F6158">
        <w:rPr>
          <w:lang w:val="fr-FR"/>
        </w:rPr>
        <w:t xml:space="preserve">.  </w:t>
      </w:r>
      <w:r w:rsidR="008F6158" w:rsidRPr="008F0A73">
        <w:rPr>
          <w:lang w:val="fr-FR"/>
        </w:rPr>
        <w:t>En</w:t>
      </w:r>
      <w:r w:rsidR="008F0A73" w:rsidRPr="008F0A73">
        <w:rPr>
          <w:lang w:val="fr-FR"/>
        </w:rPr>
        <w:t xml:space="preserve"> d</w:t>
      </w:r>
      <w:r w:rsidR="006B6155">
        <w:rPr>
          <w:lang w:val="fr-FR"/>
        </w:rPr>
        <w:t>’</w:t>
      </w:r>
      <w:r w:rsidR="008F0A73" w:rsidRPr="008F0A73">
        <w:rPr>
          <w:lang w:val="fr-FR"/>
        </w:rPr>
        <w:t>autres termes, les groupes de travail n</w:t>
      </w:r>
      <w:r w:rsidR="006B6155">
        <w:rPr>
          <w:lang w:val="fr-FR"/>
        </w:rPr>
        <w:t>’</w:t>
      </w:r>
      <w:r w:rsidR="008F0A73" w:rsidRPr="008F0A73">
        <w:rPr>
          <w:lang w:val="fr-FR"/>
        </w:rPr>
        <w:t>étaient pas des cadres institutionnels, ni des organes politiques et ils n</w:t>
      </w:r>
      <w:r w:rsidR="006B6155">
        <w:rPr>
          <w:lang w:val="fr-FR"/>
        </w:rPr>
        <w:t>’</w:t>
      </w:r>
      <w:r w:rsidR="008F0A73" w:rsidRPr="008F0A73">
        <w:rPr>
          <w:lang w:val="fr-FR"/>
        </w:rPr>
        <w:t>étaient certainement pas des organes décisionne</w:t>
      </w:r>
      <w:r w:rsidR="008F6158" w:rsidRPr="008F0A73">
        <w:rPr>
          <w:lang w:val="fr-FR"/>
        </w:rPr>
        <w:t>ls</w:t>
      </w:r>
      <w:r w:rsidR="008F6158">
        <w:rPr>
          <w:lang w:val="fr-FR"/>
        </w:rPr>
        <w:t xml:space="preserve">.  </w:t>
      </w:r>
      <w:r w:rsidR="008F6158" w:rsidRPr="008F0A73">
        <w:rPr>
          <w:lang w:val="fr-FR"/>
        </w:rPr>
        <w:t>En</w:t>
      </w:r>
      <w:r w:rsidR="008F0A73" w:rsidRPr="008F0A73">
        <w:rPr>
          <w:lang w:val="fr-FR"/>
        </w:rPr>
        <w:t xml:space="preserve"> résumé, il ne s</w:t>
      </w:r>
      <w:r w:rsidR="006B6155">
        <w:rPr>
          <w:lang w:val="fr-FR"/>
        </w:rPr>
        <w:t>’</w:t>
      </w:r>
      <w:r w:rsidR="008F0A73" w:rsidRPr="008F0A73">
        <w:rPr>
          <w:lang w:val="fr-FR"/>
        </w:rPr>
        <w:t>agissait pas de lieux où un participant pouvait lier son gouvernement comme c</w:t>
      </w:r>
      <w:r w:rsidR="006B6155">
        <w:rPr>
          <w:lang w:val="fr-FR"/>
        </w:rPr>
        <w:t>’</w:t>
      </w:r>
      <w:r w:rsidR="008F0A73" w:rsidRPr="008F0A73">
        <w:rPr>
          <w:lang w:val="fr-FR"/>
        </w:rPr>
        <w:t>était le cas avec les assemblé</w:t>
      </w:r>
      <w:r w:rsidR="008F6158" w:rsidRPr="008F0A73">
        <w:rPr>
          <w:lang w:val="fr-FR"/>
        </w:rPr>
        <w:t>es</w:t>
      </w:r>
      <w:r w:rsidR="008F6158">
        <w:rPr>
          <w:lang w:val="fr-FR"/>
        </w:rPr>
        <w:t xml:space="preserve">.  </w:t>
      </w:r>
      <w:r w:rsidR="008F6158" w:rsidRPr="008F0A73">
        <w:rPr>
          <w:lang w:val="fr-FR"/>
        </w:rPr>
        <w:t>La</w:t>
      </w:r>
      <w:r w:rsidR="008F0A73" w:rsidRPr="008F0A73">
        <w:rPr>
          <w:lang w:val="fr-FR"/>
        </w:rPr>
        <w:t> délégation a donc déploré que certaines délégations aient utilisé la proposition du groupe de travail à l</w:t>
      </w:r>
      <w:r w:rsidR="006B6155">
        <w:rPr>
          <w:lang w:val="fr-FR"/>
        </w:rPr>
        <w:t>’</w:t>
      </w:r>
      <w:r w:rsidR="008F0A73" w:rsidRPr="008F0A73">
        <w:rPr>
          <w:lang w:val="fr-FR"/>
        </w:rPr>
        <w:t>examen pour accuser les gouvernements de ne pas respecter leurs engagements, d</w:t>
      </w:r>
      <w:r w:rsidR="006B6155">
        <w:rPr>
          <w:lang w:val="fr-FR"/>
        </w:rPr>
        <w:t>’</w:t>
      </w:r>
      <w:r w:rsidR="008F0A73" w:rsidRPr="008F0A73">
        <w:rPr>
          <w:lang w:val="fr-FR"/>
        </w:rPr>
        <w:t>autant plus que la réduction de taxe proposée était prévue à l</w:t>
      </w:r>
      <w:r w:rsidR="006B6155">
        <w:rPr>
          <w:lang w:val="fr-FR"/>
        </w:rPr>
        <w:t>’</w:t>
      </w:r>
      <w:r w:rsidR="008F0A73" w:rsidRPr="008F0A73">
        <w:rPr>
          <w:lang w:val="fr-FR"/>
        </w:rPr>
        <w:t>article 7.3) de l</w:t>
      </w:r>
      <w:r w:rsidR="006B6155">
        <w:rPr>
          <w:lang w:val="fr-FR"/>
        </w:rPr>
        <w:t>’</w:t>
      </w:r>
      <w:r w:rsidR="008F0A73" w:rsidRPr="008F0A73">
        <w:rPr>
          <w:lang w:val="fr-FR"/>
        </w:rPr>
        <w:t>Acte de Genève lui</w:t>
      </w:r>
      <w:r w:rsidR="006B6155">
        <w:rPr>
          <w:lang w:val="fr-FR"/>
        </w:rPr>
        <w:t>-</w:t>
      </w:r>
      <w:r w:rsidR="008F0A73" w:rsidRPr="008F0A73">
        <w:rPr>
          <w:lang w:val="fr-FR"/>
        </w:rPr>
        <w:t>mê</w:t>
      </w:r>
      <w:r w:rsidR="008F6158" w:rsidRPr="008F0A73">
        <w:rPr>
          <w:lang w:val="fr-FR"/>
        </w:rPr>
        <w:t>me</w:t>
      </w:r>
      <w:r w:rsidR="008F6158">
        <w:rPr>
          <w:lang w:val="fr-FR"/>
        </w:rPr>
        <w:t xml:space="preserve">.  </w:t>
      </w:r>
      <w:r w:rsidR="008F6158" w:rsidRPr="008F0A73">
        <w:rPr>
          <w:lang w:val="fr-FR"/>
        </w:rPr>
        <w:t>Co</w:t>
      </w:r>
      <w:r w:rsidR="008F0A73" w:rsidRPr="008F0A73">
        <w:rPr>
          <w:lang w:val="fr-FR"/>
        </w:rPr>
        <w:t>ncernant la proposition proprement dite, la délégation a rappelé qu</w:t>
      </w:r>
      <w:r w:rsidR="006B6155">
        <w:rPr>
          <w:lang w:val="fr-FR"/>
        </w:rPr>
        <w:t>’</w:t>
      </w:r>
      <w:r w:rsidR="008F0A73" w:rsidRPr="008F0A73">
        <w:rPr>
          <w:lang w:val="fr-FR"/>
        </w:rPr>
        <w:t>elle avait été présentée par le Directeur général à la première session du groupe de travail, comme indiqué au paragraphe 12 du rapport (document LI/WG/DEV</w:t>
      </w:r>
      <w:r w:rsidR="006B6155">
        <w:rPr>
          <w:lang w:val="fr-FR"/>
        </w:rPr>
        <w:t>-</w:t>
      </w:r>
      <w:r w:rsidR="008F0A73" w:rsidRPr="008F0A73">
        <w:rPr>
          <w:lang w:val="fr-FR"/>
        </w:rPr>
        <w:t>SYS/1/5 Prov.), dont le libellé était le suivant</w:t>
      </w:r>
      <w:r w:rsidR="006B6155">
        <w:rPr>
          <w:lang w:val="fr-FR"/>
        </w:rPr>
        <w:t> :</w:t>
      </w:r>
      <w:r w:rsidR="008F0A73" w:rsidRPr="008F0A73">
        <w:rPr>
          <w:lang w:val="fr-FR"/>
        </w:rPr>
        <w:t xml:space="preserve"> “À cet égard, il a fait remarquer que d</w:t>
      </w:r>
      <w:r w:rsidR="006B6155">
        <w:rPr>
          <w:lang w:val="fr-FR"/>
        </w:rPr>
        <w:t>’</w:t>
      </w:r>
      <w:r w:rsidR="008F0A73" w:rsidRPr="008F0A73">
        <w:rPr>
          <w:lang w:val="fr-FR"/>
        </w:rPr>
        <w:t>autres systèmes internationaux d</w:t>
      </w:r>
      <w:r w:rsidR="006B6155">
        <w:rPr>
          <w:lang w:val="fr-FR"/>
        </w:rPr>
        <w:t>’</w:t>
      </w:r>
      <w:r w:rsidR="008F0A73" w:rsidRPr="008F0A73">
        <w:rPr>
          <w:lang w:val="fr-FR"/>
        </w:rPr>
        <w:t>enregistrement administrés par l</w:t>
      </w:r>
      <w:r w:rsidR="006B6155">
        <w:rPr>
          <w:lang w:val="fr-FR"/>
        </w:rPr>
        <w:t>’</w:t>
      </w:r>
      <w:r w:rsidR="008F0A73" w:rsidRPr="008F0A73">
        <w:rPr>
          <w:lang w:val="fr-FR"/>
        </w:rPr>
        <w:t xml:space="preserve">OMPI, tels que le PCT, le système de Madrid ou le système de </w:t>
      </w:r>
      <w:r w:rsidR="006B6155">
        <w:rPr>
          <w:lang w:val="fr-FR"/>
        </w:rPr>
        <w:t>La Haye</w:t>
      </w:r>
      <w:r w:rsidR="008F0A73" w:rsidRPr="008F0A73">
        <w:rPr>
          <w:lang w:val="fr-FR"/>
        </w:rPr>
        <w:t>, avaient déjà mis en place un système d</w:t>
      </w:r>
      <w:r w:rsidR="006B6155">
        <w:rPr>
          <w:lang w:val="fr-FR"/>
        </w:rPr>
        <w:t>’</w:t>
      </w:r>
      <w:r w:rsidR="008F0A73" w:rsidRPr="008F0A73">
        <w:rPr>
          <w:lang w:val="fr-FR"/>
        </w:rPr>
        <w:t>octroi de réductions de taxes aux </w:t>
      </w:r>
      <w:r w:rsidR="008F6158" w:rsidRPr="008F0A73">
        <w:rPr>
          <w:lang w:val="fr-FR"/>
        </w:rPr>
        <w:t>PMA</w:t>
      </w:r>
      <w:r w:rsidR="008F6158">
        <w:rPr>
          <w:lang w:val="fr-FR"/>
        </w:rPr>
        <w:t xml:space="preserve">.  </w:t>
      </w:r>
      <w:r w:rsidR="008F6158" w:rsidRPr="008F0A73">
        <w:rPr>
          <w:lang w:val="fr-FR"/>
        </w:rPr>
        <w:t>Il</w:t>
      </w:r>
      <w:r w:rsidR="008F0A73" w:rsidRPr="008F0A73">
        <w:rPr>
          <w:lang w:val="fr-FR"/>
        </w:rPr>
        <w:t xml:space="preserve"> a indiqué que la proposition présentée par le Secrétariat était une réduction des taxes de 50% pour les utilisateurs et les titulaires de droits sur des appellations d</w:t>
      </w:r>
      <w:r w:rsidR="006B6155">
        <w:rPr>
          <w:lang w:val="fr-FR"/>
        </w:rPr>
        <w:t>’</w:t>
      </w:r>
      <w:r w:rsidR="008F0A73" w:rsidRPr="008F0A73">
        <w:rPr>
          <w:lang w:val="fr-FR"/>
        </w:rPr>
        <w:t>origine ou des indications géographiques issus des </w:t>
      </w:r>
      <w:r w:rsidR="008F6158" w:rsidRPr="008F0A73">
        <w:rPr>
          <w:lang w:val="fr-FR"/>
        </w:rPr>
        <w:t>PMA</w:t>
      </w:r>
      <w:r w:rsidR="008F6158">
        <w:rPr>
          <w:lang w:val="fr-FR"/>
        </w:rPr>
        <w:t xml:space="preserve">.  </w:t>
      </w:r>
      <w:r w:rsidR="008F6158" w:rsidRPr="008F0A73">
        <w:rPr>
          <w:lang w:val="fr-FR"/>
        </w:rPr>
        <w:t>Il</w:t>
      </w:r>
      <w:r w:rsidR="008F0A73" w:rsidRPr="008F0A73">
        <w:rPr>
          <w:lang w:val="fr-FR"/>
        </w:rPr>
        <w:t xml:space="preserve"> a donc invité les membres du groupe de travail à examiner et à commenter cette proposition tout en tenant compte de la situation financière de l</w:t>
      </w:r>
      <w:r w:rsidR="006B6155">
        <w:rPr>
          <w:lang w:val="fr-FR"/>
        </w:rPr>
        <w:t>’</w:t>
      </w:r>
      <w:r w:rsidR="008F0A73" w:rsidRPr="008F0A73">
        <w:rPr>
          <w:lang w:val="fr-FR"/>
        </w:rPr>
        <w:t>Union de Lisbonne afin de faire une recommandation à l</w:t>
      </w:r>
      <w:r w:rsidR="006B6155">
        <w:rPr>
          <w:lang w:val="fr-FR"/>
        </w:rPr>
        <w:t>’</w:t>
      </w:r>
      <w:r w:rsidR="008F0A73" w:rsidRPr="008F0A73">
        <w:rPr>
          <w:lang w:val="fr-FR"/>
        </w:rPr>
        <w:t>Assemblée de l</w:t>
      </w:r>
      <w:r w:rsidR="006B6155">
        <w:rPr>
          <w:lang w:val="fr-FR"/>
        </w:rPr>
        <w:t>’</w:t>
      </w:r>
      <w:r w:rsidR="008F0A73" w:rsidRPr="008F0A73">
        <w:rPr>
          <w:lang w:val="fr-FR"/>
        </w:rPr>
        <w:t>Union de Lisbonne concernant la mise en œuvre de l</w:t>
      </w:r>
      <w:r w:rsidR="006B6155">
        <w:rPr>
          <w:lang w:val="fr-FR"/>
        </w:rPr>
        <w:t>’</w:t>
      </w:r>
      <w:r w:rsidR="008F0A73" w:rsidRPr="008F0A73">
        <w:rPr>
          <w:lang w:val="fr-FR"/>
        </w:rPr>
        <w:t>article 7.3) de l</w:t>
      </w:r>
      <w:r w:rsidR="006B6155">
        <w:rPr>
          <w:lang w:val="fr-FR"/>
        </w:rPr>
        <w:t>’</w:t>
      </w:r>
      <w:r w:rsidR="008F0A73" w:rsidRPr="008F0A73">
        <w:rPr>
          <w:lang w:val="fr-FR"/>
        </w:rPr>
        <w:t>Acte de Genève”.  La délégation a ensuite rappelé les arguments qui avaient été avancés en faveur de la réducti</w:t>
      </w:r>
      <w:r w:rsidR="008F6158" w:rsidRPr="008F0A73">
        <w:rPr>
          <w:lang w:val="fr-FR"/>
        </w:rPr>
        <w:t>on</w:t>
      </w:r>
      <w:r w:rsidR="008F6158">
        <w:rPr>
          <w:lang w:val="fr-FR"/>
        </w:rPr>
        <w:t xml:space="preserve">.  </w:t>
      </w:r>
      <w:r w:rsidR="008F6158" w:rsidRPr="008F0A73">
        <w:rPr>
          <w:lang w:val="fr-FR"/>
        </w:rPr>
        <w:t>Pr</w:t>
      </w:r>
      <w:r w:rsidR="008F0A73" w:rsidRPr="008F0A73">
        <w:rPr>
          <w:lang w:val="fr-FR"/>
        </w:rPr>
        <w:t>emièrement, la proposition tenait compte de la situation financière de l</w:t>
      </w:r>
      <w:r w:rsidR="006B6155">
        <w:rPr>
          <w:lang w:val="fr-FR"/>
        </w:rPr>
        <w:t>’</w:t>
      </w:r>
      <w:r w:rsidR="008F0A73" w:rsidRPr="008F0A73">
        <w:rPr>
          <w:lang w:val="fr-FR"/>
        </w:rPr>
        <w:t>Union de Lisbonne et elle avait été adoptée afin d</w:t>
      </w:r>
      <w:r w:rsidR="006B6155">
        <w:rPr>
          <w:lang w:val="fr-FR"/>
        </w:rPr>
        <w:t>’</w:t>
      </w:r>
      <w:r w:rsidR="008F0A73" w:rsidRPr="008F0A73">
        <w:rPr>
          <w:lang w:val="fr-FR"/>
        </w:rPr>
        <w:t>éviter d</w:t>
      </w:r>
      <w:r w:rsidR="006B6155">
        <w:rPr>
          <w:lang w:val="fr-FR"/>
        </w:rPr>
        <w:t>’</w:t>
      </w:r>
      <w:r w:rsidR="008F0A73" w:rsidRPr="008F0A73">
        <w:rPr>
          <w:lang w:val="fr-FR"/>
        </w:rPr>
        <w:t>imposer une charge excessive à l</w:t>
      </w:r>
      <w:r w:rsidR="006B6155">
        <w:rPr>
          <w:lang w:val="fr-FR"/>
        </w:rPr>
        <w:t>’</w:t>
      </w:r>
      <w:r w:rsidR="008F0A73" w:rsidRPr="008F0A73">
        <w:rPr>
          <w:lang w:val="fr-FR"/>
        </w:rPr>
        <w:t>Uni</w:t>
      </w:r>
      <w:r w:rsidR="008F6158" w:rsidRPr="008F0A73">
        <w:rPr>
          <w:lang w:val="fr-FR"/>
        </w:rPr>
        <w:t>on</w:t>
      </w:r>
      <w:r w:rsidR="008F6158">
        <w:rPr>
          <w:lang w:val="fr-FR"/>
        </w:rPr>
        <w:t xml:space="preserve">.  </w:t>
      </w:r>
      <w:r w:rsidR="008F6158" w:rsidRPr="008F0A73">
        <w:rPr>
          <w:lang w:val="fr-FR"/>
        </w:rPr>
        <w:t>De</w:t>
      </w:r>
      <w:r w:rsidR="008F0A73" w:rsidRPr="008F0A73">
        <w:rPr>
          <w:lang w:val="fr-FR"/>
        </w:rPr>
        <w:t>uxièmement, la proposition avait été conçue pour rendre le système de Lisbonne plus attrayant et encourager l</w:t>
      </w:r>
      <w:r w:rsidR="006B6155">
        <w:rPr>
          <w:lang w:val="fr-FR"/>
        </w:rPr>
        <w:t>’</w:t>
      </w:r>
      <w:r w:rsidR="008F0A73" w:rsidRPr="008F0A73">
        <w:rPr>
          <w:lang w:val="fr-FR"/>
        </w:rPr>
        <w:t>adhésion des </w:t>
      </w:r>
      <w:r w:rsidR="008F6158" w:rsidRPr="008F0A73">
        <w:rPr>
          <w:lang w:val="fr-FR"/>
        </w:rPr>
        <w:t>PMA</w:t>
      </w:r>
      <w:r w:rsidR="008F6158">
        <w:rPr>
          <w:lang w:val="fr-FR"/>
        </w:rPr>
        <w:t xml:space="preserve">.  </w:t>
      </w:r>
      <w:r w:rsidR="008F6158" w:rsidRPr="008F0A73">
        <w:rPr>
          <w:lang w:val="fr-FR"/>
        </w:rPr>
        <w:t>Tr</w:t>
      </w:r>
      <w:r w:rsidR="008F0A73" w:rsidRPr="008F0A73">
        <w:rPr>
          <w:lang w:val="fr-FR"/>
        </w:rPr>
        <w:t>oisièmement, la proposition était appropriée pour favoriser le développement des </w:t>
      </w:r>
      <w:r w:rsidR="008F6158" w:rsidRPr="008F0A73">
        <w:rPr>
          <w:lang w:val="fr-FR"/>
        </w:rPr>
        <w:t>PMA</w:t>
      </w:r>
      <w:r w:rsidR="008F6158">
        <w:rPr>
          <w:lang w:val="fr-FR"/>
        </w:rPr>
        <w:t xml:space="preserve">.  </w:t>
      </w:r>
      <w:r w:rsidR="008F6158" w:rsidRPr="008F0A73">
        <w:rPr>
          <w:lang w:val="fr-FR"/>
        </w:rPr>
        <w:t>Co</w:t>
      </w:r>
      <w:r w:rsidR="008F0A73" w:rsidRPr="008F0A73">
        <w:rPr>
          <w:lang w:val="fr-FR"/>
        </w:rPr>
        <w:t>mpte tenu de ces arguments, la délégation a indiqué qu</w:t>
      </w:r>
      <w:r w:rsidR="006B6155">
        <w:rPr>
          <w:lang w:val="fr-FR"/>
        </w:rPr>
        <w:t>’</w:t>
      </w:r>
      <w:r w:rsidR="008F0A73" w:rsidRPr="008F0A73">
        <w:rPr>
          <w:lang w:val="fr-FR"/>
        </w:rPr>
        <w:t>elle appuyait fermement la proposition et a remercié le Bureau international et le Directeur général de l</w:t>
      </w:r>
      <w:r w:rsidR="006B6155">
        <w:rPr>
          <w:lang w:val="fr-FR"/>
        </w:rPr>
        <w:t>’</w:t>
      </w:r>
      <w:r w:rsidR="008F0A73" w:rsidRPr="008F0A73">
        <w:rPr>
          <w:lang w:val="fr-FR"/>
        </w:rPr>
        <w:t>avoir présent</w:t>
      </w:r>
      <w:r w:rsidR="008F6158" w:rsidRPr="008F0A73">
        <w:rPr>
          <w:lang w:val="fr-FR"/>
        </w:rPr>
        <w:t>ée</w:t>
      </w:r>
      <w:r w:rsidR="008F6158">
        <w:rPr>
          <w:lang w:val="fr-FR"/>
        </w:rPr>
        <w:t xml:space="preserve">.  </w:t>
      </w:r>
      <w:r w:rsidR="008F6158" w:rsidRPr="008F0A73">
        <w:rPr>
          <w:lang w:val="fr-FR"/>
        </w:rPr>
        <w:t>El</w:t>
      </w:r>
      <w:r w:rsidR="008F0A73" w:rsidRPr="008F0A73">
        <w:rPr>
          <w:lang w:val="fr-FR"/>
        </w:rPr>
        <w:t>le a également rappelé dans ce contexte que son gouvernement répétait depuis de nombreuses années que la viabilité financière du système de Lisbonne ne serait assurée que par une extension géographique de l</w:t>
      </w:r>
      <w:r w:rsidR="006B6155">
        <w:rPr>
          <w:lang w:val="fr-FR"/>
        </w:rPr>
        <w:t>’</w:t>
      </w:r>
      <w:r w:rsidR="008F0A73" w:rsidRPr="008F0A73">
        <w:rPr>
          <w:lang w:val="fr-FR"/>
        </w:rPr>
        <w:t>Union de Lisbonne elle</w:t>
      </w:r>
      <w:r w:rsidR="006B6155">
        <w:rPr>
          <w:lang w:val="fr-FR"/>
        </w:rPr>
        <w:t>-</w:t>
      </w:r>
      <w:r w:rsidR="008F0A73" w:rsidRPr="008F0A73">
        <w:rPr>
          <w:lang w:val="fr-FR"/>
        </w:rPr>
        <w:t>même, comme cela avait d</w:t>
      </w:r>
      <w:r w:rsidR="006B6155">
        <w:rPr>
          <w:lang w:val="fr-FR"/>
        </w:rPr>
        <w:t>’</w:t>
      </w:r>
      <w:r w:rsidR="008F0A73" w:rsidRPr="008F0A73">
        <w:rPr>
          <w:lang w:val="fr-FR"/>
        </w:rPr>
        <w:t>ailleurs été le cas pour toutes les autres unio</w:t>
      </w:r>
      <w:r w:rsidR="008F6158" w:rsidRPr="008F0A73">
        <w:rPr>
          <w:lang w:val="fr-FR"/>
        </w:rPr>
        <w:t>ns</w:t>
      </w:r>
      <w:r w:rsidR="008F6158">
        <w:rPr>
          <w:lang w:val="fr-FR"/>
        </w:rPr>
        <w:t xml:space="preserve">.  </w:t>
      </w:r>
      <w:r w:rsidR="008F6158" w:rsidRPr="008F0A73">
        <w:rPr>
          <w:lang w:val="fr-FR"/>
        </w:rPr>
        <w:t>La</w:t>
      </w:r>
      <w:r w:rsidR="008F0A73" w:rsidRPr="008F0A73">
        <w:rPr>
          <w:lang w:val="fr-FR"/>
        </w:rPr>
        <w:t xml:space="preserve"> délégation a en outre fait observer que l</w:t>
      </w:r>
      <w:r w:rsidR="006B6155">
        <w:rPr>
          <w:lang w:val="fr-FR"/>
        </w:rPr>
        <w:t>’</w:t>
      </w:r>
      <w:r w:rsidR="008F0A73" w:rsidRPr="008F0A73">
        <w:rPr>
          <w:lang w:val="fr-FR"/>
        </w:rPr>
        <w:t xml:space="preserve">Acte de Genève avait été pensé et conçu dans ce but précis, </w:t>
      </w:r>
      <w:r w:rsidR="006B6155">
        <w:rPr>
          <w:lang w:val="fr-FR"/>
        </w:rPr>
        <w:t>à savoir</w:t>
      </w:r>
      <w:r w:rsidR="008F0A73" w:rsidRPr="008F0A73">
        <w:rPr>
          <w:lang w:val="fr-FR"/>
        </w:rPr>
        <w:t xml:space="preserve"> étendre géographiquement l</w:t>
      </w:r>
      <w:r w:rsidR="006B6155">
        <w:rPr>
          <w:lang w:val="fr-FR"/>
        </w:rPr>
        <w:t>’</w:t>
      </w:r>
      <w:r w:rsidR="008F0A73" w:rsidRPr="008F0A73">
        <w:rPr>
          <w:lang w:val="fr-FR"/>
        </w:rPr>
        <w:t>Union de Lisbonne autant que possib</w:t>
      </w:r>
      <w:r w:rsidR="008F6158" w:rsidRPr="008F0A73">
        <w:rPr>
          <w:lang w:val="fr-FR"/>
        </w:rPr>
        <w:t>le</w:t>
      </w:r>
      <w:r w:rsidR="008F6158">
        <w:rPr>
          <w:lang w:val="fr-FR"/>
        </w:rPr>
        <w:t xml:space="preserve">.  </w:t>
      </w:r>
      <w:r w:rsidR="008F6158" w:rsidRPr="008F0A73">
        <w:rPr>
          <w:lang w:val="fr-FR"/>
        </w:rPr>
        <w:t>El</w:t>
      </w:r>
      <w:r w:rsidR="008F0A73" w:rsidRPr="008F0A73">
        <w:rPr>
          <w:lang w:val="fr-FR"/>
        </w:rPr>
        <w:t>le a ajouté que la conception de l</w:t>
      </w:r>
      <w:r w:rsidR="006B6155">
        <w:rPr>
          <w:lang w:val="fr-FR"/>
        </w:rPr>
        <w:t>’</w:t>
      </w:r>
      <w:r w:rsidR="008F0A73" w:rsidRPr="008F0A73">
        <w:rPr>
          <w:lang w:val="fr-FR"/>
        </w:rPr>
        <w:t>Acte de Genève, son adoption en 2015, sa promotion ultérieure et son entrée en vigueur, ainsi que l</w:t>
      </w:r>
      <w:r w:rsidR="006B6155">
        <w:rPr>
          <w:lang w:val="fr-FR"/>
        </w:rPr>
        <w:t>’</w:t>
      </w:r>
      <w:r w:rsidR="008F0A73" w:rsidRPr="008F0A73">
        <w:rPr>
          <w:lang w:val="fr-FR"/>
        </w:rPr>
        <w:t>adhésion de nouveaux États membres, avaient toujours été considérées par la France comme des solutions appropriées pour assurer la viabilité financière du système de Lisbon</w:t>
      </w:r>
      <w:r w:rsidR="008F6158" w:rsidRPr="008F0A73">
        <w:rPr>
          <w:lang w:val="fr-FR"/>
        </w:rPr>
        <w:t>ne</w:t>
      </w:r>
      <w:r w:rsidR="008F6158">
        <w:rPr>
          <w:lang w:val="fr-FR"/>
        </w:rPr>
        <w:t xml:space="preserve">.  </w:t>
      </w:r>
      <w:r w:rsidR="008F6158" w:rsidRPr="008F0A73">
        <w:rPr>
          <w:lang w:val="fr-FR"/>
        </w:rPr>
        <w:t>El</w:t>
      </w:r>
      <w:r w:rsidR="008F0A73" w:rsidRPr="008F0A73">
        <w:rPr>
          <w:lang w:val="fr-FR"/>
        </w:rPr>
        <w:t>le a également noté que, curieusement, il s</w:t>
      </w:r>
      <w:r w:rsidR="006B6155">
        <w:rPr>
          <w:lang w:val="fr-FR"/>
        </w:rPr>
        <w:t>’</w:t>
      </w:r>
      <w:r w:rsidR="008F0A73" w:rsidRPr="008F0A73">
        <w:rPr>
          <w:lang w:val="fr-FR"/>
        </w:rPr>
        <w:t>agissait là aussi de réalisations dont la légitimité était remise en question par certaines délégations, ce qui empêchait les membres de l</w:t>
      </w:r>
      <w:r w:rsidR="006B6155">
        <w:rPr>
          <w:lang w:val="fr-FR"/>
        </w:rPr>
        <w:t>’</w:t>
      </w:r>
      <w:r w:rsidR="008F0A73" w:rsidRPr="008F0A73">
        <w:rPr>
          <w:lang w:val="fr-FR"/>
        </w:rPr>
        <w:t>Union de Lisbonne d</w:t>
      </w:r>
      <w:r w:rsidR="006B6155">
        <w:rPr>
          <w:lang w:val="fr-FR"/>
        </w:rPr>
        <w:t>’</w:t>
      </w:r>
      <w:r w:rsidR="008F0A73" w:rsidRPr="008F0A73">
        <w:rPr>
          <w:lang w:val="fr-FR"/>
        </w:rPr>
        <w:t>atteindre leurs objectifs dans ce domai</w:t>
      </w:r>
      <w:r w:rsidR="008F6158" w:rsidRPr="008F0A73">
        <w:rPr>
          <w:lang w:val="fr-FR"/>
        </w:rPr>
        <w:t>ne</w:t>
      </w:r>
      <w:r w:rsidR="008F6158">
        <w:rPr>
          <w:lang w:val="fr-FR"/>
        </w:rPr>
        <w:t xml:space="preserve">.  </w:t>
      </w:r>
      <w:r w:rsidR="008F6158" w:rsidRPr="008F0A73">
        <w:rPr>
          <w:lang w:val="fr-FR"/>
        </w:rPr>
        <w:t>Pa</w:t>
      </w:r>
      <w:r w:rsidR="008F0A73" w:rsidRPr="008F0A73">
        <w:rPr>
          <w:lang w:val="fr-FR"/>
        </w:rPr>
        <w:t>rallèlement, ces mêmes délégations accusaient les membres du système de Lisbonne de ne pas en faire assez pour garantir la viabilité financière de l</w:t>
      </w:r>
      <w:r w:rsidR="006B6155">
        <w:rPr>
          <w:lang w:val="fr-FR"/>
        </w:rPr>
        <w:t>’</w:t>
      </w:r>
      <w:r w:rsidR="008F0A73" w:rsidRPr="008F0A73">
        <w:rPr>
          <w:lang w:val="fr-FR"/>
        </w:rPr>
        <w:t>Union de Lisbon</w:t>
      </w:r>
      <w:r w:rsidR="008F6158" w:rsidRPr="008F0A73">
        <w:rPr>
          <w:lang w:val="fr-FR"/>
        </w:rPr>
        <w:t>ne</w:t>
      </w:r>
      <w:r w:rsidR="008F6158">
        <w:rPr>
          <w:lang w:val="fr-FR"/>
        </w:rPr>
        <w:t xml:space="preserve">.  </w:t>
      </w:r>
      <w:r w:rsidR="008F6158" w:rsidRPr="008F0A73">
        <w:rPr>
          <w:lang w:val="fr-FR"/>
        </w:rPr>
        <w:t>La</w:t>
      </w:r>
      <w:r w:rsidR="008F0A73" w:rsidRPr="008F0A73">
        <w:rPr>
          <w:lang w:val="fr-FR"/>
        </w:rPr>
        <w:t xml:space="preserve"> délégation a conclu en disant que son intention était et avait toujours été d</w:t>
      </w:r>
      <w:r w:rsidR="006B6155">
        <w:rPr>
          <w:lang w:val="fr-FR"/>
        </w:rPr>
        <w:t>’</w:t>
      </w:r>
      <w:r w:rsidR="008F0A73" w:rsidRPr="008F0A73">
        <w:rPr>
          <w:lang w:val="fr-FR"/>
        </w:rPr>
        <w:t>assurer la viabilité à long terme de l</w:t>
      </w:r>
      <w:r w:rsidR="006B6155">
        <w:rPr>
          <w:lang w:val="fr-FR"/>
        </w:rPr>
        <w:t>’</w:t>
      </w:r>
      <w:r w:rsidR="008F0A73" w:rsidRPr="008F0A73">
        <w:rPr>
          <w:lang w:val="fr-FR"/>
        </w:rPr>
        <w:t>Union de Lisbon</w:t>
      </w:r>
      <w:r w:rsidR="008F6158" w:rsidRPr="008F0A73">
        <w:rPr>
          <w:lang w:val="fr-FR"/>
        </w:rPr>
        <w:t>ne</w:t>
      </w:r>
      <w:r w:rsidR="008F6158">
        <w:rPr>
          <w:lang w:val="fr-FR"/>
        </w:rPr>
        <w:t xml:space="preserve">.  </w:t>
      </w:r>
      <w:r w:rsidR="008F6158" w:rsidRPr="008F0A73">
        <w:rPr>
          <w:lang w:val="fr-FR"/>
        </w:rPr>
        <w:t>Co</w:t>
      </w:r>
      <w:r w:rsidR="008F0A73" w:rsidRPr="008F0A73">
        <w:rPr>
          <w:lang w:val="fr-FR"/>
        </w:rPr>
        <w:t>mpte tenu de cet objectif, elle a suggéré que la dernière phrase de la note de bas de page contenue dans la proposition soit modifiée comme suit</w:t>
      </w:r>
      <w:r w:rsidR="006B6155">
        <w:rPr>
          <w:lang w:val="fr-FR"/>
        </w:rPr>
        <w:t> :</w:t>
      </w:r>
      <w:r w:rsidR="008F0A73" w:rsidRPr="008F0A73">
        <w:rPr>
          <w:lang w:val="fr-FR"/>
        </w:rPr>
        <w:t xml:space="preserve"> “Ces réductions de taxes seront applicables trois ans après l</w:t>
      </w:r>
      <w:r w:rsidR="006B6155">
        <w:rPr>
          <w:lang w:val="fr-FR"/>
        </w:rPr>
        <w:t>’</w:t>
      </w:r>
      <w:r w:rsidR="008F0A73" w:rsidRPr="008F0A73">
        <w:rPr>
          <w:lang w:val="fr-FR"/>
        </w:rPr>
        <w:t>entrée en vigueur de l</w:t>
      </w:r>
      <w:r w:rsidR="006B6155">
        <w:rPr>
          <w:lang w:val="fr-FR"/>
        </w:rPr>
        <w:t>’</w:t>
      </w:r>
      <w:r w:rsidR="008F0A73" w:rsidRPr="008F0A73">
        <w:rPr>
          <w:lang w:val="fr-FR"/>
        </w:rPr>
        <w:t>Acte de Genève”.  La délégation était d</w:t>
      </w:r>
      <w:r w:rsidR="006B6155">
        <w:rPr>
          <w:lang w:val="fr-FR"/>
        </w:rPr>
        <w:t>’</w:t>
      </w:r>
      <w:r w:rsidR="008F0A73" w:rsidRPr="008F0A73">
        <w:rPr>
          <w:lang w:val="fr-FR"/>
        </w:rPr>
        <w:t>avis que, trois ans après l</w:t>
      </w:r>
      <w:r w:rsidR="006B6155">
        <w:rPr>
          <w:lang w:val="fr-FR"/>
        </w:rPr>
        <w:t>’</w:t>
      </w:r>
      <w:r w:rsidR="008F0A73" w:rsidRPr="008F0A73">
        <w:rPr>
          <w:lang w:val="fr-FR"/>
        </w:rPr>
        <w:t>entrée en vigueur de l</w:t>
      </w:r>
      <w:r w:rsidR="006B6155">
        <w:rPr>
          <w:lang w:val="fr-FR"/>
        </w:rPr>
        <w:t>’</w:t>
      </w:r>
      <w:r w:rsidR="008F0A73" w:rsidRPr="008F0A73">
        <w:rPr>
          <w:lang w:val="fr-FR"/>
        </w:rPr>
        <w:t>Acte de Genève, les difficultés financières de l</w:t>
      </w:r>
      <w:r w:rsidR="006B6155">
        <w:rPr>
          <w:lang w:val="fr-FR"/>
        </w:rPr>
        <w:t>’</w:t>
      </w:r>
      <w:r w:rsidR="008F0A73" w:rsidRPr="008F0A73">
        <w:rPr>
          <w:lang w:val="fr-FR"/>
        </w:rPr>
        <w:t>Union de Lisbonne auraient définitivement disparu.</w:t>
      </w:r>
    </w:p>
    <w:p w:rsidR="008F0A73" w:rsidRPr="008F0A73" w:rsidRDefault="008F0A73" w:rsidP="008F0A73">
      <w:pPr>
        <w:pStyle w:val="ONUMFS"/>
        <w:numPr>
          <w:ilvl w:val="0"/>
          <w:numId w:val="6"/>
        </w:numPr>
        <w:rPr>
          <w:lang w:val="fr-FR"/>
        </w:rPr>
      </w:pPr>
      <w:r w:rsidRPr="008F0A73">
        <w:rPr>
          <w:lang w:val="fr-FR"/>
        </w:rPr>
        <w:t>La délégation de la République tchèque a appuyé la modification du règlement d</w:t>
      </w:r>
      <w:r w:rsidR="006B6155">
        <w:rPr>
          <w:lang w:val="fr-FR"/>
        </w:rPr>
        <w:t>’</w:t>
      </w:r>
      <w:r w:rsidRPr="008F0A73">
        <w:rPr>
          <w:lang w:val="fr-FR"/>
        </w:rPr>
        <w:t>exécution commun à l</w:t>
      </w:r>
      <w:r w:rsidR="006B6155">
        <w:rPr>
          <w:lang w:val="fr-FR"/>
        </w:rPr>
        <w:t>’</w:t>
      </w:r>
      <w:r w:rsidRPr="008F0A73">
        <w:rPr>
          <w:lang w:val="fr-FR"/>
        </w:rPr>
        <w:t>Arrangement de Lisbonne et à l</w:t>
      </w:r>
      <w:r w:rsidR="006B6155">
        <w:rPr>
          <w:lang w:val="fr-FR"/>
        </w:rPr>
        <w:t>’</w:t>
      </w:r>
      <w:r w:rsidRPr="008F0A73">
        <w:rPr>
          <w:lang w:val="fr-FR"/>
        </w:rPr>
        <w:t>Acte de Genève de l</w:t>
      </w:r>
      <w:r w:rsidR="006B6155">
        <w:rPr>
          <w:lang w:val="fr-FR"/>
        </w:rPr>
        <w:t>’</w:t>
      </w:r>
      <w:r w:rsidRPr="008F0A73">
        <w:rPr>
          <w:lang w:val="fr-FR"/>
        </w:rPr>
        <w:t>Arrangement de Lisbon</w:t>
      </w:r>
      <w:r w:rsidR="008F6158" w:rsidRPr="008F0A73">
        <w:rPr>
          <w:lang w:val="fr-FR"/>
        </w:rPr>
        <w:t>ne</w:t>
      </w:r>
      <w:r w:rsidR="008F6158">
        <w:rPr>
          <w:lang w:val="fr-FR"/>
        </w:rPr>
        <w:t xml:space="preserve">.  </w:t>
      </w:r>
      <w:r w:rsidR="008F6158" w:rsidRPr="008F0A73">
        <w:rPr>
          <w:lang w:val="fr-FR"/>
        </w:rPr>
        <w:t>El</w:t>
      </w:r>
      <w:r w:rsidRPr="008F0A73">
        <w:rPr>
          <w:lang w:val="fr-FR"/>
        </w:rPr>
        <w:t>le a noté que la modification proposée visait à introduire une réduction des taxes pour les PMA concernant l</w:t>
      </w:r>
      <w:r w:rsidR="006B6155">
        <w:rPr>
          <w:lang w:val="fr-FR"/>
        </w:rPr>
        <w:t>’</w:t>
      </w:r>
      <w:r w:rsidRPr="008F0A73">
        <w:rPr>
          <w:lang w:val="fr-FR"/>
        </w:rPr>
        <w:t>enregistrement international de leurs appellations d</w:t>
      </w:r>
      <w:r w:rsidR="006B6155">
        <w:rPr>
          <w:lang w:val="fr-FR"/>
        </w:rPr>
        <w:t>’</w:t>
      </w:r>
      <w:r w:rsidRPr="008F0A73">
        <w:rPr>
          <w:lang w:val="fr-FR"/>
        </w:rPr>
        <w:t>origine et de leurs indications géographiques.  À cet égard, elle estimait que la réduction proposée serait effectivement perçue par les PMA comme une incitation à adhérer dès que possible au système de Lisbonne et à l</w:t>
      </w:r>
      <w:r w:rsidR="006B6155">
        <w:rPr>
          <w:lang w:val="fr-FR"/>
        </w:rPr>
        <w:t>’</w:t>
      </w:r>
      <w:r w:rsidRPr="008F0A73">
        <w:rPr>
          <w:lang w:val="fr-FR"/>
        </w:rPr>
        <w:t>utiliser pour protéger leurs produits régionaux traditionnels non seulement dans leurs pays respectifs mais aussi à une échelle beaucoup plus lar</w:t>
      </w:r>
      <w:r w:rsidR="008F6158" w:rsidRPr="008F0A73">
        <w:rPr>
          <w:lang w:val="fr-FR"/>
        </w:rPr>
        <w:t>ge</w:t>
      </w:r>
      <w:r w:rsidR="008F6158">
        <w:rPr>
          <w:lang w:val="fr-FR"/>
        </w:rPr>
        <w:t xml:space="preserve">.  </w:t>
      </w:r>
      <w:r w:rsidR="008F6158" w:rsidRPr="008F0A73">
        <w:rPr>
          <w:lang w:val="fr-FR"/>
        </w:rPr>
        <w:t>El</w:t>
      </w:r>
      <w:r w:rsidRPr="008F0A73">
        <w:rPr>
          <w:lang w:val="fr-FR"/>
        </w:rPr>
        <w:t>le a ajouté qu</w:t>
      </w:r>
      <w:r w:rsidR="006B6155">
        <w:rPr>
          <w:lang w:val="fr-FR"/>
        </w:rPr>
        <w:t>’</w:t>
      </w:r>
      <w:r w:rsidRPr="008F0A73">
        <w:rPr>
          <w:lang w:val="fr-FR"/>
        </w:rPr>
        <w:t>elle se sentait encouragée par l</w:t>
      </w:r>
      <w:r w:rsidR="006B6155">
        <w:rPr>
          <w:lang w:val="fr-FR"/>
        </w:rPr>
        <w:t>’</w:t>
      </w:r>
      <w:r w:rsidRPr="008F0A73">
        <w:rPr>
          <w:lang w:val="fr-FR"/>
        </w:rPr>
        <w:t>exemple de l</w:t>
      </w:r>
      <w:r w:rsidR="006B6155">
        <w:rPr>
          <w:lang w:val="fr-FR"/>
        </w:rPr>
        <w:t>’</w:t>
      </w:r>
      <w:r w:rsidRPr="008F0A73">
        <w:rPr>
          <w:lang w:val="fr-FR"/>
        </w:rPr>
        <w:t>adhésion du Cambodge, qui avait été le premier pays de la catégorie des PMA à adhérer à l</w:t>
      </w:r>
      <w:r w:rsidR="006B6155">
        <w:rPr>
          <w:lang w:val="fr-FR"/>
        </w:rPr>
        <w:t>’</w:t>
      </w:r>
      <w:r w:rsidRPr="008F0A73">
        <w:rPr>
          <w:lang w:val="fr-FR"/>
        </w:rPr>
        <w:t>Acte de Genève, mais aussi le premier État membre de l</w:t>
      </w:r>
      <w:r w:rsidR="006B6155">
        <w:rPr>
          <w:lang w:val="fr-FR"/>
        </w:rPr>
        <w:t>’</w:t>
      </w:r>
      <w:r w:rsidRPr="008F0A73">
        <w:rPr>
          <w:lang w:val="fr-FR"/>
        </w:rPr>
        <w:t>OMPI à le fai</w:t>
      </w:r>
      <w:r w:rsidR="008F6158" w:rsidRPr="008F0A73">
        <w:rPr>
          <w:lang w:val="fr-FR"/>
        </w:rPr>
        <w:t>re</w:t>
      </w:r>
      <w:r w:rsidR="008F6158">
        <w:rPr>
          <w:lang w:val="fr-FR"/>
        </w:rPr>
        <w:t xml:space="preserve">.  </w:t>
      </w:r>
      <w:r w:rsidR="008F6158" w:rsidRPr="008F0A73">
        <w:rPr>
          <w:lang w:val="fr-FR"/>
        </w:rPr>
        <w:t>La</w:t>
      </w:r>
      <w:r w:rsidRPr="008F0A73">
        <w:rPr>
          <w:lang w:val="fr-FR"/>
        </w:rPr>
        <w:t> délégation espérait que cette adhésion donnerait un élan positif et permettrait une entrée en vigueur rapide de l</w:t>
      </w:r>
      <w:r w:rsidR="006B6155">
        <w:rPr>
          <w:lang w:val="fr-FR"/>
        </w:rPr>
        <w:t>’</w:t>
      </w:r>
      <w:r w:rsidRPr="008F0A73">
        <w:rPr>
          <w:lang w:val="fr-FR"/>
        </w:rPr>
        <w:t>Acte de Genè</w:t>
      </w:r>
      <w:r w:rsidR="008F6158" w:rsidRPr="008F0A73">
        <w:rPr>
          <w:lang w:val="fr-FR"/>
        </w:rPr>
        <w:t>ve</w:t>
      </w:r>
      <w:r w:rsidR="008F6158">
        <w:rPr>
          <w:lang w:val="fr-FR"/>
        </w:rPr>
        <w:t xml:space="preserve">.  </w:t>
      </w:r>
      <w:r w:rsidR="008F6158" w:rsidRPr="008F0A73">
        <w:rPr>
          <w:lang w:val="fr-FR"/>
        </w:rPr>
        <w:t>El</w:t>
      </w:r>
      <w:r w:rsidRPr="008F0A73">
        <w:rPr>
          <w:lang w:val="fr-FR"/>
        </w:rPr>
        <w:t>le a enfin appuyé la modification proposée par la délégation de la France.</w:t>
      </w:r>
    </w:p>
    <w:p w:rsidR="008F0A73" w:rsidRPr="008F0A73" w:rsidRDefault="008F0A73" w:rsidP="008F0A73">
      <w:pPr>
        <w:pStyle w:val="ONUMFS"/>
        <w:numPr>
          <w:ilvl w:val="0"/>
          <w:numId w:val="6"/>
        </w:numPr>
        <w:rPr>
          <w:lang w:val="fr-FR"/>
        </w:rPr>
      </w:pPr>
      <w:r w:rsidRPr="008F0A73">
        <w:rPr>
          <w:lang w:val="fr-FR"/>
        </w:rPr>
        <w:t>La délégation de l</w:t>
      </w:r>
      <w:r w:rsidR="006B6155">
        <w:rPr>
          <w:lang w:val="fr-FR"/>
        </w:rPr>
        <w:t>’</w:t>
      </w:r>
      <w:r w:rsidRPr="008F0A73">
        <w:rPr>
          <w:lang w:val="fr-FR"/>
        </w:rPr>
        <w:t>Italie a appuyé la modification proposée par la délégation de la France concernant la réduction des taxes pour les PMA.</w:t>
      </w:r>
    </w:p>
    <w:p w:rsidR="008F0A73" w:rsidRPr="008F0A73" w:rsidRDefault="008F0A73" w:rsidP="008F0A73">
      <w:pPr>
        <w:pStyle w:val="ONUMFS"/>
        <w:numPr>
          <w:ilvl w:val="0"/>
          <w:numId w:val="6"/>
        </w:numPr>
        <w:rPr>
          <w:lang w:val="fr-FR"/>
        </w:rPr>
      </w:pPr>
      <w:r w:rsidRPr="008F0A73">
        <w:rPr>
          <w:lang w:val="fr-FR"/>
        </w:rPr>
        <w:t>La délégation du Portugal a appuyé la proposition faite par la délégation de la France.</w:t>
      </w:r>
    </w:p>
    <w:p w:rsidR="008F0A73" w:rsidRPr="008F0A73" w:rsidRDefault="008F0A73" w:rsidP="008F0A73">
      <w:pPr>
        <w:pStyle w:val="ONUMFS"/>
        <w:numPr>
          <w:ilvl w:val="0"/>
          <w:numId w:val="6"/>
        </w:numPr>
        <w:rPr>
          <w:lang w:val="fr-FR"/>
        </w:rPr>
      </w:pPr>
      <w:r w:rsidRPr="008F0A73">
        <w:rPr>
          <w:lang w:val="fr-FR"/>
        </w:rPr>
        <w:t>La délégation des États</w:t>
      </w:r>
      <w:r w:rsidR="006B6155">
        <w:rPr>
          <w:lang w:val="fr-FR"/>
        </w:rPr>
        <w:t>-</w:t>
      </w:r>
      <w:r w:rsidRPr="008F0A73">
        <w:rPr>
          <w:lang w:val="fr-FR"/>
        </w:rPr>
        <w:t>Unis d</w:t>
      </w:r>
      <w:r w:rsidR="006B6155">
        <w:rPr>
          <w:lang w:val="fr-FR"/>
        </w:rPr>
        <w:t>’</w:t>
      </w:r>
      <w:r w:rsidRPr="008F0A73">
        <w:rPr>
          <w:lang w:val="fr-FR"/>
        </w:rPr>
        <w:t>Amérique a rappelé que la première session du Groupe de travail de Lisbonne sur le développement du système de Lisbonne, qui s</w:t>
      </w:r>
      <w:r w:rsidR="006B6155">
        <w:rPr>
          <w:lang w:val="fr-FR"/>
        </w:rPr>
        <w:t>’</w:t>
      </w:r>
      <w:r w:rsidRPr="008F0A73">
        <w:rPr>
          <w:lang w:val="fr-FR"/>
        </w:rPr>
        <w:t>est tenue à Genève les 11 et 12 juin 2018, avait été convoquée pour examiner une réduction des taxes pour les PMA et établir un plan visant à assurer la viabilité financière de l</w:t>
      </w:r>
      <w:r w:rsidR="006B6155">
        <w:rPr>
          <w:lang w:val="fr-FR"/>
        </w:rPr>
        <w:t>’</w:t>
      </w:r>
      <w:r w:rsidRPr="008F0A73">
        <w:rPr>
          <w:lang w:val="fr-FR"/>
        </w:rPr>
        <w:t>Union de Lisbon</w:t>
      </w:r>
      <w:r w:rsidR="008F6158" w:rsidRPr="008F0A73">
        <w:rPr>
          <w:lang w:val="fr-FR"/>
        </w:rPr>
        <w:t>ne</w:t>
      </w:r>
      <w:r w:rsidR="008F6158">
        <w:rPr>
          <w:lang w:val="fr-FR"/>
        </w:rPr>
        <w:t xml:space="preserve">.  </w:t>
      </w:r>
      <w:r w:rsidR="008F6158" w:rsidRPr="008F0A73">
        <w:rPr>
          <w:lang w:val="fr-FR"/>
        </w:rPr>
        <w:t>Ma</w:t>
      </w:r>
      <w:r w:rsidRPr="008F0A73">
        <w:rPr>
          <w:lang w:val="fr-FR"/>
        </w:rPr>
        <w:t>lheureusement, il convenait de noter qu</w:t>
      </w:r>
      <w:r w:rsidR="006B6155">
        <w:rPr>
          <w:lang w:val="fr-FR"/>
        </w:rPr>
        <w:t>’</w:t>
      </w:r>
      <w:r w:rsidRPr="008F0A73">
        <w:rPr>
          <w:lang w:val="fr-FR"/>
        </w:rPr>
        <w:t>à l</w:t>
      </w:r>
      <w:r w:rsidR="006B6155">
        <w:rPr>
          <w:lang w:val="fr-FR"/>
        </w:rPr>
        <w:t>’</w:t>
      </w:r>
      <w:r w:rsidRPr="008F0A73">
        <w:rPr>
          <w:lang w:val="fr-FR"/>
        </w:rPr>
        <w:t>issue de cette première session, aucune mesure n</w:t>
      </w:r>
      <w:r w:rsidR="006B6155">
        <w:rPr>
          <w:lang w:val="fr-FR"/>
        </w:rPr>
        <w:t>’</w:t>
      </w:r>
      <w:r w:rsidRPr="008F0A73">
        <w:rPr>
          <w:lang w:val="fr-FR"/>
        </w:rPr>
        <w:t>avait été prise pour améliorer la viabilité financière de l</w:t>
      </w:r>
      <w:r w:rsidR="006B6155">
        <w:rPr>
          <w:lang w:val="fr-FR"/>
        </w:rPr>
        <w:t>’</w:t>
      </w:r>
      <w:r w:rsidRPr="008F0A73">
        <w:rPr>
          <w:lang w:val="fr-FR"/>
        </w:rPr>
        <w:t>Union de Lisbonne et que seule la proposition de réduction des taxes à l</w:t>
      </w:r>
      <w:r w:rsidR="006B6155">
        <w:rPr>
          <w:lang w:val="fr-FR"/>
        </w:rPr>
        <w:t>’</w:t>
      </w:r>
      <w:r w:rsidRPr="008F0A73">
        <w:rPr>
          <w:lang w:val="fr-FR"/>
        </w:rPr>
        <w:t>étude avait été approuv</w:t>
      </w:r>
      <w:r w:rsidR="008F6158" w:rsidRPr="008F0A73">
        <w:rPr>
          <w:lang w:val="fr-FR"/>
        </w:rPr>
        <w:t>ée</w:t>
      </w:r>
      <w:r w:rsidR="008F6158">
        <w:rPr>
          <w:lang w:val="fr-FR"/>
        </w:rPr>
        <w:t xml:space="preserve">.  </w:t>
      </w:r>
      <w:r w:rsidR="008F6158" w:rsidRPr="008F0A73">
        <w:rPr>
          <w:lang w:val="fr-FR"/>
        </w:rPr>
        <w:t>Se</w:t>
      </w:r>
      <w:r w:rsidRPr="008F0A73">
        <w:rPr>
          <w:lang w:val="fr-FR"/>
        </w:rPr>
        <w:t>lon la délégation, la légitimité de l</w:t>
      </w:r>
      <w:r w:rsidR="006B6155">
        <w:rPr>
          <w:lang w:val="fr-FR"/>
        </w:rPr>
        <w:t>’</w:t>
      </w:r>
      <w:r w:rsidRPr="008F0A73">
        <w:rPr>
          <w:lang w:val="fr-FR"/>
        </w:rPr>
        <w:t>Acte de Genève et la situation financière du système de Lisbonne devraient également être dûment examinées avant l</w:t>
      </w:r>
      <w:r w:rsidR="006B6155">
        <w:rPr>
          <w:lang w:val="fr-FR"/>
        </w:rPr>
        <w:t>’</w:t>
      </w:r>
      <w:r w:rsidRPr="008F0A73">
        <w:rPr>
          <w:lang w:val="fr-FR"/>
        </w:rPr>
        <w:t>entrée en vigueur de l</w:t>
      </w:r>
      <w:r w:rsidR="006B6155">
        <w:rPr>
          <w:lang w:val="fr-FR"/>
        </w:rPr>
        <w:t>’</w:t>
      </w:r>
      <w:r w:rsidRPr="008F0A73">
        <w:rPr>
          <w:lang w:val="fr-FR"/>
        </w:rPr>
        <w:t>Acte de Genè</w:t>
      </w:r>
      <w:r w:rsidR="008F6158" w:rsidRPr="008F0A73">
        <w:rPr>
          <w:lang w:val="fr-FR"/>
        </w:rPr>
        <w:t>ve</w:t>
      </w:r>
      <w:r w:rsidR="008F6158">
        <w:rPr>
          <w:lang w:val="fr-FR"/>
        </w:rPr>
        <w:t xml:space="preserve">.  </w:t>
      </w:r>
      <w:r w:rsidR="008F6158" w:rsidRPr="008F0A73">
        <w:rPr>
          <w:lang w:val="fr-FR"/>
        </w:rPr>
        <w:t>La</w:t>
      </w:r>
      <w:r w:rsidRPr="008F0A73">
        <w:rPr>
          <w:lang w:val="fr-FR"/>
        </w:rPr>
        <w:t> délégation a réaffirmé que la conférence diplomatique en vue de la conclusion de l</w:t>
      </w:r>
      <w:r w:rsidR="006B6155">
        <w:rPr>
          <w:lang w:val="fr-FR"/>
        </w:rPr>
        <w:t>’</w:t>
      </w:r>
      <w:r w:rsidRPr="008F0A73">
        <w:rPr>
          <w:lang w:val="fr-FR"/>
        </w:rPr>
        <w:t>Acte de Genève était foncièrement imparfaite car elle avait été négociée sans que la majorité des États membres de l</w:t>
      </w:r>
      <w:r w:rsidR="006B6155">
        <w:rPr>
          <w:lang w:val="fr-FR"/>
        </w:rPr>
        <w:t>’</w:t>
      </w:r>
      <w:r w:rsidRPr="008F0A73">
        <w:rPr>
          <w:lang w:val="fr-FR"/>
        </w:rPr>
        <w:t>OMPI aient apporté de contribution significative à ses dispositio</w:t>
      </w:r>
      <w:r w:rsidR="008F6158" w:rsidRPr="008F0A73">
        <w:rPr>
          <w:lang w:val="fr-FR"/>
        </w:rPr>
        <w:t>ns</w:t>
      </w:r>
      <w:r w:rsidR="008F6158">
        <w:rPr>
          <w:lang w:val="fr-FR"/>
        </w:rPr>
        <w:t xml:space="preserve">.  </w:t>
      </w:r>
      <w:r w:rsidR="008F6158" w:rsidRPr="008F0A73">
        <w:rPr>
          <w:lang w:val="fr-FR"/>
        </w:rPr>
        <w:t>El</w:t>
      </w:r>
      <w:r w:rsidRPr="008F0A73">
        <w:rPr>
          <w:lang w:val="fr-FR"/>
        </w:rPr>
        <w:t>le a ajouté que l</w:t>
      </w:r>
      <w:r w:rsidR="006B6155">
        <w:rPr>
          <w:lang w:val="fr-FR"/>
        </w:rPr>
        <w:t>’</w:t>
      </w:r>
      <w:r w:rsidRPr="008F0A73">
        <w:rPr>
          <w:lang w:val="fr-FR"/>
        </w:rPr>
        <w:t>Union de Lisbonne n</w:t>
      </w:r>
      <w:r w:rsidR="006B6155">
        <w:rPr>
          <w:lang w:val="fr-FR"/>
        </w:rPr>
        <w:t>’</w:t>
      </w:r>
      <w:r w:rsidRPr="008F0A73">
        <w:rPr>
          <w:lang w:val="fr-FR"/>
        </w:rPr>
        <w:t>avait pas coordonné ses actions avec celles des autres unions de l</w:t>
      </w:r>
      <w:r w:rsidR="006B6155">
        <w:rPr>
          <w:lang w:val="fr-FR"/>
        </w:rPr>
        <w:t>’</w:t>
      </w:r>
      <w:r w:rsidRPr="008F0A73">
        <w:rPr>
          <w:lang w:val="fr-FR"/>
        </w:rPr>
        <w:t>OMPI et n</w:t>
      </w:r>
      <w:r w:rsidR="006B6155">
        <w:rPr>
          <w:lang w:val="fr-FR"/>
        </w:rPr>
        <w:t>’</w:t>
      </w:r>
      <w:r w:rsidRPr="008F0A73">
        <w:rPr>
          <w:lang w:val="fr-FR"/>
        </w:rPr>
        <w:t>avait pas non plus reçu l</w:t>
      </w:r>
      <w:r w:rsidR="006B6155">
        <w:rPr>
          <w:lang w:val="fr-FR"/>
        </w:rPr>
        <w:t>’</w:t>
      </w:r>
      <w:r w:rsidRPr="008F0A73">
        <w:rPr>
          <w:lang w:val="fr-FR"/>
        </w:rPr>
        <w:t>approbation de l</w:t>
      </w:r>
      <w:r w:rsidR="006B6155">
        <w:rPr>
          <w:lang w:val="fr-FR"/>
        </w:rPr>
        <w:t>’</w:t>
      </w:r>
      <w:r w:rsidRPr="008F0A73">
        <w:rPr>
          <w:lang w:val="fr-FR"/>
        </w:rPr>
        <w:t>Union de Paris pour l</w:t>
      </w:r>
      <w:r w:rsidR="006B6155">
        <w:rPr>
          <w:lang w:val="fr-FR"/>
        </w:rPr>
        <w:t>’</w:t>
      </w:r>
      <w:r w:rsidRPr="008F0A73">
        <w:rPr>
          <w:lang w:val="fr-FR"/>
        </w:rPr>
        <w:t>Acte de Genève, même si ce dernier avait invité des organisations qui n</w:t>
      </w:r>
      <w:r w:rsidR="006B6155">
        <w:rPr>
          <w:lang w:val="fr-FR"/>
        </w:rPr>
        <w:t>’</w:t>
      </w:r>
      <w:r w:rsidRPr="008F0A73">
        <w:rPr>
          <w:lang w:val="fr-FR"/>
        </w:rPr>
        <w:t>étaient ni membres de l</w:t>
      </w:r>
      <w:r w:rsidR="006B6155">
        <w:rPr>
          <w:lang w:val="fr-FR"/>
        </w:rPr>
        <w:t>’</w:t>
      </w:r>
      <w:r w:rsidRPr="008F0A73">
        <w:rPr>
          <w:lang w:val="fr-FR"/>
        </w:rPr>
        <w:t>OMPI ni membres de l</w:t>
      </w:r>
      <w:r w:rsidR="006B6155">
        <w:rPr>
          <w:lang w:val="fr-FR"/>
        </w:rPr>
        <w:t>’</w:t>
      </w:r>
      <w:r w:rsidRPr="008F0A73">
        <w:rPr>
          <w:lang w:val="fr-FR"/>
        </w:rPr>
        <w:t>Union de Paris à y adhér</w:t>
      </w:r>
      <w:r w:rsidR="008F6158" w:rsidRPr="008F0A73">
        <w:rPr>
          <w:lang w:val="fr-FR"/>
        </w:rPr>
        <w:t>er</w:t>
      </w:r>
      <w:r w:rsidR="008F6158">
        <w:rPr>
          <w:lang w:val="fr-FR"/>
        </w:rPr>
        <w:t xml:space="preserve">.  </w:t>
      </w:r>
      <w:r w:rsidR="008F6158" w:rsidRPr="008F0A73">
        <w:rPr>
          <w:lang w:val="fr-FR"/>
        </w:rPr>
        <w:t>Dè</w:t>
      </w:r>
      <w:r w:rsidRPr="008F0A73">
        <w:rPr>
          <w:lang w:val="fr-FR"/>
        </w:rPr>
        <w:t>s lors, l</w:t>
      </w:r>
      <w:r w:rsidR="006B6155">
        <w:rPr>
          <w:lang w:val="fr-FR"/>
        </w:rPr>
        <w:t>’</w:t>
      </w:r>
      <w:r w:rsidRPr="008F0A73">
        <w:rPr>
          <w:lang w:val="fr-FR"/>
        </w:rPr>
        <w:t>Acte de Genève de l</w:t>
      </w:r>
      <w:r w:rsidR="006B6155">
        <w:rPr>
          <w:lang w:val="fr-FR"/>
        </w:rPr>
        <w:t>’</w:t>
      </w:r>
      <w:r w:rsidRPr="008F0A73">
        <w:rPr>
          <w:lang w:val="fr-FR"/>
        </w:rPr>
        <w:t>Arrangement de Lisbonne ne pouvait être automatiquement considéré comme un traité administré par l</w:t>
      </w:r>
      <w:r w:rsidR="006B6155">
        <w:rPr>
          <w:lang w:val="fr-FR"/>
        </w:rPr>
        <w:t>’</w:t>
      </w:r>
      <w:r w:rsidRPr="008F0A73">
        <w:rPr>
          <w:lang w:val="fr-FR"/>
        </w:rPr>
        <w:t>OMPI.  L</w:t>
      </w:r>
      <w:r w:rsidR="006B6155">
        <w:rPr>
          <w:lang w:val="fr-FR"/>
        </w:rPr>
        <w:t>’</w:t>
      </w:r>
      <w:r w:rsidRPr="008F0A73">
        <w:rPr>
          <w:lang w:val="fr-FR"/>
        </w:rPr>
        <w:t>OMPI devait plutôt se prononcer dans ce se</w:t>
      </w:r>
      <w:r w:rsidR="008F6158" w:rsidRPr="008F0A73">
        <w:rPr>
          <w:lang w:val="fr-FR"/>
        </w:rPr>
        <w:t>ns</w:t>
      </w:r>
      <w:r w:rsidR="008F6158">
        <w:rPr>
          <w:lang w:val="fr-FR"/>
        </w:rPr>
        <w:t xml:space="preserve">.  </w:t>
      </w:r>
      <w:r w:rsidR="008F6158" w:rsidRPr="008F0A73">
        <w:rPr>
          <w:lang w:val="fr-FR"/>
        </w:rPr>
        <w:t>No</w:t>
      </w:r>
      <w:r w:rsidRPr="008F0A73">
        <w:rPr>
          <w:lang w:val="fr-FR"/>
        </w:rPr>
        <w:t>tant que l</w:t>
      </w:r>
      <w:r w:rsidR="006B6155">
        <w:rPr>
          <w:lang w:val="fr-FR"/>
        </w:rPr>
        <w:t>’</w:t>
      </w:r>
      <w:r w:rsidRPr="008F0A73">
        <w:rPr>
          <w:lang w:val="fr-FR"/>
        </w:rPr>
        <w:t>Union de Lisbonne pensait que la situation financière pouvait être résolue simplement en promouvant l</w:t>
      </w:r>
      <w:r w:rsidR="006B6155">
        <w:rPr>
          <w:lang w:val="fr-FR"/>
        </w:rPr>
        <w:t>’</w:t>
      </w:r>
      <w:r w:rsidRPr="008F0A73">
        <w:rPr>
          <w:lang w:val="fr-FR"/>
        </w:rPr>
        <w:t>adhésion à l</w:t>
      </w:r>
      <w:r w:rsidR="006B6155">
        <w:rPr>
          <w:lang w:val="fr-FR"/>
        </w:rPr>
        <w:t>’</w:t>
      </w:r>
      <w:r w:rsidRPr="008F0A73">
        <w:rPr>
          <w:lang w:val="fr-FR"/>
        </w:rPr>
        <w:t>Acte de Genève auprès des autres membres de l</w:t>
      </w:r>
      <w:r w:rsidR="006B6155">
        <w:rPr>
          <w:lang w:val="fr-FR"/>
        </w:rPr>
        <w:t>’</w:t>
      </w:r>
      <w:r w:rsidRPr="008F0A73">
        <w:rPr>
          <w:lang w:val="fr-FR"/>
        </w:rPr>
        <w:t>OMPI, la délégation jugeait un tel résultat peu probable étant donné la présence de dispositions favorisant nettement les intérêts des membres actuels de Lisbonne plutôt que ceux de parties contractantes potentiell</w:t>
      </w:r>
      <w:r w:rsidR="008F6158" w:rsidRPr="008F0A73">
        <w:rPr>
          <w:lang w:val="fr-FR"/>
        </w:rPr>
        <w:t>es</w:t>
      </w:r>
      <w:r w:rsidR="008F6158">
        <w:rPr>
          <w:lang w:val="fr-FR"/>
        </w:rPr>
        <w:t xml:space="preserve">.  </w:t>
      </w:r>
      <w:r w:rsidR="008F6158" w:rsidRPr="008F0A73">
        <w:rPr>
          <w:lang w:val="fr-FR"/>
        </w:rPr>
        <w:t>La</w:t>
      </w:r>
      <w:r w:rsidRPr="008F0A73">
        <w:rPr>
          <w:lang w:val="fr-FR"/>
        </w:rPr>
        <w:t> délégation a réaffirmé que la situation financière était loin d</w:t>
      </w:r>
      <w:r w:rsidR="006B6155">
        <w:rPr>
          <w:lang w:val="fr-FR"/>
        </w:rPr>
        <w:t>’</w:t>
      </w:r>
      <w:r w:rsidRPr="008F0A73">
        <w:rPr>
          <w:lang w:val="fr-FR"/>
        </w:rPr>
        <w:t>être réglée et que la promotion de l</w:t>
      </w:r>
      <w:r w:rsidR="006B6155">
        <w:rPr>
          <w:lang w:val="fr-FR"/>
        </w:rPr>
        <w:t>’</w:t>
      </w:r>
      <w:r w:rsidRPr="008F0A73">
        <w:rPr>
          <w:lang w:val="fr-FR"/>
        </w:rPr>
        <w:t>Acte de Genève par l</w:t>
      </w:r>
      <w:r w:rsidR="006B6155">
        <w:rPr>
          <w:lang w:val="fr-FR"/>
        </w:rPr>
        <w:t>’</w:t>
      </w:r>
      <w:r w:rsidRPr="008F0A73">
        <w:rPr>
          <w:lang w:val="fr-FR"/>
        </w:rPr>
        <w:t>OMPI ne pouvait se faire au moyen de fonds provenant d</w:t>
      </w:r>
      <w:r w:rsidR="006B6155">
        <w:rPr>
          <w:lang w:val="fr-FR"/>
        </w:rPr>
        <w:t>’</w:t>
      </w:r>
      <w:r w:rsidRPr="008F0A73">
        <w:rPr>
          <w:lang w:val="fr-FR"/>
        </w:rPr>
        <w:t>autres systèmes d</w:t>
      </w:r>
      <w:r w:rsidR="006B6155">
        <w:rPr>
          <w:lang w:val="fr-FR"/>
        </w:rPr>
        <w:t>’</w:t>
      </w:r>
      <w:r w:rsidRPr="008F0A73">
        <w:rPr>
          <w:lang w:val="fr-FR"/>
        </w:rPr>
        <w:t>enregistrement de l</w:t>
      </w:r>
      <w:r w:rsidR="006B6155">
        <w:rPr>
          <w:lang w:val="fr-FR"/>
        </w:rPr>
        <w:t>’</w:t>
      </w:r>
      <w:r w:rsidRPr="008F0A73">
        <w:rPr>
          <w:lang w:val="fr-FR"/>
        </w:rPr>
        <w:t>O</w:t>
      </w:r>
      <w:r w:rsidR="008F6158" w:rsidRPr="008F0A73">
        <w:rPr>
          <w:lang w:val="fr-FR"/>
        </w:rPr>
        <w:t>MPI</w:t>
      </w:r>
      <w:r w:rsidR="008F6158">
        <w:rPr>
          <w:lang w:val="fr-FR"/>
        </w:rPr>
        <w:t xml:space="preserve">.  </w:t>
      </w:r>
      <w:r w:rsidR="008F6158" w:rsidRPr="008F0A73">
        <w:rPr>
          <w:lang w:val="fr-FR"/>
        </w:rPr>
        <w:t>Da</w:t>
      </w:r>
      <w:r w:rsidRPr="008F0A73">
        <w:rPr>
          <w:lang w:val="fr-FR"/>
        </w:rPr>
        <w:t>ns ce contexte, elle a déclaré que la promotion à elle seule ne contribuerait manifestement pas à financer le système de Lisbon</w:t>
      </w:r>
      <w:r w:rsidR="008F6158" w:rsidRPr="008F0A73">
        <w:rPr>
          <w:lang w:val="fr-FR"/>
        </w:rPr>
        <w:t>ne</w:t>
      </w:r>
      <w:r w:rsidR="008F6158">
        <w:rPr>
          <w:lang w:val="fr-FR"/>
        </w:rPr>
        <w:t xml:space="preserve">.  </w:t>
      </w:r>
      <w:r w:rsidR="008F6158" w:rsidRPr="008F0A73">
        <w:rPr>
          <w:lang w:val="fr-FR"/>
        </w:rPr>
        <w:t>El</w:t>
      </w:r>
      <w:r w:rsidRPr="008F0A73">
        <w:rPr>
          <w:lang w:val="fr-FR"/>
        </w:rPr>
        <w:t>le a en outre noté que l</w:t>
      </w:r>
      <w:r w:rsidR="006B6155">
        <w:rPr>
          <w:lang w:val="fr-FR"/>
        </w:rPr>
        <w:t>’</w:t>
      </w:r>
      <w:r w:rsidRPr="008F0A73">
        <w:rPr>
          <w:lang w:val="fr-FR"/>
        </w:rPr>
        <w:t>Assemblée de l</w:t>
      </w:r>
      <w:r w:rsidR="006B6155">
        <w:rPr>
          <w:lang w:val="fr-FR"/>
        </w:rPr>
        <w:t>’</w:t>
      </w:r>
      <w:r w:rsidRPr="008F0A73">
        <w:rPr>
          <w:lang w:val="fr-FR"/>
        </w:rPr>
        <w:t>Union de Lisbonne avait été invitée à adopter les modifications du règlement d</w:t>
      </w:r>
      <w:r w:rsidR="006B6155">
        <w:rPr>
          <w:lang w:val="fr-FR"/>
        </w:rPr>
        <w:t>’</w:t>
      </w:r>
      <w:r w:rsidRPr="008F0A73">
        <w:rPr>
          <w:lang w:val="fr-FR"/>
        </w:rPr>
        <w:t>exécution commun à l</w:t>
      </w:r>
      <w:r w:rsidR="006B6155">
        <w:rPr>
          <w:lang w:val="fr-FR"/>
        </w:rPr>
        <w:t>’</w:t>
      </w:r>
      <w:r w:rsidRPr="008F0A73">
        <w:rPr>
          <w:lang w:val="fr-FR"/>
        </w:rPr>
        <w:t>Arrangement de Lisbonne et à l</w:t>
      </w:r>
      <w:r w:rsidR="006B6155">
        <w:rPr>
          <w:lang w:val="fr-FR"/>
        </w:rPr>
        <w:t>’</w:t>
      </w:r>
      <w:r w:rsidRPr="008F0A73">
        <w:rPr>
          <w:lang w:val="fr-FR"/>
        </w:rPr>
        <w:t>Acte de Genève visant à fixer à 1000 francs suisses la taxe pour l</w:t>
      </w:r>
      <w:r w:rsidR="006B6155">
        <w:rPr>
          <w:lang w:val="fr-FR"/>
        </w:rPr>
        <w:t>’</w:t>
      </w:r>
      <w:r w:rsidRPr="008F0A73">
        <w:rPr>
          <w:lang w:val="fr-FR"/>
        </w:rPr>
        <w:t>enregistrement international, à 500 francs suisses la taxe pour chaque modification d</w:t>
      </w:r>
      <w:r w:rsidR="006B6155">
        <w:rPr>
          <w:lang w:val="fr-FR"/>
        </w:rPr>
        <w:t>’</w:t>
      </w:r>
      <w:r w:rsidRPr="008F0A73">
        <w:rPr>
          <w:lang w:val="fr-FR"/>
        </w:rPr>
        <w:t>un enregistrement international, à 150 francs suisses la taxe pour la fourniture d</w:t>
      </w:r>
      <w:r w:rsidR="006B6155">
        <w:rPr>
          <w:lang w:val="fr-FR"/>
        </w:rPr>
        <w:t>’</w:t>
      </w:r>
      <w:r w:rsidRPr="008F0A73">
        <w:rPr>
          <w:lang w:val="fr-FR"/>
        </w:rPr>
        <w:t>un extrait du registre international et à 100 francs suisses la taxe pour la fourniture d</w:t>
      </w:r>
      <w:r w:rsidR="006B6155">
        <w:rPr>
          <w:lang w:val="fr-FR"/>
        </w:rPr>
        <w:t>’</w:t>
      </w:r>
      <w:r w:rsidRPr="008F0A73">
        <w:rPr>
          <w:lang w:val="fr-FR"/>
        </w:rPr>
        <w:t>une attestation ou de tout autre renseignement donné par écrit sur le contenu du registre internation</w:t>
      </w:r>
      <w:r w:rsidR="008F6158" w:rsidRPr="008F0A73">
        <w:rPr>
          <w:lang w:val="fr-FR"/>
        </w:rPr>
        <w:t>al</w:t>
      </w:r>
      <w:r w:rsidR="008F6158">
        <w:rPr>
          <w:lang w:val="fr-FR"/>
        </w:rPr>
        <w:t xml:space="preserve">.  </w:t>
      </w:r>
      <w:r w:rsidR="008F6158" w:rsidRPr="008F0A73">
        <w:rPr>
          <w:lang w:val="fr-FR"/>
        </w:rPr>
        <w:t>La</w:t>
      </w:r>
      <w:r w:rsidRPr="008F0A73">
        <w:rPr>
          <w:lang w:val="fr-FR"/>
        </w:rPr>
        <w:t xml:space="preserve"> délégation a fait observer que la modification proposée à l</w:t>
      </w:r>
      <w:r w:rsidR="006B6155">
        <w:rPr>
          <w:lang w:val="fr-FR"/>
        </w:rPr>
        <w:t>’</w:t>
      </w:r>
      <w:r w:rsidRPr="008F0A73">
        <w:rPr>
          <w:lang w:val="fr-FR"/>
        </w:rPr>
        <w:t>examen indiquait en outre que, pour un enregistrement international désignant une aire géographique située dans un pays de la catégorie des PMA, une réduction de 50% du montant prescrit serait appliquée et que, à cet égard, le groupe de travail avait également recommandé que la réduction de taxe soit appliquée pendant une durée de trois ans après l</w:t>
      </w:r>
      <w:r w:rsidR="006B6155">
        <w:rPr>
          <w:lang w:val="fr-FR"/>
        </w:rPr>
        <w:t>’</w:t>
      </w:r>
      <w:r w:rsidRPr="008F0A73">
        <w:rPr>
          <w:lang w:val="fr-FR"/>
        </w:rPr>
        <w:t>entrée en vigueur de l</w:t>
      </w:r>
      <w:r w:rsidR="006B6155">
        <w:rPr>
          <w:lang w:val="fr-FR"/>
        </w:rPr>
        <w:t>’</w:t>
      </w:r>
      <w:r w:rsidRPr="008F0A73">
        <w:rPr>
          <w:lang w:val="fr-FR"/>
        </w:rPr>
        <w:t>Acte de Genève et qu</w:t>
      </w:r>
      <w:r w:rsidR="006B6155">
        <w:rPr>
          <w:lang w:val="fr-FR"/>
        </w:rPr>
        <w:t>’</w:t>
      </w:r>
      <w:r w:rsidRPr="008F0A73">
        <w:rPr>
          <w:lang w:val="fr-FR"/>
        </w:rPr>
        <w:t>elle soit réévaluée au bout de deux a</w:t>
      </w:r>
      <w:r w:rsidR="008F6158" w:rsidRPr="008F0A73">
        <w:rPr>
          <w:lang w:val="fr-FR"/>
        </w:rPr>
        <w:t>ns</w:t>
      </w:r>
      <w:r w:rsidR="008F6158">
        <w:rPr>
          <w:lang w:val="fr-FR"/>
        </w:rPr>
        <w:t xml:space="preserve">.  </w:t>
      </w:r>
      <w:r w:rsidR="008F6158" w:rsidRPr="008F0A73">
        <w:rPr>
          <w:lang w:val="fr-FR"/>
        </w:rPr>
        <w:t>Da</w:t>
      </w:r>
      <w:r w:rsidRPr="008F0A73">
        <w:rPr>
          <w:lang w:val="fr-FR"/>
        </w:rPr>
        <w:t>ns ce contexte, même si la délégation était favorable à l</w:t>
      </w:r>
      <w:r w:rsidR="006B6155">
        <w:rPr>
          <w:lang w:val="fr-FR"/>
        </w:rPr>
        <w:t>’</w:t>
      </w:r>
      <w:r w:rsidRPr="008F0A73">
        <w:rPr>
          <w:lang w:val="fr-FR"/>
        </w:rPr>
        <w:t>idée d</w:t>
      </w:r>
      <w:r w:rsidR="006B6155">
        <w:rPr>
          <w:lang w:val="fr-FR"/>
        </w:rPr>
        <w:t>’</w:t>
      </w:r>
      <w:r w:rsidRPr="008F0A73">
        <w:rPr>
          <w:lang w:val="fr-FR"/>
        </w:rPr>
        <w:t>une réduction de taxes pour les PMA, elle restait préoccupée par le fait que le problème général de la viabilité financière du système de Lisbonne n</w:t>
      </w:r>
      <w:r w:rsidR="006B6155">
        <w:rPr>
          <w:lang w:val="fr-FR"/>
        </w:rPr>
        <w:t>’</w:t>
      </w:r>
      <w:r w:rsidRPr="008F0A73">
        <w:rPr>
          <w:lang w:val="fr-FR"/>
        </w:rPr>
        <w:t>était toujours pas rég</w:t>
      </w:r>
      <w:r w:rsidR="008F6158" w:rsidRPr="008F0A73">
        <w:rPr>
          <w:lang w:val="fr-FR"/>
        </w:rPr>
        <w:t>lé</w:t>
      </w:r>
      <w:r w:rsidR="008F6158">
        <w:rPr>
          <w:lang w:val="fr-FR"/>
        </w:rPr>
        <w:t xml:space="preserve">.  </w:t>
      </w:r>
      <w:r w:rsidR="008F6158" w:rsidRPr="008F0A73">
        <w:rPr>
          <w:lang w:val="fr-FR"/>
        </w:rPr>
        <w:t>El</w:t>
      </w:r>
      <w:r w:rsidRPr="008F0A73">
        <w:rPr>
          <w:lang w:val="fr-FR"/>
        </w:rPr>
        <w:t>le s</w:t>
      </w:r>
      <w:r w:rsidR="006B6155">
        <w:rPr>
          <w:lang w:val="fr-FR"/>
        </w:rPr>
        <w:t>’</w:t>
      </w:r>
      <w:r w:rsidRPr="008F0A73">
        <w:rPr>
          <w:lang w:val="fr-FR"/>
        </w:rPr>
        <w:t>inquiétait de l</w:t>
      </w:r>
      <w:r w:rsidR="006B6155">
        <w:rPr>
          <w:lang w:val="fr-FR"/>
        </w:rPr>
        <w:t>’</w:t>
      </w:r>
      <w:r w:rsidRPr="008F0A73">
        <w:rPr>
          <w:lang w:val="fr-FR"/>
        </w:rPr>
        <w:t>absence d</w:t>
      </w:r>
      <w:r w:rsidR="006B6155">
        <w:rPr>
          <w:lang w:val="fr-FR"/>
        </w:rPr>
        <w:t>’</w:t>
      </w:r>
      <w:r w:rsidRPr="008F0A73">
        <w:rPr>
          <w:lang w:val="fr-FR"/>
        </w:rPr>
        <w:t>analyse économique montrant l</w:t>
      </w:r>
      <w:r w:rsidR="006B6155">
        <w:rPr>
          <w:lang w:val="fr-FR"/>
        </w:rPr>
        <w:t>’</w:t>
      </w:r>
      <w:r w:rsidRPr="008F0A73">
        <w:rPr>
          <w:lang w:val="fr-FR"/>
        </w:rPr>
        <w:t>incidence que la réduction des taxes aurait sur les dépôts prévus et du fait qu</w:t>
      </w:r>
      <w:r w:rsidR="006B6155">
        <w:rPr>
          <w:lang w:val="fr-FR"/>
        </w:rPr>
        <w:t>’</w:t>
      </w:r>
      <w:r w:rsidRPr="008F0A73">
        <w:rPr>
          <w:lang w:val="fr-FR"/>
        </w:rPr>
        <w:t>aucune augmentation de taxes n</w:t>
      </w:r>
      <w:r w:rsidR="006B6155">
        <w:rPr>
          <w:lang w:val="fr-FR"/>
        </w:rPr>
        <w:t>’</w:t>
      </w:r>
      <w:r w:rsidRPr="008F0A73">
        <w:rPr>
          <w:lang w:val="fr-FR"/>
        </w:rPr>
        <w:t>avait été prévue pour compenser la perte potentielle de recettes due à la réduction propos</w:t>
      </w:r>
      <w:r w:rsidR="008F6158" w:rsidRPr="008F0A73">
        <w:rPr>
          <w:lang w:val="fr-FR"/>
        </w:rPr>
        <w:t>ée</w:t>
      </w:r>
      <w:r w:rsidR="008F6158">
        <w:rPr>
          <w:lang w:val="fr-FR"/>
        </w:rPr>
        <w:t xml:space="preserve">.  </w:t>
      </w:r>
      <w:r w:rsidR="008F6158" w:rsidRPr="008F0A73">
        <w:rPr>
          <w:lang w:val="fr-FR"/>
        </w:rPr>
        <w:t>Si</w:t>
      </w:r>
      <w:r w:rsidRPr="008F0A73">
        <w:rPr>
          <w:lang w:val="fr-FR"/>
        </w:rPr>
        <w:t xml:space="preserve"> celle</w:t>
      </w:r>
      <w:r w:rsidR="006B6155">
        <w:rPr>
          <w:lang w:val="fr-FR"/>
        </w:rPr>
        <w:t>-</w:t>
      </w:r>
      <w:r w:rsidRPr="008F0A73">
        <w:rPr>
          <w:lang w:val="fr-FR"/>
        </w:rPr>
        <w:t>ci pouvait être considérée comme une incitation pour les PMA à adhérer à l</w:t>
      </w:r>
      <w:r w:rsidR="006B6155">
        <w:rPr>
          <w:lang w:val="fr-FR"/>
        </w:rPr>
        <w:t>’</w:t>
      </w:r>
      <w:r w:rsidRPr="008F0A73">
        <w:rPr>
          <w:lang w:val="fr-FR"/>
        </w:rPr>
        <w:t>Acte de Genève, il fallait aussi des ressources pour élaborer et promouvoir des produits distinctifs dont les PMA ne disposaient peut</w:t>
      </w:r>
      <w:r w:rsidR="006B6155">
        <w:rPr>
          <w:lang w:val="fr-FR"/>
        </w:rPr>
        <w:t>-</w:t>
      </w:r>
      <w:r w:rsidRPr="008F0A73">
        <w:rPr>
          <w:lang w:val="fr-FR"/>
        </w:rPr>
        <w:t>être p</w:t>
      </w:r>
      <w:r w:rsidR="008F6158" w:rsidRPr="008F0A73">
        <w:rPr>
          <w:lang w:val="fr-FR"/>
        </w:rPr>
        <w:t>as</w:t>
      </w:r>
      <w:r w:rsidR="008F6158">
        <w:rPr>
          <w:lang w:val="fr-FR"/>
        </w:rPr>
        <w:t xml:space="preserve">.  </w:t>
      </w:r>
      <w:r w:rsidR="008F6158" w:rsidRPr="008F0A73">
        <w:rPr>
          <w:lang w:val="fr-FR"/>
        </w:rPr>
        <w:t>La</w:t>
      </w:r>
      <w:r w:rsidRPr="008F0A73">
        <w:rPr>
          <w:lang w:val="fr-FR"/>
        </w:rPr>
        <w:t xml:space="preserve"> délégation a par ailleurs fait observer que, bien qu</w:t>
      </w:r>
      <w:r w:rsidR="006B6155">
        <w:rPr>
          <w:lang w:val="fr-FR"/>
        </w:rPr>
        <w:t>’</w:t>
      </w:r>
      <w:r w:rsidRPr="008F0A73">
        <w:rPr>
          <w:lang w:val="fr-FR"/>
        </w:rPr>
        <w:t>un pays de la catégorie des PMA ait adhéré à l</w:t>
      </w:r>
      <w:r w:rsidR="006B6155">
        <w:rPr>
          <w:lang w:val="fr-FR"/>
        </w:rPr>
        <w:t>’</w:t>
      </w:r>
      <w:r w:rsidRPr="008F0A73">
        <w:rPr>
          <w:lang w:val="fr-FR"/>
        </w:rPr>
        <w:t>Acte de Genève, aucun des PMA actuellement membres de l</w:t>
      </w:r>
      <w:r w:rsidR="006B6155">
        <w:rPr>
          <w:lang w:val="fr-FR"/>
        </w:rPr>
        <w:t>’</w:t>
      </w:r>
      <w:r w:rsidRPr="008F0A73">
        <w:rPr>
          <w:lang w:val="fr-FR"/>
        </w:rPr>
        <w:t>Arrangement de Lisbonne n</w:t>
      </w:r>
      <w:r w:rsidR="006B6155">
        <w:rPr>
          <w:lang w:val="fr-FR"/>
        </w:rPr>
        <w:t>’</w:t>
      </w:r>
      <w:r w:rsidRPr="008F0A73">
        <w:rPr>
          <w:lang w:val="fr-FR"/>
        </w:rPr>
        <w:t>avait enregistré une seule appellation d</w:t>
      </w:r>
      <w:r w:rsidR="006B6155">
        <w:rPr>
          <w:lang w:val="fr-FR"/>
        </w:rPr>
        <w:t>’</w:t>
      </w:r>
      <w:r w:rsidRPr="008F0A73">
        <w:rPr>
          <w:lang w:val="fr-FR"/>
        </w:rPr>
        <w:t>origine à ce jo</w:t>
      </w:r>
      <w:r w:rsidR="008F6158" w:rsidRPr="008F0A73">
        <w:rPr>
          <w:lang w:val="fr-FR"/>
        </w:rPr>
        <w:t>ur</w:t>
      </w:r>
      <w:r w:rsidR="008F6158">
        <w:rPr>
          <w:lang w:val="fr-FR"/>
        </w:rPr>
        <w:t xml:space="preserve">.  </w:t>
      </w:r>
      <w:r w:rsidR="008F6158" w:rsidRPr="008F0A73">
        <w:rPr>
          <w:lang w:val="fr-FR"/>
        </w:rPr>
        <w:t>En</w:t>
      </w:r>
      <w:r w:rsidRPr="008F0A73">
        <w:rPr>
          <w:lang w:val="fr-FR"/>
        </w:rPr>
        <w:t>fin, la délégation croyait comprendre que l</w:t>
      </w:r>
      <w:r w:rsidR="006B6155">
        <w:rPr>
          <w:lang w:val="fr-FR"/>
        </w:rPr>
        <w:t>’</w:t>
      </w:r>
      <w:r w:rsidRPr="008F0A73">
        <w:rPr>
          <w:lang w:val="fr-FR"/>
        </w:rPr>
        <w:t>OMPI avait fourni une assistance technique pour renforcer la capacité des producteurs à utiliser le système de Lisbon</w:t>
      </w:r>
      <w:r w:rsidR="008F6158" w:rsidRPr="008F0A73">
        <w:rPr>
          <w:lang w:val="fr-FR"/>
        </w:rPr>
        <w:t>ne</w:t>
      </w:r>
      <w:r w:rsidR="008F6158">
        <w:rPr>
          <w:lang w:val="fr-FR"/>
        </w:rPr>
        <w:t xml:space="preserve">.  </w:t>
      </w:r>
      <w:r w:rsidR="008F6158" w:rsidRPr="008F0A73">
        <w:rPr>
          <w:lang w:val="fr-FR"/>
        </w:rPr>
        <w:t>El</w:t>
      </w:r>
      <w:r w:rsidRPr="008F0A73">
        <w:rPr>
          <w:lang w:val="fr-FR"/>
        </w:rPr>
        <w:t>le craignait que cette assistance technique ne détourne indûment des ressources d</w:t>
      </w:r>
      <w:r w:rsidR="006B6155">
        <w:rPr>
          <w:lang w:val="fr-FR"/>
        </w:rPr>
        <w:t>’</w:t>
      </w:r>
      <w:r w:rsidRPr="008F0A73">
        <w:rPr>
          <w:lang w:val="fr-FR"/>
        </w:rPr>
        <w:t>autres unions dans le but d</w:t>
      </w:r>
      <w:r w:rsidR="006B6155">
        <w:rPr>
          <w:lang w:val="fr-FR"/>
        </w:rPr>
        <w:t>’</w:t>
      </w:r>
      <w:r w:rsidRPr="008F0A73">
        <w:rPr>
          <w:lang w:val="fr-FR"/>
        </w:rPr>
        <w:t>accroître le nombre de membres de l</w:t>
      </w:r>
      <w:r w:rsidR="006B6155">
        <w:rPr>
          <w:lang w:val="fr-FR"/>
        </w:rPr>
        <w:t>’</w:t>
      </w:r>
      <w:r w:rsidRPr="008F0A73">
        <w:rPr>
          <w:lang w:val="fr-FR"/>
        </w:rPr>
        <w:t>Union de Lisbon</w:t>
      </w:r>
      <w:r w:rsidR="008F6158" w:rsidRPr="008F0A73">
        <w:rPr>
          <w:lang w:val="fr-FR"/>
        </w:rPr>
        <w:t>ne</w:t>
      </w:r>
      <w:r w:rsidR="008F6158">
        <w:rPr>
          <w:lang w:val="fr-FR"/>
        </w:rPr>
        <w:t xml:space="preserve">.  </w:t>
      </w:r>
      <w:r w:rsidR="008F6158" w:rsidRPr="008F0A73">
        <w:rPr>
          <w:lang w:val="fr-FR"/>
        </w:rPr>
        <w:t>El</w:t>
      </w:r>
      <w:r w:rsidRPr="008F0A73">
        <w:rPr>
          <w:lang w:val="fr-FR"/>
        </w:rPr>
        <w:t>le craignait aussi que cette assistance technique ne représente une occasion manquée d</w:t>
      </w:r>
      <w:r w:rsidR="006B6155">
        <w:rPr>
          <w:lang w:val="fr-FR"/>
        </w:rPr>
        <w:t>’</w:t>
      </w:r>
      <w:r w:rsidRPr="008F0A73">
        <w:rPr>
          <w:lang w:val="fr-FR"/>
        </w:rPr>
        <w:t>encourager une plus grande utilisation du système des marques, lequel était beaucoup plus largement accepté pour la protection des droits de propriété intellectuelle associés à des produits distincti</w:t>
      </w:r>
      <w:r w:rsidR="008F6158" w:rsidRPr="008F0A73">
        <w:rPr>
          <w:lang w:val="fr-FR"/>
        </w:rPr>
        <w:t>fs</w:t>
      </w:r>
      <w:r w:rsidR="008F6158">
        <w:rPr>
          <w:lang w:val="fr-FR"/>
        </w:rPr>
        <w:t xml:space="preserve">.  </w:t>
      </w:r>
      <w:r w:rsidR="008F6158" w:rsidRPr="008F0A73">
        <w:rPr>
          <w:lang w:val="fr-FR"/>
        </w:rPr>
        <w:t>La</w:t>
      </w:r>
      <w:r w:rsidRPr="008F0A73">
        <w:rPr>
          <w:lang w:val="fr-FR"/>
        </w:rPr>
        <w:t xml:space="preserve"> délégation était d</w:t>
      </w:r>
      <w:r w:rsidR="006B6155">
        <w:rPr>
          <w:lang w:val="fr-FR"/>
        </w:rPr>
        <w:t>’</w:t>
      </w:r>
      <w:r w:rsidRPr="008F0A73">
        <w:rPr>
          <w:lang w:val="fr-FR"/>
        </w:rPr>
        <w:t>avis que tous les États membres de l</w:t>
      </w:r>
      <w:r w:rsidR="006B6155">
        <w:rPr>
          <w:lang w:val="fr-FR"/>
        </w:rPr>
        <w:t>’</w:t>
      </w:r>
      <w:r w:rsidRPr="008F0A73">
        <w:rPr>
          <w:lang w:val="fr-FR"/>
        </w:rPr>
        <w:t>OMPI devraient s</w:t>
      </w:r>
      <w:r w:rsidR="006B6155">
        <w:rPr>
          <w:lang w:val="fr-FR"/>
        </w:rPr>
        <w:t>’</w:t>
      </w:r>
      <w:r w:rsidRPr="008F0A73">
        <w:rPr>
          <w:lang w:val="fr-FR"/>
        </w:rPr>
        <w:t>unir pour aplanir les divergences entre l</w:t>
      </w:r>
      <w:r w:rsidR="006B6155">
        <w:rPr>
          <w:lang w:val="fr-FR"/>
        </w:rPr>
        <w:t>’</w:t>
      </w:r>
      <w:r w:rsidRPr="008F0A73">
        <w:rPr>
          <w:lang w:val="fr-FR"/>
        </w:rPr>
        <w:t>Union de Lisbonne et le système des marques afin de répondre aux besoins de tous les producteurs de produits distincti</w:t>
      </w:r>
      <w:r w:rsidR="008F6158" w:rsidRPr="008F0A73">
        <w:rPr>
          <w:lang w:val="fr-FR"/>
        </w:rPr>
        <w:t>fs</w:t>
      </w:r>
      <w:r w:rsidR="008F6158">
        <w:rPr>
          <w:lang w:val="fr-FR"/>
        </w:rPr>
        <w:t xml:space="preserve">.  </w:t>
      </w:r>
      <w:r w:rsidR="008F6158" w:rsidRPr="008F0A73">
        <w:rPr>
          <w:lang w:val="fr-FR"/>
        </w:rPr>
        <w:t>Qu</w:t>
      </w:r>
      <w:r w:rsidRPr="008F0A73">
        <w:rPr>
          <w:lang w:val="fr-FR"/>
        </w:rPr>
        <w:t>ant à la proposition de modification de la proposition à l</w:t>
      </w:r>
      <w:r w:rsidR="006B6155">
        <w:rPr>
          <w:lang w:val="fr-FR"/>
        </w:rPr>
        <w:t>’</w:t>
      </w:r>
      <w:r w:rsidRPr="008F0A73">
        <w:rPr>
          <w:lang w:val="fr-FR"/>
        </w:rPr>
        <w:t>examen, la délégation estimait qu</w:t>
      </w:r>
      <w:r w:rsidR="006B6155">
        <w:rPr>
          <w:lang w:val="fr-FR"/>
        </w:rPr>
        <w:t>’</w:t>
      </w:r>
      <w:r w:rsidRPr="008F0A73">
        <w:rPr>
          <w:lang w:val="fr-FR"/>
        </w:rPr>
        <w:t>elle représentait un nouveau recul en supprimant la réévaluation de la réduction de taxe après un laps de temps défini et en continuant d</w:t>
      </w:r>
      <w:r w:rsidR="006B6155">
        <w:rPr>
          <w:lang w:val="fr-FR"/>
        </w:rPr>
        <w:t>’</w:t>
      </w:r>
      <w:r w:rsidRPr="008F0A73">
        <w:rPr>
          <w:lang w:val="fr-FR"/>
        </w:rPr>
        <w:t>ignorer les considérations de viabilité financière.</w:t>
      </w:r>
    </w:p>
    <w:p w:rsidR="008F0A73" w:rsidRPr="008F0A73" w:rsidRDefault="00152AAD" w:rsidP="008F0A73">
      <w:pPr>
        <w:pStyle w:val="ONUMFS"/>
        <w:numPr>
          <w:ilvl w:val="0"/>
          <w:numId w:val="6"/>
        </w:numPr>
        <w:rPr>
          <w:lang w:val="fr-FR"/>
        </w:rPr>
      </w:pPr>
      <w:r>
        <w:rPr>
          <w:lang w:val="fr-FR"/>
        </w:rPr>
        <w:t>L</w:t>
      </w:r>
      <w:r w:rsidR="008F0A73" w:rsidRPr="008F0A73">
        <w:rPr>
          <w:lang w:val="fr-FR"/>
        </w:rPr>
        <w:t>a délégation de la France a indiqué qu</w:t>
      </w:r>
      <w:r w:rsidR="006B6155">
        <w:rPr>
          <w:lang w:val="fr-FR"/>
        </w:rPr>
        <w:t>’</w:t>
      </w:r>
      <w:r w:rsidR="008F0A73" w:rsidRPr="008F0A73">
        <w:rPr>
          <w:lang w:val="fr-FR"/>
        </w:rPr>
        <w:t>elle avait déjà démontré lors des précédentes assemblées, et plus particulièrement dans le cadre de l</w:t>
      </w:r>
      <w:r w:rsidR="006B6155">
        <w:rPr>
          <w:lang w:val="fr-FR"/>
        </w:rPr>
        <w:t>’</w:t>
      </w:r>
      <w:r w:rsidR="008F0A73" w:rsidRPr="008F0A73">
        <w:rPr>
          <w:lang w:val="fr-FR"/>
        </w:rPr>
        <w:t>examen du point 12 de l</w:t>
      </w:r>
      <w:r w:rsidR="006B6155">
        <w:rPr>
          <w:lang w:val="fr-FR"/>
        </w:rPr>
        <w:t>’</w:t>
      </w:r>
      <w:r w:rsidR="008F0A73" w:rsidRPr="008F0A73">
        <w:rPr>
          <w:lang w:val="fr-FR"/>
        </w:rPr>
        <w:t>ordre du jour, la légitimité de l</w:t>
      </w:r>
      <w:r w:rsidR="006B6155">
        <w:rPr>
          <w:lang w:val="fr-FR"/>
        </w:rPr>
        <w:t>’</w:t>
      </w:r>
      <w:r w:rsidR="008F0A73" w:rsidRPr="008F0A73">
        <w:rPr>
          <w:lang w:val="fr-FR"/>
        </w:rPr>
        <w:t>Acte de Genève et de son administration par l</w:t>
      </w:r>
      <w:r w:rsidR="006B6155">
        <w:rPr>
          <w:lang w:val="fr-FR"/>
        </w:rPr>
        <w:t>’</w:t>
      </w:r>
      <w:r w:rsidR="008F0A73" w:rsidRPr="008F0A73">
        <w:rPr>
          <w:lang w:val="fr-FR"/>
        </w:rPr>
        <w:t>O</w:t>
      </w:r>
      <w:r w:rsidR="008F6158" w:rsidRPr="008F0A73">
        <w:rPr>
          <w:lang w:val="fr-FR"/>
        </w:rPr>
        <w:t>MPI</w:t>
      </w:r>
      <w:r w:rsidR="008F6158">
        <w:rPr>
          <w:lang w:val="fr-FR"/>
        </w:rPr>
        <w:t xml:space="preserve">.  </w:t>
      </w:r>
      <w:r w:rsidR="008F6158" w:rsidRPr="008F0A73">
        <w:rPr>
          <w:lang w:val="fr-FR"/>
        </w:rPr>
        <w:t>Se</w:t>
      </w:r>
      <w:r w:rsidR="008F0A73" w:rsidRPr="008F0A73">
        <w:rPr>
          <w:lang w:val="fr-FR"/>
        </w:rPr>
        <w:t xml:space="preserve"> référant à ses précédentes déclarations, elle a déclaré que le message essentiel qu</w:t>
      </w:r>
      <w:r w:rsidR="006B6155">
        <w:rPr>
          <w:lang w:val="fr-FR"/>
        </w:rPr>
        <w:t>’</w:t>
      </w:r>
      <w:r w:rsidR="008F0A73" w:rsidRPr="008F0A73">
        <w:rPr>
          <w:lang w:val="fr-FR"/>
        </w:rPr>
        <w:t>elle souhaitait faire passer était que l</w:t>
      </w:r>
      <w:r w:rsidR="006B6155">
        <w:rPr>
          <w:lang w:val="fr-FR"/>
        </w:rPr>
        <w:t>’</w:t>
      </w:r>
      <w:r w:rsidR="008F0A73" w:rsidRPr="008F0A73">
        <w:rPr>
          <w:lang w:val="fr-FR"/>
        </w:rPr>
        <w:t>Union de Lisbonne faisait partie des unions administrées par l</w:t>
      </w:r>
      <w:r w:rsidR="006B6155">
        <w:rPr>
          <w:lang w:val="fr-FR"/>
        </w:rPr>
        <w:t>’</w:t>
      </w:r>
      <w:r w:rsidR="008F0A73" w:rsidRPr="008F0A73">
        <w:rPr>
          <w:lang w:val="fr-FR"/>
        </w:rPr>
        <w:t>OMPI.</w:t>
      </w:r>
    </w:p>
    <w:p w:rsidR="008F0A73" w:rsidRPr="008F0A73" w:rsidRDefault="008F0A73" w:rsidP="008F0A73">
      <w:pPr>
        <w:pStyle w:val="ONUMFS"/>
        <w:numPr>
          <w:ilvl w:val="0"/>
          <w:numId w:val="6"/>
        </w:numPr>
        <w:ind w:left="567"/>
        <w:rPr>
          <w:lang w:val="fr-FR"/>
        </w:rPr>
      </w:pPr>
      <w:r w:rsidRPr="008F0A73">
        <w:rPr>
          <w:lang w:val="fr-FR"/>
        </w:rPr>
        <w:t>L</w:t>
      </w:r>
      <w:r w:rsidR="006B6155">
        <w:rPr>
          <w:lang w:val="fr-FR"/>
        </w:rPr>
        <w:t>’</w:t>
      </w:r>
      <w:r w:rsidRPr="008F0A73">
        <w:rPr>
          <w:lang w:val="fr-FR"/>
        </w:rPr>
        <w:t>Assemblée de l</w:t>
      </w:r>
      <w:r w:rsidR="006B6155">
        <w:rPr>
          <w:lang w:val="fr-FR"/>
        </w:rPr>
        <w:t>’</w:t>
      </w:r>
      <w:r w:rsidRPr="008F0A73">
        <w:rPr>
          <w:lang w:val="fr-FR"/>
        </w:rPr>
        <w:t>Union de Lisbonne</w:t>
      </w:r>
    </w:p>
    <w:p w:rsidR="008F0A73" w:rsidRPr="008F0A73" w:rsidRDefault="008F0A73" w:rsidP="007C11F3">
      <w:pPr>
        <w:pStyle w:val="ONUMFS"/>
        <w:numPr>
          <w:ilvl w:val="1"/>
          <w:numId w:val="6"/>
        </w:numPr>
        <w:tabs>
          <w:tab w:val="clear" w:pos="1134"/>
          <w:tab w:val="num" w:pos="1170"/>
        </w:tabs>
        <w:ind w:left="1170"/>
        <w:rPr>
          <w:lang w:val="fr-FR"/>
        </w:rPr>
      </w:pPr>
      <w:r w:rsidRPr="008F0A73">
        <w:rPr>
          <w:lang w:val="fr-FR"/>
        </w:rPr>
        <w:t>a adopté les modifications du règlement d</w:t>
      </w:r>
      <w:r w:rsidR="006B6155">
        <w:rPr>
          <w:lang w:val="fr-FR"/>
        </w:rPr>
        <w:t>’</w:t>
      </w:r>
      <w:r w:rsidRPr="008F0A73">
        <w:rPr>
          <w:lang w:val="fr-FR"/>
        </w:rPr>
        <w:t>exécution commun à l</w:t>
      </w:r>
      <w:r w:rsidR="006B6155">
        <w:rPr>
          <w:lang w:val="fr-FR"/>
        </w:rPr>
        <w:t>’</w:t>
      </w:r>
      <w:r w:rsidRPr="008F0A73">
        <w:rPr>
          <w:lang w:val="fr-FR"/>
        </w:rPr>
        <w:t>Arrangement de Lisbonne et à l</w:t>
      </w:r>
      <w:r w:rsidR="006B6155">
        <w:rPr>
          <w:lang w:val="fr-FR"/>
        </w:rPr>
        <w:t>’</w:t>
      </w:r>
      <w:r w:rsidRPr="008F0A73">
        <w:rPr>
          <w:lang w:val="fr-FR"/>
        </w:rPr>
        <w:t>Acte de Genève de l</w:t>
      </w:r>
      <w:r w:rsidR="006B6155">
        <w:rPr>
          <w:lang w:val="fr-FR"/>
        </w:rPr>
        <w:t>’</w:t>
      </w:r>
      <w:r w:rsidRPr="008F0A73">
        <w:rPr>
          <w:lang w:val="fr-FR"/>
        </w:rPr>
        <w:t xml:space="preserve">Arrangement de Lisbonne visant à ramener à 50% du montant prescrit les taxes pour les pays les moins avancés (PMA) </w:t>
      </w:r>
      <w:r w:rsidR="006B6155">
        <w:rPr>
          <w:lang w:val="fr-FR"/>
        </w:rPr>
        <w:t>à l’égard</w:t>
      </w:r>
      <w:r w:rsidRPr="008F0A73">
        <w:rPr>
          <w:lang w:val="fr-FR"/>
        </w:rPr>
        <w:t xml:space="preserve"> des enregistrements internationaux et </w:t>
      </w:r>
      <w:r w:rsidR="006B6155">
        <w:rPr>
          <w:lang w:val="fr-FR"/>
        </w:rPr>
        <w:t>à l’égard</w:t>
      </w:r>
      <w:r w:rsidRPr="008F0A73">
        <w:rPr>
          <w:lang w:val="fr-FR"/>
        </w:rPr>
        <w:t xml:space="preserve"> de chaque modification d</w:t>
      </w:r>
      <w:r w:rsidR="006B6155">
        <w:rPr>
          <w:lang w:val="fr-FR"/>
        </w:rPr>
        <w:t>’</w:t>
      </w:r>
      <w:r w:rsidRPr="008F0A73">
        <w:rPr>
          <w:lang w:val="fr-FR"/>
        </w:rPr>
        <w:t>un enregistrement international;  et</w:t>
      </w:r>
    </w:p>
    <w:p w:rsidR="008F0A73" w:rsidRPr="00DD07D5" w:rsidRDefault="008F0A73" w:rsidP="00926D12">
      <w:pPr>
        <w:pStyle w:val="ONUMFS"/>
        <w:numPr>
          <w:ilvl w:val="1"/>
          <w:numId w:val="6"/>
        </w:numPr>
        <w:ind w:left="1134"/>
        <w:rPr>
          <w:lang w:val="fr-FR"/>
        </w:rPr>
      </w:pPr>
      <w:r w:rsidRPr="008F0A73">
        <w:rPr>
          <w:lang w:val="fr-FR"/>
        </w:rPr>
        <w:t>a décidé que les réductions de taxes visées à l</w:t>
      </w:r>
      <w:r w:rsidR="006B6155">
        <w:rPr>
          <w:lang w:val="fr-FR"/>
        </w:rPr>
        <w:t>’</w:t>
      </w:r>
      <w:r w:rsidRPr="008F0A73">
        <w:rPr>
          <w:lang w:val="fr-FR"/>
        </w:rPr>
        <w:t>alinéa i) commenceraient à s</w:t>
      </w:r>
      <w:r w:rsidR="006B6155">
        <w:rPr>
          <w:lang w:val="fr-FR"/>
        </w:rPr>
        <w:t>’</w:t>
      </w:r>
      <w:r w:rsidRPr="008F0A73">
        <w:rPr>
          <w:lang w:val="fr-FR"/>
        </w:rPr>
        <w:t>appliquer trois ans après l</w:t>
      </w:r>
      <w:r w:rsidR="006B6155">
        <w:rPr>
          <w:lang w:val="fr-FR"/>
        </w:rPr>
        <w:t>’</w:t>
      </w:r>
      <w:r w:rsidRPr="008F0A73">
        <w:rPr>
          <w:lang w:val="fr-FR"/>
        </w:rPr>
        <w:t>entrée en vigueur de l</w:t>
      </w:r>
      <w:r w:rsidR="006B6155">
        <w:rPr>
          <w:lang w:val="fr-FR"/>
        </w:rPr>
        <w:t>’</w:t>
      </w:r>
      <w:r w:rsidRPr="008F0A73">
        <w:rPr>
          <w:lang w:val="fr-FR"/>
        </w:rPr>
        <w:t>Acte de Genève de l</w:t>
      </w:r>
      <w:r w:rsidR="006B6155">
        <w:rPr>
          <w:lang w:val="fr-FR"/>
        </w:rPr>
        <w:t>’</w:t>
      </w:r>
      <w:r w:rsidRPr="008F0A73">
        <w:rPr>
          <w:lang w:val="fr-FR"/>
        </w:rPr>
        <w:t>Arrangement de Lisbonne.</w:t>
      </w:r>
    </w:p>
    <w:p w:rsidR="008F0A73" w:rsidRPr="00152AAD" w:rsidRDefault="008F0A73" w:rsidP="00DD07D5">
      <w:pPr>
        <w:pStyle w:val="ONUMFS"/>
        <w:keepNext/>
        <w:keepLines/>
        <w:numPr>
          <w:ilvl w:val="0"/>
          <w:numId w:val="6"/>
        </w:numPr>
        <w:rPr>
          <w:lang w:val="fr-FR" w:eastAsia="en-US"/>
        </w:rPr>
      </w:pPr>
      <w:r w:rsidRPr="00152AAD">
        <w:rPr>
          <w:lang w:val="fr-FR" w:eastAsia="en-US"/>
        </w:rPr>
        <w:t>À toutes fins utiles, l</w:t>
      </w:r>
      <w:r w:rsidR="006B6155">
        <w:rPr>
          <w:lang w:val="fr-FR" w:eastAsia="en-US"/>
        </w:rPr>
        <w:t>’</w:t>
      </w:r>
      <w:r w:rsidRPr="00152AAD">
        <w:rPr>
          <w:lang w:val="fr-FR" w:eastAsia="en-US"/>
        </w:rPr>
        <w:t>annexe du présent rapport contient la version du barème des taxes figurant dans le règlement d</w:t>
      </w:r>
      <w:r w:rsidR="006B6155">
        <w:rPr>
          <w:lang w:val="fr-FR" w:eastAsia="en-US"/>
        </w:rPr>
        <w:t>’</w:t>
      </w:r>
      <w:r w:rsidRPr="00152AAD">
        <w:rPr>
          <w:lang w:val="fr-FR" w:eastAsia="en-US"/>
        </w:rPr>
        <w:t>exécution commun à l</w:t>
      </w:r>
      <w:r w:rsidR="006B6155">
        <w:rPr>
          <w:lang w:val="fr-FR" w:eastAsia="en-US"/>
        </w:rPr>
        <w:t>’</w:t>
      </w:r>
      <w:r w:rsidRPr="00152AAD">
        <w:rPr>
          <w:lang w:val="fr-FR" w:eastAsia="en-US"/>
        </w:rPr>
        <w:t>Arrangement de Lisbonne et à l</w:t>
      </w:r>
      <w:r w:rsidR="006B6155">
        <w:rPr>
          <w:lang w:val="fr-FR" w:eastAsia="en-US"/>
        </w:rPr>
        <w:t>’</w:t>
      </w:r>
      <w:r w:rsidRPr="00152AAD">
        <w:rPr>
          <w:lang w:val="fr-FR" w:eastAsia="en-US"/>
        </w:rPr>
        <w:t>Acte de Genève de l</w:t>
      </w:r>
      <w:r w:rsidR="006B6155">
        <w:rPr>
          <w:lang w:val="fr-FR" w:eastAsia="en-US"/>
        </w:rPr>
        <w:t>’</w:t>
      </w:r>
      <w:r w:rsidRPr="00152AAD">
        <w:rPr>
          <w:lang w:val="fr-FR" w:eastAsia="en-US"/>
        </w:rPr>
        <w:t>Arrangement de Lisbonne, modifiée par la décision figurant au paragraphe </w:t>
      </w:r>
      <w:r w:rsidR="00152AAD">
        <w:rPr>
          <w:lang w:val="fr-FR" w:eastAsia="en-US"/>
        </w:rPr>
        <w:t>23</w:t>
      </w:r>
      <w:r w:rsidRPr="00152AAD">
        <w:rPr>
          <w:lang w:val="fr-FR" w:eastAsia="en-US"/>
        </w:rPr>
        <w:t xml:space="preserve"> ci</w:t>
      </w:r>
      <w:r w:rsidR="006B6155">
        <w:rPr>
          <w:lang w:val="fr-FR" w:eastAsia="en-US"/>
        </w:rPr>
        <w:t>-</w:t>
      </w:r>
      <w:r w:rsidRPr="00152AAD">
        <w:rPr>
          <w:lang w:val="fr-FR" w:eastAsia="en-US"/>
        </w:rPr>
        <w:t>dessus.</w:t>
      </w:r>
    </w:p>
    <w:p w:rsidR="008F0A73" w:rsidRPr="008F0A73" w:rsidRDefault="008F0A73" w:rsidP="008F0A73">
      <w:pPr>
        <w:pStyle w:val="Endofdocument-Annex"/>
        <w:rPr>
          <w:lang w:val="fr-FR"/>
        </w:rPr>
      </w:pPr>
      <w:r w:rsidRPr="008F0A73">
        <w:rPr>
          <w:lang w:val="fr-FR"/>
        </w:rPr>
        <w:t>[L</w:t>
      </w:r>
      <w:r w:rsidR="006B6155">
        <w:rPr>
          <w:lang w:val="fr-FR"/>
        </w:rPr>
        <w:t>’</w:t>
      </w:r>
      <w:r w:rsidRPr="008F0A73">
        <w:rPr>
          <w:lang w:val="fr-FR"/>
        </w:rPr>
        <w:t>annexe suit]</w:t>
      </w:r>
    </w:p>
    <w:p w:rsidR="008F0A73" w:rsidRPr="008F0A73" w:rsidRDefault="008F0A73" w:rsidP="008F0A73">
      <w:pPr>
        <w:rPr>
          <w:lang w:val="fr-FR" w:eastAsia="en-US"/>
        </w:rPr>
      </w:pPr>
    </w:p>
    <w:p w:rsidR="008F0A73" w:rsidRPr="008F0A73" w:rsidRDefault="008F0A73" w:rsidP="008F0A73">
      <w:pPr>
        <w:rPr>
          <w:lang w:val="fr-FR"/>
        </w:rPr>
      </w:pPr>
    </w:p>
    <w:p w:rsidR="008F0A73" w:rsidRPr="008F0A73" w:rsidRDefault="008F0A73" w:rsidP="008F0A73">
      <w:pPr>
        <w:rPr>
          <w:lang w:val="fr-FR"/>
        </w:rPr>
        <w:sectPr w:rsidR="008F0A73" w:rsidRPr="008F0A73" w:rsidSect="00FA0D58">
          <w:headerReference w:type="even" r:id="rId9"/>
          <w:headerReference w:type="default" r:id="rId10"/>
          <w:headerReference w:type="first" r:id="rId11"/>
          <w:pgSz w:w="11906" w:h="16838"/>
          <w:pgMar w:top="567" w:right="1134" w:bottom="1417" w:left="1417" w:header="510" w:footer="1020" w:gutter="0"/>
          <w:cols w:space="708"/>
          <w:titlePg/>
          <w:docGrid w:linePitch="360"/>
        </w:sectPr>
      </w:pPr>
    </w:p>
    <w:p w:rsidR="008F0A73" w:rsidRPr="008F0A73" w:rsidRDefault="008F0A73" w:rsidP="008F0A73">
      <w:pPr>
        <w:pStyle w:val="Heading2"/>
        <w:rPr>
          <w:lang w:val="fr-FR"/>
        </w:rPr>
      </w:pPr>
      <w:r w:rsidRPr="008F0A73">
        <w:rPr>
          <w:lang w:val="fr-FR"/>
        </w:rPr>
        <w:t>MODIFICATION DU BARÈME DES TAXES FIGURANT DANS LE RÈGLEMENT D</w:t>
      </w:r>
      <w:r w:rsidR="006B6155">
        <w:rPr>
          <w:lang w:val="fr-FR"/>
        </w:rPr>
        <w:t>’</w:t>
      </w:r>
      <w:r w:rsidRPr="008F0A73">
        <w:rPr>
          <w:lang w:val="fr-FR"/>
        </w:rPr>
        <w:t>EXÉCUTION COMMUN À L</w:t>
      </w:r>
      <w:r w:rsidR="006B6155">
        <w:rPr>
          <w:lang w:val="fr-FR"/>
        </w:rPr>
        <w:t>’</w:t>
      </w:r>
      <w:r w:rsidRPr="008F0A73">
        <w:rPr>
          <w:lang w:val="fr-FR"/>
        </w:rPr>
        <w:t>ARRANGEMENT DE LISBONNE ET À L</w:t>
      </w:r>
      <w:r w:rsidR="006B6155">
        <w:rPr>
          <w:lang w:val="fr-FR"/>
        </w:rPr>
        <w:t>’</w:t>
      </w:r>
      <w:r w:rsidRPr="008F0A73">
        <w:rPr>
          <w:lang w:val="fr-FR"/>
        </w:rPr>
        <w:t>ACTE DE GENÈVE DE L</w:t>
      </w:r>
      <w:r w:rsidR="006B6155">
        <w:rPr>
          <w:lang w:val="fr-FR"/>
        </w:rPr>
        <w:t>’</w:t>
      </w:r>
      <w:r w:rsidRPr="008F0A73">
        <w:rPr>
          <w:lang w:val="fr-FR"/>
        </w:rPr>
        <w:t>ARRANGEMENT DE LISBONNE</w:t>
      </w:r>
    </w:p>
    <w:p w:rsidR="008F0A73" w:rsidRPr="008F0A73" w:rsidRDefault="008F0A73" w:rsidP="008F0A73">
      <w:pPr>
        <w:keepNext/>
        <w:spacing w:before="480"/>
        <w:jc w:val="center"/>
        <w:rPr>
          <w:b/>
          <w:lang w:val="fr-FR"/>
        </w:rPr>
      </w:pPr>
      <w:r w:rsidRPr="008F0A73">
        <w:rPr>
          <w:b/>
          <w:lang w:val="fr-FR"/>
        </w:rPr>
        <w:t>Règle 8</w:t>
      </w:r>
    </w:p>
    <w:p w:rsidR="008F0A73" w:rsidRPr="008F0A73" w:rsidRDefault="008F0A73" w:rsidP="008F0A73">
      <w:pPr>
        <w:keepNext/>
        <w:spacing w:after="240"/>
        <w:jc w:val="center"/>
        <w:rPr>
          <w:lang w:val="fr-FR"/>
        </w:rPr>
      </w:pPr>
      <w:r w:rsidRPr="008F0A73">
        <w:rPr>
          <w:lang w:val="fr-FR"/>
        </w:rPr>
        <w:t>Taxes</w:t>
      </w:r>
    </w:p>
    <w:p w:rsidR="008F0A73" w:rsidRPr="008F0A73" w:rsidRDefault="008F0A73" w:rsidP="008F0A73">
      <w:pPr>
        <w:keepNext/>
        <w:tabs>
          <w:tab w:val="left" w:pos="567"/>
          <w:tab w:val="left" w:pos="1134"/>
        </w:tabs>
        <w:rPr>
          <w:lang w:val="fr-FR"/>
        </w:rPr>
      </w:pPr>
      <w:r w:rsidRPr="008F0A73">
        <w:rPr>
          <w:lang w:val="fr-FR"/>
        </w:rPr>
        <w:t>1)</w:t>
      </w:r>
      <w:r w:rsidRPr="008F0A73">
        <w:rPr>
          <w:lang w:val="fr-FR"/>
        </w:rPr>
        <w:tab/>
      </w:r>
      <w:r w:rsidRPr="008F0A73">
        <w:rPr>
          <w:i/>
          <w:lang w:val="fr-FR"/>
        </w:rPr>
        <w:t>[Montant des taxes]</w:t>
      </w:r>
      <w:r w:rsidRPr="008F0A73">
        <w:rPr>
          <w:lang w:val="fr-FR"/>
        </w:rPr>
        <w:t xml:space="preserve"> Le Bureau international perçoit les taxes suivantes, payables en francs suisses</w:t>
      </w:r>
      <w:r w:rsidR="006B6155">
        <w:rPr>
          <w:lang w:val="fr-FR"/>
        </w:rPr>
        <w:t> :</w:t>
      </w:r>
    </w:p>
    <w:p w:rsidR="008F0A73" w:rsidRPr="008F0A73" w:rsidRDefault="008F0A73" w:rsidP="008F0A73">
      <w:pPr>
        <w:pStyle w:val="ListParagraph"/>
        <w:numPr>
          <w:ilvl w:val="0"/>
          <w:numId w:val="16"/>
        </w:numPr>
        <w:tabs>
          <w:tab w:val="left" w:pos="1701"/>
          <w:tab w:val="right" w:pos="8789"/>
        </w:tabs>
        <w:ind w:left="0" w:right="1275" w:firstLine="1134"/>
        <w:rPr>
          <w:lang w:val="fr-FR"/>
        </w:rPr>
      </w:pPr>
      <w:r w:rsidRPr="008F0A73">
        <w:rPr>
          <w:lang w:val="fr-FR"/>
        </w:rPr>
        <w:t>taxe d</w:t>
      </w:r>
      <w:r w:rsidR="006B6155">
        <w:rPr>
          <w:lang w:val="fr-FR"/>
        </w:rPr>
        <w:t>’</w:t>
      </w:r>
      <w:r w:rsidRPr="008F0A73">
        <w:rPr>
          <w:lang w:val="fr-FR"/>
        </w:rPr>
        <w:t>enregistrement international</w:t>
      </w:r>
      <w:bookmarkStart w:id="6" w:name="_Ref526347349"/>
      <w:r w:rsidRPr="008F0A73">
        <w:rPr>
          <w:vertAlign w:val="superscript"/>
          <w:lang w:val="fr-FR"/>
        </w:rPr>
        <w:footnoteReference w:customMarkFollows="1" w:id="2"/>
        <w:sym w:font="Symbol" w:char="F02A"/>
      </w:r>
      <w:bookmarkEnd w:id="6"/>
      <w:r w:rsidRPr="008F0A73">
        <w:rPr>
          <w:lang w:val="fr-FR"/>
        </w:rPr>
        <w:tab/>
        <w:t>1000</w:t>
      </w:r>
    </w:p>
    <w:p w:rsidR="008F0A73" w:rsidRPr="008F0A73" w:rsidRDefault="008F0A73" w:rsidP="008F0A73">
      <w:pPr>
        <w:pStyle w:val="ListParagraph"/>
        <w:numPr>
          <w:ilvl w:val="0"/>
          <w:numId w:val="16"/>
        </w:numPr>
        <w:tabs>
          <w:tab w:val="left" w:pos="1701"/>
          <w:tab w:val="right" w:pos="8789"/>
        </w:tabs>
        <w:ind w:left="0" w:right="1275" w:firstLine="1134"/>
        <w:rPr>
          <w:lang w:val="fr-FR"/>
        </w:rPr>
      </w:pPr>
      <w:r w:rsidRPr="008F0A73">
        <w:rPr>
          <w:lang w:val="fr-FR"/>
        </w:rPr>
        <w:t>taxe pour chaque modification d</w:t>
      </w:r>
      <w:r w:rsidR="006B6155">
        <w:rPr>
          <w:lang w:val="fr-FR"/>
        </w:rPr>
        <w:t>’</w:t>
      </w:r>
      <w:r w:rsidRPr="008F0A73">
        <w:rPr>
          <w:lang w:val="fr-FR"/>
        </w:rPr>
        <w:t>un enregistrement international</w:t>
      </w:r>
      <w:r w:rsidRPr="008F0A73">
        <w:rPr>
          <w:vertAlign w:val="superscript"/>
          <w:lang w:val="fr-FR"/>
        </w:rPr>
        <w:fldChar w:fldCharType="begin"/>
      </w:r>
      <w:r w:rsidRPr="008F0A73">
        <w:rPr>
          <w:vertAlign w:val="superscript"/>
          <w:lang w:val="fr-FR"/>
        </w:rPr>
        <w:instrText xml:space="preserve"> NOTEREF _Ref526347349  \* MERGEFORMAT </w:instrText>
      </w:r>
      <w:r w:rsidRPr="008F0A73">
        <w:rPr>
          <w:vertAlign w:val="superscript"/>
          <w:lang w:val="fr-FR"/>
        </w:rPr>
        <w:fldChar w:fldCharType="separate"/>
      </w:r>
      <w:r w:rsidRPr="008F0A73">
        <w:rPr>
          <w:vertAlign w:val="superscript"/>
          <w:lang w:val="fr-FR"/>
        </w:rPr>
        <w:sym w:font="Symbol" w:char="F02A"/>
      </w:r>
      <w:r w:rsidRPr="008F0A73">
        <w:rPr>
          <w:vertAlign w:val="superscript"/>
          <w:lang w:val="fr-FR"/>
        </w:rPr>
        <w:fldChar w:fldCharType="end"/>
      </w:r>
      <w:r w:rsidRPr="008F0A73">
        <w:rPr>
          <w:lang w:val="fr-FR"/>
        </w:rPr>
        <w:tab/>
        <w:t>500</w:t>
      </w:r>
    </w:p>
    <w:p w:rsidR="008F0A73" w:rsidRPr="008F0A73" w:rsidRDefault="008F0A73" w:rsidP="008F0A73">
      <w:pPr>
        <w:pStyle w:val="ListParagraph"/>
        <w:numPr>
          <w:ilvl w:val="0"/>
          <w:numId w:val="16"/>
        </w:numPr>
        <w:tabs>
          <w:tab w:val="left" w:pos="1701"/>
          <w:tab w:val="right" w:pos="8789"/>
        </w:tabs>
        <w:ind w:left="0" w:right="1275" w:firstLine="1134"/>
        <w:rPr>
          <w:lang w:val="fr-FR"/>
        </w:rPr>
      </w:pPr>
      <w:r w:rsidRPr="008F0A73">
        <w:rPr>
          <w:lang w:val="fr-FR"/>
        </w:rPr>
        <w:t>taxe pour la fourniture d</w:t>
      </w:r>
      <w:r w:rsidR="006B6155">
        <w:rPr>
          <w:lang w:val="fr-FR"/>
        </w:rPr>
        <w:t>’</w:t>
      </w:r>
      <w:r w:rsidRPr="008F0A73">
        <w:rPr>
          <w:lang w:val="fr-FR"/>
        </w:rPr>
        <w:t>un extrait du registre international</w:t>
      </w:r>
      <w:r w:rsidRPr="008F0A73">
        <w:rPr>
          <w:lang w:val="fr-FR"/>
        </w:rPr>
        <w:tab/>
        <w:t>150</w:t>
      </w:r>
    </w:p>
    <w:p w:rsidR="008F0A73" w:rsidRPr="008F0A73" w:rsidRDefault="008F0A73" w:rsidP="008F0A73">
      <w:pPr>
        <w:pStyle w:val="ListParagraph"/>
        <w:numPr>
          <w:ilvl w:val="0"/>
          <w:numId w:val="16"/>
        </w:numPr>
        <w:tabs>
          <w:tab w:val="left" w:pos="1701"/>
          <w:tab w:val="right" w:pos="8789"/>
        </w:tabs>
        <w:ind w:left="0" w:right="1275" w:firstLine="1134"/>
        <w:rPr>
          <w:lang w:val="fr-FR"/>
        </w:rPr>
      </w:pPr>
      <w:r w:rsidRPr="008F0A73">
        <w:rPr>
          <w:lang w:val="fr-FR"/>
        </w:rPr>
        <w:t>taxe pour la fourniture d</w:t>
      </w:r>
      <w:r w:rsidR="006B6155">
        <w:rPr>
          <w:lang w:val="fr-FR"/>
        </w:rPr>
        <w:t>’</w:t>
      </w:r>
      <w:r w:rsidRPr="008F0A73">
        <w:rPr>
          <w:lang w:val="fr-FR"/>
        </w:rPr>
        <w:t>une attestation ou de tout autre renseignement par écrit sur le contenu du registre international</w:t>
      </w:r>
      <w:r w:rsidRPr="008F0A73">
        <w:rPr>
          <w:lang w:val="fr-FR"/>
        </w:rPr>
        <w:tab/>
        <w:t>100</w:t>
      </w:r>
    </w:p>
    <w:p w:rsidR="008F0A73" w:rsidRPr="008F0A73" w:rsidRDefault="008F0A73" w:rsidP="008F0A73">
      <w:pPr>
        <w:pStyle w:val="ListParagraph"/>
        <w:numPr>
          <w:ilvl w:val="0"/>
          <w:numId w:val="16"/>
        </w:numPr>
        <w:tabs>
          <w:tab w:val="left" w:pos="1701"/>
          <w:tab w:val="left" w:pos="8460"/>
        </w:tabs>
        <w:ind w:left="0" w:right="1275" w:firstLine="1134"/>
        <w:rPr>
          <w:lang w:val="fr-FR"/>
        </w:rPr>
      </w:pPr>
      <w:r w:rsidRPr="008F0A73">
        <w:rPr>
          <w:lang w:val="fr-FR"/>
        </w:rPr>
        <w:t>taxes individuelles visées à l</w:t>
      </w:r>
      <w:r w:rsidR="006B6155">
        <w:rPr>
          <w:lang w:val="fr-FR"/>
        </w:rPr>
        <w:t>’</w:t>
      </w:r>
      <w:r w:rsidRPr="008F0A73">
        <w:rPr>
          <w:lang w:val="fr-FR"/>
        </w:rPr>
        <w:t>alinéa 2).</w:t>
      </w:r>
    </w:p>
    <w:p w:rsidR="008F0A73" w:rsidRPr="008F0A73" w:rsidRDefault="008F0A73" w:rsidP="008F0A73">
      <w:pPr>
        <w:tabs>
          <w:tab w:val="left" w:pos="1170"/>
        </w:tabs>
        <w:spacing w:before="240" w:after="720"/>
        <w:ind w:firstLine="567"/>
        <w:rPr>
          <w:szCs w:val="22"/>
          <w:lang w:val="fr-FR"/>
        </w:rPr>
      </w:pPr>
      <w:r w:rsidRPr="008F0A73">
        <w:rPr>
          <w:szCs w:val="22"/>
          <w:lang w:val="fr-FR"/>
        </w:rPr>
        <w:t>[…]</w:t>
      </w:r>
    </w:p>
    <w:p w:rsidR="008F0A73" w:rsidRPr="008F0A73" w:rsidRDefault="008F0A73" w:rsidP="008F0A73">
      <w:pPr>
        <w:pStyle w:val="Endofdocument-Annex"/>
        <w:rPr>
          <w:lang w:val="fr-FR"/>
        </w:rPr>
      </w:pPr>
      <w:r w:rsidRPr="008F0A73">
        <w:rPr>
          <w:lang w:val="fr-FR"/>
        </w:rPr>
        <w:t>[Fin de l</w:t>
      </w:r>
      <w:r w:rsidR="006B6155">
        <w:rPr>
          <w:lang w:val="fr-FR"/>
        </w:rPr>
        <w:t>’</w:t>
      </w:r>
      <w:r w:rsidRPr="008F0A73">
        <w:rPr>
          <w:lang w:val="fr-FR"/>
        </w:rPr>
        <w:t>annexe et du document]</w:t>
      </w:r>
    </w:p>
    <w:sectPr w:rsidR="008F0A73" w:rsidRPr="008F0A73" w:rsidSect="00334B0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265" w:rsidRDefault="00311265">
      <w:r>
        <w:separator/>
      </w:r>
    </w:p>
  </w:endnote>
  <w:endnote w:type="continuationSeparator" w:id="0">
    <w:p w:rsidR="00311265" w:rsidRDefault="00311265" w:rsidP="003B38C1">
      <w:r>
        <w:separator/>
      </w:r>
    </w:p>
    <w:p w:rsidR="00311265" w:rsidRPr="003B38C1" w:rsidRDefault="00311265" w:rsidP="003B38C1">
      <w:pPr>
        <w:spacing w:after="60"/>
        <w:rPr>
          <w:sz w:val="17"/>
        </w:rPr>
      </w:pPr>
      <w:r>
        <w:rPr>
          <w:sz w:val="17"/>
        </w:rPr>
        <w:t>[Endnote continued from previous page]</w:t>
      </w:r>
    </w:p>
  </w:endnote>
  <w:endnote w:type="continuationNotice" w:id="1">
    <w:p w:rsidR="00311265" w:rsidRPr="003B38C1" w:rsidRDefault="003112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58" w:rsidRDefault="00FA0D58" w:rsidP="00FA0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58" w:rsidRDefault="00FA0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58" w:rsidRDefault="00FA0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265" w:rsidRDefault="00311265">
      <w:r>
        <w:separator/>
      </w:r>
    </w:p>
  </w:footnote>
  <w:footnote w:type="continuationSeparator" w:id="0">
    <w:p w:rsidR="00311265" w:rsidRDefault="00311265" w:rsidP="008B60B2">
      <w:r>
        <w:separator/>
      </w:r>
    </w:p>
    <w:p w:rsidR="00311265" w:rsidRPr="00ED77FB" w:rsidRDefault="00311265" w:rsidP="008B60B2">
      <w:pPr>
        <w:spacing w:after="60"/>
        <w:rPr>
          <w:sz w:val="17"/>
          <w:szCs w:val="17"/>
        </w:rPr>
      </w:pPr>
      <w:r w:rsidRPr="00ED77FB">
        <w:rPr>
          <w:sz w:val="17"/>
          <w:szCs w:val="17"/>
        </w:rPr>
        <w:t>[Footnote continued from previous page]</w:t>
      </w:r>
    </w:p>
  </w:footnote>
  <w:footnote w:type="continuationNotice" w:id="1">
    <w:p w:rsidR="00311265" w:rsidRPr="00ED77FB" w:rsidRDefault="00311265" w:rsidP="008B60B2">
      <w:pPr>
        <w:spacing w:before="60"/>
        <w:jc w:val="right"/>
        <w:rPr>
          <w:sz w:val="17"/>
          <w:szCs w:val="17"/>
        </w:rPr>
      </w:pPr>
      <w:r w:rsidRPr="00ED77FB">
        <w:rPr>
          <w:sz w:val="17"/>
          <w:szCs w:val="17"/>
        </w:rPr>
        <w:t>[Footnote continued on next page]</w:t>
      </w:r>
    </w:p>
  </w:footnote>
  <w:footnote w:id="2">
    <w:p w:rsidR="008F0A73" w:rsidRPr="00013252" w:rsidRDefault="008F0A73" w:rsidP="008F0A73">
      <w:pPr>
        <w:pStyle w:val="FootnoteText"/>
        <w:rPr>
          <w:lang w:val="fr-FR"/>
        </w:rPr>
      </w:pPr>
      <w:r w:rsidRPr="00013252">
        <w:rPr>
          <w:rStyle w:val="FootnoteReference"/>
          <w:lang w:val="fr-FR"/>
        </w:rPr>
        <w:sym w:font="Symbol" w:char="F02A"/>
      </w:r>
      <w:r w:rsidRPr="00013252">
        <w:rPr>
          <w:lang w:val="fr-FR"/>
        </w:rPr>
        <w:tab/>
      </w:r>
      <w:r w:rsidR="00383093" w:rsidRPr="00013252">
        <w:rPr>
          <w:sz w:val="16"/>
          <w:szCs w:val="16"/>
          <w:lang w:val="fr-FR"/>
        </w:rPr>
        <w:t>Pour un enregistrement international désignant une aire géographique située dans un pays de la catégorie des pays les moins avancés (PMA), conformément aux listes établies par l</w:t>
      </w:r>
      <w:r w:rsidR="00383093">
        <w:rPr>
          <w:sz w:val="16"/>
          <w:szCs w:val="16"/>
          <w:lang w:val="fr-FR"/>
        </w:rPr>
        <w:t>’</w:t>
      </w:r>
      <w:r w:rsidR="00383093" w:rsidRPr="00013252">
        <w:rPr>
          <w:sz w:val="16"/>
          <w:szCs w:val="16"/>
          <w:lang w:val="fr-FR"/>
        </w:rPr>
        <w:t xml:space="preserve">Organisation des </w:t>
      </w:r>
      <w:r w:rsidR="00383093">
        <w:rPr>
          <w:sz w:val="16"/>
          <w:szCs w:val="16"/>
          <w:lang w:val="fr-FR"/>
        </w:rPr>
        <w:t>Nations Unies</w:t>
      </w:r>
      <w:r w:rsidR="00383093" w:rsidRPr="00013252">
        <w:rPr>
          <w:sz w:val="16"/>
          <w:szCs w:val="16"/>
          <w:lang w:val="fr-FR"/>
        </w:rPr>
        <w:t>, la taxe est ramenée à 50% du montant prescrit (arrondi au nombre entier le plus proche).  Dans ce cas, la taxe sera de 500 francs suisses pour un enregistrement international désignant une aire géographique d</w:t>
      </w:r>
      <w:r w:rsidR="00383093">
        <w:rPr>
          <w:sz w:val="16"/>
          <w:szCs w:val="16"/>
          <w:lang w:val="fr-FR"/>
        </w:rPr>
        <w:t>’</w:t>
      </w:r>
      <w:r w:rsidR="00383093" w:rsidRPr="00013252">
        <w:rPr>
          <w:sz w:val="16"/>
          <w:szCs w:val="16"/>
          <w:lang w:val="fr-FR"/>
        </w:rPr>
        <w:t>origine située dans un pays de la catégorie des PMA, et de 250 francs suisses pour chaque modification d</w:t>
      </w:r>
      <w:r w:rsidR="00383093">
        <w:rPr>
          <w:sz w:val="16"/>
          <w:szCs w:val="16"/>
          <w:lang w:val="fr-FR"/>
        </w:rPr>
        <w:t>’</w:t>
      </w:r>
      <w:r w:rsidR="00383093" w:rsidRPr="00013252">
        <w:rPr>
          <w:sz w:val="16"/>
          <w:szCs w:val="16"/>
          <w:lang w:val="fr-FR"/>
        </w:rPr>
        <w:t>un enregistrement international désignant une aire géographique d</w:t>
      </w:r>
      <w:r w:rsidR="00383093">
        <w:rPr>
          <w:sz w:val="16"/>
          <w:szCs w:val="16"/>
          <w:lang w:val="fr-FR"/>
        </w:rPr>
        <w:t>’</w:t>
      </w:r>
      <w:r w:rsidR="00383093" w:rsidRPr="00013252">
        <w:rPr>
          <w:sz w:val="16"/>
          <w:szCs w:val="16"/>
          <w:lang w:val="fr-FR"/>
        </w:rPr>
        <w:t xml:space="preserve">origine située dans un pays de la catégorie des PMA.  Ces réductions de taxes </w:t>
      </w:r>
      <w:r w:rsidR="00383093">
        <w:rPr>
          <w:sz w:val="16"/>
          <w:szCs w:val="16"/>
          <w:lang w:val="fr-FR"/>
        </w:rPr>
        <w:t xml:space="preserve">seront </w:t>
      </w:r>
      <w:r w:rsidR="00383093" w:rsidRPr="00013252">
        <w:rPr>
          <w:sz w:val="16"/>
          <w:szCs w:val="16"/>
          <w:lang w:val="fr-FR"/>
        </w:rPr>
        <w:t xml:space="preserve">applicables trois ans </w:t>
      </w:r>
      <w:r w:rsidR="00383093">
        <w:rPr>
          <w:sz w:val="16"/>
          <w:szCs w:val="16"/>
          <w:lang w:val="fr-FR"/>
        </w:rPr>
        <w:t>après</w:t>
      </w:r>
      <w:r w:rsidR="00383093" w:rsidRPr="00013252">
        <w:rPr>
          <w:sz w:val="16"/>
          <w:szCs w:val="16"/>
          <w:lang w:val="fr-FR"/>
        </w:rPr>
        <w:t xml:space="preserve"> </w:t>
      </w:r>
      <w:r w:rsidR="00383093">
        <w:rPr>
          <w:sz w:val="16"/>
          <w:szCs w:val="16"/>
          <w:lang w:val="fr-FR"/>
        </w:rPr>
        <w:t>l’</w:t>
      </w:r>
      <w:r w:rsidR="00383093" w:rsidRPr="00013252">
        <w:rPr>
          <w:sz w:val="16"/>
          <w:szCs w:val="16"/>
          <w:lang w:val="fr-FR"/>
        </w:rPr>
        <w:t>entrée en vigueur de l</w:t>
      </w:r>
      <w:r w:rsidR="00383093">
        <w:rPr>
          <w:sz w:val="16"/>
          <w:szCs w:val="16"/>
          <w:lang w:val="fr-FR"/>
        </w:rPr>
        <w:t>’</w:t>
      </w:r>
      <w:r w:rsidR="00383093" w:rsidRPr="00013252">
        <w:rPr>
          <w:sz w:val="16"/>
          <w:szCs w:val="16"/>
          <w:lang w:val="fr-FR"/>
        </w:rPr>
        <w:t>Acte de Genève.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58" w:rsidRDefault="00FA0D58" w:rsidP="00FA0D58">
    <w:pPr>
      <w:pStyle w:val="Header"/>
      <w:jc w:val="right"/>
    </w:pPr>
    <w:r>
      <w:t>LI/A/35/3</w:t>
    </w:r>
  </w:p>
  <w:p w:rsidR="00FA0D58" w:rsidRDefault="00FA0D58" w:rsidP="00FA0D58">
    <w:pPr>
      <w:pStyle w:val="Header"/>
      <w:jc w:val="right"/>
    </w:pPr>
    <w:r>
      <w:t xml:space="preserve">page </w:t>
    </w:r>
    <w:r>
      <w:fldChar w:fldCharType="begin"/>
    </w:r>
    <w:r>
      <w:instrText>PAGE   \* MERGEFORMAT</w:instrText>
    </w:r>
    <w:r>
      <w:fldChar w:fldCharType="separate"/>
    </w:r>
    <w:r w:rsidR="004E3B5A">
      <w:rPr>
        <w:noProof/>
      </w:rPr>
      <w:t>6</w:t>
    </w:r>
    <w:r>
      <w:fldChar w:fldCharType="end"/>
    </w:r>
  </w:p>
  <w:p w:rsidR="00FA0D58" w:rsidRDefault="00FA0D58" w:rsidP="00FA0D58">
    <w:pPr>
      <w:pStyle w:val="Header"/>
      <w:jc w:val="right"/>
    </w:pPr>
  </w:p>
  <w:p w:rsidR="00FA0D58" w:rsidRDefault="00FA0D58" w:rsidP="00FA0D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A73" w:rsidRDefault="008F0A73" w:rsidP="00B57F8D">
    <w:pPr>
      <w:pStyle w:val="Header"/>
      <w:jc w:val="right"/>
    </w:pPr>
    <w:r>
      <w:t>LI/A/35/3</w:t>
    </w:r>
  </w:p>
  <w:p w:rsidR="008F0A73" w:rsidRDefault="008F0A73" w:rsidP="00B57F8D">
    <w:pPr>
      <w:pStyle w:val="Header"/>
      <w:jc w:val="right"/>
    </w:pPr>
    <w:r>
      <w:t xml:space="preserve">page </w:t>
    </w:r>
    <w:r>
      <w:fldChar w:fldCharType="begin"/>
    </w:r>
    <w:r>
      <w:instrText>PAGE   \* MERGEFORMAT</w:instrText>
    </w:r>
    <w:r>
      <w:fldChar w:fldCharType="separate"/>
    </w:r>
    <w:r w:rsidR="004E3B5A">
      <w:rPr>
        <w:noProof/>
      </w:rPr>
      <w:t>5</w:t>
    </w:r>
    <w:r>
      <w:fldChar w:fldCharType="end"/>
    </w:r>
  </w:p>
  <w:p w:rsidR="008F0A73" w:rsidRDefault="008F0A73" w:rsidP="00B57F8D">
    <w:pPr>
      <w:pStyle w:val="Header"/>
      <w:jc w:val="right"/>
    </w:pPr>
  </w:p>
  <w:p w:rsidR="008F0A73" w:rsidRDefault="008F0A73" w:rsidP="00B57F8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58" w:rsidRDefault="00FA0D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58" w:rsidRDefault="00FA0D58" w:rsidP="00FA0D58">
    <w:pPr>
      <w:jc w:val="right"/>
    </w:pPr>
    <w:r>
      <w:t>LI/A/35/3 Prov.</w:t>
    </w:r>
  </w:p>
  <w:p w:rsidR="00FA0D58" w:rsidRDefault="00FA0D58" w:rsidP="00FA0D58">
    <w:pPr>
      <w:jc w:val="right"/>
    </w:pPr>
    <w:r>
      <w:t xml:space="preserve">page </w:t>
    </w:r>
    <w:r>
      <w:fldChar w:fldCharType="begin"/>
    </w:r>
    <w:r>
      <w:instrText xml:space="preserve"> PAGE  \* MERGEFORMAT </w:instrText>
    </w:r>
    <w:r>
      <w:fldChar w:fldCharType="separate"/>
    </w:r>
    <w:r>
      <w:rPr>
        <w:noProof/>
      </w:rPr>
      <w:t>2</w:t>
    </w:r>
    <w:r>
      <w:fldChar w:fldCharType="end"/>
    </w:r>
  </w:p>
  <w:p w:rsidR="00FA0D58" w:rsidRDefault="00FA0D58" w:rsidP="00FA0D58">
    <w:pPr>
      <w:jc w:val="right"/>
    </w:pPr>
  </w:p>
  <w:p w:rsidR="00FA0D58" w:rsidRDefault="00FA0D58" w:rsidP="00FA0D5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F7" w:rsidRDefault="00334B02" w:rsidP="00477D6B">
    <w:pPr>
      <w:jc w:val="right"/>
    </w:pPr>
    <w:bookmarkStart w:id="7" w:name="Code2"/>
    <w:bookmarkEnd w:id="7"/>
    <w:r>
      <w:t>LI/A/35/3 Prov.</w:t>
    </w:r>
  </w:p>
  <w:p w:rsidR="00EC4E49" w:rsidRDefault="00EC4E49" w:rsidP="00477D6B">
    <w:pPr>
      <w:jc w:val="right"/>
    </w:pPr>
    <w:r>
      <w:t xml:space="preserve">page </w:t>
    </w:r>
    <w:r>
      <w:fldChar w:fldCharType="begin"/>
    </w:r>
    <w:r>
      <w:instrText xml:space="preserve"> PAGE  \* MERGEFORMAT </w:instrText>
    </w:r>
    <w:r>
      <w:fldChar w:fldCharType="separate"/>
    </w:r>
    <w:r w:rsidR="008F0A73">
      <w:rPr>
        <w:noProof/>
      </w:rPr>
      <w:t>2</w:t>
    </w:r>
    <w:r>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A73" w:rsidRDefault="008F0A73" w:rsidP="008F0A73">
    <w:pPr>
      <w:pStyle w:val="Header"/>
      <w:jc w:val="right"/>
    </w:pPr>
    <w:r>
      <w:t>LI/A/35/3</w:t>
    </w:r>
  </w:p>
  <w:p w:rsidR="008F0A73" w:rsidRDefault="008F0A73" w:rsidP="008F0A73">
    <w:pPr>
      <w:pStyle w:val="Header"/>
      <w:jc w:val="right"/>
    </w:pPr>
    <w:r>
      <w:t>ANNEXE</w:t>
    </w:r>
  </w:p>
  <w:p w:rsidR="008F0A73" w:rsidRDefault="008F0A73" w:rsidP="008F0A73">
    <w:pPr>
      <w:pStyle w:val="Header"/>
      <w:jc w:val="right"/>
    </w:pPr>
  </w:p>
  <w:p w:rsidR="008F0A73" w:rsidRPr="008F0A73" w:rsidRDefault="008F0A73" w:rsidP="008F0A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2E09"/>
    <w:multiLevelType w:val="hybridMultilevel"/>
    <w:tmpl w:val="9326B78E"/>
    <w:lvl w:ilvl="0" w:tplc="100C0001">
      <w:start w:val="1"/>
      <w:numFmt w:val="bullet"/>
      <w:lvlText w:val=""/>
      <w:lvlJc w:val="left"/>
      <w:pPr>
        <w:ind w:left="1095" w:hanging="360"/>
      </w:pPr>
      <w:rPr>
        <w:rFonts w:ascii="Symbol" w:hAnsi="Symbol" w:hint="default"/>
      </w:rPr>
    </w:lvl>
    <w:lvl w:ilvl="1" w:tplc="100C0003">
      <w:start w:val="1"/>
      <w:numFmt w:val="bullet"/>
      <w:lvlText w:val="o"/>
      <w:lvlJc w:val="left"/>
      <w:pPr>
        <w:ind w:left="1815" w:hanging="360"/>
      </w:pPr>
      <w:rPr>
        <w:rFonts w:ascii="Courier New" w:hAnsi="Courier New" w:cs="Courier New" w:hint="default"/>
      </w:rPr>
    </w:lvl>
    <w:lvl w:ilvl="2" w:tplc="100C0005" w:tentative="1">
      <w:start w:val="1"/>
      <w:numFmt w:val="bullet"/>
      <w:lvlText w:val=""/>
      <w:lvlJc w:val="left"/>
      <w:pPr>
        <w:ind w:left="2535" w:hanging="360"/>
      </w:pPr>
      <w:rPr>
        <w:rFonts w:ascii="Wingdings" w:hAnsi="Wingdings" w:hint="default"/>
      </w:rPr>
    </w:lvl>
    <w:lvl w:ilvl="3" w:tplc="100C0001" w:tentative="1">
      <w:start w:val="1"/>
      <w:numFmt w:val="bullet"/>
      <w:lvlText w:val=""/>
      <w:lvlJc w:val="left"/>
      <w:pPr>
        <w:ind w:left="3255" w:hanging="360"/>
      </w:pPr>
      <w:rPr>
        <w:rFonts w:ascii="Symbol" w:hAnsi="Symbol" w:hint="default"/>
      </w:rPr>
    </w:lvl>
    <w:lvl w:ilvl="4" w:tplc="100C0003" w:tentative="1">
      <w:start w:val="1"/>
      <w:numFmt w:val="bullet"/>
      <w:lvlText w:val="o"/>
      <w:lvlJc w:val="left"/>
      <w:pPr>
        <w:ind w:left="3975" w:hanging="360"/>
      </w:pPr>
      <w:rPr>
        <w:rFonts w:ascii="Courier New" w:hAnsi="Courier New" w:cs="Courier New" w:hint="default"/>
      </w:rPr>
    </w:lvl>
    <w:lvl w:ilvl="5" w:tplc="100C0005" w:tentative="1">
      <w:start w:val="1"/>
      <w:numFmt w:val="bullet"/>
      <w:lvlText w:val=""/>
      <w:lvlJc w:val="left"/>
      <w:pPr>
        <w:ind w:left="4695" w:hanging="360"/>
      </w:pPr>
      <w:rPr>
        <w:rFonts w:ascii="Wingdings" w:hAnsi="Wingdings" w:hint="default"/>
      </w:rPr>
    </w:lvl>
    <w:lvl w:ilvl="6" w:tplc="100C0001" w:tentative="1">
      <w:start w:val="1"/>
      <w:numFmt w:val="bullet"/>
      <w:lvlText w:val=""/>
      <w:lvlJc w:val="left"/>
      <w:pPr>
        <w:ind w:left="5415" w:hanging="360"/>
      </w:pPr>
      <w:rPr>
        <w:rFonts w:ascii="Symbol" w:hAnsi="Symbol" w:hint="default"/>
      </w:rPr>
    </w:lvl>
    <w:lvl w:ilvl="7" w:tplc="100C0003" w:tentative="1">
      <w:start w:val="1"/>
      <w:numFmt w:val="bullet"/>
      <w:lvlText w:val="o"/>
      <w:lvlJc w:val="left"/>
      <w:pPr>
        <w:ind w:left="6135" w:hanging="360"/>
      </w:pPr>
      <w:rPr>
        <w:rFonts w:ascii="Courier New" w:hAnsi="Courier New" w:cs="Courier New" w:hint="default"/>
      </w:rPr>
    </w:lvl>
    <w:lvl w:ilvl="8" w:tplc="100C0005" w:tentative="1">
      <w:start w:val="1"/>
      <w:numFmt w:val="bullet"/>
      <w:lvlText w:val=""/>
      <w:lvlJc w:val="left"/>
      <w:pPr>
        <w:ind w:left="685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ED51C7"/>
    <w:multiLevelType w:val="hybridMultilevel"/>
    <w:tmpl w:val="BBF8CC8C"/>
    <w:lvl w:ilvl="0" w:tplc="F18C51A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A2B69408"/>
    <w:lvl w:ilvl="0">
      <w:start w:val="1"/>
      <w:numFmt w:val="decimal"/>
      <w:lvlRestart w:val="0"/>
      <w:pStyle w:val="ONUMFS"/>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AAB78AF"/>
    <w:multiLevelType w:val="hybridMultilevel"/>
    <w:tmpl w:val="97C4BC26"/>
    <w:lvl w:ilvl="0" w:tplc="E014F81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BD5DF9"/>
    <w:multiLevelType w:val="hybridMultilevel"/>
    <w:tmpl w:val="C082B6FE"/>
    <w:lvl w:ilvl="0" w:tplc="8D7A1D3C">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8E56C3A"/>
    <w:multiLevelType w:val="hybridMultilevel"/>
    <w:tmpl w:val="99E20378"/>
    <w:lvl w:ilvl="0" w:tplc="AF723B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0"/>
  </w:num>
  <w:num w:numId="5">
    <w:abstractNumId w:val="2"/>
  </w:num>
  <w:num w:numId="6">
    <w:abstractNumId w:val="6"/>
  </w:num>
  <w:num w:numId="7">
    <w:abstractNumId w:val="10"/>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3"/>
  </w:num>
  <w:num w:numId="14">
    <w:abstractNumId w:val="7"/>
  </w:num>
  <w:num w:numId="15">
    <w:abstractNumId w:val="12"/>
  </w:num>
  <w:num w:numId="16">
    <w:abstractNumId w:val="11"/>
  </w:num>
  <w:num w:numId="17">
    <w:abstractNumId w:val="10"/>
  </w:num>
  <w:num w:numId="18">
    <w:abstractNumId w:val="2"/>
  </w:num>
  <w:num w:numId="19">
    <w:abstractNumId w:val="6"/>
  </w:num>
  <w:num w:numId="20">
    <w:abstractNumId w:val="10"/>
  </w:num>
  <w:num w:numId="21">
    <w:abstractNumId w:val="2"/>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02"/>
    <w:rsid w:val="0002369B"/>
    <w:rsid w:val="000439B7"/>
    <w:rsid w:val="00043CAA"/>
    <w:rsid w:val="00075432"/>
    <w:rsid w:val="000765C4"/>
    <w:rsid w:val="000968ED"/>
    <w:rsid w:val="000C117A"/>
    <w:rsid w:val="000C76E8"/>
    <w:rsid w:val="000D0B35"/>
    <w:rsid w:val="000F5E56"/>
    <w:rsid w:val="00112E87"/>
    <w:rsid w:val="001362EE"/>
    <w:rsid w:val="00152AAD"/>
    <w:rsid w:val="00156693"/>
    <w:rsid w:val="001647D5"/>
    <w:rsid w:val="001832A6"/>
    <w:rsid w:val="0021217E"/>
    <w:rsid w:val="00217165"/>
    <w:rsid w:val="002634C4"/>
    <w:rsid w:val="002928D3"/>
    <w:rsid w:val="002A1C08"/>
    <w:rsid w:val="002A633A"/>
    <w:rsid w:val="002B2E02"/>
    <w:rsid w:val="002F1FE6"/>
    <w:rsid w:val="002F266B"/>
    <w:rsid w:val="002F4E68"/>
    <w:rsid w:val="0030051F"/>
    <w:rsid w:val="00311265"/>
    <w:rsid w:val="00312F7F"/>
    <w:rsid w:val="00334B02"/>
    <w:rsid w:val="00350AE2"/>
    <w:rsid w:val="0035146B"/>
    <w:rsid w:val="00361450"/>
    <w:rsid w:val="003673CF"/>
    <w:rsid w:val="00383093"/>
    <w:rsid w:val="003845C1"/>
    <w:rsid w:val="003A6F89"/>
    <w:rsid w:val="003B38C1"/>
    <w:rsid w:val="003D57B0"/>
    <w:rsid w:val="00423E3E"/>
    <w:rsid w:val="00427AF4"/>
    <w:rsid w:val="004647DA"/>
    <w:rsid w:val="00474062"/>
    <w:rsid w:val="00477D6B"/>
    <w:rsid w:val="004E3B5A"/>
    <w:rsid w:val="004F7D8A"/>
    <w:rsid w:val="005019FF"/>
    <w:rsid w:val="0053057A"/>
    <w:rsid w:val="005376E7"/>
    <w:rsid w:val="00560873"/>
    <w:rsid w:val="00560A29"/>
    <w:rsid w:val="005C6649"/>
    <w:rsid w:val="00605827"/>
    <w:rsid w:val="0062379F"/>
    <w:rsid w:val="00646050"/>
    <w:rsid w:val="006564F4"/>
    <w:rsid w:val="006713CA"/>
    <w:rsid w:val="00676C5C"/>
    <w:rsid w:val="006B6155"/>
    <w:rsid w:val="006E4F5F"/>
    <w:rsid w:val="00716412"/>
    <w:rsid w:val="00776F71"/>
    <w:rsid w:val="007C11F3"/>
    <w:rsid w:val="007D1613"/>
    <w:rsid w:val="007E4C0E"/>
    <w:rsid w:val="00860537"/>
    <w:rsid w:val="00877718"/>
    <w:rsid w:val="008A134B"/>
    <w:rsid w:val="008B2CC1"/>
    <w:rsid w:val="008B60B2"/>
    <w:rsid w:val="008F0A73"/>
    <w:rsid w:val="008F6158"/>
    <w:rsid w:val="0090731E"/>
    <w:rsid w:val="00916EE2"/>
    <w:rsid w:val="00926D12"/>
    <w:rsid w:val="00966A22"/>
    <w:rsid w:val="0096722F"/>
    <w:rsid w:val="00980843"/>
    <w:rsid w:val="009C127D"/>
    <w:rsid w:val="009D68E2"/>
    <w:rsid w:val="009E2791"/>
    <w:rsid w:val="009E3F6F"/>
    <w:rsid w:val="009F499F"/>
    <w:rsid w:val="00A37342"/>
    <w:rsid w:val="00A42DAF"/>
    <w:rsid w:val="00A456C0"/>
    <w:rsid w:val="00A45BD8"/>
    <w:rsid w:val="00A771EB"/>
    <w:rsid w:val="00A869B7"/>
    <w:rsid w:val="00AA2DD4"/>
    <w:rsid w:val="00AC205C"/>
    <w:rsid w:val="00AE52F6"/>
    <w:rsid w:val="00AF0A6B"/>
    <w:rsid w:val="00B05A69"/>
    <w:rsid w:val="00B242D7"/>
    <w:rsid w:val="00B8685F"/>
    <w:rsid w:val="00B9734B"/>
    <w:rsid w:val="00BA30E2"/>
    <w:rsid w:val="00BF3742"/>
    <w:rsid w:val="00C11BFE"/>
    <w:rsid w:val="00C5068F"/>
    <w:rsid w:val="00C51680"/>
    <w:rsid w:val="00C86D74"/>
    <w:rsid w:val="00CD04F1"/>
    <w:rsid w:val="00CD7F59"/>
    <w:rsid w:val="00D23E61"/>
    <w:rsid w:val="00D44A0B"/>
    <w:rsid w:val="00D45252"/>
    <w:rsid w:val="00D66E37"/>
    <w:rsid w:val="00D71B4D"/>
    <w:rsid w:val="00D93D55"/>
    <w:rsid w:val="00DA1B47"/>
    <w:rsid w:val="00DD07D5"/>
    <w:rsid w:val="00DE407C"/>
    <w:rsid w:val="00DF023A"/>
    <w:rsid w:val="00DF383E"/>
    <w:rsid w:val="00E15015"/>
    <w:rsid w:val="00E335FE"/>
    <w:rsid w:val="00E46097"/>
    <w:rsid w:val="00E85557"/>
    <w:rsid w:val="00EA3800"/>
    <w:rsid w:val="00EA552C"/>
    <w:rsid w:val="00EA5CF7"/>
    <w:rsid w:val="00EA7D6E"/>
    <w:rsid w:val="00EC4E49"/>
    <w:rsid w:val="00ED77FB"/>
    <w:rsid w:val="00EE45FA"/>
    <w:rsid w:val="00F62FBC"/>
    <w:rsid w:val="00F66152"/>
    <w:rsid w:val="00FA0AE2"/>
    <w:rsid w:val="00FA0D5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A702358-EF57-4717-A4C2-E06221D4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AD"/>
    <w:rPr>
      <w:rFonts w:ascii="Arial" w:eastAsia="SimSun" w:hAnsi="Arial" w:cs="Arial"/>
      <w:sz w:val="22"/>
      <w:lang w:val="en-US" w:eastAsia="zh-CN"/>
    </w:rPr>
  </w:style>
  <w:style w:type="paragraph" w:styleId="Heading1">
    <w:name w:val="heading 1"/>
    <w:basedOn w:val="Normal"/>
    <w:next w:val="Normal"/>
    <w:link w:val="Heading1Char"/>
    <w:autoRedefine/>
    <w:qFormat/>
    <w:rsid w:val="00152AAD"/>
    <w:pPr>
      <w:keepNext/>
      <w:spacing w:after="600"/>
      <w:outlineLvl w:val="0"/>
    </w:pPr>
    <w:rPr>
      <w:b/>
      <w:bCs/>
      <w:kern w:val="32"/>
      <w:sz w:val="28"/>
      <w:szCs w:val="32"/>
    </w:rPr>
  </w:style>
  <w:style w:type="paragraph" w:styleId="Heading2">
    <w:name w:val="heading 2"/>
    <w:basedOn w:val="Normal"/>
    <w:next w:val="Normal"/>
    <w:link w:val="Heading2Char"/>
    <w:autoRedefine/>
    <w:qFormat/>
    <w:rsid w:val="00152AAD"/>
    <w:pPr>
      <w:keepNext/>
      <w:spacing w:before="240" w:after="280"/>
      <w:outlineLvl w:val="1"/>
    </w:pPr>
    <w:rPr>
      <w:b/>
      <w:bCs/>
      <w:iCs/>
      <w:caps/>
      <w:szCs w:val="28"/>
    </w:rPr>
  </w:style>
  <w:style w:type="paragraph" w:styleId="Heading3">
    <w:name w:val="heading 3"/>
    <w:basedOn w:val="Normal"/>
    <w:next w:val="Normal"/>
    <w:link w:val="Heading3Char"/>
    <w:qFormat/>
    <w:rsid w:val="00152AAD"/>
    <w:pPr>
      <w:keepNext/>
      <w:spacing w:before="240" w:after="280"/>
      <w:outlineLvl w:val="2"/>
    </w:pPr>
    <w:rPr>
      <w:bCs/>
      <w:caps/>
      <w:szCs w:val="26"/>
    </w:rPr>
  </w:style>
  <w:style w:type="paragraph" w:styleId="Heading4">
    <w:name w:val="heading 4"/>
    <w:basedOn w:val="Normal"/>
    <w:next w:val="Normal"/>
    <w:link w:val="Heading4Char"/>
    <w:autoRedefine/>
    <w:qFormat/>
    <w:rsid w:val="00152AAD"/>
    <w:pPr>
      <w:keepNext/>
      <w:spacing w:before="240" w:after="280"/>
      <w:outlineLvl w:val="3"/>
    </w:pPr>
    <w:rPr>
      <w:bCs/>
      <w:szCs w:val="28"/>
      <w:u w:val="single"/>
      <w:lang w:val="fr-FR"/>
    </w:rPr>
  </w:style>
  <w:style w:type="paragraph" w:styleId="Heading5">
    <w:name w:val="heading 5"/>
    <w:basedOn w:val="Normal"/>
    <w:next w:val="Normal"/>
    <w:link w:val="Heading5Char"/>
    <w:autoRedefine/>
    <w:qFormat/>
    <w:rsid w:val="006564F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52AAD"/>
    <w:pPr>
      <w:spacing w:before="720"/>
      <w:ind w:left="5534"/>
    </w:pPr>
  </w:style>
  <w:style w:type="paragraph" w:styleId="BodyText">
    <w:name w:val="Body Text"/>
    <w:basedOn w:val="Normal"/>
    <w:link w:val="BodyTextChar"/>
    <w:rsid w:val="00152AAD"/>
    <w:pPr>
      <w:spacing w:after="220"/>
    </w:pPr>
  </w:style>
  <w:style w:type="paragraph" w:styleId="Caption">
    <w:name w:val="caption"/>
    <w:basedOn w:val="Normal"/>
    <w:next w:val="Normal"/>
    <w:qFormat/>
    <w:rsid w:val="00152AAD"/>
    <w:rPr>
      <w:b/>
      <w:bCs/>
      <w:sz w:val="18"/>
    </w:rPr>
  </w:style>
  <w:style w:type="paragraph" w:styleId="CommentText">
    <w:name w:val="annotation text"/>
    <w:basedOn w:val="Normal"/>
    <w:link w:val="CommentTextChar"/>
    <w:semiHidden/>
    <w:rsid w:val="00152AAD"/>
    <w:rPr>
      <w:sz w:val="18"/>
    </w:rPr>
  </w:style>
  <w:style w:type="paragraph" w:styleId="EndnoteText">
    <w:name w:val="endnote text"/>
    <w:basedOn w:val="Normal"/>
    <w:link w:val="EndnoteTextChar"/>
    <w:semiHidden/>
    <w:rsid w:val="00152AAD"/>
    <w:rPr>
      <w:sz w:val="18"/>
    </w:rPr>
  </w:style>
  <w:style w:type="paragraph" w:styleId="Footer">
    <w:name w:val="footer"/>
    <w:basedOn w:val="Normal"/>
    <w:link w:val="FooterChar"/>
    <w:rsid w:val="00152AAD"/>
    <w:pPr>
      <w:tabs>
        <w:tab w:val="center" w:pos="4320"/>
        <w:tab w:val="right" w:pos="8640"/>
      </w:tabs>
    </w:pPr>
  </w:style>
  <w:style w:type="paragraph" w:styleId="FootnoteText">
    <w:name w:val="footnote text"/>
    <w:basedOn w:val="Normal"/>
    <w:link w:val="FootnoteTextChar"/>
    <w:rsid w:val="00152AAD"/>
    <w:rPr>
      <w:sz w:val="18"/>
    </w:rPr>
  </w:style>
  <w:style w:type="paragraph" w:styleId="Header">
    <w:name w:val="header"/>
    <w:basedOn w:val="Normal"/>
    <w:link w:val="HeaderChar"/>
    <w:rsid w:val="00152AAD"/>
    <w:pPr>
      <w:tabs>
        <w:tab w:val="center" w:pos="4536"/>
        <w:tab w:val="right" w:pos="9072"/>
      </w:tabs>
    </w:pPr>
  </w:style>
  <w:style w:type="paragraph" w:styleId="ListNumber">
    <w:name w:val="List Number"/>
    <w:basedOn w:val="Normal"/>
    <w:semiHidden/>
    <w:rsid w:val="00152AAD"/>
    <w:pPr>
      <w:numPr>
        <w:numId w:val="20"/>
      </w:numPr>
    </w:pPr>
  </w:style>
  <w:style w:type="paragraph" w:customStyle="1" w:styleId="ONUME">
    <w:name w:val="ONUM E"/>
    <w:basedOn w:val="BodyText"/>
    <w:link w:val="ONUMEChar"/>
    <w:rsid w:val="00152AAD"/>
    <w:pPr>
      <w:numPr>
        <w:numId w:val="21"/>
      </w:numPr>
    </w:pPr>
  </w:style>
  <w:style w:type="paragraph" w:customStyle="1" w:styleId="ONUMFS">
    <w:name w:val="ONUM FS"/>
    <w:basedOn w:val="BodyText"/>
    <w:rsid w:val="00152AAD"/>
    <w:pPr>
      <w:numPr>
        <w:numId w:val="22"/>
      </w:numPr>
    </w:pPr>
  </w:style>
  <w:style w:type="paragraph" w:styleId="Salutation">
    <w:name w:val="Salutation"/>
    <w:basedOn w:val="Normal"/>
    <w:next w:val="Normal"/>
    <w:link w:val="SalutationChar"/>
    <w:semiHidden/>
    <w:rsid w:val="00152AAD"/>
  </w:style>
  <w:style w:type="paragraph" w:styleId="Signature">
    <w:name w:val="Signature"/>
    <w:basedOn w:val="Normal"/>
    <w:link w:val="SignatureChar"/>
    <w:semiHidden/>
    <w:rsid w:val="00152AAD"/>
    <w:pPr>
      <w:ind w:left="5250"/>
    </w:pPr>
  </w:style>
  <w:style w:type="paragraph" w:styleId="BalloonText">
    <w:name w:val="Balloon Text"/>
    <w:basedOn w:val="Normal"/>
    <w:link w:val="BalloonTextChar"/>
    <w:rsid w:val="006564F4"/>
    <w:rPr>
      <w:rFonts w:ascii="Tahoma" w:hAnsi="Tahoma" w:cs="Tahoma"/>
      <w:sz w:val="16"/>
      <w:szCs w:val="16"/>
    </w:rPr>
  </w:style>
  <w:style w:type="character" w:customStyle="1" w:styleId="BalloonTextChar">
    <w:name w:val="Balloon Text Char"/>
    <w:basedOn w:val="DefaultParagraphFont"/>
    <w:link w:val="BalloonText"/>
    <w:rsid w:val="006564F4"/>
    <w:rPr>
      <w:rFonts w:ascii="Tahoma" w:eastAsia="SimSun" w:hAnsi="Tahoma" w:cs="Tahoma"/>
      <w:sz w:val="16"/>
      <w:szCs w:val="16"/>
      <w:lang w:val="en-US" w:eastAsia="zh-CN"/>
    </w:rPr>
  </w:style>
  <w:style w:type="paragraph" w:styleId="NoSpacing">
    <w:name w:val="No Spacing"/>
    <w:uiPriority w:val="1"/>
    <w:qFormat/>
    <w:rsid w:val="006564F4"/>
    <w:rPr>
      <w:rFonts w:ascii="Arial" w:eastAsia="SimSun" w:hAnsi="Arial" w:cs="Arial"/>
      <w:sz w:val="22"/>
      <w:lang w:val="en-US" w:eastAsia="zh-CN"/>
    </w:rPr>
  </w:style>
  <w:style w:type="character" w:customStyle="1" w:styleId="Heading5Char">
    <w:name w:val="Heading 5 Char"/>
    <w:basedOn w:val="DefaultParagraphFont"/>
    <w:link w:val="Heading5"/>
    <w:rsid w:val="006564F4"/>
    <w:rPr>
      <w:rFonts w:ascii="Arial" w:eastAsiaTheme="majorEastAsia" w:hAnsi="Arial" w:cstheme="majorBidi"/>
      <w:i/>
      <w:sz w:val="22"/>
      <w:lang w:val="en-US" w:eastAsia="zh-CN"/>
    </w:rPr>
  </w:style>
  <w:style w:type="character" w:customStyle="1" w:styleId="Heading1Char">
    <w:name w:val="Heading 1 Char"/>
    <w:basedOn w:val="DefaultParagraphFont"/>
    <w:link w:val="Heading1"/>
    <w:rsid w:val="008F0A73"/>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8F0A73"/>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8F0A73"/>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8F0A73"/>
    <w:rPr>
      <w:rFonts w:ascii="Arial" w:eastAsia="SimSun" w:hAnsi="Arial" w:cs="Arial"/>
      <w:bCs/>
      <w:sz w:val="22"/>
      <w:szCs w:val="28"/>
      <w:u w:val="single"/>
      <w:lang w:val="fr-FR" w:eastAsia="zh-CN"/>
    </w:rPr>
  </w:style>
  <w:style w:type="character" w:customStyle="1" w:styleId="ONUMEChar">
    <w:name w:val="ONUM E Char"/>
    <w:basedOn w:val="BodyTextChar"/>
    <w:link w:val="ONUME"/>
    <w:rsid w:val="008F0A73"/>
    <w:rPr>
      <w:rFonts w:ascii="Arial" w:eastAsia="SimSun" w:hAnsi="Arial" w:cs="Arial"/>
      <w:sz w:val="22"/>
      <w:lang w:val="en-US" w:eastAsia="zh-CN"/>
    </w:rPr>
  </w:style>
  <w:style w:type="character" w:customStyle="1" w:styleId="BodyTextChar">
    <w:name w:val="Body Text Char"/>
    <w:basedOn w:val="DefaultParagraphFont"/>
    <w:link w:val="BodyText"/>
    <w:rsid w:val="00152AAD"/>
    <w:rPr>
      <w:rFonts w:ascii="Arial" w:eastAsia="SimSun" w:hAnsi="Arial" w:cs="Arial"/>
      <w:sz w:val="22"/>
      <w:lang w:val="en-US" w:eastAsia="zh-CN"/>
    </w:rPr>
  </w:style>
  <w:style w:type="character" w:customStyle="1" w:styleId="HeaderChar">
    <w:name w:val="Header Char"/>
    <w:basedOn w:val="DefaultParagraphFont"/>
    <w:link w:val="Header"/>
    <w:rsid w:val="008F0A73"/>
    <w:rPr>
      <w:rFonts w:ascii="Arial" w:eastAsia="SimSun" w:hAnsi="Arial" w:cs="Arial"/>
      <w:sz w:val="22"/>
      <w:lang w:val="en-US" w:eastAsia="zh-CN"/>
    </w:rPr>
  </w:style>
  <w:style w:type="character" w:customStyle="1" w:styleId="FooterChar">
    <w:name w:val="Footer Char"/>
    <w:basedOn w:val="DefaultParagraphFont"/>
    <w:link w:val="Footer"/>
    <w:rsid w:val="008F0A73"/>
    <w:rPr>
      <w:rFonts w:ascii="Arial" w:eastAsia="SimSun" w:hAnsi="Arial" w:cs="Arial"/>
      <w:sz w:val="22"/>
      <w:lang w:val="en-US" w:eastAsia="zh-CN"/>
    </w:rPr>
  </w:style>
  <w:style w:type="character" w:customStyle="1" w:styleId="FootnoteTextChar">
    <w:name w:val="Footnote Text Char"/>
    <w:basedOn w:val="DefaultParagraphFont"/>
    <w:link w:val="FootnoteText"/>
    <w:rsid w:val="008F0A73"/>
    <w:rPr>
      <w:rFonts w:ascii="Arial" w:eastAsia="SimSun" w:hAnsi="Arial" w:cs="Arial"/>
      <w:sz w:val="18"/>
      <w:lang w:val="en-US" w:eastAsia="zh-CN"/>
    </w:rPr>
  </w:style>
  <w:style w:type="character" w:styleId="FootnoteReference">
    <w:name w:val="footnote reference"/>
    <w:basedOn w:val="DefaultParagraphFont"/>
    <w:uiPriority w:val="99"/>
    <w:rsid w:val="008F0A73"/>
    <w:rPr>
      <w:vertAlign w:val="superscript"/>
    </w:rPr>
  </w:style>
  <w:style w:type="character" w:customStyle="1" w:styleId="CommentTextChar">
    <w:name w:val="Comment Text Char"/>
    <w:basedOn w:val="DefaultParagraphFont"/>
    <w:link w:val="CommentText"/>
    <w:semiHidden/>
    <w:rsid w:val="008F0A73"/>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8F0A73"/>
    <w:rPr>
      <w:rFonts w:ascii="Arial" w:eastAsia="SimSun" w:hAnsi="Arial" w:cs="Arial"/>
      <w:sz w:val="18"/>
      <w:lang w:val="en-US" w:eastAsia="zh-CN"/>
    </w:rPr>
  </w:style>
  <w:style w:type="paragraph" w:styleId="ListParagraph">
    <w:name w:val="List Paragraph"/>
    <w:basedOn w:val="Normal"/>
    <w:uiPriority w:val="34"/>
    <w:qFormat/>
    <w:rsid w:val="00152AAD"/>
    <w:pPr>
      <w:ind w:left="720"/>
      <w:contextualSpacing/>
    </w:pPr>
    <w:rPr>
      <w:lang w:val="fr-CH"/>
    </w:rPr>
  </w:style>
  <w:style w:type="character" w:customStyle="1" w:styleId="SalutationChar">
    <w:name w:val="Salutation Char"/>
    <w:basedOn w:val="DefaultParagraphFont"/>
    <w:link w:val="Salutation"/>
    <w:semiHidden/>
    <w:rsid w:val="008F0A73"/>
    <w:rPr>
      <w:rFonts w:ascii="Arial" w:eastAsia="SimSun" w:hAnsi="Arial" w:cs="Arial"/>
      <w:sz w:val="22"/>
      <w:lang w:val="en-US" w:eastAsia="zh-CN"/>
    </w:rPr>
  </w:style>
  <w:style w:type="character" w:customStyle="1" w:styleId="SignatureChar">
    <w:name w:val="Signature Char"/>
    <w:basedOn w:val="DefaultParagraphFont"/>
    <w:link w:val="Signature"/>
    <w:semiHidden/>
    <w:rsid w:val="008F0A73"/>
    <w:rPr>
      <w:rFonts w:ascii="Arial" w:eastAsia="SimSun" w:hAnsi="Arial" w:cs="Arial"/>
      <w:sz w:val="22"/>
      <w:lang w:val="en-US" w:eastAsia="zh-CN"/>
    </w:rPr>
  </w:style>
  <w:style w:type="character" w:styleId="Hyperlink">
    <w:name w:val="Hyperlink"/>
    <w:basedOn w:val="DefaultParagraphFont"/>
    <w:uiPriority w:val="99"/>
    <w:semiHidden/>
    <w:unhideWhenUsed/>
    <w:rsid w:val="008F0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83792">
      <w:bodyDiv w:val="1"/>
      <w:marLeft w:val="0"/>
      <w:marRight w:val="0"/>
      <w:marTop w:val="0"/>
      <w:marBottom w:val="0"/>
      <w:divBdr>
        <w:top w:val="none" w:sz="0" w:space="0" w:color="auto"/>
        <w:left w:val="none" w:sz="0" w:space="0" w:color="auto"/>
        <w:bottom w:val="none" w:sz="0" w:space="0" w:color="auto"/>
        <w:right w:val="none" w:sz="0" w:space="0" w:color="auto"/>
      </w:divBdr>
    </w:div>
    <w:div w:id="54067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B6E9-B17D-43FA-9CAD-01762C66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4316</Words>
  <Characters>23455</Characters>
  <Application>Microsoft Office Word</Application>
  <DocSecurity>0</DocSecurity>
  <Lines>336</Lines>
  <Paragraphs>51</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Trente-cinquième session (13e session extraordinaire)</dc:subject>
  <dc:creator>COUTURE Sébastien</dc:creator>
  <cp:keywords>FOR OFFICIAL USE ONLY</cp:keywords>
  <cp:lastModifiedBy>ROURE Cécile</cp:lastModifiedBy>
  <cp:revision>14</cp:revision>
  <cp:lastPrinted>2011-02-15T11:56:00Z</cp:lastPrinted>
  <dcterms:created xsi:type="dcterms:W3CDTF">2021-04-28T13:15:00Z</dcterms:created>
  <dcterms:modified xsi:type="dcterms:W3CDTF">2021-05-04T07:30:00Z</dcterms:modified>
  <cp:category>Union particulière pour la protection des appellations d’origine et leur enregistrement international (Union de Lisbonne)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16d39523-c961-4c93-bbd9-271451f5042b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