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40540C" w:rsidRDefault="0040540C" w:rsidP="00CA4E86">
      <w:pPr>
        <w:pBdr>
          <w:bottom w:val="single" w:sz="4" w:space="8" w:color="auto"/>
        </w:pBdr>
        <w:spacing w:after="120"/>
        <w:jc w:val="right"/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90C" w:rsidRDefault="00CA4E86" w:rsidP="0040540C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LI/</w:t>
      </w:r>
      <w:r w:rsidR="00043521">
        <w:rPr>
          <w:rFonts w:ascii="Arial Black" w:hAnsi="Arial Black"/>
          <w:caps/>
          <w:sz w:val="15"/>
        </w:rPr>
        <w:t>A</w:t>
      </w:r>
      <w:r>
        <w:rPr>
          <w:rFonts w:ascii="Arial Black" w:hAnsi="Arial Black"/>
          <w:caps/>
          <w:sz w:val="15"/>
        </w:rPr>
        <w:t>/</w:t>
      </w:r>
      <w:bookmarkStart w:id="1" w:name="Code"/>
      <w:bookmarkEnd w:id="1"/>
      <w:r w:rsidR="00043521">
        <w:rPr>
          <w:rFonts w:ascii="Arial Black" w:hAnsi="Arial Black"/>
          <w:caps/>
          <w:sz w:val="15"/>
        </w:rPr>
        <w:t>39/1</w:t>
      </w:r>
    </w:p>
    <w:p w:rsidR="008B2CC1" w:rsidRPr="0040540C" w:rsidRDefault="00B1090C" w:rsidP="0040540C">
      <w:pPr>
        <w:jc w:val="right"/>
      </w:pPr>
      <w:r w:rsidRPr="0090731E">
        <w:rPr>
          <w:rFonts w:ascii="Arial Black" w:hAnsi="Arial Black"/>
          <w:caps/>
          <w:sz w:val="15"/>
        </w:rPr>
        <w:t>ORIGINAL</w:t>
      </w:r>
      <w:r w:rsidR="00CB6800">
        <w:rPr>
          <w:rFonts w:ascii="Arial Black" w:hAnsi="Arial Black"/>
          <w:caps/>
          <w:sz w:val="15"/>
        </w:rPr>
        <w:t> :</w:t>
      </w:r>
      <w:r w:rsidR="002956DE">
        <w:rPr>
          <w:rFonts w:ascii="Arial Black" w:hAnsi="Arial Black"/>
          <w:caps/>
          <w:sz w:val="15"/>
        </w:rPr>
        <w:t xml:space="preserve"> </w:t>
      </w:r>
      <w:bookmarkStart w:id="2" w:name="Original"/>
      <w:r w:rsidR="00043521">
        <w:rPr>
          <w:rFonts w:ascii="Arial Black" w:hAnsi="Arial Black"/>
          <w:caps/>
          <w:sz w:val="15"/>
        </w:rPr>
        <w:t>anglais</w:t>
      </w:r>
    </w:p>
    <w:bookmarkEnd w:id="2"/>
    <w:p w:rsidR="008B2CC1" w:rsidRPr="0040540C" w:rsidRDefault="00B1090C" w:rsidP="00B1090C">
      <w:pPr>
        <w:spacing w:after="1200"/>
        <w:jc w:val="right"/>
      </w:pPr>
      <w:r w:rsidRPr="0090731E">
        <w:rPr>
          <w:rFonts w:ascii="Arial Black" w:hAnsi="Arial Black"/>
          <w:caps/>
          <w:sz w:val="15"/>
        </w:rPr>
        <w:t>DATE</w:t>
      </w:r>
      <w:r w:rsidR="00CB6800">
        <w:rPr>
          <w:rFonts w:ascii="Arial Black" w:hAnsi="Arial Black"/>
          <w:caps/>
          <w:sz w:val="15"/>
        </w:rPr>
        <w:t> :</w:t>
      </w:r>
      <w:r w:rsidR="002956DE">
        <w:rPr>
          <w:rFonts w:ascii="Arial Black" w:hAnsi="Arial Black"/>
          <w:caps/>
          <w:sz w:val="15"/>
        </w:rPr>
        <w:t xml:space="preserve"> </w:t>
      </w:r>
      <w:bookmarkStart w:id="3" w:name="Date"/>
      <w:r w:rsidR="00043521" w:rsidRPr="00622347">
        <w:rPr>
          <w:rFonts w:ascii="Arial Black" w:hAnsi="Arial Black"/>
          <w:b/>
          <w:caps/>
          <w:sz w:val="15"/>
          <w:lang w:val="fr-FR"/>
        </w:rPr>
        <w:t>8 juillet 2022</w:t>
      </w:r>
    </w:p>
    <w:bookmarkEnd w:id="3"/>
    <w:p w:rsidR="00043521" w:rsidRPr="00043521" w:rsidRDefault="00043521" w:rsidP="00043521">
      <w:pPr>
        <w:keepNext/>
        <w:spacing w:after="600"/>
        <w:outlineLvl w:val="0"/>
        <w:rPr>
          <w:b/>
          <w:bCs/>
          <w:kern w:val="32"/>
          <w:sz w:val="28"/>
          <w:szCs w:val="32"/>
          <w:lang w:val="fr-FR"/>
        </w:rPr>
      </w:pPr>
      <w:r w:rsidRPr="00043521">
        <w:rPr>
          <w:b/>
          <w:bCs/>
          <w:kern w:val="32"/>
          <w:sz w:val="28"/>
          <w:szCs w:val="32"/>
          <w:lang w:val="fr-FR"/>
        </w:rPr>
        <w:t>Union particulière pour la protection des appellations d</w:t>
      </w:r>
      <w:r w:rsidR="00CB6800">
        <w:rPr>
          <w:b/>
          <w:bCs/>
          <w:kern w:val="32"/>
          <w:sz w:val="28"/>
          <w:szCs w:val="32"/>
          <w:lang w:val="fr-FR"/>
        </w:rPr>
        <w:t>’</w:t>
      </w:r>
      <w:r w:rsidRPr="00043521">
        <w:rPr>
          <w:b/>
          <w:bCs/>
          <w:kern w:val="32"/>
          <w:sz w:val="28"/>
          <w:szCs w:val="32"/>
          <w:lang w:val="fr-FR"/>
        </w:rPr>
        <w:t>origine et leur enregistrement international (Union de Lisbonne)</w:t>
      </w:r>
    </w:p>
    <w:p w:rsidR="00043521" w:rsidRPr="00043521" w:rsidRDefault="00043521" w:rsidP="00043521">
      <w:pPr>
        <w:keepNext/>
        <w:spacing w:after="600"/>
        <w:outlineLvl w:val="0"/>
        <w:rPr>
          <w:b/>
          <w:bCs/>
          <w:kern w:val="32"/>
          <w:sz w:val="28"/>
          <w:szCs w:val="32"/>
          <w:lang w:val="fr-FR"/>
        </w:rPr>
      </w:pPr>
      <w:r w:rsidRPr="00043521">
        <w:rPr>
          <w:b/>
          <w:bCs/>
          <w:kern w:val="32"/>
          <w:sz w:val="28"/>
          <w:szCs w:val="32"/>
          <w:lang w:val="fr-FR"/>
        </w:rPr>
        <w:t>Assemblée</w:t>
      </w:r>
    </w:p>
    <w:p w:rsidR="00FE19E9" w:rsidRDefault="00043521" w:rsidP="00FE19E9">
      <w:pPr>
        <w:outlineLvl w:val="1"/>
        <w:rPr>
          <w:b/>
          <w:sz w:val="24"/>
          <w:szCs w:val="24"/>
        </w:rPr>
      </w:pPr>
      <w:r w:rsidRPr="00622347">
        <w:rPr>
          <w:b/>
          <w:sz w:val="24"/>
          <w:lang w:val="fr-FR"/>
        </w:rPr>
        <w:t>Trente</w:t>
      </w:r>
      <w:r w:rsidR="002723CA">
        <w:rPr>
          <w:b/>
          <w:sz w:val="24"/>
          <w:lang w:val="fr-FR"/>
        </w:rPr>
        <w:noBreakHyphen/>
      </w:r>
      <w:r w:rsidRPr="00622347">
        <w:rPr>
          <w:b/>
          <w:sz w:val="24"/>
          <w:lang w:val="fr-FR"/>
        </w:rPr>
        <w:t>neuv</w:t>
      </w:r>
      <w:r w:rsidR="00CB6800">
        <w:rPr>
          <w:b/>
          <w:sz w:val="24"/>
          <w:lang w:val="fr-FR"/>
        </w:rPr>
        <w:t>ième session</w:t>
      </w:r>
      <w:r>
        <w:rPr>
          <w:b/>
          <w:sz w:val="24"/>
          <w:szCs w:val="24"/>
        </w:rPr>
        <w:t xml:space="preserve"> (15</w:t>
      </w:r>
      <w:r w:rsidRPr="00043521">
        <w:rPr>
          <w:b/>
          <w:sz w:val="24"/>
          <w:szCs w:val="24"/>
          <w:vertAlign w:val="superscript"/>
        </w:rPr>
        <w:t>e</w:t>
      </w:r>
      <w:r>
        <w:rPr>
          <w:b/>
          <w:sz w:val="24"/>
          <w:szCs w:val="24"/>
        </w:rPr>
        <w:t> session extraordinaire)</w:t>
      </w:r>
    </w:p>
    <w:p w:rsidR="008B2CC1" w:rsidRPr="003845C1" w:rsidRDefault="00043521" w:rsidP="00B1090C">
      <w:pPr>
        <w:spacing w:after="96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Genève, 14 – 22 </w:t>
      </w:r>
      <w:r w:rsidR="00CB6800">
        <w:rPr>
          <w:b/>
          <w:sz w:val="24"/>
          <w:szCs w:val="24"/>
        </w:rPr>
        <w:t>juillet </w:t>
      </w:r>
      <w:r w:rsidR="00CB6800" w:rsidRPr="00CA4E86">
        <w:rPr>
          <w:b/>
          <w:sz w:val="24"/>
          <w:szCs w:val="24"/>
        </w:rPr>
        <w:t>20</w:t>
      </w:r>
      <w:r w:rsidR="00CA4E86" w:rsidRPr="00CA4E86">
        <w:rPr>
          <w:b/>
          <w:sz w:val="24"/>
          <w:szCs w:val="24"/>
        </w:rPr>
        <w:t>22</w:t>
      </w:r>
    </w:p>
    <w:p w:rsidR="008B2CC1" w:rsidRPr="003845C1" w:rsidRDefault="00043521" w:rsidP="00B1090C">
      <w:pPr>
        <w:spacing w:after="360"/>
        <w:rPr>
          <w:caps/>
          <w:sz w:val="24"/>
        </w:rPr>
      </w:pPr>
      <w:bookmarkStart w:id="4" w:name="TitleOfDoc"/>
      <w:r w:rsidRPr="00622347">
        <w:rPr>
          <w:caps/>
          <w:sz w:val="24"/>
          <w:szCs w:val="24"/>
          <w:lang w:val="fr-FR"/>
        </w:rPr>
        <w:t>PROPOSITIONS DE MODIFICATION DU RÈGLEMENT D</w:t>
      </w:r>
      <w:r w:rsidR="00CB6800">
        <w:rPr>
          <w:caps/>
          <w:sz w:val="24"/>
          <w:szCs w:val="24"/>
          <w:lang w:val="fr-FR"/>
        </w:rPr>
        <w:t>’</w:t>
      </w:r>
      <w:r w:rsidRPr="00622347">
        <w:rPr>
          <w:caps/>
          <w:sz w:val="24"/>
          <w:szCs w:val="24"/>
          <w:lang w:val="fr-FR"/>
        </w:rPr>
        <w:t>EXÉCUTION COMMUN À L</w:t>
      </w:r>
      <w:r w:rsidR="00CB6800">
        <w:rPr>
          <w:caps/>
          <w:sz w:val="24"/>
          <w:szCs w:val="24"/>
          <w:lang w:val="fr-FR"/>
        </w:rPr>
        <w:t>’</w:t>
      </w:r>
      <w:r w:rsidRPr="00622347">
        <w:rPr>
          <w:caps/>
          <w:sz w:val="24"/>
          <w:szCs w:val="24"/>
          <w:lang w:val="fr-FR"/>
        </w:rPr>
        <w:t>ARRANGEMENT DE LISBONNE ET À L</w:t>
      </w:r>
      <w:r w:rsidR="00CB6800">
        <w:rPr>
          <w:caps/>
          <w:sz w:val="24"/>
          <w:szCs w:val="24"/>
          <w:lang w:val="fr-FR"/>
        </w:rPr>
        <w:t>’</w:t>
      </w:r>
      <w:r w:rsidRPr="00622347">
        <w:rPr>
          <w:caps/>
          <w:sz w:val="24"/>
          <w:szCs w:val="24"/>
          <w:lang w:val="fr-FR"/>
        </w:rPr>
        <w:t>ACTE DE GENÈVE DE L</w:t>
      </w:r>
      <w:r w:rsidR="00CB6800">
        <w:rPr>
          <w:caps/>
          <w:sz w:val="24"/>
          <w:szCs w:val="24"/>
          <w:lang w:val="fr-FR"/>
        </w:rPr>
        <w:t>’</w:t>
      </w:r>
      <w:r w:rsidRPr="00622347">
        <w:rPr>
          <w:caps/>
          <w:sz w:val="24"/>
          <w:szCs w:val="24"/>
          <w:lang w:val="fr-FR"/>
        </w:rPr>
        <w:t>ARRANGEMENT DE LISBONNE</w:t>
      </w:r>
    </w:p>
    <w:p w:rsidR="008B2CC1" w:rsidRPr="008B2CC1" w:rsidRDefault="00043521" w:rsidP="00B1090C">
      <w:pPr>
        <w:spacing w:after="1040"/>
        <w:rPr>
          <w:i/>
        </w:rPr>
      </w:pPr>
      <w:bookmarkStart w:id="5" w:name="Prepared"/>
      <w:bookmarkEnd w:id="4"/>
      <w:bookmarkEnd w:id="5"/>
      <w:r>
        <w:rPr>
          <w:i/>
        </w:rPr>
        <w:t>Document établi par le Secrétariat</w:t>
      </w:r>
    </w:p>
    <w:p w:rsidR="00043521" w:rsidRPr="00622347" w:rsidRDefault="00043521" w:rsidP="002723CA">
      <w:pPr>
        <w:pStyle w:val="Heading1"/>
      </w:pPr>
      <w:r w:rsidRPr="00622347">
        <w:t>I</w:t>
      </w:r>
      <w:r w:rsidR="002723CA">
        <w:t>ntroduction</w:t>
      </w:r>
    </w:p>
    <w:p w:rsidR="00043521" w:rsidRDefault="00043521" w:rsidP="002723CA">
      <w:pPr>
        <w:pStyle w:val="ONUMFS"/>
        <w:rPr>
          <w:szCs w:val="22"/>
          <w:lang w:val="fr-FR"/>
        </w:rPr>
      </w:pPr>
      <w:r w:rsidRPr="0003381A">
        <w:rPr>
          <w:lang w:val="fr-FR"/>
        </w:rPr>
        <w:t>L</w:t>
      </w:r>
      <w:r w:rsidR="00CB6800">
        <w:rPr>
          <w:lang w:val="fr-FR"/>
        </w:rPr>
        <w:t>’</w:t>
      </w:r>
      <w:r w:rsidRPr="0003381A">
        <w:rPr>
          <w:lang w:val="fr-FR"/>
        </w:rPr>
        <w:t>entrée en vigueur, le 26 février 2020, de l</w:t>
      </w:r>
      <w:r w:rsidR="00CB6800">
        <w:rPr>
          <w:lang w:val="fr-FR"/>
        </w:rPr>
        <w:t>’</w:t>
      </w:r>
      <w:r w:rsidRPr="0003381A">
        <w:rPr>
          <w:lang w:val="fr-FR"/>
        </w:rPr>
        <w:t>Acte de Genève de l</w:t>
      </w:r>
      <w:r w:rsidR="00CB6800">
        <w:rPr>
          <w:lang w:val="fr-FR"/>
        </w:rPr>
        <w:t>’</w:t>
      </w:r>
      <w:r w:rsidRPr="0003381A">
        <w:rPr>
          <w:lang w:val="fr-FR"/>
        </w:rPr>
        <w:t>Arrangement de Lisbonne concernant les appellations d</w:t>
      </w:r>
      <w:r w:rsidR="00CB6800">
        <w:rPr>
          <w:lang w:val="fr-FR"/>
        </w:rPr>
        <w:t>’</w:t>
      </w:r>
      <w:r w:rsidRPr="0003381A">
        <w:rPr>
          <w:lang w:val="fr-FR"/>
        </w:rPr>
        <w:t>origine et les indications géographiques (ci</w:t>
      </w:r>
      <w:r w:rsidR="002723CA">
        <w:rPr>
          <w:lang w:val="fr-FR"/>
        </w:rPr>
        <w:noBreakHyphen/>
      </w:r>
      <w:r w:rsidRPr="0003381A">
        <w:rPr>
          <w:lang w:val="fr-FR"/>
        </w:rPr>
        <w:t xml:space="preserve">après dénommé </w:t>
      </w:r>
      <w:r>
        <w:rPr>
          <w:lang w:val="fr-FR"/>
        </w:rPr>
        <w:t>“</w:t>
      </w:r>
      <w:r w:rsidRPr="0003381A">
        <w:rPr>
          <w:lang w:val="fr-FR"/>
        </w:rPr>
        <w:t>Acte de Genève</w:t>
      </w:r>
      <w:r>
        <w:rPr>
          <w:lang w:val="fr-FR"/>
        </w:rPr>
        <w:t>”</w:t>
      </w:r>
      <w:r w:rsidRPr="0003381A">
        <w:rPr>
          <w:lang w:val="fr-FR"/>
        </w:rPr>
        <w:t>) a mis en évidence la nécessité d</w:t>
      </w:r>
      <w:r w:rsidR="00CB6800">
        <w:rPr>
          <w:lang w:val="fr-FR"/>
        </w:rPr>
        <w:t>’</w:t>
      </w:r>
      <w:r w:rsidRPr="0003381A">
        <w:rPr>
          <w:lang w:val="fr-FR"/>
        </w:rPr>
        <w:t>envisager des modifications du règlement d</w:t>
      </w:r>
      <w:r w:rsidR="00CB6800">
        <w:rPr>
          <w:lang w:val="fr-FR"/>
        </w:rPr>
        <w:t>’</w:t>
      </w:r>
      <w:r w:rsidRPr="0003381A">
        <w:rPr>
          <w:lang w:val="fr-FR"/>
        </w:rPr>
        <w:t>exécution commun à l</w:t>
      </w:r>
      <w:r w:rsidR="00CB6800">
        <w:rPr>
          <w:lang w:val="fr-FR"/>
        </w:rPr>
        <w:t>’</w:t>
      </w:r>
      <w:r w:rsidRPr="0003381A">
        <w:rPr>
          <w:lang w:val="fr-FR"/>
        </w:rPr>
        <w:t>Arrangement de Lisbonne concernant la protection des appellations d</w:t>
      </w:r>
      <w:r w:rsidR="00CB6800">
        <w:rPr>
          <w:lang w:val="fr-FR"/>
        </w:rPr>
        <w:t>’</w:t>
      </w:r>
      <w:r w:rsidRPr="0003381A">
        <w:rPr>
          <w:lang w:val="fr-FR"/>
        </w:rPr>
        <w:t>origine et leur enregistrement international et à l</w:t>
      </w:r>
      <w:r w:rsidR="00CB6800">
        <w:rPr>
          <w:lang w:val="fr-FR"/>
        </w:rPr>
        <w:t>’</w:t>
      </w:r>
      <w:r w:rsidRPr="0003381A">
        <w:rPr>
          <w:lang w:val="fr-FR"/>
        </w:rPr>
        <w:t>Acte de Genève de l</w:t>
      </w:r>
      <w:r w:rsidR="00CB6800">
        <w:rPr>
          <w:lang w:val="fr-FR"/>
        </w:rPr>
        <w:t>’</w:t>
      </w:r>
      <w:r w:rsidRPr="0003381A">
        <w:rPr>
          <w:lang w:val="fr-FR"/>
        </w:rPr>
        <w:t>Arrangement de Lisbonne concernant les appellations d</w:t>
      </w:r>
      <w:r w:rsidR="00CB6800">
        <w:rPr>
          <w:lang w:val="fr-FR"/>
        </w:rPr>
        <w:t>’</w:t>
      </w:r>
      <w:r w:rsidRPr="0003381A">
        <w:rPr>
          <w:lang w:val="fr-FR"/>
        </w:rPr>
        <w:t>origine et les indications géographiques (ci</w:t>
      </w:r>
      <w:r w:rsidR="002723CA">
        <w:rPr>
          <w:lang w:val="fr-FR"/>
        </w:rPr>
        <w:noBreakHyphen/>
      </w:r>
      <w:r w:rsidRPr="0003381A">
        <w:rPr>
          <w:lang w:val="fr-FR"/>
        </w:rPr>
        <w:t xml:space="preserve">après dénommé </w:t>
      </w:r>
      <w:r>
        <w:rPr>
          <w:lang w:val="fr-FR"/>
        </w:rPr>
        <w:t>“</w:t>
      </w:r>
      <w:r w:rsidRPr="0003381A">
        <w:rPr>
          <w:lang w:val="fr-FR"/>
        </w:rPr>
        <w:t>règlement d</w:t>
      </w:r>
      <w:r w:rsidR="00CB6800">
        <w:rPr>
          <w:lang w:val="fr-FR"/>
        </w:rPr>
        <w:t>’</w:t>
      </w:r>
      <w:r w:rsidRPr="0003381A">
        <w:rPr>
          <w:lang w:val="fr-FR"/>
        </w:rPr>
        <w:t>exécution commun</w:t>
      </w:r>
      <w:r>
        <w:rPr>
          <w:lang w:val="fr-FR"/>
        </w:rPr>
        <w:t>”</w:t>
      </w:r>
      <w:r w:rsidRPr="0003381A">
        <w:rPr>
          <w:lang w:val="fr-FR"/>
        </w:rPr>
        <w:t>) afin de simplifier et de rationaliser les procédures prévues par le système de Lisbonne concernant l</w:t>
      </w:r>
      <w:r w:rsidR="00CB6800">
        <w:rPr>
          <w:lang w:val="fr-FR"/>
        </w:rPr>
        <w:t>’</w:t>
      </w:r>
      <w:r w:rsidRPr="0003381A">
        <w:rPr>
          <w:lang w:val="fr-FR"/>
        </w:rPr>
        <w:t>enregistrement international des appellations d</w:t>
      </w:r>
      <w:r w:rsidR="00CB6800">
        <w:rPr>
          <w:lang w:val="fr-FR"/>
        </w:rPr>
        <w:t>’</w:t>
      </w:r>
      <w:r w:rsidRPr="0003381A">
        <w:rPr>
          <w:lang w:val="fr-FR"/>
        </w:rPr>
        <w:t>origine et des indications géographiques (ci</w:t>
      </w:r>
      <w:r w:rsidR="002723CA">
        <w:rPr>
          <w:lang w:val="fr-FR"/>
        </w:rPr>
        <w:noBreakHyphen/>
      </w:r>
      <w:r w:rsidRPr="0003381A">
        <w:rPr>
          <w:lang w:val="fr-FR"/>
        </w:rPr>
        <w:t xml:space="preserve">après dénommé </w:t>
      </w:r>
      <w:r>
        <w:rPr>
          <w:lang w:val="fr-FR"/>
        </w:rPr>
        <w:t>“</w:t>
      </w:r>
      <w:r w:rsidRPr="0003381A">
        <w:rPr>
          <w:lang w:val="fr-FR"/>
        </w:rPr>
        <w:t>système de Lisbonne</w:t>
      </w:r>
      <w:r>
        <w:rPr>
          <w:lang w:val="fr-FR"/>
        </w:rPr>
        <w:t>”</w:t>
      </w:r>
      <w:r w:rsidRPr="0003381A">
        <w:rPr>
          <w:lang w:val="fr-FR"/>
        </w:rPr>
        <w:t>), et aussi d</w:t>
      </w:r>
      <w:r w:rsidR="00CB6800">
        <w:rPr>
          <w:lang w:val="fr-FR"/>
        </w:rPr>
        <w:t>’</w:t>
      </w:r>
      <w:r w:rsidRPr="0003381A">
        <w:rPr>
          <w:lang w:val="fr-FR"/>
        </w:rPr>
        <w:t>apporter plus de précisions aux utilisateurs du système de Lisbonne</w:t>
      </w:r>
      <w:r w:rsidRPr="00622347">
        <w:rPr>
          <w:lang w:val="fr-FR"/>
        </w:rPr>
        <w:t>.</w:t>
      </w:r>
    </w:p>
    <w:p w:rsidR="00043521" w:rsidRPr="00E262ED" w:rsidRDefault="00043521" w:rsidP="002723CA">
      <w:pPr>
        <w:pStyle w:val="ONUMFS"/>
        <w:rPr>
          <w:lang w:val="fr-FR"/>
        </w:rPr>
      </w:pPr>
      <w:r w:rsidRPr="00D76660">
        <w:rPr>
          <w:lang w:val="fr-FR"/>
        </w:rPr>
        <w:t>Dès lors, à sa quatr</w:t>
      </w:r>
      <w:r w:rsidR="00CB6800">
        <w:rPr>
          <w:lang w:val="fr-FR"/>
        </w:rPr>
        <w:t>ième session</w:t>
      </w:r>
      <w:r w:rsidRPr="00D76660">
        <w:rPr>
          <w:lang w:val="fr-FR"/>
        </w:rPr>
        <w:t xml:space="preserve"> tenue du 14 au 16 juin 2022, le Groupe de travail sur le développement du système de Lisbonne (ci</w:t>
      </w:r>
      <w:r w:rsidR="002723CA">
        <w:rPr>
          <w:lang w:val="fr-FR"/>
        </w:rPr>
        <w:noBreakHyphen/>
      </w:r>
      <w:r w:rsidRPr="00D76660">
        <w:rPr>
          <w:lang w:val="fr-FR"/>
        </w:rPr>
        <w:t xml:space="preserve">après dénommé </w:t>
      </w:r>
      <w:r>
        <w:rPr>
          <w:lang w:val="fr-FR"/>
        </w:rPr>
        <w:t>“</w:t>
      </w:r>
      <w:r w:rsidRPr="00D76660">
        <w:rPr>
          <w:lang w:val="fr-FR"/>
        </w:rPr>
        <w:t>groupe de travail</w:t>
      </w:r>
      <w:r>
        <w:rPr>
          <w:lang w:val="fr-FR"/>
        </w:rPr>
        <w:t>”</w:t>
      </w:r>
      <w:r w:rsidRPr="00D76660">
        <w:rPr>
          <w:lang w:val="fr-FR"/>
        </w:rPr>
        <w:t>) a recommandé des modifications des règles 7, 8, 9, 15 et 16 du règlement d</w:t>
      </w:r>
      <w:r w:rsidR="00CB6800">
        <w:rPr>
          <w:lang w:val="fr-FR"/>
        </w:rPr>
        <w:t>’</w:t>
      </w:r>
      <w:r w:rsidRPr="00D76660">
        <w:rPr>
          <w:lang w:val="fr-FR"/>
        </w:rPr>
        <w:t xml:space="preserve">exécution commun pour adoption </w:t>
      </w:r>
      <w:r w:rsidRPr="00D76660">
        <w:rPr>
          <w:lang w:val="fr-FR"/>
        </w:rPr>
        <w:lastRenderedPageBreak/>
        <w:t>par l</w:t>
      </w:r>
      <w:r w:rsidR="00CB6800">
        <w:rPr>
          <w:lang w:val="fr-FR"/>
        </w:rPr>
        <w:t>’</w:t>
      </w:r>
      <w:r w:rsidRPr="00D76660">
        <w:rPr>
          <w:lang w:val="fr-FR"/>
        </w:rPr>
        <w:t>Assemblée de l</w:t>
      </w:r>
      <w:r w:rsidR="00CB6800">
        <w:rPr>
          <w:lang w:val="fr-FR"/>
        </w:rPr>
        <w:t>’</w:t>
      </w:r>
      <w:r w:rsidRPr="00D76660">
        <w:rPr>
          <w:lang w:val="fr-FR"/>
        </w:rPr>
        <w:t>Union de Lisbonne à sa trente</w:t>
      </w:r>
      <w:r w:rsidR="002723CA">
        <w:rPr>
          <w:lang w:val="fr-FR"/>
        </w:rPr>
        <w:noBreakHyphen/>
      </w:r>
      <w:r w:rsidRPr="00D76660">
        <w:rPr>
          <w:lang w:val="fr-FR"/>
        </w:rPr>
        <w:t>neuv</w:t>
      </w:r>
      <w:r w:rsidR="00CB6800">
        <w:rPr>
          <w:lang w:val="fr-FR"/>
        </w:rPr>
        <w:t>ième session</w:t>
      </w:r>
      <w:r w:rsidRPr="00D76660">
        <w:rPr>
          <w:lang w:val="fr-FR"/>
        </w:rPr>
        <w:t xml:space="preserve"> (15</w:t>
      </w:r>
      <w:r w:rsidRPr="00D76660">
        <w:rPr>
          <w:vertAlign w:val="superscript"/>
          <w:lang w:val="fr-FR"/>
        </w:rPr>
        <w:t>e</w:t>
      </w:r>
      <w:r w:rsidRPr="00D76660">
        <w:rPr>
          <w:lang w:val="fr-FR"/>
        </w:rPr>
        <w:t xml:space="preserve"> session extraordinaire) (voir le paragraphe 12 du </w:t>
      </w:r>
      <w:r w:rsidR="00CB6800" w:rsidRPr="00D76660">
        <w:rPr>
          <w:lang w:val="fr-FR"/>
        </w:rPr>
        <w:t>document</w:t>
      </w:r>
      <w:r w:rsidR="002723CA">
        <w:rPr>
          <w:lang w:val="fr-FR"/>
        </w:rPr>
        <w:t> </w:t>
      </w:r>
      <w:r w:rsidR="00CB6800" w:rsidRPr="00D76660">
        <w:rPr>
          <w:lang w:val="fr-FR"/>
        </w:rPr>
        <w:t>LI</w:t>
      </w:r>
      <w:r w:rsidRPr="00D76660">
        <w:rPr>
          <w:lang w:val="fr-FR"/>
        </w:rPr>
        <w:t>/WG/DEV</w:t>
      </w:r>
      <w:r w:rsidR="002723CA">
        <w:rPr>
          <w:lang w:val="fr-FR"/>
        </w:rPr>
        <w:noBreakHyphen/>
      </w:r>
      <w:r w:rsidRPr="00D76660">
        <w:rPr>
          <w:lang w:val="fr-FR"/>
        </w:rPr>
        <w:t>SYS/4/3)</w:t>
      </w:r>
      <w:r w:rsidRPr="00622347">
        <w:rPr>
          <w:szCs w:val="22"/>
          <w:lang w:val="fr-FR"/>
        </w:rPr>
        <w:t>.</w:t>
      </w:r>
    </w:p>
    <w:p w:rsidR="00043521" w:rsidRPr="000A20B6" w:rsidRDefault="00043521" w:rsidP="002723CA">
      <w:pPr>
        <w:pStyle w:val="ONUMFS"/>
        <w:rPr>
          <w:lang w:val="fr-FR"/>
        </w:rPr>
      </w:pPr>
      <w:r>
        <w:rPr>
          <w:lang w:val="fr-FR"/>
        </w:rPr>
        <w:t xml:space="preserve">Les délibérations du groupe de travail ont eu lieu sur la base du </w:t>
      </w:r>
      <w:r w:rsidR="00CB6800" w:rsidRPr="00622347">
        <w:rPr>
          <w:lang w:val="fr-FR"/>
        </w:rPr>
        <w:t>document</w:t>
      </w:r>
      <w:r w:rsidR="002723CA">
        <w:rPr>
          <w:lang w:val="fr-FR"/>
        </w:rPr>
        <w:t> </w:t>
      </w:r>
      <w:r w:rsidR="00CB6800" w:rsidRPr="00622347">
        <w:rPr>
          <w:lang w:val="fr-FR"/>
        </w:rPr>
        <w:t>LI</w:t>
      </w:r>
      <w:r w:rsidRPr="00622347">
        <w:rPr>
          <w:lang w:val="fr-FR"/>
        </w:rPr>
        <w:t>/WG/DEV</w:t>
      </w:r>
      <w:r w:rsidR="002723CA">
        <w:rPr>
          <w:lang w:val="fr-FR"/>
        </w:rPr>
        <w:noBreakHyphen/>
      </w:r>
      <w:r w:rsidRPr="00622347">
        <w:rPr>
          <w:lang w:val="fr-FR"/>
        </w:rPr>
        <w:t xml:space="preserve">SYS/4/2 </w:t>
      </w:r>
      <w:r>
        <w:rPr>
          <w:lang w:val="fr-FR"/>
        </w:rPr>
        <w:t>et d</w:t>
      </w:r>
      <w:r w:rsidRPr="000A20B6">
        <w:rPr>
          <w:lang w:val="fr-FR"/>
        </w:rPr>
        <w:t>es autres propositions de modification soumises par les délégations au cours de la session du groupe de trava</w:t>
      </w:r>
      <w:r w:rsidR="002723CA" w:rsidRPr="000A20B6">
        <w:rPr>
          <w:lang w:val="fr-FR"/>
        </w:rPr>
        <w:t>il</w:t>
      </w:r>
      <w:r w:rsidR="002723CA">
        <w:rPr>
          <w:lang w:val="fr-FR"/>
        </w:rPr>
        <w:t xml:space="preserve">.  </w:t>
      </w:r>
      <w:r w:rsidR="002723CA" w:rsidRPr="000A20B6">
        <w:rPr>
          <w:lang w:val="fr-FR"/>
        </w:rPr>
        <w:t>De</w:t>
      </w:r>
      <w:r w:rsidRPr="000A20B6">
        <w:rPr>
          <w:lang w:val="fr-FR"/>
        </w:rPr>
        <w:t>s informations générales sur les modifications qu</w:t>
      </w:r>
      <w:r w:rsidR="00CB6800">
        <w:rPr>
          <w:lang w:val="fr-FR"/>
        </w:rPr>
        <w:t>’</w:t>
      </w:r>
      <w:r w:rsidRPr="000A20B6">
        <w:rPr>
          <w:lang w:val="fr-FR"/>
        </w:rPr>
        <w:t>il est proposé d</w:t>
      </w:r>
      <w:r w:rsidR="00CB6800">
        <w:rPr>
          <w:lang w:val="fr-FR"/>
        </w:rPr>
        <w:t>’</w:t>
      </w:r>
      <w:r w:rsidRPr="000A20B6">
        <w:rPr>
          <w:lang w:val="fr-FR"/>
        </w:rPr>
        <w:t>apporter au règlement d</w:t>
      </w:r>
      <w:r w:rsidR="00CB6800">
        <w:rPr>
          <w:lang w:val="fr-FR"/>
        </w:rPr>
        <w:t>’</w:t>
      </w:r>
      <w:r w:rsidRPr="000A20B6">
        <w:rPr>
          <w:lang w:val="fr-FR"/>
        </w:rPr>
        <w:t>exécution commun sont fournies ci</w:t>
      </w:r>
      <w:r w:rsidR="002723CA">
        <w:rPr>
          <w:lang w:val="fr-FR"/>
        </w:rPr>
        <w:noBreakHyphen/>
      </w:r>
      <w:r w:rsidRPr="000A20B6">
        <w:rPr>
          <w:lang w:val="fr-FR"/>
        </w:rPr>
        <w:t>apr</w:t>
      </w:r>
      <w:r w:rsidR="002723CA" w:rsidRPr="000A20B6">
        <w:rPr>
          <w:lang w:val="fr-FR"/>
        </w:rPr>
        <w:t>ès</w:t>
      </w:r>
      <w:r w:rsidR="002723CA">
        <w:rPr>
          <w:lang w:val="fr-FR"/>
        </w:rPr>
        <w:t xml:space="preserve">.  </w:t>
      </w:r>
      <w:r w:rsidR="002723CA" w:rsidRPr="000A20B6">
        <w:rPr>
          <w:lang w:val="fr-FR"/>
        </w:rPr>
        <w:t>Le</w:t>
      </w:r>
      <w:r w:rsidRPr="000A20B6">
        <w:rPr>
          <w:lang w:val="fr-FR"/>
        </w:rPr>
        <w:t>s modifications proposées sont reproduites dans l</w:t>
      </w:r>
      <w:r w:rsidR="00CB6800">
        <w:rPr>
          <w:lang w:val="fr-FR"/>
        </w:rPr>
        <w:t>’</w:t>
      </w:r>
      <w:r w:rsidRPr="000A20B6">
        <w:rPr>
          <w:lang w:val="fr-FR"/>
        </w:rPr>
        <w:t>annexe du présent document (les modifications proposées sont soulignées ou biffées)</w:t>
      </w:r>
      <w:r w:rsidRPr="00622347">
        <w:rPr>
          <w:lang w:val="fr-FR"/>
        </w:rPr>
        <w:t>.</w:t>
      </w:r>
    </w:p>
    <w:p w:rsidR="00043521" w:rsidRPr="002723CA" w:rsidRDefault="002723CA" w:rsidP="002723CA">
      <w:pPr>
        <w:pStyle w:val="Heading1"/>
      </w:pPr>
      <w:r w:rsidRPr="002723CA">
        <w:t>Propositions de modification du règlement d’exécution commun</w:t>
      </w:r>
    </w:p>
    <w:p w:rsidR="00043521" w:rsidRDefault="00043521" w:rsidP="002723CA">
      <w:pPr>
        <w:pStyle w:val="ONUMFS"/>
        <w:rPr>
          <w:lang w:val="fr-FR"/>
        </w:rPr>
      </w:pPr>
      <w:r w:rsidRPr="00050B36">
        <w:rPr>
          <w:lang w:val="fr-FR"/>
        </w:rPr>
        <w:t>Les modifications qu</w:t>
      </w:r>
      <w:r w:rsidR="00CB6800">
        <w:rPr>
          <w:lang w:val="fr-FR"/>
        </w:rPr>
        <w:t>’</w:t>
      </w:r>
      <w:r w:rsidRPr="00050B36">
        <w:rPr>
          <w:lang w:val="fr-FR"/>
        </w:rPr>
        <w:t>il est proposé d</w:t>
      </w:r>
      <w:r w:rsidR="00CB6800">
        <w:rPr>
          <w:lang w:val="fr-FR"/>
        </w:rPr>
        <w:t>’</w:t>
      </w:r>
      <w:r w:rsidRPr="00050B36">
        <w:rPr>
          <w:lang w:val="fr-FR"/>
        </w:rPr>
        <w:t>apporter à la règle 7.4)a) visent à préciser qu</w:t>
      </w:r>
      <w:r w:rsidR="00CB6800">
        <w:rPr>
          <w:lang w:val="fr-FR"/>
        </w:rPr>
        <w:t>’</w:t>
      </w:r>
      <w:r w:rsidRPr="00050B36">
        <w:rPr>
          <w:lang w:val="fr-FR"/>
        </w:rPr>
        <w:t>en cas de ratification de l</w:t>
      </w:r>
      <w:r w:rsidR="00CB6800">
        <w:rPr>
          <w:lang w:val="fr-FR"/>
        </w:rPr>
        <w:t>’</w:t>
      </w:r>
      <w:r w:rsidRPr="00050B36">
        <w:rPr>
          <w:lang w:val="fr-FR"/>
        </w:rPr>
        <w:t>Acte de Genève ou d</w:t>
      </w:r>
      <w:r w:rsidR="00CB6800">
        <w:rPr>
          <w:lang w:val="fr-FR"/>
        </w:rPr>
        <w:t>’</w:t>
      </w:r>
      <w:r w:rsidRPr="00050B36">
        <w:rPr>
          <w:lang w:val="fr-FR"/>
        </w:rPr>
        <w:t>adhésion à cet Acte par un État partie à l</w:t>
      </w:r>
      <w:r w:rsidR="00CB6800">
        <w:rPr>
          <w:lang w:val="fr-FR"/>
        </w:rPr>
        <w:t>’</w:t>
      </w:r>
      <w:r w:rsidRPr="00050B36">
        <w:rPr>
          <w:lang w:val="fr-FR"/>
        </w:rPr>
        <w:t xml:space="preserve">Acte </w:t>
      </w:r>
      <w:r w:rsidR="00CB6800" w:rsidRPr="00050B36">
        <w:rPr>
          <w:lang w:val="fr-FR"/>
        </w:rPr>
        <w:t>de</w:t>
      </w:r>
      <w:r w:rsidR="00CB6800">
        <w:rPr>
          <w:lang w:val="fr-FR"/>
        </w:rPr>
        <w:t> </w:t>
      </w:r>
      <w:r w:rsidR="00CB6800" w:rsidRPr="00050B36">
        <w:rPr>
          <w:lang w:val="fr-FR"/>
        </w:rPr>
        <w:t>1967</w:t>
      </w:r>
      <w:r w:rsidRPr="00050B36">
        <w:rPr>
          <w:lang w:val="fr-FR"/>
        </w:rPr>
        <w:t>, seules les modifications concernant un élément obligatoire visé à la règle 5.2) du règlement d</w:t>
      </w:r>
      <w:r w:rsidR="00CB6800">
        <w:rPr>
          <w:lang w:val="fr-FR"/>
        </w:rPr>
        <w:t>’</w:t>
      </w:r>
      <w:r w:rsidRPr="00050B36">
        <w:rPr>
          <w:lang w:val="fr-FR"/>
        </w:rPr>
        <w:t>exécution commun seraient soumises au paiement de la taxe de modification prévue à la règle 8.1), tandis que les modifications apportées pour satisfaire à toute exigence supplémentaire fondée sur une notification faite en vertu de la règle 5.3) ou 4) du règlement d</w:t>
      </w:r>
      <w:r w:rsidR="00CB6800">
        <w:rPr>
          <w:lang w:val="fr-FR"/>
        </w:rPr>
        <w:t>’</w:t>
      </w:r>
      <w:r w:rsidRPr="00050B36">
        <w:rPr>
          <w:lang w:val="fr-FR"/>
        </w:rPr>
        <w:t>exécution commun ne seraient pas soumises au paiement de la taxe de modification</w:t>
      </w:r>
      <w:r w:rsidRPr="00622347">
        <w:rPr>
          <w:lang w:val="fr-FR"/>
        </w:rPr>
        <w:t>.</w:t>
      </w:r>
    </w:p>
    <w:p w:rsidR="00043521" w:rsidRDefault="00043521" w:rsidP="002723CA">
      <w:pPr>
        <w:pStyle w:val="ONUMFS"/>
        <w:rPr>
          <w:lang w:val="fr-FR"/>
        </w:rPr>
      </w:pPr>
      <w:r w:rsidRPr="00041C06">
        <w:rPr>
          <w:lang w:val="fr-FR"/>
        </w:rPr>
        <w:t>Les modifications qu</w:t>
      </w:r>
      <w:r w:rsidR="00CB6800">
        <w:rPr>
          <w:lang w:val="fr-FR"/>
        </w:rPr>
        <w:t>’</w:t>
      </w:r>
      <w:r w:rsidRPr="00041C06">
        <w:rPr>
          <w:lang w:val="fr-FR"/>
        </w:rPr>
        <w:t>il est proposé d</w:t>
      </w:r>
      <w:r w:rsidR="00CB6800">
        <w:rPr>
          <w:lang w:val="fr-FR"/>
        </w:rPr>
        <w:t>’</w:t>
      </w:r>
      <w:r w:rsidRPr="00041C06">
        <w:rPr>
          <w:lang w:val="fr-FR"/>
        </w:rPr>
        <w:t>apporter à la règle 8.1)ii) ont pour objet d</w:t>
      </w:r>
      <w:r w:rsidR="00CB6800">
        <w:rPr>
          <w:lang w:val="fr-FR"/>
        </w:rPr>
        <w:t>’</w:t>
      </w:r>
      <w:r w:rsidRPr="00041C06">
        <w:rPr>
          <w:lang w:val="fr-FR"/>
        </w:rPr>
        <w:t>uniformiser le montant de la taxe à payer pour une ou plusieurs modifications présentées dans la même deman</w:t>
      </w:r>
      <w:r w:rsidR="002723CA" w:rsidRPr="00041C06">
        <w:rPr>
          <w:lang w:val="fr-FR"/>
        </w:rPr>
        <w:t>de</w:t>
      </w:r>
      <w:r w:rsidR="002723CA">
        <w:rPr>
          <w:lang w:val="fr-FR"/>
        </w:rPr>
        <w:t xml:space="preserve">.  </w:t>
      </w:r>
      <w:r w:rsidR="002723CA" w:rsidRPr="00041C06">
        <w:rPr>
          <w:lang w:val="fr-FR"/>
        </w:rPr>
        <w:t>La</w:t>
      </w:r>
      <w:r w:rsidRPr="00041C06">
        <w:rPr>
          <w:lang w:val="fr-FR"/>
        </w:rPr>
        <w:t xml:space="preserve"> taxe pour une seule modification resterait fixée à 500 francs suisses, tandis qu</w:t>
      </w:r>
      <w:r w:rsidR="00CB6800">
        <w:rPr>
          <w:lang w:val="fr-FR"/>
        </w:rPr>
        <w:t>’</w:t>
      </w:r>
      <w:r w:rsidRPr="00041C06">
        <w:rPr>
          <w:lang w:val="fr-FR"/>
        </w:rPr>
        <w:t>il est proposé d</w:t>
      </w:r>
      <w:r w:rsidR="00CB6800">
        <w:rPr>
          <w:lang w:val="fr-FR"/>
        </w:rPr>
        <w:t>’</w:t>
      </w:r>
      <w:r w:rsidRPr="00041C06">
        <w:rPr>
          <w:lang w:val="fr-FR"/>
        </w:rPr>
        <w:t>introduire une taxe complémentaire pour une ou plusieurs modifications supplémentaires présentées dans la même demande, pour un montant total supplémentaire de 300 francs suiss</w:t>
      </w:r>
      <w:r w:rsidR="002723CA" w:rsidRPr="00041C06">
        <w:rPr>
          <w:lang w:val="fr-FR"/>
        </w:rPr>
        <w:t>es</w:t>
      </w:r>
      <w:r w:rsidR="002723CA">
        <w:rPr>
          <w:lang w:val="fr-FR"/>
        </w:rPr>
        <w:t xml:space="preserve">.  </w:t>
      </w:r>
      <w:r w:rsidR="002723CA" w:rsidRPr="00041C06">
        <w:rPr>
          <w:lang w:val="fr-FR"/>
        </w:rPr>
        <w:t>Le</w:t>
      </w:r>
      <w:r w:rsidRPr="00041C06">
        <w:rPr>
          <w:lang w:val="fr-FR"/>
        </w:rPr>
        <w:t>s propos</w:t>
      </w:r>
      <w:r>
        <w:rPr>
          <w:lang w:val="fr-FR"/>
        </w:rPr>
        <w:t>ition</w:t>
      </w:r>
      <w:r w:rsidRPr="00041C06">
        <w:rPr>
          <w:lang w:val="fr-FR"/>
        </w:rPr>
        <w:t xml:space="preserve">s </w:t>
      </w:r>
      <w:r>
        <w:rPr>
          <w:lang w:val="fr-FR"/>
        </w:rPr>
        <w:t xml:space="preserve">de </w:t>
      </w:r>
      <w:r w:rsidRPr="00041C06">
        <w:rPr>
          <w:lang w:val="fr-FR"/>
        </w:rPr>
        <w:t>modification figurant dans la note de bas de page précisent que ces montants seraient réduits de 50% pour les enregistrements internationaux désignant une aire géographique d</w:t>
      </w:r>
      <w:r w:rsidR="00CB6800">
        <w:rPr>
          <w:lang w:val="fr-FR"/>
        </w:rPr>
        <w:t>’</w:t>
      </w:r>
      <w:r w:rsidRPr="00041C06">
        <w:rPr>
          <w:lang w:val="fr-FR"/>
        </w:rPr>
        <w:t>origine située dans un pays de la catégorie des moins avancés (PMA)</w:t>
      </w:r>
      <w:r w:rsidRPr="00622347">
        <w:rPr>
          <w:lang w:val="fr-FR"/>
        </w:rPr>
        <w:t>.</w:t>
      </w:r>
    </w:p>
    <w:p w:rsidR="00043521" w:rsidRDefault="00043521" w:rsidP="002723CA">
      <w:pPr>
        <w:pStyle w:val="ONUMFS"/>
        <w:rPr>
          <w:lang w:val="fr-FR"/>
        </w:rPr>
      </w:pPr>
      <w:r w:rsidRPr="00B96664">
        <w:rPr>
          <w:lang w:val="fr-FR"/>
        </w:rPr>
        <w:t>Les modifications qu</w:t>
      </w:r>
      <w:r w:rsidR="00CB6800">
        <w:rPr>
          <w:lang w:val="fr-FR"/>
        </w:rPr>
        <w:t>’</w:t>
      </w:r>
      <w:r w:rsidRPr="00B96664">
        <w:rPr>
          <w:lang w:val="fr-FR"/>
        </w:rPr>
        <w:t>il est proposé d</w:t>
      </w:r>
      <w:r w:rsidR="00CB6800">
        <w:rPr>
          <w:lang w:val="fr-FR"/>
        </w:rPr>
        <w:t>’</w:t>
      </w:r>
      <w:r w:rsidRPr="00B96664">
        <w:rPr>
          <w:lang w:val="fr-FR"/>
        </w:rPr>
        <w:t>apporter à la règle 9.1)b) et c) du règlement d</w:t>
      </w:r>
      <w:r w:rsidR="00CB6800">
        <w:rPr>
          <w:lang w:val="fr-FR"/>
        </w:rPr>
        <w:t>’</w:t>
      </w:r>
      <w:r w:rsidRPr="00B96664">
        <w:rPr>
          <w:lang w:val="fr-FR"/>
        </w:rPr>
        <w:t>exécution commun sont uniquement d</w:t>
      </w:r>
      <w:r w:rsidR="00CB6800">
        <w:rPr>
          <w:lang w:val="fr-FR"/>
        </w:rPr>
        <w:t>’</w:t>
      </w:r>
      <w:r w:rsidRPr="00B96664">
        <w:rPr>
          <w:lang w:val="fr-FR"/>
        </w:rPr>
        <w:t>ordre rédactionnel et visent à corriger une ambiguïté</w:t>
      </w:r>
      <w:r w:rsidRPr="006461EE">
        <w:rPr>
          <w:lang w:val="fr-FR"/>
        </w:rPr>
        <w:t xml:space="preserve"> </w:t>
      </w:r>
      <w:r w:rsidRPr="00765BF3">
        <w:rPr>
          <w:lang w:val="fr-FR"/>
        </w:rPr>
        <w:t>subsistant à la règle 9.1) dans son libellé actuellement en vigue</w:t>
      </w:r>
      <w:r w:rsidR="002723CA" w:rsidRPr="00765BF3">
        <w:rPr>
          <w:lang w:val="fr-FR"/>
        </w:rPr>
        <w:t>ur</w:t>
      </w:r>
      <w:r w:rsidR="002723CA">
        <w:rPr>
          <w:lang w:val="fr-FR"/>
        </w:rPr>
        <w:t xml:space="preserve">.  </w:t>
      </w:r>
      <w:r w:rsidR="002723CA" w:rsidRPr="00B96664">
        <w:rPr>
          <w:lang w:val="fr-FR"/>
        </w:rPr>
        <w:t>Pl</w:t>
      </w:r>
      <w:r w:rsidRPr="00B96664">
        <w:rPr>
          <w:lang w:val="fr-FR"/>
        </w:rPr>
        <w:t>us précisément, les modifications proposées préciseraient que le principe général introduit au sous</w:t>
      </w:r>
      <w:r w:rsidR="002723CA">
        <w:rPr>
          <w:lang w:val="fr-FR"/>
        </w:rPr>
        <w:noBreakHyphen/>
      </w:r>
      <w:r w:rsidRPr="00B96664">
        <w:rPr>
          <w:lang w:val="fr-FR"/>
        </w:rPr>
        <w:t>alinéa c) pour faciliter la détermination de la date de début du délai de refus s</w:t>
      </w:r>
      <w:r w:rsidR="00CB6800">
        <w:rPr>
          <w:lang w:val="fr-FR"/>
        </w:rPr>
        <w:t>’</w:t>
      </w:r>
      <w:r w:rsidRPr="00B96664">
        <w:rPr>
          <w:lang w:val="fr-FR"/>
        </w:rPr>
        <w:t>applique à tous les refus reçus conformément au sous</w:t>
      </w:r>
      <w:r w:rsidR="002723CA">
        <w:rPr>
          <w:lang w:val="fr-FR"/>
        </w:rPr>
        <w:noBreakHyphen/>
      </w:r>
      <w:r w:rsidRPr="00B96664">
        <w:rPr>
          <w:lang w:val="fr-FR"/>
        </w:rPr>
        <w:t>alinéa b) et que le sous</w:t>
      </w:r>
      <w:r w:rsidR="002723CA">
        <w:rPr>
          <w:lang w:val="fr-FR"/>
        </w:rPr>
        <w:noBreakHyphen/>
      </w:r>
      <w:r w:rsidRPr="00B96664">
        <w:rPr>
          <w:lang w:val="fr-FR"/>
        </w:rPr>
        <w:t>alinéa b) doit être lu conjointement avec le sous</w:t>
      </w:r>
      <w:r w:rsidR="002723CA">
        <w:rPr>
          <w:lang w:val="fr-FR"/>
        </w:rPr>
        <w:noBreakHyphen/>
      </w:r>
      <w:r w:rsidRPr="00B96664">
        <w:rPr>
          <w:lang w:val="fr-FR"/>
        </w:rPr>
        <w:t>alinéa c), et non séparément</w:t>
      </w:r>
      <w:r w:rsidRPr="00622347">
        <w:rPr>
          <w:lang w:val="fr-FR"/>
        </w:rPr>
        <w:t>.</w:t>
      </w:r>
    </w:p>
    <w:p w:rsidR="00043521" w:rsidRDefault="00043521" w:rsidP="002723CA">
      <w:pPr>
        <w:pStyle w:val="ONUMFS"/>
        <w:rPr>
          <w:lang w:val="fr-FR"/>
        </w:rPr>
      </w:pPr>
      <w:r w:rsidRPr="00835256">
        <w:rPr>
          <w:lang w:val="fr-FR"/>
        </w:rPr>
        <w:t>S</w:t>
      </w:r>
      <w:r w:rsidR="00CB6800">
        <w:rPr>
          <w:lang w:val="fr-FR"/>
        </w:rPr>
        <w:t>’</w:t>
      </w:r>
      <w:r w:rsidRPr="00835256">
        <w:rPr>
          <w:lang w:val="fr-FR"/>
        </w:rPr>
        <w:t>agissant des modifications concernant les bénéficiaires, les modifications qu</w:t>
      </w:r>
      <w:r w:rsidR="00CB6800">
        <w:rPr>
          <w:lang w:val="fr-FR"/>
        </w:rPr>
        <w:t>’</w:t>
      </w:r>
      <w:r w:rsidRPr="00835256">
        <w:rPr>
          <w:lang w:val="fr-FR"/>
        </w:rPr>
        <w:t>il est proposé d</w:t>
      </w:r>
      <w:r w:rsidR="00CB6800">
        <w:rPr>
          <w:lang w:val="fr-FR"/>
        </w:rPr>
        <w:t>’</w:t>
      </w:r>
      <w:r w:rsidRPr="00835256">
        <w:rPr>
          <w:lang w:val="fr-FR"/>
        </w:rPr>
        <w:t>apporter à la règle</w:t>
      </w:r>
      <w:r>
        <w:rPr>
          <w:lang w:val="fr-FR"/>
        </w:rPr>
        <w:t> </w:t>
      </w:r>
      <w:r w:rsidRPr="00835256">
        <w:rPr>
          <w:lang w:val="fr-FR"/>
        </w:rPr>
        <w:t>15.1) visent à fusionner les sous</w:t>
      </w:r>
      <w:r w:rsidR="002723CA">
        <w:rPr>
          <w:lang w:val="fr-FR"/>
        </w:rPr>
        <w:noBreakHyphen/>
      </w:r>
      <w:r w:rsidRPr="00835256">
        <w:rPr>
          <w:lang w:val="fr-FR"/>
        </w:rPr>
        <w:t>alinéas i) et ii)</w:t>
      </w:r>
      <w:r w:rsidR="00B37595">
        <w:rPr>
          <w:lang w:val="fr-FR"/>
        </w:rPr>
        <w:t> </w:t>
      </w:r>
      <w:r w:rsidRPr="00835256">
        <w:rPr>
          <w:lang w:val="fr-FR"/>
        </w:rPr>
        <w:t>en un seul sous</w:t>
      </w:r>
      <w:r w:rsidR="002723CA">
        <w:rPr>
          <w:lang w:val="fr-FR"/>
        </w:rPr>
        <w:noBreakHyphen/>
      </w:r>
      <w:r w:rsidRPr="00835256">
        <w:rPr>
          <w:lang w:val="fr-FR"/>
        </w:rPr>
        <w:t>alinéa i) afin de rationaliser la procédure concernant la demande d</w:t>
      </w:r>
      <w:r w:rsidR="00CB6800">
        <w:rPr>
          <w:lang w:val="fr-FR"/>
        </w:rPr>
        <w:t>’</w:t>
      </w:r>
      <w:r w:rsidRPr="00835256">
        <w:rPr>
          <w:lang w:val="fr-FR"/>
        </w:rPr>
        <w:t>inscription de ces modifications et de réduire les sources d</w:t>
      </w:r>
      <w:r w:rsidR="00CB6800">
        <w:rPr>
          <w:lang w:val="fr-FR"/>
        </w:rPr>
        <w:t>’</w:t>
      </w:r>
      <w:r w:rsidRPr="00835256">
        <w:rPr>
          <w:lang w:val="fr-FR"/>
        </w:rPr>
        <w:t>erreurs pour les utilisateurs du système de Lisbonne</w:t>
      </w:r>
      <w:r w:rsidRPr="00622347">
        <w:rPr>
          <w:lang w:val="fr-FR"/>
        </w:rPr>
        <w:t>.</w:t>
      </w:r>
    </w:p>
    <w:p w:rsidR="00CB6800" w:rsidRDefault="00043521" w:rsidP="002723CA">
      <w:pPr>
        <w:pStyle w:val="ONUMFS"/>
        <w:rPr>
          <w:lang w:val="fr-FR"/>
        </w:rPr>
      </w:pPr>
      <w:r w:rsidRPr="001852A4">
        <w:rPr>
          <w:lang w:val="fr-FR"/>
        </w:rPr>
        <w:t>Les modifications qu</w:t>
      </w:r>
      <w:r w:rsidR="00CB6800">
        <w:rPr>
          <w:lang w:val="fr-FR"/>
        </w:rPr>
        <w:t>’</w:t>
      </w:r>
      <w:r w:rsidRPr="001852A4">
        <w:rPr>
          <w:lang w:val="fr-FR"/>
        </w:rPr>
        <w:t>il est proposé d</w:t>
      </w:r>
      <w:r w:rsidR="00CB6800">
        <w:rPr>
          <w:lang w:val="fr-FR"/>
        </w:rPr>
        <w:t>’</w:t>
      </w:r>
      <w:r w:rsidRPr="001852A4">
        <w:rPr>
          <w:lang w:val="fr-FR"/>
        </w:rPr>
        <w:t>apporter aux règles 16.2) et 15.1)vi) du règlement d</w:t>
      </w:r>
      <w:r w:rsidR="00CB6800">
        <w:rPr>
          <w:lang w:val="fr-FR"/>
        </w:rPr>
        <w:t>’</w:t>
      </w:r>
      <w:r w:rsidRPr="001852A4">
        <w:rPr>
          <w:lang w:val="fr-FR"/>
        </w:rPr>
        <w:t>exécution commun rendraient l</w:t>
      </w:r>
      <w:r w:rsidR="00CB6800">
        <w:rPr>
          <w:lang w:val="fr-FR"/>
        </w:rPr>
        <w:t>’</w:t>
      </w:r>
      <w:r w:rsidRPr="001852A4">
        <w:rPr>
          <w:lang w:val="fr-FR"/>
        </w:rPr>
        <w:t>extension de la couverture géographique des enregistrements internationaux plus accessible aux utilisateurs du système de Lisbonne dans le cas d</w:t>
      </w:r>
      <w:r w:rsidR="00CB6800">
        <w:rPr>
          <w:lang w:val="fr-FR"/>
        </w:rPr>
        <w:t>’</w:t>
      </w:r>
      <w:r w:rsidRPr="001852A4">
        <w:rPr>
          <w:lang w:val="fr-FR"/>
        </w:rPr>
        <w:t>une renonciation en vertu de la règle 6.1)d) du règlement d</w:t>
      </w:r>
      <w:r w:rsidR="00CB6800">
        <w:rPr>
          <w:lang w:val="fr-FR"/>
        </w:rPr>
        <w:t>’</w:t>
      </w:r>
      <w:r w:rsidRPr="001852A4">
        <w:rPr>
          <w:lang w:val="fr-FR"/>
        </w:rPr>
        <w:t>exécution comm</w:t>
      </w:r>
      <w:r w:rsidR="002723CA" w:rsidRPr="001852A4">
        <w:rPr>
          <w:lang w:val="fr-FR"/>
        </w:rPr>
        <w:t>un</w:t>
      </w:r>
      <w:r w:rsidR="002723CA">
        <w:rPr>
          <w:lang w:val="fr-FR"/>
        </w:rPr>
        <w:t xml:space="preserve">.  </w:t>
      </w:r>
      <w:r w:rsidR="002723CA" w:rsidRPr="001852A4">
        <w:rPr>
          <w:lang w:val="fr-FR"/>
        </w:rPr>
        <w:t>Le</w:t>
      </w:r>
      <w:r w:rsidRPr="001852A4">
        <w:rPr>
          <w:lang w:val="fr-FR"/>
        </w:rPr>
        <w:t>s titulaires d</w:t>
      </w:r>
      <w:r w:rsidR="00CB6800">
        <w:rPr>
          <w:lang w:val="fr-FR"/>
        </w:rPr>
        <w:t>’</w:t>
      </w:r>
      <w:r w:rsidRPr="001852A4">
        <w:rPr>
          <w:lang w:val="fr-FR"/>
        </w:rPr>
        <w:t>enregistrements internationaux qui décideraient de retirer une renonciation en vertu de la règle 6.1)d) du règlement d</w:t>
      </w:r>
      <w:r w:rsidR="00CB6800">
        <w:rPr>
          <w:lang w:val="fr-FR"/>
        </w:rPr>
        <w:t>’</w:t>
      </w:r>
      <w:r w:rsidRPr="001852A4">
        <w:rPr>
          <w:lang w:val="fr-FR"/>
        </w:rPr>
        <w:t>exécution commun devraient simplement corriger l</w:t>
      </w:r>
      <w:r w:rsidR="00CB6800">
        <w:rPr>
          <w:lang w:val="fr-FR"/>
        </w:rPr>
        <w:t>’</w:t>
      </w:r>
      <w:r w:rsidRPr="001852A4">
        <w:rPr>
          <w:lang w:val="fr-FR"/>
        </w:rPr>
        <w:t>irrégularité concernant une exigence fondée sur une notification en vertu de la règle 5.3) ou 4) du règlement d</w:t>
      </w:r>
      <w:r w:rsidR="00CB6800">
        <w:rPr>
          <w:lang w:val="fr-FR"/>
        </w:rPr>
        <w:t>’</w:t>
      </w:r>
      <w:r w:rsidRPr="001852A4">
        <w:rPr>
          <w:lang w:val="fr-FR"/>
        </w:rPr>
        <w:t>exécution commun, ou sur une déclaration faite en vertu de l</w:t>
      </w:r>
      <w:r w:rsidR="00CB6800">
        <w:rPr>
          <w:lang w:val="fr-FR"/>
        </w:rPr>
        <w:t>’</w:t>
      </w:r>
      <w:r w:rsidRPr="001852A4">
        <w:rPr>
          <w:lang w:val="fr-FR"/>
        </w:rPr>
        <w:t>article 7.4) de l</w:t>
      </w:r>
      <w:r w:rsidR="00CB6800">
        <w:rPr>
          <w:lang w:val="fr-FR"/>
        </w:rPr>
        <w:t>’</w:t>
      </w:r>
      <w:r w:rsidRPr="001852A4">
        <w:rPr>
          <w:lang w:val="fr-FR"/>
        </w:rPr>
        <w:t>Acte de Genève, pour étendre la protection de leur enregistrement international à une partie contractante ayant présenté l</w:t>
      </w:r>
      <w:r w:rsidR="00CB6800">
        <w:rPr>
          <w:lang w:val="fr-FR"/>
        </w:rPr>
        <w:t>’</w:t>
      </w:r>
      <w:r w:rsidRPr="001852A4">
        <w:rPr>
          <w:lang w:val="fr-FR"/>
        </w:rPr>
        <w:t>une de ces exigences supplémentair</w:t>
      </w:r>
      <w:r w:rsidR="002723CA" w:rsidRPr="001852A4">
        <w:rPr>
          <w:lang w:val="fr-FR"/>
        </w:rPr>
        <w:t>es</w:t>
      </w:r>
      <w:r w:rsidR="002723CA">
        <w:rPr>
          <w:lang w:val="fr-FR"/>
        </w:rPr>
        <w:t xml:space="preserve">.  </w:t>
      </w:r>
      <w:r w:rsidR="002723CA" w:rsidRPr="001852A4">
        <w:rPr>
          <w:lang w:val="fr-FR"/>
        </w:rPr>
        <w:t>Le</w:t>
      </w:r>
      <w:r w:rsidRPr="001852A4">
        <w:rPr>
          <w:lang w:val="fr-FR"/>
        </w:rPr>
        <w:t xml:space="preserve"> retrait de la renonciation ne serait pas classé comme une modification et ne serait pas soumis au paiement de la taxe de modification</w:t>
      </w:r>
      <w:r w:rsidRPr="00622347">
        <w:rPr>
          <w:lang w:val="fr-FR"/>
        </w:rPr>
        <w:t>.</w:t>
      </w:r>
    </w:p>
    <w:p w:rsidR="00043521" w:rsidRPr="00622347" w:rsidRDefault="002723CA" w:rsidP="002723CA">
      <w:pPr>
        <w:pStyle w:val="Heading1"/>
      </w:pPr>
      <w:r>
        <w:lastRenderedPageBreak/>
        <w:t>D</w:t>
      </w:r>
      <w:r w:rsidRPr="001852A4">
        <w:t>ate d</w:t>
      </w:r>
      <w:r>
        <w:t>’</w:t>
      </w:r>
      <w:r w:rsidRPr="001852A4">
        <w:t>entrée en vigueur</w:t>
      </w:r>
    </w:p>
    <w:p w:rsidR="00043521" w:rsidRPr="00622347" w:rsidRDefault="00043521" w:rsidP="002723CA">
      <w:pPr>
        <w:pStyle w:val="ONUMFS"/>
        <w:rPr>
          <w:lang w:val="fr-FR"/>
        </w:rPr>
      </w:pPr>
      <w:r>
        <w:rPr>
          <w:lang w:val="fr-FR"/>
        </w:rPr>
        <w:t>Le groupe de travail a recommandé</w:t>
      </w:r>
      <w:r w:rsidRPr="00622347">
        <w:rPr>
          <w:lang w:val="fr-FR"/>
        </w:rPr>
        <w:t xml:space="preserve"> </w:t>
      </w:r>
      <w:r>
        <w:rPr>
          <w:lang w:val="fr-FR"/>
        </w:rPr>
        <w:t>que les modifications qu</w:t>
      </w:r>
      <w:r w:rsidR="00CB6800">
        <w:rPr>
          <w:lang w:val="fr-FR"/>
        </w:rPr>
        <w:t>’</w:t>
      </w:r>
      <w:r>
        <w:rPr>
          <w:lang w:val="fr-FR"/>
        </w:rPr>
        <w:t>il est proposé d</w:t>
      </w:r>
      <w:r w:rsidR="00CB6800">
        <w:rPr>
          <w:lang w:val="fr-FR"/>
        </w:rPr>
        <w:t>’</w:t>
      </w:r>
      <w:r>
        <w:rPr>
          <w:lang w:val="fr-FR"/>
        </w:rPr>
        <w:t>apporter aux règles </w:t>
      </w:r>
      <w:r w:rsidRPr="00622347">
        <w:rPr>
          <w:lang w:val="fr-FR"/>
        </w:rPr>
        <w:t xml:space="preserve">7, 8, 9, 15 </w:t>
      </w:r>
      <w:r>
        <w:rPr>
          <w:lang w:val="fr-FR"/>
        </w:rPr>
        <w:t xml:space="preserve">et </w:t>
      </w:r>
      <w:r w:rsidRPr="00622347">
        <w:rPr>
          <w:lang w:val="fr-FR"/>
        </w:rPr>
        <w:t xml:space="preserve">16 </w:t>
      </w:r>
      <w:r>
        <w:rPr>
          <w:lang w:val="fr-FR"/>
        </w:rPr>
        <w:t>du règlement d</w:t>
      </w:r>
      <w:r w:rsidR="00CB6800">
        <w:rPr>
          <w:lang w:val="fr-FR"/>
        </w:rPr>
        <w:t>’</w:t>
      </w:r>
      <w:r>
        <w:rPr>
          <w:lang w:val="fr-FR"/>
        </w:rPr>
        <w:t>exécution commun</w:t>
      </w:r>
      <w:r w:rsidRPr="00622347">
        <w:rPr>
          <w:lang w:val="fr-FR"/>
        </w:rPr>
        <w:t xml:space="preserve">, </w:t>
      </w:r>
      <w:r>
        <w:rPr>
          <w:lang w:val="fr-FR"/>
        </w:rPr>
        <w:t>telles qu</w:t>
      </w:r>
      <w:r w:rsidR="00CB6800">
        <w:rPr>
          <w:lang w:val="fr-FR"/>
        </w:rPr>
        <w:t>’</w:t>
      </w:r>
      <w:r>
        <w:rPr>
          <w:lang w:val="fr-FR"/>
        </w:rPr>
        <w:t>elles sont reproduites dans l</w:t>
      </w:r>
      <w:r w:rsidR="00CB6800">
        <w:rPr>
          <w:lang w:val="fr-FR"/>
        </w:rPr>
        <w:t>’</w:t>
      </w:r>
      <w:r>
        <w:rPr>
          <w:lang w:val="fr-FR"/>
        </w:rPr>
        <w:t xml:space="preserve">annexe du présent </w:t>
      </w:r>
      <w:r w:rsidRPr="00622347">
        <w:rPr>
          <w:lang w:val="fr-FR"/>
        </w:rPr>
        <w:t>document, ent</w:t>
      </w:r>
      <w:r>
        <w:rPr>
          <w:lang w:val="fr-FR"/>
        </w:rPr>
        <w:t>rent en vigueur le</w:t>
      </w:r>
      <w:r w:rsidR="00CB6800">
        <w:rPr>
          <w:lang w:val="fr-FR"/>
        </w:rPr>
        <w:t xml:space="preserve"> 1</w:t>
      </w:r>
      <w:r w:rsidR="00CB6800" w:rsidRPr="00CB6800">
        <w:rPr>
          <w:vertAlign w:val="superscript"/>
          <w:lang w:val="fr-FR"/>
        </w:rPr>
        <w:t>er</w:t>
      </w:r>
      <w:r w:rsidR="00CB6800">
        <w:rPr>
          <w:lang w:val="fr-FR"/>
        </w:rPr>
        <w:t> </w:t>
      </w:r>
      <w:r>
        <w:rPr>
          <w:lang w:val="fr-FR"/>
        </w:rPr>
        <w:t>janvier </w:t>
      </w:r>
      <w:r w:rsidRPr="00622347">
        <w:rPr>
          <w:lang w:val="fr-FR"/>
        </w:rPr>
        <w:t xml:space="preserve">2023 </w:t>
      </w:r>
      <w:r w:rsidRPr="00622347">
        <w:rPr>
          <w:szCs w:val="22"/>
          <w:lang w:val="fr-FR"/>
        </w:rPr>
        <w:t>(</w:t>
      </w:r>
      <w:r>
        <w:rPr>
          <w:szCs w:val="22"/>
          <w:lang w:val="fr-FR"/>
        </w:rPr>
        <w:t xml:space="preserve">voir le </w:t>
      </w:r>
      <w:r w:rsidRPr="00622347">
        <w:rPr>
          <w:szCs w:val="22"/>
          <w:lang w:val="fr-FR"/>
        </w:rPr>
        <w:t>paragraph</w:t>
      </w:r>
      <w:r>
        <w:rPr>
          <w:szCs w:val="22"/>
          <w:lang w:val="fr-FR"/>
        </w:rPr>
        <w:t>e </w:t>
      </w:r>
      <w:r w:rsidRPr="00622347">
        <w:rPr>
          <w:szCs w:val="22"/>
          <w:lang w:val="fr-FR"/>
        </w:rPr>
        <w:t xml:space="preserve">12 </w:t>
      </w:r>
      <w:r>
        <w:rPr>
          <w:szCs w:val="22"/>
          <w:lang w:val="fr-FR"/>
        </w:rPr>
        <w:t>du</w:t>
      </w:r>
      <w:r w:rsidRPr="00622347">
        <w:rPr>
          <w:szCs w:val="22"/>
          <w:lang w:val="fr-FR"/>
        </w:rPr>
        <w:t xml:space="preserve"> document</w:t>
      </w:r>
      <w:r w:rsidR="002723CA">
        <w:rPr>
          <w:szCs w:val="22"/>
          <w:lang w:val="fr-FR"/>
        </w:rPr>
        <w:t> </w:t>
      </w:r>
      <w:r w:rsidRPr="00622347">
        <w:rPr>
          <w:szCs w:val="22"/>
          <w:lang w:val="fr-FR"/>
        </w:rPr>
        <w:t>LI/WG/DEV</w:t>
      </w:r>
      <w:r w:rsidR="002723CA">
        <w:rPr>
          <w:szCs w:val="22"/>
          <w:lang w:val="fr-FR"/>
        </w:rPr>
        <w:noBreakHyphen/>
      </w:r>
      <w:r w:rsidRPr="00622347">
        <w:rPr>
          <w:szCs w:val="22"/>
          <w:lang w:val="fr-FR"/>
        </w:rPr>
        <w:t>SYS/4/3)</w:t>
      </w:r>
      <w:r w:rsidRPr="00622347">
        <w:rPr>
          <w:lang w:val="fr-FR"/>
        </w:rPr>
        <w:t>.</w:t>
      </w:r>
    </w:p>
    <w:p w:rsidR="00043521" w:rsidRPr="00622347" w:rsidRDefault="00043521" w:rsidP="002723CA">
      <w:pPr>
        <w:pStyle w:val="ONUMFS"/>
        <w:ind w:left="5533"/>
        <w:rPr>
          <w:lang w:val="fr-FR"/>
        </w:rPr>
      </w:pPr>
      <w:r w:rsidRPr="002723CA">
        <w:rPr>
          <w:i/>
          <w:lang w:val="fr-FR"/>
        </w:rPr>
        <w:t>L</w:t>
      </w:r>
      <w:r w:rsidR="00CB6800" w:rsidRPr="002723CA">
        <w:rPr>
          <w:i/>
          <w:lang w:val="fr-FR"/>
        </w:rPr>
        <w:t>’</w:t>
      </w:r>
      <w:r w:rsidRPr="002723CA">
        <w:rPr>
          <w:i/>
          <w:lang w:val="fr-FR"/>
        </w:rPr>
        <w:t>Assemblée de l</w:t>
      </w:r>
      <w:r w:rsidR="00CB6800" w:rsidRPr="002723CA">
        <w:rPr>
          <w:i/>
          <w:lang w:val="fr-FR"/>
        </w:rPr>
        <w:t>’</w:t>
      </w:r>
      <w:r w:rsidRPr="002723CA">
        <w:rPr>
          <w:i/>
          <w:lang w:val="fr-FR"/>
        </w:rPr>
        <w:t>Union de Lisbonne est invitée à adopter les modifications apportées au règlement d</w:t>
      </w:r>
      <w:r w:rsidR="00CB6800" w:rsidRPr="002723CA">
        <w:rPr>
          <w:i/>
          <w:lang w:val="fr-FR"/>
        </w:rPr>
        <w:t>’</w:t>
      </w:r>
      <w:r w:rsidRPr="002723CA">
        <w:rPr>
          <w:i/>
          <w:lang w:val="fr-FR"/>
        </w:rPr>
        <w:t>exécution commun à l</w:t>
      </w:r>
      <w:r w:rsidR="00CB6800" w:rsidRPr="002723CA">
        <w:rPr>
          <w:i/>
          <w:lang w:val="fr-FR"/>
        </w:rPr>
        <w:t>’</w:t>
      </w:r>
      <w:r w:rsidRPr="002723CA">
        <w:rPr>
          <w:i/>
          <w:lang w:val="fr-FR"/>
        </w:rPr>
        <w:t>Arrangement de Lisbonne</w:t>
      </w:r>
      <w:r w:rsidRPr="002723CA">
        <w:rPr>
          <w:i/>
        </w:rPr>
        <w:t xml:space="preserve"> </w:t>
      </w:r>
      <w:r w:rsidRPr="002723CA">
        <w:rPr>
          <w:i/>
          <w:lang w:val="fr-FR"/>
        </w:rPr>
        <w:t>concernant la protection des appellations d</w:t>
      </w:r>
      <w:r w:rsidR="00CB6800" w:rsidRPr="002723CA">
        <w:rPr>
          <w:i/>
          <w:lang w:val="fr-FR"/>
        </w:rPr>
        <w:t>’</w:t>
      </w:r>
      <w:r w:rsidRPr="002723CA">
        <w:rPr>
          <w:i/>
          <w:lang w:val="fr-FR"/>
        </w:rPr>
        <w:t>origine et leur enregistrement international et à l</w:t>
      </w:r>
      <w:r w:rsidR="00CB6800" w:rsidRPr="002723CA">
        <w:rPr>
          <w:i/>
          <w:lang w:val="fr-FR"/>
        </w:rPr>
        <w:t>’</w:t>
      </w:r>
      <w:r w:rsidRPr="002723CA">
        <w:rPr>
          <w:i/>
          <w:lang w:val="fr-FR"/>
        </w:rPr>
        <w:t>Acte de Genève de l</w:t>
      </w:r>
      <w:r w:rsidR="00CB6800" w:rsidRPr="002723CA">
        <w:rPr>
          <w:i/>
          <w:lang w:val="fr-FR"/>
        </w:rPr>
        <w:t>’</w:t>
      </w:r>
      <w:r w:rsidRPr="002723CA">
        <w:rPr>
          <w:i/>
          <w:lang w:val="fr-FR"/>
        </w:rPr>
        <w:t>Arrangement de Lisbonne concernant les appellations d</w:t>
      </w:r>
      <w:r w:rsidR="00CB6800" w:rsidRPr="002723CA">
        <w:rPr>
          <w:i/>
          <w:lang w:val="fr-FR"/>
        </w:rPr>
        <w:t>’</w:t>
      </w:r>
      <w:r w:rsidRPr="002723CA">
        <w:rPr>
          <w:i/>
          <w:lang w:val="fr-FR"/>
        </w:rPr>
        <w:t>origine et les indications géographiques, telles qu</w:t>
      </w:r>
      <w:r w:rsidR="00CB6800" w:rsidRPr="002723CA">
        <w:rPr>
          <w:i/>
          <w:lang w:val="fr-FR"/>
        </w:rPr>
        <w:t>’</w:t>
      </w:r>
      <w:r w:rsidRPr="002723CA">
        <w:rPr>
          <w:i/>
          <w:lang w:val="fr-FR"/>
        </w:rPr>
        <w:t>elles figurent dans l</w:t>
      </w:r>
      <w:r w:rsidR="00CB6800" w:rsidRPr="002723CA">
        <w:rPr>
          <w:i/>
          <w:lang w:val="fr-FR"/>
        </w:rPr>
        <w:t>’</w:t>
      </w:r>
      <w:r w:rsidRPr="002723CA">
        <w:rPr>
          <w:i/>
          <w:lang w:val="fr-FR"/>
        </w:rPr>
        <w:t xml:space="preserve">annexe du </w:t>
      </w:r>
      <w:r w:rsidR="00CB6800" w:rsidRPr="002723CA">
        <w:rPr>
          <w:i/>
          <w:lang w:val="fr-FR"/>
        </w:rPr>
        <w:t>document</w:t>
      </w:r>
      <w:r w:rsidR="002723CA" w:rsidRPr="002723CA">
        <w:rPr>
          <w:i/>
          <w:lang w:val="fr-FR"/>
        </w:rPr>
        <w:t> </w:t>
      </w:r>
      <w:r w:rsidR="00CB6800" w:rsidRPr="002723CA">
        <w:rPr>
          <w:i/>
          <w:lang w:val="fr-FR"/>
        </w:rPr>
        <w:t>LI</w:t>
      </w:r>
      <w:r w:rsidRPr="002723CA">
        <w:rPr>
          <w:i/>
          <w:lang w:val="fr-FR"/>
        </w:rPr>
        <w:t>/A/39/1, leur date d</w:t>
      </w:r>
      <w:r w:rsidR="00CB6800" w:rsidRPr="002723CA">
        <w:rPr>
          <w:i/>
          <w:lang w:val="fr-FR"/>
        </w:rPr>
        <w:t>’</w:t>
      </w:r>
      <w:r w:rsidRPr="002723CA">
        <w:rPr>
          <w:i/>
          <w:lang w:val="fr-FR"/>
        </w:rPr>
        <w:t>entrée en vigueur étant fixée au</w:t>
      </w:r>
      <w:r w:rsidR="00CB6800" w:rsidRPr="002723CA">
        <w:rPr>
          <w:i/>
          <w:lang w:val="fr-FR"/>
        </w:rPr>
        <w:t xml:space="preserve"> 1</w:t>
      </w:r>
      <w:r w:rsidR="00CB6800" w:rsidRPr="002723CA">
        <w:rPr>
          <w:i/>
          <w:vertAlign w:val="superscript"/>
          <w:lang w:val="fr-FR"/>
        </w:rPr>
        <w:t>er</w:t>
      </w:r>
      <w:r w:rsidR="00CB6800" w:rsidRPr="002723CA">
        <w:rPr>
          <w:i/>
          <w:lang w:val="fr-FR"/>
        </w:rPr>
        <w:t> </w:t>
      </w:r>
      <w:r w:rsidRPr="002723CA">
        <w:rPr>
          <w:i/>
          <w:lang w:val="fr-FR"/>
        </w:rPr>
        <w:t>janvier 2023.</w:t>
      </w:r>
    </w:p>
    <w:p w:rsidR="00043521" w:rsidRPr="00622347" w:rsidRDefault="00043521" w:rsidP="002723CA">
      <w:pPr>
        <w:pStyle w:val="Endofdocument-Annex"/>
        <w:spacing w:before="720"/>
        <w:sectPr w:rsidR="00043521" w:rsidRPr="00622347" w:rsidSect="000C191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622347">
        <w:t>[</w:t>
      </w:r>
      <w:r>
        <w:t>L</w:t>
      </w:r>
      <w:r w:rsidR="00CB6800">
        <w:t>’</w:t>
      </w:r>
      <w:r>
        <w:t>a</w:t>
      </w:r>
      <w:r w:rsidRPr="00622347">
        <w:t>nnex</w:t>
      </w:r>
      <w:r>
        <w:t>e suit</w:t>
      </w:r>
      <w:r w:rsidRPr="00622347">
        <w:t>]</w:t>
      </w:r>
    </w:p>
    <w:p w:rsidR="00043521" w:rsidRPr="00A27547" w:rsidRDefault="00043521" w:rsidP="00043521">
      <w:pPr>
        <w:jc w:val="center"/>
        <w:rPr>
          <w:rFonts w:eastAsia="MS Mincho"/>
          <w:b/>
          <w:szCs w:val="22"/>
          <w:lang w:val="fr-FR" w:eastAsia="en-US"/>
        </w:rPr>
      </w:pPr>
      <w:r w:rsidRPr="00A27547">
        <w:rPr>
          <w:rFonts w:eastAsia="MS Mincho"/>
          <w:b/>
          <w:szCs w:val="22"/>
          <w:lang w:val="fr-FR" w:eastAsia="en-US"/>
        </w:rPr>
        <w:lastRenderedPageBreak/>
        <w:t>Règlement d</w:t>
      </w:r>
      <w:r w:rsidR="00CB6800">
        <w:rPr>
          <w:rFonts w:eastAsia="MS Mincho"/>
          <w:b/>
          <w:szCs w:val="22"/>
          <w:lang w:val="fr-FR" w:eastAsia="en-US"/>
        </w:rPr>
        <w:t>’</w:t>
      </w:r>
      <w:r w:rsidRPr="00A27547">
        <w:rPr>
          <w:rFonts w:eastAsia="MS Mincho"/>
          <w:b/>
          <w:szCs w:val="22"/>
          <w:lang w:val="fr-FR" w:eastAsia="en-US"/>
        </w:rPr>
        <w:t>exécution commun à l</w:t>
      </w:r>
      <w:r w:rsidR="00CB6800">
        <w:rPr>
          <w:rFonts w:eastAsia="MS Mincho"/>
          <w:b/>
          <w:szCs w:val="22"/>
          <w:lang w:val="fr-FR" w:eastAsia="en-US"/>
        </w:rPr>
        <w:t>’</w:t>
      </w:r>
      <w:r w:rsidRPr="00A27547">
        <w:rPr>
          <w:rFonts w:eastAsia="MS Mincho"/>
          <w:b/>
          <w:szCs w:val="22"/>
          <w:lang w:val="fr-FR" w:eastAsia="en-US"/>
        </w:rPr>
        <w:t>Arrangement de Lisbonne concernant la protection des appellations d</w:t>
      </w:r>
      <w:r w:rsidR="00CB6800">
        <w:rPr>
          <w:rFonts w:eastAsia="MS Mincho"/>
          <w:b/>
          <w:szCs w:val="22"/>
          <w:lang w:val="fr-FR" w:eastAsia="en-US"/>
        </w:rPr>
        <w:t>’</w:t>
      </w:r>
      <w:r w:rsidRPr="00A27547">
        <w:rPr>
          <w:rFonts w:eastAsia="MS Mincho"/>
          <w:b/>
          <w:szCs w:val="22"/>
          <w:lang w:val="fr-FR" w:eastAsia="en-US"/>
        </w:rPr>
        <w:t>origine et leur enregistrement international et à l</w:t>
      </w:r>
      <w:r w:rsidR="00CB6800">
        <w:rPr>
          <w:rFonts w:eastAsia="MS Mincho"/>
          <w:b/>
          <w:szCs w:val="22"/>
          <w:lang w:val="fr-FR" w:eastAsia="en-US"/>
        </w:rPr>
        <w:t>’</w:t>
      </w:r>
      <w:r w:rsidRPr="00A27547">
        <w:rPr>
          <w:rFonts w:eastAsia="MS Mincho"/>
          <w:b/>
          <w:szCs w:val="22"/>
          <w:lang w:val="fr-FR" w:eastAsia="en-US"/>
        </w:rPr>
        <w:t>Acte de Genève de l</w:t>
      </w:r>
      <w:r w:rsidR="00CB6800">
        <w:rPr>
          <w:rFonts w:eastAsia="MS Mincho"/>
          <w:b/>
          <w:szCs w:val="22"/>
          <w:lang w:val="fr-FR" w:eastAsia="en-US"/>
        </w:rPr>
        <w:t>’</w:t>
      </w:r>
      <w:r w:rsidRPr="00A27547">
        <w:rPr>
          <w:rFonts w:eastAsia="MS Mincho"/>
          <w:b/>
          <w:szCs w:val="22"/>
          <w:lang w:val="fr-FR" w:eastAsia="en-US"/>
        </w:rPr>
        <w:t>Arrangement de Lisbonne sur les appellations d</w:t>
      </w:r>
      <w:r w:rsidR="00CB6800">
        <w:rPr>
          <w:rFonts w:eastAsia="MS Mincho"/>
          <w:b/>
          <w:szCs w:val="22"/>
          <w:lang w:val="fr-FR" w:eastAsia="en-US"/>
        </w:rPr>
        <w:t>’</w:t>
      </w:r>
      <w:r w:rsidRPr="00A27547">
        <w:rPr>
          <w:rFonts w:eastAsia="MS Mincho"/>
          <w:b/>
          <w:szCs w:val="22"/>
          <w:lang w:val="fr-FR" w:eastAsia="en-US"/>
        </w:rPr>
        <w:t>origine et les indications géographiques</w:t>
      </w:r>
    </w:p>
    <w:p w:rsidR="00043521" w:rsidRPr="00622347" w:rsidRDefault="00043521" w:rsidP="00043521">
      <w:pPr>
        <w:spacing w:before="240" w:after="720"/>
        <w:jc w:val="center"/>
        <w:rPr>
          <w:rFonts w:eastAsia="MS Mincho"/>
          <w:szCs w:val="22"/>
          <w:lang w:val="fr-FR" w:eastAsia="en-US"/>
        </w:rPr>
      </w:pPr>
      <w:r w:rsidRPr="002202CE">
        <w:rPr>
          <w:rFonts w:eastAsia="MS Mincho"/>
          <w:szCs w:val="22"/>
          <w:lang w:val="fr-FR" w:eastAsia="en-US"/>
        </w:rPr>
        <w:t>en vigueur le</w:t>
      </w:r>
      <w:r w:rsidR="00CB6800">
        <w:rPr>
          <w:rFonts w:eastAsia="MS Mincho"/>
          <w:szCs w:val="22"/>
          <w:lang w:val="fr-FR" w:eastAsia="en-US"/>
        </w:rPr>
        <w:t xml:space="preserve"> 1</w:t>
      </w:r>
      <w:r w:rsidR="00CB6800" w:rsidRPr="00CB6800">
        <w:rPr>
          <w:rFonts w:eastAsia="MS Mincho"/>
          <w:szCs w:val="22"/>
          <w:vertAlign w:val="superscript"/>
          <w:lang w:val="fr-FR" w:eastAsia="en-US"/>
        </w:rPr>
        <w:t>er</w:t>
      </w:r>
      <w:r w:rsidR="00CB6800">
        <w:rPr>
          <w:rFonts w:eastAsia="MS Mincho"/>
          <w:szCs w:val="22"/>
          <w:lang w:val="fr-FR" w:eastAsia="en-US"/>
        </w:rPr>
        <w:t> </w:t>
      </w:r>
      <w:r w:rsidRPr="002202CE">
        <w:rPr>
          <w:rFonts w:eastAsia="MS Mincho"/>
          <w:color w:val="0070C0"/>
          <w:szCs w:val="22"/>
          <w:u w:val="single"/>
          <w:lang w:val="fr-FR" w:eastAsia="en-US"/>
        </w:rPr>
        <w:t>janvier 2023</w:t>
      </w:r>
      <w:r w:rsidRPr="002202CE">
        <w:rPr>
          <w:rFonts w:eastAsia="MS Mincho"/>
          <w:color w:val="0070C0"/>
          <w:szCs w:val="22"/>
          <w:lang w:val="fr-FR" w:eastAsia="en-US"/>
        </w:rPr>
        <w:t xml:space="preserve"> </w:t>
      </w:r>
      <w:r w:rsidRPr="002202CE">
        <w:rPr>
          <w:rFonts w:eastAsia="MS Mincho"/>
          <w:strike/>
          <w:color w:val="C00000"/>
          <w:szCs w:val="22"/>
          <w:lang w:val="fr-FR" w:eastAsia="en-US"/>
        </w:rPr>
        <w:t>8 décembre 2021</w:t>
      </w:r>
    </w:p>
    <w:p w:rsidR="00043521" w:rsidRPr="00622347" w:rsidRDefault="00043521" w:rsidP="00043521">
      <w:pPr>
        <w:keepNext/>
        <w:spacing w:after="120"/>
        <w:rPr>
          <w:lang w:val="fr-FR"/>
        </w:rPr>
      </w:pPr>
      <w:r w:rsidRPr="00622347">
        <w:rPr>
          <w:lang w:val="fr-FR"/>
        </w:rPr>
        <w:t>[…]</w:t>
      </w:r>
    </w:p>
    <w:p w:rsidR="00043521" w:rsidRPr="00622347" w:rsidRDefault="00CB6800" w:rsidP="00043521">
      <w:pPr>
        <w:keepNext/>
        <w:spacing w:after="480"/>
        <w:jc w:val="center"/>
        <w:rPr>
          <w:b/>
          <w:bCs/>
          <w:lang w:val="fr-FR"/>
        </w:rPr>
      </w:pPr>
      <w:r w:rsidRPr="00622347">
        <w:rPr>
          <w:b/>
          <w:lang w:val="fr-FR"/>
        </w:rPr>
        <w:t>Chap</w:t>
      </w:r>
      <w:r>
        <w:rPr>
          <w:b/>
          <w:lang w:val="fr-FR"/>
        </w:rPr>
        <w:t>i</w:t>
      </w:r>
      <w:r w:rsidRPr="00622347">
        <w:rPr>
          <w:b/>
          <w:lang w:val="fr-FR"/>
        </w:rPr>
        <w:t>tr</w:t>
      </w:r>
      <w:r>
        <w:rPr>
          <w:b/>
          <w:lang w:val="fr-FR"/>
        </w:rPr>
        <w:t>e </w:t>
      </w:r>
      <w:r w:rsidRPr="00622347">
        <w:rPr>
          <w:b/>
          <w:lang w:val="fr-FR"/>
        </w:rPr>
        <w:t>I</w:t>
      </w:r>
      <w:r w:rsidR="00043521" w:rsidRPr="00622347">
        <w:rPr>
          <w:b/>
          <w:lang w:val="fr-FR"/>
        </w:rPr>
        <w:t>I</w:t>
      </w:r>
      <w:r w:rsidR="00043521" w:rsidRPr="00622347">
        <w:rPr>
          <w:b/>
          <w:lang w:val="fr-FR"/>
        </w:rPr>
        <w:br/>
      </w:r>
      <w:r w:rsidR="00043521" w:rsidRPr="007A1425">
        <w:rPr>
          <w:b/>
        </w:rPr>
        <w:t>Demande et enregistrement international</w:t>
      </w:r>
    </w:p>
    <w:p w:rsidR="00043521" w:rsidRPr="00622347" w:rsidRDefault="00043521" w:rsidP="00043521">
      <w:pPr>
        <w:tabs>
          <w:tab w:val="left" w:pos="630"/>
          <w:tab w:val="left" w:pos="1170"/>
        </w:tabs>
        <w:spacing w:before="120" w:after="120"/>
        <w:jc w:val="center"/>
        <w:rPr>
          <w:rFonts w:eastAsia="Times New Roman"/>
          <w:color w:val="1A1A1A"/>
          <w:szCs w:val="22"/>
          <w:lang w:val="fr-FR" w:eastAsia="en-US"/>
        </w:rPr>
      </w:pPr>
      <w:r w:rsidRPr="00622347">
        <w:rPr>
          <w:rFonts w:eastAsia="Times New Roman"/>
          <w:b/>
          <w:bCs/>
          <w:color w:val="1A1A1A"/>
          <w:szCs w:val="22"/>
          <w:lang w:val="fr-FR" w:eastAsia="en-US"/>
        </w:rPr>
        <w:t>R</w:t>
      </w:r>
      <w:r>
        <w:rPr>
          <w:rFonts w:eastAsia="Times New Roman"/>
          <w:b/>
          <w:bCs/>
          <w:color w:val="1A1A1A"/>
          <w:szCs w:val="22"/>
          <w:lang w:val="fr-FR" w:eastAsia="en-US"/>
        </w:rPr>
        <w:t>èg</w:t>
      </w:r>
      <w:r w:rsidRPr="00622347">
        <w:rPr>
          <w:rFonts w:eastAsia="Times New Roman"/>
          <w:b/>
          <w:bCs/>
          <w:color w:val="1A1A1A"/>
          <w:szCs w:val="22"/>
          <w:lang w:val="fr-FR" w:eastAsia="en-US"/>
        </w:rPr>
        <w:t>le</w:t>
      </w:r>
      <w:r>
        <w:rPr>
          <w:rFonts w:eastAsia="Times New Roman"/>
          <w:b/>
          <w:bCs/>
          <w:color w:val="1A1A1A"/>
          <w:szCs w:val="22"/>
          <w:lang w:val="fr-FR" w:eastAsia="en-US"/>
        </w:rPr>
        <w:t> </w:t>
      </w:r>
      <w:r w:rsidRPr="00622347">
        <w:rPr>
          <w:rFonts w:eastAsia="Times New Roman"/>
          <w:b/>
          <w:bCs/>
          <w:color w:val="1A1A1A"/>
          <w:szCs w:val="22"/>
          <w:lang w:val="fr-FR" w:eastAsia="en-US"/>
        </w:rPr>
        <w:t>7</w:t>
      </w:r>
      <w:r w:rsidRPr="00622347">
        <w:rPr>
          <w:rFonts w:eastAsia="Times New Roman"/>
          <w:b/>
          <w:bCs/>
          <w:color w:val="1A1A1A"/>
          <w:szCs w:val="22"/>
          <w:lang w:val="fr-FR" w:eastAsia="en-US"/>
        </w:rPr>
        <w:br/>
      </w:r>
      <w:r w:rsidRPr="007A1425">
        <w:rPr>
          <w:rFonts w:eastAsia="Times New Roman"/>
          <w:bCs/>
          <w:color w:val="1A1A1A"/>
          <w:szCs w:val="22"/>
          <w:lang w:eastAsia="en-US"/>
        </w:rPr>
        <w:t>Inscription au registre international</w:t>
      </w:r>
    </w:p>
    <w:p w:rsidR="00043521" w:rsidRPr="00622347" w:rsidRDefault="00043521" w:rsidP="00043521">
      <w:pPr>
        <w:spacing w:before="120" w:after="120"/>
        <w:rPr>
          <w:rFonts w:eastAsia="Times New Roman"/>
          <w:color w:val="1A1A1A"/>
          <w:szCs w:val="22"/>
          <w:lang w:val="fr-FR" w:eastAsia="en-US"/>
        </w:rPr>
      </w:pPr>
      <w:r w:rsidRPr="00622347">
        <w:rPr>
          <w:rFonts w:eastAsia="Times New Roman"/>
          <w:color w:val="1A1A1A"/>
          <w:szCs w:val="22"/>
          <w:lang w:val="fr-FR" w:eastAsia="en-US"/>
        </w:rPr>
        <w:t>[…]</w:t>
      </w:r>
    </w:p>
    <w:p w:rsidR="00043521" w:rsidRPr="00622347" w:rsidRDefault="00043521" w:rsidP="00043521">
      <w:pPr>
        <w:tabs>
          <w:tab w:val="left" w:pos="630"/>
        </w:tabs>
        <w:spacing w:before="120" w:after="120"/>
        <w:rPr>
          <w:rFonts w:eastAsia="Times New Roman"/>
          <w:color w:val="1A1A1A"/>
          <w:szCs w:val="22"/>
          <w:lang w:val="fr-FR" w:eastAsia="en-US"/>
        </w:rPr>
      </w:pPr>
      <w:r w:rsidRPr="00622347">
        <w:rPr>
          <w:rFonts w:eastAsia="Times New Roman"/>
          <w:color w:val="1A1A1A"/>
          <w:szCs w:val="22"/>
          <w:lang w:val="fr-FR" w:eastAsia="en-US"/>
        </w:rPr>
        <w:t>4) </w:t>
      </w:r>
      <w:r w:rsidRPr="00622347">
        <w:rPr>
          <w:rFonts w:eastAsia="Times New Roman"/>
          <w:color w:val="1A1A1A"/>
          <w:szCs w:val="22"/>
          <w:lang w:val="fr-FR" w:eastAsia="en-US"/>
        </w:rPr>
        <w:tab/>
      </w:r>
      <w:r w:rsidRPr="00622347">
        <w:rPr>
          <w:rFonts w:eastAsia="Times New Roman"/>
          <w:i/>
          <w:iCs/>
          <w:color w:val="1A1A1A"/>
          <w:szCs w:val="22"/>
          <w:lang w:val="fr-FR" w:eastAsia="en-US"/>
        </w:rPr>
        <w:t>[</w:t>
      </w:r>
      <w:r w:rsidRPr="007A1425">
        <w:rPr>
          <w:rFonts w:eastAsia="Times New Roman"/>
          <w:i/>
          <w:iCs/>
          <w:color w:val="1A1A1A"/>
          <w:szCs w:val="22"/>
          <w:lang w:val="fr-FR" w:eastAsia="en-US"/>
        </w:rPr>
        <w:t>Application des articles 29.4) et 31.1) de l</w:t>
      </w:r>
      <w:r w:rsidR="00CB6800">
        <w:rPr>
          <w:rFonts w:eastAsia="Times New Roman"/>
          <w:i/>
          <w:iCs/>
          <w:color w:val="1A1A1A"/>
          <w:szCs w:val="22"/>
          <w:lang w:val="fr-FR" w:eastAsia="en-US"/>
        </w:rPr>
        <w:t>’</w:t>
      </w:r>
      <w:r w:rsidRPr="007A1425">
        <w:rPr>
          <w:rFonts w:eastAsia="Times New Roman"/>
          <w:i/>
          <w:iCs/>
          <w:color w:val="1A1A1A"/>
          <w:szCs w:val="22"/>
          <w:lang w:val="fr-FR" w:eastAsia="en-US"/>
        </w:rPr>
        <w:t>Acte de Genève</w:t>
      </w:r>
      <w:r w:rsidRPr="00622347">
        <w:rPr>
          <w:rFonts w:eastAsia="Times New Roman"/>
          <w:i/>
          <w:iCs/>
          <w:color w:val="1A1A1A"/>
          <w:szCs w:val="22"/>
          <w:lang w:val="fr-FR" w:eastAsia="en-US"/>
        </w:rPr>
        <w:t>]</w:t>
      </w:r>
    </w:p>
    <w:p w:rsidR="00043521" w:rsidRPr="00622347" w:rsidRDefault="00043521" w:rsidP="00043521">
      <w:pPr>
        <w:tabs>
          <w:tab w:val="left" w:pos="630"/>
          <w:tab w:val="left" w:pos="1170"/>
        </w:tabs>
        <w:spacing w:before="120" w:after="120"/>
        <w:rPr>
          <w:rFonts w:eastAsia="Times New Roman"/>
          <w:color w:val="1A1A1A"/>
          <w:szCs w:val="22"/>
          <w:lang w:val="fr-FR" w:eastAsia="en-US"/>
        </w:rPr>
      </w:pPr>
      <w:r w:rsidRPr="00622347">
        <w:rPr>
          <w:rFonts w:eastAsia="Times New Roman"/>
          <w:color w:val="1A1A1A"/>
          <w:szCs w:val="22"/>
          <w:lang w:val="fr-FR" w:eastAsia="en-US"/>
        </w:rPr>
        <w:tab/>
        <w:t>a)</w:t>
      </w:r>
      <w:r w:rsidRPr="00622347">
        <w:rPr>
          <w:rFonts w:eastAsia="Times New Roman"/>
          <w:color w:val="1A1A1A"/>
          <w:szCs w:val="22"/>
          <w:lang w:val="fr-FR" w:eastAsia="en-US"/>
        </w:rPr>
        <w:tab/>
      </w:r>
      <w:r w:rsidRPr="002202CE">
        <w:rPr>
          <w:lang w:val="fr-FR"/>
        </w:rPr>
        <w:t>En cas de ratification de l</w:t>
      </w:r>
      <w:r w:rsidR="00CB6800">
        <w:rPr>
          <w:lang w:val="fr-FR"/>
        </w:rPr>
        <w:t>’</w:t>
      </w:r>
      <w:r w:rsidRPr="002202CE">
        <w:rPr>
          <w:lang w:val="fr-FR"/>
        </w:rPr>
        <w:t>Acte de Genève par un État partie à l</w:t>
      </w:r>
      <w:r w:rsidR="00CB6800">
        <w:rPr>
          <w:lang w:val="fr-FR"/>
        </w:rPr>
        <w:t>’</w:t>
      </w:r>
      <w:r w:rsidRPr="002202CE">
        <w:rPr>
          <w:lang w:val="fr-FR"/>
        </w:rPr>
        <w:t>Acte de 1967, ou d</w:t>
      </w:r>
      <w:r w:rsidR="00CB6800">
        <w:rPr>
          <w:lang w:val="fr-FR"/>
        </w:rPr>
        <w:t>’</w:t>
      </w:r>
      <w:r w:rsidRPr="002202CE">
        <w:rPr>
          <w:lang w:val="fr-FR"/>
        </w:rPr>
        <w:t>adhésion de cet État à l</w:t>
      </w:r>
      <w:r w:rsidR="00CB6800">
        <w:rPr>
          <w:lang w:val="fr-FR"/>
        </w:rPr>
        <w:t>’</w:t>
      </w:r>
      <w:r w:rsidRPr="002202CE">
        <w:rPr>
          <w:lang w:val="fr-FR"/>
        </w:rPr>
        <w:t>Acte de Genève, la règle 5.2) à 4) s</w:t>
      </w:r>
      <w:r w:rsidR="00CB6800">
        <w:rPr>
          <w:lang w:val="fr-FR"/>
        </w:rPr>
        <w:t>’</w:t>
      </w:r>
      <w:r w:rsidRPr="002202CE">
        <w:rPr>
          <w:lang w:val="fr-FR"/>
        </w:rPr>
        <w:t xml:space="preserve">applique </w:t>
      </w:r>
      <w:r w:rsidRPr="002202CE">
        <w:rPr>
          <w:i/>
          <w:lang w:val="fr-FR"/>
        </w:rPr>
        <w:t>mutatis</w:t>
      </w:r>
      <w:r w:rsidRPr="002202CE">
        <w:rPr>
          <w:lang w:val="fr-FR"/>
        </w:rPr>
        <w:t xml:space="preserve"> </w:t>
      </w:r>
      <w:r w:rsidRPr="002202CE">
        <w:rPr>
          <w:i/>
          <w:lang w:val="fr-FR"/>
        </w:rPr>
        <w:t>mutandis</w:t>
      </w:r>
      <w:r w:rsidRPr="002202CE">
        <w:rPr>
          <w:lang w:val="fr-FR"/>
        </w:rPr>
        <w:t xml:space="preserve"> en ce qui concerne les enregistrements internationaux ou appellations d</w:t>
      </w:r>
      <w:r w:rsidR="00CB6800">
        <w:rPr>
          <w:lang w:val="fr-FR"/>
        </w:rPr>
        <w:t>’</w:t>
      </w:r>
      <w:r w:rsidRPr="002202CE">
        <w:rPr>
          <w:lang w:val="fr-FR"/>
        </w:rPr>
        <w:t>origine en vigueur au titre de l</w:t>
      </w:r>
      <w:r w:rsidR="00CB6800">
        <w:rPr>
          <w:lang w:val="fr-FR"/>
        </w:rPr>
        <w:t>’</w:t>
      </w:r>
      <w:r w:rsidRPr="002202CE">
        <w:rPr>
          <w:lang w:val="fr-FR"/>
        </w:rPr>
        <w:t xml:space="preserve">Acte de 1967 </w:t>
      </w:r>
      <w:r w:rsidR="00CB6800">
        <w:rPr>
          <w:lang w:val="fr-FR"/>
        </w:rPr>
        <w:t>à l’égard</w:t>
      </w:r>
      <w:r w:rsidRPr="002202CE">
        <w:rPr>
          <w:lang w:val="fr-FR"/>
        </w:rPr>
        <w:t xml:space="preserve"> de cet Ét</w:t>
      </w:r>
      <w:r w:rsidR="002723CA" w:rsidRPr="002202CE">
        <w:rPr>
          <w:lang w:val="fr-FR"/>
        </w:rPr>
        <w:t>at</w:t>
      </w:r>
      <w:r w:rsidR="002723CA">
        <w:rPr>
          <w:lang w:val="fr-FR"/>
        </w:rPr>
        <w:t xml:space="preserve">.  </w:t>
      </w:r>
      <w:r w:rsidR="002723CA" w:rsidRPr="002202CE">
        <w:rPr>
          <w:lang w:val="fr-FR"/>
        </w:rPr>
        <w:t>Le</w:t>
      </w:r>
      <w:r w:rsidRPr="002202CE">
        <w:rPr>
          <w:lang w:val="fr-FR"/>
        </w:rPr>
        <w:t xml:space="preserve"> Bureau international vérifie auprès de l</w:t>
      </w:r>
      <w:r w:rsidR="00CB6800">
        <w:rPr>
          <w:lang w:val="fr-FR"/>
        </w:rPr>
        <w:t>’</w:t>
      </w:r>
      <w:r w:rsidRPr="002202CE">
        <w:rPr>
          <w:lang w:val="fr-FR"/>
        </w:rPr>
        <w:t>administration compétente concernée toutes les modifications à apporter, compte tenu des conditions prescrites aux règles 3.1) et 5.2) à 4), en vue de leur enregistrement au titre de l</w:t>
      </w:r>
      <w:r w:rsidR="00CB6800">
        <w:rPr>
          <w:lang w:val="fr-FR"/>
        </w:rPr>
        <w:t>’</w:t>
      </w:r>
      <w:r w:rsidRPr="002202CE">
        <w:rPr>
          <w:lang w:val="fr-FR"/>
        </w:rPr>
        <w:t>Acte de Genève et notifie les enregistrements internationaux ainsi effectués à toutes les autres parties contractantes qui sont parties à l</w:t>
      </w:r>
      <w:r w:rsidR="00CB6800">
        <w:rPr>
          <w:lang w:val="fr-FR"/>
        </w:rPr>
        <w:t>’</w:t>
      </w:r>
      <w:r w:rsidRPr="002202CE">
        <w:rPr>
          <w:lang w:val="fr-FR"/>
        </w:rPr>
        <w:t>Acte de Genè</w:t>
      </w:r>
      <w:r w:rsidR="002723CA" w:rsidRPr="002202CE">
        <w:rPr>
          <w:lang w:val="fr-FR"/>
        </w:rPr>
        <w:t>ve</w:t>
      </w:r>
      <w:r w:rsidR="002723CA">
        <w:rPr>
          <w:lang w:val="fr-FR"/>
        </w:rPr>
        <w:t xml:space="preserve">.  </w:t>
      </w:r>
      <w:r w:rsidR="002723CA" w:rsidRPr="002202CE">
        <w:rPr>
          <w:lang w:val="fr-FR"/>
        </w:rPr>
        <w:t>Le</w:t>
      </w:r>
      <w:r w:rsidRPr="002202CE">
        <w:rPr>
          <w:lang w:val="fr-FR"/>
        </w:rPr>
        <w:t xml:space="preserve">s modifications </w:t>
      </w:r>
      <w:r w:rsidRPr="002202CE">
        <w:rPr>
          <w:color w:val="0070C0"/>
          <w:u w:val="single"/>
          <w:lang w:val="fr-FR"/>
        </w:rPr>
        <w:t xml:space="preserve">relatives à la règle 5.2) </w:t>
      </w:r>
      <w:r w:rsidRPr="002202CE">
        <w:rPr>
          <w:lang w:val="fr-FR"/>
        </w:rPr>
        <w:t>donnent lieu au paiement de la taxe visée à la règle 8.1)ii)</w:t>
      </w:r>
      <w:r w:rsidRPr="00622347">
        <w:rPr>
          <w:rFonts w:eastAsia="Times New Roman"/>
          <w:color w:val="1A1A1A"/>
          <w:szCs w:val="22"/>
          <w:lang w:val="fr-FR" w:eastAsia="en-US"/>
        </w:rPr>
        <w:t>.</w:t>
      </w:r>
    </w:p>
    <w:p w:rsidR="00043521" w:rsidRPr="00622347" w:rsidRDefault="00043521" w:rsidP="00043521">
      <w:pPr>
        <w:spacing w:before="120" w:after="360"/>
        <w:rPr>
          <w:rFonts w:eastAsia="Times New Roman"/>
          <w:bCs/>
          <w:color w:val="1A1A1A"/>
          <w:szCs w:val="22"/>
          <w:lang w:val="fr-FR" w:eastAsia="en-US"/>
        </w:rPr>
      </w:pPr>
      <w:bookmarkStart w:id="6" w:name="rule7bis"/>
      <w:bookmarkEnd w:id="6"/>
      <w:r w:rsidRPr="00622347">
        <w:rPr>
          <w:rFonts w:eastAsia="Times New Roman"/>
          <w:bCs/>
          <w:color w:val="1A1A1A"/>
          <w:szCs w:val="22"/>
          <w:lang w:val="fr-FR" w:eastAsia="en-US"/>
        </w:rPr>
        <w:t>[…]</w:t>
      </w:r>
    </w:p>
    <w:p w:rsidR="00043521" w:rsidRPr="00622347" w:rsidRDefault="00043521" w:rsidP="00043521">
      <w:pPr>
        <w:keepNext/>
        <w:jc w:val="center"/>
        <w:rPr>
          <w:b/>
          <w:lang w:val="fr-FR"/>
        </w:rPr>
      </w:pPr>
      <w:r w:rsidRPr="00622347">
        <w:rPr>
          <w:b/>
          <w:lang w:val="fr-FR"/>
        </w:rPr>
        <w:t>R</w:t>
      </w:r>
      <w:r>
        <w:rPr>
          <w:b/>
          <w:lang w:val="fr-FR"/>
        </w:rPr>
        <w:t>èg</w:t>
      </w:r>
      <w:r w:rsidRPr="00622347">
        <w:rPr>
          <w:b/>
          <w:lang w:val="fr-FR"/>
        </w:rPr>
        <w:t>le</w:t>
      </w:r>
      <w:r>
        <w:rPr>
          <w:b/>
          <w:lang w:val="fr-FR"/>
        </w:rPr>
        <w:t> </w:t>
      </w:r>
      <w:r w:rsidRPr="00622347">
        <w:rPr>
          <w:b/>
          <w:lang w:val="fr-FR"/>
        </w:rPr>
        <w:t>8</w:t>
      </w:r>
    </w:p>
    <w:p w:rsidR="00043521" w:rsidRPr="00622347" w:rsidRDefault="00043521" w:rsidP="00043521">
      <w:pPr>
        <w:keepNext/>
        <w:spacing w:after="240"/>
        <w:jc w:val="center"/>
        <w:rPr>
          <w:lang w:val="fr-FR"/>
        </w:rPr>
      </w:pPr>
      <w:r>
        <w:rPr>
          <w:lang w:val="fr-FR"/>
        </w:rPr>
        <w:t>Tax</w:t>
      </w:r>
      <w:r w:rsidRPr="00622347">
        <w:rPr>
          <w:lang w:val="fr-FR"/>
        </w:rPr>
        <w:t>es</w:t>
      </w:r>
    </w:p>
    <w:p w:rsidR="00043521" w:rsidRPr="00622347" w:rsidRDefault="00043521" w:rsidP="00043521">
      <w:pPr>
        <w:keepNext/>
        <w:tabs>
          <w:tab w:val="left" w:pos="567"/>
          <w:tab w:val="left" w:pos="1134"/>
        </w:tabs>
        <w:rPr>
          <w:lang w:val="fr-FR"/>
        </w:rPr>
      </w:pPr>
      <w:r w:rsidRPr="00622347">
        <w:rPr>
          <w:lang w:val="fr-FR"/>
        </w:rPr>
        <w:t>1)</w:t>
      </w:r>
      <w:r w:rsidRPr="00622347">
        <w:rPr>
          <w:lang w:val="fr-FR"/>
        </w:rPr>
        <w:tab/>
      </w:r>
      <w:r w:rsidRPr="00622347">
        <w:rPr>
          <w:i/>
          <w:lang w:val="fr-FR"/>
        </w:rPr>
        <w:t>[</w:t>
      </w:r>
      <w:r w:rsidRPr="007A1425">
        <w:rPr>
          <w:i/>
          <w:lang w:val="fr-FR"/>
        </w:rPr>
        <w:t>Montant des taxes</w:t>
      </w:r>
      <w:r w:rsidRPr="00622347">
        <w:rPr>
          <w:i/>
          <w:lang w:val="fr-FR"/>
        </w:rPr>
        <w:t>]</w:t>
      </w:r>
      <w:r w:rsidRPr="00622347">
        <w:rPr>
          <w:lang w:val="fr-FR"/>
        </w:rPr>
        <w:t xml:space="preserve"> </w:t>
      </w:r>
      <w:r w:rsidRPr="002202CE">
        <w:rPr>
          <w:lang w:val="fr-FR"/>
        </w:rPr>
        <w:t>Le Bureau international perçoit les taxes suivantes, payables en francs suisses</w:t>
      </w:r>
      <w:r w:rsidR="00CB6800">
        <w:rPr>
          <w:lang w:val="fr-FR"/>
        </w:rPr>
        <w:t> :</w:t>
      </w:r>
    </w:p>
    <w:p w:rsidR="00043521" w:rsidRPr="00622347" w:rsidRDefault="00043521" w:rsidP="00043521">
      <w:pPr>
        <w:tabs>
          <w:tab w:val="left" w:pos="1134"/>
          <w:tab w:val="left" w:pos="1701"/>
          <w:tab w:val="right" w:pos="9072"/>
        </w:tabs>
        <w:rPr>
          <w:lang w:val="fr-FR"/>
        </w:rPr>
      </w:pPr>
      <w:r w:rsidRPr="00622347">
        <w:rPr>
          <w:lang w:val="fr-FR"/>
        </w:rPr>
        <w:tab/>
        <w:t>i)</w:t>
      </w:r>
      <w:r w:rsidRPr="00622347">
        <w:rPr>
          <w:lang w:val="fr-FR"/>
        </w:rPr>
        <w:tab/>
      </w:r>
      <w:r w:rsidRPr="002202CE">
        <w:rPr>
          <w:lang w:val="fr-FR"/>
        </w:rPr>
        <w:t>taxe d</w:t>
      </w:r>
      <w:r w:rsidR="00CB6800">
        <w:rPr>
          <w:lang w:val="fr-FR"/>
        </w:rPr>
        <w:t>’</w:t>
      </w:r>
      <w:r w:rsidRPr="002202CE">
        <w:rPr>
          <w:lang w:val="fr-FR"/>
        </w:rPr>
        <w:t>enregistrement international</w:t>
      </w:r>
      <w:r w:rsidRPr="00622347">
        <w:rPr>
          <w:b/>
          <w:bCs/>
          <w:vertAlign w:val="superscript"/>
          <w:lang w:val="fr-FR"/>
        </w:rPr>
        <w:t>3</w:t>
      </w:r>
      <w:r w:rsidRPr="00622347">
        <w:rPr>
          <w:lang w:val="fr-FR"/>
        </w:rPr>
        <w:tab/>
        <w:t>1000</w:t>
      </w:r>
    </w:p>
    <w:p w:rsidR="00043521" w:rsidRPr="00622347" w:rsidRDefault="00043521" w:rsidP="00043521">
      <w:pPr>
        <w:tabs>
          <w:tab w:val="left" w:pos="1134"/>
          <w:tab w:val="left" w:pos="1701"/>
          <w:tab w:val="right" w:pos="9072"/>
        </w:tabs>
        <w:rPr>
          <w:lang w:val="fr-FR"/>
        </w:rPr>
      </w:pPr>
      <w:r>
        <w:rPr>
          <w:lang w:val="fr-FR"/>
        </w:rPr>
        <w:tab/>
      </w:r>
      <w:r w:rsidRPr="00622347">
        <w:rPr>
          <w:lang w:val="fr-FR"/>
        </w:rPr>
        <w:t>ii)</w:t>
      </w:r>
      <w:r w:rsidRPr="00622347">
        <w:rPr>
          <w:lang w:val="fr-FR"/>
        </w:rPr>
        <w:tab/>
      </w:r>
      <w:bookmarkStart w:id="7" w:name="_Ref103325434"/>
      <w:r w:rsidRPr="002202CE">
        <w:rPr>
          <w:lang w:val="fr-FR"/>
        </w:rPr>
        <w:t xml:space="preserve">taxe pour </w:t>
      </w:r>
      <w:r w:rsidRPr="002202CE">
        <w:rPr>
          <w:strike/>
          <w:color w:val="C00000"/>
          <w:lang w:val="fr-FR"/>
        </w:rPr>
        <w:t xml:space="preserve">chaque </w:t>
      </w:r>
      <w:r w:rsidRPr="002202CE">
        <w:rPr>
          <w:color w:val="0070C0"/>
          <w:u w:val="single"/>
          <w:lang w:val="fr-FR"/>
        </w:rPr>
        <w:t xml:space="preserve">une </w:t>
      </w:r>
      <w:r w:rsidRPr="002202CE">
        <w:rPr>
          <w:lang w:val="fr-FR"/>
        </w:rPr>
        <w:t>modification d</w:t>
      </w:r>
      <w:r w:rsidR="00CB6800">
        <w:rPr>
          <w:lang w:val="fr-FR"/>
        </w:rPr>
        <w:t>’</w:t>
      </w:r>
      <w:r w:rsidRPr="002202CE">
        <w:rPr>
          <w:lang w:val="fr-FR"/>
        </w:rPr>
        <w:t>un enregistrement international</w:t>
      </w:r>
      <w:bookmarkEnd w:id="7"/>
      <w:r w:rsidRPr="00622347">
        <w:rPr>
          <w:vertAlign w:val="superscript"/>
          <w:lang w:val="fr-FR"/>
        </w:rPr>
        <w:footnoteReference w:customMarkFollows="1" w:id="2"/>
        <w:t>3</w:t>
      </w:r>
      <w:r w:rsidRPr="00622347">
        <w:rPr>
          <w:lang w:val="fr-FR"/>
        </w:rPr>
        <w:tab/>
        <w:t>500</w:t>
      </w:r>
    </w:p>
    <w:p w:rsidR="00043521" w:rsidRPr="00622347" w:rsidRDefault="00043521" w:rsidP="00043521">
      <w:pPr>
        <w:tabs>
          <w:tab w:val="left" w:pos="1134"/>
          <w:tab w:val="left" w:pos="1701"/>
          <w:tab w:val="right" w:pos="9072"/>
        </w:tabs>
        <w:ind w:left="1701"/>
        <w:rPr>
          <w:lang w:val="fr-FR"/>
        </w:rPr>
      </w:pPr>
      <w:r w:rsidRPr="002202CE">
        <w:rPr>
          <w:color w:val="0070C0"/>
          <w:szCs w:val="22"/>
          <w:u w:val="single"/>
          <w:lang w:val="fr-FR"/>
        </w:rPr>
        <w:t xml:space="preserve">taxe complémentaire pour une ou plusieurs modifications </w:t>
      </w:r>
      <w:r w:rsidRPr="002202CE">
        <w:rPr>
          <w:color w:val="0070C0"/>
          <w:szCs w:val="22"/>
          <w:u w:val="single"/>
          <w:lang w:val="fr-FR"/>
        </w:rPr>
        <w:br/>
        <w:t>supplémentaires présentées dans la même demande</w:t>
      </w:r>
      <w:r w:rsidRPr="00622347">
        <w:rPr>
          <w:lang w:val="fr-FR"/>
        </w:rPr>
        <w:tab/>
      </w:r>
      <w:r w:rsidRPr="00622347">
        <w:rPr>
          <w:color w:val="0070C0"/>
          <w:u w:val="single"/>
          <w:lang w:val="fr-FR"/>
        </w:rPr>
        <w:t>300</w:t>
      </w:r>
    </w:p>
    <w:p w:rsidR="00043521" w:rsidRPr="00622347" w:rsidRDefault="00043521" w:rsidP="00043521">
      <w:pPr>
        <w:tabs>
          <w:tab w:val="left" w:pos="1134"/>
          <w:tab w:val="left" w:pos="1701"/>
          <w:tab w:val="right" w:pos="9072"/>
        </w:tabs>
        <w:rPr>
          <w:lang w:val="fr-FR"/>
        </w:rPr>
      </w:pPr>
      <w:r w:rsidRPr="00622347">
        <w:rPr>
          <w:lang w:val="fr-FR"/>
        </w:rPr>
        <w:tab/>
        <w:t>iii)</w:t>
      </w:r>
      <w:r w:rsidRPr="00622347">
        <w:rPr>
          <w:lang w:val="fr-FR"/>
        </w:rPr>
        <w:tab/>
      </w:r>
      <w:r w:rsidRPr="00610D70">
        <w:rPr>
          <w:lang w:val="fr-FR"/>
        </w:rPr>
        <w:t>taxe pour la fourniture d</w:t>
      </w:r>
      <w:r w:rsidR="00CB6800">
        <w:rPr>
          <w:lang w:val="fr-FR"/>
        </w:rPr>
        <w:t>’</w:t>
      </w:r>
      <w:r w:rsidRPr="00610D70">
        <w:rPr>
          <w:lang w:val="fr-FR"/>
        </w:rPr>
        <w:t>un extrait du registre international</w:t>
      </w:r>
      <w:r w:rsidRPr="00622347">
        <w:rPr>
          <w:lang w:val="fr-FR"/>
        </w:rPr>
        <w:tab/>
        <w:t>150</w:t>
      </w:r>
    </w:p>
    <w:p w:rsidR="00043521" w:rsidRPr="00622347" w:rsidRDefault="00043521" w:rsidP="00043521">
      <w:pPr>
        <w:tabs>
          <w:tab w:val="left" w:pos="1134"/>
          <w:tab w:val="left" w:pos="1701"/>
          <w:tab w:val="right" w:pos="9072"/>
        </w:tabs>
        <w:rPr>
          <w:lang w:val="fr-FR"/>
        </w:rPr>
      </w:pPr>
      <w:r w:rsidRPr="00622347">
        <w:rPr>
          <w:lang w:val="fr-FR"/>
        </w:rPr>
        <w:tab/>
        <w:t>iv)</w:t>
      </w:r>
      <w:r w:rsidRPr="00622347">
        <w:rPr>
          <w:lang w:val="fr-FR"/>
        </w:rPr>
        <w:tab/>
      </w:r>
      <w:r w:rsidRPr="00610D70">
        <w:rPr>
          <w:lang w:val="fr-FR"/>
        </w:rPr>
        <w:t>taxe pour la fourniture d</w:t>
      </w:r>
      <w:r w:rsidR="00CB6800">
        <w:rPr>
          <w:lang w:val="fr-FR"/>
        </w:rPr>
        <w:t>’</w:t>
      </w:r>
      <w:r w:rsidRPr="00610D70">
        <w:rPr>
          <w:lang w:val="fr-FR"/>
        </w:rPr>
        <w:t>une attestation ou de tout autre renseignement</w:t>
      </w:r>
      <w:r w:rsidRPr="00622347">
        <w:rPr>
          <w:lang w:val="fr-FR"/>
        </w:rPr>
        <w:tab/>
        <w:t>100</w:t>
      </w:r>
    </w:p>
    <w:p w:rsidR="00043521" w:rsidRPr="00622347" w:rsidRDefault="00043521" w:rsidP="00043521">
      <w:pPr>
        <w:tabs>
          <w:tab w:val="left" w:pos="550"/>
          <w:tab w:val="left" w:pos="1080"/>
          <w:tab w:val="left" w:pos="8460"/>
          <w:tab w:val="left" w:pos="8640"/>
          <w:tab w:val="left" w:pos="9000"/>
        </w:tabs>
        <w:rPr>
          <w:lang w:val="fr-FR"/>
        </w:rPr>
      </w:pPr>
      <w:r w:rsidRPr="00610D70">
        <w:rPr>
          <w:lang w:val="fr-FR"/>
        </w:rPr>
        <w:t>par écrit sur le contenu du registre international</w:t>
      </w:r>
      <w:r w:rsidRPr="00622347">
        <w:rPr>
          <w:lang w:val="fr-FR"/>
        </w:rPr>
        <w:tab/>
      </w:r>
    </w:p>
    <w:p w:rsidR="00043521" w:rsidRPr="00622347" w:rsidRDefault="00043521" w:rsidP="00043521">
      <w:pPr>
        <w:tabs>
          <w:tab w:val="left" w:pos="1134"/>
          <w:tab w:val="left" w:pos="1701"/>
          <w:tab w:val="left" w:pos="8460"/>
          <w:tab w:val="left" w:pos="8640"/>
          <w:tab w:val="left" w:pos="9000"/>
        </w:tabs>
        <w:rPr>
          <w:lang w:val="fr-FR"/>
        </w:rPr>
      </w:pPr>
      <w:r>
        <w:rPr>
          <w:lang w:val="fr-FR"/>
        </w:rPr>
        <w:tab/>
      </w:r>
      <w:r w:rsidRPr="00622347">
        <w:rPr>
          <w:lang w:val="fr-FR"/>
        </w:rPr>
        <w:t>v)</w:t>
      </w:r>
      <w:r w:rsidRPr="00622347">
        <w:rPr>
          <w:lang w:val="fr-FR"/>
        </w:rPr>
        <w:tab/>
      </w:r>
      <w:r w:rsidRPr="002202CE">
        <w:rPr>
          <w:lang w:val="fr-FR"/>
        </w:rPr>
        <w:t>taxes individuelles visées à l</w:t>
      </w:r>
      <w:r w:rsidR="00CB6800">
        <w:rPr>
          <w:lang w:val="fr-FR"/>
        </w:rPr>
        <w:t>’</w:t>
      </w:r>
      <w:r w:rsidRPr="002202CE">
        <w:rPr>
          <w:lang w:val="fr-FR"/>
        </w:rPr>
        <w:t>alinéa 2)</w:t>
      </w:r>
      <w:r w:rsidRPr="00622347">
        <w:rPr>
          <w:lang w:val="fr-FR"/>
        </w:rPr>
        <w:t>.</w:t>
      </w:r>
    </w:p>
    <w:p w:rsidR="00043521" w:rsidRPr="00622347" w:rsidRDefault="00043521" w:rsidP="00043521">
      <w:pPr>
        <w:spacing w:before="120" w:after="120"/>
        <w:rPr>
          <w:rFonts w:eastAsia="Times New Roman"/>
          <w:bCs/>
          <w:color w:val="1A1A1A"/>
          <w:szCs w:val="22"/>
          <w:lang w:val="fr-FR" w:eastAsia="en-US"/>
        </w:rPr>
      </w:pPr>
      <w:r w:rsidRPr="00622347">
        <w:rPr>
          <w:rFonts w:eastAsia="Times New Roman"/>
          <w:bCs/>
          <w:color w:val="1A1A1A"/>
          <w:szCs w:val="22"/>
          <w:lang w:val="fr-FR" w:eastAsia="en-US"/>
        </w:rPr>
        <w:t>[…]</w:t>
      </w:r>
    </w:p>
    <w:p w:rsidR="00043521" w:rsidRPr="00622347" w:rsidRDefault="00043521" w:rsidP="00043521">
      <w:pPr>
        <w:spacing w:before="360" w:after="480"/>
        <w:jc w:val="center"/>
        <w:rPr>
          <w:rFonts w:eastAsia="Times New Roman"/>
          <w:color w:val="1A1A1A"/>
          <w:szCs w:val="22"/>
          <w:lang w:val="fr-FR" w:eastAsia="en-US"/>
        </w:rPr>
      </w:pPr>
      <w:bookmarkStart w:id="8" w:name="chapter3"/>
      <w:bookmarkEnd w:id="8"/>
      <w:r w:rsidRPr="00622347">
        <w:rPr>
          <w:rFonts w:eastAsia="Times New Roman"/>
          <w:b/>
          <w:bCs/>
          <w:color w:val="1A1A1A"/>
          <w:szCs w:val="22"/>
          <w:lang w:val="fr-FR" w:eastAsia="en-US"/>
        </w:rPr>
        <w:lastRenderedPageBreak/>
        <w:t>Chap</w:t>
      </w:r>
      <w:r>
        <w:rPr>
          <w:rFonts w:eastAsia="Times New Roman"/>
          <w:b/>
          <w:bCs/>
          <w:color w:val="1A1A1A"/>
          <w:szCs w:val="22"/>
          <w:lang w:val="fr-FR" w:eastAsia="en-US"/>
        </w:rPr>
        <w:t>i</w:t>
      </w:r>
      <w:r w:rsidRPr="00622347">
        <w:rPr>
          <w:rFonts w:eastAsia="Times New Roman"/>
          <w:b/>
          <w:bCs/>
          <w:color w:val="1A1A1A"/>
          <w:szCs w:val="22"/>
          <w:lang w:val="fr-FR" w:eastAsia="en-US"/>
        </w:rPr>
        <w:t>tr</w:t>
      </w:r>
      <w:r>
        <w:rPr>
          <w:rFonts w:eastAsia="Times New Roman"/>
          <w:b/>
          <w:bCs/>
          <w:color w:val="1A1A1A"/>
          <w:szCs w:val="22"/>
          <w:lang w:val="fr-FR" w:eastAsia="en-US"/>
        </w:rPr>
        <w:t>e </w:t>
      </w:r>
      <w:r w:rsidRPr="00622347">
        <w:rPr>
          <w:rFonts w:eastAsia="Times New Roman"/>
          <w:b/>
          <w:bCs/>
          <w:color w:val="1A1A1A"/>
          <w:szCs w:val="22"/>
          <w:lang w:val="fr-FR" w:eastAsia="en-US"/>
        </w:rPr>
        <w:t>III</w:t>
      </w:r>
      <w:r w:rsidRPr="00622347">
        <w:rPr>
          <w:rFonts w:eastAsia="Times New Roman"/>
          <w:b/>
          <w:bCs/>
          <w:color w:val="1A1A1A"/>
          <w:szCs w:val="22"/>
          <w:lang w:val="fr-FR" w:eastAsia="en-US"/>
        </w:rPr>
        <w:br/>
      </w:r>
      <w:r w:rsidRPr="002202CE">
        <w:rPr>
          <w:b/>
          <w:bCs/>
          <w:lang w:val="fr-FR"/>
        </w:rPr>
        <w:t>Refus et autres mesures relatives à l</w:t>
      </w:r>
      <w:r w:rsidR="00CB6800">
        <w:rPr>
          <w:b/>
          <w:bCs/>
          <w:lang w:val="fr-FR"/>
        </w:rPr>
        <w:t>’</w:t>
      </w:r>
      <w:r w:rsidRPr="002202CE">
        <w:rPr>
          <w:b/>
          <w:bCs/>
          <w:lang w:val="fr-FR"/>
        </w:rPr>
        <w:t>enregistrement international</w:t>
      </w:r>
    </w:p>
    <w:p w:rsidR="00043521" w:rsidRPr="00622347" w:rsidRDefault="00043521" w:rsidP="00043521">
      <w:pPr>
        <w:keepNext/>
        <w:jc w:val="center"/>
        <w:rPr>
          <w:b/>
          <w:lang w:val="fr-FR"/>
        </w:rPr>
      </w:pPr>
      <w:r w:rsidRPr="00622347">
        <w:rPr>
          <w:b/>
          <w:lang w:val="fr-FR"/>
        </w:rPr>
        <w:t>R</w:t>
      </w:r>
      <w:r>
        <w:rPr>
          <w:b/>
          <w:lang w:val="fr-FR"/>
        </w:rPr>
        <w:t>èg</w:t>
      </w:r>
      <w:r w:rsidRPr="00622347">
        <w:rPr>
          <w:b/>
          <w:lang w:val="fr-FR"/>
        </w:rPr>
        <w:t>le</w:t>
      </w:r>
      <w:r>
        <w:rPr>
          <w:b/>
          <w:lang w:val="fr-FR"/>
        </w:rPr>
        <w:t> </w:t>
      </w:r>
      <w:r w:rsidRPr="00622347">
        <w:rPr>
          <w:b/>
          <w:lang w:val="fr-FR"/>
        </w:rPr>
        <w:t>9</w:t>
      </w:r>
    </w:p>
    <w:p w:rsidR="00043521" w:rsidRPr="00622347" w:rsidRDefault="00043521" w:rsidP="00043521">
      <w:pPr>
        <w:keepNext/>
        <w:spacing w:after="240"/>
        <w:jc w:val="center"/>
        <w:rPr>
          <w:lang w:val="fr-FR"/>
        </w:rPr>
      </w:pPr>
      <w:r w:rsidRPr="00622347">
        <w:rPr>
          <w:lang w:val="fr-FR"/>
        </w:rPr>
        <w:t>Refus</w:t>
      </w:r>
    </w:p>
    <w:p w:rsidR="00043521" w:rsidRPr="00622347" w:rsidRDefault="00043521" w:rsidP="00043521">
      <w:pPr>
        <w:keepNext/>
        <w:tabs>
          <w:tab w:val="left" w:pos="567"/>
        </w:tabs>
        <w:spacing w:after="120"/>
        <w:rPr>
          <w:iCs/>
          <w:lang w:val="fr-FR"/>
        </w:rPr>
      </w:pPr>
      <w:r w:rsidRPr="00622347">
        <w:rPr>
          <w:lang w:val="fr-FR"/>
        </w:rPr>
        <w:t>1)</w:t>
      </w:r>
      <w:r w:rsidRPr="00622347">
        <w:rPr>
          <w:lang w:val="fr-FR"/>
        </w:rPr>
        <w:tab/>
      </w:r>
      <w:r w:rsidRPr="00622347">
        <w:rPr>
          <w:i/>
          <w:iCs/>
          <w:lang w:val="fr-FR"/>
        </w:rPr>
        <w:t xml:space="preserve">[Notification </w:t>
      </w:r>
      <w:r w:rsidRPr="002202CE">
        <w:rPr>
          <w:i/>
          <w:lang w:val="fr-FR"/>
        </w:rPr>
        <w:t>au Bureau international</w:t>
      </w:r>
      <w:r w:rsidRPr="00622347">
        <w:rPr>
          <w:i/>
          <w:iCs/>
          <w:lang w:val="fr-FR"/>
        </w:rPr>
        <w:t>]</w:t>
      </w:r>
    </w:p>
    <w:p w:rsidR="00043521" w:rsidRPr="00622347" w:rsidRDefault="00043521" w:rsidP="00043521">
      <w:pPr>
        <w:keepNext/>
        <w:tabs>
          <w:tab w:val="left" w:pos="567"/>
        </w:tabs>
        <w:spacing w:before="120" w:after="120"/>
        <w:rPr>
          <w:lang w:val="fr-FR"/>
        </w:rPr>
      </w:pPr>
      <w:r w:rsidRPr="00622347">
        <w:rPr>
          <w:lang w:val="fr-FR"/>
        </w:rPr>
        <w:t>[…]</w:t>
      </w:r>
    </w:p>
    <w:p w:rsidR="00043521" w:rsidRPr="00622347" w:rsidRDefault="00043521" w:rsidP="00043521">
      <w:pPr>
        <w:tabs>
          <w:tab w:val="left" w:pos="567"/>
          <w:tab w:val="left" w:pos="1134"/>
        </w:tabs>
        <w:spacing w:before="120" w:after="120"/>
        <w:rPr>
          <w:lang w:val="fr-FR"/>
        </w:rPr>
      </w:pPr>
      <w:r w:rsidRPr="00622347">
        <w:rPr>
          <w:lang w:val="fr-FR"/>
        </w:rPr>
        <w:tab/>
        <w:t>b)</w:t>
      </w:r>
      <w:r w:rsidRPr="00622347">
        <w:rPr>
          <w:lang w:val="fr-FR"/>
        </w:rPr>
        <w:tab/>
      </w:r>
      <w:r w:rsidRPr="002202CE">
        <w:rPr>
          <w:lang w:val="fr-FR"/>
        </w:rPr>
        <w:t>Ce refus doit être notifié dans un délai d</w:t>
      </w:r>
      <w:r w:rsidR="00CB6800">
        <w:rPr>
          <w:lang w:val="fr-FR"/>
        </w:rPr>
        <w:t>’</w:t>
      </w:r>
      <w:r w:rsidRPr="002202CE">
        <w:rPr>
          <w:lang w:val="fr-FR"/>
        </w:rPr>
        <w:t>une année à compter de la réception de la notification de l</w:t>
      </w:r>
      <w:r w:rsidR="00CB6800">
        <w:rPr>
          <w:lang w:val="fr-FR"/>
        </w:rPr>
        <w:t>’</w:t>
      </w:r>
      <w:r w:rsidRPr="002202CE">
        <w:rPr>
          <w:lang w:val="fr-FR"/>
        </w:rPr>
        <w:t>enregistrement international visée à l</w:t>
      </w:r>
      <w:r w:rsidR="00CB6800">
        <w:rPr>
          <w:lang w:val="fr-FR"/>
        </w:rPr>
        <w:t>’</w:t>
      </w:r>
      <w:r w:rsidRPr="002202CE">
        <w:rPr>
          <w:lang w:val="fr-FR"/>
        </w:rPr>
        <w:t>article 5.2) de l</w:t>
      </w:r>
      <w:r w:rsidR="00CB6800">
        <w:rPr>
          <w:lang w:val="fr-FR"/>
        </w:rPr>
        <w:t>’</w:t>
      </w:r>
      <w:r w:rsidRPr="002202CE">
        <w:rPr>
          <w:lang w:val="fr-FR"/>
        </w:rPr>
        <w:t>Acte de 1967 ou à l</w:t>
      </w:r>
      <w:r w:rsidR="00CB6800">
        <w:rPr>
          <w:lang w:val="fr-FR"/>
        </w:rPr>
        <w:t>’</w:t>
      </w:r>
      <w:r w:rsidRPr="002202CE">
        <w:rPr>
          <w:lang w:val="fr-FR"/>
        </w:rPr>
        <w:t>article 6.4) de l</w:t>
      </w:r>
      <w:r w:rsidR="00CB6800">
        <w:rPr>
          <w:lang w:val="fr-FR"/>
        </w:rPr>
        <w:t>’</w:t>
      </w:r>
      <w:r w:rsidRPr="002202CE">
        <w:rPr>
          <w:lang w:val="fr-FR"/>
        </w:rPr>
        <w:t>Acte de Genè</w:t>
      </w:r>
      <w:r w:rsidR="002723CA" w:rsidRPr="002202CE">
        <w:rPr>
          <w:lang w:val="fr-FR"/>
        </w:rPr>
        <w:t>ve</w:t>
      </w:r>
      <w:r w:rsidR="002723CA">
        <w:rPr>
          <w:lang w:val="fr-FR"/>
        </w:rPr>
        <w:t xml:space="preserve">.  </w:t>
      </w:r>
      <w:r w:rsidR="002723CA" w:rsidRPr="002202CE">
        <w:rPr>
          <w:lang w:val="fr-FR"/>
        </w:rPr>
        <w:t>Da</w:t>
      </w:r>
      <w:r w:rsidRPr="002202CE">
        <w:rPr>
          <w:lang w:val="fr-FR"/>
        </w:rPr>
        <w:t>ns le cas visé à l</w:t>
      </w:r>
      <w:r w:rsidR="00CB6800">
        <w:rPr>
          <w:lang w:val="fr-FR"/>
        </w:rPr>
        <w:t>’</w:t>
      </w:r>
      <w:r w:rsidRPr="002202CE">
        <w:rPr>
          <w:lang w:val="fr-FR"/>
        </w:rPr>
        <w:t>article 29.4) de l</w:t>
      </w:r>
      <w:r w:rsidR="00CB6800">
        <w:rPr>
          <w:lang w:val="fr-FR"/>
        </w:rPr>
        <w:t>’</w:t>
      </w:r>
      <w:r w:rsidRPr="002202CE">
        <w:rPr>
          <w:lang w:val="fr-FR"/>
        </w:rPr>
        <w:t>Acte de Genève, ce délai peut être prolongé d</w:t>
      </w:r>
      <w:r w:rsidR="00CB6800">
        <w:rPr>
          <w:lang w:val="fr-FR"/>
        </w:rPr>
        <w:t>’</w:t>
      </w:r>
      <w:r w:rsidRPr="002202CE">
        <w:rPr>
          <w:lang w:val="fr-FR"/>
        </w:rPr>
        <w:t>une année</w:t>
      </w:r>
      <w:r w:rsidRPr="00622347">
        <w:rPr>
          <w:lang w:val="fr-FR"/>
        </w:rPr>
        <w:t>.</w:t>
      </w:r>
    </w:p>
    <w:p w:rsidR="00043521" w:rsidRPr="00622347" w:rsidRDefault="00043521" w:rsidP="00043521">
      <w:pPr>
        <w:tabs>
          <w:tab w:val="left" w:pos="567"/>
          <w:tab w:val="left" w:pos="1134"/>
        </w:tabs>
        <w:spacing w:before="120" w:after="120"/>
        <w:ind w:firstLine="540"/>
        <w:rPr>
          <w:lang w:val="fr-FR"/>
        </w:rPr>
      </w:pPr>
      <w:r w:rsidRPr="00622347">
        <w:rPr>
          <w:lang w:val="fr-FR"/>
        </w:rPr>
        <w:t>c)</w:t>
      </w:r>
      <w:r w:rsidRPr="00622347">
        <w:rPr>
          <w:lang w:val="fr-FR"/>
        </w:rPr>
        <w:tab/>
      </w:r>
      <w:r w:rsidRPr="002202CE">
        <w:rPr>
          <w:lang w:val="fr-FR"/>
        </w:rPr>
        <w:t>Sauf preuve du contraire de la part de l</w:t>
      </w:r>
      <w:r w:rsidR="00CB6800">
        <w:rPr>
          <w:lang w:val="fr-FR"/>
        </w:rPr>
        <w:t>’</w:t>
      </w:r>
      <w:r w:rsidRPr="002202CE">
        <w:rPr>
          <w:lang w:val="fr-FR"/>
        </w:rPr>
        <w:t>administration compétente visée au sous</w:t>
      </w:r>
      <w:r w:rsidR="002723CA">
        <w:rPr>
          <w:lang w:val="fr-FR"/>
        </w:rPr>
        <w:noBreakHyphen/>
      </w:r>
      <w:r w:rsidRPr="002202CE">
        <w:rPr>
          <w:lang w:val="fr-FR"/>
        </w:rPr>
        <w:t>alinéa a), la notification d</w:t>
      </w:r>
      <w:r w:rsidR="00CB6800">
        <w:rPr>
          <w:lang w:val="fr-FR"/>
        </w:rPr>
        <w:t>’</w:t>
      </w:r>
      <w:r w:rsidRPr="002202CE">
        <w:rPr>
          <w:lang w:val="fr-FR"/>
        </w:rPr>
        <w:t xml:space="preserve">un enregistrement international </w:t>
      </w:r>
      <w:r w:rsidRPr="002202CE">
        <w:rPr>
          <w:color w:val="0070C0"/>
          <w:u w:val="single"/>
          <w:lang w:val="fr-FR"/>
        </w:rPr>
        <w:t>visée au sous</w:t>
      </w:r>
      <w:r w:rsidR="002723CA">
        <w:rPr>
          <w:color w:val="0070C0"/>
          <w:u w:val="single"/>
          <w:lang w:val="fr-FR"/>
        </w:rPr>
        <w:noBreakHyphen/>
      </w:r>
      <w:r w:rsidRPr="002202CE">
        <w:rPr>
          <w:color w:val="0070C0"/>
          <w:u w:val="single"/>
          <w:lang w:val="fr-FR"/>
        </w:rPr>
        <w:t xml:space="preserve">alinéa b) </w:t>
      </w:r>
      <w:r w:rsidRPr="002202CE">
        <w:rPr>
          <w:lang w:val="fr-FR"/>
        </w:rPr>
        <w:t>est réputée avoir été reçue par l</w:t>
      </w:r>
      <w:r w:rsidR="00CB6800">
        <w:rPr>
          <w:lang w:val="fr-FR"/>
        </w:rPr>
        <w:t>’</w:t>
      </w:r>
      <w:r w:rsidRPr="002202CE">
        <w:rPr>
          <w:lang w:val="fr-FR"/>
        </w:rPr>
        <w:t>administration compétente 20 jours après la date indiquée sur la notification</w:t>
      </w:r>
      <w:r w:rsidRPr="00622347">
        <w:rPr>
          <w:lang w:val="fr-FR"/>
        </w:rPr>
        <w:t>.</w:t>
      </w:r>
    </w:p>
    <w:p w:rsidR="00043521" w:rsidRPr="00622347" w:rsidRDefault="00043521" w:rsidP="00043521">
      <w:pPr>
        <w:spacing w:before="120" w:after="360"/>
        <w:jc w:val="both"/>
        <w:rPr>
          <w:lang w:val="fr-FR"/>
        </w:rPr>
      </w:pPr>
      <w:r w:rsidRPr="00622347">
        <w:rPr>
          <w:lang w:val="fr-FR"/>
        </w:rPr>
        <w:t>[…]</w:t>
      </w:r>
    </w:p>
    <w:p w:rsidR="00043521" w:rsidRPr="00622347" w:rsidRDefault="00043521" w:rsidP="00043521">
      <w:pPr>
        <w:keepNext/>
        <w:spacing w:after="240"/>
        <w:jc w:val="center"/>
        <w:rPr>
          <w:lang w:val="fr-FR"/>
        </w:rPr>
      </w:pPr>
      <w:r w:rsidRPr="00622347">
        <w:rPr>
          <w:b/>
          <w:lang w:val="fr-FR"/>
        </w:rPr>
        <w:t>R</w:t>
      </w:r>
      <w:r>
        <w:rPr>
          <w:b/>
          <w:lang w:val="fr-FR"/>
        </w:rPr>
        <w:t>èg</w:t>
      </w:r>
      <w:r w:rsidRPr="00622347">
        <w:rPr>
          <w:b/>
          <w:lang w:val="fr-FR"/>
        </w:rPr>
        <w:t>le</w:t>
      </w:r>
      <w:r>
        <w:rPr>
          <w:b/>
          <w:lang w:val="fr-FR"/>
        </w:rPr>
        <w:t> </w:t>
      </w:r>
      <w:r w:rsidRPr="00622347">
        <w:rPr>
          <w:b/>
          <w:lang w:val="fr-FR"/>
        </w:rPr>
        <w:t>15</w:t>
      </w:r>
      <w:r w:rsidRPr="00622347">
        <w:rPr>
          <w:lang w:val="fr-FR"/>
        </w:rPr>
        <w:br/>
        <w:t>Modifications</w:t>
      </w:r>
    </w:p>
    <w:p w:rsidR="00043521" w:rsidRPr="00622347" w:rsidRDefault="00043521" w:rsidP="00043521">
      <w:pPr>
        <w:keepNext/>
        <w:tabs>
          <w:tab w:val="left" w:pos="567"/>
        </w:tabs>
        <w:rPr>
          <w:lang w:val="fr-FR"/>
        </w:rPr>
      </w:pPr>
      <w:r w:rsidRPr="00622347">
        <w:rPr>
          <w:lang w:val="fr-FR"/>
        </w:rPr>
        <w:t>1)</w:t>
      </w:r>
      <w:r w:rsidRPr="00622347">
        <w:rPr>
          <w:lang w:val="fr-FR"/>
        </w:rPr>
        <w:tab/>
      </w:r>
      <w:r w:rsidRPr="00622347">
        <w:rPr>
          <w:i/>
          <w:iCs/>
          <w:lang w:val="fr-FR"/>
        </w:rPr>
        <w:t>[</w:t>
      </w:r>
      <w:r w:rsidRPr="002202CE">
        <w:rPr>
          <w:i/>
          <w:lang w:val="fr-FR"/>
        </w:rPr>
        <w:t>Modifications admises</w:t>
      </w:r>
      <w:r w:rsidRPr="00622347">
        <w:rPr>
          <w:i/>
          <w:iCs/>
          <w:lang w:val="fr-FR"/>
        </w:rPr>
        <w:t xml:space="preserve">] </w:t>
      </w:r>
      <w:r w:rsidRPr="002202CE">
        <w:rPr>
          <w:lang w:val="fr-FR"/>
        </w:rPr>
        <w:t>Les modifications ci</w:t>
      </w:r>
      <w:r w:rsidR="002723CA">
        <w:rPr>
          <w:lang w:val="fr-FR"/>
        </w:rPr>
        <w:noBreakHyphen/>
      </w:r>
      <w:r w:rsidRPr="002202CE">
        <w:rPr>
          <w:lang w:val="fr-FR"/>
        </w:rPr>
        <w:t>après peuvent être inscrites au registre international</w:t>
      </w:r>
      <w:r w:rsidR="00CB6800">
        <w:rPr>
          <w:lang w:val="fr-FR"/>
        </w:rPr>
        <w:t> :</w:t>
      </w:r>
    </w:p>
    <w:p w:rsidR="00043521" w:rsidRPr="00622347" w:rsidRDefault="00043521" w:rsidP="00043521">
      <w:pPr>
        <w:keepNext/>
        <w:tabs>
          <w:tab w:val="left" w:pos="1710"/>
        </w:tabs>
        <w:ind w:firstLine="1134"/>
        <w:rPr>
          <w:color w:val="0070C0"/>
          <w:lang w:val="fr-FR"/>
        </w:rPr>
      </w:pPr>
      <w:r w:rsidRPr="00622347">
        <w:rPr>
          <w:lang w:val="fr-FR"/>
        </w:rPr>
        <w:t>i)</w:t>
      </w:r>
      <w:r w:rsidRPr="00622347">
        <w:rPr>
          <w:lang w:val="fr-FR"/>
        </w:rPr>
        <w:tab/>
      </w:r>
      <w:r w:rsidRPr="002202CE">
        <w:rPr>
          <w:color w:val="0070C0"/>
          <w:u w:val="single"/>
          <w:lang w:val="fr-FR"/>
        </w:rPr>
        <w:t>modification des bénéficiaires consistant en l</w:t>
      </w:r>
      <w:r w:rsidR="00CB6800">
        <w:rPr>
          <w:color w:val="0070C0"/>
          <w:u w:val="single"/>
          <w:lang w:val="fr-FR"/>
        </w:rPr>
        <w:t>’</w:t>
      </w:r>
      <w:r w:rsidRPr="002202CE">
        <w:rPr>
          <w:lang w:val="fr-FR"/>
        </w:rPr>
        <w:t xml:space="preserve">adjonction ou </w:t>
      </w:r>
      <w:r w:rsidRPr="002202CE">
        <w:rPr>
          <w:color w:val="0070C0"/>
          <w:u w:val="single"/>
          <w:lang w:val="fr-FR"/>
        </w:rPr>
        <w:t xml:space="preserve">la </w:t>
      </w:r>
      <w:r w:rsidRPr="002202CE">
        <w:rPr>
          <w:lang w:val="fr-FR"/>
        </w:rPr>
        <w:t>suppression d</w:t>
      </w:r>
      <w:r w:rsidR="00CB6800">
        <w:rPr>
          <w:lang w:val="fr-FR"/>
        </w:rPr>
        <w:t>’</w:t>
      </w:r>
      <w:r w:rsidRPr="002202CE">
        <w:rPr>
          <w:lang w:val="fr-FR"/>
        </w:rPr>
        <w:t>un ou de plusieurs bénéficiaires</w:t>
      </w:r>
      <w:r w:rsidRPr="002202CE">
        <w:rPr>
          <w:color w:val="0070C0"/>
          <w:u w:val="single"/>
          <w:lang w:val="fr-FR"/>
        </w:rPr>
        <w:t>, ou modification du nom ou de l</w:t>
      </w:r>
      <w:r w:rsidR="00CB6800">
        <w:rPr>
          <w:color w:val="0070C0"/>
          <w:u w:val="single"/>
          <w:lang w:val="fr-FR"/>
        </w:rPr>
        <w:t>’</w:t>
      </w:r>
      <w:r w:rsidRPr="002202CE">
        <w:rPr>
          <w:color w:val="0070C0"/>
          <w:u w:val="single"/>
          <w:lang w:val="fr-FR"/>
        </w:rPr>
        <w:t>adresse des bénéficiaires ou de la personne physique ou morale visée à l</w:t>
      </w:r>
      <w:r w:rsidR="00CB6800">
        <w:rPr>
          <w:color w:val="0070C0"/>
          <w:u w:val="single"/>
          <w:lang w:val="fr-FR"/>
        </w:rPr>
        <w:t>’</w:t>
      </w:r>
      <w:r w:rsidRPr="002202CE">
        <w:rPr>
          <w:color w:val="0070C0"/>
          <w:u w:val="single"/>
          <w:lang w:val="fr-FR"/>
        </w:rPr>
        <w:t>article 5.2)ii) de l</w:t>
      </w:r>
      <w:r w:rsidR="00CB6800">
        <w:rPr>
          <w:color w:val="0070C0"/>
          <w:u w:val="single"/>
          <w:lang w:val="fr-FR"/>
        </w:rPr>
        <w:t>’</w:t>
      </w:r>
      <w:r w:rsidRPr="002202CE">
        <w:rPr>
          <w:color w:val="0070C0"/>
          <w:u w:val="single"/>
          <w:lang w:val="fr-FR"/>
        </w:rPr>
        <w:t>Acte de Genève</w:t>
      </w:r>
      <w:r w:rsidRPr="00622347">
        <w:rPr>
          <w:color w:val="0070C0"/>
          <w:u w:val="single"/>
          <w:lang w:val="fr-FR"/>
        </w:rPr>
        <w:t>;</w:t>
      </w:r>
    </w:p>
    <w:p w:rsidR="00043521" w:rsidRPr="00622347" w:rsidRDefault="00043521" w:rsidP="00043521">
      <w:pPr>
        <w:tabs>
          <w:tab w:val="left" w:pos="1710"/>
        </w:tabs>
        <w:ind w:firstLine="1134"/>
        <w:rPr>
          <w:lang w:val="fr-FR"/>
        </w:rPr>
      </w:pPr>
      <w:r w:rsidRPr="00622347">
        <w:rPr>
          <w:lang w:val="fr-FR"/>
        </w:rPr>
        <w:t>ii)</w:t>
      </w:r>
      <w:r w:rsidRPr="00622347">
        <w:rPr>
          <w:lang w:val="fr-FR"/>
        </w:rPr>
        <w:tab/>
      </w:r>
      <w:r w:rsidRPr="002202CE">
        <w:rPr>
          <w:strike/>
          <w:color w:val="C00000"/>
          <w:lang w:val="fr-FR"/>
        </w:rPr>
        <w:t>modification du nom ou de l</w:t>
      </w:r>
      <w:r w:rsidR="00CB6800">
        <w:rPr>
          <w:strike/>
          <w:color w:val="C00000"/>
          <w:lang w:val="fr-FR"/>
        </w:rPr>
        <w:t>’</w:t>
      </w:r>
      <w:r w:rsidRPr="002202CE">
        <w:rPr>
          <w:strike/>
          <w:color w:val="C00000"/>
          <w:lang w:val="fr-FR"/>
        </w:rPr>
        <w:t>adresse des bénéficiaires ou de la personne physique ou morale visée à l</w:t>
      </w:r>
      <w:r w:rsidR="00CB6800">
        <w:rPr>
          <w:strike/>
          <w:color w:val="C00000"/>
          <w:lang w:val="fr-FR"/>
        </w:rPr>
        <w:t>’</w:t>
      </w:r>
      <w:r w:rsidRPr="002202CE">
        <w:rPr>
          <w:strike/>
          <w:color w:val="C00000"/>
          <w:lang w:val="fr-FR"/>
        </w:rPr>
        <w:t>article 5.2)ii) de l</w:t>
      </w:r>
      <w:r w:rsidR="00CB6800">
        <w:rPr>
          <w:strike/>
          <w:color w:val="C00000"/>
          <w:lang w:val="fr-FR"/>
        </w:rPr>
        <w:t>’</w:t>
      </w:r>
      <w:r w:rsidRPr="002202CE">
        <w:rPr>
          <w:strike/>
          <w:color w:val="C00000"/>
          <w:lang w:val="fr-FR"/>
        </w:rPr>
        <w:t xml:space="preserve">Acte de Genève; </w:t>
      </w:r>
      <w:r w:rsidR="00B37595">
        <w:rPr>
          <w:strike/>
          <w:color w:val="C00000"/>
          <w:lang w:val="fr-FR"/>
        </w:rPr>
        <w:t xml:space="preserve"> </w:t>
      </w:r>
      <w:r w:rsidRPr="002202CE">
        <w:rPr>
          <w:color w:val="0070C0"/>
          <w:u w:val="single"/>
          <w:lang w:val="fr-FR"/>
        </w:rPr>
        <w:t>[supprimé</w:t>
      </w:r>
      <w:r w:rsidRPr="00622347">
        <w:rPr>
          <w:color w:val="0070C0"/>
          <w:u w:val="single"/>
          <w:lang w:val="fr-FR"/>
        </w:rPr>
        <w:t>]</w:t>
      </w:r>
    </w:p>
    <w:p w:rsidR="00043521" w:rsidRPr="00622347" w:rsidRDefault="00043521" w:rsidP="00043521">
      <w:pPr>
        <w:tabs>
          <w:tab w:val="left" w:pos="1710"/>
        </w:tabs>
        <w:ind w:firstLine="1134"/>
        <w:rPr>
          <w:lang w:val="fr-FR"/>
        </w:rPr>
      </w:pPr>
      <w:r w:rsidRPr="00622347">
        <w:rPr>
          <w:lang w:val="fr-FR"/>
        </w:rPr>
        <w:t>iii)</w:t>
      </w:r>
      <w:r w:rsidRPr="00622347">
        <w:rPr>
          <w:lang w:val="fr-FR"/>
        </w:rPr>
        <w:tab/>
      </w:r>
      <w:r w:rsidRPr="002202CE">
        <w:rPr>
          <w:lang w:val="fr-FR"/>
        </w:rPr>
        <w:t>modification des limites de l</w:t>
      </w:r>
      <w:r w:rsidR="00CB6800">
        <w:rPr>
          <w:lang w:val="fr-FR"/>
        </w:rPr>
        <w:t>’</w:t>
      </w:r>
      <w:r w:rsidRPr="002202CE">
        <w:rPr>
          <w:lang w:val="fr-FR"/>
        </w:rPr>
        <w:t>aire géographique de production ou de l</w:t>
      </w:r>
      <w:r w:rsidR="00CB6800">
        <w:rPr>
          <w:lang w:val="fr-FR"/>
        </w:rPr>
        <w:t>’</w:t>
      </w:r>
      <w:r w:rsidRPr="002202CE">
        <w:rPr>
          <w:lang w:val="fr-FR"/>
        </w:rPr>
        <w:t>aire géographique d</w:t>
      </w:r>
      <w:r w:rsidR="00CB6800">
        <w:rPr>
          <w:lang w:val="fr-FR"/>
        </w:rPr>
        <w:t>’</w:t>
      </w:r>
      <w:r w:rsidRPr="002202CE">
        <w:rPr>
          <w:lang w:val="fr-FR"/>
        </w:rPr>
        <w:t>origine du ou des produits auxquels s</w:t>
      </w:r>
      <w:r w:rsidR="00CB6800">
        <w:rPr>
          <w:lang w:val="fr-FR"/>
        </w:rPr>
        <w:t>’</w:t>
      </w:r>
      <w:r w:rsidRPr="002202CE">
        <w:rPr>
          <w:lang w:val="fr-FR"/>
        </w:rPr>
        <w:t>applique l</w:t>
      </w:r>
      <w:r w:rsidR="00CB6800">
        <w:rPr>
          <w:lang w:val="fr-FR"/>
        </w:rPr>
        <w:t>’</w:t>
      </w:r>
      <w:r w:rsidRPr="002202CE">
        <w:rPr>
          <w:lang w:val="fr-FR"/>
        </w:rPr>
        <w:t>appellation d</w:t>
      </w:r>
      <w:r w:rsidR="00CB6800">
        <w:rPr>
          <w:lang w:val="fr-FR"/>
        </w:rPr>
        <w:t>’</w:t>
      </w:r>
      <w:r w:rsidRPr="002202CE">
        <w:rPr>
          <w:lang w:val="fr-FR"/>
        </w:rPr>
        <w:t>origine ou l</w:t>
      </w:r>
      <w:r w:rsidR="00CB6800">
        <w:rPr>
          <w:lang w:val="fr-FR"/>
        </w:rPr>
        <w:t>’</w:t>
      </w:r>
      <w:r w:rsidRPr="002202CE">
        <w:rPr>
          <w:lang w:val="fr-FR"/>
        </w:rPr>
        <w:t>indication géographique</w:t>
      </w:r>
      <w:r w:rsidRPr="00622347">
        <w:rPr>
          <w:lang w:val="fr-FR"/>
        </w:rPr>
        <w:t>;</w:t>
      </w:r>
    </w:p>
    <w:p w:rsidR="00043521" w:rsidRPr="00622347" w:rsidRDefault="00043521" w:rsidP="00043521">
      <w:pPr>
        <w:tabs>
          <w:tab w:val="left" w:pos="1710"/>
        </w:tabs>
        <w:ind w:firstLine="1134"/>
        <w:rPr>
          <w:lang w:val="fr-FR"/>
        </w:rPr>
      </w:pPr>
      <w:r w:rsidRPr="00622347">
        <w:rPr>
          <w:lang w:val="fr-FR"/>
        </w:rPr>
        <w:t>iv)</w:t>
      </w:r>
      <w:r w:rsidRPr="00622347">
        <w:rPr>
          <w:lang w:val="fr-FR"/>
        </w:rPr>
        <w:tab/>
      </w:r>
      <w:r w:rsidRPr="002202CE">
        <w:rPr>
          <w:lang w:val="fr-FR"/>
        </w:rPr>
        <w:t>modification relative à l</w:t>
      </w:r>
      <w:r w:rsidR="00CB6800">
        <w:rPr>
          <w:lang w:val="fr-FR"/>
        </w:rPr>
        <w:t>’</w:t>
      </w:r>
      <w:r w:rsidRPr="002202CE">
        <w:rPr>
          <w:lang w:val="fr-FR"/>
        </w:rPr>
        <w:t>acte législatif ou réglementaire, à la décision judiciaire ou administrative ou à l</w:t>
      </w:r>
      <w:r w:rsidR="00CB6800">
        <w:rPr>
          <w:lang w:val="fr-FR"/>
        </w:rPr>
        <w:t>’</w:t>
      </w:r>
      <w:r w:rsidRPr="002202CE">
        <w:rPr>
          <w:lang w:val="fr-FR"/>
        </w:rPr>
        <w:t>enregistrement visés à la règle 5.2)a)vii)</w:t>
      </w:r>
      <w:r w:rsidRPr="00622347">
        <w:rPr>
          <w:lang w:val="fr-FR"/>
        </w:rPr>
        <w:t>;</w:t>
      </w:r>
    </w:p>
    <w:p w:rsidR="00043521" w:rsidRPr="00622347" w:rsidRDefault="00043521" w:rsidP="00043521">
      <w:pPr>
        <w:tabs>
          <w:tab w:val="left" w:pos="1710"/>
        </w:tabs>
        <w:ind w:firstLine="1134"/>
        <w:rPr>
          <w:lang w:val="fr-FR"/>
        </w:rPr>
      </w:pPr>
      <w:r w:rsidRPr="00622347">
        <w:rPr>
          <w:lang w:val="fr-FR"/>
        </w:rPr>
        <w:t>v)</w:t>
      </w:r>
      <w:r w:rsidRPr="00622347">
        <w:rPr>
          <w:lang w:val="fr-FR"/>
        </w:rPr>
        <w:tab/>
      </w:r>
      <w:r w:rsidRPr="002202CE">
        <w:rPr>
          <w:lang w:val="fr-FR"/>
        </w:rPr>
        <w:t>modification relative à la partie contractante d</w:t>
      </w:r>
      <w:r w:rsidR="00CB6800">
        <w:rPr>
          <w:lang w:val="fr-FR"/>
        </w:rPr>
        <w:t>’</w:t>
      </w:r>
      <w:r w:rsidRPr="002202CE">
        <w:rPr>
          <w:lang w:val="fr-FR"/>
        </w:rPr>
        <w:t>origine n</w:t>
      </w:r>
      <w:r w:rsidR="00CB6800">
        <w:rPr>
          <w:lang w:val="fr-FR"/>
        </w:rPr>
        <w:t>’</w:t>
      </w:r>
      <w:r w:rsidRPr="002202CE">
        <w:rPr>
          <w:lang w:val="fr-FR"/>
        </w:rPr>
        <w:t>affectant pas l</w:t>
      </w:r>
      <w:r w:rsidR="00CB6800">
        <w:rPr>
          <w:lang w:val="fr-FR"/>
        </w:rPr>
        <w:t>’</w:t>
      </w:r>
      <w:r w:rsidRPr="002202CE">
        <w:rPr>
          <w:lang w:val="fr-FR"/>
        </w:rPr>
        <w:t>aire géographique de production ou l</w:t>
      </w:r>
      <w:r w:rsidR="00CB6800">
        <w:rPr>
          <w:lang w:val="fr-FR"/>
        </w:rPr>
        <w:t>’</w:t>
      </w:r>
      <w:r w:rsidRPr="002202CE">
        <w:rPr>
          <w:lang w:val="fr-FR"/>
        </w:rPr>
        <w:t>aire géographique d</w:t>
      </w:r>
      <w:r w:rsidR="00CB6800">
        <w:rPr>
          <w:lang w:val="fr-FR"/>
        </w:rPr>
        <w:t>’</w:t>
      </w:r>
      <w:r w:rsidRPr="002202CE">
        <w:rPr>
          <w:lang w:val="fr-FR"/>
        </w:rPr>
        <w:t>origine du ou des produits auxquels s</w:t>
      </w:r>
      <w:r w:rsidR="00CB6800">
        <w:rPr>
          <w:lang w:val="fr-FR"/>
        </w:rPr>
        <w:t>’</w:t>
      </w:r>
      <w:r w:rsidRPr="002202CE">
        <w:rPr>
          <w:lang w:val="fr-FR"/>
        </w:rPr>
        <w:t>applique l</w:t>
      </w:r>
      <w:r w:rsidR="00CB6800">
        <w:rPr>
          <w:lang w:val="fr-FR"/>
        </w:rPr>
        <w:t>’</w:t>
      </w:r>
      <w:r w:rsidRPr="002202CE">
        <w:rPr>
          <w:lang w:val="fr-FR"/>
        </w:rPr>
        <w:t>appellation d</w:t>
      </w:r>
      <w:r w:rsidR="00CB6800">
        <w:rPr>
          <w:lang w:val="fr-FR"/>
        </w:rPr>
        <w:t>’</w:t>
      </w:r>
      <w:r w:rsidRPr="002202CE">
        <w:rPr>
          <w:lang w:val="fr-FR"/>
        </w:rPr>
        <w:t>origine ou l</w:t>
      </w:r>
      <w:r w:rsidR="00CB6800">
        <w:rPr>
          <w:lang w:val="fr-FR"/>
        </w:rPr>
        <w:t>’</w:t>
      </w:r>
      <w:r w:rsidRPr="002202CE">
        <w:rPr>
          <w:lang w:val="fr-FR"/>
        </w:rPr>
        <w:t>indication géographique</w:t>
      </w:r>
      <w:r w:rsidRPr="002202CE">
        <w:rPr>
          <w:strike/>
          <w:color w:val="C00000"/>
          <w:lang w:val="fr-FR"/>
        </w:rPr>
        <w:t>;</w:t>
      </w:r>
      <w:r w:rsidRPr="002202CE">
        <w:rPr>
          <w:color w:val="0070C0"/>
          <w:u w:val="single"/>
          <w:lang w:val="fr-FR"/>
        </w:rPr>
        <w:t>.</w:t>
      </w:r>
    </w:p>
    <w:p w:rsidR="00043521" w:rsidRPr="00622347" w:rsidRDefault="00043521" w:rsidP="00043521">
      <w:pPr>
        <w:tabs>
          <w:tab w:val="left" w:pos="1710"/>
        </w:tabs>
        <w:ind w:left="414" w:firstLine="720"/>
        <w:rPr>
          <w:color w:val="C00000"/>
          <w:lang w:val="fr-FR"/>
        </w:rPr>
      </w:pPr>
      <w:r w:rsidRPr="00622347">
        <w:rPr>
          <w:color w:val="000000" w:themeColor="text1"/>
          <w:lang w:val="fr-FR"/>
        </w:rPr>
        <w:t>vi)</w:t>
      </w:r>
      <w:r w:rsidRPr="00622347">
        <w:rPr>
          <w:color w:val="C00000"/>
          <w:lang w:val="fr-FR"/>
        </w:rPr>
        <w:tab/>
      </w:r>
      <w:r w:rsidRPr="002202CE">
        <w:rPr>
          <w:strike/>
          <w:color w:val="C00000"/>
          <w:lang w:val="fr-FR"/>
        </w:rPr>
        <w:t xml:space="preserve">modification au titre de la règle 16. </w:t>
      </w:r>
      <w:r w:rsidR="00B37595">
        <w:rPr>
          <w:strike/>
          <w:color w:val="C00000"/>
          <w:lang w:val="fr-FR"/>
        </w:rPr>
        <w:t xml:space="preserve"> </w:t>
      </w:r>
      <w:r w:rsidRPr="002202CE">
        <w:rPr>
          <w:color w:val="0070C0"/>
          <w:u w:val="single"/>
          <w:lang w:val="fr-FR"/>
        </w:rPr>
        <w:t>[supprimé</w:t>
      </w:r>
      <w:r w:rsidRPr="00622347">
        <w:rPr>
          <w:color w:val="0070C0"/>
          <w:u w:val="single"/>
          <w:lang w:val="fr-FR"/>
        </w:rPr>
        <w:t>]</w:t>
      </w:r>
    </w:p>
    <w:p w:rsidR="00043521" w:rsidRPr="00622347" w:rsidRDefault="00043521" w:rsidP="00043521">
      <w:pPr>
        <w:spacing w:before="360" w:after="120"/>
        <w:rPr>
          <w:lang w:val="fr-FR"/>
        </w:rPr>
      </w:pPr>
      <w:r w:rsidRPr="00622347">
        <w:rPr>
          <w:lang w:val="fr-FR"/>
        </w:rPr>
        <w:t>[…]</w:t>
      </w:r>
    </w:p>
    <w:p w:rsidR="00043521" w:rsidRPr="00622347" w:rsidRDefault="00043521" w:rsidP="00043521">
      <w:pPr>
        <w:rPr>
          <w:lang w:val="fr-FR"/>
        </w:rPr>
      </w:pPr>
      <w:r w:rsidRPr="00622347">
        <w:rPr>
          <w:lang w:val="fr-FR"/>
        </w:rPr>
        <w:br w:type="page"/>
      </w:r>
    </w:p>
    <w:p w:rsidR="00043521" w:rsidRPr="00622347" w:rsidRDefault="00CB6800" w:rsidP="00043521">
      <w:pPr>
        <w:spacing w:after="120"/>
        <w:jc w:val="center"/>
        <w:rPr>
          <w:rFonts w:eastAsia="Times New Roman"/>
          <w:color w:val="1A1A1A"/>
          <w:szCs w:val="22"/>
          <w:lang w:val="fr-FR" w:eastAsia="en-US"/>
        </w:rPr>
      </w:pPr>
      <w:r w:rsidRPr="00622347">
        <w:rPr>
          <w:rFonts w:eastAsia="Times New Roman"/>
          <w:b/>
          <w:bCs/>
          <w:color w:val="1A1A1A"/>
          <w:szCs w:val="22"/>
          <w:lang w:val="fr-FR" w:eastAsia="en-US"/>
        </w:rPr>
        <w:lastRenderedPageBreak/>
        <w:t>R</w:t>
      </w:r>
      <w:r>
        <w:rPr>
          <w:rFonts w:eastAsia="Times New Roman"/>
          <w:b/>
          <w:bCs/>
          <w:color w:val="1A1A1A"/>
          <w:szCs w:val="22"/>
          <w:lang w:val="fr-FR" w:eastAsia="en-US"/>
        </w:rPr>
        <w:t>èg</w:t>
      </w:r>
      <w:r w:rsidRPr="00622347">
        <w:rPr>
          <w:rFonts w:eastAsia="Times New Roman"/>
          <w:b/>
          <w:bCs/>
          <w:color w:val="1A1A1A"/>
          <w:szCs w:val="22"/>
          <w:lang w:val="fr-FR" w:eastAsia="en-US"/>
        </w:rPr>
        <w:t>le</w:t>
      </w:r>
      <w:r>
        <w:rPr>
          <w:rFonts w:eastAsia="Times New Roman"/>
          <w:b/>
          <w:bCs/>
          <w:color w:val="1A1A1A"/>
          <w:szCs w:val="22"/>
          <w:lang w:val="fr-FR" w:eastAsia="en-US"/>
        </w:rPr>
        <w:t> </w:t>
      </w:r>
      <w:r w:rsidRPr="00622347">
        <w:rPr>
          <w:rFonts w:eastAsia="Times New Roman"/>
          <w:b/>
          <w:bCs/>
          <w:color w:val="1A1A1A"/>
          <w:szCs w:val="22"/>
          <w:lang w:val="fr-FR" w:eastAsia="en-US"/>
        </w:rPr>
        <w:t>1</w:t>
      </w:r>
      <w:r w:rsidR="00043521" w:rsidRPr="00622347">
        <w:rPr>
          <w:rFonts w:eastAsia="Times New Roman"/>
          <w:b/>
          <w:bCs/>
          <w:color w:val="1A1A1A"/>
          <w:szCs w:val="22"/>
          <w:lang w:val="fr-FR" w:eastAsia="en-US"/>
        </w:rPr>
        <w:t>6</w:t>
      </w:r>
      <w:r w:rsidR="00043521" w:rsidRPr="00622347">
        <w:rPr>
          <w:rFonts w:eastAsia="Times New Roman"/>
          <w:b/>
          <w:bCs/>
          <w:color w:val="1A1A1A"/>
          <w:szCs w:val="22"/>
          <w:lang w:val="fr-FR" w:eastAsia="en-US"/>
        </w:rPr>
        <w:br/>
      </w:r>
      <w:r w:rsidR="00043521" w:rsidRPr="002202CE">
        <w:rPr>
          <w:iCs/>
          <w:lang w:val="fr-FR"/>
        </w:rPr>
        <w:t>Renonciation à la protection</w:t>
      </w:r>
    </w:p>
    <w:p w:rsidR="00043521" w:rsidRPr="00622347" w:rsidRDefault="00043521" w:rsidP="00043521">
      <w:pPr>
        <w:spacing w:before="120" w:after="120"/>
        <w:rPr>
          <w:rFonts w:eastAsia="Times New Roman"/>
          <w:color w:val="1A1A1A"/>
          <w:szCs w:val="22"/>
          <w:lang w:val="fr-FR" w:eastAsia="en-US"/>
        </w:rPr>
      </w:pPr>
      <w:r w:rsidRPr="00622347">
        <w:rPr>
          <w:rFonts w:eastAsia="Times New Roman"/>
          <w:color w:val="1A1A1A"/>
          <w:szCs w:val="22"/>
          <w:lang w:val="fr-FR" w:eastAsia="en-US"/>
        </w:rPr>
        <w:t>[…]</w:t>
      </w:r>
    </w:p>
    <w:p w:rsidR="00043521" w:rsidRPr="00622347" w:rsidRDefault="00043521" w:rsidP="00043521">
      <w:pPr>
        <w:tabs>
          <w:tab w:val="left" w:pos="567"/>
        </w:tabs>
        <w:rPr>
          <w:lang w:val="fr-FR"/>
        </w:rPr>
      </w:pPr>
      <w:r w:rsidRPr="00622347">
        <w:rPr>
          <w:lang w:val="fr-FR"/>
        </w:rPr>
        <w:t>2)</w:t>
      </w:r>
      <w:r w:rsidRPr="00622347">
        <w:rPr>
          <w:lang w:val="fr-FR"/>
        </w:rPr>
        <w:tab/>
      </w:r>
      <w:r w:rsidRPr="00622347">
        <w:rPr>
          <w:i/>
          <w:lang w:val="fr-FR"/>
        </w:rPr>
        <w:t>[</w:t>
      </w:r>
      <w:r w:rsidRPr="002202CE">
        <w:rPr>
          <w:i/>
          <w:lang w:val="fr-FR"/>
        </w:rPr>
        <w:t>Retrait d</w:t>
      </w:r>
      <w:r w:rsidR="00CB6800">
        <w:rPr>
          <w:i/>
          <w:lang w:val="fr-FR"/>
        </w:rPr>
        <w:t>’</w:t>
      </w:r>
      <w:r w:rsidRPr="002202CE">
        <w:rPr>
          <w:i/>
          <w:lang w:val="fr-FR"/>
        </w:rPr>
        <w:t>une renonciation</w:t>
      </w:r>
      <w:r w:rsidRPr="00622347">
        <w:rPr>
          <w:i/>
          <w:lang w:val="fr-FR"/>
        </w:rPr>
        <w:t>]</w:t>
      </w:r>
      <w:r w:rsidRPr="00622347">
        <w:rPr>
          <w:lang w:val="fr-FR"/>
        </w:rPr>
        <w:t xml:space="preserve"> a) </w:t>
      </w:r>
      <w:r w:rsidRPr="002202CE">
        <w:rPr>
          <w:lang w:val="fr-FR"/>
        </w:rPr>
        <w:t xml:space="preserve">Toute renonciation, </w:t>
      </w:r>
      <w:r w:rsidR="00CB6800">
        <w:rPr>
          <w:lang w:val="fr-FR"/>
        </w:rPr>
        <w:t>y compris</w:t>
      </w:r>
      <w:r w:rsidRPr="002202CE">
        <w:rPr>
          <w:lang w:val="fr-FR"/>
        </w:rPr>
        <w:t xml:space="preserve"> une renonciation selon la règle 6.1)d), peut être retirée, totalement ou partiellement, en tout temps par l</w:t>
      </w:r>
      <w:r w:rsidR="00CB6800">
        <w:rPr>
          <w:lang w:val="fr-FR"/>
        </w:rPr>
        <w:t>’</w:t>
      </w:r>
      <w:r w:rsidRPr="002202CE">
        <w:rPr>
          <w:lang w:val="fr-FR"/>
        </w:rPr>
        <w:t>administration compétente de la partie contractante d</w:t>
      </w:r>
      <w:r w:rsidR="00CB6800">
        <w:rPr>
          <w:lang w:val="fr-FR"/>
        </w:rPr>
        <w:t>’</w:t>
      </w:r>
      <w:r w:rsidRPr="002202CE">
        <w:rPr>
          <w:lang w:val="fr-FR"/>
        </w:rPr>
        <w:t>origine ou, dans le cas visé à l</w:t>
      </w:r>
      <w:r w:rsidR="00CB6800">
        <w:rPr>
          <w:lang w:val="fr-FR"/>
        </w:rPr>
        <w:t>’</w:t>
      </w:r>
      <w:r w:rsidRPr="002202CE">
        <w:rPr>
          <w:lang w:val="fr-FR"/>
        </w:rPr>
        <w:t>article 5.3) de l</w:t>
      </w:r>
      <w:r w:rsidR="00CB6800">
        <w:rPr>
          <w:lang w:val="fr-FR"/>
        </w:rPr>
        <w:t>’</w:t>
      </w:r>
      <w:r w:rsidRPr="002202CE">
        <w:rPr>
          <w:lang w:val="fr-FR"/>
        </w:rPr>
        <w:t>Acte de Genève, par les bénéficiaires ou par la personne physique ou morale visée à l</w:t>
      </w:r>
      <w:r w:rsidR="00CB6800">
        <w:rPr>
          <w:lang w:val="fr-FR"/>
        </w:rPr>
        <w:t>’</w:t>
      </w:r>
      <w:r w:rsidRPr="002202CE">
        <w:rPr>
          <w:lang w:val="fr-FR"/>
        </w:rPr>
        <w:t>article 5.2)ii) de cet Acte ou par l</w:t>
      </w:r>
      <w:r w:rsidR="00CB6800">
        <w:rPr>
          <w:lang w:val="fr-FR"/>
        </w:rPr>
        <w:t>’</w:t>
      </w:r>
      <w:r w:rsidRPr="002202CE">
        <w:rPr>
          <w:lang w:val="fr-FR"/>
        </w:rPr>
        <w:t>administration compétente de la partie contractante d</w:t>
      </w:r>
      <w:r w:rsidR="00CB6800">
        <w:rPr>
          <w:lang w:val="fr-FR"/>
        </w:rPr>
        <w:t>’</w:t>
      </w:r>
      <w:r w:rsidRPr="002202CE">
        <w:rPr>
          <w:lang w:val="fr-FR"/>
        </w:rPr>
        <w:t xml:space="preserve">origine, sous réserve </w:t>
      </w:r>
      <w:r w:rsidRPr="002202CE">
        <w:rPr>
          <w:strike/>
          <w:color w:val="C00000"/>
          <w:lang w:val="fr-FR"/>
        </w:rPr>
        <w:t>du paiement de la taxe de modification et, dans le cas d</w:t>
      </w:r>
      <w:r w:rsidR="00CB6800">
        <w:rPr>
          <w:strike/>
          <w:color w:val="C00000"/>
          <w:lang w:val="fr-FR"/>
        </w:rPr>
        <w:t>’</w:t>
      </w:r>
      <w:r w:rsidRPr="002202CE">
        <w:rPr>
          <w:strike/>
          <w:color w:val="C00000"/>
          <w:lang w:val="fr-FR"/>
        </w:rPr>
        <w:t xml:space="preserve">une renonciation selon la règle 6.1)d), </w:t>
      </w:r>
      <w:r w:rsidRPr="002202CE">
        <w:rPr>
          <w:lang w:val="fr-FR"/>
        </w:rPr>
        <w:t>de la correction de l</w:t>
      </w:r>
      <w:r w:rsidR="00CB6800">
        <w:rPr>
          <w:lang w:val="fr-FR"/>
        </w:rPr>
        <w:t>’</w:t>
      </w:r>
      <w:r w:rsidRPr="002202CE">
        <w:rPr>
          <w:lang w:val="fr-FR"/>
        </w:rPr>
        <w:t>irrégularité</w:t>
      </w:r>
      <w:r w:rsidRPr="002202CE">
        <w:rPr>
          <w:color w:val="0070C0"/>
          <w:u w:val="single"/>
          <w:lang w:val="fr-FR"/>
        </w:rPr>
        <w:t xml:space="preserve"> dans le cas d</w:t>
      </w:r>
      <w:r w:rsidR="00CB6800">
        <w:rPr>
          <w:color w:val="0070C0"/>
          <w:u w:val="single"/>
          <w:lang w:val="fr-FR"/>
        </w:rPr>
        <w:t>’</w:t>
      </w:r>
      <w:r w:rsidRPr="002202CE">
        <w:rPr>
          <w:color w:val="0070C0"/>
          <w:u w:val="single"/>
          <w:lang w:val="fr-FR"/>
        </w:rPr>
        <w:t>une renonciation selon la règle 6.1)d)</w:t>
      </w:r>
      <w:r w:rsidRPr="00622347">
        <w:rPr>
          <w:lang w:val="fr-FR"/>
        </w:rPr>
        <w:t>.</w:t>
      </w:r>
    </w:p>
    <w:p w:rsidR="00043521" w:rsidRPr="00622347" w:rsidRDefault="00043521" w:rsidP="00043521">
      <w:pPr>
        <w:spacing w:before="120" w:after="720"/>
        <w:rPr>
          <w:rFonts w:eastAsia="Times New Roman"/>
          <w:color w:val="1A1A1A"/>
          <w:szCs w:val="22"/>
          <w:lang w:val="fr-FR" w:eastAsia="en-US"/>
        </w:rPr>
      </w:pPr>
      <w:bookmarkStart w:id="9" w:name="rule24"/>
      <w:bookmarkEnd w:id="9"/>
      <w:r w:rsidRPr="00622347">
        <w:rPr>
          <w:rFonts w:eastAsia="Times New Roman"/>
          <w:color w:val="1A1A1A"/>
          <w:szCs w:val="22"/>
          <w:lang w:val="fr-FR" w:eastAsia="en-US"/>
        </w:rPr>
        <w:t>[…]</w:t>
      </w:r>
    </w:p>
    <w:p w:rsidR="000F5E56" w:rsidRPr="002723CA" w:rsidRDefault="00043521" w:rsidP="000C191F">
      <w:pPr>
        <w:pStyle w:val="Endofdocument-Annex"/>
        <w:spacing w:before="720"/>
        <w:rPr>
          <w:lang w:val="fr-FR"/>
        </w:rPr>
      </w:pPr>
      <w:r w:rsidRPr="002723CA">
        <w:rPr>
          <w:lang w:val="fr-FR"/>
        </w:rPr>
        <w:t>[Fin de l</w:t>
      </w:r>
      <w:r w:rsidR="00CB6800" w:rsidRPr="002723CA">
        <w:rPr>
          <w:lang w:val="fr-FR"/>
        </w:rPr>
        <w:t>’</w:t>
      </w:r>
      <w:r w:rsidRPr="002723CA">
        <w:rPr>
          <w:lang w:val="fr-FR"/>
        </w:rPr>
        <w:t>annexe et du document]</w:t>
      </w:r>
    </w:p>
    <w:sectPr w:rsidR="000F5E56" w:rsidRPr="002723CA" w:rsidSect="000C191F">
      <w:headerReference w:type="default" r:id="rId15"/>
      <w:head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521" w:rsidRDefault="00043521">
      <w:r>
        <w:separator/>
      </w:r>
    </w:p>
  </w:endnote>
  <w:endnote w:type="continuationSeparator" w:id="0">
    <w:p w:rsidR="00043521" w:rsidRPr="009D30E6" w:rsidRDefault="00043521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043521" w:rsidRPr="009D30E6" w:rsidRDefault="00043521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043521" w:rsidRPr="009D30E6" w:rsidRDefault="00043521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3CA" w:rsidRDefault="002723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3CA" w:rsidRDefault="002723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3CA" w:rsidRDefault="002723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521" w:rsidRDefault="00043521">
      <w:r>
        <w:separator/>
      </w:r>
    </w:p>
  </w:footnote>
  <w:footnote w:type="continuationSeparator" w:id="0">
    <w:p w:rsidR="00043521" w:rsidRDefault="00043521" w:rsidP="007461F1">
      <w:r>
        <w:separator/>
      </w:r>
    </w:p>
    <w:p w:rsidR="00043521" w:rsidRPr="009D30E6" w:rsidRDefault="00043521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043521" w:rsidRPr="009D30E6" w:rsidRDefault="00043521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:rsidR="00043521" w:rsidRPr="00A0678D" w:rsidRDefault="00043521" w:rsidP="002723CA">
      <w:pPr>
        <w:pStyle w:val="FootnoteText"/>
        <w:tabs>
          <w:tab w:val="left" w:pos="567"/>
        </w:tabs>
        <w:rPr>
          <w:sz w:val="20"/>
        </w:rPr>
      </w:pPr>
      <w:r>
        <w:rPr>
          <w:rStyle w:val="FootnoteReference"/>
        </w:rPr>
        <w:t>3</w:t>
      </w:r>
      <w:r>
        <w:rPr>
          <w:sz w:val="20"/>
        </w:rPr>
        <w:t xml:space="preserve"> </w:t>
      </w:r>
      <w:r>
        <w:rPr>
          <w:sz w:val="20"/>
        </w:rPr>
        <w:tab/>
      </w:r>
      <w:r w:rsidRPr="002723CA">
        <w:rPr>
          <w:szCs w:val="18"/>
          <w:lang w:val="fr-FR"/>
        </w:rPr>
        <w:t>Pour un enregistrement international désignant une aire géographique située dans un pays de la catégorie des pays les moins avancés (PMA), conformément aux listes établies par l</w:t>
      </w:r>
      <w:r w:rsidR="00936DDB" w:rsidRPr="002723CA">
        <w:rPr>
          <w:szCs w:val="18"/>
          <w:lang w:val="fr-FR"/>
        </w:rPr>
        <w:t>’</w:t>
      </w:r>
      <w:r w:rsidRPr="002723CA">
        <w:rPr>
          <w:szCs w:val="18"/>
          <w:lang w:val="fr-FR"/>
        </w:rPr>
        <w:t xml:space="preserve">Organisation des </w:t>
      </w:r>
      <w:r w:rsidR="00936DDB" w:rsidRPr="002723CA">
        <w:rPr>
          <w:szCs w:val="18"/>
          <w:lang w:val="fr-FR"/>
        </w:rPr>
        <w:t>Nations Unies</w:t>
      </w:r>
      <w:r w:rsidRPr="002723CA">
        <w:rPr>
          <w:szCs w:val="18"/>
          <w:lang w:val="fr-FR"/>
        </w:rPr>
        <w:t>, la taxe est ramenée à 50% du montant prescrit (arrondi au nombre entier le plus proche).  Dans ce cas, la taxe sera de 500 francs suisses pour un enregistrement international désignant une aire géographique d</w:t>
      </w:r>
      <w:r w:rsidR="00936DDB" w:rsidRPr="002723CA">
        <w:rPr>
          <w:szCs w:val="18"/>
          <w:lang w:val="fr-FR"/>
        </w:rPr>
        <w:t>’</w:t>
      </w:r>
      <w:r w:rsidRPr="002723CA">
        <w:rPr>
          <w:szCs w:val="18"/>
          <w:lang w:val="fr-FR"/>
        </w:rPr>
        <w:t xml:space="preserve">origine située dans un pays de la catégorie des PMA, </w:t>
      </w:r>
      <w:r w:rsidRPr="002723CA">
        <w:rPr>
          <w:strike/>
          <w:color w:val="C00000"/>
          <w:szCs w:val="18"/>
          <w:lang w:val="fr-FR"/>
        </w:rPr>
        <w:t xml:space="preserve">et </w:t>
      </w:r>
      <w:r w:rsidRPr="002723CA">
        <w:rPr>
          <w:szCs w:val="18"/>
          <w:lang w:val="fr-FR"/>
        </w:rPr>
        <w:t xml:space="preserve">de 250 francs suisses pour </w:t>
      </w:r>
      <w:r w:rsidRPr="002723CA">
        <w:rPr>
          <w:strike/>
          <w:color w:val="C00000"/>
          <w:szCs w:val="18"/>
          <w:lang w:val="fr-FR"/>
        </w:rPr>
        <w:t xml:space="preserve">chaque </w:t>
      </w:r>
      <w:r w:rsidRPr="002723CA">
        <w:rPr>
          <w:color w:val="0070C0"/>
          <w:szCs w:val="18"/>
          <w:u w:val="single"/>
          <w:lang w:val="fr-FR"/>
        </w:rPr>
        <w:t xml:space="preserve">une </w:t>
      </w:r>
      <w:r w:rsidRPr="002723CA">
        <w:rPr>
          <w:szCs w:val="18"/>
          <w:lang w:val="fr-FR"/>
        </w:rPr>
        <w:t>modification d</w:t>
      </w:r>
      <w:r w:rsidR="00936DDB" w:rsidRPr="002723CA">
        <w:rPr>
          <w:szCs w:val="18"/>
          <w:lang w:val="fr-FR"/>
        </w:rPr>
        <w:t>’</w:t>
      </w:r>
      <w:r w:rsidRPr="002723CA">
        <w:rPr>
          <w:szCs w:val="18"/>
          <w:lang w:val="fr-FR"/>
        </w:rPr>
        <w:t>un enregistrement international désignant une aire géographique d</w:t>
      </w:r>
      <w:r w:rsidR="00936DDB" w:rsidRPr="002723CA">
        <w:rPr>
          <w:szCs w:val="18"/>
          <w:lang w:val="fr-FR"/>
        </w:rPr>
        <w:t>’</w:t>
      </w:r>
      <w:r w:rsidRPr="002723CA">
        <w:rPr>
          <w:szCs w:val="18"/>
          <w:lang w:val="fr-FR"/>
        </w:rPr>
        <w:t>origine située dans un pays de la catégorie des PMA</w:t>
      </w:r>
      <w:r w:rsidRPr="002723CA">
        <w:rPr>
          <w:color w:val="0070C0"/>
          <w:szCs w:val="18"/>
          <w:u w:val="single"/>
          <w:lang w:val="fr-FR"/>
        </w:rPr>
        <w:t xml:space="preserve"> et de 150 francs suisses représentant une taxe complémentaire pour une ou plusieurs modifications supplémentaires présentées dans la même demande</w:t>
      </w:r>
      <w:r w:rsidRPr="002723CA">
        <w:rPr>
          <w:szCs w:val="18"/>
          <w:lang w:val="fr-FR"/>
        </w:rPr>
        <w:t>.  Ces réductions de taxes seront applicables pendant une durée de trois ans à compter de la date d</w:t>
      </w:r>
      <w:r w:rsidR="00936DDB" w:rsidRPr="002723CA">
        <w:rPr>
          <w:szCs w:val="18"/>
          <w:lang w:val="fr-FR"/>
        </w:rPr>
        <w:t>’</w:t>
      </w:r>
      <w:r w:rsidRPr="002723CA">
        <w:rPr>
          <w:szCs w:val="18"/>
          <w:lang w:val="fr-FR"/>
        </w:rPr>
        <w:t>entrée en vigueur de l</w:t>
      </w:r>
      <w:r w:rsidR="00936DDB" w:rsidRPr="002723CA">
        <w:rPr>
          <w:szCs w:val="18"/>
          <w:lang w:val="fr-FR"/>
        </w:rPr>
        <w:t>’</w:t>
      </w:r>
      <w:r w:rsidRPr="002723CA">
        <w:rPr>
          <w:szCs w:val="18"/>
          <w:lang w:val="fr-FR"/>
        </w:rPr>
        <w:t>Acte de Genève</w:t>
      </w:r>
      <w:r w:rsidRPr="002723CA">
        <w:rPr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3CA" w:rsidRDefault="002723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521" w:rsidRDefault="00043521" w:rsidP="003E6B20">
    <w:pPr>
      <w:jc w:val="right"/>
    </w:pPr>
    <w:r>
      <w:t>LI/A/39/1</w:t>
    </w:r>
  </w:p>
  <w:p w:rsidR="00043521" w:rsidRPr="00BA0078" w:rsidRDefault="00043521" w:rsidP="003E6B20">
    <w:pPr>
      <w:pStyle w:val="Header"/>
      <w:spacing w:after="480"/>
      <w:jc w:val="right"/>
    </w:pPr>
    <w:r>
      <w:t>page</w:t>
    </w:r>
    <w:r w:rsidR="002723CA">
      <w:t> </w:t>
    </w:r>
    <w:sdt>
      <w:sdtPr>
        <w:id w:val="119380084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5202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3CA" w:rsidRDefault="002723C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521" w:rsidRPr="00C15947" w:rsidRDefault="00043521" w:rsidP="00043521">
    <w:pPr>
      <w:jc w:val="right"/>
    </w:pPr>
    <w:r w:rsidRPr="009A42FF">
      <w:t>LI/A/39/1</w:t>
    </w:r>
  </w:p>
  <w:p w:rsidR="00043521" w:rsidRPr="00F962F4" w:rsidRDefault="00043521" w:rsidP="00043521">
    <w:pPr>
      <w:pStyle w:val="Header"/>
      <w:spacing w:after="480"/>
      <w:jc w:val="right"/>
    </w:pPr>
    <w:r w:rsidRPr="00C15947">
      <w:t>Annex</w:t>
    </w:r>
    <w:r>
      <w:t>e</w:t>
    </w:r>
    <w:r w:rsidRPr="00C15947">
      <w:t xml:space="preserve">, </w:t>
    </w:r>
    <w:r w:rsidRPr="007D43E5">
      <w:t xml:space="preserve">page </w:t>
    </w:r>
    <w:r>
      <w:fldChar w:fldCharType="begin"/>
    </w:r>
    <w:r w:rsidRPr="007D43E5">
      <w:instrText xml:space="preserve"> PAGE   \* MERGEFORMAT </w:instrText>
    </w:r>
    <w:r>
      <w:fldChar w:fldCharType="separate"/>
    </w:r>
    <w:r w:rsidR="00FF5202">
      <w:rPr>
        <w:noProof/>
      </w:rPr>
      <w:t>3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521" w:rsidRPr="00B173D8" w:rsidRDefault="00043521" w:rsidP="00043521">
    <w:pPr>
      <w:jc w:val="right"/>
    </w:pPr>
    <w:r>
      <w:t>LI/A/39/1</w:t>
    </w:r>
  </w:p>
  <w:p w:rsidR="00043521" w:rsidRPr="006E3BA6" w:rsidRDefault="00043521" w:rsidP="00043521">
    <w:pPr>
      <w:pStyle w:val="Header"/>
      <w:spacing w:after="480"/>
      <w:jc w:val="right"/>
    </w:pPr>
    <w:r>
      <w:t>ANNEXE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21"/>
    <w:rsid w:val="00011B7D"/>
    <w:rsid w:val="00043521"/>
    <w:rsid w:val="00075432"/>
    <w:rsid w:val="0009458A"/>
    <w:rsid w:val="000C191F"/>
    <w:rsid w:val="000F5E56"/>
    <w:rsid w:val="001362EE"/>
    <w:rsid w:val="001832A6"/>
    <w:rsid w:val="00195C6E"/>
    <w:rsid w:val="001B266A"/>
    <w:rsid w:val="001B488E"/>
    <w:rsid w:val="001C6508"/>
    <w:rsid w:val="001D3D56"/>
    <w:rsid w:val="001E4D82"/>
    <w:rsid w:val="00240654"/>
    <w:rsid w:val="002634C4"/>
    <w:rsid w:val="002723CA"/>
    <w:rsid w:val="00273CE9"/>
    <w:rsid w:val="002956DE"/>
    <w:rsid w:val="002E4D1A"/>
    <w:rsid w:val="002F16BC"/>
    <w:rsid w:val="002F4E68"/>
    <w:rsid w:val="00322C0B"/>
    <w:rsid w:val="00381798"/>
    <w:rsid w:val="003845C1"/>
    <w:rsid w:val="003A67A3"/>
    <w:rsid w:val="004008A2"/>
    <w:rsid w:val="004025DF"/>
    <w:rsid w:val="0040540C"/>
    <w:rsid w:val="00423E3E"/>
    <w:rsid w:val="00427AF4"/>
    <w:rsid w:val="004647DA"/>
    <w:rsid w:val="00477D6B"/>
    <w:rsid w:val="004D6471"/>
    <w:rsid w:val="0051455D"/>
    <w:rsid w:val="00525B63"/>
    <w:rsid w:val="00525E59"/>
    <w:rsid w:val="00541348"/>
    <w:rsid w:val="005421DD"/>
    <w:rsid w:val="00554FA5"/>
    <w:rsid w:val="00567A4C"/>
    <w:rsid w:val="00574036"/>
    <w:rsid w:val="00595F07"/>
    <w:rsid w:val="005E6516"/>
    <w:rsid w:val="00605827"/>
    <w:rsid w:val="00616671"/>
    <w:rsid w:val="00652DEC"/>
    <w:rsid w:val="006B0DB5"/>
    <w:rsid w:val="007461F1"/>
    <w:rsid w:val="007D6961"/>
    <w:rsid w:val="007F07CB"/>
    <w:rsid w:val="00810CEF"/>
    <w:rsid w:val="0081208D"/>
    <w:rsid w:val="008B2CC1"/>
    <w:rsid w:val="008E7930"/>
    <w:rsid w:val="0090731E"/>
    <w:rsid w:val="00936DDB"/>
    <w:rsid w:val="00966A22"/>
    <w:rsid w:val="00974CD6"/>
    <w:rsid w:val="009D30E6"/>
    <w:rsid w:val="009E3F6F"/>
    <w:rsid w:val="009F499F"/>
    <w:rsid w:val="00A06586"/>
    <w:rsid w:val="00A11D74"/>
    <w:rsid w:val="00AC0AE4"/>
    <w:rsid w:val="00AD61DB"/>
    <w:rsid w:val="00B1090C"/>
    <w:rsid w:val="00B35AF5"/>
    <w:rsid w:val="00B37595"/>
    <w:rsid w:val="00B45C15"/>
    <w:rsid w:val="00BE0BE0"/>
    <w:rsid w:val="00BE648B"/>
    <w:rsid w:val="00C664C8"/>
    <w:rsid w:val="00C82D2D"/>
    <w:rsid w:val="00CA4E86"/>
    <w:rsid w:val="00CB6800"/>
    <w:rsid w:val="00CF0460"/>
    <w:rsid w:val="00D43E0F"/>
    <w:rsid w:val="00D45252"/>
    <w:rsid w:val="00D71B4D"/>
    <w:rsid w:val="00D75C1E"/>
    <w:rsid w:val="00D93D55"/>
    <w:rsid w:val="00DB1C48"/>
    <w:rsid w:val="00DD4917"/>
    <w:rsid w:val="00DD6A16"/>
    <w:rsid w:val="00E0091A"/>
    <w:rsid w:val="00E203AA"/>
    <w:rsid w:val="00E5217A"/>
    <w:rsid w:val="00E527A5"/>
    <w:rsid w:val="00E76456"/>
    <w:rsid w:val="00EE71CB"/>
    <w:rsid w:val="00F16975"/>
    <w:rsid w:val="00F66152"/>
    <w:rsid w:val="00FC6D08"/>
    <w:rsid w:val="00FE19E9"/>
    <w:rsid w:val="00FF4371"/>
    <w:rsid w:val="00FF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FFE8A8FE-C224-4A11-BBF4-4BC78A73A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723CA"/>
    <w:pPr>
      <w:keepNext/>
      <w:spacing w:before="240" w:after="240"/>
      <w:outlineLvl w:val="0"/>
    </w:pPr>
    <w:rPr>
      <w:b/>
      <w:bCs/>
      <w:caps/>
      <w:kern w:val="32"/>
      <w:szCs w:val="32"/>
      <w:lang w:val="fr-FR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ONUMEChar">
    <w:name w:val="ONUM E Char"/>
    <w:basedOn w:val="DefaultParagraphFont"/>
    <w:link w:val="ONUME"/>
    <w:locked/>
    <w:rsid w:val="00043521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43521"/>
    <w:rPr>
      <w:rFonts w:ascii="Arial" w:eastAsia="SimSun" w:hAnsi="Arial" w:cs="Arial"/>
      <w:sz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43521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uiPriority w:val="99"/>
    <w:rsid w:val="00043521"/>
    <w:rPr>
      <w:vertAlign w:val="superscript"/>
    </w:rPr>
  </w:style>
  <w:style w:type="paragraph" w:customStyle="1" w:styleId="Default">
    <w:name w:val="Default"/>
    <w:rsid w:val="000435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semiHidden/>
    <w:unhideWhenUsed/>
    <w:rsid w:val="002723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GIS\LI%20WG%20DEV-SYS%204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031C4-4365-43E5-8A4D-2BFDA57AA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 WG DEV-SYS 4 (F)</Template>
  <TotalTime>1</TotalTime>
  <Pages>6</Pages>
  <Words>1646</Words>
  <Characters>9432</Characters>
  <Application>Microsoft Office Word</Application>
  <DocSecurity>0</DocSecurity>
  <Lines>179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LI/WG/DEV-SYS/4/</vt:lpstr>
    </vt:vector>
  </TitlesOfParts>
  <Company>WIPO</Company>
  <LinksUpToDate>false</LinksUpToDate>
  <CharactersWithSpaces>11035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LI/A/39/1</dc:title>
  <dc:creator>WIPO</dc:creator>
  <cp:keywords>PUBLIC</cp:keywords>
  <cp:lastModifiedBy>HÄFLIGER Patience</cp:lastModifiedBy>
  <cp:revision>4</cp:revision>
  <cp:lastPrinted>2011-05-19T12:37:00Z</cp:lastPrinted>
  <dcterms:created xsi:type="dcterms:W3CDTF">2022-07-14T11:32:00Z</dcterms:created>
  <dcterms:modified xsi:type="dcterms:W3CDTF">2022-07-14T13:59:00Z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