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EFC5" w14:textId="77777777" w:rsidR="008B2CC1" w:rsidRPr="00C06542" w:rsidRDefault="00DB0349" w:rsidP="00017C33">
      <w:pPr>
        <w:spacing w:after="120"/>
        <w:jc w:val="right"/>
        <w:rPr>
          <w:lang w:val="fr-FR"/>
        </w:rPr>
      </w:pPr>
      <w:r w:rsidRPr="00C06542">
        <w:rPr>
          <w:noProof/>
          <w:lang w:val="en-US" w:eastAsia="en-US"/>
        </w:rPr>
        <w:drawing>
          <wp:inline distT="0" distB="0" distL="0" distR="0" wp14:anchorId="74EF1897" wp14:editId="138F47C1">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06542">
        <w:rPr>
          <w:rFonts w:ascii="Arial Black" w:hAnsi="Arial Black"/>
          <w:caps/>
          <w:noProof/>
          <w:sz w:val="15"/>
          <w:szCs w:val="15"/>
          <w:lang w:val="en-US" w:eastAsia="en-US"/>
        </w:rPr>
        <mc:AlternateContent>
          <mc:Choice Requires="wps">
            <w:drawing>
              <wp:inline distT="0" distB="0" distL="0" distR="0" wp14:anchorId="7AC063FE" wp14:editId="41C8FFE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8DD91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F7529A4" w14:textId="11B5D713" w:rsidR="008B2CC1" w:rsidRPr="00C06542" w:rsidRDefault="000843D8" w:rsidP="00017C33">
      <w:pPr>
        <w:jc w:val="right"/>
        <w:rPr>
          <w:rFonts w:ascii="Arial Black" w:hAnsi="Arial Black"/>
          <w:caps/>
          <w:sz w:val="15"/>
          <w:szCs w:val="15"/>
          <w:lang w:val="fr-FR"/>
        </w:rPr>
      </w:pPr>
      <w:r w:rsidRPr="00C06542">
        <w:rPr>
          <w:rFonts w:ascii="Arial Black" w:hAnsi="Arial Black"/>
          <w:caps/>
          <w:sz w:val="15"/>
          <w:szCs w:val="15"/>
          <w:lang w:val="fr-FR"/>
        </w:rPr>
        <w:t>LI/A/40/</w:t>
      </w:r>
      <w:bookmarkStart w:id="0" w:name="Code"/>
      <w:bookmarkEnd w:id="0"/>
      <w:r w:rsidR="005646CD" w:rsidRPr="00C06542">
        <w:rPr>
          <w:rFonts w:ascii="Arial Black" w:hAnsi="Arial Black"/>
          <w:caps/>
          <w:sz w:val="15"/>
          <w:szCs w:val="15"/>
          <w:lang w:val="fr-FR"/>
        </w:rPr>
        <w:t>2</w:t>
      </w:r>
    </w:p>
    <w:p w14:paraId="0CCB4096" w14:textId="65245606" w:rsidR="008B2CC1" w:rsidRPr="00C06542" w:rsidRDefault="00DB0349" w:rsidP="00017C33">
      <w:pPr>
        <w:jc w:val="right"/>
        <w:rPr>
          <w:rFonts w:ascii="Arial Black" w:hAnsi="Arial Black"/>
          <w:caps/>
          <w:sz w:val="15"/>
          <w:szCs w:val="15"/>
          <w:lang w:val="fr-FR"/>
        </w:rPr>
      </w:pPr>
      <w:r w:rsidRPr="00C06542">
        <w:rPr>
          <w:rFonts w:ascii="Arial Black" w:hAnsi="Arial Black"/>
          <w:caps/>
          <w:sz w:val="15"/>
          <w:szCs w:val="15"/>
          <w:lang w:val="fr-FR"/>
        </w:rPr>
        <w:t>Original</w:t>
      </w:r>
      <w:r w:rsidR="00533B18" w:rsidRPr="00C06542">
        <w:rPr>
          <w:rFonts w:ascii="Arial Black" w:hAnsi="Arial Black"/>
          <w:caps/>
          <w:sz w:val="15"/>
          <w:szCs w:val="15"/>
          <w:lang w:val="fr-FR"/>
        </w:rPr>
        <w:t> :</w:t>
      </w:r>
      <w:r w:rsidRPr="00C06542">
        <w:rPr>
          <w:rFonts w:ascii="Arial Black" w:hAnsi="Arial Black"/>
          <w:caps/>
          <w:sz w:val="15"/>
          <w:szCs w:val="15"/>
          <w:lang w:val="fr-FR"/>
        </w:rPr>
        <w:t xml:space="preserve"> </w:t>
      </w:r>
      <w:bookmarkStart w:id="1" w:name="Original"/>
      <w:r w:rsidR="00546B40" w:rsidRPr="00C06542">
        <w:rPr>
          <w:rFonts w:ascii="Arial Black" w:hAnsi="Arial Black"/>
          <w:caps/>
          <w:sz w:val="15"/>
          <w:szCs w:val="15"/>
          <w:lang w:val="fr-FR"/>
        </w:rPr>
        <w:t>anglais</w:t>
      </w:r>
    </w:p>
    <w:bookmarkEnd w:id="1"/>
    <w:p w14:paraId="6C798352" w14:textId="42B482C6" w:rsidR="008B2CC1" w:rsidRPr="00C06542" w:rsidRDefault="00DB0349" w:rsidP="00017C33">
      <w:pPr>
        <w:spacing w:after="1200"/>
        <w:jc w:val="right"/>
        <w:rPr>
          <w:rFonts w:ascii="Arial Black" w:hAnsi="Arial Black"/>
          <w:caps/>
          <w:sz w:val="15"/>
          <w:szCs w:val="15"/>
          <w:lang w:val="fr-FR"/>
        </w:rPr>
      </w:pPr>
      <w:r w:rsidRPr="00C06542">
        <w:rPr>
          <w:rFonts w:ascii="Arial Black" w:hAnsi="Arial Black"/>
          <w:caps/>
          <w:sz w:val="15"/>
          <w:szCs w:val="15"/>
          <w:lang w:val="fr-FR"/>
        </w:rPr>
        <w:t>date</w:t>
      </w:r>
      <w:r w:rsidR="00533B18" w:rsidRPr="00C06542">
        <w:rPr>
          <w:rFonts w:ascii="Arial Black" w:hAnsi="Arial Black"/>
          <w:caps/>
          <w:sz w:val="15"/>
          <w:szCs w:val="15"/>
          <w:lang w:val="fr-FR"/>
        </w:rPr>
        <w:t> :</w:t>
      </w:r>
      <w:r w:rsidRPr="00C06542">
        <w:rPr>
          <w:rFonts w:ascii="Arial Black" w:hAnsi="Arial Black"/>
          <w:caps/>
          <w:sz w:val="15"/>
          <w:szCs w:val="15"/>
          <w:lang w:val="fr-FR"/>
        </w:rPr>
        <w:t xml:space="preserve"> </w:t>
      </w:r>
      <w:bookmarkStart w:id="2" w:name="Date"/>
      <w:r w:rsidR="00070FCF">
        <w:rPr>
          <w:rFonts w:ascii="Arial Black" w:hAnsi="Arial Black"/>
          <w:caps/>
          <w:sz w:val="15"/>
          <w:szCs w:val="15"/>
          <w:lang w:val="fr-FR"/>
        </w:rPr>
        <w:t>22</w:t>
      </w:r>
      <w:r w:rsidR="00546B40" w:rsidRPr="00C06542">
        <w:rPr>
          <w:rFonts w:ascii="Arial Black" w:hAnsi="Arial Black"/>
          <w:caps/>
          <w:sz w:val="15"/>
          <w:szCs w:val="15"/>
          <w:lang w:val="fr-FR"/>
        </w:rPr>
        <w:t> </w:t>
      </w:r>
      <w:r w:rsidR="00070FCF">
        <w:rPr>
          <w:rFonts w:ascii="Arial Black" w:hAnsi="Arial Black"/>
          <w:caps/>
          <w:sz w:val="15"/>
          <w:szCs w:val="15"/>
          <w:lang w:val="fr-FR"/>
        </w:rPr>
        <w:t>septembre</w:t>
      </w:r>
      <w:r w:rsidR="00070FCF" w:rsidRPr="00C06542">
        <w:rPr>
          <w:rFonts w:ascii="Arial Black" w:hAnsi="Arial Black"/>
          <w:caps/>
          <w:sz w:val="15"/>
          <w:szCs w:val="15"/>
          <w:lang w:val="fr-FR"/>
        </w:rPr>
        <w:t xml:space="preserve"> </w:t>
      </w:r>
      <w:r w:rsidR="00546B40" w:rsidRPr="00C06542">
        <w:rPr>
          <w:rFonts w:ascii="Arial Black" w:hAnsi="Arial Black"/>
          <w:caps/>
          <w:sz w:val="15"/>
          <w:szCs w:val="15"/>
          <w:lang w:val="fr-FR"/>
        </w:rPr>
        <w:t>2023</w:t>
      </w:r>
    </w:p>
    <w:bookmarkEnd w:id="2"/>
    <w:p w14:paraId="0CAFCFE9" w14:textId="437468D5" w:rsidR="00C40E15" w:rsidRPr="00C06542" w:rsidRDefault="00276E11" w:rsidP="00017C33">
      <w:pPr>
        <w:spacing w:after="600"/>
        <w:rPr>
          <w:b/>
          <w:sz w:val="28"/>
          <w:szCs w:val="28"/>
          <w:lang w:val="fr-FR"/>
        </w:rPr>
      </w:pPr>
      <w:r w:rsidRPr="00C06542">
        <w:rPr>
          <w:b/>
          <w:sz w:val="28"/>
          <w:lang w:val="fr-FR"/>
        </w:rPr>
        <w:t>Union particulière pour la protection des appellations d</w:t>
      </w:r>
      <w:r w:rsidR="00533B18" w:rsidRPr="00C06542">
        <w:rPr>
          <w:b/>
          <w:sz w:val="28"/>
          <w:lang w:val="fr-FR"/>
        </w:rPr>
        <w:t>’</w:t>
      </w:r>
      <w:r w:rsidRPr="00C06542">
        <w:rPr>
          <w:b/>
          <w:sz w:val="28"/>
          <w:lang w:val="fr-FR"/>
        </w:rPr>
        <w:t>origine et leur enregistrement international (Union de Lisbonne</w:t>
      </w:r>
      <w:r w:rsidRPr="00C06542">
        <w:rPr>
          <w:b/>
          <w:sz w:val="28"/>
          <w:szCs w:val="28"/>
          <w:lang w:val="fr-FR"/>
        </w:rPr>
        <w:t>)</w:t>
      </w:r>
    </w:p>
    <w:p w14:paraId="4FC7DF82" w14:textId="77777777" w:rsidR="003845C1" w:rsidRPr="00C06542" w:rsidRDefault="00C40E15" w:rsidP="00017C33">
      <w:pPr>
        <w:spacing w:after="720"/>
        <w:rPr>
          <w:b/>
          <w:sz w:val="28"/>
          <w:szCs w:val="28"/>
          <w:lang w:val="fr-FR"/>
        </w:rPr>
      </w:pPr>
      <w:r w:rsidRPr="00C06542">
        <w:rPr>
          <w:b/>
          <w:sz w:val="28"/>
          <w:szCs w:val="28"/>
          <w:lang w:val="fr-FR"/>
        </w:rPr>
        <w:t>Assemblée</w:t>
      </w:r>
    </w:p>
    <w:p w14:paraId="41D64B1A" w14:textId="1EAA3EBA" w:rsidR="008B2CC1" w:rsidRPr="00C06542" w:rsidRDefault="00276E11" w:rsidP="00017C33">
      <w:pPr>
        <w:rPr>
          <w:b/>
          <w:sz w:val="24"/>
          <w:szCs w:val="24"/>
          <w:lang w:val="fr-FR"/>
        </w:rPr>
      </w:pPr>
      <w:r w:rsidRPr="00C06542">
        <w:rPr>
          <w:b/>
          <w:sz w:val="24"/>
          <w:szCs w:val="24"/>
          <w:lang w:val="fr-FR"/>
        </w:rPr>
        <w:t>Quarant</w:t>
      </w:r>
      <w:r w:rsidR="00533B18" w:rsidRPr="00C06542">
        <w:rPr>
          <w:b/>
          <w:sz w:val="24"/>
          <w:szCs w:val="24"/>
          <w:lang w:val="fr-FR"/>
        </w:rPr>
        <w:t>ième session</w:t>
      </w:r>
      <w:r w:rsidRPr="00C06542">
        <w:rPr>
          <w:b/>
          <w:sz w:val="24"/>
          <w:szCs w:val="24"/>
          <w:lang w:val="fr-FR"/>
        </w:rPr>
        <w:t xml:space="preserve"> (25</w:t>
      </w:r>
      <w:r w:rsidRPr="00C06542">
        <w:rPr>
          <w:b/>
          <w:sz w:val="24"/>
          <w:szCs w:val="24"/>
          <w:vertAlign w:val="superscript"/>
          <w:lang w:val="fr-FR"/>
        </w:rPr>
        <w:t>e</w:t>
      </w:r>
      <w:r w:rsidR="00C135A8" w:rsidRPr="00C06542">
        <w:rPr>
          <w:b/>
          <w:sz w:val="24"/>
          <w:szCs w:val="24"/>
          <w:lang w:val="fr-FR"/>
        </w:rPr>
        <w:t> </w:t>
      </w:r>
      <w:r w:rsidRPr="00C06542">
        <w:rPr>
          <w:b/>
          <w:sz w:val="24"/>
          <w:szCs w:val="24"/>
          <w:lang w:val="fr-FR"/>
        </w:rPr>
        <w:t>session ordinaire)</w:t>
      </w:r>
    </w:p>
    <w:p w14:paraId="550C0C38" w14:textId="77777777" w:rsidR="008B2CC1" w:rsidRPr="00C06542" w:rsidRDefault="00276E11" w:rsidP="00017C33">
      <w:pPr>
        <w:spacing w:after="720"/>
        <w:rPr>
          <w:b/>
          <w:sz w:val="24"/>
          <w:szCs w:val="24"/>
          <w:lang w:val="fr-FR"/>
        </w:rPr>
      </w:pPr>
      <w:r w:rsidRPr="00C06542">
        <w:rPr>
          <w:b/>
          <w:sz w:val="24"/>
          <w:szCs w:val="24"/>
          <w:lang w:val="fr-FR"/>
        </w:rPr>
        <w:t>Genève, 6 – 1</w:t>
      </w:r>
      <w:r w:rsidR="00B3150A" w:rsidRPr="00C06542">
        <w:rPr>
          <w:b/>
          <w:sz w:val="24"/>
          <w:szCs w:val="24"/>
          <w:lang w:val="fr-FR"/>
        </w:rPr>
        <w:t>4 juillet 20</w:t>
      </w:r>
      <w:r w:rsidRPr="00C06542">
        <w:rPr>
          <w:b/>
          <w:sz w:val="24"/>
          <w:szCs w:val="24"/>
          <w:lang w:val="fr-FR"/>
        </w:rPr>
        <w:t>23</w:t>
      </w:r>
    </w:p>
    <w:p w14:paraId="4A3DB023" w14:textId="43A21488" w:rsidR="008B2CC1" w:rsidRPr="00C06542" w:rsidRDefault="008B170D" w:rsidP="00017C33">
      <w:pPr>
        <w:spacing w:after="360"/>
        <w:rPr>
          <w:caps/>
          <w:sz w:val="24"/>
          <w:lang w:val="fr-FR"/>
        </w:rPr>
      </w:pPr>
      <w:bookmarkStart w:id="3" w:name="TitleOfDoc"/>
      <w:r>
        <w:rPr>
          <w:caps/>
          <w:sz w:val="24"/>
          <w:lang w:val="fr-FR"/>
        </w:rPr>
        <w:t>R</w:t>
      </w:r>
      <w:r w:rsidR="00546B40" w:rsidRPr="00C06542">
        <w:rPr>
          <w:caps/>
          <w:sz w:val="24"/>
          <w:lang w:val="fr-FR"/>
        </w:rPr>
        <w:t>apport</w:t>
      </w:r>
    </w:p>
    <w:p w14:paraId="3B9B08DB" w14:textId="31D1903B" w:rsidR="00525B63" w:rsidRPr="00C06542" w:rsidRDefault="00070FCF" w:rsidP="00017C33">
      <w:pPr>
        <w:spacing w:after="960"/>
        <w:rPr>
          <w:lang w:val="fr-FR"/>
        </w:rPr>
      </w:pPr>
      <w:bookmarkStart w:id="4" w:name="Prepared"/>
      <w:bookmarkEnd w:id="3"/>
      <w:proofErr w:type="gramStart"/>
      <w:r>
        <w:rPr>
          <w:i/>
          <w:lang w:val="fr-FR"/>
        </w:rPr>
        <w:t>adopté</w:t>
      </w:r>
      <w:proofErr w:type="gramEnd"/>
      <w:r w:rsidR="00546B40" w:rsidRPr="00C06542">
        <w:rPr>
          <w:i/>
          <w:lang w:val="fr-FR"/>
        </w:rPr>
        <w:t xml:space="preserve"> par </w:t>
      </w:r>
      <w:r>
        <w:rPr>
          <w:i/>
          <w:lang w:val="fr-FR"/>
        </w:rPr>
        <w:t>l’assemblée</w:t>
      </w:r>
    </w:p>
    <w:bookmarkEnd w:id="4"/>
    <w:p w14:paraId="45AF80BE" w14:textId="0857AFE4" w:rsidR="00546B40" w:rsidRPr="00C06542" w:rsidRDefault="00546B40" w:rsidP="00017C33">
      <w:pPr>
        <w:pStyle w:val="ONUMFS"/>
        <w:rPr>
          <w:lang w:val="fr-FR"/>
        </w:rPr>
      </w:pPr>
      <w:r w:rsidRPr="00C06542">
        <w:rPr>
          <w:lang w:val="fr-FR"/>
        </w:rPr>
        <w:t>L</w:t>
      </w:r>
      <w:r w:rsidR="00533B18" w:rsidRPr="00C06542">
        <w:rPr>
          <w:lang w:val="fr-FR"/>
        </w:rPr>
        <w:t>’</w:t>
      </w:r>
      <w:r w:rsidRPr="00C06542">
        <w:rPr>
          <w:lang w:val="fr-FR"/>
        </w:rPr>
        <w:t>assemblée avait à examiner les points suivants de l</w:t>
      </w:r>
      <w:r w:rsidR="00533B18" w:rsidRPr="00C06542">
        <w:rPr>
          <w:lang w:val="fr-FR"/>
        </w:rPr>
        <w:t>’</w:t>
      </w:r>
      <w:r w:rsidRPr="00C06542">
        <w:rPr>
          <w:lang w:val="fr-FR"/>
        </w:rPr>
        <w:t>ordre du jour unifié (document A/64/1)</w:t>
      </w:r>
      <w:r w:rsidR="00533B18" w:rsidRPr="00C06542">
        <w:rPr>
          <w:lang w:val="fr-FR"/>
        </w:rPr>
        <w:t> :</w:t>
      </w:r>
      <w:r w:rsidRPr="00C06542">
        <w:rPr>
          <w:lang w:val="fr-FR"/>
        </w:rPr>
        <w:t xml:space="preserve"> 1 à 6, 9, 10.ii), 12, 17, 21, 26 et 27.</w:t>
      </w:r>
    </w:p>
    <w:p w14:paraId="78EAC1ED" w14:textId="739D5C98" w:rsidR="00546B40" w:rsidRPr="00C06542" w:rsidRDefault="00546B40" w:rsidP="00017C33">
      <w:pPr>
        <w:pStyle w:val="ONUMFS"/>
        <w:rPr>
          <w:lang w:val="fr-FR"/>
        </w:rPr>
      </w:pPr>
      <w:r w:rsidRPr="00C06542">
        <w:rPr>
          <w:lang w:val="fr-FR"/>
        </w:rPr>
        <w:t>Les rapports sur ces points, à l</w:t>
      </w:r>
      <w:r w:rsidR="00533B18" w:rsidRPr="00C06542">
        <w:rPr>
          <w:lang w:val="fr-FR"/>
        </w:rPr>
        <w:t>’</w:t>
      </w:r>
      <w:r w:rsidRPr="00C06542">
        <w:rPr>
          <w:lang w:val="fr-FR"/>
        </w:rPr>
        <w:t>exception du point 17, figurent dans le rapport général (document A/64/</w:t>
      </w:r>
      <w:r w:rsidR="00AA7881" w:rsidRPr="00C06542">
        <w:rPr>
          <w:lang w:val="fr-FR"/>
        </w:rPr>
        <w:t>14</w:t>
      </w:r>
      <w:r w:rsidRPr="00C06542">
        <w:rPr>
          <w:lang w:val="fr-FR"/>
        </w:rPr>
        <w:t>).</w:t>
      </w:r>
    </w:p>
    <w:p w14:paraId="611E972F" w14:textId="77777777" w:rsidR="00546B40" w:rsidRPr="00C06542" w:rsidRDefault="00546B40" w:rsidP="00017C33">
      <w:pPr>
        <w:pStyle w:val="ONUMFS"/>
        <w:rPr>
          <w:lang w:val="fr-FR"/>
        </w:rPr>
      </w:pPr>
      <w:r w:rsidRPr="00C06542">
        <w:rPr>
          <w:lang w:val="fr-FR"/>
        </w:rPr>
        <w:t>Le rapport sur le point 17 figure dans le présent document.</w:t>
      </w:r>
    </w:p>
    <w:p w14:paraId="6D9ACA1A" w14:textId="4DA43183" w:rsidR="00546B40" w:rsidRPr="00C06542" w:rsidRDefault="00546B40" w:rsidP="00017C33">
      <w:pPr>
        <w:pStyle w:val="ONUMFS"/>
        <w:rPr>
          <w:lang w:val="fr-FR"/>
        </w:rPr>
      </w:pPr>
      <w:r w:rsidRPr="00C06542">
        <w:rPr>
          <w:lang w:val="fr-FR"/>
        </w:rPr>
        <w:t xml:space="preserve">M. Pascal Faure (France) a présidé la séance.  </w:t>
      </w:r>
      <w:r w:rsidR="003800D5" w:rsidRPr="00C06542">
        <w:rPr>
          <w:lang w:val="fr-FR"/>
        </w:rPr>
        <w:t>M. </w:t>
      </w:r>
      <w:proofErr w:type="spellStart"/>
      <w:r w:rsidR="003800D5" w:rsidRPr="00C06542">
        <w:rPr>
          <w:lang w:val="fr-FR"/>
        </w:rPr>
        <w:t>Matúš</w:t>
      </w:r>
      <w:proofErr w:type="spellEnd"/>
      <w:r w:rsidR="003800D5" w:rsidRPr="00C06542">
        <w:rPr>
          <w:lang w:val="fr-FR"/>
        </w:rPr>
        <w:t xml:space="preserve"> </w:t>
      </w:r>
      <w:proofErr w:type="spellStart"/>
      <w:r w:rsidR="003800D5" w:rsidRPr="00C06542">
        <w:rPr>
          <w:lang w:val="fr-FR"/>
        </w:rPr>
        <w:t>Medvec</w:t>
      </w:r>
      <w:proofErr w:type="spellEnd"/>
      <w:r w:rsidR="003800D5" w:rsidRPr="00C06542">
        <w:rPr>
          <w:lang w:val="fr-FR"/>
        </w:rPr>
        <w:t xml:space="preserve"> (Slovaquie)</w:t>
      </w:r>
      <w:r w:rsidRPr="00C06542">
        <w:rPr>
          <w:lang w:val="fr-FR"/>
        </w:rPr>
        <w:t xml:space="preserve"> a été élu président de </w:t>
      </w:r>
      <w:proofErr w:type="gramStart"/>
      <w:r w:rsidRPr="00C06542">
        <w:rPr>
          <w:lang w:val="fr-FR"/>
        </w:rPr>
        <w:t>l</w:t>
      </w:r>
      <w:r w:rsidR="00533B18" w:rsidRPr="00C06542">
        <w:rPr>
          <w:lang w:val="fr-FR"/>
        </w:rPr>
        <w:t>’</w:t>
      </w:r>
      <w:r w:rsidRPr="00C06542">
        <w:rPr>
          <w:lang w:val="fr-FR"/>
        </w:rPr>
        <w:t xml:space="preserve">assemblée;  </w:t>
      </w:r>
      <w:r w:rsidR="007B4F6B" w:rsidRPr="00C06542">
        <w:rPr>
          <w:lang w:val="fr-FR"/>
        </w:rPr>
        <w:t>Mme</w:t>
      </w:r>
      <w:proofErr w:type="gramEnd"/>
      <w:r w:rsidR="006000A9" w:rsidRPr="00C06542">
        <w:rPr>
          <w:lang w:val="fr-FR"/>
        </w:rPr>
        <w:t> </w:t>
      </w:r>
      <w:r w:rsidR="007B4F6B" w:rsidRPr="00C06542">
        <w:rPr>
          <w:lang w:val="fr-FR"/>
        </w:rPr>
        <w:t xml:space="preserve">Grace </w:t>
      </w:r>
      <w:proofErr w:type="spellStart"/>
      <w:r w:rsidR="007B4F6B" w:rsidRPr="00C06542">
        <w:rPr>
          <w:lang w:val="fr-FR"/>
        </w:rPr>
        <w:t>Issahaque</w:t>
      </w:r>
      <w:proofErr w:type="spellEnd"/>
      <w:r w:rsidR="007B4F6B" w:rsidRPr="00C06542">
        <w:rPr>
          <w:lang w:val="fr-FR"/>
        </w:rPr>
        <w:t xml:space="preserve"> (Ghana) et M. Tiago Serras Rodrigues (Portugal)</w:t>
      </w:r>
      <w:r w:rsidRPr="00C06542">
        <w:rPr>
          <w:lang w:val="fr-FR"/>
        </w:rPr>
        <w:t xml:space="preserve"> </w:t>
      </w:r>
      <w:r w:rsidR="00BF413F" w:rsidRPr="00C06542">
        <w:rPr>
          <w:lang w:val="fr-FR"/>
        </w:rPr>
        <w:t>ont</w:t>
      </w:r>
      <w:r w:rsidRPr="00C06542">
        <w:rPr>
          <w:lang w:val="fr-FR"/>
        </w:rPr>
        <w:t xml:space="preserve"> été élu</w:t>
      </w:r>
      <w:r w:rsidR="00BD0B8D" w:rsidRPr="00C06542">
        <w:rPr>
          <w:lang w:val="fr-FR"/>
        </w:rPr>
        <w:t>s</w:t>
      </w:r>
      <w:r w:rsidRPr="00C06542">
        <w:rPr>
          <w:lang w:val="fr-FR"/>
        </w:rPr>
        <w:t xml:space="preserve"> vice</w:t>
      </w:r>
      <w:r w:rsidR="00E70D34">
        <w:rPr>
          <w:lang w:val="fr-FR"/>
        </w:rPr>
        <w:noBreakHyphen/>
      </w:r>
      <w:r w:rsidRPr="00C06542">
        <w:rPr>
          <w:lang w:val="fr-FR"/>
        </w:rPr>
        <w:t>président</w:t>
      </w:r>
      <w:r w:rsidR="00BF413F" w:rsidRPr="00C06542">
        <w:rPr>
          <w:lang w:val="fr-FR"/>
        </w:rPr>
        <w:t>s</w:t>
      </w:r>
      <w:r w:rsidRPr="00C06542">
        <w:rPr>
          <w:lang w:val="fr-FR"/>
        </w:rPr>
        <w:t>.</w:t>
      </w:r>
    </w:p>
    <w:p w14:paraId="66483417" w14:textId="77777777" w:rsidR="00546B40" w:rsidRPr="00C06542" w:rsidRDefault="00546B40" w:rsidP="00017C33">
      <w:pPr>
        <w:rPr>
          <w:lang w:val="fr-FR"/>
        </w:rPr>
      </w:pPr>
      <w:r w:rsidRPr="00C06542">
        <w:rPr>
          <w:lang w:val="fr-FR"/>
        </w:rPr>
        <w:br w:type="page"/>
      </w:r>
    </w:p>
    <w:p w14:paraId="7B033EE1" w14:textId="35BC1F23" w:rsidR="00546B40" w:rsidRPr="00C06542" w:rsidRDefault="00546B40" w:rsidP="00017C33">
      <w:pPr>
        <w:pStyle w:val="Heading2"/>
        <w:tabs>
          <w:tab w:val="right" w:pos="9355"/>
        </w:tabs>
        <w:rPr>
          <w:lang w:val="fr-FR"/>
        </w:rPr>
      </w:pPr>
      <w:r w:rsidRPr="00C06542">
        <w:rPr>
          <w:lang w:val="fr-FR"/>
        </w:rPr>
        <w:lastRenderedPageBreak/>
        <w:t>Point 17 de l</w:t>
      </w:r>
      <w:r w:rsidR="00533B18" w:rsidRPr="00C06542">
        <w:rPr>
          <w:lang w:val="fr-FR"/>
        </w:rPr>
        <w:t>’</w:t>
      </w:r>
      <w:r w:rsidRPr="00C06542">
        <w:rPr>
          <w:lang w:val="fr-FR"/>
        </w:rPr>
        <w:t>ordre du jour unifié</w:t>
      </w:r>
    </w:p>
    <w:p w14:paraId="4690267D" w14:textId="77777777" w:rsidR="00546B40" w:rsidRPr="00C06542" w:rsidRDefault="00546B40" w:rsidP="00017C33">
      <w:pPr>
        <w:pStyle w:val="Heading2"/>
        <w:spacing w:after="240"/>
        <w:rPr>
          <w:lang w:val="fr-FR"/>
        </w:rPr>
      </w:pPr>
      <w:r w:rsidRPr="00C06542">
        <w:rPr>
          <w:lang w:val="fr-FR"/>
        </w:rPr>
        <w:t>Système de Lisbonne</w:t>
      </w:r>
    </w:p>
    <w:p w14:paraId="232160DB" w14:textId="7A5B61A0" w:rsidR="00546B40" w:rsidRPr="00C06542" w:rsidRDefault="00546B40" w:rsidP="00017C33">
      <w:pPr>
        <w:pStyle w:val="ONUMFS"/>
        <w:rPr>
          <w:lang w:val="fr-FR"/>
        </w:rPr>
      </w:pPr>
      <w:r w:rsidRPr="00C06542">
        <w:rPr>
          <w:lang w:val="fr-FR"/>
        </w:rPr>
        <w:t xml:space="preserve">Les délibérations ont eu lieu sur la base du </w:t>
      </w:r>
      <w:r w:rsidR="00B3150A" w:rsidRPr="00C06542">
        <w:rPr>
          <w:lang w:val="fr-FR"/>
        </w:rPr>
        <w:t>document</w:t>
      </w:r>
      <w:r w:rsidR="00C135A8" w:rsidRPr="00C06542">
        <w:rPr>
          <w:lang w:val="fr-FR"/>
        </w:rPr>
        <w:t> </w:t>
      </w:r>
      <w:hyperlink r:id="rId9" w:history="1">
        <w:r w:rsidR="00B3150A" w:rsidRPr="00C06542">
          <w:rPr>
            <w:rStyle w:val="Hyperlink"/>
            <w:lang w:val="fr-FR"/>
          </w:rPr>
          <w:t>LI</w:t>
        </w:r>
        <w:r w:rsidRPr="00C06542">
          <w:rPr>
            <w:rStyle w:val="Hyperlink"/>
            <w:lang w:val="fr-FR"/>
          </w:rPr>
          <w:t>/A/40/1</w:t>
        </w:r>
      </w:hyperlink>
      <w:r w:rsidRPr="00C06542">
        <w:rPr>
          <w:lang w:val="fr-FR"/>
        </w:rPr>
        <w:t>.</w:t>
      </w:r>
    </w:p>
    <w:p w14:paraId="40766BBF" w14:textId="77E1499E" w:rsidR="000A6424" w:rsidRPr="00C06542" w:rsidRDefault="0069695D" w:rsidP="00017C33">
      <w:pPr>
        <w:pStyle w:val="ONUMFS"/>
        <w:rPr>
          <w:lang w:val="fr-FR"/>
        </w:rPr>
      </w:pPr>
      <w:r w:rsidRPr="00C06542">
        <w:rPr>
          <w:lang w:val="fr-FR"/>
        </w:rPr>
        <w:t>Présentant le document à l</w:t>
      </w:r>
      <w:r w:rsidR="00533B18" w:rsidRPr="00C06542">
        <w:rPr>
          <w:lang w:val="fr-FR"/>
        </w:rPr>
        <w:t>’</w:t>
      </w:r>
      <w:r w:rsidRPr="00C06542">
        <w:rPr>
          <w:lang w:val="fr-FR"/>
        </w:rPr>
        <w:t>examen, le Secrétariat a rappelé qu</w:t>
      </w:r>
      <w:r w:rsidR="00533B18" w:rsidRPr="00C06542">
        <w:rPr>
          <w:lang w:val="fr-FR"/>
        </w:rPr>
        <w:t>’</w:t>
      </w:r>
      <w:r w:rsidRPr="00C06542">
        <w:rPr>
          <w:lang w:val="fr-FR"/>
        </w:rPr>
        <w:t>à sa cinqu</w:t>
      </w:r>
      <w:r w:rsidR="00533B18" w:rsidRPr="00C06542">
        <w:rPr>
          <w:lang w:val="fr-FR"/>
        </w:rPr>
        <w:t>ième session</w:t>
      </w:r>
      <w:r w:rsidR="005B29EA" w:rsidRPr="00C06542">
        <w:rPr>
          <w:lang w:val="fr-FR"/>
        </w:rPr>
        <w:t xml:space="preserve"> tenue </w:t>
      </w:r>
      <w:r w:rsidRPr="00C06542">
        <w:rPr>
          <w:lang w:val="fr-FR"/>
        </w:rPr>
        <w:t>du 24 au 26 </w:t>
      </w:r>
      <w:r w:rsidR="005D4CBB" w:rsidRPr="00C06542">
        <w:rPr>
          <w:lang w:val="fr-FR"/>
        </w:rPr>
        <w:t>janvier 20</w:t>
      </w:r>
      <w:r w:rsidR="001A3DD1" w:rsidRPr="00C06542">
        <w:rPr>
          <w:lang w:val="fr-FR"/>
        </w:rPr>
        <w:t>23</w:t>
      </w:r>
      <w:r w:rsidRPr="00C06542">
        <w:rPr>
          <w:lang w:val="fr-FR"/>
        </w:rPr>
        <w:t xml:space="preserve">, le </w:t>
      </w:r>
      <w:r w:rsidR="005B29EA" w:rsidRPr="00C06542">
        <w:rPr>
          <w:lang w:val="fr-FR"/>
        </w:rPr>
        <w:t>Groupe de travail sur le développement du système de Lisbonne (ci</w:t>
      </w:r>
      <w:r w:rsidR="00E70D34">
        <w:rPr>
          <w:lang w:val="fr-FR"/>
        </w:rPr>
        <w:noBreakHyphen/>
      </w:r>
      <w:r w:rsidR="005B29EA" w:rsidRPr="00C06542">
        <w:rPr>
          <w:lang w:val="fr-FR"/>
        </w:rPr>
        <w:t xml:space="preserve">après dénommé </w:t>
      </w:r>
      <w:r w:rsidR="005D4CBB" w:rsidRPr="00C06542">
        <w:rPr>
          <w:lang w:val="fr-FR"/>
        </w:rPr>
        <w:t>“g</w:t>
      </w:r>
      <w:r w:rsidR="005B29EA" w:rsidRPr="00C06542">
        <w:rPr>
          <w:lang w:val="fr-FR"/>
        </w:rPr>
        <w:t>roupe de travail”) avait recommandé l</w:t>
      </w:r>
      <w:r w:rsidR="00533B18" w:rsidRPr="00C06542">
        <w:rPr>
          <w:lang w:val="fr-FR"/>
        </w:rPr>
        <w:t>’</w:t>
      </w:r>
      <w:r w:rsidR="005B29EA" w:rsidRPr="00C06542">
        <w:rPr>
          <w:lang w:val="fr-FR"/>
        </w:rPr>
        <w:t xml:space="preserve">adoption </w:t>
      </w:r>
      <w:r w:rsidR="00D83B8F" w:rsidRPr="00C06542">
        <w:rPr>
          <w:lang w:val="fr-FR"/>
        </w:rPr>
        <w:t xml:space="preserve">des propositions de modification de la règle 5 du </w:t>
      </w:r>
      <w:r w:rsidR="00B114DB" w:rsidRPr="00C06542">
        <w:rPr>
          <w:lang w:val="fr-FR"/>
        </w:rPr>
        <w:t>r</w:t>
      </w:r>
      <w:r w:rsidR="00D83B8F" w:rsidRPr="00C06542">
        <w:rPr>
          <w:lang w:val="fr-FR"/>
        </w:rPr>
        <w:t>èglement d</w:t>
      </w:r>
      <w:r w:rsidR="00533B18" w:rsidRPr="00C06542">
        <w:rPr>
          <w:lang w:val="fr-FR"/>
        </w:rPr>
        <w:t>’</w:t>
      </w:r>
      <w:r w:rsidR="00D83B8F" w:rsidRPr="00C06542">
        <w:rPr>
          <w:lang w:val="fr-FR"/>
        </w:rPr>
        <w:t>exécution commun à l</w:t>
      </w:r>
      <w:r w:rsidR="00533B18" w:rsidRPr="00C06542">
        <w:rPr>
          <w:lang w:val="fr-FR"/>
        </w:rPr>
        <w:t>’</w:t>
      </w:r>
      <w:r w:rsidR="00D83B8F" w:rsidRPr="00C06542">
        <w:rPr>
          <w:lang w:val="fr-FR"/>
        </w:rPr>
        <w:t>Arrangement de Lisbonne concernant la protection des appellations d</w:t>
      </w:r>
      <w:r w:rsidR="00533B18" w:rsidRPr="00C06542">
        <w:rPr>
          <w:lang w:val="fr-FR"/>
        </w:rPr>
        <w:t>’</w:t>
      </w:r>
      <w:r w:rsidR="00D83B8F" w:rsidRPr="00C06542">
        <w:rPr>
          <w:lang w:val="fr-FR"/>
        </w:rPr>
        <w:t>origine et leur enregistrement international et à l</w:t>
      </w:r>
      <w:r w:rsidR="00533B18" w:rsidRPr="00C06542">
        <w:rPr>
          <w:lang w:val="fr-FR"/>
        </w:rPr>
        <w:t>’</w:t>
      </w:r>
      <w:r w:rsidR="00D83B8F" w:rsidRPr="00C06542">
        <w:rPr>
          <w:lang w:val="fr-FR"/>
        </w:rPr>
        <w:t>Acte de Genève de l</w:t>
      </w:r>
      <w:r w:rsidR="00533B18" w:rsidRPr="00C06542">
        <w:rPr>
          <w:lang w:val="fr-FR"/>
        </w:rPr>
        <w:t>’</w:t>
      </w:r>
      <w:r w:rsidR="00D83B8F" w:rsidRPr="00C06542">
        <w:rPr>
          <w:lang w:val="fr-FR"/>
        </w:rPr>
        <w:t>Arrangement de Lisbonne sur les appellations d</w:t>
      </w:r>
      <w:r w:rsidR="00533B18" w:rsidRPr="00C06542">
        <w:rPr>
          <w:lang w:val="fr-FR"/>
        </w:rPr>
        <w:t>’</w:t>
      </w:r>
      <w:r w:rsidR="00D83B8F" w:rsidRPr="00C06542">
        <w:rPr>
          <w:lang w:val="fr-FR"/>
        </w:rPr>
        <w:t>origine et les indications géographiques (ci</w:t>
      </w:r>
      <w:r w:rsidR="00E70D34">
        <w:rPr>
          <w:lang w:val="fr-FR"/>
        </w:rPr>
        <w:noBreakHyphen/>
      </w:r>
      <w:r w:rsidR="00D83B8F" w:rsidRPr="00C06542">
        <w:rPr>
          <w:lang w:val="fr-FR"/>
        </w:rPr>
        <w:t xml:space="preserve">après dénommé </w:t>
      </w:r>
      <w:r w:rsidR="005D4CBB" w:rsidRPr="00C06542">
        <w:rPr>
          <w:lang w:val="fr-FR"/>
        </w:rPr>
        <w:t>“r</w:t>
      </w:r>
      <w:r w:rsidR="00D83B8F" w:rsidRPr="00C06542">
        <w:rPr>
          <w:lang w:val="fr-FR"/>
        </w:rPr>
        <w:t>èglement d</w:t>
      </w:r>
      <w:r w:rsidR="00533B18" w:rsidRPr="00C06542">
        <w:rPr>
          <w:lang w:val="fr-FR"/>
        </w:rPr>
        <w:t>’</w:t>
      </w:r>
      <w:r w:rsidR="00D83B8F" w:rsidRPr="00C06542">
        <w:rPr>
          <w:lang w:val="fr-FR"/>
        </w:rPr>
        <w:t>exécution</w:t>
      </w:r>
      <w:r w:rsidR="00394C82" w:rsidRPr="00C06542">
        <w:rPr>
          <w:lang w:val="fr-FR"/>
        </w:rPr>
        <w:t xml:space="preserve"> commu</w:t>
      </w:r>
      <w:r w:rsidR="005D4CBB" w:rsidRPr="00C06542">
        <w:rPr>
          <w:lang w:val="fr-FR"/>
        </w:rPr>
        <w:t>n”</w:t>
      </w:r>
      <w:r w:rsidR="00D83B8F" w:rsidRPr="00C06542">
        <w:rPr>
          <w:lang w:val="fr-FR"/>
        </w:rPr>
        <w:t>), ainsi que l</w:t>
      </w:r>
      <w:r w:rsidR="00533B18" w:rsidRPr="00C06542">
        <w:rPr>
          <w:lang w:val="fr-FR"/>
        </w:rPr>
        <w:t>’</w:t>
      </w:r>
      <w:r w:rsidR="00D83B8F" w:rsidRPr="00C06542">
        <w:rPr>
          <w:lang w:val="fr-FR"/>
        </w:rPr>
        <w:t xml:space="preserve">adoption des propositions de correction de la version espagnole </w:t>
      </w:r>
      <w:r w:rsidR="00DD3A06" w:rsidRPr="00C06542">
        <w:rPr>
          <w:lang w:val="fr-FR"/>
        </w:rPr>
        <w:t>du règlement d</w:t>
      </w:r>
      <w:r w:rsidR="00533B18" w:rsidRPr="00C06542">
        <w:rPr>
          <w:lang w:val="fr-FR"/>
        </w:rPr>
        <w:t>’</w:t>
      </w:r>
      <w:r w:rsidR="00DD3A06" w:rsidRPr="00C06542">
        <w:rPr>
          <w:lang w:val="fr-FR"/>
        </w:rPr>
        <w:t>exécution</w:t>
      </w:r>
      <w:r w:rsidR="00394C82" w:rsidRPr="00C06542">
        <w:rPr>
          <w:lang w:val="fr-FR"/>
        </w:rPr>
        <w:t xml:space="preserve"> comm</w:t>
      </w:r>
      <w:r w:rsidR="00C06542" w:rsidRPr="00C06542">
        <w:rPr>
          <w:lang w:val="fr-FR"/>
        </w:rPr>
        <w:t>un.  Le</w:t>
      </w:r>
      <w:r w:rsidR="004527DB" w:rsidRPr="00C06542">
        <w:rPr>
          <w:lang w:val="fr-FR"/>
        </w:rPr>
        <w:t xml:space="preserve"> Secrétariat a indiqué que les propositions de modification figurant </w:t>
      </w:r>
      <w:r w:rsidR="00C23127" w:rsidRPr="00C06542">
        <w:rPr>
          <w:lang w:val="fr-FR"/>
        </w:rPr>
        <w:t xml:space="preserve">en </w:t>
      </w:r>
      <w:r w:rsidR="00435E53" w:rsidRPr="00C06542">
        <w:rPr>
          <w:lang w:val="fr-FR"/>
        </w:rPr>
        <w:t>a</w:t>
      </w:r>
      <w:r w:rsidR="004527DB" w:rsidRPr="00C06542">
        <w:rPr>
          <w:lang w:val="fr-FR"/>
        </w:rPr>
        <w:t xml:space="preserve">nnexe du </w:t>
      </w:r>
      <w:r w:rsidR="00533B18" w:rsidRPr="00C06542">
        <w:rPr>
          <w:lang w:val="fr-FR"/>
        </w:rPr>
        <w:t>document</w:t>
      </w:r>
      <w:r w:rsidR="00C24374">
        <w:rPr>
          <w:lang w:val="fr-FR"/>
        </w:rPr>
        <w:t> </w:t>
      </w:r>
      <w:r w:rsidR="00533B18" w:rsidRPr="00C06542">
        <w:rPr>
          <w:lang w:val="fr-FR"/>
        </w:rPr>
        <w:t>LI</w:t>
      </w:r>
      <w:r w:rsidR="004527DB" w:rsidRPr="00C06542">
        <w:rPr>
          <w:lang w:val="fr-FR"/>
        </w:rPr>
        <w:t xml:space="preserve">/A/40/1 et </w:t>
      </w:r>
      <w:r w:rsidR="00E46831" w:rsidRPr="00C06542">
        <w:rPr>
          <w:lang w:val="fr-FR"/>
        </w:rPr>
        <w:t>à</w:t>
      </w:r>
      <w:r w:rsidR="004527DB" w:rsidRPr="00C06542">
        <w:rPr>
          <w:lang w:val="fr-FR"/>
        </w:rPr>
        <w:t xml:space="preserve"> l</w:t>
      </w:r>
      <w:r w:rsidR="00533B18" w:rsidRPr="00C06542">
        <w:rPr>
          <w:lang w:val="fr-FR"/>
        </w:rPr>
        <w:t>’</w:t>
      </w:r>
      <w:r w:rsidR="005D4CBB" w:rsidRPr="00C06542">
        <w:rPr>
          <w:lang w:val="fr-FR"/>
        </w:rPr>
        <w:t>annexe I</w:t>
      </w:r>
      <w:r w:rsidR="004527DB" w:rsidRPr="00C06542">
        <w:rPr>
          <w:lang w:val="fr-FR"/>
        </w:rPr>
        <w:t xml:space="preserve">I de la version espagnole du </w:t>
      </w:r>
      <w:r w:rsidR="00533B18" w:rsidRPr="00C06542">
        <w:rPr>
          <w:lang w:val="fr-FR"/>
        </w:rPr>
        <w:t>document</w:t>
      </w:r>
      <w:r w:rsidR="00C24374">
        <w:rPr>
          <w:lang w:val="fr-FR"/>
        </w:rPr>
        <w:t> </w:t>
      </w:r>
      <w:r w:rsidR="00533B18" w:rsidRPr="00C06542">
        <w:rPr>
          <w:lang w:val="fr-FR"/>
        </w:rPr>
        <w:t>LI</w:t>
      </w:r>
      <w:r w:rsidR="004527DB" w:rsidRPr="00C06542">
        <w:rPr>
          <w:lang w:val="fr-FR"/>
        </w:rPr>
        <w:t>/A/40/1 entreraient en vigueur le 14 </w:t>
      </w:r>
      <w:r w:rsidR="005D4CBB" w:rsidRPr="00C06542">
        <w:rPr>
          <w:lang w:val="fr-FR"/>
        </w:rPr>
        <w:t>juillet 20</w:t>
      </w:r>
      <w:r w:rsidR="004527DB" w:rsidRPr="00C06542">
        <w:rPr>
          <w:lang w:val="fr-FR"/>
        </w:rPr>
        <w:t>23.</w:t>
      </w:r>
    </w:p>
    <w:p w14:paraId="78921CA2" w14:textId="50D567BF" w:rsidR="004527DB" w:rsidRPr="00C06542" w:rsidRDefault="009A7CB7" w:rsidP="00017C33">
      <w:pPr>
        <w:pStyle w:val="ONUMFS"/>
        <w:rPr>
          <w:lang w:val="fr-FR"/>
        </w:rPr>
      </w:pPr>
      <w:r w:rsidRPr="00C06542">
        <w:rPr>
          <w:lang w:val="fr-FR"/>
        </w:rPr>
        <w:t xml:space="preserve">La délégation de la Fédération de Russie </w:t>
      </w:r>
      <w:r w:rsidR="00556CB7" w:rsidRPr="00C06542">
        <w:rPr>
          <w:lang w:val="fr-FR"/>
        </w:rPr>
        <w:t xml:space="preserve">a soutenu les propositions de modification des </w:t>
      </w:r>
      <w:r w:rsidR="005D4CBB" w:rsidRPr="00C06542">
        <w:rPr>
          <w:lang w:val="fr-FR"/>
        </w:rPr>
        <w:t>règles 5</w:t>
      </w:r>
      <w:r w:rsidR="00556CB7" w:rsidRPr="00C06542">
        <w:rPr>
          <w:lang w:val="fr-FR"/>
        </w:rPr>
        <w:t xml:space="preserve">, 6 et 7 du </w:t>
      </w:r>
      <w:r w:rsidR="003B161E" w:rsidRPr="00C06542">
        <w:rPr>
          <w:lang w:val="fr-FR"/>
        </w:rPr>
        <w:t>r</w:t>
      </w:r>
      <w:r w:rsidR="00556CB7" w:rsidRPr="00C06542">
        <w:rPr>
          <w:lang w:val="fr-FR"/>
        </w:rPr>
        <w:t>èglement d</w:t>
      </w:r>
      <w:r w:rsidR="00533B18" w:rsidRPr="00C06542">
        <w:rPr>
          <w:lang w:val="fr-FR"/>
        </w:rPr>
        <w:t>’</w:t>
      </w:r>
      <w:r w:rsidR="00556CB7" w:rsidRPr="00C06542">
        <w:rPr>
          <w:lang w:val="fr-FR"/>
        </w:rPr>
        <w:t>exécution</w:t>
      </w:r>
      <w:r w:rsidR="00394C82" w:rsidRPr="00C06542">
        <w:rPr>
          <w:lang w:val="fr-FR"/>
        </w:rPr>
        <w:t xml:space="preserve"> comm</w:t>
      </w:r>
      <w:r w:rsidR="00C06542" w:rsidRPr="00C06542">
        <w:rPr>
          <w:lang w:val="fr-FR"/>
        </w:rPr>
        <w:t>un.  El</w:t>
      </w:r>
      <w:r w:rsidR="003718BC" w:rsidRPr="00C06542">
        <w:rPr>
          <w:lang w:val="fr-FR"/>
        </w:rPr>
        <w:t>le a</w:t>
      </w:r>
      <w:r w:rsidR="00556CB7" w:rsidRPr="00C06542">
        <w:rPr>
          <w:lang w:val="fr-FR"/>
        </w:rPr>
        <w:t xml:space="preserve"> rappel</w:t>
      </w:r>
      <w:r w:rsidR="003718BC" w:rsidRPr="00C06542">
        <w:rPr>
          <w:lang w:val="fr-FR"/>
        </w:rPr>
        <w:t>é</w:t>
      </w:r>
      <w:r w:rsidR="00556CB7" w:rsidRPr="00C06542">
        <w:rPr>
          <w:lang w:val="fr-FR"/>
        </w:rPr>
        <w:t xml:space="preserve"> que la Fédération de Russie avait tout récemment </w:t>
      </w:r>
      <w:r w:rsidR="003B161E" w:rsidRPr="00C06542">
        <w:rPr>
          <w:lang w:val="fr-FR"/>
        </w:rPr>
        <w:t>adhéré</w:t>
      </w:r>
      <w:r w:rsidR="00556CB7" w:rsidRPr="00C06542">
        <w:rPr>
          <w:lang w:val="fr-FR"/>
        </w:rPr>
        <w:t xml:space="preserve"> au </w:t>
      </w:r>
      <w:r w:rsidR="00F5394C" w:rsidRPr="00C06542">
        <w:rPr>
          <w:lang w:val="fr-FR"/>
        </w:rPr>
        <w:t>s</w:t>
      </w:r>
      <w:r w:rsidR="00556CB7" w:rsidRPr="00C06542">
        <w:rPr>
          <w:lang w:val="fr-FR"/>
        </w:rPr>
        <w:t>ystème de Lisbonne, en mai 2023, et qu</w:t>
      </w:r>
      <w:r w:rsidR="00533B18" w:rsidRPr="00C06542">
        <w:rPr>
          <w:lang w:val="fr-FR"/>
        </w:rPr>
        <w:t>’</w:t>
      </w:r>
      <w:r w:rsidR="00556CB7" w:rsidRPr="00C06542">
        <w:rPr>
          <w:lang w:val="fr-FR"/>
        </w:rPr>
        <w:t xml:space="preserve">elle était ainsi devenue partie à tous les systèmes </w:t>
      </w:r>
      <w:r w:rsidR="00E461C0" w:rsidRPr="00C06542">
        <w:rPr>
          <w:lang w:val="fr-FR"/>
        </w:rPr>
        <w:t xml:space="preserve">mondiaux </w:t>
      </w:r>
      <w:r w:rsidR="00556CB7" w:rsidRPr="00C06542">
        <w:rPr>
          <w:lang w:val="fr-FR"/>
        </w:rPr>
        <w:t>de propriété intellectuelle administrés par l</w:t>
      </w:r>
      <w:r w:rsidR="00533B18" w:rsidRPr="00C06542">
        <w:rPr>
          <w:lang w:val="fr-FR"/>
        </w:rPr>
        <w:t>’</w:t>
      </w:r>
      <w:r w:rsidR="00556CB7" w:rsidRPr="00C06542">
        <w:rPr>
          <w:lang w:val="fr-FR"/>
        </w:rPr>
        <w:t xml:space="preserve">Organisation Mondiale de la Propriété </w:t>
      </w:r>
      <w:r w:rsidR="00E461C0" w:rsidRPr="00C06542">
        <w:rPr>
          <w:lang w:val="fr-FR"/>
        </w:rPr>
        <w:t>I</w:t>
      </w:r>
      <w:r w:rsidR="00556CB7" w:rsidRPr="00C06542">
        <w:rPr>
          <w:lang w:val="fr-FR"/>
        </w:rPr>
        <w:t>ntellectuelle (OMPI).</w:t>
      </w:r>
      <w:r w:rsidR="00E461C0" w:rsidRPr="00C06542">
        <w:rPr>
          <w:lang w:val="fr-FR"/>
        </w:rPr>
        <w:t xml:space="preserve">  </w:t>
      </w:r>
      <w:r w:rsidR="003718BC" w:rsidRPr="00C06542">
        <w:rPr>
          <w:lang w:val="fr-FR"/>
        </w:rPr>
        <w:t xml:space="preserve">La délégation a </w:t>
      </w:r>
      <w:r w:rsidR="00294694" w:rsidRPr="00C06542">
        <w:rPr>
          <w:lang w:val="fr-FR"/>
        </w:rPr>
        <w:t>soulign</w:t>
      </w:r>
      <w:r w:rsidR="003718BC" w:rsidRPr="00C06542">
        <w:rPr>
          <w:lang w:val="fr-FR"/>
        </w:rPr>
        <w:t>é</w:t>
      </w:r>
      <w:r w:rsidR="00294694" w:rsidRPr="00C06542">
        <w:rPr>
          <w:lang w:val="fr-FR"/>
        </w:rPr>
        <w:t xml:space="preserve"> qu</w:t>
      </w:r>
      <w:r w:rsidR="00533B18" w:rsidRPr="00C06542">
        <w:rPr>
          <w:lang w:val="fr-FR"/>
        </w:rPr>
        <w:t>’</w:t>
      </w:r>
      <w:r w:rsidR="00294694" w:rsidRPr="00C06542">
        <w:rPr>
          <w:lang w:val="fr-FR"/>
        </w:rPr>
        <w:t>aux fins des</w:t>
      </w:r>
      <w:r w:rsidR="003B161E" w:rsidRPr="00C06542">
        <w:rPr>
          <w:lang w:val="fr-FR"/>
        </w:rPr>
        <w:t xml:space="preserve"> </w:t>
      </w:r>
      <w:r w:rsidR="00294694" w:rsidRPr="00C06542">
        <w:rPr>
          <w:lang w:val="fr-FR"/>
        </w:rPr>
        <w:t xml:space="preserve">procédures découlant du </w:t>
      </w:r>
      <w:r w:rsidR="00F5394C" w:rsidRPr="00C06542">
        <w:rPr>
          <w:lang w:val="fr-FR"/>
        </w:rPr>
        <w:t xml:space="preserve">système </w:t>
      </w:r>
      <w:r w:rsidR="00294694" w:rsidRPr="00C06542">
        <w:rPr>
          <w:lang w:val="fr-FR"/>
        </w:rPr>
        <w:t>de Lisbonne, l</w:t>
      </w:r>
      <w:r w:rsidR="00533B18" w:rsidRPr="00C06542">
        <w:rPr>
          <w:lang w:val="fr-FR"/>
        </w:rPr>
        <w:t>’</w:t>
      </w:r>
      <w:r w:rsidR="00294694" w:rsidRPr="00C06542">
        <w:rPr>
          <w:lang w:val="fr-FR"/>
        </w:rPr>
        <w:t>autorité compétente de la Fédération de Russie allait par conséquent commencer à recevoir dès le mois d</w:t>
      </w:r>
      <w:r w:rsidR="00533B18" w:rsidRPr="00C06542">
        <w:rPr>
          <w:lang w:val="fr-FR"/>
        </w:rPr>
        <w:t>’</w:t>
      </w:r>
      <w:r w:rsidR="00294694" w:rsidRPr="00C06542">
        <w:rPr>
          <w:lang w:val="fr-FR"/>
        </w:rPr>
        <w:t>août 2023 des demandes d</w:t>
      </w:r>
      <w:r w:rsidR="00533B18" w:rsidRPr="00C06542">
        <w:rPr>
          <w:lang w:val="fr-FR"/>
        </w:rPr>
        <w:t>’</w:t>
      </w:r>
      <w:r w:rsidR="00294694" w:rsidRPr="00C06542">
        <w:rPr>
          <w:lang w:val="fr-FR"/>
        </w:rPr>
        <w:t>enregistrement international d</w:t>
      </w:r>
      <w:r w:rsidR="00533B18" w:rsidRPr="00C06542">
        <w:rPr>
          <w:lang w:val="fr-FR"/>
        </w:rPr>
        <w:t>’</w:t>
      </w:r>
      <w:r w:rsidR="00294694" w:rsidRPr="00C06542">
        <w:rPr>
          <w:lang w:val="fr-FR"/>
        </w:rPr>
        <w:t>indications géographiques et d</w:t>
      </w:r>
      <w:r w:rsidR="00533B18" w:rsidRPr="00C06542">
        <w:rPr>
          <w:lang w:val="fr-FR"/>
        </w:rPr>
        <w:t>’</w:t>
      </w:r>
      <w:r w:rsidR="00294694" w:rsidRPr="00C06542">
        <w:rPr>
          <w:lang w:val="fr-FR"/>
        </w:rPr>
        <w:t>appellations d</w:t>
      </w:r>
      <w:r w:rsidR="00533B18" w:rsidRPr="00C06542">
        <w:rPr>
          <w:lang w:val="fr-FR"/>
        </w:rPr>
        <w:t>’</w:t>
      </w:r>
      <w:r w:rsidR="00294694" w:rsidRPr="00C06542">
        <w:rPr>
          <w:lang w:val="fr-FR"/>
        </w:rPr>
        <w:t xml:space="preserve">origine au titre du </w:t>
      </w:r>
      <w:r w:rsidR="00F5394C" w:rsidRPr="00C06542">
        <w:rPr>
          <w:lang w:val="fr-FR"/>
        </w:rPr>
        <w:t>système</w:t>
      </w:r>
      <w:r w:rsidR="00294694" w:rsidRPr="00C06542">
        <w:rPr>
          <w:lang w:val="fr-FR"/>
        </w:rPr>
        <w:t xml:space="preserve"> de Lisbon</w:t>
      </w:r>
      <w:r w:rsidR="00C06542" w:rsidRPr="00C06542">
        <w:rPr>
          <w:lang w:val="fr-FR"/>
        </w:rPr>
        <w:t>ne.  La</w:t>
      </w:r>
      <w:r w:rsidR="003B161E" w:rsidRPr="00C06542">
        <w:rPr>
          <w:lang w:val="fr-FR"/>
        </w:rPr>
        <w:t xml:space="preserve"> délégation estimait que l</w:t>
      </w:r>
      <w:r w:rsidR="00533B18" w:rsidRPr="00C06542">
        <w:rPr>
          <w:lang w:val="fr-FR"/>
        </w:rPr>
        <w:t>’</w:t>
      </w:r>
      <w:r w:rsidR="003B161E" w:rsidRPr="00C06542">
        <w:rPr>
          <w:lang w:val="fr-FR"/>
        </w:rPr>
        <w:t xml:space="preserve">adhésion de la Fédération de Russie au </w:t>
      </w:r>
      <w:r w:rsidR="00F5394C" w:rsidRPr="00C06542">
        <w:rPr>
          <w:lang w:val="fr-FR"/>
        </w:rPr>
        <w:t>système</w:t>
      </w:r>
      <w:r w:rsidR="003B161E" w:rsidRPr="00C06542">
        <w:rPr>
          <w:lang w:val="fr-FR"/>
        </w:rPr>
        <w:t xml:space="preserve"> de Lisbonne ouvrait de nouvelles perspectives de développement économique </w:t>
      </w:r>
      <w:r w:rsidR="00084551" w:rsidRPr="00C06542">
        <w:rPr>
          <w:lang w:val="fr-FR"/>
        </w:rPr>
        <w:t>pour les régions</w:t>
      </w:r>
      <w:r w:rsidR="00AA6219" w:rsidRPr="00C06542">
        <w:rPr>
          <w:lang w:val="fr-FR"/>
        </w:rPr>
        <w:t xml:space="preserve"> </w:t>
      </w:r>
      <w:r w:rsidR="00031C99" w:rsidRPr="00C06542">
        <w:rPr>
          <w:lang w:val="fr-FR"/>
        </w:rPr>
        <w:t xml:space="preserve">et permettait de soutenir les producteurs locaux </w:t>
      </w:r>
      <w:r w:rsidR="0033700F" w:rsidRPr="00C06542">
        <w:rPr>
          <w:lang w:val="fr-FR"/>
        </w:rPr>
        <w:t>car</w:t>
      </w:r>
      <w:r w:rsidR="00031C99" w:rsidRPr="00C06542">
        <w:rPr>
          <w:lang w:val="fr-FR"/>
        </w:rPr>
        <w:t xml:space="preserve"> le </w:t>
      </w:r>
      <w:r w:rsidR="00F5394C" w:rsidRPr="00C06542">
        <w:rPr>
          <w:lang w:val="fr-FR"/>
        </w:rPr>
        <w:t>système</w:t>
      </w:r>
      <w:r w:rsidR="00031C99" w:rsidRPr="00C06542">
        <w:rPr>
          <w:lang w:val="fr-FR"/>
        </w:rPr>
        <w:t xml:space="preserve"> de Lisbonne renforçait le niveau de protection et la défense des marques régional</w:t>
      </w:r>
      <w:r w:rsidR="00C06542" w:rsidRPr="00C06542">
        <w:rPr>
          <w:lang w:val="fr-FR"/>
        </w:rPr>
        <w:t>es.  El</w:t>
      </w:r>
      <w:r w:rsidR="00F34D57" w:rsidRPr="00C06542">
        <w:rPr>
          <w:lang w:val="fr-FR"/>
        </w:rPr>
        <w:t xml:space="preserve">le a </w:t>
      </w:r>
      <w:r w:rsidR="003718BC" w:rsidRPr="00C06542">
        <w:rPr>
          <w:lang w:val="fr-FR"/>
        </w:rPr>
        <w:t>ajout</w:t>
      </w:r>
      <w:r w:rsidR="00F34D57" w:rsidRPr="00C06542">
        <w:rPr>
          <w:lang w:val="fr-FR"/>
        </w:rPr>
        <w:t xml:space="preserve">é que le </w:t>
      </w:r>
      <w:r w:rsidR="00F5394C" w:rsidRPr="00C06542">
        <w:rPr>
          <w:lang w:val="fr-FR"/>
        </w:rPr>
        <w:t>système</w:t>
      </w:r>
      <w:r w:rsidR="00F34D57" w:rsidRPr="00C06542">
        <w:rPr>
          <w:lang w:val="fr-FR"/>
        </w:rPr>
        <w:t xml:space="preserve"> de Lisbonne </w:t>
      </w:r>
      <w:r w:rsidR="00B17DA3" w:rsidRPr="00C06542">
        <w:rPr>
          <w:lang w:val="fr-FR"/>
        </w:rPr>
        <w:t>offrait une protection fiable des appellations d</w:t>
      </w:r>
      <w:r w:rsidR="00533B18" w:rsidRPr="00C06542">
        <w:rPr>
          <w:lang w:val="fr-FR"/>
        </w:rPr>
        <w:t>’</w:t>
      </w:r>
      <w:r w:rsidR="00B17DA3" w:rsidRPr="00C06542">
        <w:rPr>
          <w:lang w:val="fr-FR"/>
        </w:rPr>
        <w:t xml:space="preserve">origine </w:t>
      </w:r>
      <w:r w:rsidR="0096687C" w:rsidRPr="00C06542">
        <w:rPr>
          <w:lang w:val="fr-FR"/>
        </w:rPr>
        <w:t xml:space="preserve">et des indications géographiques </w:t>
      </w:r>
      <w:r w:rsidR="003603EF" w:rsidRPr="00C06542">
        <w:rPr>
          <w:lang w:val="fr-FR"/>
        </w:rPr>
        <w:t xml:space="preserve">dans les territoires des autres </w:t>
      </w:r>
      <w:r w:rsidR="00DF1E75" w:rsidRPr="00C06542">
        <w:rPr>
          <w:lang w:val="fr-FR"/>
        </w:rPr>
        <w:t>p</w:t>
      </w:r>
      <w:r w:rsidR="003603EF" w:rsidRPr="00C06542">
        <w:rPr>
          <w:lang w:val="fr-FR"/>
        </w:rPr>
        <w:t>arties contractantes</w:t>
      </w:r>
      <w:r w:rsidR="00DF1E75" w:rsidRPr="00C06542">
        <w:rPr>
          <w:lang w:val="fr-FR"/>
        </w:rPr>
        <w:t xml:space="preserve">, </w:t>
      </w:r>
      <w:r w:rsidR="00814132" w:rsidRPr="00C06542">
        <w:rPr>
          <w:lang w:val="fr-FR"/>
        </w:rPr>
        <w:t xml:space="preserve">ce qui </w:t>
      </w:r>
      <w:r w:rsidR="00DF1E75" w:rsidRPr="00C06542">
        <w:rPr>
          <w:lang w:val="fr-FR"/>
        </w:rPr>
        <w:t xml:space="preserve">était </w:t>
      </w:r>
      <w:r w:rsidR="003718BC" w:rsidRPr="00C06542">
        <w:rPr>
          <w:lang w:val="fr-FR"/>
        </w:rPr>
        <w:t>l</w:t>
      </w:r>
      <w:r w:rsidR="00533B18" w:rsidRPr="00C06542">
        <w:rPr>
          <w:lang w:val="fr-FR"/>
        </w:rPr>
        <w:t>’</w:t>
      </w:r>
      <w:r w:rsidR="00DF1E75" w:rsidRPr="00C06542">
        <w:rPr>
          <w:lang w:val="fr-FR"/>
        </w:rPr>
        <w:t xml:space="preserve">une des principales raisons </w:t>
      </w:r>
      <w:r w:rsidR="0006572C" w:rsidRPr="00C06542">
        <w:rPr>
          <w:lang w:val="fr-FR"/>
        </w:rPr>
        <w:t>de l</w:t>
      </w:r>
      <w:r w:rsidR="00533B18" w:rsidRPr="00C06542">
        <w:rPr>
          <w:lang w:val="fr-FR"/>
        </w:rPr>
        <w:t>’</w:t>
      </w:r>
      <w:r w:rsidR="0006572C" w:rsidRPr="00C06542">
        <w:rPr>
          <w:lang w:val="fr-FR"/>
        </w:rPr>
        <w:t>adhésion de la Fédération de Russie à l</w:t>
      </w:r>
      <w:r w:rsidR="00533B18" w:rsidRPr="00C06542">
        <w:rPr>
          <w:lang w:val="fr-FR"/>
        </w:rPr>
        <w:t>’</w:t>
      </w:r>
      <w:r w:rsidR="0006572C" w:rsidRPr="00C06542">
        <w:rPr>
          <w:lang w:val="fr-FR"/>
        </w:rPr>
        <w:t>Acte de Genève de l</w:t>
      </w:r>
      <w:r w:rsidR="00533B18" w:rsidRPr="00C06542">
        <w:rPr>
          <w:lang w:val="fr-FR"/>
        </w:rPr>
        <w:t>’</w:t>
      </w:r>
      <w:r w:rsidR="0006572C" w:rsidRPr="00C06542">
        <w:rPr>
          <w:lang w:val="fr-FR"/>
        </w:rPr>
        <w:t>Arrangement de Lisbon</w:t>
      </w:r>
      <w:r w:rsidR="00C06542" w:rsidRPr="00C06542">
        <w:rPr>
          <w:lang w:val="fr-FR"/>
        </w:rPr>
        <w:t xml:space="preserve">ne.  À </w:t>
      </w:r>
      <w:r w:rsidR="00313F3F" w:rsidRPr="00C06542">
        <w:rPr>
          <w:lang w:val="fr-FR"/>
        </w:rPr>
        <w:t xml:space="preserve">cet égard, la délégation a </w:t>
      </w:r>
      <w:r w:rsidR="005C6CC3" w:rsidRPr="00C06542">
        <w:rPr>
          <w:lang w:val="fr-FR"/>
        </w:rPr>
        <w:t>adressé ses remerciements au</w:t>
      </w:r>
      <w:r w:rsidR="00313F3F" w:rsidRPr="00C06542">
        <w:rPr>
          <w:lang w:val="fr-FR"/>
        </w:rPr>
        <w:t xml:space="preserve"> Secrétariat de l</w:t>
      </w:r>
      <w:r w:rsidR="00533B18" w:rsidRPr="00C06542">
        <w:rPr>
          <w:lang w:val="fr-FR"/>
        </w:rPr>
        <w:t>’</w:t>
      </w:r>
      <w:r w:rsidR="00313F3F" w:rsidRPr="00C06542">
        <w:rPr>
          <w:lang w:val="fr-FR"/>
        </w:rPr>
        <w:t>OMPI qui avait apporté un soutien sans faille à la procédure d</w:t>
      </w:r>
      <w:r w:rsidR="00533B18" w:rsidRPr="00C06542">
        <w:rPr>
          <w:lang w:val="fr-FR"/>
        </w:rPr>
        <w:t>’</w:t>
      </w:r>
      <w:r w:rsidR="00313F3F" w:rsidRPr="00C06542">
        <w:rPr>
          <w:lang w:val="fr-FR"/>
        </w:rPr>
        <w:t>adhésion de la Fédération de Russie</w:t>
      </w:r>
      <w:r w:rsidR="00D9424D" w:rsidRPr="00C06542">
        <w:rPr>
          <w:lang w:val="fr-FR"/>
        </w:rPr>
        <w:t xml:space="preserve"> au </w:t>
      </w:r>
      <w:r w:rsidR="00F5394C" w:rsidRPr="00C06542">
        <w:rPr>
          <w:lang w:val="fr-FR"/>
        </w:rPr>
        <w:t>système</w:t>
      </w:r>
      <w:r w:rsidR="00D9424D" w:rsidRPr="00C06542">
        <w:rPr>
          <w:lang w:val="fr-FR"/>
        </w:rPr>
        <w:t xml:space="preserve"> de Lisbon</w:t>
      </w:r>
      <w:r w:rsidR="00C06542" w:rsidRPr="00C06542">
        <w:rPr>
          <w:lang w:val="fr-FR"/>
        </w:rPr>
        <w:t>ne.  Ap</w:t>
      </w:r>
      <w:r w:rsidR="00D946E8" w:rsidRPr="00C06542">
        <w:rPr>
          <w:lang w:val="fr-FR"/>
        </w:rPr>
        <w:t>rès avoir indiqué que la Fédération de Russie était toute disposée à apporter une contribution majeure à la promotion et à la poursuite de l</w:t>
      </w:r>
      <w:r w:rsidR="00533B18" w:rsidRPr="00C06542">
        <w:rPr>
          <w:lang w:val="fr-FR"/>
        </w:rPr>
        <w:t>’</w:t>
      </w:r>
      <w:r w:rsidR="00D946E8" w:rsidRPr="00C06542">
        <w:rPr>
          <w:lang w:val="fr-FR"/>
        </w:rPr>
        <w:t xml:space="preserve">amélioration de ce </w:t>
      </w:r>
      <w:r w:rsidR="00F5394C" w:rsidRPr="00C06542">
        <w:rPr>
          <w:lang w:val="fr-FR"/>
        </w:rPr>
        <w:t>système</w:t>
      </w:r>
      <w:r w:rsidR="00D946E8" w:rsidRPr="00C06542">
        <w:rPr>
          <w:lang w:val="fr-FR"/>
        </w:rPr>
        <w:t xml:space="preserve">, </w:t>
      </w:r>
      <w:r w:rsidR="00410E07" w:rsidRPr="00C06542">
        <w:rPr>
          <w:lang w:val="fr-FR"/>
        </w:rPr>
        <w:t xml:space="preserve">la délégation a </w:t>
      </w:r>
      <w:r w:rsidR="001C3C6D" w:rsidRPr="00C06542">
        <w:rPr>
          <w:lang w:val="fr-FR"/>
        </w:rPr>
        <w:t xml:space="preserve">souligné </w:t>
      </w:r>
      <w:r w:rsidR="00410E07" w:rsidRPr="00C06542">
        <w:rPr>
          <w:lang w:val="fr-FR"/>
        </w:rPr>
        <w:t xml:space="preserve">que le </w:t>
      </w:r>
      <w:r w:rsidR="006F6DA3" w:rsidRPr="00C06542">
        <w:rPr>
          <w:lang w:val="fr-FR"/>
        </w:rPr>
        <w:t>Service fédéral</w:t>
      </w:r>
      <w:r w:rsidR="000702B7" w:rsidRPr="00C06542">
        <w:rPr>
          <w:lang w:val="fr-FR"/>
        </w:rPr>
        <w:t xml:space="preserve"> russe</w:t>
      </w:r>
      <w:r w:rsidR="006F6DA3" w:rsidRPr="00C06542">
        <w:rPr>
          <w:lang w:val="fr-FR"/>
        </w:rPr>
        <w:t xml:space="preserve"> de la propriété intellectuelle (ROSPATENT) accordait une importance particulière </w:t>
      </w:r>
      <w:r w:rsidR="001C3C6D" w:rsidRPr="00C06542">
        <w:rPr>
          <w:lang w:val="fr-FR"/>
        </w:rPr>
        <w:t>à la promotion et à l</w:t>
      </w:r>
      <w:r w:rsidR="00533B18" w:rsidRPr="00C06542">
        <w:rPr>
          <w:lang w:val="fr-FR"/>
        </w:rPr>
        <w:t>’</w:t>
      </w:r>
      <w:r w:rsidR="001C3C6D" w:rsidRPr="00C06542">
        <w:rPr>
          <w:lang w:val="fr-FR"/>
        </w:rPr>
        <w:t>emploi des indications géographiques et des appellations d</w:t>
      </w:r>
      <w:r w:rsidR="00533B18" w:rsidRPr="00C06542">
        <w:rPr>
          <w:lang w:val="fr-FR"/>
        </w:rPr>
        <w:t>’</w:t>
      </w:r>
      <w:r w:rsidR="001C3C6D" w:rsidRPr="00C06542">
        <w:rPr>
          <w:lang w:val="fr-FR"/>
        </w:rPr>
        <w:t>origine, et que des séminaires spécialisés étaient régulièrement organisés tout au long de l</w:t>
      </w:r>
      <w:r w:rsidR="00533B18" w:rsidRPr="00C06542">
        <w:rPr>
          <w:lang w:val="fr-FR"/>
        </w:rPr>
        <w:t>’</w:t>
      </w:r>
      <w:r w:rsidR="001C3C6D" w:rsidRPr="00C06542">
        <w:rPr>
          <w:lang w:val="fr-FR"/>
        </w:rPr>
        <w:t>année à l</w:t>
      </w:r>
      <w:r w:rsidR="00533B18" w:rsidRPr="00C06542">
        <w:rPr>
          <w:lang w:val="fr-FR"/>
        </w:rPr>
        <w:t>’</w:t>
      </w:r>
      <w:r w:rsidR="001C3C6D" w:rsidRPr="00C06542">
        <w:rPr>
          <w:lang w:val="fr-FR"/>
        </w:rPr>
        <w:t>intention des producteurs de biens traditionnels dans toutes les régions de la Fédérati</w:t>
      </w:r>
      <w:r w:rsidR="00C06542" w:rsidRPr="00C06542">
        <w:rPr>
          <w:lang w:val="fr-FR"/>
        </w:rPr>
        <w:t>on.  El</w:t>
      </w:r>
      <w:r w:rsidR="00407D53" w:rsidRPr="00C06542">
        <w:rPr>
          <w:lang w:val="fr-FR"/>
        </w:rPr>
        <w:t xml:space="preserve">le a ajouté que </w:t>
      </w:r>
      <w:r w:rsidR="005B22B5" w:rsidRPr="00C06542">
        <w:rPr>
          <w:lang w:val="fr-FR"/>
        </w:rPr>
        <w:t>ROSPATENT offrait en outre des services de conseil et une aide à l</w:t>
      </w:r>
      <w:r w:rsidR="00533B18" w:rsidRPr="00C06542">
        <w:rPr>
          <w:lang w:val="fr-FR"/>
        </w:rPr>
        <w:t>’</w:t>
      </w:r>
      <w:r w:rsidR="005B22B5" w:rsidRPr="00C06542">
        <w:rPr>
          <w:lang w:val="fr-FR"/>
        </w:rPr>
        <w:t>enregistrement des indications géographiques et des appellations d</w:t>
      </w:r>
      <w:r w:rsidR="00533B18" w:rsidRPr="00C06542">
        <w:rPr>
          <w:lang w:val="fr-FR"/>
        </w:rPr>
        <w:t>’</w:t>
      </w:r>
      <w:r w:rsidR="005B22B5" w:rsidRPr="00C06542">
        <w:rPr>
          <w:lang w:val="fr-FR"/>
        </w:rPr>
        <w:t>origi</w:t>
      </w:r>
      <w:r w:rsidR="00C06542" w:rsidRPr="00C06542">
        <w:rPr>
          <w:lang w:val="fr-FR"/>
        </w:rPr>
        <w:t>ne.  El</w:t>
      </w:r>
      <w:r w:rsidR="005B22B5" w:rsidRPr="00C06542">
        <w:rPr>
          <w:lang w:val="fr-FR"/>
        </w:rPr>
        <w:t xml:space="preserve">le a salué les efforts déployés par le Bureau international et le </w:t>
      </w:r>
      <w:r w:rsidR="00197A71" w:rsidRPr="00C06542">
        <w:rPr>
          <w:lang w:val="fr-FR"/>
        </w:rPr>
        <w:t>Bureau de l</w:t>
      </w:r>
      <w:r w:rsidR="00533B18" w:rsidRPr="00C06542">
        <w:rPr>
          <w:lang w:val="fr-FR"/>
        </w:rPr>
        <w:t>’</w:t>
      </w:r>
      <w:r w:rsidR="00197A71" w:rsidRPr="00C06542">
        <w:rPr>
          <w:lang w:val="fr-FR"/>
        </w:rPr>
        <w:t>OMPI en Fédération de Russie pour organiser différentes manifestations dans le domaine des indications géographiques</w:t>
      </w:r>
      <w:r w:rsidR="008472A3" w:rsidRPr="00C06542">
        <w:rPr>
          <w:lang w:val="fr-FR"/>
        </w:rPr>
        <w:t>, et notamment des ateliers thématiques et des séances d</w:t>
      </w:r>
      <w:r w:rsidR="00533B18" w:rsidRPr="00C06542">
        <w:rPr>
          <w:lang w:val="fr-FR"/>
        </w:rPr>
        <w:t>’</w:t>
      </w:r>
      <w:r w:rsidR="008472A3" w:rsidRPr="00C06542">
        <w:rPr>
          <w:lang w:val="fr-FR"/>
        </w:rPr>
        <w:t>information</w:t>
      </w:r>
      <w:r w:rsidR="00B40756" w:rsidRPr="00C06542">
        <w:rPr>
          <w:lang w:val="fr-FR"/>
        </w:rPr>
        <w:t xml:space="preserve"> en marge des sessions </w:t>
      </w:r>
      <w:r w:rsidR="009B6911" w:rsidRPr="00C06542">
        <w:rPr>
          <w:lang w:val="fr-FR"/>
        </w:rPr>
        <w:t>du</w:t>
      </w:r>
      <w:r w:rsidR="00B40756" w:rsidRPr="00C06542">
        <w:rPr>
          <w:lang w:val="fr-FR"/>
        </w:rPr>
        <w:t xml:space="preserve"> groupe de travail du </w:t>
      </w:r>
      <w:r w:rsidR="00F5394C" w:rsidRPr="00C06542">
        <w:rPr>
          <w:lang w:val="fr-FR"/>
        </w:rPr>
        <w:t>système</w:t>
      </w:r>
      <w:r w:rsidR="00B40756" w:rsidRPr="00C06542">
        <w:rPr>
          <w:lang w:val="fr-FR"/>
        </w:rPr>
        <w:t xml:space="preserve"> de Lisbon</w:t>
      </w:r>
      <w:r w:rsidR="00C06542" w:rsidRPr="00C06542">
        <w:rPr>
          <w:lang w:val="fr-FR"/>
        </w:rPr>
        <w:t>ne.  La</w:t>
      </w:r>
      <w:r w:rsidR="00D02FF8" w:rsidRPr="00C06542">
        <w:rPr>
          <w:lang w:val="fr-FR"/>
        </w:rPr>
        <w:t xml:space="preserve"> délégation a proposé de partager son expérience en matière d</w:t>
      </w:r>
      <w:r w:rsidR="00533B18" w:rsidRPr="00C06542">
        <w:rPr>
          <w:lang w:val="fr-FR"/>
        </w:rPr>
        <w:t>’</w:t>
      </w:r>
      <w:r w:rsidR="00D02FF8" w:rsidRPr="00C06542">
        <w:rPr>
          <w:lang w:val="fr-FR"/>
        </w:rPr>
        <w:t xml:space="preserve">adhésion au </w:t>
      </w:r>
      <w:r w:rsidR="00F5394C" w:rsidRPr="00C06542">
        <w:rPr>
          <w:lang w:val="fr-FR"/>
        </w:rPr>
        <w:t>système</w:t>
      </w:r>
      <w:r w:rsidR="00D02FF8" w:rsidRPr="00C06542">
        <w:rPr>
          <w:lang w:val="fr-FR"/>
        </w:rPr>
        <w:t xml:space="preserve"> de Lisbonne lors de la session suivante du groupe de trava</w:t>
      </w:r>
      <w:r w:rsidR="00C06542" w:rsidRPr="00C06542">
        <w:rPr>
          <w:lang w:val="fr-FR"/>
        </w:rPr>
        <w:t>il.  Pa</w:t>
      </w:r>
      <w:r w:rsidR="00D02FF8" w:rsidRPr="00C06542">
        <w:rPr>
          <w:lang w:val="fr-FR"/>
        </w:rPr>
        <w:t>r ailleurs, elle a remercié l</w:t>
      </w:r>
      <w:r w:rsidR="00533B18" w:rsidRPr="00C06542">
        <w:rPr>
          <w:lang w:val="fr-FR"/>
        </w:rPr>
        <w:t>’</w:t>
      </w:r>
      <w:r w:rsidR="00D02FF8" w:rsidRPr="00C06542">
        <w:rPr>
          <w:lang w:val="fr-FR"/>
        </w:rPr>
        <w:t>OMPI d</w:t>
      </w:r>
      <w:r w:rsidR="00533B18" w:rsidRPr="00C06542">
        <w:rPr>
          <w:lang w:val="fr-FR"/>
        </w:rPr>
        <w:t>’</w:t>
      </w:r>
      <w:r w:rsidR="00D02FF8" w:rsidRPr="00C06542">
        <w:rPr>
          <w:lang w:val="fr-FR"/>
        </w:rPr>
        <w:t xml:space="preserve">avoir organisé </w:t>
      </w:r>
      <w:r w:rsidR="006419E3" w:rsidRPr="00C06542">
        <w:rPr>
          <w:lang w:val="fr-FR"/>
        </w:rPr>
        <w:t xml:space="preserve">en Géorgie le Colloque mondial sur les indications géographiques, dans le cadre duquel différents sujets ont été abordés, en particulier les stratégies de gestion, </w:t>
      </w:r>
      <w:r w:rsidR="00031F39" w:rsidRPr="00C06542">
        <w:rPr>
          <w:lang w:val="fr-FR"/>
        </w:rPr>
        <w:t>l</w:t>
      </w:r>
      <w:r w:rsidR="00F33C38" w:rsidRPr="00C06542">
        <w:rPr>
          <w:lang w:val="fr-FR"/>
        </w:rPr>
        <w:t>a création</w:t>
      </w:r>
      <w:r w:rsidR="00031F39" w:rsidRPr="00C06542">
        <w:rPr>
          <w:lang w:val="fr-FR"/>
        </w:rPr>
        <w:t xml:space="preserve"> de marques dans le domaine des indications géographiques et la protection internationale découlant du </w:t>
      </w:r>
      <w:r w:rsidR="00F5394C" w:rsidRPr="00C06542">
        <w:rPr>
          <w:lang w:val="fr-FR"/>
        </w:rPr>
        <w:t>système</w:t>
      </w:r>
      <w:r w:rsidR="00031F39" w:rsidRPr="00C06542">
        <w:rPr>
          <w:lang w:val="fr-FR"/>
        </w:rPr>
        <w:t xml:space="preserve"> de Lisbon</w:t>
      </w:r>
      <w:r w:rsidR="00C06542" w:rsidRPr="00C06542">
        <w:rPr>
          <w:lang w:val="fr-FR"/>
        </w:rPr>
        <w:t>ne.  En</w:t>
      </w:r>
      <w:r w:rsidR="00031F39" w:rsidRPr="00C06542">
        <w:rPr>
          <w:lang w:val="fr-FR"/>
        </w:rPr>
        <w:t>fin, la délégation a appuyé l</w:t>
      </w:r>
      <w:r w:rsidR="00533B18" w:rsidRPr="00C06542">
        <w:rPr>
          <w:lang w:val="fr-FR"/>
        </w:rPr>
        <w:t>’</w:t>
      </w:r>
      <w:r w:rsidR="00031F39" w:rsidRPr="00C06542">
        <w:rPr>
          <w:lang w:val="fr-FR"/>
        </w:rPr>
        <w:t xml:space="preserve">initiative visant à augmenter le budget du </w:t>
      </w:r>
      <w:r w:rsidR="00F5394C" w:rsidRPr="00C06542">
        <w:rPr>
          <w:lang w:val="fr-FR"/>
        </w:rPr>
        <w:t>système</w:t>
      </w:r>
      <w:r w:rsidR="003718BC" w:rsidRPr="00C06542">
        <w:rPr>
          <w:lang w:val="fr-FR"/>
        </w:rPr>
        <w:t xml:space="preserve"> de Lisbonne pour l</w:t>
      </w:r>
      <w:r w:rsidR="00533B18" w:rsidRPr="00C06542">
        <w:rPr>
          <w:lang w:val="fr-FR"/>
        </w:rPr>
        <w:t>’</w:t>
      </w:r>
      <w:r w:rsidR="003718BC" w:rsidRPr="00C06542">
        <w:rPr>
          <w:lang w:val="fr-FR"/>
        </w:rPr>
        <w:t>exercice biennal </w:t>
      </w:r>
      <w:r w:rsidR="00031F39" w:rsidRPr="00C06542">
        <w:rPr>
          <w:lang w:val="fr-FR"/>
        </w:rPr>
        <w:t>2024</w:t>
      </w:r>
      <w:r w:rsidR="00E70D34">
        <w:rPr>
          <w:lang w:val="fr-FR"/>
        </w:rPr>
        <w:noBreakHyphen/>
      </w:r>
      <w:r w:rsidR="00031F39" w:rsidRPr="00C06542">
        <w:rPr>
          <w:lang w:val="fr-FR"/>
        </w:rPr>
        <w:t xml:space="preserve">2025 car elle estimait que </w:t>
      </w:r>
      <w:r w:rsidR="00BD40D5" w:rsidRPr="00C06542">
        <w:rPr>
          <w:lang w:val="fr-FR"/>
        </w:rPr>
        <w:t xml:space="preserve">des ressources financières seraient </w:t>
      </w:r>
      <w:r w:rsidR="00BD40D5" w:rsidRPr="00C06542">
        <w:rPr>
          <w:lang w:val="fr-FR"/>
        </w:rPr>
        <w:lastRenderedPageBreak/>
        <w:t xml:space="preserve">nécessaires pour permettre au </w:t>
      </w:r>
      <w:r w:rsidR="00F5394C" w:rsidRPr="00C06542">
        <w:rPr>
          <w:lang w:val="fr-FR"/>
        </w:rPr>
        <w:t>système</w:t>
      </w:r>
      <w:r w:rsidR="00BD40D5" w:rsidRPr="00C06542">
        <w:rPr>
          <w:lang w:val="fr-FR"/>
        </w:rPr>
        <w:t xml:space="preserve"> de continuer à se développer afin d</w:t>
      </w:r>
      <w:r w:rsidR="00533B18" w:rsidRPr="00C06542">
        <w:rPr>
          <w:lang w:val="fr-FR"/>
        </w:rPr>
        <w:t>’</w:t>
      </w:r>
      <w:r w:rsidR="00BD40D5" w:rsidRPr="00C06542">
        <w:rPr>
          <w:lang w:val="fr-FR"/>
        </w:rPr>
        <w:t>attirer de nouveaux utilisateurs et de nouveaux membres.</w:t>
      </w:r>
    </w:p>
    <w:p w14:paraId="16E35361" w14:textId="1FE71BE5" w:rsidR="000A6424" w:rsidRPr="00C06542" w:rsidRDefault="00C82864" w:rsidP="00017C33">
      <w:pPr>
        <w:pStyle w:val="ONUMFS"/>
        <w:rPr>
          <w:lang w:val="fr-FR"/>
        </w:rPr>
      </w:pPr>
      <w:r w:rsidRPr="00C06542">
        <w:rPr>
          <w:lang w:val="fr-FR"/>
        </w:rPr>
        <w:t>La délégation de l</w:t>
      </w:r>
      <w:r w:rsidR="00533B18" w:rsidRPr="00C06542">
        <w:rPr>
          <w:lang w:val="fr-FR"/>
        </w:rPr>
        <w:t>’</w:t>
      </w:r>
      <w:r w:rsidRPr="00C06542">
        <w:rPr>
          <w:lang w:val="fr-FR"/>
        </w:rPr>
        <w:t xml:space="preserve">Union européenne, </w:t>
      </w:r>
      <w:r w:rsidR="00712994">
        <w:rPr>
          <w:lang w:val="fr-FR"/>
        </w:rPr>
        <w:t>parl</w:t>
      </w:r>
      <w:r w:rsidRPr="00C06542">
        <w:rPr>
          <w:lang w:val="fr-FR"/>
        </w:rPr>
        <w:t>ant au nom de l</w:t>
      </w:r>
      <w:r w:rsidR="00533B18" w:rsidRPr="00C06542">
        <w:rPr>
          <w:lang w:val="fr-FR"/>
        </w:rPr>
        <w:t>’</w:t>
      </w:r>
      <w:r w:rsidRPr="00C06542">
        <w:rPr>
          <w:lang w:val="fr-FR"/>
        </w:rPr>
        <w:t>Union européenne et de</w:t>
      </w:r>
      <w:r w:rsidR="007D3FD5" w:rsidRPr="00C06542">
        <w:rPr>
          <w:lang w:val="fr-FR"/>
        </w:rPr>
        <w:t xml:space="preserve"> </w:t>
      </w:r>
      <w:r w:rsidRPr="00C06542">
        <w:rPr>
          <w:lang w:val="fr-FR"/>
        </w:rPr>
        <w:t xml:space="preserve">ses États membres, </w:t>
      </w:r>
      <w:r w:rsidR="00D9315D" w:rsidRPr="00C06542">
        <w:rPr>
          <w:lang w:val="fr-FR"/>
        </w:rPr>
        <w:t>s</w:t>
      </w:r>
      <w:r w:rsidR="00533B18" w:rsidRPr="00C06542">
        <w:rPr>
          <w:lang w:val="fr-FR"/>
        </w:rPr>
        <w:t>’</w:t>
      </w:r>
      <w:r w:rsidR="00D9315D" w:rsidRPr="00C06542">
        <w:rPr>
          <w:lang w:val="fr-FR"/>
        </w:rPr>
        <w:t>est félicitée de l</w:t>
      </w:r>
      <w:r w:rsidR="00533B18" w:rsidRPr="00C06542">
        <w:rPr>
          <w:lang w:val="fr-FR"/>
        </w:rPr>
        <w:t>’</w:t>
      </w:r>
      <w:r w:rsidR="00D9315D" w:rsidRPr="00C06542">
        <w:rPr>
          <w:lang w:val="fr-FR"/>
        </w:rPr>
        <w:t xml:space="preserve">entrée en vigueur des modifications </w:t>
      </w:r>
      <w:r w:rsidR="00046F78" w:rsidRPr="00C06542">
        <w:rPr>
          <w:lang w:val="fr-FR"/>
        </w:rPr>
        <w:t>d</w:t>
      </w:r>
      <w:r w:rsidR="00D9315D" w:rsidRPr="00C06542">
        <w:rPr>
          <w:lang w:val="fr-FR"/>
        </w:rPr>
        <w:t>u règlement d</w:t>
      </w:r>
      <w:r w:rsidR="00533B18" w:rsidRPr="00C06542">
        <w:rPr>
          <w:lang w:val="fr-FR"/>
        </w:rPr>
        <w:t>’</w:t>
      </w:r>
      <w:r w:rsidR="00D9315D" w:rsidRPr="00C06542">
        <w:rPr>
          <w:lang w:val="fr-FR"/>
        </w:rPr>
        <w:t>exécution</w:t>
      </w:r>
      <w:r w:rsidR="00394C82" w:rsidRPr="00C06542">
        <w:rPr>
          <w:lang w:val="fr-FR"/>
        </w:rPr>
        <w:t xml:space="preserve"> commun</w:t>
      </w:r>
      <w:r w:rsidR="00D9315D" w:rsidRPr="00C06542">
        <w:rPr>
          <w:lang w:val="fr-FR"/>
        </w:rPr>
        <w:t xml:space="preserve"> </w:t>
      </w:r>
      <w:r w:rsidR="00804999" w:rsidRPr="00C06542">
        <w:rPr>
          <w:lang w:val="fr-FR"/>
        </w:rPr>
        <w:t>au</w:t>
      </w:r>
      <w:r w:rsidR="00533B18" w:rsidRPr="00C06542">
        <w:rPr>
          <w:lang w:val="fr-FR"/>
        </w:rPr>
        <w:t xml:space="preserve"> 1</w:t>
      </w:r>
      <w:r w:rsidR="00533B18" w:rsidRPr="00C06542">
        <w:rPr>
          <w:vertAlign w:val="superscript"/>
          <w:lang w:val="fr-FR"/>
        </w:rPr>
        <w:t>er</w:t>
      </w:r>
      <w:r w:rsidR="00533B18" w:rsidRPr="00C06542">
        <w:rPr>
          <w:lang w:val="fr-FR"/>
        </w:rPr>
        <w:t> </w:t>
      </w:r>
      <w:r w:rsidR="005D4CBB" w:rsidRPr="00C06542">
        <w:rPr>
          <w:lang w:val="fr-FR"/>
        </w:rPr>
        <w:t>janvier 20</w:t>
      </w:r>
      <w:r w:rsidR="00804999" w:rsidRPr="00C06542">
        <w:rPr>
          <w:lang w:val="fr-FR"/>
        </w:rPr>
        <w:t xml:space="preserve">23.  À cet égard, elle a proposé de </w:t>
      </w:r>
      <w:r w:rsidR="00BB2D3E" w:rsidRPr="00C06542">
        <w:rPr>
          <w:lang w:val="fr-FR"/>
        </w:rPr>
        <w:t>continuer à améliorer le règlement d</w:t>
      </w:r>
      <w:r w:rsidR="00533B18" w:rsidRPr="00C06542">
        <w:rPr>
          <w:lang w:val="fr-FR"/>
        </w:rPr>
        <w:t>’</w:t>
      </w:r>
      <w:r w:rsidR="00BB2D3E" w:rsidRPr="00C06542">
        <w:rPr>
          <w:lang w:val="fr-FR"/>
        </w:rPr>
        <w:t>exécution</w:t>
      </w:r>
      <w:r w:rsidR="00394C82" w:rsidRPr="00C06542">
        <w:rPr>
          <w:lang w:val="fr-FR"/>
        </w:rPr>
        <w:t xml:space="preserve"> commun</w:t>
      </w:r>
      <w:r w:rsidR="00BB2D3E" w:rsidRPr="00C06542">
        <w:rPr>
          <w:lang w:val="fr-FR"/>
        </w:rPr>
        <w:t xml:space="preserve"> pour simplifier et rationaliser les procédures prévues par le système de Lisbonne</w:t>
      </w:r>
      <w:r w:rsidR="00F5394C" w:rsidRPr="00C06542">
        <w:rPr>
          <w:lang w:val="fr-FR"/>
        </w:rPr>
        <w:t xml:space="preserve"> </w:t>
      </w:r>
      <w:r w:rsidR="00664524" w:rsidRPr="00C06542">
        <w:rPr>
          <w:lang w:val="fr-FR"/>
        </w:rPr>
        <w:t>afin que celui</w:t>
      </w:r>
      <w:r w:rsidR="00E70D34">
        <w:rPr>
          <w:lang w:val="fr-FR"/>
        </w:rPr>
        <w:noBreakHyphen/>
      </w:r>
      <w:r w:rsidR="00664524" w:rsidRPr="00C06542">
        <w:rPr>
          <w:lang w:val="fr-FR"/>
        </w:rPr>
        <w:t>ci soit plus clair pour ses utilisateu</w:t>
      </w:r>
      <w:r w:rsidR="00C06542" w:rsidRPr="00C06542">
        <w:rPr>
          <w:lang w:val="fr-FR"/>
        </w:rPr>
        <w:t>rs.  El</w:t>
      </w:r>
      <w:r w:rsidR="0028110D" w:rsidRPr="00C06542">
        <w:rPr>
          <w:lang w:val="fr-FR"/>
        </w:rPr>
        <w:t>le a donc soutenu l</w:t>
      </w:r>
      <w:r w:rsidR="00533B18" w:rsidRPr="00C06542">
        <w:rPr>
          <w:lang w:val="fr-FR"/>
        </w:rPr>
        <w:t>’</w:t>
      </w:r>
      <w:r w:rsidR="0028110D" w:rsidRPr="00C06542">
        <w:rPr>
          <w:lang w:val="fr-FR"/>
        </w:rPr>
        <w:t xml:space="preserve">adoption des propositions de modification </w:t>
      </w:r>
      <w:r w:rsidR="00AE1974" w:rsidRPr="00C06542">
        <w:rPr>
          <w:lang w:val="fr-FR"/>
        </w:rPr>
        <w:t>du règlement d</w:t>
      </w:r>
      <w:r w:rsidR="00533B18" w:rsidRPr="00C06542">
        <w:rPr>
          <w:lang w:val="fr-FR"/>
        </w:rPr>
        <w:t>’</w:t>
      </w:r>
      <w:r w:rsidR="00AE1974" w:rsidRPr="00C06542">
        <w:rPr>
          <w:lang w:val="fr-FR"/>
        </w:rPr>
        <w:t>exécution</w:t>
      </w:r>
      <w:r w:rsidR="00394C82" w:rsidRPr="00C06542">
        <w:rPr>
          <w:lang w:val="fr-FR"/>
        </w:rPr>
        <w:t xml:space="preserve"> commun</w:t>
      </w:r>
      <w:r w:rsidR="00435E53" w:rsidRPr="00C06542">
        <w:rPr>
          <w:lang w:val="fr-FR"/>
        </w:rPr>
        <w:t xml:space="preserve"> telles que figurant dans l</w:t>
      </w:r>
      <w:r w:rsidR="00533B18" w:rsidRPr="00C06542">
        <w:rPr>
          <w:lang w:val="fr-FR"/>
        </w:rPr>
        <w:t>’</w:t>
      </w:r>
      <w:r w:rsidR="00435E53" w:rsidRPr="00C06542">
        <w:rPr>
          <w:lang w:val="fr-FR"/>
        </w:rPr>
        <w:t xml:space="preserve">annexe du </w:t>
      </w:r>
      <w:r w:rsidR="00533B18" w:rsidRPr="00C06542">
        <w:rPr>
          <w:lang w:val="fr-FR"/>
        </w:rPr>
        <w:t>document</w:t>
      </w:r>
      <w:r w:rsidR="00C24374">
        <w:rPr>
          <w:lang w:val="fr-FR"/>
        </w:rPr>
        <w:t> </w:t>
      </w:r>
      <w:r w:rsidR="00533B18" w:rsidRPr="00C06542">
        <w:rPr>
          <w:lang w:val="fr-FR"/>
        </w:rPr>
        <w:t>LI</w:t>
      </w:r>
      <w:r w:rsidR="00435E53" w:rsidRPr="00C06542">
        <w:rPr>
          <w:lang w:val="fr-FR"/>
        </w:rPr>
        <w:t>/A/40/1</w:t>
      </w:r>
      <w:r w:rsidR="00AE0B5F" w:rsidRPr="00C06542">
        <w:rPr>
          <w:lang w:val="fr-FR"/>
        </w:rPr>
        <w:t xml:space="preserve"> établie par le Secrétari</w:t>
      </w:r>
      <w:r w:rsidR="00C06542" w:rsidRPr="00C06542">
        <w:rPr>
          <w:lang w:val="fr-FR"/>
        </w:rPr>
        <w:t>at.  El</w:t>
      </w:r>
      <w:r w:rsidR="00AE0B5F" w:rsidRPr="00C06542">
        <w:rPr>
          <w:lang w:val="fr-FR"/>
        </w:rPr>
        <w:t>le a signalé que l</w:t>
      </w:r>
      <w:r w:rsidR="00533B18" w:rsidRPr="00C06542">
        <w:rPr>
          <w:lang w:val="fr-FR"/>
        </w:rPr>
        <w:t>’</w:t>
      </w:r>
      <w:r w:rsidR="00AE0B5F" w:rsidRPr="00C06542">
        <w:rPr>
          <w:lang w:val="fr-FR"/>
        </w:rPr>
        <w:t xml:space="preserve">Union européenne avait </w:t>
      </w:r>
      <w:r w:rsidR="006E6DBF" w:rsidRPr="00C06542">
        <w:rPr>
          <w:lang w:val="fr-FR"/>
        </w:rPr>
        <w:t xml:space="preserve">continué de progresser </w:t>
      </w:r>
      <w:r w:rsidR="00AE0B5F" w:rsidRPr="00C06542">
        <w:rPr>
          <w:lang w:val="fr-FR"/>
        </w:rPr>
        <w:t>dans la mise en œuvre</w:t>
      </w:r>
      <w:r w:rsidR="00E13743" w:rsidRPr="00C06542">
        <w:rPr>
          <w:lang w:val="fr-FR"/>
        </w:rPr>
        <w:t xml:space="preserve"> de son adhésion au système de Lisbonne</w:t>
      </w:r>
      <w:r w:rsidR="00AE0B5F" w:rsidRPr="00C06542">
        <w:rPr>
          <w:lang w:val="fr-FR"/>
        </w:rPr>
        <w:t xml:space="preserve"> </w:t>
      </w:r>
      <w:r w:rsidR="00E13743" w:rsidRPr="00C06542">
        <w:rPr>
          <w:lang w:val="fr-FR"/>
        </w:rPr>
        <w:t xml:space="preserve">et </w:t>
      </w:r>
      <w:r w:rsidR="0081752A" w:rsidRPr="00C06542">
        <w:rPr>
          <w:lang w:val="fr-FR"/>
        </w:rPr>
        <w:t>à</w:t>
      </w:r>
      <w:r w:rsidR="00E13743" w:rsidRPr="00C06542">
        <w:rPr>
          <w:lang w:val="fr-FR"/>
        </w:rPr>
        <w:t xml:space="preserve"> </w:t>
      </w:r>
      <w:r w:rsidR="00AE0B5F" w:rsidRPr="00C06542">
        <w:rPr>
          <w:lang w:val="fr-FR"/>
        </w:rPr>
        <w:t>l</w:t>
      </w:r>
      <w:r w:rsidR="00533B18" w:rsidRPr="00C06542">
        <w:rPr>
          <w:lang w:val="fr-FR"/>
        </w:rPr>
        <w:t>’</w:t>
      </w:r>
      <w:r w:rsidR="00AE0B5F" w:rsidRPr="00C06542">
        <w:rPr>
          <w:lang w:val="fr-FR"/>
        </w:rPr>
        <w:t>Acte de Genève de l</w:t>
      </w:r>
      <w:r w:rsidR="00533B18" w:rsidRPr="00C06542">
        <w:rPr>
          <w:lang w:val="fr-FR"/>
        </w:rPr>
        <w:t>’</w:t>
      </w:r>
      <w:r w:rsidR="00AE0B5F" w:rsidRPr="00C06542">
        <w:rPr>
          <w:lang w:val="fr-FR"/>
        </w:rPr>
        <w:t>Arrangement de Lisbonne</w:t>
      </w:r>
      <w:r w:rsidR="00E13743" w:rsidRPr="00C06542">
        <w:rPr>
          <w:lang w:val="fr-FR"/>
        </w:rPr>
        <w:t>, et qu</w:t>
      </w:r>
      <w:r w:rsidR="00533B18" w:rsidRPr="00C06542">
        <w:rPr>
          <w:lang w:val="fr-FR"/>
        </w:rPr>
        <w:t>’</w:t>
      </w:r>
      <w:r w:rsidR="00E13743" w:rsidRPr="00C06542">
        <w:rPr>
          <w:lang w:val="fr-FR"/>
        </w:rPr>
        <w:t xml:space="preserve">elle </w:t>
      </w:r>
      <w:r w:rsidR="003718BC" w:rsidRPr="00C06542">
        <w:rPr>
          <w:lang w:val="fr-FR"/>
        </w:rPr>
        <w:t>se trouvait</w:t>
      </w:r>
      <w:r w:rsidR="00E13743" w:rsidRPr="00C06542">
        <w:rPr>
          <w:lang w:val="fr-FR"/>
        </w:rPr>
        <w:t xml:space="preserve"> aux étapes finales de la procédure législative </w:t>
      </w:r>
      <w:r w:rsidR="00E67147" w:rsidRPr="00C06542">
        <w:rPr>
          <w:lang w:val="fr-FR"/>
        </w:rPr>
        <w:t>visant à adopter un règlement de l</w:t>
      </w:r>
      <w:r w:rsidR="00533B18" w:rsidRPr="00C06542">
        <w:rPr>
          <w:lang w:val="fr-FR"/>
        </w:rPr>
        <w:t>’</w:t>
      </w:r>
      <w:r w:rsidR="00E67147" w:rsidRPr="00C06542">
        <w:rPr>
          <w:lang w:val="fr-FR"/>
        </w:rPr>
        <w:t xml:space="preserve">Union européenne sur la protection des indications géographiques </w:t>
      </w:r>
      <w:r w:rsidR="00D9149F" w:rsidRPr="00C06542">
        <w:rPr>
          <w:lang w:val="fr-FR"/>
        </w:rPr>
        <w:t>concernant l</w:t>
      </w:r>
      <w:r w:rsidR="001C5B7A" w:rsidRPr="00C06542">
        <w:rPr>
          <w:lang w:val="fr-FR"/>
        </w:rPr>
        <w:t>es produits artisanaux et industrie</w:t>
      </w:r>
      <w:r w:rsidR="00C06542" w:rsidRPr="00C06542">
        <w:rPr>
          <w:lang w:val="fr-FR"/>
        </w:rPr>
        <w:t>ls.  La</w:t>
      </w:r>
      <w:r w:rsidR="00A37F7A" w:rsidRPr="00C06542">
        <w:rPr>
          <w:lang w:val="fr-FR"/>
        </w:rPr>
        <w:t xml:space="preserve"> délégation a </w:t>
      </w:r>
      <w:r w:rsidR="003718BC" w:rsidRPr="00C06542">
        <w:rPr>
          <w:lang w:val="fr-FR"/>
        </w:rPr>
        <w:t>ajouté</w:t>
      </w:r>
      <w:r w:rsidR="00E00FAB" w:rsidRPr="00C06542">
        <w:rPr>
          <w:lang w:val="fr-FR"/>
        </w:rPr>
        <w:t xml:space="preserve"> que si l</w:t>
      </w:r>
      <w:r w:rsidR="00533B18" w:rsidRPr="00C06542">
        <w:rPr>
          <w:lang w:val="fr-FR"/>
        </w:rPr>
        <w:t>’</w:t>
      </w:r>
      <w:r w:rsidR="00E00FAB" w:rsidRPr="00C06542">
        <w:rPr>
          <w:lang w:val="fr-FR"/>
        </w:rPr>
        <w:t>Union européenne se réjouissait des propositions visant à augmenter de manière modérée le budget consacré par l</w:t>
      </w:r>
      <w:r w:rsidR="00533B18" w:rsidRPr="00C06542">
        <w:rPr>
          <w:lang w:val="fr-FR"/>
        </w:rPr>
        <w:t>’</w:t>
      </w:r>
      <w:r w:rsidR="00E00FAB" w:rsidRPr="00C06542">
        <w:rPr>
          <w:lang w:val="fr-FR"/>
        </w:rPr>
        <w:t>OMPI au système de Lisbonne pour la pério</w:t>
      </w:r>
      <w:r w:rsidR="005D4CBB" w:rsidRPr="00C06542">
        <w:rPr>
          <w:lang w:val="fr-FR"/>
        </w:rPr>
        <w:t>de 2024</w:t>
      </w:r>
      <w:r w:rsidR="00E70D34">
        <w:rPr>
          <w:lang w:val="fr-FR"/>
        </w:rPr>
        <w:noBreakHyphen/>
      </w:r>
      <w:r w:rsidR="00E00FAB" w:rsidRPr="00C06542">
        <w:rPr>
          <w:lang w:val="fr-FR"/>
        </w:rPr>
        <w:t xml:space="preserve">2025, </w:t>
      </w:r>
      <w:r w:rsidR="00371257" w:rsidRPr="00C06542">
        <w:rPr>
          <w:lang w:val="fr-FR"/>
        </w:rPr>
        <w:t>elle estimait en outre que des ressources adéquates devaient être accordées pour permettre de gérer efficacement le système de Lisbonne, compte tenu de l</w:t>
      </w:r>
      <w:r w:rsidR="00533B18" w:rsidRPr="00C06542">
        <w:rPr>
          <w:lang w:val="fr-FR"/>
        </w:rPr>
        <w:t>’</w:t>
      </w:r>
      <w:r w:rsidR="00371257" w:rsidRPr="00C06542">
        <w:rPr>
          <w:lang w:val="fr-FR"/>
        </w:rPr>
        <w:t>accroissement du nombre de ses membr</w:t>
      </w:r>
      <w:r w:rsidR="00C06542" w:rsidRPr="00C06542">
        <w:rPr>
          <w:lang w:val="fr-FR"/>
        </w:rPr>
        <w:t>es.  De</w:t>
      </w:r>
      <w:r w:rsidR="00815544" w:rsidRPr="00C06542">
        <w:rPr>
          <w:lang w:val="fr-FR"/>
        </w:rPr>
        <w:t xml:space="preserve"> ce point de vue, </w:t>
      </w:r>
      <w:r w:rsidR="006A059B" w:rsidRPr="00C06542">
        <w:rPr>
          <w:lang w:val="fr-FR"/>
        </w:rPr>
        <w:t>la délégation a souligné</w:t>
      </w:r>
      <w:r w:rsidR="00C86E65" w:rsidRPr="00C06542">
        <w:rPr>
          <w:lang w:val="fr-FR"/>
        </w:rPr>
        <w:t xml:space="preserve"> la nécessité de faire en sorte que le système de Lisbonne </w:t>
      </w:r>
      <w:r w:rsidR="00B375ED" w:rsidRPr="00C06542">
        <w:rPr>
          <w:lang w:val="fr-FR"/>
        </w:rPr>
        <w:t xml:space="preserve">puisse </w:t>
      </w:r>
      <w:r w:rsidR="00C86E65" w:rsidRPr="00C06542">
        <w:rPr>
          <w:lang w:val="fr-FR"/>
        </w:rPr>
        <w:t>fonctionne</w:t>
      </w:r>
      <w:r w:rsidR="00B375ED" w:rsidRPr="00C06542">
        <w:rPr>
          <w:lang w:val="fr-FR"/>
        </w:rPr>
        <w:t>r</w:t>
      </w:r>
      <w:r w:rsidR="00C86E65" w:rsidRPr="00C06542">
        <w:rPr>
          <w:lang w:val="fr-FR"/>
        </w:rPr>
        <w:t xml:space="preserve"> de manière efficace, c</w:t>
      </w:r>
      <w:r w:rsidR="00533B18" w:rsidRPr="00C06542">
        <w:rPr>
          <w:lang w:val="fr-FR"/>
        </w:rPr>
        <w:t>’</w:t>
      </w:r>
      <w:r w:rsidR="00C86E65" w:rsidRPr="00C06542">
        <w:rPr>
          <w:lang w:val="fr-FR"/>
        </w:rPr>
        <w:t>est</w:t>
      </w:r>
      <w:r w:rsidR="00E70D34">
        <w:rPr>
          <w:lang w:val="fr-FR"/>
        </w:rPr>
        <w:noBreakHyphen/>
      </w:r>
      <w:r w:rsidR="00C86E65" w:rsidRPr="00C06542">
        <w:rPr>
          <w:lang w:val="fr-FR"/>
        </w:rPr>
        <w:t>à</w:t>
      </w:r>
      <w:r w:rsidR="00E70D34">
        <w:rPr>
          <w:lang w:val="fr-FR"/>
        </w:rPr>
        <w:noBreakHyphen/>
      </w:r>
      <w:r w:rsidR="00C86E65" w:rsidRPr="00C06542">
        <w:rPr>
          <w:lang w:val="fr-FR"/>
        </w:rPr>
        <w:t xml:space="preserve">dire </w:t>
      </w:r>
      <w:r w:rsidR="00B375ED" w:rsidRPr="00C06542">
        <w:rPr>
          <w:lang w:val="fr-FR"/>
        </w:rPr>
        <w:t>qu</w:t>
      </w:r>
      <w:r w:rsidR="00533B18" w:rsidRPr="00C06542">
        <w:rPr>
          <w:lang w:val="fr-FR"/>
        </w:rPr>
        <w:t>’</w:t>
      </w:r>
      <w:r w:rsidR="00B375ED" w:rsidRPr="00C06542">
        <w:rPr>
          <w:lang w:val="fr-FR"/>
        </w:rPr>
        <w:t>il puisse</w:t>
      </w:r>
      <w:r w:rsidR="00C86E65" w:rsidRPr="00C06542">
        <w:rPr>
          <w:lang w:val="fr-FR"/>
        </w:rPr>
        <w:t xml:space="preserve"> rattraper le retard accumulé dans son travail et </w:t>
      </w:r>
      <w:r w:rsidR="00A81491" w:rsidRPr="00C06542">
        <w:rPr>
          <w:lang w:val="fr-FR"/>
        </w:rPr>
        <w:t>qu</w:t>
      </w:r>
      <w:r w:rsidR="00533B18" w:rsidRPr="00C06542">
        <w:rPr>
          <w:lang w:val="fr-FR"/>
        </w:rPr>
        <w:t>’</w:t>
      </w:r>
      <w:r w:rsidR="00A81491" w:rsidRPr="00C06542">
        <w:rPr>
          <w:lang w:val="fr-FR"/>
        </w:rPr>
        <w:t xml:space="preserve">il </w:t>
      </w:r>
      <w:r w:rsidR="00345CEE" w:rsidRPr="00C06542">
        <w:rPr>
          <w:lang w:val="fr-FR"/>
        </w:rPr>
        <w:t>soit</w:t>
      </w:r>
      <w:r w:rsidR="00C86E65" w:rsidRPr="00C06542">
        <w:rPr>
          <w:lang w:val="fr-FR"/>
        </w:rPr>
        <w:t xml:space="preserve"> en mesure de faire face à la charge de travail prévue depuis l</w:t>
      </w:r>
      <w:r w:rsidR="00533B18" w:rsidRPr="00C06542">
        <w:rPr>
          <w:lang w:val="fr-FR"/>
        </w:rPr>
        <w:t>’</w:t>
      </w:r>
      <w:r w:rsidR="00C86E65" w:rsidRPr="00C06542">
        <w:rPr>
          <w:lang w:val="fr-FR"/>
        </w:rPr>
        <w:t xml:space="preserve">augmentation du nombre de ses </w:t>
      </w:r>
      <w:r w:rsidR="0064006B" w:rsidRPr="00C06542">
        <w:rPr>
          <w:lang w:val="fr-FR"/>
        </w:rPr>
        <w:t>membres</w:t>
      </w:r>
      <w:r w:rsidR="00A962DD" w:rsidRPr="00C06542">
        <w:rPr>
          <w:lang w:val="fr-FR"/>
        </w:rPr>
        <w:t>;  il convenait aussi de déployer toutes les fonctionnalités de la nouvelle plateforme technologique appelée e</w:t>
      </w:r>
      <w:r w:rsidR="00E70D34">
        <w:rPr>
          <w:lang w:val="fr-FR"/>
        </w:rPr>
        <w:noBreakHyphen/>
      </w:r>
      <w:proofErr w:type="spellStart"/>
      <w:r w:rsidR="00A962DD" w:rsidRPr="00C06542">
        <w:rPr>
          <w:lang w:val="fr-FR"/>
        </w:rPr>
        <w:t>Lisbon</w:t>
      </w:r>
      <w:proofErr w:type="spellEnd"/>
      <w:r w:rsidR="00A962DD" w:rsidRPr="00C06542">
        <w:rPr>
          <w:lang w:val="fr-FR"/>
        </w:rPr>
        <w:t xml:space="preserve"> afin de disposer d</w:t>
      </w:r>
      <w:r w:rsidR="00533B18" w:rsidRPr="00C06542">
        <w:rPr>
          <w:lang w:val="fr-FR"/>
        </w:rPr>
        <w:t>’</w:t>
      </w:r>
      <w:r w:rsidR="00A962DD" w:rsidRPr="00C06542">
        <w:rPr>
          <w:lang w:val="fr-FR"/>
        </w:rPr>
        <w:t>un système électronique d</w:t>
      </w:r>
      <w:r w:rsidR="00533B18" w:rsidRPr="00C06542">
        <w:rPr>
          <w:lang w:val="fr-FR"/>
        </w:rPr>
        <w:t>’</w:t>
      </w:r>
      <w:r w:rsidR="00A962DD" w:rsidRPr="00C06542">
        <w:rPr>
          <w:lang w:val="fr-FR"/>
        </w:rPr>
        <w:t>enregistrement, de notification et de publication moderne et parfaitement fonctionn</w:t>
      </w:r>
      <w:r w:rsidR="00C06542" w:rsidRPr="00C06542">
        <w:rPr>
          <w:lang w:val="fr-FR"/>
        </w:rPr>
        <w:t>el.  La</w:t>
      </w:r>
      <w:r w:rsidR="00CB6B71" w:rsidRPr="00C06542">
        <w:rPr>
          <w:lang w:val="fr-FR"/>
        </w:rPr>
        <w:t xml:space="preserve"> délégation a rappelé l</w:t>
      </w:r>
      <w:r w:rsidR="00533B18" w:rsidRPr="00C06542">
        <w:rPr>
          <w:lang w:val="fr-FR"/>
        </w:rPr>
        <w:t>’</w:t>
      </w:r>
      <w:r w:rsidR="00CB6B71" w:rsidRPr="00C06542">
        <w:rPr>
          <w:lang w:val="fr-FR"/>
        </w:rPr>
        <w:t>importance d</w:t>
      </w:r>
      <w:r w:rsidR="00533B18" w:rsidRPr="00C06542">
        <w:rPr>
          <w:lang w:val="fr-FR"/>
        </w:rPr>
        <w:t>’</w:t>
      </w:r>
      <w:r w:rsidR="00CB6B71" w:rsidRPr="00C06542">
        <w:rPr>
          <w:lang w:val="fr-FR"/>
        </w:rPr>
        <w:t>offrir une aide technique adéquate aux États membres qui étaient récemment devenus membres du système de Lisbonne</w:t>
      </w:r>
      <w:r w:rsidR="00C369B2" w:rsidRPr="00C06542">
        <w:rPr>
          <w:lang w:val="fr-FR"/>
        </w:rPr>
        <w:t xml:space="preserve"> et plus particulièrement de l</w:t>
      </w:r>
      <w:r w:rsidR="00533B18" w:rsidRPr="00C06542">
        <w:rPr>
          <w:lang w:val="fr-FR"/>
        </w:rPr>
        <w:t>’</w:t>
      </w:r>
      <w:r w:rsidR="00C369B2" w:rsidRPr="00C06542">
        <w:rPr>
          <w:lang w:val="fr-FR"/>
        </w:rPr>
        <w:t>Acte de Genève de l</w:t>
      </w:r>
      <w:r w:rsidR="00533B18" w:rsidRPr="00C06542">
        <w:rPr>
          <w:lang w:val="fr-FR"/>
        </w:rPr>
        <w:t>’</w:t>
      </w:r>
      <w:r w:rsidR="00C369B2" w:rsidRPr="00C06542">
        <w:rPr>
          <w:lang w:val="fr-FR"/>
        </w:rPr>
        <w:t>Arrangement de Lisbonne, ou qui avaient exprimé le souhait de le deven</w:t>
      </w:r>
      <w:r w:rsidR="00C06542" w:rsidRPr="00C06542">
        <w:rPr>
          <w:lang w:val="fr-FR"/>
        </w:rPr>
        <w:t>ir.  Pa</w:t>
      </w:r>
      <w:r w:rsidR="00E12A52" w:rsidRPr="00C06542">
        <w:rPr>
          <w:lang w:val="fr-FR"/>
        </w:rPr>
        <w:t>r ailleurs, elle avait constaté avec satisfaction que le nombre de membres de l</w:t>
      </w:r>
      <w:r w:rsidR="00533B18" w:rsidRPr="00C06542">
        <w:rPr>
          <w:lang w:val="fr-FR"/>
        </w:rPr>
        <w:t>’</w:t>
      </w:r>
      <w:r w:rsidR="00E12A52" w:rsidRPr="00C06542">
        <w:rPr>
          <w:lang w:val="fr-FR"/>
        </w:rPr>
        <w:t>Acte de Genève de l</w:t>
      </w:r>
      <w:r w:rsidR="00533B18" w:rsidRPr="00C06542">
        <w:rPr>
          <w:lang w:val="fr-FR"/>
        </w:rPr>
        <w:t>’</w:t>
      </w:r>
      <w:r w:rsidR="00E12A52" w:rsidRPr="00C06542">
        <w:rPr>
          <w:lang w:val="fr-FR"/>
        </w:rPr>
        <w:t>Arrangement de Lisbonne n</w:t>
      </w:r>
      <w:r w:rsidR="00533B18" w:rsidRPr="00C06542">
        <w:rPr>
          <w:lang w:val="fr-FR"/>
        </w:rPr>
        <w:t>’</w:t>
      </w:r>
      <w:r w:rsidR="00E12A52" w:rsidRPr="00C06542">
        <w:rPr>
          <w:lang w:val="fr-FR"/>
        </w:rPr>
        <w:t>avait cessé d</w:t>
      </w:r>
      <w:r w:rsidR="00533B18" w:rsidRPr="00C06542">
        <w:rPr>
          <w:lang w:val="fr-FR"/>
        </w:rPr>
        <w:t>’</w:t>
      </w:r>
      <w:r w:rsidR="00E12A52" w:rsidRPr="00C06542">
        <w:rPr>
          <w:lang w:val="fr-FR"/>
        </w:rPr>
        <w:t>augmenter au cours de l</w:t>
      </w:r>
      <w:r w:rsidR="00533B18" w:rsidRPr="00C06542">
        <w:rPr>
          <w:lang w:val="fr-FR"/>
        </w:rPr>
        <w:t>’</w:t>
      </w:r>
      <w:r w:rsidR="00E12A52" w:rsidRPr="00C06542">
        <w:rPr>
          <w:lang w:val="fr-FR"/>
        </w:rPr>
        <w:t xml:space="preserve">année </w:t>
      </w:r>
      <w:r w:rsidR="003718BC" w:rsidRPr="00C06542">
        <w:rPr>
          <w:lang w:val="fr-FR"/>
        </w:rPr>
        <w:t>précédente et, à</w:t>
      </w:r>
      <w:r w:rsidR="00DF6FFD" w:rsidRPr="00C06542">
        <w:rPr>
          <w:lang w:val="fr-FR"/>
        </w:rPr>
        <w:t xml:space="preserve"> </w:t>
      </w:r>
      <w:r w:rsidR="00E12A52" w:rsidRPr="00C06542">
        <w:rPr>
          <w:lang w:val="fr-FR"/>
        </w:rPr>
        <w:t xml:space="preserve">cet égard, </w:t>
      </w:r>
      <w:r w:rsidR="001B431F" w:rsidRPr="00C06542">
        <w:rPr>
          <w:lang w:val="fr-FR"/>
        </w:rPr>
        <w:t>elle s</w:t>
      </w:r>
      <w:r w:rsidR="00533B18" w:rsidRPr="00C06542">
        <w:rPr>
          <w:lang w:val="fr-FR"/>
        </w:rPr>
        <w:t>’</w:t>
      </w:r>
      <w:r w:rsidR="001B431F" w:rsidRPr="00C06542">
        <w:rPr>
          <w:lang w:val="fr-FR"/>
        </w:rPr>
        <w:t>est réjouie de l</w:t>
      </w:r>
      <w:r w:rsidR="00533B18" w:rsidRPr="00C06542">
        <w:rPr>
          <w:lang w:val="fr-FR"/>
        </w:rPr>
        <w:t>’</w:t>
      </w:r>
      <w:r w:rsidR="001B431F" w:rsidRPr="00C06542">
        <w:rPr>
          <w:lang w:val="fr-FR"/>
        </w:rPr>
        <w:t xml:space="preserve">adhésion de </w:t>
      </w:r>
      <w:r w:rsidR="00D07DE7" w:rsidRPr="00C06542">
        <w:rPr>
          <w:lang w:val="fr-FR"/>
        </w:rPr>
        <w:t>l</w:t>
      </w:r>
      <w:r w:rsidR="00533B18" w:rsidRPr="00C06542">
        <w:rPr>
          <w:lang w:val="fr-FR"/>
        </w:rPr>
        <w:t>’</w:t>
      </w:r>
      <w:r w:rsidR="00D07DE7" w:rsidRPr="00C06542">
        <w:rPr>
          <w:lang w:val="fr-FR"/>
        </w:rPr>
        <w:t>Organisation africaine de la propriété intellectuelle (OAPI), qui était la deuxième organisation intergouvernementale à rejoindre le système de Lisbon</w:t>
      </w:r>
      <w:r w:rsidR="00C06542" w:rsidRPr="00C06542">
        <w:rPr>
          <w:lang w:val="fr-FR"/>
        </w:rPr>
        <w:t>ne.  La</w:t>
      </w:r>
      <w:r w:rsidR="00B54165" w:rsidRPr="00C06542">
        <w:rPr>
          <w:lang w:val="fr-FR"/>
        </w:rPr>
        <w:t xml:space="preserve"> délégation estimait que l</w:t>
      </w:r>
      <w:r w:rsidR="00533B18" w:rsidRPr="00C06542">
        <w:rPr>
          <w:lang w:val="fr-FR"/>
        </w:rPr>
        <w:t>’</w:t>
      </w:r>
      <w:r w:rsidR="00B54165" w:rsidRPr="00C06542">
        <w:rPr>
          <w:lang w:val="fr-FR"/>
        </w:rPr>
        <w:t xml:space="preserve">arrivée de 17 nouveaux pays africains constituait un signal politique fort </w:t>
      </w:r>
      <w:r w:rsidR="007F6A97" w:rsidRPr="00C06542">
        <w:rPr>
          <w:lang w:val="fr-FR"/>
        </w:rPr>
        <w:t>témoignant de l</w:t>
      </w:r>
      <w:r w:rsidR="00533B18" w:rsidRPr="00C06542">
        <w:rPr>
          <w:lang w:val="fr-FR"/>
        </w:rPr>
        <w:t>’</w:t>
      </w:r>
      <w:r w:rsidR="007F6A97" w:rsidRPr="00C06542">
        <w:rPr>
          <w:lang w:val="fr-FR"/>
        </w:rPr>
        <w:t>intérêt croissant accordé au systè</w:t>
      </w:r>
      <w:r w:rsidR="00C06542" w:rsidRPr="00C06542">
        <w:rPr>
          <w:lang w:val="fr-FR"/>
        </w:rPr>
        <w:t>me.  Si</w:t>
      </w:r>
      <w:r w:rsidR="007F6A97" w:rsidRPr="00C06542">
        <w:rPr>
          <w:lang w:val="fr-FR"/>
        </w:rPr>
        <w:t xml:space="preserve"> la délégation s</w:t>
      </w:r>
      <w:r w:rsidR="00533B18" w:rsidRPr="00C06542">
        <w:rPr>
          <w:lang w:val="fr-FR"/>
        </w:rPr>
        <w:t>’</w:t>
      </w:r>
      <w:r w:rsidR="007F6A97" w:rsidRPr="00C06542">
        <w:rPr>
          <w:lang w:val="fr-FR"/>
        </w:rPr>
        <w:t>est aussi réjouie de l</w:t>
      </w:r>
      <w:r w:rsidR="00533B18" w:rsidRPr="00C06542">
        <w:rPr>
          <w:lang w:val="fr-FR"/>
        </w:rPr>
        <w:t>’</w:t>
      </w:r>
      <w:r w:rsidR="007F6A97" w:rsidRPr="00C06542">
        <w:rPr>
          <w:lang w:val="fr-FR"/>
        </w:rPr>
        <w:t xml:space="preserve">adhésion récente </w:t>
      </w:r>
      <w:r w:rsidR="00D1678B" w:rsidRPr="00C06542">
        <w:rPr>
          <w:lang w:val="fr-FR"/>
        </w:rPr>
        <w:t>de la Tunisie, elle a exprimé de graves préoccupations concernant l</w:t>
      </w:r>
      <w:r w:rsidR="00533B18" w:rsidRPr="00C06542">
        <w:rPr>
          <w:lang w:val="fr-FR"/>
        </w:rPr>
        <w:t>’</w:t>
      </w:r>
      <w:r w:rsidR="00D1678B" w:rsidRPr="00C06542">
        <w:rPr>
          <w:lang w:val="fr-FR"/>
        </w:rPr>
        <w:t>adhésion récente de la Fédération de Russie à l</w:t>
      </w:r>
      <w:r w:rsidR="00533B18" w:rsidRPr="00C06542">
        <w:rPr>
          <w:lang w:val="fr-FR"/>
        </w:rPr>
        <w:t>’</w:t>
      </w:r>
      <w:r w:rsidR="00D1678B" w:rsidRPr="00C06542">
        <w:rPr>
          <w:lang w:val="fr-FR"/>
        </w:rPr>
        <w:t>Acte de Genève de l</w:t>
      </w:r>
      <w:r w:rsidR="00533B18" w:rsidRPr="00C06542">
        <w:rPr>
          <w:lang w:val="fr-FR"/>
        </w:rPr>
        <w:t>’</w:t>
      </w:r>
      <w:r w:rsidR="00D1678B" w:rsidRPr="00C06542">
        <w:rPr>
          <w:lang w:val="fr-FR"/>
        </w:rPr>
        <w:t>Arrangement de Lisbon</w:t>
      </w:r>
      <w:r w:rsidR="00C06542" w:rsidRPr="00C06542">
        <w:rPr>
          <w:lang w:val="fr-FR"/>
        </w:rPr>
        <w:t>ne.  En</w:t>
      </w:r>
      <w:r w:rsidR="00E444E0" w:rsidRPr="00C06542">
        <w:rPr>
          <w:lang w:val="fr-FR"/>
        </w:rPr>
        <w:t xml:space="preserve"> effet, tant que la Fédération de Russie ne faisait pas machine arrière pour respecter les principes de la Charte des </w:t>
      </w:r>
      <w:r w:rsidR="00533B18" w:rsidRPr="00C06542">
        <w:rPr>
          <w:lang w:val="fr-FR"/>
        </w:rPr>
        <w:t>Nations Unies</w:t>
      </w:r>
      <w:r w:rsidR="00E444E0" w:rsidRPr="00C06542">
        <w:rPr>
          <w:lang w:val="fr-FR"/>
        </w:rPr>
        <w:t xml:space="preserve"> et ses obligations internationales, </w:t>
      </w:r>
      <w:r w:rsidR="00C06643" w:rsidRPr="00C06542">
        <w:rPr>
          <w:lang w:val="fr-FR"/>
        </w:rPr>
        <w:t>il n</w:t>
      </w:r>
      <w:r w:rsidR="00533B18" w:rsidRPr="00C06542">
        <w:rPr>
          <w:lang w:val="fr-FR"/>
        </w:rPr>
        <w:t>’</w:t>
      </w:r>
      <w:r w:rsidR="00C06643" w:rsidRPr="00C06542">
        <w:rPr>
          <w:lang w:val="fr-FR"/>
        </w:rPr>
        <w:t xml:space="preserve">était manifestement plus possible de </w:t>
      </w:r>
      <w:r w:rsidR="00D574CA" w:rsidRPr="00C06542">
        <w:rPr>
          <w:lang w:val="fr-FR"/>
        </w:rPr>
        <w:t xml:space="preserve">mener des activités </w:t>
      </w:r>
      <w:r w:rsidR="00BF0FAC" w:rsidRPr="00C06542">
        <w:rPr>
          <w:lang w:val="fr-FR"/>
        </w:rPr>
        <w:t>courantes</w:t>
      </w:r>
      <w:r w:rsidR="00D574CA" w:rsidRPr="00C06542">
        <w:rPr>
          <w:lang w:val="fr-FR"/>
        </w:rPr>
        <w:t xml:space="preserve"> </w:t>
      </w:r>
      <w:r w:rsidR="00C06643" w:rsidRPr="00C06542">
        <w:rPr>
          <w:lang w:val="fr-FR"/>
        </w:rPr>
        <w:t xml:space="preserve">avec </w:t>
      </w:r>
      <w:r w:rsidR="00674FAB" w:rsidRPr="00C06542">
        <w:rPr>
          <w:lang w:val="fr-FR"/>
        </w:rPr>
        <w:t>elle</w:t>
      </w:r>
      <w:r w:rsidR="00C06643" w:rsidRPr="00C06542">
        <w:rPr>
          <w:lang w:val="fr-FR"/>
        </w:rPr>
        <w:t xml:space="preserve"> au sein des </w:t>
      </w:r>
      <w:r w:rsidR="00533B18" w:rsidRPr="00C06542">
        <w:rPr>
          <w:lang w:val="fr-FR"/>
        </w:rPr>
        <w:t>Nations Unies</w:t>
      </w:r>
      <w:r w:rsidR="00C06643" w:rsidRPr="00C06542">
        <w:rPr>
          <w:lang w:val="fr-FR"/>
        </w:rPr>
        <w:t xml:space="preserve"> et d</w:t>
      </w:r>
      <w:r w:rsidR="00533B18" w:rsidRPr="00C06542">
        <w:rPr>
          <w:lang w:val="fr-FR"/>
        </w:rPr>
        <w:t>’</w:t>
      </w:r>
      <w:r w:rsidR="00C06643" w:rsidRPr="00C06542">
        <w:rPr>
          <w:lang w:val="fr-FR"/>
        </w:rPr>
        <w:t>autres forums multilatéra</w:t>
      </w:r>
      <w:r w:rsidR="00C06542" w:rsidRPr="00C06542">
        <w:rPr>
          <w:lang w:val="fr-FR"/>
        </w:rPr>
        <w:t>ux.  So</w:t>
      </w:r>
      <w:r w:rsidR="003718BC" w:rsidRPr="00C06542">
        <w:rPr>
          <w:lang w:val="fr-FR"/>
        </w:rPr>
        <w:t>ulignant</w:t>
      </w:r>
      <w:r w:rsidR="00DC580D" w:rsidRPr="00C06542">
        <w:rPr>
          <w:lang w:val="fr-FR"/>
        </w:rPr>
        <w:t xml:space="preserve"> que la Fédération de Russie portait atteinte à l</w:t>
      </w:r>
      <w:r w:rsidR="00533B18" w:rsidRPr="00C06542">
        <w:rPr>
          <w:lang w:val="fr-FR"/>
        </w:rPr>
        <w:t>’</w:t>
      </w:r>
      <w:r w:rsidR="00DC580D" w:rsidRPr="00C06542">
        <w:rPr>
          <w:lang w:val="fr-FR"/>
        </w:rPr>
        <w:t>ordre juridique international par son agression militaire de l</w:t>
      </w:r>
      <w:r w:rsidR="00533B18" w:rsidRPr="00C06542">
        <w:rPr>
          <w:lang w:val="fr-FR"/>
        </w:rPr>
        <w:t>’</w:t>
      </w:r>
      <w:r w:rsidR="00DC580D" w:rsidRPr="00C06542">
        <w:rPr>
          <w:lang w:val="fr-FR"/>
        </w:rPr>
        <w:t xml:space="preserve">Ukraine, </w:t>
      </w:r>
      <w:r w:rsidR="00016627" w:rsidRPr="00C06542">
        <w:rPr>
          <w:lang w:val="fr-FR"/>
        </w:rPr>
        <w:t>la délégation a exprimé sa solidarité avec l</w:t>
      </w:r>
      <w:r w:rsidR="00533B18" w:rsidRPr="00C06542">
        <w:rPr>
          <w:lang w:val="fr-FR"/>
        </w:rPr>
        <w:t>’</w:t>
      </w:r>
      <w:r w:rsidR="00016627" w:rsidRPr="00C06542">
        <w:rPr>
          <w:lang w:val="fr-FR"/>
        </w:rPr>
        <w:t>Ukraine et son soutien à la souveraineté, l</w:t>
      </w:r>
      <w:r w:rsidR="00533B18" w:rsidRPr="00C06542">
        <w:rPr>
          <w:lang w:val="fr-FR"/>
        </w:rPr>
        <w:t>’</w:t>
      </w:r>
      <w:r w:rsidR="00016627" w:rsidRPr="00C06542">
        <w:rPr>
          <w:lang w:val="fr-FR"/>
        </w:rPr>
        <w:t>indépendance et l</w:t>
      </w:r>
      <w:r w:rsidR="00533B18" w:rsidRPr="00C06542">
        <w:rPr>
          <w:lang w:val="fr-FR"/>
        </w:rPr>
        <w:t>’</w:t>
      </w:r>
      <w:r w:rsidR="00016627" w:rsidRPr="00C06542">
        <w:rPr>
          <w:lang w:val="fr-FR"/>
        </w:rPr>
        <w:t>intégrité territoriale de ce pays dans ses frontières reconnues à l</w:t>
      </w:r>
      <w:r w:rsidR="00533B18" w:rsidRPr="00C06542">
        <w:rPr>
          <w:lang w:val="fr-FR"/>
        </w:rPr>
        <w:t>’</w:t>
      </w:r>
      <w:r w:rsidR="00016627" w:rsidRPr="00C06542">
        <w:rPr>
          <w:lang w:val="fr-FR"/>
        </w:rPr>
        <w:t>échelle internationale, ainsi qu</w:t>
      </w:r>
      <w:r w:rsidR="00533B18" w:rsidRPr="00C06542">
        <w:rPr>
          <w:lang w:val="fr-FR"/>
        </w:rPr>
        <w:t>’</w:t>
      </w:r>
      <w:r w:rsidR="00016627" w:rsidRPr="00C06542">
        <w:rPr>
          <w:lang w:val="fr-FR"/>
        </w:rPr>
        <w:t>à son droit inhérent de se défendre contre l</w:t>
      </w:r>
      <w:r w:rsidR="00533B18" w:rsidRPr="00C06542">
        <w:rPr>
          <w:lang w:val="fr-FR"/>
        </w:rPr>
        <w:t>’</w:t>
      </w:r>
      <w:r w:rsidR="00016627" w:rsidRPr="00C06542">
        <w:rPr>
          <w:lang w:val="fr-FR"/>
        </w:rPr>
        <w:t xml:space="preserve">agression </w:t>
      </w:r>
      <w:r w:rsidR="003718BC" w:rsidRPr="00C06542">
        <w:rPr>
          <w:lang w:val="fr-FR"/>
        </w:rPr>
        <w:t>de la Fédération de Russ</w:t>
      </w:r>
      <w:r w:rsidR="00C06542" w:rsidRPr="00C06542">
        <w:rPr>
          <w:lang w:val="fr-FR"/>
        </w:rPr>
        <w:t>ie.  El</w:t>
      </w:r>
      <w:r w:rsidR="00030C3B" w:rsidRPr="00C06542">
        <w:rPr>
          <w:lang w:val="fr-FR"/>
        </w:rPr>
        <w:t>le a appelé la Fédération de Russie à mettre immédiatement fin à toutes ses atteintes au droit international</w:t>
      </w:r>
      <w:r w:rsidR="00837A96" w:rsidRPr="00C06542">
        <w:rPr>
          <w:lang w:val="fr-FR"/>
        </w:rPr>
        <w:t xml:space="preserve"> et</w:t>
      </w:r>
      <w:r w:rsidR="00030C3B" w:rsidRPr="00C06542">
        <w:rPr>
          <w:lang w:val="fr-FR"/>
        </w:rPr>
        <w:t xml:space="preserve"> à son agression militaire illégale de l</w:t>
      </w:r>
      <w:r w:rsidR="00533B18" w:rsidRPr="00C06542">
        <w:rPr>
          <w:lang w:val="fr-FR"/>
        </w:rPr>
        <w:t>’</w:t>
      </w:r>
      <w:r w:rsidR="00030C3B" w:rsidRPr="00C06542">
        <w:rPr>
          <w:lang w:val="fr-FR"/>
        </w:rPr>
        <w:t>Ukraine</w:t>
      </w:r>
      <w:r w:rsidR="00837A96" w:rsidRPr="00C06542">
        <w:rPr>
          <w:lang w:val="fr-FR"/>
        </w:rPr>
        <w:t>,</w:t>
      </w:r>
      <w:r w:rsidR="00030C3B" w:rsidRPr="00C06542">
        <w:rPr>
          <w:lang w:val="fr-FR"/>
        </w:rPr>
        <w:t xml:space="preserve"> à retirer immédiatement, entièrement et sans condition </w:t>
      </w:r>
      <w:r w:rsidR="00837A96" w:rsidRPr="00C06542">
        <w:rPr>
          <w:lang w:val="fr-FR"/>
        </w:rPr>
        <w:t xml:space="preserve">toutes </w:t>
      </w:r>
      <w:r w:rsidR="00030C3B" w:rsidRPr="00C06542">
        <w:rPr>
          <w:lang w:val="fr-FR"/>
        </w:rPr>
        <w:t>ses forces militaires</w:t>
      </w:r>
      <w:r w:rsidR="00837A96" w:rsidRPr="00C06542">
        <w:rPr>
          <w:lang w:val="fr-FR"/>
        </w:rPr>
        <w:t xml:space="preserve"> et </w:t>
      </w:r>
      <w:r w:rsidR="00D23D0A" w:rsidRPr="00C06542">
        <w:rPr>
          <w:lang w:val="fr-FR"/>
        </w:rPr>
        <w:t>les forces agissant pour son compte</w:t>
      </w:r>
      <w:r w:rsidR="00837A96" w:rsidRPr="00C06542">
        <w:rPr>
          <w:lang w:val="fr-FR"/>
        </w:rPr>
        <w:t xml:space="preserve"> de l</w:t>
      </w:r>
      <w:r w:rsidR="00533B18" w:rsidRPr="00C06542">
        <w:rPr>
          <w:lang w:val="fr-FR"/>
        </w:rPr>
        <w:t>’</w:t>
      </w:r>
      <w:r w:rsidR="00837A96" w:rsidRPr="00C06542">
        <w:rPr>
          <w:lang w:val="fr-FR"/>
        </w:rPr>
        <w:t>ensemble du territoire ukrainien et à respecter pleinement l</w:t>
      </w:r>
      <w:r w:rsidR="00533B18" w:rsidRPr="00C06542">
        <w:rPr>
          <w:lang w:val="fr-FR"/>
        </w:rPr>
        <w:t>’</w:t>
      </w:r>
      <w:r w:rsidR="00837A96" w:rsidRPr="00C06542">
        <w:rPr>
          <w:lang w:val="fr-FR"/>
        </w:rPr>
        <w:t>intégrité territoriale, la souveraineté et l</w:t>
      </w:r>
      <w:r w:rsidR="00533B18" w:rsidRPr="00C06542">
        <w:rPr>
          <w:lang w:val="fr-FR"/>
        </w:rPr>
        <w:t>’</w:t>
      </w:r>
      <w:r w:rsidR="00837A96" w:rsidRPr="00C06542">
        <w:rPr>
          <w:lang w:val="fr-FR"/>
        </w:rPr>
        <w:t>indépendance de ce pa</w:t>
      </w:r>
      <w:r w:rsidR="00C06542" w:rsidRPr="00C06542">
        <w:rPr>
          <w:lang w:val="fr-FR"/>
        </w:rPr>
        <w:t>ys.  En</w:t>
      </w:r>
      <w:r w:rsidR="003718BC" w:rsidRPr="00C06542">
        <w:rPr>
          <w:lang w:val="fr-FR"/>
        </w:rPr>
        <w:t xml:space="preserve"> conclusion, la délégation a réitéré le soutien et la solidarité sans faille de l</w:t>
      </w:r>
      <w:r w:rsidR="00533B18" w:rsidRPr="00C06542">
        <w:rPr>
          <w:lang w:val="fr-FR"/>
        </w:rPr>
        <w:t>’</w:t>
      </w:r>
      <w:r w:rsidR="003718BC" w:rsidRPr="00C06542">
        <w:rPr>
          <w:lang w:val="fr-FR"/>
        </w:rPr>
        <w:t xml:space="preserve">Union européenne </w:t>
      </w:r>
      <w:r w:rsidR="00533B18" w:rsidRPr="00C06542">
        <w:rPr>
          <w:lang w:val="fr-FR"/>
        </w:rPr>
        <w:t>à l’égard</w:t>
      </w:r>
      <w:r w:rsidR="003718BC" w:rsidRPr="00C06542">
        <w:rPr>
          <w:lang w:val="fr-FR"/>
        </w:rPr>
        <w:t xml:space="preserve"> de l</w:t>
      </w:r>
      <w:r w:rsidR="00533B18" w:rsidRPr="00C06542">
        <w:rPr>
          <w:lang w:val="fr-FR"/>
        </w:rPr>
        <w:t>’</w:t>
      </w:r>
      <w:r w:rsidR="003718BC" w:rsidRPr="00C06542">
        <w:rPr>
          <w:lang w:val="fr-FR"/>
        </w:rPr>
        <w:t>Ukraine et du peuple ukrainien.</w:t>
      </w:r>
    </w:p>
    <w:p w14:paraId="314FF41D" w14:textId="2057D519" w:rsidR="00837A96" w:rsidRPr="00C06542" w:rsidRDefault="00AA3A51" w:rsidP="00017C33">
      <w:pPr>
        <w:pStyle w:val="ONUMFS"/>
        <w:rPr>
          <w:lang w:val="fr-FR"/>
        </w:rPr>
      </w:pPr>
      <w:r w:rsidRPr="00C06542">
        <w:rPr>
          <w:lang w:val="fr-FR"/>
        </w:rPr>
        <w:t>La délégation de la Fédération de Russie a déclaré que l</w:t>
      </w:r>
      <w:r w:rsidR="00533B18" w:rsidRPr="00C06542">
        <w:rPr>
          <w:lang w:val="fr-FR"/>
        </w:rPr>
        <w:t>’</w:t>
      </w:r>
      <w:r w:rsidRPr="00C06542">
        <w:rPr>
          <w:lang w:val="fr-FR"/>
        </w:rPr>
        <w:t>on pouvait difficilement imaginer une question plus technique que le sujet en cours d</w:t>
      </w:r>
      <w:r w:rsidR="00533B18" w:rsidRPr="00C06542">
        <w:rPr>
          <w:lang w:val="fr-FR"/>
        </w:rPr>
        <w:t>’</w:t>
      </w:r>
      <w:r w:rsidRPr="00C06542">
        <w:rPr>
          <w:lang w:val="fr-FR"/>
        </w:rPr>
        <w:t xml:space="preserve">examen, </w:t>
      </w:r>
      <w:r w:rsidR="00533B18" w:rsidRPr="00C06542">
        <w:rPr>
          <w:lang w:val="fr-FR"/>
        </w:rPr>
        <w:t>à savoir</w:t>
      </w:r>
      <w:r w:rsidRPr="00C06542">
        <w:rPr>
          <w:lang w:val="fr-FR"/>
        </w:rPr>
        <w:t xml:space="preserve"> l</w:t>
      </w:r>
      <w:r w:rsidR="00533B18" w:rsidRPr="00C06542">
        <w:rPr>
          <w:lang w:val="fr-FR"/>
        </w:rPr>
        <w:t>’</w:t>
      </w:r>
      <w:r w:rsidRPr="00C06542">
        <w:rPr>
          <w:lang w:val="fr-FR"/>
        </w:rPr>
        <w:t>adoption des propositions de modification du règlement d</w:t>
      </w:r>
      <w:r w:rsidR="00533B18" w:rsidRPr="00C06542">
        <w:rPr>
          <w:lang w:val="fr-FR"/>
        </w:rPr>
        <w:t>’</w:t>
      </w:r>
      <w:r w:rsidRPr="00C06542">
        <w:rPr>
          <w:lang w:val="fr-FR"/>
        </w:rPr>
        <w:t>exécution</w:t>
      </w:r>
      <w:r w:rsidR="00394C82" w:rsidRPr="00C06542">
        <w:rPr>
          <w:lang w:val="fr-FR"/>
        </w:rPr>
        <w:t xml:space="preserve"> comm</w:t>
      </w:r>
      <w:r w:rsidR="00C06542" w:rsidRPr="00C06542">
        <w:rPr>
          <w:lang w:val="fr-FR"/>
        </w:rPr>
        <w:t>un.  El</w:t>
      </w:r>
      <w:r w:rsidR="00E56E81" w:rsidRPr="00C06542">
        <w:rPr>
          <w:lang w:val="fr-FR"/>
        </w:rPr>
        <w:t xml:space="preserve">le a déploré que les </w:t>
      </w:r>
      <w:r w:rsidR="00E56E81" w:rsidRPr="00C06542">
        <w:rPr>
          <w:lang w:val="fr-FR"/>
        </w:rPr>
        <w:lastRenderedPageBreak/>
        <w:t xml:space="preserve">délégations présentes dans la salle aient </w:t>
      </w:r>
      <w:r w:rsidR="004F1417" w:rsidRPr="00C06542">
        <w:rPr>
          <w:lang w:val="fr-FR"/>
        </w:rPr>
        <w:t xml:space="preserve">pourtant </w:t>
      </w:r>
      <w:r w:rsidR="00E56E81" w:rsidRPr="00C06542">
        <w:rPr>
          <w:lang w:val="fr-FR"/>
        </w:rPr>
        <w:t>été de nouveau forcées d</w:t>
      </w:r>
      <w:r w:rsidR="00533B18" w:rsidRPr="00C06542">
        <w:rPr>
          <w:lang w:val="fr-FR"/>
        </w:rPr>
        <w:t>’</w:t>
      </w:r>
      <w:r w:rsidR="00E56E81" w:rsidRPr="00C06542">
        <w:rPr>
          <w:lang w:val="fr-FR"/>
        </w:rPr>
        <w:t xml:space="preserve">écouter des déclarations </w:t>
      </w:r>
      <w:r w:rsidR="006C38D4" w:rsidRPr="00C06542">
        <w:rPr>
          <w:lang w:val="fr-FR"/>
        </w:rPr>
        <w:t>antirusses absurd</w:t>
      </w:r>
      <w:r w:rsidR="00C06542" w:rsidRPr="00C06542">
        <w:rPr>
          <w:lang w:val="fr-FR"/>
        </w:rPr>
        <w:t>es.  El</w:t>
      </w:r>
      <w:r w:rsidR="00E56E81" w:rsidRPr="00C06542">
        <w:rPr>
          <w:lang w:val="fr-FR"/>
        </w:rPr>
        <w:t xml:space="preserve">le a </w:t>
      </w:r>
      <w:r w:rsidR="006C38D4" w:rsidRPr="00C06542">
        <w:rPr>
          <w:lang w:val="fr-FR"/>
        </w:rPr>
        <w:t>non seulement</w:t>
      </w:r>
      <w:r w:rsidR="00AC6E3C" w:rsidRPr="00C06542">
        <w:rPr>
          <w:lang w:val="fr-FR"/>
        </w:rPr>
        <w:t xml:space="preserve"> </w:t>
      </w:r>
      <w:r w:rsidR="00E43C8E" w:rsidRPr="00C06542">
        <w:rPr>
          <w:lang w:val="fr-FR"/>
        </w:rPr>
        <w:t>déploré le manque de respect envers le mandat de l</w:t>
      </w:r>
      <w:r w:rsidR="00533B18" w:rsidRPr="00C06542">
        <w:rPr>
          <w:lang w:val="fr-FR"/>
        </w:rPr>
        <w:t>’</w:t>
      </w:r>
      <w:r w:rsidR="00E43C8E" w:rsidRPr="00C06542">
        <w:rPr>
          <w:lang w:val="fr-FR"/>
        </w:rPr>
        <w:t xml:space="preserve">OMPI, </w:t>
      </w:r>
      <w:r w:rsidR="006C38D4" w:rsidRPr="00C06542">
        <w:rPr>
          <w:lang w:val="fr-FR"/>
        </w:rPr>
        <w:t>mais aussi</w:t>
      </w:r>
      <w:r w:rsidR="00E43C8E" w:rsidRPr="00C06542">
        <w:rPr>
          <w:lang w:val="fr-FR"/>
        </w:rPr>
        <w:t xml:space="preserve"> l</w:t>
      </w:r>
      <w:r w:rsidR="00533B18" w:rsidRPr="00C06542">
        <w:rPr>
          <w:lang w:val="fr-FR"/>
        </w:rPr>
        <w:t>’</w:t>
      </w:r>
      <w:r w:rsidR="00E43C8E" w:rsidRPr="00C06542">
        <w:rPr>
          <w:lang w:val="fr-FR"/>
        </w:rPr>
        <w:t>absence de dialogue civilisé et le recours à des initiatives destructrices qui compromettaient le système de propriété intellectuelle mis en place par l</w:t>
      </w:r>
      <w:r w:rsidR="00533B18" w:rsidRPr="00C06542">
        <w:rPr>
          <w:lang w:val="fr-FR"/>
        </w:rPr>
        <w:t>’</w:t>
      </w:r>
      <w:r w:rsidR="00E43C8E" w:rsidRPr="00C06542">
        <w:rPr>
          <w:lang w:val="fr-FR"/>
        </w:rPr>
        <w:t>OMPI au fil des décenni</w:t>
      </w:r>
      <w:r w:rsidR="00C06542" w:rsidRPr="00C06542">
        <w:rPr>
          <w:lang w:val="fr-FR"/>
        </w:rPr>
        <w:t>es.  El</w:t>
      </w:r>
      <w:r w:rsidR="00B81B5A" w:rsidRPr="00C06542">
        <w:rPr>
          <w:lang w:val="fr-FR"/>
        </w:rPr>
        <w:t>le a souligné que l</w:t>
      </w:r>
      <w:r w:rsidR="00533B18" w:rsidRPr="00C06542">
        <w:rPr>
          <w:lang w:val="fr-FR"/>
        </w:rPr>
        <w:t>’</w:t>
      </w:r>
      <w:r w:rsidR="00B81B5A" w:rsidRPr="00C06542">
        <w:rPr>
          <w:lang w:val="fr-FR"/>
        </w:rPr>
        <w:t>on assistait</w:t>
      </w:r>
      <w:r w:rsidR="006C38D4" w:rsidRPr="00C06542">
        <w:rPr>
          <w:lang w:val="fr-FR"/>
        </w:rPr>
        <w:t xml:space="preserve"> actuellement</w:t>
      </w:r>
      <w:r w:rsidR="00B81B5A" w:rsidRPr="00C06542">
        <w:rPr>
          <w:lang w:val="fr-FR"/>
        </w:rPr>
        <w:t xml:space="preserve"> à une politisation</w:t>
      </w:r>
      <w:r w:rsidR="006C38D4" w:rsidRPr="00C06542">
        <w:rPr>
          <w:lang w:val="fr-FR"/>
        </w:rPr>
        <w:t xml:space="preserve"> artificielle des travaux de l</w:t>
      </w:r>
      <w:r w:rsidR="00533B18" w:rsidRPr="00C06542">
        <w:rPr>
          <w:lang w:val="fr-FR"/>
        </w:rPr>
        <w:t>’</w:t>
      </w:r>
      <w:r w:rsidR="00025DFA">
        <w:rPr>
          <w:lang w:val="fr-FR"/>
        </w:rPr>
        <w:t>a</w:t>
      </w:r>
      <w:r w:rsidR="00B81B5A" w:rsidRPr="00C06542">
        <w:rPr>
          <w:lang w:val="fr-FR"/>
        </w:rPr>
        <w:t>ssemblée</w:t>
      </w:r>
      <w:r w:rsidR="002B1614" w:rsidRPr="00C06542">
        <w:rPr>
          <w:lang w:val="fr-FR"/>
        </w:rPr>
        <w:t xml:space="preserve">, et elle comptait par conséquent sur le soutien du Secrétariat </w:t>
      </w:r>
      <w:r w:rsidR="006C38D4" w:rsidRPr="00C06542">
        <w:rPr>
          <w:lang w:val="fr-FR"/>
        </w:rPr>
        <w:t>pour</w:t>
      </w:r>
      <w:r w:rsidR="002B1614" w:rsidRPr="00C06542">
        <w:rPr>
          <w:lang w:val="fr-FR"/>
        </w:rPr>
        <w:t xml:space="preserve"> faire respecter le règlement intérieur dans le ca</w:t>
      </w:r>
      <w:r w:rsidR="00025DFA">
        <w:rPr>
          <w:lang w:val="fr-FR"/>
        </w:rPr>
        <w:t>dre des travaux de la présente a</w:t>
      </w:r>
      <w:r w:rsidR="002B1614" w:rsidRPr="00C06542">
        <w:rPr>
          <w:lang w:val="fr-FR"/>
        </w:rPr>
        <w:t>ssemblée.</w:t>
      </w:r>
    </w:p>
    <w:p w14:paraId="74701327" w14:textId="2954331D" w:rsidR="00556E8E" w:rsidRPr="00C06542" w:rsidRDefault="00BC1411" w:rsidP="00017C33">
      <w:pPr>
        <w:pStyle w:val="ONUMFS"/>
        <w:rPr>
          <w:lang w:val="fr-FR"/>
        </w:rPr>
      </w:pPr>
      <w:r w:rsidRPr="00C06542">
        <w:rPr>
          <w:lang w:val="fr-FR"/>
        </w:rPr>
        <w:t>La délégation de la France s</w:t>
      </w:r>
      <w:r w:rsidR="00533B18" w:rsidRPr="00C06542">
        <w:rPr>
          <w:lang w:val="fr-FR"/>
        </w:rPr>
        <w:t>’</w:t>
      </w:r>
      <w:r w:rsidRPr="00C06542">
        <w:rPr>
          <w:lang w:val="fr-FR"/>
        </w:rPr>
        <w:t xml:space="preserve">est </w:t>
      </w:r>
      <w:r w:rsidR="00976370" w:rsidRPr="00C06542">
        <w:rPr>
          <w:lang w:val="fr-FR"/>
        </w:rPr>
        <w:t xml:space="preserve">associée à </w:t>
      </w:r>
      <w:r w:rsidRPr="00C06542">
        <w:rPr>
          <w:lang w:val="fr-FR"/>
        </w:rPr>
        <w:t>la déclaration de la délégation de l</w:t>
      </w:r>
      <w:r w:rsidR="00533B18" w:rsidRPr="00C06542">
        <w:rPr>
          <w:lang w:val="fr-FR"/>
        </w:rPr>
        <w:t>’</w:t>
      </w:r>
      <w:r w:rsidRPr="00C06542">
        <w:rPr>
          <w:lang w:val="fr-FR"/>
        </w:rPr>
        <w:t>Union européenne et a appuyé les propositions de modification du règlement d</w:t>
      </w:r>
      <w:r w:rsidR="00533B18" w:rsidRPr="00C06542">
        <w:rPr>
          <w:lang w:val="fr-FR"/>
        </w:rPr>
        <w:t>’</w:t>
      </w:r>
      <w:r w:rsidRPr="00C06542">
        <w:rPr>
          <w:lang w:val="fr-FR"/>
        </w:rPr>
        <w:t>exécution</w:t>
      </w:r>
      <w:r w:rsidR="00394C82" w:rsidRPr="00C06542">
        <w:rPr>
          <w:lang w:val="fr-FR"/>
        </w:rPr>
        <w:t xml:space="preserve"> commun</w:t>
      </w:r>
      <w:r w:rsidRPr="00C06542">
        <w:rPr>
          <w:lang w:val="fr-FR"/>
        </w:rPr>
        <w:t xml:space="preserve"> figurant dans le </w:t>
      </w:r>
      <w:r w:rsidR="00533B18" w:rsidRPr="00C06542">
        <w:rPr>
          <w:lang w:val="fr-FR"/>
        </w:rPr>
        <w:t>document</w:t>
      </w:r>
      <w:r w:rsidR="00C24374">
        <w:rPr>
          <w:lang w:val="fr-FR"/>
        </w:rPr>
        <w:t> </w:t>
      </w:r>
      <w:r w:rsidR="00533B18" w:rsidRPr="00C06542">
        <w:rPr>
          <w:lang w:val="fr-FR"/>
        </w:rPr>
        <w:t>LI</w:t>
      </w:r>
      <w:r w:rsidRPr="00C06542">
        <w:rPr>
          <w:lang w:val="fr-FR"/>
        </w:rPr>
        <w:t xml:space="preserve">/A/40/1, et notamment la proposition visant à supprimer la </w:t>
      </w:r>
      <w:r w:rsidR="005D4CBB" w:rsidRPr="00C06542">
        <w:rPr>
          <w:lang w:val="fr-FR"/>
        </w:rPr>
        <w:t>règle 5</w:t>
      </w:r>
      <w:r w:rsidR="002C36B9" w:rsidRPr="00C06542">
        <w:rPr>
          <w:lang w:val="fr-FR"/>
        </w:rPr>
        <w:t>.4) que le groupe de travail avait adoptée par consensus le 26 </w:t>
      </w:r>
      <w:r w:rsidR="005D4CBB" w:rsidRPr="00C06542">
        <w:rPr>
          <w:lang w:val="fr-FR"/>
        </w:rPr>
        <w:t>janvier 20</w:t>
      </w:r>
      <w:r w:rsidR="002C36B9" w:rsidRPr="00C06542">
        <w:rPr>
          <w:lang w:val="fr-FR"/>
        </w:rPr>
        <w:t xml:space="preserve">23.  Elle estimait que ces propositions étaient pragmatiques </w:t>
      </w:r>
      <w:r w:rsidR="0064006B" w:rsidRPr="00C06542">
        <w:rPr>
          <w:lang w:val="fr-FR"/>
        </w:rPr>
        <w:t>et présentaient un réel intérêt pour les membres de l</w:t>
      </w:r>
      <w:r w:rsidR="00533B18" w:rsidRPr="00C06542">
        <w:rPr>
          <w:lang w:val="fr-FR"/>
        </w:rPr>
        <w:t>’</w:t>
      </w:r>
      <w:r w:rsidR="0064006B" w:rsidRPr="00C06542">
        <w:rPr>
          <w:lang w:val="fr-FR"/>
        </w:rPr>
        <w:t xml:space="preserve">Union de Lisbonne car elles </w:t>
      </w:r>
      <w:r w:rsidR="00964794" w:rsidRPr="00C06542">
        <w:rPr>
          <w:lang w:val="fr-FR"/>
        </w:rPr>
        <w:t>simplifiaient les procédures administratives tout en respectant l</w:t>
      </w:r>
      <w:r w:rsidR="00533B18" w:rsidRPr="00C06542">
        <w:rPr>
          <w:lang w:val="fr-FR"/>
        </w:rPr>
        <w:t>’</w:t>
      </w:r>
      <w:r w:rsidR="00964794" w:rsidRPr="00C06542">
        <w:rPr>
          <w:lang w:val="fr-FR"/>
        </w:rPr>
        <w:t>esprit de l</w:t>
      </w:r>
      <w:r w:rsidR="00533B18" w:rsidRPr="00C06542">
        <w:rPr>
          <w:lang w:val="fr-FR"/>
        </w:rPr>
        <w:t>’</w:t>
      </w:r>
      <w:r w:rsidR="00964794" w:rsidRPr="00C06542">
        <w:rPr>
          <w:lang w:val="fr-FR"/>
        </w:rPr>
        <w:t>Acte de Genève de l</w:t>
      </w:r>
      <w:r w:rsidR="00533B18" w:rsidRPr="00C06542">
        <w:rPr>
          <w:lang w:val="fr-FR"/>
        </w:rPr>
        <w:t>’</w:t>
      </w:r>
      <w:r w:rsidR="00964794" w:rsidRPr="00C06542">
        <w:rPr>
          <w:lang w:val="fr-FR"/>
        </w:rPr>
        <w:t>Arrangement de Lisbonne.</w:t>
      </w:r>
    </w:p>
    <w:p w14:paraId="6E565CB9" w14:textId="55FADEA1" w:rsidR="00964794" w:rsidRPr="00C06542" w:rsidRDefault="006C38D4" w:rsidP="00017C33">
      <w:pPr>
        <w:pStyle w:val="ONUMFS"/>
        <w:rPr>
          <w:lang w:val="fr-FR"/>
        </w:rPr>
      </w:pPr>
      <w:r w:rsidRPr="00C06542">
        <w:rPr>
          <w:lang w:val="fr-FR"/>
        </w:rPr>
        <w:t>S</w:t>
      </w:r>
      <w:r w:rsidR="00533B18" w:rsidRPr="00C06542">
        <w:rPr>
          <w:lang w:val="fr-FR"/>
        </w:rPr>
        <w:t>’</w:t>
      </w:r>
      <w:r w:rsidRPr="00C06542">
        <w:rPr>
          <w:lang w:val="fr-FR"/>
        </w:rPr>
        <w:t>associant</w:t>
      </w:r>
      <w:r w:rsidR="00784358" w:rsidRPr="00C06542">
        <w:rPr>
          <w:lang w:val="fr-FR"/>
        </w:rPr>
        <w:t xml:space="preserve"> à la déclaration de la délégation de l</w:t>
      </w:r>
      <w:r w:rsidR="00533B18" w:rsidRPr="00C06542">
        <w:rPr>
          <w:lang w:val="fr-FR"/>
        </w:rPr>
        <w:t>’</w:t>
      </w:r>
      <w:r w:rsidR="00784358" w:rsidRPr="00C06542">
        <w:rPr>
          <w:lang w:val="fr-FR"/>
        </w:rPr>
        <w:t>Union européenne, la délégation du Portugal a estimé qu</w:t>
      </w:r>
      <w:r w:rsidR="00533B18" w:rsidRPr="00C06542">
        <w:rPr>
          <w:lang w:val="fr-FR"/>
        </w:rPr>
        <w:t>’</w:t>
      </w:r>
      <w:r w:rsidR="00784358" w:rsidRPr="00C06542">
        <w:rPr>
          <w:lang w:val="fr-FR"/>
        </w:rPr>
        <w:t xml:space="preserve">une distinction claire entre le patrimoine culturel et </w:t>
      </w:r>
      <w:r w:rsidR="004A335D" w:rsidRPr="00C06542">
        <w:rPr>
          <w:lang w:val="fr-FR"/>
        </w:rPr>
        <w:t>les produits d</w:t>
      </w:r>
      <w:r w:rsidR="00533B18" w:rsidRPr="00C06542">
        <w:rPr>
          <w:lang w:val="fr-FR"/>
        </w:rPr>
        <w:t>’</w:t>
      </w:r>
      <w:r w:rsidR="004A335D" w:rsidRPr="00C06542">
        <w:rPr>
          <w:lang w:val="fr-FR"/>
        </w:rPr>
        <w:t>origine de chaque pays était essentielle pour appuyer la stratégie commerciale de tout pays, région ou entrepri</w:t>
      </w:r>
      <w:r w:rsidR="00C06542" w:rsidRPr="00C06542">
        <w:rPr>
          <w:lang w:val="fr-FR"/>
        </w:rPr>
        <w:t>se.  Da</w:t>
      </w:r>
      <w:r w:rsidR="004A335D" w:rsidRPr="00C06542">
        <w:rPr>
          <w:lang w:val="fr-FR"/>
        </w:rPr>
        <w:t xml:space="preserve">ns ce contexte, elle </w:t>
      </w:r>
      <w:r w:rsidR="00EC0C19" w:rsidRPr="00C06542">
        <w:rPr>
          <w:lang w:val="fr-FR"/>
        </w:rPr>
        <w:t>pensait</w:t>
      </w:r>
      <w:r w:rsidR="004A335D" w:rsidRPr="00C06542">
        <w:rPr>
          <w:lang w:val="fr-FR"/>
        </w:rPr>
        <w:t xml:space="preserve"> que </w:t>
      </w:r>
      <w:r w:rsidR="00EC0C19" w:rsidRPr="00C06542">
        <w:rPr>
          <w:lang w:val="fr-FR"/>
        </w:rPr>
        <w:t>les appellations d</w:t>
      </w:r>
      <w:r w:rsidR="00533B18" w:rsidRPr="00C06542">
        <w:rPr>
          <w:lang w:val="fr-FR"/>
        </w:rPr>
        <w:t>’</w:t>
      </w:r>
      <w:r w:rsidR="00EC0C19" w:rsidRPr="00C06542">
        <w:rPr>
          <w:lang w:val="fr-FR"/>
        </w:rPr>
        <w:t>origine et les indications géographiques jouaient un rôle absolument décisif à l</w:t>
      </w:r>
      <w:r w:rsidR="00533B18" w:rsidRPr="00C06542">
        <w:rPr>
          <w:lang w:val="fr-FR"/>
        </w:rPr>
        <w:t>’</w:t>
      </w:r>
      <w:r w:rsidR="00EC0C19" w:rsidRPr="00C06542">
        <w:rPr>
          <w:lang w:val="fr-FR"/>
        </w:rPr>
        <w:t>échelle internationale et elle était par conséquent convaincue que l</w:t>
      </w:r>
      <w:r w:rsidR="00533B18" w:rsidRPr="00C06542">
        <w:rPr>
          <w:lang w:val="fr-FR"/>
        </w:rPr>
        <w:t>’</w:t>
      </w:r>
      <w:r w:rsidR="00EC0C19" w:rsidRPr="00C06542">
        <w:rPr>
          <w:lang w:val="fr-FR"/>
        </w:rPr>
        <w:t>appui au système de Lisbonne et le développement de celui</w:t>
      </w:r>
      <w:r w:rsidR="00E70D34">
        <w:rPr>
          <w:lang w:val="fr-FR"/>
        </w:rPr>
        <w:noBreakHyphen/>
      </w:r>
      <w:r w:rsidR="00EC0C19" w:rsidRPr="00C06542">
        <w:rPr>
          <w:lang w:val="fr-FR"/>
        </w:rPr>
        <w:t>ci devaient être prioritaires pour l</w:t>
      </w:r>
      <w:r w:rsidR="00533B18" w:rsidRPr="00C06542">
        <w:rPr>
          <w:lang w:val="fr-FR"/>
        </w:rPr>
        <w:t>’</w:t>
      </w:r>
      <w:r w:rsidR="00EC0C19" w:rsidRPr="00C06542">
        <w:rPr>
          <w:lang w:val="fr-FR"/>
        </w:rPr>
        <w:t xml:space="preserve">OMPI.  </w:t>
      </w:r>
      <w:r w:rsidR="00872104" w:rsidRPr="00C06542">
        <w:rPr>
          <w:lang w:val="fr-FR"/>
        </w:rPr>
        <w:t>À cet égard, elle a salué les travaux menés et les progrès accomplis par le groupe de travail, et elle a soutenu les propositions de modification du règlement d</w:t>
      </w:r>
      <w:r w:rsidR="00533B18" w:rsidRPr="00C06542">
        <w:rPr>
          <w:lang w:val="fr-FR"/>
        </w:rPr>
        <w:t>’</w:t>
      </w:r>
      <w:r w:rsidR="00872104" w:rsidRPr="00C06542">
        <w:rPr>
          <w:lang w:val="fr-FR"/>
        </w:rPr>
        <w:t>exécution</w:t>
      </w:r>
      <w:r w:rsidR="00394C82" w:rsidRPr="00C06542">
        <w:rPr>
          <w:lang w:val="fr-FR"/>
        </w:rPr>
        <w:t xml:space="preserve"> commun</w:t>
      </w:r>
      <w:r w:rsidR="00872104" w:rsidRPr="00C06542">
        <w:rPr>
          <w:lang w:val="fr-FR"/>
        </w:rPr>
        <w:t xml:space="preserve"> ainsi que le renforcement du budget et des ressources du système de Lisbon</w:t>
      </w:r>
      <w:r w:rsidR="00C06542" w:rsidRPr="00C06542">
        <w:rPr>
          <w:lang w:val="fr-FR"/>
        </w:rPr>
        <w:t>ne.  En</w:t>
      </w:r>
      <w:r w:rsidR="00872104" w:rsidRPr="00C06542">
        <w:rPr>
          <w:lang w:val="fr-FR"/>
        </w:rPr>
        <w:t>fin, la délégation s</w:t>
      </w:r>
      <w:r w:rsidR="00533B18" w:rsidRPr="00C06542">
        <w:rPr>
          <w:lang w:val="fr-FR"/>
        </w:rPr>
        <w:t>’</w:t>
      </w:r>
      <w:r w:rsidR="00872104" w:rsidRPr="00C06542">
        <w:rPr>
          <w:lang w:val="fr-FR"/>
        </w:rPr>
        <w:t>est réjouie de constater que le nombre de membres du système de Lisbonne augmentait progressivement, et elle a salué en particulier l</w:t>
      </w:r>
      <w:r w:rsidR="00533B18" w:rsidRPr="00C06542">
        <w:rPr>
          <w:lang w:val="fr-FR"/>
        </w:rPr>
        <w:t>’</w:t>
      </w:r>
      <w:r w:rsidR="00872104" w:rsidRPr="00C06542">
        <w:rPr>
          <w:lang w:val="fr-FR"/>
        </w:rPr>
        <w:t>adhésion de l</w:t>
      </w:r>
      <w:r w:rsidR="00533B18" w:rsidRPr="00C06542">
        <w:rPr>
          <w:lang w:val="fr-FR"/>
        </w:rPr>
        <w:t>’</w:t>
      </w:r>
      <w:r w:rsidR="00872104" w:rsidRPr="00C06542">
        <w:rPr>
          <w:lang w:val="fr-FR"/>
        </w:rPr>
        <w:t>OAPI et l</w:t>
      </w:r>
      <w:r w:rsidR="00533B18" w:rsidRPr="00C06542">
        <w:rPr>
          <w:lang w:val="fr-FR"/>
        </w:rPr>
        <w:t>’</w:t>
      </w:r>
      <w:r w:rsidR="00872104" w:rsidRPr="00C06542">
        <w:rPr>
          <w:lang w:val="fr-FR"/>
        </w:rPr>
        <w:t>arrivée de 17 nouveaux membres africains.</w:t>
      </w:r>
    </w:p>
    <w:p w14:paraId="72B92252" w14:textId="724A31D2" w:rsidR="00872104" w:rsidRPr="00C06542" w:rsidRDefault="00787063" w:rsidP="00017C33">
      <w:pPr>
        <w:pStyle w:val="ONUMFS"/>
        <w:rPr>
          <w:lang w:val="fr-FR"/>
        </w:rPr>
      </w:pPr>
      <w:r w:rsidRPr="00C06542">
        <w:rPr>
          <w:lang w:val="fr-FR"/>
        </w:rPr>
        <w:t xml:space="preserve">La </w:t>
      </w:r>
      <w:r w:rsidR="00240102" w:rsidRPr="00C06542">
        <w:rPr>
          <w:lang w:val="fr-FR"/>
        </w:rPr>
        <w:t>délégation des États</w:t>
      </w:r>
      <w:r w:rsidR="00E70D34">
        <w:rPr>
          <w:lang w:val="fr-FR"/>
        </w:rPr>
        <w:noBreakHyphen/>
      </w:r>
      <w:r w:rsidR="00240102" w:rsidRPr="00C06542">
        <w:rPr>
          <w:lang w:val="fr-FR"/>
        </w:rPr>
        <w:t>Unis d</w:t>
      </w:r>
      <w:r w:rsidR="00533B18" w:rsidRPr="00C06542">
        <w:rPr>
          <w:lang w:val="fr-FR"/>
        </w:rPr>
        <w:t>’</w:t>
      </w:r>
      <w:r w:rsidR="00240102" w:rsidRPr="00C06542">
        <w:rPr>
          <w:lang w:val="fr-FR"/>
        </w:rPr>
        <w:t>Amérique a indiqué qu</w:t>
      </w:r>
      <w:r w:rsidR="00533B18" w:rsidRPr="00C06542">
        <w:rPr>
          <w:lang w:val="fr-FR"/>
        </w:rPr>
        <w:t>’</w:t>
      </w:r>
      <w:r w:rsidR="00240102" w:rsidRPr="00C06542">
        <w:rPr>
          <w:lang w:val="fr-FR"/>
        </w:rPr>
        <w:t>elle était préoccupée depuis fort longtemps par le déficit budgétaire chronique et croissant de l</w:t>
      </w:r>
      <w:r w:rsidR="00533B18" w:rsidRPr="00C06542">
        <w:rPr>
          <w:lang w:val="fr-FR"/>
        </w:rPr>
        <w:t>’</w:t>
      </w:r>
      <w:r w:rsidR="00240102" w:rsidRPr="00C06542">
        <w:rPr>
          <w:lang w:val="fr-FR"/>
        </w:rPr>
        <w:t>Union de Lisbonne et qu</w:t>
      </w:r>
      <w:r w:rsidR="00533B18" w:rsidRPr="00C06542">
        <w:rPr>
          <w:lang w:val="fr-FR"/>
        </w:rPr>
        <w:t>’</w:t>
      </w:r>
      <w:r w:rsidR="00240102" w:rsidRPr="00C06542">
        <w:rPr>
          <w:lang w:val="fr-FR"/>
        </w:rPr>
        <w:t>elle s</w:t>
      </w:r>
      <w:r w:rsidR="00533B18" w:rsidRPr="00C06542">
        <w:rPr>
          <w:lang w:val="fr-FR"/>
        </w:rPr>
        <w:t>’</w:t>
      </w:r>
      <w:r w:rsidR="00240102" w:rsidRPr="00C06542">
        <w:rPr>
          <w:lang w:val="fr-FR"/>
        </w:rPr>
        <w:t>inquiétait de la proposition d</w:t>
      </w:r>
      <w:r w:rsidR="00533B18" w:rsidRPr="00C06542">
        <w:rPr>
          <w:lang w:val="fr-FR"/>
        </w:rPr>
        <w:t>’</w:t>
      </w:r>
      <w:r w:rsidR="00240102" w:rsidRPr="00C06542">
        <w:rPr>
          <w:lang w:val="fr-FR"/>
        </w:rPr>
        <w:t>augmenter le budget pour le prochain exercice bienn</w:t>
      </w:r>
      <w:r w:rsidR="00C06542" w:rsidRPr="00C06542">
        <w:rPr>
          <w:lang w:val="fr-FR"/>
        </w:rPr>
        <w:t>al.  El</w:t>
      </w:r>
      <w:r w:rsidR="006558DC" w:rsidRPr="00C06542">
        <w:rPr>
          <w:lang w:val="fr-FR"/>
        </w:rPr>
        <w:t>le a de</w:t>
      </w:r>
      <w:r w:rsidR="006D2272" w:rsidRPr="00C06542">
        <w:rPr>
          <w:lang w:val="fr-FR"/>
        </w:rPr>
        <w:t> </w:t>
      </w:r>
      <w:r w:rsidR="006558DC" w:rsidRPr="00C06542">
        <w:rPr>
          <w:lang w:val="fr-FR"/>
        </w:rPr>
        <w:t>nouveau souligné que le système de Lisbonne</w:t>
      </w:r>
      <w:r w:rsidR="006D2272" w:rsidRPr="00C06542">
        <w:rPr>
          <w:lang w:val="fr-FR"/>
        </w:rPr>
        <w:t xml:space="preserve"> avait des conséquences néfastes </w:t>
      </w:r>
      <w:r w:rsidR="006B7617" w:rsidRPr="00C06542">
        <w:rPr>
          <w:lang w:val="fr-FR"/>
        </w:rPr>
        <w:t>majeures</w:t>
      </w:r>
      <w:r w:rsidR="006D2272" w:rsidRPr="00C06542">
        <w:rPr>
          <w:lang w:val="fr-FR"/>
        </w:rPr>
        <w:t xml:space="preserve"> sur </w:t>
      </w:r>
      <w:r w:rsidR="00556B94" w:rsidRPr="00C06542">
        <w:rPr>
          <w:lang w:val="fr-FR"/>
        </w:rPr>
        <w:t>d</w:t>
      </w:r>
      <w:r w:rsidR="006D2272" w:rsidRPr="00C06542">
        <w:rPr>
          <w:lang w:val="fr-FR"/>
        </w:rPr>
        <w:t>es entreprises dans le monde entier, et en particulier sur les petites entreprises et les nouveaux venus sur le marché qui avaient besoin d</w:t>
      </w:r>
      <w:r w:rsidR="00533B18" w:rsidRPr="00C06542">
        <w:rPr>
          <w:lang w:val="fr-FR"/>
        </w:rPr>
        <w:t>’</w:t>
      </w:r>
      <w:r w:rsidR="006D2272" w:rsidRPr="00C06542">
        <w:rPr>
          <w:lang w:val="fr-FR"/>
        </w:rPr>
        <w:t xml:space="preserve">utiliser des noms </w:t>
      </w:r>
      <w:proofErr w:type="gramStart"/>
      <w:r w:rsidR="00E9754D" w:rsidRPr="00C06542">
        <w:rPr>
          <w:lang w:val="fr-FR"/>
        </w:rPr>
        <w:t>communs</w:t>
      </w:r>
      <w:r w:rsidR="006F1CB0" w:rsidRPr="00C06542">
        <w:rPr>
          <w:lang w:val="fr-FR"/>
        </w:rPr>
        <w:t>;</w:t>
      </w:r>
      <w:r w:rsidR="006D2272" w:rsidRPr="00C06542">
        <w:rPr>
          <w:lang w:val="fr-FR"/>
        </w:rPr>
        <w:t xml:space="preserve"> </w:t>
      </w:r>
      <w:r w:rsidR="006F1CB0" w:rsidRPr="00C06542">
        <w:rPr>
          <w:lang w:val="fr-FR"/>
        </w:rPr>
        <w:t xml:space="preserve"> d</w:t>
      </w:r>
      <w:r w:rsidR="00533B18" w:rsidRPr="00C06542">
        <w:rPr>
          <w:lang w:val="fr-FR"/>
        </w:rPr>
        <w:t>’</w:t>
      </w:r>
      <w:r w:rsidR="006F1CB0" w:rsidRPr="00C06542">
        <w:rPr>
          <w:lang w:val="fr-FR"/>
        </w:rPr>
        <w:t>autre</w:t>
      </w:r>
      <w:proofErr w:type="gramEnd"/>
      <w:r w:rsidR="006F1CB0" w:rsidRPr="00C06542">
        <w:rPr>
          <w:lang w:val="fr-FR"/>
        </w:rPr>
        <w:t xml:space="preserve"> part,</w:t>
      </w:r>
      <w:r w:rsidR="006D2272" w:rsidRPr="00C06542">
        <w:rPr>
          <w:lang w:val="fr-FR"/>
        </w:rPr>
        <w:t xml:space="preserve"> les grandes marques </w:t>
      </w:r>
      <w:r w:rsidR="00FD04F4" w:rsidRPr="00C06542">
        <w:rPr>
          <w:lang w:val="fr-FR"/>
        </w:rPr>
        <w:t>connues</w:t>
      </w:r>
      <w:r w:rsidR="006D2272" w:rsidRPr="00C06542">
        <w:rPr>
          <w:lang w:val="fr-FR"/>
        </w:rPr>
        <w:t xml:space="preserve"> avaient besoin d</w:t>
      </w:r>
      <w:r w:rsidR="00533B18" w:rsidRPr="00C06542">
        <w:rPr>
          <w:lang w:val="fr-FR"/>
        </w:rPr>
        <w:t>’</w:t>
      </w:r>
      <w:r w:rsidR="006D2272" w:rsidRPr="00C06542">
        <w:rPr>
          <w:lang w:val="fr-FR"/>
        </w:rPr>
        <w:t>intégrité pour commercialiser et vendre leurs produits à l</w:t>
      </w:r>
      <w:r w:rsidR="00533B18" w:rsidRPr="00C06542">
        <w:rPr>
          <w:lang w:val="fr-FR"/>
        </w:rPr>
        <w:t>’</w:t>
      </w:r>
      <w:r w:rsidR="006D2272" w:rsidRPr="00C06542">
        <w:rPr>
          <w:lang w:val="fr-FR"/>
        </w:rPr>
        <w:t>échelle mondia</w:t>
      </w:r>
      <w:r w:rsidR="00C06542" w:rsidRPr="00C06542">
        <w:rPr>
          <w:lang w:val="fr-FR"/>
        </w:rPr>
        <w:t>le.  La</w:t>
      </w:r>
      <w:r w:rsidR="00F3644C" w:rsidRPr="00C06542">
        <w:rPr>
          <w:lang w:val="fr-FR"/>
        </w:rPr>
        <w:t xml:space="preserve"> délégation</w:t>
      </w:r>
      <w:r w:rsidR="0048230F" w:rsidRPr="00C06542">
        <w:rPr>
          <w:lang w:val="fr-FR"/>
        </w:rPr>
        <w:t xml:space="preserve"> a déclaré qu</w:t>
      </w:r>
      <w:r w:rsidR="00533B18" w:rsidRPr="00C06542">
        <w:rPr>
          <w:lang w:val="fr-FR"/>
        </w:rPr>
        <w:t>’</w:t>
      </w:r>
      <w:r w:rsidR="00EC786C" w:rsidRPr="00C06542">
        <w:rPr>
          <w:lang w:val="fr-FR"/>
        </w:rPr>
        <w:t>en accordant une protection aux indications géographiques d</w:t>
      </w:r>
      <w:r w:rsidR="00533B18" w:rsidRPr="00C06542">
        <w:rPr>
          <w:lang w:val="fr-FR"/>
        </w:rPr>
        <w:t>’</w:t>
      </w:r>
      <w:r w:rsidR="00EC786C" w:rsidRPr="00C06542">
        <w:rPr>
          <w:lang w:val="fr-FR"/>
        </w:rPr>
        <w:t xml:space="preserve">un large éventail de produits sans </w:t>
      </w:r>
      <w:r w:rsidR="001D7DD5" w:rsidRPr="00C06542">
        <w:rPr>
          <w:lang w:val="fr-FR"/>
        </w:rPr>
        <w:t>offrir</w:t>
      </w:r>
      <w:r w:rsidR="00EC786C" w:rsidRPr="00C06542">
        <w:rPr>
          <w:lang w:val="fr-FR"/>
        </w:rPr>
        <w:t xml:space="preserve"> de protection suffisante aux utilisateurs de noms </w:t>
      </w:r>
      <w:r w:rsidR="00E9754D" w:rsidRPr="00C06542">
        <w:rPr>
          <w:lang w:val="fr-FR"/>
        </w:rPr>
        <w:t>communs ou aux titulaires de marques antérieures, le système de Lisbonne rendait l</w:t>
      </w:r>
      <w:r w:rsidR="00533B18" w:rsidRPr="00C06542">
        <w:rPr>
          <w:lang w:val="fr-FR"/>
        </w:rPr>
        <w:t>’</w:t>
      </w:r>
      <w:r w:rsidR="00E9754D" w:rsidRPr="00C06542">
        <w:rPr>
          <w:lang w:val="fr-FR"/>
        </w:rPr>
        <w:t>accès au marché plus difficile pour les parties prenantes situées aux États</w:t>
      </w:r>
      <w:r w:rsidR="00E70D34">
        <w:rPr>
          <w:lang w:val="fr-FR"/>
        </w:rPr>
        <w:noBreakHyphen/>
      </w:r>
      <w:r w:rsidR="00E9754D" w:rsidRPr="00C06542">
        <w:rPr>
          <w:lang w:val="fr-FR"/>
        </w:rPr>
        <w:t>Unis d</w:t>
      </w:r>
      <w:r w:rsidR="00533B18" w:rsidRPr="00C06542">
        <w:rPr>
          <w:lang w:val="fr-FR"/>
        </w:rPr>
        <w:t>’</w:t>
      </w:r>
      <w:r w:rsidR="00E9754D" w:rsidRPr="00C06542">
        <w:rPr>
          <w:lang w:val="fr-FR"/>
        </w:rPr>
        <w:t xml:space="preserve">Amérique </w:t>
      </w:r>
      <w:r w:rsidR="003F137A" w:rsidRPr="00C06542">
        <w:rPr>
          <w:lang w:val="fr-FR"/>
        </w:rPr>
        <w:t>et</w:t>
      </w:r>
      <w:r w:rsidR="00E9754D" w:rsidRPr="00C06542">
        <w:rPr>
          <w:lang w:val="fr-FR"/>
        </w:rPr>
        <w:t xml:space="preserve"> dans d</w:t>
      </w:r>
      <w:r w:rsidR="00533B18" w:rsidRPr="00C06542">
        <w:rPr>
          <w:lang w:val="fr-FR"/>
        </w:rPr>
        <w:t>’</w:t>
      </w:r>
      <w:r w:rsidR="00E9754D" w:rsidRPr="00C06542">
        <w:rPr>
          <w:lang w:val="fr-FR"/>
        </w:rPr>
        <w:t xml:space="preserve">autres </w:t>
      </w:r>
      <w:r w:rsidR="006C38D4" w:rsidRPr="00C06542">
        <w:rPr>
          <w:lang w:val="fr-FR"/>
        </w:rPr>
        <w:t xml:space="preserve">États </w:t>
      </w:r>
      <w:r w:rsidR="00E9754D" w:rsidRPr="00C06542">
        <w:rPr>
          <w:lang w:val="fr-FR"/>
        </w:rPr>
        <w:t>membres de l</w:t>
      </w:r>
      <w:r w:rsidR="00533B18" w:rsidRPr="00C06542">
        <w:rPr>
          <w:lang w:val="fr-FR"/>
        </w:rPr>
        <w:t>’</w:t>
      </w:r>
      <w:r w:rsidR="00E9754D" w:rsidRPr="00C06542">
        <w:rPr>
          <w:lang w:val="fr-FR"/>
        </w:rPr>
        <w:t>O</w:t>
      </w:r>
      <w:r w:rsidR="00C06542" w:rsidRPr="00C06542">
        <w:rPr>
          <w:lang w:val="fr-FR"/>
        </w:rPr>
        <w:t>MPI.  Le</w:t>
      </w:r>
      <w:r w:rsidR="00E9754D" w:rsidRPr="00C06542">
        <w:rPr>
          <w:lang w:val="fr-FR"/>
        </w:rPr>
        <w:t xml:space="preserve"> manque de mesures de protection entraînait une réduction des perspectives commerciales, faisait apparaître des obstacles au commerce et portait préjudice aux droits </w:t>
      </w:r>
      <w:r w:rsidR="00572BB3" w:rsidRPr="00C06542">
        <w:rPr>
          <w:lang w:val="fr-FR"/>
        </w:rPr>
        <w:t>relatifs aux</w:t>
      </w:r>
      <w:r w:rsidR="00E9754D" w:rsidRPr="00C06542">
        <w:rPr>
          <w:lang w:val="fr-FR"/>
        </w:rPr>
        <w:t xml:space="preserve"> marques</w:t>
      </w:r>
      <w:r w:rsidR="001E4992" w:rsidRPr="00C06542">
        <w:rPr>
          <w:lang w:val="fr-FR"/>
        </w:rPr>
        <w:t xml:space="preserve"> dans les pays qui interdisaient l</w:t>
      </w:r>
      <w:r w:rsidR="00533B18" w:rsidRPr="00C06542">
        <w:rPr>
          <w:lang w:val="fr-FR"/>
        </w:rPr>
        <w:t>’</w:t>
      </w:r>
      <w:r w:rsidR="001E4992" w:rsidRPr="00C06542">
        <w:rPr>
          <w:lang w:val="fr-FR"/>
        </w:rPr>
        <w:t>emploi de noms commerciaux commu</w:t>
      </w:r>
      <w:r w:rsidR="00C06542" w:rsidRPr="00C06542">
        <w:rPr>
          <w:lang w:val="fr-FR"/>
        </w:rPr>
        <w:t>ns.  Pa</w:t>
      </w:r>
      <w:r w:rsidR="003D59D7" w:rsidRPr="00C06542">
        <w:rPr>
          <w:lang w:val="fr-FR"/>
        </w:rPr>
        <w:t>r ailleurs, l</w:t>
      </w:r>
      <w:r w:rsidR="001E4992" w:rsidRPr="00C06542">
        <w:rPr>
          <w:lang w:val="fr-FR"/>
        </w:rPr>
        <w:t xml:space="preserve">a délégation </w:t>
      </w:r>
      <w:r w:rsidR="00154387" w:rsidRPr="00C06542">
        <w:rPr>
          <w:lang w:val="fr-FR"/>
        </w:rPr>
        <w:t>a souligné que le système de Lisbonne connaissait un déficit budgétaire chronique qui allait s</w:t>
      </w:r>
      <w:r w:rsidR="00533B18" w:rsidRPr="00C06542">
        <w:rPr>
          <w:lang w:val="fr-FR"/>
        </w:rPr>
        <w:t>’</w:t>
      </w:r>
      <w:r w:rsidR="00154387" w:rsidRPr="00C06542">
        <w:rPr>
          <w:lang w:val="fr-FR"/>
        </w:rPr>
        <w:t>aggraver encore considérablement au regard de la proposition de budget pour l</w:t>
      </w:r>
      <w:r w:rsidR="00533B18" w:rsidRPr="00C06542">
        <w:rPr>
          <w:lang w:val="fr-FR"/>
        </w:rPr>
        <w:t>’</w:t>
      </w:r>
      <w:r w:rsidR="00154387" w:rsidRPr="00C06542">
        <w:rPr>
          <w:lang w:val="fr-FR"/>
        </w:rPr>
        <w:t>exercice biennal à ven</w:t>
      </w:r>
      <w:r w:rsidR="00C06542" w:rsidRPr="00C06542">
        <w:rPr>
          <w:lang w:val="fr-FR"/>
        </w:rPr>
        <w:t>ir.  El</w:t>
      </w:r>
      <w:r w:rsidR="00462E26" w:rsidRPr="00C06542">
        <w:rPr>
          <w:lang w:val="fr-FR"/>
        </w:rPr>
        <w:t xml:space="preserve">le </w:t>
      </w:r>
      <w:r w:rsidR="00CA244C" w:rsidRPr="00C06542">
        <w:rPr>
          <w:lang w:val="fr-FR"/>
        </w:rPr>
        <w:t>estimait que ce déficit permanent était créé et alimenté par le fait que les membres de l</w:t>
      </w:r>
      <w:r w:rsidR="00533B18" w:rsidRPr="00C06542">
        <w:rPr>
          <w:lang w:val="fr-FR"/>
        </w:rPr>
        <w:t>’</w:t>
      </w:r>
      <w:r w:rsidR="00CA244C" w:rsidRPr="00C06542">
        <w:rPr>
          <w:lang w:val="fr-FR"/>
        </w:rPr>
        <w:t xml:space="preserve">Union de Lisbonne ne respectaient pas les obligations prévues par le traité </w:t>
      </w:r>
      <w:r w:rsidR="00700D5A" w:rsidRPr="00C06542">
        <w:rPr>
          <w:lang w:val="fr-FR"/>
        </w:rPr>
        <w:t>pour</w:t>
      </w:r>
      <w:r w:rsidR="00CA244C" w:rsidRPr="00C06542">
        <w:rPr>
          <w:lang w:val="fr-FR"/>
        </w:rPr>
        <w:t xml:space="preserve"> faire en sorte que le système soit </w:t>
      </w:r>
      <w:r w:rsidR="002C1FB8" w:rsidRPr="00C06542">
        <w:rPr>
          <w:lang w:val="fr-FR"/>
        </w:rPr>
        <w:t xml:space="preserve">pérenne </w:t>
      </w:r>
      <w:r w:rsidR="00CA244C" w:rsidRPr="00C06542">
        <w:rPr>
          <w:lang w:val="fr-FR"/>
        </w:rPr>
        <w:t>sur le plan financi</w:t>
      </w:r>
      <w:r w:rsidR="00C06542" w:rsidRPr="00C06542">
        <w:rPr>
          <w:lang w:val="fr-FR"/>
        </w:rPr>
        <w:t>er.  El</w:t>
      </w:r>
      <w:r w:rsidR="00605378" w:rsidRPr="00C06542">
        <w:rPr>
          <w:lang w:val="fr-FR"/>
        </w:rPr>
        <w:t>le a insisté sur le fait que les dispositions des traités et des règlements financiers de l</w:t>
      </w:r>
      <w:r w:rsidR="00533B18" w:rsidRPr="00C06542">
        <w:rPr>
          <w:lang w:val="fr-FR"/>
        </w:rPr>
        <w:t>’</w:t>
      </w:r>
      <w:r w:rsidR="00605378" w:rsidRPr="00C06542">
        <w:rPr>
          <w:lang w:val="fr-FR"/>
        </w:rPr>
        <w:t xml:space="preserve">OMPI étaient claires et ne </w:t>
      </w:r>
      <w:r w:rsidR="006F7757" w:rsidRPr="00C06542">
        <w:rPr>
          <w:lang w:val="fr-FR"/>
        </w:rPr>
        <w:t>devaient pas</w:t>
      </w:r>
      <w:r w:rsidR="00605378" w:rsidRPr="00C06542">
        <w:rPr>
          <w:lang w:val="fr-FR"/>
        </w:rPr>
        <w:t xml:space="preserve"> être ignorées par les États membres, et que ceux</w:t>
      </w:r>
      <w:r w:rsidR="00E70D34">
        <w:rPr>
          <w:lang w:val="fr-FR"/>
        </w:rPr>
        <w:noBreakHyphen/>
      </w:r>
      <w:r w:rsidR="00605378" w:rsidRPr="00C06542">
        <w:rPr>
          <w:lang w:val="fr-FR"/>
        </w:rPr>
        <w:t>ci devaient</w:t>
      </w:r>
      <w:r w:rsidR="000374C9" w:rsidRPr="00C06542">
        <w:rPr>
          <w:lang w:val="fr-FR"/>
        </w:rPr>
        <w:t xml:space="preserve"> être tenus responsables du</w:t>
      </w:r>
      <w:r w:rsidR="00605378" w:rsidRPr="00C06542">
        <w:rPr>
          <w:lang w:val="fr-FR"/>
        </w:rPr>
        <w:t xml:space="preserve"> respect </w:t>
      </w:r>
      <w:r w:rsidR="000374C9" w:rsidRPr="00C06542">
        <w:rPr>
          <w:lang w:val="fr-FR"/>
        </w:rPr>
        <w:t>d</w:t>
      </w:r>
      <w:r w:rsidR="00605378" w:rsidRPr="00C06542">
        <w:rPr>
          <w:lang w:val="fr-FR"/>
        </w:rPr>
        <w:t>es obligations qui leur incombaient en vertu des trait</w:t>
      </w:r>
      <w:r w:rsidR="00C06542" w:rsidRPr="00C06542">
        <w:rPr>
          <w:lang w:val="fr-FR"/>
        </w:rPr>
        <w:t>és.  La</w:t>
      </w:r>
      <w:r w:rsidR="00A166B0" w:rsidRPr="00C06542">
        <w:rPr>
          <w:lang w:val="fr-FR"/>
        </w:rPr>
        <w:t xml:space="preserve"> délégation a de nouveau exprimé ses graves préoccupations au regard du fait que les </w:t>
      </w:r>
      <w:r w:rsidR="00202F8B" w:rsidRPr="00C06542">
        <w:rPr>
          <w:lang w:val="fr-FR"/>
        </w:rPr>
        <w:t>taxes</w:t>
      </w:r>
      <w:r w:rsidR="002B7C5A" w:rsidRPr="00C06542">
        <w:rPr>
          <w:lang w:val="fr-FR"/>
        </w:rPr>
        <w:t xml:space="preserve"> versées </w:t>
      </w:r>
      <w:r w:rsidR="009C25A7" w:rsidRPr="00C06542">
        <w:rPr>
          <w:lang w:val="fr-FR"/>
        </w:rPr>
        <w:t>au titre</w:t>
      </w:r>
      <w:r w:rsidR="002B7C5A" w:rsidRPr="00C06542">
        <w:rPr>
          <w:lang w:val="fr-FR"/>
        </w:rPr>
        <w:t xml:space="preserve"> d</w:t>
      </w:r>
      <w:r w:rsidR="00533B18" w:rsidRPr="00C06542">
        <w:rPr>
          <w:lang w:val="fr-FR"/>
        </w:rPr>
        <w:t>’</w:t>
      </w:r>
      <w:r w:rsidR="002B7C5A" w:rsidRPr="00C06542">
        <w:rPr>
          <w:lang w:val="fr-FR"/>
        </w:rPr>
        <w:t>autres systèmes mondiaux de la propriété intellectuelle gérés par l</w:t>
      </w:r>
      <w:r w:rsidR="00533B18" w:rsidRPr="00C06542">
        <w:rPr>
          <w:lang w:val="fr-FR"/>
        </w:rPr>
        <w:t>’</w:t>
      </w:r>
      <w:r w:rsidR="002B7C5A" w:rsidRPr="00C06542">
        <w:rPr>
          <w:lang w:val="fr-FR"/>
        </w:rPr>
        <w:t xml:space="preserve">OMPI, et notamment au </w:t>
      </w:r>
      <w:r w:rsidR="00CA02BF" w:rsidRPr="00C06542">
        <w:rPr>
          <w:lang w:val="fr-FR"/>
        </w:rPr>
        <w:t>Traité de coopération en matière de brevets (</w:t>
      </w:r>
      <w:r w:rsidR="002B7C5A" w:rsidRPr="00C06542">
        <w:rPr>
          <w:lang w:val="fr-FR"/>
        </w:rPr>
        <w:t>PCT</w:t>
      </w:r>
      <w:r w:rsidR="00CA02BF" w:rsidRPr="00C06542">
        <w:rPr>
          <w:lang w:val="fr-FR"/>
        </w:rPr>
        <w:t xml:space="preserve">), </w:t>
      </w:r>
      <w:r w:rsidR="009C25A7" w:rsidRPr="00C06542">
        <w:rPr>
          <w:lang w:val="fr-FR"/>
        </w:rPr>
        <w:t>continuaient d</w:t>
      </w:r>
      <w:r w:rsidR="00533B18" w:rsidRPr="00C06542">
        <w:rPr>
          <w:lang w:val="fr-FR"/>
        </w:rPr>
        <w:t>’</w:t>
      </w:r>
      <w:r w:rsidR="009C25A7" w:rsidRPr="00C06542">
        <w:rPr>
          <w:lang w:val="fr-FR"/>
        </w:rPr>
        <w:t xml:space="preserve">être détournées pour subventionner le système de </w:t>
      </w:r>
      <w:r w:rsidR="009C25A7" w:rsidRPr="00C06542">
        <w:rPr>
          <w:lang w:val="fr-FR"/>
        </w:rPr>
        <w:lastRenderedPageBreak/>
        <w:t>Lisbon</w:t>
      </w:r>
      <w:r w:rsidR="00C06542" w:rsidRPr="00C06542">
        <w:rPr>
          <w:lang w:val="fr-FR"/>
        </w:rPr>
        <w:t>ne.  El</w:t>
      </w:r>
      <w:r w:rsidR="009C25A7" w:rsidRPr="00C06542">
        <w:rPr>
          <w:lang w:val="fr-FR"/>
        </w:rPr>
        <w:t xml:space="preserve">le </w:t>
      </w:r>
      <w:r w:rsidR="001C40F5" w:rsidRPr="00C06542">
        <w:rPr>
          <w:lang w:val="fr-FR"/>
        </w:rPr>
        <w:t xml:space="preserve">considérait que cette méthode </w:t>
      </w:r>
      <w:r w:rsidR="00297959" w:rsidRPr="00C06542">
        <w:rPr>
          <w:lang w:val="fr-FR"/>
        </w:rPr>
        <w:t>ne pouvait perdurer,</w:t>
      </w:r>
      <w:r w:rsidR="001C40F5" w:rsidRPr="00C06542">
        <w:rPr>
          <w:lang w:val="fr-FR"/>
        </w:rPr>
        <w:t xml:space="preserve"> tant au regard du principe d</w:t>
      </w:r>
      <w:r w:rsidR="00533B18" w:rsidRPr="00C06542">
        <w:rPr>
          <w:lang w:val="fr-FR"/>
        </w:rPr>
        <w:t>’</w:t>
      </w:r>
      <w:r w:rsidR="001C40F5" w:rsidRPr="00C06542">
        <w:rPr>
          <w:lang w:val="fr-FR"/>
        </w:rPr>
        <w:t>équité que des attentes des utilisateu</w:t>
      </w:r>
      <w:r w:rsidR="00C06542" w:rsidRPr="00C06542">
        <w:rPr>
          <w:lang w:val="fr-FR"/>
        </w:rPr>
        <w:t>rs.  El</w:t>
      </w:r>
      <w:r w:rsidR="00026FF0" w:rsidRPr="00C06542">
        <w:rPr>
          <w:lang w:val="fr-FR"/>
        </w:rPr>
        <w:t>le avait déjà souligné, dans différentes réunions de l</w:t>
      </w:r>
      <w:r w:rsidR="00533B18" w:rsidRPr="00C06542">
        <w:rPr>
          <w:lang w:val="fr-FR"/>
        </w:rPr>
        <w:t>’</w:t>
      </w:r>
      <w:r w:rsidR="00026FF0" w:rsidRPr="00C06542">
        <w:rPr>
          <w:lang w:val="fr-FR"/>
        </w:rPr>
        <w:t>OMPI, l</w:t>
      </w:r>
      <w:r w:rsidR="00533B18" w:rsidRPr="00C06542">
        <w:rPr>
          <w:lang w:val="fr-FR"/>
        </w:rPr>
        <w:t>’</w:t>
      </w:r>
      <w:r w:rsidR="00026FF0" w:rsidRPr="00C06542">
        <w:rPr>
          <w:lang w:val="fr-FR"/>
        </w:rPr>
        <w:t xml:space="preserve">importance de trouver une solution pour assurer la </w:t>
      </w:r>
      <w:r w:rsidR="006E753D" w:rsidRPr="00C06542">
        <w:rPr>
          <w:lang w:val="fr-FR"/>
        </w:rPr>
        <w:t>pérennité</w:t>
      </w:r>
      <w:r w:rsidR="00026FF0" w:rsidRPr="00C06542">
        <w:rPr>
          <w:lang w:val="fr-FR"/>
        </w:rPr>
        <w:t xml:space="preserve"> financière </w:t>
      </w:r>
      <w:r w:rsidR="000969BA" w:rsidRPr="00C06542">
        <w:rPr>
          <w:lang w:val="fr-FR"/>
        </w:rPr>
        <w:t xml:space="preserve">de toutes les unions financées par des </w:t>
      </w:r>
      <w:r w:rsidR="00202F8B" w:rsidRPr="00C06542">
        <w:rPr>
          <w:lang w:val="fr-FR"/>
        </w:rPr>
        <w:t>taxes</w:t>
      </w:r>
      <w:r w:rsidR="00A849FA" w:rsidRPr="00C06542">
        <w:rPr>
          <w:lang w:val="fr-FR"/>
        </w:rPr>
        <w:t>, et en particulier de l</w:t>
      </w:r>
      <w:r w:rsidR="00533B18" w:rsidRPr="00C06542">
        <w:rPr>
          <w:lang w:val="fr-FR"/>
        </w:rPr>
        <w:t>’</w:t>
      </w:r>
      <w:r w:rsidR="00A849FA" w:rsidRPr="00C06542">
        <w:rPr>
          <w:lang w:val="fr-FR"/>
        </w:rPr>
        <w:t>Union de Lisbon</w:t>
      </w:r>
      <w:r w:rsidR="00C06542" w:rsidRPr="00C06542">
        <w:rPr>
          <w:lang w:val="fr-FR"/>
        </w:rPr>
        <w:t>ne.  La</w:t>
      </w:r>
      <w:r w:rsidR="00B31B7D" w:rsidRPr="00C06542">
        <w:rPr>
          <w:lang w:val="fr-FR"/>
        </w:rPr>
        <w:t xml:space="preserve"> délégation a ajouté que l</w:t>
      </w:r>
      <w:r w:rsidR="00533B18" w:rsidRPr="00C06542">
        <w:rPr>
          <w:lang w:val="fr-FR"/>
        </w:rPr>
        <w:t>’</w:t>
      </w:r>
      <w:r w:rsidR="00B31B7D" w:rsidRPr="00C06542">
        <w:rPr>
          <w:lang w:val="fr-FR"/>
        </w:rPr>
        <w:t>OMPI devait établir une comptabilité exhaustive et cohérente des sources de financement du système de Lisbonne</w:t>
      </w:r>
      <w:r w:rsidR="00743863" w:rsidRPr="00C06542">
        <w:rPr>
          <w:lang w:val="fr-FR"/>
        </w:rPr>
        <w:t xml:space="preserve"> et instaurer une procédure permettant à l</w:t>
      </w:r>
      <w:r w:rsidR="00533B18" w:rsidRPr="00C06542">
        <w:rPr>
          <w:lang w:val="fr-FR"/>
        </w:rPr>
        <w:t>’</w:t>
      </w:r>
      <w:r w:rsidR="00743863" w:rsidRPr="00C06542">
        <w:rPr>
          <w:lang w:val="fr-FR"/>
        </w:rPr>
        <w:t>Union de Lisbonne de rembourser</w:t>
      </w:r>
      <w:r w:rsidR="000B70F9" w:rsidRPr="00C06542">
        <w:rPr>
          <w:lang w:val="fr-FR"/>
        </w:rPr>
        <w:t xml:space="preserve"> de manière adéquate</w:t>
      </w:r>
      <w:r w:rsidR="00743863" w:rsidRPr="00C06542">
        <w:rPr>
          <w:lang w:val="fr-FR"/>
        </w:rPr>
        <w:t xml:space="preserve"> </w:t>
      </w:r>
      <w:r w:rsidR="000B70F9" w:rsidRPr="00C06542">
        <w:rPr>
          <w:lang w:val="fr-FR"/>
        </w:rPr>
        <w:t>les</w:t>
      </w:r>
      <w:r w:rsidR="00394E9B" w:rsidRPr="00C06542">
        <w:rPr>
          <w:lang w:val="fr-FR"/>
        </w:rPr>
        <w:t xml:space="preserve"> financements </w:t>
      </w:r>
      <w:r w:rsidR="00465901" w:rsidRPr="00C06542">
        <w:rPr>
          <w:lang w:val="fr-FR"/>
        </w:rPr>
        <w:t>croisés</w:t>
      </w:r>
      <w:r w:rsidR="00394E9B" w:rsidRPr="00C06542">
        <w:rPr>
          <w:lang w:val="fr-FR"/>
        </w:rPr>
        <w:t xml:space="preserve"> </w:t>
      </w:r>
      <w:r w:rsidR="009049C3" w:rsidRPr="00C06542">
        <w:rPr>
          <w:lang w:val="fr-FR"/>
        </w:rPr>
        <w:t xml:space="preserve">antérieurs </w:t>
      </w:r>
      <w:r w:rsidR="00394E9B" w:rsidRPr="00C06542">
        <w:rPr>
          <w:lang w:val="fr-FR"/>
        </w:rPr>
        <w:t>provenant</w:t>
      </w:r>
      <w:r w:rsidR="00743863" w:rsidRPr="00C06542">
        <w:rPr>
          <w:lang w:val="fr-FR"/>
        </w:rPr>
        <w:t xml:space="preserve"> </w:t>
      </w:r>
      <w:r w:rsidR="00394E9B" w:rsidRPr="00C06542">
        <w:rPr>
          <w:lang w:val="fr-FR"/>
        </w:rPr>
        <w:t>d</w:t>
      </w:r>
      <w:r w:rsidR="00533B18" w:rsidRPr="00C06542">
        <w:rPr>
          <w:lang w:val="fr-FR"/>
        </w:rPr>
        <w:t>’</w:t>
      </w:r>
      <w:r w:rsidR="00743863" w:rsidRPr="00C06542">
        <w:rPr>
          <w:lang w:val="fr-FR"/>
        </w:rPr>
        <w:t>autres systèmes mondiaux de la propriété intellectuelle gérés par l</w:t>
      </w:r>
      <w:r w:rsidR="00533B18" w:rsidRPr="00C06542">
        <w:rPr>
          <w:lang w:val="fr-FR"/>
        </w:rPr>
        <w:t>’</w:t>
      </w:r>
      <w:r w:rsidR="00743863" w:rsidRPr="00C06542">
        <w:rPr>
          <w:lang w:val="fr-FR"/>
        </w:rPr>
        <w:t>Organisati</w:t>
      </w:r>
      <w:r w:rsidR="00C06542" w:rsidRPr="00C06542">
        <w:rPr>
          <w:lang w:val="fr-FR"/>
        </w:rPr>
        <w:t>on.  El</w:t>
      </w:r>
      <w:r w:rsidR="00AE16F8" w:rsidRPr="00C06542">
        <w:rPr>
          <w:lang w:val="fr-FR"/>
        </w:rPr>
        <w:t>le estimait qu</w:t>
      </w:r>
      <w:r w:rsidR="00533B18" w:rsidRPr="00C06542">
        <w:rPr>
          <w:lang w:val="fr-FR"/>
        </w:rPr>
        <w:t>’</w:t>
      </w:r>
      <w:r w:rsidR="00AE16F8" w:rsidRPr="00C06542">
        <w:rPr>
          <w:lang w:val="fr-FR"/>
        </w:rPr>
        <w:t>il était important de protéger, au sein de l</w:t>
      </w:r>
      <w:r w:rsidR="00533B18" w:rsidRPr="00C06542">
        <w:rPr>
          <w:lang w:val="fr-FR"/>
        </w:rPr>
        <w:t>’</w:t>
      </w:r>
      <w:r w:rsidR="00AE16F8" w:rsidRPr="00C06542">
        <w:rPr>
          <w:lang w:val="fr-FR"/>
        </w:rPr>
        <w:t xml:space="preserve">OMPI, la diversité des points de vue de tous les États membres concernant les indications géographiques, et elle considérait </w:t>
      </w:r>
      <w:r w:rsidR="00906688" w:rsidRPr="00C06542">
        <w:rPr>
          <w:lang w:val="fr-FR"/>
        </w:rPr>
        <w:t>que l</w:t>
      </w:r>
      <w:r w:rsidR="00533B18" w:rsidRPr="00C06542">
        <w:rPr>
          <w:lang w:val="fr-FR"/>
        </w:rPr>
        <w:t>’</w:t>
      </w:r>
      <w:r w:rsidR="00906688" w:rsidRPr="00C06542">
        <w:rPr>
          <w:lang w:val="fr-FR"/>
        </w:rPr>
        <w:t>Organisation devait faire davantage pour adopter une démarche équitable et équilibrée vis</w:t>
      </w:r>
      <w:r w:rsidR="00E70D34">
        <w:rPr>
          <w:lang w:val="fr-FR"/>
        </w:rPr>
        <w:noBreakHyphen/>
      </w:r>
      <w:r w:rsidR="00906688" w:rsidRPr="00C06542">
        <w:rPr>
          <w:lang w:val="fr-FR"/>
        </w:rPr>
        <w:t>à</w:t>
      </w:r>
      <w:r w:rsidR="00E70D34">
        <w:rPr>
          <w:lang w:val="fr-FR"/>
        </w:rPr>
        <w:noBreakHyphen/>
      </w:r>
      <w:r w:rsidR="00906688" w:rsidRPr="00C06542">
        <w:rPr>
          <w:lang w:val="fr-FR"/>
        </w:rPr>
        <w:t>vis des travaux qu</w:t>
      </w:r>
      <w:r w:rsidR="00533B18" w:rsidRPr="00C06542">
        <w:rPr>
          <w:lang w:val="fr-FR"/>
        </w:rPr>
        <w:t>’</w:t>
      </w:r>
      <w:r w:rsidR="00906688" w:rsidRPr="00C06542">
        <w:rPr>
          <w:lang w:val="fr-FR"/>
        </w:rPr>
        <w:t>elle envisageait de mener en matière d</w:t>
      </w:r>
      <w:r w:rsidR="00533B18" w:rsidRPr="00C06542">
        <w:rPr>
          <w:lang w:val="fr-FR"/>
        </w:rPr>
        <w:t>’</w:t>
      </w:r>
      <w:r w:rsidR="00906688" w:rsidRPr="00C06542">
        <w:rPr>
          <w:lang w:val="fr-FR"/>
        </w:rPr>
        <w:t>indications géographiques et de noms commu</w:t>
      </w:r>
      <w:r w:rsidR="00C06542" w:rsidRPr="00C06542">
        <w:rPr>
          <w:lang w:val="fr-FR"/>
        </w:rPr>
        <w:t>ns.  Il</w:t>
      </w:r>
      <w:r w:rsidR="0002040D" w:rsidRPr="00C06542">
        <w:rPr>
          <w:lang w:val="fr-FR"/>
        </w:rPr>
        <w:t xml:space="preserve"> convenait de sensibiliser davantage les États et </w:t>
      </w:r>
      <w:r w:rsidR="00E15768" w:rsidRPr="00C06542">
        <w:rPr>
          <w:lang w:val="fr-FR"/>
        </w:rPr>
        <w:t>d</w:t>
      </w:r>
      <w:r w:rsidR="00533B18" w:rsidRPr="00C06542">
        <w:rPr>
          <w:lang w:val="fr-FR"/>
        </w:rPr>
        <w:t>’</w:t>
      </w:r>
      <w:r w:rsidR="00E15768" w:rsidRPr="00C06542">
        <w:rPr>
          <w:lang w:val="fr-FR"/>
        </w:rPr>
        <w:t>autres</w:t>
      </w:r>
      <w:r w:rsidR="0002040D" w:rsidRPr="00C06542">
        <w:rPr>
          <w:lang w:val="fr-FR"/>
        </w:rPr>
        <w:t xml:space="preserve"> parties prenantes </w:t>
      </w:r>
      <w:r w:rsidR="00B7412F" w:rsidRPr="00C06542">
        <w:rPr>
          <w:lang w:val="fr-FR"/>
        </w:rPr>
        <w:t>au fait que la protection des indications géographiques et l</w:t>
      </w:r>
      <w:r w:rsidR="00533B18" w:rsidRPr="00C06542">
        <w:rPr>
          <w:lang w:val="fr-FR"/>
        </w:rPr>
        <w:t>’</w:t>
      </w:r>
      <w:r w:rsidR="00B7412F" w:rsidRPr="00C06542">
        <w:rPr>
          <w:lang w:val="fr-FR"/>
        </w:rPr>
        <w:t>emploi des noms génériques ou communs étaient liés entre eux de manière étroite et inhéren</w:t>
      </w:r>
      <w:r w:rsidR="00C06542" w:rsidRPr="00C06542">
        <w:rPr>
          <w:lang w:val="fr-FR"/>
        </w:rPr>
        <w:t>te.  La</w:t>
      </w:r>
      <w:r w:rsidR="00490646" w:rsidRPr="00C06542">
        <w:rPr>
          <w:lang w:val="fr-FR"/>
        </w:rPr>
        <w:t xml:space="preserve"> délégation a souligné que faute de trouver cet équilibre, le système allait entraîner des conséquences regrettables pour les entreprises du monde entier qui utilisaient des noms communs, </w:t>
      </w:r>
      <w:r w:rsidR="0003413F" w:rsidRPr="00C06542">
        <w:rPr>
          <w:lang w:val="fr-FR"/>
        </w:rPr>
        <w:t>ainsi que</w:t>
      </w:r>
      <w:r w:rsidR="00490646" w:rsidRPr="00C06542">
        <w:rPr>
          <w:lang w:val="fr-FR"/>
        </w:rPr>
        <w:t xml:space="preserve"> pour les titulaires de marques connues qui ne pourraient plus commercialiser et vendre leurs produits à l</w:t>
      </w:r>
      <w:r w:rsidR="00533B18" w:rsidRPr="00C06542">
        <w:rPr>
          <w:lang w:val="fr-FR"/>
        </w:rPr>
        <w:t>’</w:t>
      </w:r>
      <w:r w:rsidR="00490646" w:rsidRPr="00C06542">
        <w:rPr>
          <w:lang w:val="fr-FR"/>
        </w:rPr>
        <w:t>échelle mondiale.</w:t>
      </w:r>
    </w:p>
    <w:p w14:paraId="08374124" w14:textId="13B30C0A" w:rsidR="003F403E" w:rsidRPr="00C06542" w:rsidRDefault="006C38D4" w:rsidP="00017C33">
      <w:pPr>
        <w:pStyle w:val="ONUMFS"/>
        <w:rPr>
          <w:lang w:val="fr-FR"/>
        </w:rPr>
      </w:pPr>
      <w:r w:rsidRPr="00C06542">
        <w:rPr>
          <w:lang w:val="fr-FR"/>
        </w:rPr>
        <w:t>La délégation du</w:t>
      </w:r>
      <w:r w:rsidR="003F403E" w:rsidRPr="00C06542">
        <w:rPr>
          <w:lang w:val="fr-FR"/>
        </w:rPr>
        <w:t xml:space="preserve"> Pérou </w:t>
      </w:r>
      <w:r w:rsidRPr="00C06542">
        <w:rPr>
          <w:lang w:val="fr-FR"/>
        </w:rPr>
        <w:t xml:space="preserve">a rappelé que le Pérou </w:t>
      </w:r>
      <w:r w:rsidR="003F403E" w:rsidRPr="00C06542">
        <w:rPr>
          <w:lang w:val="fr-FR"/>
        </w:rPr>
        <w:t xml:space="preserve">avait </w:t>
      </w:r>
      <w:r w:rsidR="002C2549" w:rsidRPr="00C06542">
        <w:rPr>
          <w:lang w:val="fr-FR"/>
        </w:rPr>
        <w:t xml:space="preserve">déposé son instrument de ratification </w:t>
      </w:r>
      <w:r w:rsidRPr="00C06542">
        <w:rPr>
          <w:lang w:val="fr-FR"/>
        </w:rPr>
        <w:t>de</w:t>
      </w:r>
      <w:r w:rsidR="002C2549" w:rsidRPr="00C06542">
        <w:rPr>
          <w:lang w:val="fr-FR"/>
        </w:rPr>
        <w:t xml:space="preserve"> l</w:t>
      </w:r>
      <w:r w:rsidR="00533B18" w:rsidRPr="00C06542">
        <w:rPr>
          <w:lang w:val="fr-FR"/>
        </w:rPr>
        <w:t>’</w:t>
      </w:r>
      <w:r w:rsidR="002C2549" w:rsidRPr="00C06542">
        <w:rPr>
          <w:lang w:val="fr-FR"/>
        </w:rPr>
        <w:t>Acte de Genève de l</w:t>
      </w:r>
      <w:r w:rsidR="00533B18" w:rsidRPr="00C06542">
        <w:rPr>
          <w:lang w:val="fr-FR"/>
        </w:rPr>
        <w:t>’</w:t>
      </w:r>
      <w:r w:rsidR="002C2549" w:rsidRPr="00C06542">
        <w:rPr>
          <w:lang w:val="fr-FR"/>
        </w:rPr>
        <w:t>Arrangement de Lisbonne</w:t>
      </w:r>
      <w:r w:rsidR="00686040" w:rsidRPr="00C06542">
        <w:rPr>
          <w:lang w:val="fr-FR"/>
        </w:rPr>
        <w:t xml:space="preserve"> dans le cadre de la précédente Assemblée de Lisbonne</w:t>
      </w:r>
      <w:r w:rsidR="002C2549" w:rsidRPr="00C06542">
        <w:rPr>
          <w:lang w:val="fr-FR"/>
        </w:rPr>
        <w:t xml:space="preserve">, </w:t>
      </w:r>
      <w:r w:rsidRPr="00C06542">
        <w:rPr>
          <w:lang w:val="fr-FR"/>
        </w:rPr>
        <w:t>et qu</w:t>
      </w:r>
      <w:r w:rsidR="00533B18" w:rsidRPr="00C06542">
        <w:rPr>
          <w:lang w:val="fr-FR"/>
        </w:rPr>
        <w:t>’</w:t>
      </w:r>
      <w:r w:rsidRPr="00C06542">
        <w:rPr>
          <w:lang w:val="fr-FR"/>
        </w:rPr>
        <w:t>il</w:t>
      </w:r>
      <w:r w:rsidR="002C2549" w:rsidRPr="00C06542">
        <w:rPr>
          <w:lang w:val="fr-FR"/>
        </w:rPr>
        <w:t xml:space="preserve"> travaill</w:t>
      </w:r>
      <w:r w:rsidRPr="00C06542">
        <w:rPr>
          <w:lang w:val="fr-FR"/>
        </w:rPr>
        <w:t>ait</w:t>
      </w:r>
      <w:r w:rsidR="002C2549" w:rsidRPr="00C06542">
        <w:rPr>
          <w:lang w:val="fr-FR"/>
        </w:rPr>
        <w:t xml:space="preserve"> depuis lors en étroite collaboration avec le Secrétariat pour s</w:t>
      </w:r>
      <w:r w:rsidR="00533B18" w:rsidRPr="00C06542">
        <w:rPr>
          <w:lang w:val="fr-FR"/>
        </w:rPr>
        <w:t>’</w:t>
      </w:r>
      <w:r w:rsidR="002C2549" w:rsidRPr="00C06542">
        <w:rPr>
          <w:lang w:val="fr-FR"/>
        </w:rPr>
        <w:t>assurer de la pleine mise en œuvre de l</w:t>
      </w:r>
      <w:r w:rsidR="00533B18" w:rsidRPr="00C06542">
        <w:rPr>
          <w:lang w:val="fr-FR"/>
        </w:rPr>
        <w:t>’</w:t>
      </w:r>
      <w:r w:rsidR="002C2549" w:rsidRPr="00C06542">
        <w:rPr>
          <w:lang w:val="fr-FR"/>
        </w:rPr>
        <w:t>Ac</w:t>
      </w:r>
      <w:r w:rsidR="00C06542" w:rsidRPr="00C06542">
        <w:rPr>
          <w:lang w:val="fr-FR"/>
        </w:rPr>
        <w:t>te.  El</w:t>
      </w:r>
      <w:r w:rsidR="002C2549" w:rsidRPr="00C06542">
        <w:rPr>
          <w:lang w:val="fr-FR"/>
        </w:rPr>
        <w:t>le s</w:t>
      </w:r>
      <w:r w:rsidR="00533B18" w:rsidRPr="00C06542">
        <w:rPr>
          <w:lang w:val="fr-FR"/>
        </w:rPr>
        <w:t>’</w:t>
      </w:r>
      <w:r w:rsidR="002C2549" w:rsidRPr="00C06542">
        <w:rPr>
          <w:lang w:val="fr-FR"/>
        </w:rPr>
        <w:t>est également félicitée de l</w:t>
      </w:r>
      <w:r w:rsidR="00533B18" w:rsidRPr="00C06542">
        <w:rPr>
          <w:lang w:val="fr-FR"/>
        </w:rPr>
        <w:t>’</w:t>
      </w:r>
      <w:r w:rsidR="002C2549" w:rsidRPr="00C06542">
        <w:rPr>
          <w:lang w:val="fr-FR"/>
        </w:rPr>
        <w:t>adhésion de trois</w:t>
      </w:r>
      <w:r w:rsidR="006000A9" w:rsidRPr="00C06542">
        <w:rPr>
          <w:lang w:val="fr-FR"/>
        </w:rPr>
        <w:t> </w:t>
      </w:r>
      <w:r w:rsidR="002C2549" w:rsidRPr="00C06542">
        <w:rPr>
          <w:lang w:val="fr-FR"/>
        </w:rPr>
        <w:t>nouveaux pays et de l</w:t>
      </w:r>
      <w:r w:rsidR="00533B18" w:rsidRPr="00C06542">
        <w:rPr>
          <w:lang w:val="fr-FR"/>
        </w:rPr>
        <w:t>’</w:t>
      </w:r>
      <w:r w:rsidR="002C2549" w:rsidRPr="00C06542">
        <w:rPr>
          <w:lang w:val="fr-FR"/>
        </w:rPr>
        <w:t>adhésion de l</w:t>
      </w:r>
      <w:r w:rsidR="00533B18" w:rsidRPr="00C06542">
        <w:rPr>
          <w:lang w:val="fr-FR"/>
        </w:rPr>
        <w:t>’</w:t>
      </w:r>
      <w:r w:rsidR="002C2549" w:rsidRPr="00C06542">
        <w:rPr>
          <w:lang w:val="fr-FR"/>
        </w:rPr>
        <w:t>OAPI et de ses 17 États membr</w:t>
      </w:r>
      <w:r w:rsidR="00C06542" w:rsidRPr="00C06542">
        <w:rPr>
          <w:lang w:val="fr-FR"/>
        </w:rPr>
        <w:t xml:space="preserve">es.  À </w:t>
      </w:r>
      <w:r w:rsidR="002C2549" w:rsidRPr="00C06542">
        <w:rPr>
          <w:lang w:val="fr-FR"/>
        </w:rPr>
        <w:t>cet égard, elle a souligné l</w:t>
      </w:r>
      <w:r w:rsidR="00533B18" w:rsidRPr="00C06542">
        <w:rPr>
          <w:lang w:val="fr-FR"/>
        </w:rPr>
        <w:t>’</w:t>
      </w:r>
      <w:r w:rsidR="002C2549" w:rsidRPr="00C06542">
        <w:rPr>
          <w:lang w:val="fr-FR"/>
        </w:rPr>
        <w:t>importance d</w:t>
      </w:r>
      <w:r w:rsidR="00533B18" w:rsidRPr="00C06542">
        <w:rPr>
          <w:lang w:val="fr-FR"/>
        </w:rPr>
        <w:t>’</w:t>
      </w:r>
      <w:r w:rsidR="002C2549" w:rsidRPr="00C06542">
        <w:rPr>
          <w:lang w:val="fr-FR"/>
        </w:rPr>
        <w:t xml:space="preserve">attribuer les ressources financières nécessaires pour constituer un budget adéquat afin de fournir des services de qualité de manière efficace et en temps utile à un nombre croissant de </w:t>
      </w:r>
      <w:r w:rsidR="006E30EB" w:rsidRPr="00C06542">
        <w:rPr>
          <w:lang w:val="fr-FR"/>
        </w:rPr>
        <w:t>p</w:t>
      </w:r>
      <w:r w:rsidR="002C2549" w:rsidRPr="00C06542">
        <w:rPr>
          <w:lang w:val="fr-FR"/>
        </w:rPr>
        <w:t>arties contractant</w:t>
      </w:r>
      <w:r w:rsidR="00C06542" w:rsidRPr="00C06542">
        <w:rPr>
          <w:lang w:val="fr-FR"/>
        </w:rPr>
        <w:t>es.  Ce</w:t>
      </w:r>
      <w:r w:rsidR="00326A1C" w:rsidRPr="00C06542">
        <w:rPr>
          <w:lang w:val="fr-FR"/>
        </w:rPr>
        <w:t xml:space="preserve"> budget contribuerait en outre à renforcer le système de Lisbonne et à le rendre plus attraya</w:t>
      </w:r>
      <w:r w:rsidR="00C06542" w:rsidRPr="00C06542">
        <w:rPr>
          <w:lang w:val="fr-FR"/>
        </w:rPr>
        <w:t>nt.  En</w:t>
      </w:r>
      <w:r w:rsidR="00326A1C" w:rsidRPr="00C06542">
        <w:rPr>
          <w:lang w:val="fr-FR"/>
        </w:rPr>
        <w:t>fin, la délégation a appuyé les propositions de modification du règlement d</w:t>
      </w:r>
      <w:r w:rsidR="00533B18" w:rsidRPr="00C06542">
        <w:rPr>
          <w:lang w:val="fr-FR"/>
        </w:rPr>
        <w:t>’</w:t>
      </w:r>
      <w:r w:rsidR="00326A1C" w:rsidRPr="00C06542">
        <w:rPr>
          <w:lang w:val="fr-FR"/>
        </w:rPr>
        <w:t>exécution</w:t>
      </w:r>
      <w:r w:rsidR="00394C82" w:rsidRPr="00C06542">
        <w:rPr>
          <w:lang w:val="fr-FR"/>
        </w:rPr>
        <w:t xml:space="preserve"> commun</w:t>
      </w:r>
      <w:r w:rsidR="00326A1C" w:rsidRPr="00C06542">
        <w:rPr>
          <w:lang w:val="fr-FR"/>
        </w:rPr>
        <w:t>, et en particulier les corrections linguistiques de la version espagnole ainsi que la suppression de la règle 5.4).</w:t>
      </w:r>
    </w:p>
    <w:p w14:paraId="0664A4B8" w14:textId="23291FAE" w:rsidR="00326A1C" w:rsidRPr="00C06542" w:rsidRDefault="00754494" w:rsidP="00017C33">
      <w:pPr>
        <w:pStyle w:val="ONUMFS"/>
        <w:rPr>
          <w:spacing w:val="-2"/>
          <w:lang w:val="fr-FR"/>
        </w:rPr>
      </w:pPr>
      <w:r w:rsidRPr="00C06542">
        <w:rPr>
          <w:spacing w:val="-2"/>
          <w:lang w:val="fr-FR"/>
        </w:rPr>
        <w:t>La délégation de la Pologne s</w:t>
      </w:r>
      <w:r w:rsidR="00533B18" w:rsidRPr="00C06542">
        <w:rPr>
          <w:spacing w:val="-2"/>
          <w:lang w:val="fr-FR"/>
        </w:rPr>
        <w:t>’</w:t>
      </w:r>
      <w:r w:rsidRPr="00C06542">
        <w:rPr>
          <w:spacing w:val="-2"/>
          <w:lang w:val="fr-FR"/>
        </w:rPr>
        <w:t xml:space="preserve">est associée à </w:t>
      </w:r>
      <w:r w:rsidR="00976370" w:rsidRPr="00C06542">
        <w:rPr>
          <w:spacing w:val="-2"/>
          <w:lang w:val="fr-FR"/>
        </w:rPr>
        <w:t xml:space="preserve">la déclaration </w:t>
      </w:r>
      <w:r w:rsidR="006C38D4" w:rsidRPr="00C06542">
        <w:rPr>
          <w:spacing w:val="-2"/>
          <w:lang w:val="fr-FR"/>
        </w:rPr>
        <w:t>faite par</w:t>
      </w:r>
      <w:r w:rsidR="00976370" w:rsidRPr="00C06542">
        <w:rPr>
          <w:spacing w:val="-2"/>
          <w:lang w:val="fr-FR"/>
        </w:rPr>
        <w:t xml:space="preserve"> la délégation de l</w:t>
      </w:r>
      <w:r w:rsidR="00533B18" w:rsidRPr="00C06542">
        <w:rPr>
          <w:spacing w:val="-2"/>
          <w:lang w:val="fr-FR"/>
        </w:rPr>
        <w:t>’</w:t>
      </w:r>
      <w:r w:rsidR="00976370" w:rsidRPr="00C06542">
        <w:rPr>
          <w:spacing w:val="-2"/>
          <w:lang w:val="fr-FR"/>
        </w:rPr>
        <w:t>Union européen</w:t>
      </w:r>
      <w:r w:rsidR="00C06542" w:rsidRPr="00C06542">
        <w:rPr>
          <w:spacing w:val="-2"/>
          <w:lang w:val="fr-FR"/>
        </w:rPr>
        <w:t>ne.  Pr</w:t>
      </w:r>
      <w:r w:rsidR="006C38D4" w:rsidRPr="00C06542">
        <w:rPr>
          <w:spacing w:val="-2"/>
          <w:lang w:val="fr-FR"/>
        </w:rPr>
        <w:t>enant note</w:t>
      </w:r>
      <w:r w:rsidR="00976370" w:rsidRPr="00C06542">
        <w:rPr>
          <w:spacing w:val="-2"/>
          <w:lang w:val="fr-FR"/>
        </w:rPr>
        <w:t xml:space="preserve"> d</w:t>
      </w:r>
      <w:r w:rsidR="006C38D4" w:rsidRPr="00C06542">
        <w:rPr>
          <w:spacing w:val="-2"/>
          <w:lang w:val="fr-FR"/>
        </w:rPr>
        <w:t>e l</w:t>
      </w:r>
      <w:r w:rsidR="00533B18" w:rsidRPr="00C06542">
        <w:rPr>
          <w:spacing w:val="-2"/>
          <w:lang w:val="fr-FR"/>
        </w:rPr>
        <w:t>’</w:t>
      </w:r>
      <w:r w:rsidR="006C38D4" w:rsidRPr="00C06542">
        <w:rPr>
          <w:spacing w:val="-2"/>
          <w:lang w:val="fr-FR"/>
        </w:rPr>
        <w:t>entrée en vigueur, le</w:t>
      </w:r>
      <w:r w:rsidR="00533B18" w:rsidRPr="00C06542">
        <w:rPr>
          <w:spacing w:val="-2"/>
          <w:lang w:val="fr-FR"/>
        </w:rPr>
        <w:t xml:space="preserve"> 1</w:t>
      </w:r>
      <w:r w:rsidR="00533B18" w:rsidRPr="00C06542">
        <w:rPr>
          <w:spacing w:val="-2"/>
          <w:vertAlign w:val="superscript"/>
          <w:lang w:val="fr-FR"/>
        </w:rPr>
        <w:t>er</w:t>
      </w:r>
      <w:r w:rsidR="00533B18" w:rsidRPr="00C06542">
        <w:rPr>
          <w:spacing w:val="-2"/>
          <w:lang w:val="fr-FR"/>
        </w:rPr>
        <w:t> </w:t>
      </w:r>
      <w:r w:rsidR="006C38D4" w:rsidRPr="00C06542">
        <w:rPr>
          <w:spacing w:val="-2"/>
          <w:lang w:val="fr-FR"/>
        </w:rPr>
        <w:t>janvier 2023, d</w:t>
      </w:r>
      <w:r w:rsidR="00976370" w:rsidRPr="00C06542">
        <w:rPr>
          <w:spacing w:val="-2"/>
          <w:lang w:val="fr-FR"/>
        </w:rPr>
        <w:t>es modifications du règlement d</w:t>
      </w:r>
      <w:r w:rsidR="00533B18" w:rsidRPr="00C06542">
        <w:rPr>
          <w:spacing w:val="-2"/>
          <w:lang w:val="fr-FR"/>
        </w:rPr>
        <w:t>’</w:t>
      </w:r>
      <w:r w:rsidR="00976370" w:rsidRPr="00C06542">
        <w:rPr>
          <w:spacing w:val="-2"/>
          <w:lang w:val="fr-FR"/>
        </w:rPr>
        <w:t>exécution</w:t>
      </w:r>
      <w:r w:rsidR="00394C82" w:rsidRPr="00C06542">
        <w:rPr>
          <w:spacing w:val="-2"/>
          <w:lang w:val="fr-FR"/>
        </w:rPr>
        <w:t xml:space="preserve"> commun</w:t>
      </w:r>
      <w:r w:rsidR="008C748F" w:rsidRPr="00C06542">
        <w:rPr>
          <w:spacing w:val="-2"/>
          <w:lang w:val="fr-FR"/>
        </w:rPr>
        <w:t xml:space="preserve">, </w:t>
      </w:r>
      <w:r w:rsidR="006C38D4" w:rsidRPr="00C06542">
        <w:rPr>
          <w:spacing w:val="-2"/>
          <w:lang w:val="fr-FR"/>
        </w:rPr>
        <w:t xml:space="preserve">qui </w:t>
      </w:r>
      <w:r w:rsidR="008C748F" w:rsidRPr="00C06542">
        <w:rPr>
          <w:spacing w:val="-2"/>
          <w:lang w:val="fr-FR"/>
        </w:rPr>
        <w:t>permetta</w:t>
      </w:r>
      <w:r w:rsidR="006C38D4" w:rsidRPr="00C06542">
        <w:rPr>
          <w:spacing w:val="-2"/>
          <w:lang w:val="fr-FR"/>
        </w:rPr>
        <w:t>ie</w:t>
      </w:r>
      <w:r w:rsidR="008C748F" w:rsidRPr="00C06542">
        <w:rPr>
          <w:spacing w:val="-2"/>
          <w:lang w:val="fr-FR"/>
        </w:rPr>
        <w:t>nt aux utilisateurs du système de Lisbonne de bénéficier de procédures simplifiées et rationalisées, elle a soutenu l</w:t>
      </w:r>
      <w:r w:rsidR="00533B18" w:rsidRPr="00C06542">
        <w:rPr>
          <w:spacing w:val="-2"/>
          <w:lang w:val="fr-FR"/>
        </w:rPr>
        <w:t>’</w:t>
      </w:r>
      <w:r w:rsidR="008C748F" w:rsidRPr="00C06542">
        <w:rPr>
          <w:spacing w:val="-2"/>
          <w:lang w:val="fr-FR"/>
        </w:rPr>
        <w:t>adoption des propositions de modification du règlement d</w:t>
      </w:r>
      <w:r w:rsidR="00533B18" w:rsidRPr="00C06542">
        <w:rPr>
          <w:spacing w:val="-2"/>
          <w:lang w:val="fr-FR"/>
        </w:rPr>
        <w:t>’</w:t>
      </w:r>
      <w:r w:rsidR="008C748F" w:rsidRPr="00C06542">
        <w:rPr>
          <w:spacing w:val="-2"/>
          <w:lang w:val="fr-FR"/>
        </w:rPr>
        <w:t>exécution</w:t>
      </w:r>
      <w:r w:rsidR="00394C82" w:rsidRPr="00C06542">
        <w:rPr>
          <w:spacing w:val="-2"/>
          <w:lang w:val="fr-FR"/>
        </w:rPr>
        <w:t xml:space="preserve"> commun</w:t>
      </w:r>
      <w:r w:rsidR="008C748F" w:rsidRPr="00C06542">
        <w:rPr>
          <w:spacing w:val="-2"/>
          <w:lang w:val="fr-FR"/>
        </w:rPr>
        <w:t xml:space="preserve"> telles qu</w:t>
      </w:r>
      <w:r w:rsidR="00533B18" w:rsidRPr="00C06542">
        <w:rPr>
          <w:spacing w:val="-2"/>
          <w:lang w:val="fr-FR"/>
        </w:rPr>
        <w:t>’</w:t>
      </w:r>
      <w:r w:rsidR="008C748F" w:rsidRPr="00C06542">
        <w:rPr>
          <w:spacing w:val="-2"/>
          <w:lang w:val="fr-FR"/>
        </w:rPr>
        <w:t>elles figur</w:t>
      </w:r>
      <w:r w:rsidR="0063082C" w:rsidRPr="00C06542">
        <w:rPr>
          <w:spacing w:val="-2"/>
          <w:lang w:val="fr-FR"/>
        </w:rPr>
        <w:t>ai</w:t>
      </w:r>
      <w:r w:rsidR="008C748F" w:rsidRPr="00C06542">
        <w:rPr>
          <w:spacing w:val="-2"/>
          <w:lang w:val="fr-FR"/>
        </w:rPr>
        <w:t>ent dans l</w:t>
      </w:r>
      <w:r w:rsidR="00533B18" w:rsidRPr="00C06542">
        <w:rPr>
          <w:spacing w:val="-2"/>
          <w:lang w:val="fr-FR"/>
        </w:rPr>
        <w:t>’</w:t>
      </w:r>
      <w:r w:rsidR="008C748F" w:rsidRPr="00C06542">
        <w:rPr>
          <w:spacing w:val="-2"/>
          <w:lang w:val="fr-FR"/>
        </w:rPr>
        <w:t xml:space="preserve">annexe du </w:t>
      </w:r>
      <w:r w:rsidR="005D4CBB" w:rsidRPr="00C06542">
        <w:rPr>
          <w:spacing w:val="-2"/>
          <w:lang w:val="fr-FR"/>
        </w:rPr>
        <w:t>document LI</w:t>
      </w:r>
      <w:r w:rsidR="008C748F" w:rsidRPr="00C06542">
        <w:rPr>
          <w:spacing w:val="-2"/>
          <w:lang w:val="fr-FR"/>
        </w:rPr>
        <w:t xml:space="preserve">/A/40/1, </w:t>
      </w:r>
      <w:r w:rsidR="00D25E17" w:rsidRPr="00C06542">
        <w:rPr>
          <w:spacing w:val="-2"/>
          <w:lang w:val="fr-FR"/>
        </w:rPr>
        <w:t xml:space="preserve">car </w:t>
      </w:r>
      <w:r w:rsidR="008C748F" w:rsidRPr="00C06542">
        <w:rPr>
          <w:spacing w:val="-2"/>
          <w:lang w:val="fr-FR"/>
        </w:rPr>
        <w:t>ces modifications allaient simplifier les procédures administratives dans l</w:t>
      </w:r>
      <w:r w:rsidR="00533B18" w:rsidRPr="00C06542">
        <w:rPr>
          <w:spacing w:val="-2"/>
          <w:lang w:val="fr-FR"/>
        </w:rPr>
        <w:t>’</w:t>
      </w:r>
      <w:r w:rsidR="008C748F" w:rsidRPr="00C06542">
        <w:rPr>
          <w:spacing w:val="-2"/>
          <w:lang w:val="fr-FR"/>
        </w:rPr>
        <w:t>intérêt de toutes les parties contractantes</w:t>
      </w:r>
      <w:r w:rsidR="0079640D" w:rsidRPr="00C06542">
        <w:rPr>
          <w:spacing w:val="-2"/>
          <w:lang w:val="fr-FR"/>
        </w:rPr>
        <w:t xml:space="preserve"> et allaient en outre accroître l</w:t>
      </w:r>
      <w:r w:rsidR="00533B18" w:rsidRPr="00C06542">
        <w:rPr>
          <w:spacing w:val="-2"/>
          <w:lang w:val="fr-FR"/>
        </w:rPr>
        <w:t>’</w:t>
      </w:r>
      <w:r w:rsidR="0079640D" w:rsidRPr="00C06542">
        <w:rPr>
          <w:spacing w:val="-2"/>
          <w:lang w:val="fr-FR"/>
        </w:rPr>
        <w:t>intérêt des systèmes de protection des appellations d</w:t>
      </w:r>
      <w:r w:rsidR="00533B18" w:rsidRPr="00C06542">
        <w:rPr>
          <w:spacing w:val="-2"/>
          <w:lang w:val="fr-FR"/>
        </w:rPr>
        <w:t>’</w:t>
      </w:r>
      <w:r w:rsidR="0079640D" w:rsidRPr="00C06542">
        <w:rPr>
          <w:spacing w:val="-2"/>
          <w:lang w:val="fr-FR"/>
        </w:rPr>
        <w:t>origine et des indications géographiqu</w:t>
      </w:r>
      <w:r w:rsidR="00C06542" w:rsidRPr="00C06542">
        <w:rPr>
          <w:spacing w:val="-2"/>
          <w:lang w:val="fr-FR"/>
        </w:rPr>
        <w:t>es.  El</w:t>
      </w:r>
      <w:r w:rsidR="00AC0EE8" w:rsidRPr="00C06542">
        <w:rPr>
          <w:spacing w:val="-2"/>
          <w:lang w:val="fr-FR"/>
        </w:rPr>
        <w:t xml:space="preserve">le a insisté sur le fait que les indications géographiques étaient très importantes pour le système de propriété intellectuelle polonais car elles protégeaient les produits traditionnels du pays et garantissaient ainsi la préservation </w:t>
      </w:r>
      <w:r w:rsidR="00140D6E" w:rsidRPr="00C06542">
        <w:rPr>
          <w:spacing w:val="-2"/>
          <w:lang w:val="fr-FR"/>
        </w:rPr>
        <w:t>d</w:t>
      </w:r>
      <w:r w:rsidR="00533B18" w:rsidRPr="00C06542">
        <w:rPr>
          <w:spacing w:val="-2"/>
          <w:lang w:val="fr-FR"/>
        </w:rPr>
        <w:t>’</w:t>
      </w:r>
      <w:r w:rsidR="00140D6E" w:rsidRPr="00C06542">
        <w:rPr>
          <w:spacing w:val="-2"/>
          <w:lang w:val="fr-FR"/>
        </w:rPr>
        <w:t>un patrimoine culturel fort anci</w:t>
      </w:r>
      <w:r w:rsidR="00C06542" w:rsidRPr="00C06542">
        <w:rPr>
          <w:spacing w:val="-2"/>
          <w:lang w:val="fr-FR"/>
        </w:rPr>
        <w:t>en.  El</w:t>
      </w:r>
      <w:r w:rsidR="00807DEA" w:rsidRPr="00C06542">
        <w:rPr>
          <w:spacing w:val="-2"/>
          <w:lang w:val="fr-FR"/>
        </w:rPr>
        <w:t>le a constaté que le nombre de membres du système de Lisbonne ne cessait d</w:t>
      </w:r>
      <w:r w:rsidR="00533B18" w:rsidRPr="00C06542">
        <w:rPr>
          <w:spacing w:val="-2"/>
          <w:lang w:val="fr-FR"/>
        </w:rPr>
        <w:t>’</w:t>
      </w:r>
      <w:r w:rsidR="00807DEA" w:rsidRPr="00C06542">
        <w:rPr>
          <w:spacing w:val="-2"/>
          <w:lang w:val="fr-FR"/>
        </w:rPr>
        <w:t>augmenter et a salué la proposition de budget de ce système pour l</w:t>
      </w:r>
      <w:r w:rsidR="00533B18" w:rsidRPr="00C06542">
        <w:rPr>
          <w:spacing w:val="-2"/>
          <w:lang w:val="fr-FR"/>
        </w:rPr>
        <w:t>’</w:t>
      </w:r>
      <w:r w:rsidR="00807DEA" w:rsidRPr="00C06542">
        <w:rPr>
          <w:spacing w:val="-2"/>
          <w:lang w:val="fr-FR"/>
        </w:rPr>
        <w:t xml:space="preserve">exercice </w:t>
      </w:r>
      <w:r w:rsidR="005D4CBB" w:rsidRPr="00C06542">
        <w:rPr>
          <w:spacing w:val="-2"/>
          <w:lang w:val="fr-FR"/>
        </w:rPr>
        <w:t>biennal 2024</w:t>
      </w:r>
      <w:r w:rsidR="00E70D34">
        <w:rPr>
          <w:spacing w:val="-2"/>
          <w:lang w:val="fr-FR"/>
        </w:rPr>
        <w:noBreakHyphen/>
      </w:r>
      <w:r w:rsidR="00807DEA" w:rsidRPr="00C06542">
        <w:rPr>
          <w:spacing w:val="-2"/>
          <w:lang w:val="fr-FR"/>
        </w:rPr>
        <w:t>2025, qui tenait compte de l</w:t>
      </w:r>
      <w:r w:rsidR="00533B18" w:rsidRPr="00C06542">
        <w:rPr>
          <w:spacing w:val="-2"/>
          <w:lang w:val="fr-FR"/>
        </w:rPr>
        <w:t>’</w:t>
      </w:r>
      <w:r w:rsidR="00807DEA" w:rsidRPr="00C06542">
        <w:rPr>
          <w:spacing w:val="-2"/>
          <w:lang w:val="fr-FR"/>
        </w:rPr>
        <w:t>augmentation du nombre de membr</w:t>
      </w:r>
      <w:r w:rsidR="00C06542" w:rsidRPr="00C06542">
        <w:rPr>
          <w:spacing w:val="-2"/>
          <w:lang w:val="fr-FR"/>
        </w:rPr>
        <w:t>es.  Si</w:t>
      </w:r>
      <w:r w:rsidR="00807DEA" w:rsidRPr="00C06542">
        <w:rPr>
          <w:spacing w:val="-2"/>
          <w:lang w:val="fr-FR"/>
        </w:rPr>
        <w:t xml:space="preserve"> la délégation s</w:t>
      </w:r>
      <w:r w:rsidR="00533B18" w:rsidRPr="00C06542">
        <w:rPr>
          <w:spacing w:val="-2"/>
          <w:lang w:val="fr-FR"/>
        </w:rPr>
        <w:t>’</w:t>
      </w:r>
      <w:r w:rsidR="00807DEA" w:rsidRPr="00C06542">
        <w:rPr>
          <w:spacing w:val="-2"/>
          <w:lang w:val="fr-FR"/>
        </w:rPr>
        <w:t>est</w:t>
      </w:r>
      <w:r w:rsidR="006217B3" w:rsidRPr="00C06542">
        <w:rPr>
          <w:spacing w:val="-2"/>
          <w:lang w:val="fr-FR"/>
        </w:rPr>
        <w:t xml:space="preserve"> </w:t>
      </w:r>
      <w:r w:rsidR="00807DEA" w:rsidRPr="00C06542">
        <w:rPr>
          <w:spacing w:val="-2"/>
          <w:lang w:val="fr-FR"/>
        </w:rPr>
        <w:t>réjouie des nouvelles adhésions au système de Lisbonne, elle a exprimé des préoccupations concernant l</w:t>
      </w:r>
      <w:r w:rsidR="00533B18" w:rsidRPr="00C06542">
        <w:rPr>
          <w:spacing w:val="-2"/>
          <w:lang w:val="fr-FR"/>
        </w:rPr>
        <w:t>’</w:t>
      </w:r>
      <w:r w:rsidR="00807DEA" w:rsidRPr="00C06542">
        <w:rPr>
          <w:spacing w:val="-2"/>
          <w:lang w:val="fr-FR"/>
        </w:rPr>
        <w:t>adhésion de la Fédération de Russie à l</w:t>
      </w:r>
      <w:r w:rsidR="00533B18" w:rsidRPr="00C06542">
        <w:rPr>
          <w:spacing w:val="-2"/>
          <w:lang w:val="fr-FR"/>
        </w:rPr>
        <w:t>’</w:t>
      </w:r>
      <w:r w:rsidR="00807DEA" w:rsidRPr="00C06542">
        <w:rPr>
          <w:spacing w:val="-2"/>
          <w:lang w:val="fr-FR"/>
        </w:rPr>
        <w:t>Acte de Genève de l</w:t>
      </w:r>
      <w:r w:rsidR="00533B18" w:rsidRPr="00C06542">
        <w:rPr>
          <w:spacing w:val="-2"/>
          <w:lang w:val="fr-FR"/>
        </w:rPr>
        <w:t>’</w:t>
      </w:r>
      <w:r w:rsidR="00807DEA" w:rsidRPr="00C06542">
        <w:rPr>
          <w:spacing w:val="-2"/>
          <w:lang w:val="fr-FR"/>
        </w:rPr>
        <w:t xml:space="preserve">Arrangement de Lisbonne, dans la mesure où un pays qui continuait de porter atteinte aux lois internationales ne devait pas bénéficier des avantages du système de Lisbonne </w:t>
      </w:r>
      <w:r w:rsidR="00F45770" w:rsidRPr="00C06542">
        <w:rPr>
          <w:spacing w:val="-2"/>
          <w:lang w:val="fr-FR"/>
        </w:rPr>
        <w:t xml:space="preserve">dans le cadre de ses activités </w:t>
      </w:r>
      <w:r w:rsidR="00BF0FAC" w:rsidRPr="00C06542">
        <w:rPr>
          <w:spacing w:val="-2"/>
          <w:lang w:val="fr-FR"/>
        </w:rPr>
        <w:t>courant</w:t>
      </w:r>
      <w:r w:rsidR="00C06542" w:rsidRPr="00C06542">
        <w:rPr>
          <w:spacing w:val="-2"/>
          <w:lang w:val="fr-FR"/>
        </w:rPr>
        <w:t>es.  En</w:t>
      </w:r>
      <w:r w:rsidR="00084AE5" w:rsidRPr="00C06542">
        <w:rPr>
          <w:spacing w:val="-2"/>
          <w:lang w:val="fr-FR"/>
        </w:rPr>
        <w:t xml:space="preserve"> guise de conclusion, la délégation a exprimé sa solidarité avec l</w:t>
      </w:r>
      <w:r w:rsidR="00533B18" w:rsidRPr="00C06542">
        <w:rPr>
          <w:spacing w:val="-2"/>
          <w:lang w:val="fr-FR"/>
        </w:rPr>
        <w:t>’</w:t>
      </w:r>
      <w:r w:rsidR="00084AE5" w:rsidRPr="00C06542">
        <w:rPr>
          <w:spacing w:val="-2"/>
          <w:lang w:val="fr-FR"/>
        </w:rPr>
        <w:t>Ukraine et le peuple ukrainien.</w:t>
      </w:r>
    </w:p>
    <w:p w14:paraId="6A87A244" w14:textId="1A77A78B" w:rsidR="00084AE5" w:rsidRPr="00C06542" w:rsidRDefault="006C38D4" w:rsidP="00017C33">
      <w:pPr>
        <w:pStyle w:val="ONUMFS"/>
        <w:rPr>
          <w:lang w:val="fr-FR"/>
        </w:rPr>
      </w:pPr>
      <w:r w:rsidRPr="00C06542">
        <w:rPr>
          <w:lang w:val="fr-FR"/>
        </w:rPr>
        <w:t>S</w:t>
      </w:r>
      <w:r w:rsidR="00533B18" w:rsidRPr="00C06542">
        <w:rPr>
          <w:lang w:val="fr-FR"/>
        </w:rPr>
        <w:t>’</w:t>
      </w:r>
      <w:r w:rsidRPr="00C06542">
        <w:rPr>
          <w:lang w:val="fr-FR"/>
        </w:rPr>
        <w:t>associant</w:t>
      </w:r>
      <w:r w:rsidR="004F0D99" w:rsidRPr="00C06542">
        <w:rPr>
          <w:lang w:val="fr-FR"/>
        </w:rPr>
        <w:t xml:space="preserve"> à la déclaration </w:t>
      </w:r>
      <w:r w:rsidRPr="00C06542">
        <w:rPr>
          <w:lang w:val="fr-FR"/>
        </w:rPr>
        <w:t>faite par</w:t>
      </w:r>
      <w:r w:rsidR="004F0D99" w:rsidRPr="00C06542">
        <w:rPr>
          <w:lang w:val="fr-FR"/>
        </w:rPr>
        <w:t xml:space="preserve"> la délégation de l</w:t>
      </w:r>
      <w:r w:rsidR="00533B18" w:rsidRPr="00C06542">
        <w:rPr>
          <w:lang w:val="fr-FR"/>
        </w:rPr>
        <w:t>’</w:t>
      </w:r>
      <w:r w:rsidR="004F0D99" w:rsidRPr="00C06542">
        <w:rPr>
          <w:lang w:val="fr-FR"/>
        </w:rPr>
        <w:t xml:space="preserve">Union européenne </w:t>
      </w:r>
      <w:r w:rsidRPr="00C06542">
        <w:rPr>
          <w:lang w:val="fr-FR"/>
        </w:rPr>
        <w:t xml:space="preserve">au nom </w:t>
      </w:r>
      <w:r w:rsidR="004F0D99" w:rsidRPr="00C06542">
        <w:rPr>
          <w:lang w:val="fr-FR"/>
        </w:rPr>
        <w:t>de ses États membres, la délégation d</w:t>
      </w:r>
      <w:r w:rsidR="00352A22" w:rsidRPr="00C06542">
        <w:rPr>
          <w:lang w:val="fr-FR"/>
        </w:rPr>
        <w:t>e l</w:t>
      </w:r>
      <w:r w:rsidR="00533B18" w:rsidRPr="00C06542">
        <w:rPr>
          <w:lang w:val="fr-FR"/>
        </w:rPr>
        <w:t>’</w:t>
      </w:r>
      <w:r w:rsidR="004F0D99" w:rsidRPr="00C06542">
        <w:rPr>
          <w:lang w:val="fr-FR"/>
        </w:rPr>
        <w:t>Italie a salué l</w:t>
      </w:r>
      <w:r w:rsidR="00533B18" w:rsidRPr="00C06542">
        <w:rPr>
          <w:lang w:val="fr-FR"/>
        </w:rPr>
        <w:t>’</w:t>
      </w:r>
      <w:r w:rsidR="004F0D99" w:rsidRPr="00C06542">
        <w:rPr>
          <w:lang w:val="fr-FR"/>
        </w:rPr>
        <w:t xml:space="preserve">ensemble des travaux </w:t>
      </w:r>
      <w:r w:rsidR="00D40598" w:rsidRPr="00C06542">
        <w:rPr>
          <w:lang w:val="fr-FR"/>
        </w:rPr>
        <w:t>menés</w:t>
      </w:r>
      <w:r w:rsidR="004F0D99" w:rsidRPr="00C06542">
        <w:rPr>
          <w:lang w:val="fr-FR"/>
        </w:rPr>
        <w:t xml:space="preserve"> par </w:t>
      </w:r>
      <w:r w:rsidR="00D40598" w:rsidRPr="00C06542">
        <w:rPr>
          <w:lang w:val="fr-FR"/>
        </w:rPr>
        <w:t>le Service d</w:t>
      </w:r>
      <w:r w:rsidR="00533B18" w:rsidRPr="00C06542">
        <w:rPr>
          <w:lang w:val="fr-FR"/>
        </w:rPr>
        <w:t>’</w:t>
      </w:r>
      <w:r w:rsidR="00D40598" w:rsidRPr="00C06542">
        <w:rPr>
          <w:lang w:val="fr-FR"/>
        </w:rPr>
        <w:t>enregistrement de Lisbonne pour améliorer la représentation géographique de l</w:t>
      </w:r>
      <w:r w:rsidR="00533B18" w:rsidRPr="00C06542">
        <w:rPr>
          <w:lang w:val="fr-FR"/>
        </w:rPr>
        <w:t>’</w:t>
      </w:r>
      <w:r w:rsidR="00D40598" w:rsidRPr="00C06542">
        <w:rPr>
          <w:lang w:val="fr-FR"/>
        </w:rPr>
        <w:t>Union de Lisbonne</w:t>
      </w:r>
      <w:r w:rsidR="00631550" w:rsidRPr="00C06542">
        <w:rPr>
          <w:lang w:val="fr-FR"/>
        </w:rPr>
        <w:t>, et elle s</w:t>
      </w:r>
      <w:r w:rsidR="00533B18" w:rsidRPr="00C06542">
        <w:rPr>
          <w:lang w:val="fr-FR"/>
        </w:rPr>
        <w:t>’</w:t>
      </w:r>
      <w:r w:rsidR="00631550" w:rsidRPr="00C06542">
        <w:rPr>
          <w:lang w:val="fr-FR"/>
        </w:rPr>
        <w:t xml:space="preserve">est réjouie de la perspective de développer davantage le système </w:t>
      </w:r>
      <w:r w:rsidR="00631550" w:rsidRPr="00C06542">
        <w:rPr>
          <w:lang w:val="fr-FR"/>
        </w:rPr>
        <w:lastRenderedPageBreak/>
        <w:t>d</w:t>
      </w:r>
      <w:r w:rsidR="00533B18" w:rsidRPr="00C06542">
        <w:rPr>
          <w:lang w:val="fr-FR"/>
        </w:rPr>
        <w:t>’</w:t>
      </w:r>
      <w:r w:rsidR="00631550" w:rsidRPr="00C06542">
        <w:rPr>
          <w:lang w:val="fr-FR"/>
        </w:rPr>
        <w:t>enregistrement international destiné aux appellations d</w:t>
      </w:r>
      <w:r w:rsidR="00533B18" w:rsidRPr="00C06542">
        <w:rPr>
          <w:lang w:val="fr-FR"/>
        </w:rPr>
        <w:t>’</w:t>
      </w:r>
      <w:r w:rsidR="00631550" w:rsidRPr="00C06542">
        <w:rPr>
          <w:lang w:val="fr-FR"/>
        </w:rPr>
        <w:t>origine et aux indications géographiques, ainsi que du fait que la plateforme e</w:t>
      </w:r>
      <w:r w:rsidR="00E70D34">
        <w:rPr>
          <w:lang w:val="fr-FR"/>
        </w:rPr>
        <w:noBreakHyphen/>
      </w:r>
      <w:proofErr w:type="spellStart"/>
      <w:r w:rsidR="00631550" w:rsidRPr="00C06542">
        <w:rPr>
          <w:lang w:val="fr-FR"/>
        </w:rPr>
        <w:t>Lisbon</w:t>
      </w:r>
      <w:proofErr w:type="spellEnd"/>
      <w:r w:rsidR="00631550" w:rsidRPr="00C06542">
        <w:rPr>
          <w:lang w:val="fr-FR"/>
        </w:rPr>
        <w:t xml:space="preserve"> allait être mise en œuvre dans un proche aven</w:t>
      </w:r>
      <w:r w:rsidR="00C06542" w:rsidRPr="00C06542">
        <w:rPr>
          <w:lang w:val="fr-FR"/>
        </w:rPr>
        <w:t>ir.  Ob</w:t>
      </w:r>
      <w:r w:rsidRPr="00C06542">
        <w:rPr>
          <w:lang w:val="fr-FR"/>
        </w:rPr>
        <w:t>servant</w:t>
      </w:r>
      <w:r w:rsidR="00DC56F8" w:rsidRPr="00C06542">
        <w:rPr>
          <w:lang w:val="fr-FR"/>
        </w:rPr>
        <w:t xml:space="preserve"> que le Secrétariat avait attribué une part notable du budget de l</w:t>
      </w:r>
      <w:r w:rsidR="00533B18" w:rsidRPr="00C06542">
        <w:rPr>
          <w:lang w:val="fr-FR"/>
        </w:rPr>
        <w:t>’</w:t>
      </w:r>
      <w:r w:rsidR="00DC56F8" w:rsidRPr="00C06542">
        <w:rPr>
          <w:lang w:val="fr-FR"/>
        </w:rPr>
        <w:t>OMPI consacré à l</w:t>
      </w:r>
      <w:r w:rsidR="00533B18" w:rsidRPr="00C06542">
        <w:rPr>
          <w:lang w:val="fr-FR"/>
        </w:rPr>
        <w:t>’</w:t>
      </w:r>
      <w:r w:rsidR="00DC56F8" w:rsidRPr="00C06542">
        <w:rPr>
          <w:lang w:val="fr-FR"/>
        </w:rPr>
        <w:t xml:space="preserve">Union </w:t>
      </w:r>
      <w:r w:rsidR="00751D5E" w:rsidRPr="00C06542">
        <w:rPr>
          <w:lang w:val="fr-FR"/>
        </w:rPr>
        <w:t xml:space="preserve">à des </w:t>
      </w:r>
      <w:r w:rsidR="00DC56F8" w:rsidRPr="00C06542">
        <w:rPr>
          <w:lang w:val="fr-FR"/>
        </w:rPr>
        <w:t>activités d</w:t>
      </w:r>
      <w:r w:rsidR="00533B18" w:rsidRPr="00C06542">
        <w:rPr>
          <w:lang w:val="fr-FR"/>
        </w:rPr>
        <w:t>’</w:t>
      </w:r>
      <w:r w:rsidR="00DC56F8" w:rsidRPr="00C06542">
        <w:rPr>
          <w:lang w:val="fr-FR"/>
        </w:rPr>
        <w:t xml:space="preserve">appui technique et de renforcement des capacités </w:t>
      </w:r>
      <w:r w:rsidR="00751D5E" w:rsidRPr="00C06542">
        <w:rPr>
          <w:lang w:val="fr-FR"/>
        </w:rPr>
        <w:t>plutôt qu</w:t>
      </w:r>
      <w:r w:rsidR="00533B18" w:rsidRPr="00C06542">
        <w:rPr>
          <w:lang w:val="fr-FR"/>
        </w:rPr>
        <w:t>’</w:t>
      </w:r>
      <w:r w:rsidR="00751D5E" w:rsidRPr="00C06542">
        <w:rPr>
          <w:lang w:val="fr-FR"/>
        </w:rPr>
        <w:t xml:space="preserve">à des activités de promotion, </w:t>
      </w:r>
      <w:r w:rsidR="00472207" w:rsidRPr="00C06542">
        <w:rPr>
          <w:lang w:val="fr-FR"/>
        </w:rPr>
        <w:t>elle a estimé que cet appui technique était effectivement nécessaire pour répondre aux besoins croissants des membres d</w:t>
      </w:r>
      <w:r w:rsidR="00667101" w:rsidRPr="00C06542">
        <w:rPr>
          <w:lang w:val="fr-FR"/>
        </w:rPr>
        <w:t xml:space="preserve">u système de Lisbonne, </w:t>
      </w:r>
      <w:r w:rsidR="002A2B61" w:rsidRPr="00C06542">
        <w:rPr>
          <w:lang w:val="fr-FR"/>
        </w:rPr>
        <w:t>ce dernier comptant</w:t>
      </w:r>
      <w:r w:rsidR="00667101" w:rsidRPr="00C06542">
        <w:rPr>
          <w:lang w:val="fr-FR"/>
        </w:rPr>
        <w:t xml:space="preserve"> déjà 71 pays répartis </w:t>
      </w:r>
      <w:r w:rsidR="002A2B61" w:rsidRPr="00C06542">
        <w:rPr>
          <w:lang w:val="fr-FR"/>
        </w:rPr>
        <w:t>dans différentes régions géographiqu</w:t>
      </w:r>
      <w:r w:rsidR="00C06542" w:rsidRPr="00C06542">
        <w:rPr>
          <w:lang w:val="fr-FR"/>
        </w:rPr>
        <w:t>es.  Ce</w:t>
      </w:r>
      <w:r w:rsidR="002A2B61" w:rsidRPr="00C06542">
        <w:rPr>
          <w:lang w:val="fr-FR"/>
        </w:rPr>
        <w:t>tte augmentation du nombre de membres attestait de l</w:t>
      </w:r>
      <w:r w:rsidR="00533B18" w:rsidRPr="00C06542">
        <w:rPr>
          <w:lang w:val="fr-FR"/>
        </w:rPr>
        <w:t>’</w:t>
      </w:r>
      <w:r w:rsidR="002A2B61" w:rsidRPr="00C06542">
        <w:rPr>
          <w:lang w:val="fr-FR"/>
        </w:rPr>
        <w:t xml:space="preserve">intérêt accru qui était accordé </w:t>
      </w:r>
      <w:r w:rsidR="00117023" w:rsidRPr="00C06542">
        <w:rPr>
          <w:lang w:val="fr-FR"/>
        </w:rPr>
        <w:t xml:space="preserve">dans le monde entier </w:t>
      </w:r>
      <w:r w:rsidR="002A2B61" w:rsidRPr="00C06542">
        <w:rPr>
          <w:lang w:val="fr-FR"/>
        </w:rPr>
        <w:t>aux indications géographiques</w:t>
      </w:r>
      <w:r w:rsidR="00117023" w:rsidRPr="00C06542">
        <w:rPr>
          <w:lang w:val="fr-FR"/>
        </w:rPr>
        <w:t xml:space="preserve"> </w:t>
      </w:r>
      <w:r w:rsidR="00893A02" w:rsidRPr="00C06542">
        <w:rPr>
          <w:lang w:val="fr-FR"/>
        </w:rPr>
        <w:t xml:space="preserve">en raison </w:t>
      </w:r>
      <w:r w:rsidR="00117023" w:rsidRPr="00C06542">
        <w:rPr>
          <w:lang w:val="fr-FR"/>
        </w:rPr>
        <w:t>du fait que celles</w:t>
      </w:r>
      <w:r w:rsidR="00E70D34">
        <w:rPr>
          <w:lang w:val="fr-FR"/>
        </w:rPr>
        <w:noBreakHyphen/>
      </w:r>
      <w:r w:rsidR="00117023" w:rsidRPr="00C06542">
        <w:rPr>
          <w:lang w:val="fr-FR"/>
        </w:rPr>
        <w:t xml:space="preserve">ci constituaient un moteur de développement </w:t>
      </w:r>
      <w:proofErr w:type="gramStart"/>
      <w:r w:rsidR="00117023" w:rsidRPr="00C06542">
        <w:rPr>
          <w:lang w:val="fr-FR"/>
        </w:rPr>
        <w:t>économique;  dès</w:t>
      </w:r>
      <w:proofErr w:type="gramEnd"/>
      <w:r w:rsidR="00117023" w:rsidRPr="00C06542">
        <w:rPr>
          <w:lang w:val="fr-FR"/>
        </w:rPr>
        <w:t xml:space="preserve"> lors, </w:t>
      </w:r>
      <w:r w:rsidR="00B76A30" w:rsidRPr="00C06542">
        <w:rPr>
          <w:lang w:val="fr-FR"/>
        </w:rPr>
        <w:t xml:space="preserve">il était </w:t>
      </w:r>
      <w:r w:rsidR="003D5CFA" w:rsidRPr="00C06542">
        <w:rPr>
          <w:lang w:val="fr-FR"/>
        </w:rPr>
        <w:t>juste</w:t>
      </w:r>
      <w:r w:rsidR="00B76A30" w:rsidRPr="00C06542">
        <w:rPr>
          <w:lang w:val="fr-FR"/>
        </w:rPr>
        <w:t xml:space="preserve"> et nécessaire que le Secrétariat de l</w:t>
      </w:r>
      <w:r w:rsidR="00533B18" w:rsidRPr="00C06542">
        <w:rPr>
          <w:lang w:val="fr-FR"/>
        </w:rPr>
        <w:t>’</w:t>
      </w:r>
      <w:r w:rsidR="00B76A30" w:rsidRPr="00C06542">
        <w:rPr>
          <w:lang w:val="fr-FR"/>
        </w:rPr>
        <w:t>OMPI poursuivre ses travaux dans ce domai</w:t>
      </w:r>
      <w:r w:rsidR="00C06542" w:rsidRPr="00C06542">
        <w:rPr>
          <w:lang w:val="fr-FR"/>
        </w:rPr>
        <w:t>ne.  La</w:t>
      </w:r>
      <w:r w:rsidR="00B76A30" w:rsidRPr="00C06542">
        <w:rPr>
          <w:lang w:val="fr-FR"/>
        </w:rPr>
        <w:t xml:space="preserve"> délégation a souligné que l</w:t>
      </w:r>
      <w:r w:rsidR="00533B18" w:rsidRPr="00C06542">
        <w:rPr>
          <w:lang w:val="fr-FR"/>
        </w:rPr>
        <w:t>’</w:t>
      </w:r>
      <w:r w:rsidR="00B76A30" w:rsidRPr="00C06542">
        <w:rPr>
          <w:lang w:val="fr-FR"/>
        </w:rPr>
        <w:t xml:space="preserve">augmentation modeste du budget du système de Lisbonne </w:t>
      </w:r>
      <w:r w:rsidR="00E729A8" w:rsidRPr="00C06542">
        <w:rPr>
          <w:lang w:val="fr-FR"/>
        </w:rPr>
        <w:t>pour le prochain exercice biennal reflétait la croissance du volume de travail administratif et des demandes d</w:t>
      </w:r>
      <w:r w:rsidR="00533B18" w:rsidRPr="00C06542">
        <w:rPr>
          <w:lang w:val="fr-FR"/>
        </w:rPr>
        <w:t>’</w:t>
      </w:r>
      <w:r w:rsidR="00E729A8" w:rsidRPr="00C06542">
        <w:rPr>
          <w:lang w:val="fr-FR"/>
        </w:rPr>
        <w:t>assistance technique à laquelle le Service d</w:t>
      </w:r>
      <w:r w:rsidR="00533B18" w:rsidRPr="00C06542">
        <w:rPr>
          <w:lang w:val="fr-FR"/>
        </w:rPr>
        <w:t>’</w:t>
      </w:r>
      <w:r w:rsidR="00E729A8" w:rsidRPr="00C06542">
        <w:rPr>
          <w:lang w:val="fr-FR"/>
        </w:rPr>
        <w:t>enregistrement devait faire fa</w:t>
      </w:r>
      <w:r w:rsidR="00C06542" w:rsidRPr="00C06542">
        <w:rPr>
          <w:lang w:val="fr-FR"/>
        </w:rPr>
        <w:t>ce.  Pa</w:t>
      </w:r>
      <w:r w:rsidR="00E729A8" w:rsidRPr="00C06542">
        <w:rPr>
          <w:lang w:val="fr-FR"/>
        </w:rPr>
        <w:t xml:space="preserve">rallèlement, elle a insisté sur le fait que ces activités avaient une incidence </w:t>
      </w:r>
      <w:r w:rsidR="008E13AF" w:rsidRPr="00C06542">
        <w:rPr>
          <w:lang w:val="fr-FR"/>
        </w:rPr>
        <w:t>transversale qui dépassait largement le domaine d</w:t>
      </w:r>
      <w:r w:rsidR="00533B18" w:rsidRPr="00C06542">
        <w:rPr>
          <w:lang w:val="fr-FR"/>
        </w:rPr>
        <w:t>’</w:t>
      </w:r>
      <w:r w:rsidR="008E13AF" w:rsidRPr="00C06542">
        <w:rPr>
          <w:lang w:val="fr-FR"/>
        </w:rPr>
        <w:t>application du système de Lisbonne</w:t>
      </w:r>
      <w:r w:rsidR="000926D3" w:rsidRPr="00C06542">
        <w:rPr>
          <w:lang w:val="fr-FR"/>
        </w:rPr>
        <w:t>,</w:t>
      </w:r>
      <w:r w:rsidR="008E13AF" w:rsidRPr="00C06542">
        <w:rPr>
          <w:lang w:val="fr-FR"/>
        </w:rPr>
        <w:t xml:space="preserve"> puisqu</w:t>
      </w:r>
      <w:r w:rsidR="00533B18" w:rsidRPr="00C06542">
        <w:rPr>
          <w:lang w:val="fr-FR"/>
        </w:rPr>
        <w:t>’</w:t>
      </w:r>
      <w:r w:rsidR="008E13AF" w:rsidRPr="00C06542">
        <w:rPr>
          <w:lang w:val="fr-FR"/>
        </w:rPr>
        <w:t>elles contribuaient aussi au développement régional et national et qu</w:t>
      </w:r>
      <w:r w:rsidR="00533B18" w:rsidRPr="00C06542">
        <w:rPr>
          <w:lang w:val="fr-FR"/>
        </w:rPr>
        <w:t>’</w:t>
      </w:r>
      <w:r w:rsidR="008E13AF" w:rsidRPr="00C06542">
        <w:rPr>
          <w:lang w:val="fr-FR"/>
        </w:rPr>
        <w:t xml:space="preserve">elles soutenaient la progression en direction des </w:t>
      </w:r>
      <w:r w:rsidR="002919F6" w:rsidRPr="00C06542">
        <w:rPr>
          <w:lang w:val="fr-FR"/>
        </w:rPr>
        <w:t>objectifs de développement durable, conformément au mandat de l</w:t>
      </w:r>
      <w:r w:rsidR="00533B18" w:rsidRPr="00C06542">
        <w:rPr>
          <w:lang w:val="fr-FR"/>
        </w:rPr>
        <w:t>’</w:t>
      </w:r>
      <w:r w:rsidR="002919F6" w:rsidRPr="00C06542">
        <w:rPr>
          <w:lang w:val="fr-FR"/>
        </w:rPr>
        <w:t>OMPI.</w:t>
      </w:r>
    </w:p>
    <w:p w14:paraId="4476577C" w14:textId="334BBDA8" w:rsidR="002919F6" w:rsidRPr="00C06542" w:rsidRDefault="00306728" w:rsidP="00017C33">
      <w:pPr>
        <w:pStyle w:val="ONUMFS"/>
        <w:rPr>
          <w:spacing w:val="-2"/>
          <w:lang w:val="fr-FR"/>
        </w:rPr>
      </w:pPr>
      <w:r w:rsidRPr="00C06542">
        <w:rPr>
          <w:spacing w:val="-2"/>
          <w:lang w:val="fr-FR"/>
        </w:rPr>
        <w:t>La délégation de la Lituanie s</w:t>
      </w:r>
      <w:r w:rsidR="00533B18" w:rsidRPr="00C06542">
        <w:rPr>
          <w:spacing w:val="-2"/>
          <w:lang w:val="fr-FR"/>
        </w:rPr>
        <w:t>’</w:t>
      </w:r>
      <w:r w:rsidRPr="00C06542">
        <w:rPr>
          <w:spacing w:val="-2"/>
          <w:lang w:val="fr-FR"/>
        </w:rPr>
        <w:t>est pleinement associée à la déclaration de la délégation de l</w:t>
      </w:r>
      <w:r w:rsidR="00533B18" w:rsidRPr="00C06542">
        <w:rPr>
          <w:spacing w:val="-2"/>
          <w:lang w:val="fr-FR"/>
        </w:rPr>
        <w:t>’</w:t>
      </w:r>
      <w:r w:rsidRPr="00C06542">
        <w:rPr>
          <w:spacing w:val="-2"/>
          <w:lang w:val="fr-FR"/>
        </w:rPr>
        <w:t>Union européenne et a appuyé les propositions de modification du règlement d</w:t>
      </w:r>
      <w:r w:rsidR="00533B18" w:rsidRPr="00C06542">
        <w:rPr>
          <w:spacing w:val="-2"/>
          <w:lang w:val="fr-FR"/>
        </w:rPr>
        <w:t>’</w:t>
      </w:r>
      <w:r w:rsidRPr="00C06542">
        <w:rPr>
          <w:spacing w:val="-2"/>
          <w:lang w:val="fr-FR"/>
        </w:rPr>
        <w:t>exécution</w:t>
      </w:r>
      <w:r w:rsidR="00394C82" w:rsidRPr="00C06542">
        <w:rPr>
          <w:spacing w:val="-2"/>
          <w:lang w:val="fr-FR"/>
        </w:rPr>
        <w:t xml:space="preserve"> commun</w:t>
      </w:r>
      <w:r w:rsidRPr="00C06542">
        <w:rPr>
          <w:spacing w:val="-2"/>
          <w:lang w:val="fr-FR"/>
        </w:rPr>
        <w:t xml:space="preserve"> du système de Lisbon</w:t>
      </w:r>
      <w:r w:rsidR="00C06542" w:rsidRPr="00C06542">
        <w:rPr>
          <w:spacing w:val="-2"/>
          <w:lang w:val="fr-FR"/>
        </w:rPr>
        <w:t>ne.  El</w:t>
      </w:r>
      <w:r w:rsidRPr="00C06542">
        <w:rPr>
          <w:spacing w:val="-2"/>
          <w:lang w:val="fr-FR"/>
        </w:rPr>
        <w:t>le a cependant déclaré que la récente adhésion de la Fédération de Russie à l</w:t>
      </w:r>
      <w:r w:rsidR="00533B18" w:rsidRPr="00C06542">
        <w:rPr>
          <w:spacing w:val="-2"/>
          <w:lang w:val="fr-FR"/>
        </w:rPr>
        <w:t>’</w:t>
      </w:r>
      <w:r w:rsidRPr="00C06542">
        <w:rPr>
          <w:spacing w:val="-2"/>
          <w:lang w:val="fr-FR"/>
        </w:rPr>
        <w:t>Acte de Genève de l</w:t>
      </w:r>
      <w:r w:rsidR="00533B18" w:rsidRPr="00C06542">
        <w:rPr>
          <w:spacing w:val="-2"/>
          <w:lang w:val="fr-FR"/>
        </w:rPr>
        <w:t>’</w:t>
      </w:r>
      <w:r w:rsidRPr="00C06542">
        <w:rPr>
          <w:spacing w:val="-2"/>
          <w:lang w:val="fr-FR"/>
        </w:rPr>
        <w:t>Arrangement de Lisbonne était une source de profonde préoccupati</w:t>
      </w:r>
      <w:r w:rsidR="00C06542" w:rsidRPr="00C06542">
        <w:rPr>
          <w:spacing w:val="-2"/>
          <w:lang w:val="fr-FR"/>
        </w:rPr>
        <w:t>on.  Ap</w:t>
      </w:r>
      <w:r w:rsidRPr="00C06542">
        <w:rPr>
          <w:spacing w:val="-2"/>
          <w:lang w:val="fr-FR"/>
        </w:rPr>
        <w:t>rès avoir lancé une agression militaire contre l</w:t>
      </w:r>
      <w:r w:rsidR="00533B18" w:rsidRPr="00C06542">
        <w:rPr>
          <w:spacing w:val="-2"/>
          <w:lang w:val="fr-FR"/>
        </w:rPr>
        <w:t>’</w:t>
      </w:r>
      <w:r w:rsidRPr="00C06542">
        <w:rPr>
          <w:spacing w:val="-2"/>
          <w:lang w:val="fr-FR"/>
        </w:rPr>
        <w:t xml:space="preserve">Ukraine, la Fédération de Russie avait adopté unilatéralement une législation nationale qui légitimait les violations des accords internationaux dans le domaine de la propriété intellectuelle et </w:t>
      </w:r>
      <w:r w:rsidR="00CC6837" w:rsidRPr="00C06542">
        <w:rPr>
          <w:spacing w:val="-2"/>
          <w:lang w:val="fr-FR"/>
        </w:rPr>
        <w:t>portait atteinte</w:t>
      </w:r>
      <w:r w:rsidRPr="00C06542">
        <w:rPr>
          <w:spacing w:val="-2"/>
          <w:lang w:val="fr-FR"/>
        </w:rPr>
        <w:t xml:space="preserve"> </w:t>
      </w:r>
      <w:r w:rsidR="00CC6837" w:rsidRPr="00C06542">
        <w:rPr>
          <w:spacing w:val="-2"/>
          <w:lang w:val="fr-FR"/>
        </w:rPr>
        <w:t>de manière flagrante aux droits d</w:t>
      </w:r>
      <w:r w:rsidR="00533B18" w:rsidRPr="00C06542">
        <w:rPr>
          <w:spacing w:val="-2"/>
          <w:lang w:val="fr-FR"/>
        </w:rPr>
        <w:t>’</w:t>
      </w:r>
      <w:r w:rsidR="00CC6837" w:rsidRPr="00C06542">
        <w:rPr>
          <w:spacing w:val="-2"/>
          <w:lang w:val="fr-FR"/>
        </w:rPr>
        <w:t>autres parties contractantes de ces accor</w:t>
      </w:r>
      <w:r w:rsidR="00C06542" w:rsidRPr="00C06542">
        <w:rPr>
          <w:spacing w:val="-2"/>
          <w:lang w:val="fr-FR"/>
        </w:rPr>
        <w:t>ds.  Ce</w:t>
      </w:r>
      <w:r w:rsidR="003E0A66" w:rsidRPr="00C06542">
        <w:rPr>
          <w:spacing w:val="-2"/>
          <w:lang w:val="fr-FR"/>
        </w:rPr>
        <w:t>tte situation ne faisait que confirmer à nouveau que l</w:t>
      </w:r>
      <w:r w:rsidR="00533B18" w:rsidRPr="00C06542">
        <w:rPr>
          <w:spacing w:val="-2"/>
          <w:lang w:val="fr-FR"/>
        </w:rPr>
        <w:t>’</w:t>
      </w:r>
      <w:r w:rsidR="003E0A66" w:rsidRPr="00C06542">
        <w:rPr>
          <w:spacing w:val="-2"/>
          <w:lang w:val="fr-FR"/>
        </w:rPr>
        <w:t>adhésion de la Fédération de Russie à l</w:t>
      </w:r>
      <w:r w:rsidR="00533B18" w:rsidRPr="00C06542">
        <w:rPr>
          <w:spacing w:val="-2"/>
          <w:lang w:val="fr-FR"/>
        </w:rPr>
        <w:t>’</w:t>
      </w:r>
      <w:r w:rsidR="003E0A66" w:rsidRPr="00C06542">
        <w:rPr>
          <w:spacing w:val="-2"/>
          <w:lang w:val="fr-FR"/>
        </w:rPr>
        <w:t>Acte de Genève de l</w:t>
      </w:r>
      <w:r w:rsidR="00533B18" w:rsidRPr="00C06542">
        <w:rPr>
          <w:spacing w:val="-2"/>
          <w:lang w:val="fr-FR"/>
        </w:rPr>
        <w:t>’</w:t>
      </w:r>
      <w:r w:rsidR="003E0A66" w:rsidRPr="00C06542">
        <w:rPr>
          <w:spacing w:val="-2"/>
          <w:lang w:val="fr-FR"/>
        </w:rPr>
        <w:t>Arrangement de Lisbonne ne contribuait ni au renforcement ni à l</w:t>
      </w:r>
      <w:r w:rsidR="00533B18" w:rsidRPr="00C06542">
        <w:rPr>
          <w:spacing w:val="-2"/>
          <w:lang w:val="fr-FR"/>
        </w:rPr>
        <w:t>’</w:t>
      </w:r>
      <w:r w:rsidR="003E0A66" w:rsidRPr="00C06542">
        <w:rPr>
          <w:spacing w:val="-2"/>
          <w:lang w:val="fr-FR"/>
        </w:rPr>
        <w:t>avancement du système de Lisbonne, mais ne faisait au contraire que l</w:t>
      </w:r>
      <w:r w:rsidR="00533B18" w:rsidRPr="00C06542">
        <w:rPr>
          <w:spacing w:val="-2"/>
          <w:lang w:val="fr-FR"/>
        </w:rPr>
        <w:t>’</w:t>
      </w:r>
      <w:r w:rsidR="003E0A66" w:rsidRPr="00C06542">
        <w:rPr>
          <w:spacing w:val="-2"/>
          <w:lang w:val="fr-FR"/>
        </w:rPr>
        <w:t>affaiblir et le fragilis</w:t>
      </w:r>
      <w:r w:rsidR="00C06542" w:rsidRPr="00C06542">
        <w:rPr>
          <w:spacing w:val="-2"/>
          <w:lang w:val="fr-FR"/>
        </w:rPr>
        <w:t>er.  En</w:t>
      </w:r>
      <w:r w:rsidR="0090633C" w:rsidRPr="00C06542">
        <w:rPr>
          <w:spacing w:val="-2"/>
          <w:lang w:val="fr-FR"/>
        </w:rPr>
        <w:t>fin, l</w:t>
      </w:r>
      <w:r w:rsidR="00DF6FFD" w:rsidRPr="00C06542">
        <w:rPr>
          <w:spacing w:val="-2"/>
          <w:lang w:val="fr-FR"/>
        </w:rPr>
        <w:t>a</w:t>
      </w:r>
      <w:r w:rsidR="003E0A66" w:rsidRPr="00C06542">
        <w:rPr>
          <w:spacing w:val="-2"/>
          <w:lang w:val="fr-FR"/>
        </w:rPr>
        <w:t xml:space="preserve"> délégation a </w:t>
      </w:r>
      <w:r w:rsidR="004D6039" w:rsidRPr="00C06542">
        <w:rPr>
          <w:spacing w:val="-2"/>
          <w:lang w:val="fr-FR"/>
        </w:rPr>
        <w:t>déclar</w:t>
      </w:r>
      <w:r w:rsidR="0090633C" w:rsidRPr="00C06542">
        <w:rPr>
          <w:spacing w:val="-2"/>
          <w:lang w:val="fr-FR"/>
        </w:rPr>
        <w:t>é</w:t>
      </w:r>
      <w:r w:rsidR="004D6039" w:rsidRPr="00C06542">
        <w:rPr>
          <w:spacing w:val="-2"/>
          <w:lang w:val="fr-FR"/>
        </w:rPr>
        <w:t xml:space="preserve"> que ces préoccupations devaient être dûment </w:t>
      </w:r>
      <w:r w:rsidR="002E1049" w:rsidRPr="00C06542">
        <w:rPr>
          <w:spacing w:val="-2"/>
          <w:lang w:val="fr-FR"/>
        </w:rPr>
        <w:t>prises en compte</w:t>
      </w:r>
      <w:r w:rsidR="006E1F70" w:rsidRPr="00C06542">
        <w:rPr>
          <w:spacing w:val="-2"/>
          <w:lang w:val="fr-FR"/>
        </w:rPr>
        <w:t xml:space="preserve"> en gardant à l</w:t>
      </w:r>
      <w:r w:rsidR="00533B18" w:rsidRPr="00C06542">
        <w:rPr>
          <w:spacing w:val="-2"/>
          <w:lang w:val="fr-FR"/>
        </w:rPr>
        <w:t>’</w:t>
      </w:r>
      <w:r w:rsidR="006E1F70" w:rsidRPr="00C06542">
        <w:rPr>
          <w:spacing w:val="-2"/>
          <w:lang w:val="fr-FR"/>
        </w:rPr>
        <w:t>esprit</w:t>
      </w:r>
      <w:r w:rsidR="004D6039" w:rsidRPr="00C06542">
        <w:rPr>
          <w:spacing w:val="-2"/>
          <w:lang w:val="fr-FR"/>
        </w:rPr>
        <w:t xml:space="preserve"> l</w:t>
      </w:r>
      <w:r w:rsidR="00533B18" w:rsidRPr="00C06542">
        <w:rPr>
          <w:spacing w:val="-2"/>
          <w:lang w:val="fr-FR"/>
        </w:rPr>
        <w:t>’</w:t>
      </w:r>
      <w:r w:rsidR="004D6039" w:rsidRPr="00C06542">
        <w:rPr>
          <w:spacing w:val="-2"/>
          <w:lang w:val="fr-FR"/>
        </w:rPr>
        <w:t>éventail de solutions qu</w:t>
      </w:r>
      <w:r w:rsidR="00533B18" w:rsidRPr="00C06542">
        <w:rPr>
          <w:spacing w:val="-2"/>
          <w:lang w:val="fr-FR"/>
        </w:rPr>
        <w:t>’</w:t>
      </w:r>
      <w:r w:rsidR="004D6039" w:rsidRPr="00C06542">
        <w:rPr>
          <w:spacing w:val="-2"/>
          <w:lang w:val="fr-FR"/>
        </w:rPr>
        <w:t>offrait l</w:t>
      </w:r>
      <w:r w:rsidR="00533B18" w:rsidRPr="00C06542">
        <w:rPr>
          <w:spacing w:val="-2"/>
          <w:lang w:val="fr-FR"/>
        </w:rPr>
        <w:t>’</w:t>
      </w:r>
      <w:r w:rsidR="004D6039" w:rsidRPr="00C06542">
        <w:rPr>
          <w:spacing w:val="-2"/>
          <w:lang w:val="fr-FR"/>
        </w:rPr>
        <w:t>Acte de Genève de l</w:t>
      </w:r>
      <w:r w:rsidR="00533B18" w:rsidRPr="00C06542">
        <w:rPr>
          <w:spacing w:val="-2"/>
          <w:lang w:val="fr-FR"/>
        </w:rPr>
        <w:t>’</w:t>
      </w:r>
      <w:r w:rsidR="004D6039" w:rsidRPr="00C06542">
        <w:rPr>
          <w:spacing w:val="-2"/>
          <w:lang w:val="fr-FR"/>
        </w:rPr>
        <w:t>Arrangement de Lisbonne.</w:t>
      </w:r>
    </w:p>
    <w:p w14:paraId="66A0835D" w14:textId="42891282" w:rsidR="004D6039" w:rsidRPr="00C06542" w:rsidRDefault="001C29E6" w:rsidP="00017C33">
      <w:pPr>
        <w:pStyle w:val="ONUMFS"/>
        <w:rPr>
          <w:lang w:val="fr-FR"/>
        </w:rPr>
      </w:pPr>
      <w:r w:rsidRPr="00C06542">
        <w:rPr>
          <w:lang w:val="fr-FR"/>
        </w:rPr>
        <w:t>La délégation de Saint</w:t>
      </w:r>
      <w:r w:rsidR="00E70D34">
        <w:rPr>
          <w:lang w:val="fr-FR"/>
        </w:rPr>
        <w:noBreakHyphen/>
      </w:r>
      <w:r w:rsidRPr="00C06542">
        <w:rPr>
          <w:lang w:val="fr-FR"/>
        </w:rPr>
        <w:t>Marin s</w:t>
      </w:r>
      <w:r w:rsidR="00533B18" w:rsidRPr="00C06542">
        <w:rPr>
          <w:lang w:val="fr-FR"/>
        </w:rPr>
        <w:t>’</w:t>
      </w:r>
      <w:r w:rsidRPr="00C06542">
        <w:rPr>
          <w:lang w:val="fr-FR"/>
        </w:rPr>
        <w:t>est associée à la déclaration de la délégation de l</w:t>
      </w:r>
      <w:r w:rsidR="00533B18" w:rsidRPr="00C06542">
        <w:rPr>
          <w:lang w:val="fr-FR"/>
        </w:rPr>
        <w:t>’</w:t>
      </w:r>
      <w:r w:rsidRPr="00C06542">
        <w:rPr>
          <w:lang w:val="fr-FR"/>
        </w:rPr>
        <w:t>Italie.</w:t>
      </w:r>
    </w:p>
    <w:p w14:paraId="5F824A74" w14:textId="50D9CB3E" w:rsidR="001C29E6" w:rsidRPr="00C06542" w:rsidRDefault="007D3FD5" w:rsidP="00017C33">
      <w:pPr>
        <w:pStyle w:val="ONUMFS"/>
        <w:rPr>
          <w:lang w:val="fr-FR"/>
        </w:rPr>
      </w:pPr>
      <w:r w:rsidRPr="00C06542">
        <w:rPr>
          <w:lang w:val="fr-FR"/>
        </w:rPr>
        <w:t>La délégation de l</w:t>
      </w:r>
      <w:r w:rsidR="00533B18" w:rsidRPr="00C06542">
        <w:rPr>
          <w:lang w:val="fr-FR"/>
        </w:rPr>
        <w:t>’</w:t>
      </w:r>
      <w:r w:rsidRPr="00C06542">
        <w:rPr>
          <w:lang w:val="fr-FR"/>
        </w:rPr>
        <w:t xml:space="preserve">Union européenne, </w:t>
      </w:r>
      <w:r w:rsidR="00712994">
        <w:rPr>
          <w:lang w:val="fr-FR"/>
        </w:rPr>
        <w:t>parl</w:t>
      </w:r>
      <w:r w:rsidRPr="00C06542">
        <w:rPr>
          <w:lang w:val="fr-FR"/>
        </w:rPr>
        <w:t>ant au nom de l</w:t>
      </w:r>
      <w:r w:rsidR="00533B18" w:rsidRPr="00C06542">
        <w:rPr>
          <w:lang w:val="fr-FR"/>
        </w:rPr>
        <w:t>’</w:t>
      </w:r>
      <w:r w:rsidRPr="00C06542">
        <w:rPr>
          <w:lang w:val="fr-FR"/>
        </w:rPr>
        <w:t xml:space="preserve">Union européenne et de ses États membres, </w:t>
      </w:r>
      <w:r w:rsidR="00B14E76" w:rsidRPr="00C06542">
        <w:rPr>
          <w:lang w:val="fr-FR"/>
        </w:rPr>
        <w:t>s</w:t>
      </w:r>
      <w:r w:rsidR="00533B18" w:rsidRPr="00C06542">
        <w:rPr>
          <w:lang w:val="fr-FR"/>
        </w:rPr>
        <w:t>’</w:t>
      </w:r>
      <w:r w:rsidR="00B14E76" w:rsidRPr="00C06542">
        <w:rPr>
          <w:lang w:val="fr-FR"/>
        </w:rPr>
        <w:t xml:space="preserve">est déclarée convaincue </w:t>
      </w:r>
      <w:r w:rsidR="0090633C" w:rsidRPr="00C06542">
        <w:rPr>
          <w:lang w:val="fr-FR"/>
        </w:rPr>
        <w:t>de la</w:t>
      </w:r>
      <w:r w:rsidR="00B14E76" w:rsidRPr="00C06542">
        <w:rPr>
          <w:lang w:val="fr-FR"/>
        </w:rPr>
        <w:t xml:space="preserve"> possib</w:t>
      </w:r>
      <w:r w:rsidR="0090633C" w:rsidRPr="00C06542">
        <w:rPr>
          <w:lang w:val="fr-FR"/>
        </w:rPr>
        <w:t>ilité</w:t>
      </w:r>
      <w:r w:rsidR="00B14E76" w:rsidRPr="00C06542">
        <w:rPr>
          <w:lang w:val="fr-FR"/>
        </w:rPr>
        <w:t xml:space="preserve"> de trouver une manière de fournir un appui financier à l</w:t>
      </w:r>
      <w:r w:rsidR="00533B18" w:rsidRPr="00C06542">
        <w:rPr>
          <w:lang w:val="fr-FR"/>
        </w:rPr>
        <w:t>’</w:t>
      </w:r>
      <w:r w:rsidR="00B14E76" w:rsidRPr="00C06542">
        <w:rPr>
          <w:lang w:val="fr-FR"/>
        </w:rPr>
        <w:t xml:space="preserve">Union de Lisbonne en </w:t>
      </w:r>
      <w:r w:rsidR="00E40A1F" w:rsidRPr="00C06542">
        <w:rPr>
          <w:lang w:val="fr-FR"/>
        </w:rPr>
        <w:t>appliquant</w:t>
      </w:r>
      <w:r w:rsidR="00B14E76" w:rsidRPr="00C06542">
        <w:rPr>
          <w:lang w:val="fr-FR"/>
        </w:rPr>
        <w:t xml:space="preserve"> le principe de la capacité de pa</w:t>
      </w:r>
      <w:r w:rsidR="00E40A1F" w:rsidRPr="00C06542">
        <w:rPr>
          <w:lang w:val="fr-FR"/>
        </w:rPr>
        <w:t xml:space="preserve">iement tout en respectant pleinement les principes </w:t>
      </w:r>
      <w:r w:rsidR="008A36AC" w:rsidRPr="00C06542">
        <w:rPr>
          <w:lang w:val="fr-FR"/>
        </w:rPr>
        <w:t>établis de longue date de solidarité financière entre les différentes unions de l</w:t>
      </w:r>
      <w:r w:rsidR="00533B18" w:rsidRPr="00C06542">
        <w:rPr>
          <w:lang w:val="fr-FR"/>
        </w:rPr>
        <w:t>’</w:t>
      </w:r>
      <w:r w:rsidR="008A36AC" w:rsidRPr="00C06542">
        <w:rPr>
          <w:lang w:val="fr-FR"/>
        </w:rPr>
        <w:t xml:space="preserve">OMPI </w:t>
      </w:r>
      <w:r w:rsidR="008A2133" w:rsidRPr="00C06542">
        <w:rPr>
          <w:lang w:val="fr-FR"/>
        </w:rPr>
        <w:t>et d</w:t>
      </w:r>
      <w:r w:rsidR="00533B18" w:rsidRPr="00C06542">
        <w:rPr>
          <w:lang w:val="fr-FR"/>
        </w:rPr>
        <w:t>’</w:t>
      </w:r>
      <w:r w:rsidR="008A36AC" w:rsidRPr="00C06542">
        <w:rPr>
          <w:lang w:val="fr-FR"/>
        </w:rPr>
        <w:t>égalité de traitement dans tous les domaines de la propriété intellectuelle.</w:t>
      </w:r>
    </w:p>
    <w:p w14:paraId="26FA0B0E" w14:textId="330DF574" w:rsidR="008A2133" w:rsidRPr="00C06542" w:rsidRDefault="00A13CD9" w:rsidP="00017C33">
      <w:pPr>
        <w:pStyle w:val="ONUMFS"/>
        <w:rPr>
          <w:lang w:val="fr-FR"/>
        </w:rPr>
      </w:pPr>
      <w:r w:rsidRPr="00C06542">
        <w:rPr>
          <w:lang w:val="fr-FR"/>
        </w:rPr>
        <w:t>La délégation de la France a souligné l</w:t>
      </w:r>
      <w:r w:rsidR="00533B18" w:rsidRPr="00C06542">
        <w:rPr>
          <w:lang w:val="fr-FR"/>
        </w:rPr>
        <w:t>’</w:t>
      </w:r>
      <w:r w:rsidRPr="00C06542">
        <w:rPr>
          <w:lang w:val="fr-FR"/>
        </w:rPr>
        <w:t>intérêt croissant que différents pays avaient accordé à l</w:t>
      </w:r>
      <w:r w:rsidR="00533B18" w:rsidRPr="00C06542">
        <w:rPr>
          <w:lang w:val="fr-FR"/>
        </w:rPr>
        <w:t>’</w:t>
      </w:r>
      <w:r w:rsidRPr="00C06542">
        <w:rPr>
          <w:lang w:val="fr-FR"/>
        </w:rPr>
        <w:t>Acte de Genève de l</w:t>
      </w:r>
      <w:r w:rsidR="00533B18" w:rsidRPr="00C06542">
        <w:rPr>
          <w:lang w:val="fr-FR"/>
        </w:rPr>
        <w:t>’</w:t>
      </w:r>
      <w:r w:rsidRPr="00C06542">
        <w:rPr>
          <w:lang w:val="fr-FR"/>
        </w:rPr>
        <w:t>Arrangement de Lisbonne au cours des deux</w:t>
      </w:r>
      <w:r w:rsidR="006000A9" w:rsidRPr="00C06542">
        <w:rPr>
          <w:lang w:val="fr-FR"/>
        </w:rPr>
        <w:t> </w:t>
      </w:r>
      <w:r w:rsidRPr="00C06542">
        <w:rPr>
          <w:lang w:val="fr-FR"/>
        </w:rPr>
        <w:t>dernières anné</w:t>
      </w:r>
      <w:r w:rsidR="00C06542" w:rsidRPr="00C06542">
        <w:rPr>
          <w:lang w:val="fr-FR"/>
        </w:rPr>
        <w:t>es.  Da</w:t>
      </w:r>
      <w:r w:rsidRPr="00C06542">
        <w:rPr>
          <w:lang w:val="fr-FR"/>
        </w:rPr>
        <w:t>ns ce contexte, elle estimait que l</w:t>
      </w:r>
      <w:r w:rsidR="00533B18" w:rsidRPr="00C06542">
        <w:rPr>
          <w:lang w:val="fr-FR"/>
        </w:rPr>
        <w:t>’</w:t>
      </w:r>
      <w:r w:rsidRPr="00C06542">
        <w:rPr>
          <w:lang w:val="fr-FR"/>
        </w:rPr>
        <w:t xml:space="preserve">accroissement du budget du système de Lisbonne proposé par le </w:t>
      </w:r>
      <w:r w:rsidR="00847068" w:rsidRPr="00C06542">
        <w:rPr>
          <w:lang w:val="fr-FR"/>
        </w:rPr>
        <w:t>D</w:t>
      </w:r>
      <w:r w:rsidRPr="00C06542">
        <w:rPr>
          <w:lang w:val="fr-FR"/>
        </w:rPr>
        <w:t>irecteur général de l</w:t>
      </w:r>
      <w:r w:rsidR="00533B18" w:rsidRPr="00C06542">
        <w:rPr>
          <w:lang w:val="fr-FR"/>
        </w:rPr>
        <w:t>’</w:t>
      </w:r>
      <w:r w:rsidRPr="00C06542">
        <w:rPr>
          <w:lang w:val="fr-FR"/>
        </w:rPr>
        <w:t>OMPI</w:t>
      </w:r>
      <w:r w:rsidR="00847068" w:rsidRPr="00C06542">
        <w:rPr>
          <w:lang w:val="fr-FR"/>
        </w:rPr>
        <w:t xml:space="preserve"> allait dans la bonne direction </w:t>
      </w:r>
      <w:r w:rsidR="004478E5" w:rsidRPr="00C06542">
        <w:rPr>
          <w:lang w:val="fr-FR"/>
        </w:rPr>
        <w:t xml:space="preserve">car </w:t>
      </w:r>
      <w:r w:rsidR="00847068" w:rsidRPr="00C06542">
        <w:rPr>
          <w:lang w:val="fr-FR"/>
        </w:rPr>
        <w:t xml:space="preserve">il tenait dûment compte </w:t>
      </w:r>
      <w:r w:rsidR="004478E5" w:rsidRPr="00C06542">
        <w:rPr>
          <w:lang w:val="fr-FR"/>
        </w:rPr>
        <w:t>de l</w:t>
      </w:r>
      <w:r w:rsidR="00533B18" w:rsidRPr="00C06542">
        <w:rPr>
          <w:lang w:val="fr-FR"/>
        </w:rPr>
        <w:t>’</w:t>
      </w:r>
      <w:r w:rsidR="004478E5" w:rsidRPr="00C06542">
        <w:rPr>
          <w:lang w:val="fr-FR"/>
        </w:rPr>
        <w:t>augmentation du nombre de transactions consécutive aux nouvelles adhésio</w:t>
      </w:r>
      <w:r w:rsidR="00C06542" w:rsidRPr="00C06542">
        <w:rPr>
          <w:lang w:val="fr-FR"/>
        </w:rPr>
        <w:t>ns.  Ce</w:t>
      </w:r>
      <w:r w:rsidR="00432646" w:rsidRPr="00C06542">
        <w:rPr>
          <w:lang w:val="fr-FR"/>
        </w:rPr>
        <w:t>tte proposition d</w:t>
      </w:r>
      <w:r w:rsidR="00533B18" w:rsidRPr="00C06542">
        <w:rPr>
          <w:lang w:val="fr-FR"/>
        </w:rPr>
        <w:t>’</w:t>
      </w:r>
      <w:r w:rsidR="00432646" w:rsidRPr="00C06542">
        <w:rPr>
          <w:lang w:val="fr-FR"/>
        </w:rPr>
        <w:t xml:space="preserve">augmenter le budget répondait aux attentes légitimes des parties prenantes du système de Lisbonne </w:t>
      </w:r>
      <w:r w:rsidR="009460ED" w:rsidRPr="00C06542">
        <w:rPr>
          <w:lang w:val="fr-FR"/>
        </w:rPr>
        <w:t>dans la mesure où</w:t>
      </w:r>
      <w:r w:rsidR="00432646" w:rsidRPr="00C06542">
        <w:rPr>
          <w:lang w:val="fr-FR"/>
        </w:rPr>
        <w:t xml:space="preserve"> elle était garante d</w:t>
      </w:r>
      <w:r w:rsidR="00533B18" w:rsidRPr="00C06542">
        <w:rPr>
          <w:lang w:val="fr-FR"/>
        </w:rPr>
        <w:t>’</w:t>
      </w:r>
      <w:r w:rsidR="00432646" w:rsidRPr="00C06542">
        <w:rPr>
          <w:lang w:val="fr-FR"/>
        </w:rPr>
        <w:t>un fonctionnement efficace et harmonieux du système d</w:t>
      </w:r>
      <w:r w:rsidR="00533B18" w:rsidRPr="00C06542">
        <w:rPr>
          <w:lang w:val="fr-FR"/>
        </w:rPr>
        <w:t>’</w:t>
      </w:r>
      <w:r w:rsidR="00432646" w:rsidRPr="00C06542">
        <w:rPr>
          <w:lang w:val="fr-FR"/>
        </w:rPr>
        <w:t>enregistrement de Lisbon</w:t>
      </w:r>
      <w:r w:rsidR="00C06542" w:rsidRPr="00C06542">
        <w:rPr>
          <w:lang w:val="fr-FR"/>
        </w:rPr>
        <w:t>ne.  No</w:t>
      </w:r>
      <w:r w:rsidR="00432646" w:rsidRPr="00C06542">
        <w:rPr>
          <w:lang w:val="fr-FR"/>
        </w:rPr>
        <w:t xml:space="preserve">n seulement cette proposition était raisonnable, mais dans un souci de transparence budgétaire, </w:t>
      </w:r>
      <w:r w:rsidR="00C619B5" w:rsidRPr="00C06542">
        <w:rPr>
          <w:lang w:val="fr-FR"/>
        </w:rPr>
        <w:t>elle traduisait surtout le transfert vers le budget de Lisbonne d</w:t>
      </w:r>
      <w:r w:rsidR="00533B18" w:rsidRPr="00C06542">
        <w:rPr>
          <w:lang w:val="fr-FR"/>
        </w:rPr>
        <w:t>’</w:t>
      </w:r>
      <w:r w:rsidR="00C619B5" w:rsidRPr="00C06542">
        <w:rPr>
          <w:lang w:val="fr-FR"/>
        </w:rPr>
        <w:t xml:space="preserve">un fonctionnaire qui travaillait déjà pour ce système mais </w:t>
      </w:r>
      <w:r w:rsidR="00C33C92" w:rsidRPr="00C06542">
        <w:rPr>
          <w:lang w:val="fr-FR"/>
        </w:rPr>
        <w:t>relevait par le passé d</w:t>
      </w:r>
      <w:r w:rsidR="00533B18" w:rsidRPr="00C06542">
        <w:rPr>
          <w:lang w:val="fr-FR"/>
        </w:rPr>
        <w:t>’</w:t>
      </w:r>
      <w:r w:rsidR="00C33C92" w:rsidRPr="00C06542">
        <w:rPr>
          <w:lang w:val="fr-FR"/>
        </w:rPr>
        <w:t>un poste budgétaire différe</w:t>
      </w:r>
      <w:r w:rsidR="00C06542" w:rsidRPr="00C06542">
        <w:rPr>
          <w:lang w:val="fr-FR"/>
        </w:rPr>
        <w:t>nt.  La</w:t>
      </w:r>
      <w:r w:rsidR="00F406EB" w:rsidRPr="00C06542">
        <w:rPr>
          <w:lang w:val="fr-FR"/>
        </w:rPr>
        <w:t xml:space="preserve"> proposition d</w:t>
      </w:r>
      <w:r w:rsidR="00533B18" w:rsidRPr="00C06542">
        <w:rPr>
          <w:lang w:val="fr-FR"/>
        </w:rPr>
        <w:t>’</w:t>
      </w:r>
      <w:r w:rsidR="00F406EB" w:rsidRPr="00C06542">
        <w:rPr>
          <w:lang w:val="fr-FR"/>
        </w:rPr>
        <w:t>augmentation budgétaire représentait un montant négligeable par rapport au budget général et aux résultats financiers de l</w:t>
      </w:r>
      <w:r w:rsidR="00533B18" w:rsidRPr="00C06542">
        <w:rPr>
          <w:lang w:val="fr-FR"/>
        </w:rPr>
        <w:t>’</w:t>
      </w:r>
      <w:r w:rsidR="00F406EB" w:rsidRPr="00C06542">
        <w:rPr>
          <w:lang w:val="fr-FR"/>
        </w:rPr>
        <w:t>O</w:t>
      </w:r>
      <w:r w:rsidR="00C06542" w:rsidRPr="00C06542">
        <w:rPr>
          <w:lang w:val="fr-FR"/>
        </w:rPr>
        <w:t>MPI.  En</w:t>
      </w:r>
      <w:r w:rsidR="00F406EB" w:rsidRPr="00C06542">
        <w:rPr>
          <w:lang w:val="fr-FR"/>
        </w:rPr>
        <w:t xml:space="preserve"> outre, la délégation était surprise par la remarque </w:t>
      </w:r>
      <w:r w:rsidR="00F406EB" w:rsidRPr="00C06542">
        <w:rPr>
          <w:lang w:val="fr-FR"/>
        </w:rPr>
        <w:lastRenderedPageBreak/>
        <w:t xml:space="preserve">concernant les noms génériques dans la mesure où le système de Lisbonne </w:t>
      </w:r>
      <w:r w:rsidR="00E87519" w:rsidRPr="00C06542">
        <w:rPr>
          <w:lang w:val="fr-FR"/>
        </w:rPr>
        <w:t>concernait</w:t>
      </w:r>
      <w:r w:rsidR="00132045" w:rsidRPr="00C06542">
        <w:rPr>
          <w:lang w:val="fr-FR"/>
        </w:rPr>
        <w:t xml:space="preserve"> un domaine de protection parfaitement clair et défi</w:t>
      </w:r>
      <w:r w:rsidR="00C06542" w:rsidRPr="00C06542">
        <w:rPr>
          <w:lang w:val="fr-FR"/>
        </w:rPr>
        <w:t>ni.  Le</w:t>
      </w:r>
      <w:r w:rsidR="00E87519" w:rsidRPr="00C06542">
        <w:rPr>
          <w:lang w:val="fr-FR"/>
        </w:rPr>
        <w:t xml:space="preserve">s noms génériques ne constituaient pas des </w:t>
      </w:r>
      <w:r w:rsidR="00281926" w:rsidRPr="00C06542">
        <w:rPr>
          <w:lang w:val="fr-FR"/>
        </w:rPr>
        <w:t>droits de propriété intellectuelle, contrairement aux indications géographiques qui étaient de surcroît des outils de développement</w:t>
      </w:r>
      <w:r w:rsidR="00A56CDB" w:rsidRPr="00C06542">
        <w:rPr>
          <w:lang w:val="fr-FR"/>
        </w:rPr>
        <w:t xml:space="preserve"> et qui faisaient l</w:t>
      </w:r>
      <w:r w:rsidR="00533B18" w:rsidRPr="00C06542">
        <w:rPr>
          <w:lang w:val="fr-FR"/>
        </w:rPr>
        <w:t>’</w:t>
      </w:r>
      <w:r w:rsidR="00A56CDB" w:rsidRPr="00C06542">
        <w:rPr>
          <w:lang w:val="fr-FR"/>
        </w:rPr>
        <w:t>objet d</w:t>
      </w:r>
      <w:r w:rsidR="00533B18" w:rsidRPr="00C06542">
        <w:rPr>
          <w:lang w:val="fr-FR"/>
        </w:rPr>
        <w:t>’</w:t>
      </w:r>
      <w:r w:rsidR="00A56CDB" w:rsidRPr="00C06542">
        <w:rPr>
          <w:lang w:val="fr-FR"/>
        </w:rPr>
        <w:t>un intérêt et d</w:t>
      </w:r>
      <w:r w:rsidR="00533B18" w:rsidRPr="00C06542">
        <w:rPr>
          <w:lang w:val="fr-FR"/>
        </w:rPr>
        <w:t>’</w:t>
      </w:r>
      <w:r w:rsidR="00A56CDB" w:rsidRPr="00C06542">
        <w:rPr>
          <w:lang w:val="fr-FR"/>
        </w:rPr>
        <w:t>un soutien croissants de la part de membres de l</w:t>
      </w:r>
      <w:r w:rsidR="00533B18" w:rsidRPr="00C06542">
        <w:rPr>
          <w:lang w:val="fr-FR"/>
        </w:rPr>
        <w:t>’</w:t>
      </w:r>
      <w:r w:rsidR="00A56CDB" w:rsidRPr="00C06542">
        <w:rPr>
          <w:lang w:val="fr-FR"/>
        </w:rPr>
        <w:t>OMPI dans toutes les régions du mon</w:t>
      </w:r>
      <w:r w:rsidR="00C06542" w:rsidRPr="00C06542">
        <w:rPr>
          <w:lang w:val="fr-FR"/>
        </w:rPr>
        <w:t>de.  En</w:t>
      </w:r>
      <w:r w:rsidR="00A56CDB" w:rsidRPr="00C06542">
        <w:rPr>
          <w:lang w:val="fr-FR"/>
        </w:rPr>
        <w:t xml:space="preserve"> conclusion, la délégation a apporté son soutien à la proposition d</w:t>
      </w:r>
      <w:r w:rsidR="00533B18" w:rsidRPr="00C06542">
        <w:rPr>
          <w:lang w:val="fr-FR"/>
        </w:rPr>
        <w:t>’</w:t>
      </w:r>
      <w:r w:rsidR="00A56CDB" w:rsidRPr="00C06542">
        <w:rPr>
          <w:lang w:val="fr-FR"/>
        </w:rPr>
        <w:t>augmentation du budget de Lisbonne.</w:t>
      </w:r>
    </w:p>
    <w:p w14:paraId="22063951" w14:textId="2EF6A454" w:rsidR="00B37398" w:rsidRPr="00C06542" w:rsidRDefault="008B6D11" w:rsidP="00017C33">
      <w:pPr>
        <w:pStyle w:val="ONUMFS"/>
        <w:rPr>
          <w:lang w:val="fr-FR"/>
        </w:rPr>
      </w:pPr>
      <w:r w:rsidRPr="00C06542">
        <w:rPr>
          <w:lang w:val="fr-FR"/>
        </w:rPr>
        <w:t>La délégation de l</w:t>
      </w:r>
      <w:r w:rsidR="00533B18" w:rsidRPr="00C06542">
        <w:rPr>
          <w:lang w:val="fr-FR"/>
        </w:rPr>
        <w:t>’</w:t>
      </w:r>
      <w:r w:rsidRPr="00C06542">
        <w:rPr>
          <w:lang w:val="fr-FR"/>
        </w:rPr>
        <w:t>Iran (République islamique d</w:t>
      </w:r>
      <w:r w:rsidR="00533B18" w:rsidRPr="00C06542">
        <w:rPr>
          <w:lang w:val="fr-FR"/>
        </w:rPr>
        <w:t>’</w:t>
      </w:r>
      <w:r w:rsidRPr="00C06542">
        <w:rPr>
          <w:lang w:val="fr-FR"/>
        </w:rPr>
        <w:t>)</w:t>
      </w:r>
      <w:r w:rsidR="000C4C0D" w:rsidRPr="00C06542">
        <w:rPr>
          <w:lang w:val="fr-FR"/>
        </w:rPr>
        <w:t xml:space="preserve"> accordait une grande importance </w:t>
      </w:r>
      <w:r w:rsidR="00575A96" w:rsidRPr="00C06542">
        <w:rPr>
          <w:lang w:val="fr-FR"/>
        </w:rPr>
        <w:t>au fait que l</w:t>
      </w:r>
      <w:r w:rsidR="000C4C0D" w:rsidRPr="00C06542">
        <w:rPr>
          <w:lang w:val="fr-FR"/>
        </w:rPr>
        <w:t xml:space="preserve">es indications géographiques </w:t>
      </w:r>
      <w:r w:rsidR="00575A96" w:rsidRPr="00C06542">
        <w:rPr>
          <w:lang w:val="fr-FR"/>
        </w:rPr>
        <w:t xml:space="preserve">étaient protégées </w:t>
      </w:r>
      <w:r w:rsidR="001E0B35" w:rsidRPr="00C06542">
        <w:rPr>
          <w:lang w:val="fr-FR"/>
        </w:rPr>
        <w:t>en</w:t>
      </w:r>
      <w:r w:rsidR="00B025A8" w:rsidRPr="00C06542">
        <w:rPr>
          <w:lang w:val="fr-FR"/>
        </w:rPr>
        <w:t xml:space="preserve"> </w:t>
      </w:r>
      <w:r w:rsidR="001E0B35" w:rsidRPr="00C06542">
        <w:rPr>
          <w:lang w:val="fr-FR"/>
        </w:rPr>
        <w:t xml:space="preserve">dehors de son territoire </w:t>
      </w:r>
      <w:r w:rsidR="00575A96" w:rsidRPr="00C06542">
        <w:rPr>
          <w:lang w:val="fr-FR"/>
        </w:rPr>
        <w:t xml:space="preserve">grâce au </w:t>
      </w:r>
      <w:r w:rsidR="001E0B35" w:rsidRPr="00C06542">
        <w:rPr>
          <w:lang w:val="fr-FR"/>
        </w:rPr>
        <w:t>système de Lisbon</w:t>
      </w:r>
      <w:r w:rsidR="00DF6FFD" w:rsidRPr="00C06542">
        <w:rPr>
          <w:lang w:val="fr-FR"/>
        </w:rPr>
        <w:t>ne</w:t>
      </w:r>
      <w:r w:rsidR="0090633C" w:rsidRPr="00C06542">
        <w:rPr>
          <w:lang w:val="fr-FR"/>
        </w:rPr>
        <w:t>, et</w:t>
      </w:r>
      <w:r w:rsidR="00885BC7" w:rsidRPr="00C06542">
        <w:rPr>
          <w:lang w:val="fr-FR"/>
        </w:rPr>
        <w:t xml:space="preserve"> a informé l</w:t>
      </w:r>
      <w:r w:rsidR="00533B18" w:rsidRPr="00C06542">
        <w:rPr>
          <w:lang w:val="fr-FR"/>
        </w:rPr>
        <w:t>’</w:t>
      </w:r>
      <w:r w:rsidR="00025DFA">
        <w:rPr>
          <w:lang w:val="fr-FR"/>
        </w:rPr>
        <w:t>a</w:t>
      </w:r>
      <w:r w:rsidR="00885BC7" w:rsidRPr="00C06542">
        <w:rPr>
          <w:lang w:val="fr-FR"/>
        </w:rPr>
        <w:t xml:space="preserve">ssemblée du fait que le Parlement de </w:t>
      </w:r>
      <w:r w:rsidR="006000A9" w:rsidRPr="00C06542">
        <w:rPr>
          <w:lang w:val="fr-FR"/>
        </w:rPr>
        <w:t xml:space="preserve">la </w:t>
      </w:r>
      <w:r w:rsidR="00885BC7" w:rsidRPr="00C06542">
        <w:rPr>
          <w:lang w:val="fr-FR"/>
        </w:rPr>
        <w:t>République islamique</w:t>
      </w:r>
      <w:r w:rsidR="006000A9" w:rsidRPr="00C06542">
        <w:rPr>
          <w:lang w:val="fr-FR"/>
        </w:rPr>
        <w:t xml:space="preserve"> d</w:t>
      </w:r>
      <w:r w:rsidR="00533B18" w:rsidRPr="00C06542">
        <w:rPr>
          <w:lang w:val="fr-FR"/>
        </w:rPr>
        <w:t>’</w:t>
      </w:r>
      <w:r w:rsidR="006000A9" w:rsidRPr="00C06542">
        <w:rPr>
          <w:lang w:val="fr-FR"/>
        </w:rPr>
        <w:t>Iran</w:t>
      </w:r>
      <w:r w:rsidR="00885BC7" w:rsidRPr="00C06542">
        <w:rPr>
          <w:lang w:val="fr-FR"/>
        </w:rPr>
        <w:t xml:space="preserve"> avait entrepris de ratifier l</w:t>
      </w:r>
      <w:r w:rsidR="00533B18" w:rsidRPr="00C06542">
        <w:rPr>
          <w:lang w:val="fr-FR"/>
        </w:rPr>
        <w:t>’</w:t>
      </w:r>
      <w:r w:rsidR="00885BC7" w:rsidRPr="00C06542">
        <w:rPr>
          <w:lang w:val="fr-FR"/>
        </w:rPr>
        <w:t>Acte de Genève de l</w:t>
      </w:r>
      <w:r w:rsidR="00533B18" w:rsidRPr="00C06542">
        <w:rPr>
          <w:lang w:val="fr-FR"/>
        </w:rPr>
        <w:t>’</w:t>
      </w:r>
      <w:r w:rsidR="00885BC7" w:rsidRPr="00C06542">
        <w:rPr>
          <w:lang w:val="fr-FR"/>
        </w:rPr>
        <w:t>Arrangement de Lisbon</w:t>
      </w:r>
      <w:r w:rsidR="00C06542" w:rsidRPr="00C06542">
        <w:rPr>
          <w:lang w:val="fr-FR"/>
        </w:rPr>
        <w:t>ne.  Ra</w:t>
      </w:r>
      <w:r w:rsidR="00885BC7" w:rsidRPr="00C06542">
        <w:rPr>
          <w:lang w:val="fr-FR"/>
        </w:rPr>
        <w:t>ppelant que les indications géographiques et les appellations d</w:t>
      </w:r>
      <w:r w:rsidR="00533B18" w:rsidRPr="00C06542">
        <w:rPr>
          <w:lang w:val="fr-FR"/>
        </w:rPr>
        <w:t>’</w:t>
      </w:r>
      <w:r w:rsidR="00885BC7" w:rsidRPr="00C06542">
        <w:rPr>
          <w:lang w:val="fr-FR"/>
        </w:rPr>
        <w:t>origine constituaient des droits de propriété intellectuelle au même titre que le droit d</w:t>
      </w:r>
      <w:r w:rsidR="00533B18" w:rsidRPr="00C06542">
        <w:rPr>
          <w:lang w:val="fr-FR"/>
        </w:rPr>
        <w:t>’</w:t>
      </w:r>
      <w:r w:rsidR="00885BC7" w:rsidRPr="00C06542">
        <w:rPr>
          <w:lang w:val="fr-FR"/>
        </w:rPr>
        <w:t xml:space="preserve">auteur, les marques de commerce, les brevets et les dessins et modèles industriels, elle a </w:t>
      </w:r>
      <w:r w:rsidR="00EA5C73" w:rsidRPr="00C06542">
        <w:rPr>
          <w:lang w:val="fr-FR"/>
        </w:rPr>
        <w:t>souligné</w:t>
      </w:r>
      <w:r w:rsidR="00885BC7" w:rsidRPr="00C06542">
        <w:rPr>
          <w:lang w:val="fr-FR"/>
        </w:rPr>
        <w:t xml:space="preserve"> que l</w:t>
      </w:r>
      <w:r w:rsidR="00533B18" w:rsidRPr="00C06542">
        <w:rPr>
          <w:lang w:val="fr-FR"/>
        </w:rPr>
        <w:t>’</w:t>
      </w:r>
      <w:r w:rsidR="00885BC7" w:rsidRPr="00C06542">
        <w:rPr>
          <w:lang w:val="fr-FR"/>
        </w:rPr>
        <w:t>OMPI s</w:t>
      </w:r>
      <w:r w:rsidR="00533B18" w:rsidRPr="00C06542">
        <w:rPr>
          <w:lang w:val="fr-FR"/>
        </w:rPr>
        <w:t>’</w:t>
      </w:r>
      <w:r w:rsidR="00885BC7" w:rsidRPr="00C06542">
        <w:rPr>
          <w:lang w:val="fr-FR"/>
        </w:rPr>
        <w:t xml:space="preserve">était engagée à promouvoir la protection de toutes les catégories de droits de propriété intellectuelle dans le monde conformément aux articles 3 et 4 de la </w:t>
      </w:r>
      <w:r w:rsidR="009D77F0" w:rsidRPr="00C06542">
        <w:rPr>
          <w:lang w:val="fr-FR"/>
        </w:rPr>
        <w:t>Convention instituant l</w:t>
      </w:r>
      <w:r w:rsidR="00533B18" w:rsidRPr="00C06542">
        <w:rPr>
          <w:lang w:val="fr-FR"/>
        </w:rPr>
        <w:t>’</w:t>
      </w:r>
      <w:r w:rsidR="009D77F0" w:rsidRPr="00C06542">
        <w:rPr>
          <w:lang w:val="fr-FR"/>
        </w:rPr>
        <w:t>Organisati</w:t>
      </w:r>
      <w:r w:rsidR="00C06542" w:rsidRPr="00C06542">
        <w:rPr>
          <w:lang w:val="fr-FR"/>
        </w:rPr>
        <w:t>on.  Su</w:t>
      </w:r>
      <w:r w:rsidR="00D56C63" w:rsidRPr="00C06542">
        <w:rPr>
          <w:lang w:val="fr-FR"/>
        </w:rPr>
        <w:t>r la question de la pérennité financière de l</w:t>
      </w:r>
      <w:r w:rsidR="00533B18" w:rsidRPr="00C06542">
        <w:rPr>
          <w:lang w:val="fr-FR"/>
        </w:rPr>
        <w:t>’</w:t>
      </w:r>
      <w:r w:rsidR="00D56C63" w:rsidRPr="00C06542">
        <w:rPr>
          <w:lang w:val="fr-FR"/>
        </w:rPr>
        <w:t xml:space="preserve">Union de Lisbonne, elle a </w:t>
      </w:r>
      <w:r w:rsidR="00457686" w:rsidRPr="00C06542">
        <w:rPr>
          <w:lang w:val="fr-FR"/>
        </w:rPr>
        <w:t>évoqué</w:t>
      </w:r>
      <w:r w:rsidR="00D56C63" w:rsidRPr="00C06542">
        <w:rPr>
          <w:lang w:val="fr-FR"/>
        </w:rPr>
        <w:t xml:space="preserve"> la détermination et la volonté politiques des membres de cette union </w:t>
      </w:r>
      <w:r w:rsidR="002C20CA" w:rsidRPr="00C06542">
        <w:rPr>
          <w:lang w:val="fr-FR"/>
        </w:rPr>
        <w:t>de trouver une solution financière à long ter</w:t>
      </w:r>
      <w:r w:rsidR="00C06542" w:rsidRPr="00C06542">
        <w:rPr>
          <w:lang w:val="fr-FR"/>
        </w:rPr>
        <w:t>me.  El</w:t>
      </w:r>
      <w:r w:rsidR="002C20CA" w:rsidRPr="00C06542">
        <w:rPr>
          <w:lang w:val="fr-FR"/>
        </w:rPr>
        <w:t xml:space="preserve">le était convaincue </w:t>
      </w:r>
      <w:r w:rsidR="007808CB" w:rsidRPr="00C06542">
        <w:rPr>
          <w:lang w:val="fr-FR"/>
        </w:rPr>
        <w:t>qu</w:t>
      </w:r>
      <w:r w:rsidR="00533B18" w:rsidRPr="00C06542">
        <w:rPr>
          <w:lang w:val="fr-FR"/>
        </w:rPr>
        <w:t>’</w:t>
      </w:r>
      <w:r w:rsidR="007808CB" w:rsidRPr="00C06542">
        <w:rPr>
          <w:lang w:val="fr-FR"/>
        </w:rPr>
        <w:t>il était possible de trouver un moyen de soutenir financièrement l</w:t>
      </w:r>
      <w:r w:rsidR="00533B18" w:rsidRPr="00C06542">
        <w:rPr>
          <w:lang w:val="fr-FR"/>
        </w:rPr>
        <w:t>’</w:t>
      </w:r>
      <w:r w:rsidR="007808CB" w:rsidRPr="00C06542">
        <w:rPr>
          <w:lang w:val="fr-FR"/>
        </w:rPr>
        <w:t>Union de Lisbonne</w:t>
      </w:r>
      <w:r w:rsidR="00B3114D" w:rsidRPr="00C06542">
        <w:rPr>
          <w:lang w:val="fr-FR"/>
        </w:rPr>
        <w:t xml:space="preserve"> tout en respectant pleinement les principes établis de longue date de solidarité et d</w:t>
      </w:r>
      <w:r w:rsidR="00533B18" w:rsidRPr="00C06542">
        <w:rPr>
          <w:lang w:val="fr-FR"/>
        </w:rPr>
        <w:t>’</w:t>
      </w:r>
      <w:r w:rsidR="00B3114D" w:rsidRPr="00C06542">
        <w:rPr>
          <w:lang w:val="fr-FR"/>
        </w:rPr>
        <w:t>égalité de traitement dans tous les domaines de la propriété intellectuel</w:t>
      </w:r>
      <w:r w:rsidR="00C06542" w:rsidRPr="00C06542">
        <w:rPr>
          <w:lang w:val="fr-FR"/>
        </w:rPr>
        <w:t>le.  Le</w:t>
      </w:r>
      <w:r w:rsidR="00332F6D" w:rsidRPr="00C06542">
        <w:rPr>
          <w:lang w:val="fr-FR"/>
        </w:rPr>
        <w:t xml:space="preserve"> système de Lisbonne, et notamment l</w:t>
      </w:r>
      <w:r w:rsidR="00533B18" w:rsidRPr="00C06542">
        <w:rPr>
          <w:lang w:val="fr-FR"/>
        </w:rPr>
        <w:t>’</w:t>
      </w:r>
      <w:r w:rsidR="00332F6D" w:rsidRPr="00C06542">
        <w:rPr>
          <w:lang w:val="fr-FR"/>
        </w:rPr>
        <w:t>Acte de Genève de l</w:t>
      </w:r>
      <w:r w:rsidR="00533B18" w:rsidRPr="00C06542">
        <w:rPr>
          <w:lang w:val="fr-FR"/>
        </w:rPr>
        <w:t>’</w:t>
      </w:r>
      <w:r w:rsidR="00332F6D" w:rsidRPr="00C06542">
        <w:rPr>
          <w:lang w:val="fr-FR"/>
        </w:rPr>
        <w:t>Arrangement de Lisbonne, constituait un outil permettant de garantir à long terme la pérennité financière de l</w:t>
      </w:r>
      <w:r w:rsidR="00533B18" w:rsidRPr="00C06542">
        <w:rPr>
          <w:lang w:val="fr-FR"/>
        </w:rPr>
        <w:t>’</w:t>
      </w:r>
      <w:r w:rsidR="00332F6D" w:rsidRPr="00C06542">
        <w:rPr>
          <w:lang w:val="fr-FR"/>
        </w:rPr>
        <w:t>Union de Lisbonne, et devait par conséquent bénéficier d</w:t>
      </w:r>
      <w:r w:rsidR="00533B18" w:rsidRPr="00C06542">
        <w:rPr>
          <w:lang w:val="fr-FR"/>
        </w:rPr>
        <w:t>’</w:t>
      </w:r>
      <w:r w:rsidR="00332F6D" w:rsidRPr="00C06542">
        <w:rPr>
          <w:lang w:val="fr-FR"/>
        </w:rPr>
        <w:t>un soutien dynamique et ciblé afin de mettre en évidence le potentiel de développement des indications géographiques et d</w:t>
      </w:r>
      <w:r w:rsidR="00533B18" w:rsidRPr="00C06542">
        <w:rPr>
          <w:lang w:val="fr-FR"/>
        </w:rPr>
        <w:t>’</w:t>
      </w:r>
      <w:r w:rsidR="00332F6D" w:rsidRPr="00C06542">
        <w:rPr>
          <w:lang w:val="fr-FR"/>
        </w:rPr>
        <w:t>attirer de nouvelles parties contractant</w:t>
      </w:r>
      <w:r w:rsidR="00C06542" w:rsidRPr="00C06542">
        <w:rPr>
          <w:lang w:val="fr-FR"/>
        </w:rPr>
        <w:t>es.  So</w:t>
      </w:r>
      <w:r w:rsidR="000F64C3" w:rsidRPr="00C06542">
        <w:rPr>
          <w:lang w:val="fr-FR"/>
        </w:rPr>
        <w:t>ulignant l</w:t>
      </w:r>
      <w:r w:rsidR="00533B18" w:rsidRPr="00C06542">
        <w:rPr>
          <w:lang w:val="fr-FR"/>
        </w:rPr>
        <w:t>’</w:t>
      </w:r>
      <w:r w:rsidR="000F64C3" w:rsidRPr="00C06542">
        <w:rPr>
          <w:lang w:val="fr-FR"/>
        </w:rPr>
        <w:t>importance de placer tous les systèmes mondiaux de propriété intellectuelle de l</w:t>
      </w:r>
      <w:r w:rsidR="00533B18" w:rsidRPr="00C06542">
        <w:rPr>
          <w:lang w:val="fr-FR"/>
        </w:rPr>
        <w:t>’</w:t>
      </w:r>
      <w:r w:rsidR="000F64C3" w:rsidRPr="00C06542">
        <w:rPr>
          <w:lang w:val="fr-FR"/>
        </w:rPr>
        <w:t>OMPI sur un pied d</w:t>
      </w:r>
      <w:r w:rsidR="00533B18" w:rsidRPr="00C06542">
        <w:rPr>
          <w:lang w:val="fr-FR"/>
        </w:rPr>
        <w:t>’</w:t>
      </w:r>
      <w:r w:rsidR="000F64C3" w:rsidRPr="00C06542">
        <w:rPr>
          <w:lang w:val="fr-FR"/>
        </w:rPr>
        <w:t>égalité, la délégation a réitéré son engagement en faveur des principes fondamentaux de fonctionnement et de prise de décision au sein de l</w:t>
      </w:r>
      <w:r w:rsidR="00533B18" w:rsidRPr="00C06542">
        <w:rPr>
          <w:lang w:val="fr-FR"/>
        </w:rPr>
        <w:t>’</w:t>
      </w:r>
      <w:r w:rsidR="000F64C3" w:rsidRPr="00C06542">
        <w:rPr>
          <w:lang w:val="fr-FR"/>
        </w:rPr>
        <w:t>OMPI.</w:t>
      </w:r>
    </w:p>
    <w:p w14:paraId="5F6E1CB3" w14:textId="214F7599" w:rsidR="000F64C3" w:rsidRPr="00C06542" w:rsidRDefault="0090633C" w:rsidP="00017C33">
      <w:pPr>
        <w:pStyle w:val="ONUMFS"/>
        <w:rPr>
          <w:lang w:val="fr-FR"/>
        </w:rPr>
      </w:pPr>
      <w:r w:rsidRPr="00C06542">
        <w:rPr>
          <w:lang w:val="fr-FR"/>
        </w:rPr>
        <w:t>S</w:t>
      </w:r>
      <w:r w:rsidR="00533B18" w:rsidRPr="00C06542">
        <w:rPr>
          <w:lang w:val="fr-FR"/>
        </w:rPr>
        <w:t>’</w:t>
      </w:r>
      <w:r w:rsidR="009A31BB" w:rsidRPr="00C06542">
        <w:rPr>
          <w:lang w:val="fr-FR"/>
        </w:rPr>
        <w:t>associ</w:t>
      </w:r>
      <w:r w:rsidRPr="00C06542">
        <w:rPr>
          <w:lang w:val="fr-FR"/>
        </w:rPr>
        <w:t>ant aux déclarations faites par l</w:t>
      </w:r>
      <w:r w:rsidR="009A31BB" w:rsidRPr="00C06542">
        <w:rPr>
          <w:lang w:val="fr-FR"/>
        </w:rPr>
        <w:t>es délégations de l</w:t>
      </w:r>
      <w:r w:rsidR="00533B18" w:rsidRPr="00C06542">
        <w:rPr>
          <w:lang w:val="fr-FR"/>
        </w:rPr>
        <w:t>’</w:t>
      </w:r>
      <w:r w:rsidR="009A31BB" w:rsidRPr="00C06542">
        <w:rPr>
          <w:lang w:val="fr-FR"/>
        </w:rPr>
        <w:t>Union européenne et de la France, la délégation du Portugal a invité tous les membres du système de Lisbonne à poursuivre les travaux visant à assurer la pérennité financière de celui</w:t>
      </w:r>
      <w:r w:rsidR="00E70D34">
        <w:rPr>
          <w:lang w:val="fr-FR"/>
        </w:rPr>
        <w:noBreakHyphen/>
      </w:r>
      <w:r w:rsidR="00C06542" w:rsidRPr="00C06542">
        <w:rPr>
          <w:lang w:val="fr-FR"/>
        </w:rPr>
        <w:t>ci.  El</w:t>
      </w:r>
      <w:r w:rsidR="009A31BB" w:rsidRPr="00C06542">
        <w:rPr>
          <w:lang w:val="fr-FR"/>
        </w:rPr>
        <w:t>le a réaffirmé son soutien à la proposition de budget présentée par le Secrétariat, qui allait permettre de rattraper les retards accumulés dans les procédures d</w:t>
      </w:r>
      <w:r w:rsidR="00533B18" w:rsidRPr="00C06542">
        <w:rPr>
          <w:lang w:val="fr-FR"/>
        </w:rPr>
        <w:t>’</w:t>
      </w:r>
      <w:r w:rsidR="009A31BB" w:rsidRPr="00C06542">
        <w:rPr>
          <w:lang w:val="fr-FR"/>
        </w:rPr>
        <w:t>enregistrement des appellations d</w:t>
      </w:r>
      <w:r w:rsidR="00533B18" w:rsidRPr="00C06542">
        <w:rPr>
          <w:lang w:val="fr-FR"/>
        </w:rPr>
        <w:t>’</w:t>
      </w:r>
      <w:r w:rsidR="009A31BB" w:rsidRPr="00C06542">
        <w:rPr>
          <w:lang w:val="fr-FR"/>
        </w:rPr>
        <w:t>origine et des indications géographiques.</w:t>
      </w:r>
    </w:p>
    <w:p w14:paraId="288D9ACC" w14:textId="41B0898D" w:rsidR="005260A7" w:rsidRPr="00C06542" w:rsidRDefault="004F5D2C" w:rsidP="00017C33">
      <w:pPr>
        <w:pStyle w:val="ONUMFS"/>
        <w:rPr>
          <w:lang w:val="fr-FR"/>
        </w:rPr>
      </w:pPr>
      <w:r w:rsidRPr="00C06542">
        <w:rPr>
          <w:lang w:val="fr-FR"/>
        </w:rPr>
        <w:t xml:space="preserve">Le </w:t>
      </w:r>
      <w:r w:rsidR="006D379B" w:rsidRPr="00C06542">
        <w:rPr>
          <w:lang w:val="fr-FR"/>
        </w:rPr>
        <w:t xml:space="preserve">représentant de </w:t>
      </w:r>
      <w:r w:rsidR="00E8110B">
        <w:rPr>
          <w:lang w:val="fr-FR"/>
        </w:rPr>
        <w:t>l’</w:t>
      </w:r>
      <w:proofErr w:type="spellStart"/>
      <w:r w:rsidR="00E8110B">
        <w:rPr>
          <w:lang w:val="fr-FR"/>
        </w:rPr>
        <w:t>Intellectual</w:t>
      </w:r>
      <w:proofErr w:type="spellEnd"/>
      <w:r w:rsidR="00E8110B">
        <w:rPr>
          <w:lang w:val="fr-FR"/>
        </w:rPr>
        <w:t xml:space="preserve"> </w:t>
      </w:r>
      <w:proofErr w:type="spellStart"/>
      <w:r w:rsidR="00E8110B">
        <w:rPr>
          <w:lang w:val="fr-FR"/>
        </w:rPr>
        <w:t>Property</w:t>
      </w:r>
      <w:proofErr w:type="spellEnd"/>
      <w:r w:rsidR="00E8110B">
        <w:rPr>
          <w:lang w:val="fr-FR"/>
        </w:rPr>
        <w:t xml:space="preserve"> Latin American </w:t>
      </w:r>
      <w:proofErr w:type="spellStart"/>
      <w:r w:rsidR="00E8110B">
        <w:rPr>
          <w:lang w:val="fr-FR"/>
        </w:rPr>
        <w:t>School</w:t>
      </w:r>
      <w:proofErr w:type="spellEnd"/>
      <w:r w:rsidR="00E8110B">
        <w:rPr>
          <w:lang w:val="fr-FR"/>
        </w:rPr>
        <w:t xml:space="preserve"> </w:t>
      </w:r>
      <w:r w:rsidR="006D379B" w:rsidRPr="00C06542">
        <w:rPr>
          <w:lang w:val="fr-FR"/>
        </w:rPr>
        <w:t>(ELAPI) a appuyé et salué les propositions de modification du règlement d</w:t>
      </w:r>
      <w:r w:rsidR="00533B18" w:rsidRPr="00C06542">
        <w:rPr>
          <w:lang w:val="fr-FR"/>
        </w:rPr>
        <w:t>’</w:t>
      </w:r>
      <w:r w:rsidR="006D379B" w:rsidRPr="00C06542">
        <w:rPr>
          <w:lang w:val="fr-FR"/>
        </w:rPr>
        <w:t>exécution</w:t>
      </w:r>
      <w:r w:rsidR="00394C82" w:rsidRPr="00C06542">
        <w:rPr>
          <w:lang w:val="fr-FR"/>
        </w:rPr>
        <w:t xml:space="preserve"> commun</w:t>
      </w:r>
      <w:r w:rsidR="006D379B" w:rsidRPr="00C06542">
        <w:rPr>
          <w:lang w:val="fr-FR"/>
        </w:rPr>
        <w:t xml:space="preserve">, estimant que la suppression de la règle 5.4) allait simplifier </w:t>
      </w:r>
      <w:r w:rsidR="00CC0866" w:rsidRPr="00C06542">
        <w:rPr>
          <w:lang w:val="fr-FR"/>
        </w:rPr>
        <w:t xml:space="preserve">et rationaliser les procédures du système de Lisbonne, </w:t>
      </w:r>
      <w:r w:rsidR="00D20FA0" w:rsidRPr="00C06542">
        <w:rPr>
          <w:lang w:val="fr-FR"/>
        </w:rPr>
        <w:t xml:space="preserve">et </w:t>
      </w:r>
      <w:r w:rsidR="00CC0866" w:rsidRPr="00C06542">
        <w:rPr>
          <w:lang w:val="fr-FR"/>
        </w:rPr>
        <w:t>que les propositions de modification de la version espagnole du règlement d</w:t>
      </w:r>
      <w:r w:rsidR="00533B18" w:rsidRPr="00C06542">
        <w:rPr>
          <w:lang w:val="fr-FR"/>
        </w:rPr>
        <w:t>’</w:t>
      </w:r>
      <w:r w:rsidR="00CC0866" w:rsidRPr="00C06542">
        <w:rPr>
          <w:lang w:val="fr-FR"/>
        </w:rPr>
        <w:t>exécution</w:t>
      </w:r>
      <w:r w:rsidR="00394C82" w:rsidRPr="00C06542">
        <w:rPr>
          <w:lang w:val="fr-FR"/>
        </w:rPr>
        <w:t xml:space="preserve"> commun</w:t>
      </w:r>
      <w:r w:rsidR="00CC0866" w:rsidRPr="00C06542">
        <w:rPr>
          <w:lang w:val="fr-FR"/>
        </w:rPr>
        <w:t xml:space="preserve"> apporteraient davantage de clarté et de cohéren</w:t>
      </w:r>
      <w:r w:rsidR="00C06542" w:rsidRPr="00C06542">
        <w:rPr>
          <w:lang w:val="fr-FR"/>
        </w:rPr>
        <w:t>ce.  Il</w:t>
      </w:r>
      <w:r w:rsidR="00CC0866" w:rsidRPr="00C06542">
        <w:rPr>
          <w:lang w:val="fr-FR"/>
        </w:rPr>
        <w:t xml:space="preserve"> a conclu en indiquant que l</w:t>
      </w:r>
      <w:r w:rsidR="00533B18" w:rsidRPr="00C06542">
        <w:rPr>
          <w:lang w:val="fr-FR"/>
        </w:rPr>
        <w:t>’</w:t>
      </w:r>
      <w:r w:rsidR="00CC0866" w:rsidRPr="00C06542">
        <w:rPr>
          <w:lang w:val="fr-FR"/>
        </w:rPr>
        <w:t>ELAPI entendait participer à la diffusion, la promotion et l</w:t>
      </w:r>
      <w:r w:rsidR="00533B18" w:rsidRPr="00C06542">
        <w:rPr>
          <w:lang w:val="fr-FR"/>
        </w:rPr>
        <w:t>’</w:t>
      </w:r>
      <w:r w:rsidR="00CC0866" w:rsidRPr="00C06542">
        <w:rPr>
          <w:lang w:val="fr-FR"/>
        </w:rPr>
        <w:t>étude du règlement d</w:t>
      </w:r>
      <w:r w:rsidR="00533B18" w:rsidRPr="00C06542">
        <w:rPr>
          <w:lang w:val="fr-FR"/>
        </w:rPr>
        <w:t>’</w:t>
      </w:r>
      <w:r w:rsidR="00CC0866" w:rsidRPr="00C06542">
        <w:rPr>
          <w:lang w:val="fr-FR"/>
        </w:rPr>
        <w:t>exécution</w:t>
      </w:r>
      <w:r w:rsidR="00394C82" w:rsidRPr="00C06542">
        <w:rPr>
          <w:lang w:val="fr-FR"/>
        </w:rPr>
        <w:t xml:space="preserve"> commun</w:t>
      </w:r>
      <w:r w:rsidR="00CC0866" w:rsidRPr="00C06542">
        <w:rPr>
          <w:lang w:val="fr-FR"/>
        </w:rPr>
        <w:t xml:space="preserve"> tel que révisé.</w:t>
      </w:r>
    </w:p>
    <w:p w14:paraId="06151BAB" w14:textId="2E14BEFE" w:rsidR="00CC0866" w:rsidRPr="00C06542" w:rsidRDefault="00564ECC" w:rsidP="00017C33">
      <w:pPr>
        <w:pStyle w:val="ONUMFS"/>
        <w:rPr>
          <w:lang w:val="fr-FR"/>
        </w:rPr>
      </w:pPr>
      <w:r w:rsidRPr="00C06542">
        <w:rPr>
          <w:lang w:val="fr-FR"/>
        </w:rPr>
        <w:t>Le représentant de l</w:t>
      </w:r>
      <w:r w:rsidR="00533B18" w:rsidRPr="00C06542">
        <w:rPr>
          <w:lang w:val="fr-FR"/>
        </w:rPr>
        <w:t>’</w:t>
      </w:r>
      <w:r w:rsidRPr="00C06542">
        <w:rPr>
          <w:lang w:val="fr-FR"/>
        </w:rPr>
        <w:t>Organisation pour un réseau international d</w:t>
      </w:r>
      <w:r w:rsidR="00533B18" w:rsidRPr="00C06542">
        <w:rPr>
          <w:lang w:val="fr-FR"/>
        </w:rPr>
        <w:t>’</w:t>
      </w:r>
      <w:r w:rsidRPr="00C06542">
        <w:rPr>
          <w:lang w:val="fr-FR"/>
        </w:rPr>
        <w:t>indications géographiques (</w:t>
      </w:r>
      <w:proofErr w:type="spellStart"/>
      <w:r w:rsidR="00F02FD3" w:rsidRPr="00C06542">
        <w:rPr>
          <w:lang w:val="fr-FR"/>
        </w:rPr>
        <w:t>OriGIn</w:t>
      </w:r>
      <w:proofErr w:type="spellEnd"/>
      <w:r w:rsidRPr="00C06542">
        <w:rPr>
          <w:lang w:val="fr-FR"/>
        </w:rPr>
        <w:t>) a appuyé les propositions de modification du règlement d</w:t>
      </w:r>
      <w:r w:rsidR="00533B18" w:rsidRPr="00C06542">
        <w:rPr>
          <w:lang w:val="fr-FR"/>
        </w:rPr>
        <w:t>’</w:t>
      </w:r>
      <w:r w:rsidRPr="00C06542">
        <w:rPr>
          <w:lang w:val="fr-FR"/>
        </w:rPr>
        <w:t>exécution</w:t>
      </w:r>
      <w:r w:rsidR="00394C82" w:rsidRPr="00C06542">
        <w:rPr>
          <w:lang w:val="fr-FR"/>
        </w:rPr>
        <w:t xml:space="preserve"> commun</w:t>
      </w:r>
      <w:r w:rsidRPr="00C06542">
        <w:rPr>
          <w:lang w:val="fr-FR"/>
        </w:rPr>
        <w:t xml:space="preserve"> </w:t>
      </w:r>
      <w:r w:rsidR="00F02FD3" w:rsidRPr="00C06542">
        <w:rPr>
          <w:lang w:val="fr-FR"/>
        </w:rPr>
        <w:t xml:space="preserve">car elles visaient à simplifier davantage un système qui </w:t>
      </w:r>
      <w:r w:rsidR="00A06495" w:rsidRPr="00C06542">
        <w:rPr>
          <w:lang w:val="fr-FR"/>
        </w:rPr>
        <w:t>présentait un intérêt pour</w:t>
      </w:r>
      <w:r w:rsidR="00F02FD3" w:rsidRPr="00C06542">
        <w:rPr>
          <w:lang w:val="fr-FR"/>
        </w:rPr>
        <w:t xml:space="preserve"> plusieurs pa</w:t>
      </w:r>
      <w:r w:rsidR="00C06542" w:rsidRPr="00C06542">
        <w:rPr>
          <w:lang w:val="fr-FR"/>
        </w:rPr>
        <w:t>ys.  Il</w:t>
      </w:r>
      <w:r w:rsidR="00F02FD3" w:rsidRPr="00C06542">
        <w:rPr>
          <w:lang w:val="fr-FR"/>
        </w:rPr>
        <w:t xml:space="preserve"> a salué les nouvelles adhésions et en particulier celle de l</w:t>
      </w:r>
      <w:r w:rsidR="00533B18" w:rsidRPr="00C06542">
        <w:rPr>
          <w:lang w:val="fr-FR"/>
        </w:rPr>
        <w:t>’</w:t>
      </w:r>
      <w:r w:rsidR="00F02FD3" w:rsidRPr="00C06542">
        <w:rPr>
          <w:lang w:val="fr-FR"/>
        </w:rPr>
        <w:t>OAPI, car elles venaient étayer l</w:t>
      </w:r>
      <w:r w:rsidR="00533B18" w:rsidRPr="00C06542">
        <w:rPr>
          <w:lang w:val="fr-FR"/>
        </w:rPr>
        <w:t>’</w:t>
      </w:r>
      <w:r w:rsidR="00F02FD3" w:rsidRPr="00C06542">
        <w:rPr>
          <w:lang w:val="fr-FR"/>
        </w:rPr>
        <w:t xml:space="preserve">argument avancé par </w:t>
      </w:r>
      <w:proofErr w:type="spellStart"/>
      <w:r w:rsidR="00F02FD3" w:rsidRPr="00C06542">
        <w:rPr>
          <w:lang w:val="fr-FR"/>
        </w:rPr>
        <w:t>OriGIn</w:t>
      </w:r>
      <w:proofErr w:type="spellEnd"/>
      <w:r w:rsidR="00F02FD3" w:rsidRPr="00C06542">
        <w:rPr>
          <w:lang w:val="fr-FR"/>
        </w:rPr>
        <w:t xml:space="preserve"> depuis de longues années selon lequel le système de Lisbonne était particulièrement avantageux pour les petits producteurs et les petites et moyennes entreprises, notamment dans les pays en développeme</w:t>
      </w:r>
      <w:r w:rsidR="00C06542" w:rsidRPr="00C06542">
        <w:rPr>
          <w:lang w:val="fr-FR"/>
        </w:rPr>
        <w:t xml:space="preserve">nt.  À </w:t>
      </w:r>
      <w:r w:rsidR="00F02FD3" w:rsidRPr="00C06542">
        <w:rPr>
          <w:lang w:val="fr-FR"/>
        </w:rPr>
        <w:t xml:space="preserve">cet égard, </w:t>
      </w:r>
      <w:r w:rsidR="000B389F" w:rsidRPr="00C06542">
        <w:rPr>
          <w:lang w:val="fr-FR"/>
        </w:rPr>
        <w:t>l</w:t>
      </w:r>
      <w:r w:rsidR="00533B18" w:rsidRPr="00C06542">
        <w:rPr>
          <w:lang w:val="fr-FR"/>
        </w:rPr>
        <w:t>’</w:t>
      </w:r>
      <w:r w:rsidR="000B389F" w:rsidRPr="00C06542">
        <w:rPr>
          <w:lang w:val="fr-FR"/>
        </w:rPr>
        <w:t xml:space="preserve">Organisation des </w:t>
      </w:r>
      <w:r w:rsidR="00533B18" w:rsidRPr="00C06542">
        <w:rPr>
          <w:lang w:val="fr-FR"/>
        </w:rPr>
        <w:t>Nations Unies</w:t>
      </w:r>
      <w:r w:rsidR="000B389F" w:rsidRPr="00C06542">
        <w:rPr>
          <w:lang w:val="fr-FR"/>
        </w:rPr>
        <w:t xml:space="preserve"> pour l</w:t>
      </w:r>
      <w:r w:rsidR="00533B18" w:rsidRPr="00C06542">
        <w:rPr>
          <w:lang w:val="fr-FR"/>
        </w:rPr>
        <w:t>’</w:t>
      </w:r>
      <w:r w:rsidR="000B389F" w:rsidRPr="00C06542">
        <w:rPr>
          <w:lang w:val="fr-FR"/>
        </w:rPr>
        <w:t>alimentation et l</w:t>
      </w:r>
      <w:r w:rsidR="00533B18" w:rsidRPr="00C06542">
        <w:rPr>
          <w:lang w:val="fr-FR"/>
        </w:rPr>
        <w:t>’</w:t>
      </w:r>
      <w:r w:rsidR="000B389F" w:rsidRPr="00C06542">
        <w:rPr>
          <w:lang w:val="fr-FR"/>
        </w:rPr>
        <w:t xml:space="preserve">agriculture (FAO) avait mis en lumière, à plusieurs occasions, </w:t>
      </w:r>
      <w:r w:rsidR="00BC29AC" w:rsidRPr="00C06542">
        <w:rPr>
          <w:lang w:val="fr-FR"/>
        </w:rPr>
        <w:t>le lien évident entre le développement durable et les indications géographiques, comme en attestait l</w:t>
      </w:r>
      <w:r w:rsidR="00533B18" w:rsidRPr="00C06542">
        <w:rPr>
          <w:lang w:val="fr-FR"/>
        </w:rPr>
        <w:t>’</w:t>
      </w:r>
      <w:r w:rsidR="00BC29AC" w:rsidRPr="00C06542">
        <w:rPr>
          <w:lang w:val="fr-FR"/>
        </w:rPr>
        <w:t>emploi accru de ces dernières dans le cadre d</w:t>
      </w:r>
      <w:r w:rsidR="00533B18" w:rsidRPr="00C06542">
        <w:rPr>
          <w:lang w:val="fr-FR"/>
        </w:rPr>
        <w:t>’</w:t>
      </w:r>
      <w:r w:rsidR="00BC29AC" w:rsidRPr="00C06542">
        <w:rPr>
          <w:lang w:val="fr-FR"/>
        </w:rPr>
        <w:t>une stratégie de pérennité de l</w:t>
      </w:r>
      <w:r w:rsidR="00533B18" w:rsidRPr="00C06542">
        <w:rPr>
          <w:lang w:val="fr-FR"/>
        </w:rPr>
        <w:t>’</w:t>
      </w:r>
      <w:r w:rsidR="00BC29AC" w:rsidRPr="00C06542">
        <w:rPr>
          <w:lang w:val="fr-FR"/>
        </w:rPr>
        <w:t>agricultu</w:t>
      </w:r>
      <w:r w:rsidR="00C06542" w:rsidRPr="00C06542">
        <w:rPr>
          <w:lang w:val="fr-FR"/>
        </w:rPr>
        <w:t>re.  Po</w:t>
      </w:r>
      <w:r w:rsidR="00D52D7D" w:rsidRPr="00C06542">
        <w:rPr>
          <w:lang w:val="fr-FR"/>
        </w:rPr>
        <w:t xml:space="preserve">ur répondre aux besoins des pays en développement, </w:t>
      </w:r>
      <w:r w:rsidR="0090633C" w:rsidRPr="00C06542">
        <w:rPr>
          <w:lang w:val="fr-FR"/>
        </w:rPr>
        <w:lastRenderedPageBreak/>
        <w:t xml:space="preserve">le représentant </w:t>
      </w:r>
      <w:r w:rsidR="00D52D7D" w:rsidRPr="00C06542">
        <w:rPr>
          <w:lang w:val="fr-FR"/>
        </w:rPr>
        <w:t>a</w:t>
      </w:r>
      <w:r w:rsidR="0090633C" w:rsidRPr="00C06542">
        <w:rPr>
          <w:lang w:val="fr-FR"/>
        </w:rPr>
        <w:t xml:space="preserve"> dit</w:t>
      </w:r>
      <w:r w:rsidR="00D52D7D" w:rsidRPr="00C06542">
        <w:rPr>
          <w:lang w:val="fr-FR"/>
        </w:rPr>
        <w:t xml:space="preserve"> souhait</w:t>
      </w:r>
      <w:r w:rsidR="0090633C" w:rsidRPr="00C06542">
        <w:rPr>
          <w:lang w:val="fr-FR"/>
        </w:rPr>
        <w:t>er</w:t>
      </w:r>
      <w:r w:rsidR="00D52D7D" w:rsidRPr="00C06542">
        <w:rPr>
          <w:lang w:val="fr-FR"/>
        </w:rPr>
        <w:t xml:space="preserve"> que le système de Lisbonne dispose de ressources suffisantes qui garantissent son bon fonctionneme</w:t>
      </w:r>
      <w:r w:rsidR="00C06542" w:rsidRPr="00C06542">
        <w:rPr>
          <w:lang w:val="fr-FR"/>
        </w:rPr>
        <w:t>nt.  En</w:t>
      </w:r>
      <w:r w:rsidR="00D11BB6" w:rsidRPr="00C06542">
        <w:rPr>
          <w:lang w:val="fr-FR"/>
        </w:rPr>
        <w:t>fin, il s</w:t>
      </w:r>
      <w:r w:rsidR="00533B18" w:rsidRPr="00C06542">
        <w:rPr>
          <w:lang w:val="fr-FR"/>
        </w:rPr>
        <w:t>’</w:t>
      </w:r>
      <w:r w:rsidR="00D11BB6" w:rsidRPr="00C06542">
        <w:rPr>
          <w:lang w:val="fr-FR"/>
        </w:rPr>
        <w:t>est dit profondément préoccupé par une proposition circulant au sein de l</w:t>
      </w:r>
      <w:r w:rsidR="00533B18" w:rsidRPr="00C06542">
        <w:rPr>
          <w:lang w:val="fr-FR"/>
        </w:rPr>
        <w:t>’</w:t>
      </w:r>
      <w:r w:rsidR="00D11BB6" w:rsidRPr="00C06542">
        <w:rPr>
          <w:lang w:val="fr-FR"/>
        </w:rPr>
        <w:t>OMPI et visant à mettre en relief l</w:t>
      </w:r>
      <w:r w:rsidR="00533B18" w:rsidRPr="00C06542">
        <w:rPr>
          <w:lang w:val="fr-FR"/>
        </w:rPr>
        <w:t>’</w:t>
      </w:r>
      <w:r w:rsidR="00D11BB6" w:rsidRPr="00C06542">
        <w:rPr>
          <w:lang w:val="fr-FR"/>
        </w:rPr>
        <w:t>aspect international de certains noms communs d</w:t>
      </w:r>
      <w:r w:rsidR="00533B18" w:rsidRPr="00C06542">
        <w:rPr>
          <w:lang w:val="fr-FR"/>
        </w:rPr>
        <w:t>’</w:t>
      </w:r>
      <w:r w:rsidR="00D11BB6" w:rsidRPr="00C06542">
        <w:rPr>
          <w:lang w:val="fr-FR"/>
        </w:rPr>
        <w:t>aliments pour les distinguer de</w:t>
      </w:r>
      <w:r w:rsidR="001C469C" w:rsidRPr="00C06542">
        <w:rPr>
          <w:lang w:val="fr-FR"/>
        </w:rPr>
        <w:t>s</w:t>
      </w:r>
      <w:r w:rsidR="00D11BB6" w:rsidRPr="00C06542">
        <w:rPr>
          <w:lang w:val="fr-FR"/>
        </w:rPr>
        <w:t xml:space="preserve"> simples exceptions aux droits de propriété intellectuel</w:t>
      </w:r>
      <w:r w:rsidR="00C06542" w:rsidRPr="00C06542">
        <w:rPr>
          <w:lang w:val="fr-FR"/>
        </w:rPr>
        <w:t>le.  Le</w:t>
      </w:r>
      <w:r w:rsidR="001C469C" w:rsidRPr="00C06542">
        <w:rPr>
          <w:lang w:val="fr-FR"/>
        </w:rPr>
        <w:t xml:space="preserve"> système actuel, qui reposait sur des droits de propriété reconnus à l</w:t>
      </w:r>
      <w:r w:rsidR="00533B18" w:rsidRPr="00C06542">
        <w:rPr>
          <w:lang w:val="fr-FR"/>
        </w:rPr>
        <w:t>’</w:t>
      </w:r>
      <w:r w:rsidR="001C469C" w:rsidRPr="00C06542">
        <w:rPr>
          <w:lang w:val="fr-FR"/>
        </w:rPr>
        <w:t>échelle internationale et sur l</w:t>
      </w:r>
      <w:r w:rsidR="00533B18" w:rsidRPr="00C06542">
        <w:rPr>
          <w:lang w:val="fr-FR"/>
        </w:rPr>
        <w:t>’</w:t>
      </w:r>
      <w:r w:rsidR="001C469C" w:rsidRPr="00C06542">
        <w:rPr>
          <w:lang w:val="fr-FR"/>
        </w:rPr>
        <w:t>acceptation de certaines exceptions à ces droits définies au cas par cas</w:t>
      </w:r>
      <w:r w:rsidR="004F5319" w:rsidRPr="00C06542">
        <w:rPr>
          <w:lang w:val="fr-FR"/>
        </w:rPr>
        <w:t>,</w:t>
      </w:r>
      <w:r w:rsidR="001C469C" w:rsidRPr="00C06542">
        <w:rPr>
          <w:lang w:val="fr-FR"/>
        </w:rPr>
        <w:t xml:space="preserve"> était parfaitement capable de protéger les droits </w:t>
      </w:r>
      <w:r w:rsidR="00E66EF6" w:rsidRPr="00C06542">
        <w:rPr>
          <w:lang w:val="fr-FR"/>
        </w:rPr>
        <w:t>des titulaires d</w:t>
      </w:r>
      <w:r w:rsidR="00533B18" w:rsidRPr="00C06542">
        <w:rPr>
          <w:lang w:val="fr-FR"/>
        </w:rPr>
        <w:t>’</w:t>
      </w:r>
      <w:r w:rsidR="00E66EF6" w:rsidRPr="00C06542">
        <w:rPr>
          <w:lang w:val="fr-FR"/>
        </w:rPr>
        <w:t xml:space="preserve">indications géographiques tout en offrant aux parties la possibilité de faire valoir </w:t>
      </w:r>
      <w:r w:rsidR="00DC5C9B" w:rsidRPr="00C06542">
        <w:rPr>
          <w:lang w:val="fr-FR"/>
        </w:rPr>
        <w:t>l</w:t>
      </w:r>
      <w:r w:rsidR="00533B18" w:rsidRPr="00C06542">
        <w:rPr>
          <w:lang w:val="fr-FR"/>
        </w:rPr>
        <w:t>’</w:t>
      </w:r>
      <w:r w:rsidR="00E75DE3" w:rsidRPr="00C06542">
        <w:rPr>
          <w:lang w:val="fr-FR"/>
        </w:rPr>
        <w:t>aspect</w:t>
      </w:r>
      <w:r w:rsidR="00DC5C9B" w:rsidRPr="00C06542">
        <w:rPr>
          <w:lang w:val="fr-FR"/>
        </w:rPr>
        <w:t xml:space="preserve"> générique de</w:t>
      </w:r>
      <w:r w:rsidR="00E66EF6" w:rsidRPr="00C06542">
        <w:rPr>
          <w:lang w:val="fr-FR"/>
        </w:rPr>
        <w:t xml:space="preserve"> certains noms devant des tribunaux nationa</w:t>
      </w:r>
      <w:r w:rsidR="00C06542" w:rsidRPr="00C06542">
        <w:rPr>
          <w:lang w:val="fr-FR"/>
        </w:rPr>
        <w:t>ux.  En</w:t>
      </w:r>
      <w:r w:rsidR="0090633C" w:rsidRPr="00C06542">
        <w:rPr>
          <w:lang w:val="fr-FR"/>
        </w:rPr>
        <w:t xml:space="preserve"> conclusion, le représentant a indiqué que l</w:t>
      </w:r>
      <w:r w:rsidR="00DF6FFD" w:rsidRPr="00C06542">
        <w:rPr>
          <w:lang w:val="fr-FR"/>
        </w:rPr>
        <w:t>a</w:t>
      </w:r>
      <w:r w:rsidR="00E66EF6" w:rsidRPr="00C06542">
        <w:rPr>
          <w:lang w:val="fr-FR"/>
        </w:rPr>
        <w:t xml:space="preserve"> proposition concernant les noms d</w:t>
      </w:r>
      <w:r w:rsidR="00533B18" w:rsidRPr="00C06542">
        <w:rPr>
          <w:lang w:val="fr-FR"/>
        </w:rPr>
        <w:t>’</w:t>
      </w:r>
      <w:r w:rsidR="00E66EF6" w:rsidRPr="00C06542">
        <w:rPr>
          <w:lang w:val="fr-FR"/>
        </w:rPr>
        <w:t xml:space="preserve">aliments était extrêmement dangereuse </w:t>
      </w:r>
      <w:r w:rsidR="00E91D9E" w:rsidRPr="00C06542">
        <w:rPr>
          <w:lang w:val="fr-FR"/>
        </w:rPr>
        <w:t>pour le système de propriété intellectuelle international et risquait de compromettre ses principes et valeurs fondamentaux au regard de l</w:t>
      </w:r>
      <w:r w:rsidR="00533B18" w:rsidRPr="00C06542">
        <w:rPr>
          <w:lang w:val="fr-FR"/>
        </w:rPr>
        <w:t>’</w:t>
      </w:r>
      <w:r w:rsidR="00E91D9E" w:rsidRPr="00C06542">
        <w:rPr>
          <w:lang w:val="fr-FR"/>
        </w:rPr>
        <w:t>ensemble des droits de propriété intellectuelle, bien au</w:t>
      </w:r>
      <w:r w:rsidR="00E70D34">
        <w:rPr>
          <w:lang w:val="fr-FR"/>
        </w:rPr>
        <w:noBreakHyphen/>
      </w:r>
      <w:r w:rsidR="00E91D9E" w:rsidRPr="00C06542">
        <w:rPr>
          <w:lang w:val="fr-FR"/>
        </w:rPr>
        <w:t>delà des indications géographiques.</w:t>
      </w:r>
    </w:p>
    <w:p w14:paraId="4CE949A6" w14:textId="1B8A3C0F" w:rsidR="00E91D9E" w:rsidRPr="00C06542" w:rsidRDefault="0090633C" w:rsidP="00017C33">
      <w:pPr>
        <w:pStyle w:val="ONUMFS"/>
        <w:rPr>
          <w:lang w:val="fr-FR"/>
        </w:rPr>
      </w:pPr>
      <w:r w:rsidRPr="00C06542">
        <w:rPr>
          <w:lang w:val="fr-FR"/>
        </w:rPr>
        <w:t>S</w:t>
      </w:r>
      <w:r w:rsidR="00533B18" w:rsidRPr="00C06542">
        <w:rPr>
          <w:lang w:val="fr-FR"/>
        </w:rPr>
        <w:t>’</w:t>
      </w:r>
      <w:r w:rsidRPr="00C06542">
        <w:rPr>
          <w:lang w:val="fr-FR"/>
        </w:rPr>
        <w:t>associant</w:t>
      </w:r>
      <w:r w:rsidR="00C252C8" w:rsidRPr="00C06542">
        <w:rPr>
          <w:lang w:val="fr-FR"/>
        </w:rPr>
        <w:t xml:space="preserve"> aux commentaires de la délégation des États</w:t>
      </w:r>
      <w:r w:rsidR="00E70D34">
        <w:rPr>
          <w:lang w:val="fr-FR"/>
        </w:rPr>
        <w:noBreakHyphen/>
      </w:r>
      <w:r w:rsidR="00C252C8" w:rsidRPr="00C06542">
        <w:rPr>
          <w:lang w:val="fr-FR"/>
        </w:rPr>
        <w:t>Unis d</w:t>
      </w:r>
      <w:r w:rsidR="00533B18" w:rsidRPr="00C06542">
        <w:rPr>
          <w:lang w:val="fr-FR"/>
        </w:rPr>
        <w:t>’</w:t>
      </w:r>
      <w:r w:rsidR="00C252C8" w:rsidRPr="00C06542">
        <w:rPr>
          <w:lang w:val="fr-FR"/>
        </w:rPr>
        <w:t>Amérique, le représentant d</w:t>
      </w:r>
      <w:r w:rsidR="00DC322A" w:rsidRPr="00C06542">
        <w:rPr>
          <w:lang w:val="fr-FR"/>
        </w:rPr>
        <w:t xml:space="preserve">u </w:t>
      </w:r>
      <w:r w:rsidR="003A33EF" w:rsidRPr="00C06542">
        <w:rPr>
          <w:i/>
          <w:iCs/>
          <w:lang w:val="fr-FR"/>
        </w:rPr>
        <w:t xml:space="preserve">Consortium for Common Food </w:t>
      </w:r>
      <w:proofErr w:type="spellStart"/>
      <w:r w:rsidR="003A33EF" w:rsidRPr="00C06542">
        <w:rPr>
          <w:i/>
          <w:iCs/>
          <w:lang w:val="fr-FR"/>
        </w:rPr>
        <w:t>Names</w:t>
      </w:r>
      <w:proofErr w:type="spellEnd"/>
      <w:r w:rsidR="003A33EF" w:rsidRPr="00C06542">
        <w:rPr>
          <w:lang w:val="fr-FR"/>
        </w:rPr>
        <w:t xml:space="preserve"> (CCFN) </w:t>
      </w:r>
      <w:r w:rsidR="00DD1AFE" w:rsidRPr="00C06542">
        <w:rPr>
          <w:lang w:val="fr-FR"/>
        </w:rPr>
        <w:t>a estimé</w:t>
      </w:r>
      <w:r w:rsidR="003A33EF" w:rsidRPr="00C06542">
        <w:rPr>
          <w:lang w:val="fr-FR"/>
        </w:rPr>
        <w:t xml:space="preserve"> que les producteurs </w:t>
      </w:r>
      <w:r w:rsidR="00A84193" w:rsidRPr="00C06542">
        <w:rPr>
          <w:lang w:val="fr-FR"/>
        </w:rPr>
        <w:t xml:space="preserve">du </w:t>
      </w:r>
      <w:r w:rsidR="00FC48DD" w:rsidRPr="00C06542">
        <w:rPr>
          <w:lang w:val="fr-FR"/>
        </w:rPr>
        <w:t xml:space="preserve">monde entier </w:t>
      </w:r>
      <w:r w:rsidR="00A84193" w:rsidRPr="00C06542">
        <w:rPr>
          <w:lang w:val="fr-FR"/>
        </w:rPr>
        <w:t xml:space="preserve">qui fabriquaient </w:t>
      </w:r>
      <w:r w:rsidR="003A33EF" w:rsidRPr="00C06542">
        <w:rPr>
          <w:lang w:val="fr-FR"/>
        </w:rPr>
        <w:t>d</w:t>
      </w:r>
      <w:r w:rsidR="00FC48DD" w:rsidRPr="00C06542">
        <w:rPr>
          <w:lang w:val="fr-FR"/>
        </w:rPr>
        <w:t xml:space="preserve">es </w:t>
      </w:r>
      <w:r w:rsidR="003A33EF" w:rsidRPr="00C06542">
        <w:rPr>
          <w:lang w:val="fr-FR"/>
        </w:rPr>
        <w:t>aliments ayant un nom commun devaient prévenir l</w:t>
      </w:r>
      <w:r w:rsidR="00533B18" w:rsidRPr="00C06542">
        <w:rPr>
          <w:lang w:val="fr-FR"/>
        </w:rPr>
        <w:t>’</w:t>
      </w:r>
      <w:r w:rsidR="003A33EF" w:rsidRPr="00C06542">
        <w:rPr>
          <w:lang w:val="fr-FR"/>
        </w:rPr>
        <w:t>OMPI du fait que la majeure partie des producteurs, notamment dans les pays les moins avancés</w:t>
      </w:r>
      <w:r w:rsidR="00851119" w:rsidRPr="00C06542">
        <w:rPr>
          <w:lang w:val="fr-FR"/>
        </w:rPr>
        <w:t xml:space="preserve"> (PMA)</w:t>
      </w:r>
      <w:r w:rsidR="003A33EF" w:rsidRPr="00C06542">
        <w:rPr>
          <w:lang w:val="fr-FR"/>
        </w:rPr>
        <w:t xml:space="preserve">, </w:t>
      </w:r>
      <w:r w:rsidR="00596F41" w:rsidRPr="00C06542">
        <w:rPr>
          <w:lang w:val="fr-FR"/>
        </w:rPr>
        <w:t>fabriquaient</w:t>
      </w:r>
      <w:r w:rsidR="003A33EF" w:rsidRPr="00C06542">
        <w:rPr>
          <w:lang w:val="fr-FR"/>
        </w:rPr>
        <w:t xml:space="preserve"> des aliments ayant un nom commun et non une indication géographiq</w:t>
      </w:r>
      <w:r w:rsidR="00C06542" w:rsidRPr="00C06542">
        <w:rPr>
          <w:lang w:val="fr-FR"/>
        </w:rPr>
        <w:t>ue.  Il</w:t>
      </w:r>
      <w:r w:rsidR="00851119" w:rsidRPr="00C06542">
        <w:rPr>
          <w:lang w:val="fr-FR"/>
        </w:rPr>
        <w:t xml:space="preserve"> était donc extrêmement important que l</w:t>
      </w:r>
      <w:r w:rsidR="00533B18" w:rsidRPr="00C06542">
        <w:rPr>
          <w:lang w:val="fr-FR"/>
        </w:rPr>
        <w:t>’</w:t>
      </w:r>
      <w:r w:rsidR="00851119" w:rsidRPr="00C06542">
        <w:rPr>
          <w:lang w:val="fr-FR"/>
        </w:rPr>
        <w:t>OMPI fasse en sorte que ces producteurs</w:t>
      </w:r>
      <w:r w:rsidR="005D4CBB" w:rsidRPr="00C06542">
        <w:rPr>
          <w:lang w:val="fr-FR"/>
        </w:rPr>
        <w:t xml:space="preserve"> des PMA</w:t>
      </w:r>
      <w:r w:rsidR="00851119" w:rsidRPr="00C06542">
        <w:rPr>
          <w:lang w:val="fr-FR"/>
        </w:rPr>
        <w:t xml:space="preserve"> puissent aussi faire entendre leur vo</w:t>
      </w:r>
      <w:r w:rsidR="00C06542" w:rsidRPr="00C06542">
        <w:rPr>
          <w:lang w:val="fr-FR"/>
        </w:rPr>
        <w:t>ix.  Le</w:t>
      </w:r>
      <w:r w:rsidRPr="00C06542">
        <w:rPr>
          <w:lang w:val="fr-FR"/>
        </w:rPr>
        <w:t xml:space="preserve"> représentant</w:t>
      </w:r>
      <w:r w:rsidR="00370E9A" w:rsidRPr="00C06542">
        <w:rPr>
          <w:lang w:val="fr-FR"/>
        </w:rPr>
        <w:t xml:space="preserve"> avait entendu que les noms génériques ne relevaient pas du domaine des droits de propriété intellectuelle</w:t>
      </w:r>
      <w:r w:rsidRPr="00C06542">
        <w:rPr>
          <w:lang w:val="fr-FR"/>
        </w:rPr>
        <w:t>, mais</w:t>
      </w:r>
      <w:r w:rsidR="00C6240A" w:rsidRPr="00C06542">
        <w:rPr>
          <w:lang w:val="fr-FR"/>
        </w:rPr>
        <w:t xml:space="preserve"> il considérait pour sa part</w:t>
      </w:r>
      <w:r w:rsidR="00370E9A" w:rsidRPr="00C06542">
        <w:rPr>
          <w:lang w:val="fr-FR"/>
        </w:rPr>
        <w:t xml:space="preserve"> que la situation était exactement inverse et que ces noms faisaient clairement partie de la propriété intellectuel</w:t>
      </w:r>
      <w:r w:rsidR="00C06542" w:rsidRPr="00C06542">
        <w:rPr>
          <w:lang w:val="fr-FR"/>
        </w:rPr>
        <w:t>le.  En</w:t>
      </w:r>
      <w:r w:rsidR="00370E9A" w:rsidRPr="00C06542">
        <w:rPr>
          <w:lang w:val="fr-FR"/>
        </w:rPr>
        <w:t>fin, il a remercié les États</w:t>
      </w:r>
      <w:r w:rsidR="00E70D34">
        <w:rPr>
          <w:lang w:val="fr-FR"/>
        </w:rPr>
        <w:noBreakHyphen/>
      </w:r>
      <w:r w:rsidR="00370E9A" w:rsidRPr="00C06542">
        <w:rPr>
          <w:lang w:val="fr-FR"/>
        </w:rPr>
        <w:t>Unis d</w:t>
      </w:r>
      <w:r w:rsidR="00533B18" w:rsidRPr="00C06542">
        <w:rPr>
          <w:lang w:val="fr-FR"/>
        </w:rPr>
        <w:t>’</w:t>
      </w:r>
      <w:r w:rsidR="00370E9A" w:rsidRPr="00C06542">
        <w:rPr>
          <w:lang w:val="fr-FR"/>
        </w:rPr>
        <w:t xml:space="preserve">Amérique et les nombreux pays du </w:t>
      </w:r>
      <w:r w:rsidR="00B025A8" w:rsidRPr="00C06542">
        <w:rPr>
          <w:lang w:val="fr-FR"/>
        </w:rPr>
        <w:t>N</w:t>
      </w:r>
      <w:r w:rsidR="00370E9A" w:rsidRPr="00C06542">
        <w:rPr>
          <w:lang w:val="fr-FR"/>
        </w:rPr>
        <w:t xml:space="preserve">ouveau </w:t>
      </w:r>
      <w:r w:rsidR="00B025A8" w:rsidRPr="00C06542">
        <w:rPr>
          <w:lang w:val="fr-FR"/>
        </w:rPr>
        <w:t>M</w:t>
      </w:r>
      <w:r w:rsidR="00370E9A" w:rsidRPr="00C06542">
        <w:rPr>
          <w:lang w:val="fr-FR"/>
        </w:rPr>
        <w:t>onde qui avaient apporté leur soutien aux noms communs d</w:t>
      </w:r>
      <w:r w:rsidR="00533B18" w:rsidRPr="00C06542">
        <w:rPr>
          <w:lang w:val="fr-FR"/>
        </w:rPr>
        <w:t>’</w:t>
      </w:r>
      <w:r w:rsidR="00370E9A" w:rsidRPr="00C06542">
        <w:rPr>
          <w:lang w:val="fr-FR"/>
        </w:rPr>
        <w:t>aliments</w:t>
      </w:r>
      <w:r w:rsidR="0013428A" w:rsidRPr="00C06542">
        <w:rPr>
          <w:lang w:val="fr-FR"/>
        </w:rPr>
        <w:t>, et il a invité l</w:t>
      </w:r>
      <w:r w:rsidR="00533B18" w:rsidRPr="00C06542">
        <w:rPr>
          <w:lang w:val="fr-FR"/>
        </w:rPr>
        <w:t>’</w:t>
      </w:r>
      <w:r w:rsidR="0013428A" w:rsidRPr="00C06542">
        <w:rPr>
          <w:lang w:val="fr-FR"/>
        </w:rPr>
        <w:t xml:space="preserve">OMPI et le système de Lisbonne à protéger des noms tels que </w:t>
      </w:r>
      <w:r w:rsidR="005D4CBB" w:rsidRPr="00C06542">
        <w:rPr>
          <w:lang w:val="fr-FR"/>
        </w:rPr>
        <w:t>“Q</w:t>
      </w:r>
      <w:r w:rsidR="0013428A" w:rsidRPr="00C06542">
        <w:rPr>
          <w:lang w:val="fr-FR"/>
        </w:rPr>
        <w:t>uechu</w:t>
      </w:r>
      <w:r w:rsidR="005D4CBB" w:rsidRPr="00C06542">
        <w:rPr>
          <w:lang w:val="fr-FR"/>
        </w:rPr>
        <w:t>a”</w:t>
      </w:r>
      <w:r w:rsidR="0013428A" w:rsidRPr="00C06542">
        <w:rPr>
          <w:lang w:val="fr-FR"/>
        </w:rPr>
        <w:t>, qui ne semblaient pas présenter d</w:t>
      </w:r>
      <w:r w:rsidR="00533B18" w:rsidRPr="00C06542">
        <w:rPr>
          <w:lang w:val="fr-FR"/>
        </w:rPr>
        <w:t>’</w:t>
      </w:r>
      <w:r w:rsidR="0013428A" w:rsidRPr="00C06542">
        <w:rPr>
          <w:lang w:val="fr-FR"/>
        </w:rPr>
        <w:t>intérêt par rapport à d</w:t>
      </w:r>
      <w:r w:rsidR="00533B18" w:rsidRPr="00C06542">
        <w:rPr>
          <w:lang w:val="fr-FR"/>
        </w:rPr>
        <w:t>’</w:t>
      </w:r>
      <w:r w:rsidR="0013428A" w:rsidRPr="00C06542">
        <w:rPr>
          <w:lang w:val="fr-FR"/>
        </w:rPr>
        <w:t>autres noms pourtant moins importants.</w:t>
      </w:r>
    </w:p>
    <w:p w14:paraId="22D662FD" w14:textId="7E5B77A6" w:rsidR="000A6424" w:rsidRPr="00C06542" w:rsidRDefault="0090633C" w:rsidP="00017C33">
      <w:pPr>
        <w:pStyle w:val="ONUMFS"/>
        <w:rPr>
          <w:lang w:val="fr-FR"/>
        </w:rPr>
      </w:pPr>
      <w:r w:rsidRPr="00C06542">
        <w:rPr>
          <w:lang w:val="fr-FR"/>
        </w:rPr>
        <w:t>Prenant</w:t>
      </w:r>
      <w:r w:rsidR="00902BA5" w:rsidRPr="00C06542">
        <w:rPr>
          <w:lang w:val="fr-FR"/>
        </w:rPr>
        <w:t xml:space="preserve"> note des déclarations des délégations concernant le budget de Lisbonne, le </w:t>
      </w:r>
      <w:r w:rsidR="008A6483" w:rsidRPr="00C06542">
        <w:rPr>
          <w:lang w:val="fr-FR"/>
        </w:rPr>
        <w:t>p</w:t>
      </w:r>
      <w:r w:rsidR="00902BA5" w:rsidRPr="00C06542">
        <w:rPr>
          <w:lang w:val="fr-FR"/>
        </w:rPr>
        <w:t>résident</w:t>
      </w:r>
      <w:r w:rsidR="003F2CDB" w:rsidRPr="00C06542">
        <w:rPr>
          <w:lang w:val="fr-FR"/>
        </w:rPr>
        <w:t xml:space="preserve"> a rappelé que le débat sur les questions budgétaires serait repris </w:t>
      </w:r>
      <w:r w:rsidR="001D6105" w:rsidRPr="00C06542">
        <w:rPr>
          <w:lang w:val="fr-FR"/>
        </w:rPr>
        <w:t>dans le cadre</w:t>
      </w:r>
      <w:r w:rsidR="003F2CDB" w:rsidRPr="00C06542">
        <w:rPr>
          <w:lang w:val="fr-FR"/>
        </w:rPr>
        <w:t xml:space="preserve"> du </w:t>
      </w:r>
      <w:r w:rsidR="001D6105" w:rsidRPr="00C06542">
        <w:rPr>
          <w:lang w:val="fr-FR"/>
        </w:rPr>
        <w:t>Comité du programme et budget (PBC).</w:t>
      </w:r>
    </w:p>
    <w:p w14:paraId="528D640F" w14:textId="7D023F19" w:rsidR="005646CD" w:rsidRPr="00C06542" w:rsidRDefault="005646CD" w:rsidP="00017C33">
      <w:pPr>
        <w:pStyle w:val="ONUMFS"/>
        <w:ind w:left="567"/>
        <w:rPr>
          <w:szCs w:val="22"/>
          <w:lang w:val="fr-FR"/>
        </w:rPr>
      </w:pPr>
      <w:r w:rsidRPr="00C06542">
        <w:rPr>
          <w:lang w:val="fr-FR"/>
        </w:rPr>
        <w:t>L</w:t>
      </w:r>
      <w:r w:rsidR="00533B18" w:rsidRPr="00C06542">
        <w:rPr>
          <w:lang w:val="fr-FR"/>
        </w:rPr>
        <w:t>’</w:t>
      </w:r>
      <w:r w:rsidRPr="00C06542">
        <w:rPr>
          <w:lang w:val="fr-FR"/>
        </w:rPr>
        <w:t>Assemblée de l</w:t>
      </w:r>
      <w:r w:rsidR="00533B18" w:rsidRPr="00C06542">
        <w:rPr>
          <w:lang w:val="fr-FR"/>
        </w:rPr>
        <w:t>’</w:t>
      </w:r>
      <w:r w:rsidRPr="00C06542">
        <w:rPr>
          <w:lang w:val="fr-FR"/>
        </w:rPr>
        <w:t>Union de Lisbonne</w:t>
      </w:r>
    </w:p>
    <w:p w14:paraId="15447DA0" w14:textId="26DA2871" w:rsidR="005646CD" w:rsidRPr="00C06542" w:rsidRDefault="005646CD" w:rsidP="00017C33">
      <w:pPr>
        <w:pStyle w:val="ONUMFS"/>
        <w:numPr>
          <w:ilvl w:val="2"/>
          <w:numId w:val="6"/>
        </w:numPr>
        <w:rPr>
          <w:lang w:val="fr-FR"/>
        </w:rPr>
      </w:pPr>
      <w:proofErr w:type="gramStart"/>
      <w:r w:rsidRPr="00C06542">
        <w:rPr>
          <w:lang w:val="fr-FR"/>
        </w:rPr>
        <w:t>a</w:t>
      </w:r>
      <w:proofErr w:type="gramEnd"/>
      <w:r w:rsidRPr="00C06542">
        <w:rPr>
          <w:lang w:val="fr-FR"/>
        </w:rPr>
        <w:t xml:space="preserve"> adopté les modifications apportées au règlement d</w:t>
      </w:r>
      <w:r w:rsidR="00533B18" w:rsidRPr="00C06542">
        <w:rPr>
          <w:lang w:val="fr-FR"/>
        </w:rPr>
        <w:t>’</w:t>
      </w:r>
      <w:r w:rsidRPr="00C06542">
        <w:rPr>
          <w:lang w:val="fr-FR"/>
        </w:rPr>
        <w:t>exécution commun à l</w:t>
      </w:r>
      <w:r w:rsidR="00533B18" w:rsidRPr="00C06542">
        <w:rPr>
          <w:lang w:val="fr-FR"/>
        </w:rPr>
        <w:t>’</w:t>
      </w:r>
      <w:r w:rsidRPr="00C06542">
        <w:rPr>
          <w:lang w:val="fr-FR"/>
        </w:rPr>
        <w:t>Arrangement de Lisbonne concernant la protection des appellations d</w:t>
      </w:r>
      <w:r w:rsidR="00533B18" w:rsidRPr="00C06542">
        <w:rPr>
          <w:lang w:val="fr-FR"/>
        </w:rPr>
        <w:t>’</w:t>
      </w:r>
      <w:r w:rsidRPr="00C06542">
        <w:rPr>
          <w:lang w:val="fr-FR"/>
        </w:rPr>
        <w:t>origine et leur enregistrement international et à l</w:t>
      </w:r>
      <w:r w:rsidR="00533B18" w:rsidRPr="00C06542">
        <w:rPr>
          <w:lang w:val="fr-FR"/>
        </w:rPr>
        <w:t>’</w:t>
      </w:r>
      <w:r w:rsidRPr="00C06542">
        <w:rPr>
          <w:lang w:val="fr-FR"/>
        </w:rPr>
        <w:t>Acte de Genève de l</w:t>
      </w:r>
      <w:r w:rsidR="00533B18" w:rsidRPr="00C06542">
        <w:rPr>
          <w:lang w:val="fr-FR"/>
        </w:rPr>
        <w:t>’</w:t>
      </w:r>
      <w:r w:rsidRPr="00C06542">
        <w:rPr>
          <w:lang w:val="fr-FR"/>
        </w:rPr>
        <w:t>Arrangement de Lisbonne concernant les appellations d</w:t>
      </w:r>
      <w:r w:rsidR="00533B18" w:rsidRPr="00C06542">
        <w:rPr>
          <w:lang w:val="fr-FR"/>
        </w:rPr>
        <w:t>’</w:t>
      </w:r>
      <w:r w:rsidRPr="00C06542">
        <w:rPr>
          <w:lang w:val="fr-FR"/>
        </w:rPr>
        <w:t>origine et les indications géographiques, telles qu</w:t>
      </w:r>
      <w:r w:rsidR="00533B18" w:rsidRPr="00C06542">
        <w:rPr>
          <w:lang w:val="fr-FR"/>
        </w:rPr>
        <w:t>’</w:t>
      </w:r>
      <w:r w:rsidRPr="00C06542">
        <w:rPr>
          <w:lang w:val="fr-FR"/>
        </w:rPr>
        <w:t>elles figurent dans l</w:t>
      </w:r>
      <w:r w:rsidR="00533B18" w:rsidRPr="00C06542">
        <w:rPr>
          <w:lang w:val="fr-FR"/>
        </w:rPr>
        <w:t>’</w:t>
      </w:r>
      <w:r w:rsidRPr="00C06542">
        <w:rPr>
          <w:lang w:val="fr-FR"/>
        </w:rPr>
        <w:t xml:space="preserve">annexe du </w:t>
      </w:r>
      <w:r w:rsidR="00533B18" w:rsidRPr="00C06542">
        <w:rPr>
          <w:lang w:val="fr-FR"/>
        </w:rPr>
        <w:t>document</w:t>
      </w:r>
      <w:r w:rsidR="00C24374">
        <w:rPr>
          <w:lang w:val="fr-FR"/>
        </w:rPr>
        <w:t> </w:t>
      </w:r>
      <w:r w:rsidR="00533B18" w:rsidRPr="00C06542">
        <w:rPr>
          <w:lang w:val="fr-FR"/>
        </w:rPr>
        <w:t>LI</w:t>
      </w:r>
      <w:r w:rsidRPr="00C06542">
        <w:rPr>
          <w:lang w:val="fr-FR"/>
        </w:rPr>
        <w:t>/A/40/1, et</w:t>
      </w:r>
    </w:p>
    <w:p w14:paraId="380C2B95" w14:textId="77777777" w:rsidR="008B170D" w:rsidRDefault="005646CD" w:rsidP="004A69B1">
      <w:pPr>
        <w:pStyle w:val="ONUMFS"/>
        <w:numPr>
          <w:ilvl w:val="2"/>
          <w:numId w:val="6"/>
        </w:numPr>
        <w:rPr>
          <w:lang w:val="fr-FR"/>
        </w:rPr>
      </w:pPr>
      <w:proofErr w:type="gramStart"/>
      <w:r w:rsidRPr="004A69B1">
        <w:rPr>
          <w:lang w:val="fr-FR"/>
        </w:rPr>
        <w:t>a</w:t>
      </w:r>
      <w:proofErr w:type="gramEnd"/>
      <w:r w:rsidRPr="004A69B1">
        <w:rPr>
          <w:lang w:val="fr-FR"/>
        </w:rPr>
        <w:t xml:space="preserve"> adopté les corrections qu</w:t>
      </w:r>
      <w:r w:rsidR="00533B18" w:rsidRPr="004A69B1">
        <w:rPr>
          <w:lang w:val="fr-FR"/>
        </w:rPr>
        <w:t>’</w:t>
      </w:r>
      <w:r w:rsidRPr="004A69B1">
        <w:rPr>
          <w:lang w:val="fr-FR"/>
        </w:rPr>
        <w:t>il est proposé d</w:t>
      </w:r>
      <w:r w:rsidR="00533B18" w:rsidRPr="004A69B1">
        <w:rPr>
          <w:lang w:val="fr-FR"/>
        </w:rPr>
        <w:t>’</w:t>
      </w:r>
      <w:r w:rsidRPr="004A69B1">
        <w:rPr>
          <w:lang w:val="fr-FR"/>
        </w:rPr>
        <w:t>apporter à la version espagnole du règlement d</w:t>
      </w:r>
      <w:r w:rsidR="00533B18" w:rsidRPr="004A69B1">
        <w:rPr>
          <w:lang w:val="fr-FR"/>
        </w:rPr>
        <w:t>’</w:t>
      </w:r>
      <w:r w:rsidRPr="004A69B1">
        <w:rPr>
          <w:lang w:val="fr-FR"/>
        </w:rPr>
        <w:t>exécution commun, telles qu</w:t>
      </w:r>
      <w:r w:rsidR="00533B18" w:rsidRPr="004A69B1">
        <w:rPr>
          <w:lang w:val="fr-FR"/>
        </w:rPr>
        <w:t>’</w:t>
      </w:r>
      <w:r w:rsidRPr="004A69B1">
        <w:rPr>
          <w:lang w:val="fr-FR"/>
        </w:rPr>
        <w:t xml:space="preserve">elles figurent dans la version espagnole du </w:t>
      </w:r>
      <w:r w:rsidR="00533B18" w:rsidRPr="004A69B1">
        <w:rPr>
          <w:lang w:val="fr-FR"/>
        </w:rPr>
        <w:t>document</w:t>
      </w:r>
      <w:r w:rsidR="00C24374" w:rsidRPr="004A69B1">
        <w:rPr>
          <w:lang w:val="fr-FR"/>
        </w:rPr>
        <w:t> </w:t>
      </w:r>
      <w:r w:rsidR="00533B18" w:rsidRPr="004A69B1">
        <w:rPr>
          <w:lang w:val="fr-FR"/>
        </w:rPr>
        <w:t>LI</w:t>
      </w:r>
      <w:r w:rsidR="00AA7881" w:rsidRPr="004A69B1">
        <w:rPr>
          <w:lang w:val="fr-FR"/>
        </w:rPr>
        <w:t>/A/40/1,</w:t>
      </w:r>
    </w:p>
    <w:p w14:paraId="7F94255C" w14:textId="11F67C53" w:rsidR="005646CD" w:rsidRPr="004A69B1" w:rsidRDefault="005646CD" w:rsidP="008B170D">
      <w:pPr>
        <w:pStyle w:val="ONUMFS"/>
        <w:numPr>
          <w:ilvl w:val="0"/>
          <w:numId w:val="0"/>
        </w:numPr>
        <w:ind w:left="1134"/>
        <w:rPr>
          <w:lang w:val="fr-FR"/>
        </w:rPr>
      </w:pPr>
      <w:proofErr w:type="gramStart"/>
      <w:r w:rsidRPr="004A69B1">
        <w:rPr>
          <w:lang w:val="fr-FR"/>
        </w:rPr>
        <w:t>en</w:t>
      </w:r>
      <w:proofErr w:type="gramEnd"/>
      <w:r w:rsidRPr="004A69B1">
        <w:rPr>
          <w:lang w:val="fr-FR"/>
        </w:rPr>
        <w:t xml:space="preserve"> vue de leur entrée en vigueur le 14 juillet 2023.</w:t>
      </w:r>
    </w:p>
    <w:p w14:paraId="68B76DA6" w14:textId="39E149FD" w:rsidR="00394C82" w:rsidRPr="00C06542" w:rsidRDefault="004B1B09" w:rsidP="00017C33">
      <w:pPr>
        <w:pStyle w:val="ONUMFS"/>
        <w:rPr>
          <w:lang w:val="fr-FR"/>
        </w:rPr>
      </w:pPr>
      <w:r w:rsidRPr="00C06542">
        <w:rPr>
          <w:lang w:val="fr-FR"/>
        </w:rPr>
        <w:t>À toutes fins utiles</w:t>
      </w:r>
      <w:r w:rsidR="00EF51CC" w:rsidRPr="00C06542">
        <w:rPr>
          <w:lang w:val="fr-FR"/>
        </w:rPr>
        <w:t>, l</w:t>
      </w:r>
      <w:r w:rsidR="00533B18" w:rsidRPr="00C06542">
        <w:rPr>
          <w:lang w:val="fr-FR"/>
        </w:rPr>
        <w:t>’</w:t>
      </w:r>
      <w:r w:rsidR="00EF51CC" w:rsidRPr="00C06542">
        <w:rPr>
          <w:lang w:val="fr-FR"/>
        </w:rPr>
        <w:t>annexe du présent rapport contient les modifications apportées au règlement d</w:t>
      </w:r>
      <w:r w:rsidR="00533B18" w:rsidRPr="00C06542">
        <w:rPr>
          <w:lang w:val="fr-FR"/>
        </w:rPr>
        <w:t>’</w:t>
      </w:r>
      <w:r w:rsidR="00EF51CC" w:rsidRPr="00C06542">
        <w:rPr>
          <w:lang w:val="fr-FR"/>
        </w:rPr>
        <w:t>exécution commun à l</w:t>
      </w:r>
      <w:r w:rsidR="00533B18" w:rsidRPr="00C06542">
        <w:rPr>
          <w:lang w:val="fr-FR"/>
        </w:rPr>
        <w:t>’</w:t>
      </w:r>
      <w:r w:rsidR="00EF51CC" w:rsidRPr="00C06542">
        <w:rPr>
          <w:lang w:val="fr-FR"/>
        </w:rPr>
        <w:t>Arrangement de Lisbonne et à l</w:t>
      </w:r>
      <w:r w:rsidR="00533B18" w:rsidRPr="00C06542">
        <w:rPr>
          <w:lang w:val="fr-FR"/>
        </w:rPr>
        <w:t>’</w:t>
      </w:r>
      <w:r w:rsidR="00EF51CC" w:rsidRPr="00C06542">
        <w:rPr>
          <w:lang w:val="fr-FR"/>
        </w:rPr>
        <w:t>Acte de Genève de l</w:t>
      </w:r>
      <w:r w:rsidR="00533B18" w:rsidRPr="00C06542">
        <w:rPr>
          <w:lang w:val="fr-FR"/>
        </w:rPr>
        <w:t>’</w:t>
      </w:r>
      <w:r w:rsidR="00EF51CC" w:rsidRPr="00C06542">
        <w:rPr>
          <w:lang w:val="fr-FR"/>
        </w:rPr>
        <w:t>Arrangement de Lisbonne, conformément à la décision énoncée au paragraphe 2</w:t>
      </w:r>
      <w:r w:rsidR="00AA7881" w:rsidRPr="00C06542">
        <w:rPr>
          <w:lang w:val="fr-FR"/>
        </w:rPr>
        <w:t>6</w:t>
      </w:r>
      <w:r w:rsidR="00736361" w:rsidRPr="00C06542">
        <w:rPr>
          <w:lang w:val="fr-FR"/>
        </w:rPr>
        <w:t>.i)</w:t>
      </w:r>
      <w:r w:rsidR="00EF51CC" w:rsidRPr="00C06542">
        <w:rPr>
          <w:lang w:val="fr-FR"/>
        </w:rPr>
        <w:t xml:space="preserve"> ci</w:t>
      </w:r>
      <w:r w:rsidR="00E70D34">
        <w:rPr>
          <w:lang w:val="fr-FR"/>
        </w:rPr>
        <w:noBreakHyphen/>
      </w:r>
      <w:r w:rsidR="00EF51CC" w:rsidRPr="00C06542">
        <w:rPr>
          <w:lang w:val="fr-FR"/>
        </w:rPr>
        <w:t>dess</w:t>
      </w:r>
      <w:r w:rsidR="00C06542" w:rsidRPr="00C06542">
        <w:rPr>
          <w:lang w:val="fr-FR"/>
        </w:rPr>
        <w:t>us.  Le</w:t>
      </w:r>
      <w:r w:rsidR="00376EAC" w:rsidRPr="00C06542">
        <w:rPr>
          <w:lang w:val="fr-FR"/>
        </w:rPr>
        <w:t>s corrections apportées à la version espagnole du règlement d</w:t>
      </w:r>
      <w:r w:rsidR="00533B18" w:rsidRPr="00C06542">
        <w:rPr>
          <w:lang w:val="fr-FR"/>
        </w:rPr>
        <w:t>’</w:t>
      </w:r>
      <w:r w:rsidR="00376EAC" w:rsidRPr="00C06542">
        <w:rPr>
          <w:lang w:val="fr-FR"/>
        </w:rPr>
        <w:t>exécution commun, telles qu</w:t>
      </w:r>
      <w:r w:rsidR="00533B18" w:rsidRPr="00C06542">
        <w:rPr>
          <w:lang w:val="fr-FR"/>
        </w:rPr>
        <w:t>’</w:t>
      </w:r>
      <w:r w:rsidR="00376EAC" w:rsidRPr="00C06542">
        <w:rPr>
          <w:lang w:val="fr-FR"/>
        </w:rPr>
        <w:t>adoptées dans la décision figurant au paragraphe 2</w:t>
      </w:r>
      <w:r w:rsidR="00AA7881" w:rsidRPr="00C06542">
        <w:rPr>
          <w:lang w:val="fr-FR"/>
        </w:rPr>
        <w:t>6</w:t>
      </w:r>
      <w:r w:rsidR="00376EAC" w:rsidRPr="00C06542">
        <w:rPr>
          <w:lang w:val="fr-FR"/>
        </w:rPr>
        <w:t>.ii) ci</w:t>
      </w:r>
      <w:r w:rsidR="00E70D34">
        <w:rPr>
          <w:lang w:val="fr-FR"/>
        </w:rPr>
        <w:noBreakHyphen/>
      </w:r>
      <w:r w:rsidR="00376EAC" w:rsidRPr="00C06542">
        <w:rPr>
          <w:lang w:val="fr-FR"/>
        </w:rPr>
        <w:t xml:space="preserve">dessus, </w:t>
      </w:r>
      <w:r w:rsidR="00CA14C9" w:rsidRPr="00C06542">
        <w:rPr>
          <w:lang w:val="fr-FR"/>
        </w:rPr>
        <w:t>sont uniquement reproduites à l</w:t>
      </w:r>
      <w:r w:rsidR="00533B18" w:rsidRPr="00C06542">
        <w:rPr>
          <w:lang w:val="fr-FR"/>
        </w:rPr>
        <w:t>’</w:t>
      </w:r>
      <w:r w:rsidR="00CA14C9" w:rsidRPr="00C06542">
        <w:rPr>
          <w:lang w:val="fr-FR"/>
        </w:rPr>
        <w:t>annexe II de la version espagnole du présent rapport.</w:t>
      </w:r>
    </w:p>
    <w:p w14:paraId="716A2A23" w14:textId="102BFDB5" w:rsidR="00B83CC9" w:rsidRPr="00C06542" w:rsidRDefault="00546B40" w:rsidP="00017C33">
      <w:pPr>
        <w:pStyle w:val="Endofdocument-Annex"/>
        <w:sectPr w:rsidR="00B83CC9" w:rsidRPr="00C06542" w:rsidSect="00546B4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C06542">
        <w:t>[</w:t>
      </w:r>
      <w:r w:rsidR="004A664F" w:rsidRPr="00C06542">
        <w:t>L</w:t>
      </w:r>
      <w:r w:rsidR="00533B18" w:rsidRPr="00C06542">
        <w:t>’</w:t>
      </w:r>
      <w:r w:rsidR="004A664F" w:rsidRPr="00C06542">
        <w:t>annexe suit</w:t>
      </w:r>
      <w:r w:rsidRPr="00C06542">
        <w:t>]</w:t>
      </w:r>
    </w:p>
    <w:p w14:paraId="10DF7A54" w14:textId="2959417A" w:rsidR="004A664F" w:rsidRPr="00C06542" w:rsidRDefault="004A664F" w:rsidP="00017C33">
      <w:pPr>
        <w:spacing w:before="240"/>
        <w:jc w:val="center"/>
        <w:rPr>
          <w:rFonts w:eastAsia="MS Mincho"/>
          <w:b/>
          <w:szCs w:val="22"/>
          <w:lang w:val="fr-FR"/>
        </w:rPr>
      </w:pPr>
      <w:r w:rsidRPr="00C06542">
        <w:rPr>
          <w:b/>
          <w:lang w:val="fr-FR"/>
        </w:rPr>
        <w:lastRenderedPageBreak/>
        <w:t>Règlement d</w:t>
      </w:r>
      <w:r w:rsidR="00533B18" w:rsidRPr="00C06542">
        <w:rPr>
          <w:b/>
          <w:lang w:val="fr-FR"/>
        </w:rPr>
        <w:t>’</w:t>
      </w:r>
      <w:r w:rsidRPr="00C06542">
        <w:rPr>
          <w:b/>
          <w:lang w:val="fr-FR"/>
        </w:rPr>
        <w:t>exécution commun à l</w:t>
      </w:r>
      <w:r w:rsidR="00533B18" w:rsidRPr="00C06542">
        <w:rPr>
          <w:b/>
          <w:lang w:val="fr-FR"/>
        </w:rPr>
        <w:t>’</w:t>
      </w:r>
      <w:r w:rsidRPr="00C06542">
        <w:rPr>
          <w:b/>
          <w:lang w:val="fr-FR"/>
        </w:rPr>
        <w:t xml:space="preserve">Arrangement de Lisbonne concernant </w:t>
      </w:r>
      <w:r w:rsidR="004F632C" w:rsidRPr="00C06542">
        <w:rPr>
          <w:b/>
          <w:lang w:val="fr-FR"/>
        </w:rPr>
        <w:t>la protection </w:t>
      </w:r>
      <w:r w:rsidRPr="00C06542">
        <w:rPr>
          <w:b/>
          <w:lang w:val="fr-FR"/>
        </w:rPr>
        <w:t>des appellations d</w:t>
      </w:r>
      <w:r w:rsidR="00533B18" w:rsidRPr="00C06542">
        <w:rPr>
          <w:b/>
          <w:lang w:val="fr-FR"/>
        </w:rPr>
        <w:t>’</w:t>
      </w:r>
      <w:r w:rsidRPr="00C06542">
        <w:rPr>
          <w:b/>
          <w:lang w:val="fr-FR"/>
        </w:rPr>
        <w:t>origine et leur en</w:t>
      </w:r>
      <w:r w:rsidR="004F632C" w:rsidRPr="00C06542">
        <w:rPr>
          <w:b/>
          <w:lang w:val="fr-FR"/>
        </w:rPr>
        <w:t>registrement international et à </w:t>
      </w:r>
      <w:r w:rsidRPr="00C06542">
        <w:rPr>
          <w:b/>
          <w:lang w:val="fr-FR"/>
        </w:rPr>
        <w:t>l</w:t>
      </w:r>
      <w:r w:rsidR="00533B18" w:rsidRPr="00C06542">
        <w:rPr>
          <w:b/>
          <w:lang w:val="fr-FR"/>
        </w:rPr>
        <w:t>’</w:t>
      </w:r>
      <w:r w:rsidR="004F632C" w:rsidRPr="00C06542">
        <w:rPr>
          <w:b/>
          <w:lang w:val="fr-FR"/>
        </w:rPr>
        <w:t>Acte de </w:t>
      </w:r>
      <w:r w:rsidRPr="00C06542">
        <w:rPr>
          <w:b/>
          <w:lang w:val="fr-FR"/>
        </w:rPr>
        <w:t>Genève de l</w:t>
      </w:r>
      <w:r w:rsidR="00533B18" w:rsidRPr="00C06542">
        <w:rPr>
          <w:b/>
          <w:lang w:val="fr-FR"/>
        </w:rPr>
        <w:t>’</w:t>
      </w:r>
      <w:r w:rsidRPr="00C06542">
        <w:rPr>
          <w:b/>
          <w:lang w:val="fr-FR"/>
        </w:rPr>
        <w:t>Arrangement de Lisbonne sur les appellations d</w:t>
      </w:r>
      <w:r w:rsidR="00533B18" w:rsidRPr="00C06542">
        <w:rPr>
          <w:b/>
          <w:lang w:val="fr-FR"/>
        </w:rPr>
        <w:t>’</w:t>
      </w:r>
      <w:r w:rsidR="004F632C" w:rsidRPr="00C06542">
        <w:rPr>
          <w:b/>
          <w:lang w:val="fr-FR"/>
        </w:rPr>
        <w:t>origine et les </w:t>
      </w:r>
      <w:r w:rsidRPr="00C06542">
        <w:rPr>
          <w:b/>
          <w:lang w:val="fr-FR"/>
        </w:rPr>
        <w:t>indications géographiques</w:t>
      </w:r>
    </w:p>
    <w:p w14:paraId="6864947F" w14:textId="77777777" w:rsidR="004A664F" w:rsidRPr="00C06542" w:rsidRDefault="004A664F" w:rsidP="00017C33">
      <w:pPr>
        <w:spacing w:before="240" w:after="240"/>
        <w:jc w:val="center"/>
        <w:rPr>
          <w:rFonts w:eastAsia="MS Mincho"/>
          <w:strike/>
          <w:szCs w:val="22"/>
          <w:lang w:val="fr-FR"/>
        </w:rPr>
      </w:pPr>
      <w:proofErr w:type="gramStart"/>
      <w:r w:rsidRPr="00C06542">
        <w:rPr>
          <w:lang w:val="fr-FR"/>
        </w:rPr>
        <w:t>texte</w:t>
      </w:r>
      <w:proofErr w:type="gramEnd"/>
      <w:r w:rsidRPr="00C06542">
        <w:rPr>
          <w:lang w:val="fr-FR"/>
        </w:rPr>
        <w:t xml:space="preserve"> en vigueur le 14 juillet 2023</w:t>
      </w:r>
    </w:p>
    <w:p w14:paraId="75A1BDE0" w14:textId="77777777" w:rsidR="004A664F" w:rsidRPr="00C06542" w:rsidRDefault="004A664F" w:rsidP="00017C33">
      <w:pPr>
        <w:spacing w:before="240"/>
        <w:rPr>
          <w:rFonts w:eastAsia="Times New Roman"/>
          <w:szCs w:val="22"/>
          <w:lang w:val="fr-FR"/>
        </w:rPr>
      </w:pPr>
      <w:r w:rsidRPr="00C06542">
        <w:rPr>
          <w:lang w:val="fr-FR"/>
        </w:rPr>
        <w:t>[…]</w:t>
      </w:r>
    </w:p>
    <w:p w14:paraId="58FE303C" w14:textId="77777777" w:rsidR="004A664F" w:rsidRPr="00C06542" w:rsidRDefault="004A664F" w:rsidP="00017C33">
      <w:pPr>
        <w:keepNext/>
        <w:spacing w:after="480"/>
        <w:jc w:val="center"/>
        <w:rPr>
          <w:b/>
          <w:bCs/>
          <w:lang w:val="fr-FR"/>
        </w:rPr>
      </w:pPr>
      <w:r w:rsidRPr="00C06542">
        <w:rPr>
          <w:b/>
          <w:lang w:val="fr-FR"/>
        </w:rPr>
        <w:t>Chapitre II</w:t>
      </w:r>
      <w:r w:rsidRPr="00C06542">
        <w:rPr>
          <w:b/>
          <w:lang w:val="fr-FR"/>
        </w:rPr>
        <w:br/>
        <w:t>Demande et enregistrement international</w:t>
      </w:r>
    </w:p>
    <w:p w14:paraId="2A8D635C" w14:textId="77777777" w:rsidR="004A664F" w:rsidRPr="00C06542" w:rsidRDefault="004A664F" w:rsidP="00017C33">
      <w:pPr>
        <w:spacing w:before="120" w:after="120"/>
        <w:jc w:val="center"/>
        <w:rPr>
          <w:b/>
          <w:bCs/>
          <w:color w:val="1A1A1A"/>
          <w:szCs w:val="22"/>
          <w:lang w:val="fr-FR"/>
        </w:rPr>
      </w:pPr>
      <w:r w:rsidRPr="00C06542">
        <w:rPr>
          <w:b/>
          <w:color w:val="1A1A1A"/>
          <w:lang w:val="fr-FR"/>
        </w:rPr>
        <w:t>Règle 5</w:t>
      </w:r>
      <w:r w:rsidRPr="00C06542">
        <w:rPr>
          <w:b/>
          <w:color w:val="1A1A1A"/>
          <w:lang w:val="fr-FR"/>
        </w:rPr>
        <w:br/>
      </w:r>
      <w:r w:rsidRPr="00C06542">
        <w:rPr>
          <w:color w:val="1A1A1A"/>
          <w:lang w:val="fr-FR"/>
        </w:rPr>
        <w:t>Conditions relatives à la demande</w:t>
      </w:r>
    </w:p>
    <w:p w14:paraId="0D299A0A" w14:textId="77777777" w:rsidR="004A664F" w:rsidRPr="00C06542" w:rsidRDefault="004A664F" w:rsidP="00017C33">
      <w:pPr>
        <w:spacing w:before="120" w:after="120"/>
        <w:rPr>
          <w:lang w:val="fr-FR"/>
        </w:rPr>
      </w:pPr>
      <w:r w:rsidRPr="00C06542">
        <w:rPr>
          <w:lang w:val="fr-FR"/>
        </w:rPr>
        <w:t>[…]</w:t>
      </w:r>
    </w:p>
    <w:p w14:paraId="10072E67" w14:textId="77777777" w:rsidR="004A664F" w:rsidRPr="00C06542" w:rsidRDefault="004A664F" w:rsidP="00017C33">
      <w:pPr>
        <w:autoSpaceDE w:val="0"/>
        <w:autoSpaceDN w:val="0"/>
        <w:adjustRightInd w:val="0"/>
        <w:rPr>
          <w:strike/>
          <w:lang w:val="fr-FR"/>
        </w:rPr>
      </w:pPr>
      <w:r w:rsidRPr="00C06542">
        <w:rPr>
          <w:lang w:val="fr-FR"/>
        </w:rPr>
        <w:t>4)</w:t>
      </w:r>
      <w:r w:rsidRPr="00C06542">
        <w:rPr>
          <w:lang w:val="fr-FR"/>
        </w:rPr>
        <w:tab/>
        <w:t>[supprimé]</w:t>
      </w:r>
    </w:p>
    <w:p w14:paraId="7E8BE4CE" w14:textId="77777777" w:rsidR="004A664F" w:rsidRPr="00C06542" w:rsidRDefault="004A664F" w:rsidP="00017C33">
      <w:pPr>
        <w:spacing w:before="120" w:after="120"/>
        <w:rPr>
          <w:rFonts w:eastAsia="Times New Roman"/>
          <w:color w:val="1A1A1A"/>
          <w:szCs w:val="22"/>
          <w:lang w:val="fr-FR"/>
        </w:rPr>
      </w:pPr>
      <w:r w:rsidRPr="00C06542">
        <w:rPr>
          <w:color w:val="1A1A1A"/>
          <w:lang w:val="fr-FR"/>
        </w:rPr>
        <w:t>[…]</w:t>
      </w:r>
    </w:p>
    <w:p w14:paraId="57D5A64D" w14:textId="77777777" w:rsidR="004A664F" w:rsidRPr="00C06542" w:rsidRDefault="004A664F" w:rsidP="00017C33">
      <w:pPr>
        <w:keepNext/>
        <w:keepLines/>
        <w:jc w:val="center"/>
        <w:rPr>
          <w:b/>
          <w:lang w:val="fr-FR"/>
        </w:rPr>
      </w:pPr>
      <w:r w:rsidRPr="00C06542">
        <w:rPr>
          <w:b/>
          <w:lang w:val="fr-FR"/>
        </w:rPr>
        <w:t>Règle 6</w:t>
      </w:r>
    </w:p>
    <w:p w14:paraId="3A59AE5E" w14:textId="77777777" w:rsidR="004A664F" w:rsidRPr="00C06542" w:rsidRDefault="004A664F" w:rsidP="00017C33">
      <w:pPr>
        <w:keepNext/>
        <w:keepLines/>
        <w:jc w:val="center"/>
        <w:rPr>
          <w:lang w:val="fr-FR"/>
        </w:rPr>
      </w:pPr>
      <w:r w:rsidRPr="00C06542">
        <w:rPr>
          <w:lang w:val="fr-FR"/>
        </w:rPr>
        <w:t>Demandes irrégulières</w:t>
      </w:r>
    </w:p>
    <w:p w14:paraId="1D831030" w14:textId="77777777" w:rsidR="004A664F" w:rsidRPr="00C06542" w:rsidRDefault="004A664F" w:rsidP="00017C33">
      <w:pPr>
        <w:spacing w:before="120" w:after="120"/>
        <w:rPr>
          <w:lang w:val="fr-FR"/>
        </w:rPr>
      </w:pPr>
      <w:r w:rsidRPr="00C06542">
        <w:rPr>
          <w:lang w:val="fr-FR"/>
        </w:rPr>
        <w:t>[…]</w:t>
      </w:r>
    </w:p>
    <w:p w14:paraId="4810B237" w14:textId="77777777" w:rsidR="004A664F" w:rsidRPr="00C06542" w:rsidRDefault="004A664F" w:rsidP="00017C33">
      <w:pPr>
        <w:pStyle w:val="ListParagraph"/>
        <w:numPr>
          <w:ilvl w:val="0"/>
          <w:numId w:val="7"/>
        </w:numPr>
        <w:spacing w:before="120" w:after="120"/>
        <w:ind w:left="0" w:firstLine="0"/>
        <w:rPr>
          <w:lang w:val="fr-FR"/>
        </w:rPr>
      </w:pPr>
      <w:r w:rsidRPr="00C06542">
        <w:rPr>
          <w:i/>
          <w:lang w:val="fr-FR"/>
        </w:rPr>
        <w:t>[Examen de la demande et correction des irrégularités]</w:t>
      </w:r>
    </w:p>
    <w:p w14:paraId="4391CB56" w14:textId="77777777" w:rsidR="004A664F" w:rsidRPr="00C06542" w:rsidRDefault="004A664F" w:rsidP="00017C33">
      <w:pPr>
        <w:spacing w:before="120" w:after="120"/>
        <w:rPr>
          <w:lang w:val="fr-FR"/>
        </w:rPr>
      </w:pPr>
      <w:r w:rsidRPr="00C06542">
        <w:rPr>
          <w:lang w:val="fr-FR"/>
        </w:rPr>
        <w:t>[…]</w:t>
      </w:r>
    </w:p>
    <w:p w14:paraId="4B327689" w14:textId="7356C7CA" w:rsidR="004A664F" w:rsidRPr="00C06542" w:rsidRDefault="004A664F" w:rsidP="00017C33">
      <w:pPr>
        <w:tabs>
          <w:tab w:val="left" w:pos="1134"/>
        </w:tabs>
        <w:ind w:firstLine="567"/>
        <w:rPr>
          <w:lang w:val="fr-FR"/>
        </w:rPr>
      </w:pPr>
      <w:r w:rsidRPr="00C06542">
        <w:rPr>
          <w:lang w:val="fr-FR"/>
        </w:rPr>
        <w:t>d)</w:t>
      </w:r>
      <w:r w:rsidRPr="00C06542">
        <w:rPr>
          <w:lang w:val="fr-FR"/>
        </w:rPr>
        <w:tab/>
        <w:t>Dans le cas d</w:t>
      </w:r>
      <w:r w:rsidR="00533B18" w:rsidRPr="00C06542">
        <w:rPr>
          <w:lang w:val="fr-FR"/>
        </w:rPr>
        <w:t>’</w:t>
      </w:r>
      <w:r w:rsidRPr="00C06542">
        <w:rPr>
          <w:lang w:val="fr-FR"/>
        </w:rPr>
        <w:t>une irrégularité concernant une exigence fondée sur une notification faite en vertu de la règle 5.3) ou sur une déclaration faite en vertu de l</w:t>
      </w:r>
      <w:r w:rsidR="00533B18" w:rsidRPr="00C06542">
        <w:rPr>
          <w:lang w:val="fr-FR"/>
        </w:rPr>
        <w:t>’</w:t>
      </w:r>
      <w:r w:rsidRPr="00C06542">
        <w:rPr>
          <w:lang w:val="fr-FR"/>
        </w:rPr>
        <w:t>article 7.4) de l</w:t>
      </w:r>
      <w:r w:rsidR="00533B18" w:rsidRPr="00C06542">
        <w:rPr>
          <w:lang w:val="fr-FR"/>
        </w:rPr>
        <w:t>’</w:t>
      </w:r>
      <w:r w:rsidRPr="00C06542">
        <w:rPr>
          <w:lang w:val="fr-FR"/>
        </w:rPr>
        <w:t>Acte de Genève, si la correction de l</w:t>
      </w:r>
      <w:r w:rsidR="00533B18" w:rsidRPr="00C06542">
        <w:rPr>
          <w:lang w:val="fr-FR"/>
        </w:rPr>
        <w:t>’</w:t>
      </w:r>
      <w:r w:rsidRPr="00C06542">
        <w:rPr>
          <w:lang w:val="fr-FR"/>
        </w:rPr>
        <w:t>irrégularité n</w:t>
      </w:r>
      <w:r w:rsidR="00533B18" w:rsidRPr="00C06542">
        <w:rPr>
          <w:lang w:val="fr-FR"/>
        </w:rPr>
        <w:t>’</w:t>
      </w:r>
      <w:r w:rsidRPr="00C06542">
        <w:rPr>
          <w:lang w:val="fr-FR"/>
        </w:rPr>
        <w:t>est pas reçue par le Bureau international dans le délai de trois mois visé au sous</w:t>
      </w:r>
      <w:r w:rsidR="00E70D34">
        <w:rPr>
          <w:lang w:val="fr-FR"/>
        </w:rPr>
        <w:noBreakHyphen/>
      </w:r>
      <w:r w:rsidRPr="00C06542">
        <w:rPr>
          <w:lang w:val="fr-FR"/>
        </w:rPr>
        <w:t>alinéa a), il est considéré qu</w:t>
      </w:r>
      <w:r w:rsidR="00533B18" w:rsidRPr="00C06542">
        <w:rPr>
          <w:lang w:val="fr-FR"/>
        </w:rPr>
        <w:t>’</w:t>
      </w:r>
      <w:r w:rsidRPr="00C06542">
        <w:rPr>
          <w:lang w:val="fr-FR"/>
        </w:rPr>
        <w:t>il est renoncé à la protection résultant de l</w:t>
      </w:r>
      <w:r w:rsidR="00533B18" w:rsidRPr="00C06542">
        <w:rPr>
          <w:lang w:val="fr-FR"/>
        </w:rPr>
        <w:t>’</w:t>
      </w:r>
      <w:r w:rsidRPr="00C06542">
        <w:rPr>
          <w:lang w:val="fr-FR"/>
        </w:rPr>
        <w:t>enregistrement international dans la partie contractante de l</w:t>
      </w:r>
      <w:r w:rsidR="00533B18" w:rsidRPr="00C06542">
        <w:rPr>
          <w:lang w:val="fr-FR"/>
        </w:rPr>
        <w:t>’</w:t>
      </w:r>
      <w:r w:rsidRPr="00C06542">
        <w:rPr>
          <w:lang w:val="fr-FR"/>
        </w:rPr>
        <w:t>Acte de Genève qui a fait la notification ou la déclaration.</w:t>
      </w:r>
    </w:p>
    <w:p w14:paraId="69FA4CDE" w14:textId="77777777" w:rsidR="004A664F" w:rsidRPr="00C06542" w:rsidRDefault="004A664F" w:rsidP="00017C33">
      <w:pPr>
        <w:spacing w:before="120" w:after="120"/>
        <w:rPr>
          <w:lang w:val="fr-FR"/>
        </w:rPr>
      </w:pPr>
      <w:r w:rsidRPr="00C06542">
        <w:rPr>
          <w:lang w:val="fr-FR"/>
        </w:rPr>
        <w:t>[…]</w:t>
      </w:r>
    </w:p>
    <w:p w14:paraId="4263DE74" w14:textId="77777777" w:rsidR="004A664F" w:rsidRPr="00C06542" w:rsidRDefault="004A664F" w:rsidP="00017C33">
      <w:pPr>
        <w:spacing w:before="120"/>
        <w:jc w:val="center"/>
        <w:rPr>
          <w:lang w:val="fr-FR"/>
        </w:rPr>
      </w:pPr>
      <w:r w:rsidRPr="00C06542">
        <w:rPr>
          <w:b/>
          <w:lang w:val="fr-FR"/>
        </w:rPr>
        <w:t>Règle 7</w:t>
      </w:r>
    </w:p>
    <w:p w14:paraId="0C59E102" w14:textId="77777777" w:rsidR="004A664F" w:rsidRPr="00C06542" w:rsidRDefault="004A664F" w:rsidP="00017C33">
      <w:pPr>
        <w:keepNext/>
        <w:jc w:val="center"/>
        <w:rPr>
          <w:lang w:val="fr-FR"/>
        </w:rPr>
      </w:pPr>
      <w:r w:rsidRPr="00C06542">
        <w:rPr>
          <w:lang w:val="fr-FR"/>
        </w:rPr>
        <w:t>Inscription au registre international</w:t>
      </w:r>
    </w:p>
    <w:p w14:paraId="6F19CD89" w14:textId="77777777" w:rsidR="004A664F" w:rsidRPr="00C06542" w:rsidRDefault="004A664F" w:rsidP="00017C33">
      <w:pPr>
        <w:spacing w:before="120" w:after="120"/>
        <w:rPr>
          <w:lang w:val="fr-FR"/>
        </w:rPr>
      </w:pPr>
      <w:r w:rsidRPr="00C06542">
        <w:rPr>
          <w:lang w:val="fr-FR"/>
        </w:rPr>
        <w:t>[…]</w:t>
      </w:r>
    </w:p>
    <w:p w14:paraId="4BEEE95E" w14:textId="5579A82E" w:rsidR="004A664F" w:rsidRPr="00C06542" w:rsidRDefault="004A664F" w:rsidP="00017C33">
      <w:pPr>
        <w:tabs>
          <w:tab w:val="left" w:pos="567"/>
        </w:tabs>
        <w:rPr>
          <w:lang w:val="fr-FR"/>
        </w:rPr>
      </w:pPr>
      <w:r w:rsidRPr="00C06542">
        <w:rPr>
          <w:lang w:val="fr-FR"/>
        </w:rPr>
        <w:t>4)</w:t>
      </w:r>
      <w:r w:rsidRPr="00C06542">
        <w:rPr>
          <w:lang w:val="fr-FR"/>
        </w:rPr>
        <w:tab/>
      </w:r>
      <w:r w:rsidRPr="00C06542">
        <w:rPr>
          <w:i/>
          <w:lang w:val="fr-FR"/>
        </w:rPr>
        <w:t>[Application des articles 29.4) et 31.1) de l</w:t>
      </w:r>
      <w:r w:rsidR="00533B18" w:rsidRPr="00C06542">
        <w:rPr>
          <w:i/>
          <w:lang w:val="fr-FR"/>
        </w:rPr>
        <w:t>’</w:t>
      </w:r>
      <w:r w:rsidRPr="00C06542">
        <w:rPr>
          <w:i/>
          <w:lang w:val="fr-FR"/>
        </w:rPr>
        <w:t>Acte de Genève]</w:t>
      </w:r>
      <w:r w:rsidRPr="00C06542">
        <w:rPr>
          <w:lang w:val="fr-FR"/>
        </w:rPr>
        <w:t xml:space="preserve"> a) En cas de ratification de l</w:t>
      </w:r>
      <w:r w:rsidR="00533B18" w:rsidRPr="00C06542">
        <w:rPr>
          <w:lang w:val="fr-FR"/>
        </w:rPr>
        <w:t>’</w:t>
      </w:r>
      <w:r w:rsidRPr="00C06542">
        <w:rPr>
          <w:lang w:val="fr-FR"/>
        </w:rPr>
        <w:t>Acte de Genève par un État partie à l</w:t>
      </w:r>
      <w:r w:rsidR="00533B18" w:rsidRPr="00C06542">
        <w:rPr>
          <w:lang w:val="fr-FR"/>
        </w:rPr>
        <w:t>’</w:t>
      </w:r>
      <w:r w:rsidRPr="00C06542">
        <w:rPr>
          <w:lang w:val="fr-FR"/>
        </w:rPr>
        <w:t>Acte de 1967, ou d</w:t>
      </w:r>
      <w:r w:rsidR="00533B18" w:rsidRPr="00C06542">
        <w:rPr>
          <w:lang w:val="fr-FR"/>
        </w:rPr>
        <w:t>’</w:t>
      </w:r>
      <w:r w:rsidRPr="00C06542">
        <w:rPr>
          <w:lang w:val="fr-FR"/>
        </w:rPr>
        <w:t>adhésion de cet État à l</w:t>
      </w:r>
      <w:r w:rsidR="00533B18" w:rsidRPr="00C06542">
        <w:rPr>
          <w:lang w:val="fr-FR"/>
        </w:rPr>
        <w:t>’</w:t>
      </w:r>
      <w:r w:rsidRPr="00C06542">
        <w:rPr>
          <w:lang w:val="fr-FR"/>
        </w:rPr>
        <w:t>Acte de Genève, la règle 5.2) et 3) s</w:t>
      </w:r>
      <w:r w:rsidR="00533B18" w:rsidRPr="00C06542">
        <w:rPr>
          <w:lang w:val="fr-FR"/>
        </w:rPr>
        <w:t>’</w:t>
      </w:r>
      <w:r w:rsidRPr="00C06542">
        <w:rPr>
          <w:lang w:val="fr-FR"/>
        </w:rPr>
        <w:t xml:space="preserve">applique </w:t>
      </w:r>
      <w:r w:rsidRPr="00C06542">
        <w:rPr>
          <w:i/>
          <w:iCs/>
          <w:lang w:val="fr-FR"/>
        </w:rPr>
        <w:t>mutatis mutandis</w:t>
      </w:r>
      <w:r w:rsidRPr="00C06542">
        <w:rPr>
          <w:lang w:val="fr-FR"/>
        </w:rPr>
        <w:t xml:space="preserve"> en ce qui concerne les enregistrements internationaux ou appellations d</w:t>
      </w:r>
      <w:r w:rsidR="00533B18" w:rsidRPr="00C06542">
        <w:rPr>
          <w:lang w:val="fr-FR"/>
        </w:rPr>
        <w:t>’</w:t>
      </w:r>
      <w:r w:rsidRPr="00C06542">
        <w:rPr>
          <w:lang w:val="fr-FR"/>
        </w:rPr>
        <w:t>origine en vigueur au titre de l</w:t>
      </w:r>
      <w:r w:rsidR="00533B18" w:rsidRPr="00C06542">
        <w:rPr>
          <w:lang w:val="fr-FR"/>
        </w:rPr>
        <w:t>’</w:t>
      </w:r>
      <w:r w:rsidRPr="00C06542">
        <w:rPr>
          <w:lang w:val="fr-FR"/>
        </w:rPr>
        <w:t xml:space="preserve">Acte de 1967 </w:t>
      </w:r>
      <w:r w:rsidR="00533B18" w:rsidRPr="00C06542">
        <w:rPr>
          <w:lang w:val="fr-FR"/>
        </w:rPr>
        <w:t>à l’égard</w:t>
      </w:r>
      <w:r w:rsidRPr="00C06542">
        <w:rPr>
          <w:lang w:val="fr-FR"/>
        </w:rPr>
        <w:t xml:space="preserve"> de cet Ét</w:t>
      </w:r>
      <w:r w:rsidR="00C06542" w:rsidRPr="00C06542">
        <w:rPr>
          <w:lang w:val="fr-FR"/>
        </w:rPr>
        <w:t>at.  Le</w:t>
      </w:r>
      <w:r w:rsidRPr="00C06542">
        <w:rPr>
          <w:lang w:val="fr-FR"/>
        </w:rPr>
        <w:t xml:space="preserve"> Bureau international vérifie auprès de l</w:t>
      </w:r>
      <w:r w:rsidR="00533B18" w:rsidRPr="00C06542">
        <w:rPr>
          <w:lang w:val="fr-FR"/>
        </w:rPr>
        <w:t>’</w:t>
      </w:r>
      <w:r w:rsidRPr="00C06542">
        <w:rPr>
          <w:lang w:val="fr-FR"/>
        </w:rPr>
        <w:t xml:space="preserve">administration compétente concernée toutes les modifications à apporter, compte tenu des conditions prescrites aux règles 3.1), 5.2) </w:t>
      </w:r>
      <w:r w:rsidRPr="00C06542">
        <w:rPr>
          <w:shd w:val="clear" w:color="auto" w:fill="FFFFFF" w:themeFill="background1"/>
          <w:lang w:val="fr-FR"/>
        </w:rPr>
        <w:t>et 3)</w:t>
      </w:r>
      <w:r w:rsidRPr="00C06542">
        <w:rPr>
          <w:lang w:val="fr-FR"/>
        </w:rPr>
        <w:t xml:space="preserve"> en vue de leur enregistrement au titre de l</w:t>
      </w:r>
      <w:r w:rsidR="00533B18" w:rsidRPr="00C06542">
        <w:rPr>
          <w:lang w:val="fr-FR"/>
        </w:rPr>
        <w:t>’</w:t>
      </w:r>
      <w:r w:rsidRPr="00C06542">
        <w:rPr>
          <w:lang w:val="fr-FR"/>
        </w:rPr>
        <w:t>Acte de Genève et notifie les enregistrements internationaux ainsi effectués à toutes les autres parties contractantes qui sont parties à l</w:t>
      </w:r>
      <w:r w:rsidR="00533B18" w:rsidRPr="00C06542">
        <w:rPr>
          <w:lang w:val="fr-FR"/>
        </w:rPr>
        <w:t>’</w:t>
      </w:r>
      <w:r w:rsidRPr="00C06542">
        <w:rPr>
          <w:lang w:val="fr-FR"/>
        </w:rPr>
        <w:t>Acte de Genè</w:t>
      </w:r>
      <w:r w:rsidR="00C06542" w:rsidRPr="00C06542">
        <w:rPr>
          <w:lang w:val="fr-FR"/>
        </w:rPr>
        <w:t>ve.  Le</w:t>
      </w:r>
      <w:r w:rsidRPr="00C06542">
        <w:rPr>
          <w:lang w:val="fr-FR"/>
        </w:rPr>
        <w:t>s modifications relatives à la règle 5.2) donnent lieu au paiement de la taxe visée à la règle </w:t>
      </w:r>
      <w:proofErr w:type="gramStart"/>
      <w:r w:rsidRPr="00C06542">
        <w:rPr>
          <w:lang w:val="fr-FR"/>
        </w:rPr>
        <w:t>8.1)ii</w:t>
      </w:r>
      <w:proofErr w:type="gramEnd"/>
      <w:r w:rsidRPr="00C06542">
        <w:rPr>
          <w:lang w:val="fr-FR"/>
        </w:rPr>
        <w:t>).</w:t>
      </w:r>
    </w:p>
    <w:p w14:paraId="277BAADE" w14:textId="77777777" w:rsidR="004A664F" w:rsidRPr="00C06542" w:rsidRDefault="004A664F" w:rsidP="00017C33">
      <w:pPr>
        <w:spacing w:before="120" w:after="120"/>
        <w:rPr>
          <w:lang w:val="fr-FR"/>
        </w:rPr>
      </w:pPr>
      <w:r w:rsidRPr="00C06542">
        <w:rPr>
          <w:lang w:val="fr-FR"/>
        </w:rPr>
        <w:t>[…]</w:t>
      </w:r>
    </w:p>
    <w:p w14:paraId="4E56D9D1" w14:textId="15BD5947" w:rsidR="000F5E56" w:rsidRPr="00C06542" w:rsidRDefault="004A664F" w:rsidP="00017C33">
      <w:pPr>
        <w:pStyle w:val="Endofdocument-Annex"/>
      </w:pPr>
      <w:r w:rsidRPr="00C06542">
        <w:t>[Fin de l</w:t>
      </w:r>
      <w:r w:rsidR="00533B18" w:rsidRPr="00C06542">
        <w:t>’</w:t>
      </w:r>
      <w:r w:rsidRPr="00C06542">
        <w:t>annexe et du document]</w:t>
      </w:r>
    </w:p>
    <w:sectPr w:rsidR="000F5E56" w:rsidRPr="00C06542" w:rsidSect="00D00AAB">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B38A1" w14:textId="77777777" w:rsidR="007F69DA" w:rsidRDefault="007F69DA">
      <w:r>
        <w:separator/>
      </w:r>
    </w:p>
  </w:endnote>
  <w:endnote w:type="continuationSeparator" w:id="0">
    <w:p w14:paraId="227A5A8A" w14:textId="77777777" w:rsidR="007F69DA" w:rsidRPr="009D30E6" w:rsidRDefault="007F69DA" w:rsidP="00D45252">
      <w:pPr>
        <w:rPr>
          <w:sz w:val="17"/>
          <w:szCs w:val="17"/>
        </w:rPr>
      </w:pPr>
      <w:r w:rsidRPr="009D30E6">
        <w:rPr>
          <w:sz w:val="17"/>
          <w:szCs w:val="17"/>
        </w:rPr>
        <w:separator/>
      </w:r>
    </w:p>
    <w:p w14:paraId="4AF026F1" w14:textId="77777777" w:rsidR="007F69DA" w:rsidRPr="009D30E6" w:rsidRDefault="007F69DA" w:rsidP="00D45252">
      <w:pPr>
        <w:spacing w:after="60"/>
        <w:rPr>
          <w:sz w:val="17"/>
          <w:szCs w:val="17"/>
        </w:rPr>
      </w:pPr>
      <w:r w:rsidRPr="009D30E6">
        <w:rPr>
          <w:sz w:val="17"/>
          <w:szCs w:val="17"/>
        </w:rPr>
        <w:t>[Suite de la note de la page précédente]</w:t>
      </w:r>
    </w:p>
  </w:endnote>
  <w:endnote w:type="continuationNotice" w:id="1">
    <w:p w14:paraId="3B28D626" w14:textId="77777777" w:rsidR="007F69DA" w:rsidRPr="009D30E6" w:rsidRDefault="007F69D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5AA6" w14:textId="77777777" w:rsidR="00B025A8" w:rsidRDefault="00B02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0B57" w14:textId="77777777" w:rsidR="00B025A8" w:rsidRDefault="00B02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34CE" w14:textId="77777777" w:rsidR="00B025A8" w:rsidRDefault="00B0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B077" w14:textId="77777777" w:rsidR="007F69DA" w:rsidRDefault="007F69DA">
      <w:r>
        <w:separator/>
      </w:r>
    </w:p>
  </w:footnote>
  <w:footnote w:type="continuationSeparator" w:id="0">
    <w:p w14:paraId="5338166A" w14:textId="77777777" w:rsidR="007F69DA" w:rsidRDefault="007F69DA" w:rsidP="007461F1">
      <w:r>
        <w:separator/>
      </w:r>
    </w:p>
    <w:p w14:paraId="29C0C1EB" w14:textId="77777777" w:rsidR="007F69DA" w:rsidRPr="009D30E6" w:rsidRDefault="007F69DA" w:rsidP="007461F1">
      <w:pPr>
        <w:spacing w:after="60"/>
        <w:rPr>
          <w:sz w:val="17"/>
          <w:szCs w:val="17"/>
        </w:rPr>
      </w:pPr>
      <w:r w:rsidRPr="009D30E6">
        <w:rPr>
          <w:sz w:val="17"/>
          <w:szCs w:val="17"/>
        </w:rPr>
        <w:t>[Suite de la note de la page précédente]</w:t>
      </w:r>
    </w:p>
  </w:footnote>
  <w:footnote w:type="continuationNotice" w:id="1">
    <w:p w14:paraId="2EE958B6" w14:textId="77777777" w:rsidR="007F69DA" w:rsidRPr="009D30E6" w:rsidRDefault="007F69D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8BC0" w14:textId="77777777" w:rsidR="00B025A8" w:rsidRDefault="00B02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AEDE" w14:textId="3AA20243" w:rsidR="00B83CC9" w:rsidRDefault="00B83CC9" w:rsidP="00B83CC9">
    <w:pPr>
      <w:jc w:val="right"/>
    </w:pPr>
    <w:bookmarkStart w:id="5" w:name="Code2"/>
    <w:bookmarkEnd w:id="5"/>
    <w:r>
      <w:t>L</w:t>
    </w:r>
    <w:r w:rsidR="00070FCF">
      <w:t>I/A/40/2</w:t>
    </w:r>
  </w:p>
  <w:p w14:paraId="283A6DAA" w14:textId="34A62809" w:rsidR="00B83CC9" w:rsidRDefault="00B83CC9" w:rsidP="004F632C">
    <w:pPr>
      <w:pStyle w:val="Header"/>
      <w:spacing w:after="480"/>
      <w:jc w:val="right"/>
    </w:pPr>
    <w:r>
      <w:t>page </w:t>
    </w:r>
    <w:sdt>
      <w:sdtPr>
        <w:id w:val="-15347192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70FCF">
          <w:rPr>
            <w:noProof/>
          </w:rPr>
          <w:t>8</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2426" w14:textId="77777777" w:rsidR="00B025A8" w:rsidRDefault="00B025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0727" w14:textId="77777777" w:rsidR="00F16975" w:rsidRDefault="004A664F" w:rsidP="00477D6B">
    <w:pPr>
      <w:jc w:val="right"/>
    </w:pPr>
    <w:r>
      <w:t>LI/A/40/1</w:t>
    </w:r>
  </w:p>
  <w:p w14:paraId="72C9380F" w14:textId="77777777" w:rsidR="00F16975" w:rsidRDefault="00F16975" w:rsidP="00477D6B">
    <w:pPr>
      <w:jc w:val="right"/>
    </w:pPr>
    <w:r>
      <w:t xml:space="preserve">page </w:t>
    </w:r>
    <w:r>
      <w:fldChar w:fldCharType="begin"/>
    </w:r>
    <w:r>
      <w:instrText xml:space="preserve"> PAGE  \* MERGEFORMAT </w:instrText>
    </w:r>
    <w:r>
      <w:fldChar w:fldCharType="separate"/>
    </w:r>
    <w:r w:rsidR="004A664F">
      <w:rPr>
        <w:noProof/>
      </w:rPr>
      <w:t>1</w:t>
    </w:r>
    <w:r>
      <w:fldChar w:fldCharType="end"/>
    </w:r>
  </w:p>
  <w:p w14:paraId="2C788FEF" w14:textId="77777777" w:rsidR="00F16975" w:rsidRDefault="00F16975" w:rsidP="00477D6B">
    <w:pPr>
      <w:jc w:val="right"/>
    </w:pPr>
  </w:p>
  <w:p w14:paraId="2836A0AA" w14:textId="77777777" w:rsidR="004F4E31" w:rsidRDefault="004F4E3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64FA" w14:textId="563EE6A7" w:rsidR="005B5637" w:rsidRDefault="004A664F" w:rsidP="00F058B8">
    <w:pPr>
      <w:pStyle w:val="Header"/>
      <w:jc w:val="right"/>
    </w:pPr>
    <w:r>
      <w:t>LI/A/40/</w:t>
    </w:r>
    <w:r w:rsidR="00070FCF">
      <w:t>2</w:t>
    </w:r>
  </w:p>
  <w:p w14:paraId="3975A808" w14:textId="17DCC8A7" w:rsidR="005B5637" w:rsidRPr="00F058B8" w:rsidRDefault="004A664F" w:rsidP="00166192">
    <w:pPr>
      <w:pStyle w:val="Header"/>
      <w:spacing w:after="480"/>
      <w:jc w:val="right"/>
    </w:pPr>
    <w:r>
      <w:t>A</w:t>
    </w:r>
    <w:r w:rsidR="00AA7881">
      <w:t>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6D055D"/>
    <w:multiLevelType w:val="hybridMultilevel"/>
    <w:tmpl w:val="43022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6428726">
    <w:abstractNumId w:val="2"/>
  </w:num>
  <w:num w:numId="2" w16cid:durableId="1021862791">
    <w:abstractNumId w:val="4"/>
  </w:num>
  <w:num w:numId="3" w16cid:durableId="2103185346">
    <w:abstractNumId w:val="0"/>
  </w:num>
  <w:num w:numId="4" w16cid:durableId="215509756">
    <w:abstractNumId w:val="6"/>
  </w:num>
  <w:num w:numId="5" w16cid:durableId="1529181475">
    <w:abstractNumId w:val="1"/>
  </w:num>
  <w:num w:numId="6" w16cid:durableId="2054576996">
    <w:abstractNumId w:val="3"/>
  </w:num>
  <w:num w:numId="7" w16cid:durableId="1082872540">
    <w:abstractNumId w:val="5"/>
  </w:num>
  <w:num w:numId="8" w16cid:durableId="643585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40"/>
    <w:rsid w:val="00011B7D"/>
    <w:rsid w:val="00016627"/>
    <w:rsid w:val="00017C33"/>
    <w:rsid w:val="0002040D"/>
    <w:rsid w:val="00025DFA"/>
    <w:rsid w:val="00026FF0"/>
    <w:rsid w:val="00030C3B"/>
    <w:rsid w:val="00031C99"/>
    <w:rsid w:val="00031F39"/>
    <w:rsid w:val="0003413F"/>
    <w:rsid w:val="00034992"/>
    <w:rsid w:val="000374C9"/>
    <w:rsid w:val="00046F78"/>
    <w:rsid w:val="0006572C"/>
    <w:rsid w:val="000702B7"/>
    <w:rsid w:val="00070FCF"/>
    <w:rsid w:val="00075432"/>
    <w:rsid w:val="000843D8"/>
    <w:rsid w:val="00084551"/>
    <w:rsid w:val="00084AE5"/>
    <w:rsid w:val="000926D3"/>
    <w:rsid w:val="000969BA"/>
    <w:rsid w:val="000A6424"/>
    <w:rsid w:val="000B3167"/>
    <w:rsid w:val="000B389F"/>
    <w:rsid w:val="000B70F9"/>
    <w:rsid w:val="000C4C0D"/>
    <w:rsid w:val="000D69DE"/>
    <w:rsid w:val="000E67B0"/>
    <w:rsid w:val="000F5E56"/>
    <w:rsid w:val="000F64C3"/>
    <w:rsid w:val="00112E3B"/>
    <w:rsid w:val="00117023"/>
    <w:rsid w:val="00132045"/>
    <w:rsid w:val="0013428A"/>
    <w:rsid w:val="001362EE"/>
    <w:rsid w:val="00140D6E"/>
    <w:rsid w:val="00154387"/>
    <w:rsid w:val="0015462F"/>
    <w:rsid w:val="001832A6"/>
    <w:rsid w:val="00195C6E"/>
    <w:rsid w:val="00197A71"/>
    <w:rsid w:val="001A044D"/>
    <w:rsid w:val="001A3DD1"/>
    <w:rsid w:val="001B266A"/>
    <w:rsid w:val="001B431F"/>
    <w:rsid w:val="001C29E6"/>
    <w:rsid w:val="001C3C6D"/>
    <w:rsid w:val="001C40F5"/>
    <w:rsid w:val="001C469C"/>
    <w:rsid w:val="001C5B7A"/>
    <w:rsid w:val="001D3D56"/>
    <w:rsid w:val="001D579D"/>
    <w:rsid w:val="001D6105"/>
    <w:rsid w:val="001D7DD5"/>
    <w:rsid w:val="001E0B35"/>
    <w:rsid w:val="001E4992"/>
    <w:rsid w:val="00202F8B"/>
    <w:rsid w:val="00240102"/>
    <w:rsid w:val="00240654"/>
    <w:rsid w:val="002435E6"/>
    <w:rsid w:val="00246DF3"/>
    <w:rsid w:val="002634C4"/>
    <w:rsid w:val="00276E11"/>
    <w:rsid w:val="0028110D"/>
    <w:rsid w:val="00281926"/>
    <w:rsid w:val="002919F6"/>
    <w:rsid w:val="00294694"/>
    <w:rsid w:val="00297959"/>
    <w:rsid w:val="002A2B61"/>
    <w:rsid w:val="002B0C68"/>
    <w:rsid w:val="002B1614"/>
    <w:rsid w:val="002B7C5A"/>
    <w:rsid w:val="002C1FB8"/>
    <w:rsid w:val="002C20CA"/>
    <w:rsid w:val="002C2549"/>
    <w:rsid w:val="002C36B9"/>
    <w:rsid w:val="002C3F3A"/>
    <w:rsid w:val="002D4918"/>
    <w:rsid w:val="002E1049"/>
    <w:rsid w:val="002E4D1A"/>
    <w:rsid w:val="002F16BC"/>
    <w:rsid w:val="002F4E68"/>
    <w:rsid w:val="00306728"/>
    <w:rsid w:val="00313779"/>
    <w:rsid w:val="00313F3F"/>
    <w:rsid w:val="00315FCA"/>
    <w:rsid w:val="00326A1C"/>
    <w:rsid w:val="00332F6D"/>
    <w:rsid w:val="0033700F"/>
    <w:rsid w:val="00345CEE"/>
    <w:rsid w:val="00352A22"/>
    <w:rsid w:val="003603EF"/>
    <w:rsid w:val="00370E9A"/>
    <w:rsid w:val="00371257"/>
    <w:rsid w:val="003718BC"/>
    <w:rsid w:val="00376EAC"/>
    <w:rsid w:val="003800D5"/>
    <w:rsid w:val="00382A1B"/>
    <w:rsid w:val="003845C1"/>
    <w:rsid w:val="00394023"/>
    <w:rsid w:val="00394C82"/>
    <w:rsid w:val="00394E9B"/>
    <w:rsid w:val="003A1BCD"/>
    <w:rsid w:val="003A33EF"/>
    <w:rsid w:val="003B161E"/>
    <w:rsid w:val="003B31B0"/>
    <w:rsid w:val="003D59D7"/>
    <w:rsid w:val="003D5CFA"/>
    <w:rsid w:val="003E0A66"/>
    <w:rsid w:val="003F137A"/>
    <w:rsid w:val="003F2CDB"/>
    <w:rsid w:val="003F3D6F"/>
    <w:rsid w:val="003F403E"/>
    <w:rsid w:val="003F497B"/>
    <w:rsid w:val="003F4DCC"/>
    <w:rsid w:val="004008A2"/>
    <w:rsid w:val="004025DF"/>
    <w:rsid w:val="00402A52"/>
    <w:rsid w:val="00407D53"/>
    <w:rsid w:val="00410E07"/>
    <w:rsid w:val="0042003B"/>
    <w:rsid w:val="00423E3E"/>
    <w:rsid w:val="00427AF4"/>
    <w:rsid w:val="00432646"/>
    <w:rsid w:val="00435E53"/>
    <w:rsid w:val="0044720E"/>
    <w:rsid w:val="004478E5"/>
    <w:rsid w:val="00450279"/>
    <w:rsid w:val="004527DB"/>
    <w:rsid w:val="00457686"/>
    <w:rsid w:val="00462E26"/>
    <w:rsid w:val="004647DA"/>
    <w:rsid w:val="00465901"/>
    <w:rsid w:val="00472207"/>
    <w:rsid w:val="00477D6B"/>
    <w:rsid w:val="0048230F"/>
    <w:rsid w:val="00490646"/>
    <w:rsid w:val="004A335D"/>
    <w:rsid w:val="004A664F"/>
    <w:rsid w:val="004A69B1"/>
    <w:rsid w:val="004B1B09"/>
    <w:rsid w:val="004D6039"/>
    <w:rsid w:val="004D6471"/>
    <w:rsid w:val="004F0D99"/>
    <w:rsid w:val="004F1417"/>
    <w:rsid w:val="004F4E31"/>
    <w:rsid w:val="004F5319"/>
    <w:rsid w:val="004F5D2C"/>
    <w:rsid w:val="004F632C"/>
    <w:rsid w:val="00516981"/>
    <w:rsid w:val="00525B63"/>
    <w:rsid w:val="005260A7"/>
    <w:rsid w:val="00533B18"/>
    <w:rsid w:val="00536D3A"/>
    <w:rsid w:val="00546B40"/>
    <w:rsid w:val="00547476"/>
    <w:rsid w:val="00556B94"/>
    <w:rsid w:val="00556CB7"/>
    <w:rsid w:val="00556E8E"/>
    <w:rsid w:val="00561DB8"/>
    <w:rsid w:val="005646CD"/>
    <w:rsid w:val="00564ECC"/>
    <w:rsid w:val="00566F9F"/>
    <w:rsid w:val="00567A4C"/>
    <w:rsid w:val="00572BB3"/>
    <w:rsid w:val="00575A96"/>
    <w:rsid w:val="00596F41"/>
    <w:rsid w:val="005B22B5"/>
    <w:rsid w:val="005B29EA"/>
    <w:rsid w:val="005C6CC3"/>
    <w:rsid w:val="005D4CBB"/>
    <w:rsid w:val="005E6516"/>
    <w:rsid w:val="005F4724"/>
    <w:rsid w:val="006000A9"/>
    <w:rsid w:val="00605378"/>
    <w:rsid w:val="00605827"/>
    <w:rsid w:val="006217B3"/>
    <w:rsid w:val="0063082C"/>
    <w:rsid w:val="00631550"/>
    <w:rsid w:val="00633289"/>
    <w:rsid w:val="0064006B"/>
    <w:rsid w:val="006419E3"/>
    <w:rsid w:val="006558DC"/>
    <w:rsid w:val="00664524"/>
    <w:rsid w:val="00667101"/>
    <w:rsid w:val="00667D66"/>
    <w:rsid w:val="00674FAB"/>
    <w:rsid w:val="00676936"/>
    <w:rsid w:val="00686040"/>
    <w:rsid w:val="0069695D"/>
    <w:rsid w:val="006A059B"/>
    <w:rsid w:val="006B0DB5"/>
    <w:rsid w:val="006B7617"/>
    <w:rsid w:val="006C38D4"/>
    <w:rsid w:val="006D2272"/>
    <w:rsid w:val="006D379B"/>
    <w:rsid w:val="006E1F70"/>
    <w:rsid w:val="006E30EB"/>
    <w:rsid w:val="006E4243"/>
    <w:rsid w:val="006E6DBF"/>
    <w:rsid w:val="006E753D"/>
    <w:rsid w:val="006F1CB0"/>
    <w:rsid w:val="006F6DA3"/>
    <w:rsid w:val="006F7757"/>
    <w:rsid w:val="00700D5A"/>
    <w:rsid w:val="00707211"/>
    <w:rsid w:val="00712994"/>
    <w:rsid w:val="00736361"/>
    <w:rsid w:val="00743863"/>
    <w:rsid w:val="007461F1"/>
    <w:rsid w:val="00751D5E"/>
    <w:rsid w:val="00754494"/>
    <w:rsid w:val="00763786"/>
    <w:rsid w:val="007808CB"/>
    <w:rsid w:val="00784358"/>
    <w:rsid w:val="00787063"/>
    <w:rsid w:val="0079502D"/>
    <w:rsid w:val="0079640D"/>
    <w:rsid w:val="007966BD"/>
    <w:rsid w:val="007A56CE"/>
    <w:rsid w:val="007B195E"/>
    <w:rsid w:val="007B4F6B"/>
    <w:rsid w:val="007C0625"/>
    <w:rsid w:val="007D3FD5"/>
    <w:rsid w:val="007D6961"/>
    <w:rsid w:val="007D7CBA"/>
    <w:rsid w:val="007F07CB"/>
    <w:rsid w:val="007F69DA"/>
    <w:rsid w:val="007F6A97"/>
    <w:rsid w:val="00804999"/>
    <w:rsid w:val="00807DEA"/>
    <w:rsid w:val="00810CEF"/>
    <w:rsid w:val="0081208D"/>
    <w:rsid w:val="00814132"/>
    <w:rsid w:val="00815544"/>
    <w:rsid w:val="0081752A"/>
    <w:rsid w:val="008201AA"/>
    <w:rsid w:val="00837A96"/>
    <w:rsid w:val="00842A13"/>
    <w:rsid w:val="00847068"/>
    <w:rsid w:val="008472A3"/>
    <w:rsid w:val="00851119"/>
    <w:rsid w:val="008558D6"/>
    <w:rsid w:val="00867ACC"/>
    <w:rsid w:val="00872104"/>
    <w:rsid w:val="00883618"/>
    <w:rsid w:val="00885BC7"/>
    <w:rsid w:val="00893A02"/>
    <w:rsid w:val="008A2133"/>
    <w:rsid w:val="008A36AC"/>
    <w:rsid w:val="008A6483"/>
    <w:rsid w:val="008B170D"/>
    <w:rsid w:val="008B2CC1"/>
    <w:rsid w:val="008B6D11"/>
    <w:rsid w:val="008C748F"/>
    <w:rsid w:val="008D53B7"/>
    <w:rsid w:val="008E13AF"/>
    <w:rsid w:val="008E7930"/>
    <w:rsid w:val="00902BA5"/>
    <w:rsid w:val="009049C3"/>
    <w:rsid w:val="0090633C"/>
    <w:rsid w:val="00906688"/>
    <w:rsid w:val="0090731E"/>
    <w:rsid w:val="009135C0"/>
    <w:rsid w:val="00927134"/>
    <w:rsid w:val="009460ED"/>
    <w:rsid w:val="00964794"/>
    <w:rsid w:val="0096687C"/>
    <w:rsid w:val="00966A22"/>
    <w:rsid w:val="00974CD6"/>
    <w:rsid w:val="00976370"/>
    <w:rsid w:val="00985ED6"/>
    <w:rsid w:val="009A0432"/>
    <w:rsid w:val="009A31BB"/>
    <w:rsid w:val="009A7CB7"/>
    <w:rsid w:val="009B6911"/>
    <w:rsid w:val="009C25A7"/>
    <w:rsid w:val="009D27A6"/>
    <w:rsid w:val="009D30E6"/>
    <w:rsid w:val="009D77F0"/>
    <w:rsid w:val="009E3F6F"/>
    <w:rsid w:val="009F499F"/>
    <w:rsid w:val="009F5E08"/>
    <w:rsid w:val="00A02BD3"/>
    <w:rsid w:val="00A0309F"/>
    <w:rsid w:val="00A06442"/>
    <w:rsid w:val="00A06495"/>
    <w:rsid w:val="00A136CC"/>
    <w:rsid w:val="00A13CD9"/>
    <w:rsid w:val="00A166B0"/>
    <w:rsid w:val="00A3275E"/>
    <w:rsid w:val="00A34890"/>
    <w:rsid w:val="00A37F7A"/>
    <w:rsid w:val="00A55FA2"/>
    <w:rsid w:val="00A56CDB"/>
    <w:rsid w:val="00A81491"/>
    <w:rsid w:val="00A84193"/>
    <w:rsid w:val="00A849FA"/>
    <w:rsid w:val="00A91A12"/>
    <w:rsid w:val="00A962DD"/>
    <w:rsid w:val="00AA1F20"/>
    <w:rsid w:val="00AA3A51"/>
    <w:rsid w:val="00AA6219"/>
    <w:rsid w:val="00AA7881"/>
    <w:rsid w:val="00AB099E"/>
    <w:rsid w:val="00AC0AE4"/>
    <w:rsid w:val="00AC0EE8"/>
    <w:rsid w:val="00AC6E3C"/>
    <w:rsid w:val="00AD61DB"/>
    <w:rsid w:val="00AE0B5F"/>
    <w:rsid w:val="00AE16F8"/>
    <w:rsid w:val="00AE1974"/>
    <w:rsid w:val="00AF44E6"/>
    <w:rsid w:val="00B025A8"/>
    <w:rsid w:val="00B101FE"/>
    <w:rsid w:val="00B114DB"/>
    <w:rsid w:val="00B14E76"/>
    <w:rsid w:val="00B17DA3"/>
    <w:rsid w:val="00B3114D"/>
    <w:rsid w:val="00B3150A"/>
    <w:rsid w:val="00B31B7D"/>
    <w:rsid w:val="00B37398"/>
    <w:rsid w:val="00B375ED"/>
    <w:rsid w:val="00B40756"/>
    <w:rsid w:val="00B54165"/>
    <w:rsid w:val="00B7412F"/>
    <w:rsid w:val="00B76A30"/>
    <w:rsid w:val="00B81B5A"/>
    <w:rsid w:val="00B83CC9"/>
    <w:rsid w:val="00B87BCF"/>
    <w:rsid w:val="00BA3FF4"/>
    <w:rsid w:val="00BA62D4"/>
    <w:rsid w:val="00BB2D3E"/>
    <w:rsid w:val="00BC1411"/>
    <w:rsid w:val="00BC29AC"/>
    <w:rsid w:val="00BD0B8D"/>
    <w:rsid w:val="00BD40D5"/>
    <w:rsid w:val="00BE4C8D"/>
    <w:rsid w:val="00BF0FAC"/>
    <w:rsid w:val="00BF413F"/>
    <w:rsid w:val="00C06542"/>
    <w:rsid w:val="00C06643"/>
    <w:rsid w:val="00C135A8"/>
    <w:rsid w:val="00C17FCA"/>
    <w:rsid w:val="00C23127"/>
    <w:rsid w:val="00C24374"/>
    <w:rsid w:val="00C252C8"/>
    <w:rsid w:val="00C33C92"/>
    <w:rsid w:val="00C369B2"/>
    <w:rsid w:val="00C40E15"/>
    <w:rsid w:val="00C619B5"/>
    <w:rsid w:val="00C6240A"/>
    <w:rsid w:val="00C664C8"/>
    <w:rsid w:val="00C745AB"/>
    <w:rsid w:val="00C76A79"/>
    <w:rsid w:val="00C82864"/>
    <w:rsid w:val="00C86E65"/>
    <w:rsid w:val="00CA02BF"/>
    <w:rsid w:val="00CA14C9"/>
    <w:rsid w:val="00CA15F5"/>
    <w:rsid w:val="00CA244C"/>
    <w:rsid w:val="00CA3474"/>
    <w:rsid w:val="00CB6B71"/>
    <w:rsid w:val="00CC0866"/>
    <w:rsid w:val="00CC2FF0"/>
    <w:rsid w:val="00CC3C8A"/>
    <w:rsid w:val="00CC6837"/>
    <w:rsid w:val="00CF0460"/>
    <w:rsid w:val="00D02FF8"/>
    <w:rsid w:val="00D07DE7"/>
    <w:rsid w:val="00D11BB6"/>
    <w:rsid w:val="00D1678B"/>
    <w:rsid w:val="00D20FA0"/>
    <w:rsid w:val="00D23D0A"/>
    <w:rsid w:val="00D25E17"/>
    <w:rsid w:val="00D37768"/>
    <w:rsid w:val="00D40598"/>
    <w:rsid w:val="00D45252"/>
    <w:rsid w:val="00D52D7D"/>
    <w:rsid w:val="00D56C63"/>
    <w:rsid w:val="00D574CA"/>
    <w:rsid w:val="00D71B4D"/>
    <w:rsid w:val="00D732CA"/>
    <w:rsid w:val="00D75C1E"/>
    <w:rsid w:val="00D77375"/>
    <w:rsid w:val="00D83B8F"/>
    <w:rsid w:val="00D9149F"/>
    <w:rsid w:val="00D9315D"/>
    <w:rsid w:val="00D93D55"/>
    <w:rsid w:val="00D9424D"/>
    <w:rsid w:val="00D946E8"/>
    <w:rsid w:val="00DA661B"/>
    <w:rsid w:val="00DB0349"/>
    <w:rsid w:val="00DC322A"/>
    <w:rsid w:val="00DC4AC6"/>
    <w:rsid w:val="00DC56F8"/>
    <w:rsid w:val="00DC580D"/>
    <w:rsid w:val="00DC5C9B"/>
    <w:rsid w:val="00DC733C"/>
    <w:rsid w:val="00DD1AFE"/>
    <w:rsid w:val="00DD3A06"/>
    <w:rsid w:val="00DD6A16"/>
    <w:rsid w:val="00DE23A1"/>
    <w:rsid w:val="00DF1E75"/>
    <w:rsid w:val="00DF43CA"/>
    <w:rsid w:val="00DF6FFD"/>
    <w:rsid w:val="00E0091A"/>
    <w:rsid w:val="00E00FAB"/>
    <w:rsid w:val="00E12A52"/>
    <w:rsid w:val="00E13743"/>
    <w:rsid w:val="00E15768"/>
    <w:rsid w:val="00E203AA"/>
    <w:rsid w:val="00E40A1F"/>
    <w:rsid w:val="00E43C8E"/>
    <w:rsid w:val="00E444E0"/>
    <w:rsid w:val="00E461C0"/>
    <w:rsid w:val="00E46831"/>
    <w:rsid w:val="00E527A5"/>
    <w:rsid w:val="00E56E81"/>
    <w:rsid w:val="00E66EF6"/>
    <w:rsid w:val="00E67147"/>
    <w:rsid w:val="00E70D34"/>
    <w:rsid w:val="00E729A8"/>
    <w:rsid w:val="00E75DE3"/>
    <w:rsid w:val="00E76456"/>
    <w:rsid w:val="00E8110B"/>
    <w:rsid w:val="00E87519"/>
    <w:rsid w:val="00E91D9E"/>
    <w:rsid w:val="00E9754D"/>
    <w:rsid w:val="00EA5C73"/>
    <w:rsid w:val="00EB183F"/>
    <w:rsid w:val="00EC0C19"/>
    <w:rsid w:val="00EC6F22"/>
    <w:rsid w:val="00EC786C"/>
    <w:rsid w:val="00EE71CB"/>
    <w:rsid w:val="00EF51CC"/>
    <w:rsid w:val="00EF7B11"/>
    <w:rsid w:val="00F02BFF"/>
    <w:rsid w:val="00F02FD3"/>
    <w:rsid w:val="00F16975"/>
    <w:rsid w:val="00F33C38"/>
    <w:rsid w:val="00F34D57"/>
    <w:rsid w:val="00F3644C"/>
    <w:rsid w:val="00F406EB"/>
    <w:rsid w:val="00F45770"/>
    <w:rsid w:val="00F5394C"/>
    <w:rsid w:val="00F66152"/>
    <w:rsid w:val="00FC48DD"/>
    <w:rsid w:val="00FD04F4"/>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B5704"/>
  <w15:docId w15:val="{5F6F780D-1F3F-40F9-9FF6-1823F190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546B40"/>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FSChar">
    <w:name w:val="ONUM FS Char"/>
    <w:link w:val="ONUMFS"/>
    <w:locked/>
    <w:rsid w:val="00546B40"/>
    <w:rPr>
      <w:rFonts w:ascii="Arial" w:eastAsia="SimSun" w:hAnsi="Arial" w:cs="Arial"/>
      <w:sz w:val="22"/>
      <w:lang w:eastAsia="zh-CN"/>
    </w:rPr>
  </w:style>
  <w:style w:type="character" w:customStyle="1" w:styleId="Heading2Char">
    <w:name w:val="Heading 2 Char"/>
    <w:basedOn w:val="DefaultParagraphFont"/>
    <w:link w:val="Heading2"/>
    <w:rsid w:val="00546B40"/>
    <w:rPr>
      <w:rFonts w:ascii="Arial" w:eastAsia="SimSun" w:hAnsi="Arial" w:cs="Arial"/>
      <w:bCs/>
      <w:iCs/>
      <w:caps/>
      <w:sz w:val="22"/>
      <w:szCs w:val="28"/>
      <w:lang w:eastAsia="zh-CN"/>
    </w:rPr>
  </w:style>
  <w:style w:type="character" w:customStyle="1" w:styleId="FootnoteTextChar">
    <w:name w:val="Footnote Text Char"/>
    <w:basedOn w:val="DefaultParagraphFont"/>
    <w:link w:val="FootnoteText"/>
    <w:rsid w:val="00546B40"/>
    <w:rPr>
      <w:rFonts w:ascii="Arial" w:eastAsia="SimSun" w:hAnsi="Arial" w:cs="Arial"/>
      <w:sz w:val="18"/>
      <w:lang w:eastAsia="zh-CN"/>
    </w:rPr>
  </w:style>
  <w:style w:type="character" w:styleId="FootnoteReference">
    <w:name w:val="footnote reference"/>
    <w:uiPriority w:val="99"/>
    <w:rsid w:val="00546B40"/>
    <w:rPr>
      <w:vertAlign w:val="superscript"/>
    </w:rPr>
  </w:style>
  <w:style w:type="character" w:styleId="Hyperlink">
    <w:name w:val="Hyperlink"/>
    <w:basedOn w:val="DefaultParagraphFont"/>
    <w:unhideWhenUsed/>
    <w:rsid w:val="00025DFA"/>
    <w:rPr>
      <w:color w:val="auto"/>
      <w:u w:val="none"/>
    </w:rPr>
  </w:style>
  <w:style w:type="character" w:customStyle="1" w:styleId="HeaderChar">
    <w:name w:val="Header Char"/>
    <w:basedOn w:val="DefaultParagraphFont"/>
    <w:link w:val="Header"/>
    <w:uiPriority w:val="99"/>
    <w:rsid w:val="00B83CC9"/>
    <w:rPr>
      <w:rFonts w:ascii="Arial" w:eastAsia="SimSun" w:hAnsi="Arial" w:cs="Arial"/>
      <w:sz w:val="22"/>
      <w:lang w:eastAsia="zh-CN"/>
    </w:rPr>
  </w:style>
  <w:style w:type="paragraph" w:styleId="ListParagraph">
    <w:name w:val="List Paragraph"/>
    <w:basedOn w:val="Normal"/>
    <w:uiPriority w:val="34"/>
    <w:qFormat/>
    <w:rsid w:val="004A6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eetings/fr/doc_details.jsp?doc_id=60468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DD469-6B08-4AA6-9FEB-FFD00EC7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5290</Words>
  <Characters>29101</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LI/A/40/2</vt:lpstr>
      <vt:lpstr>LI/A/40/x Prov.</vt:lpstr>
    </vt:vector>
  </TitlesOfParts>
  <Company>WIPO</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LI/A/40/2</dc:title>
  <dc:creator>OLIVIÉ Karen</dc:creator>
  <cp:keywords>FOR OFFICIAL USE ONLY</cp:keywords>
  <cp:lastModifiedBy>OLIVIÉ Karen</cp:lastModifiedBy>
  <cp:revision>4</cp:revision>
  <cp:lastPrinted>2011-05-19T12:37:00Z</cp:lastPrinted>
  <dcterms:created xsi:type="dcterms:W3CDTF">2023-09-19T07:34:00Z</dcterms:created>
  <dcterms:modified xsi:type="dcterms:W3CDTF">2023-09-20T11:50:00Z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02303d75-3da5-441b-847c-a7b88047b468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2023-07-13T13:12:02Z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bc577fbc-b57b-4fb5-99b0-6f56e02fec6d</vt:lpwstr>
  </property>
  <property fmtid="{D5CDD505-2E9C-101B-9397-08002B2CF9AE}" pid="14" name="MSIP_Label_20773ee6-353b-4fb9-a59d-0b94c8c67bea_ContentBits">
    <vt:lpwstr>0</vt:lpwstr>
  </property>
</Properties>
</file>