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2797F" w:rsidRPr="006E1C58" w:rsidTr="00AB7D86">
        <w:tc>
          <w:tcPr>
            <w:tcW w:w="4513" w:type="dxa"/>
            <w:tcBorders>
              <w:bottom w:val="single" w:sz="4" w:space="0" w:color="auto"/>
            </w:tcBorders>
            <w:tcMar>
              <w:bottom w:w="170" w:type="dxa"/>
            </w:tcMar>
          </w:tcPr>
          <w:p w:rsidR="004A1A3F" w:rsidRPr="006E1C58" w:rsidRDefault="004A1A3F" w:rsidP="00AB7D86">
            <w:pPr>
              <w:rPr>
                <w:lang w:val="fr-FR"/>
              </w:rPr>
            </w:pPr>
            <w:bookmarkStart w:id="0" w:name="TitleOfDoc"/>
            <w:bookmarkEnd w:id="0"/>
          </w:p>
        </w:tc>
        <w:tc>
          <w:tcPr>
            <w:tcW w:w="4337" w:type="dxa"/>
            <w:tcBorders>
              <w:bottom w:val="single" w:sz="4" w:space="0" w:color="auto"/>
            </w:tcBorders>
            <w:tcMar>
              <w:left w:w="0" w:type="dxa"/>
              <w:right w:w="0" w:type="dxa"/>
            </w:tcMar>
          </w:tcPr>
          <w:p w:rsidR="004A1A3F" w:rsidRPr="006E1C58" w:rsidRDefault="004A1A3F" w:rsidP="00AB7D86">
            <w:pPr>
              <w:rPr>
                <w:lang w:val="fr-FR"/>
              </w:rPr>
            </w:pPr>
            <w:r w:rsidRPr="006E1C58">
              <w:rPr>
                <w:noProof/>
                <w:lang w:eastAsia="en-US"/>
              </w:rPr>
              <w:drawing>
                <wp:inline distT="0" distB="0" distL="0" distR="0" wp14:anchorId="63DE1379" wp14:editId="599E039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A1A3F" w:rsidRPr="006E1C58" w:rsidRDefault="004A1A3F" w:rsidP="00AB7D86">
            <w:pPr>
              <w:jc w:val="right"/>
              <w:rPr>
                <w:lang w:val="fr-FR"/>
              </w:rPr>
            </w:pPr>
            <w:r w:rsidRPr="006E1C58">
              <w:rPr>
                <w:b/>
                <w:sz w:val="40"/>
                <w:szCs w:val="40"/>
                <w:lang w:val="fr-FR"/>
              </w:rPr>
              <w:t>F</w:t>
            </w:r>
          </w:p>
        </w:tc>
      </w:tr>
      <w:tr w:rsidR="0032797F" w:rsidRPr="006E1C58" w:rsidTr="00AB7D86">
        <w:trPr>
          <w:trHeight w:hRule="exact" w:val="340"/>
        </w:trPr>
        <w:tc>
          <w:tcPr>
            <w:tcW w:w="9356" w:type="dxa"/>
            <w:gridSpan w:val="3"/>
            <w:tcBorders>
              <w:top w:val="single" w:sz="4" w:space="0" w:color="auto"/>
            </w:tcBorders>
            <w:tcMar>
              <w:top w:w="170" w:type="dxa"/>
              <w:left w:w="0" w:type="dxa"/>
              <w:right w:w="0" w:type="dxa"/>
            </w:tcMar>
            <w:vAlign w:val="bottom"/>
          </w:tcPr>
          <w:p w:rsidR="004A1A3F" w:rsidRPr="006E1C58" w:rsidRDefault="004A1A3F" w:rsidP="00AB7D86">
            <w:pPr>
              <w:jc w:val="right"/>
              <w:rPr>
                <w:rFonts w:ascii="Arial Black" w:hAnsi="Arial Black"/>
                <w:caps/>
                <w:sz w:val="15"/>
                <w:lang w:val="fr-FR"/>
              </w:rPr>
            </w:pPr>
            <w:r w:rsidRPr="006E1C58">
              <w:rPr>
                <w:rFonts w:ascii="Arial Black" w:hAnsi="Arial Black"/>
                <w:caps/>
                <w:sz w:val="15"/>
                <w:lang w:val="fr-FR"/>
              </w:rPr>
              <w:t>MM/A/51/</w:t>
            </w:r>
            <w:bookmarkStart w:id="1" w:name="Code"/>
            <w:bookmarkEnd w:id="1"/>
            <w:r w:rsidRPr="006E1C58">
              <w:rPr>
                <w:rFonts w:ascii="Arial Black" w:hAnsi="Arial Black"/>
                <w:caps/>
                <w:sz w:val="15"/>
                <w:lang w:val="fr-FR"/>
              </w:rPr>
              <w:t>1</w:t>
            </w:r>
          </w:p>
        </w:tc>
      </w:tr>
      <w:tr w:rsidR="0032797F" w:rsidRPr="006E1C58" w:rsidTr="00AB7D86">
        <w:trPr>
          <w:trHeight w:hRule="exact" w:val="170"/>
        </w:trPr>
        <w:tc>
          <w:tcPr>
            <w:tcW w:w="9356" w:type="dxa"/>
            <w:gridSpan w:val="3"/>
            <w:noWrap/>
            <w:tcMar>
              <w:left w:w="0" w:type="dxa"/>
              <w:right w:w="0" w:type="dxa"/>
            </w:tcMar>
            <w:vAlign w:val="bottom"/>
          </w:tcPr>
          <w:p w:rsidR="004A1A3F" w:rsidRPr="006E1C58" w:rsidRDefault="004A1A3F" w:rsidP="00AB7D86">
            <w:pPr>
              <w:jc w:val="right"/>
              <w:rPr>
                <w:rFonts w:ascii="Arial Black" w:hAnsi="Arial Black"/>
                <w:caps/>
                <w:sz w:val="15"/>
                <w:lang w:val="fr-FR"/>
              </w:rPr>
            </w:pPr>
            <w:r w:rsidRPr="006E1C58">
              <w:rPr>
                <w:rFonts w:ascii="Arial Black" w:hAnsi="Arial Black"/>
                <w:caps/>
                <w:sz w:val="15"/>
                <w:lang w:val="fr-FR"/>
              </w:rPr>
              <w:t>ORIGINAL</w:t>
            </w:r>
            <w:r w:rsidR="006E7A67" w:rsidRPr="006E1C58">
              <w:rPr>
                <w:rFonts w:ascii="Arial Black" w:hAnsi="Arial Black"/>
                <w:caps/>
                <w:sz w:val="15"/>
                <w:lang w:val="fr-FR"/>
              </w:rPr>
              <w:t> :</w:t>
            </w:r>
            <w:r w:rsidRPr="006E1C58">
              <w:rPr>
                <w:rFonts w:ascii="Arial Black" w:hAnsi="Arial Black"/>
                <w:caps/>
                <w:sz w:val="15"/>
                <w:lang w:val="fr-FR"/>
              </w:rPr>
              <w:t xml:space="preserve"> </w:t>
            </w:r>
            <w:bookmarkStart w:id="2" w:name="Original"/>
            <w:bookmarkEnd w:id="2"/>
            <w:r w:rsidRPr="006E1C58">
              <w:rPr>
                <w:rFonts w:ascii="Arial Black" w:hAnsi="Arial Black"/>
                <w:caps/>
                <w:sz w:val="15"/>
                <w:lang w:val="fr-FR"/>
              </w:rPr>
              <w:t>anglais</w:t>
            </w:r>
          </w:p>
        </w:tc>
      </w:tr>
      <w:tr w:rsidR="0032797F" w:rsidRPr="006E1C58" w:rsidTr="00AB7D86">
        <w:trPr>
          <w:trHeight w:hRule="exact" w:val="198"/>
        </w:trPr>
        <w:tc>
          <w:tcPr>
            <w:tcW w:w="9356" w:type="dxa"/>
            <w:gridSpan w:val="3"/>
            <w:tcMar>
              <w:left w:w="0" w:type="dxa"/>
              <w:right w:w="0" w:type="dxa"/>
            </w:tcMar>
            <w:vAlign w:val="bottom"/>
          </w:tcPr>
          <w:p w:rsidR="004A1A3F" w:rsidRPr="006E1C58" w:rsidRDefault="004A1A3F" w:rsidP="00AB7D86">
            <w:pPr>
              <w:jc w:val="right"/>
              <w:rPr>
                <w:rFonts w:ascii="Arial Black" w:hAnsi="Arial Black"/>
                <w:caps/>
                <w:sz w:val="15"/>
                <w:lang w:val="fr-FR"/>
              </w:rPr>
            </w:pPr>
            <w:r w:rsidRPr="006E1C58">
              <w:rPr>
                <w:rFonts w:ascii="Arial Black" w:hAnsi="Arial Black"/>
                <w:caps/>
                <w:sz w:val="15"/>
                <w:lang w:val="fr-FR"/>
              </w:rPr>
              <w:t>DATE</w:t>
            </w:r>
            <w:r w:rsidR="006E7A67" w:rsidRPr="006E1C58">
              <w:rPr>
                <w:rFonts w:ascii="Arial Black" w:hAnsi="Arial Black"/>
                <w:caps/>
                <w:sz w:val="15"/>
                <w:lang w:val="fr-FR"/>
              </w:rPr>
              <w:t> :</w:t>
            </w:r>
            <w:r w:rsidRPr="006E1C58">
              <w:rPr>
                <w:rFonts w:ascii="Arial Black" w:hAnsi="Arial Black"/>
                <w:caps/>
                <w:sz w:val="15"/>
                <w:lang w:val="fr-FR"/>
              </w:rPr>
              <w:t xml:space="preserve"> </w:t>
            </w:r>
            <w:bookmarkStart w:id="3" w:name="Date"/>
            <w:bookmarkEnd w:id="3"/>
            <w:r w:rsidRPr="006E1C58">
              <w:rPr>
                <w:rFonts w:ascii="Arial Black" w:hAnsi="Arial Black"/>
                <w:caps/>
                <w:sz w:val="15"/>
                <w:lang w:val="fr-FR"/>
              </w:rPr>
              <w:t>3 juillet 2017</w:t>
            </w:r>
          </w:p>
        </w:tc>
      </w:tr>
    </w:tbl>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b/>
          <w:sz w:val="28"/>
          <w:szCs w:val="28"/>
          <w:lang w:val="fr-FR"/>
        </w:rPr>
      </w:pPr>
      <w:r w:rsidRPr="006E1C58">
        <w:rPr>
          <w:b/>
          <w:sz w:val="28"/>
          <w:szCs w:val="28"/>
          <w:lang w:val="fr-FR"/>
        </w:rPr>
        <w:t>Union particulière pour l</w:t>
      </w:r>
      <w:r w:rsidR="006E7A67" w:rsidRPr="006E1C58">
        <w:rPr>
          <w:b/>
          <w:sz w:val="28"/>
          <w:szCs w:val="28"/>
          <w:lang w:val="fr-FR"/>
        </w:rPr>
        <w:t>’</w:t>
      </w:r>
      <w:r w:rsidRPr="006E1C58">
        <w:rPr>
          <w:b/>
          <w:sz w:val="28"/>
          <w:szCs w:val="28"/>
          <w:lang w:val="fr-FR"/>
        </w:rPr>
        <w:t>enregistrement international des marques (Union de Madrid)</w:t>
      </w: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b/>
          <w:sz w:val="28"/>
          <w:szCs w:val="28"/>
          <w:lang w:val="fr-FR"/>
        </w:rPr>
      </w:pPr>
      <w:r w:rsidRPr="006E1C58">
        <w:rPr>
          <w:b/>
          <w:sz w:val="28"/>
          <w:szCs w:val="28"/>
          <w:lang w:val="fr-FR"/>
        </w:rPr>
        <w:t>Assemblée</w:t>
      </w: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b/>
          <w:sz w:val="24"/>
          <w:szCs w:val="24"/>
          <w:lang w:val="fr-FR"/>
        </w:rPr>
      </w:pPr>
      <w:r w:rsidRPr="006E1C58">
        <w:rPr>
          <w:b/>
          <w:sz w:val="24"/>
          <w:szCs w:val="24"/>
          <w:lang w:val="fr-FR"/>
        </w:rPr>
        <w:t>Cinquante</w:t>
      </w:r>
      <w:r w:rsidR="006E7A67" w:rsidRPr="006E1C58">
        <w:rPr>
          <w:b/>
          <w:sz w:val="24"/>
          <w:szCs w:val="24"/>
          <w:lang w:val="fr-FR"/>
        </w:rPr>
        <w:t> et unième session</w:t>
      </w:r>
      <w:r w:rsidRPr="006E1C58">
        <w:rPr>
          <w:b/>
          <w:sz w:val="24"/>
          <w:szCs w:val="24"/>
          <w:lang w:val="fr-FR"/>
        </w:rPr>
        <w:t xml:space="preserve"> (22</w:t>
      </w:r>
      <w:r w:rsidRPr="006E1C58">
        <w:rPr>
          <w:b/>
          <w:sz w:val="24"/>
          <w:szCs w:val="24"/>
          <w:vertAlign w:val="superscript"/>
          <w:lang w:val="fr-FR"/>
        </w:rPr>
        <w:t>e</w:t>
      </w:r>
      <w:r w:rsidR="00802A61">
        <w:rPr>
          <w:b/>
          <w:sz w:val="24"/>
          <w:szCs w:val="24"/>
          <w:lang w:val="fr-FR"/>
        </w:rPr>
        <w:t> </w:t>
      </w:r>
      <w:r w:rsidRPr="006E1C58">
        <w:rPr>
          <w:b/>
          <w:sz w:val="24"/>
          <w:szCs w:val="24"/>
          <w:lang w:val="fr-FR"/>
        </w:rPr>
        <w:t>session ordinaire)</w:t>
      </w:r>
    </w:p>
    <w:p w:rsidR="004A1A3F" w:rsidRPr="006E1C58" w:rsidRDefault="004A1A3F" w:rsidP="004A1A3F">
      <w:pPr>
        <w:rPr>
          <w:b/>
          <w:sz w:val="24"/>
          <w:szCs w:val="24"/>
          <w:lang w:val="fr-FR"/>
        </w:rPr>
      </w:pPr>
      <w:r w:rsidRPr="006E1C58">
        <w:rPr>
          <w:b/>
          <w:sz w:val="24"/>
          <w:szCs w:val="24"/>
          <w:lang w:val="fr-FR"/>
        </w:rPr>
        <w:t>Genève, 2 – 1</w:t>
      </w:r>
      <w:r w:rsidR="006E7A67" w:rsidRPr="006E1C58">
        <w:rPr>
          <w:b/>
          <w:sz w:val="24"/>
          <w:szCs w:val="24"/>
          <w:lang w:val="fr-FR"/>
        </w:rPr>
        <w:t>1 octobre 20</w:t>
      </w:r>
      <w:r w:rsidRPr="006E1C58">
        <w:rPr>
          <w:b/>
          <w:sz w:val="24"/>
          <w:szCs w:val="24"/>
          <w:lang w:val="fr-FR"/>
        </w:rPr>
        <w:t>17</w:t>
      </w:r>
    </w:p>
    <w:p w:rsidR="004A1A3F" w:rsidRPr="006E1C58" w:rsidRDefault="004A1A3F" w:rsidP="004A1A3F">
      <w:pPr>
        <w:rPr>
          <w:lang w:val="fr-FR"/>
        </w:rPr>
      </w:pPr>
    </w:p>
    <w:p w:rsidR="004A1A3F" w:rsidRPr="006E1C58" w:rsidRDefault="004A1A3F" w:rsidP="004A1A3F">
      <w:pPr>
        <w:rPr>
          <w:lang w:val="fr-FR"/>
        </w:rPr>
      </w:pPr>
    </w:p>
    <w:p w:rsidR="004A1A3F" w:rsidRPr="006E1C58" w:rsidRDefault="004A1A3F" w:rsidP="004A1A3F">
      <w:pPr>
        <w:rPr>
          <w:lang w:val="fr-FR"/>
        </w:rPr>
      </w:pPr>
    </w:p>
    <w:p w:rsidR="006867A9" w:rsidRPr="006E1C58" w:rsidRDefault="004A1A3F" w:rsidP="002C5B74">
      <w:pPr>
        <w:rPr>
          <w:caps/>
          <w:sz w:val="24"/>
          <w:lang w:val="fr-FR"/>
        </w:rPr>
      </w:pPr>
      <w:r w:rsidRPr="006E1C58">
        <w:rPr>
          <w:caps/>
          <w:sz w:val="24"/>
          <w:lang w:val="fr-FR"/>
        </w:rPr>
        <w:t>Rapport relatif à la base de données sur les produits et services du système de Madrid</w:t>
      </w:r>
    </w:p>
    <w:p w:rsidR="006867A9" w:rsidRPr="006E1C58" w:rsidRDefault="006867A9" w:rsidP="002C5B74">
      <w:pPr>
        <w:rPr>
          <w:lang w:val="fr-FR"/>
        </w:rPr>
      </w:pPr>
    </w:p>
    <w:p w:rsidR="006867A9" w:rsidRPr="006E1C58" w:rsidRDefault="00C60447" w:rsidP="002C5B74">
      <w:pPr>
        <w:pStyle w:val="Default"/>
        <w:rPr>
          <w:i/>
          <w:color w:val="auto"/>
          <w:lang w:val="fr-FR"/>
        </w:rPr>
      </w:pPr>
      <w:proofErr w:type="gramStart"/>
      <w:r w:rsidRPr="006E1C58">
        <w:rPr>
          <w:i/>
          <w:iCs/>
          <w:color w:val="auto"/>
          <w:lang w:val="fr-FR"/>
        </w:rPr>
        <w:t>établi</w:t>
      </w:r>
      <w:proofErr w:type="gramEnd"/>
      <w:r w:rsidRPr="006E1C58">
        <w:rPr>
          <w:i/>
          <w:iCs/>
          <w:color w:val="auto"/>
          <w:lang w:val="fr-FR"/>
        </w:rPr>
        <w:t xml:space="preserve"> par le Bureau international</w:t>
      </w:r>
    </w:p>
    <w:p w:rsidR="006867A9" w:rsidRPr="006E1C58" w:rsidRDefault="006867A9" w:rsidP="002C5B74">
      <w:pPr>
        <w:rPr>
          <w:lang w:val="fr-FR"/>
        </w:rPr>
      </w:pPr>
    </w:p>
    <w:p w:rsidR="006867A9" w:rsidRPr="006E1C58" w:rsidRDefault="006867A9" w:rsidP="002C5B74">
      <w:pPr>
        <w:rPr>
          <w:lang w:val="fr-FR"/>
        </w:rPr>
      </w:pPr>
    </w:p>
    <w:p w:rsidR="006867A9" w:rsidRPr="006E1C58" w:rsidRDefault="006867A9" w:rsidP="002C5B74">
      <w:pPr>
        <w:rPr>
          <w:lang w:val="fr-FR"/>
        </w:rPr>
      </w:pPr>
    </w:p>
    <w:p w:rsidR="004A1A3F" w:rsidRPr="006E1C58" w:rsidRDefault="00AC5390" w:rsidP="002C5B74">
      <w:pPr>
        <w:pStyle w:val="Heading1"/>
        <w:rPr>
          <w:lang w:val="fr-FR"/>
        </w:rPr>
      </w:pPr>
      <w:r w:rsidRPr="006E1C58">
        <w:rPr>
          <w:lang w:val="fr-FR"/>
        </w:rPr>
        <w:t>INTRODUCTION</w:t>
      </w:r>
    </w:p>
    <w:p w:rsidR="00305776" w:rsidRPr="006E1C58" w:rsidRDefault="00305776" w:rsidP="002C5B74">
      <w:pPr>
        <w:rPr>
          <w:lang w:val="fr-FR"/>
        </w:rPr>
      </w:pPr>
    </w:p>
    <w:p w:rsidR="006E7A67" w:rsidRPr="006E1C58" w:rsidRDefault="00E50659" w:rsidP="002C5B74">
      <w:pPr>
        <w:pStyle w:val="ONUMFS"/>
        <w:rPr>
          <w:lang w:val="fr-FR"/>
        </w:rPr>
      </w:pPr>
      <w:r w:rsidRPr="006E1C58">
        <w:rPr>
          <w:szCs w:val="22"/>
          <w:lang w:val="fr-FR"/>
        </w:rPr>
        <w:t>Le présent document décrit l</w:t>
      </w:r>
      <w:r w:rsidR="006E7A67" w:rsidRPr="006E1C58">
        <w:rPr>
          <w:szCs w:val="22"/>
          <w:lang w:val="fr-FR"/>
        </w:rPr>
        <w:t>’</w:t>
      </w:r>
      <w:r w:rsidRPr="006E1C58">
        <w:rPr>
          <w:szCs w:val="22"/>
          <w:lang w:val="fr-FR"/>
        </w:rPr>
        <w:t>état d</w:t>
      </w:r>
      <w:r w:rsidR="006E7A67" w:rsidRPr="006E1C58">
        <w:rPr>
          <w:szCs w:val="22"/>
          <w:lang w:val="fr-FR"/>
        </w:rPr>
        <w:t>’</w:t>
      </w:r>
      <w:r w:rsidRPr="006E1C58">
        <w:rPr>
          <w:szCs w:val="22"/>
          <w:lang w:val="fr-FR"/>
        </w:rPr>
        <w:t>avancement de l</w:t>
      </w:r>
      <w:r w:rsidR="006E7A67" w:rsidRPr="006E1C58">
        <w:rPr>
          <w:szCs w:val="22"/>
          <w:lang w:val="fr-FR"/>
        </w:rPr>
        <w:t>’</w:t>
      </w:r>
      <w:r w:rsidRPr="006E1C58">
        <w:rPr>
          <w:szCs w:val="22"/>
          <w:lang w:val="fr-FR"/>
        </w:rPr>
        <w:t>élaboration de la base de données contenant les indications acceptables des produits et des services aux fins des procédures applicables en vertu du système de Madrid (ci</w:t>
      </w:r>
      <w:r w:rsidR="00C16F96">
        <w:rPr>
          <w:szCs w:val="22"/>
          <w:lang w:val="fr-FR"/>
        </w:rPr>
        <w:noBreakHyphen/>
      </w:r>
      <w:r w:rsidRPr="006E1C58">
        <w:rPr>
          <w:szCs w:val="22"/>
          <w:lang w:val="fr-FR"/>
        </w:rPr>
        <w:t>après dénommée “base de données des produits et services du système de Madrid” ou “base de données MGS”)</w:t>
      </w:r>
      <w:r w:rsidR="00AC5390" w:rsidRPr="006E1C58">
        <w:rPr>
          <w:lang w:val="fr-FR"/>
        </w:rPr>
        <w:t>.</w:t>
      </w:r>
    </w:p>
    <w:p w:rsidR="004A1A3F" w:rsidRPr="006E1C58" w:rsidRDefault="000A0620" w:rsidP="002C5B74">
      <w:pPr>
        <w:pStyle w:val="ONUMFS"/>
        <w:rPr>
          <w:lang w:val="fr-FR"/>
        </w:rPr>
      </w:pPr>
      <w:r w:rsidRPr="006E1C58">
        <w:rPr>
          <w:szCs w:val="22"/>
          <w:lang w:val="fr-FR"/>
        </w:rPr>
        <w:t xml:space="preserve">En </w:t>
      </w:r>
      <w:r w:rsidR="006E7A67" w:rsidRPr="006E1C58">
        <w:rPr>
          <w:szCs w:val="22"/>
          <w:lang w:val="fr-FR"/>
        </w:rPr>
        <w:t>septembre 20</w:t>
      </w:r>
      <w:r w:rsidRPr="006E1C58">
        <w:rPr>
          <w:szCs w:val="22"/>
          <w:lang w:val="fr-FR"/>
        </w:rPr>
        <w:t>09, l</w:t>
      </w:r>
      <w:r w:rsidR="006E7A67" w:rsidRPr="006E1C58">
        <w:rPr>
          <w:szCs w:val="22"/>
          <w:lang w:val="fr-FR"/>
        </w:rPr>
        <w:t>’</w:t>
      </w:r>
      <w:r w:rsidRPr="006E1C58">
        <w:rPr>
          <w:szCs w:val="22"/>
          <w:lang w:val="fr-FR"/>
        </w:rPr>
        <w:t>Assemblée de l</w:t>
      </w:r>
      <w:r w:rsidR="006E7A67" w:rsidRPr="006E1C58">
        <w:rPr>
          <w:szCs w:val="22"/>
          <w:lang w:val="fr-FR"/>
        </w:rPr>
        <w:t>’</w:t>
      </w:r>
      <w:r w:rsidRPr="006E1C58">
        <w:rPr>
          <w:szCs w:val="22"/>
          <w:lang w:val="fr-FR"/>
        </w:rPr>
        <w:t>Union de Madrid a approuvé un projet d</w:t>
      </w:r>
      <w:r w:rsidR="006E7A67" w:rsidRPr="006E1C58">
        <w:rPr>
          <w:szCs w:val="22"/>
          <w:lang w:val="fr-FR"/>
        </w:rPr>
        <w:t>’</w:t>
      </w:r>
      <w:r w:rsidRPr="006E1C58">
        <w:rPr>
          <w:szCs w:val="22"/>
          <w:lang w:val="fr-FR"/>
        </w:rPr>
        <w:t>une durée de deux</w:t>
      </w:r>
      <w:r w:rsidR="0030109B" w:rsidRPr="006E1C58">
        <w:rPr>
          <w:szCs w:val="22"/>
          <w:lang w:val="fr-FR"/>
        </w:rPr>
        <w:t> </w:t>
      </w:r>
      <w:r w:rsidRPr="006E1C58">
        <w:rPr>
          <w:szCs w:val="22"/>
          <w:lang w:val="fr-FR"/>
        </w:rPr>
        <w:t>ans visant à concevoir la base de données MGS, comme indiqué dans le document MM/A/42/3, ainsi qu</w:t>
      </w:r>
      <w:r w:rsidR="006E7A67" w:rsidRPr="006E1C58">
        <w:rPr>
          <w:szCs w:val="22"/>
          <w:lang w:val="fr-FR"/>
        </w:rPr>
        <w:t>’</w:t>
      </w:r>
      <w:r w:rsidRPr="006E1C58">
        <w:rPr>
          <w:szCs w:val="22"/>
          <w:lang w:val="fr-FR"/>
        </w:rPr>
        <w:t>un financement d</w:t>
      </w:r>
      <w:r w:rsidR="006E7A67" w:rsidRPr="006E1C58">
        <w:rPr>
          <w:szCs w:val="22"/>
          <w:lang w:val="fr-FR"/>
        </w:rPr>
        <w:t>’</w:t>
      </w:r>
      <w:r w:rsidRPr="006E1C58">
        <w:rPr>
          <w:szCs w:val="22"/>
          <w:lang w:val="fr-FR"/>
        </w:rPr>
        <w:t>un montant de 1,</w:t>
      </w:r>
      <w:r w:rsidR="006E7A67" w:rsidRPr="006E1C58">
        <w:rPr>
          <w:szCs w:val="22"/>
          <w:lang w:val="fr-FR"/>
        </w:rPr>
        <w:t>2 million</w:t>
      </w:r>
      <w:r w:rsidRPr="006E1C58">
        <w:rPr>
          <w:szCs w:val="22"/>
          <w:lang w:val="fr-FR"/>
        </w:rPr>
        <w:t xml:space="preserve"> de francs suisses prélevé sur le fonds de réserve de l</w:t>
      </w:r>
      <w:r w:rsidR="006E7A67" w:rsidRPr="006E1C58">
        <w:rPr>
          <w:szCs w:val="22"/>
          <w:lang w:val="fr-FR"/>
        </w:rPr>
        <w:t>’</w:t>
      </w:r>
      <w:r w:rsidRPr="006E1C58">
        <w:rPr>
          <w:szCs w:val="22"/>
          <w:lang w:val="fr-FR"/>
        </w:rPr>
        <w:t>Union de Madrid pour sa mise en œuvre durant l</w:t>
      </w:r>
      <w:r w:rsidR="006E7A67" w:rsidRPr="006E1C58">
        <w:rPr>
          <w:szCs w:val="22"/>
          <w:lang w:val="fr-FR"/>
        </w:rPr>
        <w:t>’</w:t>
      </w:r>
      <w:r w:rsidRPr="006E1C58">
        <w:rPr>
          <w:szCs w:val="22"/>
          <w:lang w:val="fr-FR"/>
        </w:rPr>
        <w:t xml:space="preserve">exercice </w:t>
      </w:r>
      <w:r w:rsidR="006E7A67" w:rsidRPr="006E1C58">
        <w:rPr>
          <w:szCs w:val="22"/>
          <w:lang w:val="fr-FR"/>
        </w:rPr>
        <w:t>biennal 2010</w:t>
      </w:r>
      <w:r w:rsidR="00C16F96">
        <w:rPr>
          <w:szCs w:val="22"/>
          <w:lang w:val="fr-FR"/>
        </w:rPr>
        <w:noBreakHyphen/>
      </w:r>
      <w:r w:rsidRPr="006E1C58">
        <w:rPr>
          <w:szCs w:val="22"/>
          <w:lang w:val="fr-FR"/>
        </w:rPr>
        <w:t xml:space="preserve">2011 (voir le </w:t>
      </w:r>
      <w:r w:rsidR="006E7A67" w:rsidRPr="006E1C58">
        <w:rPr>
          <w:szCs w:val="22"/>
          <w:lang w:val="fr-FR"/>
        </w:rPr>
        <w:t>paragraphe 2</w:t>
      </w:r>
      <w:r w:rsidRPr="006E1C58">
        <w:rPr>
          <w:szCs w:val="22"/>
          <w:lang w:val="fr-FR"/>
        </w:rPr>
        <w:t xml:space="preserve">8 du document MM/A/42/4). </w:t>
      </w:r>
      <w:r w:rsidR="0030109B" w:rsidRPr="006E1C58">
        <w:rPr>
          <w:szCs w:val="22"/>
          <w:lang w:val="fr-FR"/>
        </w:rPr>
        <w:t xml:space="preserve"> </w:t>
      </w:r>
      <w:r w:rsidRPr="006E1C58">
        <w:rPr>
          <w:szCs w:val="22"/>
          <w:lang w:val="fr-FR"/>
        </w:rPr>
        <w:t>Huit</w:t>
      </w:r>
      <w:r w:rsidR="0030109B" w:rsidRPr="006E1C58">
        <w:rPr>
          <w:szCs w:val="22"/>
          <w:lang w:val="fr-FR"/>
        </w:rPr>
        <w:t> </w:t>
      </w:r>
      <w:r w:rsidRPr="006E1C58">
        <w:rPr>
          <w:szCs w:val="22"/>
          <w:lang w:val="fr-FR"/>
        </w:rPr>
        <w:t>rapports sur l</w:t>
      </w:r>
      <w:r w:rsidR="006E7A67" w:rsidRPr="006E1C58">
        <w:rPr>
          <w:szCs w:val="22"/>
          <w:lang w:val="fr-FR"/>
        </w:rPr>
        <w:t>’</w:t>
      </w:r>
      <w:r w:rsidRPr="006E1C58">
        <w:rPr>
          <w:szCs w:val="22"/>
          <w:lang w:val="fr-FR"/>
        </w:rPr>
        <w:t>état d</w:t>
      </w:r>
      <w:r w:rsidR="006E7A67" w:rsidRPr="006E1C58">
        <w:rPr>
          <w:szCs w:val="22"/>
          <w:lang w:val="fr-FR"/>
        </w:rPr>
        <w:t>’</w:t>
      </w:r>
      <w:r w:rsidRPr="006E1C58">
        <w:rPr>
          <w:szCs w:val="22"/>
          <w:lang w:val="fr-FR"/>
        </w:rPr>
        <w:t>avancement des travaux ont déjà été présentés à l</w:t>
      </w:r>
      <w:r w:rsidR="006E7A67" w:rsidRPr="006E1C58">
        <w:rPr>
          <w:szCs w:val="22"/>
          <w:lang w:val="fr-FR"/>
        </w:rPr>
        <w:t>’</w:t>
      </w:r>
      <w:r w:rsidRPr="006E1C58">
        <w:rPr>
          <w:szCs w:val="22"/>
          <w:lang w:val="fr-FR"/>
        </w:rPr>
        <w:t>Assemblée de l</w:t>
      </w:r>
      <w:r w:rsidR="006E7A67" w:rsidRPr="006E1C58">
        <w:rPr>
          <w:szCs w:val="22"/>
          <w:lang w:val="fr-FR"/>
        </w:rPr>
        <w:t>’</w:t>
      </w:r>
      <w:r w:rsidRPr="006E1C58">
        <w:rPr>
          <w:szCs w:val="22"/>
          <w:lang w:val="fr-FR"/>
        </w:rPr>
        <w:t>Union de Madrid (voir les documents MM/A/42/3, MM/A/43/2, MM/A/44/3, MM/A/45/2, MM/A/46/2</w:t>
      </w:r>
      <w:r w:rsidR="0030109B" w:rsidRPr="006E1C58">
        <w:rPr>
          <w:szCs w:val="22"/>
          <w:lang w:val="fr-FR"/>
        </w:rPr>
        <w:t> </w:t>
      </w:r>
      <w:proofErr w:type="spellStart"/>
      <w:r w:rsidRPr="006E1C58">
        <w:rPr>
          <w:szCs w:val="22"/>
          <w:lang w:val="fr-FR"/>
        </w:rPr>
        <w:t>Rev</w:t>
      </w:r>
      <w:proofErr w:type="spellEnd"/>
      <w:r w:rsidRPr="006E1C58">
        <w:rPr>
          <w:szCs w:val="22"/>
          <w:lang w:val="fr-FR"/>
        </w:rPr>
        <w:t>., MM/A/48/2, MM/A/49/2 et MM/A/50/1</w:t>
      </w:r>
      <w:r w:rsidRPr="006E1C58">
        <w:rPr>
          <w:lang w:val="fr-FR"/>
        </w:rPr>
        <w:t>).</w:t>
      </w:r>
    </w:p>
    <w:p w:rsidR="004A1A3F" w:rsidRPr="006E1C58" w:rsidRDefault="000A0620" w:rsidP="002C5B74">
      <w:pPr>
        <w:pStyle w:val="ONUMFS"/>
        <w:rPr>
          <w:szCs w:val="22"/>
          <w:lang w:val="fr-FR"/>
        </w:rPr>
      </w:pPr>
      <w:r w:rsidRPr="006E1C58">
        <w:rPr>
          <w:szCs w:val="22"/>
          <w:lang w:val="fr-FR"/>
        </w:rPr>
        <w:t>Le</w:t>
      </w:r>
      <w:r w:rsidR="006E7A67" w:rsidRPr="006E1C58">
        <w:rPr>
          <w:szCs w:val="22"/>
          <w:lang w:val="fr-FR"/>
        </w:rPr>
        <w:t xml:space="preserve"> 1</w:t>
      </w:r>
      <w:r w:rsidR="006E7A67" w:rsidRPr="006E1C58">
        <w:rPr>
          <w:szCs w:val="22"/>
          <w:vertAlign w:val="superscript"/>
          <w:lang w:val="fr-FR"/>
        </w:rPr>
        <w:t>er</w:t>
      </w:r>
      <w:r w:rsidR="006E7A67" w:rsidRPr="006E1C58">
        <w:rPr>
          <w:szCs w:val="22"/>
          <w:lang w:val="fr-FR"/>
        </w:rPr>
        <w:t> </w:t>
      </w:r>
      <w:r w:rsidR="00305776" w:rsidRPr="006E1C58">
        <w:rPr>
          <w:szCs w:val="22"/>
          <w:lang w:val="fr-FR"/>
        </w:rPr>
        <w:t>janvier </w:t>
      </w:r>
      <w:r w:rsidRPr="006E1C58">
        <w:rPr>
          <w:szCs w:val="22"/>
          <w:lang w:val="fr-FR"/>
        </w:rPr>
        <w:t>2012, le projet de base de données MGS est passé en mode opérationnel, ce qui signifie que l</w:t>
      </w:r>
      <w:r w:rsidR="006E7A67" w:rsidRPr="006E1C58">
        <w:rPr>
          <w:szCs w:val="22"/>
          <w:lang w:val="fr-FR"/>
        </w:rPr>
        <w:t>’</w:t>
      </w:r>
      <w:r w:rsidRPr="006E1C58">
        <w:rPr>
          <w:szCs w:val="22"/>
          <w:lang w:val="fr-FR"/>
        </w:rPr>
        <w:t>appui opérationnel permanent est depuis lors financé par le budget ordinaire</w:t>
      </w:r>
      <w:r w:rsidR="00C16F96">
        <w:rPr>
          <w:szCs w:val="22"/>
          <w:lang w:val="fr-FR"/>
        </w:rPr>
        <w:t>.</w:t>
      </w:r>
    </w:p>
    <w:p w:rsidR="006E7A67" w:rsidRPr="006E1C58" w:rsidRDefault="000A0620" w:rsidP="002C5B74">
      <w:pPr>
        <w:pStyle w:val="ONUMFS"/>
        <w:rPr>
          <w:lang w:val="fr-FR"/>
        </w:rPr>
      </w:pPr>
      <w:r w:rsidRPr="006E1C58">
        <w:rPr>
          <w:szCs w:val="22"/>
          <w:lang w:val="fr-FR"/>
        </w:rPr>
        <w:lastRenderedPageBreak/>
        <w:t>Le présent document fait le point sur l</w:t>
      </w:r>
      <w:r w:rsidR="006E7A67" w:rsidRPr="006E1C58">
        <w:rPr>
          <w:szCs w:val="22"/>
          <w:lang w:val="fr-FR"/>
        </w:rPr>
        <w:t>’</w:t>
      </w:r>
      <w:r w:rsidRPr="006E1C58">
        <w:rPr>
          <w:szCs w:val="22"/>
          <w:lang w:val="fr-FR"/>
        </w:rPr>
        <w:t xml:space="preserve">évolution de la base de données MGS depuis le précédent rapport sur cette question (voir le document MM/A/50/1), </w:t>
      </w:r>
      <w:r w:rsidR="006E7A67" w:rsidRPr="006E1C58">
        <w:rPr>
          <w:szCs w:val="22"/>
          <w:lang w:val="fr-FR"/>
        </w:rPr>
        <w:t>à savoir</w:t>
      </w:r>
      <w:r w:rsidRPr="006E1C58">
        <w:rPr>
          <w:szCs w:val="22"/>
          <w:lang w:val="fr-FR"/>
        </w:rPr>
        <w:t xml:space="preserve"> pendant la période comprise entre le</w:t>
      </w:r>
      <w:r w:rsidR="006E7A67" w:rsidRPr="006E1C58">
        <w:rPr>
          <w:szCs w:val="22"/>
          <w:lang w:val="fr-FR"/>
        </w:rPr>
        <w:t xml:space="preserve"> 1</w:t>
      </w:r>
      <w:r w:rsidR="006E7A67" w:rsidRPr="006E1C58">
        <w:rPr>
          <w:szCs w:val="22"/>
          <w:vertAlign w:val="superscript"/>
          <w:lang w:val="fr-FR"/>
        </w:rPr>
        <w:t>er</w:t>
      </w:r>
      <w:r w:rsidR="006E7A67" w:rsidRPr="006E1C58">
        <w:rPr>
          <w:szCs w:val="22"/>
          <w:lang w:val="fr-FR"/>
        </w:rPr>
        <w:t> juin 20</w:t>
      </w:r>
      <w:r w:rsidRPr="006E1C58">
        <w:rPr>
          <w:szCs w:val="22"/>
          <w:lang w:val="fr-FR"/>
        </w:rPr>
        <w:t>16 et le 3</w:t>
      </w:r>
      <w:r w:rsidR="006E7A67" w:rsidRPr="006E1C58">
        <w:rPr>
          <w:szCs w:val="22"/>
          <w:lang w:val="fr-FR"/>
        </w:rPr>
        <w:t>1 mai 20</w:t>
      </w:r>
      <w:r w:rsidRPr="006E1C58">
        <w:rPr>
          <w:szCs w:val="22"/>
          <w:lang w:val="fr-FR"/>
        </w:rPr>
        <w:t>17</w:t>
      </w:r>
      <w:r w:rsidR="00AC5390" w:rsidRPr="006E1C58">
        <w:rPr>
          <w:lang w:val="fr-FR"/>
        </w:rPr>
        <w:t>.</w:t>
      </w:r>
    </w:p>
    <w:p w:rsidR="004A1A3F" w:rsidRPr="006E1C58" w:rsidRDefault="00305776" w:rsidP="002C5B74">
      <w:pPr>
        <w:pStyle w:val="Heading1"/>
        <w:rPr>
          <w:lang w:val="fr-FR"/>
        </w:rPr>
      </w:pPr>
      <w:r w:rsidRPr="006E1C58">
        <w:rPr>
          <w:lang w:val="fr-FR"/>
        </w:rPr>
        <w:t>Résultats obtenus</w:t>
      </w:r>
    </w:p>
    <w:p w:rsidR="00305776" w:rsidRPr="006E1C58" w:rsidRDefault="00305776" w:rsidP="002C5B74">
      <w:pPr>
        <w:rPr>
          <w:lang w:val="fr-FR"/>
        </w:rPr>
      </w:pPr>
    </w:p>
    <w:p w:rsidR="004A1A3F" w:rsidRPr="00C16F96" w:rsidRDefault="00C60447" w:rsidP="002C5B74">
      <w:pPr>
        <w:pStyle w:val="ONUMFS"/>
        <w:rPr>
          <w:spacing w:val="-2"/>
          <w:lang w:val="fr-FR"/>
        </w:rPr>
      </w:pPr>
      <w:r w:rsidRPr="00C16F96">
        <w:rPr>
          <w:spacing w:val="-2"/>
          <w:szCs w:val="22"/>
          <w:lang w:val="fr-FR"/>
        </w:rPr>
        <w:t>Le</w:t>
      </w:r>
      <w:r w:rsidR="006E7A67" w:rsidRPr="00C16F96">
        <w:rPr>
          <w:spacing w:val="-2"/>
          <w:szCs w:val="22"/>
          <w:lang w:val="fr-FR"/>
        </w:rPr>
        <w:t xml:space="preserve"> 1</w:t>
      </w:r>
      <w:r w:rsidR="006E7A67" w:rsidRPr="00C16F96">
        <w:rPr>
          <w:spacing w:val="-2"/>
          <w:szCs w:val="22"/>
          <w:vertAlign w:val="superscript"/>
          <w:lang w:val="fr-FR"/>
        </w:rPr>
        <w:t>er</w:t>
      </w:r>
      <w:r w:rsidR="006E7A67" w:rsidRPr="00C16F96">
        <w:rPr>
          <w:spacing w:val="-2"/>
          <w:szCs w:val="22"/>
          <w:lang w:val="fr-FR"/>
        </w:rPr>
        <w:t> juin 20</w:t>
      </w:r>
      <w:r w:rsidRPr="00C16F96">
        <w:rPr>
          <w:spacing w:val="-2"/>
          <w:szCs w:val="22"/>
          <w:lang w:val="fr-FR"/>
        </w:rPr>
        <w:t>16, le gestionnaire de la base de données sur les produits et services du système de Madrid (gestionnaire MGS) a été mis à disposition sur le site</w:t>
      </w:r>
      <w:r w:rsidR="0030109B" w:rsidRPr="00C16F96">
        <w:rPr>
          <w:spacing w:val="-2"/>
          <w:szCs w:val="22"/>
          <w:lang w:val="fr-FR"/>
        </w:rPr>
        <w:t> </w:t>
      </w:r>
      <w:r w:rsidRPr="00C16F96">
        <w:rPr>
          <w:spacing w:val="-2"/>
          <w:szCs w:val="22"/>
          <w:lang w:val="fr-FR"/>
        </w:rPr>
        <w:t>Web public de l</w:t>
      </w:r>
      <w:r w:rsidR="006E7A67" w:rsidRPr="00C16F96">
        <w:rPr>
          <w:spacing w:val="-2"/>
          <w:szCs w:val="22"/>
          <w:lang w:val="fr-FR"/>
        </w:rPr>
        <w:t>’</w:t>
      </w:r>
      <w:r w:rsidRPr="00C16F96">
        <w:rPr>
          <w:spacing w:val="-2"/>
          <w:szCs w:val="22"/>
          <w:lang w:val="fr-FR"/>
        </w:rPr>
        <w:t>Organisation Mondiale de la Propriété Intellectuelle (OMPI), avec les caractéristiques suivantes</w:t>
      </w:r>
      <w:r w:rsidR="006E7A67" w:rsidRPr="00C16F96">
        <w:rPr>
          <w:spacing w:val="-2"/>
          <w:szCs w:val="22"/>
          <w:lang w:val="fr-FR"/>
        </w:rPr>
        <w:t> :</w:t>
      </w:r>
    </w:p>
    <w:p w:rsidR="004A1A3F" w:rsidRPr="006E1C58" w:rsidRDefault="00C60447" w:rsidP="002C5B74">
      <w:pPr>
        <w:pStyle w:val="ONUMFS"/>
        <w:numPr>
          <w:ilvl w:val="0"/>
          <w:numId w:val="16"/>
        </w:numPr>
        <w:tabs>
          <w:tab w:val="clear" w:pos="567"/>
          <w:tab w:val="num" w:pos="1134"/>
        </w:tabs>
        <w:ind w:left="1134" w:hanging="567"/>
        <w:rPr>
          <w:lang w:val="fr-FR"/>
        </w:rPr>
      </w:pPr>
      <w:r w:rsidRPr="006E1C58">
        <w:rPr>
          <w:szCs w:val="22"/>
          <w:lang w:val="fr-FR"/>
        </w:rPr>
        <w:t xml:space="preserve">interfaces en 18 langues, </w:t>
      </w:r>
      <w:r w:rsidR="006E7A67" w:rsidRPr="006E1C58">
        <w:rPr>
          <w:szCs w:val="22"/>
          <w:lang w:val="fr-FR"/>
        </w:rPr>
        <w:t>à savoir</w:t>
      </w:r>
      <w:r w:rsidRPr="006E1C58">
        <w:rPr>
          <w:szCs w:val="22"/>
          <w:lang w:val="fr-FR"/>
        </w:rPr>
        <w:t xml:space="preserve"> allemand, anglais, arabe, chinois, coréen, espagnol, français, hébreu, italien, japonais, mongol, néerlandais, norvégien, portugais, russe, serbe, turc et ukrainien</w:t>
      </w:r>
      <w:r w:rsidR="00AC5390" w:rsidRPr="006E1C58">
        <w:rPr>
          <w:lang w:val="fr-FR"/>
        </w:rPr>
        <w:t>;</w:t>
      </w:r>
    </w:p>
    <w:p w:rsidR="004A1A3F" w:rsidRPr="006E1C58" w:rsidRDefault="00C60447" w:rsidP="002C5B74">
      <w:pPr>
        <w:pStyle w:val="ONUMFS"/>
        <w:numPr>
          <w:ilvl w:val="0"/>
          <w:numId w:val="16"/>
        </w:numPr>
        <w:tabs>
          <w:tab w:val="clear" w:pos="567"/>
          <w:tab w:val="num" w:pos="1134"/>
        </w:tabs>
        <w:ind w:left="1134" w:hanging="567"/>
        <w:rPr>
          <w:lang w:val="fr-FR"/>
        </w:rPr>
      </w:pPr>
      <w:r w:rsidRPr="006E1C58">
        <w:rPr>
          <w:szCs w:val="22"/>
          <w:lang w:val="fr-FR"/>
        </w:rPr>
        <w:t>mise à disposition, par 27</w:t>
      </w:r>
      <w:r w:rsidR="00802A61">
        <w:rPr>
          <w:szCs w:val="22"/>
          <w:lang w:val="fr-FR"/>
        </w:rPr>
        <w:t> </w:t>
      </w:r>
      <w:r w:rsidRPr="006E1C58">
        <w:rPr>
          <w:szCs w:val="22"/>
          <w:lang w:val="fr-FR"/>
        </w:rPr>
        <w:t>offices de propriété intellectuelle nationaux ou régionaux participants, de données relatives à l</w:t>
      </w:r>
      <w:r w:rsidR="006E7A67" w:rsidRPr="006E1C58">
        <w:rPr>
          <w:szCs w:val="22"/>
          <w:lang w:val="fr-FR"/>
        </w:rPr>
        <w:t>’</w:t>
      </w:r>
      <w:r w:rsidRPr="006E1C58">
        <w:rPr>
          <w:szCs w:val="22"/>
          <w:lang w:val="fr-FR"/>
        </w:rPr>
        <w:t xml:space="preserve">acceptation à afficher dans la base de données </w:t>
      </w:r>
      <w:r w:rsidR="006E1C58" w:rsidRPr="006E1C58">
        <w:rPr>
          <w:szCs w:val="22"/>
          <w:lang w:val="fr-FR"/>
        </w:rPr>
        <w:t>MGS.  De</w:t>
      </w:r>
      <w:r w:rsidRPr="006E1C58">
        <w:rPr>
          <w:szCs w:val="22"/>
          <w:lang w:val="fr-FR"/>
        </w:rPr>
        <w:t>s données partielles sur l</w:t>
      </w:r>
      <w:r w:rsidR="006E7A67" w:rsidRPr="006E1C58">
        <w:rPr>
          <w:szCs w:val="22"/>
          <w:lang w:val="fr-FR"/>
        </w:rPr>
        <w:t>’</w:t>
      </w:r>
      <w:r w:rsidRPr="006E1C58">
        <w:rPr>
          <w:szCs w:val="22"/>
          <w:lang w:val="fr-FR"/>
        </w:rPr>
        <w:t>acceptation ont au moins été communiquées par les offices des parties suivantes</w:t>
      </w:r>
      <w:r w:rsidR="006E7A67" w:rsidRPr="006E1C58">
        <w:rPr>
          <w:szCs w:val="22"/>
          <w:lang w:val="fr-FR"/>
        </w:rPr>
        <w:t> :</w:t>
      </w:r>
      <w:r w:rsidRPr="006E1C58">
        <w:rPr>
          <w:szCs w:val="22"/>
          <w:lang w:val="fr-FR"/>
        </w:rPr>
        <w:t xml:space="preserve"> Allemagne, Autriche, </w:t>
      </w:r>
      <w:proofErr w:type="spellStart"/>
      <w:r w:rsidRPr="006E1C58">
        <w:rPr>
          <w:szCs w:val="22"/>
          <w:lang w:val="fr-FR"/>
        </w:rPr>
        <w:t>Bélarus</w:t>
      </w:r>
      <w:proofErr w:type="spellEnd"/>
      <w:r w:rsidRPr="006E1C58">
        <w:rPr>
          <w:szCs w:val="22"/>
          <w:lang w:val="fr-FR"/>
        </w:rPr>
        <w:t>, Benelux, Chine, Colombie, Danemark, Estonie, États</w:t>
      </w:r>
      <w:r w:rsidR="00C16F96">
        <w:rPr>
          <w:szCs w:val="22"/>
          <w:lang w:val="fr-FR"/>
        </w:rPr>
        <w:noBreakHyphen/>
      </w:r>
      <w:r w:rsidRPr="006E1C58">
        <w:rPr>
          <w:szCs w:val="22"/>
          <w:lang w:val="fr-FR"/>
        </w:rPr>
        <w:t>Unis d</w:t>
      </w:r>
      <w:r w:rsidR="006E7A67" w:rsidRPr="006E1C58">
        <w:rPr>
          <w:szCs w:val="22"/>
          <w:lang w:val="fr-FR"/>
        </w:rPr>
        <w:t>’</w:t>
      </w:r>
      <w:r w:rsidRPr="006E1C58">
        <w:rPr>
          <w:szCs w:val="22"/>
          <w:lang w:val="fr-FR"/>
        </w:rPr>
        <w:t>Amérique, Fédération de Russie, Finlande, Israël, Italie, Japon, Mexique, Mongolie, Norvège, Portugal, République de Corée, République de Serbie, Royaume</w:t>
      </w:r>
      <w:r w:rsidR="00C16F96">
        <w:rPr>
          <w:szCs w:val="22"/>
          <w:lang w:val="fr-FR"/>
        </w:rPr>
        <w:noBreakHyphen/>
      </w:r>
      <w:r w:rsidRPr="006E1C58">
        <w:rPr>
          <w:szCs w:val="22"/>
          <w:lang w:val="fr-FR"/>
        </w:rPr>
        <w:t>Uni, Singapour, Suède, Suisse, Turquie, Ukraine et Union européenne</w:t>
      </w:r>
      <w:r w:rsidR="002757B1" w:rsidRPr="006E1C58">
        <w:rPr>
          <w:szCs w:val="22"/>
          <w:lang w:val="fr-FR"/>
        </w:rPr>
        <w:t>.</w:t>
      </w:r>
    </w:p>
    <w:p w:rsidR="004A1A3F" w:rsidRPr="006E1C58" w:rsidRDefault="00305776" w:rsidP="002C5B74">
      <w:pPr>
        <w:pStyle w:val="Heading2"/>
        <w:rPr>
          <w:lang w:val="fr-FR"/>
        </w:rPr>
      </w:pPr>
      <w:r w:rsidRPr="006E1C58">
        <w:rPr>
          <w:lang w:val="fr-FR"/>
        </w:rPr>
        <w:t>Mise en concordance avec la onzième édition de la classification de Nice</w:t>
      </w:r>
    </w:p>
    <w:p w:rsidR="00305776" w:rsidRPr="006E1C58" w:rsidRDefault="00305776" w:rsidP="002C5B74">
      <w:pPr>
        <w:rPr>
          <w:lang w:val="fr-FR"/>
        </w:rPr>
      </w:pPr>
    </w:p>
    <w:p w:rsidR="004A1A3F" w:rsidRPr="006E1C58" w:rsidRDefault="00F235BB" w:rsidP="002C5B74">
      <w:pPr>
        <w:pStyle w:val="ONUMFS"/>
        <w:rPr>
          <w:lang w:val="fr-FR"/>
        </w:rPr>
      </w:pPr>
      <w:r w:rsidRPr="006E1C58">
        <w:rPr>
          <w:lang w:val="fr-FR"/>
        </w:rPr>
        <w:t xml:space="preserve">Au début du mois de </w:t>
      </w:r>
      <w:r w:rsidR="006E7A67" w:rsidRPr="006E1C58">
        <w:rPr>
          <w:lang w:val="fr-FR"/>
        </w:rPr>
        <w:t>janvier 20</w:t>
      </w:r>
      <w:r w:rsidRPr="006E1C58">
        <w:rPr>
          <w:lang w:val="fr-FR"/>
        </w:rPr>
        <w:t xml:space="preserve">17, </w:t>
      </w:r>
      <w:r w:rsidR="005E45D9" w:rsidRPr="006E1C58">
        <w:rPr>
          <w:lang w:val="fr-FR"/>
        </w:rPr>
        <w:t xml:space="preserve">une version de </w:t>
      </w:r>
      <w:r w:rsidRPr="006E1C58">
        <w:rPr>
          <w:lang w:val="fr-FR"/>
        </w:rPr>
        <w:t xml:space="preserve">la base de données MGS </w:t>
      </w:r>
      <w:r w:rsidR="009D2BA8" w:rsidRPr="006E1C58">
        <w:rPr>
          <w:lang w:val="fr-FR"/>
        </w:rPr>
        <w:t>conforme à</w:t>
      </w:r>
      <w:r w:rsidRPr="006E1C58">
        <w:rPr>
          <w:lang w:val="fr-FR"/>
        </w:rPr>
        <w:t xml:space="preserve"> la version</w:t>
      </w:r>
      <w:r w:rsidR="00802A61">
        <w:rPr>
          <w:lang w:val="fr-FR"/>
        </w:rPr>
        <w:t> </w:t>
      </w:r>
      <w:r w:rsidRPr="006E1C58">
        <w:rPr>
          <w:lang w:val="fr-FR"/>
        </w:rPr>
        <w:t>2017 de la onzième édition de la classification de Nice (NCL11</w:t>
      </w:r>
      <w:r w:rsidR="00C16F96">
        <w:rPr>
          <w:lang w:val="fr-FR"/>
        </w:rPr>
        <w:noBreakHyphen/>
      </w:r>
      <w:r w:rsidRPr="006E1C58">
        <w:rPr>
          <w:lang w:val="fr-FR"/>
        </w:rPr>
        <w:t>2017)</w:t>
      </w:r>
      <w:r w:rsidR="005E45D9" w:rsidRPr="006E1C58">
        <w:rPr>
          <w:lang w:val="fr-FR"/>
        </w:rPr>
        <w:t xml:space="preserve"> a été mise à disposition</w:t>
      </w:r>
      <w:r w:rsidRPr="006E1C58">
        <w:rPr>
          <w:lang w:val="fr-FR"/>
        </w:rPr>
        <w:t>, dans les 18</w:t>
      </w:r>
      <w:r w:rsidR="00802A61">
        <w:rPr>
          <w:lang w:val="fr-FR"/>
        </w:rPr>
        <w:t> </w:t>
      </w:r>
      <w:r w:rsidRPr="006E1C58">
        <w:rPr>
          <w:lang w:val="fr-FR"/>
        </w:rPr>
        <w:t>langues disponibles en ligne à ce stade.</w:t>
      </w:r>
    </w:p>
    <w:p w:rsidR="006E7A67" w:rsidRPr="006E1C58" w:rsidRDefault="00F235BB" w:rsidP="002C5B74">
      <w:pPr>
        <w:pStyle w:val="ONUMFS"/>
        <w:rPr>
          <w:lang w:val="fr-FR"/>
        </w:rPr>
      </w:pPr>
      <w:r w:rsidRPr="006E1C58">
        <w:rPr>
          <w:lang w:val="fr-FR"/>
        </w:rPr>
        <w:t xml:space="preserve">Les notes explicatives de la classification de Nice ont été </w:t>
      </w:r>
      <w:r w:rsidR="009D2BA8" w:rsidRPr="006E1C58">
        <w:rPr>
          <w:lang w:val="fr-FR"/>
        </w:rPr>
        <w:t>mises en conformité</w:t>
      </w:r>
      <w:r w:rsidRPr="006E1C58">
        <w:rPr>
          <w:lang w:val="fr-FR"/>
        </w:rPr>
        <w:t xml:space="preserve"> avec la onzième édition de la classification de Nice dans toutes les langues de la base de données</w:t>
      </w:r>
      <w:r w:rsidR="001977E0" w:rsidRPr="006E1C58">
        <w:rPr>
          <w:lang w:val="fr-FR"/>
        </w:rPr>
        <w:t xml:space="preserve"> MGS</w:t>
      </w:r>
      <w:r w:rsidRPr="006E1C58">
        <w:rPr>
          <w:lang w:val="fr-FR"/>
        </w:rPr>
        <w:t>, offrant ainsi aux déposants un accès dans leur langue nationale à des orientations relatives au classement des marques.</w:t>
      </w:r>
    </w:p>
    <w:p w:rsidR="004A1A3F" w:rsidRPr="006E1C58" w:rsidRDefault="00E54A68" w:rsidP="002C5B74">
      <w:pPr>
        <w:pStyle w:val="ONUMFS"/>
        <w:rPr>
          <w:lang w:val="fr-FR"/>
        </w:rPr>
      </w:pPr>
      <w:r w:rsidRPr="006E1C58">
        <w:rPr>
          <w:lang w:val="fr-FR"/>
        </w:rPr>
        <w:t xml:space="preserve">Le contenu de la base de données MGS a été </w:t>
      </w:r>
      <w:r w:rsidR="009D2BA8" w:rsidRPr="006E1C58">
        <w:rPr>
          <w:lang w:val="fr-FR"/>
        </w:rPr>
        <w:t xml:space="preserve">mis en conformité </w:t>
      </w:r>
      <w:r w:rsidRPr="006E1C58">
        <w:rPr>
          <w:lang w:val="fr-FR"/>
        </w:rPr>
        <w:t>avec</w:t>
      </w:r>
      <w:r w:rsidR="006E7A67" w:rsidRPr="006E1C58">
        <w:rPr>
          <w:lang w:val="fr-FR"/>
        </w:rPr>
        <w:t xml:space="preserve"> la NCL</w:t>
      </w:r>
      <w:r w:rsidR="00B359CE" w:rsidRPr="006E1C58">
        <w:rPr>
          <w:lang w:val="fr-FR"/>
        </w:rPr>
        <w:t>11</w:t>
      </w:r>
      <w:r w:rsidR="00C16F96">
        <w:rPr>
          <w:lang w:val="fr-FR"/>
        </w:rPr>
        <w:noBreakHyphen/>
      </w:r>
      <w:r w:rsidR="00B359CE" w:rsidRPr="006E1C58">
        <w:rPr>
          <w:lang w:val="fr-FR"/>
        </w:rPr>
        <w:t>2017</w:t>
      </w:r>
      <w:r w:rsidR="001977E0" w:rsidRPr="006E1C58">
        <w:rPr>
          <w:lang w:val="fr-FR"/>
        </w:rPr>
        <w:t xml:space="preserve"> </w:t>
      </w:r>
      <w:r w:rsidRPr="006E1C58">
        <w:rPr>
          <w:lang w:val="fr-FR"/>
        </w:rPr>
        <w:t>dans sa langue principale, c</w:t>
      </w:r>
      <w:r w:rsidR="006E7A67" w:rsidRPr="006E1C58">
        <w:rPr>
          <w:lang w:val="fr-FR"/>
        </w:rPr>
        <w:t>’</w:t>
      </w:r>
      <w:r w:rsidRPr="006E1C58">
        <w:rPr>
          <w:lang w:val="fr-FR"/>
        </w:rPr>
        <w:t>est</w:t>
      </w:r>
      <w:r w:rsidR="00C16F96">
        <w:rPr>
          <w:lang w:val="fr-FR"/>
        </w:rPr>
        <w:noBreakHyphen/>
      </w:r>
      <w:r w:rsidRPr="006E1C58">
        <w:rPr>
          <w:lang w:val="fr-FR"/>
        </w:rPr>
        <w:t>à</w:t>
      </w:r>
      <w:r w:rsidR="00C16F96">
        <w:rPr>
          <w:lang w:val="fr-FR"/>
        </w:rPr>
        <w:noBreakHyphen/>
      </w:r>
      <w:r w:rsidRPr="006E1C58">
        <w:rPr>
          <w:lang w:val="fr-FR"/>
        </w:rPr>
        <w:t>dire l</w:t>
      </w:r>
      <w:r w:rsidR="006E7A67" w:rsidRPr="006E1C58">
        <w:rPr>
          <w:lang w:val="fr-FR"/>
        </w:rPr>
        <w:t>’</w:t>
      </w:r>
      <w:r w:rsidRPr="006E1C58">
        <w:rPr>
          <w:lang w:val="fr-FR"/>
        </w:rPr>
        <w:t>angla</w:t>
      </w:r>
      <w:r w:rsidR="006E1C58" w:rsidRPr="006E1C58">
        <w:rPr>
          <w:lang w:val="fr-FR"/>
        </w:rPr>
        <w:t>is.  Da</w:t>
      </w:r>
      <w:r w:rsidR="00B359CE" w:rsidRPr="006E1C58">
        <w:rPr>
          <w:lang w:val="fr-FR"/>
        </w:rPr>
        <w:t>ns ce contexte</w:t>
      </w:r>
      <w:r w:rsidR="00450E81" w:rsidRPr="006E1C58">
        <w:rPr>
          <w:lang w:val="fr-FR"/>
        </w:rPr>
        <w:t xml:space="preserve">, plus </w:t>
      </w:r>
      <w:r w:rsidR="006E7A67" w:rsidRPr="006E1C58">
        <w:rPr>
          <w:lang w:val="fr-FR"/>
        </w:rPr>
        <w:t>de 1000</w:t>
      </w:r>
      <w:r w:rsidR="00802A61">
        <w:rPr>
          <w:lang w:val="fr-FR"/>
        </w:rPr>
        <w:t> </w:t>
      </w:r>
      <w:r w:rsidR="00450E81" w:rsidRPr="006E1C58">
        <w:rPr>
          <w:lang w:val="fr-FR"/>
        </w:rPr>
        <w:t xml:space="preserve">termes en </w:t>
      </w:r>
      <w:r w:rsidR="00B359CE" w:rsidRPr="006E1C58">
        <w:rPr>
          <w:lang w:val="fr-FR"/>
        </w:rPr>
        <w:t xml:space="preserve">langue </w:t>
      </w:r>
      <w:r w:rsidR="00450E81" w:rsidRPr="006E1C58">
        <w:rPr>
          <w:lang w:val="fr-FR"/>
        </w:rPr>
        <w:t>anglais</w:t>
      </w:r>
      <w:r w:rsidR="00B359CE" w:rsidRPr="006E1C58">
        <w:rPr>
          <w:lang w:val="fr-FR"/>
        </w:rPr>
        <w:t>e</w:t>
      </w:r>
      <w:r w:rsidR="00450E81" w:rsidRPr="006E1C58">
        <w:rPr>
          <w:lang w:val="fr-FR"/>
        </w:rPr>
        <w:t xml:space="preserve"> ont été ajoutés à la base de données</w:t>
      </w:r>
      <w:r w:rsidR="00B359CE" w:rsidRPr="006E1C58">
        <w:rPr>
          <w:lang w:val="fr-FR"/>
        </w:rPr>
        <w:t>, auxquels s</w:t>
      </w:r>
      <w:r w:rsidR="006E7A67" w:rsidRPr="006E1C58">
        <w:rPr>
          <w:lang w:val="fr-FR"/>
        </w:rPr>
        <w:t>’</w:t>
      </w:r>
      <w:r w:rsidR="00B359CE" w:rsidRPr="006E1C58">
        <w:rPr>
          <w:lang w:val="fr-FR"/>
        </w:rPr>
        <w:t>ajoutent le</w:t>
      </w:r>
      <w:r w:rsidR="00450E81" w:rsidRPr="006E1C58">
        <w:rPr>
          <w:lang w:val="fr-FR"/>
        </w:rPr>
        <w:t>s 334</w:t>
      </w:r>
      <w:r w:rsidR="00802A61">
        <w:rPr>
          <w:lang w:val="fr-FR"/>
        </w:rPr>
        <w:t> </w:t>
      </w:r>
      <w:r w:rsidR="0080212D" w:rsidRPr="006E1C58">
        <w:rPr>
          <w:lang w:val="fr-FR"/>
        </w:rPr>
        <w:t>nouveaux termes</w:t>
      </w:r>
      <w:r w:rsidR="00450E81" w:rsidRPr="006E1C58">
        <w:rPr>
          <w:lang w:val="fr-FR"/>
        </w:rPr>
        <w:t xml:space="preserve"> </w:t>
      </w:r>
      <w:r w:rsidR="0080212D" w:rsidRPr="006E1C58">
        <w:rPr>
          <w:lang w:val="fr-FR"/>
        </w:rPr>
        <w:t xml:space="preserve">en langue anglaise </w:t>
      </w:r>
      <w:r w:rsidR="00450E81" w:rsidRPr="006E1C58">
        <w:rPr>
          <w:lang w:val="fr-FR"/>
        </w:rPr>
        <w:t>officiel</w:t>
      </w:r>
      <w:r w:rsidR="0080212D" w:rsidRPr="006E1C58">
        <w:rPr>
          <w:lang w:val="fr-FR"/>
        </w:rPr>
        <w:t>lement</w:t>
      </w:r>
      <w:r w:rsidR="00450E81" w:rsidRPr="006E1C58">
        <w:rPr>
          <w:lang w:val="fr-FR"/>
        </w:rPr>
        <w:t xml:space="preserve"> </w:t>
      </w:r>
      <w:r w:rsidR="0080212D" w:rsidRPr="006E1C58">
        <w:rPr>
          <w:lang w:val="fr-FR"/>
        </w:rPr>
        <w:t>introduits par</w:t>
      </w:r>
      <w:r w:rsidR="006E7A67" w:rsidRPr="006E1C58">
        <w:rPr>
          <w:lang w:val="fr-FR"/>
        </w:rPr>
        <w:t xml:space="preserve"> la NCL</w:t>
      </w:r>
      <w:r w:rsidR="009D2BA8" w:rsidRPr="006E1C58">
        <w:rPr>
          <w:lang w:val="fr-FR"/>
        </w:rPr>
        <w:t>11</w:t>
      </w:r>
      <w:r w:rsidR="00C16F96">
        <w:rPr>
          <w:lang w:val="fr-FR"/>
        </w:rPr>
        <w:noBreakHyphen/>
      </w:r>
      <w:r w:rsidR="009D2BA8" w:rsidRPr="006E1C58">
        <w:rPr>
          <w:lang w:val="fr-FR"/>
        </w:rPr>
        <w:t>2017</w:t>
      </w:r>
      <w:r w:rsidR="00450E81" w:rsidRPr="006E1C58">
        <w:rPr>
          <w:lang w:val="fr-FR"/>
        </w:rPr>
        <w:t>.</w:t>
      </w:r>
      <w:r w:rsidR="00AC5390" w:rsidRPr="006E1C58">
        <w:rPr>
          <w:lang w:val="fr-FR"/>
        </w:rPr>
        <w:t xml:space="preserve">  </w:t>
      </w:r>
      <w:r w:rsidR="00F34131" w:rsidRPr="006E1C58">
        <w:rPr>
          <w:lang w:val="fr-FR"/>
        </w:rPr>
        <w:t>Ces 1000</w:t>
      </w:r>
      <w:r w:rsidR="00802A61">
        <w:rPr>
          <w:lang w:val="fr-FR"/>
        </w:rPr>
        <w:t> </w:t>
      </w:r>
      <w:r w:rsidR="00F34131" w:rsidRPr="006E1C58">
        <w:rPr>
          <w:lang w:val="fr-FR"/>
        </w:rPr>
        <w:t>termes ont été ajoutés à la base de données MGS pour donner des indications plus détaillées aux déposants de demandes d</w:t>
      </w:r>
      <w:r w:rsidR="006E7A67" w:rsidRPr="006E1C58">
        <w:rPr>
          <w:lang w:val="fr-FR"/>
        </w:rPr>
        <w:t>’</w:t>
      </w:r>
      <w:r w:rsidR="00F34131" w:rsidRPr="006E1C58">
        <w:rPr>
          <w:lang w:val="fr-FR"/>
        </w:rPr>
        <w:t xml:space="preserve">enregistrement de marques et aux offices nationaux </w:t>
      </w:r>
      <w:r w:rsidR="001977E0" w:rsidRPr="006E1C58">
        <w:rPr>
          <w:lang w:val="fr-FR"/>
        </w:rPr>
        <w:t xml:space="preserve">de la propriété intellectuelle </w:t>
      </w:r>
      <w:r w:rsidR="00F34131" w:rsidRPr="006E1C58">
        <w:rPr>
          <w:lang w:val="fr-FR"/>
        </w:rPr>
        <w:t xml:space="preserve">et pour </w:t>
      </w:r>
      <w:r w:rsidR="0080212D" w:rsidRPr="006E1C58">
        <w:rPr>
          <w:lang w:val="fr-FR"/>
        </w:rPr>
        <w:t>rendre</w:t>
      </w:r>
      <w:r w:rsidR="00F34131" w:rsidRPr="006E1C58">
        <w:rPr>
          <w:lang w:val="fr-FR"/>
        </w:rPr>
        <w:t xml:space="preserve"> compte de la pratique en matière d</w:t>
      </w:r>
      <w:r w:rsidR="006E7A67" w:rsidRPr="006E1C58">
        <w:rPr>
          <w:lang w:val="fr-FR"/>
        </w:rPr>
        <w:t>’</w:t>
      </w:r>
      <w:r w:rsidR="00F34131" w:rsidRPr="006E1C58">
        <w:rPr>
          <w:lang w:val="fr-FR"/>
        </w:rPr>
        <w:t xml:space="preserve">examen suivie par le Bureau international, énoncée dans les </w:t>
      </w:r>
      <w:r w:rsidR="0030109B" w:rsidRPr="006E1C58">
        <w:rPr>
          <w:lang w:val="fr-FR"/>
        </w:rPr>
        <w:t>“</w:t>
      </w:r>
      <w:r w:rsidR="00F34131" w:rsidRPr="006E1C58">
        <w:rPr>
          <w:lang w:val="fr-FR"/>
        </w:rPr>
        <w:t>Directives d</w:t>
      </w:r>
      <w:r w:rsidR="006E7A67" w:rsidRPr="006E1C58">
        <w:rPr>
          <w:lang w:val="fr-FR"/>
        </w:rPr>
        <w:t>’</w:t>
      </w:r>
      <w:r w:rsidR="00F34131" w:rsidRPr="006E1C58">
        <w:rPr>
          <w:lang w:val="fr-FR"/>
        </w:rPr>
        <w:t>examen concernant le classement des produits et des services dans les demandes internationales</w:t>
      </w:r>
      <w:r w:rsidR="0030109B" w:rsidRPr="006E1C58">
        <w:rPr>
          <w:lang w:val="fr-FR"/>
        </w:rPr>
        <w:t>”</w:t>
      </w:r>
      <w:r w:rsidR="00F34131" w:rsidRPr="006E1C58">
        <w:rPr>
          <w:lang w:val="fr-FR"/>
        </w:rPr>
        <w:t xml:space="preserve"> publiées en </w:t>
      </w:r>
      <w:r w:rsidR="006E7A67" w:rsidRPr="006E1C58">
        <w:rPr>
          <w:lang w:val="fr-FR"/>
        </w:rPr>
        <w:t>mars 20</w:t>
      </w:r>
      <w:r w:rsidR="00F34131" w:rsidRPr="006E1C58">
        <w:rPr>
          <w:lang w:val="fr-FR"/>
        </w:rPr>
        <w:t>17.</w:t>
      </w:r>
    </w:p>
    <w:p w:rsidR="004A1A3F" w:rsidRPr="006E1C58" w:rsidRDefault="00F34131" w:rsidP="002C5B74">
      <w:pPr>
        <w:pStyle w:val="ONUMFS"/>
        <w:rPr>
          <w:lang w:val="fr-FR"/>
        </w:rPr>
      </w:pPr>
      <w:r w:rsidRPr="006E1C58">
        <w:rPr>
          <w:lang w:val="fr-FR"/>
        </w:rPr>
        <w:t>Afin de donner des indications plus détaillées aux déposants de demandes d</w:t>
      </w:r>
      <w:r w:rsidR="006E7A67" w:rsidRPr="006E1C58">
        <w:rPr>
          <w:lang w:val="fr-FR"/>
        </w:rPr>
        <w:t>’</w:t>
      </w:r>
      <w:r w:rsidRPr="006E1C58">
        <w:rPr>
          <w:lang w:val="fr-FR"/>
        </w:rPr>
        <w:t>enregistrement de marques et aux offices nationaux de</w:t>
      </w:r>
      <w:r w:rsidR="0080212D" w:rsidRPr="006E1C58">
        <w:rPr>
          <w:lang w:val="fr-FR"/>
        </w:rPr>
        <w:t xml:space="preserve"> la</w:t>
      </w:r>
      <w:r w:rsidRPr="006E1C58">
        <w:rPr>
          <w:lang w:val="fr-FR"/>
        </w:rPr>
        <w:t xml:space="preserve"> propriété intellectuelle, un document résumant les principaux changements introduits par</w:t>
      </w:r>
      <w:r w:rsidR="006E7A67" w:rsidRPr="006E1C58">
        <w:rPr>
          <w:lang w:val="fr-FR"/>
        </w:rPr>
        <w:t xml:space="preserve"> la NCL</w:t>
      </w:r>
      <w:r w:rsidRPr="006E1C58">
        <w:rPr>
          <w:lang w:val="fr-FR"/>
        </w:rPr>
        <w:t>11</w:t>
      </w:r>
      <w:r w:rsidR="00C16F96">
        <w:rPr>
          <w:lang w:val="fr-FR"/>
        </w:rPr>
        <w:noBreakHyphen/>
      </w:r>
      <w:r w:rsidRPr="006E1C58">
        <w:rPr>
          <w:lang w:val="fr-FR"/>
        </w:rPr>
        <w:t>2017 (transferts de classes,</w:t>
      </w:r>
      <w:r w:rsidRPr="00854C32">
        <w:rPr>
          <w:lang w:val="fr-FR"/>
        </w:rPr>
        <w:t xml:space="preserve"> </w:t>
      </w:r>
      <w:r w:rsidRPr="006E1C58">
        <w:rPr>
          <w:lang w:val="fr-FR"/>
        </w:rPr>
        <w:t xml:space="preserve">suppressions et </w:t>
      </w:r>
      <w:r w:rsidR="0080212D" w:rsidRPr="006E1C58">
        <w:rPr>
          <w:lang w:val="fr-FR"/>
        </w:rPr>
        <w:t>adjonctions</w:t>
      </w:r>
      <w:r w:rsidRPr="006E1C58">
        <w:rPr>
          <w:lang w:val="fr-FR"/>
        </w:rPr>
        <w:t>)</w:t>
      </w:r>
      <w:r w:rsidR="009D2BA8" w:rsidRPr="006E1C58">
        <w:rPr>
          <w:lang w:val="fr-FR"/>
        </w:rPr>
        <w:t>,</w:t>
      </w:r>
      <w:r w:rsidRPr="006E1C58">
        <w:rPr>
          <w:lang w:val="fr-FR"/>
        </w:rPr>
        <w:t xml:space="preserve"> ainsi que les transferts de classes qu</w:t>
      </w:r>
      <w:r w:rsidR="006E7A67" w:rsidRPr="006E1C58">
        <w:rPr>
          <w:lang w:val="fr-FR"/>
        </w:rPr>
        <w:t>’</w:t>
      </w:r>
      <w:r w:rsidRPr="006E1C58">
        <w:rPr>
          <w:lang w:val="fr-FR"/>
        </w:rPr>
        <w:t xml:space="preserve">ils </w:t>
      </w:r>
      <w:r w:rsidR="009D2BA8" w:rsidRPr="006E1C58">
        <w:rPr>
          <w:lang w:val="fr-FR"/>
        </w:rPr>
        <w:t>ont entraînés dans</w:t>
      </w:r>
      <w:r w:rsidRPr="006E1C58">
        <w:rPr>
          <w:lang w:val="fr-FR"/>
        </w:rPr>
        <w:t xml:space="preserve"> la base de données MGS, a été publié en </w:t>
      </w:r>
      <w:r w:rsidR="006E7A67" w:rsidRPr="006E1C58">
        <w:rPr>
          <w:lang w:val="fr-FR"/>
        </w:rPr>
        <w:t>février 20</w:t>
      </w:r>
      <w:r w:rsidRPr="006E1C58">
        <w:rPr>
          <w:lang w:val="fr-FR"/>
        </w:rPr>
        <w:t>17 sur le site</w:t>
      </w:r>
      <w:r w:rsidR="0030109B" w:rsidRPr="006E1C58">
        <w:rPr>
          <w:lang w:val="fr-FR"/>
        </w:rPr>
        <w:t> </w:t>
      </w:r>
      <w:r w:rsidRPr="006E1C58">
        <w:rPr>
          <w:lang w:val="fr-FR"/>
        </w:rPr>
        <w:t>Web de l</w:t>
      </w:r>
      <w:r w:rsidR="006E7A67" w:rsidRPr="006E1C58">
        <w:rPr>
          <w:lang w:val="fr-FR"/>
        </w:rPr>
        <w:t>’</w:t>
      </w:r>
      <w:r w:rsidRPr="006E1C58">
        <w:rPr>
          <w:lang w:val="fr-FR"/>
        </w:rPr>
        <w:t xml:space="preserve">OMPI, dans les actualités concernant le système de Madrid, sous le titre </w:t>
      </w:r>
      <w:r w:rsidR="0030109B" w:rsidRPr="006E1C58">
        <w:rPr>
          <w:lang w:val="fr-FR"/>
        </w:rPr>
        <w:t>“</w:t>
      </w:r>
      <w:r w:rsidRPr="006E1C58">
        <w:rPr>
          <w:lang w:val="fr-FR"/>
        </w:rPr>
        <w:t>NCL11</w:t>
      </w:r>
      <w:r w:rsidR="00C16F96">
        <w:rPr>
          <w:lang w:val="fr-FR"/>
        </w:rPr>
        <w:noBreakHyphen/>
      </w:r>
      <w:r w:rsidRPr="006E1C58">
        <w:rPr>
          <w:lang w:val="fr-FR"/>
        </w:rPr>
        <w:t xml:space="preserve">2017 – </w:t>
      </w:r>
      <w:r w:rsidR="009D2BA8" w:rsidRPr="006E1C58">
        <w:rPr>
          <w:lang w:val="fr-FR"/>
        </w:rPr>
        <w:t>P</w:t>
      </w:r>
      <w:r w:rsidRPr="006E1C58">
        <w:rPr>
          <w:lang w:val="fr-FR"/>
        </w:rPr>
        <w:t xml:space="preserve">rincipaux changements et </w:t>
      </w:r>
      <w:r w:rsidR="009D2BA8" w:rsidRPr="006E1C58">
        <w:rPr>
          <w:lang w:val="fr-FR"/>
        </w:rPr>
        <w:t>mise en conformité</w:t>
      </w:r>
      <w:r w:rsidRPr="006E1C58">
        <w:rPr>
          <w:lang w:val="fr-FR"/>
        </w:rPr>
        <w:t xml:space="preserve"> de la base de données MGS</w:t>
      </w:r>
      <w:r w:rsidR="0030109B" w:rsidRPr="006E1C58">
        <w:rPr>
          <w:lang w:val="fr-FR"/>
        </w:rPr>
        <w:t>”</w:t>
      </w:r>
      <w:r w:rsidRPr="006E1C58">
        <w:rPr>
          <w:lang w:val="fr-FR"/>
        </w:rPr>
        <w:t>.</w:t>
      </w:r>
    </w:p>
    <w:p w:rsidR="004A1A3F" w:rsidRPr="006E1C58" w:rsidRDefault="00305776" w:rsidP="002C5B74">
      <w:pPr>
        <w:pStyle w:val="Heading2"/>
        <w:rPr>
          <w:lang w:val="fr-FR"/>
        </w:rPr>
      </w:pPr>
      <w:r w:rsidRPr="006E1C58">
        <w:rPr>
          <w:lang w:val="fr-FR"/>
        </w:rPr>
        <w:t>Utilisation de la base de données MGS dans l</w:t>
      </w:r>
      <w:r w:rsidR="006E7A67" w:rsidRPr="006E1C58">
        <w:rPr>
          <w:lang w:val="fr-FR"/>
        </w:rPr>
        <w:t>’</w:t>
      </w:r>
      <w:r w:rsidRPr="006E1C58">
        <w:rPr>
          <w:lang w:val="fr-FR"/>
        </w:rPr>
        <w:t>environnement opérationnel du bureau international</w:t>
      </w:r>
    </w:p>
    <w:p w:rsidR="00305776" w:rsidRPr="006E1C58" w:rsidRDefault="00305776" w:rsidP="002C5B74">
      <w:pPr>
        <w:rPr>
          <w:lang w:val="fr-FR"/>
        </w:rPr>
      </w:pPr>
    </w:p>
    <w:p w:rsidR="006867A9" w:rsidRPr="006E1C58" w:rsidRDefault="00432FC0" w:rsidP="002C5B74">
      <w:pPr>
        <w:pStyle w:val="ONUMFS"/>
        <w:rPr>
          <w:lang w:val="fr-FR"/>
        </w:rPr>
      </w:pPr>
      <w:r w:rsidRPr="006E1C58">
        <w:rPr>
          <w:lang w:val="fr-FR"/>
        </w:rPr>
        <w:t xml:space="preserve">En </w:t>
      </w:r>
      <w:r w:rsidR="006E7A67" w:rsidRPr="006E1C58">
        <w:rPr>
          <w:lang w:val="fr-FR"/>
        </w:rPr>
        <w:t>juillet 20</w:t>
      </w:r>
      <w:r w:rsidRPr="006E1C58">
        <w:rPr>
          <w:lang w:val="fr-FR"/>
        </w:rPr>
        <w:t>16, la base de données MGS a remplacé l</w:t>
      </w:r>
      <w:r w:rsidR="006E7A67" w:rsidRPr="006E1C58">
        <w:rPr>
          <w:lang w:val="fr-FR"/>
        </w:rPr>
        <w:t>’</w:t>
      </w:r>
      <w:r w:rsidRPr="006E1C58">
        <w:rPr>
          <w:lang w:val="fr-FR"/>
        </w:rPr>
        <w:t>ancienne base de données opérationnelle sur les produits et services afin d</w:t>
      </w:r>
      <w:r w:rsidR="006E7A67" w:rsidRPr="006E1C58">
        <w:rPr>
          <w:lang w:val="fr-FR"/>
        </w:rPr>
        <w:t>’</w:t>
      </w:r>
      <w:r w:rsidRPr="006E1C58">
        <w:rPr>
          <w:lang w:val="fr-FR"/>
        </w:rPr>
        <w:t xml:space="preserve">aplanir toutes les différences entre </w:t>
      </w:r>
      <w:r w:rsidR="00827B0F" w:rsidRPr="006E1C58">
        <w:rPr>
          <w:lang w:val="fr-FR"/>
        </w:rPr>
        <w:t>l</w:t>
      </w:r>
      <w:r w:rsidR="006E7A67" w:rsidRPr="006E1C58">
        <w:rPr>
          <w:lang w:val="fr-FR"/>
        </w:rPr>
        <w:t>’</w:t>
      </w:r>
      <w:r w:rsidR="00827B0F" w:rsidRPr="006E1C58">
        <w:rPr>
          <w:lang w:val="fr-FR"/>
        </w:rPr>
        <w:t>état d</w:t>
      </w:r>
      <w:r w:rsidR="006E7A67" w:rsidRPr="006E1C58">
        <w:rPr>
          <w:lang w:val="fr-FR"/>
        </w:rPr>
        <w:t>’</w:t>
      </w:r>
      <w:r w:rsidRPr="006E1C58">
        <w:rPr>
          <w:lang w:val="fr-FR"/>
        </w:rPr>
        <w:t>acceptation</w:t>
      </w:r>
      <w:r w:rsidR="00827B0F" w:rsidRPr="006E1C58">
        <w:rPr>
          <w:lang w:val="fr-FR"/>
        </w:rPr>
        <w:t xml:space="preserve"> par le Bureau international,</w:t>
      </w:r>
      <w:r w:rsidRPr="006E1C58">
        <w:rPr>
          <w:lang w:val="fr-FR"/>
        </w:rPr>
        <w:t xml:space="preserve"> </w:t>
      </w:r>
      <w:r w:rsidR="000B1E8A" w:rsidRPr="006E1C58">
        <w:rPr>
          <w:lang w:val="fr-FR"/>
        </w:rPr>
        <w:t>apparaissant à l</w:t>
      </w:r>
      <w:r w:rsidR="006E7A67" w:rsidRPr="006E1C58">
        <w:rPr>
          <w:lang w:val="fr-FR"/>
        </w:rPr>
        <w:t>’</w:t>
      </w:r>
      <w:r w:rsidR="000B1E8A" w:rsidRPr="006E1C58">
        <w:rPr>
          <w:lang w:val="fr-FR"/>
        </w:rPr>
        <w:t xml:space="preserve">extérieur </w:t>
      </w:r>
      <w:r w:rsidR="005B2421" w:rsidRPr="006E1C58">
        <w:rPr>
          <w:lang w:val="fr-FR"/>
        </w:rPr>
        <w:t>dans</w:t>
      </w:r>
      <w:r w:rsidRPr="006E1C58">
        <w:rPr>
          <w:lang w:val="fr-FR"/>
        </w:rPr>
        <w:t xml:space="preserve"> la base de données MGS</w:t>
      </w:r>
      <w:r w:rsidR="00827B0F" w:rsidRPr="006E1C58">
        <w:rPr>
          <w:lang w:val="fr-FR"/>
        </w:rPr>
        <w:t>,</w:t>
      </w:r>
      <w:r w:rsidRPr="006E1C58">
        <w:rPr>
          <w:lang w:val="fr-FR"/>
        </w:rPr>
        <w:t xml:space="preserve"> et </w:t>
      </w:r>
      <w:r w:rsidR="00827B0F" w:rsidRPr="006E1C58">
        <w:rPr>
          <w:lang w:val="fr-FR"/>
        </w:rPr>
        <w:t>l</w:t>
      </w:r>
      <w:r w:rsidR="006E7A67" w:rsidRPr="006E1C58">
        <w:rPr>
          <w:lang w:val="fr-FR"/>
        </w:rPr>
        <w:t>’</w:t>
      </w:r>
      <w:r w:rsidR="00827B0F" w:rsidRPr="006E1C58">
        <w:rPr>
          <w:lang w:val="fr-FR"/>
        </w:rPr>
        <w:t>état d</w:t>
      </w:r>
      <w:r w:rsidR="006E7A67" w:rsidRPr="006E1C58">
        <w:rPr>
          <w:lang w:val="fr-FR"/>
        </w:rPr>
        <w:t>’</w:t>
      </w:r>
      <w:r w:rsidR="00827B0F" w:rsidRPr="006E1C58">
        <w:rPr>
          <w:lang w:val="fr-FR"/>
        </w:rPr>
        <w:t xml:space="preserve">acceptation </w:t>
      </w:r>
      <w:r w:rsidR="005B2421" w:rsidRPr="006E1C58">
        <w:rPr>
          <w:lang w:val="fr-FR"/>
        </w:rPr>
        <w:t>mis à la disposition de</w:t>
      </w:r>
      <w:r w:rsidRPr="006E1C58">
        <w:rPr>
          <w:lang w:val="fr-FR"/>
        </w:rPr>
        <w:t xml:space="preserve">s examinateurs du Bureau international </w:t>
      </w:r>
      <w:r w:rsidR="00827B0F" w:rsidRPr="006E1C58">
        <w:rPr>
          <w:lang w:val="fr-FR"/>
        </w:rPr>
        <w:t>dans l</w:t>
      </w:r>
      <w:r w:rsidR="006E7A67" w:rsidRPr="006E1C58">
        <w:rPr>
          <w:lang w:val="fr-FR"/>
        </w:rPr>
        <w:t>’</w:t>
      </w:r>
      <w:r w:rsidR="00827B0F" w:rsidRPr="006E1C58">
        <w:rPr>
          <w:lang w:val="fr-FR"/>
        </w:rPr>
        <w:t>environnement opérationnel</w:t>
      </w:r>
      <w:r w:rsidRPr="006E1C58">
        <w:rPr>
          <w:lang w:val="fr-FR"/>
        </w:rPr>
        <w:t xml:space="preserve"> interne.</w:t>
      </w:r>
    </w:p>
    <w:p w:rsidR="006E7A67" w:rsidRPr="006E1C58" w:rsidRDefault="00432FC0" w:rsidP="002C5B74">
      <w:pPr>
        <w:pStyle w:val="ONUMFS"/>
        <w:rPr>
          <w:lang w:val="fr-FR"/>
        </w:rPr>
      </w:pPr>
      <w:r w:rsidRPr="006E1C58">
        <w:rPr>
          <w:lang w:val="fr-FR"/>
        </w:rPr>
        <w:t xml:space="preserve">En </w:t>
      </w:r>
      <w:r w:rsidR="006E7A67" w:rsidRPr="006E1C58">
        <w:rPr>
          <w:lang w:val="fr-FR"/>
        </w:rPr>
        <w:t>mars 20</w:t>
      </w:r>
      <w:r w:rsidRPr="006E1C58">
        <w:rPr>
          <w:lang w:val="fr-FR"/>
        </w:rPr>
        <w:t>17, la base de données MGS contenait 90</w:t>
      </w:r>
      <w:r w:rsidR="0030109B" w:rsidRPr="006E1C58">
        <w:rPr>
          <w:lang w:val="fr-FR"/>
        </w:rPr>
        <w:t> </w:t>
      </w:r>
      <w:r w:rsidRPr="006E1C58">
        <w:rPr>
          <w:lang w:val="fr-FR"/>
        </w:rPr>
        <w:t>900</w:t>
      </w:r>
      <w:r w:rsidR="00802A61">
        <w:rPr>
          <w:lang w:val="fr-FR"/>
        </w:rPr>
        <w:t> </w:t>
      </w:r>
      <w:r w:rsidRPr="006E1C58">
        <w:rPr>
          <w:lang w:val="fr-FR"/>
        </w:rPr>
        <w:t>termes</w:t>
      </w:r>
      <w:r w:rsidR="00827B0F" w:rsidRPr="006E1C58">
        <w:rPr>
          <w:lang w:val="fr-FR"/>
        </w:rPr>
        <w:t xml:space="preserve"> en</w:t>
      </w:r>
      <w:r w:rsidRPr="006E1C58">
        <w:rPr>
          <w:lang w:val="fr-FR"/>
        </w:rPr>
        <w:t xml:space="preserve"> anglais acceptés par le Bureau international et </w:t>
      </w:r>
      <w:r w:rsidR="000B1E8A" w:rsidRPr="006E1C58">
        <w:rPr>
          <w:lang w:val="fr-FR"/>
        </w:rPr>
        <w:t>apparaissant comme tels</w:t>
      </w:r>
      <w:r w:rsidRPr="006E1C58">
        <w:rPr>
          <w:lang w:val="fr-FR"/>
        </w:rPr>
        <w:t xml:space="preserve"> </w:t>
      </w:r>
      <w:r w:rsidR="000B1E8A" w:rsidRPr="006E1C58">
        <w:rPr>
          <w:lang w:val="fr-FR"/>
        </w:rPr>
        <w:t>aussi bien à</w:t>
      </w:r>
      <w:r w:rsidR="00827B0F" w:rsidRPr="006E1C58">
        <w:rPr>
          <w:lang w:val="fr-FR"/>
        </w:rPr>
        <w:t xml:space="preserve"> l</w:t>
      </w:r>
      <w:r w:rsidR="006E7A67" w:rsidRPr="006E1C58">
        <w:rPr>
          <w:lang w:val="fr-FR"/>
        </w:rPr>
        <w:t>’</w:t>
      </w:r>
      <w:r w:rsidR="00827B0F" w:rsidRPr="006E1C58">
        <w:rPr>
          <w:lang w:val="fr-FR"/>
        </w:rPr>
        <w:t>extérieur, au moyen de</w:t>
      </w:r>
      <w:r w:rsidRPr="006E1C58">
        <w:rPr>
          <w:lang w:val="fr-FR"/>
        </w:rPr>
        <w:t xml:space="preserve"> la base de données MGS</w:t>
      </w:r>
      <w:r w:rsidR="00827B0F" w:rsidRPr="006E1C58">
        <w:rPr>
          <w:lang w:val="fr-FR"/>
        </w:rPr>
        <w:t>,</w:t>
      </w:r>
      <w:r w:rsidRPr="006E1C58">
        <w:rPr>
          <w:lang w:val="fr-FR"/>
        </w:rPr>
        <w:t xml:space="preserve"> </w:t>
      </w:r>
      <w:r w:rsidR="005B2421" w:rsidRPr="006E1C58">
        <w:rPr>
          <w:lang w:val="fr-FR"/>
        </w:rPr>
        <w:t>que</w:t>
      </w:r>
      <w:r w:rsidRPr="006E1C58">
        <w:rPr>
          <w:lang w:val="fr-FR"/>
        </w:rPr>
        <w:t xml:space="preserve"> </w:t>
      </w:r>
      <w:r w:rsidR="00827B0F" w:rsidRPr="006E1C58">
        <w:rPr>
          <w:lang w:val="fr-FR"/>
        </w:rPr>
        <w:t>dans l</w:t>
      </w:r>
      <w:r w:rsidR="006E7A67" w:rsidRPr="006E1C58">
        <w:rPr>
          <w:lang w:val="fr-FR"/>
        </w:rPr>
        <w:t>’</w:t>
      </w:r>
      <w:r w:rsidR="00827B0F" w:rsidRPr="006E1C58">
        <w:rPr>
          <w:lang w:val="fr-FR"/>
        </w:rPr>
        <w:t xml:space="preserve">environnement opérationnel </w:t>
      </w:r>
      <w:r w:rsidRPr="006E1C58">
        <w:rPr>
          <w:lang w:val="fr-FR"/>
        </w:rPr>
        <w:t>interne.</w:t>
      </w:r>
    </w:p>
    <w:p w:rsidR="004A1A3F" w:rsidRPr="006E1C58" w:rsidRDefault="0023454B" w:rsidP="002C5B74">
      <w:pPr>
        <w:pStyle w:val="ONUMFS"/>
        <w:rPr>
          <w:lang w:val="fr-FR"/>
        </w:rPr>
      </w:pPr>
      <w:r w:rsidRPr="006E1C58">
        <w:rPr>
          <w:lang w:val="fr-FR"/>
        </w:rPr>
        <w:t>Les 90</w:t>
      </w:r>
      <w:r w:rsidR="0030109B" w:rsidRPr="006E1C58">
        <w:rPr>
          <w:lang w:val="fr-FR"/>
        </w:rPr>
        <w:t> </w:t>
      </w:r>
      <w:r w:rsidRPr="006E1C58">
        <w:rPr>
          <w:lang w:val="fr-FR"/>
        </w:rPr>
        <w:t>900</w:t>
      </w:r>
      <w:r w:rsidR="00802A61">
        <w:rPr>
          <w:lang w:val="fr-FR"/>
        </w:rPr>
        <w:t> </w:t>
      </w:r>
      <w:r w:rsidRPr="006E1C58">
        <w:rPr>
          <w:lang w:val="fr-FR"/>
        </w:rPr>
        <w:t>termes en anglais comprennent, dans une première partie, 61</w:t>
      </w:r>
      <w:r w:rsidR="00C16F96">
        <w:rPr>
          <w:lang w:val="fr-FR"/>
        </w:rPr>
        <w:t> </w:t>
      </w:r>
      <w:r w:rsidRPr="006E1C58">
        <w:rPr>
          <w:lang w:val="fr-FR"/>
        </w:rPr>
        <w:t>300</w:t>
      </w:r>
      <w:r w:rsidR="00C16F96">
        <w:rPr>
          <w:lang w:val="fr-FR"/>
        </w:rPr>
        <w:t> </w:t>
      </w:r>
      <w:r w:rsidRPr="006E1C58">
        <w:rPr>
          <w:lang w:val="fr-FR"/>
        </w:rPr>
        <w:t xml:space="preserve">termes </w:t>
      </w:r>
      <w:r w:rsidR="00827B0F" w:rsidRPr="006E1C58">
        <w:rPr>
          <w:lang w:val="fr-FR"/>
        </w:rPr>
        <w:t xml:space="preserve">qui </w:t>
      </w:r>
      <w:r w:rsidR="005B2421" w:rsidRPr="006E1C58">
        <w:rPr>
          <w:lang w:val="fr-FR"/>
        </w:rPr>
        <w:t>sont proposés pour</w:t>
      </w:r>
      <w:r w:rsidR="008B2730" w:rsidRPr="006E1C58">
        <w:rPr>
          <w:lang w:val="fr-FR"/>
        </w:rPr>
        <w:t xml:space="preserve"> pouvoir</w:t>
      </w:r>
      <w:r w:rsidR="005B2421" w:rsidRPr="006E1C58">
        <w:rPr>
          <w:lang w:val="fr-FR"/>
        </w:rPr>
        <w:t xml:space="preserve"> être</w:t>
      </w:r>
      <w:r w:rsidR="00827B0F" w:rsidRPr="006E1C58">
        <w:rPr>
          <w:lang w:val="fr-FR"/>
        </w:rPr>
        <w:t xml:space="preserve"> sélectionnés dans la base de données MGS </w:t>
      </w:r>
      <w:r w:rsidRPr="006E1C58">
        <w:rPr>
          <w:lang w:val="fr-FR"/>
        </w:rPr>
        <w:t xml:space="preserve">(résultats des fonctions “Parcourir” et “Rechercher”) </w:t>
      </w:r>
      <w:r w:rsidR="00827B0F" w:rsidRPr="006E1C58">
        <w:rPr>
          <w:lang w:val="fr-FR"/>
        </w:rPr>
        <w:t xml:space="preserve">par </w:t>
      </w:r>
      <w:r w:rsidR="008B2730" w:rsidRPr="006E1C58">
        <w:rPr>
          <w:lang w:val="fr-FR"/>
        </w:rPr>
        <w:t>l</w:t>
      </w:r>
      <w:r w:rsidR="00827B0F" w:rsidRPr="006E1C58">
        <w:rPr>
          <w:lang w:val="fr-FR"/>
        </w:rPr>
        <w:t>es déposants de demandes d</w:t>
      </w:r>
      <w:r w:rsidR="006E7A67" w:rsidRPr="006E1C58">
        <w:rPr>
          <w:lang w:val="fr-FR"/>
        </w:rPr>
        <w:t>’</w:t>
      </w:r>
      <w:r w:rsidR="00827B0F" w:rsidRPr="006E1C58">
        <w:rPr>
          <w:lang w:val="fr-FR"/>
        </w:rPr>
        <w:t>enregistrement de marques souhaitant compiler des liste</w:t>
      </w:r>
      <w:r w:rsidR="008B2730" w:rsidRPr="006E1C58">
        <w:rPr>
          <w:lang w:val="fr-FR"/>
        </w:rPr>
        <w:t>s</w:t>
      </w:r>
      <w:r w:rsidR="00827B0F" w:rsidRPr="006E1C58">
        <w:rPr>
          <w:lang w:val="fr-FR"/>
        </w:rPr>
        <w:t xml:space="preserve"> de produits </w:t>
      </w:r>
      <w:r w:rsidR="006E71BF" w:rsidRPr="006E1C58">
        <w:rPr>
          <w:lang w:val="fr-FR"/>
        </w:rPr>
        <w:t>et</w:t>
      </w:r>
      <w:r w:rsidR="008B2730" w:rsidRPr="006E1C58">
        <w:rPr>
          <w:lang w:val="fr-FR"/>
        </w:rPr>
        <w:t xml:space="preserve"> de</w:t>
      </w:r>
      <w:r w:rsidR="006E71BF" w:rsidRPr="006E1C58">
        <w:rPr>
          <w:lang w:val="fr-FR"/>
        </w:rPr>
        <w:t xml:space="preserve"> services aux fins de dépôt et, dans une deuxième partie, 29 </w:t>
      </w:r>
      <w:r w:rsidRPr="006E1C58">
        <w:rPr>
          <w:lang w:val="fr-FR"/>
        </w:rPr>
        <w:t>600</w:t>
      </w:r>
      <w:r w:rsidR="00802A61">
        <w:rPr>
          <w:lang w:val="fr-FR"/>
        </w:rPr>
        <w:t> </w:t>
      </w:r>
      <w:r w:rsidRPr="006E1C58">
        <w:rPr>
          <w:lang w:val="fr-FR"/>
        </w:rPr>
        <w:t xml:space="preserve">termes qui ne </w:t>
      </w:r>
      <w:r w:rsidR="005B2421" w:rsidRPr="006E1C58">
        <w:rPr>
          <w:lang w:val="fr-FR"/>
        </w:rPr>
        <w:t xml:space="preserve">sont </w:t>
      </w:r>
      <w:r w:rsidRPr="006E1C58">
        <w:rPr>
          <w:lang w:val="fr-FR"/>
        </w:rPr>
        <w:t>pas</w:t>
      </w:r>
      <w:r w:rsidR="005B2421" w:rsidRPr="006E1C58">
        <w:rPr>
          <w:lang w:val="fr-FR"/>
        </w:rPr>
        <w:t xml:space="preserve"> proposés pour</w:t>
      </w:r>
      <w:r w:rsidRPr="006E1C58">
        <w:rPr>
          <w:lang w:val="fr-FR"/>
        </w:rPr>
        <w:t xml:space="preserve"> </w:t>
      </w:r>
      <w:r w:rsidR="008B2730" w:rsidRPr="006E1C58">
        <w:rPr>
          <w:lang w:val="fr-FR"/>
        </w:rPr>
        <w:t xml:space="preserve">pouvoir </w:t>
      </w:r>
      <w:r w:rsidRPr="006E1C58">
        <w:rPr>
          <w:lang w:val="fr-FR"/>
        </w:rPr>
        <w:t xml:space="preserve">être sélectionnés mais qui </w:t>
      </w:r>
      <w:r w:rsidR="008B2730" w:rsidRPr="006E1C58">
        <w:rPr>
          <w:lang w:val="fr-FR"/>
        </w:rPr>
        <w:t>apparaissent comme étant acceptables</w:t>
      </w:r>
      <w:r w:rsidRPr="006E1C58">
        <w:rPr>
          <w:lang w:val="fr-FR"/>
        </w:rPr>
        <w:t xml:space="preserve"> p</w:t>
      </w:r>
      <w:r w:rsidR="008B2730" w:rsidRPr="006E1C58">
        <w:rPr>
          <w:lang w:val="fr-FR"/>
        </w:rPr>
        <w:t>a</w:t>
      </w:r>
      <w:r w:rsidRPr="006E1C58">
        <w:rPr>
          <w:lang w:val="fr-FR"/>
        </w:rPr>
        <w:t>r le Bureau international</w:t>
      </w:r>
      <w:r w:rsidR="008B2730" w:rsidRPr="006E1C58">
        <w:rPr>
          <w:lang w:val="fr-FR"/>
        </w:rPr>
        <w:t xml:space="preserve"> dans </w:t>
      </w:r>
      <w:r w:rsidRPr="006E1C58">
        <w:rPr>
          <w:lang w:val="fr-FR"/>
        </w:rPr>
        <w:t>la fonction “Vérifier acceptation par l</w:t>
      </w:r>
      <w:r w:rsidR="006E7A67" w:rsidRPr="006E1C58">
        <w:rPr>
          <w:lang w:val="fr-FR"/>
        </w:rPr>
        <w:t>’</w:t>
      </w:r>
      <w:r w:rsidRPr="006E1C58">
        <w:rPr>
          <w:lang w:val="fr-FR"/>
        </w:rPr>
        <w:t xml:space="preserve">OMPI”, </w:t>
      </w:r>
      <w:r w:rsidR="005B2421" w:rsidRPr="006E1C58">
        <w:rPr>
          <w:lang w:val="fr-FR"/>
        </w:rPr>
        <w:t>afin</w:t>
      </w:r>
      <w:r w:rsidRPr="006E1C58">
        <w:rPr>
          <w:lang w:val="fr-FR"/>
        </w:rPr>
        <w:t xml:space="preserve"> de </w:t>
      </w:r>
      <w:r w:rsidR="000B1E8A" w:rsidRPr="006E1C58">
        <w:rPr>
          <w:lang w:val="fr-FR"/>
        </w:rPr>
        <w:t>refléter</w:t>
      </w:r>
      <w:r w:rsidRPr="006E1C58">
        <w:rPr>
          <w:lang w:val="fr-FR"/>
        </w:rPr>
        <w:t xml:space="preserve"> exactement</w:t>
      </w:r>
      <w:r w:rsidR="008B2730" w:rsidRPr="006E1C58">
        <w:rPr>
          <w:lang w:val="fr-FR"/>
        </w:rPr>
        <w:t xml:space="preserve"> </w:t>
      </w:r>
      <w:r w:rsidRPr="006E1C58">
        <w:rPr>
          <w:lang w:val="fr-FR"/>
        </w:rPr>
        <w:t>la pratique en matière d</w:t>
      </w:r>
      <w:r w:rsidR="006E7A67" w:rsidRPr="006E1C58">
        <w:rPr>
          <w:lang w:val="fr-FR"/>
        </w:rPr>
        <w:t>’</w:t>
      </w:r>
      <w:r w:rsidRPr="006E1C58">
        <w:rPr>
          <w:lang w:val="fr-FR"/>
        </w:rPr>
        <w:t>examen</w:t>
      </w:r>
      <w:r w:rsidR="006E71BF" w:rsidRPr="006E1C58">
        <w:rPr>
          <w:lang w:val="fr-FR"/>
        </w:rPr>
        <w:t xml:space="preserve"> opérationnel</w:t>
      </w:r>
      <w:r w:rsidRPr="006E1C58">
        <w:rPr>
          <w:lang w:val="fr-FR"/>
        </w:rPr>
        <w:t xml:space="preserve"> </w:t>
      </w:r>
      <w:r w:rsidR="006E71BF" w:rsidRPr="006E1C58">
        <w:rPr>
          <w:lang w:val="fr-FR"/>
        </w:rPr>
        <w:t>suivie</w:t>
      </w:r>
      <w:r w:rsidRPr="006E1C58">
        <w:rPr>
          <w:lang w:val="fr-FR"/>
        </w:rPr>
        <w:t xml:space="preserve"> par les examinateurs de l</w:t>
      </w:r>
      <w:r w:rsidR="006E7A67" w:rsidRPr="006E1C58">
        <w:rPr>
          <w:lang w:val="fr-FR"/>
        </w:rPr>
        <w:t>’</w:t>
      </w:r>
      <w:r w:rsidRPr="006E1C58">
        <w:rPr>
          <w:lang w:val="fr-FR"/>
        </w:rPr>
        <w:t>OMPI.</w:t>
      </w:r>
    </w:p>
    <w:p w:rsidR="004A1A3F" w:rsidRPr="006E1C58" w:rsidRDefault="007802BE" w:rsidP="002C5B74">
      <w:pPr>
        <w:pStyle w:val="ONUMFS"/>
        <w:rPr>
          <w:szCs w:val="22"/>
          <w:lang w:val="fr-FR"/>
        </w:rPr>
      </w:pPr>
      <w:r w:rsidRPr="006E1C58">
        <w:rPr>
          <w:lang w:val="fr-FR"/>
        </w:rPr>
        <w:t xml:space="preserve">Les termes qui </w:t>
      </w:r>
      <w:r w:rsidR="005B2421" w:rsidRPr="006E1C58">
        <w:rPr>
          <w:lang w:val="fr-FR"/>
        </w:rPr>
        <w:t xml:space="preserve">ne sont pas proposés pour </w:t>
      </w:r>
      <w:r w:rsidR="000B1E8A" w:rsidRPr="006E1C58">
        <w:rPr>
          <w:lang w:val="fr-FR"/>
        </w:rPr>
        <w:t xml:space="preserve">pouvoir </w:t>
      </w:r>
      <w:r w:rsidR="005B2421" w:rsidRPr="006E1C58">
        <w:rPr>
          <w:lang w:val="fr-FR"/>
        </w:rPr>
        <w:t xml:space="preserve">être </w:t>
      </w:r>
      <w:r w:rsidR="006E71BF" w:rsidRPr="006E1C58">
        <w:rPr>
          <w:lang w:val="fr-FR"/>
        </w:rPr>
        <w:t xml:space="preserve">sélectionnés </w:t>
      </w:r>
      <w:r w:rsidRPr="006E1C58">
        <w:rPr>
          <w:lang w:val="fr-FR"/>
        </w:rPr>
        <w:t xml:space="preserve">dans la base de données MGS mais qui sont acceptés du point de vue des opérations </w:t>
      </w:r>
      <w:r w:rsidR="006E71BF" w:rsidRPr="006E1C58">
        <w:rPr>
          <w:lang w:val="fr-FR"/>
        </w:rPr>
        <w:t>dans le cadre d</w:t>
      </w:r>
      <w:r w:rsidR="006E7A67" w:rsidRPr="006E1C58">
        <w:rPr>
          <w:lang w:val="fr-FR"/>
        </w:rPr>
        <w:t>’</w:t>
      </w:r>
      <w:r w:rsidRPr="006E1C58">
        <w:rPr>
          <w:lang w:val="fr-FR"/>
        </w:rPr>
        <w:t>une demande internationale peuvent être acceptés dans plusieurs c</w:t>
      </w:r>
      <w:r w:rsidR="006E71BF" w:rsidRPr="006E1C58">
        <w:rPr>
          <w:lang w:val="fr-FR"/>
        </w:rPr>
        <w:t>l</w:t>
      </w:r>
      <w:r w:rsidRPr="006E1C58">
        <w:rPr>
          <w:lang w:val="fr-FR"/>
        </w:rPr>
        <w:t>a</w:t>
      </w:r>
      <w:r w:rsidR="006E71BF" w:rsidRPr="006E1C58">
        <w:rPr>
          <w:lang w:val="fr-FR"/>
        </w:rPr>
        <w:t>s</w:t>
      </w:r>
      <w:r w:rsidRPr="006E1C58">
        <w:rPr>
          <w:lang w:val="fr-FR"/>
        </w:rPr>
        <w:t>s</w:t>
      </w:r>
      <w:r w:rsidR="006E71BF" w:rsidRPr="006E1C58">
        <w:rPr>
          <w:lang w:val="fr-FR"/>
        </w:rPr>
        <w:t>es</w:t>
      </w:r>
      <w:r w:rsidRPr="006E1C58">
        <w:rPr>
          <w:lang w:val="fr-FR"/>
        </w:rPr>
        <w:t xml:space="preserve"> compte tenu de la souplesse quant à l</w:t>
      </w:r>
      <w:r w:rsidR="006E7A67" w:rsidRPr="006E1C58">
        <w:rPr>
          <w:lang w:val="fr-FR"/>
        </w:rPr>
        <w:t>’</w:t>
      </w:r>
      <w:r w:rsidRPr="006E1C58">
        <w:rPr>
          <w:lang w:val="fr-FR"/>
        </w:rPr>
        <w:t xml:space="preserve">examen décrite dans les </w:t>
      </w:r>
      <w:r w:rsidR="0030109B" w:rsidRPr="006E1C58">
        <w:rPr>
          <w:lang w:val="fr-FR"/>
        </w:rPr>
        <w:t>“</w:t>
      </w:r>
      <w:r w:rsidRPr="006E1C58">
        <w:rPr>
          <w:lang w:val="fr-FR"/>
        </w:rPr>
        <w:t>Directives d</w:t>
      </w:r>
      <w:r w:rsidR="006E7A67" w:rsidRPr="006E1C58">
        <w:rPr>
          <w:lang w:val="fr-FR"/>
        </w:rPr>
        <w:t>’</w:t>
      </w:r>
      <w:r w:rsidRPr="006E1C58">
        <w:rPr>
          <w:lang w:val="fr-FR"/>
        </w:rPr>
        <w:t>examen concernant le classement des produits et des services dans les demandes internationales</w:t>
      </w:r>
      <w:r w:rsidR="0030109B" w:rsidRPr="006E1C58">
        <w:rPr>
          <w:lang w:val="fr-FR"/>
        </w:rPr>
        <w:t>”.</w:t>
      </w:r>
      <w:r w:rsidR="00AC5390" w:rsidRPr="006E1C58">
        <w:rPr>
          <w:lang w:val="fr-FR"/>
        </w:rPr>
        <w:t xml:space="preserve"> </w:t>
      </w:r>
      <w:r w:rsidR="00346A6E" w:rsidRPr="006E1C58">
        <w:rPr>
          <w:lang w:val="fr-FR"/>
        </w:rPr>
        <w:t xml:space="preserve"> </w:t>
      </w:r>
      <w:r w:rsidRPr="006E1C58">
        <w:rPr>
          <w:lang w:val="fr-FR"/>
        </w:rPr>
        <w:t xml:space="preserve">Par exemple, les </w:t>
      </w:r>
      <w:r w:rsidR="0030109B" w:rsidRPr="006E1C58">
        <w:rPr>
          <w:lang w:val="fr-FR"/>
        </w:rPr>
        <w:t>“</w:t>
      </w:r>
      <w:r w:rsidRPr="006E1C58">
        <w:rPr>
          <w:lang w:val="fr-FR"/>
        </w:rPr>
        <w:t>étiquettes</w:t>
      </w:r>
      <w:r w:rsidR="0030109B" w:rsidRPr="006E1C58">
        <w:rPr>
          <w:lang w:val="fr-FR"/>
        </w:rPr>
        <w:t>”</w:t>
      </w:r>
      <w:r w:rsidRPr="006E1C58">
        <w:rPr>
          <w:lang w:val="fr-FR"/>
        </w:rPr>
        <w:t xml:space="preserve"> seront acceptées par le Bureau international dans cinq</w:t>
      </w:r>
      <w:r w:rsidR="0030109B" w:rsidRPr="006E1C58">
        <w:rPr>
          <w:lang w:val="fr-FR"/>
        </w:rPr>
        <w:t> </w:t>
      </w:r>
      <w:r w:rsidRPr="006E1C58">
        <w:rPr>
          <w:lang w:val="fr-FR"/>
        </w:rPr>
        <w:t>classes différentes de la version</w:t>
      </w:r>
      <w:r w:rsidR="00802A61">
        <w:rPr>
          <w:lang w:val="fr-FR"/>
        </w:rPr>
        <w:t> </w:t>
      </w:r>
      <w:r w:rsidRPr="006E1C58">
        <w:rPr>
          <w:lang w:val="fr-FR"/>
        </w:rPr>
        <w:t>11</w:t>
      </w:r>
      <w:r w:rsidR="00C16F96">
        <w:rPr>
          <w:lang w:val="fr-FR"/>
        </w:rPr>
        <w:noBreakHyphen/>
      </w:r>
      <w:r w:rsidRPr="006E1C58">
        <w:rPr>
          <w:lang w:val="fr-FR"/>
        </w:rPr>
        <w:t xml:space="preserve">2017 de la classification de Nice, </w:t>
      </w:r>
      <w:r w:rsidR="006E7A67" w:rsidRPr="006E1C58">
        <w:rPr>
          <w:lang w:val="fr-FR"/>
        </w:rPr>
        <w:t>à savoir</w:t>
      </w:r>
      <w:r w:rsidRPr="006E1C58">
        <w:rPr>
          <w:lang w:val="fr-FR"/>
        </w:rPr>
        <w:t xml:space="preserve"> les </w:t>
      </w:r>
      <w:r w:rsidR="006E7A67" w:rsidRPr="006E1C58">
        <w:rPr>
          <w:lang w:val="fr-FR"/>
        </w:rPr>
        <w:t>classes 0</w:t>
      </w:r>
      <w:r w:rsidR="00C16F96">
        <w:rPr>
          <w:lang w:val="fr-FR"/>
        </w:rPr>
        <w:t>6, 16, 18, 20 et </w:t>
      </w:r>
      <w:r w:rsidRPr="006E1C58">
        <w:rPr>
          <w:lang w:val="fr-FR"/>
        </w:rPr>
        <w:t xml:space="preserve">24, du fait que la classe donne des précisions supplémentaires et que les étiquettes sont répertoriées, sous </w:t>
      </w:r>
      <w:r w:rsidR="006E71BF" w:rsidRPr="006E1C58">
        <w:rPr>
          <w:lang w:val="fr-FR"/>
        </w:rPr>
        <w:t>des</w:t>
      </w:r>
      <w:r w:rsidRPr="006E1C58">
        <w:rPr>
          <w:lang w:val="fr-FR"/>
        </w:rPr>
        <w:t xml:space="preserve"> appellations</w:t>
      </w:r>
      <w:r w:rsidR="006E71BF" w:rsidRPr="006E1C58">
        <w:rPr>
          <w:lang w:val="fr-FR"/>
        </w:rPr>
        <w:t xml:space="preserve"> précises</w:t>
      </w:r>
      <w:r w:rsidRPr="006E1C58">
        <w:rPr>
          <w:lang w:val="fr-FR"/>
        </w:rPr>
        <w:t>, dans cinq</w:t>
      </w:r>
      <w:r w:rsidR="0030109B" w:rsidRPr="006E1C58">
        <w:rPr>
          <w:lang w:val="fr-FR"/>
        </w:rPr>
        <w:t> </w:t>
      </w:r>
      <w:r w:rsidRPr="006E1C58">
        <w:rPr>
          <w:lang w:val="fr-FR"/>
        </w:rPr>
        <w:t>classes différentes de la liste alphabétique de la classification de Nice (060465</w:t>
      </w:r>
      <w:r w:rsidR="006E7A67" w:rsidRPr="006E1C58">
        <w:rPr>
          <w:lang w:val="fr-FR"/>
        </w:rPr>
        <w:t xml:space="preserve"> – </w:t>
      </w:r>
      <w:r w:rsidRPr="006E1C58">
        <w:rPr>
          <w:lang w:val="fr-FR"/>
        </w:rPr>
        <w:t xml:space="preserve">étiquettes métalliques; </w:t>
      </w:r>
      <w:r w:rsidR="0030109B" w:rsidRPr="006E1C58">
        <w:rPr>
          <w:lang w:val="fr-FR"/>
        </w:rPr>
        <w:t xml:space="preserve"> </w:t>
      </w:r>
      <w:r w:rsidRPr="006E1C58">
        <w:rPr>
          <w:lang w:val="fr-FR"/>
        </w:rPr>
        <w:t>160308</w:t>
      </w:r>
      <w:r w:rsidR="006E7A67" w:rsidRPr="006E1C58">
        <w:rPr>
          <w:lang w:val="fr-FR"/>
        </w:rPr>
        <w:t xml:space="preserve"> – </w:t>
      </w:r>
      <w:r w:rsidRPr="006E1C58">
        <w:rPr>
          <w:lang w:val="fr-FR"/>
        </w:rPr>
        <w:t>étiquettes en papier ou en carton;</w:t>
      </w:r>
      <w:r w:rsidR="0030109B" w:rsidRPr="006E1C58">
        <w:rPr>
          <w:lang w:val="fr-FR"/>
        </w:rPr>
        <w:t xml:space="preserve"> </w:t>
      </w:r>
      <w:r w:rsidRPr="006E1C58">
        <w:rPr>
          <w:lang w:val="fr-FR"/>
        </w:rPr>
        <w:t xml:space="preserve"> 180130</w:t>
      </w:r>
      <w:r w:rsidR="006E7A67" w:rsidRPr="006E1C58">
        <w:rPr>
          <w:lang w:val="fr-FR"/>
        </w:rPr>
        <w:t xml:space="preserve"> – </w:t>
      </w:r>
      <w:r w:rsidRPr="006E1C58">
        <w:rPr>
          <w:lang w:val="fr-FR"/>
        </w:rPr>
        <w:t>étiquettes en cuir;  200307</w:t>
      </w:r>
      <w:r w:rsidR="006E7A67" w:rsidRPr="006E1C58">
        <w:rPr>
          <w:lang w:val="fr-FR"/>
        </w:rPr>
        <w:t xml:space="preserve"> – </w:t>
      </w:r>
      <w:r w:rsidRPr="006E1C58">
        <w:rPr>
          <w:lang w:val="fr-FR"/>
        </w:rPr>
        <w:t>étiquettes en matières plastiques et 240102</w:t>
      </w:r>
      <w:r w:rsidR="006E7A67" w:rsidRPr="006E1C58">
        <w:rPr>
          <w:lang w:val="fr-FR"/>
        </w:rPr>
        <w:t xml:space="preserve"> – </w:t>
      </w:r>
      <w:r w:rsidRPr="006E1C58">
        <w:rPr>
          <w:lang w:val="fr-FR"/>
        </w:rPr>
        <w:t>étiquettes en matières textiles).</w:t>
      </w:r>
    </w:p>
    <w:p w:rsidR="004A1A3F" w:rsidRPr="006E1C58" w:rsidRDefault="007802BE" w:rsidP="002C5B74">
      <w:pPr>
        <w:pStyle w:val="Heading2"/>
        <w:rPr>
          <w:lang w:val="fr-FR"/>
        </w:rPr>
      </w:pPr>
      <w:r w:rsidRPr="006E1C58">
        <w:rPr>
          <w:lang w:val="fr-FR"/>
        </w:rPr>
        <w:t>Coopération</w:t>
      </w:r>
    </w:p>
    <w:p w:rsidR="00305776" w:rsidRPr="006E1C58" w:rsidRDefault="00305776" w:rsidP="002C5B74">
      <w:pPr>
        <w:rPr>
          <w:lang w:val="fr-FR"/>
        </w:rPr>
      </w:pPr>
    </w:p>
    <w:p w:rsidR="004A1A3F" w:rsidRPr="006E1C58" w:rsidRDefault="006E71BF" w:rsidP="002C5B74">
      <w:pPr>
        <w:pStyle w:val="ONUMFS"/>
        <w:rPr>
          <w:szCs w:val="22"/>
          <w:lang w:val="fr-FR"/>
        </w:rPr>
      </w:pPr>
      <w:r w:rsidRPr="006E1C58">
        <w:rPr>
          <w:szCs w:val="22"/>
          <w:lang w:val="fr-FR"/>
        </w:rPr>
        <w:t>L</w:t>
      </w:r>
      <w:r w:rsidR="006E7A67" w:rsidRPr="006E1C58">
        <w:rPr>
          <w:szCs w:val="22"/>
          <w:lang w:val="fr-FR"/>
        </w:rPr>
        <w:t>’</w:t>
      </w:r>
      <w:r w:rsidRPr="006E1C58">
        <w:rPr>
          <w:szCs w:val="22"/>
          <w:lang w:val="fr-FR"/>
        </w:rPr>
        <w:t>OMPI collabore avec plusieurs offices nationaux et régionaux de propriété intellectuelle qui partagent des informations sur leur acceptation des descriptions des produits et services présents dans la base de données MGS.</w:t>
      </w:r>
    </w:p>
    <w:p w:rsidR="004A1A3F" w:rsidRPr="006E1C58" w:rsidRDefault="00EB366F" w:rsidP="002C5B74">
      <w:pPr>
        <w:pStyle w:val="ONUMFS"/>
        <w:rPr>
          <w:szCs w:val="22"/>
          <w:lang w:val="fr-FR"/>
        </w:rPr>
      </w:pPr>
      <w:r w:rsidRPr="006E1C58">
        <w:rPr>
          <w:szCs w:val="22"/>
          <w:lang w:val="fr-FR"/>
        </w:rPr>
        <w:t>Les données relatives à l</w:t>
      </w:r>
      <w:r w:rsidR="006E7A67" w:rsidRPr="006E1C58">
        <w:rPr>
          <w:szCs w:val="22"/>
          <w:lang w:val="fr-FR"/>
        </w:rPr>
        <w:t>’</w:t>
      </w:r>
      <w:r w:rsidRPr="006E1C58">
        <w:rPr>
          <w:szCs w:val="22"/>
          <w:lang w:val="fr-FR"/>
        </w:rPr>
        <w:t>acceptation fo</w:t>
      </w:r>
      <w:r w:rsidR="00900C9D">
        <w:rPr>
          <w:szCs w:val="22"/>
          <w:lang w:val="fr-FR"/>
        </w:rPr>
        <w:t>urnies par les pays participant</w:t>
      </w:r>
      <w:r w:rsidRPr="006E1C58">
        <w:rPr>
          <w:szCs w:val="22"/>
          <w:lang w:val="fr-FR"/>
        </w:rPr>
        <w:t xml:space="preserve"> à la base de données MGS sont utilisées dans la fonction exclusive de l</w:t>
      </w:r>
      <w:r w:rsidR="006E7A67" w:rsidRPr="006E1C58">
        <w:rPr>
          <w:szCs w:val="22"/>
          <w:lang w:val="fr-FR"/>
        </w:rPr>
        <w:t>’</w:t>
      </w:r>
      <w:r w:rsidRPr="006E1C58">
        <w:rPr>
          <w:szCs w:val="22"/>
          <w:lang w:val="fr-FR"/>
        </w:rPr>
        <w:t>OMPI intitulée “Vérifier acceptation par partie contractante désignée”.</w:t>
      </w:r>
      <w:r w:rsidR="00AC5390" w:rsidRPr="006E1C58">
        <w:rPr>
          <w:szCs w:val="22"/>
          <w:lang w:val="fr-FR"/>
        </w:rPr>
        <w:t xml:space="preserve">  </w:t>
      </w:r>
      <w:r w:rsidRPr="006E1C58">
        <w:rPr>
          <w:szCs w:val="22"/>
          <w:lang w:val="fr-FR"/>
        </w:rPr>
        <w:t>Cette fonction permet aux déposants de savoir non seulement qu</w:t>
      </w:r>
      <w:r w:rsidR="006E7A67" w:rsidRPr="006E1C58">
        <w:rPr>
          <w:szCs w:val="22"/>
          <w:lang w:val="fr-FR"/>
        </w:rPr>
        <w:t>’</w:t>
      </w:r>
      <w:r w:rsidRPr="006E1C58">
        <w:rPr>
          <w:szCs w:val="22"/>
          <w:lang w:val="fr-FR"/>
        </w:rPr>
        <w:t>un terme accepté par le Bureau international sera accepté dans une partie contractante désignée mais, ce qui est plus important, que certains termes peuvent être rejetés par certaines parties contractantes et donc entraîner un refus provisoire de leur part.</w:t>
      </w:r>
    </w:p>
    <w:p w:rsidR="004A1A3F" w:rsidRPr="006E1C58" w:rsidRDefault="00EB366F" w:rsidP="002C5B74">
      <w:pPr>
        <w:pStyle w:val="ONUMFS"/>
        <w:rPr>
          <w:lang w:val="fr-FR"/>
        </w:rPr>
      </w:pPr>
      <w:r w:rsidRPr="006E1C58">
        <w:rPr>
          <w:szCs w:val="22"/>
          <w:lang w:val="fr-FR"/>
        </w:rPr>
        <w:t>Compte tenu de la couverture mondiale du système de Madrid, et bien que l</w:t>
      </w:r>
      <w:r w:rsidR="006E7A67" w:rsidRPr="006E1C58">
        <w:rPr>
          <w:szCs w:val="22"/>
          <w:lang w:val="fr-FR"/>
        </w:rPr>
        <w:t>’</w:t>
      </w:r>
      <w:r w:rsidRPr="006E1C58">
        <w:rPr>
          <w:szCs w:val="22"/>
          <w:lang w:val="fr-FR"/>
        </w:rPr>
        <w:t>utilisation accrue de la base de données MGS soit censée faciliter, à terme, l</w:t>
      </w:r>
      <w:r w:rsidR="006E7A67" w:rsidRPr="006E1C58">
        <w:rPr>
          <w:szCs w:val="22"/>
          <w:lang w:val="fr-FR"/>
        </w:rPr>
        <w:t>’</w:t>
      </w:r>
      <w:r w:rsidRPr="006E1C58">
        <w:rPr>
          <w:szCs w:val="22"/>
          <w:lang w:val="fr-FR"/>
        </w:rPr>
        <w:t>harmonisation des pratiques en matière de classement des marques entre les États membres, il existe des raisons de ne pas accepter certains termes dans toutes les parties contractantes désignées possibles du système de Madr</w:t>
      </w:r>
      <w:r w:rsidR="006E1C58" w:rsidRPr="006E1C58">
        <w:rPr>
          <w:szCs w:val="22"/>
          <w:lang w:val="fr-FR"/>
        </w:rPr>
        <w:t>id.  Ce</w:t>
      </w:r>
      <w:r w:rsidR="004A0504" w:rsidRPr="006E1C58">
        <w:rPr>
          <w:szCs w:val="22"/>
          <w:lang w:val="fr-FR"/>
        </w:rPr>
        <w:t>s raisons comprennent notamment l</w:t>
      </w:r>
      <w:r w:rsidR="006E7A67" w:rsidRPr="006E1C58">
        <w:rPr>
          <w:szCs w:val="22"/>
          <w:lang w:val="fr-FR"/>
        </w:rPr>
        <w:t>’</w:t>
      </w:r>
      <w:r w:rsidR="004A0504" w:rsidRPr="006E1C58">
        <w:rPr>
          <w:szCs w:val="22"/>
          <w:lang w:val="fr-FR"/>
        </w:rPr>
        <w:t>exigence, dans certains ressorts juridiques, d</w:t>
      </w:r>
      <w:r w:rsidR="006E7A67" w:rsidRPr="006E1C58">
        <w:rPr>
          <w:szCs w:val="22"/>
          <w:lang w:val="fr-FR"/>
        </w:rPr>
        <w:t>’</w:t>
      </w:r>
      <w:r w:rsidR="004A0504" w:rsidRPr="006E1C58">
        <w:rPr>
          <w:szCs w:val="22"/>
          <w:lang w:val="fr-FR"/>
        </w:rPr>
        <w:t>un haut niveau de spécificité dans la description des produits et services, ou l</w:t>
      </w:r>
      <w:r w:rsidR="006E7A67" w:rsidRPr="006E1C58">
        <w:rPr>
          <w:szCs w:val="22"/>
          <w:lang w:val="fr-FR"/>
        </w:rPr>
        <w:t>’</w:t>
      </w:r>
      <w:r w:rsidR="004A0504" w:rsidRPr="006E1C58">
        <w:rPr>
          <w:szCs w:val="22"/>
          <w:lang w:val="fr-FR"/>
        </w:rPr>
        <w:t>existence de lois ou pratiques nationales particulières empêchant l</w:t>
      </w:r>
      <w:r w:rsidR="006E7A67" w:rsidRPr="006E1C58">
        <w:rPr>
          <w:szCs w:val="22"/>
          <w:lang w:val="fr-FR"/>
        </w:rPr>
        <w:t>’</w:t>
      </w:r>
      <w:r w:rsidR="004A0504" w:rsidRPr="006E1C58">
        <w:rPr>
          <w:szCs w:val="22"/>
          <w:lang w:val="fr-FR"/>
        </w:rPr>
        <w:t>utilisation de certains termes (par exemple, des pratiques relatives au dépôt de demandes d</w:t>
      </w:r>
      <w:r w:rsidR="006E7A67" w:rsidRPr="006E1C58">
        <w:rPr>
          <w:szCs w:val="22"/>
          <w:lang w:val="fr-FR"/>
        </w:rPr>
        <w:t>’</w:t>
      </w:r>
      <w:r w:rsidR="000B1E8A" w:rsidRPr="006E1C58">
        <w:rPr>
          <w:szCs w:val="22"/>
          <w:lang w:val="fr-FR"/>
        </w:rPr>
        <w:t>enregistrement d</w:t>
      </w:r>
      <w:r w:rsidR="006E7A67" w:rsidRPr="006E1C58">
        <w:rPr>
          <w:szCs w:val="22"/>
          <w:lang w:val="fr-FR"/>
        </w:rPr>
        <w:t>’</w:t>
      </w:r>
      <w:r w:rsidR="004A0504" w:rsidRPr="006E1C58">
        <w:rPr>
          <w:szCs w:val="22"/>
          <w:lang w:val="fr-FR"/>
        </w:rPr>
        <w:t>indications géographiques ou de marques enregistrées).</w:t>
      </w:r>
    </w:p>
    <w:p w:rsidR="004A1A3F" w:rsidRPr="006E1C58" w:rsidRDefault="004A0504" w:rsidP="002C5B74">
      <w:pPr>
        <w:pStyle w:val="ONUMFS"/>
        <w:rPr>
          <w:lang w:val="fr-FR"/>
        </w:rPr>
      </w:pPr>
      <w:r w:rsidRPr="006E1C58">
        <w:rPr>
          <w:lang w:val="fr-FR"/>
        </w:rPr>
        <w:t xml:space="preserve">Entre </w:t>
      </w:r>
      <w:r w:rsidR="006E7A67" w:rsidRPr="006E1C58">
        <w:rPr>
          <w:lang w:val="fr-FR"/>
        </w:rPr>
        <w:t>juin 20</w:t>
      </w:r>
      <w:r w:rsidRPr="006E1C58">
        <w:rPr>
          <w:lang w:val="fr-FR"/>
        </w:rPr>
        <w:t xml:space="preserve">16 et </w:t>
      </w:r>
      <w:r w:rsidR="006E7A67" w:rsidRPr="006E1C58">
        <w:rPr>
          <w:lang w:val="fr-FR"/>
        </w:rPr>
        <w:t>mai 20</w:t>
      </w:r>
      <w:r w:rsidRPr="006E1C58">
        <w:rPr>
          <w:lang w:val="fr-FR"/>
        </w:rPr>
        <w:t>17, six</w:t>
      </w:r>
      <w:r w:rsidR="0030109B" w:rsidRPr="006E1C58">
        <w:rPr>
          <w:lang w:val="fr-FR"/>
        </w:rPr>
        <w:t> </w:t>
      </w:r>
      <w:r w:rsidRPr="006E1C58">
        <w:rPr>
          <w:lang w:val="fr-FR"/>
        </w:rPr>
        <w:t>nouveaux pays ont rejoint la liste des pays participant à la base de données MGS, ce qui porte à un total de 33 le nombre de parties contractantes du système de Madrid affichant des données relatives à l</w:t>
      </w:r>
      <w:r w:rsidR="006E7A67" w:rsidRPr="006E1C58">
        <w:rPr>
          <w:lang w:val="fr-FR"/>
        </w:rPr>
        <w:t>’</w:t>
      </w:r>
      <w:r w:rsidRPr="006E1C58">
        <w:rPr>
          <w:lang w:val="fr-FR"/>
        </w:rPr>
        <w:t>acceptation dans le gestionnaire MGS.</w:t>
      </w:r>
    </w:p>
    <w:p w:rsidR="004A1A3F" w:rsidRPr="006E1C58" w:rsidRDefault="004A0504" w:rsidP="002C5B74">
      <w:pPr>
        <w:pStyle w:val="ONUMFS"/>
        <w:rPr>
          <w:lang w:val="fr-FR"/>
        </w:rPr>
      </w:pPr>
      <w:r w:rsidRPr="006E1C58">
        <w:rPr>
          <w:lang w:val="fr-FR"/>
        </w:rPr>
        <w:t>Les six</w:t>
      </w:r>
      <w:r w:rsidR="0030109B" w:rsidRPr="006E1C58">
        <w:rPr>
          <w:lang w:val="fr-FR"/>
        </w:rPr>
        <w:t> </w:t>
      </w:r>
      <w:r w:rsidRPr="006E1C58">
        <w:rPr>
          <w:lang w:val="fr-FR"/>
        </w:rPr>
        <w:t>nouveaux pays participants pour lesquels des données relatives à l</w:t>
      </w:r>
      <w:r w:rsidR="006E7A67" w:rsidRPr="006E1C58">
        <w:rPr>
          <w:lang w:val="fr-FR"/>
        </w:rPr>
        <w:t>’</w:t>
      </w:r>
      <w:r w:rsidRPr="006E1C58">
        <w:rPr>
          <w:lang w:val="fr-FR"/>
        </w:rPr>
        <w:t>acceptation ont été mises à disposition via la fonction “Vérifier acceptation par partie contractante désignée” sont les suivants</w:t>
      </w:r>
      <w:r w:rsidR="006E7A67" w:rsidRPr="006E1C58">
        <w:rPr>
          <w:lang w:val="fr-FR"/>
        </w:rPr>
        <w:t> :</w:t>
      </w:r>
    </w:p>
    <w:p w:rsidR="006867A9" w:rsidRPr="006E1C58" w:rsidRDefault="004A0504" w:rsidP="002C5B74">
      <w:pPr>
        <w:pStyle w:val="ONUMFS"/>
        <w:numPr>
          <w:ilvl w:val="0"/>
          <w:numId w:val="17"/>
        </w:numPr>
        <w:tabs>
          <w:tab w:val="clear" w:pos="567"/>
          <w:tab w:val="num" w:pos="1134"/>
        </w:tabs>
        <w:spacing w:after="0"/>
        <w:ind w:left="567"/>
        <w:rPr>
          <w:lang w:val="fr-FR"/>
        </w:rPr>
      </w:pPr>
      <w:proofErr w:type="spellStart"/>
      <w:r w:rsidRPr="006E1C58">
        <w:rPr>
          <w:lang w:val="fr-FR"/>
        </w:rPr>
        <w:t>Brunéi</w:t>
      </w:r>
      <w:proofErr w:type="spellEnd"/>
      <w:r w:rsidRPr="006E1C58">
        <w:rPr>
          <w:lang w:val="fr-FR"/>
        </w:rPr>
        <w:t xml:space="preserve"> Darussalam (BN) ‒ </w:t>
      </w:r>
      <w:r w:rsidR="006E7A67" w:rsidRPr="006E1C58">
        <w:rPr>
          <w:lang w:val="fr-FR"/>
        </w:rPr>
        <w:t>mars 20</w:t>
      </w:r>
      <w:r w:rsidRPr="006E1C58">
        <w:rPr>
          <w:lang w:val="fr-FR"/>
        </w:rPr>
        <w:t>17</w:t>
      </w:r>
    </w:p>
    <w:p w:rsidR="006867A9" w:rsidRPr="006E1C58" w:rsidRDefault="004A0504" w:rsidP="002C5B74">
      <w:pPr>
        <w:pStyle w:val="ONUMFS"/>
        <w:numPr>
          <w:ilvl w:val="0"/>
          <w:numId w:val="17"/>
        </w:numPr>
        <w:tabs>
          <w:tab w:val="clear" w:pos="567"/>
          <w:tab w:val="num" w:pos="1134"/>
        </w:tabs>
        <w:spacing w:after="0"/>
        <w:ind w:left="567"/>
        <w:rPr>
          <w:lang w:val="fr-FR"/>
        </w:rPr>
      </w:pPr>
      <w:r w:rsidRPr="006E1C58">
        <w:rPr>
          <w:lang w:val="fr-FR"/>
        </w:rPr>
        <w:t>Canada</w:t>
      </w:r>
      <w:r w:rsidRPr="006E1C58">
        <w:rPr>
          <w:rStyle w:val="FootnoteReference"/>
          <w:lang w:val="fr-FR"/>
        </w:rPr>
        <w:footnoteReference w:id="2"/>
      </w:r>
      <w:r w:rsidRPr="006E1C58">
        <w:rPr>
          <w:lang w:val="fr-FR"/>
        </w:rPr>
        <w:t xml:space="preserve"> (en cours d</w:t>
      </w:r>
      <w:r w:rsidR="006E7A67" w:rsidRPr="006E1C58">
        <w:rPr>
          <w:lang w:val="fr-FR"/>
        </w:rPr>
        <w:t>’</w:t>
      </w:r>
      <w:r w:rsidRPr="006E1C58">
        <w:rPr>
          <w:lang w:val="fr-FR"/>
        </w:rPr>
        <w:t>adhésion au système de Madrid)</w:t>
      </w:r>
      <w:r w:rsidR="006E7A67" w:rsidRPr="006E1C58">
        <w:rPr>
          <w:lang w:val="fr-FR"/>
        </w:rPr>
        <w:t xml:space="preserve"> – janvier 20</w:t>
      </w:r>
      <w:r w:rsidRPr="006E1C58">
        <w:rPr>
          <w:lang w:val="fr-FR"/>
        </w:rPr>
        <w:t>17</w:t>
      </w:r>
    </w:p>
    <w:p w:rsidR="006867A9" w:rsidRPr="006E1C58" w:rsidRDefault="004A0504" w:rsidP="002C5B74">
      <w:pPr>
        <w:pStyle w:val="ONUMFS"/>
        <w:numPr>
          <w:ilvl w:val="0"/>
          <w:numId w:val="17"/>
        </w:numPr>
        <w:tabs>
          <w:tab w:val="clear" w:pos="567"/>
          <w:tab w:val="num" w:pos="1134"/>
        </w:tabs>
        <w:spacing w:after="0"/>
        <w:ind w:left="567"/>
        <w:rPr>
          <w:lang w:val="fr-FR"/>
        </w:rPr>
      </w:pPr>
      <w:r w:rsidRPr="006E1C58">
        <w:rPr>
          <w:lang w:val="fr-FR"/>
        </w:rPr>
        <w:t>Géorgie (GE)</w:t>
      </w:r>
      <w:r w:rsidR="006E7A67" w:rsidRPr="006E1C58">
        <w:rPr>
          <w:lang w:val="fr-FR"/>
        </w:rPr>
        <w:t xml:space="preserve"> – mars 20</w:t>
      </w:r>
      <w:r w:rsidRPr="006E1C58">
        <w:rPr>
          <w:lang w:val="fr-FR"/>
        </w:rPr>
        <w:t>17</w:t>
      </w:r>
    </w:p>
    <w:p w:rsidR="006867A9" w:rsidRPr="006E1C58" w:rsidRDefault="004A0504" w:rsidP="002C5B74">
      <w:pPr>
        <w:pStyle w:val="ONUMFS"/>
        <w:numPr>
          <w:ilvl w:val="0"/>
          <w:numId w:val="17"/>
        </w:numPr>
        <w:tabs>
          <w:tab w:val="clear" w:pos="567"/>
          <w:tab w:val="num" w:pos="1134"/>
        </w:tabs>
        <w:spacing w:after="0"/>
        <w:ind w:left="567"/>
        <w:rPr>
          <w:lang w:val="fr-FR"/>
        </w:rPr>
      </w:pPr>
      <w:r w:rsidRPr="006E1C58">
        <w:rPr>
          <w:lang w:val="fr-FR"/>
        </w:rPr>
        <w:t>Islande (IS)</w:t>
      </w:r>
      <w:r w:rsidR="006E7A67" w:rsidRPr="006E1C58">
        <w:rPr>
          <w:lang w:val="fr-FR"/>
        </w:rPr>
        <w:t xml:space="preserve"> – février 20</w:t>
      </w:r>
      <w:r w:rsidRPr="006E1C58">
        <w:rPr>
          <w:lang w:val="fr-FR"/>
        </w:rPr>
        <w:t>17</w:t>
      </w:r>
    </w:p>
    <w:p w:rsidR="006867A9" w:rsidRPr="006E1C58" w:rsidRDefault="004A0504" w:rsidP="002C5B74">
      <w:pPr>
        <w:pStyle w:val="ONUMFS"/>
        <w:numPr>
          <w:ilvl w:val="0"/>
          <w:numId w:val="17"/>
        </w:numPr>
        <w:tabs>
          <w:tab w:val="clear" w:pos="567"/>
          <w:tab w:val="num" w:pos="1134"/>
        </w:tabs>
        <w:spacing w:after="0"/>
        <w:ind w:left="567"/>
        <w:rPr>
          <w:lang w:val="fr-FR"/>
        </w:rPr>
      </w:pPr>
      <w:r w:rsidRPr="006E1C58">
        <w:rPr>
          <w:lang w:val="fr-FR"/>
        </w:rPr>
        <w:t>Nouvelle</w:t>
      </w:r>
      <w:r w:rsidR="00C16F96">
        <w:rPr>
          <w:lang w:val="fr-FR"/>
        </w:rPr>
        <w:noBreakHyphen/>
      </w:r>
      <w:r w:rsidRPr="006E1C58">
        <w:rPr>
          <w:lang w:val="fr-FR"/>
        </w:rPr>
        <w:t>Zélande (NZ)</w:t>
      </w:r>
      <w:r w:rsidR="006E7A67" w:rsidRPr="006E1C58">
        <w:rPr>
          <w:lang w:val="fr-FR"/>
        </w:rPr>
        <w:t xml:space="preserve"> – juillet 20</w:t>
      </w:r>
      <w:r w:rsidRPr="006E1C58">
        <w:rPr>
          <w:lang w:val="fr-FR"/>
        </w:rPr>
        <w:t>16</w:t>
      </w:r>
    </w:p>
    <w:p w:rsidR="004A1A3F" w:rsidRPr="006E1C58" w:rsidRDefault="004A0504" w:rsidP="002C5B74">
      <w:pPr>
        <w:pStyle w:val="ONUMFS"/>
        <w:numPr>
          <w:ilvl w:val="0"/>
          <w:numId w:val="17"/>
        </w:numPr>
        <w:tabs>
          <w:tab w:val="clear" w:pos="567"/>
          <w:tab w:val="num" w:pos="1134"/>
        </w:tabs>
        <w:ind w:left="567"/>
        <w:rPr>
          <w:lang w:val="fr-FR"/>
        </w:rPr>
      </w:pPr>
      <w:r w:rsidRPr="006E1C58">
        <w:rPr>
          <w:lang w:val="fr-FR"/>
        </w:rPr>
        <w:t>Viet</w:t>
      </w:r>
      <w:r w:rsidR="0030109B" w:rsidRPr="006E1C58">
        <w:rPr>
          <w:lang w:val="fr-FR"/>
        </w:rPr>
        <w:t> </w:t>
      </w:r>
      <w:r w:rsidRPr="006E1C58">
        <w:rPr>
          <w:lang w:val="fr-FR"/>
        </w:rPr>
        <w:t>Nam (VN)</w:t>
      </w:r>
      <w:r w:rsidR="006E7A67" w:rsidRPr="006E1C58">
        <w:rPr>
          <w:lang w:val="fr-FR"/>
        </w:rPr>
        <w:t xml:space="preserve"> – mars 20</w:t>
      </w:r>
      <w:r w:rsidRPr="006E1C58">
        <w:rPr>
          <w:lang w:val="fr-FR"/>
        </w:rPr>
        <w:t>17</w:t>
      </w:r>
    </w:p>
    <w:p w:rsidR="004A1A3F" w:rsidRPr="006E1C58" w:rsidRDefault="00C327F6" w:rsidP="002C5B74">
      <w:pPr>
        <w:pStyle w:val="ONUMFS"/>
        <w:rPr>
          <w:lang w:val="fr-FR"/>
        </w:rPr>
      </w:pPr>
      <w:r w:rsidRPr="006E1C58">
        <w:rPr>
          <w:lang w:val="fr-FR"/>
        </w:rPr>
        <w:t>L</w:t>
      </w:r>
      <w:r w:rsidR="006E7A67" w:rsidRPr="006E1C58">
        <w:rPr>
          <w:lang w:val="fr-FR"/>
        </w:rPr>
        <w:t>’annexe I</w:t>
      </w:r>
      <w:r w:rsidRPr="006E1C58">
        <w:rPr>
          <w:lang w:val="fr-FR"/>
        </w:rPr>
        <w:t xml:space="preserve"> donne un aperçu du volume relatif d</w:t>
      </w:r>
      <w:r w:rsidR="006E7A67" w:rsidRPr="006E1C58">
        <w:rPr>
          <w:lang w:val="fr-FR"/>
        </w:rPr>
        <w:t>’</w:t>
      </w:r>
      <w:r w:rsidRPr="006E1C58">
        <w:rPr>
          <w:lang w:val="fr-FR"/>
        </w:rPr>
        <w:t>inform</w:t>
      </w:r>
      <w:r w:rsidR="00D86947" w:rsidRPr="006E1C58">
        <w:rPr>
          <w:lang w:val="fr-FR"/>
        </w:rPr>
        <w:t>ation</w:t>
      </w:r>
      <w:r w:rsidRPr="006E1C58">
        <w:rPr>
          <w:lang w:val="fr-FR"/>
        </w:rPr>
        <w:t xml:space="preserve"> communiquée </w:t>
      </w:r>
      <w:r w:rsidR="00900C9D">
        <w:rPr>
          <w:lang w:val="fr-FR"/>
        </w:rPr>
        <w:t>par les divers pays participant</w:t>
      </w:r>
      <w:r w:rsidRPr="006E1C58">
        <w:rPr>
          <w:lang w:val="fr-FR"/>
        </w:rPr>
        <w:t xml:space="preserve"> à la base de données MGS concernant l</w:t>
      </w:r>
      <w:r w:rsidR="006E7A67" w:rsidRPr="006E1C58">
        <w:rPr>
          <w:lang w:val="fr-FR"/>
        </w:rPr>
        <w:t>’</w:t>
      </w:r>
      <w:r w:rsidRPr="006E1C58">
        <w:rPr>
          <w:lang w:val="fr-FR"/>
        </w:rPr>
        <w:t>état d</w:t>
      </w:r>
      <w:r w:rsidR="006E7A67" w:rsidRPr="006E1C58">
        <w:rPr>
          <w:lang w:val="fr-FR"/>
        </w:rPr>
        <w:t>’</w:t>
      </w:r>
      <w:r w:rsidRPr="006E1C58">
        <w:rPr>
          <w:lang w:val="fr-FR"/>
        </w:rPr>
        <w:t xml:space="preserve">acceptation des termes de la base de données </w:t>
      </w:r>
      <w:r w:rsidR="009C0478" w:rsidRPr="006E1C58">
        <w:rPr>
          <w:lang w:val="fr-FR"/>
        </w:rPr>
        <w:t>qui sont proposés pour</w:t>
      </w:r>
      <w:r w:rsidR="000B1E8A" w:rsidRPr="006E1C58">
        <w:rPr>
          <w:lang w:val="fr-FR"/>
        </w:rPr>
        <w:t xml:space="preserve"> pouvoir</w:t>
      </w:r>
      <w:r w:rsidR="009C0478" w:rsidRPr="006E1C58">
        <w:rPr>
          <w:lang w:val="fr-FR"/>
        </w:rPr>
        <w:t xml:space="preserve"> être sélectionnés </w:t>
      </w:r>
      <w:r w:rsidRPr="006E1C58">
        <w:rPr>
          <w:lang w:val="fr-FR"/>
        </w:rPr>
        <w:t>par les déposants de demandes d</w:t>
      </w:r>
      <w:r w:rsidR="006E7A67" w:rsidRPr="006E1C58">
        <w:rPr>
          <w:lang w:val="fr-FR"/>
        </w:rPr>
        <w:t>’</w:t>
      </w:r>
      <w:r w:rsidRPr="006E1C58">
        <w:rPr>
          <w:lang w:val="fr-FR"/>
        </w:rPr>
        <w:t>enregistrement de marques.</w:t>
      </w:r>
    </w:p>
    <w:p w:rsidR="004A1A3F" w:rsidRPr="006E1C58" w:rsidRDefault="00C327F6" w:rsidP="002C5B74">
      <w:pPr>
        <w:pStyle w:val="ONUMFS"/>
        <w:rPr>
          <w:lang w:val="fr-FR"/>
        </w:rPr>
      </w:pPr>
      <w:r w:rsidRPr="006E1C58">
        <w:rPr>
          <w:lang w:val="fr-FR"/>
        </w:rPr>
        <w:t>Deux pays, qui n</w:t>
      </w:r>
      <w:r w:rsidR="006E7A67" w:rsidRPr="006E1C58">
        <w:rPr>
          <w:lang w:val="fr-FR"/>
        </w:rPr>
        <w:t>’</w:t>
      </w:r>
      <w:r w:rsidRPr="006E1C58">
        <w:rPr>
          <w:lang w:val="fr-FR"/>
        </w:rPr>
        <w:t xml:space="preserve">étaient pas des pays participant à la base de données MGS avant </w:t>
      </w:r>
      <w:r w:rsidR="006E7A67" w:rsidRPr="006E1C58">
        <w:rPr>
          <w:lang w:val="fr-FR"/>
        </w:rPr>
        <w:t>juin 20</w:t>
      </w:r>
      <w:r w:rsidRPr="006E1C58">
        <w:rPr>
          <w:lang w:val="fr-FR"/>
        </w:rPr>
        <w:t xml:space="preserve">16, </w:t>
      </w:r>
      <w:r w:rsidR="006E7A67" w:rsidRPr="006E1C58">
        <w:rPr>
          <w:lang w:val="fr-FR"/>
        </w:rPr>
        <w:t>à savoir</w:t>
      </w:r>
      <w:r w:rsidRPr="006E1C58">
        <w:rPr>
          <w:lang w:val="fr-FR"/>
        </w:rPr>
        <w:t xml:space="preserve"> le </w:t>
      </w:r>
      <w:proofErr w:type="spellStart"/>
      <w:r w:rsidR="0083257D" w:rsidRPr="006E1C58">
        <w:rPr>
          <w:lang w:val="fr-FR"/>
        </w:rPr>
        <w:t>Bruné</w:t>
      </w:r>
      <w:r w:rsidRPr="006E1C58">
        <w:rPr>
          <w:lang w:val="fr-FR"/>
        </w:rPr>
        <w:t>i</w:t>
      </w:r>
      <w:proofErr w:type="spellEnd"/>
      <w:r w:rsidRPr="006E1C58">
        <w:rPr>
          <w:lang w:val="fr-FR"/>
        </w:rPr>
        <w:t xml:space="preserve"> Darussalam et la Nouvelle</w:t>
      </w:r>
      <w:r w:rsidR="00C16F96">
        <w:rPr>
          <w:lang w:val="fr-FR"/>
        </w:rPr>
        <w:noBreakHyphen/>
      </w:r>
      <w:r w:rsidRPr="006E1C58">
        <w:rPr>
          <w:lang w:val="fr-FR"/>
        </w:rPr>
        <w:t>Zélande, ont indiqué être en pleine conformité avec la base de données MGS et ont accepté tou</w:t>
      </w:r>
      <w:r w:rsidR="008D6311" w:rsidRPr="006E1C58">
        <w:rPr>
          <w:lang w:val="fr-FR"/>
        </w:rPr>
        <w:t>s</w:t>
      </w:r>
      <w:r w:rsidRPr="006E1C58">
        <w:rPr>
          <w:lang w:val="fr-FR"/>
        </w:rPr>
        <w:t xml:space="preserve"> ses termes, sauf, dans le cas de la Nouvelle</w:t>
      </w:r>
      <w:r w:rsidR="00C16F96">
        <w:rPr>
          <w:lang w:val="fr-FR"/>
        </w:rPr>
        <w:noBreakHyphen/>
      </w:r>
      <w:r w:rsidRPr="006E1C58">
        <w:rPr>
          <w:lang w:val="fr-FR"/>
        </w:rPr>
        <w:t>Zélande, quelques termes enregistrés en tant que marques dans ce pays.</w:t>
      </w:r>
    </w:p>
    <w:p w:rsidR="004A1A3F" w:rsidRPr="006E1C58" w:rsidRDefault="008D6311" w:rsidP="002C5B74">
      <w:pPr>
        <w:pStyle w:val="ONUMFS"/>
        <w:rPr>
          <w:lang w:val="fr-FR"/>
        </w:rPr>
      </w:pPr>
      <w:r w:rsidRPr="006E1C58">
        <w:rPr>
          <w:lang w:val="fr-FR"/>
        </w:rPr>
        <w:t>Enfin, afin de diffuser les données de classement de la base de données MGS, des dispositifs de téléchargement des mises à jour mensuelles de la base de données ont été mis à la disposition des offices de propriété intellectuelle de plusieurs pays, notamment l</w:t>
      </w:r>
      <w:r w:rsidR="006E7A67" w:rsidRPr="006E1C58">
        <w:rPr>
          <w:lang w:val="fr-FR"/>
        </w:rPr>
        <w:t>’</w:t>
      </w:r>
      <w:r w:rsidRPr="006E1C58">
        <w:rPr>
          <w:lang w:val="fr-FR"/>
        </w:rPr>
        <w:t>Australie, le Canada, l</w:t>
      </w:r>
      <w:r w:rsidR="00802A61">
        <w:rPr>
          <w:lang w:val="fr-FR"/>
        </w:rPr>
        <w:t>a</w:t>
      </w:r>
      <w:r w:rsidRPr="006E1C58">
        <w:rPr>
          <w:lang w:val="fr-FR"/>
        </w:rPr>
        <w:t xml:space="preserve"> Chin</w:t>
      </w:r>
      <w:r w:rsidR="001C0EA6" w:rsidRPr="006E1C58">
        <w:rPr>
          <w:lang w:val="fr-FR"/>
        </w:rPr>
        <w:t>e</w:t>
      </w:r>
      <w:r w:rsidRPr="006E1C58">
        <w:rPr>
          <w:lang w:val="fr-FR"/>
        </w:rPr>
        <w:t>, les États</w:t>
      </w:r>
      <w:r w:rsidR="00C16F96">
        <w:rPr>
          <w:lang w:val="fr-FR"/>
        </w:rPr>
        <w:noBreakHyphen/>
      </w:r>
      <w:r w:rsidRPr="006E1C58">
        <w:rPr>
          <w:lang w:val="fr-FR"/>
        </w:rPr>
        <w:t>Unis d</w:t>
      </w:r>
      <w:r w:rsidR="006E7A67" w:rsidRPr="006E1C58">
        <w:rPr>
          <w:lang w:val="fr-FR"/>
        </w:rPr>
        <w:t>’</w:t>
      </w:r>
      <w:r w:rsidRPr="006E1C58">
        <w:rPr>
          <w:lang w:val="fr-FR"/>
        </w:rPr>
        <w:t>Amérique, l</w:t>
      </w:r>
      <w:r w:rsidR="006E7A67" w:rsidRPr="006E1C58">
        <w:rPr>
          <w:lang w:val="fr-FR"/>
        </w:rPr>
        <w:t>’</w:t>
      </w:r>
      <w:r w:rsidRPr="006E1C58">
        <w:rPr>
          <w:lang w:val="fr-FR"/>
        </w:rPr>
        <w:t xml:space="preserve">Italie, </w:t>
      </w:r>
      <w:r w:rsidR="001C0EA6" w:rsidRPr="006E1C58">
        <w:rPr>
          <w:lang w:val="fr-FR"/>
        </w:rPr>
        <w:t>le Mexique, la Nouvelle</w:t>
      </w:r>
      <w:r w:rsidR="00C16F96">
        <w:rPr>
          <w:lang w:val="fr-FR"/>
        </w:rPr>
        <w:noBreakHyphen/>
      </w:r>
      <w:r w:rsidR="001C0EA6" w:rsidRPr="006E1C58">
        <w:rPr>
          <w:lang w:val="fr-FR"/>
        </w:rPr>
        <w:t>Zélande et</w:t>
      </w:r>
      <w:r w:rsidRPr="006E1C58">
        <w:rPr>
          <w:lang w:val="fr-FR"/>
        </w:rPr>
        <w:t xml:space="preserve"> la Suisse</w:t>
      </w:r>
      <w:r w:rsidR="001C0EA6" w:rsidRPr="006E1C58">
        <w:rPr>
          <w:lang w:val="fr-FR"/>
        </w:rPr>
        <w:t>,</w:t>
      </w:r>
      <w:r w:rsidRPr="006E1C58">
        <w:rPr>
          <w:lang w:val="fr-FR"/>
        </w:rPr>
        <w:t xml:space="preserve"> ainsi qu</w:t>
      </w:r>
      <w:r w:rsidR="006E7A67" w:rsidRPr="006E1C58">
        <w:rPr>
          <w:lang w:val="fr-FR"/>
        </w:rPr>
        <w:t>’</w:t>
      </w:r>
      <w:r w:rsidRPr="006E1C58">
        <w:rPr>
          <w:lang w:val="fr-FR"/>
        </w:rPr>
        <w:t>à l</w:t>
      </w:r>
      <w:r w:rsidR="006E7A67" w:rsidRPr="006E1C58">
        <w:rPr>
          <w:lang w:val="fr-FR"/>
        </w:rPr>
        <w:t>’</w:t>
      </w:r>
      <w:r w:rsidRPr="006E1C58">
        <w:rPr>
          <w:lang w:val="fr-FR"/>
        </w:rPr>
        <w:t>Office de l</w:t>
      </w:r>
      <w:r w:rsidR="006E7A67" w:rsidRPr="006E1C58">
        <w:rPr>
          <w:lang w:val="fr-FR"/>
        </w:rPr>
        <w:t>’</w:t>
      </w:r>
      <w:r w:rsidRPr="006E1C58">
        <w:rPr>
          <w:lang w:val="fr-FR"/>
        </w:rPr>
        <w:t>Union européenne pour la propriété intellectuelle (EUIPO).</w:t>
      </w:r>
      <w:r w:rsidR="00AC5390" w:rsidRPr="006E1C58">
        <w:rPr>
          <w:lang w:val="fr-FR"/>
        </w:rPr>
        <w:t xml:space="preserve">  </w:t>
      </w:r>
      <w:r w:rsidRPr="006E1C58">
        <w:rPr>
          <w:lang w:val="fr-FR"/>
        </w:rPr>
        <w:t>En outre, un groupe de pays d</w:t>
      </w:r>
      <w:r w:rsidR="006E7A67" w:rsidRPr="006E1C58">
        <w:rPr>
          <w:lang w:val="fr-FR"/>
        </w:rPr>
        <w:t>’</w:t>
      </w:r>
      <w:r w:rsidRPr="006E1C58">
        <w:rPr>
          <w:lang w:val="fr-FR"/>
        </w:rPr>
        <w:t xml:space="preserve">Amérique centrale qui connaissent une harmonisation </w:t>
      </w:r>
      <w:r w:rsidR="001C0EA6" w:rsidRPr="006E1C58">
        <w:rPr>
          <w:lang w:val="fr-FR"/>
        </w:rPr>
        <w:t>du point d</w:t>
      </w:r>
      <w:r w:rsidR="009C0478" w:rsidRPr="006E1C58">
        <w:rPr>
          <w:lang w:val="fr-FR"/>
        </w:rPr>
        <w:t>e</w:t>
      </w:r>
      <w:r w:rsidR="001C0EA6" w:rsidRPr="006E1C58">
        <w:rPr>
          <w:lang w:val="fr-FR"/>
        </w:rPr>
        <w:t xml:space="preserve"> vue du</w:t>
      </w:r>
      <w:r w:rsidR="009C0478" w:rsidRPr="006E1C58">
        <w:rPr>
          <w:lang w:val="fr-FR"/>
        </w:rPr>
        <w:t xml:space="preserve"> classement, composé du </w:t>
      </w:r>
      <w:r w:rsidRPr="006E1C58">
        <w:rPr>
          <w:lang w:val="fr-FR"/>
        </w:rPr>
        <w:t>Costa Rica,</w:t>
      </w:r>
      <w:r w:rsidR="009C0478" w:rsidRPr="006E1C58">
        <w:rPr>
          <w:lang w:val="fr-FR"/>
        </w:rPr>
        <w:t xml:space="preserve"> d</w:t>
      </w:r>
      <w:r w:rsidR="006E7A67" w:rsidRPr="006E1C58">
        <w:rPr>
          <w:lang w:val="fr-FR"/>
        </w:rPr>
        <w:t>’</w:t>
      </w:r>
      <w:r w:rsidRPr="006E1C58">
        <w:rPr>
          <w:lang w:val="fr-FR"/>
        </w:rPr>
        <w:t xml:space="preserve">El Salvador, </w:t>
      </w:r>
      <w:r w:rsidR="009C0478" w:rsidRPr="006E1C58">
        <w:rPr>
          <w:lang w:val="fr-FR"/>
        </w:rPr>
        <w:t xml:space="preserve">du </w:t>
      </w:r>
      <w:r w:rsidRPr="006E1C58">
        <w:rPr>
          <w:lang w:val="fr-FR"/>
        </w:rPr>
        <w:t xml:space="preserve">Guatemala, </w:t>
      </w:r>
      <w:r w:rsidR="009C0478" w:rsidRPr="006E1C58">
        <w:rPr>
          <w:lang w:val="fr-FR"/>
        </w:rPr>
        <w:t xml:space="preserve">du </w:t>
      </w:r>
      <w:r w:rsidRPr="006E1C58">
        <w:rPr>
          <w:lang w:val="fr-FR"/>
        </w:rPr>
        <w:t xml:space="preserve">Honduras, </w:t>
      </w:r>
      <w:r w:rsidR="009C0478" w:rsidRPr="006E1C58">
        <w:rPr>
          <w:lang w:val="fr-FR"/>
        </w:rPr>
        <w:t xml:space="preserve">du </w:t>
      </w:r>
      <w:r w:rsidRPr="006E1C58">
        <w:rPr>
          <w:lang w:val="fr-FR"/>
        </w:rPr>
        <w:t xml:space="preserve">Nicaragua, </w:t>
      </w:r>
      <w:r w:rsidR="00A706C1" w:rsidRPr="006E1C58">
        <w:rPr>
          <w:lang w:val="fr-FR"/>
        </w:rPr>
        <w:t>du</w:t>
      </w:r>
      <w:r w:rsidR="009C0478" w:rsidRPr="006E1C58">
        <w:rPr>
          <w:lang w:val="fr-FR"/>
        </w:rPr>
        <w:t xml:space="preserve"> </w:t>
      </w:r>
      <w:r w:rsidRPr="006E1C58">
        <w:rPr>
          <w:lang w:val="fr-FR"/>
        </w:rPr>
        <w:t xml:space="preserve">Panama et de la République dominicaine, a également demandé un accès aux mises à jour mensuelles de la base de données MGS en espagnol, </w:t>
      </w:r>
      <w:r w:rsidR="009C0478" w:rsidRPr="006E1C58">
        <w:rPr>
          <w:lang w:val="fr-FR"/>
        </w:rPr>
        <w:t>afin de les utiliser</w:t>
      </w:r>
      <w:r w:rsidRPr="006E1C58">
        <w:rPr>
          <w:lang w:val="fr-FR"/>
        </w:rPr>
        <w:t xml:space="preserve"> comme une partie essentielle de leur base de données commune.</w:t>
      </w:r>
    </w:p>
    <w:p w:rsidR="004A1A3F" w:rsidRPr="006E1C58" w:rsidRDefault="00305776" w:rsidP="002C5B74">
      <w:pPr>
        <w:pStyle w:val="Heading2"/>
        <w:rPr>
          <w:lang w:val="fr-FR"/>
        </w:rPr>
      </w:pPr>
      <w:r w:rsidRPr="006E1C58">
        <w:rPr>
          <w:lang w:val="fr-FR"/>
        </w:rPr>
        <w:t>Harmonisation mondiale concernant le classement des marques</w:t>
      </w:r>
    </w:p>
    <w:p w:rsidR="00305776" w:rsidRPr="006E1C58" w:rsidRDefault="00305776" w:rsidP="002C5B74">
      <w:pPr>
        <w:rPr>
          <w:lang w:val="fr-FR"/>
        </w:rPr>
      </w:pPr>
    </w:p>
    <w:p w:rsidR="004A1A3F" w:rsidRPr="006E1C58" w:rsidRDefault="009C0478" w:rsidP="002C5B74">
      <w:pPr>
        <w:pStyle w:val="ONUMFS"/>
        <w:rPr>
          <w:lang w:val="fr-FR"/>
        </w:rPr>
      </w:pPr>
      <w:r w:rsidRPr="006E1C58">
        <w:rPr>
          <w:lang w:val="fr-FR"/>
        </w:rPr>
        <w:t>Afin de s</w:t>
      </w:r>
      <w:r w:rsidR="006E7A67" w:rsidRPr="006E1C58">
        <w:rPr>
          <w:lang w:val="fr-FR"/>
        </w:rPr>
        <w:t>’</w:t>
      </w:r>
      <w:r w:rsidRPr="006E1C58">
        <w:rPr>
          <w:lang w:val="fr-FR"/>
        </w:rPr>
        <w:t>acheminer vers une harmonisation du classement au niveau mondial, la base de données MGS est régulièrement comparée à d</w:t>
      </w:r>
      <w:r w:rsidR="006E7A67" w:rsidRPr="006E1C58">
        <w:rPr>
          <w:lang w:val="fr-FR"/>
        </w:rPr>
        <w:t>’</w:t>
      </w:r>
      <w:r w:rsidRPr="006E1C58">
        <w:rPr>
          <w:lang w:val="fr-FR"/>
        </w:rPr>
        <w:t xml:space="preserve">autres bases de données connues de produits et services, afin de recenser les </w:t>
      </w:r>
      <w:r w:rsidR="00DB623D" w:rsidRPr="006E1C58">
        <w:rPr>
          <w:szCs w:val="22"/>
          <w:lang w:val="fr-FR"/>
        </w:rPr>
        <w:t>différences</w:t>
      </w:r>
      <w:r w:rsidRPr="006E1C58">
        <w:rPr>
          <w:lang w:val="fr-FR"/>
        </w:rPr>
        <w:t xml:space="preserve"> </w:t>
      </w:r>
      <w:r w:rsidR="00DB623D" w:rsidRPr="006E1C58">
        <w:rPr>
          <w:lang w:val="fr-FR"/>
        </w:rPr>
        <w:t xml:space="preserve">de </w:t>
      </w:r>
      <w:r w:rsidRPr="006E1C58">
        <w:rPr>
          <w:lang w:val="fr-FR"/>
        </w:rPr>
        <w:t>classement de</w:t>
      </w:r>
      <w:r w:rsidR="00DB623D" w:rsidRPr="006E1C58">
        <w:rPr>
          <w:lang w:val="fr-FR"/>
        </w:rPr>
        <w:t>s</w:t>
      </w:r>
      <w:r w:rsidRPr="006E1C58">
        <w:rPr>
          <w:lang w:val="fr-FR"/>
        </w:rPr>
        <w:t xml:space="preserve"> termes identiques.</w:t>
      </w:r>
    </w:p>
    <w:p w:rsidR="004A1A3F" w:rsidRPr="006E1C58" w:rsidRDefault="006E7A67" w:rsidP="002C5B74">
      <w:pPr>
        <w:pStyle w:val="ONUMFS"/>
        <w:rPr>
          <w:lang w:val="fr-FR"/>
        </w:rPr>
      </w:pPr>
      <w:r w:rsidRPr="006E1C58">
        <w:rPr>
          <w:szCs w:val="22"/>
          <w:lang w:val="fr-FR"/>
        </w:rPr>
        <w:t>En 2016</w:t>
      </w:r>
      <w:r w:rsidR="009C0478" w:rsidRPr="006E1C58">
        <w:rPr>
          <w:szCs w:val="22"/>
          <w:lang w:val="fr-FR"/>
        </w:rPr>
        <w:t xml:space="preserve">, des listes de </w:t>
      </w:r>
      <w:r w:rsidR="00DB623D" w:rsidRPr="006E1C58">
        <w:rPr>
          <w:szCs w:val="22"/>
          <w:lang w:val="fr-FR"/>
        </w:rPr>
        <w:t>différences</w:t>
      </w:r>
      <w:r w:rsidR="009C0478" w:rsidRPr="006E1C58">
        <w:rPr>
          <w:szCs w:val="22"/>
          <w:lang w:val="fr-FR"/>
        </w:rPr>
        <w:t xml:space="preserve"> en matière de classement ont été examinées avec l</w:t>
      </w:r>
      <w:r w:rsidRPr="006E1C58">
        <w:rPr>
          <w:szCs w:val="22"/>
          <w:lang w:val="fr-FR"/>
        </w:rPr>
        <w:t>’</w:t>
      </w:r>
      <w:r w:rsidR="009C0478" w:rsidRPr="006E1C58">
        <w:rPr>
          <w:szCs w:val="22"/>
          <w:lang w:val="fr-FR"/>
        </w:rPr>
        <w:t>EUIPO et l</w:t>
      </w:r>
      <w:r w:rsidRPr="006E1C58">
        <w:rPr>
          <w:szCs w:val="22"/>
          <w:lang w:val="fr-FR"/>
        </w:rPr>
        <w:t>’</w:t>
      </w:r>
      <w:r w:rsidR="009C0478" w:rsidRPr="006E1C58">
        <w:rPr>
          <w:szCs w:val="22"/>
          <w:lang w:val="fr-FR"/>
        </w:rPr>
        <w:t>Office des brevets du Japon (JPO).</w:t>
      </w:r>
      <w:r w:rsidR="00AC5390" w:rsidRPr="006E1C58">
        <w:rPr>
          <w:szCs w:val="22"/>
          <w:lang w:val="fr-FR"/>
        </w:rPr>
        <w:t xml:space="preserve">  </w:t>
      </w:r>
      <w:r w:rsidR="00097942" w:rsidRPr="006E1C58">
        <w:rPr>
          <w:szCs w:val="22"/>
          <w:lang w:val="fr-FR"/>
        </w:rPr>
        <w:t>En conséquence, certains termes ont été intégrés dans la base de données MGS sous deux</w:t>
      </w:r>
      <w:r w:rsidR="0030109B" w:rsidRPr="006E1C58">
        <w:rPr>
          <w:szCs w:val="22"/>
          <w:lang w:val="fr-FR"/>
        </w:rPr>
        <w:t> </w:t>
      </w:r>
      <w:r w:rsidR="00097942" w:rsidRPr="006E1C58">
        <w:rPr>
          <w:szCs w:val="22"/>
          <w:lang w:val="fr-FR"/>
        </w:rPr>
        <w:t>classes différentes, dans lesquelles la description des produits pou</w:t>
      </w:r>
      <w:r w:rsidR="001C0EA6" w:rsidRPr="006E1C58">
        <w:rPr>
          <w:szCs w:val="22"/>
          <w:lang w:val="fr-FR"/>
        </w:rPr>
        <w:t>v</w:t>
      </w:r>
      <w:r w:rsidR="00097942" w:rsidRPr="006E1C58">
        <w:rPr>
          <w:szCs w:val="22"/>
          <w:lang w:val="fr-FR"/>
        </w:rPr>
        <w:t xml:space="preserve">ait donner lieu à une interprétation souple </w:t>
      </w:r>
      <w:r w:rsidR="001C0EA6" w:rsidRPr="006E1C58">
        <w:rPr>
          <w:szCs w:val="22"/>
          <w:lang w:val="fr-FR"/>
        </w:rPr>
        <w:t>lors de</w:t>
      </w:r>
      <w:r w:rsidR="00097942" w:rsidRPr="006E1C58">
        <w:rPr>
          <w:szCs w:val="22"/>
          <w:lang w:val="fr-FR"/>
        </w:rPr>
        <w:t xml:space="preserve"> l</w:t>
      </w:r>
      <w:r w:rsidRPr="006E1C58">
        <w:rPr>
          <w:szCs w:val="22"/>
          <w:lang w:val="fr-FR"/>
        </w:rPr>
        <w:t>’</w:t>
      </w:r>
      <w:r w:rsidR="00A706C1" w:rsidRPr="006E1C58">
        <w:rPr>
          <w:szCs w:val="22"/>
          <w:lang w:val="fr-FR"/>
        </w:rPr>
        <w:t xml:space="preserve">examen opérationnel;  </w:t>
      </w:r>
      <w:r w:rsidR="00097942" w:rsidRPr="006E1C58">
        <w:rPr>
          <w:szCs w:val="22"/>
          <w:lang w:val="fr-FR"/>
        </w:rPr>
        <w:t>certains termes ont été modifiés ou supprimés des bases de données de l</w:t>
      </w:r>
      <w:r w:rsidRPr="006E1C58">
        <w:rPr>
          <w:szCs w:val="22"/>
          <w:lang w:val="fr-FR"/>
        </w:rPr>
        <w:t>’</w:t>
      </w:r>
      <w:r w:rsidR="00097942" w:rsidRPr="006E1C58">
        <w:rPr>
          <w:szCs w:val="22"/>
          <w:lang w:val="fr-FR"/>
        </w:rPr>
        <w:t>EUIPO ou de l</w:t>
      </w:r>
      <w:r w:rsidRPr="006E1C58">
        <w:rPr>
          <w:szCs w:val="22"/>
          <w:lang w:val="fr-FR"/>
        </w:rPr>
        <w:t>’</w:t>
      </w:r>
      <w:r w:rsidR="00097942" w:rsidRPr="006E1C58">
        <w:rPr>
          <w:szCs w:val="22"/>
          <w:lang w:val="fr-FR"/>
        </w:rPr>
        <w:t>Office des brevets du Japon et des différences ont été résolues au moyen de propositions soumises au prochain Comité d</w:t>
      </w:r>
      <w:r w:rsidRPr="006E1C58">
        <w:rPr>
          <w:szCs w:val="22"/>
          <w:lang w:val="fr-FR"/>
        </w:rPr>
        <w:t>’</w:t>
      </w:r>
      <w:r w:rsidR="00097942" w:rsidRPr="006E1C58">
        <w:rPr>
          <w:szCs w:val="22"/>
          <w:lang w:val="fr-FR"/>
        </w:rPr>
        <w:t>experts de l</w:t>
      </w:r>
      <w:r w:rsidRPr="006E1C58">
        <w:rPr>
          <w:szCs w:val="22"/>
          <w:lang w:val="fr-FR"/>
        </w:rPr>
        <w:t>’</w:t>
      </w:r>
      <w:r w:rsidR="00097942" w:rsidRPr="006E1C58">
        <w:rPr>
          <w:szCs w:val="22"/>
          <w:lang w:val="fr-FR"/>
        </w:rPr>
        <w:t>Union de Nice.</w:t>
      </w:r>
    </w:p>
    <w:p w:rsidR="004A1A3F" w:rsidRPr="006E1C58" w:rsidRDefault="00097942" w:rsidP="002C5B74">
      <w:pPr>
        <w:pStyle w:val="ONUMFS"/>
        <w:rPr>
          <w:lang w:val="fr-FR"/>
        </w:rPr>
      </w:pPr>
      <w:r w:rsidRPr="006E1C58">
        <w:rPr>
          <w:lang w:val="fr-FR"/>
        </w:rPr>
        <w:t>D</w:t>
      </w:r>
      <w:r w:rsidR="006E7A67" w:rsidRPr="006E1C58">
        <w:rPr>
          <w:lang w:val="fr-FR"/>
        </w:rPr>
        <w:t>’</w:t>
      </w:r>
      <w:r w:rsidRPr="006E1C58">
        <w:rPr>
          <w:lang w:val="fr-FR"/>
        </w:rPr>
        <w:t>autres comparaisons entre la base de données MGS et les bases de données de l</w:t>
      </w:r>
      <w:r w:rsidR="006E7A67" w:rsidRPr="006E1C58">
        <w:rPr>
          <w:lang w:val="fr-FR"/>
        </w:rPr>
        <w:t>’</w:t>
      </w:r>
      <w:r w:rsidRPr="006E1C58">
        <w:rPr>
          <w:lang w:val="fr-FR"/>
        </w:rPr>
        <w:t>Office australien (IP</w:t>
      </w:r>
      <w:r w:rsidR="0030109B" w:rsidRPr="006E1C58">
        <w:rPr>
          <w:lang w:val="fr-FR"/>
        </w:rPr>
        <w:t> </w:t>
      </w:r>
      <w:proofErr w:type="spellStart"/>
      <w:r w:rsidRPr="006E1C58">
        <w:rPr>
          <w:lang w:val="fr-FR"/>
        </w:rPr>
        <w:t>Australia</w:t>
      </w:r>
      <w:proofErr w:type="spellEnd"/>
      <w:r w:rsidRPr="006E1C58">
        <w:rPr>
          <w:lang w:val="fr-FR"/>
        </w:rPr>
        <w:t>), de l</w:t>
      </w:r>
      <w:r w:rsidR="006E7A67" w:rsidRPr="006E1C58">
        <w:rPr>
          <w:lang w:val="fr-FR"/>
        </w:rPr>
        <w:t>’</w:t>
      </w:r>
      <w:r w:rsidRPr="006E1C58">
        <w:rPr>
          <w:lang w:val="fr-FR"/>
        </w:rPr>
        <w:t>EUIPO,</w:t>
      </w:r>
      <w:r w:rsidR="006E7A67" w:rsidRPr="006E1C58">
        <w:rPr>
          <w:lang w:val="fr-FR"/>
        </w:rPr>
        <w:t xml:space="preserve"> du JPO</w:t>
      </w:r>
      <w:r w:rsidRPr="006E1C58">
        <w:rPr>
          <w:lang w:val="fr-FR"/>
        </w:rPr>
        <w:t xml:space="preserve"> et de l</w:t>
      </w:r>
      <w:r w:rsidR="006E7A67" w:rsidRPr="006E1C58">
        <w:rPr>
          <w:lang w:val="fr-FR"/>
        </w:rPr>
        <w:t>’</w:t>
      </w:r>
      <w:r w:rsidRPr="006E1C58">
        <w:rPr>
          <w:lang w:val="fr-FR"/>
        </w:rPr>
        <w:t>Office des brevets et des marques des États</w:t>
      </w:r>
      <w:r w:rsidR="00C16F96">
        <w:rPr>
          <w:lang w:val="fr-FR"/>
        </w:rPr>
        <w:noBreakHyphen/>
      </w:r>
      <w:r w:rsidRPr="006E1C58">
        <w:rPr>
          <w:lang w:val="fr-FR"/>
        </w:rPr>
        <w:t>Unis d</w:t>
      </w:r>
      <w:r w:rsidR="006E7A67" w:rsidRPr="006E1C58">
        <w:rPr>
          <w:lang w:val="fr-FR"/>
        </w:rPr>
        <w:t>’</w:t>
      </w:r>
      <w:r w:rsidRPr="006E1C58">
        <w:rPr>
          <w:lang w:val="fr-FR"/>
        </w:rPr>
        <w:t xml:space="preserve">Amérique (USPTO) ont été effectuées au cours des premiers mois </w:t>
      </w:r>
      <w:r w:rsidR="006E7A67" w:rsidRPr="006E1C58">
        <w:rPr>
          <w:lang w:val="fr-FR"/>
        </w:rPr>
        <w:t>de 2017</w:t>
      </w:r>
      <w:r w:rsidRPr="006E1C58">
        <w:rPr>
          <w:lang w:val="fr-FR"/>
        </w:rPr>
        <w:t>.</w:t>
      </w:r>
      <w:r w:rsidR="00AC5390" w:rsidRPr="006E1C58">
        <w:rPr>
          <w:lang w:val="fr-FR"/>
        </w:rPr>
        <w:t xml:space="preserve">  </w:t>
      </w:r>
      <w:r w:rsidRPr="006E1C58">
        <w:rPr>
          <w:lang w:val="fr-FR"/>
        </w:rPr>
        <w:t>Les différences recensées du point de vue du classement seront examinées avec chacun des offices concernés courant</w:t>
      </w:r>
      <w:r w:rsidR="00802A61">
        <w:rPr>
          <w:lang w:val="fr-FR"/>
        </w:rPr>
        <w:t> </w:t>
      </w:r>
      <w:r w:rsidRPr="006E1C58">
        <w:rPr>
          <w:lang w:val="fr-FR"/>
        </w:rPr>
        <w:t>2017.</w:t>
      </w:r>
    </w:p>
    <w:p w:rsidR="004A1A3F" w:rsidRPr="006E1C58" w:rsidRDefault="00097942" w:rsidP="002C5B74">
      <w:pPr>
        <w:pStyle w:val="Heading2"/>
        <w:rPr>
          <w:lang w:val="fr-FR"/>
        </w:rPr>
      </w:pPr>
      <w:r w:rsidRPr="006E1C58">
        <w:rPr>
          <w:lang w:val="fr-FR"/>
        </w:rPr>
        <w:t>Diversité linguistique</w:t>
      </w:r>
    </w:p>
    <w:p w:rsidR="00305776" w:rsidRPr="006E1C58" w:rsidRDefault="00305776" w:rsidP="002C5B74">
      <w:pPr>
        <w:rPr>
          <w:lang w:val="fr-FR"/>
        </w:rPr>
      </w:pPr>
    </w:p>
    <w:p w:rsidR="004A1A3F" w:rsidRPr="006E1C58" w:rsidRDefault="00097942" w:rsidP="002C5B74">
      <w:pPr>
        <w:pStyle w:val="ONUMFS"/>
        <w:rPr>
          <w:lang w:val="fr-FR"/>
        </w:rPr>
      </w:pPr>
      <w:r w:rsidRPr="006E1C58">
        <w:rPr>
          <w:lang w:val="fr-FR"/>
        </w:rPr>
        <w:t>Bien qu</w:t>
      </w:r>
      <w:r w:rsidR="006E7A67" w:rsidRPr="006E1C58">
        <w:rPr>
          <w:lang w:val="fr-FR"/>
        </w:rPr>
        <w:t>’</w:t>
      </w:r>
      <w:r w:rsidRPr="006E1C58">
        <w:rPr>
          <w:lang w:val="fr-FR"/>
        </w:rPr>
        <w:t>aucune nouvelle interface linguistique n</w:t>
      </w:r>
      <w:r w:rsidR="006E7A67" w:rsidRPr="006E1C58">
        <w:rPr>
          <w:lang w:val="fr-FR"/>
        </w:rPr>
        <w:t>’</w:t>
      </w:r>
      <w:r w:rsidRPr="006E1C58">
        <w:rPr>
          <w:lang w:val="fr-FR"/>
        </w:rPr>
        <w:t xml:space="preserve">ait été introduite depuis </w:t>
      </w:r>
      <w:r w:rsidR="006E7A67" w:rsidRPr="006E1C58">
        <w:rPr>
          <w:lang w:val="fr-FR"/>
        </w:rPr>
        <w:t>avril 20</w:t>
      </w:r>
      <w:r w:rsidRPr="006E1C58">
        <w:rPr>
          <w:lang w:val="fr-FR"/>
        </w:rPr>
        <w:t>16, une coopération a commencé avec plusieurs offices de propriété intellectuelle, afin d</w:t>
      </w:r>
      <w:r w:rsidR="006E7A67" w:rsidRPr="006E1C58">
        <w:rPr>
          <w:lang w:val="fr-FR"/>
        </w:rPr>
        <w:t>’</w:t>
      </w:r>
      <w:r w:rsidRPr="006E1C58">
        <w:rPr>
          <w:lang w:val="fr-FR"/>
        </w:rPr>
        <w:t xml:space="preserve">intégrer davantage de langues nationales dans la base de données MGS </w:t>
      </w:r>
      <w:r w:rsidR="006E7A67" w:rsidRPr="006E1C58">
        <w:rPr>
          <w:lang w:val="fr-FR"/>
        </w:rPr>
        <w:t>en 2017</w:t>
      </w:r>
      <w:r w:rsidRPr="006E1C58">
        <w:rPr>
          <w:lang w:val="fr-FR"/>
        </w:rPr>
        <w:t>, notamment avec les offices de la Géorgie et de la Thaïlande.</w:t>
      </w:r>
    </w:p>
    <w:p w:rsidR="004A1A3F" w:rsidRPr="006E1C58" w:rsidRDefault="0010179B" w:rsidP="002C5B74">
      <w:pPr>
        <w:pStyle w:val="ONUMFS"/>
        <w:rPr>
          <w:lang w:val="fr-FR"/>
        </w:rPr>
      </w:pPr>
      <w:r w:rsidRPr="006E1C58">
        <w:rPr>
          <w:lang w:val="fr-FR"/>
        </w:rPr>
        <w:t>Début</w:t>
      </w:r>
      <w:r w:rsidR="00802A61">
        <w:rPr>
          <w:lang w:val="fr-FR"/>
        </w:rPr>
        <w:t> </w:t>
      </w:r>
      <w:r w:rsidRPr="006E1C58">
        <w:rPr>
          <w:lang w:val="fr-FR"/>
        </w:rPr>
        <w:t>2017, l</w:t>
      </w:r>
      <w:r w:rsidR="006E7A67" w:rsidRPr="006E1C58">
        <w:rPr>
          <w:lang w:val="fr-FR"/>
        </w:rPr>
        <w:t>’</w:t>
      </w:r>
      <w:r w:rsidRPr="006E1C58">
        <w:rPr>
          <w:lang w:val="fr-FR"/>
        </w:rPr>
        <w:t>écart entre les traductions française et espagnole, qui s</w:t>
      </w:r>
      <w:r w:rsidR="006E7A67" w:rsidRPr="006E1C58">
        <w:rPr>
          <w:lang w:val="fr-FR"/>
        </w:rPr>
        <w:t>’</w:t>
      </w:r>
      <w:r w:rsidRPr="006E1C58">
        <w:rPr>
          <w:lang w:val="fr-FR"/>
        </w:rPr>
        <w:t>est creusé au cours des dernières années, a été réglé par le Bureau international qui a consacré des ressources spéciales à l</w:t>
      </w:r>
      <w:r w:rsidR="006E7A67" w:rsidRPr="006E1C58">
        <w:rPr>
          <w:lang w:val="fr-FR"/>
        </w:rPr>
        <w:t>’</w:t>
      </w:r>
      <w:r w:rsidRPr="006E1C58">
        <w:rPr>
          <w:lang w:val="fr-FR"/>
        </w:rPr>
        <w:t>harmonisation des trois</w:t>
      </w:r>
      <w:r w:rsidR="0030109B" w:rsidRPr="006E1C58">
        <w:rPr>
          <w:lang w:val="fr-FR"/>
        </w:rPr>
        <w:t> </w:t>
      </w:r>
      <w:r w:rsidRPr="006E1C58">
        <w:rPr>
          <w:lang w:val="fr-FR"/>
        </w:rPr>
        <w:t xml:space="preserve">langues de dépôt du système de Madrid dans la base de données </w:t>
      </w:r>
      <w:r w:rsidR="006E1C58" w:rsidRPr="006E1C58">
        <w:rPr>
          <w:lang w:val="fr-FR"/>
        </w:rPr>
        <w:t>MGS.  En</w:t>
      </w:r>
      <w:r w:rsidRPr="006E1C58">
        <w:rPr>
          <w:lang w:val="fr-FR"/>
        </w:rPr>
        <w:t xml:space="preserve"> conséquence, 12</w:t>
      </w:r>
      <w:r w:rsidR="0030109B" w:rsidRPr="006E1C58">
        <w:rPr>
          <w:lang w:val="fr-FR"/>
        </w:rPr>
        <w:t> </w:t>
      </w:r>
      <w:r w:rsidRPr="006E1C58">
        <w:rPr>
          <w:lang w:val="fr-FR"/>
        </w:rPr>
        <w:t>000</w:t>
      </w:r>
      <w:r w:rsidR="00802A61">
        <w:rPr>
          <w:lang w:val="fr-FR"/>
        </w:rPr>
        <w:t> </w:t>
      </w:r>
      <w:r w:rsidRPr="006E1C58">
        <w:rPr>
          <w:lang w:val="fr-FR"/>
        </w:rPr>
        <w:t xml:space="preserve">termes supplémentaires en français et en espagnol ont été ajoutés à la base de données MGS en </w:t>
      </w:r>
      <w:r w:rsidR="006E7A67" w:rsidRPr="006E1C58">
        <w:rPr>
          <w:lang w:val="fr-FR"/>
        </w:rPr>
        <w:t>mai 20</w:t>
      </w:r>
      <w:r w:rsidRPr="006E1C58">
        <w:rPr>
          <w:lang w:val="fr-FR"/>
        </w:rPr>
        <w:t>17.</w:t>
      </w:r>
    </w:p>
    <w:p w:rsidR="004A1A3F" w:rsidRPr="006E1C58" w:rsidRDefault="0010179B" w:rsidP="002C5B74">
      <w:pPr>
        <w:pStyle w:val="ONUMFS"/>
        <w:rPr>
          <w:lang w:val="fr-FR"/>
        </w:rPr>
      </w:pPr>
      <w:r w:rsidRPr="006E1C58">
        <w:rPr>
          <w:lang w:val="fr-FR"/>
        </w:rPr>
        <w:t>L</w:t>
      </w:r>
      <w:r w:rsidR="006E7A67" w:rsidRPr="006E1C58">
        <w:rPr>
          <w:lang w:val="fr-FR"/>
        </w:rPr>
        <w:t>’annexe I</w:t>
      </w:r>
      <w:r w:rsidRPr="006E1C58">
        <w:rPr>
          <w:lang w:val="fr-FR"/>
        </w:rPr>
        <w:t xml:space="preserve">I donne un aperçu du volume relatif des termes décrivant les produits et services dans les différentes langues de la base de données à la fin du mois de </w:t>
      </w:r>
      <w:r w:rsidR="006E7A67" w:rsidRPr="006E1C58">
        <w:rPr>
          <w:lang w:val="fr-FR"/>
        </w:rPr>
        <w:t>mai 20</w:t>
      </w:r>
      <w:r w:rsidRPr="006E1C58">
        <w:rPr>
          <w:lang w:val="fr-FR"/>
        </w:rPr>
        <w:t>17.</w:t>
      </w:r>
    </w:p>
    <w:p w:rsidR="006E7A67" w:rsidRPr="006E1C58" w:rsidRDefault="0010179B" w:rsidP="002C5B74">
      <w:pPr>
        <w:pStyle w:val="ONUMFS"/>
        <w:rPr>
          <w:lang w:val="fr-FR"/>
        </w:rPr>
      </w:pPr>
      <w:r w:rsidRPr="006E1C58">
        <w:rPr>
          <w:lang w:val="fr-FR"/>
        </w:rPr>
        <w:t xml:space="preserve">En </w:t>
      </w:r>
      <w:r w:rsidR="006E7A67" w:rsidRPr="006E1C58">
        <w:rPr>
          <w:lang w:val="fr-FR"/>
        </w:rPr>
        <w:t>mai 20</w:t>
      </w:r>
      <w:r w:rsidRPr="006E1C58">
        <w:rPr>
          <w:lang w:val="fr-FR"/>
        </w:rPr>
        <w:t>17, de nouveaux ensembles de concepts ont été pré</w:t>
      </w:r>
      <w:r w:rsidR="00900C9D">
        <w:rPr>
          <w:lang w:val="fr-FR"/>
        </w:rPr>
        <w:t>parés pour les pays participant</w:t>
      </w:r>
      <w:r w:rsidRPr="006E1C58">
        <w:rPr>
          <w:lang w:val="fr-FR"/>
        </w:rPr>
        <w:t xml:space="preserve"> à la base de données MGS qui acceptent de fournir des traductions afin d</w:t>
      </w:r>
      <w:r w:rsidR="006E7A67" w:rsidRPr="006E1C58">
        <w:rPr>
          <w:lang w:val="fr-FR"/>
        </w:rPr>
        <w:t>’</w:t>
      </w:r>
      <w:r w:rsidRPr="006E1C58">
        <w:rPr>
          <w:lang w:val="fr-FR"/>
        </w:rPr>
        <w:t>accroître les données disponibles dans leur langue nationale.</w:t>
      </w:r>
    </w:p>
    <w:p w:rsidR="006E7A67" w:rsidRPr="006E1C58" w:rsidRDefault="0010179B" w:rsidP="002C5B74">
      <w:pPr>
        <w:pStyle w:val="ONUMFS"/>
        <w:rPr>
          <w:lang w:val="fr-FR"/>
        </w:rPr>
      </w:pPr>
      <w:r w:rsidRPr="006E1C58">
        <w:rPr>
          <w:lang w:val="fr-FR"/>
        </w:rPr>
        <w:t>Dans certaines langues, il a été possible de transmettre aux offices des traductions automatiques produites avec l</w:t>
      </w:r>
      <w:r w:rsidR="006E7A67" w:rsidRPr="006E1C58">
        <w:rPr>
          <w:lang w:val="fr-FR"/>
        </w:rPr>
        <w:t>’</w:t>
      </w:r>
      <w:r w:rsidRPr="006E1C58">
        <w:rPr>
          <w:lang w:val="fr-FR"/>
        </w:rPr>
        <w:t xml:space="preserve">outil </w:t>
      </w:r>
      <w:r w:rsidR="0030109B" w:rsidRPr="006E1C58">
        <w:rPr>
          <w:lang w:val="fr-FR"/>
        </w:rPr>
        <w:t>“</w:t>
      </w:r>
      <w:r w:rsidRPr="006E1C58">
        <w:rPr>
          <w:lang w:val="fr-FR"/>
        </w:rPr>
        <w:t>WIPO Translate</w:t>
      </w:r>
      <w:r w:rsidR="0030109B" w:rsidRPr="006E1C58">
        <w:rPr>
          <w:lang w:val="fr-FR"/>
        </w:rPr>
        <w:t>”.</w:t>
      </w:r>
      <w:r w:rsidR="00AC5390" w:rsidRPr="006E1C58">
        <w:rPr>
          <w:lang w:val="fr-FR"/>
        </w:rPr>
        <w:t xml:space="preserve"> </w:t>
      </w:r>
      <w:r w:rsidR="00FA59D0" w:rsidRPr="006E1C58">
        <w:rPr>
          <w:lang w:val="fr-FR"/>
        </w:rPr>
        <w:t xml:space="preserve"> </w:t>
      </w:r>
      <w:r w:rsidR="00565451" w:rsidRPr="006E1C58">
        <w:rPr>
          <w:lang w:val="fr-FR"/>
        </w:rPr>
        <w:t xml:space="preserve">Initialement conçu pour traduire des textes issus de documents de </w:t>
      </w:r>
      <w:r w:rsidR="0030109B" w:rsidRPr="006E1C58">
        <w:rPr>
          <w:lang w:val="fr-FR"/>
        </w:rPr>
        <w:t>brevet</w:t>
      </w:r>
      <w:r w:rsidR="00565451" w:rsidRPr="006E1C58">
        <w:rPr>
          <w:lang w:val="fr-FR"/>
        </w:rPr>
        <w:t>, cet outil de l</w:t>
      </w:r>
      <w:r w:rsidR="006E7A67" w:rsidRPr="006E1C58">
        <w:rPr>
          <w:lang w:val="fr-FR"/>
        </w:rPr>
        <w:t>’</w:t>
      </w:r>
      <w:r w:rsidR="00565451" w:rsidRPr="006E1C58">
        <w:rPr>
          <w:lang w:val="fr-FR"/>
        </w:rPr>
        <w:t>OMPI produit des traductions de première qualité et bénéficiera bientôt de la mise en œuvre d</w:t>
      </w:r>
      <w:r w:rsidR="006E7A67" w:rsidRPr="006E1C58">
        <w:rPr>
          <w:lang w:val="fr-FR"/>
        </w:rPr>
        <w:t>’</w:t>
      </w:r>
      <w:r w:rsidR="00565451" w:rsidRPr="006E1C58">
        <w:rPr>
          <w:lang w:val="fr-FR"/>
        </w:rPr>
        <w:t>une technologie de traduction neuronale de pointe.</w:t>
      </w:r>
      <w:r w:rsidR="00FA59D0" w:rsidRPr="006E1C58">
        <w:rPr>
          <w:lang w:val="fr-FR"/>
        </w:rPr>
        <w:t xml:space="preserve"> </w:t>
      </w:r>
      <w:r w:rsidR="00AC5390" w:rsidRPr="006E1C58">
        <w:rPr>
          <w:lang w:val="fr-FR"/>
        </w:rPr>
        <w:t xml:space="preserve"> </w:t>
      </w:r>
      <w:r w:rsidR="00565451" w:rsidRPr="006E1C58">
        <w:rPr>
          <w:lang w:val="fr-FR"/>
        </w:rPr>
        <w:t>WIPO Translate a été adapté à la traduction des descriptions de produits et services utilisées pour les demandes d</w:t>
      </w:r>
      <w:r w:rsidR="006E7A67" w:rsidRPr="006E1C58">
        <w:rPr>
          <w:lang w:val="fr-FR"/>
        </w:rPr>
        <w:t>’</w:t>
      </w:r>
      <w:r w:rsidR="00565451" w:rsidRPr="006E1C58">
        <w:rPr>
          <w:lang w:val="fr-FR"/>
        </w:rPr>
        <w:t xml:space="preserve">enregistrement de marques, compte tenu des données actuellement présentes dans la base de données </w:t>
      </w:r>
      <w:r w:rsidR="006E1C58" w:rsidRPr="006E1C58">
        <w:rPr>
          <w:lang w:val="fr-FR"/>
        </w:rPr>
        <w:t>MGS.  Le</w:t>
      </w:r>
      <w:r w:rsidR="00565451" w:rsidRPr="006E1C58">
        <w:rPr>
          <w:lang w:val="fr-FR"/>
        </w:rPr>
        <w:t xml:space="preserve">s offices de propriété intellectuelle qui pourraient </w:t>
      </w:r>
      <w:r w:rsidR="001C0EA6" w:rsidRPr="006E1C58">
        <w:rPr>
          <w:lang w:val="fr-FR"/>
        </w:rPr>
        <w:t>recevoir des</w:t>
      </w:r>
      <w:r w:rsidR="00565451" w:rsidRPr="006E1C58">
        <w:rPr>
          <w:lang w:val="fr-FR"/>
        </w:rPr>
        <w:t xml:space="preserve"> traductions automatiques </w:t>
      </w:r>
      <w:r w:rsidR="001C0EA6" w:rsidRPr="006E1C58">
        <w:rPr>
          <w:lang w:val="fr-FR"/>
        </w:rPr>
        <w:t>à</w:t>
      </w:r>
      <w:r w:rsidR="00565451" w:rsidRPr="006E1C58">
        <w:rPr>
          <w:lang w:val="fr-FR"/>
        </w:rPr>
        <w:t xml:space="preserve"> exam</w:t>
      </w:r>
      <w:r w:rsidR="001C0EA6" w:rsidRPr="006E1C58">
        <w:rPr>
          <w:lang w:val="fr-FR"/>
        </w:rPr>
        <w:t>i</w:t>
      </w:r>
      <w:r w:rsidR="00565451" w:rsidRPr="006E1C58">
        <w:rPr>
          <w:lang w:val="fr-FR"/>
        </w:rPr>
        <w:t>n</w:t>
      </w:r>
      <w:r w:rsidR="001C0EA6" w:rsidRPr="006E1C58">
        <w:rPr>
          <w:lang w:val="fr-FR"/>
        </w:rPr>
        <w:t>er</w:t>
      </w:r>
      <w:r w:rsidR="00565451" w:rsidRPr="006E1C58">
        <w:rPr>
          <w:lang w:val="fr-FR"/>
        </w:rPr>
        <w:t xml:space="preserve"> sont les offices de la Chine, de la Fédération de Russie, du Japon et de la République de Corée.</w:t>
      </w:r>
    </w:p>
    <w:p w:rsidR="004A1A3F" w:rsidRPr="006E1C58" w:rsidRDefault="00565451" w:rsidP="002C5B74">
      <w:pPr>
        <w:pStyle w:val="Heading1"/>
        <w:rPr>
          <w:lang w:val="fr-FR"/>
        </w:rPr>
      </w:pPr>
      <w:r w:rsidRPr="006E1C58">
        <w:rPr>
          <w:lang w:val="fr-FR"/>
        </w:rPr>
        <w:t>Poursuite de l</w:t>
      </w:r>
      <w:r w:rsidR="006E7A67" w:rsidRPr="006E1C58">
        <w:rPr>
          <w:lang w:val="fr-FR"/>
        </w:rPr>
        <w:t>’</w:t>
      </w:r>
      <w:r w:rsidRPr="006E1C58">
        <w:rPr>
          <w:lang w:val="fr-FR"/>
        </w:rPr>
        <w:t>enrichissement de la base de données MGS</w:t>
      </w:r>
    </w:p>
    <w:p w:rsidR="004A1A3F" w:rsidRPr="006E1C58" w:rsidRDefault="00305776" w:rsidP="002C5B74">
      <w:pPr>
        <w:pStyle w:val="Heading2"/>
        <w:rPr>
          <w:lang w:val="fr-FR"/>
        </w:rPr>
      </w:pPr>
      <w:r w:rsidRPr="006E1C58">
        <w:rPr>
          <w:lang w:val="fr-FR"/>
        </w:rPr>
        <w:t>Intégration de nouvelles indications de produits et services</w:t>
      </w:r>
    </w:p>
    <w:p w:rsidR="00305776" w:rsidRPr="006E1C58" w:rsidRDefault="00305776" w:rsidP="002C5B74">
      <w:pPr>
        <w:rPr>
          <w:lang w:val="fr-FR"/>
        </w:rPr>
      </w:pPr>
    </w:p>
    <w:p w:rsidR="004A1A3F" w:rsidRPr="006E1C58" w:rsidRDefault="00565451" w:rsidP="002C5B74">
      <w:pPr>
        <w:pStyle w:val="ONUMFS"/>
        <w:rPr>
          <w:lang w:val="fr-FR"/>
        </w:rPr>
      </w:pPr>
      <w:r w:rsidRPr="006E1C58">
        <w:rPr>
          <w:lang w:val="fr-FR"/>
        </w:rPr>
        <w:t>Afin de rendre la base de données MGS aussi utile que possible pour les déposants de demandes internationales et nationales, celle</w:t>
      </w:r>
      <w:r w:rsidR="00C16F96">
        <w:rPr>
          <w:lang w:val="fr-FR"/>
        </w:rPr>
        <w:noBreakHyphen/>
      </w:r>
      <w:r w:rsidRPr="006E1C58">
        <w:rPr>
          <w:lang w:val="fr-FR"/>
        </w:rPr>
        <w:t>ci continuera d</w:t>
      </w:r>
      <w:r w:rsidR="006E7A67" w:rsidRPr="006E1C58">
        <w:rPr>
          <w:lang w:val="fr-FR"/>
        </w:rPr>
        <w:t>’</w:t>
      </w:r>
      <w:r w:rsidRPr="006E1C58">
        <w:rPr>
          <w:lang w:val="fr-FR"/>
        </w:rPr>
        <w:t xml:space="preserve">être alimentée </w:t>
      </w:r>
      <w:r w:rsidR="001C0EA6" w:rsidRPr="006E1C58">
        <w:rPr>
          <w:lang w:val="fr-FR"/>
        </w:rPr>
        <w:t xml:space="preserve">en </w:t>
      </w:r>
      <w:r w:rsidRPr="006E1C58">
        <w:rPr>
          <w:lang w:val="fr-FR"/>
        </w:rPr>
        <w:t>indications de produits et de services extraites de différentes sources, telles que</w:t>
      </w:r>
      <w:r w:rsidR="006E7A67" w:rsidRPr="006E1C58">
        <w:rPr>
          <w:lang w:val="fr-FR"/>
        </w:rPr>
        <w:t> :</w:t>
      </w:r>
    </w:p>
    <w:p w:rsidR="004A1A3F" w:rsidRPr="006E1C58" w:rsidRDefault="00565451" w:rsidP="002C5B74">
      <w:pPr>
        <w:pStyle w:val="ONUMFS"/>
        <w:numPr>
          <w:ilvl w:val="0"/>
          <w:numId w:val="18"/>
        </w:numPr>
        <w:tabs>
          <w:tab w:val="clear" w:pos="567"/>
          <w:tab w:val="num" w:pos="1134"/>
        </w:tabs>
        <w:ind w:left="1134" w:hanging="567"/>
        <w:rPr>
          <w:lang w:val="fr-FR"/>
        </w:rPr>
      </w:pPr>
      <w:r w:rsidRPr="006E1C58">
        <w:rPr>
          <w:lang w:val="fr-FR"/>
        </w:rPr>
        <w:t>les termes fréquemment utilisés extraits périodiquement des demandes internationales reçues par le Bureau international ainsi que du Registre international des marques;</w:t>
      </w:r>
    </w:p>
    <w:p w:rsidR="002C5B74" w:rsidRDefault="002C5B74">
      <w:pPr>
        <w:rPr>
          <w:lang w:val="fr-FR"/>
        </w:rPr>
      </w:pPr>
      <w:r>
        <w:rPr>
          <w:lang w:val="fr-FR"/>
        </w:rPr>
        <w:br w:type="page"/>
      </w:r>
    </w:p>
    <w:p w:rsidR="004A1A3F" w:rsidRPr="006E1C58" w:rsidRDefault="00565451" w:rsidP="002C5B74">
      <w:pPr>
        <w:pStyle w:val="ONUMFS"/>
        <w:numPr>
          <w:ilvl w:val="0"/>
          <w:numId w:val="18"/>
        </w:numPr>
        <w:tabs>
          <w:tab w:val="clear" w:pos="567"/>
          <w:tab w:val="num" w:pos="1134"/>
        </w:tabs>
        <w:ind w:left="1134" w:hanging="567"/>
        <w:rPr>
          <w:lang w:val="fr-FR"/>
        </w:rPr>
      </w:pPr>
      <w:r w:rsidRPr="006E1C58">
        <w:rPr>
          <w:lang w:val="fr-FR"/>
        </w:rPr>
        <w:t>la liste harmonisée des produits et services TM5 – ID (liste harmonisée élaborée conjointement par l</w:t>
      </w:r>
      <w:r w:rsidR="006E7A67" w:rsidRPr="006E1C58">
        <w:rPr>
          <w:lang w:val="fr-FR"/>
        </w:rPr>
        <w:t>’</w:t>
      </w:r>
      <w:r w:rsidRPr="006E1C58">
        <w:rPr>
          <w:lang w:val="fr-FR"/>
        </w:rPr>
        <w:t>EUIPO,</w:t>
      </w:r>
      <w:r w:rsidR="006E7A67" w:rsidRPr="006E1C58">
        <w:rPr>
          <w:lang w:val="fr-FR"/>
        </w:rPr>
        <w:t xml:space="preserve"> le JPO</w:t>
      </w:r>
      <w:r w:rsidRPr="006E1C58">
        <w:rPr>
          <w:lang w:val="fr-FR"/>
        </w:rPr>
        <w:t>, l</w:t>
      </w:r>
      <w:r w:rsidR="006E7A67" w:rsidRPr="006E1C58">
        <w:rPr>
          <w:lang w:val="fr-FR"/>
        </w:rPr>
        <w:t>’</w:t>
      </w:r>
      <w:r w:rsidRPr="006E1C58">
        <w:rPr>
          <w:lang w:val="fr-FR"/>
        </w:rPr>
        <w:t>Office coréen de la propriété intellectuelle (KIPO), l</w:t>
      </w:r>
      <w:r w:rsidR="006E7A67" w:rsidRPr="006E1C58">
        <w:rPr>
          <w:lang w:val="fr-FR"/>
        </w:rPr>
        <w:t>’</w:t>
      </w:r>
      <w:r w:rsidRPr="006E1C58">
        <w:rPr>
          <w:lang w:val="fr-FR"/>
        </w:rPr>
        <w:t>Administration d</w:t>
      </w:r>
      <w:r w:rsidR="006E7A67" w:rsidRPr="006E1C58">
        <w:rPr>
          <w:lang w:val="fr-FR"/>
        </w:rPr>
        <w:t>’</w:t>
      </w:r>
      <w:r w:rsidRPr="006E1C58">
        <w:rPr>
          <w:lang w:val="fr-FR"/>
        </w:rPr>
        <w:t>État pour l</w:t>
      </w:r>
      <w:r w:rsidR="006E7A67" w:rsidRPr="006E1C58">
        <w:rPr>
          <w:lang w:val="fr-FR"/>
        </w:rPr>
        <w:t>’</w:t>
      </w:r>
      <w:r w:rsidRPr="006E1C58">
        <w:rPr>
          <w:lang w:val="fr-FR"/>
        </w:rPr>
        <w:t>industrie et le commerce de la République populaire de Chine (SAIC) et l</w:t>
      </w:r>
      <w:r w:rsidR="006E7A67" w:rsidRPr="006E1C58">
        <w:rPr>
          <w:lang w:val="fr-FR"/>
        </w:rPr>
        <w:t>’</w:t>
      </w:r>
      <w:r w:rsidRPr="006E1C58">
        <w:rPr>
          <w:lang w:val="fr-FR"/>
        </w:rPr>
        <w:t>USPTO</w:t>
      </w:r>
      <w:r w:rsidR="00802A61">
        <w:rPr>
          <w:lang w:val="fr-FR"/>
        </w:rPr>
        <w:t>)</w:t>
      </w:r>
      <w:r w:rsidRPr="006E1C58">
        <w:rPr>
          <w:lang w:val="fr-FR"/>
        </w:rPr>
        <w:t>;</w:t>
      </w:r>
    </w:p>
    <w:p w:rsidR="004A1A3F" w:rsidRPr="006E1C58" w:rsidRDefault="00565451" w:rsidP="002C5B74">
      <w:pPr>
        <w:pStyle w:val="ONUMFS"/>
        <w:numPr>
          <w:ilvl w:val="0"/>
          <w:numId w:val="18"/>
        </w:numPr>
        <w:tabs>
          <w:tab w:val="clear" w:pos="567"/>
          <w:tab w:val="num" w:pos="1134"/>
        </w:tabs>
        <w:ind w:left="1134" w:hanging="567"/>
        <w:rPr>
          <w:lang w:val="fr-FR"/>
        </w:rPr>
      </w:pPr>
      <w:r w:rsidRPr="006E1C58">
        <w:rPr>
          <w:lang w:val="fr-FR"/>
        </w:rPr>
        <w:t>la base de données européenne harmonisée;</w:t>
      </w:r>
    </w:p>
    <w:p w:rsidR="004A1A3F" w:rsidRPr="006E1C58" w:rsidRDefault="00565451" w:rsidP="002C5B74">
      <w:pPr>
        <w:pStyle w:val="ONUMFS"/>
        <w:numPr>
          <w:ilvl w:val="0"/>
          <w:numId w:val="18"/>
        </w:numPr>
        <w:tabs>
          <w:tab w:val="clear" w:pos="567"/>
          <w:tab w:val="num" w:pos="1134"/>
        </w:tabs>
        <w:ind w:left="1134" w:hanging="567"/>
        <w:rPr>
          <w:lang w:val="fr-FR"/>
        </w:rPr>
      </w:pPr>
      <w:r w:rsidRPr="006E1C58">
        <w:rPr>
          <w:lang w:val="fr-FR"/>
        </w:rPr>
        <w:t>les listes nationales de produits et de services reçues des offices de propriété intellectuelle nationaux, telles que celles déjà communiquées par les pays suivants</w:t>
      </w:r>
      <w:r w:rsidR="006E7A67" w:rsidRPr="006E1C58">
        <w:rPr>
          <w:lang w:val="fr-FR"/>
        </w:rPr>
        <w:t> :</w:t>
      </w:r>
      <w:r w:rsidRPr="006E1C58">
        <w:rPr>
          <w:lang w:val="fr-FR"/>
        </w:rPr>
        <w:t xml:space="preserve"> Australie, Chine, Japon, République de Corée, Suisse et Turquie;  et</w:t>
      </w:r>
    </w:p>
    <w:p w:rsidR="004A1A3F" w:rsidRPr="006E1C58" w:rsidRDefault="00565451" w:rsidP="002C5B74">
      <w:pPr>
        <w:pStyle w:val="ONUMFS"/>
        <w:numPr>
          <w:ilvl w:val="0"/>
          <w:numId w:val="18"/>
        </w:numPr>
        <w:tabs>
          <w:tab w:val="clear" w:pos="567"/>
          <w:tab w:val="num" w:pos="1134"/>
        </w:tabs>
        <w:ind w:left="1134" w:hanging="567"/>
        <w:rPr>
          <w:lang w:val="fr-FR"/>
        </w:rPr>
      </w:pPr>
      <w:r w:rsidRPr="006E1C58">
        <w:rPr>
          <w:lang w:val="fr-FR"/>
        </w:rPr>
        <w:t>les registres de marques nationaux des pays coopérant avec l</w:t>
      </w:r>
      <w:r w:rsidR="006E7A67" w:rsidRPr="006E1C58">
        <w:rPr>
          <w:lang w:val="fr-FR"/>
        </w:rPr>
        <w:t>’</w:t>
      </w:r>
      <w:r w:rsidRPr="006E1C58">
        <w:rPr>
          <w:lang w:val="fr-FR"/>
        </w:rPr>
        <w:t>OMPI dans le cadre du projet de base de données mondiale sur les marques, et dont les indications fréquemment utilisées qui ne figurent pas encore dans la base MGS seront examinées en vue de leur intégrati</w:t>
      </w:r>
      <w:r w:rsidR="006E1C58" w:rsidRPr="006E1C58">
        <w:rPr>
          <w:lang w:val="fr-FR"/>
        </w:rPr>
        <w:t>on.  Au</w:t>
      </w:r>
      <w:r w:rsidRPr="006E1C58">
        <w:rPr>
          <w:lang w:val="fr-FR"/>
        </w:rPr>
        <w:t>x fins de leur intégration dans la base de données MGS, des termes fréquemment utilisés ont déjà été extraits des registres nationaux de l</w:t>
      </w:r>
      <w:r w:rsidR="006E7A67" w:rsidRPr="006E1C58">
        <w:rPr>
          <w:lang w:val="fr-FR"/>
        </w:rPr>
        <w:t>’</w:t>
      </w:r>
      <w:r w:rsidRPr="006E1C58">
        <w:rPr>
          <w:lang w:val="fr-FR"/>
        </w:rPr>
        <w:t>Australie, du Canada, des États</w:t>
      </w:r>
      <w:r w:rsidR="00C16F96">
        <w:rPr>
          <w:lang w:val="fr-FR"/>
        </w:rPr>
        <w:noBreakHyphen/>
      </w:r>
      <w:r w:rsidRPr="006E1C58">
        <w:rPr>
          <w:lang w:val="fr-FR"/>
        </w:rPr>
        <w:t>Unis d</w:t>
      </w:r>
      <w:r w:rsidR="006E7A67" w:rsidRPr="006E1C58">
        <w:rPr>
          <w:lang w:val="fr-FR"/>
        </w:rPr>
        <w:t>’</w:t>
      </w:r>
      <w:r w:rsidRPr="006E1C58">
        <w:rPr>
          <w:lang w:val="fr-FR"/>
        </w:rPr>
        <w:t>Amérique, d</w:t>
      </w:r>
      <w:r w:rsidR="006E7A67" w:rsidRPr="006E1C58">
        <w:rPr>
          <w:lang w:val="fr-FR"/>
        </w:rPr>
        <w:t>’</w:t>
      </w:r>
      <w:r w:rsidRPr="006E1C58">
        <w:rPr>
          <w:lang w:val="fr-FR"/>
        </w:rPr>
        <w:t>Israël, de la Fédération de Russie, du Japon, du Mexique, de la Nouvelle</w:t>
      </w:r>
      <w:r w:rsidR="00C16F96">
        <w:rPr>
          <w:lang w:val="fr-FR"/>
        </w:rPr>
        <w:noBreakHyphen/>
      </w:r>
      <w:r w:rsidRPr="006E1C58">
        <w:rPr>
          <w:lang w:val="fr-FR"/>
        </w:rPr>
        <w:t>Zélande, de Singapour et de la Suisse.</w:t>
      </w:r>
    </w:p>
    <w:p w:rsidR="004A1A3F" w:rsidRPr="006E1C58" w:rsidRDefault="00305776" w:rsidP="002C5B74">
      <w:pPr>
        <w:pStyle w:val="Heading1"/>
        <w:rPr>
          <w:lang w:val="fr-FR"/>
        </w:rPr>
      </w:pPr>
      <w:r w:rsidRPr="006E1C58">
        <w:rPr>
          <w:lang w:val="fr-FR"/>
        </w:rPr>
        <w:t>Budget</w:t>
      </w:r>
    </w:p>
    <w:p w:rsidR="00305776" w:rsidRPr="006E1C58" w:rsidRDefault="00305776" w:rsidP="002C5B74">
      <w:pPr>
        <w:rPr>
          <w:lang w:val="fr-FR"/>
        </w:rPr>
      </w:pPr>
    </w:p>
    <w:p w:rsidR="006867A9" w:rsidRPr="006E1C58" w:rsidRDefault="006E7A67" w:rsidP="002C5B74">
      <w:pPr>
        <w:pStyle w:val="ONUMFS"/>
        <w:rPr>
          <w:lang w:val="fr-FR"/>
        </w:rPr>
      </w:pPr>
      <w:r w:rsidRPr="006E1C58">
        <w:rPr>
          <w:lang w:val="fr-FR"/>
        </w:rPr>
        <w:t>En 2016</w:t>
      </w:r>
      <w:r w:rsidR="00565451" w:rsidRPr="006E1C58">
        <w:rPr>
          <w:lang w:val="fr-FR"/>
        </w:rPr>
        <w:t>, l</w:t>
      </w:r>
      <w:r w:rsidRPr="006E1C58">
        <w:rPr>
          <w:lang w:val="fr-FR"/>
        </w:rPr>
        <w:t>’</w:t>
      </w:r>
      <w:r w:rsidR="00565451" w:rsidRPr="006E1C58">
        <w:rPr>
          <w:lang w:val="fr-FR"/>
        </w:rPr>
        <w:t>Assemblée de l</w:t>
      </w:r>
      <w:r w:rsidRPr="006E1C58">
        <w:rPr>
          <w:lang w:val="fr-FR"/>
        </w:rPr>
        <w:t>’</w:t>
      </w:r>
      <w:r w:rsidR="00565451" w:rsidRPr="006E1C58">
        <w:rPr>
          <w:lang w:val="fr-FR"/>
        </w:rPr>
        <w:t>Union de Madrid a approuvé l</w:t>
      </w:r>
      <w:r w:rsidRPr="006E1C58">
        <w:rPr>
          <w:lang w:val="fr-FR"/>
        </w:rPr>
        <w:t>’</w:t>
      </w:r>
      <w:r w:rsidR="00565451" w:rsidRPr="006E1C58">
        <w:rPr>
          <w:lang w:val="fr-FR"/>
        </w:rPr>
        <w:t>utilisation du solde des crédits du projet à fin</w:t>
      </w:r>
      <w:r w:rsidR="00802A61">
        <w:rPr>
          <w:lang w:val="fr-FR"/>
        </w:rPr>
        <w:t> </w:t>
      </w:r>
      <w:r w:rsidR="00565451" w:rsidRPr="006E1C58">
        <w:rPr>
          <w:lang w:val="fr-FR"/>
        </w:rPr>
        <w:t xml:space="preserve">2016 pour aider certains offices nationaux initialement retenus </w:t>
      </w:r>
      <w:r w:rsidRPr="006E1C58">
        <w:rPr>
          <w:lang w:val="fr-FR"/>
        </w:rPr>
        <w:t>en 2009</w:t>
      </w:r>
      <w:r w:rsidR="00565451" w:rsidRPr="006E1C58">
        <w:rPr>
          <w:lang w:val="fr-FR"/>
        </w:rPr>
        <w:t xml:space="preserve"> ou avec lesquels un mémorandum d</w:t>
      </w:r>
      <w:r w:rsidRPr="006E1C58">
        <w:rPr>
          <w:lang w:val="fr-FR"/>
        </w:rPr>
        <w:t>’</w:t>
      </w:r>
      <w:r w:rsidR="00565451" w:rsidRPr="006E1C58">
        <w:rPr>
          <w:lang w:val="fr-FR"/>
        </w:rPr>
        <w:t>accord a</w:t>
      </w:r>
      <w:r w:rsidR="00C16F96">
        <w:rPr>
          <w:lang w:val="fr-FR"/>
        </w:rPr>
        <w:t xml:space="preserve"> été signé avant </w:t>
      </w:r>
      <w:r w:rsidR="00565451" w:rsidRPr="006E1C58">
        <w:rPr>
          <w:lang w:val="fr-FR"/>
        </w:rPr>
        <w:t>2015.</w:t>
      </w:r>
      <w:r w:rsidR="00AC5390" w:rsidRPr="006E1C58">
        <w:rPr>
          <w:lang w:val="fr-FR"/>
        </w:rPr>
        <w:t xml:space="preserve"> </w:t>
      </w:r>
      <w:r w:rsidR="00A02F32" w:rsidRPr="006E1C58">
        <w:rPr>
          <w:lang w:val="fr-FR"/>
        </w:rPr>
        <w:t xml:space="preserve"> </w:t>
      </w:r>
      <w:r w:rsidR="00565451" w:rsidRPr="006E1C58">
        <w:rPr>
          <w:lang w:val="fr-FR"/>
        </w:rPr>
        <w:t xml:space="preserve">Ces fonds ont été consacrés à la traduction de la base de données MGS dans les langues nationales (voir le </w:t>
      </w:r>
      <w:r w:rsidRPr="006E1C58">
        <w:rPr>
          <w:lang w:val="fr-FR"/>
        </w:rPr>
        <w:t>paragraphe 3</w:t>
      </w:r>
      <w:r w:rsidR="00565451" w:rsidRPr="006E1C58">
        <w:rPr>
          <w:lang w:val="fr-FR"/>
        </w:rPr>
        <w:t>4 du document MM/A/50/1).</w:t>
      </w:r>
    </w:p>
    <w:p w:rsidR="004A1A3F" w:rsidRPr="006E1C58" w:rsidRDefault="00973F8E" w:rsidP="002C5B74">
      <w:pPr>
        <w:pStyle w:val="ONUMFS"/>
        <w:rPr>
          <w:lang w:val="fr-FR"/>
        </w:rPr>
      </w:pPr>
      <w:r w:rsidRPr="006E1C58">
        <w:rPr>
          <w:lang w:val="fr-FR"/>
        </w:rPr>
        <w:t>L</w:t>
      </w:r>
      <w:r w:rsidR="006E7A67" w:rsidRPr="006E1C58">
        <w:rPr>
          <w:lang w:val="fr-FR"/>
        </w:rPr>
        <w:t>’annexe I</w:t>
      </w:r>
      <w:r w:rsidRPr="006E1C58">
        <w:rPr>
          <w:lang w:val="fr-FR"/>
        </w:rPr>
        <w:t>II contient un tableau indiquant la ventilation d</w:t>
      </w:r>
      <w:r w:rsidR="00A706C1" w:rsidRPr="006E1C58">
        <w:rPr>
          <w:lang w:val="fr-FR"/>
        </w:rPr>
        <w:t>e la dotation initiale (232 000 </w:t>
      </w:r>
      <w:r w:rsidRPr="006E1C58">
        <w:rPr>
          <w:lang w:val="fr-FR"/>
        </w:rPr>
        <w:t>francs suisses) mise à disposition par l</w:t>
      </w:r>
      <w:r w:rsidR="006E7A67" w:rsidRPr="006E1C58">
        <w:rPr>
          <w:lang w:val="fr-FR"/>
        </w:rPr>
        <w:t>’</w:t>
      </w:r>
      <w:r w:rsidRPr="006E1C58">
        <w:rPr>
          <w:lang w:val="fr-FR"/>
        </w:rPr>
        <w:t>OMPI pour la traduction de la base de données MGS et les dépenses effectivement engagées jusqu</w:t>
      </w:r>
      <w:r w:rsidR="006E7A67" w:rsidRPr="006E1C58">
        <w:rPr>
          <w:lang w:val="fr-FR"/>
        </w:rPr>
        <w:t>’</w:t>
      </w:r>
      <w:r w:rsidRPr="006E1C58">
        <w:rPr>
          <w:lang w:val="fr-FR"/>
        </w:rPr>
        <w:t>au 3</w:t>
      </w:r>
      <w:r w:rsidR="006E7A67" w:rsidRPr="006E1C58">
        <w:rPr>
          <w:lang w:val="fr-FR"/>
        </w:rPr>
        <w:t>1 mai 20</w:t>
      </w:r>
      <w:r w:rsidRPr="006E1C58">
        <w:rPr>
          <w:lang w:val="fr-FR"/>
        </w:rPr>
        <w:t>17, pour le travail de traduction effectué par les offices nationaux mentionnés au paragraphe précéde</w:t>
      </w:r>
      <w:r w:rsidR="006E1C58" w:rsidRPr="006E1C58">
        <w:rPr>
          <w:lang w:val="fr-FR"/>
        </w:rPr>
        <w:t>nt.  Le</w:t>
      </w:r>
      <w:r w:rsidRPr="006E1C58">
        <w:rPr>
          <w:lang w:val="fr-FR"/>
        </w:rPr>
        <w:t xml:space="preserve"> tableau indique en particulier (dans la colonne “Solde”) les fonds dont chaque office participant dispose encore pour poursuivre la traduction de la base de données MGS.</w:t>
      </w:r>
    </w:p>
    <w:p w:rsidR="004A1A3F" w:rsidRPr="006E1C58" w:rsidRDefault="00973F8E" w:rsidP="002C5B74">
      <w:pPr>
        <w:pStyle w:val="ONUMFS"/>
        <w:rPr>
          <w:lang w:val="fr-FR"/>
        </w:rPr>
      </w:pPr>
      <w:r w:rsidRPr="006E1C58">
        <w:rPr>
          <w:lang w:val="fr-FR"/>
        </w:rPr>
        <w:t>Au 3</w:t>
      </w:r>
      <w:r w:rsidR="006E7A67" w:rsidRPr="006E1C58">
        <w:rPr>
          <w:lang w:val="fr-FR"/>
        </w:rPr>
        <w:t>1 mai 20</w:t>
      </w:r>
      <w:r w:rsidRPr="006E1C58">
        <w:rPr>
          <w:lang w:val="fr-FR"/>
        </w:rPr>
        <w:t>17, un montant total de 82</w:t>
      </w:r>
      <w:r w:rsidR="0030109B" w:rsidRPr="006E1C58">
        <w:rPr>
          <w:lang w:val="fr-FR"/>
        </w:rPr>
        <w:t> </w:t>
      </w:r>
      <w:r w:rsidRPr="006E1C58">
        <w:rPr>
          <w:lang w:val="fr-FR"/>
        </w:rPr>
        <w:t>49</w:t>
      </w:r>
      <w:r w:rsidR="006E7A67" w:rsidRPr="006E1C58">
        <w:rPr>
          <w:lang w:val="fr-FR"/>
        </w:rPr>
        <w:t>7 franc</w:t>
      </w:r>
      <w:r w:rsidRPr="006E1C58">
        <w:rPr>
          <w:lang w:val="fr-FR"/>
        </w:rPr>
        <w:t>s suisses restait disponible pour financer la traduction de la base de données MGS dans les langues pour lesquelles un mémorandum d</w:t>
      </w:r>
      <w:r w:rsidR="006E7A67" w:rsidRPr="006E1C58">
        <w:rPr>
          <w:lang w:val="fr-FR"/>
        </w:rPr>
        <w:t>’</w:t>
      </w:r>
      <w:r w:rsidRPr="006E1C58">
        <w:rPr>
          <w:lang w:val="fr-FR"/>
        </w:rPr>
        <w:t>accord a été signé entre l</w:t>
      </w:r>
      <w:r w:rsidR="006E7A67" w:rsidRPr="006E1C58">
        <w:rPr>
          <w:lang w:val="fr-FR"/>
        </w:rPr>
        <w:t>’</w:t>
      </w:r>
      <w:r w:rsidRPr="006E1C58">
        <w:rPr>
          <w:lang w:val="fr-FR"/>
        </w:rPr>
        <w:t>OMPI et l</w:t>
      </w:r>
      <w:r w:rsidR="006E7A67" w:rsidRPr="006E1C58">
        <w:rPr>
          <w:lang w:val="fr-FR"/>
        </w:rPr>
        <w:t>’</w:t>
      </w:r>
      <w:r w:rsidRPr="006E1C58">
        <w:rPr>
          <w:lang w:val="fr-FR"/>
        </w:rPr>
        <w:t>office national correspondant.</w:t>
      </w:r>
    </w:p>
    <w:p w:rsidR="004A1A3F" w:rsidRPr="006E1C58" w:rsidRDefault="00973F8E" w:rsidP="002C5B74">
      <w:pPr>
        <w:pStyle w:val="ONUMFS"/>
        <w:ind w:left="5533"/>
        <w:rPr>
          <w:i/>
          <w:lang w:val="fr-FR"/>
        </w:rPr>
      </w:pPr>
      <w:r w:rsidRPr="006E1C58">
        <w:rPr>
          <w:i/>
          <w:lang w:val="fr-FR"/>
        </w:rPr>
        <w:t>L</w:t>
      </w:r>
      <w:r w:rsidR="006E7A67" w:rsidRPr="006E1C58">
        <w:rPr>
          <w:i/>
          <w:lang w:val="fr-FR"/>
        </w:rPr>
        <w:t>’</w:t>
      </w:r>
      <w:r w:rsidRPr="006E1C58">
        <w:rPr>
          <w:i/>
          <w:lang w:val="fr-FR"/>
        </w:rPr>
        <w:t>Assemblée de l</w:t>
      </w:r>
      <w:r w:rsidR="006E7A67" w:rsidRPr="006E1C58">
        <w:rPr>
          <w:i/>
          <w:lang w:val="fr-FR"/>
        </w:rPr>
        <w:t>’</w:t>
      </w:r>
      <w:r w:rsidRPr="006E1C58">
        <w:rPr>
          <w:i/>
          <w:lang w:val="fr-FR"/>
        </w:rPr>
        <w:t>Union de Madrid est in</w:t>
      </w:r>
      <w:bookmarkStart w:id="4" w:name="_GoBack"/>
      <w:bookmarkEnd w:id="4"/>
      <w:r w:rsidRPr="006E1C58">
        <w:rPr>
          <w:i/>
          <w:lang w:val="fr-FR"/>
        </w:rPr>
        <w:t>vitée</w:t>
      </w:r>
    </w:p>
    <w:p w:rsidR="004A1A3F" w:rsidRPr="006E1C58" w:rsidRDefault="00973F8E" w:rsidP="00EC1E72">
      <w:pPr>
        <w:pStyle w:val="ONUMFS"/>
        <w:numPr>
          <w:ilvl w:val="2"/>
          <w:numId w:val="6"/>
        </w:numPr>
        <w:tabs>
          <w:tab w:val="left" w:pos="6237"/>
        </w:tabs>
        <w:ind w:left="6237"/>
        <w:rPr>
          <w:i/>
          <w:lang w:val="fr-FR"/>
        </w:rPr>
      </w:pPr>
      <w:r w:rsidRPr="006E1C58">
        <w:rPr>
          <w:i/>
          <w:lang w:val="fr-FR"/>
        </w:rPr>
        <w:t xml:space="preserve">à prendre note du </w:t>
      </w:r>
      <w:r w:rsidR="008C485A" w:rsidRPr="006E1C58">
        <w:rPr>
          <w:i/>
          <w:lang w:val="fr-FR"/>
        </w:rPr>
        <w:t>“</w:t>
      </w:r>
      <w:r w:rsidRPr="006E1C58">
        <w:rPr>
          <w:i/>
          <w:lang w:val="fr-FR"/>
        </w:rPr>
        <w:t>Rapport sur l</w:t>
      </w:r>
      <w:r w:rsidR="006E7A67" w:rsidRPr="006E1C58">
        <w:rPr>
          <w:i/>
          <w:lang w:val="fr-FR"/>
        </w:rPr>
        <w:t>’</w:t>
      </w:r>
      <w:r w:rsidRPr="006E1C58">
        <w:rPr>
          <w:i/>
          <w:lang w:val="fr-FR"/>
        </w:rPr>
        <w:t>état d</w:t>
      </w:r>
      <w:r w:rsidR="006E7A67" w:rsidRPr="006E1C58">
        <w:rPr>
          <w:i/>
          <w:lang w:val="fr-FR"/>
        </w:rPr>
        <w:t>’</w:t>
      </w:r>
      <w:r w:rsidRPr="006E1C58">
        <w:rPr>
          <w:i/>
          <w:lang w:val="fr-FR"/>
        </w:rPr>
        <w:t>avancement de la base de données sur les produits et services du système de Madrid</w:t>
      </w:r>
      <w:r w:rsidR="008C485A" w:rsidRPr="006E1C58">
        <w:rPr>
          <w:i/>
          <w:lang w:val="fr-FR"/>
        </w:rPr>
        <w:t>”</w:t>
      </w:r>
      <w:r w:rsidRPr="006E1C58">
        <w:rPr>
          <w:i/>
          <w:lang w:val="fr-FR"/>
        </w:rPr>
        <w:t xml:space="preserve"> (document MM/A/51/1),</w:t>
      </w:r>
      <w:r w:rsidR="008C485A" w:rsidRPr="006E1C58">
        <w:rPr>
          <w:i/>
          <w:lang w:val="fr-FR"/>
        </w:rPr>
        <w:t xml:space="preserve"> et notamment de son paragraphe </w:t>
      </w:r>
      <w:r w:rsidRPr="006E1C58">
        <w:rPr>
          <w:i/>
          <w:lang w:val="fr-FR"/>
        </w:rPr>
        <w:t>33 sur le solde des crédits affectés au projet, et</w:t>
      </w:r>
    </w:p>
    <w:p w:rsidR="002C5B74" w:rsidRDefault="002C5B74">
      <w:pPr>
        <w:rPr>
          <w:i/>
          <w:lang w:val="fr-FR"/>
        </w:rPr>
      </w:pPr>
      <w:r>
        <w:rPr>
          <w:i/>
          <w:lang w:val="fr-FR"/>
        </w:rPr>
        <w:br w:type="page"/>
      </w:r>
    </w:p>
    <w:p w:rsidR="006867A9" w:rsidRPr="006E1C58" w:rsidRDefault="00973F8E" w:rsidP="00EC1E72">
      <w:pPr>
        <w:pStyle w:val="ONUMFS"/>
        <w:numPr>
          <w:ilvl w:val="2"/>
          <w:numId w:val="6"/>
        </w:numPr>
        <w:ind w:left="6237"/>
        <w:rPr>
          <w:i/>
          <w:lang w:val="fr-FR"/>
        </w:rPr>
      </w:pPr>
      <w:r w:rsidRPr="006E1C58">
        <w:rPr>
          <w:i/>
          <w:lang w:val="fr-FR"/>
        </w:rPr>
        <w:t xml:space="preserve">à prier le Bureau international de lui présenter </w:t>
      </w:r>
      <w:r w:rsidR="006E7A67" w:rsidRPr="006E1C58">
        <w:rPr>
          <w:i/>
          <w:lang w:val="fr-FR"/>
        </w:rPr>
        <w:t>en 2018</w:t>
      </w:r>
      <w:r w:rsidRPr="006E1C58">
        <w:rPr>
          <w:i/>
          <w:lang w:val="fr-FR"/>
        </w:rPr>
        <w:t xml:space="preserve"> un nouveau rapport sur la base de données sur les produits et services du système de Madrid, en indiquant en particulier l</w:t>
      </w:r>
      <w:r w:rsidR="006E7A67" w:rsidRPr="006E1C58">
        <w:rPr>
          <w:i/>
          <w:lang w:val="fr-FR"/>
        </w:rPr>
        <w:t>’</w:t>
      </w:r>
      <w:r w:rsidRPr="006E1C58">
        <w:rPr>
          <w:i/>
          <w:lang w:val="fr-FR"/>
        </w:rPr>
        <w:t>utilisation faite du solde des crédits affectés au projet.</w:t>
      </w:r>
    </w:p>
    <w:p w:rsidR="006867A9" w:rsidRPr="006E1C58" w:rsidRDefault="006867A9" w:rsidP="002C5B74">
      <w:pPr>
        <w:ind w:left="5533"/>
        <w:rPr>
          <w:lang w:val="fr-FR"/>
        </w:rPr>
      </w:pPr>
    </w:p>
    <w:p w:rsidR="006867A9" w:rsidRPr="006E1C58" w:rsidRDefault="006867A9" w:rsidP="002C5B74">
      <w:pPr>
        <w:ind w:left="5533"/>
        <w:rPr>
          <w:lang w:val="fr-FR"/>
        </w:rPr>
      </w:pPr>
    </w:p>
    <w:p w:rsidR="00AC5390" w:rsidRPr="006E1C58" w:rsidRDefault="00973F8E" w:rsidP="002C5B74">
      <w:pPr>
        <w:ind w:left="5533"/>
        <w:rPr>
          <w:lang w:val="fr-FR"/>
        </w:rPr>
        <w:sectPr w:rsidR="00AC5390" w:rsidRPr="006E1C58" w:rsidSect="00C16F9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6E1C58">
        <w:rPr>
          <w:lang w:val="fr-FR"/>
        </w:rPr>
        <w:t>[Les annexes suivent]</w:t>
      </w:r>
    </w:p>
    <w:p w:rsidR="006867A9" w:rsidRPr="006E1C58" w:rsidRDefault="006867A9" w:rsidP="002C5B74">
      <w:pPr>
        <w:rPr>
          <w:b/>
          <w:lang w:val="fr-FR"/>
        </w:rPr>
      </w:pPr>
    </w:p>
    <w:p w:rsidR="007F7D4A" w:rsidRDefault="007F7D4A" w:rsidP="002C5B74">
      <w:pPr>
        <w:jc w:val="center"/>
        <w:rPr>
          <w:lang w:val="fr-FR"/>
        </w:rPr>
      </w:pPr>
      <w:r w:rsidRPr="007F7D4A">
        <w:rPr>
          <w:noProof/>
          <w:lang w:eastAsia="en-US"/>
        </w:rPr>
        <w:drawing>
          <wp:inline distT="0" distB="0" distL="0" distR="0" wp14:anchorId="5F418AA6" wp14:editId="7070EBA7">
            <wp:extent cx="8474183" cy="5285323"/>
            <wp:effectExtent l="0" t="5715"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471696" cy="5283772"/>
                    </a:xfrm>
                    <a:prstGeom prst="rect">
                      <a:avLst/>
                    </a:prstGeom>
                    <a:noFill/>
                    <a:ln>
                      <a:noFill/>
                    </a:ln>
                  </pic:spPr>
                </pic:pic>
              </a:graphicData>
            </a:graphic>
          </wp:inline>
        </w:drawing>
      </w:r>
    </w:p>
    <w:p w:rsidR="007F7D4A" w:rsidRPr="006E1C58" w:rsidRDefault="007F7D4A" w:rsidP="002C5B74">
      <w:pPr>
        <w:jc w:val="center"/>
        <w:rPr>
          <w:lang w:val="fr-FR"/>
        </w:rPr>
      </w:pPr>
    </w:p>
    <w:p w:rsidR="006867A9" w:rsidRPr="006E1C58" w:rsidRDefault="00973F8E" w:rsidP="002C5B74">
      <w:pPr>
        <w:pStyle w:val="Endofdocument-Annex"/>
        <w:rPr>
          <w:lang w:val="fr-FR"/>
        </w:rPr>
      </w:pPr>
      <w:r w:rsidRPr="006E1C58">
        <w:rPr>
          <w:lang w:val="fr-FR"/>
        </w:rPr>
        <w:t>[L</w:t>
      </w:r>
      <w:r w:rsidR="006E7A67" w:rsidRPr="006E1C58">
        <w:rPr>
          <w:lang w:val="fr-FR"/>
        </w:rPr>
        <w:t>’annexe I</w:t>
      </w:r>
      <w:r w:rsidRPr="006E1C58">
        <w:rPr>
          <w:lang w:val="fr-FR"/>
        </w:rPr>
        <w:t>I suit]</w:t>
      </w:r>
    </w:p>
    <w:p w:rsidR="00AC5390" w:rsidRPr="006E1C58" w:rsidRDefault="00AC5390" w:rsidP="002C5B74">
      <w:pPr>
        <w:rPr>
          <w:lang w:val="fr-FR"/>
        </w:rPr>
        <w:sectPr w:rsidR="00AC5390" w:rsidRPr="006E1C58" w:rsidSect="00C16F9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rsidR="006867A9" w:rsidRPr="006E1C58" w:rsidRDefault="006867A9" w:rsidP="002C5B74">
      <w:pPr>
        <w:rPr>
          <w:lang w:val="fr-FR"/>
        </w:rPr>
      </w:pPr>
    </w:p>
    <w:p w:rsidR="006867A9" w:rsidRPr="006E1C58" w:rsidRDefault="006C59CE" w:rsidP="002C5B74">
      <w:pPr>
        <w:jc w:val="center"/>
        <w:rPr>
          <w:lang w:val="fr-FR"/>
        </w:rPr>
      </w:pPr>
      <w:r w:rsidRPr="006C59CE">
        <w:rPr>
          <w:noProof/>
          <w:lang w:eastAsia="en-US"/>
        </w:rPr>
        <w:drawing>
          <wp:inline distT="0" distB="0" distL="0" distR="0" wp14:anchorId="370D4E58" wp14:editId="1483565F">
            <wp:extent cx="8458055" cy="6116226"/>
            <wp:effectExtent l="889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458121" cy="6116273"/>
                    </a:xfrm>
                    <a:prstGeom prst="rect">
                      <a:avLst/>
                    </a:prstGeom>
                    <a:noFill/>
                    <a:ln>
                      <a:noFill/>
                    </a:ln>
                  </pic:spPr>
                </pic:pic>
              </a:graphicData>
            </a:graphic>
          </wp:inline>
        </w:drawing>
      </w:r>
    </w:p>
    <w:p w:rsidR="006867A9" w:rsidRPr="006E1C58" w:rsidRDefault="006867A9" w:rsidP="002C5B74">
      <w:pPr>
        <w:rPr>
          <w:lang w:val="fr-FR"/>
        </w:rPr>
      </w:pPr>
    </w:p>
    <w:p w:rsidR="008C485A" w:rsidRPr="006E1C58" w:rsidRDefault="00973F8E" w:rsidP="002C5B74">
      <w:pPr>
        <w:ind w:left="5533"/>
        <w:rPr>
          <w:lang w:val="fr-FR"/>
        </w:rPr>
        <w:sectPr w:rsidR="008C485A" w:rsidRPr="006E1C58" w:rsidSect="00C16F96">
          <w:head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r w:rsidRPr="006E1C58">
        <w:rPr>
          <w:lang w:val="fr-FR"/>
        </w:rPr>
        <w:t>[L</w:t>
      </w:r>
      <w:r w:rsidR="006E7A67" w:rsidRPr="006E1C58">
        <w:rPr>
          <w:lang w:val="fr-FR"/>
        </w:rPr>
        <w:t>’annexe I</w:t>
      </w:r>
      <w:r w:rsidRPr="006E1C58">
        <w:rPr>
          <w:lang w:val="fr-FR"/>
        </w:rPr>
        <w:t>II suit]</w:t>
      </w:r>
    </w:p>
    <w:p w:rsidR="006867A9" w:rsidRPr="006E1C58" w:rsidRDefault="00634883" w:rsidP="002C5B74">
      <w:pPr>
        <w:jc w:val="center"/>
        <w:rPr>
          <w:lang w:val="fr-FR"/>
        </w:rPr>
      </w:pPr>
      <w:r w:rsidRPr="00634883">
        <w:rPr>
          <w:noProof/>
          <w:lang w:eastAsia="en-US"/>
        </w:rPr>
        <w:drawing>
          <wp:inline distT="0" distB="0" distL="0" distR="0" wp14:anchorId="0D952A2B" wp14:editId="2E7F7B2E">
            <wp:extent cx="8230922" cy="4312962"/>
            <wp:effectExtent l="0" t="3175"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237877" cy="4316606"/>
                    </a:xfrm>
                    <a:prstGeom prst="rect">
                      <a:avLst/>
                    </a:prstGeom>
                    <a:noFill/>
                    <a:ln>
                      <a:noFill/>
                    </a:ln>
                  </pic:spPr>
                </pic:pic>
              </a:graphicData>
            </a:graphic>
          </wp:inline>
        </w:drawing>
      </w:r>
    </w:p>
    <w:p w:rsidR="006867A9" w:rsidRPr="006E1C58" w:rsidRDefault="006867A9" w:rsidP="002C5B74">
      <w:pPr>
        <w:ind w:left="5533"/>
        <w:rPr>
          <w:lang w:val="fr-FR"/>
        </w:rPr>
      </w:pPr>
    </w:p>
    <w:p w:rsidR="002928D3" w:rsidRPr="006E1C58" w:rsidRDefault="00973F8E" w:rsidP="002C5B74">
      <w:pPr>
        <w:ind w:left="5533"/>
        <w:rPr>
          <w:lang w:val="fr-FR"/>
        </w:rPr>
      </w:pPr>
      <w:bookmarkStart w:id="6" w:name="Prepared"/>
      <w:bookmarkEnd w:id="6"/>
      <w:r w:rsidRPr="006E1C58">
        <w:rPr>
          <w:lang w:val="fr-FR"/>
        </w:rPr>
        <w:t>[Fin de l</w:t>
      </w:r>
      <w:r w:rsidR="006E7A67" w:rsidRPr="006E1C58">
        <w:rPr>
          <w:lang w:val="fr-FR"/>
        </w:rPr>
        <w:t>’annexe I</w:t>
      </w:r>
      <w:r w:rsidRPr="006E1C58">
        <w:rPr>
          <w:lang w:val="fr-FR"/>
        </w:rPr>
        <w:t>II et du document]</w:t>
      </w:r>
    </w:p>
    <w:sectPr w:rsidR="002928D3" w:rsidRPr="006E1C58" w:rsidSect="00C16F96">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5C" w:rsidRDefault="00B1245C">
      <w:r>
        <w:separator/>
      </w:r>
    </w:p>
  </w:endnote>
  <w:endnote w:type="continuationSeparator" w:id="0">
    <w:p w:rsidR="00B1245C" w:rsidRDefault="00B1245C" w:rsidP="003B38C1">
      <w:r>
        <w:separator/>
      </w:r>
    </w:p>
    <w:p w:rsidR="00B1245C" w:rsidRPr="003B38C1" w:rsidRDefault="00B1245C" w:rsidP="003B38C1">
      <w:pPr>
        <w:spacing w:after="60"/>
        <w:rPr>
          <w:sz w:val="17"/>
        </w:rPr>
      </w:pPr>
      <w:r>
        <w:rPr>
          <w:sz w:val="17"/>
        </w:rPr>
        <w:t>[Endnote continued from previous page]</w:t>
      </w:r>
    </w:p>
  </w:endnote>
  <w:endnote w:type="continuationNotice" w:id="1">
    <w:p w:rsidR="00B1245C" w:rsidRPr="003B38C1" w:rsidRDefault="00B124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C32">
      <w:rPr>
        <w:rStyle w:val="PageNumber"/>
        <w:noProof/>
      </w:rPr>
      <w:t>7</w:t>
    </w:r>
    <w:r>
      <w:rPr>
        <w:rStyle w:val="PageNumber"/>
      </w:rPr>
      <w:fldChar w:fldCharType="end"/>
    </w:r>
  </w:p>
  <w:p w:rsidR="00AC5390" w:rsidRDefault="00AC5390" w:rsidP="001E7F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1E7FD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4A" w:rsidRPr="007F7D4A" w:rsidRDefault="007F7D4A" w:rsidP="007F7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6F" w:rsidRPr="00776A6F" w:rsidRDefault="00776A6F" w:rsidP="00776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5C" w:rsidRDefault="00B1245C">
      <w:r>
        <w:separator/>
      </w:r>
    </w:p>
  </w:footnote>
  <w:footnote w:type="continuationSeparator" w:id="0">
    <w:p w:rsidR="00B1245C" w:rsidRDefault="00B1245C" w:rsidP="008B60B2">
      <w:r>
        <w:separator/>
      </w:r>
    </w:p>
    <w:p w:rsidR="00B1245C" w:rsidRPr="00ED77FB" w:rsidRDefault="00B1245C" w:rsidP="008B60B2">
      <w:pPr>
        <w:spacing w:after="60"/>
        <w:rPr>
          <w:sz w:val="17"/>
          <w:szCs w:val="17"/>
        </w:rPr>
      </w:pPr>
      <w:r w:rsidRPr="00ED77FB">
        <w:rPr>
          <w:sz w:val="17"/>
          <w:szCs w:val="17"/>
        </w:rPr>
        <w:t>[Footnote continued from previous page]</w:t>
      </w:r>
    </w:p>
  </w:footnote>
  <w:footnote w:type="continuationNotice" w:id="1">
    <w:p w:rsidR="00B1245C" w:rsidRPr="00ED77FB" w:rsidRDefault="00B1245C" w:rsidP="008B60B2">
      <w:pPr>
        <w:spacing w:before="60"/>
        <w:jc w:val="right"/>
        <w:rPr>
          <w:sz w:val="17"/>
          <w:szCs w:val="17"/>
        </w:rPr>
      </w:pPr>
      <w:r w:rsidRPr="00ED77FB">
        <w:rPr>
          <w:sz w:val="17"/>
          <w:szCs w:val="17"/>
        </w:rPr>
        <w:t>[Footnote continued on next page]</w:t>
      </w:r>
    </w:p>
  </w:footnote>
  <w:footnote w:id="2">
    <w:p w:rsidR="004A0504" w:rsidRPr="006D4FAE" w:rsidRDefault="004A0504" w:rsidP="002C5B74">
      <w:pPr>
        <w:pStyle w:val="FootnoteText"/>
        <w:rPr>
          <w:lang w:val="fr-CH"/>
        </w:rPr>
      </w:pPr>
      <w:r w:rsidRPr="006D4FAE">
        <w:rPr>
          <w:rStyle w:val="FootnoteReference"/>
        </w:rPr>
        <w:footnoteRef/>
      </w:r>
      <w:r w:rsidRPr="006D4FAE">
        <w:rPr>
          <w:lang w:val="fr-CH"/>
        </w:rPr>
        <w:t xml:space="preserve"> </w:t>
      </w:r>
      <w:r w:rsidRPr="006D4FAE">
        <w:rPr>
          <w:lang w:val="fr-CH"/>
        </w:rPr>
        <w:tab/>
        <w:t>Afin d</w:t>
      </w:r>
      <w:r w:rsidR="00900587" w:rsidRPr="006D4FAE">
        <w:rPr>
          <w:lang w:val="fr-CH"/>
        </w:rPr>
        <w:t>’</w:t>
      </w:r>
      <w:r w:rsidRPr="006D4FAE">
        <w:rPr>
          <w:lang w:val="fr-CH"/>
        </w:rPr>
        <w:t>afficher ouvertement son exigence stricte en matière de spécificité dans la description des produits et services, l</w:t>
      </w:r>
      <w:r w:rsidR="00900587" w:rsidRPr="006D4FAE">
        <w:rPr>
          <w:lang w:val="fr-CH"/>
        </w:rPr>
        <w:t>’</w:t>
      </w:r>
      <w:r w:rsidRPr="006D4FAE">
        <w:rPr>
          <w:lang w:val="fr-CH"/>
        </w:rPr>
        <w:t>Office de la propriété intellectuelle du Canada a examiné les 9500</w:t>
      </w:r>
      <w:r w:rsidR="00802A61" w:rsidRPr="006D4FAE">
        <w:rPr>
          <w:lang w:val="fr-CH"/>
        </w:rPr>
        <w:t> </w:t>
      </w:r>
      <w:r w:rsidRPr="006D4FAE">
        <w:rPr>
          <w:lang w:val="fr-CH"/>
        </w:rPr>
        <w:t>termes en anglais issus de la liste alphabétique de la classification NCL11</w:t>
      </w:r>
      <w:r w:rsidR="00C16F96" w:rsidRPr="006D4FAE">
        <w:rPr>
          <w:lang w:val="fr-CH"/>
        </w:rPr>
        <w:noBreakHyphen/>
      </w:r>
      <w:r w:rsidRPr="006D4FAE">
        <w:rPr>
          <w:lang w:val="fr-CH"/>
        </w:rPr>
        <w:t>2017 afin d</w:t>
      </w:r>
      <w:r w:rsidR="00900587" w:rsidRPr="006D4FAE">
        <w:rPr>
          <w:lang w:val="fr-CH"/>
        </w:rPr>
        <w:t>’</w:t>
      </w:r>
      <w:r w:rsidRPr="006D4FAE">
        <w:rPr>
          <w:lang w:val="fr-CH"/>
        </w:rPr>
        <w:t xml:space="preserve">afficher dans la base de données MGS, à compter de </w:t>
      </w:r>
      <w:r w:rsidR="00900587" w:rsidRPr="006D4FAE">
        <w:rPr>
          <w:lang w:val="fr-CH"/>
        </w:rPr>
        <w:t>janvier 20</w:t>
      </w:r>
      <w:r w:rsidRPr="006D4FAE">
        <w:rPr>
          <w:lang w:val="fr-CH"/>
        </w:rPr>
        <w:t>17, quels termes de la classification ne seront pas acceptés dans les demandes intern</w:t>
      </w:r>
      <w:r w:rsidR="002C5B74">
        <w:rPr>
          <w:lang w:val="fr-CH"/>
        </w:rPr>
        <w:t>ationale</w:t>
      </w:r>
      <w:r w:rsidRPr="006D4FAE">
        <w:rPr>
          <w:lang w:val="fr-CH"/>
        </w:rPr>
        <w:t>s futures désignant le Canada.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Header"/>
      <w:jc w:val="right"/>
      <w:rPr>
        <w:lang w:val="fr-FR"/>
      </w:rPr>
    </w:pPr>
    <w:r>
      <w:rPr>
        <w:lang w:val="fr-FR"/>
      </w:rPr>
      <w:t>MM/A/51/1</w:t>
    </w:r>
  </w:p>
  <w:p w:rsidR="00AC5390" w:rsidRDefault="00AC5390" w:rsidP="00A06853">
    <w:pPr>
      <w:pStyle w:val="Header"/>
      <w:jc w:val="right"/>
      <w:rPr>
        <w:lang w:val="fr-FR"/>
      </w:rPr>
    </w:pPr>
    <w:proofErr w:type="gramStart"/>
    <w:r>
      <w:rPr>
        <w:lang w:val="fr-FR"/>
      </w:rPr>
      <w:t>page</w:t>
    </w:r>
    <w:proofErr w:type="gramEnd"/>
    <w:r w:rsidR="00802A61">
      <w:rPr>
        <w:lang w:val="fr-FR"/>
      </w:rPr>
      <w:t> </w:t>
    </w:r>
    <w:r>
      <w:rPr>
        <w:rStyle w:val="PageNumber"/>
      </w:rPr>
      <w:fldChar w:fldCharType="begin"/>
    </w:r>
    <w:r>
      <w:rPr>
        <w:rStyle w:val="PageNumber"/>
      </w:rPr>
      <w:instrText xml:space="preserve"> PAGE </w:instrText>
    </w:r>
    <w:r>
      <w:rPr>
        <w:rStyle w:val="PageNumber"/>
      </w:rPr>
      <w:fldChar w:fldCharType="separate"/>
    </w:r>
    <w:r w:rsidR="00EC1E72">
      <w:rPr>
        <w:rStyle w:val="PageNumber"/>
        <w:noProof/>
      </w:rPr>
      <w:t>6</w:t>
    </w:r>
    <w:r>
      <w:rPr>
        <w:rStyle w:val="PageNumber"/>
      </w:rPr>
      <w:fldChar w:fldCharType="end"/>
    </w:r>
  </w:p>
  <w:p w:rsidR="00C16F96" w:rsidRDefault="00C16F96" w:rsidP="00A06853">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C32">
      <w:rPr>
        <w:rStyle w:val="PageNumber"/>
        <w:noProof/>
      </w:rPr>
      <w:t>7</w:t>
    </w:r>
    <w:r>
      <w:rPr>
        <w:rStyle w:val="PageNumber"/>
      </w:rPr>
      <w:fldChar w:fldCharType="end"/>
    </w:r>
  </w:p>
  <w:p w:rsidR="00AC5390" w:rsidRDefault="00AC5390" w:rsidP="001E7FD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1667AC">
    <w:pPr>
      <w:pStyle w:val="Header"/>
      <w:framePr w:wrap="around" w:vAnchor="text" w:hAnchor="page" w:x="1561" w:y="-164"/>
      <w:jc w:val="right"/>
      <w:rPr>
        <w:rStyle w:val="PageNumber"/>
      </w:rPr>
    </w:pPr>
    <w:r>
      <w:rPr>
        <w:rStyle w:val="PageNumber"/>
      </w:rPr>
      <w:t>MM/A/51/1</w:t>
    </w:r>
  </w:p>
  <w:p w:rsidR="00AC5390" w:rsidRDefault="00AC5390" w:rsidP="001667AC">
    <w:pPr>
      <w:pStyle w:val="Header"/>
      <w:framePr w:wrap="around" w:vAnchor="text" w:hAnchor="page" w:x="1561" w:y="-164"/>
      <w:jc w:val="right"/>
    </w:pPr>
    <w:r>
      <w:t>ANNEX III</w:t>
    </w:r>
  </w:p>
  <w:p w:rsidR="00AC5390" w:rsidRDefault="00AC5390" w:rsidP="001667AC">
    <w:pPr>
      <w:pStyle w:val="Header"/>
      <w:framePr w:wrap="around" w:vAnchor="text" w:hAnchor="page" w:x="1561" w:y="-164"/>
      <w:jc w:val="right"/>
      <w:rPr>
        <w:rStyle w:val="PageNumber"/>
      </w:rPr>
    </w:pPr>
  </w:p>
  <w:p w:rsidR="00AC5390" w:rsidRDefault="00AC5390" w:rsidP="00376573">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F66F07">
    <w:pPr>
      <w:pStyle w:val="Header"/>
      <w:jc w:val="right"/>
    </w:pPr>
    <w:r>
      <w:t>MM/A/51/1</w:t>
    </w:r>
  </w:p>
  <w:p w:rsidR="00AC5390" w:rsidRDefault="00AC5390" w:rsidP="00F66F07">
    <w:pPr>
      <w:pStyle w:val="Header"/>
      <w:jc w:val="right"/>
    </w:pPr>
    <w:r>
      <w:t>ANNEX</w:t>
    </w:r>
    <w:r w:rsidR="008C485A">
      <w:t>E </w:t>
    </w:r>
    <w:r w:rsidR="00F46E8E">
      <w:t>I</w:t>
    </w:r>
  </w:p>
  <w:p w:rsidR="008C485A" w:rsidRDefault="008C485A" w:rsidP="00F66F0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1245C" w:rsidP="00477D6B">
    <w:pPr>
      <w:jc w:val="right"/>
    </w:pPr>
    <w:bookmarkStart w:id="5" w:name="Code2"/>
    <w:bookmarkEnd w:id="5"/>
    <w:r>
      <w:t>MM/A/51/</w:t>
    </w:r>
  </w:p>
  <w:p w:rsidR="00EC4E49" w:rsidRDefault="00F46E8E" w:rsidP="00477D6B">
    <w:pPr>
      <w:jc w:val="right"/>
    </w:pPr>
    <w:r>
      <w:t>ANNEX</w:t>
    </w:r>
    <w:r w:rsidR="00973F8E">
      <w:t>E</w:t>
    </w:r>
    <w:r>
      <w:t xml:space="preserve"> III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8E" w:rsidRDefault="00F46E8E" w:rsidP="00F66F07">
    <w:pPr>
      <w:pStyle w:val="Header"/>
      <w:jc w:val="right"/>
    </w:pPr>
    <w:r>
      <w:t>MM/A/51/1</w:t>
    </w:r>
  </w:p>
  <w:p w:rsidR="00F46E8E" w:rsidRDefault="00F46E8E" w:rsidP="00F66F07">
    <w:pPr>
      <w:pStyle w:val="Header"/>
      <w:jc w:val="right"/>
    </w:pPr>
    <w:r>
      <w:t>ANNEX</w:t>
    </w:r>
    <w:r w:rsidR="00973F8E">
      <w:t>E</w:t>
    </w:r>
    <w:r w:rsidR="008C485A">
      <w:t> </w:t>
    </w:r>
    <w:r>
      <w:t>II</w:t>
    </w:r>
  </w:p>
  <w:p w:rsidR="008C485A" w:rsidRDefault="008C485A" w:rsidP="00F66F07">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5A" w:rsidRDefault="008C485A" w:rsidP="00F66F07">
    <w:pPr>
      <w:pStyle w:val="Header"/>
      <w:jc w:val="right"/>
    </w:pPr>
    <w:r>
      <w:t>MM/A/51/1</w:t>
    </w:r>
  </w:p>
  <w:p w:rsidR="008C485A" w:rsidRDefault="008C485A" w:rsidP="00F66F07">
    <w:pPr>
      <w:pStyle w:val="Header"/>
      <w:jc w:val="right"/>
    </w:pPr>
    <w:r>
      <w:t>ANNEXE III</w:t>
    </w:r>
  </w:p>
  <w:p w:rsidR="008C485A" w:rsidRDefault="008C485A" w:rsidP="00F66F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C06F39"/>
    <w:multiLevelType w:val="hybridMultilevel"/>
    <w:tmpl w:val="357C3D90"/>
    <w:lvl w:ilvl="0" w:tplc="F80EFA20">
      <w:start w:val="1"/>
      <w:numFmt w:val="lowerRoman"/>
      <w:lvlText w:val="(%1)"/>
      <w:lvlJc w:val="left"/>
      <w:pPr>
        <w:tabs>
          <w:tab w:val="num" w:pos="3969"/>
        </w:tabs>
        <w:ind w:left="3969" w:hanging="720"/>
      </w:pPr>
      <w:rPr>
        <w:rFonts w:hint="defaul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7D5C9E"/>
    <w:multiLevelType w:val="hybridMultilevel"/>
    <w:tmpl w:val="77989122"/>
    <w:lvl w:ilvl="0" w:tplc="F476F64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29167F"/>
    <w:multiLevelType w:val="multilevel"/>
    <w:tmpl w:val="59CEB47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D2752A"/>
    <w:multiLevelType w:val="multilevel"/>
    <w:tmpl w:val="2558F99A"/>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AC6367D"/>
    <w:multiLevelType w:val="hybridMultilevel"/>
    <w:tmpl w:val="2B2A3272"/>
    <w:lvl w:ilvl="0" w:tplc="E8FA5FBC">
      <w:start w:val="10"/>
      <w:numFmt w:val="bullet"/>
      <w:lvlText w:val=""/>
      <w:lvlJc w:val="left"/>
      <w:pPr>
        <w:ind w:left="1440" w:hanging="360"/>
      </w:pPr>
      <w:rPr>
        <w:rFonts w:ascii="Symbol" w:eastAsia="SimSu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114870"/>
    <w:multiLevelType w:val="hybridMultilevel"/>
    <w:tmpl w:val="12F0C8E2"/>
    <w:lvl w:ilvl="0" w:tplc="A68835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8F7D1C"/>
    <w:multiLevelType w:val="hybridMultilevel"/>
    <w:tmpl w:val="D638E3DE"/>
    <w:lvl w:ilvl="0" w:tplc="A68835CA">
      <w:start w:val="1"/>
      <w:numFmt w:val="bullet"/>
      <w:lvlText w:val=""/>
      <w:lvlJc w:val="left"/>
      <w:pPr>
        <w:ind w:left="2424" w:hanging="360"/>
      </w:pPr>
      <w:rPr>
        <w:rFonts w:ascii="Symbol" w:hAnsi="Symbol"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11">
    <w:nsid w:val="3D657EC1"/>
    <w:multiLevelType w:val="hybridMultilevel"/>
    <w:tmpl w:val="E8408208"/>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231224"/>
    <w:multiLevelType w:val="hybridMultilevel"/>
    <w:tmpl w:val="37C04CA8"/>
    <w:lvl w:ilvl="0" w:tplc="26CA9CF6">
      <w:start w:val="1"/>
      <w:numFmt w:val="decimal"/>
      <w:lvlText w:val="%1."/>
      <w:lvlJc w:val="left"/>
      <w:pPr>
        <w:tabs>
          <w:tab w:val="num" w:pos="570"/>
        </w:tabs>
        <w:ind w:left="570" w:hanging="57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750BF1"/>
    <w:multiLevelType w:val="hybridMultilevel"/>
    <w:tmpl w:val="7A14D32C"/>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113B"/>
    <w:multiLevelType w:val="hybridMultilevel"/>
    <w:tmpl w:val="F5BE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BA7C01"/>
    <w:multiLevelType w:val="multilevel"/>
    <w:tmpl w:val="12B05D0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2"/>
  </w:num>
  <w:num w:numId="3">
    <w:abstractNumId w:val="0"/>
  </w:num>
  <w:num w:numId="4">
    <w:abstractNumId w:val="14"/>
  </w:num>
  <w:num w:numId="5">
    <w:abstractNumId w:val="2"/>
  </w:num>
  <w:num w:numId="6">
    <w:abstractNumId w:val="5"/>
  </w:num>
  <w:num w:numId="7">
    <w:abstractNumId w:val="13"/>
  </w:num>
  <w:num w:numId="8">
    <w:abstractNumId w:val="1"/>
  </w:num>
  <w:num w:numId="9">
    <w:abstractNumId w:val="10"/>
  </w:num>
  <w:num w:numId="10">
    <w:abstractNumId w:val="9"/>
  </w:num>
  <w:num w:numId="11">
    <w:abstractNumId w:val="3"/>
  </w:num>
  <w:num w:numId="12">
    <w:abstractNumId w:val="16"/>
  </w:num>
  <w:num w:numId="13">
    <w:abstractNumId w:val="8"/>
  </w:num>
  <w:num w:numId="14">
    <w:abstractNumId w:val="11"/>
  </w:num>
  <w:num w:numId="15">
    <w:abstractNumId w:val="15"/>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1245C"/>
    <w:rsid w:val="00043CAA"/>
    <w:rsid w:val="00052823"/>
    <w:rsid w:val="00060D5F"/>
    <w:rsid w:val="0006581A"/>
    <w:rsid w:val="00065C31"/>
    <w:rsid w:val="00075432"/>
    <w:rsid w:val="00080FBA"/>
    <w:rsid w:val="00090C66"/>
    <w:rsid w:val="000930C3"/>
    <w:rsid w:val="000968ED"/>
    <w:rsid w:val="00097942"/>
    <w:rsid w:val="000A0620"/>
    <w:rsid w:val="000B1E8A"/>
    <w:rsid w:val="000B74F1"/>
    <w:rsid w:val="000F5E56"/>
    <w:rsid w:val="0010179B"/>
    <w:rsid w:val="001362EE"/>
    <w:rsid w:val="001832A6"/>
    <w:rsid w:val="001977E0"/>
    <w:rsid w:val="001B5DDA"/>
    <w:rsid w:val="001C0EA6"/>
    <w:rsid w:val="001E4834"/>
    <w:rsid w:val="001E5B45"/>
    <w:rsid w:val="002027D4"/>
    <w:rsid w:val="002121FA"/>
    <w:rsid w:val="0023454B"/>
    <w:rsid w:val="002634C4"/>
    <w:rsid w:val="002734EB"/>
    <w:rsid w:val="002757B1"/>
    <w:rsid w:val="002928D3"/>
    <w:rsid w:val="00294EEE"/>
    <w:rsid w:val="002A5CCC"/>
    <w:rsid w:val="002C5B74"/>
    <w:rsid w:val="002E2BE6"/>
    <w:rsid w:val="002E7633"/>
    <w:rsid w:val="002F1FE6"/>
    <w:rsid w:val="002F4E68"/>
    <w:rsid w:val="0030109B"/>
    <w:rsid w:val="00304C2E"/>
    <w:rsid w:val="00305776"/>
    <w:rsid w:val="00312F7F"/>
    <w:rsid w:val="003228B7"/>
    <w:rsid w:val="0032797F"/>
    <w:rsid w:val="0033194C"/>
    <w:rsid w:val="00346A6E"/>
    <w:rsid w:val="003673CF"/>
    <w:rsid w:val="003845C1"/>
    <w:rsid w:val="003922CB"/>
    <w:rsid w:val="003955C7"/>
    <w:rsid w:val="003A6F89"/>
    <w:rsid w:val="003B38C1"/>
    <w:rsid w:val="003C6D26"/>
    <w:rsid w:val="003D0F4A"/>
    <w:rsid w:val="003D2226"/>
    <w:rsid w:val="003E0CD1"/>
    <w:rsid w:val="00412B11"/>
    <w:rsid w:val="0041574E"/>
    <w:rsid w:val="00423E3E"/>
    <w:rsid w:val="00427AF4"/>
    <w:rsid w:val="00431AA2"/>
    <w:rsid w:val="00432FC0"/>
    <w:rsid w:val="004400E2"/>
    <w:rsid w:val="004423F8"/>
    <w:rsid w:val="00450E81"/>
    <w:rsid w:val="004647DA"/>
    <w:rsid w:val="00474062"/>
    <w:rsid w:val="004743FC"/>
    <w:rsid w:val="00477D6B"/>
    <w:rsid w:val="004823B5"/>
    <w:rsid w:val="004A0504"/>
    <w:rsid w:val="004A1A3F"/>
    <w:rsid w:val="004D1C47"/>
    <w:rsid w:val="004F2E56"/>
    <w:rsid w:val="005044CD"/>
    <w:rsid w:val="00526F01"/>
    <w:rsid w:val="0053057A"/>
    <w:rsid w:val="00535EED"/>
    <w:rsid w:val="00553EE1"/>
    <w:rsid w:val="00560A29"/>
    <w:rsid w:val="00565451"/>
    <w:rsid w:val="0057418C"/>
    <w:rsid w:val="00597B82"/>
    <w:rsid w:val="005B20BA"/>
    <w:rsid w:val="005B2421"/>
    <w:rsid w:val="005E329D"/>
    <w:rsid w:val="005E3EBE"/>
    <w:rsid w:val="005E45D9"/>
    <w:rsid w:val="005F65CD"/>
    <w:rsid w:val="00602B15"/>
    <w:rsid w:val="00605827"/>
    <w:rsid w:val="00620EBB"/>
    <w:rsid w:val="00634883"/>
    <w:rsid w:val="00645541"/>
    <w:rsid w:val="00646050"/>
    <w:rsid w:val="006519CD"/>
    <w:rsid w:val="006713CA"/>
    <w:rsid w:val="00676C5C"/>
    <w:rsid w:val="006867A9"/>
    <w:rsid w:val="006A16FD"/>
    <w:rsid w:val="006C59CE"/>
    <w:rsid w:val="006D4FAE"/>
    <w:rsid w:val="006D5E0F"/>
    <w:rsid w:val="006E1C58"/>
    <w:rsid w:val="006E71BF"/>
    <w:rsid w:val="006E7A67"/>
    <w:rsid w:val="007022B4"/>
    <w:rsid w:val="0070536A"/>
    <w:rsid w:val="007058FB"/>
    <w:rsid w:val="007125F9"/>
    <w:rsid w:val="007332CC"/>
    <w:rsid w:val="0075243B"/>
    <w:rsid w:val="0075564F"/>
    <w:rsid w:val="007571FA"/>
    <w:rsid w:val="00762B4C"/>
    <w:rsid w:val="00776A6F"/>
    <w:rsid w:val="007802BE"/>
    <w:rsid w:val="0078341D"/>
    <w:rsid w:val="007B6A58"/>
    <w:rsid w:val="007D1613"/>
    <w:rsid w:val="007F3FA6"/>
    <w:rsid w:val="007F7D4A"/>
    <w:rsid w:val="0080212D"/>
    <w:rsid w:val="00802A61"/>
    <w:rsid w:val="00811D30"/>
    <w:rsid w:val="00827B0F"/>
    <w:rsid w:val="0083257D"/>
    <w:rsid w:val="00844621"/>
    <w:rsid w:val="00854C32"/>
    <w:rsid w:val="0086598E"/>
    <w:rsid w:val="008743BB"/>
    <w:rsid w:val="008B0A07"/>
    <w:rsid w:val="008B2730"/>
    <w:rsid w:val="008B2CC1"/>
    <w:rsid w:val="008B60B2"/>
    <w:rsid w:val="008C32A0"/>
    <w:rsid w:val="008C485A"/>
    <w:rsid w:val="008C555C"/>
    <w:rsid w:val="008D6311"/>
    <w:rsid w:val="00900587"/>
    <w:rsid w:val="00900C9D"/>
    <w:rsid w:val="00906709"/>
    <w:rsid w:val="0090731E"/>
    <w:rsid w:val="00916EE2"/>
    <w:rsid w:val="00947B64"/>
    <w:rsid w:val="00966A22"/>
    <w:rsid w:val="0096722F"/>
    <w:rsid w:val="00973F8E"/>
    <w:rsid w:val="00980843"/>
    <w:rsid w:val="00991630"/>
    <w:rsid w:val="009A4915"/>
    <w:rsid w:val="009A64C8"/>
    <w:rsid w:val="009C0478"/>
    <w:rsid w:val="009C4400"/>
    <w:rsid w:val="009D2BA8"/>
    <w:rsid w:val="009D5E34"/>
    <w:rsid w:val="009E2791"/>
    <w:rsid w:val="009E3F6F"/>
    <w:rsid w:val="009F3BF9"/>
    <w:rsid w:val="009F499F"/>
    <w:rsid w:val="009F4D50"/>
    <w:rsid w:val="00A02F32"/>
    <w:rsid w:val="00A1202F"/>
    <w:rsid w:val="00A42DAF"/>
    <w:rsid w:val="00A45BD8"/>
    <w:rsid w:val="00A706C1"/>
    <w:rsid w:val="00A75540"/>
    <w:rsid w:val="00A807EB"/>
    <w:rsid w:val="00A85B8E"/>
    <w:rsid w:val="00A95A08"/>
    <w:rsid w:val="00AC205C"/>
    <w:rsid w:val="00AC5390"/>
    <w:rsid w:val="00AF5EEC"/>
    <w:rsid w:val="00AF6DCE"/>
    <w:rsid w:val="00AF7419"/>
    <w:rsid w:val="00B04296"/>
    <w:rsid w:val="00B05A69"/>
    <w:rsid w:val="00B1245C"/>
    <w:rsid w:val="00B31B3A"/>
    <w:rsid w:val="00B359CE"/>
    <w:rsid w:val="00B50A0E"/>
    <w:rsid w:val="00B50B99"/>
    <w:rsid w:val="00B532AB"/>
    <w:rsid w:val="00B579F5"/>
    <w:rsid w:val="00B734BD"/>
    <w:rsid w:val="00B9734B"/>
    <w:rsid w:val="00BC1397"/>
    <w:rsid w:val="00BD10E2"/>
    <w:rsid w:val="00BD463B"/>
    <w:rsid w:val="00BE308E"/>
    <w:rsid w:val="00BE6655"/>
    <w:rsid w:val="00C045E7"/>
    <w:rsid w:val="00C0797C"/>
    <w:rsid w:val="00C11BFE"/>
    <w:rsid w:val="00C16F96"/>
    <w:rsid w:val="00C25939"/>
    <w:rsid w:val="00C315FB"/>
    <w:rsid w:val="00C327F6"/>
    <w:rsid w:val="00C37AA9"/>
    <w:rsid w:val="00C508A9"/>
    <w:rsid w:val="00C60447"/>
    <w:rsid w:val="00C64024"/>
    <w:rsid w:val="00C65D8B"/>
    <w:rsid w:val="00C8238A"/>
    <w:rsid w:val="00C82A1F"/>
    <w:rsid w:val="00C94629"/>
    <w:rsid w:val="00CB0451"/>
    <w:rsid w:val="00CC1EF1"/>
    <w:rsid w:val="00CE21C8"/>
    <w:rsid w:val="00CF6B73"/>
    <w:rsid w:val="00D20B1A"/>
    <w:rsid w:val="00D45252"/>
    <w:rsid w:val="00D57EF5"/>
    <w:rsid w:val="00D60480"/>
    <w:rsid w:val="00D71B4D"/>
    <w:rsid w:val="00D76372"/>
    <w:rsid w:val="00D86947"/>
    <w:rsid w:val="00D87840"/>
    <w:rsid w:val="00D93D55"/>
    <w:rsid w:val="00D95725"/>
    <w:rsid w:val="00DB623D"/>
    <w:rsid w:val="00DC100D"/>
    <w:rsid w:val="00DC636C"/>
    <w:rsid w:val="00DD1F0B"/>
    <w:rsid w:val="00DF22EF"/>
    <w:rsid w:val="00E335FE"/>
    <w:rsid w:val="00E5021F"/>
    <w:rsid w:val="00E50659"/>
    <w:rsid w:val="00E53FF1"/>
    <w:rsid w:val="00E54A68"/>
    <w:rsid w:val="00E94BB3"/>
    <w:rsid w:val="00EB366F"/>
    <w:rsid w:val="00EC1E72"/>
    <w:rsid w:val="00EC4E49"/>
    <w:rsid w:val="00ED77FB"/>
    <w:rsid w:val="00EE786A"/>
    <w:rsid w:val="00F021A6"/>
    <w:rsid w:val="00F235BB"/>
    <w:rsid w:val="00F31700"/>
    <w:rsid w:val="00F34131"/>
    <w:rsid w:val="00F344EE"/>
    <w:rsid w:val="00F46E8E"/>
    <w:rsid w:val="00F5266E"/>
    <w:rsid w:val="00F559D3"/>
    <w:rsid w:val="00F57A20"/>
    <w:rsid w:val="00F66152"/>
    <w:rsid w:val="00F83E44"/>
    <w:rsid w:val="00F936C2"/>
    <w:rsid w:val="00FA59D0"/>
    <w:rsid w:val="00FC2131"/>
    <w:rsid w:val="00FC7BA2"/>
    <w:rsid w:val="00FE32B7"/>
    <w:rsid w:val="00FF63FC"/>
  </w:rsids>
  <m:mathPr>
    <m:mathFont m:val="Cambria Math"/>
    <m:brkBin m:val="before"/>
    <m:brkBinSub m:val="--"/>
    <m:smallFrac m:val="0"/>
    <m:dispDef/>
    <m:lMargin m:val="0"/>
    <m:rMargin m:val="0"/>
    <m:defJc m:val="centerGroup"/>
    <m:wrapIndent m:val="1440"/>
    <m:intLim m:val="subSup"/>
    <m:naryLim m:val="undOvr"/>
  </m:mathPr>
  <w:themeFontLang w:val="fr-CH" w:bidi="mn-Mong-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31B3A"/>
    <w:rPr>
      <w:rFonts w:ascii="Tahoma" w:hAnsi="Tahoma" w:cs="Tahoma"/>
      <w:sz w:val="16"/>
      <w:szCs w:val="16"/>
    </w:rPr>
  </w:style>
  <w:style w:type="character" w:customStyle="1" w:styleId="BalloonTextChar">
    <w:name w:val="Balloon Text Char"/>
    <w:basedOn w:val="DefaultParagraphFont"/>
    <w:link w:val="BalloonText"/>
    <w:rsid w:val="00B31B3A"/>
    <w:rPr>
      <w:rFonts w:ascii="Tahoma" w:eastAsia="SimSun" w:hAnsi="Tahoma" w:cs="Tahoma"/>
      <w:sz w:val="16"/>
      <w:szCs w:val="16"/>
      <w:lang w:val="en-US" w:eastAsia="zh-CN"/>
    </w:rPr>
  </w:style>
  <w:style w:type="character" w:styleId="PageNumber">
    <w:name w:val="page number"/>
    <w:basedOn w:val="DefaultParagraphFont"/>
    <w:rsid w:val="00AC5390"/>
  </w:style>
  <w:style w:type="character" w:styleId="CommentReference">
    <w:name w:val="annotation reference"/>
    <w:rsid w:val="00AC5390"/>
    <w:rPr>
      <w:sz w:val="16"/>
      <w:szCs w:val="16"/>
    </w:rPr>
  </w:style>
  <w:style w:type="paragraph" w:styleId="ListParagraph">
    <w:name w:val="List Paragraph"/>
    <w:basedOn w:val="Normal"/>
    <w:uiPriority w:val="34"/>
    <w:qFormat/>
    <w:rsid w:val="00AC5390"/>
    <w:pPr>
      <w:ind w:left="720"/>
    </w:pPr>
  </w:style>
  <w:style w:type="character" w:customStyle="1" w:styleId="nbase2">
    <w:name w:val="nbase2"/>
    <w:basedOn w:val="DefaultParagraphFont"/>
    <w:rsid w:val="00AC5390"/>
    <w:rPr>
      <w:rFonts w:ascii="Arial" w:hAnsi="Arial" w:cs="Arial" w:hint="default"/>
      <w:color w:val="003466"/>
      <w:sz w:val="18"/>
      <w:szCs w:val="18"/>
    </w:rPr>
  </w:style>
  <w:style w:type="character" w:customStyle="1" w:styleId="HeaderChar">
    <w:name w:val="Header Char"/>
    <w:basedOn w:val="DefaultParagraphFont"/>
    <w:link w:val="Header"/>
    <w:uiPriority w:val="99"/>
    <w:rsid w:val="00AC5390"/>
    <w:rPr>
      <w:rFonts w:ascii="Arial" w:eastAsia="SimSun" w:hAnsi="Arial" w:cs="Arial"/>
      <w:sz w:val="22"/>
      <w:lang w:val="en-US" w:eastAsia="zh-CN"/>
    </w:rPr>
  </w:style>
  <w:style w:type="paragraph" w:styleId="Revision">
    <w:name w:val="Revision"/>
    <w:hidden/>
    <w:uiPriority w:val="99"/>
    <w:semiHidden/>
    <w:rsid w:val="00D87840"/>
    <w:rPr>
      <w:rFonts w:ascii="Arial" w:eastAsia="SimSun" w:hAnsi="Arial" w:cs="Arial"/>
      <w:sz w:val="22"/>
      <w:lang w:val="en-US" w:eastAsia="zh-CN"/>
    </w:rPr>
  </w:style>
  <w:style w:type="character" w:styleId="FootnoteReference">
    <w:name w:val="footnote reference"/>
    <w:basedOn w:val="DefaultParagraphFont"/>
    <w:rsid w:val="003E0CD1"/>
    <w:rPr>
      <w:vertAlign w:val="superscript"/>
    </w:rPr>
  </w:style>
  <w:style w:type="paragraph" w:customStyle="1" w:styleId="Default">
    <w:name w:val="Default"/>
    <w:rsid w:val="00E50659"/>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rsid w:val="006E1C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31B3A"/>
    <w:rPr>
      <w:rFonts w:ascii="Tahoma" w:hAnsi="Tahoma" w:cs="Tahoma"/>
      <w:sz w:val="16"/>
      <w:szCs w:val="16"/>
    </w:rPr>
  </w:style>
  <w:style w:type="character" w:customStyle="1" w:styleId="BalloonTextChar">
    <w:name w:val="Balloon Text Char"/>
    <w:basedOn w:val="DefaultParagraphFont"/>
    <w:link w:val="BalloonText"/>
    <w:rsid w:val="00B31B3A"/>
    <w:rPr>
      <w:rFonts w:ascii="Tahoma" w:eastAsia="SimSun" w:hAnsi="Tahoma" w:cs="Tahoma"/>
      <w:sz w:val="16"/>
      <w:szCs w:val="16"/>
      <w:lang w:val="en-US" w:eastAsia="zh-CN"/>
    </w:rPr>
  </w:style>
  <w:style w:type="character" w:styleId="PageNumber">
    <w:name w:val="page number"/>
    <w:basedOn w:val="DefaultParagraphFont"/>
    <w:rsid w:val="00AC5390"/>
  </w:style>
  <w:style w:type="character" w:styleId="CommentReference">
    <w:name w:val="annotation reference"/>
    <w:rsid w:val="00AC5390"/>
    <w:rPr>
      <w:sz w:val="16"/>
      <w:szCs w:val="16"/>
    </w:rPr>
  </w:style>
  <w:style w:type="paragraph" w:styleId="ListParagraph">
    <w:name w:val="List Paragraph"/>
    <w:basedOn w:val="Normal"/>
    <w:uiPriority w:val="34"/>
    <w:qFormat/>
    <w:rsid w:val="00AC5390"/>
    <w:pPr>
      <w:ind w:left="720"/>
    </w:pPr>
  </w:style>
  <w:style w:type="character" w:customStyle="1" w:styleId="nbase2">
    <w:name w:val="nbase2"/>
    <w:basedOn w:val="DefaultParagraphFont"/>
    <w:rsid w:val="00AC5390"/>
    <w:rPr>
      <w:rFonts w:ascii="Arial" w:hAnsi="Arial" w:cs="Arial" w:hint="default"/>
      <w:color w:val="003466"/>
      <w:sz w:val="18"/>
      <w:szCs w:val="18"/>
    </w:rPr>
  </w:style>
  <w:style w:type="character" w:customStyle="1" w:styleId="HeaderChar">
    <w:name w:val="Header Char"/>
    <w:basedOn w:val="DefaultParagraphFont"/>
    <w:link w:val="Header"/>
    <w:uiPriority w:val="99"/>
    <w:rsid w:val="00AC5390"/>
    <w:rPr>
      <w:rFonts w:ascii="Arial" w:eastAsia="SimSun" w:hAnsi="Arial" w:cs="Arial"/>
      <w:sz w:val="22"/>
      <w:lang w:val="en-US" w:eastAsia="zh-CN"/>
    </w:rPr>
  </w:style>
  <w:style w:type="paragraph" w:styleId="Revision">
    <w:name w:val="Revision"/>
    <w:hidden/>
    <w:uiPriority w:val="99"/>
    <w:semiHidden/>
    <w:rsid w:val="00D87840"/>
    <w:rPr>
      <w:rFonts w:ascii="Arial" w:eastAsia="SimSun" w:hAnsi="Arial" w:cs="Arial"/>
      <w:sz w:val="22"/>
      <w:lang w:val="en-US" w:eastAsia="zh-CN"/>
    </w:rPr>
  </w:style>
  <w:style w:type="character" w:styleId="FootnoteReference">
    <w:name w:val="footnote reference"/>
    <w:basedOn w:val="DefaultParagraphFont"/>
    <w:rsid w:val="003E0CD1"/>
    <w:rPr>
      <w:vertAlign w:val="superscript"/>
    </w:rPr>
  </w:style>
  <w:style w:type="paragraph" w:customStyle="1" w:styleId="Default">
    <w:name w:val="Default"/>
    <w:rsid w:val="00E50659"/>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rsid w:val="006E1C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56941">
      <w:bodyDiv w:val="1"/>
      <w:marLeft w:val="0"/>
      <w:marRight w:val="0"/>
      <w:marTop w:val="0"/>
      <w:marBottom w:val="0"/>
      <w:divBdr>
        <w:top w:val="none" w:sz="0" w:space="0" w:color="auto"/>
        <w:left w:val="none" w:sz="0" w:space="0" w:color="auto"/>
        <w:bottom w:val="none" w:sz="0" w:space="0" w:color="auto"/>
        <w:right w:val="none" w:sz="0" w:space="0" w:color="auto"/>
      </w:divBdr>
    </w:div>
    <w:div w:id="1066344296">
      <w:bodyDiv w:val="1"/>
      <w:marLeft w:val="0"/>
      <w:marRight w:val="0"/>
      <w:marTop w:val="0"/>
      <w:marBottom w:val="0"/>
      <w:divBdr>
        <w:top w:val="none" w:sz="0" w:space="0" w:color="auto"/>
        <w:left w:val="none" w:sz="0" w:space="0" w:color="auto"/>
        <w:bottom w:val="none" w:sz="0" w:space="0" w:color="auto"/>
        <w:right w:val="none" w:sz="0" w:space="0" w:color="auto"/>
      </w:divBdr>
    </w:div>
    <w:div w:id="1200430938">
      <w:bodyDiv w:val="1"/>
      <w:marLeft w:val="0"/>
      <w:marRight w:val="0"/>
      <w:marTop w:val="0"/>
      <w:marBottom w:val="0"/>
      <w:divBdr>
        <w:top w:val="none" w:sz="0" w:space="0" w:color="auto"/>
        <w:left w:val="none" w:sz="0" w:space="0" w:color="auto"/>
        <w:bottom w:val="none" w:sz="0" w:space="0" w:color="auto"/>
        <w:right w:val="none" w:sz="0" w:space="0" w:color="auto"/>
      </w:divBdr>
    </w:div>
    <w:div w:id="18158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25FF-0FB1-4696-A359-8E93AE7F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51 (E).dotm</Template>
  <TotalTime>5</TotalTime>
  <Pages>10</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MM/A/51/</vt:lpstr>
    </vt:vector>
  </TitlesOfParts>
  <Company>WIPO</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MM/A/51/</dc:title>
  <dc:creator>MARCEL DE GRIFFITHS Margarita</dc:creator>
  <cp:keywords>NGG/ko</cp:keywords>
  <cp:lastModifiedBy>DORE Marie-Pierre</cp:lastModifiedBy>
  <cp:revision>3</cp:revision>
  <cp:lastPrinted>2017-06-22T07:43:00Z</cp:lastPrinted>
  <dcterms:created xsi:type="dcterms:W3CDTF">2017-06-23T13:54:00Z</dcterms:created>
  <dcterms:modified xsi:type="dcterms:W3CDTF">2017-06-23T14:01:00Z</dcterms:modified>
</cp:coreProperties>
</file>