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B107" w14:textId="77777777" w:rsidR="008B2CC1" w:rsidRPr="008B2CC1" w:rsidRDefault="00DB0349" w:rsidP="00DB0349">
      <w:pPr>
        <w:spacing w:after="120"/>
        <w:jc w:val="right"/>
      </w:pPr>
      <w:r>
        <w:rPr>
          <w:noProof/>
          <w:lang w:eastAsia="fr-CH"/>
        </w:rPr>
        <w:drawing>
          <wp:inline distT="0" distB="0" distL="0" distR="0" wp14:anchorId="751D0642" wp14:editId="7586188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eastAsia="fr-CH"/>
        </w:rPr>
        <mc:AlternateContent>
          <mc:Choice Requires="wps">
            <w:drawing>
              <wp:inline distT="0" distB="0" distL="0" distR="0" wp14:anchorId="34689564" wp14:editId="2B37F1C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0EA91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1BEFB0A" w14:textId="77777777" w:rsidR="008B2CC1" w:rsidRPr="00DB0349" w:rsidRDefault="00D342E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MM/A/5</w:t>
      </w:r>
      <w:r w:rsidR="00194265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7C06C8">
        <w:rPr>
          <w:rFonts w:ascii="Arial Black" w:hAnsi="Arial Black"/>
          <w:caps/>
          <w:sz w:val="15"/>
          <w:szCs w:val="15"/>
        </w:rPr>
        <w:t>1</w:t>
      </w:r>
    </w:p>
    <w:p w14:paraId="16B16988" w14:textId="7EE38B17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EA041F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7C06C8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2F2A310B" w14:textId="2870211D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EA041F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7C06C8">
        <w:rPr>
          <w:rFonts w:ascii="Arial Black" w:hAnsi="Arial Black"/>
          <w:caps/>
          <w:sz w:val="15"/>
          <w:szCs w:val="15"/>
        </w:rPr>
        <w:t>1</w:t>
      </w:r>
      <w:r w:rsidR="00EA041F">
        <w:rPr>
          <w:rFonts w:ascii="Arial Black" w:hAnsi="Arial Black"/>
          <w:caps/>
          <w:sz w:val="15"/>
          <w:szCs w:val="15"/>
        </w:rPr>
        <w:t>1 avril 20</w:t>
      </w:r>
      <w:r w:rsidR="007C06C8">
        <w:rPr>
          <w:rFonts w:ascii="Arial Black" w:hAnsi="Arial Black"/>
          <w:caps/>
          <w:sz w:val="15"/>
          <w:szCs w:val="15"/>
        </w:rPr>
        <w:t>24</w:t>
      </w:r>
    </w:p>
    <w:bookmarkEnd w:id="2"/>
    <w:p w14:paraId="00A84B0B" w14:textId="171C9B31" w:rsidR="00C40E15" w:rsidRPr="00DB0349" w:rsidRDefault="00D342E8" w:rsidP="00DB0349">
      <w:pPr>
        <w:spacing w:after="600"/>
        <w:rPr>
          <w:b/>
          <w:sz w:val="28"/>
          <w:szCs w:val="28"/>
        </w:rPr>
      </w:pPr>
      <w:r w:rsidRPr="0006765A">
        <w:rPr>
          <w:b/>
          <w:sz w:val="28"/>
        </w:rPr>
        <w:t>Union particulière pour l</w:t>
      </w:r>
      <w:r w:rsidR="00EA041F">
        <w:rPr>
          <w:b/>
          <w:sz w:val="28"/>
        </w:rPr>
        <w:t>’</w:t>
      </w:r>
      <w:r w:rsidRPr="0006765A">
        <w:rPr>
          <w:b/>
          <w:sz w:val="28"/>
        </w:rPr>
        <w:t>enregistrement international des marques (Union de Madrid)</w:t>
      </w:r>
    </w:p>
    <w:p w14:paraId="53538284" w14:textId="77777777" w:rsidR="003845C1" w:rsidRPr="00DB0349" w:rsidRDefault="00C40E15" w:rsidP="00DB0349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14:paraId="45C2F186" w14:textId="1A7F6166" w:rsidR="008B2CC1" w:rsidRPr="003845C1" w:rsidRDefault="00194265" w:rsidP="008B2CC1">
      <w:pPr>
        <w:rPr>
          <w:b/>
          <w:sz w:val="24"/>
          <w:szCs w:val="24"/>
        </w:rPr>
      </w:pPr>
      <w:r w:rsidRPr="00194265">
        <w:rPr>
          <w:b/>
          <w:bCs/>
          <w:iCs/>
          <w:sz w:val="24"/>
        </w:rPr>
        <w:t>Cinquante</w:t>
      </w:r>
      <w:r w:rsidR="00D5478A">
        <w:rPr>
          <w:b/>
          <w:bCs/>
          <w:iCs/>
          <w:sz w:val="24"/>
        </w:rPr>
        <w:noBreakHyphen/>
      </w:r>
      <w:r w:rsidRPr="00194265">
        <w:rPr>
          <w:b/>
          <w:bCs/>
          <w:iCs/>
          <w:sz w:val="24"/>
        </w:rPr>
        <w:t>huit</w:t>
      </w:r>
      <w:r w:rsidR="00EA041F">
        <w:rPr>
          <w:b/>
          <w:bCs/>
          <w:iCs/>
          <w:sz w:val="24"/>
        </w:rPr>
        <w:t>ième session</w:t>
      </w:r>
      <w:r w:rsidRPr="00194265">
        <w:rPr>
          <w:b/>
          <w:bCs/>
          <w:iCs/>
          <w:sz w:val="24"/>
        </w:rPr>
        <w:t xml:space="preserve"> (33</w:t>
      </w:r>
      <w:r w:rsidRPr="00681CAE">
        <w:rPr>
          <w:b/>
          <w:bCs/>
          <w:iCs/>
          <w:sz w:val="24"/>
          <w:vertAlign w:val="superscript"/>
        </w:rPr>
        <w:t>e</w:t>
      </w:r>
      <w:r w:rsidRPr="00194265">
        <w:rPr>
          <w:b/>
          <w:bCs/>
          <w:iCs/>
          <w:sz w:val="24"/>
        </w:rPr>
        <w:t xml:space="preserve"> session extraordinaire</w:t>
      </w:r>
      <w:r w:rsidR="00D342E8" w:rsidRPr="00681CAE">
        <w:rPr>
          <w:b/>
          <w:bCs/>
          <w:iCs/>
          <w:sz w:val="24"/>
        </w:rPr>
        <w:t>)</w:t>
      </w:r>
    </w:p>
    <w:p w14:paraId="62B87260" w14:textId="6EC3AF3C" w:rsidR="008B2CC1" w:rsidRPr="003845C1" w:rsidRDefault="00D342E8" w:rsidP="00DB0349">
      <w:pPr>
        <w:spacing w:after="720"/>
        <w:rPr>
          <w:b/>
          <w:sz w:val="24"/>
          <w:szCs w:val="24"/>
        </w:rPr>
      </w:pPr>
      <w:r w:rsidRPr="002A1C08">
        <w:rPr>
          <w:b/>
          <w:sz w:val="24"/>
        </w:rPr>
        <w:t xml:space="preserve">Genève, </w:t>
      </w:r>
      <w:r w:rsidR="00194265">
        <w:rPr>
          <w:b/>
          <w:sz w:val="24"/>
        </w:rPr>
        <w:t>9</w:t>
      </w:r>
      <w:r w:rsidRPr="0053722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</w:t>
      </w:r>
      <w:r w:rsidR="00EA041F">
        <w:rPr>
          <w:b/>
          <w:sz w:val="24"/>
          <w:szCs w:val="24"/>
        </w:rPr>
        <w:t>7 juillet 20</w:t>
      </w:r>
      <w:r>
        <w:rPr>
          <w:b/>
          <w:sz w:val="24"/>
          <w:szCs w:val="24"/>
        </w:rPr>
        <w:t>2</w:t>
      </w:r>
      <w:r w:rsidR="00194265">
        <w:rPr>
          <w:b/>
          <w:sz w:val="24"/>
          <w:szCs w:val="24"/>
        </w:rPr>
        <w:t>4</w:t>
      </w:r>
    </w:p>
    <w:p w14:paraId="32AA075F" w14:textId="00040345" w:rsidR="007C06C8" w:rsidRPr="005263F1" w:rsidRDefault="005263F1" w:rsidP="007C06C8">
      <w:pPr>
        <w:spacing w:after="360"/>
        <w:rPr>
          <w:caps/>
          <w:sz w:val="24"/>
        </w:rPr>
      </w:pPr>
      <w:bookmarkStart w:id="3" w:name="TitleOfDoc"/>
      <w:r w:rsidRPr="005263F1">
        <w:rPr>
          <w:caps/>
          <w:sz w:val="24"/>
        </w:rPr>
        <w:t>Rapport sur le groupe de travail sur le développement juridique du système de Madrid concernant l’enregistrement international des marques</w:t>
      </w:r>
    </w:p>
    <w:p w14:paraId="3F8B42A4" w14:textId="2481FC91" w:rsidR="00525B63" w:rsidRPr="00AA09D4" w:rsidRDefault="007C06C8" w:rsidP="00DB0349">
      <w:pPr>
        <w:spacing w:after="960"/>
        <w:rPr>
          <w:i/>
          <w:iCs/>
        </w:rPr>
      </w:pPr>
      <w:bookmarkStart w:id="4" w:name="Prepared"/>
      <w:bookmarkEnd w:id="3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bookmarkEnd w:id="4"/>
    <w:p w14:paraId="1031D4CE" w14:textId="564AC5EF" w:rsidR="007C06C8" w:rsidRDefault="007C06C8" w:rsidP="00EA041F">
      <w:pPr>
        <w:pStyle w:val="ONUMFS"/>
      </w:pPr>
      <w:r>
        <w:t>Le Groupe de travail sur le développement juridique du système de Madrid concernant l</w:t>
      </w:r>
      <w:r w:rsidR="00EA041F">
        <w:t>’</w:t>
      </w:r>
      <w:r>
        <w:t>enregistrement international des marques (ci</w:t>
      </w:r>
      <w:r w:rsidR="00D5478A">
        <w:noBreakHyphen/>
      </w:r>
      <w:r>
        <w:t>après dénommé “groupe de travail”) a tenu sa vingt</w:t>
      </w:r>
      <w:r w:rsidR="00EA041F">
        <w:t> et unième session</w:t>
      </w:r>
      <w:r>
        <w:t>, sous une forme hybride, du 13 au 17 novembre 2023.</w:t>
      </w:r>
    </w:p>
    <w:p w14:paraId="62BDAC57" w14:textId="71CFEBAC" w:rsidR="007C06C8" w:rsidRDefault="007C06C8" w:rsidP="00EA041F">
      <w:pPr>
        <w:pStyle w:val="ONUMFS"/>
      </w:pPr>
      <w:r>
        <w:t>Cette session a été présidée par Mme Marija </w:t>
      </w:r>
      <w:proofErr w:type="spellStart"/>
      <w:r>
        <w:t>Božić</w:t>
      </w:r>
      <w:proofErr w:type="spellEnd"/>
      <w:r>
        <w:t xml:space="preserve"> (Serb</w:t>
      </w:r>
      <w:r w:rsidR="00D5478A">
        <w:t>ie).  Au</w:t>
      </w:r>
      <w:r>
        <w:t xml:space="preserve"> total, 86 délégations de membres de l</w:t>
      </w:r>
      <w:r w:rsidR="00EA041F">
        <w:t>’</w:t>
      </w:r>
      <w:r>
        <w:t>Union de Madrid, 13 délégations d</w:t>
      </w:r>
      <w:r w:rsidR="00EA041F">
        <w:t>’</w:t>
      </w:r>
      <w:r>
        <w:t>autres États membres de l</w:t>
      </w:r>
      <w:r w:rsidR="00EA041F">
        <w:t>’</w:t>
      </w:r>
      <w:r>
        <w:t>OMPI et 16 organisations ayant le statut d</w:t>
      </w:r>
      <w:r w:rsidR="00EA041F">
        <w:t>’</w:t>
      </w:r>
      <w:r>
        <w:t>observateur y ont partici</w:t>
      </w:r>
      <w:r w:rsidR="00D5478A">
        <w:t>pé.  Le</w:t>
      </w:r>
      <w:r>
        <w:t xml:space="preserve"> résumé présenté par la présidente de la vingt</w:t>
      </w:r>
      <w:r w:rsidR="00EA041F">
        <w:t> et unième session</w:t>
      </w:r>
      <w:r>
        <w:t xml:space="preserve"> du groupe de travail figure dans le document </w:t>
      </w:r>
      <w:hyperlink r:id="rId8" w:history="1">
        <w:r>
          <w:rPr>
            <w:rStyle w:val="Hyperlink"/>
          </w:rPr>
          <w:t>MM/LD/WG/21/9</w:t>
        </w:r>
      </w:hyperlink>
      <w:r>
        <w:t>.</w:t>
      </w:r>
    </w:p>
    <w:p w14:paraId="218966B7" w14:textId="21B2639C" w:rsidR="007C06C8" w:rsidRPr="005263F1" w:rsidRDefault="007C06C8" w:rsidP="007C06C8">
      <w:pPr>
        <w:pStyle w:val="Heading1"/>
      </w:pPr>
      <w:r w:rsidRPr="005263F1">
        <w:t>É</w:t>
      </w:r>
      <w:r w:rsidR="005263F1" w:rsidRPr="005263F1">
        <w:t>lections futures du président et des vice</w:t>
      </w:r>
      <w:r w:rsidR="005263F1" w:rsidRPr="005263F1">
        <w:noBreakHyphen/>
        <w:t>présidents</w:t>
      </w:r>
    </w:p>
    <w:p w14:paraId="2F363D8B" w14:textId="6B822121" w:rsidR="007C06C8" w:rsidRDefault="007C06C8" w:rsidP="00EA041F">
      <w:pPr>
        <w:pStyle w:val="ONUMFS"/>
      </w:pPr>
      <w:r>
        <w:t>Le groupe de travail a adopté, avec effet immédiat, une mesure transitoire (document </w:t>
      </w:r>
      <w:hyperlink r:id="rId9" w:history="1">
        <w:r>
          <w:rPr>
            <w:rStyle w:val="Hyperlink"/>
          </w:rPr>
          <w:t>MM/LD/WG/21/2</w:t>
        </w:r>
      </w:hyperlink>
      <w:r>
        <w:t>) visant à aligner le cycle d</w:t>
      </w:r>
      <w:r w:rsidR="00EA041F">
        <w:t>’</w:t>
      </w:r>
      <w:r>
        <w:t>élection des membres de son bureau sur l</w:t>
      </w:r>
      <w:r w:rsidR="00EA041F">
        <w:t>’</w:t>
      </w:r>
      <w:r>
        <w:t>article 9 des Règles générales de procédure de l</w:t>
      </w:r>
      <w:r w:rsidR="00EA041F">
        <w:t>’</w:t>
      </w:r>
      <w:r>
        <w:t>OMPI, et qui consistait à élire les membres du bureau qui présideraient ses vingt</w:t>
      </w:r>
      <w:r w:rsidR="00EA041F">
        <w:t> et unième</w:t>
      </w:r>
      <w:r>
        <w:t xml:space="preserve"> et vingt</w:t>
      </w:r>
      <w:r w:rsidR="00D5478A">
        <w:noBreakHyphen/>
      </w:r>
      <w:proofErr w:type="gramStart"/>
      <w:r>
        <w:t>deux</w:t>
      </w:r>
      <w:r w:rsidR="00EA041F">
        <w:t>ième session</w:t>
      </w:r>
      <w:r>
        <w:t>s</w:t>
      </w:r>
      <w:proofErr w:type="gramEnd"/>
      <w:r>
        <w:t>.</w:t>
      </w:r>
    </w:p>
    <w:p w14:paraId="0CE1799D" w14:textId="7126A9FE" w:rsidR="00EA041F" w:rsidRDefault="007C06C8" w:rsidP="00FD3FBC">
      <w:pPr>
        <w:pStyle w:val="ONUMFS"/>
        <w:keepLines/>
      </w:pPr>
      <w:r>
        <w:lastRenderedPageBreak/>
        <w:t>Le groupe de travail a élu Mme Marija </w:t>
      </w:r>
      <w:proofErr w:type="spellStart"/>
      <w:r>
        <w:t>Božić</w:t>
      </w:r>
      <w:proofErr w:type="spellEnd"/>
      <w:r>
        <w:t xml:space="preserve"> (Serbie) présidente du groupe de travail, et MM. Long Kemvichet (Cambodge) et Dustyn Taylor (Australie) vice</w:t>
      </w:r>
      <w:r w:rsidR="00D5478A">
        <w:noBreakHyphen/>
      </w:r>
      <w:r>
        <w:t>présidents en vertu de la mesure transitoire précit</w:t>
      </w:r>
      <w:r w:rsidR="00D5478A">
        <w:t>ée.  Le</w:t>
      </w:r>
      <w:r>
        <w:t xml:space="preserve"> groupe de travail est convenu d</w:t>
      </w:r>
      <w:r w:rsidR="00EA041F">
        <w:t>’</w:t>
      </w:r>
      <w:r>
        <w:t>élire les membres de son bureau conformément à l</w:t>
      </w:r>
      <w:r w:rsidR="00EA041F">
        <w:t>’</w:t>
      </w:r>
      <w:r>
        <w:t>article 9 des Règles générales de procédure de l</w:t>
      </w:r>
      <w:r w:rsidR="00EA041F">
        <w:t>’</w:t>
      </w:r>
      <w:r>
        <w:t>OMPI à compter de sa vingt</w:t>
      </w:r>
      <w:r w:rsidR="00D5478A">
        <w:noBreakHyphen/>
      </w:r>
      <w:r>
        <w:t>deux</w:t>
      </w:r>
      <w:r w:rsidR="00EA041F">
        <w:t>ième session</w:t>
      </w:r>
      <w:r>
        <w:t>.</w:t>
      </w:r>
    </w:p>
    <w:p w14:paraId="134D8C80" w14:textId="5A436055" w:rsidR="007C06C8" w:rsidRPr="005263F1" w:rsidRDefault="007C06C8" w:rsidP="007C06C8">
      <w:pPr>
        <w:pStyle w:val="Heading1"/>
      </w:pPr>
      <w:r w:rsidRPr="005263F1">
        <w:t>N</w:t>
      </w:r>
      <w:r w:rsidR="005263F1" w:rsidRPr="005263F1">
        <w:t>ouveau calcul des taxes individuelles</w:t>
      </w:r>
    </w:p>
    <w:p w14:paraId="32D23FCC" w14:textId="09F21DA8" w:rsidR="00EA041F" w:rsidRDefault="007C06C8" w:rsidP="00EA041F">
      <w:pPr>
        <w:pStyle w:val="ONUMFS"/>
      </w:pPr>
      <w:r>
        <w:t>Le groupe de travail a examiné une proposition concernant un nouveau mode de calcul des montants des taxes individuelles en francs suisses, qui portait sur des propositions de modification des règles </w:t>
      </w:r>
      <w:proofErr w:type="gramStart"/>
      <w:r>
        <w:t>35.2)c</w:t>
      </w:r>
      <w:proofErr w:type="gramEnd"/>
      <w:r>
        <w:t>) et d) du règlement d</w:t>
      </w:r>
      <w:r w:rsidR="00EA041F">
        <w:t>’</w:t>
      </w:r>
      <w:r>
        <w:t>exécution du Protocole relatif à l</w:t>
      </w:r>
      <w:r w:rsidR="00EA041F">
        <w:t>’</w:t>
      </w:r>
      <w:r>
        <w:t>Arrangement de Madrid concernant l</w:t>
      </w:r>
      <w:r w:rsidR="00EA041F">
        <w:t>’</w:t>
      </w:r>
      <w:r>
        <w:t>enregistrement international des marques (ci</w:t>
      </w:r>
      <w:r w:rsidR="00D5478A">
        <w:noBreakHyphen/>
      </w:r>
      <w:r>
        <w:t>après dénommés respectivement “règlement d</w:t>
      </w:r>
      <w:r w:rsidR="00EA041F">
        <w:t>’</w:t>
      </w:r>
      <w:r>
        <w:t>exécution” et “Protocole”).</w:t>
      </w:r>
    </w:p>
    <w:p w14:paraId="0A3C2B4D" w14:textId="345EA483" w:rsidR="00EA041F" w:rsidRDefault="007C06C8" w:rsidP="00EA041F">
      <w:pPr>
        <w:pStyle w:val="ONUMFS"/>
      </w:pPr>
      <w:r>
        <w:t>Les taxes individuelles déclarées dans une monnaie autre que le franc suisse sont converties selon le taux de change le plus réce</w:t>
      </w:r>
      <w:r w:rsidR="00D5478A">
        <w:t>nt.  Le</w:t>
      </w:r>
      <w:r>
        <w:t>s modifications proposées (document </w:t>
      </w:r>
      <w:hyperlink r:id="rId10" w:history="1">
        <w:r>
          <w:rPr>
            <w:rStyle w:val="Hyperlink"/>
          </w:rPr>
          <w:t>MM/LD/WG/21/3</w:t>
        </w:r>
      </w:hyperlink>
      <w:r>
        <w:t>) exigeraient de recalculer les taxes individuelles en francs suisses si leur montant était déclaré dans une monnaie s</w:t>
      </w:r>
      <w:r w:rsidR="00EA041F">
        <w:t>’</w:t>
      </w:r>
      <w:r>
        <w:t>étant dépréciée de plus de 5% par rapport au franc suisse pendant plus de trois mois consécuti</w:t>
      </w:r>
      <w:r w:rsidR="00D5478A">
        <w:t>fs.  Ac</w:t>
      </w:r>
      <w:r>
        <w:t>tuellement, un nouveau calcul est exigé uniquement lorsque la monnaie se déprécie de plus de 10% pendant plus de trois mois consécutifs.</w:t>
      </w:r>
    </w:p>
    <w:p w14:paraId="1636369B" w14:textId="3067B5D6" w:rsidR="00EA041F" w:rsidRDefault="007C06C8" w:rsidP="00EA041F">
      <w:pPr>
        <w:pStyle w:val="ONUMFS"/>
      </w:pPr>
      <w:r>
        <w:t>Les modifications proposées visent à faire en sorte que les titulaires d</w:t>
      </w:r>
      <w:r w:rsidR="00EA041F">
        <w:t>’</w:t>
      </w:r>
      <w:r>
        <w:t>enregistrements internationaux paient des montants équivalents à ce qu</w:t>
      </w:r>
      <w:r w:rsidR="00EA041F">
        <w:t>’</w:t>
      </w:r>
      <w:r>
        <w:t>ils auraient payé s</w:t>
      </w:r>
      <w:r w:rsidR="00EA041F">
        <w:t>’</w:t>
      </w:r>
      <w:r>
        <w:t>ils avaient déposé une demande nationa</w:t>
      </w:r>
      <w:r w:rsidR="00D5478A">
        <w:t>le</w:t>
      </w:r>
      <w:r w:rsidR="000A473F">
        <w:t xml:space="preserve"> ou régionale</w:t>
      </w:r>
      <w:r w:rsidR="00D5478A">
        <w:t>.  Ce</w:t>
      </w:r>
      <w:r>
        <w:t>tte proposition a suscité une large adhésion, et le groupe de travail a décidé de poursuivre les discussions à sa session suivante.</w:t>
      </w:r>
    </w:p>
    <w:p w14:paraId="6A99B54C" w14:textId="001BD8E0" w:rsidR="007C06C8" w:rsidRPr="005263F1" w:rsidRDefault="007C06C8" w:rsidP="007C06C8">
      <w:pPr>
        <w:pStyle w:val="Heading1"/>
      </w:pPr>
      <w:r w:rsidRPr="005263F1">
        <w:t>D</w:t>
      </w:r>
      <w:r w:rsidR="005263F1" w:rsidRPr="005263F1">
        <w:t>épendance</w:t>
      </w:r>
    </w:p>
    <w:p w14:paraId="106C464F" w14:textId="2104C6D8" w:rsidR="00EA041F" w:rsidRDefault="007C06C8" w:rsidP="00EA041F">
      <w:pPr>
        <w:pStyle w:val="ONUMFS"/>
      </w:pPr>
      <w:r>
        <w:t>Le groupe de travail a pris note du document </w:t>
      </w:r>
      <w:hyperlink r:id="rId11" w:history="1">
        <w:r>
          <w:rPr>
            <w:rStyle w:val="Hyperlink"/>
          </w:rPr>
          <w:t>MM/LD/WG/21/4</w:t>
        </w:r>
      </w:hyperlink>
      <w:r>
        <w:t>, dans lequel le Bureau international a déclaré qu</w:t>
      </w:r>
      <w:r w:rsidR="00EA041F">
        <w:t>’</w:t>
      </w:r>
      <w:r>
        <w:t>il solliciterait des propositions sur la dépendance, comme le groupe de travail l</w:t>
      </w:r>
      <w:r w:rsidR="00EA041F">
        <w:t>’</w:t>
      </w:r>
      <w:r>
        <w:t>avait demandé à sa précédente sessi</w:t>
      </w:r>
      <w:r w:rsidR="00D5478A">
        <w:t>on.  Le</w:t>
      </w:r>
      <w:r>
        <w:t xml:space="preserve"> groupe de travail a en outre encouragé les parties contractantes, les autres États membres de l</w:t>
      </w:r>
      <w:r w:rsidR="00EA041F">
        <w:t>’</w:t>
      </w:r>
      <w:r>
        <w:t>OMPI et les organisations ayant le statut d</w:t>
      </w:r>
      <w:r w:rsidR="00EA041F">
        <w:t>’</w:t>
      </w:r>
      <w:r>
        <w:t>observateur à soumettre des propositions ou des observations concernant la dépendance, en vue de leur examen à sa vingt</w:t>
      </w:r>
      <w:r w:rsidR="00D5478A">
        <w:noBreakHyphen/>
      </w:r>
      <w:r>
        <w:t>deux</w:t>
      </w:r>
      <w:r w:rsidR="00EA041F">
        <w:t>ième sessi</w:t>
      </w:r>
      <w:r w:rsidR="00D5478A">
        <w:t>on.  Le</w:t>
      </w:r>
      <w:r>
        <w:t xml:space="preserve"> 12 février 2024, le</w:t>
      </w:r>
      <w:r w:rsidR="00C34363">
        <w:t> </w:t>
      </w:r>
      <w:r>
        <w:t>Bureau international a envoyé la note C. M 1526 dont les destinataires étaient invités à soumettre ces propositions ou observations au plus tard le 3 juin 2024.</w:t>
      </w:r>
    </w:p>
    <w:p w14:paraId="29B13F6A" w14:textId="58D86F04" w:rsidR="00EA041F" w:rsidRDefault="007C06C8" w:rsidP="00EA041F">
      <w:pPr>
        <w:pStyle w:val="ONUMFS"/>
      </w:pPr>
      <w:r>
        <w:t>Le groupe de travail a examiné une proposition présentée par les délégations de l</w:t>
      </w:r>
      <w:r w:rsidR="00EA041F">
        <w:t>’</w:t>
      </w:r>
      <w:r>
        <w:t>Australie, du Chili, des États</w:t>
      </w:r>
      <w:r w:rsidR="00D5478A">
        <w:noBreakHyphen/>
      </w:r>
      <w:r>
        <w:t>Unis d</w:t>
      </w:r>
      <w:r w:rsidR="00EA041F">
        <w:t>’</w:t>
      </w:r>
      <w:r>
        <w:t>Amérique, du Ghana, des Philippines et de la République de Corée (document </w:t>
      </w:r>
      <w:hyperlink r:id="rId12" w:history="1">
        <w:r>
          <w:rPr>
            <w:rStyle w:val="Hyperlink"/>
          </w:rPr>
          <w:t>MM/LD/WG/21/8</w:t>
        </w:r>
        <w:r w:rsidR="00576F92">
          <w:rPr>
            <w:rStyle w:val="Hyperlink"/>
          </w:rPr>
          <w:t> </w:t>
        </w:r>
        <w:proofErr w:type="spellStart"/>
        <w:r>
          <w:rPr>
            <w:rStyle w:val="Hyperlink"/>
          </w:rPr>
          <w:t>Rev</w:t>
        </w:r>
        <w:proofErr w:type="spellEnd"/>
        <w:r>
          <w:rPr>
            <w:rStyle w:val="Hyperlink"/>
          </w:rPr>
          <w:t>.</w:t>
        </w:r>
      </w:hyperlink>
      <w:r>
        <w:t>) visant à introduire, dans le Protocole, des déclarations qui offriraient de la souplesse au niveau de la dépendance et de l</w:t>
      </w:r>
      <w:r w:rsidR="00EA041F">
        <w:t>’</w:t>
      </w:r>
      <w:r>
        <w:t>exigence relative à la marque de ba</w:t>
      </w:r>
      <w:r w:rsidR="00D5478A">
        <w:t>se.  Ce</w:t>
      </w:r>
      <w:r>
        <w:t xml:space="preserve"> document traitait aussi d</w:t>
      </w:r>
      <w:r w:rsidR="00EA041F">
        <w:t>’</w:t>
      </w:r>
      <w:r>
        <w:t>autres considérations pouvant être examinées en ce qui concernait les principes du dépôt indirect, de l</w:t>
      </w:r>
      <w:r w:rsidR="00EA041F">
        <w:t>’</w:t>
      </w:r>
      <w:r>
        <w:t>autodésignation et de l</w:t>
      </w:r>
      <w:r w:rsidR="00EA041F">
        <w:t>’</w:t>
      </w:r>
      <w:r>
        <w:t>attaque centrale par des tie</w:t>
      </w:r>
      <w:r w:rsidR="00D5478A">
        <w:t>rs.  Le</w:t>
      </w:r>
      <w:r>
        <w:t xml:space="preserve"> groupe de travail est convenu de poursuivre les discussions sur cette proposition à sa vingt</w:t>
      </w:r>
      <w:r w:rsidR="00D5478A">
        <w:noBreakHyphen/>
      </w:r>
      <w:r>
        <w:t>deux</w:t>
      </w:r>
      <w:r w:rsidR="00EA041F">
        <w:t>ième session</w:t>
      </w:r>
      <w:r>
        <w:t>.</w:t>
      </w:r>
    </w:p>
    <w:p w14:paraId="4CDB9C26" w14:textId="4B287A55" w:rsidR="00EA041F" w:rsidRDefault="007C06C8" w:rsidP="00EA041F">
      <w:pPr>
        <w:pStyle w:val="ONUMFS"/>
      </w:pPr>
      <w:r>
        <w:t>Le groupe de travail a poursuivi ses discussions sur le document </w:t>
      </w:r>
      <w:hyperlink r:id="rId13" w:history="1">
        <w:r>
          <w:rPr>
            <w:rStyle w:val="Hyperlink"/>
          </w:rPr>
          <w:t>MM/LD/WG/20/5</w:t>
        </w:r>
      </w:hyperlink>
      <w:r>
        <w:t>, qui traitait de la possibilité de modifier l</w:t>
      </w:r>
      <w:r w:rsidR="00EA041F">
        <w:t>’</w:t>
      </w:r>
      <w:r>
        <w:t>article 6 du Protocole pour réduire la période de dépendance à trois ans et présentait la procédure à suivre pour convoquer une conférence diplomatique, ainsi qu</w:t>
      </w:r>
      <w:r w:rsidR="00EA041F">
        <w:t>’</w:t>
      </w:r>
      <w:r>
        <w:t>une liste d</w:t>
      </w:r>
      <w:r w:rsidR="00EA041F">
        <w:t>’</w:t>
      </w:r>
      <w:r>
        <w:t>autres modifications envisageables visant à moderniser le texte du Protoco</w:t>
      </w:r>
      <w:r w:rsidR="00D5478A">
        <w:t>le.  Le</w:t>
      </w:r>
      <w:r>
        <w:t xml:space="preserve"> groupe de travail est convenu de poursuivre, lors d</w:t>
      </w:r>
      <w:r w:rsidR="00EA041F">
        <w:t>’</w:t>
      </w:r>
      <w:r>
        <w:t>une session ultérieure, les discussions sur la convocation éventuelle d</w:t>
      </w:r>
      <w:r w:rsidR="00EA041F">
        <w:t>’</w:t>
      </w:r>
      <w:r>
        <w:t>une conférence diplomatique sur la base des propositions et des observations relatives à la dépendance qui lui avaient été soumises pour examen.</w:t>
      </w:r>
    </w:p>
    <w:p w14:paraId="6DAC049A" w14:textId="27B32E7D" w:rsidR="007C06C8" w:rsidRPr="005263F1" w:rsidRDefault="007C06C8" w:rsidP="007C06C8">
      <w:pPr>
        <w:pStyle w:val="Heading1"/>
      </w:pPr>
      <w:r w:rsidRPr="005263F1">
        <w:lastRenderedPageBreak/>
        <w:t>I</w:t>
      </w:r>
      <w:r w:rsidR="005263F1" w:rsidRPr="005263F1">
        <w:t>nformations actualisées concernant les délais applicables pour répondre aux notifications de refus provisoire et les modalités de calcul de ces délais</w:t>
      </w:r>
    </w:p>
    <w:p w14:paraId="0F03D34A" w14:textId="29A60E20" w:rsidR="00EA041F" w:rsidRDefault="007C06C8" w:rsidP="00EA041F">
      <w:pPr>
        <w:pStyle w:val="ONUMFS"/>
      </w:pPr>
      <w:r>
        <w:t>Le groupe de travail a pris note du document </w:t>
      </w:r>
      <w:hyperlink r:id="rId14" w:history="1">
        <w:r>
          <w:rPr>
            <w:rStyle w:val="Hyperlink"/>
          </w:rPr>
          <w:t>MM/LD/WG/21/5</w:t>
        </w:r>
        <w:r w:rsidR="00576F92">
          <w:rPr>
            <w:rStyle w:val="Hyperlink"/>
          </w:rPr>
          <w:t> </w:t>
        </w:r>
        <w:proofErr w:type="spellStart"/>
        <w:r>
          <w:rPr>
            <w:rStyle w:val="Hyperlink"/>
          </w:rPr>
          <w:t>Rev</w:t>
        </w:r>
        <w:proofErr w:type="spellEnd"/>
        <w:r>
          <w:rPr>
            <w:rStyle w:val="Hyperlink"/>
          </w:rPr>
          <w:t>.</w:t>
        </w:r>
      </w:hyperlink>
      <w:r>
        <w:t>, dans lequel le Bureau international a présenté les informations qu</w:t>
      </w:r>
      <w:r w:rsidR="00EA041F">
        <w:t>’</w:t>
      </w:r>
      <w:r>
        <w:t>il avait recueillies sur les délais applicables pour répondre aux notifications de refus provisoire dans les parties contractantes, et sur les modalités de calcul de ces déla</w:t>
      </w:r>
      <w:r w:rsidR="00D5478A">
        <w:t>is.  Pa</w:t>
      </w:r>
      <w:r>
        <w:t>r ailleurs, le groupe de travail a encouragé les parties contractantes à continuer de notifier au Bureau international, dès que possible, les informations requises en vertu de la règle 17.7) du règlement d</w:t>
      </w:r>
      <w:r w:rsidR="00EA041F">
        <w:t>’</w:t>
      </w:r>
      <w:r>
        <w:t>exécution, ainsi que toute modification qui y est apportée.</w:t>
      </w:r>
    </w:p>
    <w:p w14:paraId="647481AA" w14:textId="27D19D6B" w:rsidR="007C06C8" w:rsidRPr="005263F1" w:rsidRDefault="007C06C8" w:rsidP="007C06C8">
      <w:pPr>
        <w:pStyle w:val="Heading1"/>
      </w:pPr>
      <w:r w:rsidRPr="005263F1">
        <w:t>V</w:t>
      </w:r>
      <w:r w:rsidR="005263F1" w:rsidRPr="005263F1">
        <w:t>ersion actualisée de la feuille de route pour l’évolution du système de Madrid</w:t>
      </w:r>
    </w:p>
    <w:p w14:paraId="077985F5" w14:textId="4A38B2DF" w:rsidR="00EA041F" w:rsidRDefault="007C06C8" w:rsidP="00EA041F">
      <w:pPr>
        <w:pStyle w:val="ONUMFS"/>
      </w:pPr>
      <w:r>
        <w:t>Le groupe de travail a pris note du document </w:t>
      </w:r>
      <w:hyperlink r:id="rId15" w:history="1">
        <w:r>
          <w:rPr>
            <w:rStyle w:val="Hyperlink"/>
          </w:rPr>
          <w:t>MM/LD/WG/21/6</w:t>
        </w:r>
      </w:hyperlink>
      <w:r>
        <w:t>, dans lequel le Bureau international a présenté une nouvelle version de la feuille de route pour l</w:t>
      </w:r>
      <w:r w:rsidR="00EA041F">
        <w:t>’</w:t>
      </w:r>
      <w:r>
        <w:t>évolution du système de Madrid, qui avait été actualisée au regard des contributions apportées par plusieurs délégations à la vingt</w:t>
      </w:r>
      <w:r w:rsidR="00EA041F">
        <w:t>ième session</w:t>
      </w:r>
      <w:r>
        <w:t xml:space="preserve"> du groupe de trava</w:t>
      </w:r>
      <w:r w:rsidR="00D5478A">
        <w:t>il.  Ce</w:t>
      </w:r>
      <w:r>
        <w:t xml:space="preserve"> dernier a en outre prié le Secrétariat d</w:t>
      </w:r>
      <w:r w:rsidR="00EA041F">
        <w:t>’</w:t>
      </w:r>
      <w:r>
        <w:t xml:space="preserve">inscrire les thèmes abordés dans le </w:t>
      </w:r>
      <w:r w:rsidR="00EA041F">
        <w:t>document</w:t>
      </w:r>
      <w:r w:rsidR="00D5478A">
        <w:t> </w:t>
      </w:r>
      <w:r w:rsidR="00EA041F">
        <w:t>MM</w:t>
      </w:r>
      <w:r>
        <w:t>/LD/WG/21/6 à l</w:t>
      </w:r>
      <w:r w:rsidR="00EA041F">
        <w:t>’</w:t>
      </w:r>
      <w:r>
        <w:t>ordre du jour de ses futures sessions.</w:t>
      </w:r>
    </w:p>
    <w:p w14:paraId="4A182F41" w14:textId="718F0D3C" w:rsidR="007C06C8" w:rsidRPr="005263F1" w:rsidRDefault="007C06C8" w:rsidP="007C06C8">
      <w:pPr>
        <w:pStyle w:val="Heading1"/>
      </w:pPr>
      <w:r w:rsidRPr="005263F1">
        <w:t>R</w:t>
      </w:r>
      <w:r w:rsidR="005263F1" w:rsidRPr="005263F1">
        <w:t>apport sur les consultations techniques menées sur l’introduction éventuelle de nouvelles langues et proposition concernant la voie à</w:t>
      </w:r>
      <w:r w:rsidR="0012695D">
        <w:t> </w:t>
      </w:r>
      <w:r w:rsidR="005263F1" w:rsidRPr="005263F1">
        <w:t>suivre</w:t>
      </w:r>
    </w:p>
    <w:p w14:paraId="204707EE" w14:textId="494CAF81" w:rsidR="00EA041F" w:rsidRDefault="007C06C8" w:rsidP="00EA041F">
      <w:pPr>
        <w:pStyle w:val="ONUMFS"/>
      </w:pPr>
      <w:r>
        <w:t>Le groupe de travail a examiné le document </w:t>
      </w:r>
      <w:hyperlink r:id="rId16" w:history="1">
        <w:r>
          <w:rPr>
            <w:rStyle w:val="Hyperlink"/>
          </w:rPr>
          <w:t>MM/LD/WG/21/7</w:t>
        </w:r>
      </w:hyperlink>
      <w:r>
        <w:t>, dans lequel le Bureau international a rendu compte des consultations techniques qu</w:t>
      </w:r>
      <w:r w:rsidR="00EA041F">
        <w:t>’</w:t>
      </w:r>
      <w:r>
        <w:t>il menait sur l</w:t>
      </w:r>
      <w:r w:rsidR="00EA041F">
        <w:t>’</w:t>
      </w:r>
      <w:r>
        <w:t>introduction éventuelle de nouvelles langues et a proposé une voie à suiv</w:t>
      </w:r>
      <w:r w:rsidR="00D5478A">
        <w:t>re.  Da</w:t>
      </w:r>
      <w:r>
        <w:t>ns ce document, des informations statistiques étaient présentées, et il était proposé d</w:t>
      </w:r>
      <w:r w:rsidR="00EA041F">
        <w:t>’</w:t>
      </w:r>
      <w:r>
        <w:t>introduire des mesures techniques qui seraient utiles aux titulaires de marques, indépendamment de l</w:t>
      </w:r>
      <w:r w:rsidR="00EA041F">
        <w:t>’</w:t>
      </w:r>
      <w:r>
        <w:t>introduction éventuelle de nouvelles langues.</w:t>
      </w:r>
    </w:p>
    <w:p w14:paraId="2CCA767A" w14:textId="0C1AC8D4" w:rsidR="00EA041F" w:rsidRDefault="007C06C8" w:rsidP="00EA041F">
      <w:pPr>
        <w:pStyle w:val="ONUMFS"/>
      </w:pPr>
      <w:r>
        <w:t>Le groupe de travail a demandé au Secrétariat d</w:t>
      </w:r>
      <w:r w:rsidR="00EA041F">
        <w:t>’</w:t>
      </w:r>
      <w:r>
        <w:t>établir, aux fins des mesures techniques précitées, un projet détaillé de plan de mise en œuvre qu</w:t>
      </w:r>
      <w:r w:rsidR="00EA041F">
        <w:t>’</w:t>
      </w:r>
      <w:r>
        <w:t>il examinerait à sa vingt</w:t>
      </w:r>
      <w:r w:rsidR="00D5478A">
        <w:noBreakHyphen/>
      </w:r>
      <w:r>
        <w:t>deux</w:t>
      </w:r>
      <w:r w:rsidR="00EA041F">
        <w:t>ième sessi</w:t>
      </w:r>
      <w:r w:rsidR="00D5478A">
        <w:t>on.  Ce</w:t>
      </w:r>
      <w:r>
        <w:t xml:space="preserve"> projet de plan de mise en œuvre devrait couvrir, entre autres, l</w:t>
      </w:r>
      <w:r w:rsidR="00EA041F">
        <w:t>’</w:t>
      </w:r>
      <w:r>
        <w:t>estimation des coûts, la source de financement et l</w:t>
      </w:r>
      <w:r w:rsidR="00EA041F">
        <w:t>’</w:t>
      </w:r>
      <w:r>
        <w:t>assurance qualité, en particulier, en vue de rendre accessible au public une version améliorée de la base de données terminologique relative aux produits et services, et au regard de l</w:t>
      </w:r>
      <w:r w:rsidR="00EA041F">
        <w:t>’</w:t>
      </w:r>
      <w:r>
        <w:t>introduction éventuelle de nouvelles langues dans cette base de données.</w:t>
      </w:r>
    </w:p>
    <w:p w14:paraId="42F031A7" w14:textId="1B873498" w:rsidR="00EA041F" w:rsidRDefault="007C06C8" w:rsidP="00EA041F">
      <w:pPr>
        <w:pStyle w:val="ONUMFS"/>
      </w:pPr>
      <w:r>
        <w:t>Le groupe de travail a en outre demandé au Secrétariat d</w:t>
      </w:r>
      <w:r w:rsidR="00EA041F">
        <w:t>’</w:t>
      </w:r>
      <w:r>
        <w:t xml:space="preserve">établir, pour sa prochaine session, un document contenant des statistiques actualisées concernant les paragraphes 88 à 101 du </w:t>
      </w:r>
      <w:r w:rsidR="00EA041F">
        <w:t>document</w:t>
      </w:r>
      <w:r w:rsidR="00D5478A">
        <w:t> </w:t>
      </w:r>
      <w:r w:rsidR="00EA041F">
        <w:t>MM</w:t>
      </w:r>
      <w:r>
        <w:t>/LD/WG/21/7, ainsi qu</w:t>
      </w:r>
      <w:r w:rsidR="00EA041F">
        <w:t>’</w:t>
      </w:r>
      <w:r>
        <w:t>une mise à jour sur l</w:t>
      </w:r>
      <w:r w:rsidR="00EA041F">
        <w:t>’</w:t>
      </w:r>
      <w:r>
        <w:t xml:space="preserve">élaboration de spécifications pour la transmission de données déchiffrables par ordinateur dans les communications des offices décrites au paragraphe 122 du </w:t>
      </w:r>
      <w:r w:rsidR="00EA041F">
        <w:t>document</w:t>
      </w:r>
      <w:r w:rsidR="00D5478A">
        <w:t> </w:t>
      </w:r>
      <w:r w:rsidR="00EA041F">
        <w:t>MM</w:t>
      </w:r>
      <w:r>
        <w:t>/LD/WG/21/7.</w:t>
      </w:r>
    </w:p>
    <w:p w14:paraId="085C2C1C" w14:textId="2707A737" w:rsidR="00EA041F" w:rsidRDefault="007C06C8" w:rsidP="00EA041F">
      <w:pPr>
        <w:pStyle w:val="ONUMFS"/>
      </w:pPr>
      <w:r>
        <w:t>Enfin, le groupe de travail est convenu de poursuivre les discussions sur l</w:t>
      </w:r>
      <w:r w:rsidR="00EA041F">
        <w:t>’</w:t>
      </w:r>
      <w:r>
        <w:t xml:space="preserve">introduction éventuelle de nouvelles langues, </w:t>
      </w:r>
      <w:r w:rsidR="00EA041F">
        <w:t>y compris</w:t>
      </w:r>
      <w:r>
        <w:t xml:space="preserve"> l</w:t>
      </w:r>
      <w:r w:rsidR="00EA041F">
        <w:t>’</w:t>
      </w:r>
      <w:r>
        <w:t>arabe, le chinois et le russe, et a prié le Secrétariat de poursuivre les consultations techniques avec les parties contractantes intéressées, les États membres de l</w:t>
      </w:r>
      <w:r w:rsidR="00EA041F">
        <w:t>’</w:t>
      </w:r>
      <w:r>
        <w:t>OMPI et les organisations d</w:t>
      </w:r>
      <w:r w:rsidR="00EA041F">
        <w:t>’</w:t>
      </w:r>
      <w:r>
        <w:t>utilisateurs.</w:t>
      </w:r>
    </w:p>
    <w:p w14:paraId="02581731" w14:textId="402930F0" w:rsidR="007C06C8" w:rsidRPr="005263F1" w:rsidRDefault="007C06C8" w:rsidP="00FD3FBC">
      <w:pPr>
        <w:pStyle w:val="Heading1"/>
        <w:keepLines/>
      </w:pPr>
      <w:r w:rsidRPr="005263F1">
        <w:lastRenderedPageBreak/>
        <w:t>T</w:t>
      </w:r>
      <w:r w:rsidR="005263F1" w:rsidRPr="005263F1">
        <w:t>able ronde du groupe de travail de Madrid</w:t>
      </w:r>
    </w:p>
    <w:p w14:paraId="63F62568" w14:textId="79345B20" w:rsidR="00EA041F" w:rsidRDefault="007C06C8" w:rsidP="00FD3FBC">
      <w:pPr>
        <w:pStyle w:val="ONUMFS"/>
        <w:keepLines/>
      </w:pPr>
      <w:r>
        <w:t>Parallèlement à sa vingt</w:t>
      </w:r>
      <w:r w:rsidR="00EA041F">
        <w:t> et unième session</w:t>
      </w:r>
      <w:r>
        <w:t>, le groupe de travail a organisé une table ronde dont les participants ont, au cours d</w:t>
      </w:r>
      <w:r w:rsidR="00EA041F">
        <w:t>’</w:t>
      </w:r>
      <w:r>
        <w:t>une journée et demie, échangé des informations sur des questions juridiques, opérationnelles et techniques telles que l</w:t>
      </w:r>
      <w:r w:rsidR="00EA041F">
        <w:t>’</w:t>
      </w:r>
      <w:r>
        <w:t>échange de données par voie électronique, les pratiques en matière de classement, l</w:t>
      </w:r>
      <w:r w:rsidR="00EA041F">
        <w:t>’</w:t>
      </w:r>
      <w:r>
        <w:t>amélioration de l</w:t>
      </w:r>
      <w:r w:rsidR="00EA041F">
        <w:t>’</w:t>
      </w:r>
      <w:r>
        <w:t>expérience du client et la mise en place d</w:t>
      </w:r>
      <w:r w:rsidR="00EA041F">
        <w:t>’</w:t>
      </w:r>
      <w:r>
        <w:t>activités promotionnell</w:t>
      </w:r>
      <w:r w:rsidR="00D5478A">
        <w:t>es.  Le</w:t>
      </w:r>
      <w:r>
        <w:t xml:space="preserve"> programme de la table ronde et les exposés qui y ont été présentés sont disponibles sur la </w:t>
      </w:r>
      <w:bookmarkStart w:id="5" w:name="_Hlk161135334"/>
      <w:r>
        <w:fldChar w:fldCharType="begin"/>
      </w:r>
      <w:r>
        <w:instrText>HYPERLINK "https://www.wipo.int/meetings/fr/details.jsp?meeting_id=75416"</w:instrText>
      </w:r>
      <w:r>
        <w:fldChar w:fldCharType="separate"/>
      </w:r>
      <w:r w:rsidR="00EA041F">
        <w:rPr>
          <w:rStyle w:val="Hyperlink"/>
        </w:rPr>
        <w:t>page W</w:t>
      </w:r>
      <w:r>
        <w:rPr>
          <w:rStyle w:val="Hyperlink"/>
        </w:rPr>
        <w:t>eb consacrée à cette réunion</w:t>
      </w:r>
      <w:bookmarkEnd w:id="5"/>
      <w:r>
        <w:fldChar w:fldCharType="end"/>
      </w:r>
      <w:r>
        <w:t>.</w:t>
      </w:r>
    </w:p>
    <w:p w14:paraId="735A6CA5" w14:textId="7E4B3537" w:rsidR="007C06C8" w:rsidRPr="005263F1" w:rsidRDefault="007C06C8" w:rsidP="007C06C8">
      <w:pPr>
        <w:pStyle w:val="Heading1"/>
      </w:pPr>
      <w:r w:rsidRPr="005263F1">
        <w:t>C</w:t>
      </w:r>
      <w:r w:rsidR="005263F1" w:rsidRPr="005263F1">
        <w:t>orrection d’une erreur typographique</w:t>
      </w:r>
    </w:p>
    <w:p w14:paraId="7DC082D8" w14:textId="4C79F878" w:rsidR="00EA041F" w:rsidRDefault="007C06C8" w:rsidP="00EA041F">
      <w:pPr>
        <w:pStyle w:val="ONUMFS"/>
      </w:pPr>
      <w:r>
        <w:t>Le groupe de travail s</w:t>
      </w:r>
      <w:r w:rsidR="00EA041F">
        <w:t>’</w:t>
      </w:r>
      <w:r>
        <w:t>est penché sur la correction d</w:t>
      </w:r>
      <w:r w:rsidR="00EA041F">
        <w:t>’</w:t>
      </w:r>
      <w:r>
        <w:t>une erreur typographique figurant dans la règle </w:t>
      </w:r>
      <w:proofErr w:type="gramStart"/>
      <w:r>
        <w:t>32.2)i</w:t>
      </w:r>
      <w:proofErr w:type="gramEnd"/>
      <w:r>
        <w:t>) du règlement d</w:t>
      </w:r>
      <w:r w:rsidR="00EA041F">
        <w:t>’</w:t>
      </w:r>
      <w:r>
        <w:t>exécution, qui renvoie à la règle 40.7) au lieu de la règle 40.8) du règlement d</w:t>
      </w:r>
      <w:r w:rsidR="00EA041F">
        <w:t>’</w:t>
      </w:r>
      <w:r>
        <w:t>exécution (document </w:t>
      </w:r>
      <w:hyperlink r:id="rId17" w:history="1">
        <w:r>
          <w:rPr>
            <w:rStyle w:val="Hyperlink"/>
          </w:rPr>
          <w:t>MM/LD/WG/21/3</w:t>
        </w:r>
      </w:hyperlink>
      <w:r>
        <w:t>).  Le règlement d</w:t>
      </w:r>
      <w:r w:rsidR="00EA041F">
        <w:t>’</w:t>
      </w:r>
      <w:r>
        <w:t>exécution sera actualisé en conséquence après la clôture de l</w:t>
      </w:r>
      <w:r w:rsidR="00EA041F">
        <w:t>’</w:t>
      </w:r>
      <w:r>
        <w:t>Assemblée de l</w:t>
      </w:r>
      <w:r w:rsidR="00EA041F">
        <w:t>’</w:t>
      </w:r>
      <w:r>
        <w:t>Union de Madrid.</w:t>
      </w:r>
    </w:p>
    <w:p w14:paraId="0FCFDA95" w14:textId="4E437491" w:rsidR="00EA041F" w:rsidRDefault="007C06C8" w:rsidP="00EA041F">
      <w:pPr>
        <w:pStyle w:val="ONUMFS"/>
        <w:ind w:left="5533"/>
        <w:rPr>
          <w:i/>
        </w:rPr>
      </w:pPr>
      <w:r w:rsidRPr="00EA041F">
        <w:rPr>
          <w:i/>
        </w:rPr>
        <w:t>L</w:t>
      </w:r>
      <w:r w:rsidR="00EA041F">
        <w:rPr>
          <w:i/>
        </w:rPr>
        <w:t>’</w:t>
      </w:r>
      <w:r w:rsidRPr="00EA041F">
        <w:rPr>
          <w:i/>
        </w:rPr>
        <w:t>Assemblée de l</w:t>
      </w:r>
      <w:r w:rsidR="00EA041F">
        <w:rPr>
          <w:i/>
        </w:rPr>
        <w:t>’</w:t>
      </w:r>
      <w:r w:rsidRPr="00EA041F">
        <w:rPr>
          <w:i/>
        </w:rPr>
        <w:t xml:space="preserve">Union de Madrid est invitée à prendre note du </w:t>
      </w:r>
      <w:r w:rsidR="00D25098">
        <w:rPr>
          <w:i/>
        </w:rPr>
        <w:t>“R</w:t>
      </w:r>
      <w:r w:rsidR="00D25098" w:rsidRPr="00D25098">
        <w:rPr>
          <w:i/>
        </w:rPr>
        <w:t xml:space="preserve">apport sur le groupe de travail sur le développement juridique du système de </w:t>
      </w:r>
      <w:r w:rsidR="00D25098">
        <w:rPr>
          <w:i/>
        </w:rPr>
        <w:t>M</w:t>
      </w:r>
      <w:r w:rsidR="00D25098" w:rsidRPr="00D25098">
        <w:rPr>
          <w:i/>
        </w:rPr>
        <w:t>adrid concernant l’enregistrement international des marques</w:t>
      </w:r>
      <w:r w:rsidR="00D25098">
        <w:rPr>
          <w:i/>
        </w:rPr>
        <w:t>”</w:t>
      </w:r>
      <w:r w:rsidR="00D25098" w:rsidRPr="00D25098">
        <w:rPr>
          <w:i/>
        </w:rPr>
        <w:t xml:space="preserve"> </w:t>
      </w:r>
      <w:r w:rsidR="00D25098">
        <w:rPr>
          <w:i/>
        </w:rPr>
        <w:t>(</w:t>
      </w:r>
      <w:r w:rsidRPr="00EA041F">
        <w:rPr>
          <w:i/>
        </w:rPr>
        <w:t>document</w:t>
      </w:r>
      <w:r w:rsidR="00D25098">
        <w:rPr>
          <w:i/>
        </w:rPr>
        <w:t> MM/A/58/1)</w:t>
      </w:r>
      <w:r w:rsidRPr="00EA041F">
        <w:rPr>
          <w:i/>
        </w:rPr>
        <w:t>.</w:t>
      </w:r>
    </w:p>
    <w:p w14:paraId="591A9FA7" w14:textId="5D6892AD" w:rsidR="007C06C8" w:rsidRDefault="007C06C8" w:rsidP="00EA041F">
      <w:pPr>
        <w:pStyle w:val="Endofdocument-Annex"/>
        <w:spacing w:before="720" w:after="240"/>
      </w:pPr>
      <w:r>
        <w:t>[Fin du document]</w:t>
      </w:r>
    </w:p>
    <w:sectPr w:rsidR="007C06C8" w:rsidSect="005263F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0F57" w14:textId="77777777" w:rsidR="007C06C8" w:rsidRDefault="007C06C8">
      <w:r>
        <w:separator/>
      </w:r>
    </w:p>
  </w:endnote>
  <w:endnote w:type="continuationSeparator" w:id="0">
    <w:p w14:paraId="5E0A8147" w14:textId="77777777" w:rsidR="007C06C8" w:rsidRPr="009D30E6" w:rsidRDefault="007C06C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40E6A37" w14:textId="77777777" w:rsidR="007C06C8" w:rsidRPr="009D30E6" w:rsidRDefault="007C06C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0175954" w14:textId="77777777" w:rsidR="007C06C8" w:rsidRPr="009D30E6" w:rsidRDefault="007C06C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900D" w14:textId="77777777" w:rsidR="00630A94" w:rsidRDefault="00630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73D0" w14:textId="77777777" w:rsidR="00630A94" w:rsidRDefault="00630A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FECF" w14:textId="77777777" w:rsidR="00630A94" w:rsidRDefault="00630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14AF" w14:textId="77777777" w:rsidR="007C06C8" w:rsidRDefault="007C06C8">
      <w:r>
        <w:separator/>
      </w:r>
    </w:p>
  </w:footnote>
  <w:footnote w:type="continuationSeparator" w:id="0">
    <w:p w14:paraId="6AEF1409" w14:textId="77777777" w:rsidR="007C06C8" w:rsidRDefault="007C06C8" w:rsidP="007461F1">
      <w:r>
        <w:separator/>
      </w:r>
    </w:p>
    <w:p w14:paraId="70E08E42" w14:textId="77777777" w:rsidR="007C06C8" w:rsidRPr="009D30E6" w:rsidRDefault="007C06C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2E38E26" w14:textId="77777777" w:rsidR="007C06C8" w:rsidRPr="009D30E6" w:rsidRDefault="007C06C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6DD5" w14:textId="77777777" w:rsidR="00630A94" w:rsidRDefault="0063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77B5" w14:textId="77777777" w:rsidR="00F16975" w:rsidRDefault="007C06C8" w:rsidP="00477D6B">
    <w:pPr>
      <w:jc w:val="right"/>
    </w:pPr>
    <w:bookmarkStart w:id="6" w:name="Code2"/>
    <w:bookmarkEnd w:id="6"/>
    <w:r>
      <w:t>MM/A/58/1</w:t>
    </w:r>
  </w:p>
  <w:p w14:paraId="6CD21AB3" w14:textId="2DC97787" w:rsidR="004F4E31" w:rsidRDefault="00F16975" w:rsidP="00EA041F">
    <w:pPr>
      <w:spacing w:after="480"/>
      <w:jc w:val="right"/>
    </w:pPr>
    <w:proofErr w:type="gramStart"/>
    <w:r>
      <w:t>page</w:t>
    </w:r>
    <w:proofErr w:type="gramEnd"/>
    <w:r w:rsidR="00EA041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D334" w14:textId="77777777" w:rsidR="00630A94" w:rsidRDefault="00630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247302">
    <w:abstractNumId w:val="2"/>
  </w:num>
  <w:num w:numId="2" w16cid:durableId="547761974">
    <w:abstractNumId w:val="4"/>
  </w:num>
  <w:num w:numId="3" w16cid:durableId="764376486">
    <w:abstractNumId w:val="0"/>
  </w:num>
  <w:num w:numId="4" w16cid:durableId="1301838995">
    <w:abstractNumId w:val="5"/>
  </w:num>
  <w:num w:numId="5" w16cid:durableId="762532842">
    <w:abstractNumId w:val="1"/>
  </w:num>
  <w:num w:numId="6" w16cid:durableId="467089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C8"/>
    <w:rsid w:val="00011B7D"/>
    <w:rsid w:val="00075432"/>
    <w:rsid w:val="000A473F"/>
    <w:rsid w:val="000F5E56"/>
    <w:rsid w:val="0012695D"/>
    <w:rsid w:val="001362EE"/>
    <w:rsid w:val="001832A6"/>
    <w:rsid w:val="00194265"/>
    <w:rsid w:val="00195C6E"/>
    <w:rsid w:val="001B266A"/>
    <w:rsid w:val="001D3D56"/>
    <w:rsid w:val="00240654"/>
    <w:rsid w:val="00252E63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263F1"/>
    <w:rsid w:val="0054650C"/>
    <w:rsid w:val="00547476"/>
    <w:rsid w:val="00561DB8"/>
    <w:rsid w:val="00567A4C"/>
    <w:rsid w:val="005761CC"/>
    <w:rsid w:val="00576F92"/>
    <w:rsid w:val="005E6516"/>
    <w:rsid w:val="00605827"/>
    <w:rsid w:val="00605842"/>
    <w:rsid w:val="00630A94"/>
    <w:rsid w:val="006731C1"/>
    <w:rsid w:val="00676936"/>
    <w:rsid w:val="006B0DB5"/>
    <w:rsid w:val="006E4243"/>
    <w:rsid w:val="007461F1"/>
    <w:rsid w:val="007B428C"/>
    <w:rsid w:val="007C06C8"/>
    <w:rsid w:val="007D6961"/>
    <w:rsid w:val="007D757A"/>
    <w:rsid w:val="007F07CB"/>
    <w:rsid w:val="00810CEF"/>
    <w:rsid w:val="0081208D"/>
    <w:rsid w:val="00842A13"/>
    <w:rsid w:val="008B2CC1"/>
    <w:rsid w:val="008E7930"/>
    <w:rsid w:val="0090731E"/>
    <w:rsid w:val="00951414"/>
    <w:rsid w:val="00966A22"/>
    <w:rsid w:val="00974CD6"/>
    <w:rsid w:val="009D30E6"/>
    <w:rsid w:val="009E3F6F"/>
    <w:rsid w:val="009F499F"/>
    <w:rsid w:val="00A02BD3"/>
    <w:rsid w:val="00AA09D4"/>
    <w:rsid w:val="00AA1F20"/>
    <w:rsid w:val="00AC0AE4"/>
    <w:rsid w:val="00AD61DB"/>
    <w:rsid w:val="00B87BCF"/>
    <w:rsid w:val="00BA62D4"/>
    <w:rsid w:val="00C34363"/>
    <w:rsid w:val="00C40E15"/>
    <w:rsid w:val="00C664C8"/>
    <w:rsid w:val="00C76A79"/>
    <w:rsid w:val="00CA15F5"/>
    <w:rsid w:val="00CF0460"/>
    <w:rsid w:val="00D25098"/>
    <w:rsid w:val="00D342E8"/>
    <w:rsid w:val="00D45252"/>
    <w:rsid w:val="00D5478A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A041F"/>
    <w:rsid w:val="00EB6BA0"/>
    <w:rsid w:val="00EE71CB"/>
    <w:rsid w:val="00F16975"/>
    <w:rsid w:val="00F66152"/>
    <w:rsid w:val="00FC5A2F"/>
    <w:rsid w:val="00FD3FBC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105D72"/>
  <w15:docId w15:val="{18F1DA11-4C1F-4432-AA8B-5153DE63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7C06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761C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C34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madrid/fr/mm_ld_wg_21/mm_ld_wg_21_9.pdf" TargetMode="External"/><Relationship Id="rId13" Type="http://schemas.openxmlformats.org/officeDocument/2006/relationships/hyperlink" Target="https://www.wipo.int/edocs/mdocs/madrid/fr/mm_ld_wg_20/mm_ld_wg_20_5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wipo.int/edocs/mdocs/madrid/fr/mm_ld_wg_21/mm_ld_wg_21_8.pdf" TargetMode="External"/><Relationship Id="rId17" Type="http://schemas.openxmlformats.org/officeDocument/2006/relationships/hyperlink" Target="https://www.wipo.int/edocs/mdocs/madrid/fr/mm_ld_wg_21/mm_ld_wg_21_3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ipo.int/edocs/mdocs/madrid/fr/mm_ld_wg_21/mm_ld_wg_21_7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docs/mdocs/madrid/fr/mm_ld_wg_21/mm_ld_wg_21_4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ipo.int/edocs/mdocs/madrid/fr/mm_ld_wg_21/mm_ld_wg_21_6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wipo.int/edocs/mdocs/madrid/fr/mm_ld_wg_21/mm_ld_wg_21_3.pdf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edocs/mdocs/madrid/fr/mm_ld_wg_21/mm_ld_wg_21_2.pdf" TargetMode="External"/><Relationship Id="rId14" Type="http://schemas.openxmlformats.org/officeDocument/2006/relationships/hyperlink" Target="https://www.wipo.int/edocs/mdocs/madrid/fr/mm_ld_wg_21/mm_ld_wg_21_5_rev.pdf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_A_5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MM_A_58 (F)</Template>
  <TotalTime>28</TotalTime>
  <Pages>4</Pages>
  <Words>1460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MM/A/58/1</vt:lpstr>
    </vt:vector>
  </TitlesOfParts>
  <Company>WIPO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MM/A/58/1</dc:title>
  <dc:subject>Sixty-Fifth Series of Meetings</dc:subject>
  <dc:creator>WIPO</dc:creator>
  <cp:keywords>FOR OFFICIAL USE ONLY</cp:keywords>
  <cp:lastModifiedBy>MARIN-CUDRAZ DAVI Nicoletta</cp:lastModifiedBy>
  <cp:revision>6</cp:revision>
  <cp:lastPrinted>2011-05-19T12:37:00Z</cp:lastPrinted>
  <dcterms:created xsi:type="dcterms:W3CDTF">2024-04-04T12:35:00Z</dcterms:created>
  <dcterms:modified xsi:type="dcterms:W3CDTF">2024-04-10T13:04:00Z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4f42ea33-3f01-442a-a303-446523701e23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2024-04-03T10:08:25Z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fc4594ba-fa62-4feb-a543-cc9acfb43dbd</vt:lpwstr>
  </property>
  <property fmtid="{D5CDD505-2E9C-101B-9397-08002B2CF9AE}" pid="14" name="MSIP_Label_20773ee6-353b-4fb9-a59d-0b94c8c67bea_ContentBits">
    <vt:lpwstr>0</vt:lpwstr>
  </property>
</Properties>
</file>