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1CDC" w14:textId="77777777" w:rsidR="008B2CC1" w:rsidRPr="008B2CC1" w:rsidRDefault="00DB0349" w:rsidP="00DB0349">
      <w:pPr>
        <w:spacing w:after="120"/>
        <w:jc w:val="right"/>
      </w:pPr>
      <w:r>
        <w:rPr>
          <w:noProof/>
          <w:lang w:eastAsia="fr-CH"/>
        </w:rPr>
        <w:drawing>
          <wp:inline distT="0" distB="0" distL="0" distR="0" wp14:anchorId="2B184FFB" wp14:editId="5EC12CF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eastAsia="fr-CH"/>
        </w:rPr>
        <mc:AlternateContent>
          <mc:Choice Requires="wps">
            <w:drawing>
              <wp:inline distT="0" distB="0" distL="0" distR="0" wp14:anchorId="33E614CF" wp14:editId="1CB91B5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3ADAC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085F089" w14:textId="77777777" w:rsidR="008B2CC1" w:rsidRPr="00DB0349" w:rsidRDefault="00D342E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MM/A/5</w:t>
      </w:r>
      <w:r w:rsidR="00194265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A7442F">
        <w:rPr>
          <w:rFonts w:ascii="Arial Black" w:hAnsi="Arial Black"/>
          <w:caps/>
          <w:sz w:val="15"/>
          <w:szCs w:val="15"/>
        </w:rPr>
        <w:t>INF/1</w:t>
      </w:r>
    </w:p>
    <w:p w14:paraId="0D699A57" w14:textId="1C255B30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DA7016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A7442F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2752C03E" w14:textId="39E7BD74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DA7016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DA7016">
        <w:rPr>
          <w:rFonts w:ascii="Arial Black" w:hAnsi="Arial Black"/>
          <w:caps/>
          <w:sz w:val="15"/>
          <w:szCs w:val="15"/>
        </w:rPr>
        <w:t>4 juillet 20</w:t>
      </w:r>
      <w:r w:rsidR="00A7442F">
        <w:rPr>
          <w:rFonts w:ascii="Arial Black" w:hAnsi="Arial Black"/>
          <w:caps/>
          <w:sz w:val="15"/>
          <w:szCs w:val="15"/>
        </w:rPr>
        <w:t>24</w:t>
      </w:r>
    </w:p>
    <w:bookmarkEnd w:id="2"/>
    <w:p w14:paraId="2CA5CCB0" w14:textId="105D16B8" w:rsidR="00C40E15" w:rsidRPr="00DB0349" w:rsidRDefault="00D342E8" w:rsidP="00DB0349">
      <w:pPr>
        <w:spacing w:after="600"/>
        <w:rPr>
          <w:b/>
          <w:sz w:val="28"/>
          <w:szCs w:val="28"/>
        </w:rPr>
      </w:pPr>
      <w:r w:rsidRPr="0006765A">
        <w:rPr>
          <w:b/>
          <w:sz w:val="28"/>
        </w:rPr>
        <w:t>Union particulière pour l</w:t>
      </w:r>
      <w:r w:rsidR="00DA7016">
        <w:rPr>
          <w:b/>
          <w:sz w:val="28"/>
        </w:rPr>
        <w:t>’</w:t>
      </w:r>
      <w:r w:rsidRPr="0006765A">
        <w:rPr>
          <w:b/>
          <w:sz w:val="28"/>
        </w:rPr>
        <w:t>enregistrement international des marques (Union de Madrid)</w:t>
      </w:r>
    </w:p>
    <w:p w14:paraId="6FAA3E52" w14:textId="77777777"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14:paraId="7125CD71" w14:textId="68EA09BB" w:rsidR="008B2CC1" w:rsidRPr="003845C1" w:rsidRDefault="00194265" w:rsidP="008B2CC1">
      <w:pPr>
        <w:rPr>
          <w:b/>
          <w:sz w:val="24"/>
          <w:szCs w:val="24"/>
        </w:rPr>
      </w:pPr>
      <w:r w:rsidRPr="00194265">
        <w:rPr>
          <w:b/>
          <w:bCs/>
          <w:iCs/>
          <w:sz w:val="24"/>
        </w:rPr>
        <w:t>Cinquante</w:t>
      </w:r>
      <w:r w:rsidR="00D4732D">
        <w:rPr>
          <w:b/>
          <w:bCs/>
          <w:iCs/>
          <w:sz w:val="24"/>
        </w:rPr>
        <w:noBreakHyphen/>
      </w:r>
      <w:r w:rsidRPr="00194265">
        <w:rPr>
          <w:b/>
          <w:bCs/>
          <w:iCs/>
          <w:sz w:val="24"/>
        </w:rPr>
        <w:t>huit</w:t>
      </w:r>
      <w:r w:rsidR="00DA7016">
        <w:rPr>
          <w:b/>
          <w:bCs/>
          <w:iCs/>
          <w:sz w:val="24"/>
        </w:rPr>
        <w:t>ième session</w:t>
      </w:r>
      <w:r w:rsidRPr="00194265">
        <w:rPr>
          <w:b/>
          <w:bCs/>
          <w:iCs/>
          <w:sz w:val="24"/>
        </w:rPr>
        <w:t xml:space="preserve"> (33</w:t>
      </w:r>
      <w:r w:rsidRPr="00681CAE">
        <w:rPr>
          <w:b/>
          <w:bCs/>
          <w:iCs/>
          <w:sz w:val="24"/>
          <w:vertAlign w:val="superscript"/>
        </w:rPr>
        <w:t>e</w:t>
      </w:r>
      <w:r w:rsidR="00A7442F">
        <w:rPr>
          <w:b/>
          <w:bCs/>
          <w:iCs/>
          <w:sz w:val="24"/>
        </w:rPr>
        <w:t> </w:t>
      </w:r>
      <w:r w:rsidRPr="00194265">
        <w:rPr>
          <w:b/>
          <w:bCs/>
          <w:iCs/>
          <w:sz w:val="24"/>
        </w:rPr>
        <w:t>session extraordinaire</w:t>
      </w:r>
      <w:r w:rsidR="00D342E8" w:rsidRPr="00681CAE">
        <w:rPr>
          <w:b/>
          <w:bCs/>
          <w:iCs/>
          <w:sz w:val="24"/>
        </w:rPr>
        <w:t>)</w:t>
      </w:r>
    </w:p>
    <w:p w14:paraId="5247596B" w14:textId="3CF53120" w:rsidR="008B2CC1" w:rsidRPr="003845C1" w:rsidRDefault="00D342E8" w:rsidP="00DB0349">
      <w:pPr>
        <w:spacing w:after="720"/>
        <w:rPr>
          <w:b/>
          <w:sz w:val="24"/>
          <w:szCs w:val="24"/>
        </w:rPr>
      </w:pPr>
      <w:r w:rsidRPr="002A1C08">
        <w:rPr>
          <w:b/>
          <w:sz w:val="24"/>
        </w:rPr>
        <w:t xml:space="preserve">Genève, </w:t>
      </w:r>
      <w:r w:rsidR="00194265">
        <w:rPr>
          <w:b/>
          <w:sz w:val="24"/>
        </w:rPr>
        <w:t>9</w:t>
      </w:r>
      <w:r w:rsidRPr="005372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</w:t>
      </w:r>
      <w:r w:rsidR="00194265">
        <w:rPr>
          <w:b/>
          <w:sz w:val="24"/>
          <w:szCs w:val="24"/>
        </w:rPr>
        <w:t>7</w:t>
      </w:r>
      <w:r w:rsidR="00A7442F">
        <w:rPr>
          <w:b/>
          <w:sz w:val="24"/>
          <w:szCs w:val="24"/>
        </w:rPr>
        <w:t> </w:t>
      </w:r>
      <w:r w:rsidR="00DA7016">
        <w:rPr>
          <w:b/>
          <w:sz w:val="24"/>
          <w:szCs w:val="24"/>
        </w:rPr>
        <w:t>juillet 20</w:t>
      </w:r>
      <w:r>
        <w:rPr>
          <w:b/>
          <w:sz w:val="24"/>
          <w:szCs w:val="24"/>
        </w:rPr>
        <w:t>2</w:t>
      </w:r>
      <w:r w:rsidR="00194265">
        <w:rPr>
          <w:b/>
          <w:sz w:val="24"/>
          <w:szCs w:val="24"/>
        </w:rPr>
        <w:t>4</w:t>
      </w:r>
    </w:p>
    <w:p w14:paraId="163E30F8" w14:textId="6A2D29F8" w:rsidR="008B2CC1" w:rsidRPr="00A7442F" w:rsidRDefault="00A7442F" w:rsidP="00DB0349">
      <w:pPr>
        <w:spacing w:after="360"/>
        <w:rPr>
          <w:caps/>
          <w:sz w:val="24"/>
        </w:rPr>
      </w:pPr>
      <w:bookmarkStart w:id="3" w:name="TitleOfDoc"/>
      <w:r w:rsidRPr="00A7442F">
        <w:rPr>
          <w:caps/>
          <w:sz w:val="24"/>
        </w:rPr>
        <w:t>Excédent de l</w:t>
      </w:r>
      <w:r w:rsidR="00DA7016">
        <w:rPr>
          <w:caps/>
          <w:sz w:val="24"/>
        </w:rPr>
        <w:t>’</w:t>
      </w:r>
      <w:r w:rsidRPr="00A7442F">
        <w:rPr>
          <w:caps/>
          <w:sz w:val="24"/>
        </w:rPr>
        <w:t>Union de Madrid pour l</w:t>
      </w:r>
      <w:r w:rsidR="00DA7016">
        <w:rPr>
          <w:caps/>
          <w:sz w:val="24"/>
        </w:rPr>
        <w:t>’</w:t>
      </w:r>
      <w:r w:rsidRPr="00A7442F">
        <w:rPr>
          <w:caps/>
          <w:sz w:val="24"/>
        </w:rPr>
        <w:t>exercice biennal 2022</w:t>
      </w:r>
      <w:r w:rsidR="00D4732D">
        <w:rPr>
          <w:caps/>
          <w:sz w:val="24"/>
        </w:rPr>
        <w:noBreakHyphen/>
      </w:r>
      <w:r w:rsidRPr="00A7442F">
        <w:rPr>
          <w:caps/>
          <w:sz w:val="24"/>
        </w:rPr>
        <w:t>2023</w:t>
      </w:r>
    </w:p>
    <w:p w14:paraId="6AE95E6D" w14:textId="29D36411" w:rsidR="00525B63" w:rsidRPr="00AA09D4" w:rsidRDefault="00A7442F" w:rsidP="00DB0349">
      <w:pPr>
        <w:spacing w:after="960"/>
        <w:rPr>
          <w:i/>
          <w:iCs/>
        </w:rPr>
      </w:pPr>
      <w:bookmarkStart w:id="4" w:name="Prepared"/>
      <w:bookmarkEnd w:id="3"/>
      <w:r w:rsidRPr="00A7442F">
        <w:rPr>
          <w:i/>
          <w:iCs/>
        </w:rPr>
        <w:t>Document établi par le Secrétariat</w:t>
      </w:r>
    </w:p>
    <w:bookmarkEnd w:id="4"/>
    <w:p w14:paraId="29F4AE73" w14:textId="3847FF4D" w:rsidR="00DA7016" w:rsidRDefault="00A7442F" w:rsidP="00A7442F">
      <w:pPr>
        <w:pStyle w:val="ONUMFS"/>
      </w:pPr>
      <w:r>
        <w:t xml:space="preserve">Le présent document fournit aux États membres des informations actualisées sur </w:t>
      </w:r>
      <w:bookmarkStart w:id="5" w:name="_Hlk170887250"/>
      <w:r>
        <w:t>l</w:t>
      </w:r>
      <w:r w:rsidR="00DA7016">
        <w:t>’</w:t>
      </w:r>
      <w:r>
        <w:t>excédent de l</w:t>
      </w:r>
      <w:r w:rsidR="00DA7016">
        <w:t>’</w:t>
      </w:r>
      <w:r>
        <w:t>Union de Madrid pour l</w:t>
      </w:r>
      <w:r w:rsidR="00DA7016">
        <w:t>’</w:t>
      </w:r>
      <w:r>
        <w:t>exercice biennal 2022</w:t>
      </w:r>
      <w:r w:rsidR="00D4732D">
        <w:noBreakHyphen/>
      </w:r>
      <w:r>
        <w:t>2023</w:t>
      </w:r>
      <w:bookmarkEnd w:id="5"/>
      <w:r>
        <w:t xml:space="preserve"> et les actifs nets de l</w:t>
      </w:r>
      <w:r w:rsidR="00DA7016">
        <w:t>’</w:t>
      </w:r>
      <w:r>
        <w:t>Union de Madrid au 31 </w:t>
      </w:r>
      <w:r w:rsidR="00DA7016">
        <w:t>décembre 20</w:t>
      </w:r>
      <w:r>
        <w:t>23.</w:t>
      </w:r>
    </w:p>
    <w:p w14:paraId="53FF1B5B" w14:textId="167F52A5" w:rsidR="00DA7016" w:rsidRDefault="00A7442F" w:rsidP="00A7442F">
      <w:pPr>
        <w:pStyle w:val="ONUMFS"/>
      </w:pPr>
      <w:r>
        <w:t>L</w:t>
      </w:r>
      <w:r w:rsidR="00DA7016">
        <w:t>’</w:t>
      </w:r>
      <w:r>
        <w:t>excédent des recettes par rapport aux dépenses de l</w:t>
      </w:r>
      <w:r w:rsidR="00DA7016">
        <w:t>’</w:t>
      </w:r>
      <w:r>
        <w:t>Union de Madrid s</w:t>
      </w:r>
      <w:r w:rsidR="00DA7016">
        <w:t>’</w:t>
      </w:r>
      <w:r>
        <w:t>est élevé à</w:t>
      </w:r>
      <w:r w:rsidR="00825336">
        <w:t> </w:t>
      </w:r>
      <w:r>
        <w:t>10 millions de francs suisses au cours de l</w:t>
      </w:r>
      <w:r w:rsidR="00DA7016">
        <w:t>’</w:t>
      </w:r>
      <w:r>
        <w:t>exercice biennal 2022</w:t>
      </w:r>
      <w:r w:rsidR="00D4732D">
        <w:noBreakHyphen/>
      </w:r>
      <w:r>
        <w:t>2023, comme l</w:t>
      </w:r>
      <w:r w:rsidR="00DA7016">
        <w:t>’</w:t>
      </w:r>
      <w:r>
        <w:t>indique le Rapport sur la performance de l</w:t>
      </w:r>
      <w:r w:rsidR="00DA7016">
        <w:t>’</w:t>
      </w:r>
      <w:r>
        <w:t xml:space="preserve">OMPI </w:t>
      </w:r>
      <w:r w:rsidR="00DA7016">
        <w:t>pour 2022</w:t>
      </w:r>
      <w:r w:rsidR="00D4732D">
        <w:noBreakHyphen/>
      </w:r>
      <w:r>
        <w:t>2023 (document </w:t>
      </w:r>
      <w:hyperlink r:id="rId8" w:history="1">
        <w:r>
          <w:rPr>
            <w:rStyle w:val="Hyperlink"/>
          </w:rPr>
          <w:t>WO/</w:t>
        </w:r>
        <w:r>
          <w:rPr>
            <w:rStyle w:val="Hyperlink"/>
          </w:rPr>
          <w:t>P</w:t>
        </w:r>
        <w:r>
          <w:rPr>
            <w:rStyle w:val="Hyperlink"/>
          </w:rPr>
          <w:t>B</w:t>
        </w:r>
        <w:r>
          <w:rPr>
            <w:rStyle w:val="Hyperlink"/>
          </w:rPr>
          <w:t>C</w:t>
        </w:r>
        <w:r>
          <w:rPr>
            <w:rStyle w:val="Hyperlink"/>
          </w:rPr>
          <w:t>/</w:t>
        </w:r>
        <w:r>
          <w:rPr>
            <w:rStyle w:val="Hyperlink"/>
          </w:rPr>
          <w:t>37/7</w:t>
        </w:r>
      </w:hyperlink>
      <w:r>
        <w:t>).</w:t>
      </w:r>
    </w:p>
    <w:p w14:paraId="549FA3DD" w14:textId="027FD4CF" w:rsidR="00C105DB" w:rsidRDefault="00A7442F" w:rsidP="00A7442F">
      <w:pPr>
        <w:pStyle w:val="ONUMFS"/>
      </w:pPr>
      <w:r>
        <w:t>L</w:t>
      </w:r>
      <w:r w:rsidR="00DA7016">
        <w:t>’</w:t>
      </w:r>
      <w:r>
        <w:t>article 8.4) du Protocole relatif à l</w:t>
      </w:r>
      <w:r w:rsidR="00DA7016">
        <w:t>’</w:t>
      </w:r>
      <w:r>
        <w:t>Arrangement de Madrid concernant l</w:t>
      </w:r>
      <w:r w:rsidR="00DA7016">
        <w:t>’</w:t>
      </w:r>
      <w:r>
        <w:t>enregistrement international des marques prévoit que “[l]e produit annuel des diverses recettes de l</w:t>
      </w:r>
      <w:r w:rsidR="00DA7016">
        <w:t>’</w:t>
      </w:r>
      <w:r>
        <w:t>enregistrement international, à l</w:t>
      </w:r>
      <w:r w:rsidR="00DA7016">
        <w:t>’</w:t>
      </w:r>
      <w:r>
        <w:t>exception des recettes provenant des émoluments visés à l</w:t>
      </w:r>
      <w:r w:rsidR="00DA7016">
        <w:t>’</w:t>
      </w:r>
      <w:r>
        <w:t>alinéa </w:t>
      </w:r>
      <w:proofErr w:type="gramStart"/>
      <w:r>
        <w:t>2)ii</w:t>
      </w:r>
      <w:proofErr w:type="gramEnd"/>
      <w:r>
        <w:t>) et iii), sera réparti par parts égales entre les parties contractantes par les soins du Bureau international, après déduction des frais et charges nécessités par l</w:t>
      </w:r>
      <w:r w:rsidR="00DA7016">
        <w:t>’</w:t>
      </w:r>
      <w:r>
        <w:t>exécution du présent Protocole”.  L</w:t>
      </w:r>
      <w:r w:rsidR="00DA7016">
        <w:t>’</w:t>
      </w:r>
      <w:r>
        <w:t>article 3.13 du Règlement financier de l</w:t>
      </w:r>
      <w:r w:rsidR="00DA7016">
        <w:t>’</w:t>
      </w:r>
      <w:r>
        <w:t>OMPI indique que “[s]i, après la clôture de l</w:t>
      </w:r>
      <w:r w:rsidR="00DA7016">
        <w:t>’</w:t>
      </w:r>
      <w:r>
        <w:t>exercice financier, les comptes de l</w:t>
      </w:r>
      <w:r w:rsidR="00DA7016">
        <w:t>’</w:t>
      </w:r>
      <w:r>
        <w:t>une des unions font apparaître un excédent de recettes, celui</w:t>
      </w:r>
      <w:r w:rsidR="00D4732D">
        <w:noBreakHyphen/>
      </w:r>
      <w:r>
        <w:t>ci sera comptabilisé dans les fonds de réserve sauf décision contraire de l</w:t>
      </w:r>
      <w:r w:rsidR="00DA7016">
        <w:t>’</w:t>
      </w:r>
      <w:r>
        <w:t>Assemblée générale ou de l</w:t>
      </w:r>
      <w:r w:rsidR="00DA7016">
        <w:t>’</w:t>
      </w:r>
      <w:r>
        <w:t>assemblée de l</w:t>
      </w:r>
      <w:r w:rsidR="00DA7016">
        <w:t>’</w:t>
      </w:r>
      <w:r>
        <w:t>union concernée”.</w:t>
      </w:r>
    </w:p>
    <w:p w14:paraId="7D13BEC5" w14:textId="77777777" w:rsidR="00C105DB" w:rsidRDefault="00C105DB">
      <w:r>
        <w:br w:type="page"/>
      </w:r>
    </w:p>
    <w:p w14:paraId="4FE7B9F2" w14:textId="0F5D1157" w:rsidR="00DA7016" w:rsidRDefault="00A7442F" w:rsidP="00A7442F">
      <w:pPr>
        <w:pStyle w:val="ONUMFS"/>
      </w:pPr>
      <w:r>
        <w:lastRenderedPageBreak/>
        <w:t>Conformément à l</w:t>
      </w:r>
      <w:r w:rsidR="00DA7016">
        <w:t>’</w:t>
      </w:r>
      <w:r>
        <w:t>article 3.13 du Règlement financier, il est prévu de conserver cet excédent dans les réserves de l</w:t>
      </w:r>
      <w:r w:rsidR="00DA7016">
        <w:t>’</w:t>
      </w:r>
      <w:r>
        <w:t>Union de Madrid afin de couvrir les dépenses liées aux projets suivants du Plan</w:t>
      </w:r>
      <w:r w:rsidR="00D4732D">
        <w:noBreakHyphen/>
      </w:r>
      <w:r>
        <w:t>cadre d</w:t>
      </w:r>
      <w:r w:rsidR="00DA7016">
        <w:t>’</w:t>
      </w:r>
      <w:r>
        <w:t>équipement (PCE) (document </w:t>
      </w:r>
      <w:hyperlink r:id="rId9" w:history="1">
        <w:r>
          <w:rPr>
            <w:rStyle w:val="Hyperlink"/>
          </w:rPr>
          <w:t>WO</w:t>
        </w:r>
        <w:r>
          <w:rPr>
            <w:rStyle w:val="Hyperlink"/>
          </w:rPr>
          <w:t>/</w:t>
        </w:r>
        <w:r>
          <w:rPr>
            <w:rStyle w:val="Hyperlink"/>
          </w:rPr>
          <w:t>PBC/37/7</w:t>
        </w:r>
      </w:hyperlink>
      <w:r>
        <w:t>), s</w:t>
      </w:r>
      <w:r w:rsidR="00DA7016">
        <w:t>’</w:t>
      </w:r>
      <w:r>
        <w:t>élevant à 13,9 millions de francs suisses</w:t>
      </w:r>
      <w:r w:rsidR="00DA7016">
        <w:t> :</w:t>
      </w:r>
      <w:r>
        <w:t xml:space="preserve"> i)</w:t>
      </w:r>
      <w:r w:rsidR="006C2145">
        <w:t> </w:t>
      </w:r>
      <w:r>
        <w:t>la Phase II du projet de plateforme informatique du système de Madrid;  ii)</w:t>
      </w:r>
      <w:r w:rsidR="006C2145">
        <w:t> </w:t>
      </w:r>
      <w:r>
        <w:t>la Phase II du projet de transformation AIMS 2.0;  et iii)</w:t>
      </w:r>
      <w:r w:rsidR="006C2145">
        <w:t> </w:t>
      </w:r>
      <w:r>
        <w:t>le système de gestion des bâtiments pour les installations de chauffage, de ventilation, de climatisation et les installations sanitaires ainsi que l</w:t>
      </w:r>
      <w:r w:rsidR="00DA7016">
        <w:t>’</w:t>
      </w:r>
      <w:r>
        <w:t>éclairage, conformément à la recommandation faite par le Comité du programme et budget (PBC) aux assemblées de l</w:t>
      </w:r>
      <w:r w:rsidR="00DA7016">
        <w:t>’</w:t>
      </w:r>
      <w:r>
        <w:t>OMPI lors de sa trente</w:t>
      </w:r>
      <w:r w:rsidR="00D4732D">
        <w:noBreakHyphen/>
      </w:r>
      <w:r>
        <w:t>sept</w:t>
      </w:r>
      <w:r w:rsidR="00DA7016">
        <w:t>ième session</w:t>
      </w:r>
      <w:r>
        <w:t xml:space="preserve"> en </w:t>
      </w:r>
      <w:r w:rsidR="00DA7016">
        <w:t>juillet 20</w:t>
      </w:r>
      <w:r>
        <w:t>24 (document </w:t>
      </w:r>
      <w:hyperlink r:id="rId10" w:history="1">
        <w:r>
          <w:rPr>
            <w:rStyle w:val="Hyperlink"/>
          </w:rPr>
          <w:t>WO/PBC/3</w:t>
        </w:r>
        <w:r>
          <w:rPr>
            <w:rStyle w:val="Hyperlink"/>
          </w:rPr>
          <w:t>7</w:t>
        </w:r>
        <w:r>
          <w:rPr>
            <w:rStyle w:val="Hyperlink"/>
          </w:rPr>
          <w:t>/13</w:t>
        </w:r>
      </w:hyperlink>
      <w:r>
        <w:t>).</w:t>
      </w:r>
    </w:p>
    <w:p w14:paraId="335CE273" w14:textId="7CC941A1" w:rsidR="00A7442F" w:rsidRPr="00A7442F" w:rsidRDefault="00A7442F" w:rsidP="00A7442F">
      <w:pPr>
        <w:pStyle w:val="Endofdocument-Annex"/>
        <w:spacing w:before="480"/>
      </w:pPr>
      <w:r w:rsidRPr="00A7442F">
        <w:t>[Fin du document]</w:t>
      </w:r>
    </w:p>
    <w:sectPr w:rsidR="00A7442F" w:rsidRPr="00A7442F" w:rsidSect="00A7442F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470B" w14:textId="77777777" w:rsidR="00A7442F" w:rsidRDefault="00A7442F">
      <w:r>
        <w:separator/>
      </w:r>
    </w:p>
  </w:endnote>
  <w:endnote w:type="continuationSeparator" w:id="0">
    <w:p w14:paraId="73E0567B" w14:textId="77777777" w:rsidR="00A7442F" w:rsidRPr="009D30E6" w:rsidRDefault="00A7442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062B355" w14:textId="77777777" w:rsidR="00A7442F" w:rsidRPr="009D30E6" w:rsidRDefault="00A7442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4F95492" w14:textId="77777777" w:rsidR="00A7442F" w:rsidRPr="009D30E6" w:rsidRDefault="00A7442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A8C3" w14:textId="1E114937" w:rsidR="00A7442F" w:rsidRDefault="00A74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D96A" w14:textId="435B3BC8" w:rsidR="00A7442F" w:rsidRDefault="00A74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F845" w14:textId="141D4E8D" w:rsidR="00A7442F" w:rsidRDefault="00A74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D39E" w14:textId="77777777" w:rsidR="00A7442F" w:rsidRDefault="00A7442F">
      <w:r>
        <w:separator/>
      </w:r>
    </w:p>
  </w:footnote>
  <w:footnote w:type="continuationSeparator" w:id="0">
    <w:p w14:paraId="0F8BDD8E" w14:textId="77777777" w:rsidR="00A7442F" w:rsidRDefault="00A7442F" w:rsidP="007461F1">
      <w:r>
        <w:separator/>
      </w:r>
    </w:p>
    <w:p w14:paraId="03BF38C0" w14:textId="77777777" w:rsidR="00A7442F" w:rsidRPr="009D30E6" w:rsidRDefault="00A7442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8A857F3" w14:textId="77777777" w:rsidR="00A7442F" w:rsidRPr="009D30E6" w:rsidRDefault="00A7442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5A34" w14:textId="77777777" w:rsidR="00F16975" w:rsidRDefault="00A7442F" w:rsidP="00477D6B">
    <w:pPr>
      <w:jc w:val="right"/>
    </w:pPr>
    <w:bookmarkStart w:id="6" w:name="Code2"/>
    <w:bookmarkEnd w:id="6"/>
    <w:r>
      <w:t>MM/A/58/INF/1</w:t>
    </w:r>
  </w:p>
  <w:p w14:paraId="5029179E" w14:textId="2EB3056A" w:rsidR="004F4E31" w:rsidRDefault="00F16975" w:rsidP="00A7442F">
    <w:pPr>
      <w:spacing w:after="480"/>
      <w:jc w:val="right"/>
    </w:pPr>
    <w:proofErr w:type="gramStart"/>
    <w:r>
      <w:t>page</w:t>
    </w:r>
    <w:proofErr w:type="gramEnd"/>
    <w:r w:rsidR="00A7442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84135D"/>
    <w:multiLevelType w:val="hybridMultilevel"/>
    <w:tmpl w:val="8FC8541A"/>
    <w:lvl w:ilvl="0" w:tplc="0409000F">
      <w:start w:val="1"/>
      <w:numFmt w:val="decimal"/>
      <w:lvlText w:val="%1."/>
      <w:lvlJc w:val="left"/>
      <w:pPr>
        <w:ind w:left="118" w:hanging="567"/>
      </w:pPr>
      <w:rPr>
        <w:spacing w:val="-1"/>
        <w:w w:val="100"/>
        <w:sz w:val="22"/>
        <w:szCs w:val="22"/>
        <w:lang w:val="en-US" w:eastAsia="en-US" w:bidi="en-US"/>
      </w:rPr>
    </w:lvl>
    <w:lvl w:ilvl="1" w:tplc="022211AA">
      <w:start w:val="1"/>
      <w:numFmt w:val="bullet"/>
      <w:lvlText w:val="-"/>
      <w:lvlJc w:val="left"/>
      <w:pPr>
        <w:ind w:left="1066" w:hanging="567"/>
      </w:pPr>
      <w:rPr>
        <w:rFonts w:ascii="Sitka Small" w:hAnsi="Sitka Small" w:hint="default"/>
        <w:lang w:val="en-US" w:eastAsia="en-US" w:bidi="en-US"/>
      </w:rPr>
    </w:lvl>
    <w:lvl w:ilvl="2" w:tplc="924CE908">
      <w:numFmt w:val="bullet"/>
      <w:lvlText w:val="•"/>
      <w:lvlJc w:val="left"/>
      <w:pPr>
        <w:ind w:left="2013" w:hanging="567"/>
      </w:pPr>
      <w:rPr>
        <w:lang w:val="en-US" w:eastAsia="en-US" w:bidi="en-US"/>
      </w:rPr>
    </w:lvl>
    <w:lvl w:ilvl="3" w:tplc="5CCC7DC6">
      <w:numFmt w:val="bullet"/>
      <w:lvlText w:val="•"/>
      <w:lvlJc w:val="left"/>
      <w:pPr>
        <w:ind w:left="2959" w:hanging="567"/>
      </w:pPr>
      <w:rPr>
        <w:lang w:val="en-US" w:eastAsia="en-US" w:bidi="en-US"/>
      </w:rPr>
    </w:lvl>
    <w:lvl w:ilvl="4" w:tplc="AE6A940E">
      <w:numFmt w:val="bullet"/>
      <w:lvlText w:val="•"/>
      <w:lvlJc w:val="left"/>
      <w:pPr>
        <w:ind w:left="3906" w:hanging="567"/>
      </w:pPr>
      <w:rPr>
        <w:lang w:val="en-US" w:eastAsia="en-US" w:bidi="en-US"/>
      </w:rPr>
    </w:lvl>
    <w:lvl w:ilvl="5" w:tplc="4FBA1F40">
      <w:numFmt w:val="bullet"/>
      <w:lvlText w:val="•"/>
      <w:lvlJc w:val="left"/>
      <w:pPr>
        <w:ind w:left="4853" w:hanging="567"/>
      </w:pPr>
      <w:rPr>
        <w:lang w:val="en-US" w:eastAsia="en-US" w:bidi="en-US"/>
      </w:rPr>
    </w:lvl>
    <w:lvl w:ilvl="6" w:tplc="4DEA797A">
      <w:numFmt w:val="bullet"/>
      <w:lvlText w:val="•"/>
      <w:lvlJc w:val="left"/>
      <w:pPr>
        <w:ind w:left="5799" w:hanging="567"/>
      </w:pPr>
      <w:rPr>
        <w:lang w:val="en-US" w:eastAsia="en-US" w:bidi="en-US"/>
      </w:rPr>
    </w:lvl>
    <w:lvl w:ilvl="7" w:tplc="C8201ACA">
      <w:numFmt w:val="bullet"/>
      <w:lvlText w:val="•"/>
      <w:lvlJc w:val="left"/>
      <w:pPr>
        <w:ind w:left="6746" w:hanging="567"/>
      </w:pPr>
      <w:rPr>
        <w:lang w:val="en-US" w:eastAsia="en-US" w:bidi="en-US"/>
      </w:rPr>
    </w:lvl>
    <w:lvl w:ilvl="8" w:tplc="FD122A7A">
      <w:numFmt w:val="bullet"/>
      <w:lvlText w:val="•"/>
      <w:lvlJc w:val="left"/>
      <w:pPr>
        <w:ind w:left="7693" w:hanging="567"/>
      </w:pPr>
      <w:rPr>
        <w:lang w:val="en-US" w:eastAsia="en-US" w:bidi="en-US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247302">
    <w:abstractNumId w:val="2"/>
  </w:num>
  <w:num w:numId="2" w16cid:durableId="547761974">
    <w:abstractNumId w:val="4"/>
  </w:num>
  <w:num w:numId="3" w16cid:durableId="764376486">
    <w:abstractNumId w:val="0"/>
  </w:num>
  <w:num w:numId="4" w16cid:durableId="1301838995">
    <w:abstractNumId w:val="6"/>
  </w:num>
  <w:num w:numId="5" w16cid:durableId="762532842">
    <w:abstractNumId w:val="1"/>
  </w:num>
  <w:num w:numId="6" w16cid:durableId="467089590">
    <w:abstractNumId w:val="3"/>
  </w:num>
  <w:num w:numId="7" w16cid:durableId="1928147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2F"/>
    <w:rsid w:val="00005395"/>
    <w:rsid w:val="00011B7D"/>
    <w:rsid w:val="00075432"/>
    <w:rsid w:val="000F5E56"/>
    <w:rsid w:val="001362EE"/>
    <w:rsid w:val="001832A6"/>
    <w:rsid w:val="00194265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265D0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650C"/>
    <w:rsid w:val="00547476"/>
    <w:rsid w:val="00561DB8"/>
    <w:rsid w:val="00567A4C"/>
    <w:rsid w:val="005E6516"/>
    <w:rsid w:val="00605827"/>
    <w:rsid w:val="00676936"/>
    <w:rsid w:val="006B0DB5"/>
    <w:rsid w:val="006C2145"/>
    <w:rsid w:val="006E4243"/>
    <w:rsid w:val="007461F1"/>
    <w:rsid w:val="007B428C"/>
    <w:rsid w:val="007D6961"/>
    <w:rsid w:val="007F07CB"/>
    <w:rsid w:val="00810CEF"/>
    <w:rsid w:val="0081208D"/>
    <w:rsid w:val="00825336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7442F"/>
    <w:rsid w:val="00AA09D4"/>
    <w:rsid w:val="00AA1F20"/>
    <w:rsid w:val="00AC0AE4"/>
    <w:rsid w:val="00AD61DB"/>
    <w:rsid w:val="00B87BCF"/>
    <w:rsid w:val="00BA62D4"/>
    <w:rsid w:val="00C105DB"/>
    <w:rsid w:val="00C40E15"/>
    <w:rsid w:val="00C664C8"/>
    <w:rsid w:val="00C76A79"/>
    <w:rsid w:val="00CA15F5"/>
    <w:rsid w:val="00CF0460"/>
    <w:rsid w:val="00D03D5C"/>
    <w:rsid w:val="00D342E8"/>
    <w:rsid w:val="00D45252"/>
    <w:rsid w:val="00D4732D"/>
    <w:rsid w:val="00D71B4D"/>
    <w:rsid w:val="00D75C1E"/>
    <w:rsid w:val="00D93D55"/>
    <w:rsid w:val="00DA7016"/>
    <w:rsid w:val="00DB0349"/>
    <w:rsid w:val="00DD6A16"/>
    <w:rsid w:val="00E0091A"/>
    <w:rsid w:val="00E203AA"/>
    <w:rsid w:val="00E527A5"/>
    <w:rsid w:val="00E57F98"/>
    <w:rsid w:val="00E76456"/>
    <w:rsid w:val="00EE71CB"/>
    <w:rsid w:val="00F16975"/>
    <w:rsid w:val="00F66152"/>
    <w:rsid w:val="00FC5A2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8B4E1"/>
  <w15:docId w15:val="{D75CEC17-3354-41B5-B2C7-980DB9B5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A7442F"/>
    <w:rPr>
      <w:color w:val="0000FF" w:themeColor="hyperlink"/>
      <w:u w:val="single"/>
    </w:rPr>
  </w:style>
  <w:style w:type="paragraph" w:styleId="ListParagraph">
    <w:name w:val="List Paragraph"/>
    <w:aliases w:val="First level list"/>
    <w:basedOn w:val="Normal"/>
    <w:link w:val="ListParagraphChar"/>
    <w:uiPriority w:val="34"/>
    <w:qFormat/>
    <w:rsid w:val="00A7442F"/>
    <w:pPr>
      <w:widowControl w:val="0"/>
      <w:autoSpaceDE w:val="0"/>
      <w:autoSpaceDN w:val="0"/>
      <w:ind w:left="118" w:right="178"/>
    </w:pPr>
    <w:rPr>
      <w:rFonts w:eastAsia="Arial"/>
      <w:szCs w:val="22"/>
      <w:lang w:val="fr-FR" w:eastAsia="en-US" w:bidi="en-US"/>
    </w:rPr>
  </w:style>
  <w:style w:type="character" w:customStyle="1" w:styleId="ListParagraphChar">
    <w:name w:val="List Paragraph Char"/>
    <w:aliases w:val="First level list Char"/>
    <w:basedOn w:val="DefaultParagraphFont"/>
    <w:link w:val="ListParagraph"/>
    <w:uiPriority w:val="34"/>
    <w:rsid w:val="00A7442F"/>
    <w:rPr>
      <w:rFonts w:ascii="Arial" w:eastAsia="Arial" w:hAnsi="Arial" w:cs="Arial"/>
      <w:sz w:val="22"/>
      <w:szCs w:val="22"/>
      <w:lang w:val="fr-FR" w:eastAsia="en-US" w:bidi="en-US"/>
    </w:rPr>
  </w:style>
  <w:style w:type="character" w:styleId="FollowedHyperlink">
    <w:name w:val="FollowedHyperlink"/>
    <w:basedOn w:val="DefaultParagraphFont"/>
    <w:semiHidden/>
    <w:unhideWhenUsed/>
    <w:rsid w:val="00A744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govbody/en/wo_pbc_37/wo_pbc_37_7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edocs/mdocs/govbody/fr/wo_pbc_37/wo_pbc_37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edocs/mdocs/govbody/fr/wo_pbc_37/wo_pbc_37_7.pd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5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MM_A_58 (F)</Template>
  <TotalTime>1</TotalTime>
  <Pages>2</Pages>
  <Words>352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MM/A/58/INF/1</vt:lpstr>
    </vt:vector>
  </TitlesOfParts>
  <Company>WIPO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MM/A/58/INF/1</dc:title>
  <dc:creator>LE GUEN Haude</dc:creator>
  <cp:keywords>FOR OFFICIAL USE ONLY</cp:keywords>
  <cp:lastModifiedBy>FRICOT Karine</cp:lastModifiedBy>
  <cp:revision>2</cp:revision>
  <cp:lastPrinted>2011-05-19T12:37:00Z</cp:lastPrinted>
  <dcterms:created xsi:type="dcterms:W3CDTF">2024-07-05T10:48:00Z</dcterms:created>
  <dcterms:modified xsi:type="dcterms:W3CDTF">2024-07-05T10:48:00Z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4f42ea33-3f01-442a-a303-446523701e23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2024-07-04T16:51:32Z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dca05dda-4d05-4ee3-9a64-b2cab8bdf917</vt:lpwstr>
  </property>
  <property fmtid="{D5CDD505-2E9C-101B-9397-08002B2CF9AE}" pid="14" name="MSIP_Label_20773ee6-353b-4fb9-a59d-0b94c8c67bea_ContentBits">
    <vt:lpwstr>0</vt:lpwstr>
  </property>
</Properties>
</file>