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D54" w:rsidRPr="00123893" w:rsidRDefault="000B1D54" w:rsidP="000B1D54">
      <w:pPr>
        <w:widowControl w:val="0"/>
        <w:jc w:val="right"/>
        <w:rPr>
          <w:b/>
          <w:sz w:val="2"/>
          <w:szCs w:val="40"/>
        </w:rPr>
      </w:pPr>
      <w:bookmarkStart w:id="0" w:name="TitleOfDoc"/>
      <w:bookmarkEnd w:id="0"/>
      <w:r>
        <w:rPr>
          <w:b/>
          <w:sz w:val="40"/>
          <w:szCs w:val="40"/>
        </w:rPr>
        <w:t>F</w:t>
      </w:r>
    </w:p>
    <w:p w:rsidR="000B1D54" w:rsidRDefault="000B1D54" w:rsidP="000B1D54">
      <w:pPr>
        <w:spacing w:line="360" w:lineRule="auto"/>
        <w:ind w:left="4592"/>
        <w:rPr>
          <w:rFonts w:ascii="Arial Black" w:hAnsi="Arial Black"/>
          <w:caps/>
          <w:sz w:val="15"/>
        </w:rPr>
      </w:pPr>
      <w:r>
        <w:rPr>
          <w:noProof/>
          <w:lang w:eastAsia="en-US"/>
        </w:rPr>
        <w:drawing>
          <wp:inline distT="0" distB="0" distL="0" distR="0" wp14:anchorId="57E7A49A" wp14:editId="6CA29C3C">
            <wp:extent cx="1857375" cy="1323975"/>
            <wp:effectExtent l="0" t="0" r="9525" b="9525"/>
            <wp:docPr id="1" name="Picture 1"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rsidR="000B1D54" w:rsidRPr="00D0580C" w:rsidRDefault="000B1D54" w:rsidP="000B1D54">
      <w:pPr>
        <w:pBdr>
          <w:top w:val="single" w:sz="4" w:space="10" w:color="auto"/>
        </w:pBdr>
        <w:spacing w:before="120"/>
        <w:jc w:val="right"/>
        <w:rPr>
          <w:rFonts w:ascii="Arial Black" w:hAnsi="Arial Black"/>
          <w:b/>
          <w:caps/>
          <w:sz w:val="15"/>
          <w:lang w:val="fr-CH"/>
        </w:rPr>
      </w:pPr>
      <w:r>
        <w:rPr>
          <w:rFonts w:ascii="Arial Black" w:hAnsi="Arial Black"/>
          <w:b/>
          <w:caps/>
          <w:sz w:val="15"/>
          <w:lang w:val="fr-CH"/>
        </w:rPr>
        <w:t>PCT/A/50</w:t>
      </w:r>
      <w:r w:rsidRPr="00D0580C">
        <w:rPr>
          <w:rFonts w:ascii="Arial Black" w:hAnsi="Arial Black"/>
          <w:b/>
          <w:caps/>
          <w:sz w:val="15"/>
          <w:lang w:val="fr-CH"/>
        </w:rPr>
        <w:t>/</w:t>
      </w:r>
      <w:bookmarkStart w:id="1" w:name="Code"/>
      <w:bookmarkEnd w:id="1"/>
      <w:r>
        <w:rPr>
          <w:rFonts w:ascii="Arial Black" w:hAnsi="Arial Black"/>
          <w:b/>
          <w:caps/>
          <w:sz w:val="15"/>
          <w:lang w:val="fr-CH"/>
        </w:rPr>
        <w:t>2</w:t>
      </w:r>
    </w:p>
    <w:p w:rsidR="000B1D54" w:rsidRPr="00D0580C" w:rsidRDefault="000B1D54" w:rsidP="000B1D54">
      <w:pPr>
        <w:jc w:val="right"/>
        <w:rPr>
          <w:rFonts w:ascii="Arial Black" w:hAnsi="Arial Black"/>
          <w:b/>
          <w:caps/>
          <w:sz w:val="15"/>
          <w:lang w:val="fr-CH"/>
        </w:rPr>
      </w:pPr>
      <w:r w:rsidRPr="00D0580C">
        <w:rPr>
          <w:rFonts w:ascii="Arial Black" w:hAnsi="Arial Black"/>
          <w:b/>
          <w:caps/>
          <w:sz w:val="15"/>
          <w:lang w:val="fr-CH"/>
        </w:rPr>
        <w:t>ORIGINAL</w:t>
      </w:r>
      <w:r>
        <w:rPr>
          <w:rFonts w:ascii="Arial Black" w:hAnsi="Arial Black"/>
          <w:b/>
          <w:caps/>
          <w:sz w:val="15"/>
          <w:lang w:val="fr-CH"/>
        </w:rPr>
        <w:t xml:space="preserve"> </w:t>
      </w:r>
      <w:r w:rsidRPr="00D0580C">
        <w:rPr>
          <w:rFonts w:ascii="Arial Black" w:hAnsi="Arial Black"/>
          <w:b/>
          <w:caps/>
          <w:sz w:val="15"/>
          <w:lang w:val="fr-CH"/>
        </w:rPr>
        <w:t>:</w:t>
      </w:r>
      <w:r>
        <w:rPr>
          <w:rFonts w:ascii="Arial Black" w:hAnsi="Arial Black"/>
          <w:b/>
          <w:caps/>
          <w:sz w:val="15"/>
          <w:lang w:val="fr-CH"/>
        </w:rPr>
        <w:t xml:space="preserve"> </w:t>
      </w:r>
      <w:bookmarkStart w:id="2" w:name="Original"/>
      <w:bookmarkEnd w:id="2"/>
      <w:r>
        <w:rPr>
          <w:rFonts w:ascii="Arial Black" w:hAnsi="Arial Black"/>
          <w:b/>
          <w:caps/>
          <w:sz w:val="15"/>
          <w:lang w:val="fr-CH"/>
        </w:rPr>
        <w:t>anglais</w:t>
      </w:r>
    </w:p>
    <w:p w:rsidR="000B1D54" w:rsidRPr="00D0580C" w:rsidRDefault="000B1D54" w:rsidP="000B1D54">
      <w:pPr>
        <w:spacing w:line="1680" w:lineRule="auto"/>
        <w:jc w:val="right"/>
        <w:rPr>
          <w:rFonts w:ascii="Arial Black" w:hAnsi="Arial Black"/>
          <w:b/>
          <w:caps/>
          <w:sz w:val="15"/>
          <w:lang w:val="fr-CH"/>
        </w:rPr>
      </w:pPr>
      <w:r w:rsidRPr="00D0580C">
        <w:rPr>
          <w:rFonts w:ascii="Arial Black" w:hAnsi="Arial Black"/>
          <w:b/>
          <w:caps/>
          <w:sz w:val="15"/>
          <w:lang w:val="fr-CH"/>
        </w:rPr>
        <w:t>DATE</w:t>
      </w:r>
      <w:r>
        <w:rPr>
          <w:rFonts w:ascii="Arial Black" w:hAnsi="Arial Black"/>
          <w:b/>
          <w:caps/>
          <w:sz w:val="15"/>
          <w:lang w:val="fr-CH"/>
        </w:rPr>
        <w:t xml:space="preserve"> </w:t>
      </w:r>
      <w:r w:rsidRPr="00D0580C">
        <w:rPr>
          <w:rFonts w:ascii="Arial Black" w:hAnsi="Arial Black"/>
          <w:b/>
          <w:caps/>
          <w:sz w:val="15"/>
          <w:lang w:val="fr-CH"/>
        </w:rPr>
        <w:t>:</w:t>
      </w:r>
      <w:r>
        <w:rPr>
          <w:rFonts w:ascii="Arial Black" w:hAnsi="Arial Black"/>
          <w:b/>
          <w:caps/>
          <w:sz w:val="15"/>
          <w:lang w:val="fr-CH"/>
        </w:rPr>
        <w:t xml:space="preserve"> </w:t>
      </w:r>
      <w:bookmarkStart w:id="3" w:name="Date"/>
      <w:bookmarkEnd w:id="3"/>
      <w:r>
        <w:rPr>
          <w:rFonts w:ascii="Arial Black" w:hAnsi="Arial Black"/>
          <w:b/>
          <w:caps/>
          <w:sz w:val="15"/>
          <w:lang w:val="fr-CH"/>
        </w:rPr>
        <w:t>23 juillet 2018</w:t>
      </w:r>
    </w:p>
    <w:p w:rsidR="000B1D54" w:rsidRPr="00481129" w:rsidRDefault="000B1D54" w:rsidP="000B1D54">
      <w:pPr>
        <w:pStyle w:val="Heading1"/>
        <w:rPr>
          <w:lang w:val="fr-CH"/>
        </w:rPr>
      </w:pPr>
      <w:r w:rsidRPr="00481129">
        <w:rPr>
          <w:lang w:val="fr-CH"/>
        </w:rPr>
        <w:t>Union internationale de co</w:t>
      </w:r>
      <w:r w:rsidR="00A51575">
        <w:rPr>
          <w:lang w:val="fr-CH"/>
        </w:rPr>
        <w:t xml:space="preserve">opération en matière de </w:t>
      </w:r>
      <w:proofErr w:type="gramStart"/>
      <w:r w:rsidR="00A51575">
        <w:rPr>
          <w:lang w:val="fr-CH"/>
        </w:rPr>
        <w:t>brevets</w:t>
      </w:r>
      <w:proofErr w:type="gramEnd"/>
      <w:r w:rsidRPr="00481129">
        <w:rPr>
          <w:lang w:val="fr-CH"/>
        </w:rPr>
        <w:br/>
        <w:t>(Union du PCT)</w:t>
      </w:r>
    </w:p>
    <w:p w:rsidR="000B1D54" w:rsidRPr="00D0580C" w:rsidRDefault="000B1D54" w:rsidP="000B1D54">
      <w:pPr>
        <w:pStyle w:val="Heading1"/>
        <w:rPr>
          <w:lang w:val="fr-CH"/>
        </w:rPr>
      </w:pPr>
      <w:r w:rsidRPr="00D0580C">
        <w:rPr>
          <w:lang w:val="fr-CH"/>
        </w:rPr>
        <w:t>Assemblée</w:t>
      </w:r>
    </w:p>
    <w:p w:rsidR="000B1D54" w:rsidRPr="003B42A1" w:rsidRDefault="000B1D54" w:rsidP="000B1D54">
      <w:pPr>
        <w:spacing w:after="720"/>
        <w:rPr>
          <w:b/>
          <w:bCs/>
          <w:iCs/>
          <w:sz w:val="24"/>
          <w:lang w:val="fr-CH"/>
        </w:rPr>
      </w:pPr>
      <w:r w:rsidRPr="00D0580C">
        <w:rPr>
          <w:b/>
          <w:bCs/>
          <w:iCs/>
          <w:sz w:val="24"/>
          <w:lang w:val="fr-CH"/>
        </w:rPr>
        <w:t>Cinquantième session (29</w:t>
      </w:r>
      <w:r w:rsidRPr="00D0580C">
        <w:rPr>
          <w:b/>
          <w:bCs/>
          <w:iCs/>
          <w:sz w:val="24"/>
          <w:vertAlign w:val="superscript"/>
          <w:lang w:val="fr-CH"/>
        </w:rPr>
        <w:t>e</w:t>
      </w:r>
      <w:r w:rsidR="00021E7A">
        <w:rPr>
          <w:b/>
          <w:bCs/>
          <w:iCs/>
          <w:sz w:val="24"/>
          <w:lang w:val="fr-CH"/>
        </w:rPr>
        <w:t> </w:t>
      </w:r>
      <w:r w:rsidRPr="00D0580C">
        <w:rPr>
          <w:b/>
          <w:bCs/>
          <w:iCs/>
          <w:sz w:val="24"/>
          <w:lang w:val="fr-CH"/>
        </w:rPr>
        <w:t>session extraordinaire</w:t>
      </w:r>
      <w:proofErr w:type="gramStart"/>
      <w:r w:rsidRPr="00D0580C">
        <w:rPr>
          <w:b/>
          <w:bCs/>
          <w:iCs/>
          <w:sz w:val="24"/>
          <w:lang w:val="fr-CH"/>
        </w:rPr>
        <w:t>)</w:t>
      </w:r>
      <w:proofErr w:type="gramEnd"/>
      <w:r w:rsidRPr="00217165">
        <w:rPr>
          <w:b/>
          <w:sz w:val="24"/>
          <w:lang w:val="fr-CH"/>
        </w:rPr>
        <w:br/>
      </w:r>
      <w:r w:rsidRPr="003B42A1">
        <w:rPr>
          <w:b/>
          <w:sz w:val="24"/>
          <w:lang w:val="fr-CH"/>
        </w:rPr>
        <w:t>Genève, 24</w:t>
      </w:r>
      <w:r w:rsidR="00021E7A" w:rsidRPr="003B42A1">
        <w:rPr>
          <w:b/>
          <w:sz w:val="24"/>
          <w:lang w:val="fr-CH"/>
        </w:rPr>
        <w:t> </w:t>
      </w:r>
      <w:r w:rsidRPr="003B42A1">
        <w:rPr>
          <w:b/>
          <w:sz w:val="24"/>
          <w:lang w:val="fr-CH"/>
        </w:rPr>
        <w:t>septembre – 2</w:t>
      </w:r>
      <w:r w:rsidR="00021E7A" w:rsidRPr="003B42A1">
        <w:rPr>
          <w:b/>
          <w:sz w:val="24"/>
          <w:lang w:val="fr-CH"/>
        </w:rPr>
        <w:t> </w:t>
      </w:r>
      <w:r w:rsidRPr="003B42A1">
        <w:rPr>
          <w:b/>
          <w:sz w:val="24"/>
          <w:lang w:val="fr-CH"/>
        </w:rPr>
        <w:t>octobre</w:t>
      </w:r>
      <w:r w:rsidR="00021E7A" w:rsidRPr="003B42A1">
        <w:rPr>
          <w:b/>
          <w:sz w:val="24"/>
          <w:lang w:val="fr-CH"/>
        </w:rPr>
        <w:t> </w:t>
      </w:r>
      <w:r w:rsidRPr="003B42A1">
        <w:rPr>
          <w:b/>
          <w:sz w:val="24"/>
          <w:lang w:val="fr-CH"/>
        </w:rPr>
        <w:t>2018</w:t>
      </w:r>
    </w:p>
    <w:p w:rsidR="006D49A2" w:rsidRPr="00FC2FD5" w:rsidRDefault="008A4EB7" w:rsidP="008A4EB7">
      <w:pPr>
        <w:spacing w:after="360"/>
        <w:rPr>
          <w:caps/>
          <w:sz w:val="24"/>
          <w:lang w:val="fr-FR"/>
        </w:rPr>
      </w:pPr>
      <w:r w:rsidRPr="00FC2FD5">
        <w:rPr>
          <w:caps/>
          <w:sz w:val="24"/>
          <w:lang w:val="fr-FR"/>
        </w:rPr>
        <w:t>PROPOSITIONS DE MODIFICATION DU RÈGLEMENT D’EXÉCUTION DU PCT</w:t>
      </w:r>
    </w:p>
    <w:p w:rsidR="006D49A2" w:rsidRPr="003B42A1" w:rsidRDefault="008A4EB7" w:rsidP="008A4EB7">
      <w:pPr>
        <w:spacing w:after="960"/>
        <w:rPr>
          <w:i/>
          <w:lang w:val="fr-CH"/>
        </w:rPr>
      </w:pPr>
      <w:bookmarkStart w:id="4" w:name="Prepared"/>
      <w:bookmarkEnd w:id="4"/>
      <w:r w:rsidRPr="003B42A1">
        <w:rPr>
          <w:i/>
          <w:lang w:val="fr-CH"/>
        </w:rPr>
        <w:t>Document établi par le Bureau international</w:t>
      </w:r>
    </w:p>
    <w:p w:rsidR="006D49A2" w:rsidRPr="003B42A1" w:rsidRDefault="008A4EB7" w:rsidP="0040452B">
      <w:pPr>
        <w:pStyle w:val="Heading2"/>
        <w:rPr>
          <w:lang w:val="fr-CH"/>
        </w:rPr>
      </w:pPr>
      <w:r w:rsidRPr="003B42A1">
        <w:rPr>
          <w:lang w:val="fr-CH"/>
        </w:rPr>
        <w:t>Résumé</w:t>
      </w:r>
    </w:p>
    <w:p w:rsidR="006D49A2" w:rsidRPr="003B42A1" w:rsidRDefault="0032467A" w:rsidP="0040452B">
      <w:pPr>
        <w:pStyle w:val="ONUMFS"/>
        <w:rPr>
          <w:lang w:val="fr-CH"/>
        </w:rPr>
      </w:pPr>
      <w:r w:rsidRPr="003B42A1">
        <w:rPr>
          <w:lang w:val="fr-CH"/>
        </w:rPr>
        <w:t>Le présent document contient des propositions de modification du règlement d’exécution du Traité de coopération en matière de brevets (PCT)</w:t>
      </w:r>
      <w:r w:rsidRPr="003B42A1">
        <w:rPr>
          <w:rStyle w:val="FootnoteReference"/>
          <w:lang w:val="fr-CH"/>
        </w:rPr>
        <w:footnoteReference w:id="2"/>
      </w:r>
      <w:r w:rsidR="00AA09EE" w:rsidRPr="003B42A1">
        <w:rPr>
          <w:lang w:val="fr-CH"/>
        </w:rPr>
        <w:t xml:space="preserve">, </w:t>
      </w:r>
      <w:r w:rsidRPr="003B42A1">
        <w:rPr>
          <w:lang w:val="fr-CH"/>
        </w:rPr>
        <w:t>convenues par le Groupe de travail du PCT (ci</w:t>
      </w:r>
      <w:r w:rsidR="00FE7113" w:rsidRPr="003B42A1">
        <w:rPr>
          <w:lang w:val="fr-CH"/>
        </w:rPr>
        <w:noBreakHyphen/>
      </w:r>
      <w:r w:rsidRPr="003B42A1">
        <w:rPr>
          <w:lang w:val="fr-CH"/>
        </w:rPr>
        <w:t>après dénommé “groupe de travail”) à sa onzième</w:t>
      </w:r>
      <w:r w:rsidR="00AA09EE" w:rsidRPr="003B42A1">
        <w:rPr>
          <w:lang w:val="fr-CH"/>
        </w:rPr>
        <w:t> </w:t>
      </w:r>
      <w:r w:rsidRPr="003B42A1">
        <w:rPr>
          <w:lang w:val="fr-CH"/>
        </w:rPr>
        <w:t>session, tenue à Genève du 18 au 22</w:t>
      </w:r>
      <w:r w:rsidR="00AA09EE" w:rsidRPr="003B42A1">
        <w:rPr>
          <w:lang w:val="fr-CH"/>
        </w:rPr>
        <w:t> </w:t>
      </w:r>
      <w:r w:rsidRPr="003B42A1">
        <w:rPr>
          <w:lang w:val="fr-CH"/>
        </w:rPr>
        <w:t>juin</w:t>
      </w:r>
      <w:r w:rsidR="00AA09EE" w:rsidRPr="003B42A1">
        <w:rPr>
          <w:lang w:val="fr-CH"/>
        </w:rPr>
        <w:t> </w:t>
      </w:r>
      <w:r w:rsidRPr="003B42A1">
        <w:rPr>
          <w:lang w:val="fr-CH"/>
        </w:rPr>
        <w:t>2018, en vue de leur transmission à l’assemblée pour examen à sa session actuelle.</w:t>
      </w:r>
    </w:p>
    <w:p w:rsidR="006D49A2" w:rsidRPr="003B42A1" w:rsidRDefault="0032467A" w:rsidP="0040452B">
      <w:pPr>
        <w:pStyle w:val="Heading2"/>
        <w:rPr>
          <w:lang w:val="fr-CH"/>
        </w:rPr>
      </w:pPr>
      <w:r w:rsidRPr="003B42A1">
        <w:rPr>
          <w:lang w:val="fr-CH"/>
        </w:rPr>
        <w:t>Modifications proposées</w:t>
      </w:r>
    </w:p>
    <w:p w:rsidR="006D49A2" w:rsidRPr="003B42A1" w:rsidRDefault="0032467A" w:rsidP="0040452B">
      <w:pPr>
        <w:pStyle w:val="ONUMFS"/>
        <w:rPr>
          <w:lang w:val="fr-CH"/>
        </w:rPr>
      </w:pPr>
      <w:r w:rsidRPr="003B42A1">
        <w:rPr>
          <w:lang w:val="fr-CH"/>
        </w:rPr>
        <w:t>L</w:t>
      </w:r>
      <w:r w:rsidR="00021E7A" w:rsidRPr="003B42A1">
        <w:rPr>
          <w:lang w:val="fr-CH"/>
        </w:rPr>
        <w:t>’</w:t>
      </w:r>
      <w:r w:rsidRPr="003B42A1">
        <w:rPr>
          <w:lang w:val="fr-CH"/>
        </w:rPr>
        <w:t>annexe</w:t>
      </w:r>
      <w:r w:rsidR="00AA09EE" w:rsidRPr="003B42A1">
        <w:rPr>
          <w:lang w:val="fr-CH"/>
        </w:rPr>
        <w:t> </w:t>
      </w:r>
      <w:r w:rsidRPr="003B42A1">
        <w:rPr>
          <w:lang w:val="fr-CH"/>
        </w:rPr>
        <w:t xml:space="preserve">I contient </w:t>
      </w:r>
      <w:r w:rsidR="00AA09EE" w:rsidRPr="003B42A1">
        <w:rPr>
          <w:lang w:val="fr-CH"/>
        </w:rPr>
        <w:t>l</w:t>
      </w:r>
      <w:r w:rsidRPr="003B42A1">
        <w:rPr>
          <w:lang w:val="fr-CH"/>
        </w:rPr>
        <w:t>es propositions de modification tendant à prévoir davantage de temps pour le dialogue entre le déposant et l’examinateur durant l</w:t>
      </w:r>
      <w:r w:rsidR="00021E7A" w:rsidRPr="003B42A1">
        <w:rPr>
          <w:lang w:val="fr-CH"/>
        </w:rPr>
        <w:t>’</w:t>
      </w:r>
      <w:r w:rsidRPr="003B42A1">
        <w:rPr>
          <w:lang w:val="fr-CH"/>
        </w:rPr>
        <w:t>examen préliminaire international (chapitre</w:t>
      </w:r>
      <w:r w:rsidR="00AA09EE" w:rsidRPr="003B42A1">
        <w:rPr>
          <w:lang w:val="fr-CH"/>
        </w:rPr>
        <w:t> </w:t>
      </w:r>
      <w:r w:rsidRPr="003B42A1">
        <w:rPr>
          <w:lang w:val="fr-CH"/>
        </w:rPr>
        <w:t>II du PCT).</w:t>
      </w:r>
      <w:r w:rsidR="000F7CCE" w:rsidRPr="003B42A1">
        <w:rPr>
          <w:lang w:val="fr-CH"/>
        </w:rPr>
        <w:t xml:space="preserve">  </w:t>
      </w:r>
      <w:r w:rsidRPr="003B42A1">
        <w:rPr>
          <w:lang w:val="fr-CH"/>
        </w:rPr>
        <w:t>À</w:t>
      </w:r>
      <w:r w:rsidR="00AA09EE" w:rsidRPr="003B42A1">
        <w:rPr>
          <w:lang w:val="fr-CH"/>
        </w:rPr>
        <w:t> </w:t>
      </w:r>
      <w:r w:rsidRPr="003B42A1">
        <w:rPr>
          <w:lang w:val="fr-CH"/>
        </w:rPr>
        <w:t>cette fin, il est proposé de modifier la règle</w:t>
      </w:r>
      <w:r w:rsidR="00AA09EE" w:rsidRPr="003B42A1">
        <w:rPr>
          <w:lang w:val="fr-CH"/>
        </w:rPr>
        <w:t> </w:t>
      </w:r>
      <w:r w:rsidRPr="003B42A1">
        <w:rPr>
          <w:lang w:val="fr-CH"/>
        </w:rPr>
        <w:t xml:space="preserve">69.1.a) pour permettre à </w:t>
      </w:r>
      <w:r w:rsidRPr="003B42A1">
        <w:rPr>
          <w:lang w:val="fr-CH"/>
        </w:rPr>
        <w:lastRenderedPageBreak/>
        <w:t>l’administration chargée de l’examen préliminaire international d’entreprendre cet examen dès qu’elle est en possession de la demande, du montant dû au titre des taxes requises et soit du rapport de recherche internationale, soit de la déclaration de l’administration chargée de la recherche internationale, faite en vertu de l’article</w:t>
      </w:r>
      <w:r w:rsidR="00AA09EE" w:rsidRPr="003B42A1">
        <w:rPr>
          <w:lang w:val="fr-CH"/>
        </w:rPr>
        <w:t> </w:t>
      </w:r>
      <w:r w:rsidRPr="003B42A1">
        <w:rPr>
          <w:lang w:val="fr-CH"/>
        </w:rPr>
        <w:t>17.2)a), et de l’opinion écrite établie en vertu de la règle</w:t>
      </w:r>
      <w:r w:rsidR="00AA09EE" w:rsidRPr="003B42A1">
        <w:rPr>
          <w:lang w:val="fr-CH"/>
        </w:rPr>
        <w:t> </w:t>
      </w:r>
      <w:r w:rsidRPr="003B42A1">
        <w:rPr>
          <w:lang w:val="fr-CH"/>
        </w:rPr>
        <w:t>43</w:t>
      </w:r>
      <w:r w:rsidRPr="00226B06">
        <w:rPr>
          <w:i/>
          <w:lang w:val="fr-CH"/>
        </w:rPr>
        <w:t>bis</w:t>
      </w:r>
      <w:r w:rsidRPr="003B42A1">
        <w:rPr>
          <w:lang w:val="fr-CH"/>
        </w:rPr>
        <w:t>.1, sauf si le déposant demande expressément que le commencement de l’examen préliminaire international soit différé jusqu’à l’expiration du délai applicable selon la règle</w:t>
      </w:r>
      <w:r w:rsidR="00AA09EE" w:rsidRPr="003B42A1">
        <w:rPr>
          <w:lang w:val="fr-CH"/>
        </w:rPr>
        <w:t> </w:t>
      </w:r>
      <w:r w:rsidRPr="003B42A1">
        <w:rPr>
          <w:lang w:val="fr-CH"/>
        </w:rPr>
        <w:t>54</w:t>
      </w:r>
      <w:r w:rsidRPr="00226B06">
        <w:rPr>
          <w:i/>
          <w:lang w:val="fr-CH"/>
        </w:rPr>
        <w:t>bis</w:t>
      </w:r>
      <w:r w:rsidRPr="003B42A1">
        <w:rPr>
          <w:lang w:val="fr-CH"/>
        </w:rPr>
        <w:t>.1.a).</w:t>
      </w:r>
    </w:p>
    <w:p w:rsidR="006D49A2" w:rsidRPr="003B42A1" w:rsidRDefault="00AA7195" w:rsidP="0040452B">
      <w:pPr>
        <w:pStyle w:val="ONUMFS"/>
        <w:rPr>
          <w:lang w:val="fr-CH"/>
        </w:rPr>
      </w:pPr>
      <w:r w:rsidRPr="003B42A1">
        <w:rPr>
          <w:lang w:val="fr-CH"/>
        </w:rPr>
        <w:t>L’annexe</w:t>
      </w:r>
      <w:r w:rsidR="00AA09EE" w:rsidRPr="003B42A1">
        <w:rPr>
          <w:lang w:val="fr-CH"/>
        </w:rPr>
        <w:t> </w:t>
      </w:r>
      <w:r w:rsidRPr="003B42A1">
        <w:rPr>
          <w:lang w:val="fr-CH"/>
        </w:rPr>
        <w:t>II contient une version non annotée de la règle</w:t>
      </w:r>
      <w:r w:rsidR="00AA09EE" w:rsidRPr="003B42A1">
        <w:rPr>
          <w:lang w:val="fr-CH"/>
        </w:rPr>
        <w:t> </w:t>
      </w:r>
      <w:r w:rsidRPr="003B42A1">
        <w:rPr>
          <w:lang w:val="fr-CH"/>
        </w:rPr>
        <w:t>69.1.a) telle qu’elle apparaîtrait après modification.</w:t>
      </w:r>
    </w:p>
    <w:p w:rsidR="006D49A2" w:rsidRPr="003B42A1" w:rsidRDefault="00AA7195" w:rsidP="0040452B">
      <w:pPr>
        <w:pStyle w:val="Heading2"/>
        <w:rPr>
          <w:lang w:val="fr-CH"/>
        </w:rPr>
      </w:pPr>
      <w:r w:rsidRPr="003B42A1">
        <w:rPr>
          <w:lang w:val="fr-CH"/>
        </w:rPr>
        <w:t>Entrée en vigueur et dispositions transitoires</w:t>
      </w:r>
    </w:p>
    <w:p w:rsidR="006D49A2" w:rsidRPr="003B42A1" w:rsidRDefault="00AA7195" w:rsidP="0040452B">
      <w:pPr>
        <w:pStyle w:val="ONUMFS"/>
        <w:rPr>
          <w:lang w:val="fr-CH"/>
        </w:rPr>
      </w:pPr>
      <w:r w:rsidRPr="003B42A1">
        <w:rPr>
          <w:lang w:val="fr-CH"/>
        </w:rPr>
        <w:t>Il est proposé que ces modifications entrent en vigueur le 1</w:t>
      </w:r>
      <w:r w:rsidRPr="003B42A1">
        <w:rPr>
          <w:vertAlign w:val="superscript"/>
          <w:lang w:val="fr-CH"/>
        </w:rPr>
        <w:t>er</w:t>
      </w:r>
      <w:r w:rsidR="00AA09EE" w:rsidRPr="003B42A1">
        <w:rPr>
          <w:lang w:val="fr-CH"/>
        </w:rPr>
        <w:t> </w:t>
      </w:r>
      <w:r w:rsidRPr="003B42A1">
        <w:rPr>
          <w:lang w:val="fr-CH"/>
        </w:rPr>
        <w:t>juillet</w:t>
      </w:r>
      <w:r w:rsidR="00AA09EE" w:rsidRPr="003B42A1">
        <w:rPr>
          <w:lang w:val="fr-CH"/>
        </w:rPr>
        <w:t> </w:t>
      </w:r>
      <w:r w:rsidRPr="003B42A1">
        <w:rPr>
          <w:lang w:val="fr-CH"/>
        </w:rPr>
        <w:t>2019 et qu’elles s’appliquent à toute demande internationale à l’égard de laquelle une demande d’examen préliminaire international est présentée à cette date ou à une date postérieure.</w:t>
      </w:r>
    </w:p>
    <w:p w:rsidR="006D49A2" w:rsidRPr="0040452B" w:rsidRDefault="00F7479D" w:rsidP="0040452B">
      <w:pPr>
        <w:pStyle w:val="ONUMFS"/>
        <w:ind w:left="5533"/>
        <w:rPr>
          <w:i/>
          <w:lang w:val="fr-CH"/>
        </w:rPr>
      </w:pPr>
      <w:r w:rsidRPr="0040452B">
        <w:rPr>
          <w:i/>
          <w:lang w:val="fr-CH"/>
        </w:rPr>
        <w:t>L’Assemblée de l’Union du PCT est invitée à adopter les propositions de modification du règlement d’exécution du PCT présentées dans l’annexe</w:t>
      </w:r>
      <w:r w:rsidR="00AA09EE" w:rsidRPr="0040452B">
        <w:rPr>
          <w:i/>
          <w:lang w:val="fr-CH"/>
        </w:rPr>
        <w:t> </w:t>
      </w:r>
      <w:r w:rsidRPr="0040452B">
        <w:rPr>
          <w:i/>
          <w:lang w:val="fr-CH"/>
        </w:rPr>
        <w:t>I du document</w:t>
      </w:r>
      <w:r w:rsidR="00021E7A" w:rsidRPr="0040452B">
        <w:rPr>
          <w:i/>
          <w:lang w:val="fr-CH"/>
        </w:rPr>
        <w:t> </w:t>
      </w:r>
      <w:r w:rsidRPr="0040452B">
        <w:rPr>
          <w:i/>
          <w:lang w:val="fr-CH"/>
        </w:rPr>
        <w:t>PCT/A/50/2, ainsi que l</w:t>
      </w:r>
      <w:r w:rsidR="00021E7A" w:rsidRPr="0040452B">
        <w:rPr>
          <w:i/>
          <w:lang w:val="fr-CH"/>
        </w:rPr>
        <w:t>’</w:t>
      </w:r>
      <w:r w:rsidRPr="0040452B">
        <w:rPr>
          <w:i/>
          <w:lang w:val="fr-CH"/>
        </w:rPr>
        <w:t>entrée en vigueur et les dispositions transitoires figurant au paragraphe 4 du même document.</w:t>
      </w:r>
    </w:p>
    <w:p w:rsidR="000F7CCE" w:rsidRPr="003B42A1" w:rsidRDefault="00F7479D" w:rsidP="0040452B">
      <w:pPr>
        <w:spacing w:before="720"/>
        <w:ind w:left="5534"/>
        <w:rPr>
          <w:lang w:val="fr-CH"/>
        </w:rPr>
        <w:sectPr w:rsidR="000F7CCE" w:rsidRPr="003B42A1" w:rsidSect="00B243E2">
          <w:headerReference w:type="even" r:id="rId10"/>
          <w:headerReference w:type="first" r:id="rId11"/>
          <w:endnotePr>
            <w:numFmt w:val="decimal"/>
          </w:endnotePr>
          <w:pgSz w:w="11907" w:h="16840" w:code="9"/>
          <w:pgMar w:top="567" w:right="1134" w:bottom="1418" w:left="1418" w:header="510" w:footer="1021" w:gutter="0"/>
          <w:cols w:space="720"/>
          <w:docGrid w:linePitch="299"/>
        </w:sectPr>
      </w:pPr>
      <w:r w:rsidRPr="003B42A1">
        <w:rPr>
          <w:lang w:val="fr-CH"/>
        </w:rPr>
        <w:t>[Les annexes suivent]</w:t>
      </w:r>
    </w:p>
    <w:p w:rsidR="006D49A2" w:rsidRPr="003B42A1" w:rsidRDefault="006D49A2" w:rsidP="000F7CCE">
      <w:pPr>
        <w:spacing w:after="220"/>
        <w:rPr>
          <w:lang w:val="fr-CH"/>
        </w:rPr>
      </w:pPr>
    </w:p>
    <w:p w:rsidR="006D49A2" w:rsidRPr="003B42A1" w:rsidRDefault="00F7479D" w:rsidP="00F7479D">
      <w:pPr>
        <w:jc w:val="center"/>
        <w:rPr>
          <w:caps/>
          <w:lang w:val="fr-CH"/>
        </w:rPr>
      </w:pPr>
      <w:bookmarkStart w:id="5" w:name="AxI"/>
      <w:r w:rsidRPr="003B42A1">
        <w:rPr>
          <w:caps/>
          <w:lang w:val="fr-CH"/>
        </w:rPr>
        <w:t>PROPOSITIONS DE MODIFICATION DU RÈGLEMENT D’EXÉCUTION DU PCT</w:t>
      </w:r>
      <w:r w:rsidRPr="003B42A1">
        <w:rPr>
          <w:rStyle w:val="FootnoteReference"/>
          <w:caps/>
          <w:lang w:val="fr-CH"/>
        </w:rPr>
        <w:footnoteReference w:id="3"/>
      </w:r>
    </w:p>
    <w:p w:rsidR="006D49A2" w:rsidRPr="003B42A1" w:rsidRDefault="006D49A2" w:rsidP="000F7CCE">
      <w:pPr>
        <w:jc w:val="center"/>
        <w:rPr>
          <w:caps/>
          <w:lang w:val="fr-CH"/>
        </w:rPr>
      </w:pPr>
    </w:p>
    <w:p w:rsidR="006D49A2" w:rsidRPr="003B42A1" w:rsidRDefault="006D49A2" w:rsidP="000F7CCE">
      <w:pPr>
        <w:jc w:val="center"/>
        <w:rPr>
          <w:caps/>
          <w:lang w:val="fr-CH"/>
        </w:rPr>
      </w:pPr>
    </w:p>
    <w:p w:rsidR="006D49A2" w:rsidRPr="003B42A1" w:rsidRDefault="00F7479D" w:rsidP="00F7479D">
      <w:pPr>
        <w:jc w:val="center"/>
        <w:rPr>
          <w:caps/>
          <w:lang w:val="fr-CH"/>
        </w:rPr>
      </w:pPr>
      <w:r w:rsidRPr="003B42A1">
        <w:rPr>
          <w:caps/>
          <w:lang w:val="fr-CH"/>
        </w:rPr>
        <w:t>TABLE DES MATIÈRES</w:t>
      </w:r>
    </w:p>
    <w:p w:rsidR="006D49A2" w:rsidRPr="003B42A1" w:rsidRDefault="006D49A2" w:rsidP="000F7CCE">
      <w:pPr>
        <w:jc w:val="center"/>
        <w:rPr>
          <w:caps/>
          <w:lang w:val="fr-CH"/>
        </w:rPr>
      </w:pPr>
    </w:p>
    <w:p w:rsidR="006D49A2" w:rsidRPr="003B42A1" w:rsidRDefault="006D49A2" w:rsidP="000F7CCE">
      <w:pPr>
        <w:rPr>
          <w:rFonts w:ascii="Microsoft Sans Serif" w:hAnsi="Microsoft Sans Serif" w:cs="Microsoft Sans Serif"/>
          <w:caps/>
          <w:lang w:val="fr-CH"/>
        </w:rPr>
      </w:pPr>
    </w:p>
    <w:p w:rsidR="003E3E4E" w:rsidRPr="003B42A1" w:rsidRDefault="008A4C21">
      <w:pPr>
        <w:pStyle w:val="TOC1"/>
        <w:tabs>
          <w:tab w:val="right" w:leader="dot" w:pos="9345"/>
        </w:tabs>
        <w:rPr>
          <w:rFonts w:asciiTheme="minorHAnsi" w:eastAsiaTheme="minorEastAsia" w:hAnsiTheme="minorHAnsi" w:cstheme="minorBidi"/>
          <w:noProof/>
          <w:szCs w:val="22"/>
          <w:lang w:eastAsia="en-US"/>
        </w:rPr>
      </w:pPr>
      <w:r w:rsidRPr="003B42A1">
        <w:rPr>
          <w:caps/>
          <w:lang w:val="fr-CH"/>
        </w:rPr>
        <w:fldChar w:fldCharType="begin"/>
      </w:r>
      <w:r w:rsidRPr="003B42A1">
        <w:rPr>
          <w:caps/>
          <w:lang w:val="fr-CH"/>
        </w:rPr>
        <w:instrText xml:space="preserve"> TOC </w:instrText>
      </w:r>
      <w:r w:rsidR="003E3E4E" w:rsidRPr="003B42A1">
        <w:rPr>
          <w:caps/>
        </w:rPr>
        <w:instrText xml:space="preserve">\B "AxI" </w:instrText>
      </w:r>
      <w:r w:rsidRPr="003B42A1">
        <w:rPr>
          <w:caps/>
          <w:lang w:val="fr-CH"/>
        </w:rPr>
        <w:instrText xml:space="preserve">\h \z \t "Leg # Title;1;Leg SubRule #;2" </w:instrText>
      </w:r>
      <w:r w:rsidRPr="003B42A1">
        <w:rPr>
          <w:caps/>
          <w:lang w:val="fr-CH"/>
        </w:rPr>
        <w:fldChar w:fldCharType="separate"/>
      </w:r>
      <w:hyperlink w:anchor="_Toc519782751" w:history="1">
        <w:r w:rsidR="003E3E4E" w:rsidRPr="003B42A1">
          <w:rPr>
            <w:rStyle w:val="Hyperlink"/>
            <w:noProof/>
            <w:color w:val="auto"/>
          </w:rPr>
          <w:t>Règle 69  Examen préliminaire international – commencement et délai</w:t>
        </w:r>
        <w:r w:rsidR="003E3E4E" w:rsidRPr="003B42A1">
          <w:rPr>
            <w:noProof/>
            <w:webHidden/>
          </w:rPr>
          <w:tab/>
        </w:r>
        <w:r w:rsidR="003E3E4E" w:rsidRPr="003B42A1">
          <w:rPr>
            <w:noProof/>
            <w:webHidden/>
          </w:rPr>
          <w:fldChar w:fldCharType="begin"/>
        </w:r>
        <w:r w:rsidR="003E3E4E" w:rsidRPr="003B42A1">
          <w:rPr>
            <w:noProof/>
            <w:webHidden/>
          </w:rPr>
          <w:instrText xml:space="preserve"> PAGEREF _Toc519782751 \h </w:instrText>
        </w:r>
        <w:r w:rsidR="003E3E4E" w:rsidRPr="003B42A1">
          <w:rPr>
            <w:noProof/>
            <w:webHidden/>
          </w:rPr>
        </w:r>
        <w:r w:rsidR="003E3E4E" w:rsidRPr="003B42A1">
          <w:rPr>
            <w:noProof/>
            <w:webHidden/>
          </w:rPr>
          <w:fldChar w:fldCharType="separate"/>
        </w:r>
        <w:r w:rsidR="00FC2FD5">
          <w:rPr>
            <w:noProof/>
            <w:webHidden/>
          </w:rPr>
          <w:t>2</w:t>
        </w:r>
        <w:r w:rsidR="003E3E4E" w:rsidRPr="003B42A1">
          <w:rPr>
            <w:noProof/>
            <w:webHidden/>
          </w:rPr>
          <w:fldChar w:fldCharType="end"/>
        </w:r>
      </w:hyperlink>
    </w:p>
    <w:p w:rsidR="003E3E4E" w:rsidRPr="003B42A1" w:rsidRDefault="00226B06">
      <w:pPr>
        <w:pStyle w:val="TOC2"/>
        <w:tabs>
          <w:tab w:val="right" w:leader="dot" w:pos="9345"/>
        </w:tabs>
        <w:rPr>
          <w:rFonts w:asciiTheme="minorHAnsi" w:eastAsiaTheme="minorEastAsia" w:hAnsiTheme="minorHAnsi" w:cstheme="minorBidi"/>
          <w:noProof/>
          <w:szCs w:val="22"/>
          <w:lang w:eastAsia="en-US"/>
        </w:rPr>
      </w:pPr>
      <w:hyperlink w:anchor="_Toc519782752" w:history="1">
        <w:r w:rsidR="003E3E4E" w:rsidRPr="003B42A1">
          <w:rPr>
            <w:rStyle w:val="Hyperlink"/>
            <w:noProof/>
            <w:color w:val="auto"/>
          </w:rPr>
          <w:t>69.1   </w:t>
        </w:r>
        <w:r w:rsidR="003E3E4E" w:rsidRPr="003B42A1">
          <w:rPr>
            <w:rStyle w:val="Hyperlink"/>
            <w:i/>
            <w:noProof/>
            <w:color w:val="auto"/>
          </w:rPr>
          <w:t>Commencement de l’examen préliminaire international</w:t>
        </w:r>
        <w:r w:rsidR="003E3E4E" w:rsidRPr="003B42A1">
          <w:rPr>
            <w:noProof/>
            <w:webHidden/>
          </w:rPr>
          <w:tab/>
        </w:r>
        <w:r w:rsidR="003E3E4E" w:rsidRPr="003B42A1">
          <w:rPr>
            <w:noProof/>
            <w:webHidden/>
          </w:rPr>
          <w:fldChar w:fldCharType="begin"/>
        </w:r>
        <w:r w:rsidR="003E3E4E" w:rsidRPr="003B42A1">
          <w:rPr>
            <w:noProof/>
            <w:webHidden/>
          </w:rPr>
          <w:instrText xml:space="preserve"> PAGEREF _Toc519782752 \h </w:instrText>
        </w:r>
        <w:r w:rsidR="003E3E4E" w:rsidRPr="003B42A1">
          <w:rPr>
            <w:noProof/>
            <w:webHidden/>
          </w:rPr>
        </w:r>
        <w:r w:rsidR="003E3E4E" w:rsidRPr="003B42A1">
          <w:rPr>
            <w:noProof/>
            <w:webHidden/>
          </w:rPr>
          <w:fldChar w:fldCharType="separate"/>
        </w:r>
        <w:r w:rsidR="00FC2FD5">
          <w:rPr>
            <w:noProof/>
            <w:webHidden/>
          </w:rPr>
          <w:t>2</w:t>
        </w:r>
        <w:r w:rsidR="003E3E4E" w:rsidRPr="003B42A1">
          <w:rPr>
            <w:noProof/>
            <w:webHidden/>
          </w:rPr>
          <w:fldChar w:fldCharType="end"/>
        </w:r>
      </w:hyperlink>
    </w:p>
    <w:p w:rsidR="003E3E4E" w:rsidRPr="003B42A1" w:rsidRDefault="00226B06">
      <w:pPr>
        <w:pStyle w:val="TOC2"/>
        <w:tabs>
          <w:tab w:val="right" w:leader="dot" w:pos="9345"/>
        </w:tabs>
        <w:rPr>
          <w:rFonts w:asciiTheme="minorHAnsi" w:eastAsiaTheme="minorEastAsia" w:hAnsiTheme="minorHAnsi" w:cstheme="minorBidi"/>
          <w:noProof/>
          <w:szCs w:val="22"/>
          <w:lang w:eastAsia="en-US"/>
        </w:rPr>
      </w:pPr>
      <w:hyperlink w:anchor="_Toc519782753" w:history="1">
        <w:r w:rsidR="003E3E4E" w:rsidRPr="003B42A1">
          <w:rPr>
            <w:rStyle w:val="Hyperlink"/>
            <w:noProof/>
            <w:color w:val="auto"/>
          </w:rPr>
          <w:t>69.2.   </w:t>
        </w:r>
        <w:r w:rsidR="003E3E4E" w:rsidRPr="003B42A1">
          <w:rPr>
            <w:rStyle w:val="Hyperlink"/>
            <w:i/>
            <w:noProof/>
            <w:color w:val="auto"/>
          </w:rPr>
          <w:t>[Sans changement]</w:t>
        </w:r>
        <w:r w:rsidR="003E3E4E" w:rsidRPr="003B42A1">
          <w:rPr>
            <w:noProof/>
            <w:webHidden/>
          </w:rPr>
          <w:tab/>
        </w:r>
        <w:r w:rsidR="003E3E4E" w:rsidRPr="003B42A1">
          <w:rPr>
            <w:noProof/>
            <w:webHidden/>
          </w:rPr>
          <w:fldChar w:fldCharType="begin"/>
        </w:r>
        <w:r w:rsidR="003E3E4E" w:rsidRPr="003B42A1">
          <w:rPr>
            <w:noProof/>
            <w:webHidden/>
          </w:rPr>
          <w:instrText xml:space="preserve"> PAGEREF _Toc519782753 \h </w:instrText>
        </w:r>
        <w:r w:rsidR="003E3E4E" w:rsidRPr="003B42A1">
          <w:rPr>
            <w:noProof/>
            <w:webHidden/>
          </w:rPr>
        </w:r>
        <w:r w:rsidR="003E3E4E" w:rsidRPr="003B42A1">
          <w:rPr>
            <w:noProof/>
            <w:webHidden/>
          </w:rPr>
          <w:fldChar w:fldCharType="separate"/>
        </w:r>
        <w:r w:rsidR="00FC2FD5">
          <w:rPr>
            <w:noProof/>
            <w:webHidden/>
          </w:rPr>
          <w:t>2</w:t>
        </w:r>
        <w:r w:rsidR="003E3E4E" w:rsidRPr="003B42A1">
          <w:rPr>
            <w:noProof/>
            <w:webHidden/>
          </w:rPr>
          <w:fldChar w:fldCharType="end"/>
        </w:r>
      </w:hyperlink>
    </w:p>
    <w:p w:rsidR="006D49A2" w:rsidRDefault="008A4C21" w:rsidP="000F7CCE">
      <w:pPr>
        <w:rPr>
          <w:caps/>
          <w:lang w:val="fr-CH"/>
        </w:rPr>
      </w:pPr>
      <w:r w:rsidRPr="003B42A1">
        <w:rPr>
          <w:caps/>
          <w:lang w:val="fr-CH"/>
        </w:rPr>
        <w:fldChar w:fldCharType="end"/>
      </w:r>
    </w:p>
    <w:p w:rsidR="006D49A2" w:rsidRDefault="00F7479D" w:rsidP="00F7479D">
      <w:pPr>
        <w:pStyle w:val="LegTitle"/>
      </w:pPr>
      <w:bookmarkStart w:id="6" w:name="_Toc514428305"/>
      <w:bookmarkStart w:id="7" w:name="_Toc519782751"/>
      <w:bookmarkStart w:id="8" w:name="_Toc511121974"/>
      <w:bookmarkStart w:id="9" w:name="_Toc513631742"/>
      <w:bookmarkStart w:id="10" w:name="_Toc513651159"/>
      <w:r w:rsidRPr="0064305A">
        <w:lastRenderedPageBreak/>
        <w:t>Règle</w:t>
      </w:r>
      <w:r>
        <w:t> </w:t>
      </w:r>
      <w:r w:rsidRPr="0064305A">
        <w:t xml:space="preserve">69 </w:t>
      </w:r>
      <w:r w:rsidRPr="0064305A">
        <w:br/>
        <w:t>Examen préliminaire international – commencement et délai</w:t>
      </w:r>
      <w:bookmarkEnd w:id="6"/>
      <w:bookmarkEnd w:id="7"/>
    </w:p>
    <w:p w:rsidR="006D49A2" w:rsidRDefault="00F7479D" w:rsidP="00F7479D">
      <w:pPr>
        <w:pStyle w:val="LegSubRule"/>
        <w:rPr>
          <w:i/>
        </w:rPr>
      </w:pPr>
      <w:bookmarkStart w:id="11" w:name="_Toc514428306"/>
      <w:bookmarkStart w:id="12" w:name="_Toc519782752"/>
      <w:r w:rsidRPr="0064305A">
        <w:t>69.1</w:t>
      </w:r>
      <w:r>
        <w:t>   </w:t>
      </w:r>
      <w:r w:rsidRPr="0064305A">
        <w:rPr>
          <w:i/>
        </w:rPr>
        <w:t>Commencement de l</w:t>
      </w:r>
      <w:r>
        <w:rPr>
          <w:i/>
        </w:rPr>
        <w:t>’</w:t>
      </w:r>
      <w:r w:rsidRPr="0064305A">
        <w:rPr>
          <w:i/>
        </w:rPr>
        <w:t>examen préliminaire international</w:t>
      </w:r>
      <w:bookmarkEnd w:id="11"/>
      <w:bookmarkEnd w:id="12"/>
    </w:p>
    <w:p w:rsidR="006D49A2" w:rsidRDefault="00F7479D" w:rsidP="00F7479D">
      <w:pPr>
        <w:tabs>
          <w:tab w:val="left" w:pos="454"/>
        </w:tabs>
        <w:spacing w:before="240" w:after="240" w:line="360" w:lineRule="auto"/>
        <w:rPr>
          <w:rFonts w:eastAsia="Times New Roman" w:cs="Times New Roman"/>
          <w:snapToGrid w:val="0"/>
          <w:lang w:val="fr-CH" w:eastAsia="en-US"/>
        </w:rPr>
      </w:pPr>
      <w:r w:rsidRPr="00F7479D">
        <w:rPr>
          <w:rFonts w:eastAsia="Times New Roman" w:cs="Times New Roman"/>
          <w:snapToGrid w:val="0"/>
          <w:lang w:val="fr-CH" w:eastAsia="en-US"/>
        </w:rPr>
        <w:tab/>
        <w:t>a)  Sous réserve des alinéas b) à e), l’administration chargée de l’examen préliminaire international entreprend cet examen lorsqu’elle est en possession de tous les éléments suivants :</w:t>
      </w:r>
    </w:p>
    <w:p w:rsidR="006D49A2" w:rsidRDefault="00F7479D" w:rsidP="00F7479D">
      <w:pPr>
        <w:pStyle w:val="Lega"/>
        <w:tabs>
          <w:tab w:val="clear" w:pos="454"/>
        </w:tabs>
        <w:spacing w:line="360" w:lineRule="auto"/>
        <w:ind w:left="1134" w:hanging="567"/>
      </w:pPr>
      <w:r w:rsidRPr="0064305A">
        <w:tab/>
        <w:t>i)</w:t>
      </w:r>
      <w:r w:rsidRPr="0064305A">
        <w:tab/>
        <w:t>la demande d</w:t>
      </w:r>
      <w:r>
        <w:t>’</w:t>
      </w:r>
      <w:r w:rsidRPr="0064305A">
        <w:t>examen préliminaire international;</w:t>
      </w:r>
    </w:p>
    <w:p w:rsidR="006D49A2" w:rsidRDefault="00F7479D" w:rsidP="00F7479D">
      <w:pPr>
        <w:pStyle w:val="Lega"/>
        <w:tabs>
          <w:tab w:val="clear" w:pos="454"/>
        </w:tabs>
        <w:spacing w:line="360" w:lineRule="auto"/>
        <w:ind w:left="1134" w:hanging="567"/>
      </w:pPr>
      <w:r w:rsidRPr="0064305A">
        <w:tab/>
        <w:t>ii)</w:t>
      </w:r>
      <w:r w:rsidRPr="0064305A">
        <w:tab/>
        <w:t>le montant dû (en totalité) au titre de la taxe de traitement et de la taxe d</w:t>
      </w:r>
      <w:r>
        <w:t>’</w:t>
      </w:r>
      <w:r w:rsidRPr="0064305A">
        <w:t xml:space="preserve">examen préliminaire, </w:t>
      </w:r>
      <w:r>
        <w:t>y compris</w:t>
      </w:r>
      <w:r w:rsidRPr="0064305A">
        <w:t>, le cas échéant, la taxe pour paiement tardif visée à la règle</w:t>
      </w:r>
      <w:r>
        <w:t> </w:t>
      </w:r>
      <w:r w:rsidRPr="0064305A">
        <w:t>58</w:t>
      </w:r>
      <w:r w:rsidRPr="00CE4548">
        <w:rPr>
          <w:i/>
        </w:rPr>
        <w:t>bis</w:t>
      </w:r>
      <w:r w:rsidRPr="0064305A">
        <w:t>.2;  et</w:t>
      </w:r>
    </w:p>
    <w:p w:rsidR="006D49A2" w:rsidRDefault="00F7479D" w:rsidP="00F7479D">
      <w:pPr>
        <w:pStyle w:val="Lega"/>
        <w:tabs>
          <w:tab w:val="clear" w:pos="454"/>
        </w:tabs>
        <w:spacing w:line="360" w:lineRule="auto"/>
        <w:ind w:left="1134" w:hanging="567"/>
      </w:pPr>
      <w:r w:rsidRPr="0064305A">
        <w:tab/>
        <w:t>iii)</w:t>
      </w:r>
      <w:r w:rsidRPr="0064305A">
        <w:tab/>
        <w:t>soit le rapport de recherche internationale, soit la déclaration de l</w:t>
      </w:r>
      <w:r>
        <w:t>’</w:t>
      </w:r>
      <w:r w:rsidRPr="0064305A">
        <w:t>administration chargée de la recherche internationale, faite en vertu de l</w:t>
      </w:r>
      <w:r>
        <w:t>’</w:t>
      </w:r>
      <w:r w:rsidRPr="0064305A">
        <w:t>article</w:t>
      </w:r>
      <w:r>
        <w:t> </w:t>
      </w:r>
      <w:r w:rsidRPr="0064305A">
        <w:t>17.2)a), selon laquelle il ne sera pas établi de rapport de recherche internationale, et l</w:t>
      </w:r>
      <w:r>
        <w:t>’</w:t>
      </w:r>
      <w:r w:rsidRPr="0064305A">
        <w:t>opinion écrite établie en vertu de la règle</w:t>
      </w:r>
      <w:r>
        <w:t> </w:t>
      </w:r>
      <w:r w:rsidRPr="0064305A">
        <w:t>43</w:t>
      </w:r>
      <w:r w:rsidRPr="00300E43">
        <w:rPr>
          <w:i/>
        </w:rPr>
        <w:t>bis</w:t>
      </w:r>
      <w:r w:rsidRPr="0064305A">
        <w:t>.1;</w:t>
      </w:r>
    </w:p>
    <w:p w:rsidR="006D49A2" w:rsidRDefault="00F7479D" w:rsidP="00F7479D">
      <w:pPr>
        <w:pStyle w:val="Lega"/>
        <w:spacing w:line="360" w:lineRule="auto"/>
        <w:rPr>
          <w:rStyle w:val="LegInsertedText"/>
          <w:lang w:val="fr-FR"/>
        </w:rPr>
      </w:pPr>
      <w:proofErr w:type="gramStart"/>
      <w:r w:rsidRPr="00CE4548">
        <w:rPr>
          <w:rStyle w:val="RDeletedText"/>
        </w:rPr>
        <w:t>toutefois</w:t>
      </w:r>
      <w:proofErr w:type="gramEnd"/>
      <w:r w:rsidRPr="00CE4548">
        <w:rPr>
          <w:rStyle w:val="RDeletedText"/>
        </w:rPr>
        <w:t>, l</w:t>
      </w:r>
      <w:r>
        <w:rPr>
          <w:rStyle w:val="RDeletedText"/>
        </w:rPr>
        <w:t>’</w:t>
      </w:r>
      <w:r w:rsidRPr="00CE4548">
        <w:rPr>
          <w:rStyle w:val="RDeletedText"/>
        </w:rPr>
        <w:t>administration chargée de l</w:t>
      </w:r>
      <w:r>
        <w:rPr>
          <w:rStyle w:val="RDeletedText"/>
        </w:rPr>
        <w:t>’</w:t>
      </w:r>
      <w:r w:rsidRPr="00CE4548">
        <w:rPr>
          <w:rStyle w:val="RDeletedText"/>
        </w:rPr>
        <w:t>examen préliminaire international n</w:t>
      </w:r>
      <w:r>
        <w:rPr>
          <w:rStyle w:val="RDeletedText"/>
        </w:rPr>
        <w:t>’</w:t>
      </w:r>
      <w:r w:rsidRPr="00CE4548">
        <w:rPr>
          <w:rStyle w:val="RDeletedText"/>
        </w:rPr>
        <w:t>entreprend pas l</w:t>
      </w:r>
      <w:r>
        <w:rPr>
          <w:rStyle w:val="RDeletedText"/>
        </w:rPr>
        <w:t>’</w:t>
      </w:r>
      <w:r w:rsidRPr="00CE4548">
        <w:rPr>
          <w:rStyle w:val="RDeletedText"/>
        </w:rPr>
        <w:t>examen préliminaire international avant l</w:t>
      </w:r>
      <w:r>
        <w:rPr>
          <w:rStyle w:val="RDeletedText"/>
        </w:rPr>
        <w:t>’</w:t>
      </w:r>
      <w:r w:rsidRPr="00CE4548">
        <w:rPr>
          <w:rStyle w:val="RDeletedText"/>
        </w:rPr>
        <w:t>expiration du délai applicable en vertu de la règle</w:t>
      </w:r>
      <w:r>
        <w:rPr>
          <w:rStyle w:val="RDeletedText"/>
        </w:rPr>
        <w:t> </w:t>
      </w:r>
      <w:r w:rsidRPr="00CE4548">
        <w:rPr>
          <w:rStyle w:val="RDeletedText"/>
        </w:rPr>
        <w:t>54</w:t>
      </w:r>
      <w:r w:rsidRPr="00300E43">
        <w:rPr>
          <w:rStyle w:val="RDeletedText"/>
          <w:i/>
        </w:rPr>
        <w:t>bis</w:t>
      </w:r>
      <w:r w:rsidRPr="00CE4548">
        <w:rPr>
          <w:rStyle w:val="RDeletedText"/>
        </w:rPr>
        <w:t>.1.a),</w:t>
      </w:r>
      <w:r w:rsidRPr="00FE433D">
        <w:rPr>
          <w:rStyle w:val="LegInsertedText"/>
          <w:color w:val="000000"/>
          <w:u w:val="none"/>
          <w:lang w:val="fr-FR"/>
        </w:rPr>
        <w:t xml:space="preserve"> </w:t>
      </w:r>
      <w:r w:rsidRPr="00F7479D">
        <w:rPr>
          <w:rStyle w:val="LegInsertedText"/>
          <w:color w:val="000000"/>
          <w:u w:val="none"/>
          <w:lang w:val="fr-FR"/>
        </w:rPr>
        <w:t xml:space="preserve">sauf si le déposant a expressément demandé </w:t>
      </w:r>
      <w:r w:rsidRPr="00CE4548">
        <w:rPr>
          <w:rStyle w:val="RDeletedText"/>
        </w:rPr>
        <w:t>que cet examen</w:t>
      </w:r>
      <w:r w:rsidRPr="00920A76">
        <w:rPr>
          <w:rStyle w:val="LegInsertedText"/>
          <w:color w:val="000000"/>
          <w:lang w:val="fr-FR"/>
        </w:rPr>
        <w:t xml:space="preserve"> </w:t>
      </w:r>
      <w:r w:rsidRPr="00CE4548">
        <w:rPr>
          <w:rStyle w:val="LegInsertedText"/>
        </w:rPr>
        <w:t>que le commencement de l</w:t>
      </w:r>
      <w:r>
        <w:rPr>
          <w:rStyle w:val="LegInsertedText"/>
        </w:rPr>
        <w:t>’</w:t>
      </w:r>
      <w:r w:rsidRPr="00CE4548">
        <w:rPr>
          <w:rStyle w:val="LegInsertedText"/>
        </w:rPr>
        <w:t>examen préliminaire international soit différé jusqu</w:t>
      </w:r>
      <w:r>
        <w:rPr>
          <w:rStyle w:val="LegInsertedText"/>
        </w:rPr>
        <w:t>’</w:t>
      </w:r>
      <w:r w:rsidRPr="00CE4548">
        <w:rPr>
          <w:rStyle w:val="LegInsertedText"/>
        </w:rPr>
        <w:t>à l</w:t>
      </w:r>
      <w:r>
        <w:rPr>
          <w:rStyle w:val="LegInsertedText"/>
        </w:rPr>
        <w:t>’</w:t>
      </w:r>
      <w:r w:rsidRPr="00CE4548">
        <w:rPr>
          <w:rStyle w:val="LegInsertedText"/>
        </w:rPr>
        <w:t>expiration du délai applicable selon la règle</w:t>
      </w:r>
      <w:r>
        <w:rPr>
          <w:rStyle w:val="LegInsertedText"/>
        </w:rPr>
        <w:t> </w:t>
      </w:r>
      <w:r w:rsidRPr="00CE4548">
        <w:rPr>
          <w:rStyle w:val="LegInsertedText"/>
        </w:rPr>
        <w:t>54</w:t>
      </w:r>
      <w:r w:rsidRPr="00300E43">
        <w:rPr>
          <w:rStyle w:val="LegInsertedText"/>
          <w:i/>
        </w:rPr>
        <w:t>bis</w:t>
      </w:r>
      <w:r w:rsidRPr="00CE4548">
        <w:rPr>
          <w:rStyle w:val="LegInsertedText"/>
        </w:rPr>
        <w:t>.1.a)</w:t>
      </w:r>
      <w:r w:rsidRPr="00BC5654">
        <w:rPr>
          <w:rStyle w:val="RDeletedText"/>
        </w:rPr>
        <w:t xml:space="preserve"> </w:t>
      </w:r>
      <w:r w:rsidRPr="00CE4548">
        <w:rPr>
          <w:rStyle w:val="RDeletedText"/>
        </w:rPr>
        <w:t>soit entrepris plus tôt</w:t>
      </w:r>
      <w:r w:rsidRPr="00FE433D">
        <w:rPr>
          <w:rStyle w:val="LegInsertedText"/>
          <w:color w:val="auto"/>
          <w:u w:val="none"/>
          <w:lang w:val="fr-FR"/>
        </w:rPr>
        <w:t>.</w:t>
      </w:r>
    </w:p>
    <w:p w:rsidR="006D49A2" w:rsidRDefault="006D49A2" w:rsidP="00F7479D">
      <w:pPr>
        <w:tabs>
          <w:tab w:val="left" w:pos="454"/>
        </w:tabs>
        <w:spacing w:before="240" w:after="240" w:line="480" w:lineRule="auto"/>
        <w:rPr>
          <w:rFonts w:eastAsia="Times New Roman" w:cs="Times New Roman"/>
          <w:snapToGrid w:val="0"/>
          <w:lang w:val="fr-CH" w:eastAsia="en-US"/>
        </w:rPr>
      </w:pPr>
      <w:r>
        <w:rPr>
          <w:rFonts w:eastAsia="Times New Roman" w:cs="Times New Roman"/>
          <w:snapToGrid w:val="0"/>
          <w:lang w:val="fr-CH" w:eastAsia="en-US"/>
        </w:rPr>
        <w:tab/>
      </w:r>
      <w:r w:rsidR="00F7479D" w:rsidRPr="00F7479D">
        <w:rPr>
          <w:rFonts w:eastAsia="Times New Roman" w:cs="Times New Roman"/>
          <w:snapToGrid w:val="0"/>
          <w:lang w:val="fr-CH" w:eastAsia="en-US"/>
        </w:rPr>
        <w:t xml:space="preserve">b) </w:t>
      </w:r>
      <w:r>
        <w:rPr>
          <w:rFonts w:eastAsia="Times New Roman" w:cs="Times New Roman"/>
          <w:snapToGrid w:val="0"/>
          <w:lang w:val="fr-CH" w:eastAsia="en-US"/>
        </w:rPr>
        <w:t>à</w:t>
      </w:r>
      <w:r w:rsidR="00F7479D" w:rsidRPr="00F7479D">
        <w:rPr>
          <w:rFonts w:eastAsia="Times New Roman" w:cs="Times New Roman"/>
          <w:snapToGrid w:val="0"/>
          <w:lang w:val="fr-CH" w:eastAsia="en-US"/>
        </w:rPr>
        <w:t xml:space="preserve"> e)   </w:t>
      </w:r>
      <w:r w:rsidR="00F7479D" w:rsidRPr="00F7479D">
        <w:rPr>
          <w:rFonts w:eastAsia="Times New Roman" w:cs="Times New Roman"/>
          <w:i/>
          <w:snapToGrid w:val="0"/>
          <w:lang w:val="fr-CH" w:eastAsia="en-US"/>
        </w:rPr>
        <w:t>[</w:t>
      </w:r>
      <w:r>
        <w:rPr>
          <w:rFonts w:eastAsia="Times New Roman" w:cs="Times New Roman"/>
          <w:i/>
          <w:snapToGrid w:val="0"/>
          <w:lang w:val="fr-CH" w:eastAsia="en-US"/>
        </w:rPr>
        <w:t xml:space="preserve">Sans </w:t>
      </w:r>
      <w:r w:rsidR="00F7479D" w:rsidRPr="00F7479D">
        <w:rPr>
          <w:rFonts w:eastAsia="Times New Roman" w:cs="Times New Roman"/>
          <w:i/>
          <w:snapToGrid w:val="0"/>
          <w:lang w:val="fr-CH" w:eastAsia="en-US"/>
        </w:rPr>
        <w:t>change</w:t>
      </w:r>
      <w:r>
        <w:rPr>
          <w:rFonts w:eastAsia="Times New Roman" w:cs="Times New Roman"/>
          <w:i/>
          <w:snapToGrid w:val="0"/>
          <w:lang w:val="fr-CH" w:eastAsia="en-US"/>
        </w:rPr>
        <w:t>ment</w:t>
      </w:r>
      <w:r w:rsidR="00F7479D" w:rsidRPr="00F7479D">
        <w:rPr>
          <w:rFonts w:eastAsia="Times New Roman" w:cs="Times New Roman"/>
          <w:i/>
          <w:snapToGrid w:val="0"/>
          <w:lang w:val="fr-CH" w:eastAsia="en-US"/>
        </w:rPr>
        <w:t>]</w:t>
      </w:r>
    </w:p>
    <w:p w:rsidR="006D49A2" w:rsidRDefault="00F7479D" w:rsidP="00F7479D">
      <w:pPr>
        <w:pStyle w:val="LegSubRule"/>
        <w:spacing w:line="360" w:lineRule="auto"/>
      </w:pPr>
      <w:bookmarkStart w:id="13" w:name="_Toc514428307"/>
      <w:bookmarkStart w:id="14" w:name="_Toc519782753"/>
      <w:r w:rsidRPr="00300E43">
        <w:t>69.2.   </w:t>
      </w:r>
      <w:r w:rsidRPr="00300E43">
        <w:rPr>
          <w:i/>
        </w:rPr>
        <w:t>[Sans changement]</w:t>
      </w:r>
      <w:bookmarkEnd w:id="13"/>
      <w:bookmarkEnd w:id="14"/>
    </w:p>
    <w:p w:rsidR="006D49A2" w:rsidRDefault="00F7479D" w:rsidP="00850A94">
      <w:pPr>
        <w:pStyle w:val="Endofdocument-Annex"/>
        <w:spacing w:before="720"/>
        <w:rPr>
          <w:lang w:val="fr-FR"/>
        </w:rPr>
      </w:pPr>
      <w:r w:rsidRPr="00300E43">
        <w:rPr>
          <w:lang w:val="fr-FR"/>
        </w:rPr>
        <w:t>[</w:t>
      </w:r>
      <w:r w:rsidR="006D49A2">
        <w:rPr>
          <w:lang w:val="fr-FR"/>
        </w:rPr>
        <w:t>L’</w:t>
      </w:r>
      <w:r w:rsidRPr="00300E43">
        <w:rPr>
          <w:lang w:val="fr-FR"/>
        </w:rPr>
        <w:t>annexe</w:t>
      </w:r>
      <w:r w:rsidR="006D49A2">
        <w:rPr>
          <w:lang w:val="fr-FR"/>
        </w:rPr>
        <w:t> II suit</w:t>
      </w:r>
      <w:r w:rsidRPr="00300E43">
        <w:rPr>
          <w:lang w:val="fr-FR"/>
        </w:rPr>
        <w:t>]</w:t>
      </w:r>
    </w:p>
    <w:bookmarkEnd w:id="5"/>
    <w:bookmarkEnd w:id="8"/>
    <w:bookmarkEnd w:id="9"/>
    <w:bookmarkEnd w:id="10"/>
    <w:p w:rsidR="008A4C21" w:rsidRPr="00FC2FD5" w:rsidRDefault="008A4C21" w:rsidP="008A4C21">
      <w:pPr>
        <w:ind w:left="5534"/>
        <w:rPr>
          <w:lang w:val="fr-FR"/>
        </w:rPr>
        <w:sectPr w:rsidR="008A4C21" w:rsidRPr="00FC2FD5" w:rsidSect="00B243E2">
          <w:headerReference w:type="even" r:id="rId12"/>
          <w:headerReference w:type="default" r:id="rId13"/>
          <w:headerReference w:type="first" r:id="rId14"/>
          <w:endnotePr>
            <w:numFmt w:val="decimal"/>
          </w:endnotePr>
          <w:pgSz w:w="11907" w:h="16840" w:code="9"/>
          <w:pgMar w:top="567" w:right="1134" w:bottom="1418" w:left="1418" w:header="510" w:footer="1021" w:gutter="0"/>
          <w:pgNumType w:start="1"/>
          <w:cols w:space="720"/>
          <w:docGrid w:linePitch="299"/>
        </w:sectPr>
      </w:pPr>
    </w:p>
    <w:p w:rsidR="006D49A2" w:rsidRDefault="006D49A2" w:rsidP="000F7CCE">
      <w:pPr>
        <w:jc w:val="center"/>
        <w:rPr>
          <w:lang w:val="fr-CH"/>
        </w:rPr>
      </w:pPr>
    </w:p>
    <w:p w:rsidR="006D49A2" w:rsidRDefault="006D49A2" w:rsidP="000F7CCE">
      <w:pPr>
        <w:jc w:val="center"/>
        <w:rPr>
          <w:lang w:val="fr-CH"/>
        </w:rPr>
      </w:pPr>
    </w:p>
    <w:p w:rsidR="006D49A2" w:rsidRPr="003B42A1" w:rsidRDefault="006D49A2" w:rsidP="006D49A2">
      <w:pPr>
        <w:jc w:val="center"/>
        <w:rPr>
          <w:caps/>
          <w:lang w:val="fr-CH"/>
        </w:rPr>
      </w:pPr>
      <w:bookmarkStart w:id="15" w:name="AxII"/>
      <w:r w:rsidRPr="003B42A1">
        <w:rPr>
          <w:caps/>
          <w:lang w:val="fr-CH"/>
        </w:rPr>
        <w:t>PROPOSITIONS DE MODIFICATION DU RÈGLEMENT D’EXÉCUTION DU PCT</w:t>
      </w:r>
    </w:p>
    <w:p w:rsidR="006D49A2" w:rsidRPr="003B42A1" w:rsidRDefault="006D49A2" w:rsidP="006D49A2">
      <w:pPr>
        <w:jc w:val="center"/>
        <w:rPr>
          <w:caps/>
          <w:lang w:val="fr-CH"/>
        </w:rPr>
      </w:pPr>
      <w:r w:rsidRPr="003B42A1">
        <w:rPr>
          <w:caps/>
          <w:lang w:val="fr-CH"/>
        </w:rPr>
        <w:t>(VERSION NON ANNOTÉE)</w:t>
      </w:r>
    </w:p>
    <w:p w:rsidR="006D49A2" w:rsidRPr="003B42A1" w:rsidRDefault="006D49A2" w:rsidP="000F7CCE">
      <w:pPr>
        <w:jc w:val="center"/>
        <w:rPr>
          <w:lang w:val="fr-CH"/>
        </w:rPr>
      </w:pPr>
    </w:p>
    <w:p w:rsidR="006D49A2" w:rsidRPr="003B42A1" w:rsidRDefault="006D49A2" w:rsidP="000F7CCE">
      <w:pPr>
        <w:rPr>
          <w:lang w:val="fr-CH"/>
        </w:rPr>
      </w:pPr>
    </w:p>
    <w:p w:rsidR="006D49A2" w:rsidRPr="003B42A1" w:rsidRDefault="006D49A2" w:rsidP="006D49A2">
      <w:pPr>
        <w:rPr>
          <w:lang w:val="fr-CH"/>
        </w:rPr>
      </w:pPr>
      <w:r w:rsidRPr="003B42A1">
        <w:rPr>
          <w:lang w:val="fr-CH"/>
        </w:rPr>
        <w:t>Les propositions de modification du règlement d’exécution du PCT figurent à l’annexe</w:t>
      </w:r>
      <w:r w:rsidR="00AA09EE" w:rsidRPr="003B42A1">
        <w:rPr>
          <w:lang w:val="fr-CH"/>
        </w:rPr>
        <w:t> </w:t>
      </w:r>
      <w:r w:rsidRPr="003B42A1">
        <w:rPr>
          <w:lang w:val="fr-CH"/>
        </w:rPr>
        <w:t>I, dans laquelle les dispositions qu’il est proposé d’ajouter sont soulignées et celles qu’il est proposé de supprimer sont barrées d’un trait horizontal.</w:t>
      </w:r>
      <w:r w:rsidR="000F7CCE" w:rsidRPr="003B42A1">
        <w:rPr>
          <w:lang w:val="fr-CH"/>
        </w:rPr>
        <w:t xml:space="preserve">  </w:t>
      </w:r>
      <w:r w:rsidRPr="003B42A1">
        <w:rPr>
          <w:lang w:val="fr-CH"/>
        </w:rPr>
        <w:t>Pour en faciliter la lecture, la présente annexe contient une version non annotée des règles concernées telles qu’elles se présenteraient après modification.</w:t>
      </w:r>
    </w:p>
    <w:p w:rsidR="006D49A2" w:rsidRPr="003B42A1" w:rsidRDefault="006D49A2" w:rsidP="000F7CCE">
      <w:pPr>
        <w:jc w:val="center"/>
        <w:rPr>
          <w:lang w:val="fr-CH"/>
        </w:rPr>
      </w:pPr>
    </w:p>
    <w:p w:rsidR="006D49A2" w:rsidRPr="003B42A1" w:rsidRDefault="006D49A2" w:rsidP="000F7CCE">
      <w:pPr>
        <w:rPr>
          <w:lang w:val="fr-CH"/>
        </w:rPr>
      </w:pPr>
    </w:p>
    <w:p w:rsidR="006D49A2" w:rsidRPr="003B42A1" w:rsidRDefault="006D49A2" w:rsidP="006D49A2">
      <w:pPr>
        <w:jc w:val="center"/>
        <w:rPr>
          <w:lang w:val="fr-CH"/>
        </w:rPr>
      </w:pPr>
      <w:r w:rsidRPr="003B42A1">
        <w:rPr>
          <w:lang w:val="fr-CH"/>
        </w:rPr>
        <w:t>TABLE DES MATIÈRES</w:t>
      </w:r>
    </w:p>
    <w:p w:rsidR="008A4C21" w:rsidRDefault="008A4C21" w:rsidP="006D49A2">
      <w:pPr>
        <w:jc w:val="center"/>
        <w:rPr>
          <w:lang w:val="fr-CH"/>
        </w:rPr>
      </w:pPr>
    </w:p>
    <w:p w:rsidR="003E3E4E" w:rsidRPr="00FC2FD5" w:rsidRDefault="008A4C21">
      <w:pPr>
        <w:pStyle w:val="TOC1"/>
        <w:tabs>
          <w:tab w:val="right" w:leader="dot" w:pos="9345"/>
        </w:tabs>
        <w:rPr>
          <w:rFonts w:asciiTheme="minorHAnsi" w:eastAsiaTheme="minorEastAsia" w:hAnsiTheme="minorHAnsi" w:cstheme="minorBidi"/>
          <w:noProof/>
          <w:szCs w:val="22"/>
          <w:lang w:val="fr-FR" w:eastAsia="en-US"/>
        </w:rPr>
      </w:pPr>
      <w:r>
        <w:rPr>
          <w:caps/>
        </w:rPr>
        <w:fldChar w:fldCharType="begin"/>
      </w:r>
      <w:r w:rsidRPr="00FC2FD5">
        <w:rPr>
          <w:caps/>
          <w:lang w:val="fr-FR"/>
        </w:rPr>
        <w:instrText xml:space="preserve"> TOC </w:instrText>
      </w:r>
      <w:r w:rsidR="003E3E4E" w:rsidRPr="00FC2FD5">
        <w:rPr>
          <w:caps/>
          <w:lang w:val="fr-FR"/>
        </w:rPr>
        <w:instrText xml:space="preserve">\B "AxII" </w:instrText>
      </w:r>
      <w:r w:rsidRPr="00FC2FD5">
        <w:rPr>
          <w:caps/>
          <w:lang w:val="fr-FR"/>
        </w:rPr>
        <w:instrText xml:space="preserve">\t "Leg # Title;1;Leg SubRule #;2" </w:instrText>
      </w:r>
      <w:r>
        <w:rPr>
          <w:caps/>
        </w:rPr>
        <w:fldChar w:fldCharType="separate"/>
      </w:r>
      <w:r w:rsidR="003E3E4E" w:rsidRPr="00FC2FD5">
        <w:rPr>
          <w:noProof/>
          <w:lang w:val="fr-FR"/>
        </w:rPr>
        <w:t>Règle 69  Examen préliminaire international – commencement et délai</w:t>
      </w:r>
      <w:r w:rsidR="003E3E4E" w:rsidRPr="00FC2FD5">
        <w:rPr>
          <w:noProof/>
          <w:lang w:val="fr-FR"/>
        </w:rPr>
        <w:tab/>
      </w:r>
      <w:r w:rsidR="003E3E4E">
        <w:rPr>
          <w:noProof/>
        </w:rPr>
        <w:fldChar w:fldCharType="begin"/>
      </w:r>
      <w:r w:rsidR="003E3E4E" w:rsidRPr="00FC2FD5">
        <w:rPr>
          <w:noProof/>
          <w:lang w:val="fr-FR"/>
        </w:rPr>
        <w:instrText xml:space="preserve"> PAGEREF _Toc519782787 \h </w:instrText>
      </w:r>
      <w:r w:rsidR="003E3E4E">
        <w:rPr>
          <w:noProof/>
        </w:rPr>
      </w:r>
      <w:r w:rsidR="003E3E4E">
        <w:rPr>
          <w:noProof/>
        </w:rPr>
        <w:fldChar w:fldCharType="separate"/>
      </w:r>
      <w:r w:rsidR="00FC2FD5">
        <w:rPr>
          <w:noProof/>
          <w:lang w:val="fr-FR"/>
        </w:rPr>
        <w:t>2</w:t>
      </w:r>
      <w:r w:rsidR="003E3E4E">
        <w:rPr>
          <w:noProof/>
        </w:rPr>
        <w:fldChar w:fldCharType="end"/>
      </w:r>
    </w:p>
    <w:p w:rsidR="003E3E4E" w:rsidRPr="00FC2FD5" w:rsidRDefault="003E3E4E">
      <w:pPr>
        <w:pStyle w:val="TOC2"/>
        <w:tabs>
          <w:tab w:val="right" w:leader="dot" w:pos="9345"/>
        </w:tabs>
        <w:rPr>
          <w:rFonts w:asciiTheme="minorHAnsi" w:eastAsiaTheme="minorEastAsia" w:hAnsiTheme="minorHAnsi" w:cstheme="minorBidi"/>
          <w:noProof/>
          <w:szCs w:val="22"/>
          <w:lang w:val="fr-FR" w:eastAsia="en-US"/>
        </w:rPr>
      </w:pPr>
      <w:r w:rsidRPr="00FC2FD5">
        <w:rPr>
          <w:noProof/>
          <w:lang w:val="fr-FR"/>
        </w:rPr>
        <w:t>69.1  </w:t>
      </w:r>
      <w:r w:rsidR="00226B06">
        <w:rPr>
          <w:noProof/>
          <w:lang w:val="fr-FR"/>
        </w:rPr>
        <w:t> </w:t>
      </w:r>
      <w:r w:rsidRPr="00FC2FD5">
        <w:rPr>
          <w:i/>
          <w:noProof/>
          <w:lang w:val="fr-FR"/>
        </w:rPr>
        <w:t>Commencement de l’examen préliminaire international</w:t>
      </w:r>
      <w:r w:rsidRPr="00FC2FD5">
        <w:rPr>
          <w:noProof/>
          <w:lang w:val="fr-FR"/>
        </w:rPr>
        <w:tab/>
      </w:r>
      <w:r>
        <w:rPr>
          <w:noProof/>
        </w:rPr>
        <w:fldChar w:fldCharType="begin"/>
      </w:r>
      <w:r w:rsidRPr="00FC2FD5">
        <w:rPr>
          <w:noProof/>
          <w:lang w:val="fr-FR"/>
        </w:rPr>
        <w:instrText xml:space="preserve"> PAGEREF _Toc519782788 \h </w:instrText>
      </w:r>
      <w:r>
        <w:rPr>
          <w:noProof/>
        </w:rPr>
      </w:r>
      <w:r>
        <w:rPr>
          <w:noProof/>
        </w:rPr>
        <w:fldChar w:fldCharType="separate"/>
      </w:r>
      <w:r w:rsidR="00FC2FD5">
        <w:rPr>
          <w:noProof/>
          <w:lang w:val="fr-FR"/>
        </w:rPr>
        <w:t>2</w:t>
      </w:r>
      <w:r>
        <w:rPr>
          <w:noProof/>
        </w:rPr>
        <w:fldChar w:fldCharType="end"/>
      </w:r>
    </w:p>
    <w:p w:rsidR="003E3E4E" w:rsidRPr="00FC2FD5" w:rsidRDefault="00226B06">
      <w:pPr>
        <w:pStyle w:val="TOC2"/>
        <w:tabs>
          <w:tab w:val="right" w:leader="dot" w:pos="9345"/>
        </w:tabs>
        <w:rPr>
          <w:rFonts w:asciiTheme="minorHAnsi" w:eastAsiaTheme="minorEastAsia" w:hAnsiTheme="minorHAnsi" w:cstheme="minorBidi"/>
          <w:noProof/>
          <w:szCs w:val="22"/>
          <w:lang w:val="fr-FR" w:eastAsia="en-US"/>
        </w:rPr>
      </w:pPr>
      <w:r>
        <w:rPr>
          <w:noProof/>
          <w:lang w:val="fr-FR"/>
        </w:rPr>
        <w:t>69.2.   </w:t>
      </w:r>
      <w:r w:rsidR="003E3E4E" w:rsidRPr="00FC2FD5">
        <w:rPr>
          <w:i/>
          <w:noProof/>
          <w:lang w:val="fr-FR"/>
        </w:rPr>
        <w:t>[Sans changement]</w:t>
      </w:r>
      <w:r w:rsidR="003E3E4E" w:rsidRPr="00FC2FD5">
        <w:rPr>
          <w:noProof/>
          <w:lang w:val="fr-FR"/>
        </w:rPr>
        <w:tab/>
      </w:r>
      <w:r w:rsidR="003E3E4E">
        <w:rPr>
          <w:noProof/>
        </w:rPr>
        <w:fldChar w:fldCharType="begin"/>
      </w:r>
      <w:r w:rsidR="003E3E4E" w:rsidRPr="00FC2FD5">
        <w:rPr>
          <w:noProof/>
          <w:lang w:val="fr-FR"/>
        </w:rPr>
        <w:instrText xml:space="preserve"> PAGEREF _Toc519782789 \h </w:instrText>
      </w:r>
      <w:r w:rsidR="003E3E4E">
        <w:rPr>
          <w:noProof/>
        </w:rPr>
      </w:r>
      <w:r w:rsidR="003E3E4E">
        <w:rPr>
          <w:noProof/>
        </w:rPr>
        <w:fldChar w:fldCharType="separate"/>
      </w:r>
      <w:r w:rsidR="00FC2FD5">
        <w:rPr>
          <w:noProof/>
          <w:lang w:val="fr-FR"/>
        </w:rPr>
        <w:t>2</w:t>
      </w:r>
      <w:r w:rsidR="003E3E4E">
        <w:rPr>
          <w:noProof/>
        </w:rPr>
        <w:fldChar w:fldCharType="end"/>
      </w:r>
    </w:p>
    <w:p w:rsidR="008A4C21" w:rsidRDefault="008A4C21" w:rsidP="008A4C21">
      <w:pPr>
        <w:jc w:val="center"/>
        <w:rPr>
          <w:lang w:val="fr-CH"/>
        </w:rPr>
      </w:pPr>
      <w:r>
        <w:rPr>
          <w:caps/>
        </w:rPr>
        <w:fldChar w:fldCharType="end"/>
      </w:r>
    </w:p>
    <w:p w:rsidR="006D49A2" w:rsidRDefault="006D49A2" w:rsidP="008A4C21">
      <w:pPr>
        <w:pStyle w:val="LegTitle"/>
        <w:outlineLvl w:val="0"/>
      </w:pPr>
      <w:bookmarkStart w:id="16" w:name="_Toc519782787"/>
      <w:r w:rsidRPr="0064305A">
        <w:lastRenderedPageBreak/>
        <w:t>Règle</w:t>
      </w:r>
      <w:r>
        <w:t> </w:t>
      </w:r>
      <w:r w:rsidRPr="0064305A">
        <w:t xml:space="preserve">69 </w:t>
      </w:r>
      <w:r w:rsidRPr="0064305A">
        <w:br/>
        <w:t>Examen préliminaire international – commencement et délai</w:t>
      </w:r>
      <w:bookmarkEnd w:id="16"/>
    </w:p>
    <w:p w:rsidR="006D49A2" w:rsidRDefault="006D49A2" w:rsidP="008A4C21">
      <w:pPr>
        <w:pStyle w:val="LegSubRule"/>
        <w:outlineLvl w:val="1"/>
        <w:rPr>
          <w:i/>
        </w:rPr>
      </w:pPr>
      <w:bookmarkStart w:id="17" w:name="_Toc519782788"/>
      <w:r w:rsidRPr="0064305A">
        <w:t>69.1</w:t>
      </w:r>
      <w:r w:rsidR="00C63033">
        <w:t>  </w:t>
      </w:r>
      <w:r w:rsidRPr="0064305A">
        <w:rPr>
          <w:i/>
        </w:rPr>
        <w:t>Commencement de l</w:t>
      </w:r>
      <w:r>
        <w:rPr>
          <w:i/>
        </w:rPr>
        <w:t>’</w:t>
      </w:r>
      <w:r w:rsidRPr="0064305A">
        <w:rPr>
          <w:i/>
        </w:rPr>
        <w:t>examen préliminaire international</w:t>
      </w:r>
      <w:bookmarkEnd w:id="17"/>
    </w:p>
    <w:p w:rsidR="006D49A2" w:rsidRDefault="006D49A2" w:rsidP="006D49A2">
      <w:pPr>
        <w:tabs>
          <w:tab w:val="left" w:pos="454"/>
        </w:tabs>
        <w:spacing w:before="240" w:after="240" w:line="360" w:lineRule="auto"/>
        <w:rPr>
          <w:rFonts w:eastAsia="Times New Roman" w:cs="Times New Roman"/>
          <w:snapToGrid w:val="0"/>
          <w:lang w:val="fr-CH" w:eastAsia="en-US"/>
        </w:rPr>
      </w:pPr>
      <w:r w:rsidRPr="00F7479D">
        <w:rPr>
          <w:rFonts w:eastAsia="Times New Roman" w:cs="Times New Roman"/>
          <w:snapToGrid w:val="0"/>
          <w:lang w:val="fr-CH" w:eastAsia="en-US"/>
        </w:rPr>
        <w:tab/>
        <w:t>a)  Sous réserve des alinéas b) à e), l’administration chargée de l’examen préliminaire international entreprend cet examen lorsqu’elle est en possession de tous les éléments suivants :</w:t>
      </w:r>
    </w:p>
    <w:p w:rsidR="006D49A2" w:rsidRDefault="006D49A2" w:rsidP="006D49A2">
      <w:pPr>
        <w:pStyle w:val="Lega"/>
        <w:tabs>
          <w:tab w:val="clear" w:pos="454"/>
        </w:tabs>
        <w:spacing w:line="360" w:lineRule="auto"/>
        <w:ind w:left="1134" w:hanging="567"/>
      </w:pPr>
      <w:r w:rsidRPr="0064305A">
        <w:tab/>
        <w:t>i)</w:t>
      </w:r>
      <w:r w:rsidRPr="0064305A">
        <w:tab/>
        <w:t>la demande d</w:t>
      </w:r>
      <w:r>
        <w:t>’</w:t>
      </w:r>
      <w:r w:rsidRPr="0064305A">
        <w:t>examen préliminaire international;</w:t>
      </w:r>
    </w:p>
    <w:p w:rsidR="006D49A2" w:rsidRDefault="006D49A2" w:rsidP="006D49A2">
      <w:pPr>
        <w:pStyle w:val="Lega"/>
        <w:tabs>
          <w:tab w:val="clear" w:pos="454"/>
        </w:tabs>
        <w:spacing w:line="360" w:lineRule="auto"/>
        <w:ind w:left="1134" w:hanging="567"/>
      </w:pPr>
      <w:r w:rsidRPr="0064305A">
        <w:tab/>
        <w:t>ii)</w:t>
      </w:r>
      <w:r w:rsidRPr="0064305A">
        <w:tab/>
        <w:t>le montant dû (en totalité) au titre de la taxe de traitement et de la taxe d</w:t>
      </w:r>
      <w:r>
        <w:t>’</w:t>
      </w:r>
      <w:r w:rsidRPr="0064305A">
        <w:t xml:space="preserve">examen préliminaire, </w:t>
      </w:r>
      <w:r>
        <w:t>y compris</w:t>
      </w:r>
      <w:r w:rsidRPr="0064305A">
        <w:t>, le cas échéant, la taxe pour paiement tardif visée à la règle</w:t>
      </w:r>
      <w:r>
        <w:t> </w:t>
      </w:r>
      <w:r w:rsidRPr="0064305A">
        <w:t>58</w:t>
      </w:r>
      <w:r w:rsidRPr="00CE4548">
        <w:rPr>
          <w:i/>
        </w:rPr>
        <w:t>bis</w:t>
      </w:r>
      <w:r w:rsidRPr="0064305A">
        <w:t>.2;  et</w:t>
      </w:r>
    </w:p>
    <w:p w:rsidR="006D49A2" w:rsidRDefault="006D49A2" w:rsidP="006D49A2">
      <w:pPr>
        <w:pStyle w:val="Lega"/>
        <w:tabs>
          <w:tab w:val="clear" w:pos="454"/>
        </w:tabs>
        <w:spacing w:line="360" w:lineRule="auto"/>
        <w:ind w:left="1134" w:hanging="567"/>
      </w:pPr>
      <w:r w:rsidRPr="0064305A">
        <w:tab/>
        <w:t>iii)</w:t>
      </w:r>
      <w:r w:rsidRPr="0064305A">
        <w:tab/>
        <w:t>soit le rapport de recherche internationale, soit la déclaration de l</w:t>
      </w:r>
      <w:r>
        <w:t>’</w:t>
      </w:r>
      <w:r w:rsidRPr="0064305A">
        <w:t>administration chargée de la recherche internationale, faite en vertu de l</w:t>
      </w:r>
      <w:r>
        <w:t>’</w:t>
      </w:r>
      <w:r w:rsidRPr="0064305A">
        <w:t>article</w:t>
      </w:r>
      <w:r>
        <w:t> </w:t>
      </w:r>
      <w:r w:rsidRPr="0064305A">
        <w:t>17.2)a), selon laquelle il ne sera pas établi de rapport de recherche internationale, et l</w:t>
      </w:r>
      <w:r>
        <w:t>’</w:t>
      </w:r>
      <w:r w:rsidRPr="0064305A">
        <w:t>opinion écrite établie en vertu de la règle</w:t>
      </w:r>
      <w:r>
        <w:t> </w:t>
      </w:r>
      <w:r w:rsidRPr="0064305A">
        <w:t>43</w:t>
      </w:r>
      <w:r w:rsidRPr="00300E43">
        <w:rPr>
          <w:i/>
        </w:rPr>
        <w:t>bis</w:t>
      </w:r>
      <w:r w:rsidRPr="0064305A">
        <w:t>.1;</w:t>
      </w:r>
      <w:bookmarkStart w:id="18" w:name="_GoBack"/>
      <w:bookmarkEnd w:id="18"/>
    </w:p>
    <w:p w:rsidR="006D49A2" w:rsidRPr="006D49A2" w:rsidRDefault="006D49A2" w:rsidP="006D49A2">
      <w:pPr>
        <w:pStyle w:val="Lega"/>
        <w:spacing w:line="360" w:lineRule="auto"/>
        <w:rPr>
          <w:rStyle w:val="LegInsertedText"/>
          <w:color w:val="auto"/>
          <w:u w:val="none"/>
          <w:lang w:val="fr-FR"/>
        </w:rPr>
      </w:pPr>
      <w:proofErr w:type="gramStart"/>
      <w:r w:rsidRPr="00F7479D">
        <w:rPr>
          <w:rStyle w:val="LegInsertedText"/>
          <w:color w:val="000000"/>
          <w:u w:val="none"/>
          <w:lang w:val="fr-FR"/>
        </w:rPr>
        <w:t>sauf</w:t>
      </w:r>
      <w:proofErr w:type="gramEnd"/>
      <w:r w:rsidRPr="00F7479D">
        <w:rPr>
          <w:rStyle w:val="LegInsertedText"/>
          <w:color w:val="000000"/>
          <w:u w:val="none"/>
          <w:lang w:val="fr-FR"/>
        </w:rPr>
        <w:t xml:space="preserve"> si le déposant a expressément </w:t>
      </w:r>
      <w:r w:rsidRPr="006D49A2">
        <w:rPr>
          <w:rStyle w:val="LegInsertedText"/>
          <w:color w:val="auto"/>
          <w:u w:val="none"/>
          <w:lang w:val="fr-FR"/>
        </w:rPr>
        <w:t xml:space="preserve">demandé </w:t>
      </w:r>
      <w:r w:rsidRPr="006D49A2">
        <w:rPr>
          <w:rStyle w:val="LegInsertedText"/>
          <w:color w:val="auto"/>
          <w:u w:val="none"/>
        </w:rPr>
        <w:t>que le commencement de l’examen préliminaire international soit différé jusqu’à l’expiration du délai applicable selon la règle 54</w:t>
      </w:r>
      <w:r w:rsidRPr="00226B06">
        <w:rPr>
          <w:rStyle w:val="LegInsertedText"/>
          <w:i/>
          <w:color w:val="auto"/>
          <w:u w:val="none"/>
        </w:rPr>
        <w:t>bis</w:t>
      </w:r>
      <w:r w:rsidRPr="006D49A2">
        <w:rPr>
          <w:rStyle w:val="LegInsertedText"/>
          <w:color w:val="auto"/>
          <w:u w:val="none"/>
        </w:rPr>
        <w:t>.1.a)</w:t>
      </w:r>
      <w:r w:rsidRPr="006D49A2">
        <w:rPr>
          <w:rStyle w:val="LegInsertedText"/>
          <w:color w:val="auto"/>
          <w:u w:val="none"/>
          <w:lang w:val="fr-FR"/>
        </w:rPr>
        <w:t>.</w:t>
      </w:r>
    </w:p>
    <w:p w:rsidR="006D49A2" w:rsidRDefault="006D49A2" w:rsidP="006D49A2">
      <w:pPr>
        <w:tabs>
          <w:tab w:val="left" w:pos="454"/>
        </w:tabs>
        <w:spacing w:before="240" w:after="240" w:line="480" w:lineRule="auto"/>
        <w:rPr>
          <w:rFonts w:eastAsia="Times New Roman" w:cs="Times New Roman"/>
          <w:snapToGrid w:val="0"/>
          <w:lang w:val="fr-CH" w:eastAsia="en-US"/>
        </w:rPr>
      </w:pPr>
      <w:r>
        <w:rPr>
          <w:rFonts w:eastAsia="Times New Roman" w:cs="Times New Roman"/>
          <w:snapToGrid w:val="0"/>
          <w:lang w:val="fr-CH" w:eastAsia="en-US"/>
        </w:rPr>
        <w:tab/>
      </w:r>
      <w:r w:rsidRPr="00F7479D">
        <w:rPr>
          <w:rFonts w:eastAsia="Times New Roman" w:cs="Times New Roman"/>
          <w:snapToGrid w:val="0"/>
          <w:lang w:val="fr-CH" w:eastAsia="en-US"/>
        </w:rPr>
        <w:t xml:space="preserve">b) </w:t>
      </w:r>
      <w:r>
        <w:rPr>
          <w:rFonts w:eastAsia="Times New Roman" w:cs="Times New Roman"/>
          <w:snapToGrid w:val="0"/>
          <w:lang w:val="fr-CH" w:eastAsia="en-US"/>
        </w:rPr>
        <w:t>à</w:t>
      </w:r>
      <w:r w:rsidRPr="00F7479D">
        <w:rPr>
          <w:rFonts w:eastAsia="Times New Roman" w:cs="Times New Roman"/>
          <w:snapToGrid w:val="0"/>
          <w:lang w:val="fr-CH" w:eastAsia="en-US"/>
        </w:rPr>
        <w:t xml:space="preserve"> e)   </w:t>
      </w:r>
      <w:r w:rsidRPr="00F7479D">
        <w:rPr>
          <w:rFonts w:eastAsia="Times New Roman" w:cs="Times New Roman"/>
          <w:i/>
          <w:snapToGrid w:val="0"/>
          <w:lang w:val="fr-CH" w:eastAsia="en-US"/>
        </w:rPr>
        <w:t>[</w:t>
      </w:r>
      <w:r>
        <w:rPr>
          <w:rFonts w:eastAsia="Times New Roman" w:cs="Times New Roman"/>
          <w:i/>
          <w:snapToGrid w:val="0"/>
          <w:lang w:val="fr-CH" w:eastAsia="en-US"/>
        </w:rPr>
        <w:t xml:space="preserve">Sans </w:t>
      </w:r>
      <w:r w:rsidRPr="00F7479D">
        <w:rPr>
          <w:rFonts w:eastAsia="Times New Roman" w:cs="Times New Roman"/>
          <w:i/>
          <w:snapToGrid w:val="0"/>
          <w:lang w:val="fr-CH" w:eastAsia="en-US"/>
        </w:rPr>
        <w:t>change</w:t>
      </w:r>
      <w:r>
        <w:rPr>
          <w:rFonts w:eastAsia="Times New Roman" w:cs="Times New Roman"/>
          <w:i/>
          <w:snapToGrid w:val="0"/>
          <w:lang w:val="fr-CH" w:eastAsia="en-US"/>
        </w:rPr>
        <w:t>ment</w:t>
      </w:r>
      <w:r w:rsidRPr="00F7479D">
        <w:rPr>
          <w:rFonts w:eastAsia="Times New Roman" w:cs="Times New Roman"/>
          <w:i/>
          <w:snapToGrid w:val="0"/>
          <w:lang w:val="fr-CH" w:eastAsia="en-US"/>
        </w:rPr>
        <w:t>]</w:t>
      </w:r>
    </w:p>
    <w:p w:rsidR="006D49A2" w:rsidRDefault="006D49A2" w:rsidP="008A4C21">
      <w:pPr>
        <w:pStyle w:val="LegSubRule"/>
        <w:spacing w:line="360" w:lineRule="auto"/>
        <w:outlineLvl w:val="1"/>
      </w:pPr>
      <w:bookmarkStart w:id="19" w:name="_Toc519782789"/>
      <w:r w:rsidRPr="00300E43">
        <w:t>69.2.   </w:t>
      </w:r>
      <w:r w:rsidRPr="00300E43">
        <w:rPr>
          <w:i/>
        </w:rPr>
        <w:t>[Sans changement]</w:t>
      </w:r>
      <w:bookmarkEnd w:id="19"/>
    </w:p>
    <w:bookmarkEnd w:id="15"/>
    <w:p w:rsidR="006D49A2" w:rsidRDefault="000F7CCE" w:rsidP="0040452B">
      <w:pPr>
        <w:spacing w:before="720"/>
        <w:ind w:left="5534"/>
        <w:rPr>
          <w:lang w:val="fr-CH"/>
        </w:rPr>
      </w:pPr>
      <w:r w:rsidRPr="00F7479D">
        <w:rPr>
          <w:lang w:val="fr-CH"/>
        </w:rPr>
        <w:t>[</w:t>
      </w:r>
      <w:r w:rsidR="006D49A2">
        <w:rPr>
          <w:lang w:val="fr-CH"/>
        </w:rPr>
        <w:t>Fin de l’a</w:t>
      </w:r>
      <w:r w:rsidRPr="00F7479D">
        <w:rPr>
          <w:lang w:val="fr-CH"/>
        </w:rPr>
        <w:t>nnex</w:t>
      </w:r>
      <w:r w:rsidR="006D49A2">
        <w:rPr>
          <w:lang w:val="fr-CH"/>
        </w:rPr>
        <w:t>e </w:t>
      </w:r>
      <w:r w:rsidRPr="00F7479D">
        <w:rPr>
          <w:lang w:val="fr-CH"/>
        </w:rPr>
        <w:t>II</w:t>
      </w:r>
      <w:r w:rsidR="006D49A2">
        <w:rPr>
          <w:lang w:val="fr-CH"/>
        </w:rPr>
        <w:t xml:space="preserve"> et </w:t>
      </w:r>
      <w:r w:rsidRPr="00F7479D">
        <w:rPr>
          <w:lang w:val="fr-CH"/>
        </w:rPr>
        <w:t>d</w:t>
      </w:r>
      <w:r w:rsidR="006D49A2">
        <w:rPr>
          <w:lang w:val="fr-CH"/>
        </w:rPr>
        <w:t>u</w:t>
      </w:r>
      <w:r w:rsidRPr="00F7479D">
        <w:rPr>
          <w:lang w:val="fr-CH"/>
        </w:rPr>
        <w:t xml:space="preserve"> document]</w:t>
      </w:r>
    </w:p>
    <w:sectPr w:rsidR="006D49A2" w:rsidSect="009629FF">
      <w:headerReference w:type="even" r:id="rId15"/>
      <w:headerReference w:type="default" r:id="rId16"/>
      <w:headerReference w:type="first" r:id="rId17"/>
      <w:endnotePr>
        <w:numFmt w:val="decimal"/>
      </w:endnotePr>
      <w:pgSz w:w="11907" w:h="16840" w:code="9"/>
      <w:pgMar w:top="567" w:right="1134" w:bottom="1418" w:left="1418" w:header="510" w:footer="1021"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5CC" w:rsidRDefault="001A25CC">
      <w:r>
        <w:separator/>
      </w:r>
    </w:p>
  </w:endnote>
  <w:endnote w:type="continuationSeparator" w:id="0">
    <w:p w:rsidR="001A25CC" w:rsidRDefault="001A25CC" w:rsidP="003B38C1">
      <w:r>
        <w:separator/>
      </w:r>
    </w:p>
    <w:p w:rsidR="001A25CC" w:rsidRPr="003B38C1" w:rsidRDefault="001A25CC" w:rsidP="003B38C1">
      <w:pPr>
        <w:spacing w:after="60"/>
        <w:rPr>
          <w:sz w:val="17"/>
        </w:rPr>
      </w:pPr>
      <w:r>
        <w:rPr>
          <w:sz w:val="17"/>
        </w:rPr>
        <w:t>[Endnote continued from previous page]</w:t>
      </w:r>
    </w:p>
  </w:endnote>
  <w:endnote w:type="continuationNotice" w:id="1">
    <w:p w:rsidR="001A25CC" w:rsidRPr="003B38C1" w:rsidRDefault="001A25C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5CC" w:rsidRDefault="001A25CC">
      <w:r>
        <w:separator/>
      </w:r>
    </w:p>
  </w:footnote>
  <w:footnote w:type="continuationSeparator" w:id="0">
    <w:p w:rsidR="001A25CC" w:rsidRDefault="001A25CC" w:rsidP="008B60B2">
      <w:r>
        <w:separator/>
      </w:r>
    </w:p>
    <w:p w:rsidR="001A25CC" w:rsidRPr="00ED77FB" w:rsidRDefault="001A25CC" w:rsidP="008B60B2">
      <w:pPr>
        <w:spacing w:after="60"/>
        <w:rPr>
          <w:sz w:val="17"/>
          <w:szCs w:val="17"/>
        </w:rPr>
      </w:pPr>
      <w:r w:rsidRPr="00ED77FB">
        <w:rPr>
          <w:sz w:val="17"/>
          <w:szCs w:val="17"/>
        </w:rPr>
        <w:t>[Footnote continued from previous page]</w:t>
      </w:r>
    </w:p>
  </w:footnote>
  <w:footnote w:type="continuationNotice" w:id="1">
    <w:p w:rsidR="001A25CC" w:rsidRPr="00ED77FB" w:rsidRDefault="001A25CC" w:rsidP="008B60B2">
      <w:pPr>
        <w:spacing w:before="60"/>
        <w:jc w:val="right"/>
        <w:rPr>
          <w:sz w:val="17"/>
          <w:szCs w:val="17"/>
        </w:rPr>
      </w:pPr>
      <w:r w:rsidRPr="00ED77FB">
        <w:rPr>
          <w:sz w:val="17"/>
          <w:szCs w:val="17"/>
        </w:rPr>
        <w:t>[Footnote continued on next page]</w:t>
      </w:r>
    </w:p>
  </w:footnote>
  <w:footnote w:id="2">
    <w:p w:rsidR="0032467A" w:rsidRPr="003B42A1" w:rsidRDefault="0032467A" w:rsidP="0032467A">
      <w:pPr>
        <w:pStyle w:val="FootnoteText"/>
        <w:rPr>
          <w:lang w:val="fr-CH"/>
        </w:rPr>
      </w:pPr>
      <w:r>
        <w:rPr>
          <w:rStyle w:val="FootnoteReference"/>
        </w:rPr>
        <w:footnoteRef/>
      </w:r>
      <w:r w:rsidRPr="00FC2FD5">
        <w:rPr>
          <w:lang w:val="fr-FR"/>
        </w:rPr>
        <w:t xml:space="preserve"> </w:t>
      </w:r>
      <w:r>
        <w:rPr>
          <w:lang w:val="fr-CH"/>
        </w:rPr>
        <w:tab/>
      </w:r>
      <w:r w:rsidRPr="003B42A1">
        <w:rPr>
          <w:lang w:val="fr-CH"/>
        </w:rPr>
        <w:t>Dans le présent document, les termes “articles” et “règles” renvoient respectivement au PCT et règlement d’exécution du PCT (ci</w:t>
      </w:r>
      <w:r w:rsidR="00FE7113" w:rsidRPr="003B42A1">
        <w:rPr>
          <w:lang w:val="fr-CH"/>
        </w:rPr>
        <w:noBreakHyphen/>
      </w:r>
      <w:r w:rsidRPr="003B42A1">
        <w:rPr>
          <w:lang w:val="fr-CH"/>
        </w:rPr>
        <w:t>après dénommé “règlement d’exécution”), ou aux dispositions qu’il est proposé de modifier ou d’ajouter, selon le cas.  Les termes “législation nationale”, “demandes nationales”, “phase nationale”, etc. désignent également la législation, les demandes et la phase régionales.</w:t>
      </w:r>
    </w:p>
  </w:footnote>
  <w:footnote w:id="3">
    <w:p w:rsidR="00F7479D" w:rsidRPr="003B42A1" w:rsidRDefault="00F7479D" w:rsidP="00F7479D">
      <w:pPr>
        <w:pStyle w:val="FootnoteText"/>
        <w:rPr>
          <w:lang w:val="fr-CH"/>
        </w:rPr>
      </w:pPr>
      <w:r>
        <w:rPr>
          <w:rStyle w:val="FootnoteReference"/>
        </w:rPr>
        <w:footnoteRef/>
      </w:r>
      <w:r w:rsidRPr="00FC2FD5">
        <w:rPr>
          <w:lang w:val="fr-FR"/>
        </w:rPr>
        <w:t xml:space="preserve"> </w:t>
      </w:r>
      <w:r>
        <w:rPr>
          <w:lang w:val="fr-CH"/>
        </w:rPr>
        <w:tab/>
      </w:r>
      <w:r w:rsidRPr="003B42A1">
        <w:rPr>
          <w:lang w:val="fr-CH"/>
        </w:rPr>
        <w:t xml:space="preserve">Le texte qu’il est proposé d’ajouter est souligné et le texte qu’il est proposé de supprimer est biffé.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9FF" w:rsidRDefault="009629FF" w:rsidP="009629FF">
    <w:pPr>
      <w:jc w:val="right"/>
    </w:pPr>
    <w:r>
      <w:t>PCT/A/50/2</w:t>
    </w:r>
  </w:p>
  <w:p w:rsidR="009629FF" w:rsidRDefault="009629FF" w:rsidP="00B243E2">
    <w:pPr>
      <w:tabs>
        <w:tab w:val="left" w:pos="6899"/>
        <w:tab w:val="right" w:pos="9355"/>
      </w:tabs>
      <w:jc w:val="right"/>
    </w:pPr>
    <w:r>
      <w:t xml:space="preserve">page </w:t>
    </w:r>
    <w:r>
      <w:fldChar w:fldCharType="begin"/>
    </w:r>
    <w:r>
      <w:instrText xml:space="preserve"> PAGE  \* MERGEFORMAT </w:instrText>
    </w:r>
    <w:r>
      <w:fldChar w:fldCharType="separate"/>
    </w:r>
    <w:r w:rsidR="00226B06">
      <w:rPr>
        <w:noProof/>
      </w:rPr>
      <w:t>2</w:t>
    </w:r>
    <w:r>
      <w:fldChar w:fldCharType="end"/>
    </w:r>
  </w:p>
  <w:p w:rsidR="009629FF" w:rsidRDefault="009629FF" w:rsidP="009629FF">
    <w:pPr>
      <w:jc w:val="right"/>
    </w:pPr>
  </w:p>
  <w:p w:rsidR="009629FF" w:rsidRDefault="009629FF" w:rsidP="009629FF">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A94" w:rsidRDefault="00850A94" w:rsidP="00850A94">
    <w:pPr>
      <w:pStyle w:val="Header"/>
      <w:jc w:val="right"/>
    </w:pPr>
    <w:r>
      <w:t>PCT/A/50/2</w:t>
    </w:r>
  </w:p>
  <w:p w:rsidR="00850A94" w:rsidRDefault="00850A94" w:rsidP="00850A94">
    <w:pPr>
      <w:pStyle w:val="Header"/>
      <w:jc w:val="right"/>
    </w:pPr>
    <w:r>
      <w:t>ANNEXE I</w:t>
    </w:r>
  </w:p>
  <w:p w:rsidR="00850A94" w:rsidRDefault="00850A9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9FF" w:rsidRDefault="009629FF" w:rsidP="009629FF">
    <w:pPr>
      <w:jc w:val="right"/>
    </w:pPr>
    <w:r>
      <w:t>PCT/A/50/2</w:t>
    </w:r>
  </w:p>
  <w:p w:rsidR="009629FF" w:rsidRDefault="009629FF" w:rsidP="009629FF">
    <w:pPr>
      <w:tabs>
        <w:tab w:val="left" w:pos="6899"/>
        <w:tab w:val="right" w:pos="9355"/>
      </w:tabs>
    </w:pPr>
    <w:r>
      <w:tab/>
    </w:r>
    <w:r>
      <w:tab/>
      <w:t xml:space="preserve">Annexe I, page </w:t>
    </w:r>
    <w:r>
      <w:fldChar w:fldCharType="begin"/>
    </w:r>
    <w:r>
      <w:instrText xml:space="preserve"> PAGE  \* MERGEFORMAT </w:instrText>
    </w:r>
    <w:r>
      <w:fldChar w:fldCharType="separate"/>
    </w:r>
    <w:r w:rsidR="00226B06">
      <w:rPr>
        <w:noProof/>
      </w:rPr>
      <w:t>2</w:t>
    </w:r>
    <w:r>
      <w:fldChar w:fldCharType="end"/>
    </w:r>
  </w:p>
  <w:p w:rsidR="009629FF" w:rsidRDefault="009629FF" w:rsidP="009629FF">
    <w:pPr>
      <w:jc w:val="right"/>
    </w:pPr>
  </w:p>
  <w:p w:rsidR="009629FF" w:rsidRDefault="009629FF" w:rsidP="009629FF">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52B" w:rsidRDefault="0040452B" w:rsidP="0040452B">
    <w:pPr>
      <w:jc w:val="right"/>
    </w:pPr>
    <w:r>
      <w:t>PCT/A/50/2</w:t>
    </w:r>
  </w:p>
  <w:p w:rsidR="0040452B" w:rsidRDefault="005232A1" w:rsidP="0040452B">
    <w:pPr>
      <w:jc w:val="right"/>
    </w:pPr>
    <w:r>
      <w:t>ANNEXE I</w:t>
    </w:r>
  </w:p>
  <w:p w:rsidR="0040452B" w:rsidRDefault="0040452B" w:rsidP="0040452B">
    <w:pPr>
      <w:jc w:val="right"/>
    </w:pPr>
  </w:p>
  <w:p w:rsidR="008A4C21" w:rsidRDefault="008A4C21" w:rsidP="00477D6B">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A94" w:rsidRDefault="00850A94" w:rsidP="00850A94">
    <w:pPr>
      <w:pStyle w:val="Header"/>
      <w:jc w:val="right"/>
    </w:pPr>
    <w:r>
      <w:t>PCT/A/50/2</w:t>
    </w:r>
  </w:p>
  <w:p w:rsidR="00850A94" w:rsidRDefault="00850A94" w:rsidP="00850A94">
    <w:pPr>
      <w:pStyle w:val="Header"/>
      <w:jc w:val="right"/>
    </w:pPr>
    <w:r>
      <w:t>ANNEXE I</w:t>
    </w:r>
  </w:p>
  <w:p w:rsidR="00850A94" w:rsidRDefault="00850A9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3E2" w:rsidRPr="00FC2FD5" w:rsidRDefault="00B243E2" w:rsidP="009629FF">
    <w:pPr>
      <w:jc w:val="right"/>
      <w:rPr>
        <w:lang w:val="fr-FR"/>
      </w:rPr>
    </w:pPr>
    <w:r w:rsidRPr="00FC2FD5">
      <w:rPr>
        <w:lang w:val="fr-FR"/>
      </w:rPr>
      <w:t>PCT/A/50/2</w:t>
    </w:r>
  </w:p>
  <w:p w:rsidR="00B243E2" w:rsidRPr="00FC2FD5" w:rsidRDefault="00B243E2" w:rsidP="009629FF">
    <w:pPr>
      <w:tabs>
        <w:tab w:val="left" w:pos="6899"/>
        <w:tab w:val="right" w:pos="9355"/>
      </w:tabs>
      <w:rPr>
        <w:lang w:val="fr-FR"/>
      </w:rPr>
    </w:pPr>
    <w:r w:rsidRPr="00FC2FD5">
      <w:rPr>
        <w:lang w:val="fr-FR"/>
      </w:rPr>
      <w:tab/>
    </w:r>
    <w:r w:rsidRPr="00FC2FD5">
      <w:rPr>
        <w:lang w:val="fr-FR"/>
      </w:rPr>
      <w:tab/>
      <w:t xml:space="preserve">Annexe II, page </w:t>
    </w:r>
    <w:r>
      <w:fldChar w:fldCharType="begin"/>
    </w:r>
    <w:r w:rsidRPr="00FC2FD5">
      <w:rPr>
        <w:lang w:val="fr-FR"/>
      </w:rPr>
      <w:instrText xml:space="preserve"> PAGE  \* MERGEFORMAT </w:instrText>
    </w:r>
    <w:r>
      <w:fldChar w:fldCharType="separate"/>
    </w:r>
    <w:r w:rsidR="00226B06">
      <w:rPr>
        <w:noProof/>
        <w:lang w:val="fr-FR"/>
      </w:rPr>
      <w:t>2</w:t>
    </w:r>
    <w:r>
      <w:fldChar w:fldCharType="end"/>
    </w:r>
  </w:p>
  <w:p w:rsidR="00B243E2" w:rsidRPr="00FC2FD5" w:rsidRDefault="00B243E2" w:rsidP="009629FF">
    <w:pPr>
      <w:jc w:val="right"/>
      <w:rPr>
        <w:lang w:val="fr-FR"/>
      </w:rPr>
    </w:pPr>
  </w:p>
  <w:p w:rsidR="00B243E2" w:rsidRPr="00FC2FD5" w:rsidRDefault="00B243E2" w:rsidP="009629FF">
    <w:pPr>
      <w:pStyle w:val="Header"/>
      <w:jc w:val="right"/>
      <w:rPr>
        <w:lang w:val="fr-F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A94" w:rsidRDefault="00850A94" w:rsidP="0040452B">
    <w:pPr>
      <w:jc w:val="right"/>
    </w:pPr>
    <w:r>
      <w:t>PCT/A/50/2</w:t>
    </w:r>
  </w:p>
  <w:p w:rsidR="00850A94" w:rsidRDefault="00850A94" w:rsidP="0040452B">
    <w:pPr>
      <w:jc w:val="right"/>
    </w:pPr>
    <w:r>
      <w:t>ANNEXE II</w:t>
    </w:r>
  </w:p>
  <w:p w:rsidR="00850A94" w:rsidRDefault="00850A94" w:rsidP="0040452B">
    <w:pPr>
      <w:jc w:val="right"/>
    </w:pPr>
  </w:p>
  <w:p w:rsidR="00850A94" w:rsidRDefault="00850A94" w:rsidP="00477D6B">
    <w:pPr>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DE9" w:rsidRDefault="00024DE9" w:rsidP="00024DE9">
    <w:pPr>
      <w:pStyle w:val="Header"/>
      <w:jc w:val="right"/>
    </w:pPr>
    <w:r>
      <w:t>PCT/A/50/2</w:t>
    </w:r>
  </w:p>
  <w:p w:rsidR="00024DE9" w:rsidRDefault="00024DE9" w:rsidP="00024DE9">
    <w:pPr>
      <w:pStyle w:val="Header"/>
      <w:jc w:val="right"/>
    </w:pPr>
    <w:r>
      <w:t>ANNEX I</w:t>
    </w:r>
  </w:p>
  <w:p w:rsidR="00024DE9" w:rsidRDefault="00024DE9" w:rsidP="00024DE9">
    <w:pPr>
      <w:pStyle w:val="Header"/>
      <w:jc w:val="right"/>
    </w:pPr>
  </w:p>
  <w:p w:rsidR="00024DE9" w:rsidRDefault="00024D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12DA8136"/>
    <w:lvl w:ilvl="0">
      <w:start w:val="1"/>
      <w:numFmt w:val="decimal"/>
      <w:lvlRestart w:val="0"/>
      <w:pStyle w:val="ONUMFS"/>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WIPOLDTERM"/>
    <w:docVar w:name="TermBaseURL" w:val="empty"/>
    <w:docVar w:name="TextBases" w:val="TextBase TMs\WorkspaceFTS\Patents &amp; Innovation\PCT|TextBase TMs\WorkspaceFTS\xLegacy\Patents|TextBase TMs\WorkspaceFTS\Treaties &amp; Laws\WIPO Treaties|TextBase TMs\WorkspaceFTS\xLegacy\Administrative|TextBase TMs\WorkspaceFTS\xLegacy\Budget and Finance|TextBase TMs\WorkspaceFTS\Outreach\ACE|TextBase TMs\WorkspaceFTS\Brands, Designs &amp; DN\Madrid|TextBase TMs\WorkspaceFTS\Outreach\Academy|TextBase TMs\WorkspaceFTS\Ad-hoc\Assemblies|TextBase TMs\WorkspaceFTS\Ad-hoc\Glossaires|TextBase TMs\WorkspaceFTS\Administration &amp; Finance\PBC|TextBase TMs\WorkspaceFTS\Administration &amp; Finance\Administration|TextBase TMs\WorkspaceFTS\Brands, Designs &amp; DN\AMC|TextBase TMs\WorkspaceFTS\Patents &amp; Innovation\Patents|TextBase TMs\WorkspaceFTS\Brands, Designs &amp; DN\Brands|TextBase TMs\WorkspaceFTS\Brands, Designs &amp; DN\Hague|TextBase TMs\WorkspaceFTS\Brands, Designs &amp; DN\Lisbon|TextBase TMs\WorkspaceFTS\Copyright\Copyright|TextBase TMs\WorkspaceFTS\Development\Development|TextBase TMs\WorkspaceFTS\GRTKF\GRTKF|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SCP|TextBase TMs\WorkspaceFTS\Treaties &amp; Laws\WIPO Lex|TextBase TMs\WorkspaceFTS\UPOV\TGs|TextBase TMs\WorkspaceFTS\xLegacy\Academy|TextBase TMs\WorkspaceFTS\xLegacy\Copyright|TextBase TMs\WorkspaceFTS\xLegacy\IP_Press_Other|TextBase TMs\WorkspaceFTS\xLegacy\Trademarks|TextBase TMs\WorkspaceFTS\xLegacy\Treaties"/>
    <w:docVar w:name="TextBaseURL" w:val="empty"/>
    <w:docVar w:name="UILng" w:val="en"/>
  </w:docVars>
  <w:rsids>
    <w:rsidRoot w:val="001A25CC"/>
    <w:rsid w:val="00021E7A"/>
    <w:rsid w:val="00024DE9"/>
    <w:rsid w:val="00043CAA"/>
    <w:rsid w:val="00075432"/>
    <w:rsid w:val="000765C4"/>
    <w:rsid w:val="000968ED"/>
    <w:rsid w:val="000B1D54"/>
    <w:rsid w:val="000C117A"/>
    <w:rsid w:val="000D768F"/>
    <w:rsid w:val="000F5E56"/>
    <w:rsid w:val="000F7CCE"/>
    <w:rsid w:val="001362EE"/>
    <w:rsid w:val="00156693"/>
    <w:rsid w:val="001647D5"/>
    <w:rsid w:val="001832A6"/>
    <w:rsid w:val="001A25CC"/>
    <w:rsid w:val="0021217E"/>
    <w:rsid w:val="00226B06"/>
    <w:rsid w:val="002634C4"/>
    <w:rsid w:val="002928D3"/>
    <w:rsid w:val="002F1FE6"/>
    <w:rsid w:val="002F4E68"/>
    <w:rsid w:val="00312F7F"/>
    <w:rsid w:val="0032467A"/>
    <w:rsid w:val="00350AE2"/>
    <w:rsid w:val="00361450"/>
    <w:rsid w:val="003673CF"/>
    <w:rsid w:val="003845C1"/>
    <w:rsid w:val="003A6F89"/>
    <w:rsid w:val="003B38C1"/>
    <w:rsid w:val="003B42A1"/>
    <w:rsid w:val="003D57B0"/>
    <w:rsid w:val="003E18BB"/>
    <w:rsid w:val="003E3E4E"/>
    <w:rsid w:val="0040452B"/>
    <w:rsid w:val="00423E3E"/>
    <w:rsid w:val="00427AF4"/>
    <w:rsid w:val="004647DA"/>
    <w:rsid w:val="00474062"/>
    <w:rsid w:val="00477D6B"/>
    <w:rsid w:val="004F0D2E"/>
    <w:rsid w:val="005019FF"/>
    <w:rsid w:val="0051256E"/>
    <w:rsid w:val="005232A1"/>
    <w:rsid w:val="0053057A"/>
    <w:rsid w:val="005478CA"/>
    <w:rsid w:val="00560A29"/>
    <w:rsid w:val="005C6649"/>
    <w:rsid w:val="00605827"/>
    <w:rsid w:val="00627CDE"/>
    <w:rsid w:val="00646050"/>
    <w:rsid w:val="006713CA"/>
    <w:rsid w:val="00676C5C"/>
    <w:rsid w:val="006D49A2"/>
    <w:rsid w:val="006E4F5F"/>
    <w:rsid w:val="007325E7"/>
    <w:rsid w:val="007D1613"/>
    <w:rsid w:val="007E4C0E"/>
    <w:rsid w:val="00850A94"/>
    <w:rsid w:val="00860537"/>
    <w:rsid w:val="0086425D"/>
    <w:rsid w:val="00877718"/>
    <w:rsid w:val="008A134B"/>
    <w:rsid w:val="008A4C21"/>
    <w:rsid w:val="008A4EB7"/>
    <w:rsid w:val="008B2CC1"/>
    <w:rsid w:val="008B60B2"/>
    <w:rsid w:val="0090731E"/>
    <w:rsid w:val="00916EE2"/>
    <w:rsid w:val="0094001E"/>
    <w:rsid w:val="009629FF"/>
    <w:rsid w:val="00966A22"/>
    <w:rsid w:val="0096722F"/>
    <w:rsid w:val="00980843"/>
    <w:rsid w:val="009C127D"/>
    <w:rsid w:val="009E2791"/>
    <w:rsid w:val="009E3F6F"/>
    <w:rsid w:val="009E6CC0"/>
    <w:rsid w:val="009F499F"/>
    <w:rsid w:val="00A37342"/>
    <w:rsid w:val="00A42DAF"/>
    <w:rsid w:val="00A45BD8"/>
    <w:rsid w:val="00A51575"/>
    <w:rsid w:val="00A607F7"/>
    <w:rsid w:val="00A869B7"/>
    <w:rsid w:val="00AA09EE"/>
    <w:rsid w:val="00AA2DD4"/>
    <w:rsid w:val="00AA7195"/>
    <w:rsid w:val="00AC205C"/>
    <w:rsid w:val="00AF0A6B"/>
    <w:rsid w:val="00B05A69"/>
    <w:rsid w:val="00B243E2"/>
    <w:rsid w:val="00B9734B"/>
    <w:rsid w:val="00BA30E2"/>
    <w:rsid w:val="00C11BFE"/>
    <w:rsid w:val="00C5068F"/>
    <w:rsid w:val="00C63033"/>
    <w:rsid w:val="00C86D74"/>
    <w:rsid w:val="00CB6F32"/>
    <w:rsid w:val="00CD04F1"/>
    <w:rsid w:val="00CD7F59"/>
    <w:rsid w:val="00CE1983"/>
    <w:rsid w:val="00D44A0B"/>
    <w:rsid w:val="00D45252"/>
    <w:rsid w:val="00D66E37"/>
    <w:rsid w:val="00D71B4D"/>
    <w:rsid w:val="00D8730D"/>
    <w:rsid w:val="00D93D55"/>
    <w:rsid w:val="00DA4B85"/>
    <w:rsid w:val="00DF023A"/>
    <w:rsid w:val="00DF383E"/>
    <w:rsid w:val="00E15015"/>
    <w:rsid w:val="00E335FE"/>
    <w:rsid w:val="00E455CA"/>
    <w:rsid w:val="00E46B89"/>
    <w:rsid w:val="00E76C99"/>
    <w:rsid w:val="00E85557"/>
    <w:rsid w:val="00EA7D6E"/>
    <w:rsid w:val="00EC4E49"/>
    <w:rsid w:val="00ED77FB"/>
    <w:rsid w:val="00EE45FA"/>
    <w:rsid w:val="00F63082"/>
    <w:rsid w:val="00F66152"/>
    <w:rsid w:val="00F7479D"/>
    <w:rsid w:val="00FC2FD5"/>
    <w:rsid w:val="00FE433D"/>
    <w:rsid w:val="00FE7113"/>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40452B"/>
    <w:pPr>
      <w:keepNext/>
      <w:spacing w:before="360" w:after="240"/>
      <w:outlineLvl w:val="1"/>
    </w:pPr>
    <w:rPr>
      <w:b/>
      <w:bCs/>
      <w:iCs/>
      <w:caps/>
      <w:szCs w:val="28"/>
    </w:rPr>
  </w:style>
  <w:style w:type="paragraph" w:styleId="Heading3">
    <w:name w:val="heading 3"/>
    <w:basedOn w:val="Normal"/>
    <w:next w:val="Normal"/>
    <w:autoRedefine/>
    <w:qFormat/>
    <w:rsid w:val="000765C4"/>
    <w:pPr>
      <w:keepNext/>
      <w:spacing w:before="240" w:after="60"/>
      <w:outlineLvl w:val="2"/>
    </w:pPr>
    <w:rPr>
      <w:bCs/>
      <w:caps/>
      <w:szCs w:val="26"/>
    </w:rPr>
  </w:style>
  <w:style w:type="paragraph" w:styleId="Heading4">
    <w:name w:val="heading 4"/>
    <w:basedOn w:val="Normal"/>
    <w:next w:val="Normal"/>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character" w:customStyle="1" w:styleId="FootnoteTextChar">
    <w:name w:val="Footnote Text Char"/>
    <w:basedOn w:val="DefaultParagraphFont"/>
    <w:link w:val="FootnoteText"/>
    <w:rsid w:val="000F7CCE"/>
    <w:rPr>
      <w:rFonts w:ascii="Arial" w:eastAsia="SimSun" w:hAnsi="Arial" w:cs="Arial"/>
      <w:sz w:val="18"/>
      <w:lang w:val="en-US" w:eastAsia="zh-CN"/>
    </w:rPr>
  </w:style>
  <w:style w:type="character" w:styleId="FootnoteReference">
    <w:name w:val="footnote reference"/>
    <w:basedOn w:val="DefaultParagraphFont"/>
    <w:unhideWhenUsed/>
    <w:rsid w:val="000F7CCE"/>
    <w:rPr>
      <w:vertAlign w:val="superscript"/>
    </w:rPr>
  </w:style>
  <w:style w:type="paragraph" w:customStyle="1" w:styleId="LegTitle">
    <w:name w:val="Leg # Title"/>
    <w:basedOn w:val="Normal"/>
    <w:next w:val="Normal"/>
    <w:rsid w:val="00F7479D"/>
    <w:pPr>
      <w:keepNext/>
      <w:keepLines/>
      <w:pageBreakBefore/>
      <w:spacing w:before="240" w:line="480" w:lineRule="auto"/>
      <w:jc w:val="center"/>
    </w:pPr>
    <w:rPr>
      <w:rFonts w:eastAsia="Arial Unicode MS" w:cs="Times New Roman"/>
      <w:b/>
      <w:snapToGrid w:val="0"/>
      <w:lang w:val="fr-CH" w:eastAsia="en-US"/>
    </w:rPr>
  </w:style>
  <w:style w:type="paragraph" w:customStyle="1" w:styleId="LegSubRule">
    <w:name w:val="Leg SubRule #"/>
    <w:basedOn w:val="Normal"/>
    <w:rsid w:val="00F7479D"/>
    <w:pPr>
      <w:keepNext/>
      <w:keepLines/>
      <w:tabs>
        <w:tab w:val="left" w:pos="510"/>
      </w:tabs>
      <w:spacing w:before="480" w:line="480" w:lineRule="auto"/>
      <w:ind w:left="533" w:hanging="533"/>
    </w:pPr>
    <w:rPr>
      <w:rFonts w:eastAsia="Arial Unicode MS" w:cs="Times New Roman"/>
      <w:snapToGrid w:val="0"/>
      <w:lang w:val="fr-CH" w:eastAsia="en-US"/>
    </w:rPr>
  </w:style>
  <w:style w:type="paragraph" w:customStyle="1" w:styleId="Lega">
    <w:name w:val="Leg (a)"/>
    <w:basedOn w:val="Normal"/>
    <w:link w:val="LegaChar"/>
    <w:rsid w:val="00F7479D"/>
    <w:pPr>
      <w:tabs>
        <w:tab w:val="left" w:pos="454"/>
      </w:tabs>
      <w:spacing w:before="240" w:after="240" w:line="480" w:lineRule="auto"/>
    </w:pPr>
    <w:rPr>
      <w:rFonts w:eastAsia="Times New Roman" w:cs="Times New Roman"/>
      <w:snapToGrid w:val="0"/>
      <w:lang w:val="fr-CH" w:eastAsia="en-US"/>
    </w:rPr>
  </w:style>
  <w:style w:type="character" w:customStyle="1" w:styleId="LegaChar">
    <w:name w:val="Leg (a) Char"/>
    <w:basedOn w:val="DefaultParagraphFont"/>
    <w:link w:val="Lega"/>
    <w:rsid w:val="00F7479D"/>
    <w:rPr>
      <w:rFonts w:ascii="Arial" w:hAnsi="Arial"/>
      <w:snapToGrid w:val="0"/>
      <w:sz w:val="22"/>
      <w:lang w:eastAsia="en-US"/>
    </w:rPr>
  </w:style>
  <w:style w:type="character" w:customStyle="1" w:styleId="LegInsertedText">
    <w:name w:val="LegInsertedText"/>
    <w:basedOn w:val="DefaultParagraphFont"/>
    <w:rsid w:val="00F7479D"/>
    <w:rPr>
      <w:color w:val="0000FF"/>
      <w:u w:val="single"/>
    </w:rPr>
  </w:style>
  <w:style w:type="character" w:customStyle="1" w:styleId="RDeletedText">
    <w:name w:val="RDeletedText"/>
    <w:basedOn w:val="DefaultParagraphFont"/>
    <w:rsid w:val="00F7479D"/>
    <w:rPr>
      <w:strike/>
      <w:color w:val="FF0000"/>
    </w:rPr>
  </w:style>
  <w:style w:type="paragraph" w:styleId="TOC1">
    <w:name w:val="toc 1"/>
    <w:basedOn w:val="Normal"/>
    <w:next w:val="Normal"/>
    <w:autoRedefine/>
    <w:uiPriority w:val="39"/>
    <w:unhideWhenUsed/>
    <w:rsid w:val="008A4C21"/>
    <w:pPr>
      <w:spacing w:after="100"/>
    </w:pPr>
  </w:style>
  <w:style w:type="paragraph" w:styleId="TOC2">
    <w:name w:val="toc 2"/>
    <w:basedOn w:val="Normal"/>
    <w:next w:val="Normal"/>
    <w:autoRedefine/>
    <w:uiPriority w:val="39"/>
    <w:unhideWhenUsed/>
    <w:rsid w:val="008A4C21"/>
    <w:pPr>
      <w:spacing w:after="100"/>
      <w:ind w:left="220"/>
    </w:pPr>
  </w:style>
  <w:style w:type="character" w:styleId="Hyperlink">
    <w:name w:val="Hyperlink"/>
    <w:basedOn w:val="DefaultParagraphFont"/>
    <w:uiPriority w:val="99"/>
    <w:unhideWhenUsed/>
    <w:rsid w:val="008A4C2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40452B"/>
    <w:pPr>
      <w:keepNext/>
      <w:spacing w:before="360" w:after="240"/>
      <w:outlineLvl w:val="1"/>
    </w:pPr>
    <w:rPr>
      <w:b/>
      <w:bCs/>
      <w:iCs/>
      <w:caps/>
      <w:szCs w:val="28"/>
    </w:rPr>
  </w:style>
  <w:style w:type="paragraph" w:styleId="Heading3">
    <w:name w:val="heading 3"/>
    <w:basedOn w:val="Normal"/>
    <w:next w:val="Normal"/>
    <w:autoRedefine/>
    <w:qFormat/>
    <w:rsid w:val="000765C4"/>
    <w:pPr>
      <w:keepNext/>
      <w:spacing w:before="240" w:after="60"/>
      <w:outlineLvl w:val="2"/>
    </w:pPr>
    <w:rPr>
      <w:bCs/>
      <w:caps/>
      <w:szCs w:val="26"/>
    </w:rPr>
  </w:style>
  <w:style w:type="paragraph" w:styleId="Heading4">
    <w:name w:val="heading 4"/>
    <w:basedOn w:val="Normal"/>
    <w:next w:val="Normal"/>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character" w:customStyle="1" w:styleId="FootnoteTextChar">
    <w:name w:val="Footnote Text Char"/>
    <w:basedOn w:val="DefaultParagraphFont"/>
    <w:link w:val="FootnoteText"/>
    <w:rsid w:val="000F7CCE"/>
    <w:rPr>
      <w:rFonts w:ascii="Arial" w:eastAsia="SimSun" w:hAnsi="Arial" w:cs="Arial"/>
      <w:sz w:val="18"/>
      <w:lang w:val="en-US" w:eastAsia="zh-CN"/>
    </w:rPr>
  </w:style>
  <w:style w:type="character" w:styleId="FootnoteReference">
    <w:name w:val="footnote reference"/>
    <w:basedOn w:val="DefaultParagraphFont"/>
    <w:unhideWhenUsed/>
    <w:rsid w:val="000F7CCE"/>
    <w:rPr>
      <w:vertAlign w:val="superscript"/>
    </w:rPr>
  </w:style>
  <w:style w:type="paragraph" w:customStyle="1" w:styleId="LegTitle">
    <w:name w:val="Leg # Title"/>
    <w:basedOn w:val="Normal"/>
    <w:next w:val="Normal"/>
    <w:rsid w:val="00F7479D"/>
    <w:pPr>
      <w:keepNext/>
      <w:keepLines/>
      <w:pageBreakBefore/>
      <w:spacing w:before="240" w:line="480" w:lineRule="auto"/>
      <w:jc w:val="center"/>
    </w:pPr>
    <w:rPr>
      <w:rFonts w:eastAsia="Arial Unicode MS" w:cs="Times New Roman"/>
      <w:b/>
      <w:snapToGrid w:val="0"/>
      <w:lang w:val="fr-CH" w:eastAsia="en-US"/>
    </w:rPr>
  </w:style>
  <w:style w:type="paragraph" w:customStyle="1" w:styleId="LegSubRule">
    <w:name w:val="Leg SubRule #"/>
    <w:basedOn w:val="Normal"/>
    <w:rsid w:val="00F7479D"/>
    <w:pPr>
      <w:keepNext/>
      <w:keepLines/>
      <w:tabs>
        <w:tab w:val="left" w:pos="510"/>
      </w:tabs>
      <w:spacing w:before="480" w:line="480" w:lineRule="auto"/>
      <w:ind w:left="533" w:hanging="533"/>
    </w:pPr>
    <w:rPr>
      <w:rFonts w:eastAsia="Arial Unicode MS" w:cs="Times New Roman"/>
      <w:snapToGrid w:val="0"/>
      <w:lang w:val="fr-CH" w:eastAsia="en-US"/>
    </w:rPr>
  </w:style>
  <w:style w:type="paragraph" w:customStyle="1" w:styleId="Lega">
    <w:name w:val="Leg (a)"/>
    <w:basedOn w:val="Normal"/>
    <w:link w:val="LegaChar"/>
    <w:rsid w:val="00F7479D"/>
    <w:pPr>
      <w:tabs>
        <w:tab w:val="left" w:pos="454"/>
      </w:tabs>
      <w:spacing w:before="240" w:after="240" w:line="480" w:lineRule="auto"/>
    </w:pPr>
    <w:rPr>
      <w:rFonts w:eastAsia="Times New Roman" w:cs="Times New Roman"/>
      <w:snapToGrid w:val="0"/>
      <w:lang w:val="fr-CH" w:eastAsia="en-US"/>
    </w:rPr>
  </w:style>
  <w:style w:type="character" w:customStyle="1" w:styleId="LegaChar">
    <w:name w:val="Leg (a) Char"/>
    <w:basedOn w:val="DefaultParagraphFont"/>
    <w:link w:val="Lega"/>
    <w:rsid w:val="00F7479D"/>
    <w:rPr>
      <w:rFonts w:ascii="Arial" w:hAnsi="Arial"/>
      <w:snapToGrid w:val="0"/>
      <w:sz w:val="22"/>
      <w:lang w:eastAsia="en-US"/>
    </w:rPr>
  </w:style>
  <w:style w:type="character" w:customStyle="1" w:styleId="LegInsertedText">
    <w:name w:val="LegInsertedText"/>
    <w:basedOn w:val="DefaultParagraphFont"/>
    <w:rsid w:val="00F7479D"/>
    <w:rPr>
      <w:color w:val="0000FF"/>
      <w:u w:val="single"/>
    </w:rPr>
  </w:style>
  <w:style w:type="character" w:customStyle="1" w:styleId="RDeletedText">
    <w:name w:val="RDeletedText"/>
    <w:basedOn w:val="DefaultParagraphFont"/>
    <w:rsid w:val="00F7479D"/>
    <w:rPr>
      <w:strike/>
      <w:color w:val="FF0000"/>
    </w:rPr>
  </w:style>
  <w:style w:type="paragraph" w:styleId="TOC1">
    <w:name w:val="toc 1"/>
    <w:basedOn w:val="Normal"/>
    <w:next w:val="Normal"/>
    <w:autoRedefine/>
    <w:uiPriority w:val="39"/>
    <w:unhideWhenUsed/>
    <w:rsid w:val="008A4C21"/>
    <w:pPr>
      <w:spacing w:after="100"/>
    </w:pPr>
  </w:style>
  <w:style w:type="paragraph" w:styleId="TOC2">
    <w:name w:val="toc 2"/>
    <w:basedOn w:val="Normal"/>
    <w:next w:val="Normal"/>
    <w:autoRedefine/>
    <w:uiPriority w:val="39"/>
    <w:unhideWhenUsed/>
    <w:rsid w:val="008A4C21"/>
    <w:pPr>
      <w:spacing w:after="100"/>
      <w:ind w:left="220"/>
    </w:pPr>
  </w:style>
  <w:style w:type="character" w:styleId="Hyperlink">
    <w:name w:val="Hyperlink"/>
    <w:basedOn w:val="DefaultParagraphFont"/>
    <w:uiPriority w:val="99"/>
    <w:unhideWhenUsed/>
    <w:rsid w:val="008A4C2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PCT%20A%205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DEACA3-8BF7-446A-B213-8CFE71E6F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A 50 (E)</Template>
  <TotalTime>8</TotalTime>
  <Pages>6</Pages>
  <Words>945</Words>
  <Characters>5154</Characters>
  <Application>Microsoft Office Word</Application>
  <DocSecurity>0</DocSecurity>
  <Lines>68</Lines>
  <Paragraphs>5</Paragraphs>
  <ScaleCrop>false</ScaleCrop>
  <HeadingPairs>
    <vt:vector size="2" baseType="variant">
      <vt:variant>
        <vt:lpstr>Title</vt:lpstr>
      </vt:variant>
      <vt:variant>
        <vt:i4>1</vt:i4>
      </vt:variant>
    </vt:vector>
  </HeadingPairs>
  <TitlesOfParts>
    <vt:vector size="1" baseType="lpstr">
      <vt:lpstr>PCT/A/50/</vt:lpstr>
    </vt:vector>
  </TitlesOfParts>
  <Company>WIPO</Company>
  <LinksUpToDate>false</LinksUpToDate>
  <CharactersWithSpaces>6094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PCT/A/50/</dc:title>
  <dc:subject>Fiftieth (29th Extraordinary) Session</dc:subject>
  <dc:creator>HÄFLIGER Patience</dc:creator>
  <cp:lastModifiedBy>Marlow</cp:lastModifiedBy>
  <cp:revision>3</cp:revision>
  <cp:lastPrinted>2018-07-20T15:09:00Z</cp:lastPrinted>
  <dcterms:created xsi:type="dcterms:W3CDTF">2018-07-20T15:36:00Z</dcterms:created>
  <dcterms:modified xsi:type="dcterms:W3CDTF">2018-07-20T15:45:00Z</dcterms:modified>
  <cp:category>International Patent Cooperation Union (PCT Union)</cp:category>
</cp:coreProperties>
</file>