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0540C" w:rsidRDefault="0040540C" w:rsidP="00C76616">
      <w:pPr>
        <w:spacing w:after="24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879" w:rsidRDefault="006C5B3F" w:rsidP="006C5B3F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en-US"/>
        </w:rPr>
      </w:pPr>
      <w:r w:rsidRPr="006C5B3F">
        <w:rPr>
          <w:rFonts w:ascii="Arial Black" w:hAnsi="Arial Black"/>
          <w:caps/>
          <w:sz w:val="15"/>
        </w:rPr>
        <w:t>WO/CF/42/1</w:t>
      </w:r>
      <w:r w:rsidR="00FF6925" w:rsidRPr="006C5B3F">
        <w:rPr>
          <w:rFonts w:ascii="Arial Black" w:hAnsi="Arial Black"/>
          <w:caps/>
          <w:sz w:val="15"/>
        </w:rPr>
        <w:t xml:space="preserve">  P/A/57/1  </w:t>
      </w:r>
      <w:r>
        <w:rPr>
          <w:rFonts w:ascii="Arial Black" w:hAnsi="Arial Black"/>
          <w:caps/>
          <w:sz w:val="15"/>
        </w:rPr>
        <w:t>P/EC/61/1</w:t>
      </w:r>
      <w:r w:rsidR="00FF6925" w:rsidRPr="006C5B3F">
        <w:rPr>
          <w:rFonts w:ascii="Arial Black" w:hAnsi="Arial Black"/>
          <w:caps/>
          <w:sz w:val="15"/>
        </w:rPr>
        <w:t xml:space="preserve">  </w:t>
      </w:r>
      <w:r w:rsidR="00FF6925" w:rsidRPr="006C5B3F">
        <w:rPr>
          <w:rFonts w:ascii="Arial Black" w:hAnsi="Arial Black"/>
          <w:caps/>
          <w:sz w:val="15"/>
          <w:lang w:val="en-US"/>
        </w:rPr>
        <w:t>B/A/51/1  B/EC/67/1</w:t>
      </w:r>
      <w:r w:rsidR="00EE3921" w:rsidRPr="00EE3921">
        <w:rPr>
          <w:rFonts w:ascii="Arial Black" w:hAnsi="Arial Black"/>
          <w:caps/>
          <w:sz w:val="15"/>
          <w:lang w:val="en-US"/>
        </w:rPr>
        <w:t xml:space="preserve"> </w:t>
      </w:r>
      <w:r w:rsidR="00EE3921">
        <w:rPr>
          <w:rFonts w:ascii="Arial Black" w:hAnsi="Arial Black"/>
          <w:caps/>
          <w:sz w:val="15"/>
          <w:lang w:val="en-US"/>
        </w:rPr>
        <w:t xml:space="preserve"> </w:t>
      </w:r>
      <w:r w:rsidR="00EE3921" w:rsidRPr="006C5B3F">
        <w:rPr>
          <w:rFonts w:ascii="Arial Black" w:hAnsi="Arial Black"/>
          <w:caps/>
          <w:sz w:val="15"/>
          <w:lang w:val="en-US"/>
        </w:rPr>
        <w:t>N/A/41/1  LO/A/41/1</w:t>
      </w:r>
      <w:r w:rsidR="00EE3921">
        <w:rPr>
          <w:rFonts w:ascii="Arial Black" w:hAnsi="Arial Black"/>
          <w:caps/>
          <w:sz w:val="15"/>
          <w:lang w:val="en-US"/>
        </w:rPr>
        <w:t xml:space="preserve">  </w:t>
      </w:r>
      <w:r w:rsidR="00EE3921" w:rsidRPr="006C5B3F">
        <w:rPr>
          <w:rFonts w:ascii="Arial Black" w:hAnsi="Arial Black"/>
          <w:caps/>
          <w:sz w:val="15"/>
        </w:rPr>
        <w:t>IPC/A/42/1  BP/A/38/1</w:t>
      </w:r>
      <w:r w:rsidR="00EE3921" w:rsidRPr="00EE3921">
        <w:rPr>
          <w:rFonts w:ascii="Arial Black" w:hAnsi="Arial Black"/>
          <w:caps/>
          <w:sz w:val="15"/>
        </w:rPr>
        <w:t xml:space="preserve"> </w:t>
      </w:r>
      <w:r w:rsidR="00EE3921">
        <w:rPr>
          <w:rFonts w:ascii="Arial Black" w:hAnsi="Arial Black"/>
          <w:caps/>
          <w:sz w:val="15"/>
        </w:rPr>
        <w:t xml:space="preserve"> </w:t>
      </w:r>
      <w:r w:rsidR="00EE3921" w:rsidRPr="006C5B3F">
        <w:rPr>
          <w:rFonts w:ascii="Arial Black" w:hAnsi="Arial Black"/>
          <w:caps/>
          <w:sz w:val="15"/>
        </w:rPr>
        <w:t>VA/A/34/1</w:t>
      </w:r>
    </w:p>
    <w:p w:rsidR="00705879" w:rsidRDefault="00EE3921" w:rsidP="006C5B3F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</w:rPr>
      </w:pPr>
      <w:r w:rsidRPr="006C5B3F">
        <w:rPr>
          <w:rFonts w:ascii="Arial Black" w:hAnsi="Arial Black"/>
          <w:caps/>
          <w:sz w:val="15"/>
          <w:lang w:val="en-US"/>
        </w:rPr>
        <w:t>WCT/A/21/1  WPPT/A/21/1  PLT/A/20/1</w:t>
      </w:r>
    </w:p>
    <w:p w:rsidR="008B2CC1" w:rsidRPr="006C5B3F" w:rsidRDefault="00B1090C" w:rsidP="0040540C">
      <w:pPr>
        <w:jc w:val="right"/>
      </w:pPr>
      <w:bookmarkStart w:id="1" w:name="Code"/>
      <w:bookmarkEnd w:id="1"/>
      <w:r w:rsidRPr="006C5B3F">
        <w:rPr>
          <w:rFonts w:ascii="Arial Black" w:hAnsi="Arial Black"/>
          <w:caps/>
          <w:sz w:val="15"/>
        </w:rPr>
        <w:t>ORIGINAL</w:t>
      </w:r>
      <w:r w:rsidR="00EE3921">
        <w:rPr>
          <w:rFonts w:ascii="Arial Black" w:hAnsi="Arial Black"/>
          <w:caps/>
          <w:sz w:val="15"/>
        </w:rPr>
        <w:t> </w:t>
      </w:r>
      <w:r w:rsidRPr="006C5B3F">
        <w:rPr>
          <w:rFonts w:ascii="Arial Black" w:hAnsi="Arial Black"/>
          <w:caps/>
          <w:sz w:val="15"/>
        </w:rPr>
        <w:t>:</w:t>
      </w:r>
      <w:r w:rsidR="002956DE" w:rsidRPr="006C5B3F">
        <w:rPr>
          <w:rFonts w:ascii="Arial Black" w:hAnsi="Arial Black"/>
          <w:caps/>
          <w:sz w:val="15"/>
        </w:rPr>
        <w:t xml:space="preserve"> </w:t>
      </w:r>
      <w:bookmarkStart w:id="2" w:name="Original"/>
      <w:r w:rsidR="006C5B3F" w:rsidRPr="006C5B3F">
        <w:rPr>
          <w:rFonts w:ascii="Arial Black" w:hAnsi="Arial Black"/>
          <w:caps/>
          <w:sz w:val="15"/>
        </w:rPr>
        <w:t>anglais</w:t>
      </w:r>
    </w:p>
    <w:bookmarkEnd w:id="2"/>
    <w:p w:rsidR="008B2CC1" w:rsidRPr="006C5B3F" w:rsidRDefault="00B1090C" w:rsidP="00C444B7">
      <w:pPr>
        <w:spacing w:after="480"/>
        <w:jc w:val="right"/>
      </w:pPr>
      <w:r w:rsidRPr="006C5B3F">
        <w:rPr>
          <w:rFonts w:ascii="Arial Black" w:hAnsi="Arial Black"/>
          <w:caps/>
          <w:sz w:val="15"/>
        </w:rPr>
        <w:t>DATE</w:t>
      </w:r>
      <w:r w:rsidR="00EE3921">
        <w:rPr>
          <w:rFonts w:ascii="Arial Black" w:hAnsi="Arial Black"/>
          <w:caps/>
          <w:sz w:val="15"/>
        </w:rPr>
        <w:t> </w:t>
      </w:r>
      <w:r w:rsidRPr="006C5B3F">
        <w:rPr>
          <w:rFonts w:ascii="Arial Black" w:hAnsi="Arial Black"/>
          <w:caps/>
          <w:sz w:val="15"/>
        </w:rPr>
        <w:t>:</w:t>
      </w:r>
      <w:r w:rsidR="002956DE" w:rsidRPr="006C5B3F">
        <w:rPr>
          <w:rFonts w:ascii="Arial Black" w:hAnsi="Arial Black"/>
          <w:caps/>
          <w:sz w:val="15"/>
        </w:rPr>
        <w:t xml:space="preserve"> </w:t>
      </w:r>
      <w:bookmarkStart w:id="3" w:name="Date"/>
      <w:r w:rsidR="00EE3921">
        <w:rPr>
          <w:rFonts w:ascii="Arial Black" w:hAnsi="Arial Black"/>
          <w:caps/>
          <w:sz w:val="15"/>
        </w:rPr>
        <w:t>17</w:t>
      </w:r>
      <w:r w:rsidR="006C5B3F" w:rsidRPr="006C5B3F">
        <w:rPr>
          <w:rFonts w:ascii="Arial Black" w:hAnsi="Arial Black"/>
          <w:caps/>
          <w:sz w:val="15"/>
        </w:rPr>
        <w:t> </w:t>
      </w:r>
      <w:r w:rsidR="00EE3921">
        <w:rPr>
          <w:rFonts w:ascii="Arial Black" w:hAnsi="Arial Black"/>
          <w:caps/>
          <w:sz w:val="15"/>
        </w:rPr>
        <w:t>décembre</w:t>
      </w:r>
      <w:r w:rsidR="006C5B3F" w:rsidRPr="006C5B3F">
        <w:rPr>
          <w:rFonts w:ascii="Arial Black" w:hAnsi="Arial Black"/>
          <w:caps/>
          <w:sz w:val="15"/>
        </w:rPr>
        <w:t> 2021</w:t>
      </w:r>
    </w:p>
    <w:bookmarkEnd w:id="3"/>
    <w:p w:rsidR="00C444B7" w:rsidRPr="0012409A" w:rsidRDefault="00C444B7" w:rsidP="00C444B7">
      <w:pPr>
        <w:spacing w:after="240"/>
        <w:outlineLvl w:val="1"/>
        <w:rPr>
          <w:b/>
          <w:sz w:val="24"/>
          <w:szCs w:val="24"/>
        </w:rPr>
      </w:pPr>
      <w:r w:rsidRPr="006C5B3F">
        <w:rPr>
          <w:b/>
          <w:sz w:val="24"/>
          <w:szCs w:val="24"/>
        </w:rPr>
        <w:t>Con</w:t>
      </w:r>
      <w:r w:rsidRPr="0012409A">
        <w:rPr>
          <w:b/>
          <w:sz w:val="24"/>
          <w:szCs w:val="24"/>
        </w:rPr>
        <w:t>férence de l</w:t>
      </w:r>
      <w:r w:rsidR="006C5B3F">
        <w:rPr>
          <w:b/>
          <w:sz w:val="24"/>
          <w:szCs w:val="24"/>
        </w:rPr>
        <w:t>’</w:t>
      </w:r>
      <w:r w:rsidRPr="0012409A">
        <w:rPr>
          <w:b/>
          <w:sz w:val="24"/>
          <w:szCs w:val="24"/>
        </w:rPr>
        <w:t>OMPI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</w:t>
      </w:r>
      <w:r w:rsidR="00FF6925" w:rsidRPr="0012409A">
        <w:rPr>
          <w:b/>
          <w:sz w:val="24"/>
          <w:szCs w:val="24"/>
        </w:rPr>
        <w:t>quarante</w:t>
      </w:r>
      <w:r w:rsidR="00E66A27">
        <w:rPr>
          <w:b/>
          <w:sz w:val="24"/>
          <w:szCs w:val="24"/>
        </w:rPr>
        <w:noBreakHyphen/>
      </w:r>
      <w:r w:rsidR="00FF6925" w:rsidRPr="0012409A">
        <w:rPr>
          <w:b/>
          <w:sz w:val="24"/>
          <w:szCs w:val="24"/>
        </w:rPr>
        <w:t xml:space="preserve">deuxième session </w:t>
      </w:r>
      <w:r w:rsidRPr="0012409A">
        <w:rPr>
          <w:b/>
          <w:sz w:val="24"/>
          <w:szCs w:val="24"/>
        </w:rPr>
        <w:t>(</w:t>
      </w:r>
      <w:r w:rsidR="00FF6925" w:rsidRPr="0012409A">
        <w:rPr>
          <w:b/>
          <w:sz w:val="24"/>
          <w:szCs w:val="24"/>
        </w:rPr>
        <w:t>25</w:t>
      </w:r>
      <w:r w:rsidR="00FF6925" w:rsidRPr="00516336">
        <w:rPr>
          <w:b/>
          <w:sz w:val="24"/>
          <w:szCs w:val="24"/>
          <w:vertAlign w:val="superscript"/>
        </w:rPr>
        <w:t>e</w:t>
      </w:r>
      <w:r w:rsidR="00FF6925" w:rsidRPr="0012409A">
        <w:rPr>
          <w:b/>
          <w:sz w:val="24"/>
          <w:szCs w:val="24"/>
        </w:rPr>
        <w:t xml:space="preserve"> session ordinaire</w:t>
      </w:r>
      <w:r w:rsidRPr="0012409A">
        <w:rPr>
          <w:b/>
          <w:sz w:val="24"/>
          <w:szCs w:val="24"/>
        </w:rPr>
        <w:t>)</w:t>
      </w:r>
    </w:p>
    <w:p w:rsidR="00C444B7" w:rsidRPr="0012409A" w:rsidRDefault="00C444B7" w:rsidP="00516336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 xml:space="preserve">Union internationale pour la protection de la propriété industrielle (Union </w:t>
      </w:r>
      <w:r w:rsidR="002310FD" w:rsidRPr="0012409A">
        <w:rPr>
          <w:b/>
          <w:sz w:val="24"/>
          <w:szCs w:val="24"/>
        </w:rPr>
        <w:br/>
      </w:r>
      <w:r w:rsidR="00E66A27">
        <w:rPr>
          <w:b/>
          <w:sz w:val="24"/>
          <w:szCs w:val="24"/>
        </w:rPr>
        <w:t xml:space="preserve">de Paris), </w:t>
      </w:r>
      <w:r w:rsidR="000F0269" w:rsidRPr="0012409A">
        <w:rPr>
          <w:b/>
          <w:sz w:val="24"/>
          <w:szCs w:val="24"/>
        </w:rPr>
        <w:t>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</w:t>
      </w:r>
      <w:r w:rsidR="000F0269" w:rsidRPr="0012409A">
        <w:rPr>
          <w:b/>
          <w:sz w:val="24"/>
          <w:szCs w:val="24"/>
        </w:rPr>
        <w:t>cinquante</w:t>
      </w:r>
      <w:r w:rsidR="00E66A27">
        <w:rPr>
          <w:b/>
          <w:sz w:val="24"/>
          <w:szCs w:val="24"/>
        </w:rPr>
        <w:noBreakHyphen/>
      </w:r>
      <w:r w:rsidR="000F0269" w:rsidRPr="0012409A">
        <w:rPr>
          <w:b/>
          <w:sz w:val="24"/>
          <w:szCs w:val="24"/>
        </w:rPr>
        <w:t>septième session (25</w:t>
      </w:r>
      <w:r w:rsidR="000F0269" w:rsidRPr="006C5B3F">
        <w:rPr>
          <w:b/>
          <w:sz w:val="24"/>
          <w:szCs w:val="24"/>
          <w:vertAlign w:val="superscript"/>
        </w:rPr>
        <w:t>e</w:t>
      </w:r>
      <w:r w:rsidR="000F0269" w:rsidRPr="0012409A">
        <w:rPr>
          <w:b/>
          <w:sz w:val="24"/>
          <w:szCs w:val="24"/>
        </w:rPr>
        <w:t xml:space="preserve"> session ordinaire)</w:t>
      </w:r>
    </w:p>
    <w:p w:rsidR="00C444B7" w:rsidRPr="0012409A" w:rsidRDefault="0012409A" w:rsidP="00C444B7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Union internationale pour la protection de la propriété industrielle (Union de Paris)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Comité exécutif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soixante et unième session (57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</w:t>
      </w:r>
      <w:r w:rsidR="00C444B7" w:rsidRPr="0012409A">
        <w:rPr>
          <w:b/>
          <w:sz w:val="24"/>
          <w:szCs w:val="24"/>
        </w:rPr>
        <w:t>)</w:t>
      </w:r>
    </w:p>
    <w:p w:rsidR="00C444B7" w:rsidRPr="0012409A" w:rsidRDefault="0012409A" w:rsidP="00C444B7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Union Internationale pour la protection des œuvres littéraires et artistiques (Union de Berne)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cinquante et unième session (25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</w:t>
      </w:r>
      <w:r w:rsidR="00C444B7" w:rsidRPr="0012409A">
        <w:rPr>
          <w:b/>
          <w:sz w:val="24"/>
          <w:szCs w:val="24"/>
        </w:rPr>
        <w:t>)</w:t>
      </w:r>
    </w:p>
    <w:p w:rsidR="00C444B7" w:rsidRDefault="0012409A" w:rsidP="00C444B7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 xml:space="preserve">Union Internationale pour la protection </w:t>
      </w:r>
      <w:r w:rsidR="00516336">
        <w:rPr>
          <w:b/>
          <w:sz w:val="24"/>
          <w:szCs w:val="24"/>
        </w:rPr>
        <w:t>d</w:t>
      </w:r>
      <w:r w:rsidRPr="0012409A">
        <w:rPr>
          <w:b/>
          <w:sz w:val="24"/>
          <w:szCs w:val="24"/>
        </w:rPr>
        <w:t xml:space="preserve">es </w:t>
      </w:r>
      <w:r w:rsidR="00516336">
        <w:rPr>
          <w:b/>
          <w:sz w:val="24"/>
          <w:szCs w:val="24"/>
        </w:rPr>
        <w:t>œu</w:t>
      </w:r>
      <w:r w:rsidR="00516336" w:rsidRPr="0012409A">
        <w:rPr>
          <w:b/>
          <w:sz w:val="24"/>
          <w:szCs w:val="24"/>
        </w:rPr>
        <w:t>vres</w:t>
      </w:r>
      <w:r w:rsidR="00516336">
        <w:rPr>
          <w:b/>
          <w:sz w:val="24"/>
          <w:szCs w:val="24"/>
        </w:rPr>
        <w:t xml:space="preserve"> littéraires e</w:t>
      </w:r>
      <w:r w:rsidRPr="0012409A">
        <w:rPr>
          <w:b/>
          <w:sz w:val="24"/>
          <w:szCs w:val="24"/>
        </w:rPr>
        <w:t xml:space="preserve">t </w:t>
      </w:r>
      <w:r w:rsidR="00516336">
        <w:rPr>
          <w:b/>
          <w:sz w:val="24"/>
          <w:szCs w:val="24"/>
        </w:rPr>
        <w:t>a</w:t>
      </w:r>
      <w:r w:rsidRPr="0012409A">
        <w:rPr>
          <w:b/>
          <w:sz w:val="24"/>
          <w:szCs w:val="24"/>
        </w:rPr>
        <w:t>rtistiques (Union de Berne)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Comité exécutif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soixante</w:t>
      </w:r>
      <w:r w:rsidR="00E66A27">
        <w:rPr>
          <w:b/>
          <w:sz w:val="24"/>
          <w:szCs w:val="24"/>
        </w:rPr>
        <w:noBreakHyphen/>
      </w:r>
      <w:r w:rsidRPr="0012409A">
        <w:rPr>
          <w:b/>
          <w:sz w:val="24"/>
          <w:szCs w:val="24"/>
        </w:rPr>
        <w:t>septième session (52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</w:t>
      </w:r>
      <w:r>
        <w:rPr>
          <w:b/>
          <w:sz w:val="24"/>
          <w:szCs w:val="24"/>
        </w:rPr>
        <w:t>)</w:t>
      </w:r>
    </w:p>
    <w:p w:rsidR="0012409A" w:rsidRPr="0012409A" w:rsidRDefault="0012409A" w:rsidP="0012409A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Union particulière pour la classification internationale des produits et des services aux fins de l</w:t>
      </w:r>
      <w:r w:rsidR="006C5B3F">
        <w:rPr>
          <w:b/>
          <w:sz w:val="24"/>
          <w:szCs w:val="24"/>
        </w:rPr>
        <w:t>’</w:t>
      </w:r>
      <w:r w:rsidRPr="0012409A">
        <w:rPr>
          <w:b/>
          <w:sz w:val="24"/>
          <w:szCs w:val="24"/>
        </w:rPr>
        <w:t>enregistrement des marques (Union de Nice)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quarante et unième session (25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ordinaire)</w:t>
      </w:r>
    </w:p>
    <w:p w:rsidR="0012409A" w:rsidRPr="0012409A" w:rsidRDefault="0012409A" w:rsidP="0012409A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Union particulière pour la classification internationale pour les dessins et modèles industriels (Union de Locarno)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quarante et unième session (24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ordinaire)</w:t>
      </w:r>
    </w:p>
    <w:p w:rsidR="0012409A" w:rsidRPr="0012409A" w:rsidRDefault="0012409A" w:rsidP="0012409A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Union particulière pour la classification internationale des brevets (Union de l</w:t>
      </w:r>
      <w:r w:rsidR="006C5B3F">
        <w:rPr>
          <w:b/>
          <w:sz w:val="24"/>
          <w:szCs w:val="24"/>
        </w:rPr>
        <w:t>’</w:t>
      </w:r>
      <w:r w:rsidRPr="0012409A">
        <w:rPr>
          <w:b/>
          <w:sz w:val="24"/>
          <w:szCs w:val="24"/>
        </w:rPr>
        <w:t>IPC)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quarante</w:t>
      </w:r>
      <w:r w:rsidR="00E66A27">
        <w:rPr>
          <w:b/>
          <w:sz w:val="24"/>
          <w:szCs w:val="24"/>
        </w:rPr>
        <w:noBreakHyphen/>
      </w:r>
      <w:r w:rsidRPr="0012409A">
        <w:rPr>
          <w:b/>
          <w:sz w:val="24"/>
          <w:szCs w:val="24"/>
        </w:rPr>
        <w:t>deuxième session (23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ordinaire)</w:t>
      </w:r>
    </w:p>
    <w:p w:rsidR="0012409A" w:rsidRPr="0012409A" w:rsidRDefault="0012409A" w:rsidP="0012409A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Union pour la reconnaissance internationale du dépôt des micro</w:t>
      </w:r>
      <w:r w:rsidR="00E66A27">
        <w:rPr>
          <w:b/>
          <w:sz w:val="24"/>
          <w:szCs w:val="24"/>
        </w:rPr>
        <w:t>-</w:t>
      </w:r>
      <w:r w:rsidRPr="0012409A">
        <w:rPr>
          <w:b/>
          <w:sz w:val="24"/>
          <w:szCs w:val="24"/>
        </w:rPr>
        <w:t>organismes aux fins de la procédure en matière de brevets (Union de Budapest)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trente</w:t>
      </w:r>
      <w:r w:rsidR="00E66A27">
        <w:rPr>
          <w:b/>
          <w:sz w:val="24"/>
          <w:szCs w:val="24"/>
        </w:rPr>
        <w:noBreakHyphen/>
      </w:r>
      <w:r w:rsidRPr="0012409A">
        <w:rPr>
          <w:b/>
          <w:sz w:val="24"/>
          <w:szCs w:val="24"/>
        </w:rPr>
        <w:t>huitième session (21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ordinaire)</w:t>
      </w:r>
    </w:p>
    <w:p w:rsidR="0012409A" w:rsidRPr="0012409A" w:rsidRDefault="0012409A" w:rsidP="0012409A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Union particulière pour la classification internationale des éléments figuratifs des marques (Union de Vienne)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trente</w:t>
      </w:r>
      <w:r w:rsidR="00E66A27">
        <w:rPr>
          <w:b/>
          <w:sz w:val="24"/>
          <w:szCs w:val="24"/>
        </w:rPr>
        <w:noBreakHyphen/>
      </w:r>
      <w:r w:rsidRPr="0012409A">
        <w:rPr>
          <w:b/>
          <w:sz w:val="24"/>
          <w:szCs w:val="24"/>
        </w:rPr>
        <w:t>quatrième session (21</w:t>
      </w:r>
      <w:r w:rsidRPr="00516336">
        <w:rPr>
          <w:b/>
          <w:sz w:val="24"/>
          <w:szCs w:val="24"/>
          <w:vertAlign w:val="superscript"/>
        </w:rPr>
        <w:t>e</w:t>
      </w:r>
      <w:r w:rsidR="00516336">
        <w:rPr>
          <w:b/>
          <w:sz w:val="24"/>
          <w:szCs w:val="24"/>
        </w:rPr>
        <w:t xml:space="preserve"> session ordinaire)</w:t>
      </w:r>
    </w:p>
    <w:p w:rsidR="0012409A" w:rsidRPr="0012409A" w:rsidRDefault="0012409A" w:rsidP="0012409A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Traité de l</w:t>
      </w:r>
      <w:r w:rsidR="006C5B3F">
        <w:rPr>
          <w:b/>
          <w:sz w:val="24"/>
          <w:szCs w:val="24"/>
        </w:rPr>
        <w:t>’</w:t>
      </w:r>
      <w:r w:rsidRPr="0012409A">
        <w:rPr>
          <w:b/>
          <w:sz w:val="24"/>
          <w:szCs w:val="24"/>
        </w:rPr>
        <w:t>OMPI sur le droit d</w:t>
      </w:r>
      <w:r w:rsidR="006C5B3F">
        <w:rPr>
          <w:b/>
          <w:sz w:val="24"/>
          <w:szCs w:val="24"/>
        </w:rPr>
        <w:t>’</w:t>
      </w:r>
      <w:r w:rsidRPr="0012409A">
        <w:rPr>
          <w:b/>
          <w:sz w:val="24"/>
          <w:szCs w:val="24"/>
        </w:rPr>
        <w:t>auteur (WCT)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vingt et unième session (10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ordinaire)</w:t>
      </w:r>
    </w:p>
    <w:p w:rsidR="0012409A" w:rsidRPr="0012409A" w:rsidRDefault="0012409A" w:rsidP="00E66A27">
      <w:pPr>
        <w:keepNext/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lastRenderedPageBreak/>
        <w:t>Traité de l</w:t>
      </w:r>
      <w:r w:rsidR="006C5B3F">
        <w:rPr>
          <w:b/>
          <w:sz w:val="24"/>
          <w:szCs w:val="24"/>
        </w:rPr>
        <w:t>’</w:t>
      </w:r>
      <w:r w:rsidRPr="0012409A">
        <w:rPr>
          <w:b/>
          <w:sz w:val="24"/>
          <w:szCs w:val="24"/>
        </w:rPr>
        <w:t>OMPI sur les interprétations et exécutions et les phonogrammes (WPPT)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vingt et unième session (10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ordinaire)</w:t>
      </w:r>
    </w:p>
    <w:p w:rsidR="00C444B7" w:rsidRDefault="0012409A" w:rsidP="0012409A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Traité sur le droit des brevets (PLT)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vingtième session (9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</w:t>
      </w:r>
      <w:r w:rsidR="00C444B7" w:rsidRPr="00C444B7">
        <w:rPr>
          <w:b/>
          <w:sz w:val="24"/>
          <w:szCs w:val="24"/>
        </w:rPr>
        <w:t>)</w:t>
      </w:r>
    </w:p>
    <w:p w:rsidR="008B2CC1" w:rsidRPr="003845C1" w:rsidRDefault="0012409A" w:rsidP="00BB5DE5">
      <w:pPr>
        <w:spacing w:after="72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Genève, 4 – 8 octobre 2021</w:t>
      </w:r>
    </w:p>
    <w:p w:rsidR="008B2CC1" w:rsidRPr="003845C1" w:rsidRDefault="00EE3921" w:rsidP="00B1090C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R</w:t>
      </w:r>
      <w:r w:rsidR="006C5B3F">
        <w:rPr>
          <w:caps/>
          <w:sz w:val="24"/>
        </w:rPr>
        <w:t>apports</w:t>
      </w:r>
    </w:p>
    <w:p w:rsidR="008B2CC1" w:rsidRPr="008B2CC1" w:rsidRDefault="00EE3921" w:rsidP="00B1090C">
      <w:pPr>
        <w:spacing w:after="1040"/>
        <w:rPr>
          <w:i/>
        </w:rPr>
      </w:pPr>
      <w:bookmarkStart w:id="5" w:name="Prepared"/>
      <w:bookmarkEnd w:id="4"/>
      <w:bookmarkEnd w:id="5"/>
      <w:r>
        <w:rPr>
          <w:i/>
        </w:rPr>
        <w:t>adopt</w:t>
      </w:r>
      <w:r w:rsidR="006C5B3F">
        <w:rPr>
          <w:i/>
        </w:rPr>
        <w:t>é</w:t>
      </w:r>
      <w:r>
        <w:rPr>
          <w:i/>
        </w:rPr>
        <w:t>s par les organes concernés</w:t>
      </w:r>
    </w:p>
    <w:p w:rsidR="003A01D8" w:rsidRPr="001613FD" w:rsidRDefault="003A01D8" w:rsidP="003A01D8">
      <w:pPr>
        <w:pStyle w:val="ONUMFS"/>
      </w:pPr>
      <w:r w:rsidRPr="001613FD">
        <w:t xml:space="preserve">Chacun des organes susmentionnés s’est réuni à sa session respective aux fins d’examiner les points suivants de l’ordre du jour unifié de la </w:t>
      </w:r>
      <w:r>
        <w:t>soixante</w:t>
      </w:r>
      <w:r w:rsidR="00E66A27">
        <w:noBreakHyphen/>
      </w:r>
      <w:r>
        <w:t>deux</w:t>
      </w:r>
      <w:r w:rsidRPr="001613FD">
        <w:t>ième série de réunions des assemblées de l’OMPI (document A/</w:t>
      </w:r>
      <w:r>
        <w:t>62</w:t>
      </w:r>
      <w:r w:rsidRPr="001613FD">
        <w:t xml:space="preserve">/1) : 1, 2, </w:t>
      </w:r>
      <w:r>
        <w:t xml:space="preserve">3, </w:t>
      </w:r>
      <w:r w:rsidRPr="001613FD">
        <w:t>4, 5, 6, 1</w:t>
      </w:r>
      <w:r>
        <w:t>0</w:t>
      </w:r>
      <w:r w:rsidRPr="001613FD">
        <w:t>.ii), 1</w:t>
      </w:r>
      <w:r>
        <w:t>1</w:t>
      </w:r>
      <w:r w:rsidRPr="001613FD">
        <w:t xml:space="preserve">, </w:t>
      </w:r>
      <w:r>
        <w:t>12, 32 et 33</w:t>
      </w:r>
      <w:r w:rsidRPr="001613FD">
        <w:t xml:space="preserve">.  Par ailleurs, </w:t>
      </w:r>
      <w:r>
        <w:t xml:space="preserve">la Conférence de l’OMPI et </w:t>
      </w:r>
      <w:r w:rsidRPr="001613FD">
        <w:t>les comités exécutifs des unions de Paris et de Berne ont également examiné le point </w:t>
      </w:r>
      <w:r>
        <w:t>8</w:t>
      </w:r>
      <w:r w:rsidRPr="001613FD">
        <w:t>.</w:t>
      </w:r>
    </w:p>
    <w:p w:rsidR="003A01D8" w:rsidRPr="008B305D" w:rsidRDefault="003A01D8" w:rsidP="003A01D8">
      <w:pPr>
        <w:pStyle w:val="ONUMFS"/>
      </w:pPr>
      <w:r w:rsidRPr="001613FD">
        <w:t>Le</w:t>
      </w:r>
      <w:r>
        <w:t>s</w:t>
      </w:r>
      <w:r w:rsidRPr="001613FD">
        <w:t xml:space="preserve"> rapport</w:t>
      </w:r>
      <w:r>
        <w:t>s</w:t>
      </w:r>
      <w:r w:rsidRPr="001613FD">
        <w:t xml:space="preserve"> sur ces points de l’ordre du jour sont regroupés dans le rapport </w:t>
      </w:r>
      <w:r w:rsidRPr="008B305D">
        <w:t>général des assemblées (document A/6</w:t>
      </w:r>
      <w:r>
        <w:t>2</w:t>
      </w:r>
      <w:r w:rsidRPr="008B305D">
        <w:t>/1</w:t>
      </w:r>
      <w:r>
        <w:t>3</w:t>
      </w:r>
      <w:r w:rsidRPr="008B305D">
        <w:t>).</w:t>
      </w:r>
    </w:p>
    <w:p w:rsidR="000F5E56" w:rsidRDefault="003A01D8" w:rsidP="003A01D8">
      <w:pPr>
        <w:pStyle w:val="Endofdocument-Annex"/>
        <w:spacing w:before="720" w:after="220"/>
      </w:pPr>
      <w:r>
        <w:t>[Fin du document]</w:t>
      </w:r>
    </w:p>
    <w:sectPr w:rsidR="000F5E56" w:rsidSect="006C5B3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B3F" w:rsidRDefault="006C5B3F">
      <w:r>
        <w:separator/>
      </w:r>
    </w:p>
  </w:endnote>
  <w:endnote w:type="continuationSeparator" w:id="0">
    <w:p w:rsidR="006C5B3F" w:rsidRPr="009D30E6" w:rsidRDefault="006C5B3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C5B3F" w:rsidRPr="009D30E6" w:rsidRDefault="006C5B3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6C5B3F" w:rsidRPr="009D30E6" w:rsidRDefault="006C5B3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B3F" w:rsidRDefault="006C5B3F">
      <w:r>
        <w:separator/>
      </w:r>
    </w:p>
  </w:footnote>
  <w:footnote w:type="continuationSeparator" w:id="0">
    <w:p w:rsidR="006C5B3F" w:rsidRDefault="006C5B3F" w:rsidP="007461F1">
      <w:r>
        <w:separator/>
      </w:r>
    </w:p>
    <w:p w:rsidR="006C5B3F" w:rsidRPr="009D30E6" w:rsidRDefault="006C5B3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6C5B3F" w:rsidRPr="009D30E6" w:rsidRDefault="006C5B3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E66A27" w:rsidRDefault="006C5B3F" w:rsidP="00705879">
    <w:pPr>
      <w:ind w:right="-1"/>
      <w:jc w:val="right"/>
      <w:rPr>
        <w:lang w:val="en-US"/>
      </w:rPr>
    </w:pPr>
    <w:bookmarkStart w:id="6" w:name="Code2"/>
    <w:bookmarkEnd w:id="6"/>
    <w:r w:rsidRPr="00E66A27">
      <w:rPr>
        <w:lang w:val="en-US"/>
      </w:rPr>
      <w:t>WO/CF/42/1  P/A/57/1  P/EC/61/1  B/A/51/1  B/EC/67/1  N/A/41/1  LO/A/41/1  IPC/A/42/1  BP/A/38/1  VA/A/34/1  WCT/A/21/1  WPPT/A/21/1  PLT/A/20/1</w:t>
    </w:r>
  </w:p>
  <w:p w:rsidR="00574036" w:rsidRPr="00E66A27" w:rsidRDefault="006C5B3F" w:rsidP="006C5B3F">
    <w:pPr>
      <w:spacing w:after="480"/>
      <w:jc w:val="right"/>
      <w:rPr>
        <w:lang w:val="en-US"/>
      </w:rPr>
    </w:pPr>
    <w:r w:rsidRPr="00E66A27">
      <w:rPr>
        <w:lang w:val="en-US"/>
      </w:rPr>
      <w:t>p</w:t>
    </w:r>
    <w:r w:rsidR="00F16975" w:rsidRPr="00E66A27">
      <w:rPr>
        <w:lang w:val="en-US"/>
      </w:rPr>
      <w:t>age</w:t>
    </w:r>
    <w:r w:rsidRPr="00E66A27">
      <w:rPr>
        <w:lang w:val="en-US"/>
      </w:rPr>
      <w:t> </w:t>
    </w:r>
    <w:r w:rsidR="00F16975" w:rsidRPr="00E66A27">
      <w:fldChar w:fldCharType="begin"/>
    </w:r>
    <w:r w:rsidR="00F16975" w:rsidRPr="00E66A27">
      <w:rPr>
        <w:lang w:val="en-US"/>
      </w:rPr>
      <w:instrText xml:space="preserve"> PAGE  \* MERGEFORMAT </w:instrText>
    </w:r>
    <w:r w:rsidR="00F16975" w:rsidRPr="00E66A27">
      <w:fldChar w:fldCharType="separate"/>
    </w:r>
    <w:r w:rsidR="0046065B">
      <w:rPr>
        <w:noProof/>
        <w:lang w:val="en-US"/>
      </w:rPr>
      <w:t>2</w:t>
    </w:r>
    <w:r w:rsidR="00F16975" w:rsidRPr="00E66A27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3F"/>
    <w:rsid w:val="00011B7D"/>
    <w:rsid w:val="0001386E"/>
    <w:rsid w:val="00075432"/>
    <w:rsid w:val="0009458A"/>
    <w:rsid w:val="000F0269"/>
    <w:rsid w:val="000F5E56"/>
    <w:rsid w:val="0012409A"/>
    <w:rsid w:val="001362EE"/>
    <w:rsid w:val="0014354A"/>
    <w:rsid w:val="00156A4C"/>
    <w:rsid w:val="001832A6"/>
    <w:rsid w:val="00195C6E"/>
    <w:rsid w:val="001B266A"/>
    <w:rsid w:val="001B488E"/>
    <w:rsid w:val="001C6508"/>
    <w:rsid w:val="001D3D56"/>
    <w:rsid w:val="0022504F"/>
    <w:rsid w:val="002310FD"/>
    <w:rsid w:val="00240654"/>
    <w:rsid w:val="002634C4"/>
    <w:rsid w:val="002956DE"/>
    <w:rsid w:val="002E4D1A"/>
    <w:rsid w:val="002F16BC"/>
    <w:rsid w:val="002F4E68"/>
    <w:rsid w:val="00322C0B"/>
    <w:rsid w:val="00381798"/>
    <w:rsid w:val="003845C1"/>
    <w:rsid w:val="003A01D8"/>
    <w:rsid w:val="003A67A3"/>
    <w:rsid w:val="004008A2"/>
    <w:rsid w:val="004025DF"/>
    <w:rsid w:val="0040540C"/>
    <w:rsid w:val="00423E3E"/>
    <w:rsid w:val="00427AF4"/>
    <w:rsid w:val="0046065B"/>
    <w:rsid w:val="004647DA"/>
    <w:rsid w:val="00477D6B"/>
    <w:rsid w:val="00485CFF"/>
    <w:rsid w:val="004A5A15"/>
    <w:rsid w:val="004A7A96"/>
    <w:rsid w:val="004D6471"/>
    <w:rsid w:val="004E69F3"/>
    <w:rsid w:val="0050479D"/>
    <w:rsid w:val="0051455D"/>
    <w:rsid w:val="00516336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63253"/>
    <w:rsid w:val="006B0DB5"/>
    <w:rsid w:val="006C5B3F"/>
    <w:rsid w:val="00705879"/>
    <w:rsid w:val="007461F1"/>
    <w:rsid w:val="007D28B8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76438"/>
    <w:rsid w:val="009D30E6"/>
    <w:rsid w:val="009E3F6F"/>
    <w:rsid w:val="009F499F"/>
    <w:rsid w:val="00A10408"/>
    <w:rsid w:val="00A11D74"/>
    <w:rsid w:val="00AC0AE4"/>
    <w:rsid w:val="00AD61DB"/>
    <w:rsid w:val="00B1090C"/>
    <w:rsid w:val="00B35AF5"/>
    <w:rsid w:val="00B45C15"/>
    <w:rsid w:val="00BB5DE5"/>
    <w:rsid w:val="00BE0BE0"/>
    <w:rsid w:val="00C444B7"/>
    <w:rsid w:val="00C664C8"/>
    <w:rsid w:val="00C76616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DF4D9B"/>
    <w:rsid w:val="00E0091A"/>
    <w:rsid w:val="00E203AA"/>
    <w:rsid w:val="00E5217A"/>
    <w:rsid w:val="00E527A5"/>
    <w:rsid w:val="00E66A27"/>
    <w:rsid w:val="00E76456"/>
    <w:rsid w:val="00EE24BE"/>
    <w:rsid w:val="00EE3921"/>
    <w:rsid w:val="00EE71CB"/>
    <w:rsid w:val="00F16975"/>
    <w:rsid w:val="00F450F7"/>
    <w:rsid w:val="00F66152"/>
    <w:rsid w:val="00F72D1F"/>
    <w:rsid w:val="00FF4371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46BA0E17-CFF8-4707-8228-6D5C8161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mall%20reports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7EF57-7CA5-46F7-81AD-8C8AF4C7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reports (F)</Template>
  <TotalTime>31</TotalTime>
  <Pages>2</Pages>
  <Words>376</Words>
  <Characters>2341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WO/CF/42/1   P/A/57/1   P/EC/61/1   B/A/51/1   B/EC/67/1   N/A/41/1   LO/A/41/1   IPC/A/42/1   BP/A/38/1   VA/A/34/1   WCT/A/21/1   WPPT/A/21/1   PLT/A/20/1</vt:lpstr>
    </vt:vector>
  </TitlesOfParts>
  <Company>WIPO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WO/CF/42/1   P/A/57/1   P/EC/61/1   B/A/51/1   B/EC/67/1   N/A/41/1   LO/A/41/1   IPC/A/42/1   BP/A/38/1   VA/A/34/1   WCT/A/21/1   WPPT/A/21/1   PLT/A/20/1</dc:title>
  <dc:creator>OLIVIÉ Karen</dc:creator>
  <cp:keywords>PUBLIC</cp:keywords>
  <cp:lastModifiedBy>HÄFLIGER Patience</cp:lastModifiedBy>
  <cp:revision>8</cp:revision>
  <cp:lastPrinted>2011-05-19T12:37:00Z</cp:lastPrinted>
  <dcterms:created xsi:type="dcterms:W3CDTF">2021-10-05T12:08:00Z</dcterms:created>
  <dcterms:modified xsi:type="dcterms:W3CDTF">2021-12-13T16:15:00Z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3342e122-0444-47a1-96e5-6f0fe6274e24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