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87717" w:rsidRPr="00A8791E" w:rsidTr="00496F77">
        <w:tc>
          <w:tcPr>
            <w:tcW w:w="4513" w:type="dxa"/>
            <w:tcBorders>
              <w:bottom w:val="single" w:sz="4" w:space="0" w:color="auto"/>
            </w:tcBorders>
            <w:tcMar>
              <w:bottom w:w="170" w:type="dxa"/>
            </w:tcMar>
          </w:tcPr>
          <w:p w:rsidR="00887717" w:rsidRPr="00A8791E" w:rsidRDefault="00887717" w:rsidP="00D6665E">
            <w:pPr>
              <w:rPr>
                <w:lang w:val="fr-FR"/>
              </w:rPr>
            </w:pPr>
            <w:bookmarkStart w:id="0" w:name="TitleOfDoc"/>
            <w:bookmarkEnd w:id="0"/>
          </w:p>
        </w:tc>
        <w:tc>
          <w:tcPr>
            <w:tcW w:w="4337" w:type="dxa"/>
            <w:tcBorders>
              <w:bottom w:val="single" w:sz="4" w:space="0" w:color="auto"/>
            </w:tcBorders>
            <w:tcMar>
              <w:left w:w="0" w:type="dxa"/>
              <w:right w:w="0" w:type="dxa"/>
            </w:tcMar>
          </w:tcPr>
          <w:p w:rsidR="00887717" w:rsidRPr="00A8791E" w:rsidRDefault="00887717" w:rsidP="00D6665E">
            <w:pPr>
              <w:rPr>
                <w:lang w:val="fr-FR"/>
              </w:rPr>
            </w:pPr>
            <w:r w:rsidRPr="00A8791E">
              <w:rPr>
                <w:noProof/>
                <w:lang w:val="en-US" w:eastAsia="en-US"/>
              </w:rPr>
              <w:drawing>
                <wp:inline distT="0" distB="0" distL="0" distR="0" wp14:anchorId="300FDBE9" wp14:editId="6B743E9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87717" w:rsidRPr="00A8791E" w:rsidRDefault="00887717" w:rsidP="00D6665E">
            <w:pPr>
              <w:jc w:val="right"/>
              <w:rPr>
                <w:lang w:val="fr-FR"/>
              </w:rPr>
            </w:pPr>
            <w:r w:rsidRPr="00A8791E">
              <w:rPr>
                <w:b/>
                <w:sz w:val="40"/>
                <w:szCs w:val="40"/>
                <w:lang w:val="fr-FR"/>
              </w:rPr>
              <w:t>F</w:t>
            </w:r>
          </w:p>
        </w:tc>
      </w:tr>
      <w:tr w:rsidR="00887717" w:rsidRPr="00A8791E" w:rsidTr="00496F77">
        <w:trPr>
          <w:trHeight w:hRule="exact" w:val="340"/>
        </w:trPr>
        <w:tc>
          <w:tcPr>
            <w:tcW w:w="9356" w:type="dxa"/>
            <w:gridSpan w:val="3"/>
            <w:tcBorders>
              <w:top w:val="single" w:sz="4" w:space="0" w:color="auto"/>
            </w:tcBorders>
            <w:tcMar>
              <w:top w:w="170" w:type="dxa"/>
              <w:left w:w="0" w:type="dxa"/>
              <w:right w:w="0" w:type="dxa"/>
            </w:tcMar>
            <w:vAlign w:val="bottom"/>
          </w:tcPr>
          <w:p w:rsidR="00887717" w:rsidRPr="00A8791E" w:rsidRDefault="00887717" w:rsidP="00D6665E">
            <w:pPr>
              <w:jc w:val="right"/>
              <w:rPr>
                <w:rFonts w:ascii="Arial Black" w:hAnsi="Arial Black"/>
                <w:caps/>
                <w:sz w:val="15"/>
                <w:lang w:val="fr-FR"/>
              </w:rPr>
            </w:pPr>
            <w:r w:rsidRPr="00A8791E">
              <w:rPr>
                <w:rFonts w:ascii="Arial Black" w:hAnsi="Arial Black"/>
                <w:caps/>
                <w:sz w:val="15"/>
                <w:lang w:val="fr-FR"/>
              </w:rPr>
              <w:t>STLT/A/10/</w:t>
            </w:r>
            <w:bookmarkStart w:id="1" w:name="Code"/>
            <w:bookmarkEnd w:id="1"/>
            <w:r w:rsidRPr="00A8791E">
              <w:rPr>
                <w:rFonts w:ascii="Arial Black" w:hAnsi="Arial Black"/>
                <w:caps/>
                <w:sz w:val="15"/>
                <w:lang w:val="fr-FR"/>
              </w:rPr>
              <w:t>1</w:t>
            </w:r>
          </w:p>
        </w:tc>
      </w:tr>
      <w:tr w:rsidR="00887717" w:rsidRPr="00A8791E" w:rsidTr="00496F77">
        <w:trPr>
          <w:trHeight w:hRule="exact" w:val="170"/>
        </w:trPr>
        <w:tc>
          <w:tcPr>
            <w:tcW w:w="9356" w:type="dxa"/>
            <w:gridSpan w:val="3"/>
            <w:noWrap/>
            <w:tcMar>
              <w:left w:w="0" w:type="dxa"/>
              <w:right w:w="0" w:type="dxa"/>
            </w:tcMar>
            <w:vAlign w:val="bottom"/>
          </w:tcPr>
          <w:p w:rsidR="00887717" w:rsidRPr="00A8791E" w:rsidRDefault="00887717" w:rsidP="00D6665E">
            <w:pPr>
              <w:jc w:val="right"/>
              <w:rPr>
                <w:rFonts w:ascii="Arial Black" w:hAnsi="Arial Black"/>
                <w:caps/>
                <w:sz w:val="15"/>
                <w:lang w:val="fr-FR"/>
              </w:rPr>
            </w:pPr>
            <w:r w:rsidRPr="00A8791E">
              <w:rPr>
                <w:rFonts w:ascii="Arial Black" w:hAnsi="Arial Black"/>
                <w:caps/>
                <w:sz w:val="15"/>
                <w:lang w:val="fr-FR"/>
              </w:rPr>
              <w:t>ORIGINAL</w:t>
            </w:r>
            <w:r w:rsidR="007C5516" w:rsidRPr="00A8791E">
              <w:rPr>
                <w:rFonts w:ascii="Arial Black" w:hAnsi="Arial Black"/>
                <w:caps/>
                <w:sz w:val="15"/>
                <w:lang w:val="fr-FR"/>
              </w:rPr>
              <w:t> :</w:t>
            </w:r>
            <w:r w:rsidRPr="00A8791E">
              <w:rPr>
                <w:rFonts w:ascii="Arial Black" w:hAnsi="Arial Black"/>
                <w:caps/>
                <w:sz w:val="15"/>
                <w:lang w:val="fr-FR"/>
              </w:rPr>
              <w:t xml:space="preserve"> </w:t>
            </w:r>
            <w:bookmarkStart w:id="2" w:name="Original"/>
            <w:bookmarkEnd w:id="2"/>
            <w:r w:rsidRPr="00A8791E">
              <w:rPr>
                <w:rFonts w:ascii="Arial Black" w:hAnsi="Arial Black"/>
                <w:caps/>
                <w:sz w:val="15"/>
                <w:lang w:val="fr-FR"/>
              </w:rPr>
              <w:t>anglais</w:t>
            </w:r>
          </w:p>
        </w:tc>
      </w:tr>
      <w:tr w:rsidR="00887717" w:rsidRPr="00A8791E" w:rsidTr="00496F77">
        <w:trPr>
          <w:trHeight w:hRule="exact" w:val="198"/>
        </w:trPr>
        <w:tc>
          <w:tcPr>
            <w:tcW w:w="9356" w:type="dxa"/>
            <w:gridSpan w:val="3"/>
            <w:tcMar>
              <w:left w:w="0" w:type="dxa"/>
              <w:right w:w="0" w:type="dxa"/>
            </w:tcMar>
            <w:vAlign w:val="bottom"/>
          </w:tcPr>
          <w:p w:rsidR="00887717" w:rsidRPr="00A8791E" w:rsidRDefault="00887717" w:rsidP="00D6665E">
            <w:pPr>
              <w:jc w:val="right"/>
              <w:rPr>
                <w:rFonts w:ascii="Arial Black" w:hAnsi="Arial Black"/>
                <w:caps/>
                <w:sz w:val="15"/>
                <w:lang w:val="fr-FR"/>
              </w:rPr>
            </w:pPr>
            <w:r w:rsidRPr="00A8791E">
              <w:rPr>
                <w:rFonts w:ascii="Arial Black" w:hAnsi="Arial Black"/>
                <w:caps/>
                <w:sz w:val="15"/>
                <w:lang w:val="fr-FR"/>
              </w:rPr>
              <w:t>DATE</w:t>
            </w:r>
            <w:r w:rsidR="007C5516" w:rsidRPr="00A8791E">
              <w:rPr>
                <w:rFonts w:ascii="Arial Black" w:hAnsi="Arial Black"/>
                <w:caps/>
                <w:sz w:val="15"/>
                <w:lang w:val="fr-FR"/>
              </w:rPr>
              <w:t> :</w:t>
            </w:r>
            <w:r w:rsidRPr="00A8791E">
              <w:rPr>
                <w:rFonts w:ascii="Arial Black" w:hAnsi="Arial Black"/>
                <w:caps/>
                <w:sz w:val="15"/>
                <w:lang w:val="fr-FR"/>
              </w:rPr>
              <w:t xml:space="preserve"> </w:t>
            </w:r>
            <w:bookmarkStart w:id="3" w:name="Date"/>
            <w:bookmarkEnd w:id="3"/>
            <w:r w:rsidR="007C5516" w:rsidRPr="00A8791E">
              <w:rPr>
                <w:rFonts w:ascii="Arial Black" w:hAnsi="Arial Black"/>
                <w:caps/>
                <w:sz w:val="15"/>
                <w:lang w:val="fr-FR"/>
              </w:rPr>
              <w:t>3 juillet 20</w:t>
            </w:r>
            <w:r w:rsidRPr="00A8791E">
              <w:rPr>
                <w:rFonts w:ascii="Arial Black" w:hAnsi="Arial Black"/>
                <w:caps/>
                <w:sz w:val="15"/>
                <w:lang w:val="fr-FR"/>
              </w:rPr>
              <w:t>17</w:t>
            </w:r>
          </w:p>
        </w:tc>
      </w:tr>
    </w:tbl>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b/>
          <w:sz w:val="28"/>
          <w:szCs w:val="28"/>
          <w:lang w:val="fr-FR"/>
        </w:rPr>
      </w:pPr>
      <w:r w:rsidRPr="00A8791E">
        <w:rPr>
          <w:b/>
          <w:sz w:val="28"/>
          <w:szCs w:val="28"/>
          <w:lang w:val="fr-FR"/>
        </w:rPr>
        <w:t>Traité de Singapour sur le droit des marques (STLT)</w:t>
      </w: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b/>
          <w:sz w:val="28"/>
          <w:szCs w:val="28"/>
          <w:lang w:val="fr-FR"/>
        </w:rPr>
      </w:pPr>
      <w:r w:rsidRPr="00A8791E">
        <w:rPr>
          <w:b/>
          <w:sz w:val="28"/>
          <w:szCs w:val="28"/>
          <w:lang w:val="fr-FR"/>
        </w:rPr>
        <w:t>Assemblée</w:t>
      </w: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b/>
          <w:sz w:val="24"/>
          <w:szCs w:val="24"/>
          <w:lang w:val="fr-FR"/>
        </w:rPr>
      </w:pPr>
      <w:r w:rsidRPr="00A8791E">
        <w:rPr>
          <w:b/>
          <w:sz w:val="24"/>
          <w:szCs w:val="24"/>
          <w:lang w:val="fr-FR"/>
        </w:rPr>
        <w:t>Dix</w:t>
      </w:r>
      <w:r w:rsidR="007C5516" w:rsidRPr="00A8791E">
        <w:rPr>
          <w:b/>
          <w:sz w:val="24"/>
          <w:szCs w:val="24"/>
          <w:lang w:val="fr-FR"/>
        </w:rPr>
        <w:t>ième session</w:t>
      </w:r>
      <w:r w:rsidRPr="00A8791E">
        <w:rPr>
          <w:b/>
          <w:sz w:val="24"/>
          <w:szCs w:val="24"/>
          <w:lang w:val="fr-FR"/>
        </w:rPr>
        <w:t xml:space="preserve"> (5</w:t>
      </w:r>
      <w:r w:rsidRPr="00A8791E">
        <w:rPr>
          <w:b/>
          <w:sz w:val="24"/>
          <w:szCs w:val="24"/>
          <w:vertAlign w:val="superscript"/>
          <w:lang w:val="fr-FR"/>
        </w:rPr>
        <w:t>e</w:t>
      </w:r>
      <w:r w:rsidRPr="00A8791E">
        <w:rPr>
          <w:b/>
          <w:sz w:val="24"/>
          <w:szCs w:val="24"/>
          <w:lang w:val="fr-FR"/>
        </w:rPr>
        <w:t xml:space="preserve"> session ordinaire)</w:t>
      </w:r>
    </w:p>
    <w:p w:rsidR="00887717" w:rsidRPr="00A8791E" w:rsidRDefault="00887717" w:rsidP="00D6665E">
      <w:pPr>
        <w:rPr>
          <w:b/>
          <w:sz w:val="24"/>
          <w:szCs w:val="24"/>
          <w:lang w:val="fr-FR"/>
        </w:rPr>
      </w:pPr>
      <w:r w:rsidRPr="00A8791E">
        <w:rPr>
          <w:b/>
          <w:sz w:val="24"/>
          <w:szCs w:val="24"/>
          <w:lang w:val="fr-FR"/>
        </w:rPr>
        <w:t>Genève, 2 – 1</w:t>
      </w:r>
      <w:r w:rsidR="007C5516" w:rsidRPr="00A8791E">
        <w:rPr>
          <w:b/>
          <w:sz w:val="24"/>
          <w:szCs w:val="24"/>
          <w:lang w:val="fr-FR"/>
        </w:rPr>
        <w:t>1 octobre 20</w:t>
      </w:r>
      <w:r w:rsidRPr="00A8791E">
        <w:rPr>
          <w:b/>
          <w:sz w:val="24"/>
          <w:szCs w:val="24"/>
          <w:lang w:val="fr-FR"/>
        </w:rPr>
        <w:t>17</w:t>
      </w:r>
    </w:p>
    <w:p w:rsidR="00887717" w:rsidRPr="00A8791E" w:rsidRDefault="00887717" w:rsidP="00D6665E">
      <w:pPr>
        <w:rPr>
          <w:lang w:val="fr-FR"/>
        </w:rPr>
      </w:pPr>
    </w:p>
    <w:p w:rsidR="00887717" w:rsidRPr="00A8791E" w:rsidRDefault="00887717" w:rsidP="00D6665E">
      <w:pPr>
        <w:rPr>
          <w:lang w:val="fr-FR"/>
        </w:rPr>
      </w:pPr>
    </w:p>
    <w:p w:rsidR="00887717" w:rsidRPr="00A8791E" w:rsidRDefault="00887717" w:rsidP="00D6665E">
      <w:pPr>
        <w:rPr>
          <w:lang w:val="fr-FR"/>
        </w:rPr>
      </w:pPr>
    </w:p>
    <w:p w:rsidR="003F27FC" w:rsidRPr="00A8791E" w:rsidRDefault="003F27FC" w:rsidP="00D6665E">
      <w:pPr>
        <w:rPr>
          <w:caps/>
          <w:sz w:val="24"/>
          <w:lang w:val="fr-FR"/>
        </w:rPr>
      </w:pPr>
      <w:r w:rsidRPr="00A8791E">
        <w:rPr>
          <w:caps/>
          <w:sz w:val="24"/>
          <w:lang w:val="fr-FR"/>
        </w:rPr>
        <w:t xml:space="preserve">Assistance </w:t>
      </w:r>
      <w:r w:rsidR="00DD753D" w:rsidRPr="00A8791E">
        <w:rPr>
          <w:caps/>
          <w:sz w:val="24"/>
          <w:lang w:val="fr-FR"/>
        </w:rPr>
        <w:t>pour la mise en œuvre du traité de singapour sur</w:t>
      </w:r>
      <w:r w:rsidRPr="00A8791E">
        <w:rPr>
          <w:caps/>
          <w:sz w:val="24"/>
          <w:lang w:val="fr-FR"/>
        </w:rPr>
        <w:t xml:space="preserve"> </w:t>
      </w:r>
      <w:r w:rsidR="00DD753D" w:rsidRPr="00A8791E">
        <w:rPr>
          <w:caps/>
          <w:sz w:val="24"/>
          <w:lang w:val="fr-FR"/>
        </w:rPr>
        <w:br/>
        <w:t>le droit des marques</w:t>
      </w:r>
      <w:r w:rsidR="002F099B" w:rsidRPr="00A8791E">
        <w:rPr>
          <w:caps/>
          <w:sz w:val="24"/>
          <w:lang w:val="fr-FR"/>
        </w:rPr>
        <w:t xml:space="preserve"> (stlt)</w:t>
      </w:r>
    </w:p>
    <w:p w:rsidR="008B2CC1" w:rsidRPr="00A8791E" w:rsidRDefault="008B2CC1" w:rsidP="00D6665E">
      <w:pPr>
        <w:rPr>
          <w:caps/>
          <w:sz w:val="24"/>
          <w:lang w:val="fr-FR"/>
        </w:rPr>
      </w:pPr>
    </w:p>
    <w:p w:rsidR="008B2CC1" w:rsidRPr="00A8791E" w:rsidRDefault="008B2CC1" w:rsidP="00D6665E">
      <w:pPr>
        <w:rPr>
          <w:lang w:val="fr-FR"/>
        </w:rPr>
      </w:pPr>
    </w:p>
    <w:p w:rsidR="008B2CC1" w:rsidRPr="00A8791E" w:rsidRDefault="003F27FC" w:rsidP="00D6665E">
      <w:pPr>
        <w:rPr>
          <w:i/>
          <w:lang w:val="fr-FR"/>
        </w:rPr>
      </w:pPr>
      <w:bookmarkStart w:id="4" w:name="Prepared"/>
      <w:bookmarkEnd w:id="4"/>
      <w:r w:rsidRPr="00A8791E">
        <w:rPr>
          <w:i/>
          <w:lang w:val="fr-FR"/>
        </w:rPr>
        <w:t xml:space="preserve">Document </w:t>
      </w:r>
      <w:r w:rsidR="00DD753D" w:rsidRPr="00A8791E">
        <w:rPr>
          <w:i/>
          <w:lang w:val="fr-FR"/>
        </w:rPr>
        <w:t>établi par le Bureau international</w:t>
      </w:r>
    </w:p>
    <w:p w:rsidR="00AC205C" w:rsidRPr="00A8791E" w:rsidRDefault="00AC205C" w:rsidP="00D6665E">
      <w:pPr>
        <w:rPr>
          <w:lang w:val="fr-FR"/>
        </w:rPr>
      </w:pPr>
    </w:p>
    <w:p w:rsidR="000F5E56" w:rsidRPr="00A8791E" w:rsidRDefault="000F5E56" w:rsidP="00D6665E">
      <w:pPr>
        <w:rPr>
          <w:lang w:val="fr-FR"/>
        </w:rPr>
      </w:pPr>
    </w:p>
    <w:p w:rsidR="002928D3" w:rsidRPr="00A8791E" w:rsidRDefault="002928D3" w:rsidP="00D6665E">
      <w:pPr>
        <w:rPr>
          <w:lang w:val="fr-FR"/>
        </w:rPr>
      </w:pPr>
    </w:p>
    <w:p w:rsidR="002928D3" w:rsidRPr="00A8791E" w:rsidRDefault="00887717" w:rsidP="00D6665E">
      <w:pPr>
        <w:pStyle w:val="Heading1"/>
      </w:pPr>
      <w:r w:rsidRPr="00A8791E">
        <w:t>I.</w:t>
      </w:r>
      <w:r w:rsidRPr="00A8791E">
        <w:tab/>
        <w:t>Introduction</w:t>
      </w:r>
    </w:p>
    <w:p w:rsidR="00F36C33" w:rsidRPr="00A8791E" w:rsidRDefault="00F36C33" w:rsidP="00D6665E">
      <w:pPr>
        <w:rPr>
          <w:lang w:val="fr-FR"/>
        </w:rPr>
      </w:pPr>
    </w:p>
    <w:p w:rsidR="00887717" w:rsidRPr="00A8791E" w:rsidRDefault="00DD753D" w:rsidP="00D6665E">
      <w:pPr>
        <w:pStyle w:val="ONUMFS"/>
        <w:rPr>
          <w:lang w:val="fr-FR"/>
        </w:rPr>
      </w:pPr>
      <w:r w:rsidRPr="00A8791E">
        <w:rPr>
          <w:lang w:val="fr-FR"/>
        </w:rPr>
        <w:t>Dans sa Résolution complétant le Traité de Singapour sur le droit des marques (ci</w:t>
      </w:r>
      <w:r w:rsidR="00D6665E" w:rsidRPr="00A8791E">
        <w:rPr>
          <w:rFonts w:ascii="Times New Roman" w:hAnsi="Times New Roman" w:cs="Times New Roman"/>
          <w:sz w:val="24"/>
          <w:szCs w:val="24"/>
          <w:lang w:val="fr-FR" w:eastAsia="en-US"/>
        </w:rPr>
        <w:noBreakHyphen/>
      </w:r>
      <w:r w:rsidRPr="00A8791E">
        <w:rPr>
          <w:lang w:val="fr-FR"/>
        </w:rPr>
        <w:t>après dénommé “Traité de Singapour”), la Conférence diplomatique pour l</w:t>
      </w:r>
      <w:r w:rsidR="007C5516" w:rsidRPr="00A8791E">
        <w:rPr>
          <w:lang w:val="fr-FR"/>
        </w:rPr>
        <w:t>’</w:t>
      </w:r>
      <w:r w:rsidRPr="00A8791E">
        <w:rPr>
          <w:lang w:val="fr-FR"/>
        </w:rPr>
        <w:t>adoption d</w:t>
      </w:r>
      <w:r w:rsidR="007C5516" w:rsidRPr="00A8791E">
        <w:rPr>
          <w:lang w:val="fr-FR"/>
        </w:rPr>
        <w:t>’</w:t>
      </w:r>
      <w:r w:rsidRPr="00A8791E">
        <w:rPr>
          <w:lang w:val="fr-FR"/>
        </w:rPr>
        <w:t>un traité révisé sur le droit des marques, tenue à Singapour en mars 2006, a prié l</w:t>
      </w:r>
      <w:r w:rsidR="007C5516" w:rsidRPr="00A8791E">
        <w:rPr>
          <w:lang w:val="fr-FR"/>
        </w:rPr>
        <w:t>’</w:t>
      </w:r>
      <w:r w:rsidRPr="00A8791E">
        <w:rPr>
          <w:lang w:val="fr-FR"/>
        </w:rPr>
        <w:t>Assemblée du Traité de Singapour de surveiller et d</w:t>
      </w:r>
      <w:r w:rsidR="007C5516" w:rsidRPr="00A8791E">
        <w:rPr>
          <w:lang w:val="fr-FR"/>
        </w:rPr>
        <w:t>’</w:t>
      </w:r>
      <w:r w:rsidRPr="00A8791E">
        <w:rPr>
          <w:lang w:val="fr-FR"/>
        </w:rPr>
        <w:t>évaluer, à chaque session ordinaire, l</w:t>
      </w:r>
      <w:r w:rsidR="007C5516" w:rsidRPr="00A8791E">
        <w:rPr>
          <w:lang w:val="fr-FR"/>
        </w:rPr>
        <w:t>’</w:t>
      </w:r>
      <w:r w:rsidRPr="00A8791E">
        <w:rPr>
          <w:lang w:val="fr-FR"/>
        </w:rPr>
        <w:t>évolution de l</w:t>
      </w:r>
      <w:r w:rsidR="007C5516" w:rsidRPr="00A8791E">
        <w:rPr>
          <w:lang w:val="fr-FR"/>
        </w:rPr>
        <w:t>’</w:t>
      </w:r>
      <w:r w:rsidRPr="00A8791E">
        <w:rPr>
          <w:lang w:val="fr-FR"/>
        </w:rPr>
        <w:t>assistance relative aux mesures de mise en œuvre et les avantages découlant de cette mise en œuvre (paragraphe 8 de la Résolution complétant le Traité de Singapour, adoptée par la Conférence diplomatique pour l</w:t>
      </w:r>
      <w:r w:rsidR="007C5516" w:rsidRPr="00A8791E">
        <w:rPr>
          <w:lang w:val="fr-FR"/>
        </w:rPr>
        <w:t>’</w:t>
      </w:r>
      <w:r w:rsidRPr="00A8791E">
        <w:rPr>
          <w:lang w:val="fr-FR"/>
        </w:rPr>
        <w:t>adoption d</w:t>
      </w:r>
      <w:r w:rsidR="007C5516" w:rsidRPr="00A8791E">
        <w:rPr>
          <w:lang w:val="fr-FR"/>
        </w:rPr>
        <w:t>’</w:t>
      </w:r>
      <w:r w:rsidRPr="00A8791E">
        <w:rPr>
          <w:lang w:val="fr-FR"/>
        </w:rPr>
        <w:t xml:space="preserve">un traité révisé sur le droit des marques, Singapour, </w:t>
      </w:r>
      <w:r w:rsidR="00B33C76">
        <w:rPr>
          <w:lang w:val="fr-FR"/>
        </w:rPr>
        <w:br/>
      </w:r>
      <w:r w:rsidRPr="00A8791E">
        <w:rPr>
          <w:lang w:val="fr-FR"/>
        </w:rPr>
        <w:t>13</w:t>
      </w:r>
      <w:r w:rsidR="007C5516" w:rsidRPr="00A8791E">
        <w:rPr>
          <w:lang w:val="fr-FR"/>
        </w:rPr>
        <w:t xml:space="preserve"> – </w:t>
      </w:r>
      <w:r w:rsidRPr="00A8791E">
        <w:rPr>
          <w:lang w:val="fr-FR"/>
        </w:rPr>
        <w:t>27 mars 2006).</w:t>
      </w:r>
    </w:p>
    <w:p w:rsidR="00887717" w:rsidRPr="00A8791E" w:rsidRDefault="00DD753D" w:rsidP="00D6665E">
      <w:pPr>
        <w:pStyle w:val="ONUMFS"/>
        <w:rPr>
          <w:lang w:val="fr-FR"/>
        </w:rPr>
      </w:pPr>
      <w:r w:rsidRPr="00A8791E">
        <w:rPr>
          <w:lang w:val="fr-FR"/>
        </w:rPr>
        <w:t>À sa première session ordinaire, tenue à Genève du 22 septembre au</w:t>
      </w:r>
      <w:r w:rsidR="007C5516" w:rsidRPr="00A8791E">
        <w:rPr>
          <w:lang w:val="fr-FR"/>
        </w:rPr>
        <w:t xml:space="preserve"> 1</w:t>
      </w:r>
      <w:r w:rsidR="007C5516" w:rsidRPr="00A8791E">
        <w:rPr>
          <w:vertAlign w:val="superscript"/>
          <w:lang w:val="fr-FR"/>
        </w:rPr>
        <w:t>er</w:t>
      </w:r>
      <w:r w:rsidR="007C5516" w:rsidRPr="00A8791E">
        <w:rPr>
          <w:lang w:val="fr-FR"/>
        </w:rPr>
        <w:t> </w:t>
      </w:r>
      <w:r w:rsidRPr="00A8791E">
        <w:rPr>
          <w:lang w:val="fr-FR"/>
        </w:rPr>
        <w:t>octobre 2009, l</w:t>
      </w:r>
      <w:r w:rsidR="007C5516" w:rsidRPr="00A8791E">
        <w:rPr>
          <w:lang w:val="fr-FR"/>
        </w:rPr>
        <w:t>’</w:t>
      </w:r>
      <w:r w:rsidRPr="00A8791E">
        <w:rPr>
          <w:lang w:val="fr-FR"/>
        </w:rPr>
        <w:t>Assemblée du Traité de Singapour est convenue que les parties contractantes communiqueraient au Bureau international toute information sur les activités d</w:t>
      </w:r>
      <w:r w:rsidR="007C5516" w:rsidRPr="00A8791E">
        <w:rPr>
          <w:lang w:val="fr-FR"/>
        </w:rPr>
        <w:t>’</w:t>
      </w:r>
      <w:r w:rsidRPr="00A8791E">
        <w:rPr>
          <w:lang w:val="fr-FR"/>
        </w:rPr>
        <w:t>assistance technique en rapport avec la mise en œuvre du Traité de Singapour et que le Bureau international réunirait les informations reçues afin de les présenter, conjointement avec toute information pertinente découlant de ses propres activités d</w:t>
      </w:r>
      <w:r w:rsidR="007C5516" w:rsidRPr="00A8791E">
        <w:rPr>
          <w:lang w:val="fr-FR"/>
        </w:rPr>
        <w:t>’</w:t>
      </w:r>
      <w:r w:rsidRPr="00A8791E">
        <w:rPr>
          <w:lang w:val="fr-FR"/>
        </w:rPr>
        <w:t>assistance technique, au cours de la session ordinaire suivante de l</w:t>
      </w:r>
      <w:r w:rsidR="007C5516" w:rsidRPr="00A8791E">
        <w:rPr>
          <w:lang w:val="fr-FR"/>
        </w:rPr>
        <w:t>’</w:t>
      </w:r>
      <w:r w:rsidRPr="00A8791E">
        <w:rPr>
          <w:lang w:val="fr-FR"/>
        </w:rPr>
        <w:t>Assemblée du Traité de Singapour (paragraphe 4 du document STLT/A/1/2 et paragraphe 10 du document STLT/A/1/4).</w:t>
      </w:r>
    </w:p>
    <w:p w:rsidR="00887717" w:rsidRPr="00A8791E" w:rsidRDefault="00DD753D" w:rsidP="00D6665E">
      <w:pPr>
        <w:pStyle w:val="ONUMFS"/>
        <w:rPr>
          <w:lang w:val="fr-FR"/>
        </w:rPr>
      </w:pPr>
      <w:r w:rsidRPr="00A8791E">
        <w:rPr>
          <w:lang w:val="fr-FR"/>
        </w:rPr>
        <w:lastRenderedPageBreak/>
        <w:t>En conséquence, le Bureau international a soumis pour examen par l</w:t>
      </w:r>
      <w:r w:rsidR="007C5516" w:rsidRPr="00A8791E">
        <w:rPr>
          <w:lang w:val="fr-FR"/>
        </w:rPr>
        <w:t>’</w:t>
      </w:r>
      <w:r w:rsidRPr="00A8791E">
        <w:rPr>
          <w:lang w:val="fr-FR"/>
        </w:rPr>
        <w:t>Assemblée du Traité de Singapour, à chaque session ordinaire, un rapport sur l</w:t>
      </w:r>
      <w:r w:rsidR="007C5516" w:rsidRPr="00A8791E">
        <w:rPr>
          <w:lang w:val="fr-FR"/>
        </w:rPr>
        <w:t>’</w:t>
      </w:r>
      <w:r w:rsidRPr="00A8791E">
        <w:rPr>
          <w:lang w:val="fr-FR"/>
        </w:rPr>
        <w:t>assistance fournie pour la mise en œuvre du Trai</w:t>
      </w:r>
      <w:r w:rsidR="00E65761" w:rsidRPr="00A8791E">
        <w:rPr>
          <w:lang w:val="fr-FR"/>
        </w:rPr>
        <w:t>té.  Le</w:t>
      </w:r>
      <w:r w:rsidRPr="00A8791E">
        <w:rPr>
          <w:lang w:val="fr-FR"/>
        </w:rPr>
        <w:t xml:space="preserve"> présent document contient un rapport couvrant la période allant de juin 2015 à mai 2017.  Les activités sont réparties en deux grandes catégories</w:t>
      </w:r>
      <w:r w:rsidR="007C5516" w:rsidRPr="00A8791E">
        <w:rPr>
          <w:lang w:val="fr-FR"/>
        </w:rPr>
        <w:t> :</w:t>
      </w:r>
      <w:r w:rsidRPr="00A8791E">
        <w:rPr>
          <w:lang w:val="fr-FR"/>
        </w:rPr>
        <w:t xml:space="preserve"> l</w:t>
      </w:r>
      <w:r w:rsidR="007C5516" w:rsidRPr="00A8791E">
        <w:rPr>
          <w:lang w:val="fr-FR"/>
        </w:rPr>
        <w:t>’</w:t>
      </w:r>
      <w:r w:rsidRPr="00A8791E">
        <w:rPr>
          <w:lang w:val="fr-FR"/>
        </w:rPr>
        <w:t>aide à l</w:t>
      </w:r>
      <w:r w:rsidR="007C5516" w:rsidRPr="00A8791E">
        <w:rPr>
          <w:lang w:val="fr-FR"/>
        </w:rPr>
        <w:t>’</w:t>
      </w:r>
      <w:r w:rsidRPr="00A8791E">
        <w:rPr>
          <w:lang w:val="fr-FR"/>
        </w:rPr>
        <w:t>établissement du cadre juridique pour la mise en œuvre du Traité et les activités relatives à l</w:t>
      </w:r>
      <w:r w:rsidR="007C5516" w:rsidRPr="00A8791E">
        <w:rPr>
          <w:lang w:val="fr-FR"/>
        </w:rPr>
        <w:t>’</w:t>
      </w:r>
      <w:r w:rsidRPr="00A8791E">
        <w:rPr>
          <w:lang w:val="fr-FR"/>
        </w:rPr>
        <w:t>information, l</w:t>
      </w:r>
      <w:r w:rsidR="007C5516" w:rsidRPr="00A8791E">
        <w:rPr>
          <w:lang w:val="fr-FR"/>
        </w:rPr>
        <w:t>’</w:t>
      </w:r>
      <w:r w:rsidRPr="00A8791E">
        <w:rPr>
          <w:lang w:val="fr-FR"/>
        </w:rPr>
        <w:t>éducation, la sensibilisation et l</w:t>
      </w:r>
      <w:r w:rsidR="007C5516" w:rsidRPr="00A8791E">
        <w:rPr>
          <w:lang w:val="fr-FR"/>
        </w:rPr>
        <w:t>’</w:t>
      </w:r>
      <w:r w:rsidRPr="00A8791E">
        <w:rPr>
          <w:lang w:val="fr-FR"/>
        </w:rPr>
        <w:t>assistance à la révision des pratiques et procédures administratives.</w:t>
      </w:r>
    </w:p>
    <w:p w:rsidR="00DF7BE5" w:rsidRPr="00A8791E" w:rsidRDefault="00887717" w:rsidP="00D6665E">
      <w:pPr>
        <w:pStyle w:val="Heading1"/>
      </w:pPr>
      <w:r w:rsidRPr="00A8791E">
        <w:t>II.</w:t>
      </w:r>
      <w:r w:rsidR="00DF7BE5" w:rsidRPr="00A8791E">
        <w:tab/>
      </w:r>
      <w:r w:rsidRPr="00A8791E">
        <w:t>Aide à l</w:t>
      </w:r>
      <w:r w:rsidR="007C5516" w:rsidRPr="00A8791E">
        <w:t>’</w:t>
      </w:r>
      <w:r w:rsidRPr="00A8791E">
        <w:t>établissement du cadre juridique pour la mise en œuvre du traité</w:t>
      </w:r>
    </w:p>
    <w:p w:rsidR="00DF7BE5" w:rsidRPr="00A8791E" w:rsidRDefault="00DF7BE5" w:rsidP="00D6665E">
      <w:pPr>
        <w:rPr>
          <w:lang w:val="fr-FR"/>
        </w:rPr>
      </w:pPr>
    </w:p>
    <w:p w:rsidR="00887717" w:rsidRPr="00A8791E" w:rsidRDefault="0051297B" w:rsidP="00D6665E">
      <w:pPr>
        <w:pStyle w:val="ONUMFS"/>
        <w:rPr>
          <w:lang w:val="fr-FR"/>
        </w:rPr>
      </w:pPr>
      <w:r w:rsidRPr="00A8791E">
        <w:rPr>
          <w:lang w:val="fr-FR"/>
        </w:rPr>
        <w:t>Les activités sont présentées dans l</w:t>
      </w:r>
      <w:r w:rsidR="007C5516" w:rsidRPr="00A8791E">
        <w:rPr>
          <w:lang w:val="fr-FR"/>
        </w:rPr>
        <w:t>’</w:t>
      </w:r>
      <w:r w:rsidRPr="00A8791E">
        <w:rPr>
          <w:lang w:val="fr-FR"/>
        </w:rPr>
        <w:t>ordre alphabétique des noms français des États ou des territoires bénéficiair</w:t>
      </w:r>
      <w:r w:rsidR="00E65761" w:rsidRPr="00A8791E">
        <w:rPr>
          <w:lang w:val="fr-FR"/>
        </w:rPr>
        <w:t>es.  De</w:t>
      </w:r>
      <w:r w:rsidRPr="00A8791E">
        <w:rPr>
          <w:lang w:val="fr-FR"/>
        </w:rPr>
        <w:t>s conseils et des commentaires d</w:t>
      </w:r>
      <w:r w:rsidR="007C5516" w:rsidRPr="00A8791E">
        <w:rPr>
          <w:lang w:val="fr-FR"/>
        </w:rPr>
        <w:t>’</w:t>
      </w:r>
      <w:r w:rsidRPr="00A8791E">
        <w:rPr>
          <w:lang w:val="fr-FR"/>
        </w:rPr>
        <w:t>ordre législatif ont été fournis à tous les États ou territoires qui en ont fait la demande, qu</w:t>
      </w:r>
      <w:r w:rsidR="007C5516" w:rsidRPr="00A8791E">
        <w:rPr>
          <w:lang w:val="fr-FR"/>
        </w:rPr>
        <w:t>’</w:t>
      </w:r>
      <w:r w:rsidRPr="00A8791E">
        <w:rPr>
          <w:lang w:val="fr-FR"/>
        </w:rPr>
        <w:t>ils soient ou non engagés dans un processus d</w:t>
      </w:r>
      <w:r w:rsidR="007C5516" w:rsidRPr="00A8791E">
        <w:rPr>
          <w:lang w:val="fr-FR"/>
        </w:rPr>
        <w:t>’</w:t>
      </w:r>
      <w:r w:rsidRPr="00A8791E">
        <w:rPr>
          <w:lang w:val="fr-FR"/>
        </w:rPr>
        <w:t>adhésion au Traité de Singapour ou de ratification de celui</w:t>
      </w:r>
      <w:r w:rsidR="00D6665E" w:rsidRPr="00A8791E">
        <w:rPr>
          <w:lang w:val="fr-FR"/>
        </w:rPr>
        <w:noBreakHyphen/>
      </w:r>
      <w:r w:rsidR="00E65761" w:rsidRPr="00A8791E">
        <w:rPr>
          <w:lang w:val="fr-FR"/>
        </w:rPr>
        <w:t>ci.  Le</w:t>
      </w:r>
      <w:r w:rsidRPr="00A8791E">
        <w:rPr>
          <w:lang w:val="fr-FR"/>
        </w:rPr>
        <w:t>s avis juridiques dispensés étaient essentiellement de nature générale, touchant tous les aspects du droit des marques et les questions relatives à la mise en œuvre actuelle ou future du Traité de Singapour</w:t>
      </w:r>
      <w:r w:rsidR="007C5516" w:rsidRPr="00A8791E">
        <w:rPr>
          <w:lang w:val="fr-FR"/>
        </w:rPr>
        <w:t> :</w:t>
      </w:r>
    </w:p>
    <w:p w:rsidR="00887717" w:rsidRPr="00A8791E" w:rsidRDefault="00BB564A" w:rsidP="00D6665E">
      <w:pPr>
        <w:pStyle w:val="ONUMFS"/>
        <w:numPr>
          <w:ilvl w:val="0"/>
          <w:numId w:val="20"/>
        </w:numPr>
        <w:rPr>
          <w:lang w:val="fr-FR"/>
        </w:rPr>
      </w:pPr>
      <w:r w:rsidRPr="00A8791E">
        <w:rPr>
          <w:lang w:val="fr-FR"/>
        </w:rPr>
        <w:t>Afrique du Sud</w:t>
      </w:r>
      <w:r w:rsidR="007C5516" w:rsidRPr="00A8791E">
        <w:rPr>
          <w:lang w:val="fr-FR"/>
        </w:rPr>
        <w:t> :</w:t>
      </w:r>
      <w:r w:rsidRPr="00A8791E">
        <w:rPr>
          <w:lang w:val="fr-FR"/>
        </w:rPr>
        <w:t xml:space="preserve"> conseils sur les dispositions relatives à la prorogation des délais, fournis le 1</w:t>
      </w:r>
      <w:r w:rsidR="007C5516" w:rsidRPr="00A8791E">
        <w:rPr>
          <w:lang w:val="fr-FR"/>
        </w:rPr>
        <w:t>9 janvier 20</w:t>
      </w:r>
      <w:r w:rsidRPr="00A8791E">
        <w:rPr>
          <w:lang w:val="fr-FR"/>
        </w:rPr>
        <w:t>17;</w:t>
      </w:r>
    </w:p>
    <w:p w:rsidR="00D91F90" w:rsidRPr="00A8791E" w:rsidRDefault="00D91F90" w:rsidP="00D6665E">
      <w:pPr>
        <w:pStyle w:val="ONUMFS"/>
        <w:numPr>
          <w:ilvl w:val="0"/>
          <w:numId w:val="20"/>
        </w:numPr>
        <w:rPr>
          <w:lang w:val="fr-FR"/>
        </w:rPr>
      </w:pPr>
      <w:r w:rsidRPr="00A8791E">
        <w:rPr>
          <w:lang w:val="fr-FR"/>
        </w:rPr>
        <w:t>Albani</w:t>
      </w:r>
      <w:r w:rsidR="00E4644C" w:rsidRPr="00A8791E">
        <w:rPr>
          <w:lang w:val="fr-FR"/>
        </w:rPr>
        <w:t>e</w:t>
      </w:r>
      <w:r w:rsidR="007C5516" w:rsidRPr="00A8791E">
        <w:rPr>
          <w:lang w:val="fr-FR"/>
        </w:rPr>
        <w:t> :</w:t>
      </w:r>
      <w:r w:rsidR="00807602" w:rsidRPr="00A8791E">
        <w:rPr>
          <w:lang w:val="fr-FR"/>
        </w:rPr>
        <w:t xml:space="preserve"> </w:t>
      </w:r>
      <w:r w:rsidR="00E4644C" w:rsidRPr="00A8791E">
        <w:rPr>
          <w:lang w:val="fr-FR"/>
        </w:rPr>
        <w:t>commentaires sur le projet de loi relative à la propriété industrielle</w:t>
      </w:r>
      <w:r w:rsidR="002B335E" w:rsidRPr="00A8791E">
        <w:rPr>
          <w:lang w:val="fr-FR"/>
        </w:rPr>
        <w:t xml:space="preserve">, </w:t>
      </w:r>
      <w:r w:rsidR="00E4644C" w:rsidRPr="00A8791E">
        <w:rPr>
          <w:lang w:val="fr-FR"/>
        </w:rPr>
        <w:t>fournis le 1</w:t>
      </w:r>
      <w:r w:rsidR="007C5516" w:rsidRPr="00A8791E">
        <w:rPr>
          <w:lang w:val="fr-FR"/>
        </w:rPr>
        <w:t>4 juin 20</w:t>
      </w:r>
      <w:r w:rsidR="00807602" w:rsidRPr="00A8791E">
        <w:rPr>
          <w:lang w:val="fr-FR"/>
        </w:rPr>
        <w:t>16;</w:t>
      </w:r>
    </w:p>
    <w:p w:rsidR="00887717" w:rsidRPr="00A8791E" w:rsidRDefault="002B335E" w:rsidP="00D6665E">
      <w:pPr>
        <w:pStyle w:val="ONUMFS"/>
        <w:numPr>
          <w:ilvl w:val="0"/>
          <w:numId w:val="20"/>
        </w:numPr>
        <w:rPr>
          <w:lang w:val="fr-FR"/>
        </w:rPr>
      </w:pPr>
      <w:r w:rsidRPr="00A8791E">
        <w:rPr>
          <w:lang w:val="fr-FR"/>
        </w:rPr>
        <w:t>Barbad</w:t>
      </w:r>
      <w:r w:rsidR="00E4644C" w:rsidRPr="00A8791E">
        <w:rPr>
          <w:lang w:val="fr-FR"/>
        </w:rPr>
        <w:t>e</w:t>
      </w:r>
      <w:r w:rsidR="007C5516" w:rsidRPr="00A8791E">
        <w:rPr>
          <w:lang w:val="fr-FR"/>
        </w:rPr>
        <w:t> :</w:t>
      </w:r>
      <w:r w:rsidRPr="00A8791E">
        <w:rPr>
          <w:lang w:val="fr-FR"/>
        </w:rPr>
        <w:t xml:space="preserve"> </w:t>
      </w:r>
      <w:r w:rsidR="00E4644C" w:rsidRPr="00A8791E">
        <w:rPr>
          <w:lang w:val="fr-FR"/>
        </w:rPr>
        <w:t xml:space="preserve">commentaires sur les dispositions relatives aux marques de la loi </w:t>
      </w:r>
      <w:r w:rsidR="001A795B" w:rsidRPr="00A8791E">
        <w:rPr>
          <w:lang w:val="fr-FR"/>
        </w:rPr>
        <w:t>sur les marques, chap</w:t>
      </w:r>
      <w:r w:rsidR="00E65761" w:rsidRPr="00A8791E">
        <w:rPr>
          <w:lang w:val="fr-FR"/>
        </w:rPr>
        <w:t>itre </w:t>
      </w:r>
      <w:r w:rsidR="001A795B" w:rsidRPr="00A8791E">
        <w:rPr>
          <w:lang w:val="fr-FR"/>
        </w:rPr>
        <w:t xml:space="preserve">319, telle que modifiée et le règlement </w:t>
      </w:r>
      <w:r w:rsidR="007C5516" w:rsidRPr="00A8791E">
        <w:rPr>
          <w:lang w:val="fr-FR"/>
        </w:rPr>
        <w:t>de 1984</w:t>
      </w:r>
      <w:r w:rsidR="001A795B" w:rsidRPr="00A8791E">
        <w:rPr>
          <w:lang w:val="fr-FR"/>
        </w:rPr>
        <w:t xml:space="preserve"> sur les marques, fournis le 2</w:t>
      </w:r>
      <w:r w:rsidR="007C5516" w:rsidRPr="00A8791E">
        <w:rPr>
          <w:lang w:val="fr-FR"/>
        </w:rPr>
        <w:t>2 mars 20</w:t>
      </w:r>
      <w:r w:rsidR="001A795B" w:rsidRPr="00A8791E">
        <w:rPr>
          <w:lang w:val="fr-FR"/>
        </w:rPr>
        <w:t>16</w:t>
      </w:r>
      <w:r w:rsidRPr="00A8791E">
        <w:rPr>
          <w:lang w:val="fr-FR"/>
        </w:rPr>
        <w:t>;</w:t>
      </w:r>
    </w:p>
    <w:p w:rsidR="00887717" w:rsidRPr="00A8791E" w:rsidRDefault="003044D7" w:rsidP="00D6665E">
      <w:pPr>
        <w:pStyle w:val="ONUMFS"/>
        <w:numPr>
          <w:ilvl w:val="0"/>
          <w:numId w:val="20"/>
        </w:numPr>
        <w:rPr>
          <w:lang w:val="fr-FR"/>
        </w:rPr>
      </w:pPr>
      <w:r w:rsidRPr="00A8791E">
        <w:rPr>
          <w:lang w:val="fr-FR"/>
        </w:rPr>
        <w:t>Bh</w:t>
      </w:r>
      <w:r w:rsidR="001A795B" w:rsidRPr="00A8791E">
        <w:rPr>
          <w:lang w:val="fr-FR"/>
        </w:rPr>
        <w:t>ou</w:t>
      </w:r>
      <w:r w:rsidRPr="00A8791E">
        <w:rPr>
          <w:lang w:val="fr-FR"/>
        </w:rPr>
        <w:t>tan</w:t>
      </w:r>
      <w:r w:rsidR="007C5516" w:rsidRPr="00A8791E">
        <w:rPr>
          <w:lang w:val="fr-FR"/>
        </w:rPr>
        <w:t> :</w:t>
      </w:r>
      <w:r w:rsidRPr="00A8791E">
        <w:rPr>
          <w:lang w:val="fr-FR"/>
        </w:rPr>
        <w:t xml:space="preserve"> </w:t>
      </w:r>
      <w:r w:rsidR="001A795B" w:rsidRPr="00A8791E">
        <w:rPr>
          <w:lang w:val="fr-FR"/>
        </w:rPr>
        <w:t>commentaires sur l</w:t>
      </w:r>
      <w:r w:rsidR="007C5516" w:rsidRPr="00A8791E">
        <w:rPr>
          <w:lang w:val="fr-FR"/>
        </w:rPr>
        <w:t>’</w:t>
      </w:r>
      <w:r w:rsidR="001A795B" w:rsidRPr="00A8791E">
        <w:rPr>
          <w:lang w:val="fr-FR"/>
        </w:rPr>
        <w:t xml:space="preserve">application des dispositions relatives aux marques de la loi </w:t>
      </w:r>
      <w:r w:rsidR="007C5516" w:rsidRPr="00A8791E">
        <w:rPr>
          <w:lang w:val="fr-FR"/>
        </w:rPr>
        <w:t>de 2001</w:t>
      </w:r>
      <w:r w:rsidR="001A795B" w:rsidRPr="00A8791E">
        <w:rPr>
          <w:lang w:val="fr-FR"/>
        </w:rPr>
        <w:t xml:space="preserve"> sur la propriété industrielle</w:t>
      </w:r>
      <w:r w:rsidR="00A62B52" w:rsidRPr="00A8791E">
        <w:rPr>
          <w:lang w:val="fr-FR"/>
        </w:rPr>
        <w:t>,</w:t>
      </w:r>
      <w:r w:rsidRPr="00A8791E">
        <w:rPr>
          <w:lang w:val="fr-FR"/>
        </w:rPr>
        <w:t xml:space="preserve"> </w:t>
      </w:r>
      <w:r w:rsidR="001A795B" w:rsidRPr="00A8791E">
        <w:rPr>
          <w:lang w:val="fr-FR"/>
        </w:rPr>
        <w:t>fournis le 1</w:t>
      </w:r>
      <w:r w:rsidR="007C5516" w:rsidRPr="00A8791E">
        <w:rPr>
          <w:lang w:val="fr-FR"/>
        </w:rPr>
        <w:t>0 juillet 20</w:t>
      </w:r>
      <w:r w:rsidR="001A795B" w:rsidRPr="00A8791E">
        <w:rPr>
          <w:lang w:val="fr-FR"/>
        </w:rPr>
        <w:t>15</w:t>
      </w:r>
      <w:r w:rsidRPr="00A8791E">
        <w:rPr>
          <w:lang w:val="fr-FR"/>
        </w:rPr>
        <w:t>;</w:t>
      </w:r>
    </w:p>
    <w:p w:rsidR="00887717" w:rsidRPr="00A8791E" w:rsidRDefault="00807602" w:rsidP="00D6665E">
      <w:pPr>
        <w:pStyle w:val="ONUMFS"/>
        <w:numPr>
          <w:ilvl w:val="0"/>
          <w:numId w:val="20"/>
        </w:numPr>
        <w:rPr>
          <w:lang w:val="fr-FR"/>
        </w:rPr>
      </w:pPr>
      <w:r w:rsidRPr="00A8791E">
        <w:rPr>
          <w:lang w:val="fr-FR"/>
        </w:rPr>
        <w:t>Cambo</w:t>
      </w:r>
      <w:r w:rsidR="001A795B" w:rsidRPr="00A8791E">
        <w:rPr>
          <w:lang w:val="fr-FR"/>
        </w:rPr>
        <w:t>dge</w:t>
      </w:r>
      <w:r w:rsidR="007C5516" w:rsidRPr="00A8791E">
        <w:rPr>
          <w:lang w:val="fr-FR"/>
        </w:rPr>
        <w:t> :</w:t>
      </w:r>
      <w:r w:rsidR="008F4582" w:rsidRPr="00A8791E">
        <w:rPr>
          <w:lang w:val="fr-FR"/>
        </w:rPr>
        <w:t xml:space="preserve"> </w:t>
      </w:r>
      <w:r w:rsidR="001A795B" w:rsidRPr="00A8791E">
        <w:rPr>
          <w:lang w:val="fr-FR"/>
        </w:rPr>
        <w:t xml:space="preserve">commentaires sur les dispositions relatives aux marques de la loi </w:t>
      </w:r>
      <w:r w:rsidR="007C5516" w:rsidRPr="00A8791E">
        <w:rPr>
          <w:lang w:val="fr-FR"/>
        </w:rPr>
        <w:t>de 2002</w:t>
      </w:r>
      <w:r w:rsidR="001A795B" w:rsidRPr="00A8791E">
        <w:rPr>
          <w:lang w:val="fr-FR"/>
        </w:rPr>
        <w:t xml:space="preserve"> sur les marques, les noms de commerce et les actes de concurrence déloyale</w:t>
      </w:r>
      <w:r w:rsidR="002B335E" w:rsidRPr="00A8791E">
        <w:rPr>
          <w:lang w:val="fr-FR"/>
        </w:rPr>
        <w:t>,</w:t>
      </w:r>
      <w:r w:rsidR="001A795B" w:rsidRPr="00A8791E">
        <w:rPr>
          <w:lang w:val="fr-FR"/>
        </w:rPr>
        <w:t xml:space="preserve"> fournis les 15 et 2</w:t>
      </w:r>
      <w:r w:rsidR="007C5516" w:rsidRPr="00A8791E">
        <w:rPr>
          <w:lang w:val="fr-FR"/>
        </w:rPr>
        <w:t>0 juin 20</w:t>
      </w:r>
      <w:r w:rsidR="001A795B" w:rsidRPr="00A8791E">
        <w:rPr>
          <w:lang w:val="fr-FR"/>
        </w:rPr>
        <w:t>16</w:t>
      </w:r>
      <w:r w:rsidR="008F4582" w:rsidRPr="00A8791E">
        <w:rPr>
          <w:lang w:val="fr-FR"/>
        </w:rPr>
        <w:t>;</w:t>
      </w:r>
    </w:p>
    <w:p w:rsidR="00887717" w:rsidRPr="00A8791E" w:rsidRDefault="006626CC" w:rsidP="00D6665E">
      <w:pPr>
        <w:pStyle w:val="ONUMFS"/>
        <w:numPr>
          <w:ilvl w:val="0"/>
          <w:numId w:val="20"/>
        </w:numPr>
        <w:rPr>
          <w:lang w:val="fr-FR"/>
        </w:rPr>
      </w:pPr>
      <w:r w:rsidRPr="00A8791E">
        <w:rPr>
          <w:lang w:val="fr-FR"/>
        </w:rPr>
        <w:t>C</w:t>
      </w:r>
      <w:r w:rsidR="00526114" w:rsidRPr="00A8791E">
        <w:rPr>
          <w:lang w:val="fr-FR"/>
        </w:rPr>
        <w:t>uraç</w:t>
      </w:r>
      <w:r w:rsidR="00D91F90" w:rsidRPr="00A8791E">
        <w:rPr>
          <w:lang w:val="fr-FR"/>
        </w:rPr>
        <w:t>ao</w:t>
      </w:r>
      <w:r w:rsidR="007C5516" w:rsidRPr="00A8791E">
        <w:rPr>
          <w:lang w:val="fr-FR"/>
        </w:rPr>
        <w:t> :</w:t>
      </w:r>
      <w:r w:rsidRPr="00A8791E">
        <w:rPr>
          <w:lang w:val="fr-FR"/>
        </w:rPr>
        <w:t xml:space="preserve"> </w:t>
      </w:r>
      <w:r w:rsidR="001A795B" w:rsidRPr="00A8791E">
        <w:rPr>
          <w:lang w:val="fr-FR"/>
        </w:rPr>
        <w:t>commentaires concernant la mise en œuvre</w:t>
      </w:r>
      <w:r w:rsidR="007C5516" w:rsidRPr="00A8791E">
        <w:rPr>
          <w:lang w:val="fr-FR"/>
        </w:rPr>
        <w:t xml:space="preserve"> du STL</w:t>
      </w:r>
      <w:r w:rsidR="001A795B" w:rsidRPr="00A8791E">
        <w:rPr>
          <w:lang w:val="fr-FR"/>
        </w:rPr>
        <w:t>T, qui s</w:t>
      </w:r>
      <w:r w:rsidR="007C5516" w:rsidRPr="00A8791E">
        <w:rPr>
          <w:lang w:val="fr-FR"/>
        </w:rPr>
        <w:t>’</w:t>
      </w:r>
      <w:r w:rsidR="001A795B" w:rsidRPr="00A8791E">
        <w:rPr>
          <w:lang w:val="fr-FR"/>
        </w:rPr>
        <w:t xml:space="preserve">applique à </w:t>
      </w:r>
      <w:r w:rsidR="00526114" w:rsidRPr="00A8791E">
        <w:rPr>
          <w:lang w:val="fr-FR"/>
        </w:rPr>
        <w:t>Curaç</w:t>
      </w:r>
      <w:r w:rsidR="00D91F90" w:rsidRPr="00A8791E">
        <w:rPr>
          <w:lang w:val="fr-FR"/>
        </w:rPr>
        <w:t xml:space="preserve">ao </w:t>
      </w:r>
      <w:r w:rsidR="001A795B" w:rsidRPr="00A8791E">
        <w:rPr>
          <w:lang w:val="fr-FR"/>
        </w:rPr>
        <w:t>à la suite de la déclaration faite par le Royaume des Pays</w:t>
      </w:r>
      <w:r w:rsidR="00D6665E" w:rsidRPr="00A8791E">
        <w:rPr>
          <w:lang w:val="fr-FR"/>
        </w:rPr>
        <w:noBreakHyphen/>
      </w:r>
      <w:r w:rsidR="001A795B" w:rsidRPr="00A8791E">
        <w:rPr>
          <w:lang w:val="fr-FR"/>
        </w:rPr>
        <w:t xml:space="preserve">Bas au moment de </w:t>
      </w:r>
      <w:r w:rsidR="00D6665E" w:rsidRPr="00A8791E">
        <w:rPr>
          <w:lang w:val="fr-FR"/>
        </w:rPr>
        <w:t>son</w:t>
      </w:r>
      <w:r w:rsidR="001A795B" w:rsidRPr="00A8791E">
        <w:rPr>
          <w:lang w:val="fr-FR"/>
        </w:rPr>
        <w:t xml:space="preserve"> adhésion</w:t>
      </w:r>
      <w:r w:rsidR="007C5516" w:rsidRPr="00A8791E">
        <w:rPr>
          <w:lang w:val="fr-FR"/>
        </w:rPr>
        <w:t xml:space="preserve"> au STL</w:t>
      </w:r>
      <w:r w:rsidR="001A795B" w:rsidRPr="00A8791E">
        <w:rPr>
          <w:lang w:val="fr-FR"/>
        </w:rPr>
        <w:t xml:space="preserve">T </w:t>
      </w:r>
      <w:r w:rsidR="007C5516" w:rsidRPr="00A8791E">
        <w:rPr>
          <w:lang w:val="fr-FR"/>
        </w:rPr>
        <w:t>en 2014</w:t>
      </w:r>
      <w:r w:rsidR="001A795B" w:rsidRPr="00A8791E">
        <w:rPr>
          <w:lang w:val="fr-FR"/>
        </w:rPr>
        <w:t xml:space="preserve">, fournis le </w:t>
      </w:r>
      <w:r w:rsidR="007C5516" w:rsidRPr="00A8791E">
        <w:rPr>
          <w:lang w:val="fr-FR"/>
        </w:rPr>
        <w:t>9 octobre 20</w:t>
      </w:r>
      <w:r w:rsidR="001A795B" w:rsidRPr="00A8791E">
        <w:rPr>
          <w:lang w:val="fr-FR"/>
        </w:rPr>
        <w:t>15</w:t>
      </w:r>
      <w:r w:rsidRPr="00A8791E">
        <w:rPr>
          <w:lang w:val="fr-FR"/>
        </w:rPr>
        <w:t>;</w:t>
      </w:r>
    </w:p>
    <w:p w:rsidR="00887717" w:rsidRPr="00A8791E" w:rsidRDefault="00BC3724" w:rsidP="00D6665E">
      <w:pPr>
        <w:pStyle w:val="ONUMFS"/>
        <w:numPr>
          <w:ilvl w:val="0"/>
          <w:numId w:val="20"/>
        </w:numPr>
        <w:rPr>
          <w:lang w:val="fr-FR"/>
        </w:rPr>
      </w:pPr>
      <w:bookmarkStart w:id="5" w:name="_GoBack"/>
      <w:bookmarkEnd w:id="5"/>
      <w:r w:rsidRPr="00A8791E">
        <w:rPr>
          <w:lang w:val="fr-FR"/>
        </w:rPr>
        <w:t>Équateur</w:t>
      </w:r>
      <w:r w:rsidR="007C5516" w:rsidRPr="00A8791E">
        <w:rPr>
          <w:lang w:val="fr-FR"/>
        </w:rPr>
        <w:t> :</w:t>
      </w:r>
      <w:r w:rsidR="002B335E" w:rsidRPr="00A8791E">
        <w:rPr>
          <w:lang w:val="fr-FR"/>
        </w:rPr>
        <w:t xml:space="preserve"> </w:t>
      </w:r>
      <w:r w:rsidRPr="00A8791E">
        <w:rPr>
          <w:lang w:val="fr-FR"/>
        </w:rPr>
        <w:t>commentaires sur les dispositions du règlement relati</w:t>
      </w:r>
      <w:r w:rsidR="00C0096E">
        <w:rPr>
          <w:lang w:val="fr-FR"/>
        </w:rPr>
        <w:t>ves</w:t>
      </w:r>
      <w:r w:rsidRPr="00A8791E">
        <w:rPr>
          <w:lang w:val="fr-FR"/>
        </w:rPr>
        <w:t xml:space="preserve"> à l</w:t>
      </w:r>
      <w:r w:rsidR="007C5516" w:rsidRPr="00A8791E">
        <w:rPr>
          <w:lang w:val="fr-FR"/>
        </w:rPr>
        <w:t>’</w:t>
      </w:r>
      <w:r w:rsidRPr="00A8791E">
        <w:rPr>
          <w:lang w:val="fr-FR"/>
        </w:rPr>
        <w:t>indication du type de marque dans les demandes d</w:t>
      </w:r>
      <w:r w:rsidR="007C5516" w:rsidRPr="00A8791E">
        <w:rPr>
          <w:lang w:val="fr-FR"/>
        </w:rPr>
        <w:t>’</w:t>
      </w:r>
      <w:r w:rsidRPr="00A8791E">
        <w:rPr>
          <w:lang w:val="fr-FR"/>
        </w:rPr>
        <w:t>enregistrement, fournis le 2</w:t>
      </w:r>
      <w:r w:rsidR="007C5516" w:rsidRPr="00A8791E">
        <w:rPr>
          <w:lang w:val="fr-FR"/>
        </w:rPr>
        <w:t>0 janvier 20</w:t>
      </w:r>
      <w:r w:rsidRPr="00A8791E">
        <w:rPr>
          <w:lang w:val="fr-FR"/>
        </w:rPr>
        <w:t>17</w:t>
      </w:r>
      <w:r w:rsidR="002B335E" w:rsidRPr="00A8791E">
        <w:rPr>
          <w:lang w:val="fr-FR"/>
        </w:rPr>
        <w:t>;</w:t>
      </w:r>
    </w:p>
    <w:p w:rsidR="00887717" w:rsidRPr="00A8791E" w:rsidRDefault="000D425A" w:rsidP="00D6665E">
      <w:pPr>
        <w:pStyle w:val="ONUMFS"/>
        <w:numPr>
          <w:ilvl w:val="0"/>
          <w:numId w:val="20"/>
        </w:numPr>
        <w:rPr>
          <w:lang w:val="fr-FR"/>
        </w:rPr>
      </w:pPr>
      <w:r w:rsidRPr="00A8791E">
        <w:rPr>
          <w:lang w:val="fr-FR"/>
        </w:rPr>
        <w:t>Kazakhstan</w:t>
      </w:r>
      <w:r w:rsidR="007C5516" w:rsidRPr="00A8791E">
        <w:rPr>
          <w:lang w:val="fr-FR"/>
        </w:rPr>
        <w:t> :</w:t>
      </w:r>
      <w:r w:rsidRPr="00A8791E">
        <w:rPr>
          <w:lang w:val="fr-FR"/>
        </w:rPr>
        <w:t xml:space="preserve"> </w:t>
      </w:r>
      <w:r w:rsidR="00BC3724" w:rsidRPr="00A8791E">
        <w:rPr>
          <w:lang w:val="fr-FR"/>
        </w:rPr>
        <w:t>conseils concernant les procédures relatives aux demandes et requêtes déposées auprès de l</w:t>
      </w:r>
      <w:r w:rsidR="007C5516" w:rsidRPr="00A8791E">
        <w:rPr>
          <w:lang w:val="fr-FR"/>
        </w:rPr>
        <w:t>’</w:t>
      </w:r>
      <w:r w:rsidR="00BC3724" w:rsidRPr="00A8791E">
        <w:rPr>
          <w:lang w:val="fr-FR"/>
        </w:rPr>
        <w:t>office national d</w:t>
      </w:r>
      <w:r w:rsidR="007C5516" w:rsidRPr="00A8791E">
        <w:rPr>
          <w:lang w:val="fr-FR"/>
        </w:rPr>
        <w:t>’</w:t>
      </w:r>
      <w:r w:rsidR="00BC3724" w:rsidRPr="00A8791E">
        <w:rPr>
          <w:lang w:val="fr-FR"/>
        </w:rPr>
        <w:t>une partie contractante</w:t>
      </w:r>
      <w:r w:rsidR="007C5516" w:rsidRPr="00A8791E">
        <w:rPr>
          <w:lang w:val="fr-FR"/>
        </w:rPr>
        <w:t xml:space="preserve"> du STL</w:t>
      </w:r>
      <w:r w:rsidR="00BC3724" w:rsidRPr="00A8791E">
        <w:rPr>
          <w:lang w:val="fr-FR"/>
        </w:rPr>
        <w:t>T, fournis le</w:t>
      </w:r>
      <w:r w:rsidR="007C5516" w:rsidRPr="00A8791E">
        <w:rPr>
          <w:lang w:val="fr-FR"/>
        </w:rPr>
        <w:t xml:space="preserve"> 1</w:t>
      </w:r>
      <w:r w:rsidR="007C5516" w:rsidRPr="00A8791E">
        <w:rPr>
          <w:vertAlign w:val="superscript"/>
          <w:lang w:val="fr-FR"/>
        </w:rPr>
        <w:t>er</w:t>
      </w:r>
      <w:r w:rsidR="007C5516" w:rsidRPr="00A8791E">
        <w:rPr>
          <w:lang w:val="fr-FR"/>
        </w:rPr>
        <w:t> juin 20</w:t>
      </w:r>
      <w:r w:rsidR="00BC3724" w:rsidRPr="00A8791E">
        <w:rPr>
          <w:lang w:val="fr-FR"/>
        </w:rPr>
        <w:t>15</w:t>
      </w:r>
      <w:r w:rsidRPr="00A8791E">
        <w:rPr>
          <w:lang w:val="fr-FR"/>
        </w:rPr>
        <w:t>;</w:t>
      </w:r>
    </w:p>
    <w:p w:rsidR="00887717" w:rsidRPr="00A8791E" w:rsidRDefault="00D91F90" w:rsidP="00D6665E">
      <w:pPr>
        <w:pStyle w:val="ONUMFS"/>
        <w:numPr>
          <w:ilvl w:val="0"/>
          <w:numId w:val="20"/>
        </w:numPr>
        <w:rPr>
          <w:lang w:val="fr-FR"/>
        </w:rPr>
      </w:pPr>
      <w:r w:rsidRPr="00A8791E">
        <w:rPr>
          <w:lang w:val="fr-FR"/>
        </w:rPr>
        <w:t>Maldives</w:t>
      </w:r>
      <w:r w:rsidR="007C5516" w:rsidRPr="00A8791E">
        <w:rPr>
          <w:lang w:val="fr-FR"/>
        </w:rPr>
        <w:t> :</w:t>
      </w:r>
      <w:r w:rsidR="006626CC" w:rsidRPr="00A8791E">
        <w:rPr>
          <w:lang w:val="fr-FR"/>
        </w:rPr>
        <w:t xml:space="preserve"> </w:t>
      </w:r>
      <w:r w:rsidR="00BC3724" w:rsidRPr="00A8791E">
        <w:rPr>
          <w:lang w:val="fr-FR"/>
        </w:rPr>
        <w:t>conseils sur l</w:t>
      </w:r>
      <w:r w:rsidR="007C5516" w:rsidRPr="00A8791E">
        <w:rPr>
          <w:lang w:val="fr-FR"/>
        </w:rPr>
        <w:t>’</w:t>
      </w:r>
      <w:r w:rsidR="00BC3724" w:rsidRPr="00A8791E">
        <w:rPr>
          <w:lang w:val="fr-FR"/>
        </w:rPr>
        <w:t>élaboration d</w:t>
      </w:r>
      <w:r w:rsidR="007C5516" w:rsidRPr="00A8791E">
        <w:rPr>
          <w:lang w:val="fr-FR"/>
        </w:rPr>
        <w:t>’</w:t>
      </w:r>
      <w:r w:rsidR="00BC3724" w:rsidRPr="00A8791E">
        <w:rPr>
          <w:lang w:val="fr-FR"/>
        </w:rPr>
        <w:t>un règlement sur les marques</w:t>
      </w:r>
      <w:r w:rsidR="00592CF1" w:rsidRPr="00A8791E">
        <w:rPr>
          <w:lang w:val="fr-FR"/>
        </w:rPr>
        <w:t xml:space="preserve">, </w:t>
      </w:r>
      <w:r w:rsidR="007C5516" w:rsidRPr="00A8791E">
        <w:rPr>
          <w:lang w:val="fr-FR"/>
        </w:rPr>
        <w:t>y compris</w:t>
      </w:r>
      <w:r w:rsidR="00BC3724" w:rsidRPr="00A8791E">
        <w:rPr>
          <w:lang w:val="fr-FR"/>
        </w:rPr>
        <w:t xml:space="preserve"> de formulaires administratifs conformes</w:t>
      </w:r>
      <w:r w:rsidR="007C5516" w:rsidRPr="00A8791E">
        <w:rPr>
          <w:lang w:val="fr-FR"/>
        </w:rPr>
        <w:t xml:space="preserve"> au STL</w:t>
      </w:r>
      <w:r w:rsidR="002B335E" w:rsidRPr="00A8791E">
        <w:rPr>
          <w:lang w:val="fr-FR"/>
        </w:rPr>
        <w:t>T</w:t>
      </w:r>
      <w:r w:rsidR="00592CF1" w:rsidRPr="00A8791E">
        <w:rPr>
          <w:lang w:val="fr-FR"/>
        </w:rPr>
        <w:t xml:space="preserve">, </w:t>
      </w:r>
      <w:r w:rsidR="00BC3724" w:rsidRPr="00A8791E">
        <w:rPr>
          <w:lang w:val="fr-FR"/>
        </w:rPr>
        <w:t>fournis le 1</w:t>
      </w:r>
      <w:r w:rsidR="007C5516" w:rsidRPr="00A8791E">
        <w:rPr>
          <w:lang w:val="fr-FR"/>
        </w:rPr>
        <w:t>5 août 20</w:t>
      </w:r>
      <w:r w:rsidR="00BC3724" w:rsidRPr="00A8791E">
        <w:rPr>
          <w:lang w:val="fr-FR"/>
        </w:rPr>
        <w:t>16</w:t>
      </w:r>
      <w:r w:rsidR="006626CC" w:rsidRPr="00A8791E">
        <w:rPr>
          <w:lang w:val="fr-FR"/>
        </w:rPr>
        <w:t>;</w:t>
      </w:r>
    </w:p>
    <w:p w:rsidR="00887717" w:rsidRPr="00A8791E" w:rsidRDefault="00E63D12" w:rsidP="00D6665E">
      <w:pPr>
        <w:pStyle w:val="ONUMFS"/>
        <w:numPr>
          <w:ilvl w:val="0"/>
          <w:numId w:val="20"/>
        </w:numPr>
        <w:rPr>
          <w:lang w:val="fr-FR"/>
        </w:rPr>
      </w:pPr>
      <w:r w:rsidRPr="00A8791E">
        <w:rPr>
          <w:lang w:val="fr-FR"/>
        </w:rPr>
        <w:t>Mauri</w:t>
      </w:r>
      <w:r w:rsidR="00BC3724" w:rsidRPr="00A8791E">
        <w:rPr>
          <w:lang w:val="fr-FR"/>
        </w:rPr>
        <w:t>ce</w:t>
      </w:r>
      <w:r w:rsidR="007C5516" w:rsidRPr="00A8791E">
        <w:rPr>
          <w:lang w:val="fr-FR"/>
        </w:rPr>
        <w:t> :</w:t>
      </w:r>
      <w:r w:rsidRPr="00A8791E">
        <w:rPr>
          <w:lang w:val="fr-FR"/>
        </w:rPr>
        <w:t xml:space="preserve"> </w:t>
      </w:r>
      <w:r w:rsidR="00BC3724" w:rsidRPr="00A8791E">
        <w:rPr>
          <w:lang w:val="fr-FR"/>
        </w:rPr>
        <w:t xml:space="preserve">conseils sur certaines dispositions du projet de loi </w:t>
      </w:r>
      <w:r w:rsidR="00D6665E" w:rsidRPr="00A8791E">
        <w:rPr>
          <w:lang w:val="fr-FR"/>
        </w:rPr>
        <w:t xml:space="preserve">de 2016 </w:t>
      </w:r>
      <w:r w:rsidR="00BC3724" w:rsidRPr="00A8791E">
        <w:rPr>
          <w:lang w:val="fr-FR"/>
        </w:rPr>
        <w:t>sur la propriété industrielle, fournis le 2</w:t>
      </w:r>
      <w:r w:rsidR="007C5516" w:rsidRPr="00A8791E">
        <w:rPr>
          <w:lang w:val="fr-FR"/>
        </w:rPr>
        <w:t>0 janvier 20</w:t>
      </w:r>
      <w:r w:rsidR="00BC3724" w:rsidRPr="00A8791E">
        <w:rPr>
          <w:lang w:val="fr-FR"/>
        </w:rPr>
        <w:t>17</w:t>
      </w:r>
      <w:r w:rsidRPr="00A8791E">
        <w:rPr>
          <w:lang w:val="fr-FR"/>
        </w:rPr>
        <w:t>;</w:t>
      </w:r>
    </w:p>
    <w:p w:rsidR="00887717" w:rsidRPr="00A8791E" w:rsidRDefault="00BB564A" w:rsidP="00D6665E">
      <w:pPr>
        <w:pStyle w:val="ONUMFS"/>
        <w:numPr>
          <w:ilvl w:val="0"/>
          <w:numId w:val="20"/>
        </w:numPr>
        <w:rPr>
          <w:lang w:val="fr-FR"/>
        </w:rPr>
      </w:pPr>
      <w:r w:rsidRPr="00A8791E">
        <w:rPr>
          <w:lang w:val="fr-FR"/>
        </w:rPr>
        <w:t>République populaire démocratique de Corée</w:t>
      </w:r>
      <w:r w:rsidR="007C5516" w:rsidRPr="00A8791E">
        <w:rPr>
          <w:lang w:val="fr-FR"/>
        </w:rPr>
        <w:t> :</w:t>
      </w:r>
      <w:r w:rsidRPr="00A8791E">
        <w:rPr>
          <w:lang w:val="fr-FR"/>
        </w:rPr>
        <w:t xml:space="preserve"> conseils sur l</w:t>
      </w:r>
      <w:r w:rsidR="007C5516" w:rsidRPr="00A8791E">
        <w:rPr>
          <w:lang w:val="fr-FR"/>
        </w:rPr>
        <w:t>’</w:t>
      </w:r>
      <w:r w:rsidRPr="00A8791E">
        <w:rPr>
          <w:lang w:val="fr-FR"/>
        </w:rPr>
        <w:t>application du Traité de Singapour, fournis le 2</w:t>
      </w:r>
      <w:r w:rsidR="007C5516" w:rsidRPr="00A8791E">
        <w:rPr>
          <w:lang w:val="fr-FR"/>
        </w:rPr>
        <w:t>3 novembre 20</w:t>
      </w:r>
      <w:r w:rsidRPr="00A8791E">
        <w:rPr>
          <w:lang w:val="fr-FR"/>
        </w:rPr>
        <w:t>15;</w:t>
      </w:r>
    </w:p>
    <w:p w:rsidR="00887717" w:rsidRPr="00A8791E" w:rsidRDefault="00956E84" w:rsidP="00D6665E">
      <w:pPr>
        <w:pStyle w:val="ONUMFS"/>
        <w:numPr>
          <w:ilvl w:val="0"/>
          <w:numId w:val="20"/>
        </w:numPr>
        <w:rPr>
          <w:lang w:val="fr-FR"/>
        </w:rPr>
      </w:pPr>
      <w:r w:rsidRPr="00A8791E">
        <w:rPr>
          <w:lang w:val="fr-FR"/>
        </w:rPr>
        <w:lastRenderedPageBreak/>
        <w:t>Tonga</w:t>
      </w:r>
      <w:r w:rsidR="007C5516" w:rsidRPr="00A8791E">
        <w:rPr>
          <w:lang w:val="fr-FR"/>
        </w:rPr>
        <w:t> :</w:t>
      </w:r>
      <w:r w:rsidRPr="00A8791E">
        <w:rPr>
          <w:lang w:val="fr-FR"/>
        </w:rPr>
        <w:t xml:space="preserve"> </w:t>
      </w:r>
      <w:r w:rsidR="00BC3724" w:rsidRPr="00A8791E">
        <w:rPr>
          <w:lang w:val="fr-FR"/>
        </w:rPr>
        <w:t xml:space="preserve">commentaires sur la loi </w:t>
      </w:r>
      <w:r w:rsidR="007C5516" w:rsidRPr="00A8791E">
        <w:rPr>
          <w:lang w:val="fr-FR"/>
        </w:rPr>
        <w:t>de 1994</w:t>
      </w:r>
      <w:r w:rsidR="00BC3724" w:rsidRPr="00A8791E">
        <w:rPr>
          <w:lang w:val="fr-FR"/>
        </w:rPr>
        <w:t xml:space="preserve"> sur la propriété industrielle, fournis le 2</w:t>
      </w:r>
      <w:r w:rsidR="007C5516" w:rsidRPr="00A8791E">
        <w:rPr>
          <w:lang w:val="fr-FR"/>
        </w:rPr>
        <w:t>6 janvier 20</w:t>
      </w:r>
      <w:r w:rsidR="00BC3724" w:rsidRPr="00A8791E">
        <w:rPr>
          <w:lang w:val="fr-FR"/>
        </w:rPr>
        <w:t>17</w:t>
      </w:r>
      <w:r w:rsidRPr="00A8791E">
        <w:rPr>
          <w:lang w:val="fr-FR"/>
        </w:rPr>
        <w:t>;</w:t>
      </w:r>
    </w:p>
    <w:p w:rsidR="00887717" w:rsidRPr="00A8791E" w:rsidRDefault="00956E84" w:rsidP="00D6665E">
      <w:pPr>
        <w:pStyle w:val="ONUMFS"/>
        <w:numPr>
          <w:ilvl w:val="0"/>
          <w:numId w:val="20"/>
        </w:numPr>
        <w:rPr>
          <w:lang w:val="fr-FR"/>
        </w:rPr>
      </w:pPr>
      <w:r w:rsidRPr="00A8791E">
        <w:rPr>
          <w:lang w:val="fr-FR"/>
        </w:rPr>
        <w:t>Trini</w:t>
      </w:r>
      <w:r w:rsidR="00BC3724" w:rsidRPr="00A8791E">
        <w:rPr>
          <w:lang w:val="fr-FR"/>
        </w:rPr>
        <w:t>té</w:t>
      </w:r>
      <w:r w:rsidR="00D6665E" w:rsidRPr="00A8791E">
        <w:rPr>
          <w:lang w:val="fr-FR"/>
        </w:rPr>
        <w:noBreakHyphen/>
      </w:r>
      <w:r w:rsidR="00BC3724" w:rsidRPr="00A8791E">
        <w:rPr>
          <w:lang w:val="fr-FR"/>
        </w:rPr>
        <w:t>et</w:t>
      </w:r>
      <w:r w:rsidR="00D6665E" w:rsidRPr="00A8791E">
        <w:rPr>
          <w:lang w:val="fr-FR"/>
        </w:rPr>
        <w:noBreakHyphen/>
      </w:r>
      <w:r w:rsidRPr="00A8791E">
        <w:rPr>
          <w:lang w:val="fr-FR"/>
        </w:rPr>
        <w:t>Tobago</w:t>
      </w:r>
      <w:r w:rsidR="007C5516" w:rsidRPr="00A8791E">
        <w:rPr>
          <w:lang w:val="fr-FR"/>
        </w:rPr>
        <w:t> :</w:t>
      </w:r>
      <w:r w:rsidRPr="00A8791E">
        <w:rPr>
          <w:lang w:val="fr-FR"/>
        </w:rPr>
        <w:t xml:space="preserve"> </w:t>
      </w:r>
      <w:r w:rsidR="00BC3724" w:rsidRPr="00A8791E">
        <w:rPr>
          <w:lang w:val="fr-FR"/>
        </w:rPr>
        <w:t>commentaires sur le projet de règlement sur les marques</w:t>
      </w:r>
      <w:r w:rsidRPr="00A8791E">
        <w:rPr>
          <w:lang w:val="fr-FR"/>
        </w:rPr>
        <w:t xml:space="preserve">, </w:t>
      </w:r>
      <w:r w:rsidR="00BB564A" w:rsidRPr="00A8791E">
        <w:rPr>
          <w:lang w:val="fr-FR"/>
        </w:rPr>
        <w:t xml:space="preserve">fournis le </w:t>
      </w:r>
      <w:r w:rsidR="007C5516" w:rsidRPr="00A8791E">
        <w:rPr>
          <w:lang w:val="fr-FR"/>
        </w:rPr>
        <w:t>8 mai 20</w:t>
      </w:r>
      <w:r w:rsidRPr="00A8791E">
        <w:rPr>
          <w:lang w:val="fr-FR"/>
        </w:rPr>
        <w:t>15</w:t>
      </w:r>
      <w:r w:rsidR="00397B6E" w:rsidRPr="00A8791E">
        <w:rPr>
          <w:lang w:val="fr-FR"/>
        </w:rPr>
        <w:t>.</w:t>
      </w:r>
    </w:p>
    <w:p w:rsidR="00DF7BE5" w:rsidRPr="00A8791E" w:rsidRDefault="00DF7BE5" w:rsidP="00D6665E">
      <w:pPr>
        <w:pStyle w:val="Heading1"/>
      </w:pPr>
      <w:r w:rsidRPr="00A8791E">
        <w:t>III.</w:t>
      </w:r>
      <w:r w:rsidRPr="00A8791E">
        <w:tab/>
      </w:r>
      <w:r w:rsidR="00887717" w:rsidRPr="00A8791E">
        <w:t>Activités relatives à l</w:t>
      </w:r>
      <w:r w:rsidR="007C5516" w:rsidRPr="00A8791E">
        <w:t>’</w:t>
      </w:r>
      <w:r w:rsidR="00887717" w:rsidRPr="00A8791E">
        <w:t>information, l</w:t>
      </w:r>
      <w:r w:rsidR="007C5516" w:rsidRPr="00A8791E">
        <w:t>’</w:t>
      </w:r>
      <w:r w:rsidR="00887717" w:rsidRPr="00A8791E">
        <w:t>éducation, la sensibilisation et l</w:t>
      </w:r>
      <w:r w:rsidR="007C5516" w:rsidRPr="00A8791E">
        <w:t>’</w:t>
      </w:r>
      <w:r w:rsidR="00887717" w:rsidRPr="00A8791E">
        <w:t>assistance à la révision des pratiques et procédures administratives</w:t>
      </w:r>
    </w:p>
    <w:p w:rsidR="00DF7BE5" w:rsidRPr="00A8791E" w:rsidRDefault="00DF7BE5" w:rsidP="00D6665E">
      <w:pPr>
        <w:tabs>
          <w:tab w:val="left" w:pos="567"/>
        </w:tabs>
        <w:rPr>
          <w:lang w:val="fr-FR"/>
        </w:rPr>
      </w:pPr>
    </w:p>
    <w:p w:rsidR="00DF7BE5" w:rsidRPr="00A8791E" w:rsidRDefault="009641D8" w:rsidP="00D6665E">
      <w:pPr>
        <w:pStyle w:val="ONUMFS"/>
        <w:rPr>
          <w:lang w:val="fr-FR"/>
        </w:rPr>
      </w:pPr>
      <w:r w:rsidRPr="00A8791E">
        <w:rPr>
          <w:lang w:val="fr-FR"/>
        </w:rPr>
        <w:t>Les informations relevant de cette rubrique portent également sur les activités entreprises en relation avec le Traité sur le droit des marques (TLT), l</w:t>
      </w:r>
      <w:r w:rsidR="007C5516" w:rsidRPr="00A8791E">
        <w:rPr>
          <w:lang w:val="fr-FR"/>
        </w:rPr>
        <w:t>’</w:t>
      </w:r>
      <w:r w:rsidRPr="00A8791E">
        <w:rPr>
          <w:lang w:val="fr-FR"/>
        </w:rPr>
        <w:t>instrument international qui a été révisé par le Traité de Singapour et qui contient donc toutes les dispositions de fond figurant dans ce derni</w:t>
      </w:r>
      <w:r w:rsidR="00E65761" w:rsidRPr="00A8791E">
        <w:rPr>
          <w:lang w:val="fr-FR"/>
        </w:rPr>
        <w:t>er.  Ce</w:t>
      </w:r>
      <w:r w:rsidRPr="00A8791E">
        <w:rPr>
          <w:lang w:val="fr-FR"/>
        </w:rPr>
        <w:t>s informations sont présentées dans l</w:t>
      </w:r>
      <w:r w:rsidR="007C5516" w:rsidRPr="00A8791E">
        <w:rPr>
          <w:lang w:val="fr-FR"/>
        </w:rPr>
        <w:t>’</w:t>
      </w:r>
      <w:r w:rsidRPr="00A8791E">
        <w:rPr>
          <w:lang w:val="fr-FR"/>
        </w:rPr>
        <w:t>ordre chronologique des activités.</w:t>
      </w:r>
    </w:p>
    <w:p w:rsidR="003044D7" w:rsidRPr="00A8791E" w:rsidRDefault="009641D8" w:rsidP="00D6665E">
      <w:pPr>
        <w:pStyle w:val="Heading3"/>
        <w:rPr>
          <w:lang w:val="fr-FR"/>
        </w:rPr>
      </w:pPr>
      <w:r w:rsidRPr="00A8791E">
        <w:rPr>
          <w:lang w:val="fr-FR"/>
        </w:rPr>
        <w:t>Missions de conseil</w:t>
      </w:r>
    </w:p>
    <w:p w:rsidR="003044D7" w:rsidRPr="00A8791E" w:rsidRDefault="003044D7" w:rsidP="00D6665E">
      <w:pPr>
        <w:rPr>
          <w:lang w:val="fr-FR"/>
        </w:rPr>
      </w:pPr>
    </w:p>
    <w:p w:rsidR="00BB6C0D" w:rsidRPr="00A8791E" w:rsidRDefault="00BB564A" w:rsidP="00D6665E">
      <w:pPr>
        <w:pStyle w:val="ONUMFS"/>
        <w:numPr>
          <w:ilvl w:val="0"/>
          <w:numId w:val="20"/>
        </w:numPr>
        <w:rPr>
          <w:lang w:val="fr-FR"/>
        </w:rPr>
      </w:pPr>
      <w:r w:rsidRPr="00A8791E">
        <w:rPr>
          <w:lang w:val="fr-FR"/>
        </w:rPr>
        <w:t xml:space="preserve">Les 7 et </w:t>
      </w:r>
      <w:r w:rsidR="007C5516" w:rsidRPr="00A8791E">
        <w:rPr>
          <w:lang w:val="fr-FR"/>
        </w:rPr>
        <w:t>8 avril 20</w:t>
      </w:r>
      <w:r w:rsidRPr="00A8791E">
        <w:rPr>
          <w:lang w:val="fr-FR"/>
        </w:rPr>
        <w:t>16, un fonctionnaire de l</w:t>
      </w:r>
      <w:r w:rsidR="007C5516" w:rsidRPr="00A8791E">
        <w:rPr>
          <w:lang w:val="fr-FR"/>
        </w:rPr>
        <w:t>’</w:t>
      </w:r>
      <w:r w:rsidRPr="00A8791E">
        <w:rPr>
          <w:lang w:val="fr-FR"/>
        </w:rPr>
        <w:t xml:space="preserve">OMPI a effectué une mission de conseil à </w:t>
      </w:r>
      <w:r w:rsidR="000D425A" w:rsidRPr="00A8791E">
        <w:rPr>
          <w:lang w:val="fr-FR"/>
        </w:rPr>
        <w:t>Phnom Penh</w:t>
      </w:r>
      <w:r w:rsidRPr="00A8791E">
        <w:rPr>
          <w:lang w:val="fr-FR"/>
        </w:rPr>
        <w:t xml:space="preserve"> (Cambodge) pour vérifier la compatibilité des procédures nationales en matière de marques avec les dispositions</w:t>
      </w:r>
      <w:r w:rsidR="007C5516" w:rsidRPr="00A8791E">
        <w:rPr>
          <w:lang w:val="fr-FR"/>
        </w:rPr>
        <w:t xml:space="preserve"> du STL</w:t>
      </w:r>
      <w:r w:rsidRPr="00A8791E">
        <w:rPr>
          <w:lang w:val="fr-FR"/>
        </w:rPr>
        <w:t>T</w:t>
      </w:r>
      <w:r w:rsidR="000D425A" w:rsidRPr="00A8791E">
        <w:rPr>
          <w:lang w:val="fr-FR"/>
        </w:rPr>
        <w:t>.</w:t>
      </w:r>
    </w:p>
    <w:p w:rsidR="005D6109" w:rsidRPr="00A8791E" w:rsidRDefault="009641D8" w:rsidP="00D6665E">
      <w:pPr>
        <w:pStyle w:val="Heading3"/>
        <w:rPr>
          <w:lang w:val="fr-FR"/>
        </w:rPr>
      </w:pPr>
      <w:r w:rsidRPr="00A8791E">
        <w:rPr>
          <w:lang w:val="fr-FR"/>
        </w:rPr>
        <w:t>Séminaires et ateliers</w:t>
      </w:r>
    </w:p>
    <w:p w:rsidR="008F4582" w:rsidRPr="00A8791E" w:rsidRDefault="008F4582" w:rsidP="00D6665E">
      <w:pPr>
        <w:rPr>
          <w:lang w:val="fr-FR"/>
        </w:rPr>
      </w:pPr>
    </w:p>
    <w:p w:rsidR="00887717" w:rsidRPr="00A8791E" w:rsidRDefault="004B7635" w:rsidP="00D6665E">
      <w:pPr>
        <w:pStyle w:val="ONUMFS"/>
        <w:numPr>
          <w:ilvl w:val="0"/>
          <w:numId w:val="22"/>
        </w:numPr>
        <w:rPr>
          <w:lang w:val="fr-FR"/>
        </w:rPr>
      </w:pPr>
      <w:r w:rsidRPr="00A8791E">
        <w:rPr>
          <w:lang w:val="fr-FR"/>
        </w:rPr>
        <w:t xml:space="preserve">Les 5 et </w:t>
      </w:r>
      <w:r w:rsidR="007C5516" w:rsidRPr="00A8791E">
        <w:rPr>
          <w:lang w:val="fr-FR"/>
        </w:rPr>
        <w:t>6 novembre 20</w:t>
      </w:r>
      <w:r w:rsidR="00BB6C0D" w:rsidRPr="00A8791E">
        <w:rPr>
          <w:lang w:val="fr-FR"/>
        </w:rPr>
        <w:t xml:space="preserve">15, </w:t>
      </w:r>
      <w:r w:rsidR="00333A36" w:rsidRPr="00A8791E">
        <w:rPr>
          <w:lang w:val="fr-FR"/>
        </w:rPr>
        <w:t>un séminaire sous</w:t>
      </w:r>
      <w:r w:rsidR="00D6665E" w:rsidRPr="00A8791E">
        <w:rPr>
          <w:lang w:val="fr-FR"/>
        </w:rPr>
        <w:noBreakHyphen/>
      </w:r>
      <w:r w:rsidR="00333A36" w:rsidRPr="00A8791E">
        <w:rPr>
          <w:lang w:val="fr-FR"/>
        </w:rPr>
        <w:t>régional sur le Traité de Singapour sur le droit des marques (STLT)</w:t>
      </w:r>
      <w:r w:rsidR="00BB6C0D" w:rsidRPr="00A8791E">
        <w:rPr>
          <w:lang w:val="fr-FR"/>
        </w:rPr>
        <w:t xml:space="preserve"> –</w:t>
      </w:r>
      <w:r w:rsidR="00D6665E" w:rsidRPr="00A8791E">
        <w:rPr>
          <w:lang w:val="fr-FR"/>
        </w:rPr>
        <w:t xml:space="preserve"> </w:t>
      </w:r>
      <w:r w:rsidR="00333A36" w:rsidRPr="00A8791E">
        <w:rPr>
          <w:lang w:val="fr-FR"/>
        </w:rPr>
        <w:t xml:space="preserve">défis à relever dans les </w:t>
      </w:r>
      <w:r w:rsidR="00BC53B1">
        <w:rPr>
          <w:lang w:val="fr-FR"/>
        </w:rPr>
        <w:t>affaires au</w:t>
      </w:r>
      <w:r w:rsidR="00BC53B1" w:rsidRPr="00A8791E">
        <w:rPr>
          <w:lang w:val="fr-FR"/>
        </w:rPr>
        <w:t xml:space="preserve"> </w:t>
      </w:r>
      <w:r w:rsidR="00333A36" w:rsidRPr="00A8791E">
        <w:rPr>
          <w:lang w:val="fr-FR"/>
        </w:rPr>
        <w:t>quotidien, s</w:t>
      </w:r>
      <w:r w:rsidR="007C5516" w:rsidRPr="00A8791E">
        <w:rPr>
          <w:lang w:val="fr-FR"/>
        </w:rPr>
        <w:t>’</w:t>
      </w:r>
      <w:r w:rsidR="00333A36" w:rsidRPr="00A8791E">
        <w:rPr>
          <w:lang w:val="fr-FR"/>
        </w:rPr>
        <w:t>est tenu à Manille (</w:t>
      </w:r>
      <w:r w:rsidR="00BB6C0D" w:rsidRPr="00A8791E">
        <w:rPr>
          <w:lang w:val="fr-FR"/>
        </w:rPr>
        <w:t>Philippin</w:t>
      </w:r>
      <w:r w:rsidR="00E65761" w:rsidRPr="00A8791E">
        <w:rPr>
          <w:lang w:val="fr-FR"/>
        </w:rPr>
        <w:t>es).  Ce</w:t>
      </w:r>
      <w:r w:rsidR="00333A36" w:rsidRPr="00A8791E">
        <w:rPr>
          <w:lang w:val="fr-FR"/>
        </w:rPr>
        <w:t>tte activité a été organisée par le Bureau de l</w:t>
      </w:r>
      <w:r w:rsidR="007C5516" w:rsidRPr="00A8791E">
        <w:rPr>
          <w:lang w:val="fr-FR"/>
        </w:rPr>
        <w:t>’</w:t>
      </w:r>
      <w:r w:rsidR="00333A36" w:rsidRPr="00A8791E">
        <w:rPr>
          <w:lang w:val="fr-FR"/>
        </w:rPr>
        <w:t xml:space="preserve">OMPI à Singapour, en </w:t>
      </w:r>
      <w:r w:rsidR="0026327E" w:rsidRPr="00A8791E">
        <w:rPr>
          <w:lang w:val="fr-FR"/>
        </w:rPr>
        <w:t>collaboration</w:t>
      </w:r>
      <w:r w:rsidR="00333A36" w:rsidRPr="00A8791E">
        <w:rPr>
          <w:lang w:val="fr-FR"/>
        </w:rPr>
        <w:t xml:space="preserve"> avec l</w:t>
      </w:r>
      <w:r w:rsidR="007C5516" w:rsidRPr="00A8791E">
        <w:rPr>
          <w:lang w:val="fr-FR"/>
        </w:rPr>
        <w:t>’</w:t>
      </w:r>
      <w:r w:rsidR="00333A36" w:rsidRPr="00A8791E">
        <w:rPr>
          <w:lang w:val="fr-FR"/>
        </w:rPr>
        <w:t>Office de la propriété intellectuelle des Philippines (</w:t>
      </w:r>
      <w:r w:rsidR="00AE3E1F" w:rsidRPr="00A8791E">
        <w:rPr>
          <w:lang w:val="fr-FR"/>
        </w:rPr>
        <w:t>IPOPHL)</w:t>
      </w:r>
      <w:r w:rsidR="00333A36" w:rsidRPr="00A8791E">
        <w:rPr>
          <w:lang w:val="fr-FR"/>
        </w:rPr>
        <w:t xml:space="preserve"> et le Groupe de travail </w:t>
      </w:r>
      <w:r w:rsidR="00D6665E" w:rsidRPr="00A8791E">
        <w:rPr>
          <w:lang w:val="fr-FR"/>
        </w:rPr>
        <w:t xml:space="preserve">de </w:t>
      </w:r>
      <w:r w:rsidR="00333A36" w:rsidRPr="00A8791E">
        <w:rPr>
          <w:lang w:val="fr-FR"/>
        </w:rPr>
        <w:t>l</w:t>
      </w:r>
      <w:r w:rsidR="007C5516" w:rsidRPr="00A8791E">
        <w:rPr>
          <w:lang w:val="fr-FR"/>
        </w:rPr>
        <w:t>’</w:t>
      </w:r>
      <w:r w:rsidR="00333A36" w:rsidRPr="00A8791E">
        <w:rPr>
          <w:lang w:val="fr-FR"/>
        </w:rPr>
        <w:t>Association des nations de l</w:t>
      </w:r>
      <w:r w:rsidR="007C5516" w:rsidRPr="00A8791E">
        <w:rPr>
          <w:lang w:val="fr-FR"/>
        </w:rPr>
        <w:t>’</w:t>
      </w:r>
      <w:r w:rsidR="00333A36" w:rsidRPr="00A8791E">
        <w:rPr>
          <w:lang w:val="fr-FR"/>
        </w:rPr>
        <w:t>Asie du Sud</w:t>
      </w:r>
      <w:r w:rsidR="00D6665E" w:rsidRPr="00A8791E">
        <w:rPr>
          <w:lang w:val="fr-FR"/>
        </w:rPr>
        <w:noBreakHyphen/>
      </w:r>
      <w:r w:rsidR="00333A36" w:rsidRPr="00A8791E">
        <w:rPr>
          <w:lang w:val="fr-FR"/>
        </w:rPr>
        <w:t>Est (ASEAN)</w:t>
      </w:r>
      <w:r w:rsidR="00526114" w:rsidRPr="00A8791E">
        <w:rPr>
          <w:lang w:val="fr-FR"/>
        </w:rPr>
        <w:t xml:space="preserve"> </w:t>
      </w:r>
      <w:r w:rsidR="00333A36" w:rsidRPr="00A8791E">
        <w:rPr>
          <w:lang w:val="fr-FR"/>
        </w:rPr>
        <w:t>sur la coopération dans le domaine de la propriété intellectuel</w:t>
      </w:r>
      <w:r w:rsidR="00E65761" w:rsidRPr="00A8791E">
        <w:rPr>
          <w:lang w:val="fr-FR"/>
        </w:rPr>
        <w:t>le</w:t>
      </w:r>
      <w:r w:rsidR="00BC53B1">
        <w:rPr>
          <w:lang w:val="fr-FR"/>
        </w:rPr>
        <w:t xml:space="preserve"> </w:t>
      </w:r>
      <w:r w:rsidR="00BC53B1">
        <w:t>(AWGIPC)</w:t>
      </w:r>
      <w:r w:rsidR="00E65761" w:rsidRPr="00A8791E">
        <w:rPr>
          <w:lang w:val="fr-FR"/>
        </w:rPr>
        <w:t>.</w:t>
      </w:r>
      <w:r w:rsidR="00BC53B1">
        <w:rPr>
          <w:lang w:val="fr-FR"/>
        </w:rPr>
        <w:t xml:space="preserve"> </w:t>
      </w:r>
      <w:r w:rsidR="00E65761" w:rsidRPr="00A8791E">
        <w:rPr>
          <w:lang w:val="fr-FR"/>
        </w:rPr>
        <w:t xml:space="preserve"> De</w:t>
      </w:r>
      <w:r w:rsidR="00333A36" w:rsidRPr="00A8791E">
        <w:rPr>
          <w:lang w:val="fr-FR"/>
        </w:rPr>
        <w:t>ux</w:t>
      </w:r>
      <w:r w:rsidR="001A77DE" w:rsidRPr="00A8791E">
        <w:rPr>
          <w:lang w:val="fr-FR"/>
        </w:rPr>
        <w:t> </w:t>
      </w:r>
      <w:r w:rsidR="00333A36" w:rsidRPr="00A8791E">
        <w:rPr>
          <w:lang w:val="fr-FR"/>
        </w:rPr>
        <w:t>participants de chacun des États membres ci</w:t>
      </w:r>
      <w:r w:rsidR="00D6665E" w:rsidRPr="00A8791E">
        <w:rPr>
          <w:lang w:val="fr-FR"/>
        </w:rPr>
        <w:noBreakHyphen/>
      </w:r>
      <w:r w:rsidR="00333A36" w:rsidRPr="00A8791E">
        <w:rPr>
          <w:lang w:val="fr-FR"/>
        </w:rPr>
        <w:t>après de l</w:t>
      </w:r>
      <w:r w:rsidR="007C5516" w:rsidRPr="00A8791E">
        <w:rPr>
          <w:lang w:val="fr-FR"/>
        </w:rPr>
        <w:t>’</w:t>
      </w:r>
      <w:r w:rsidR="00333A36" w:rsidRPr="00A8791E">
        <w:rPr>
          <w:lang w:val="fr-FR"/>
        </w:rPr>
        <w:t>ASEAN ont pris part à ce séminaire</w:t>
      </w:r>
      <w:r w:rsidR="007C5516" w:rsidRPr="00A8791E">
        <w:rPr>
          <w:lang w:val="fr-FR"/>
        </w:rPr>
        <w:t> :</w:t>
      </w:r>
      <w:r w:rsidR="003951BE" w:rsidRPr="00A8791E">
        <w:rPr>
          <w:lang w:val="fr-FR"/>
        </w:rPr>
        <w:t xml:space="preserve"> </w:t>
      </w:r>
      <w:proofErr w:type="spellStart"/>
      <w:r w:rsidR="003951BE" w:rsidRPr="00A8791E">
        <w:rPr>
          <w:lang w:val="fr-FR"/>
        </w:rPr>
        <w:t>Brun</w:t>
      </w:r>
      <w:r w:rsidR="00333A36" w:rsidRPr="00A8791E">
        <w:rPr>
          <w:lang w:val="fr-FR"/>
        </w:rPr>
        <w:t>é</w:t>
      </w:r>
      <w:r w:rsidR="003951BE" w:rsidRPr="00A8791E">
        <w:rPr>
          <w:lang w:val="fr-FR"/>
        </w:rPr>
        <w:t>i</w:t>
      </w:r>
      <w:proofErr w:type="spellEnd"/>
      <w:r w:rsidR="003951BE" w:rsidRPr="00A8791E">
        <w:rPr>
          <w:lang w:val="fr-FR"/>
        </w:rPr>
        <w:t> </w:t>
      </w:r>
      <w:r w:rsidR="00333A36" w:rsidRPr="00A8791E">
        <w:rPr>
          <w:lang w:val="fr-FR"/>
        </w:rPr>
        <w:t>Darussalam, Cambodge</w:t>
      </w:r>
      <w:r w:rsidR="00BA7477" w:rsidRPr="00A8791E">
        <w:rPr>
          <w:lang w:val="fr-FR"/>
        </w:rPr>
        <w:t>, Indon</w:t>
      </w:r>
      <w:r w:rsidR="00333A36" w:rsidRPr="00A8791E">
        <w:rPr>
          <w:lang w:val="fr-FR"/>
        </w:rPr>
        <w:t>é</w:t>
      </w:r>
      <w:r w:rsidR="00BA7477" w:rsidRPr="00A8791E">
        <w:rPr>
          <w:lang w:val="fr-FR"/>
        </w:rPr>
        <w:t>si</w:t>
      </w:r>
      <w:r w:rsidR="00333A36" w:rsidRPr="00A8791E">
        <w:rPr>
          <w:lang w:val="fr-FR"/>
        </w:rPr>
        <w:t>e</w:t>
      </w:r>
      <w:r w:rsidR="00BA7477" w:rsidRPr="00A8791E">
        <w:rPr>
          <w:lang w:val="fr-FR"/>
        </w:rPr>
        <w:t>, Mala</w:t>
      </w:r>
      <w:r w:rsidR="00333A36" w:rsidRPr="00A8791E">
        <w:rPr>
          <w:lang w:val="fr-FR"/>
        </w:rPr>
        <w:t>i</w:t>
      </w:r>
      <w:r w:rsidR="00BA7477" w:rsidRPr="00A8791E">
        <w:rPr>
          <w:lang w:val="fr-FR"/>
        </w:rPr>
        <w:t>si</w:t>
      </w:r>
      <w:r w:rsidR="00333A36" w:rsidRPr="00A8791E">
        <w:rPr>
          <w:lang w:val="fr-FR"/>
        </w:rPr>
        <w:t>e</w:t>
      </w:r>
      <w:r w:rsidR="00BA7477" w:rsidRPr="00A8791E">
        <w:rPr>
          <w:lang w:val="fr-FR"/>
        </w:rPr>
        <w:t>, Myanmar</w:t>
      </w:r>
      <w:r w:rsidR="00AE3E1F" w:rsidRPr="00A8791E">
        <w:rPr>
          <w:lang w:val="fr-FR"/>
        </w:rPr>
        <w:t xml:space="preserve">, </w:t>
      </w:r>
      <w:r w:rsidR="00835679" w:rsidRPr="00A8791E">
        <w:rPr>
          <w:lang w:val="fr-FR"/>
        </w:rPr>
        <w:t xml:space="preserve">République démocratique populaire lao, </w:t>
      </w:r>
      <w:r w:rsidR="00AE3E1F" w:rsidRPr="00A8791E">
        <w:rPr>
          <w:lang w:val="fr-FR"/>
        </w:rPr>
        <w:t>Singapo</w:t>
      </w:r>
      <w:r w:rsidR="00333A36" w:rsidRPr="00A8791E">
        <w:rPr>
          <w:lang w:val="fr-FR"/>
        </w:rPr>
        <w:t>ur, Thaï</w:t>
      </w:r>
      <w:r w:rsidR="00AE3E1F" w:rsidRPr="00A8791E">
        <w:rPr>
          <w:lang w:val="fr-FR"/>
        </w:rPr>
        <w:t>land</w:t>
      </w:r>
      <w:r w:rsidR="00333A36" w:rsidRPr="00A8791E">
        <w:rPr>
          <w:lang w:val="fr-FR"/>
        </w:rPr>
        <w:t>e</w:t>
      </w:r>
      <w:r w:rsidR="00AE3E1F" w:rsidRPr="00A8791E">
        <w:rPr>
          <w:lang w:val="fr-FR"/>
        </w:rPr>
        <w:t xml:space="preserve"> </w:t>
      </w:r>
      <w:r w:rsidR="00333A36" w:rsidRPr="00A8791E">
        <w:rPr>
          <w:lang w:val="fr-FR"/>
        </w:rPr>
        <w:t>et</w:t>
      </w:r>
      <w:r w:rsidR="00AE3E1F" w:rsidRPr="00A8791E">
        <w:rPr>
          <w:lang w:val="fr-FR"/>
        </w:rPr>
        <w:t xml:space="preserve"> Viet </w:t>
      </w:r>
      <w:r w:rsidR="00BA7477" w:rsidRPr="00A8791E">
        <w:rPr>
          <w:lang w:val="fr-FR"/>
        </w:rPr>
        <w:t>Nam.</w:t>
      </w:r>
    </w:p>
    <w:p w:rsidR="00887717" w:rsidRPr="00A8791E" w:rsidRDefault="00835679" w:rsidP="00D6665E">
      <w:pPr>
        <w:pStyle w:val="ONUMFS"/>
        <w:numPr>
          <w:ilvl w:val="0"/>
          <w:numId w:val="22"/>
        </w:numPr>
        <w:rPr>
          <w:lang w:val="fr-FR"/>
        </w:rPr>
      </w:pPr>
      <w:r w:rsidRPr="00A8791E">
        <w:rPr>
          <w:lang w:val="fr-FR"/>
        </w:rPr>
        <w:t xml:space="preserve">Le </w:t>
      </w:r>
      <w:r w:rsidR="007C5516" w:rsidRPr="00A8791E">
        <w:rPr>
          <w:lang w:val="fr-FR"/>
        </w:rPr>
        <w:t>7 juillet 20</w:t>
      </w:r>
      <w:r w:rsidRPr="00A8791E">
        <w:rPr>
          <w:lang w:val="fr-FR"/>
        </w:rPr>
        <w:t>16, le trente</w:t>
      </w:r>
      <w:r w:rsidR="00D6665E" w:rsidRPr="00A8791E">
        <w:rPr>
          <w:lang w:val="fr-FR"/>
        </w:rPr>
        <w:noBreakHyphen/>
      </w:r>
      <w:r w:rsidRPr="00A8791E">
        <w:rPr>
          <w:lang w:val="fr-FR"/>
        </w:rPr>
        <w:t>quatrième atelier régional à l</w:t>
      </w:r>
      <w:r w:rsidR="007C5516" w:rsidRPr="00A8791E">
        <w:rPr>
          <w:lang w:val="fr-FR"/>
        </w:rPr>
        <w:t>’</w:t>
      </w:r>
      <w:r w:rsidRPr="00A8791E">
        <w:rPr>
          <w:lang w:val="fr-FR"/>
        </w:rPr>
        <w:t xml:space="preserve">intention des offices </w:t>
      </w:r>
      <w:r w:rsidR="00D6665E" w:rsidRPr="00A8791E">
        <w:rPr>
          <w:lang w:val="fr-FR"/>
        </w:rPr>
        <w:t xml:space="preserve">de </w:t>
      </w:r>
      <w:r w:rsidRPr="00A8791E">
        <w:rPr>
          <w:lang w:val="fr-FR"/>
        </w:rPr>
        <w:t>propriété industrielle d</w:t>
      </w:r>
      <w:r w:rsidR="007C5516" w:rsidRPr="00A8791E">
        <w:rPr>
          <w:lang w:val="fr-FR"/>
        </w:rPr>
        <w:t>’</w:t>
      </w:r>
      <w:r w:rsidRPr="00A8791E">
        <w:rPr>
          <w:lang w:val="fr-FR"/>
        </w:rPr>
        <w:t>Amérique latine a été organisé par le Bureau de l</w:t>
      </w:r>
      <w:r w:rsidR="007C5516" w:rsidRPr="00A8791E">
        <w:rPr>
          <w:lang w:val="fr-FR"/>
        </w:rPr>
        <w:t>’</w:t>
      </w:r>
      <w:r w:rsidRPr="00A8791E">
        <w:rPr>
          <w:lang w:val="fr-FR"/>
        </w:rPr>
        <w:t>OMPI au Brésil</w:t>
      </w:r>
      <w:r w:rsidR="00D6665E" w:rsidRPr="00A8791E">
        <w:rPr>
          <w:lang w:val="fr-FR"/>
        </w:rPr>
        <w:t>,</w:t>
      </w:r>
      <w:r w:rsidRPr="00A8791E">
        <w:rPr>
          <w:lang w:val="fr-FR"/>
        </w:rPr>
        <w:t xml:space="preserve"> à Rio de Janei</w:t>
      </w:r>
      <w:r w:rsidR="00E65761" w:rsidRPr="00A8791E">
        <w:rPr>
          <w:lang w:val="fr-FR"/>
        </w:rPr>
        <w:t>ro.  Un</w:t>
      </w:r>
      <w:r w:rsidRPr="00A8791E">
        <w:rPr>
          <w:lang w:val="fr-FR"/>
        </w:rPr>
        <w:t>e séance de formation a été consacrée</w:t>
      </w:r>
      <w:r w:rsidR="007C5516" w:rsidRPr="00A8791E">
        <w:rPr>
          <w:lang w:val="fr-FR"/>
        </w:rPr>
        <w:t xml:space="preserve"> au S</w:t>
      </w:r>
      <w:r w:rsidR="00E65761" w:rsidRPr="00A8791E">
        <w:rPr>
          <w:lang w:val="fr-FR"/>
        </w:rPr>
        <w:t>TLT.  De</w:t>
      </w:r>
      <w:r w:rsidRPr="00A8791E">
        <w:rPr>
          <w:lang w:val="fr-FR"/>
        </w:rPr>
        <w:t>s participants des pays ci</w:t>
      </w:r>
      <w:r w:rsidR="00D6665E" w:rsidRPr="00A8791E">
        <w:rPr>
          <w:lang w:val="fr-FR"/>
        </w:rPr>
        <w:noBreakHyphen/>
      </w:r>
      <w:r w:rsidRPr="00A8791E">
        <w:rPr>
          <w:lang w:val="fr-FR"/>
        </w:rPr>
        <w:t>après d</w:t>
      </w:r>
      <w:r w:rsidR="007C5516" w:rsidRPr="00A8791E">
        <w:rPr>
          <w:lang w:val="fr-FR"/>
        </w:rPr>
        <w:t>’</w:t>
      </w:r>
      <w:r w:rsidRPr="00A8791E">
        <w:rPr>
          <w:lang w:val="fr-FR"/>
        </w:rPr>
        <w:t>Amérique latine ont pris part à cette activité</w:t>
      </w:r>
      <w:r w:rsidR="007C5516" w:rsidRPr="00A8791E">
        <w:rPr>
          <w:lang w:val="fr-FR"/>
        </w:rPr>
        <w:t> :</w:t>
      </w:r>
      <w:r w:rsidR="005D5EF2" w:rsidRPr="00A8791E">
        <w:rPr>
          <w:lang w:val="fr-FR"/>
        </w:rPr>
        <w:t xml:space="preserve"> Argentin</w:t>
      </w:r>
      <w:r w:rsidRPr="00A8791E">
        <w:rPr>
          <w:lang w:val="fr-FR"/>
        </w:rPr>
        <w:t>e</w:t>
      </w:r>
      <w:r w:rsidR="005D5EF2" w:rsidRPr="00A8791E">
        <w:rPr>
          <w:lang w:val="fr-FR"/>
        </w:rPr>
        <w:t>, Bolivi</w:t>
      </w:r>
      <w:r w:rsidRPr="00A8791E">
        <w:rPr>
          <w:lang w:val="fr-FR"/>
        </w:rPr>
        <w:t>e</w:t>
      </w:r>
      <w:r w:rsidR="009529F3" w:rsidRPr="00A8791E">
        <w:rPr>
          <w:lang w:val="fr-FR"/>
        </w:rPr>
        <w:t> (</w:t>
      </w:r>
      <w:r w:rsidRPr="00A8791E">
        <w:rPr>
          <w:lang w:val="fr-FR"/>
        </w:rPr>
        <w:t>État plurinational de</w:t>
      </w:r>
      <w:r w:rsidR="009529F3" w:rsidRPr="00A8791E">
        <w:rPr>
          <w:lang w:val="fr-FR"/>
        </w:rPr>
        <w:t>)</w:t>
      </w:r>
      <w:r w:rsidR="005D5EF2" w:rsidRPr="00A8791E">
        <w:rPr>
          <w:lang w:val="fr-FR"/>
        </w:rPr>
        <w:t>, Chil</w:t>
      </w:r>
      <w:r w:rsidRPr="00A8791E">
        <w:rPr>
          <w:lang w:val="fr-FR"/>
        </w:rPr>
        <w:t>i</w:t>
      </w:r>
      <w:r w:rsidR="005D5EF2" w:rsidRPr="00A8791E">
        <w:rPr>
          <w:lang w:val="fr-FR"/>
        </w:rPr>
        <w:t>, Colombi</w:t>
      </w:r>
      <w:r w:rsidRPr="00A8791E">
        <w:rPr>
          <w:lang w:val="fr-FR"/>
        </w:rPr>
        <w:t>e</w:t>
      </w:r>
      <w:r w:rsidR="005D5EF2" w:rsidRPr="00A8791E">
        <w:rPr>
          <w:lang w:val="fr-FR"/>
        </w:rPr>
        <w:t xml:space="preserve">, Costa Rica, Cuba, </w:t>
      </w:r>
      <w:r w:rsidR="00D6665E" w:rsidRPr="00A8791E">
        <w:rPr>
          <w:lang w:val="fr-FR"/>
        </w:rPr>
        <w:t xml:space="preserve">El Salvador, </w:t>
      </w:r>
      <w:r w:rsidRPr="00A8791E">
        <w:rPr>
          <w:lang w:val="fr-FR"/>
        </w:rPr>
        <w:t>Équateur</w:t>
      </w:r>
      <w:r w:rsidR="005D5EF2" w:rsidRPr="00A8791E">
        <w:rPr>
          <w:lang w:val="fr-FR"/>
        </w:rPr>
        <w:t>, Guatemala, Honduras, Mexi</w:t>
      </w:r>
      <w:r w:rsidRPr="00A8791E">
        <w:rPr>
          <w:lang w:val="fr-FR"/>
        </w:rPr>
        <w:t>que</w:t>
      </w:r>
      <w:r w:rsidR="005D5EF2" w:rsidRPr="00A8791E">
        <w:rPr>
          <w:lang w:val="fr-FR"/>
        </w:rPr>
        <w:t>, Nicaragua, Panama, Paraguay, P</w:t>
      </w:r>
      <w:r w:rsidRPr="00A8791E">
        <w:rPr>
          <w:lang w:val="fr-FR"/>
        </w:rPr>
        <w:t>érou</w:t>
      </w:r>
      <w:r w:rsidR="005D5EF2" w:rsidRPr="00A8791E">
        <w:rPr>
          <w:lang w:val="fr-FR"/>
        </w:rPr>
        <w:t xml:space="preserve">, </w:t>
      </w:r>
      <w:r w:rsidRPr="00A8791E">
        <w:rPr>
          <w:lang w:val="fr-FR"/>
        </w:rPr>
        <w:t xml:space="preserve">République dominicaine, </w:t>
      </w:r>
      <w:r w:rsidR="005D5EF2" w:rsidRPr="00A8791E">
        <w:rPr>
          <w:lang w:val="fr-FR"/>
        </w:rPr>
        <w:t xml:space="preserve">Uruguay </w:t>
      </w:r>
      <w:r w:rsidRPr="00A8791E">
        <w:rPr>
          <w:lang w:val="fr-FR"/>
        </w:rPr>
        <w:t>et</w:t>
      </w:r>
      <w:r w:rsidR="005D5EF2" w:rsidRPr="00A8791E">
        <w:rPr>
          <w:lang w:val="fr-FR"/>
        </w:rPr>
        <w:t xml:space="preserve"> Venezuela</w:t>
      </w:r>
      <w:r w:rsidR="009529F3" w:rsidRPr="00A8791E">
        <w:rPr>
          <w:lang w:val="fr-FR"/>
        </w:rPr>
        <w:t xml:space="preserve"> (</w:t>
      </w:r>
      <w:r w:rsidRPr="00A8791E">
        <w:rPr>
          <w:lang w:val="fr-FR"/>
        </w:rPr>
        <w:t>République bolivarienne du</w:t>
      </w:r>
      <w:r w:rsidR="009529F3" w:rsidRPr="00A8791E">
        <w:rPr>
          <w:lang w:val="fr-FR"/>
        </w:rPr>
        <w:t>)</w:t>
      </w:r>
      <w:r w:rsidR="005D5EF2" w:rsidRPr="00A8791E">
        <w:rPr>
          <w:lang w:val="fr-FR"/>
        </w:rPr>
        <w:t>.</w:t>
      </w:r>
    </w:p>
    <w:p w:rsidR="00887717" w:rsidRPr="00A8791E" w:rsidRDefault="00835679" w:rsidP="00D6665E">
      <w:pPr>
        <w:pStyle w:val="ONUMFS"/>
        <w:numPr>
          <w:ilvl w:val="0"/>
          <w:numId w:val="22"/>
        </w:numPr>
        <w:rPr>
          <w:lang w:val="fr-FR"/>
        </w:rPr>
      </w:pPr>
      <w:r w:rsidRPr="00A8791E">
        <w:rPr>
          <w:lang w:val="fr-FR"/>
        </w:rPr>
        <w:t>Du 29 au 3</w:t>
      </w:r>
      <w:r w:rsidR="007C5516" w:rsidRPr="00A8791E">
        <w:rPr>
          <w:lang w:val="fr-FR"/>
        </w:rPr>
        <w:t>1 août 20</w:t>
      </w:r>
      <w:r w:rsidRPr="00A8791E">
        <w:rPr>
          <w:lang w:val="fr-FR"/>
        </w:rPr>
        <w:t>16, un atelier national sur le Traité sur le droit des marques</w:t>
      </w:r>
      <w:r w:rsidR="005D5EF2" w:rsidRPr="00A8791E">
        <w:rPr>
          <w:lang w:val="fr-FR"/>
        </w:rPr>
        <w:t xml:space="preserve"> (TLT) </w:t>
      </w:r>
      <w:r w:rsidRPr="00A8791E">
        <w:rPr>
          <w:lang w:val="fr-FR"/>
        </w:rPr>
        <w:t>et sur l</w:t>
      </w:r>
      <w:r w:rsidR="007C5516" w:rsidRPr="00A8791E">
        <w:rPr>
          <w:lang w:val="fr-FR"/>
        </w:rPr>
        <w:t>’</w:t>
      </w:r>
      <w:r w:rsidRPr="00A8791E">
        <w:rPr>
          <w:lang w:val="fr-FR"/>
        </w:rPr>
        <w:t>examen des marques non</w:t>
      </w:r>
      <w:r w:rsidR="00E65761" w:rsidRPr="00A8791E">
        <w:rPr>
          <w:lang w:val="fr-FR"/>
        </w:rPr>
        <w:t xml:space="preserve"> </w:t>
      </w:r>
      <w:r w:rsidRPr="00A8791E">
        <w:rPr>
          <w:lang w:val="fr-FR"/>
        </w:rPr>
        <w:t>traditionnelles s</w:t>
      </w:r>
      <w:r w:rsidR="007C5516" w:rsidRPr="00A8791E">
        <w:rPr>
          <w:lang w:val="fr-FR"/>
        </w:rPr>
        <w:t>’</w:t>
      </w:r>
      <w:r w:rsidRPr="00A8791E">
        <w:rPr>
          <w:lang w:val="fr-FR"/>
        </w:rPr>
        <w:t xml:space="preserve">est tenu à </w:t>
      </w:r>
      <w:r w:rsidR="00526114" w:rsidRPr="00A8791E">
        <w:rPr>
          <w:lang w:val="fr-FR"/>
        </w:rPr>
        <w:t>San José</w:t>
      </w:r>
      <w:r w:rsidRPr="00A8791E">
        <w:rPr>
          <w:lang w:val="fr-FR"/>
        </w:rPr>
        <w:t xml:space="preserve"> (</w:t>
      </w:r>
      <w:r w:rsidR="00AE3E1F" w:rsidRPr="00A8791E">
        <w:rPr>
          <w:lang w:val="fr-FR"/>
        </w:rPr>
        <w:t>Costa Ri</w:t>
      </w:r>
      <w:r w:rsidR="00E65761" w:rsidRPr="00A8791E">
        <w:rPr>
          <w:lang w:val="fr-FR"/>
        </w:rPr>
        <w:t>ca).  Ce</w:t>
      </w:r>
      <w:r w:rsidRPr="00A8791E">
        <w:rPr>
          <w:lang w:val="fr-FR"/>
        </w:rPr>
        <w:t>tte activité a été organisée par l</w:t>
      </w:r>
      <w:r w:rsidR="007C5516" w:rsidRPr="00A8791E">
        <w:rPr>
          <w:lang w:val="fr-FR"/>
        </w:rPr>
        <w:t>’</w:t>
      </w:r>
      <w:r w:rsidRPr="00A8791E">
        <w:rPr>
          <w:lang w:val="fr-FR"/>
        </w:rPr>
        <w:t xml:space="preserve">OMPI en </w:t>
      </w:r>
      <w:r w:rsidR="0026327E" w:rsidRPr="00A8791E">
        <w:rPr>
          <w:lang w:val="fr-FR"/>
        </w:rPr>
        <w:t>collaboration</w:t>
      </w:r>
      <w:r w:rsidRPr="00A8791E">
        <w:rPr>
          <w:lang w:val="fr-FR"/>
        </w:rPr>
        <w:t xml:space="preserve"> avec le Registre de la propriété intellectuelle du Costa Rica</w:t>
      </w:r>
      <w:r w:rsidR="00526114" w:rsidRPr="00A8791E">
        <w:rPr>
          <w:lang w:val="fr-FR"/>
        </w:rPr>
        <w:t>.</w:t>
      </w:r>
    </w:p>
    <w:p w:rsidR="00887717" w:rsidRPr="00A8791E" w:rsidRDefault="00835679" w:rsidP="00D6665E">
      <w:pPr>
        <w:pStyle w:val="ONUMFS"/>
        <w:numPr>
          <w:ilvl w:val="0"/>
          <w:numId w:val="22"/>
        </w:numPr>
        <w:rPr>
          <w:lang w:val="fr-FR"/>
        </w:rPr>
      </w:pPr>
      <w:proofErr w:type="gramStart"/>
      <w:r w:rsidRPr="00A8791E">
        <w:rPr>
          <w:lang w:val="fr-FR"/>
        </w:rPr>
        <w:t>Les</w:t>
      </w:r>
      <w:r w:rsidR="007C5516" w:rsidRPr="00A8791E">
        <w:rPr>
          <w:lang w:val="fr-FR"/>
        </w:rPr>
        <w:t xml:space="preserve"> 1</w:t>
      </w:r>
      <w:r w:rsidR="007C5516" w:rsidRPr="00A8791E">
        <w:rPr>
          <w:vertAlign w:val="superscript"/>
          <w:lang w:val="fr-FR"/>
        </w:rPr>
        <w:t>er</w:t>
      </w:r>
      <w:proofErr w:type="gramEnd"/>
      <w:r w:rsidR="007C5516" w:rsidRPr="00A8791E">
        <w:rPr>
          <w:lang w:val="fr-FR"/>
        </w:rPr>
        <w:t> </w:t>
      </w:r>
      <w:r w:rsidRPr="00A8791E">
        <w:rPr>
          <w:lang w:val="fr-FR"/>
        </w:rPr>
        <w:t xml:space="preserve">et </w:t>
      </w:r>
      <w:r w:rsidR="007C5516" w:rsidRPr="00A8791E">
        <w:rPr>
          <w:lang w:val="fr-FR"/>
        </w:rPr>
        <w:t>2 septembre 20</w:t>
      </w:r>
      <w:r w:rsidRPr="00A8791E">
        <w:rPr>
          <w:lang w:val="fr-FR"/>
        </w:rPr>
        <w:t>16, un atelier national sur la mise en œuvre</w:t>
      </w:r>
      <w:r w:rsidR="007C5516" w:rsidRPr="00A8791E">
        <w:rPr>
          <w:lang w:val="fr-FR"/>
        </w:rPr>
        <w:t xml:space="preserve"> du TLT</w:t>
      </w:r>
      <w:r w:rsidRPr="00A8791E">
        <w:rPr>
          <w:lang w:val="fr-FR"/>
        </w:rPr>
        <w:t xml:space="preserve"> s</w:t>
      </w:r>
      <w:r w:rsidR="007C5516" w:rsidRPr="00A8791E">
        <w:rPr>
          <w:lang w:val="fr-FR"/>
        </w:rPr>
        <w:t>’</w:t>
      </w:r>
      <w:r w:rsidRPr="00A8791E">
        <w:rPr>
          <w:lang w:val="fr-FR"/>
        </w:rPr>
        <w:t xml:space="preserve">est tenu à </w:t>
      </w:r>
      <w:r w:rsidR="00BB6C0D" w:rsidRPr="00A8791E">
        <w:rPr>
          <w:lang w:val="fr-FR"/>
        </w:rPr>
        <w:t>Guatemala</w:t>
      </w:r>
      <w:r w:rsidR="0026327E" w:rsidRPr="00A8791E">
        <w:rPr>
          <w:lang w:val="fr-FR"/>
        </w:rPr>
        <w:t xml:space="preserve"> (Guatema</w:t>
      </w:r>
      <w:r w:rsidR="00E65761" w:rsidRPr="00A8791E">
        <w:rPr>
          <w:lang w:val="fr-FR"/>
        </w:rPr>
        <w:t>la).  Ce</w:t>
      </w:r>
      <w:r w:rsidR="0026327E" w:rsidRPr="00A8791E">
        <w:rPr>
          <w:lang w:val="fr-FR"/>
        </w:rPr>
        <w:t>tte activité a été organisée par l</w:t>
      </w:r>
      <w:r w:rsidR="007C5516" w:rsidRPr="00A8791E">
        <w:rPr>
          <w:lang w:val="fr-FR"/>
        </w:rPr>
        <w:t>’</w:t>
      </w:r>
      <w:r w:rsidR="0026327E" w:rsidRPr="00A8791E">
        <w:rPr>
          <w:lang w:val="fr-FR"/>
        </w:rPr>
        <w:t>OMPI en collaboration avec l</w:t>
      </w:r>
      <w:r w:rsidR="007C5516" w:rsidRPr="00A8791E">
        <w:rPr>
          <w:lang w:val="fr-FR"/>
        </w:rPr>
        <w:t>’</w:t>
      </w:r>
      <w:r w:rsidR="0026327E" w:rsidRPr="00A8791E">
        <w:rPr>
          <w:lang w:val="fr-FR"/>
        </w:rPr>
        <w:t>Office de la propriété intellectuelle du Guatemala</w:t>
      </w:r>
      <w:r w:rsidR="009D11DF" w:rsidRPr="00A8791E">
        <w:rPr>
          <w:lang w:val="fr-FR"/>
        </w:rPr>
        <w:t>.</w:t>
      </w:r>
    </w:p>
    <w:p w:rsidR="00887717" w:rsidRPr="00A8791E" w:rsidRDefault="00817426" w:rsidP="00D6665E">
      <w:pPr>
        <w:pStyle w:val="ONUMFS"/>
        <w:numPr>
          <w:ilvl w:val="0"/>
          <w:numId w:val="22"/>
        </w:numPr>
        <w:rPr>
          <w:lang w:val="fr-FR"/>
        </w:rPr>
      </w:pPr>
      <w:r w:rsidRPr="00A8791E">
        <w:rPr>
          <w:lang w:val="fr-FR"/>
        </w:rPr>
        <w:t xml:space="preserve">Les 6 et </w:t>
      </w:r>
      <w:r w:rsidR="007C5516" w:rsidRPr="00A8791E">
        <w:rPr>
          <w:lang w:val="fr-FR"/>
        </w:rPr>
        <w:t>7 septembre 20</w:t>
      </w:r>
      <w:r w:rsidRPr="00A8791E">
        <w:rPr>
          <w:lang w:val="fr-FR"/>
        </w:rPr>
        <w:t>16, un séminaire sous</w:t>
      </w:r>
      <w:r w:rsidR="00D6665E" w:rsidRPr="00A8791E">
        <w:rPr>
          <w:lang w:val="fr-FR"/>
        </w:rPr>
        <w:noBreakHyphen/>
      </w:r>
      <w:r w:rsidRPr="00A8791E">
        <w:rPr>
          <w:lang w:val="fr-FR"/>
        </w:rPr>
        <w:t xml:space="preserve">régional sur le Traité de Singapour sur le droit des marques </w:t>
      </w:r>
      <w:r w:rsidR="00CF0316" w:rsidRPr="00A8791E">
        <w:rPr>
          <w:lang w:val="fr-FR"/>
        </w:rPr>
        <w:t>(STLT)</w:t>
      </w:r>
      <w:r w:rsidRPr="00A8791E">
        <w:rPr>
          <w:lang w:val="fr-FR"/>
        </w:rPr>
        <w:t xml:space="preserve"> s</w:t>
      </w:r>
      <w:r w:rsidR="007C5516" w:rsidRPr="00A8791E">
        <w:rPr>
          <w:lang w:val="fr-FR"/>
        </w:rPr>
        <w:t>’</w:t>
      </w:r>
      <w:r w:rsidRPr="00A8791E">
        <w:rPr>
          <w:lang w:val="fr-FR"/>
        </w:rPr>
        <w:t xml:space="preserve">est tenu à </w:t>
      </w:r>
      <w:r w:rsidR="00CF0316" w:rsidRPr="00A8791E">
        <w:rPr>
          <w:lang w:val="fr-FR"/>
        </w:rPr>
        <w:t xml:space="preserve">Santiago </w:t>
      </w:r>
      <w:r w:rsidRPr="00A8791E">
        <w:rPr>
          <w:lang w:val="fr-FR"/>
        </w:rPr>
        <w:t>(</w:t>
      </w:r>
      <w:r w:rsidR="00CF0316" w:rsidRPr="00A8791E">
        <w:rPr>
          <w:lang w:val="fr-FR"/>
        </w:rPr>
        <w:t>Chi</w:t>
      </w:r>
      <w:r w:rsidR="00E65761" w:rsidRPr="00A8791E">
        <w:rPr>
          <w:lang w:val="fr-FR"/>
        </w:rPr>
        <w:t>li).  Ce</w:t>
      </w:r>
      <w:r w:rsidRPr="00A8791E">
        <w:rPr>
          <w:lang w:val="fr-FR"/>
        </w:rPr>
        <w:t>tte activité a été organisée par l</w:t>
      </w:r>
      <w:r w:rsidR="007C5516" w:rsidRPr="00A8791E">
        <w:rPr>
          <w:lang w:val="fr-FR"/>
        </w:rPr>
        <w:t>’</w:t>
      </w:r>
      <w:r w:rsidRPr="00A8791E">
        <w:rPr>
          <w:lang w:val="fr-FR"/>
        </w:rPr>
        <w:t>OMPI en collaboration avec l</w:t>
      </w:r>
      <w:r w:rsidR="007C5516" w:rsidRPr="00A8791E">
        <w:rPr>
          <w:lang w:val="fr-FR"/>
        </w:rPr>
        <w:t>’</w:t>
      </w:r>
      <w:r w:rsidRPr="00A8791E">
        <w:rPr>
          <w:lang w:val="fr-FR"/>
        </w:rPr>
        <w:t>Institut national de la propriété industrielle</w:t>
      </w:r>
      <w:r w:rsidR="00CF0316" w:rsidRPr="00A8791E">
        <w:rPr>
          <w:lang w:val="fr-FR"/>
        </w:rPr>
        <w:t xml:space="preserve"> (INAPI)</w:t>
      </w:r>
      <w:r w:rsidRPr="00A8791E">
        <w:rPr>
          <w:lang w:val="fr-FR"/>
        </w:rPr>
        <w:t xml:space="preserve"> du Chili et l</w:t>
      </w:r>
      <w:r w:rsidR="007C5516" w:rsidRPr="00A8791E">
        <w:rPr>
          <w:lang w:val="fr-FR"/>
        </w:rPr>
        <w:t>’</w:t>
      </w:r>
      <w:r w:rsidRPr="00A8791E">
        <w:rPr>
          <w:lang w:val="fr-FR"/>
        </w:rPr>
        <w:t>Office espagnol des brevets et des marques (OEPM).</w:t>
      </w:r>
      <w:r w:rsidR="00CF0316" w:rsidRPr="00A8791E">
        <w:rPr>
          <w:lang w:val="fr-FR"/>
        </w:rPr>
        <w:t xml:space="preserve"> </w:t>
      </w:r>
      <w:r w:rsidRPr="00A8791E">
        <w:rPr>
          <w:lang w:val="fr-FR"/>
        </w:rPr>
        <w:t xml:space="preserve"> Des fonctionnaires chargés des questions relatives aux marques des pays ci</w:t>
      </w:r>
      <w:r w:rsidR="00D6665E" w:rsidRPr="00A8791E">
        <w:rPr>
          <w:lang w:val="fr-FR"/>
        </w:rPr>
        <w:noBreakHyphen/>
      </w:r>
      <w:r w:rsidRPr="00A8791E">
        <w:rPr>
          <w:lang w:val="fr-FR"/>
        </w:rPr>
        <w:t>après ont assisté à ce séminaire</w:t>
      </w:r>
      <w:r w:rsidR="007C5516" w:rsidRPr="00A8791E">
        <w:rPr>
          <w:lang w:val="fr-FR"/>
        </w:rPr>
        <w:t> :</w:t>
      </w:r>
      <w:r w:rsidRPr="00A8791E">
        <w:rPr>
          <w:lang w:val="fr-FR"/>
        </w:rPr>
        <w:t xml:space="preserve"> </w:t>
      </w:r>
      <w:r w:rsidR="00CF0316" w:rsidRPr="00A8791E">
        <w:rPr>
          <w:lang w:val="fr-FR"/>
        </w:rPr>
        <w:t>Argentin</w:t>
      </w:r>
      <w:r w:rsidRPr="00A8791E">
        <w:rPr>
          <w:lang w:val="fr-FR"/>
        </w:rPr>
        <w:t>e</w:t>
      </w:r>
      <w:r w:rsidR="00CF0316" w:rsidRPr="00A8791E">
        <w:rPr>
          <w:lang w:val="fr-FR"/>
        </w:rPr>
        <w:t>, Br</w:t>
      </w:r>
      <w:r w:rsidRPr="00A8791E">
        <w:rPr>
          <w:lang w:val="fr-FR"/>
        </w:rPr>
        <w:t>és</w:t>
      </w:r>
      <w:r w:rsidR="00CF0316" w:rsidRPr="00A8791E">
        <w:rPr>
          <w:lang w:val="fr-FR"/>
        </w:rPr>
        <w:t xml:space="preserve">il, </w:t>
      </w:r>
      <w:r w:rsidRPr="00A8791E">
        <w:rPr>
          <w:lang w:val="fr-FR"/>
        </w:rPr>
        <w:t>Équateur</w:t>
      </w:r>
      <w:r w:rsidR="00CF0316" w:rsidRPr="00A8791E">
        <w:rPr>
          <w:lang w:val="fr-FR"/>
        </w:rPr>
        <w:t>, Paraguay, P</w:t>
      </w:r>
      <w:r w:rsidRPr="00A8791E">
        <w:rPr>
          <w:lang w:val="fr-FR"/>
        </w:rPr>
        <w:t>érou</w:t>
      </w:r>
      <w:r w:rsidR="00CF0316" w:rsidRPr="00A8791E">
        <w:rPr>
          <w:lang w:val="fr-FR"/>
        </w:rPr>
        <w:t xml:space="preserve"> </w:t>
      </w:r>
      <w:r w:rsidRPr="00A8791E">
        <w:rPr>
          <w:lang w:val="fr-FR"/>
        </w:rPr>
        <w:t>et</w:t>
      </w:r>
      <w:r w:rsidR="00CF0316" w:rsidRPr="00A8791E">
        <w:rPr>
          <w:lang w:val="fr-FR"/>
        </w:rPr>
        <w:t xml:space="preserve"> Urugu</w:t>
      </w:r>
      <w:r w:rsidR="00E65761" w:rsidRPr="00A8791E">
        <w:rPr>
          <w:lang w:val="fr-FR"/>
        </w:rPr>
        <w:t>ay.  Un</w:t>
      </w:r>
      <w:r w:rsidRPr="00A8791E">
        <w:rPr>
          <w:lang w:val="fr-FR"/>
        </w:rPr>
        <w:t xml:space="preserve"> conférencier de l</w:t>
      </w:r>
      <w:r w:rsidR="007C5516" w:rsidRPr="00A8791E">
        <w:rPr>
          <w:lang w:val="fr-FR"/>
        </w:rPr>
        <w:t>’</w:t>
      </w:r>
      <w:r w:rsidRPr="00A8791E">
        <w:rPr>
          <w:lang w:val="fr-FR"/>
        </w:rPr>
        <w:t>Office de l</w:t>
      </w:r>
      <w:r w:rsidR="007C5516" w:rsidRPr="00A8791E">
        <w:rPr>
          <w:lang w:val="fr-FR"/>
        </w:rPr>
        <w:t>’</w:t>
      </w:r>
      <w:r w:rsidRPr="00A8791E">
        <w:rPr>
          <w:lang w:val="fr-FR"/>
        </w:rPr>
        <w:t xml:space="preserve">Union européenne pour la propriété intellectuelle </w:t>
      </w:r>
      <w:r w:rsidR="00CF0316" w:rsidRPr="00A8791E">
        <w:rPr>
          <w:lang w:val="fr-FR"/>
        </w:rPr>
        <w:t>(EUIPO</w:t>
      </w:r>
      <w:r w:rsidR="00524FDC" w:rsidRPr="00A8791E">
        <w:rPr>
          <w:lang w:val="fr-FR"/>
        </w:rPr>
        <w:t>)</w:t>
      </w:r>
      <w:r w:rsidR="00CF0316" w:rsidRPr="00A8791E">
        <w:rPr>
          <w:lang w:val="fr-FR"/>
        </w:rPr>
        <w:t xml:space="preserve"> </w:t>
      </w:r>
      <w:r w:rsidRPr="00A8791E">
        <w:rPr>
          <w:lang w:val="fr-FR"/>
        </w:rPr>
        <w:t>a participé à ce séminaire par visioconférence</w:t>
      </w:r>
      <w:r w:rsidR="00524FDC" w:rsidRPr="00A8791E">
        <w:rPr>
          <w:lang w:val="fr-FR"/>
        </w:rPr>
        <w:t>.</w:t>
      </w:r>
    </w:p>
    <w:p w:rsidR="00887717" w:rsidRPr="00A8791E" w:rsidRDefault="00C24407" w:rsidP="00D6665E">
      <w:pPr>
        <w:pStyle w:val="ONUMFS"/>
        <w:numPr>
          <w:ilvl w:val="0"/>
          <w:numId w:val="22"/>
        </w:numPr>
        <w:rPr>
          <w:lang w:val="fr-FR"/>
        </w:rPr>
      </w:pPr>
      <w:r w:rsidRPr="00A8791E">
        <w:rPr>
          <w:lang w:val="fr-FR"/>
        </w:rPr>
        <w:t xml:space="preserve">Du 5 au </w:t>
      </w:r>
      <w:r w:rsidR="007C5516" w:rsidRPr="00A8791E">
        <w:rPr>
          <w:lang w:val="fr-FR"/>
        </w:rPr>
        <w:t>7 décembre 20</w:t>
      </w:r>
      <w:r w:rsidR="00182BB4" w:rsidRPr="00A8791E">
        <w:rPr>
          <w:lang w:val="fr-FR"/>
        </w:rPr>
        <w:t xml:space="preserve">16, </w:t>
      </w:r>
      <w:r w:rsidRPr="00A8791E">
        <w:rPr>
          <w:lang w:val="fr-FR"/>
        </w:rPr>
        <w:t>une réunion sous</w:t>
      </w:r>
      <w:r w:rsidR="00D6665E" w:rsidRPr="00A8791E">
        <w:rPr>
          <w:lang w:val="fr-FR"/>
        </w:rPr>
        <w:noBreakHyphen/>
      </w:r>
      <w:r w:rsidRPr="00A8791E">
        <w:rPr>
          <w:lang w:val="fr-FR"/>
        </w:rPr>
        <w:t>régionale d</w:t>
      </w:r>
      <w:r w:rsidR="007C5516" w:rsidRPr="00A8791E">
        <w:rPr>
          <w:lang w:val="fr-FR"/>
        </w:rPr>
        <w:t>’</w:t>
      </w:r>
      <w:r w:rsidRPr="00A8791E">
        <w:rPr>
          <w:lang w:val="fr-FR"/>
        </w:rPr>
        <w:t>experts dans l</w:t>
      </w:r>
      <w:r w:rsidR="007C5516" w:rsidRPr="00A8791E">
        <w:rPr>
          <w:lang w:val="fr-FR"/>
        </w:rPr>
        <w:t>’</w:t>
      </w:r>
      <w:r w:rsidRPr="00A8791E">
        <w:rPr>
          <w:lang w:val="fr-FR"/>
        </w:rPr>
        <w:t>administration des marques d</w:t>
      </w:r>
      <w:r w:rsidR="007C5516" w:rsidRPr="00A8791E">
        <w:rPr>
          <w:lang w:val="fr-FR"/>
        </w:rPr>
        <w:t>’</w:t>
      </w:r>
      <w:r w:rsidRPr="00A8791E">
        <w:rPr>
          <w:lang w:val="fr-FR"/>
        </w:rPr>
        <w:t>Amérique centrale et de la République dominicaine s</w:t>
      </w:r>
      <w:r w:rsidR="007C5516" w:rsidRPr="00A8791E">
        <w:rPr>
          <w:lang w:val="fr-FR"/>
        </w:rPr>
        <w:t>’</w:t>
      </w:r>
      <w:r w:rsidRPr="00A8791E">
        <w:rPr>
          <w:lang w:val="fr-FR"/>
        </w:rPr>
        <w:t xml:space="preserve">est tenue à </w:t>
      </w:r>
      <w:r w:rsidR="00182BB4" w:rsidRPr="00A8791E">
        <w:rPr>
          <w:lang w:val="fr-FR"/>
        </w:rPr>
        <w:t>Sa</w:t>
      </w:r>
      <w:r w:rsidRPr="00A8791E">
        <w:rPr>
          <w:lang w:val="fr-FR"/>
        </w:rPr>
        <w:t>int</w:t>
      </w:r>
      <w:r w:rsidR="00D6665E" w:rsidRPr="00A8791E">
        <w:rPr>
          <w:lang w:val="fr-FR"/>
        </w:rPr>
        <w:noBreakHyphen/>
      </w:r>
      <w:r w:rsidRPr="00A8791E">
        <w:rPr>
          <w:lang w:val="fr-FR"/>
        </w:rPr>
        <w:t>Doming</w:t>
      </w:r>
      <w:r w:rsidR="00E65761" w:rsidRPr="00A8791E">
        <w:rPr>
          <w:lang w:val="fr-FR"/>
        </w:rPr>
        <w:t>ue.  Ce</w:t>
      </w:r>
      <w:r w:rsidR="002902A7" w:rsidRPr="00A8791E">
        <w:rPr>
          <w:lang w:val="fr-FR"/>
        </w:rPr>
        <w:t>tte activité, organisée par l</w:t>
      </w:r>
      <w:r w:rsidR="007C5516" w:rsidRPr="00A8791E">
        <w:rPr>
          <w:lang w:val="fr-FR"/>
        </w:rPr>
        <w:t>’</w:t>
      </w:r>
      <w:r w:rsidRPr="00A8791E">
        <w:rPr>
          <w:lang w:val="fr-FR"/>
        </w:rPr>
        <w:t xml:space="preserve">OMPI en collaboration avec </w:t>
      </w:r>
      <w:r w:rsidR="002902A7" w:rsidRPr="00A8791E">
        <w:rPr>
          <w:lang w:val="fr-FR"/>
        </w:rPr>
        <w:t>l</w:t>
      </w:r>
      <w:r w:rsidR="007C5516" w:rsidRPr="00A8791E">
        <w:rPr>
          <w:lang w:val="fr-FR"/>
        </w:rPr>
        <w:t>’</w:t>
      </w:r>
      <w:r w:rsidR="002902A7" w:rsidRPr="00A8791E">
        <w:rPr>
          <w:lang w:val="fr-FR"/>
        </w:rPr>
        <w:t xml:space="preserve">Office national de la propriété industrielle </w:t>
      </w:r>
      <w:r w:rsidR="00182BB4" w:rsidRPr="00A8791E">
        <w:rPr>
          <w:lang w:val="fr-FR"/>
        </w:rPr>
        <w:t>(ONAPI)</w:t>
      </w:r>
      <w:r w:rsidR="002902A7" w:rsidRPr="00A8791E">
        <w:rPr>
          <w:lang w:val="fr-FR"/>
        </w:rPr>
        <w:t xml:space="preserve"> de la République dominicaine, a réuni des experts des marques des pays ci</w:t>
      </w:r>
      <w:r w:rsidR="00D6665E" w:rsidRPr="00A8791E">
        <w:rPr>
          <w:lang w:val="fr-FR"/>
        </w:rPr>
        <w:noBreakHyphen/>
      </w:r>
      <w:r w:rsidR="002902A7" w:rsidRPr="00A8791E">
        <w:rPr>
          <w:lang w:val="fr-FR"/>
        </w:rPr>
        <w:t>après</w:t>
      </w:r>
      <w:r w:rsidR="007C5516" w:rsidRPr="00A8791E">
        <w:rPr>
          <w:lang w:val="fr-FR"/>
        </w:rPr>
        <w:t> :</w:t>
      </w:r>
      <w:r w:rsidR="00184A02" w:rsidRPr="00A8791E">
        <w:rPr>
          <w:lang w:val="fr-FR"/>
        </w:rPr>
        <w:t xml:space="preserve"> Costa Rica, El Salvador, Guatemala, Honduras, Nicaragua </w:t>
      </w:r>
      <w:r w:rsidR="002902A7" w:rsidRPr="00A8791E">
        <w:rPr>
          <w:lang w:val="fr-FR"/>
        </w:rPr>
        <w:t>et</w:t>
      </w:r>
      <w:r w:rsidR="00184A02" w:rsidRPr="00A8791E">
        <w:rPr>
          <w:lang w:val="fr-FR"/>
        </w:rPr>
        <w:t xml:space="preserve"> Panama.</w:t>
      </w:r>
    </w:p>
    <w:p w:rsidR="00887717" w:rsidRPr="00A8791E" w:rsidRDefault="00045255" w:rsidP="00D6665E">
      <w:pPr>
        <w:pStyle w:val="ONUMFS"/>
        <w:numPr>
          <w:ilvl w:val="0"/>
          <w:numId w:val="22"/>
        </w:numPr>
        <w:rPr>
          <w:lang w:val="fr-FR"/>
        </w:rPr>
      </w:pPr>
      <w:r w:rsidRPr="00A8791E">
        <w:rPr>
          <w:lang w:val="fr-FR"/>
        </w:rPr>
        <w:t xml:space="preserve">Les 8 et </w:t>
      </w:r>
      <w:r w:rsidR="007C5516" w:rsidRPr="00A8791E">
        <w:rPr>
          <w:lang w:val="fr-FR"/>
        </w:rPr>
        <w:t>9 décembre 20</w:t>
      </w:r>
      <w:r w:rsidRPr="00A8791E">
        <w:rPr>
          <w:lang w:val="fr-FR"/>
        </w:rPr>
        <w:t>16, un atelier sur l</w:t>
      </w:r>
      <w:r w:rsidR="007C5516" w:rsidRPr="00A8791E">
        <w:rPr>
          <w:lang w:val="fr-FR"/>
        </w:rPr>
        <w:t>’</w:t>
      </w:r>
      <w:r w:rsidRPr="00A8791E">
        <w:rPr>
          <w:lang w:val="fr-FR"/>
        </w:rPr>
        <w:t>examen des demandes d</w:t>
      </w:r>
      <w:r w:rsidR="007C5516" w:rsidRPr="00A8791E">
        <w:rPr>
          <w:lang w:val="fr-FR"/>
        </w:rPr>
        <w:t>’</w:t>
      </w:r>
      <w:r w:rsidRPr="00A8791E">
        <w:rPr>
          <w:lang w:val="fr-FR"/>
        </w:rPr>
        <w:t>enregistrement de marques portant sur certains aspects liés à la mise en œuvre</w:t>
      </w:r>
      <w:r w:rsidR="007C5516" w:rsidRPr="00A8791E">
        <w:rPr>
          <w:lang w:val="fr-FR"/>
        </w:rPr>
        <w:t xml:space="preserve"> du TLT</w:t>
      </w:r>
      <w:r w:rsidRPr="00A8791E">
        <w:rPr>
          <w:lang w:val="fr-FR"/>
        </w:rPr>
        <w:t xml:space="preserve"> s</w:t>
      </w:r>
      <w:r w:rsidR="007C5516" w:rsidRPr="00A8791E">
        <w:rPr>
          <w:lang w:val="fr-FR"/>
        </w:rPr>
        <w:t>’</w:t>
      </w:r>
      <w:r w:rsidRPr="00A8791E">
        <w:rPr>
          <w:lang w:val="fr-FR"/>
        </w:rPr>
        <w:t>est tenu à Pana</w:t>
      </w:r>
      <w:r w:rsidR="00E65761" w:rsidRPr="00A8791E">
        <w:rPr>
          <w:lang w:val="fr-FR"/>
        </w:rPr>
        <w:t>ma.  Ce</w:t>
      </w:r>
      <w:r w:rsidRPr="00A8791E">
        <w:rPr>
          <w:lang w:val="fr-FR"/>
        </w:rPr>
        <w:t>tte activité a été organisée par l</w:t>
      </w:r>
      <w:r w:rsidR="007C5516" w:rsidRPr="00A8791E">
        <w:rPr>
          <w:lang w:val="fr-FR"/>
        </w:rPr>
        <w:t>’</w:t>
      </w:r>
      <w:r w:rsidRPr="00A8791E">
        <w:rPr>
          <w:lang w:val="fr-FR"/>
        </w:rPr>
        <w:t>OMPI en collaboration avec la Direction générale de l</w:t>
      </w:r>
      <w:r w:rsidR="007C5516" w:rsidRPr="00A8791E">
        <w:rPr>
          <w:lang w:val="fr-FR"/>
        </w:rPr>
        <w:t>’</w:t>
      </w:r>
      <w:r w:rsidRPr="00A8791E">
        <w:rPr>
          <w:lang w:val="fr-FR"/>
        </w:rPr>
        <w:t>enregistrement de la propriété industrielle</w:t>
      </w:r>
      <w:r w:rsidR="00AE3E1F" w:rsidRPr="00A8791E">
        <w:rPr>
          <w:lang w:val="fr-FR"/>
        </w:rPr>
        <w:t> </w:t>
      </w:r>
      <w:r w:rsidR="00B2580A" w:rsidRPr="00A8791E">
        <w:rPr>
          <w:lang w:val="fr-FR"/>
        </w:rPr>
        <w:t>(DIGERPI).</w:t>
      </w:r>
    </w:p>
    <w:p w:rsidR="00887717" w:rsidRPr="00A8791E" w:rsidRDefault="0045060B" w:rsidP="00D6665E">
      <w:pPr>
        <w:pStyle w:val="ONUMFS"/>
        <w:numPr>
          <w:ilvl w:val="0"/>
          <w:numId w:val="22"/>
        </w:numPr>
        <w:rPr>
          <w:lang w:val="fr-FR"/>
        </w:rPr>
      </w:pPr>
      <w:r w:rsidRPr="00A8791E">
        <w:rPr>
          <w:lang w:val="fr-FR"/>
        </w:rPr>
        <w:t xml:space="preserve">Du 7 au </w:t>
      </w:r>
      <w:r w:rsidR="007C5516" w:rsidRPr="00A8791E">
        <w:rPr>
          <w:lang w:val="fr-FR"/>
        </w:rPr>
        <w:t>9 février 20</w:t>
      </w:r>
      <w:r w:rsidRPr="00A8791E">
        <w:rPr>
          <w:lang w:val="fr-FR"/>
        </w:rPr>
        <w:t>17, l</w:t>
      </w:r>
      <w:r w:rsidR="007C5516" w:rsidRPr="00A8791E">
        <w:rPr>
          <w:lang w:val="fr-FR"/>
        </w:rPr>
        <w:t>’</w:t>
      </w:r>
      <w:r w:rsidRPr="00A8791E">
        <w:rPr>
          <w:lang w:val="fr-FR"/>
        </w:rPr>
        <w:t>OMPI a dispensé une formation sur les marques portant sur</w:t>
      </w:r>
      <w:r w:rsidR="007C5516" w:rsidRPr="00A8791E">
        <w:rPr>
          <w:lang w:val="fr-FR"/>
        </w:rPr>
        <w:t xml:space="preserve"> le TLT</w:t>
      </w:r>
      <w:r w:rsidRPr="00A8791E">
        <w:rPr>
          <w:lang w:val="fr-FR"/>
        </w:rPr>
        <w:t xml:space="preserve"> et</w:t>
      </w:r>
      <w:r w:rsidR="007C5516" w:rsidRPr="00A8791E">
        <w:rPr>
          <w:lang w:val="fr-FR"/>
        </w:rPr>
        <w:t xml:space="preserve"> le STL</w:t>
      </w:r>
      <w:r w:rsidRPr="00A8791E">
        <w:rPr>
          <w:lang w:val="fr-FR"/>
        </w:rPr>
        <w:t>T dans le cadre d</w:t>
      </w:r>
      <w:r w:rsidR="007C5516" w:rsidRPr="00A8791E">
        <w:rPr>
          <w:lang w:val="fr-FR"/>
        </w:rPr>
        <w:t>’</w:t>
      </w:r>
      <w:r w:rsidRPr="00A8791E">
        <w:rPr>
          <w:lang w:val="fr-FR"/>
        </w:rPr>
        <w:t>un séminaire national sur la propriété intellectuelle organisé par l</w:t>
      </w:r>
      <w:r w:rsidR="007C5516" w:rsidRPr="00A8791E">
        <w:rPr>
          <w:lang w:val="fr-FR"/>
        </w:rPr>
        <w:t>’</w:t>
      </w:r>
      <w:r w:rsidRPr="00A8791E">
        <w:rPr>
          <w:lang w:val="fr-FR"/>
        </w:rPr>
        <w:t xml:space="preserve">Organisation mondiale du commerce (OMC) à </w:t>
      </w:r>
      <w:r w:rsidR="007E4439" w:rsidRPr="00A8791E">
        <w:rPr>
          <w:lang w:val="fr-FR"/>
        </w:rPr>
        <w:t>S</w:t>
      </w:r>
      <w:r w:rsidR="00B74862" w:rsidRPr="00A8791E">
        <w:rPr>
          <w:lang w:val="fr-FR"/>
        </w:rPr>
        <w:t>aint</w:t>
      </w:r>
      <w:r w:rsidR="00D6665E" w:rsidRPr="00A8791E">
        <w:rPr>
          <w:lang w:val="fr-FR"/>
        </w:rPr>
        <w:noBreakHyphen/>
      </w:r>
      <w:r w:rsidR="007E4439" w:rsidRPr="00A8791E">
        <w:rPr>
          <w:lang w:val="fr-FR"/>
        </w:rPr>
        <w:t>Vincent</w:t>
      </w:r>
      <w:r w:rsidR="00D6665E" w:rsidRPr="00A8791E">
        <w:rPr>
          <w:lang w:val="fr-FR"/>
        </w:rPr>
        <w:noBreakHyphen/>
      </w:r>
      <w:r w:rsidRPr="00A8791E">
        <w:rPr>
          <w:lang w:val="fr-FR"/>
        </w:rPr>
        <w:t>et</w:t>
      </w:r>
      <w:r w:rsidR="00D6665E" w:rsidRPr="00A8791E">
        <w:rPr>
          <w:lang w:val="fr-FR"/>
        </w:rPr>
        <w:noBreakHyphen/>
      </w:r>
      <w:r w:rsidRPr="00A8791E">
        <w:rPr>
          <w:lang w:val="fr-FR"/>
        </w:rPr>
        <w:t>les </w:t>
      </w:r>
      <w:r w:rsidR="007E4439" w:rsidRPr="00A8791E">
        <w:rPr>
          <w:lang w:val="fr-FR"/>
        </w:rPr>
        <w:t>Grenadines</w:t>
      </w:r>
      <w:r w:rsidR="00F35546" w:rsidRPr="00A8791E">
        <w:rPr>
          <w:lang w:val="fr-FR"/>
        </w:rPr>
        <w:t>.</w:t>
      </w:r>
    </w:p>
    <w:p w:rsidR="00887717" w:rsidRPr="00A8791E" w:rsidRDefault="0045060B" w:rsidP="00D6665E">
      <w:pPr>
        <w:pStyle w:val="ONUMFS"/>
        <w:numPr>
          <w:ilvl w:val="0"/>
          <w:numId w:val="22"/>
        </w:numPr>
        <w:rPr>
          <w:lang w:val="fr-FR"/>
        </w:rPr>
      </w:pPr>
      <w:r w:rsidRPr="00A8791E">
        <w:rPr>
          <w:lang w:val="fr-FR"/>
        </w:rPr>
        <w:t>Du 18 au 2</w:t>
      </w:r>
      <w:r w:rsidR="007C5516" w:rsidRPr="00A8791E">
        <w:rPr>
          <w:lang w:val="fr-FR"/>
        </w:rPr>
        <w:t>1 avril 20</w:t>
      </w:r>
      <w:r w:rsidRPr="00A8791E">
        <w:rPr>
          <w:lang w:val="fr-FR"/>
        </w:rPr>
        <w:t>17, l</w:t>
      </w:r>
      <w:r w:rsidR="007C5516" w:rsidRPr="00A8791E">
        <w:rPr>
          <w:lang w:val="fr-FR"/>
        </w:rPr>
        <w:t>’</w:t>
      </w:r>
      <w:r w:rsidRPr="00A8791E">
        <w:rPr>
          <w:lang w:val="fr-FR"/>
        </w:rPr>
        <w:t>OMPI, en collaboration avec l</w:t>
      </w:r>
      <w:r w:rsidR="007C5516" w:rsidRPr="00A8791E">
        <w:rPr>
          <w:lang w:val="fr-FR"/>
        </w:rPr>
        <w:t>’</w:t>
      </w:r>
      <w:r w:rsidRPr="00A8791E">
        <w:rPr>
          <w:lang w:val="fr-FR"/>
        </w:rPr>
        <w:t xml:space="preserve">Office de la propriété intellectuelle </w:t>
      </w:r>
      <w:r w:rsidR="00A84423" w:rsidRPr="00A8791E">
        <w:rPr>
          <w:lang w:val="fr-FR"/>
        </w:rPr>
        <w:t>et l</w:t>
      </w:r>
      <w:r w:rsidR="007C5516" w:rsidRPr="00A8791E">
        <w:rPr>
          <w:lang w:val="fr-FR"/>
        </w:rPr>
        <w:t>’</w:t>
      </w:r>
      <w:r w:rsidR="00A84423" w:rsidRPr="00A8791E">
        <w:rPr>
          <w:lang w:val="fr-FR"/>
        </w:rPr>
        <w:t xml:space="preserve">Agence de promotion des investissements du </w:t>
      </w:r>
      <w:r w:rsidRPr="00A8791E">
        <w:rPr>
          <w:lang w:val="fr-FR"/>
        </w:rPr>
        <w:t>Ministère d</w:t>
      </w:r>
      <w:r w:rsidR="00A84423" w:rsidRPr="00A8791E">
        <w:rPr>
          <w:lang w:val="fr-FR"/>
        </w:rPr>
        <w:t>u commerce</w:t>
      </w:r>
      <w:r w:rsidRPr="00A8791E">
        <w:rPr>
          <w:lang w:val="fr-FR"/>
        </w:rPr>
        <w:t xml:space="preserve"> </w:t>
      </w:r>
      <w:r w:rsidR="00A84423" w:rsidRPr="00A8791E">
        <w:rPr>
          <w:lang w:val="fr-FR"/>
        </w:rPr>
        <w:t>et de l</w:t>
      </w:r>
      <w:r w:rsidR="007C5516" w:rsidRPr="00A8791E">
        <w:rPr>
          <w:lang w:val="fr-FR"/>
        </w:rPr>
        <w:t>’</w:t>
      </w:r>
      <w:r w:rsidR="00A84423" w:rsidRPr="00A8791E">
        <w:rPr>
          <w:lang w:val="fr-FR"/>
        </w:rPr>
        <w:t xml:space="preserve">industrie </w:t>
      </w:r>
      <w:r w:rsidRPr="00A8791E">
        <w:rPr>
          <w:lang w:val="fr-FR"/>
        </w:rPr>
        <w:t>de la Papouasie</w:t>
      </w:r>
      <w:r w:rsidR="00D6665E" w:rsidRPr="00A8791E">
        <w:rPr>
          <w:lang w:val="fr-FR"/>
        </w:rPr>
        <w:noBreakHyphen/>
      </w:r>
      <w:r w:rsidRPr="00A8791E">
        <w:rPr>
          <w:lang w:val="fr-FR"/>
        </w:rPr>
        <w:t>Nouvelle</w:t>
      </w:r>
      <w:r w:rsidR="00D6665E" w:rsidRPr="00A8791E">
        <w:rPr>
          <w:lang w:val="fr-FR"/>
        </w:rPr>
        <w:noBreakHyphen/>
      </w:r>
      <w:r w:rsidRPr="00A8791E">
        <w:rPr>
          <w:lang w:val="fr-FR"/>
        </w:rPr>
        <w:t>Guinée</w:t>
      </w:r>
      <w:r w:rsidR="00F35546" w:rsidRPr="00A8791E">
        <w:rPr>
          <w:lang w:val="fr-FR"/>
        </w:rPr>
        <w:t>,</w:t>
      </w:r>
      <w:r w:rsidR="00B2580A" w:rsidRPr="00A8791E">
        <w:rPr>
          <w:lang w:val="fr-FR"/>
        </w:rPr>
        <w:t xml:space="preserve"> </w:t>
      </w:r>
      <w:r w:rsidR="00A84423" w:rsidRPr="00A8791E">
        <w:rPr>
          <w:lang w:val="fr-FR"/>
        </w:rPr>
        <w:t>a organisé une formation régionale à l</w:t>
      </w:r>
      <w:r w:rsidR="007C5516" w:rsidRPr="00A8791E">
        <w:rPr>
          <w:lang w:val="fr-FR"/>
        </w:rPr>
        <w:t>’</w:t>
      </w:r>
      <w:r w:rsidR="00A84423" w:rsidRPr="00A8791E">
        <w:rPr>
          <w:lang w:val="fr-FR"/>
        </w:rPr>
        <w:t>intention des examinateurs des demandes d</w:t>
      </w:r>
      <w:r w:rsidR="007C5516" w:rsidRPr="00A8791E">
        <w:rPr>
          <w:lang w:val="fr-FR"/>
        </w:rPr>
        <w:t>’</w:t>
      </w:r>
      <w:r w:rsidR="00A84423" w:rsidRPr="00A8791E">
        <w:rPr>
          <w:lang w:val="fr-FR"/>
        </w:rPr>
        <w:t>enregistrement de marques des État</w:t>
      </w:r>
      <w:r w:rsidR="00E65761" w:rsidRPr="00A8791E">
        <w:rPr>
          <w:lang w:val="fr-FR"/>
        </w:rPr>
        <w:t xml:space="preserve">s </w:t>
      </w:r>
      <w:r w:rsidR="00A84423" w:rsidRPr="00A8791E">
        <w:rPr>
          <w:lang w:val="fr-FR"/>
        </w:rPr>
        <w:t>insulaires du Pacifique</w:t>
      </w:r>
      <w:r w:rsidR="00AE3E1F" w:rsidRPr="00A8791E">
        <w:rPr>
          <w:lang w:val="fr-FR"/>
        </w:rPr>
        <w:t xml:space="preserve">, </w:t>
      </w:r>
      <w:r w:rsidR="00A84423" w:rsidRPr="00A8791E">
        <w:rPr>
          <w:lang w:val="fr-FR"/>
        </w:rPr>
        <w:t xml:space="preserve">à </w:t>
      </w:r>
      <w:r w:rsidR="00AE3E1F" w:rsidRPr="00A8791E">
        <w:rPr>
          <w:lang w:val="fr-FR"/>
        </w:rPr>
        <w:t>Port Mores</w:t>
      </w:r>
      <w:r w:rsidR="00E65761" w:rsidRPr="00A8791E">
        <w:rPr>
          <w:lang w:val="fr-FR"/>
        </w:rPr>
        <w:t>by.  De</w:t>
      </w:r>
      <w:r w:rsidR="009F003C" w:rsidRPr="00A8791E">
        <w:rPr>
          <w:lang w:val="fr-FR"/>
        </w:rPr>
        <w:t>s séances ont été consacrées de façon spécifique</w:t>
      </w:r>
      <w:r w:rsidR="007C5516" w:rsidRPr="00A8791E">
        <w:rPr>
          <w:lang w:val="fr-FR"/>
        </w:rPr>
        <w:t xml:space="preserve"> au S</w:t>
      </w:r>
      <w:r w:rsidR="00E65761" w:rsidRPr="00A8791E">
        <w:rPr>
          <w:lang w:val="fr-FR"/>
        </w:rPr>
        <w:t>TLT.  Di</w:t>
      </w:r>
      <w:r w:rsidR="00A84423" w:rsidRPr="00A8791E">
        <w:rPr>
          <w:lang w:val="fr-FR"/>
        </w:rPr>
        <w:t>x</w:t>
      </w:r>
      <w:r w:rsidR="00D6665E" w:rsidRPr="00A8791E">
        <w:rPr>
          <w:lang w:val="fr-FR"/>
        </w:rPr>
        <w:noBreakHyphen/>
      </w:r>
      <w:r w:rsidR="00A84423" w:rsidRPr="00A8791E">
        <w:rPr>
          <w:lang w:val="fr-FR"/>
        </w:rPr>
        <w:t>huit fonctionnaires des pays ci</w:t>
      </w:r>
      <w:r w:rsidR="00D6665E" w:rsidRPr="00A8791E">
        <w:rPr>
          <w:lang w:val="fr-FR"/>
        </w:rPr>
        <w:noBreakHyphen/>
      </w:r>
      <w:r w:rsidR="00A84423" w:rsidRPr="00A8791E">
        <w:rPr>
          <w:lang w:val="fr-FR"/>
        </w:rPr>
        <w:t>après ont pris part à cette formation</w:t>
      </w:r>
      <w:r w:rsidR="007C5516" w:rsidRPr="00A8791E">
        <w:rPr>
          <w:lang w:val="fr-FR"/>
        </w:rPr>
        <w:t> :</w:t>
      </w:r>
      <w:r w:rsidR="000F34A9" w:rsidRPr="00A8791E">
        <w:rPr>
          <w:lang w:val="fr-FR"/>
        </w:rPr>
        <w:t xml:space="preserve"> </w:t>
      </w:r>
      <w:r w:rsidR="0057381E" w:rsidRPr="00A8791E">
        <w:rPr>
          <w:lang w:val="fr-FR"/>
        </w:rPr>
        <w:t>Fi</w:t>
      </w:r>
      <w:r w:rsidR="00A84423" w:rsidRPr="00A8791E">
        <w:rPr>
          <w:lang w:val="fr-FR"/>
        </w:rPr>
        <w:t>d</w:t>
      </w:r>
      <w:r w:rsidR="0057381E" w:rsidRPr="00A8791E">
        <w:rPr>
          <w:lang w:val="fr-FR"/>
        </w:rPr>
        <w:t xml:space="preserve">ji, </w:t>
      </w:r>
      <w:r w:rsidR="00A84423" w:rsidRPr="00A8791E">
        <w:rPr>
          <w:lang w:val="fr-FR"/>
        </w:rPr>
        <w:t>Papouasie</w:t>
      </w:r>
      <w:r w:rsidR="00D6665E" w:rsidRPr="00A8791E">
        <w:rPr>
          <w:lang w:val="fr-FR"/>
        </w:rPr>
        <w:noBreakHyphen/>
      </w:r>
      <w:r w:rsidR="00A84423" w:rsidRPr="00A8791E">
        <w:rPr>
          <w:lang w:val="fr-FR"/>
        </w:rPr>
        <w:t>Nouvelle</w:t>
      </w:r>
      <w:r w:rsidR="00D6665E" w:rsidRPr="00A8791E">
        <w:rPr>
          <w:lang w:val="fr-FR"/>
        </w:rPr>
        <w:noBreakHyphen/>
      </w:r>
      <w:r w:rsidR="00A84423" w:rsidRPr="00A8791E">
        <w:rPr>
          <w:lang w:val="fr-FR"/>
        </w:rPr>
        <w:t>Guinée, Samoa</w:t>
      </w:r>
      <w:r w:rsidR="0057381E" w:rsidRPr="00A8791E">
        <w:rPr>
          <w:lang w:val="fr-FR"/>
        </w:rPr>
        <w:t xml:space="preserve">, Tonga, Tuvalu </w:t>
      </w:r>
      <w:r w:rsidR="00A84423" w:rsidRPr="00A8791E">
        <w:rPr>
          <w:lang w:val="fr-FR"/>
        </w:rPr>
        <w:t>et</w:t>
      </w:r>
      <w:r w:rsidR="000F34A9" w:rsidRPr="00A8791E">
        <w:rPr>
          <w:lang w:val="fr-FR"/>
        </w:rPr>
        <w:t xml:space="preserve"> </w:t>
      </w:r>
      <w:r w:rsidR="006C319F" w:rsidRPr="00A8791E">
        <w:rPr>
          <w:lang w:val="fr-FR"/>
        </w:rPr>
        <w:t>Vanuatu</w:t>
      </w:r>
      <w:r w:rsidR="0057381E" w:rsidRPr="00A8791E">
        <w:rPr>
          <w:lang w:val="fr-FR"/>
        </w:rPr>
        <w:t>.</w:t>
      </w:r>
    </w:p>
    <w:p w:rsidR="00887717" w:rsidRPr="00A8791E" w:rsidRDefault="00A84423" w:rsidP="00D6665E">
      <w:pPr>
        <w:pStyle w:val="ONUMFS"/>
        <w:numPr>
          <w:ilvl w:val="0"/>
          <w:numId w:val="22"/>
        </w:numPr>
        <w:rPr>
          <w:lang w:val="fr-FR"/>
        </w:rPr>
      </w:pPr>
      <w:r w:rsidRPr="00A8791E">
        <w:rPr>
          <w:lang w:val="fr-FR"/>
        </w:rPr>
        <w:t>Du 24 au 2</w:t>
      </w:r>
      <w:r w:rsidR="007C5516" w:rsidRPr="00A8791E">
        <w:rPr>
          <w:lang w:val="fr-FR"/>
        </w:rPr>
        <w:t>7 avril</w:t>
      </w:r>
      <w:r w:rsidR="00DB49BB">
        <w:rPr>
          <w:lang w:val="fr-FR"/>
        </w:rPr>
        <w:t xml:space="preserve"> 2017</w:t>
      </w:r>
      <w:r w:rsidR="00B2580A" w:rsidRPr="00A8791E">
        <w:rPr>
          <w:lang w:val="fr-FR"/>
        </w:rPr>
        <w:t xml:space="preserve">, </w:t>
      </w:r>
      <w:r w:rsidRPr="00A8791E">
        <w:rPr>
          <w:lang w:val="fr-FR"/>
        </w:rPr>
        <w:t>l</w:t>
      </w:r>
      <w:r w:rsidR="007C5516" w:rsidRPr="00A8791E">
        <w:rPr>
          <w:lang w:val="fr-FR"/>
        </w:rPr>
        <w:t>’</w:t>
      </w:r>
      <w:r w:rsidRPr="00A8791E">
        <w:rPr>
          <w:lang w:val="fr-FR"/>
        </w:rPr>
        <w:t>OMPI, en collaboration avec le Ministère du développement culturel des Îles Cook et l</w:t>
      </w:r>
      <w:r w:rsidR="007C5516" w:rsidRPr="00A8791E">
        <w:rPr>
          <w:lang w:val="fr-FR"/>
        </w:rPr>
        <w:t>’</w:t>
      </w:r>
      <w:r w:rsidRPr="00A8791E">
        <w:rPr>
          <w:lang w:val="fr-FR"/>
        </w:rPr>
        <w:t>Office coréen de la propriété intellectuelle</w:t>
      </w:r>
      <w:r w:rsidR="00B2580A" w:rsidRPr="00A8791E">
        <w:rPr>
          <w:lang w:val="fr-FR"/>
        </w:rPr>
        <w:t> (KIPO)</w:t>
      </w:r>
      <w:r w:rsidR="00F35546" w:rsidRPr="00A8791E">
        <w:rPr>
          <w:lang w:val="fr-FR"/>
        </w:rPr>
        <w:t>,</w:t>
      </w:r>
      <w:r w:rsidR="0057381E" w:rsidRPr="00A8791E">
        <w:rPr>
          <w:lang w:val="fr-FR"/>
        </w:rPr>
        <w:t xml:space="preserve"> </w:t>
      </w:r>
      <w:r w:rsidRPr="00A8791E">
        <w:rPr>
          <w:lang w:val="fr-FR"/>
        </w:rPr>
        <w:t>a organisé une conférence régionale à l</w:t>
      </w:r>
      <w:r w:rsidR="007C5516" w:rsidRPr="00A8791E">
        <w:rPr>
          <w:lang w:val="fr-FR"/>
        </w:rPr>
        <w:t>’</w:t>
      </w:r>
      <w:r w:rsidRPr="00A8791E">
        <w:rPr>
          <w:lang w:val="fr-FR"/>
        </w:rPr>
        <w:t xml:space="preserve">intention des États insulaires du Pacifique, à </w:t>
      </w:r>
      <w:r w:rsidR="0057381E" w:rsidRPr="00A8791E">
        <w:rPr>
          <w:lang w:val="fr-FR"/>
        </w:rPr>
        <w:t>Raroton</w:t>
      </w:r>
      <w:r w:rsidR="00E65761" w:rsidRPr="00A8791E">
        <w:rPr>
          <w:lang w:val="fr-FR"/>
        </w:rPr>
        <w:t>ga.  De</w:t>
      </w:r>
      <w:r w:rsidRPr="00A8791E">
        <w:rPr>
          <w:lang w:val="fr-FR"/>
        </w:rPr>
        <w:t>s séances ont été consacrées de façon spécifique</w:t>
      </w:r>
      <w:r w:rsidR="007C5516" w:rsidRPr="00A8791E">
        <w:rPr>
          <w:lang w:val="fr-FR"/>
        </w:rPr>
        <w:t xml:space="preserve"> au S</w:t>
      </w:r>
      <w:r w:rsidR="00E65761" w:rsidRPr="00A8791E">
        <w:rPr>
          <w:lang w:val="fr-FR"/>
        </w:rPr>
        <w:t>TLT.  Tr</w:t>
      </w:r>
      <w:r w:rsidRPr="00A8791E">
        <w:rPr>
          <w:lang w:val="fr-FR"/>
        </w:rPr>
        <w:t>eize fonctionnaires des pays ci</w:t>
      </w:r>
      <w:r w:rsidR="00D6665E" w:rsidRPr="00A8791E">
        <w:rPr>
          <w:lang w:val="fr-FR"/>
        </w:rPr>
        <w:noBreakHyphen/>
      </w:r>
      <w:r w:rsidRPr="00A8791E">
        <w:rPr>
          <w:lang w:val="fr-FR"/>
        </w:rPr>
        <w:t>après ont pris part à cette formation</w:t>
      </w:r>
      <w:r w:rsidR="007C5516" w:rsidRPr="00A8791E">
        <w:rPr>
          <w:lang w:val="fr-FR"/>
        </w:rPr>
        <w:t> :</w:t>
      </w:r>
      <w:r w:rsidR="009529F3" w:rsidRPr="00A8791E">
        <w:rPr>
          <w:lang w:val="fr-FR"/>
        </w:rPr>
        <w:t xml:space="preserve"> </w:t>
      </w:r>
      <w:r w:rsidR="0057381E" w:rsidRPr="00A8791E">
        <w:rPr>
          <w:lang w:val="fr-FR"/>
        </w:rPr>
        <w:t>Fi</w:t>
      </w:r>
      <w:r w:rsidRPr="00A8791E">
        <w:rPr>
          <w:lang w:val="fr-FR"/>
        </w:rPr>
        <w:t>d</w:t>
      </w:r>
      <w:r w:rsidR="0057381E" w:rsidRPr="00A8791E">
        <w:rPr>
          <w:lang w:val="fr-FR"/>
        </w:rPr>
        <w:t xml:space="preserve">ji, </w:t>
      </w:r>
      <w:r w:rsidR="00B3015B" w:rsidRPr="00A8791E">
        <w:rPr>
          <w:lang w:val="fr-FR"/>
        </w:rPr>
        <w:t xml:space="preserve">Îles Marshall, Îles Salomon, </w:t>
      </w:r>
      <w:r w:rsidR="0057381E" w:rsidRPr="00A8791E">
        <w:rPr>
          <w:lang w:val="fr-FR"/>
        </w:rPr>
        <w:t xml:space="preserve">Kiribati, </w:t>
      </w:r>
      <w:r w:rsidRPr="00A8791E">
        <w:rPr>
          <w:lang w:val="fr-FR"/>
        </w:rPr>
        <w:t>Micronés</w:t>
      </w:r>
      <w:r w:rsidR="009529F3" w:rsidRPr="00A8791E">
        <w:rPr>
          <w:lang w:val="fr-FR"/>
        </w:rPr>
        <w:t>i</w:t>
      </w:r>
      <w:r w:rsidRPr="00A8791E">
        <w:rPr>
          <w:lang w:val="fr-FR"/>
        </w:rPr>
        <w:t>e (États fédérés de</w:t>
      </w:r>
      <w:r w:rsidR="009529F3" w:rsidRPr="00A8791E">
        <w:rPr>
          <w:lang w:val="fr-FR"/>
        </w:rPr>
        <w:t xml:space="preserve">), </w:t>
      </w:r>
      <w:r w:rsidR="001D0354" w:rsidRPr="00A8791E">
        <w:rPr>
          <w:lang w:val="fr-FR"/>
        </w:rPr>
        <w:t>Nauru, Niu</w:t>
      </w:r>
      <w:r w:rsidR="00397B6E" w:rsidRPr="00A8791E">
        <w:rPr>
          <w:lang w:val="fr-FR"/>
        </w:rPr>
        <w:t>e</w:t>
      </w:r>
      <w:r w:rsidR="0057381E" w:rsidRPr="00A8791E">
        <w:rPr>
          <w:lang w:val="fr-FR"/>
        </w:rPr>
        <w:t xml:space="preserve">, </w:t>
      </w:r>
      <w:r w:rsidRPr="00A8791E">
        <w:rPr>
          <w:lang w:val="fr-FR"/>
        </w:rPr>
        <w:t>Papouasie</w:t>
      </w:r>
      <w:r w:rsidR="00D6665E" w:rsidRPr="00A8791E">
        <w:rPr>
          <w:lang w:val="fr-FR"/>
        </w:rPr>
        <w:noBreakHyphen/>
      </w:r>
      <w:r w:rsidRPr="00A8791E">
        <w:rPr>
          <w:lang w:val="fr-FR"/>
        </w:rPr>
        <w:t>Nouvelle</w:t>
      </w:r>
      <w:r w:rsidR="00D6665E" w:rsidRPr="00A8791E">
        <w:rPr>
          <w:lang w:val="fr-FR"/>
        </w:rPr>
        <w:noBreakHyphen/>
      </w:r>
      <w:r w:rsidRPr="00A8791E">
        <w:rPr>
          <w:lang w:val="fr-FR"/>
        </w:rPr>
        <w:t>Guinée</w:t>
      </w:r>
      <w:r w:rsidR="00B2580A" w:rsidRPr="00A8791E">
        <w:rPr>
          <w:lang w:val="fr-FR"/>
        </w:rPr>
        <w:t xml:space="preserve">, </w:t>
      </w:r>
      <w:r w:rsidR="009529F3" w:rsidRPr="00A8791E">
        <w:rPr>
          <w:lang w:val="fr-FR"/>
        </w:rPr>
        <w:t xml:space="preserve">Samoa, </w:t>
      </w:r>
      <w:r w:rsidR="00D434C6" w:rsidRPr="00A8791E">
        <w:rPr>
          <w:lang w:val="fr-FR"/>
        </w:rPr>
        <w:t xml:space="preserve">Tonga, Tuvalu </w:t>
      </w:r>
      <w:r w:rsidRPr="00A8791E">
        <w:rPr>
          <w:lang w:val="fr-FR"/>
        </w:rPr>
        <w:t>et</w:t>
      </w:r>
      <w:r w:rsidR="00D434C6" w:rsidRPr="00A8791E">
        <w:rPr>
          <w:lang w:val="fr-FR"/>
        </w:rPr>
        <w:t xml:space="preserve"> Vanuatu.</w:t>
      </w:r>
    </w:p>
    <w:p w:rsidR="00887717" w:rsidRPr="00A8791E" w:rsidRDefault="00B3015B" w:rsidP="00D6665E">
      <w:pPr>
        <w:pStyle w:val="ONUMFS"/>
        <w:numPr>
          <w:ilvl w:val="0"/>
          <w:numId w:val="22"/>
        </w:numPr>
        <w:rPr>
          <w:u w:val="single"/>
          <w:lang w:val="fr-FR"/>
        </w:rPr>
      </w:pPr>
      <w:r w:rsidRPr="00A8791E">
        <w:rPr>
          <w:lang w:val="fr-FR"/>
        </w:rPr>
        <w:t>Les 10 et 1</w:t>
      </w:r>
      <w:r w:rsidR="007C5516" w:rsidRPr="00A8791E">
        <w:rPr>
          <w:lang w:val="fr-FR"/>
        </w:rPr>
        <w:t>1 mai 20</w:t>
      </w:r>
      <w:r w:rsidR="00BB6C0D" w:rsidRPr="00A8791E">
        <w:rPr>
          <w:lang w:val="fr-FR"/>
        </w:rPr>
        <w:t xml:space="preserve">17, </w:t>
      </w:r>
      <w:r w:rsidRPr="00A8791E">
        <w:rPr>
          <w:lang w:val="fr-FR"/>
        </w:rPr>
        <w:t>un atelier national sur la protection des marques non traditionnelles – situation actuelle et défis à relever, s</w:t>
      </w:r>
      <w:r w:rsidR="007C5516" w:rsidRPr="00A8791E">
        <w:rPr>
          <w:lang w:val="fr-FR"/>
        </w:rPr>
        <w:t>’</w:t>
      </w:r>
      <w:r w:rsidRPr="00A8791E">
        <w:rPr>
          <w:lang w:val="fr-FR"/>
        </w:rPr>
        <w:t xml:space="preserve">est tenu à </w:t>
      </w:r>
      <w:r w:rsidR="00BB6C0D" w:rsidRPr="00A8791E">
        <w:rPr>
          <w:lang w:val="fr-FR"/>
        </w:rPr>
        <w:t>Manama</w:t>
      </w:r>
      <w:r w:rsidRPr="00A8791E">
        <w:rPr>
          <w:lang w:val="fr-FR"/>
        </w:rPr>
        <w:t xml:space="preserve"> (</w:t>
      </w:r>
      <w:r w:rsidR="00BB6C0D" w:rsidRPr="00A8791E">
        <w:rPr>
          <w:lang w:val="fr-FR"/>
        </w:rPr>
        <w:t>Bahr</w:t>
      </w:r>
      <w:r w:rsidRPr="00A8791E">
        <w:rPr>
          <w:lang w:val="fr-FR"/>
        </w:rPr>
        <w:t>e</w:t>
      </w:r>
      <w:r w:rsidR="00E65761" w:rsidRPr="00A8791E">
        <w:rPr>
          <w:lang w:val="fr-FR"/>
        </w:rPr>
        <w:t>ïn).  Ce</w:t>
      </w:r>
      <w:r w:rsidRPr="00A8791E">
        <w:rPr>
          <w:lang w:val="fr-FR"/>
        </w:rPr>
        <w:t>t atelier a été organisé par l</w:t>
      </w:r>
      <w:r w:rsidR="007C5516" w:rsidRPr="00A8791E">
        <w:rPr>
          <w:lang w:val="fr-FR"/>
        </w:rPr>
        <w:t>’</w:t>
      </w:r>
      <w:r w:rsidRPr="00A8791E">
        <w:rPr>
          <w:lang w:val="fr-FR"/>
        </w:rPr>
        <w:t>OMPI en collaboration avec la Direction de la propriété industrielle, Ministère de l</w:t>
      </w:r>
      <w:r w:rsidR="007C5516" w:rsidRPr="00A8791E">
        <w:rPr>
          <w:lang w:val="fr-FR"/>
        </w:rPr>
        <w:t>’</w:t>
      </w:r>
      <w:r w:rsidRPr="00A8791E">
        <w:rPr>
          <w:lang w:val="fr-FR"/>
        </w:rPr>
        <w:t>industrie, du commerce et du tourisme d</w:t>
      </w:r>
      <w:r w:rsidR="00E65761" w:rsidRPr="00A8791E">
        <w:rPr>
          <w:lang w:val="fr-FR"/>
        </w:rPr>
        <w:t xml:space="preserve">e </w:t>
      </w:r>
      <w:r w:rsidRPr="00A8791E">
        <w:rPr>
          <w:lang w:val="fr-FR"/>
        </w:rPr>
        <w:t>Bahre</w:t>
      </w:r>
      <w:r w:rsidR="00E65761" w:rsidRPr="00A8791E">
        <w:rPr>
          <w:lang w:val="fr-FR"/>
        </w:rPr>
        <w:t>ïn.  Un</w:t>
      </w:r>
      <w:r w:rsidRPr="00A8791E">
        <w:rPr>
          <w:lang w:val="fr-FR"/>
        </w:rPr>
        <w:t xml:space="preserve"> conférencier de l</w:t>
      </w:r>
      <w:r w:rsidR="007C5516" w:rsidRPr="00A8791E">
        <w:rPr>
          <w:lang w:val="fr-FR"/>
        </w:rPr>
        <w:t>’</w:t>
      </w:r>
      <w:r w:rsidRPr="00A8791E">
        <w:rPr>
          <w:lang w:val="fr-FR"/>
        </w:rPr>
        <w:t>Office de propriété intellectuelle de l</w:t>
      </w:r>
      <w:r w:rsidR="007C5516" w:rsidRPr="00A8791E">
        <w:rPr>
          <w:lang w:val="fr-FR"/>
        </w:rPr>
        <w:t>’</w:t>
      </w:r>
      <w:r w:rsidRPr="00A8791E">
        <w:rPr>
          <w:lang w:val="fr-FR"/>
        </w:rPr>
        <w:t>Australie (IP </w:t>
      </w:r>
      <w:proofErr w:type="spellStart"/>
      <w:r w:rsidR="004862C3" w:rsidRPr="00A8791E">
        <w:rPr>
          <w:lang w:val="fr-FR"/>
        </w:rPr>
        <w:t>Australia</w:t>
      </w:r>
      <w:proofErr w:type="spellEnd"/>
      <w:r w:rsidR="004862C3" w:rsidRPr="00A8791E">
        <w:rPr>
          <w:lang w:val="fr-FR"/>
        </w:rPr>
        <w:t xml:space="preserve">) </w:t>
      </w:r>
      <w:r w:rsidRPr="00A8791E">
        <w:rPr>
          <w:lang w:val="fr-FR"/>
        </w:rPr>
        <w:t>a également pris part à cet atelier</w:t>
      </w:r>
      <w:r w:rsidR="00C25226" w:rsidRPr="00A8791E">
        <w:rPr>
          <w:lang w:val="fr-FR"/>
        </w:rPr>
        <w:t>.</w:t>
      </w:r>
    </w:p>
    <w:p w:rsidR="005D6109" w:rsidRPr="00A8791E" w:rsidRDefault="009641D8" w:rsidP="00D6665E">
      <w:pPr>
        <w:pStyle w:val="Heading3"/>
        <w:rPr>
          <w:lang w:val="fr-FR"/>
        </w:rPr>
      </w:pPr>
      <w:r w:rsidRPr="00A8791E">
        <w:rPr>
          <w:lang w:val="fr-FR"/>
        </w:rPr>
        <w:t>Visites d</w:t>
      </w:r>
      <w:r w:rsidR="007C5516" w:rsidRPr="00A8791E">
        <w:rPr>
          <w:lang w:val="fr-FR"/>
        </w:rPr>
        <w:t>’</w:t>
      </w:r>
      <w:r w:rsidRPr="00A8791E">
        <w:rPr>
          <w:lang w:val="fr-FR"/>
        </w:rPr>
        <w:t>étude</w:t>
      </w:r>
    </w:p>
    <w:p w:rsidR="005D6109" w:rsidRPr="00A8791E" w:rsidRDefault="005D6109" w:rsidP="00D6665E">
      <w:pPr>
        <w:rPr>
          <w:lang w:val="fr-FR"/>
        </w:rPr>
      </w:pPr>
    </w:p>
    <w:p w:rsidR="009C62A3" w:rsidRPr="00A8791E" w:rsidRDefault="00C051E6" w:rsidP="00D6665E">
      <w:pPr>
        <w:pStyle w:val="ONUMFS"/>
        <w:numPr>
          <w:ilvl w:val="0"/>
          <w:numId w:val="23"/>
        </w:numPr>
        <w:rPr>
          <w:lang w:val="fr-FR"/>
        </w:rPr>
      </w:pPr>
      <w:r w:rsidRPr="00A8791E">
        <w:rPr>
          <w:lang w:val="fr-FR"/>
        </w:rPr>
        <w:t>Du 3</w:t>
      </w:r>
      <w:r w:rsidR="007C5516" w:rsidRPr="00A8791E">
        <w:rPr>
          <w:lang w:val="fr-FR"/>
        </w:rPr>
        <w:t>0 novembre</w:t>
      </w:r>
      <w:r w:rsidRPr="00A8791E">
        <w:rPr>
          <w:lang w:val="fr-FR"/>
        </w:rPr>
        <w:t xml:space="preserve"> au </w:t>
      </w:r>
      <w:r w:rsidR="007C5516" w:rsidRPr="00A8791E">
        <w:rPr>
          <w:lang w:val="fr-FR"/>
        </w:rPr>
        <w:t>2 décembre 20</w:t>
      </w:r>
      <w:r w:rsidRPr="00A8791E">
        <w:rPr>
          <w:lang w:val="fr-FR"/>
        </w:rPr>
        <w:t>15, le Bureau international de l</w:t>
      </w:r>
      <w:r w:rsidR="007C5516" w:rsidRPr="00A8791E">
        <w:rPr>
          <w:lang w:val="fr-FR"/>
        </w:rPr>
        <w:t>’</w:t>
      </w:r>
      <w:r w:rsidRPr="00A8791E">
        <w:rPr>
          <w:lang w:val="fr-FR"/>
        </w:rPr>
        <w:t>OMPI a accueilli en visite d</w:t>
      </w:r>
      <w:r w:rsidR="007C5516" w:rsidRPr="00A8791E">
        <w:rPr>
          <w:lang w:val="fr-FR"/>
        </w:rPr>
        <w:t>’</w:t>
      </w:r>
      <w:r w:rsidRPr="00A8791E">
        <w:rPr>
          <w:lang w:val="fr-FR"/>
        </w:rPr>
        <w:t>étude 20</w:t>
      </w:r>
      <w:r w:rsidR="003D24A2" w:rsidRPr="00A8791E">
        <w:rPr>
          <w:lang w:val="fr-FR"/>
        </w:rPr>
        <w:t> </w:t>
      </w:r>
      <w:r w:rsidRPr="00A8791E">
        <w:rPr>
          <w:lang w:val="fr-FR"/>
        </w:rPr>
        <w:t>fonctionnaires d</w:t>
      </w:r>
      <w:r w:rsidR="007C5516" w:rsidRPr="00A8791E">
        <w:rPr>
          <w:lang w:val="fr-FR"/>
        </w:rPr>
        <w:t>’Arabie saoudite</w:t>
      </w:r>
      <w:r w:rsidRPr="00A8791E">
        <w:rPr>
          <w:lang w:val="fr-FR"/>
        </w:rPr>
        <w:t xml:space="preserve"> afin d</w:t>
      </w:r>
      <w:r w:rsidR="007C5516" w:rsidRPr="00A8791E">
        <w:rPr>
          <w:lang w:val="fr-FR"/>
        </w:rPr>
        <w:t>’</w:t>
      </w:r>
      <w:r w:rsidRPr="00A8791E">
        <w:rPr>
          <w:lang w:val="fr-FR"/>
        </w:rPr>
        <w:t>examiner un certain nombre de questions relatives aux marqu</w:t>
      </w:r>
      <w:r w:rsidR="00E65761" w:rsidRPr="00A8791E">
        <w:rPr>
          <w:lang w:val="fr-FR"/>
        </w:rPr>
        <w:t>es.  De</w:t>
      </w:r>
      <w:r w:rsidRPr="00A8791E">
        <w:rPr>
          <w:lang w:val="fr-FR"/>
        </w:rPr>
        <w:t>s séances ont été consacrées de façon spécifique</w:t>
      </w:r>
      <w:r w:rsidR="007C5516" w:rsidRPr="00A8791E">
        <w:rPr>
          <w:lang w:val="fr-FR"/>
        </w:rPr>
        <w:t xml:space="preserve"> au TLT</w:t>
      </w:r>
      <w:r w:rsidRPr="00A8791E">
        <w:rPr>
          <w:lang w:val="fr-FR"/>
        </w:rPr>
        <w:t xml:space="preserve"> et</w:t>
      </w:r>
      <w:r w:rsidR="007C5516" w:rsidRPr="00A8791E">
        <w:rPr>
          <w:lang w:val="fr-FR"/>
        </w:rPr>
        <w:t xml:space="preserve"> au S</w:t>
      </w:r>
      <w:r w:rsidR="00E65761" w:rsidRPr="00A8791E">
        <w:rPr>
          <w:lang w:val="fr-FR"/>
        </w:rPr>
        <w:t>TLT.  Ce</w:t>
      </w:r>
      <w:r w:rsidRPr="00A8791E">
        <w:rPr>
          <w:lang w:val="fr-FR"/>
        </w:rPr>
        <w:t>tte visite d</w:t>
      </w:r>
      <w:r w:rsidR="007C5516" w:rsidRPr="00A8791E">
        <w:rPr>
          <w:lang w:val="fr-FR"/>
        </w:rPr>
        <w:t>’</w:t>
      </w:r>
      <w:r w:rsidRPr="00A8791E">
        <w:rPr>
          <w:lang w:val="fr-FR"/>
        </w:rPr>
        <w:t>étude a été organisée à la demande du Bureau de l</w:t>
      </w:r>
      <w:r w:rsidR="007C5516" w:rsidRPr="00A8791E">
        <w:rPr>
          <w:lang w:val="fr-FR"/>
        </w:rPr>
        <w:t>’</w:t>
      </w:r>
      <w:r w:rsidRPr="00A8791E">
        <w:rPr>
          <w:lang w:val="fr-FR"/>
        </w:rPr>
        <w:t>attaché commercial du Royaume d</w:t>
      </w:r>
      <w:r w:rsidR="007C5516" w:rsidRPr="00A8791E">
        <w:rPr>
          <w:lang w:val="fr-FR"/>
        </w:rPr>
        <w:t>’Arabie saoudite</w:t>
      </w:r>
      <w:r w:rsidRPr="00A8791E">
        <w:rPr>
          <w:lang w:val="fr-FR"/>
        </w:rPr>
        <w:t xml:space="preserve"> à Genève</w:t>
      </w:r>
      <w:r w:rsidR="00C25226" w:rsidRPr="00A8791E">
        <w:rPr>
          <w:lang w:val="fr-FR"/>
        </w:rPr>
        <w:t>.</w:t>
      </w:r>
    </w:p>
    <w:p w:rsidR="009C62A3" w:rsidRPr="00A8791E" w:rsidRDefault="00407B9F" w:rsidP="00D6665E">
      <w:pPr>
        <w:pStyle w:val="ONUMFS"/>
        <w:numPr>
          <w:ilvl w:val="0"/>
          <w:numId w:val="23"/>
        </w:numPr>
        <w:rPr>
          <w:lang w:val="fr-FR"/>
        </w:rPr>
      </w:pPr>
      <w:r w:rsidRPr="00A8791E">
        <w:rPr>
          <w:lang w:val="fr-FR"/>
        </w:rPr>
        <w:t>Le 2</w:t>
      </w:r>
      <w:r w:rsidR="007C5516" w:rsidRPr="00A8791E">
        <w:rPr>
          <w:lang w:val="fr-FR"/>
        </w:rPr>
        <w:t>2 février 20</w:t>
      </w:r>
      <w:r w:rsidR="00C051E6" w:rsidRPr="00A8791E">
        <w:rPr>
          <w:lang w:val="fr-FR"/>
        </w:rPr>
        <w:t>17</w:t>
      </w:r>
      <w:r w:rsidR="001C4803" w:rsidRPr="00A8791E">
        <w:rPr>
          <w:lang w:val="fr-FR"/>
        </w:rPr>
        <w:t xml:space="preserve">, </w:t>
      </w:r>
      <w:r w:rsidR="00C051E6" w:rsidRPr="00A8791E">
        <w:rPr>
          <w:lang w:val="fr-FR"/>
        </w:rPr>
        <w:t>l</w:t>
      </w:r>
      <w:r w:rsidR="007C5516" w:rsidRPr="00A8791E">
        <w:rPr>
          <w:lang w:val="fr-FR"/>
        </w:rPr>
        <w:t>’</w:t>
      </w:r>
      <w:r w:rsidR="00C051E6" w:rsidRPr="00A8791E">
        <w:rPr>
          <w:lang w:val="fr-FR"/>
        </w:rPr>
        <w:t>OMPI a accueilli en visite d</w:t>
      </w:r>
      <w:r w:rsidR="007C5516" w:rsidRPr="00A8791E">
        <w:rPr>
          <w:lang w:val="fr-FR"/>
        </w:rPr>
        <w:t>’</w:t>
      </w:r>
      <w:r w:rsidR="00C051E6" w:rsidRPr="00A8791E">
        <w:rPr>
          <w:lang w:val="fr-FR"/>
        </w:rPr>
        <w:t xml:space="preserve">étude une délégation du Rwanda à laquelle elle a dispensé des avis juridiques sur les dispositions relatives aux marques du projet de loi </w:t>
      </w:r>
      <w:r w:rsidR="007C5516" w:rsidRPr="00A8791E">
        <w:rPr>
          <w:lang w:val="fr-FR"/>
        </w:rPr>
        <w:t>de 2016</w:t>
      </w:r>
      <w:r w:rsidR="00C051E6" w:rsidRPr="00A8791E">
        <w:rPr>
          <w:lang w:val="fr-FR"/>
        </w:rPr>
        <w:t xml:space="preserve"> sur la protection de la propriété intellectuelle</w:t>
      </w:r>
      <w:r w:rsidR="001C4803" w:rsidRPr="00A8791E">
        <w:rPr>
          <w:lang w:val="fr-FR"/>
        </w:rPr>
        <w:t>.</w:t>
      </w:r>
    </w:p>
    <w:p w:rsidR="009C62A3" w:rsidRPr="00A8791E" w:rsidRDefault="00407B9F" w:rsidP="00D6665E">
      <w:pPr>
        <w:pStyle w:val="ONUMFS"/>
        <w:numPr>
          <w:ilvl w:val="0"/>
          <w:numId w:val="23"/>
        </w:numPr>
        <w:rPr>
          <w:lang w:val="fr-FR"/>
        </w:rPr>
      </w:pPr>
      <w:r w:rsidRPr="00A8791E">
        <w:rPr>
          <w:lang w:val="fr-FR"/>
        </w:rPr>
        <w:t>Le 3</w:t>
      </w:r>
      <w:r w:rsidR="007C5516" w:rsidRPr="00A8791E">
        <w:rPr>
          <w:lang w:val="fr-FR"/>
        </w:rPr>
        <w:t>0 novembre 20</w:t>
      </w:r>
      <w:r w:rsidRPr="00A8791E">
        <w:rPr>
          <w:lang w:val="fr-FR"/>
        </w:rPr>
        <w:t>16 et le 1</w:t>
      </w:r>
      <w:r w:rsidR="007C5516" w:rsidRPr="00A8791E">
        <w:rPr>
          <w:lang w:val="fr-FR"/>
        </w:rPr>
        <w:t>6 mai 20</w:t>
      </w:r>
      <w:r w:rsidRPr="00A8791E">
        <w:rPr>
          <w:lang w:val="fr-FR"/>
        </w:rPr>
        <w:t>17, l</w:t>
      </w:r>
      <w:r w:rsidR="007C5516" w:rsidRPr="00A8791E">
        <w:rPr>
          <w:lang w:val="fr-FR"/>
        </w:rPr>
        <w:t>’</w:t>
      </w:r>
      <w:r w:rsidRPr="00A8791E">
        <w:rPr>
          <w:lang w:val="fr-FR"/>
        </w:rPr>
        <w:t>OMPI a accueilli en visite d</w:t>
      </w:r>
      <w:r w:rsidR="007C5516" w:rsidRPr="00A8791E">
        <w:rPr>
          <w:lang w:val="fr-FR"/>
        </w:rPr>
        <w:t>’</w:t>
      </w:r>
      <w:r w:rsidRPr="00A8791E">
        <w:rPr>
          <w:lang w:val="fr-FR"/>
        </w:rPr>
        <w:t xml:space="preserve">étude des fonctionnaires du Myanmar </w:t>
      </w:r>
      <w:r w:rsidR="00C051E6" w:rsidRPr="00A8791E">
        <w:rPr>
          <w:lang w:val="fr-FR"/>
        </w:rPr>
        <w:t>afin d</w:t>
      </w:r>
      <w:r w:rsidR="007C5516" w:rsidRPr="00A8791E">
        <w:rPr>
          <w:lang w:val="fr-FR"/>
        </w:rPr>
        <w:t>’</w:t>
      </w:r>
      <w:r w:rsidRPr="00A8791E">
        <w:rPr>
          <w:lang w:val="fr-FR"/>
        </w:rPr>
        <w:t>examiner l</w:t>
      </w:r>
      <w:r w:rsidR="007C5516" w:rsidRPr="00A8791E">
        <w:rPr>
          <w:lang w:val="fr-FR"/>
        </w:rPr>
        <w:t>’</w:t>
      </w:r>
      <w:r w:rsidRPr="00A8791E">
        <w:rPr>
          <w:lang w:val="fr-FR"/>
        </w:rPr>
        <w:t>actuel projet de loi sur la propriété industrielle et l</w:t>
      </w:r>
      <w:r w:rsidR="007C5516" w:rsidRPr="00A8791E">
        <w:rPr>
          <w:lang w:val="fr-FR"/>
        </w:rPr>
        <w:t>’</w:t>
      </w:r>
      <w:r w:rsidRPr="00A8791E">
        <w:rPr>
          <w:lang w:val="fr-FR"/>
        </w:rPr>
        <w:t>assistance fournie par l</w:t>
      </w:r>
      <w:r w:rsidR="007C5516" w:rsidRPr="00A8791E">
        <w:rPr>
          <w:lang w:val="fr-FR"/>
        </w:rPr>
        <w:t>’</w:t>
      </w:r>
      <w:r w:rsidRPr="00A8791E">
        <w:rPr>
          <w:lang w:val="fr-FR"/>
        </w:rPr>
        <w:t>OMPI concernant la future réglementation relative aux marques</w:t>
      </w:r>
      <w:r w:rsidR="005D43C3" w:rsidRPr="00A8791E">
        <w:rPr>
          <w:lang w:val="fr-FR"/>
        </w:rPr>
        <w:t>.</w:t>
      </w:r>
    </w:p>
    <w:p w:rsidR="00DF7BE5" w:rsidRPr="00A8791E" w:rsidRDefault="009641D8" w:rsidP="00D6665E">
      <w:pPr>
        <w:pStyle w:val="Heading3"/>
        <w:rPr>
          <w:lang w:val="fr-FR"/>
        </w:rPr>
      </w:pPr>
      <w:r w:rsidRPr="00A8791E">
        <w:rPr>
          <w:lang w:val="fr-FR"/>
        </w:rPr>
        <w:t>Divers</w:t>
      </w:r>
    </w:p>
    <w:p w:rsidR="004862C3" w:rsidRPr="00A8791E" w:rsidRDefault="004862C3" w:rsidP="00D6665E">
      <w:pPr>
        <w:tabs>
          <w:tab w:val="left" w:pos="567"/>
        </w:tabs>
        <w:rPr>
          <w:lang w:val="fr-FR"/>
        </w:rPr>
      </w:pPr>
    </w:p>
    <w:p w:rsidR="004862C3" w:rsidRPr="00A8791E" w:rsidRDefault="00407B9F" w:rsidP="00D6665E">
      <w:pPr>
        <w:pStyle w:val="ONUMFS"/>
        <w:numPr>
          <w:ilvl w:val="0"/>
          <w:numId w:val="23"/>
        </w:numPr>
        <w:rPr>
          <w:lang w:val="fr-FR"/>
        </w:rPr>
      </w:pPr>
      <w:r w:rsidRPr="00A8791E">
        <w:rPr>
          <w:lang w:val="fr-FR"/>
        </w:rPr>
        <w:t>Le 1</w:t>
      </w:r>
      <w:r w:rsidR="007C5516" w:rsidRPr="00A8791E">
        <w:rPr>
          <w:lang w:val="fr-FR"/>
        </w:rPr>
        <w:t>7 février 20</w:t>
      </w:r>
      <w:r w:rsidRPr="00A8791E">
        <w:rPr>
          <w:lang w:val="fr-FR"/>
        </w:rPr>
        <w:t xml:space="preserve">17, </w:t>
      </w:r>
      <w:r w:rsidR="00C051E6" w:rsidRPr="00A8791E">
        <w:rPr>
          <w:lang w:val="fr-FR"/>
        </w:rPr>
        <w:t>à la</w:t>
      </w:r>
      <w:r w:rsidRPr="00A8791E">
        <w:rPr>
          <w:lang w:val="fr-FR"/>
        </w:rPr>
        <w:t xml:space="preserve"> demande </w:t>
      </w:r>
      <w:r w:rsidR="004F5CEF" w:rsidRPr="00A8791E">
        <w:rPr>
          <w:lang w:val="fr-FR"/>
        </w:rPr>
        <w:t xml:space="preserve">du Cambodge, </w:t>
      </w:r>
      <w:r w:rsidRPr="00A8791E">
        <w:rPr>
          <w:lang w:val="fr-FR"/>
        </w:rPr>
        <w:t>l</w:t>
      </w:r>
      <w:r w:rsidR="007C5516" w:rsidRPr="00A8791E">
        <w:rPr>
          <w:lang w:val="fr-FR"/>
        </w:rPr>
        <w:t>’</w:t>
      </w:r>
      <w:r w:rsidRPr="00A8791E">
        <w:rPr>
          <w:lang w:val="fr-FR"/>
        </w:rPr>
        <w:t>OMPI a présenté une</w:t>
      </w:r>
      <w:r w:rsidR="003A2CB9" w:rsidRPr="00A8791E">
        <w:rPr>
          <w:lang w:val="fr-FR"/>
        </w:rPr>
        <w:t xml:space="preserve"> “</w:t>
      </w:r>
      <w:r w:rsidRPr="00A8791E">
        <w:rPr>
          <w:lang w:val="fr-FR"/>
        </w:rPr>
        <w:t>Étude sur l</w:t>
      </w:r>
      <w:r w:rsidR="007C5516" w:rsidRPr="00A8791E">
        <w:rPr>
          <w:lang w:val="fr-FR"/>
        </w:rPr>
        <w:t>’</w:t>
      </w:r>
      <w:r w:rsidRPr="00A8791E">
        <w:rPr>
          <w:lang w:val="fr-FR"/>
        </w:rPr>
        <w:t>incidence de l</w:t>
      </w:r>
      <w:r w:rsidR="007C5516" w:rsidRPr="00A8791E">
        <w:rPr>
          <w:lang w:val="fr-FR"/>
        </w:rPr>
        <w:t>’</w:t>
      </w:r>
      <w:r w:rsidRPr="00A8791E">
        <w:rPr>
          <w:lang w:val="fr-FR"/>
        </w:rPr>
        <w:t>adhésion du Cambodge</w:t>
      </w:r>
      <w:r w:rsidR="007C5516" w:rsidRPr="00A8791E">
        <w:rPr>
          <w:lang w:val="fr-FR"/>
        </w:rPr>
        <w:t xml:space="preserve"> au STL</w:t>
      </w:r>
      <w:r w:rsidRPr="00A8791E">
        <w:rPr>
          <w:lang w:val="fr-FR"/>
        </w:rPr>
        <w:t>T</w:t>
      </w:r>
      <w:r w:rsidR="003A2CB9" w:rsidRPr="00A8791E">
        <w:rPr>
          <w:lang w:val="fr-FR"/>
        </w:rPr>
        <w:t>”.</w:t>
      </w:r>
    </w:p>
    <w:p w:rsidR="00DF7BE5" w:rsidRPr="00A8791E" w:rsidRDefault="009641D8" w:rsidP="00D6665E">
      <w:pPr>
        <w:pStyle w:val="ONUMFS"/>
        <w:rPr>
          <w:lang w:val="fr-FR"/>
        </w:rPr>
      </w:pPr>
      <w:r w:rsidRPr="00A8791E">
        <w:rPr>
          <w:lang w:val="fr-FR"/>
        </w:rPr>
        <w:t>Une liste des parties contractantes du Traité de Singapour au 13 avril 2017 figure dans l</w:t>
      </w:r>
      <w:r w:rsidR="007C5516" w:rsidRPr="00A8791E">
        <w:rPr>
          <w:lang w:val="fr-FR"/>
        </w:rPr>
        <w:t>’</w:t>
      </w:r>
      <w:r w:rsidRPr="00A8791E">
        <w:rPr>
          <w:lang w:val="fr-FR"/>
        </w:rPr>
        <w:t>annexe du présent document.</w:t>
      </w:r>
    </w:p>
    <w:p w:rsidR="00DF7BE5" w:rsidRPr="00A8791E" w:rsidRDefault="009641D8" w:rsidP="00D6665E">
      <w:pPr>
        <w:pStyle w:val="ONUMFS"/>
        <w:ind w:left="5533"/>
        <w:rPr>
          <w:i/>
          <w:lang w:val="fr-FR"/>
        </w:rPr>
      </w:pPr>
      <w:r w:rsidRPr="00A8791E">
        <w:rPr>
          <w:i/>
          <w:lang w:val="fr-FR"/>
        </w:rPr>
        <w:t>L</w:t>
      </w:r>
      <w:r w:rsidR="007C5516" w:rsidRPr="00A8791E">
        <w:rPr>
          <w:i/>
          <w:lang w:val="fr-FR"/>
        </w:rPr>
        <w:t>’</w:t>
      </w:r>
      <w:r w:rsidRPr="00A8791E">
        <w:rPr>
          <w:i/>
          <w:lang w:val="fr-FR"/>
        </w:rPr>
        <w:t xml:space="preserve">Assemblée est invitée à prendre note du contenu du document intitulé “Assistance pour la mise en œuvre du Traité de Singapour sur le droit des marques” </w:t>
      </w:r>
      <w:r w:rsidR="007C0916" w:rsidRPr="00A8791E">
        <w:rPr>
          <w:i/>
          <w:lang w:val="fr-FR"/>
        </w:rPr>
        <w:t>(document STLT/A/</w:t>
      </w:r>
      <w:r w:rsidR="00707F62" w:rsidRPr="00A8791E">
        <w:rPr>
          <w:i/>
          <w:lang w:val="fr-FR"/>
        </w:rPr>
        <w:t>10</w:t>
      </w:r>
      <w:r w:rsidR="007C0916" w:rsidRPr="00A8791E">
        <w:rPr>
          <w:i/>
          <w:lang w:val="fr-FR"/>
        </w:rPr>
        <w:t>/1).</w:t>
      </w:r>
    </w:p>
    <w:p w:rsidR="00DF7BE5" w:rsidRPr="00A8791E" w:rsidRDefault="00DF7BE5" w:rsidP="00D6665E">
      <w:pPr>
        <w:pStyle w:val="DecisionInvitingPara"/>
        <w:tabs>
          <w:tab w:val="left" w:pos="5954"/>
          <w:tab w:val="right" w:pos="9072"/>
        </w:tabs>
        <w:spacing w:after="0" w:line="240" w:lineRule="auto"/>
        <w:ind w:left="5529" w:firstLine="5"/>
        <w:rPr>
          <w:sz w:val="22"/>
          <w:szCs w:val="22"/>
          <w:lang w:val="fr-FR"/>
        </w:rPr>
      </w:pPr>
    </w:p>
    <w:p w:rsidR="00DF7BE5" w:rsidRPr="00A8791E" w:rsidRDefault="00DF7BE5" w:rsidP="00D6665E">
      <w:pPr>
        <w:pStyle w:val="DecisionInvitingPara"/>
        <w:tabs>
          <w:tab w:val="left" w:pos="5954"/>
          <w:tab w:val="right" w:pos="9072"/>
        </w:tabs>
        <w:spacing w:after="0" w:line="240" w:lineRule="auto"/>
        <w:ind w:left="5529" w:firstLine="5"/>
        <w:rPr>
          <w:sz w:val="22"/>
          <w:szCs w:val="22"/>
          <w:lang w:val="fr-FR"/>
        </w:rPr>
      </w:pPr>
    </w:p>
    <w:p w:rsidR="00DF7BE5" w:rsidRPr="00A8791E" w:rsidRDefault="00DF7BE5" w:rsidP="00D6665E">
      <w:pPr>
        <w:pStyle w:val="DecisionInvitingPara"/>
        <w:tabs>
          <w:tab w:val="left" w:pos="5954"/>
          <w:tab w:val="right" w:pos="9072"/>
        </w:tabs>
        <w:spacing w:after="0" w:line="240" w:lineRule="auto"/>
        <w:ind w:left="5529" w:firstLine="5"/>
        <w:rPr>
          <w:i w:val="0"/>
          <w:sz w:val="22"/>
          <w:szCs w:val="22"/>
          <w:lang w:val="fr-FR"/>
        </w:rPr>
      </w:pPr>
      <w:r w:rsidRPr="00A8791E">
        <w:rPr>
          <w:i w:val="0"/>
          <w:sz w:val="22"/>
          <w:szCs w:val="22"/>
          <w:lang w:val="fr-FR"/>
        </w:rPr>
        <w:t>[</w:t>
      </w:r>
      <w:r w:rsidR="009641D8" w:rsidRPr="00A8791E">
        <w:rPr>
          <w:i w:val="0"/>
          <w:sz w:val="22"/>
          <w:szCs w:val="22"/>
          <w:lang w:val="fr-FR"/>
        </w:rPr>
        <w:t>L</w:t>
      </w:r>
      <w:r w:rsidR="007C5516" w:rsidRPr="00A8791E">
        <w:rPr>
          <w:i w:val="0"/>
          <w:sz w:val="22"/>
          <w:szCs w:val="22"/>
          <w:lang w:val="fr-FR"/>
        </w:rPr>
        <w:t>’</w:t>
      </w:r>
      <w:r w:rsidR="009641D8" w:rsidRPr="00A8791E">
        <w:rPr>
          <w:i w:val="0"/>
          <w:sz w:val="22"/>
          <w:szCs w:val="22"/>
          <w:lang w:val="fr-FR"/>
        </w:rPr>
        <w:t>annexe suit</w:t>
      </w:r>
      <w:r w:rsidRPr="00A8791E">
        <w:rPr>
          <w:i w:val="0"/>
          <w:sz w:val="22"/>
          <w:szCs w:val="22"/>
          <w:lang w:val="fr-FR"/>
        </w:rPr>
        <w:t>]</w:t>
      </w:r>
    </w:p>
    <w:p w:rsidR="00DF7BE5" w:rsidRPr="00A8791E" w:rsidRDefault="00DF7BE5" w:rsidP="00D6665E">
      <w:pPr>
        <w:tabs>
          <w:tab w:val="left" w:pos="567"/>
        </w:tabs>
        <w:rPr>
          <w:lang w:val="fr-FR"/>
        </w:rPr>
      </w:pPr>
    </w:p>
    <w:p w:rsidR="00DF7BE5" w:rsidRPr="00A8791E" w:rsidRDefault="00DF7BE5" w:rsidP="00D6665E">
      <w:pPr>
        <w:tabs>
          <w:tab w:val="left" w:pos="567"/>
        </w:tabs>
        <w:rPr>
          <w:lang w:val="fr-FR"/>
        </w:rPr>
      </w:pPr>
    </w:p>
    <w:p w:rsidR="00346A4F" w:rsidRPr="00A8791E" w:rsidRDefault="00346A4F" w:rsidP="00D6665E">
      <w:pPr>
        <w:rPr>
          <w:lang w:val="fr-FR"/>
        </w:rPr>
      </w:pPr>
    </w:p>
    <w:p w:rsidR="000115DF" w:rsidRPr="00A8791E" w:rsidRDefault="000115DF" w:rsidP="00D6665E">
      <w:pPr>
        <w:rPr>
          <w:lang w:val="fr-FR"/>
        </w:rPr>
        <w:sectPr w:rsidR="000115DF" w:rsidRPr="00A8791E" w:rsidSect="0088771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pPr>
    </w:p>
    <w:p w:rsidR="00253D5F" w:rsidRPr="00A8791E" w:rsidRDefault="00253D5F" w:rsidP="00D6665E">
      <w:pPr>
        <w:autoSpaceDE w:val="0"/>
        <w:autoSpaceDN w:val="0"/>
        <w:adjustRightInd w:val="0"/>
        <w:jc w:val="center"/>
        <w:rPr>
          <w:bCs/>
          <w:szCs w:val="24"/>
          <w:lang w:val="fr-FR"/>
        </w:rPr>
      </w:pPr>
      <w:r w:rsidRPr="00A8791E">
        <w:rPr>
          <w:bCs/>
          <w:szCs w:val="24"/>
          <w:lang w:val="fr-FR"/>
        </w:rPr>
        <w:t>Traité de Singapour sur le droit des marques</w:t>
      </w:r>
    </w:p>
    <w:p w:rsidR="00253D5F" w:rsidRPr="00A8791E" w:rsidRDefault="00253D5F" w:rsidP="00D6665E">
      <w:pPr>
        <w:autoSpaceDE w:val="0"/>
        <w:autoSpaceDN w:val="0"/>
        <w:adjustRightInd w:val="0"/>
        <w:jc w:val="center"/>
        <w:rPr>
          <w:szCs w:val="24"/>
          <w:lang w:val="fr-FR"/>
        </w:rPr>
      </w:pPr>
      <w:r w:rsidRPr="00A8791E">
        <w:rPr>
          <w:szCs w:val="24"/>
          <w:lang w:val="fr-FR"/>
        </w:rPr>
        <w:t>(Singapour 2006)</w:t>
      </w:r>
    </w:p>
    <w:p w:rsidR="00253D5F" w:rsidRPr="00A8791E" w:rsidRDefault="00253D5F" w:rsidP="00D6665E">
      <w:pPr>
        <w:autoSpaceDE w:val="0"/>
        <w:autoSpaceDN w:val="0"/>
        <w:adjustRightInd w:val="0"/>
        <w:jc w:val="center"/>
        <w:rPr>
          <w:szCs w:val="24"/>
          <w:lang w:val="fr-FR"/>
        </w:rPr>
      </w:pPr>
      <w:r w:rsidRPr="00A8791E">
        <w:rPr>
          <w:szCs w:val="24"/>
          <w:lang w:val="fr-FR"/>
        </w:rPr>
        <w:t>Situation au 13 avril 2017</w:t>
      </w:r>
    </w:p>
    <w:p w:rsidR="00346A4F" w:rsidRPr="00A8791E" w:rsidRDefault="00346A4F" w:rsidP="00D6665E">
      <w:pPr>
        <w:autoSpaceDE w:val="0"/>
        <w:autoSpaceDN w:val="0"/>
        <w:adjustRightInd w:val="0"/>
        <w:jc w:val="center"/>
        <w:rPr>
          <w:color w:val="000000"/>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253"/>
      </w:tblGrid>
      <w:tr w:rsidR="00B67485" w:rsidRPr="00A8791E" w:rsidTr="00B67485">
        <w:tc>
          <w:tcPr>
            <w:tcW w:w="4077" w:type="dxa"/>
            <w:tcBorders>
              <w:top w:val="single" w:sz="4" w:space="0" w:color="auto"/>
              <w:bottom w:val="single" w:sz="4" w:space="0" w:color="auto"/>
            </w:tcBorders>
          </w:tcPr>
          <w:p w:rsidR="00B67485" w:rsidRPr="00A8791E" w:rsidRDefault="00B67485" w:rsidP="00D6665E">
            <w:pPr>
              <w:tabs>
                <w:tab w:val="right" w:leader="dot" w:pos="3856"/>
              </w:tabs>
              <w:autoSpaceDE w:val="0"/>
              <w:autoSpaceDN w:val="0"/>
              <w:adjustRightInd w:val="0"/>
              <w:rPr>
                <w:color w:val="000000"/>
                <w:sz w:val="16"/>
                <w:szCs w:val="16"/>
                <w:lang w:val="fr-FR"/>
              </w:rPr>
            </w:pPr>
            <w:r w:rsidRPr="00A8791E">
              <w:rPr>
                <w:sz w:val="16"/>
                <w:szCs w:val="16"/>
                <w:lang w:val="fr-FR"/>
              </w:rPr>
              <w:t>État/Organisation intergouvernementale</w:t>
            </w:r>
          </w:p>
        </w:tc>
        <w:tc>
          <w:tcPr>
            <w:tcW w:w="567" w:type="dxa"/>
            <w:vAlign w:val="bottom"/>
          </w:tcPr>
          <w:p w:rsidR="00B67485" w:rsidRPr="00A8791E" w:rsidRDefault="00B67485" w:rsidP="00D6665E">
            <w:pPr>
              <w:autoSpaceDE w:val="0"/>
              <w:autoSpaceDN w:val="0"/>
              <w:adjustRightInd w:val="0"/>
              <w:rPr>
                <w:color w:val="000000"/>
                <w:sz w:val="16"/>
                <w:szCs w:val="16"/>
                <w:lang w:val="fr-FR"/>
              </w:rPr>
            </w:pPr>
          </w:p>
        </w:tc>
        <w:tc>
          <w:tcPr>
            <w:tcW w:w="4253" w:type="dxa"/>
            <w:tcBorders>
              <w:top w:val="single" w:sz="4" w:space="0" w:color="auto"/>
              <w:bottom w:val="single" w:sz="4" w:space="0" w:color="auto"/>
            </w:tcBorders>
            <w:vAlign w:val="bottom"/>
          </w:tcPr>
          <w:p w:rsidR="00B67485" w:rsidRPr="00A8791E" w:rsidRDefault="00B67485" w:rsidP="00D6665E">
            <w:pPr>
              <w:autoSpaceDE w:val="0"/>
              <w:autoSpaceDN w:val="0"/>
              <w:adjustRightInd w:val="0"/>
              <w:rPr>
                <w:color w:val="000000"/>
                <w:sz w:val="16"/>
                <w:szCs w:val="16"/>
                <w:lang w:val="fr-FR"/>
              </w:rPr>
            </w:pPr>
            <w:r w:rsidRPr="00A8791E">
              <w:rPr>
                <w:sz w:val="16"/>
                <w:szCs w:val="16"/>
                <w:lang w:val="fr-FR"/>
              </w:rPr>
              <w:t>Date à laquelle l</w:t>
            </w:r>
            <w:r w:rsidR="007C5516" w:rsidRPr="00A8791E">
              <w:rPr>
                <w:sz w:val="16"/>
                <w:szCs w:val="16"/>
                <w:lang w:val="fr-FR"/>
              </w:rPr>
              <w:t>’</w:t>
            </w:r>
            <w:r w:rsidRPr="00A8791E">
              <w:rPr>
                <w:sz w:val="16"/>
                <w:szCs w:val="16"/>
                <w:lang w:val="fr-FR"/>
              </w:rPr>
              <w:t>État/l</w:t>
            </w:r>
            <w:r w:rsidR="007C5516" w:rsidRPr="00A8791E">
              <w:rPr>
                <w:sz w:val="16"/>
                <w:szCs w:val="16"/>
                <w:lang w:val="fr-FR"/>
              </w:rPr>
              <w:t>’</w:t>
            </w:r>
            <w:r w:rsidRPr="00A8791E">
              <w:rPr>
                <w:sz w:val="16"/>
                <w:szCs w:val="16"/>
                <w:lang w:val="fr-FR"/>
              </w:rPr>
              <w:t>Organisation intergouvernementale est devenu partie au Traité</w:t>
            </w:r>
          </w:p>
        </w:tc>
      </w:tr>
      <w:tr w:rsidR="00B67485" w:rsidRPr="00A8791E" w:rsidTr="00B67485">
        <w:tc>
          <w:tcPr>
            <w:tcW w:w="4077" w:type="dxa"/>
            <w:tcBorders>
              <w:top w:val="single" w:sz="4" w:space="0" w:color="auto"/>
            </w:tcBorders>
            <w:vAlign w:val="bottom"/>
          </w:tcPr>
          <w:p w:rsidR="00B67485" w:rsidRPr="00A8791E" w:rsidRDefault="00B67485" w:rsidP="00D6665E">
            <w:pPr>
              <w:tabs>
                <w:tab w:val="right" w:leader="dot" w:pos="3856"/>
              </w:tabs>
              <w:autoSpaceDE w:val="0"/>
              <w:autoSpaceDN w:val="0"/>
              <w:adjustRightInd w:val="0"/>
              <w:ind w:right="229"/>
              <w:rPr>
                <w:sz w:val="16"/>
                <w:szCs w:val="16"/>
                <w:lang w:val="fr-FR"/>
              </w:rPr>
            </w:pPr>
          </w:p>
        </w:tc>
        <w:tc>
          <w:tcPr>
            <w:tcW w:w="567" w:type="dxa"/>
            <w:vAlign w:val="bottom"/>
          </w:tcPr>
          <w:p w:rsidR="00B67485" w:rsidRPr="00A8791E" w:rsidRDefault="00B67485" w:rsidP="00D6665E">
            <w:pPr>
              <w:autoSpaceDE w:val="0"/>
              <w:autoSpaceDN w:val="0"/>
              <w:adjustRightInd w:val="0"/>
              <w:ind w:right="229"/>
              <w:rPr>
                <w:sz w:val="16"/>
                <w:szCs w:val="16"/>
                <w:lang w:val="fr-FR"/>
              </w:rPr>
            </w:pPr>
          </w:p>
        </w:tc>
        <w:tc>
          <w:tcPr>
            <w:tcW w:w="4253" w:type="dxa"/>
            <w:tcBorders>
              <w:top w:val="single" w:sz="4" w:space="0" w:color="auto"/>
            </w:tcBorders>
            <w:vAlign w:val="bottom"/>
          </w:tcPr>
          <w:p w:rsidR="00B67485" w:rsidRPr="00A8791E" w:rsidRDefault="00B67485" w:rsidP="00D6665E">
            <w:pPr>
              <w:autoSpaceDE w:val="0"/>
              <w:autoSpaceDN w:val="0"/>
              <w:adjustRightInd w:val="0"/>
              <w:ind w:right="229"/>
              <w:rPr>
                <w:sz w:val="16"/>
                <w:szCs w:val="16"/>
                <w:lang w:val="fr-FR"/>
              </w:rPr>
            </w:pP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ind w:right="227"/>
              <w:rPr>
                <w:sz w:val="16"/>
                <w:szCs w:val="16"/>
                <w:lang w:val="fr-FR"/>
              </w:rPr>
            </w:pPr>
            <w:r w:rsidRPr="00A8791E">
              <w:rPr>
                <w:sz w:val="16"/>
                <w:szCs w:val="16"/>
                <w:lang w:val="fr-FR"/>
              </w:rPr>
              <w:t>Afghanistan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ind w:right="229"/>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14 mai 2017</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Allemagne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20 septembre 2013</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Arménie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17 septembre 2013</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Australie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Bélarus</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13 mai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Belgique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8 janvier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Bénin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13 février 2016</w:t>
            </w:r>
          </w:p>
        </w:tc>
      </w:tr>
      <w:tr w:rsidR="00D6665E" w:rsidRPr="00A8791E" w:rsidTr="00B67485">
        <w:tc>
          <w:tcPr>
            <w:tcW w:w="4077" w:type="dxa"/>
            <w:vAlign w:val="bottom"/>
          </w:tcPr>
          <w:p w:rsidR="00D6665E" w:rsidRPr="00A8791E" w:rsidRDefault="00D6665E" w:rsidP="00A8791E">
            <w:pPr>
              <w:tabs>
                <w:tab w:val="right" w:leader="dot" w:pos="3856"/>
              </w:tabs>
              <w:autoSpaceDE w:val="0"/>
              <w:autoSpaceDN w:val="0"/>
              <w:adjustRightInd w:val="0"/>
              <w:rPr>
                <w:color w:val="000000"/>
                <w:sz w:val="16"/>
                <w:szCs w:val="16"/>
                <w:lang w:val="fr-FR"/>
              </w:rPr>
            </w:pPr>
            <w:r w:rsidRPr="00A8791E">
              <w:rPr>
                <w:sz w:val="16"/>
                <w:szCs w:val="16"/>
                <w:lang w:val="fr-FR"/>
              </w:rPr>
              <w:t>Bulgarie</w:t>
            </w:r>
            <w:bookmarkStart w:id="7" w:name="_Ref484692334"/>
            <w:r w:rsidR="00A8791E">
              <w:rPr>
                <w:rStyle w:val="FootnoteReference"/>
                <w:sz w:val="16"/>
                <w:szCs w:val="16"/>
                <w:lang w:val="fr-FR"/>
              </w:rPr>
              <w:footnoteReference w:id="2"/>
            </w:r>
            <w:bookmarkEnd w:id="7"/>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Croatie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13 avril 2011</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Danemark</w:t>
            </w:r>
            <w:r w:rsidRPr="00A8791E">
              <w:rPr>
                <w:rStyle w:val="FootnoteReference"/>
                <w:sz w:val="16"/>
                <w:szCs w:val="16"/>
                <w:lang w:val="fr-FR"/>
              </w:rPr>
              <w:footnoteReference w:id="3"/>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Espagne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18 mai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Estonie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14 août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États</w:t>
            </w:r>
            <w:r w:rsidRPr="00A8791E">
              <w:rPr>
                <w:sz w:val="16"/>
                <w:szCs w:val="16"/>
                <w:lang w:val="fr-FR"/>
              </w:rPr>
              <w:noBreakHyphen/>
              <w:t>Unis d’Amérique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Ex</w:t>
            </w:r>
            <w:r w:rsidRPr="00A8791E">
              <w:rPr>
                <w:sz w:val="16"/>
                <w:szCs w:val="16"/>
                <w:lang w:val="fr-FR"/>
              </w:rPr>
              <w:noBreakHyphen/>
              <w:t>République yougoslave de Macédoine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6 octobre 2010</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Fédération de Russie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18 décembre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France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28 novembre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Iraq</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29 novembre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Irlande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21 mars 2016</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Islande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14 décembre 2012</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Italie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21 septembre 2010</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Japon</w:t>
            </w:r>
            <w:r w:rsidRPr="00A8791E">
              <w:rPr>
                <w:rStyle w:val="FootnoteReference"/>
                <w:sz w:val="16"/>
                <w:szCs w:val="16"/>
                <w:lang w:val="fr-FR"/>
              </w:rPr>
              <w:footnoteReference w:id="4"/>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11 juin 2016</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Kazakhstan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5 septembre 2012</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Kirghizistan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Lettonie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Liechtenstein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3 mars 2010</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Lituanie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14 août 2013</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Luxembourg</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8 janvier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Mali</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 xml:space="preserve">13 février 2016 </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Mongolie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3 mars 2011</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Nouvelle</w:t>
            </w:r>
            <w:r w:rsidRPr="00A8791E">
              <w:rPr>
                <w:sz w:val="16"/>
                <w:szCs w:val="16"/>
                <w:lang w:val="fr-FR"/>
              </w:rPr>
              <w:noBreakHyphen/>
              <w:t>Zélande</w:t>
            </w:r>
            <w:r w:rsidRPr="00A8791E">
              <w:rPr>
                <w:rStyle w:val="FootnoteReference"/>
                <w:sz w:val="16"/>
                <w:szCs w:val="16"/>
                <w:lang w:val="fr-FR"/>
              </w:rPr>
              <w:footnoteReference w:id="5"/>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10 décembre 2012</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Office Benelux de la propriété intellectuelle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8 janvier 2014</w:t>
            </w:r>
          </w:p>
        </w:tc>
      </w:tr>
      <w:tr w:rsidR="00D6665E" w:rsidRPr="00A8791E" w:rsidTr="00B67485">
        <w:tc>
          <w:tcPr>
            <w:tcW w:w="4077" w:type="dxa"/>
            <w:vAlign w:val="bottom"/>
          </w:tcPr>
          <w:p w:rsidR="00D6665E" w:rsidRPr="00A8791E" w:rsidRDefault="00D6665E" w:rsidP="00A8791E">
            <w:pPr>
              <w:tabs>
                <w:tab w:val="right" w:leader="dot" w:pos="3856"/>
              </w:tabs>
              <w:autoSpaceDE w:val="0"/>
              <w:autoSpaceDN w:val="0"/>
              <w:adjustRightInd w:val="0"/>
              <w:rPr>
                <w:color w:val="000000"/>
                <w:sz w:val="16"/>
                <w:szCs w:val="16"/>
                <w:lang w:val="fr-FR"/>
              </w:rPr>
            </w:pPr>
            <w:r w:rsidRPr="00A8791E">
              <w:rPr>
                <w:sz w:val="16"/>
                <w:szCs w:val="16"/>
                <w:lang w:val="fr-FR"/>
              </w:rPr>
              <w:t>Organisation africaine de la propriété intellectuelle (OAPI</w:t>
            </w:r>
            <w:proofErr w:type="gramStart"/>
            <w:r w:rsidRPr="00A8791E">
              <w:rPr>
                <w:sz w:val="16"/>
                <w:szCs w:val="16"/>
                <w:lang w:val="fr-FR"/>
              </w:rPr>
              <w:t>)</w:t>
            </w:r>
            <w:proofErr w:type="gramEnd"/>
            <w:r w:rsidR="00A8791E" w:rsidRPr="00A8791E">
              <w:rPr>
                <w:sz w:val="16"/>
                <w:szCs w:val="16"/>
                <w:vertAlign w:val="superscript"/>
                <w:lang w:val="fr-FR"/>
              </w:rPr>
              <w:fldChar w:fldCharType="begin"/>
            </w:r>
            <w:r w:rsidR="00A8791E" w:rsidRPr="00A8791E">
              <w:rPr>
                <w:sz w:val="16"/>
                <w:szCs w:val="16"/>
                <w:vertAlign w:val="superscript"/>
                <w:lang w:val="fr-FR"/>
              </w:rPr>
              <w:instrText xml:space="preserve"> NOTEREF _Ref484692334 \h </w:instrText>
            </w:r>
            <w:r w:rsidR="00A8791E">
              <w:rPr>
                <w:sz w:val="16"/>
                <w:szCs w:val="16"/>
                <w:vertAlign w:val="superscript"/>
                <w:lang w:val="fr-FR"/>
              </w:rPr>
              <w:instrText xml:space="preserve"> \* MERGEFORMAT </w:instrText>
            </w:r>
            <w:r w:rsidR="00A8791E" w:rsidRPr="00A8791E">
              <w:rPr>
                <w:sz w:val="16"/>
                <w:szCs w:val="16"/>
                <w:vertAlign w:val="superscript"/>
                <w:lang w:val="fr-FR"/>
              </w:rPr>
            </w:r>
            <w:r w:rsidR="00A8791E" w:rsidRPr="00A8791E">
              <w:rPr>
                <w:sz w:val="16"/>
                <w:szCs w:val="16"/>
                <w:vertAlign w:val="superscript"/>
                <w:lang w:val="fr-FR"/>
              </w:rPr>
              <w:fldChar w:fldCharType="separate"/>
            </w:r>
            <w:r w:rsidR="00A8791E">
              <w:rPr>
                <w:sz w:val="16"/>
                <w:szCs w:val="16"/>
                <w:vertAlign w:val="superscript"/>
                <w:lang w:val="fr-FR"/>
              </w:rPr>
              <w:t>1</w:t>
            </w:r>
            <w:r w:rsidR="00A8791E" w:rsidRPr="00A8791E">
              <w:rPr>
                <w:sz w:val="16"/>
                <w:szCs w:val="16"/>
                <w:vertAlign w:val="superscript"/>
                <w:lang w:val="fr-FR"/>
              </w:rPr>
              <w:fldChar w:fldCharType="end"/>
            </w:r>
            <w:r w:rsidRPr="00A8791E">
              <w:rPr>
                <w:sz w:val="16"/>
                <w:szCs w:val="16"/>
                <w:vertAlign w:val="superscript"/>
                <w:lang w:val="fr-FR"/>
              </w:rPr>
              <w:t>,</w:t>
            </w:r>
            <w:r w:rsidRPr="00A8791E">
              <w:rPr>
                <w:rStyle w:val="FootnoteReference"/>
                <w:sz w:val="16"/>
                <w:szCs w:val="16"/>
                <w:lang w:val="fr-FR"/>
              </w:rPr>
              <w:footnoteReference w:id="6"/>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13 février 2016</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Pays</w:t>
            </w:r>
            <w:r w:rsidRPr="00A8791E">
              <w:rPr>
                <w:sz w:val="16"/>
                <w:szCs w:val="16"/>
                <w:lang w:val="fr-FR"/>
              </w:rPr>
              <w:noBreakHyphen/>
              <w:t>Bas</w:t>
            </w:r>
            <w:r w:rsidRPr="00A8791E">
              <w:rPr>
                <w:rStyle w:val="FootnoteReference"/>
                <w:sz w:val="16"/>
                <w:szCs w:val="16"/>
                <w:lang w:val="fr-FR"/>
              </w:rPr>
              <w:footnoteReference w:id="7"/>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8 janvier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Pologne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 juillet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République de Corée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w:t>
            </w:r>
            <w:r w:rsidRPr="00A8791E">
              <w:rPr>
                <w:color w:val="000000"/>
                <w:sz w:val="16"/>
                <w:szCs w:val="16"/>
                <w:vertAlign w:val="superscript"/>
                <w:lang w:val="fr-FR"/>
              </w:rPr>
              <w:t>er</w:t>
            </w:r>
            <w:r w:rsidRPr="00A8791E">
              <w:rPr>
                <w:color w:val="000000"/>
                <w:sz w:val="16"/>
                <w:szCs w:val="16"/>
                <w:lang w:val="fr-FR"/>
              </w:rPr>
              <w:t> juillet 2016</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République de Moldova</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République populaire démocratique de Corée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13 septembre 2016</w:t>
            </w:r>
          </w:p>
        </w:tc>
      </w:tr>
      <w:tr w:rsidR="00D6665E" w:rsidRPr="00A8791E" w:rsidTr="00B67485">
        <w:tc>
          <w:tcPr>
            <w:tcW w:w="4077" w:type="dxa"/>
            <w:vAlign w:val="bottom"/>
          </w:tcPr>
          <w:p w:rsidR="00D6665E" w:rsidRPr="00A8791E" w:rsidRDefault="00A8791E" w:rsidP="00D6665E">
            <w:pPr>
              <w:tabs>
                <w:tab w:val="right" w:leader="dot" w:pos="3856"/>
              </w:tabs>
              <w:autoSpaceDE w:val="0"/>
              <w:autoSpaceDN w:val="0"/>
              <w:adjustRightInd w:val="0"/>
              <w:rPr>
                <w:color w:val="000000"/>
                <w:sz w:val="16"/>
                <w:szCs w:val="16"/>
                <w:lang w:val="fr-FR"/>
              </w:rPr>
            </w:pPr>
            <w:r>
              <w:rPr>
                <w:sz w:val="16"/>
                <w:szCs w:val="16"/>
                <w:lang w:val="fr-FR"/>
              </w:rPr>
              <w:t>Roumanie</w:t>
            </w:r>
            <w:r w:rsidR="00D6665E"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Royaume</w:t>
            </w:r>
            <w:r w:rsidRPr="00A8791E">
              <w:rPr>
                <w:sz w:val="16"/>
                <w:szCs w:val="16"/>
                <w:lang w:val="fr-FR"/>
              </w:rPr>
              <w:noBreakHyphen/>
              <w:t>Uni</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21 juin 2012</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Serbie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19 novembre 2010</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Singapour</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Slovaquie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mai 2010</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Suède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décembre 2011</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Suisse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16 mars 2009</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color w:val="000000"/>
                <w:sz w:val="16"/>
                <w:szCs w:val="16"/>
                <w:lang w:val="fr-FR"/>
              </w:rPr>
            </w:pPr>
            <w:r w:rsidRPr="00A8791E">
              <w:rPr>
                <w:sz w:val="16"/>
                <w:szCs w:val="16"/>
                <w:lang w:val="fr-FR"/>
              </w:rPr>
              <w:t>Tadjikistan</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color w:val="000000"/>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26 décembre 2014</w:t>
            </w:r>
          </w:p>
        </w:tc>
      </w:tr>
      <w:tr w:rsidR="00D6665E" w:rsidRPr="00A8791E" w:rsidTr="00B67485">
        <w:tc>
          <w:tcPr>
            <w:tcW w:w="4077" w:type="dxa"/>
            <w:vAlign w:val="bottom"/>
          </w:tcPr>
          <w:p w:rsidR="00D6665E" w:rsidRPr="00A8791E" w:rsidRDefault="00D6665E" w:rsidP="00D6665E">
            <w:pPr>
              <w:tabs>
                <w:tab w:val="right" w:leader="dot" w:pos="3856"/>
              </w:tabs>
              <w:autoSpaceDE w:val="0"/>
              <w:autoSpaceDN w:val="0"/>
              <w:adjustRightInd w:val="0"/>
              <w:rPr>
                <w:sz w:val="16"/>
                <w:szCs w:val="16"/>
                <w:lang w:val="fr-FR"/>
              </w:rPr>
            </w:pPr>
            <w:r w:rsidRPr="00A8791E">
              <w:rPr>
                <w:sz w:val="16"/>
                <w:szCs w:val="16"/>
                <w:lang w:val="fr-FR"/>
              </w:rPr>
              <w:t>Ukraine</w:t>
            </w:r>
            <w:r w:rsidRPr="00A8791E">
              <w:rPr>
                <w:sz w:val="16"/>
                <w:szCs w:val="16"/>
                <w:lang w:val="fr-FR"/>
              </w:rPr>
              <w:tab/>
            </w:r>
          </w:p>
        </w:tc>
        <w:tc>
          <w:tcPr>
            <w:tcW w:w="567" w:type="dxa"/>
            <w:vAlign w:val="bottom"/>
          </w:tcPr>
          <w:p w:rsidR="00D6665E" w:rsidRPr="00A8791E" w:rsidRDefault="00D6665E" w:rsidP="00D6665E">
            <w:pPr>
              <w:autoSpaceDE w:val="0"/>
              <w:autoSpaceDN w:val="0"/>
              <w:adjustRightInd w:val="0"/>
              <w:rPr>
                <w:sz w:val="16"/>
                <w:szCs w:val="16"/>
                <w:lang w:val="fr-FR"/>
              </w:rPr>
            </w:pPr>
          </w:p>
        </w:tc>
        <w:tc>
          <w:tcPr>
            <w:tcW w:w="4253" w:type="dxa"/>
            <w:vAlign w:val="bottom"/>
          </w:tcPr>
          <w:p w:rsidR="00D6665E" w:rsidRPr="00A8791E" w:rsidRDefault="00D6665E" w:rsidP="00D6665E">
            <w:pPr>
              <w:autoSpaceDE w:val="0"/>
              <w:autoSpaceDN w:val="0"/>
              <w:adjustRightInd w:val="0"/>
              <w:rPr>
                <w:color w:val="000000"/>
                <w:sz w:val="16"/>
                <w:szCs w:val="16"/>
                <w:lang w:val="fr-FR"/>
              </w:rPr>
            </w:pPr>
            <w:r w:rsidRPr="00A8791E">
              <w:rPr>
                <w:color w:val="000000"/>
                <w:sz w:val="16"/>
                <w:szCs w:val="16"/>
                <w:lang w:val="fr-FR"/>
              </w:rPr>
              <w:t>24 mai 2010</w:t>
            </w:r>
          </w:p>
        </w:tc>
      </w:tr>
      <w:tr w:rsidR="00B67485" w:rsidRPr="00A8791E" w:rsidTr="00B67485">
        <w:tc>
          <w:tcPr>
            <w:tcW w:w="4077" w:type="dxa"/>
            <w:vAlign w:val="bottom"/>
          </w:tcPr>
          <w:p w:rsidR="00B67485" w:rsidRPr="00A8791E" w:rsidRDefault="00B67485" w:rsidP="00D6665E">
            <w:pPr>
              <w:tabs>
                <w:tab w:val="right" w:leader="dot" w:pos="3856"/>
              </w:tabs>
              <w:autoSpaceDE w:val="0"/>
              <w:autoSpaceDN w:val="0"/>
              <w:adjustRightInd w:val="0"/>
              <w:rPr>
                <w:color w:val="000000"/>
                <w:sz w:val="16"/>
                <w:szCs w:val="16"/>
                <w:lang w:val="fr-FR"/>
              </w:rPr>
            </w:pPr>
          </w:p>
        </w:tc>
        <w:tc>
          <w:tcPr>
            <w:tcW w:w="567" w:type="dxa"/>
            <w:vAlign w:val="bottom"/>
          </w:tcPr>
          <w:p w:rsidR="00B67485" w:rsidRPr="00A8791E" w:rsidRDefault="00B67485" w:rsidP="00D6665E">
            <w:pPr>
              <w:autoSpaceDE w:val="0"/>
              <w:autoSpaceDN w:val="0"/>
              <w:adjustRightInd w:val="0"/>
              <w:rPr>
                <w:color w:val="000000"/>
                <w:sz w:val="16"/>
                <w:szCs w:val="16"/>
                <w:lang w:val="fr-FR"/>
              </w:rPr>
            </w:pPr>
          </w:p>
        </w:tc>
        <w:tc>
          <w:tcPr>
            <w:tcW w:w="4253" w:type="dxa"/>
            <w:vAlign w:val="bottom"/>
          </w:tcPr>
          <w:p w:rsidR="00B67485" w:rsidRPr="00A8791E" w:rsidRDefault="00B67485" w:rsidP="00D6665E">
            <w:pPr>
              <w:autoSpaceDE w:val="0"/>
              <w:autoSpaceDN w:val="0"/>
              <w:adjustRightInd w:val="0"/>
              <w:rPr>
                <w:color w:val="000000"/>
                <w:sz w:val="16"/>
                <w:szCs w:val="16"/>
                <w:lang w:val="fr-FR"/>
              </w:rPr>
            </w:pPr>
          </w:p>
        </w:tc>
      </w:tr>
      <w:tr w:rsidR="00B67485" w:rsidRPr="00A8791E" w:rsidTr="00B67485">
        <w:tc>
          <w:tcPr>
            <w:tcW w:w="4077" w:type="dxa"/>
            <w:vAlign w:val="bottom"/>
          </w:tcPr>
          <w:p w:rsidR="00B67485" w:rsidRPr="00A8791E" w:rsidRDefault="00B67485" w:rsidP="00D6665E">
            <w:pPr>
              <w:tabs>
                <w:tab w:val="right" w:leader="dot" w:pos="3856"/>
              </w:tabs>
              <w:autoSpaceDE w:val="0"/>
              <w:autoSpaceDN w:val="0"/>
              <w:adjustRightInd w:val="0"/>
              <w:rPr>
                <w:color w:val="000000"/>
                <w:sz w:val="16"/>
                <w:szCs w:val="16"/>
                <w:lang w:val="fr-FR"/>
              </w:rPr>
            </w:pPr>
            <w:r w:rsidRPr="00A8791E">
              <w:rPr>
                <w:color w:val="000000"/>
                <w:sz w:val="16"/>
                <w:szCs w:val="16"/>
                <w:lang w:val="fr-FR"/>
              </w:rPr>
              <w:t>(Total</w:t>
            </w:r>
            <w:r w:rsidR="007C5516" w:rsidRPr="00A8791E">
              <w:rPr>
                <w:color w:val="000000"/>
                <w:sz w:val="16"/>
                <w:szCs w:val="16"/>
                <w:lang w:val="fr-FR"/>
              </w:rPr>
              <w:t> :</w:t>
            </w:r>
            <w:r w:rsidRPr="00A8791E">
              <w:rPr>
                <w:color w:val="000000"/>
                <w:sz w:val="16"/>
                <w:szCs w:val="16"/>
                <w:lang w:val="fr-FR"/>
              </w:rPr>
              <w:t xml:space="preserve"> 46)</w:t>
            </w:r>
          </w:p>
        </w:tc>
        <w:tc>
          <w:tcPr>
            <w:tcW w:w="567" w:type="dxa"/>
            <w:vAlign w:val="bottom"/>
          </w:tcPr>
          <w:p w:rsidR="00B67485" w:rsidRPr="00A8791E" w:rsidRDefault="00B67485" w:rsidP="00D6665E">
            <w:pPr>
              <w:autoSpaceDE w:val="0"/>
              <w:autoSpaceDN w:val="0"/>
              <w:adjustRightInd w:val="0"/>
              <w:rPr>
                <w:color w:val="000000"/>
                <w:sz w:val="16"/>
                <w:szCs w:val="16"/>
                <w:lang w:val="fr-FR"/>
              </w:rPr>
            </w:pPr>
          </w:p>
        </w:tc>
        <w:tc>
          <w:tcPr>
            <w:tcW w:w="4253" w:type="dxa"/>
            <w:vAlign w:val="bottom"/>
          </w:tcPr>
          <w:p w:rsidR="00B67485" w:rsidRPr="00A8791E" w:rsidRDefault="00B67485" w:rsidP="00D6665E">
            <w:pPr>
              <w:autoSpaceDE w:val="0"/>
              <w:autoSpaceDN w:val="0"/>
              <w:adjustRightInd w:val="0"/>
              <w:rPr>
                <w:color w:val="000000"/>
                <w:sz w:val="16"/>
                <w:szCs w:val="16"/>
                <w:lang w:val="fr-FR"/>
              </w:rPr>
            </w:pPr>
          </w:p>
        </w:tc>
      </w:tr>
    </w:tbl>
    <w:p w:rsidR="00F36C33" w:rsidRPr="00A8791E" w:rsidRDefault="00F36C33" w:rsidP="00D6665E">
      <w:pPr>
        <w:autoSpaceDE w:val="0"/>
        <w:autoSpaceDN w:val="0"/>
        <w:adjustRightInd w:val="0"/>
        <w:rPr>
          <w:color w:val="000000"/>
          <w:sz w:val="18"/>
          <w:szCs w:val="18"/>
          <w:lang w:val="fr-FR"/>
        </w:rPr>
      </w:pPr>
    </w:p>
    <w:p w:rsidR="00B74862" w:rsidRPr="00A8791E" w:rsidRDefault="00B74862" w:rsidP="00D6665E">
      <w:pPr>
        <w:pStyle w:val="DecisionInvitingPara"/>
        <w:tabs>
          <w:tab w:val="left" w:pos="5954"/>
          <w:tab w:val="right" w:pos="9072"/>
        </w:tabs>
        <w:spacing w:after="0" w:line="240" w:lineRule="auto"/>
        <w:ind w:left="5529" w:firstLine="5"/>
        <w:rPr>
          <w:i w:val="0"/>
          <w:sz w:val="22"/>
          <w:szCs w:val="22"/>
          <w:lang w:val="fr-FR"/>
        </w:rPr>
      </w:pPr>
    </w:p>
    <w:p w:rsidR="00B74862" w:rsidRPr="00A8791E" w:rsidRDefault="00B74862" w:rsidP="00D6665E">
      <w:pPr>
        <w:pStyle w:val="DecisionInvitingPara"/>
        <w:tabs>
          <w:tab w:val="left" w:pos="5954"/>
          <w:tab w:val="right" w:pos="9072"/>
        </w:tabs>
        <w:spacing w:after="0" w:line="240" w:lineRule="auto"/>
        <w:ind w:left="5529" w:firstLine="5"/>
        <w:rPr>
          <w:i w:val="0"/>
          <w:sz w:val="22"/>
          <w:szCs w:val="22"/>
          <w:lang w:val="fr-FR"/>
        </w:rPr>
      </w:pPr>
    </w:p>
    <w:p w:rsidR="00F36C33" w:rsidRPr="00A8791E" w:rsidRDefault="00F36C33" w:rsidP="00D6665E">
      <w:pPr>
        <w:pStyle w:val="DecisionInvitingPara"/>
        <w:tabs>
          <w:tab w:val="left" w:pos="5954"/>
          <w:tab w:val="right" w:pos="9072"/>
        </w:tabs>
        <w:spacing w:after="0" w:line="240" w:lineRule="auto"/>
        <w:ind w:left="5529" w:firstLine="5"/>
        <w:rPr>
          <w:i w:val="0"/>
          <w:sz w:val="22"/>
          <w:szCs w:val="22"/>
          <w:lang w:val="fr-FR"/>
        </w:rPr>
      </w:pPr>
      <w:r w:rsidRPr="00A8791E">
        <w:rPr>
          <w:i w:val="0"/>
          <w:sz w:val="22"/>
          <w:szCs w:val="22"/>
          <w:lang w:val="fr-FR"/>
        </w:rPr>
        <w:t>[</w:t>
      </w:r>
      <w:r w:rsidR="00253D5F" w:rsidRPr="00A8791E">
        <w:rPr>
          <w:i w:val="0"/>
          <w:sz w:val="22"/>
          <w:szCs w:val="22"/>
          <w:lang w:val="fr-FR"/>
        </w:rPr>
        <w:t>Fin de l</w:t>
      </w:r>
      <w:r w:rsidR="007C5516" w:rsidRPr="00A8791E">
        <w:rPr>
          <w:i w:val="0"/>
          <w:sz w:val="22"/>
          <w:szCs w:val="22"/>
          <w:lang w:val="fr-FR"/>
        </w:rPr>
        <w:t>’</w:t>
      </w:r>
      <w:r w:rsidR="00253D5F" w:rsidRPr="00A8791E">
        <w:rPr>
          <w:i w:val="0"/>
          <w:sz w:val="22"/>
          <w:szCs w:val="22"/>
          <w:lang w:val="fr-FR"/>
        </w:rPr>
        <w:t>annexe et du document</w:t>
      </w:r>
      <w:r w:rsidRPr="00A8791E">
        <w:rPr>
          <w:i w:val="0"/>
          <w:sz w:val="22"/>
          <w:szCs w:val="22"/>
          <w:lang w:val="fr-FR"/>
        </w:rPr>
        <w:t>]</w:t>
      </w:r>
    </w:p>
    <w:sectPr w:rsidR="00F36C33" w:rsidRPr="00A8791E" w:rsidSect="00887717">
      <w:headerReference w:type="default" r:id="rId16"/>
      <w:headerReference w:type="first" r:id="rId17"/>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1E" w:rsidRDefault="00E3211E">
      <w:r>
        <w:separator/>
      </w:r>
    </w:p>
  </w:endnote>
  <w:endnote w:type="continuationSeparator" w:id="0">
    <w:p w:rsidR="00E3211E" w:rsidRDefault="00E3211E" w:rsidP="003B38C1">
      <w:r>
        <w:separator/>
      </w:r>
    </w:p>
    <w:p w:rsidR="00E3211E" w:rsidRPr="00B755D5" w:rsidRDefault="00E3211E" w:rsidP="003B38C1">
      <w:pPr>
        <w:spacing w:after="60"/>
        <w:rPr>
          <w:sz w:val="17"/>
          <w:lang w:val="en-US"/>
        </w:rPr>
      </w:pPr>
      <w:r w:rsidRPr="00B755D5">
        <w:rPr>
          <w:sz w:val="17"/>
          <w:lang w:val="en-US"/>
        </w:rPr>
        <w:t>[Endnote continued from previous page]</w:t>
      </w:r>
    </w:p>
  </w:endnote>
  <w:endnote w:type="continuationNotice" w:id="1">
    <w:p w:rsidR="00E3211E" w:rsidRPr="00B755D5" w:rsidRDefault="00E3211E" w:rsidP="003B38C1">
      <w:pPr>
        <w:spacing w:before="60"/>
        <w:jc w:val="right"/>
        <w:rPr>
          <w:sz w:val="17"/>
          <w:szCs w:val="17"/>
          <w:lang w:val="en-US"/>
        </w:rPr>
      </w:pPr>
      <w:r w:rsidRPr="00B755D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A2" w:rsidRDefault="003D2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A2" w:rsidRDefault="003D2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A2" w:rsidRDefault="003D2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1E" w:rsidRDefault="00E3211E">
      <w:r>
        <w:separator/>
      </w:r>
    </w:p>
  </w:footnote>
  <w:footnote w:type="continuationSeparator" w:id="0">
    <w:p w:rsidR="00E3211E" w:rsidRDefault="00E3211E" w:rsidP="008B60B2">
      <w:r>
        <w:separator/>
      </w:r>
    </w:p>
    <w:p w:rsidR="00E3211E" w:rsidRPr="00B755D5" w:rsidRDefault="00E3211E" w:rsidP="008B60B2">
      <w:pPr>
        <w:spacing w:after="60"/>
        <w:rPr>
          <w:sz w:val="17"/>
          <w:szCs w:val="17"/>
          <w:lang w:val="en-US"/>
        </w:rPr>
      </w:pPr>
      <w:r w:rsidRPr="00B755D5">
        <w:rPr>
          <w:sz w:val="17"/>
          <w:szCs w:val="17"/>
          <w:lang w:val="en-US"/>
        </w:rPr>
        <w:t>[Footnote continued from previous page]</w:t>
      </w:r>
    </w:p>
  </w:footnote>
  <w:footnote w:type="continuationNotice" w:id="1">
    <w:p w:rsidR="00E3211E" w:rsidRPr="00B755D5" w:rsidRDefault="00E3211E" w:rsidP="008B60B2">
      <w:pPr>
        <w:spacing w:before="60"/>
        <w:jc w:val="right"/>
        <w:rPr>
          <w:sz w:val="17"/>
          <w:szCs w:val="17"/>
          <w:lang w:val="en-US"/>
        </w:rPr>
      </w:pPr>
      <w:r w:rsidRPr="00B755D5">
        <w:rPr>
          <w:sz w:val="17"/>
          <w:szCs w:val="17"/>
          <w:lang w:val="en-US"/>
        </w:rPr>
        <w:t>[Footnote continued on next page]</w:t>
      </w:r>
    </w:p>
  </w:footnote>
  <w:footnote w:id="2">
    <w:p w:rsidR="00A8791E" w:rsidRPr="00B755D5" w:rsidRDefault="00A8791E">
      <w:pPr>
        <w:pStyle w:val="FootnoteText"/>
        <w:rPr>
          <w:sz w:val="16"/>
        </w:rPr>
      </w:pPr>
      <w:r w:rsidRPr="00B755D5">
        <w:rPr>
          <w:rStyle w:val="FootnoteReference"/>
          <w:sz w:val="16"/>
        </w:rPr>
        <w:footnoteRef/>
      </w:r>
      <w:r w:rsidRPr="00B755D5">
        <w:rPr>
          <w:sz w:val="16"/>
        </w:rPr>
        <w:t xml:space="preserve"> </w:t>
      </w:r>
      <w:r w:rsidRPr="00B755D5">
        <w:rPr>
          <w:sz w:val="16"/>
        </w:rPr>
        <w:tab/>
      </w:r>
      <w:r w:rsidRPr="00B755D5">
        <w:rPr>
          <w:sz w:val="16"/>
          <w:lang w:val="fr-FR"/>
        </w:rPr>
        <w:t>A fait la déclaration visée à l’article </w:t>
      </w:r>
      <w:r w:rsidRPr="00B755D5">
        <w:rPr>
          <w:sz w:val="16"/>
          <w:szCs w:val="18"/>
        </w:rPr>
        <w:t>29.4).</w:t>
      </w:r>
    </w:p>
  </w:footnote>
  <w:footnote w:id="3">
    <w:p w:rsidR="00D6665E" w:rsidRPr="00B755D5" w:rsidRDefault="00D6665E" w:rsidP="00D6665E">
      <w:pPr>
        <w:pStyle w:val="FootnoteText"/>
        <w:tabs>
          <w:tab w:val="left" w:pos="567"/>
        </w:tabs>
        <w:rPr>
          <w:sz w:val="16"/>
          <w:szCs w:val="18"/>
        </w:rPr>
      </w:pPr>
      <w:r w:rsidRPr="00B755D5">
        <w:rPr>
          <w:rStyle w:val="FootnoteReference"/>
          <w:sz w:val="16"/>
          <w:szCs w:val="18"/>
        </w:rPr>
        <w:footnoteRef/>
      </w:r>
      <w:r w:rsidRPr="00B755D5">
        <w:rPr>
          <w:sz w:val="16"/>
          <w:szCs w:val="18"/>
        </w:rPr>
        <w:t xml:space="preserve"> </w:t>
      </w:r>
      <w:r w:rsidRPr="00B755D5">
        <w:rPr>
          <w:sz w:val="16"/>
          <w:szCs w:val="18"/>
        </w:rPr>
        <w:tab/>
      </w:r>
      <w:r w:rsidRPr="00B755D5">
        <w:rPr>
          <w:sz w:val="16"/>
          <w:lang w:val="fr-FR"/>
        </w:rPr>
        <w:t>Non applicable aux îles Féroé et au Groenland.</w:t>
      </w:r>
    </w:p>
  </w:footnote>
  <w:footnote w:id="4">
    <w:p w:rsidR="00D6665E" w:rsidRPr="00B755D5" w:rsidRDefault="00D6665E" w:rsidP="00D6665E">
      <w:pPr>
        <w:pStyle w:val="FootnoteText"/>
        <w:tabs>
          <w:tab w:val="left" w:pos="567"/>
        </w:tabs>
        <w:rPr>
          <w:sz w:val="16"/>
          <w:szCs w:val="18"/>
        </w:rPr>
      </w:pPr>
      <w:r w:rsidRPr="00B755D5">
        <w:rPr>
          <w:rStyle w:val="FootnoteReference"/>
          <w:sz w:val="16"/>
          <w:szCs w:val="18"/>
        </w:rPr>
        <w:footnoteRef/>
      </w:r>
      <w:r w:rsidRPr="00B755D5">
        <w:rPr>
          <w:sz w:val="16"/>
          <w:szCs w:val="18"/>
        </w:rPr>
        <w:t xml:space="preserve"> </w:t>
      </w:r>
      <w:r w:rsidRPr="00B755D5">
        <w:rPr>
          <w:sz w:val="16"/>
          <w:szCs w:val="18"/>
        </w:rPr>
        <w:tab/>
      </w:r>
      <w:r w:rsidRPr="00B755D5">
        <w:rPr>
          <w:sz w:val="16"/>
          <w:lang w:val="fr-FR"/>
        </w:rPr>
        <w:t>A fait la déclaration visée à l’article</w:t>
      </w:r>
      <w:r w:rsidRPr="00B755D5">
        <w:rPr>
          <w:sz w:val="16"/>
          <w:szCs w:val="18"/>
        </w:rPr>
        <w:t> 29.1).</w:t>
      </w:r>
    </w:p>
  </w:footnote>
  <w:footnote w:id="5">
    <w:p w:rsidR="00D6665E" w:rsidRPr="00B755D5" w:rsidRDefault="00D6665E" w:rsidP="00D6665E">
      <w:pPr>
        <w:tabs>
          <w:tab w:val="left" w:pos="567"/>
        </w:tabs>
        <w:rPr>
          <w:sz w:val="16"/>
          <w:szCs w:val="16"/>
        </w:rPr>
      </w:pPr>
      <w:r w:rsidRPr="00B755D5">
        <w:rPr>
          <w:rStyle w:val="FootnoteReference"/>
          <w:sz w:val="16"/>
          <w:szCs w:val="18"/>
        </w:rPr>
        <w:footnoteRef/>
      </w:r>
      <w:r w:rsidRPr="00B755D5">
        <w:rPr>
          <w:sz w:val="16"/>
          <w:szCs w:val="18"/>
        </w:rPr>
        <w:t xml:space="preserve"> </w:t>
      </w:r>
      <w:r w:rsidRPr="00B755D5">
        <w:rPr>
          <w:sz w:val="16"/>
          <w:szCs w:val="18"/>
        </w:rPr>
        <w:tab/>
      </w:r>
      <w:r w:rsidRPr="00B755D5">
        <w:rPr>
          <w:sz w:val="16"/>
          <w:szCs w:val="18"/>
          <w:lang w:val="fr-FR" w:eastAsia="ja-JP"/>
        </w:rPr>
        <w:t xml:space="preserve">Cette ratification ne s’étend pas aux </w:t>
      </w:r>
      <w:proofErr w:type="spellStart"/>
      <w:r w:rsidRPr="00B755D5">
        <w:rPr>
          <w:sz w:val="16"/>
          <w:szCs w:val="18"/>
          <w:lang w:val="fr-FR" w:eastAsia="ja-JP"/>
        </w:rPr>
        <w:t>Tokélaou</w:t>
      </w:r>
      <w:proofErr w:type="spellEnd"/>
      <w:r w:rsidRPr="00B755D5">
        <w:rPr>
          <w:sz w:val="16"/>
          <w:szCs w:val="18"/>
          <w:lang w:val="fr-FR" w:eastAsia="ja-JP"/>
        </w:rPr>
        <w:t xml:space="preserve"> sauf si une déclaration à cet effet, s’appuyant sur une consultation appropriée avec ce territoire, est présentée au dépositaire par le Gouvernement de la Nouvelle-Zélande.</w:t>
      </w:r>
    </w:p>
  </w:footnote>
  <w:footnote w:id="6">
    <w:p w:rsidR="00D6665E" w:rsidRPr="00B755D5" w:rsidRDefault="00D6665E" w:rsidP="00D6665E">
      <w:pPr>
        <w:pStyle w:val="FootnoteText"/>
        <w:rPr>
          <w:sz w:val="16"/>
          <w:szCs w:val="18"/>
        </w:rPr>
      </w:pPr>
      <w:r w:rsidRPr="00B755D5">
        <w:rPr>
          <w:rStyle w:val="FootnoteReference"/>
          <w:sz w:val="16"/>
          <w:szCs w:val="18"/>
        </w:rPr>
        <w:footnoteRef/>
      </w:r>
      <w:r w:rsidRPr="00B755D5">
        <w:rPr>
          <w:sz w:val="16"/>
          <w:szCs w:val="18"/>
        </w:rPr>
        <w:t xml:space="preserve"> </w:t>
      </w:r>
      <w:r w:rsidRPr="00B755D5">
        <w:rPr>
          <w:sz w:val="16"/>
          <w:szCs w:val="18"/>
        </w:rPr>
        <w:tab/>
      </w:r>
      <w:r w:rsidRPr="00B755D5">
        <w:rPr>
          <w:sz w:val="16"/>
          <w:lang w:val="fr-FR"/>
        </w:rPr>
        <w:t>A fait la déclaration visée à l’article </w:t>
      </w:r>
      <w:r w:rsidRPr="00B755D5">
        <w:rPr>
          <w:sz w:val="16"/>
          <w:szCs w:val="18"/>
        </w:rPr>
        <w:t>29.2).</w:t>
      </w:r>
    </w:p>
  </w:footnote>
  <w:footnote w:id="7">
    <w:p w:rsidR="00D6665E" w:rsidRPr="002F251C" w:rsidRDefault="00D6665E" w:rsidP="00D6665E">
      <w:pPr>
        <w:pStyle w:val="FootnoteText"/>
        <w:rPr>
          <w:szCs w:val="18"/>
        </w:rPr>
      </w:pPr>
      <w:r w:rsidRPr="00B755D5">
        <w:rPr>
          <w:rStyle w:val="FootnoteReference"/>
          <w:sz w:val="16"/>
          <w:szCs w:val="18"/>
        </w:rPr>
        <w:footnoteRef/>
      </w:r>
      <w:r w:rsidRPr="00B755D5">
        <w:rPr>
          <w:sz w:val="16"/>
          <w:szCs w:val="18"/>
        </w:rPr>
        <w:t xml:space="preserve"> </w:t>
      </w:r>
      <w:r w:rsidRPr="00B755D5">
        <w:rPr>
          <w:sz w:val="16"/>
          <w:szCs w:val="18"/>
        </w:rPr>
        <w:tab/>
      </w:r>
      <w:r w:rsidRPr="00B755D5">
        <w:rPr>
          <w:sz w:val="16"/>
          <w:szCs w:val="18"/>
          <w:lang w:val="fr-FR"/>
        </w:rPr>
        <w:t>Adhésion</w:t>
      </w:r>
      <w:r w:rsidRPr="00B755D5">
        <w:rPr>
          <w:color w:val="000000"/>
          <w:sz w:val="16"/>
          <w:szCs w:val="18"/>
          <w:lang w:val="fr-FR"/>
        </w:rPr>
        <w:t xml:space="preserve"> pour le Royaume en Europe et les Antilles néerlandaises.  Les Antilles néerlandaises ont cessé d’exister le 10 octobre 2010.  Après cette date, le Traité continue de s’appliquer à Curaçao et à Saint</w:t>
      </w:r>
      <w:r w:rsidRPr="00B755D5">
        <w:rPr>
          <w:color w:val="000000"/>
          <w:sz w:val="16"/>
          <w:szCs w:val="18"/>
          <w:lang w:val="fr-FR" w:eastAsia="en-US"/>
        </w:rPr>
        <w:t>-</w:t>
      </w:r>
      <w:r w:rsidRPr="00B755D5">
        <w:rPr>
          <w:color w:val="000000"/>
          <w:sz w:val="16"/>
          <w:szCs w:val="18"/>
          <w:lang w:val="fr-FR"/>
        </w:rPr>
        <w:t>Martin.  Le Traité continue aussi de s’appliquer aux îles de Bonaire, de Saint</w:t>
      </w:r>
      <w:r w:rsidRPr="00B755D5">
        <w:rPr>
          <w:color w:val="000000"/>
          <w:sz w:val="16"/>
          <w:szCs w:val="18"/>
          <w:lang w:val="fr-FR" w:eastAsia="en-US"/>
        </w:rPr>
        <w:t>-</w:t>
      </w:r>
      <w:r w:rsidRPr="00B755D5">
        <w:rPr>
          <w:color w:val="000000"/>
          <w:sz w:val="16"/>
          <w:szCs w:val="18"/>
          <w:lang w:val="fr-FR"/>
        </w:rPr>
        <w:t>Eustache et de Saba qui ont été rattachées au territoire du Royaume des Pays</w:t>
      </w:r>
      <w:r w:rsidRPr="00B755D5">
        <w:rPr>
          <w:color w:val="000000"/>
          <w:sz w:val="16"/>
          <w:szCs w:val="18"/>
          <w:lang w:val="fr-FR" w:eastAsia="en-US"/>
        </w:rPr>
        <w:t>-</w:t>
      </w:r>
      <w:r w:rsidRPr="00B755D5">
        <w:rPr>
          <w:color w:val="000000"/>
          <w:sz w:val="16"/>
          <w:szCs w:val="18"/>
          <w:lang w:val="fr-FR"/>
        </w:rPr>
        <w:t>Bas en Europe avec effet au 10 octobre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A2" w:rsidRDefault="003D2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36" w:rsidRDefault="00333A36" w:rsidP="00A5001B">
    <w:pPr>
      <w:jc w:val="right"/>
    </w:pPr>
    <w:bookmarkStart w:id="6" w:name="Code2"/>
    <w:bookmarkEnd w:id="6"/>
    <w:r>
      <w:t>STLT/A/10/1</w:t>
    </w:r>
  </w:p>
  <w:p w:rsidR="00333A36" w:rsidRDefault="00333A36" w:rsidP="00477D6B">
    <w:pPr>
      <w:jc w:val="right"/>
    </w:pPr>
    <w:proofErr w:type="gramStart"/>
    <w:r>
      <w:t>page</w:t>
    </w:r>
    <w:proofErr w:type="gramEnd"/>
    <w:r>
      <w:t xml:space="preserve"> </w:t>
    </w:r>
    <w:r>
      <w:fldChar w:fldCharType="begin"/>
    </w:r>
    <w:r>
      <w:instrText xml:space="preserve"> PAGE  \* MERGEFORMAT </w:instrText>
    </w:r>
    <w:r>
      <w:fldChar w:fldCharType="separate"/>
    </w:r>
    <w:r w:rsidR="00B33C76">
      <w:rPr>
        <w:noProof/>
      </w:rPr>
      <w:t>5</w:t>
    </w:r>
    <w:r>
      <w:fldChar w:fldCharType="end"/>
    </w:r>
  </w:p>
  <w:p w:rsidR="00333A36" w:rsidRDefault="00333A3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A2" w:rsidRDefault="003D2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36" w:rsidRPr="004F3505" w:rsidRDefault="00333A36" w:rsidP="00A5001B">
    <w:pPr>
      <w:jc w:val="right"/>
      <w:rPr>
        <w:lang w:val="fr-FR"/>
      </w:rPr>
    </w:pPr>
    <w:r w:rsidRPr="004F3505">
      <w:rPr>
        <w:lang w:val="fr-FR"/>
      </w:rPr>
      <w:t>STLT/A/10/1</w:t>
    </w:r>
  </w:p>
  <w:p w:rsidR="00333A36" w:rsidRPr="004F3505" w:rsidRDefault="00333A36" w:rsidP="00477D6B">
    <w:pPr>
      <w:jc w:val="right"/>
      <w:rPr>
        <w:lang w:val="fr-FR"/>
      </w:rPr>
    </w:pPr>
    <w:r w:rsidRPr="004F3505">
      <w:rPr>
        <w:lang w:val="fr-FR"/>
      </w:rPr>
      <w:t>Annexe, page 2</w:t>
    </w:r>
  </w:p>
  <w:p w:rsidR="00333A36" w:rsidRPr="004F3505" w:rsidRDefault="00333A36"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36" w:rsidRPr="00A133B2" w:rsidRDefault="00333A36" w:rsidP="00887717">
    <w:pPr>
      <w:jc w:val="right"/>
      <w:rPr>
        <w:lang w:val="fr-FR"/>
      </w:rPr>
    </w:pPr>
    <w:r w:rsidRPr="00A133B2">
      <w:rPr>
        <w:lang w:val="fr-FR"/>
      </w:rPr>
      <w:t>STLT/A/10/1</w:t>
    </w:r>
  </w:p>
  <w:p w:rsidR="00333A36" w:rsidRPr="00A133B2" w:rsidRDefault="00333A36" w:rsidP="00887717">
    <w:pPr>
      <w:jc w:val="right"/>
      <w:rPr>
        <w:lang w:val="fr-FR"/>
      </w:rPr>
    </w:pPr>
    <w:r w:rsidRPr="00A133B2">
      <w:rPr>
        <w:lang w:val="fr-FR"/>
      </w:rPr>
      <w:t>ANNEXE</w:t>
    </w:r>
  </w:p>
  <w:p w:rsidR="00333A36" w:rsidRPr="00A133B2" w:rsidRDefault="00333A36" w:rsidP="00887717">
    <w:pPr>
      <w:pStyle w:val="Header"/>
      <w:tabs>
        <w:tab w:val="clear" w:pos="4536"/>
        <w:tab w:val="clear" w:pos="9072"/>
        <w:tab w:val="left" w:pos="8295"/>
      </w:tabs>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2D21AE"/>
    <w:multiLevelType w:val="hybridMultilevel"/>
    <w:tmpl w:val="547473A2"/>
    <w:lvl w:ilvl="0" w:tplc="2610BD5E">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C77A59"/>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6">
    <w:nsid w:val="34D1717D"/>
    <w:multiLevelType w:val="hybridMultilevel"/>
    <w:tmpl w:val="31285902"/>
    <w:lvl w:ilvl="0" w:tplc="2610BD5E">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4C3761"/>
    <w:multiLevelType w:val="hybridMultilevel"/>
    <w:tmpl w:val="603E94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0C56C3"/>
    <w:multiLevelType w:val="hybridMultilevel"/>
    <w:tmpl w:val="49AE068A"/>
    <w:lvl w:ilvl="0" w:tplc="0B3C3B1E">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3B750E"/>
    <w:multiLevelType w:val="hybridMultilevel"/>
    <w:tmpl w:val="B524CC4A"/>
    <w:lvl w:ilvl="0" w:tplc="76400D54">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6B73FA"/>
    <w:multiLevelType w:val="hybridMultilevel"/>
    <w:tmpl w:val="45AE8910"/>
    <w:lvl w:ilvl="0" w:tplc="C6E82B7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692D23"/>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3">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6039CC"/>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6">
    <w:nsid w:val="50870449"/>
    <w:multiLevelType w:val="hybridMultilevel"/>
    <w:tmpl w:val="6BCE1944"/>
    <w:lvl w:ilvl="0" w:tplc="5E263090">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5408F0"/>
    <w:multiLevelType w:val="multilevel"/>
    <w:tmpl w:val="4AB43136"/>
    <w:lvl w:ilvl="0">
      <w:start w:val="1"/>
      <w:numFmt w:val="none"/>
      <w:lvlText w:val="(a)"/>
      <w:lvlJc w:val="left"/>
      <w:pPr>
        <w:tabs>
          <w:tab w:val="num" w:pos="1134"/>
        </w:tabs>
        <w:ind w:left="567" w:firstLine="0"/>
      </w:pPr>
      <w:rPr>
        <w:rFonts w:hint="default"/>
      </w:rPr>
    </w:lvl>
    <w:lvl w:ilvl="1">
      <w:start w:val="1"/>
      <w:numFmt w:val="lowerLetter"/>
      <w:lvlText w:val="“(%2)"/>
      <w:lvlJc w:val="right"/>
      <w:pPr>
        <w:tabs>
          <w:tab w:val="num" w:pos="2268"/>
        </w:tabs>
        <w:ind w:left="567" w:firstLine="1134"/>
      </w:pPr>
      <w:rPr>
        <w:rFonts w:hint="default"/>
      </w:rPr>
    </w:lvl>
    <w:lvl w:ilvl="2">
      <w:start w:val="1"/>
      <w:numFmt w:val="lowerRoman"/>
      <w:lvlText w:val="“(%3)"/>
      <w:lvlJc w:val="right"/>
      <w:pPr>
        <w:tabs>
          <w:tab w:val="num" w:pos="2835"/>
        </w:tabs>
        <w:ind w:left="567" w:firstLine="1985"/>
      </w:pPr>
      <w:rPr>
        <w:rFonts w:hint="default"/>
      </w:rPr>
    </w:lvl>
    <w:lvl w:ilvl="3">
      <w:start w:val="1"/>
      <w:numFmt w:val="bullet"/>
      <w:lvlText w:val=""/>
      <w:lvlJc w:val="left"/>
      <w:pPr>
        <w:tabs>
          <w:tab w:val="num" w:pos="2835"/>
        </w:tabs>
        <w:ind w:left="567" w:firstLine="1701"/>
      </w:pPr>
      <w:rPr>
        <w:rFonts w:hint="default"/>
      </w:rPr>
    </w:lvl>
    <w:lvl w:ilvl="4">
      <w:start w:val="1"/>
      <w:numFmt w:val="bullet"/>
      <w:lvlText w:val=""/>
      <w:lvlJc w:val="left"/>
      <w:pPr>
        <w:tabs>
          <w:tab w:val="num" w:pos="3402"/>
        </w:tabs>
        <w:ind w:left="567" w:firstLine="2268"/>
      </w:pPr>
      <w:rPr>
        <w:rFonts w:hint="default"/>
      </w:rPr>
    </w:lvl>
    <w:lvl w:ilvl="5">
      <w:start w:val="1"/>
      <w:numFmt w:val="bullet"/>
      <w:lvlText w:val=""/>
      <w:lvlJc w:val="left"/>
      <w:pPr>
        <w:tabs>
          <w:tab w:val="num" w:pos="3969"/>
        </w:tabs>
        <w:ind w:left="567" w:firstLine="2835"/>
      </w:pPr>
      <w:rPr>
        <w:rFonts w:hint="default"/>
      </w:rPr>
    </w:lvl>
    <w:lvl w:ilvl="6">
      <w:start w:val="1"/>
      <w:numFmt w:val="bullet"/>
      <w:lvlText w:val=""/>
      <w:lvlJc w:val="left"/>
      <w:pPr>
        <w:tabs>
          <w:tab w:val="num" w:pos="4536"/>
        </w:tabs>
        <w:ind w:left="567" w:firstLine="3402"/>
      </w:pPr>
      <w:rPr>
        <w:rFonts w:hint="default"/>
      </w:rPr>
    </w:lvl>
    <w:lvl w:ilvl="7">
      <w:start w:val="1"/>
      <w:numFmt w:val="bullet"/>
      <w:lvlText w:val=""/>
      <w:lvlJc w:val="left"/>
      <w:pPr>
        <w:tabs>
          <w:tab w:val="num" w:pos="5102"/>
        </w:tabs>
        <w:ind w:left="567" w:firstLine="3969"/>
      </w:pPr>
      <w:rPr>
        <w:rFonts w:hint="default"/>
      </w:rPr>
    </w:lvl>
    <w:lvl w:ilvl="8">
      <w:start w:val="1"/>
      <w:numFmt w:val="bullet"/>
      <w:lvlText w:val=""/>
      <w:lvlJc w:val="left"/>
      <w:pPr>
        <w:tabs>
          <w:tab w:val="num" w:pos="5669"/>
        </w:tabs>
        <w:ind w:left="567" w:firstLine="4535"/>
      </w:pPr>
      <w:rPr>
        <w:rFonts w:hint="default"/>
      </w:rPr>
    </w:lvl>
  </w:abstractNum>
  <w:abstractNum w:abstractNumId="18">
    <w:nsid w:val="634778C6"/>
    <w:multiLevelType w:val="hybridMultilevel"/>
    <w:tmpl w:val="6F767F9A"/>
    <w:lvl w:ilvl="0" w:tplc="1A96363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4"/>
  </w:num>
  <w:num w:numId="5">
    <w:abstractNumId w:val="1"/>
  </w:num>
  <w:num w:numId="6">
    <w:abstractNumId w:val="4"/>
  </w:num>
  <w:num w:numId="7">
    <w:abstractNumId w:val="17"/>
  </w:num>
  <w:num w:numId="8">
    <w:abstractNumId w:val="13"/>
  </w:num>
  <w:num w:numId="9">
    <w:abstractNumId w:val="12"/>
  </w:num>
  <w:num w:numId="10">
    <w:abstractNumId w:val="5"/>
  </w:num>
  <w:num w:numId="11">
    <w:abstractNumId w:val="18"/>
  </w:num>
  <w:num w:numId="12">
    <w:abstractNumId w:val="15"/>
  </w:num>
  <w:num w:numId="13">
    <w:abstractNumId w:val="14"/>
  </w:num>
  <w:num w:numId="14">
    <w:abstractNumId w:val="1"/>
  </w:num>
  <w:num w:numId="15">
    <w:abstractNumId w:val="4"/>
  </w:num>
  <w:num w:numId="16">
    <w:abstractNumId w:val="7"/>
  </w:num>
  <w:num w:numId="17">
    <w:abstractNumId w:val="3"/>
  </w:num>
  <w:num w:numId="18">
    <w:abstractNumId w:val="6"/>
  </w:num>
  <w:num w:numId="19">
    <w:abstractNumId w:val="10"/>
  </w:num>
  <w:num w:numId="20">
    <w:abstractNumId w:val="8"/>
  </w:num>
  <w:num w:numId="21">
    <w:abstractNumId w:val="4"/>
  </w:num>
  <w:num w:numId="22">
    <w:abstractNumId w:val="16"/>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FC"/>
    <w:rsid w:val="000115DF"/>
    <w:rsid w:val="00016233"/>
    <w:rsid w:val="00040E9F"/>
    <w:rsid w:val="00043CAA"/>
    <w:rsid w:val="00045255"/>
    <w:rsid w:val="0005675B"/>
    <w:rsid w:val="00075432"/>
    <w:rsid w:val="00081A95"/>
    <w:rsid w:val="000968ED"/>
    <w:rsid w:val="000B7B02"/>
    <w:rsid w:val="000D425A"/>
    <w:rsid w:val="000D455A"/>
    <w:rsid w:val="000D6268"/>
    <w:rsid w:val="000E2E7B"/>
    <w:rsid w:val="000F34A9"/>
    <w:rsid w:val="000F5E56"/>
    <w:rsid w:val="000F64C4"/>
    <w:rsid w:val="0010047F"/>
    <w:rsid w:val="00101E31"/>
    <w:rsid w:val="00112AF9"/>
    <w:rsid w:val="0011433A"/>
    <w:rsid w:val="00124C17"/>
    <w:rsid w:val="00126344"/>
    <w:rsid w:val="00127C43"/>
    <w:rsid w:val="001319EE"/>
    <w:rsid w:val="001362EE"/>
    <w:rsid w:val="001409D6"/>
    <w:rsid w:val="00140EC6"/>
    <w:rsid w:val="00141159"/>
    <w:rsid w:val="00151880"/>
    <w:rsid w:val="001538D3"/>
    <w:rsid w:val="00160C1D"/>
    <w:rsid w:val="00182BB4"/>
    <w:rsid w:val="001832A6"/>
    <w:rsid w:val="00184A02"/>
    <w:rsid w:val="001A77DE"/>
    <w:rsid w:val="001A795B"/>
    <w:rsid w:val="001C3C96"/>
    <w:rsid w:val="001C4803"/>
    <w:rsid w:val="001D0354"/>
    <w:rsid w:val="001D30B3"/>
    <w:rsid w:val="001E4B30"/>
    <w:rsid w:val="00200961"/>
    <w:rsid w:val="002038FE"/>
    <w:rsid w:val="00204206"/>
    <w:rsid w:val="00216C65"/>
    <w:rsid w:val="002330AA"/>
    <w:rsid w:val="002347C6"/>
    <w:rsid w:val="00234899"/>
    <w:rsid w:val="00253D5F"/>
    <w:rsid w:val="00256BEE"/>
    <w:rsid w:val="002617AD"/>
    <w:rsid w:val="00261998"/>
    <w:rsid w:val="0026327E"/>
    <w:rsid w:val="002634C4"/>
    <w:rsid w:val="00266F8F"/>
    <w:rsid w:val="00267E0F"/>
    <w:rsid w:val="00280509"/>
    <w:rsid w:val="00282D6A"/>
    <w:rsid w:val="002902A7"/>
    <w:rsid w:val="002928D3"/>
    <w:rsid w:val="002A4A21"/>
    <w:rsid w:val="002B335E"/>
    <w:rsid w:val="002D258A"/>
    <w:rsid w:val="002E4F85"/>
    <w:rsid w:val="002F061C"/>
    <w:rsid w:val="002F099B"/>
    <w:rsid w:val="002F1FE6"/>
    <w:rsid w:val="002F251C"/>
    <w:rsid w:val="002F4176"/>
    <w:rsid w:val="002F41BD"/>
    <w:rsid w:val="002F4E68"/>
    <w:rsid w:val="00301E97"/>
    <w:rsid w:val="003044D7"/>
    <w:rsid w:val="003056AE"/>
    <w:rsid w:val="00312F7F"/>
    <w:rsid w:val="00315400"/>
    <w:rsid w:val="00320011"/>
    <w:rsid w:val="003246B8"/>
    <w:rsid w:val="003338F3"/>
    <w:rsid w:val="00333A36"/>
    <w:rsid w:val="00334EB0"/>
    <w:rsid w:val="00336E18"/>
    <w:rsid w:val="00346A4F"/>
    <w:rsid w:val="00353C7A"/>
    <w:rsid w:val="003673CF"/>
    <w:rsid w:val="003845C1"/>
    <w:rsid w:val="003951BE"/>
    <w:rsid w:val="00395817"/>
    <w:rsid w:val="003960B7"/>
    <w:rsid w:val="00397B6E"/>
    <w:rsid w:val="003A0C73"/>
    <w:rsid w:val="003A1BF0"/>
    <w:rsid w:val="003A2CB9"/>
    <w:rsid w:val="003A3E12"/>
    <w:rsid w:val="003A6F89"/>
    <w:rsid w:val="003B03A7"/>
    <w:rsid w:val="003B38C1"/>
    <w:rsid w:val="003C5259"/>
    <w:rsid w:val="003C5A04"/>
    <w:rsid w:val="003D24A2"/>
    <w:rsid w:val="003F27FC"/>
    <w:rsid w:val="00407B9F"/>
    <w:rsid w:val="00413042"/>
    <w:rsid w:val="004143A2"/>
    <w:rsid w:val="00414B44"/>
    <w:rsid w:val="00421D18"/>
    <w:rsid w:val="00423E3E"/>
    <w:rsid w:val="00427AF4"/>
    <w:rsid w:val="0043700E"/>
    <w:rsid w:val="00445131"/>
    <w:rsid w:val="00445EF9"/>
    <w:rsid w:val="0045060B"/>
    <w:rsid w:val="004543C0"/>
    <w:rsid w:val="004647DA"/>
    <w:rsid w:val="00474062"/>
    <w:rsid w:val="0047502E"/>
    <w:rsid w:val="00477D6B"/>
    <w:rsid w:val="004810CC"/>
    <w:rsid w:val="004862C3"/>
    <w:rsid w:val="004877FB"/>
    <w:rsid w:val="004A1215"/>
    <w:rsid w:val="004B7635"/>
    <w:rsid w:val="004C100C"/>
    <w:rsid w:val="004C1A2C"/>
    <w:rsid w:val="004C6442"/>
    <w:rsid w:val="004D1CDA"/>
    <w:rsid w:val="004D24A1"/>
    <w:rsid w:val="004E0CFD"/>
    <w:rsid w:val="004E2272"/>
    <w:rsid w:val="004E4637"/>
    <w:rsid w:val="004E772F"/>
    <w:rsid w:val="004F2058"/>
    <w:rsid w:val="004F2C68"/>
    <w:rsid w:val="004F3505"/>
    <w:rsid w:val="004F5CEF"/>
    <w:rsid w:val="00506960"/>
    <w:rsid w:val="0051297B"/>
    <w:rsid w:val="00524FDC"/>
    <w:rsid w:val="00526114"/>
    <w:rsid w:val="0053057A"/>
    <w:rsid w:val="00535805"/>
    <w:rsid w:val="00545997"/>
    <w:rsid w:val="005523FE"/>
    <w:rsid w:val="00555D6C"/>
    <w:rsid w:val="00560A29"/>
    <w:rsid w:val="0057381E"/>
    <w:rsid w:val="005748F8"/>
    <w:rsid w:val="00592CF1"/>
    <w:rsid w:val="005A3D4A"/>
    <w:rsid w:val="005A4D60"/>
    <w:rsid w:val="005A708E"/>
    <w:rsid w:val="005B4364"/>
    <w:rsid w:val="005B6D45"/>
    <w:rsid w:val="005C7F09"/>
    <w:rsid w:val="005D046D"/>
    <w:rsid w:val="005D1F56"/>
    <w:rsid w:val="005D43C3"/>
    <w:rsid w:val="005D5EF2"/>
    <w:rsid w:val="005D6109"/>
    <w:rsid w:val="005E158A"/>
    <w:rsid w:val="005E345C"/>
    <w:rsid w:val="005E5E39"/>
    <w:rsid w:val="005F2195"/>
    <w:rsid w:val="005F405A"/>
    <w:rsid w:val="005F7E6B"/>
    <w:rsid w:val="00605827"/>
    <w:rsid w:val="00615D57"/>
    <w:rsid w:val="0062638E"/>
    <w:rsid w:val="00626F89"/>
    <w:rsid w:val="00640D95"/>
    <w:rsid w:val="00646050"/>
    <w:rsid w:val="006527EC"/>
    <w:rsid w:val="00652C52"/>
    <w:rsid w:val="0066130A"/>
    <w:rsid w:val="006626CC"/>
    <w:rsid w:val="00663D36"/>
    <w:rsid w:val="006713CA"/>
    <w:rsid w:val="00676C5C"/>
    <w:rsid w:val="0069537B"/>
    <w:rsid w:val="006B0F19"/>
    <w:rsid w:val="006B121F"/>
    <w:rsid w:val="006C319F"/>
    <w:rsid w:val="006C4A59"/>
    <w:rsid w:val="006E5B89"/>
    <w:rsid w:val="006F52DC"/>
    <w:rsid w:val="006F78B9"/>
    <w:rsid w:val="007014BB"/>
    <w:rsid w:val="0070506D"/>
    <w:rsid w:val="00707F62"/>
    <w:rsid w:val="007137A3"/>
    <w:rsid w:val="0072476B"/>
    <w:rsid w:val="00747D14"/>
    <w:rsid w:val="00751A30"/>
    <w:rsid w:val="007533D4"/>
    <w:rsid w:val="00780BAF"/>
    <w:rsid w:val="00780D3D"/>
    <w:rsid w:val="007A75A4"/>
    <w:rsid w:val="007B575B"/>
    <w:rsid w:val="007C0916"/>
    <w:rsid w:val="007C5516"/>
    <w:rsid w:val="007C6801"/>
    <w:rsid w:val="007C78EE"/>
    <w:rsid w:val="007D1613"/>
    <w:rsid w:val="007D1C64"/>
    <w:rsid w:val="007D5418"/>
    <w:rsid w:val="007E4439"/>
    <w:rsid w:val="007F7822"/>
    <w:rsid w:val="0080094E"/>
    <w:rsid w:val="00800ED3"/>
    <w:rsid w:val="00806EA8"/>
    <w:rsid w:val="00807602"/>
    <w:rsid w:val="00817426"/>
    <w:rsid w:val="00835679"/>
    <w:rsid w:val="00836205"/>
    <w:rsid w:val="0086360B"/>
    <w:rsid w:val="00865EA0"/>
    <w:rsid w:val="00883159"/>
    <w:rsid w:val="00887717"/>
    <w:rsid w:val="008A190C"/>
    <w:rsid w:val="008A51EE"/>
    <w:rsid w:val="008A6983"/>
    <w:rsid w:val="008B2CC1"/>
    <w:rsid w:val="008B60B2"/>
    <w:rsid w:val="008C28C0"/>
    <w:rsid w:val="008C43A5"/>
    <w:rsid w:val="008C72F0"/>
    <w:rsid w:val="008D0972"/>
    <w:rsid w:val="008E3873"/>
    <w:rsid w:val="008E5983"/>
    <w:rsid w:val="008F3117"/>
    <w:rsid w:val="008F4582"/>
    <w:rsid w:val="008F67EB"/>
    <w:rsid w:val="0090731E"/>
    <w:rsid w:val="009101E0"/>
    <w:rsid w:val="009132FE"/>
    <w:rsid w:val="00916EE2"/>
    <w:rsid w:val="00952703"/>
    <w:rsid w:val="009529F3"/>
    <w:rsid w:val="0095695F"/>
    <w:rsid w:val="00956E84"/>
    <w:rsid w:val="00961E6B"/>
    <w:rsid w:val="009641D8"/>
    <w:rsid w:val="00964683"/>
    <w:rsid w:val="00966A22"/>
    <w:rsid w:val="0096722F"/>
    <w:rsid w:val="00980843"/>
    <w:rsid w:val="00985DC1"/>
    <w:rsid w:val="00986611"/>
    <w:rsid w:val="009A2936"/>
    <w:rsid w:val="009C4AE2"/>
    <w:rsid w:val="009C59A9"/>
    <w:rsid w:val="009C62A3"/>
    <w:rsid w:val="009D11DF"/>
    <w:rsid w:val="009E17BC"/>
    <w:rsid w:val="009E2791"/>
    <w:rsid w:val="009E3F6F"/>
    <w:rsid w:val="009E4DD9"/>
    <w:rsid w:val="009F003C"/>
    <w:rsid w:val="009F1964"/>
    <w:rsid w:val="009F1CA1"/>
    <w:rsid w:val="009F499F"/>
    <w:rsid w:val="00A133B2"/>
    <w:rsid w:val="00A16843"/>
    <w:rsid w:val="00A21CE7"/>
    <w:rsid w:val="00A42DAF"/>
    <w:rsid w:val="00A45BD8"/>
    <w:rsid w:val="00A4635E"/>
    <w:rsid w:val="00A46DF4"/>
    <w:rsid w:val="00A5001B"/>
    <w:rsid w:val="00A53FDA"/>
    <w:rsid w:val="00A61B05"/>
    <w:rsid w:val="00A62B52"/>
    <w:rsid w:val="00A667BC"/>
    <w:rsid w:val="00A755F5"/>
    <w:rsid w:val="00A76247"/>
    <w:rsid w:val="00A84423"/>
    <w:rsid w:val="00A8791E"/>
    <w:rsid w:val="00A91323"/>
    <w:rsid w:val="00A91B48"/>
    <w:rsid w:val="00A943E0"/>
    <w:rsid w:val="00A94B7A"/>
    <w:rsid w:val="00A96A78"/>
    <w:rsid w:val="00AB0245"/>
    <w:rsid w:val="00AC205C"/>
    <w:rsid w:val="00AC2EF6"/>
    <w:rsid w:val="00AC34C6"/>
    <w:rsid w:val="00AC436B"/>
    <w:rsid w:val="00AE35A4"/>
    <w:rsid w:val="00AE3E1F"/>
    <w:rsid w:val="00AF2044"/>
    <w:rsid w:val="00AF4643"/>
    <w:rsid w:val="00B05A69"/>
    <w:rsid w:val="00B2580A"/>
    <w:rsid w:val="00B3015B"/>
    <w:rsid w:val="00B33C76"/>
    <w:rsid w:val="00B533CA"/>
    <w:rsid w:val="00B6322C"/>
    <w:rsid w:val="00B67485"/>
    <w:rsid w:val="00B70C77"/>
    <w:rsid w:val="00B71412"/>
    <w:rsid w:val="00B74862"/>
    <w:rsid w:val="00B755D5"/>
    <w:rsid w:val="00B9734B"/>
    <w:rsid w:val="00BA046F"/>
    <w:rsid w:val="00BA50D9"/>
    <w:rsid w:val="00BA7477"/>
    <w:rsid w:val="00BB0454"/>
    <w:rsid w:val="00BB1E1F"/>
    <w:rsid w:val="00BB564A"/>
    <w:rsid w:val="00BB6C0D"/>
    <w:rsid w:val="00BC3450"/>
    <w:rsid w:val="00BC3724"/>
    <w:rsid w:val="00BC4AAC"/>
    <w:rsid w:val="00BC4BE0"/>
    <w:rsid w:val="00BC53B1"/>
    <w:rsid w:val="00BC60C9"/>
    <w:rsid w:val="00BD0E74"/>
    <w:rsid w:val="00BD480A"/>
    <w:rsid w:val="00BD5358"/>
    <w:rsid w:val="00BD6799"/>
    <w:rsid w:val="00BE0640"/>
    <w:rsid w:val="00BE79F1"/>
    <w:rsid w:val="00C0096E"/>
    <w:rsid w:val="00C051E6"/>
    <w:rsid w:val="00C06481"/>
    <w:rsid w:val="00C10CD1"/>
    <w:rsid w:val="00C11BFE"/>
    <w:rsid w:val="00C13352"/>
    <w:rsid w:val="00C2141B"/>
    <w:rsid w:val="00C237F5"/>
    <w:rsid w:val="00C24407"/>
    <w:rsid w:val="00C25226"/>
    <w:rsid w:val="00C53D68"/>
    <w:rsid w:val="00C6202B"/>
    <w:rsid w:val="00C66E2A"/>
    <w:rsid w:val="00C66F56"/>
    <w:rsid w:val="00C81115"/>
    <w:rsid w:val="00C81A03"/>
    <w:rsid w:val="00C91CB0"/>
    <w:rsid w:val="00CA1428"/>
    <w:rsid w:val="00CC5A0B"/>
    <w:rsid w:val="00CD6A8F"/>
    <w:rsid w:val="00CE472D"/>
    <w:rsid w:val="00CE6EAE"/>
    <w:rsid w:val="00CE74FA"/>
    <w:rsid w:val="00CF0316"/>
    <w:rsid w:val="00D041AF"/>
    <w:rsid w:val="00D428B7"/>
    <w:rsid w:val="00D434C6"/>
    <w:rsid w:val="00D45252"/>
    <w:rsid w:val="00D6665E"/>
    <w:rsid w:val="00D71B4D"/>
    <w:rsid w:val="00D73501"/>
    <w:rsid w:val="00D84405"/>
    <w:rsid w:val="00D90EA6"/>
    <w:rsid w:val="00D91F90"/>
    <w:rsid w:val="00D93D55"/>
    <w:rsid w:val="00DB3678"/>
    <w:rsid w:val="00DB49BB"/>
    <w:rsid w:val="00DC7560"/>
    <w:rsid w:val="00DD753D"/>
    <w:rsid w:val="00DF08D7"/>
    <w:rsid w:val="00DF0907"/>
    <w:rsid w:val="00DF1F35"/>
    <w:rsid w:val="00DF7BE5"/>
    <w:rsid w:val="00DF7CD7"/>
    <w:rsid w:val="00E15698"/>
    <w:rsid w:val="00E23E0C"/>
    <w:rsid w:val="00E312B5"/>
    <w:rsid w:val="00E3211E"/>
    <w:rsid w:val="00E335FE"/>
    <w:rsid w:val="00E4644C"/>
    <w:rsid w:val="00E553B0"/>
    <w:rsid w:val="00E63D12"/>
    <w:rsid w:val="00E65761"/>
    <w:rsid w:val="00E66598"/>
    <w:rsid w:val="00E717AF"/>
    <w:rsid w:val="00E97033"/>
    <w:rsid w:val="00EA51C2"/>
    <w:rsid w:val="00EB439D"/>
    <w:rsid w:val="00EB48F2"/>
    <w:rsid w:val="00EC1562"/>
    <w:rsid w:val="00EC4E49"/>
    <w:rsid w:val="00ED0D3A"/>
    <w:rsid w:val="00ED2DD8"/>
    <w:rsid w:val="00ED77FB"/>
    <w:rsid w:val="00EE64D6"/>
    <w:rsid w:val="00EF3B9A"/>
    <w:rsid w:val="00EF63EA"/>
    <w:rsid w:val="00F15559"/>
    <w:rsid w:val="00F23F42"/>
    <w:rsid w:val="00F35546"/>
    <w:rsid w:val="00F36C33"/>
    <w:rsid w:val="00F55A58"/>
    <w:rsid w:val="00F66152"/>
    <w:rsid w:val="00F71E6D"/>
    <w:rsid w:val="00F85830"/>
    <w:rsid w:val="00F91266"/>
    <w:rsid w:val="00F9162B"/>
    <w:rsid w:val="00F94A9E"/>
    <w:rsid w:val="00F95D9E"/>
    <w:rsid w:val="00F97331"/>
    <w:rsid w:val="00FA2411"/>
    <w:rsid w:val="00FB5AD7"/>
    <w:rsid w:val="00FD01F9"/>
    <w:rsid w:val="00FE77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17"/>
    <w:rPr>
      <w:rFonts w:ascii="Arial" w:eastAsia="SimSun" w:hAnsi="Arial" w:cs="Arial"/>
      <w:sz w:val="22"/>
      <w:lang w:eastAsia="zh-CN"/>
    </w:rPr>
  </w:style>
  <w:style w:type="paragraph" w:styleId="Heading1">
    <w:name w:val="heading 1"/>
    <w:basedOn w:val="Normal"/>
    <w:next w:val="Normal"/>
    <w:qFormat/>
    <w:rsid w:val="00887717"/>
    <w:pPr>
      <w:keepNext/>
      <w:spacing w:before="240" w:after="60"/>
      <w:ind w:left="567" w:hanging="567"/>
      <w:outlineLvl w:val="0"/>
    </w:pPr>
    <w:rPr>
      <w:b/>
      <w:bCs/>
      <w:caps/>
      <w:kern w:val="32"/>
      <w:szCs w:val="32"/>
      <w:lang w:val="fr-FR"/>
    </w:rPr>
  </w:style>
  <w:style w:type="paragraph" w:styleId="Heading2">
    <w:name w:val="heading 2"/>
    <w:basedOn w:val="Normal"/>
    <w:next w:val="Normal"/>
    <w:qFormat/>
    <w:rsid w:val="00887717"/>
    <w:pPr>
      <w:keepNext/>
      <w:spacing w:before="240" w:after="60"/>
      <w:outlineLvl w:val="1"/>
    </w:pPr>
    <w:rPr>
      <w:bCs/>
      <w:iCs/>
      <w:caps/>
      <w:szCs w:val="28"/>
    </w:rPr>
  </w:style>
  <w:style w:type="paragraph" w:styleId="Heading3">
    <w:name w:val="heading 3"/>
    <w:basedOn w:val="Normal"/>
    <w:next w:val="Normal"/>
    <w:qFormat/>
    <w:rsid w:val="00887717"/>
    <w:pPr>
      <w:keepNext/>
      <w:spacing w:before="240" w:after="60"/>
      <w:outlineLvl w:val="2"/>
    </w:pPr>
    <w:rPr>
      <w:bCs/>
      <w:szCs w:val="26"/>
      <w:u w:val="single"/>
    </w:rPr>
  </w:style>
  <w:style w:type="paragraph" w:styleId="Heading4">
    <w:name w:val="heading 4"/>
    <w:basedOn w:val="Normal"/>
    <w:next w:val="Normal"/>
    <w:qFormat/>
    <w:rsid w:val="0088771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87717"/>
    <w:pPr>
      <w:ind w:left="5534"/>
    </w:pPr>
    <w:rPr>
      <w:lang w:val="en-US"/>
    </w:rPr>
  </w:style>
  <w:style w:type="paragraph" w:styleId="BodyText">
    <w:name w:val="Body Text"/>
    <w:basedOn w:val="Normal"/>
    <w:rsid w:val="00887717"/>
    <w:pPr>
      <w:spacing w:after="220"/>
    </w:pPr>
  </w:style>
  <w:style w:type="paragraph" w:styleId="Caption">
    <w:name w:val="caption"/>
    <w:basedOn w:val="Normal"/>
    <w:next w:val="Normal"/>
    <w:qFormat/>
    <w:rsid w:val="00887717"/>
    <w:rPr>
      <w:b/>
      <w:bCs/>
      <w:sz w:val="18"/>
    </w:rPr>
  </w:style>
  <w:style w:type="paragraph" w:styleId="CommentText">
    <w:name w:val="annotation text"/>
    <w:basedOn w:val="Normal"/>
    <w:semiHidden/>
    <w:rsid w:val="00887717"/>
    <w:rPr>
      <w:sz w:val="18"/>
    </w:rPr>
  </w:style>
  <w:style w:type="paragraph" w:styleId="EndnoteText">
    <w:name w:val="endnote text"/>
    <w:basedOn w:val="Normal"/>
    <w:semiHidden/>
    <w:rsid w:val="00887717"/>
    <w:rPr>
      <w:sz w:val="18"/>
    </w:rPr>
  </w:style>
  <w:style w:type="paragraph" w:styleId="Footer">
    <w:name w:val="footer"/>
    <w:basedOn w:val="Normal"/>
    <w:semiHidden/>
    <w:rsid w:val="00887717"/>
    <w:pPr>
      <w:tabs>
        <w:tab w:val="center" w:pos="4320"/>
        <w:tab w:val="right" w:pos="8640"/>
      </w:tabs>
    </w:pPr>
  </w:style>
  <w:style w:type="paragraph" w:styleId="BalloonText">
    <w:name w:val="Balloon Text"/>
    <w:basedOn w:val="Normal"/>
    <w:semiHidden/>
    <w:rsid w:val="00640D95"/>
    <w:rPr>
      <w:rFonts w:ascii="Tahoma" w:hAnsi="Tahoma" w:cs="Tahoma"/>
      <w:sz w:val="16"/>
      <w:szCs w:val="16"/>
    </w:rPr>
  </w:style>
  <w:style w:type="paragraph" w:styleId="FootnoteText">
    <w:name w:val="footnote text"/>
    <w:basedOn w:val="Normal"/>
    <w:link w:val="FootnoteTextChar"/>
    <w:rsid w:val="00887717"/>
    <w:rPr>
      <w:sz w:val="18"/>
    </w:rPr>
  </w:style>
  <w:style w:type="paragraph" w:styleId="Header">
    <w:name w:val="header"/>
    <w:basedOn w:val="Normal"/>
    <w:semiHidden/>
    <w:rsid w:val="00887717"/>
    <w:pPr>
      <w:tabs>
        <w:tab w:val="center" w:pos="4536"/>
        <w:tab w:val="right" w:pos="9072"/>
      </w:tabs>
    </w:pPr>
  </w:style>
  <w:style w:type="paragraph" w:styleId="ListNumber">
    <w:name w:val="List Number"/>
    <w:basedOn w:val="Normal"/>
    <w:semiHidden/>
    <w:rsid w:val="00887717"/>
    <w:pPr>
      <w:numPr>
        <w:numId w:val="13"/>
      </w:numPr>
    </w:pPr>
  </w:style>
  <w:style w:type="paragraph" w:customStyle="1" w:styleId="ONUME">
    <w:name w:val="ONUM E"/>
    <w:basedOn w:val="BodyText"/>
    <w:rsid w:val="00887717"/>
    <w:pPr>
      <w:numPr>
        <w:numId w:val="14"/>
      </w:numPr>
    </w:pPr>
  </w:style>
  <w:style w:type="paragraph" w:customStyle="1" w:styleId="ONUMFS">
    <w:name w:val="ONUM FS"/>
    <w:basedOn w:val="BodyText"/>
    <w:rsid w:val="00887717"/>
    <w:pPr>
      <w:numPr>
        <w:numId w:val="15"/>
      </w:numPr>
    </w:pPr>
  </w:style>
  <w:style w:type="paragraph" w:styleId="Salutation">
    <w:name w:val="Salutation"/>
    <w:basedOn w:val="Normal"/>
    <w:next w:val="Normal"/>
    <w:semiHidden/>
    <w:rsid w:val="00887717"/>
  </w:style>
  <w:style w:type="paragraph" w:styleId="Signature">
    <w:name w:val="Signature"/>
    <w:basedOn w:val="Normal"/>
    <w:semiHidden/>
    <w:rsid w:val="00887717"/>
    <w:pPr>
      <w:ind w:left="5250"/>
    </w:pPr>
  </w:style>
  <w:style w:type="paragraph" w:styleId="Closing">
    <w:name w:val="Closing"/>
    <w:basedOn w:val="Normal"/>
    <w:rsid w:val="00346A4F"/>
    <w:pPr>
      <w:ind w:left="4536"/>
      <w:jc w:val="center"/>
    </w:pPr>
    <w:rPr>
      <w:rFonts w:ascii="Times New Roman" w:eastAsia="Times New Roman" w:hAnsi="Times New Roman" w:cs="Times New Roman"/>
      <w:sz w:val="24"/>
      <w:lang w:eastAsia="en-US"/>
    </w:rPr>
  </w:style>
  <w:style w:type="paragraph" w:customStyle="1" w:styleId="Default">
    <w:name w:val="Default"/>
    <w:rsid w:val="00346A4F"/>
    <w:pPr>
      <w:autoSpaceDE w:val="0"/>
      <w:autoSpaceDN w:val="0"/>
      <w:adjustRightInd w:val="0"/>
    </w:pPr>
    <w:rPr>
      <w:color w:val="000000"/>
      <w:sz w:val="24"/>
      <w:szCs w:val="24"/>
      <w:lang w:val="en-US" w:eastAsia="en-US"/>
    </w:rPr>
  </w:style>
  <w:style w:type="table" w:styleId="TableGrid">
    <w:name w:val="Table Grid"/>
    <w:basedOn w:val="TableNormal"/>
    <w:rsid w:val="0034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46A4F"/>
    <w:rPr>
      <w:vertAlign w:val="superscript"/>
    </w:rPr>
  </w:style>
  <w:style w:type="paragraph" w:customStyle="1" w:styleId="DecisionInvitingPara">
    <w:name w:val="Decision Inviting Para."/>
    <w:basedOn w:val="Normal"/>
    <w:rsid w:val="00DF7BE5"/>
    <w:pPr>
      <w:spacing w:after="120" w:line="260" w:lineRule="atLeast"/>
      <w:ind w:left="5534"/>
      <w:contextualSpacing/>
    </w:pPr>
    <w:rPr>
      <w:rFonts w:eastAsia="Times New Roman" w:cs="Times New Roman"/>
      <w:i/>
      <w:sz w:val="20"/>
      <w:lang w:eastAsia="en-US"/>
    </w:rPr>
  </w:style>
  <w:style w:type="paragraph" w:styleId="Date">
    <w:name w:val="Date"/>
    <w:basedOn w:val="Normal"/>
    <w:next w:val="Normal"/>
    <w:rsid w:val="00F36C33"/>
  </w:style>
  <w:style w:type="paragraph" w:styleId="ListParagraph">
    <w:name w:val="List Paragraph"/>
    <w:basedOn w:val="Normal"/>
    <w:uiPriority w:val="34"/>
    <w:qFormat/>
    <w:rsid w:val="00887717"/>
    <w:pPr>
      <w:ind w:left="720"/>
      <w:contextualSpacing/>
    </w:pPr>
  </w:style>
  <w:style w:type="character" w:customStyle="1" w:styleId="tab">
    <w:name w:val="tab"/>
    <w:rsid w:val="007533D4"/>
  </w:style>
  <w:style w:type="character" w:customStyle="1" w:styleId="FootnoteTextChar">
    <w:name w:val="Footnote Text Char"/>
    <w:link w:val="FootnoteText"/>
    <w:rsid w:val="00253D5F"/>
    <w:rPr>
      <w:rFonts w:ascii="Arial" w:eastAsia="SimSun" w:hAnsi="Arial" w:cs="Arial"/>
      <w:sz w:val="18"/>
      <w:lang w:eastAsia="zh-CN"/>
    </w:rPr>
  </w:style>
  <w:style w:type="paragraph" w:customStyle="1" w:styleId="Meetingplacedate">
    <w:name w:val="Meeting place &amp; date"/>
    <w:basedOn w:val="Normal"/>
    <w:next w:val="Normal"/>
    <w:rsid w:val="008877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887717"/>
    <w:pPr>
      <w:spacing w:line="336" w:lineRule="exact"/>
      <w:ind w:left="1021"/>
    </w:pPr>
    <w:rPr>
      <w:rFonts w:eastAsia="Times New Roman" w:cs="Times New Roman"/>
      <w:b/>
      <w:sz w:val="28"/>
      <w:lang w:val="fr-FR" w:eastAsia="en-US"/>
    </w:rPr>
  </w:style>
  <w:style w:type="character" w:styleId="Hyperlink">
    <w:name w:val="Hyperlink"/>
    <w:basedOn w:val="DefaultParagraphFont"/>
    <w:rsid w:val="00E657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17"/>
    <w:rPr>
      <w:rFonts w:ascii="Arial" w:eastAsia="SimSun" w:hAnsi="Arial" w:cs="Arial"/>
      <w:sz w:val="22"/>
      <w:lang w:eastAsia="zh-CN"/>
    </w:rPr>
  </w:style>
  <w:style w:type="paragraph" w:styleId="Heading1">
    <w:name w:val="heading 1"/>
    <w:basedOn w:val="Normal"/>
    <w:next w:val="Normal"/>
    <w:qFormat/>
    <w:rsid w:val="00887717"/>
    <w:pPr>
      <w:keepNext/>
      <w:spacing w:before="240" w:after="60"/>
      <w:ind w:left="567" w:hanging="567"/>
      <w:outlineLvl w:val="0"/>
    </w:pPr>
    <w:rPr>
      <w:b/>
      <w:bCs/>
      <w:caps/>
      <w:kern w:val="32"/>
      <w:szCs w:val="32"/>
      <w:lang w:val="fr-FR"/>
    </w:rPr>
  </w:style>
  <w:style w:type="paragraph" w:styleId="Heading2">
    <w:name w:val="heading 2"/>
    <w:basedOn w:val="Normal"/>
    <w:next w:val="Normal"/>
    <w:qFormat/>
    <w:rsid w:val="00887717"/>
    <w:pPr>
      <w:keepNext/>
      <w:spacing w:before="240" w:after="60"/>
      <w:outlineLvl w:val="1"/>
    </w:pPr>
    <w:rPr>
      <w:bCs/>
      <w:iCs/>
      <w:caps/>
      <w:szCs w:val="28"/>
    </w:rPr>
  </w:style>
  <w:style w:type="paragraph" w:styleId="Heading3">
    <w:name w:val="heading 3"/>
    <w:basedOn w:val="Normal"/>
    <w:next w:val="Normal"/>
    <w:qFormat/>
    <w:rsid w:val="00887717"/>
    <w:pPr>
      <w:keepNext/>
      <w:spacing w:before="240" w:after="60"/>
      <w:outlineLvl w:val="2"/>
    </w:pPr>
    <w:rPr>
      <w:bCs/>
      <w:szCs w:val="26"/>
      <w:u w:val="single"/>
    </w:rPr>
  </w:style>
  <w:style w:type="paragraph" w:styleId="Heading4">
    <w:name w:val="heading 4"/>
    <w:basedOn w:val="Normal"/>
    <w:next w:val="Normal"/>
    <w:qFormat/>
    <w:rsid w:val="0088771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87717"/>
    <w:pPr>
      <w:ind w:left="5534"/>
    </w:pPr>
    <w:rPr>
      <w:lang w:val="en-US"/>
    </w:rPr>
  </w:style>
  <w:style w:type="paragraph" w:styleId="BodyText">
    <w:name w:val="Body Text"/>
    <w:basedOn w:val="Normal"/>
    <w:rsid w:val="00887717"/>
    <w:pPr>
      <w:spacing w:after="220"/>
    </w:pPr>
  </w:style>
  <w:style w:type="paragraph" w:styleId="Caption">
    <w:name w:val="caption"/>
    <w:basedOn w:val="Normal"/>
    <w:next w:val="Normal"/>
    <w:qFormat/>
    <w:rsid w:val="00887717"/>
    <w:rPr>
      <w:b/>
      <w:bCs/>
      <w:sz w:val="18"/>
    </w:rPr>
  </w:style>
  <w:style w:type="paragraph" w:styleId="CommentText">
    <w:name w:val="annotation text"/>
    <w:basedOn w:val="Normal"/>
    <w:semiHidden/>
    <w:rsid w:val="00887717"/>
    <w:rPr>
      <w:sz w:val="18"/>
    </w:rPr>
  </w:style>
  <w:style w:type="paragraph" w:styleId="EndnoteText">
    <w:name w:val="endnote text"/>
    <w:basedOn w:val="Normal"/>
    <w:semiHidden/>
    <w:rsid w:val="00887717"/>
    <w:rPr>
      <w:sz w:val="18"/>
    </w:rPr>
  </w:style>
  <w:style w:type="paragraph" w:styleId="Footer">
    <w:name w:val="footer"/>
    <w:basedOn w:val="Normal"/>
    <w:semiHidden/>
    <w:rsid w:val="00887717"/>
    <w:pPr>
      <w:tabs>
        <w:tab w:val="center" w:pos="4320"/>
        <w:tab w:val="right" w:pos="8640"/>
      </w:tabs>
    </w:pPr>
  </w:style>
  <w:style w:type="paragraph" w:styleId="BalloonText">
    <w:name w:val="Balloon Text"/>
    <w:basedOn w:val="Normal"/>
    <w:semiHidden/>
    <w:rsid w:val="00640D95"/>
    <w:rPr>
      <w:rFonts w:ascii="Tahoma" w:hAnsi="Tahoma" w:cs="Tahoma"/>
      <w:sz w:val="16"/>
      <w:szCs w:val="16"/>
    </w:rPr>
  </w:style>
  <w:style w:type="paragraph" w:styleId="FootnoteText">
    <w:name w:val="footnote text"/>
    <w:basedOn w:val="Normal"/>
    <w:link w:val="FootnoteTextChar"/>
    <w:rsid w:val="00887717"/>
    <w:rPr>
      <w:sz w:val="18"/>
    </w:rPr>
  </w:style>
  <w:style w:type="paragraph" w:styleId="Header">
    <w:name w:val="header"/>
    <w:basedOn w:val="Normal"/>
    <w:semiHidden/>
    <w:rsid w:val="00887717"/>
    <w:pPr>
      <w:tabs>
        <w:tab w:val="center" w:pos="4536"/>
        <w:tab w:val="right" w:pos="9072"/>
      </w:tabs>
    </w:pPr>
  </w:style>
  <w:style w:type="paragraph" w:styleId="ListNumber">
    <w:name w:val="List Number"/>
    <w:basedOn w:val="Normal"/>
    <w:semiHidden/>
    <w:rsid w:val="00887717"/>
    <w:pPr>
      <w:numPr>
        <w:numId w:val="13"/>
      </w:numPr>
    </w:pPr>
  </w:style>
  <w:style w:type="paragraph" w:customStyle="1" w:styleId="ONUME">
    <w:name w:val="ONUM E"/>
    <w:basedOn w:val="BodyText"/>
    <w:rsid w:val="00887717"/>
    <w:pPr>
      <w:numPr>
        <w:numId w:val="14"/>
      </w:numPr>
    </w:pPr>
  </w:style>
  <w:style w:type="paragraph" w:customStyle="1" w:styleId="ONUMFS">
    <w:name w:val="ONUM FS"/>
    <w:basedOn w:val="BodyText"/>
    <w:rsid w:val="00887717"/>
    <w:pPr>
      <w:numPr>
        <w:numId w:val="15"/>
      </w:numPr>
    </w:pPr>
  </w:style>
  <w:style w:type="paragraph" w:styleId="Salutation">
    <w:name w:val="Salutation"/>
    <w:basedOn w:val="Normal"/>
    <w:next w:val="Normal"/>
    <w:semiHidden/>
    <w:rsid w:val="00887717"/>
  </w:style>
  <w:style w:type="paragraph" w:styleId="Signature">
    <w:name w:val="Signature"/>
    <w:basedOn w:val="Normal"/>
    <w:semiHidden/>
    <w:rsid w:val="00887717"/>
    <w:pPr>
      <w:ind w:left="5250"/>
    </w:pPr>
  </w:style>
  <w:style w:type="paragraph" w:styleId="Closing">
    <w:name w:val="Closing"/>
    <w:basedOn w:val="Normal"/>
    <w:rsid w:val="00346A4F"/>
    <w:pPr>
      <w:ind w:left="4536"/>
      <w:jc w:val="center"/>
    </w:pPr>
    <w:rPr>
      <w:rFonts w:ascii="Times New Roman" w:eastAsia="Times New Roman" w:hAnsi="Times New Roman" w:cs="Times New Roman"/>
      <w:sz w:val="24"/>
      <w:lang w:eastAsia="en-US"/>
    </w:rPr>
  </w:style>
  <w:style w:type="paragraph" w:customStyle="1" w:styleId="Default">
    <w:name w:val="Default"/>
    <w:rsid w:val="00346A4F"/>
    <w:pPr>
      <w:autoSpaceDE w:val="0"/>
      <w:autoSpaceDN w:val="0"/>
      <w:adjustRightInd w:val="0"/>
    </w:pPr>
    <w:rPr>
      <w:color w:val="000000"/>
      <w:sz w:val="24"/>
      <w:szCs w:val="24"/>
      <w:lang w:val="en-US" w:eastAsia="en-US"/>
    </w:rPr>
  </w:style>
  <w:style w:type="table" w:styleId="TableGrid">
    <w:name w:val="Table Grid"/>
    <w:basedOn w:val="TableNormal"/>
    <w:rsid w:val="0034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46A4F"/>
    <w:rPr>
      <w:vertAlign w:val="superscript"/>
    </w:rPr>
  </w:style>
  <w:style w:type="paragraph" w:customStyle="1" w:styleId="DecisionInvitingPara">
    <w:name w:val="Decision Inviting Para."/>
    <w:basedOn w:val="Normal"/>
    <w:rsid w:val="00DF7BE5"/>
    <w:pPr>
      <w:spacing w:after="120" w:line="260" w:lineRule="atLeast"/>
      <w:ind w:left="5534"/>
      <w:contextualSpacing/>
    </w:pPr>
    <w:rPr>
      <w:rFonts w:eastAsia="Times New Roman" w:cs="Times New Roman"/>
      <w:i/>
      <w:sz w:val="20"/>
      <w:lang w:eastAsia="en-US"/>
    </w:rPr>
  </w:style>
  <w:style w:type="paragraph" w:styleId="Date">
    <w:name w:val="Date"/>
    <w:basedOn w:val="Normal"/>
    <w:next w:val="Normal"/>
    <w:rsid w:val="00F36C33"/>
  </w:style>
  <w:style w:type="paragraph" w:styleId="ListParagraph">
    <w:name w:val="List Paragraph"/>
    <w:basedOn w:val="Normal"/>
    <w:uiPriority w:val="34"/>
    <w:qFormat/>
    <w:rsid w:val="00887717"/>
    <w:pPr>
      <w:ind w:left="720"/>
      <w:contextualSpacing/>
    </w:pPr>
  </w:style>
  <w:style w:type="character" w:customStyle="1" w:styleId="tab">
    <w:name w:val="tab"/>
    <w:rsid w:val="007533D4"/>
  </w:style>
  <w:style w:type="character" w:customStyle="1" w:styleId="FootnoteTextChar">
    <w:name w:val="Footnote Text Char"/>
    <w:link w:val="FootnoteText"/>
    <w:rsid w:val="00253D5F"/>
    <w:rPr>
      <w:rFonts w:ascii="Arial" w:eastAsia="SimSun" w:hAnsi="Arial" w:cs="Arial"/>
      <w:sz w:val="18"/>
      <w:lang w:eastAsia="zh-CN"/>
    </w:rPr>
  </w:style>
  <w:style w:type="paragraph" w:customStyle="1" w:styleId="Meetingplacedate">
    <w:name w:val="Meeting place &amp; date"/>
    <w:basedOn w:val="Normal"/>
    <w:next w:val="Normal"/>
    <w:rsid w:val="008877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887717"/>
    <w:pPr>
      <w:spacing w:line="336" w:lineRule="exact"/>
      <w:ind w:left="1021"/>
    </w:pPr>
    <w:rPr>
      <w:rFonts w:eastAsia="Times New Roman" w:cs="Times New Roman"/>
      <w:b/>
      <w:sz w:val="28"/>
      <w:lang w:val="fr-FR" w:eastAsia="en-US"/>
    </w:rPr>
  </w:style>
  <w:style w:type="character" w:styleId="Hyperlink">
    <w:name w:val="Hyperlink"/>
    <w:basedOn w:val="DefaultParagraphFont"/>
    <w:rsid w:val="00E65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60797">
      <w:bodyDiv w:val="1"/>
      <w:marLeft w:val="0"/>
      <w:marRight w:val="0"/>
      <w:marTop w:val="0"/>
      <w:marBottom w:val="0"/>
      <w:divBdr>
        <w:top w:val="none" w:sz="0" w:space="0" w:color="auto"/>
        <w:left w:val="none" w:sz="0" w:space="0" w:color="auto"/>
        <w:bottom w:val="none" w:sz="0" w:space="0" w:color="auto"/>
        <w:right w:val="none" w:sz="0" w:space="0" w:color="auto"/>
      </w:divBdr>
      <w:divsChild>
        <w:div w:id="47191524">
          <w:marLeft w:val="0"/>
          <w:marRight w:val="0"/>
          <w:marTop w:val="0"/>
          <w:marBottom w:val="0"/>
          <w:divBdr>
            <w:top w:val="none" w:sz="0" w:space="0" w:color="auto"/>
            <w:left w:val="none" w:sz="0" w:space="0" w:color="auto"/>
            <w:bottom w:val="none" w:sz="0" w:space="0" w:color="auto"/>
            <w:right w:val="none" w:sz="0" w:space="0" w:color="auto"/>
          </w:divBdr>
        </w:div>
        <w:div w:id="17260295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FB75-2910-4866-A542-3A058AAF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2070</Words>
  <Characters>11799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STLT/A/3/</vt:lpstr>
      <vt:lpstr>STLT/A/3/</vt:lpstr>
    </vt:vector>
  </TitlesOfParts>
  <Company>WIPO</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STLT/A/3/</dc:title>
  <dc:creator>Moutout</dc:creator>
  <cp:lastModifiedBy>DORE Marie-Pierre</cp:lastModifiedBy>
  <cp:revision>3</cp:revision>
  <cp:lastPrinted>2017-06-08T11:38:00Z</cp:lastPrinted>
  <dcterms:created xsi:type="dcterms:W3CDTF">2017-06-12T09:18:00Z</dcterms:created>
  <dcterms:modified xsi:type="dcterms:W3CDTF">2017-06-12T09:23:00Z</dcterms:modified>
</cp:coreProperties>
</file>