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F32FC" w:rsidRPr="006F32FC" w:rsidTr="001B1617">
        <w:tc>
          <w:tcPr>
            <w:tcW w:w="4513" w:type="dxa"/>
            <w:tcBorders>
              <w:bottom w:val="single" w:sz="4" w:space="0" w:color="auto"/>
            </w:tcBorders>
            <w:tcMar>
              <w:bottom w:w="170" w:type="dxa"/>
            </w:tcMar>
          </w:tcPr>
          <w:p w:rsidR="00E239EA" w:rsidRPr="006F32FC" w:rsidRDefault="00E239EA" w:rsidP="007373E8">
            <w:pPr>
              <w:rPr>
                <w:lang w:val="fr-FR"/>
              </w:rPr>
            </w:pPr>
          </w:p>
        </w:tc>
        <w:tc>
          <w:tcPr>
            <w:tcW w:w="4337" w:type="dxa"/>
            <w:tcBorders>
              <w:bottom w:val="single" w:sz="4" w:space="0" w:color="auto"/>
            </w:tcBorders>
            <w:tcMar>
              <w:left w:w="0" w:type="dxa"/>
              <w:right w:w="0" w:type="dxa"/>
            </w:tcMar>
          </w:tcPr>
          <w:p w:rsidR="00E239EA" w:rsidRPr="006F32FC" w:rsidRDefault="00E239EA" w:rsidP="007373E8">
            <w:pPr>
              <w:rPr>
                <w:lang w:val="fr-FR"/>
              </w:rPr>
            </w:pPr>
            <w:r w:rsidRPr="006F32FC">
              <w:rPr>
                <w:noProof/>
                <w:lang w:eastAsia="en-US"/>
              </w:rPr>
              <w:drawing>
                <wp:inline distT="0" distB="0" distL="0" distR="0" wp14:anchorId="056331CB" wp14:editId="4979DDD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239EA" w:rsidRPr="006F32FC" w:rsidRDefault="00E239EA" w:rsidP="007373E8">
            <w:pPr>
              <w:jc w:val="right"/>
              <w:rPr>
                <w:lang w:val="fr-FR"/>
              </w:rPr>
            </w:pPr>
            <w:r w:rsidRPr="006F32FC">
              <w:rPr>
                <w:b/>
                <w:sz w:val="40"/>
                <w:szCs w:val="40"/>
                <w:lang w:val="fr-FR"/>
              </w:rPr>
              <w:t>F</w:t>
            </w:r>
          </w:p>
        </w:tc>
      </w:tr>
      <w:tr w:rsidR="006F32FC" w:rsidRPr="006F32FC" w:rsidTr="00333AFB">
        <w:trPr>
          <w:trHeight w:hRule="exact" w:val="340"/>
        </w:trPr>
        <w:tc>
          <w:tcPr>
            <w:tcW w:w="9356" w:type="dxa"/>
            <w:gridSpan w:val="3"/>
            <w:tcBorders>
              <w:top w:val="single" w:sz="4" w:space="0" w:color="auto"/>
            </w:tcBorders>
            <w:tcMar>
              <w:top w:w="170" w:type="dxa"/>
              <w:left w:w="0" w:type="dxa"/>
              <w:right w:w="0" w:type="dxa"/>
            </w:tcMar>
            <w:vAlign w:val="bottom"/>
          </w:tcPr>
          <w:p w:rsidR="00E239EA" w:rsidRPr="006F32FC" w:rsidRDefault="00E239EA" w:rsidP="007373E8">
            <w:pPr>
              <w:jc w:val="right"/>
              <w:rPr>
                <w:rFonts w:ascii="Arial Black" w:hAnsi="Arial Black"/>
                <w:caps/>
                <w:sz w:val="15"/>
                <w:lang w:val="fr-FR"/>
              </w:rPr>
            </w:pPr>
            <w:r w:rsidRPr="006F32FC">
              <w:rPr>
                <w:rFonts w:ascii="Arial Black" w:hAnsi="Arial Black"/>
                <w:caps/>
                <w:sz w:val="15"/>
                <w:lang w:val="fr-FR"/>
              </w:rPr>
              <w:t>wo/cc/71/</w:t>
            </w:r>
            <w:bookmarkStart w:id="0" w:name="Code"/>
            <w:bookmarkEnd w:id="0"/>
            <w:r w:rsidRPr="006F32FC">
              <w:rPr>
                <w:rFonts w:ascii="Arial Black" w:hAnsi="Arial Black"/>
                <w:caps/>
                <w:sz w:val="15"/>
                <w:lang w:val="fr-FR"/>
              </w:rPr>
              <w:t>6</w:t>
            </w:r>
          </w:p>
        </w:tc>
      </w:tr>
      <w:tr w:rsidR="006F32FC" w:rsidRPr="006F32FC" w:rsidTr="00333AFB">
        <w:trPr>
          <w:trHeight w:hRule="exact" w:val="170"/>
        </w:trPr>
        <w:tc>
          <w:tcPr>
            <w:tcW w:w="9356" w:type="dxa"/>
            <w:gridSpan w:val="3"/>
            <w:noWrap/>
            <w:tcMar>
              <w:left w:w="0" w:type="dxa"/>
              <w:right w:w="0" w:type="dxa"/>
            </w:tcMar>
            <w:vAlign w:val="bottom"/>
          </w:tcPr>
          <w:p w:rsidR="00E239EA" w:rsidRPr="006F32FC" w:rsidRDefault="00E239EA" w:rsidP="007373E8">
            <w:pPr>
              <w:jc w:val="right"/>
              <w:rPr>
                <w:rFonts w:ascii="Arial Black" w:hAnsi="Arial Black"/>
                <w:caps/>
                <w:sz w:val="15"/>
                <w:lang w:val="fr-FR"/>
              </w:rPr>
            </w:pPr>
            <w:r w:rsidRPr="006F32FC">
              <w:rPr>
                <w:rFonts w:ascii="Arial Black" w:hAnsi="Arial Black"/>
                <w:caps/>
                <w:sz w:val="15"/>
                <w:lang w:val="fr-FR"/>
              </w:rPr>
              <w:t>ORIGINAL</w:t>
            </w:r>
            <w:r w:rsidR="007144C5" w:rsidRPr="006F32FC">
              <w:rPr>
                <w:rFonts w:ascii="Arial Black" w:hAnsi="Arial Black"/>
                <w:caps/>
                <w:sz w:val="15"/>
                <w:lang w:val="fr-FR"/>
              </w:rPr>
              <w:t> </w:t>
            </w:r>
            <w:r w:rsidRPr="006F32FC">
              <w:rPr>
                <w:rFonts w:ascii="Arial Black" w:hAnsi="Arial Black"/>
                <w:caps/>
                <w:sz w:val="15"/>
                <w:lang w:val="fr-FR"/>
              </w:rPr>
              <w:t xml:space="preserve">: anglais </w:t>
            </w:r>
            <w:bookmarkStart w:id="1" w:name="Original"/>
            <w:bookmarkEnd w:id="1"/>
          </w:p>
        </w:tc>
      </w:tr>
      <w:tr w:rsidR="00E239EA" w:rsidRPr="006F32FC" w:rsidTr="00333AFB">
        <w:trPr>
          <w:trHeight w:hRule="exact" w:val="198"/>
        </w:trPr>
        <w:tc>
          <w:tcPr>
            <w:tcW w:w="9356" w:type="dxa"/>
            <w:gridSpan w:val="3"/>
            <w:tcMar>
              <w:left w:w="0" w:type="dxa"/>
              <w:right w:w="0" w:type="dxa"/>
            </w:tcMar>
            <w:vAlign w:val="bottom"/>
          </w:tcPr>
          <w:p w:rsidR="00E239EA" w:rsidRPr="006F32FC" w:rsidRDefault="00E239EA" w:rsidP="007373E8">
            <w:pPr>
              <w:jc w:val="right"/>
              <w:rPr>
                <w:rFonts w:ascii="Arial Black" w:hAnsi="Arial Black"/>
                <w:caps/>
                <w:sz w:val="15"/>
                <w:lang w:val="fr-FR"/>
              </w:rPr>
            </w:pPr>
            <w:r w:rsidRPr="006F32FC">
              <w:rPr>
                <w:rFonts w:ascii="Arial Black" w:hAnsi="Arial Black"/>
                <w:caps/>
                <w:sz w:val="15"/>
                <w:lang w:val="fr-FR"/>
              </w:rPr>
              <w:t>DATE</w:t>
            </w:r>
            <w:r w:rsidR="007144C5" w:rsidRPr="006F32FC">
              <w:rPr>
                <w:rFonts w:ascii="Arial Black" w:hAnsi="Arial Black"/>
                <w:caps/>
                <w:sz w:val="15"/>
                <w:lang w:val="fr-FR"/>
              </w:rPr>
              <w:t> </w:t>
            </w:r>
            <w:r w:rsidRPr="006F32FC">
              <w:rPr>
                <w:rFonts w:ascii="Arial Black" w:hAnsi="Arial Black"/>
                <w:caps/>
                <w:sz w:val="15"/>
                <w:lang w:val="fr-FR"/>
              </w:rPr>
              <w:t xml:space="preserve">: </w:t>
            </w:r>
            <w:bookmarkStart w:id="2" w:name="Date"/>
            <w:bookmarkEnd w:id="2"/>
            <w:r w:rsidRPr="006F32FC">
              <w:rPr>
                <w:rFonts w:ascii="Arial Black" w:hAnsi="Arial Black"/>
                <w:caps/>
                <w:sz w:val="15"/>
                <w:lang w:val="fr-FR"/>
              </w:rPr>
              <w:t>30 septembre 2015</w:t>
            </w:r>
          </w:p>
        </w:tc>
      </w:tr>
    </w:tbl>
    <w:p w:rsidR="00E239EA" w:rsidRPr="006F32FC" w:rsidRDefault="00E239EA" w:rsidP="007373E8">
      <w:pPr>
        <w:rPr>
          <w:lang w:val="fr-FR"/>
        </w:rPr>
      </w:pPr>
    </w:p>
    <w:p w:rsidR="00E239EA" w:rsidRPr="006F32FC" w:rsidRDefault="00E239EA" w:rsidP="007373E8">
      <w:pPr>
        <w:rPr>
          <w:lang w:val="fr-FR"/>
        </w:rPr>
      </w:pPr>
    </w:p>
    <w:p w:rsidR="00E239EA" w:rsidRPr="006F32FC" w:rsidRDefault="00E239EA" w:rsidP="007373E8">
      <w:pPr>
        <w:rPr>
          <w:lang w:val="fr-FR"/>
        </w:rPr>
      </w:pPr>
    </w:p>
    <w:p w:rsidR="00E239EA" w:rsidRPr="006F32FC" w:rsidRDefault="00E239EA" w:rsidP="007373E8">
      <w:pPr>
        <w:rPr>
          <w:lang w:val="fr-FR"/>
        </w:rPr>
      </w:pPr>
    </w:p>
    <w:p w:rsidR="00E239EA" w:rsidRPr="006F32FC" w:rsidRDefault="00E239EA" w:rsidP="007373E8">
      <w:pPr>
        <w:rPr>
          <w:lang w:val="fr-FR"/>
        </w:rPr>
      </w:pPr>
    </w:p>
    <w:p w:rsidR="00E239EA" w:rsidRPr="006F32FC" w:rsidRDefault="00E239EA" w:rsidP="007373E8">
      <w:pPr>
        <w:rPr>
          <w:b/>
          <w:sz w:val="28"/>
          <w:szCs w:val="28"/>
          <w:lang w:val="fr-FR"/>
        </w:rPr>
      </w:pPr>
      <w:r w:rsidRPr="006F32FC">
        <w:rPr>
          <w:b/>
          <w:sz w:val="28"/>
          <w:szCs w:val="28"/>
          <w:lang w:val="fr-FR"/>
        </w:rPr>
        <w:t>Comité de coordination de I’OMPI</w:t>
      </w:r>
    </w:p>
    <w:p w:rsidR="00E239EA" w:rsidRPr="006F32FC" w:rsidRDefault="00E239EA" w:rsidP="007373E8">
      <w:pPr>
        <w:rPr>
          <w:lang w:val="fr-FR"/>
        </w:rPr>
      </w:pPr>
    </w:p>
    <w:p w:rsidR="00E239EA" w:rsidRPr="006F32FC" w:rsidRDefault="00E239EA" w:rsidP="007373E8">
      <w:pPr>
        <w:rPr>
          <w:lang w:val="fr-FR"/>
        </w:rPr>
      </w:pPr>
    </w:p>
    <w:p w:rsidR="00E239EA" w:rsidRPr="006F32FC" w:rsidRDefault="00E239EA" w:rsidP="007373E8">
      <w:pPr>
        <w:rPr>
          <w:b/>
          <w:sz w:val="24"/>
          <w:szCs w:val="24"/>
          <w:lang w:val="fr-FR"/>
        </w:rPr>
      </w:pPr>
      <w:r w:rsidRPr="006F32FC">
        <w:rPr>
          <w:b/>
          <w:sz w:val="24"/>
          <w:szCs w:val="24"/>
          <w:lang w:val="fr-FR"/>
        </w:rPr>
        <w:t>Soixante</w:t>
      </w:r>
      <w:r w:rsidR="007144C5" w:rsidRPr="006F32FC">
        <w:rPr>
          <w:b/>
          <w:sz w:val="24"/>
          <w:szCs w:val="24"/>
          <w:lang w:val="fr-FR"/>
        </w:rPr>
        <w:t> </w:t>
      </w:r>
      <w:r w:rsidRPr="006F32FC">
        <w:rPr>
          <w:b/>
          <w:sz w:val="24"/>
          <w:szCs w:val="24"/>
          <w:lang w:val="fr-FR"/>
        </w:rPr>
        <w:t>et</w:t>
      </w:r>
      <w:r w:rsidR="007144C5" w:rsidRPr="006F32FC">
        <w:rPr>
          <w:b/>
          <w:sz w:val="24"/>
          <w:szCs w:val="24"/>
          <w:lang w:val="fr-FR"/>
        </w:rPr>
        <w:t> </w:t>
      </w:r>
      <w:r w:rsidRPr="006F32FC">
        <w:rPr>
          <w:b/>
          <w:sz w:val="24"/>
          <w:szCs w:val="24"/>
          <w:lang w:val="fr-FR"/>
        </w:rPr>
        <w:t>onzième</w:t>
      </w:r>
      <w:r w:rsidR="007144C5" w:rsidRPr="006F32FC">
        <w:rPr>
          <w:b/>
          <w:sz w:val="24"/>
          <w:szCs w:val="24"/>
          <w:lang w:val="fr-FR"/>
        </w:rPr>
        <w:t> </w:t>
      </w:r>
      <w:r w:rsidRPr="006F32FC">
        <w:rPr>
          <w:b/>
          <w:sz w:val="24"/>
          <w:szCs w:val="24"/>
          <w:lang w:val="fr-FR"/>
        </w:rPr>
        <w:t>session (46</w:t>
      </w:r>
      <w:r w:rsidRPr="006F32FC">
        <w:rPr>
          <w:b/>
          <w:sz w:val="24"/>
          <w:szCs w:val="24"/>
          <w:vertAlign w:val="superscript"/>
          <w:lang w:val="fr-FR"/>
        </w:rPr>
        <w:t>e</w:t>
      </w:r>
      <w:r w:rsidR="00872240" w:rsidRPr="006F32FC">
        <w:rPr>
          <w:b/>
          <w:sz w:val="24"/>
          <w:szCs w:val="24"/>
          <w:lang w:val="fr-FR"/>
        </w:rPr>
        <w:t> </w:t>
      </w:r>
      <w:r w:rsidRPr="006F32FC">
        <w:rPr>
          <w:b/>
          <w:sz w:val="24"/>
          <w:szCs w:val="24"/>
          <w:lang w:val="fr-FR"/>
        </w:rPr>
        <w:t>session ordinaire)</w:t>
      </w:r>
    </w:p>
    <w:p w:rsidR="00E239EA" w:rsidRPr="006F32FC" w:rsidRDefault="00E239EA" w:rsidP="007373E8">
      <w:pPr>
        <w:rPr>
          <w:b/>
          <w:sz w:val="24"/>
          <w:szCs w:val="24"/>
          <w:lang w:val="fr-FR"/>
        </w:rPr>
      </w:pPr>
      <w:r w:rsidRPr="006F32FC">
        <w:rPr>
          <w:b/>
          <w:sz w:val="24"/>
          <w:szCs w:val="24"/>
          <w:lang w:val="fr-FR"/>
        </w:rPr>
        <w:t>Genève, 5 – 14 octobre 2015</w:t>
      </w:r>
    </w:p>
    <w:p w:rsidR="008B2CC1" w:rsidRPr="006F32FC" w:rsidRDefault="008B2CC1" w:rsidP="007373E8">
      <w:pPr>
        <w:rPr>
          <w:lang w:val="fr-FR"/>
        </w:rPr>
      </w:pPr>
    </w:p>
    <w:p w:rsidR="008B2CC1" w:rsidRPr="006F32FC" w:rsidRDefault="008B2CC1" w:rsidP="007373E8">
      <w:pPr>
        <w:rPr>
          <w:lang w:val="fr-FR"/>
        </w:rPr>
      </w:pPr>
    </w:p>
    <w:p w:rsidR="00607120" w:rsidRPr="006F32FC" w:rsidRDefault="00607120" w:rsidP="007373E8">
      <w:pPr>
        <w:rPr>
          <w:caps/>
          <w:sz w:val="24"/>
          <w:lang w:val="fr-FR"/>
        </w:rPr>
      </w:pPr>
      <w:bookmarkStart w:id="3" w:name="TitleOfDoc"/>
      <w:bookmarkEnd w:id="3"/>
      <w:r w:rsidRPr="006F32FC">
        <w:rPr>
          <w:caps/>
          <w:sz w:val="24"/>
          <w:lang w:val="fr-FR"/>
        </w:rPr>
        <w:t>avis du comité de coordination à l</w:t>
      </w:r>
      <w:r w:rsidR="00E239EA" w:rsidRPr="006F32FC">
        <w:rPr>
          <w:caps/>
          <w:sz w:val="24"/>
          <w:lang w:val="fr-FR"/>
        </w:rPr>
        <w:t>’</w:t>
      </w:r>
      <w:r w:rsidRPr="006F32FC">
        <w:rPr>
          <w:caps/>
          <w:sz w:val="24"/>
          <w:lang w:val="fr-FR"/>
        </w:rPr>
        <w:t xml:space="preserve">intention </w:t>
      </w:r>
      <w:r w:rsidR="006F108C">
        <w:rPr>
          <w:caps/>
          <w:sz w:val="24"/>
          <w:lang w:val="fr-FR"/>
        </w:rPr>
        <w:t xml:space="preserve">de l’assemblée </w:t>
      </w:r>
      <w:r w:rsidRPr="006F32FC">
        <w:rPr>
          <w:caps/>
          <w:sz w:val="24"/>
          <w:lang w:val="fr-FR"/>
        </w:rPr>
        <w:t>de l</w:t>
      </w:r>
      <w:r w:rsidR="00E239EA" w:rsidRPr="006F32FC">
        <w:rPr>
          <w:caps/>
          <w:sz w:val="24"/>
          <w:lang w:val="fr-FR"/>
        </w:rPr>
        <w:t>’</w:t>
      </w:r>
      <w:r w:rsidRPr="006F32FC">
        <w:rPr>
          <w:caps/>
          <w:sz w:val="24"/>
          <w:lang w:val="fr-FR"/>
        </w:rPr>
        <w:t xml:space="preserve">union de lisbonne </w:t>
      </w:r>
      <w:r w:rsidR="006F108C">
        <w:rPr>
          <w:caps/>
          <w:sz w:val="24"/>
          <w:lang w:val="fr-FR"/>
        </w:rPr>
        <w:t>concernant</w:t>
      </w:r>
      <w:r w:rsidRPr="006F32FC">
        <w:rPr>
          <w:caps/>
          <w:sz w:val="24"/>
          <w:lang w:val="fr-FR"/>
        </w:rPr>
        <w:t xml:space="preserve"> la proposition visant </w:t>
      </w:r>
      <w:r w:rsidR="00872240" w:rsidRPr="006F32FC">
        <w:rPr>
          <w:caps/>
          <w:sz w:val="24"/>
          <w:lang w:val="fr-FR"/>
        </w:rPr>
        <w:t>à</w:t>
      </w:r>
      <w:r w:rsidRPr="006F32FC">
        <w:rPr>
          <w:caps/>
          <w:sz w:val="24"/>
          <w:lang w:val="fr-FR"/>
        </w:rPr>
        <w:t xml:space="preserve"> créer un fonds de roulement pour l</w:t>
      </w:r>
      <w:r w:rsidR="00E239EA" w:rsidRPr="006F32FC">
        <w:rPr>
          <w:caps/>
          <w:sz w:val="24"/>
          <w:lang w:val="fr-FR"/>
        </w:rPr>
        <w:t>’</w:t>
      </w:r>
      <w:r w:rsidRPr="006F32FC">
        <w:rPr>
          <w:caps/>
          <w:sz w:val="24"/>
          <w:lang w:val="fr-FR"/>
        </w:rPr>
        <w:t>union de lisbonne</w:t>
      </w:r>
    </w:p>
    <w:p w:rsidR="008B2CC1" w:rsidRPr="006F32FC" w:rsidRDefault="008B2CC1" w:rsidP="007373E8">
      <w:pPr>
        <w:rPr>
          <w:lang w:val="fr-FR"/>
        </w:rPr>
      </w:pPr>
    </w:p>
    <w:p w:rsidR="00AC205C" w:rsidRPr="006F32FC" w:rsidRDefault="00607120" w:rsidP="007373E8">
      <w:pPr>
        <w:rPr>
          <w:lang w:val="fr-FR"/>
        </w:rPr>
      </w:pPr>
      <w:bookmarkStart w:id="4" w:name="Prepared"/>
      <w:bookmarkEnd w:id="4"/>
      <w:r w:rsidRPr="006F32FC">
        <w:rPr>
          <w:i/>
          <w:lang w:val="fr-FR"/>
        </w:rPr>
        <w:t>Document établi par le Secrétariat</w:t>
      </w:r>
    </w:p>
    <w:p w:rsidR="000F5E56" w:rsidRPr="006F32FC" w:rsidRDefault="000F5E56" w:rsidP="007373E8">
      <w:pPr>
        <w:rPr>
          <w:lang w:val="fr-FR"/>
        </w:rPr>
      </w:pPr>
    </w:p>
    <w:p w:rsidR="00571089" w:rsidRPr="006F32FC" w:rsidRDefault="00571089" w:rsidP="007373E8">
      <w:pPr>
        <w:rPr>
          <w:lang w:val="fr-FR"/>
        </w:rPr>
      </w:pPr>
    </w:p>
    <w:p w:rsidR="00571089" w:rsidRPr="006F32FC" w:rsidRDefault="00571089" w:rsidP="007373E8">
      <w:pPr>
        <w:rPr>
          <w:lang w:val="fr-FR"/>
        </w:rPr>
      </w:pPr>
    </w:p>
    <w:p w:rsidR="002928D3" w:rsidRPr="006F32FC" w:rsidRDefault="002928D3" w:rsidP="007373E8">
      <w:pPr>
        <w:rPr>
          <w:lang w:val="fr-FR"/>
        </w:rPr>
      </w:pPr>
    </w:p>
    <w:p w:rsidR="00607120" w:rsidRPr="006F32FC" w:rsidRDefault="00607120" w:rsidP="007373E8">
      <w:pPr>
        <w:pStyle w:val="ONUMFS"/>
        <w:rPr>
          <w:lang w:val="fr-FR"/>
        </w:rPr>
      </w:pPr>
      <w:r w:rsidRPr="006F32FC">
        <w:rPr>
          <w:lang w:val="fr-FR"/>
        </w:rPr>
        <w:t>Au cours de la vingt</w:t>
      </w:r>
      <w:r w:rsidR="00872240" w:rsidRPr="006F32FC">
        <w:rPr>
          <w:lang w:val="fr-FR"/>
        </w:rPr>
        <w:noBreakHyphen/>
      </w:r>
      <w:r w:rsidRPr="006F32FC">
        <w:rPr>
          <w:lang w:val="fr-FR"/>
        </w:rPr>
        <w:t>quatrième</w:t>
      </w:r>
      <w:r w:rsidR="007144C5" w:rsidRPr="006F32FC">
        <w:rPr>
          <w:lang w:val="fr-FR"/>
        </w:rPr>
        <w:t> </w:t>
      </w:r>
      <w:r w:rsidRPr="006F32FC">
        <w:rPr>
          <w:lang w:val="fr-FR"/>
        </w:rPr>
        <w:t>session du Comité du programme et budget de l</w:t>
      </w:r>
      <w:r w:rsidR="00E239EA" w:rsidRPr="006F32FC">
        <w:rPr>
          <w:lang w:val="fr-FR"/>
        </w:rPr>
        <w:t>’</w:t>
      </w:r>
      <w:r w:rsidRPr="006F32FC">
        <w:rPr>
          <w:lang w:val="fr-FR"/>
        </w:rPr>
        <w:t>OMPI</w:t>
      </w:r>
      <w:r w:rsidR="006F108C">
        <w:rPr>
          <w:lang w:val="fr-FR"/>
        </w:rPr>
        <w:t xml:space="preserve"> et par la suite</w:t>
      </w:r>
      <w:r w:rsidRPr="006F32FC">
        <w:rPr>
          <w:lang w:val="fr-FR"/>
        </w:rPr>
        <w:t>, des membres de l</w:t>
      </w:r>
      <w:r w:rsidR="00E239EA" w:rsidRPr="006F32FC">
        <w:rPr>
          <w:lang w:val="fr-FR"/>
        </w:rPr>
        <w:t>’</w:t>
      </w:r>
      <w:r w:rsidRPr="006F32FC">
        <w:rPr>
          <w:lang w:val="fr-FR"/>
        </w:rPr>
        <w:t xml:space="preserve">Union de Lisbonne ont demandé des informations supplémentaires </w:t>
      </w:r>
      <w:r w:rsidR="00297E76" w:rsidRPr="006F32FC">
        <w:rPr>
          <w:lang w:val="fr-FR"/>
        </w:rPr>
        <w:t>sur</w:t>
      </w:r>
      <w:r w:rsidRPr="006F32FC">
        <w:rPr>
          <w:lang w:val="fr-FR"/>
        </w:rPr>
        <w:t xml:space="preserve"> la création d</w:t>
      </w:r>
      <w:r w:rsidR="00E239EA" w:rsidRPr="006F32FC">
        <w:rPr>
          <w:lang w:val="fr-FR"/>
        </w:rPr>
        <w:t>’</w:t>
      </w:r>
      <w:r w:rsidRPr="006F32FC">
        <w:rPr>
          <w:lang w:val="fr-FR"/>
        </w:rPr>
        <w:t>un fonds de roulement pour l</w:t>
      </w:r>
      <w:r w:rsidR="00E239EA" w:rsidRPr="006F32FC">
        <w:rPr>
          <w:lang w:val="fr-FR"/>
        </w:rPr>
        <w:t>’</w:t>
      </w:r>
      <w:r w:rsidRPr="006F32FC">
        <w:rPr>
          <w:lang w:val="fr-FR"/>
        </w:rPr>
        <w:t>Union de Lisbonne.</w:t>
      </w:r>
    </w:p>
    <w:p w:rsidR="00E239EA" w:rsidRPr="006F32FC" w:rsidRDefault="00B21E47" w:rsidP="007373E8">
      <w:pPr>
        <w:pStyle w:val="ONUMFS"/>
        <w:rPr>
          <w:lang w:val="fr-FR"/>
        </w:rPr>
      </w:pPr>
      <w:r w:rsidRPr="006F32FC">
        <w:rPr>
          <w:lang w:val="fr-FR"/>
        </w:rPr>
        <w:t>L</w:t>
      </w:r>
      <w:r w:rsidR="00E239EA" w:rsidRPr="006F32FC">
        <w:rPr>
          <w:lang w:val="fr-FR"/>
        </w:rPr>
        <w:t>’</w:t>
      </w:r>
      <w:r w:rsidR="00297E76" w:rsidRPr="006F32FC">
        <w:rPr>
          <w:lang w:val="fr-FR"/>
        </w:rPr>
        <w:t>article</w:t>
      </w:r>
      <w:r w:rsidR="007144C5" w:rsidRPr="006F32FC">
        <w:rPr>
          <w:lang w:val="fr-FR"/>
        </w:rPr>
        <w:t> </w:t>
      </w:r>
      <w:r w:rsidR="00297E76" w:rsidRPr="006F32FC">
        <w:rPr>
          <w:lang w:val="fr-FR"/>
        </w:rPr>
        <w:t>11</w:t>
      </w:r>
      <w:r w:rsidRPr="006F32FC">
        <w:rPr>
          <w:lang w:val="fr-FR"/>
        </w:rPr>
        <w:t>.7)</w:t>
      </w:r>
      <w:r w:rsidR="00297E76" w:rsidRPr="006F32FC">
        <w:rPr>
          <w:lang w:val="fr-FR"/>
        </w:rPr>
        <w:t xml:space="preserve"> de l</w:t>
      </w:r>
      <w:r w:rsidR="00E239EA" w:rsidRPr="006F32FC">
        <w:rPr>
          <w:lang w:val="fr-FR"/>
        </w:rPr>
        <w:t>’</w:t>
      </w:r>
      <w:r w:rsidR="00297E76" w:rsidRPr="006F32FC">
        <w:rPr>
          <w:lang w:val="fr-FR"/>
        </w:rPr>
        <w:t xml:space="preserve">Arrangement de Lisbonne </w:t>
      </w:r>
      <w:r w:rsidR="006F108C">
        <w:rPr>
          <w:lang w:val="fr-FR"/>
        </w:rPr>
        <w:t>prévoit ce qui suit</w:t>
      </w:r>
      <w:r w:rsidR="007144C5" w:rsidRPr="006F32FC">
        <w:rPr>
          <w:lang w:val="fr-FR"/>
        </w:rPr>
        <w:t> </w:t>
      </w:r>
      <w:r w:rsidR="00297E76" w:rsidRPr="006F32FC">
        <w:rPr>
          <w:lang w:val="fr-FR"/>
        </w:rPr>
        <w:t>:</w:t>
      </w:r>
    </w:p>
    <w:p w:rsidR="008D558D" w:rsidRPr="006F32FC" w:rsidRDefault="007144C5" w:rsidP="007373E8">
      <w:pPr>
        <w:tabs>
          <w:tab w:val="left" w:pos="1134"/>
        </w:tabs>
        <w:ind w:left="567"/>
        <w:contextualSpacing/>
        <w:rPr>
          <w:rFonts w:eastAsiaTheme="minorHAnsi"/>
          <w:szCs w:val="22"/>
          <w:lang w:val="fr-FR" w:eastAsia="en-US"/>
        </w:rPr>
      </w:pPr>
      <w:r w:rsidRPr="006F32FC">
        <w:rPr>
          <w:rFonts w:eastAsiaTheme="minorHAnsi"/>
          <w:szCs w:val="22"/>
          <w:lang w:val="fr-FR" w:eastAsia="en-US"/>
        </w:rPr>
        <w:t>“</w:t>
      </w:r>
      <w:proofErr w:type="gramStart"/>
      <w:r w:rsidR="008D558D" w:rsidRPr="006F32FC">
        <w:rPr>
          <w:rFonts w:eastAsiaTheme="minorHAnsi"/>
          <w:szCs w:val="22"/>
          <w:lang w:val="fr-FR" w:eastAsia="en-US"/>
        </w:rPr>
        <w:t>a</w:t>
      </w:r>
      <w:proofErr w:type="gramEnd"/>
      <w:r w:rsidR="008D558D" w:rsidRPr="006F32FC">
        <w:rPr>
          <w:rFonts w:eastAsiaTheme="minorHAnsi"/>
          <w:szCs w:val="22"/>
          <w:lang w:val="fr-FR" w:eastAsia="en-US"/>
        </w:rPr>
        <w:t xml:space="preserve">) </w:t>
      </w:r>
      <w:r w:rsidR="001D5CB1" w:rsidRPr="006F32FC">
        <w:rPr>
          <w:rFonts w:eastAsiaTheme="minorHAnsi"/>
          <w:szCs w:val="22"/>
          <w:lang w:val="fr-FR" w:eastAsia="en-US"/>
        </w:rPr>
        <w:tab/>
      </w:r>
      <w:r w:rsidR="00297E76" w:rsidRPr="006F32FC">
        <w:rPr>
          <w:rFonts w:eastAsiaTheme="minorHAnsi"/>
          <w:szCs w:val="22"/>
          <w:lang w:val="fr-FR" w:eastAsia="en-US"/>
        </w:rPr>
        <w:t>L</w:t>
      </w:r>
      <w:r w:rsidR="00E239EA" w:rsidRPr="006F32FC">
        <w:rPr>
          <w:rFonts w:eastAsiaTheme="minorHAnsi"/>
          <w:szCs w:val="22"/>
          <w:lang w:val="fr-FR" w:eastAsia="en-US"/>
        </w:rPr>
        <w:t>’</w:t>
      </w:r>
      <w:r w:rsidR="00297E76" w:rsidRPr="006F32FC">
        <w:rPr>
          <w:rFonts w:eastAsiaTheme="minorHAnsi"/>
          <w:szCs w:val="22"/>
          <w:lang w:val="fr-FR" w:eastAsia="en-US"/>
        </w:rPr>
        <w:t>Union particulière possède un fonds de roulement constitué par un versement unique effectué par chaque pays de l</w:t>
      </w:r>
      <w:r w:rsidR="00E239EA" w:rsidRPr="006F32FC">
        <w:rPr>
          <w:rFonts w:eastAsiaTheme="minorHAnsi"/>
          <w:szCs w:val="22"/>
          <w:lang w:val="fr-FR" w:eastAsia="en-US"/>
        </w:rPr>
        <w:t>’</w:t>
      </w:r>
      <w:r w:rsidR="00297E76" w:rsidRPr="006F32FC">
        <w:rPr>
          <w:rFonts w:eastAsiaTheme="minorHAnsi"/>
          <w:szCs w:val="22"/>
          <w:lang w:val="fr-FR" w:eastAsia="en-US"/>
        </w:rPr>
        <w:t xml:space="preserve">Union particulière. </w:t>
      </w:r>
      <w:r w:rsidRPr="006F32FC">
        <w:rPr>
          <w:rFonts w:eastAsiaTheme="minorHAnsi"/>
          <w:szCs w:val="22"/>
          <w:lang w:val="fr-FR" w:eastAsia="en-US"/>
        </w:rPr>
        <w:t xml:space="preserve"> </w:t>
      </w:r>
      <w:r w:rsidR="00297E76" w:rsidRPr="006F32FC">
        <w:rPr>
          <w:rFonts w:eastAsiaTheme="minorHAnsi"/>
          <w:szCs w:val="22"/>
          <w:lang w:val="fr-FR" w:eastAsia="en-US"/>
        </w:rPr>
        <w:t>Si le fonds devient insuffisant, l</w:t>
      </w:r>
      <w:r w:rsidR="00E239EA" w:rsidRPr="006F32FC">
        <w:rPr>
          <w:rFonts w:eastAsiaTheme="minorHAnsi"/>
          <w:szCs w:val="22"/>
          <w:lang w:val="fr-FR" w:eastAsia="en-US"/>
        </w:rPr>
        <w:t>’</w:t>
      </w:r>
      <w:r w:rsidR="00297E76" w:rsidRPr="006F32FC">
        <w:rPr>
          <w:rFonts w:eastAsiaTheme="minorHAnsi"/>
          <w:szCs w:val="22"/>
          <w:lang w:val="fr-FR" w:eastAsia="en-US"/>
        </w:rPr>
        <w:t>Assemblée décide de son augmentation.</w:t>
      </w:r>
    </w:p>
    <w:p w:rsidR="008D558D" w:rsidRPr="006F32FC" w:rsidRDefault="008D558D" w:rsidP="007373E8">
      <w:pPr>
        <w:tabs>
          <w:tab w:val="left" w:pos="1134"/>
        </w:tabs>
        <w:ind w:left="567"/>
        <w:contextualSpacing/>
        <w:rPr>
          <w:rFonts w:eastAsiaTheme="minorHAnsi"/>
          <w:szCs w:val="22"/>
          <w:lang w:val="fr-FR" w:eastAsia="en-US"/>
        </w:rPr>
      </w:pPr>
    </w:p>
    <w:p w:rsidR="008D558D" w:rsidRPr="006F32FC" w:rsidRDefault="008D558D" w:rsidP="007373E8">
      <w:pPr>
        <w:tabs>
          <w:tab w:val="left" w:pos="1134"/>
        </w:tabs>
        <w:ind w:left="567"/>
        <w:contextualSpacing/>
        <w:rPr>
          <w:rFonts w:eastAsiaTheme="minorHAnsi"/>
          <w:szCs w:val="22"/>
          <w:lang w:val="fr-FR" w:eastAsia="en-US"/>
        </w:rPr>
      </w:pPr>
      <w:r w:rsidRPr="006F32FC">
        <w:rPr>
          <w:rFonts w:eastAsiaTheme="minorHAnsi"/>
          <w:szCs w:val="22"/>
          <w:lang w:val="fr-FR" w:eastAsia="en-US"/>
        </w:rPr>
        <w:t xml:space="preserve">b) </w:t>
      </w:r>
      <w:r w:rsidR="001D5CB1" w:rsidRPr="006F32FC">
        <w:rPr>
          <w:rFonts w:eastAsiaTheme="minorHAnsi"/>
          <w:szCs w:val="22"/>
          <w:lang w:val="fr-FR" w:eastAsia="en-US"/>
        </w:rPr>
        <w:tab/>
      </w:r>
      <w:r w:rsidR="00297E76" w:rsidRPr="006F32FC">
        <w:rPr>
          <w:rFonts w:eastAsiaTheme="minorHAnsi"/>
          <w:szCs w:val="22"/>
          <w:lang w:val="fr-FR" w:eastAsia="en-US"/>
        </w:rPr>
        <w:t>Le montant du versement initial de chaque pays au fonds précité ou de sa participation à l</w:t>
      </w:r>
      <w:r w:rsidR="00E239EA" w:rsidRPr="006F32FC">
        <w:rPr>
          <w:rFonts w:eastAsiaTheme="minorHAnsi"/>
          <w:szCs w:val="22"/>
          <w:lang w:val="fr-FR" w:eastAsia="en-US"/>
        </w:rPr>
        <w:t>’</w:t>
      </w:r>
      <w:r w:rsidR="00297E76" w:rsidRPr="006F32FC">
        <w:rPr>
          <w:rFonts w:eastAsiaTheme="minorHAnsi"/>
          <w:szCs w:val="22"/>
          <w:lang w:val="fr-FR" w:eastAsia="en-US"/>
        </w:rPr>
        <w:t>augmentation de celui</w:t>
      </w:r>
      <w:r w:rsidR="00872240" w:rsidRPr="006F32FC">
        <w:rPr>
          <w:rFonts w:eastAsiaTheme="minorHAnsi"/>
          <w:szCs w:val="22"/>
          <w:lang w:val="fr-FR" w:eastAsia="en-US"/>
        </w:rPr>
        <w:noBreakHyphen/>
      </w:r>
      <w:r w:rsidR="00297E76" w:rsidRPr="006F32FC">
        <w:rPr>
          <w:rFonts w:eastAsiaTheme="minorHAnsi"/>
          <w:szCs w:val="22"/>
          <w:lang w:val="fr-FR" w:eastAsia="en-US"/>
        </w:rPr>
        <w:t>ci est proportionnel à</w:t>
      </w:r>
      <w:r w:rsidR="00872240" w:rsidRPr="006F32FC">
        <w:rPr>
          <w:rFonts w:eastAsiaTheme="minorHAnsi"/>
          <w:szCs w:val="22"/>
          <w:lang w:val="fr-FR" w:eastAsia="en-US"/>
        </w:rPr>
        <w:t xml:space="preserve"> la contribution de ce pays, en </w:t>
      </w:r>
      <w:r w:rsidR="00297E76" w:rsidRPr="006F32FC">
        <w:rPr>
          <w:rFonts w:eastAsiaTheme="minorHAnsi"/>
          <w:szCs w:val="22"/>
          <w:lang w:val="fr-FR" w:eastAsia="en-US"/>
        </w:rPr>
        <w:t>tant que membre de l</w:t>
      </w:r>
      <w:r w:rsidR="00E239EA" w:rsidRPr="006F32FC">
        <w:rPr>
          <w:rFonts w:eastAsiaTheme="minorHAnsi"/>
          <w:szCs w:val="22"/>
          <w:lang w:val="fr-FR" w:eastAsia="en-US"/>
        </w:rPr>
        <w:t>’</w:t>
      </w:r>
      <w:r w:rsidR="00297E76" w:rsidRPr="006F32FC">
        <w:rPr>
          <w:rFonts w:eastAsiaTheme="minorHAnsi"/>
          <w:szCs w:val="22"/>
          <w:lang w:val="fr-FR" w:eastAsia="en-US"/>
        </w:rPr>
        <w:t>Union de Paris pour la protection de la propriété industrielle, au budget de ladite Union pour l</w:t>
      </w:r>
      <w:r w:rsidR="00E239EA" w:rsidRPr="006F32FC">
        <w:rPr>
          <w:rFonts w:eastAsiaTheme="minorHAnsi"/>
          <w:szCs w:val="22"/>
          <w:lang w:val="fr-FR" w:eastAsia="en-US"/>
        </w:rPr>
        <w:t>’</w:t>
      </w:r>
      <w:r w:rsidR="00297E76" w:rsidRPr="006F32FC">
        <w:rPr>
          <w:rFonts w:eastAsiaTheme="minorHAnsi"/>
          <w:szCs w:val="22"/>
          <w:lang w:val="fr-FR" w:eastAsia="en-US"/>
        </w:rPr>
        <w:t>année au cours de laquelle le fonds est constitué ou l</w:t>
      </w:r>
      <w:r w:rsidR="00E239EA" w:rsidRPr="006F32FC">
        <w:rPr>
          <w:rFonts w:eastAsiaTheme="minorHAnsi"/>
          <w:szCs w:val="22"/>
          <w:lang w:val="fr-FR" w:eastAsia="en-US"/>
        </w:rPr>
        <w:t>’</w:t>
      </w:r>
      <w:r w:rsidR="00297E76" w:rsidRPr="006F32FC">
        <w:rPr>
          <w:rFonts w:eastAsiaTheme="minorHAnsi"/>
          <w:szCs w:val="22"/>
          <w:lang w:val="fr-FR" w:eastAsia="en-US"/>
        </w:rPr>
        <w:t>augmentation décidée.</w:t>
      </w:r>
    </w:p>
    <w:p w:rsidR="008D558D" w:rsidRPr="006F32FC" w:rsidRDefault="008D558D" w:rsidP="007373E8">
      <w:pPr>
        <w:tabs>
          <w:tab w:val="left" w:pos="1134"/>
        </w:tabs>
        <w:ind w:left="567"/>
        <w:contextualSpacing/>
        <w:rPr>
          <w:rFonts w:eastAsiaTheme="minorHAnsi"/>
          <w:szCs w:val="22"/>
          <w:lang w:val="fr-FR" w:eastAsia="en-US"/>
        </w:rPr>
      </w:pPr>
    </w:p>
    <w:p w:rsidR="008D558D" w:rsidRPr="006F32FC" w:rsidRDefault="008D558D" w:rsidP="007373E8">
      <w:pPr>
        <w:tabs>
          <w:tab w:val="left" w:pos="1134"/>
        </w:tabs>
        <w:ind w:left="567"/>
        <w:contextualSpacing/>
        <w:rPr>
          <w:rFonts w:eastAsiaTheme="minorHAnsi"/>
          <w:szCs w:val="22"/>
          <w:lang w:val="fr-FR" w:eastAsia="en-US"/>
        </w:rPr>
      </w:pPr>
      <w:r w:rsidRPr="006F32FC">
        <w:rPr>
          <w:rFonts w:eastAsiaTheme="minorHAnsi"/>
          <w:szCs w:val="22"/>
          <w:lang w:val="fr-FR" w:eastAsia="en-US"/>
        </w:rPr>
        <w:t xml:space="preserve">c) </w:t>
      </w:r>
      <w:r w:rsidR="001D5CB1" w:rsidRPr="006F32FC">
        <w:rPr>
          <w:rFonts w:eastAsiaTheme="minorHAnsi"/>
          <w:szCs w:val="22"/>
          <w:lang w:val="fr-FR" w:eastAsia="en-US"/>
        </w:rPr>
        <w:tab/>
      </w:r>
      <w:r w:rsidR="00297E76" w:rsidRPr="006F32FC">
        <w:rPr>
          <w:rFonts w:eastAsiaTheme="minorHAnsi"/>
          <w:szCs w:val="22"/>
          <w:lang w:val="fr-FR" w:eastAsia="en-US"/>
        </w:rPr>
        <w:t>La proportion et les modalités de versement sont arrêtées par l</w:t>
      </w:r>
      <w:r w:rsidR="00E239EA" w:rsidRPr="006F32FC">
        <w:rPr>
          <w:rFonts w:eastAsiaTheme="minorHAnsi"/>
          <w:szCs w:val="22"/>
          <w:lang w:val="fr-FR" w:eastAsia="en-US"/>
        </w:rPr>
        <w:t>’</w:t>
      </w:r>
      <w:r w:rsidR="00297E76" w:rsidRPr="006F32FC">
        <w:rPr>
          <w:rFonts w:eastAsiaTheme="minorHAnsi"/>
          <w:szCs w:val="22"/>
          <w:lang w:val="fr-FR" w:eastAsia="en-US"/>
        </w:rPr>
        <w:t>Assemblée, sur proposition du Directeur général et après avis du Comité de coordination de l</w:t>
      </w:r>
      <w:r w:rsidR="00E239EA" w:rsidRPr="006F32FC">
        <w:rPr>
          <w:rFonts w:eastAsiaTheme="minorHAnsi"/>
          <w:szCs w:val="22"/>
          <w:lang w:val="fr-FR" w:eastAsia="en-US"/>
        </w:rPr>
        <w:t>’</w:t>
      </w:r>
      <w:r w:rsidR="00297E76" w:rsidRPr="006F32FC">
        <w:rPr>
          <w:rFonts w:eastAsiaTheme="minorHAnsi"/>
          <w:szCs w:val="22"/>
          <w:lang w:val="fr-FR" w:eastAsia="en-US"/>
        </w:rPr>
        <w:t>Organisation.</w:t>
      </w:r>
      <w:r w:rsidR="007144C5" w:rsidRPr="006F32FC">
        <w:rPr>
          <w:rFonts w:eastAsiaTheme="minorHAnsi"/>
          <w:szCs w:val="22"/>
          <w:lang w:val="fr-FR" w:eastAsia="en-US"/>
        </w:rPr>
        <w:t>”</w:t>
      </w:r>
    </w:p>
    <w:p w:rsidR="008D558D" w:rsidRPr="006F32FC" w:rsidRDefault="008D558D" w:rsidP="007373E8">
      <w:pPr>
        <w:tabs>
          <w:tab w:val="left" w:pos="709"/>
        </w:tabs>
        <w:ind w:left="709"/>
        <w:contextualSpacing/>
        <w:rPr>
          <w:rFonts w:eastAsiaTheme="minorHAnsi"/>
          <w:szCs w:val="22"/>
          <w:lang w:val="fr-FR" w:eastAsia="en-US"/>
        </w:rPr>
      </w:pPr>
    </w:p>
    <w:p w:rsidR="00297E76" w:rsidRPr="006F32FC" w:rsidRDefault="00DF1A6E" w:rsidP="007373E8">
      <w:pPr>
        <w:pStyle w:val="ONUMFS"/>
        <w:rPr>
          <w:lang w:val="fr-FR"/>
        </w:rPr>
      </w:pPr>
      <w:r w:rsidRPr="006F32FC">
        <w:rPr>
          <w:lang w:val="fr-FR"/>
        </w:rPr>
        <w:t>Le document LI/A/32/4, annexé au présent document, expose l</w:t>
      </w:r>
      <w:r w:rsidR="00E34B5F" w:rsidRPr="006F32FC">
        <w:rPr>
          <w:lang w:val="fr-FR"/>
        </w:rPr>
        <w:t xml:space="preserve">es modalités </w:t>
      </w:r>
      <w:r w:rsidR="006F108C">
        <w:rPr>
          <w:lang w:val="fr-FR"/>
        </w:rPr>
        <w:t>applicables au</w:t>
      </w:r>
      <w:r w:rsidR="00E34B5F" w:rsidRPr="006F32FC">
        <w:rPr>
          <w:lang w:val="fr-FR"/>
        </w:rPr>
        <w:t xml:space="preserve"> fonds de roulement</w:t>
      </w:r>
      <w:r w:rsidR="006F108C">
        <w:rPr>
          <w:lang w:val="fr-FR"/>
        </w:rPr>
        <w:t xml:space="preserve"> proposé</w:t>
      </w:r>
      <w:r w:rsidR="00E34B5F" w:rsidRPr="006F32FC">
        <w:rPr>
          <w:lang w:val="fr-FR"/>
        </w:rPr>
        <w:t xml:space="preserve"> pour l</w:t>
      </w:r>
      <w:r w:rsidR="00E239EA" w:rsidRPr="006F32FC">
        <w:rPr>
          <w:lang w:val="fr-FR"/>
        </w:rPr>
        <w:t>’</w:t>
      </w:r>
      <w:r w:rsidR="00E34B5F" w:rsidRPr="006F32FC">
        <w:rPr>
          <w:lang w:val="fr-FR"/>
        </w:rPr>
        <w:t xml:space="preserve">Union de Lisbonne </w:t>
      </w:r>
      <w:r w:rsidRPr="006F32FC">
        <w:rPr>
          <w:lang w:val="fr-FR"/>
        </w:rPr>
        <w:t>et contient</w:t>
      </w:r>
      <w:r w:rsidR="00E34B5F" w:rsidRPr="006F32FC">
        <w:rPr>
          <w:lang w:val="fr-FR"/>
        </w:rPr>
        <w:t xml:space="preserve"> des informations gén</w:t>
      </w:r>
      <w:r w:rsidRPr="006F32FC">
        <w:rPr>
          <w:lang w:val="fr-FR"/>
        </w:rPr>
        <w:t xml:space="preserve">érales </w:t>
      </w:r>
      <w:r w:rsidR="006F108C">
        <w:rPr>
          <w:lang w:val="fr-FR"/>
        </w:rPr>
        <w:t>à cet égard</w:t>
      </w:r>
      <w:r w:rsidRPr="006F32FC">
        <w:rPr>
          <w:lang w:val="fr-FR"/>
        </w:rPr>
        <w:t>.</w:t>
      </w:r>
    </w:p>
    <w:p w:rsidR="00DD4335" w:rsidRPr="006F32FC" w:rsidRDefault="00DD4335" w:rsidP="007373E8">
      <w:pPr>
        <w:rPr>
          <w:lang w:val="fr-FR"/>
        </w:rPr>
      </w:pPr>
    </w:p>
    <w:p w:rsidR="00DF1A6E" w:rsidRPr="006F32FC" w:rsidRDefault="00B21E47" w:rsidP="007373E8">
      <w:pPr>
        <w:pStyle w:val="ONUMFS"/>
        <w:spacing w:after="0"/>
        <w:ind w:left="5534"/>
        <w:rPr>
          <w:i/>
          <w:lang w:val="fr-FR"/>
        </w:rPr>
      </w:pPr>
      <w:r w:rsidRPr="006F32FC">
        <w:rPr>
          <w:i/>
          <w:lang w:val="fr-FR"/>
        </w:rPr>
        <w:lastRenderedPageBreak/>
        <w:t>Conformément à l</w:t>
      </w:r>
      <w:r w:rsidR="00E239EA" w:rsidRPr="006F32FC">
        <w:rPr>
          <w:i/>
          <w:lang w:val="fr-FR"/>
        </w:rPr>
        <w:t>’</w:t>
      </w:r>
      <w:r w:rsidRPr="006F32FC">
        <w:rPr>
          <w:i/>
          <w:lang w:val="fr-FR"/>
        </w:rPr>
        <w:t>article</w:t>
      </w:r>
      <w:r w:rsidR="007144C5" w:rsidRPr="006F32FC">
        <w:rPr>
          <w:i/>
          <w:lang w:val="fr-FR"/>
        </w:rPr>
        <w:t> </w:t>
      </w:r>
      <w:r w:rsidRPr="006F32FC">
        <w:rPr>
          <w:i/>
          <w:lang w:val="fr-FR"/>
        </w:rPr>
        <w:t>11.7)c) de l</w:t>
      </w:r>
      <w:r w:rsidR="00E239EA" w:rsidRPr="006F32FC">
        <w:rPr>
          <w:i/>
          <w:lang w:val="fr-FR"/>
        </w:rPr>
        <w:t>’</w:t>
      </w:r>
      <w:r w:rsidRPr="006F32FC">
        <w:rPr>
          <w:i/>
          <w:lang w:val="fr-FR"/>
        </w:rPr>
        <w:t>Arrangement de Lisbonne, le Comité de coordination est invité à fournir un avis à l</w:t>
      </w:r>
      <w:r w:rsidR="00E239EA" w:rsidRPr="006F32FC">
        <w:rPr>
          <w:i/>
          <w:lang w:val="fr-FR"/>
        </w:rPr>
        <w:t>’</w:t>
      </w:r>
      <w:r w:rsidRPr="006F32FC">
        <w:rPr>
          <w:i/>
          <w:lang w:val="fr-FR"/>
        </w:rPr>
        <w:t>Assemblée de l</w:t>
      </w:r>
      <w:r w:rsidR="00E239EA" w:rsidRPr="006F32FC">
        <w:rPr>
          <w:i/>
          <w:lang w:val="fr-FR"/>
        </w:rPr>
        <w:t>’</w:t>
      </w:r>
      <w:r w:rsidRPr="006F32FC">
        <w:rPr>
          <w:i/>
          <w:lang w:val="fr-FR"/>
        </w:rPr>
        <w:t xml:space="preserve">Union de Lisbonne </w:t>
      </w:r>
      <w:r w:rsidR="006F108C">
        <w:rPr>
          <w:i/>
          <w:lang w:val="fr-FR"/>
        </w:rPr>
        <w:t>concernant</w:t>
      </w:r>
      <w:r w:rsidRPr="006F32FC">
        <w:rPr>
          <w:i/>
          <w:lang w:val="fr-FR"/>
        </w:rPr>
        <w:t xml:space="preserve"> la proposition visant à créer un fonds de roulement pour l</w:t>
      </w:r>
      <w:r w:rsidR="00E239EA" w:rsidRPr="006F32FC">
        <w:rPr>
          <w:i/>
          <w:lang w:val="fr-FR"/>
        </w:rPr>
        <w:t>’</w:t>
      </w:r>
      <w:r w:rsidRPr="006F32FC">
        <w:rPr>
          <w:i/>
          <w:lang w:val="fr-FR"/>
        </w:rPr>
        <w:t>Union de Lisbonne</w:t>
      </w:r>
      <w:r w:rsidR="006F108C">
        <w:rPr>
          <w:i/>
          <w:lang w:val="fr-FR"/>
        </w:rPr>
        <w:t xml:space="preserve"> qui </w:t>
      </w:r>
      <w:r w:rsidRPr="006F32FC">
        <w:rPr>
          <w:i/>
          <w:lang w:val="fr-FR"/>
        </w:rPr>
        <w:t>figur</w:t>
      </w:r>
      <w:r w:rsidR="006F108C">
        <w:rPr>
          <w:i/>
          <w:lang w:val="fr-FR"/>
        </w:rPr>
        <w:t>e</w:t>
      </w:r>
      <w:r w:rsidRPr="006F32FC">
        <w:rPr>
          <w:i/>
          <w:lang w:val="fr-FR"/>
        </w:rPr>
        <w:t xml:space="preserve"> dans le document LI/A/32/4.</w:t>
      </w:r>
    </w:p>
    <w:p w:rsidR="006E47D3" w:rsidRPr="006F32FC" w:rsidRDefault="006E47D3" w:rsidP="007373E8">
      <w:pPr>
        <w:ind w:left="5534"/>
        <w:rPr>
          <w:i/>
          <w:lang w:val="fr-FR"/>
        </w:rPr>
      </w:pPr>
    </w:p>
    <w:p w:rsidR="004505F2" w:rsidRPr="006F32FC" w:rsidRDefault="004505F2" w:rsidP="007373E8">
      <w:pPr>
        <w:ind w:left="5534"/>
        <w:rPr>
          <w:i/>
          <w:lang w:val="fr-FR"/>
        </w:rPr>
      </w:pPr>
    </w:p>
    <w:p w:rsidR="006E47D3" w:rsidRPr="006F32FC" w:rsidRDefault="006E47D3" w:rsidP="007373E8">
      <w:pPr>
        <w:ind w:left="5534"/>
        <w:rPr>
          <w:i/>
          <w:lang w:val="fr-FR"/>
        </w:rPr>
      </w:pPr>
    </w:p>
    <w:p w:rsidR="000266F6" w:rsidRPr="006F32FC" w:rsidRDefault="006E47D3" w:rsidP="007373E8">
      <w:pPr>
        <w:ind w:left="5534"/>
        <w:rPr>
          <w:lang w:val="fr-FR"/>
        </w:rPr>
      </w:pPr>
      <w:r w:rsidRPr="006F32FC">
        <w:rPr>
          <w:lang w:val="fr-FR"/>
        </w:rPr>
        <w:t>[</w:t>
      </w:r>
      <w:r w:rsidR="007A1074" w:rsidRPr="006F32FC">
        <w:rPr>
          <w:lang w:val="fr-FR"/>
        </w:rPr>
        <w:t>Le d</w:t>
      </w:r>
      <w:r w:rsidRPr="006F32FC">
        <w:rPr>
          <w:lang w:val="fr-FR"/>
        </w:rPr>
        <w:t xml:space="preserve">ocument LI/A/32/4 </w:t>
      </w:r>
      <w:r w:rsidR="007A1074" w:rsidRPr="006F32FC">
        <w:rPr>
          <w:lang w:val="fr-FR"/>
        </w:rPr>
        <w:t>suit</w:t>
      </w:r>
      <w:r w:rsidRPr="006F32FC">
        <w:rPr>
          <w:lang w:val="fr-FR"/>
        </w:rPr>
        <w:t>]</w:t>
      </w:r>
    </w:p>
    <w:p w:rsidR="00BA5BF4" w:rsidRPr="006F32FC" w:rsidRDefault="00BA5BF4" w:rsidP="007373E8">
      <w:pPr>
        <w:ind w:left="5533"/>
        <w:rPr>
          <w:lang w:val="fr-FR"/>
        </w:rPr>
      </w:pPr>
    </w:p>
    <w:p w:rsidR="00BA5BF4" w:rsidRPr="006F32FC" w:rsidRDefault="00BA5BF4" w:rsidP="007373E8">
      <w:pPr>
        <w:ind w:left="5533"/>
        <w:rPr>
          <w:lang w:val="fr-FR"/>
        </w:rPr>
        <w:sectPr w:rsidR="00BA5BF4" w:rsidRPr="006F32FC" w:rsidSect="001B1617">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C07FA" w:rsidRPr="00166559" w:rsidTr="00A31BF3">
        <w:tc>
          <w:tcPr>
            <w:tcW w:w="4513" w:type="dxa"/>
            <w:tcBorders>
              <w:bottom w:val="single" w:sz="4" w:space="0" w:color="auto"/>
            </w:tcBorders>
            <w:tcMar>
              <w:bottom w:w="170" w:type="dxa"/>
            </w:tcMar>
          </w:tcPr>
          <w:p w:rsidR="009C07FA" w:rsidRPr="00166559" w:rsidRDefault="009C07FA" w:rsidP="00A31BF3">
            <w:pPr>
              <w:rPr>
                <w:lang w:val="fr-FR"/>
              </w:rPr>
            </w:pPr>
          </w:p>
        </w:tc>
        <w:tc>
          <w:tcPr>
            <w:tcW w:w="4337" w:type="dxa"/>
            <w:tcBorders>
              <w:bottom w:val="single" w:sz="4" w:space="0" w:color="auto"/>
            </w:tcBorders>
            <w:tcMar>
              <w:left w:w="0" w:type="dxa"/>
              <w:right w:w="0" w:type="dxa"/>
            </w:tcMar>
          </w:tcPr>
          <w:p w:rsidR="009C07FA" w:rsidRPr="00166559" w:rsidRDefault="009C07FA" w:rsidP="00A31BF3">
            <w:pPr>
              <w:rPr>
                <w:lang w:val="fr-FR"/>
              </w:rPr>
            </w:pPr>
            <w:r w:rsidRPr="00166559">
              <w:rPr>
                <w:noProof/>
                <w:lang w:eastAsia="en-US"/>
              </w:rPr>
              <w:drawing>
                <wp:inline distT="0" distB="0" distL="0" distR="0" wp14:anchorId="15CD64B6" wp14:editId="039D4CFF">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C07FA" w:rsidRPr="00166559" w:rsidRDefault="009C07FA" w:rsidP="00A31BF3">
            <w:pPr>
              <w:jc w:val="right"/>
              <w:rPr>
                <w:lang w:val="fr-FR"/>
              </w:rPr>
            </w:pPr>
            <w:r w:rsidRPr="00166559">
              <w:rPr>
                <w:b/>
                <w:sz w:val="40"/>
                <w:szCs w:val="40"/>
                <w:lang w:val="fr-FR"/>
              </w:rPr>
              <w:t>F</w:t>
            </w:r>
          </w:p>
        </w:tc>
      </w:tr>
      <w:tr w:rsidR="009C07FA" w:rsidRPr="00166559" w:rsidTr="00A31BF3">
        <w:trPr>
          <w:trHeight w:hRule="exact" w:val="340"/>
        </w:trPr>
        <w:tc>
          <w:tcPr>
            <w:tcW w:w="9356" w:type="dxa"/>
            <w:gridSpan w:val="3"/>
            <w:tcBorders>
              <w:top w:val="single" w:sz="4" w:space="0" w:color="auto"/>
            </w:tcBorders>
            <w:tcMar>
              <w:top w:w="170" w:type="dxa"/>
              <w:left w:w="0" w:type="dxa"/>
              <w:right w:w="0" w:type="dxa"/>
            </w:tcMar>
            <w:vAlign w:val="bottom"/>
          </w:tcPr>
          <w:p w:rsidR="009C07FA" w:rsidRPr="00166559" w:rsidRDefault="009C07FA" w:rsidP="00A31BF3">
            <w:pPr>
              <w:jc w:val="right"/>
              <w:rPr>
                <w:rFonts w:ascii="Arial Black" w:hAnsi="Arial Black"/>
                <w:caps/>
                <w:sz w:val="15"/>
                <w:lang w:val="fr-FR"/>
              </w:rPr>
            </w:pPr>
            <w:r w:rsidRPr="00166559">
              <w:rPr>
                <w:rFonts w:ascii="Arial Black" w:hAnsi="Arial Black"/>
                <w:caps/>
                <w:sz w:val="15"/>
                <w:lang w:val="fr-FR"/>
              </w:rPr>
              <w:t>LI/A/32/4</w:t>
            </w:r>
          </w:p>
        </w:tc>
      </w:tr>
      <w:tr w:rsidR="009C07FA" w:rsidRPr="00166559" w:rsidTr="00A31BF3">
        <w:trPr>
          <w:trHeight w:hRule="exact" w:val="170"/>
        </w:trPr>
        <w:tc>
          <w:tcPr>
            <w:tcW w:w="9356" w:type="dxa"/>
            <w:gridSpan w:val="3"/>
            <w:noWrap/>
            <w:tcMar>
              <w:left w:w="0" w:type="dxa"/>
              <w:right w:w="0" w:type="dxa"/>
            </w:tcMar>
            <w:vAlign w:val="bottom"/>
          </w:tcPr>
          <w:p w:rsidR="009C07FA" w:rsidRPr="00166559" w:rsidRDefault="009C07FA" w:rsidP="00A31BF3">
            <w:pPr>
              <w:jc w:val="right"/>
              <w:rPr>
                <w:rFonts w:ascii="Arial Black" w:hAnsi="Arial Black"/>
                <w:caps/>
                <w:sz w:val="15"/>
                <w:lang w:val="fr-FR"/>
              </w:rPr>
            </w:pPr>
            <w:r w:rsidRPr="00166559">
              <w:rPr>
                <w:rFonts w:ascii="Arial Black" w:hAnsi="Arial Black"/>
                <w:caps/>
                <w:sz w:val="15"/>
                <w:lang w:val="fr-FR"/>
              </w:rPr>
              <w:t xml:space="preserve">ORIGINAL : ANGLAIS </w:t>
            </w:r>
          </w:p>
        </w:tc>
      </w:tr>
      <w:tr w:rsidR="009C07FA" w:rsidRPr="00166559" w:rsidTr="00A31BF3">
        <w:trPr>
          <w:trHeight w:hRule="exact" w:val="198"/>
        </w:trPr>
        <w:tc>
          <w:tcPr>
            <w:tcW w:w="9356" w:type="dxa"/>
            <w:gridSpan w:val="3"/>
            <w:tcMar>
              <w:left w:w="0" w:type="dxa"/>
              <w:right w:w="0" w:type="dxa"/>
            </w:tcMar>
            <w:vAlign w:val="bottom"/>
          </w:tcPr>
          <w:p w:rsidR="009C07FA" w:rsidRPr="00166559" w:rsidRDefault="009C07FA" w:rsidP="00A31BF3">
            <w:pPr>
              <w:jc w:val="right"/>
              <w:rPr>
                <w:rFonts w:ascii="Arial Black" w:hAnsi="Arial Black"/>
                <w:caps/>
                <w:sz w:val="15"/>
                <w:lang w:val="fr-FR"/>
              </w:rPr>
            </w:pPr>
            <w:r w:rsidRPr="00166559">
              <w:rPr>
                <w:rFonts w:ascii="Arial Black" w:hAnsi="Arial Black"/>
                <w:caps/>
                <w:sz w:val="15"/>
                <w:lang w:val="fr-FR"/>
              </w:rPr>
              <w:t>DATE : 30 SEPTEMBRE 2015</w:t>
            </w:r>
          </w:p>
        </w:tc>
      </w:tr>
    </w:tbl>
    <w:p w:rsidR="009C07FA" w:rsidRPr="00166559" w:rsidRDefault="009C07FA" w:rsidP="009C07FA">
      <w:pPr>
        <w:rPr>
          <w:lang w:val="fr-FR"/>
        </w:rPr>
      </w:pPr>
    </w:p>
    <w:p w:rsidR="009C07FA" w:rsidRPr="00166559" w:rsidRDefault="009C07FA" w:rsidP="009C07FA">
      <w:pPr>
        <w:rPr>
          <w:lang w:val="fr-FR"/>
        </w:rPr>
      </w:pPr>
    </w:p>
    <w:p w:rsidR="009C07FA" w:rsidRPr="00166559" w:rsidRDefault="009C07FA" w:rsidP="009C07FA">
      <w:pPr>
        <w:rPr>
          <w:lang w:val="fr-FR"/>
        </w:rPr>
      </w:pPr>
    </w:p>
    <w:p w:rsidR="009C07FA" w:rsidRPr="00166559" w:rsidRDefault="009C07FA" w:rsidP="009C07FA">
      <w:pPr>
        <w:rPr>
          <w:lang w:val="fr-FR"/>
        </w:rPr>
      </w:pPr>
    </w:p>
    <w:p w:rsidR="009C07FA" w:rsidRPr="00166559" w:rsidRDefault="009C07FA" w:rsidP="009C07FA">
      <w:pPr>
        <w:rPr>
          <w:lang w:val="fr-FR"/>
        </w:rPr>
      </w:pPr>
    </w:p>
    <w:p w:rsidR="009C07FA" w:rsidRPr="00166559" w:rsidRDefault="009C07FA" w:rsidP="009C07FA">
      <w:pPr>
        <w:rPr>
          <w:b/>
          <w:sz w:val="28"/>
          <w:szCs w:val="28"/>
          <w:lang w:val="fr-FR"/>
        </w:rPr>
      </w:pPr>
      <w:r w:rsidRPr="00166559">
        <w:rPr>
          <w:b/>
          <w:sz w:val="28"/>
          <w:szCs w:val="28"/>
          <w:lang w:val="fr-FR"/>
        </w:rPr>
        <w:t>Union particulière pour la protection des appellations d’origine et leur enregistrement international (Union de Lisbonne)</w:t>
      </w:r>
    </w:p>
    <w:p w:rsidR="009C07FA" w:rsidRPr="00166559" w:rsidRDefault="009C07FA" w:rsidP="009C07FA">
      <w:pPr>
        <w:rPr>
          <w:lang w:val="fr-FR"/>
        </w:rPr>
      </w:pPr>
    </w:p>
    <w:p w:rsidR="009C07FA" w:rsidRPr="00166559" w:rsidRDefault="009C07FA" w:rsidP="009C07FA">
      <w:pPr>
        <w:rPr>
          <w:lang w:val="fr-FR"/>
        </w:rPr>
      </w:pPr>
    </w:p>
    <w:p w:rsidR="009C07FA" w:rsidRPr="00166559" w:rsidRDefault="009C07FA" w:rsidP="009C07FA">
      <w:pPr>
        <w:rPr>
          <w:b/>
          <w:sz w:val="28"/>
          <w:szCs w:val="28"/>
          <w:lang w:val="fr-FR"/>
        </w:rPr>
      </w:pPr>
      <w:r w:rsidRPr="00166559">
        <w:rPr>
          <w:b/>
          <w:sz w:val="28"/>
          <w:szCs w:val="28"/>
          <w:lang w:val="fr-FR"/>
        </w:rPr>
        <w:t>Assemblée</w:t>
      </w:r>
    </w:p>
    <w:p w:rsidR="009C07FA" w:rsidRPr="00166559" w:rsidRDefault="009C07FA" w:rsidP="009C07FA">
      <w:pPr>
        <w:rPr>
          <w:lang w:val="fr-FR"/>
        </w:rPr>
      </w:pPr>
    </w:p>
    <w:p w:rsidR="009C07FA" w:rsidRPr="00166559" w:rsidRDefault="009C07FA" w:rsidP="009C07FA">
      <w:pPr>
        <w:rPr>
          <w:lang w:val="fr-FR"/>
        </w:rPr>
      </w:pPr>
    </w:p>
    <w:p w:rsidR="009C07FA" w:rsidRPr="00166559" w:rsidRDefault="009C07FA" w:rsidP="009C07FA">
      <w:pPr>
        <w:rPr>
          <w:b/>
          <w:sz w:val="24"/>
          <w:szCs w:val="24"/>
          <w:lang w:val="fr-FR"/>
        </w:rPr>
      </w:pPr>
      <w:r w:rsidRPr="00166559">
        <w:rPr>
          <w:b/>
          <w:sz w:val="24"/>
          <w:szCs w:val="24"/>
          <w:lang w:val="fr-FR"/>
        </w:rPr>
        <w:t>Trente</w:t>
      </w:r>
      <w:r w:rsidRPr="00166559">
        <w:rPr>
          <w:b/>
          <w:sz w:val="24"/>
          <w:szCs w:val="24"/>
          <w:lang w:val="fr-FR"/>
        </w:rPr>
        <w:noBreakHyphen/>
        <w:t>deuxième session (21</w:t>
      </w:r>
      <w:r w:rsidRPr="00166559">
        <w:rPr>
          <w:b/>
          <w:sz w:val="24"/>
          <w:szCs w:val="24"/>
          <w:vertAlign w:val="superscript"/>
          <w:lang w:val="fr-FR"/>
        </w:rPr>
        <w:t>e</w:t>
      </w:r>
      <w:r w:rsidRPr="00166559">
        <w:rPr>
          <w:b/>
          <w:sz w:val="24"/>
          <w:szCs w:val="24"/>
          <w:lang w:val="fr-FR"/>
        </w:rPr>
        <w:t xml:space="preserve"> session ordinaire)</w:t>
      </w:r>
    </w:p>
    <w:p w:rsidR="009C07FA" w:rsidRPr="00166559" w:rsidRDefault="009C07FA" w:rsidP="009C07FA">
      <w:pPr>
        <w:rPr>
          <w:b/>
          <w:sz w:val="24"/>
          <w:szCs w:val="24"/>
          <w:lang w:val="fr-FR"/>
        </w:rPr>
      </w:pPr>
      <w:r w:rsidRPr="00166559">
        <w:rPr>
          <w:b/>
          <w:sz w:val="24"/>
          <w:szCs w:val="24"/>
          <w:lang w:val="fr-FR"/>
        </w:rPr>
        <w:t>Genève, 5 – 14 octobre 2015</w:t>
      </w:r>
    </w:p>
    <w:p w:rsidR="009C07FA" w:rsidRPr="00166559" w:rsidRDefault="009C07FA" w:rsidP="009C07FA">
      <w:pPr>
        <w:rPr>
          <w:lang w:val="fr-FR"/>
        </w:rPr>
      </w:pPr>
    </w:p>
    <w:p w:rsidR="009C07FA" w:rsidRPr="00166559" w:rsidRDefault="009C07FA" w:rsidP="009C07FA">
      <w:pPr>
        <w:rPr>
          <w:lang w:val="fr-FR"/>
        </w:rPr>
      </w:pPr>
    </w:p>
    <w:p w:rsidR="009C07FA" w:rsidRPr="00166559" w:rsidRDefault="009C07FA" w:rsidP="009C07FA">
      <w:pPr>
        <w:rPr>
          <w:lang w:val="fr-FR"/>
        </w:rPr>
      </w:pPr>
    </w:p>
    <w:p w:rsidR="009C07FA" w:rsidRPr="00166559" w:rsidRDefault="009C07FA" w:rsidP="009C07FA">
      <w:pPr>
        <w:rPr>
          <w:caps/>
          <w:sz w:val="24"/>
          <w:lang w:val="fr-FR"/>
        </w:rPr>
      </w:pPr>
      <w:r w:rsidRPr="00166559">
        <w:rPr>
          <w:caps/>
          <w:sz w:val="24"/>
          <w:lang w:val="fr-FR"/>
        </w:rPr>
        <w:t>proposition d’établissement d’un fonds de roulement pour l’Union de Lisbonne</w:t>
      </w:r>
    </w:p>
    <w:p w:rsidR="009C07FA" w:rsidRPr="00166559" w:rsidRDefault="009C07FA" w:rsidP="009C07FA">
      <w:pPr>
        <w:rPr>
          <w:lang w:val="fr-FR"/>
        </w:rPr>
      </w:pPr>
    </w:p>
    <w:p w:rsidR="009C07FA" w:rsidRPr="00166559" w:rsidRDefault="009C07FA" w:rsidP="009C07FA">
      <w:pPr>
        <w:rPr>
          <w:i/>
          <w:lang w:val="fr-FR"/>
        </w:rPr>
      </w:pPr>
      <w:r w:rsidRPr="00166559">
        <w:rPr>
          <w:i/>
          <w:lang w:val="fr-FR"/>
        </w:rPr>
        <w:t>Document établi par le Bureau international</w:t>
      </w:r>
    </w:p>
    <w:p w:rsidR="009C07FA" w:rsidRPr="00166559" w:rsidRDefault="009C07FA" w:rsidP="009C07FA">
      <w:pPr>
        <w:rPr>
          <w:lang w:val="fr-FR"/>
        </w:rPr>
      </w:pPr>
    </w:p>
    <w:p w:rsidR="009C07FA" w:rsidRPr="00166559" w:rsidRDefault="009C07FA" w:rsidP="009C07FA">
      <w:pPr>
        <w:rPr>
          <w:lang w:val="fr-FR"/>
        </w:rPr>
      </w:pPr>
    </w:p>
    <w:p w:rsidR="009C07FA" w:rsidRPr="00166559" w:rsidRDefault="009C07FA" w:rsidP="009C07FA">
      <w:pPr>
        <w:rPr>
          <w:lang w:val="fr-FR"/>
        </w:rPr>
      </w:pPr>
    </w:p>
    <w:p w:rsidR="009C07FA" w:rsidRPr="00166559" w:rsidRDefault="009C07FA" w:rsidP="009C07FA">
      <w:pPr>
        <w:rPr>
          <w:lang w:val="fr-FR"/>
        </w:rPr>
      </w:pPr>
    </w:p>
    <w:p w:rsidR="009C07FA" w:rsidRPr="00166559" w:rsidRDefault="009C07FA" w:rsidP="009C07FA">
      <w:pPr>
        <w:pStyle w:val="Heading1"/>
        <w:rPr>
          <w:lang w:val="fr-FR"/>
        </w:rPr>
      </w:pPr>
      <w:r w:rsidRPr="00166559">
        <w:rPr>
          <w:lang w:val="fr-FR"/>
        </w:rPr>
        <w:t>Introduction</w:t>
      </w:r>
    </w:p>
    <w:p w:rsidR="009C07FA" w:rsidRPr="00166559" w:rsidRDefault="009C07FA" w:rsidP="009C07FA">
      <w:pPr>
        <w:rPr>
          <w:lang w:val="fr-FR"/>
        </w:rPr>
      </w:pPr>
    </w:p>
    <w:p w:rsidR="009C07FA" w:rsidRPr="009C07FA" w:rsidRDefault="009C07FA" w:rsidP="009C07FA">
      <w:pPr>
        <w:pStyle w:val="ONUMFS"/>
        <w:numPr>
          <w:ilvl w:val="0"/>
          <w:numId w:val="8"/>
        </w:numPr>
        <w:rPr>
          <w:lang w:val="fr-FR"/>
        </w:rPr>
      </w:pPr>
      <w:r w:rsidRPr="009C07FA">
        <w:rPr>
          <w:lang w:val="fr-FR"/>
        </w:rPr>
        <w:t>À la vingt</w:t>
      </w:r>
      <w:r w:rsidRPr="009C07FA">
        <w:rPr>
          <w:lang w:val="fr-FR"/>
        </w:rPr>
        <w:noBreakHyphen/>
        <w:t>quatrième session du Comité du programme et budget (PBC) de l’OMPI et après cette session, les membres de l’Union de Lisbonne ont demandé des informations supplémentaires en ce qui concerne l’établissement d’un fonds de roulement pour l’Union de Lisbonne.</w:t>
      </w:r>
    </w:p>
    <w:p w:rsidR="009C07FA" w:rsidRPr="00166559" w:rsidRDefault="009C07FA" w:rsidP="009C07FA">
      <w:pPr>
        <w:pStyle w:val="ONUMFS"/>
        <w:rPr>
          <w:szCs w:val="22"/>
          <w:lang w:val="fr-FR"/>
        </w:rPr>
      </w:pPr>
      <w:r w:rsidRPr="00166559">
        <w:rPr>
          <w:lang w:val="fr-FR"/>
        </w:rPr>
        <w:t>L’Arrangement de Lisbonne concernant la protection des appellations d’origine et leur enregistrement international (modifié le 28 septembre 1979) (ci</w:t>
      </w:r>
      <w:r w:rsidRPr="00166559">
        <w:rPr>
          <w:lang w:val="fr-FR"/>
        </w:rPr>
        <w:noBreakHyphen/>
        <w:t xml:space="preserve">après dénommé “Arrangement de Lisbonne”) contient, dans son article 11, les dispositions applicables au financement de l’Union de Lisbonne.  Conformément à l’article 11, “les taxes d’enregistrement international perçues conformément à l’article 7.2) [de l’Arrangement de Lisbonne] et les taxes et sommes dues pour les autres services rendus par le Bureau international au titre de l’Union particulière” sont les principaux moyens de financement de l’union.  Jusqu’à présent, ces taxes se sont avérées insuffisantes pour couvrir les dépenses de l’union qui, en 2014, s’élevaient à 792 000 francs suisses au total.  Compte tenu de la “Proposition de mise à jour du barème des </w:t>
      </w:r>
      <w:r w:rsidRPr="00166559">
        <w:rPr>
          <w:szCs w:val="22"/>
          <w:lang w:val="fr-FR"/>
        </w:rPr>
        <w:lastRenderedPageBreak/>
        <w:t>taxes figurant à la règle 23 du règlement d’exécution de l’Arrangement de Lisbonne”</w:t>
      </w:r>
      <w:r w:rsidRPr="00166559">
        <w:rPr>
          <w:rStyle w:val="FootnoteReference"/>
          <w:szCs w:val="22"/>
          <w:lang w:val="fr-FR"/>
        </w:rPr>
        <w:footnoteReference w:id="2"/>
      </w:r>
      <w:r w:rsidRPr="00166559">
        <w:rPr>
          <w:szCs w:val="22"/>
          <w:lang w:val="fr-FR"/>
        </w:rPr>
        <w:t xml:space="preserve"> soumise à l’Assemblée de l’Union de Lisbonne à sa trente</w:t>
      </w:r>
      <w:r w:rsidRPr="00166559">
        <w:rPr>
          <w:szCs w:val="22"/>
          <w:lang w:val="fr-FR"/>
        </w:rPr>
        <w:noBreakHyphen/>
        <w:t>deuxième session (21e session extraordinaire) tenue à Genève du 5 au 14 octobre 2015, le déficit annuel prévu pour l’exercice 2016</w:t>
      </w:r>
      <w:r w:rsidRPr="00166559">
        <w:rPr>
          <w:szCs w:val="22"/>
          <w:lang w:val="fr-FR"/>
        </w:rPr>
        <w:noBreakHyphen/>
        <w:t>2017 s’élèverait toujours à 700 000 francs suisses environ.</w:t>
      </w:r>
    </w:p>
    <w:p w:rsidR="009C07FA" w:rsidRPr="00166559" w:rsidRDefault="009C07FA" w:rsidP="009C07FA">
      <w:pPr>
        <w:pStyle w:val="ONUMFS"/>
        <w:rPr>
          <w:lang w:val="fr-FR"/>
        </w:rPr>
      </w:pPr>
      <w:r w:rsidRPr="00166559">
        <w:rPr>
          <w:lang w:val="fr-FR"/>
        </w:rPr>
        <w:t>L’article 11.3)v) de l’Arrangement de Lisbonne prévoit, en tant que moyen de financement du budget de l’Union de Lisbonne, “les contributions des pays de l’Union particulière, dans la mesure où les recettes provenant des sources mentionnées aux points i) à iv) [de l’article 11.3), à savoir les taxes d’enregistrement international, le produit de la vente des publications et les droits afférents à ces publications, les dons, legs et subventions, les loyers, intérêts et autres revenus divers] ne suffisent pas à couvrir les dépenses de l’Union particulière.”  Une simulation concernant les paiements individuels de ces contributions, compte tenu du budget de l’Union de Lisbonne proposé pour l’exercice 2016</w:t>
      </w:r>
      <w:r w:rsidRPr="00166559">
        <w:rPr>
          <w:lang w:val="fr-FR"/>
        </w:rPr>
        <w:noBreakHyphen/>
        <w:t>2017 et conformément à l’article 11.5)a) à c), peut être proposée.  En particulier, l’article 11.5)c) stipule que</w:t>
      </w:r>
      <w:r w:rsidRPr="00166559">
        <w:rPr>
          <w:b/>
          <w:lang w:val="fr-FR"/>
        </w:rPr>
        <w:t xml:space="preserve"> </w:t>
      </w:r>
      <w:r w:rsidRPr="00166559">
        <w:rPr>
          <w:lang w:val="fr-FR"/>
        </w:rPr>
        <w:t>la date à laquelle les contributions sont dues sera fixée par l’Assemblée [de l’Union de Lisbonne].</w:t>
      </w:r>
    </w:p>
    <w:p w:rsidR="009C07FA" w:rsidRPr="00166559" w:rsidRDefault="009C07FA" w:rsidP="009C07FA">
      <w:pPr>
        <w:pStyle w:val="ONUMFS"/>
        <w:rPr>
          <w:lang w:val="fr-FR"/>
        </w:rPr>
      </w:pPr>
      <w:r w:rsidRPr="00166559">
        <w:rPr>
          <w:lang w:val="fr-FR"/>
        </w:rPr>
        <w:t>L’article 11.7) de l’Arrangement de Lisbonne régit l’établissement d’un</w:t>
      </w:r>
      <w:r w:rsidRPr="00166559">
        <w:rPr>
          <w:b/>
          <w:lang w:val="fr-FR"/>
        </w:rPr>
        <w:t xml:space="preserve"> </w:t>
      </w:r>
      <w:r w:rsidRPr="00166559">
        <w:rPr>
          <w:lang w:val="fr-FR"/>
        </w:rPr>
        <w:t>fonds de roulement destiné à couvrir tout déficit dans les dépenses de fonctionnement de l’Union de Lisbonne.  En conséquence, et ainsi qu’il est indiqué dans le document WO/PBC/24/16/</w:t>
      </w:r>
      <w:proofErr w:type="spellStart"/>
      <w:r w:rsidRPr="00166559">
        <w:rPr>
          <w:lang w:val="fr-FR"/>
        </w:rPr>
        <w:t>Rev</w:t>
      </w:r>
      <w:proofErr w:type="spellEnd"/>
      <w:r w:rsidRPr="00166559">
        <w:rPr>
          <w:lang w:val="fr-FR"/>
        </w:rPr>
        <w:t>. intitulé “Options pour assurer la viabilité financière de l’Union de Lisbonne”, le Directeur général présente à ce stade la proposition suivante concernant la proportion et les modalités de versement relatives à un fonds de roulement, destiné à couvrir tout déficit dans les dépenses de fonctionnement de l’Union de Lisbonne, pour laquelle il prendra connaissance de l’avis du Comité de coordination (document WO/CC/71/6).</w:t>
      </w:r>
    </w:p>
    <w:p w:rsidR="009C07FA" w:rsidRPr="00166559" w:rsidRDefault="009C07FA" w:rsidP="009C07FA">
      <w:pPr>
        <w:pStyle w:val="Heading1"/>
        <w:rPr>
          <w:lang w:val="fr-FR"/>
        </w:rPr>
      </w:pPr>
      <w:r w:rsidRPr="00166559">
        <w:rPr>
          <w:lang w:val="fr-FR"/>
        </w:rPr>
        <w:t>GÉNÉRALITÉS ET POLITIQUES APPLICABLES À L’ÉTABLISSEMENT D’UN FONDS DE ROULEMENT DE L’UNION DE LISBONNE</w:t>
      </w:r>
    </w:p>
    <w:p w:rsidR="009C07FA" w:rsidRPr="00166559" w:rsidRDefault="009C07FA" w:rsidP="009C07FA">
      <w:pPr>
        <w:rPr>
          <w:b/>
          <w:bCs/>
          <w:caps/>
          <w:szCs w:val="22"/>
          <w:lang w:val="fr-FR"/>
        </w:rPr>
      </w:pPr>
    </w:p>
    <w:p w:rsidR="009C07FA" w:rsidRPr="00166559" w:rsidRDefault="009C07FA" w:rsidP="009C07FA">
      <w:pPr>
        <w:pStyle w:val="ONUMFS"/>
        <w:rPr>
          <w:lang w:val="fr-FR"/>
        </w:rPr>
      </w:pPr>
      <w:r w:rsidRPr="00166559">
        <w:rPr>
          <w:lang w:val="fr-FR"/>
        </w:rPr>
        <w:t>L’article 11.7) de l’Arrangement de Lisbonne prévoit que :</w:t>
      </w:r>
    </w:p>
    <w:p w:rsidR="009C07FA" w:rsidRPr="00166559" w:rsidRDefault="009C07FA" w:rsidP="009C07FA">
      <w:pPr>
        <w:tabs>
          <w:tab w:val="left" w:pos="567"/>
          <w:tab w:val="left" w:pos="1134"/>
        </w:tabs>
        <w:ind w:left="567"/>
        <w:contextualSpacing/>
        <w:rPr>
          <w:rFonts w:eastAsiaTheme="minorHAnsi"/>
          <w:szCs w:val="22"/>
          <w:lang w:val="fr-FR" w:eastAsia="en-US"/>
        </w:rPr>
      </w:pPr>
      <w:r w:rsidRPr="00166559">
        <w:rPr>
          <w:rFonts w:eastAsiaTheme="minorHAnsi"/>
          <w:szCs w:val="22"/>
          <w:lang w:val="fr-FR" w:eastAsia="en-US"/>
        </w:rPr>
        <w:t>“</w:t>
      </w:r>
      <w:proofErr w:type="gramStart"/>
      <w:r w:rsidRPr="00166559">
        <w:rPr>
          <w:rFonts w:eastAsiaTheme="minorHAnsi"/>
          <w:szCs w:val="22"/>
          <w:lang w:val="fr-FR" w:eastAsia="en-US"/>
        </w:rPr>
        <w:t>a</w:t>
      </w:r>
      <w:proofErr w:type="gramEnd"/>
      <w:r w:rsidRPr="00166559">
        <w:rPr>
          <w:rFonts w:eastAsiaTheme="minorHAnsi"/>
          <w:szCs w:val="22"/>
          <w:lang w:val="fr-FR" w:eastAsia="en-US"/>
        </w:rPr>
        <w:t>)</w:t>
      </w:r>
      <w:r w:rsidRPr="00166559">
        <w:rPr>
          <w:rFonts w:eastAsiaTheme="minorHAnsi"/>
          <w:szCs w:val="22"/>
          <w:lang w:val="fr-FR" w:eastAsia="en-US"/>
        </w:rPr>
        <w:tab/>
        <w:t>L’Union particulière possède un fonds de roulement constitué par un versement unique effectué par chaque pays de l’Union particulière.</w:t>
      </w:r>
      <w:r w:rsidRPr="00166559">
        <w:rPr>
          <w:lang w:val="fr-FR"/>
        </w:rPr>
        <w:t xml:space="preserve">  </w:t>
      </w:r>
      <w:r w:rsidRPr="00166559">
        <w:rPr>
          <w:rFonts w:eastAsiaTheme="minorHAnsi"/>
          <w:szCs w:val="22"/>
          <w:lang w:val="fr-FR" w:eastAsia="en-US"/>
        </w:rPr>
        <w:t>Si le fonds devient insuffisant, l’Assemblée décide de son augmentation.</w:t>
      </w:r>
    </w:p>
    <w:p w:rsidR="009C07FA" w:rsidRPr="00166559" w:rsidRDefault="009C07FA" w:rsidP="009C07FA">
      <w:pPr>
        <w:tabs>
          <w:tab w:val="left" w:pos="567"/>
          <w:tab w:val="left" w:pos="1134"/>
        </w:tabs>
        <w:ind w:left="567"/>
        <w:contextualSpacing/>
        <w:rPr>
          <w:rFonts w:eastAsiaTheme="minorHAnsi"/>
          <w:szCs w:val="22"/>
          <w:lang w:val="fr-FR" w:eastAsia="en-US"/>
        </w:rPr>
      </w:pPr>
    </w:p>
    <w:p w:rsidR="009C07FA" w:rsidRPr="00166559" w:rsidRDefault="000201BA" w:rsidP="009C07FA">
      <w:pPr>
        <w:tabs>
          <w:tab w:val="left" w:pos="567"/>
          <w:tab w:val="left" w:pos="1134"/>
        </w:tabs>
        <w:ind w:left="567"/>
        <w:contextualSpacing/>
        <w:rPr>
          <w:rFonts w:eastAsiaTheme="minorHAnsi"/>
          <w:szCs w:val="22"/>
          <w:lang w:val="fr-FR" w:eastAsia="en-US"/>
        </w:rPr>
      </w:pPr>
      <w:r>
        <w:rPr>
          <w:rFonts w:eastAsiaTheme="minorHAnsi"/>
          <w:szCs w:val="22"/>
          <w:lang w:val="fr-FR" w:eastAsia="en-US"/>
        </w:rPr>
        <w:t>“</w:t>
      </w:r>
      <w:proofErr w:type="gramStart"/>
      <w:r w:rsidR="009C07FA" w:rsidRPr="00166559">
        <w:rPr>
          <w:rFonts w:eastAsiaTheme="minorHAnsi"/>
          <w:szCs w:val="22"/>
          <w:lang w:val="fr-FR" w:eastAsia="en-US"/>
        </w:rPr>
        <w:t>b</w:t>
      </w:r>
      <w:proofErr w:type="gramEnd"/>
      <w:r w:rsidR="009C07FA" w:rsidRPr="00166559">
        <w:rPr>
          <w:rFonts w:eastAsiaTheme="minorHAnsi"/>
          <w:szCs w:val="22"/>
          <w:lang w:val="fr-FR" w:eastAsia="en-US"/>
        </w:rPr>
        <w:t>)</w:t>
      </w:r>
      <w:r w:rsidR="009C07FA" w:rsidRPr="00166559">
        <w:rPr>
          <w:rFonts w:eastAsiaTheme="minorHAnsi"/>
          <w:szCs w:val="22"/>
          <w:lang w:val="fr-FR" w:eastAsia="en-US"/>
        </w:rPr>
        <w:tab/>
        <w:t>Le montant du versement initial de chaque pays au fonds précité ou de sa participation à l’augmentation de celui</w:t>
      </w:r>
      <w:r w:rsidR="009C07FA" w:rsidRPr="00166559">
        <w:rPr>
          <w:rFonts w:eastAsiaTheme="minorHAnsi"/>
          <w:szCs w:val="22"/>
          <w:lang w:val="fr-FR" w:eastAsia="en-US"/>
        </w:rPr>
        <w:noBreakHyphen/>
        <w:t>ci est proportionnel à la contribution de ce pays, en tant que membre de l’Union de Paris pour la protection de la propriété industrielle, au budget de ladite Union pour l’année au cours de laquelle le fonds est constitué ou l’augmentation décidée.</w:t>
      </w:r>
    </w:p>
    <w:p w:rsidR="009C07FA" w:rsidRPr="00166559" w:rsidRDefault="009C07FA" w:rsidP="009C07FA">
      <w:pPr>
        <w:tabs>
          <w:tab w:val="left" w:pos="567"/>
          <w:tab w:val="left" w:pos="1134"/>
        </w:tabs>
        <w:ind w:left="567"/>
        <w:contextualSpacing/>
        <w:rPr>
          <w:rFonts w:eastAsiaTheme="minorHAnsi"/>
          <w:szCs w:val="22"/>
          <w:lang w:val="fr-FR" w:eastAsia="en-US"/>
        </w:rPr>
      </w:pPr>
    </w:p>
    <w:p w:rsidR="009C07FA" w:rsidRPr="00166559" w:rsidRDefault="000201BA" w:rsidP="009C07FA">
      <w:pPr>
        <w:tabs>
          <w:tab w:val="left" w:pos="567"/>
          <w:tab w:val="left" w:pos="1134"/>
        </w:tabs>
        <w:ind w:left="567"/>
        <w:contextualSpacing/>
        <w:rPr>
          <w:rFonts w:eastAsiaTheme="minorHAnsi"/>
          <w:szCs w:val="22"/>
          <w:lang w:val="fr-FR" w:eastAsia="en-US"/>
        </w:rPr>
      </w:pPr>
      <w:r>
        <w:rPr>
          <w:rFonts w:eastAsiaTheme="minorHAnsi"/>
          <w:szCs w:val="22"/>
          <w:lang w:val="fr-FR" w:eastAsia="en-US"/>
        </w:rPr>
        <w:t>“</w:t>
      </w:r>
      <w:r w:rsidR="009C07FA" w:rsidRPr="00166559">
        <w:rPr>
          <w:rFonts w:eastAsiaTheme="minorHAnsi"/>
          <w:szCs w:val="22"/>
          <w:lang w:val="fr-FR" w:eastAsia="en-US"/>
        </w:rPr>
        <w:t>c)</w:t>
      </w:r>
      <w:r w:rsidR="009C07FA" w:rsidRPr="00166559">
        <w:rPr>
          <w:rFonts w:eastAsiaTheme="minorHAnsi"/>
          <w:szCs w:val="22"/>
          <w:lang w:val="fr-FR" w:eastAsia="en-US"/>
        </w:rPr>
        <w:tab/>
        <w:t>La proportion et les modalités de versement sont arrêtées par l’Assemblée, sur proposition du Directeur général et après avis du Comité de coordination de l’Organisation.”</w:t>
      </w:r>
    </w:p>
    <w:p w:rsidR="009C07FA" w:rsidRPr="00166559" w:rsidRDefault="009C07FA" w:rsidP="009C07FA">
      <w:pPr>
        <w:rPr>
          <w:lang w:val="fr-FR"/>
        </w:rPr>
      </w:pPr>
    </w:p>
    <w:p w:rsidR="009C07FA" w:rsidRPr="00166559" w:rsidRDefault="009C07FA" w:rsidP="009C07FA">
      <w:pPr>
        <w:pStyle w:val="ONUMFS"/>
        <w:rPr>
          <w:lang w:val="fr-FR"/>
        </w:rPr>
      </w:pPr>
      <w:r w:rsidRPr="00166559">
        <w:rPr>
          <w:lang w:val="fr-FR"/>
        </w:rPr>
        <w:t>Ainsi qu’il est indiqué dans le document sur les options pour assurer la viabilité financière de l’Union de Lisbonne, un fonds de roulement sert à financer les opérations en l’absence de revenus suffisants, notamment pour couvrir un retard dans la réception des contributions.  Ce fonds est donc, par nature, destiné à n’être qu’une solution temporaire en attendant qu’une solution plus permanente et durable soit trouvée par le biais d’autres sources de financement</w:t>
      </w:r>
      <w:r w:rsidRPr="00166559">
        <w:rPr>
          <w:i/>
          <w:lang w:val="fr-FR"/>
        </w:rPr>
        <w:t xml:space="preserve">, </w:t>
      </w:r>
      <w:r w:rsidRPr="00166559">
        <w:rPr>
          <w:lang w:val="fr-FR"/>
        </w:rPr>
        <w:t>ainsi qu’il est prévu</w:t>
      </w:r>
      <w:r w:rsidRPr="00166559">
        <w:rPr>
          <w:i/>
          <w:lang w:val="fr-FR"/>
        </w:rPr>
        <w:t xml:space="preserve"> </w:t>
      </w:r>
      <w:r w:rsidRPr="00166559">
        <w:rPr>
          <w:lang w:val="fr-FR"/>
        </w:rPr>
        <w:t xml:space="preserve">à l’article 11.3) de l’Arrangement de Lisbonne.  Les contributions au fonds de roulement, qui restent dues aux membres de l’Union de Lisbonne, pourraient ensuite être remboursables si les revenus devenaient suffisants pour financer les opérations.  Des fonds de roulement pour l’Union du PCT, l’Union de Madrid et l’Union de La Haye ont été établis </w:t>
      </w:r>
      <w:r w:rsidRPr="00166559">
        <w:rPr>
          <w:lang w:val="fr-FR"/>
        </w:rPr>
        <w:lastRenderedPageBreak/>
        <w:t>en 1983, 1979 et 1978, respectivement.  Il est proposé que le fonds de roulement de l’Union du PCT soit reversé aux membres de l’Union du PCT sous forme d’avoir sur les contributions facturées au cours de l’exercice biennal 2016</w:t>
      </w:r>
      <w:r w:rsidRPr="00166559">
        <w:rPr>
          <w:lang w:val="fr-FR"/>
        </w:rPr>
        <w:noBreakHyphen/>
        <w:t>2017</w:t>
      </w:r>
      <w:r w:rsidRPr="00166559">
        <w:rPr>
          <w:rStyle w:val="FootnoteReference"/>
          <w:i/>
          <w:lang w:val="fr-FR"/>
        </w:rPr>
        <w:footnoteReference w:id="3"/>
      </w:r>
      <w:r w:rsidRPr="00166559">
        <w:rPr>
          <w:i/>
          <w:lang w:val="fr-FR"/>
        </w:rPr>
        <w:t>.</w:t>
      </w:r>
    </w:p>
    <w:p w:rsidR="009C07FA" w:rsidRPr="00166559" w:rsidRDefault="009C07FA" w:rsidP="009C07FA">
      <w:pPr>
        <w:pStyle w:val="ONUMFS"/>
        <w:rPr>
          <w:lang w:val="fr-FR"/>
        </w:rPr>
      </w:pPr>
      <w:r w:rsidRPr="00166559">
        <w:rPr>
          <w:lang w:val="fr-FR"/>
        </w:rPr>
        <w:t>Dans le Règlement financier de l’OMPI et son règlement d’exécution, l’expression “fonds de roulement” s’entend des fonds créés en vue d’assurer le financement des crédits en cas de déficit temporaire de trésorerie et pour toutes autres fins décidées par les assemblées des États membres et des unions, chacune pour ce qui la concerne (règle 101.3)q).</w:t>
      </w:r>
    </w:p>
    <w:p w:rsidR="009C07FA" w:rsidRPr="00166559" w:rsidRDefault="009C07FA" w:rsidP="009C07FA">
      <w:pPr>
        <w:pStyle w:val="ONUMFS"/>
        <w:rPr>
          <w:lang w:val="fr-FR"/>
        </w:rPr>
      </w:pPr>
      <w:r w:rsidRPr="00166559">
        <w:rPr>
          <w:lang w:val="fr-FR"/>
        </w:rPr>
        <w:t xml:space="preserve">Le Règlement financier de l’OMPI et son règlement d’exécution </w:t>
      </w:r>
      <w:r w:rsidR="000201BA">
        <w:rPr>
          <w:lang w:val="fr-FR"/>
        </w:rPr>
        <w:t>prévoient</w:t>
      </w:r>
      <w:r w:rsidRPr="00166559">
        <w:rPr>
          <w:lang w:val="fr-FR"/>
        </w:rPr>
        <w:t xml:space="preserve"> par ailleurs </w:t>
      </w:r>
      <w:r w:rsidR="000201BA">
        <w:rPr>
          <w:lang w:val="fr-FR"/>
        </w:rPr>
        <w:t>ce qui suit</w:t>
      </w:r>
      <w:r w:rsidRPr="00166559">
        <w:rPr>
          <w:lang w:val="fr-FR"/>
        </w:rPr>
        <w:t> :</w:t>
      </w:r>
    </w:p>
    <w:p w:rsidR="009C07FA" w:rsidRPr="00166559" w:rsidRDefault="009C07FA" w:rsidP="009C07FA">
      <w:pPr>
        <w:autoSpaceDE w:val="0"/>
        <w:autoSpaceDN w:val="0"/>
        <w:adjustRightInd w:val="0"/>
        <w:ind w:firstLine="720"/>
        <w:rPr>
          <w:rFonts w:eastAsiaTheme="minorHAnsi"/>
          <w:b/>
          <w:bCs/>
          <w:szCs w:val="22"/>
          <w:lang w:val="fr-FR" w:eastAsia="en-US"/>
        </w:rPr>
      </w:pPr>
      <w:r w:rsidRPr="00166559">
        <w:rPr>
          <w:rFonts w:eastAsiaTheme="minorHAnsi"/>
          <w:b/>
          <w:bCs/>
          <w:szCs w:val="22"/>
          <w:lang w:val="fr-FR" w:eastAsia="en-US"/>
        </w:rPr>
        <w:t>Fonds de roulement</w:t>
      </w:r>
    </w:p>
    <w:p w:rsidR="009C07FA" w:rsidRPr="00166559" w:rsidRDefault="009C07FA" w:rsidP="009C07FA">
      <w:pPr>
        <w:autoSpaceDE w:val="0"/>
        <w:autoSpaceDN w:val="0"/>
        <w:adjustRightInd w:val="0"/>
        <w:ind w:firstLine="720"/>
        <w:rPr>
          <w:rFonts w:eastAsiaTheme="minorHAnsi"/>
          <w:b/>
          <w:bCs/>
          <w:szCs w:val="22"/>
          <w:lang w:val="fr-FR" w:eastAsia="en-US"/>
        </w:rPr>
      </w:pPr>
    </w:p>
    <w:p w:rsidR="009C07FA" w:rsidRPr="00166559" w:rsidRDefault="009C07FA" w:rsidP="009C07FA">
      <w:pPr>
        <w:autoSpaceDE w:val="0"/>
        <w:autoSpaceDN w:val="0"/>
        <w:adjustRightInd w:val="0"/>
        <w:ind w:firstLine="720"/>
        <w:rPr>
          <w:rFonts w:eastAsiaTheme="minorHAnsi"/>
          <w:b/>
          <w:bCs/>
          <w:szCs w:val="22"/>
          <w:lang w:val="fr-FR" w:eastAsia="en-US"/>
        </w:rPr>
      </w:pPr>
      <w:r w:rsidRPr="00166559">
        <w:rPr>
          <w:rFonts w:eastAsiaTheme="minorHAnsi"/>
          <w:b/>
          <w:bCs/>
          <w:szCs w:val="22"/>
          <w:u w:val="single"/>
          <w:lang w:val="fr-FR" w:eastAsia="en-US"/>
        </w:rPr>
        <w:t>Article 4.2</w:t>
      </w:r>
    </w:p>
    <w:p w:rsidR="009C07FA" w:rsidRPr="00166559" w:rsidRDefault="009C07FA" w:rsidP="009C07FA">
      <w:pPr>
        <w:autoSpaceDE w:val="0"/>
        <w:autoSpaceDN w:val="0"/>
        <w:adjustRightInd w:val="0"/>
        <w:ind w:left="720"/>
        <w:rPr>
          <w:rFonts w:eastAsiaTheme="minorHAnsi"/>
          <w:szCs w:val="22"/>
          <w:lang w:val="fr-FR" w:eastAsia="en-US"/>
        </w:rPr>
      </w:pPr>
      <w:r w:rsidRPr="00166559">
        <w:rPr>
          <w:rFonts w:eastAsiaTheme="minorHAnsi"/>
          <w:szCs w:val="22"/>
          <w:lang w:val="fr-FR" w:eastAsia="en-US"/>
        </w:rPr>
        <w:t>Il est créé des fonds de roulement de l’Organisation et des unions de Paris, de Berne, de Madrid, de La Haye, de l’IPC, de Nice, du PCT, de Lisbonne, de Locarno et de Vienne dont les assemblées des États membres et des unions, chacune pour ce qui la concerne, arrêtent le montant.</w:t>
      </w:r>
    </w:p>
    <w:p w:rsidR="009C07FA" w:rsidRPr="00166559" w:rsidRDefault="009C07FA" w:rsidP="009C07FA">
      <w:pPr>
        <w:autoSpaceDE w:val="0"/>
        <w:autoSpaceDN w:val="0"/>
        <w:adjustRightInd w:val="0"/>
        <w:rPr>
          <w:rFonts w:eastAsiaTheme="minorHAnsi"/>
          <w:b/>
          <w:bCs/>
          <w:szCs w:val="22"/>
          <w:lang w:val="fr-FR" w:eastAsia="en-US"/>
        </w:rPr>
      </w:pPr>
    </w:p>
    <w:p w:rsidR="009C07FA" w:rsidRPr="00166559" w:rsidRDefault="009C07FA" w:rsidP="009C07FA">
      <w:pPr>
        <w:autoSpaceDE w:val="0"/>
        <w:autoSpaceDN w:val="0"/>
        <w:adjustRightInd w:val="0"/>
        <w:ind w:firstLine="720"/>
        <w:rPr>
          <w:rFonts w:eastAsiaTheme="minorHAnsi"/>
          <w:b/>
          <w:bCs/>
          <w:szCs w:val="22"/>
          <w:lang w:val="fr-FR" w:eastAsia="en-US"/>
        </w:rPr>
      </w:pPr>
      <w:r w:rsidRPr="00166559">
        <w:rPr>
          <w:rFonts w:eastAsiaTheme="minorHAnsi"/>
          <w:b/>
          <w:bCs/>
          <w:szCs w:val="22"/>
          <w:u w:val="single"/>
          <w:lang w:val="fr-FR" w:eastAsia="en-US"/>
        </w:rPr>
        <w:t>Article 4.3</w:t>
      </w:r>
    </w:p>
    <w:p w:rsidR="009C07FA" w:rsidRPr="00166559" w:rsidRDefault="009C07FA" w:rsidP="009C07FA">
      <w:pPr>
        <w:autoSpaceDE w:val="0"/>
        <w:autoSpaceDN w:val="0"/>
        <w:adjustRightInd w:val="0"/>
        <w:ind w:left="720"/>
        <w:rPr>
          <w:rFonts w:eastAsiaTheme="minorHAnsi"/>
          <w:szCs w:val="22"/>
          <w:lang w:val="fr-FR" w:eastAsia="en-US"/>
        </w:rPr>
      </w:pPr>
      <w:r w:rsidRPr="00166559">
        <w:rPr>
          <w:rFonts w:eastAsiaTheme="minorHAnsi"/>
          <w:szCs w:val="22"/>
          <w:lang w:val="fr-FR" w:eastAsia="en-US"/>
        </w:rPr>
        <w:t>Les fonds de roulement sont utilisés, dans la mesure du possible, comme des avances pour financer les crédits budgétaires qui ne sont pas encore couverts par les liquidités disponibles et pour d’autres fins déterminées par les assemblées des États membres et des unions, chacune pour ce qui la concerne.</w:t>
      </w:r>
    </w:p>
    <w:p w:rsidR="009C07FA" w:rsidRPr="00166559" w:rsidRDefault="009C07FA" w:rsidP="009C07FA">
      <w:pPr>
        <w:autoSpaceDE w:val="0"/>
        <w:autoSpaceDN w:val="0"/>
        <w:adjustRightInd w:val="0"/>
        <w:rPr>
          <w:rFonts w:eastAsiaTheme="minorHAnsi"/>
          <w:b/>
          <w:bCs/>
          <w:szCs w:val="22"/>
          <w:lang w:val="fr-FR" w:eastAsia="en-US"/>
        </w:rPr>
      </w:pPr>
    </w:p>
    <w:p w:rsidR="009C07FA" w:rsidRPr="00166559" w:rsidRDefault="009C07FA" w:rsidP="009C07FA">
      <w:pPr>
        <w:autoSpaceDE w:val="0"/>
        <w:autoSpaceDN w:val="0"/>
        <w:adjustRightInd w:val="0"/>
        <w:ind w:firstLine="720"/>
        <w:rPr>
          <w:rFonts w:eastAsiaTheme="minorHAnsi"/>
          <w:b/>
          <w:bCs/>
          <w:szCs w:val="22"/>
          <w:lang w:val="fr-FR" w:eastAsia="en-US"/>
        </w:rPr>
      </w:pPr>
      <w:r w:rsidRPr="00166559">
        <w:rPr>
          <w:rFonts w:eastAsiaTheme="minorHAnsi"/>
          <w:b/>
          <w:bCs/>
          <w:szCs w:val="22"/>
          <w:u w:val="single"/>
          <w:lang w:val="fr-FR" w:eastAsia="en-US"/>
        </w:rPr>
        <w:t>Article 4.4</w:t>
      </w:r>
    </w:p>
    <w:p w:rsidR="009C07FA" w:rsidRPr="00166559" w:rsidRDefault="009C07FA" w:rsidP="009C07FA">
      <w:pPr>
        <w:ind w:left="720"/>
        <w:rPr>
          <w:lang w:val="fr-FR"/>
        </w:rPr>
      </w:pPr>
      <w:r w:rsidRPr="00166559">
        <w:rPr>
          <w:lang w:val="fr-FR"/>
        </w:rPr>
        <w:t>Les sommes prélevées à titre d’avance sur les fonds de roulement pour financer les crédits budgétaires sont remboursées aux fonds dès que des recettes deviennent disponibles à cette fin et dans la mesure où ces recettes le permettent.</w:t>
      </w:r>
    </w:p>
    <w:p w:rsidR="009C07FA" w:rsidRPr="00166559" w:rsidRDefault="009C07FA" w:rsidP="009C07FA">
      <w:pPr>
        <w:pStyle w:val="Heading1"/>
        <w:rPr>
          <w:lang w:val="fr-FR"/>
        </w:rPr>
      </w:pPr>
      <w:r w:rsidRPr="00166559">
        <w:rPr>
          <w:lang w:val="fr-FR"/>
        </w:rPr>
        <w:t xml:space="preserve">Niveau initial du fonds de roulement de l’Union de LISBONNE, gestion du fonds et </w:t>
      </w:r>
      <w:r w:rsidR="003F58D0">
        <w:rPr>
          <w:lang w:val="fr-FR"/>
        </w:rPr>
        <w:t>compte rendu</w:t>
      </w:r>
    </w:p>
    <w:p w:rsidR="009C07FA" w:rsidRPr="00166559" w:rsidRDefault="009C07FA" w:rsidP="009C07FA">
      <w:pPr>
        <w:rPr>
          <w:b/>
          <w:bCs/>
          <w:caps/>
          <w:szCs w:val="22"/>
          <w:lang w:val="fr-FR"/>
        </w:rPr>
      </w:pPr>
    </w:p>
    <w:p w:rsidR="009C07FA" w:rsidRPr="00166559" w:rsidRDefault="009C07FA" w:rsidP="009C07FA">
      <w:pPr>
        <w:pStyle w:val="ONUMFS"/>
        <w:rPr>
          <w:lang w:val="fr-FR"/>
        </w:rPr>
      </w:pPr>
      <w:r w:rsidRPr="00166559">
        <w:rPr>
          <w:lang w:val="fr-FR"/>
        </w:rPr>
        <w:t>Le niveau initial proposé pour le fonds de roulement de l’Union de Lisbonne est fixé à deux millions de francs suisses, compte tenu du résultat opérationnel négatif prévu pour l’Union de Lisbonne pour l’exercice biennal 2016</w:t>
      </w:r>
      <w:r w:rsidRPr="00166559">
        <w:rPr>
          <w:lang w:val="fr-FR"/>
        </w:rPr>
        <w:noBreakHyphen/>
        <w:t>2017</w:t>
      </w:r>
      <w:r w:rsidRPr="00166559">
        <w:rPr>
          <w:rStyle w:val="FootnoteReference"/>
          <w:lang w:val="fr-FR"/>
        </w:rPr>
        <w:footnoteReference w:id="4"/>
      </w:r>
      <w:r w:rsidRPr="00166559">
        <w:rPr>
          <w:lang w:val="fr-FR"/>
        </w:rPr>
        <w:t>.  Conformément à l’article 11.7)b) de l’Arrangement de Lisbonne, “le montant du versement initial de chaque pays au fonds précité…” “est proportionnel à la contribution de ce pays, en tant que membre de l’Union de Paris pour la protection de la propriété industrielle”.  Conformément à la décision prise par les assemblées des États membres de l’OMPI à la trente</w:t>
      </w:r>
      <w:r w:rsidRPr="00166559">
        <w:rPr>
          <w:lang w:val="fr-FR"/>
        </w:rPr>
        <w:noBreakHyphen/>
        <w:t>neuvième série de réunions, tenue du 22 septembre au 1</w:t>
      </w:r>
      <w:r w:rsidRPr="00166559">
        <w:rPr>
          <w:vertAlign w:val="superscript"/>
          <w:lang w:val="fr-FR"/>
        </w:rPr>
        <w:t>er </w:t>
      </w:r>
      <w:r w:rsidRPr="00166559">
        <w:rPr>
          <w:lang w:val="fr-FR"/>
        </w:rPr>
        <w:t>octobre 2003 à Genève (document A/39/15), les contributions des États membres sont versées conformément à la classe de contribution du système de contribution unitaire.  Il est donc proposé que les contributions initiales de chaque pays au fonds de roulement de l’Union de Lisbonne se fondent sur les classes de contribution indiquées dans l’annexe du présent document.</w:t>
      </w:r>
    </w:p>
    <w:p w:rsidR="009C07FA" w:rsidRPr="00166559" w:rsidRDefault="009C07FA" w:rsidP="009C07FA">
      <w:pPr>
        <w:pStyle w:val="ONUMFS"/>
        <w:rPr>
          <w:lang w:val="fr-FR"/>
        </w:rPr>
      </w:pPr>
      <w:r w:rsidRPr="00166559">
        <w:rPr>
          <w:lang w:val="fr-FR"/>
        </w:rPr>
        <w:t>Les contributions initiales au fonds de roulement de l’Union de Lisbonne seront facturées par le Secrétariat de l’OMPI à chaque pays, conformément aux indications de l’annexe, le 1</w:t>
      </w:r>
      <w:r w:rsidRPr="00166559">
        <w:rPr>
          <w:vertAlign w:val="superscript"/>
          <w:lang w:val="fr-FR"/>
        </w:rPr>
        <w:t>er</w:t>
      </w:r>
      <w:r w:rsidRPr="00166559">
        <w:rPr>
          <w:lang w:val="fr-FR"/>
        </w:rPr>
        <w:t> janvier 2016 pour un paiement dû le 30 juin 2016.</w:t>
      </w:r>
    </w:p>
    <w:p w:rsidR="009C07FA" w:rsidRPr="00166559" w:rsidRDefault="009C07FA" w:rsidP="009C07FA">
      <w:pPr>
        <w:pStyle w:val="ONUMFS"/>
        <w:rPr>
          <w:lang w:val="fr-FR"/>
        </w:rPr>
      </w:pPr>
      <w:r w:rsidRPr="00166559">
        <w:rPr>
          <w:lang w:val="fr-FR"/>
        </w:rPr>
        <w:lastRenderedPageBreak/>
        <w:t>Le fonds de roulement de l’Union de Lisbonne sera utilisé pour couvrir tout déficit d’exploitation de l’Union de Lisbonne sur une base annuelle, ainsi qu’il est indiqué dans la note 28 : Information sectorielle (Recettes, dépenses et réserves par segment), qui figure dans le rapport financier annuel et les états financiers annuels de l’OMPI.  Il sera rendu compte du solde du fonds de roulement de l’Union de Lisbonne dans le rapport financier annuel et les états financiers annuels de l’OMPI.</w:t>
      </w:r>
    </w:p>
    <w:p w:rsidR="009C07FA" w:rsidRPr="00166559" w:rsidRDefault="009C07FA" w:rsidP="009C07FA">
      <w:pPr>
        <w:pStyle w:val="ONUMFS"/>
        <w:rPr>
          <w:lang w:val="fr-FR"/>
        </w:rPr>
      </w:pPr>
      <w:r w:rsidRPr="00166559">
        <w:rPr>
          <w:lang w:val="fr-FR"/>
        </w:rPr>
        <w:t xml:space="preserve">Les propositions visant la reconstitution du fonds de roulement de l’Union de Lisbonne seront soumises à l’Assemblée de l’Union de Lisbonne et tiendront compte de toute comptabilisation </w:t>
      </w:r>
      <w:r w:rsidRPr="002F32FA">
        <w:rPr>
          <w:i/>
          <w:lang w:val="fr-FR"/>
        </w:rPr>
        <w:t>a posteriori</w:t>
      </w:r>
      <w:r w:rsidRPr="00166559">
        <w:rPr>
          <w:lang w:val="fr-FR"/>
        </w:rPr>
        <w:t xml:space="preserve"> des déficits effectifs non provisionnés de l’Union de Lisbonne, des résultats d’exploitation prévus pour l’exercice biennal suivant et du solde disponible du fonds de roulement de l’Union de Lisbonne.</w:t>
      </w:r>
    </w:p>
    <w:p w:rsidR="009C07FA" w:rsidRPr="00166559" w:rsidRDefault="000201BA" w:rsidP="009C07FA">
      <w:pPr>
        <w:pStyle w:val="ONUMFS"/>
        <w:spacing w:after="0"/>
        <w:ind w:left="5533"/>
        <w:rPr>
          <w:i/>
          <w:lang w:val="fr-FR" w:eastAsia="en-US"/>
        </w:rPr>
      </w:pPr>
      <w:r>
        <w:rPr>
          <w:i/>
          <w:lang w:val="fr-FR" w:eastAsia="en-US"/>
        </w:rPr>
        <w:t>L’a</w:t>
      </w:r>
      <w:r w:rsidR="009C07FA" w:rsidRPr="00166559">
        <w:rPr>
          <w:i/>
          <w:lang w:val="fr-FR" w:eastAsia="en-US"/>
        </w:rPr>
        <w:t xml:space="preserve">ssemblée, ayant pris note de l’avis du Comité de coordination, est invitée à décider d’établir un fonds de roulement </w:t>
      </w:r>
      <w:r>
        <w:rPr>
          <w:i/>
          <w:lang w:val="fr-FR" w:eastAsia="en-US"/>
        </w:rPr>
        <w:t>pour</w:t>
      </w:r>
      <w:r w:rsidR="009C07FA" w:rsidRPr="00166559">
        <w:rPr>
          <w:i/>
          <w:lang w:val="fr-FR" w:eastAsia="en-US"/>
        </w:rPr>
        <w:t xml:space="preserve"> l’Union de Lisbonne, dont la proportion et les modalités de versement sont définies aux paragraphes 8 à 11 du document</w:t>
      </w:r>
      <w:r w:rsidR="002F32FA">
        <w:rPr>
          <w:i/>
          <w:lang w:val="fr-FR" w:eastAsia="en-US"/>
        </w:rPr>
        <w:t> </w:t>
      </w:r>
      <w:bookmarkStart w:id="6" w:name="_GoBack"/>
      <w:bookmarkEnd w:id="6"/>
      <w:r w:rsidR="009C07FA" w:rsidRPr="00166559">
        <w:rPr>
          <w:i/>
          <w:lang w:val="fr-FR" w:eastAsia="en-US"/>
        </w:rPr>
        <w:t>LI/A/32/4.</w:t>
      </w:r>
    </w:p>
    <w:p w:rsidR="009C07FA" w:rsidRPr="00166559" w:rsidRDefault="009C07FA" w:rsidP="009C07FA">
      <w:pPr>
        <w:rPr>
          <w:i/>
          <w:lang w:val="fr-FR"/>
        </w:rPr>
      </w:pPr>
    </w:p>
    <w:p w:rsidR="009C07FA" w:rsidRPr="00166559" w:rsidRDefault="009C07FA" w:rsidP="009C07FA">
      <w:pPr>
        <w:rPr>
          <w:i/>
          <w:lang w:val="fr-FR"/>
        </w:rPr>
      </w:pPr>
    </w:p>
    <w:p w:rsidR="009C07FA" w:rsidRPr="00166559" w:rsidRDefault="009C07FA" w:rsidP="009C07FA">
      <w:pPr>
        <w:rPr>
          <w:i/>
          <w:lang w:val="fr-FR"/>
        </w:rPr>
      </w:pPr>
    </w:p>
    <w:p w:rsidR="009C07FA" w:rsidRPr="00166559" w:rsidRDefault="009C07FA" w:rsidP="009C07FA">
      <w:pPr>
        <w:pStyle w:val="Endofdocument-Annex"/>
        <w:rPr>
          <w:szCs w:val="22"/>
          <w:lang w:val="fr-FR"/>
        </w:rPr>
      </w:pPr>
      <w:r w:rsidRPr="00166559">
        <w:rPr>
          <w:szCs w:val="22"/>
          <w:lang w:val="fr-FR"/>
        </w:rPr>
        <w:t>[L’annexe suit]</w:t>
      </w:r>
    </w:p>
    <w:p w:rsidR="009C07FA" w:rsidRPr="00166559" w:rsidRDefault="009C07FA" w:rsidP="009C07FA">
      <w:pPr>
        <w:rPr>
          <w:i/>
          <w:lang w:val="fr-FR"/>
        </w:rPr>
        <w:sectPr w:rsidR="009C07FA" w:rsidRPr="00166559" w:rsidSect="002F32FA">
          <w:headerReference w:type="defaul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p>
    <w:p w:rsidR="009C07FA" w:rsidRPr="00166559" w:rsidRDefault="009C07FA" w:rsidP="009C07FA">
      <w:pPr>
        <w:tabs>
          <w:tab w:val="left" w:pos="6096"/>
        </w:tabs>
        <w:spacing w:after="220"/>
        <w:contextualSpacing/>
        <w:jc w:val="center"/>
        <w:rPr>
          <w:rFonts w:eastAsiaTheme="minorHAnsi" w:cstheme="minorBidi"/>
          <w:b/>
          <w:caps/>
          <w:szCs w:val="22"/>
          <w:lang w:val="fr-FR" w:eastAsia="en-US"/>
        </w:rPr>
      </w:pPr>
      <w:r w:rsidRPr="00166559">
        <w:rPr>
          <w:rFonts w:eastAsiaTheme="minorHAnsi" w:cstheme="minorBidi"/>
          <w:b/>
          <w:caps/>
          <w:szCs w:val="22"/>
          <w:lang w:val="fr-FR" w:eastAsia="en-US"/>
        </w:rPr>
        <w:lastRenderedPageBreak/>
        <w:t>Annexe</w:t>
      </w:r>
    </w:p>
    <w:p w:rsidR="009C07FA" w:rsidRPr="00166559" w:rsidRDefault="009C07FA" w:rsidP="009C07FA">
      <w:pPr>
        <w:tabs>
          <w:tab w:val="left" w:pos="6096"/>
        </w:tabs>
        <w:spacing w:after="220"/>
        <w:contextualSpacing/>
        <w:jc w:val="center"/>
        <w:rPr>
          <w:rFonts w:eastAsiaTheme="minorHAnsi" w:cstheme="minorBidi"/>
          <w:b/>
          <w:szCs w:val="22"/>
          <w:lang w:val="fr-FR" w:eastAsia="en-US"/>
        </w:rPr>
      </w:pPr>
    </w:p>
    <w:p w:rsidR="009C07FA" w:rsidRPr="00166559" w:rsidRDefault="009C07FA" w:rsidP="009C07FA">
      <w:pPr>
        <w:tabs>
          <w:tab w:val="left" w:pos="6096"/>
        </w:tabs>
        <w:spacing w:after="220"/>
        <w:contextualSpacing/>
        <w:jc w:val="center"/>
        <w:rPr>
          <w:rFonts w:eastAsiaTheme="minorHAnsi" w:cstheme="minorBidi"/>
          <w:b/>
          <w:szCs w:val="22"/>
          <w:lang w:val="fr-FR" w:eastAsia="en-US"/>
        </w:rPr>
      </w:pPr>
      <w:r w:rsidRPr="00166559">
        <w:rPr>
          <w:rFonts w:eastAsiaTheme="minorHAnsi" w:cstheme="minorBidi"/>
          <w:b/>
          <w:szCs w:val="22"/>
          <w:lang w:val="fr-FR" w:eastAsia="en-US"/>
        </w:rPr>
        <w:t>Contributions à un fonds de roulement de l’Union de Lisbonne pour l’exercice biennal 2016</w:t>
      </w:r>
      <w:r w:rsidRPr="00166559">
        <w:rPr>
          <w:rFonts w:eastAsiaTheme="minorHAnsi" w:cstheme="minorBidi"/>
          <w:b/>
          <w:szCs w:val="22"/>
          <w:lang w:val="fr-FR" w:eastAsia="en-US"/>
        </w:rPr>
        <w:noBreakHyphen/>
        <w:t>2017</w:t>
      </w:r>
    </w:p>
    <w:p w:rsidR="009C07FA" w:rsidRPr="00166559" w:rsidRDefault="009C07FA" w:rsidP="009C07FA">
      <w:pPr>
        <w:tabs>
          <w:tab w:val="left" w:pos="6096"/>
        </w:tabs>
        <w:spacing w:after="220"/>
        <w:contextualSpacing/>
        <w:jc w:val="center"/>
        <w:rPr>
          <w:rFonts w:eastAsiaTheme="minorHAnsi" w:cstheme="minorBidi"/>
          <w:b/>
          <w:szCs w:val="22"/>
          <w:lang w:val="fr-FR" w:eastAsia="en-US"/>
        </w:rPr>
      </w:pPr>
      <w:r w:rsidRPr="00166559">
        <w:rPr>
          <w:rFonts w:eastAsiaTheme="minorHAnsi" w:cstheme="minorBidi"/>
          <w:b/>
          <w:szCs w:val="22"/>
          <w:lang w:val="fr-FR" w:eastAsia="en-US"/>
        </w:rPr>
        <w:t>(</w:t>
      </w:r>
      <w:proofErr w:type="gramStart"/>
      <w:r w:rsidRPr="00166559">
        <w:rPr>
          <w:rFonts w:eastAsiaTheme="minorHAnsi" w:cstheme="minorBidi"/>
          <w:b/>
          <w:szCs w:val="22"/>
          <w:lang w:val="fr-FR" w:eastAsia="en-US"/>
        </w:rPr>
        <w:t>fondées</w:t>
      </w:r>
      <w:proofErr w:type="gramEnd"/>
      <w:r w:rsidRPr="00166559">
        <w:rPr>
          <w:rFonts w:eastAsiaTheme="minorHAnsi" w:cstheme="minorBidi"/>
          <w:b/>
          <w:szCs w:val="22"/>
          <w:lang w:val="fr-FR" w:eastAsia="en-US"/>
        </w:rPr>
        <w:t xml:space="preserve"> sur les classes de contribution des États membres*)</w:t>
      </w:r>
    </w:p>
    <w:p w:rsidR="009C07FA" w:rsidRPr="00166559" w:rsidRDefault="009C07FA" w:rsidP="009C07FA">
      <w:pPr>
        <w:tabs>
          <w:tab w:val="left" w:pos="6096"/>
        </w:tabs>
        <w:spacing w:after="220"/>
        <w:contextualSpacing/>
        <w:jc w:val="center"/>
        <w:rPr>
          <w:rFonts w:eastAsiaTheme="minorHAnsi" w:cstheme="minorBidi"/>
          <w:b/>
          <w:szCs w:val="22"/>
          <w:lang w:val="fr-FR" w:eastAsia="en-US"/>
        </w:rPr>
      </w:pPr>
    </w:p>
    <w:p w:rsidR="009C07FA" w:rsidRPr="00166559" w:rsidRDefault="009C07FA" w:rsidP="009C07FA">
      <w:pPr>
        <w:tabs>
          <w:tab w:val="left" w:pos="6096"/>
          <w:tab w:val="left" w:pos="7371"/>
        </w:tabs>
        <w:spacing w:after="220"/>
        <w:contextualSpacing/>
        <w:jc w:val="center"/>
        <w:rPr>
          <w:rFonts w:eastAsiaTheme="minorHAnsi" w:cstheme="minorBidi"/>
          <w:b/>
          <w:sz w:val="20"/>
          <w:lang w:val="fr-FR" w:eastAsia="en-US"/>
        </w:rPr>
      </w:pPr>
      <w:r w:rsidRPr="00166559">
        <w:rPr>
          <w:rFonts w:eastAsiaTheme="minorHAnsi" w:cstheme="minorBidi"/>
          <w:b/>
          <w:szCs w:val="22"/>
          <w:lang w:val="fr-FR" w:eastAsia="en-US"/>
        </w:rPr>
        <w:tab/>
      </w:r>
      <w:r w:rsidRPr="00166559">
        <w:rPr>
          <w:rFonts w:eastAsiaTheme="minorHAnsi" w:cstheme="minorBidi"/>
          <w:b/>
          <w:sz w:val="20"/>
          <w:lang w:val="fr-FR" w:eastAsia="en-US"/>
        </w:rPr>
        <w:t>Contribution</w:t>
      </w:r>
    </w:p>
    <w:p w:rsidR="009C07FA" w:rsidRPr="00166559" w:rsidRDefault="009C07FA" w:rsidP="009C07FA">
      <w:pPr>
        <w:tabs>
          <w:tab w:val="left" w:pos="6096"/>
          <w:tab w:val="left" w:pos="7371"/>
        </w:tabs>
        <w:spacing w:after="220"/>
        <w:contextualSpacing/>
        <w:jc w:val="center"/>
        <w:rPr>
          <w:rFonts w:eastAsiaTheme="minorHAnsi" w:cstheme="minorBidi"/>
          <w:i/>
          <w:sz w:val="20"/>
          <w:lang w:val="fr-FR" w:eastAsia="en-US"/>
        </w:rPr>
      </w:pPr>
      <w:r w:rsidRPr="00166559">
        <w:rPr>
          <w:rFonts w:eastAsiaTheme="minorHAnsi" w:cstheme="minorBidi"/>
          <w:sz w:val="20"/>
          <w:lang w:val="fr-FR" w:eastAsia="en-US"/>
        </w:rPr>
        <w:tab/>
      </w:r>
      <w:r w:rsidRPr="00166559">
        <w:rPr>
          <w:rFonts w:eastAsiaTheme="minorHAnsi" w:cstheme="minorBidi"/>
          <w:i/>
          <w:sz w:val="20"/>
          <w:lang w:val="fr-FR" w:eastAsia="en-US"/>
        </w:rPr>
        <w:t>(</w:t>
      </w:r>
      <w:proofErr w:type="gramStart"/>
      <w:r w:rsidRPr="00166559">
        <w:rPr>
          <w:rFonts w:eastAsiaTheme="minorHAnsi" w:cstheme="minorBidi"/>
          <w:i/>
          <w:sz w:val="20"/>
          <w:lang w:val="fr-FR" w:eastAsia="en-US"/>
        </w:rPr>
        <w:t>en</w:t>
      </w:r>
      <w:proofErr w:type="gramEnd"/>
      <w:r w:rsidRPr="00166559">
        <w:rPr>
          <w:rFonts w:eastAsiaTheme="minorHAnsi" w:cstheme="minorBidi"/>
          <w:i/>
          <w:sz w:val="20"/>
          <w:lang w:val="fr-FR" w:eastAsia="en-US"/>
        </w:rPr>
        <w:t xml:space="preserve"> francs suisses)</w:t>
      </w:r>
    </w:p>
    <w:tbl>
      <w:tblPr>
        <w:tblW w:w="8230" w:type="dxa"/>
        <w:jc w:val="center"/>
        <w:tblInd w:w="93" w:type="dxa"/>
        <w:tblLook w:val="04A0" w:firstRow="1" w:lastRow="0" w:firstColumn="1" w:lastColumn="0" w:noHBand="0" w:noVBand="1"/>
      </w:tblPr>
      <w:tblGrid>
        <w:gridCol w:w="2620"/>
        <w:gridCol w:w="1820"/>
        <w:gridCol w:w="2050"/>
        <w:gridCol w:w="1740"/>
      </w:tblGrid>
      <w:tr w:rsidR="009C07FA" w:rsidRPr="00166559" w:rsidTr="00A31BF3">
        <w:trPr>
          <w:trHeight w:val="510"/>
          <w:jc w:val="center"/>
        </w:trPr>
        <w:tc>
          <w:tcPr>
            <w:tcW w:w="2620" w:type="dxa"/>
            <w:tcBorders>
              <w:top w:val="single" w:sz="4" w:space="0" w:color="auto"/>
              <w:left w:val="single" w:sz="4" w:space="0" w:color="auto"/>
              <w:bottom w:val="single" w:sz="4" w:space="0" w:color="auto"/>
              <w:right w:val="nil"/>
            </w:tcBorders>
            <w:shd w:val="clear" w:color="000000" w:fill="C5D9F1"/>
            <w:noWrap/>
            <w:vAlign w:val="center"/>
            <w:hideMark/>
          </w:tcPr>
          <w:p w:rsidR="009C07FA" w:rsidRPr="00166559" w:rsidRDefault="009C07FA" w:rsidP="00A31BF3">
            <w:pPr>
              <w:jc w:val="center"/>
              <w:rPr>
                <w:rFonts w:eastAsia="Times New Roman"/>
                <w:i/>
                <w:iCs/>
                <w:sz w:val="20"/>
                <w:lang w:val="fr-CH" w:eastAsia="en-US"/>
              </w:rPr>
            </w:pPr>
            <w:r w:rsidRPr="00166559">
              <w:rPr>
                <w:rFonts w:eastAsia="Times New Roman"/>
                <w:i/>
                <w:iCs/>
                <w:sz w:val="20"/>
                <w:lang w:val="fr-CH" w:eastAsia="en-US"/>
              </w:rPr>
              <w:t>Pays</w:t>
            </w:r>
          </w:p>
        </w:tc>
        <w:tc>
          <w:tcPr>
            <w:tcW w:w="1820" w:type="dxa"/>
            <w:tcBorders>
              <w:top w:val="single" w:sz="4" w:space="0" w:color="auto"/>
              <w:left w:val="nil"/>
              <w:bottom w:val="single" w:sz="4" w:space="0" w:color="auto"/>
              <w:right w:val="nil"/>
            </w:tcBorders>
            <w:shd w:val="clear" w:color="000000" w:fill="C5D9F1"/>
            <w:noWrap/>
            <w:vAlign w:val="center"/>
            <w:hideMark/>
          </w:tcPr>
          <w:p w:rsidR="009C07FA" w:rsidRPr="00166559" w:rsidRDefault="009C07FA" w:rsidP="00A31BF3">
            <w:pPr>
              <w:jc w:val="center"/>
              <w:rPr>
                <w:rFonts w:eastAsia="Times New Roman"/>
                <w:i/>
                <w:iCs/>
                <w:sz w:val="20"/>
                <w:lang w:val="fr-CH" w:eastAsia="en-US"/>
              </w:rPr>
            </w:pPr>
            <w:r w:rsidRPr="00166559">
              <w:rPr>
                <w:rFonts w:eastAsia="Times New Roman"/>
                <w:i/>
                <w:iCs/>
                <w:sz w:val="20"/>
                <w:lang w:val="fr-CH" w:eastAsia="en-US"/>
              </w:rPr>
              <w:t>Classe</w:t>
            </w:r>
          </w:p>
        </w:tc>
        <w:tc>
          <w:tcPr>
            <w:tcW w:w="2050" w:type="dxa"/>
            <w:tcBorders>
              <w:top w:val="single" w:sz="4" w:space="0" w:color="auto"/>
              <w:left w:val="single" w:sz="4" w:space="0" w:color="auto"/>
              <w:bottom w:val="single" w:sz="4" w:space="0" w:color="auto"/>
              <w:right w:val="nil"/>
            </w:tcBorders>
            <w:shd w:val="clear" w:color="000000" w:fill="C5D9F1"/>
            <w:noWrap/>
            <w:vAlign w:val="center"/>
            <w:hideMark/>
          </w:tcPr>
          <w:p w:rsidR="009C07FA" w:rsidRPr="00166559" w:rsidRDefault="009C07FA" w:rsidP="00A31BF3">
            <w:pPr>
              <w:jc w:val="center"/>
              <w:rPr>
                <w:rFonts w:eastAsia="Times New Roman"/>
                <w:i/>
                <w:iCs/>
                <w:sz w:val="20"/>
                <w:lang w:val="fr-CH" w:eastAsia="en-US"/>
              </w:rPr>
            </w:pPr>
            <w:r w:rsidRPr="00166559">
              <w:rPr>
                <w:rFonts w:eastAsia="Times New Roman"/>
                <w:i/>
                <w:iCs/>
                <w:sz w:val="20"/>
                <w:lang w:val="fr-CH" w:eastAsia="en-US"/>
              </w:rPr>
              <w:t>Unités/Pondération</w:t>
            </w:r>
          </w:p>
        </w:tc>
        <w:tc>
          <w:tcPr>
            <w:tcW w:w="1740" w:type="dxa"/>
            <w:tcBorders>
              <w:top w:val="single" w:sz="4" w:space="0" w:color="auto"/>
              <w:left w:val="nil"/>
              <w:bottom w:val="single" w:sz="4" w:space="0" w:color="auto"/>
              <w:right w:val="single" w:sz="4" w:space="0" w:color="auto"/>
            </w:tcBorders>
            <w:shd w:val="clear" w:color="000000" w:fill="C5D9F1"/>
            <w:noWrap/>
            <w:vAlign w:val="center"/>
            <w:hideMark/>
          </w:tcPr>
          <w:p w:rsidR="009C07FA" w:rsidRPr="00166559" w:rsidRDefault="009C07FA" w:rsidP="00A31BF3">
            <w:pPr>
              <w:jc w:val="center"/>
              <w:rPr>
                <w:rFonts w:eastAsia="Times New Roman"/>
                <w:i/>
                <w:iCs/>
                <w:sz w:val="20"/>
                <w:lang w:val="fr-CH" w:eastAsia="en-US"/>
              </w:rPr>
            </w:pPr>
            <w:r w:rsidRPr="00166559">
              <w:rPr>
                <w:rFonts w:eastAsia="Times New Roman"/>
                <w:i/>
                <w:iCs/>
                <w:sz w:val="20"/>
                <w:lang w:val="fr-CH" w:eastAsia="en-US"/>
              </w:rPr>
              <w:t>Montant</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Algérie</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IX</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6 935</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Bosnie</w:t>
            </w:r>
            <w:r w:rsidRPr="00166559">
              <w:rPr>
                <w:rFonts w:eastAsia="Times New Roman"/>
                <w:sz w:val="18"/>
                <w:szCs w:val="18"/>
                <w:lang w:val="fr-CH" w:eastAsia="en-US"/>
              </w:rPr>
              <w:noBreakHyphen/>
              <w:t>Herzégovine</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proofErr w:type="spellStart"/>
            <w:r w:rsidRPr="00166559">
              <w:rPr>
                <w:rFonts w:eastAsia="Times New Roman"/>
                <w:sz w:val="18"/>
                <w:szCs w:val="18"/>
                <w:lang w:val="fr-CH" w:eastAsia="en-US"/>
              </w:rPr>
              <w:t>S</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1 734</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Bulgarie</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proofErr w:type="spellStart"/>
            <w:r w:rsidRPr="00166559">
              <w:rPr>
                <w:rFonts w:eastAsia="Times New Roman"/>
                <w:sz w:val="18"/>
                <w:szCs w:val="18"/>
                <w:lang w:val="fr-CH" w:eastAsia="en-US"/>
              </w:rPr>
              <w:t>VI</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2</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55 483</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Burkina Faso</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proofErr w:type="spellStart"/>
            <w:r w:rsidRPr="00166559">
              <w:rPr>
                <w:rFonts w:eastAsia="Times New Roman"/>
                <w:sz w:val="18"/>
                <w:szCs w:val="18"/>
                <w:lang w:val="fr-CH" w:eastAsia="en-US"/>
              </w:rPr>
              <w:t>S</w:t>
            </w:r>
            <w:r w:rsidRPr="00166559">
              <w:rPr>
                <w:rFonts w:eastAsia="Times New Roman"/>
                <w:i/>
                <w:iCs/>
                <w:sz w:val="18"/>
                <w:szCs w:val="18"/>
                <w:lang w:val="fr-CH" w:eastAsia="en-US"/>
              </w:rPr>
              <w:t>ter</w:t>
            </w:r>
            <w:proofErr w:type="spellEnd"/>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0,03125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867</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 xml:space="preserve">Congo </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proofErr w:type="spellStart"/>
            <w:r w:rsidRPr="00166559">
              <w:rPr>
                <w:rFonts w:eastAsia="Times New Roman"/>
                <w:sz w:val="18"/>
                <w:szCs w:val="18"/>
                <w:lang w:val="fr-CH" w:eastAsia="en-US"/>
              </w:rPr>
              <w:t>S</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1 734</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Costa Rica</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S</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3 468</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Cuba</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S</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3 468</w:t>
            </w:r>
          </w:p>
        </w:tc>
      </w:tr>
      <w:tr w:rsidR="009C07FA" w:rsidRPr="00166559" w:rsidTr="00A31BF3">
        <w:trPr>
          <w:trHeight w:val="480"/>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Ex</w:t>
            </w:r>
            <w:r w:rsidRPr="00166559">
              <w:rPr>
                <w:rFonts w:eastAsia="Times New Roman"/>
                <w:sz w:val="18"/>
                <w:szCs w:val="18"/>
                <w:lang w:val="fr-CH" w:eastAsia="en-US"/>
              </w:rPr>
              <w:noBreakHyphen/>
              <w:t>République yougoslave de Macédoine</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VIII</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13 871</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France</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I</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693 541</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Gabon</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S</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3 468</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Géorgie</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IX</w:t>
            </w:r>
          </w:p>
        </w:tc>
        <w:tc>
          <w:tcPr>
            <w:tcW w:w="2050" w:type="dxa"/>
            <w:tcBorders>
              <w:top w:val="nil"/>
              <w:left w:val="nil"/>
              <w:bottom w:val="nil"/>
              <w:right w:val="nil"/>
            </w:tcBorders>
            <w:shd w:val="clear" w:color="auto" w:fill="auto"/>
            <w:vAlign w:val="center"/>
            <w:hideMark/>
          </w:tcPr>
          <w:p w:rsidR="009C07FA" w:rsidRPr="00166559" w:rsidRDefault="009C07FA" w:rsidP="00A31BF3">
            <w:pPr>
              <w:jc w:val="right"/>
              <w:rPr>
                <w:rFonts w:eastAsia="Times New Roman"/>
                <w:sz w:val="18"/>
                <w:szCs w:val="18"/>
                <w:lang w:val="fr-CH" w:eastAsia="en-US"/>
              </w:rPr>
            </w:pPr>
            <w:r w:rsidRPr="00166559">
              <w:rPr>
                <w:rFonts w:eastAsia="Times New Roman"/>
                <w:sz w:val="18"/>
                <w:szCs w:val="18"/>
                <w:lang w:val="fr-CH" w:eastAsia="en-US"/>
              </w:rPr>
              <w:t>0,25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6 935</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Haïti</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proofErr w:type="spellStart"/>
            <w:r w:rsidRPr="00166559">
              <w:rPr>
                <w:rFonts w:eastAsia="Times New Roman"/>
                <w:sz w:val="18"/>
                <w:szCs w:val="18"/>
                <w:lang w:val="fr-CH" w:eastAsia="en-US"/>
              </w:rPr>
              <w:t>S</w:t>
            </w:r>
            <w:r w:rsidRPr="00166559">
              <w:rPr>
                <w:rFonts w:eastAsia="Times New Roman"/>
                <w:i/>
                <w:iCs/>
                <w:sz w:val="18"/>
                <w:szCs w:val="18"/>
                <w:lang w:val="fr-CH" w:eastAsia="en-US"/>
              </w:rPr>
              <w:t>ter</w:t>
            </w:r>
            <w:proofErr w:type="spellEnd"/>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0,03125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867</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Hongrie</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VI</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3</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83 225</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Iran (République islamique d’)</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VII</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1</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27 742</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Israël</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proofErr w:type="spellStart"/>
            <w:r w:rsidRPr="00166559">
              <w:rPr>
                <w:rFonts w:eastAsia="Times New Roman"/>
                <w:sz w:val="18"/>
                <w:szCs w:val="18"/>
                <w:lang w:val="fr-CH" w:eastAsia="en-US"/>
              </w:rPr>
              <w:t>VI</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2</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55 483</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Italie</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III</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15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416 125</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Mexique</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proofErr w:type="spellStart"/>
            <w:r w:rsidRPr="00166559">
              <w:rPr>
                <w:rFonts w:eastAsia="Times New Roman"/>
                <w:sz w:val="18"/>
                <w:szCs w:val="18"/>
                <w:lang w:val="fr-CH" w:eastAsia="en-US"/>
              </w:rPr>
              <w:t>IV</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7,5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208 062</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Monténégro</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IX</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6 935</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Nicaragua</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proofErr w:type="spellStart"/>
            <w:r w:rsidRPr="00166559">
              <w:rPr>
                <w:rFonts w:eastAsia="Times New Roman"/>
                <w:sz w:val="18"/>
                <w:szCs w:val="18"/>
                <w:lang w:val="fr-CH" w:eastAsia="en-US"/>
              </w:rPr>
              <w:t>S</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1 734</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Pérou</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IX</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6 935</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Portugal</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proofErr w:type="spellStart"/>
            <w:r w:rsidRPr="00166559">
              <w:rPr>
                <w:rFonts w:eastAsia="Times New Roman"/>
                <w:sz w:val="18"/>
                <w:szCs w:val="18"/>
                <w:lang w:val="fr-CH" w:eastAsia="en-US"/>
              </w:rPr>
              <w:t>IV</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7,5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208 062</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 xml:space="preserve">République de Moldova </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IX</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6 935</w:t>
            </w:r>
          </w:p>
        </w:tc>
      </w:tr>
      <w:tr w:rsidR="009C07FA" w:rsidRPr="00166559" w:rsidTr="00A31BF3">
        <w:trPr>
          <w:trHeight w:val="480"/>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République populaire démocratique de Corée</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proofErr w:type="spellStart"/>
            <w:r w:rsidRPr="00166559">
              <w:rPr>
                <w:rFonts w:eastAsia="Times New Roman"/>
                <w:sz w:val="18"/>
                <w:szCs w:val="18"/>
                <w:lang w:val="fr-CH" w:eastAsia="en-US"/>
              </w:rPr>
              <w:t>S</w:t>
            </w:r>
            <w:r w:rsidRPr="00166559">
              <w:rPr>
                <w:rFonts w:eastAsia="Times New Roman"/>
                <w:i/>
                <w:iCs/>
                <w:sz w:val="18"/>
                <w:szCs w:val="18"/>
                <w:lang w:val="fr-CH" w:eastAsia="en-US"/>
              </w:rPr>
              <w:t>bis</w:t>
            </w:r>
            <w:proofErr w:type="spellEnd"/>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0,0625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1 734</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 xml:space="preserve">République tchèque </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VI</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3</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83 225</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Serbie</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VIII</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13 871</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Slovaquie</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VI</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3</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83 225</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Togo</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proofErr w:type="spellStart"/>
            <w:r w:rsidRPr="00166559">
              <w:rPr>
                <w:rFonts w:eastAsia="Times New Roman"/>
                <w:sz w:val="18"/>
                <w:szCs w:val="18"/>
                <w:lang w:val="fr-CH" w:eastAsia="en-US"/>
              </w:rPr>
              <w:t>S</w:t>
            </w:r>
            <w:r w:rsidRPr="00166559">
              <w:rPr>
                <w:rFonts w:eastAsia="Times New Roman"/>
                <w:i/>
                <w:iCs/>
                <w:sz w:val="18"/>
                <w:szCs w:val="18"/>
                <w:lang w:val="fr-CH" w:eastAsia="en-US"/>
              </w:rPr>
              <w:t>ter</w:t>
            </w:r>
            <w:proofErr w:type="spellEnd"/>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0,03125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867</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sz w:val="18"/>
                <w:szCs w:val="18"/>
                <w:lang w:val="fr-CH" w:eastAsia="en-US"/>
              </w:rPr>
            </w:pPr>
            <w:r w:rsidRPr="00166559">
              <w:rPr>
                <w:rFonts w:eastAsia="Times New Roman"/>
                <w:sz w:val="18"/>
                <w:szCs w:val="18"/>
                <w:lang w:val="fr-CH" w:eastAsia="en-US"/>
              </w:rPr>
              <w:t>Tunisie</w:t>
            </w:r>
          </w:p>
        </w:tc>
        <w:tc>
          <w:tcPr>
            <w:tcW w:w="1820" w:type="dxa"/>
            <w:tcBorders>
              <w:top w:val="nil"/>
              <w:left w:val="nil"/>
              <w:bottom w:val="nil"/>
              <w:right w:val="nil"/>
            </w:tcBorders>
            <w:shd w:val="clear" w:color="auto" w:fill="auto"/>
            <w:vAlign w:val="center"/>
            <w:hideMark/>
          </w:tcPr>
          <w:p w:rsidR="009C07FA" w:rsidRPr="00166559" w:rsidRDefault="009C07FA" w:rsidP="00A31BF3">
            <w:pPr>
              <w:jc w:val="center"/>
              <w:rPr>
                <w:rFonts w:eastAsia="Times New Roman"/>
                <w:sz w:val="18"/>
                <w:szCs w:val="18"/>
                <w:lang w:val="fr-CH" w:eastAsia="en-US"/>
              </w:rPr>
            </w:pPr>
            <w:r w:rsidRPr="00166559">
              <w:rPr>
                <w:rFonts w:eastAsia="Times New Roman"/>
                <w:sz w:val="18"/>
                <w:szCs w:val="18"/>
                <w:lang w:val="fr-CH" w:eastAsia="en-US"/>
              </w:rPr>
              <w:t>S</w:t>
            </w:r>
          </w:p>
        </w:tc>
        <w:tc>
          <w:tcPr>
            <w:tcW w:w="205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0,125</w:t>
            </w: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sz w:val="20"/>
                <w:lang w:val="fr-CH" w:eastAsia="en-US"/>
              </w:rPr>
            </w:pPr>
            <w:r w:rsidRPr="00166559">
              <w:rPr>
                <w:rFonts w:eastAsia="Times New Roman"/>
                <w:sz w:val="20"/>
                <w:lang w:val="fr-CH" w:eastAsia="en-US"/>
              </w:rPr>
              <w:t>3 468</w:t>
            </w:r>
          </w:p>
        </w:tc>
      </w:tr>
      <w:tr w:rsidR="009C07FA" w:rsidRPr="00166559" w:rsidTr="00A31BF3">
        <w:trPr>
          <w:trHeight w:val="255"/>
          <w:jc w:val="center"/>
        </w:trPr>
        <w:tc>
          <w:tcPr>
            <w:tcW w:w="2620" w:type="dxa"/>
            <w:tcBorders>
              <w:top w:val="nil"/>
              <w:left w:val="nil"/>
              <w:bottom w:val="nil"/>
              <w:right w:val="nil"/>
            </w:tcBorders>
            <w:shd w:val="clear" w:color="auto" w:fill="auto"/>
            <w:vAlign w:val="center"/>
            <w:hideMark/>
          </w:tcPr>
          <w:p w:rsidR="009C07FA" w:rsidRPr="00166559" w:rsidRDefault="009C07FA" w:rsidP="00A31BF3">
            <w:pPr>
              <w:rPr>
                <w:rFonts w:eastAsia="Times New Roman"/>
                <w:b/>
                <w:bCs/>
                <w:sz w:val="18"/>
                <w:szCs w:val="18"/>
                <w:lang w:val="fr-CH" w:eastAsia="en-US"/>
              </w:rPr>
            </w:pPr>
            <w:r w:rsidRPr="00166559">
              <w:rPr>
                <w:rFonts w:eastAsia="Times New Roman"/>
                <w:b/>
                <w:bCs/>
                <w:sz w:val="18"/>
                <w:szCs w:val="18"/>
                <w:lang w:val="fr-CH" w:eastAsia="en-US"/>
              </w:rPr>
              <w:t xml:space="preserve">Total des contributions </w:t>
            </w:r>
          </w:p>
        </w:tc>
        <w:tc>
          <w:tcPr>
            <w:tcW w:w="1820" w:type="dxa"/>
            <w:tcBorders>
              <w:top w:val="nil"/>
              <w:left w:val="nil"/>
              <w:bottom w:val="nil"/>
              <w:right w:val="nil"/>
            </w:tcBorders>
            <w:shd w:val="clear" w:color="auto" w:fill="auto"/>
            <w:noWrap/>
            <w:vAlign w:val="bottom"/>
            <w:hideMark/>
          </w:tcPr>
          <w:p w:rsidR="009C07FA" w:rsidRPr="00166559" w:rsidRDefault="009C07FA" w:rsidP="00A31BF3">
            <w:pPr>
              <w:rPr>
                <w:rFonts w:eastAsia="Times New Roman"/>
                <w:sz w:val="20"/>
                <w:lang w:val="fr-CH" w:eastAsia="en-US"/>
              </w:rPr>
            </w:pPr>
          </w:p>
        </w:tc>
        <w:tc>
          <w:tcPr>
            <w:tcW w:w="2050" w:type="dxa"/>
            <w:tcBorders>
              <w:top w:val="nil"/>
              <w:left w:val="nil"/>
              <w:bottom w:val="nil"/>
              <w:right w:val="nil"/>
            </w:tcBorders>
            <w:shd w:val="clear" w:color="auto" w:fill="auto"/>
            <w:noWrap/>
            <w:vAlign w:val="bottom"/>
            <w:hideMark/>
          </w:tcPr>
          <w:p w:rsidR="009C07FA" w:rsidRPr="00166559" w:rsidRDefault="009C07FA" w:rsidP="00A31BF3">
            <w:pPr>
              <w:rPr>
                <w:rFonts w:eastAsia="Times New Roman"/>
                <w:sz w:val="20"/>
                <w:lang w:val="fr-CH" w:eastAsia="en-US"/>
              </w:rPr>
            </w:pPr>
          </w:p>
        </w:tc>
        <w:tc>
          <w:tcPr>
            <w:tcW w:w="1740" w:type="dxa"/>
            <w:tcBorders>
              <w:top w:val="nil"/>
              <w:left w:val="nil"/>
              <w:bottom w:val="nil"/>
              <w:right w:val="nil"/>
            </w:tcBorders>
            <w:shd w:val="clear" w:color="auto" w:fill="auto"/>
            <w:noWrap/>
            <w:vAlign w:val="bottom"/>
            <w:hideMark/>
          </w:tcPr>
          <w:p w:rsidR="009C07FA" w:rsidRPr="00166559" w:rsidRDefault="009C07FA" w:rsidP="00A31BF3">
            <w:pPr>
              <w:jc w:val="right"/>
              <w:rPr>
                <w:rFonts w:eastAsia="Times New Roman"/>
                <w:b/>
                <w:bCs/>
                <w:sz w:val="20"/>
                <w:lang w:val="fr-CH" w:eastAsia="en-US"/>
              </w:rPr>
            </w:pPr>
            <w:r w:rsidRPr="00166559">
              <w:rPr>
                <w:rFonts w:eastAsia="Times New Roman"/>
                <w:b/>
                <w:bCs/>
                <w:sz w:val="20"/>
                <w:lang w:val="fr-CH" w:eastAsia="en-US"/>
              </w:rPr>
              <w:t>2 000 000</w:t>
            </w:r>
          </w:p>
        </w:tc>
      </w:tr>
    </w:tbl>
    <w:p w:rsidR="009C07FA" w:rsidRPr="00166559" w:rsidRDefault="009C07FA" w:rsidP="009C07FA">
      <w:pPr>
        <w:tabs>
          <w:tab w:val="left" w:pos="6096"/>
        </w:tabs>
        <w:spacing w:after="220"/>
        <w:contextualSpacing/>
        <w:jc w:val="center"/>
        <w:rPr>
          <w:rFonts w:eastAsiaTheme="minorHAnsi" w:cstheme="minorBidi"/>
          <w:b/>
          <w:szCs w:val="22"/>
          <w:lang w:val="fr-FR" w:eastAsia="en-US"/>
        </w:rPr>
      </w:pPr>
    </w:p>
    <w:p w:rsidR="009C07FA" w:rsidRPr="00166559" w:rsidRDefault="009C07FA" w:rsidP="009C07FA">
      <w:pPr>
        <w:ind w:left="720"/>
        <w:contextualSpacing/>
        <w:rPr>
          <w:rFonts w:eastAsiaTheme="minorHAnsi"/>
          <w:sz w:val="18"/>
          <w:szCs w:val="18"/>
          <w:lang w:val="fr-FR" w:eastAsia="en-US"/>
        </w:rPr>
      </w:pPr>
      <w:r w:rsidRPr="00166559">
        <w:rPr>
          <w:rFonts w:eastAsiaTheme="minorHAnsi"/>
          <w:sz w:val="18"/>
          <w:szCs w:val="18"/>
          <w:lang w:val="fr-FR" w:eastAsia="en-US"/>
        </w:rPr>
        <w:t>*La classe de contribution de la plupart des pays en développement est fondée sur le barème des contributions de l’Organisation des Nations Unies.</w:t>
      </w:r>
      <w:r w:rsidRPr="00166559">
        <w:rPr>
          <w:sz w:val="18"/>
          <w:lang w:val="fr-FR"/>
        </w:rPr>
        <w:t xml:space="preserve"> </w:t>
      </w:r>
      <w:r w:rsidRPr="00166559">
        <w:rPr>
          <w:rFonts w:eastAsiaTheme="minorHAnsi"/>
          <w:sz w:val="18"/>
          <w:szCs w:val="18"/>
          <w:lang w:val="fr-FR" w:eastAsia="en-US"/>
        </w:rPr>
        <w:t xml:space="preserve"> Le barème actuel est valable pour les années 2013 à 2015.</w:t>
      </w:r>
      <w:r w:rsidRPr="00166559">
        <w:rPr>
          <w:sz w:val="18"/>
          <w:lang w:val="fr-FR"/>
        </w:rPr>
        <w:t xml:space="preserve">  </w:t>
      </w:r>
      <w:r w:rsidRPr="00166559">
        <w:rPr>
          <w:rFonts w:eastAsiaTheme="minorHAnsi"/>
          <w:sz w:val="18"/>
          <w:szCs w:val="18"/>
          <w:lang w:val="fr-FR" w:eastAsia="en-US"/>
        </w:rPr>
        <w:t>Le nouveau barème pour 2016</w:t>
      </w:r>
      <w:r w:rsidRPr="00166559">
        <w:rPr>
          <w:rFonts w:eastAsiaTheme="minorHAnsi"/>
          <w:sz w:val="18"/>
          <w:szCs w:val="18"/>
          <w:lang w:val="fr-FR" w:eastAsia="en-US"/>
        </w:rPr>
        <w:noBreakHyphen/>
        <w:t>2018 sera approuvé en décembre 2015 par l’Assemblée générale des Nations Unies.</w:t>
      </w:r>
      <w:r w:rsidRPr="00166559">
        <w:rPr>
          <w:sz w:val="18"/>
          <w:lang w:val="fr-FR"/>
        </w:rPr>
        <w:t xml:space="preserve">  </w:t>
      </w:r>
      <w:r w:rsidRPr="00166559">
        <w:rPr>
          <w:rFonts w:eastAsiaTheme="minorHAnsi"/>
          <w:sz w:val="18"/>
          <w:szCs w:val="18"/>
          <w:lang w:val="fr-FR" w:eastAsia="en-US"/>
        </w:rPr>
        <w:t>Les montants précis que devront verser certains pays pourraient donc légèrement changer.</w:t>
      </w:r>
    </w:p>
    <w:p w:rsidR="009C07FA" w:rsidRPr="00166559" w:rsidRDefault="009C07FA" w:rsidP="009C07FA">
      <w:pPr>
        <w:tabs>
          <w:tab w:val="left" w:pos="6096"/>
        </w:tabs>
        <w:contextualSpacing/>
        <w:rPr>
          <w:rFonts w:eastAsiaTheme="minorHAnsi" w:cstheme="minorBidi"/>
          <w:b/>
          <w:szCs w:val="22"/>
          <w:lang w:val="fr-FR" w:eastAsia="en-US"/>
        </w:rPr>
      </w:pPr>
    </w:p>
    <w:p w:rsidR="009C07FA" w:rsidRPr="00166559" w:rsidRDefault="009C07FA" w:rsidP="009C07FA">
      <w:pPr>
        <w:rPr>
          <w:lang w:val="fr-FR"/>
        </w:rPr>
      </w:pPr>
    </w:p>
    <w:p w:rsidR="009C07FA" w:rsidRPr="00166559" w:rsidRDefault="009C07FA" w:rsidP="009C07FA">
      <w:pPr>
        <w:rPr>
          <w:lang w:val="fr-FR"/>
        </w:rPr>
      </w:pPr>
    </w:p>
    <w:p w:rsidR="009C07FA" w:rsidRPr="00166559" w:rsidRDefault="009C07FA" w:rsidP="009C07FA">
      <w:pPr>
        <w:pStyle w:val="Endofdocument-Annex"/>
        <w:rPr>
          <w:lang w:val="fr-FR"/>
        </w:rPr>
      </w:pPr>
      <w:r w:rsidRPr="00166559">
        <w:rPr>
          <w:lang w:val="fr-FR"/>
        </w:rPr>
        <w:t>[Fin de l’annexe et du document]</w:t>
      </w:r>
    </w:p>
    <w:p w:rsidR="006E47D3" w:rsidRPr="006F32FC" w:rsidRDefault="006E47D3" w:rsidP="007373E8">
      <w:pPr>
        <w:rPr>
          <w:lang w:val="fr-FR"/>
        </w:rPr>
      </w:pPr>
    </w:p>
    <w:sectPr w:rsidR="006E47D3" w:rsidRPr="006F32FC" w:rsidSect="00933D8B">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93D" w:rsidRDefault="00BA093D">
      <w:r>
        <w:separator/>
      </w:r>
    </w:p>
  </w:endnote>
  <w:endnote w:type="continuationSeparator" w:id="0">
    <w:p w:rsidR="00BA093D" w:rsidRDefault="00BA093D" w:rsidP="003B38C1">
      <w:r>
        <w:separator/>
      </w:r>
    </w:p>
    <w:p w:rsidR="00BA093D" w:rsidRPr="003B38C1" w:rsidRDefault="00BA093D" w:rsidP="003B38C1">
      <w:pPr>
        <w:spacing w:after="60"/>
        <w:rPr>
          <w:sz w:val="17"/>
        </w:rPr>
      </w:pPr>
      <w:r>
        <w:rPr>
          <w:sz w:val="17"/>
        </w:rPr>
        <w:t>[Endnote continued from previous page]</w:t>
      </w:r>
    </w:p>
  </w:endnote>
  <w:endnote w:type="continuationNotice" w:id="1">
    <w:p w:rsidR="00BA093D" w:rsidRPr="003B38C1" w:rsidRDefault="00BA09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A" w:rsidRPr="002F32FA" w:rsidRDefault="009C07FA" w:rsidP="002F32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D8B" w:rsidRPr="00933D8B" w:rsidRDefault="002F32FA" w:rsidP="00933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93D" w:rsidRDefault="00BA093D">
      <w:r>
        <w:separator/>
      </w:r>
    </w:p>
  </w:footnote>
  <w:footnote w:type="continuationSeparator" w:id="0">
    <w:p w:rsidR="00BA093D" w:rsidRDefault="00BA093D" w:rsidP="008B60B2">
      <w:r>
        <w:separator/>
      </w:r>
    </w:p>
    <w:p w:rsidR="00BA093D" w:rsidRPr="00ED77FB" w:rsidRDefault="00BA093D" w:rsidP="008B60B2">
      <w:pPr>
        <w:spacing w:after="60"/>
        <w:rPr>
          <w:sz w:val="17"/>
          <w:szCs w:val="17"/>
        </w:rPr>
      </w:pPr>
      <w:r w:rsidRPr="00ED77FB">
        <w:rPr>
          <w:sz w:val="17"/>
          <w:szCs w:val="17"/>
        </w:rPr>
        <w:t>[Footnote continued from previous page]</w:t>
      </w:r>
    </w:p>
  </w:footnote>
  <w:footnote w:type="continuationNotice" w:id="1">
    <w:p w:rsidR="00BA093D" w:rsidRPr="00ED77FB" w:rsidRDefault="00BA093D" w:rsidP="008B60B2">
      <w:pPr>
        <w:spacing w:before="60"/>
        <w:jc w:val="right"/>
        <w:rPr>
          <w:sz w:val="17"/>
          <w:szCs w:val="17"/>
        </w:rPr>
      </w:pPr>
      <w:r w:rsidRPr="00ED77FB">
        <w:rPr>
          <w:sz w:val="17"/>
          <w:szCs w:val="17"/>
        </w:rPr>
        <w:t>[Footnote continued on next page]</w:t>
      </w:r>
    </w:p>
  </w:footnote>
  <w:footnote w:id="2">
    <w:p w:rsidR="009C07FA" w:rsidRPr="00380525" w:rsidRDefault="009C07FA" w:rsidP="009C07FA">
      <w:pPr>
        <w:pStyle w:val="FootnoteText"/>
        <w:rPr>
          <w:lang w:val="fr-CH"/>
        </w:rPr>
      </w:pPr>
      <w:r>
        <w:rPr>
          <w:rStyle w:val="FootnoteReference"/>
        </w:rPr>
        <w:footnoteRef/>
      </w:r>
      <w:r w:rsidRPr="00380525">
        <w:rPr>
          <w:lang w:val="fr-CH"/>
        </w:rPr>
        <w:t xml:space="preserve"> </w:t>
      </w:r>
      <w:r>
        <w:rPr>
          <w:lang w:val="fr-CH"/>
        </w:rPr>
        <w:tab/>
        <w:t>Document LI/A/32/2.</w:t>
      </w:r>
    </w:p>
  </w:footnote>
  <w:footnote w:id="3">
    <w:p w:rsidR="009C07FA" w:rsidRPr="002F64ED" w:rsidRDefault="009C07FA" w:rsidP="009C07FA">
      <w:pPr>
        <w:pStyle w:val="FootnoteText"/>
        <w:rPr>
          <w:lang w:val="fr-CH"/>
        </w:rPr>
      </w:pPr>
      <w:r>
        <w:rPr>
          <w:rStyle w:val="FootnoteReference"/>
        </w:rPr>
        <w:footnoteRef/>
      </w:r>
      <w:r w:rsidRPr="002F64ED">
        <w:rPr>
          <w:lang w:val="fr-CH"/>
        </w:rPr>
        <w:t xml:space="preserve"> </w:t>
      </w:r>
      <w:r w:rsidRPr="002F64ED">
        <w:rPr>
          <w:lang w:val="fr-CH"/>
        </w:rPr>
        <w:tab/>
        <w:t>WO/PBC/23/9.</w:t>
      </w:r>
    </w:p>
  </w:footnote>
  <w:footnote w:id="4">
    <w:p w:rsidR="009C07FA" w:rsidRPr="00166559" w:rsidRDefault="009C07FA" w:rsidP="009C07FA">
      <w:pPr>
        <w:pStyle w:val="FootnoteText"/>
        <w:rPr>
          <w:lang w:val="fr-CH"/>
        </w:rPr>
      </w:pPr>
      <w:r>
        <w:rPr>
          <w:rStyle w:val="FootnoteReference"/>
        </w:rPr>
        <w:footnoteRef/>
      </w:r>
      <w:r w:rsidRPr="00F218FB">
        <w:rPr>
          <w:lang w:val="fr-CH"/>
        </w:rPr>
        <w:t xml:space="preserve"> </w:t>
      </w:r>
      <w:r w:rsidRPr="00F218FB">
        <w:rPr>
          <w:lang w:val="fr-CH"/>
        </w:rPr>
        <w:tab/>
      </w:r>
      <w:r w:rsidRPr="00166559">
        <w:rPr>
          <w:lang w:val="fr-CH"/>
        </w:rPr>
        <w:t>Programme et budget proposé pour l'exercice biennal 2016-2017, annexe III, tableau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964E4" w:rsidP="00477D6B">
    <w:pPr>
      <w:jc w:val="right"/>
    </w:pPr>
    <w:bookmarkStart w:id="5" w:name="Code2"/>
    <w:bookmarkEnd w:id="5"/>
    <w:r>
      <w:t>WO/CC/71/6</w:t>
    </w:r>
  </w:p>
  <w:p w:rsidR="00EC4E49" w:rsidRPr="007A1074" w:rsidRDefault="00EC4E49" w:rsidP="00477D6B">
    <w:pPr>
      <w:jc w:val="right"/>
    </w:pPr>
    <w:proofErr w:type="gramStart"/>
    <w:r w:rsidRPr="007A1074">
      <w:t>page</w:t>
    </w:r>
    <w:proofErr w:type="gramEnd"/>
    <w:r w:rsidRPr="007A1074">
      <w:t xml:space="preserve"> </w:t>
    </w:r>
    <w:r w:rsidRPr="007A1074">
      <w:fldChar w:fldCharType="begin"/>
    </w:r>
    <w:r w:rsidRPr="007A1074">
      <w:instrText xml:space="preserve"> PAGE  \* MERGEFORMAT </w:instrText>
    </w:r>
    <w:r w:rsidRPr="007A1074">
      <w:fldChar w:fldCharType="separate"/>
    </w:r>
    <w:r w:rsidR="002F32FA">
      <w:rPr>
        <w:noProof/>
      </w:rPr>
      <w:t>2</w:t>
    </w:r>
    <w:r w:rsidRPr="007A1074">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A" w:rsidRDefault="009C07FA" w:rsidP="00477D6B">
    <w:pPr>
      <w:jc w:val="right"/>
    </w:pPr>
    <w:r>
      <w:t>LI/A/32/4</w:t>
    </w:r>
  </w:p>
  <w:p w:rsidR="009C07FA" w:rsidRDefault="009C07FA" w:rsidP="00477D6B">
    <w:pPr>
      <w:jc w:val="right"/>
    </w:pPr>
    <w:proofErr w:type="gramStart"/>
    <w:r>
      <w:t>page</w:t>
    </w:r>
    <w:proofErr w:type="gramEnd"/>
    <w:r>
      <w:t xml:space="preserve"> </w:t>
    </w:r>
    <w:r>
      <w:fldChar w:fldCharType="begin"/>
    </w:r>
    <w:r>
      <w:instrText xml:space="preserve"> PAGE  \* MERGEFORMAT </w:instrText>
    </w:r>
    <w:r>
      <w:fldChar w:fldCharType="separate"/>
    </w:r>
    <w:r w:rsidR="002F32FA">
      <w:rPr>
        <w:noProof/>
      </w:rPr>
      <w:t>4</w:t>
    </w:r>
    <w:r>
      <w:fldChar w:fldCharType="end"/>
    </w:r>
  </w:p>
  <w:p w:rsidR="009C07FA" w:rsidRDefault="009C07F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E8" w:rsidRDefault="009C07FA" w:rsidP="00750CE8">
    <w:pPr>
      <w:jc w:val="right"/>
    </w:pPr>
    <w:r>
      <w:t>LI/A/32/4</w:t>
    </w:r>
  </w:p>
  <w:p w:rsidR="00750CE8" w:rsidRDefault="009C07FA" w:rsidP="00750CE8">
    <w:pPr>
      <w:jc w:val="right"/>
    </w:pPr>
    <w:r>
      <w:t>ANNEXE</w:t>
    </w:r>
  </w:p>
  <w:p w:rsidR="00750CE8" w:rsidRDefault="002F32FA" w:rsidP="00750CE8">
    <w:pPr>
      <w:jc w:val="right"/>
    </w:pPr>
  </w:p>
  <w:p w:rsidR="00750CE8" w:rsidRDefault="002F32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4AB6DF7"/>
    <w:multiLevelType w:val="hybridMultilevel"/>
    <w:tmpl w:val="F920E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ransmlp.wipo.int\TextBase TMs\WorkspaceFTS\EN-FR\ACE|transmlp.wipo.int\TextBase TMs\WorkspaceFTS\EN-FR\Administratif|transmlp.wipo.int\TextBase TMs\WorkspaceFTS\EN-FR\AMC|transmlp.wipo.int\TextBase TMs\WorkspaceFTS\EN-FR\Assemblées|transmlp.wipo.int\TextBase TMs\WorkspaceFTS\EN-FR\Budapest|transmlp.wipo.int\TextBase TMs\WorkspaceFTS\EN-FR\CDIP|transmlp.wipo.int\TextBase TMs\WorkspaceFTS\EN-FR\CWS|transmlp.wipo.int\TextBase TMs\WorkspaceFTS\EN-FR\Divers|transmlp.wipo.int\TextBase TMs\WorkspaceFTS\EN-FR\GRTKF|transmlp.wipo.int\TextBase TMs\WorkspaceFTS\EN-FR\Hague|transmlp.wipo.int\TextBase TMs\WorkspaceFTS\EN-FR\IPC|transmlp.wipo.int\TextBase TMs\WorkspaceFTS\EN-FR\Lisbonne|transmlp.wipo.int\TextBase TMs\WorkspaceFTS\EN-FR\Madrid|transmlp.wipo.int\TextBase TMs\WorkspaceFTS\EN-FR\PCT|transmlp.wipo.int\TextBase TMs\WorkspaceFTS\EN-FR\PLT|transmlp.wipo.int\TextBase TMs\WorkspaceFTS\EN-FR\SCCR|transmlp.wipo.int\TextBase TMs\UPOV\Publications|transmlp.wipo.int\TextBase TMs\WorkspaceFTS\EN-FR\SCP|transmlp.wipo.int\TextBase TMs\WorkspaceFTS\EN-FR\SCT|transmlp.wipo.int\TextBase TMs\WorkspaceFTS\EN-FR\UPOV|transmlp.wipo.int\TextBase TMs\WorkspaceFTS\EN-FR\WO_CC|transmlp.wipo.int\TextBase TMs\WorkspaceFTS\EN-FR\WO_GA|transmlp.wipo.int\TextBase TMs\UPOV\Meetings|transmlp.wipo.int\TextBase TMs\WorkspaceFTS\EN-FR\WO_PBC|transmlp.wipo.int\TextBase TMs\IP in General\Academy|transmlp.wipo.int\TextBase TMs\IP in General\Arbitration and Mediation|transmlp.wipo.int\TextBase TMs\IP in General\Meetings|transmlp.wipo.int\TextBase TMs\IP in General\Other|transmlp.wipo.int\TextBase TMs\UPOV\Other|transmlp.wipo.int\TextBase TMs\IP in General\Press Room|transmlp.wipo.int\TextBase TMs\IP in General\Publications|transmlp.wipo.int\TextBase TMs\IP in General\SpeechDG2014|transmlp.wipo.int\TextBase TMs\Glossaries\EN-FR|transmlp.wipo.int\TextBase TMs\Administrative\Meetings|transmlp.wipo.int\TextBase TMs\Administrative\Other|transmlp.wipo.int\TextBase TMs\Administrative\Publications|transmlp.wipo.int\TextBase TMs\Budget and Finance\Meetings|transmlp.wipo.int\TextBase TMs\Budget and Finance\Other|transmlp.wipo.int\TextBase TMs\Budget and Finance\Publications|transmlp.wipo.int\TextBase TMs\Patents\Meetings|transmlp.wipo.int\TextBase TMs\UPOV\Technical Guidelines|transmlp.wipo.int\TextBase TMs\Patents\Other|transmlp.wipo.int\TextBase TMs\Patents\Publications|transmlp.wipo.int\TextBase TMs\Trademarks\Meetings|transmlp.wipo.int\TextBase TMs\Trademarks\Other|transmlp.wipo.int\TextBase TMs\Trademarks\Publications|transmlp.wipo.int\TextBase TMs\Treaties\Model Laws|transmlp.wipo.int\TextBase TMs\Treaties\Other Laws and Agreements|transmlp.wipo.int\TextBase TMs\Treaties\WIPO-administered|transmlp.wipo.int\TextBase TMs\Copyright\Meetings|transmlp.wipo.int\TextBase TMs\Copyright\Other|transmlp.wipo.int\TextBase TMs\Copyright\Publications"/>
    <w:docVar w:name="TextBaseURL" w:val="empty"/>
    <w:docVar w:name="UILng" w:val="en"/>
  </w:docVars>
  <w:rsids>
    <w:rsidRoot w:val="00B964E4"/>
    <w:rsid w:val="000201BA"/>
    <w:rsid w:val="000266F6"/>
    <w:rsid w:val="00043CAA"/>
    <w:rsid w:val="00075432"/>
    <w:rsid w:val="000968ED"/>
    <w:rsid w:val="000D3051"/>
    <w:rsid w:val="000F5E56"/>
    <w:rsid w:val="001362EE"/>
    <w:rsid w:val="00171D8E"/>
    <w:rsid w:val="001832A6"/>
    <w:rsid w:val="001A3C60"/>
    <w:rsid w:val="001B1617"/>
    <w:rsid w:val="001B2F0C"/>
    <w:rsid w:val="001D5CB1"/>
    <w:rsid w:val="002634C4"/>
    <w:rsid w:val="002928D3"/>
    <w:rsid w:val="00297E76"/>
    <w:rsid w:val="002C71B2"/>
    <w:rsid w:val="002F1FE6"/>
    <w:rsid w:val="002F32FA"/>
    <w:rsid w:val="002F4E68"/>
    <w:rsid w:val="00302A9B"/>
    <w:rsid w:val="00312F7F"/>
    <w:rsid w:val="003228B7"/>
    <w:rsid w:val="003673CF"/>
    <w:rsid w:val="003845C1"/>
    <w:rsid w:val="003A6F89"/>
    <w:rsid w:val="003B38C1"/>
    <w:rsid w:val="003F58D0"/>
    <w:rsid w:val="00423E3E"/>
    <w:rsid w:val="00427AF4"/>
    <w:rsid w:val="004400E2"/>
    <w:rsid w:val="004505F2"/>
    <w:rsid w:val="004647DA"/>
    <w:rsid w:val="00474062"/>
    <w:rsid w:val="00477A1F"/>
    <w:rsid w:val="00477D6B"/>
    <w:rsid w:val="004854D4"/>
    <w:rsid w:val="004A205A"/>
    <w:rsid w:val="00505534"/>
    <w:rsid w:val="0053057A"/>
    <w:rsid w:val="00560A29"/>
    <w:rsid w:val="00571089"/>
    <w:rsid w:val="005B6FE2"/>
    <w:rsid w:val="005C23B3"/>
    <w:rsid w:val="00605827"/>
    <w:rsid w:val="00607120"/>
    <w:rsid w:val="00646050"/>
    <w:rsid w:val="006713CA"/>
    <w:rsid w:val="00676C5C"/>
    <w:rsid w:val="006C52C2"/>
    <w:rsid w:val="006E47D3"/>
    <w:rsid w:val="006F0E99"/>
    <w:rsid w:val="006F108C"/>
    <w:rsid w:val="006F32FC"/>
    <w:rsid w:val="007058FB"/>
    <w:rsid w:val="007144C5"/>
    <w:rsid w:val="00717181"/>
    <w:rsid w:val="0071775D"/>
    <w:rsid w:val="007373E8"/>
    <w:rsid w:val="00740862"/>
    <w:rsid w:val="007A1074"/>
    <w:rsid w:val="007B6A58"/>
    <w:rsid w:val="007D1613"/>
    <w:rsid w:val="00872240"/>
    <w:rsid w:val="00890C7D"/>
    <w:rsid w:val="008B2CC1"/>
    <w:rsid w:val="008B60B2"/>
    <w:rsid w:val="008D558D"/>
    <w:rsid w:val="0090731E"/>
    <w:rsid w:val="00916EE2"/>
    <w:rsid w:val="009442A4"/>
    <w:rsid w:val="00966A22"/>
    <w:rsid w:val="0096722F"/>
    <w:rsid w:val="00980843"/>
    <w:rsid w:val="009C07FA"/>
    <w:rsid w:val="009C6619"/>
    <w:rsid w:val="009E2791"/>
    <w:rsid w:val="009E3F6F"/>
    <w:rsid w:val="009F499F"/>
    <w:rsid w:val="00A14973"/>
    <w:rsid w:val="00A42DAF"/>
    <w:rsid w:val="00A45BD8"/>
    <w:rsid w:val="00A513A1"/>
    <w:rsid w:val="00A85B8E"/>
    <w:rsid w:val="00AC205C"/>
    <w:rsid w:val="00AC6494"/>
    <w:rsid w:val="00B05A69"/>
    <w:rsid w:val="00B21E47"/>
    <w:rsid w:val="00B50E8D"/>
    <w:rsid w:val="00B964E4"/>
    <w:rsid w:val="00B9734B"/>
    <w:rsid w:val="00BA093D"/>
    <w:rsid w:val="00BA5BF4"/>
    <w:rsid w:val="00BB290B"/>
    <w:rsid w:val="00C00E08"/>
    <w:rsid w:val="00C11BFE"/>
    <w:rsid w:val="00C656A3"/>
    <w:rsid w:val="00C93EC7"/>
    <w:rsid w:val="00C94629"/>
    <w:rsid w:val="00C967E3"/>
    <w:rsid w:val="00CA4D63"/>
    <w:rsid w:val="00CC4AB8"/>
    <w:rsid w:val="00D411F7"/>
    <w:rsid w:val="00D45252"/>
    <w:rsid w:val="00D71B4D"/>
    <w:rsid w:val="00D93D55"/>
    <w:rsid w:val="00D95E0A"/>
    <w:rsid w:val="00DC4340"/>
    <w:rsid w:val="00DD4335"/>
    <w:rsid w:val="00DF1A6E"/>
    <w:rsid w:val="00E0448D"/>
    <w:rsid w:val="00E239EA"/>
    <w:rsid w:val="00E335FE"/>
    <w:rsid w:val="00E34B5F"/>
    <w:rsid w:val="00E5021F"/>
    <w:rsid w:val="00E7471B"/>
    <w:rsid w:val="00EC4E49"/>
    <w:rsid w:val="00ED77FB"/>
    <w:rsid w:val="00EE7325"/>
    <w:rsid w:val="00F021A6"/>
    <w:rsid w:val="00F356C7"/>
    <w:rsid w:val="00F66152"/>
    <w:rsid w:val="00F8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character" w:customStyle="1" w:styleId="FootnoteTextChar">
    <w:name w:val="Footnote Text Char"/>
    <w:basedOn w:val="DefaultParagraphFont"/>
    <w:link w:val="FootnoteText"/>
    <w:semiHidden/>
    <w:rsid w:val="000266F6"/>
    <w:rPr>
      <w:rFonts w:ascii="Arial" w:eastAsia="SimSun" w:hAnsi="Arial" w:cs="Arial"/>
      <w:sz w:val="18"/>
    </w:rPr>
  </w:style>
  <w:style w:type="character" w:customStyle="1" w:styleId="HeaderChar">
    <w:name w:val="Header Char"/>
    <w:basedOn w:val="DefaultParagraphFont"/>
    <w:link w:val="Header"/>
    <w:semiHidden/>
    <w:rsid w:val="000266F6"/>
    <w:rPr>
      <w:rFonts w:ascii="Arial" w:eastAsia="SimSun" w:hAnsi="Arial" w:cs="Arial"/>
      <w:sz w:val="22"/>
    </w:rPr>
  </w:style>
  <w:style w:type="character" w:styleId="FootnoteReference">
    <w:name w:val="footnote reference"/>
    <w:basedOn w:val="DefaultParagraphFont"/>
    <w:unhideWhenUsed/>
    <w:rsid w:val="000266F6"/>
    <w:rPr>
      <w:vertAlign w:val="superscript"/>
    </w:rPr>
  </w:style>
  <w:style w:type="paragraph" w:styleId="ListParagraph">
    <w:name w:val="List Paragraph"/>
    <w:basedOn w:val="Normal"/>
    <w:uiPriority w:val="34"/>
    <w:qFormat/>
    <w:rsid w:val="00BA5BF4"/>
    <w:pPr>
      <w:ind w:left="720"/>
      <w:contextualSpacing/>
    </w:pPr>
  </w:style>
  <w:style w:type="character" w:styleId="Hyperlink">
    <w:name w:val="Hyperlink"/>
    <w:basedOn w:val="DefaultParagraphFont"/>
    <w:rsid w:val="008722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character" w:customStyle="1" w:styleId="FootnoteTextChar">
    <w:name w:val="Footnote Text Char"/>
    <w:basedOn w:val="DefaultParagraphFont"/>
    <w:link w:val="FootnoteText"/>
    <w:semiHidden/>
    <w:rsid w:val="000266F6"/>
    <w:rPr>
      <w:rFonts w:ascii="Arial" w:eastAsia="SimSun" w:hAnsi="Arial" w:cs="Arial"/>
      <w:sz w:val="18"/>
    </w:rPr>
  </w:style>
  <w:style w:type="character" w:customStyle="1" w:styleId="HeaderChar">
    <w:name w:val="Header Char"/>
    <w:basedOn w:val="DefaultParagraphFont"/>
    <w:link w:val="Header"/>
    <w:semiHidden/>
    <w:rsid w:val="000266F6"/>
    <w:rPr>
      <w:rFonts w:ascii="Arial" w:eastAsia="SimSun" w:hAnsi="Arial" w:cs="Arial"/>
      <w:sz w:val="22"/>
    </w:rPr>
  </w:style>
  <w:style w:type="character" w:styleId="FootnoteReference">
    <w:name w:val="footnote reference"/>
    <w:basedOn w:val="DefaultParagraphFont"/>
    <w:unhideWhenUsed/>
    <w:rsid w:val="000266F6"/>
    <w:rPr>
      <w:vertAlign w:val="superscript"/>
    </w:rPr>
  </w:style>
  <w:style w:type="paragraph" w:styleId="ListParagraph">
    <w:name w:val="List Paragraph"/>
    <w:basedOn w:val="Normal"/>
    <w:uiPriority w:val="34"/>
    <w:qFormat/>
    <w:rsid w:val="00BA5BF4"/>
    <w:pPr>
      <w:ind w:left="720"/>
      <w:contextualSpacing/>
    </w:pPr>
  </w:style>
  <w:style w:type="character" w:styleId="Hyperlink">
    <w:name w:val="Hyperlink"/>
    <w:basedOn w:val="DefaultParagraphFont"/>
    <w:rsid w:val="008722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F1045-C570-4475-874C-746EA971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71 (E).dotm</Template>
  <TotalTime>4</TotalTime>
  <Pages>7</Pages>
  <Words>2004</Words>
  <Characters>10796</Characters>
  <Application>Microsoft Office Word</Application>
  <DocSecurity>0</DocSecurity>
  <Lines>372</Lines>
  <Paragraphs>224</Paragraphs>
  <ScaleCrop>false</ScaleCrop>
  <HeadingPairs>
    <vt:vector size="2" baseType="variant">
      <vt:variant>
        <vt:lpstr>Title</vt:lpstr>
      </vt:variant>
      <vt:variant>
        <vt:i4>1</vt:i4>
      </vt:variant>
    </vt:vector>
  </HeadingPairs>
  <TitlesOfParts>
    <vt:vector size="1" baseType="lpstr">
      <vt:lpstr>WO/CC/71/</vt:lpstr>
    </vt:vector>
  </TitlesOfParts>
  <Company>WIPO</Company>
  <LinksUpToDate>false</LinksUpToDate>
  <CharactersWithSpaces>12576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dc:title>
  <dc:creator>HÖPPERGER Marcus</dc:creator>
  <cp:keywords>TA/mhf</cp:keywords>
  <cp:lastModifiedBy>DORE Marie-Pierre</cp:lastModifiedBy>
  <cp:revision>3</cp:revision>
  <cp:lastPrinted>2015-10-01T12:43:00Z</cp:lastPrinted>
  <dcterms:created xsi:type="dcterms:W3CDTF">2015-10-02T09:18:00Z</dcterms:created>
  <dcterms:modified xsi:type="dcterms:W3CDTF">2015-10-02T12:57:00Z</dcterms:modified>
</cp:coreProperties>
</file>