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A5099" w:rsidRPr="00B75BB5" w:rsidTr="00B30701">
        <w:tc>
          <w:tcPr>
            <w:tcW w:w="4513" w:type="dxa"/>
            <w:tcBorders>
              <w:bottom w:val="single" w:sz="4" w:space="0" w:color="auto"/>
            </w:tcBorders>
            <w:tcMar>
              <w:bottom w:w="170" w:type="dxa"/>
            </w:tcMar>
          </w:tcPr>
          <w:p w:rsidR="00F847D2" w:rsidRPr="00B75BB5" w:rsidRDefault="00F847D2" w:rsidP="00B30701">
            <w:pPr>
              <w:rPr>
                <w:lang w:val="fr-FR"/>
              </w:rPr>
            </w:pPr>
          </w:p>
        </w:tc>
        <w:tc>
          <w:tcPr>
            <w:tcW w:w="4337" w:type="dxa"/>
            <w:tcBorders>
              <w:bottom w:val="single" w:sz="4" w:space="0" w:color="auto"/>
            </w:tcBorders>
            <w:tcMar>
              <w:left w:w="0" w:type="dxa"/>
              <w:right w:w="0" w:type="dxa"/>
            </w:tcMar>
          </w:tcPr>
          <w:p w:rsidR="00F847D2" w:rsidRPr="00B75BB5" w:rsidRDefault="00F847D2" w:rsidP="00B30701">
            <w:pPr>
              <w:rPr>
                <w:lang w:val="fr-FR"/>
              </w:rPr>
            </w:pPr>
            <w:r w:rsidRPr="00B75BB5">
              <w:rPr>
                <w:noProof/>
                <w:lang w:eastAsia="en-US"/>
              </w:rPr>
              <w:drawing>
                <wp:inline distT="0" distB="0" distL="0" distR="0" wp14:anchorId="7A28D557" wp14:editId="0B8D64E4">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847D2" w:rsidRPr="00B75BB5" w:rsidRDefault="00F847D2" w:rsidP="00B30701">
            <w:pPr>
              <w:jc w:val="right"/>
              <w:rPr>
                <w:lang w:val="fr-FR"/>
              </w:rPr>
            </w:pPr>
            <w:r w:rsidRPr="00B75BB5">
              <w:rPr>
                <w:b/>
                <w:sz w:val="40"/>
                <w:szCs w:val="40"/>
                <w:lang w:val="fr-FR"/>
              </w:rPr>
              <w:t>F</w:t>
            </w:r>
          </w:p>
        </w:tc>
      </w:tr>
      <w:tr w:rsidR="00DA5099" w:rsidRPr="00B75BB5" w:rsidTr="00B30701">
        <w:trPr>
          <w:trHeight w:hRule="exact" w:val="340"/>
        </w:trPr>
        <w:tc>
          <w:tcPr>
            <w:tcW w:w="9356" w:type="dxa"/>
            <w:gridSpan w:val="3"/>
            <w:tcBorders>
              <w:top w:val="single" w:sz="4" w:space="0" w:color="auto"/>
            </w:tcBorders>
            <w:tcMar>
              <w:top w:w="170" w:type="dxa"/>
              <w:left w:w="0" w:type="dxa"/>
              <w:right w:w="0" w:type="dxa"/>
            </w:tcMar>
            <w:vAlign w:val="bottom"/>
          </w:tcPr>
          <w:p w:rsidR="00F847D2" w:rsidRPr="00B75BB5" w:rsidRDefault="00F847D2" w:rsidP="00B30701">
            <w:pPr>
              <w:jc w:val="right"/>
              <w:rPr>
                <w:rFonts w:ascii="Arial Black" w:hAnsi="Arial Black"/>
                <w:caps/>
                <w:sz w:val="15"/>
                <w:lang w:val="fr-FR"/>
              </w:rPr>
            </w:pPr>
            <w:r w:rsidRPr="00B75BB5">
              <w:rPr>
                <w:rFonts w:ascii="Arial Black" w:hAnsi="Arial Black"/>
                <w:caps/>
                <w:sz w:val="15"/>
                <w:lang w:val="fr-FR"/>
              </w:rPr>
              <w:t>WO/CC/73/</w:t>
            </w:r>
            <w:bookmarkStart w:id="0" w:name="Code"/>
            <w:bookmarkEnd w:id="0"/>
            <w:r w:rsidRPr="00B75BB5">
              <w:rPr>
                <w:rFonts w:ascii="Arial Black" w:hAnsi="Arial Black"/>
                <w:caps/>
                <w:sz w:val="15"/>
                <w:lang w:val="fr-FR"/>
              </w:rPr>
              <w:t xml:space="preserve">Inf/1 </w:t>
            </w:r>
          </w:p>
        </w:tc>
      </w:tr>
      <w:tr w:rsidR="00DA5099" w:rsidRPr="00B75BB5" w:rsidTr="00B30701">
        <w:trPr>
          <w:trHeight w:hRule="exact" w:val="170"/>
        </w:trPr>
        <w:tc>
          <w:tcPr>
            <w:tcW w:w="9356" w:type="dxa"/>
            <w:gridSpan w:val="3"/>
            <w:noWrap/>
            <w:tcMar>
              <w:left w:w="0" w:type="dxa"/>
              <w:right w:w="0" w:type="dxa"/>
            </w:tcMar>
            <w:vAlign w:val="bottom"/>
          </w:tcPr>
          <w:p w:rsidR="00F847D2" w:rsidRPr="00B75BB5" w:rsidRDefault="00F847D2" w:rsidP="00B30701">
            <w:pPr>
              <w:jc w:val="right"/>
              <w:rPr>
                <w:rFonts w:ascii="Arial Black" w:hAnsi="Arial Black"/>
                <w:caps/>
                <w:sz w:val="15"/>
                <w:lang w:val="fr-FR"/>
              </w:rPr>
            </w:pPr>
            <w:r w:rsidRPr="00B75BB5">
              <w:rPr>
                <w:rFonts w:ascii="Arial Black" w:hAnsi="Arial Black"/>
                <w:caps/>
                <w:sz w:val="15"/>
                <w:lang w:val="fr-FR"/>
              </w:rPr>
              <w:t>ORIGINAL</w:t>
            </w:r>
            <w:r w:rsidR="00D97B59" w:rsidRPr="00B75BB5">
              <w:rPr>
                <w:rFonts w:ascii="Arial Black" w:hAnsi="Arial Black"/>
                <w:caps/>
                <w:sz w:val="15"/>
                <w:lang w:val="fr-FR"/>
              </w:rPr>
              <w:t> </w:t>
            </w:r>
            <w:r w:rsidRPr="00B75BB5">
              <w:rPr>
                <w:rFonts w:ascii="Arial Black" w:hAnsi="Arial Black"/>
                <w:caps/>
                <w:sz w:val="15"/>
                <w:lang w:val="fr-FR"/>
              </w:rPr>
              <w:t xml:space="preserve">: </w:t>
            </w:r>
            <w:bookmarkStart w:id="1" w:name="Original"/>
            <w:bookmarkEnd w:id="1"/>
            <w:r w:rsidRPr="00B75BB5">
              <w:rPr>
                <w:rFonts w:ascii="Arial Black" w:hAnsi="Arial Black"/>
                <w:caps/>
                <w:sz w:val="15"/>
                <w:lang w:val="fr-FR"/>
              </w:rPr>
              <w:t>anglais</w:t>
            </w:r>
          </w:p>
        </w:tc>
      </w:tr>
      <w:tr w:rsidR="00F847D2" w:rsidRPr="00B75BB5" w:rsidTr="00B30701">
        <w:trPr>
          <w:trHeight w:hRule="exact" w:val="198"/>
        </w:trPr>
        <w:tc>
          <w:tcPr>
            <w:tcW w:w="9356" w:type="dxa"/>
            <w:gridSpan w:val="3"/>
            <w:tcMar>
              <w:left w:w="0" w:type="dxa"/>
              <w:right w:w="0" w:type="dxa"/>
            </w:tcMar>
            <w:vAlign w:val="bottom"/>
          </w:tcPr>
          <w:p w:rsidR="00F847D2" w:rsidRPr="00B75BB5" w:rsidRDefault="00F847D2" w:rsidP="00B30701">
            <w:pPr>
              <w:jc w:val="right"/>
              <w:rPr>
                <w:rFonts w:ascii="Arial Black" w:hAnsi="Arial Black"/>
                <w:caps/>
                <w:sz w:val="15"/>
                <w:lang w:val="fr-FR"/>
              </w:rPr>
            </w:pPr>
            <w:r w:rsidRPr="00B75BB5">
              <w:rPr>
                <w:rFonts w:ascii="Arial Black" w:hAnsi="Arial Black"/>
                <w:caps/>
                <w:sz w:val="15"/>
                <w:lang w:val="fr-FR"/>
              </w:rPr>
              <w:t>DATE</w:t>
            </w:r>
            <w:r w:rsidR="00D97B59" w:rsidRPr="00B75BB5">
              <w:rPr>
                <w:rFonts w:ascii="Arial Black" w:hAnsi="Arial Black"/>
                <w:caps/>
                <w:sz w:val="15"/>
                <w:lang w:val="fr-FR"/>
              </w:rPr>
              <w:t> </w:t>
            </w:r>
            <w:r w:rsidRPr="00B75BB5">
              <w:rPr>
                <w:rFonts w:ascii="Arial Black" w:hAnsi="Arial Black"/>
                <w:caps/>
                <w:sz w:val="15"/>
                <w:lang w:val="fr-FR"/>
              </w:rPr>
              <w:t xml:space="preserve">: </w:t>
            </w:r>
            <w:bookmarkStart w:id="2" w:name="Date"/>
            <w:bookmarkEnd w:id="2"/>
            <w:r w:rsidRPr="00B75BB5">
              <w:rPr>
                <w:rFonts w:ascii="Arial Black" w:hAnsi="Arial Black"/>
                <w:caps/>
                <w:sz w:val="15"/>
                <w:lang w:val="fr-FR"/>
              </w:rPr>
              <w:t>5 août 2016</w:t>
            </w:r>
          </w:p>
        </w:tc>
      </w:tr>
    </w:tbl>
    <w:p w:rsidR="00F847D2" w:rsidRPr="00B75BB5" w:rsidRDefault="00F847D2" w:rsidP="00F847D2">
      <w:pPr>
        <w:rPr>
          <w:lang w:val="fr-FR"/>
        </w:rPr>
      </w:pPr>
    </w:p>
    <w:p w:rsidR="00F847D2" w:rsidRPr="00B75BB5" w:rsidRDefault="00F847D2" w:rsidP="00F847D2">
      <w:pPr>
        <w:rPr>
          <w:lang w:val="fr-FR"/>
        </w:rPr>
      </w:pPr>
    </w:p>
    <w:p w:rsidR="00F847D2" w:rsidRPr="00B75BB5" w:rsidRDefault="00F847D2" w:rsidP="00F847D2">
      <w:pPr>
        <w:rPr>
          <w:lang w:val="fr-FR"/>
        </w:rPr>
      </w:pPr>
    </w:p>
    <w:p w:rsidR="00F847D2" w:rsidRPr="00B75BB5" w:rsidRDefault="00F847D2" w:rsidP="00F847D2">
      <w:pPr>
        <w:rPr>
          <w:lang w:val="fr-FR"/>
        </w:rPr>
      </w:pPr>
    </w:p>
    <w:p w:rsidR="00F847D2" w:rsidRPr="00B75BB5" w:rsidRDefault="00F847D2" w:rsidP="00F847D2">
      <w:pPr>
        <w:rPr>
          <w:lang w:val="fr-FR"/>
        </w:rPr>
      </w:pPr>
    </w:p>
    <w:p w:rsidR="00F847D2" w:rsidRPr="00B75BB5" w:rsidRDefault="00F847D2" w:rsidP="00F847D2">
      <w:pPr>
        <w:rPr>
          <w:b/>
          <w:sz w:val="28"/>
          <w:szCs w:val="28"/>
          <w:lang w:val="fr-FR"/>
        </w:rPr>
      </w:pPr>
      <w:r w:rsidRPr="00B75BB5">
        <w:rPr>
          <w:b/>
          <w:sz w:val="28"/>
          <w:szCs w:val="28"/>
          <w:lang w:val="fr-FR"/>
        </w:rPr>
        <w:t>Comité de coordination de l’OMPI</w:t>
      </w:r>
    </w:p>
    <w:p w:rsidR="00F847D2" w:rsidRPr="00B75BB5" w:rsidRDefault="00F847D2" w:rsidP="00F847D2">
      <w:pPr>
        <w:rPr>
          <w:lang w:val="fr-FR"/>
        </w:rPr>
      </w:pPr>
    </w:p>
    <w:p w:rsidR="00F847D2" w:rsidRPr="00B75BB5" w:rsidRDefault="00F847D2" w:rsidP="00F847D2">
      <w:pPr>
        <w:rPr>
          <w:lang w:val="fr-FR"/>
        </w:rPr>
      </w:pPr>
    </w:p>
    <w:p w:rsidR="00F847D2" w:rsidRPr="00B75BB5" w:rsidRDefault="00F847D2" w:rsidP="00F847D2">
      <w:pPr>
        <w:rPr>
          <w:b/>
          <w:sz w:val="24"/>
          <w:szCs w:val="24"/>
          <w:lang w:val="fr-FR"/>
        </w:rPr>
      </w:pPr>
      <w:r w:rsidRPr="00B75BB5">
        <w:rPr>
          <w:b/>
          <w:sz w:val="24"/>
          <w:szCs w:val="24"/>
          <w:lang w:val="fr-FR"/>
        </w:rPr>
        <w:t>Soixante</w:t>
      </w:r>
      <w:r w:rsidR="00DA5099" w:rsidRPr="00B75BB5">
        <w:rPr>
          <w:b/>
          <w:sz w:val="24"/>
          <w:szCs w:val="24"/>
          <w:lang w:val="fr-FR"/>
        </w:rPr>
        <w:noBreakHyphen/>
      </w:r>
      <w:r w:rsidRPr="00B75BB5">
        <w:rPr>
          <w:b/>
          <w:sz w:val="24"/>
          <w:szCs w:val="24"/>
          <w:lang w:val="fr-FR"/>
        </w:rPr>
        <w:t>treizième</w:t>
      </w:r>
      <w:r w:rsidR="00D97B59" w:rsidRPr="00B75BB5">
        <w:rPr>
          <w:b/>
          <w:sz w:val="24"/>
          <w:szCs w:val="24"/>
          <w:lang w:val="fr-FR"/>
        </w:rPr>
        <w:t> </w:t>
      </w:r>
      <w:r w:rsidRPr="00B75BB5">
        <w:rPr>
          <w:b/>
          <w:sz w:val="24"/>
          <w:szCs w:val="24"/>
          <w:lang w:val="fr-FR"/>
        </w:rPr>
        <w:t>session (47</w:t>
      </w:r>
      <w:r w:rsidRPr="00B75BB5">
        <w:rPr>
          <w:b/>
          <w:sz w:val="24"/>
          <w:szCs w:val="24"/>
          <w:vertAlign w:val="superscript"/>
          <w:lang w:val="fr-FR"/>
        </w:rPr>
        <w:t>e</w:t>
      </w:r>
      <w:r w:rsidRPr="00B75BB5">
        <w:rPr>
          <w:b/>
          <w:sz w:val="24"/>
          <w:szCs w:val="24"/>
          <w:lang w:val="fr-FR"/>
        </w:rPr>
        <w:t xml:space="preserve"> session ordinaire)</w:t>
      </w:r>
    </w:p>
    <w:p w:rsidR="00F847D2" w:rsidRPr="00B75BB5" w:rsidRDefault="00F847D2" w:rsidP="00F847D2">
      <w:pPr>
        <w:rPr>
          <w:b/>
          <w:sz w:val="24"/>
          <w:szCs w:val="24"/>
          <w:lang w:val="fr-FR"/>
        </w:rPr>
      </w:pPr>
      <w:r w:rsidRPr="00B75BB5">
        <w:rPr>
          <w:b/>
          <w:sz w:val="24"/>
          <w:szCs w:val="24"/>
          <w:lang w:val="fr-FR"/>
        </w:rPr>
        <w:t>Genève, 3 – 11 octobre 2016</w:t>
      </w:r>
    </w:p>
    <w:p w:rsidR="00F847D2" w:rsidRPr="00B75BB5" w:rsidRDefault="00F847D2" w:rsidP="00F847D2">
      <w:pPr>
        <w:rPr>
          <w:lang w:val="fr-FR"/>
        </w:rPr>
      </w:pPr>
    </w:p>
    <w:p w:rsidR="00F847D2" w:rsidRPr="00B75BB5" w:rsidRDefault="00F847D2" w:rsidP="00F847D2">
      <w:pPr>
        <w:rPr>
          <w:lang w:val="fr-FR"/>
        </w:rPr>
      </w:pPr>
    </w:p>
    <w:p w:rsidR="00255436" w:rsidRPr="00B75BB5" w:rsidRDefault="00255436" w:rsidP="000A22B2">
      <w:pPr>
        <w:rPr>
          <w:lang w:val="fr-FR"/>
        </w:rPr>
      </w:pPr>
    </w:p>
    <w:p w:rsidR="00F847D2" w:rsidRPr="00B75BB5" w:rsidRDefault="00451A3A" w:rsidP="00F847D2">
      <w:pPr>
        <w:rPr>
          <w:caps/>
          <w:sz w:val="24"/>
          <w:lang w:val="fr-FR"/>
        </w:rPr>
      </w:pPr>
      <w:bookmarkStart w:id="3" w:name="TitleOfDoc"/>
      <w:bookmarkEnd w:id="3"/>
      <w:r w:rsidRPr="00B75BB5">
        <w:rPr>
          <w:caps/>
          <w:sz w:val="24"/>
          <w:lang w:val="fr-FR"/>
        </w:rPr>
        <w:t>Avis juridique sur la question des droits acquis en matière d</w:t>
      </w:r>
      <w:r w:rsidR="00F847D2" w:rsidRPr="00B75BB5">
        <w:rPr>
          <w:caps/>
          <w:sz w:val="24"/>
          <w:lang w:val="fr-FR"/>
        </w:rPr>
        <w:t>’</w:t>
      </w:r>
      <w:r w:rsidRPr="00B75BB5">
        <w:rPr>
          <w:caps/>
          <w:sz w:val="24"/>
          <w:lang w:val="fr-FR"/>
        </w:rPr>
        <w:t>indemnité pour frais d</w:t>
      </w:r>
      <w:r w:rsidR="00F847D2" w:rsidRPr="00B75BB5">
        <w:rPr>
          <w:caps/>
          <w:sz w:val="24"/>
          <w:lang w:val="fr-FR"/>
        </w:rPr>
        <w:t>’</w:t>
      </w:r>
      <w:r w:rsidRPr="00B75BB5">
        <w:rPr>
          <w:caps/>
          <w:sz w:val="24"/>
          <w:lang w:val="fr-FR"/>
        </w:rPr>
        <w:t>études des fonctionnaires résidant, mais qui ne sont pas en poste, dans leur pays d</w:t>
      </w:r>
      <w:r w:rsidR="00F847D2" w:rsidRPr="00B75BB5">
        <w:rPr>
          <w:caps/>
          <w:sz w:val="24"/>
          <w:lang w:val="fr-FR"/>
        </w:rPr>
        <w:t>’</w:t>
      </w:r>
      <w:r w:rsidRPr="00B75BB5">
        <w:rPr>
          <w:caps/>
          <w:sz w:val="24"/>
          <w:lang w:val="fr-FR"/>
        </w:rPr>
        <w:t>origine</w:t>
      </w:r>
    </w:p>
    <w:p w:rsidR="00255436" w:rsidRPr="00B75BB5" w:rsidRDefault="00255436" w:rsidP="00F847D2">
      <w:pPr>
        <w:rPr>
          <w:caps/>
          <w:sz w:val="24"/>
          <w:lang w:val="fr-FR"/>
        </w:rPr>
      </w:pPr>
    </w:p>
    <w:p w:rsidR="00F847D2" w:rsidRPr="00B75BB5" w:rsidRDefault="00451A3A" w:rsidP="00F847D2">
      <w:pPr>
        <w:rPr>
          <w:caps/>
          <w:sz w:val="24"/>
          <w:lang w:val="fr-FR"/>
        </w:rPr>
      </w:pPr>
      <w:r w:rsidRPr="00B75BB5">
        <w:rPr>
          <w:caps/>
          <w:sz w:val="24"/>
          <w:lang w:val="fr-FR"/>
        </w:rPr>
        <w:t>et</w:t>
      </w:r>
    </w:p>
    <w:p w:rsidR="00255436" w:rsidRPr="00B75BB5" w:rsidRDefault="00255436" w:rsidP="00F847D2">
      <w:pPr>
        <w:rPr>
          <w:caps/>
          <w:sz w:val="24"/>
          <w:lang w:val="fr-FR"/>
        </w:rPr>
      </w:pPr>
    </w:p>
    <w:p w:rsidR="00255436" w:rsidRPr="00B75BB5" w:rsidRDefault="00451A3A" w:rsidP="00F847D2">
      <w:pPr>
        <w:rPr>
          <w:caps/>
          <w:sz w:val="24"/>
          <w:lang w:val="fr-FR"/>
        </w:rPr>
      </w:pPr>
      <w:r w:rsidRPr="00B75BB5">
        <w:rPr>
          <w:caps/>
          <w:sz w:val="24"/>
          <w:lang w:val="fr-FR"/>
        </w:rPr>
        <w:t>évaluation de l</w:t>
      </w:r>
      <w:r w:rsidR="00F847D2" w:rsidRPr="00B75BB5">
        <w:rPr>
          <w:caps/>
          <w:sz w:val="24"/>
          <w:lang w:val="fr-FR"/>
        </w:rPr>
        <w:t>’</w:t>
      </w:r>
      <w:r w:rsidRPr="00B75BB5">
        <w:rPr>
          <w:caps/>
          <w:sz w:val="24"/>
          <w:lang w:val="fr-FR"/>
        </w:rPr>
        <w:t>incidence financière de l</w:t>
      </w:r>
      <w:r w:rsidR="00F847D2" w:rsidRPr="00B75BB5">
        <w:rPr>
          <w:caps/>
          <w:sz w:val="24"/>
          <w:lang w:val="fr-FR"/>
        </w:rPr>
        <w:t>’</w:t>
      </w:r>
      <w:r w:rsidRPr="00B75BB5">
        <w:rPr>
          <w:caps/>
          <w:sz w:val="24"/>
          <w:lang w:val="fr-FR"/>
        </w:rPr>
        <w:t>éventuelle introduction d</w:t>
      </w:r>
      <w:r w:rsidR="00F847D2" w:rsidRPr="00B75BB5">
        <w:rPr>
          <w:caps/>
          <w:sz w:val="24"/>
          <w:lang w:val="fr-FR"/>
        </w:rPr>
        <w:t>’</w:t>
      </w:r>
      <w:r w:rsidRPr="00B75BB5">
        <w:rPr>
          <w:caps/>
          <w:sz w:val="24"/>
          <w:lang w:val="fr-FR"/>
        </w:rPr>
        <w:t>une mesure transitoire limitée</w:t>
      </w:r>
    </w:p>
    <w:p w:rsidR="00255436" w:rsidRPr="00B75BB5" w:rsidRDefault="00255436" w:rsidP="000A22B2">
      <w:pPr>
        <w:rPr>
          <w:lang w:val="fr-FR"/>
        </w:rPr>
      </w:pPr>
    </w:p>
    <w:p w:rsidR="00255436" w:rsidRPr="00B75BB5" w:rsidRDefault="00451A3A" w:rsidP="000A22B2">
      <w:pPr>
        <w:rPr>
          <w:i/>
          <w:lang w:val="fr-FR"/>
        </w:rPr>
      </w:pPr>
      <w:bookmarkStart w:id="4" w:name="Prepared"/>
      <w:bookmarkEnd w:id="4"/>
      <w:r w:rsidRPr="00B75BB5">
        <w:rPr>
          <w:i/>
          <w:lang w:val="fr-FR"/>
        </w:rPr>
        <w:t>Document d</w:t>
      </w:r>
      <w:r w:rsidR="00F847D2" w:rsidRPr="00B75BB5">
        <w:rPr>
          <w:i/>
          <w:lang w:val="fr-FR"/>
        </w:rPr>
        <w:t>’</w:t>
      </w:r>
      <w:r w:rsidRPr="00B75BB5">
        <w:rPr>
          <w:i/>
          <w:lang w:val="fr-FR"/>
        </w:rPr>
        <w:t>i</w:t>
      </w:r>
      <w:r w:rsidR="00DC09DE" w:rsidRPr="00B75BB5">
        <w:rPr>
          <w:i/>
          <w:lang w:val="fr-FR"/>
        </w:rPr>
        <w:t xml:space="preserve">nformation </w:t>
      </w:r>
      <w:r w:rsidRPr="00B75BB5">
        <w:rPr>
          <w:i/>
          <w:lang w:val="fr-FR"/>
        </w:rPr>
        <w:t>établi par le Bureau du conseiller juridique</w:t>
      </w:r>
    </w:p>
    <w:p w:rsidR="00255436" w:rsidRPr="00B75BB5" w:rsidRDefault="00255436" w:rsidP="000A22B2">
      <w:pPr>
        <w:rPr>
          <w:lang w:val="fr-FR"/>
        </w:rPr>
      </w:pPr>
      <w:bookmarkStart w:id="5" w:name="_GoBack"/>
      <w:bookmarkEnd w:id="5"/>
    </w:p>
    <w:p w:rsidR="00255436" w:rsidRPr="00B75BB5" w:rsidRDefault="00255436" w:rsidP="000A22B2">
      <w:pPr>
        <w:rPr>
          <w:lang w:val="fr-FR"/>
        </w:rPr>
      </w:pPr>
    </w:p>
    <w:p w:rsidR="00255436" w:rsidRPr="00B75BB5" w:rsidRDefault="00255436" w:rsidP="000A22B2">
      <w:pPr>
        <w:rPr>
          <w:lang w:val="fr-FR"/>
        </w:rPr>
      </w:pPr>
    </w:p>
    <w:p w:rsidR="00255436" w:rsidRPr="00B75BB5" w:rsidRDefault="00752542" w:rsidP="00752542">
      <w:pPr>
        <w:pStyle w:val="Heading1"/>
      </w:pPr>
      <w:r w:rsidRPr="00B75BB5">
        <w:t>Introduction</w:t>
      </w:r>
    </w:p>
    <w:p w:rsidR="00255436" w:rsidRPr="00B75BB5" w:rsidRDefault="00255436" w:rsidP="005503B9">
      <w:pPr>
        <w:widowControl w:val="0"/>
        <w:rPr>
          <w:b/>
          <w:lang w:val="fr-FR"/>
        </w:rPr>
      </w:pPr>
    </w:p>
    <w:p w:rsidR="00752542" w:rsidRPr="00B75BB5" w:rsidRDefault="00A200B5" w:rsidP="00752542">
      <w:pPr>
        <w:pStyle w:val="ONUMFS"/>
        <w:rPr>
          <w:lang w:val="fr-FR"/>
        </w:rPr>
      </w:pPr>
      <w:r w:rsidRPr="00B75BB5">
        <w:rPr>
          <w:lang w:val="fr-FR"/>
        </w:rPr>
        <w:t>À</w:t>
      </w:r>
      <w:r w:rsidR="00451A3A" w:rsidRPr="00B75BB5">
        <w:rPr>
          <w:lang w:val="fr-FR"/>
        </w:rPr>
        <w:t xml:space="preserve"> sa soixante</w:t>
      </w:r>
      <w:r w:rsidRPr="00B75BB5">
        <w:rPr>
          <w:lang w:val="fr-FR"/>
        </w:rPr>
        <w:t> </w:t>
      </w:r>
      <w:r w:rsidR="00451A3A" w:rsidRPr="00B75BB5">
        <w:rPr>
          <w:lang w:val="fr-FR"/>
        </w:rPr>
        <w:t>et</w:t>
      </w:r>
      <w:r w:rsidRPr="00B75BB5">
        <w:rPr>
          <w:lang w:val="fr-FR"/>
        </w:rPr>
        <w:t> </w:t>
      </w:r>
      <w:r w:rsidR="00451A3A" w:rsidRPr="00B75BB5">
        <w:rPr>
          <w:lang w:val="fr-FR"/>
        </w:rPr>
        <w:t>onzième</w:t>
      </w:r>
      <w:r w:rsidRPr="00B75BB5">
        <w:rPr>
          <w:lang w:val="fr-FR"/>
        </w:rPr>
        <w:t> </w:t>
      </w:r>
      <w:r w:rsidR="00451A3A" w:rsidRPr="00B75BB5">
        <w:rPr>
          <w:lang w:val="fr-FR"/>
        </w:rPr>
        <w:t>session</w:t>
      </w:r>
      <w:r w:rsidR="001D740E" w:rsidRPr="00B75BB5">
        <w:rPr>
          <w:lang w:val="fr-FR"/>
        </w:rPr>
        <w:t>,</w:t>
      </w:r>
      <w:r w:rsidR="00451A3A" w:rsidRPr="00B75BB5">
        <w:rPr>
          <w:lang w:val="fr-FR"/>
        </w:rPr>
        <w:t xml:space="preserve"> tenue en octobre</w:t>
      </w:r>
      <w:r w:rsidRPr="00B75BB5">
        <w:rPr>
          <w:lang w:val="fr-FR"/>
        </w:rPr>
        <w:t> </w:t>
      </w:r>
      <w:r w:rsidR="00451A3A" w:rsidRPr="00B75BB5">
        <w:rPr>
          <w:lang w:val="fr-FR"/>
        </w:rPr>
        <w:t>2015, il a été demandé au Comité de coordination de l</w:t>
      </w:r>
      <w:r w:rsidR="00F847D2" w:rsidRPr="00B75BB5">
        <w:rPr>
          <w:lang w:val="fr-FR"/>
        </w:rPr>
        <w:t>’</w:t>
      </w:r>
      <w:r w:rsidR="00451A3A" w:rsidRPr="00B75BB5">
        <w:rPr>
          <w:lang w:val="fr-FR"/>
        </w:rPr>
        <w:t>OMPI d</w:t>
      </w:r>
      <w:r w:rsidR="00F847D2" w:rsidRPr="00B75BB5">
        <w:rPr>
          <w:lang w:val="fr-FR"/>
        </w:rPr>
        <w:t>’</w:t>
      </w:r>
      <w:r w:rsidR="00451A3A" w:rsidRPr="00B75BB5">
        <w:rPr>
          <w:lang w:val="fr-FR"/>
        </w:rPr>
        <w:t>approuver deux</w:t>
      </w:r>
      <w:r w:rsidRPr="00B75BB5">
        <w:rPr>
          <w:lang w:val="fr-FR"/>
        </w:rPr>
        <w:t> </w:t>
      </w:r>
      <w:r w:rsidR="00451A3A" w:rsidRPr="00B75BB5">
        <w:rPr>
          <w:lang w:val="fr-FR"/>
        </w:rPr>
        <w:t>modifications apportées à l</w:t>
      </w:r>
      <w:r w:rsidR="00F847D2" w:rsidRPr="00B75BB5">
        <w:rPr>
          <w:lang w:val="fr-FR"/>
        </w:rPr>
        <w:t>’</w:t>
      </w:r>
      <w:r w:rsidR="00451A3A" w:rsidRPr="00B75BB5">
        <w:rPr>
          <w:lang w:val="fr-FR"/>
        </w:rPr>
        <w:t>article</w:t>
      </w:r>
      <w:r w:rsidRPr="00B75BB5">
        <w:rPr>
          <w:lang w:val="fr-FR"/>
        </w:rPr>
        <w:t> </w:t>
      </w:r>
      <w:r w:rsidR="00451A3A" w:rsidRPr="00B75BB5">
        <w:rPr>
          <w:lang w:val="fr-FR"/>
        </w:rPr>
        <w:t>3.14 du Statut et Règlement du personnel de l</w:t>
      </w:r>
      <w:r w:rsidR="00F847D2" w:rsidRPr="00B75BB5">
        <w:rPr>
          <w:lang w:val="fr-FR"/>
        </w:rPr>
        <w:t>’</w:t>
      </w:r>
      <w:r w:rsidR="00451A3A" w:rsidRPr="00B75BB5">
        <w:rPr>
          <w:lang w:val="fr-FR"/>
        </w:rPr>
        <w:t xml:space="preserve">OMPI, </w:t>
      </w:r>
      <w:r w:rsidR="00B20F72" w:rsidRPr="00B75BB5">
        <w:rPr>
          <w:lang w:val="fr-FR"/>
        </w:rPr>
        <w:t>relatif à</w:t>
      </w:r>
      <w:r w:rsidR="00451A3A" w:rsidRPr="00B75BB5">
        <w:rPr>
          <w:lang w:val="fr-FR"/>
        </w:rPr>
        <w:t xml:space="preserve"> l</w:t>
      </w:r>
      <w:r w:rsidR="00F847D2" w:rsidRPr="00B75BB5">
        <w:rPr>
          <w:lang w:val="fr-FR"/>
        </w:rPr>
        <w:t>’</w:t>
      </w:r>
      <w:r w:rsidR="00451A3A" w:rsidRPr="00B75BB5">
        <w:rPr>
          <w:lang w:val="fr-FR"/>
        </w:rPr>
        <w:t>indemnité pour frais d</w:t>
      </w:r>
      <w:r w:rsidR="00F847D2" w:rsidRPr="00B75BB5">
        <w:rPr>
          <w:lang w:val="fr-FR"/>
        </w:rPr>
        <w:t>’</w:t>
      </w:r>
      <w:r w:rsidR="00451A3A" w:rsidRPr="00B75BB5">
        <w:rPr>
          <w:lang w:val="fr-FR"/>
        </w:rPr>
        <w:t>étud</w:t>
      </w:r>
      <w:r w:rsidR="00FB2861" w:rsidRPr="00B75BB5">
        <w:rPr>
          <w:lang w:val="fr-FR"/>
        </w:rPr>
        <w:t xml:space="preserve">es.  À </w:t>
      </w:r>
      <w:r w:rsidR="001D740E" w:rsidRPr="00B75BB5">
        <w:rPr>
          <w:lang w:val="fr-FR"/>
        </w:rPr>
        <w:t>l</w:t>
      </w:r>
      <w:r w:rsidR="00F847D2" w:rsidRPr="00B75BB5">
        <w:rPr>
          <w:lang w:val="fr-FR"/>
        </w:rPr>
        <w:t>’</w:t>
      </w:r>
      <w:r w:rsidR="001D740E" w:rsidRPr="00B75BB5">
        <w:rPr>
          <w:lang w:val="fr-FR"/>
        </w:rPr>
        <w:t>époque</w:t>
      </w:r>
      <w:r w:rsidR="00AA32E7" w:rsidRPr="00B75BB5">
        <w:rPr>
          <w:lang w:val="fr-FR"/>
        </w:rPr>
        <w:t>, l</w:t>
      </w:r>
      <w:r w:rsidR="00F847D2" w:rsidRPr="00B75BB5">
        <w:rPr>
          <w:lang w:val="fr-FR"/>
        </w:rPr>
        <w:t>’</w:t>
      </w:r>
      <w:r w:rsidR="00AA32E7" w:rsidRPr="00B75BB5">
        <w:rPr>
          <w:lang w:val="fr-FR"/>
        </w:rPr>
        <w:t>article</w:t>
      </w:r>
      <w:r w:rsidRPr="00B75BB5">
        <w:rPr>
          <w:lang w:val="fr-FR"/>
        </w:rPr>
        <w:t> </w:t>
      </w:r>
      <w:r w:rsidR="00AA32E7" w:rsidRPr="00B75BB5">
        <w:rPr>
          <w:lang w:val="fr-FR"/>
        </w:rPr>
        <w:t>3.14.a) prévoyait qu</w:t>
      </w:r>
      <w:r w:rsidR="00F847D2" w:rsidRPr="00B75BB5">
        <w:rPr>
          <w:lang w:val="fr-FR"/>
        </w:rPr>
        <w:t>’</w:t>
      </w:r>
      <w:r w:rsidR="00AA32E7" w:rsidRPr="00B75BB5">
        <w:rPr>
          <w:lang w:val="fr-FR"/>
        </w:rPr>
        <w:t>un</w:t>
      </w:r>
      <w:r w:rsidR="001D740E" w:rsidRPr="00B75BB5">
        <w:rPr>
          <w:lang w:val="fr-FR"/>
        </w:rPr>
        <w:t xml:space="preserve"> </w:t>
      </w:r>
      <w:r w:rsidR="00F847D2" w:rsidRPr="00B75BB5">
        <w:rPr>
          <w:lang w:val="fr-FR"/>
        </w:rPr>
        <w:t>“</w:t>
      </w:r>
      <w:r w:rsidR="00AA32E7" w:rsidRPr="00B75BB5">
        <w:rPr>
          <w:lang w:val="fr-FR"/>
        </w:rPr>
        <w:t xml:space="preserve">fonctionnaire </w:t>
      </w:r>
      <w:r w:rsidR="001D740E" w:rsidRPr="00B75BB5">
        <w:rPr>
          <w:lang w:val="fr-FR"/>
        </w:rPr>
        <w:t xml:space="preserve">[…] </w:t>
      </w:r>
      <w:r w:rsidR="00AA32E7" w:rsidRPr="00B75BB5">
        <w:rPr>
          <w:lang w:val="fr-FR"/>
        </w:rPr>
        <w:t>dont le lieu d</w:t>
      </w:r>
      <w:r w:rsidR="00F847D2" w:rsidRPr="00B75BB5">
        <w:rPr>
          <w:lang w:val="fr-FR"/>
        </w:rPr>
        <w:t>’</w:t>
      </w:r>
      <w:r w:rsidR="00AA32E7" w:rsidRPr="00B75BB5">
        <w:rPr>
          <w:lang w:val="fr-FR"/>
        </w:rPr>
        <w:t>affectation ne se trouve pas dans son pays d</w:t>
      </w:r>
      <w:r w:rsidR="00F847D2" w:rsidRPr="00B75BB5">
        <w:rPr>
          <w:lang w:val="fr-FR"/>
        </w:rPr>
        <w:t>’</w:t>
      </w:r>
      <w:r w:rsidR="00AA32E7" w:rsidRPr="00B75BB5">
        <w:rPr>
          <w:lang w:val="fr-FR"/>
        </w:rPr>
        <w:t xml:space="preserve">origine a droit </w:t>
      </w:r>
      <w:r w:rsidR="001D740E" w:rsidRPr="00B75BB5">
        <w:rPr>
          <w:lang w:val="fr-FR"/>
        </w:rPr>
        <w:t>[</w:t>
      </w:r>
      <w:r w:rsidR="00AA32E7" w:rsidRPr="00B75BB5">
        <w:rPr>
          <w:lang w:val="fr-FR"/>
        </w:rPr>
        <w:t>…</w:t>
      </w:r>
      <w:r w:rsidR="001D740E" w:rsidRPr="00B75BB5">
        <w:rPr>
          <w:lang w:val="fr-FR"/>
        </w:rPr>
        <w:t>]</w:t>
      </w:r>
      <w:r w:rsidR="00AA32E7" w:rsidRPr="00B75BB5">
        <w:rPr>
          <w:lang w:val="fr-FR"/>
        </w:rPr>
        <w:t xml:space="preserve"> à une indemnité pour frais d</w:t>
      </w:r>
      <w:r w:rsidR="00F847D2" w:rsidRPr="00B75BB5">
        <w:rPr>
          <w:lang w:val="fr-FR"/>
        </w:rPr>
        <w:t>’</w:t>
      </w:r>
      <w:r w:rsidR="00AA32E7" w:rsidRPr="00B75BB5">
        <w:rPr>
          <w:lang w:val="fr-FR"/>
        </w:rPr>
        <w:t>études.</w:t>
      </w:r>
      <w:r w:rsidR="00F847D2" w:rsidRPr="00B75BB5">
        <w:rPr>
          <w:lang w:val="fr-FR"/>
        </w:rPr>
        <w:t>”</w:t>
      </w:r>
    </w:p>
    <w:p w:rsidR="00752542" w:rsidRPr="00B75BB5" w:rsidRDefault="00AA32E7" w:rsidP="00752542">
      <w:pPr>
        <w:pStyle w:val="ONUMFS"/>
        <w:rPr>
          <w:lang w:val="fr-FR"/>
        </w:rPr>
      </w:pPr>
      <w:r w:rsidRPr="00B75BB5">
        <w:rPr>
          <w:lang w:val="fr-FR"/>
        </w:rPr>
        <w:t>Il a été proposé de modifier l</w:t>
      </w:r>
      <w:r w:rsidR="00F847D2" w:rsidRPr="00B75BB5">
        <w:rPr>
          <w:lang w:val="fr-FR"/>
        </w:rPr>
        <w:t>’</w:t>
      </w:r>
      <w:r w:rsidRPr="00B75BB5">
        <w:rPr>
          <w:lang w:val="fr-FR"/>
        </w:rPr>
        <w:t>article</w:t>
      </w:r>
      <w:r w:rsidR="00A200B5" w:rsidRPr="00B75BB5">
        <w:rPr>
          <w:lang w:val="fr-FR"/>
        </w:rPr>
        <w:t> </w:t>
      </w:r>
      <w:r w:rsidRPr="00B75BB5">
        <w:rPr>
          <w:lang w:val="fr-FR"/>
        </w:rPr>
        <w:t xml:space="preserve">3.14.a) en précisant que seuls les fonctionnaires qui ne </w:t>
      </w:r>
      <w:r w:rsidR="00F847D2" w:rsidRPr="00B75BB5">
        <w:rPr>
          <w:lang w:val="fr-FR"/>
        </w:rPr>
        <w:t>“</w:t>
      </w:r>
      <w:r w:rsidRPr="00B75BB5">
        <w:rPr>
          <w:lang w:val="fr-FR"/>
        </w:rPr>
        <w:t>résident pas ou ne sont pas en poste</w:t>
      </w:r>
      <w:r w:rsidR="00F847D2" w:rsidRPr="00B75BB5">
        <w:rPr>
          <w:lang w:val="fr-FR"/>
        </w:rPr>
        <w:t>”</w:t>
      </w:r>
      <w:r w:rsidRPr="00B75BB5">
        <w:rPr>
          <w:lang w:val="fr-FR"/>
        </w:rPr>
        <w:t xml:space="preserve"> dans leur pays d</w:t>
      </w:r>
      <w:r w:rsidR="00F847D2" w:rsidRPr="00B75BB5">
        <w:rPr>
          <w:lang w:val="fr-FR"/>
        </w:rPr>
        <w:t>’</w:t>
      </w:r>
      <w:r w:rsidRPr="00B75BB5">
        <w:rPr>
          <w:lang w:val="fr-FR"/>
        </w:rPr>
        <w:t>origine auraient droit à l</w:t>
      </w:r>
      <w:r w:rsidR="00F847D2" w:rsidRPr="00B75BB5">
        <w:rPr>
          <w:lang w:val="fr-FR"/>
        </w:rPr>
        <w:t>’</w:t>
      </w:r>
      <w:r w:rsidRPr="00B75BB5">
        <w:rPr>
          <w:lang w:val="fr-FR"/>
        </w:rPr>
        <w:t>indemnité pour frais d</w:t>
      </w:r>
      <w:r w:rsidR="00F847D2" w:rsidRPr="00B75BB5">
        <w:rPr>
          <w:lang w:val="fr-FR"/>
        </w:rPr>
        <w:t>’</w:t>
      </w:r>
      <w:r w:rsidRPr="00B75BB5">
        <w:rPr>
          <w:lang w:val="fr-FR"/>
        </w:rPr>
        <w:t>étud</w:t>
      </w:r>
      <w:r w:rsidR="00FB2861" w:rsidRPr="00B75BB5">
        <w:rPr>
          <w:lang w:val="fr-FR"/>
        </w:rPr>
        <w:t>es.  De</w:t>
      </w:r>
      <w:r w:rsidR="001D740E" w:rsidRPr="00B75BB5">
        <w:rPr>
          <w:lang w:val="fr-FR"/>
        </w:rPr>
        <w:t>ux raisons justifiaient la</w:t>
      </w:r>
      <w:r w:rsidR="00916397" w:rsidRPr="00B75BB5">
        <w:rPr>
          <w:lang w:val="fr-FR"/>
        </w:rPr>
        <w:t xml:space="preserve"> modification proposée</w:t>
      </w:r>
      <w:r w:rsidR="00A200B5" w:rsidRPr="00B75BB5">
        <w:rPr>
          <w:lang w:val="fr-FR"/>
        </w:rPr>
        <w:t> </w:t>
      </w:r>
      <w:r w:rsidR="00916397" w:rsidRPr="00B75BB5">
        <w:rPr>
          <w:lang w:val="fr-FR"/>
        </w:rPr>
        <w:t>: i)</w:t>
      </w:r>
      <w:r w:rsidR="00A200B5" w:rsidRPr="00B75BB5">
        <w:rPr>
          <w:lang w:val="fr-FR"/>
        </w:rPr>
        <w:t> </w:t>
      </w:r>
      <w:r w:rsidR="00916397" w:rsidRPr="00B75BB5">
        <w:rPr>
          <w:lang w:val="fr-FR"/>
        </w:rPr>
        <w:t>assurer la conformité avec l</w:t>
      </w:r>
      <w:r w:rsidR="00F847D2" w:rsidRPr="00B75BB5">
        <w:rPr>
          <w:lang w:val="fr-FR"/>
        </w:rPr>
        <w:t>’</w:t>
      </w:r>
      <w:r w:rsidR="00916397" w:rsidRPr="00B75BB5">
        <w:rPr>
          <w:lang w:val="fr-FR"/>
        </w:rPr>
        <w:t>objet de l</w:t>
      </w:r>
      <w:r w:rsidR="00F847D2" w:rsidRPr="00B75BB5">
        <w:rPr>
          <w:lang w:val="fr-FR"/>
        </w:rPr>
        <w:t>’</w:t>
      </w:r>
      <w:r w:rsidR="00916397" w:rsidRPr="00B75BB5">
        <w:rPr>
          <w:lang w:val="fr-FR"/>
        </w:rPr>
        <w:t>indemnité pour frais d</w:t>
      </w:r>
      <w:r w:rsidR="00F847D2" w:rsidRPr="00B75BB5">
        <w:rPr>
          <w:lang w:val="fr-FR"/>
        </w:rPr>
        <w:t>’</w:t>
      </w:r>
      <w:r w:rsidR="00916397" w:rsidRPr="00B75BB5">
        <w:rPr>
          <w:lang w:val="fr-FR"/>
        </w:rPr>
        <w:t xml:space="preserve">études qui, selon la Commission de la fonction publique internationale (CFPI), est </w:t>
      </w:r>
      <w:r w:rsidR="00F847D2" w:rsidRPr="00B75BB5">
        <w:rPr>
          <w:lang w:val="fr-FR"/>
        </w:rPr>
        <w:t>“</w:t>
      </w:r>
      <w:r w:rsidR="00916397" w:rsidRPr="00B75BB5">
        <w:rPr>
          <w:lang w:val="fr-FR"/>
        </w:rPr>
        <w:t>de couvrir en partie le coût additionnel de l</w:t>
      </w:r>
      <w:r w:rsidR="00F847D2" w:rsidRPr="00B75BB5">
        <w:rPr>
          <w:lang w:val="fr-FR"/>
        </w:rPr>
        <w:t>’</w:t>
      </w:r>
      <w:r w:rsidR="00916397" w:rsidRPr="00B75BB5">
        <w:rPr>
          <w:lang w:val="fr-FR"/>
        </w:rPr>
        <w:t>éducation des enfants d</w:t>
      </w:r>
      <w:r w:rsidR="00F847D2" w:rsidRPr="00B75BB5">
        <w:rPr>
          <w:lang w:val="fr-FR"/>
        </w:rPr>
        <w:t>’</w:t>
      </w:r>
      <w:r w:rsidR="00916397" w:rsidRPr="00B75BB5">
        <w:rPr>
          <w:lang w:val="fr-FR"/>
        </w:rPr>
        <w:t>un fonctionnaire découlant de son expatriation</w:t>
      </w:r>
      <w:r w:rsidR="00F847D2" w:rsidRPr="00B75BB5">
        <w:rPr>
          <w:lang w:val="fr-FR"/>
        </w:rPr>
        <w:t>”</w:t>
      </w:r>
      <w:r w:rsidR="00916397" w:rsidRPr="00B75BB5">
        <w:rPr>
          <w:lang w:val="fr-FR"/>
        </w:rPr>
        <w:t>;  et</w:t>
      </w:r>
      <w:r w:rsidR="00A200B5" w:rsidRPr="00B75BB5">
        <w:rPr>
          <w:lang w:val="fr-FR"/>
        </w:rPr>
        <w:t> </w:t>
      </w:r>
      <w:r w:rsidR="00916397" w:rsidRPr="00B75BB5">
        <w:rPr>
          <w:lang w:val="fr-FR"/>
        </w:rPr>
        <w:t>ii)</w:t>
      </w:r>
      <w:r w:rsidR="00A200B5" w:rsidRPr="00B75BB5">
        <w:rPr>
          <w:lang w:val="fr-FR"/>
        </w:rPr>
        <w:t> </w:t>
      </w:r>
      <w:r w:rsidR="00916397" w:rsidRPr="00B75BB5">
        <w:rPr>
          <w:lang w:val="fr-FR"/>
        </w:rPr>
        <w:t>aligner le cadre réglementaire de l</w:t>
      </w:r>
      <w:r w:rsidR="00F847D2" w:rsidRPr="00B75BB5">
        <w:rPr>
          <w:lang w:val="fr-FR"/>
        </w:rPr>
        <w:t>’</w:t>
      </w:r>
      <w:r w:rsidR="00916397" w:rsidRPr="00B75BB5">
        <w:rPr>
          <w:lang w:val="fr-FR"/>
        </w:rPr>
        <w:t xml:space="preserve">OMPI sur les règles et pratiques en vigueur dans les autres organisations appliquant le régime commun des </w:t>
      </w:r>
      <w:r w:rsidR="00F847D2" w:rsidRPr="00B75BB5">
        <w:rPr>
          <w:lang w:val="fr-FR"/>
        </w:rPr>
        <w:t>Nations Uni</w:t>
      </w:r>
      <w:r w:rsidR="00FB2861" w:rsidRPr="00B75BB5">
        <w:rPr>
          <w:lang w:val="fr-FR"/>
        </w:rPr>
        <w:t>es.  Pa</w:t>
      </w:r>
      <w:r w:rsidR="00916397" w:rsidRPr="00B75BB5">
        <w:rPr>
          <w:lang w:val="fr-FR"/>
        </w:rPr>
        <w:t>r suite de cette modification, les fonctionnaires dont le lieu d</w:t>
      </w:r>
      <w:r w:rsidR="00F847D2" w:rsidRPr="00B75BB5">
        <w:rPr>
          <w:lang w:val="fr-FR"/>
        </w:rPr>
        <w:t>’</w:t>
      </w:r>
      <w:r w:rsidR="00916397" w:rsidRPr="00B75BB5">
        <w:rPr>
          <w:lang w:val="fr-FR"/>
        </w:rPr>
        <w:t>affectation n</w:t>
      </w:r>
      <w:r w:rsidR="00F847D2" w:rsidRPr="00B75BB5">
        <w:rPr>
          <w:lang w:val="fr-FR"/>
        </w:rPr>
        <w:t>’</w:t>
      </w:r>
      <w:r w:rsidR="00916397" w:rsidRPr="00B75BB5">
        <w:rPr>
          <w:lang w:val="fr-FR"/>
        </w:rPr>
        <w:t>était pas situé dans leur pays d</w:t>
      </w:r>
      <w:r w:rsidR="00F847D2" w:rsidRPr="00B75BB5">
        <w:rPr>
          <w:lang w:val="fr-FR"/>
        </w:rPr>
        <w:t>’</w:t>
      </w:r>
      <w:r w:rsidR="00916397" w:rsidRPr="00B75BB5">
        <w:rPr>
          <w:lang w:val="fr-FR"/>
        </w:rPr>
        <w:t>origine</w:t>
      </w:r>
      <w:r w:rsidR="001D740E" w:rsidRPr="00B75BB5">
        <w:rPr>
          <w:lang w:val="fr-FR"/>
        </w:rPr>
        <w:t>,</w:t>
      </w:r>
      <w:r w:rsidR="00916397" w:rsidRPr="00B75BB5">
        <w:rPr>
          <w:lang w:val="fr-FR"/>
        </w:rPr>
        <w:t xml:space="preserve"> mais qui résidaient néanmoins dans leur </w:t>
      </w:r>
      <w:r w:rsidR="00916397" w:rsidRPr="00B75BB5">
        <w:rPr>
          <w:lang w:val="fr-FR"/>
        </w:rPr>
        <w:lastRenderedPageBreak/>
        <w:t>pays d</w:t>
      </w:r>
      <w:r w:rsidR="00F847D2" w:rsidRPr="00B75BB5">
        <w:rPr>
          <w:lang w:val="fr-FR"/>
        </w:rPr>
        <w:t>’</w:t>
      </w:r>
      <w:r w:rsidR="00916397" w:rsidRPr="00B75BB5">
        <w:rPr>
          <w:lang w:val="fr-FR"/>
        </w:rPr>
        <w:t>origine</w:t>
      </w:r>
      <w:r w:rsidR="001D740E" w:rsidRPr="00B75BB5">
        <w:rPr>
          <w:lang w:val="fr-FR"/>
        </w:rPr>
        <w:t>,</w:t>
      </w:r>
      <w:r w:rsidR="00916397" w:rsidRPr="00B75BB5">
        <w:rPr>
          <w:lang w:val="fr-FR"/>
        </w:rPr>
        <w:t xml:space="preserve"> n</w:t>
      </w:r>
      <w:r w:rsidR="00F847D2" w:rsidRPr="00B75BB5">
        <w:rPr>
          <w:lang w:val="fr-FR"/>
        </w:rPr>
        <w:t>’</w:t>
      </w:r>
      <w:r w:rsidR="00916397" w:rsidRPr="00B75BB5">
        <w:rPr>
          <w:lang w:val="fr-FR"/>
        </w:rPr>
        <w:t>auraient plus droit à une indemnité pour frais d</w:t>
      </w:r>
      <w:r w:rsidR="00F847D2" w:rsidRPr="00B75BB5">
        <w:rPr>
          <w:lang w:val="fr-FR"/>
        </w:rPr>
        <w:t>’</w:t>
      </w:r>
      <w:r w:rsidR="00916397" w:rsidRPr="00B75BB5">
        <w:rPr>
          <w:lang w:val="fr-FR"/>
        </w:rPr>
        <w:t>étud</w:t>
      </w:r>
      <w:r w:rsidR="00FB2861" w:rsidRPr="00B75BB5">
        <w:rPr>
          <w:lang w:val="fr-FR"/>
        </w:rPr>
        <w:t>es.  Da</w:t>
      </w:r>
      <w:r w:rsidR="00916397" w:rsidRPr="00B75BB5">
        <w:rPr>
          <w:lang w:val="fr-FR"/>
        </w:rPr>
        <w:t xml:space="preserve">ns la pratique, les fonctionnaires qui seraient </w:t>
      </w:r>
      <w:r w:rsidR="001D740E" w:rsidRPr="00B75BB5">
        <w:rPr>
          <w:lang w:val="fr-FR"/>
        </w:rPr>
        <w:t>affect</w:t>
      </w:r>
      <w:r w:rsidR="00916397" w:rsidRPr="00B75BB5">
        <w:rPr>
          <w:lang w:val="fr-FR"/>
        </w:rPr>
        <w:t>és par la modification proposée étaient les fonctionnaires français résidant en France.</w:t>
      </w:r>
    </w:p>
    <w:p w:rsidR="00752542" w:rsidRPr="00B75BB5" w:rsidRDefault="00916397" w:rsidP="00752542">
      <w:pPr>
        <w:pStyle w:val="ONUMFS"/>
        <w:rPr>
          <w:lang w:val="fr-FR"/>
        </w:rPr>
      </w:pPr>
      <w:r w:rsidRPr="00B75BB5">
        <w:rPr>
          <w:lang w:val="fr-FR"/>
        </w:rPr>
        <w:t xml:space="preserve">Il a </w:t>
      </w:r>
      <w:r w:rsidR="001D740E" w:rsidRPr="00B75BB5">
        <w:rPr>
          <w:lang w:val="fr-FR"/>
        </w:rPr>
        <w:t>également</w:t>
      </w:r>
      <w:r w:rsidRPr="00B75BB5">
        <w:rPr>
          <w:lang w:val="fr-FR"/>
        </w:rPr>
        <w:t xml:space="preserve"> été proposé d</w:t>
      </w:r>
      <w:r w:rsidR="00F847D2" w:rsidRPr="00B75BB5">
        <w:rPr>
          <w:lang w:val="fr-FR"/>
        </w:rPr>
        <w:t>’</w:t>
      </w:r>
      <w:r w:rsidRPr="00B75BB5">
        <w:rPr>
          <w:lang w:val="fr-FR"/>
        </w:rPr>
        <w:t>ajouter un nouvel alinéa</w:t>
      </w:r>
      <w:r w:rsidR="00A200B5" w:rsidRPr="00B75BB5">
        <w:rPr>
          <w:lang w:val="fr-FR"/>
        </w:rPr>
        <w:t> </w:t>
      </w:r>
      <w:r w:rsidRPr="00B75BB5">
        <w:rPr>
          <w:lang w:val="fr-FR"/>
        </w:rPr>
        <w:t>f) de manière à préserver les droits des fonctionnaires qui étaient entrés au service de l</w:t>
      </w:r>
      <w:r w:rsidR="00F847D2" w:rsidRPr="00B75BB5">
        <w:rPr>
          <w:lang w:val="fr-FR"/>
        </w:rPr>
        <w:t>’</w:t>
      </w:r>
      <w:r w:rsidRPr="00B75BB5">
        <w:rPr>
          <w:lang w:val="fr-FR"/>
        </w:rPr>
        <w:t>OMPI avant la modification de l</w:t>
      </w:r>
      <w:r w:rsidR="00F847D2" w:rsidRPr="00B75BB5">
        <w:rPr>
          <w:lang w:val="fr-FR"/>
        </w:rPr>
        <w:t>’</w:t>
      </w:r>
      <w:r w:rsidRPr="00B75BB5">
        <w:rPr>
          <w:lang w:val="fr-FR"/>
        </w:rPr>
        <w:t>alinéa</w:t>
      </w:r>
      <w:r w:rsidR="00A200B5" w:rsidRPr="00B75BB5">
        <w:rPr>
          <w:lang w:val="fr-FR"/>
        </w:rPr>
        <w:t> </w:t>
      </w:r>
      <w:r w:rsidRPr="00B75BB5">
        <w:rPr>
          <w:lang w:val="fr-FR"/>
        </w:rPr>
        <w:t>a)</w:t>
      </w:r>
      <w:r w:rsidRPr="00B75BB5">
        <w:rPr>
          <w:rStyle w:val="FootnoteReference"/>
          <w:lang w:val="fr-FR"/>
        </w:rPr>
        <w:footnoteReference w:id="2"/>
      </w:r>
      <w:r w:rsidRPr="00B75BB5">
        <w:rPr>
          <w:lang w:val="fr-FR"/>
        </w:rPr>
        <w:t>.</w:t>
      </w:r>
      <w:r w:rsidR="00502619" w:rsidRPr="00B75BB5">
        <w:rPr>
          <w:lang w:val="fr-FR"/>
        </w:rPr>
        <w:t xml:space="preserve">  </w:t>
      </w:r>
      <w:r w:rsidR="007A47AB" w:rsidRPr="00B75BB5">
        <w:rPr>
          <w:lang w:val="fr-FR"/>
        </w:rPr>
        <w:t>Le libellé proposé pour ce nouvel alinéa</w:t>
      </w:r>
      <w:r w:rsidR="00A200B5" w:rsidRPr="00B75BB5">
        <w:rPr>
          <w:lang w:val="fr-FR"/>
        </w:rPr>
        <w:t> </w:t>
      </w:r>
      <w:r w:rsidR="007A47AB" w:rsidRPr="00B75BB5">
        <w:rPr>
          <w:lang w:val="fr-FR"/>
        </w:rPr>
        <w:t>f) était le suivant</w:t>
      </w:r>
      <w:r w:rsidR="00A200B5" w:rsidRPr="00B75BB5">
        <w:rPr>
          <w:lang w:val="fr-FR"/>
        </w:rPr>
        <w:t> </w:t>
      </w:r>
      <w:r w:rsidR="007A47AB" w:rsidRPr="00B75BB5">
        <w:rPr>
          <w:lang w:val="fr-FR"/>
        </w:rPr>
        <w:t>:</w:t>
      </w:r>
    </w:p>
    <w:p w:rsidR="00F847D2" w:rsidRPr="00B75BB5" w:rsidRDefault="00F847D2" w:rsidP="007A47AB">
      <w:pPr>
        <w:widowControl w:val="0"/>
        <w:ind w:left="567"/>
        <w:rPr>
          <w:lang w:val="fr-FR"/>
        </w:rPr>
      </w:pPr>
      <w:r w:rsidRPr="00B75BB5">
        <w:rPr>
          <w:lang w:val="fr-FR"/>
        </w:rPr>
        <w:t>“</w:t>
      </w:r>
      <w:r w:rsidR="007A47AB" w:rsidRPr="00B75BB5">
        <w:rPr>
          <w:lang w:val="fr-FR"/>
        </w:rPr>
        <w:t>Nonobstant l</w:t>
      </w:r>
      <w:r w:rsidRPr="00B75BB5">
        <w:rPr>
          <w:lang w:val="fr-FR"/>
        </w:rPr>
        <w:t>’</w:t>
      </w:r>
      <w:r w:rsidR="007A47AB" w:rsidRPr="00B75BB5">
        <w:rPr>
          <w:lang w:val="fr-FR"/>
        </w:rPr>
        <w:t>alinéa</w:t>
      </w:r>
      <w:r w:rsidR="00A200B5" w:rsidRPr="00B75BB5">
        <w:rPr>
          <w:lang w:val="fr-FR"/>
        </w:rPr>
        <w:t> </w:t>
      </w:r>
      <w:r w:rsidR="007A47AB" w:rsidRPr="00B75BB5">
        <w:rPr>
          <w:lang w:val="fr-FR"/>
        </w:rPr>
        <w:t>a), les fonctionnaires qui, avant le</w:t>
      </w:r>
      <w:r w:rsidRPr="00B75BB5">
        <w:rPr>
          <w:lang w:val="fr-FR"/>
        </w:rPr>
        <w:t xml:space="preserve"> 1</w:t>
      </w:r>
      <w:r w:rsidRPr="00B75BB5">
        <w:rPr>
          <w:vertAlign w:val="superscript"/>
          <w:lang w:val="fr-FR"/>
        </w:rPr>
        <w:t>er</w:t>
      </w:r>
      <w:r w:rsidRPr="00B75BB5">
        <w:rPr>
          <w:lang w:val="fr-FR"/>
        </w:rPr>
        <w:t> </w:t>
      </w:r>
      <w:r w:rsidR="007A47AB" w:rsidRPr="00B75BB5">
        <w:rPr>
          <w:lang w:val="fr-FR"/>
        </w:rPr>
        <w:t>janvier</w:t>
      </w:r>
      <w:r w:rsidR="00A200B5" w:rsidRPr="00B75BB5">
        <w:rPr>
          <w:lang w:val="fr-FR"/>
        </w:rPr>
        <w:t> </w:t>
      </w:r>
      <w:r w:rsidR="007A47AB" w:rsidRPr="00B75BB5">
        <w:rPr>
          <w:lang w:val="fr-FR"/>
        </w:rPr>
        <w:t>2016, étaient titulaires d</w:t>
      </w:r>
      <w:r w:rsidRPr="00B75BB5">
        <w:rPr>
          <w:lang w:val="fr-FR"/>
        </w:rPr>
        <w:t>’</w:t>
      </w:r>
      <w:r w:rsidR="007A47AB" w:rsidRPr="00B75BB5">
        <w:rPr>
          <w:lang w:val="fr-FR"/>
        </w:rPr>
        <w:t>un engagement de durée déterminée, d</w:t>
      </w:r>
      <w:r w:rsidRPr="00B75BB5">
        <w:rPr>
          <w:lang w:val="fr-FR"/>
        </w:rPr>
        <w:t>’</w:t>
      </w:r>
      <w:r w:rsidR="007A47AB" w:rsidRPr="00B75BB5">
        <w:rPr>
          <w:lang w:val="fr-FR"/>
        </w:rPr>
        <w:t>un engagement continu ou d</w:t>
      </w:r>
      <w:r w:rsidRPr="00B75BB5">
        <w:rPr>
          <w:lang w:val="fr-FR"/>
        </w:rPr>
        <w:t>’</w:t>
      </w:r>
      <w:r w:rsidR="007A47AB" w:rsidRPr="00B75BB5">
        <w:rPr>
          <w:lang w:val="fr-FR"/>
        </w:rPr>
        <w:t>un engagement permanent auprès du Bureau international et qui résidaient</w:t>
      </w:r>
      <w:r w:rsidR="00A764B6" w:rsidRPr="00B75BB5">
        <w:rPr>
          <w:lang w:val="fr-FR"/>
        </w:rPr>
        <w:t>,</w:t>
      </w:r>
      <w:r w:rsidR="007A47AB" w:rsidRPr="00B75BB5">
        <w:rPr>
          <w:lang w:val="fr-FR"/>
        </w:rPr>
        <w:t xml:space="preserve"> mais n</w:t>
      </w:r>
      <w:r w:rsidRPr="00B75BB5">
        <w:rPr>
          <w:lang w:val="fr-FR"/>
        </w:rPr>
        <w:t>’</w:t>
      </w:r>
      <w:r w:rsidR="007A47AB" w:rsidRPr="00B75BB5">
        <w:rPr>
          <w:lang w:val="fr-FR"/>
        </w:rPr>
        <w:t>étaient pas en poste dans leur pays d</w:t>
      </w:r>
      <w:r w:rsidRPr="00B75BB5">
        <w:rPr>
          <w:lang w:val="fr-FR"/>
        </w:rPr>
        <w:t>’</w:t>
      </w:r>
      <w:r w:rsidR="007A47AB" w:rsidRPr="00B75BB5">
        <w:rPr>
          <w:lang w:val="fr-FR"/>
        </w:rPr>
        <w:t>origine conservent le droit à l</w:t>
      </w:r>
      <w:r w:rsidRPr="00B75BB5">
        <w:rPr>
          <w:lang w:val="fr-FR"/>
        </w:rPr>
        <w:t>’</w:t>
      </w:r>
      <w:r w:rsidR="007A47AB" w:rsidRPr="00B75BB5">
        <w:rPr>
          <w:lang w:val="fr-FR"/>
        </w:rPr>
        <w:t>indemnité pour frais d</w:t>
      </w:r>
      <w:r w:rsidRPr="00B75BB5">
        <w:rPr>
          <w:lang w:val="fr-FR"/>
        </w:rPr>
        <w:t>’</w:t>
      </w:r>
      <w:r w:rsidR="007A47AB" w:rsidRPr="00B75BB5">
        <w:rPr>
          <w:lang w:val="fr-FR"/>
        </w:rPr>
        <w:t>études.</w:t>
      </w:r>
      <w:r w:rsidRPr="00B75BB5">
        <w:rPr>
          <w:lang w:val="fr-FR"/>
        </w:rPr>
        <w:t>”</w:t>
      </w:r>
    </w:p>
    <w:p w:rsidR="00255436" w:rsidRPr="00B75BB5" w:rsidRDefault="00255436" w:rsidP="005503B9">
      <w:pPr>
        <w:pStyle w:val="ListParagraph"/>
        <w:widowControl w:val="0"/>
        <w:ind w:left="0"/>
        <w:rPr>
          <w:lang w:val="fr-FR"/>
        </w:rPr>
      </w:pPr>
    </w:p>
    <w:p w:rsidR="00752542" w:rsidRPr="00B75BB5" w:rsidRDefault="007A47AB" w:rsidP="00752542">
      <w:pPr>
        <w:pStyle w:val="ONUMFS"/>
        <w:rPr>
          <w:lang w:val="fr-FR"/>
        </w:rPr>
      </w:pPr>
      <w:r w:rsidRPr="00B75BB5">
        <w:rPr>
          <w:lang w:val="fr-FR"/>
        </w:rPr>
        <w:t>Le Comité de coordination de l</w:t>
      </w:r>
      <w:r w:rsidR="00F847D2" w:rsidRPr="00B75BB5">
        <w:rPr>
          <w:lang w:val="fr-FR"/>
        </w:rPr>
        <w:t>’</w:t>
      </w:r>
      <w:r w:rsidRPr="00B75BB5">
        <w:rPr>
          <w:lang w:val="fr-FR"/>
        </w:rPr>
        <w:t>OMPI a approuvé les deux</w:t>
      </w:r>
      <w:r w:rsidR="00A200B5" w:rsidRPr="00B75BB5">
        <w:rPr>
          <w:lang w:val="fr-FR"/>
        </w:rPr>
        <w:t> </w:t>
      </w:r>
      <w:r w:rsidRPr="00B75BB5">
        <w:rPr>
          <w:lang w:val="fr-FR"/>
        </w:rPr>
        <w:t>modifications apportées à l</w:t>
      </w:r>
      <w:r w:rsidR="00F847D2" w:rsidRPr="00B75BB5">
        <w:rPr>
          <w:lang w:val="fr-FR"/>
        </w:rPr>
        <w:t>’</w:t>
      </w:r>
      <w:r w:rsidRPr="00B75BB5">
        <w:rPr>
          <w:lang w:val="fr-FR"/>
        </w:rPr>
        <w:t>article</w:t>
      </w:r>
      <w:r w:rsidR="00A200B5" w:rsidRPr="00B75BB5">
        <w:rPr>
          <w:lang w:val="fr-FR"/>
        </w:rPr>
        <w:t> </w:t>
      </w:r>
      <w:r w:rsidRPr="00B75BB5">
        <w:rPr>
          <w:lang w:val="fr-FR"/>
        </w:rPr>
        <w:t>3.14, notant que</w:t>
      </w:r>
      <w:r w:rsidR="00A200B5" w:rsidRPr="00B75BB5">
        <w:rPr>
          <w:lang w:val="fr-FR"/>
        </w:rPr>
        <w:t> </w:t>
      </w:r>
      <w:r w:rsidRPr="00B75BB5">
        <w:rPr>
          <w:lang w:val="fr-FR"/>
        </w:rPr>
        <w:t>:</w:t>
      </w:r>
    </w:p>
    <w:p w:rsidR="00255436" w:rsidRPr="00B75BB5" w:rsidRDefault="00F847D2" w:rsidP="007A47AB">
      <w:pPr>
        <w:pStyle w:val="ListParagraph"/>
        <w:widowControl w:val="0"/>
        <w:ind w:left="567"/>
        <w:rPr>
          <w:lang w:val="fr-FR"/>
        </w:rPr>
      </w:pPr>
      <w:r w:rsidRPr="00B75BB5">
        <w:rPr>
          <w:lang w:val="fr-FR"/>
        </w:rPr>
        <w:t>“</w:t>
      </w:r>
      <w:r w:rsidR="007A47AB" w:rsidRPr="00B75BB5">
        <w:rPr>
          <w:lang w:val="fr-FR"/>
        </w:rPr>
        <w:t>le Bureau du conseiller juridique présentera</w:t>
      </w:r>
      <w:r w:rsidR="001D740E" w:rsidRPr="00B75BB5">
        <w:rPr>
          <w:lang w:val="fr-FR"/>
        </w:rPr>
        <w:t>,</w:t>
      </w:r>
      <w:r w:rsidR="007A47AB" w:rsidRPr="00B75BB5">
        <w:rPr>
          <w:lang w:val="fr-FR"/>
        </w:rPr>
        <w:t xml:space="preserve"> à la session de 2016 du Comité de coordination</w:t>
      </w:r>
      <w:r w:rsidR="001D740E" w:rsidRPr="00B75BB5">
        <w:rPr>
          <w:lang w:val="fr-FR"/>
        </w:rPr>
        <w:t>,</w:t>
      </w:r>
      <w:r w:rsidR="007A47AB" w:rsidRPr="00B75BB5">
        <w:rPr>
          <w:lang w:val="fr-FR"/>
        </w:rPr>
        <w:t xml:space="preserve"> une analyse de la question des droits acquis des fonctionnaires eu</w:t>
      </w:r>
      <w:r w:rsidR="001D740E" w:rsidRPr="00B75BB5">
        <w:rPr>
          <w:lang w:val="fr-FR"/>
        </w:rPr>
        <w:t> </w:t>
      </w:r>
      <w:r w:rsidR="007A47AB" w:rsidRPr="00B75BB5">
        <w:rPr>
          <w:lang w:val="fr-FR"/>
        </w:rPr>
        <w:t>égard à l</w:t>
      </w:r>
      <w:r w:rsidRPr="00B75BB5">
        <w:rPr>
          <w:lang w:val="fr-FR"/>
        </w:rPr>
        <w:t>’</w:t>
      </w:r>
      <w:r w:rsidR="007A47AB" w:rsidRPr="00B75BB5">
        <w:rPr>
          <w:lang w:val="fr-FR"/>
        </w:rPr>
        <w:t>indemnité pour frais d</w:t>
      </w:r>
      <w:r w:rsidRPr="00B75BB5">
        <w:rPr>
          <w:lang w:val="fr-FR"/>
        </w:rPr>
        <w:t>’</w:t>
      </w:r>
      <w:r w:rsidR="007A47AB" w:rsidRPr="00B75BB5">
        <w:rPr>
          <w:lang w:val="fr-FR"/>
        </w:rPr>
        <w:t>études, conjointement avec des informations pertinentes sur son incidence financière, aux fins d</w:t>
      </w:r>
      <w:r w:rsidRPr="00B75BB5">
        <w:rPr>
          <w:lang w:val="fr-FR"/>
        </w:rPr>
        <w:t>’</w:t>
      </w:r>
      <w:r w:rsidR="007A47AB" w:rsidRPr="00B75BB5">
        <w:rPr>
          <w:lang w:val="fr-FR"/>
        </w:rPr>
        <w:t>une décision du comité sur le point de savoir s</w:t>
      </w:r>
      <w:r w:rsidRPr="00B75BB5">
        <w:rPr>
          <w:lang w:val="fr-FR"/>
        </w:rPr>
        <w:t>’</w:t>
      </w:r>
      <w:r w:rsidR="007A47AB" w:rsidRPr="00B75BB5">
        <w:rPr>
          <w:lang w:val="fr-FR"/>
        </w:rPr>
        <w:t>il conviendra de maintenir ou de supprimer le nouvel article 3.14.f) du Statut du personnel relatif aux frais d</w:t>
      </w:r>
      <w:r w:rsidRPr="00B75BB5">
        <w:rPr>
          <w:lang w:val="fr-FR"/>
        </w:rPr>
        <w:t>’</w:t>
      </w:r>
      <w:r w:rsidR="007A47AB" w:rsidRPr="00B75BB5">
        <w:rPr>
          <w:lang w:val="fr-FR"/>
        </w:rPr>
        <w:t>études</w:t>
      </w:r>
      <w:r w:rsidRPr="00B75BB5">
        <w:rPr>
          <w:lang w:val="fr-FR"/>
        </w:rPr>
        <w:t>”</w:t>
      </w:r>
      <w:r w:rsidR="007A47AB" w:rsidRPr="00B75BB5">
        <w:rPr>
          <w:rStyle w:val="FootnoteReference"/>
          <w:lang w:val="fr-FR"/>
        </w:rPr>
        <w:footnoteReference w:id="3"/>
      </w:r>
      <w:r w:rsidR="007A47AB" w:rsidRPr="00B75BB5">
        <w:rPr>
          <w:lang w:val="fr-FR"/>
        </w:rPr>
        <w:t>.</w:t>
      </w:r>
    </w:p>
    <w:p w:rsidR="00255436" w:rsidRPr="00B75BB5" w:rsidRDefault="00255436" w:rsidP="00B75BB5">
      <w:pPr>
        <w:widowControl w:val="0"/>
        <w:rPr>
          <w:lang w:val="fr-FR"/>
        </w:rPr>
      </w:pPr>
    </w:p>
    <w:p w:rsidR="00255436" w:rsidRPr="00B75BB5" w:rsidRDefault="007A47AB" w:rsidP="007A47AB">
      <w:pPr>
        <w:pStyle w:val="ListParagraph"/>
        <w:widowControl w:val="0"/>
        <w:ind w:left="567"/>
        <w:rPr>
          <w:u w:val="single"/>
          <w:lang w:val="fr-FR"/>
        </w:rPr>
      </w:pPr>
      <w:r w:rsidRPr="00B75BB5">
        <w:rPr>
          <w:u w:val="single"/>
          <w:lang w:val="fr-FR"/>
        </w:rPr>
        <w:t>Résumé</w:t>
      </w:r>
    </w:p>
    <w:p w:rsidR="00255436" w:rsidRPr="00B75BB5" w:rsidRDefault="00255436" w:rsidP="00B75BB5">
      <w:pPr>
        <w:widowControl w:val="0"/>
        <w:rPr>
          <w:lang w:val="fr-FR"/>
        </w:rPr>
      </w:pPr>
    </w:p>
    <w:p w:rsidR="00752542" w:rsidRPr="00B75BB5" w:rsidRDefault="007A47AB" w:rsidP="00752542">
      <w:pPr>
        <w:pStyle w:val="ONUMFS"/>
        <w:rPr>
          <w:lang w:val="fr-FR"/>
        </w:rPr>
      </w:pPr>
      <w:r w:rsidRPr="00B75BB5">
        <w:rPr>
          <w:lang w:val="fr-FR"/>
        </w:rPr>
        <w:t>Le présent document comprend l</w:t>
      </w:r>
      <w:r w:rsidR="00F847D2" w:rsidRPr="00B75BB5">
        <w:rPr>
          <w:lang w:val="fr-FR"/>
        </w:rPr>
        <w:t>’</w:t>
      </w:r>
      <w:r w:rsidRPr="00B75BB5">
        <w:rPr>
          <w:lang w:val="fr-FR"/>
        </w:rPr>
        <w:t>analyse susmentionnée qui a été demandée par le Comité de coordinati</w:t>
      </w:r>
      <w:r w:rsidR="00FB2861" w:rsidRPr="00B75BB5">
        <w:rPr>
          <w:lang w:val="fr-FR"/>
        </w:rPr>
        <w:t>on.  Po</w:t>
      </w:r>
      <w:r w:rsidR="00B20F72" w:rsidRPr="00B75BB5">
        <w:rPr>
          <w:lang w:val="fr-FR"/>
        </w:rPr>
        <w:t>ur résumer</w:t>
      </w:r>
      <w:r w:rsidR="007A097F" w:rsidRPr="00B75BB5">
        <w:rPr>
          <w:lang w:val="fr-FR"/>
        </w:rPr>
        <w:t>, si le droit à une indemnité pour frais d</w:t>
      </w:r>
      <w:r w:rsidR="00F847D2" w:rsidRPr="00B75BB5">
        <w:rPr>
          <w:lang w:val="fr-FR"/>
        </w:rPr>
        <w:t>’</w:t>
      </w:r>
      <w:r w:rsidR="007A097F" w:rsidRPr="00B75BB5">
        <w:rPr>
          <w:lang w:val="fr-FR"/>
        </w:rPr>
        <w:t>études a été reconnu comme appartenant à la catégorie des droits acquis (voir la section</w:t>
      </w:r>
      <w:r w:rsidR="00A200B5" w:rsidRPr="00B75BB5">
        <w:rPr>
          <w:lang w:val="fr-FR"/>
        </w:rPr>
        <w:t> </w:t>
      </w:r>
      <w:r w:rsidR="007A097F" w:rsidRPr="00B75BB5">
        <w:rPr>
          <w:lang w:val="fr-FR"/>
        </w:rPr>
        <w:t xml:space="preserve">II), les fonctionnaires français résidant en France qui avaient </w:t>
      </w:r>
      <w:r w:rsidR="00B20F72" w:rsidRPr="00B75BB5">
        <w:rPr>
          <w:lang w:val="fr-FR"/>
        </w:rPr>
        <w:t>présenté une demande d</w:t>
      </w:r>
      <w:r w:rsidR="00F847D2" w:rsidRPr="00B75BB5">
        <w:rPr>
          <w:lang w:val="fr-FR"/>
        </w:rPr>
        <w:t>’</w:t>
      </w:r>
      <w:r w:rsidR="007A097F" w:rsidRPr="00B75BB5">
        <w:rPr>
          <w:lang w:val="fr-FR"/>
        </w:rPr>
        <w:t>indemnité pour frais d</w:t>
      </w:r>
      <w:r w:rsidR="00F847D2" w:rsidRPr="00B75BB5">
        <w:rPr>
          <w:lang w:val="fr-FR"/>
        </w:rPr>
        <w:t>’</w:t>
      </w:r>
      <w:r w:rsidR="007A097F" w:rsidRPr="00B75BB5">
        <w:rPr>
          <w:lang w:val="fr-FR"/>
        </w:rPr>
        <w:t xml:space="preserve">études </w:t>
      </w:r>
      <w:r w:rsidR="00B20F72" w:rsidRPr="00B75BB5">
        <w:rPr>
          <w:lang w:val="fr-FR"/>
        </w:rPr>
        <w:t>ont reçu cette indemnité en vertu</w:t>
      </w:r>
      <w:r w:rsidR="007A097F" w:rsidRPr="00B75BB5">
        <w:rPr>
          <w:lang w:val="fr-FR"/>
        </w:rPr>
        <w:t xml:space="preserve"> d</w:t>
      </w:r>
      <w:r w:rsidR="00F847D2" w:rsidRPr="00B75BB5">
        <w:rPr>
          <w:lang w:val="fr-FR"/>
        </w:rPr>
        <w:t>’</w:t>
      </w:r>
      <w:r w:rsidR="007A097F" w:rsidRPr="00B75BB5">
        <w:rPr>
          <w:lang w:val="fr-FR"/>
        </w:rPr>
        <w:t>une pratique de longue date plutôt qu</w:t>
      </w:r>
      <w:r w:rsidR="00F847D2" w:rsidRPr="00B75BB5">
        <w:rPr>
          <w:lang w:val="fr-FR"/>
        </w:rPr>
        <w:t>’</w:t>
      </w:r>
      <w:r w:rsidR="00B20F72" w:rsidRPr="00B75BB5">
        <w:rPr>
          <w:lang w:val="fr-FR"/>
        </w:rPr>
        <w:t>au titre</w:t>
      </w:r>
      <w:r w:rsidR="007A097F" w:rsidRPr="00B75BB5">
        <w:rPr>
          <w:lang w:val="fr-FR"/>
        </w:rPr>
        <w:t xml:space="preserve"> </w:t>
      </w:r>
      <w:r w:rsidR="00B20F72" w:rsidRPr="00B75BB5">
        <w:rPr>
          <w:lang w:val="fr-FR"/>
        </w:rPr>
        <w:t>d</w:t>
      </w:r>
      <w:r w:rsidR="00F847D2" w:rsidRPr="00B75BB5">
        <w:rPr>
          <w:lang w:val="fr-FR"/>
        </w:rPr>
        <w:t>’</w:t>
      </w:r>
      <w:r w:rsidR="00B20F72" w:rsidRPr="00B75BB5">
        <w:rPr>
          <w:lang w:val="fr-FR"/>
        </w:rPr>
        <w:t>un</w:t>
      </w:r>
      <w:r w:rsidR="007A097F" w:rsidRPr="00B75BB5">
        <w:rPr>
          <w:lang w:val="fr-FR"/>
        </w:rPr>
        <w:t xml:space="preserve"> droit </w:t>
      </w:r>
      <w:r w:rsidR="00B20F72" w:rsidRPr="00B75BB5">
        <w:rPr>
          <w:lang w:val="fr-FR"/>
        </w:rPr>
        <w:t>inscrit</w:t>
      </w:r>
      <w:r w:rsidR="007A097F" w:rsidRPr="00B75BB5">
        <w:rPr>
          <w:lang w:val="fr-FR"/>
        </w:rPr>
        <w:t xml:space="preserve"> dans le Statut et Règlement du personnel de l</w:t>
      </w:r>
      <w:r w:rsidR="00F847D2" w:rsidRPr="00B75BB5">
        <w:rPr>
          <w:lang w:val="fr-FR"/>
        </w:rPr>
        <w:t>’</w:t>
      </w:r>
      <w:r w:rsidR="007A097F" w:rsidRPr="00B75BB5">
        <w:rPr>
          <w:lang w:val="fr-FR"/>
        </w:rPr>
        <w:t>OMPI (voir la section</w:t>
      </w:r>
      <w:r w:rsidR="00A200B5" w:rsidRPr="00B75BB5">
        <w:rPr>
          <w:lang w:val="fr-FR"/>
        </w:rPr>
        <w:t> </w:t>
      </w:r>
      <w:r w:rsidR="007A097F" w:rsidRPr="00B75BB5">
        <w:rPr>
          <w:lang w:val="fr-FR"/>
        </w:rPr>
        <w:t>III).</w:t>
      </w:r>
      <w:r w:rsidR="00FC7FD3" w:rsidRPr="00B75BB5">
        <w:rPr>
          <w:lang w:val="fr-FR"/>
        </w:rPr>
        <w:t xml:space="preserve">  </w:t>
      </w:r>
      <w:r w:rsidR="007A097F" w:rsidRPr="00B75BB5">
        <w:rPr>
          <w:lang w:val="fr-FR"/>
        </w:rPr>
        <w:t>Cette pratique n</w:t>
      </w:r>
      <w:r w:rsidR="00F847D2" w:rsidRPr="00B75BB5">
        <w:rPr>
          <w:lang w:val="fr-FR"/>
        </w:rPr>
        <w:t>’</w:t>
      </w:r>
      <w:r w:rsidR="007A097F" w:rsidRPr="00B75BB5">
        <w:rPr>
          <w:lang w:val="fr-FR"/>
        </w:rPr>
        <w:t xml:space="preserve">a pas acquis une valeur juridique et encore moins </w:t>
      </w:r>
      <w:r w:rsidR="00B20F72" w:rsidRPr="00B75BB5">
        <w:rPr>
          <w:lang w:val="fr-FR"/>
        </w:rPr>
        <w:t>engendré</w:t>
      </w:r>
      <w:r w:rsidR="007A097F" w:rsidRPr="00B75BB5">
        <w:rPr>
          <w:lang w:val="fr-FR"/>
        </w:rPr>
        <w:t xml:space="preserve"> un droit acqu</w:t>
      </w:r>
      <w:r w:rsidR="00FB2861" w:rsidRPr="00B75BB5">
        <w:rPr>
          <w:lang w:val="fr-FR"/>
        </w:rPr>
        <w:t>is.  El</w:t>
      </w:r>
      <w:r w:rsidR="00F23E82" w:rsidRPr="00B75BB5">
        <w:rPr>
          <w:lang w:val="fr-FR"/>
        </w:rPr>
        <w:t xml:space="preserve">le peut </w:t>
      </w:r>
      <w:r w:rsidR="00B20F72" w:rsidRPr="00B75BB5">
        <w:rPr>
          <w:lang w:val="fr-FR"/>
        </w:rPr>
        <w:t xml:space="preserve">dès lors </w:t>
      </w:r>
      <w:r w:rsidR="00F23E82" w:rsidRPr="00B75BB5">
        <w:rPr>
          <w:lang w:val="fr-FR"/>
        </w:rPr>
        <w:t xml:space="preserve">être supprimée légalement, à condition que la </w:t>
      </w:r>
      <w:r w:rsidR="00B20F72" w:rsidRPr="00B75BB5">
        <w:rPr>
          <w:lang w:val="fr-FR"/>
        </w:rPr>
        <w:t>mesure</w:t>
      </w:r>
      <w:r w:rsidR="00F23E82" w:rsidRPr="00B75BB5">
        <w:rPr>
          <w:lang w:val="fr-FR"/>
        </w:rPr>
        <w:t xml:space="preserve"> ne s</w:t>
      </w:r>
      <w:r w:rsidR="00F847D2" w:rsidRPr="00B75BB5">
        <w:rPr>
          <w:lang w:val="fr-FR"/>
        </w:rPr>
        <w:t>’</w:t>
      </w:r>
      <w:r w:rsidR="00F23E82" w:rsidRPr="00B75BB5">
        <w:rPr>
          <w:lang w:val="fr-FR"/>
        </w:rPr>
        <w:t>applique pas rétroactivement et que le</w:t>
      </w:r>
      <w:r w:rsidR="00E32327" w:rsidRPr="00B75BB5">
        <w:rPr>
          <w:lang w:val="fr-FR"/>
        </w:rPr>
        <w:t xml:space="preserve"> personnel </w:t>
      </w:r>
      <w:r w:rsidR="00F23E82" w:rsidRPr="00B75BB5">
        <w:rPr>
          <w:lang w:val="fr-FR"/>
        </w:rPr>
        <w:t>soit informé suffisamment longtemps à l</w:t>
      </w:r>
      <w:r w:rsidR="00F847D2" w:rsidRPr="00B75BB5">
        <w:rPr>
          <w:lang w:val="fr-FR"/>
        </w:rPr>
        <w:t>’</w:t>
      </w:r>
      <w:r w:rsidR="00F23E82" w:rsidRPr="00B75BB5">
        <w:rPr>
          <w:lang w:val="fr-FR"/>
        </w:rPr>
        <w:t>avance (voir la section</w:t>
      </w:r>
      <w:r w:rsidR="00A200B5" w:rsidRPr="00B75BB5">
        <w:rPr>
          <w:lang w:val="fr-FR"/>
        </w:rPr>
        <w:t> </w:t>
      </w:r>
      <w:r w:rsidR="00F23E82" w:rsidRPr="00B75BB5">
        <w:rPr>
          <w:lang w:val="fr-FR"/>
        </w:rPr>
        <w:t>IV).</w:t>
      </w:r>
      <w:r w:rsidR="005503B9" w:rsidRPr="00B75BB5">
        <w:rPr>
          <w:lang w:val="fr-FR"/>
        </w:rPr>
        <w:t xml:space="preserve">  </w:t>
      </w:r>
      <w:r w:rsidR="00260DCF" w:rsidRPr="00B75BB5">
        <w:rPr>
          <w:lang w:val="fr-FR"/>
        </w:rPr>
        <w:t>Il est donc recommandé que l</w:t>
      </w:r>
      <w:r w:rsidR="00F847D2" w:rsidRPr="00B75BB5">
        <w:rPr>
          <w:lang w:val="fr-FR"/>
        </w:rPr>
        <w:t>’</w:t>
      </w:r>
      <w:r w:rsidR="00260DCF" w:rsidRPr="00B75BB5">
        <w:rPr>
          <w:lang w:val="fr-FR"/>
        </w:rPr>
        <w:t>article</w:t>
      </w:r>
      <w:r w:rsidR="00E32327" w:rsidRPr="00B75BB5">
        <w:rPr>
          <w:lang w:val="fr-FR"/>
        </w:rPr>
        <w:t> </w:t>
      </w:r>
      <w:r w:rsidR="00260DCF" w:rsidRPr="00B75BB5">
        <w:rPr>
          <w:lang w:val="fr-FR"/>
        </w:rPr>
        <w:t>3.14.f) soit supprimé et remplacé par une mesure transitoire limitée, qui tiendrait compte de l</w:t>
      </w:r>
      <w:r w:rsidR="00F847D2" w:rsidRPr="00B75BB5">
        <w:rPr>
          <w:lang w:val="fr-FR"/>
        </w:rPr>
        <w:t>’</w:t>
      </w:r>
      <w:r w:rsidR="00260DCF" w:rsidRPr="00B75BB5">
        <w:rPr>
          <w:lang w:val="fr-FR"/>
        </w:rPr>
        <w:t>exigence de notification (voir la section</w:t>
      </w:r>
      <w:r w:rsidR="00E32327" w:rsidRPr="00B75BB5">
        <w:rPr>
          <w:lang w:val="fr-FR"/>
        </w:rPr>
        <w:t> </w:t>
      </w:r>
      <w:r w:rsidR="00260DCF" w:rsidRPr="00B75BB5">
        <w:rPr>
          <w:lang w:val="fr-FR"/>
        </w:rPr>
        <w:t>V).</w:t>
      </w:r>
      <w:r w:rsidR="002F0458" w:rsidRPr="00B75BB5">
        <w:rPr>
          <w:lang w:val="fr-FR"/>
        </w:rPr>
        <w:t xml:space="preserve">  </w:t>
      </w:r>
      <w:r w:rsidR="00260DCF" w:rsidRPr="00B75BB5">
        <w:rPr>
          <w:lang w:val="fr-FR"/>
        </w:rPr>
        <w:t>Les incidences financières de la mesure transito</w:t>
      </w:r>
      <w:r w:rsidR="00E32327" w:rsidRPr="00B75BB5">
        <w:rPr>
          <w:lang w:val="fr-FR"/>
        </w:rPr>
        <w:t>ir</w:t>
      </w:r>
      <w:r w:rsidR="00260DCF" w:rsidRPr="00B75BB5">
        <w:rPr>
          <w:lang w:val="fr-FR"/>
        </w:rPr>
        <w:t>e proposée sont limitées (voir la section</w:t>
      </w:r>
      <w:r w:rsidR="00E32327" w:rsidRPr="00B75BB5">
        <w:rPr>
          <w:lang w:val="fr-FR"/>
        </w:rPr>
        <w:t> </w:t>
      </w:r>
      <w:r w:rsidR="00260DCF" w:rsidRPr="00B75BB5">
        <w:rPr>
          <w:lang w:val="fr-FR"/>
        </w:rPr>
        <w:t>VI).</w:t>
      </w:r>
    </w:p>
    <w:p w:rsidR="00255436" w:rsidRPr="00B75BB5" w:rsidRDefault="00752542" w:rsidP="00752542">
      <w:pPr>
        <w:pStyle w:val="Heading1"/>
      </w:pPr>
      <w:r w:rsidRPr="00B75BB5">
        <w:t>Doctrine des droits acquis</w:t>
      </w:r>
    </w:p>
    <w:p w:rsidR="00255436" w:rsidRPr="00B75BB5" w:rsidRDefault="00255436" w:rsidP="00B22334">
      <w:pPr>
        <w:keepNext/>
        <w:keepLines/>
        <w:rPr>
          <w:b/>
          <w:lang w:val="fr-FR"/>
        </w:rPr>
      </w:pPr>
    </w:p>
    <w:p w:rsidR="00255436" w:rsidRPr="00B75BB5" w:rsidRDefault="00260DCF" w:rsidP="00260DCF">
      <w:pPr>
        <w:keepNext/>
        <w:keepLines/>
        <w:ind w:left="567"/>
        <w:rPr>
          <w:u w:val="single"/>
          <w:lang w:val="fr-FR"/>
        </w:rPr>
      </w:pPr>
      <w:r w:rsidRPr="00B75BB5">
        <w:rPr>
          <w:u w:val="single"/>
          <w:lang w:val="fr-FR"/>
        </w:rPr>
        <w:t>Le pouvoir de modifier les conditions d</w:t>
      </w:r>
      <w:r w:rsidR="00F847D2" w:rsidRPr="00B75BB5">
        <w:rPr>
          <w:u w:val="single"/>
          <w:lang w:val="fr-FR"/>
        </w:rPr>
        <w:t>’</w:t>
      </w:r>
      <w:r w:rsidRPr="00B75BB5">
        <w:rPr>
          <w:u w:val="single"/>
          <w:lang w:val="fr-FR"/>
        </w:rPr>
        <w:t>emploi est subordonné à la doctrine des droits acquis</w:t>
      </w:r>
    </w:p>
    <w:p w:rsidR="00255436" w:rsidRPr="00B75BB5" w:rsidRDefault="00255436" w:rsidP="009E2FEC">
      <w:pPr>
        <w:keepNext/>
        <w:keepLines/>
        <w:rPr>
          <w:lang w:val="fr-FR"/>
        </w:rPr>
      </w:pPr>
    </w:p>
    <w:p w:rsidR="00752542" w:rsidRPr="00B75BB5" w:rsidRDefault="004B2D37" w:rsidP="00752542">
      <w:pPr>
        <w:pStyle w:val="ONUMFS"/>
        <w:rPr>
          <w:lang w:val="fr-FR"/>
        </w:rPr>
      </w:pPr>
      <w:r w:rsidRPr="00B75BB5">
        <w:rPr>
          <w:lang w:val="fr-FR"/>
        </w:rPr>
        <w:t>S</w:t>
      </w:r>
      <w:r w:rsidR="00F847D2" w:rsidRPr="00B75BB5">
        <w:rPr>
          <w:lang w:val="fr-FR"/>
        </w:rPr>
        <w:t>’</w:t>
      </w:r>
      <w:r w:rsidRPr="00B75BB5">
        <w:rPr>
          <w:lang w:val="fr-FR"/>
        </w:rPr>
        <w:t xml:space="preserve">il est reconnu que les organisations internationales ont le pouvoir </w:t>
      </w:r>
      <w:r w:rsidR="00E32327" w:rsidRPr="00B75BB5">
        <w:rPr>
          <w:u w:val="single"/>
          <w:lang w:val="fr-FR"/>
        </w:rPr>
        <w:t>inhérent</w:t>
      </w:r>
      <w:r w:rsidR="00E32327" w:rsidRPr="00B75BB5">
        <w:rPr>
          <w:lang w:val="fr-FR"/>
        </w:rPr>
        <w:t xml:space="preserve"> </w:t>
      </w:r>
      <w:r w:rsidRPr="00B75BB5">
        <w:rPr>
          <w:lang w:val="fr-FR"/>
        </w:rPr>
        <w:t>de modifier les conditions d</w:t>
      </w:r>
      <w:r w:rsidR="00F847D2" w:rsidRPr="00B75BB5">
        <w:rPr>
          <w:lang w:val="fr-FR"/>
        </w:rPr>
        <w:t>’</w:t>
      </w:r>
      <w:r w:rsidRPr="00B75BB5">
        <w:rPr>
          <w:lang w:val="fr-FR"/>
        </w:rPr>
        <w:t>emploi offertes à leurs fonctionnaires, ce pouvoir n</w:t>
      </w:r>
      <w:r w:rsidR="00F847D2" w:rsidRPr="00B75BB5">
        <w:rPr>
          <w:lang w:val="fr-FR"/>
        </w:rPr>
        <w:t>’</w:t>
      </w:r>
      <w:r w:rsidRPr="00B75BB5">
        <w:rPr>
          <w:lang w:val="fr-FR"/>
        </w:rPr>
        <w:t>est pas illimi</w:t>
      </w:r>
      <w:r w:rsidR="00FB2861" w:rsidRPr="00B75BB5">
        <w:rPr>
          <w:lang w:val="fr-FR"/>
        </w:rPr>
        <w:t>té.  D’u</w:t>
      </w:r>
      <w:r w:rsidR="00597A90" w:rsidRPr="00B75BB5">
        <w:rPr>
          <w:lang w:val="fr-FR"/>
        </w:rPr>
        <w:t>ne manière générale, les conditions d</w:t>
      </w:r>
      <w:r w:rsidR="00F847D2" w:rsidRPr="00B75BB5">
        <w:rPr>
          <w:lang w:val="fr-FR"/>
        </w:rPr>
        <w:t>’</w:t>
      </w:r>
      <w:r w:rsidR="00597A90" w:rsidRPr="00B75BB5">
        <w:rPr>
          <w:lang w:val="fr-FR"/>
        </w:rPr>
        <w:t>emploi peuvent être modifiées</w:t>
      </w:r>
      <w:r w:rsidR="00A764B6" w:rsidRPr="00B75BB5">
        <w:rPr>
          <w:lang w:val="fr-FR"/>
        </w:rPr>
        <w:t>,</w:t>
      </w:r>
      <w:r w:rsidR="00597A90" w:rsidRPr="00B75BB5">
        <w:rPr>
          <w:lang w:val="fr-FR"/>
        </w:rPr>
        <w:t xml:space="preserve"> mais seulement avec effet sur l</w:t>
      </w:r>
      <w:r w:rsidR="00F847D2" w:rsidRPr="00B75BB5">
        <w:rPr>
          <w:lang w:val="fr-FR"/>
        </w:rPr>
        <w:t>’</w:t>
      </w:r>
      <w:r w:rsidR="00597A90" w:rsidRPr="00B75BB5">
        <w:rPr>
          <w:lang w:val="fr-FR"/>
        </w:rPr>
        <w:t>avenir et non avec effet rétroact</w:t>
      </w:r>
      <w:r w:rsidR="00FB2861" w:rsidRPr="00B75BB5">
        <w:rPr>
          <w:lang w:val="fr-FR"/>
        </w:rPr>
        <w:t>if.  En</w:t>
      </w:r>
      <w:r w:rsidR="00597A90" w:rsidRPr="00B75BB5">
        <w:rPr>
          <w:lang w:val="fr-FR"/>
        </w:rPr>
        <w:t xml:space="preserve"> outre, le</w:t>
      </w:r>
      <w:r w:rsidR="0094408B" w:rsidRPr="00B75BB5">
        <w:rPr>
          <w:lang w:val="fr-FR"/>
        </w:rPr>
        <w:t xml:space="preserve"> ou les droits</w:t>
      </w:r>
      <w:r w:rsidR="00597A90" w:rsidRPr="00B75BB5">
        <w:rPr>
          <w:lang w:val="fr-FR"/>
        </w:rPr>
        <w:t xml:space="preserve"> en question ne doi</w:t>
      </w:r>
      <w:r w:rsidR="0094408B" w:rsidRPr="00B75BB5">
        <w:rPr>
          <w:lang w:val="fr-FR"/>
        </w:rPr>
        <w:t>ven</w:t>
      </w:r>
      <w:r w:rsidR="00597A90" w:rsidRPr="00B75BB5">
        <w:rPr>
          <w:lang w:val="fr-FR"/>
        </w:rPr>
        <w:t>t pas faire partie de l</w:t>
      </w:r>
      <w:r w:rsidR="00F847D2" w:rsidRPr="00B75BB5">
        <w:rPr>
          <w:lang w:val="fr-FR"/>
        </w:rPr>
        <w:t>’</w:t>
      </w:r>
      <w:r w:rsidR="00597A90" w:rsidRPr="00B75BB5">
        <w:rPr>
          <w:lang w:val="fr-FR"/>
        </w:rPr>
        <w:t xml:space="preserve">ensemble de </w:t>
      </w:r>
      <w:r w:rsidR="00F847D2" w:rsidRPr="00B75BB5">
        <w:rPr>
          <w:lang w:val="fr-FR"/>
        </w:rPr>
        <w:t>“</w:t>
      </w:r>
      <w:r w:rsidR="00597A90" w:rsidRPr="00B75BB5">
        <w:rPr>
          <w:lang w:val="fr-FR"/>
        </w:rPr>
        <w:t>droits acquis</w:t>
      </w:r>
      <w:r w:rsidR="00F847D2" w:rsidRPr="00B75BB5">
        <w:rPr>
          <w:lang w:val="fr-FR"/>
        </w:rPr>
        <w:t>”</w:t>
      </w:r>
      <w:r w:rsidR="00597A90" w:rsidRPr="00B75BB5">
        <w:rPr>
          <w:lang w:val="fr-FR"/>
        </w:rPr>
        <w:t xml:space="preserve"> du fonctionnaire, qui sont considérés comme in</w:t>
      </w:r>
      <w:r w:rsidR="00E32327" w:rsidRPr="00B75BB5">
        <w:rPr>
          <w:lang w:val="fr-FR"/>
        </w:rPr>
        <w:t>violab</w:t>
      </w:r>
      <w:r w:rsidR="00597A90" w:rsidRPr="00B75BB5">
        <w:rPr>
          <w:lang w:val="fr-FR"/>
        </w:rPr>
        <w:t>les et ne peuvent donc pas lui être retirés sans son consenteme</w:t>
      </w:r>
      <w:r w:rsidR="00FB2861" w:rsidRPr="00B75BB5">
        <w:rPr>
          <w:lang w:val="fr-FR"/>
        </w:rPr>
        <w:t>nt.  Da</w:t>
      </w:r>
      <w:r w:rsidR="005D11CD" w:rsidRPr="00B75BB5">
        <w:rPr>
          <w:lang w:val="fr-FR"/>
        </w:rPr>
        <w:t xml:space="preserve">ns un </w:t>
      </w:r>
      <w:r w:rsidR="00D667AB" w:rsidRPr="00B75BB5">
        <w:rPr>
          <w:lang w:val="fr-FR"/>
        </w:rPr>
        <w:t>cas</w:t>
      </w:r>
      <w:r w:rsidR="005D11CD" w:rsidRPr="00B75BB5">
        <w:rPr>
          <w:lang w:val="fr-FR"/>
        </w:rPr>
        <w:t xml:space="preserve"> impliquant l</w:t>
      </w:r>
      <w:r w:rsidR="00F847D2" w:rsidRPr="00B75BB5">
        <w:rPr>
          <w:lang w:val="fr-FR"/>
        </w:rPr>
        <w:t>’</w:t>
      </w:r>
      <w:r w:rsidR="005D11CD" w:rsidRPr="00B75BB5">
        <w:rPr>
          <w:lang w:val="fr-FR"/>
        </w:rPr>
        <w:t>OMPI en qualité d</w:t>
      </w:r>
      <w:r w:rsidR="00F847D2" w:rsidRPr="00B75BB5">
        <w:rPr>
          <w:lang w:val="fr-FR"/>
        </w:rPr>
        <w:t>’</w:t>
      </w:r>
      <w:r w:rsidR="005D11CD" w:rsidRPr="00B75BB5">
        <w:rPr>
          <w:lang w:val="fr-FR"/>
        </w:rPr>
        <w:t>organisation défenderesse, le Tribunal administratif de l</w:t>
      </w:r>
      <w:r w:rsidR="00F847D2" w:rsidRPr="00B75BB5">
        <w:rPr>
          <w:lang w:val="fr-FR"/>
        </w:rPr>
        <w:t>’</w:t>
      </w:r>
      <w:r w:rsidR="005D11CD" w:rsidRPr="00B75BB5">
        <w:rPr>
          <w:lang w:val="fr-FR"/>
        </w:rPr>
        <w:t>Organisation internationale du Travail (</w:t>
      </w:r>
      <w:r w:rsidR="00F847D2" w:rsidRPr="00B75BB5">
        <w:rPr>
          <w:lang w:val="fr-FR"/>
        </w:rPr>
        <w:t>“</w:t>
      </w:r>
      <w:r w:rsidR="005D11CD" w:rsidRPr="00B75BB5">
        <w:rPr>
          <w:lang w:val="fr-FR"/>
        </w:rPr>
        <w:t>TAOIT</w:t>
      </w:r>
      <w:r w:rsidR="00F847D2" w:rsidRPr="00B75BB5">
        <w:rPr>
          <w:lang w:val="fr-FR"/>
        </w:rPr>
        <w:t>”</w:t>
      </w:r>
      <w:r w:rsidR="005D11CD" w:rsidRPr="00B75BB5">
        <w:rPr>
          <w:lang w:val="fr-FR"/>
        </w:rPr>
        <w:t>) a fait valoir expressément que</w:t>
      </w:r>
      <w:r w:rsidR="00D667AB" w:rsidRPr="00B75BB5">
        <w:rPr>
          <w:lang w:val="fr-FR"/>
        </w:rPr>
        <w:t>,</w:t>
      </w:r>
      <w:r w:rsidR="005D11CD" w:rsidRPr="00B75BB5">
        <w:rPr>
          <w:lang w:val="fr-FR"/>
        </w:rPr>
        <w:t xml:space="preserve"> </w:t>
      </w:r>
      <w:r w:rsidR="00F847D2" w:rsidRPr="00B75BB5">
        <w:rPr>
          <w:lang w:val="fr-FR"/>
        </w:rPr>
        <w:t>“</w:t>
      </w:r>
      <w:r w:rsidR="005D11CD" w:rsidRPr="00B75BB5">
        <w:rPr>
          <w:lang w:val="fr-FR"/>
        </w:rPr>
        <w:t>[</w:t>
      </w:r>
      <w:r w:rsidR="00D667AB" w:rsidRPr="00B75BB5">
        <w:rPr>
          <w:lang w:val="fr-FR"/>
        </w:rPr>
        <w:t>e</w:t>
      </w:r>
      <w:r w:rsidR="005D11CD" w:rsidRPr="00B75BB5">
        <w:rPr>
          <w:lang w:val="fr-FR"/>
        </w:rPr>
        <w:t>]</w:t>
      </w:r>
      <w:r w:rsidR="00D667AB" w:rsidRPr="00B75BB5">
        <w:rPr>
          <w:lang w:val="fr-FR"/>
        </w:rPr>
        <w:t>n</w:t>
      </w:r>
      <w:r w:rsidR="005D11CD" w:rsidRPr="00B75BB5">
        <w:rPr>
          <w:lang w:val="fr-FR"/>
        </w:rPr>
        <w:t xml:space="preserve"> </w:t>
      </w:r>
      <w:r w:rsidR="00D667AB" w:rsidRPr="00B75BB5">
        <w:rPr>
          <w:lang w:val="fr-FR"/>
        </w:rPr>
        <w:t xml:space="preserve">dehors </w:t>
      </w:r>
      <w:r w:rsidR="00D667AB" w:rsidRPr="00B75BB5">
        <w:rPr>
          <w:lang w:val="fr-FR"/>
        </w:rPr>
        <w:lastRenderedPageBreak/>
        <w:t xml:space="preserve">des limites imposées par le respect des </w:t>
      </w:r>
      <w:r w:rsidR="005D11CD" w:rsidRPr="00B75BB5">
        <w:rPr>
          <w:lang w:val="fr-FR"/>
        </w:rPr>
        <w:t xml:space="preserve">droits acquis et </w:t>
      </w:r>
      <w:r w:rsidR="00D667AB" w:rsidRPr="00B75BB5">
        <w:rPr>
          <w:lang w:val="fr-FR"/>
        </w:rPr>
        <w:t>des promesses contraignantes,</w:t>
      </w:r>
      <w:r w:rsidR="005D11CD" w:rsidRPr="00B75BB5">
        <w:rPr>
          <w:lang w:val="fr-FR"/>
        </w:rPr>
        <w:t xml:space="preserve"> </w:t>
      </w:r>
      <w:r w:rsidR="00D667AB" w:rsidRPr="00B75BB5">
        <w:rPr>
          <w:lang w:val="fr-FR"/>
        </w:rPr>
        <w:t xml:space="preserve">une organisation a la faculté de modifier le Statut de son personnel dans le cadre du </w:t>
      </w:r>
      <w:r w:rsidR="005D11CD" w:rsidRPr="00B75BB5">
        <w:rPr>
          <w:lang w:val="fr-FR"/>
        </w:rPr>
        <w:t>large pouvoir d</w:t>
      </w:r>
      <w:r w:rsidR="00F847D2" w:rsidRPr="00B75BB5">
        <w:rPr>
          <w:lang w:val="fr-FR"/>
        </w:rPr>
        <w:t>’</w:t>
      </w:r>
      <w:r w:rsidR="00D667AB" w:rsidRPr="00B75BB5">
        <w:rPr>
          <w:lang w:val="fr-FR"/>
        </w:rPr>
        <w:t>appréciation qui lui est reconnu</w:t>
      </w:r>
      <w:r w:rsidR="005D11CD" w:rsidRPr="00B75BB5">
        <w:rPr>
          <w:lang w:val="fr-FR"/>
        </w:rPr>
        <w:t xml:space="preserve"> […]</w:t>
      </w:r>
      <w:r w:rsidR="00F847D2" w:rsidRPr="00B75BB5">
        <w:rPr>
          <w:lang w:val="fr-FR"/>
        </w:rPr>
        <w:t>”</w:t>
      </w:r>
      <w:r w:rsidR="005D11CD" w:rsidRPr="00B75BB5">
        <w:rPr>
          <w:rStyle w:val="FootnoteReference"/>
          <w:lang w:val="fr-FR"/>
        </w:rPr>
        <w:footnoteReference w:id="4"/>
      </w:r>
      <w:r w:rsidR="005D11CD" w:rsidRPr="00B75BB5">
        <w:rPr>
          <w:lang w:val="fr-FR"/>
        </w:rPr>
        <w:t>.</w:t>
      </w:r>
    </w:p>
    <w:p w:rsidR="00752542" w:rsidRPr="00B75BB5" w:rsidRDefault="005D11CD" w:rsidP="00752542">
      <w:pPr>
        <w:pStyle w:val="ONUMFS"/>
        <w:rPr>
          <w:lang w:val="fr-FR"/>
        </w:rPr>
      </w:pPr>
      <w:r w:rsidRPr="00B75BB5">
        <w:rPr>
          <w:lang w:val="fr-FR"/>
        </w:rPr>
        <w:t>L</w:t>
      </w:r>
      <w:r w:rsidR="00D667AB" w:rsidRPr="00B75BB5">
        <w:rPr>
          <w:lang w:val="fr-FR"/>
        </w:rPr>
        <w:t>a faculté de l</w:t>
      </w:r>
      <w:r w:rsidR="00F847D2" w:rsidRPr="00B75BB5">
        <w:rPr>
          <w:lang w:val="fr-FR"/>
        </w:rPr>
        <w:t>’</w:t>
      </w:r>
      <w:r w:rsidR="00D667AB" w:rsidRPr="00B75BB5">
        <w:rPr>
          <w:lang w:val="fr-FR"/>
        </w:rPr>
        <w:t>OMPI de m</w:t>
      </w:r>
      <w:r w:rsidRPr="00B75BB5">
        <w:rPr>
          <w:lang w:val="fr-FR"/>
        </w:rPr>
        <w:t>odifier son Statut et Règlement du personnel</w:t>
      </w:r>
      <w:r w:rsidR="00D667AB" w:rsidRPr="00B75BB5">
        <w:rPr>
          <w:lang w:val="fr-FR"/>
        </w:rPr>
        <w:t xml:space="preserve"> </w:t>
      </w:r>
      <w:r w:rsidRPr="00B75BB5">
        <w:rPr>
          <w:lang w:val="fr-FR"/>
        </w:rPr>
        <w:t xml:space="preserve">est </w:t>
      </w:r>
      <w:r w:rsidR="00D667AB" w:rsidRPr="00B75BB5">
        <w:rPr>
          <w:lang w:val="fr-FR"/>
        </w:rPr>
        <w:t>par ailleurs</w:t>
      </w:r>
      <w:r w:rsidRPr="00B75BB5">
        <w:rPr>
          <w:lang w:val="fr-FR"/>
        </w:rPr>
        <w:t xml:space="preserve"> </w:t>
      </w:r>
      <w:r w:rsidRPr="00B75BB5">
        <w:rPr>
          <w:u w:val="single"/>
          <w:lang w:val="fr-FR"/>
        </w:rPr>
        <w:t>expressément</w:t>
      </w:r>
      <w:r w:rsidRPr="00B75BB5">
        <w:rPr>
          <w:lang w:val="fr-FR"/>
        </w:rPr>
        <w:t xml:space="preserve"> </w:t>
      </w:r>
      <w:r w:rsidR="00D667AB" w:rsidRPr="00B75BB5">
        <w:rPr>
          <w:lang w:val="fr-FR"/>
        </w:rPr>
        <w:t>reconnue</w:t>
      </w:r>
      <w:r w:rsidRPr="00B75BB5">
        <w:rPr>
          <w:lang w:val="fr-FR"/>
        </w:rPr>
        <w:t xml:space="preserve"> à l</w:t>
      </w:r>
      <w:r w:rsidR="00F847D2" w:rsidRPr="00B75BB5">
        <w:rPr>
          <w:lang w:val="fr-FR"/>
        </w:rPr>
        <w:t>’</w:t>
      </w:r>
      <w:r w:rsidRPr="00B75BB5">
        <w:rPr>
          <w:lang w:val="fr-FR"/>
        </w:rPr>
        <w:t>article</w:t>
      </w:r>
      <w:r w:rsidR="00B22334" w:rsidRPr="00B75BB5">
        <w:rPr>
          <w:lang w:val="fr-FR"/>
        </w:rPr>
        <w:t> </w:t>
      </w:r>
      <w:r w:rsidRPr="00B75BB5">
        <w:rPr>
          <w:lang w:val="fr-FR"/>
        </w:rPr>
        <w:t>12.1.a) (qui traite des amendements du Statut) et à l</w:t>
      </w:r>
      <w:r w:rsidR="00F847D2" w:rsidRPr="00B75BB5">
        <w:rPr>
          <w:lang w:val="fr-FR"/>
        </w:rPr>
        <w:t>’</w:t>
      </w:r>
      <w:r w:rsidRPr="00B75BB5">
        <w:rPr>
          <w:lang w:val="fr-FR"/>
        </w:rPr>
        <w:t>article</w:t>
      </w:r>
      <w:r w:rsidR="006814F7" w:rsidRPr="00B75BB5">
        <w:rPr>
          <w:lang w:val="fr-FR"/>
        </w:rPr>
        <w:t> </w:t>
      </w:r>
      <w:r w:rsidRPr="00B75BB5">
        <w:rPr>
          <w:lang w:val="fr-FR"/>
        </w:rPr>
        <w:t xml:space="preserve">12.2.a) (qui traite des amendements du </w:t>
      </w:r>
      <w:r w:rsidR="0094408B" w:rsidRPr="00B75BB5">
        <w:rPr>
          <w:lang w:val="fr-FR"/>
        </w:rPr>
        <w:t>R</w:t>
      </w:r>
      <w:r w:rsidR="00D97B59" w:rsidRPr="00B75BB5">
        <w:rPr>
          <w:lang w:val="fr-FR"/>
        </w:rPr>
        <w:t>ègle</w:t>
      </w:r>
      <w:r w:rsidRPr="00B75BB5">
        <w:rPr>
          <w:lang w:val="fr-FR"/>
        </w:rPr>
        <w:t>ment</w:t>
      </w:r>
      <w:r w:rsidR="00FB2861" w:rsidRPr="00B75BB5">
        <w:rPr>
          <w:lang w:val="fr-FR"/>
        </w:rPr>
        <w:t>).  Da</w:t>
      </w:r>
      <w:r w:rsidR="00885EAE" w:rsidRPr="00B75BB5">
        <w:rPr>
          <w:lang w:val="fr-FR"/>
        </w:rPr>
        <w:t>ns la mesure où le droit à percevoir une indemnité pour frais d</w:t>
      </w:r>
      <w:r w:rsidR="00F847D2" w:rsidRPr="00B75BB5">
        <w:rPr>
          <w:lang w:val="fr-FR"/>
        </w:rPr>
        <w:t>’</w:t>
      </w:r>
      <w:r w:rsidR="00885EAE" w:rsidRPr="00B75BB5">
        <w:rPr>
          <w:lang w:val="fr-FR"/>
        </w:rPr>
        <w:t xml:space="preserve">études est inscrit dans un article et non dans le règlement, </w:t>
      </w:r>
      <w:r w:rsidR="009E788F" w:rsidRPr="00B75BB5">
        <w:rPr>
          <w:lang w:val="fr-FR"/>
        </w:rPr>
        <w:t xml:space="preserve">la disposition applicable est </w:t>
      </w:r>
      <w:r w:rsidR="00885EAE" w:rsidRPr="00B75BB5">
        <w:rPr>
          <w:lang w:val="fr-FR"/>
        </w:rPr>
        <w:t>l</w:t>
      </w:r>
      <w:r w:rsidR="00F847D2" w:rsidRPr="00B75BB5">
        <w:rPr>
          <w:lang w:val="fr-FR"/>
        </w:rPr>
        <w:t>’</w:t>
      </w:r>
      <w:r w:rsidR="00885EAE" w:rsidRPr="00B75BB5">
        <w:rPr>
          <w:lang w:val="fr-FR"/>
        </w:rPr>
        <w:t>alinéa</w:t>
      </w:r>
      <w:r w:rsidR="006814F7" w:rsidRPr="00B75BB5">
        <w:rPr>
          <w:lang w:val="fr-FR"/>
        </w:rPr>
        <w:t> </w:t>
      </w:r>
      <w:r w:rsidR="00885EAE" w:rsidRPr="00B75BB5">
        <w:rPr>
          <w:lang w:val="fr-FR"/>
        </w:rPr>
        <w:t>b) de l</w:t>
      </w:r>
      <w:r w:rsidR="00F847D2" w:rsidRPr="00B75BB5">
        <w:rPr>
          <w:lang w:val="fr-FR"/>
        </w:rPr>
        <w:t>’</w:t>
      </w:r>
      <w:r w:rsidR="00885EAE" w:rsidRPr="00B75BB5">
        <w:rPr>
          <w:lang w:val="fr-FR"/>
        </w:rPr>
        <w:t>article</w:t>
      </w:r>
      <w:r w:rsidR="006814F7" w:rsidRPr="00B75BB5">
        <w:rPr>
          <w:lang w:val="fr-FR"/>
        </w:rPr>
        <w:t> </w:t>
      </w:r>
      <w:r w:rsidR="00885EAE" w:rsidRPr="00B75BB5">
        <w:rPr>
          <w:lang w:val="fr-FR"/>
        </w:rPr>
        <w:t>12.1, qui prévoit ce qui suit</w:t>
      </w:r>
      <w:r w:rsidR="006814F7" w:rsidRPr="00B75BB5">
        <w:rPr>
          <w:lang w:val="fr-FR"/>
        </w:rPr>
        <w:t> </w:t>
      </w:r>
      <w:r w:rsidR="00885EAE" w:rsidRPr="00B75BB5">
        <w:rPr>
          <w:lang w:val="fr-FR"/>
        </w:rPr>
        <w:t>:</w:t>
      </w:r>
    </w:p>
    <w:p w:rsidR="00255436" w:rsidRPr="00B75BB5" w:rsidRDefault="00F847D2" w:rsidP="00885EAE">
      <w:pPr>
        <w:widowControl w:val="0"/>
        <w:ind w:left="567"/>
        <w:rPr>
          <w:lang w:val="fr-FR"/>
        </w:rPr>
      </w:pPr>
      <w:r w:rsidRPr="00B75BB5">
        <w:rPr>
          <w:lang w:val="fr-FR"/>
        </w:rPr>
        <w:t>“</w:t>
      </w:r>
      <w:r w:rsidR="00885EAE" w:rsidRPr="00B75BB5">
        <w:rPr>
          <w:lang w:val="fr-FR"/>
        </w:rPr>
        <w:t>Aucun amendement ne peut porter préjudice aux droits acquis des fonctionnaires ni à l</w:t>
      </w:r>
      <w:r w:rsidRPr="00B75BB5">
        <w:rPr>
          <w:lang w:val="fr-FR"/>
        </w:rPr>
        <w:t>’</w:t>
      </w:r>
      <w:r w:rsidR="00885EAE" w:rsidRPr="00B75BB5">
        <w:rPr>
          <w:lang w:val="fr-FR"/>
        </w:rPr>
        <w:t>une quelconque des conditions de service indiquées dans la lettre de nomination ou le contrat du fonctionnaire et ne peut porter atteinte à l</w:t>
      </w:r>
      <w:r w:rsidRPr="00B75BB5">
        <w:rPr>
          <w:lang w:val="fr-FR"/>
        </w:rPr>
        <w:t>’</w:t>
      </w:r>
      <w:r w:rsidR="00885EAE" w:rsidRPr="00B75BB5">
        <w:rPr>
          <w:lang w:val="fr-FR"/>
        </w:rPr>
        <w:t>application au fonctionnaire des clauses du Statut en vigueur jusqu</w:t>
      </w:r>
      <w:r w:rsidRPr="00B75BB5">
        <w:rPr>
          <w:lang w:val="fr-FR"/>
        </w:rPr>
        <w:t>’</w:t>
      </w:r>
      <w:r w:rsidR="00885EAE" w:rsidRPr="00B75BB5">
        <w:rPr>
          <w:lang w:val="fr-FR"/>
        </w:rPr>
        <w:t>à la date d</w:t>
      </w:r>
      <w:r w:rsidRPr="00B75BB5">
        <w:rPr>
          <w:lang w:val="fr-FR"/>
        </w:rPr>
        <w:t>’</w:t>
      </w:r>
      <w:r w:rsidR="00885EAE" w:rsidRPr="00B75BB5">
        <w:rPr>
          <w:lang w:val="fr-FR"/>
        </w:rPr>
        <w:t>entrée en vigueur de l</w:t>
      </w:r>
      <w:r w:rsidRPr="00B75BB5">
        <w:rPr>
          <w:lang w:val="fr-FR"/>
        </w:rPr>
        <w:t>’</w:t>
      </w:r>
      <w:r w:rsidR="00885EAE" w:rsidRPr="00B75BB5">
        <w:rPr>
          <w:lang w:val="fr-FR"/>
        </w:rPr>
        <w:t>amendement, lequel ne peut avoir d</w:t>
      </w:r>
      <w:r w:rsidRPr="00B75BB5">
        <w:rPr>
          <w:lang w:val="fr-FR"/>
        </w:rPr>
        <w:t>’</w:t>
      </w:r>
      <w:r w:rsidR="00885EAE" w:rsidRPr="00B75BB5">
        <w:rPr>
          <w:lang w:val="fr-FR"/>
        </w:rPr>
        <w:t>effet rétroactif sauf si, du point de vue du fonctionnaire, il améliore les conditions d</w:t>
      </w:r>
      <w:r w:rsidRPr="00B75BB5">
        <w:rPr>
          <w:lang w:val="fr-FR"/>
        </w:rPr>
        <w:t>’</w:t>
      </w:r>
      <w:r w:rsidR="00885EAE" w:rsidRPr="00B75BB5">
        <w:rPr>
          <w:lang w:val="fr-FR"/>
        </w:rPr>
        <w:t>emploi.</w:t>
      </w:r>
      <w:r w:rsidRPr="00B75BB5">
        <w:rPr>
          <w:lang w:val="fr-FR"/>
        </w:rPr>
        <w:t>”</w:t>
      </w:r>
    </w:p>
    <w:p w:rsidR="00255436" w:rsidRPr="00B75BB5" w:rsidRDefault="00255436" w:rsidP="003A3EA4">
      <w:pPr>
        <w:widowControl w:val="0"/>
        <w:rPr>
          <w:lang w:val="fr-FR"/>
        </w:rPr>
      </w:pPr>
    </w:p>
    <w:p w:rsidR="00752542" w:rsidRPr="00B75BB5" w:rsidRDefault="00FD66DD" w:rsidP="00752542">
      <w:pPr>
        <w:pStyle w:val="ONUMFS"/>
        <w:rPr>
          <w:lang w:val="fr-FR"/>
        </w:rPr>
      </w:pPr>
      <w:r w:rsidRPr="00B75BB5">
        <w:rPr>
          <w:lang w:val="fr-FR"/>
        </w:rPr>
        <w:t>La clause susmentionnée énonce clairement que les dispositions du Statut du personnel peuvent être modifiées, mais seulement avec effet pour l</w:t>
      </w:r>
      <w:r w:rsidR="00F847D2" w:rsidRPr="00B75BB5">
        <w:rPr>
          <w:lang w:val="fr-FR"/>
        </w:rPr>
        <w:t>’</w:t>
      </w:r>
      <w:r w:rsidRPr="00B75BB5">
        <w:rPr>
          <w:lang w:val="fr-FR"/>
        </w:rPr>
        <w:t>avenir, à moins que la modification soit à l</w:t>
      </w:r>
      <w:r w:rsidR="00F847D2" w:rsidRPr="00B75BB5">
        <w:rPr>
          <w:lang w:val="fr-FR"/>
        </w:rPr>
        <w:t>’</w:t>
      </w:r>
      <w:r w:rsidRPr="00B75BB5">
        <w:rPr>
          <w:lang w:val="fr-FR"/>
        </w:rPr>
        <w:t>avantage des fonctionnaires (auquel cas le Statut peut aussi être modifié avec effet rétroact</w:t>
      </w:r>
      <w:r w:rsidR="00FB2861" w:rsidRPr="00B75BB5">
        <w:rPr>
          <w:lang w:val="fr-FR"/>
        </w:rPr>
        <w:t>if).  De</w:t>
      </w:r>
      <w:r w:rsidRPr="00B75BB5">
        <w:rPr>
          <w:lang w:val="fr-FR"/>
        </w:rPr>
        <w:t xml:space="preserve"> plus, les modifications ne peuvent avoir pour effet de porter atteinte aux </w:t>
      </w:r>
      <w:r w:rsidR="00F847D2" w:rsidRPr="00B75BB5">
        <w:rPr>
          <w:lang w:val="fr-FR"/>
        </w:rPr>
        <w:t>“</w:t>
      </w:r>
      <w:r w:rsidRPr="00B75BB5">
        <w:rPr>
          <w:lang w:val="fr-FR"/>
        </w:rPr>
        <w:t>droits acquis</w:t>
      </w:r>
      <w:r w:rsidR="00F847D2" w:rsidRPr="00B75BB5">
        <w:rPr>
          <w:lang w:val="fr-FR"/>
        </w:rPr>
        <w:t>”</w:t>
      </w:r>
      <w:r w:rsidRPr="00B75BB5">
        <w:rPr>
          <w:lang w:val="fr-FR"/>
        </w:rPr>
        <w:t xml:space="preserve"> des fonctionnaires ni d</w:t>
      </w:r>
      <w:r w:rsidR="009E788F" w:rsidRPr="00B75BB5">
        <w:rPr>
          <w:lang w:val="fr-FR"/>
        </w:rPr>
        <w:t>e modifier</w:t>
      </w:r>
      <w:r w:rsidRPr="00B75BB5">
        <w:rPr>
          <w:lang w:val="fr-FR"/>
        </w:rPr>
        <w:t xml:space="preserve"> leurs conditions d</w:t>
      </w:r>
      <w:r w:rsidR="00F847D2" w:rsidRPr="00B75BB5">
        <w:rPr>
          <w:lang w:val="fr-FR"/>
        </w:rPr>
        <w:t>’</w:t>
      </w:r>
      <w:r w:rsidRPr="00B75BB5">
        <w:rPr>
          <w:lang w:val="fr-FR"/>
        </w:rPr>
        <w:t>emploi, telles qu</w:t>
      </w:r>
      <w:r w:rsidR="00F847D2" w:rsidRPr="00B75BB5">
        <w:rPr>
          <w:lang w:val="fr-FR"/>
        </w:rPr>
        <w:t>’</w:t>
      </w:r>
      <w:r w:rsidRPr="00B75BB5">
        <w:rPr>
          <w:lang w:val="fr-FR"/>
        </w:rPr>
        <w:t>elles figurent dans leur contrat de travail</w:t>
      </w:r>
      <w:r w:rsidRPr="00B75BB5">
        <w:rPr>
          <w:rStyle w:val="FootnoteReference"/>
          <w:lang w:val="fr-FR"/>
        </w:rPr>
        <w:footnoteReference w:id="5"/>
      </w:r>
      <w:r w:rsidRPr="00B75BB5">
        <w:rPr>
          <w:lang w:val="fr-FR"/>
        </w:rPr>
        <w:t>.</w:t>
      </w:r>
    </w:p>
    <w:p w:rsidR="00752542" w:rsidRPr="00B75BB5" w:rsidRDefault="00B35160" w:rsidP="00752542">
      <w:pPr>
        <w:pStyle w:val="ONUMFS"/>
        <w:rPr>
          <w:lang w:val="fr-FR"/>
        </w:rPr>
      </w:pPr>
      <w:r w:rsidRPr="00B75BB5">
        <w:rPr>
          <w:lang w:val="fr-FR"/>
        </w:rPr>
        <w:t>L</w:t>
      </w:r>
      <w:r w:rsidR="00F847D2" w:rsidRPr="00B75BB5">
        <w:rPr>
          <w:lang w:val="fr-FR"/>
        </w:rPr>
        <w:t>’</w:t>
      </w:r>
      <w:r w:rsidRPr="00B75BB5">
        <w:rPr>
          <w:lang w:val="fr-FR"/>
        </w:rPr>
        <w:t>OMPI relevant de la juridiction</w:t>
      </w:r>
      <w:r w:rsidR="00F847D2" w:rsidRPr="00B75BB5">
        <w:rPr>
          <w:lang w:val="fr-FR"/>
        </w:rPr>
        <w:t xml:space="preserve"> du TAO</w:t>
      </w:r>
      <w:r w:rsidRPr="00B75BB5">
        <w:rPr>
          <w:lang w:val="fr-FR"/>
        </w:rPr>
        <w:t xml:space="preserve">IT, une analyse de </w:t>
      </w:r>
      <w:r w:rsidR="009E788F" w:rsidRPr="00B75BB5">
        <w:rPr>
          <w:lang w:val="fr-FR"/>
        </w:rPr>
        <w:t>l</w:t>
      </w:r>
      <w:r w:rsidRPr="00B75BB5">
        <w:rPr>
          <w:lang w:val="fr-FR"/>
        </w:rPr>
        <w:t xml:space="preserve">a jurisprudence </w:t>
      </w:r>
      <w:r w:rsidR="009E788F" w:rsidRPr="00B75BB5">
        <w:rPr>
          <w:lang w:val="fr-FR"/>
        </w:rPr>
        <w:t xml:space="preserve">du tribunal </w:t>
      </w:r>
      <w:r w:rsidRPr="00B75BB5">
        <w:rPr>
          <w:lang w:val="fr-FR"/>
        </w:rPr>
        <w:t>a été réalisée afin de déterminer avec certitude si la suppression d</w:t>
      </w:r>
      <w:r w:rsidR="00F847D2" w:rsidRPr="00B75BB5">
        <w:rPr>
          <w:lang w:val="fr-FR"/>
        </w:rPr>
        <w:t>’</w:t>
      </w:r>
      <w:r w:rsidRPr="00B75BB5">
        <w:rPr>
          <w:lang w:val="fr-FR"/>
        </w:rPr>
        <w:t>une indemnité pour frais d</w:t>
      </w:r>
      <w:r w:rsidR="00F847D2" w:rsidRPr="00B75BB5">
        <w:rPr>
          <w:lang w:val="fr-FR"/>
        </w:rPr>
        <w:t>’</w:t>
      </w:r>
      <w:r w:rsidRPr="00B75BB5">
        <w:rPr>
          <w:lang w:val="fr-FR"/>
        </w:rPr>
        <w:t>études constituerait une violation de la doctrine des droits acquis.</w:t>
      </w:r>
    </w:p>
    <w:p w:rsidR="00255436" w:rsidRPr="00B75BB5" w:rsidRDefault="00B35160" w:rsidP="00B35160">
      <w:pPr>
        <w:pStyle w:val="ListParagraph"/>
        <w:ind w:left="567"/>
        <w:rPr>
          <w:u w:val="single"/>
          <w:lang w:val="fr-FR"/>
        </w:rPr>
      </w:pPr>
      <w:r w:rsidRPr="00B75BB5">
        <w:rPr>
          <w:u w:val="single"/>
          <w:lang w:val="fr-FR"/>
        </w:rPr>
        <w:t>Qu</w:t>
      </w:r>
      <w:r w:rsidR="00F847D2" w:rsidRPr="00B75BB5">
        <w:rPr>
          <w:u w:val="single"/>
          <w:lang w:val="fr-FR"/>
        </w:rPr>
        <w:t>’</w:t>
      </w:r>
      <w:r w:rsidRPr="00B75BB5">
        <w:rPr>
          <w:u w:val="single"/>
          <w:lang w:val="fr-FR"/>
        </w:rPr>
        <w:t>entend</w:t>
      </w:r>
      <w:r w:rsidR="00DA5099" w:rsidRPr="00B75BB5">
        <w:rPr>
          <w:u w:val="single"/>
          <w:lang w:val="fr-FR"/>
        </w:rPr>
        <w:noBreakHyphen/>
      </w:r>
      <w:r w:rsidRPr="00B75BB5">
        <w:rPr>
          <w:u w:val="single"/>
          <w:lang w:val="fr-FR"/>
        </w:rPr>
        <w:t>on par droit acquis?</w:t>
      </w:r>
    </w:p>
    <w:p w:rsidR="00255436" w:rsidRPr="00B75BB5" w:rsidRDefault="00255436" w:rsidP="00B75BB5">
      <w:pPr>
        <w:rPr>
          <w:lang w:val="fr-FR"/>
        </w:rPr>
      </w:pPr>
    </w:p>
    <w:p w:rsidR="00B75BB5" w:rsidRPr="00B75BB5" w:rsidRDefault="00DD5ADD" w:rsidP="00B75BB5">
      <w:pPr>
        <w:pStyle w:val="ONUMFS"/>
        <w:rPr>
          <w:lang w:val="fr-FR"/>
        </w:rPr>
      </w:pPr>
      <w:r w:rsidRPr="00B75BB5">
        <w:rPr>
          <w:lang w:val="fr-FR"/>
        </w:rPr>
        <w:t>Il ressort de la jurisprudence constante</w:t>
      </w:r>
      <w:r w:rsidR="00F847D2" w:rsidRPr="00B75BB5">
        <w:rPr>
          <w:lang w:val="fr-FR"/>
        </w:rPr>
        <w:t xml:space="preserve"> du TAO</w:t>
      </w:r>
      <w:r w:rsidRPr="00B75BB5">
        <w:rPr>
          <w:lang w:val="fr-FR"/>
        </w:rPr>
        <w:t>IT qu</w:t>
      </w:r>
      <w:r w:rsidR="00F847D2" w:rsidRPr="00B75BB5">
        <w:rPr>
          <w:lang w:val="fr-FR"/>
        </w:rPr>
        <w:t>’“</w:t>
      </w:r>
      <w:r w:rsidRPr="00B75BB5">
        <w:rPr>
          <w:lang w:val="fr-FR"/>
        </w:rPr>
        <w:t xml:space="preserve">un droit est </w:t>
      </w:r>
      <w:r w:rsidR="00F847D2" w:rsidRPr="00B75BB5">
        <w:rPr>
          <w:lang w:val="fr-FR"/>
        </w:rPr>
        <w:t>‘</w:t>
      </w:r>
      <w:r w:rsidRPr="00B75BB5">
        <w:rPr>
          <w:lang w:val="fr-FR"/>
        </w:rPr>
        <w:t>acquis</w:t>
      </w:r>
      <w:r w:rsidR="00F847D2" w:rsidRPr="00B75BB5">
        <w:rPr>
          <w:lang w:val="fr-FR"/>
        </w:rPr>
        <w:t>’</w:t>
      </w:r>
      <w:r w:rsidRPr="00B75BB5">
        <w:rPr>
          <w:lang w:val="fr-FR"/>
        </w:rPr>
        <w:t xml:space="preserve"> lorsque son bénéficiaire peut en exiger le respect, nonobstant toute modification des règles statutaires, en raison de l</w:t>
      </w:r>
      <w:r w:rsidR="00F847D2" w:rsidRPr="00B75BB5">
        <w:rPr>
          <w:lang w:val="fr-FR"/>
        </w:rPr>
        <w:t>’</w:t>
      </w:r>
      <w:r w:rsidRPr="00B75BB5">
        <w:rPr>
          <w:lang w:val="fr-FR"/>
        </w:rPr>
        <w:t>importance fondamentale que ce droit revêt dans l</w:t>
      </w:r>
      <w:r w:rsidR="00F847D2" w:rsidRPr="00B75BB5">
        <w:rPr>
          <w:lang w:val="fr-FR"/>
        </w:rPr>
        <w:t>’</w:t>
      </w:r>
      <w:r w:rsidRPr="00B75BB5">
        <w:rPr>
          <w:lang w:val="fr-FR"/>
        </w:rPr>
        <w:t>équilibre des droits et devoirs constitutifs du rapport d</w:t>
      </w:r>
      <w:r w:rsidR="00F847D2" w:rsidRPr="00B75BB5">
        <w:rPr>
          <w:lang w:val="fr-FR"/>
        </w:rPr>
        <w:t>’</w:t>
      </w:r>
      <w:r w:rsidRPr="00B75BB5">
        <w:rPr>
          <w:lang w:val="fr-FR"/>
        </w:rPr>
        <w:t>emploi</w:t>
      </w:r>
      <w:r w:rsidR="00F847D2" w:rsidRPr="00B75BB5">
        <w:rPr>
          <w:lang w:val="fr-FR"/>
        </w:rPr>
        <w:t>”</w:t>
      </w:r>
      <w:r w:rsidRPr="00B75BB5">
        <w:rPr>
          <w:vertAlign w:val="superscript"/>
          <w:lang w:val="fr-FR"/>
        </w:rPr>
        <w:footnoteReference w:id="6"/>
      </w:r>
      <w:r w:rsidRPr="00B75BB5">
        <w:rPr>
          <w:lang w:val="fr-FR"/>
        </w:rPr>
        <w:t>.</w:t>
      </w:r>
      <w:r w:rsidR="004705B2" w:rsidRPr="00B75BB5">
        <w:rPr>
          <w:lang w:val="fr-FR"/>
        </w:rPr>
        <w:t xml:space="preserve">  </w:t>
      </w:r>
      <w:r w:rsidRPr="00B75BB5">
        <w:rPr>
          <w:lang w:val="fr-FR"/>
        </w:rPr>
        <w:t>Un droit acquis peut être un droit prévu dans le contrat d</w:t>
      </w:r>
      <w:r w:rsidR="00F847D2" w:rsidRPr="00B75BB5">
        <w:rPr>
          <w:lang w:val="fr-FR"/>
        </w:rPr>
        <w:t>’</w:t>
      </w:r>
      <w:r w:rsidRPr="00B75BB5">
        <w:rPr>
          <w:lang w:val="fr-FR"/>
        </w:rPr>
        <w:t>engagement d</w:t>
      </w:r>
      <w:r w:rsidR="00F847D2" w:rsidRPr="00B75BB5">
        <w:rPr>
          <w:lang w:val="fr-FR"/>
        </w:rPr>
        <w:t>’</w:t>
      </w:r>
      <w:r w:rsidRPr="00B75BB5">
        <w:rPr>
          <w:lang w:val="fr-FR"/>
        </w:rPr>
        <w:t>un fonctionnaire et auquel les deux</w:t>
      </w:r>
      <w:r w:rsidR="002367F4" w:rsidRPr="00B75BB5">
        <w:rPr>
          <w:lang w:val="fr-FR"/>
        </w:rPr>
        <w:t> </w:t>
      </w:r>
      <w:r w:rsidRPr="00B75BB5">
        <w:rPr>
          <w:lang w:val="fr-FR"/>
        </w:rPr>
        <w:t>parties ont entendu attribuer un caractère intangib</w:t>
      </w:r>
      <w:r w:rsidR="00FB2861" w:rsidRPr="00B75BB5">
        <w:rPr>
          <w:lang w:val="fr-FR"/>
        </w:rPr>
        <w:t>le.  De</w:t>
      </w:r>
      <w:r w:rsidRPr="00B75BB5">
        <w:rPr>
          <w:lang w:val="fr-FR"/>
        </w:rPr>
        <w:t xml:space="preserve"> manière plus pertinente en l</w:t>
      </w:r>
      <w:r w:rsidR="00F847D2" w:rsidRPr="00B75BB5">
        <w:rPr>
          <w:lang w:val="fr-FR"/>
        </w:rPr>
        <w:t>’</w:t>
      </w:r>
      <w:r w:rsidRPr="00B75BB5">
        <w:rPr>
          <w:lang w:val="fr-FR"/>
        </w:rPr>
        <w:t xml:space="preserve">occurrence, un droit acquis peut aussi être un droit </w:t>
      </w:r>
      <w:r w:rsidR="00574179" w:rsidRPr="00B75BB5">
        <w:rPr>
          <w:lang w:val="fr-FR"/>
        </w:rPr>
        <w:t>résultant d</w:t>
      </w:r>
      <w:r w:rsidR="00F847D2" w:rsidRPr="00B75BB5">
        <w:rPr>
          <w:lang w:val="fr-FR"/>
        </w:rPr>
        <w:t>’</w:t>
      </w:r>
      <w:r w:rsidR="00574179" w:rsidRPr="00B75BB5">
        <w:rPr>
          <w:lang w:val="fr-FR"/>
        </w:rPr>
        <w:t>u</w:t>
      </w:r>
      <w:r w:rsidRPr="00B75BB5">
        <w:rPr>
          <w:lang w:val="fr-FR"/>
        </w:rPr>
        <w:t xml:space="preserve">ne disposition du statut ou </w:t>
      </w:r>
      <w:r w:rsidR="00613716" w:rsidRPr="00B75BB5">
        <w:rPr>
          <w:lang w:val="fr-FR"/>
        </w:rPr>
        <w:t xml:space="preserve">du </w:t>
      </w:r>
      <w:r w:rsidRPr="00B75BB5">
        <w:rPr>
          <w:lang w:val="fr-FR"/>
        </w:rPr>
        <w:t>règlement du personnel de l</w:t>
      </w:r>
      <w:r w:rsidR="00F847D2" w:rsidRPr="00B75BB5">
        <w:rPr>
          <w:lang w:val="fr-FR"/>
        </w:rPr>
        <w:t>’</w:t>
      </w:r>
      <w:r w:rsidRPr="00B75BB5">
        <w:rPr>
          <w:lang w:val="fr-FR"/>
        </w:rPr>
        <w:t xml:space="preserve">organisation </w:t>
      </w:r>
      <w:r w:rsidR="00613716" w:rsidRPr="00B75BB5">
        <w:rPr>
          <w:lang w:val="fr-FR"/>
        </w:rPr>
        <w:t>dont</w:t>
      </w:r>
      <w:r w:rsidRPr="00B75BB5">
        <w:rPr>
          <w:lang w:val="fr-FR"/>
        </w:rPr>
        <w:t xml:space="preserve"> </w:t>
      </w:r>
      <w:r w:rsidR="00613716" w:rsidRPr="00B75BB5">
        <w:rPr>
          <w:lang w:val="fr-FR"/>
        </w:rPr>
        <w:t>l</w:t>
      </w:r>
      <w:r w:rsidR="00F847D2" w:rsidRPr="00B75BB5">
        <w:rPr>
          <w:lang w:val="fr-FR"/>
        </w:rPr>
        <w:t>’</w:t>
      </w:r>
      <w:r w:rsidRPr="00B75BB5">
        <w:rPr>
          <w:lang w:val="fr-FR"/>
        </w:rPr>
        <w:t>importan</w:t>
      </w:r>
      <w:r w:rsidR="00613716" w:rsidRPr="00B75BB5">
        <w:rPr>
          <w:lang w:val="fr-FR"/>
        </w:rPr>
        <w:t>t est</w:t>
      </w:r>
      <w:r w:rsidRPr="00B75BB5">
        <w:rPr>
          <w:lang w:val="fr-FR"/>
        </w:rPr>
        <w:t xml:space="preserve"> de nature à déterminer un </w:t>
      </w:r>
      <w:r w:rsidR="00613716" w:rsidRPr="00B75BB5">
        <w:rPr>
          <w:lang w:val="fr-FR"/>
        </w:rPr>
        <w:t>agent</w:t>
      </w:r>
      <w:r w:rsidRPr="00B75BB5">
        <w:rPr>
          <w:lang w:val="fr-FR"/>
        </w:rPr>
        <w:t xml:space="preserve"> à entrer ou à rester au service de l</w:t>
      </w:r>
      <w:r w:rsidR="00F847D2" w:rsidRPr="00B75BB5">
        <w:rPr>
          <w:lang w:val="fr-FR"/>
        </w:rPr>
        <w:t>’</w:t>
      </w:r>
      <w:r w:rsidRPr="00B75BB5">
        <w:rPr>
          <w:lang w:val="fr-FR"/>
        </w:rPr>
        <w:t>organisati</w:t>
      </w:r>
      <w:r w:rsidR="00FB2861" w:rsidRPr="00B75BB5">
        <w:rPr>
          <w:lang w:val="fr-FR"/>
        </w:rPr>
        <w:t>on.</w:t>
      </w:r>
      <w:r w:rsidR="00B75BB5" w:rsidRPr="00B75BB5">
        <w:rPr>
          <w:lang w:val="fr-FR"/>
        </w:rPr>
        <w:br/>
      </w:r>
    </w:p>
    <w:p w:rsidR="00B75BB5" w:rsidRPr="00B75BB5" w:rsidRDefault="00B75BB5">
      <w:pPr>
        <w:rPr>
          <w:lang w:val="fr-FR"/>
        </w:rPr>
      </w:pPr>
      <w:r w:rsidRPr="00B75BB5">
        <w:rPr>
          <w:lang w:val="fr-FR"/>
        </w:rPr>
        <w:br w:type="page"/>
      </w:r>
    </w:p>
    <w:p w:rsidR="00F847D2" w:rsidRPr="00B75BB5" w:rsidRDefault="00FB2861" w:rsidP="00B75BB5">
      <w:pPr>
        <w:pStyle w:val="ONUMFS"/>
        <w:numPr>
          <w:ilvl w:val="0"/>
          <w:numId w:val="0"/>
        </w:numPr>
        <w:rPr>
          <w:lang w:val="fr-FR"/>
        </w:rPr>
      </w:pPr>
      <w:r w:rsidRPr="00B75BB5">
        <w:rPr>
          <w:lang w:val="fr-FR"/>
        </w:rPr>
        <w:lastRenderedPageBreak/>
        <w:t>En</w:t>
      </w:r>
      <w:r w:rsidR="00DD5ADD" w:rsidRPr="00B75BB5">
        <w:rPr>
          <w:lang w:val="fr-FR"/>
        </w:rPr>
        <w:t xml:space="preserve"> d</w:t>
      </w:r>
      <w:r w:rsidR="00F847D2" w:rsidRPr="00B75BB5">
        <w:rPr>
          <w:lang w:val="fr-FR"/>
        </w:rPr>
        <w:t>’</w:t>
      </w:r>
      <w:r w:rsidR="00DD5ADD" w:rsidRPr="00B75BB5">
        <w:rPr>
          <w:lang w:val="fr-FR"/>
        </w:rPr>
        <w:t>autres termes, pour qu</w:t>
      </w:r>
      <w:r w:rsidR="00F847D2" w:rsidRPr="00B75BB5">
        <w:rPr>
          <w:lang w:val="fr-FR"/>
        </w:rPr>
        <w:t>’</w:t>
      </w:r>
      <w:r w:rsidR="00DD5ADD" w:rsidRPr="00B75BB5">
        <w:rPr>
          <w:lang w:val="fr-FR"/>
        </w:rPr>
        <w:t>il y ait violation d</w:t>
      </w:r>
      <w:r w:rsidR="00F847D2" w:rsidRPr="00B75BB5">
        <w:rPr>
          <w:lang w:val="fr-FR"/>
        </w:rPr>
        <w:t>’</w:t>
      </w:r>
      <w:r w:rsidR="00DD5ADD" w:rsidRPr="00B75BB5">
        <w:rPr>
          <w:lang w:val="fr-FR"/>
        </w:rPr>
        <w:t>un droit acquis, la modification des conditions d</w:t>
      </w:r>
      <w:r w:rsidR="00F847D2" w:rsidRPr="00B75BB5">
        <w:rPr>
          <w:lang w:val="fr-FR"/>
        </w:rPr>
        <w:t>’</w:t>
      </w:r>
      <w:r w:rsidR="00DD5ADD" w:rsidRPr="00B75BB5">
        <w:rPr>
          <w:lang w:val="fr-FR"/>
        </w:rPr>
        <w:t>emploi doit toucher un élément fondamental ou essentiel de</w:t>
      </w:r>
      <w:r w:rsidR="00613716" w:rsidRPr="00B75BB5">
        <w:rPr>
          <w:lang w:val="fr-FR"/>
        </w:rPr>
        <w:t xml:space="preserve"> celle</w:t>
      </w:r>
      <w:r w:rsidR="00DD5ADD" w:rsidRPr="00B75BB5">
        <w:rPr>
          <w:lang w:val="fr-FR"/>
        </w:rPr>
        <w:t>s</w:t>
      </w:r>
      <w:r w:rsidR="00DA5099" w:rsidRPr="00B75BB5">
        <w:rPr>
          <w:lang w:val="fr-FR"/>
        </w:rPr>
        <w:noBreakHyphen/>
      </w:r>
      <w:r w:rsidR="00DD5ADD" w:rsidRPr="00B75BB5">
        <w:rPr>
          <w:lang w:val="fr-FR"/>
        </w:rPr>
        <w:t>ci</w:t>
      </w:r>
      <w:r w:rsidR="00DD5ADD" w:rsidRPr="00B75BB5">
        <w:rPr>
          <w:rStyle w:val="FootnoteReference"/>
          <w:lang w:val="fr-FR"/>
        </w:rPr>
        <w:footnoteReference w:id="7"/>
      </w:r>
      <w:r w:rsidR="00DD5ADD" w:rsidRPr="00B75BB5">
        <w:rPr>
          <w:lang w:val="fr-FR"/>
        </w:rPr>
        <w:t>.</w:t>
      </w:r>
    </w:p>
    <w:p w:rsidR="00F847D2" w:rsidRPr="00B75BB5" w:rsidRDefault="002D66E0" w:rsidP="002D66E0">
      <w:pPr>
        <w:widowControl w:val="0"/>
        <w:ind w:left="567"/>
        <w:rPr>
          <w:i/>
          <w:lang w:val="fr-FR"/>
        </w:rPr>
      </w:pPr>
      <w:r w:rsidRPr="00B75BB5">
        <w:rPr>
          <w:i/>
          <w:lang w:val="fr-FR"/>
        </w:rPr>
        <w:t>Réduction ou</w:t>
      </w:r>
      <w:r w:rsidR="00E237DF" w:rsidRPr="00B75BB5">
        <w:rPr>
          <w:i/>
          <w:lang w:val="fr-FR"/>
        </w:rPr>
        <w:t xml:space="preserve"> </w:t>
      </w:r>
      <w:r w:rsidRPr="00B75BB5">
        <w:rPr>
          <w:i/>
          <w:lang w:val="fr-FR"/>
        </w:rPr>
        <w:t>suppression de l</w:t>
      </w:r>
      <w:r w:rsidR="00F847D2" w:rsidRPr="00B75BB5">
        <w:rPr>
          <w:i/>
          <w:lang w:val="fr-FR"/>
        </w:rPr>
        <w:t>’</w:t>
      </w:r>
      <w:r w:rsidRPr="00B75BB5">
        <w:rPr>
          <w:i/>
          <w:lang w:val="fr-FR"/>
        </w:rPr>
        <w:t>indemnité</w:t>
      </w:r>
    </w:p>
    <w:p w:rsidR="00255436" w:rsidRPr="00B75BB5" w:rsidRDefault="00255436" w:rsidP="001F03D9">
      <w:pPr>
        <w:widowControl w:val="0"/>
        <w:rPr>
          <w:lang w:val="fr-FR"/>
        </w:rPr>
      </w:pPr>
    </w:p>
    <w:p w:rsidR="00752542" w:rsidRPr="00B75BB5" w:rsidRDefault="002D66E0" w:rsidP="00752542">
      <w:pPr>
        <w:pStyle w:val="ONUMFS"/>
        <w:rPr>
          <w:lang w:val="fr-FR"/>
        </w:rPr>
      </w:pPr>
      <w:r w:rsidRPr="00B75BB5">
        <w:rPr>
          <w:lang w:val="fr-FR"/>
        </w:rPr>
        <w:t>Dans sa jurisprudence,</w:t>
      </w:r>
      <w:r w:rsidR="00F847D2" w:rsidRPr="00B75BB5">
        <w:rPr>
          <w:lang w:val="fr-FR"/>
        </w:rPr>
        <w:t xml:space="preserve"> le TAO</w:t>
      </w:r>
      <w:r w:rsidRPr="00B75BB5">
        <w:rPr>
          <w:lang w:val="fr-FR"/>
        </w:rPr>
        <w:t>IT établit une distinction entre, d</w:t>
      </w:r>
      <w:r w:rsidR="00F847D2" w:rsidRPr="00B75BB5">
        <w:rPr>
          <w:lang w:val="fr-FR"/>
        </w:rPr>
        <w:t>’</w:t>
      </w:r>
      <w:r w:rsidRPr="00B75BB5">
        <w:rPr>
          <w:lang w:val="fr-FR"/>
        </w:rPr>
        <w:t>une part, la réduction d</w:t>
      </w:r>
      <w:r w:rsidR="00F847D2" w:rsidRPr="00B75BB5">
        <w:rPr>
          <w:lang w:val="fr-FR"/>
        </w:rPr>
        <w:t>’</w:t>
      </w:r>
      <w:r w:rsidRPr="00B75BB5">
        <w:rPr>
          <w:lang w:val="fr-FR"/>
        </w:rPr>
        <w:t>une indemnité ou d</w:t>
      </w:r>
      <w:r w:rsidR="00F847D2" w:rsidRPr="00B75BB5">
        <w:rPr>
          <w:lang w:val="fr-FR"/>
        </w:rPr>
        <w:t>’</w:t>
      </w:r>
      <w:r w:rsidRPr="00B75BB5">
        <w:rPr>
          <w:lang w:val="fr-FR"/>
        </w:rPr>
        <w:t>un droit statutaire et, d</w:t>
      </w:r>
      <w:r w:rsidR="00F847D2" w:rsidRPr="00B75BB5">
        <w:rPr>
          <w:lang w:val="fr-FR"/>
        </w:rPr>
        <w:t>’</w:t>
      </w:r>
      <w:r w:rsidRPr="00B75BB5">
        <w:rPr>
          <w:lang w:val="fr-FR"/>
        </w:rPr>
        <w:t>autre part, la suppression pure et simple de ceux</w:t>
      </w:r>
      <w:r w:rsidR="00DA5099" w:rsidRPr="00B75BB5">
        <w:rPr>
          <w:lang w:val="fr-FR"/>
        </w:rPr>
        <w:noBreakHyphen/>
      </w:r>
      <w:r w:rsidR="00FB2861" w:rsidRPr="00B75BB5">
        <w:rPr>
          <w:lang w:val="fr-FR"/>
        </w:rPr>
        <w:t>ci.  D’u</w:t>
      </w:r>
      <w:r w:rsidR="00274C1A" w:rsidRPr="00B75BB5">
        <w:rPr>
          <w:lang w:val="fr-FR"/>
        </w:rPr>
        <w:t>ne manière générale, les réductions de prestations sont tolérées, ce qui n</w:t>
      </w:r>
      <w:r w:rsidR="00F847D2" w:rsidRPr="00B75BB5">
        <w:rPr>
          <w:lang w:val="fr-FR"/>
        </w:rPr>
        <w:t>’</w:t>
      </w:r>
      <w:r w:rsidR="00274C1A" w:rsidRPr="00B75BB5">
        <w:rPr>
          <w:lang w:val="fr-FR"/>
        </w:rPr>
        <w:t xml:space="preserve">est pas le cas de </w:t>
      </w:r>
      <w:r w:rsidR="002367F4" w:rsidRPr="00B75BB5">
        <w:rPr>
          <w:lang w:val="fr-FR"/>
        </w:rPr>
        <w:t xml:space="preserve">la </w:t>
      </w:r>
      <w:r w:rsidR="00274C1A" w:rsidRPr="00B75BB5">
        <w:rPr>
          <w:lang w:val="fr-FR"/>
        </w:rPr>
        <w:t>suppression totale d</w:t>
      </w:r>
      <w:r w:rsidR="00F847D2" w:rsidRPr="00B75BB5">
        <w:rPr>
          <w:lang w:val="fr-FR"/>
        </w:rPr>
        <w:t>’</w:t>
      </w:r>
      <w:r w:rsidR="00274C1A" w:rsidRPr="00B75BB5">
        <w:rPr>
          <w:lang w:val="fr-FR"/>
        </w:rPr>
        <w:t>une prestation particulière, dès lors qu</w:t>
      </w:r>
      <w:r w:rsidR="00F847D2" w:rsidRPr="00B75BB5">
        <w:rPr>
          <w:lang w:val="fr-FR"/>
        </w:rPr>
        <w:t>’</w:t>
      </w:r>
      <w:r w:rsidR="00274C1A" w:rsidRPr="00B75BB5">
        <w:rPr>
          <w:lang w:val="fr-FR"/>
        </w:rPr>
        <w:t>elle porte atteinte à la doctrine des droits acquis</w:t>
      </w:r>
      <w:r w:rsidR="00274C1A" w:rsidRPr="00B75BB5">
        <w:rPr>
          <w:rStyle w:val="FootnoteReference"/>
          <w:lang w:val="fr-FR"/>
        </w:rPr>
        <w:footnoteReference w:id="8"/>
      </w:r>
      <w:r w:rsidR="00274C1A" w:rsidRPr="00B75BB5">
        <w:rPr>
          <w:lang w:val="fr-FR"/>
        </w:rPr>
        <w:t>.</w:t>
      </w:r>
      <w:r w:rsidR="001C4845" w:rsidRPr="00B75BB5">
        <w:rPr>
          <w:lang w:val="fr-FR"/>
        </w:rPr>
        <w:t xml:space="preserve"> </w:t>
      </w:r>
      <w:r w:rsidR="00F847D2" w:rsidRPr="00B75BB5">
        <w:rPr>
          <w:lang w:val="fr-FR"/>
        </w:rPr>
        <w:t xml:space="preserve"> Le TAO</w:t>
      </w:r>
      <w:r w:rsidR="00951790" w:rsidRPr="00B75BB5">
        <w:rPr>
          <w:lang w:val="fr-FR"/>
        </w:rPr>
        <w:t xml:space="preserve">IT expose </w:t>
      </w:r>
      <w:r w:rsidR="00D16076" w:rsidRPr="00B75BB5">
        <w:rPr>
          <w:lang w:val="fr-FR"/>
        </w:rPr>
        <w:t>la situation</w:t>
      </w:r>
      <w:r w:rsidR="00951790" w:rsidRPr="00B75BB5">
        <w:rPr>
          <w:lang w:val="fr-FR"/>
        </w:rPr>
        <w:t xml:space="preserve"> en ces termes</w:t>
      </w:r>
      <w:r w:rsidR="002367F4" w:rsidRPr="00B75BB5">
        <w:rPr>
          <w:lang w:val="fr-FR"/>
        </w:rPr>
        <w:t> </w:t>
      </w:r>
      <w:r w:rsidR="00D16076" w:rsidRPr="00B75BB5">
        <w:rPr>
          <w:lang w:val="fr-FR"/>
        </w:rPr>
        <w:t>:</w:t>
      </w:r>
    </w:p>
    <w:p w:rsidR="00255436" w:rsidRPr="00B75BB5" w:rsidRDefault="00F847D2" w:rsidP="00B075B2">
      <w:pPr>
        <w:widowControl w:val="0"/>
        <w:autoSpaceDE w:val="0"/>
        <w:autoSpaceDN w:val="0"/>
        <w:adjustRightInd w:val="0"/>
        <w:ind w:left="567"/>
        <w:rPr>
          <w:szCs w:val="22"/>
          <w:lang w:val="fr-FR"/>
        </w:rPr>
      </w:pPr>
      <w:r w:rsidRPr="00B75BB5">
        <w:rPr>
          <w:rFonts w:eastAsia="Times New Roman"/>
          <w:szCs w:val="22"/>
          <w:lang w:val="fr-FR"/>
        </w:rPr>
        <w:t>“</w:t>
      </w:r>
      <w:r w:rsidR="00B075B2" w:rsidRPr="00B75BB5">
        <w:rPr>
          <w:rFonts w:eastAsia="Times New Roman"/>
          <w:szCs w:val="22"/>
          <w:lang w:val="fr-FR"/>
        </w:rPr>
        <w:t>Il faut reconnaître que les indemnités allouées à titre d</w:t>
      </w:r>
      <w:r w:rsidRPr="00B75BB5">
        <w:rPr>
          <w:rFonts w:eastAsia="Times New Roman"/>
          <w:szCs w:val="22"/>
          <w:lang w:val="fr-FR"/>
        </w:rPr>
        <w:t>’</w:t>
      </w:r>
      <w:r w:rsidR="00B075B2" w:rsidRPr="00B75BB5">
        <w:rPr>
          <w:rFonts w:eastAsia="Times New Roman"/>
          <w:szCs w:val="22"/>
          <w:lang w:val="fr-FR"/>
        </w:rPr>
        <w:t>expatriation, pour frais d</w:t>
      </w:r>
      <w:r w:rsidRPr="00B75BB5">
        <w:rPr>
          <w:rFonts w:eastAsia="Times New Roman"/>
          <w:szCs w:val="22"/>
          <w:lang w:val="fr-FR"/>
        </w:rPr>
        <w:t>’</w:t>
      </w:r>
      <w:r w:rsidR="00B075B2" w:rsidRPr="00B75BB5">
        <w:rPr>
          <w:rFonts w:eastAsia="Times New Roman"/>
          <w:szCs w:val="22"/>
          <w:lang w:val="fr-FR"/>
        </w:rPr>
        <w:t>éducation des enfants, ainsi qu</w:t>
      </w:r>
      <w:r w:rsidRPr="00B75BB5">
        <w:rPr>
          <w:rFonts w:eastAsia="Times New Roman"/>
          <w:szCs w:val="22"/>
          <w:lang w:val="fr-FR"/>
        </w:rPr>
        <w:t>’</w:t>
      </w:r>
      <w:r w:rsidR="00B075B2" w:rsidRPr="00B75BB5">
        <w:rPr>
          <w:rFonts w:eastAsia="Times New Roman"/>
          <w:szCs w:val="22"/>
          <w:lang w:val="fr-FR"/>
        </w:rPr>
        <w:t>en</w:t>
      </w:r>
      <w:r w:rsidR="002367F4" w:rsidRPr="00B75BB5">
        <w:rPr>
          <w:rFonts w:eastAsia="Times New Roman"/>
          <w:szCs w:val="22"/>
          <w:lang w:val="fr-FR"/>
        </w:rPr>
        <w:t xml:space="preserve"> </w:t>
      </w:r>
      <w:r w:rsidR="00B075B2" w:rsidRPr="00B75BB5">
        <w:rPr>
          <w:rFonts w:eastAsia="Times New Roman"/>
          <w:szCs w:val="22"/>
          <w:lang w:val="fr-FR"/>
        </w:rPr>
        <w:t>remboursement des frais de congé importent au fonctionnaire qui entre au service d</w:t>
      </w:r>
      <w:r w:rsidRPr="00B75BB5">
        <w:rPr>
          <w:rFonts w:eastAsia="Times New Roman"/>
          <w:szCs w:val="22"/>
          <w:lang w:val="fr-FR"/>
        </w:rPr>
        <w:t>’</w:t>
      </w:r>
      <w:r w:rsidR="00B075B2" w:rsidRPr="00B75BB5">
        <w:rPr>
          <w:rFonts w:eastAsia="Times New Roman"/>
          <w:szCs w:val="22"/>
          <w:lang w:val="fr-FR"/>
        </w:rPr>
        <w:t>une organisati</w:t>
      </w:r>
      <w:r w:rsidR="00FB2861" w:rsidRPr="00B75BB5">
        <w:rPr>
          <w:rFonts w:eastAsia="Times New Roman"/>
          <w:szCs w:val="22"/>
          <w:lang w:val="fr-FR"/>
        </w:rPr>
        <w:t>on.  Au</w:t>
      </w:r>
      <w:r w:rsidR="00B075B2" w:rsidRPr="00B75BB5">
        <w:rPr>
          <w:rFonts w:eastAsia="Times New Roman"/>
          <w:szCs w:val="22"/>
          <w:lang w:val="fr-FR"/>
        </w:rPr>
        <w:t>ssi peut</w:t>
      </w:r>
      <w:r w:rsidR="00DA5099" w:rsidRPr="00B75BB5">
        <w:rPr>
          <w:rFonts w:eastAsia="Times New Roman"/>
          <w:szCs w:val="22"/>
          <w:lang w:val="fr-FR"/>
        </w:rPr>
        <w:noBreakHyphen/>
      </w:r>
      <w:r w:rsidR="00B075B2" w:rsidRPr="00B75BB5">
        <w:rPr>
          <w:rFonts w:eastAsia="Times New Roman"/>
          <w:szCs w:val="22"/>
          <w:lang w:val="fr-FR"/>
        </w:rPr>
        <w:t>on se demander si la suppression totale de ces indemnités ne léserait pas un droit acqu</w:t>
      </w:r>
      <w:r w:rsidR="00FB2861" w:rsidRPr="00B75BB5">
        <w:rPr>
          <w:rFonts w:eastAsia="Times New Roman"/>
          <w:szCs w:val="22"/>
          <w:lang w:val="fr-FR"/>
        </w:rPr>
        <w:t>is.  To</w:t>
      </w:r>
      <w:r w:rsidR="00B075B2" w:rsidRPr="00B75BB5">
        <w:rPr>
          <w:rFonts w:eastAsia="Times New Roman"/>
          <w:szCs w:val="22"/>
          <w:lang w:val="fr-FR"/>
        </w:rPr>
        <w:t>utefois, leur montant et les modalités de leur versement ne sont pas l</w:t>
      </w:r>
      <w:r w:rsidRPr="00B75BB5">
        <w:rPr>
          <w:rFonts w:eastAsia="Times New Roman"/>
          <w:szCs w:val="22"/>
          <w:lang w:val="fr-FR"/>
        </w:rPr>
        <w:t>’</w:t>
      </w:r>
      <w:r w:rsidR="00B075B2" w:rsidRPr="00B75BB5">
        <w:rPr>
          <w:rFonts w:eastAsia="Times New Roman"/>
          <w:szCs w:val="22"/>
          <w:lang w:val="fr-FR"/>
        </w:rPr>
        <w:t>objet d</w:t>
      </w:r>
      <w:r w:rsidRPr="00B75BB5">
        <w:rPr>
          <w:rFonts w:eastAsia="Times New Roman"/>
          <w:szCs w:val="22"/>
          <w:lang w:val="fr-FR"/>
        </w:rPr>
        <w:t>’</w:t>
      </w:r>
      <w:r w:rsidR="00B075B2" w:rsidRPr="00B75BB5">
        <w:rPr>
          <w:rFonts w:eastAsia="Times New Roman"/>
          <w:szCs w:val="22"/>
          <w:lang w:val="fr-FR"/>
        </w:rPr>
        <w:t>un tel dro</w:t>
      </w:r>
      <w:r w:rsidR="00FB2861" w:rsidRPr="00B75BB5">
        <w:rPr>
          <w:rFonts w:eastAsia="Times New Roman"/>
          <w:szCs w:val="22"/>
          <w:lang w:val="fr-FR"/>
        </w:rPr>
        <w:t>it.  Au</w:t>
      </w:r>
      <w:r w:rsidR="00B075B2" w:rsidRPr="00B75BB5">
        <w:rPr>
          <w:rFonts w:eastAsia="Times New Roman"/>
          <w:szCs w:val="22"/>
          <w:lang w:val="fr-FR"/>
        </w:rPr>
        <w:t xml:space="preserve"> contraire, le fonctionnaire doit envisager leur modification, que peuvent entraîner des circonstances nouvelles, telles que la hausse ou la baisse du coût de la vie, le changement de structure d</w:t>
      </w:r>
      <w:r w:rsidRPr="00B75BB5">
        <w:rPr>
          <w:rFonts w:eastAsia="Times New Roman"/>
          <w:szCs w:val="22"/>
          <w:lang w:val="fr-FR"/>
        </w:rPr>
        <w:t>’</w:t>
      </w:r>
      <w:r w:rsidR="00B075B2" w:rsidRPr="00B75BB5">
        <w:rPr>
          <w:rFonts w:eastAsia="Times New Roman"/>
          <w:szCs w:val="22"/>
          <w:lang w:val="fr-FR"/>
        </w:rPr>
        <w:t>une organisation, voire les difficultés financières qui la frappent</w:t>
      </w:r>
      <w:r w:rsidRPr="00B75BB5">
        <w:rPr>
          <w:rFonts w:eastAsia="Times New Roman"/>
          <w:szCs w:val="22"/>
          <w:lang w:val="fr-FR"/>
        </w:rPr>
        <w:t>”</w:t>
      </w:r>
      <w:r w:rsidR="00B075B2" w:rsidRPr="00B75BB5">
        <w:rPr>
          <w:rStyle w:val="FootnoteReference"/>
          <w:rFonts w:eastAsia="Times New Roman"/>
          <w:szCs w:val="22"/>
          <w:lang w:val="fr-FR"/>
        </w:rPr>
        <w:footnoteReference w:id="9"/>
      </w:r>
      <w:r w:rsidR="00B075B2" w:rsidRPr="00B75BB5">
        <w:rPr>
          <w:rFonts w:eastAsia="Times New Roman"/>
          <w:szCs w:val="22"/>
          <w:lang w:val="fr-FR"/>
        </w:rPr>
        <w:t>.</w:t>
      </w:r>
    </w:p>
    <w:p w:rsidR="00255436" w:rsidRPr="00B75BB5" w:rsidRDefault="00255436" w:rsidP="00CD0260">
      <w:pPr>
        <w:pStyle w:val="ListParagraph"/>
        <w:rPr>
          <w:lang w:val="fr-FR"/>
        </w:rPr>
      </w:pPr>
    </w:p>
    <w:p w:rsidR="00255436" w:rsidRPr="00B75BB5" w:rsidRDefault="002367F4" w:rsidP="002367F4">
      <w:pPr>
        <w:pStyle w:val="ListParagraph"/>
        <w:ind w:left="567"/>
        <w:rPr>
          <w:i/>
          <w:lang w:val="fr-FR"/>
        </w:rPr>
      </w:pPr>
      <w:r w:rsidRPr="00B75BB5">
        <w:rPr>
          <w:i/>
          <w:lang w:val="fr-FR"/>
        </w:rPr>
        <w:t>Droit acquis à recevoir certaines prestations, dont l</w:t>
      </w:r>
      <w:r w:rsidR="00F847D2" w:rsidRPr="00B75BB5">
        <w:rPr>
          <w:i/>
          <w:lang w:val="fr-FR"/>
        </w:rPr>
        <w:t>’</w:t>
      </w:r>
      <w:r w:rsidRPr="00B75BB5">
        <w:rPr>
          <w:i/>
          <w:lang w:val="fr-FR"/>
        </w:rPr>
        <w:t>indemnité pour frais d</w:t>
      </w:r>
      <w:r w:rsidR="00F847D2" w:rsidRPr="00B75BB5">
        <w:rPr>
          <w:i/>
          <w:lang w:val="fr-FR"/>
        </w:rPr>
        <w:t>’</w:t>
      </w:r>
      <w:r w:rsidRPr="00B75BB5">
        <w:rPr>
          <w:i/>
          <w:lang w:val="fr-FR"/>
        </w:rPr>
        <w:t>études</w:t>
      </w:r>
    </w:p>
    <w:p w:rsidR="00255436" w:rsidRPr="00B75BB5" w:rsidRDefault="00255436" w:rsidP="00F24FB8">
      <w:pPr>
        <w:pStyle w:val="ListParagraph"/>
        <w:ind w:left="567"/>
        <w:rPr>
          <w:i/>
          <w:lang w:val="fr-FR"/>
        </w:rPr>
      </w:pPr>
    </w:p>
    <w:p w:rsidR="00752542" w:rsidRPr="00B75BB5" w:rsidRDefault="00CD6C8B" w:rsidP="00752542">
      <w:pPr>
        <w:pStyle w:val="ONUMFS"/>
        <w:rPr>
          <w:lang w:val="fr-FR"/>
        </w:rPr>
      </w:pPr>
      <w:r w:rsidRPr="00B75BB5">
        <w:rPr>
          <w:lang w:val="fr-FR"/>
        </w:rPr>
        <w:t xml:space="preserve">Le droit à des </w:t>
      </w:r>
      <w:r w:rsidR="00F847D2" w:rsidRPr="00B75BB5">
        <w:rPr>
          <w:lang w:val="fr-FR"/>
        </w:rPr>
        <w:t>“</w:t>
      </w:r>
      <w:r w:rsidRPr="00B75BB5">
        <w:rPr>
          <w:lang w:val="fr-FR"/>
        </w:rPr>
        <w:t>prestations bien établies, telles que celles en faveur des personnes à charge</w:t>
      </w:r>
      <w:r w:rsidRPr="00B75BB5">
        <w:rPr>
          <w:rStyle w:val="FootnoteReference"/>
          <w:lang w:val="fr-FR"/>
        </w:rPr>
        <w:footnoteReference w:id="10"/>
      </w:r>
      <w:r w:rsidR="00F847D2" w:rsidRPr="00B75BB5">
        <w:rPr>
          <w:lang w:val="fr-FR"/>
        </w:rPr>
        <w:t>“</w:t>
      </w:r>
      <w:r w:rsidRPr="00B75BB5">
        <w:rPr>
          <w:lang w:val="fr-FR"/>
        </w:rPr>
        <w:t xml:space="preserve"> et le droit à pension</w:t>
      </w:r>
      <w:r w:rsidRPr="00B75BB5">
        <w:rPr>
          <w:rStyle w:val="FootnoteReference"/>
          <w:lang w:val="fr-FR"/>
        </w:rPr>
        <w:footnoteReference w:id="11"/>
      </w:r>
      <w:r w:rsidRPr="00B75BB5">
        <w:rPr>
          <w:lang w:val="fr-FR"/>
        </w:rPr>
        <w:t xml:space="preserve"> ont été reconnus par</w:t>
      </w:r>
      <w:r w:rsidR="00F847D2" w:rsidRPr="00B75BB5">
        <w:rPr>
          <w:lang w:val="fr-FR"/>
        </w:rPr>
        <w:t xml:space="preserve"> le TAO</w:t>
      </w:r>
      <w:r w:rsidRPr="00B75BB5">
        <w:rPr>
          <w:lang w:val="fr-FR"/>
        </w:rPr>
        <w:t>IT comme étant des éléments fondamentaux et essentiels des conditions d</w:t>
      </w:r>
      <w:r w:rsidR="00F847D2" w:rsidRPr="00B75BB5">
        <w:rPr>
          <w:lang w:val="fr-FR"/>
        </w:rPr>
        <w:t>’</w:t>
      </w:r>
      <w:r w:rsidRPr="00B75BB5">
        <w:rPr>
          <w:lang w:val="fr-FR"/>
        </w:rPr>
        <w:t>emploi et constituent donc un droit acqu</w:t>
      </w:r>
      <w:r w:rsidR="00FB2861" w:rsidRPr="00B75BB5">
        <w:rPr>
          <w:lang w:val="fr-FR"/>
        </w:rPr>
        <w:t>is.  En</w:t>
      </w:r>
      <w:r w:rsidR="00A867B4" w:rsidRPr="00B75BB5">
        <w:rPr>
          <w:lang w:val="fr-FR"/>
        </w:rPr>
        <w:t> </w:t>
      </w:r>
      <w:r w:rsidR="002277E6" w:rsidRPr="00B75BB5">
        <w:rPr>
          <w:lang w:val="fr-FR"/>
        </w:rPr>
        <w:t>outre,</w:t>
      </w:r>
      <w:r w:rsidR="00F847D2" w:rsidRPr="00B75BB5">
        <w:rPr>
          <w:lang w:val="fr-FR"/>
        </w:rPr>
        <w:t xml:space="preserve"> le TAO</w:t>
      </w:r>
      <w:r w:rsidR="002277E6" w:rsidRPr="00B75BB5">
        <w:rPr>
          <w:lang w:val="fr-FR"/>
        </w:rPr>
        <w:t>IT a expressément jugé que la suppression d</w:t>
      </w:r>
      <w:r w:rsidR="00F847D2" w:rsidRPr="00B75BB5">
        <w:rPr>
          <w:lang w:val="fr-FR"/>
        </w:rPr>
        <w:t>’</w:t>
      </w:r>
      <w:r w:rsidR="002277E6" w:rsidRPr="00B75BB5">
        <w:rPr>
          <w:lang w:val="fr-FR"/>
        </w:rPr>
        <w:t>un droit au remboursement des frais de voyage au titre du congé dans les foyers constituait une violation d</w:t>
      </w:r>
      <w:r w:rsidR="00F847D2" w:rsidRPr="00B75BB5">
        <w:rPr>
          <w:lang w:val="fr-FR"/>
        </w:rPr>
        <w:t>’</w:t>
      </w:r>
      <w:r w:rsidR="002277E6" w:rsidRPr="00B75BB5">
        <w:rPr>
          <w:lang w:val="fr-FR"/>
        </w:rPr>
        <w:t>un droit acquis</w:t>
      </w:r>
      <w:r w:rsidR="002277E6" w:rsidRPr="00B75BB5">
        <w:rPr>
          <w:rStyle w:val="FootnoteReference"/>
          <w:lang w:val="fr-FR"/>
        </w:rPr>
        <w:footnoteReference w:id="12"/>
      </w:r>
      <w:r w:rsidR="002277E6" w:rsidRPr="00B75BB5">
        <w:rPr>
          <w:lang w:val="fr-FR"/>
        </w:rPr>
        <w:t>.</w:t>
      </w:r>
      <w:r w:rsidR="00D574DD" w:rsidRPr="00B75BB5">
        <w:rPr>
          <w:lang w:val="fr-FR"/>
        </w:rPr>
        <w:t xml:space="preserve">  </w:t>
      </w:r>
      <w:r w:rsidR="002277E6" w:rsidRPr="00B75BB5">
        <w:rPr>
          <w:lang w:val="fr-FR"/>
        </w:rPr>
        <w:t>De la même façon, et de manière encore plus pertinente dans le cas qui nous intéresse, le droit des fonctionnaires à une indemnité pour frais d</w:t>
      </w:r>
      <w:r w:rsidR="00F847D2" w:rsidRPr="00B75BB5">
        <w:rPr>
          <w:lang w:val="fr-FR"/>
        </w:rPr>
        <w:t>’</w:t>
      </w:r>
      <w:r w:rsidR="002277E6" w:rsidRPr="00B75BB5">
        <w:rPr>
          <w:lang w:val="fr-FR"/>
        </w:rPr>
        <w:t>études a été reconnu comme un droit acquis</w:t>
      </w:r>
      <w:r w:rsidR="002277E6" w:rsidRPr="00B75BB5">
        <w:rPr>
          <w:rStyle w:val="FootnoteReference"/>
          <w:lang w:val="fr-FR"/>
        </w:rPr>
        <w:footnoteReference w:id="13"/>
      </w:r>
      <w:r w:rsidR="002277E6" w:rsidRPr="00B75BB5">
        <w:rPr>
          <w:lang w:val="fr-FR"/>
        </w:rPr>
        <w:t>, dont la suppression constituerait une violation de la doctrine des droits acquis et serait donc contraire à la loi.</w:t>
      </w:r>
    </w:p>
    <w:p w:rsidR="00255436" w:rsidRPr="00B75BB5" w:rsidRDefault="00752542" w:rsidP="00B75BB5">
      <w:pPr>
        <w:pStyle w:val="Heading1"/>
        <w:keepLines/>
      </w:pPr>
      <w:r w:rsidRPr="00B75BB5">
        <w:lastRenderedPageBreak/>
        <w:t>Situation des fonctionnaires français résidant en France</w:t>
      </w:r>
    </w:p>
    <w:p w:rsidR="00F847D2" w:rsidRPr="00B75BB5" w:rsidRDefault="00F847D2" w:rsidP="00B75BB5">
      <w:pPr>
        <w:pStyle w:val="ListParagraph"/>
        <w:keepNext/>
        <w:keepLines/>
        <w:widowControl w:val="0"/>
        <w:ind w:left="0"/>
        <w:rPr>
          <w:lang w:val="fr-FR"/>
        </w:rPr>
      </w:pPr>
    </w:p>
    <w:p w:rsidR="00752542" w:rsidRPr="00B75BB5" w:rsidRDefault="00392886" w:rsidP="00B75BB5">
      <w:pPr>
        <w:pStyle w:val="ONUMFS"/>
        <w:keepNext/>
        <w:keepLines/>
        <w:rPr>
          <w:lang w:val="fr-FR"/>
        </w:rPr>
      </w:pPr>
      <w:r w:rsidRPr="00B75BB5">
        <w:rPr>
          <w:lang w:val="fr-FR"/>
        </w:rPr>
        <w:t>Certains fonctionnaires français résidant en France et qui avaient été recrutés avant le</w:t>
      </w:r>
      <w:r w:rsidR="00F847D2" w:rsidRPr="00B75BB5">
        <w:rPr>
          <w:lang w:val="fr-FR"/>
        </w:rPr>
        <w:t xml:space="preserve"> 1</w:t>
      </w:r>
      <w:r w:rsidR="00F847D2" w:rsidRPr="00B75BB5">
        <w:rPr>
          <w:vertAlign w:val="superscript"/>
          <w:lang w:val="fr-FR"/>
        </w:rPr>
        <w:t>er</w:t>
      </w:r>
      <w:r w:rsidR="00F847D2" w:rsidRPr="00B75BB5">
        <w:rPr>
          <w:lang w:val="fr-FR"/>
        </w:rPr>
        <w:t> </w:t>
      </w:r>
      <w:r w:rsidRPr="00B75BB5">
        <w:rPr>
          <w:lang w:val="fr-FR"/>
        </w:rPr>
        <w:t>janvier</w:t>
      </w:r>
      <w:r w:rsidR="00C4674D" w:rsidRPr="00B75BB5">
        <w:rPr>
          <w:lang w:val="fr-FR"/>
        </w:rPr>
        <w:t> </w:t>
      </w:r>
      <w:r w:rsidRPr="00B75BB5">
        <w:rPr>
          <w:lang w:val="fr-FR"/>
        </w:rPr>
        <w:t>2016, ont présenté une demande d</w:t>
      </w:r>
      <w:r w:rsidR="00F847D2" w:rsidRPr="00B75BB5">
        <w:rPr>
          <w:lang w:val="fr-FR"/>
        </w:rPr>
        <w:t>’</w:t>
      </w:r>
      <w:r w:rsidRPr="00B75BB5">
        <w:rPr>
          <w:lang w:val="fr-FR"/>
        </w:rPr>
        <w:t>indemnité pour frais d</w:t>
      </w:r>
      <w:r w:rsidR="00F847D2" w:rsidRPr="00B75BB5">
        <w:rPr>
          <w:lang w:val="fr-FR"/>
        </w:rPr>
        <w:t>’</w:t>
      </w:r>
      <w:r w:rsidRPr="00B75BB5">
        <w:rPr>
          <w:lang w:val="fr-FR"/>
        </w:rPr>
        <w:t>études et ont reçu</w:t>
      </w:r>
      <w:r w:rsidR="00A867B4" w:rsidRPr="00B75BB5">
        <w:rPr>
          <w:lang w:val="fr-FR"/>
        </w:rPr>
        <w:t xml:space="preserve"> ladite indemni</w:t>
      </w:r>
      <w:r w:rsidR="00FB2861" w:rsidRPr="00B75BB5">
        <w:rPr>
          <w:lang w:val="fr-FR"/>
        </w:rPr>
        <w:t>té.  Le</w:t>
      </w:r>
      <w:r w:rsidR="00DD01E0" w:rsidRPr="00B75BB5">
        <w:rPr>
          <w:lang w:val="fr-FR"/>
        </w:rPr>
        <w:t xml:space="preserve"> versement a été effectué au motif que l</w:t>
      </w:r>
      <w:r w:rsidR="00F847D2" w:rsidRPr="00B75BB5">
        <w:rPr>
          <w:lang w:val="fr-FR"/>
        </w:rPr>
        <w:t>’</w:t>
      </w:r>
      <w:r w:rsidR="00DD01E0" w:rsidRPr="00B75BB5">
        <w:rPr>
          <w:lang w:val="fr-FR"/>
        </w:rPr>
        <w:t>article</w:t>
      </w:r>
      <w:r w:rsidR="00C4674D" w:rsidRPr="00B75BB5">
        <w:rPr>
          <w:lang w:val="fr-FR"/>
        </w:rPr>
        <w:t> </w:t>
      </w:r>
      <w:r w:rsidR="00DD01E0" w:rsidRPr="00B75BB5">
        <w:rPr>
          <w:lang w:val="fr-FR"/>
        </w:rPr>
        <w:t>3.14.a) n</w:t>
      </w:r>
      <w:r w:rsidR="00F847D2" w:rsidRPr="00B75BB5">
        <w:rPr>
          <w:lang w:val="fr-FR"/>
        </w:rPr>
        <w:t>’</w:t>
      </w:r>
      <w:r w:rsidR="00DD01E0" w:rsidRPr="00B75BB5">
        <w:rPr>
          <w:lang w:val="fr-FR"/>
        </w:rPr>
        <w:t>imposait pas, à cette époque, comme condition préalable pour recevoir une indemnité pour frais d</w:t>
      </w:r>
      <w:r w:rsidR="00F847D2" w:rsidRPr="00B75BB5">
        <w:rPr>
          <w:lang w:val="fr-FR"/>
        </w:rPr>
        <w:t>’</w:t>
      </w:r>
      <w:r w:rsidR="00DD01E0" w:rsidRPr="00B75BB5">
        <w:rPr>
          <w:lang w:val="fr-FR"/>
        </w:rPr>
        <w:t>études que le fonctionnaire réside en dehors de son pays d</w:t>
      </w:r>
      <w:r w:rsidR="00F847D2" w:rsidRPr="00B75BB5">
        <w:rPr>
          <w:lang w:val="fr-FR"/>
        </w:rPr>
        <w:t>’</w:t>
      </w:r>
      <w:r w:rsidR="00DD01E0" w:rsidRPr="00B75BB5">
        <w:rPr>
          <w:lang w:val="fr-FR"/>
        </w:rPr>
        <w:t>origi</w:t>
      </w:r>
      <w:r w:rsidR="00FB2861" w:rsidRPr="00B75BB5">
        <w:rPr>
          <w:lang w:val="fr-FR"/>
        </w:rPr>
        <w:t>ne.  La</w:t>
      </w:r>
      <w:r w:rsidR="00DD01E0" w:rsidRPr="00B75BB5">
        <w:rPr>
          <w:lang w:val="fr-FR"/>
        </w:rPr>
        <w:t xml:space="preserve"> disposition réglementaire était </w:t>
      </w:r>
      <w:r w:rsidR="00C4674D" w:rsidRPr="00B75BB5">
        <w:rPr>
          <w:lang w:val="fr-FR"/>
        </w:rPr>
        <w:t xml:space="preserve">alors </w:t>
      </w:r>
      <w:r w:rsidR="00DD01E0" w:rsidRPr="00B75BB5">
        <w:rPr>
          <w:lang w:val="fr-FR"/>
        </w:rPr>
        <w:t>ainsi formulée</w:t>
      </w:r>
      <w:r w:rsidR="00C4674D" w:rsidRPr="00B75BB5">
        <w:rPr>
          <w:lang w:val="fr-FR"/>
        </w:rPr>
        <w:t> </w:t>
      </w:r>
      <w:r w:rsidR="00DD01E0" w:rsidRPr="00B75BB5">
        <w:rPr>
          <w:lang w:val="fr-FR"/>
        </w:rPr>
        <w:t>:</w:t>
      </w:r>
    </w:p>
    <w:p w:rsidR="00255436" w:rsidRPr="00B75BB5" w:rsidRDefault="00F847D2" w:rsidP="00B75BB5">
      <w:pPr>
        <w:pStyle w:val="ListParagraph"/>
        <w:keepNext/>
        <w:keepLines/>
        <w:widowControl w:val="0"/>
        <w:ind w:left="567"/>
        <w:rPr>
          <w:lang w:val="fr-FR"/>
        </w:rPr>
      </w:pPr>
      <w:r w:rsidRPr="00B75BB5">
        <w:rPr>
          <w:lang w:val="fr-FR"/>
        </w:rPr>
        <w:t>“</w:t>
      </w:r>
      <w:r w:rsidR="008E7B28" w:rsidRPr="00B75BB5">
        <w:rPr>
          <w:lang w:val="fr-FR"/>
        </w:rPr>
        <w:t>Tout fonctionnaire recruté sur le plan international [</w:t>
      </w:r>
      <w:r w:rsidR="00D97B59" w:rsidRPr="00B75BB5">
        <w:rPr>
          <w:lang w:val="fr-FR"/>
        </w:rPr>
        <w:t>…</w:t>
      </w:r>
      <w:r w:rsidR="008E7B28" w:rsidRPr="00B75BB5">
        <w:rPr>
          <w:lang w:val="fr-FR"/>
        </w:rPr>
        <w:t>] dont le lieu d</w:t>
      </w:r>
      <w:r w:rsidRPr="00B75BB5">
        <w:rPr>
          <w:lang w:val="fr-FR"/>
        </w:rPr>
        <w:t>’</w:t>
      </w:r>
      <w:r w:rsidR="008E7B28" w:rsidRPr="00B75BB5">
        <w:rPr>
          <w:lang w:val="fr-FR"/>
        </w:rPr>
        <w:t>affectation ne se trouve pas dans son pays d</w:t>
      </w:r>
      <w:r w:rsidRPr="00B75BB5">
        <w:rPr>
          <w:lang w:val="fr-FR"/>
        </w:rPr>
        <w:t>’</w:t>
      </w:r>
      <w:r w:rsidR="008E7B28" w:rsidRPr="00B75BB5">
        <w:rPr>
          <w:lang w:val="fr-FR"/>
        </w:rPr>
        <w:t>origine a droit [</w:t>
      </w:r>
      <w:r w:rsidR="00D97B59" w:rsidRPr="00B75BB5">
        <w:rPr>
          <w:lang w:val="fr-FR"/>
        </w:rPr>
        <w:t>…</w:t>
      </w:r>
      <w:r w:rsidR="008E7B28" w:rsidRPr="00B75BB5">
        <w:rPr>
          <w:lang w:val="fr-FR"/>
        </w:rPr>
        <w:t>] à une indemnité pour frais d</w:t>
      </w:r>
      <w:r w:rsidRPr="00B75BB5">
        <w:rPr>
          <w:lang w:val="fr-FR"/>
        </w:rPr>
        <w:t>’</w:t>
      </w:r>
      <w:r w:rsidR="008E7B28" w:rsidRPr="00B75BB5">
        <w:rPr>
          <w:lang w:val="fr-FR"/>
        </w:rPr>
        <w:t>études pour chaque enfant qui est à la charge du fonctionnaire dans la mesure où celui</w:t>
      </w:r>
      <w:r w:rsidR="00DA5099" w:rsidRPr="00B75BB5">
        <w:rPr>
          <w:lang w:val="fr-FR"/>
        </w:rPr>
        <w:noBreakHyphen/>
      </w:r>
      <w:r w:rsidR="008E7B28" w:rsidRPr="00B75BB5">
        <w:rPr>
          <w:lang w:val="fr-FR"/>
        </w:rPr>
        <w:t>ci subvient pour une part principale et de façon continue à son entretien, et qui fréquente régulièrement une école, une université ou un établissement analogue […]</w:t>
      </w:r>
      <w:r w:rsidRPr="00B75BB5">
        <w:rPr>
          <w:lang w:val="fr-FR"/>
        </w:rPr>
        <w:t>”</w:t>
      </w:r>
      <w:r w:rsidR="008E7B28" w:rsidRPr="00B75BB5">
        <w:rPr>
          <w:lang w:val="fr-FR"/>
        </w:rPr>
        <w:t>.</w:t>
      </w:r>
    </w:p>
    <w:p w:rsidR="00255436" w:rsidRPr="00B75BB5" w:rsidRDefault="00255436" w:rsidP="00972DC1">
      <w:pPr>
        <w:pStyle w:val="ListParagraph"/>
        <w:widowControl w:val="0"/>
        <w:ind w:left="0"/>
        <w:rPr>
          <w:lang w:val="fr-FR"/>
        </w:rPr>
      </w:pPr>
    </w:p>
    <w:p w:rsidR="00752542" w:rsidRPr="00B75BB5" w:rsidRDefault="008E7B28" w:rsidP="00752542">
      <w:pPr>
        <w:pStyle w:val="ONUMFS"/>
        <w:rPr>
          <w:lang w:val="fr-FR"/>
        </w:rPr>
      </w:pPr>
      <w:proofErr w:type="spellStart"/>
      <w:r w:rsidRPr="00B75BB5">
        <w:rPr>
          <w:lang w:val="fr-FR"/>
        </w:rPr>
        <w:t>l</w:t>
      </w:r>
      <w:r w:rsidR="00C4674D" w:rsidRPr="00B75BB5">
        <w:rPr>
          <w:lang w:val="fr-FR"/>
        </w:rPr>
        <w:t>l</w:t>
      </w:r>
      <w:proofErr w:type="spellEnd"/>
      <w:r w:rsidRPr="00B75BB5">
        <w:rPr>
          <w:lang w:val="fr-FR"/>
        </w:rPr>
        <w:t xml:space="preserve"> convient cependant de noter que le terme </w:t>
      </w:r>
      <w:r w:rsidR="00F847D2" w:rsidRPr="00B75BB5">
        <w:rPr>
          <w:lang w:val="fr-FR"/>
        </w:rPr>
        <w:t>“</w:t>
      </w:r>
      <w:r w:rsidRPr="00B75BB5">
        <w:rPr>
          <w:lang w:val="fr-FR"/>
        </w:rPr>
        <w:t>lieu d</w:t>
      </w:r>
      <w:r w:rsidR="00F847D2" w:rsidRPr="00B75BB5">
        <w:rPr>
          <w:lang w:val="fr-FR"/>
        </w:rPr>
        <w:t>’</w:t>
      </w:r>
      <w:r w:rsidRPr="00B75BB5">
        <w:rPr>
          <w:lang w:val="fr-FR"/>
        </w:rPr>
        <w:t>affectation</w:t>
      </w:r>
      <w:r w:rsidR="00F847D2" w:rsidRPr="00B75BB5">
        <w:rPr>
          <w:lang w:val="fr-FR"/>
        </w:rPr>
        <w:t>”</w:t>
      </w:r>
      <w:r w:rsidRPr="00B75BB5">
        <w:rPr>
          <w:lang w:val="fr-FR"/>
        </w:rPr>
        <w:t xml:space="preserve"> figurant dans la disposition susmentionnée a été défini précisément dans le cadre réglementaire de l</w:t>
      </w:r>
      <w:r w:rsidR="00F847D2" w:rsidRPr="00B75BB5">
        <w:rPr>
          <w:lang w:val="fr-FR"/>
        </w:rPr>
        <w:t>’</w:t>
      </w:r>
      <w:r w:rsidRPr="00B75BB5">
        <w:rPr>
          <w:lang w:val="fr-FR"/>
        </w:rPr>
        <w:t>O</w:t>
      </w:r>
      <w:r w:rsidR="00FB2861" w:rsidRPr="00B75BB5">
        <w:rPr>
          <w:lang w:val="fr-FR"/>
        </w:rPr>
        <w:t>MPI.  Ju</w:t>
      </w:r>
      <w:r w:rsidRPr="00B75BB5">
        <w:rPr>
          <w:lang w:val="fr-FR"/>
        </w:rPr>
        <w:t>squ</w:t>
      </w:r>
      <w:r w:rsidR="00F847D2" w:rsidRPr="00B75BB5">
        <w:rPr>
          <w:lang w:val="fr-FR"/>
        </w:rPr>
        <w:t>’</w:t>
      </w:r>
      <w:r w:rsidRPr="00B75BB5">
        <w:rPr>
          <w:lang w:val="fr-FR"/>
        </w:rPr>
        <w:t xml:space="preserve">à </w:t>
      </w:r>
      <w:r w:rsidR="00C4674D" w:rsidRPr="00B75BB5">
        <w:rPr>
          <w:lang w:val="fr-FR"/>
        </w:rPr>
        <w:t xml:space="preserve">la </w:t>
      </w:r>
      <w:r w:rsidRPr="00B75BB5">
        <w:rPr>
          <w:lang w:val="fr-FR"/>
        </w:rPr>
        <w:t xml:space="preserve">fin </w:t>
      </w:r>
      <w:r w:rsidR="00C4674D" w:rsidRPr="00B75BB5">
        <w:rPr>
          <w:lang w:val="fr-FR"/>
        </w:rPr>
        <w:t>de </w:t>
      </w:r>
      <w:r w:rsidRPr="00B75BB5">
        <w:rPr>
          <w:lang w:val="fr-FR"/>
        </w:rPr>
        <w:t>2012, le Statut et Règlement du personnel contenait la disposition suivante</w:t>
      </w:r>
      <w:r w:rsidR="00C4674D" w:rsidRPr="00B75BB5">
        <w:rPr>
          <w:lang w:val="fr-FR"/>
        </w:rPr>
        <w:t> </w:t>
      </w:r>
      <w:r w:rsidRPr="00B75BB5">
        <w:rPr>
          <w:lang w:val="fr-FR"/>
        </w:rPr>
        <w:t>:</w:t>
      </w:r>
    </w:p>
    <w:p w:rsidR="00255436" w:rsidRPr="00B75BB5" w:rsidRDefault="00F847D2" w:rsidP="00AD05BF">
      <w:pPr>
        <w:pStyle w:val="ListParagraph"/>
        <w:widowControl w:val="0"/>
        <w:ind w:left="567"/>
        <w:rPr>
          <w:lang w:val="fr-FR"/>
        </w:rPr>
      </w:pPr>
      <w:r w:rsidRPr="00B75BB5">
        <w:rPr>
          <w:lang w:val="fr-FR"/>
        </w:rPr>
        <w:t>“</w:t>
      </w:r>
      <w:r w:rsidR="00AD05BF" w:rsidRPr="00B75BB5">
        <w:rPr>
          <w:lang w:val="fr-FR"/>
        </w:rPr>
        <w:t>Lorsque le lieu d</w:t>
      </w:r>
      <w:r w:rsidRPr="00B75BB5">
        <w:rPr>
          <w:lang w:val="fr-FR"/>
        </w:rPr>
        <w:t>’</w:t>
      </w:r>
      <w:r w:rsidR="00AD05BF" w:rsidRPr="00B75BB5">
        <w:rPr>
          <w:lang w:val="fr-FR"/>
        </w:rPr>
        <w:t>affectation est Genève, l</w:t>
      </w:r>
      <w:r w:rsidRPr="00B75BB5">
        <w:rPr>
          <w:lang w:val="fr-FR"/>
        </w:rPr>
        <w:t>’</w:t>
      </w:r>
      <w:r w:rsidR="00AD05BF" w:rsidRPr="00B75BB5">
        <w:rPr>
          <w:lang w:val="fr-FR"/>
        </w:rPr>
        <w:t xml:space="preserve">expression </w:t>
      </w:r>
      <w:r w:rsidRPr="00B75BB5">
        <w:rPr>
          <w:lang w:val="fr-FR"/>
        </w:rPr>
        <w:t>“</w:t>
      </w:r>
      <w:r w:rsidR="00AD05BF" w:rsidRPr="00B75BB5">
        <w:rPr>
          <w:lang w:val="fr-FR"/>
        </w:rPr>
        <w:t>lieu d</w:t>
      </w:r>
      <w:r w:rsidRPr="00B75BB5">
        <w:rPr>
          <w:lang w:val="fr-FR"/>
        </w:rPr>
        <w:t>’</w:t>
      </w:r>
      <w:r w:rsidR="00AD05BF" w:rsidRPr="00B75BB5">
        <w:rPr>
          <w:lang w:val="fr-FR"/>
        </w:rPr>
        <w:t>affectation</w:t>
      </w:r>
      <w:r w:rsidRPr="00B75BB5">
        <w:rPr>
          <w:lang w:val="fr-FR"/>
        </w:rPr>
        <w:t>”</w:t>
      </w:r>
      <w:r w:rsidR="00AD05BF" w:rsidRPr="00B75BB5">
        <w:rPr>
          <w:lang w:val="fr-FR"/>
        </w:rPr>
        <w:t xml:space="preserve"> désigne le territoire compris dans un rayon de 25</w:t>
      </w:r>
      <w:r w:rsidR="00C4674D" w:rsidRPr="00B75BB5">
        <w:rPr>
          <w:lang w:val="fr-FR"/>
        </w:rPr>
        <w:t> </w:t>
      </w:r>
      <w:r w:rsidR="00AD05BF" w:rsidRPr="00B75BB5">
        <w:rPr>
          <w:lang w:val="fr-FR"/>
        </w:rPr>
        <w:t>kilomètres de Genève</w:t>
      </w:r>
      <w:r w:rsidRPr="00B75BB5">
        <w:rPr>
          <w:lang w:val="fr-FR"/>
        </w:rPr>
        <w:t>”</w:t>
      </w:r>
      <w:r w:rsidR="00AD05BF" w:rsidRPr="00B75BB5">
        <w:rPr>
          <w:lang w:val="fr-FR"/>
        </w:rPr>
        <w:t>.</w:t>
      </w:r>
    </w:p>
    <w:p w:rsidR="00255436" w:rsidRPr="00B75BB5" w:rsidRDefault="00255436" w:rsidP="00B75BB5">
      <w:pPr>
        <w:widowControl w:val="0"/>
        <w:rPr>
          <w:lang w:val="fr-FR"/>
        </w:rPr>
      </w:pPr>
    </w:p>
    <w:p w:rsidR="00752542" w:rsidRPr="00B75BB5" w:rsidRDefault="00C4674D" w:rsidP="00752542">
      <w:pPr>
        <w:pStyle w:val="ONUMFS"/>
        <w:numPr>
          <w:ilvl w:val="0"/>
          <w:numId w:val="0"/>
        </w:numPr>
        <w:rPr>
          <w:lang w:val="fr-FR"/>
        </w:rPr>
      </w:pPr>
      <w:r w:rsidRPr="00B75BB5">
        <w:rPr>
          <w:lang w:val="fr-FR"/>
        </w:rPr>
        <w:t>À</w:t>
      </w:r>
      <w:r w:rsidR="00AD05BF" w:rsidRPr="00B75BB5">
        <w:rPr>
          <w:lang w:val="fr-FR"/>
        </w:rPr>
        <w:t xml:space="preserve"> compter du</w:t>
      </w:r>
      <w:r w:rsidR="00F847D2" w:rsidRPr="00B75BB5">
        <w:rPr>
          <w:lang w:val="fr-FR"/>
        </w:rPr>
        <w:t xml:space="preserve"> 1</w:t>
      </w:r>
      <w:r w:rsidR="00F847D2" w:rsidRPr="00B75BB5">
        <w:rPr>
          <w:vertAlign w:val="superscript"/>
          <w:lang w:val="fr-FR"/>
        </w:rPr>
        <w:t>er</w:t>
      </w:r>
      <w:r w:rsidR="00F847D2" w:rsidRPr="00B75BB5">
        <w:rPr>
          <w:lang w:val="fr-FR"/>
        </w:rPr>
        <w:t> </w:t>
      </w:r>
      <w:r w:rsidR="00AD05BF" w:rsidRPr="00B75BB5">
        <w:rPr>
          <w:lang w:val="fr-FR"/>
        </w:rPr>
        <w:t>janvier</w:t>
      </w:r>
      <w:r w:rsidRPr="00B75BB5">
        <w:rPr>
          <w:lang w:val="fr-FR"/>
        </w:rPr>
        <w:t> </w:t>
      </w:r>
      <w:r w:rsidR="00AD05BF" w:rsidRPr="00B75BB5">
        <w:rPr>
          <w:lang w:val="fr-FR"/>
        </w:rPr>
        <w:t xml:space="preserve">2013, le libellé </w:t>
      </w:r>
      <w:r w:rsidR="00F847D2" w:rsidRPr="00B75BB5">
        <w:rPr>
          <w:lang w:val="fr-FR"/>
        </w:rPr>
        <w:t>“</w:t>
      </w:r>
      <w:r w:rsidR="00AD05BF" w:rsidRPr="00B75BB5">
        <w:rPr>
          <w:lang w:val="fr-FR"/>
        </w:rPr>
        <w:t>un rayon de 25</w:t>
      </w:r>
      <w:r w:rsidRPr="00B75BB5">
        <w:rPr>
          <w:lang w:val="fr-FR"/>
        </w:rPr>
        <w:t> </w:t>
      </w:r>
      <w:r w:rsidR="00AD05BF" w:rsidRPr="00B75BB5">
        <w:rPr>
          <w:lang w:val="fr-FR"/>
        </w:rPr>
        <w:t>kilomètres de Genève</w:t>
      </w:r>
      <w:r w:rsidR="00F847D2" w:rsidRPr="00B75BB5">
        <w:rPr>
          <w:lang w:val="fr-FR"/>
        </w:rPr>
        <w:t>”</w:t>
      </w:r>
      <w:r w:rsidR="00AD05BF" w:rsidRPr="00B75BB5">
        <w:rPr>
          <w:lang w:val="fr-FR"/>
        </w:rPr>
        <w:t xml:space="preserve"> a été remplacé par </w:t>
      </w:r>
      <w:r w:rsidR="00F847D2" w:rsidRPr="00B75BB5">
        <w:rPr>
          <w:lang w:val="fr-FR"/>
        </w:rPr>
        <w:t>“</w:t>
      </w:r>
      <w:r w:rsidR="00AD05BF" w:rsidRPr="00B75BB5">
        <w:rPr>
          <w:lang w:val="fr-FR"/>
        </w:rPr>
        <w:t>la zone comprenant les localités situées à une distance raisonnable de déplacement domicile</w:t>
      </w:r>
      <w:r w:rsidR="00DA5099" w:rsidRPr="00B75BB5">
        <w:rPr>
          <w:lang w:val="fr-FR"/>
        </w:rPr>
        <w:noBreakHyphen/>
      </w:r>
      <w:r w:rsidR="00AD05BF" w:rsidRPr="00B75BB5">
        <w:rPr>
          <w:lang w:val="fr-FR"/>
        </w:rPr>
        <w:t>travail</w:t>
      </w:r>
      <w:r w:rsidR="00F847D2" w:rsidRPr="00B75BB5">
        <w:rPr>
          <w:lang w:val="fr-FR"/>
        </w:rPr>
        <w:t>”</w:t>
      </w:r>
      <w:r w:rsidR="00AD05BF" w:rsidRPr="00B75BB5">
        <w:rPr>
          <w:lang w:val="fr-FR"/>
        </w:rPr>
        <w:t>.</w:t>
      </w:r>
    </w:p>
    <w:p w:rsidR="00752542" w:rsidRPr="00B75BB5" w:rsidRDefault="00C4674D" w:rsidP="00752542">
      <w:pPr>
        <w:pStyle w:val="ONUMFS"/>
        <w:rPr>
          <w:lang w:val="fr-FR"/>
        </w:rPr>
      </w:pPr>
      <w:r w:rsidRPr="00B75BB5">
        <w:rPr>
          <w:lang w:val="fr-FR"/>
        </w:rPr>
        <w:t>É</w:t>
      </w:r>
      <w:r w:rsidR="001356CB" w:rsidRPr="00B75BB5">
        <w:rPr>
          <w:lang w:val="fr-FR"/>
        </w:rPr>
        <w:t>tant donné la proximité de la France a</w:t>
      </w:r>
      <w:r w:rsidR="00F02E7B" w:rsidRPr="00B75BB5">
        <w:rPr>
          <w:lang w:val="fr-FR"/>
        </w:rPr>
        <w:t>vec</w:t>
      </w:r>
      <w:r w:rsidR="001356CB" w:rsidRPr="00B75BB5">
        <w:rPr>
          <w:lang w:val="fr-FR"/>
        </w:rPr>
        <w:t xml:space="preserve"> Genève, les définitions susmentionnées </w:t>
      </w:r>
      <w:r w:rsidR="00F02E7B" w:rsidRPr="00B75BB5">
        <w:rPr>
          <w:lang w:val="fr-FR"/>
        </w:rPr>
        <w:t>lorsque le</w:t>
      </w:r>
      <w:r w:rsidR="001356CB" w:rsidRPr="00B75BB5">
        <w:rPr>
          <w:lang w:val="fr-FR"/>
        </w:rPr>
        <w:t xml:space="preserve"> lieu d</w:t>
      </w:r>
      <w:r w:rsidR="00F847D2" w:rsidRPr="00B75BB5">
        <w:rPr>
          <w:lang w:val="fr-FR"/>
        </w:rPr>
        <w:t>’</w:t>
      </w:r>
      <w:r w:rsidR="001356CB" w:rsidRPr="00B75BB5">
        <w:rPr>
          <w:lang w:val="fr-FR"/>
        </w:rPr>
        <w:t xml:space="preserve">affectation </w:t>
      </w:r>
      <w:r w:rsidR="00F02E7B" w:rsidRPr="00B75BB5">
        <w:rPr>
          <w:lang w:val="fr-FR"/>
        </w:rPr>
        <w:t>e</w:t>
      </w:r>
      <w:r w:rsidR="001356CB" w:rsidRPr="00B75BB5">
        <w:rPr>
          <w:lang w:val="fr-FR"/>
        </w:rPr>
        <w:t>s</w:t>
      </w:r>
      <w:r w:rsidR="00F02E7B" w:rsidRPr="00B75BB5">
        <w:rPr>
          <w:lang w:val="fr-FR"/>
        </w:rPr>
        <w:t xml:space="preserve">t </w:t>
      </w:r>
      <w:r w:rsidR="001356CB" w:rsidRPr="00B75BB5">
        <w:rPr>
          <w:lang w:val="fr-FR"/>
        </w:rPr>
        <w:t>Genève ont eu pour effet de le situer à l</w:t>
      </w:r>
      <w:r w:rsidR="00F847D2" w:rsidRPr="00B75BB5">
        <w:rPr>
          <w:lang w:val="fr-FR"/>
        </w:rPr>
        <w:t>’</w:t>
      </w:r>
      <w:r w:rsidR="001356CB" w:rsidRPr="00B75BB5">
        <w:rPr>
          <w:lang w:val="fr-FR"/>
        </w:rPr>
        <w:t>intérieur des frontières d</w:t>
      </w:r>
      <w:r w:rsidR="00F02E7B" w:rsidRPr="00B75BB5">
        <w:rPr>
          <w:lang w:val="fr-FR"/>
        </w:rPr>
        <w:t>e la France</w:t>
      </w:r>
      <w:r w:rsidR="001356CB" w:rsidRPr="00B75BB5">
        <w:rPr>
          <w:lang w:val="fr-FR"/>
        </w:rPr>
        <w:t xml:space="preserve"> voisi</w:t>
      </w:r>
      <w:r w:rsidR="00FB2861" w:rsidRPr="00B75BB5">
        <w:rPr>
          <w:lang w:val="fr-FR"/>
        </w:rPr>
        <w:t>ne.  La</w:t>
      </w:r>
      <w:r w:rsidR="001356CB" w:rsidRPr="00B75BB5">
        <w:rPr>
          <w:lang w:val="fr-FR"/>
        </w:rPr>
        <w:t xml:space="preserve"> zone du lieu d</w:t>
      </w:r>
      <w:r w:rsidR="00F847D2" w:rsidRPr="00B75BB5">
        <w:rPr>
          <w:lang w:val="fr-FR"/>
        </w:rPr>
        <w:t>’</w:t>
      </w:r>
      <w:r w:rsidR="001356CB" w:rsidRPr="00B75BB5">
        <w:rPr>
          <w:lang w:val="fr-FR"/>
        </w:rPr>
        <w:t xml:space="preserve">affectation </w:t>
      </w:r>
      <w:r w:rsidR="00F02E7B" w:rsidRPr="00B75BB5">
        <w:rPr>
          <w:lang w:val="fr-FR"/>
        </w:rPr>
        <w:t>se situant au</w:t>
      </w:r>
      <w:r w:rsidR="00DA5099" w:rsidRPr="00B75BB5">
        <w:rPr>
          <w:lang w:val="fr-FR"/>
        </w:rPr>
        <w:noBreakHyphen/>
      </w:r>
      <w:r w:rsidR="00F02E7B" w:rsidRPr="00B75BB5">
        <w:rPr>
          <w:lang w:val="fr-FR"/>
        </w:rPr>
        <w:t>delà de</w:t>
      </w:r>
      <w:r w:rsidR="001356CB" w:rsidRPr="00B75BB5">
        <w:rPr>
          <w:lang w:val="fr-FR"/>
        </w:rPr>
        <w:t xml:space="preserve"> la frontière française, le Statut et Règlement du personnel de l</w:t>
      </w:r>
      <w:r w:rsidR="00F847D2" w:rsidRPr="00B75BB5">
        <w:rPr>
          <w:lang w:val="fr-FR"/>
        </w:rPr>
        <w:t>’</w:t>
      </w:r>
      <w:r w:rsidR="001356CB" w:rsidRPr="00B75BB5">
        <w:rPr>
          <w:lang w:val="fr-FR"/>
        </w:rPr>
        <w:t>OMPI n</w:t>
      </w:r>
      <w:r w:rsidR="00F847D2" w:rsidRPr="00B75BB5">
        <w:rPr>
          <w:lang w:val="fr-FR"/>
        </w:rPr>
        <w:t>’</w:t>
      </w:r>
      <w:r w:rsidR="001356CB" w:rsidRPr="00B75BB5">
        <w:rPr>
          <w:lang w:val="fr-FR"/>
        </w:rPr>
        <w:t>accordait pas un droit à l</w:t>
      </w:r>
      <w:r w:rsidR="00F847D2" w:rsidRPr="00B75BB5">
        <w:rPr>
          <w:lang w:val="fr-FR"/>
        </w:rPr>
        <w:t>’</w:t>
      </w:r>
      <w:r w:rsidR="001356CB" w:rsidRPr="00B75BB5">
        <w:rPr>
          <w:lang w:val="fr-FR"/>
        </w:rPr>
        <w:t>indemnité pour frais d</w:t>
      </w:r>
      <w:r w:rsidR="00F847D2" w:rsidRPr="00B75BB5">
        <w:rPr>
          <w:lang w:val="fr-FR"/>
        </w:rPr>
        <w:t>’</w:t>
      </w:r>
      <w:r w:rsidR="001356CB" w:rsidRPr="00B75BB5">
        <w:rPr>
          <w:lang w:val="fr-FR"/>
        </w:rPr>
        <w:t>études aux fonctionnaires français résidant dans leur pays d</w:t>
      </w:r>
      <w:r w:rsidR="00F847D2" w:rsidRPr="00B75BB5">
        <w:rPr>
          <w:lang w:val="fr-FR"/>
        </w:rPr>
        <w:t>’</w:t>
      </w:r>
      <w:r w:rsidR="001356CB" w:rsidRPr="00B75BB5">
        <w:rPr>
          <w:lang w:val="fr-FR"/>
        </w:rPr>
        <w:t>origi</w:t>
      </w:r>
      <w:r w:rsidR="00FB2861" w:rsidRPr="00B75BB5">
        <w:rPr>
          <w:lang w:val="fr-FR"/>
        </w:rPr>
        <w:t>ne.  L’i</w:t>
      </w:r>
      <w:r w:rsidR="001356CB" w:rsidRPr="00B75BB5">
        <w:rPr>
          <w:lang w:val="fr-FR"/>
        </w:rPr>
        <w:t>ndemnité pour frais d</w:t>
      </w:r>
      <w:r w:rsidR="00F847D2" w:rsidRPr="00B75BB5">
        <w:rPr>
          <w:lang w:val="fr-FR"/>
        </w:rPr>
        <w:t>’</w:t>
      </w:r>
      <w:r w:rsidR="001356CB" w:rsidRPr="00B75BB5">
        <w:rPr>
          <w:lang w:val="fr-FR"/>
        </w:rPr>
        <w:t>études était cependant versée à cette catégorie de fonctionnaires en vertu d</w:t>
      </w:r>
      <w:r w:rsidR="00F847D2" w:rsidRPr="00B75BB5">
        <w:rPr>
          <w:lang w:val="fr-FR"/>
        </w:rPr>
        <w:t>’</w:t>
      </w:r>
      <w:r w:rsidR="001356CB" w:rsidRPr="00B75BB5">
        <w:rPr>
          <w:lang w:val="fr-FR"/>
        </w:rPr>
        <w:t xml:space="preserve">une pratique </w:t>
      </w:r>
      <w:r w:rsidR="00F02E7B" w:rsidRPr="00B75BB5">
        <w:rPr>
          <w:lang w:val="fr-FR"/>
        </w:rPr>
        <w:t>constant</w:t>
      </w:r>
      <w:r w:rsidR="001356CB" w:rsidRPr="00B75BB5">
        <w:rPr>
          <w:lang w:val="fr-FR"/>
        </w:rPr>
        <w:t>e de longue date.</w:t>
      </w:r>
    </w:p>
    <w:p w:rsidR="00752542" w:rsidRPr="00B75BB5" w:rsidRDefault="002F4CE4" w:rsidP="00752542">
      <w:pPr>
        <w:pStyle w:val="ONUMFS"/>
        <w:rPr>
          <w:lang w:val="fr-FR"/>
        </w:rPr>
      </w:pPr>
      <w:r w:rsidRPr="00B75BB5">
        <w:rPr>
          <w:lang w:val="fr-FR"/>
        </w:rPr>
        <w:t>La prochaine question à examiner est celle de savoir si la pratique bien établie consistant à verser une indemnité pour frais d</w:t>
      </w:r>
      <w:r w:rsidR="00F847D2" w:rsidRPr="00B75BB5">
        <w:rPr>
          <w:lang w:val="fr-FR"/>
        </w:rPr>
        <w:t>’</w:t>
      </w:r>
      <w:r w:rsidRPr="00B75BB5">
        <w:rPr>
          <w:lang w:val="fr-FR"/>
        </w:rPr>
        <w:t>études aux fonctionnaires français résidant en France a créé une obligation légale pour l</w:t>
      </w:r>
      <w:r w:rsidR="00F847D2" w:rsidRPr="00B75BB5">
        <w:rPr>
          <w:lang w:val="fr-FR"/>
        </w:rPr>
        <w:t>’</w:t>
      </w:r>
      <w:r w:rsidRPr="00B75BB5">
        <w:rPr>
          <w:lang w:val="fr-FR"/>
        </w:rPr>
        <w:t>OMPI de maintenir cet usa</w:t>
      </w:r>
      <w:r w:rsidR="00FB2861" w:rsidRPr="00B75BB5">
        <w:rPr>
          <w:lang w:val="fr-FR"/>
        </w:rPr>
        <w:t>ge.  Co</w:t>
      </w:r>
      <w:r w:rsidRPr="00B75BB5">
        <w:rPr>
          <w:lang w:val="fr-FR"/>
        </w:rPr>
        <w:t>mme cela sera démontré ci</w:t>
      </w:r>
      <w:r w:rsidR="00DA5099" w:rsidRPr="00B75BB5">
        <w:rPr>
          <w:lang w:val="fr-FR"/>
        </w:rPr>
        <w:noBreakHyphen/>
      </w:r>
      <w:r w:rsidRPr="00B75BB5">
        <w:rPr>
          <w:lang w:val="fr-FR"/>
        </w:rPr>
        <w:t xml:space="preserve">après, la réponse brève à cette question est </w:t>
      </w:r>
      <w:r w:rsidR="00F847D2" w:rsidRPr="00B75BB5">
        <w:rPr>
          <w:lang w:val="fr-FR"/>
        </w:rPr>
        <w:t>“</w:t>
      </w:r>
      <w:r w:rsidRPr="00B75BB5">
        <w:rPr>
          <w:lang w:val="fr-FR"/>
        </w:rPr>
        <w:t>non</w:t>
      </w:r>
      <w:r w:rsidR="00F847D2" w:rsidRPr="00B75BB5">
        <w:rPr>
          <w:lang w:val="fr-FR"/>
        </w:rPr>
        <w:t>”</w:t>
      </w:r>
      <w:r w:rsidRPr="00B75BB5">
        <w:rPr>
          <w:lang w:val="fr-FR"/>
        </w:rPr>
        <w:t>.</w:t>
      </w:r>
    </w:p>
    <w:p w:rsidR="00255436" w:rsidRPr="00B75BB5" w:rsidRDefault="00752542" w:rsidP="00752542">
      <w:pPr>
        <w:pStyle w:val="Heading1"/>
      </w:pPr>
      <w:r w:rsidRPr="00B75BB5">
        <w:t>Effets juridiques d’une pratique établie de longue date</w:t>
      </w:r>
    </w:p>
    <w:p w:rsidR="00255436" w:rsidRPr="00B75BB5" w:rsidRDefault="00255436" w:rsidP="001D7BF2">
      <w:pPr>
        <w:pStyle w:val="ListParagraph"/>
        <w:widowControl w:val="0"/>
        <w:ind w:left="0"/>
        <w:rPr>
          <w:lang w:val="fr-FR"/>
        </w:rPr>
      </w:pPr>
    </w:p>
    <w:p w:rsidR="00752542" w:rsidRPr="00B75BB5" w:rsidRDefault="00C20AE8" w:rsidP="00752542">
      <w:pPr>
        <w:pStyle w:val="ONUMFS"/>
        <w:rPr>
          <w:lang w:val="fr-FR"/>
        </w:rPr>
      </w:pPr>
      <w:r w:rsidRPr="00B75BB5">
        <w:rPr>
          <w:lang w:val="fr-FR"/>
        </w:rPr>
        <w:t>Dans certaines circonstances, une pratique administrative peut être considérée comme une source de droit, à condition que la pratique i)</w:t>
      </w:r>
      <w:r w:rsidR="006F7E6C" w:rsidRPr="00B75BB5">
        <w:rPr>
          <w:lang w:val="fr-FR"/>
        </w:rPr>
        <w:t> </w:t>
      </w:r>
      <w:r w:rsidRPr="00B75BB5">
        <w:rPr>
          <w:lang w:val="fr-FR"/>
        </w:rPr>
        <w:t>soit constante, ii)</w:t>
      </w:r>
      <w:r w:rsidR="006F7E6C" w:rsidRPr="00B75BB5">
        <w:rPr>
          <w:lang w:val="fr-FR"/>
        </w:rPr>
        <w:t> </w:t>
      </w:r>
      <w:r w:rsidRPr="00B75BB5">
        <w:rPr>
          <w:lang w:val="fr-FR"/>
        </w:rPr>
        <w:t>qu</w:t>
      </w:r>
      <w:r w:rsidR="00F847D2" w:rsidRPr="00B75BB5">
        <w:rPr>
          <w:lang w:val="fr-FR"/>
        </w:rPr>
        <w:t>’</w:t>
      </w:r>
      <w:r w:rsidRPr="00B75BB5">
        <w:rPr>
          <w:lang w:val="fr-FR"/>
        </w:rPr>
        <w:t>elle ait été suivie par l</w:t>
      </w:r>
      <w:r w:rsidR="00F847D2" w:rsidRPr="00B75BB5">
        <w:rPr>
          <w:lang w:val="fr-FR"/>
        </w:rPr>
        <w:t>’</w:t>
      </w:r>
      <w:r w:rsidRPr="00B75BB5">
        <w:rPr>
          <w:lang w:val="fr-FR"/>
        </w:rPr>
        <w:t>organisation dans la conviction qu</w:t>
      </w:r>
      <w:r w:rsidR="00F847D2" w:rsidRPr="00B75BB5">
        <w:rPr>
          <w:lang w:val="fr-FR"/>
        </w:rPr>
        <w:t>’</w:t>
      </w:r>
      <w:r w:rsidRPr="00B75BB5">
        <w:rPr>
          <w:lang w:val="fr-FR"/>
        </w:rPr>
        <w:t>elle traduisait une obligation juridique (</w:t>
      </w:r>
      <w:proofErr w:type="spellStart"/>
      <w:r w:rsidRPr="00B75BB5">
        <w:rPr>
          <w:i/>
          <w:lang w:val="fr-FR"/>
        </w:rPr>
        <w:t>opinio</w:t>
      </w:r>
      <w:proofErr w:type="spellEnd"/>
      <w:r w:rsidRPr="00B75BB5">
        <w:rPr>
          <w:i/>
          <w:lang w:val="fr-FR"/>
        </w:rPr>
        <w:t xml:space="preserve"> </w:t>
      </w:r>
      <w:proofErr w:type="spellStart"/>
      <w:r w:rsidRPr="00B75BB5">
        <w:rPr>
          <w:i/>
          <w:lang w:val="fr-FR"/>
        </w:rPr>
        <w:t>juris</w:t>
      </w:r>
      <w:proofErr w:type="spellEnd"/>
      <w:r w:rsidRPr="00B75BB5">
        <w:rPr>
          <w:lang w:val="fr-FR"/>
        </w:rPr>
        <w:t>) et iii)</w:t>
      </w:r>
      <w:r w:rsidR="006F7E6C" w:rsidRPr="00B75BB5">
        <w:rPr>
          <w:lang w:val="fr-FR"/>
        </w:rPr>
        <w:t> </w:t>
      </w:r>
      <w:r w:rsidRPr="00B75BB5">
        <w:rPr>
          <w:lang w:val="fr-FR"/>
        </w:rPr>
        <w:t>qu</w:t>
      </w:r>
      <w:r w:rsidR="00F847D2" w:rsidRPr="00B75BB5">
        <w:rPr>
          <w:lang w:val="fr-FR"/>
        </w:rPr>
        <w:t>’</w:t>
      </w:r>
      <w:r w:rsidRPr="00B75BB5">
        <w:rPr>
          <w:lang w:val="fr-FR"/>
        </w:rPr>
        <w:t>elle n</w:t>
      </w:r>
      <w:r w:rsidR="00F847D2" w:rsidRPr="00B75BB5">
        <w:rPr>
          <w:lang w:val="fr-FR"/>
        </w:rPr>
        <w:t>’</w:t>
      </w:r>
      <w:r w:rsidR="00F02E7B" w:rsidRPr="00B75BB5">
        <w:rPr>
          <w:lang w:val="fr-FR"/>
        </w:rPr>
        <w:t xml:space="preserve">aille </w:t>
      </w:r>
      <w:r w:rsidRPr="00B75BB5">
        <w:rPr>
          <w:lang w:val="fr-FR"/>
        </w:rPr>
        <w:t xml:space="preserve">pas </w:t>
      </w:r>
      <w:r w:rsidR="00F02E7B" w:rsidRPr="00B75BB5">
        <w:rPr>
          <w:lang w:val="fr-FR"/>
        </w:rPr>
        <w:t>à l</w:t>
      </w:r>
      <w:r w:rsidR="00F847D2" w:rsidRPr="00B75BB5">
        <w:rPr>
          <w:lang w:val="fr-FR"/>
        </w:rPr>
        <w:t>’</w:t>
      </w:r>
      <w:r w:rsidR="00F02E7B" w:rsidRPr="00B75BB5">
        <w:rPr>
          <w:lang w:val="fr-FR"/>
        </w:rPr>
        <w:t>en</w:t>
      </w:r>
      <w:r w:rsidRPr="00B75BB5">
        <w:rPr>
          <w:lang w:val="fr-FR"/>
        </w:rPr>
        <w:t xml:space="preserve">contre </w:t>
      </w:r>
      <w:r w:rsidR="00F02E7B" w:rsidRPr="00B75BB5">
        <w:rPr>
          <w:lang w:val="fr-FR"/>
        </w:rPr>
        <w:t>d</w:t>
      </w:r>
      <w:r w:rsidRPr="00B75BB5">
        <w:rPr>
          <w:lang w:val="fr-FR"/>
        </w:rPr>
        <w:t>u droit écr</w:t>
      </w:r>
      <w:r w:rsidR="00FB2861" w:rsidRPr="00B75BB5">
        <w:rPr>
          <w:lang w:val="fr-FR"/>
        </w:rPr>
        <w:t>it.  De</w:t>
      </w:r>
      <w:r w:rsidRPr="00B75BB5">
        <w:rPr>
          <w:lang w:val="fr-FR"/>
        </w:rPr>
        <w:t xml:space="preserve"> plus,</w:t>
      </w:r>
      <w:r w:rsidR="00F847D2" w:rsidRPr="00B75BB5">
        <w:rPr>
          <w:lang w:val="fr-FR"/>
        </w:rPr>
        <w:t xml:space="preserve"> le TAO</w:t>
      </w:r>
      <w:r w:rsidRPr="00B75BB5">
        <w:rPr>
          <w:lang w:val="fr-FR"/>
        </w:rPr>
        <w:t>IT n</w:t>
      </w:r>
      <w:r w:rsidR="00F847D2" w:rsidRPr="00B75BB5">
        <w:rPr>
          <w:lang w:val="fr-FR"/>
        </w:rPr>
        <w:t>’</w:t>
      </w:r>
      <w:r w:rsidRPr="00B75BB5">
        <w:rPr>
          <w:lang w:val="fr-FR"/>
        </w:rPr>
        <w:t>a pas exclu la possibilité que</w:t>
      </w:r>
      <w:r w:rsidR="00F02E7B" w:rsidRPr="00B75BB5">
        <w:rPr>
          <w:lang w:val="fr-FR"/>
        </w:rPr>
        <w:t>,</w:t>
      </w:r>
      <w:r w:rsidRPr="00B75BB5">
        <w:rPr>
          <w:lang w:val="fr-FR"/>
        </w:rPr>
        <w:t xml:space="preserve"> dans certains cas limités, une pratique puisse même engendrer un droit acquis</w:t>
      </w:r>
      <w:r w:rsidRPr="00B75BB5">
        <w:rPr>
          <w:rStyle w:val="FootnoteReference"/>
          <w:lang w:val="fr-FR"/>
        </w:rPr>
        <w:footnoteReference w:id="14"/>
      </w:r>
      <w:r w:rsidRPr="00B75BB5">
        <w:rPr>
          <w:lang w:val="fr-FR"/>
        </w:rPr>
        <w:t>.</w:t>
      </w:r>
    </w:p>
    <w:p w:rsidR="00752542" w:rsidRPr="00B75BB5" w:rsidRDefault="00C20AE8" w:rsidP="00752542">
      <w:pPr>
        <w:pStyle w:val="ONUMFS"/>
        <w:rPr>
          <w:lang w:val="fr-FR"/>
        </w:rPr>
      </w:pPr>
      <w:r w:rsidRPr="00B75BB5">
        <w:rPr>
          <w:lang w:val="fr-FR"/>
        </w:rPr>
        <w:t>Dans le cas d</w:t>
      </w:r>
      <w:r w:rsidR="00F847D2" w:rsidRPr="00B75BB5">
        <w:rPr>
          <w:lang w:val="fr-FR"/>
        </w:rPr>
        <w:t>’</w:t>
      </w:r>
      <w:r w:rsidRPr="00B75BB5">
        <w:rPr>
          <w:lang w:val="fr-FR"/>
        </w:rPr>
        <w:t>espèce, la condition</w:t>
      </w:r>
      <w:r w:rsidR="006F7E6C" w:rsidRPr="00B75BB5">
        <w:rPr>
          <w:lang w:val="fr-FR"/>
        </w:rPr>
        <w:t> </w:t>
      </w:r>
      <w:r w:rsidRPr="00B75BB5">
        <w:rPr>
          <w:lang w:val="fr-FR"/>
        </w:rPr>
        <w:t>iii) ci</w:t>
      </w:r>
      <w:r w:rsidR="00DA5099" w:rsidRPr="00B75BB5">
        <w:rPr>
          <w:lang w:val="fr-FR"/>
        </w:rPr>
        <w:noBreakHyphen/>
      </w:r>
      <w:r w:rsidRPr="00B75BB5">
        <w:rPr>
          <w:lang w:val="fr-FR"/>
        </w:rPr>
        <w:t>dessus n</w:t>
      </w:r>
      <w:r w:rsidR="00F847D2" w:rsidRPr="00B75BB5">
        <w:rPr>
          <w:lang w:val="fr-FR"/>
        </w:rPr>
        <w:t>’</w:t>
      </w:r>
      <w:r w:rsidRPr="00B75BB5">
        <w:rPr>
          <w:lang w:val="fr-FR"/>
        </w:rPr>
        <w:t>est pas remplie puisque la pratique de longue date consistant</w:t>
      </w:r>
      <w:r w:rsidR="00C4674D" w:rsidRPr="00B75BB5">
        <w:rPr>
          <w:lang w:val="fr-FR"/>
        </w:rPr>
        <w:t xml:space="preserve"> </w:t>
      </w:r>
      <w:r w:rsidRPr="00B75BB5">
        <w:rPr>
          <w:lang w:val="fr-FR"/>
        </w:rPr>
        <w:t>à verser une indemnité pour frais d</w:t>
      </w:r>
      <w:r w:rsidR="00F847D2" w:rsidRPr="00B75BB5">
        <w:rPr>
          <w:lang w:val="fr-FR"/>
        </w:rPr>
        <w:t>’</w:t>
      </w:r>
      <w:r w:rsidRPr="00B75BB5">
        <w:rPr>
          <w:lang w:val="fr-FR"/>
        </w:rPr>
        <w:t>études aux fonctionnaires français résidant en France n</w:t>
      </w:r>
      <w:r w:rsidR="00F847D2" w:rsidRPr="00B75BB5">
        <w:rPr>
          <w:lang w:val="fr-FR"/>
        </w:rPr>
        <w:t>’</w:t>
      </w:r>
      <w:r w:rsidRPr="00B75BB5">
        <w:rPr>
          <w:lang w:val="fr-FR"/>
        </w:rPr>
        <w:t>était pas autorisée par les dispositions du Statut et Règlement du personnel de l</w:t>
      </w:r>
      <w:r w:rsidR="00F847D2" w:rsidRPr="00B75BB5">
        <w:rPr>
          <w:lang w:val="fr-FR"/>
        </w:rPr>
        <w:t>’</w:t>
      </w:r>
      <w:r w:rsidRPr="00B75BB5">
        <w:rPr>
          <w:lang w:val="fr-FR"/>
        </w:rPr>
        <w:t xml:space="preserve">OMPI, </w:t>
      </w:r>
      <w:r w:rsidR="00B36EB9" w:rsidRPr="00B75BB5">
        <w:rPr>
          <w:lang w:val="fr-FR"/>
        </w:rPr>
        <w:t xml:space="preserve">du fait </w:t>
      </w:r>
      <w:r w:rsidRPr="00B75BB5">
        <w:rPr>
          <w:lang w:val="fr-FR"/>
        </w:rPr>
        <w:t>de la définition qui est donnée de l</w:t>
      </w:r>
      <w:r w:rsidR="00F847D2" w:rsidRPr="00B75BB5">
        <w:rPr>
          <w:lang w:val="fr-FR"/>
        </w:rPr>
        <w:t>’</w:t>
      </w:r>
      <w:r w:rsidRPr="00B75BB5">
        <w:rPr>
          <w:lang w:val="fr-FR"/>
        </w:rPr>
        <w:t xml:space="preserve">expression </w:t>
      </w:r>
      <w:r w:rsidR="00F847D2" w:rsidRPr="00B75BB5">
        <w:rPr>
          <w:lang w:val="fr-FR"/>
        </w:rPr>
        <w:t>“</w:t>
      </w:r>
      <w:r w:rsidRPr="00B75BB5">
        <w:rPr>
          <w:lang w:val="fr-FR"/>
        </w:rPr>
        <w:t>lieu d</w:t>
      </w:r>
      <w:r w:rsidR="00F847D2" w:rsidRPr="00B75BB5">
        <w:rPr>
          <w:lang w:val="fr-FR"/>
        </w:rPr>
        <w:t>’</w:t>
      </w:r>
      <w:r w:rsidRPr="00B75BB5">
        <w:rPr>
          <w:lang w:val="fr-FR"/>
        </w:rPr>
        <w:t>affectation</w:t>
      </w:r>
      <w:r w:rsidR="00F847D2" w:rsidRPr="00B75BB5">
        <w:rPr>
          <w:lang w:val="fr-FR"/>
        </w:rPr>
        <w:t>”</w:t>
      </w:r>
      <w:r w:rsidRPr="00B75BB5">
        <w:rPr>
          <w:lang w:val="fr-FR"/>
        </w:rPr>
        <w:t xml:space="preserve"> à Genève, comme expliqué ci</w:t>
      </w:r>
      <w:r w:rsidR="00DA5099" w:rsidRPr="00B75BB5">
        <w:rPr>
          <w:lang w:val="fr-FR"/>
        </w:rPr>
        <w:noBreakHyphen/>
      </w:r>
      <w:r w:rsidRPr="00B75BB5">
        <w:rPr>
          <w:lang w:val="fr-FR"/>
        </w:rPr>
        <w:t>dess</w:t>
      </w:r>
      <w:r w:rsidR="00FB2861" w:rsidRPr="00B75BB5">
        <w:rPr>
          <w:lang w:val="fr-FR"/>
        </w:rPr>
        <w:t>us.  Le</w:t>
      </w:r>
      <w:r w:rsidR="00F847D2" w:rsidRPr="00B75BB5">
        <w:rPr>
          <w:lang w:val="fr-FR"/>
        </w:rPr>
        <w:t> TAO</w:t>
      </w:r>
      <w:r w:rsidR="006434BB" w:rsidRPr="00B75BB5">
        <w:rPr>
          <w:lang w:val="fr-FR"/>
        </w:rPr>
        <w:t xml:space="preserve">IT a clairement indiqué dans une abondante </w:t>
      </w:r>
      <w:r w:rsidR="006434BB" w:rsidRPr="00B75BB5">
        <w:rPr>
          <w:lang w:val="fr-FR"/>
        </w:rPr>
        <w:lastRenderedPageBreak/>
        <w:t>jurisprudence qu</w:t>
      </w:r>
      <w:r w:rsidR="00F847D2" w:rsidRPr="00B75BB5">
        <w:rPr>
          <w:lang w:val="fr-FR"/>
        </w:rPr>
        <w:t>’</w:t>
      </w:r>
      <w:r w:rsidR="006434BB" w:rsidRPr="00B75BB5">
        <w:rPr>
          <w:lang w:val="fr-FR"/>
        </w:rPr>
        <w:t>une pratique incompatible avec le Statut ou le Règlement du personnel ne peut acquérir une valeur juridique</w:t>
      </w:r>
      <w:r w:rsidR="006434BB" w:rsidRPr="00B75BB5">
        <w:rPr>
          <w:rStyle w:val="FootnoteReference"/>
          <w:lang w:val="fr-FR"/>
        </w:rPr>
        <w:footnoteReference w:id="15"/>
      </w:r>
      <w:r w:rsidR="006434BB" w:rsidRPr="00B75BB5">
        <w:rPr>
          <w:lang w:val="fr-FR"/>
        </w:rPr>
        <w:t xml:space="preserve"> ni engendrer un droit acquis</w:t>
      </w:r>
      <w:r w:rsidR="006434BB" w:rsidRPr="00B75BB5">
        <w:rPr>
          <w:rStyle w:val="FootnoteReference"/>
          <w:lang w:val="fr-FR"/>
        </w:rPr>
        <w:footnoteReference w:id="16"/>
      </w:r>
      <w:r w:rsidR="006434BB" w:rsidRPr="00B75BB5">
        <w:rPr>
          <w:lang w:val="fr-FR"/>
        </w:rPr>
        <w:t>, et qu</w:t>
      </w:r>
      <w:r w:rsidR="00F847D2" w:rsidRPr="00B75BB5">
        <w:rPr>
          <w:lang w:val="fr-FR"/>
        </w:rPr>
        <w:t>’</w:t>
      </w:r>
      <w:r w:rsidR="006434BB" w:rsidRPr="00B75BB5">
        <w:rPr>
          <w:lang w:val="fr-FR"/>
        </w:rPr>
        <w:t>une organisation est habilitée à rétablir une situation conforme au cadre réglementaire</w:t>
      </w:r>
      <w:r w:rsidR="006434BB" w:rsidRPr="00B75BB5">
        <w:rPr>
          <w:rStyle w:val="FootnoteReference"/>
          <w:lang w:val="fr-FR"/>
        </w:rPr>
        <w:footnoteReference w:id="17"/>
      </w:r>
      <w:r w:rsidR="006434BB" w:rsidRPr="00B75BB5">
        <w:rPr>
          <w:lang w:val="fr-FR"/>
        </w:rPr>
        <w:t>.</w:t>
      </w:r>
    </w:p>
    <w:p w:rsidR="00752542" w:rsidRPr="00B75BB5" w:rsidRDefault="00DA625F" w:rsidP="00752542">
      <w:pPr>
        <w:pStyle w:val="ONUMFS"/>
        <w:rPr>
          <w:lang w:val="fr-FR"/>
        </w:rPr>
      </w:pPr>
      <w:r w:rsidRPr="00B75BB5">
        <w:rPr>
          <w:lang w:val="fr-FR"/>
        </w:rPr>
        <w:t>Il découle de ce qui précède qu</w:t>
      </w:r>
      <w:r w:rsidR="00CF2344" w:rsidRPr="00B75BB5">
        <w:rPr>
          <w:lang w:val="fr-FR"/>
        </w:rPr>
        <w:t>e l</w:t>
      </w:r>
      <w:r w:rsidR="00F847D2" w:rsidRPr="00B75BB5">
        <w:rPr>
          <w:lang w:val="fr-FR"/>
        </w:rPr>
        <w:t>’</w:t>
      </w:r>
      <w:r w:rsidR="00CF2344" w:rsidRPr="00B75BB5">
        <w:rPr>
          <w:lang w:val="fr-FR"/>
        </w:rPr>
        <w:t xml:space="preserve">OMPI </w:t>
      </w:r>
      <w:r w:rsidRPr="00B75BB5">
        <w:rPr>
          <w:lang w:val="fr-FR"/>
        </w:rPr>
        <w:t>n</w:t>
      </w:r>
      <w:r w:rsidR="00F847D2" w:rsidRPr="00B75BB5">
        <w:rPr>
          <w:lang w:val="fr-FR"/>
        </w:rPr>
        <w:t>’</w:t>
      </w:r>
      <w:r w:rsidRPr="00B75BB5">
        <w:rPr>
          <w:lang w:val="fr-FR"/>
        </w:rPr>
        <w:t>a aucune obligation juridique de maintenir l</w:t>
      </w:r>
      <w:r w:rsidR="00B36EB9" w:rsidRPr="00B75BB5">
        <w:rPr>
          <w:lang w:val="fr-FR"/>
        </w:rPr>
        <w:t>a pratique</w:t>
      </w:r>
      <w:r w:rsidRPr="00B75BB5">
        <w:rPr>
          <w:lang w:val="fr-FR"/>
        </w:rPr>
        <w:t xml:space="preserve"> consistant à verser une indemnité pour frais d</w:t>
      </w:r>
      <w:r w:rsidR="00F847D2" w:rsidRPr="00B75BB5">
        <w:rPr>
          <w:lang w:val="fr-FR"/>
        </w:rPr>
        <w:t>’</w:t>
      </w:r>
      <w:r w:rsidRPr="00B75BB5">
        <w:rPr>
          <w:lang w:val="fr-FR"/>
        </w:rPr>
        <w:t>études aux fonctionnaires français résidant en Fran</w:t>
      </w:r>
      <w:r w:rsidR="00FB2861" w:rsidRPr="00B75BB5">
        <w:rPr>
          <w:lang w:val="fr-FR"/>
        </w:rPr>
        <w:t>ce.  Ce</w:t>
      </w:r>
      <w:r w:rsidRPr="00B75BB5">
        <w:rPr>
          <w:lang w:val="fr-FR"/>
        </w:rPr>
        <w:t>tte catégorie particulière de fonctionnaires n</w:t>
      </w:r>
      <w:r w:rsidR="00F847D2" w:rsidRPr="00B75BB5">
        <w:rPr>
          <w:lang w:val="fr-FR"/>
        </w:rPr>
        <w:t>’</w:t>
      </w:r>
      <w:r w:rsidRPr="00B75BB5">
        <w:rPr>
          <w:lang w:val="fr-FR"/>
        </w:rPr>
        <w:t xml:space="preserve">a jamais acquis </w:t>
      </w:r>
      <w:r w:rsidR="00CF2344" w:rsidRPr="00B75BB5">
        <w:rPr>
          <w:lang w:val="fr-FR"/>
        </w:rPr>
        <w:t>un</w:t>
      </w:r>
      <w:r w:rsidRPr="00B75BB5">
        <w:rPr>
          <w:lang w:val="fr-FR"/>
        </w:rPr>
        <w:t xml:space="preserve"> droit </w:t>
      </w:r>
      <w:r w:rsidR="00CF2344" w:rsidRPr="00B75BB5">
        <w:rPr>
          <w:lang w:val="fr-FR"/>
        </w:rPr>
        <w:t xml:space="preserve">à conserver </w:t>
      </w:r>
      <w:r w:rsidRPr="00B75BB5">
        <w:rPr>
          <w:lang w:val="fr-FR"/>
        </w:rPr>
        <w:t>l</w:t>
      </w:r>
      <w:r w:rsidR="00F847D2" w:rsidRPr="00B75BB5">
        <w:rPr>
          <w:lang w:val="fr-FR"/>
        </w:rPr>
        <w:t>’</w:t>
      </w:r>
      <w:r w:rsidRPr="00B75BB5">
        <w:rPr>
          <w:lang w:val="fr-FR"/>
        </w:rPr>
        <w:t>indemnité pour frais d</w:t>
      </w:r>
      <w:r w:rsidR="00F847D2" w:rsidRPr="00B75BB5">
        <w:rPr>
          <w:lang w:val="fr-FR"/>
        </w:rPr>
        <w:t>’</w:t>
      </w:r>
      <w:r w:rsidRPr="00B75BB5">
        <w:rPr>
          <w:lang w:val="fr-FR"/>
        </w:rPr>
        <w:t>étud</w:t>
      </w:r>
      <w:r w:rsidR="00FB2861" w:rsidRPr="00B75BB5">
        <w:rPr>
          <w:lang w:val="fr-FR"/>
        </w:rPr>
        <w:t>es.  Ce</w:t>
      </w:r>
      <w:r w:rsidRPr="00B75BB5">
        <w:rPr>
          <w:lang w:val="fr-FR"/>
        </w:rPr>
        <w:t xml:space="preserve"> n</w:t>
      </w:r>
      <w:r w:rsidR="00F847D2" w:rsidRPr="00B75BB5">
        <w:rPr>
          <w:lang w:val="fr-FR"/>
        </w:rPr>
        <w:t>’</w:t>
      </w:r>
      <w:r w:rsidRPr="00B75BB5">
        <w:rPr>
          <w:lang w:val="fr-FR"/>
        </w:rPr>
        <w:t>est pas parce qu</w:t>
      </w:r>
      <w:r w:rsidR="00F847D2" w:rsidRPr="00B75BB5">
        <w:rPr>
          <w:lang w:val="fr-FR"/>
        </w:rPr>
        <w:t>’</w:t>
      </w:r>
      <w:r w:rsidR="00CF2344" w:rsidRPr="00B75BB5">
        <w:rPr>
          <w:lang w:val="fr-FR"/>
        </w:rPr>
        <w:t>un</w:t>
      </w:r>
      <w:r w:rsidRPr="00B75BB5">
        <w:rPr>
          <w:lang w:val="fr-FR"/>
        </w:rPr>
        <w:t>e</w:t>
      </w:r>
      <w:r w:rsidR="00CF2344" w:rsidRPr="00B75BB5">
        <w:rPr>
          <w:lang w:val="fr-FR"/>
        </w:rPr>
        <w:t xml:space="preserve"> </w:t>
      </w:r>
      <w:r w:rsidRPr="00B75BB5">
        <w:rPr>
          <w:lang w:val="fr-FR"/>
        </w:rPr>
        <w:t>indemnité pour frais d</w:t>
      </w:r>
      <w:r w:rsidR="00F847D2" w:rsidRPr="00B75BB5">
        <w:rPr>
          <w:lang w:val="fr-FR"/>
        </w:rPr>
        <w:t>’</w:t>
      </w:r>
      <w:r w:rsidRPr="00B75BB5">
        <w:rPr>
          <w:lang w:val="fr-FR"/>
        </w:rPr>
        <w:t>études n</w:t>
      </w:r>
      <w:r w:rsidR="00F847D2" w:rsidRPr="00B75BB5">
        <w:rPr>
          <w:lang w:val="fr-FR"/>
        </w:rPr>
        <w:t>’</w:t>
      </w:r>
      <w:r w:rsidRPr="00B75BB5">
        <w:rPr>
          <w:lang w:val="fr-FR"/>
        </w:rPr>
        <w:t>entre pas dans le type de prestations donnant habituellement lieu à un droit acquis</w:t>
      </w:r>
      <w:r w:rsidR="00A764B6" w:rsidRPr="00B75BB5">
        <w:rPr>
          <w:lang w:val="fr-FR"/>
        </w:rPr>
        <w:t>,</w:t>
      </w:r>
      <w:r w:rsidRPr="00B75BB5">
        <w:rPr>
          <w:lang w:val="fr-FR"/>
        </w:rPr>
        <w:t xml:space="preserve"> mais </w:t>
      </w:r>
      <w:r w:rsidR="00CF2344" w:rsidRPr="00B75BB5">
        <w:rPr>
          <w:lang w:val="fr-FR"/>
        </w:rPr>
        <w:t xml:space="preserve">bien </w:t>
      </w:r>
      <w:r w:rsidRPr="00B75BB5">
        <w:rPr>
          <w:lang w:val="fr-FR"/>
        </w:rPr>
        <w:t>parce qu</w:t>
      </w:r>
      <w:r w:rsidR="00CF2344" w:rsidRPr="00B75BB5">
        <w:rPr>
          <w:lang w:val="fr-FR"/>
        </w:rPr>
        <w:t>e les fonctionnaires en question</w:t>
      </w:r>
      <w:r w:rsidRPr="00B75BB5">
        <w:rPr>
          <w:lang w:val="fr-FR"/>
        </w:rPr>
        <w:t xml:space="preserve"> n</w:t>
      </w:r>
      <w:r w:rsidR="00F847D2" w:rsidRPr="00B75BB5">
        <w:rPr>
          <w:lang w:val="fr-FR"/>
        </w:rPr>
        <w:t>’</w:t>
      </w:r>
      <w:r w:rsidRPr="00B75BB5">
        <w:rPr>
          <w:lang w:val="fr-FR"/>
        </w:rPr>
        <w:t xml:space="preserve">avaient pas </w:t>
      </w:r>
      <w:r w:rsidR="00412011" w:rsidRPr="00B75BB5">
        <w:rPr>
          <w:lang w:val="fr-FR"/>
        </w:rPr>
        <w:t xml:space="preserve">un </w:t>
      </w:r>
      <w:r w:rsidRPr="00B75BB5">
        <w:rPr>
          <w:lang w:val="fr-FR"/>
        </w:rPr>
        <w:t xml:space="preserve">droit </w:t>
      </w:r>
      <w:r w:rsidR="00412011" w:rsidRPr="00B75BB5">
        <w:rPr>
          <w:lang w:val="fr-FR"/>
        </w:rPr>
        <w:t xml:space="preserve">statutaire </w:t>
      </w:r>
      <w:r w:rsidRPr="00B75BB5">
        <w:rPr>
          <w:lang w:val="fr-FR"/>
        </w:rPr>
        <w:t>à une indemnité pour frais d</w:t>
      </w:r>
      <w:r w:rsidR="00F847D2" w:rsidRPr="00B75BB5">
        <w:rPr>
          <w:lang w:val="fr-FR"/>
        </w:rPr>
        <w:t>’</w:t>
      </w:r>
      <w:r w:rsidRPr="00B75BB5">
        <w:rPr>
          <w:lang w:val="fr-FR"/>
        </w:rPr>
        <w:t>études</w:t>
      </w:r>
      <w:r w:rsidR="00412011" w:rsidRPr="00B75BB5">
        <w:rPr>
          <w:lang w:val="fr-FR"/>
        </w:rPr>
        <w:t xml:space="preserve">, </w:t>
      </w:r>
      <w:r w:rsidRPr="00B75BB5">
        <w:rPr>
          <w:lang w:val="fr-FR"/>
        </w:rPr>
        <w:t>le versement de celle</w:t>
      </w:r>
      <w:r w:rsidR="00DA5099" w:rsidRPr="00B75BB5">
        <w:rPr>
          <w:lang w:val="fr-FR"/>
        </w:rPr>
        <w:noBreakHyphen/>
      </w:r>
      <w:r w:rsidRPr="00B75BB5">
        <w:rPr>
          <w:lang w:val="fr-FR"/>
        </w:rPr>
        <w:t>ci reposant simplement sur une pratique établie de longue date.</w:t>
      </w:r>
    </w:p>
    <w:p w:rsidR="00752542" w:rsidRPr="00B75BB5" w:rsidRDefault="007974E9" w:rsidP="00752542">
      <w:pPr>
        <w:pStyle w:val="ONUMFS"/>
        <w:rPr>
          <w:lang w:val="fr-FR"/>
        </w:rPr>
      </w:pPr>
      <w:r w:rsidRPr="00B75BB5">
        <w:rPr>
          <w:lang w:val="fr-FR"/>
        </w:rPr>
        <w:t>Dans ces circonstances, il est jugé approprié de supprimer l</w:t>
      </w:r>
      <w:r w:rsidR="00F847D2" w:rsidRPr="00B75BB5">
        <w:rPr>
          <w:lang w:val="fr-FR"/>
        </w:rPr>
        <w:t>’</w:t>
      </w:r>
      <w:r w:rsidRPr="00B75BB5">
        <w:rPr>
          <w:lang w:val="fr-FR"/>
        </w:rPr>
        <w:t>article</w:t>
      </w:r>
      <w:r w:rsidR="00C4674D" w:rsidRPr="00B75BB5">
        <w:rPr>
          <w:lang w:val="fr-FR"/>
        </w:rPr>
        <w:t> </w:t>
      </w:r>
      <w:r w:rsidRPr="00B75BB5">
        <w:rPr>
          <w:lang w:val="fr-FR"/>
        </w:rPr>
        <w:t>3.14</w:t>
      </w:r>
      <w:r w:rsidR="00412011" w:rsidRPr="00B75BB5">
        <w:rPr>
          <w:lang w:val="fr-FR"/>
        </w:rPr>
        <w:t>.f)</w:t>
      </w:r>
      <w:r w:rsidRPr="00B75BB5">
        <w:rPr>
          <w:lang w:val="fr-FR"/>
        </w:rPr>
        <w:t xml:space="preserve"> du Statut et Règlement du personnel de l</w:t>
      </w:r>
      <w:r w:rsidR="00F847D2" w:rsidRPr="00B75BB5">
        <w:rPr>
          <w:lang w:val="fr-FR"/>
        </w:rPr>
        <w:t>’</w:t>
      </w:r>
      <w:r w:rsidRPr="00B75BB5">
        <w:rPr>
          <w:lang w:val="fr-FR"/>
        </w:rPr>
        <w:t xml:space="preserve">OMPI, </w:t>
      </w:r>
      <w:r w:rsidR="00C4674D" w:rsidRPr="00B75BB5">
        <w:rPr>
          <w:lang w:val="fr-FR"/>
        </w:rPr>
        <w:t>avec effet au</w:t>
      </w:r>
      <w:r w:rsidR="00F847D2" w:rsidRPr="00B75BB5">
        <w:rPr>
          <w:lang w:val="fr-FR"/>
        </w:rPr>
        <w:t xml:space="preserve"> 1</w:t>
      </w:r>
      <w:r w:rsidR="00F847D2" w:rsidRPr="00B75BB5">
        <w:rPr>
          <w:vertAlign w:val="superscript"/>
          <w:lang w:val="fr-FR"/>
        </w:rPr>
        <w:t>er</w:t>
      </w:r>
      <w:r w:rsidR="00F847D2" w:rsidRPr="00B75BB5">
        <w:rPr>
          <w:lang w:val="fr-FR"/>
        </w:rPr>
        <w:t> </w:t>
      </w:r>
      <w:r w:rsidRPr="00B75BB5">
        <w:rPr>
          <w:lang w:val="fr-FR"/>
        </w:rPr>
        <w:t>janvier</w:t>
      </w:r>
      <w:r w:rsidR="00C4674D" w:rsidRPr="00B75BB5">
        <w:rPr>
          <w:lang w:val="fr-FR"/>
        </w:rPr>
        <w:t> </w:t>
      </w:r>
      <w:r w:rsidRPr="00B75BB5">
        <w:rPr>
          <w:lang w:val="fr-FR"/>
        </w:rPr>
        <w:t>2017.</w:t>
      </w:r>
    </w:p>
    <w:p w:rsidR="00255436" w:rsidRPr="00B75BB5" w:rsidRDefault="007974E9" w:rsidP="007974E9">
      <w:pPr>
        <w:pStyle w:val="ListParagraph"/>
        <w:ind w:hanging="153"/>
        <w:rPr>
          <w:u w:val="single"/>
          <w:lang w:val="fr-FR"/>
        </w:rPr>
      </w:pPr>
      <w:r w:rsidRPr="00B75BB5">
        <w:rPr>
          <w:u w:val="single"/>
          <w:lang w:val="fr-FR"/>
        </w:rPr>
        <w:t>Abandon légal de la pratique</w:t>
      </w:r>
    </w:p>
    <w:p w:rsidR="00255436" w:rsidRPr="00B75BB5" w:rsidRDefault="00255436" w:rsidP="00B75BB5">
      <w:pPr>
        <w:rPr>
          <w:lang w:val="fr-FR"/>
        </w:rPr>
      </w:pPr>
    </w:p>
    <w:p w:rsidR="00752542" w:rsidRPr="00B75BB5" w:rsidRDefault="007974E9" w:rsidP="00752542">
      <w:pPr>
        <w:pStyle w:val="ONUMFS"/>
        <w:rPr>
          <w:lang w:val="fr-FR"/>
        </w:rPr>
      </w:pPr>
      <w:r w:rsidRPr="00B75BB5">
        <w:rPr>
          <w:lang w:val="fr-FR"/>
        </w:rPr>
        <w:t>S</w:t>
      </w:r>
      <w:r w:rsidR="00F847D2" w:rsidRPr="00B75BB5">
        <w:rPr>
          <w:lang w:val="fr-FR"/>
        </w:rPr>
        <w:t>’</w:t>
      </w:r>
      <w:r w:rsidRPr="00B75BB5">
        <w:rPr>
          <w:lang w:val="fr-FR"/>
        </w:rPr>
        <w:t>il peut être mis fin légalement à la pratique,</w:t>
      </w:r>
      <w:r w:rsidR="00F847D2" w:rsidRPr="00B75BB5">
        <w:rPr>
          <w:lang w:val="fr-FR"/>
        </w:rPr>
        <w:t xml:space="preserve"> le TAO</w:t>
      </w:r>
      <w:r w:rsidRPr="00B75BB5">
        <w:rPr>
          <w:lang w:val="fr-FR"/>
        </w:rPr>
        <w:t>IT a indiqué clairement que le changement ne devait pas s</w:t>
      </w:r>
      <w:r w:rsidR="00F847D2" w:rsidRPr="00B75BB5">
        <w:rPr>
          <w:lang w:val="fr-FR"/>
        </w:rPr>
        <w:t>’</w:t>
      </w:r>
      <w:r w:rsidRPr="00B75BB5">
        <w:rPr>
          <w:lang w:val="fr-FR"/>
        </w:rPr>
        <w:t>appliquer rétroactivement et qu</w:t>
      </w:r>
      <w:r w:rsidR="00F847D2" w:rsidRPr="00B75BB5">
        <w:rPr>
          <w:lang w:val="fr-FR"/>
        </w:rPr>
        <w:t>’</w:t>
      </w:r>
      <w:r w:rsidRPr="00B75BB5">
        <w:rPr>
          <w:lang w:val="fr-FR"/>
        </w:rPr>
        <w:t>il devait être porté à la connaissance des fonctionnaires</w:t>
      </w:r>
      <w:r w:rsidRPr="00B75BB5">
        <w:rPr>
          <w:rStyle w:val="FootnoteReference"/>
          <w:lang w:val="fr-FR"/>
        </w:rPr>
        <w:footnoteReference w:id="18"/>
      </w:r>
      <w:r w:rsidRPr="00B75BB5">
        <w:rPr>
          <w:lang w:val="fr-FR"/>
        </w:rPr>
        <w:t>.</w:t>
      </w:r>
      <w:r w:rsidR="00A83ABB" w:rsidRPr="00B75BB5">
        <w:rPr>
          <w:lang w:val="fr-FR"/>
        </w:rPr>
        <w:t xml:space="preserve">  </w:t>
      </w:r>
      <w:r w:rsidR="006F4611" w:rsidRPr="00B75BB5">
        <w:rPr>
          <w:lang w:val="fr-FR"/>
        </w:rPr>
        <w:t>Ces conditions préalables à l</w:t>
      </w:r>
      <w:r w:rsidR="00F847D2" w:rsidRPr="00B75BB5">
        <w:rPr>
          <w:lang w:val="fr-FR"/>
        </w:rPr>
        <w:t>’</w:t>
      </w:r>
      <w:r w:rsidR="006F4611" w:rsidRPr="00B75BB5">
        <w:rPr>
          <w:lang w:val="fr-FR"/>
        </w:rPr>
        <w:t>abandon légal d</w:t>
      </w:r>
      <w:r w:rsidR="00F847D2" w:rsidRPr="00B75BB5">
        <w:rPr>
          <w:lang w:val="fr-FR"/>
        </w:rPr>
        <w:t>’</w:t>
      </w:r>
      <w:r w:rsidR="006F4611" w:rsidRPr="00B75BB5">
        <w:rPr>
          <w:lang w:val="fr-FR"/>
        </w:rPr>
        <w:t>une pratique découlent des principes de bonne foi et d</w:t>
      </w:r>
      <w:r w:rsidR="00F847D2" w:rsidRPr="00B75BB5">
        <w:rPr>
          <w:lang w:val="fr-FR"/>
        </w:rPr>
        <w:t>’</w:t>
      </w:r>
      <w:r w:rsidR="006F4611" w:rsidRPr="00B75BB5">
        <w:rPr>
          <w:lang w:val="fr-FR"/>
        </w:rPr>
        <w:t>acte loyal, qui f</w:t>
      </w:r>
      <w:r w:rsidR="00412011" w:rsidRPr="00B75BB5">
        <w:rPr>
          <w:lang w:val="fr-FR"/>
        </w:rPr>
        <w:t xml:space="preserve">ont </w:t>
      </w:r>
      <w:r w:rsidR="006F4611" w:rsidRPr="00B75BB5">
        <w:rPr>
          <w:lang w:val="fr-FR"/>
        </w:rPr>
        <w:t>en sorte que les fonctionnaires effectuent leurs choix et prennent leurs décisions en étant pleinement informés</w:t>
      </w:r>
      <w:r w:rsidR="006F4611" w:rsidRPr="00B75BB5">
        <w:rPr>
          <w:rStyle w:val="FootnoteReference"/>
          <w:lang w:val="fr-FR"/>
        </w:rPr>
        <w:footnoteReference w:id="19"/>
      </w:r>
      <w:r w:rsidR="006F4611" w:rsidRPr="00B75BB5">
        <w:rPr>
          <w:lang w:val="fr-FR"/>
        </w:rPr>
        <w:t>.</w:t>
      </w:r>
    </w:p>
    <w:p w:rsidR="00752542" w:rsidRPr="00B75BB5" w:rsidRDefault="006D50F5" w:rsidP="00752542">
      <w:pPr>
        <w:pStyle w:val="ONUMFS"/>
        <w:rPr>
          <w:lang w:val="fr-FR"/>
        </w:rPr>
      </w:pPr>
      <w:r w:rsidRPr="00B75BB5">
        <w:rPr>
          <w:lang w:val="fr-FR"/>
        </w:rPr>
        <w:t>En ce qui concerne la notification requise, il convient de se référer à un jugement relativement récent, dans lequel</w:t>
      </w:r>
      <w:r w:rsidR="00F847D2" w:rsidRPr="00B75BB5">
        <w:rPr>
          <w:lang w:val="fr-FR"/>
        </w:rPr>
        <w:t xml:space="preserve"> le TAO</w:t>
      </w:r>
      <w:r w:rsidRPr="00B75BB5">
        <w:rPr>
          <w:lang w:val="fr-FR"/>
        </w:rPr>
        <w:t>IT a eu l</w:t>
      </w:r>
      <w:r w:rsidR="00F847D2" w:rsidRPr="00B75BB5">
        <w:rPr>
          <w:lang w:val="fr-FR"/>
        </w:rPr>
        <w:t>’</w:t>
      </w:r>
      <w:r w:rsidRPr="00B75BB5">
        <w:rPr>
          <w:lang w:val="fr-FR"/>
        </w:rPr>
        <w:t>occasion de statuer sur la validité de la décision prise par une organisation de mettre fin au versement d</w:t>
      </w:r>
      <w:r w:rsidR="00F847D2" w:rsidRPr="00B75BB5">
        <w:rPr>
          <w:lang w:val="fr-FR"/>
        </w:rPr>
        <w:t>’</w:t>
      </w:r>
      <w:r w:rsidRPr="00B75BB5">
        <w:rPr>
          <w:lang w:val="fr-FR"/>
        </w:rPr>
        <w:t>une indemnité d</w:t>
      </w:r>
      <w:r w:rsidR="00F847D2" w:rsidRPr="00B75BB5">
        <w:rPr>
          <w:lang w:val="fr-FR"/>
        </w:rPr>
        <w:t>’</w:t>
      </w:r>
      <w:r w:rsidRPr="00B75BB5">
        <w:rPr>
          <w:lang w:val="fr-FR"/>
        </w:rPr>
        <w:t>éducation en faveur de fonctionnaires binationaux, au motif que les indemnités antérieures leur avaient été attribuées à to</w:t>
      </w:r>
      <w:r w:rsidR="00FB2861" w:rsidRPr="00B75BB5">
        <w:rPr>
          <w:lang w:val="fr-FR"/>
        </w:rPr>
        <w:t>rt.  L’o</w:t>
      </w:r>
      <w:r w:rsidRPr="00B75BB5">
        <w:rPr>
          <w:lang w:val="fr-FR"/>
        </w:rPr>
        <w:t>rganisation avait avisé le requérant qu</w:t>
      </w:r>
      <w:r w:rsidR="00F847D2" w:rsidRPr="00B75BB5">
        <w:rPr>
          <w:lang w:val="fr-FR"/>
        </w:rPr>
        <w:t>’</w:t>
      </w:r>
      <w:r w:rsidRPr="00B75BB5">
        <w:rPr>
          <w:lang w:val="fr-FR"/>
        </w:rPr>
        <w:t>il cesserait de percevoir l</w:t>
      </w:r>
      <w:r w:rsidR="00F847D2" w:rsidRPr="00B75BB5">
        <w:rPr>
          <w:lang w:val="fr-FR"/>
        </w:rPr>
        <w:t>’</w:t>
      </w:r>
      <w:r w:rsidRPr="00B75BB5">
        <w:rPr>
          <w:lang w:val="fr-FR"/>
        </w:rPr>
        <w:t>indemnité d</w:t>
      </w:r>
      <w:r w:rsidR="00F847D2" w:rsidRPr="00B75BB5">
        <w:rPr>
          <w:lang w:val="fr-FR"/>
        </w:rPr>
        <w:t>’</w:t>
      </w:r>
      <w:r w:rsidRPr="00B75BB5">
        <w:rPr>
          <w:lang w:val="fr-FR"/>
        </w:rPr>
        <w:t>éducation pour la prochaine année scolaire</w:t>
      </w:r>
      <w:r w:rsidR="0094408B" w:rsidRPr="00B75BB5">
        <w:rPr>
          <w:lang w:val="fr-FR"/>
        </w:rPr>
        <w:t>,</w:t>
      </w:r>
      <w:r w:rsidRPr="00B75BB5">
        <w:rPr>
          <w:lang w:val="fr-FR"/>
        </w:rPr>
        <w:t xml:space="preserve"> car celle</w:t>
      </w:r>
      <w:r w:rsidR="00DA5099" w:rsidRPr="00B75BB5">
        <w:rPr>
          <w:lang w:val="fr-FR"/>
        </w:rPr>
        <w:noBreakHyphen/>
      </w:r>
      <w:r w:rsidRPr="00B75BB5">
        <w:rPr>
          <w:lang w:val="fr-FR"/>
        </w:rPr>
        <w:t>ci lui avait été versée par erre</w:t>
      </w:r>
      <w:r w:rsidR="00FB2861" w:rsidRPr="00B75BB5">
        <w:rPr>
          <w:lang w:val="fr-FR"/>
        </w:rPr>
        <w:t>ur.  Le</w:t>
      </w:r>
      <w:r w:rsidR="00165D4A" w:rsidRPr="00B75BB5">
        <w:rPr>
          <w:lang w:val="fr-FR"/>
        </w:rPr>
        <w:t xml:space="preserve"> requérant a </w:t>
      </w:r>
      <w:r w:rsidR="0051598B" w:rsidRPr="00B75BB5">
        <w:rPr>
          <w:lang w:val="fr-FR"/>
        </w:rPr>
        <w:t>formé</w:t>
      </w:r>
      <w:r w:rsidR="00165D4A" w:rsidRPr="00B75BB5">
        <w:rPr>
          <w:lang w:val="fr-FR"/>
        </w:rPr>
        <w:t xml:space="preserve"> un recours interne, </w:t>
      </w:r>
      <w:r w:rsidR="00F847D2" w:rsidRPr="00B75BB5">
        <w:rPr>
          <w:lang w:val="fr-FR"/>
        </w:rPr>
        <w:t>à l’égard</w:t>
      </w:r>
      <w:r w:rsidR="00165D4A" w:rsidRPr="00B75BB5">
        <w:rPr>
          <w:lang w:val="fr-FR"/>
        </w:rPr>
        <w:t xml:space="preserve"> duquel une nouvelle décision a été rendue recommandant de verser l</w:t>
      </w:r>
      <w:r w:rsidR="00F847D2" w:rsidRPr="00B75BB5">
        <w:rPr>
          <w:lang w:val="fr-FR"/>
        </w:rPr>
        <w:t>’</w:t>
      </w:r>
      <w:r w:rsidR="00165D4A" w:rsidRPr="00B75BB5">
        <w:rPr>
          <w:lang w:val="fr-FR"/>
        </w:rPr>
        <w:t>indemnité jusqu</w:t>
      </w:r>
      <w:r w:rsidR="00F847D2" w:rsidRPr="00B75BB5">
        <w:rPr>
          <w:lang w:val="fr-FR"/>
        </w:rPr>
        <w:t>’</w:t>
      </w:r>
      <w:r w:rsidR="00165D4A" w:rsidRPr="00B75BB5">
        <w:rPr>
          <w:lang w:val="fr-FR"/>
        </w:rPr>
        <w:t>à la fin du cycle scolaire de son enfant à charge</w:t>
      </w:r>
      <w:r w:rsidR="00165D4A" w:rsidRPr="00B75BB5">
        <w:rPr>
          <w:rStyle w:val="FootnoteReference"/>
          <w:lang w:val="fr-FR"/>
        </w:rPr>
        <w:footnoteReference w:id="20"/>
      </w:r>
      <w:r w:rsidR="00165D4A" w:rsidRPr="00B75BB5">
        <w:rPr>
          <w:lang w:val="fr-FR"/>
        </w:rPr>
        <w:t>.</w:t>
      </w:r>
      <w:r w:rsidR="005D45F4" w:rsidRPr="00B75BB5">
        <w:rPr>
          <w:lang w:val="fr-FR"/>
        </w:rPr>
        <w:t xml:space="preserve">  </w:t>
      </w:r>
      <w:r w:rsidR="00F17E5F" w:rsidRPr="00B75BB5">
        <w:rPr>
          <w:lang w:val="fr-FR"/>
        </w:rPr>
        <w:t>En confirmant la légalité de la décision de ne plus verser d</w:t>
      </w:r>
      <w:r w:rsidR="00F847D2" w:rsidRPr="00B75BB5">
        <w:rPr>
          <w:lang w:val="fr-FR"/>
        </w:rPr>
        <w:t>’</w:t>
      </w:r>
      <w:r w:rsidR="00F17E5F" w:rsidRPr="00B75BB5">
        <w:rPr>
          <w:lang w:val="fr-FR"/>
        </w:rPr>
        <w:t>indemnité d</w:t>
      </w:r>
      <w:r w:rsidR="00F847D2" w:rsidRPr="00B75BB5">
        <w:rPr>
          <w:lang w:val="fr-FR"/>
        </w:rPr>
        <w:t>’</w:t>
      </w:r>
      <w:r w:rsidR="00F17E5F" w:rsidRPr="00B75BB5">
        <w:rPr>
          <w:lang w:val="fr-FR"/>
        </w:rPr>
        <w:t>éducation,</w:t>
      </w:r>
      <w:r w:rsidR="00F847D2" w:rsidRPr="00B75BB5">
        <w:rPr>
          <w:lang w:val="fr-FR"/>
        </w:rPr>
        <w:t xml:space="preserve"> le TAO</w:t>
      </w:r>
      <w:r w:rsidR="00F17E5F" w:rsidRPr="00B75BB5">
        <w:rPr>
          <w:lang w:val="fr-FR"/>
        </w:rPr>
        <w:t>IT a considéré qu</w:t>
      </w:r>
      <w:r w:rsidR="00F847D2" w:rsidRPr="00B75BB5">
        <w:rPr>
          <w:lang w:val="fr-FR"/>
        </w:rPr>
        <w:t>’</w:t>
      </w:r>
      <w:r w:rsidR="00F17E5F" w:rsidRPr="00B75BB5">
        <w:rPr>
          <w:lang w:val="fr-FR"/>
        </w:rPr>
        <w:t>il n</w:t>
      </w:r>
      <w:r w:rsidR="00F847D2" w:rsidRPr="00B75BB5">
        <w:rPr>
          <w:lang w:val="fr-FR"/>
        </w:rPr>
        <w:t>’</w:t>
      </w:r>
      <w:r w:rsidR="00F17E5F" w:rsidRPr="00B75BB5">
        <w:rPr>
          <w:lang w:val="fr-FR"/>
        </w:rPr>
        <w:t>y avait pas eu violation d</w:t>
      </w:r>
      <w:r w:rsidR="00F847D2" w:rsidRPr="00B75BB5">
        <w:rPr>
          <w:lang w:val="fr-FR"/>
        </w:rPr>
        <w:t>’</w:t>
      </w:r>
      <w:r w:rsidR="00F17E5F" w:rsidRPr="00B75BB5">
        <w:rPr>
          <w:lang w:val="fr-FR"/>
        </w:rPr>
        <w:t>un droit acquis ou de la confiance légitime que le requérant eût pu avoir dans le maintien de la situation antérieu</w:t>
      </w:r>
      <w:r w:rsidR="00FB2861" w:rsidRPr="00B75BB5">
        <w:rPr>
          <w:lang w:val="fr-FR"/>
        </w:rPr>
        <w:t>re.  En</w:t>
      </w:r>
      <w:r w:rsidR="00F17E5F" w:rsidRPr="00B75BB5">
        <w:rPr>
          <w:lang w:val="fr-FR"/>
        </w:rPr>
        <w:t xml:space="preserve"> outre,</w:t>
      </w:r>
      <w:r w:rsidR="00F847D2" w:rsidRPr="00B75BB5">
        <w:rPr>
          <w:lang w:val="fr-FR"/>
        </w:rPr>
        <w:t xml:space="preserve"> le TAO</w:t>
      </w:r>
      <w:r w:rsidR="00F17E5F" w:rsidRPr="00B75BB5">
        <w:rPr>
          <w:lang w:val="fr-FR"/>
        </w:rPr>
        <w:t>IT a relevé, avec satisfaction, que l</w:t>
      </w:r>
      <w:r w:rsidR="00F847D2" w:rsidRPr="00B75BB5">
        <w:rPr>
          <w:lang w:val="fr-FR"/>
        </w:rPr>
        <w:t>’</w:t>
      </w:r>
      <w:r w:rsidR="00F17E5F" w:rsidRPr="00B75BB5">
        <w:rPr>
          <w:lang w:val="fr-FR"/>
        </w:rPr>
        <w:t>organisation en question n</w:t>
      </w:r>
      <w:r w:rsidR="00F847D2" w:rsidRPr="00B75BB5">
        <w:rPr>
          <w:lang w:val="fr-FR"/>
        </w:rPr>
        <w:t>’</w:t>
      </w:r>
      <w:r w:rsidR="00F17E5F" w:rsidRPr="00B75BB5">
        <w:rPr>
          <w:lang w:val="fr-FR"/>
        </w:rPr>
        <w:t>avait pas procédé à la suppression immédiate du versement de l</w:t>
      </w:r>
      <w:r w:rsidR="00F847D2" w:rsidRPr="00B75BB5">
        <w:rPr>
          <w:lang w:val="fr-FR"/>
        </w:rPr>
        <w:t>’</w:t>
      </w:r>
      <w:r w:rsidR="00F17E5F" w:rsidRPr="00B75BB5">
        <w:rPr>
          <w:lang w:val="fr-FR"/>
        </w:rPr>
        <w:t>indemnité</w:t>
      </w:r>
      <w:r w:rsidR="00F17E5F" w:rsidRPr="00B75BB5">
        <w:rPr>
          <w:rStyle w:val="FootnoteReference"/>
          <w:lang w:val="fr-FR"/>
        </w:rPr>
        <w:footnoteReference w:id="21"/>
      </w:r>
      <w:r w:rsidR="00F17E5F" w:rsidRPr="00B75BB5">
        <w:rPr>
          <w:lang w:val="fr-FR"/>
        </w:rPr>
        <w:t>, mais avait attendu que l</w:t>
      </w:r>
      <w:r w:rsidR="00F847D2" w:rsidRPr="00B75BB5">
        <w:rPr>
          <w:lang w:val="fr-FR"/>
        </w:rPr>
        <w:t>’</w:t>
      </w:r>
      <w:r w:rsidR="00F17E5F" w:rsidRPr="00B75BB5">
        <w:rPr>
          <w:lang w:val="fr-FR"/>
        </w:rPr>
        <w:t>enfant ait terminé son cycle scolaire.</w:t>
      </w:r>
    </w:p>
    <w:p w:rsidR="00255436" w:rsidRPr="00B75BB5" w:rsidRDefault="00752542" w:rsidP="00752542">
      <w:pPr>
        <w:pStyle w:val="Heading1"/>
      </w:pPr>
      <w:r w:rsidRPr="00B75BB5">
        <w:t>Mesures transitoires</w:t>
      </w:r>
    </w:p>
    <w:p w:rsidR="00255436" w:rsidRPr="00B75BB5" w:rsidRDefault="00255436" w:rsidP="001D7BF2">
      <w:pPr>
        <w:pStyle w:val="ListParagraph"/>
        <w:widowControl w:val="0"/>
        <w:ind w:left="0"/>
        <w:rPr>
          <w:lang w:val="fr-FR"/>
        </w:rPr>
      </w:pPr>
    </w:p>
    <w:p w:rsidR="00752542" w:rsidRPr="00B75BB5" w:rsidRDefault="00B04FD8" w:rsidP="00752542">
      <w:pPr>
        <w:pStyle w:val="ONUMFS"/>
        <w:rPr>
          <w:lang w:val="fr-FR"/>
        </w:rPr>
      </w:pPr>
      <w:r w:rsidRPr="00B75BB5">
        <w:rPr>
          <w:lang w:val="fr-FR"/>
        </w:rPr>
        <w:t>Il est estimé que l</w:t>
      </w:r>
      <w:r w:rsidR="00F847D2" w:rsidRPr="00B75BB5">
        <w:rPr>
          <w:lang w:val="fr-FR"/>
        </w:rPr>
        <w:t>’</w:t>
      </w:r>
      <w:r w:rsidRPr="00B75BB5">
        <w:rPr>
          <w:lang w:val="fr-FR"/>
        </w:rPr>
        <w:t>approche adoptée par l</w:t>
      </w:r>
      <w:r w:rsidR="00F847D2" w:rsidRPr="00B75BB5">
        <w:rPr>
          <w:lang w:val="fr-FR"/>
        </w:rPr>
        <w:t>’</w:t>
      </w:r>
      <w:r w:rsidRPr="00B75BB5">
        <w:rPr>
          <w:lang w:val="fr-FR"/>
        </w:rPr>
        <w:t>organisation en question au paragraphe précédent est irréprochable (comme l</w:t>
      </w:r>
      <w:r w:rsidR="00F847D2" w:rsidRPr="00B75BB5">
        <w:rPr>
          <w:lang w:val="fr-FR"/>
        </w:rPr>
        <w:t>’</w:t>
      </w:r>
      <w:r w:rsidRPr="00B75BB5">
        <w:rPr>
          <w:lang w:val="fr-FR"/>
        </w:rPr>
        <w:t>a confirmé</w:t>
      </w:r>
      <w:r w:rsidR="00F847D2" w:rsidRPr="00B75BB5">
        <w:rPr>
          <w:lang w:val="fr-FR"/>
        </w:rPr>
        <w:t xml:space="preserve"> le TAO</w:t>
      </w:r>
      <w:r w:rsidRPr="00B75BB5">
        <w:rPr>
          <w:lang w:val="fr-FR"/>
        </w:rPr>
        <w:t>IT), dès lors que, d</w:t>
      </w:r>
      <w:r w:rsidR="00F847D2" w:rsidRPr="00B75BB5">
        <w:rPr>
          <w:lang w:val="fr-FR"/>
        </w:rPr>
        <w:t>’</w:t>
      </w:r>
      <w:r w:rsidRPr="00B75BB5">
        <w:rPr>
          <w:lang w:val="fr-FR"/>
        </w:rPr>
        <w:t>une manière générale, la décision d</w:t>
      </w:r>
      <w:r w:rsidR="00F847D2" w:rsidRPr="00B75BB5">
        <w:rPr>
          <w:lang w:val="fr-FR"/>
        </w:rPr>
        <w:t>’</w:t>
      </w:r>
      <w:r w:rsidRPr="00B75BB5">
        <w:rPr>
          <w:lang w:val="fr-FR"/>
        </w:rPr>
        <w:t>inscrire un enfant dans un établissement d</w:t>
      </w:r>
      <w:r w:rsidR="00F847D2" w:rsidRPr="00B75BB5">
        <w:rPr>
          <w:lang w:val="fr-FR"/>
        </w:rPr>
        <w:t>’</w:t>
      </w:r>
      <w:r w:rsidRPr="00B75BB5">
        <w:rPr>
          <w:lang w:val="fr-FR"/>
        </w:rPr>
        <w:t>enseignement particulier constitue un engagement à (plus) long terme (c</w:t>
      </w:r>
      <w:r w:rsidR="00F847D2" w:rsidRPr="00B75BB5">
        <w:rPr>
          <w:lang w:val="fr-FR"/>
        </w:rPr>
        <w:t>’</w:t>
      </w:r>
      <w:r w:rsidRPr="00B75BB5">
        <w:rPr>
          <w:lang w:val="fr-FR"/>
        </w:rPr>
        <w:t>est</w:t>
      </w:r>
      <w:r w:rsidR="00DA5099" w:rsidRPr="00B75BB5">
        <w:rPr>
          <w:lang w:val="fr-FR"/>
        </w:rPr>
        <w:noBreakHyphen/>
      </w:r>
      <w:r w:rsidRPr="00B75BB5">
        <w:rPr>
          <w:lang w:val="fr-FR"/>
        </w:rPr>
        <w:t>à</w:t>
      </w:r>
      <w:r w:rsidR="00DA5099" w:rsidRPr="00B75BB5">
        <w:rPr>
          <w:lang w:val="fr-FR"/>
        </w:rPr>
        <w:noBreakHyphen/>
      </w:r>
      <w:r w:rsidRPr="00B75BB5">
        <w:rPr>
          <w:lang w:val="fr-FR"/>
        </w:rPr>
        <w:t>dire pas seulement pour une année scolaire), pris dans l</w:t>
      </w:r>
      <w:r w:rsidR="00F847D2" w:rsidRPr="00B75BB5">
        <w:rPr>
          <w:lang w:val="fr-FR"/>
        </w:rPr>
        <w:t>’</w:t>
      </w:r>
      <w:r w:rsidRPr="00B75BB5">
        <w:rPr>
          <w:lang w:val="fr-FR"/>
        </w:rPr>
        <w:t>attente que l</w:t>
      </w:r>
      <w:r w:rsidR="00F847D2" w:rsidRPr="00B75BB5">
        <w:rPr>
          <w:lang w:val="fr-FR"/>
        </w:rPr>
        <w:t>’</w:t>
      </w:r>
      <w:r w:rsidRPr="00B75BB5">
        <w:rPr>
          <w:lang w:val="fr-FR"/>
        </w:rPr>
        <w:t>enfant termine son cycle scolaire dans cet établissement (qu</w:t>
      </w:r>
      <w:r w:rsidR="00F847D2" w:rsidRPr="00B75BB5">
        <w:rPr>
          <w:lang w:val="fr-FR"/>
        </w:rPr>
        <w:t>’</w:t>
      </w:r>
      <w:r w:rsidRPr="00B75BB5">
        <w:rPr>
          <w:lang w:val="fr-FR"/>
        </w:rPr>
        <w:t xml:space="preserve">il </w:t>
      </w:r>
      <w:r w:rsidRPr="00B75BB5">
        <w:rPr>
          <w:lang w:val="fr-FR"/>
        </w:rPr>
        <w:lastRenderedPageBreak/>
        <w:t>s</w:t>
      </w:r>
      <w:r w:rsidR="00F847D2" w:rsidRPr="00B75BB5">
        <w:rPr>
          <w:lang w:val="fr-FR"/>
        </w:rPr>
        <w:t>’</w:t>
      </w:r>
      <w:r w:rsidRPr="00B75BB5">
        <w:rPr>
          <w:lang w:val="fr-FR"/>
        </w:rPr>
        <w:t>agisse du cycle primaire, secondaire ou postsecondai</w:t>
      </w:r>
      <w:r w:rsidR="00FB2861" w:rsidRPr="00B75BB5">
        <w:rPr>
          <w:lang w:val="fr-FR"/>
        </w:rPr>
        <w:t>re).  Si</w:t>
      </w:r>
      <w:r w:rsidRPr="00B75BB5">
        <w:rPr>
          <w:lang w:val="fr-FR"/>
        </w:rPr>
        <w:t xml:space="preserve"> les fonctionnaires avaient su qu</w:t>
      </w:r>
      <w:r w:rsidR="00F847D2" w:rsidRPr="00B75BB5">
        <w:rPr>
          <w:lang w:val="fr-FR"/>
        </w:rPr>
        <w:t>’</w:t>
      </w:r>
      <w:r w:rsidRPr="00B75BB5">
        <w:rPr>
          <w:lang w:val="fr-FR"/>
        </w:rPr>
        <w:t>il serait mis fin au versement de l</w:t>
      </w:r>
      <w:r w:rsidR="00F847D2" w:rsidRPr="00B75BB5">
        <w:rPr>
          <w:lang w:val="fr-FR"/>
        </w:rPr>
        <w:t>’</w:t>
      </w:r>
      <w:r w:rsidRPr="00B75BB5">
        <w:rPr>
          <w:lang w:val="fr-FR"/>
        </w:rPr>
        <w:t>indemnité pour frais d</w:t>
      </w:r>
      <w:r w:rsidR="00F847D2" w:rsidRPr="00B75BB5">
        <w:rPr>
          <w:lang w:val="fr-FR"/>
        </w:rPr>
        <w:t>’</w:t>
      </w:r>
      <w:r w:rsidRPr="00B75BB5">
        <w:rPr>
          <w:lang w:val="fr-FR"/>
        </w:rPr>
        <w:t xml:space="preserve">études avant que leur enfant ait terminé un cycle </w:t>
      </w:r>
      <w:r w:rsidR="00255436" w:rsidRPr="00B75BB5">
        <w:rPr>
          <w:lang w:val="fr-FR"/>
        </w:rPr>
        <w:t>d</w:t>
      </w:r>
      <w:r w:rsidR="00F847D2" w:rsidRPr="00B75BB5">
        <w:rPr>
          <w:lang w:val="fr-FR"/>
        </w:rPr>
        <w:t>’</w:t>
      </w:r>
      <w:r w:rsidR="00255436" w:rsidRPr="00B75BB5">
        <w:rPr>
          <w:lang w:val="fr-FR"/>
        </w:rPr>
        <w:t>enseignement</w:t>
      </w:r>
      <w:r w:rsidRPr="00B75BB5">
        <w:rPr>
          <w:lang w:val="fr-FR"/>
        </w:rPr>
        <w:t xml:space="preserve"> donné, ils auraient peut</w:t>
      </w:r>
      <w:r w:rsidR="00DA5099" w:rsidRPr="00B75BB5">
        <w:rPr>
          <w:lang w:val="fr-FR"/>
        </w:rPr>
        <w:noBreakHyphen/>
      </w:r>
      <w:r w:rsidRPr="00B75BB5">
        <w:rPr>
          <w:lang w:val="fr-FR"/>
        </w:rPr>
        <w:t>être fait des choix différents au moment d</w:t>
      </w:r>
      <w:r w:rsidR="00B765AA" w:rsidRPr="00B75BB5">
        <w:rPr>
          <w:lang w:val="fr-FR"/>
        </w:rPr>
        <w:t xml:space="preserve">e son </w:t>
      </w:r>
      <w:r w:rsidRPr="00B75BB5">
        <w:rPr>
          <w:lang w:val="fr-FR"/>
        </w:rPr>
        <w:t>inscri</w:t>
      </w:r>
      <w:r w:rsidR="00B765AA" w:rsidRPr="00B75BB5">
        <w:rPr>
          <w:lang w:val="fr-FR"/>
        </w:rPr>
        <w:t>ption</w:t>
      </w:r>
      <w:r w:rsidRPr="00B75BB5">
        <w:rPr>
          <w:lang w:val="fr-FR"/>
        </w:rPr>
        <w:t>.</w:t>
      </w:r>
    </w:p>
    <w:p w:rsidR="00752542" w:rsidRPr="00B75BB5" w:rsidRDefault="00B04FD8" w:rsidP="00752542">
      <w:pPr>
        <w:pStyle w:val="ONUMFS"/>
        <w:rPr>
          <w:lang w:val="fr-FR"/>
        </w:rPr>
      </w:pPr>
      <w:r w:rsidRPr="00B75BB5">
        <w:rPr>
          <w:lang w:val="fr-FR"/>
        </w:rPr>
        <w:t>Il est donc jugé approprié d</w:t>
      </w:r>
      <w:r w:rsidR="00F847D2" w:rsidRPr="00B75BB5">
        <w:rPr>
          <w:lang w:val="fr-FR"/>
        </w:rPr>
        <w:t>’</w:t>
      </w:r>
      <w:r w:rsidRPr="00B75BB5">
        <w:rPr>
          <w:lang w:val="fr-FR"/>
        </w:rPr>
        <w:t>in</w:t>
      </w:r>
      <w:r w:rsidR="00B765AA" w:rsidRPr="00B75BB5">
        <w:rPr>
          <w:lang w:val="fr-FR"/>
        </w:rPr>
        <w:t>sérer</w:t>
      </w:r>
      <w:r w:rsidRPr="00B75BB5">
        <w:rPr>
          <w:lang w:val="fr-FR"/>
        </w:rPr>
        <w:t xml:space="preserve"> la mesure transitoire suivante dans le Statut et Règlement du personnel de l</w:t>
      </w:r>
      <w:r w:rsidR="00F847D2" w:rsidRPr="00B75BB5">
        <w:rPr>
          <w:lang w:val="fr-FR"/>
        </w:rPr>
        <w:t>’</w:t>
      </w:r>
      <w:r w:rsidRPr="00B75BB5">
        <w:rPr>
          <w:lang w:val="fr-FR"/>
        </w:rPr>
        <w:t>OMPI, avec effet au</w:t>
      </w:r>
      <w:r w:rsidR="00F847D2" w:rsidRPr="00B75BB5">
        <w:rPr>
          <w:lang w:val="fr-FR"/>
        </w:rPr>
        <w:t xml:space="preserve"> 1</w:t>
      </w:r>
      <w:r w:rsidR="00F847D2" w:rsidRPr="00B75BB5">
        <w:rPr>
          <w:vertAlign w:val="superscript"/>
          <w:lang w:val="fr-FR"/>
        </w:rPr>
        <w:t>er</w:t>
      </w:r>
      <w:r w:rsidR="00F847D2" w:rsidRPr="00B75BB5">
        <w:rPr>
          <w:lang w:val="fr-FR"/>
        </w:rPr>
        <w:t> </w:t>
      </w:r>
      <w:r w:rsidRPr="00B75BB5">
        <w:rPr>
          <w:lang w:val="fr-FR"/>
        </w:rPr>
        <w:t>janvier</w:t>
      </w:r>
      <w:r w:rsidR="00255436" w:rsidRPr="00B75BB5">
        <w:rPr>
          <w:lang w:val="fr-FR"/>
        </w:rPr>
        <w:t> </w:t>
      </w:r>
      <w:r w:rsidRPr="00B75BB5">
        <w:rPr>
          <w:lang w:val="fr-FR"/>
        </w:rPr>
        <w:t>2017 (et, en particulier, à l</w:t>
      </w:r>
      <w:r w:rsidR="00F847D2" w:rsidRPr="00B75BB5">
        <w:rPr>
          <w:lang w:val="fr-FR"/>
        </w:rPr>
        <w:t>’</w:t>
      </w:r>
      <w:r w:rsidRPr="00B75BB5">
        <w:rPr>
          <w:lang w:val="fr-FR"/>
        </w:rPr>
        <w:t>article</w:t>
      </w:r>
      <w:r w:rsidR="00D97B59" w:rsidRPr="00B75BB5">
        <w:rPr>
          <w:lang w:val="fr-FR"/>
        </w:rPr>
        <w:t> </w:t>
      </w:r>
      <w:r w:rsidRPr="00B75BB5">
        <w:rPr>
          <w:lang w:val="fr-FR"/>
        </w:rPr>
        <w:t>12.5, qui traite des mesures transitoires)</w:t>
      </w:r>
      <w:r w:rsidR="00255436" w:rsidRPr="00B75BB5">
        <w:rPr>
          <w:lang w:val="fr-FR"/>
        </w:rPr>
        <w:t> </w:t>
      </w:r>
      <w:r w:rsidRPr="00B75BB5">
        <w:rPr>
          <w:lang w:val="fr-FR"/>
        </w:rPr>
        <w:t>:</w:t>
      </w:r>
    </w:p>
    <w:p w:rsidR="00255436" w:rsidRPr="00B75BB5" w:rsidRDefault="00F847D2" w:rsidP="00255436">
      <w:pPr>
        <w:pStyle w:val="ListParagraph"/>
        <w:ind w:left="1134"/>
        <w:rPr>
          <w:lang w:val="fr-FR"/>
        </w:rPr>
      </w:pPr>
      <w:r w:rsidRPr="00B75BB5">
        <w:rPr>
          <w:lang w:val="fr-FR"/>
        </w:rPr>
        <w:t>“</w:t>
      </w:r>
      <w:r w:rsidR="00255436" w:rsidRPr="00B75BB5">
        <w:rPr>
          <w:lang w:val="fr-FR"/>
        </w:rPr>
        <w:t>Nonobstant l</w:t>
      </w:r>
      <w:r w:rsidRPr="00B75BB5">
        <w:rPr>
          <w:lang w:val="fr-FR"/>
        </w:rPr>
        <w:t>’</w:t>
      </w:r>
      <w:r w:rsidR="00255436" w:rsidRPr="00B75BB5">
        <w:rPr>
          <w:lang w:val="fr-FR"/>
        </w:rPr>
        <w:t>article 3.14.a), les fonctionnaires qui, avant le</w:t>
      </w:r>
      <w:r w:rsidRPr="00B75BB5">
        <w:rPr>
          <w:lang w:val="fr-FR"/>
        </w:rPr>
        <w:t xml:space="preserve"> 1</w:t>
      </w:r>
      <w:r w:rsidRPr="00B75BB5">
        <w:rPr>
          <w:vertAlign w:val="superscript"/>
          <w:lang w:val="fr-FR"/>
        </w:rPr>
        <w:t>er</w:t>
      </w:r>
      <w:r w:rsidRPr="00B75BB5">
        <w:rPr>
          <w:lang w:val="fr-FR"/>
        </w:rPr>
        <w:t> </w:t>
      </w:r>
      <w:r w:rsidR="00255436" w:rsidRPr="00B75BB5">
        <w:rPr>
          <w:lang w:val="fr-FR"/>
        </w:rPr>
        <w:t>janvier 2016, étaient titulaires d</w:t>
      </w:r>
      <w:r w:rsidRPr="00B75BB5">
        <w:rPr>
          <w:lang w:val="fr-FR"/>
        </w:rPr>
        <w:t>’</w:t>
      </w:r>
      <w:r w:rsidR="00255436" w:rsidRPr="00B75BB5">
        <w:rPr>
          <w:lang w:val="fr-FR"/>
        </w:rPr>
        <w:t>un engagement de durée déterminée, d</w:t>
      </w:r>
      <w:r w:rsidRPr="00B75BB5">
        <w:rPr>
          <w:lang w:val="fr-FR"/>
        </w:rPr>
        <w:t>’</w:t>
      </w:r>
      <w:r w:rsidR="00255436" w:rsidRPr="00B75BB5">
        <w:rPr>
          <w:lang w:val="fr-FR"/>
        </w:rPr>
        <w:t>un engagement continu ou d</w:t>
      </w:r>
      <w:r w:rsidRPr="00B75BB5">
        <w:rPr>
          <w:lang w:val="fr-FR"/>
        </w:rPr>
        <w:t>’</w:t>
      </w:r>
      <w:r w:rsidR="00255436" w:rsidRPr="00B75BB5">
        <w:rPr>
          <w:lang w:val="fr-FR"/>
        </w:rPr>
        <w:t>un engagement permanent auprès du Bureau international et qui résidaient</w:t>
      </w:r>
      <w:r w:rsidR="00A764B6" w:rsidRPr="00B75BB5">
        <w:rPr>
          <w:lang w:val="fr-FR"/>
        </w:rPr>
        <w:t>,</w:t>
      </w:r>
      <w:r w:rsidR="00255436" w:rsidRPr="00B75BB5">
        <w:rPr>
          <w:lang w:val="fr-FR"/>
        </w:rPr>
        <w:t xml:space="preserve"> mais n</w:t>
      </w:r>
      <w:r w:rsidRPr="00B75BB5">
        <w:rPr>
          <w:lang w:val="fr-FR"/>
        </w:rPr>
        <w:t>’</w:t>
      </w:r>
      <w:r w:rsidR="00255436" w:rsidRPr="00B75BB5">
        <w:rPr>
          <w:lang w:val="fr-FR"/>
        </w:rPr>
        <w:t>étaient pas en poste dans leur pays d</w:t>
      </w:r>
      <w:r w:rsidRPr="00B75BB5">
        <w:rPr>
          <w:lang w:val="fr-FR"/>
        </w:rPr>
        <w:t>’</w:t>
      </w:r>
      <w:r w:rsidR="00255436" w:rsidRPr="00B75BB5">
        <w:rPr>
          <w:lang w:val="fr-FR"/>
        </w:rPr>
        <w:t>origine, et qui reçoivent une indemnité pour frais d</w:t>
      </w:r>
      <w:r w:rsidRPr="00B75BB5">
        <w:rPr>
          <w:lang w:val="fr-FR"/>
        </w:rPr>
        <w:t>’</w:t>
      </w:r>
      <w:r w:rsidR="00255436" w:rsidRPr="00B75BB5">
        <w:rPr>
          <w:lang w:val="fr-FR"/>
        </w:rPr>
        <w:t>études en relation avec des dépenses encourues jusqu</w:t>
      </w:r>
      <w:r w:rsidRPr="00B75BB5">
        <w:rPr>
          <w:lang w:val="fr-FR"/>
        </w:rPr>
        <w:t>’</w:t>
      </w:r>
      <w:r w:rsidR="00255436" w:rsidRPr="00B75BB5">
        <w:rPr>
          <w:lang w:val="fr-FR"/>
        </w:rPr>
        <w:t>au 31 décembre 2016 compris, continuent de recevoir l</w:t>
      </w:r>
      <w:r w:rsidRPr="00B75BB5">
        <w:rPr>
          <w:lang w:val="fr-FR"/>
        </w:rPr>
        <w:t>’</w:t>
      </w:r>
      <w:r w:rsidR="00255436" w:rsidRPr="00B75BB5">
        <w:rPr>
          <w:lang w:val="fr-FR"/>
        </w:rPr>
        <w:t>indemnité pour frais d</w:t>
      </w:r>
      <w:r w:rsidRPr="00B75BB5">
        <w:rPr>
          <w:lang w:val="fr-FR"/>
        </w:rPr>
        <w:t>’</w:t>
      </w:r>
      <w:r w:rsidR="00255436" w:rsidRPr="00B75BB5">
        <w:rPr>
          <w:lang w:val="fr-FR"/>
        </w:rPr>
        <w:t>études jusqu</w:t>
      </w:r>
      <w:r w:rsidRPr="00B75BB5">
        <w:rPr>
          <w:lang w:val="fr-FR"/>
        </w:rPr>
        <w:t>’</w:t>
      </w:r>
      <w:r w:rsidR="00255436" w:rsidRPr="00B75BB5">
        <w:rPr>
          <w:lang w:val="fr-FR"/>
        </w:rPr>
        <w:t>à ce que l</w:t>
      </w:r>
      <w:r w:rsidRPr="00B75BB5">
        <w:rPr>
          <w:lang w:val="fr-FR"/>
        </w:rPr>
        <w:t>’</w:t>
      </w:r>
      <w:r w:rsidR="00255436" w:rsidRPr="00B75BB5">
        <w:rPr>
          <w:lang w:val="fr-FR"/>
        </w:rPr>
        <w:t>enfant à charge termine le cycle d</w:t>
      </w:r>
      <w:r w:rsidRPr="00B75BB5">
        <w:rPr>
          <w:lang w:val="fr-FR"/>
        </w:rPr>
        <w:t>’</w:t>
      </w:r>
      <w:r w:rsidR="00255436" w:rsidRPr="00B75BB5">
        <w:rPr>
          <w:lang w:val="fr-FR"/>
        </w:rPr>
        <w:t>enseignement de l</w:t>
      </w:r>
      <w:r w:rsidRPr="00B75BB5">
        <w:rPr>
          <w:lang w:val="fr-FR"/>
        </w:rPr>
        <w:t>’</w:t>
      </w:r>
      <w:r w:rsidR="00255436" w:rsidRPr="00B75BB5">
        <w:rPr>
          <w:lang w:val="fr-FR"/>
        </w:rPr>
        <w:t>établissement d</w:t>
      </w:r>
      <w:r w:rsidRPr="00B75BB5">
        <w:rPr>
          <w:lang w:val="fr-FR"/>
        </w:rPr>
        <w:t>’</w:t>
      </w:r>
      <w:r w:rsidR="00255436" w:rsidRPr="00B75BB5">
        <w:rPr>
          <w:lang w:val="fr-FR"/>
        </w:rPr>
        <w:t>enseignement dans lequel il était inscrit au 31 décembre 2016, à condition que tous les autres critères définis soient rempl</w:t>
      </w:r>
      <w:r w:rsidR="00FB2861" w:rsidRPr="00B75BB5">
        <w:rPr>
          <w:lang w:val="fr-FR"/>
        </w:rPr>
        <w:t>is.  Au</w:t>
      </w:r>
      <w:r w:rsidR="00255436" w:rsidRPr="00B75BB5">
        <w:rPr>
          <w:lang w:val="fr-FR"/>
        </w:rPr>
        <w:t xml:space="preserve">x fins de la présente disposition, le </w:t>
      </w:r>
      <w:r w:rsidRPr="00B75BB5">
        <w:rPr>
          <w:lang w:val="fr-FR"/>
        </w:rPr>
        <w:t>‘</w:t>
      </w:r>
      <w:r w:rsidR="00255436" w:rsidRPr="00B75BB5">
        <w:rPr>
          <w:lang w:val="fr-FR"/>
        </w:rPr>
        <w:t>cycle d</w:t>
      </w:r>
      <w:r w:rsidRPr="00B75BB5">
        <w:rPr>
          <w:lang w:val="fr-FR"/>
        </w:rPr>
        <w:t>’</w:t>
      </w:r>
      <w:r w:rsidR="00255436" w:rsidRPr="00B75BB5">
        <w:rPr>
          <w:lang w:val="fr-FR"/>
        </w:rPr>
        <w:t>enseignement</w:t>
      </w:r>
      <w:r w:rsidRPr="00B75BB5">
        <w:rPr>
          <w:lang w:val="fr-FR"/>
        </w:rPr>
        <w:t>’</w:t>
      </w:r>
      <w:r w:rsidR="00255436" w:rsidRPr="00B75BB5">
        <w:rPr>
          <w:lang w:val="fr-FR"/>
        </w:rPr>
        <w:t xml:space="preserve"> est le niveau d</w:t>
      </w:r>
      <w:r w:rsidRPr="00B75BB5">
        <w:rPr>
          <w:lang w:val="fr-FR"/>
        </w:rPr>
        <w:t>’</w:t>
      </w:r>
      <w:r w:rsidR="00255436" w:rsidRPr="00B75BB5">
        <w:rPr>
          <w:lang w:val="fr-FR"/>
        </w:rPr>
        <w:t>enseignement primaire, secondaire ou postsecondaire.</w:t>
      </w:r>
      <w:r w:rsidRPr="00B75BB5">
        <w:rPr>
          <w:lang w:val="fr-FR"/>
        </w:rPr>
        <w:t>”</w:t>
      </w:r>
    </w:p>
    <w:p w:rsidR="00255436" w:rsidRPr="00B75BB5" w:rsidRDefault="00255436" w:rsidP="00B75BB5">
      <w:pPr>
        <w:rPr>
          <w:lang w:val="fr-FR"/>
        </w:rPr>
      </w:pPr>
    </w:p>
    <w:p w:rsidR="00752542" w:rsidRPr="00B75BB5" w:rsidRDefault="00255436" w:rsidP="00752542">
      <w:pPr>
        <w:pStyle w:val="ONUMFS"/>
        <w:rPr>
          <w:lang w:val="fr-FR"/>
        </w:rPr>
      </w:pPr>
      <w:r w:rsidRPr="00B75BB5">
        <w:rPr>
          <w:lang w:val="fr-FR"/>
        </w:rPr>
        <w:t>Cette mesure transitoire est limitée dans le tem</w:t>
      </w:r>
      <w:r w:rsidR="00FB2861" w:rsidRPr="00B75BB5">
        <w:rPr>
          <w:lang w:val="fr-FR"/>
        </w:rPr>
        <w:t>ps.  Le</w:t>
      </w:r>
      <w:r w:rsidRPr="00B75BB5">
        <w:rPr>
          <w:lang w:val="fr-FR"/>
        </w:rPr>
        <w:t xml:space="preserve"> cycle d</w:t>
      </w:r>
      <w:r w:rsidR="00F847D2" w:rsidRPr="00B75BB5">
        <w:rPr>
          <w:lang w:val="fr-FR"/>
        </w:rPr>
        <w:t>’</w:t>
      </w:r>
      <w:r w:rsidRPr="00B75BB5">
        <w:rPr>
          <w:lang w:val="fr-FR"/>
        </w:rPr>
        <w:t xml:space="preserve">enseignement primaire et secondaire dure généralement </w:t>
      </w:r>
      <w:r w:rsidR="00B765AA" w:rsidRPr="00B75BB5">
        <w:rPr>
          <w:lang w:val="fr-FR"/>
        </w:rPr>
        <w:t>six </w:t>
      </w:r>
      <w:r w:rsidRPr="00B75BB5">
        <w:rPr>
          <w:lang w:val="fr-FR"/>
        </w:rPr>
        <w:t>a</w:t>
      </w:r>
      <w:r w:rsidR="00FB2861" w:rsidRPr="00B75BB5">
        <w:rPr>
          <w:lang w:val="fr-FR"/>
        </w:rPr>
        <w:t>ns.  Qu</w:t>
      </w:r>
      <w:r w:rsidRPr="00B75BB5">
        <w:rPr>
          <w:lang w:val="fr-FR"/>
        </w:rPr>
        <w:t>i plus est, l</w:t>
      </w:r>
      <w:r w:rsidR="00F847D2" w:rsidRPr="00B75BB5">
        <w:rPr>
          <w:lang w:val="fr-FR"/>
        </w:rPr>
        <w:t>’</w:t>
      </w:r>
      <w:r w:rsidRPr="00B75BB5">
        <w:rPr>
          <w:lang w:val="fr-FR"/>
        </w:rPr>
        <w:t>indemnité pour frais d</w:t>
      </w:r>
      <w:r w:rsidR="00F847D2" w:rsidRPr="00B75BB5">
        <w:rPr>
          <w:lang w:val="fr-FR"/>
        </w:rPr>
        <w:t>’</w:t>
      </w:r>
      <w:r w:rsidRPr="00B75BB5">
        <w:rPr>
          <w:lang w:val="fr-FR"/>
        </w:rPr>
        <w:t>études n</w:t>
      </w:r>
      <w:r w:rsidR="00F847D2" w:rsidRPr="00B75BB5">
        <w:rPr>
          <w:lang w:val="fr-FR"/>
        </w:rPr>
        <w:t>’</w:t>
      </w:r>
      <w:r w:rsidRPr="00B75BB5">
        <w:rPr>
          <w:lang w:val="fr-FR"/>
        </w:rPr>
        <w:t>est versée que jusqu</w:t>
      </w:r>
      <w:r w:rsidR="00F847D2" w:rsidRPr="00B75BB5">
        <w:rPr>
          <w:lang w:val="fr-FR"/>
        </w:rPr>
        <w:t>’</w:t>
      </w:r>
      <w:r w:rsidRPr="00B75BB5">
        <w:rPr>
          <w:lang w:val="fr-FR"/>
        </w:rPr>
        <w:t>à la fin de la quatrième</w:t>
      </w:r>
      <w:r w:rsidR="00B765AA" w:rsidRPr="00B75BB5">
        <w:rPr>
          <w:lang w:val="fr-FR"/>
        </w:rPr>
        <w:t> </w:t>
      </w:r>
      <w:r w:rsidRPr="00B75BB5">
        <w:rPr>
          <w:lang w:val="fr-FR"/>
        </w:rPr>
        <w:t>année d</w:t>
      </w:r>
      <w:r w:rsidR="00F847D2" w:rsidRPr="00B75BB5">
        <w:rPr>
          <w:lang w:val="fr-FR"/>
        </w:rPr>
        <w:t>’</w:t>
      </w:r>
      <w:r w:rsidRPr="00B75BB5">
        <w:rPr>
          <w:lang w:val="fr-FR"/>
        </w:rPr>
        <w:t>études postsecondair</w:t>
      </w:r>
      <w:r w:rsidR="00FB2861" w:rsidRPr="00B75BB5">
        <w:rPr>
          <w:lang w:val="fr-FR"/>
        </w:rPr>
        <w:t>es.  Ai</w:t>
      </w:r>
      <w:r w:rsidR="004C0F41" w:rsidRPr="00B75BB5">
        <w:rPr>
          <w:lang w:val="fr-FR"/>
        </w:rPr>
        <w:t>nsi, la durée maximale pendant laquelle la mesure transitoire serait maintenue équivaudrait approximativement à cinq</w:t>
      </w:r>
      <w:r w:rsidR="00B765AA" w:rsidRPr="00B75BB5">
        <w:rPr>
          <w:lang w:val="fr-FR"/>
        </w:rPr>
        <w:t> </w:t>
      </w:r>
      <w:r w:rsidR="004C0F41" w:rsidRPr="00B75BB5">
        <w:rPr>
          <w:lang w:val="fr-FR"/>
        </w:rPr>
        <w:t>ans pour un enfant scolarisé au niveau primaire ou secondaire (en partant du principe que l</w:t>
      </w:r>
      <w:r w:rsidR="00F847D2" w:rsidRPr="00B75BB5">
        <w:rPr>
          <w:lang w:val="fr-FR"/>
        </w:rPr>
        <w:t>’</w:t>
      </w:r>
      <w:r w:rsidR="004C0F41" w:rsidRPr="00B75BB5">
        <w:rPr>
          <w:lang w:val="fr-FR"/>
        </w:rPr>
        <w:t>enfant suive une progression normale dans le système scolaire), et pas plus de trois</w:t>
      </w:r>
      <w:r w:rsidR="00B765AA" w:rsidRPr="00B75BB5">
        <w:rPr>
          <w:lang w:val="fr-FR"/>
        </w:rPr>
        <w:t> </w:t>
      </w:r>
      <w:r w:rsidR="004C0F41" w:rsidRPr="00B75BB5">
        <w:rPr>
          <w:lang w:val="fr-FR"/>
        </w:rPr>
        <w:t>ans pour un enfant dans l</w:t>
      </w:r>
      <w:r w:rsidR="00F847D2" w:rsidRPr="00B75BB5">
        <w:rPr>
          <w:lang w:val="fr-FR"/>
        </w:rPr>
        <w:t>’</w:t>
      </w:r>
      <w:r w:rsidR="004C0F41" w:rsidRPr="00B75BB5">
        <w:rPr>
          <w:lang w:val="fr-FR"/>
        </w:rPr>
        <w:t>enseignement postsecondai</w:t>
      </w:r>
      <w:r w:rsidR="00FB2861" w:rsidRPr="00B75BB5">
        <w:rPr>
          <w:lang w:val="fr-FR"/>
        </w:rPr>
        <w:t>re.  Ce</w:t>
      </w:r>
      <w:r w:rsidR="004C0F41" w:rsidRPr="00B75BB5">
        <w:rPr>
          <w:lang w:val="fr-FR"/>
        </w:rPr>
        <w:t>la tient au fait que les fonctionnaires devraient avoir préalablement inscrit leur enfant dans l</w:t>
      </w:r>
      <w:r w:rsidR="00F847D2" w:rsidRPr="00B75BB5">
        <w:rPr>
          <w:lang w:val="fr-FR"/>
        </w:rPr>
        <w:t>’</w:t>
      </w:r>
      <w:r w:rsidR="004C0F41" w:rsidRPr="00B75BB5">
        <w:rPr>
          <w:lang w:val="fr-FR"/>
        </w:rPr>
        <w:t>établissement d</w:t>
      </w:r>
      <w:r w:rsidR="00F847D2" w:rsidRPr="00B75BB5">
        <w:rPr>
          <w:lang w:val="fr-FR"/>
        </w:rPr>
        <w:t>’</w:t>
      </w:r>
      <w:r w:rsidR="004C0F41" w:rsidRPr="00B75BB5">
        <w:rPr>
          <w:lang w:val="fr-FR"/>
        </w:rPr>
        <w:t>enseignement en question pour pouvoir bénéficier de la mesure transitoi</w:t>
      </w:r>
      <w:r w:rsidR="00FB2861" w:rsidRPr="00B75BB5">
        <w:rPr>
          <w:lang w:val="fr-FR"/>
        </w:rPr>
        <w:t>re.  Il</w:t>
      </w:r>
      <w:r w:rsidR="004C0F41" w:rsidRPr="00B75BB5">
        <w:rPr>
          <w:lang w:val="fr-FR"/>
        </w:rPr>
        <w:t xml:space="preserve"> s</w:t>
      </w:r>
      <w:r w:rsidR="00F847D2" w:rsidRPr="00B75BB5">
        <w:rPr>
          <w:lang w:val="fr-FR"/>
        </w:rPr>
        <w:t>’</w:t>
      </w:r>
      <w:r w:rsidR="004C0F41" w:rsidRPr="00B75BB5">
        <w:rPr>
          <w:lang w:val="fr-FR"/>
        </w:rPr>
        <w:t>agit simplement de prendre en compte les principes de bonne foi et d</w:t>
      </w:r>
      <w:r w:rsidR="00F847D2" w:rsidRPr="00B75BB5">
        <w:rPr>
          <w:lang w:val="fr-FR"/>
        </w:rPr>
        <w:t>’</w:t>
      </w:r>
      <w:r w:rsidR="004C0F41" w:rsidRPr="00B75BB5">
        <w:rPr>
          <w:lang w:val="fr-FR"/>
        </w:rPr>
        <w:t>acte loyal adoptés par</w:t>
      </w:r>
      <w:r w:rsidR="00F847D2" w:rsidRPr="00B75BB5">
        <w:rPr>
          <w:lang w:val="fr-FR"/>
        </w:rPr>
        <w:t xml:space="preserve"> le TAO</w:t>
      </w:r>
      <w:r w:rsidR="004C0F41" w:rsidRPr="00B75BB5">
        <w:rPr>
          <w:lang w:val="fr-FR"/>
        </w:rPr>
        <w:t>IT.</w:t>
      </w:r>
    </w:p>
    <w:p w:rsidR="00255436" w:rsidRPr="00B75BB5" w:rsidRDefault="00752542" w:rsidP="00752542">
      <w:pPr>
        <w:pStyle w:val="Heading1"/>
      </w:pPr>
      <w:r w:rsidRPr="00B75BB5">
        <w:t>Incidences financières</w:t>
      </w:r>
    </w:p>
    <w:p w:rsidR="00255436" w:rsidRPr="00B75BB5" w:rsidRDefault="00255436" w:rsidP="00B75BB5">
      <w:pPr>
        <w:widowControl w:val="0"/>
        <w:rPr>
          <w:b/>
          <w:lang w:val="fr-FR"/>
        </w:rPr>
      </w:pPr>
    </w:p>
    <w:p w:rsidR="00752542" w:rsidRPr="00B75BB5" w:rsidRDefault="005C40CA" w:rsidP="00752542">
      <w:pPr>
        <w:pStyle w:val="ONUMFS"/>
        <w:rPr>
          <w:lang w:val="fr-FR" w:eastAsia="en-US"/>
        </w:rPr>
      </w:pPr>
      <w:r w:rsidRPr="00B75BB5">
        <w:rPr>
          <w:lang w:val="fr-FR" w:eastAsia="en-US"/>
        </w:rPr>
        <w:t>Afin de déterminer l</w:t>
      </w:r>
      <w:r w:rsidR="00F847D2" w:rsidRPr="00B75BB5">
        <w:rPr>
          <w:lang w:val="fr-FR" w:eastAsia="en-US"/>
        </w:rPr>
        <w:t>’</w:t>
      </w:r>
      <w:r w:rsidRPr="00B75BB5">
        <w:rPr>
          <w:lang w:val="fr-FR" w:eastAsia="en-US"/>
        </w:rPr>
        <w:t xml:space="preserve">incidence financière de la mesure transitoire proposée, le Bureau du conseiller juridique a obtenu des informations et des données pertinentes du Département de la gestion des ressources humaines (DGRH) concernant la population </w:t>
      </w:r>
      <w:r w:rsidR="00B765AA" w:rsidRPr="00B75BB5">
        <w:rPr>
          <w:lang w:val="fr-FR" w:eastAsia="en-US"/>
        </w:rPr>
        <w:t>v</w:t>
      </w:r>
      <w:r w:rsidRPr="00B75BB5">
        <w:rPr>
          <w:lang w:val="fr-FR" w:eastAsia="en-US"/>
        </w:rPr>
        <w:t>i</w:t>
      </w:r>
      <w:r w:rsidR="00B765AA" w:rsidRPr="00B75BB5">
        <w:rPr>
          <w:lang w:val="fr-FR" w:eastAsia="en-US"/>
        </w:rPr>
        <w:t>sé</w:t>
      </w:r>
      <w:r w:rsidRPr="00B75BB5">
        <w:rPr>
          <w:lang w:val="fr-FR" w:eastAsia="en-US"/>
        </w:rPr>
        <w:t>e des fonctionnaires français résidant en Fran</w:t>
      </w:r>
      <w:r w:rsidR="00FB2861" w:rsidRPr="00B75BB5">
        <w:rPr>
          <w:lang w:val="fr-FR" w:eastAsia="en-US"/>
        </w:rPr>
        <w:t>ce.  Le</w:t>
      </w:r>
      <w:r w:rsidRPr="00B75BB5">
        <w:rPr>
          <w:lang w:val="fr-FR" w:eastAsia="en-US"/>
        </w:rPr>
        <w:t xml:space="preserve"> Bureau du conseiller juridique a ensuite demandé</w:t>
      </w:r>
      <w:r w:rsidR="00F847D2" w:rsidRPr="00B75BB5">
        <w:rPr>
          <w:lang w:val="fr-FR" w:eastAsia="en-US"/>
        </w:rPr>
        <w:t xml:space="preserve"> au DGR</w:t>
      </w:r>
      <w:r w:rsidRPr="00B75BB5">
        <w:rPr>
          <w:lang w:val="fr-FR" w:eastAsia="en-US"/>
        </w:rPr>
        <w:t>H et à la Division des finances de procéder au calcul du coût financier de la mesure transitoire proposée, sur la base d</w:t>
      </w:r>
      <w:r w:rsidR="00F847D2" w:rsidRPr="00B75BB5">
        <w:rPr>
          <w:lang w:val="fr-FR" w:eastAsia="en-US"/>
        </w:rPr>
        <w:t>’</w:t>
      </w:r>
      <w:r w:rsidRPr="00B75BB5">
        <w:rPr>
          <w:lang w:val="fr-FR" w:eastAsia="en-US"/>
        </w:rPr>
        <w:t>un ensemble de critères fournis par le Bureau du conseiller juridique.</w:t>
      </w:r>
    </w:p>
    <w:p w:rsidR="00752542" w:rsidRPr="00B75BB5" w:rsidRDefault="005C40CA" w:rsidP="00752542">
      <w:pPr>
        <w:pStyle w:val="ONUMFS"/>
        <w:rPr>
          <w:lang w:val="fr-FR" w:eastAsia="en-US"/>
        </w:rPr>
      </w:pPr>
      <w:r w:rsidRPr="00B75BB5">
        <w:rPr>
          <w:lang w:val="fr-FR" w:eastAsia="en-US"/>
        </w:rPr>
        <w:t>Le point de départ pour l</w:t>
      </w:r>
      <w:r w:rsidR="00F847D2" w:rsidRPr="00B75BB5">
        <w:rPr>
          <w:lang w:val="fr-FR" w:eastAsia="en-US"/>
        </w:rPr>
        <w:t>’</w:t>
      </w:r>
      <w:r w:rsidRPr="00B75BB5">
        <w:rPr>
          <w:lang w:val="fr-FR" w:eastAsia="en-US"/>
        </w:rPr>
        <w:t>analyse financière est l</w:t>
      </w:r>
      <w:r w:rsidR="00F847D2" w:rsidRPr="00B75BB5">
        <w:rPr>
          <w:lang w:val="fr-FR" w:eastAsia="en-US"/>
        </w:rPr>
        <w:t>’</w:t>
      </w:r>
      <w:r w:rsidRPr="00B75BB5">
        <w:rPr>
          <w:lang w:val="fr-FR" w:eastAsia="en-US"/>
        </w:rPr>
        <w:t>année scolaire 2017</w:t>
      </w:r>
      <w:r w:rsidR="00DA5099" w:rsidRPr="00B75BB5">
        <w:rPr>
          <w:lang w:val="fr-FR" w:eastAsia="en-US"/>
        </w:rPr>
        <w:noBreakHyphen/>
      </w:r>
      <w:r w:rsidRPr="00B75BB5">
        <w:rPr>
          <w:lang w:val="fr-FR" w:eastAsia="en-US"/>
        </w:rPr>
        <w:t>2018, qui commence normalement en septembre</w:t>
      </w:r>
      <w:r w:rsidR="00871D1B" w:rsidRPr="00B75BB5">
        <w:rPr>
          <w:lang w:val="fr-FR" w:eastAsia="en-US"/>
        </w:rPr>
        <w:t> </w:t>
      </w:r>
      <w:r w:rsidRPr="00B75BB5">
        <w:rPr>
          <w:lang w:val="fr-FR" w:eastAsia="en-US"/>
        </w:rPr>
        <w:t>2017.</w:t>
      </w:r>
      <w:r w:rsidR="004613B2" w:rsidRPr="00B75BB5">
        <w:rPr>
          <w:lang w:val="fr-FR"/>
        </w:rPr>
        <w:t xml:space="preserve">  </w:t>
      </w:r>
      <w:r w:rsidRPr="00B75BB5">
        <w:rPr>
          <w:lang w:val="fr-FR" w:eastAsia="en-US"/>
        </w:rPr>
        <w:t>Ce choix repose sur le fait que les modifications apportées au Statut et Règlement du personnel n</w:t>
      </w:r>
      <w:r w:rsidR="00F847D2" w:rsidRPr="00B75BB5">
        <w:rPr>
          <w:lang w:val="fr-FR" w:eastAsia="en-US"/>
        </w:rPr>
        <w:t>’</w:t>
      </w:r>
      <w:r w:rsidRPr="00B75BB5">
        <w:rPr>
          <w:lang w:val="fr-FR" w:eastAsia="en-US"/>
        </w:rPr>
        <w:t>entreraient en vigueur qu</w:t>
      </w:r>
      <w:r w:rsidR="00F847D2" w:rsidRPr="00B75BB5">
        <w:rPr>
          <w:lang w:val="fr-FR" w:eastAsia="en-US"/>
        </w:rPr>
        <w:t>’</w:t>
      </w:r>
      <w:r w:rsidRPr="00B75BB5">
        <w:rPr>
          <w:lang w:val="fr-FR" w:eastAsia="en-US"/>
        </w:rPr>
        <w:t>après la soixante</w:t>
      </w:r>
      <w:r w:rsidR="00DA5099" w:rsidRPr="00B75BB5">
        <w:rPr>
          <w:lang w:val="fr-FR" w:eastAsia="en-US"/>
        </w:rPr>
        <w:noBreakHyphen/>
      </w:r>
      <w:r w:rsidRPr="00B75BB5">
        <w:rPr>
          <w:lang w:val="fr-FR" w:eastAsia="en-US"/>
        </w:rPr>
        <w:t>treizième</w:t>
      </w:r>
      <w:r w:rsidR="00D97B59" w:rsidRPr="00B75BB5">
        <w:rPr>
          <w:lang w:val="fr-FR" w:eastAsia="en-US"/>
        </w:rPr>
        <w:t> </w:t>
      </w:r>
      <w:r w:rsidRPr="00B75BB5">
        <w:rPr>
          <w:lang w:val="fr-FR" w:eastAsia="en-US"/>
        </w:rPr>
        <w:t>session du Comité de coordination en octobre</w:t>
      </w:r>
      <w:r w:rsidR="00871D1B" w:rsidRPr="00B75BB5">
        <w:rPr>
          <w:lang w:val="fr-FR" w:eastAsia="en-US"/>
        </w:rPr>
        <w:t> </w:t>
      </w:r>
      <w:r w:rsidRPr="00B75BB5">
        <w:rPr>
          <w:lang w:val="fr-FR" w:eastAsia="en-US"/>
        </w:rPr>
        <w:t>2016</w:t>
      </w:r>
      <w:r w:rsidR="00871D1B" w:rsidRPr="00B75BB5">
        <w:rPr>
          <w:lang w:val="fr-FR" w:eastAsia="en-US"/>
        </w:rPr>
        <w:t>, une date trop tardive pour avoir une incidence</w:t>
      </w:r>
      <w:r w:rsidRPr="00B75BB5">
        <w:rPr>
          <w:lang w:val="fr-FR" w:eastAsia="en-US"/>
        </w:rPr>
        <w:t xml:space="preserve"> sur l</w:t>
      </w:r>
      <w:r w:rsidR="00F847D2" w:rsidRPr="00B75BB5">
        <w:rPr>
          <w:lang w:val="fr-FR" w:eastAsia="en-US"/>
        </w:rPr>
        <w:t>’</w:t>
      </w:r>
      <w:r w:rsidRPr="00B75BB5">
        <w:rPr>
          <w:lang w:val="fr-FR" w:eastAsia="en-US"/>
        </w:rPr>
        <w:t>année scolaire 2016</w:t>
      </w:r>
      <w:r w:rsidR="00DA5099" w:rsidRPr="00B75BB5">
        <w:rPr>
          <w:lang w:val="fr-FR" w:eastAsia="en-US"/>
        </w:rPr>
        <w:noBreakHyphen/>
      </w:r>
      <w:r w:rsidR="00871D1B" w:rsidRPr="00B75BB5">
        <w:rPr>
          <w:lang w:val="fr-FR" w:eastAsia="en-US"/>
        </w:rPr>
        <w:t>2017 puisque l</w:t>
      </w:r>
      <w:r w:rsidRPr="00B75BB5">
        <w:rPr>
          <w:lang w:val="fr-FR" w:eastAsia="en-US"/>
        </w:rPr>
        <w:t xml:space="preserve">es fonctionnaires français </w:t>
      </w:r>
      <w:r w:rsidR="00871D1B" w:rsidRPr="00B75BB5">
        <w:rPr>
          <w:lang w:val="fr-FR" w:eastAsia="en-US"/>
        </w:rPr>
        <w:t>vis</w:t>
      </w:r>
      <w:r w:rsidRPr="00B75BB5">
        <w:rPr>
          <w:lang w:val="fr-FR" w:eastAsia="en-US"/>
        </w:rPr>
        <w:t>és</w:t>
      </w:r>
      <w:r w:rsidR="00871D1B" w:rsidRPr="00B75BB5">
        <w:rPr>
          <w:lang w:val="fr-FR" w:eastAsia="en-US"/>
        </w:rPr>
        <w:t xml:space="preserve"> auraient déjà pris des engagements</w:t>
      </w:r>
      <w:r w:rsidRPr="00B75BB5">
        <w:rPr>
          <w:lang w:val="fr-FR" w:eastAsia="en-US"/>
        </w:rPr>
        <w:t>.</w:t>
      </w:r>
    </w:p>
    <w:p w:rsidR="00752542" w:rsidRPr="00B75BB5" w:rsidRDefault="004C09AE" w:rsidP="00752542">
      <w:pPr>
        <w:pStyle w:val="ONUMFS"/>
        <w:rPr>
          <w:lang w:val="fr-FR" w:eastAsia="en-US"/>
        </w:rPr>
      </w:pPr>
      <w:r w:rsidRPr="00B75BB5">
        <w:rPr>
          <w:lang w:val="fr-FR" w:eastAsia="en-US"/>
        </w:rPr>
        <w:t>À</w:t>
      </w:r>
      <w:r w:rsidR="00D716C8" w:rsidRPr="00B75BB5">
        <w:rPr>
          <w:lang w:val="fr-FR" w:eastAsia="en-US"/>
        </w:rPr>
        <w:t xml:space="preserve"> la fin du mois de juin</w:t>
      </w:r>
      <w:r w:rsidRPr="00B75BB5">
        <w:rPr>
          <w:lang w:val="fr-FR" w:eastAsia="en-US"/>
        </w:rPr>
        <w:t> </w:t>
      </w:r>
      <w:r w:rsidR="00D716C8" w:rsidRPr="00B75BB5">
        <w:rPr>
          <w:lang w:val="fr-FR" w:eastAsia="en-US"/>
        </w:rPr>
        <w:t>2016, le nombre de fonctionnaires français résidant en France qui ont soumis une demande au titre du régime de l</w:t>
      </w:r>
      <w:r w:rsidR="00F847D2" w:rsidRPr="00B75BB5">
        <w:rPr>
          <w:lang w:val="fr-FR" w:eastAsia="en-US"/>
        </w:rPr>
        <w:t>’</w:t>
      </w:r>
      <w:r w:rsidR="00D716C8" w:rsidRPr="00B75BB5">
        <w:rPr>
          <w:lang w:val="fr-FR" w:eastAsia="en-US"/>
        </w:rPr>
        <w:t>indemnité pour frais d</w:t>
      </w:r>
      <w:r w:rsidR="00F847D2" w:rsidRPr="00B75BB5">
        <w:rPr>
          <w:lang w:val="fr-FR" w:eastAsia="en-US"/>
        </w:rPr>
        <w:t>’</w:t>
      </w:r>
      <w:r w:rsidR="00D716C8" w:rsidRPr="00B75BB5">
        <w:rPr>
          <w:lang w:val="fr-FR" w:eastAsia="en-US"/>
        </w:rPr>
        <w:t>études s</w:t>
      </w:r>
      <w:r w:rsidR="00F847D2" w:rsidRPr="00B75BB5">
        <w:rPr>
          <w:lang w:val="fr-FR" w:eastAsia="en-US"/>
        </w:rPr>
        <w:t>’</w:t>
      </w:r>
      <w:r w:rsidR="00D716C8" w:rsidRPr="00B75BB5">
        <w:rPr>
          <w:lang w:val="fr-FR" w:eastAsia="en-US"/>
        </w:rPr>
        <w:t>élevait à trente</w:t>
      </w:r>
      <w:r w:rsidRPr="00B75BB5">
        <w:rPr>
          <w:lang w:val="fr-FR" w:eastAsia="en-US"/>
        </w:rPr>
        <w:t> </w:t>
      </w:r>
      <w:r w:rsidR="00D716C8" w:rsidRPr="00B75BB5">
        <w:rPr>
          <w:lang w:val="fr-FR" w:eastAsia="en-US"/>
        </w:rPr>
        <w:t>et</w:t>
      </w:r>
      <w:r w:rsidRPr="00B75BB5">
        <w:rPr>
          <w:lang w:val="fr-FR" w:eastAsia="en-US"/>
        </w:rPr>
        <w:t> </w:t>
      </w:r>
      <w:r w:rsidR="00D716C8" w:rsidRPr="00B75BB5">
        <w:rPr>
          <w:lang w:val="fr-FR" w:eastAsia="en-US"/>
        </w:rPr>
        <w:t>un (31).</w:t>
      </w:r>
      <w:r w:rsidR="007F65D2" w:rsidRPr="00B75BB5">
        <w:rPr>
          <w:lang w:val="fr-FR"/>
        </w:rPr>
        <w:t xml:space="preserve">  </w:t>
      </w:r>
      <w:r w:rsidR="00D716C8" w:rsidRPr="00B75BB5">
        <w:rPr>
          <w:lang w:val="fr-FR" w:eastAsia="en-US"/>
        </w:rPr>
        <w:t>Ces 31</w:t>
      </w:r>
      <w:r w:rsidRPr="00B75BB5">
        <w:rPr>
          <w:lang w:val="fr-FR" w:eastAsia="en-US"/>
        </w:rPr>
        <w:t> </w:t>
      </w:r>
      <w:r w:rsidR="00D716C8" w:rsidRPr="00B75BB5">
        <w:rPr>
          <w:lang w:val="fr-FR" w:eastAsia="en-US"/>
        </w:rPr>
        <w:t>fonctionnaires résidaient déjà en France avant le</w:t>
      </w:r>
      <w:r w:rsidR="00F847D2" w:rsidRPr="00B75BB5">
        <w:rPr>
          <w:lang w:val="fr-FR" w:eastAsia="en-US"/>
        </w:rPr>
        <w:t xml:space="preserve"> 1</w:t>
      </w:r>
      <w:r w:rsidR="00F847D2" w:rsidRPr="00B75BB5">
        <w:rPr>
          <w:vertAlign w:val="superscript"/>
          <w:lang w:val="fr-FR" w:eastAsia="en-US"/>
        </w:rPr>
        <w:t>er</w:t>
      </w:r>
      <w:r w:rsidR="00F847D2" w:rsidRPr="00B75BB5">
        <w:rPr>
          <w:lang w:val="fr-FR" w:eastAsia="en-US"/>
        </w:rPr>
        <w:t> </w:t>
      </w:r>
      <w:r w:rsidR="00D716C8" w:rsidRPr="00B75BB5">
        <w:rPr>
          <w:lang w:val="fr-FR" w:eastAsia="en-US"/>
        </w:rPr>
        <w:t>janvier</w:t>
      </w:r>
      <w:r w:rsidRPr="00B75BB5">
        <w:rPr>
          <w:lang w:val="fr-FR" w:eastAsia="en-US"/>
        </w:rPr>
        <w:t> </w:t>
      </w:r>
      <w:r w:rsidR="00D716C8" w:rsidRPr="00B75BB5">
        <w:rPr>
          <w:lang w:val="fr-FR" w:eastAsia="en-US"/>
        </w:rPr>
        <w:t xml:space="preserve">2016 et sont donc </w:t>
      </w:r>
      <w:r w:rsidR="00871D1B" w:rsidRPr="00B75BB5">
        <w:rPr>
          <w:lang w:val="fr-FR" w:eastAsia="en-US"/>
        </w:rPr>
        <w:t>vis</w:t>
      </w:r>
      <w:r w:rsidR="00D716C8" w:rsidRPr="00B75BB5">
        <w:rPr>
          <w:lang w:val="fr-FR" w:eastAsia="en-US"/>
        </w:rPr>
        <w:t xml:space="preserve">és par la clause de sauvegarde </w:t>
      </w:r>
      <w:r w:rsidRPr="00B75BB5">
        <w:rPr>
          <w:lang w:val="fr-FR" w:eastAsia="en-US"/>
        </w:rPr>
        <w:t>de</w:t>
      </w:r>
      <w:r w:rsidR="00D716C8" w:rsidRPr="00B75BB5">
        <w:rPr>
          <w:lang w:val="fr-FR" w:eastAsia="en-US"/>
        </w:rPr>
        <w:t xml:space="preserve"> l</w:t>
      </w:r>
      <w:r w:rsidR="00F847D2" w:rsidRPr="00B75BB5">
        <w:rPr>
          <w:lang w:val="fr-FR" w:eastAsia="en-US"/>
        </w:rPr>
        <w:t>’</w:t>
      </w:r>
      <w:r w:rsidR="00D716C8" w:rsidRPr="00B75BB5">
        <w:rPr>
          <w:lang w:val="fr-FR" w:eastAsia="en-US"/>
        </w:rPr>
        <w:t>article</w:t>
      </w:r>
      <w:r w:rsidRPr="00B75BB5">
        <w:rPr>
          <w:lang w:val="fr-FR" w:eastAsia="en-US"/>
        </w:rPr>
        <w:t> </w:t>
      </w:r>
      <w:r w:rsidR="00D716C8" w:rsidRPr="00B75BB5">
        <w:rPr>
          <w:lang w:val="fr-FR" w:eastAsia="en-US"/>
        </w:rPr>
        <w:t>3.14.f).</w:t>
      </w:r>
    </w:p>
    <w:p w:rsidR="00752542" w:rsidRPr="00B75BB5" w:rsidRDefault="00D716C8" w:rsidP="00752542">
      <w:pPr>
        <w:pStyle w:val="ONUMFS"/>
        <w:rPr>
          <w:lang w:val="fr-FR" w:eastAsia="en-US"/>
        </w:rPr>
      </w:pPr>
      <w:r w:rsidRPr="00B75BB5">
        <w:rPr>
          <w:lang w:val="fr-FR" w:eastAsia="en-US"/>
        </w:rPr>
        <w:lastRenderedPageBreak/>
        <w:t>Le calcul du coût financier de la mesure transitoire proposée repose nécessairement sur un certain nombre d</w:t>
      </w:r>
      <w:r w:rsidR="00F847D2" w:rsidRPr="00B75BB5">
        <w:rPr>
          <w:lang w:val="fr-FR" w:eastAsia="en-US"/>
        </w:rPr>
        <w:t>’</w:t>
      </w:r>
      <w:r w:rsidRPr="00B75BB5">
        <w:rPr>
          <w:lang w:val="fr-FR" w:eastAsia="en-US"/>
        </w:rPr>
        <w:t>hypothèses, dont celle que le décompte de 31</w:t>
      </w:r>
      <w:r w:rsidR="004C09AE" w:rsidRPr="00B75BB5">
        <w:rPr>
          <w:lang w:val="fr-FR" w:eastAsia="en-US"/>
        </w:rPr>
        <w:t> </w:t>
      </w:r>
      <w:r w:rsidRPr="00B75BB5">
        <w:rPr>
          <w:lang w:val="fr-FR" w:eastAsia="en-US"/>
        </w:rPr>
        <w:t>fonctionnaires français reste inchan</w:t>
      </w:r>
      <w:r w:rsidR="00FB2861" w:rsidRPr="00B75BB5">
        <w:rPr>
          <w:lang w:val="fr-FR" w:eastAsia="en-US"/>
        </w:rPr>
        <w:t>gé.  Il</w:t>
      </w:r>
      <w:r w:rsidRPr="00B75BB5">
        <w:rPr>
          <w:lang w:val="fr-FR" w:eastAsia="en-US"/>
        </w:rPr>
        <w:t xml:space="preserve"> est cependant possible que ce nombre augmente, si un fonctionnaire français qui résidait en France avant le</w:t>
      </w:r>
      <w:r w:rsidR="00F847D2" w:rsidRPr="00B75BB5">
        <w:rPr>
          <w:lang w:val="fr-FR" w:eastAsia="en-US"/>
        </w:rPr>
        <w:t xml:space="preserve"> 1</w:t>
      </w:r>
      <w:r w:rsidR="00F847D2" w:rsidRPr="00B75BB5">
        <w:rPr>
          <w:vertAlign w:val="superscript"/>
          <w:lang w:val="fr-FR" w:eastAsia="en-US"/>
        </w:rPr>
        <w:t>er</w:t>
      </w:r>
      <w:r w:rsidR="00F847D2" w:rsidRPr="00B75BB5">
        <w:rPr>
          <w:lang w:val="fr-FR" w:eastAsia="en-US"/>
        </w:rPr>
        <w:t> </w:t>
      </w:r>
      <w:r w:rsidRPr="00B75BB5">
        <w:rPr>
          <w:lang w:val="fr-FR" w:eastAsia="en-US"/>
        </w:rPr>
        <w:t>janvier</w:t>
      </w:r>
      <w:r w:rsidR="004C09AE" w:rsidRPr="00B75BB5">
        <w:rPr>
          <w:lang w:val="fr-FR" w:eastAsia="en-US"/>
        </w:rPr>
        <w:t> </w:t>
      </w:r>
      <w:r w:rsidRPr="00B75BB5">
        <w:rPr>
          <w:lang w:val="fr-FR" w:eastAsia="en-US"/>
        </w:rPr>
        <w:t>2016 soumet une demande pour la première fois au titre du régime de l</w:t>
      </w:r>
      <w:r w:rsidR="00F847D2" w:rsidRPr="00B75BB5">
        <w:rPr>
          <w:lang w:val="fr-FR" w:eastAsia="en-US"/>
        </w:rPr>
        <w:t>’</w:t>
      </w:r>
      <w:r w:rsidRPr="00B75BB5">
        <w:rPr>
          <w:lang w:val="fr-FR" w:eastAsia="en-US"/>
        </w:rPr>
        <w:t>indemnité pour frais d</w:t>
      </w:r>
      <w:r w:rsidR="00F847D2" w:rsidRPr="00B75BB5">
        <w:rPr>
          <w:lang w:val="fr-FR" w:eastAsia="en-US"/>
        </w:rPr>
        <w:t>’</w:t>
      </w:r>
      <w:r w:rsidRPr="00B75BB5">
        <w:rPr>
          <w:lang w:val="fr-FR" w:eastAsia="en-US"/>
        </w:rPr>
        <w:t xml:space="preserve">études </w:t>
      </w:r>
      <w:r w:rsidR="00404D41" w:rsidRPr="00B75BB5">
        <w:rPr>
          <w:lang w:val="fr-FR" w:eastAsia="en-US"/>
        </w:rPr>
        <w:t>concernant</w:t>
      </w:r>
      <w:r w:rsidRPr="00B75BB5">
        <w:rPr>
          <w:lang w:val="fr-FR" w:eastAsia="en-US"/>
        </w:rPr>
        <w:t xml:space="preserve"> l</w:t>
      </w:r>
      <w:r w:rsidR="00F847D2" w:rsidRPr="00B75BB5">
        <w:rPr>
          <w:lang w:val="fr-FR" w:eastAsia="en-US"/>
        </w:rPr>
        <w:t>’</w:t>
      </w:r>
      <w:r w:rsidRPr="00B75BB5">
        <w:rPr>
          <w:lang w:val="fr-FR" w:eastAsia="en-US"/>
        </w:rPr>
        <w:t xml:space="preserve">année scolaire </w:t>
      </w:r>
      <w:r w:rsidR="00404D41" w:rsidRPr="00B75BB5">
        <w:rPr>
          <w:lang w:val="fr-FR" w:eastAsia="en-US"/>
        </w:rPr>
        <w:t xml:space="preserve">qui </w:t>
      </w:r>
      <w:r w:rsidRPr="00B75BB5">
        <w:rPr>
          <w:lang w:val="fr-FR" w:eastAsia="en-US"/>
        </w:rPr>
        <w:t>commen</w:t>
      </w:r>
      <w:r w:rsidR="00404D41" w:rsidRPr="00B75BB5">
        <w:rPr>
          <w:lang w:val="fr-FR" w:eastAsia="en-US"/>
        </w:rPr>
        <w:t>ce</w:t>
      </w:r>
      <w:r w:rsidRPr="00B75BB5">
        <w:rPr>
          <w:lang w:val="fr-FR" w:eastAsia="en-US"/>
        </w:rPr>
        <w:t xml:space="preserve"> en septembre</w:t>
      </w:r>
      <w:r w:rsidR="004C09AE" w:rsidRPr="00B75BB5">
        <w:rPr>
          <w:lang w:val="fr-FR" w:eastAsia="en-US"/>
        </w:rPr>
        <w:t> </w:t>
      </w:r>
      <w:r w:rsidRPr="00B75BB5">
        <w:rPr>
          <w:lang w:val="fr-FR" w:eastAsia="en-US"/>
        </w:rPr>
        <w:t>2016.</w:t>
      </w:r>
      <w:r w:rsidR="001150D1" w:rsidRPr="00B75BB5">
        <w:rPr>
          <w:lang w:val="fr-FR"/>
        </w:rPr>
        <w:t xml:space="preserve"> </w:t>
      </w:r>
      <w:r w:rsidR="00344A08" w:rsidRPr="00B75BB5">
        <w:rPr>
          <w:lang w:val="fr-FR"/>
        </w:rPr>
        <w:t xml:space="preserve"> </w:t>
      </w:r>
      <w:r w:rsidRPr="00B75BB5">
        <w:rPr>
          <w:lang w:val="fr-FR" w:eastAsia="en-US"/>
        </w:rPr>
        <w:t>Aux fins de l</w:t>
      </w:r>
      <w:r w:rsidR="00F847D2" w:rsidRPr="00B75BB5">
        <w:rPr>
          <w:lang w:val="fr-FR" w:eastAsia="en-US"/>
        </w:rPr>
        <w:t>’</w:t>
      </w:r>
      <w:r w:rsidRPr="00B75BB5">
        <w:rPr>
          <w:lang w:val="fr-FR" w:eastAsia="en-US"/>
        </w:rPr>
        <w:t xml:space="preserve">étude </w:t>
      </w:r>
      <w:r w:rsidR="00404D41" w:rsidRPr="00B75BB5">
        <w:rPr>
          <w:lang w:val="fr-FR" w:eastAsia="en-US"/>
        </w:rPr>
        <w:t>relative aux</w:t>
      </w:r>
      <w:r w:rsidRPr="00B75BB5">
        <w:rPr>
          <w:lang w:val="fr-FR" w:eastAsia="en-US"/>
        </w:rPr>
        <w:t xml:space="preserve"> incidences financières, il est en outre supposé que les 31</w:t>
      </w:r>
      <w:r w:rsidR="004C09AE" w:rsidRPr="00B75BB5">
        <w:rPr>
          <w:lang w:val="fr-FR" w:eastAsia="en-US"/>
        </w:rPr>
        <w:t> </w:t>
      </w:r>
      <w:r w:rsidRPr="00B75BB5">
        <w:rPr>
          <w:lang w:val="fr-FR" w:eastAsia="en-US"/>
        </w:rPr>
        <w:t>fonctionnaires français continueront</w:t>
      </w:r>
      <w:r w:rsidR="004C09AE" w:rsidRPr="00B75BB5">
        <w:rPr>
          <w:lang w:val="fr-FR" w:eastAsia="en-US"/>
        </w:rPr>
        <w:t> </w:t>
      </w:r>
      <w:r w:rsidRPr="00B75BB5">
        <w:rPr>
          <w:lang w:val="fr-FR" w:eastAsia="en-US"/>
        </w:rPr>
        <w:t>:</w:t>
      </w:r>
    </w:p>
    <w:p w:rsidR="00255436" w:rsidRPr="00B75BB5" w:rsidRDefault="00D716C8" w:rsidP="008B10D8">
      <w:pPr>
        <w:numPr>
          <w:ilvl w:val="0"/>
          <w:numId w:val="19"/>
        </w:numPr>
        <w:ind w:hanging="153"/>
        <w:rPr>
          <w:rFonts w:eastAsia="Times New Roman"/>
          <w:szCs w:val="22"/>
          <w:lang w:val="fr-FR" w:eastAsia="en-US"/>
        </w:rPr>
      </w:pPr>
      <w:r w:rsidRPr="00B75BB5">
        <w:rPr>
          <w:rFonts w:eastAsia="Times New Roman"/>
          <w:szCs w:val="22"/>
          <w:lang w:val="fr-FR" w:eastAsia="en-US"/>
        </w:rPr>
        <w:t>d</w:t>
      </w:r>
      <w:r w:rsidR="00F847D2" w:rsidRPr="00B75BB5">
        <w:rPr>
          <w:rFonts w:eastAsia="Times New Roman"/>
          <w:szCs w:val="22"/>
          <w:lang w:val="fr-FR" w:eastAsia="en-US"/>
        </w:rPr>
        <w:t>’</w:t>
      </w:r>
      <w:r w:rsidRPr="00B75BB5">
        <w:rPr>
          <w:rFonts w:eastAsia="Times New Roman"/>
          <w:szCs w:val="22"/>
          <w:lang w:val="fr-FR" w:eastAsia="en-US"/>
        </w:rPr>
        <w:t>être employés à l</w:t>
      </w:r>
      <w:r w:rsidR="00F847D2" w:rsidRPr="00B75BB5">
        <w:rPr>
          <w:rFonts w:eastAsia="Times New Roman"/>
          <w:szCs w:val="22"/>
          <w:lang w:val="fr-FR" w:eastAsia="en-US"/>
        </w:rPr>
        <w:t>’</w:t>
      </w:r>
      <w:r w:rsidRPr="00B75BB5">
        <w:rPr>
          <w:rFonts w:eastAsia="Times New Roman"/>
          <w:szCs w:val="22"/>
          <w:lang w:val="fr-FR" w:eastAsia="en-US"/>
        </w:rPr>
        <w:t>OMPI;</w:t>
      </w:r>
    </w:p>
    <w:p w:rsidR="00255436" w:rsidRPr="00B75BB5" w:rsidRDefault="00953ABA" w:rsidP="008B10D8">
      <w:pPr>
        <w:numPr>
          <w:ilvl w:val="0"/>
          <w:numId w:val="19"/>
        </w:numPr>
        <w:ind w:left="1134" w:hanging="567"/>
        <w:rPr>
          <w:rFonts w:eastAsia="Times New Roman"/>
          <w:szCs w:val="22"/>
          <w:lang w:val="fr-FR" w:eastAsia="en-US"/>
        </w:rPr>
      </w:pPr>
      <w:r w:rsidRPr="00B75BB5">
        <w:rPr>
          <w:rFonts w:eastAsia="Times New Roman"/>
          <w:szCs w:val="22"/>
          <w:lang w:val="fr-FR" w:eastAsia="en-US"/>
        </w:rPr>
        <w:t>de résider en France, et ne déménageront pas en Suisse, auquel cas ils auraient droit à l</w:t>
      </w:r>
      <w:r w:rsidR="00F847D2" w:rsidRPr="00B75BB5">
        <w:rPr>
          <w:rFonts w:eastAsia="Times New Roman"/>
          <w:szCs w:val="22"/>
          <w:lang w:val="fr-FR" w:eastAsia="en-US"/>
        </w:rPr>
        <w:t>’</w:t>
      </w:r>
      <w:r w:rsidRPr="00B75BB5">
        <w:rPr>
          <w:rFonts w:eastAsia="Times New Roman"/>
          <w:szCs w:val="22"/>
          <w:lang w:val="fr-FR" w:eastAsia="en-US"/>
        </w:rPr>
        <w:t>indemnité pour frais d</w:t>
      </w:r>
      <w:r w:rsidR="00F847D2" w:rsidRPr="00B75BB5">
        <w:rPr>
          <w:rFonts w:eastAsia="Times New Roman"/>
          <w:szCs w:val="22"/>
          <w:lang w:val="fr-FR" w:eastAsia="en-US"/>
        </w:rPr>
        <w:t>’</w:t>
      </w:r>
      <w:r w:rsidRPr="00B75BB5">
        <w:rPr>
          <w:rFonts w:eastAsia="Times New Roman"/>
          <w:szCs w:val="22"/>
          <w:lang w:val="fr-FR" w:eastAsia="en-US"/>
        </w:rPr>
        <w:t>études en vertu de l</w:t>
      </w:r>
      <w:r w:rsidR="00F847D2" w:rsidRPr="00B75BB5">
        <w:rPr>
          <w:rFonts w:eastAsia="Times New Roman"/>
          <w:szCs w:val="22"/>
          <w:lang w:val="fr-FR" w:eastAsia="en-US"/>
        </w:rPr>
        <w:t>’</w:t>
      </w:r>
      <w:r w:rsidRPr="00B75BB5">
        <w:rPr>
          <w:rFonts w:eastAsia="Times New Roman"/>
          <w:szCs w:val="22"/>
          <w:lang w:val="fr-FR" w:eastAsia="en-US"/>
        </w:rPr>
        <w:t>article</w:t>
      </w:r>
      <w:r w:rsidR="004C09AE" w:rsidRPr="00B75BB5">
        <w:rPr>
          <w:rFonts w:eastAsia="Times New Roman"/>
          <w:szCs w:val="22"/>
          <w:lang w:val="fr-FR" w:eastAsia="en-US"/>
        </w:rPr>
        <w:t> </w:t>
      </w:r>
      <w:r w:rsidRPr="00B75BB5">
        <w:rPr>
          <w:rFonts w:eastAsia="Times New Roman"/>
          <w:szCs w:val="22"/>
          <w:lang w:val="fr-FR" w:eastAsia="en-US"/>
        </w:rPr>
        <w:t>3.14.a) et non au titre d</w:t>
      </w:r>
      <w:r w:rsidR="00F847D2" w:rsidRPr="00B75BB5">
        <w:rPr>
          <w:rFonts w:eastAsia="Times New Roman"/>
          <w:szCs w:val="22"/>
          <w:lang w:val="fr-FR" w:eastAsia="en-US"/>
        </w:rPr>
        <w:t>’</w:t>
      </w:r>
      <w:r w:rsidRPr="00B75BB5">
        <w:rPr>
          <w:rFonts w:eastAsia="Times New Roman"/>
          <w:szCs w:val="22"/>
          <w:lang w:val="fr-FR" w:eastAsia="en-US"/>
        </w:rPr>
        <w:t>une quelconque mesure transitoire;</w:t>
      </w:r>
    </w:p>
    <w:p w:rsidR="00255436" w:rsidRPr="00B75BB5" w:rsidRDefault="00953ABA" w:rsidP="00953ABA">
      <w:pPr>
        <w:numPr>
          <w:ilvl w:val="0"/>
          <w:numId w:val="19"/>
        </w:numPr>
        <w:ind w:left="1134" w:hanging="567"/>
        <w:rPr>
          <w:rFonts w:eastAsia="Times New Roman"/>
          <w:szCs w:val="22"/>
          <w:lang w:val="fr-FR" w:eastAsia="en-US"/>
        </w:rPr>
      </w:pPr>
      <w:r w:rsidRPr="00B75BB5">
        <w:rPr>
          <w:rFonts w:eastAsia="Times New Roman"/>
          <w:szCs w:val="22"/>
          <w:lang w:val="fr-FR" w:eastAsia="en-US"/>
        </w:rPr>
        <w:t>d</w:t>
      </w:r>
      <w:r w:rsidR="00F847D2" w:rsidRPr="00B75BB5">
        <w:rPr>
          <w:rFonts w:eastAsia="Times New Roman"/>
          <w:szCs w:val="22"/>
          <w:lang w:val="fr-FR" w:eastAsia="en-US"/>
        </w:rPr>
        <w:t>’</w:t>
      </w:r>
      <w:r w:rsidRPr="00B75BB5">
        <w:rPr>
          <w:rFonts w:eastAsia="Times New Roman"/>
          <w:szCs w:val="22"/>
          <w:lang w:val="fr-FR" w:eastAsia="en-US"/>
        </w:rPr>
        <w:t>engager des frais remboursables au titre du régime de l</w:t>
      </w:r>
      <w:r w:rsidR="00F847D2" w:rsidRPr="00B75BB5">
        <w:rPr>
          <w:rFonts w:eastAsia="Times New Roman"/>
          <w:szCs w:val="22"/>
          <w:lang w:val="fr-FR" w:eastAsia="en-US"/>
        </w:rPr>
        <w:t>’</w:t>
      </w:r>
      <w:r w:rsidRPr="00B75BB5">
        <w:rPr>
          <w:rFonts w:eastAsia="Times New Roman"/>
          <w:szCs w:val="22"/>
          <w:lang w:val="fr-FR" w:eastAsia="en-US"/>
        </w:rPr>
        <w:t>indemnité pour frais d</w:t>
      </w:r>
      <w:r w:rsidR="00F847D2" w:rsidRPr="00B75BB5">
        <w:rPr>
          <w:rFonts w:eastAsia="Times New Roman"/>
          <w:szCs w:val="22"/>
          <w:lang w:val="fr-FR" w:eastAsia="en-US"/>
        </w:rPr>
        <w:t>’</w:t>
      </w:r>
      <w:r w:rsidRPr="00B75BB5">
        <w:rPr>
          <w:rFonts w:eastAsia="Times New Roman"/>
          <w:szCs w:val="22"/>
          <w:lang w:val="fr-FR" w:eastAsia="en-US"/>
        </w:rPr>
        <w:t>études pour l</w:t>
      </w:r>
      <w:r w:rsidR="00F847D2" w:rsidRPr="00B75BB5">
        <w:rPr>
          <w:rFonts w:eastAsia="Times New Roman"/>
          <w:szCs w:val="22"/>
          <w:lang w:val="fr-FR" w:eastAsia="en-US"/>
        </w:rPr>
        <w:t>’</w:t>
      </w:r>
      <w:r w:rsidRPr="00B75BB5">
        <w:rPr>
          <w:rFonts w:eastAsia="Times New Roman"/>
          <w:szCs w:val="22"/>
          <w:lang w:val="fr-FR" w:eastAsia="en-US"/>
        </w:rPr>
        <w:t>année scolaire commençant en septembre</w:t>
      </w:r>
      <w:r w:rsidR="004C09AE" w:rsidRPr="00B75BB5">
        <w:rPr>
          <w:rFonts w:eastAsia="Times New Roman"/>
          <w:szCs w:val="22"/>
          <w:lang w:val="fr-FR" w:eastAsia="en-US"/>
        </w:rPr>
        <w:t> </w:t>
      </w:r>
      <w:r w:rsidRPr="00B75BB5">
        <w:rPr>
          <w:rFonts w:eastAsia="Times New Roman"/>
          <w:szCs w:val="22"/>
          <w:lang w:val="fr-FR" w:eastAsia="en-US"/>
        </w:rPr>
        <w:t>2016;</w:t>
      </w:r>
    </w:p>
    <w:p w:rsidR="00255436" w:rsidRPr="00B75BB5" w:rsidRDefault="00953ABA" w:rsidP="00953ABA">
      <w:pPr>
        <w:numPr>
          <w:ilvl w:val="0"/>
          <w:numId w:val="19"/>
        </w:numPr>
        <w:ind w:left="1134" w:hanging="567"/>
        <w:rPr>
          <w:rFonts w:eastAsia="Times New Roman"/>
          <w:szCs w:val="22"/>
          <w:lang w:val="fr-FR" w:eastAsia="en-US"/>
        </w:rPr>
      </w:pPr>
      <w:r w:rsidRPr="00B75BB5">
        <w:rPr>
          <w:rFonts w:eastAsia="Times New Roman"/>
          <w:szCs w:val="22"/>
          <w:lang w:val="fr-FR" w:eastAsia="en-US"/>
        </w:rPr>
        <w:t>d</w:t>
      </w:r>
      <w:r w:rsidR="00F847D2" w:rsidRPr="00B75BB5">
        <w:rPr>
          <w:rFonts w:eastAsia="Times New Roman"/>
          <w:szCs w:val="22"/>
          <w:lang w:val="fr-FR" w:eastAsia="en-US"/>
        </w:rPr>
        <w:t>’</w:t>
      </w:r>
      <w:r w:rsidRPr="00B75BB5">
        <w:rPr>
          <w:rFonts w:eastAsia="Times New Roman"/>
          <w:szCs w:val="22"/>
          <w:lang w:val="fr-FR" w:eastAsia="en-US"/>
        </w:rPr>
        <w:t>inscrire leurs enfants dans le même établissement d</w:t>
      </w:r>
      <w:r w:rsidR="00F847D2" w:rsidRPr="00B75BB5">
        <w:rPr>
          <w:rFonts w:eastAsia="Times New Roman"/>
          <w:szCs w:val="22"/>
          <w:lang w:val="fr-FR" w:eastAsia="en-US"/>
        </w:rPr>
        <w:t>’</w:t>
      </w:r>
      <w:r w:rsidRPr="00B75BB5">
        <w:rPr>
          <w:rFonts w:eastAsia="Times New Roman"/>
          <w:szCs w:val="22"/>
          <w:lang w:val="fr-FR" w:eastAsia="en-US"/>
        </w:rPr>
        <w:t>enseignement qu</w:t>
      </w:r>
      <w:r w:rsidR="00F847D2" w:rsidRPr="00B75BB5">
        <w:rPr>
          <w:rFonts w:eastAsia="Times New Roman"/>
          <w:szCs w:val="22"/>
          <w:lang w:val="fr-FR" w:eastAsia="en-US"/>
        </w:rPr>
        <w:t>’</w:t>
      </w:r>
      <w:r w:rsidRPr="00B75BB5">
        <w:rPr>
          <w:rFonts w:eastAsia="Times New Roman"/>
          <w:szCs w:val="22"/>
          <w:lang w:val="fr-FR" w:eastAsia="en-US"/>
        </w:rPr>
        <w:t xml:space="preserve">ils </w:t>
      </w:r>
      <w:r w:rsidR="004C09AE" w:rsidRPr="00B75BB5">
        <w:rPr>
          <w:rFonts w:eastAsia="Times New Roman"/>
          <w:szCs w:val="22"/>
          <w:lang w:val="fr-FR" w:eastAsia="en-US"/>
        </w:rPr>
        <w:t>fréquentent actuellement;</w:t>
      </w:r>
    </w:p>
    <w:p w:rsidR="00255436" w:rsidRPr="00B75BB5" w:rsidRDefault="00953ABA" w:rsidP="00953ABA">
      <w:pPr>
        <w:numPr>
          <w:ilvl w:val="0"/>
          <w:numId w:val="19"/>
        </w:numPr>
        <w:ind w:left="1134" w:hanging="567"/>
        <w:rPr>
          <w:rFonts w:eastAsia="Times New Roman"/>
          <w:szCs w:val="22"/>
          <w:lang w:val="fr-FR" w:eastAsia="en-US"/>
        </w:rPr>
      </w:pPr>
      <w:r w:rsidRPr="00B75BB5">
        <w:rPr>
          <w:rFonts w:eastAsia="Times New Roman"/>
          <w:szCs w:val="22"/>
          <w:lang w:val="fr-FR" w:eastAsia="en-US"/>
        </w:rPr>
        <w:t>de devoir payer les mêmes frais de scolarité aux établissements d</w:t>
      </w:r>
      <w:r w:rsidR="00F847D2" w:rsidRPr="00B75BB5">
        <w:rPr>
          <w:rFonts w:eastAsia="Times New Roman"/>
          <w:szCs w:val="22"/>
          <w:lang w:val="fr-FR" w:eastAsia="en-US"/>
        </w:rPr>
        <w:t>’</w:t>
      </w:r>
      <w:r w:rsidRPr="00B75BB5">
        <w:rPr>
          <w:rFonts w:eastAsia="Times New Roman"/>
          <w:szCs w:val="22"/>
          <w:lang w:val="fr-FR" w:eastAsia="en-US"/>
        </w:rPr>
        <w:t>enseignement en question, pour le(s) même(s) type(s) de dépenses.</w:t>
      </w:r>
    </w:p>
    <w:p w:rsidR="00255436" w:rsidRPr="00B75BB5" w:rsidRDefault="00255436" w:rsidP="00B75BB5">
      <w:pPr>
        <w:rPr>
          <w:rFonts w:eastAsia="Times New Roman"/>
          <w:szCs w:val="22"/>
          <w:lang w:val="fr-FR" w:eastAsia="en-US"/>
        </w:rPr>
      </w:pPr>
    </w:p>
    <w:p w:rsidR="00752542" w:rsidRPr="00B75BB5" w:rsidRDefault="004D6EF3" w:rsidP="00752542">
      <w:pPr>
        <w:pStyle w:val="ONUMFS"/>
        <w:rPr>
          <w:lang w:val="fr-FR" w:eastAsia="en-US"/>
        </w:rPr>
      </w:pPr>
      <w:r w:rsidRPr="00B75BB5">
        <w:rPr>
          <w:lang w:val="fr-FR" w:eastAsia="en-US"/>
        </w:rPr>
        <w:t>En outre, il convient de prendre en compte les changements intervenus dans le calcul de l</w:t>
      </w:r>
      <w:r w:rsidR="00F847D2" w:rsidRPr="00B75BB5">
        <w:rPr>
          <w:lang w:val="fr-FR" w:eastAsia="en-US"/>
        </w:rPr>
        <w:t>’</w:t>
      </w:r>
      <w:r w:rsidRPr="00B75BB5">
        <w:rPr>
          <w:lang w:val="fr-FR" w:eastAsia="en-US"/>
        </w:rPr>
        <w:t>indemnité pour frais d</w:t>
      </w:r>
      <w:r w:rsidR="00F847D2" w:rsidRPr="00B75BB5">
        <w:rPr>
          <w:lang w:val="fr-FR" w:eastAsia="en-US"/>
        </w:rPr>
        <w:t>’</w:t>
      </w:r>
      <w:r w:rsidRPr="00B75BB5">
        <w:rPr>
          <w:lang w:val="fr-FR" w:eastAsia="en-US"/>
        </w:rPr>
        <w:t xml:space="preserve">études suite à la mise en </w:t>
      </w:r>
      <w:r w:rsidR="004C09AE" w:rsidRPr="00B75BB5">
        <w:rPr>
          <w:lang w:val="fr-FR" w:eastAsia="en-US"/>
        </w:rPr>
        <w:t xml:space="preserve">œuvre </w:t>
      </w:r>
      <w:r w:rsidRPr="00B75BB5">
        <w:rPr>
          <w:lang w:val="fr-FR" w:eastAsia="en-US"/>
        </w:rPr>
        <w:t>de la réforme de l</w:t>
      </w:r>
      <w:r w:rsidR="00F847D2" w:rsidRPr="00B75BB5">
        <w:rPr>
          <w:lang w:val="fr-FR" w:eastAsia="en-US"/>
        </w:rPr>
        <w:t>’</w:t>
      </w:r>
      <w:r w:rsidRPr="00B75BB5">
        <w:rPr>
          <w:lang w:val="fr-FR" w:eastAsia="en-US"/>
        </w:rPr>
        <w:t xml:space="preserve">ensemble des prestations offertes au sein du système commun des </w:t>
      </w:r>
      <w:r w:rsidR="00F847D2" w:rsidRPr="00B75BB5">
        <w:rPr>
          <w:lang w:val="fr-FR" w:eastAsia="en-US"/>
        </w:rPr>
        <w:t>Nations Unies</w:t>
      </w:r>
      <w:r w:rsidRPr="00B75BB5">
        <w:rPr>
          <w:lang w:val="fr-FR" w:eastAsia="en-US"/>
        </w:rPr>
        <w:t>, qui devrait entrer en vigueur à compter de l</w:t>
      </w:r>
      <w:r w:rsidR="00F847D2" w:rsidRPr="00B75BB5">
        <w:rPr>
          <w:lang w:val="fr-FR" w:eastAsia="en-US"/>
        </w:rPr>
        <w:t>’</w:t>
      </w:r>
      <w:r w:rsidRPr="00B75BB5">
        <w:rPr>
          <w:lang w:val="fr-FR" w:eastAsia="en-US"/>
        </w:rPr>
        <w:t>année scolaire en cours au</w:t>
      </w:r>
      <w:r w:rsidR="00F847D2" w:rsidRPr="00B75BB5">
        <w:rPr>
          <w:lang w:val="fr-FR" w:eastAsia="en-US"/>
        </w:rPr>
        <w:t xml:space="preserve"> 1</w:t>
      </w:r>
      <w:r w:rsidR="00F847D2" w:rsidRPr="00B75BB5">
        <w:rPr>
          <w:vertAlign w:val="superscript"/>
          <w:lang w:val="fr-FR" w:eastAsia="en-US"/>
        </w:rPr>
        <w:t>er</w:t>
      </w:r>
      <w:r w:rsidR="00F847D2" w:rsidRPr="00B75BB5">
        <w:rPr>
          <w:lang w:val="fr-FR" w:eastAsia="en-US"/>
        </w:rPr>
        <w:t> </w:t>
      </w:r>
      <w:r w:rsidRPr="00B75BB5">
        <w:rPr>
          <w:lang w:val="fr-FR" w:eastAsia="en-US"/>
        </w:rPr>
        <w:t>janvier</w:t>
      </w:r>
      <w:r w:rsidR="004C09AE" w:rsidRPr="00B75BB5">
        <w:rPr>
          <w:lang w:val="fr-FR" w:eastAsia="en-US"/>
        </w:rPr>
        <w:t> </w:t>
      </w:r>
      <w:r w:rsidRPr="00B75BB5">
        <w:rPr>
          <w:lang w:val="fr-FR" w:eastAsia="en-US"/>
        </w:rPr>
        <w:t>2018 (c</w:t>
      </w:r>
      <w:r w:rsidR="00F847D2" w:rsidRPr="00B75BB5">
        <w:rPr>
          <w:lang w:val="fr-FR" w:eastAsia="en-US"/>
        </w:rPr>
        <w:t>’</w:t>
      </w:r>
      <w:r w:rsidRPr="00B75BB5">
        <w:rPr>
          <w:lang w:val="fr-FR" w:eastAsia="en-US"/>
        </w:rPr>
        <w:t>est</w:t>
      </w:r>
      <w:r w:rsidR="00DA5099" w:rsidRPr="00B75BB5">
        <w:rPr>
          <w:lang w:val="fr-FR" w:eastAsia="en-US"/>
        </w:rPr>
        <w:noBreakHyphen/>
      </w:r>
      <w:r w:rsidRPr="00B75BB5">
        <w:rPr>
          <w:lang w:val="fr-FR" w:eastAsia="en-US"/>
        </w:rPr>
        <w:t>à</w:t>
      </w:r>
      <w:r w:rsidR="00DA5099" w:rsidRPr="00B75BB5">
        <w:rPr>
          <w:lang w:val="fr-FR" w:eastAsia="en-US"/>
        </w:rPr>
        <w:noBreakHyphen/>
      </w:r>
      <w:r w:rsidRPr="00B75BB5">
        <w:rPr>
          <w:lang w:val="fr-FR" w:eastAsia="en-US"/>
        </w:rPr>
        <w:t>dire l</w:t>
      </w:r>
      <w:r w:rsidR="00F847D2" w:rsidRPr="00B75BB5">
        <w:rPr>
          <w:lang w:val="fr-FR" w:eastAsia="en-US"/>
        </w:rPr>
        <w:t>’</w:t>
      </w:r>
      <w:r w:rsidRPr="00B75BB5">
        <w:rPr>
          <w:lang w:val="fr-FR" w:eastAsia="en-US"/>
        </w:rPr>
        <w:t>année scolaire 2017</w:t>
      </w:r>
      <w:r w:rsidR="00DA5099" w:rsidRPr="00B75BB5">
        <w:rPr>
          <w:lang w:val="fr-FR" w:eastAsia="en-US"/>
        </w:rPr>
        <w:noBreakHyphen/>
      </w:r>
      <w:r w:rsidRPr="00B75BB5">
        <w:rPr>
          <w:lang w:val="fr-FR" w:eastAsia="en-US"/>
        </w:rPr>
        <w:t>2018 pour les écoles situées dans l</w:t>
      </w:r>
      <w:r w:rsidR="00F847D2" w:rsidRPr="00B75BB5">
        <w:rPr>
          <w:lang w:val="fr-FR" w:eastAsia="en-US"/>
        </w:rPr>
        <w:t>’</w:t>
      </w:r>
      <w:r w:rsidRPr="00B75BB5">
        <w:rPr>
          <w:lang w:val="fr-FR" w:eastAsia="en-US"/>
        </w:rPr>
        <w:t>hémisphère nord).</w:t>
      </w:r>
      <w:r w:rsidR="002E4DE0" w:rsidRPr="00B75BB5">
        <w:rPr>
          <w:lang w:val="fr-FR"/>
        </w:rPr>
        <w:t xml:space="preserve">  </w:t>
      </w:r>
      <w:r w:rsidR="000B0F0D" w:rsidRPr="00B75BB5">
        <w:rPr>
          <w:lang w:val="fr-FR" w:eastAsia="en-US"/>
        </w:rPr>
        <w:t>D</w:t>
      </w:r>
      <w:r w:rsidR="00F847D2" w:rsidRPr="00B75BB5">
        <w:rPr>
          <w:lang w:val="fr-FR" w:eastAsia="en-US"/>
        </w:rPr>
        <w:t>’</w:t>
      </w:r>
      <w:r w:rsidR="000B0F0D" w:rsidRPr="00B75BB5">
        <w:rPr>
          <w:lang w:val="fr-FR" w:eastAsia="en-US"/>
        </w:rPr>
        <w:t>une manière générale, la principale modification pour les fonctionnaires en poste dans des lieux d</w:t>
      </w:r>
      <w:r w:rsidR="00F847D2" w:rsidRPr="00B75BB5">
        <w:rPr>
          <w:lang w:val="fr-FR" w:eastAsia="en-US"/>
        </w:rPr>
        <w:t>’</w:t>
      </w:r>
      <w:r w:rsidR="000B0F0D" w:rsidRPr="00B75BB5">
        <w:rPr>
          <w:lang w:val="fr-FR" w:eastAsia="en-US"/>
        </w:rPr>
        <w:t xml:space="preserve">affectation de la catégorie </w:t>
      </w:r>
      <w:r w:rsidR="00F847D2" w:rsidRPr="00B75BB5">
        <w:rPr>
          <w:lang w:val="fr-FR" w:eastAsia="en-US"/>
        </w:rPr>
        <w:t>“</w:t>
      </w:r>
      <w:r w:rsidR="000B0F0D" w:rsidRPr="00B75BB5">
        <w:rPr>
          <w:lang w:val="fr-FR" w:eastAsia="en-US"/>
        </w:rPr>
        <w:t>H</w:t>
      </w:r>
      <w:r w:rsidR="00F847D2" w:rsidRPr="00B75BB5">
        <w:rPr>
          <w:lang w:val="fr-FR" w:eastAsia="en-US"/>
        </w:rPr>
        <w:t>”</w:t>
      </w:r>
      <w:r w:rsidR="000B0F0D" w:rsidRPr="00B75BB5">
        <w:rPr>
          <w:lang w:val="fr-FR" w:eastAsia="en-US"/>
        </w:rPr>
        <w:t xml:space="preserve"> (comme Genève) est que les frais d</w:t>
      </w:r>
      <w:r w:rsidR="00F847D2" w:rsidRPr="00B75BB5">
        <w:rPr>
          <w:lang w:val="fr-FR" w:eastAsia="en-US"/>
        </w:rPr>
        <w:t>’</w:t>
      </w:r>
      <w:r w:rsidR="000B0F0D" w:rsidRPr="00B75BB5">
        <w:rPr>
          <w:lang w:val="fr-FR" w:eastAsia="en-US"/>
        </w:rPr>
        <w:t>internat et les voyages au titre de l</w:t>
      </w:r>
      <w:r w:rsidR="00F847D2" w:rsidRPr="00B75BB5">
        <w:rPr>
          <w:lang w:val="fr-FR" w:eastAsia="en-US"/>
        </w:rPr>
        <w:t>’</w:t>
      </w:r>
      <w:r w:rsidR="000B0F0D" w:rsidRPr="00B75BB5">
        <w:rPr>
          <w:lang w:val="fr-FR" w:eastAsia="en-US"/>
        </w:rPr>
        <w:t>indemnité pour frais d</w:t>
      </w:r>
      <w:r w:rsidR="00F847D2" w:rsidRPr="00B75BB5">
        <w:rPr>
          <w:lang w:val="fr-FR" w:eastAsia="en-US"/>
        </w:rPr>
        <w:t>’</w:t>
      </w:r>
      <w:r w:rsidR="000B0F0D" w:rsidRPr="00B75BB5">
        <w:rPr>
          <w:lang w:val="fr-FR" w:eastAsia="en-US"/>
        </w:rPr>
        <w:t>études ne font plus partie des frais remboursables au titre du régime révi</w:t>
      </w:r>
      <w:r w:rsidR="00FB2861" w:rsidRPr="00B75BB5">
        <w:rPr>
          <w:lang w:val="fr-FR" w:eastAsia="en-US"/>
        </w:rPr>
        <w:t>sé.  Il</w:t>
      </w:r>
      <w:r w:rsidR="000B0F0D" w:rsidRPr="00B75BB5">
        <w:rPr>
          <w:lang w:val="fr-FR" w:eastAsia="en-US"/>
        </w:rPr>
        <w:t xml:space="preserve"> en va de même pour certains autres frais, tels que le coût des repas, les frais de transport, de livres et de fournitures scolaires.</w:t>
      </w:r>
    </w:p>
    <w:p w:rsidR="00752542" w:rsidRPr="00B75BB5" w:rsidRDefault="000B0F0D" w:rsidP="00752542">
      <w:pPr>
        <w:pStyle w:val="ONUMFS"/>
        <w:rPr>
          <w:lang w:val="fr-FR" w:eastAsia="en-US"/>
        </w:rPr>
      </w:pPr>
      <w:r w:rsidRPr="00B75BB5">
        <w:rPr>
          <w:lang w:val="fr-FR" w:eastAsia="en-US"/>
        </w:rPr>
        <w:t>Cette analyse financière ne prend pas en compte les éventuelles mesures transitoires que l</w:t>
      </w:r>
      <w:r w:rsidR="00F847D2" w:rsidRPr="00B75BB5">
        <w:rPr>
          <w:lang w:val="fr-FR" w:eastAsia="en-US"/>
        </w:rPr>
        <w:t>’</w:t>
      </w:r>
      <w:r w:rsidRPr="00B75BB5">
        <w:rPr>
          <w:lang w:val="fr-FR" w:eastAsia="en-US"/>
        </w:rPr>
        <w:t xml:space="preserve">OMPI pourrait proposer </w:t>
      </w:r>
      <w:r w:rsidR="004C09AE" w:rsidRPr="00B75BB5">
        <w:rPr>
          <w:lang w:val="fr-FR" w:eastAsia="en-US"/>
        </w:rPr>
        <w:t>dans le cadre</w:t>
      </w:r>
      <w:r w:rsidRPr="00B75BB5">
        <w:rPr>
          <w:lang w:val="fr-FR" w:eastAsia="en-US"/>
        </w:rPr>
        <w:t xml:space="preserve"> </w:t>
      </w:r>
      <w:r w:rsidR="004C09AE" w:rsidRPr="00B75BB5">
        <w:rPr>
          <w:lang w:val="fr-FR" w:eastAsia="en-US"/>
        </w:rPr>
        <w:t xml:space="preserve">de </w:t>
      </w:r>
      <w:r w:rsidRPr="00B75BB5">
        <w:rPr>
          <w:lang w:val="fr-FR" w:eastAsia="en-US"/>
        </w:rPr>
        <w:t xml:space="preserve">la mise en </w:t>
      </w:r>
      <w:r w:rsidR="004C09AE" w:rsidRPr="00B75BB5">
        <w:rPr>
          <w:lang w:val="fr-FR" w:eastAsia="en-US"/>
        </w:rPr>
        <w:t xml:space="preserve">œuvre </w:t>
      </w:r>
      <w:r w:rsidRPr="00B75BB5">
        <w:rPr>
          <w:lang w:val="fr-FR" w:eastAsia="en-US"/>
        </w:rPr>
        <w:t>du nouveau régime de l</w:t>
      </w:r>
      <w:r w:rsidR="00F847D2" w:rsidRPr="00B75BB5">
        <w:rPr>
          <w:lang w:val="fr-FR" w:eastAsia="en-US"/>
        </w:rPr>
        <w:t>’</w:t>
      </w:r>
      <w:r w:rsidRPr="00B75BB5">
        <w:rPr>
          <w:lang w:val="fr-FR" w:eastAsia="en-US"/>
        </w:rPr>
        <w:t>indemnité pour frais d</w:t>
      </w:r>
      <w:r w:rsidR="00F847D2" w:rsidRPr="00B75BB5">
        <w:rPr>
          <w:lang w:val="fr-FR" w:eastAsia="en-US"/>
        </w:rPr>
        <w:t>’</w:t>
      </w:r>
      <w:r w:rsidRPr="00B75BB5">
        <w:rPr>
          <w:lang w:val="fr-FR" w:eastAsia="en-US"/>
        </w:rPr>
        <w:t>étud</w:t>
      </w:r>
      <w:r w:rsidR="00FB2861" w:rsidRPr="00B75BB5">
        <w:rPr>
          <w:lang w:val="fr-FR" w:eastAsia="en-US"/>
        </w:rPr>
        <w:t>es.  Ce</w:t>
      </w:r>
      <w:r w:rsidRPr="00B75BB5">
        <w:rPr>
          <w:lang w:val="fr-FR" w:eastAsia="en-US"/>
        </w:rPr>
        <w:t>s mesures transitoires, si elles étaient acceptées, seraient applicables aux fonctionnaires en général et pas seulement aux fonctionnaires français résidant en France.</w:t>
      </w:r>
    </w:p>
    <w:p w:rsidR="00752542" w:rsidRPr="00B75BB5" w:rsidRDefault="003D134A" w:rsidP="00752542">
      <w:pPr>
        <w:pStyle w:val="ONUMFS"/>
        <w:rPr>
          <w:lang w:val="fr-FR" w:eastAsia="en-US"/>
        </w:rPr>
      </w:pPr>
      <w:r w:rsidRPr="00B75BB5">
        <w:rPr>
          <w:lang w:val="fr-FR" w:eastAsia="en-US"/>
        </w:rPr>
        <w:t>Compte tenu de ce qui précède, il est estimé que, sur les 31</w:t>
      </w:r>
      <w:r w:rsidR="004C09AE" w:rsidRPr="00B75BB5">
        <w:rPr>
          <w:lang w:val="fr-FR" w:eastAsia="en-US"/>
        </w:rPr>
        <w:t> </w:t>
      </w:r>
      <w:r w:rsidRPr="00B75BB5">
        <w:rPr>
          <w:lang w:val="fr-FR" w:eastAsia="en-US"/>
        </w:rPr>
        <w:t>fonctionnaires français, 24</w:t>
      </w:r>
      <w:r w:rsidR="004C09AE" w:rsidRPr="00B75BB5">
        <w:rPr>
          <w:lang w:val="fr-FR" w:eastAsia="en-US"/>
        </w:rPr>
        <w:t> </w:t>
      </w:r>
      <w:r w:rsidRPr="00B75BB5">
        <w:rPr>
          <w:lang w:val="fr-FR" w:eastAsia="en-US"/>
        </w:rPr>
        <w:t>seulement tomberaient sous le coup de la mesure transitoire propos</w:t>
      </w:r>
      <w:r w:rsidR="00FB2861" w:rsidRPr="00B75BB5">
        <w:rPr>
          <w:lang w:val="fr-FR" w:eastAsia="en-US"/>
        </w:rPr>
        <w:t>ée.  Ce</w:t>
      </w:r>
      <w:r w:rsidRPr="00B75BB5">
        <w:rPr>
          <w:lang w:val="fr-FR" w:eastAsia="en-US"/>
        </w:rPr>
        <w:t>la tient au fait que les enfants de sept</w:t>
      </w:r>
      <w:r w:rsidR="004C09AE" w:rsidRPr="00B75BB5">
        <w:rPr>
          <w:lang w:val="fr-FR" w:eastAsia="en-US"/>
        </w:rPr>
        <w:t> </w:t>
      </w:r>
      <w:r w:rsidRPr="00B75BB5">
        <w:rPr>
          <w:lang w:val="fr-FR" w:eastAsia="en-US"/>
        </w:rPr>
        <w:t xml:space="preserve">fonctionnaires arriveraient au bout de leur cycle scolaire </w:t>
      </w:r>
      <w:r w:rsidR="00404D41" w:rsidRPr="00B75BB5">
        <w:rPr>
          <w:lang w:val="fr-FR" w:eastAsia="en-US"/>
        </w:rPr>
        <w:t>d</w:t>
      </w:r>
      <w:r w:rsidR="00F847D2" w:rsidRPr="00B75BB5">
        <w:rPr>
          <w:lang w:val="fr-FR" w:eastAsia="en-US"/>
        </w:rPr>
        <w:t>’</w:t>
      </w:r>
      <w:r w:rsidR="00404D41" w:rsidRPr="00B75BB5">
        <w:rPr>
          <w:lang w:val="fr-FR" w:eastAsia="en-US"/>
        </w:rPr>
        <w:t>ici</w:t>
      </w:r>
      <w:r w:rsidRPr="00B75BB5">
        <w:rPr>
          <w:lang w:val="fr-FR" w:eastAsia="en-US"/>
        </w:rPr>
        <w:t xml:space="preserve"> </w:t>
      </w:r>
      <w:r w:rsidR="00F847D2" w:rsidRPr="00B75BB5">
        <w:rPr>
          <w:lang w:val="fr-FR" w:eastAsia="en-US"/>
        </w:rPr>
        <w:t>septembre 20</w:t>
      </w:r>
      <w:r w:rsidRPr="00B75BB5">
        <w:rPr>
          <w:lang w:val="fr-FR" w:eastAsia="en-US"/>
        </w:rPr>
        <w:t xml:space="preserve">17 ou que les frais </w:t>
      </w:r>
      <w:r w:rsidR="00404D41" w:rsidRPr="00B75BB5">
        <w:rPr>
          <w:lang w:val="fr-FR" w:eastAsia="en-US"/>
        </w:rPr>
        <w:t xml:space="preserve">de scolarité </w:t>
      </w:r>
      <w:r w:rsidRPr="00B75BB5">
        <w:rPr>
          <w:lang w:val="fr-FR" w:eastAsia="en-US"/>
        </w:rPr>
        <w:t>dont le remboursement est demandé ne seraient plus couverts par le nouveau régime de l</w:t>
      </w:r>
      <w:r w:rsidR="00F847D2" w:rsidRPr="00B75BB5">
        <w:rPr>
          <w:lang w:val="fr-FR" w:eastAsia="en-US"/>
        </w:rPr>
        <w:t>’</w:t>
      </w:r>
      <w:r w:rsidRPr="00B75BB5">
        <w:rPr>
          <w:lang w:val="fr-FR" w:eastAsia="en-US"/>
        </w:rPr>
        <w:t>indemnité pour frais d</w:t>
      </w:r>
      <w:r w:rsidR="00F847D2" w:rsidRPr="00B75BB5">
        <w:rPr>
          <w:lang w:val="fr-FR" w:eastAsia="en-US"/>
        </w:rPr>
        <w:t>’</w:t>
      </w:r>
      <w:r w:rsidRPr="00B75BB5">
        <w:rPr>
          <w:lang w:val="fr-FR" w:eastAsia="en-US"/>
        </w:rPr>
        <w:t>études.</w:t>
      </w:r>
    </w:p>
    <w:p w:rsidR="00752542" w:rsidRPr="00B75BB5" w:rsidRDefault="004B643B" w:rsidP="00752542">
      <w:pPr>
        <w:pStyle w:val="ONUMFS"/>
        <w:rPr>
          <w:lang w:val="fr-FR" w:eastAsia="en-US"/>
        </w:rPr>
      </w:pPr>
      <w:r w:rsidRPr="00B75BB5">
        <w:rPr>
          <w:lang w:val="fr-FR" w:eastAsia="en-US"/>
        </w:rPr>
        <w:t>Sur la base des hypothèses susmentionnées et compte tenu des changements apportés au régime de l</w:t>
      </w:r>
      <w:r w:rsidR="00F847D2" w:rsidRPr="00B75BB5">
        <w:rPr>
          <w:lang w:val="fr-FR" w:eastAsia="en-US"/>
        </w:rPr>
        <w:t>’</w:t>
      </w:r>
      <w:r w:rsidRPr="00B75BB5">
        <w:rPr>
          <w:lang w:val="fr-FR" w:eastAsia="en-US"/>
        </w:rPr>
        <w:t>indemnité pour frais d</w:t>
      </w:r>
      <w:r w:rsidR="00F847D2" w:rsidRPr="00B75BB5">
        <w:rPr>
          <w:lang w:val="fr-FR" w:eastAsia="en-US"/>
        </w:rPr>
        <w:t>’</w:t>
      </w:r>
      <w:r w:rsidRPr="00B75BB5">
        <w:rPr>
          <w:lang w:val="fr-FR" w:eastAsia="en-US"/>
        </w:rPr>
        <w:t>études à compter de l</w:t>
      </w:r>
      <w:r w:rsidR="00F847D2" w:rsidRPr="00B75BB5">
        <w:rPr>
          <w:lang w:val="fr-FR" w:eastAsia="en-US"/>
        </w:rPr>
        <w:t>’</w:t>
      </w:r>
      <w:r w:rsidRPr="00B75BB5">
        <w:rPr>
          <w:lang w:val="fr-FR" w:eastAsia="en-US"/>
        </w:rPr>
        <w:t>année scolaire 2017</w:t>
      </w:r>
      <w:r w:rsidR="00DA5099" w:rsidRPr="00B75BB5">
        <w:rPr>
          <w:lang w:val="fr-FR" w:eastAsia="en-US"/>
        </w:rPr>
        <w:noBreakHyphen/>
      </w:r>
      <w:r w:rsidRPr="00B75BB5">
        <w:rPr>
          <w:lang w:val="fr-FR" w:eastAsia="en-US"/>
        </w:rPr>
        <w:t>2018, le coût financier total maximum pour l</w:t>
      </w:r>
      <w:r w:rsidR="00F847D2" w:rsidRPr="00B75BB5">
        <w:rPr>
          <w:lang w:val="fr-FR" w:eastAsia="en-US"/>
        </w:rPr>
        <w:t>’</w:t>
      </w:r>
      <w:r w:rsidRPr="00B75BB5">
        <w:rPr>
          <w:lang w:val="fr-FR" w:eastAsia="en-US"/>
        </w:rPr>
        <w:t>OMPI résultant de l</w:t>
      </w:r>
      <w:r w:rsidR="00F847D2" w:rsidRPr="00B75BB5">
        <w:rPr>
          <w:lang w:val="fr-FR" w:eastAsia="en-US"/>
        </w:rPr>
        <w:t>’</w:t>
      </w:r>
      <w:r w:rsidRPr="00B75BB5">
        <w:rPr>
          <w:lang w:val="fr-FR" w:eastAsia="en-US"/>
        </w:rPr>
        <w:t xml:space="preserve">adoption de la mesure transitoire proposée </w:t>
      </w:r>
      <w:r w:rsidR="00F847D2" w:rsidRPr="00B75BB5">
        <w:rPr>
          <w:lang w:val="fr-FR" w:eastAsia="en-US"/>
        </w:rPr>
        <w:t>à l’égard</w:t>
      </w:r>
      <w:r w:rsidRPr="00B75BB5">
        <w:rPr>
          <w:lang w:val="fr-FR" w:eastAsia="en-US"/>
        </w:rPr>
        <w:t xml:space="preserve"> des 24</w:t>
      </w:r>
      <w:r w:rsidR="004C09AE" w:rsidRPr="00B75BB5">
        <w:rPr>
          <w:lang w:val="fr-FR" w:eastAsia="en-US"/>
        </w:rPr>
        <w:t> </w:t>
      </w:r>
      <w:r w:rsidRPr="00B75BB5">
        <w:rPr>
          <w:lang w:val="fr-FR" w:eastAsia="en-US"/>
        </w:rPr>
        <w:t>fonctionnaires français est estimé à 327 680</w:t>
      </w:r>
      <w:r w:rsidR="00D97B59" w:rsidRPr="00B75BB5">
        <w:rPr>
          <w:lang w:val="fr-FR" w:eastAsia="en-US"/>
        </w:rPr>
        <w:t> </w:t>
      </w:r>
      <w:r w:rsidRPr="00B75BB5">
        <w:rPr>
          <w:lang w:val="fr-FR" w:eastAsia="en-US"/>
        </w:rPr>
        <w:t>francs suisses, sur une période de cinq</w:t>
      </w:r>
      <w:r w:rsidR="004C09AE" w:rsidRPr="00B75BB5">
        <w:rPr>
          <w:lang w:val="fr-FR" w:eastAsia="en-US"/>
        </w:rPr>
        <w:t> </w:t>
      </w:r>
      <w:r w:rsidRPr="00B75BB5">
        <w:rPr>
          <w:lang w:val="fr-FR" w:eastAsia="en-US"/>
        </w:rPr>
        <w:t>ans (voir l</w:t>
      </w:r>
      <w:r w:rsidR="00F847D2" w:rsidRPr="00B75BB5">
        <w:rPr>
          <w:lang w:val="fr-FR" w:eastAsia="en-US"/>
        </w:rPr>
        <w:t>’</w:t>
      </w:r>
      <w:r w:rsidRPr="00B75BB5">
        <w:rPr>
          <w:lang w:val="fr-FR" w:eastAsia="en-US"/>
        </w:rPr>
        <w:t>annexe).</w:t>
      </w:r>
    </w:p>
    <w:p w:rsidR="00752542" w:rsidRPr="00B75BB5" w:rsidRDefault="004B643B" w:rsidP="00752542">
      <w:pPr>
        <w:pStyle w:val="ONUMFS"/>
        <w:rPr>
          <w:lang w:val="fr-FR" w:eastAsia="en-US"/>
        </w:rPr>
      </w:pPr>
      <w:r w:rsidRPr="00B75BB5">
        <w:rPr>
          <w:lang w:val="fr-FR" w:eastAsia="en-US"/>
        </w:rPr>
        <w:t xml:space="preserve">Cette solution est nettement moins coûteuse que </w:t>
      </w:r>
      <w:r w:rsidR="00404D41" w:rsidRPr="00B75BB5">
        <w:rPr>
          <w:lang w:val="fr-FR" w:eastAsia="en-US"/>
        </w:rPr>
        <w:t>si</w:t>
      </w:r>
      <w:r w:rsidRPr="00B75BB5">
        <w:rPr>
          <w:lang w:val="fr-FR" w:eastAsia="en-US"/>
        </w:rPr>
        <w:t xml:space="preserve"> l</w:t>
      </w:r>
      <w:r w:rsidR="00F847D2" w:rsidRPr="00B75BB5">
        <w:rPr>
          <w:lang w:val="fr-FR" w:eastAsia="en-US"/>
        </w:rPr>
        <w:t>’</w:t>
      </w:r>
      <w:r w:rsidRPr="00B75BB5">
        <w:rPr>
          <w:lang w:val="fr-FR" w:eastAsia="en-US"/>
        </w:rPr>
        <w:t>article</w:t>
      </w:r>
      <w:r w:rsidR="00D97B59" w:rsidRPr="00B75BB5">
        <w:rPr>
          <w:lang w:val="fr-FR" w:eastAsia="en-US"/>
        </w:rPr>
        <w:t> </w:t>
      </w:r>
      <w:r w:rsidRPr="00B75BB5">
        <w:rPr>
          <w:lang w:val="fr-FR" w:eastAsia="en-US"/>
        </w:rPr>
        <w:t>3.14.f)</w:t>
      </w:r>
      <w:r w:rsidR="00404D41" w:rsidRPr="00B75BB5">
        <w:rPr>
          <w:lang w:val="fr-FR" w:eastAsia="en-US"/>
        </w:rPr>
        <w:t xml:space="preserve"> était mainte</w:t>
      </w:r>
      <w:r w:rsidR="00FB2861" w:rsidRPr="00B75BB5">
        <w:rPr>
          <w:lang w:val="fr-FR" w:eastAsia="en-US"/>
        </w:rPr>
        <w:t>nu.  Da</w:t>
      </w:r>
      <w:r w:rsidR="00404D41" w:rsidRPr="00B75BB5">
        <w:rPr>
          <w:lang w:val="fr-FR" w:eastAsia="en-US"/>
        </w:rPr>
        <w:t>ns le cas où </w:t>
      </w:r>
      <w:r w:rsidR="004C09AE" w:rsidRPr="00B75BB5">
        <w:rPr>
          <w:lang w:val="fr-FR" w:eastAsia="en-US"/>
        </w:rPr>
        <w:t>aucune mesure transitoire limitée n</w:t>
      </w:r>
      <w:r w:rsidR="00404D41" w:rsidRPr="00B75BB5">
        <w:rPr>
          <w:lang w:val="fr-FR" w:eastAsia="en-US"/>
        </w:rPr>
        <w:t>e sera</w:t>
      </w:r>
      <w:r w:rsidR="004C09AE" w:rsidRPr="00B75BB5">
        <w:rPr>
          <w:lang w:val="fr-FR" w:eastAsia="en-US"/>
        </w:rPr>
        <w:t xml:space="preserve">it prise, </w:t>
      </w:r>
      <w:r w:rsidR="00017DCC" w:rsidRPr="00B75BB5">
        <w:rPr>
          <w:lang w:val="fr-FR" w:eastAsia="en-US"/>
        </w:rPr>
        <w:t xml:space="preserve">il se pourrait que </w:t>
      </w:r>
      <w:r w:rsidR="004C09AE" w:rsidRPr="00B75BB5">
        <w:rPr>
          <w:lang w:val="fr-FR" w:eastAsia="en-US"/>
        </w:rPr>
        <w:t>l</w:t>
      </w:r>
      <w:r w:rsidR="00F847D2" w:rsidRPr="00B75BB5">
        <w:rPr>
          <w:lang w:val="fr-FR" w:eastAsia="en-US"/>
        </w:rPr>
        <w:t>’</w:t>
      </w:r>
      <w:r w:rsidR="004C09AE" w:rsidRPr="00B75BB5">
        <w:rPr>
          <w:lang w:val="fr-FR" w:eastAsia="en-US"/>
        </w:rPr>
        <w:t xml:space="preserve">OMPI </w:t>
      </w:r>
      <w:r w:rsidR="00017DCC" w:rsidRPr="00B75BB5">
        <w:rPr>
          <w:lang w:val="fr-FR" w:eastAsia="en-US"/>
        </w:rPr>
        <w:t>d</w:t>
      </w:r>
      <w:r w:rsidR="00404D41" w:rsidRPr="00B75BB5">
        <w:rPr>
          <w:lang w:val="fr-FR" w:eastAsia="en-US"/>
        </w:rPr>
        <w:t>oi</w:t>
      </w:r>
      <w:r w:rsidR="00017DCC" w:rsidRPr="00B75BB5">
        <w:rPr>
          <w:lang w:val="fr-FR" w:eastAsia="en-US"/>
        </w:rPr>
        <w:t>ve</w:t>
      </w:r>
      <w:r w:rsidR="004C09AE" w:rsidRPr="00B75BB5">
        <w:rPr>
          <w:lang w:val="fr-FR" w:eastAsia="en-US"/>
        </w:rPr>
        <w:t xml:space="preserve"> faire face à des procédures judiciaires intentées par les fonctionnaires concernés, dont il est probable que les coûts </w:t>
      </w:r>
      <w:r w:rsidR="00017DCC" w:rsidRPr="00B75BB5">
        <w:rPr>
          <w:lang w:val="fr-FR" w:eastAsia="en-US"/>
        </w:rPr>
        <w:t>con</w:t>
      </w:r>
      <w:r w:rsidR="004C09AE" w:rsidRPr="00B75BB5">
        <w:rPr>
          <w:lang w:val="fr-FR" w:eastAsia="en-US"/>
        </w:rPr>
        <w:t xml:space="preserve">nexes dépassent le coût total maximum estimé </w:t>
      </w:r>
      <w:r w:rsidR="00404D41" w:rsidRPr="00B75BB5">
        <w:rPr>
          <w:lang w:val="fr-FR" w:eastAsia="en-US"/>
        </w:rPr>
        <w:t>d</w:t>
      </w:r>
      <w:r w:rsidR="00017DCC" w:rsidRPr="00B75BB5">
        <w:rPr>
          <w:lang w:val="fr-FR" w:eastAsia="en-US"/>
        </w:rPr>
        <w:t>e l</w:t>
      </w:r>
      <w:r w:rsidR="00F847D2" w:rsidRPr="00B75BB5">
        <w:rPr>
          <w:lang w:val="fr-FR" w:eastAsia="en-US"/>
        </w:rPr>
        <w:t>’</w:t>
      </w:r>
      <w:r w:rsidR="004C09AE" w:rsidRPr="00B75BB5">
        <w:rPr>
          <w:lang w:val="fr-FR" w:eastAsia="en-US"/>
        </w:rPr>
        <w:t>adoption de la mesure transitoire.</w:t>
      </w:r>
    </w:p>
    <w:p w:rsidR="00255436" w:rsidRPr="00B75BB5" w:rsidRDefault="00255436" w:rsidP="00B75BB5">
      <w:pPr>
        <w:pStyle w:val="Endofdocument-Annex"/>
        <w:rPr>
          <w:lang w:val="fr-FR"/>
        </w:rPr>
      </w:pPr>
    </w:p>
    <w:p w:rsidR="00255436" w:rsidRPr="00B75BB5" w:rsidRDefault="00255436" w:rsidP="00B75BB5">
      <w:pPr>
        <w:pStyle w:val="Endofdocument-Annex"/>
        <w:rPr>
          <w:lang w:val="fr-FR"/>
        </w:rPr>
      </w:pPr>
    </w:p>
    <w:p w:rsidR="00E22594" w:rsidRDefault="004C09AE" w:rsidP="00B75BB5">
      <w:pPr>
        <w:pStyle w:val="Endofdocument-Annex"/>
        <w:rPr>
          <w:lang w:val="fr-FR"/>
        </w:rPr>
        <w:sectPr w:rsidR="00E22594" w:rsidSect="002B6775">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B75BB5">
        <w:rPr>
          <w:lang w:val="fr-FR"/>
        </w:rPr>
        <w:t>[L</w:t>
      </w:r>
      <w:r w:rsidR="00F847D2" w:rsidRPr="00B75BB5">
        <w:rPr>
          <w:lang w:val="fr-FR"/>
        </w:rPr>
        <w:t>’</w:t>
      </w:r>
      <w:r w:rsidRPr="00B75BB5">
        <w:rPr>
          <w:lang w:val="fr-FR"/>
        </w:rPr>
        <w:t>annexe suit]</w:t>
      </w:r>
    </w:p>
    <w:tbl>
      <w:tblPr>
        <w:tblW w:w="15600" w:type="dxa"/>
        <w:tblInd w:w="-612" w:type="dxa"/>
        <w:tblLook w:val="04A0" w:firstRow="1" w:lastRow="0" w:firstColumn="1" w:lastColumn="0" w:noHBand="0" w:noVBand="1"/>
      </w:tblPr>
      <w:tblGrid>
        <w:gridCol w:w="1400"/>
        <w:gridCol w:w="1400"/>
        <w:gridCol w:w="1600"/>
        <w:gridCol w:w="1400"/>
        <w:gridCol w:w="1400"/>
        <w:gridCol w:w="1400"/>
        <w:gridCol w:w="1400"/>
        <w:gridCol w:w="1400"/>
        <w:gridCol w:w="1400"/>
        <w:gridCol w:w="1400"/>
        <w:gridCol w:w="1400"/>
      </w:tblGrid>
      <w:tr w:rsidR="00E22594" w:rsidRPr="00733567" w:rsidTr="00CF1A41">
        <w:trPr>
          <w:trHeight w:val="1223"/>
        </w:trPr>
        <w:tc>
          <w:tcPr>
            <w:tcW w:w="14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lastRenderedPageBreak/>
              <w:t>Fonctionnaire français résidant en France</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2D79F7" w:rsidRDefault="00E22594" w:rsidP="00B30701">
            <w:pPr>
              <w:jc w:val="cente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Enfant à charge</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Frais dont le remboursement est demandé dans la monnaie d'origine</w:t>
            </w:r>
            <w:r w:rsidRPr="00733567">
              <w:rPr>
                <w:rFonts w:ascii="Arial Unicode MS" w:eastAsia="Arial Unicode MS" w:hAnsi="Arial Unicode MS" w:cs="Arial Unicode MS" w:hint="eastAsia"/>
                <w:b/>
                <w:bCs/>
                <w:sz w:val="16"/>
                <w:szCs w:val="16"/>
                <w:vertAlign w:val="superscript"/>
                <w:lang w:val="fr-CH"/>
              </w:rPr>
              <w:t>1</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Frais remboursables convertis en dollars É.-U.</w:t>
            </w:r>
            <w:r w:rsidRPr="00733567">
              <w:rPr>
                <w:rFonts w:ascii="Arial Unicode MS" w:eastAsia="Arial Unicode MS" w:hAnsi="Arial Unicode MS" w:cs="Arial Unicode MS" w:hint="eastAsia"/>
                <w:b/>
                <w:bCs/>
                <w:sz w:val="16"/>
                <w:szCs w:val="16"/>
                <w:vertAlign w:val="superscript"/>
                <w:lang w:val="fr-CH"/>
              </w:rPr>
              <w:t>2</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2D79F7" w:rsidRDefault="00E22594" w:rsidP="00B30701">
            <w:pPr>
              <w:jc w:val="center"/>
              <w:rPr>
                <w:rFonts w:ascii="Arial Unicode MS" w:eastAsia="Arial Unicode MS" w:hAnsi="Arial Unicode MS" w:cs="Arial Unicode MS"/>
                <w:b/>
                <w:bCs/>
                <w:sz w:val="16"/>
                <w:szCs w:val="16"/>
              </w:rPr>
            </w:pPr>
            <w:proofErr w:type="spellStart"/>
            <w:r w:rsidRPr="002D79F7">
              <w:rPr>
                <w:rFonts w:ascii="Arial Unicode MS" w:eastAsia="Arial Unicode MS" w:hAnsi="Arial Unicode MS" w:cs="Arial Unicode MS" w:hint="eastAsia"/>
                <w:b/>
                <w:bCs/>
                <w:sz w:val="16"/>
                <w:szCs w:val="16"/>
              </w:rPr>
              <w:t>Taux</w:t>
            </w:r>
            <w:proofErr w:type="spellEnd"/>
            <w:r w:rsidRPr="002D79F7">
              <w:rPr>
                <w:rFonts w:ascii="Arial Unicode MS" w:eastAsia="Arial Unicode MS" w:hAnsi="Arial Unicode MS" w:cs="Arial Unicode MS" w:hint="eastAsia"/>
                <w:b/>
                <w:bCs/>
                <w:sz w:val="16"/>
                <w:szCs w:val="16"/>
              </w:rPr>
              <w:t xml:space="preserve"> de </w:t>
            </w:r>
            <w:proofErr w:type="spellStart"/>
            <w:r w:rsidRPr="002D79F7">
              <w:rPr>
                <w:rFonts w:ascii="Arial Unicode MS" w:eastAsia="Arial Unicode MS" w:hAnsi="Arial Unicode MS" w:cs="Arial Unicode MS" w:hint="eastAsia"/>
                <w:b/>
                <w:bCs/>
                <w:sz w:val="16"/>
                <w:szCs w:val="16"/>
              </w:rPr>
              <w:t>remboursement</w:t>
            </w:r>
            <w:proofErr w:type="spellEnd"/>
            <w:r w:rsidRPr="002D79F7">
              <w:rPr>
                <w:rFonts w:ascii="Arial Unicode MS" w:eastAsia="Arial Unicode MS" w:hAnsi="Arial Unicode MS" w:cs="Arial Unicode MS" w:hint="eastAsia"/>
                <w:b/>
                <w:bCs/>
                <w:sz w:val="16"/>
                <w:szCs w:val="16"/>
              </w:rPr>
              <w:t xml:space="preserve"> de 86%</w:t>
            </w:r>
            <w:r w:rsidRPr="002D79F7">
              <w:rPr>
                <w:rFonts w:ascii="Arial Unicode MS" w:eastAsia="Arial Unicode MS" w:hAnsi="Arial Unicode MS" w:cs="Arial Unicode MS" w:hint="eastAsia"/>
                <w:b/>
                <w:bCs/>
                <w:sz w:val="16"/>
                <w:szCs w:val="16"/>
                <w:vertAlign w:val="superscript"/>
              </w:rPr>
              <w:t>3</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2D79F7" w:rsidRDefault="00E22594" w:rsidP="00B30701">
            <w:pPr>
              <w:jc w:val="center"/>
              <w:rPr>
                <w:rFonts w:ascii="Arial Unicode MS" w:eastAsia="Arial Unicode MS" w:hAnsi="Arial Unicode MS" w:cs="Arial Unicode MS"/>
                <w:b/>
                <w:bCs/>
                <w:sz w:val="16"/>
                <w:szCs w:val="16"/>
              </w:rPr>
            </w:pPr>
            <w:proofErr w:type="spellStart"/>
            <w:r w:rsidRPr="002D79F7">
              <w:rPr>
                <w:rFonts w:ascii="Arial Unicode MS" w:eastAsia="Arial Unicode MS" w:hAnsi="Arial Unicode MS" w:cs="Arial Unicode MS" w:hint="eastAsia"/>
                <w:b/>
                <w:bCs/>
                <w:sz w:val="16"/>
                <w:szCs w:val="16"/>
              </w:rPr>
              <w:t>Taux</w:t>
            </w:r>
            <w:proofErr w:type="spellEnd"/>
            <w:r w:rsidRPr="002D79F7">
              <w:rPr>
                <w:rFonts w:ascii="Arial Unicode MS" w:eastAsia="Arial Unicode MS" w:hAnsi="Arial Unicode MS" w:cs="Arial Unicode MS" w:hint="eastAsia"/>
                <w:b/>
                <w:bCs/>
                <w:sz w:val="16"/>
                <w:szCs w:val="16"/>
              </w:rPr>
              <w:t xml:space="preserve"> de </w:t>
            </w:r>
            <w:proofErr w:type="spellStart"/>
            <w:r w:rsidRPr="002D79F7">
              <w:rPr>
                <w:rFonts w:ascii="Arial Unicode MS" w:eastAsia="Arial Unicode MS" w:hAnsi="Arial Unicode MS" w:cs="Arial Unicode MS" w:hint="eastAsia"/>
                <w:b/>
                <w:bCs/>
                <w:sz w:val="16"/>
                <w:szCs w:val="16"/>
              </w:rPr>
              <w:t>remboursement</w:t>
            </w:r>
            <w:proofErr w:type="spellEnd"/>
            <w:r w:rsidRPr="002D79F7">
              <w:rPr>
                <w:rFonts w:ascii="Arial Unicode MS" w:eastAsia="Arial Unicode MS" w:hAnsi="Arial Unicode MS" w:cs="Arial Unicode MS" w:hint="eastAsia"/>
                <w:b/>
                <w:bCs/>
                <w:sz w:val="16"/>
                <w:szCs w:val="16"/>
              </w:rPr>
              <w:t xml:space="preserve"> de 81%</w:t>
            </w:r>
            <w:r w:rsidRPr="002D79F7">
              <w:rPr>
                <w:rFonts w:ascii="Arial Unicode MS" w:eastAsia="Arial Unicode MS" w:hAnsi="Arial Unicode MS" w:cs="Arial Unicode MS" w:hint="eastAsia"/>
                <w:b/>
                <w:bCs/>
                <w:sz w:val="16"/>
                <w:szCs w:val="16"/>
                <w:vertAlign w:val="superscript"/>
              </w:rPr>
              <w:t>3</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2D79F7" w:rsidRDefault="00E22594" w:rsidP="00B30701">
            <w:pPr>
              <w:jc w:val="center"/>
              <w:rPr>
                <w:rFonts w:ascii="Arial Unicode MS" w:eastAsia="Arial Unicode MS" w:hAnsi="Arial Unicode MS" w:cs="Arial Unicode MS"/>
                <w:b/>
                <w:bCs/>
                <w:sz w:val="16"/>
                <w:szCs w:val="16"/>
              </w:rPr>
            </w:pPr>
            <w:proofErr w:type="spellStart"/>
            <w:r w:rsidRPr="002D79F7">
              <w:rPr>
                <w:rFonts w:ascii="Arial Unicode MS" w:eastAsia="Arial Unicode MS" w:hAnsi="Arial Unicode MS" w:cs="Arial Unicode MS" w:hint="eastAsia"/>
                <w:b/>
                <w:bCs/>
                <w:sz w:val="16"/>
                <w:szCs w:val="16"/>
              </w:rPr>
              <w:t>Taux</w:t>
            </w:r>
            <w:proofErr w:type="spellEnd"/>
            <w:r w:rsidRPr="002D79F7">
              <w:rPr>
                <w:rFonts w:ascii="Arial Unicode MS" w:eastAsia="Arial Unicode MS" w:hAnsi="Arial Unicode MS" w:cs="Arial Unicode MS" w:hint="eastAsia"/>
                <w:b/>
                <w:bCs/>
                <w:sz w:val="16"/>
                <w:szCs w:val="16"/>
              </w:rPr>
              <w:t xml:space="preserve"> de </w:t>
            </w:r>
            <w:proofErr w:type="spellStart"/>
            <w:r w:rsidRPr="002D79F7">
              <w:rPr>
                <w:rFonts w:ascii="Arial Unicode MS" w:eastAsia="Arial Unicode MS" w:hAnsi="Arial Unicode MS" w:cs="Arial Unicode MS" w:hint="eastAsia"/>
                <w:b/>
                <w:bCs/>
                <w:sz w:val="16"/>
                <w:szCs w:val="16"/>
              </w:rPr>
              <w:t>remboursement</w:t>
            </w:r>
            <w:proofErr w:type="spellEnd"/>
            <w:r w:rsidRPr="002D79F7">
              <w:rPr>
                <w:rFonts w:ascii="Arial Unicode MS" w:eastAsia="Arial Unicode MS" w:hAnsi="Arial Unicode MS" w:cs="Arial Unicode MS" w:hint="eastAsia"/>
                <w:b/>
                <w:bCs/>
                <w:sz w:val="16"/>
                <w:szCs w:val="16"/>
              </w:rPr>
              <w:t xml:space="preserve"> de 76%</w:t>
            </w:r>
            <w:r w:rsidRPr="002D79F7">
              <w:rPr>
                <w:rFonts w:ascii="Arial Unicode MS" w:eastAsia="Arial Unicode MS" w:hAnsi="Arial Unicode MS" w:cs="Arial Unicode MS" w:hint="eastAsia"/>
                <w:b/>
                <w:bCs/>
                <w:sz w:val="16"/>
                <w:szCs w:val="16"/>
                <w:vertAlign w:val="superscript"/>
              </w:rPr>
              <w:t>3</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Coût estimé par année en dollars É.-U.</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Nombre restant d'années dans le cycle scolaire (estimation)</w:t>
            </w:r>
            <w:r w:rsidRPr="00733567">
              <w:rPr>
                <w:rFonts w:ascii="Arial Unicode MS" w:eastAsia="Arial Unicode MS" w:hAnsi="Arial Unicode MS" w:cs="Arial Unicode MS" w:hint="eastAsia"/>
                <w:b/>
                <w:bCs/>
                <w:sz w:val="16"/>
                <w:szCs w:val="16"/>
                <w:vertAlign w:val="superscript"/>
                <w:lang w:val="fr-CH"/>
              </w:rPr>
              <w:t>4</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Projection du coût total en dollars É.-U.</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Projection du coût total en francs suisses</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CHF 15 330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15,854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9,976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3,445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13,421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5</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67,105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64,891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2</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CHF 19 500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20,166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9,976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4,697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2,101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16,775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33,549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32,443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CHF 2 500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2,586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2,224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2,224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2,224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2,151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3</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CHF 1 000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1,035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890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890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890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861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CHF 19 000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19,649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9,976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4,697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1,708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16,382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32,763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31,683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4</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CHF 15 500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16,029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9,976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3,587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13,563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27,125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26,231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CHF 18 900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19,545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9,976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4,697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1,629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16,303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16,303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15,765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5</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CHF 1 000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1,035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890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890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890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861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6</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CHF 14 300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14,789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9,976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2,582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12,558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25,117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24,288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7</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1 015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1,145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985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985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1,969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1,905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1 015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1,145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985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985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1,969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1,905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8</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3 540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3,991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3,432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3,432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3</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10,297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9,957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1 840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2,075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1,785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1,785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1,785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1,726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9</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560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632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544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544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1,087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1,052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10</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135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153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132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132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132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128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11</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6 250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7,047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6,060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6,060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6,060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5,861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12</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525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592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509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509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5</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2,546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2,462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1 450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1,635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1,406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1,406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3</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4,218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4,080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13</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3 300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3,721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3,200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3,200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3,200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3,095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14</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1 550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1,748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1,503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1,503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1,503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1,454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15</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3 750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4,228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3,636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3,636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7,272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7,033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4 150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4,679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4,024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4,024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4,024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3,892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16</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600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677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582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582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3</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1,747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1,690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600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677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582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582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4</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2,329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2,253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17</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1 045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1,179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1,014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1,014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4</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4,056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3,922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18</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1 900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2,143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1,843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1,843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3</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5,529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5,347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1 900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2,143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1,843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1,843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3</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5,529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5,347 </w:t>
            </w:r>
          </w:p>
        </w:tc>
      </w:tr>
      <w:tr w:rsidR="00E22594" w:rsidRPr="00733567" w:rsidTr="00CF1A41">
        <w:trPr>
          <w:trHeight w:val="1223"/>
        </w:trPr>
        <w:tc>
          <w:tcPr>
            <w:tcW w:w="14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lastRenderedPageBreak/>
              <w:t>Fonctionnaire français résidant en France</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2D79F7" w:rsidRDefault="00E22594" w:rsidP="00B30701">
            <w:pPr>
              <w:jc w:val="cente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Enfant à charge</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Frais dont le remboursement est demandé dans la monnaie d'origine</w:t>
            </w:r>
            <w:r w:rsidRPr="00733567">
              <w:rPr>
                <w:rFonts w:ascii="Arial Unicode MS" w:eastAsia="Arial Unicode MS" w:hAnsi="Arial Unicode MS" w:cs="Arial Unicode MS" w:hint="eastAsia"/>
                <w:b/>
                <w:bCs/>
                <w:sz w:val="16"/>
                <w:szCs w:val="16"/>
                <w:vertAlign w:val="superscript"/>
                <w:lang w:val="fr-CH"/>
              </w:rPr>
              <w:t>1</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Frais remboursables convertis en dollars É.-U.</w:t>
            </w:r>
            <w:r w:rsidRPr="00733567">
              <w:rPr>
                <w:rFonts w:ascii="Arial Unicode MS" w:eastAsia="Arial Unicode MS" w:hAnsi="Arial Unicode MS" w:cs="Arial Unicode MS" w:hint="eastAsia"/>
                <w:b/>
                <w:bCs/>
                <w:sz w:val="16"/>
                <w:szCs w:val="16"/>
                <w:vertAlign w:val="superscript"/>
                <w:lang w:val="fr-CH"/>
              </w:rPr>
              <w:t>2</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2D79F7" w:rsidRDefault="00E22594" w:rsidP="00B30701">
            <w:pPr>
              <w:jc w:val="center"/>
              <w:rPr>
                <w:rFonts w:ascii="Arial Unicode MS" w:eastAsia="Arial Unicode MS" w:hAnsi="Arial Unicode MS" w:cs="Arial Unicode MS"/>
                <w:b/>
                <w:bCs/>
                <w:sz w:val="16"/>
                <w:szCs w:val="16"/>
              </w:rPr>
            </w:pPr>
            <w:proofErr w:type="spellStart"/>
            <w:r w:rsidRPr="002D79F7">
              <w:rPr>
                <w:rFonts w:ascii="Arial Unicode MS" w:eastAsia="Arial Unicode MS" w:hAnsi="Arial Unicode MS" w:cs="Arial Unicode MS" w:hint="eastAsia"/>
                <w:b/>
                <w:bCs/>
                <w:sz w:val="16"/>
                <w:szCs w:val="16"/>
              </w:rPr>
              <w:t>Taux</w:t>
            </w:r>
            <w:proofErr w:type="spellEnd"/>
            <w:r w:rsidRPr="002D79F7">
              <w:rPr>
                <w:rFonts w:ascii="Arial Unicode MS" w:eastAsia="Arial Unicode MS" w:hAnsi="Arial Unicode MS" w:cs="Arial Unicode MS" w:hint="eastAsia"/>
                <w:b/>
                <w:bCs/>
                <w:sz w:val="16"/>
                <w:szCs w:val="16"/>
              </w:rPr>
              <w:t xml:space="preserve"> de </w:t>
            </w:r>
            <w:proofErr w:type="spellStart"/>
            <w:r w:rsidRPr="002D79F7">
              <w:rPr>
                <w:rFonts w:ascii="Arial Unicode MS" w:eastAsia="Arial Unicode MS" w:hAnsi="Arial Unicode MS" w:cs="Arial Unicode MS" w:hint="eastAsia"/>
                <w:b/>
                <w:bCs/>
                <w:sz w:val="16"/>
                <w:szCs w:val="16"/>
              </w:rPr>
              <w:t>remboursement</w:t>
            </w:r>
            <w:proofErr w:type="spellEnd"/>
            <w:r w:rsidRPr="002D79F7">
              <w:rPr>
                <w:rFonts w:ascii="Arial Unicode MS" w:eastAsia="Arial Unicode MS" w:hAnsi="Arial Unicode MS" w:cs="Arial Unicode MS" w:hint="eastAsia"/>
                <w:b/>
                <w:bCs/>
                <w:sz w:val="16"/>
                <w:szCs w:val="16"/>
              </w:rPr>
              <w:t xml:space="preserve"> de 86%</w:t>
            </w:r>
            <w:r w:rsidRPr="002D79F7">
              <w:rPr>
                <w:rFonts w:ascii="Arial Unicode MS" w:eastAsia="Arial Unicode MS" w:hAnsi="Arial Unicode MS" w:cs="Arial Unicode MS" w:hint="eastAsia"/>
                <w:b/>
                <w:bCs/>
                <w:sz w:val="16"/>
                <w:szCs w:val="16"/>
                <w:vertAlign w:val="superscript"/>
              </w:rPr>
              <w:t>3</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2D79F7" w:rsidRDefault="00E22594" w:rsidP="00B30701">
            <w:pPr>
              <w:jc w:val="center"/>
              <w:rPr>
                <w:rFonts w:ascii="Arial Unicode MS" w:eastAsia="Arial Unicode MS" w:hAnsi="Arial Unicode MS" w:cs="Arial Unicode MS"/>
                <w:b/>
                <w:bCs/>
                <w:sz w:val="16"/>
                <w:szCs w:val="16"/>
              </w:rPr>
            </w:pPr>
            <w:proofErr w:type="spellStart"/>
            <w:r w:rsidRPr="002D79F7">
              <w:rPr>
                <w:rFonts w:ascii="Arial Unicode MS" w:eastAsia="Arial Unicode MS" w:hAnsi="Arial Unicode MS" w:cs="Arial Unicode MS" w:hint="eastAsia"/>
                <w:b/>
                <w:bCs/>
                <w:sz w:val="16"/>
                <w:szCs w:val="16"/>
              </w:rPr>
              <w:t>Taux</w:t>
            </w:r>
            <w:proofErr w:type="spellEnd"/>
            <w:r w:rsidRPr="002D79F7">
              <w:rPr>
                <w:rFonts w:ascii="Arial Unicode MS" w:eastAsia="Arial Unicode MS" w:hAnsi="Arial Unicode MS" w:cs="Arial Unicode MS" w:hint="eastAsia"/>
                <w:b/>
                <w:bCs/>
                <w:sz w:val="16"/>
                <w:szCs w:val="16"/>
              </w:rPr>
              <w:t xml:space="preserve"> de </w:t>
            </w:r>
            <w:proofErr w:type="spellStart"/>
            <w:r w:rsidRPr="002D79F7">
              <w:rPr>
                <w:rFonts w:ascii="Arial Unicode MS" w:eastAsia="Arial Unicode MS" w:hAnsi="Arial Unicode MS" w:cs="Arial Unicode MS" w:hint="eastAsia"/>
                <w:b/>
                <w:bCs/>
                <w:sz w:val="16"/>
                <w:szCs w:val="16"/>
              </w:rPr>
              <w:t>remboursement</w:t>
            </w:r>
            <w:proofErr w:type="spellEnd"/>
            <w:r w:rsidRPr="002D79F7">
              <w:rPr>
                <w:rFonts w:ascii="Arial Unicode MS" w:eastAsia="Arial Unicode MS" w:hAnsi="Arial Unicode MS" w:cs="Arial Unicode MS" w:hint="eastAsia"/>
                <w:b/>
                <w:bCs/>
                <w:sz w:val="16"/>
                <w:szCs w:val="16"/>
              </w:rPr>
              <w:t xml:space="preserve"> de 81%</w:t>
            </w:r>
            <w:r w:rsidRPr="002D79F7">
              <w:rPr>
                <w:rFonts w:ascii="Arial Unicode MS" w:eastAsia="Arial Unicode MS" w:hAnsi="Arial Unicode MS" w:cs="Arial Unicode MS" w:hint="eastAsia"/>
                <w:b/>
                <w:bCs/>
                <w:sz w:val="16"/>
                <w:szCs w:val="16"/>
                <w:vertAlign w:val="superscript"/>
              </w:rPr>
              <w:t>3</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2D79F7" w:rsidRDefault="00E22594" w:rsidP="00B30701">
            <w:pPr>
              <w:jc w:val="center"/>
              <w:rPr>
                <w:rFonts w:ascii="Arial Unicode MS" w:eastAsia="Arial Unicode MS" w:hAnsi="Arial Unicode MS" w:cs="Arial Unicode MS"/>
                <w:b/>
                <w:bCs/>
                <w:sz w:val="16"/>
                <w:szCs w:val="16"/>
              </w:rPr>
            </w:pPr>
            <w:proofErr w:type="spellStart"/>
            <w:r w:rsidRPr="002D79F7">
              <w:rPr>
                <w:rFonts w:ascii="Arial Unicode MS" w:eastAsia="Arial Unicode MS" w:hAnsi="Arial Unicode MS" w:cs="Arial Unicode MS" w:hint="eastAsia"/>
                <w:b/>
                <w:bCs/>
                <w:sz w:val="16"/>
                <w:szCs w:val="16"/>
              </w:rPr>
              <w:t>Taux</w:t>
            </w:r>
            <w:proofErr w:type="spellEnd"/>
            <w:r w:rsidRPr="002D79F7">
              <w:rPr>
                <w:rFonts w:ascii="Arial Unicode MS" w:eastAsia="Arial Unicode MS" w:hAnsi="Arial Unicode MS" w:cs="Arial Unicode MS" w:hint="eastAsia"/>
                <w:b/>
                <w:bCs/>
                <w:sz w:val="16"/>
                <w:szCs w:val="16"/>
              </w:rPr>
              <w:t xml:space="preserve"> de </w:t>
            </w:r>
            <w:proofErr w:type="spellStart"/>
            <w:r w:rsidRPr="002D79F7">
              <w:rPr>
                <w:rFonts w:ascii="Arial Unicode MS" w:eastAsia="Arial Unicode MS" w:hAnsi="Arial Unicode MS" w:cs="Arial Unicode MS" w:hint="eastAsia"/>
                <w:b/>
                <w:bCs/>
                <w:sz w:val="16"/>
                <w:szCs w:val="16"/>
              </w:rPr>
              <w:t>remboursement</w:t>
            </w:r>
            <w:proofErr w:type="spellEnd"/>
            <w:r w:rsidRPr="002D79F7">
              <w:rPr>
                <w:rFonts w:ascii="Arial Unicode MS" w:eastAsia="Arial Unicode MS" w:hAnsi="Arial Unicode MS" w:cs="Arial Unicode MS" w:hint="eastAsia"/>
                <w:b/>
                <w:bCs/>
                <w:sz w:val="16"/>
                <w:szCs w:val="16"/>
              </w:rPr>
              <w:t xml:space="preserve"> de 76%</w:t>
            </w:r>
            <w:r w:rsidRPr="002D79F7">
              <w:rPr>
                <w:rFonts w:ascii="Arial Unicode MS" w:eastAsia="Arial Unicode MS" w:hAnsi="Arial Unicode MS" w:cs="Arial Unicode MS" w:hint="eastAsia"/>
                <w:b/>
                <w:bCs/>
                <w:sz w:val="16"/>
                <w:szCs w:val="16"/>
                <w:vertAlign w:val="superscript"/>
              </w:rPr>
              <w:t>3</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Coût estimé par année en dollars É.-U.</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Nombre restant d'années dans le cycle scolaire (estimation)</w:t>
            </w:r>
            <w:r w:rsidRPr="00733567">
              <w:rPr>
                <w:rFonts w:ascii="Arial Unicode MS" w:eastAsia="Arial Unicode MS" w:hAnsi="Arial Unicode MS" w:cs="Arial Unicode MS" w:hint="eastAsia"/>
                <w:b/>
                <w:bCs/>
                <w:sz w:val="16"/>
                <w:szCs w:val="16"/>
                <w:vertAlign w:val="superscript"/>
                <w:lang w:val="fr-CH"/>
              </w:rPr>
              <w:t>4</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Projection du coût total en dollars É.-U.</w:t>
            </w:r>
          </w:p>
        </w:tc>
        <w:tc>
          <w:tcPr>
            <w:tcW w:w="1400" w:type="dxa"/>
            <w:tcBorders>
              <w:top w:val="single" w:sz="4" w:space="0" w:color="auto"/>
              <w:left w:val="nil"/>
              <w:bottom w:val="single" w:sz="4" w:space="0" w:color="auto"/>
              <w:right w:val="single" w:sz="4" w:space="0" w:color="auto"/>
            </w:tcBorders>
            <w:shd w:val="clear" w:color="000000" w:fill="C0C0C0"/>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Projection du coût total en francs suisses</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19</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1 400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1,579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1,358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1,358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2,716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2,627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1 530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1,725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1,484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1,484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2,967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2,870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20</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3 200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3,608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3,103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3,103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3,103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3,001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4 150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4,679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4,024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4,024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4,024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3,892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21</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2 900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3,270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2,812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2,812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1</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2,812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2,720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22</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748</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844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726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726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3</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2,178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2,106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B</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EUR 748</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844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726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726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1,452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1,404 </w:t>
            </w:r>
          </w:p>
        </w:tc>
      </w:tr>
      <w:tr w:rsidR="00E22594" w:rsidRPr="002D79F7" w:rsidTr="00CF1A41">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23</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GBP 9 400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13,429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9,976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1,481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11,457 </w:t>
            </w:r>
          </w:p>
        </w:tc>
        <w:tc>
          <w:tcPr>
            <w:tcW w:w="1400" w:type="dxa"/>
            <w:tcBorders>
              <w:top w:val="nil"/>
              <w:left w:val="nil"/>
              <w:bottom w:val="single" w:sz="4" w:space="0" w:color="auto"/>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single" w:sz="4" w:space="0" w:color="auto"/>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22,913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22,158 </w:t>
            </w:r>
          </w:p>
        </w:tc>
      </w:tr>
      <w:tr w:rsidR="00E22594" w:rsidRPr="002D79F7" w:rsidTr="00CF1A41">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24</w:t>
            </w:r>
          </w:p>
        </w:tc>
        <w:tc>
          <w:tcPr>
            <w:tcW w:w="1400" w:type="dxa"/>
            <w:tcBorders>
              <w:top w:val="nil"/>
              <w:left w:val="nil"/>
              <w:bottom w:val="single" w:sz="4" w:space="0" w:color="auto"/>
              <w:right w:val="single" w:sz="4" w:space="0" w:color="auto"/>
            </w:tcBorders>
            <w:shd w:val="clear" w:color="auto" w:fill="auto"/>
            <w:noWrap/>
            <w:hideMark/>
          </w:tcPr>
          <w:p w:rsidR="00E22594" w:rsidRPr="002D79F7" w:rsidRDefault="00E22594" w:rsidP="00B30701">
            <w:pPr>
              <w:jc w:val="center"/>
              <w:rPr>
                <w:rFonts w:ascii="Arial Unicode MS" w:eastAsia="Arial Unicode MS" w:hAnsi="Arial Unicode MS" w:cs="Arial Unicode MS"/>
                <w:b/>
                <w:bCs/>
                <w:color w:val="1F497D"/>
                <w:sz w:val="16"/>
                <w:szCs w:val="16"/>
              </w:rPr>
            </w:pPr>
            <w:r w:rsidRPr="002D79F7">
              <w:rPr>
                <w:rFonts w:ascii="Arial Unicode MS" w:eastAsia="Arial Unicode MS" w:hAnsi="Arial Unicode MS" w:cs="Arial Unicode MS" w:hint="eastAsia"/>
                <w:b/>
                <w:bCs/>
                <w:color w:val="1F497D"/>
                <w:sz w:val="16"/>
                <w:szCs w:val="16"/>
              </w:rPr>
              <w:t>A</w:t>
            </w:r>
          </w:p>
        </w:tc>
        <w:tc>
          <w:tcPr>
            <w:tcW w:w="16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USD 15 000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15,000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9,976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2,753 </w:t>
            </w:r>
          </w:p>
        </w:tc>
        <w:tc>
          <w:tcPr>
            <w:tcW w:w="1400" w:type="dxa"/>
            <w:tcBorders>
              <w:top w:val="nil"/>
              <w:left w:val="nil"/>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   </w:t>
            </w:r>
          </w:p>
        </w:tc>
        <w:tc>
          <w:tcPr>
            <w:tcW w:w="1400" w:type="dxa"/>
            <w:tcBorders>
              <w:top w:val="nil"/>
              <w:left w:val="nil"/>
              <w:bottom w:val="nil"/>
              <w:right w:val="single" w:sz="4"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12,729 </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jc w:val="center"/>
              <w:rPr>
                <w:rFonts w:ascii="Arial Unicode MS" w:eastAsia="Arial Unicode MS" w:hAnsi="Arial Unicode MS" w:cs="Arial Unicode MS"/>
                <w:color w:val="1F497D"/>
                <w:sz w:val="16"/>
                <w:szCs w:val="16"/>
              </w:rPr>
            </w:pPr>
            <w:r w:rsidRPr="002D79F7">
              <w:rPr>
                <w:rFonts w:ascii="Arial Unicode MS" w:eastAsia="Arial Unicode MS" w:hAnsi="Arial Unicode MS" w:cs="Arial Unicode MS" w:hint="eastAsia"/>
                <w:color w:val="1F497D"/>
                <w:sz w:val="16"/>
                <w:szCs w:val="16"/>
              </w:rPr>
              <w:t>2</w:t>
            </w:r>
          </w:p>
        </w:tc>
        <w:tc>
          <w:tcPr>
            <w:tcW w:w="1400" w:type="dxa"/>
            <w:tcBorders>
              <w:top w:val="nil"/>
              <w:left w:val="single" w:sz="4" w:space="0" w:color="auto"/>
              <w:bottom w:val="nil"/>
              <w:right w:val="nil"/>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25,458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24,619 </w:t>
            </w:r>
          </w:p>
        </w:tc>
      </w:tr>
      <w:tr w:rsidR="00E22594" w:rsidRPr="002D79F7" w:rsidTr="00CF1A41">
        <w:trPr>
          <w:trHeight w:val="285"/>
        </w:trPr>
        <w:tc>
          <w:tcPr>
            <w:tcW w:w="1400" w:type="dxa"/>
            <w:tcBorders>
              <w:top w:val="nil"/>
              <w:left w:val="nil"/>
              <w:bottom w:val="nil"/>
              <w:right w:val="nil"/>
            </w:tcBorders>
            <w:shd w:val="clear" w:color="auto" w:fill="auto"/>
            <w:noWrap/>
            <w:vAlign w:val="center"/>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hideMark/>
          </w:tcPr>
          <w:p w:rsidR="00E22594" w:rsidRPr="002D79F7" w:rsidRDefault="00E22594" w:rsidP="00B30701">
            <w:pPr>
              <w:jc w:val="center"/>
              <w:rPr>
                <w:color w:val="000000"/>
                <w:sz w:val="16"/>
                <w:szCs w:val="16"/>
              </w:rPr>
            </w:pPr>
          </w:p>
        </w:tc>
        <w:tc>
          <w:tcPr>
            <w:tcW w:w="1600" w:type="dxa"/>
            <w:tcBorders>
              <w:top w:val="nil"/>
              <w:left w:val="nil"/>
              <w:bottom w:val="nil"/>
              <w:right w:val="nil"/>
            </w:tcBorders>
            <w:shd w:val="clear" w:color="auto" w:fill="auto"/>
            <w:noWrap/>
            <w:vAlign w:val="bottom"/>
            <w:hideMark/>
          </w:tcPr>
          <w:p w:rsidR="00E22594" w:rsidRPr="002D79F7" w:rsidRDefault="00E22594" w:rsidP="00B30701">
            <w:pP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179,776 </w:t>
            </w:r>
          </w:p>
        </w:tc>
        <w:tc>
          <w:tcPr>
            <w:tcW w:w="1400" w:type="dxa"/>
            <w:tcBorders>
              <w:top w:val="single" w:sz="8" w:space="0" w:color="auto"/>
              <w:left w:val="nil"/>
              <w:bottom w:val="single" w:sz="8" w:space="0" w:color="auto"/>
              <w:right w:val="nil"/>
            </w:tcBorders>
            <w:shd w:val="clear" w:color="000000" w:fill="BFBFBF"/>
            <w:noWrap/>
            <w:vAlign w:val="bottom"/>
            <w:hideMark/>
          </w:tcPr>
          <w:p w:rsidR="00E22594" w:rsidRPr="002D79F7" w:rsidRDefault="00E22594" w:rsidP="00B30701">
            <w:pPr>
              <w:jc w:val="center"/>
              <w:rPr>
                <w:color w:val="000000"/>
                <w:sz w:val="16"/>
                <w:szCs w:val="16"/>
              </w:rPr>
            </w:pPr>
            <w:r w:rsidRPr="002D79F7">
              <w:rPr>
                <w:color w:val="000000"/>
                <w:sz w:val="16"/>
                <w:szCs w:val="16"/>
              </w:rPr>
              <w:t> </w:t>
            </w:r>
          </w:p>
        </w:tc>
        <w:tc>
          <w:tcPr>
            <w:tcW w:w="1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338,840 </w:t>
            </w:r>
          </w:p>
        </w:tc>
        <w:tc>
          <w:tcPr>
            <w:tcW w:w="1400" w:type="dxa"/>
            <w:tcBorders>
              <w:top w:val="nil"/>
              <w:left w:val="nil"/>
              <w:bottom w:val="single" w:sz="8" w:space="0" w:color="auto"/>
              <w:right w:val="single" w:sz="8" w:space="0" w:color="auto"/>
            </w:tcBorders>
            <w:shd w:val="clear" w:color="auto" w:fill="auto"/>
            <w:noWrap/>
            <w:vAlign w:val="bottom"/>
            <w:hideMark/>
          </w:tcPr>
          <w:p w:rsidR="00E22594" w:rsidRPr="002D79F7" w:rsidRDefault="00E22594" w:rsidP="00B30701">
            <w:pPr>
              <w:ind w:firstLineChars="200" w:firstLine="320"/>
              <w:rPr>
                <w:rFonts w:ascii="Arial Unicode MS" w:eastAsia="Arial Unicode MS" w:hAnsi="Arial Unicode MS" w:cs="Arial Unicode MS"/>
                <w:b/>
                <w:bCs/>
                <w:sz w:val="16"/>
                <w:szCs w:val="16"/>
              </w:rPr>
            </w:pPr>
            <w:r w:rsidRPr="002D79F7">
              <w:rPr>
                <w:rFonts w:ascii="Arial Unicode MS" w:eastAsia="Arial Unicode MS" w:hAnsi="Arial Unicode MS" w:cs="Arial Unicode MS" w:hint="eastAsia"/>
                <w:b/>
                <w:bCs/>
                <w:sz w:val="16"/>
                <w:szCs w:val="16"/>
              </w:rPr>
              <w:t xml:space="preserve">   327,680 </w:t>
            </w:r>
          </w:p>
        </w:tc>
      </w:tr>
      <w:tr w:rsidR="00E22594" w:rsidRPr="002D79F7" w:rsidTr="00CF1A41">
        <w:trPr>
          <w:trHeight w:val="255"/>
        </w:trPr>
        <w:tc>
          <w:tcPr>
            <w:tcW w:w="1400" w:type="dxa"/>
            <w:tcBorders>
              <w:top w:val="nil"/>
              <w:left w:val="nil"/>
              <w:bottom w:val="nil"/>
              <w:right w:val="nil"/>
            </w:tcBorders>
            <w:shd w:val="clear" w:color="auto" w:fill="auto"/>
            <w:noWrap/>
            <w:vAlign w:val="center"/>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hideMark/>
          </w:tcPr>
          <w:p w:rsidR="00E22594" w:rsidRPr="002D79F7" w:rsidRDefault="00E22594" w:rsidP="00B30701">
            <w:pPr>
              <w:jc w:val="center"/>
              <w:rPr>
                <w:color w:val="000000"/>
                <w:sz w:val="16"/>
                <w:szCs w:val="16"/>
              </w:rPr>
            </w:pPr>
          </w:p>
        </w:tc>
        <w:tc>
          <w:tcPr>
            <w:tcW w:w="1600" w:type="dxa"/>
            <w:tcBorders>
              <w:top w:val="nil"/>
              <w:left w:val="nil"/>
              <w:bottom w:val="nil"/>
              <w:right w:val="nil"/>
            </w:tcBorders>
            <w:shd w:val="clear" w:color="auto" w:fill="auto"/>
            <w:noWrap/>
            <w:vAlign w:val="bottom"/>
            <w:hideMark/>
          </w:tcPr>
          <w:p w:rsidR="00E22594" w:rsidRPr="002D79F7" w:rsidRDefault="00E22594" w:rsidP="00B30701">
            <w:pP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70"/>
        </w:trPr>
        <w:tc>
          <w:tcPr>
            <w:tcW w:w="1400" w:type="dxa"/>
            <w:tcBorders>
              <w:top w:val="nil"/>
              <w:left w:val="nil"/>
              <w:bottom w:val="nil"/>
              <w:right w:val="nil"/>
            </w:tcBorders>
            <w:shd w:val="clear" w:color="auto" w:fill="auto"/>
            <w:noWrap/>
            <w:vAlign w:val="center"/>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hideMark/>
          </w:tcPr>
          <w:p w:rsidR="00E22594" w:rsidRPr="002D79F7" w:rsidRDefault="00E22594" w:rsidP="00B30701">
            <w:pPr>
              <w:jc w:val="center"/>
              <w:rPr>
                <w:color w:val="000000"/>
                <w:sz w:val="16"/>
                <w:szCs w:val="16"/>
              </w:rPr>
            </w:pPr>
          </w:p>
        </w:tc>
        <w:tc>
          <w:tcPr>
            <w:tcW w:w="1600" w:type="dxa"/>
            <w:tcBorders>
              <w:top w:val="nil"/>
              <w:left w:val="nil"/>
              <w:bottom w:val="nil"/>
              <w:right w:val="nil"/>
            </w:tcBorders>
            <w:shd w:val="clear" w:color="auto" w:fill="auto"/>
            <w:noWrap/>
            <w:vAlign w:val="bottom"/>
            <w:hideMark/>
          </w:tcPr>
          <w:p w:rsidR="00E22594" w:rsidRPr="002D79F7" w:rsidRDefault="00E22594" w:rsidP="00B30701">
            <w:pP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jc w:val="center"/>
              <w:rPr>
                <w:color w:val="000000"/>
                <w:sz w:val="16"/>
                <w:szCs w:val="16"/>
              </w:rPr>
            </w:pPr>
          </w:p>
        </w:tc>
        <w:tc>
          <w:tcPr>
            <w:tcW w:w="2800" w:type="dxa"/>
            <w:gridSpan w:val="2"/>
            <w:tcBorders>
              <w:top w:val="nil"/>
              <w:left w:val="nil"/>
              <w:bottom w:val="nil"/>
              <w:right w:val="nil"/>
            </w:tcBorders>
            <w:shd w:val="clear" w:color="auto" w:fill="auto"/>
            <w:noWrap/>
            <w:vAlign w:val="bottom"/>
            <w:hideMark/>
          </w:tcPr>
          <w:p w:rsidR="00E22594" w:rsidRPr="002D79F7" w:rsidRDefault="00E22594" w:rsidP="00B30701">
            <w:pPr>
              <w:rPr>
                <w:rFonts w:ascii="Arial Unicode MS" w:eastAsia="Arial Unicode MS" w:hAnsi="Arial Unicode MS" w:cs="Arial Unicode MS"/>
                <w:b/>
                <w:bCs/>
                <w:sz w:val="16"/>
                <w:szCs w:val="16"/>
                <w:u w:val="single"/>
              </w:rPr>
            </w:pPr>
            <w:r w:rsidRPr="002D79F7">
              <w:rPr>
                <w:rFonts w:ascii="Arial Unicode MS" w:eastAsia="Arial Unicode MS" w:hAnsi="Arial Unicode MS" w:cs="Arial Unicode MS" w:hint="eastAsia"/>
                <w:b/>
                <w:bCs/>
                <w:sz w:val="16"/>
                <w:szCs w:val="16"/>
                <w:u w:val="single"/>
              </w:rPr>
              <w:t>Barème dé</w:t>
            </w:r>
            <w:proofErr w:type="spellStart"/>
            <w:r w:rsidRPr="002D79F7">
              <w:rPr>
                <w:rFonts w:ascii="Arial Unicode MS" w:eastAsia="Arial Unicode MS" w:hAnsi="Arial Unicode MS" w:cs="Arial Unicode MS" w:hint="eastAsia"/>
                <w:b/>
                <w:bCs/>
                <w:sz w:val="16"/>
                <w:szCs w:val="16"/>
                <w:u w:val="single"/>
              </w:rPr>
              <w:t>gressif</w:t>
            </w:r>
            <w:proofErr w:type="spellEnd"/>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55"/>
        </w:trPr>
        <w:tc>
          <w:tcPr>
            <w:tcW w:w="1400" w:type="dxa"/>
            <w:tcBorders>
              <w:top w:val="nil"/>
              <w:left w:val="nil"/>
              <w:bottom w:val="nil"/>
              <w:right w:val="nil"/>
            </w:tcBorders>
            <w:shd w:val="clear" w:color="auto" w:fill="auto"/>
            <w:noWrap/>
            <w:vAlign w:val="center"/>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hideMark/>
          </w:tcPr>
          <w:p w:rsidR="00E22594" w:rsidRPr="002D79F7" w:rsidRDefault="00E22594" w:rsidP="00B30701">
            <w:pPr>
              <w:jc w:val="center"/>
              <w:rPr>
                <w:color w:val="000000"/>
                <w:sz w:val="16"/>
                <w:szCs w:val="16"/>
              </w:rPr>
            </w:pPr>
          </w:p>
        </w:tc>
        <w:tc>
          <w:tcPr>
            <w:tcW w:w="1600" w:type="dxa"/>
            <w:tcBorders>
              <w:top w:val="nil"/>
              <w:left w:val="nil"/>
              <w:bottom w:val="nil"/>
              <w:right w:val="nil"/>
            </w:tcBorders>
            <w:shd w:val="clear" w:color="auto" w:fill="auto"/>
            <w:noWrap/>
            <w:vAlign w:val="bottom"/>
            <w:hideMark/>
          </w:tcPr>
          <w:p w:rsidR="00E22594" w:rsidRPr="002D79F7" w:rsidRDefault="00E22594" w:rsidP="00B30701">
            <w:pP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1275"/>
        </w:trPr>
        <w:tc>
          <w:tcPr>
            <w:tcW w:w="2800" w:type="dxa"/>
            <w:gridSpan w:val="2"/>
            <w:tcBorders>
              <w:top w:val="nil"/>
              <w:left w:val="nil"/>
              <w:bottom w:val="nil"/>
              <w:right w:val="nil"/>
            </w:tcBorders>
            <w:shd w:val="clear" w:color="auto" w:fill="auto"/>
            <w:noWrap/>
            <w:vAlign w:val="center"/>
            <w:hideMark/>
          </w:tcPr>
          <w:p w:rsidR="00E22594" w:rsidRPr="002D79F7" w:rsidRDefault="00E22594" w:rsidP="00B30701">
            <w:pPr>
              <w:rPr>
                <w:rFonts w:ascii="Arial Unicode MS" w:eastAsia="Arial Unicode MS" w:hAnsi="Arial Unicode MS" w:cs="Arial Unicode MS"/>
                <w:b/>
                <w:bCs/>
                <w:sz w:val="16"/>
                <w:szCs w:val="16"/>
                <w:u w:val="single"/>
              </w:rPr>
            </w:pPr>
            <w:r w:rsidRPr="002D79F7">
              <w:rPr>
                <w:rFonts w:ascii="Arial Unicode MS" w:eastAsia="Arial Unicode MS" w:hAnsi="Arial Unicode MS" w:cs="Arial Unicode MS" w:hint="eastAsia"/>
                <w:b/>
                <w:bCs/>
                <w:sz w:val="16"/>
                <w:szCs w:val="16"/>
                <w:u w:val="single"/>
              </w:rPr>
              <w:t xml:space="preserve">Notes </w:t>
            </w:r>
            <w:proofErr w:type="spellStart"/>
            <w:r w:rsidRPr="002D79F7">
              <w:rPr>
                <w:rFonts w:ascii="Arial Unicode MS" w:eastAsia="Arial Unicode MS" w:hAnsi="Arial Unicode MS" w:cs="Arial Unicode MS" w:hint="eastAsia"/>
                <w:b/>
                <w:bCs/>
                <w:sz w:val="16"/>
                <w:szCs w:val="16"/>
                <w:u w:val="single"/>
              </w:rPr>
              <w:t>explicatives</w:t>
            </w:r>
            <w:proofErr w:type="spellEnd"/>
          </w:p>
        </w:tc>
        <w:tc>
          <w:tcPr>
            <w:tcW w:w="1600" w:type="dxa"/>
            <w:tcBorders>
              <w:top w:val="nil"/>
              <w:left w:val="nil"/>
              <w:bottom w:val="nil"/>
              <w:right w:val="nil"/>
            </w:tcBorders>
            <w:shd w:val="clear" w:color="auto" w:fill="auto"/>
            <w:noWrap/>
            <w:vAlign w:val="bottom"/>
            <w:hideMark/>
          </w:tcPr>
          <w:p w:rsidR="00E22594" w:rsidRPr="002D79F7" w:rsidRDefault="00E22594" w:rsidP="00B30701">
            <w:pP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jc w:val="center"/>
              <w:rPr>
                <w:color w:val="00000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E22594" w:rsidRPr="00733567" w:rsidRDefault="00E22594" w:rsidP="00B30701">
            <w:pPr>
              <w:jc w:val="center"/>
              <w:rPr>
                <w:rFonts w:ascii="Arial Unicode MS" w:eastAsia="Arial Unicode MS" w:hAnsi="Arial Unicode MS" w:cs="Arial Unicode MS"/>
                <w:b/>
                <w:bCs/>
                <w:sz w:val="16"/>
                <w:szCs w:val="16"/>
                <w:lang w:val="fr-CH"/>
              </w:rPr>
            </w:pPr>
            <w:r w:rsidRPr="00733567">
              <w:rPr>
                <w:rFonts w:ascii="Arial Unicode MS" w:eastAsia="Arial Unicode MS" w:hAnsi="Arial Unicode MS" w:cs="Arial Unicode MS" w:hint="eastAsia"/>
                <w:b/>
                <w:bCs/>
                <w:sz w:val="16"/>
                <w:szCs w:val="16"/>
                <w:lang w:val="fr-CH"/>
              </w:rPr>
              <w:t xml:space="preserve"> Fourchette des dépenses ouvrant droit au remboursement en dollars É.-U. </w:t>
            </w:r>
          </w:p>
        </w:tc>
        <w:tc>
          <w:tcPr>
            <w:tcW w:w="1400" w:type="dxa"/>
            <w:tcBorders>
              <w:top w:val="single" w:sz="4" w:space="0" w:color="auto"/>
              <w:left w:val="single" w:sz="4" w:space="0" w:color="auto"/>
              <w:bottom w:val="single" w:sz="4" w:space="0" w:color="auto"/>
              <w:right w:val="single" w:sz="4" w:space="0" w:color="auto"/>
            </w:tcBorders>
            <w:shd w:val="clear" w:color="4F81BD" w:fill="4F81BD"/>
            <w:vAlign w:val="center"/>
            <w:hideMark/>
          </w:tcPr>
          <w:p w:rsidR="00E22594" w:rsidRPr="002D79F7" w:rsidRDefault="00E22594" w:rsidP="00B30701">
            <w:pPr>
              <w:jc w:val="center"/>
              <w:rPr>
                <w:rFonts w:ascii="Arial Unicode MS" w:eastAsia="Arial Unicode MS" w:hAnsi="Arial Unicode MS" w:cs="Arial Unicode MS"/>
                <w:b/>
                <w:bCs/>
                <w:sz w:val="16"/>
                <w:szCs w:val="16"/>
              </w:rPr>
            </w:pPr>
            <w:r w:rsidRPr="00733567">
              <w:rPr>
                <w:rFonts w:ascii="Arial Unicode MS" w:eastAsia="Arial Unicode MS" w:hAnsi="Arial Unicode MS" w:cs="Arial Unicode MS" w:hint="eastAsia"/>
                <w:b/>
                <w:bCs/>
                <w:sz w:val="16"/>
                <w:szCs w:val="16"/>
                <w:lang w:val="fr-CH"/>
              </w:rPr>
              <w:t xml:space="preserve"> </w:t>
            </w:r>
            <w:proofErr w:type="spellStart"/>
            <w:r w:rsidRPr="002D79F7">
              <w:rPr>
                <w:rFonts w:ascii="Arial Unicode MS" w:eastAsia="Arial Unicode MS" w:hAnsi="Arial Unicode MS" w:cs="Arial Unicode MS" w:hint="eastAsia"/>
                <w:b/>
                <w:bCs/>
                <w:sz w:val="16"/>
                <w:szCs w:val="16"/>
              </w:rPr>
              <w:t>Taux</w:t>
            </w:r>
            <w:proofErr w:type="spellEnd"/>
            <w:r w:rsidRPr="002D79F7">
              <w:rPr>
                <w:rFonts w:ascii="Arial Unicode MS" w:eastAsia="Arial Unicode MS" w:hAnsi="Arial Unicode MS" w:cs="Arial Unicode MS" w:hint="eastAsia"/>
                <w:b/>
                <w:bCs/>
                <w:sz w:val="16"/>
                <w:szCs w:val="16"/>
              </w:rPr>
              <w:t xml:space="preserve"> de </w:t>
            </w:r>
            <w:proofErr w:type="spellStart"/>
            <w:r w:rsidRPr="002D79F7">
              <w:rPr>
                <w:rFonts w:ascii="Arial Unicode MS" w:eastAsia="Arial Unicode MS" w:hAnsi="Arial Unicode MS" w:cs="Arial Unicode MS" w:hint="eastAsia"/>
                <w:b/>
                <w:bCs/>
                <w:sz w:val="16"/>
                <w:szCs w:val="16"/>
              </w:rPr>
              <w:t>remboursement</w:t>
            </w:r>
            <w:proofErr w:type="spellEnd"/>
            <w:r w:rsidRPr="002D79F7">
              <w:rPr>
                <w:rFonts w:ascii="Arial Unicode MS" w:eastAsia="Arial Unicode MS" w:hAnsi="Arial Unicode MS" w:cs="Arial Unicode MS" w:hint="eastAsia"/>
                <w:b/>
                <w:bCs/>
                <w:sz w:val="16"/>
                <w:szCs w:val="16"/>
              </w:rPr>
              <w:t xml:space="preserve"> </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55"/>
        </w:trPr>
        <w:tc>
          <w:tcPr>
            <w:tcW w:w="11400" w:type="dxa"/>
            <w:gridSpan w:val="8"/>
            <w:tcBorders>
              <w:top w:val="nil"/>
              <w:left w:val="nil"/>
              <w:bottom w:val="nil"/>
              <w:right w:val="nil"/>
            </w:tcBorders>
            <w:shd w:val="clear" w:color="auto" w:fill="auto"/>
            <w:noWrap/>
            <w:vAlign w:val="center"/>
            <w:hideMark/>
          </w:tcPr>
          <w:p w:rsidR="00E22594" w:rsidRPr="00733567" w:rsidRDefault="00E22594" w:rsidP="00B30701">
            <w:pPr>
              <w:rPr>
                <w:rFonts w:ascii="Arial Unicode MS" w:eastAsia="Arial Unicode MS" w:hAnsi="Arial Unicode MS" w:cs="Arial Unicode MS"/>
                <w:sz w:val="16"/>
                <w:szCs w:val="16"/>
                <w:lang w:val="fr-CH"/>
              </w:rPr>
            </w:pPr>
            <w:r w:rsidRPr="00733567">
              <w:rPr>
                <w:rFonts w:ascii="Arial Unicode MS" w:eastAsia="Arial Unicode MS" w:hAnsi="Arial Unicode MS" w:cs="Arial Unicode MS" w:hint="eastAsia"/>
                <w:sz w:val="16"/>
                <w:szCs w:val="16"/>
                <w:vertAlign w:val="superscript"/>
                <w:lang w:val="fr-CH"/>
              </w:rPr>
              <w:t>1</w:t>
            </w:r>
            <w:r w:rsidRPr="00733567">
              <w:rPr>
                <w:rFonts w:ascii="Arial Unicode MS" w:eastAsia="Arial Unicode MS" w:hAnsi="Arial Unicode MS" w:cs="Arial Unicode MS" w:hint="eastAsia"/>
                <w:sz w:val="16"/>
                <w:szCs w:val="16"/>
                <w:lang w:val="fr-CH"/>
              </w:rPr>
              <w:t xml:space="preserve"> Obtenus à partir de la demande de clôture du fonctionnaire pour l'année 2014-2015 ou de la demande d'avance (le cas échéant) pour l'année 2015-2016.</w:t>
            </w:r>
          </w:p>
        </w:tc>
        <w:tc>
          <w:tcPr>
            <w:tcW w:w="1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22594" w:rsidRPr="002D79F7" w:rsidRDefault="00E22594" w:rsidP="00B30701">
            <w:pPr>
              <w:rPr>
                <w:color w:val="000000"/>
                <w:sz w:val="16"/>
                <w:szCs w:val="16"/>
              </w:rPr>
            </w:pPr>
            <w:r w:rsidRPr="00733567">
              <w:rPr>
                <w:color w:val="000000"/>
                <w:sz w:val="16"/>
                <w:szCs w:val="16"/>
                <w:lang w:val="fr-CH"/>
              </w:rPr>
              <w:t xml:space="preserve"> </w:t>
            </w:r>
            <w:r w:rsidRPr="002D79F7">
              <w:rPr>
                <w:color w:val="000000"/>
                <w:sz w:val="16"/>
                <w:szCs w:val="16"/>
              </w:rPr>
              <w:t xml:space="preserve">0 -11 600 </w:t>
            </w:r>
          </w:p>
        </w:tc>
        <w:tc>
          <w:tcPr>
            <w:tcW w:w="1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22594" w:rsidRPr="002D79F7" w:rsidRDefault="00E22594" w:rsidP="00B30701">
            <w:pPr>
              <w:ind w:firstLineChars="200" w:firstLine="320"/>
              <w:rPr>
                <w:color w:val="000000"/>
                <w:sz w:val="16"/>
                <w:szCs w:val="16"/>
              </w:rPr>
            </w:pPr>
            <w:r w:rsidRPr="002D79F7">
              <w:rPr>
                <w:color w:val="000000"/>
                <w:sz w:val="16"/>
                <w:szCs w:val="16"/>
              </w:rPr>
              <w:t>86%</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55"/>
        </w:trPr>
        <w:tc>
          <w:tcPr>
            <w:tcW w:w="5800" w:type="dxa"/>
            <w:gridSpan w:val="4"/>
            <w:tcBorders>
              <w:top w:val="nil"/>
              <w:left w:val="nil"/>
              <w:bottom w:val="nil"/>
              <w:right w:val="nil"/>
            </w:tcBorders>
            <w:shd w:val="clear" w:color="auto" w:fill="auto"/>
            <w:noWrap/>
            <w:vAlign w:val="center"/>
            <w:hideMark/>
          </w:tcPr>
          <w:p w:rsidR="00E22594" w:rsidRPr="00733567" w:rsidRDefault="00E22594" w:rsidP="00B30701">
            <w:pPr>
              <w:rPr>
                <w:rFonts w:ascii="Arial Unicode MS" w:eastAsia="Arial Unicode MS" w:hAnsi="Arial Unicode MS" w:cs="Arial Unicode MS"/>
                <w:sz w:val="16"/>
                <w:szCs w:val="16"/>
                <w:lang w:val="fr-CH"/>
              </w:rPr>
            </w:pPr>
            <w:r w:rsidRPr="00733567">
              <w:rPr>
                <w:rFonts w:ascii="Arial Unicode MS" w:eastAsia="Arial Unicode MS" w:hAnsi="Arial Unicode MS" w:cs="Arial Unicode MS" w:hint="eastAsia"/>
                <w:sz w:val="16"/>
                <w:szCs w:val="16"/>
                <w:vertAlign w:val="superscript"/>
                <w:lang w:val="fr-CH"/>
              </w:rPr>
              <w:t>2</w:t>
            </w:r>
            <w:r w:rsidRPr="00733567">
              <w:rPr>
                <w:rFonts w:ascii="Arial Unicode MS" w:eastAsia="Arial Unicode MS" w:hAnsi="Arial Unicode MS" w:cs="Arial Unicode MS" w:hint="eastAsia"/>
                <w:sz w:val="16"/>
                <w:szCs w:val="16"/>
                <w:lang w:val="fr-CH"/>
              </w:rPr>
              <w:t xml:space="preserve"> Au titre du nouveau régime d'indemnité pour frais d'études.</w:t>
            </w:r>
          </w:p>
        </w:tc>
        <w:tc>
          <w:tcPr>
            <w:tcW w:w="1400" w:type="dxa"/>
            <w:tcBorders>
              <w:top w:val="nil"/>
              <w:left w:val="nil"/>
              <w:bottom w:val="nil"/>
              <w:right w:val="nil"/>
            </w:tcBorders>
            <w:shd w:val="clear" w:color="auto" w:fill="auto"/>
            <w:noWrap/>
            <w:vAlign w:val="bottom"/>
            <w:hideMark/>
          </w:tcPr>
          <w:p w:rsidR="00E22594" w:rsidRPr="00733567" w:rsidRDefault="00E22594" w:rsidP="00B30701">
            <w:pPr>
              <w:ind w:firstLineChars="200" w:firstLine="320"/>
              <w:rPr>
                <w:color w:val="000000"/>
                <w:sz w:val="16"/>
                <w:szCs w:val="16"/>
                <w:lang w:val="fr-CH"/>
              </w:rPr>
            </w:pPr>
          </w:p>
        </w:tc>
        <w:tc>
          <w:tcPr>
            <w:tcW w:w="1400" w:type="dxa"/>
            <w:tcBorders>
              <w:top w:val="nil"/>
              <w:left w:val="nil"/>
              <w:bottom w:val="nil"/>
              <w:right w:val="nil"/>
            </w:tcBorders>
            <w:shd w:val="clear" w:color="auto" w:fill="auto"/>
            <w:noWrap/>
            <w:vAlign w:val="bottom"/>
            <w:hideMark/>
          </w:tcPr>
          <w:p w:rsidR="00E22594" w:rsidRPr="00733567" w:rsidRDefault="00E22594" w:rsidP="00B30701">
            <w:pPr>
              <w:ind w:firstLineChars="200" w:firstLine="320"/>
              <w:rPr>
                <w:color w:val="000000"/>
                <w:sz w:val="16"/>
                <w:szCs w:val="16"/>
                <w:lang w:val="fr-CH"/>
              </w:rPr>
            </w:pPr>
          </w:p>
        </w:tc>
        <w:tc>
          <w:tcPr>
            <w:tcW w:w="1400" w:type="dxa"/>
            <w:tcBorders>
              <w:top w:val="nil"/>
              <w:left w:val="nil"/>
              <w:bottom w:val="nil"/>
              <w:right w:val="nil"/>
            </w:tcBorders>
            <w:shd w:val="clear" w:color="auto" w:fill="auto"/>
            <w:noWrap/>
            <w:vAlign w:val="bottom"/>
            <w:hideMark/>
          </w:tcPr>
          <w:p w:rsidR="00E22594" w:rsidRPr="00733567" w:rsidRDefault="00E22594" w:rsidP="00B30701">
            <w:pPr>
              <w:ind w:firstLineChars="200" w:firstLine="320"/>
              <w:rPr>
                <w:color w:val="000000"/>
                <w:sz w:val="16"/>
                <w:szCs w:val="16"/>
                <w:lang w:val="fr-CH"/>
              </w:rPr>
            </w:pPr>
          </w:p>
        </w:tc>
        <w:tc>
          <w:tcPr>
            <w:tcW w:w="1400" w:type="dxa"/>
            <w:tcBorders>
              <w:top w:val="nil"/>
              <w:left w:val="nil"/>
              <w:bottom w:val="nil"/>
              <w:right w:val="nil"/>
            </w:tcBorders>
            <w:shd w:val="clear" w:color="auto" w:fill="auto"/>
            <w:noWrap/>
            <w:vAlign w:val="bottom"/>
            <w:hideMark/>
          </w:tcPr>
          <w:p w:rsidR="00E22594" w:rsidRPr="00733567" w:rsidRDefault="00E22594" w:rsidP="00B30701">
            <w:pPr>
              <w:jc w:val="center"/>
              <w:rPr>
                <w:color w:val="000000"/>
                <w:sz w:val="16"/>
                <w:szCs w:val="16"/>
                <w:lang w:val="fr-CH"/>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color w:val="000000"/>
                <w:sz w:val="16"/>
                <w:szCs w:val="16"/>
              </w:rPr>
            </w:pPr>
            <w:r w:rsidRPr="00733567">
              <w:rPr>
                <w:color w:val="000000"/>
                <w:sz w:val="16"/>
                <w:szCs w:val="16"/>
                <w:lang w:val="fr-CH"/>
              </w:rPr>
              <w:t xml:space="preserve"> </w:t>
            </w:r>
            <w:r w:rsidRPr="002D79F7">
              <w:rPr>
                <w:color w:val="000000"/>
                <w:sz w:val="16"/>
                <w:szCs w:val="16"/>
              </w:rPr>
              <w:t xml:space="preserve">11 601 - 17 400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color w:val="000000"/>
                <w:sz w:val="16"/>
                <w:szCs w:val="16"/>
              </w:rPr>
            </w:pPr>
            <w:r w:rsidRPr="002D79F7">
              <w:rPr>
                <w:color w:val="000000"/>
                <w:sz w:val="16"/>
                <w:szCs w:val="16"/>
              </w:rPr>
              <w:t>81%</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55"/>
        </w:trPr>
        <w:tc>
          <w:tcPr>
            <w:tcW w:w="8600" w:type="dxa"/>
            <w:gridSpan w:val="6"/>
            <w:tcBorders>
              <w:top w:val="nil"/>
              <w:left w:val="nil"/>
              <w:bottom w:val="nil"/>
              <w:right w:val="nil"/>
            </w:tcBorders>
            <w:shd w:val="clear" w:color="auto" w:fill="auto"/>
            <w:noWrap/>
            <w:vAlign w:val="center"/>
            <w:hideMark/>
          </w:tcPr>
          <w:p w:rsidR="00E22594" w:rsidRPr="00733567" w:rsidRDefault="00E22594" w:rsidP="00B30701">
            <w:pPr>
              <w:rPr>
                <w:rFonts w:ascii="Arial Unicode MS" w:eastAsia="Arial Unicode MS" w:hAnsi="Arial Unicode MS" w:cs="Arial Unicode MS"/>
                <w:sz w:val="16"/>
                <w:szCs w:val="16"/>
                <w:lang w:val="fr-CH"/>
              </w:rPr>
            </w:pPr>
            <w:r w:rsidRPr="00733567">
              <w:rPr>
                <w:rFonts w:ascii="Arial Unicode MS" w:eastAsia="Arial Unicode MS" w:hAnsi="Arial Unicode MS" w:cs="Arial Unicode MS" w:hint="eastAsia"/>
                <w:sz w:val="16"/>
                <w:szCs w:val="16"/>
                <w:vertAlign w:val="superscript"/>
                <w:lang w:val="fr-CH"/>
              </w:rPr>
              <w:t>3</w:t>
            </w:r>
            <w:r w:rsidRPr="00733567">
              <w:rPr>
                <w:rFonts w:ascii="Arial Unicode MS" w:eastAsia="Arial Unicode MS" w:hAnsi="Arial Unicode MS" w:cs="Arial Unicode MS" w:hint="eastAsia"/>
                <w:sz w:val="16"/>
                <w:szCs w:val="16"/>
                <w:lang w:val="fr-CH"/>
              </w:rPr>
              <w:t xml:space="preserve"> Conformément au barème dégressif adopté dans le cadre du nouveau régime d'indemnité pour frais d'études.</w:t>
            </w:r>
          </w:p>
        </w:tc>
        <w:tc>
          <w:tcPr>
            <w:tcW w:w="1400" w:type="dxa"/>
            <w:tcBorders>
              <w:top w:val="nil"/>
              <w:left w:val="nil"/>
              <w:bottom w:val="nil"/>
              <w:right w:val="nil"/>
            </w:tcBorders>
            <w:shd w:val="clear" w:color="auto" w:fill="auto"/>
            <w:noWrap/>
            <w:vAlign w:val="bottom"/>
            <w:hideMark/>
          </w:tcPr>
          <w:p w:rsidR="00E22594" w:rsidRPr="00733567" w:rsidRDefault="00E22594" w:rsidP="00B30701">
            <w:pPr>
              <w:ind w:firstLineChars="200" w:firstLine="320"/>
              <w:rPr>
                <w:color w:val="000000"/>
                <w:sz w:val="16"/>
                <w:szCs w:val="16"/>
                <w:lang w:val="fr-CH"/>
              </w:rPr>
            </w:pPr>
          </w:p>
        </w:tc>
        <w:tc>
          <w:tcPr>
            <w:tcW w:w="1400" w:type="dxa"/>
            <w:tcBorders>
              <w:top w:val="nil"/>
              <w:left w:val="nil"/>
              <w:bottom w:val="nil"/>
              <w:right w:val="nil"/>
            </w:tcBorders>
            <w:shd w:val="clear" w:color="auto" w:fill="auto"/>
            <w:noWrap/>
            <w:vAlign w:val="bottom"/>
            <w:hideMark/>
          </w:tcPr>
          <w:p w:rsidR="00E22594" w:rsidRPr="00733567" w:rsidRDefault="00E22594" w:rsidP="00B30701">
            <w:pPr>
              <w:jc w:val="center"/>
              <w:rPr>
                <w:color w:val="000000"/>
                <w:sz w:val="16"/>
                <w:szCs w:val="16"/>
                <w:lang w:val="fr-CH"/>
              </w:rPr>
            </w:pPr>
          </w:p>
        </w:tc>
        <w:tc>
          <w:tcPr>
            <w:tcW w:w="1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22594" w:rsidRPr="002D79F7" w:rsidRDefault="00E22594" w:rsidP="00B30701">
            <w:pPr>
              <w:rPr>
                <w:color w:val="000000"/>
                <w:sz w:val="16"/>
                <w:szCs w:val="16"/>
              </w:rPr>
            </w:pPr>
            <w:r w:rsidRPr="00733567">
              <w:rPr>
                <w:color w:val="000000"/>
                <w:sz w:val="16"/>
                <w:szCs w:val="16"/>
                <w:lang w:val="fr-CH"/>
              </w:rPr>
              <w:t xml:space="preserve"> </w:t>
            </w:r>
            <w:r w:rsidRPr="002D79F7">
              <w:rPr>
                <w:color w:val="000000"/>
                <w:sz w:val="16"/>
                <w:szCs w:val="16"/>
              </w:rPr>
              <w:t xml:space="preserve">17 401 - 23 200 </w:t>
            </w:r>
          </w:p>
        </w:tc>
        <w:tc>
          <w:tcPr>
            <w:tcW w:w="1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22594" w:rsidRPr="002D79F7" w:rsidRDefault="00E22594" w:rsidP="00B30701">
            <w:pPr>
              <w:ind w:firstLineChars="200" w:firstLine="320"/>
              <w:rPr>
                <w:color w:val="000000"/>
                <w:sz w:val="16"/>
                <w:szCs w:val="16"/>
              </w:rPr>
            </w:pPr>
            <w:r w:rsidRPr="002D79F7">
              <w:rPr>
                <w:color w:val="000000"/>
                <w:sz w:val="16"/>
                <w:szCs w:val="16"/>
              </w:rPr>
              <w:t>76%</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55"/>
        </w:trPr>
        <w:tc>
          <w:tcPr>
            <w:tcW w:w="4400" w:type="dxa"/>
            <w:gridSpan w:val="3"/>
            <w:tcBorders>
              <w:top w:val="nil"/>
              <w:left w:val="nil"/>
              <w:bottom w:val="nil"/>
              <w:right w:val="nil"/>
            </w:tcBorders>
            <w:shd w:val="clear" w:color="auto" w:fill="auto"/>
            <w:noWrap/>
            <w:vAlign w:val="center"/>
            <w:hideMark/>
          </w:tcPr>
          <w:p w:rsidR="00E22594" w:rsidRPr="002D79F7" w:rsidRDefault="00E22594" w:rsidP="00B30701">
            <w:pPr>
              <w:rPr>
                <w:rFonts w:ascii="Arial Unicode MS" w:eastAsia="Arial Unicode MS" w:hAnsi="Arial Unicode MS" w:cs="Arial Unicode MS"/>
                <w:sz w:val="16"/>
                <w:szCs w:val="16"/>
              </w:rPr>
            </w:pPr>
            <w:r w:rsidRPr="002D79F7">
              <w:rPr>
                <w:rFonts w:ascii="Arial Unicode MS" w:eastAsia="Arial Unicode MS" w:hAnsi="Arial Unicode MS" w:cs="Arial Unicode MS" w:hint="eastAsia"/>
                <w:sz w:val="16"/>
                <w:szCs w:val="16"/>
                <w:vertAlign w:val="superscript"/>
              </w:rPr>
              <w:t>4</w:t>
            </w:r>
            <w:r w:rsidRPr="002D79F7">
              <w:rPr>
                <w:rFonts w:ascii="Arial Unicode MS" w:eastAsia="Arial Unicode MS" w:hAnsi="Arial Unicode MS" w:cs="Arial Unicode MS" w:hint="eastAsia"/>
                <w:sz w:val="16"/>
                <w:szCs w:val="16"/>
              </w:rPr>
              <w:t xml:space="preserve"> </w:t>
            </w:r>
            <w:proofErr w:type="spellStart"/>
            <w:r w:rsidRPr="002D79F7">
              <w:rPr>
                <w:rFonts w:ascii="Arial Unicode MS" w:eastAsia="Arial Unicode MS" w:hAnsi="Arial Unicode MS" w:cs="Arial Unicode MS" w:hint="eastAsia"/>
                <w:sz w:val="16"/>
                <w:szCs w:val="16"/>
              </w:rPr>
              <w:t>Calcul</w:t>
            </w:r>
            <w:proofErr w:type="spellEnd"/>
            <w:r w:rsidRPr="002D79F7">
              <w:rPr>
                <w:rFonts w:ascii="Arial Unicode MS" w:eastAsia="Arial Unicode MS" w:hAnsi="Arial Unicode MS" w:cs="Arial Unicode MS" w:hint="eastAsia"/>
                <w:sz w:val="16"/>
                <w:szCs w:val="16"/>
              </w:rPr>
              <w:t xml:space="preserve">é pour </w:t>
            </w:r>
            <w:proofErr w:type="spellStart"/>
            <w:r w:rsidRPr="002D79F7">
              <w:rPr>
                <w:rFonts w:ascii="Arial Unicode MS" w:eastAsia="Arial Unicode MS" w:hAnsi="Arial Unicode MS" w:cs="Arial Unicode MS" w:hint="eastAsia"/>
                <w:sz w:val="16"/>
                <w:szCs w:val="16"/>
              </w:rPr>
              <w:t>l'ann</w:t>
            </w:r>
            <w:proofErr w:type="spellEnd"/>
            <w:r w:rsidRPr="002D79F7">
              <w:rPr>
                <w:rFonts w:ascii="Arial Unicode MS" w:eastAsia="Arial Unicode MS" w:hAnsi="Arial Unicode MS" w:cs="Arial Unicode MS" w:hint="eastAsia"/>
                <w:sz w:val="16"/>
                <w:szCs w:val="16"/>
              </w:rPr>
              <w:t xml:space="preserve">ée </w:t>
            </w:r>
            <w:proofErr w:type="spellStart"/>
            <w:r w:rsidRPr="002D79F7">
              <w:rPr>
                <w:rFonts w:ascii="Arial Unicode MS" w:eastAsia="Arial Unicode MS" w:hAnsi="Arial Unicode MS" w:cs="Arial Unicode MS" w:hint="eastAsia"/>
                <w:sz w:val="16"/>
                <w:szCs w:val="16"/>
              </w:rPr>
              <w:t>scolaire</w:t>
            </w:r>
            <w:proofErr w:type="spellEnd"/>
            <w:r w:rsidRPr="002D79F7">
              <w:rPr>
                <w:rFonts w:ascii="Arial Unicode MS" w:eastAsia="Arial Unicode MS" w:hAnsi="Arial Unicode MS" w:cs="Arial Unicode MS" w:hint="eastAsia"/>
                <w:sz w:val="16"/>
                <w:szCs w:val="16"/>
              </w:rPr>
              <w:t xml:space="preserve"> 2017-2018.</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jc w:val="center"/>
              <w:rPr>
                <w:color w:val="00000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color w:val="000000"/>
                <w:sz w:val="16"/>
                <w:szCs w:val="16"/>
              </w:rPr>
            </w:pPr>
            <w:r w:rsidRPr="002D79F7">
              <w:rPr>
                <w:color w:val="000000"/>
                <w:sz w:val="16"/>
                <w:szCs w:val="16"/>
              </w:rPr>
              <w:t xml:space="preserve"> 23 201 - 29 000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color w:val="000000"/>
                <w:sz w:val="16"/>
                <w:szCs w:val="16"/>
              </w:rPr>
            </w:pPr>
            <w:r w:rsidRPr="002D79F7">
              <w:rPr>
                <w:color w:val="000000"/>
                <w:sz w:val="16"/>
                <w:szCs w:val="16"/>
              </w:rPr>
              <w:t>71%</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55"/>
        </w:trPr>
        <w:tc>
          <w:tcPr>
            <w:tcW w:w="1400" w:type="dxa"/>
            <w:tcBorders>
              <w:top w:val="nil"/>
              <w:left w:val="nil"/>
              <w:bottom w:val="nil"/>
              <w:right w:val="nil"/>
            </w:tcBorders>
            <w:shd w:val="clear" w:color="auto" w:fill="auto"/>
            <w:noWrap/>
            <w:vAlign w:val="center"/>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hideMark/>
          </w:tcPr>
          <w:p w:rsidR="00E22594" w:rsidRPr="002D79F7" w:rsidRDefault="00E22594" w:rsidP="00B30701">
            <w:pPr>
              <w:jc w:val="center"/>
              <w:rPr>
                <w:color w:val="000000"/>
                <w:sz w:val="16"/>
                <w:szCs w:val="16"/>
              </w:rPr>
            </w:pPr>
          </w:p>
        </w:tc>
        <w:tc>
          <w:tcPr>
            <w:tcW w:w="1600" w:type="dxa"/>
            <w:tcBorders>
              <w:top w:val="nil"/>
              <w:left w:val="nil"/>
              <w:bottom w:val="nil"/>
              <w:right w:val="nil"/>
            </w:tcBorders>
            <w:shd w:val="clear" w:color="auto" w:fill="auto"/>
            <w:noWrap/>
            <w:vAlign w:val="bottom"/>
            <w:hideMark/>
          </w:tcPr>
          <w:p w:rsidR="00E22594" w:rsidRPr="002D79F7" w:rsidRDefault="00E22594" w:rsidP="00B30701">
            <w:pP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22594" w:rsidRPr="002D79F7" w:rsidRDefault="00E22594" w:rsidP="00B30701">
            <w:pPr>
              <w:rPr>
                <w:color w:val="000000"/>
                <w:sz w:val="16"/>
                <w:szCs w:val="16"/>
              </w:rPr>
            </w:pPr>
            <w:r w:rsidRPr="002D79F7">
              <w:rPr>
                <w:color w:val="000000"/>
                <w:sz w:val="16"/>
                <w:szCs w:val="16"/>
              </w:rPr>
              <w:t xml:space="preserve"> 29 001 - 34 800 </w:t>
            </w:r>
          </w:p>
        </w:tc>
        <w:tc>
          <w:tcPr>
            <w:tcW w:w="1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22594" w:rsidRPr="002D79F7" w:rsidRDefault="00E22594" w:rsidP="00B30701">
            <w:pPr>
              <w:ind w:firstLineChars="200" w:firstLine="320"/>
              <w:rPr>
                <w:color w:val="000000"/>
                <w:sz w:val="16"/>
                <w:szCs w:val="16"/>
              </w:rPr>
            </w:pPr>
            <w:r w:rsidRPr="002D79F7">
              <w:rPr>
                <w:color w:val="000000"/>
                <w:sz w:val="16"/>
                <w:szCs w:val="16"/>
              </w:rPr>
              <w:t>66%</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55"/>
        </w:trPr>
        <w:tc>
          <w:tcPr>
            <w:tcW w:w="1400" w:type="dxa"/>
            <w:tcBorders>
              <w:top w:val="nil"/>
              <w:left w:val="nil"/>
              <w:bottom w:val="nil"/>
              <w:right w:val="nil"/>
            </w:tcBorders>
            <w:shd w:val="clear" w:color="auto" w:fill="auto"/>
            <w:noWrap/>
            <w:vAlign w:val="center"/>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hideMark/>
          </w:tcPr>
          <w:p w:rsidR="00E22594" w:rsidRPr="002D79F7" w:rsidRDefault="00E22594" w:rsidP="00B30701">
            <w:pPr>
              <w:jc w:val="center"/>
              <w:rPr>
                <w:color w:val="000000"/>
                <w:sz w:val="16"/>
                <w:szCs w:val="16"/>
              </w:rPr>
            </w:pPr>
          </w:p>
        </w:tc>
        <w:tc>
          <w:tcPr>
            <w:tcW w:w="1600" w:type="dxa"/>
            <w:tcBorders>
              <w:top w:val="nil"/>
              <w:left w:val="nil"/>
              <w:bottom w:val="nil"/>
              <w:right w:val="nil"/>
            </w:tcBorders>
            <w:shd w:val="clear" w:color="auto" w:fill="auto"/>
            <w:noWrap/>
            <w:vAlign w:val="bottom"/>
            <w:hideMark/>
          </w:tcPr>
          <w:p w:rsidR="00E22594" w:rsidRPr="002D79F7" w:rsidRDefault="00E22594" w:rsidP="00B30701">
            <w:pP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rPr>
                <w:color w:val="000000"/>
                <w:sz w:val="16"/>
                <w:szCs w:val="16"/>
              </w:rPr>
            </w:pPr>
            <w:r w:rsidRPr="002D79F7">
              <w:rPr>
                <w:color w:val="000000"/>
                <w:sz w:val="16"/>
                <w:szCs w:val="16"/>
              </w:rPr>
              <w:t xml:space="preserve"> 34 801 - 40 600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594" w:rsidRPr="002D79F7" w:rsidRDefault="00E22594" w:rsidP="00B30701">
            <w:pPr>
              <w:ind w:firstLineChars="200" w:firstLine="320"/>
              <w:rPr>
                <w:color w:val="000000"/>
                <w:sz w:val="16"/>
                <w:szCs w:val="16"/>
              </w:rPr>
            </w:pPr>
            <w:r w:rsidRPr="002D79F7">
              <w:rPr>
                <w:color w:val="000000"/>
                <w:sz w:val="16"/>
                <w:szCs w:val="16"/>
              </w:rPr>
              <w:t>61%</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70"/>
        </w:trPr>
        <w:tc>
          <w:tcPr>
            <w:tcW w:w="1400" w:type="dxa"/>
            <w:tcBorders>
              <w:top w:val="nil"/>
              <w:left w:val="nil"/>
              <w:bottom w:val="nil"/>
              <w:right w:val="nil"/>
            </w:tcBorders>
            <w:shd w:val="clear" w:color="auto" w:fill="auto"/>
            <w:noWrap/>
            <w:vAlign w:val="center"/>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hideMark/>
          </w:tcPr>
          <w:p w:rsidR="00E22594" w:rsidRPr="002D79F7" w:rsidRDefault="00E22594" w:rsidP="00B30701">
            <w:pPr>
              <w:jc w:val="center"/>
              <w:rPr>
                <w:color w:val="000000"/>
                <w:sz w:val="16"/>
                <w:szCs w:val="16"/>
              </w:rPr>
            </w:pPr>
          </w:p>
        </w:tc>
        <w:tc>
          <w:tcPr>
            <w:tcW w:w="1600" w:type="dxa"/>
            <w:tcBorders>
              <w:top w:val="nil"/>
              <w:left w:val="nil"/>
              <w:bottom w:val="nil"/>
              <w:right w:val="nil"/>
            </w:tcBorders>
            <w:shd w:val="clear" w:color="auto" w:fill="auto"/>
            <w:noWrap/>
            <w:vAlign w:val="bottom"/>
            <w:hideMark/>
          </w:tcPr>
          <w:p w:rsidR="00E22594" w:rsidRPr="002D79F7" w:rsidRDefault="00E22594" w:rsidP="00B30701">
            <w:pP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22594" w:rsidRPr="002D79F7" w:rsidRDefault="00E22594" w:rsidP="00B30701">
            <w:pPr>
              <w:rPr>
                <w:rFonts w:ascii="Arial Unicode MS" w:eastAsia="Arial Unicode MS" w:hAnsi="Arial Unicode MS" w:cs="Arial Unicode MS"/>
                <w:sz w:val="16"/>
                <w:szCs w:val="16"/>
              </w:rPr>
            </w:pPr>
            <w:r w:rsidRPr="002D79F7">
              <w:rPr>
                <w:rFonts w:ascii="Arial Unicode MS" w:eastAsia="Arial Unicode MS" w:hAnsi="Arial Unicode MS" w:cs="Arial Unicode MS" w:hint="eastAsia"/>
                <w:sz w:val="16"/>
                <w:szCs w:val="16"/>
              </w:rPr>
              <w:t xml:space="preserve"> &gt; 40 601 </w:t>
            </w:r>
          </w:p>
        </w:tc>
        <w:tc>
          <w:tcPr>
            <w:tcW w:w="1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22594" w:rsidRPr="002D79F7" w:rsidRDefault="00E22594" w:rsidP="00B30701">
            <w:pPr>
              <w:ind w:firstLineChars="200" w:firstLine="320"/>
              <w:rPr>
                <w:color w:val="000000"/>
                <w:sz w:val="16"/>
                <w:szCs w:val="16"/>
              </w:rPr>
            </w:pPr>
            <w:r w:rsidRPr="002D79F7">
              <w:rPr>
                <w:color w:val="000000"/>
                <w:sz w:val="16"/>
                <w:szCs w:val="16"/>
              </w:rPr>
              <w:t>0%</w:t>
            </w: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r w:rsidR="00E22594" w:rsidRPr="002D79F7" w:rsidTr="00CF1A41">
        <w:trPr>
          <w:trHeight w:val="255"/>
        </w:trPr>
        <w:tc>
          <w:tcPr>
            <w:tcW w:w="1400" w:type="dxa"/>
            <w:tcBorders>
              <w:top w:val="nil"/>
              <w:left w:val="nil"/>
              <w:bottom w:val="nil"/>
              <w:right w:val="nil"/>
            </w:tcBorders>
            <w:shd w:val="clear" w:color="auto" w:fill="auto"/>
            <w:noWrap/>
            <w:vAlign w:val="center"/>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hideMark/>
          </w:tcPr>
          <w:p w:rsidR="00E22594" w:rsidRPr="002D79F7" w:rsidRDefault="00E22594" w:rsidP="00B30701">
            <w:pPr>
              <w:jc w:val="center"/>
              <w:rPr>
                <w:color w:val="000000"/>
                <w:sz w:val="16"/>
                <w:szCs w:val="16"/>
              </w:rPr>
            </w:pPr>
          </w:p>
        </w:tc>
        <w:tc>
          <w:tcPr>
            <w:tcW w:w="1600" w:type="dxa"/>
            <w:tcBorders>
              <w:top w:val="nil"/>
              <w:left w:val="nil"/>
              <w:bottom w:val="nil"/>
              <w:right w:val="nil"/>
            </w:tcBorders>
            <w:shd w:val="clear" w:color="auto" w:fill="auto"/>
            <w:noWrap/>
            <w:vAlign w:val="bottom"/>
            <w:hideMark/>
          </w:tcPr>
          <w:p w:rsidR="00E22594" w:rsidRPr="002D79F7" w:rsidRDefault="00E22594" w:rsidP="00B30701">
            <w:pP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jc w:val="center"/>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c>
          <w:tcPr>
            <w:tcW w:w="1400" w:type="dxa"/>
            <w:tcBorders>
              <w:top w:val="nil"/>
              <w:left w:val="nil"/>
              <w:bottom w:val="nil"/>
              <w:right w:val="nil"/>
            </w:tcBorders>
            <w:shd w:val="clear" w:color="auto" w:fill="auto"/>
            <w:noWrap/>
            <w:vAlign w:val="bottom"/>
            <w:hideMark/>
          </w:tcPr>
          <w:p w:rsidR="00E22594" w:rsidRPr="002D79F7" w:rsidRDefault="00E22594" w:rsidP="00B30701">
            <w:pPr>
              <w:ind w:firstLineChars="200" w:firstLine="320"/>
              <w:rPr>
                <w:color w:val="000000"/>
                <w:sz w:val="16"/>
                <w:szCs w:val="16"/>
              </w:rPr>
            </w:pPr>
          </w:p>
        </w:tc>
      </w:tr>
    </w:tbl>
    <w:p w:rsidR="00E22594" w:rsidRDefault="00E22594" w:rsidP="00B30701">
      <w:pPr>
        <w:ind w:left="11430"/>
      </w:pPr>
    </w:p>
    <w:p w:rsidR="00E22594" w:rsidRPr="00B30701" w:rsidRDefault="00E22594" w:rsidP="00B30701">
      <w:pPr>
        <w:ind w:left="11430"/>
        <w:rPr>
          <w:lang w:val="fr-CH"/>
        </w:rPr>
      </w:pPr>
      <w:r w:rsidRPr="00B30701">
        <w:rPr>
          <w:lang w:val="fr-CH"/>
        </w:rPr>
        <w:t>[Fin de l’annexe et du document]</w:t>
      </w:r>
    </w:p>
    <w:sectPr w:rsidR="00E22594" w:rsidRPr="00B30701" w:rsidSect="00E22594">
      <w:headerReference w:type="default" r:id="rId12"/>
      <w:headerReference w:type="first" r:id="rId1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01" w:rsidRDefault="00B30701">
      <w:r>
        <w:separator/>
      </w:r>
    </w:p>
  </w:endnote>
  <w:endnote w:type="continuationSeparator" w:id="0">
    <w:p w:rsidR="00B30701" w:rsidRDefault="00B30701" w:rsidP="003B38C1">
      <w:r>
        <w:separator/>
      </w:r>
    </w:p>
    <w:p w:rsidR="00B30701" w:rsidRPr="003B38C1" w:rsidRDefault="00B30701" w:rsidP="003B38C1">
      <w:pPr>
        <w:spacing w:after="60"/>
        <w:rPr>
          <w:sz w:val="17"/>
        </w:rPr>
      </w:pPr>
      <w:r>
        <w:rPr>
          <w:sz w:val="17"/>
        </w:rPr>
        <w:t>[Endnote continued from previous page]</w:t>
      </w:r>
    </w:p>
  </w:endnote>
  <w:endnote w:type="continuationNotice" w:id="1">
    <w:p w:rsidR="00B30701" w:rsidRPr="003B38C1" w:rsidRDefault="00B307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01" w:rsidRDefault="00B30701">
      <w:r>
        <w:separator/>
      </w:r>
    </w:p>
  </w:footnote>
  <w:footnote w:type="continuationSeparator" w:id="0">
    <w:p w:rsidR="00B30701" w:rsidRDefault="00B30701" w:rsidP="008B60B2">
      <w:r>
        <w:separator/>
      </w:r>
    </w:p>
    <w:p w:rsidR="00B30701" w:rsidRPr="00ED77FB" w:rsidRDefault="00B30701" w:rsidP="008B60B2">
      <w:pPr>
        <w:spacing w:after="60"/>
        <w:rPr>
          <w:sz w:val="17"/>
          <w:szCs w:val="17"/>
        </w:rPr>
      </w:pPr>
      <w:r w:rsidRPr="00ED77FB">
        <w:rPr>
          <w:sz w:val="17"/>
          <w:szCs w:val="17"/>
        </w:rPr>
        <w:t>[Footnote continued from previous page]</w:t>
      </w:r>
    </w:p>
  </w:footnote>
  <w:footnote w:type="continuationNotice" w:id="1">
    <w:p w:rsidR="00B30701" w:rsidRPr="00ED77FB" w:rsidRDefault="00B30701" w:rsidP="008B60B2">
      <w:pPr>
        <w:spacing w:before="60"/>
        <w:jc w:val="right"/>
        <w:rPr>
          <w:sz w:val="17"/>
          <w:szCs w:val="17"/>
        </w:rPr>
      </w:pPr>
      <w:r w:rsidRPr="00ED77FB">
        <w:rPr>
          <w:sz w:val="17"/>
          <w:szCs w:val="17"/>
        </w:rPr>
        <w:t>[Footnote continued on next page]</w:t>
      </w:r>
    </w:p>
  </w:footnote>
  <w:footnote w:id="2">
    <w:p w:rsidR="00B30701" w:rsidRPr="00DA5099" w:rsidRDefault="00B30701" w:rsidP="007A47AB">
      <w:pPr>
        <w:pStyle w:val="FootnoteText"/>
        <w:rPr>
          <w:lang w:val="fr-CH"/>
        </w:rPr>
      </w:pPr>
      <w:r w:rsidRPr="00DA5099">
        <w:rPr>
          <w:rStyle w:val="FootnoteReference"/>
        </w:rPr>
        <w:footnoteRef/>
      </w:r>
      <w:r>
        <w:rPr>
          <w:lang w:val="fr-CH"/>
        </w:rPr>
        <w:tab/>
      </w:r>
      <w:r w:rsidRPr="00DA5099">
        <w:rPr>
          <w:lang w:val="fr-CH"/>
        </w:rPr>
        <w:t>Voir les paragraphes 5 et 6 du document WO/CC/71/4 </w:t>
      </w:r>
      <w:proofErr w:type="spellStart"/>
      <w:r w:rsidRPr="00DA5099">
        <w:rPr>
          <w:lang w:val="fr-CH"/>
        </w:rPr>
        <w:t>Rev</w:t>
      </w:r>
      <w:proofErr w:type="spellEnd"/>
      <w:r w:rsidRPr="00DA5099">
        <w:rPr>
          <w:lang w:val="fr-CH"/>
        </w:rPr>
        <w:t>.</w:t>
      </w:r>
    </w:p>
  </w:footnote>
  <w:footnote w:id="3">
    <w:p w:rsidR="00B30701" w:rsidRPr="00DA5099" w:rsidRDefault="00B30701" w:rsidP="007A47AB">
      <w:pPr>
        <w:pStyle w:val="FootnoteText"/>
        <w:rPr>
          <w:lang w:val="fr-CH"/>
        </w:rPr>
      </w:pPr>
      <w:r w:rsidRPr="00DA5099">
        <w:rPr>
          <w:rStyle w:val="FootnoteReference"/>
        </w:rPr>
        <w:footnoteRef/>
      </w:r>
      <w:r>
        <w:rPr>
          <w:lang w:val="fr-CH"/>
        </w:rPr>
        <w:tab/>
      </w:r>
      <w:r w:rsidRPr="00DA5099">
        <w:rPr>
          <w:lang w:val="fr-CH"/>
        </w:rPr>
        <w:t>Voir le paragraphe 95.i)b) du document WO/CC/71/7.</w:t>
      </w:r>
    </w:p>
  </w:footnote>
  <w:footnote w:id="4">
    <w:p w:rsidR="00B30701" w:rsidRPr="00DA5099" w:rsidRDefault="00B30701" w:rsidP="005D11CD">
      <w:pPr>
        <w:pStyle w:val="FootnoteText"/>
        <w:rPr>
          <w:lang w:val="fr-CH"/>
        </w:rPr>
      </w:pPr>
      <w:r w:rsidRPr="00DA5099">
        <w:rPr>
          <w:rStyle w:val="FootnoteReference"/>
        </w:rPr>
        <w:footnoteRef/>
      </w:r>
      <w:r>
        <w:rPr>
          <w:lang w:val="fr-CH"/>
        </w:rPr>
        <w:tab/>
      </w:r>
      <w:r w:rsidRPr="00DA5099">
        <w:rPr>
          <w:lang w:val="fr-CH"/>
        </w:rPr>
        <w:t>Voir le considérant 7.c) du jugement n° 1641 (1997).</w:t>
      </w:r>
    </w:p>
  </w:footnote>
  <w:footnote w:id="5">
    <w:p w:rsidR="00B30701" w:rsidRPr="00DA5099" w:rsidRDefault="00B30701" w:rsidP="00B35160">
      <w:pPr>
        <w:pStyle w:val="FootnoteText"/>
        <w:rPr>
          <w:lang w:val="fr-CH"/>
        </w:rPr>
      </w:pPr>
      <w:r w:rsidRPr="00DA5099">
        <w:rPr>
          <w:rStyle w:val="FootnoteReference"/>
        </w:rPr>
        <w:footnoteRef/>
      </w:r>
      <w:r>
        <w:rPr>
          <w:lang w:val="fr-CH"/>
        </w:rPr>
        <w:tab/>
      </w:r>
      <w:r w:rsidRPr="00DA5099">
        <w:rPr>
          <w:lang w:val="fr-CH"/>
        </w:rPr>
        <w:t xml:space="preserve">La doctrine des droits acquis et la règle interdisant la rétroactivité sont des principes généraux de droit (voir, par exemple, le considérant 9 du jugement n° 429 (1980) et le considérant 5 du jugement n° 51 (1960).  Ces principes sont par conséquent applicables, même si le Statut et Règlement du personnel de l’OMPI n’en fait pas expressément mention.  </w:t>
      </w:r>
    </w:p>
  </w:footnote>
  <w:footnote w:id="6">
    <w:p w:rsidR="00B30701" w:rsidRPr="00DA5099" w:rsidRDefault="00B30701" w:rsidP="00DD5ADD">
      <w:pPr>
        <w:pStyle w:val="FootnoteText"/>
        <w:rPr>
          <w:lang w:val="fr-CH"/>
        </w:rPr>
      </w:pPr>
      <w:r w:rsidRPr="00DA5099">
        <w:rPr>
          <w:rStyle w:val="FootnoteReference"/>
        </w:rPr>
        <w:footnoteRef/>
      </w:r>
      <w:r>
        <w:rPr>
          <w:lang w:val="fr-CH"/>
        </w:rPr>
        <w:tab/>
      </w:r>
      <w:r w:rsidRPr="00DA5099">
        <w:rPr>
          <w:lang w:val="fr-CH"/>
        </w:rPr>
        <w:t xml:space="preserve">Voir le considérant 13 du jugement n° 1446 (1995), qui renvoie notamment au prononcé classique de la doctrine dans le jugement n° 61 (1962) et le jugement n° 832 (1987).  </w:t>
      </w:r>
    </w:p>
  </w:footnote>
  <w:footnote w:id="7">
    <w:p w:rsidR="00B30701" w:rsidRPr="00DA5099" w:rsidRDefault="00B30701" w:rsidP="002D66E0">
      <w:pPr>
        <w:pStyle w:val="FootnoteText"/>
        <w:rPr>
          <w:lang w:val="fr-CH"/>
        </w:rPr>
      </w:pPr>
      <w:r w:rsidRPr="00DA5099">
        <w:rPr>
          <w:rStyle w:val="FootnoteReference"/>
        </w:rPr>
        <w:footnoteRef/>
      </w:r>
      <w:r>
        <w:rPr>
          <w:lang w:val="fr-CH"/>
        </w:rPr>
        <w:tab/>
      </w:r>
      <w:r w:rsidRPr="00DA5099">
        <w:rPr>
          <w:lang w:val="fr-CH"/>
        </w:rPr>
        <w:t>Voir, respectivement, les considérants 7 et 6 des jugements nos 365 et 366 (1978).  Voir aussi, par exemple, le considérant 7 du jugement n° 368 (1979);  le considérant 4 du jugement n° 371(1979);  le considérant 5 du jugement n° 666 (1985);  le considérant 13 (cité avec approbation dans le considérant 12 du jugement n° 2089 (2002)) du jugement n° 832 (1987) et le considérant 16 du jugement n° 3074 (2012).  À première vue, la distinction entre les conditions d’emploi contractuelles et statutaires peut sembler superficielle, dans la mesure où la lettre de nomination ou le contrat du fonctionnaire incorpore généralement (même si ce n’est pas systématiquement le cas), par renvoi, les dispositions du Statut et Règlement du personnel.  Il ressort toutefois clairement de la jurisprudence du TAOIT que seules les dispositions précisément énoncées dans le contrat d’un fonctionnaire demeurent, d’une manière générale, intangibles.  Le fait qu’une organisation incorpore, par renvoi, son statut et règlement du personnel dans les conditions d’emploi ne signifie pas en soi que ceux-ci ne peuvent pas être modifiés.  Tout est subordonné au fait que ces dispositions constituent ou non des droits acquis.</w:t>
      </w:r>
    </w:p>
  </w:footnote>
  <w:footnote w:id="8">
    <w:p w:rsidR="00B30701" w:rsidRPr="00DA5099" w:rsidRDefault="00B30701" w:rsidP="00D16076">
      <w:pPr>
        <w:pStyle w:val="FootnoteText"/>
        <w:rPr>
          <w:lang w:val="fr-CH"/>
        </w:rPr>
      </w:pPr>
      <w:r w:rsidRPr="00DA5099">
        <w:rPr>
          <w:rStyle w:val="FootnoteReference"/>
        </w:rPr>
        <w:footnoteRef/>
      </w:r>
      <w:r>
        <w:rPr>
          <w:lang w:val="fr-CH"/>
        </w:rPr>
        <w:tab/>
      </w:r>
      <w:r w:rsidRPr="00DA5099">
        <w:rPr>
          <w:lang w:val="fr-CH"/>
        </w:rPr>
        <w:t xml:space="preserve">Voir aussi l’avis donné par le Bureau des affaires juridiques (New York) à la Commission de la fonction publique internationale qui figure au paragraphe 144 de son </w:t>
      </w:r>
      <w:r>
        <w:rPr>
          <w:lang w:val="fr-CH"/>
        </w:rPr>
        <w:t>r</w:t>
      </w:r>
      <w:r w:rsidRPr="00DA5099">
        <w:rPr>
          <w:lang w:val="fr-CH"/>
        </w:rPr>
        <w:t xml:space="preserve">apport pour 2015 : </w:t>
      </w:r>
      <w:r>
        <w:rPr>
          <w:lang w:val="fr-CH"/>
        </w:rPr>
        <w:t>“</w:t>
      </w:r>
      <w:r w:rsidRPr="00DA5099">
        <w:rPr>
          <w:lang w:val="fr-CH"/>
        </w:rPr>
        <w:t>En règle générale, la modification d’un élément réglementaire des conditions d’emploi pouvait légalement conduire à la réduction d’une prestation mais elle ne devait pas se traduire par l’élimination totale de la prestation en question”.</w:t>
      </w:r>
    </w:p>
  </w:footnote>
  <w:footnote w:id="9">
    <w:p w:rsidR="00B30701" w:rsidRPr="00DA5099" w:rsidRDefault="00B30701">
      <w:pPr>
        <w:pStyle w:val="FootnoteText"/>
        <w:rPr>
          <w:lang w:val="fr-CH"/>
        </w:rPr>
      </w:pPr>
      <w:r w:rsidRPr="00DA5099">
        <w:rPr>
          <w:rStyle w:val="FootnoteReference"/>
        </w:rPr>
        <w:footnoteRef/>
      </w:r>
      <w:r>
        <w:rPr>
          <w:lang w:val="fr-CH"/>
        </w:rPr>
        <w:tab/>
      </w:r>
      <w:r w:rsidRPr="00DA5099">
        <w:rPr>
          <w:lang w:val="fr-CH"/>
        </w:rPr>
        <w:t xml:space="preserve">Voir les considérants 11 des jugements nos 365 et 366 (1978).  Voir également, par exemple, le considérant 7 du jugement n° 368 (1979);  le considérant 8 du jugement n° 371 (1979) et le considérant 5 du jugement n° 666 (1985).  </w:t>
      </w:r>
    </w:p>
  </w:footnote>
  <w:footnote w:id="10">
    <w:p w:rsidR="00B30701" w:rsidRPr="00DA5099" w:rsidRDefault="00B30701" w:rsidP="002277E6">
      <w:pPr>
        <w:pStyle w:val="FootnoteText"/>
        <w:rPr>
          <w:lang w:val="fr-CH"/>
        </w:rPr>
      </w:pPr>
      <w:r w:rsidRPr="00DA5099">
        <w:rPr>
          <w:rStyle w:val="FootnoteReference"/>
        </w:rPr>
        <w:footnoteRef/>
      </w:r>
      <w:r>
        <w:rPr>
          <w:lang w:val="fr-CH"/>
        </w:rPr>
        <w:tab/>
      </w:r>
      <w:r w:rsidRPr="00DA5099">
        <w:rPr>
          <w:lang w:val="fr-CH"/>
        </w:rPr>
        <w:t>Voir le considérant 7 du jugement n° 426 (1980).</w:t>
      </w:r>
    </w:p>
  </w:footnote>
  <w:footnote w:id="11">
    <w:p w:rsidR="00B30701" w:rsidRPr="00DA5099" w:rsidRDefault="00B30701" w:rsidP="002277E6">
      <w:pPr>
        <w:pStyle w:val="FootnoteText"/>
        <w:rPr>
          <w:lang w:val="fr-CH"/>
        </w:rPr>
      </w:pPr>
      <w:r w:rsidRPr="00DA5099">
        <w:rPr>
          <w:rStyle w:val="FootnoteReference"/>
        </w:rPr>
        <w:footnoteRef/>
      </w:r>
      <w:r>
        <w:rPr>
          <w:lang w:val="fr-CH"/>
        </w:rPr>
        <w:tab/>
      </w:r>
      <w:r w:rsidRPr="00DA5099">
        <w:rPr>
          <w:lang w:val="fr-CH"/>
        </w:rPr>
        <w:t>Voir le considérant 13 du jugement n° 2632 (2007).</w:t>
      </w:r>
    </w:p>
  </w:footnote>
  <w:footnote w:id="12">
    <w:p w:rsidR="00B30701" w:rsidRPr="00DA5099" w:rsidRDefault="00B30701" w:rsidP="00F13524">
      <w:pPr>
        <w:pStyle w:val="FootnoteText"/>
        <w:rPr>
          <w:lang w:val="fr-CH"/>
        </w:rPr>
      </w:pPr>
      <w:r w:rsidRPr="00DA5099">
        <w:rPr>
          <w:rStyle w:val="FootnoteReference"/>
        </w:rPr>
        <w:footnoteRef/>
      </w:r>
      <w:r>
        <w:rPr>
          <w:lang w:val="fr-CH"/>
        </w:rPr>
        <w:tab/>
      </w:r>
      <w:r w:rsidRPr="00DA5099">
        <w:rPr>
          <w:lang w:val="fr-CH"/>
        </w:rPr>
        <w:t>Voir le considérant 7 du jugement n° 441 (1980).  Le congé dans les foyers pour le requérant en question s’entendait des Pays</w:t>
      </w:r>
      <w:r>
        <w:rPr>
          <w:lang w:val="fr-CH"/>
        </w:rPr>
        <w:noBreakHyphen/>
      </w:r>
      <w:r w:rsidRPr="00DA5099">
        <w:rPr>
          <w:lang w:val="fr-CH"/>
        </w:rPr>
        <w:t>Bas au Suriname.</w:t>
      </w:r>
    </w:p>
  </w:footnote>
  <w:footnote w:id="13">
    <w:p w:rsidR="00B30701" w:rsidRPr="00DA5099" w:rsidRDefault="00B30701" w:rsidP="00F13524">
      <w:pPr>
        <w:pStyle w:val="FootnoteText"/>
        <w:rPr>
          <w:lang w:val="fr-CH"/>
        </w:rPr>
      </w:pPr>
      <w:r w:rsidRPr="00DA5099">
        <w:rPr>
          <w:rStyle w:val="FootnoteReference"/>
        </w:rPr>
        <w:footnoteRef/>
      </w:r>
      <w:r>
        <w:rPr>
          <w:lang w:val="fr-CH"/>
        </w:rPr>
        <w:tab/>
      </w:r>
      <w:r w:rsidRPr="00DA5099">
        <w:rPr>
          <w:lang w:val="fr-CH"/>
        </w:rPr>
        <w:t>Voir le considérant 5 du jugement n° 666 (1985).</w:t>
      </w:r>
    </w:p>
  </w:footnote>
  <w:footnote w:id="14">
    <w:p w:rsidR="00B30701" w:rsidRPr="00DA5099" w:rsidRDefault="00B30701" w:rsidP="00C20AE8">
      <w:pPr>
        <w:pStyle w:val="FootnoteText"/>
        <w:rPr>
          <w:lang w:val="fr-CH"/>
        </w:rPr>
      </w:pPr>
      <w:r w:rsidRPr="00DA5099">
        <w:rPr>
          <w:rStyle w:val="FootnoteReference"/>
        </w:rPr>
        <w:footnoteRef/>
      </w:r>
      <w:r>
        <w:rPr>
          <w:lang w:val="fr-CH"/>
        </w:rPr>
        <w:tab/>
      </w:r>
      <w:r w:rsidRPr="00DA5099">
        <w:rPr>
          <w:lang w:val="fr-CH"/>
        </w:rPr>
        <w:t>Voir le considérant 14 du jugement n° 2089 (2002).</w:t>
      </w:r>
    </w:p>
  </w:footnote>
  <w:footnote w:id="15">
    <w:p w:rsidR="00B30701" w:rsidRPr="00DA5099" w:rsidRDefault="00B30701" w:rsidP="006434BB">
      <w:pPr>
        <w:pStyle w:val="FootnoteText"/>
        <w:rPr>
          <w:lang w:val="fr-CH"/>
        </w:rPr>
      </w:pPr>
      <w:r w:rsidRPr="00DA5099">
        <w:rPr>
          <w:rStyle w:val="FootnoteReference"/>
        </w:rPr>
        <w:footnoteRef/>
      </w:r>
      <w:r>
        <w:rPr>
          <w:lang w:val="fr-CH"/>
        </w:rPr>
        <w:tab/>
      </w:r>
      <w:r w:rsidRPr="00DA5099">
        <w:rPr>
          <w:lang w:val="fr-CH"/>
        </w:rPr>
        <w:t xml:space="preserve">Voir, par exemple, le considérant 28 du jugement n° 3071 (2012).  </w:t>
      </w:r>
    </w:p>
  </w:footnote>
  <w:footnote w:id="16">
    <w:p w:rsidR="00B30701" w:rsidRPr="00DA5099" w:rsidRDefault="00B30701" w:rsidP="00DA625F">
      <w:pPr>
        <w:pStyle w:val="FootnoteText"/>
        <w:rPr>
          <w:lang w:val="fr-CH"/>
        </w:rPr>
      </w:pPr>
      <w:r w:rsidRPr="00DA5099">
        <w:rPr>
          <w:rStyle w:val="FootnoteReference"/>
        </w:rPr>
        <w:footnoteRef/>
      </w:r>
      <w:r>
        <w:rPr>
          <w:lang w:val="fr-CH"/>
        </w:rPr>
        <w:tab/>
      </w:r>
      <w:r w:rsidRPr="00DA5099">
        <w:rPr>
          <w:lang w:val="fr-CH"/>
        </w:rPr>
        <w:t>Voir le considérant 10 du jugement n° 3523 (2015).</w:t>
      </w:r>
    </w:p>
  </w:footnote>
  <w:footnote w:id="17">
    <w:p w:rsidR="00B30701" w:rsidRPr="00DA5099" w:rsidRDefault="00B30701" w:rsidP="00DA625F">
      <w:pPr>
        <w:pStyle w:val="FootnoteText"/>
        <w:rPr>
          <w:lang w:val="fr-CH"/>
        </w:rPr>
      </w:pPr>
      <w:r w:rsidRPr="00DA5099">
        <w:rPr>
          <w:rStyle w:val="FootnoteReference"/>
        </w:rPr>
        <w:footnoteRef/>
      </w:r>
      <w:r>
        <w:rPr>
          <w:lang w:val="fr-CH"/>
        </w:rPr>
        <w:tab/>
      </w:r>
      <w:r w:rsidRPr="00DA5099">
        <w:rPr>
          <w:lang w:val="fr-CH"/>
        </w:rPr>
        <w:t>Voir le considérant 2 du jugement n° 3358 (2014).</w:t>
      </w:r>
    </w:p>
  </w:footnote>
  <w:footnote w:id="18">
    <w:p w:rsidR="00B30701" w:rsidRPr="00DA5099" w:rsidRDefault="00B30701" w:rsidP="006F4611">
      <w:pPr>
        <w:pStyle w:val="FootnoteText"/>
        <w:rPr>
          <w:lang w:val="fr-CH"/>
        </w:rPr>
      </w:pPr>
      <w:r w:rsidRPr="00DA5099">
        <w:rPr>
          <w:rStyle w:val="FootnoteReference"/>
        </w:rPr>
        <w:footnoteRef/>
      </w:r>
      <w:r>
        <w:rPr>
          <w:lang w:val="fr-CH"/>
        </w:rPr>
        <w:tab/>
      </w:r>
      <w:r w:rsidRPr="00DA5099">
        <w:rPr>
          <w:lang w:val="fr-CH"/>
        </w:rPr>
        <w:t xml:space="preserve">Voir le considérant 9 du jugement n° 767 (1986) et le considérant 8 du jugement n° 792 (1986).  Voir également le considérant 7 du jugement n° 1053 (1990) et le considérant 6 du jugement n° 3358 (2014).  </w:t>
      </w:r>
    </w:p>
  </w:footnote>
  <w:footnote w:id="19">
    <w:p w:rsidR="00B30701" w:rsidRPr="00DA5099" w:rsidRDefault="00B30701" w:rsidP="006F4611">
      <w:pPr>
        <w:pStyle w:val="FootnoteText"/>
        <w:rPr>
          <w:lang w:val="fr-CH"/>
        </w:rPr>
      </w:pPr>
      <w:r w:rsidRPr="00DA5099">
        <w:rPr>
          <w:rStyle w:val="FootnoteReference"/>
        </w:rPr>
        <w:footnoteRef/>
      </w:r>
      <w:r>
        <w:rPr>
          <w:lang w:val="fr-CH"/>
        </w:rPr>
        <w:tab/>
      </w:r>
      <w:r w:rsidRPr="00DA5099">
        <w:rPr>
          <w:lang w:val="fr-CH"/>
        </w:rPr>
        <w:t>Voir les considérants 5 à 7 du jugement n° 1053 (1990) et le considérant 6 du jugement n° 767 (1986).</w:t>
      </w:r>
    </w:p>
  </w:footnote>
  <w:footnote w:id="20">
    <w:p w:rsidR="00B30701" w:rsidRPr="00DA5099" w:rsidRDefault="00B30701" w:rsidP="00F17E5F">
      <w:pPr>
        <w:pStyle w:val="FootnoteText"/>
        <w:rPr>
          <w:lang w:val="fr-CH"/>
        </w:rPr>
      </w:pPr>
      <w:r w:rsidRPr="00DA5099">
        <w:rPr>
          <w:rStyle w:val="FootnoteReference"/>
        </w:rPr>
        <w:footnoteRef/>
      </w:r>
      <w:r>
        <w:rPr>
          <w:lang w:val="fr-CH"/>
        </w:rPr>
        <w:tab/>
      </w:r>
      <w:r w:rsidRPr="00DA5099">
        <w:rPr>
          <w:lang w:val="fr-CH"/>
        </w:rPr>
        <w:t>Voir le considérant 2 de la partie B du jugement n° 3358 (2014).</w:t>
      </w:r>
    </w:p>
  </w:footnote>
  <w:footnote w:id="21">
    <w:p w:rsidR="00B30701" w:rsidRPr="00DA5099" w:rsidRDefault="00B30701" w:rsidP="00F17E5F">
      <w:pPr>
        <w:pStyle w:val="FootnoteText"/>
        <w:rPr>
          <w:lang w:val="fr-CH"/>
        </w:rPr>
      </w:pPr>
      <w:r w:rsidRPr="00DA5099">
        <w:rPr>
          <w:rStyle w:val="FootnoteReference"/>
        </w:rPr>
        <w:footnoteRef/>
      </w:r>
      <w:r>
        <w:rPr>
          <w:lang w:val="fr-CH"/>
        </w:rPr>
        <w:tab/>
      </w:r>
      <w:r w:rsidRPr="00DA5099">
        <w:rPr>
          <w:lang w:val="fr-CH"/>
        </w:rPr>
        <w:t>Voir le considérant 6 du jugement n° 3358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01" w:rsidRPr="003B25A5" w:rsidRDefault="00B30701" w:rsidP="007759F6">
    <w:pPr>
      <w:ind w:right="113"/>
      <w:jc w:val="right"/>
      <w:rPr>
        <w:lang w:val="fr-FR"/>
      </w:rPr>
    </w:pPr>
    <w:r>
      <w:rPr>
        <w:lang w:val="fr-FR"/>
      </w:rPr>
      <w:t>WO/CC/73/INF/1</w:t>
    </w:r>
  </w:p>
  <w:p w:rsidR="00B30701" w:rsidRPr="003B25A5" w:rsidRDefault="00B30701" w:rsidP="007759F6">
    <w:pPr>
      <w:ind w:right="113"/>
      <w:jc w:val="right"/>
      <w:rPr>
        <w:lang w:val="fr-FR"/>
      </w:rPr>
    </w:pPr>
    <w:proofErr w:type="gramStart"/>
    <w:r w:rsidRPr="003B25A5">
      <w:rPr>
        <w:lang w:val="fr-FR"/>
      </w:rPr>
      <w:t>page</w:t>
    </w:r>
    <w:proofErr w:type="gramEnd"/>
    <w:r w:rsidRPr="003B25A5">
      <w:rPr>
        <w:lang w:val="fr-FR"/>
      </w:rPr>
      <w:t xml:space="preserve"> </w:t>
    </w:r>
    <w:r w:rsidRPr="002161C1">
      <w:fldChar w:fldCharType="begin"/>
    </w:r>
    <w:r w:rsidRPr="003B25A5">
      <w:rPr>
        <w:lang w:val="fr-FR"/>
      </w:rPr>
      <w:instrText xml:space="preserve"> PAGE   \* MERGEFORMAT </w:instrText>
    </w:r>
    <w:r w:rsidRPr="002161C1">
      <w:fldChar w:fldCharType="separate"/>
    </w:r>
    <w:r w:rsidR="00733567">
      <w:rPr>
        <w:noProof/>
        <w:lang w:val="fr-FR"/>
      </w:rPr>
      <w:t>8</w:t>
    </w:r>
    <w:r w:rsidRPr="002161C1">
      <w:rPr>
        <w:noProof/>
      </w:rPr>
      <w:fldChar w:fldCharType="end"/>
    </w:r>
  </w:p>
  <w:p w:rsidR="00B30701" w:rsidRPr="003B25A5" w:rsidRDefault="00B30701" w:rsidP="007759F6">
    <w:pPr>
      <w:pStyle w:val="Header"/>
      <w:ind w:left="-709" w:right="113"/>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01" w:rsidRPr="000A25C4" w:rsidRDefault="00B30701" w:rsidP="007759F6">
    <w:pPr>
      <w:pStyle w:val="Header"/>
      <w:ind w:right="-78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01" w:rsidRPr="003B25A5" w:rsidRDefault="00B30701" w:rsidP="007759F6">
    <w:pPr>
      <w:ind w:right="113"/>
      <w:jc w:val="right"/>
      <w:rPr>
        <w:lang w:val="fr-FR"/>
      </w:rPr>
    </w:pPr>
    <w:r>
      <w:rPr>
        <w:lang w:val="fr-FR"/>
      </w:rPr>
      <w:t>WO/CC/73/INF/1</w:t>
    </w:r>
  </w:p>
  <w:p w:rsidR="00B30701" w:rsidRPr="003B25A5" w:rsidRDefault="00B30701" w:rsidP="007759F6">
    <w:pPr>
      <w:ind w:right="113"/>
      <w:jc w:val="right"/>
      <w:rPr>
        <w:lang w:val="fr-FR"/>
      </w:rPr>
    </w:pPr>
    <w:r>
      <w:rPr>
        <w:lang w:val="fr-FR"/>
      </w:rPr>
      <w:t xml:space="preserve">Annexe, </w:t>
    </w:r>
    <w:r w:rsidRPr="003B25A5">
      <w:rPr>
        <w:lang w:val="fr-FR"/>
      </w:rPr>
      <w:t xml:space="preserve">page </w:t>
    </w:r>
    <w:r>
      <w:rPr>
        <w:lang w:val="fr-FR"/>
      </w:rPr>
      <w:t>2</w:t>
    </w:r>
  </w:p>
  <w:p w:rsidR="00B30701" w:rsidRPr="003B25A5" w:rsidRDefault="00B30701" w:rsidP="007759F6">
    <w:pPr>
      <w:pStyle w:val="Header"/>
      <w:ind w:left="-709" w:right="113"/>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01" w:rsidRDefault="00B30701" w:rsidP="00E22594">
    <w:pPr>
      <w:pStyle w:val="Header"/>
      <w:jc w:val="right"/>
    </w:pPr>
    <w:r>
      <w:t>WO/CC/73/INF/1</w:t>
    </w:r>
  </w:p>
  <w:p w:rsidR="00B30701" w:rsidRPr="00E22594" w:rsidRDefault="00B30701" w:rsidP="00E22594">
    <w:pPr>
      <w:pStyle w:val="Header"/>
      <w:jc w:val="right"/>
    </w:pPr>
    <w:r>
      <w:t>ANNEXE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427005"/>
    <w:multiLevelType w:val="hybridMultilevel"/>
    <w:tmpl w:val="F7D8D5F0"/>
    <w:lvl w:ilvl="0" w:tplc="9F2AB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1237E0"/>
    <w:multiLevelType w:val="hybridMultilevel"/>
    <w:tmpl w:val="9600EB28"/>
    <w:lvl w:ilvl="0" w:tplc="DE96AA08">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C61A5"/>
    <w:multiLevelType w:val="hybridMultilevel"/>
    <w:tmpl w:val="68B8DB0A"/>
    <w:lvl w:ilvl="0" w:tplc="0409000B">
      <w:start w:val="1"/>
      <w:numFmt w:val="bullet"/>
      <w:lvlText w:val=""/>
      <w:lvlJc w:val="left"/>
      <w:pPr>
        <w:ind w:left="873" w:hanging="360"/>
      </w:pPr>
      <w:rPr>
        <w:rFonts w:ascii="Wingdings" w:hAnsi="Wingdings"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
    <w:nsid w:val="0FCA78AC"/>
    <w:multiLevelType w:val="hybridMultilevel"/>
    <w:tmpl w:val="5DF882EE"/>
    <w:lvl w:ilvl="0" w:tplc="D6FE6214">
      <w:start w:val="1"/>
      <w:numFmt w:val="decimal"/>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07159"/>
    <w:multiLevelType w:val="hybridMultilevel"/>
    <w:tmpl w:val="32540BF8"/>
    <w:lvl w:ilvl="0" w:tplc="03D09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1">
    <w:nsid w:val="344B54AF"/>
    <w:multiLevelType w:val="hybridMultilevel"/>
    <w:tmpl w:val="54D6EDF0"/>
    <w:lvl w:ilvl="0" w:tplc="D48A41F0">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427672"/>
    <w:multiLevelType w:val="hybridMultilevel"/>
    <w:tmpl w:val="5DAE4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9668AB"/>
    <w:multiLevelType w:val="hybridMultilevel"/>
    <w:tmpl w:val="C0F882E4"/>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5">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72436C"/>
    <w:multiLevelType w:val="hybridMultilevel"/>
    <w:tmpl w:val="7D383C64"/>
    <w:lvl w:ilvl="0" w:tplc="00EE0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A83B25"/>
    <w:multiLevelType w:val="hybridMultilevel"/>
    <w:tmpl w:val="80F263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232481"/>
    <w:multiLevelType w:val="hybridMultilevel"/>
    <w:tmpl w:val="D8F8639C"/>
    <w:lvl w:ilvl="0" w:tplc="B90232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D90756"/>
    <w:multiLevelType w:val="hybridMultilevel"/>
    <w:tmpl w:val="C1B86C5A"/>
    <w:lvl w:ilvl="0" w:tplc="551C98E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6"/>
  </w:num>
  <w:num w:numId="5">
    <w:abstractNumId w:val="2"/>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num>
  <w:num w:numId="10">
    <w:abstractNumId w:val="7"/>
  </w:num>
  <w:num w:numId="11">
    <w:abstractNumId w:val="19"/>
  </w:num>
  <w:num w:numId="12">
    <w:abstractNumId w:val="15"/>
  </w:num>
  <w:num w:numId="13">
    <w:abstractNumId w:val="17"/>
  </w:num>
  <w:num w:numId="14">
    <w:abstractNumId w:val="5"/>
  </w:num>
  <w:num w:numId="15">
    <w:abstractNumId w:val="10"/>
  </w:num>
  <w:num w:numId="16">
    <w:abstractNumId w:val="18"/>
  </w:num>
  <w:num w:numId="17">
    <w:abstractNumId w:val="1"/>
  </w:num>
  <w:num w:numId="18">
    <w:abstractNumId w:val="4"/>
  </w:num>
  <w:num w:numId="19">
    <w:abstractNumId w:val="12"/>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xtBase TMs\Glossaries\EN-FR|TextBase TMs\Administrative\Meetings|TextBase TMs\Administrative\Other|TextBase TMs\Administrative\Publications|TextBase TMs\Budget and Finance\Meetings|TextBase TMs\Budget and Finance\Other|TextBase TMs\Budget and Finance\Publications|TextBase TMs\Trademarks\Meetings|TextBase TMs\Trademarks\Other|TextBase TMs\Trademarks\Publications|TextBase TMs\Treaties\Model Laws|TextBase TMs\Treaties\Other Laws and Agreements|TextBase TMs\Treaties\WIPO-administered|TextBase TMs\Patents\Meetings|TextBase TMs\Patents\Other|TextBase TMs\Patent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UPOV\Meetings|TextBase TMs\UPOV\Other|TextBase TMs\UPOV\Publications|TextBase TMs\UPOV\Technical Guidelines"/>
    <w:docVar w:name="TextBaseURL" w:val="empty"/>
    <w:docVar w:name="UILng" w:val="en"/>
  </w:docVars>
  <w:rsids>
    <w:rsidRoot w:val="009E2FEC"/>
    <w:rsid w:val="00001122"/>
    <w:rsid w:val="00012646"/>
    <w:rsid w:val="00017DCC"/>
    <w:rsid w:val="00030A39"/>
    <w:rsid w:val="0003378E"/>
    <w:rsid w:val="00043CAA"/>
    <w:rsid w:val="000450C9"/>
    <w:rsid w:val="00050CA5"/>
    <w:rsid w:val="00053A34"/>
    <w:rsid w:val="0005759F"/>
    <w:rsid w:val="00057696"/>
    <w:rsid w:val="0006507C"/>
    <w:rsid w:val="0007119F"/>
    <w:rsid w:val="00071E6C"/>
    <w:rsid w:val="00075432"/>
    <w:rsid w:val="00076073"/>
    <w:rsid w:val="00080AFD"/>
    <w:rsid w:val="000859B2"/>
    <w:rsid w:val="00092CC8"/>
    <w:rsid w:val="000968ED"/>
    <w:rsid w:val="000A0790"/>
    <w:rsid w:val="000A22B2"/>
    <w:rsid w:val="000A4A57"/>
    <w:rsid w:val="000A5F26"/>
    <w:rsid w:val="000A614C"/>
    <w:rsid w:val="000A75E9"/>
    <w:rsid w:val="000A7EE5"/>
    <w:rsid w:val="000B0F0D"/>
    <w:rsid w:val="000B211F"/>
    <w:rsid w:val="000C19A0"/>
    <w:rsid w:val="000C6C59"/>
    <w:rsid w:val="000E2E0C"/>
    <w:rsid w:val="000F2A6B"/>
    <w:rsid w:val="000F5E56"/>
    <w:rsid w:val="000F7258"/>
    <w:rsid w:val="0010347A"/>
    <w:rsid w:val="00113563"/>
    <w:rsid w:val="00113F28"/>
    <w:rsid w:val="0011408B"/>
    <w:rsid w:val="001150D1"/>
    <w:rsid w:val="00116CB3"/>
    <w:rsid w:val="00117B8A"/>
    <w:rsid w:val="00121CED"/>
    <w:rsid w:val="00122367"/>
    <w:rsid w:val="0012635B"/>
    <w:rsid w:val="0012738C"/>
    <w:rsid w:val="00131D15"/>
    <w:rsid w:val="00133450"/>
    <w:rsid w:val="001356CB"/>
    <w:rsid w:val="00135888"/>
    <w:rsid w:val="001362EE"/>
    <w:rsid w:val="0014528D"/>
    <w:rsid w:val="00151010"/>
    <w:rsid w:val="0015119B"/>
    <w:rsid w:val="001526E1"/>
    <w:rsid w:val="0015637A"/>
    <w:rsid w:val="00156CE2"/>
    <w:rsid w:val="00165D4A"/>
    <w:rsid w:val="00167265"/>
    <w:rsid w:val="0018127F"/>
    <w:rsid w:val="0018153B"/>
    <w:rsid w:val="001832A6"/>
    <w:rsid w:val="00191D0F"/>
    <w:rsid w:val="00193248"/>
    <w:rsid w:val="001942D1"/>
    <w:rsid w:val="00194E33"/>
    <w:rsid w:val="001967A0"/>
    <w:rsid w:val="001A0DE3"/>
    <w:rsid w:val="001A143A"/>
    <w:rsid w:val="001A6A20"/>
    <w:rsid w:val="001A6FE8"/>
    <w:rsid w:val="001A75B2"/>
    <w:rsid w:val="001A793C"/>
    <w:rsid w:val="001A7B90"/>
    <w:rsid w:val="001B2F0C"/>
    <w:rsid w:val="001C2926"/>
    <w:rsid w:val="001C3F1B"/>
    <w:rsid w:val="001C4845"/>
    <w:rsid w:val="001C5C2A"/>
    <w:rsid w:val="001D0276"/>
    <w:rsid w:val="001D195F"/>
    <w:rsid w:val="001D740E"/>
    <w:rsid w:val="001D7BF2"/>
    <w:rsid w:val="001E1597"/>
    <w:rsid w:val="001E197D"/>
    <w:rsid w:val="001E443F"/>
    <w:rsid w:val="001F03D9"/>
    <w:rsid w:val="001F73E9"/>
    <w:rsid w:val="0020176B"/>
    <w:rsid w:val="00207BCD"/>
    <w:rsid w:val="00211E67"/>
    <w:rsid w:val="002135B6"/>
    <w:rsid w:val="002277E6"/>
    <w:rsid w:val="002367DF"/>
    <w:rsid w:val="002367F4"/>
    <w:rsid w:val="00236996"/>
    <w:rsid w:val="00240605"/>
    <w:rsid w:val="0025511A"/>
    <w:rsid w:val="00255436"/>
    <w:rsid w:val="00256C0D"/>
    <w:rsid w:val="00260DCF"/>
    <w:rsid w:val="00261BF7"/>
    <w:rsid w:val="0026217D"/>
    <w:rsid w:val="002634C4"/>
    <w:rsid w:val="00265E21"/>
    <w:rsid w:val="00270F68"/>
    <w:rsid w:val="00273139"/>
    <w:rsid w:val="00273D4E"/>
    <w:rsid w:val="00274C1A"/>
    <w:rsid w:val="00275C06"/>
    <w:rsid w:val="00283F2B"/>
    <w:rsid w:val="002857A8"/>
    <w:rsid w:val="002861B4"/>
    <w:rsid w:val="00287ECD"/>
    <w:rsid w:val="00287F12"/>
    <w:rsid w:val="002928D3"/>
    <w:rsid w:val="00293D69"/>
    <w:rsid w:val="002954FB"/>
    <w:rsid w:val="00296597"/>
    <w:rsid w:val="00297F9D"/>
    <w:rsid w:val="002A3B8A"/>
    <w:rsid w:val="002B6775"/>
    <w:rsid w:val="002C30A9"/>
    <w:rsid w:val="002C4C8C"/>
    <w:rsid w:val="002C71B2"/>
    <w:rsid w:val="002D0449"/>
    <w:rsid w:val="002D1FF0"/>
    <w:rsid w:val="002D5A43"/>
    <w:rsid w:val="002D6081"/>
    <w:rsid w:val="002D66E0"/>
    <w:rsid w:val="002D790A"/>
    <w:rsid w:val="002E32A3"/>
    <w:rsid w:val="002E3425"/>
    <w:rsid w:val="002E4DE0"/>
    <w:rsid w:val="002E6095"/>
    <w:rsid w:val="002E66E9"/>
    <w:rsid w:val="002F0458"/>
    <w:rsid w:val="002F1FE6"/>
    <w:rsid w:val="002F4CE4"/>
    <w:rsid w:val="002F4E68"/>
    <w:rsid w:val="0030231F"/>
    <w:rsid w:val="00302743"/>
    <w:rsid w:val="00303BD0"/>
    <w:rsid w:val="00303C95"/>
    <w:rsid w:val="00307F82"/>
    <w:rsid w:val="0031045B"/>
    <w:rsid w:val="00312F7F"/>
    <w:rsid w:val="003228B7"/>
    <w:rsid w:val="00322984"/>
    <w:rsid w:val="00324570"/>
    <w:rsid w:val="003329CB"/>
    <w:rsid w:val="00341F0C"/>
    <w:rsid w:val="00344A08"/>
    <w:rsid w:val="003526AE"/>
    <w:rsid w:val="00354D0A"/>
    <w:rsid w:val="003673CF"/>
    <w:rsid w:val="003758BF"/>
    <w:rsid w:val="0037784F"/>
    <w:rsid w:val="003845C1"/>
    <w:rsid w:val="003861EF"/>
    <w:rsid w:val="00387178"/>
    <w:rsid w:val="00392886"/>
    <w:rsid w:val="00392B49"/>
    <w:rsid w:val="0039377D"/>
    <w:rsid w:val="00397BB3"/>
    <w:rsid w:val="003A131F"/>
    <w:rsid w:val="003A382B"/>
    <w:rsid w:val="003A3EA4"/>
    <w:rsid w:val="003A6F89"/>
    <w:rsid w:val="003B2187"/>
    <w:rsid w:val="003B38C1"/>
    <w:rsid w:val="003B6664"/>
    <w:rsid w:val="003B6B88"/>
    <w:rsid w:val="003B7221"/>
    <w:rsid w:val="003C4A88"/>
    <w:rsid w:val="003D134A"/>
    <w:rsid w:val="003D1BEE"/>
    <w:rsid w:val="003D2828"/>
    <w:rsid w:val="003D2AC4"/>
    <w:rsid w:val="003E0D3B"/>
    <w:rsid w:val="003E240F"/>
    <w:rsid w:val="003E4584"/>
    <w:rsid w:val="003E5ADC"/>
    <w:rsid w:val="003F0577"/>
    <w:rsid w:val="003F1F66"/>
    <w:rsid w:val="00400647"/>
    <w:rsid w:val="0040368D"/>
    <w:rsid w:val="00403FDC"/>
    <w:rsid w:val="00404D41"/>
    <w:rsid w:val="004062D0"/>
    <w:rsid w:val="00411E7E"/>
    <w:rsid w:val="00412011"/>
    <w:rsid w:val="00416A76"/>
    <w:rsid w:val="0042392C"/>
    <w:rsid w:val="00423E3E"/>
    <w:rsid w:val="0042489C"/>
    <w:rsid w:val="00426575"/>
    <w:rsid w:val="00427AF4"/>
    <w:rsid w:val="00431FEC"/>
    <w:rsid w:val="00434A75"/>
    <w:rsid w:val="00437BCD"/>
    <w:rsid w:val="004400E2"/>
    <w:rsid w:val="00444786"/>
    <w:rsid w:val="00446449"/>
    <w:rsid w:val="00447009"/>
    <w:rsid w:val="00451957"/>
    <w:rsid w:val="00451A3A"/>
    <w:rsid w:val="004613B2"/>
    <w:rsid w:val="00463603"/>
    <w:rsid w:val="004647DA"/>
    <w:rsid w:val="004668BA"/>
    <w:rsid w:val="004673C3"/>
    <w:rsid w:val="00467A60"/>
    <w:rsid w:val="00467E74"/>
    <w:rsid w:val="004705B2"/>
    <w:rsid w:val="0047295D"/>
    <w:rsid w:val="00473710"/>
    <w:rsid w:val="00474062"/>
    <w:rsid w:val="00474A8B"/>
    <w:rsid w:val="00477D6B"/>
    <w:rsid w:val="00484682"/>
    <w:rsid w:val="004858A8"/>
    <w:rsid w:val="00494AAE"/>
    <w:rsid w:val="004A4357"/>
    <w:rsid w:val="004B2146"/>
    <w:rsid w:val="004B2D37"/>
    <w:rsid w:val="004B3705"/>
    <w:rsid w:val="004B3EC9"/>
    <w:rsid w:val="004B643B"/>
    <w:rsid w:val="004B7622"/>
    <w:rsid w:val="004C09AE"/>
    <w:rsid w:val="004C0F41"/>
    <w:rsid w:val="004C3EE8"/>
    <w:rsid w:val="004C4248"/>
    <w:rsid w:val="004C5AEC"/>
    <w:rsid w:val="004C5DC0"/>
    <w:rsid w:val="004C7E6E"/>
    <w:rsid w:val="004D09CF"/>
    <w:rsid w:val="004D1CCE"/>
    <w:rsid w:val="004D3554"/>
    <w:rsid w:val="004D6EF3"/>
    <w:rsid w:val="004E16AD"/>
    <w:rsid w:val="004E38AA"/>
    <w:rsid w:val="004F02DB"/>
    <w:rsid w:val="004F1712"/>
    <w:rsid w:val="004F5896"/>
    <w:rsid w:val="004F62F6"/>
    <w:rsid w:val="00502619"/>
    <w:rsid w:val="0050378F"/>
    <w:rsid w:val="00507317"/>
    <w:rsid w:val="0051598B"/>
    <w:rsid w:val="005170C7"/>
    <w:rsid w:val="00521FBC"/>
    <w:rsid w:val="00522E26"/>
    <w:rsid w:val="005254E1"/>
    <w:rsid w:val="0053057A"/>
    <w:rsid w:val="00531C10"/>
    <w:rsid w:val="00535728"/>
    <w:rsid w:val="00541CDE"/>
    <w:rsid w:val="005429AF"/>
    <w:rsid w:val="00543EC6"/>
    <w:rsid w:val="00545D30"/>
    <w:rsid w:val="005503B9"/>
    <w:rsid w:val="00553050"/>
    <w:rsid w:val="00556DCA"/>
    <w:rsid w:val="00560A29"/>
    <w:rsid w:val="00567046"/>
    <w:rsid w:val="00574179"/>
    <w:rsid w:val="005804F7"/>
    <w:rsid w:val="00580BF0"/>
    <w:rsid w:val="00591B93"/>
    <w:rsid w:val="0059774E"/>
    <w:rsid w:val="00597A90"/>
    <w:rsid w:val="005A04D6"/>
    <w:rsid w:val="005A1B6D"/>
    <w:rsid w:val="005A440A"/>
    <w:rsid w:val="005B30DD"/>
    <w:rsid w:val="005B689C"/>
    <w:rsid w:val="005B7940"/>
    <w:rsid w:val="005C02B8"/>
    <w:rsid w:val="005C40CA"/>
    <w:rsid w:val="005C7BEB"/>
    <w:rsid w:val="005D11CD"/>
    <w:rsid w:val="005D376F"/>
    <w:rsid w:val="005D4593"/>
    <w:rsid w:val="005D45F4"/>
    <w:rsid w:val="005E484C"/>
    <w:rsid w:val="005E5217"/>
    <w:rsid w:val="005F5AA4"/>
    <w:rsid w:val="005F7710"/>
    <w:rsid w:val="0060282E"/>
    <w:rsid w:val="00605827"/>
    <w:rsid w:val="00610283"/>
    <w:rsid w:val="00613716"/>
    <w:rsid w:val="0062589B"/>
    <w:rsid w:val="00632F50"/>
    <w:rsid w:val="0063600A"/>
    <w:rsid w:val="006434BB"/>
    <w:rsid w:val="00643EE5"/>
    <w:rsid w:val="00646050"/>
    <w:rsid w:val="006555C4"/>
    <w:rsid w:val="006562BD"/>
    <w:rsid w:val="00667288"/>
    <w:rsid w:val="00667CFB"/>
    <w:rsid w:val="006713CA"/>
    <w:rsid w:val="006716B0"/>
    <w:rsid w:val="006721AE"/>
    <w:rsid w:val="00674805"/>
    <w:rsid w:val="00676C5C"/>
    <w:rsid w:val="00680806"/>
    <w:rsid w:val="006814F7"/>
    <w:rsid w:val="00683E2E"/>
    <w:rsid w:val="0068541C"/>
    <w:rsid w:val="00687A17"/>
    <w:rsid w:val="00691CEA"/>
    <w:rsid w:val="00692A2D"/>
    <w:rsid w:val="0069626F"/>
    <w:rsid w:val="00696935"/>
    <w:rsid w:val="006A417A"/>
    <w:rsid w:val="006A502F"/>
    <w:rsid w:val="006A77CE"/>
    <w:rsid w:val="006A7AED"/>
    <w:rsid w:val="006B52E2"/>
    <w:rsid w:val="006C4172"/>
    <w:rsid w:val="006C52C2"/>
    <w:rsid w:val="006D50F5"/>
    <w:rsid w:val="006D69E3"/>
    <w:rsid w:val="006E39D3"/>
    <w:rsid w:val="006F4611"/>
    <w:rsid w:val="006F7E6C"/>
    <w:rsid w:val="007058FB"/>
    <w:rsid w:val="00707DB1"/>
    <w:rsid w:val="00713524"/>
    <w:rsid w:val="00716C74"/>
    <w:rsid w:val="00727541"/>
    <w:rsid w:val="00733567"/>
    <w:rsid w:val="00745510"/>
    <w:rsid w:val="00746A47"/>
    <w:rsid w:val="00750296"/>
    <w:rsid w:val="00752085"/>
    <w:rsid w:val="00752542"/>
    <w:rsid w:val="007606EA"/>
    <w:rsid w:val="007759F6"/>
    <w:rsid w:val="00775AC8"/>
    <w:rsid w:val="00781C32"/>
    <w:rsid w:val="00782E4D"/>
    <w:rsid w:val="007857AA"/>
    <w:rsid w:val="00790360"/>
    <w:rsid w:val="00794F02"/>
    <w:rsid w:val="0079528A"/>
    <w:rsid w:val="00795477"/>
    <w:rsid w:val="007974E9"/>
    <w:rsid w:val="007A097F"/>
    <w:rsid w:val="007A47AB"/>
    <w:rsid w:val="007A4F11"/>
    <w:rsid w:val="007A5F79"/>
    <w:rsid w:val="007B0396"/>
    <w:rsid w:val="007B2051"/>
    <w:rsid w:val="007B5E8B"/>
    <w:rsid w:val="007B6A58"/>
    <w:rsid w:val="007B7C58"/>
    <w:rsid w:val="007C6AE7"/>
    <w:rsid w:val="007C7109"/>
    <w:rsid w:val="007C76D5"/>
    <w:rsid w:val="007D1613"/>
    <w:rsid w:val="007D5A55"/>
    <w:rsid w:val="007D6A89"/>
    <w:rsid w:val="007E0FE5"/>
    <w:rsid w:val="007E42CE"/>
    <w:rsid w:val="007F2D7D"/>
    <w:rsid w:val="007F5C49"/>
    <w:rsid w:val="007F65D2"/>
    <w:rsid w:val="007F74A3"/>
    <w:rsid w:val="007F77EF"/>
    <w:rsid w:val="0080528A"/>
    <w:rsid w:val="0081122D"/>
    <w:rsid w:val="00822294"/>
    <w:rsid w:val="008339F6"/>
    <w:rsid w:val="00836F38"/>
    <w:rsid w:val="00837F2D"/>
    <w:rsid w:val="008439EB"/>
    <w:rsid w:val="00843F1E"/>
    <w:rsid w:val="00843FB6"/>
    <w:rsid w:val="00867D28"/>
    <w:rsid w:val="008704B2"/>
    <w:rsid w:val="00871D1B"/>
    <w:rsid w:val="008737BA"/>
    <w:rsid w:val="00875806"/>
    <w:rsid w:val="008805C2"/>
    <w:rsid w:val="00885EAE"/>
    <w:rsid w:val="00890DF6"/>
    <w:rsid w:val="008976F8"/>
    <w:rsid w:val="008A129C"/>
    <w:rsid w:val="008A51F6"/>
    <w:rsid w:val="008A5D77"/>
    <w:rsid w:val="008A683A"/>
    <w:rsid w:val="008A68B8"/>
    <w:rsid w:val="008B10D8"/>
    <w:rsid w:val="008B2CC1"/>
    <w:rsid w:val="008B2F89"/>
    <w:rsid w:val="008B44D2"/>
    <w:rsid w:val="008B5F14"/>
    <w:rsid w:val="008B60B2"/>
    <w:rsid w:val="008C0616"/>
    <w:rsid w:val="008C1EF7"/>
    <w:rsid w:val="008C2E50"/>
    <w:rsid w:val="008C7612"/>
    <w:rsid w:val="008D5038"/>
    <w:rsid w:val="008D6E92"/>
    <w:rsid w:val="008E4553"/>
    <w:rsid w:val="008E4F36"/>
    <w:rsid w:val="008E51E6"/>
    <w:rsid w:val="008E59DB"/>
    <w:rsid w:val="008E5DDA"/>
    <w:rsid w:val="008E7B28"/>
    <w:rsid w:val="008F4969"/>
    <w:rsid w:val="00900446"/>
    <w:rsid w:val="00903217"/>
    <w:rsid w:val="0090731E"/>
    <w:rsid w:val="00916397"/>
    <w:rsid w:val="00916EE2"/>
    <w:rsid w:val="009172E9"/>
    <w:rsid w:val="009173AD"/>
    <w:rsid w:val="009228E0"/>
    <w:rsid w:val="00927F11"/>
    <w:rsid w:val="0093263C"/>
    <w:rsid w:val="00940F8E"/>
    <w:rsid w:val="0094133B"/>
    <w:rsid w:val="0094408B"/>
    <w:rsid w:val="009457DD"/>
    <w:rsid w:val="00950723"/>
    <w:rsid w:val="00951790"/>
    <w:rsid w:val="00951BC9"/>
    <w:rsid w:val="00953ABA"/>
    <w:rsid w:val="0095447A"/>
    <w:rsid w:val="00955678"/>
    <w:rsid w:val="009557A6"/>
    <w:rsid w:val="00963F5A"/>
    <w:rsid w:val="009645C6"/>
    <w:rsid w:val="00966A22"/>
    <w:rsid w:val="0096722F"/>
    <w:rsid w:val="00967B0C"/>
    <w:rsid w:val="00972DC1"/>
    <w:rsid w:val="00974B77"/>
    <w:rsid w:val="00975E7B"/>
    <w:rsid w:val="00980843"/>
    <w:rsid w:val="00993AF7"/>
    <w:rsid w:val="009A4081"/>
    <w:rsid w:val="009A4556"/>
    <w:rsid w:val="009A5DDD"/>
    <w:rsid w:val="009A5EE0"/>
    <w:rsid w:val="009A6F43"/>
    <w:rsid w:val="009B16DD"/>
    <w:rsid w:val="009B35C1"/>
    <w:rsid w:val="009B3E6E"/>
    <w:rsid w:val="009B4204"/>
    <w:rsid w:val="009B76EC"/>
    <w:rsid w:val="009B78BA"/>
    <w:rsid w:val="009C0230"/>
    <w:rsid w:val="009C5932"/>
    <w:rsid w:val="009C6922"/>
    <w:rsid w:val="009C7521"/>
    <w:rsid w:val="009D6B70"/>
    <w:rsid w:val="009D74EF"/>
    <w:rsid w:val="009E0209"/>
    <w:rsid w:val="009E039E"/>
    <w:rsid w:val="009E2791"/>
    <w:rsid w:val="009E2FEC"/>
    <w:rsid w:val="009E3F6F"/>
    <w:rsid w:val="009E788F"/>
    <w:rsid w:val="009F2C81"/>
    <w:rsid w:val="009F2E08"/>
    <w:rsid w:val="009F499F"/>
    <w:rsid w:val="00A0442A"/>
    <w:rsid w:val="00A06506"/>
    <w:rsid w:val="00A16ECB"/>
    <w:rsid w:val="00A178A1"/>
    <w:rsid w:val="00A200B5"/>
    <w:rsid w:val="00A21D31"/>
    <w:rsid w:val="00A33288"/>
    <w:rsid w:val="00A35B6F"/>
    <w:rsid w:val="00A40416"/>
    <w:rsid w:val="00A4153C"/>
    <w:rsid w:val="00A421C9"/>
    <w:rsid w:val="00A42278"/>
    <w:rsid w:val="00A42DAF"/>
    <w:rsid w:val="00A45BD8"/>
    <w:rsid w:val="00A549B1"/>
    <w:rsid w:val="00A61495"/>
    <w:rsid w:val="00A630D9"/>
    <w:rsid w:val="00A656DC"/>
    <w:rsid w:val="00A65FFA"/>
    <w:rsid w:val="00A67AB6"/>
    <w:rsid w:val="00A764B6"/>
    <w:rsid w:val="00A77694"/>
    <w:rsid w:val="00A83ABB"/>
    <w:rsid w:val="00A84820"/>
    <w:rsid w:val="00A8521F"/>
    <w:rsid w:val="00A85B8E"/>
    <w:rsid w:val="00A867B4"/>
    <w:rsid w:val="00A96E91"/>
    <w:rsid w:val="00AA1570"/>
    <w:rsid w:val="00AA32E7"/>
    <w:rsid w:val="00AA60BD"/>
    <w:rsid w:val="00AA6304"/>
    <w:rsid w:val="00AA656A"/>
    <w:rsid w:val="00AB023C"/>
    <w:rsid w:val="00AB3D55"/>
    <w:rsid w:val="00AC205C"/>
    <w:rsid w:val="00AC3522"/>
    <w:rsid w:val="00AC3DD5"/>
    <w:rsid w:val="00AD05BF"/>
    <w:rsid w:val="00AD34B0"/>
    <w:rsid w:val="00AD4815"/>
    <w:rsid w:val="00AE350A"/>
    <w:rsid w:val="00AE39E5"/>
    <w:rsid w:val="00AE517A"/>
    <w:rsid w:val="00AF2B66"/>
    <w:rsid w:val="00AF7958"/>
    <w:rsid w:val="00B01479"/>
    <w:rsid w:val="00B03CCD"/>
    <w:rsid w:val="00B04FD8"/>
    <w:rsid w:val="00B05A69"/>
    <w:rsid w:val="00B06EEF"/>
    <w:rsid w:val="00B075B2"/>
    <w:rsid w:val="00B20F72"/>
    <w:rsid w:val="00B22334"/>
    <w:rsid w:val="00B22B88"/>
    <w:rsid w:val="00B24CFF"/>
    <w:rsid w:val="00B27C70"/>
    <w:rsid w:val="00B30701"/>
    <w:rsid w:val="00B35160"/>
    <w:rsid w:val="00B35ABE"/>
    <w:rsid w:val="00B36EB9"/>
    <w:rsid w:val="00B40312"/>
    <w:rsid w:val="00B445F8"/>
    <w:rsid w:val="00B44659"/>
    <w:rsid w:val="00B45F78"/>
    <w:rsid w:val="00B46198"/>
    <w:rsid w:val="00B6255E"/>
    <w:rsid w:val="00B72FBE"/>
    <w:rsid w:val="00B75BB5"/>
    <w:rsid w:val="00B765AA"/>
    <w:rsid w:val="00B90471"/>
    <w:rsid w:val="00B91F57"/>
    <w:rsid w:val="00B95BA0"/>
    <w:rsid w:val="00B9725C"/>
    <w:rsid w:val="00B9734B"/>
    <w:rsid w:val="00BA2A2C"/>
    <w:rsid w:val="00BA3A52"/>
    <w:rsid w:val="00BB0EC1"/>
    <w:rsid w:val="00BB124B"/>
    <w:rsid w:val="00BB1DAD"/>
    <w:rsid w:val="00BC0597"/>
    <w:rsid w:val="00BC38DA"/>
    <w:rsid w:val="00BC3C2B"/>
    <w:rsid w:val="00BC7ECF"/>
    <w:rsid w:val="00BD0236"/>
    <w:rsid w:val="00BD1BC4"/>
    <w:rsid w:val="00BD2D2F"/>
    <w:rsid w:val="00BE0939"/>
    <w:rsid w:val="00BE6D49"/>
    <w:rsid w:val="00BF26EA"/>
    <w:rsid w:val="00C0412B"/>
    <w:rsid w:val="00C11BFE"/>
    <w:rsid w:val="00C17AA9"/>
    <w:rsid w:val="00C20AE8"/>
    <w:rsid w:val="00C3129A"/>
    <w:rsid w:val="00C3425F"/>
    <w:rsid w:val="00C35333"/>
    <w:rsid w:val="00C40D95"/>
    <w:rsid w:val="00C43666"/>
    <w:rsid w:val="00C43BAD"/>
    <w:rsid w:val="00C445C0"/>
    <w:rsid w:val="00C4483A"/>
    <w:rsid w:val="00C456CE"/>
    <w:rsid w:val="00C4674D"/>
    <w:rsid w:val="00C472C3"/>
    <w:rsid w:val="00C5349E"/>
    <w:rsid w:val="00C543E6"/>
    <w:rsid w:val="00C77E82"/>
    <w:rsid w:val="00C905D2"/>
    <w:rsid w:val="00C92EE1"/>
    <w:rsid w:val="00C94629"/>
    <w:rsid w:val="00CB2C57"/>
    <w:rsid w:val="00CB2CD0"/>
    <w:rsid w:val="00CB7B99"/>
    <w:rsid w:val="00CB7EB5"/>
    <w:rsid w:val="00CC04B0"/>
    <w:rsid w:val="00CC0641"/>
    <w:rsid w:val="00CC26D2"/>
    <w:rsid w:val="00CC5B10"/>
    <w:rsid w:val="00CC6729"/>
    <w:rsid w:val="00CC6CEA"/>
    <w:rsid w:val="00CD0260"/>
    <w:rsid w:val="00CD33F8"/>
    <w:rsid w:val="00CD614D"/>
    <w:rsid w:val="00CD6BA6"/>
    <w:rsid w:val="00CD6C8B"/>
    <w:rsid w:val="00CE0964"/>
    <w:rsid w:val="00CF1A41"/>
    <w:rsid w:val="00CF2344"/>
    <w:rsid w:val="00CF3DB5"/>
    <w:rsid w:val="00CF61FF"/>
    <w:rsid w:val="00D039C4"/>
    <w:rsid w:val="00D07968"/>
    <w:rsid w:val="00D16076"/>
    <w:rsid w:val="00D217BF"/>
    <w:rsid w:val="00D30E76"/>
    <w:rsid w:val="00D32140"/>
    <w:rsid w:val="00D37AB5"/>
    <w:rsid w:val="00D43B2B"/>
    <w:rsid w:val="00D45252"/>
    <w:rsid w:val="00D45FD9"/>
    <w:rsid w:val="00D46779"/>
    <w:rsid w:val="00D543F4"/>
    <w:rsid w:val="00D574DD"/>
    <w:rsid w:val="00D66732"/>
    <w:rsid w:val="00D667AB"/>
    <w:rsid w:val="00D67B5B"/>
    <w:rsid w:val="00D70D20"/>
    <w:rsid w:val="00D716C8"/>
    <w:rsid w:val="00D717EB"/>
    <w:rsid w:val="00D71B4D"/>
    <w:rsid w:val="00D72760"/>
    <w:rsid w:val="00D73841"/>
    <w:rsid w:val="00D808B1"/>
    <w:rsid w:val="00D865AE"/>
    <w:rsid w:val="00D86FD2"/>
    <w:rsid w:val="00D919DB"/>
    <w:rsid w:val="00D93D55"/>
    <w:rsid w:val="00D93EC0"/>
    <w:rsid w:val="00D95E16"/>
    <w:rsid w:val="00D973EA"/>
    <w:rsid w:val="00D97B59"/>
    <w:rsid w:val="00DA1F77"/>
    <w:rsid w:val="00DA42D5"/>
    <w:rsid w:val="00DA5099"/>
    <w:rsid w:val="00DA625F"/>
    <w:rsid w:val="00DC09DE"/>
    <w:rsid w:val="00DC1D75"/>
    <w:rsid w:val="00DC2164"/>
    <w:rsid w:val="00DC3286"/>
    <w:rsid w:val="00DC4340"/>
    <w:rsid w:val="00DC605A"/>
    <w:rsid w:val="00DD01E0"/>
    <w:rsid w:val="00DD5ADD"/>
    <w:rsid w:val="00DD669B"/>
    <w:rsid w:val="00DF24C3"/>
    <w:rsid w:val="00DF6BEA"/>
    <w:rsid w:val="00E02C0A"/>
    <w:rsid w:val="00E04E1F"/>
    <w:rsid w:val="00E05F4C"/>
    <w:rsid w:val="00E079EA"/>
    <w:rsid w:val="00E11A90"/>
    <w:rsid w:val="00E15B63"/>
    <w:rsid w:val="00E2000C"/>
    <w:rsid w:val="00E21900"/>
    <w:rsid w:val="00E22594"/>
    <w:rsid w:val="00E237DF"/>
    <w:rsid w:val="00E23929"/>
    <w:rsid w:val="00E23A49"/>
    <w:rsid w:val="00E23B54"/>
    <w:rsid w:val="00E23FEA"/>
    <w:rsid w:val="00E279F2"/>
    <w:rsid w:val="00E306D7"/>
    <w:rsid w:val="00E32327"/>
    <w:rsid w:val="00E3250C"/>
    <w:rsid w:val="00E335FE"/>
    <w:rsid w:val="00E359D4"/>
    <w:rsid w:val="00E36BDA"/>
    <w:rsid w:val="00E42A23"/>
    <w:rsid w:val="00E5021F"/>
    <w:rsid w:val="00E52A35"/>
    <w:rsid w:val="00E54930"/>
    <w:rsid w:val="00E54D95"/>
    <w:rsid w:val="00E60563"/>
    <w:rsid w:val="00E66453"/>
    <w:rsid w:val="00E67523"/>
    <w:rsid w:val="00E7074B"/>
    <w:rsid w:val="00E732B4"/>
    <w:rsid w:val="00E7365B"/>
    <w:rsid w:val="00E904EF"/>
    <w:rsid w:val="00EA2075"/>
    <w:rsid w:val="00EC269D"/>
    <w:rsid w:val="00EC3446"/>
    <w:rsid w:val="00EC4819"/>
    <w:rsid w:val="00EC4C5D"/>
    <w:rsid w:val="00EC4E49"/>
    <w:rsid w:val="00EC55A2"/>
    <w:rsid w:val="00EC595E"/>
    <w:rsid w:val="00EC7426"/>
    <w:rsid w:val="00ED77FB"/>
    <w:rsid w:val="00EE25DE"/>
    <w:rsid w:val="00EE5072"/>
    <w:rsid w:val="00EF0B94"/>
    <w:rsid w:val="00EF17AF"/>
    <w:rsid w:val="00EF3D6C"/>
    <w:rsid w:val="00EF4326"/>
    <w:rsid w:val="00EF6036"/>
    <w:rsid w:val="00F00DBC"/>
    <w:rsid w:val="00F012AE"/>
    <w:rsid w:val="00F01B39"/>
    <w:rsid w:val="00F021A6"/>
    <w:rsid w:val="00F02E7B"/>
    <w:rsid w:val="00F05297"/>
    <w:rsid w:val="00F100C6"/>
    <w:rsid w:val="00F13524"/>
    <w:rsid w:val="00F16C8C"/>
    <w:rsid w:val="00F17E5F"/>
    <w:rsid w:val="00F23E82"/>
    <w:rsid w:val="00F2404A"/>
    <w:rsid w:val="00F24FB8"/>
    <w:rsid w:val="00F276FC"/>
    <w:rsid w:val="00F308E8"/>
    <w:rsid w:val="00F358CB"/>
    <w:rsid w:val="00F44774"/>
    <w:rsid w:val="00F504A8"/>
    <w:rsid w:val="00F5528E"/>
    <w:rsid w:val="00F641B2"/>
    <w:rsid w:val="00F65351"/>
    <w:rsid w:val="00F66152"/>
    <w:rsid w:val="00F72A88"/>
    <w:rsid w:val="00F774D1"/>
    <w:rsid w:val="00F7760B"/>
    <w:rsid w:val="00F847D2"/>
    <w:rsid w:val="00F8691D"/>
    <w:rsid w:val="00F9072D"/>
    <w:rsid w:val="00F94809"/>
    <w:rsid w:val="00F94C20"/>
    <w:rsid w:val="00FA40BF"/>
    <w:rsid w:val="00FA4937"/>
    <w:rsid w:val="00FA6AC1"/>
    <w:rsid w:val="00FB2861"/>
    <w:rsid w:val="00FC0139"/>
    <w:rsid w:val="00FC1417"/>
    <w:rsid w:val="00FC432D"/>
    <w:rsid w:val="00FC7FD3"/>
    <w:rsid w:val="00FD22B4"/>
    <w:rsid w:val="00FD494F"/>
    <w:rsid w:val="00FD5741"/>
    <w:rsid w:val="00FD66DD"/>
    <w:rsid w:val="00FE0B98"/>
    <w:rsid w:val="00FE161C"/>
    <w:rsid w:val="00FE3173"/>
    <w:rsid w:val="00FF513B"/>
    <w:rsid w:val="00FF5D9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752542"/>
    <w:pPr>
      <w:keepNext/>
      <w:numPr>
        <w:numId w:val="21"/>
      </w:numPr>
      <w:spacing w:before="240" w:after="60"/>
      <w:ind w:left="567" w:hanging="567"/>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tabs>
        <w:tab w:val="clear" w:pos="567"/>
      </w:tabs>
      <w:ind w:left="720" w:hanging="360"/>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link w:val="BalloonText"/>
    <w:rsid w:val="002C71B2"/>
    <w:rPr>
      <w:rFonts w:ascii="Tahoma" w:eastAsia="SimSun" w:hAnsi="Tahoma" w:cs="Tahoma"/>
      <w:sz w:val="16"/>
      <w:szCs w:val="16"/>
    </w:rPr>
  </w:style>
  <w:style w:type="paragraph" w:styleId="ListParagraph">
    <w:name w:val="List Paragraph"/>
    <w:basedOn w:val="Normal"/>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9E2FEC"/>
  </w:style>
  <w:style w:type="character" w:customStyle="1" w:styleId="HeaderChar">
    <w:name w:val="Header Char"/>
    <w:link w:val="Header"/>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52542"/>
    <w:rPr>
      <w:rFonts w:ascii="Arial" w:eastAsia="SimSun" w:hAnsi="Arial" w:cs="Arial"/>
      <w:b/>
      <w:bCs/>
      <w:caps/>
      <w:kern w:val="32"/>
      <w:sz w:val="22"/>
      <w:szCs w:val="32"/>
      <w:lang w:val="fr-FR" w:eastAsia="zh-CN"/>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A7AED"/>
    <w:rPr>
      <w:rFonts w:ascii="Arial" w:eastAsia="SimSun" w:hAnsi="Arial" w:cs="Arial"/>
      <w:sz w:val="18"/>
    </w:rPr>
  </w:style>
  <w:style w:type="character" w:styleId="CommentReference">
    <w:name w:val="annotation reference"/>
    <w:rsid w:val="008E51E6"/>
    <w:rPr>
      <w:sz w:val="16"/>
      <w:szCs w:val="16"/>
    </w:rPr>
  </w:style>
  <w:style w:type="character" w:styleId="FootnoteReference">
    <w:name w:val="footnote reference"/>
    <w:rsid w:val="00E52A35"/>
    <w:rPr>
      <w:vertAlign w:val="superscript"/>
    </w:rPr>
  </w:style>
  <w:style w:type="character" w:styleId="Hyperlink">
    <w:name w:val="Hyperlink"/>
    <w:basedOn w:val="DefaultParagraphFont"/>
    <w:rsid w:val="00FB28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752542"/>
    <w:pPr>
      <w:keepNext/>
      <w:numPr>
        <w:numId w:val="21"/>
      </w:numPr>
      <w:spacing w:before="240" w:after="60"/>
      <w:ind w:left="567" w:hanging="567"/>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tabs>
        <w:tab w:val="clear" w:pos="567"/>
      </w:tabs>
      <w:ind w:left="720" w:hanging="360"/>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link w:val="BalloonText"/>
    <w:rsid w:val="002C71B2"/>
    <w:rPr>
      <w:rFonts w:ascii="Tahoma" w:eastAsia="SimSun" w:hAnsi="Tahoma" w:cs="Tahoma"/>
      <w:sz w:val="16"/>
      <w:szCs w:val="16"/>
    </w:rPr>
  </w:style>
  <w:style w:type="paragraph" w:styleId="ListParagraph">
    <w:name w:val="List Paragraph"/>
    <w:basedOn w:val="Normal"/>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9E2FEC"/>
  </w:style>
  <w:style w:type="character" w:customStyle="1" w:styleId="HeaderChar">
    <w:name w:val="Header Char"/>
    <w:link w:val="Header"/>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52542"/>
    <w:rPr>
      <w:rFonts w:ascii="Arial" w:eastAsia="SimSun" w:hAnsi="Arial" w:cs="Arial"/>
      <w:b/>
      <w:bCs/>
      <w:caps/>
      <w:kern w:val="32"/>
      <w:sz w:val="22"/>
      <w:szCs w:val="32"/>
      <w:lang w:val="fr-FR" w:eastAsia="zh-CN"/>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A7AED"/>
    <w:rPr>
      <w:rFonts w:ascii="Arial" w:eastAsia="SimSun" w:hAnsi="Arial" w:cs="Arial"/>
      <w:sz w:val="18"/>
    </w:rPr>
  </w:style>
  <w:style w:type="character" w:styleId="CommentReference">
    <w:name w:val="annotation reference"/>
    <w:rsid w:val="008E51E6"/>
    <w:rPr>
      <w:sz w:val="16"/>
      <w:szCs w:val="16"/>
    </w:rPr>
  </w:style>
  <w:style w:type="character" w:styleId="FootnoteReference">
    <w:name w:val="footnote reference"/>
    <w:rsid w:val="00E52A35"/>
    <w:rPr>
      <w:vertAlign w:val="superscript"/>
    </w:rPr>
  </w:style>
  <w:style w:type="character" w:styleId="Hyperlink">
    <w:name w:val="Hyperlink"/>
    <w:basedOn w:val="DefaultParagraphFont"/>
    <w:rsid w:val="00FB28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030451635">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 w:id="20398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CA079-D9C6-4879-A4F3-D0BAD445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2753ABAE</Template>
  <TotalTime>0</TotalTime>
  <Pages>10</Pages>
  <Words>4495</Words>
  <Characters>25931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WO/CC/71/4, AMENDMENTS TO STAFF REGULATIONS AND RULES</vt:lpstr>
    </vt:vector>
  </TitlesOfParts>
  <LinksUpToDate>false</LinksUpToDate>
  <CharactersWithSpaces>30366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AMENDMENTS TO STAFF REGULATIONS AND RULES</dc:title>
  <dc:subject>WO/CC/71/4, AMENDMENTS TO STAFF REGULATIONS AND RULES</dc:subject>
  <dc:creator/>
  <cp:lastModifiedBy/>
  <cp:revision>1</cp:revision>
  <dcterms:created xsi:type="dcterms:W3CDTF">2016-08-11T07:07:00Z</dcterms:created>
  <dcterms:modified xsi:type="dcterms:W3CDTF">2016-08-15T07:33:00Z</dcterms:modified>
</cp:coreProperties>
</file>