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978CC" w:rsidRPr="00E1629A" w:rsidTr="00DE4FD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978CC" w:rsidRPr="00E1629A" w:rsidRDefault="00B978CC" w:rsidP="00DE4FD6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978CC" w:rsidRPr="00E1629A" w:rsidRDefault="00B978CC" w:rsidP="00DE4FD6">
            <w:pPr>
              <w:rPr>
                <w:lang w:val="fr-FR"/>
              </w:rPr>
            </w:pPr>
            <w:r w:rsidRPr="00E1629A">
              <w:rPr>
                <w:noProof/>
                <w:lang w:val="fr-FR" w:eastAsia="fr-FR"/>
              </w:rPr>
              <w:drawing>
                <wp:inline distT="0" distB="0" distL="0" distR="0" wp14:anchorId="54EC8D9F" wp14:editId="1201E26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978CC" w:rsidRPr="00E1629A" w:rsidRDefault="00B978CC" w:rsidP="00DE4FD6">
            <w:pPr>
              <w:jc w:val="right"/>
              <w:rPr>
                <w:lang w:val="fr-FR"/>
              </w:rPr>
            </w:pPr>
            <w:r w:rsidRPr="00E1629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978CC" w:rsidRPr="00E1629A" w:rsidTr="00DE4FD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978CC" w:rsidRPr="00E1629A" w:rsidRDefault="00B978CC" w:rsidP="00DE4FD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E1629A">
              <w:rPr>
                <w:rFonts w:ascii="Arial Black" w:hAnsi="Arial Black"/>
                <w:caps/>
                <w:sz w:val="15"/>
                <w:lang w:val="fr-FR"/>
              </w:rPr>
              <w:t>WO</w:t>
            </w:r>
            <w:proofErr w:type="spellEnd"/>
            <w:r w:rsidRPr="00E1629A">
              <w:rPr>
                <w:rFonts w:ascii="Arial Black" w:hAnsi="Arial Black"/>
                <w:caps/>
                <w:sz w:val="15"/>
                <w:lang w:val="fr-FR"/>
              </w:rPr>
              <w:t>/CC/74/</w:t>
            </w:r>
            <w:bookmarkStart w:id="1" w:name="Code"/>
            <w:bookmarkEnd w:id="1"/>
            <w:r w:rsidRPr="00E1629A">
              <w:rPr>
                <w:rFonts w:ascii="Arial Black" w:hAnsi="Arial Black"/>
                <w:caps/>
                <w:sz w:val="15"/>
                <w:lang w:val="fr-FR"/>
              </w:rPr>
              <w:t>3</w:t>
            </w:r>
          </w:p>
        </w:tc>
      </w:tr>
      <w:tr w:rsidR="00B978CC" w:rsidRPr="00E1629A" w:rsidTr="00DE4FD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978CC" w:rsidRPr="00E1629A" w:rsidRDefault="00B978CC" w:rsidP="00DE4FD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1629A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96EE6" w:rsidRPr="00E1629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696EE6" w:rsidRPr="00E1629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E1629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E1629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  <w:r w:rsidRPr="00E1629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B978CC" w:rsidRPr="00E1629A" w:rsidTr="00DE4FD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978CC" w:rsidRPr="00E1629A" w:rsidRDefault="00B978CC" w:rsidP="00DE4FD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1629A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96EE6" w:rsidRPr="00E1629A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696EE6" w:rsidRPr="00E1629A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E1629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E1629A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proofErr w:type="gramEnd"/>
            <w:r w:rsidRPr="00E1629A">
              <w:rPr>
                <w:rFonts w:ascii="Arial Black" w:hAnsi="Arial Black"/>
                <w:caps/>
                <w:sz w:val="15"/>
                <w:lang w:val="fr-FR"/>
              </w:rPr>
              <w:t xml:space="preserve"> août 2017 </w:t>
            </w:r>
          </w:p>
        </w:tc>
      </w:tr>
    </w:tbl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b/>
          <w:sz w:val="28"/>
          <w:szCs w:val="28"/>
          <w:lang w:val="fr-FR"/>
        </w:rPr>
      </w:pPr>
      <w:r w:rsidRPr="00E1629A">
        <w:rPr>
          <w:b/>
          <w:sz w:val="28"/>
          <w:szCs w:val="28"/>
          <w:lang w:val="fr-FR"/>
        </w:rPr>
        <w:t>Comité de coordination de l</w:t>
      </w:r>
      <w:r w:rsidR="00696EE6" w:rsidRPr="00E1629A">
        <w:rPr>
          <w:b/>
          <w:sz w:val="28"/>
          <w:szCs w:val="28"/>
          <w:lang w:val="fr-FR"/>
        </w:rPr>
        <w:t>’</w:t>
      </w:r>
      <w:r w:rsidRPr="00E1629A">
        <w:rPr>
          <w:b/>
          <w:sz w:val="28"/>
          <w:szCs w:val="28"/>
          <w:lang w:val="fr-FR"/>
        </w:rPr>
        <w:t>OMPI</w:t>
      </w:r>
    </w:p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b/>
          <w:sz w:val="24"/>
          <w:szCs w:val="24"/>
          <w:lang w:val="fr-FR"/>
        </w:rPr>
      </w:pPr>
      <w:r w:rsidRPr="00E1629A">
        <w:rPr>
          <w:b/>
          <w:sz w:val="24"/>
          <w:szCs w:val="24"/>
          <w:lang w:val="fr-FR"/>
        </w:rPr>
        <w:t>Soixante</w:t>
      </w:r>
      <w:r w:rsidR="006A420E">
        <w:rPr>
          <w:b/>
          <w:sz w:val="24"/>
          <w:szCs w:val="24"/>
          <w:lang w:val="fr-FR"/>
        </w:rPr>
        <w:noBreakHyphen/>
      </w:r>
      <w:r w:rsidRPr="00E1629A">
        <w:rPr>
          <w:b/>
          <w:sz w:val="24"/>
          <w:szCs w:val="24"/>
          <w:lang w:val="fr-FR"/>
        </w:rPr>
        <w:t>quatorz</w:t>
      </w:r>
      <w:r w:rsidR="00696EE6" w:rsidRPr="00E1629A">
        <w:rPr>
          <w:b/>
          <w:sz w:val="24"/>
          <w:szCs w:val="24"/>
          <w:lang w:val="fr-FR"/>
        </w:rPr>
        <w:t>ième session</w:t>
      </w:r>
      <w:r w:rsidRPr="00E1629A">
        <w:rPr>
          <w:b/>
          <w:sz w:val="24"/>
          <w:szCs w:val="24"/>
          <w:lang w:val="fr-FR"/>
        </w:rPr>
        <w:t xml:space="preserve"> (</w:t>
      </w:r>
      <w:proofErr w:type="spellStart"/>
      <w:r w:rsidRPr="00E1629A">
        <w:rPr>
          <w:b/>
          <w:sz w:val="24"/>
          <w:szCs w:val="24"/>
          <w:lang w:val="fr-FR"/>
        </w:rPr>
        <w:t>48</w:t>
      </w:r>
      <w:r w:rsidRPr="00E1629A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034AA7">
        <w:rPr>
          <w:b/>
          <w:sz w:val="24"/>
          <w:szCs w:val="24"/>
          <w:lang w:val="fr-FR"/>
        </w:rPr>
        <w:t> </w:t>
      </w:r>
      <w:r w:rsidRPr="00E1629A">
        <w:rPr>
          <w:b/>
          <w:sz w:val="24"/>
          <w:szCs w:val="24"/>
          <w:lang w:val="fr-FR"/>
        </w:rPr>
        <w:t>session ordinaire)</w:t>
      </w:r>
    </w:p>
    <w:p w:rsidR="00B978CC" w:rsidRPr="00E1629A" w:rsidRDefault="00B978CC" w:rsidP="00B978CC">
      <w:pPr>
        <w:rPr>
          <w:b/>
          <w:sz w:val="24"/>
          <w:szCs w:val="24"/>
          <w:lang w:val="fr-FR"/>
        </w:rPr>
      </w:pPr>
      <w:r w:rsidRPr="00E1629A">
        <w:rPr>
          <w:b/>
          <w:sz w:val="24"/>
          <w:szCs w:val="24"/>
          <w:lang w:val="fr-FR"/>
        </w:rPr>
        <w:t>Genève, 2 – 1</w:t>
      </w:r>
      <w:r w:rsidR="00696EE6" w:rsidRPr="00E1629A">
        <w:rPr>
          <w:b/>
          <w:sz w:val="24"/>
          <w:szCs w:val="24"/>
          <w:lang w:val="fr-FR"/>
        </w:rPr>
        <w:t>1 octobre 20</w:t>
      </w:r>
      <w:r w:rsidRPr="00E1629A">
        <w:rPr>
          <w:b/>
          <w:sz w:val="24"/>
          <w:szCs w:val="24"/>
          <w:lang w:val="fr-FR"/>
        </w:rPr>
        <w:t>17</w:t>
      </w:r>
    </w:p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lang w:val="fr-FR"/>
        </w:rPr>
      </w:pPr>
    </w:p>
    <w:p w:rsidR="00B978CC" w:rsidRPr="00E1629A" w:rsidRDefault="00B978CC" w:rsidP="00B978CC">
      <w:pPr>
        <w:rPr>
          <w:lang w:val="fr-FR"/>
        </w:rPr>
      </w:pPr>
    </w:p>
    <w:p w:rsidR="00D504D2" w:rsidRPr="00E1629A" w:rsidRDefault="006A0E0A" w:rsidP="006A0E0A">
      <w:pPr>
        <w:rPr>
          <w:caps/>
          <w:sz w:val="24"/>
          <w:lang w:val="fr-FR"/>
        </w:rPr>
      </w:pPr>
      <w:r w:rsidRPr="00E1629A">
        <w:rPr>
          <w:caps/>
          <w:sz w:val="24"/>
          <w:lang w:val="fr-FR"/>
        </w:rPr>
        <w:t>Rapport annuel du Bureau de la déontologie</w:t>
      </w:r>
    </w:p>
    <w:p w:rsidR="00D504D2" w:rsidRPr="00E1629A" w:rsidRDefault="00D504D2" w:rsidP="008B2CC1">
      <w:pPr>
        <w:rPr>
          <w:lang w:val="fr-FR"/>
        </w:rPr>
      </w:pPr>
    </w:p>
    <w:p w:rsidR="00D504D2" w:rsidRPr="00E1629A" w:rsidRDefault="00B905C4" w:rsidP="006A0E0A">
      <w:pPr>
        <w:rPr>
          <w:i/>
          <w:lang w:val="fr-FR"/>
        </w:rPr>
      </w:pPr>
      <w:bookmarkStart w:id="4" w:name="Prepared"/>
      <w:bookmarkEnd w:id="4"/>
      <w:proofErr w:type="gramStart"/>
      <w:r w:rsidRPr="00E1629A">
        <w:rPr>
          <w:i/>
          <w:lang w:val="fr-FR"/>
        </w:rPr>
        <w:t>établi</w:t>
      </w:r>
      <w:proofErr w:type="gramEnd"/>
      <w:r w:rsidR="006A0E0A" w:rsidRPr="00E1629A">
        <w:rPr>
          <w:i/>
          <w:lang w:val="fr-FR"/>
        </w:rPr>
        <w:t xml:space="preserve"> par le Secrétariat</w:t>
      </w:r>
    </w:p>
    <w:p w:rsidR="00D504D2" w:rsidRPr="00E1629A" w:rsidRDefault="00D504D2">
      <w:pPr>
        <w:rPr>
          <w:lang w:val="fr-FR"/>
        </w:rPr>
      </w:pPr>
    </w:p>
    <w:p w:rsidR="00D504D2" w:rsidRPr="00E1629A" w:rsidRDefault="00D504D2">
      <w:pPr>
        <w:rPr>
          <w:lang w:val="fr-FR"/>
        </w:rPr>
      </w:pPr>
    </w:p>
    <w:p w:rsidR="00D504D2" w:rsidRPr="00E1629A" w:rsidRDefault="00D504D2">
      <w:pPr>
        <w:rPr>
          <w:lang w:val="fr-FR"/>
        </w:rPr>
      </w:pPr>
    </w:p>
    <w:p w:rsidR="00D504D2" w:rsidRPr="00E1629A" w:rsidRDefault="00D504D2" w:rsidP="0053057A">
      <w:pPr>
        <w:rPr>
          <w:lang w:val="fr-FR"/>
        </w:rPr>
      </w:pPr>
    </w:p>
    <w:p w:rsidR="00D504D2" w:rsidRPr="00E1629A" w:rsidRDefault="00D504D2">
      <w:pPr>
        <w:rPr>
          <w:lang w:val="fr-FR"/>
        </w:rPr>
      </w:pPr>
    </w:p>
    <w:p w:rsidR="006A420E" w:rsidRDefault="006A420E">
      <w:pPr>
        <w:rPr>
          <w:rFonts w:eastAsia="Times New Roman"/>
          <w:b/>
          <w:szCs w:val="22"/>
          <w:u w:val="single"/>
          <w:lang w:val="fr-FR" w:eastAsia="en-US" w:bidi="he-IL"/>
        </w:rPr>
      </w:pPr>
      <w:r>
        <w:rPr>
          <w:b/>
          <w:szCs w:val="22"/>
          <w:u w:val="single"/>
          <w:lang w:val="fr-FR" w:bidi="he-IL"/>
        </w:rPr>
        <w:br w:type="page"/>
      </w:r>
    </w:p>
    <w:p w:rsidR="00D504D2" w:rsidRPr="00E1629A" w:rsidRDefault="00D504D2" w:rsidP="001B7F3C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jc w:val="center"/>
        <w:rPr>
          <w:b/>
          <w:szCs w:val="22"/>
          <w:u w:val="single"/>
          <w:lang w:val="fr-FR" w:bidi="he-IL"/>
        </w:rPr>
      </w:pPr>
    </w:p>
    <w:p w:rsidR="00D504D2" w:rsidRPr="00E1629A" w:rsidRDefault="006A0E0A" w:rsidP="006A0E0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jc w:val="center"/>
        <w:rPr>
          <w:b/>
          <w:caps/>
          <w:szCs w:val="22"/>
          <w:u w:val="single"/>
          <w:lang w:val="fr-FR" w:bidi="he-IL"/>
        </w:rPr>
      </w:pPr>
      <w:r w:rsidRPr="00E1629A">
        <w:rPr>
          <w:b/>
          <w:caps/>
          <w:szCs w:val="22"/>
          <w:u w:val="single"/>
          <w:lang w:val="fr-FR" w:bidi="he-IL"/>
        </w:rPr>
        <w:t>Bureau de la déontologie de l</w:t>
      </w:r>
      <w:r w:rsidR="00696EE6" w:rsidRPr="00E1629A">
        <w:rPr>
          <w:b/>
          <w:caps/>
          <w:szCs w:val="22"/>
          <w:u w:val="single"/>
          <w:lang w:val="fr-FR" w:bidi="he-IL"/>
        </w:rPr>
        <w:t>’</w:t>
      </w:r>
      <w:r w:rsidRPr="00E1629A">
        <w:rPr>
          <w:b/>
          <w:caps/>
          <w:szCs w:val="22"/>
          <w:u w:val="single"/>
          <w:lang w:val="fr-FR" w:bidi="he-IL"/>
        </w:rPr>
        <w:t>OMPI</w:t>
      </w:r>
      <w:r w:rsidR="00696EE6" w:rsidRPr="00E1629A">
        <w:rPr>
          <w:b/>
          <w:caps/>
          <w:szCs w:val="22"/>
          <w:u w:val="single"/>
          <w:lang w:val="fr-FR" w:bidi="he-IL"/>
        </w:rPr>
        <w:t> </w:t>
      </w:r>
      <w:proofErr w:type="gramStart"/>
      <w:r w:rsidR="00696EE6" w:rsidRPr="00E1629A">
        <w:rPr>
          <w:b/>
          <w:caps/>
          <w:szCs w:val="22"/>
          <w:u w:val="single"/>
          <w:lang w:val="fr-FR" w:bidi="he-IL"/>
        </w:rPr>
        <w:t>:</w:t>
      </w:r>
      <w:r w:rsidRPr="00E1629A">
        <w:rPr>
          <w:b/>
          <w:caps/>
          <w:szCs w:val="22"/>
          <w:u w:val="single"/>
          <w:lang w:val="fr-FR" w:bidi="he-IL"/>
        </w:rPr>
        <w:t xml:space="preserve"> 2016</w:t>
      </w:r>
      <w:proofErr w:type="gramEnd"/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b/>
          <w:szCs w:val="22"/>
          <w:u w:val="single"/>
          <w:lang w:val="fr-FR" w:bidi="he-IL"/>
        </w:rPr>
      </w:pPr>
    </w:p>
    <w:p w:rsidR="00D504D2" w:rsidRPr="00E1629A" w:rsidRDefault="0052537F" w:rsidP="0052537F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/>
        </w:rPr>
      </w:pPr>
      <w:r w:rsidRPr="00E1629A">
        <w:rPr>
          <w:szCs w:val="22"/>
          <w:lang w:val="fr-FR"/>
        </w:rPr>
        <w:t>2006</w:t>
      </w:r>
      <w:r w:rsidR="00696EE6" w:rsidRPr="00E1629A">
        <w:rPr>
          <w:szCs w:val="22"/>
          <w:lang w:val="fr-FR"/>
        </w:rPr>
        <w:t> </w:t>
      </w:r>
      <w:proofErr w:type="gramStart"/>
      <w:r w:rsidR="00696EE6" w:rsidRPr="00E1629A">
        <w:rPr>
          <w:szCs w:val="22"/>
          <w:lang w:val="fr-FR"/>
        </w:rPr>
        <w:t>:</w:t>
      </w:r>
      <w:r w:rsidRPr="00E1629A">
        <w:rPr>
          <w:szCs w:val="22"/>
          <w:lang w:val="fr-FR"/>
        </w:rPr>
        <w:t xml:space="preserve">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année</w:t>
      </w:r>
      <w:proofErr w:type="gramEnd"/>
      <w:r w:rsidR="00034AA7">
        <w:rPr>
          <w:szCs w:val="22"/>
          <w:lang w:val="fr-FR"/>
        </w:rPr>
        <w:t> </w:t>
      </w:r>
      <w:r w:rsidRPr="00E1629A">
        <w:rPr>
          <w:szCs w:val="22"/>
          <w:lang w:val="fr-FR"/>
        </w:rPr>
        <w:t>2006 a marqué le début des travaux visant la création 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 xml:space="preserve">un Bureau de la déontologie des </w:t>
      </w:r>
      <w:r w:rsidR="00696EE6" w:rsidRPr="00E1629A">
        <w:rPr>
          <w:szCs w:val="22"/>
          <w:lang w:val="fr-FR"/>
        </w:rPr>
        <w:t>Nations Unies</w:t>
      </w:r>
      <w:r w:rsidRPr="00E1629A">
        <w:rPr>
          <w:szCs w:val="22"/>
          <w:lang w:val="fr-FR"/>
        </w:rPr>
        <w:t xml:space="preserve"> à New</w:t>
      </w:r>
      <w:r w:rsidR="00AD2186" w:rsidRPr="00E1629A">
        <w:rPr>
          <w:szCs w:val="22"/>
          <w:lang w:val="fr-FR"/>
        </w:rPr>
        <w:t> </w:t>
      </w:r>
      <w:r w:rsidRPr="00E1629A">
        <w:rPr>
          <w:szCs w:val="22"/>
          <w:lang w:val="fr-FR"/>
        </w:rPr>
        <w:t>York</w:t>
      </w:r>
      <w:r w:rsidRPr="00E1629A">
        <w:rPr>
          <w:rStyle w:val="FootnoteReference"/>
          <w:szCs w:val="22"/>
          <w:lang w:val="fr-FR"/>
        </w:rPr>
        <w:footnoteReference w:id="2"/>
      </w:r>
      <w:r w:rsidR="00AD2186" w:rsidRPr="00E1629A">
        <w:rPr>
          <w:szCs w:val="22"/>
          <w:lang w:val="fr-FR"/>
        </w:rPr>
        <w:t>.</w:t>
      </w:r>
    </w:p>
    <w:p w:rsidR="00D504D2" w:rsidRPr="00E1629A" w:rsidRDefault="00D504D2" w:rsidP="0052537F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6675"/>
          <w:tab w:val="left" w:pos="7680"/>
        </w:tabs>
        <w:ind w:left="709" w:right="283"/>
        <w:rPr>
          <w:szCs w:val="22"/>
          <w:lang w:val="fr-FR"/>
        </w:rPr>
      </w:pPr>
    </w:p>
    <w:p w:rsidR="00696EE6" w:rsidRPr="00E1629A" w:rsidRDefault="0052537F" w:rsidP="0052537F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/>
        </w:rPr>
      </w:pPr>
      <w:r w:rsidRPr="00E1629A">
        <w:rPr>
          <w:szCs w:val="22"/>
          <w:lang w:val="fr-FR"/>
        </w:rPr>
        <w:t>2007</w:t>
      </w:r>
      <w:r w:rsidR="00696EE6" w:rsidRPr="00E1629A">
        <w:rPr>
          <w:szCs w:val="22"/>
          <w:lang w:val="fr-FR"/>
        </w:rPr>
        <w:t> </w:t>
      </w:r>
      <w:proofErr w:type="gramStart"/>
      <w:r w:rsidR="00696EE6" w:rsidRPr="00E1629A">
        <w:rPr>
          <w:szCs w:val="22"/>
          <w:lang w:val="fr-FR"/>
        </w:rPr>
        <w:t>:</w:t>
      </w:r>
      <w:r w:rsidRPr="00E1629A">
        <w:rPr>
          <w:szCs w:val="22"/>
          <w:lang w:val="fr-FR"/>
        </w:rPr>
        <w:t xml:space="preserve"> </w:t>
      </w:r>
      <w:r w:rsidR="00696EE6" w:rsidRPr="00E1629A">
        <w:rPr>
          <w:szCs w:val="22"/>
          <w:lang w:val="fr-FR"/>
        </w:rPr>
        <w:t>en</w:t>
      </w:r>
      <w:proofErr w:type="gramEnd"/>
      <w:r w:rsidR="00696EE6" w:rsidRPr="00E1629A">
        <w:rPr>
          <w:szCs w:val="22"/>
          <w:lang w:val="fr-FR"/>
        </w:rPr>
        <w:t> 2007</w:t>
      </w:r>
      <w:r w:rsidRPr="00E1629A">
        <w:rPr>
          <w:szCs w:val="22"/>
          <w:lang w:val="fr-FR"/>
        </w:rPr>
        <w:t xml:space="preserve">, le Bureau de la déontologie des </w:t>
      </w:r>
      <w:r w:rsidR="00696EE6" w:rsidRPr="00E1629A">
        <w:rPr>
          <w:szCs w:val="22"/>
          <w:lang w:val="fr-FR"/>
        </w:rPr>
        <w:t>Nations Unies</w:t>
      </w:r>
      <w:r w:rsidRPr="00E1629A">
        <w:rPr>
          <w:szCs w:val="22"/>
          <w:lang w:val="fr-FR"/>
        </w:rPr>
        <w:t xml:space="preserve"> est entré en service.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/>
        </w:rPr>
      </w:pPr>
    </w:p>
    <w:p w:rsidR="00696EE6" w:rsidRPr="00E1629A" w:rsidRDefault="0052537F" w:rsidP="0052537F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/>
        </w:rPr>
      </w:pPr>
      <w:r w:rsidRPr="00E1629A">
        <w:rPr>
          <w:szCs w:val="22"/>
          <w:lang w:val="fr-FR"/>
        </w:rPr>
        <w:t>2010</w:t>
      </w:r>
      <w:r w:rsidR="00696EE6" w:rsidRPr="00E1629A">
        <w:rPr>
          <w:szCs w:val="22"/>
          <w:lang w:val="fr-FR"/>
        </w:rPr>
        <w:t> </w:t>
      </w:r>
      <w:proofErr w:type="gramStart"/>
      <w:r w:rsidR="00696EE6" w:rsidRPr="00E1629A">
        <w:rPr>
          <w:szCs w:val="22"/>
          <w:lang w:val="fr-FR"/>
        </w:rPr>
        <w:t>:</w:t>
      </w:r>
      <w:r w:rsidRPr="00E1629A">
        <w:rPr>
          <w:szCs w:val="22"/>
          <w:lang w:val="fr-FR"/>
        </w:rPr>
        <w:t xml:space="preserve"> le</w:t>
      </w:r>
      <w:proofErr w:type="gramEnd"/>
      <w:r w:rsidRPr="00E1629A">
        <w:rPr>
          <w:szCs w:val="22"/>
          <w:lang w:val="fr-FR"/>
        </w:rPr>
        <w:t xml:space="preserve"> Bureau de la déontologie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OMPI est entré en service trois</w:t>
      </w:r>
      <w:r w:rsidR="00AD2186" w:rsidRPr="00E1629A">
        <w:rPr>
          <w:szCs w:val="22"/>
          <w:lang w:val="fr-FR"/>
        </w:rPr>
        <w:t> </w:t>
      </w:r>
      <w:r w:rsidRPr="00E1629A">
        <w:rPr>
          <w:szCs w:val="22"/>
          <w:lang w:val="fr-FR"/>
        </w:rPr>
        <w:t xml:space="preserve">ans après celui des </w:t>
      </w:r>
      <w:r w:rsidR="00696EE6" w:rsidRPr="00E1629A">
        <w:rPr>
          <w:szCs w:val="22"/>
          <w:lang w:val="fr-FR"/>
        </w:rPr>
        <w:t>Nations Unies</w:t>
      </w:r>
      <w:r w:rsidRPr="00E1629A">
        <w:rPr>
          <w:rStyle w:val="FootnoteReference"/>
          <w:szCs w:val="22"/>
          <w:lang w:val="fr-FR"/>
        </w:rPr>
        <w:footnoteReference w:id="3"/>
      </w:r>
      <w:r w:rsidR="00AD2186" w:rsidRPr="00E1629A">
        <w:rPr>
          <w:szCs w:val="22"/>
          <w:lang w:val="fr-FR"/>
        </w:rPr>
        <w:t>.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/>
        </w:rPr>
      </w:pPr>
    </w:p>
    <w:p w:rsidR="00D504D2" w:rsidRPr="00E1629A" w:rsidRDefault="00936B85" w:rsidP="0052537F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/>
        </w:rPr>
      </w:pPr>
      <w:r w:rsidRPr="00E1629A">
        <w:rPr>
          <w:szCs w:val="22"/>
          <w:lang w:val="fr-FR"/>
        </w:rPr>
        <w:t>Le Bure</w:t>
      </w:r>
      <w:r w:rsidR="00804F9E" w:rsidRPr="00E1629A">
        <w:rPr>
          <w:szCs w:val="22"/>
          <w:lang w:val="fr-FR"/>
        </w:rPr>
        <w:t>au de la déontologie de l</w:t>
      </w:r>
      <w:r w:rsidR="00696EE6" w:rsidRPr="00E1629A">
        <w:rPr>
          <w:szCs w:val="22"/>
          <w:lang w:val="fr-FR"/>
        </w:rPr>
        <w:t>’</w:t>
      </w:r>
      <w:r w:rsidR="00804F9E" w:rsidRPr="00E1629A">
        <w:rPr>
          <w:szCs w:val="22"/>
          <w:lang w:val="fr-FR"/>
        </w:rPr>
        <w:t xml:space="preserve">OMPI, qui </w:t>
      </w:r>
      <w:r w:rsidR="0019260F" w:rsidRPr="00E1629A">
        <w:rPr>
          <w:szCs w:val="22"/>
          <w:lang w:val="fr-FR"/>
        </w:rPr>
        <w:t>couvre</w:t>
      </w:r>
      <w:r w:rsidRPr="00E1629A">
        <w:rPr>
          <w:szCs w:val="22"/>
          <w:lang w:val="fr-FR"/>
        </w:rPr>
        <w:t xml:space="preserve"> un effectif relativement réduit</w:t>
      </w:r>
      <w:r w:rsidR="00804F9E" w:rsidRPr="00E1629A">
        <w:rPr>
          <w:szCs w:val="22"/>
          <w:lang w:val="fr-FR"/>
        </w:rPr>
        <w:t xml:space="preserve"> par rapport à celui du Secrétariat de l</w:t>
      </w:r>
      <w:r w:rsidR="00696EE6" w:rsidRPr="00E1629A">
        <w:rPr>
          <w:szCs w:val="22"/>
          <w:lang w:val="fr-FR"/>
        </w:rPr>
        <w:t>’</w:t>
      </w:r>
      <w:r w:rsidR="00804F9E" w:rsidRPr="00E1629A">
        <w:rPr>
          <w:szCs w:val="22"/>
          <w:lang w:val="fr-FR"/>
        </w:rPr>
        <w:t>ONU</w:t>
      </w:r>
      <w:r w:rsidR="0052537F" w:rsidRPr="00E1629A">
        <w:rPr>
          <w:szCs w:val="22"/>
          <w:lang w:val="fr-FR"/>
        </w:rPr>
        <w:t xml:space="preserve">, dans une organisation dont les activités sont axées sur des domaines spécialisés, notamment le domaine du savoir et </w:t>
      </w:r>
      <w:r w:rsidRPr="00E1629A">
        <w:rPr>
          <w:szCs w:val="22"/>
          <w:lang w:val="fr-FR"/>
        </w:rPr>
        <w:t xml:space="preserve">de </w:t>
      </w:r>
      <w:r w:rsidR="0052537F" w:rsidRPr="00E1629A">
        <w:rPr>
          <w:szCs w:val="22"/>
          <w:lang w:val="fr-FR"/>
        </w:rPr>
        <w:t>l</w:t>
      </w:r>
      <w:r w:rsidR="00696EE6" w:rsidRPr="00E1629A">
        <w:rPr>
          <w:szCs w:val="22"/>
          <w:lang w:val="fr-FR"/>
        </w:rPr>
        <w:t>’</w:t>
      </w:r>
      <w:r w:rsidR="0052537F" w:rsidRPr="00E1629A">
        <w:rPr>
          <w:szCs w:val="22"/>
          <w:lang w:val="fr-FR"/>
        </w:rPr>
        <w:t xml:space="preserve">innovation, et dont les opérations sont principalement menées et gérées depuis un seul emplacement géographique, exerce un rôle et des fonctions analogues à </w:t>
      </w:r>
      <w:r w:rsidRPr="00E1629A">
        <w:rPr>
          <w:szCs w:val="22"/>
          <w:lang w:val="fr-FR"/>
        </w:rPr>
        <w:t>ceux</w:t>
      </w:r>
      <w:r w:rsidR="0052537F" w:rsidRPr="00E1629A">
        <w:rPr>
          <w:szCs w:val="22"/>
          <w:lang w:val="fr-FR"/>
        </w:rPr>
        <w:t xml:space="preserve"> du Bureau de la déontologie de l</w:t>
      </w:r>
      <w:r w:rsidR="00696EE6" w:rsidRPr="00E1629A">
        <w:rPr>
          <w:szCs w:val="22"/>
          <w:lang w:val="fr-FR"/>
        </w:rPr>
        <w:t>’</w:t>
      </w:r>
      <w:r w:rsidR="0052537F" w:rsidRPr="00E1629A">
        <w:rPr>
          <w:szCs w:val="22"/>
          <w:lang w:val="fr-FR"/>
        </w:rPr>
        <w:t>ONU.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/>
        </w:rPr>
      </w:pPr>
    </w:p>
    <w:p w:rsidR="00696EE6" w:rsidRPr="00E1629A" w:rsidRDefault="00936B85" w:rsidP="008B06CC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/>
        </w:rPr>
      </w:pPr>
      <w:r w:rsidRPr="00E1629A">
        <w:rPr>
          <w:szCs w:val="22"/>
          <w:lang w:val="fr-FR"/>
        </w:rPr>
        <w:t>Au fil</w:t>
      </w:r>
      <w:r w:rsidR="008B06CC" w:rsidRPr="00E1629A">
        <w:rPr>
          <w:szCs w:val="22"/>
          <w:lang w:val="fr-FR"/>
        </w:rPr>
        <w:t xml:space="preserve"> des années, le Bureau de la déontologie de l</w:t>
      </w:r>
      <w:r w:rsidR="00696EE6" w:rsidRPr="00E1629A">
        <w:rPr>
          <w:szCs w:val="22"/>
          <w:lang w:val="fr-FR"/>
        </w:rPr>
        <w:t>’</w:t>
      </w:r>
      <w:r w:rsidR="008B06CC" w:rsidRPr="00E1629A">
        <w:rPr>
          <w:szCs w:val="22"/>
          <w:lang w:val="fr-FR"/>
        </w:rPr>
        <w:t xml:space="preserve">ONU </w:t>
      </w:r>
      <w:r w:rsidR="008B06CC" w:rsidRPr="00E1629A">
        <w:rPr>
          <w:color w:val="000000"/>
          <w:szCs w:val="22"/>
          <w:lang w:val="fr-FR"/>
        </w:rPr>
        <w:t>à New</w:t>
      </w:r>
      <w:r w:rsidR="00AD2186" w:rsidRPr="00E1629A">
        <w:rPr>
          <w:color w:val="000000"/>
          <w:szCs w:val="22"/>
          <w:lang w:val="fr-FR"/>
        </w:rPr>
        <w:t> </w:t>
      </w:r>
      <w:r w:rsidR="008B06CC" w:rsidRPr="00E1629A">
        <w:rPr>
          <w:color w:val="000000"/>
          <w:szCs w:val="22"/>
          <w:lang w:val="fr-FR"/>
        </w:rPr>
        <w:t>York est devenu un partenaire apprécié de l</w:t>
      </w:r>
      <w:r w:rsidR="00696EE6" w:rsidRPr="00E1629A">
        <w:rPr>
          <w:color w:val="000000"/>
          <w:szCs w:val="22"/>
          <w:lang w:val="fr-FR"/>
        </w:rPr>
        <w:t>’</w:t>
      </w:r>
      <w:r w:rsidR="008B06CC" w:rsidRPr="00E1629A">
        <w:rPr>
          <w:color w:val="000000"/>
          <w:szCs w:val="22"/>
          <w:lang w:val="fr-FR"/>
        </w:rPr>
        <w:t>OMPI dans le cadre des efforts</w:t>
      </w:r>
      <w:r w:rsidR="00B905C4" w:rsidRPr="00E1629A">
        <w:rPr>
          <w:color w:val="000000"/>
          <w:szCs w:val="22"/>
          <w:lang w:val="fr-FR"/>
        </w:rPr>
        <w:t xml:space="preserve"> déplo</w:t>
      </w:r>
      <w:r w:rsidR="00804F9E" w:rsidRPr="00E1629A">
        <w:rPr>
          <w:color w:val="000000"/>
          <w:szCs w:val="22"/>
          <w:lang w:val="fr-FR"/>
        </w:rPr>
        <w:t>yés par l</w:t>
      </w:r>
      <w:r w:rsidR="00696EE6" w:rsidRPr="00E1629A">
        <w:rPr>
          <w:color w:val="000000"/>
          <w:szCs w:val="22"/>
          <w:lang w:val="fr-FR"/>
        </w:rPr>
        <w:t>’</w:t>
      </w:r>
      <w:r w:rsidR="00804F9E" w:rsidRPr="00E1629A">
        <w:rPr>
          <w:color w:val="000000"/>
          <w:szCs w:val="22"/>
          <w:lang w:val="fr-FR"/>
        </w:rPr>
        <w:t>Organisation</w:t>
      </w:r>
      <w:r w:rsidR="00B905C4" w:rsidRPr="00E1629A">
        <w:rPr>
          <w:color w:val="000000"/>
          <w:szCs w:val="22"/>
          <w:lang w:val="fr-FR"/>
        </w:rPr>
        <w:t xml:space="preserve"> </w:t>
      </w:r>
      <w:r w:rsidR="008B06CC" w:rsidRPr="00E1629A">
        <w:rPr>
          <w:color w:val="000000"/>
          <w:szCs w:val="22"/>
          <w:lang w:val="fr-FR"/>
        </w:rPr>
        <w:t>p</w:t>
      </w:r>
      <w:r w:rsidR="00B905C4" w:rsidRPr="00E1629A">
        <w:rPr>
          <w:color w:val="000000"/>
          <w:szCs w:val="22"/>
          <w:lang w:val="fr-FR"/>
        </w:rPr>
        <w:t>ou</w:t>
      </w:r>
      <w:r w:rsidR="008B06CC" w:rsidRPr="00E1629A">
        <w:rPr>
          <w:color w:val="000000"/>
          <w:szCs w:val="22"/>
          <w:lang w:val="fr-FR"/>
        </w:rPr>
        <w:t xml:space="preserve">r </w:t>
      </w:r>
      <w:r w:rsidR="00B905C4" w:rsidRPr="00E1629A">
        <w:rPr>
          <w:szCs w:val="22"/>
          <w:lang w:val="fr-FR"/>
        </w:rPr>
        <w:t>que les membres de son personnel</w:t>
      </w:r>
      <w:r w:rsidR="008B06CC" w:rsidRPr="00E1629A">
        <w:rPr>
          <w:szCs w:val="22"/>
          <w:lang w:val="fr-FR"/>
        </w:rPr>
        <w:t xml:space="preserve"> </w:t>
      </w:r>
      <w:r w:rsidR="00FD7E37" w:rsidRPr="00E1629A">
        <w:rPr>
          <w:szCs w:val="22"/>
          <w:lang w:val="fr-FR"/>
        </w:rPr>
        <w:t>fassent preuve</w:t>
      </w:r>
      <w:r w:rsidR="00FB64D2" w:rsidRPr="00E1629A">
        <w:rPr>
          <w:szCs w:val="22"/>
          <w:lang w:val="fr-FR"/>
        </w:rPr>
        <w:t xml:space="preserve">, </w:t>
      </w:r>
      <w:r w:rsidR="00FD7E37" w:rsidRPr="00E1629A">
        <w:rPr>
          <w:szCs w:val="22"/>
          <w:lang w:val="fr-FR"/>
        </w:rPr>
        <w:t>en tant que fonctionnaires internationaux, d</w:t>
      </w:r>
      <w:r w:rsidR="008B06CC" w:rsidRPr="00E1629A">
        <w:rPr>
          <w:szCs w:val="22"/>
          <w:lang w:val="fr-FR"/>
        </w:rPr>
        <w:t>es</w:t>
      </w:r>
      <w:r w:rsidR="00B905C4" w:rsidRPr="00E1629A">
        <w:rPr>
          <w:szCs w:val="22"/>
          <w:lang w:val="fr-FR"/>
        </w:rPr>
        <w:t xml:space="preserve"> plus hautes </w:t>
      </w:r>
      <w:r w:rsidR="00FD7E37" w:rsidRPr="00E1629A">
        <w:rPr>
          <w:szCs w:val="22"/>
          <w:lang w:val="fr-FR"/>
        </w:rPr>
        <w:t>qualités</w:t>
      </w:r>
      <w:r w:rsidR="008B06CC" w:rsidRPr="00E1629A">
        <w:rPr>
          <w:szCs w:val="22"/>
          <w:lang w:val="fr-FR"/>
        </w:rPr>
        <w:t xml:space="preserve"> </w:t>
      </w:r>
      <w:r w:rsidR="00B905C4" w:rsidRPr="00E1629A">
        <w:rPr>
          <w:szCs w:val="22"/>
          <w:lang w:val="fr-FR"/>
        </w:rPr>
        <w:t>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éthique</w:t>
      </w:r>
      <w:r w:rsidR="0019260F" w:rsidRPr="00E1629A">
        <w:rPr>
          <w:szCs w:val="22"/>
          <w:lang w:val="fr-FR"/>
        </w:rPr>
        <w:t xml:space="preserve"> dans l</w:t>
      </w:r>
      <w:r w:rsidR="00696EE6" w:rsidRPr="00E1629A">
        <w:rPr>
          <w:szCs w:val="22"/>
          <w:lang w:val="fr-FR"/>
        </w:rPr>
        <w:t>’</w:t>
      </w:r>
      <w:r w:rsidR="0019260F" w:rsidRPr="00E1629A">
        <w:rPr>
          <w:szCs w:val="22"/>
          <w:lang w:val="fr-FR"/>
        </w:rPr>
        <w:t>exercice de leurs fonctions</w:t>
      </w:r>
      <w:r w:rsidR="008B06CC" w:rsidRPr="00E1629A">
        <w:rPr>
          <w:szCs w:val="22"/>
          <w:lang w:val="fr-FR"/>
        </w:rPr>
        <w:t>.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 w:right="283"/>
        <w:rPr>
          <w:szCs w:val="22"/>
          <w:lang w:val="fr-FR" w:bidi="he-IL"/>
        </w:rPr>
      </w:pPr>
    </w:p>
    <w:p w:rsidR="00B905C4" w:rsidRPr="00E1629A" w:rsidRDefault="00B905C4" w:rsidP="00B905C4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696EE6" w:rsidRPr="00E1629A" w:rsidRDefault="00925A2C" w:rsidP="00E1629A">
      <w:pPr>
        <w:pStyle w:val="ONUMFS"/>
        <w:rPr>
          <w:lang w:val="fr-FR"/>
        </w:rPr>
      </w:pPr>
      <w:r w:rsidRPr="00E1629A">
        <w:rPr>
          <w:lang w:val="fr-FR"/>
        </w:rPr>
        <w:t>On trouvera ci</w:t>
      </w:r>
      <w:r w:rsidR="006A420E">
        <w:rPr>
          <w:lang w:val="fr-FR"/>
        </w:rPr>
        <w:noBreakHyphen/>
      </w:r>
      <w:r w:rsidRPr="00E1629A">
        <w:rPr>
          <w:lang w:val="fr-FR"/>
        </w:rPr>
        <w:t xml:space="preserve">dessous un rapport sur les activités du Bureau de la déontologie </w:t>
      </w:r>
      <w:r w:rsidR="00696EE6" w:rsidRPr="00E1629A">
        <w:rPr>
          <w:lang w:val="fr-FR"/>
        </w:rPr>
        <w:t>en 2016</w:t>
      </w:r>
      <w:r w:rsidRPr="00E1629A">
        <w:rPr>
          <w:lang w:val="fr-FR"/>
        </w:rPr>
        <w:t>.</w:t>
      </w:r>
      <w:r w:rsidR="00EC138A" w:rsidRPr="00E1629A">
        <w:rPr>
          <w:lang w:val="fr-FR"/>
        </w:rPr>
        <w:t xml:space="preserve">  </w:t>
      </w:r>
      <w:r w:rsidRPr="00E1629A">
        <w:rPr>
          <w:lang w:val="fr-FR"/>
        </w:rPr>
        <w:t xml:space="preserve">Depuis sa création en </w:t>
      </w:r>
      <w:r w:rsidR="00696EE6" w:rsidRPr="00E1629A">
        <w:rPr>
          <w:lang w:val="fr-FR"/>
        </w:rPr>
        <w:t>juin 20</w:t>
      </w:r>
      <w:r w:rsidRPr="00E1629A">
        <w:rPr>
          <w:lang w:val="fr-FR"/>
        </w:rPr>
        <w:t xml:space="preserve">10, le </w:t>
      </w:r>
      <w:r w:rsidR="00B905C4" w:rsidRPr="00E1629A">
        <w:rPr>
          <w:lang w:val="fr-FR"/>
        </w:rPr>
        <w:t>Bureau de la déontologie rend</w:t>
      </w:r>
      <w:r w:rsidRPr="00E1629A">
        <w:rPr>
          <w:lang w:val="fr-FR"/>
        </w:rPr>
        <w:t xml:space="preserve"> compte de ses activités aux États membr</w:t>
      </w:r>
      <w:r w:rsidR="00E1629A" w:rsidRPr="00E1629A">
        <w:rPr>
          <w:lang w:val="fr-FR"/>
        </w:rPr>
        <w:t>es.  De</w:t>
      </w:r>
      <w:r w:rsidR="00696EE6" w:rsidRPr="00E1629A">
        <w:rPr>
          <w:lang w:val="fr-FR"/>
        </w:rPr>
        <w:t>puis 2015</w:t>
      </w:r>
      <w:r w:rsidRPr="00E1629A">
        <w:rPr>
          <w:lang w:val="fr-FR"/>
        </w:rPr>
        <w:t>, le rapport sur les activités du Bureau de la déontologie est présenté en tant que rapport annuel distinct par le Bureau de la déontologie au Comité de coordination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</w:t>
      </w:r>
      <w:r w:rsidRPr="00E1629A">
        <w:rPr>
          <w:rStyle w:val="FootnoteReference"/>
          <w:lang w:val="fr-FR"/>
        </w:rPr>
        <w:footnoteReference w:id="4"/>
      </w:r>
      <w:r w:rsidR="00AD2186" w:rsidRPr="00E1629A">
        <w:rPr>
          <w:lang w:val="fr-FR"/>
        </w:rPr>
        <w:t>.</w:t>
      </w:r>
    </w:p>
    <w:p w:rsidR="00D504D2" w:rsidRPr="00E1629A" w:rsidRDefault="00925A2C" w:rsidP="00E1629A">
      <w:pPr>
        <w:pStyle w:val="Heading1"/>
      </w:pPr>
      <w:r w:rsidRPr="00E1629A">
        <w:t>Généralités</w:t>
      </w:r>
    </w:p>
    <w:p w:rsidR="00E1629A" w:rsidRPr="00E1629A" w:rsidRDefault="00E1629A" w:rsidP="00E1629A">
      <w:pPr>
        <w:rPr>
          <w:lang w:val="fr-FR"/>
        </w:rPr>
      </w:pPr>
    </w:p>
    <w:p w:rsidR="00D504D2" w:rsidRPr="00E1629A" w:rsidRDefault="00925A2C" w:rsidP="00E1629A">
      <w:pPr>
        <w:pStyle w:val="ONUMFS"/>
        <w:rPr>
          <w:szCs w:val="22"/>
          <w:lang w:val="fr-FR"/>
        </w:rPr>
      </w:pPr>
      <w:r w:rsidRPr="00E1629A">
        <w:rPr>
          <w:szCs w:val="22"/>
          <w:lang w:val="fr-FR"/>
        </w:rPr>
        <w:t>Dans la Convention instituant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Organisation Mondiale de la Propriété Intellectuelle, il est fait référence à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importance pour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Organisation de s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attacher les services de personnes possédant les plus hautes qualités de travail, de compétence et 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intégri</w:t>
      </w:r>
      <w:r w:rsidR="00E1629A" w:rsidRPr="00E1629A">
        <w:rPr>
          <w:szCs w:val="22"/>
          <w:lang w:val="fr-FR"/>
        </w:rPr>
        <w:t>té.  La</w:t>
      </w:r>
      <w:r w:rsidRPr="00E1629A">
        <w:rPr>
          <w:szCs w:val="22"/>
          <w:lang w:val="fr-FR"/>
        </w:rPr>
        <w:t xml:space="preserve"> mise en place à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OMPI 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un système complet 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éthique et 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intégrité est une initiative du programme de réorientation stratégique (</w:t>
      </w:r>
      <w:proofErr w:type="spellStart"/>
      <w:r w:rsidRPr="00E1629A">
        <w:rPr>
          <w:szCs w:val="22"/>
          <w:lang w:val="fr-FR"/>
        </w:rPr>
        <w:t>PRS</w:t>
      </w:r>
      <w:proofErr w:type="spellEnd"/>
      <w:r w:rsidRPr="00E1629A">
        <w:rPr>
          <w:szCs w:val="22"/>
          <w:lang w:val="fr-FR"/>
        </w:rPr>
        <w:t>) qui a commencé à être intégrée dans les activités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OMPI à la suite à la conclusion</w:t>
      </w:r>
      <w:r w:rsidR="00696EE6" w:rsidRPr="00E1629A">
        <w:rPr>
          <w:szCs w:val="22"/>
          <w:lang w:val="fr-FR"/>
        </w:rPr>
        <w:t xml:space="preserve"> du </w:t>
      </w:r>
      <w:proofErr w:type="spellStart"/>
      <w:r w:rsidR="00696EE6" w:rsidRPr="00E1629A">
        <w:rPr>
          <w:szCs w:val="22"/>
          <w:lang w:val="fr-FR"/>
        </w:rPr>
        <w:t>PRS</w:t>
      </w:r>
      <w:proofErr w:type="spellEnd"/>
      <w:r w:rsidRPr="00E1629A">
        <w:rPr>
          <w:szCs w:val="22"/>
          <w:lang w:val="fr-FR"/>
        </w:rPr>
        <w:t xml:space="preserve"> </w:t>
      </w:r>
      <w:r w:rsidR="00696EE6" w:rsidRPr="00E1629A">
        <w:rPr>
          <w:szCs w:val="22"/>
          <w:lang w:val="fr-FR"/>
        </w:rPr>
        <w:t>en 2013</w:t>
      </w:r>
      <w:r w:rsidRPr="00E1629A">
        <w:rPr>
          <w:szCs w:val="22"/>
          <w:lang w:val="fr-FR"/>
        </w:rPr>
        <w:t>.</w:t>
      </w:r>
    </w:p>
    <w:p w:rsidR="00696EE6" w:rsidRPr="00E1629A" w:rsidRDefault="008A1A3B" w:rsidP="00E1629A">
      <w:pPr>
        <w:pStyle w:val="ONUMFS"/>
        <w:rPr>
          <w:szCs w:val="22"/>
          <w:lang w:val="fr-FR"/>
        </w:rPr>
      </w:pPr>
      <w:r w:rsidRPr="00E1629A">
        <w:rPr>
          <w:szCs w:val="22"/>
          <w:lang w:val="fr-FR"/>
        </w:rPr>
        <w:t>Le Bureau de la déontologie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OMPI, qui jouit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indépendance requise pour s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acquitter efficacement de ses fonctions</w:t>
      </w:r>
      <w:r w:rsidRPr="00E1629A">
        <w:rPr>
          <w:rStyle w:val="FootnoteReference"/>
          <w:szCs w:val="22"/>
          <w:lang w:val="fr-FR" w:eastAsia="en-US"/>
        </w:rPr>
        <w:footnoteReference w:id="5"/>
      </w:r>
      <w:r w:rsidRPr="00E1629A">
        <w:rPr>
          <w:szCs w:val="22"/>
          <w:lang w:val="fr-FR"/>
        </w:rPr>
        <w:t>, est chargé de veiller à</w:t>
      </w:r>
      <w:r w:rsidR="00034AA7">
        <w:rPr>
          <w:szCs w:val="22"/>
          <w:lang w:val="fr-FR"/>
        </w:rPr>
        <w:t xml:space="preserve"> ce</w:t>
      </w:r>
      <w:r w:rsidRPr="00E1629A">
        <w:rPr>
          <w:szCs w:val="22"/>
          <w:lang w:val="fr-FR"/>
        </w:rPr>
        <w:t xml:space="preserve"> que les fonctionnaires et les autres membres du personnel se conforment à leur mission et s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acquittent de leurs fonctions en satisfaisant aux plus hautes qualités 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 xml:space="preserve">intégrité, et ce en encourageant une culture de la déontologie, de la transparence et de la </w:t>
      </w:r>
      <w:r w:rsidRPr="00E1629A">
        <w:rPr>
          <w:rFonts w:eastAsia="Times New Roman"/>
          <w:szCs w:val="22"/>
          <w:lang w:val="fr-FR" w:eastAsia="fr-CH"/>
        </w:rPr>
        <w:t>responsabilité</w:t>
      </w:r>
      <w:r w:rsidRPr="00E1629A">
        <w:rPr>
          <w:szCs w:val="22"/>
          <w:lang w:val="fr-FR"/>
        </w:rPr>
        <w:t>.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u w:val="single"/>
          <w:lang w:val="fr-FR"/>
        </w:rPr>
      </w:pPr>
    </w:p>
    <w:p w:rsidR="00D504D2" w:rsidRPr="00E1629A" w:rsidRDefault="008A1A3B" w:rsidP="008A1A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u w:val="single"/>
          <w:lang w:val="fr-FR"/>
        </w:rPr>
      </w:pPr>
      <w:r w:rsidRPr="00E1629A">
        <w:rPr>
          <w:szCs w:val="22"/>
          <w:u w:val="single"/>
          <w:lang w:val="fr-FR"/>
        </w:rPr>
        <w:t>Le mandat du Bureau de la déontologie</w:t>
      </w:r>
      <w:r w:rsidR="00696EE6" w:rsidRPr="00E1629A">
        <w:rPr>
          <w:szCs w:val="22"/>
          <w:u w:val="single"/>
          <w:lang w:val="fr-FR"/>
        </w:rPr>
        <w:t> </w:t>
      </w:r>
      <w:proofErr w:type="gramStart"/>
      <w:r w:rsidR="00696EE6" w:rsidRPr="00E1629A">
        <w:rPr>
          <w:szCs w:val="22"/>
          <w:u w:val="single"/>
          <w:lang w:val="fr-FR"/>
        </w:rPr>
        <w:t>:</w:t>
      </w:r>
      <w:r w:rsidRPr="00E1629A">
        <w:rPr>
          <w:szCs w:val="22"/>
          <w:u w:val="single"/>
          <w:lang w:val="fr-FR"/>
        </w:rPr>
        <w:t xml:space="preserve"> indépendance</w:t>
      </w:r>
      <w:proofErr w:type="gramEnd"/>
      <w:r w:rsidRPr="00E1629A">
        <w:rPr>
          <w:szCs w:val="22"/>
          <w:u w:val="single"/>
          <w:lang w:val="fr-FR"/>
        </w:rPr>
        <w:t>, impartialité, confidentialité.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u w:val="single"/>
          <w:lang w:val="fr-FR"/>
        </w:rPr>
      </w:pPr>
    </w:p>
    <w:p w:rsidR="00D504D2" w:rsidRPr="00E1629A" w:rsidRDefault="008A1A3B" w:rsidP="008A1A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bCs/>
          <w:szCs w:val="22"/>
          <w:lang w:val="fr-FR"/>
        </w:rPr>
      </w:pPr>
      <w:r w:rsidRPr="00E1629A">
        <w:rPr>
          <w:bCs/>
          <w:szCs w:val="22"/>
          <w:lang w:val="fr-FR"/>
        </w:rPr>
        <w:t>Le Bureau de la déontologie de l</w:t>
      </w:r>
      <w:r w:rsidR="00696EE6" w:rsidRPr="00E1629A">
        <w:rPr>
          <w:bCs/>
          <w:szCs w:val="22"/>
          <w:lang w:val="fr-FR"/>
        </w:rPr>
        <w:t>’</w:t>
      </w:r>
      <w:r w:rsidRPr="00E1629A">
        <w:rPr>
          <w:bCs/>
          <w:szCs w:val="22"/>
          <w:lang w:val="fr-FR"/>
        </w:rPr>
        <w:t>OMPI est comptable notamment des résultats fondamentaux suivants</w:t>
      </w:r>
      <w:r w:rsidR="00696EE6" w:rsidRPr="00E1629A">
        <w:rPr>
          <w:bCs/>
          <w:szCs w:val="22"/>
          <w:lang w:val="fr-FR"/>
        </w:rPr>
        <w:t> :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fr-FR"/>
        </w:rPr>
      </w:pPr>
    </w:p>
    <w:p w:rsidR="00D504D2" w:rsidRPr="00E1629A" w:rsidRDefault="00D60894" w:rsidP="00D608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bCs/>
          <w:szCs w:val="22"/>
          <w:lang w:val="fr-FR"/>
        </w:rPr>
      </w:pPr>
      <w:r w:rsidRPr="00E1629A">
        <w:rPr>
          <w:bCs/>
          <w:szCs w:val="22"/>
          <w:lang w:val="fr-FR"/>
        </w:rPr>
        <w:t>a)</w:t>
      </w:r>
      <w:r w:rsidRPr="00E1629A">
        <w:rPr>
          <w:bCs/>
          <w:szCs w:val="22"/>
          <w:lang w:val="fr-FR"/>
        </w:rPr>
        <w:tab/>
      </w:r>
      <w:r w:rsidR="008A1A3B" w:rsidRPr="00E1629A">
        <w:rPr>
          <w:bCs/>
          <w:szCs w:val="22"/>
          <w:lang w:val="fr-FR"/>
        </w:rPr>
        <w:t>veiller à la conception, à l</w:t>
      </w:r>
      <w:r w:rsidR="00696EE6" w:rsidRPr="00E1629A">
        <w:rPr>
          <w:bCs/>
          <w:szCs w:val="22"/>
          <w:lang w:val="fr-FR"/>
        </w:rPr>
        <w:t>’</w:t>
      </w:r>
      <w:r w:rsidR="008A1A3B" w:rsidRPr="00E1629A">
        <w:rPr>
          <w:bCs/>
          <w:szCs w:val="22"/>
          <w:lang w:val="fr-FR"/>
        </w:rPr>
        <w:t xml:space="preserve">élaboration et à la mise en </w:t>
      </w:r>
      <w:r w:rsidR="001B7879" w:rsidRPr="00E1629A">
        <w:rPr>
          <w:bCs/>
          <w:szCs w:val="22"/>
          <w:lang w:val="fr-FR"/>
        </w:rPr>
        <w:t>œuvre</w:t>
      </w:r>
      <w:r w:rsidR="008A1A3B" w:rsidRPr="00E1629A">
        <w:rPr>
          <w:bCs/>
          <w:szCs w:val="22"/>
          <w:lang w:val="fr-FR"/>
        </w:rPr>
        <w:t xml:space="preserve"> d</w:t>
      </w:r>
      <w:r w:rsidR="00696EE6" w:rsidRPr="00E1629A">
        <w:rPr>
          <w:bCs/>
          <w:szCs w:val="22"/>
          <w:lang w:val="fr-FR"/>
        </w:rPr>
        <w:t>’</w:t>
      </w:r>
      <w:r w:rsidR="008A1A3B" w:rsidRPr="00E1629A">
        <w:rPr>
          <w:bCs/>
          <w:szCs w:val="22"/>
          <w:lang w:val="fr-FR"/>
        </w:rPr>
        <w:t>un programme efficace en matière de déontologie à l</w:t>
      </w:r>
      <w:r w:rsidR="00696EE6" w:rsidRPr="00E1629A">
        <w:rPr>
          <w:bCs/>
          <w:szCs w:val="22"/>
          <w:lang w:val="fr-FR"/>
        </w:rPr>
        <w:t>’</w:t>
      </w:r>
      <w:r w:rsidR="008A1A3B" w:rsidRPr="00E1629A">
        <w:rPr>
          <w:bCs/>
          <w:szCs w:val="22"/>
          <w:lang w:val="fr-FR"/>
        </w:rPr>
        <w:t>OMPI en vue de renforcer l</w:t>
      </w:r>
      <w:r w:rsidR="00696EE6" w:rsidRPr="00E1629A">
        <w:rPr>
          <w:bCs/>
          <w:szCs w:val="22"/>
          <w:lang w:val="fr-FR"/>
        </w:rPr>
        <w:t>’</w:t>
      </w:r>
      <w:r w:rsidR="008A1A3B" w:rsidRPr="00E1629A">
        <w:rPr>
          <w:bCs/>
          <w:szCs w:val="22"/>
          <w:lang w:val="fr-FR"/>
        </w:rPr>
        <w:t>intégrité, le respect des normes et la conduite conforme à la déontologie dans le cadre des activités de l</w:t>
      </w:r>
      <w:r w:rsidR="00696EE6" w:rsidRPr="00E1629A">
        <w:rPr>
          <w:bCs/>
          <w:szCs w:val="22"/>
          <w:lang w:val="fr-FR"/>
        </w:rPr>
        <w:t>’</w:t>
      </w:r>
      <w:r w:rsidR="008A1A3B" w:rsidRPr="00E1629A">
        <w:rPr>
          <w:bCs/>
          <w:szCs w:val="22"/>
          <w:lang w:val="fr-FR"/>
        </w:rPr>
        <w:t>Organisation;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fr-FR"/>
        </w:rPr>
      </w:pPr>
    </w:p>
    <w:p w:rsidR="00696EE6" w:rsidRPr="00E1629A" w:rsidRDefault="00D60894" w:rsidP="00D608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bCs/>
          <w:szCs w:val="22"/>
          <w:lang w:val="fr-FR"/>
        </w:rPr>
      </w:pPr>
      <w:r w:rsidRPr="00E1629A">
        <w:rPr>
          <w:bCs/>
          <w:szCs w:val="22"/>
          <w:lang w:val="fr-FR"/>
        </w:rPr>
        <w:t>b)</w:t>
      </w:r>
      <w:r w:rsidRPr="00E1629A">
        <w:rPr>
          <w:bCs/>
          <w:szCs w:val="22"/>
          <w:lang w:val="fr-FR"/>
        </w:rPr>
        <w:tab/>
        <w:t>promouvoir une conduite professionnelle conforme à la déontologie au sein de l</w:t>
      </w:r>
      <w:r w:rsidR="00696EE6" w:rsidRPr="00E1629A">
        <w:rPr>
          <w:bCs/>
          <w:szCs w:val="22"/>
          <w:lang w:val="fr-FR"/>
        </w:rPr>
        <w:t>’</w:t>
      </w:r>
      <w:r w:rsidRPr="00E1629A">
        <w:rPr>
          <w:bCs/>
          <w:szCs w:val="22"/>
          <w:lang w:val="fr-FR"/>
        </w:rPr>
        <w:t>Organisation en donnant des avis autorisés, en prenant des initiatives et en assurant une supervision appropriée;</w:t>
      </w:r>
      <w:r w:rsidR="005E2F1B" w:rsidRPr="00E1629A">
        <w:rPr>
          <w:bCs/>
          <w:szCs w:val="22"/>
          <w:lang w:val="fr-FR"/>
        </w:rPr>
        <w:t xml:space="preserve"> </w:t>
      </w:r>
      <w:r w:rsidRPr="00E1629A">
        <w:rPr>
          <w:bCs/>
          <w:szCs w:val="22"/>
          <w:lang w:val="fr-FR"/>
        </w:rPr>
        <w:t xml:space="preserve"> veiller à l</w:t>
      </w:r>
      <w:r w:rsidR="00696EE6" w:rsidRPr="00E1629A">
        <w:rPr>
          <w:bCs/>
          <w:szCs w:val="22"/>
          <w:lang w:val="fr-FR"/>
        </w:rPr>
        <w:t>’</w:t>
      </w:r>
      <w:r w:rsidRPr="00E1629A">
        <w:rPr>
          <w:bCs/>
          <w:szCs w:val="22"/>
          <w:lang w:val="fr-FR"/>
        </w:rPr>
        <w:t xml:space="preserve">interprétation correcte des stratégies, programmes et politiques en matière de déontologie et de respect des normes; </w:t>
      </w:r>
      <w:r w:rsidR="005E2F1B" w:rsidRPr="00E1629A">
        <w:rPr>
          <w:bCs/>
          <w:szCs w:val="22"/>
          <w:lang w:val="fr-FR"/>
        </w:rPr>
        <w:t xml:space="preserve"> </w:t>
      </w:r>
      <w:r w:rsidRPr="00E1629A">
        <w:rPr>
          <w:bCs/>
          <w:szCs w:val="22"/>
          <w:lang w:val="fr-FR"/>
        </w:rPr>
        <w:t>administrer le programme de divulgation financière de l</w:t>
      </w:r>
      <w:r w:rsidR="00696EE6" w:rsidRPr="00E1629A">
        <w:rPr>
          <w:bCs/>
          <w:szCs w:val="22"/>
          <w:lang w:val="fr-FR"/>
        </w:rPr>
        <w:t>’</w:t>
      </w:r>
      <w:r w:rsidRPr="00E1629A">
        <w:rPr>
          <w:bCs/>
          <w:szCs w:val="22"/>
          <w:lang w:val="fr-FR"/>
        </w:rPr>
        <w:t>Organisation;</w:t>
      </w:r>
    </w:p>
    <w:p w:rsidR="00D504D2" w:rsidRPr="00E1629A" w:rsidRDefault="00D504D2" w:rsidP="00EB681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fr-FR"/>
        </w:rPr>
      </w:pPr>
    </w:p>
    <w:p w:rsidR="00696EE6" w:rsidRPr="00E1629A" w:rsidRDefault="00D60894" w:rsidP="00D608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bCs/>
          <w:szCs w:val="22"/>
          <w:lang w:val="fr-FR"/>
        </w:rPr>
      </w:pPr>
      <w:r w:rsidRPr="00E1629A">
        <w:rPr>
          <w:bCs/>
          <w:color w:val="000000"/>
          <w:szCs w:val="22"/>
          <w:lang w:val="fr-FR"/>
        </w:rPr>
        <w:t>c)</w:t>
      </w:r>
      <w:r w:rsidRPr="00E1629A">
        <w:rPr>
          <w:bCs/>
          <w:color w:val="000000"/>
          <w:szCs w:val="22"/>
          <w:lang w:val="fr-FR"/>
        </w:rPr>
        <w:tab/>
        <w:t>assurer la gestion et le partage des connaissances ainsi que la mise en place de partenariats sur le plan interne ou avec l</w:t>
      </w:r>
      <w:r w:rsidR="00696EE6" w:rsidRPr="00E1629A">
        <w:rPr>
          <w:bCs/>
          <w:color w:val="000000"/>
          <w:szCs w:val="22"/>
          <w:lang w:val="fr-FR"/>
        </w:rPr>
        <w:t>’</w:t>
      </w:r>
      <w:r w:rsidRPr="00E1629A">
        <w:rPr>
          <w:bCs/>
          <w:color w:val="000000"/>
          <w:szCs w:val="22"/>
          <w:lang w:val="fr-FR"/>
        </w:rPr>
        <w:t>extérieur afin de sensibiliser aux exigences en matière de déontologie, le maintien des compétences nécessaires et l</w:t>
      </w:r>
      <w:r w:rsidR="00696EE6" w:rsidRPr="00E1629A">
        <w:rPr>
          <w:bCs/>
          <w:color w:val="000000"/>
          <w:szCs w:val="22"/>
          <w:lang w:val="fr-FR"/>
        </w:rPr>
        <w:t>’</w:t>
      </w:r>
      <w:r w:rsidRPr="00E1629A">
        <w:rPr>
          <w:bCs/>
          <w:color w:val="000000"/>
          <w:szCs w:val="22"/>
          <w:lang w:val="fr-FR"/>
        </w:rPr>
        <w:t>adaptation des pratiques recommandées actuelles en matière de déontologie et de conduite professionnelle dans l</w:t>
      </w:r>
      <w:r w:rsidR="00696EE6" w:rsidRPr="00E1629A">
        <w:rPr>
          <w:bCs/>
          <w:color w:val="000000"/>
          <w:szCs w:val="22"/>
          <w:lang w:val="fr-FR"/>
        </w:rPr>
        <w:t>’</w:t>
      </w:r>
      <w:r w:rsidRPr="00E1629A">
        <w:rPr>
          <w:bCs/>
          <w:color w:val="000000"/>
          <w:szCs w:val="22"/>
          <w:lang w:val="fr-FR"/>
        </w:rPr>
        <w:t>Organisation.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fr-FR"/>
        </w:rPr>
      </w:pPr>
    </w:p>
    <w:p w:rsidR="00696EE6" w:rsidRPr="00E1629A" w:rsidRDefault="00D60894" w:rsidP="00D6089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bCs/>
          <w:szCs w:val="22"/>
          <w:lang w:val="fr-FR"/>
        </w:rPr>
      </w:pPr>
      <w:r w:rsidRPr="00E1629A">
        <w:rPr>
          <w:bCs/>
          <w:color w:val="000000"/>
          <w:szCs w:val="22"/>
          <w:lang w:val="fr-FR"/>
        </w:rPr>
        <w:t>d)</w:t>
      </w:r>
      <w:r w:rsidRPr="00E1629A">
        <w:rPr>
          <w:bCs/>
          <w:color w:val="000000"/>
          <w:szCs w:val="22"/>
          <w:lang w:val="fr-FR"/>
        </w:rPr>
        <w:tab/>
        <w:t>veiller à la responsabilisation dans la gestion des ressources (financières, humaines et matérielles) de l</w:t>
      </w:r>
      <w:r w:rsidR="00696EE6" w:rsidRPr="00E1629A">
        <w:rPr>
          <w:bCs/>
          <w:color w:val="000000"/>
          <w:szCs w:val="22"/>
          <w:lang w:val="fr-FR"/>
        </w:rPr>
        <w:t>’</w:t>
      </w:r>
      <w:r w:rsidRPr="00E1629A">
        <w:rPr>
          <w:bCs/>
          <w:color w:val="000000"/>
          <w:szCs w:val="22"/>
          <w:lang w:val="fr-FR"/>
        </w:rPr>
        <w:t>OMPI.</w:t>
      </w:r>
    </w:p>
    <w:p w:rsidR="00D504D2" w:rsidRPr="00E1629A" w:rsidRDefault="00D504D2" w:rsidP="00EC138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566"/>
        <w:rPr>
          <w:szCs w:val="22"/>
          <w:lang w:val="fr-FR"/>
        </w:rPr>
      </w:pPr>
    </w:p>
    <w:p w:rsidR="005E2F1B" w:rsidRPr="00E1629A" w:rsidRDefault="005E2F1B" w:rsidP="005E2F1B">
      <w:pPr>
        <w:rPr>
          <w:szCs w:val="22"/>
          <w:lang w:val="fr-FR"/>
        </w:rPr>
      </w:pPr>
    </w:p>
    <w:p w:rsidR="00D504D2" w:rsidRPr="00E1629A" w:rsidRDefault="00E1629A" w:rsidP="00E1629A">
      <w:pPr>
        <w:pStyle w:val="Heading1"/>
      </w:pPr>
      <w:r w:rsidRPr="00E1629A">
        <w:t>Structure</w:t>
      </w:r>
    </w:p>
    <w:p w:rsidR="00E1629A" w:rsidRPr="00E1629A" w:rsidRDefault="00E1629A" w:rsidP="00E1629A">
      <w:pPr>
        <w:rPr>
          <w:lang w:val="fr-FR"/>
        </w:rPr>
      </w:pPr>
    </w:p>
    <w:p w:rsidR="00D504D2" w:rsidRPr="00E1629A" w:rsidRDefault="00D60894" w:rsidP="00E1629A">
      <w:pPr>
        <w:pStyle w:val="ONUMFS"/>
        <w:rPr>
          <w:lang w:val="fr-FR"/>
        </w:rPr>
      </w:pPr>
      <w:r w:rsidRPr="00E1629A">
        <w:rPr>
          <w:lang w:val="fr-FR"/>
        </w:rPr>
        <w:t>Le Bureau de la déontologie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 est dirigé par le chef du Bureau de la déontologie, qui rend compte au Directeur génér</w:t>
      </w:r>
      <w:r w:rsidR="00E1629A" w:rsidRPr="00E1629A">
        <w:rPr>
          <w:lang w:val="fr-FR"/>
        </w:rPr>
        <w:t>al.  Se</w:t>
      </w:r>
      <w:r w:rsidRPr="00E1629A">
        <w:rPr>
          <w:lang w:val="fr-FR"/>
        </w:rPr>
        <w:t>s activités ont trait à quatre</w:t>
      </w:r>
      <w:r w:rsidR="00AD2186" w:rsidRPr="00E1629A">
        <w:rPr>
          <w:lang w:val="fr-FR"/>
        </w:rPr>
        <w:t> </w:t>
      </w:r>
      <w:r w:rsidRPr="00E1629A">
        <w:rPr>
          <w:lang w:val="fr-FR"/>
        </w:rPr>
        <w:t>secteurs principaux</w:t>
      </w:r>
      <w:r w:rsidR="00696EE6" w:rsidRPr="00E1629A">
        <w:rPr>
          <w:lang w:val="fr-FR"/>
        </w:rPr>
        <w:t> :</w:t>
      </w:r>
    </w:p>
    <w:p w:rsidR="00D504D2" w:rsidRPr="00E1629A" w:rsidRDefault="00D60894" w:rsidP="00E1629A">
      <w:pPr>
        <w:pStyle w:val="ONUMFS"/>
        <w:numPr>
          <w:ilvl w:val="1"/>
          <w:numId w:val="6"/>
        </w:numPr>
        <w:spacing w:after="0"/>
        <w:rPr>
          <w:lang w:val="fr-FR"/>
        </w:rPr>
      </w:pPr>
      <w:r w:rsidRPr="00E1629A">
        <w:rPr>
          <w:lang w:val="fr-FR"/>
        </w:rPr>
        <w:t>activités de promotion;</w:t>
      </w:r>
    </w:p>
    <w:p w:rsidR="00D504D2" w:rsidRPr="00E1629A" w:rsidRDefault="00D60894" w:rsidP="00E1629A">
      <w:pPr>
        <w:pStyle w:val="ONUMFS"/>
        <w:numPr>
          <w:ilvl w:val="1"/>
          <w:numId w:val="6"/>
        </w:numPr>
        <w:spacing w:after="0"/>
        <w:rPr>
          <w:lang w:val="fr-FR"/>
        </w:rPr>
      </w:pPr>
      <w:r w:rsidRPr="00E1629A">
        <w:rPr>
          <w:lang w:val="fr-FR"/>
        </w:rPr>
        <w:t>avis confidentiels à la haute direction, à la direction et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ensemble du personnel;</w:t>
      </w:r>
    </w:p>
    <w:p w:rsidR="00D504D2" w:rsidRPr="00E1629A" w:rsidRDefault="00D60894" w:rsidP="00E1629A">
      <w:pPr>
        <w:pStyle w:val="ONUMFS"/>
        <w:numPr>
          <w:ilvl w:val="1"/>
          <w:numId w:val="6"/>
        </w:numPr>
        <w:spacing w:after="0"/>
        <w:rPr>
          <w:lang w:val="fr-FR"/>
        </w:rPr>
      </w:pPr>
      <w:r w:rsidRPr="00E1629A">
        <w:rPr>
          <w:lang w:val="fr-FR"/>
        </w:rPr>
        <w:t>établissement de normes et élaboration de politiques;  et</w:t>
      </w:r>
    </w:p>
    <w:p w:rsidR="00D504D2" w:rsidRPr="00E1629A" w:rsidRDefault="00D60894" w:rsidP="00E1629A">
      <w:pPr>
        <w:pStyle w:val="ONUMFS"/>
        <w:numPr>
          <w:ilvl w:val="1"/>
          <w:numId w:val="6"/>
        </w:numPr>
        <w:rPr>
          <w:lang w:val="fr-FR"/>
        </w:rPr>
      </w:pPr>
      <w:r w:rsidRPr="00E1629A">
        <w:rPr>
          <w:lang w:val="fr-FR"/>
        </w:rPr>
        <w:t>mise en œuvre des politiques assignées au Bureau de la déontologie.</w:t>
      </w:r>
    </w:p>
    <w:p w:rsidR="00D504D2" w:rsidRPr="00E1629A" w:rsidRDefault="00D60894" w:rsidP="00E1629A">
      <w:pPr>
        <w:pStyle w:val="ONUMFS"/>
        <w:numPr>
          <w:ilvl w:val="0"/>
          <w:numId w:val="0"/>
        </w:numPr>
        <w:rPr>
          <w:lang w:val="fr-FR"/>
        </w:rPr>
      </w:pPr>
      <w:r w:rsidRPr="00E1629A">
        <w:rPr>
          <w:lang w:val="fr-FR"/>
        </w:rPr>
        <w:t>Le Bureau est indépendant des autres services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OMPI.</w:t>
      </w:r>
    </w:p>
    <w:p w:rsidR="00D504D2" w:rsidRPr="00E1629A" w:rsidRDefault="00D60894" w:rsidP="00E1629A">
      <w:pPr>
        <w:pStyle w:val="Heading1"/>
      </w:pPr>
      <w:r w:rsidRPr="00E1629A">
        <w:t>Activités de promotion</w:t>
      </w:r>
    </w:p>
    <w:p w:rsidR="00D504D2" w:rsidRPr="00E1629A" w:rsidRDefault="00207C91" w:rsidP="00E1629A">
      <w:pPr>
        <w:pStyle w:val="Heading3"/>
        <w:rPr>
          <w:lang w:val="fr-FR"/>
        </w:rPr>
      </w:pPr>
      <w:r w:rsidRPr="00E1629A">
        <w:rPr>
          <w:lang w:val="fr-FR"/>
        </w:rPr>
        <w:t>Formation et sensibilisation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éthique et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intégrité</w:t>
      </w:r>
    </w:p>
    <w:p w:rsidR="00E1629A" w:rsidRPr="00E1629A" w:rsidRDefault="00E1629A" w:rsidP="00E1629A">
      <w:pPr>
        <w:rPr>
          <w:lang w:val="fr-FR"/>
        </w:rPr>
      </w:pPr>
    </w:p>
    <w:p w:rsidR="00D504D2" w:rsidRPr="00E1629A" w:rsidRDefault="00207C91" w:rsidP="00E1629A">
      <w:pPr>
        <w:pStyle w:val="ONUMFS"/>
        <w:rPr>
          <w:i/>
          <w:lang w:val="fr-FR"/>
        </w:rPr>
      </w:pPr>
      <w:r w:rsidRPr="00E1629A">
        <w:rPr>
          <w:lang w:val="fr-FR"/>
        </w:rPr>
        <w:t xml:space="preserve">Depuis le lancement </w:t>
      </w:r>
      <w:r w:rsidR="00696EE6" w:rsidRPr="00E1629A">
        <w:rPr>
          <w:lang w:val="fr-FR"/>
        </w:rPr>
        <w:t>en 2012</w:t>
      </w:r>
      <w:r w:rsidRPr="00E1629A">
        <w:rPr>
          <w:lang w:val="fr-FR"/>
        </w:rPr>
        <w:t xml:space="preserve"> de la politique relative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éthique et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intégrité</w:t>
      </w:r>
      <w:r w:rsidRPr="00E1629A">
        <w:rPr>
          <w:rStyle w:val="FootnoteReference"/>
          <w:lang w:val="fr-FR"/>
        </w:rPr>
        <w:footnoteReference w:id="6"/>
      </w:r>
      <w:r w:rsidRPr="00E1629A">
        <w:rPr>
          <w:lang w:val="fr-FR"/>
        </w:rPr>
        <w:t>, une formation obligatoire est en place pour tous les fonctionnaires, à tous les niveaux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Organisati</w:t>
      </w:r>
      <w:r w:rsidR="00E1629A" w:rsidRPr="00E1629A">
        <w:rPr>
          <w:lang w:val="fr-FR"/>
        </w:rPr>
        <w:t>on.  Le</w:t>
      </w:r>
      <w:r w:rsidRPr="00E1629A">
        <w:rPr>
          <w:lang w:val="fr-FR"/>
        </w:rPr>
        <w:t xml:space="preserve"> programme de formation est géré par le Bureau de la déontologie en étroite collaboration avec le Département de la gestion des ressources humaines (</w:t>
      </w:r>
      <w:proofErr w:type="spellStart"/>
      <w:r w:rsidRPr="00E1629A">
        <w:rPr>
          <w:lang w:val="fr-FR"/>
        </w:rPr>
        <w:t>DGRH</w:t>
      </w:r>
      <w:proofErr w:type="spellEnd"/>
      <w:r w:rsidRPr="00E1629A">
        <w:rPr>
          <w:lang w:val="fr-FR"/>
        </w:rPr>
        <w:t>).</w:t>
      </w:r>
    </w:p>
    <w:p w:rsidR="00D504D2" w:rsidRPr="00E1629A" w:rsidRDefault="00D504D2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jc w:val="center"/>
        <w:rPr>
          <w:rFonts w:eastAsia="Times New Roman"/>
          <w:b/>
          <w:bCs/>
          <w:szCs w:val="22"/>
          <w:u w:val="single"/>
          <w:lang w:val="fr-FR" w:eastAsia="en-US"/>
        </w:rPr>
      </w:pPr>
    </w:p>
    <w:p w:rsidR="00D504D2" w:rsidRPr="00E1629A" w:rsidRDefault="00325CFF" w:rsidP="00325C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jc w:val="center"/>
        <w:rPr>
          <w:rFonts w:eastAsia="Times New Roman"/>
          <w:b/>
          <w:bCs/>
          <w:szCs w:val="22"/>
          <w:u w:val="single"/>
          <w:lang w:val="fr-FR" w:eastAsia="en-US"/>
        </w:rPr>
      </w:pPr>
      <w:r w:rsidRPr="00E1629A">
        <w:rPr>
          <w:rFonts w:eastAsia="Times New Roman"/>
          <w:b/>
          <w:bCs/>
          <w:szCs w:val="22"/>
          <w:lang w:val="fr-FR" w:eastAsia="en-US"/>
        </w:rPr>
        <w:t>CODE DE DÉONTOLOGIE DE L</w:t>
      </w:r>
      <w:r w:rsidR="00696EE6" w:rsidRPr="00E1629A">
        <w:rPr>
          <w:rFonts w:eastAsia="Times New Roman"/>
          <w:b/>
          <w:bCs/>
          <w:szCs w:val="22"/>
          <w:lang w:val="fr-FR" w:eastAsia="en-US"/>
        </w:rPr>
        <w:t>’</w:t>
      </w:r>
      <w:r w:rsidRPr="00E1629A">
        <w:rPr>
          <w:rFonts w:eastAsia="Times New Roman"/>
          <w:b/>
          <w:bCs/>
          <w:szCs w:val="22"/>
          <w:lang w:val="fr-FR" w:eastAsia="en-US"/>
        </w:rPr>
        <w:t>OMPI</w:t>
      </w:r>
      <w:r w:rsidR="00696EE6" w:rsidRPr="00E1629A">
        <w:rPr>
          <w:rFonts w:eastAsia="Times New Roman"/>
          <w:b/>
          <w:bCs/>
          <w:szCs w:val="22"/>
          <w:lang w:val="fr-FR" w:eastAsia="en-US"/>
        </w:rPr>
        <w:t> </w:t>
      </w:r>
      <w:proofErr w:type="gramStart"/>
      <w:r w:rsidR="00696EE6" w:rsidRPr="00E1629A">
        <w:rPr>
          <w:rFonts w:eastAsia="Times New Roman"/>
          <w:b/>
          <w:bCs/>
          <w:szCs w:val="22"/>
          <w:lang w:val="fr-FR" w:eastAsia="en-US"/>
        </w:rPr>
        <w:t>:</w:t>
      </w:r>
      <w:r w:rsidRPr="00E1629A">
        <w:rPr>
          <w:rFonts w:eastAsia="Times New Roman"/>
          <w:b/>
          <w:bCs/>
          <w:szCs w:val="22"/>
          <w:lang w:val="fr-FR" w:eastAsia="en-US"/>
        </w:rPr>
        <w:t xml:space="preserve"> VALEURS</w:t>
      </w:r>
      <w:proofErr w:type="gramEnd"/>
      <w:r w:rsidRPr="00E1629A">
        <w:rPr>
          <w:rFonts w:eastAsia="Times New Roman"/>
          <w:b/>
          <w:bCs/>
          <w:szCs w:val="22"/>
          <w:lang w:val="fr-FR" w:eastAsia="en-US"/>
        </w:rPr>
        <w:t xml:space="preserve"> ET PRINCIPES</w:t>
      </w:r>
    </w:p>
    <w:p w:rsidR="00D504D2" w:rsidRPr="00E1629A" w:rsidRDefault="00D504D2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  <w:lang w:val="fr-FR"/>
        </w:rPr>
      </w:pPr>
    </w:p>
    <w:p w:rsidR="00696EE6" w:rsidRPr="00E1629A" w:rsidRDefault="00325CFF" w:rsidP="00325C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567"/>
        <w:rPr>
          <w:b/>
          <w:szCs w:val="22"/>
          <w:lang w:val="fr-FR"/>
        </w:rPr>
      </w:pPr>
      <w:r w:rsidRPr="00E1629A">
        <w:rPr>
          <w:b/>
          <w:szCs w:val="22"/>
          <w:lang w:val="fr-FR"/>
        </w:rPr>
        <w:t>Six valeurs</w:t>
      </w:r>
    </w:p>
    <w:p w:rsidR="00D504D2" w:rsidRPr="00E1629A" w:rsidRDefault="00D504D2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  <w:lang w:val="fr-FR"/>
        </w:rPr>
      </w:pPr>
    </w:p>
    <w:p w:rsidR="00D504D2" w:rsidRPr="00E1629A" w:rsidRDefault="00F93DF6" w:rsidP="00325CF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  <w:lang w:val="fr-FR"/>
        </w:rPr>
      </w:pPr>
      <w:r w:rsidRPr="00E1629A">
        <w:rPr>
          <w:szCs w:val="22"/>
          <w:lang w:val="fr-FR"/>
        </w:rPr>
        <w:t>I</w:t>
      </w:r>
      <w:r w:rsidR="00325CFF" w:rsidRPr="00E1629A">
        <w:rPr>
          <w:szCs w:val="22"/>
          <w:lang w:val="fr-FR"/>
        </w:rPr>
        <w:t>ndépendance</w:t>
      </w:r>
    </w:p>
    <w:p w:rsidR="00D504D2" w:rsidRPr="00E1629A" w:rsidRDefault="00325CFF" w:rsidP="00325CF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  <w:lang w:val="fr-FR"/>
        </w:rPr>
      </w:pPr>
      <w:r w:rsidRPr="00E1629A">
        <w:rPr>
          <w:szCs w:val="22"/>
          <w:lang w:val="fr-FR"/>
        </w:rPr>
        <w:t>Loyauté</w:t>
      </w:r>
    </w:p>
    <w:p w:rsidR="00D504D2" w:rsidRPr="00E1629A" w:rsidRDefault="00325CFF" w:rsidP="00325CF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  <w:lang w:val="fr-FR"/>
        </w:rPr>
      </w:pPr>
      <w:r w:rsidRPr="00E1629A">
        <w:rPr>
          <w:szCs w:val="22"/>
          <w:lang w:val="fr-FR"/>
        </w:rPr>
        <w:t>Impartialité</w:t>
      </w:r>
    </w:p>
    <w:p w:rsidR="00D504D2" w:rsidRPr="00E1629A" w:rsidRDefault="00325CFF" w:rsidP="00325CF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  <w:lang w:val="fr-FR"/>
        </w:rPr>
      </w:pPr>
      <w:r w:rsidRPr="00E1629A">
        <w:rPr>
          <w:szCs w:val="22"/>
          <w:lang w:val="fr-FR"/>
        </w:rPr>
        <w:t>Intégrité</w:t>
      </w:r>
    </w:p>
    <w:p w:rsidR="00696EE6" w:rsidRPr="00E1629A" w:rsidRDefault="00325CFF" w:rsidP="00325CF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  <w:lang w:val="fr-FR"/>
        </w:rPr>
      </w:pPr>
      <w:r w:rsidRPr="00E1629A">
        <w:rPr>
          <w:szCs w:val="22"/>
          <w:lang w:val="fr-FR"/>
        </w:rPr>
        <w:t>Responsabilité et</w:t>
      </w:r>
    </w:p>
    <w:p w:rsidR="00696EE6" w:rsidRPr="00E1629A" w:rsidRDefault="00325CFF" w:rsidP="00325CFF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 w:right="283" w:hanging="567"/>
        <w:rPr>
          <w:szCs w:val="22"/>
          <w:lang w:val="fr-FR"/>
        </w:rPr>
      </w:pPr>
      <w:r w:rsidRPr="00E1629A">
        <w:rPr>
          <w:szCs w:val="22"/>
          <w:lang w:val="fr-FR"/>
        </w:rPr>
        <w:t>Respect des droits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homme</w:t>
      </w:r>
    </w:p>
    <w:p w:rsidR="00D504D2" w:rsidRPr="00E1629A" w:rsidRDefault="00D504D2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  <w:lang w:val="fr-FR"/>
        </w:rPr>
      </w:pPr>
    </w:p>
    <w:p w:rsidR="00696EE6" w:rsidRPr="00E1629A" w:rsidRDefault="00325CFF" w:rsidP="00325C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567"/>
        <w:rPr>
          <w:b/>
          <w:szCs w:val="22"/>
          <w:lang w:val="fr-FR"/>
        </w:rPr>
      </w:pPr>
      <w:r w:rsidRPr="00E1629A">
        <w:rPr>
          <w:b/>
          <w:szCs w:val="22"/>
          <w:lang w:val="fr-FR"/>
        </w:rPr>
        <w:t>Sept</w:t>
      </w:r>
      <w:r w:rsidRPr="00E1629A">
        <w:rPr>
          <w:szCs w:val="22"/>
          <w:lang w:val="fr-FR"/>
        </w:rPr>
        <w:t xml:space="preserve"> </w:t>
      </w:r>
      <w:r w:rsidRPr="00E1629A">
        <w:rPr>
          <w:b/>
          <w:szCs w:val="22"/>
          <w:lang w:val="fr-FR"/>
        </w:rPr>
        <w:t>principes</w:t>
      </w:r>
    </w:p>
    <w:p w:rsidR="00D504D2" w:rsidRPr="00E1629A" w:rsidRDefault="00D504D2" w:rsidP="007F68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  <w:lang w:val="fr-FR"/>
        </w:rPr>
      </w:pPr>
    </w:p>
    <w:p w:rsidR="00D504D2" w:rsidRPr="00E1629A" w:rsidRDefault="00325CFF" w:rsidP="00325CF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fr-FR"/>
        </w:rPr>
      </w:pPr>
      <w:r w:rsidRPr="00E1629A">
        <w:rPr>
          <w:szCs w:val="22"/>
          <w:lang w:val="fr-FR"/>
        </w:rPr>
        <w:t>Conflit 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intérêts</w:t>
      </w:r>
    </w:p>
    <w:p w:rsidR="00D504D2" w:rsidRPr="00E1629A" w:rsidRDefault="00325CFF" w:rsidP="00325CF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fr-FR"/>
        </w:rPr>
      </w:pPr>
      <w:r w:rsidRPr="00E1629A">
        <w:rPr>
          <w:szCs w:val="22"/>
          <w:lang w:val="fr-FR"/>
        </w:rPr>
        <w:t>Abus de pouvoir</w:t>
      </w:r>
    </w:p>
    <w:p w:rsidR="00D504D2" w:rsidRPr="00E1629A" w:rsidRDefault="00325CFF" w:rsidP="00325CF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fr-FR"/>
        </w:rPr>
      </w:pPr>
      <w:r w:rsidRPr="00E1629A">
        <w:rPr>
          <w:szCs w:val="22"/>
          <w:lang w:val="fr-FR"/>
        </w:rPr>
        <w:t>Engagement en faveur d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un environnement de travail respectueux</w:t>
      </w:r>
    </w:p>
    <w:p w:rsidR="00D504D2" w:rsidRPr="00E1629A" w:rsidRDefault="00325CFF" w:rsidP="00325CF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fr-FR"/>
        </w:rPr>
      </w:pPr>
      <w:r w:rsidRPr="00E1629A">
        <w:rPr>
          <w:szCs w:val="22"/>
          <w:lang w:val="fr-FR"/>
        </w:rPr>
        <w:t>Dons, distinctions honorifiques, faveurs et autres avantages</w:t>
      </w:r>
    </w:p>
    <w:p w:rsidR="00D504D2" w:rsidRPr="00E1629A" w:rsidRDefault="00325CFF" w:rsidP="00325CF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fr-FR"/>
        </w:rPr>
      </w:pPr>
      <w:r w:rsidRPr="00E1629A">
        <w:rPr>
          <w:szCs w:val="22"/>
          <w:lang w:val="fr-FR"/>
        </w:rPr>
        <w:t>Ressources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Organisation</w:t>
      </w:r>
    </w:p>
    <w:p w:rsidR="00D504D2" w:rsidRPr="00E1629A" w:rsidRDefault="00325CFF" w:rsidP="00325CF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fr-FR"/>
        </w:rPr>
      </w:pPr>
      <w:r w:rsidRPr="00E1629A">
        <w:rPr>
          <w:szCs w:val="22"/>
          <w:lang w:val="fr-FR"/>
        </w:rPr>
        <w:t>Confidentialité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information</w:t>
      </w:r>
    </w:p>
    <w:p w:rsidR="00D504D2" w:rsidRPr="00E1629A" w:rsidRDefault="00325CFF" w:rsidP="00325CFF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 w:firstLine="0"/>
        <w:rPr>
          <w:szCs w:val="22"/>
          <w:lang w:val="fr-FR"/>
        </w:rPr>
      </w:pPr>
      <w:r w:rsidRPr="00E1629A">
        <w:rPr>
          <w:szCs w:val="22"/>
          <w:lang w:val="fr-FR"/>
        </w:rPr>
        <w:t>Emploi après la cessation de service</w:t>
      </w:r>
    </w:p>
    <w:p w:rsidR="00D504D2" w:rsidRPr="00E1629A" w:rsidRDefault="00D504D2" w:rsidP="007F6854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67" w:right="283"/>
        <w:rPr>
          <w:szCs w:val="22"/>
          <w:lang w:val="fr-FR"/>
        </w:rPr>
      </w:pPr>
    </w:p>
    <w:p w:rsidR="00D504D2" w:rsidRPr="00E1629A" w:rsidRDefault="00D504D2" w:rsidP="00E1629A">
      <w:pPr>
        <w:rPr>
          <w:lang w:val="fr-FR"/>
        </w:rPr>
      </w:pPr>
    </w:p>
    <w:p w:rsidR="00D504D2" w:rsidRPr="00E1629A" w:rsidRDefault="00325CFF" w:rsidP="00E1629A">
      <w:pPr>
        <w:pStyle w:val="ONUMFS"/>
        <w:rPr>
          <w:lang w:val="fr-FR"/>
        </w:rPr>
      </w:pPr>
      <w:r w:rsidRPr="00E1629A">
        <w:rPr>
          <w:lang w:val="fr-FR"/>
        </w:rPr>
        <w:t>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ensemble du personnel, </w:t>
      </w:r>
      <w:r w:rsidR="00696EE6" w:rsidRPr="00E1629A">
        <w:rPr>
          <w:lang w:val="fr-FR"/>
        </w:rPr>
        <w:t>y compris</w:t>
      </w:r>
      <w:r w:rsidRPr="00E1629A">
        <w:rPr>
          <w:lang w:val="fr-FR"/>
        </w:rPr>
        <w:t xml:space="preserve"> les personnes récemment recrutées, ont reçu une formation depuis le lancement de la politique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 relative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éthique et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intégri</w:t>
      </w:r>
      <w:r w:rsidR="00E1629A" w:rsidRPr="00E1629A">
        <w:rPr>
          <w:lang w:val="fr-FR"/>
        </w:rPr>
        <w:t>té.  Le</w:t>
      </w:r>
      <w:r w:rsidRPr="00E1629A">
        <w:rPr>
          <w:lang w:val="fr-FR"/>
        </w:rPr>
        <w:t xml:space="preserve"> personnel entrant au service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Organisation est tenu de participer aux cours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initiation</w:t>
      </w:r>
      <w:r w:rsidR="00773E62" w:rsidRPr="00E1629A">
        <w:rPr>
          <w:lang w:val="fr-FR"/>
        </w:rPr>
        <w:t>, qui</w:t>
      </w:r>
      <w:r w:rsidRPr="00E1629A">
        <w:rPr>
          <w:lang w:val="fr-FR"/>
        </w:rPr>
        <w:t xml:space="preserve"> comprennent une session consacrée à la déontolog</w:t>
      </w:r>
      <w:r w:rsidR="00E1629A" w:rsidRPr="00E1629A">
        <w:rPr>
          <w:lang w:val="fr-FR"/>
        </w:rPr>
        <w:t>ie.  Un</w:t>
      </w:r>
      <w:r w:rsidRPr="00E1629A">
        <w:rPr>
          <w:lang w:val="fr-FR"/>
        </w:rPr>
        <w:t>e formation obligatoire en ligne sur les questions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éthique et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intégrité sera lancée </w:t>
      </w:r>
      <w:r w:rsidR="00696EE6" w:rsidRPr="00E1629A">
        <w:rPr>
          <w:lang w:val="fr-FR"/>
        </w:rPr>
        <w:t>en 2017</w:t>
      </w:r>
      <w:r w:rsidRPr="00E1629A">
        <w:rPr>
          <w:lang w:val="fr-FR"/>
        </w:rPr>
        <w:t xml:space="preserve"> à cet eff</w:t>
      </w:r>
      <w:r w:rsidR="00E1629A" w:rsidRPr="00E1629A">
        <w:rPr>
          <w:lang w:val="fr-FR"/>
        </w:rPr>
        <w:t>et.  Le</w:t>
      </w:r>
      <w:r w:rsidRPr="00E1629A">
        <w:rPr>
          <w:lang w:val="fr-FR"/>
        </w:rPr>
        <w:t xml:space="preserve"> cours en ligne </w:t>
      </w:r>
      <w:r w:rsidR="00FD7E37" w:rsidRPr="00E1629A">
        <w:rPr>
          <w:lang w:val="fr-FR"/>
        </w:rPr>
        <w:t>offrira</w:t>
      </w:r>
      <w:r w:rsidRPr="00E1629A">
        <w:rPr>
          <w:lang w:val="fr-FR"/>
        </w:rPr>
        <w:t xml:space="preserve"> </w:t>
      </w:r>
      <w:r w:rsidR="00FD7E37" w:rsidRPr="00E1629A">
        <w:rPr>
          <w:lang w:val="fr-FR"/>
        </w:rPr>
        <w:t>également</w:t>
      </w:r>
      <w:r w:rsidRPr="00E1629A">
        <w:rPr>
          <w:lang w:val="fr-FR"/>
        </w:rPr>
        <w:t xml:space="preserve"> </w:t>
      </w:r>
      <w:r w:rsidR="00FD7E37" w:rsidRPr="00E1629A">
        <w:rPr>
          <w:lang w:val="fr-FR"/>
        </w:rPr>
        <w:t>un</w:t>
      </w:r>
      <w:r w:rsidRPr="00E1629A">
        <w:rPr>
          <w:lang w:val="fr-FR"/>
        </w:rPr>
        <w:t xml:space="preserve">e </w:t>
      </w:r>
      <w:r w:rsidR="00773E62" w:rsidRPr="00E1629A">
        <w:rPr>
          <w:lang w:val="fr-FR"/>
        </w:rPr>
        <w:t xml:space="preserve">remise à niveau </w:t>
      </w:r>
      <w:r w:rsidR="00FD7E37" w:rsidRPr="00E1629A">
        <w:rPr>
          <w:lang w:val="fr-FR"/>
        </w:rPr>
        <w:t>à l</w:t>
      </w:r>
      <w:r w:rsidR="00696EE6" w:rsidRPr="00E1629A">
        <w:rPr>
          <w:lang w:val="fr-FR"/>
        </w:rPr>
        <w:t>’</w:t>
      </w:r>
      <w:r w:rsidR="00FD7E37" w:rsidRPr="00E1629A">
        <w:rPr>
          <w:lang w:val="fr-FR"/>
        </w:rPr>
        <w:t>ensemble du personnel de l</w:t>
      </w:r>
      <w:r w:rsidR="00696EE6" w:rsidRPr="00E1629A">
        <w:rPr>
          <w:lang w:val="fr-FR"/>
        </w:rPr>
        <w:t>’</w:t>
      </w:r>
      <w:r w:rsidR="00FD7E37" w:rsidRPr="00E1629A">
        <w:rPr>
          <w:lang w:val="fr-FR"/>
        </w:rPr>
        <w:t xml:space="preserve">Organisation </w:t>
      </w:r>
      <w:r w:rsidR="00773E62" w:rsidRPr="00E1629A">
        <w:rPr>
          <w:lang w:val="fr-FR"/>
        </w:rPr>
        <w:t>sur les questions</w:t>
      </w:r>
      <w:r w:rsidRPr="00E1629A">
        <w:rPr>
          <w:lang w:val="fr-FR"/>
        </w:rPr>
        <w:t xml:space="preserve"> </w:t>
      </w:r>
      <w:r w:rsidR="00773E62" w:rsidRPr="00E1629A">
        <w:rPr>
          <w:lang w:val="fr-FR"/>
        </w:rPr>
        <w:t>d</w:t>
      </w:r>
      <w:r w:rsidR="00696EE6" w:rsidRPr="00E1629A">
        <w:rPr>
          <w:lang w:val="fr-FR"/>
        </w:rPr>
        <w:t>’</w:t>
      </w:r>
      <w:r w:rsidR="00773E62" w:rsidRPr="00E1629A">
        <w:rPr>
          <w:lang w:val="fr-FR"/>
        </w:rPr>
        <w:t>éthique</w:t>
      </w:r>
      <w:r w:rsidRPr="00E1629A">
        <w:rPr>
          <w:lang w:val="fr-FR"/>
        </w:rPr>
        <w:t>.</w:t>
      </w:r>
    </w:p>
    <w:p w:rsidR="00D504D2" w:rsidRDefault="00325CFF" w:rsidP="00E1629A">
      <w:pPr>
        <w:pStyle w:val="Heading3"/>
        <w:rPr>
          <w:lang w:val="fr-FR"/>
        </w:rPr>
      </w:pPr>
      <w:r w:rsidRPr="00E1629A">
        <w:rPr>
          <w:lang w:val="fr-FR"/>
        </w:rPr>
        <w:t>Déontologie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OMPI et activités de sensibilisation </w:t>
      </w:r>
      <w:r w:rsidR="00696EE6" w:rsidRPr="00E1629A">
        <w:rPr>
          <w:lang w:val="fr-FR"/>
        </w:rPr>
        <w:t>en 2016</w:t>
      </w:r>
    </w:p>
    <w:p w:rsidR="00E1629A" w:rsidRPr="00E1629A" w:rsidRDefault="00E1629A" w:rsidP="00E1629A">
      <w:pPr>
        <w:rPr>
          <w:lang w:val="fr-FR"/>
        </w:rPr>
      </w:pPr>
    </w:p>
    <w:p w:rsidR="00696EE6" w:rsidRPr="00E1629A" w:rsidRDefault="00696EE6" w:rsidP="00E1629A">
      <w:pPr>
        <w:pStyle w:val="ONUMFS"/>
        <w:rPr>
          <w:lang w:val="fr-FR"/>
        </w:rPr>
      </w:pPr>
      <w:r w:rsidRPr="00E1629A">
        <w:rPr>
          <w:lang w:val="fr-FR"/>
        </w:rPr>
        <w:t>En 2016</w:t>
      </w:r>
      <w:r w:rsidR="00773E62" w:rsidRPr="00E1629A">
        <w:rPr>
          <w:lang w:val="fr-FR"/>
        </w:rPr>
        <w:t>, en</w:t>
      </w:r>
      <w:r w:rsidR="00066B8F" w:rsidRPr="00E1629A">
        <w:rPr>
          <w:lang w:val="fr-FR"/>
        </w:rPr>
        <w:t xml:space="preserve">viron 53% du personnel (622 personnes) ont participé </w:t>
      </w:r>
      <w:r w:rsidR="00773E62" w:rsidRPr="00E1629A">
        <w:rPr>
          <w:lang w:val="fr-FR"/>
        </w:rPr>
        <w:t xml:space="preserve">aux activités de </w:t>
      </w:r>
      <w:r w:rsidR="00066B8F" w:rsidRPr="00E1629A">
        <w:rPr>
          <w:lang w:val="fr-FR"/>
        </w:rPr>
        <w:t xml:space="preserve">formation </w:t>
      </w:r>
      <w:r w:rsidR="00773E62" w:rsidRPr="00E1629A">
        <w:rPr>
          <w:lang w:val="fr-FR"/>
        </w:rPr>
        <w:t xml:space="preserve">et de sensibilisation en </w:t>
      </w:r>
      <w:r w:rsidR="00066B8F" w:rsidRPr="00E1629A">
        <w:rPr>
          <w:lang w:val="fr-FR"/>
        </w:rPr>
        <w:t>matière d</w:t>
      </w:r>
      <w:r w:rsidRPr="00E1629A">
        <w:rPr>
          <w:lang w:val="fr-FR"/>
        </w:rPr>
        <w:t>’</w:t>
      </w:r>
      <w:r w:rsidR="00066B8F" w:rsidRPr="00E1629A">
        <w:rPr>
          <w:lang w:val="fr-FR"/>
        </w:rPr>
        <w:t>éthique</w:t>
      </w:r>
      <w:r w:rsidRPr="00E1629A">
        <w:rPr>
          <w:lang w:val="fr-FR"/>
        </w:rPr>
        <w:t> :</w:t>
      </w:r>
    </w:p>
    <w:p w:rsidR="00D504D2" w:rsidRPr="00E1629A" w:rsidRDefault="00E1629A" w:rsidP="00E1629A">
      <w:pPr>
        <w:pStyle w:val="ListParagraph"/>
        <w:numPr>
          <w:ilvl w:val="0"/>
          <w:numId w:val="20"/>
        </w:numPr>
        <w:ind w:left="1134" w:hanging="567"/>
        <w:rPr>
          <w:lang w:val="fr-FR"/>
        </w:rPr>
      </w:pPr>
      <w:r>
        <w:rPr>
          <w:lang w:val="fr-FR"/>
        </w:rPr>
        <w:t>103 </w:t>
      </w:r>
      <w:r w:rsidR="0032699D" w:rsidRPr="00E1629A">
        <w:rPr>
          <w:lang w:val="fr-FR"/>
        </w:rPr>
        <w:t xml:space="preserve">nouveaux fonctionnaires, à tous les niveaux, </w:t>
      </w:r>
      <w:r w:rsidR="00696EE6" w:rsidRPr="00E1629A">
        <w:rPr>
          <w:lang w:val="fr-FR"/>
        </w:rPr>
        <w:t>y compris</w:t>
      </w:r>
      <w:r w:rsidR="0032699D" w:rsidRPr="00E1629A">
        <w:rPr>
          <w:lang w:val="fr-FR"/>
        </w:rPr>
        <w:t xml:space="preserve"> à des postes de direction, ont participé à trois</w:t>
      </w:r>
      <w:r w:rsidR="00AD2186" w:rsidRPr="00E1629A">
        <w:rPr>
          <w:lang w:val="fr-FR"/>
        </w:rPr>
        <w:t> </w:t>
      </w:r>
      <w:r w:rsidR="0032699D" w:rsidRPr="00E1629A">
        <w:rPr>
          <w:lang w:val="fr-FR"/>
        </w:rPr>
        <w:t>cours d</w:t>
      </w:r>
      <w:r w:rsidR="00696EE6" w:rsidRPr="00E1629A">
        <w:rPr>
          <w:lang w:val="fr-FR"/>
        </w:rPr>
        <w:t>’</w:t>
      </w:r>
      <w:r w:rsidR="0032699D" w:rsidRPr="00E1629A">
        <w:rPr>
          <w:lang w:val="fr-FR"/>
        </w:rPr>
        <w:t>initiation sur les questions d</w:t>
      </w:r>
      <w:r w:rsidR="00696EE6" w:rsidRPr="00E1629A">
        <w:rPr>
          <w:lang w:val="fr-FR"/>
        </w:rPr>
        <w:t>’</w:t>
      </w:r>
      <w:r w:rsidR="0032699D" w:rsidRPr="00E1629A">
        <w:rPr>
          <w:lang w:val="fr-FR"/>
        </w:rPr>
        <w:t xml:space="preserve">éthique </w:t>
      </w:r>
      <w:r w:rsidR="00696EE6" w:rsidRPr="00E1629A">
        <w:rPr>
          <w:lang w:val="fr-FR"/>
        </w:rPr>
        <w:t>en 2016</w:t>
      </w:r>
      <w:r w:rsidR="0032699D" w:rsidRPr="00E1629A">
        <w:rPr>
          <w:lang w:val="fr-FR"/>
        </w:rPr>
        <w:t>;</w:t>
      </w:r>
    </w:p>
    <w:p w:rsidR="00696EE6" w:rsidRPr="00E1629A" w:rsidRDefault="0032699D" w:rsidP="00E1629A">
      <w:pPr>
        <w:pStyle w:val="ListParagraph"/>
        <w:numPr>
          <w:ilvl w:val="0"/>
          <w:numId w:val="20"/>
        </w:numPr>
        <w:ind w:left="1134" w:hanging="567"/>
        <w:rPr>
          <w:lang w:val="fr-FR"/>
        </w:rPr>
      </w:pPr>
      <w:r w:rsidRPr="00E1629A">
        <w:rPr>
          <w:lang w:val="fr-FR"/>
        </w:rPr>
        <w:t>quatre séances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informat</w:t>
      </w:r>
      <w:r w:rsidR="00E1629A">
        <w:rPr>
          <w:lang w:val="fr-FR"/>
        </w:rPr>
        <w:t>ion ont été organisées pour 427 </w:t>
      </w:r>
      <w:r w:rsidRPr="00E1629A">
        <w:rPr>
          <w:lang w:val="fr-FR"/>
        </w:rPr>
        <w:t xml:space="preserve">fonctionnaires, </w:t>
      </w:r>
      <w:r w:rsidR="00696EE6" w:rsidRPr="00E1629A">
        <w:rPr>
          <w:lang w:val="fr-FR"/>
        </w:rPr>
        <w:t>y compris</w:t>
      </w:r>
      <w:r w:rsidRPr="00E1629A">
        <w:rPr>
          <w:lang w:val="fr-FR"/>
        </w:rPr>
        <w:t xml:space="preserve"> ceux issus des bureaux extérieurs, sur les valeurs et les principes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OMPI;</w:t>
      </w:r>
    </w:p>
    <w:p w:rsidR="00D504D2" w:rsidRPr="00E1629A" w:rsidRDefault="0032699D" w:rsidP="00E1629A">
      <w:pPr>
        <w:pStyle w:val="ListParagraph"/>
        <w:numPr>
          <w:ilvl w:val="0"/>
          <w:numId w:val="20"/>
        </w:numPr>
        <w:ind w:left="1134" w:hanging="567"/>
        <w:rPr>
          <w:lang w:val="fr-FR"/>
        </w:rPr>
      </w:pPr>
      <w:r w:rsidRPr="00E1629A">
        <w:rPr>
          <w:lang w:val="fr-FR"/>
        </w:rPr>
        <w:t>cinquante</w:t>
      </w:r>
      <w:r w:rsidR="006A420E">
        <w:rPr>
          <w:lang w:val="fr-FR"/>
        </w:rPr>
        <w:noBreakHyphen/>
      </w:r>
      <w:r w:rsidRPr="00E1629A">
        <w:rPr>
          <w:lang w:val="fr-FR"/>
        </w:rPr>
        <w:t>sept fonctionnaires ont participé à une séance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information sur les conflits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intérêts;  et</w:t>
      </w:r>
    </w:p>
    <w:p w:rsidR="00696EE6" w:rsidRPr="00E1629A" w:rsidRDefault="0032699D" w:rsidP="00E1629A">
      <w:pPr>
        <w:pStyle w:val="ListParagraph"/>
        <w:numPr>
          <w:ilvl w:val="0"/>
          <w:numId w:val="20"/>
        </w:numPr>
        <w:ind w:left="1134" w:hanging="567"/>
        <w:rPr>
          <w:lang w:val="fr-FR"/>
        </w:rPr>
      </w:pPr>
      <w:r w:rsidRPr="00E1629A">
        <w:rPr>
          <w:lang w:val="fr-FR"/>
        </w:rPr>
        <w:t>trente</w:t>
      </w:r>
      <w:r w:rsidR="006A420E">
        <w:rPr>
          <w:lang w:val="fr-FR"/>
        </w:rPr>
        <w:noBreakHyphen/>
      </w:r>
      <w:r w:rsidRPr="00E1629A">
        <w:rPr>
          <w:lang w:val="fr-FR"/>
        </w:rPr>
        <w:t>cinq fonctionnaires ont participé à une séance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information sur la </w:t>
      </w:r>
      <w:r w:rsidR="00773E62" w:rsidRPr="00E1629A">
        <w:rPr>
          <w:lang w:val="fr-FR"/>
        </w:rPr>
        <w:t>déclaration de situation financière</w:t>
      </w:r>
      <w:r w:rsidRPr="00E1629A">
        <w:rPr>
          <w:lang w:val="fr-FR"/>
        </w:rPr>
        <w:t>.</w:t>
      </w:r>
    </w:p>
    <w:p w:rsidR="00D504D2" w:rsidRPr="00E1629A" w:rsidRDefault="00D504D2" w:rsidP="00E1629A">
      <w:pPr>
        <w:rPr>
          <w:lang w:val="fr-FR"/>
        </w:rPr>
      </w:pPr>
    </w:p>
    <w:p w:rsidR="00696EE6" w:rsidRPr="00E1629A" w:rsidRDefault="0032699D" w:rsidP="00E1629A">
      <w:pPr>
        <w:rPr>
          <w:lang w:val="fr-FR"/>
        </w:rPr>
      </w:pPr>
      <w:r w:rsidRPr="00E1629A">
        <w:rPr>
          <w:lang w:val="fr-FR"/>
        </w:rPr>
        <w:t>Ceux deux</w:t>
      </w:r>
      <w:r w:rsidR="00AD2186" w:rsidRPr="00E1629A">
        <w:rPr>
          <w:lang w:val="fr-FR"/>
        </w:rPr>
        <w:t> </w:t>
      </w:r>
      <w:r w:rsidRPr="00E1629A">
        <w:rPr>
          <w:lang w:val="fr-FR"/>
        </w:rPr>
        <w:t>dernières activités ont bénéficié de la contribution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un expert du Bureau de la déontologie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ONU.</w:t>
      </w:r>
    </w:p>
    <w:p w:rsidR="00D504D2" w:rsidRPr="00E1629A" w:rsidRDefault="00D504D2" w:rsidP="00A93EB9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D504D2" w:rsidRPr="00E1629A" w:rsidRDefault="00D504D2" w:rsidP="00EC138A">
      <w:pPr>
        <w:rPr>
          <w:szCs w:val="22"/>
          <w:lang w:val="fr-FR"/>
        </w:rPr>
      </w:pPr>
    </w:p>
    <w:p w:rsidR="00D504D2" w:rsidRDefault="005C3D96" w:rsidP="00EC138A">
      <w:pPr>
        <w:autoSpaceDE w:val="0"/>
        <w:autoSpaceDN w:val="0"/>
        <w:adjustRightInd w:val="0"/>
        <w:rPr>
          <w:rFonts w:eastAsia="Times New Roman"/>
          <w:szCs w:val="22"/>
          <w:lang w:val="fr-FR" w:eastAsia="en-US"/>
        </w:rPr>
      </w:pPr>
      <w:r w:rsidRPr="005C3D96">
        <w:drawing>
          <wp:inline distT="0" distB="0" distL="0" distR="0">
            <wp:extent cx="4578350" cy="2749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D96" w:rsidRPr="00E1629A" w:rsidRDefault="005C3D96" w:rsidP="00EC138A">
      <w:pPr>
        <w:autoSpaceDE w:val="0"/>
        <w:autoSpaceDN w:val="0"/>
        <w:adjustRightInd w:val="0"/>
        <w:rPr>
          <w:rFonts w:eastAsia="Times New Roman"/>
          <w:szCs w:val="22"/>
          <w:lang w:val="fr-FR" w:eastAsia="en-US"/>
        </w:rPr>
      </w:pPr>
    </w:p>
    <w:p w:rsidR="00696EE6" w:rsidRPr="00E1629A" w:rsidRDefault="0032699D" w:rsidP="00E1629A">
      <w:pPr>
        <w:pStyle w:val="ONUMFS"/>
        <w:rPr>
          <w:lang w:val="fr-FR"/>
        </w:rPr>
      </w:pPr>
      <w:r w:rsidRPr="00E1629A">
        <w:rPr>
          <w:lang w:val="fr-FR"/>
        </w:rPr>
        <w:t xml:space="preserve">Les activités de formation et de sensibilisation </w:t>
      </w:r>
      <w:r w:rsidR="00773E62" w:rsidRPr="00E1629A">
        <w:rPr>
          <w:lang w:val="fr-FR"/>
        </w:rPr>
        <w:t>ont</w:t>
      </w:r>
      <w:r w:rsidRPr="00E1629A">
        <w:rPr>
          <w:lang w:val="fr-FR"/>
        </w:rPr>
        <w:t xml:space="preserve"> notamment</w:t>
      </w:r>
      <w:r w:rsidR="00773E62" w:rsidRPr="00E1629A">
        <w:rPr>
          <w:lang w:val="fr-FR"/>
        </w:rPr>
        <w:t xml:space="preserve"> permis de transmettre</w:t>
      </w:r>
      <w:r w:rsidRPr="00E1629A">
        <w:rPr>
          <w:lang w:val="fr-FR"/>
        </w:rPr>
        <w:t xml:space="preserve"> des informations sur la “Politique de protection des lanceurs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alerte qui collaborent à une activité de supervision ou qui signalent des fautes ou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autres irrégularités (“Politique de pro</w:t>
      </w:r>
      <w:r w:rsidR="000803A4" w:rsidRPr="00E1629A">
        <w:rPr>
          <w:lang w:val="fr-FR"/>
        </w:rPr>
        <w:t>tection des lanceurs d</w:t>
      </w:r>
      <w:r w:rsidR="00696EE6" w:rsidRPr="00E1629A">
        <w:rPr>
          <w:lang w:val="fr-FR"/>
        </w:rPr>
        <w:t>’</w:t>
      </w:r>
      <w:r w:rsidR="000803A4" w:rsidRPr="00E1629A">
        <w:rPr>
          <w:lang w:val="fr-FR"/>
        </w:rPr>
        <w:t>alerte”), ainsi</w:t>
      </w:r>
      <w:r w:rsidR="00FD7E37" w:rsidRPr="00E1629A">
        <w:rPr>
          <w:lang w:val="fr-FR"/>
        </w:rPr>
        <w:t xml:space="preserve"> que</w:t>
      </w:r>
      <w:r w:rsidR="000803A4" w:rsidRPr="00E1629A">
        <w:rPr>
          <w:lang w:val="fr-FR"/>
        </w:rPr>
        <w:t xml:space="preserve"> </w:t>
      </w:r>
      <w:r w:rsidRPr="00E1629A">
        <w:rPr>
          <w:lang w:val="fr-FR"/>
        </w:rPr>
        <w:t xml:space="preserve">sur </w:t>
      </w:r>
      <w:r w:rsidR="00773E62" w:rsidRPr="00E1629A">
        <w:rPr>
          <w:lang w:val="fr-FR"/>
        </w:rPr>
        <w:t>l</w:t>
      </w:r>
      <w:r w:rsidRPr="00E1629A">
        <w:rPr>
          <w:lang w:val="fr-FR"/>
        </w:rPr>
        <w:t xml:space="preserve">es ressources générales et </w:t>
      </w:r>
      <w:r w:rsidR="00FD7E37" w:rsidRPr="00E1629A">
        <w:rPr>
          <w:lang w:val="fr-FR"/>
        </w:rPr>
        <w:t>particulières</w:t>
      </w:r>
      <w:r w:rsidR="000803A4" w:rsidRPr="00E1629A">
        <w:rPr>
          <w:lang w:val="fr-FR"/>
        </w:rPr>
        <w:t xml:space="preserve"> </w:t>
      </w:r>
      <w:r w:rsidRPr="00E1629A">
        <w:rPr>
          <w:lang w:val="fr-FR"/>
        </w:rPr>
        <w:t>en matière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information, notamment la page du site Intranet consacrée à la déontolog</w:t>
      </w:r>
      <w:r w:rsidR="00E1629A" w:rsidRPr="00E1629A">
        <w:rPr>
          <w:lang w:val="fr-FR"/>
        </w:rPr>
        <w:t>ie.  Le</w:t>
      </w:r>
      <w:r w:rsidRPr="00E1629A">
        <w:rPr>
          <w:lang w:val="fr-FR"/>
        </w:rPr>
        <w:t xml:space="preserve"> Bureau de la déontologie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 maintient un site Intranet exhaustif qui comprend des ressources et des informations sur la Politique de protection des lanceurs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alerte.</w:t>
      </w:r>
    </w:p>
    <w:p w:rsidR="00D504D2" w:rsidRPr="00E1629A" w:rsidRDefault="00FF0885" w:rsidP="00E1629A">
      <w:pPr>
        <w:pStyle w:val="ONUMFS"/>
        <w:rPr>
          <w:szCs w:val="22"/>
          <w:lang w:val="fr-FR"/>
        </w:rPr>
      </w:pPr>
      <w:r w:rsidRPr="00E1629A">
        <w:rPr>
          <w:szCs w:val="22"/>
          <w:lang w:val="fr-FR"/>
        </w:rPr>
        <w:t>Les fonctionnaires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OMPI ont également été conviés à participer à une activité organisée par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</w:t>
      </w:r>
      <w:r w:rsidR="000803A4" w:rsidRPr="00E1629A">
        <w:rPr>
          <w:szCs w:val="22"/>
          <w:lang w:val="fr-FR"/>
        </w:rPr>
        <w:t>N</w:t>
      </w:r>
      <w:r w:rsidRPr="00E1629A">
        <w:rPr>
          <w:szCs w:val="22"/>
          <w:lang w:val="fr-FR"/>
        </w:rPr>
        <w:t>U à Genève, qui comprenait un exposé du directeur du Bureau de la déontologie de l</w:t>
      </w:r>
      <w:r w:rsidR="00696EE6" w:rsidRPr="00E1629A">
        <w:rPr>
          <w:szCs w:val="22"/>
          <w:lang w:val="fr-FR"/>
        </w:rPr>
        <w:t>’</w:t>
      </w:r>
      <w:r w:rsidRPr="00E1629A">
        <w:rPr>
          <w:szCs w:val="22"/>
          <w:lang w:val="fr-FR"/>
        </w:rPr>
        <w:t>ONU.</w:t>
      </w:r>
    </w:p>
    <w:p w:rsidR="00D504D2" w:rsidRDefault="00FF0885" w:rsidP="00E1629A">
      <w:pPr>
        <w:pStyle w:val="Heading4"/>
        <w:rPr>
          <w:lang w:val="fr-FR"/>
        </w:rPr>
      </w:pPr>
      <w:r w:rsidRPr="00E1629A">
        <w:rPr>
          <w:lang w:val="fr-FR"/>
        </w:rPr>
        <w:t>Objectifs</w:t>
      </w:r>
    </w:p>
    <w:p w:rsidR="00E1629A" w:rsidRPr="00E1629A" w:rsidRDefault="00E1629A" w:rsidP="00E1629A">
      <w:pPr>
        <w:rPr>
          <w:lang w:val="fr-FR"/>
        </w:rPr>
      </w:pPr>
    </w:p>
    <w:p w:rsidR="00696EE6" w:rsidRPr="00E1629A" w:rsidRDefault="00FF0885" w:rsidP="00E1629A">
      <w:pPr>
        <w:pStyle w:val="ONUMFS"/>
        <w:rPr>
          <w:lang w:val="fr-FR"/>
        </w:rPr>
      </w:pPr>
      <w:r w:rsidRPr="00E1629A">
        <w:rPr>
          <w:lang w:val="fr-FR"/>
        </w:rPr>
        <w:t xml:space="preserve">Les formations, </w:t>
      </w:r>
      <w:r w:rsidR="000803A4" w:rsidRPr="00E1629A">
        <w:rPr>
          <w:lang w:val="fr-FR"/>
        </w:rPr>
        <w:t xml:space="preserve">les </w:t>
      </w:r>
      <w:r w:rsidRPr="00E1629A">
        <w:rPr>
          <w:lang w:val="fr-FR"/>
        </w:rPr>
        <w:t xml:space="preserve">cours de </w:t>
      </w:r>
      <w:r w:rsidR="000803A4" w:rsidRPr="00E1629A">
        <w:rPr>
          <w:lang w:val="fr-FR"/>
        </w:rPr>
        <w:t>remise à niveau</w:t>
      </w:r>
      <w:r w:rsidRPr="00E1629A">
        <w:rPr>
          <w:lang w:val="fr-FR"/>
        </w:rPr>
        <w:t xml:space="preserve"> et </w:t>
      </w:r>
      <w:r w:rsidR="000803A4" w:rsidRPr="00E1629A">
        <w:rPr>
          <w:lang w:val="fr-FR"/>
        </w:rPr>
        <w:t xml:space="preserve">les </w:t>
      </w:r>
      <w:r w:rsidRPr="00E1629A">
        <w:rPr>
          <w:lang w:val="fr-FR"/>
        </w:rPr>
        <w:t xml:space="preserve">activités de sensibilisation en général sont adaptés aux valeurs et </w:t>
      </w:r>
      <w:r w:rsidR="000803A4" w:rsidRPr="00E1629A">
        <w:rPr>
          <w:lang w:val="fr-FR"/>
        </w:rPr>
        <w:t xml:space="preserve">aux </w:t>
      </w:r>
      <w:r w:rsidRPr="00E1629A">
        <w:rPr>
          <w:lang w:val="fr-FR"/>
        </w:rPr>
        <w:t>politiques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Organisation en matière de comportement éthique et ils sont conformes aux bonnes pratiques de formation et aux principes éthiques communément reconnus.</w:t>
      </w:r>
    </w:p>
    <w:p w:rsidR="00D504D2" w:rsidRPr="00E1629A" w:rsidRDefault="000803A4" w:rsidP="00E1629A">
      <w:pPr>
        <w:pStyle w:val="ONUMFS"/>
        <w:numPr>
          <w:ilvl w:val="0"/>
          <w:numId w:val="0"/>
        </w:numPr>
        <w:ind w:firstLine="567"/>
        <w:rPr>
          <w:szCs w:val="22"/>
          <w:lang w:val="fr-FR"/>
        </w:rPr>
      </w:pPr>
      <w:r w:rsidRPr="00E1629A">
        <w:rPr>
          <w:szCs w:val="22"/>
          <w:lang w:val="fr-FR"/>
        </w:rPr>
        <w:t>En particulier, l</w:t>
      </w:r>
      <w:r w:rsidR="00FF0885" w:rsidRPr="00E1629A">
        <w:rPr>
          <w:szCs w:val="22"/>
          <w:lang w:val="fr-FR"/>
        </w:rPr>
        <w:t>es activités visent à</w:t>
      </w:r>
      <w:r w:rsidR="00696EE6" w:rsidRPr="00E1629A">
        <w:rPr>
          <w:szCs w:val="22"/>
          <w:lang w:val="fr-FR"/>
        </w:rPr>
        <w:t> :</w:t>
      </w:r>
    </w:p>
    <w:p w:rsidR="00D504D2" w:rsidRPr="00E1629A" w:rsidRDefault="00FF0885" w:rsidP="00E1629A">
      <w:pPr>
        <w:pStyle w:val="ListParagraph"/>
        <w:numPr>
          <w:ilvl w:val="0"/>
          <w:numId w:val="21"/>
        </w:numPr>
        <w:ind w:left="1134" w:hanging="567"/>
        <w:rPr>
          <w:lang w:val="fr-FR"/>
        </w:rPr>
      </w:pPr>
      <w:r w:rsidRPr="00E1629A">
        <w:rPr>
          <w:lang w:val="fr-FR"/>
        </w:rPr>
        <w:t>renforcer la culture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éthique;</w:t>
      </w:r>
    </w:p>
    <w:p w:rsidR="00D504D2" w:rsidRPr="00E1629A" w:rsidRDefault="00FF0885" w:rsidP="00E1629A">
      <w:pPr>
        <w:pStyle w:val="ListParagraph"/>
        <w:numPr>
          <w:ilvl w:val="0"/>
          <w:numId w:val="21"/>
        </w:numPr>
        <w:ind w:left="1134" w:hanging="567"/>
        <w:rPr>
          <w:lang w:val="fr-FR"/>
        </w:rPr>
      </w:pPr>
      <w:r w:rsidRPr="00E1629A">
        <w:rPr>
          <w:lang w:val="fr-FR"/>
        </w:rPr>
        <w:t>faire connaître à travers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Organisation les principes, politiques, outils et considérations relatifs à un comportement éthique au sein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OMPI;</w:t>
      </w:r>
    </w:p>
    <w:p w:rsidR="00D504D2" w:rsidRPr="00E1629A" w:rsidRDefault="00FF0885" w:rsidP="00E1629A">
      <w:pPr>
        <w:pStyle w:val="ListParagraph"/>
        <w:numPr>
          <w:ilvl w:val="0"/>
          <w:numId w:val="21"/>
        </w:numPr>
        <w:ind w:left="1134" w:hanging="567"/>
        <w:rPr>
          <w:lang w:val="fr-FR"/>
        </w:rPr>
      </w:pPr>
      <w:r w:rsidRPr="00E1629A">
        <w:rPr>
          <w:lang w:val="fr-FR"/>
        </w:rPr>
        <w:t>renforcer la confiance entre collègues et entre les chefs et leurs subordonnés, et accroître le niveau de confiance envers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Organisation;</w:t>
      </w:r>
    </w:p>
    <w:p w:rsidR="00D504D2" w:rsidRPr="00E1629A" w:rsidRDefault="00FF0885" w:rsidP="00E1629A">
      <w:pPr>
        <w:pStyle w:val="ListParagraph"/>
        <w:numPr>
          <w:ilvl w:val="0"/>
          <w:numId w:val="21"/>
        </w:numPr>
        <w:ind w:left="1134" w:hanging="567"/>
        <w:rPr>
          <w:lang w:val="fr-FR"/>
        </w:rPr>
      </w:pPr>
      <w:r w:rsidRPr="00E1629A">
        <w:rPr>
          <w:lang w:val="fr-FR"/>
        </w:rPr>
        <w:t>promouvoir la responsabilité dans les prises de décisions;  et</w:t>
      </w:r>
    </w:p>
    <w:p w:rsidR="00D504D2" w:rsidRPr="00E1629A" w:rsidRDefault="00FF0885" w:rsidP="00E1629A">
      <w:pPr>
        <w:pStyle w:val="ListParagraph"/>
        <w:numPr>
          <w:ilvl w:val="0"/>
          <w:numId w:val="21"/>
        </w:numPr>
        <w:ind w:left="1134" w:hanging="567"/>
        <w:rPr>
          <w:lang w:val="fr-FR"/>
        </w:rPr>
      </w:pPr>
      <w:r w:rsidRPr="00E1629A">
        <w:rPr>
          <w:lang w:val="fr-FR"/>
        </w:rPr>
        <w:t>renforcer les principes éthiques en matière de gestion, avec une direction qui donne le ton.</w:t>
      </w:r>
    </w:p>
    <w:p w:rsidR="00D504D2" w:rsidRDefault="00FF0885" w:rsidP="006A420E">
      <w:pPr>
        <w:pStyle w:val="Heading4"/>
        <w:keepNext w:val="0"/>
        <w:rPr>
          <w:lang w:val="fr-FR"/>
        </w:rPr>
      </w:pPr>
      <w:r w:rsidRPr="00E1629A">
        <w:rPr>
          <w:lang w:val="fr-FR"/>
        </w:rPr>
        <w:t>Résultats</w:t>
      </w:r>
    </w:p>
    <w:p w:rsidR="00E1629A" w:rsidRPr="00E1629A" w:rsidRDefault="00E1629A" w:rsidP="006A420E">
      <w:pPr>
        <w:rPr>
          <w:lang w:val="fr-FR"/>
        </w:rPr>
      </w:pPr>
    </w:p>
    <w:p w:rsidR="00D504D2" w:rsidRPr="00E1629A" w:rsidRDefault="00FF0885" w:rsidP="006A420E">
      <w:pPr>
        <w:pStyle w:val="ONUMFS"/>
        <w:rPr>
          <w:lang w:val="fr-FR"/>
        </w:rPr>
      </w:pPr>
      <w:r w:rsidRPr="00E1629A">
        <w:rPr>
          <w:lang w:val="fr-FR"/>
        </w:rPr>
        <w:t>Les résultats escomptés sont les suivants</w:t>
      </w:r>
      <w:r w:rsidR="00696EE6" w:rsidRPr="00E1629A">
        <w:rPr>
          <w:lang w:val="fr-FR"/>
        </w:rPr>
        <w:t> :</w:t>
      </w:r>
    </w:p>
    <w:p w:rsidR="00D504D2" w:rsidRPr="00E1629A" w:rsidRDefault="00FF0885" w:rsidP="006A420E">
      <w:pPr>
        <w:pStyle w:val="ListParagraph"/>
        <w:numPr>
          <w:ilvl w:val="0"/>
          <w:numId w:val="22"/>
        </w:numPr>
        <w:ind w:left="1134" w:hanging="567"/>
        <w:rPr>
          <w:lang w:val="fr-FR"/>
        </w:rPr>
      </w:pPr>
      <w:r w:rsidRPr="00E1629A">
        <w:rPr>
          <w:lang w:val="fr-FR"/>
        </w:rPr>
        <w:t>assurer une compréhension commune du sens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éthique et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intégrité dans un cadre professionnel, et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importance du comportement éthique pour la réputation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Organisation;</w:t>
      </w:r>
    </w:p>
    <w:p w:rsidR="00D504D2" w:rsidRPr="00E1629A" w:rsidRDefault="00FF0885" w:rsidP="00E1629A">
      <w:pPr>
        <w:pStyle w:val="ListParagraph"/>
        <w:numPr>
          <w:ilvl w:val="0"/>
          <w:numId w:val="22"/>
        </w:numPr>
        <w:ind w:left="1134" w:hanging="567"/>
        <w:rPr>
          <w:lang w:val="fr-FR"/>
        </w:rPr>
      </w:pPr>
      <w:r w:rsidRPr="00E1629A">
        <w:rPr>
          <w:lang w:val="fr-FR"/>
        </w:rPr>
        <w:t xml:space="preserve">veiller à ce que tout le personnel </w:t>
      </w:r>
      <w:r w:rsidR="000803A4" w:rsidRPr="00E1629A">
        <w:rPr>
          <w:lang w:val="fr-FR"/>
        </w:rPr>
        <w:t>reste conscient d</w:t>
      </w:r>
      <w:r w:rsidRPr="00E1629A">
        <w:rPr>
          <w:lang w:val="fr-FR"/>
        </w:rPr>
        <w:t>es principes éthiques essentiels;</w:t>
      </w:r>
    </w:p>
    <w:p w:rsidR="00D504D2" w:rsidRPr="00E1629A" w:rsidRDefault="00FF0885" w:rsidP="00E1629A">
      <w:pPr>
        <w:pStyle w:val="ListParagraph"/>
        <w:numPr>
          <w:ilvl w:val="0"/>
          <w:numId w:val="22"/>
        </w:numPr>
        <w:ind w:left="1134" w:hanging="567"/>
        <w:rPr>
          <w:lang w:val="fr-FR"/>
        </w:rPr>
      </w:pPr>
      <w:r w:rsidRPr="00E1629A">
        <w:rPr>
          <w:lang w:val="fr-FR"/>
        </w:rPr>
        <w:t>promouvoir un message cohérent sur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éthique et les normes de comportement attendues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OMPI;  et</w:t>
      </w:r>
    </w:p>
    <w:p w:rsidR="00D504D2" w:rsidRPr="00E1629A" w:rsidRDefault="00FF0885" w:rsidP="00E1629A">
      <w:pPr>
        <w:pStyle w:val="ListParagraph"/>
        <w:numPr>
          <w:ilvl w:val="0"/>
          <w:numId w:val="22"/>
        </w:numPr>
        <w:ind w:left="1134" w:hanging="567"/>
        <w:rPr>
          <w:lang w:val="fr-FR"/>
        </w:rPr>
      </w:pPr>
      <w:r w:rsidRPr="00E1629A">
        <w:rPr>
          <w:lang w:val="fr-FR"/>
        </w:rPr>
        <w:t>faire mieux comprendre les mécanismes qui sont en place pour appuyer le personnel.</w:t>
      </w:r>
    </w:p>
    <w:p w:rsidR="00D504D2" w:rsidRDefault="00FF0885" w:rsidP="00E1629A">
      <w:pPr>
        <w:pStyle w:val="Heading4"/>
        <w:rPr>
          <w:lang w:val="fr-FR"/>
        </w:rPr>
      </w:pPr>
      <w:r w:rsidRPr="00E1629A">
        <w:rPr>
          <w:lang w:val="fr-FR"/>
        </w:rPr>
        <w:t>Nature des activités de formation et de sensibilisation</w:t>
      </w:r>
    </w:p>
    <w:p w:rsidR="00E1629A" w:rsidRPr="00E1629A" w:rsidRDefault="00E1629A" w:rsidP="00E1629A">
      <w:pPr>
        <w:rPr>
          <w:lang w:val="fr-FR"/>
        </w:rPr>
      </w:pPr>
    </w:p>
    <w:p w:rsidR="00696EE6" w:rsidRPr="00E1629A" w:rsidRDefault="00696EE6" w:rsidP="00E1629A">
      <w:pPr>
        <w:pStyle w:val="ONUMFS"/>
        <w:rPr>
          <w:lang w:val="fr-FR"/>
        </w:rPr>
      </w:pPr>
      <w:r w:rsidRPr="00E1629A">
        <w:rPr>
          <w:lang w:val="fr-FR"/>
        </w:rPr>
        <w:t>En 2016</w:t>
      </w:r>
      <w:r w:rsidR="00FF0885" w:rsidRPr="00E1629A">
        <w:rPr>
          <w:lang w:val="fr-FR"/>
        </w:rPr>
        <w:t>, l</w:t>
      </w:r>
      <w:r w:rsidR="000803A4" w:rsidRPr="00E1629A">
        <w:rPr>
          <w:lang w:val="fr-FR"/>
        </w:rPr>
        <w:t>es activités de</w:t>
      </w:r>
      <w:r w:rsidR="00FF0885" w:rsidRPr="00E1629A">
        <w:rPr>
          <w:lang w:val="fr-FR"/>
        </w:rPr>
        <w:t xml:space="preserve"> formation </w:t>
      </w:r>
      <w:r w:rsidR="000803A4" w:rsidRPr="00E1629A">
        <w:rPr>
          <w:lang w:val="fr-FR"/>
        </w:rPr>
        <w:t xml:space="preserve">et de sensibilisation </w:t>
      </w:r>
      <w:r w:rsidR="00FF0885" w:rsidRPr="00E1629A">
        <w:rPr>
          <w:lang w:val="fr-FR"/>
        </w:rPr>
        <w:t>à l</w:t>
      </w:r>
      <w:r w:rsidRPr="00E1629A">
        <w:rPr>
          <w:lang w:val="fr-FR"/>
        </w:rPr>
        <w:t>’</w:t>
      </w:r>
      <w:r w:rsidR="00FF0885" w:rsidRPr="00E1629A">
        <w:rPr>
          <w:lang w:val="fr-FR"/>
        </w:rPr>
        <w:t>éthique et à l</w:t>
      </w:r>
      <w:r w:rsidRPr="00E1629A">
        <w:rPr>
          <w:lang w:val="fr-FR"/>
        </w:rPr>
        <w:t>’</w:t>
      </w:r>
      <w:r w:rsidR="00FF0885" w:rsidRPr="00E1629A">
        <w:rPr>
          <w:lang w:val="fr-FR"/>
        </w:rPr>
        <w:t xml:space="preserve">intégrité </w:t>
      </w:r>
      <w:r w:rsidR="005C3D96">
        <w:rPr>
          <w:lang w:val="fr-FR"/>
        </w:rPr>
        <w:t xml:space="preserve">ont </w:t>
      </w:r>
      <w:r w:rsidR="00FF0885" w:rsidRPr="00E1629A">
        <w:rPr>
          <w:lang w:val="fr-FR"/>
        </w:rPr>
        <w:t>compr</w:t>
      </w:r>
      <w:r w:rsidR="005C3D96">
        <w:rPr>
          <w:lang w:val="fr-FR"/>
        </w:rPr>
        <w:t>is</w:t>
      </w:r>
      <w:r w:rsidR="00FF0885" w:rsidRPr="00E1629A">
        <w:rPr>
          <w:lang w:val="fr-FR"/>
        </w:rPr>
        <w:t xml:space="preserve"> un examen des principes et valeurs éthiques applicables à l</w:t>
      </w:r>
      <w:r w:rsidRPr="00E1629A">
        <w:rPr>
          <w:lang w:val="fr-FR"/>
        </w:rPr>
        <w:t>’</w:t>
      </w:r>
      <w:r w:rsidR="00FF0885" w:rsidRPr="00E1629A">
        <w:rPr>
          <w:lang w:val="fr-FR"/>
        </w:rPr>
        <w:t xml:space="preserve">OMPI, et </w:t>
      </w:r>
      <w:r w:rsidR="00FB64D2" w:rsidRPr="00E1629A">
        <w:rPr>
          <w:lang w:val="fr-FR"/>
        </w:rPr>
        <w:t>ont mis</w:t>
      </w:r>
      <w:r w:rsidR="00FF0885" w:rsidRPr="00E1629A">
        <w:rPr>
          <w:lang w:val="fr-FR"/>
        </w:rPr>
        <w:t xml:space="preserve"> l</w:t>
      </w:r>
      <w:r w:rsidRPr="00E1629A">
        <w:rPr>
          <w:lang w:val="fr-FR"/>
        </w:rPr>
        <w:t>’</w:t>
      </w:r>
      <w:r w:rsidR="00FF0885" w:rsidRPr="00E1629A">
        <w:rPr>
          <w:lang w:val="fr-FR"/>
        </w:rPr>
        <w:t>accent sur d</w:t>
      </w:r>
      <w:r w:rsidR="00D235DA" w:rsidRPr="00E1629A">
        <w:rPr>
          <w:lang w:val="fr-FR"/>
        </w:rPr>
        <w:t>es domaines, des ex</w:t>
      </w:r>
      <w:r w:rsidR="00FF0885" w:rsidRPr="00E1629A">
        <w:rPr>
          <w:lang w:val="fr-FR"/>
        </w:rPr>
        <w:t>e</w:t>
      </w:r>
      <w:r w:rsidR="00D235DA" w:rsidRPr="00E1629A">
        <w:rPr>
          <w:lang w:val="fr-FR"/>
        </w:rPr>
        <w:t>m</w:t>
      </w:r>
      <w:r w:rsidR="00FF0885" w:rsidRPr="00E1629A">
        <w:rPr>
          <w:lang w:val="fr-FR"/>
        </w:rPr>
        <w:t>ples et des études de cas</w:t>
      </w:r>
      <w:r w:rsidR="000803A4" w:rsidRPr="00E1629A">
        <w:rPr>
          <w:lang w:val="fr-FR"/>
        </w:rPr>
        <w:t xml:space="preserve"> particuliers</w:t>
      </w:r>
      <w:r w:rsidR="00FF0885" w:rsidRPr="00E1629A">
        <w:rPr>
          <w:lang w:val="fr-FR"/>
        </w:rPr>
        <w:t>, ainsi que sur des modèles de prise de décisions en matière d</w:t>
      </w:r>
      <w:r w:rsidRPr="00E1629A">
        <w:rPr>
          <w:lang w:val="fr-FR"/>
        </w:rPr>
        <w:t>’</w:t>
      </w:r>
      <w:r w:rsidR="00FF0885" w:rsidRPr="00E1629A">
        <w:rPr>
          <w:lang w:val="fr-FR"/>
        </w:rPr>
        <w:t>éthiq</w:t>
      </w:r>
      <w:r w:rsidR="00E1629A" w:rsidRPr="00E1629A">
        <w:rPr>
          <w:lang w:val="fr-FR"/>
        </w:rPr>
        <w:t>ue.  Pa</w:t>
      </w:r>
      <w:r w:rsidR="00D235DA" w:rsidRPr="00E1629A">
        <w:rPr>
          <w:lang w:val="fr-FR"/>
        </w:rPr>
        <w:t xml:space="preserve">r ailleurs, les activités </w:t>
      </w:r>
      <w:r w:rsidR="005C3D96">
        <w:rPr>
          <w:lang w:val="fr-FR"/>
        </w:rPr>
        <w:t xml:space="preserve">ont </w:t>
      </w:r>
      <w:r w:rsidR="00D235DA" w:rsidRPr="00E1629A">
        <w:rPr>
          <w:lang w:val="fr-FR"/>
        </w:rPr>
        <w:t>compr</w:t>
      </w:r>
      <w:r w:rsidR="005C3D96">
        <w:rPr>
          <w:lang w:val="fr-FR"/>
        </w:rPr>
        <w:t>is</w:t>
      </w:r>
      <w:r w:rsidR="00D235DA" w:rsidRPr="00E1629A">
        <w:rPr>
          <w:lang w:val="fr-FR"/>
        </w:rPr>
        <w:t xml:space="preserve"> une </w:t>
      </w:r>
      <w:r w:rsidR="000803A4" w:rsidRPr="00E1629A">
        <w:rPr>
          <w:lang w:val="fr-FR"/>
        </w:rPr>
        <w:t>présentation d</w:t>
      </w:r>
      <w:r w:rsidR="00D235DA" w:rsidRPr="00E1629A">
        <w:rPr>
          <w:lang w:val="fr-FR"/>
        </w:rPr>
        <w:t>u Bu</w:t>
      </w:r>
      <w:r w:rsidR="000803A4" w:rsidRPr="00E1629A">
        <w:rPr>
          <w:lang w:val="fr-FR"/>
        </w:rPr>
        <w:t>reau de la déontologie</w:t>
      </w:r>
      <w:r w:rsidR="005C3D96">
        <w:rPr>
          <w:lang w:val="fr-FR"/>
        </w:rPr>
        <w:t>, de</w:t>
      </w:r>
      <w:r w:rsidR="00D235DA" w:rsidRPr="00E1629A">
        <w:rPr>
          <w:lang w:val="fr-FR"/>
        </w:rPr>
        <w:t xml:space="preserve"> ses activités et </w:t>
      </w:r>
      <w:r w:rsidR="005C3D96">
        <w:rPr>
          <w:lang w:val="fr-FR"/>
        </w:rPr>
        <w:t>des</w:t>
      </w:r>
      <w:r w:rsidR="00D235DA" w:rsidRPr="00E1629A">
        <w:rPr>
          <w:lang w:val="fr-FR"/>
        </w:rPr>
        <w:t xml:space="preserve"> services qu</w:t>
      </w:r>
      <w:r w:rsidRPr="00E1629A">
        <w:rPr>
          <w:lang w:val="fr-FR"/>
        </w:rPr>
        <w:t>’</w:t>
      </w:r>
      <w:r w:rsidR="00D235DA" w:rsidRPr="00E1629A">
        <w:rPr>
          <w:lang w:val="fr-FR"/>
        </w:rPr>
        <w:t>il offre aux fonctionnaires, notamment la permanence téléphonique 24</w:t>
      </w:r>
      <w:r w:rsidR="00034AA7">
        <w:rPr>
          <w:lang w:val="fr-FR"/>
        </w:rPr>
        <w:t> </w:t>
      </w:r>
      <w:r w:rsidR="006A420E">
        <w:rPr>
          <w:lang w:val="fr-FR"/>
        </w:rPr>
        <w:t>heures sur </w:t>
      </w:r>
      <w:r w:rsidR="00D235DA" w:rsidRPr="00E1629A">
        <w:rPr>
          <w:lang w:val="fr-FR"/>
        </w:rPr>
        <w:t>24 et sept</w:t>
      </w:r>
      <w:r w:rsidR="00AD2186" w:rsidRPr="00E1629A">
        <w:rPr>
          <w:lang w:val="fr-FR"/>
        </w:rPr>
        <w:t> </w:t>
      </w:r>
      <w:r w:rsidR="00D235DA" w:rsidRPr="00E1629A">
        <w:rPr>
          <w:lang w:val="fr-FR"/>
        </w:rPr>
        <w:t>jours sur se</w:t>
      </w:r>
      <w:r w:rsidR="00E1629A" w:rsidRPr="00E1629A">
        <w:rPr>
          <w:lang w:val="fr-FR"/>
        </w:rPr>
        <w:t>pt.  Da</w:t>
      </w:r>
      <w:r w:rsidR="00D235DA" w:rsidRPr="00E1629A">
        <w:rPr>
          <w:lang w:val="fr-FR"/>
        </w:rPr>
        <w:t xml:space="preserve">ns toutes les activités, des </w:t>
      </w:r>
      <w:r w:rsidR="000803A4" w:rsidRPr="00E1629A">
        <w:rPr>
          <w:lang w:val="fr-FR"/>
        </w:rPr>
        <w:t>discussions interactives ont eu lieu</w:t>
      </w:r>
      <w:r w:rsidR="00D235DA" w:rsidRPr="00E1629A">
        <w:rPr>
          <w:lang w:val="fr-FR"/>
        </w:rPr>
        <w:t xml:space="preserve"> sur les obstacles à une conduite éthique et les moyens d</w:t>
      </w:r>
      <w:r w:rsidRPr="00E1629A">
        <w:rPr>
          <w:lang w:val="fr-FR"/>
        </w:rPr>
        <w:t>’</w:t>
      </w:r>
      <w:r w:rsidR="00D235DA" w:rsidRPr="00E1629A">
        <w:rPr>
          <w:lang w:val="fr-FR"/>
        </w:rPr>
        <w:t>y répondre.</w:t>
      </w:r>
    </w:p>
    <w:p w:rsidR="00696EE6" w:rsidRPr="00E1629A" w:rsidRDefault="00D235DA" w:rsidP="00E1629A">
      <w:pPr>
        <w:pStyle w:val="ONUMFS"/>
        <w:rPr>
          <w:lang w:val="fr-FR"/>
        </w:rPr>
      </w:pPr>
      <w:r w:rsidRPr="00E1629A">
        <w:rPr>
          <w:lang w:val="fr-FR"/>
        </w:rPr>
        <w:t>Des réunions de sensibilisation à la déontologie en général ont été organisées tout au long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année, notamment des activités par secte</w:t>
      </w:r>
      <w:r w:rsidR="00E1629A" w:rsidRPr="00E1629A">
        <w:rPr>
          <w:lang w:val="fr-FR"/>
        </w:rPr>
        <w:t>ur.  De</w:t>
      </w:r>
      <w:r w:rsidRPr="00E1629A">
        <w:rPr>
          <w:lang w:val="fr-FR"/>
        </w:rPr>
        <w:t xml:space="preserve"> nouveaux documents imprimés, contenant des informations sur le Bureau de la déontologie ainsi que ses coordonnées, ont été diffusés lors de toutes les réunio</w:t>
      </w:r>
      <w:r w:rsidR="00E1629A" w:rsidRPr="00E1629A">
        <w:rPr>
          <w:lang w:val="fr-FR"/>
        </w:rPr>
        <w:t>ns.  De</w:t>
      </w:r>
      <w:r w:rsidRPr="00E1629A">
        <w:rPr>
          <w:lang w:val="fr-FR"/>
        </w:rPr>
        <w:t xml:space="preserve">s formations portant sur des sujets particuliers, notamment la </w:t>
      </w:r>
      <w:r w:rsidR="000803A4" w:rsidRPr="00E1629A">
        <w:rPr>
          <w:lang w:val="fr-FR"/>
        </w:rPr>
        <w:t>déclaration de situation</w:t>
      </w:r>
      <w:r w:rsidRPr="00E1629A">
        <w:rPr>
          <w:lang w:val="fr-FR"/>
        </w:rPr>
        <w:t xml:space="preserve"> financière, les conflit</w:t>
      </w:r>
      <w:r w:rsidR="000803A4" w:rsidRPr="00E1629A">
        <w:rPr>
          <w:lang w:val="fr-FR"/>
        </w:rPr>
        <w:t>s</w:t>
      </w:r>
      <w:r w:rsidRPr="00E1629A">
        <w:rPr>
          <w:lang w:val="fr-FR"/>
        </w:rPr>
        <w:t xml:space="preserve">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intérêts et les normes de déontologie applicables aux fonctionnaires internationaux, ont été dispensées en collaboration avec des experts du Bureau de la déontologie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ONU (New</w:t>
      </w:r>
      <w:r w:rsidR="00AD2186" w:rsidRPr="00E1629A">
        <w:rPr>
          <w:lang w:val="fr-FR"/>
        </w:rPr>
        <w:t> </w:t>
      </w:r>
      <w:r w:rsidRPr="00E1629A">
        <w:rPr>
          <w:lang w:val="fr-FR"/>
        </w:rPr>
        <w:t>York).</w:t>
      </w:r>
    </w:p>
    <w:p w:rsidR="00D504D2" w:rsidRDefault="00D235DA" w:rsidP="00E1629A">
      <w:pPr>
        <w:pStyle w:val="Heading4"/>
        <w:rPr>
          <w:lang w:val="fr-FR"/>
        </w:rPr>
      </w:pPr>
      <w:r w:rsidRPr="00E1629A">
        <w:rPr>
          <w:lang w:val="fr-FR"/>
        </w:rPr>
        <w:t>Retombées, mesurées au moyen des enquêtes menées après la formation</w:t>
      </w:r>
    </w:p>
    <w:p w:rsidR="00E1629A" w:rsidRPr="00E1629A" w:rsidRDefault="00E1629A" w:rsidP="00E1629A">
      <w:pPr>
        <w:rPr>
          <w:lang w:val="fr-FR"/>
        </w:rPr>
      </w:pPr>
    </w:p>
    <w:p w:rsidR="00696EE6" w:rsidRPr="00E1629A" w:rsidRDefault="00D235DA" w:rsidP="00E1629A">
      <w:pPr>
        <w:pStyle w:val="ONUMFS"/>
        <w:rPr>
          <w:lang w:val="fr-FR"/>
        </w:rPr>
      </w:pPr>
      <w:r w:rsidRPr="00E1629A">
        <w:rPr>
          <w:lang w:val="fr-FR"/>
        </w:rPr>
        <w:t xml:space="preserve">Des enquêtes en ligne ont été diffusées auprès des participants inscrits aux cours de formation </w:t>
      </w:r>
      <w:r w:rsidR="00696EE6" w:rsidRPr="00E1629A">
        <w:rPr>
          <w:lang w:val="fr-FR"/>
        </w:rPr>
        <w:t>en 2016</w:t>
      </w:r>
      <w:r w:rsidRPr="00E1629A">
        <w:rPr>
          <w:lang w:val="fr-FR"/>
        </w:rPr>
        <w:t>.</w:t>
      </w:r>
    </w:p>
    <w:p w:rsidR="00D504D2" w:rsidRPr="00E1629A" w:rsidRDefault="00D235DA" w:rsidP="00E1629A">
      <w:pPr>
        <w:pStyle w:val="ONUMFS"/>
        <w:rPr>
          <w:lang w:val="fr-FR"/>
        </w:rPr>
      </w:pPr>
      <w:r w:rsidRPr="00E1629A">
        <w:rPr>
          <w:lang w:val="fr-FR"/>
        </w:rPr>
        <w:t>Dans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ensemble, la formation a été bien accueillie, et plus de 80% des personnes ayant répondu ont estimé que le cours </w:t>
      </w:r>
      <w:r w:rsidR="00AD2186" w:rsidRPr="00E1629A">
        <w:rPr>
          <w:lang w:val="fr-FR"/>
        </w:rPr>
        <w:t>“</w:t>
      </w:r>
      <w:r w:rsidRPr="00E1629A">
        <w:rPr>
          <w:lang w:val="fr-FR"/>
        </w:rPr>
        <w:t>renforçait leur compréhension</w:t>
      </w:r>
      <w:r w:rsidR="00AD2186" w:rsidRPr="00E1629A">
        <w:rPr>
          <w:lang w:val="fr-FR"/>
        </w:rPr>
        <w:t>”</w:t>
      </w:r>
      <w:r w:rsidRPr="00E1629A">
        <w:rPr>
          <w:lang w:val="fr-FR"/>
        </w:rPr>
        <w:t>.</w:t>
      </w:r>
    </w:p>
    <w:p w:rsidR="00696EE6" w:rsidRPr="00E1629A" w:rsidRDefault="00D235DA" w:rsidP="00E1629A">
      <w:pPr>
        <w:pStyle w:val="ONUMFS"/>
        <w:rPr>
          <w:lang w:val="fr-FR"/>
        </w:rPr>
      </w:pPr>
      <w:r w:rsidRPr="00E1629A">
        <w:rPr>
          <w:lang w:val="fr-FR"/>
        </w:rPr>
        <w:t>Le Bureau de la déontologie a tenu compte des observations et des informations reçues pour mettre sur pied de nouvelles activités de sensibilisation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éthique.</w:t>
      </w:r>
    </w:p>
    <w:p w:rsidR="00D504D2" w:rsidRDefault="00D235DA" w:rsidP="00E1629A">
      <w:pPr>
        <w:pStyle w:val="Heading1"/>
      </w:pPr>
      <w:r w:rsidRPr="00E1629A">
        <w:t>Avis confidentiels à la Haute direction, à la direction et à l</w:t>
      </w:r>
      <w:r w:rsidR="00696EE6" w:rsidRPr="00E1629A">
        <w:t>’</w:t>
      </w:r>
      <w:r w:rsidRPr="00E1629A">
        <w:t>ensemble du personnel</w:t>
      </w:r>
    </w:p>
    <w:p w:rsidR="00E1629A" w:rsidRPr="00E1629A" w:rsidRDefault="00E1629A" w:rsidP="00E1629A">
      <w:pPr>
        <w:rPr>
          <w:lang w:val="fr-FR"/>
        </w:rPr>
      </w:pPr>
    </w:p>
    <w:p w:rsidR="00696EE6" w:rsidRPr="00E1629A" w:rsidRDefault="00696EE6" w:rsidP="00E1629A">
      <w:pPr>
        <w:pStyle w:val="ONUMFS"/>
        <w:rPr>
          <w:lang w:val="fr-FR"/>
        </w:rPr>
      </w:pPr>
      <w:r w:rsidRPr="00E1629A">
        <w:rPr>
          <w:lang w:val="fr-FR"/>
        </w:rPr>
        <w:t>En 2016</w:t>
      </w:r>
      <w:r w:rsidR="00D235DA" w:rsidRPr="00E1629A">
        <w:rPr>
          <w:lang w:val="fr-FR"/>
        </w:rPr>
        <w:t>, des avis ont été demandés au Bureau de la déontologie</w:t>
      </w:r>
      <w:r w:rsidRPr="00E1629A">
        <w:rPr>
          <w:lang w:val="fr-FR"/>
        </w:rPr>
        <w:t> :</w:t>
      </w:r>
    </w:p>
    <w:p w:rsidR="00D504D2" w:rsidRPr="00E1629A" w:rsidRDefault="00D235DA" w:rsidP="00E1629A">
      <w:pPr>
        <w:pStyle w:val="ListParagraph"/>
        <w:numPr>
          <w:ilvl w:val="0"/>
          <w:numId w:val="23"/>
        </w:numPr>
        <w:ind w:left="1134" w:hanging="567"/>
        <w:rPr>
          <w:lang w:val="fr-FR"/>
        </w:rPr>
      </w:pPr>
      <w:r w:rsidRPr="00E1629A">
        <w:rPr>
          <w:lang w:val="fr-FR"/>
        </w:rPr>
        <w:t>neuf concernaient des activités extérieures;</w:t>
      </w:r>
    </w:p>
    <w:p w:rsidR="00D504D2" w:rsidRPr="00E1629A" w:rsidRDefault="00D235DA" w:rsidP="00E1629A">
      <w:pPr>
        <w:pStyle w:val="ListParagraph"/>
        <w:numPr>
          <w:ilvl w:val="0"/>
          <w:numId w:val="23"/>
        </w:numPr>
        <w:ind w:left="1134" w:hanging="567"/>
        <w:rPr>
          <w:lang w:val="fr-FR"/>
        </w:rPr>
      </w:pPr>
      <w:r w:rsidRPr="00E1629A">
        <w:rPr>
          <w:lang w:val="fr-FR"/>
        </w:rPr>
        <w:t>cinq concernaient des déclarations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intérêt ou des investissements;</w:t>
      </w:r>
    </w:p>
    <w:p w:rsidR="00D504D2" w:rsidRPr="00E1629A" w:rsidRDefault="00D235DA" w:rsidP="00E1629A">
      <w:pPr>
        <w:pStyle w:val="ListParagraph"/>
        <w:numPr>
          <w:ilvl w:val="0"/>
          <w:numId w:val="23"/>
        </w:numPr>
        <w:ind w:left="1134" w:hanging="567"/>
        <w:rPr>
          <w:lang w:val="fr-FR"/>
        </w:rPr>
      </w:pPr>
      <w:r w:rsidRPr="00E1629A">
        <w:rPr>
          <w:lang w:val="fr-FR"/>
        </w:rPr>
        <w:t xml:space="preserve">cinq portaient sur la communication et les </w:t>
      </w:r>
      <w:proofErr w:type="spellStart"/>
      <w:r w:rsidRPr="00E1629A">
        <w:rPr>
          <w:lang w:val="fr-FR"/>
        </w:rPr>
        <w:t>médias</w:t>
      </w:r>
      <w:proofErr w:type="spellEnd"/>
      <w:r w:rsidRPr="00E1629A">
        <w:rPr>
          <w:lang w:val="fr-FR"/>
        </w:rPr>
        <w:t>;</w:t>
      </w:r>
    </w:p>
    <w:p w:rsidR="00D504D2" w:rsidRPr="00E1629A" w:rsidRDefault="00D235DA" w:rsidP="00E1629A">
      <w:pPr>
        <w:pStyle w:val="ListParagraph"/>
        <w:numPr>
          <w:ilvl w:val="0"/>
          <w:numId w:val="23"/>
        </w:numPr>
        <w:ind w:left="1134" w:hanging="567"/>
        <w:rPr>
          <w:lang w:val="fr-FR"/>
        </w:rPr>
      </w:pPr>
      <w:r w:rsidRPr="00E1629A">
        <w:rPr>
          <w:lang w:val="fr-FR"/>
        </w:rPr>
        <w:t>quatre avaient trait aux dons ou frais de représentation;</w:t>
      </w:r>
    </w:p>
    <w:p w:rsidR="00696EE6" w:rsidRPr="00E1629A" w:rsidRDefault="00D235DA" w:rsidP="00E1629A">
      <w:pPr>
        <w:pStyle w:val="ListParagraph"/>
        <w:numPr>
          <w:ilvl w:val="0"/>
          <w:numId w:val="23"/>
        </w:numPr>
        <w:ind w:left="1134" w:hanging="567"/>
        <w:rPr>
          <w:lang w:val="fr-FR"/>
        </w:rPr>
      </w:pPr>
      <w:r w:rsidRPr="00E1629A">
        <w:rPr>
          <w:lang w:val="fr-FR"/>
        </w:rPr>
        <w:t xml:space="preserve">trois portaient sur la protection </w:t>
      </w:r>
      <w:r w:rsidR="00EF0C96" w:rsidRPr="00E1629A">
        <w:rPr>
          <w:bCs/>
          <w:lang w:val="fr-FR" w:eastAsia="en-GB"/>
        </w:rPr>
        <w:t>des lanceurs d</w:t>
      </w:r>
      <w:r w:rsidR="00696EE6" w:rsidRPr="00E1629A">
        <w:rPr>
          <w:bCs/>
          <w:lang w:val="fr-FR" w:eastAsia="en-GB"/>
        </w:rPr>
        <w:t>’</w:t>
      </w:r>
      <w:r w:rsidR="00EF0C96" w:rsidRPr="00E1629A">
        <w:rPr>
          <w:bCs/>
          <w:lang w:val="fr-FR" w:eastAsia="en-GB"/>
        </w:rPr>
        <w:t>alerte</w:t>
      </w:r>
      <w:r w:rsidRPr="00E1629A">
        <w:rPr>
          <w:lang w:val="fr-FR"/>
        </w:rPr>
        <w:t>;</w:t>
      </w:r>
    </w:p>
    <w:p w:rsidR="00696EE6" w:rsidRPr="00E1629A" w:rsidRDefault="00D235DA" w:rsidP="00E1629A">
      <w:pPr>
        <w:pStyle w:val="ListParagraph"/>
        <w:numPr>
          <w:ilvl w:val="0"/>
          <w:numId w:val="23"/>
        </w:numPr>
        <w:ind w:left="1134" w:hanging="567"/>
        <w:rPr>
          <w:lang w:val="fr-FR"/>
        </w:rPr>
      </w:pPr>
      <w:r w:rsidRPr="00E1629A">
        <w:rPr>
          <w:lang w:val="fr-FR"/>
        </w:rPr>
        <w:t>deux portaient sur des questions relatives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emploi;</w:t>
      </w:r>
    </w:p>
    <w:p w:rsidR="00696EE6" w:rsidRPr="00E1629A" w:rsidRDefault="00D235DA" w:rsidP="00E1629A">
      <w:pPr>
        <w:pStyle w:val="ListParagraph"/>
        <w:numPr>
          <w:ilvl w:val="0"/>
          <w:numId w:val="23"/>
        </w:numPr>
        <w:ind w:left="1134" w:hanging="567"/>
        <w:rPr>
          <w:lang w:val="fr-FR"/>
        </w:rPr>
      </w:pPr>
      <w:r w:rsidRPr="00E1629A">
        <w:rPr>
          <w:lang w:val="fr-FR"/>
        </w:rPr>
        <w:t>un avait trait à des conflits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intérêts;</w:t>
      </w:r>
    </w:p>
    <w:p w:rsidR="00D504D2" w:rsidRPr="00E1629A" w:rsidRDefault="00D235DA" w:rsidP="00E1629A">
      <w:pPr>
        <w:pStyle w:val="ListParagraph"/>
        <w:numPr>
          <w:ilvl w:val="0"/>
          <w:numId w:val="23"/>
        </w:numPr>
        <w:ind w:left="1134" w:hanging="567"/>
        <w:rPr>
          <w:lang w:val="fr-FR"/>
        </w:rPr>
      </w:pPr>
      <w:r w:rsidRPr="00E1629A">
        <w:rPr>
          <w:lang w:val="fr-FR"/>
        </w:rPr>
        <w:t>sept portaient sur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autres </w:t>
      </w:r>
      <w:r w:rsidR="000474A5" w:rsidRPr="00E1629A">
        <w:rPr>
          <w:lang w:val="fr-FR"/>
        </w:rPr>
        <w:t>questions</w:t>
      </w:r>
      <w:r w:rsidRPr="00E1629A">
        <w:rPr>
          <w:lang w:val="fr-FR"/>
        </w:rPr>
        <w:t>.</w:t>
      </w:r>
    </w:p>
    <w:p w:rsidR="00D504D2" w:rsidRPr="00E1629A" w:rsidRDefault="00D504D2" w:rsidP="00D3284F">
      <w:pPr>
        <w:pStyle w:val="NoSpacing"/>
        <w:rPr>
          <w:szCs w:val="22"/>
          <w:lang w:val="fr-FR"/>
        </w:rPr>
      </w:pPr>
    </w:p>
    <w:p w:rsidR="00D3284F" w:rsidRPr="00E1629A" w:rsidRDefault="00D3284F" w:rsidP="00D3284F">
      <w:pPr>
        <w:pStyle w:val="NoSpacing"/>
        <w:rPr>
          <w:szCs w:val="22"/>
          <w:lang w:val="fr-FR"/>
        </w:rPr>
      </w:pPr>
    </w:p>
    <w:p w:rsidR="00C34059" w:rsidRDefault="00C34059" w:rsidP="006E7C83">
      <w:pPr>
        <w:rPr>
          <w:color w:val="000000"/>
          <w:sz w:val="20"/>
          <w:lang w:val="fr-FR"/>
        </w:rPr>
      </w:pPr>
      <w:r w:rsidRPr="00C34059">
        <w:rPr>
          <w:noProof/>
          <w:lang w:val="fr-FR" w:eastAsia="fr-FR"/>
        </w:rPr>
        <w:drawing>
          <wp:inline distT="0" distB="0" distL="0" distR="0" wp14:anchorId="0892DD17" wp14:editId="05386C4A">
            <wp:extent cx="4578440" cy="2556456"/>
            <wp:effectExtent l="19050" t="19050" r="12700" b="158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" t="14474" r="660" b="12663"/>
                    <a:stretch/>
                  </pic:blipFill>
                  <pic:spPr bwMode="auto">
                    <a:xfrm>
                      <a:off x="0" y="0"/>
                      <a:ext cx="4586266" cy="25608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431D" w:rsidRPr="0063431D" w:rsidRDefault="0063431D" w:rsidP="006E7C83">
      <w:pPr>
        <w:rPr>
          <w:color w:val="000000"/>
          <w:lang w:val="fr-FR"/>
        </w:rPr>
      </w:pPr>
    </w:p>
    <w:p w:rsidR="0063431D" w:rsidRPr="0063431D" w:rsidRDefault="0063431D" w:rsidP="006E7C83">
      <w:pPr>
        <w:rPr>
          <w:color w:val="000000"/>
          <w:lang w:val="fr-FR"/>
        </w:rPr>
      </w:pPr>
    </w:p>
    <w:p w:rsidR="00D504D2" w:rsidRPr="00E1629A" w:rsidRDefault="000474A5" w:rsidP="00E1629A">
      <w:pPr>
        <w:pStyle w:val="Heading1"/>
      </w:pPr>
      <w:r w:rsidRPr="00E1629A">
        <w:t>Établissement de normes et élaboration de politiques</w:t>
      </w:r>
    </w:p>
    <w:p w:rsidR="00D504D2" w:rsidRDefault="000474A5" w:rsidP="00E1629A">
      <w:pPr>
        <w:pStyle w:val="Heading3"/>
        <w:ind w:firstLine="567"/>
        <w:rPr>
          <w:lang w:val="fr-FR"/>
        </w:rPr>
      </w:pPr>
      <w:r w:rsidRPr="00E1629A">
        <w:rPr>
          <w:lang w:val="fr-FR"/>
        </w:rPr>
        <w:t>Politique en matière de déclaration de situation financière</w:t>
      </w:r>
    </w:p>
    <w:p w:rsidR="00E1629A" w:rsidRPr="00E1629A" w:rsidRDefault="00E1629A" w:rsidP="00E1629A">
      <w:pPr>
        <w:rPr>
          <w:lang w:val="fr-FR"/>
        </w:rPr>
      </w:pPr>
    </w:p>
    <w:p w:rsidR="00696EE6" w:rsidRPr="00E1629A" w:rsidRDefault="000474A5" w:rsidP="00E1629A">
      <w:pPr>
        <w:pStyle w:val="ONUMFS"/>
        <w:rPr>
          <w:lang w:val="fr-FR"/>
        </w:rPr>
      </w:pPr>
      <w:r w:rsidRPr="00E1629A">
        <w:rPr>
          <w:lang w:val="fr-FR"/>
        </w:rPr>
        <w:t xml:space="preserve">La politique </w:t>
      </w:r>
      <w:r w:rsidR="00696EE6" w:rsidRPr="00E1629A">
        <w:rPr>
          <w:lang w:val="fr-FR"/>
        </w:rPr>
        <w:t>de 2013</w:t>
      </w:r>
      <w:r w:rsidRPr="00E1629A">
        <w:rPr>
          <w:lang w:val="fr-FR"/>
        </w:rPr>
        <w:t xml:space="preserve">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 en matière de déclaration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intérêts s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applique à la divulgation des intérêts financiers </w:t>
      </w:r>
      <w:r w:rsidR="00EF0C96" w:rsidRPr="00E1629A">
        <w:rPr>
          <w:lang w:val="fr-FR"/>
        </w:rPr>
        <w:t>et au respect des</w:t>
      </w:r>
      <w:r w:rsidRPr="00E1629A">
        <w:rPr>
          <w:lang w:val="fr-FR"/>
        </w:rPr>
        <w:t xml:space="preserve"> normes comptables du secteur public international (normes</w:t>
      </w:r>
      <w:r w:rsidR="00AD2186" w:rsidRPr="00E1629A">
        <w:rPr>
          <w:lang w:val="fr-FR"/>
        </w:rPr>
        <w:t> </w:t>
      </w:r>
      <w:proofErr w:type="spellStart"/>
      <w:r w:rsidRPr="00E1629A">
        <w:rPr>
          <w:lang w:val="fr-FR"/>
        </w:rPr>
        <w:t>IPSAS</w:t>
      </w:r>
      <w:proofErr w:type="spellEnd"/>
      <w:r w:rsidRPr="00E1629A">
        <w:rPr>
          <w:lang w:val="fr-FR"/>
        </w:rPr>
        <w:t>),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intention des cadres supérieurs et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autres membres désignés du personnel.</w:t>
      </w:r>
    </w:p>
    <w:p w:rsidR="00D504D2" w:rsidRPr="00E1629A" w:rsidRDefault="00696EE6" w:rsidP="00E1629A">
      <w:pPr>
        <w:pStyle w:val="ONUMFS"/>
        <w:rPr>
          <w:lang w:val="fr-FR"/>
        </w:rPr>
      </w:pPr>
      <w:r w:rsidRPr="00E1629A">
        <w:rPr>
          <w:lang w:val="fr-FR"/>
        </w:rPr>
        <w:t>En 2016</w:t>
      </w:r>
      <w:r w:rsidR="000474A5" w:rsidRPr="00E1629A">
        <w:rPr>
          <w:lang w:val="fr-FR"/>
        </w:rPr>
        <w:t>, la révision de la politique a été relanc</w:t>
      </w:r>
      <w:r w:rsidR="00E1629A" w:rsidRPr="00E1629A">
        <w:rPr>
          <w:lang w:val="fr-FR"/>
        </w:rPr>
        <w:t>ée.  Un</w:t>
      </w:r>
      <w:r w:rsidR="000474A5" w:rsidRPr="00E1629A">
        <w:rPr>
          <w:lang w:val="fr-FR"/>
        </w:rPr>
        <w:t xml:space="preserve">e composante centrale de </w:t>
      </w:r>
      <w:r w:rsidR="00EF0C96" w:rsidRPr="00E1629A">
        <w:rPr>
          <w:lang w:val="fr-FR"/>
        </w:rPr>
        <w:t>ce travail de</w:t>
      </w:r>
      <w:r w:rsidR="000474A5" w:rsidRPr="00E1629A">
        <w:rPr>
          <w:lang w:val="fr-FR"/>
        </w:rPr>
        <w:t xml:space="preserve"> révision consiste à parvenir à un équilibre approprié entre la nécessité d</w:t>
      </w:r>
      <w:r w:rsidRPr="00E1629A">
        <w:rPr>
          <w:lang w:val="fr-FR"/>
        </w:rPr>
        <w:t>’</w:t>
      </w:r>
      <w:r w:rsidR="000474A5" w:rsidRPr="00E1629A">
        <w:rPr>
          <w:lang w:val="fr-FR"/>
        </w:rPr>
        <w:t>obtenir des informations et le droit des fonctionnaires au respect de la vie privée, le dispositif de gestion des risques et le système de contrôle interne que le Secrétariat a mis en œuvre, tout en tenant compte des pratiques recommandé</w:t>
      </w:r>
      <w:r w:rsidR="00E1629A" w:rsidRPr="00E1629A">
        <w:rPr>
          <w:lang w:val="fr-FR"/>
        </w:rPr>
        <w:t>es.  La</w:t>
      </w:r>
      <w:r w:rsidR="000474A5" w:rsidRPr="00E1629A">
        <w:rPr>
          <w:lang w:val="fr-FR"/>
        </w:rPr>
        <w:t xml:space="preserve"> révision touche à sa fin.</w:t>
      </w:r>
    </w:p>
    <w:p w:rsidR="00696EE6" w:rsidRDefault="000474A5" w:rsidP="00E1629A">
      <w:pPr>
        <w:pStyle w:val="Heading3"/>
        <w:ind w:firstLine="567"/>
        <w:rPr>
          <w:lang w:val="fr-FR"/>
        </w:rPr>
      </w:pPr>
      <w:r w:rsidRPr="00E1629A">
        <w:rPr>
          <w:lang w:val="fr-FR"/>
        </w:rPr>
        <w:t>Politique de protection des lanceurs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alerte</w:t>
      </w:r>
    </w:p>
    <w:p w:rsidR="00E1629A" w:rsidRPr="00E1629A" w:rsidRDefault="00E1629A" w:rsidP="00E1629A">
      <w:pPr>
        <w:rPr>
          <w:lang w:val="fr-FR"/>
        </w:rPr>
      </w:pPr>
    </w:p>
    <w:p w:rsidR="00D504D2" w:rsidRPr="00E1629A" w:rsidRDefault="000474A5" w:rsidP="00E1629A">
      <w:pPr>
        <w:pStyle w:val="ONUMFS"/>
        <w:rPr>
          <w:lang w:val="fr-FR"/>
        </w:rPr>
      </w:pPr>
      <w:r w:rsidRPr="00E1629A">
        <w:rPr>
          <w:lang w:val="fr-FR"/>
        </w:rPr>
        <w:t xml:space="preserve">Des travaux ont été </w:t>
      </w:r>
      <w:r w:rsidR="00FB64D2" w:rsidRPr="00E1629A">
        <w:rPr>
          <w:lang w:val="fr-FR"/>
        </w:rPr>
        <w:t>engagés</w:t>
      </w:r>
      <w:r w:rsidRPr="00E1629A">
        <w:rPr>
          <w:lang w:val="fr-FR"/>
        </w:rPr>
        <w:t xml:space="preserve"> suite </w:t>
      </w:r>
      <w:r w:rsidR="00EF0C96" w:rsidRPr="00E1629A">
        <w:rPr>
          <w:lang w:val="fr-FR"/>
        </w:rPr>
        <w:t>à</w:t>
      </w:r>
      <w:r w:rsidRPr="00E1629A">
        <w:rPr>
          <w:lang w:val="fr-FR"/>
        </w:rPr>
        <w:t xml:space="preserve"> la demande faite par le Comité de coordination au Secrétariat à </w:t>
      </w:r>
      <w:r w:rsidR="00EF0C96" w:rsidRPr="00E1629A">
        <w:rPr>
          <w:lang w:val="fr-FR"/>
        </w:rPr>
        <w:t>s</w:t>
      </w:r>
      <w:r w:rsidRPr="00E1629A">
        <w:rPr>
          <w:lang w:val="fr-FR"/>
        </w:rPr>
        <w:t>a soixante</w:t>
      </w:r>
      <w:r w:rsidR="006A420E">
        <w:rPr>
          <w:lang w:val="fr-FR"/>
        </w:rPr>
        <w:noBreakHyphen/>
      </w:r>
      <w:r w:rsidRPr="00E1629A">
        <w:rPr>
          <w:lang w:val="fr-FR"/>
        </w:rPr>
        <w:t>treiz</w:t>
      </w:r>
      <w:r w:rsidR="00696EE6" w:rsidRPr="00E1629A">
        <w:rPr>
          <w:lang w:val="fr-FR"/>
        </w:rPr>
        <w:t>ième session</w:t>
      </w:r>
      <w:r w:rsidRPr="00E1629A">
        <w:rPr>
          <w:lang w:val="fr-FR"/>
        </w:rPr>
        <w:t xml:space="preserve"> (</w:t>
      </w:r>
      <w:proofErr w:type="spellStart"/>
      <w:r w:rsidRPr="00E1629A">
        <w:rPr>
          <w:lang w:val="fr-FR"/>
        </w:rPr>
        <w:t>47</w:t>
      </w:r>
      <w:r w:rsidRPr="00E1629A">
        <w:rPr>
          <w:vertAlign w:val="superscript"/>
          <w:lang w:val="fr-FR"/>
        </w:rPr>
        <w:t>e</w:t>
      </w:r>
      <w:proofErr w:type="spellEnd"/>
      <w:r w:rsidR="00034AA7">
        <w:rPr>
          <w:lang w:val="fr-FR"/>
        </w:rPr>
        <w:t> </w:t>
      </w:r>
      <w:r w:rsidRPr="00E1629A">
        <w:rPr>
          <w:lang w:val="fr-FR"/>
        </w:rPr>
        <w:t>session ordinaire)</w:t>
      </w:r>
      <w:r w:rsidRPr="00E1629A">
        <w:rPr>
          <w:rStyle w:val="FootnoteReference"/>
          <w:lang w:val="fr-FR"/>
        </w:rPr>
        <w:footnoteReference w:id="7"/>
      </w:r>
      <w:r w:rsidR="00EF0C96" w:rsidRPr="00E1629A">
        <w:rPr>
          <w:lang w:val="fr-FR"/>
        </w:rPr>
        <w:t>.</w:t>
      </w:r>
    </w:p>
    <w:p w:rsidR="00D504D2" w:rsidRPr="00E1629A" w:rsidRDefault="00EF0C96" w:rsidP="00E1629A">
      <w:pPr>
        <w:pStyle w:val="ONUMFS"/>
        <w:numPr>
          <w:ilvl w:val="0"/>
          <w:numId w:val="0"/>
        </w:numPr>
        <w:rPr>
          <w:i/>
          <w:lang w:val="fr-FR"/>
        </w:rPr>
      </w:pPr>
      <w:r w:rsidRPr="00E1629A">
        <w:rPr>
          <w:lang w:val="fr-FR"/>
        </w:rPr>
        <w:t>Le Comité de coordination a recommandé</w:t>
      </w:r>
      <w:r w:rsidR="00E1629A">
        <w:rPr>
          <w:lang w:val="fr-FR"/>
        </w:rPr>
        <w:t xml:space="preserve"> </w:t>
      </w:r>
      <w:r w:rsidR="00AD2186" w:rsidRPr="00E1629A">
        <w:rPr>
          <w:lang w:val="fr-FR"/>
        </w:rPr>
        <w:t>“</w:t>
      </w:r>
      <w:r w:rsidRPr="00E1629A">
        <w:rPr>
          <w:i/>
          <w:lang w:val="fr-FR"/>
        </w:rPr>
        <w:t xml:space="preserve">de </w:t>
      </w:r>
      <w:r w:rsidR="000474A5" w:rsidRPr="00E1629A">
        <w:rPr>
          <w:i/>
          <w:lang w:val="fr-FR"/>
        </w:rPr>
        <w:t>prier le Secrétariat de réexaminer la Politique de protection des lanceurs d</w:t>
      </w:r>
      <w:r w:rsidR="00696EE6" w:rsidRPr="00E1629A">
        <w:rPr>
          <w:i/>
          <w:lang w:val="fr-FR"/>
        </w:rPr>
        <w:t>’</w:t>
      </w:r>
      <w:r w:rsidR="000474A5" w:rsidRPr="00E1629A">
        <w:rPr>
          <w:i/>
          <w:lang w:val="fr-FR"/>
        </w:rPr>
        <w:t>alerte compte tenu des enseignements tirés, des dernières tendances dans ce domaine et des pratiques recommandées d</w:t>
      </w:r>
      <w:r w:rsidR="00696EE6" w:rsidRPr="00E1629A">
        <w:rPr>
          <w:i/>
          <w:lang w:val="fr-FR"/>
        </w:rPr>
        <w:t>’</w:t>
      </w:r>
      <w:r w:rsidR="000474A5" w:rsidRPr="00E1629A">
        <w:rPr>
          <w:i/>
          <w:lang w:val="fr-FR"/>
        </w:rPr>
        <w:t>autres organisations et d</w:t>
      </w:r>
      <w:r w:rsidR="00696EE6" w:rsidRPr="00E1629A">
        <w:rPr>
          <w:i/>
          <w:lang w:val="fr-FR"/>
        </w:rPr>
        <w:t>’</w:t>
      </w:r>
      <w:r w:rsidR="000474A5" w:rsidRPr="00E1629A">
        <w:rPr>
          <w:i/>
          <w:lang w:val="fr-FR"/>
        </w:rPr>
        <w:t>inviter l</w:t>
      </w:r>
      <w:r w:rsidR="00696EE6" w:rsidRPr="00E1629A">
        <w:rPr>
          <w:i/>
          <w:lang w:val="fr-FR"/>
        </w:rPr>
        <w:t>’</w:t>
      </w:r>
      <w:r w:rsidR="000474A5" w:rsidRPr="00E1629A">
        <w:rPr>
          <w:i/>
          <w:lang w:val="fr-FR"/>
        </w:rPr>
        <w:t>Organe consultatif indépendant de surveillance (</w:t>
      </w:r>
      <w:proofErr w:type="spellStart"/>
      <w:r w:rsidR="000474A5" w:rsidRPr="00E1629A">
        <w:rPr>
          <w:i/>
          <w:lang w:val="fr-FR"/>
        </w:rPr>
        <w:t>OCIS</w:t>
      </w:r>
      <w:proofErr w:type="spellEnd"/>
      <w:r w:rsidR="000474A5" w:rsidRPr="00E1629A">
        <w:rPr>
          <w:i/>
          <w:lang w:val="fr-FR"/>
        </w:rPr>
        <w:t>) à passer en revue la révision proposée et à faire part de ses observations à cet égard</w:t>
      </w:r>
      <w:r w:rsidR="00AD2186" w:rsidRPr="00E1629A">
        <w:rPr>
          <w:lang w:val="fr-FR"/>
        </w:rPr>
        <w:t>”</w:t>
      </w:r>
      <w:r w:rsidR="00E1629A" w:rsidRPr="00E1629A">
        <w:rPr>
          <w:lang w:val="fr-FR"/>
        </w:rPr>
        <w:t>.</w:t>
      </w:r>
    </w:p>
    <w:p w:rsidR="00D504D2" w:rsidRPr="00E1629A" w:rsidRDefault="000474A5" w:rsidP="00E1629A">
      <w:pPr>
        <w:pStyle w:val="ONUMFS"/>
        <w:rPr>
          <w:lang w:val="fr-FR" w:eastAsia="ja-JP"/>
        </w:rPr>
      </w:pPr>
      <w:r w:rsidRPr="00E1629A">
        <w:rPr>
          <w:lang w:val="fr-FR"/>
        </w:rPr>
        <w:t>En réponse à cette demande, le Bureau de la déontologie a examiné la politique avec attention, en collaboration avec le Bureau du conseiller juridiq</w:t>
      </w:r>
      <w:r w:rsidR="00E1629A" w:rsidRPr="00E1629A">
        <w:rPr>
          <w:lang w:val="fr-FR"/>
        </w:rPr>
        <w:t>ue.  Da</w:t>
      </w:r>
      <w:r w:rsidRPr="00E1629A">
        <w:rPr>
          <w:lang w:val="fr-FR"/>
        </w:rPr>
        <w:t xml:space="preserve">ns le cadre de cet examen, il a été pris note des observations et recommandations </w:t>
      </w:r>
      <w:r w:rsidR="00EF0C96" w:rsidRPr="00E1629A">
        <w:rPr>
          <w:lang w:val="fr-FR"/>
        </w:rPr>
        <w:t>issues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audit du cadre éthique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</w:t>
      </w:r>
      <w:r w:rsidRPr="00E1629A">
        <w:rPr>
          <w:rStyle w:val="FootnoteReference"/>
          <w:lang w:val="fr-FR" w:eastAsia="ja-JP"/>
        </w:rPr>
        <w:footnoteReference w:id="8"/>
      </w:r>
      <w:r w:rsidR="00AD2186" w:rsidRPr="00E1629A">
        <w:rPr>
          <w:lang w:val="fr-FR"/>
        </w:rPr>
        <w:t>.</w:t>
      </w:r>
      <w:r w:rsidR="00EC138A" w:rsidRPr="00E1629A">
        <w:rPr>
          <w:lang w:val="fr-FR" w:eastAsia="ja-JP"/>
        </w:rPr>
        <w:t xml:space="preserve"> </w:t>
      </w:r>
      <w:r w:rsidR="004044A9" w:rsidRPr="00E1629A">
        <w:rPr>
          <w:lang w:val="fr-FR" w:eastAsia="ja-JP"/>
        </w:rPr>
        <w:t xml:space="preserve"> </w:t>
      </w:r>
      <w:r w:rsidR="00D504D2" w:rsidRPr="00E1629A">
        <w:rPr>
          <w:lang w:val="fr-FR" w:eastAsia="ja-JP"/>
        </w:rPr>
        <w:t>Le résultat de l</w:t>
      </w:r>
      <w:r w:rsidR="00696EE6" w:rsidRPr="00E1629A">
        <w:rPr>
          <w:lang w:val="fr-FR" w:eastAsia="ja-JP"/>
        </w:rPr>
        <w:t>’</w:t>
      </w:r>
      <w:r w:rsidR="00D504D2" w:rsidRPr="00E1629A">
        <w:rPr>
          <w:lang w:val="fr-FR" w:eastAsia="ja-JP"/>
        </w:rPr>
        <w:t>examen a été présenté à l</w:t>
      </w:r>
      <w:r w:rsidR="00696EE6" w:rsidRPr="00E1629A">
        <w:rPr>
          <w:lang w:val="fr-FR" w:eastAsia="ja-JP"/>
        </w:rPr>
        <w:t>’</w:t>
      </w:r>
      <w:r w:rsidR="00D504D2" w:rsidRPr="00E1629A">
        <w:rPr>
          <w:lang w:val="fr-FR" w:eastAsia="ja-JP"/>
        </w:rPr>
        <w:t>Organe consultatif indépendant de surveillance (</w:t>
      </w:r>
      <w:proofErr w:type="spellStart"/>
      <w:r w:rsidR="00D504D2" w:rsidRPr="00E1629A">
        <w:rPr>
          <w:lang w:val="fr-FR" w:eastAsia="ja-JP"/>
        </w:rPr>
        <w:t>OCIS</w:t>
      </w:r>
      <w:proofErr w:type="spellEnd"/>
      <w:r w:rsidR="00D504D2" w:rsidRPr="00E1629A">
        <w:rPr>
          <w:lang w:val="fr-FR" w:eastAsia="ja-JP"/>
        </w:rPr>
        <w:t>)</w:t>
      </w:r>
      <w:r w:rsidR="00EF0C96" w:rsidRPr="00E1629A">
        <w:rPr>
          <w:lang w:val="fr-FR" w:eastAsia="ja-JP"/>
        </w:rPr>
        <w:t xml:space="preserve"> </w:t>
      </w:r>
      <w:r w:rsidR="00696EE6" w:rsidRPr="00E1629A">
        <w:rPr>
          <w:lang w:val="fr-FR" w:eastAsia="ja-JP"/>
        </w:rPr>
        <w:t>en 2017</w:t>
      </w:r>
      <w:r w:rsidR="00D504D2" w:rsidRPr="00E1629A">
        <w:rPr>
          <w:lang w:val="fr-FR" w:eastAsia="ja-JP"/>
        </w:rPr>
        <w:t>, pour examen et observations.</w:t>
      </w:r>
    </w:p>
    <w:p w:rsidR="00D504D2" w:rsidRDefault="00D504D2" w:rsidP="00E1629A">
      <w:pPr>
        <w:pStyle w:val="Heading1"/>
      </w:pPr>
      <w:r w:rsidRPr="00E1629A">
        <w:t>Mise en œuvre des politiques assignées au Bureau de la déontologie</w:t>
      </w:r>
    </w:p>
    <w:p w:rsidR="00E1629A" w:rsidRPr="00E1629A" w:rsidRDefault="00E1629A" w:rsidP="00E1629A">
      <w:pPr>
        <w:rPr>
          <w:lang w:val="fr-FR"/>
        </w:rPr>
      </w:pPr>
    </w:p>
    <w:p w:rsidR="00D504D2" w:rsidRPr="00E1629A" w:rsidRDefault="00D504D2" w:rsidP="00E1629A">
      <w:pPr>
        <w:pStyle w:val="ONUMFS"/>
        <w:numPr>
          <w:ilvl w:val="0"/>
          <w:numId w:val="0"/>
        </w:numPr>
        <w:ind w:left="567"/>
        <w:rPr>
          <w:u w:val="single"/>
          <w:lang w:val="fr-FR"/>
        </w:rPr>
      </w:pPr>
      <w:r w:rsidRPr="00E1629A">
        <w:rPr>
          <w:u w:val="single"/>
          <w:lang w:val="fr-FR"/>
        </w:rPr>
        <w:t>Politique de protection des lanceurs d</w:t>
      </w:r>
      <w:r w:rsidR="00696EE6" w:rsidRPr="00E1629A">
        <w:rPr>
          <w:u w:val="single"/>
          <w:lang w:val="fr-FR"/>
        </w:rPr>
        <w:t>’</w:t>
      </w:r>
      <w:r w:rsidRPr="00E1629A">
        <w:rPr>
          <w:u w:val="single"/>
          <w:lang w:val="fr-FR"/>
        </w:rPr>
        <w:t>alerte qui collaborent à une activité de supervision ou qui signalent des fautes ou d</w:t>
      </w:r>
      <w:r w:rsidR="00696EE6" w:rsidRPr="00E1629A">
        <w:rPr>
          <w:u w:val="single"/>
          <w:lang w:val="fr-FR"/>
        </w:rPr>
        <w:t>’</w:t>
      </w:r>
      <w:r w:rsidRPr="00E1629A">
        <w:rPr>
          <w:u w:val="single"/>
          <w:lang w:val="fr-FR"/>
        </w:rPr>
        <w:t>autres irrégularités</w:t>
      </w:r>
    </w:p>
    <w:p w:rsidR="00D504D2" w:rsidRPr="00E1629A" w:rsidRDefault="00D504D2" w:rsidP="00E1629A">
      <w:pPr>
        <w:pStyle w:val="ONUMFS"/>
        <w:rPr>
          <w:lang w:val="fr-FR"/>
        </w:rPr>
      </w:pPr>
      <w:r w:rsidRPr="00E1629A">
        <w:rPr>
          <w:lang w:val="fr-FR"/>
        </w:rPr>
        <w:t>La politique de protection des lanceurs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alerte qui collaborent à une activité de supervision ou qui signalent des fautes ou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autres irrégularités (“</w:t>
      </w:r>
      <w:r w:rsidR="00EF0C96" w:rsidRPr="00E1629A">
        <w:rPr>
          <w:lang w:val="fr-FR"/>
        </w:rPr>
        <w:t>P</w:t>
      </w:r>
      <w:r w:rsidRPr="00E1629A">
        <w:rPr>
          <w:lang w:val="fr-FR"/>
        </w:rPr>
        <w:t>olitique de protection des lanceurs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alerte”) est en vigueur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OMPI </w:t>
      </w:r>
      <w:r w:rsidR="00696EE6" w:rsidRPr="00E1629A">
        <w:rPr>
          <w:lang w:val="fr-FR"/>
        </w:rPr>
        <w:t>depuis 2012</w:t>
      </w:r>
      <w:r w:rsidRPr="00E1629A">
        <w:rPr>
          <w:lang w:val="fr-FR"/>
        </w:rPr>
        <w:t xml:space="preserve"> et constitue le cadre général pour la protection contre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éventuelles représailles de tous les membres du personnel qui participent à une activité de supervision définie dans la présente politique ou qui signalent une irrégularité.</w:t>
      </w:r>
    </w:p>
    <w:p w:rsidR="00D504D2" w:rsidRPr="00E1629A" w:rsidRDefault="00D504D2" w:rsidP="00E1629A">
      <w:pPr>
        <w:pStyle w:val="ONUMFS"/>
        <w:rPr>
          <w:lang w:val="fr-FR" w:eastAsia="en-US"/>
        </w:rPr>
      </w:pPr>
      <w:r w:rsidRPr="00E1629A">
        <w:rPr>
          <w:lang w:val="fr-FR" w:eastAsia="en-US"/>
        </w:rPr>
        <w:t>Conformément à cette politique, le Bureau de la déontologie reçoit les plaintes faisant état de représailles et procède à un examen préliminaire pour déterminer si le requérant a participé à une activité protég</w:t>
      </w:r>
      <w:r w:rsidR="00E1629A" w:rsidRPr="00E1629A">
        <w:rPr>
          <w:lang w:val="fr-FR" w:eastAsia="en-US"/>
        </w:rPr>
        <w:t>ée.  Su</w:t>
      </w:r>
      <w:r w:rsidRPr="00E1629A">
        <w:rPr>
          <w:lang w:val="fr-FR" w:eastAsia="en-US"/>
        </w:rPr>
        <w:t>r la base de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examen préliminaire de la plainte, le Bureau de la déontologie détermine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existence d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une présomption de représailles et la protection adéquate à accorder au fonctionnaire concerné.</w:t>
      </w:r>
    </w:p>
    <w:p w:rsidR="00D504D2" w:rsidRPr="00E1629A" w:rsidRDefault="00696EE6" w:rsidP="00E1629A">
      <w:pPr>
        <w:pStyle w:val="ONUMFS"/>
        <w:rPr>
          <w:lang w:val="fr-FR"/>
        </w:rPr>
      </w:pPr>
      <w:r w:rsidRPr="00E1629A">
        <w:rPr>
          <w:lang w:val="fr-FR"/>
        </w:rPr>
        <w:t>En 2016</w:t>
      </w:r>
      <w:r w:rsidR="00D504D2" w:rsidRPr="00E1629A">
        <w:rPr>
          <w:lang w:val="fr-FR"/>
        </w:rPr>
        <w:t xml:space="preserve">, le Bureau de la déontologie a achevé </w:t>
      </w:r>
      <w:r w:rsidR="00A82430" w:rsidRPr="00E1629A">
        <w:rPr>
          <w:lang w:val="fr-FR"/>
        </w:rPr>
        <w:t xml:space="preserve">les </w:t>
      </w:r>
      <w:r w:rsidR="00D504D2" w:rsidRPr="00E1629A">
        <w:rPr>
          <w:lang w:val="fr-FR"/>
        </w:rPr>
        <w:t>examen</w:t>
      </w:r>
      <w:r w:rsidR="00A82430" w:rsidRPr="00E1629A">
        <w:rPr>
          <w:lang w:val="fr-FR"/>
        </w:rPr>
        <w:t>s</w:t>
      </w:r>
      <w:r w:rsidR="00D504D2" w:rsidRPr="00E1629A">
        <w:rPr>
          <w:lang w:val="fr-FR"/>
        </w:rPr>
        <w:t xml:space="preserve"> préliminaire</w:t>
      </w:r>
      <w:r w:rsidR="00A82430" w:rsidRPr="00E1629A">
        <w:rPr>
          <w:lang w:val="fr-FR"/>
        </w:rPr>
        <w:t>s</w:t>
      </w:r>
      <w:r w:rsidR="00D504D2" w:rsidRPr="00E1629A">
        <w:rPr>
          <w:lang w:val="fr-FR"/>
        </w:rPr>
        <w:t xml:space="preserve"> relatif</w:t>
      </w:r>
      <w:r w:rsidR="00A82430" w:rsidRPr="00E1629A">
        <w:rPr>
          <w:lang w:val="fr-FR"/>
        </w:rPr>
        <w:t>s</w:t>
      </w:r>
      <w:r w:rsidR="00D504D2" w:rsidRPr="00E1629A">
        <w:rPr>
          <w:lang w:val="fr-FR"/>
        </w:rPr>
        <w:t xml:space="preserve"> à deux</w:t>
      </w:r>
      <w:r w:rsidR="00AD2186" w:rsidRPr="00E1629A">
        <w:rPr>
          <w:lang w:val="fr-FR"/>
        </w:rPr>
        <w:t> </w:t>
      </w:r>
      <w:r w:rsidR="00D504D2" w:rsidRPr="00E1629A">
        <w:rPr>
          <w:lang w:val="fr-FR"/>
        </w:rPr>
        <w:t>demandes de protection contre des représaill</w:t>
      </w:r>
      <w:r w:rsidR="00E1629A" w:rsidRPr="00E1629A">
        <w:rPr>
          <w:lang w:val="fr-FR"/>
        </w:rPr>
        <w:t>es.  Il</w:t>
      </w:r>
      <w:r w:rsidR="00D504D2" w:rsidRPr="00E1629A">
        <w:rPr>
          <w:lang w:val="fr-FR"/>
        </w:rPr>
        <w:t xml:space="preserve"> a été jugé que ces plaintes ne relevaient pas de la politique de protection des lanceurs d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alerte, et le Bureau de la déontologie n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a pas eu à effectuer d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autres démarch</w:t>
      </w:r>
      <w:r w:rsidR="00E1629A" w:rsidRPr="00E1629A">
        <w:rPr>
          <w:lang w:val="fr-FR"/>
        </w:rPr>
        <w:t>es.  Un</w:t>
      </w:r>
      <w:r w:rsidR="00D504D2" w:rsidRPr="00E1629A">
        <w:rPr>
          <w:lang w:val="fr-FR"/>
        </w:rPr>
        <w:t>e comparaison montre que le nombre de requêtes reçues par l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OMPI est comparable à celui d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 xml:space="preserve">autres organismes des </w:t>
      </w:r>
      <w:r w:rsidRPr="00E1629A">
        <w:rPr>
          <w:lang w:val="fr-FR"/>
        </w:rPr>
        <w:t>Nations Unies</w:t>
      </w:r>
      <w:r w:rsidR="00D504D2" w:rsidRPr="00E1629A">
        <w:rPr>
          <w:lang w:val="fr-FR"/>
        </w:rPr>
        <w:t>.</w:t>
      </w:r>
    </w:p>
    <w:p w:rsidR="00D504D2" w:rsidRPr="00E1629A" w:rsidRDefault="00D504D2" w:rsidP="00E1629A">
      <w:pPr>
        <w:pStyle w:val="ONUMFS"/>
        <w:numPr>
          <w:ilvl w:val="0"/>
          <w:numId w:val="0"/>
        </w:numPr>
        <w:ind w:left="567"/>
        <w:rPr>
          <w:u w:val="single"/>
          <w:lang w:val="fr-FR"/>
        </w:rPr>
      </w:pPr>
      <w:r w:rsidRPr="00E1629A">
        <w:rPr>
          <w:u w:val="single"/>
          <w:lang w:val="fr-FR"/>
        </w:rPr>
        <w:t>Déclarations d</w:t>
      </w:r>
      <w:r w:rsidR="00696EE6" w:rsidRPr="00E1629A">
        <w:rPr>
          <w:u w:val="single"/>
          <w:lang w:val="fr-FR"/>
        </w:rPr>
        <w:t>’</w:t>
      </w:r>
      <w:r w:rsidRPr="00E1629A">
        <w:rPr>
          <w:u w:val="single"/>
          <w:lang w:val="fr-FR"/>
        </w:rPr>
        <w:t>intérêts et divulgations conformes aux normes</w:t>
      </w:r>
      <w:r w:rsidR="00AD2186" w:rsidRPr="00E1629A">
        <w:rPr>
          <w:u w:val="single"/>
          <w:lang w:val="fr-FR"/>
        </w:rPr>
        <w:t> </w:t>
      </w:r>
      <w:proofErr w:type="spellStart"/>
      <w:r w:rsidRPr="00E1629A">
        <w:rPr>
          <w:u w:val="single"/>
          <w:lang w:val="fr-FR"/>
        </w:rPr>
        <w:t>IPSAS</w:t>
      </w:r>
      <w:proofErr w:type="spellEnd"/>
      <w:r w:rsidRPr="00E1629A">
        <w:rPr>
          <w:u w:val="single"/>
          <w:lang w:val="fr-FR"/>
        </w:rPr>
        <w:t xml:space="preserve"> pour les transactions avec une partie liée</w:t>
      </w:r>
    </w:p>
    <w:p w:rsidR="00D504D2" w:rsidRPr="005C3D96" w:rsidRDefault="00D504D2" w:rsidP="00E1629A">
      <w:pPr>
        <w:pStyle w:val="ONUMFS"/>
        <w:rPr>
          <w:lang w:val="fr-FR"/>
        </w:rPr>
      </w:pPr>
      <w:r w:rsidRPr="00E1629A">
        <w:rPr>
          <w:lang w:val="fr-FR"/>
        </w:rPr>
        <w:t>Le Bureau de la déontologie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 est chargé de la mise en œuvre du programme de déclarations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intérêts pour les fonctionnaires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OMPI appartenant aux catégories </w:t>
      </w:r>
      <w:proofErr w:type="spellStart"/>
      <w:r w:rsidRPr="00E1629A">
        <w:rPr>
          <w:lang w:val="fr-FR"/>
        </w:rPr>
        <w:t>D</w:t>
      </w:r>
      <w:r w:rsidR="006A420E">
        <w:rPr>
          <w:lang w:val="fr-FR"/>
        </w:rPr>
        <w:noBreakHyphen/>
      </w:r>
      <w:r w:rsidRPr="00E1629A">
        <w:rPr>
          <w:lang w:val="fr-FR"/>
        </w:rPr>
        <w:t>1</w:t>
      </w:r>
      <w:proofErr w:type="spellEnd"/>
      <w:r w:rsidRPr="00E1629A">
        <w:rPr>
          <w:lang w:val="fr-FR"/>
        </w:rPr>
        <w:t xml:space="preserve"> et supérieures et à un nombre restreint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autres catégories à haut risq</w:t>
      </w:r>
      <w:r w:rsidR="00E1629A" w:rsidRPr="00E1629A">
        <w:rPr>
          <w:lang w:val="fr-FR"/>
        </w:rPr>
        <w:t>ue.  La</w:t>
      </w:r>
      <w:r w:rsidRPr="00E1629A">
        <w:rPr>
          <w:lang w:val="fr-FR"/>
        </w:rPr>
        <w:t xml:space="preserve"> conformité avec les normes</w:t>
      </w:r>
      <w:r w:rsidR="00AD2186" w:rsidRPr="00E1629A">
        <w:rPr>
          <w:lang w:val="fr-FR"/>
        </w:rPr>
        <w:t> </w:t>
      </w:r>
      <w:proofErr w:type="spellStart"/>
      <w:r w:rsidRPr="00E1629A">
        <w:rPr>
          <w:lang w:val="fr-FR"/>
        </w:rPr>
        <w:t>IPSAS</w:t>
      </w:r>
      <w:proofErr w:type="spellEnd"/>
      <w:r w:rsidRPr="00E1629A">
        <w:rPr>
          <w:lang w:val="fr-FR"/>
        </w:rPr>
        <w:t xml:space="preserve"> a créé de nouvelles règles de divulgation pour les fonctionnaires des catégories D</w:t>
      </w:r>
      <w:r w:rsidR="006A420E">
        <w:rPr>
          <w:lang w:val="fr-FR"/>
        </w:rPr>
        <w:noBreakHyphen/>
      </w:r>
      <w:r w:rsidRPr="00E1629A">
        <w:rPr>
          <w:lang w:val="fr-FR"/>
        </w:rPr>
        <w:t>2 et supérieur</w:t>
      </w:r>
      <w:r w:rsidR="00E1629A" w:rsidRPr="00E1629A">
        <w:rPr>
          <w:lang w:val="fr-FR"/>
        </w:rPr>
        <w:t>es.  Un</w:t>
      </w:r>
      <w:r w:rsidRPr="00E1629A">
        <w:rPr>
          <w:lang w:val="fr-FR"/>
        </w:rPr>
        <w:t xml:space="preserve"> taux de conformité de 100% avec les règles de divulgation conformes aux normes</w:t>
      </w:r>
      <w:r w:rsidR="00AD2186" w:rsidRPr="00E1629A">
        <w:rPr>
          <w:lang w:val="fr-FR"/>
        </w:rPr>
        <w:t> </w:t>
      </w:r>
      <w:proofErr w:type="spellStart"/>
      <w:r w:rsidRPr="00E1629A">
        <w:rPr>
          <w:lang w:val="fr-FR"/>
        </w:rPr>
        <w:t>IPSAS</w:t>
      </w:r>
      <w:proofErr w:type="spellEnd"/>
      <w:r w:rsidRPr="00E1629A">
        <w:rPr>
          <w:lang w:val="fr-FR"/>
        </w:rPr>
        <w:t>, concernant les transactions du personnel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 xml:space="preserve">OMPI avec une partie liée, a </w:t>
      </w:r>
      <w:r w:rsidRPr="005C3D96">
        <w:rPr>
          <w:lang w:val="fr-FR"/>
        </w:rPr>
        <w:t>été obtenu pour</w:t>
      </w:r>
      <w:r w:rsidR="00696EE6" w:rsidRPr="005C3D96">
        <w:rPr>
          <w:lang w:val="fr-FR"/>
        </w:rPr>
        <w:t> 2016</w:t>
      </w:r>
      <w:r w:rsidRPr="005C3D96">
        <w:rPr>
          <w:lang w:val="fr-FR"/>
        </w:rPr>
        <w:t>.</w:t>
      </w:r>
    </w:p>
    <w:p w:rsidR="00696EE6" w:rsidRPr="00E1629A" w:rsidRDefault="00D504D2" w:rsidP="00E1629A">
      <w:pPr>
        <w:pStyle w:val="ONUMFS"/>
        <w:rPr>
          <w:lang w:val="fr-FR"/>
        </w:rPr>
      </w:pPr>
      <w:r w:rsidRPr="00E1629A">
        <w:rPr>
          <w:lang w:val="fr-FR"/>
        </w:rPr>
        <w:t>Conformément à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annexe III du Règlement financier de l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OMPI et son règlement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exécution, modifié le 1</w:t>
      </w:r>
      <w:r w:rsidR="00696EE6" w:rsidRPr="00E1629A">
        <w:rPr>
          <w:lang w:val="fr-FR"/>
        </w:rPr>
        <w:t>4 octobre 20</w:t>
      </w:r>
      <w:r w:rsidRPr="00E1629A">
        <w:rPr>
          <w:lang w:val="fr-FR"/>
        </w:rPr>
        <w:t>15, les membres de l</w:t>
      </w:r>
      <w:r w:rsidR="00696EE6" w:rsidRPr="00E1629A">
        <w:rPr>
          <w:lang w:val="fr-FR"/>
        </w:rPr>
        <w:t>’</w:t>
      </w:r>
      <w:proofErr w:type="spellStart"/>
      <w:r w:rsidRPr="00E1629A">
        <w:rPr>
          <w:lang w:val="fr-FR"/>
        </w:rPr>
        <w:t>OCIS</w:t>
      </w:r>
      <w:proofErr w:type="spellEnd"/>
      <w:r w:rsidRPr="00E1629A">
        <w:rPr>
          <w:lang w:val="fr-FR"/>
        </w:rPr>
        <w:t xml:space="preserve"> signent une déclaration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intérê</w:t>
      </w:r>
      <w:r w:rsidR="00E1629A" w:rsidRPr="00E1629A">
        <w:rPr>
          <w:lang w:val="fr-FR"/>
        </w:rPr>
        <w:t>ts.  Le</w:t>
      </w:r>
      <w:r w:rsidRPr="00E1629A">
        <w:rPr>
          <w:lang w:val="fr-FR"/>
        </w:rPr>
        <w:t xml:space="preserve"> Bureau de la déontologie a échangé des communications à ce sujet pour</w:t>
      </w:r>
      <w:r w:rsidR="00696EE6" w:rsidRPr="00E1629A">
        <w:rPr>
          <w:lang w:val="fr-FR"/>
        </w:rPr>
        <w:t> 2016</w:t>
      </w:r>
      <w:r w:rsidRPr="00E1629A">
        <w:rPr>
          <w:lang w:val="fr-FR"/>
        </w:rPr>
        <w:t xml:space="preserve"> avec le président de l</w:t>
      </w:r>
      <w:r w:rsidR="00696EE6" w:rsidRPr="00E1629A">
        <w:rPr>
          <w:lang w:val="fr-FR"/>
        </w:rPr>
        <w:t>’</w:t>
      </w:r>
      <w:proofErr w:type="spellStart"/>
      <w:r w:rsidRPr="00E1629A">
        <w:rPr>
          <w:lang w:val="fr-FR"/>
        </w:rPr>
        <w:t>OCIS</w:t>
      </w:r>
      <w:proofErr w:type="spellEnd"/>
      <w:r w:rsidRPr="00E1629A">
        <w:rPr>
          <w:lang w:val="fr-FR"/>
        </w:rPr>
        <w:t>.</w:t>
      </w:r>
    </w:p>
    <w:p w:rsidR="00D504D2" w:rsidRDefault="00906157" w:rsidP="00906157">
      <w:pPr>
        <w:pStyle w:val="Heading1"/>
      </w:pPr>
      <w:r>
        <w:t>M</w:t>
      </w:r>
      <w:r w:rsidRPr="00E1629A">
        <w:t>esure de l’éthique et de l’intégrité à l’</w:t>
      </w:r>
      <w:r>
        <w:t>OMPI</w:t>
      </w:r>
    </w:p>
    <w:p w:rsidR="00906157" w:rsidRPr="00906157" w:rsidRDefault="00906157" w:rsidP="00906157">
      <w:pPr>
        <w:rPr>
          <w:lang w:val="fr-FR"/>
        </w:rPr>
      </w:pPr>
    </w:p>
    <w:p w:rsidR="00D504D2" w:rsidRPr="00E1629A" w:rsidRDefault="00696EE6" w:rsidP="00E1629A">
      <w:pPr>
        <w:pStyle w:val="ONUMFS"/>
        <w:rPr>
          <w:lang w:val="fr-FR"/>
        </w:rPr>
      </w:pPr>
      <w:r w:rsidRPr="00E1629A">
        <w:rPr>
          <w:lang w:val="fr-FR"/>
        </w:rPr>
        <w:t>En 2016</w:t>
      </w:r>
      <w:r w:rsidR="00D504D2" w:rsidRPr="00E1629A">
        <w:rPr>
          <w:lang w:val="fr-FR"/>
        </w:rPr>
        <w:t>, une enquête a été menée sur les principes de l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OMPI en matière d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éthique et l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attachement à ces princip</w:t>
      </w:r>
      <w:r w:rsidR="00E1629A" w:rsidRPr="00E1629A">
        <w:rPr>
          <w:lang w:val="fr-FR"/>
        </w:rPr>
        <w:t>es.  Qu</w:t>
      </w:r>
      <w:r w:rsidR="00D504D2" w:rsidRPr="00E1629A">
        <w:rPr>
          <w:lang w:val="fr-FR"/>
        </w:rPr>
        <w:t>atre</w:t>
      </w:r>
      <w:r w:rsidR="006A420E">
        <w:rPr>
          <w:lang w:val="fr-FR"/>
        </w:rPr>
        <w:noBreakHyphen/>
      </w:r>
      <w:r w:rsidR="00D504D2" w:rsidRPr="00E1629A">
        <w:rPr>
          <w:lang w:val="fr-FR"/>
        </w:rPr>
        <w:t>vingt</w:t>
      </w:r>
      <w:r w:rsidR="006A420E">
        <w:rPr>
          <w:lang w:val="fr-FR"/>
        </w:rPr>
        <w:noBreakHyphen/>
      </w:r>
      <w:r w:rsidR="00D504D2" w:rsidRPr="00E1629A">
        <w:rPr>
          <w:lang w:val="fr-FR"/>
        </w:rPr>
        <w:t>six pour cent des personnes interrogées ont répondu qu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elles connaissaient les principes éthiques, et 87% ont indiq</w:t>
      </w:r>
      <w:r w:rsidR="00BF780E" w:rsidRPr="00E1629A">
        <w:rPr>
          <w:lang w:val="fr-FR"/>
        </w:rPr>
        <w:t>u</w:t>
      </w:r>
      <w:r w:rsidR="00D504D2" w:rsidRPr="00E1629A">
        <w:rPr>
          <w:lang w:val="fr-FR"/>
        </w:rPr>
        <w:t>é qu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elles y adhéraient.</w:t>
      </w:r>
    </w:p>
    <w:p w:rsidR="00D504D2" w:rsidRPr="00E1629A" w:rsidRDefault="00D504D2" w:rsidP="00E1629A">
      <w:pPr>
        <w:pStyle w:val="ONUMFS"/>
        <w:rPr>
          <w:lang w:val="fr-FR" w:eastAsia="en-US"/>
        </w:rPr>
      </w:pPr>
      <w:r w:rsidRPr="00E1629A">
        <w:rPr>
          <w:lang w:val="fr-FR" w:eastAsia="en-US"/>
        </w:rPr>
        <w:t>Il a été tenu compte des conclusions de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enquête en vue de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établissement de</w:t>
      </w:r>
      <w:r w:rsidR="00BF780E" w:rsidRPr="00E1629A">
        <w:rPr>
          <w:lang w:val="fr-FR" w:eastAsia="en-US"/>
        </w:rPr>
        <w:t xml:space="preserve"> nouveaux</w:t>
      </w:r>
      <w:r w:rsidRPr="00E1629A">
        <w:rPr>
          <w:lang w:val="fr-FR" w:eastAsia="en-US"/>
        </w:rPr>
        <w:t xml:space="preserve"> programmes de formation et de sensibilisation à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éthique.</w:t>
      </w:r>
    </w:p>
    <w:p w:rsidR="00D504D2" w:rsidRDefault="00D504D2" w:rsidP="0063431D">
      <w:pPr>
        <w:pStyle w:val="Heading1"/>
        <w:keepLines/>
      </w:pPr>
      <w:r w:rsidRPr="00E1629A">
        <w:t>Autres activités</w:t>
      </w:r>
    </w:p>
    <w:p w:rsidR="00906157" w:rsidRPr="00906157" w:rsidRDefault="00906157" w:rsidP="0063431D">
      <w:pPr>
        <w:keepNext/>
        <w:keepLines/>
        <w:rPr>
          <w:lang w:val="fr-FR"/>
        </w:rPr>
      </w:pPr>
    </w:p>
    <w:p w:rsidR="00D504D2" w:rsidRPr="005C3D96" w:rsidRDefault="00696EE6" w:rsidP="0063431D">
      <w:pPr>
        <w:pStyle w:val="ONUMFS"/>
        <w:keepNext/>
        <w:keepLines/>
        <w:rPr>
          <w:lang w:val="fr-FR"/>
        </w:rPr>
      </w:pPr>
      <w:r w:rsidRPr="00E1629A">
        <w:rPr>
          <w:lang w:val="fr-FR"/>
        </w:rPr>
        <w:t>En 2016</w:t>
      </w:r>
      <w:r w:rsidR="00D504D2" w:rsidRPr="00E1629A">
        <w:rPr>
          <w:lang w:val="fr-FR"/>
        </w:rPr>
        <w:t>, le Bureau de la déontologie, en tant qu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>acteur clé au sein de l</w:t>
      </w:r>
      <w:r w:rsidRPr="00E1629A">
        <w:rPr>
          <w:lang w:val="fr-FR"/>
        </w:rPr>
        <w:t>’</w:t>
      </w:r>
      <w:r w:rsidR="00D504D2" w:rsidRPr="00E1629A">
        <w:rPr>
          <w:lang w:val="fr-FR"/>
        </w:rPr>
        <w:t xml:space="preserve">Organisation pour </w:t>
      </w:r>
      <w:r w:rsidR="00D504D2" w:rsidRPr="005C3D96">
        <w:rPr>
          <w:lang w:val="fr-FR"/>
        </w:rPr>
        <w:t>ce qui concerne les questions d</w:t>
      </w:r>
      <w:r w:rsidRPr="005C3D96">
        <w:rPr>
          <w:lang w:val="fr-FR"/>
        </w:rPr>
        <w:t>’</w:t>
      </w:r>
      <w:r w:rsidR="00D504D2" w:rsidRPr="005C3D96">
        <w:rPr>
          <w:lang w:val="fr-FR"/>
        </w:rPr>
        <w:t>éthique, a activement contribué à l</w:t>
      </w:r>
      <w:r w:rsidRPr="005C3D96">
        <w:rPr>
          <w:lang w:val="fr-FR"/>
        </w:rPr>
        <w:t>’</w:t>
      </w:r>
      <w:r w:rsidR="00D504D2" w:rsidRPr="005C3D96">
        <w:rPr>
          <w:lang w:val="fr-FR"/>
        </w:rPr>
        <w:t>audit du cadre éthique de l</w:t>
      </w:r>
      <w:r w:rsidRPr="005C3D96">
        <w:rPr>
          <w:lang w:val="fr-FR"/>
        </w:rPr>
        <w:t>’</w:t>
      </w:r>
      <w:r w:rsidR="00D504D2" w:rsidRPr="005C3D96">
        <w:rPr>
          <w:lang w:val="fr-FR"/>
        </w:rPr>
        <w:t>O</w:t>
      </w:r>
      <w:r w:rsidR="00E1629A" w:rsidRPr="005C3D96">
        <w:rPr>
          <w:lang w:val="fr-FR"/>
        </w:rPr>
        <w:t>MPI.  Le</w:t>
      </w:r>
      <w:r w:rsidR="00D504D2" w:rsidRPr="005C3D96">
        <w:rPr>
          <w:lang w:val="fr-FR"/>
        </w:rPr>
        <w:t xml:space="preserve"> rapport a été </w:t>
      </w:r>
      <w:r w:rsidR="005C3D96" w:rsidRPr="005C3D96">
        <w:rPr>
          <w:lang w:val="fr-FR"/>
        </w:rPr>
        <w:t>achev</w:t>
      </w:r>
      <w:r w:rsidR="00D504D2" w:rsidRPr="005C3D96">
        <w:rPr>
          <w:lang w:val="fr-FR"/>
        </w:rPr>
        <w:t xml:space="preserve">é en </w:t>
      </w:r>
      <w:r w:rsidRPr="005C3D96">
        <w:rPr>
          <w:lang w:val="fr-FR"/>
        </w:rPr>
        <w:t>mars 20</w:t>
      </w:r>
      <w:r w:rsidR="00D504D2" w:rsidRPr="005C3D96">
        <w:rPr>
          <w:lang w:val="fr-FR"/>
        </w:rPr>
        <w:t>17</w:t>
      </w:r>
      <w:r w:rsidR="00D504D2" w:rsidRPr="005C3D96">
        <w:rPr>
          <w:rStyle w:val="FootnoteReference"/>
          <w:lang w:val="fr-FR"/>
        </w:rPr>
        <w:footnoteReference w:id="9"/>
      </w:r>
      <w:r w:rsidR="00AD2186" w:rsidRPr="005C3D96">
        <w:rPr>
          <w:lang w:val="fr-FR"/>
        </w:rPr>
        <w:t>.</w:t>
      </w:r>
    </w:p>
    <w:p w:rsidR="00D504D2" w:rsidRPr="005C3D96" w:rsidRDefault="00DC76AF" w:rsidP="00E1629A">
      <w:pPr>
        <w:pStyle w:val="ONUMFS"/>
        <w:rPr>
          <w:lang w:val="fr-FR"/>
        </w:rPr>
      </w:pPr>
      <w:r w:rsidRPr="005C3D96">
        <w:rPr>
          <w:lang w:val="fr-FR"/>
        </w:rPr>
        <w:t>Le Bureau de la déontologie, comme toutes les unités de programme au sein de l</w:t>
      </w:r>
      <w:r w:rsidR="00696EE6" w:rsidRPr="005C3D96">
        <w:rPr>
          <w:lang w:val="fr-FR"/>
        </w:rPr>
        <w:t>’</w:t>
      </w:r>
      <w:r w:rsidRPr="005C3D96">
        <w:rPr>
          <w:lang w:val="fr-FR"/>
        </w:rPr>
        <w:t>Organisation, prépare également sa contribution aux processus de planification biennale et annuelle de l</w:t>
      </w:r>
      <w:r w:rsidR="00696EE6" w:rsidRPr="005C3D96">
        <w:rPr>
          <w:lang w:val="fr-FR"/>
        </w:rPr>
        <w:t>’</w:t>
      </w:r>
      <w:r w:rsidRPr="005C3D96">
        <w:rPr>
          <w:lang w:val="fr-FR"/>
        </w:rPr>
        <w:t>O</w:t>
      </w:r>
      <w:r w:rsidR="00E1629A" w:rsidRPr="005C3D96">
        <w:rPr>
          <w:lang w:val="fr-FR"/>
        </w:rPr>
        <w:t>MPI.  La</w:t>
      </w:r>
      <w:r w:rsidRPr="005C3D96">
        <w:rPr>
          <w:lang w:val="fr-FR"/>
        </w:rPr>
        <w:t xml:space="preserve"> gestion des risques </w:t>
      </w:r>
      <w:r w:rsidR="00CB58EB" w:rsidRPr="005C3D96">
        <w:rPr>
          <w:lang w:val="fr-FR"/>
        </w:rPr>
        <w:t>fait</w:t>
      </w:r>
      <w:r w:rsidRPr="005C3D96">
        <w:rPr>
          <w:lang w:val="fr-FR"/>
        </w:rPr>
        <w:t xml:space="preserve"> également </w:t>
      </w:r>
      <w:r w:rsidR="005C3D96" w:rsidRPr="005C3D96">
        <w:rPr>
          <w:lang w:val="fr-FR"/>
        </w:rPr>
        <w:t>partie</w:t>
      </w:r>
      <w:r w:rsidR="00CB58EB" w:rsidRPr="005C3D96">
        <w:rPr>
          <w:lang w:val="fr-FR"/>
        </w:rPr>
        <w:t xml:space="preserve"> du</w:t>
      </w:r>
      <w:r w:rsidRPr="005C3D96">
        <w:rPr>
          <w:lang w:val="fr-FR"/>
        </w:rPr>
        <w:t xml:space="preserve"> cadre de gestion intégrée, axée sur les résultats.</w:t>
      </w:r>
    </w:p>
    <w:p w:rsidR="00696EE6" w:rsidRPr="00E1629A" w:rsidRDefault="00444343" w:rsidP="00E1629A">
      <w:pPr>
        <w:pStyle w:val="ONUMFS"/>
        <w:rPr>
          <w:lang w:val="fr-FR"/>
        </w:rPr>
      </w:pPr>
      <w:r w:rsidRPr="005C3D96">
        <w:rPr>
          <w:lang w:val="fr-FR"/>
        </w:rPr>
        <w:t xml:space="preserve">Selon les </w:t>
      </w:r>
      <w:r w:rsidR="00696EE6" w:rsidRPr="005C3D96">
        <w:rPr>
          <w:lang w:val="fr-FR"/>
        </w:rPr>
        <w:t>paragraphes </w:t>
      </w:r>
      <w:proofErr w:type="spellStart"/>
      <w:r w:rsidR="00696EE6" w:rsidRPr="005C3D96">
        <w:rPr>
          <w:lang w:val="fr-FR"/>
        </w:rPr>
        <w:t>2</w:t>
      </w:r>
      <w:r w:rsidR="005C3D96">
        <w:rPr>
          <w:lang w:val="fr-FR"/>
        </w:rPr>
        <w:t>.a</w:t>
      </w:r>
      <w:proofErr w:type="spellEnd"/>
      <w:r w:rsidR="005C3D96">
        <w:rPr>
          <w:lang w:val="fr-FR"/>
        </w:rPr>
        <w:t>)v) et </w:t>
      </w:r>
      <w:bookmarkStart w:id="5" w:name="_GoBack"/>
      <w:bookmarkEnd w:id="5"/>
      <w:proofErr w:type="spellStart"/>
      <w:r w:rsidRPr="005C3D96">
        <w:rPr>
          <w:lang w:val="fr-FR"/>
        </w:rPr>
        <w:t>2.b</w:t>
      </w:r>
      <w:proofErr w:type="spellEnd"/>
      <w:proofErr w:type="gramStart"/>
      <w:r w:rsidRPr="005C3D96">
        <w:rPr>
          <w:lang w:val="fr-FR"/>
        </w:rPr>
        <w:t>)ii</w:t>
      </w:r>
      <w:proofErr w:type="gramEnd"/>
      <w:r w:rsidRPr="005C3D96">
        <w:rPr>
          <w:lang w:val="fr-FR"/>
        </w:rPr>
        <w:t>) du mandat de l</w:t>
      </w:r>
      <w:r w:rsidR="00696EE6" w:rsidRPr="005C3D96">
        <w:rPr>
          <w:lang w:val="fr-FR"/>
        </w:rPr>
        <w:t>’</w:t>
      </w:r>
      <w:proofErr w:type="spellStart"/>
      <w:r w:rsidRPr="005C3D96">
        <w:rPr>
          <w:lang w:val="fr-FR"/>
        </w:rPr>
        <w:t>OCIS</w:t>
      </w:r>
      <w:proofErr w:type="spellEnd"/>
      <w:r w:rsidRPr="005C3D96">
        <w:rPr>
          <w:rStyle w:val="FootnoteReference"/>
          <w:lang w:val="fr-FR"/>
        </w:rPr>
        <w:footnoteReference w:id="10"/>
      </w:r>
      <w:r w:rsidRPr="005C3D96">
        <w:rPr>
          <w:lang w:val="fr-FR"/>
        </w:rPr>
        <w:t>, les fonctions et responsabilités de l</w:t>
      </w:r>
      <w:r w:rsidR="00696EE6" w:rsidRPr="005C3D96">
        <w:rPr>
          <w:lang w:val="fr-FR"/>
        </w:rPr>
        <w:t>’</w:t>
      </w:r>
      <w:proofErr w:type="spellStart"/>
      <w:r w:rsidRPr="005C3D96">
        <w:rPr>
          <w:lang w:val="fr-FR"/>
        </w:rPr>
        <w:t>OCIS</w:t>
      </w:r>
      <w:proofErr w:type="spellEnd"/>
      <w:r w:rsidRPr="005C3D96">
        <w:rPr>
          <w:lang w:val="fr-FR"/>
        </w:rPr>
        <w:t xml:space="preserve"> consistent notamment à promouvoir le contrôle interne par une</w:t>
      </w:r>
      <w:r w:rsidRPr="00E1629A">
        <w:rPr>
          <w:lang w:val="fr-FR"/>
        </w:rPr>
        <w:t xml:space="preserve"> analyse et des conseils relatifs à la fonction de déontologie, </w:t>
      </w:r>
      <w:r w:rsidR="00AD2186" w:rsidRPr="00E1629A">
        <w:rPr>
          <w:lang w:val="fr-FR"/>
        </w:rPr>
        <w:t>“</w:t>
      </w:r>
      <w:r w:rsidRPr="00E1629A">
        <w:rPr>
          <w:lang w:val="fr-FR"/>
        </w:rPr>
        <w:t>notamment le code de déontologie, la divulgation financière et la protection des lanceurs d</w:t>
      </w:r>
      <w:r w:rsidR="00696EE6" w:rsidRPr="00E1629A">
        <w:rPr>
          <w:lang w:val="fr-FR"/>
        </w:rPr>
        <w:t>’</w:t>
      </w:r>
      <w:r w:rsidRPr="00E1629A">
        <w:rPr>
          <w:lang w:val="fr-FR"/>
        </w:rPr>
        <w:t>alerte</w:t>
      </w:r>
      <w:r w:rsidR="00AD2186" w:rsidRPr="00E1629A">
        <w:rPr>
          <w:lang w:val="fr-FR"/>
        </w:rPr>
        <w:t>”</w:t>
      </w:r>
      <w:r w:rsidRPr="00E1629A">
        <w:rPr>
          <w:lang w:val="fr-FR"/>
        </w:rPr>
        <w:t xml:space="preserve"> et par une analyse et des conseils </w:t>
      </w:r>
      <w:r w:rsidR="00AD2186" w:rsidRPr="00E1629A">
        <w:rPr>
          <w:lang w:val="fr-FR"/>
        </w:rPr>
        <w:t>“</w:t>
      </w:r>
      <w:r w:rsidRPr="00E1629A">
        <w:rPr>
          <w:lang w:val="fr-FR"/>
        </w:rPr>
        <w:t>relatifs aux propositions de programmes de travail annuels</w:t>
      </w:r>
      <w:r w:rsidR="00AD2186" w:rsidRPr="00E1629A">
        <w:rPr>
          <w:lang w:val="fr-FR"/>
        </w:rPr>
        <w:t>”</w:t>
      </w:r>
      <w:r w:rsidRPr="00E1629A">
        <w:rPr>
          <w:lang w:val="fr-FR"/>
        </w:rPr>
        <w:t xml:space="preserve"> du Bureau de la déontologie, respec</w:t>
      </w:r>
      <w:r w:rsidR="00CB58EB" w:rsidRPr="00E1629A">
        <w:rPr>
          <w:lang w:val="fr-FR"/>
        </w:rPr>
        <w:t>tivement.</w:t>
      </w:r>
    </w:p>
    <w:p w:rsidR="00D504D2" w:rsidRPr="00E1629A" w:rsidRDefault="00696EE6" w:rsidP="00E1629A">
      <w:pPr>
        <w:pStyle w:val="ONUMFS"/>
        <w:rPr>
          <w:rFonts w:eastAsia="Times New Roman"/>
          <w:lang w:val="fr-FR"/>
        </w:rPr>
      </w:pPr>
      <w:r w:rsidRPr="00E1629A">
        <w:rPr>
          <w:lang w:val="fr-FR"/>
        </w:rPr>
        <w:t>En 2016</w:t>
      </w:r>
      <w:r w:rsidR="00444343" w:rsidRPr="00E1629A">
        <w:rPr>
          <w:lang w:val="fr-FR"/>
        </w:rPr>
        <w:t xml:space="preserve">, le Bureau de la déontologie </w:t>
      </w:r>
      <w:r w:rsidR="00CB58EB" w:rsidRPr="00E1629A">
        <w:rPr>
          <w:lang w:val="fr-FR"/>
        </w:rPr>
        <w:t xml:space="preserve">a </w:t>
      </w:r>
      <w:r w:rsidR="00444343" w:rsidRPr="00E1629A">
        <w:rPr>
          <w:lang w:val="fr-FR"/>
        </w:rPr>
        <w:t xml:space="preserve">activement </w:t>
      </w:r>
      <w:r w:rsidR="00CB58EB" w:rsidRPr="00E1629A">
        <w:rPr>
          <w:lang w:val="fr-FR"/>
        </w:rPr>
        <w:t xml:space="preserve">collaboré </w:t>
      </w:r>
      <w:r w:rsidR="00444343" w:rsidRPr="00E1629A">
        <w:rPr>
          <w:lang w:val="fr-FR"/>
        </w:rPr>
        <w:t>avec l</w:t>
      </w:r>
      <w:r w:rsidRPr="00E1629A">
        <w:rPr>
          <w:lang w:val="fr-FR"/>
        </w:rPr>
        <w:t>’</w:t>
      </w:r>
      <w:proofErr w:type="spellStart"/>
      <w:r w:rsidR="00444343" w:rsidRPr="00E1629A">
        <w:rPr>
          <w:lang w:val="fr-FR"/>
        </w:rPr>
        <w:t>OCIS</w:t>
      </w:r>
      <w:proofErr w:type="spellEnd"/>
      <w:r w:rsidR="00444343" w:rsidRPr="00E1629A">
        <w:rPr>
          <w:lang w:val="fr-FR"/>
        </w:rPr>
        <w:t>, conformément au calendrier des réunions de l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>orga</w:t>
      </w:r>
      <w:r w:rsidR="00E1629A" w:rsidRPr="00E1629A">
        <w:rPr>
          <w:lang w:val="fr-FR"/>
        </w:rPr>
        <w:t>ne.  Da</w:t>
      </w:r>
      <w:r w:rsidR="00444343" w:rsidRPr="00E1629A">
        <w:rPr>
          <w:lang w:val="fr-FR"/>
        </w:rPr>
        <w:t xml:space="preserve">ns toutes ses interactions, le Bureau de la déontologie </w:t>
      </w:r>
      <w:r w:rsidR="00CB58EB" w:rsidRPr="00E1629A">
        <w:rPr>
          <w:lang w:val="fr-FR"/>
        </w:rPr>
        <w:t xml:space="preserve">a </w:t>
      </w:r>
      <w:r w:rsidR="00444343" w:rsidRPr="00E1629A">
        <w:rPr>
          <w:lang w:val="fr-FR"/>
        </w:rPr>
        <w:t>tent</w:t>
      </w:r>
      <w:r w:rsidR="00CB58EB" w:rsidRPr="00E1629A">
        <w:rPr>
          <w:lang w:val="fr-FR"/>
        </w:rPr>
        <w:t>é</w:t>
      </w:r>
      <w:r w:rsidR="00444343" w:rsidRPr="00E1629A">
        <w:rPr>
          <w:lang w:val="fr-FR"/>
        </w:rPr>
        <w:t xml:space="preserve"> de trouver l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 xml:space="preserve">équilibre entre les mandats respectifs, </w:t>
      </w:r>
      <w:r w:rsidR="00CB58EB" w:rsidRPr="00E1629A">
        <w:rPr>
          <w:lang w:val="fr-FR"/>
        </w:rPr>
        <w:t>sans jamais perdre de vue l</w:t>
      </w:r>
      <w:r w:rsidR="00444343" w:rsidRPr="00E1629A">
        <w:rPr>
          <w:lang w:val="fr-FR"/>
        </w:rPr>
        <w:t>es composantes vitales du fonctionnement d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 xml:space="preserve">un bureau de la déontologie, </w:t>
      </w:r>
      <w:r w:rsidRPr="00E1629A">
        <w:rPr>
          <w:lang w:val="fr-FR"/>
        </w:rPr>
        <w:t>à savoir</w:t>
      </w:r>
      <w:r w:rsidR="00444343" w:rsidRPr="00E1629A">
        <w:rPr>
          <w:lang w:val="fr-FR"/>
        </w:rPr>
        <w:t xml:space="preserve"> l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>indépendance, l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>impartialité et la confidentialité.</w:t>
      </w:r>
    </w:p>
    <w:p w:rsidR="00696EE6" w:rsidRPr="00E1629A" w:rsidRDefault="00696EE6" w:rsidP="00E1629A">
      <w:pPr>
        <w:pStyle w:val="ONUMFS"/>
        <w:rPr>
          <w:lang w:val="fr-FR"/>
        </w:rPr>
      </w:pPr>
      <w:r w:rsidRPr="00E1629A">
        <w:rPr>
          <w:lang w:val="fr-FR"/>
        </w:rPr>
        <w:t>En 2016</w:t>
      </w:r>
      <w:r w:rsidR="00444343" w:rsidRPr="00E1629A">
        <w:rPr>
          <w:lang w:val="fr-FR"/>
        </w:rPr>
        <w:t xml:space="preserve">, le Bureau de la déontologie a </w:t>
      </w:r>
      <w:r w:rsidR="00CB58EB" w:rsidRPr="00E1629A">
        <w:rPr>
          <w:lang w:val="fr-FR"/>
        </w:rPr>
        <w:t xml:space="preserve">également </w:t>
      </w:r>
      <w:r w:rsidR="00444343" w:rsidRPr="00E1629A">
        <w:rPr>
          <w:lang w:val="fr-FR"/>
        </w:rPr>
        <w:t>participé, par l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>intermédiaire du coordinateur de l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>OMPI, à des enquêtes et initiatives menées à l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>échelle du systè</w:t>
      </w:r>
      <w:r w:rsidR="00E1629A" w:rsidRPr="00E1629A">
        <w:rPr>
          <w:lang w:val="fr-FR"/>
        </w:rPr>
        <w:t>me.  Il</w:t>
      </w:r>
      <w:r w:rsidR="00CB58EB" w:rsidRPr="00E1629A">
        <w:rPr>
          <w:lang w:val="fr-FR"/>
        </w:rPr>
        <w:t xml:space="preserve"> a notamment</w:t>
      </w:r>
      <w:r w:rsidR="00444343" w:rsidRPr="00E1629A">
        <w:rPr>
          <w:lang w:val="fr-FR"/>
        </w:rPr>
        <w:t xml:space="preserve"> contribu</w:t>
      </w:r>
      <w:r w:rsidR="00CB58EB" w:rsidRPr="00E1629A">
        <w:rPr>
          <w:lang w:val="fr-FR"/>
        </w:rPr>
        <w:t>é aux t</w:t>
      </w:r>
      <w:r w:rsidR="00444343" w:rsidRPr="00E1629A">
        <w:rPr>
          <w:lang w:val="fr-FR"/>
        </w:rPr>
        <w:t>ravaux effectués par le Corps commun d</w:t>
      </w:r>
      <w:r w:rsidRPr="00E1629A">
        <w:rPr>
          <w:lang w:val="fr-FR"/>
        </w:rPr>
        <w:t>’</w:t>
      </w:r>
      <w:r w:rsidR="00444343" w:rsidRPr="00E1629A">
        <w:rPr>
          <w:lang w:val="fr-FR"/>
        </w:rPr>
        <w:t xml:space="preserve">inspection des </w:t>
      </w:r>
      <w:r w:rsidRPr="00E1629A">
        <w:rPr>
          <w:lang w:val="fr-FR"/>
        </w:rPr>
        <w:t>Nations Unies</w:t>
      </w:r>
      <w:r w:rsidR="00444343" w:rsidRPr="00E1629A">
        <w:rPr>
          <w:lang w:val="fr-FR"/>
        </w:rPr>
        <w:t xml:space="preserve"> en matière de prévention, détection et répression de la fraude dans le système des </w:t>
      </w:r>
      <w:r w:rsidRPr="00E1629A">
        <w:rPr>
          <w:lang w:val="fr-FR"/>
        </w:rPr>
        <w:t>Nations Unies</w:t>
      </w:r>
      <w:r w:rsidR="00444343" w:rsidRPr="00E1629A">
        <w:rPr>
          <w:lang w:val="fr-FR"/>
        </w:rPr>
        <w:t>.</w:t>
      </w:r>
    </w:p>
    <w:p w:rsidR="00696EE6" w:rsidRDefault="00444343" w:rsidP="00906157">
      <w:pPr>
        <w:pStyle w:val="Heading1"/>
      </w:pPr>
      <w:r w:rsidRPr="00E1629A">
        <w:t xml:space="preserve">Harmonisation avec les meilleures pratiques en vigueur dans les organisations appliquant le régime commun des </w:t>
      </w:r>
      <w:r w:rsidR="00696EE6" w:rsidRPr="00E1629A">
        <w:t>Nations Unies</w:t>
      </w:r>
    </w:p>
    <w:p w:rsidR="00906157" w:rsidRPr="00906157" w:rsidRDefault="00906157" w:rsidP="00906157">
      <w:pPr>
        <w:rPr>
          <w:lang w:val="fr-FR"/>
        </w:rPr>
      </w:pPr>
    </w:p>
    <w:p w:rsidR="00D504D2" w:rsidRPr="00E1629A" w:rsidRDefault="00444343" w:rsidP="00E1629A">
      <w:pPr>
        <w:pStyle w:val="ONUMFS"/>
        <w:rPr>
          <w:lang w:val="fr-FR" w:eastAsia="en-US"/>
        </w:rPr>
      </w:pPr>
      <w:r w:rsidRPr="00E1629A">
        <w:rPr>
          <w:lang w:val="fr-FR" w:eastAsia="en-US"/>
        </w:rPr>
        <w:t>Le Bureau de la déontologie de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OMPI joue un rôle actif dans le réseau d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éthique des organisations multilatérales, qui vise à promouvoir une collaboration à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échelle de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 xml:space="preserve">ensemble du système des </w:t>
      </w:r>
      <w:r w:rsidR="00696EE6" w:rsidRPr="00E1629A">
        <w:rPr>
          <w:lang w:val="fr-FR" w:eastAsia="en-US"/>
        </w:rPr>
        <w:t>Nations Unies</w:t>
      </w:r>
      <w:r w:rsidRPr="00E1629A">
        <w:rPr>
          <w:lang w:val="fr-FR" w:eastAsia="en-US"/>
        </w:rPr>
        <w:t xml:space="preserve"> sur les questions de déontolog</w:t>
      </w:r>
      <w:r w:rsidR="00E1629A" w:rsidRPr="00E1629A">
        <w:rPr>
          <w:lang w:val="fr-FR" w:eastAsia="en-US"/>
        </w:rPr>
        <w:t>ie.  Ce</w:t>
      </w:r>
      <w:r w:rsidRPr="00E1629A">
        <w:rPr>
          <w:lang w:val="fr-FR" w:eastAsia="en-US"/>
        </w:rPr>
        <w:t xml:space="preserve"> réseau constitue un large forum pour les services de déontologie des entités du système des </w:t>
      </w:r>
      <w:r w:rsidR="00696EE6" w:rsidRPr="00E1629A">
        <w:rPr>
          <w:lang w:val="fr-FR" w:eastAsia="en-US"/>
        </w:rPr>
        <w:t>Nations Unies</w:t>
      </w:r>
      <w:r w:rsidRPr="00E1629A">
        <w:rPr>
          <w:lang w:val="fr-FR" w:eastAsia="en-US"/>
        </w:rPr>
        <w:t>, des organisations internationales affiliées et des institutions financières internationales, et permet l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échange de politiques et de pratiques en matière d</w:t>
      </w:r>
      <w:r w:rsidR="00696EE6" w:rsidRPr="00E1629A">
        <w:rPr>
          <w:lang w:val="fr-FR" w:eastAsia="en-US"/>
        </w:rPr>
        <w:t>’</w:t>
      </w:r>
      <w:r w:rsidRPr="00E1629A">
        <w:rPr>
          <w:lang w:val="fr-FR" w:eastAsia="en-US"/>
        </w:rPr>
        <w:t>éthique.</w:t>
      </w:r>
    </w:p>
    <w:p w:rsidR="00D504D2" w:rsidRPr="00906157" w:rsidRDefault="00444343" w:rsidP="00906157">
      <w:pPr>
        <w:pStyle w:val="ONUMFS"/>
        <w:ind w:left="5533"/>
        <w:rPr>
          <w:i/>
          <w:lang w:val="fr-FR"/>
        </w:rPr>
      </w:pPr>
      <w:r w:rsidRPr="00906157">
        <w:rPr>
          <w:i/>
          <w:lang w:val="fr-FR"/>
        </w:rPr>
        <w:t>Le Comité de coordination de l</w:t>
      </w:r>
      <w:r w:rsidR="00696EE6" w:rsidRPr="00906157">
        <w:rPr>
          <w:i/>
          <w:lang w:val="fr-FR"/>
        </w:rPr>
        <w:t>’</w:t>
      </w:r>
      <w:r w:rsidRPr="00906157">
        <w:rPr>
          <w:i/>
          <w:lang w:val="fr-FR"/>
        </w:rPr>
        <w:t xml:space="preserve">OMPI est invité à prendre note du “Rapport annuel du Bureau de la déontologie” (document </w:t>
      </w:r>
      <w:proofErr w:type="spellStart"/>
      <w:r w:rsidRPr="00906157">
        <w:rPr>
          <w:i/>
          <w:lang w:val="fr-FR"/>
        </w:rPr>
        <w:t>WO</w:t>
      </w:r>
      <w:proofErr w:type="spellEnd"/>
      <w:r w:rsidRPr="00906157">
        <w:rPr>
          <w:i/>
          <w:lang w:val="fr-FR"/>
        </w:rPr>
        <w:t>/CC/74/3).</w:t>
      </w:r>
    </w:p>
    <w:p w:rsidR="00D504D2" w:rsidRPr="00E1629A" w:rsidRDefault="00D504D2" w:rsidP="001F4F14">
      <w:pPr>
        <w:tabs>
          <w:tab w:val="left" w:pos="1920"/>
        </w:tabs>
        <w:ind w:left="5533"/>
        <w:rPr>
          <w:lang w:val="fr-FR"/>
        </w:rPr>
      </w:pPr>
    </w:p>
    <w:p w:rsidR="00E1629A" w:rsidRPr="00E1629A" w:rsidRDefault="00E1629A" w:rsidP="001F4F14">
      <w:pPr>
        <w:tabs>
          <w:tab w:val="left" w:pos="1920"/>
        </w:tabs>
        <w:ind w:left="5533"/>
        <w:rPr>
          <w:lang w:val="fr-FR"/>
        </w:rPr>
      </w:pPr>
    </w:p>
    <w:p w:rsidR="00CB6046" w:rsidRPr="00E1629A" w:rsidRDefault="00444343" w:rsidP="001F4F14">
      <w:pPr>
        <w:tabs>
          <w:tab w:val="left" w:pos="1920"/>
        </w:tabs>
        <w:ind w:left="5533"/>
        <w:rPr>
          <w:lang w:val="fr-FR"/>
        </w:rPr>
      </w:pPr>
      <w:r w:rsidRPr="00E1629A">
        <w:rPr>
          <w:lang w:val="fr-FR"/>
        </w:rPr>
        <w:t>[Fin du document]</w:t>
      </w:r>
    </w:p>
    <w:sectPr w:rsidR="00CB6046" w:rsidRPr="00E1629A" w:rsidSect="00BD1C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75" w:rsidRDefault="00281875">
      <w:r>
        <w:separator/>
      </w:r>
    </w:p>
  </w:endnote>
  <w:endnote w:type="continuationSeparator" w:id="0">
    <w:p w:rsidR="00281875" w:rsidRDefault="00281875" w:rsidP="003B38C1">
      <w:r>
        <w:separator/>
      </w:r>
    </w:p>
    <w:p w:rsidR="00281875" w:rsidRPr="003B38C1" w:rsidRDefault="0028187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81875" w:rsidRPr="003B38C1" w:rsidRDefault="0028187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A7" w:rsidRDefault="00034A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A7" w:rsidRDefault="00034A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A7" w:rsidRDefault="00034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75" w:rsidRDefault="00281875">
      <w:r>
        <w:separator/>
      </w:r>
    </w:p>
  </w:footnote>
  <w:footnote w:type="continuationSeparator" w:id="0">
    <w:p w:rsidR="00281875" w:rsidRDefault="00281875" w:rsidP="008B60B2">
      <w:r>
        <w:separator/>
      </w:r>
    </w:p>
    <w:p w:rsidR="00281875" w:rsidRPr="00ED77FB" w:rsidRDefault="0028187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81875" w:rsidRPr="00ED77FB" w:rsidRDefault="0028187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2537F" w:rsidRPr="00B905C4" w:rsidRDefault="0052537F" w:rsidP="0052537F">
      <w:pPr>
        <w:pStyle w:val="FootnoteText"/>
        <w:rPr>
          <w:lang w:val="fr-CH"/>
        </w:rPr>
      </w:pPr>
      <w:r w:rsidRPr="00B905C4">
        <w:rPr>
          <w:rStyle w:val="FootnoteReference"/>
        </w:rPr>
        <w:footnoteRef/>
      </w:r>
      <w:r w:rsidRPr="00B905C4">
        <w:rPr>
          <w:lang w:val="fr-CH"/>
        </w:rPr>
        <w:t xml:space="preserve"> </w:t>
      </w:r>
      <w:r w:rsidR="00E1629A">
        <w:rPr>
          <w:lang w:val="fr-CH"/>
        </w:rPr>
        <w:tab/>
      </w:r>
      <w:r w:rsidRPr="00B905C4">
        <w:rPr>
          <w:lang w:val="fr-CH"/>
        </w:rPr>
        <w:t>La résolution 60/248 de l</w:t>
      </w:r>
      <w:r w:rsidR="00F318B6">
        <w:rPr>
          <w:lang w:val="fr-CH"/>
        </w:rPr>
        <w:t>’</w:t>
      </w:r>
      <w:r w:rsidRPr="00B905C4">
        <w:rPr>
          <w:lang w:val="fr-CH"/>
        </w:rPr>
        <w:t xml:space="preserve">Assemblée générale des </w:t>
      </w:r>
      <w:r w:rsidR="00F318B6">
        <w:rPr>
          <w:lang w:val="fr-CH"/>
        </w:rPr>
        <w:t>Nations Unies</w:t>
      </w:r>
      <w:r w:rsidRPr="00B905C4">
        <w:rPr>
          <w:lang w:val="fr-CH"/>
        </w:rPr>
        <w:t xml:space="preserve">, datant de </w:t>
      </w:r>
      <w:r w:rsidR="00F318B6" w:rsidRPr="00B905C4">
        <w:rPr>
          <w:lang w:val="fr-CH"/>
        </w:rPr>
        <w:t>décembre</w:t>
      </w:r>
      <w:r w:rsidR="00F318B6">
        <w:rPr>
          <w:lang w:val="fr-CH"/>
        </w:rPr>
        <w:t> </w:t>
      </w:r>
      <w:r w:rsidR="00F318B6" w:rsidRPr="00B905C4">
        <w:rPr>
          <w:lang w:val="fr-CH"/>
        </w:rPr>
        <w:t>20</w:t>
      </w:r>
      <w:r w:rsidRPr="00B905C4">
        <w:rPr>
          <w:lang w:val="fr-CH"/>
        </w:rPr>
        <w:t>05, a porté création du Bureau de la déontologie de l</w:t>
      </w:r>
      <w:r w:rsidR="00F318B6">
        <w:rPr>
          <w:lang w:val="fr-CH"/>
        </w:rPr>
        <w:t>’</w:t>
      </w:r>
      <w:r w:rsidRPr="00B905C4">
        <w:rPr>
          <w:lang w:val="fr-CH"/>
        </w:rPr>
        <w:t>O</w:t>
      </w:r>
      <w:r w:rsidR="00AE449C" w:rsidRPr="00B905C4">
        <w:rPr>
          <w:lang w:val="fr-CH"/>
        </w:rPr>
        <w:t>N</w:t>
      </w:r>
      <w:r w:rsidRPr="00B905C4">
        <w:rPr>
          <w:lang w:val="fr-CH"/>
        </w:rPr>
        <w:t>U, qui fait directement rapport au Secrétaire général.</w:t>
      </w:r>
    </w:p>
  </w:footnote>
  <w:footnote w:id="3">
    <w:p w:rsidR="0052537F" w:rsidRPr="0052537F" w:rsidRDefault="0052537F" w:rsidP="0052537F">
      <w:pPr>
        <w:pStyle w:val="FootnoteText"/>
        <w:rPr>
          <w:lang w:val="fr-CH"/>
        </w:rPr>
      </w:pPr>
      <w:r w:rsidRPr="00B905C4">
        <w:rPr>
          <w:rStyle w:val="FootnoteReference"/>
        </w:rPr>
        <w:footnoteRef/>
      </w:r>
      <w:r w:rsidRPr="00B905C4">
        <w:rPr>
          <w:lang w:val="fr-CH"/>
        </w:rPr>
        <w:t xml:space="preserve"> </w:t>
      </w:r>
      <w:r w:rsidR="00E1629A">
        <w:rPr>
          <w:lang w:val="fr-CH"/>
        </w:rPr>
        <w:tab/>
      </w:r>
      <w:r w:rsidRPr="00B905C4">
        <w:rPr>
          <w:lang w:val="fr-CH"/>
        </w:rPr>
        <w:t xml:space="preserve">Le Bureau de la déontologie a été créé en </w:t>
      </w:r>
      <w:r w:rsidR="00F318B6" w:rsidRPr="00B905C4">
        <w:rPr>
          <w:lang w:val="fr-CH"/>
        </w:rPr>
        <w:t>juin</w:t>
      </w:r>
      <w:r w:rsidR="00F318B6">
        <w:rPr>
          <w:lang w:val="fr-CH"/>
        </w:rPr>
        <w:t> </w:t>
      </w:r>
      <w:r w:rsidR="00F318B6" w:rsidRPr="00B905C4">
        <w:rPr>
          <w:lang w:val="fr-CH"/>
        </w:rPr>
        <w:t>20</w:t>
      </w:r>
      <w:r w:rsidRPr="00B905C4">
        <w:rPr>
          <w:lang w:val="fr-CH"/>
        </w:rPr>
        <w:t>10, en relation avec la valeur “responsabilité sur les plans environnemental et social et en termes de gouvernance” du Programme de réorientation stratégique (</w:t>
      </w:r>
      <w:proofErr w:type="spellStart"/>
      <w:r w:rsidRPr="00B905C4">
        <w:rPr>
          <w:lang w:val="fr-CH"/>
        </w:rPr>
        <w:t>PRS</w:t>
      </w:r>
      <w:proofErr w:type="spellEnd"/>
      <w:r w:rsidRPr="00B905C4">
        <w:rPr>
          <w:lang w:val="fr-CH"/>
        </w:rPr>
        <w:t>).</w:t>
      </w:r>
    </w:p>
  </w:footnote>
  <w:footnote w:id="4">
    <w:p w:rsidR="00925A2C" w:rsidRPr="00F93DF6" w:rsidRDefault="00925A2C" w:rsidP="00925A2C">
      <w:pPr>
        <w:pStyle w:val="FootnoteText"/>
        <w:rPr>
          <w:lang w:val="fr-CH"/>
        </w:rPr>
      </w:pPr>
      <w:r w:rsidRPr="00F93DF6">
        <w:rPr>
          <w:rStyle w:val="FootnoteReference"/>
        </w:rPr>
        <w:footnoteRef/>
      </w:r>
      <w:r w:rsidRPr="00F93DF6">
        <w:rPr>
          <w:lang w:val="fr-CH"/>
        </w:rPr>
        <w:t xml:space="preserve"> </w:t>
      </w:r>
      <w:r w:rsidR="00E1629A">
        <w:rPr>
          <w:lang w:val="fr-CH"/>
        </w:rPr>
        <w:tab/>
      </w:r>
      <w:r w:rsidRPr="00F93DF6">
        <w:rPr>
          <w:lang w:val="fr-CH"/>
        </w:rPr>
        <w:t>Rapport annuel du Bureau de la déontologie au Comité de coordination de l</w:t>
      </w:r>
      <w:r w:rsidR="00F318B6">
        <w:rPr>
          <w:lang w:val="fr-CH"/>
        </w:rPr>
        <w:t>’</w:t>
      </w:r>
      <w:proofErr w:type="spellStart"/>
      <w:r w:rsidRPr="00F93DF6">
        <w:rPr>
          <w:lang w:val="fr-CH"/>
        </w:rPr>
        <w:t>OMPI</w:t>
      </w:r>
      <w:proofErr w:type="spellEnd"/>
      <w:r w:rsidRPr="00F93DF6">
        <w:rPr>
          <w:lang w:val="fr-CH"/>
        </w:rPr>
        <w:t xml:space="preserve"> (</w:t>
      </w:r>
      <w:proofErr w:type="spellStart"/>
      <w:r w:rsidRPr="00F93DF6">
        <w:rPr>
          <w:lang w:val="fr-CH"/>
        </w:rPr>
        <w:t>WO</w:t>
      </w:r>
      <w:proofErr w:type="spellEnd"/>
      <w:r w:rsidRPr="00F93DF6">
        <w:rPr>
          <w:lang w:val="fr-CH"/>
        </w:rPr>
        <w:t>/CC/71/3</w:t>
      </w:r>
      <w:r w:rsidR="00AD2186">
        <w:rPr>
          <w:lang w:val="fr-CH"/>
        </w:rPr>
        <w:t> </w:t>
      </w:r>
      <w:proofErr w:type="spellStart"/>
      <w:r w:rsidRPr="00F93DF6">
        <w:rPr>
          <w:lang w:val="fr-CH"/>
        </w:rPr>
        <w:t>Rev</w:t>
      </w:r>
      <w:proofErr w:type="spellEnd"/>
      <w:r w:rsidRPr="00F93DF6">
        <w:rPr>
          <w:lang w:val="fr-CH"/>
        </w:rPr>
        <w:t>., Comité de coordination de l</w:t>
      </w:r>
      <w:r w:rsidR="00F318B6">
        <w:rPr>
          <w:lang w:val="fr-CH"/>
        </w:rPr>
        <w:t>’</w:t>
      </w:r>
      <w:proofErr w:type="spellStart"/>
      <w:r w:rsidRPr="00F93DF6">
        <w:rPr>
          <w:lang w:val="fr-CH"/>
        </w:rPr>
        <w:t>OMPI</w:t>
      </w:r>
      <w:proofErr w:type="spellEnd"/>
      <w:r w:rsidRPr="00F93DF6">
        <w:rPr>
          <w:lang w:val="fr-CH"/>
        </w:rPr>
        <w:t>, soixante</w:t>
      </w:r>
      <w:r w:rsidR="00F318B6">
        <w:rPr>
          <w:lang w:val="fr-CH"/>
        </w:rPr>
        <w:t> et onzième session</w:t>
      </w:r>
      <w:r w:rsidRPr="00F93DF6">
        <w:rPr>
          <w:lang w:val="fr-CH"/>
        </w:rPr>
        <w:t xml:space="preserve"> (</w:t>
      </w:r>
      <w:proofErr w:type="spellStart"/>
      <w:r w:rsidRPr="00F93DF6">
        <w:rPr>
          <w:lang w:val="fr-CH"/>
        </w:rPr>
        <w:t>46</w:t>
      </w:r>
      <w:r w:rsidRPr="00F93DF6">
        <w:rPr>
          <w:vertAlign w:val="superscript"/>
          <w:lang w:val="fr-CH"/>
        </w:rPr>
        <w:t>e</w:t>
      </w:r>
      <w:proofErr w:type="spellEnd"/>
      <w:r w:rsidR="00034AA7">
        <w:rPr>
          <w:lang w:val="fr-CH"/>
        </w:rPr>
        <w:t> </w:t>
      </w:r>
      <w:r w:rsidRPr="00F93DF6">
        <w:rPr>
          <w:lang w:val="fr-CH"/>
        </w:rPr>
        <w:t>session ordinaire), tenue du 5 au 1</w:t>
      </w:r>
      <w:r w:rsidR="00F318B6" w:rsidRPr="00F93DF6">
        <w:rPr>
          <w:lang w:val="fr-CH"/>
        </w:rPr>
        <w:t>4</w:t>
      </w:r>
      <w:r w:rsidR="00F318B6">
        <w:rPr>
          <w:lang w:val="fr-CH"/>
        </w:rPr>
        <w:t> </w:t>
      </w:r>
      <w:r w:rsidR="00F318B6" w:rsidRPr="00F93DF6">
        <w:rPr>
          <w:lang w:val="fr-CH"/>
        </w:rPr>
        <w:t>octobre</w:t>
      </w:r>
      <w:r w:rsidR="00F318B6">
        <w:rPr>
          <w:lang w:val="fr-CH"/>
        </w:rPr>
        <w:t> </w:t>
      </w:r>
      <w:r w:rsidR="00F318B6" w:rsidRPr="00F93DF6">
        <w:rPr>
          <w:lang w:val="fr-CH"/>
        </w:rPr>
        <w:t>20</w:t>
      </w:r>
      <w:r w:rsidRPr="00F93DF6">
        <w:rPr>
          <w:lang w:val="fr-CH"/>
        </w:rPr>
        <w:t xml:space="preserve">15, et document </w:t>
      </w:r>
      <w:proofErr w:type="spellStart"/>
      <w:r w:rsidRPr="00F93DF6">
        <w:rPr>
          <w:lang w:val="fr-CH"/>
        </w:rPr>
        <w:t>WO</w:t>
      </w:r>
      <w:proofErr w:type="spellEnd"/>
      <w:r w:rsidRPr="00F93DF6">
        <w:rPr>
          <w:lang w:val="fr-CH"/>
        </w:rPr>
        <w:t>/CC/73/2).</w:t>
      </w:r>
    </w:p>
  </w:footnote>
  <w:footnote w:id="5">
    <w:p w:rsidR="008A1A3B" w:rsidRPr="008A1A3B" w:rsidRDefault="008A1A3B">
      <w:pPr>
        <w:pStyle w:val="FootnoteText"/>
        <w:rPr>
          <w:lang w:val="fr-CH"/>
        </w:rPr>
      </w:pPr>
      <w:r w:rsidRPr="00F93DF6">
        <w:rPr>
          <w:rStyle w:val="FootnoteReference"/>
        </w:rPr>
        <w:footnoteRef/>
      </w:r>
      <w:r w:rsidRPr="00F93DF6">
        <w:rPr>
          <w:lang w:val="fr-CH"/>
        </w:rPr>
        <w:t xml:space="preserve"> </w:t>
      </w:r>
      <w:r w:rsidR="00E1629A">
        <w:rPr>
          <w:lang w:val="fr-CH"/>
        </w:rPr>
        <w:tab/>
      </w:r>
      <w:r w:rsidRPr="00F93DF6">
        <w:rPr>
          <w:lang w:val="fr-CH"/>
        </w:rPr>
        <w:t>L</w:t>
      </w:r>
      <w:r w:rsidR="00F318B6">
        <w:rPr>
          <w:lang w:val="fr-CH"/>
        </w:rPr>
        <w:t>’</w:t>
      </w:r>
      <w:r w:rsidRPr="00F93DF6">
        <w:rPr>
          <w:lang w:val="fr-CH"/>
        </w:rPr>
        <w:t>ordre de service</w:t>
      </w:r>
      <w:r w:rsidR="005E2F1B" w:rsidRPr="00F93DF6">
        <w:rPr>
          <w:lang w:val="fr-CH"/>
        </w:rPr>
        <w:t xml:space="preserve"> de l</w:t>
      </w:r>
      <w:r w:rsidR="00F318B6">
        <w:rPr>
          <w:lang w:val="fr-CH"/>
        </w:rPr>
        <w:t>’</w:t>
      </w:r>
      <w:proofErr w:type="spellStart"/>
      <w:r w:rsidR="005E2F1B" w:rsidRPr="00F93DF6">
        <w:rPr>
          <w:lang w:val="fr-CH"/>
        </w:rPr>
        <w:t>OMPI</w:t>
      </w:r>
      <w:proofErr w:type="spellEnd"/>
      <w:r w:rsidR="005E2F1B" w:rsidRPr="00F93DF6">
        <w:rPr>
          <w:lang w:val="fr-CH"/>
        </w:rPr>
        <w:t xml:space="preserve"> n° 25/2010, </w:t>
      </w:r>
      <w:r w:rsidRPr="00F93DF6">
        <w:rPr>
          <w:lang w:val="fr-CH"/>
        </w:rPr>
        <w:t xml:space="preserve">du </w:t>
      </w:r>
      <w:r w:rsidR="00F318B6" w:rsidRPr="00F93DF6">
        <w:rPr>
          <w:lang w:val="fr-CH"/>
        </w:rPr>
        <w:t>9</w:t>
      </w:r>
      <w:r w:rsidR="00F318B6">
        <w:rPr>
          <w:lang w:val="fr-CH"/>
        </w:rPr>
        <w:t> </w:t>
      </w:r>
      <w:r w:rsidR="00F318B6" w:rsidRPr="00F93DF6">
        <w:rPr>
          <w:lang w:val="fr-CH"/>
        </w:rPr>
        <w:t>juin</w:t>
      </w:r>
      <w:r w:rsidR="00F318B6">
        <w:rPr>
          <w:lang w:val="fr-CH"/>
        </w:rPr>
        <w:t> </w:t>
      </w:r>
      <w:r w:rsidR="00F318B6" w:rsidRPr="00F93DF6">
        <w:rPr>
          <w:lang w:val="fr-CH"/>
        </w:rPr>
        <w:t>20</w:t>
      </w:r>
      <w:r w:rsidRPr="00F93DF6">
        <w:rPr>
          <w:lang w:val="fr-CH"/>
        </w:rPr>
        <w:t>10, stipule que le Bureau de la déontologie de l</w:t>
      </w:r>
      <w:r w:rsidR="00F318B6">
        <w:rPr>
          <w:lang w:val="fr-CH"/>
        </w:rPr>
        <w:t>’</w:t>
      </w:r>
      <w:proofErr w:type="spellStart"/>
      <w:r w:rsidRPr="00F93DF6">
        <w:rPr>
          <w:lang w:val="fr-CH"/>
        </w:rPr>
        <w:t>OMPI</w:t>
      </w:r>
      <w:proofErr w:type="spellEnd"/>
      <w:r w:rsidRPr="00F93DF6">
        <w:rPr>
          <w:lang w:val="fr-CH"/>
        </w:rPr>
        <w:t xml:space="preserve"> jouit de l</w:t>
      </w:r>
      <w:r w:rsidR="00F318B6">
        <w:rPr>
          <w:lang w:val="fr-CH"/>
        </w:rPr>
        <w:t>’</w:t>
      </w:r>
      <w:r w:rsidRPr="00F93DF6">
        <w:rPr>
          <w:lang w:val="fr-CH"/>
        </w:rPr>
        <w:t>indépendance requise pour s</w:t>
      </w:r>
      <w:r w:rsidR="00F318B6">
        <w:rPr>
          <w:lang w:val="fr-CH"/>
        </w:rPr>
        <w:t>’</w:t>
      </w:r>
      <w:r w:rsidRPr="00F93DF6">
        <w:rPr>
          <w:lang w:val="fr-CH"/>
        </w:rPr>
        <w:t>acquitter efficacement de ses fonctions.</w:t>
      </w:r>
    </w:p>
  </w:footnote>
  <w:footnote w:id="6">
    <w:p w:rsidR="00207C91" w:rsidRPr="00F93DF6" w:rsidRDefault="00207C91" w:rsidP="00325CFF">
      <w:pPr>
        <w:pStyle w:val="FootnoteText"/>
        <w:rPr>
          <w:lang w:val="fr-CH"/>
        </w:rPr>
      </w:pPr>
      <w:r w:rsidRPr="00F93DF6">
        <w:rPr>
          <w:rStyle w:val="FootnoteReference"/>
        </w:rPr>
        <w:footnoteRef/>
      </w:r>
      <w:r w:rsidRPr="00F93DF6">
        <w:rPr>
          <w:lang w:val="fr-CH"/>
        </w:rPr>
        <w:t xml:space="preserve"> </w:t>
      </w:r>
      <w:r w:rsidR="00E1629A">
        <w:rPr>
          <w:lang w:val="fr-CH"/>
        </w:rPr>
        <w:tab/>
      </w:r>
      <w:r w:rsidR="00325CFF" w:rsidRPr="00F93DF6">
        <w:rPr>
          <w:lang w:val="fr-CH"/>
        </w:rPr>
        <w:t>Code de déontologie de l</w:t>
      </w:r>
      <w:r w:rsidR="00F318B6">
        <w:rPr>
          <w:lang w:val="fr-CH"/>
        </w:rPr>
        <w:t>’</w:t>
      </w:r>
      <w:proofErr w:type="spellStart"/>
      <w:r w:rsidR="00325CFF" w:rsidRPr="00F93DF6">
        <w:rPr>
          <w:lang w:val="fr-CH"/>
        </w:rPr>
        <w:t>OMPI</w:t>
      </w:r>
      <w:proofErr w:type="spellEnd"/>
      <w:r w:rsidR="00325CFF" w:rsidRPr="00F93DF6">
        <w:rPr>
          <w:lang w:val="fr-CH"/>
        </w:rPr>
        <w:t>, ordre de service n°</w:t>
      </w:r>
      <w:r w:rsidR="00AD2186">
        <w:rPr>
          <w:lang w:val="fr-CH"/>
        </w:rPr>
        <w:t> </w:t>
      </w:r>
      <w:r w:rsidR="00325CFF" w:rsidRPr="00F93DF6">
        <w:rPr>
          <w:lang w:val="fr-CH"/>
        </w:rPr>
        <w:t>84/2012 du 2</w:t>
      </w:r>
      <w:r w:rsidR="00F318B6" w:rsidRPr="00F93DF6">
        <w:rPr>
          <w:lang w:val="fr-CH"/>
        </w:rPr>
        <w:t>8</w:t>
      </w:r>
      <w:r w:rsidR="00F318B6">
        <w:rPr>
          <w:lang w:val="fr-CH"/>
        </w:rPr>
        <w:t> </w:t>
      </w:r>
      <w:r w:rsidR="00F318B6" w:rsidRPr="00F93DF6">
        <w:rPr>
          <w:lang w:val="fr-CH"/>
        </w:rPr>
        <w:t>décembre</w:t>
      </w:r>
      <w:r w:rsidR="00F318B6">
        <w:rPr>
          <w:lang w:val="fr-CH"/>
        </w:rPr>
        <w:t> </w:t>
      </w:r>
      <w:r w:rsidR="00F318B6" w:rsidRPr="00F93DF6">
        <w:rPr>
          <w:lang w:val="fr-CH"/>
        </w:rPr>
        <w:t>20</w:t>
      </w:r>
      <w:r w:rsidR="00325CFF" w:rsidRPr="00F93DF6">
        <w:rPr>
          <w:lang w:val="fr-CH"/>
        </w:rPr>
        <w:t>12, avec effet au</w:t>
      </w:r>
      <w:r w:rsidR="00F318B6">
        <w:rPr>
          <w:lang w:val="fr-CH"/>
        </w:rPr>
        <w:t xml:space="preserve"> 1</w:t>
      </w:r>
      <w:r w:rsidR="00F318B6" w:rsidRPr="00F318B6">
        <w:rPr>
          <w:vertAlign w:val="superscript"/>
          <w:lang w:val="fr-CH"/>
        </w:rPr>
        <w:t>er</w:t>
      </w:r>
      <w:r w:rsidR="00F318B6">
        <w:rPr>
          <w:lang w:val="fr-CH"/>
        </w:rPr>
        <w:t> </w:t>
      </w:r>
      <w:r w:rsidR="00F318B6" w:rsidRPr="00F93DF6">
        <w:rPr>
          <w:lang w:val="fr-CH"/>
        </w:rPr>
        <w:t>janvier</w:t>
      </w:r>
      <w:r w:rsidR="00F318B6">
        <w:rPr>
          <w:lang w:val="fr-CH"/>
        </w:rPr>
        <w:t> </w:t>
      </w:r>
      <w:r w:rsidR="00F318B6" w:rsidRPr="00F93DF6">
        <w:rPr>
          <w:lang w:val="fr-CH"/>
        </w:rPr>
        <w:t>20</w:t>
      </w:r>
      <w:r w:rsidR="00325CFF" w:rsidRPr="00F93DF6">
        <w:rPr>
          <w:lang w:val="fr-CH"/>
        </w:rPr>
        <w:t>13.</w:t>
      </w:r>
    </w:p>
  </w:footnote>
  <w:footnote w:id="7">
    <w:p w:rsidR="000474A5" w:rsidRPr="00A82430" w:rsidRDefault="000474A5" w:rsidP="000474A5">
      <w:pPr>
        <w:pStyle w:val="FootnoteText"/>
        <w:rPr>
          <w:lang w:val="fr-CH"/>
        </w:rPr>
      </w:pPr>
      <w:r w:rsidRPr="00A82430">
        <w:rPr>
          <w:rStyle w:val="FootnoteReference"/>
        </w:rPr>
        <w:footnoteRef/>
      </w:r>
      <w:r w:rsidRPr="00A82430">
        <w:rPr>
          <w:lang w:val="fr-CH"/>
        </w:rPr>
        <w:t xml:space="preserve"> </w:t>
      </w:r>
      <w:r w:rsidR="00E1629A">
        <w:rPr>
          <w:lang w:val="fr-CH"/>
        </w:rPr>
        <w:tab/>
      </w:r>
      <w:r w:rsidR="00F318B6" w:rsidRPr="00A82430">
        <w:rPr>
          <w:lang w:val="fr-CH"/>
        </w:rPr>
        <w:t>Paragraphe</w:t>
      </w:r>
      <w:r w:rsidR="00F318B6">
        <w:rPr>
          <w:lang w:val="fr-CH"/>
        </w:rPr>
        <w:t> </w:t>
      </w:r>
      <w:r w:rsidR="00F318B6" w:rsidRPr="00A82430">
        <w:rPr>
          <w:lang w:val="fr-CH"/>
        </w:rPr>
        <w:t>1</w:t>
      </w:r>
      <w:r w:rsidRPr="00A82430">
        <w:rPr>
          <w:lang w:val="fr-CH"/>
        </w:rPr>
        <w:t xml:space="preserve">70 du document </w:t>
      </w:r>
      <w:proofErr w:type="spellStart"/>
      <w:r w:rsidRPr="00A82430">
        <w:rPr>
          <w:lang w:val="fr-CH"/>
        </w:rPr>
        <w:t>WO</w:t>
      </w:r>
      <w:proofErr w:type="spellEnd"/>
      <w:r w:rsidRPr="00A82430">
        <w:rPr>
          <w:lang w:val="fr-CH"/>
        </w:rPr>
        <w:t>/CC/73/7</w:t>
      </w:r>
      <w:r w:rsidR="00A82430" w:rsidRPr="00A82430">
        <w:rPr>
          <w:lang w:val="fr-CH"/>
        </w:rPr>
        <w:t>.</w:t>
      </w:r>
    </w:p>
  </w:footnote>
  <w:footnote w:id="8">
    <w:p w:rsidR="000474A5" w:rsidRPr="00A82430" w:rsidRDefault="000474A5" w:rsidP="00D504D2">
      <w:pPr>
        <w:pStyle w:val="FootnoteText"/>
        <w:rPr>
          <w:lang w:val="fr-CH"/>
        </w:rPr>
      </w:pPr>
      <w:r w:rsidRPr="00A82430">
        <w:rPr>
          <w:rStyle w:val="FootnoteReference"/>
        </w:rPr>
        <w:footnoteRef/>
      </w:r>
      <w:r w:rsidRPr="00A82430">
        <w:rPr>
          <w:lang w:val="fr-CH"/>
        </w:rPr>
        <w:t xml:space="preserve"> </w:t>
      </w:r>
      <w:r w:rsidR="00E1629A">
        <w:rPr>
          <w:lang w:val="fr-CH"/>
        </w:rPr>
        <w:tab/>
      </w:r>
      <w:r w:rsidR="00D504D2" w:rsidRPr="00A82430">
        <w:rPr>
          <w:lang w:val="fr-CH"/>
        </w:rPr>
        <w:t>Audit du cadre éthique de l</w:t>
      </w:r>
      <w:r w:rsidR="00F318B6">
        <w:rPr>
          <w:lang w:val="fr-CH"/>
        </w:rPr>
        <w:t>’</w:t>
      </w:r>
      <w:proofErr w:type="spellStart"/>
      <w:r w:rsidR="00D504D2" w:rsidRPr="00A82430">
        <w:rPr>
          <w:lang w:val="fr-CH"/>
        </w:rPr>
        <w:t>OMPI</w:t>
      </w:r>
      <w:proofErr w:type="spellEnd"/>
      <w:r w:rsidR="00D504D2" w:rsidRPr="00A82430">
        <w:rPr>
          <w:lang w:val="fr-CH"/>
        </w:rPr>
        <w:t>, référence</w:t>
      </w:r>
      <w:r w:rsidR="00F318B6">
        <w:rPr>
          <w:lang w:val="fr-CH"/>
        </w:rPr>
        <w:t> </w:t>
      </w:r>
      <w:proofErr w:type="gramStart"/>
      <w:r w:rsidR="00F318B6">
        <w:rPr>
          <w:lang w:val="fr-CH"/>
        </w:rPr>
        <w:t>:</w:t>
      </w:r>
      <w:r w:rsidR="00D504D2" w:rsidRPr="00A82430">
        <w:rPr>
          <w:lang w:val="fr-CH"/>
        </w:rPr>
        <w:t xml:space="preserve"> IA</w:t>
      </w:r>
      <w:proofErr w:type="gramEnd"/>
      <w:r w:rsidR="00034AA7">
        <w:rPr>
          <w:lang w:val="fr-CH"/>
        </w:rPr>
        <w:t> </w:t>
      </w:r>
      <w:r w:rsidR="00D504D2" w:rsidRPr="00A82430">
        <w:rPr>
          <w:lang w:val="fr-CH"/>
        </w:rPr>
        <w:t>2016</w:t>
      </w:r>
      <w:r w:rsidR="006A420E">
        <w:rPr>
          <w:lang w:val="fr-CH"/>
        </w:rPr>
        <w:noBreakHyphen/>
      </w:r>
      <w:r w:rsidR="00D504D2" w:rsidRPr="00A82430">
        <w:rPr>
          <w:lang w:val="fr-CH"/>
        </w:rPr>
        <w:t xml:space="preserve">06, </w:t>
      </w:r>
      <w:r w:rsidR="00F318B6" w:rsidRPr="00A82430">
        <w:rPr>
          <w:lang w:val="fr-CH"/>
        </w:rPr>
        <w:t>6</w:t>
      </w:r>
      <w:r w:rsidR="00F318B6">
        <w:rPr>
          <w:lang w:val="fr-CH"/>
        </w:rPr>
        <w:t> </w:t>
      </w:r>
      <w:r w:rsidR="00F318B6" w:rsidRPr="00A82430">
        <w:rPr>
          <w:lang w:val="fr-CH"/>
        </w:rPr>
        <w:t>mars</w:t>
      </w:r>
      <w:r w:rsidR="00F318B6">
        <w:rPr>
          <w:lang w:val="fr-CH"/>
        </w:rPr>
        <w:t> </w:t>
      </w:r>
      <w:r w:rsidR="00F318B6" w:rsidRPr="00A82430">
        <w:rPr>
          <w:lang w:val="fr-CH"/>
        </w:rPr>
        <w:t>20</w:t>
      </w:r>
      <w:r w:rsidR="00D504D2" w:rsidRPr="00A82430">
        <w:rPr>
          <w:lang w:val="fr-CH"/>
        </w:rPr>
        <w:t>17</w:t>
      </w:r>
      <w:r w:rsidR="00A82430" w:rsidRPr="00A82430">
        <w:rPr>
          <w:lang w:val="fr-CH"/>
        </w:rPr>
        <w:t>.</w:t>
      </w:r>
    </w:p>
  </w:footnote>
  <w:footnote w:id="9">
    <w:p w:rsidR="00D504D2" w:rsidRPr="00DC76AF" w:rsidRDefault="00D504D2" w:rsidP="00DC76AF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D504D2">
        <w:rPr>
          <w:lang w:val="fr-CH"/>
        </w:rPr>
        <w:t xml:space="preserve"> </w:t>
      </w:r>
      <w:r w:rsidR="00E1629A">
        <w:rPr>
          <w:lang w:val="fr-CH"/>
        </w:rPr>
        <w:tab/>
      </w:r>
      <w:r w:rsidRPr="00CB58EB">
        <w:rPr>
          <w:lang w:val="fr-CH"/>
        </w:rPr>
        <w:t>Audit du cadre éthique de l</w:t>
      </w:r>
      <w:r w:rsidR="00F318B6">
        <w:rPr>
          <w:lang w:val="fr-CH"/>
        </w:rPr>
        <w:t>’</w:t>
      </w:r>
      <w:proofErr w:type="spellStart"/>
      <w:r w:rsidRPr="00CB58EB">
        <w:rPr>
          <w:lang w:val="fr-CH"/>
        </w:rPr>
        <w:t>OMPI</w:t>
      </w:r>
      <w:proofErr w:type="spellEnd"/>
      <w:r w:rsidRPr="00CB58EB">
        <w:rPr>
          <w:lang w:val="fr-CH"/>
        </w:rPr>
        <w:t>, référence</w:t>
      </w:r>
      <w:r w:rsidR="00F318B6">
        <w:rPr>
          <w:lang w:val="fr-CH"/>
        </w:rPr>
        <w:t> </w:t>
      </w:r>
      <w:proofErr w:type="gramStart"/>
      <w:r w:rsidR="00F318B6">
        <w:rPr>
          <w:lang w:val="fr-CH"/>
        </w:rPr>
        <w:t>:</w:t>
      </w:r>
      <w:r w:rsidRPr="00CB58EB">
        <w:rPr>
          <w:lang w:val="fr-CH"/>
        </w:rPr>
        <w:t xml:space="preserve"> IA</w:t>
      </w:r>
      <w:proofErr w:type="gramEnd"/>
      <w:r w:rsidR="00034AA7">
        <w:rPr>
          <w:lang w:val="fr-CH"/>
        </w:rPr>
        <w:t> </w:t>
      </w:r>
      <w:r w:rsidRPr="00CB58EB">
        <w:rPr>
          <w:lang w:val="fr-CH"/>
        </w:rPr>
        <w:t>2016</w:t>
      </w:r>
      <w:r w:rsidR="006A420E">
        <w:rPr>
          <w:lang w:val="fr-CH"/>
        </w:rPr>
        <w:noBreakHyphen/>
      </w:r>
      <w:r w:rsidRPr="00CB58EB">
        <w:rPr>
          <w:lang w:val="fr-CH"/>
        </w:rPr>
        <w:t xml:space="preserve">06, </w:t>
      </w:r>
      <w:r w:rsidR="00F318B6" w:rsidRPr="00CB58EB">
        <w:rPr>
          <w:lang w:val="fr-CH"/>
        </w:rPr>
        <w:t>6</w:t>
      </w:r>
      <w:r w:rsidR="00F318B6">
        <w:rPr>
          <w:lang w:val="fr-CH"/>
        </w:rPr>
        <w:t> </w:t>
      </w:r>
      <w:r w:rsidR="00F318B6" w:rsidRPr="00CB58EB">
        <w:rPr>
          <w:lang w:val="fr-CH"/>
        </w:rPr>
        <w:t>mars</w:t>
      </w:r>
      <w:r w:rsidR="00F318B6">
        <w:rPr>
          <w:lang w:val="fr-CH"/>
        </w:rPr>
        <w:t> </w:t>
      </w:r>
      <w:r w:rsidR="00F318B6" w:rsidRPr="00CB58EB">
        <w:rPr>
          <w:lang w:val="fr-CH"/>
        </w:rPr>
        <w:t>20</w:t>
      </w:r>
      <w:r w:rsidRPr="00CB58EB">
        <w:rPr>
          <w:lang w:val="fr-CH"/>
        </w:rPr>
        <w:t xml:space="preserve">17.  </w:t>
      </w:r>
      <w:r w:rsidR="00DC76AF" w:rsidRPr="00CB58EB">
        <w:rPr>
          <w:lang w:val="fr-CH"/>
        </w:rPr>
        <w:t>Le Bureau de la déontologie est chargé d</w:t>
      </w:r>
      <w:r w:rsidR="00F318B6">
        <w:rPr>
          <w:lang w:val="fr-CH"/>
        </w:rPr>
        <w:t>’</w:t>
      </w:r>
      <w:r w:rsidR="00DC76AF" w:rsidRPr="00CB58EB">
        <w:rPr>
          <w:lang w:val="fr-CH"/>
        </w:rPr>
        <w:t>examiner et de mettre en œuvre, s</w:t>
      </w:r>
      <w:r w:rsidR="00F318B6">
        <w:rPr>
          <w:lang w:val="fr-CH"/>
        </w:rPr>
        <w:t>’</w:t>
      </w:r>
      <w:r w:rsidR="00DC76AF" w:rsidRPr="00CB58EB">
        <w:rPr>
          <w:lang w:val="fr-CH"/>
        </w:rPr>
        <w:t>il y a lieu, l</w:t>
      </w:r>
      <w:r w:rsidR="00F318B6">
        <w:rPr>
          <w:lang w:val="fr-CH"/>
        </w:rPr>
        <w:t>’</w:t>
      </w:r>
      <w:r w:rsidR="00DC76AF" w:rsidRPr="00CB58EB">
        <w:rPr>
          <w:lang w:val="fr-CH"/>
        </w:rPr>
        <w:t>ensemble complet de</w:t>
      </w:r>
      <w:r w:rsidR="00CB58EB" w:rsidRPr="00CB58EB">
        <w:rPr>
          <w:lang w:val="fr-CH"/>
        </w:rPr>
        <w:t>s</w:t>
      </w:r>
      <w:r w:rsidR="00DC76AF" w:rsidRPr="00CB58EB">
        <w:rPr>
          <w:lang w:val="fr-CH"/>
        </w:rPr>
        <w:t xml:space="preserve"> recommandations, en collaboration avec les </w:t>
      </w:r>
      <w:r w:rsidR="00AD2186">
        <w:rPr>
          <w:lang w:val="fr-CH"/>
        </w:rPr>
        <w:t>10 </w:t>
      </w:r>
      <w:r w:rsidR="00DC76AF" w:rsidRPr="00CB58EB">
        <w:rPr>
          <w:lang w:val="fr-CH"/>
        </w:rPr>
        <w:t>autres parties prenantes expressément recensées dans le rapport.</w:t>
      </w:r>
      <w:r w:rsidR="00CB58EB" w:rsidRPr="00CB58EB">
        <w:rPr>
          <w:lang w:val="fr-CH"/>
        </w:rPr>
        <w:t xml:space="preserve"> </w:t>
      </w:r>
      <w:r w:rsidRPr="00CB58EB">
        <w:rPr>
          <w:lang w:val="fr-CH"/>
        </w:rPr>
        <w:t xml:space="preserve"> </w:t>
      </w:r>
      <w:r w:rsidR="00DC76AF" w:rsidRPr="00CB58EB">
        <w:rPr>
          <w:lang w:val="fr-CH"/>
        </w:rPr>
        <w:t>Le but est de parvenir à la mise en œuvre des recommandations correspondantes jugées prioritaires d</w:t>
      </w:r>
      <w:r w:rsidR="00F318B6">
        <w:rPr>
          <w:lang w:val="fr-CH"/>
        </w:rPr>
        <w:t>’</w:t>
      </w:r>
      <w:r w:rsidR="00DC76AF" w:rsidRPr="00CB58EB">
        <w:rPr>
          <w:lang w:val="fr-CH"/>
        </w:rPr>
        <w:t>ici au milieu de l</w:t>
      </w:r>
      <w:r w:rsidR="00F318B6">
        <w:rPr>
          <w:lang w:val="fr-CH"/>
        </w:rPr>
        <w:t>’</w:t>
      </w:r>
      <w:r w:rsidR="00DC76AF" w:rsidRPr="00CB58EB">
        <w:rPr>
          <w:lang w:val="fr-CH"/>
        </w:rPr>
        <w:t>année</w:t>
      </w:r>
      <w:r w:rsidR="00034AA7">
        <w:rPr>
          <w:lang w:val="fr-CH"/>
        </w:rPr>
        <w:t> </w:t>
      </w:r>
      <w:r w:rsidR="00DC76AF" w:rsidRPr="00CB58EB">
        <w:rPr>
          <w:lang w:val="fr-CH"/>
        </w:rPr>
        <w:t xml:space="preserve">2018, </w:t>
      </w:r>
      <w:r w:rsidR="00F318B6">
        <w:rPr>
          <w:lang w:val="fr-CH"/>
        </w:rPr>
        <w:t>à savoir</w:t>
      </w:r>
      <w:r w:rsidR="00DC76AF" w:rsidRPr="00CB58EB">
        <w:rPr>
          <w:lang w:val="fr-CH"/>
        </w:rPr>
        <w:t xml:space="preserve"> dans un délai de 15</w:t>
      </w:r>
      <w:r w:rsidR="00034AA7">
        <w:rPr>
          <w:lang w:val="fr-CH"/>
        </w:rPr>
        <w:t> </w:t>
      </w:r>
      <w:r w:rsidR="00DC76AF" w:rsidRPr="00CB58EB">
        <w:rPr>
          <w:lang w:val="fr-CH"/>
        </w:rPr>
        <w:t>mois à compter de la date de publication du rapport.</w:t>
      </w:r>
    </w:p>
  </w:footnote>
  <w:footnote w:id="10">
    <w:p w:rsidR="00444343" w:rsidRPr="00444343" w:rsidRDefault="00444343">
      <w:pPr>
        <w:pStyle w:val="FootnoteText"/>
        <w:rPr>
          <w:lang w:val="fr-CH"/>
        </w:rPr>
      </w:pPr>
      <w:r w:rsidRPr="00E1629A">
        <w:rPr>
          <w:rStyle w:val="FootnoteReference"/>
        </w:rPr>
        <w:footnoteRef/>
      </w:r>
      <w:r w:rsidRPr="00E1629A">
        <w:rPr>
          <w:lang w:val="fr-CH"/>
        </w:rPr>
        <w:t xml:space="preserve"> </w:t>
      </w:r>
      <w:r w:rsidR="00E1629A">
        <w:rPr>
          <w:lang w:val="fr-CH"/>
        </w:rPr>
        <w:tab/>
      </w:r>
      <w:r w:rsidR="00F318B6" w:rsidRPr="00E1629A">
        <w:rPr>
          <w:lang w:val="fr-CH"/>
        </w:rPr>
        <w:t>Annexe I</w:t>
      </w:r>
      <w:r w:rsidRPr="00E1629A">
        <w:rPr>
          <w:lang w:val="fr-CH"/>
        </w:rPr>
        <w:t>II, Règlement financier de l</w:t>
      </w:r>
      <w:r w:rsidR="00F318B6" w:rsidRPr="00E1629A">
        <w:rPr>
          <w:lang w:val="fr-CH"/>
        </w:rPr>
        <w:t>’</w:t>
      </w:r>
      <w:proofErr w:type="spellStart"/>
      <w:r w:rsidRPr="00E1629A">
        <w:rPr>
          <w:lang w:val="fr-CH"/>
        </w:rPr>
        <w:t>OMPI</w:t>
      </w:r>
      <w:proofErr w:type="spellEnd"/>
      <w:r w:rsidRPr="00E1629A">
        <w:rPr>
          <w:lang w:val="fr-CH"/>
        </w:rPr>
        <w:t xml:space="preserve"> et son règlement d</w:t>
      </w:r>
      <w:r w:rsidR="00F318B6" w:rsidRPr="00E1629A">
        <w:rPr>
          <w:lang w:val="fr-CH"/>
        </w:rPr>
        <w:t>’</w:t>
      </w:r>
      <w:r w:rsidRPr="00E1629A">
        <w:rPr>
          <w:lang w:val="fr-CH"/>
        </w:rPr>
        <w:t>exécution, modifié le 1</w:t>
      </w:r>
      <w:r w:rsidR="00F318B6" w:rsidRPr="00E1629A">
        <w:rPr>
          <w:lang w:val="fr-CH"/>
        </w:rPr>
        <w:t>4 octobre 20</w:t>
      </w:r>
      <w:r w:rsidRPr="00E1629A">
        <w:rPr>
          <w:lang w:val="fr-CH"/>
        </w:rPr>
        <w:t>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A7" w:rsidRDefault="00034A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D1C91" w:rsidP="00477D6B">
    <w:pPr>
      <w:jc w:val="right"/>
    </w:pPr>
    <w:bookmarkStart w:id="6" w:name="Code2"/>
    <w:bookmarkEnd w:id="6"/>
    <w:r>
      <w:t>WO/CC/74/</w:t>
    </w:r>
    <w:r w:rsidR="0085419E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034AA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5C3D96">
      <w:rPr>
        <w:noProof/>
      </w:rPr>
      <w:t>7</w:t>
    </w:r>
    <w:r>
      <w:fldChar w:fldCharType="end"/>
    </w:r>
  </w:p>
  <w:p w:rsidR="00B83611" w:rsidRDefault="00B8361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A7" w:rsidRDefault="00034A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9E4804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2978"/>
        </w:tabs>
        <w:ind w:left="2411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C14589"/>
    <w:multiLevelType w:val="hybridMultilevel"/>
    <w:tmpl w:val="9606F800"/>
    <w:lvl w:ilvl="0" w:tplc="B3B4943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61A15FB"/>
    <w:multiLevelType w:val="hybridMultilevel"/>
    <w:tmpl w:val="F5D0E250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6695C"/>
    <w:multiLevelType w:val="hybridMultilevel"/>
    <w:tmpl w:val="7D1AE874"/>
    <w:lvl w:ilvl="0" w:tplc="B0D8CA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980178"/>
    <w:multiLevelType w:val="hybridMultilevel"/>
    <w:tmpl w:val="FAEE2D1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B19A2"/>
    <w:multiLevelType w:val="multilevel"/>
    <w:tmpl w:val="2476341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368428F3"/>
    <w:multiLevelType w:val="hybridMultilevel"/>
    <w:tmpl w:val="B02E6C84"/>
    <w:lvl w:ilvl="0" w:tplc="21262E6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FE449D2"/>
    <w:multiLevelType w:val="hybridMultilevel"/>
    <w:tmpl w:val="61161B90"/>
    <w:lvl w:ilvl="0" w:tplc="B0D8CA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64034"/>
    <w:multiLevelType w:val="hybridMultilevel"/>
    <w:tmpl w:val="8410CD5C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7195F0E"/>
    <w:multiLevelType w:val="hybridMultilevel"/>
    <w:tmpl w:val="52FAB7D0"/>
    <w:lvl w:ilvl="0" w:tplc="28D24CCA">
      <w:start w:val="8"/>
      <w:numFmt w:val="upperRoman"/>
      <w:lvlText w:val="%1."/>
      <w:lvlJc w:val="left"/>
      <w:pPr>
        <w:ind w:left="1287" w:hanging="72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61043"/>
    <w:multiLevelType w:val="hybridMultilevel"/>
    <w:tmpl w:val="3CCC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25261"/>
    <w:multiLevelType w:val="hybridMultilevel"/>
    <w:tmpl w:val="A8288522"/>
    <w:lvl w:ilvl="0" w:tplc="D194A71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85E2B"/>
    <w:multiLevelType w:val="hybridMultilevel"/>
    <w:tmpl w:val="CDB060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4473D6C"/>
    <w:multiLevelType w:val="hybridMultilevel"/>
    <w:tmpl w:val="C8BC4F44"/>
    <w:lvl w:ilvl="0" w:tplc="6FAA487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441F06"/>
    <w:multiLevelType w:val="hybridMultilevel"/>
    <w:tmpl w:val="AC70B4D0"/>
    <w:lvl w:ilvl="0" w:tplc="B0D8CA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04577"/>
    <w:multiLevelType w:val="hybridMultilevel"/>
    <w:tmpl w:val="3E54942E"/>
    <w:lvl w:ilvl="0" w:tplc="B0D8CA4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806B4"/>
    <w:multiLevelType w:val="hybridMultilevel"/>
    <w:tmpl w:val="780A9248"/>
    <w:lvl w:ilvl="0" w:tplc="6302A88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7"/>
  </w:num>
  <w:num w:numId="7">
    <w:abstractNumId w:val="20"/>
  </w:num>
  <w:num w:numId="8">
    <w:abstractNumId w:val="17"/>
  </w:num>
  <w:num w:numId="9">
    <w:abstractNumId w:val="16"/>
  </w:num>
  <w:num w:numId="10">
    <w:abstractNumId w:val="14"/>
  </w:num>
  <w:num w:numId="11">
    <w:abstractNumId w:val="6"/>
  </w:num>
  <w:num w:numId="12">
    <w:abstractNumId w:val="3"/>
  </w:num>
  <w:num w:numId="13">
    <w:abstractNumId w:val="10"/>
  </w:num>
  <w:num w:numId="14">
    <w:abstractNumId w:val="2"/>
  </w:num>
  <w:num w:numId="15">
    <w:abstractNumId w:val="10"/>
  </w:num>
  <w:num w:numId="16">
    <w:abstractNumId w:val="8"/>
  </w:num>
  <w:num w:numId="17">
    <w:abstractNumId w:val="12"/>
  </w:num>
  <w:num w:numId="18">
    <w:abstractNumId w:val="1"/>
  </w:num>
  <w:num w:numId="19">
    <w:abstractNumId w:val="15"/>
  </w:num>
  <w:num w:numId="20">
    <w:abstractNumId w:val="18"/>
  </w:num>
  <w:num w:numId="21">
    <w:abstractNumId w:val="4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BD1C91"/>
    <w:rsid w:val="00034AA7"/>
    <w:rsid w:val="000354C0"/>
    <w:rsid w:val="00043CAA"/>
    <w:rsid w:val="00046533"/>
    <w:rsid w:val="000474A5"/>
    <w:rsid w:val="00047CBC"/>
    <w:rsid w:val="00057867"/>
    <w:rsid w:val="00060CA5"/>
    <w:rsid w:val="000618F7"/>
    <w:rsid w:val="00066B8F"/>
    <w:rsid w:val="00075432"/>
    <w:rsid w:val="000803A4"/>
    <w:rsid w:val="000968ED"/>
    <w:rsid w:val="000A223C"/>
    <w:rsid w:val="000A41E7"/>
    <w:rsid w:val="000B180A"/>
    <w:rsid w:val="000D2AE3"/>
    <w:rsid w:val="000D3C86"/>
    <w:rsid w:val="000D791E"/>
    <w:rsid w:val="000E2E55"/>
    <w:rsid w:val="000F5E56"/>
    <w:rsid w:val="0013056D"/>
    <w:rsid w:val="001362EE"/>
    <w:rsid w:val="001647D5"/>
    <w:rsid w:val="001832A6"/>
    <w:rsid w:val="001875BA"/>
    <w:rsid w:val="0019260F"/>
    <w:rsid w:val="001A5083"/>
    <w:rsid w:val="001B7879"/>
    <w:rsid w:val="001B7F3C"/>
    <w:rsid w:val="001C3DF7"/>
    <w:rsid w:val="001C6904"/>
    <w:rsid w:val="001F4F14"/>
    <w:rsid w:val="002054BA"/>
    <w:rsid w:val="00207C91"/>
    <w:rsid w:val="0021217E"/>
    <w:rsid w:val="0023651F"/>
    <w:rsid w:val="002634C4"/>
    <w:rsid w:val="00275191"/>
    <w:rsid w:val="00281875"/>
    <w:rsid w:val="00282512"/>
    <w:rsid w:val="002928D3"/>
    <w:rsid w:val="002F1FE6"/>
    <w:rsid w:val="002F4E68"/>
    <w:rsid w:val="002F76BF"/>
    <w:rsid w:val="00303CEE"/>
    <w:rsid w:val="00312F7F"/>
    <w:rsid w:val="0032208E"/>
    <w:rsid w:val="00324AB3"/>
    <w:rsid w:val="00325CFF"/>
    <w:rsid w:val="0032699D"/>
    <w:rsid w:val="0033447F"/>
    <w:rsid w:val="00361450"/>
    <w:rsid w:val="003673CF"/>
    <w:rsid w:val="00370E68"/>
    <w:rsid w:val="003845C1"/>
    <w:rsid w:val="00390BB8"/>
    <w:rsid w:val="003A6F89"/>
    <w:rsid w:val="003B38C1"/>
    <w:rsid w:val="003C2174"/>
    <w:rsid w:val="003C7CF9"/>
    <w:rsid w:val="004044A9"/>
    <w:rsid w:val="0040749A"/>
    <w:rsid w:val="00423E3E"/>
    <w:rsid w:val="00427AF4"/>
    <w:rsid w:val="00444343"/>
    <w:rsid w:val="004455EF"/>
    <w:rsid w:val="00446E09"/>
    <w:rsid w:val="004647DA"/>
    <w:rsid w:val="00470D4D"/>
    <w:rsid w:val="00474062"/>
    <w:rsid w:val="00477D6B"/>
    <w:rsid w:val="004B0CB1"/>
    <w:rsid w:val="004B7938"/>
    <w:rsid w:val="004E4458"/>
    <w:rsid w:val="005019FF"/>
    <w:rsid w:val="0052537F"/>
    <w:rsid w:val="0053057A"/>
    <w:rsid w:val="00557B95"/>
    <w:rsid w:val="00560A29"/>
    <w:rsid w:val="00571FC6"/>
    <w:rsid w:val="00576674"/>
    <w:rsid w:val="00592388"/>
    <w:rsid w:val="00597CD6"/>
    <w:rsid w:val="005B67F6"/>
    <w:rsid w:val="005C3D96"/>
    <w:rsid w:val="005C6649"/>
    <w:rsid w:val="005D0FF5"/>
    <w:rsid w:val="005E2F1B"/>
    <w:rsid w:val="005E5584"/>
    <w:rsid w:val="00605827"/>
    <w:rsid w:val="00611BC2"/>
    <w:rsid w:val="0063431D"/>
    <w:rsid w:val="006424AA"/>
    <w:rsid w:val="00646050"/>
    <w:rsid w:val="00655BEC"/>
    <w:rsid w:val="006608B6"/>
    <w:rsid w:val="006713CA"/>
    <w:rsid w:val="00676C5C"/>
    <w:rsid w:val="006836A3"/>
    <w:rsid w:val="00696EE6"/>
    <w:rsid w:val="006A0E0A"/>
    <w:rsid w:val="006A3DCF"/>
    <w:rsid w:val="006A420E"/>
    <w:rsid w:val="006B1751"/>
    <w:rsid w:val="006C3135"/>
    <w:rsid w:val="006D4A7E"/>
    <w:rsid w:val="006E7C83"/>
    <w:rsid w:val="00700A0E"/>
    <w:rsid w:val="00704072"/>
    <w:rsid w:val="007149DB"/>
    <w:rsid w:val="007161EF"/>
    <w:rsid w:val="00724F96"/>
    <w:rsid w:val="007278D3"/>
    <w:rsid w:val="00766AFC"/>
    <w:rsid w:val="00773E62"/>
    <w:rsid w:val="0078409C"/>
    <w:rsid w:val="007922D1"/>
    <w:rsid w:val="007A5A2E"/>
    <w:rsid w:val="007D1613"/>
    <w:rsid w:val="007D5070"/>
    <w:rsid w:val="007E4C0E"/>
    <w:rsid w:val="007F2C31"/>
    <w:rsid w:val="007F6854"/>
    <w:rsid w:val="00804F9E"/>
    <w:rsid w:val="0084054E"/>
    <w:rsid w:val="00843DB4"/>
    <w:rsid w:val="0085419E"/>
    <w:rsid w:val="00860428"/>
    <w:rsid w:val="00884AE5"/>
    <w:rsid w:val="008A1A3B"/>
    <w:rsid w:val="008A6BF4"/>
    <w:rsid w:val="008B06CC"/>
    <w:rsid w:val="008B27E9"/>
    <w:rsid w:val="008B2CC1"/>
    <w:rsid w:val="008B60B2"/>
    <w:rsid w:val="008C0EE2"/>
    <w:rsid w:val="008C1502"/>
    <w:rsid w:val="008C1F49"/>
    <w:rsid w:val="008C67FD"/>
    <w:rsid w:val="00906157"/>
    <w:rsid w:val="0090731E"/>
    <w:rsid w:val="00916EE2"/>
    <w:rsid w:val="00925A2C"/>
    <w:rsid w:val="00936B85"/>
    <w:rsid w:val="00943337"/>
    <w:rsid w:val="0095141B"/>
    <w:rsid w:val="009648BD"/>
    <w:rsid w:val="00966A22"/>
    <w:rsid w:val="0096722F"/>
    <w:rsid w:val="00980843"/>
    <w:rsid w:val="009C0260"/>
    <w:rsid w:val="009E2791"/>
    <w:rsid w:val="009E3F6F"/>
    <w:rsid w:val="009F499F"/>
    <w:rsid w:val="00A11BD4"/>
    <w:rsid w:val="00A21AA9"/>
    <w:rsid w:val="00A23F63"/>
    <w:rsid w:val="00A27AC3"/>
    <w:rsid w:val="00A35479"/>
    <w:rsid w:val="00A42DAF"/>
    <w:rsid w:val="00A45BD8"/>
    <w:rsid w:val="00A47289"/>
    <w:rsid w:val="00A571BE"/>
    <w:rsid w:val="00A82430"/>
    <w:rsid w:val="00A869B7"/>
    <w:rsid w:val="00A93EB9"/>
    <w:rsid w:val="00A94E94"/>
    <w:rsid w:val="00AA0D9F"/>
    <w:rsid w:val="00AB15A4"/>
    <w:rsid w:val="00AB31A6"/>
    <w:rsid w:val="00AC205C"/>
    <w:rsid w:val="00AD2186"/>
    <w:rsid w:val="00AD23DD"/>
    <w:rsid w:val="00AE449C"/>
    <w:rsid w:val="00AF0A6B"/>
    <w:rsid w:val="00B04C1D"/>
    <w:rsid w:val="00B05A69"/>
    <w:rsid w:val="00B24685"/>
    <w:rsid w:val="00B27407"/>
    <w:rsid w:val="00B3026B"/>
    <w:rsid w:val="00B35BDF"/>
    <w:rsid w:val="00B460D3"/>
    <w:rsid w:val="00B478F8"/>
    <w:rsid w:val="00B73BB1"/>
    <w:rsid w:val="00B76F7D"/>
    <w:rsid w:val="00B83611"/>
    <w:rsid w:val="00B905C4"/>
    <w:rsid w:val="00B9322D"/>
    <w:rsid w:val="00B9734B"/>
    <w:rsid w:val="00B978CC"/>
    <w:rsid w:val="00BA30E2"/>
    <w:rsid w:val="00BD1C91"/>
    <w:rsid w:val="00BE0269"/>
    <w:rsid w:val="00BF780E"/>
    <w:rsid w:val="00C06A4D"/>
    <w:rsid w:val="00C06AD0"/>
    <w:rsid w:val="00C07382"/>
    <w:rsid w:val="00C1108D"/>
    <w:rsid w:val="00C11BFE"/>
    <w:rsid w:val="00C13867"/>
    <w:rsid w:val="00C26720"/>
    <w:rsid w:val="00C34059"/>
    <w:rsid w:val="00C50394"/>
    <w:rsid w:val="00C5068F"/>
    <w:rsid w:val="00C750CF"/>
    <w:rsid w:val="00C83230"/>
    <w:rsid w:val="00C83C7A"/>
    <w:rsid w:val="00C86D74"/>
    <w:rsid w:val="00C90059"/>
    <w:rsid w:val="00CA54DD"/>
    <w:rsid w:val="00CB1B8A"/>
    <w:rsid w:val="00CB58EB"/>
    <w:rsid w:val="00CB6046"/>
    <w:rsid w:val="00CC3AB6"/>
    <w:rsid w:val="00CD04F1"/>
    <w:rsid w:val="00CE3999"/>
    <w:rsid w:val="00D13CDB"/>
    <w:rsid w:val="00D163E6"/>
    <w:rsid w:val="00D235DA"/>
    <w:rsid w:val="00D3284F"/>
    <w:rsid w:val="00D451C6"/>
    <w:rsid w:val="00D45252"/>
    <w:rsid w:val="00D504D2"/>
    <w:rsid w:val="00D60894"/>
    <w:rsid w:val="00D71B4D"/>
    <w:rsid w:val="00D7682D"/>
    <w:rsid w:val="00D93D55"/>
    <w:rsid w:val="00DA42E6"/>
    <w:rsid w:val="00DB5089"/>
    <w:rsid w:val="00DC0ADB"/>
    <w:rsid w:val="00DC6C56"/>
    <w:rsid w:val="00DC76AF"/>
    <w:rsid w:val="00E0052F"/>
    <w:rsid w:val="00E15015"/>
    <w:rsid w:val="00E1629A"/>
    <w:rsid w:val="00E335FE"/>
    <w:rsid w:val="00E4169B"/>
    <w:rsid w:val="00E45DF8"/>
    <w:rsid w:val="00E632DF"/>
    <w:rsid w:val="00E67834"/>
    <w:rsid w:val="00E76709"/>
    <w:rsid w:val="00EA52F2"/>
    <w:rsid w:val="00EB681D"/>
    <w:rsid w:val="00EC138A"/>
    <w:rsid w:val="00EC4E49"/>
    <w:rsid w:val="00ED3ACC"/>
    <w:rsid w:val="00ED77FB"/>
    <w:rsid w:val="00EE45FA"/>
    <w:rsid w:val="00EE6F3B"/>
    <w:rsid w:val="00EF0C96"/>
    <w:rsid w:val="00F318B6"/>
    <w:rsid w:val="00F42767"/>
    <w:rsid w:val="00F51921"/>
    <w:rsid w:val="00F66152"/>
    <w:rsid w:val="00F756B6"/>
    <w:rsid w:val="00F92D2A"/>
    <w:rsid w:val="00F93DF6"/>
    <w:rsid w:val="00FB64D2"/>
    <w:rsid w:val="00FD7E37"/>
    <w:rsid w:val="00FE653A"/>
    <w:rsid w:val="00FF0885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E1629A"/>
    <w:pPr>
      <w:keepNext/>
      <w:numPr>
        <w:numId w:val="19"/>
      </w:numPr>
      <w:spacing w:before="240" w:after="60"/>
      <w:ind w:left="567" w:hanging="567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2978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link w:val="FootnoteText"/>
    <w:semiHidden/>
    <w:rsid w:val="00EC138A"/>
    <w:rPr>
      <w:rFonts w:ascii="Arial" w:eastAsia="SimSun" w:hAnsi="Arial" w:cs="Arial"/>
      <w:sz w:val="18"/>
      <w:lang w:val="en-US" w:eastAsia="zh-CN"/>
    </w:rPr>
  </w:style>
  <w:style w:type="paragraph" w:styleId="NoSpacing">
    <w:name w:val="No Spacing"/>
    <w:uiPriority w:val="1"/>
    <w:qFormat/>
    <w:rsid w:val="00EC138A"/>
    <w:rPr>
      <w:rFonts w:ascii="Arial" w:hAnsi="Arial" w:cs="Arial"/>
      <w:sz w:val="22"/>
      <w:lang w:val="en-US" w:eastAsia="en-US"/>
    </w:rPr>
  </w:style>
  <w:style w:type="paragraph" w:customStyle="1" w:styleId="Default">
    <w:name w:val="Default"/>
    <w:rsid w:val="00EC13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EC138A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C138A"/>
    <w:pPr>
      <w:ind w:left="720"/>
      <w:contextualSpacing/>
    </w:pPr>
  </w:style>
  <w:style w:type="paragraph" w:customStyle="1" w:styleId="Style">
    <w:name w:val="Style"/>
    <w:rsid w:val="00EC13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138A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EC138A"/>
    <w:rPr>
      <w:b/>
      <w:bCs/>
      <w:i w:val="0"/>
      <w:iCs w:val="0"/>
    </w:rPr>
  </w:style>
  <w:style w:type="character" w:customStyle="1" w:styleId="st1">
    <w:name w:val="st1"/>
    <w:basedOn w:val="DefaultParagraphFont"/>
    <w:rsid w:val="00EC138A"/>
  </w:style>
  <w:style w:type="paragraph" w:styleId="Revision">
    <w:name w:val="Revision"/>
    <w:hidden/>
    <w:uiPriority w:val="99"/>
    <w:semiHidden/>
    <w:rsid w:val="004B7938"/>
    <w:rPr>
      <w:rFonts w:ascii="Arial" w:eastAsia="SimSun" w:hAnsi="Arial" w:cs="Arial"/>
      <w:sz w:val="22"/>
      <w:lang w:val="en-US" w:eastAsia="zh-CN"/>
    </w:rPr>
  </w:style>
  <w:style w:type="character" w:customStyle="1" w:styleId="null1">
    <w:name w:val="null1"/>
    <w:basedOn w:val="DefaultParagraphFont"/>
    <w:rsid w:val="00704072"/>
  </w:style>
  <w:style w:type="character" w:styleId="EndnoteReference">
    <w:name w:val="endnote reference"/>
    <w:basedOn w:val="DefaultParagraphFont"/>
    <w:rsid w:val="00FE653A"/>
    <w:rPr>
      <w:vertAlign w:val="superscript"/>
    </w:rPr>
  </w:style>
  <w:style w:type="character" w:styleId="Hyperlink">
    <w:name w:val="Hyperlink"/>
    <w:basedOn w:val="DefaultParagraphFont"/>
    <w:rsid w:val="00E16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E1629A"/>
    <w:pPr>
      <w:keepNext/>
      <w:numPr>
        <w:numId w:val="19"/>
      </w:numPr>
      <w:spacing w:before="240" w:after="60"/>
      <w:ind w:left="567" w:hanging="567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2978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8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1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link w:val="FootnoteText"/>
    <w:semiHidden/>
    <w:rsid w:val="00EC138A"/>
    <w:rPr>
      <w:rFonts w:ascii="Arial" w:eastAsia="SimSun" w:hAnsi="Arial" w:cs="Arial"/>
      <w:sz w:val="18"/>
      <w:lang w:val="en-US" w:eastAsia="zh-CN"/>
    </w:rPr>
  </w:style>
  <w:style w:type="paragraph" w:styleId="NoSpacing">
    <w:name w:val="No Spacing"/>
    <w:uiPriority w:val="1"/>
    <w:qFormat/>
    <w:rsid w:val="00EC138A"/>
    <w:rPr>
      <w:rFonts w:ascii="Arial" w:hAnsi="Arial" w:cs="Arial"/>
      <w:sz w:val="22"/>
      <w:lang w:val="en-US" w:eastAsia="en-US"/>
    </w:rPr>
  </w:style>
  <w:style w:type="paragraph" w:customStyle="1" w:styleId="Default">
    <w:name w:val="Default"/>
    <w:rsid w:val="00EC13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EC138A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C138A"/>
    <w:pPr>
      <w:ind w:left="720"/>
      <w:contextualSpacing/>
    </w:pPr>
  </w:style>
  <w:style w:type="paragraph" w:customStyle="1" w:styleId="Style">
    <w:name w:val="Style"/>
    <w:rsid w:val="00EC13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138A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EC138A"/>
    <w:rPr>
      <w:b/>
      <w:bCs/>
      <w:i w:val="0"/>
      <w:iCs w:val="0"/>
    </w:rPr>
  </w:style>
  <w:style w:type="character" w:customStyle="1" w:styleId="st1">
    <w:name w:val="st1"/>
    <w:basedOn w:val="DefaultParagraphFont"/>
    <w:rsid w:val="00EC138A"/>
  </w:style>
  <w:style w:type="paragraph" w:styleId="Revision">
    <w:name w:val="Revision"/>
    <w:hidden/>
    <w:uiPriority w:val="99"/>
    <w:semiHidden/>
    <w:rsid w:val="004B7938"/>
    <w:rPr>
      <w:rFonts w:ascii="Arial" w:eastAsia="SimSun" w:hAnsi="Arial" w:cs="Arial"/>
      <w:sz w:val="22"/>
      <w:lang w:val="en-US" w:eastAsia="zh-CN"/>
    </w:rPr>
  </w:style>
  <w:style w:type="character" w:customStyle="1" w:styleId="null1">
    <w:name w:val="null1"/>
    <w:basedOn w:val="DefaultParagraphFont"/>
    <w:rsid w:val="00704072"/>
  </w:style>
  <w:style w:type="character" w:styleId="EndnoteReference">
    <w:name w:val="endnote reference"/>
    <w:basedOn w:val="DefaultParagraphFont"/>
    <w:rsid w:val="00FE653A"/>
    <w:rPr>
      <w:vertAlign w:val="superscript"/>
    </w:rPr>
  </w:style>
  <w:style w:type="character" w:styleId="Hyperlink">
    <w:name w:val="Hyperlink"/>
    <w:basedOn w:val="DefaultParagraphFont"/>
    <w:rsid w:val="00E16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60A61-4957-4C8B-843E-20CCBA90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74 (E).dotm</Template>
  <TotalTime>51</TotalTime>
  <Pages>9</Pages>
  <Words>2923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WO/CC/74/3</vt:lpstr>
    </vt:vector>
  </TitlesOfParts>
  <Company>WIPO</Company>
  <LinksUpToDate>false</LinksUpToDate>
  <CharactersWithSpaces>18837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WO/CC/74/3</dc:title>
  <dc:creator>Chitra</dc:creator>
  <cp:lastModifiedBy>OLIVIÉ Karen</cp:lastModifiedBy>
  <cp:revision>12</cp:revision>
  <cp:lastPrinted>2017-08-03T08:40:00Z</cp:lastPrinted>
  <dcterms:created xsi:type="dcterms:W3CDTF">2017-08-03T07:56:00Z</dcterms:created>
  <dcterms:modified xsi:type="dcterms:W3CDTF">2017-08-03T12:41:00Z</dcterms:modified>
</cp:coreProperties>
</file>