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A5B" w:rsidRPr="00123893" w:rsidRDefault="00F62A5B" w:rsidP="00F62A5B">
      <w:pPr>
        <w:widowControl w:val="0"/>
        <w:jc w:val="right"/>
        <w:rPr>
          <w:b/>
          <w:sz w:val="2"/>
          <w:szCs w:val="40"/>
        </w:rPr>
      </w:pPr>
      <w:bookmarkStart w:id="0" w:name="Prepared"/>
      <w:bookmarkEnd w:id="0"/>
      <w:r>
        <w:rPr>
          <w:b/>
          <w:sz w:val="40"/>
          <w:szCs w:val="40"/>
        </w:rPr>
        <w:t>F</w:t>
      </w:r>
    </w:p>
    <w:p w:rsidR="00F62A5B" w:rsidRDefault="00F62A5B" w:rsidP="00F62A5B">
      <w:pPr>
        <w:spacing w:line="360" w:lineRule="auto"/>
        <w:ind w:left="4592"/>
        <w:rPr>
          <w:rFonts w:ascii="Arial Black" w:hAnsi="Arial Black"/>
          <w:caps/>
          <w:sz w:val="15"/>
        </w:rPr>
      </w:pPr>
      <w:r>
        <w:rPr>
          <w:noProof/>
          <w:lang w:eastAsia="en-US"/>
        </w:rPr>
        <w:drawing>
          <wp:inline distT="0" distB="0" distL="0" distR="0" wp14:anchorId="25E31A23" wp14:editId="146E68E0">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F62A5B" w:rsidRPr="005F1991" w:rsidRDefault="00F62A5B" w:rsidP="00F62A5B">
      <w:pPr>
        <w:pBdr>
          <w:top w:val="single" w:sz="4" w:space="10" w:color="auto"/>
        </w:pBdr>
        <w:spacing w:before="120"/>
        <w:jc w:val="right"/>
        <w:rPr>
          <w:rFonts w:ascii="Arial Black" w:hAnsi="Arial Black"/>
          <w:b/>
          <w:caps/>
          <w:sz w:val="15"/>
          <w:lang w:val="fr-CH"/>
        </w:rPr>
      </w:pPr>
      <w:r>
        <w:rPr>
          <w:rFonts w:ascii="Arial Black" w:hAnsi="Arial Black"/>
          <w:b/>
          <w:caps/>
          <w:sz w:val="15"/>
          <w:lang w:val="fr-CH"/>
        </w:rPr>
        <w:t>WO/CC/75</w:t>
      </w:r>
      <w:r w:rsidRPr="005F1991">
        <w:rPr>
          <w:rFonts w:ascii="Arial Black" w:hAnsi="Arial Black"/>
          <w:b/>
          <w:caps/>
          <w:sz w:val="15"/>
          <w:lang w:val="fr-CH"/>
        </w:rPr>
        <w:t>/</w:t>
      </w:r>
      <w:bookmarkStart w:id="1" w:name="Code"/>
      <w:bookmarkEnd w:id="1"/>
      <w:r>
        <w:rPr>
          <w:rFonts w:ascii="Arial Black" w:hAnsi="Arial Black"/>
          <w:b/>
          <w:caps/>
          <w:sz w:val="15"/>
          <w:lang w:val="fr-CH"/>
        </w:rPr>
        <w:t>1</w:t>
      </w:r>
    </w:p>
    <w:p w:rsidR="00F62A5B" w:rsidRPr="005F1991" w:rsidRDefault="00F62A5B" w:rsidP="00F62A5B">
      <w:pPr>
        <w:jc w:val="right"/>
        <w:rPr>
          <w:rFonts w:ascii="Arial Black" w:hAnsi="Arial Black"/>
          <w:b/>
          <w:caps/>
          <w:sz w:val="15"/>
          <w:lang w:val="fr-CH"/>
        </w:rPr>
      </w:pPr>
      <w:r w:rsidRPr="005F1991">
        <w:rPr>
          <w:rFonts w:ascii="Arial Black" w:hAnsi="Arial Black"/>
          <w:b/>
          <w:caps/>
          <w:sz w:val="15"/>
          <w:lang w:val="fr-CH"/>
        </w:rPr>
        <w:t>ORIGINAL</w:t>
      </w:r>
      <w:r w:rsidR="005F2EDC">
        <w:rPr>
          <w:rFonts w:ascii="Arial Black" w:hAnsi="Arial Black"/>
          <w:b/>
          <w:caps/>
          <w:sz w:val="15"/>
          <w:lang w:val="fr-CH"/>
        </w:rPr>
        <w:t> :</w:t>
      </w:r>
      <w:r>
        <w:rPr>
          <w:rFonts w:ascii="Arial Black" w:hAnsi="Arial Black"/>
          <w:b/>
          <w:caps/>
          <w:sz w:val="15"/>
          <w:lang w:val="fr-CH"/>
        </w:rPr>
        <w:t xml:space="preserve"> </w:t>
      </w:r>
      <w:bookmarkStart w:id="2" w:name="Original"/>
      <w:bookmarkEnd w:id="2"/>
      <w:r>
        <w:rPr>
          <w:rFonts w:ascii="Arial Black" w:hAnsi="Arial Black"/>
          <w:b/>
          <w:caps/>
          <w:sz w:val="15"/>
          <w:lang w:val="fr-CH"/>
        </w:rPr>
        <w:t>anglais</w:t>
      </w:r>
    </w:p>
    <w:p w:rsidR="00F62A5B" w:rsidRPr="005F1991" w:rsidRDefault="00F62A5B" w:rsidP="00F62A5B">
      <w:pPr>
        <w:spacing w:line="1680" w:lineRule="auto"/>
        <w:jc w:val="right"/>
        <w:rPr>
          <w:rFonts w:ascii="Arial Black" w:hAnsi="Arial Black"/>
          <w:b/>
          <w:caps/>
          <w:sz w:val="15"/>
          <w:lang w:val="fr-CH"/>
        </w:rPr>
      </w:pPr>
      <w:r w:rsidRPr="005F1991">
        <w:rPr>
          <w:rFonts w:ascii="Arial Black" w:hAnsi="Arial Black"/>
          <w:b/>
          <w:caps/>
          <w:sz w:val="15"/>
          <w:lang w:val="fr-CH"/>
        </w:rPr>
        <w:t>DATE</w:t>
      </w:r>
      <w:r w:rsidR="005F2EDC">
        <w:rPr>
          <w:rFonts w:ascii="Arial Black" w:hAnsi="Arial Black"/>
          <w:b/>
          <w:caps/>
          <w:sz w:val="15"/>
          <w:lang w:val="fr-CH"/>
        </w:rPr>
        <w:t> :</w:t>
      </w:r>
      <w:r>
        <w:rPr>
          <w:rFonts w:ascii="Arial Black" w:hAnsi="Arial Black"/>
          <w:b/>
          <w:caps/>
          <w:sz w:val="15"/>
          <w:lang w:val="fr-CH"/>
        </w:rPr>
        <w:t xml:space="preserve"> </w:t>
      </w:r>
      <w:bookmarkStart w:id="3" w:name="Date"/>
      <w:bookmarkEnd w:id="3"/>
      <w:r>
        <w:rPr>
          <w:rFonts w:ascii="Arial Black" w:hAnsi="Arial Black"/>
          <w:b/>
          <w:caps/>
          <w:sz w:val="15"/>
          <w:lang w:val="fr-CH"/>
        </w:rPr>
        <w:t>2</w:t>
      </w:r>
      <w:r w:rsidR="008A7A7B">
        <w:rPr>
          <w:rFonts w:ascii="Arial Black" w:hAnsi="Arial Black"/>
          <w:b/>
          <w:caps/>
          <w:sz w:val="15"/>
          <w:lang w:val="fr-CH"/>
        </w:rPr>
        <w:t>3 juillet 20</w:t>
      </w:r>
      <w:r>
        <w:rPr>
          <w:rFonts w:ascii="Arial Black" w:hAnsi="Arial Black"/>
          <w:b/>
          <w:caps/>
          <w:sz w:val="15"/>
          <w:lang w:val="fr-CH"/>
        </w:rPr>
        <w:t>18</w:t>
      </w:r>
    </w:p>
    <w:p w:rsidR="00F62A5B" w:rsidRPr="001B4FE9" w:rsidRDefault="00F62A5B" w:rsidP="00F62A5B">
      <w:pPr>
        <w:pStyle w:val="Heading1"/>
        <w:rPr>
          <w:lang w:val="fr-CH"/>
        </w:rPr>
      </w:pPr>
      <w:r w:rsidRPr="001B4FE9">
        <w:rPr>
          <w:lang w:val="fr-CH"/>
        </w:rPr>
        <w:t>Comité de coordination de I</w:t>
      </w:r>
      <w:r w:rsidR="005F2EDC" w:rsidRPr="001B4FE9">
        <w:rPr>
          <w:lang w:val="fr-CH"/>
        </w:rPr>
        <w:t>’</w:t>
      </w:r>
      <w:r w:rsidRPr="001B4FE9">
        <w:rPr>
          <w:lang w:val="fr-CH"/>
        </w:rPr>
        <w:t>OMPI</w:t>
      </w:r>
    </w:p>
    <w:p w:rsidR="00F62A5B" w:rsidRPr="001B4FE9" w:rsidRDefault="00F62A5B" w:rsidP="00F62A5B">
      <w:pPr>
        <w:spacing w:after="720"/>
        <w:rPr>
          <w:b/>
          <w:bCs/>
          <w:iCs/>
          <w:sz w:val="24"/>
          <w:lang w:val="fr-CH"/>
        </w:rPr>
      </w:pPr>
      <w:r w:rsidRPr="001B4FE9">
        <w:rPr>
          <w:b/>
          <w:bCs/>
          <w:iCs/>
          <w:sz w:val="24"/>
          <w:lang w:val="fr-CH"/>
        </w:rPr>
        <w:t>Soixante</w:t>
      </w:r>
      <w:r w:rsidR="005F2EDC" w:rsidRPr="001B4FE9">
        <w:rPr>
          <w:b/>
          <w:bCs/>
          <w:iCs/>
          <w:sz w:val="24"/>
          <w:lang w:val="fr-CH"/>
        </w:rPr>
        <w:t>-</w:t>
      </w:r>
      <w:r w:rsidRPr="001B4FE9">
        <w:rPr>
          <w:b/>
          <w:bCs/>
          <w:iCs/>
          <w:sz w:val="24"/>
          <w:lang w:val="fr-CH"/>
        </w:rPr>
        <w:t>quinz</w:t>
      </w:r>
      <w:r w:rsidR="005F2EDC" w:rsidRPr="001B4FE9">
        <w:rPr>
          <w:b/>
          <w:bCs/>
          <w:iCs/>
          <w:sz w:val="24"/>
          <w:lang w:val="fr-CH"/>
        </w:rPr>
        <w:t>ième session</w:t>
      </w:r>
      <w:r w:rsidRPr="001B4FE9">
        <w:rPr>
          <w:b/>
          <w:bCs/>
          <w:iCs/>
          <w:sz w:val="24"/>
          <w:lang w:val="fr-CH"/>
        </w:rPr>
        <w:t xml:space="preserve"> (49</w:t>
      </w:r>
      <w:r w:rsidRPr="001B4FE9">
        <w:rPr>
          <w:b/>
          <w:bCs/>
          <w:iCs/>
          <w:sz w:val="24"/>
          <w:vertAlign w:val="superscript"/>
          <w:lang w:val="fr-CH"/>
        </w:rPr>
        <w:t>e</w:t>
      </w:r>
      <w:r w:rsidRPr="001B4FE9">
        <w:rPr>
          <w:b/>
          <w:bCs/>
          <w:iCs/>
          <w:sz w:val="24"/>
          <w:lang w:val="fr-CH"/>
        </w:rPr>
        <w:t xml:space="preserve"> session ordinaire</w:t>
      </w:r>
      <w:proofErr w:type="gramStart"/>
      <w:r w:rsidRPr="001B4FE9">
        <w:rPr>
          <w:b/>
          <w:bCs/>
          <w:iCs/>
          <w:sz w:val="24"/>
          <w:lang w:val="fr-CH"/>
        </w:rPr>
        <w:t>)</w:t>
      </w:r>
      <w:proofErr w:type="gramEnd"/>
      <w:r w:rsidRPr="001B4FE9">
        <w:rPr>
          <w:b/>
          <w:sz w:val="24"/>
          <w:lang w:val="fr-CH"/>
        </w:rPr>
        <w:br/>
        <w:t>Genève, 2</w:t>
      </w:r>
      <w:r w:rsidR="008A7A7B" w:rsidRPr="001B4FE9">
        <w:rPr>
          <w:b/>
          <w:sz w:val="24"/>
          <w:lang w:val="fr-CH"/>
        </w:rPr>
        <w:t>4 septembre</w:t>
      </w:r>
      <w:r w:rsidRPr="001B4FE9">
        <w:rPr>
          <w:b/>
          <w:sz w:val="24"/>
          <w:lang w:val="fr-CH"/>
        </w:rPr>
        <w:t xml:space="preserve"> – </w:t>
      </w:r>
      <w:r w:rsidR="008A7A7B" w:rsidRPr="001B4FE9">
        <w:rPr>
          <w:b/>
          <w:sz w:val="24"/>
          <w:lang w:val="fr-CH"/>
        </w:rPr>
        <w:t>2 octobre 20</w:t>
      </w:r>
      <w:r w:rsidRPr="001B4FE9">
        <w:rPr>
          <w:b/>
          <w:sz w:val="24"/>
          <w:lang w:val="fr-CH"/>
        </w:rPr>
        <w:t>18</w:t>
      </w:r>
    </w:p>
    <w:p w:rsidR="00F62A5B" w:rsidRPr="001B4FE9" w:rsidRDefault="00F62A5B" w:rsidP="00F62A5B">
      <w:pPr>
        <w:spacing w:after="360"/>
        <w:rPr>
          <w:caps/>
          <w:sz w:val="24"/>
          <w:lang w:val="fr-CH"/>
        </w:rPr>
      </w:pPr>
      <w:bookmarkStart w:id="4" w:name="TitleOfDoc"/>
      <w:bookmarkEnd w:id="4"/>
      <w:r w:rsidRPr="001B4FE9">
        <w:rPr>
          <w:caps/>
          <w:sz w:val="24"/>
          <w:lang w:val="fr-CH"/>
        </w:rPr>
        <w:t>Approbation d</w:t>
      </w:r>
      <w:r w:rsidR="005F2EDC" w:rsidRPr="001B4FE9">
        <w:rPr>
          <w:caps/>
          <w:sz w:val="24"/>
          <w:lang w:val="fr-CH"/>
        </w:rPr>
        <w:t>’</w:t>
      </w:r>
      <w:r w:rsidRPr="001B4FE9">
        <w:rPr>
          <w:caps/>
          <w:sz w:val="24"/>
          <w:lang w:val="fr-CH"/>
        </w:rPr>
        <w:t>accords</w:t>
      </w:r>
    </w:p>
    <w:p w:rsidR="00EF0403" w:rsidRPr="001B4FE9" w:rsidRDefault="000559C0" w:rsidP="000E177D">
      <w:pPr>
        <w:pStyle w:val="ONUMFS"/>
        <w:numPr>
          <w:ilvl w:val="0"/>
          <w:numId w:val="0"/>
        </w:numPr>
        <w:spacing w:after="960"/>
        <w:rPr>
          <w:lang w:val="fr-CH"/>
        </w:rPr>
      </w:pPr>
      <w:r w:rsidRPr="001B4FE9">
        <w:rPr>
          <w:lang w:val="fr-CH"/>
        </w:rPr>
        <w:t>Document établi par le Secrétariat</w:t>
      </w:r>
    </w:p>
    <w:p w:rsidR="00EF0403" w:rsidRPr="001B4FE9" w:rsidRDefault="000559C0" w:rsidP="009D32D5">
      <w:pPr>
        <w:pStyle w:val="ONUMFS"/>
        <w:rPr>
          <w:lang w:val="fr-CH"/>
        </w:rPr>
      </w:pPr>
      <w:r w:rsidRPr="001B4FE9">
        <w:rPr>
          <w:lang w:val="fr-CH"/>
        </w:rPr>
        <w:t>Confor</w:t>
      </w:r>
      <w:bookmarkStart w:id="5" w:name="_GoBack"/>
      <w:bookmarkEnd w:id="5"/>
      <w:r w:rsidRPr="001B4FE9">
        <w:rPr>
          <w:lang w:val="fr-CH"/>
        </w:rPr>
        <w:t>mément à l</w:t>
      </w:r>
      <w:r w:rsidR="005F2EDC" w:rsidRPr="001B4FE9">
        <w:rPr>
          <w:lang w:val="fr-CH"/>
        </w:rPr>
        <w:t>’</w:t>
      </w:r>
      <w:r w:rsidR="008A7A7B" w:rsidRPr="001B4FE9">
        <w:rPr>
          <w:lang w:val="fr-CH"/>
        </w:rPr>
        <w:t>article 1</w:t>
      </w:r>
      <w:r w:rsidRPr="001B4FE9">
        <w:rPr>
          <w:lang w:val="fr-CH"/>
        </w:rPr>
        <w:t>3,1) de la Convention instituant l</w:t>
      </w:r>
      <w:r w:rsidR="005F2EDC" w:rsidRPr="001B4FE9">
        <w:rPr>
          <w:lang w:val="fr-CH"/>
        </w:rPr>
        <w:t>’</w:t>
      </w:r>
      <w:r w:rsidRPr="001B4FE9">
        <w:rPr>
          <w:lang w:val="fr-CH"/>
        </w:rPr>
        <w:t>Organisation Mondiale de la Propriété Intellectuelle (OMPI), tout accord général visant à établir des relations de travail et de coopération avec d</w:t>
      </w:r>
      <w:r w:rsidR="005F2EDC" w:rsidRPr="001B4FE9">
        <w:rPr>
          <w:lang w:val="fr-CH"/>
        </w:rPr>
        <w:t>’</w:t>
      </w:r>
      <w:r w:rsidRPr="001B4FE9">
        <w:rPr>
          <w:lang w:val="fr-CH"/>
        </w:rPr>
        <w:t>autres organisations intergouvernementales est conclu par le Directeur</w:t>
      </w:r>
      <w:r w:rsidR="00BA522E" w:rsidRPr="001B4FE9">
        <w:rPr>
          <w:lang w:val="fr-CH"/>
        </w:rPr>
        <w:t> </w:t>
      </w:r>
      <w:r w:rsidRPr="001B4FE9">
        <w:rPr>
          <w:lang w:val="fr-CH"/>
        </w:rPr>
        <w:t>général après approbation du Comité de coordination de l</w:t>
      </w:r>
      <w:r w:rsidR="005F2EDC" w:rsidRPr="001B4FE9">
        <w:rPr>
          <w:lang w:val="fr-CH"/>
        </w:rPr>
        <w:t>’</w:t>
      </w:r>
      <w:r w:rsidRPr="001B4FE9">
        <w:rPr>
          <w:lang w:val="fr-CH"/>
        </w:rPr>
        <w:t>OMPI.</w:t>
      </w:r>
      <w:r w:rsidR="00F176D0" w:rsidRPr="001B4FE9">
        <w:rPr>
          <w:lang w:val="fr-CH"/>
        </w:rPr>
        <w:t xml:space="preserve">  </w:t>
      </w:r>
      <w:r w:rsidRPr="001B4FE9">
        <w:rPr>
          <w:lang w:val="fr-CH"/>
        </w:rPr>
        <w:t>À cet égard,</w:t>
      </w:r>
    </w:p>
    <w:p w:rsidR="00EF0403" w:rsidRPr="001B4FE9" w:rsidRDefault="000559C0" w:rsidP="009D32D5">
      <w:pPr>
        <w:pStyle w:val="ONUMFS"/>
        <w:numPr>
          <w:ilvl w:val="2"/>
          <w:numId w:val="6"/>
        </w:numPr>
        <w:rPr>
          <w:lang w:val="fr-CH"/>
        </w:rPr>
      </w:pPr>
      <w:r w:rsidRPr="001B4FE9">
        <w:rPr>
          <w:lang w:val="fr-CH"/>
        </w:rPr>
        <w:t>le Directeur général de l</w:t>
      </w:r>
      <w:r w:rsidR="005F2EDC" w:rsidRPr="001B4FE9">
        <w:rPr>
          <w:lang w:val="fr-CH"/>
        </w:rPr>
        <w:t>’</w:t>
      </w:r>
      <w:r w:rsidRPr="001B4FE9">
        <w:rPr>
          <w:lang w:val="fr-CH"/>
        </w:rPr>
        <w:t xml:space="preserve">Organisation Mondiale de la Propriété Intellectuelle et les </w:t>
      </w:r>
      <w:r w:rsidR="00737B0A" w:rsidRPr="001B4FE9">
        <w:rPr>
          <w:lang w:val="fr-CH"/>
        </w:rPr>
        <w:t>directeurs généraux</w:t>
      </w:r>
      <w:r w:rsidRPr="001B4FE9">
        <w:rPr>
          <w:b/>
          <w:lang w:val="fr-CH"/>
        </w:rPr>
        <w:t xml:space="preserve"> </w:t>
      </w:r>
      <w:r w:rsidRPr="001B4FE9">
        <w:rPr>
          <w:lang w:val="fr-CH"/>
        </w:rPr>
        <w:t>de l</w:t>
      </w:r>
      <w:r w:rsidR="005F2EDC" w:rsidRPr="001B4FE9">
        <w:rPr>
          <w:lang w:val="fr-CH"/>
        </w:rPr>
        <w:t>’</w:t>
      </w:r>
      <w:r w:rsidRPr="001B4FE9">
        <w:rPr>
          <w:lang w:val="fr-CH"/>
        </w:rPr>
        <w:t>Organisation régionale africaine de la propriété intellectuelle (ARIPO) et de l</w:t>
      </w:r>
      <w:r w:rsidR="005F2EDC" w:rsidRPr="001B4FE9">
        <w:rPr>
          <w:lang w:val="fr-CH"/>
        </w:rPr>
        <w:t>’</w:t>
      </w:r>
      <w:r w:rsidRPr="001B4FE9">
        <w:rPr>
          <w:lang w:val="fr-CH"/>
        </w:rPr>
        <w:t>Organisation africaine de la propriété intellectuelle (OAPI) ont élaboré un mémorandum d</w:t>
      </w:r>
      <w:r w:rsidR="005F2EDC" w:rsidRPr="001B4FE9">
        <w:rPr>
          <w:lang w:val="fr-CH"/>
        </w:rPr>
        <w:t>’</w:t>
      </w:r>
      <w:r w:rsidRPr="001B4FE9">
        <w:rPr>
          <w:lang w:val="fr-CH"/>
        </w:rPr>
        <w:t>accord qui établit un cadre de coopération tripartite entre les organisatio</w:t>
      </w:r>
      <w:r w:rsidR="001B4FE9" w:rsidRPr="001B4FE9">
        <w:rPr>
          <w:lang w:val="fr-CH"/>
        </w:rPr>
        <w:t>ns.  Co</w:t>
      </w:r>
      <w:r w:rsidR="00CE5D1F" w:rsidRPr="001B4FE9">
        <w:rPr>
          <w:lang w:val="fr-CH"/>
        </w:rPr>
        <w:t xml:space="preserve">nformément </w:t>
      </w:r>
      <w:r w:rsidR="005932E0" w:rsidRPr="001B4FE9">
        <w:rPr>
          <w:lang w:val="fr-CH"/>
        </w:rPr>
        <w:t xml:space="preserve">au </w:t>
      </w:r>
      <w:r w:rsidR="00CE5D1F" w:rsidRPr="001B4FE9">
        <w:rPr>
          <w:lang w:val="fr-CH"/>
        </w:rPr>
        <w:t>cadre de coopération, les organisations entreprendront et proposeront des programmes communs d</w:t>
      </w:r>
      <w:r w:rsidR="005F2EDC" w:rsidRPr="001B4FE9">
        <w:rPr>
          <w:lang w:val="fr-CH"/>
        </w:rPr>
        <w:t>’</w:t>
      </w:r>
      <w:r w:rsidR="00CE5D1F" w:rsidRPr="001B4FE9">
        <w:rPr>
          <w:lang w:val="fr-CH"/>
        </w:rPr>
        <w:t>assistance technique dans les États membres de l</w:t>
      </w:r>
      <w:r w:rsidR="005F2EDC" w:rsidRPr="001B4FE9">
        <w:rPr>
          <w:lang w:val="fr-CH"/>
        </w:rPr>
        <w:t>’</w:t>
      </w:r>
      <w:r w:rsidR="00CE5D1F" w:rsidRPr="001B4FE9">
        <w:rPr>
          <w:lang w:val="fr-CH"/>
        </w:rPr>
        <w:t>ARIPO</w:t>
      </w:r>
      <w:r w:rsidR="001446D9" w:rsidRPr="001B4FE9">
        <w:rPr>
          <w:lang w:val="fr-CH"/>
        </w:rPr>
        <w:t xml:space="preserve"> et de</w:t>
      </w:r>
      <w:r w:rsidR="00CE5D1F" w:rsidRPr="001B4FE9">
        <w:rPr>
          <w:lang w:val="fr-CH"/>
        </w:rPr>
        <w:t xml:space="preserve"> </w:t>
      </w:r>
      <w:r w:rsidR="001446D9" w:rsidRPr="001B4FE9">
        <w:rPr>
          <w:lang w:val="fr-CH"/>
        </w:rPr>
        <w:t>l</w:t>
      </w:r>
      <w:r w:rsidR="005F2EDC" w:rsidRPr="001B4FE9">
        <w:rPr>
          <w:lang w:val="fr-CH"/>
        </w:rPr>
        <w:t>’</w:t>
      </w:r>
      <w:r w:rsidR="001446D9" w:rsidRPr="001B4FE9">
        <w:rPr>
          <w:lang w:val="fr-CH"/>
        </w:rPr>
        <w:t xml:space="preserve">OAPI </w:t>
      </w:r>
      <w:r w:rsidR="00CE5D1F" w:rsidRPr="001B4FE9">
        <w:rPr>
          <w:lang w:val="fr-CH"/>
        </w:rPr>
        <w:t>dans le cadre de leurs activités et de leurs mandats respectifs en matière de coopérati</w:t>
      </w:r>
      <w:r w:rsidR="001B4FE9" w:rsidRPr="001B4FE9">
        <w:rPr>
          <w:lang w:val="fr-CH"/>
        </w:rPr>
        <w:t>on.  Le</w:t>
      </w:r>
      <w:r w:rsidR="00CE5D1F" w:rsidRPr="001B4FE9">
        <w:rPr>
          <w:lang w:val="fr-CH"/>
        </w:rPr>
        <w:t xml:space="preserve"> texte de ce mémorandum d</w:t>
      </w:r>
      <w:r w:rsidR="005F2EDC" w:rsidRPr="001B4FE9">
        <w:rPr>
          <w:lang w:val="fr-CH"/>
        </w:rPr>
        <w:t>’</w:t>
      </w:r>
      <w:r w:rsidR="00CE5D1F" w:rsidRPr="001B4FE9">
        <w:rPr>
          <w:lang w:val="fr-CH"/>
        </w:rPr>
        <w:t>accord est reproduit à l</w:t>
      </w:r>
      <w:r w:rsidR="005F2EDC" w:rsidRPr="001B4FE9">
        <w:rPr>
          <w:lang w:val="fr-CH"/>
        </w:rPr>
        <w:t>’</w:t>
      </w:r>
      <w:r w:rsidR="008A7A7B" w:rsidRPr="001B4FE9">
        <w:rPr>
          <w:lang w:val="fr-CH"/>
        </w:rPr>
        <w:t>annexe I</w:t>
      </w:r>
      <w:r w:rsidR="005932E0" w:rsidRPr="001B4FE9">
        <w:rPr>
          <w:lang w:val="fr-CH"/>
        </w:rPr>
        <w:t xml:space="preserve"> du présent document; </w:t>
      </w:r>
      <w:r w:rsidR="0024086D" w:rsidRPr="001B4FE9">
        <w:rPr>
          <w:lang w:val="fr-CH"/>
        </w:rPr>
        <w:t xml:space="preserve"> </w:t>
      </w:r>
      <w:r w:rsidR="00CE5D1F" w:rsidRPr="001B4FE9">
        <w:rPr>
          <w:lang w:val="fr-CH"/>
        </w:rPr>
        <w:t>et</w:t>
      </w:r>
    </w:p>
    <w:p w:rsidR="00EF0403" w:rsidRPr="001B4FE9" w:rsidRDefault="00CE5D1F" w:rsidP="009D32D5">
      <w:pPr>
        <w:pStyle w:val="ONUMFS"/>
        <w:numPr>
          <w:ilvl w:val="2"/>
          <w:numId w:val="6"/>
        </w:numPr>
        <w:rPr>
          <w:lang w:val="fr-CH"/>
        </w:rPr>
      </w:pPr>
      <w:r w:rsidRPr="001B4FE9">
        <w:rPr>
          <w:lang w:val="fr-CH"/>
        </w:rPr>
        <w:t>le Directeur général de l</w:t>
      </w:r>
      <w:r w:rsidR="005F2EDC" w:rsidRPr="001B4FE9">
        <w:rPr>
          <w:lang w:val="fr-CH"/>
        </w:rPr>
        <w:t>’</w:t>
      </w:r>
      <w:r w:rsidRPr="001B4FE9">
        <w:rPr>
          <w:lang w:val="fr-CH"/>
        </w:rPr>
        <w:t xml:space="preserve">OMPI et le </w:t>
      </w:r>
      <w:r w:rsidR="00847641" w:rsidRPr="001B4FE9">
        <w:rPr>
          <w:lang w:val="fr-CH"/>
        </w:rPr>
        <w:t xml:space="preserve">Président </w:t>
      </w:r>
      <w:r w:rsidRPr="001B4FE9">
        <w:rPr>
          <w:lang w:val="fr-CH"/>
        </w:rPr>
        <w:t>de la Commission de l</w:t>
      </w:r>
      <w:r w:rsidR="005F2EDC" w:rsidRPr="001B4FE9">
        <w:rPr>
          <w:lang w:val="fr-CH"/>
        </w:rPr>
        <w:t>’</w:t>
      </w:r>
      <w:r w:rsidRPr="001B4FE9">
        <w:rPr>
          <w:lang w:val="fr-CH"/>
        </w:rPr>
        <w:t>Union économique et monétaire ouest</w:t>
      </w:r>
      <w:r w:rsidR="005F2EDC" w:rsidRPr="001B4FE9">
        <w:rPr>
          <w:lang w:val="fr-CH"/>
        </w:rPr>
        <w:t>-</w:t>
      </w:r>
      <w:r w:rsidRPr="001B4FE9">
        <w:rPr>
          <w:lang w:val="fr-CH"/>
        </w:rPr>
        <w:t>africaine (UEMOA) ont élaboré un mémorandum d</w:t>
      </w:r>
      <w:r w:rsidR="005F2EDC" w:rsidRPr="001B4FE9">
        <w:rPr>
          <w:lang w:val="fr-CH"/>
        </w:rPr>
        <w:t>’</w:t>
      </w:r>
      <w:r w:rsidRPr="001B4FE9">
        <w:rPr>
          <w:lang w:val="fr-CH"/>
        </w:rPr>
        <w:t xml:space="preserve">accord </w:t>
      </w:r>
      <w:r w:rsidR="005932E0" w:rsidRPr="001B4FE9">
        <w:rPr>
          <w:lang w:val="fr-CH"/>
        </w:rPr>
        <w:t>qui établit</w:t>
      </w:r>
      <w:r w:rsidRPr="001B4FE9">
        <w:rPr>
          <w:lang w:val="fr-CH"/>
        </w:rPr>
        <w:t xml:space="preserve"> des relations de coopération </w:t>
      </w:r>
      <w:r w:rsidR="005932E0" w:rsidRPr="001B4FE9">
        <w:rPr>
          <w:lang w:val="fr-CH"/>
        </w:rPr>
        <w:t>visant à</w:t>
      </w:r>
      <w:r w:rsidRPr="001B4FE9">
        <w:rPr>
          <w:lang w:val="fr-CH"/>
        </w:rPr>
        <w:t xml:space="preserve"> faciliter l</w:t>
      </w:r>
      <w:r w:rsidR="005F2EDC" w:rsidRPr="001B4FE9">
        <w:rPr>
          <w:lang w:val="fr-CH"/>
        </w:rPr>
        <w:t>’</w:t>
      </w:r>
      <w:r w:rsidRPr="001B4FE9">
        <w:rPr>
          <w:lang w:val="fr-CH"/>
        </w:rPr>
        <w:t>utilisation de la propriété intellectuelle aux fins du développement économiq</w:t>
      </w:r>
      <w:r w:rsidR="005932E0" w:rsidRPr="001B4FE9">
        <w:rPr>
          <w:lang w:val="fr-CH"/>
        </w:rPr>
        <w:t xml:space="preserve">ue, social et culturel des </w:t>
      </w:r>
      <w:r w:rsidRPr="001B4FE9">
        <w:rPr>
          <w:lang w:val="fr-CH"/>
        </w:rPr>
        <w:t>États</w:t>
      </w:r>
      <w:r w:rsidR="00847641" w:rsidRPr="001B4FE9">
        <w:rPr>
          <w:lang w:val="fr-CH"/>
        </w:rPr>
        <w:t> </w:t>
      </w:r>
      <w:r w:rsidRPr="001B4FE9">
        <w:rPr>
          <w:lang w:val="fr-CH"/>
        </w:rPr>
        <w:t>membres de l</w:t>
      </w:r>
      <w:r w:rsidR="005F2EDC" w:rsidRPr="001B4FE9">
        <w:rPr>
          <w:lang w:val="fr-CH"/>
        </w:rPr>
        <w:t>’</w:t>
      </w:r>
      <w:r w:rsidRPr="001B4FE9">
        <w:rPr>
          <w:lang w:val="fr-CH"/>
        </w:rPr>
        <w:t>UE</w:t>
      </w:r>
      <w:r w:rsidR="001B4FE9" w:rsidRPr="001B4FE9">
        <w:rPr>
          <w:lang w:val="fr-CH"/>
        </w:rPr>
        <w:t>MOA.  Le</w:t>
      </w:r>
      <w:r w:rsidRPr="001B4FE9">
        <w:rPr>
          <w:lang w:val="fr-CH"/>
        </w:rPr>
        <w:t xml:space="preserve"> texte de ce mémorandum d</w:t>
      </w:r>
      <w:r w:rsidR="005F2EDC" w:rsidRPr="001B4FE9">
        <w:rPr>
          <w:lang w:val="fr-CH"/>
        </w:rPr>
        <w:t>’</w:t>
      </w:r>
      <w:r w:rsidRPr="001B4FE9">
        <w:rPr>
          <w:lang w:val="fr-CH"/>
        </w:rPr>
        <w:t>accord est reproduit à l</w:t>
      </w:r>
      <w:r w:rsidR="005F2EDC" w:rsidRPr="001B4FE9">
        <w:rPr>
          <w:lang w:val="fr-CH"/>
        </w:rPr>
        <w:t>’</w:t>
      </w:r>
      <w:r w:rsidRPr="001B4FE9">
        <w:rPr>
          <w:lang w:val="fr-CH"/>
        </w:rPr>
        <w:t>annexe II du présent document.</w:t>
      </w:r>
    </w:p>
    <w:p w:rsidR="00EF0403" w:rsidRPr="004D5EC9" w:rsidRDefault="00CE5D1F" w:rsidP="007E094F">
      <w:pPr>
        <w:pStyle w:val="ONUMFS"/>
        <w:ind w:left="5534"/>
        <w:rPr>
          <w:i/>
          <w:lang w:val="fr-CH"/>
        </w:rPr>
      </w:pPr>
      <w:r w:rsidRPr="00AD21A7">
        <w:rPr>
          <w:i/>
          <w:lang w:val="fr-CH"/>
        </w:rPr>
        <w:lastRenderedPageBreak/>
        <w:t>Le Comité de coordination de l</w:t>
      </w:r>
      <w:r w:rsidR="005F2EDC" w:rsidRPr="00AD21A7">
        <w:rPr>
          <w:i/>
          <w:lang w:val="fr-CH"/>
        </w:rPr>
        <w:t>’</w:t>
      </w:r>
      <w:r w:rsidRPr="00AD21A7">
        <w:rPr>
          <w:i/>
          <w:lang w:val="fr-CH"/>
        </w:rPr>
        <w:t>OMPI est invité à approuver le mémorandum d</w:t>
      </w:r>
      <w:r w:rsidR="005F2EDC" w:rsidRPr="00AD21A7">
        <w:rPr>
          <w:i/>
          <w:lang w:val="fr-CH"/>
        </w:rPr>
        <w:t>’</w:t>
      </w:r>
      <w:r w:rsidRPr="00AD21A7">
        <w:rPr>
          <w:i/>
          <w:lang w:val="fr-CH"/>
        </w:rPr>
        <w:t>accord entre l</w:t>
      </w:r>
      <w:r w:rsidR="005F2EDC" w:rsidRPr="00AD21A7">
        <w:rPr>
          <w:i/>
          <w:lang w:val="fr-CH"/>
        </w:rPr>
        <w:t>’</w:t>
      </w:r>
      <w:r w:rsidRPr="00AD21A7">
        <w:rPr>
          <w:i/>
          <w:lang w:val="fr-CH"/>
        </w:rPr>
        <w:t>OMPI, l</w:t>
      </w:r>
      <w:r w:rsidR="005F2EDC" w:rsidRPr="00AD21A7">
        <w:rPr>
          <w:i/>
          <w:lang w:val="fr-CH"/>
        </w:rPr>
        <w:t>’</w:t>
      </w:r>
      <w:r w:rsidRPr="00AD21A7">
        <w:rPr>
          <w:i/>
          <w:lang w:val="fr-CH"/>
        </w:rPr>
        <w:t>ARIPO et l</w:t>
      </w:r>
      <w:r w:rsidR="005F2EDC" w:rsidRPr="00AD21A7">
        <w:rPr>
          <w:i/>
          <w:lang w:val="fr-CH"/>
        </w:rPr>
        <w:t>’</w:t>
      </w:r>
      <w:r w:rsidRPr="00AD21A7">
        <w:rPr>
          <w:i/>
          <w:lang w:val="fr-CH"/>
        </w:rPr>
        <w:t>OAPI</w:t>
      </w:r>
      <w:r w:rsidR="001C38A8" w:rsidRPr="00AD21A7">
        <w:rPr>
          <w:i/>
          <w:lang w:val="fr-CH"/>
        </w:rPr>
        <w:t xml:space="preserve"> ainsi que</w:t>
      </w:r>
      <w:r w:rsidRPr="00AD21A7">
        <w:rPr>
          <w:i/>
          <w:lang w:val="fr-CH"/>
        </w:rPr>
        <w:t xml:space="preserve"> le mémorandum d</w:t>
      </w:r>
      <w:r w:rsidR="005F2EDC" w:rsidRPr="00AD21A7">
        <w:rPr>
          <w:i/>
          <w:lang w:val="fr-CH"/>
        </w:rPr>
        <w:t>’</w:t>
      </w:r>
      <w:r w:rsidRPr="00AD21A7">
        <w:rPr>
          <w:i/>
          <w:lang w:val="fr-CH"/>
        </w:rPr>
        <w:t>accord entre l</w:t>
      </w:r>
      <w:r w:rsidR="005F2EDC" w:rsidRPr="00AD21A7">
        <w:rPr>
          <w:i/>
          <w:lang w:val="fr-CH"/>
        </w:rPr>
        <w:t>’</w:t>
      </w:r>
      <w:r w:rsidRPr="00AD21A7">
        <w:rPr>
          <w:i/>
          <w:lang w:val="fr-CH"/>
        </w:rPr>
        <w:t>OMPI et l</w:t>
      </w:r>
      <w:r w:rsidR="005F2EDC" w:rsidRPr="00AD21A7">
        <w:rPr>
          <w:i/>
          <w:lang w:val="fr-CH"/>
        </w:rPr>
        <w:t>’</w:t>
      </w:r>
      <w:r w:rsidRPr="00AD21A7">
        <w:rPr>
          <w:i/>
          <w:lang w:val="fr-CH"/>
        </w:rPr>
        <w:t xml:space="preserve">UEMOA, qui figurent respectivement dans les </w:t>
      </w:r>
      <w:r w:rsidR="008A7A7B" w:rsidRPr="00AD21A7">
        <w:rPr>
          <w:i/>
          <w:lang w:val="fr-CH"/>
        </w:rPr>
        <w:t>annexes I</w:t>
      </w:r>
      <w:r w:rsidRPr="00AD21A7">
        <w:rPr>
          <w:i/>
          <w:lang w:val="fr-CH"/>
        </w:rPr>
        <w:t xml:space="preserve"> et II, du </w:t>
      </w:r>
      <w:r w:rsidR="005F2EDC" w:rsidRPr="00AD21A7">
        <w:rPr>
          <w:i/>
          <w:lang w:val="fr-CH"/>
        </w:rPr>
        <w:t>document WO</w:t>
      </w:r>
      <w:r w:rsidRPr="00AD21A7">
        <w:rPr>
          <w:i/>
          <w:lang w:val="fr-CH"/>
        </w:rPr>
        <w:t>/CC/</w:t>
      </w:r>
      <w:r w:rsidRPr="00FF7896">
        <w:rPr>
          <w:i/>
          <w:lang w:val="fr-CH"/>
        </w:rPr>
        <w:t>75/1</w:t>
      </w:r>
      <w:r w:rsidRPr="004D5EC9">
        <w:rPr>
          <w:i/>
          <w:lang w:val="fr-CH"/>
        </w:rPr>
        <w:t>.</w:t>
      </w:r>
    </w:p>
    <w:p w:rsidR="00EF0403" w:rsidRDefault="00CE5D1F" w:rsidP="00AF2A81">
      <w:pPr>
        <w:pStyle w:val="Endofdocument"/>
        <w:spacing w:before="720" w:after="0" w:line="240" w:lineRule="auto"/>
        <w:rPr>
          <w:sz w:val="22"/>
          <w:szCs w:val="22"/>
          <w:lang w:val="fr-CH"/>
        </w:rPr>
      </w:pPr>
      <w:r w:rsidRPr="007E094F">
        <w:rPr>
          <w:sz w:val="22"/>
          <w:szCs w:val="22"/>
          <w:lang w:val="fr-CH"/>
        </w:rPr>
        <w:t>[Les annexes suivent]</w:t>
      </w:r>
    </w:p>
    <w:p w:rsidR="00AF2A81" w:rsidRPr="007E094F" w:rsidRDefault="00AF2A81" w:rsidP="00AF2A81">
      <w:pPr>
        <w:pStyle w:val="Endofdocument"/>
        <w:spacing w:before="720" w:after="0" w:line="240" w:lineRule="auto"/>
        <w:ind w:left="0"/>
        <w:rPr>
          <w:sz w:val="22"/>
          <w:szCs w:val="22"/>
          <w:lang w:val="fr-CH"/>
        </w:rPr>
      </w:pPr>
    </w:p>
    <w:p w:rsidR="0096109C" w:rsidRPr="001B4FE9" w:rsidRDefault="0096109C" w:rsidP="0096109C">
      <w:pPr>
        <w:pStyle w:val="Endofdocument-Annex"/>
        <w:rPr>
          <w:lang w:val="fr-CH"/>
        </w:rPr>
        <w:sectPr w:rsidR="0096109C" w:rsidRPr="001B4FE9" w:rsidSect="000E177D">
          <w:headerReference w:type="default" r:id="rId10"/>
          <w:endnotePr>
            <w:numFmt w:val="decimal"/>
          </w:endnotePr>
          <w:pgSz w:w="11907" w:h="16840" w:code="9"/>
          <w:pgMar w:top="567" w:right="1134" w:bottom="1418" w:left="1418" w:header="510" w:footer="1021" w:gutter="0"/>
          <w:cols w:space="720"/>
          <w:titlePg/>
          <w:docGrid w:linePitch="299"/>
        </w:sectPr>
      </w:pPr>
    </w:p>
    <w:tbl>
      <w:tblPr>
        <w:tblpPr w:vertAnchor="page" w:horzAnchor="margin" w:tblpY="1248"/>
        <w:tblOverlap w:val="never"/>
        <w:tblW w:w="9356" w:type="dxa"/>
        <w:tblLayout w:type="fixed"/>
        <w:tblLook w:val="01E0" w:firstRow="1" w:lastRow="1" w:firstColumn="1" w:lastColumn="1" w:noHBand="0" w:noVBand="0"/>
      </w:tblPr>
      <w:tblGrid>
        <w:gridCol w:w="3268"/>
        <w:gridCol w:w="3269"/>
        <w:gridCol w:w="2819"/>
      </w:tblGrid>
      <w:tr w:rsidR="0064229E" w:rsidRPr="000F747E" w:rsidTr="00FB121A">
        <w:trPr>
          <w:trHeight w:hRule="exact" w:val="1508"/>
        </w:trPr>
        <w:tc>
          <w:tcPr>
            <w:tcW w:w="3268" w:type="dxa"/>
            <w:tcMar>
              <w:left w:w="0" w:type="dxa"/>
              <w:bottom w:w="0" w:type="dxa"/>
              <w:right w:w="0" w:type="dxa"/>
            </w:tcMar>
            <w:vAlign w:val="center"/>
          </w:tcPr>
          <w:p w:rsidR="0064229E" w:rsidRPr="000F747E" w:rsidRDefault="0064229E" w:rsidP="0064229E">
            <w:pPr>
              <w:rPr>
                <w:lang w:val="fr-CH"/>
              </w:rPr>
            </w:pPr>
            <w:r w:rsidRPr="000F747E">
              <w:rPr>
                <w:noProof/>
                <w:lang w:eastAsia="en-US"/>
              </w:rPr>
              <w:lastRenderedPageBreak/>
              <w:drawing>
                <wp:inline distT="0" distB="0" distL="0" distR="0" wp14:anchorId="69EF0E98" wp14:editId="130FD27C">
                  <wp:extent cx="1209675" cy="962025"/>
                  <wp:effectExtent l="0" t="0" r="9525" b="9525"/>
                  <wp:docPr id="4" name="Picture 4" descr="ARIPO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IPO Logo 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962025"/>
                          </a:xfrm>
                          <a:prstGeom prst="rect">
                            <a:avLst/>
                          </a:prstGeom>
                          <a:noFill/>
                          <a:ln>
                            <a:noFill/>
                          </a:ln>
                        </pic:spPr>
                      </pic:pic>
                    </a:graphicData>
                  </a:graphic>
                </wp:inline>
              </w:drawing>
            </w:r>
          </w:p>
        </w:tc>
        <w:tc>
          <w:tcPr>
            <w:tcW w:w="3269" w:type="dxa"/>
            <w:tcMar>
              <w:left w:w="0" w:type="dxa"/>
              <w:right w:w="0" w:type="dxa"/>
            </w:tcMar>
            <w:vAlign w:val="center"/>
          </w:tcPr>
          <w:p w:rsidR="0064229E" w:rsidRPr="000F747E" w:rsidRDefault="0064229E" w:rsidP="0064229E">
            <w:pPr>
              <w:rPr>
                <w:lang w:val="fr-CH"/>
              </w:rPr>
            </w:pPr>
            <w:r w:rsidRPr="000F747E">
              <w:rPr>
                <w:noProof/>
                <w:lang w:eastAsia="en-US"/>
              </w:rPr>
              <w:drawing>
                <wp:inline distT="0" distB="0" distL="0" distR="0" wp14:anchorId="610A9CC9" wp14:editId="6F2DBEA2">
                  <wp:extent cx="1141200" cy="77040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1200" cy="770400"/>
                          </a:xfrm>
                          <a:prstGeom prst="rect">
                            <a:avLst/>
                          </a:prstGeom>
                          <a:noFill/>
                          <a:ln>
                            <a:noFill/>
                          </a:ln>
                        </pic:spPr>
                      </pic:pic>
                    </a:graphicData>
                  </a:graphic>
                </wp:inline>
              </w:drawing>
            </w:r>
          </w:p>
        </w:tc>
        <w:tc>
          <w:tcPr>
            <w:tcW w:w="2819" w:type="dxa"/>
            <w:vMerge w:val="restart"/>
            <w:tcMar>
              <w:left w:w="0" w:type="dxa"/>
              <w:right w:w="0" w:type="dxa"/>
            </w:tcMar>
          </w:tcPr>
          <w:p w:rsidR="0064229E" w:rsidRPr="000F747E" w:rsidRDefault="0064229E" w:rsidP="0064229E">
            <w:pPr>
              <w:rPr>
                <w:lang w:val="fr-CH"/>
              </w:rPr>
            </w:pPr>
            <w:r w:rsidRPr="000F747E">
              <w:rPr>
                <w:noProof/>
                <w:lang w:eastAsia="en-US"/>
              </w:rPr>
              <w:drawing>
                <wp:inline distT="0" distB="0" distL="0" distR="0" wp14:anchorId="48F7311B" wp14:editId="4E23B3FF">
                  <wp:extent cx="1576396" cy="123825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76396" cy="1238250"/>
                          </a:xfrm>
                          <a:prstGeom prst="rect">
                            <a:avLst/>
                          </a:prstGeom>
                          <a:noFill/>
                          <a:ln>
                            <a:noFill/>
                          </a:ln>
                        </pic:spPr>
                      </pic:pic>
                    </a:graphicData>
                  </a:graphic>
                </wp:inline>
              </w:drawing>
            </w:r>
          </w:p>
        </w:tc>
      </w:tr>
      <w:tr w:rsidR="0064229E" w:rsidRPr="001B4215" w:rsidTr="00FB121A">
        <w:trPr>
          <w:trHeight w:val="510"/>
        </w:trPr>
        <w:tc>
          <w:tcPr>
            <w:tcW w:w="3268" w:type="dxa"/>
            <w:tcMar>
              <w:left w:w="0" w:type="dxa"/>
              <w:bottom w:w="0" w:type="dxa"/>
              <w:right w:w="0" w:type="dxa"/>
            </w:tcMar>
          </w:tcPr>
          <w:p w:rsidR="0064229E" w:rsidRPr="000F747E" w:rsidRDefault="00476AF6" w:rsidP="00476AF6">
            <w:pPr>
              <w:spacing w:line="160" w:lineRule="exact"/>
              <w:rPr>
                <w:caps/>
                <w:sz w:val="15"/>
                <w:lang w:val="fr-CH"/>
              </w:rPr>
            </w:pPr>
            <w:r>
              <w:rPr>
                <w:caps/>
                <w:sz w:val="15"/>
                <w:lang w:val="fr-CH"/>
              </w:rPr>
              <w:t>organisation régionale africaine de la propriété intellectuelle</w:t>
            </w:r>
          </w:p>
        </w:tc>
        <w:tc>
          <w:tcPr>
            <w:tcW w:w="3269" w:type="dxa"/>
            <w:tcMar>
              <w:left w:w="0" w:type="dxa"/>
              <w:right w:w="0" w:type="dxa"/>
            </w:tcMar>
          </w:tcPr>
          <w:p w:rsidR="008A7A7B" w:rsidRDefault="0064229E" w:rsidP="0064229E">
            <w:pPr>
              <w:spacing w:line="160" w:lineRule="exact"/>
              <w:rPr>
                <w:caps/>
                <w:sz w:val="15"/>
                <w:lang w:val="fr-CH"/>
              </w:rPr>
            </w:pPr>
            <w:r w:rsidRPr="000F747E">
              <w:rPr>
                <w:caps/>
                <w:sz w:val="15"/>
                <w:lang w:val="fr-CH"/>
              </w:rPr>
              <w:t>ORGANISATION AFRICAINE</w:t>
            </w:r>
          </w:p>
          <w:p w:rsidR="0064229E" w:rsidRPr="000F747E" w:rsidRDefault="0064229E" w:rsidP="0064229E">
            <w:pPr>
              <w:spacing w:line="160" w:lineRule="exact"/>
              <w:rPr>
                <w:caps/>
                <w:sz w:val="15"/>
                <w:lang w:val="fr-CH"/>
              </w:rPr>
            </w:pPr>
            <w:r w:rsidRPr="000F747E">
              <w:rPr>
                <w:caps/>
                <w:sz w:val="15"/>
                <w:lang w:val="fr-CH"/>
              </w:rPr>
              <w:t>DE LA PROPRIÉTÉ INTELLECTUELLE</w:t>
            </w:r>
          </w:p>
        </w:tc>
        <w:tc>
          <w:tcPr>
            <w:tcW w:w="2819" w:type="dxa"/>
            <w:vMerge/>
            <w:tcMar>
              <w:left w:w="0" w:type="dxa"/>
              <w:right w:w="0" w:type="dxa"/>
            </w:tcMar>
          </w:tcPr>
          <w:p w:rsidR="0064229E" w:rsidRPr="000F747E" w:rsidRDefault="0064229E" w:rsidP="0064229E">
            <w:pPr>
              <w:rPr>
                <w:lang w:val="fr-CH"/>
              </w:rPr>
            </w:pPr>
          </w:p>
        </w:tc>
      </w:tr>
    </w:tbl>
    <w:p w:rsidR="00EF0403" w:rsidRPr="001B4FE9" w:rsidRDefault="00BE1BA7" w:rsidP="00FF5FB3">
      <w:pPr>
        <w:pStyle w:val="Heading2"/>
        <w:rPr>
          <w:lang w:val="fr-CH"/>
        </w:rPr>
      </w:pPr>
      <w:r w:rsidRPr="001B4FE9">
        <w:rPr>
          <w:lang w:val="fr-CH"/>
        </w:rPr>
        <w:t>MÉMORANDUM D</w:t>
      </w:r>
      <w:r w:rsidR="005F2EDC" w:rsidRPr="001B4FE9">
        <w:rPr>
          <w:lang w:val="fr-CH"/>
        </w:rPr>
        <w:t>’</w:t>
      </w:r>
      <w:r w:rsidRPr="001B4FE9">
        <w:rPr>
          <w:lang w:val="fr-CH"/>
        </w:rPr>
        <w:t>ACCORD ENTRE L</w:t>
      </w:r>
      <w:r w:rsidR="005F2EDC" w:rsidRPr="001B4FE9">
        <w:rPr>
          <w:lang w:val="fr-CH"/>
        </w:rPr>
        <w:t>’</w:t>
      </w:r>
      <w:r w:rsidRPr="001B4FE9">
        <w:rPr>
          <w:lang w:val="fr-CH"/>
        </w:rPr>
        <w:t>OMPI,</w:t>
      </w:r>
    </w:p>
    <w:p w:rsidR="00EF0403" w:rsidRPr="001B4FE9" w:rsidRDefault="00433360" w:rsidP="00FF5FB3">
      <w:pPr>
        <w:pStyle w:val="Heading2"/>
        <w:rPr>
          <w:lang w:val="fr-CH"/>
        </w:rPr>
      </w:pPr>
      <w:r w:rsidRPr="001B4FE9">
        <w:rPr>
          <w:lang w:val="fr-CH"/>
        </w:rPr>
        <w:t>l</w:t>
      </w:r>
      <w:r w:rsidR="005F2EDC" w:rsidRPr="001B4FE9">
        <w:rPr>
          <w:lang w:val="fr-CH"/>
        </w:rPr>
        <w:t>’</w:t>
      </w:r>
      <w:r w:rsidRPr="001B4FE9">
        <w:rPr>
          <w:lang w:val="fr-CH"/>
        </w:rPr>
        <w:t>Organisation régionale africaine de la propriété intellectuelle (ARIPO)</w:t>
      </w:r>
    </w:p>
    <w:p w:rsidR="00EF0403" w:rsidRPr="001B4FE9" w:rsidRDefault="00433360" w:rsidP="00FF5FB3">
      <w:pPr>
        <w:pStyle w:val="Heading2"/>
        <w:rPr>
          <w:lang w:val="fr-CH"/>
        </w:rPr>
      </w:pPr>
      <w:r w:rsidRPr="001B4FE9">
        <w:rPr>
          <w:lang w:val="fr-CH"/>
        </w:rPr>
        <w:t>ET</w:t>
      </w:r>
    </w:p>
    <w:p w:rsidR="00EF0403" w:rsidRPr="001B4FE9" w:rsidRDefault="00433360" w:rsidP="00FF5FB3">
      <w:pPr>
        <w:pStyle w:val="Heading2"/>
        <w:rPr>
          <w:lang w:val="fr-CH"/>
        </w:rPr>
      </w:pPr>
      <w:r w:rsidRPr="001B4FE9">
        <w:rPr>
          <w:lang w:val="fr-CH"/>
        </w:rPr>
        <w:t>l</w:t>
      </w:r>
      <w:r w:rsidR="005F2EDC" w:rsidRPr="001B4FE9">
        <w:rPr>
          <w:lang w:val="fr-CH"/>
        </w:rPr>
        <w:t>’</w:t>
      </w:r>
      <w:r w:rsidRPr="001B4FE9">
        <w:rPr>
          <w:lang w:val="fr-CH"/>
        </w:rPr>
        <w:t>Organisation africaine de la propriété intellectuelle (OAPI)</w:t>
      </w:r>
    </w:p>
    <w:p w:rsidR="00EF0403" w:rsidRPr="001B4FE9" w:rsidRDefault="00433360" w:rsidP="00A74515">
      <w:pPr>
        <w:spacing w:before="720"/>
        <w:rPr>
          <w:lang w:val="fr-CH"/>
        </w:rPr>
      </w:pPr>
      <w:r w:rsidRPr="001B4FE9">
        <w:rPr>
          <w:lang w:val="fr-CH"/>
        </w:rPr>
        <w:t>Le présent mémorandum d</w:t>
      </w:r>
      <w:r w:rsidR="005F2EDC" w:rsidRPr="001B4FE9">
        <w:rPr>
          <w:lang w:val="fr-CH"/>
        </w:rPr>
        <w:t>’</w:t>
      </w:r>
      <w:r w:rsidRPr="001B4FE9">
        <w:rPr>
          <w:lang w:val="fr-CH"/>
        </w:rPr>
        <w:t>accord est conclu entre l</w:t>
      </w:r>
      <w:r w:rsidR="005F2EDC" w:rsidRPr="001B4FE9">
        <w:rPr>
          <w:lang w:val="fr-CH"/>
        </w:rPr>
        <w:t>’</w:t>
      </w:r>
      <w:r w:rsidRPr="001B4FE9">
        <w:rPr>
          <w:lang w:val="fr-CH"/>
        </w:rPr>
        <w:t>Organisation Mondiale de la Propriété Intellectuelle (OMPI), l</w:t>
      </w:r>
      <w:r w:rsidR="005F2EDC" w:rsidRPr="001B4FE9">
        <w:rPr>
          <w:lang w:val="fr-CH"/>
        </w:rPr>
        <w:t>’</w:t>
      </w:r>
      <w:r w:rsidRPr="001B4FE9">
        <w:rPr>
          <w:lang w:val="fr-CH"/>
        </w:rPr>
        <w:t>Organisation régionale africaine de la propriété intellectuelle (ARIPO) et</w:t>
      </w:r>
      <w:r w:rsidR="009D32D5">
        <w:rPr>
          <w:lang w:val="fr-CH"/>
        </w:rPr>
        <w:t> </w:t>
      </w:r>
      <w:r w:rsidRPr="001B4FE9">
        <w:rPr>
          <w:lang w:val="fr-CH"/>
        </w:rPr>
        <w:t>l</w:t>
      </w:r>
      <w:r w:rsidR="005F2EDC" w:rsidRPr="001B4FE9">
        <w:rPr>
          <w:lang w:val="fr-CH"/>
        </w:rPr>
        <w:t>’</w:t>
      </w:r>
      <w:r w:rsidRPr="001B4FE9">
        <w:rPr>
          <w:lang w:val="fr-CH"/>
        </w:rPr>
        <w:t>Organisation africaine de la propriété intellectuelle (OAPI), ci</w:t>
      </w:r>
      <w:r w:rsidR="005F2EDC" w:rsidRPr="001B4FE9">
        <w:rPr>
          <w:lang w:val="fr-CH"/>
        </w:rPr>
        <w:t>-</w:t>
      </w:r>
      <w:r w:rsidRPr="001B4FE9">
        <w:rPr>
          <w:lang w:val="fr-CH"/>
        </w:rPr>
        <w:t>après collectivement dénommées “organisations”.</w:t>
      </w:r>
    </w:p>
    <w:p w:rsidR="00EF0403" w:rsidRPr="001B4FE9" w:rsidRDefault="00433360" w:rsidP="00FE67DE">
      <w:pPr>
        <w:pStyle w:val="Heading4"/>
        <w:rPr>
          <w:lang w:val="fr-CH"/>
        </w:rPr>
      </w:pPr>
      <w:r w:rsidRPr="001B4FE9">
        <w:rPr>
          <w:lang w:val="fr-CH"/>
        </w:rPr>
        <w:t>Préambule</w:t>
      </w:r>
    </w:p>
    <w:p w:rsidR="00EF0403" w:rsidRPr="001B4FE9" w:rsidRDefault="00433360" w:rsidP="00FE67DE">
      <w:pPr>
        <w:spacing w:before="240"/>
        <w:rPr>
          <w:lang w:val="fr-CH"/>
        </w:rPr>
      </w:pPr>
      <w:r w:rsidRPr="00B41896">
        <w:rPr>
          <w:b/>
          <w:lang w:val="fr-CH"/>
        </w:rPr>
        <w:t>Considérant</w:t>
      </w:r>
      <w:r w:rsidRPr="001B4FE9">
        <w:rPr>
          <w:lang w:val="fr-CH"/>
        </w:rPr>
        <w:t xml:space="preserve"> que l</w:t>
      </w:r>
      <w:r w:rsidR="005F2EDC" w:rsidRPr="001B4FE9">
        <w:rPr>
          <w:lang w:val="fr-CH"/>
        </w:rPr>
        <w:t>’</w:t>
      </w:r>
      <w:r w:rsidRPr="001B4FE9">
        <w:rPr>
          <w:lang w:val="fr-CH"/>
        </w:rPr>
        <w:t>ARIPO et l</w:t>
      </w:r>
      <w:r w:rsidR="005F2EDC" w:rsidRPr="001B4FE9">
        <w:rPr>
          <w:lang w:val="fr-CH"/>
        </w:rPr>
        <w:t>’</w:t>
      </w:r>
      <w:r w:rsidRPr="001B4FE9">
        <w:rPr>
          <w:lang w:val="fr-CH"/>
        </w:rPr>
        <w:t>OAPI sont des organisations intergouvernementales régionales ayant pour but de promouvoir la protection de la propriété intellectuelle et l</w:t>
      </w:r>
      <w:r w:rsidR="005F2EDC" w:rsidRPr="001B4FE9">
        <w:rPr>
          <w:lang w:val="fr-CH"/>
        </w:rPr>
        <w:t>’</w:t>
      </w:r>
      <w:r w:rsidRPr="001B4FE9">
        <w:rPr>
          <w:lang w:val="fr-CH"/>
        </w:rPr>
        <w:t>harmonisation et le développement des législations en matière de propriété intellectuelle, ainsi que des activités connexes, répondant aux besoins de leurs membres et de la région dans son ensemble;</w:t>
      </w:r>
    </w:p>
    <w:p w:rsidR="00EF0403" w:rsidRPr="001B4FE9" w:rsidRDefault="00433360" w:rsidP="00FE67DE">
      <w:pPr>
        <w:spacing w:before="240"/>
        <w:rPr>
          <w:lang w:val="fr-CH"/>
        </w:rPr>
      </w:pPr>
      <w:r w:rsidRPr="00B41896">
        <w:rPr>
          <w:b/>
          <w:lang w:val="fr-CH"/>
        </w:rPr>
        <w:t>Considérant</w:t>
      </w:r>
      <w:r w:rsidRPr="001B4FE9">
        <w:rPr>
          <w:lang w:val="fr-CH"/>
        </w:rPr>
        <w:t xml:space="preserve"> que l</w:t>
      </w:r>
      <w:r w:rsidR="005F2EDC" w:rsidRPr="001B4FE9">
        <w:rPr>
          <w:lang w:val="fr-CH"/>
        </w:rPr>
        <w:t>’</w:t>
      </w:r>
      <w:r w:rsidRPr="001B4FE9">
        <w:rPr>
          <w:lang w:val="fr-CH"/>
        </w:rPr>
        <w:t>OMPI, en tant qu</w:t>
      </w:r>
      <w:r w:rsidR="005F2EDC" w:rsidRPr="001B4FE9">
        <w:rPr>
          <w:lang w:val="fr-CH"/>
        </w:rPr>
        <w:t>’</w:t>
      </w:r>
      <w:r w:rsidRPr="001B4FE9">
        <w:rPr>
          <w:lang w:val="fr-CH"/>
        </w:rPr>
        <w:t xml:space="preserve">institution spécialisée du système des </w:t>
      </w:r>
      <w:r w:rsidR="005F2EDC" w:rsidRPr="001B4FE9">
        <w:rPr>
          <w:lang w:val="fr-CH"/>
        </w:rPr>
        <w:t>Nations Unies</w:t>
      </w:r>
      <w:r w:rsidRPr="001B4FE9">
        <w:rPr>
          <w:lang w:val="fr-CH"/>
        </w:rPr>
        <w:t>, est l</w:t>
      </w:r>
      <w:r w:rsidR="005F2EDC" w:rsidRPr="001B4FE9">
        <w:rPr>
          <w:lang w:val="fr-CH"/>
        </w:rPr>
        <w:t>’</w:t>
      </w:r>
      <w:r w:rsidRPr="001B4FE9">
        <w:rPr>
          <w:lang w:val="fr-CH"/>
        </w:rPr>
        <w:t>instance mondiale pour les services, les politiques, l</w:t>
      </w:r>
      <w:r w:rsidR="005F2EDC" w:rsidRPr="001B4FE9">
        <w:rPr>
          <w:lang w:val="fr-CH"/>
        </w:rPr>
        <w:t>’</w:t>
      </w:r>
      <w:r w:rsidRPr="001B4FE9">
        <w:rPr>
          <w:lang w:val="fr-CH"/>
        </w:rPr>
        <w:t>information et la coopération en matière de propriété intellectuelle et qu</w:t>
      </w:r>
      <w:r w:rsidR="005F2EDC" w:rsidRPr="001B4FE9">
        <w:rPr>
          <w:lang w:val="fr-CH"/>
        </w:rPr>
        <w:t>’</w:t>
      </w:r>
      <w:r w:rsidRPr="001B4FE9">
        <w:rPr>
          <w:lang w:val="fr-CH"/>
        </w:rPr>
        <w:t>elle a pour mission de promouvoir l</w:t>
      </w:r>
      <w:r w:rsidR="005F2EDC" w:rsidRPr="001B4FE9">
        <w:rPr>
          <w:lang w:val="fr-CH"/>
        </w:rPr>
        <w:t>’</w:t>
      </w:r>
      <w:r w:rsidRPr="001B4FE9">
        <w:rPr>
          <w:lang w:val="fr-CH"/>
        </w:rPr>
        <w:t>élaboration d</w:t>
      </w:r>
      <w:r w:rsidR="005F2EDC" w:rsidRPr="001B4FE9">
        <w:rPr>
          <w:lang w:val="fr-CH"/>
        </w:rPr>
        <w:t>’</w:t>
      </w:r>
      <w:r w:rsidRPr="001B4FE9">
        <w:rPr>
          <w:lang w:val="fr-CH"/>
        </w:rPr>
        <w:t>un système international de la propriété intellectuelle efficace et équilibré, qui favorise l</w:t>
      </w:r>
      <w:r w:rsidR="005F2EDC" w:rsidRPr="001B4FE9">
        <w:rPr>
          <w:lang w:val="fr-CH"/>
        </w:rPr>
        <w:t>’</w:t>
      </w:r>
      <w:r w:rsidRPr="001B4FE9">
        <w:rPr>
          <w:lang w:val="fr-CH"/>
        </w:rPr>
        <w:t>innovation et la créativité dans l</w:t>
      </w:r>
      <w:r w:rsidR="005F2EDC" w:rsidRPr="001B4FE9">
        <w:rPr>
          <w:lang w:val="fr-CH"/>
        </w:rPr>
        <w:t>’</w:t>
      </w:r>
      <w:r w:rsidRPr="001B4FE9">
        <w:rPr>
          <w:lang w:val="fr-CH"/>
        </w:rPr>
        <w:t>intérêt de tous;</w:t>
      </w:r>
    </w:p>
    <w:p w:rsidR="00EF0403" w:rsidRPr="001B4FE9" w:rsidRDefault="00433360" w:rsidP="00FE67DE">
      <w:pPr>
        <w:spacing w:before="240"/>
        <w:rPr>
          <w:lang w:val="fr-CH"/>
        </w:rPr>
      </w:pPr>
      <w:r w:rsidRPr="00B41896">
        <w:rPr>
          <w:b/>
          <w:lang w:val="fr-CH"/>
        </w:rPr>
        <w:t>Conscientes</w:t>
      </w:r>
      <w:r w:rsidRPr="001B4FE9">
        <w:rPr>
          <w:lang w:val="fr-CH"/>
        </w:rPr>
        <w:t xml:space="preserve"> de l</w:t>
      </w:r>
      <w:r w:rsidR="005F2EDC" w:rsidRPr="001B4FE9">
        <w:rPr>
          <w:lang w:val="fr-CH"/>
        </w:rPr>
        <w:t>’</w:t>
      </w:r>
      <w:r w:rsidRPr="001B4FE9">
        <w:rPr>
          <w:lang w:val="fr-CH"/>
        </w:rPr>
        <w:t>importance et de l</w:t>
      </w:r>
      <w:r w:rsidR="005F2EDC" w:rsidRPr="001B4FE9">
        <w:rPr>
          <w:lang w:val="fr-CH"/>
        </w:rPr>
        <w:t>’</w:t>
      </w:r>
      <w:r w:rsidRPr="001B4FE9">
        <w:rPr>
          <w:lang w:val="fr-CH"/>
        </w:rPr>
        <w:t>utilité de la propriété intellectuelle pour l</w:t>
      </w:r>
      <w:r w:rsidR="005F2EDC" w:rsidRPr="001B4FE9">
        <w:rPr>
          <w:lang w:val="fr-CH"/>
        </w:rPr>
        <w:t>’</w:t>
      </w:r>
      <w:r w:rsidRPr="001B4FE9">
        <w:rPr>
          <w:lang w:val="fr-CH"/>
        </w:rPr>
        <w:t>innovation et la créativité, ainsi que du rôle essentiel que peut jouer la propriété intellectuelle dans la réalisation des objectifs de développement socioéconomique, scientifique, technologique et culturel des pays en développement et des pays les moins avancés par la création de richesses en Afrique;</w:t>
      </w:r>
    </w:p>
    <w:p w:rsidR="008A7A7B" w:rsidRPr="001B4FE9" w:rsidRDefault="00433360" w:rsidP="00FE67DE">
      <w:pPr>
        <w:spacing w:before="240"/>
        <w:rPr>
          <w:lang w:val="fr-CH"/>
        </w:rPr>
      </w:pPr>
      <w:r w:rsidRPr="00B41896">
        <w:rPr>
          <w:b/>
          <w:lang w:val="fr-CH"/>
        </w:rPr>
        <w:t>Désireuses</w:t>
      </w:r>
      <w:r w:rsidRPr="001B4FE9">
        <w:rPr>
          <w:lang w:val="fr-CH"/>
        </w:rPr>
        <w:t xml:space="preserve"> de renforcer la coopération entre les organisations afin d</w:t>
      </w:r>
      <w:r w:rsidR="005F2EDC" w:rsidRPr="001B4FE9">
        <w:rPr>
          <w:lang w:val="fr-CH"/>
        </w:rPr>
        <w:t>’</w:t>
      </w:r>
      <w:r w:rsidRPr="001B4FE9">
        <w:rPr>
          <w:lang w:val="fr-CH"/>
        </w:rPr>
        <w:t>atteindre l</w:t>
      </w:r>
      <w:r w:rsidR="005F2EDC" w:rsidRPr="001B4FE9">
        <w:rPr>
          <w:lang w:val="fr-CH"/>
        </w:rPr>
        <w:t>’</w:t>
      </w:r>
      <w:r w:rsidRPr="001B4FE9">
        <w:rPr>
          <w:lang w:val="fr-CH"/>
        </w:rPr>
        <w:t>objectif commun de favoriser le développement durable de leurs États membres par la promotion de l</w:t>
      </w:r>
      <w:r w:rsidR="005F2EDC" w:rsidRPr="001B4FE9">
        <w:rPr>
          <w:lang w:val="fr-CH"/>
        </w:rPr>
        <w:t>’</w:t>
      </w:r>
      <w:r w:rsidRPr="001B4FE9">
        <w:rPr>
          <w:lang w:val="fr-CH"/>
        </w:rPr>
        <w:t>utilisation stratégique et efficace du système de propriété intellectuelle au service de la réalisation des objectifs de développement;</w:t>
      </w:r>
    </w:p>
    <w:p w:rsidR="00EF0403" w:rsidRPr="001B4FE9" w:rsidRDefault="00EF0403" w:rsidP="0064229E">
      <w:pPr>
        <w:rPr>
          <w:lang w:val="fr-CH"/>
        </w:rPr>
      </w:pPr>
    </w:p>
    <w:p w:rsidR="006436DE" w:rsidRPr="001B4FE9" w:rsidRDefault="006436DE">
      <w:pPr>
        <w:rPr>
          <w:lang w:val="fr-CH"/>
        </w:rPr>
        <w:sectPr w:rsidR="006436DE" w:rsidRPr="001B4FE9" w:rsidSect="006436DE">
          <w:headerReference w:type="default" r:id="rId14"/>
          <w:footerReference w:type="default" r:id="rId15"/>
          <w:endnotePr>
            <w:numFmt w:val="decimal"/>
          </w:endnotePr>
          <w:pgSz w:w="11907" w:h="16840" w:code="9"/>
          <w:pgMar w:top="567" w:right="1134" w:bottom="1418" w:left="1418" w:header="510" w:footer="1021" w:gutter="0"/>
          <w:pgNumType w:start="1"/>
          <w:cols w:space="720"/>
          <w:docGrid w:linePitch="299"/>
        </w:sectPr>
      </w:pPr>
    </w:p>
    <w:p w:rsidR="00EF0403" w:rsidRPr="001B4FE9" w:rsidRDefault="00433360" w:rsidP="00433360">
      <w:pPr>
        <w:rPr>
          <w:lang w:val="fr-CH"/>
        </w:rPr>
      </w:pPr>
      <w:r w:rsidRPr="001B4FE9">
        <w:rPr>
          <w:lang w:val="fr-CH"/>
        </w:rPr>
        <w:lastRenderedPageBreak/>
        <w:t>Sont convenus de ce qui suit</w:t>
      </w:r>
      <w:r w:rsidR="005F2EDC" w:rsidRPr="001B4FE9">
        <w:rPr>
          <w:lang w:val="fr-CH"/>
        </w:rPr>
        <w:t> :</w:t>
      </w:r>
    </w:p>
    <w:p w:rsidR="00EF0403" w:rsidRPr="001B4FE9" w:rsidRDefault="008A7A7B" w:rsidP="00FE67DE">
      <w:pPr>
        <w:pStyle w:val="Heading4"/>
        <w:rPr>
          <w:lang w:val="fr-CH"/>
        </w:rPr>
      </w:pPr>
      <w:r w:rsidRPr="001B4FE9">
        <w:rPr>
          <w:lang w:val="fr-CH"/>
        </w:rPr>
        <w:t>Article 1</w:t>
      </w:r>
      <w:r w:rsidR="00FE67DE">
        <w:rPr>
          <w:lang w:val="fr-CH"/>
        </w:rPr>
        <w:br/>
      </w:r>
      <w:r w:rsidR="00433360" w:rsidRPr="001B4FE9">
        <w:rPr>
          <w:lang w:val="fr-CH"/>
        </w:rPr>
        <w:t>Objectifs</w:t>
      </w:r>
    </w:p>
    <w:p w:rsidR="00EF0403" w:rsidRPr="001B4FE9" w:rsidRDefault="00433360" w:rsidP="00FE67DE">
      <w:pPr>
        <w:spacing w:before="240"/>
        <w:rPr>
          <w:lang w:val="fr-CH"/>
        </w:rPr>
      </w:pPr>
      <w:r w:rsidRPr="001B4FE9">
        <w:rPr>
          <w:lang w:val="fr-CH"/>
        </w:rPr>
        <w:t>Le présent mémorandum d</w:t>
      </w:r>
      <w:r w:rsidR="005F2EDC" w:rsidRPr="001B4FE9">
        <w:rPr>
          <w:lang w:val="fr-CH"/>
        </w:rPr>
        <w:t>’</w:t>
      </w:r>
      <w:r w:rsidRPr="001B4FE9">
        <w:rPr>
          <w:lang w:val="fr-CH"/>
        </w:rPr>
        <w:t>accord établit un cadre de coopération tripartite entre les organisations, leur permettant d</w:t>
      </w:r>
      <w:r w:rsidR="005F2EDC" w:rsidRPr="001B4FE9">
        <w:rPr>
          <w:lang w:val="fr-CH"/>
        </w:rPr>
        <w:t>’</w:t>
      </w:r>
      <w:r w:rsidRPr="001B4FE9">
        <w:rPr>
          <w:lang w:val="fr-CH"/>
        </w:rPr>
        <w:t>entreprendre et de proposer des programmes communs d</w:t>
      </w:r>
      <w:r w:rsidR="005F2EDC" w:rsidRPr="001B4FE9">
        <w:rPr>
          <w:lang w:val="fr-CH"/>
        </w:rPr>
        <w:t>’</w:t>
      </w:r>
      <w:r w:rsidRPr="001B4FE9">
        <w:rPr>
          <w:lang w:val="fr-CH"/>
        </w:rPr>
        <w:t>assistance technique dans les États membres dans le cadre de leurs activités et de leurs mandats respectifs en matière de coopération.</w:t>
      </w:r>
    </w:p>
    <w:p w:rsidR="00EF0403" w:rsidRPr="001B4FE9" w:rsidRDefault="008A7A7B" w:rsidP="00FE67DE">
      <w:pPr>
        <w:pStyle w:val="Heading4"/>
        <w:rPr>
          <w:lang w:val="fr-CH"/>
        </w:rPr>
      </w:pPr>
      <w:r w:rsidRPr="001B4FE9">
        <w:rPr>
          <w:lang w:val="fr-CH"/>
        </w:rPr>
        <w:t>Article 2</w:t>
      </w:r>
      <w:r w:rsidR="00FE67DE">
        <w:rPr>
          <w:lang w:val="fr-CH"/>
        </w:rPr>
        <w:br/>
      </w:r>
      <w:r w:rsidRPr="001B4FE9">
        <w:rPr>
          <w:lang w:val="fr-CH"/>
        </w:rPr>
        <w:t>Article 2</w:t>
      </w:r>
      <w:r w:rsidR="00433360" w:rsidRPr="001B4FE9">
        <w:rPr>
          <w:lang w:val="fr-CH"/>
        </w:rPr>
        <w:t>a</w:t>
      </w:r>
      <w:r w:rsidR="00FE67DE">
        <w:rPr>
          <w:lang w:val="fr-CH"/>
        </w:rPr>
        <w:br/>
      </w:r>
      <w:r w:rsidR="00433360" w:rsidRPr="001B4FE9">
        <w:rPr>
          <w:lang w:val="fr-CH"/>
        </w:rPr>
        <w:t>Création d</w:t>
      </w:r>
      <w:r w:rsidR="005F2EDC" w:rsidRPr="001B4FE9">
        <w:rPr>
          <w:lang w:val="fr-CH"/>
        </w:rPr>
        <w:t>’</w:t>
      </w:r>
      <w:r w:rsidR="00433360" w:rsidRPr="001B4FE9">
        <w:rPr>
          <w:lang w:val="fr-CH"/>
        </w:rPr>
        <w:t>un comité</w:t>
      </w:r>
    </w:p>
    <w:p w:rsidR="00EF0403" w:rsidRPr="001B4FE9" w:rsidRDefault="00433360" w:rsidP="00FE67DE">
      <w:pPr>
        <w:spacing w:before="240"/>
        <w:rPr>
          <w:lang w:val="fr-CH"/>
        </w:rPr>
      </w:pPr>
      <w:r w:rsidRPr="001B4FE9">
        <w:rPr>
          <w:lang w:val="fr-CH"/>
        </w:rPr>
        <w:t>Les organisations créent un comité, ci</w:t>
      </w:r>
      <w:r w:rsidR="005F2EDC" w:rsidRPr="001B4FE9">
        <w:rPr>
          <w:lang w:val="fr-CH"/>
        </w:rPr>
        <w:t>-</w:t>
      </w:r>
      <w:r w:rsidRPr="001B4FE9">
        <w:rPr>
          <w:lang w:val="fr-CH"/>
        </w:rPr>
        <w:t>après dénommé “comité tripartite”, composé de deux</w:t>
      </w:r>
      <w:r w:rsidR="0024086D" w:rsidRPr="001B4FE9">
        <w:rPr>
          <w:lang w:val="fr-CH"/>
        </w:rPr>
        <w:t> </w:t>
      </w:r>
      <w:r w:rsidRPr="001B4FE9">
        <w:rPr>
          <w:lang w:val="fr-CH"/>
        </w:rPr>
        <w:t>représentants de chaque organisation;</w:t>
      </w:r>
    </w:p>
    <w:p w:rsidR="00EF0403" w:rsidRPr="001B4FE9" w:rsidRDefault="008A7A7B" w:rsidP="00FE67DE">
      <w:pPr>
        <w:pStyle w:val="Heading4"/>
        <w:rPr>
          <w:lang w:val="fr-CH"/>
        </w:rPr>
      </w:pPr>
      <w:r w:rsidRPr="001B4FE9">
        <w:rPr>
          <w:lang w:val="fr-CH"/>
        </w:rPr>
        <w:t>Article 2</w:t>
      </w:r>
      <w:r w:rsidR="00433360" w:rsidRPr="001B4FE9">
        <w:rPr>
          <w:lang w:val="fr-CH"/>
        </w:rPr>
        <w:t>b</w:t>
      </w:r>
      <w:r w:rsidR="00FE67DE">
        <w:rPr>
          <w:lang w:val="fr-CH"/>
        </w:rPr>
        <w:br/>
      </w:r>
      <w:r w:rsidR="00433360" w:rsidRPr="001B4FE9">
        <w:rPr>
          <w:lang w:val="fr-CH"/>
        </w:rPr>
        <w:t>Réunions du comité tripartite</w:t>
      </w:r>
    </w:p>
    <w:p w:rsidR="00EF0403" w:rsidRPr="001B4FE9" w:rsidRDefault="00433360" w:rsidP="00FE67DE">
      <w:pPr>
        <w:spacing w:before="240"/>
        <w:rPr>
          <w:lang w:val="fr-CH"/>
        </w:rPr>
      </w:pPr>
      <w:r w:rsidRPr="001B4FE9">
        <w:rPr>
          <w:lang w:val="fr-CH"/>
        </w:rPr>
        <w:t>Le comité se réunit une fois par an pour examiner les questions à traiter pour une année donnée et proposer la mise en œuvre de programmes stratégiques dans le cadre du présent mémorandum d</w:t>
      </w:r>
      <w:r w:rsidR="005F2EDC" w:rsidRPr="001B4FE9">
        <w:rPr>
          <w:lang w:val="fr-CH"/>
        </w:rPr>
        <w:t>’</w:t>
      </w:r>
      <w:r w:rsidRPr="001B4FE9">
        <w:rPr>
          <w:lang w:val="fr-CH"/>
        </w:rPr>
        <w:t>accord, compte tenu des dates des assembl</w:t>
      </w:r>
      <w:r w:rsidR="005932E0" w:rsidRPr="001B4FE9">
        <w:rPr>
          <w:lang w:val="fr-CH"/>
        </w:rPr>
        <w:t>ées des États membres de l</w:t>
      </w:r>
      <w:r w:rsidR="005F2EDC" w:rsidRPr="001B4FE9">
        <w:rPr>
          <w:lang w:val="fr-CH"/>
        </w:rPr>
        <w:t>’</w:t>
      </w:r>
      <w:r w:rsidR="005932E0" w:rsidRPr="001B4FE9">
        <w:rPr>
          <w:lang w:val="fr-CH"/>
        </w:rPr>
        <w:t>OMPI</w:t>
      </w:r>
      <w:r w:rsidRPr="001B4FE9">
        <w:rPr>
          <w:lang w:val="fr-CH"/>
        </w:rPr>
        <w:t xml:space="preserve"> </w:t>
      </w:r>
      <w:r w:rsidR="005932E0" w:rsidRPr="001B4FE9">
        <w:rPr>
          <w:lang w:val="fr-CH"/>
        </w:rPr>
        <w:t xml:space="preserve">ainsi que </w:t>
      </w:r>
      <w:r w:rsidRPr="001B4FE9">
        <w:rPr>
          <w:lang w:val="fr-CH"/>
        </w:rPr>
        <w:t xml:space="preserve">des sessions des organes </w:t>
      </w:r>
      <w:r w:rsidR="005932E0" w:rsidRPr="001B4FE9">
        <w:rPr>
          <w:lang w:val="fr-CH"/>
        </w:rPr>
        <w:t>directeurs de l</w:t>
      </w:r>
      <w:r w:rsidR="005F2EDC" w:rsidRPr="001B4FE9">
        <w:rPr>
          <w:lang w:val="fr-CH"/>
        </w:rPr>
        <w:t>’</w:t>
      </w:r>
      <w:r w:rsidR="005932E0" w:rsidRPr="001B4FE9">
        <w:rPr>
          <w:lang w:val="fr-CH"/>
        </w:rPr>
        <w:t>ARIPO et</w:t>
      </w:r>
      <w:r w:rsidRPr="001B4FE9">
        <w:rPr>
          <w:lang w:val="fr-CH"/>
        </w:rPr>
        <w:t xml:space="preserve"> de l</w:t>
      </w:r>
      <w:r w:rsidR="005F2EDC" w:rsidRPr="001B4FE9">
        <w:rPr>
          <w:lang w:val="fr-CH"/>
        </w:rPr>
        <w:t>’</w:t>
      </w:r>
      <w:r w:rsidRPr="001B4FE9">
        <w:rPr>
          <w:lang w:val="fr-CH"/>
        </w:rPr>
        <w:t>OAPI, et conformément aux programmes de travail approuvés de leurs organisations respectives.</w:t>
      </w:r>
    </w:p>
    <w:p w:rsidR="00EF0403" w:rsidRPr="001B4FE9" w:rsidRDefault="008A7A7B" w:rsidP="00FE67DE">
      <w:pPr>
        <w:pStyle w:val="Heading4"/>
        <w:rPr>
          <w:lang w:val="fr-CH"/>
        </w:rPr>
      </w:pPr>
      <w:r w:rsidRPr="001B4FE9">
        <w:rPr>
          <w:lang w:val="fr-CH"/>
        </w:rPr>
        <w:t>Article 2</w:t>
      </w:r>
      <w:r w:rsidR="00433360" w:rsidRPr="001B4FE9">
        <w:rPr>
          <w:lang w:val="fr-CH"/>
        </w:rPr>
        <w:t>c</w:t>
      </w:r>
      <w:r w:rsidR="00FE67DE">
        <w:rPr>
          <w:lang w:val="fr-CH"/>
        </w:rPr>
        <w:br/>
      </w:r>
      <w:r w:rsidR="00433360" w:rsidRPr="001B4FE9">
        <w:rPr>
          <w:lang w:val="fr-CH"/>
        </w:rPr>
        <w:t>Décisions du comité tripartite</w:t>
      </w:r>
    </w:p>
    <w:p w:rsidR="00EF0403" w:rsidRPr="001B4FE9" w:rsidRDefault="00152D82" w:rsidP="00FE67DE">
      <w:pPr>
        <w:spacing w:before="240"/>
        <w:rPr>
          <w:lang w:val="fr-CH"/>
        </w:rPr>
      </w:pPr>
      <w:r w:rsidRPr="001B4FE9">
        <w:rPr>
          <w:lang w:val="fr-CH"/>
        </w:rPr>
        <w:t>Les décisions fond</w:t>
      </w:r>
      <w:r w:rsidR="005932E0" w:rsidRPr="001B4FE9">
        <w:rPr>
          <w:lang w:val="fr-CH"/>
        </w:rPr>
        <w:t>ées sur les recommandations du c</w:t>
      </w:r>
      <w:r w:rsidRPr="001B4FE9">
        <w:rPr>
          <w:lang w:val="fr-CH"/>
        </w:rPr>
        <w:t>omité sont prises par consensus;</w:t>
      </w:r>
    </w:p>
    <w:p w:rsidR="008A7A7B" w:rsidRPr="001B4FE9" w:rsidRDefault="008A7A7B" w:rsidP="00FE67DE">
      <w:pPr>
        <w:pStyle w:val="Heading4"/>
        <w:rPr>
          <w:lang w:val="fr-CH"/>
        </w:rPr>
      </w:pPr>
      <w:r w:rsidRPr="001B4FE9">
        <w:rPr>
          <w:lang w:val="fr-CH"/>
        </w:rPr>
        <w:t>Article 2</w:t>
      </w:r>
      <w:r w:rsidR="00152D82" w:rsidRPr="001B4FE9">
        <w:rPr>
          <w:lang w:val="fr-CH"/>
        </w:rPr>
        <w:t>d</w:t>
      </w:r>
      <w:r w:rsidR="00FE67DE">
        <w:rPr>
          <w:lang w:val="fr-CH"/>
        </w:rPr>
        <w:br/>
      </w:r>
      <w:r w:rsidR="00152D82" w:rsidRPr="001B4FE9">
        <w:rPr>
          <w:lang w:val="fr-CH"/>
        </w:rPr>
        <w:t>Lieu des réunions</w:t>
      </w:r>
    </w:p>
    <w:p w:rsidR="008A7A7B" w:rsidRPr="001B4FE9" w:rsidRDefault="00152D82" w:rsidP="00FE67DE">
      <w:pPr>
        <w:spacing w:before="240"/>
        <w:rPr>
          <w:lang w:val="fr-CH"/>
        </w:rPr>
      </w:pPr>
      <w:r w:rsidRPr="001B4FE9">
        <w:rPr>
          <w:lang w:val="fr-CH"/>
        </w:rPr>
        <w:t>Les réunions se tiennent à tour de rôle dans chacune des organisations, chaque organisation prenant en charge l</w:t>
      </w:r>
      <w:r w:rsidR="005F2EDC" w:rsidRPr="001B4FE9">
        <w:rPr>
          <w:lang w:val="fr-CH"/>
        </w:rPr>
        <w:t>’</w:t>
      </w:r>
      <w:r w:rsidRPr="001B4FE9">
        <w:rPr>
          <w:lang w:val="fr-CH"/>
        </w:rPr>
        <w:t>appui logistique et administratif pour les réunions organisées sous ses auspices.</w:t>
      </w:r>
    </w:p>
    <w:p w:rsidR="00EF0403" w:rsidRPr="001B4FE9" w:rsidRDefault="008A7A7B" w:rsidP="00FE67DE">
      <w:pPr>
        <w:pStyle w:val="Heading4"/>
        <w:rPr>
          <w:lang w:val="fr-CH"/>
        </w:rPr>
      </w:pPr>
      <w:r w:rsidRPr="001B4FE9">
        <w:rPr>
          <w:lang w:val="fr-CH"/>
        </w:rPr>
        <w:t>Article 3</w:t>
      </w:r>
      <w:r w:rsidR="00FE67DE">
        <w:rPr>
          <w:lang w:val="fr-CH"/>
        </w:rPr>
        <w:br/>
      </w:r>
      <w:r w:rsidR="00152D82" w:rsidRPr="001B4FE9">
        <w:rPr>
          <w:lang w:val="fr-CH"/>
        </w:rPr>
        <w:t>Portée de la coopération</w:t>
      </w:r>
    </w:p>
    <w:p w:rsidR="00EF0403" w:rsidRPr="001B4FE9" w:rsidRDefault="00152D82" w:rsidP="00F5593C">
      <w:pPr>
        <w:spacing w:before="240" w:after="220"/>
        <w:rPr>
          <w:lang w:val="fr-CH"/>
        </w:rPr>
      </w:pPr>
      <w:r w:rsidRPr="001B4FE9">
        <w:rPr>
          <w:lang w:val="fr-CH"/>
        </w:rPr>
        <w:t>Les organisations renforcent leur coopération en fournissant régulièrement un appui technique aux autres organisations aux fins de la mise en œuvre des activités prévues dans les États</w:t>
      </w:r>
      <w:r w:rsidR="009D32D5">
        <w:rPr>
          <w:lang w:val="fr-CH"/>
        </w:rPr>
        <w:t> </w:t>
      </w:r>
      <w:r w:rsidRPr="001B4FE9">
        <w:rPr>
          <w:lang w:val="fr-CH"/>
        </w:rPr>
        <w:t>membres, afin d</w:t>
      </w:r>
      <w:r w:rsidR="005F2EDC" w:rsidRPr="001B4FE9">
        <w:rPr>
          <w:lang w:val="fr-CH"/>
        </w:rPr>
        <w:t>’</w:t>
      </w:r>
      <w:r w:rsidRPr="001B4FE9">
        <w:rPr>
          <w:lang w:val="fr-CH"/>
        </w:rPr>
        <w:t>améliorer la coordination et l</w:t>
      </w:r>
      <w:r w:rsidR="005F2EDC" w:rsidRPr="001B4FE9">
        <w:rPr>
          <w:lang w:val="fr-CH"/>
        </w:rPr>
        <w:t>’</w:t>
      </w:r>
      <w:r w:rsidRPr="001B4FE9">
        <w:rPr>
          <w:lang w:val="fr-CH"/>
        </w:rPr>
        <w:t>exécution des programmes ou projets communs.</w:t>
      </w:r>
    </w:p>
    <w:p w:rsidR="00EF0403" w:rsidRPr="00FE67DE" w:rsidRDefault="00152D82" w:rsidP="00FE67DE">
      <w:pPr>
        <w:pStyle w:val="ONUMFS"/>
        <w:numPr>
          <w:ilvl w:val="0"/>
          <w:numId w:val="23"/>
        </w:numPr>
        <w:ind w:left="567"/>
        <w:rPr>
          <w:lang w:val="fr-CH"/>
        </w:rPr>
      </w:pPr>
      <w:r w:rsidRPr="00FE67DE">
        <w:rPr>
          <w:lang w:val="fr-CH"/>
        </w:rPr>
        <w:t>Pour ce faire, celles</w:t>
      </w:r>
      <w:r w:rsidR="005F2EDC" w:rsidRPr="00FE67DE">
        <w:rPr>
          <w:lang w:val="fr-CH"/>
        </w:rPr>
        <w:t>-</w:t>
      </w:r>
      <w:r w:rsidRPr="00FE67DE">
        <w:rPr>
          <w:lang w:val="fr-CH"/>
        </w:rPr>
        <w:t>ci peuvent notamment</w:t>
      </w:r>
      <w:r w:rsidR="005F2EDC" w:rsidRPr="00FE67DE">
        <w:rPr>
          <w:lang w:val="fr-CH"/>
        </w:rPr>
        <w:t> :</w:t>
      </w:r>
      <w:r w:rsidRPr="00FE67DE">
        <w:rPr>
          <w:lang w:val="fr-CH"/>
        </w:rPr>
        <w:t xml:space="preserve"> mettre au point des activités communes pour traiter de questions d</w:t>
      </w:r>
      <w:r w:rsidR="005F2EDC" w:rsidRPr="00FE67DE">
        <w:rPr>
          <w:lang w:val="fr-CH"/>
        </w:rPr>
        <w:t>’</w:t>
      </w:r>
      <w:r w:rsidRPr="00FE67DE">
        <w:rPr>
          <w:lang w:val="fr-CH"/>
        </w:rPr>
        <w:t xml:space="preserve">intérêt mutuel, </w:t>
      </w:r>
      <w:r w:rsidR="005F2EDC" w:rsidRPr="00FE67DE">
        <w:rPr>
          <w:lang w:val="fr-CH"/>
        </w:rPr>
        <w:t>y compris</w:t>
      </w:r>
      <w:r w:rsidRPr="00FE67DE">
        <w:rPr>
          <w:lang w:val="fr-CH"/>
        </w:rPr>
        <w:t xml:space="preserve"> coordonner et conduire des études communes sur des faits nouveaux à l</w:t>
      </w:r>
      <w:r w:rsidR="005F2EDC" w:rsidRPr="00FE67DE">
        <w:rPr>
          <w:lang w:val="fr-CH"/>
        </w:rPr>
        <w:t>’</w:t>
      </w:r>
      <w:r w:rsidRPr="00FE67DE">
        <w:rPr>
          <w:lang w:val="fr-CH"/>
        </w:rPr>
        <w:t xml:space="preserve">échelle régionale ou internationale dans le domaine de la propriété intellectuelle, organiser des séminaires et ateliers communs </w:t>
      </w:r>
      <w:r w:rsidRPr="00FE67DE">
        <w:rPr>
          <w:lang w:val="fr-CH"/>
        </w:rPr>
        <w:lastRenderedPageBreak/>
        <w:t>pour renforcer les capacités des parties prenantes et examiner des questions d</w:t>
      </w:r>
      <w:r w:rsidR="005F2EDC" w:rsidRPr="00FE67DE">
        <w:rPr>
          <w:lang w:val="fr-CH"/>
        </w:rPr>
        <w:t>’</w:t>
      </w:r>
      <w:r w:rsidRPr="00FE67DE">
        <w:rPr>
          <w:lang w:val="fr-CH"/>
        </w:rPr>
        <w:t>actualité touchant les droits de propriété intellectuelle, notamment en ce qui concerne la gestion et l</w:t>
      </w:r>
      <w:r w:rsidR="005F2EDC" w:rsidRPr="00FE67DE">
        <w:rPr>
          <w:lang w:val="fr-CH"/>
        </w:rPr>
        <w:t>’</w:t>
      </w:r>
      <w:r w:rsidRPr="00FE67DE">
        <w:rPr>
          <w:lang w:val="fr-CH"/>
        </w:rPr>
        <w:t>administration des droits de propriété intellectuelle;</w:t>
      </w:r>
    </w:p>
    <w:p w:rsidR="00EF0403" w:rsidRPr="001B4FE9" w:rsidRDefault="00152D82" w:rsidP="00FE67DE">
      <w:pPr>
        <w:pStyle w:val="ONUMFS"/>
        <w:ind w:left="567"/>
        <w:rPr>
          <w:lang w:val="fr-CH"/>
        </w:rPr>
      </w:pPr>
      <w:r w:rsidRPr="001B4FE9">
        <w:rPr>
          <w:lang w:val="fr-CH"/>
        </w:rPr>
        <w:t>collaborer en termes d</w:t>
      </w:r>
      <w:r w:rsidR="005F2EDC" w:rsidRPr="001B4FE9">
        <w:rPr>
          <w:lang w:val="fr-CH"/>
        </w:rPr>
        <w:t>’</w:t>
      </w:r>
      <w:r w:rsidRPr="001B4FE9">
        <w:rPr>
          <w:lang w:val="fr-CH"/>
        </w:rPr>
        <w:t>assistance technique aux fins de l</w:t>
      </w:r>
      <w:r w:rsidR="005F2EDC" w:rsidRPr="001B4FE9">
        <w:rPr>
          <w:lang w:val="fr-CH"/>
        </w:rPr>
        <w:t>’</w:t>
      </w:r>
      <w:r w:rsidRPr="001B4FE9">
        <w:rPr>
          <w:lang w:val="fr-CH"/>
        </w:rPr>
        <w:t>élaboration de politiques et de stratégies nationales de propriété intellectuelle;  de renforcement des compétences dans les petites et moyennes entreprises;  d</w:t>
      </w:r>
      <w:r w:rsidR="005F2EDC" w:rsidRPr="001B4FE9">
        <w:rPr>
          <w:lang w:val="fr-CH"/>
        </w:rPr>
        <w:t>’</w:t>
      </w:r>
      <w:r w:rsidRPr="001B4FE9">
        <w:rPr>
          <w:lang w:val="fr-CH"/>
        </w:rPr>
        <w:t>accès à des informations techniques et scientifiques et d</w:t>
      </w:r>
      <w:r w:rsidR="005F2EDC" w:rsidRPr="001B4FE9">
        <w:rPr>
          <w:lang w:val="fr-CH"/>
        </w:rPr>
        <w:t>’</w:t>
      </w:r>
      <w:r w:rsidRPr="001B4FE9">
        <w:rPr>
          <w:lang w:val="fr-CH"/>
        </w:rPr>
        <w:t>utilisation de ces informations aux fins d</w:t>
      </w:r>
      <w:r w:rsidR="005F2EDC" w:rsidRPr="001B4FE9">
        <w:rPr>
          <w:lang w:val="fr-CH"/>
        </w:rPr>
        <w:t>’</w:t>
      </w:r>
      <w:r w:rsidRPr="001B4FE9">
        <w:rPr>
          <w:lang w:val="fr-CH"/>
        </w:rPr>
        <w:t>innovation;  et de renforcement des capacités institutionnelles des offices de propriété intellectuelle des États membres;</w:t>
      </w:r>
    </w:p>
    <w:p w:rsidR="00EF0403" w:rsidRPr="001B4FE9" w:rsidRDefault="00152D82" w:rsidP="00FE67DE">
      <w:pPr>
        <w:pStyle w:val="ONUMFS"/>
        <w:ind w:left="567"/>
        <w:rPr>
          <w:lang w:val="fr-CH"/>
        </w:rPr>
      </w:pPr>
      <w:r w:rsidRPr="001B4FE9">
        <w:rPr>
          <w:lang w:val="fr-CH"/>
        </w:rPr>
        <w:t>les programmes de travail communs doivent préciser les responsabilités et obligations financières respectives des organisations et indiquer toute autre source de financement ainsi que les responsabilités en matière de personnel.</w:t>
      </w:r>
    </w:p>
    <w:p w:rsidR="00EF0403" w:rsidRPr="001B4FE9" w:rsidRDefault="008A7A7B" w:rsidP="00B41896">
      <w:pPr>
        <w:pStyle w:val="Heading4"/>
        <w:rPr>
          <w:lang w:val="fr-CH"/>
        </w:rPr>
      </w:pPr>
      <w:r w:rsidRPr="001B4FE9">
        <w:rPr>
          <w:lang w:val="fr-CH"/>
        </w:rPr>
        <w:t>Article 4</w:t>
      </w:r>
      <w:r w:rsidR="00FE67DE">
        <w:rPr>
          <w:lang w:val="fr-CH"/>
        </w:rPr>
        <w:br/>
      </w:r>
      <w:r w:rsidR="00152D82" w:rsidRPr="001B4FE9">
        <w:rPr>
          <w:lang w:val="fr-CH"/>
        </w:rPr>
        <w:t>Contributions et mise en œuvre</w:t>
      </w:r>
    </w:p>
    <w:p w:rsidR="00EF0403" w:rsidRPr="001B4FE9" w:rsidRDefault="00152D82" w:rsidP="00B41896">
      <w:pPr>
        <w:spacing w:before="240"/>
        <w:rPr>
          <w:lang w:val="fr-CH"/>
        </w:rPr>
      </w:pPr>
      <w:r w:rsidRPr="001B4FE9">
        <w:rPr>
          <w:lang w:val="fr-CH"/>
        </w:rPr>
        <w:t>Les organisations collaborent aux fins de la mise en œuvre des programmes stratégiques proposés par le comité tripartite à ses réunions annuelles pour promouvoir et renforcer l</w:t>
      </w:r>
      <w:r w:rsidR="005F2EDC" w:rsidRPr="001B4FE9">
        <w:rPr>
          <w:lang w:val="fr-CH"/>
        </w:rPr>
        <w:t>’</w:t>
      </w:r>
      <w:r w:rsidRPr="001B4FE9">
        <w:rPr>
          <w:lang w:val="fr-CH"/>
        </w:rPr>
        <w:t>utilisation efficace du système de propriété intellectuelle au service du développement en Afriq</w:t>
      </w:r>
      <w:r w:rsidR="001B4FE9" w:rsidRPr="001B4FE9">
        <w:rPr>
          <w:lang w:val="fr-CH"/>
        </w:rPr>
        <w:t>ue.  La</w:t>
      </w:r>
      <w:r w:rsidRPr="001B4FE9">
        <w:rPr>
          <w:lang w:val="fr-CH"/>
        </w:rPr>
        <w:t xml:space="preserve"> contribution de chaque organisation s</w:t>
      </w:r>
      <w:r w:rsidR="005F2EDC" w:rsidRPr="001B4FE9">
        <w:rPr>
          <w:lang w:val="fr-CH"/>
        </w:rPr>
        <w:t>’</w:t>
      </w:r>
      <w:r w:rsidRPr="001B4FE9">
        <w:rPr>
          <w:lang w:val="fr-CH"/>
        </w:rPr>
        <w:t>inscrit dans le cadre des programmes de coopération respectifs, sous réserve des fonds disponibles.</w:t>
      </w:r>
    </w:p>
    <w:p w:rsidR="00EF0403" w:rsidRPr="001B4FE9" w:rsidRDefault="008A7A7B" w:rsidP="00B41896">
      <w:pPr>
        <w:pStyle w:val="Heading4"/>
        <w:rPr>
          <w:lang w:val="fr-CH"/>
        </w:rPr>
      </w:pPr>
      <w:r w:rsidRPr="001B4FE9">
        <w:rPr>
          <w:lang w:val="fr-CH"/>
        </w:rPr>
        <w:t>Article 5</w:t>
      </w:r>
      <w:r w:rsidR="00B41896">
        <w:rPr>
          <w:lang w:val="fr-CH"/>
        </w:rPr>
        <w:br/>
      </w:r>
      <w:r w:rsidR="00152D82" w:rsidRPr="001B4FE9">
        <w:rPr>
          <w:lang w:val="fr-CH"/>
        </w:rPr>
        <w:t>Entrée en vigueur et dénonciation</w:t>
      </w:r>
    </w:p>
    <w:p w:rsidR="008A7A7B" w:rsidRPr="001B4FE9" w:rsidRDefault="00152D82" w:rsidP="00B41896">
      <w:pPr>
        <w:spacing w:before="240"/>
        <w:rPr>
          <w:lang w:val="fr-CH"/>
        </w:rPr>
      </w:pPr>
      <w:r w:rsidRPr="001B4FE9">
        <w:rPr>
          <w:lang w:val="fr-CH"/>
        </w:rPr>
        <w:t>Le présent mémorandum d</w:t>
      </w:r>
      <w:r w:rsidR="005F2EDC" w:rsidRPr="001B4FE9">
        <w:rPr>
          <w:lang w:val="fr-CH"/>
        </w:rPr>
        <w:t>’</w:t>
      </w:r>
      <w:r w:rsidRPr="001B4FE9">
        <w:rPr>
          <w:lang w:val="fr-CH"/>
        </w:rPr>
        <w:t>accord entre en vigueur dès sa signature par les autorités de chaque organisation et demeure applicable, sauf dénonciation par l</w:t>
      </w:r>
      <w:r w:rsidR="005F2EDC" w:rsidRPr="001B4FE9">
        <w:rPr>
          <w:lang w:val="fr-CH"/>
        </w:rPr>
        <w:t>’</w:t>
      </w:r>
      <w:r w:rsidRPr="001B4FE9">
        <w:rPr>
          <w:lang w:val="fr-CH"/>
        </w:rPr>
        <w:t>une des organisations moyennant un préavis écrit de trois</w:t>
      </w:r>
      <w:r w:rsidR="0024086D" w:rsidRPr="001B4FE9">
        <w:rPr>
          <w:lang w:val="fr-CH"/>
        </w:rPr>
        <w:t> </w:t>
      </w:r>
      <w:r w:rsidR="002A534D">
        <w:rPr>
          <w:lang w:val="fr-CH"/>
        </w:rPr>
        <w:t>(3) </w:t>
      </w:r>
      <w:r w:rsidRPr="001B4FE9">
        <w:rPr>
          <w:lang w:val="fr-CH"/>
        </w:rPr>
        <w:t>mois, de sorte que cette dénonciation ne soit pas préjudiciable aux activités engagées dans le cadre du présent mémorandum d</w:t>
      </w:r>
      <w:r w:rsidR="005F2EDC" w:rsidRPr="001B4FE9">
        <w:rPr>
          <w:lang w:val="fr-CH"/>
        </w:rPr>
        <w:t>’</w:t>
      </w:r>
      <w:r w:rsidRPr="001B4FE9">
        <w:rPr>
          <w:lang w:val="fr-CH"/>
        </w:rPr>
        <w:t>accord.</w:t>
      </w:r>
    </w:p>
    <w:p w:rsidR="00EF0403" w:rsidRPr="001B4FE9" w:rsidRDefault="008A7A7B" w:rsidP="00B41896">
      <w:pPr>
        <w:pStyle w:val="Heading4"/>
        <w:rPr>
          <w:lang w:val="fr-CH"/>
        </w:rPr>
      </w:pPr>
      <w:r w:rsidRPr="001B4FE9">
        <w:rPr>
          <w:lang w:val="fr-CH"/>
        </w:rPr>
        <w:t>Article 6</w:t>
      </w:r>
      <w:r w:rsidR="00B41896">
        <w:rPr>
          <w:lang w:val="fr-CH"/>
        </w:rPr>
        <w:br/>
      </w:r>
      <w:r w:rsidR="00152D82" w:rsidRPr="001B4FE9">
        <w:rPr>
          <w:lang w:val="fr-CH"/>
        </w:rPr>
        <w:t>Modifications</w:t>
      </w:r>
    </w:p>
    <w:p w:rsidR="00EF0403" w:rsidRPr="001B4FE9" w:rsidRDefault="00152D82" w:rsidP="00B41896">
      <w:pPr>
        <w:spacing w:before="240"/>
        <w:rPr>
          <w:lang w:val="fr-CH"/>
        </w:rPr>
      </w:pPr>
      <w:r w:rsidRPr="001B4FE9">
        <w:rPr>
          <w:lang w:val="fr-CH"/>
        </w:rPr>
        <w:t>Le présent mémorandum d</w:t>
      </w:r>
      <w:r w:rsidR="005F2EDC" w:rsidRPr="001B4FE9">
        <w:rPr>
          <w:lang w:val="fr-CH"/>
        </w:rPr>
        <w:t>’</w:t>
      </w:r>
      <w:r w:rsidRPr="001B4FE9">
        <w:rPr>
          <w:lang w:val="fr-CH"/>
        </w:rPr>
        <w:t>accord peut être modifié par consentement mutuel de toutes les organisations, exprimé par écrit.</w:t>
      </w:r>
    </w:p>
    <w:p w:rsidR="00EF0403" w:rsidRPr="001B4FE9" w:rsidRDefault="008A7A7B" w:rsidP="00B41896">
      <w:pPr>
        <w:pStyle w:val="Heading4"/>
        <w:rPr>
          <w:lang w:val="fr-CH"/>
        </w:rPr>
      </w:pPr>
      <w:r w:rsidRPr="001B4FE9">
        <w:rPr>
          <w:lang w:val="fr-CH"/>
        </w:rPr>
        <w:t>Article 7</w:t>
      </w:r>
      <w:r w:rsidR="00B41896">
        <w:rPr>
          <w:lang w:val="fr-CH"/>
        </w:rPr>
        <w:br/>
      </w:r>
      <w:r w:rsidR="00152D82" w:rsidRPr="001B4FE9">
        <w:rPr>
          <w:lang w:val="fr-CH"/>
        </w:rPr>
        <w:t>Règlement des litiges</w:t>
      </w:r>
    </w:p>
    <w:p w:rsidR="00EF0403" w:rsidRPr="001B4FE9" w:rsidRDefault="00152D82" w:rsidP="00B41896">
      <w:pPr>
        <w:spacing w:before="240"/>
        <w:rPr>
          <w:lang w:val="fr-CH"/>
        </w:rPr>
      </w:pPr>
      <w:r w:rsidRPr="001B4FE9">
        <w:rPr>
          <w:lang w:val="fr-CH"/>
        </w:rPr>
        <w:t>Tout litige concernant le présent mémorandum d</w:t>
      </w:r>
      <w:r w:rsidR="005F2EDC" w:rsidRPr="001B4FE9">
        <w:rPr>
          <w:lang w:val="fr-CH"/>
        </w:rPr>
        <w:t>’</w:t>
      </w:r>
      <w:r w:rsidRPr="001B4FE9">
        <w:rPr>
          <w:lang w:val="fr-CH"/>
        </w:rPr>
        <w:t>accord est réglé à l</w:t>
      </w:r>
      <w:r w:rsidR="005F2EDC" w:rsidRPr="001B4FE9">
        <w:rPr>
          <w:lang w:val="fr-CH"/>
        </w:rPr>
        <w:t>’</w:t>
      </w:r>
      <w:r w:rsidRPr="001B4FE9">
        <w:rPr>
          <w:lang w:val="fr-CH"/>
        </w:rPr>
        <w:t>amiable par négociation directe entre les organisations.</w:t>
      </w:r>
    </w:p>
    <w:p w:rsidR="00EF0403" w:rsidRPr="001B4FE9" w:rsidRDefault="008A7A7B" w:rsidP="00B41896">
      <w:pPr>
        <w:pStyle w:val="Heading4"/>
        <w:rPr>
          <w:lang w:val="fr-CH"/>
        </w:rPr>
      </w:pPr>
      <w:r w:rsidRPr="001B4FE9">
        <w:rPr>
          <w:lang w:val="fr-CH"/>
        </w:rPr>
        <w:t>Article 8</w:t>
      </w:r>
      <w:r w:rsidR="00B41896">
        <w:rPr>
          <w:lang w:val="fr-CH"/>
        </w:rPr>
        <w:br/>
      </w:r>
      <w:r w:rsidR="00152D82" w:rsidRPr="001B4FE9">
        <w:rPr>
          <w:lang w:val="fr-CH"/>
        </w:rPr>
        <w:t>Privilèges et immunités</w:t>
      </w:r>
    </w:p>
    <w:p w:rsidR="00EF0403" w:rsidRPr="001B4FE9" w:rsidRDefault="00152D82" w:rsidP="00B41896">
      <w:pPr>
        <w:spacing w:before="240"/>
        <w:rPr>
          <w:lang w:val="fr-CH"/>
        </w:rPr>
      </w:pPr>
      <w:r w:rsidRPr="001B4FE9">
        <w:rPr>
          <w:lang w:val="fr-CH"/>
        </w:rPr>
        <w:t>Aucune disposition du présent mémorandum d</w:t>
      </w:r>
      <w:r w:rsidR="005F2EDC" w:rsidRPr="001B4FE9">
        <w:rPr>
          <w:lang w:val="fr-CH"/>
        </w:rPr>
        <w:t>’</w:t>
      </w:r>
      <w:r w:rsidRPr="001B4FE9">
        <w:rPr>
          <w:lang w:val="fr-CH"/>
        </w:rPr>
        <w:t>accord ou s</w:t>
      </w:r>
      <w:r w:rsidR="005F2EDC" w:rsidRPr="001B4FE9">
        <w:rPr>
          <w:lang w:val="fr-CH"/>
        </w:rPr>
        <w:t>’</w:t>
      </w:r>
      <w:r w:rsidRPr="001B4FE9">
        <w:rPr>
          <w:lang w:val="fr-CH"/>
        </w:rPr>
        <w:t>y rapportant ne peut être considérée ou interprétée comme une renonciation à l</w:t>
      </w:r>
      <w:r w:rsidR="005F2EDC" w:rsidRPr="001B4FE9">
        <w:rPr>
          <w:lang w:val="fr-CH"/>
        </w:rPr>
        <w:t>’</w:t>
      </w:r>
      <w:r w:rsidRPr="001B4FE9">
        <w:rPr>
          <w:lang w:val="fr-CH"/>
        </w:rPr>
        <w:t>un quelconque des privilèges ou immunités accordés aux organisations en vertu de leurs actes constitutifs ou du droit international.</w:t>
      </w:r>
    </w:p>
    <w:p w:rsidR="00EF0403" w:rsidRPr="001B4FE9" w:rsidRDefault="00152D82" w:rsidP="00152D82">
      <w:pPr>
        <w:rPr>
          <w:lang w:val="fr-CH"/>
        </w:rPr>
      </w:pPr>
      <w:r w:rsidRPr="001B4FE9">
        <w:rPr>
          <w:lang w:val="fr-CH"/>
        </w:rPr>
        <w:lastRenderedPageBreak/>
        <w:t>EN FOI DE QUOI, les soussignés, étant dûment autorisés à cette fin, ont signé le présent mémorandum d</w:t>
      </w:r>
      <w:r w:rsidR="005F2EDC" w:rsidRPr="001B4FE9">
        <w:rPr>
          <w:lang w:val="fr-CH"/>
        </w:rPr>
        <w:t>’</w:t>
      </w:r>
      <w:r w:rsidRPr="001B4FE9">
        <w:rPr>
          <w:lang w:val="fr-CH"/>
        </w:rPr>
        <w:t xml:space="preserve">accord à Genève (Suisse) le…………. </w:t>
      </w:r>
      <w:r w:rsidR="0024086D" w:rsidRPr="001B4FE9">
        <w:rPr>
          <w:lang w:val="fr-CH"/>
        </w:rPr>
        <w:t xml:space="preserve"> </w:t>
      </w:r>
      <w:r w:rsidRPr="001B4FE9">
        <w:rPr>
          <w:lang w:val="fr-CH"/>
        </w:rPr>
        <w:t>2018, en trois</w:t>
      </w:r>
      <w:r w:rsidR="0024086D" w:rsidRPr="001B4FE9">
        <w:rPr>
          <w:lang w:val="fr-CH"/>
        </w:rPr>
        <w:t> </w:t>
      </w:r>
      <w:r w:rsidRPr="001B4FE9">
        <w:rPr>
          <w:lang w:val="fr-CH"/>
        </w:rPr>
        <w:t>exemplaires originaux en anglais et en français.</w:t>
      </w:r>
    </w:p>
    <w:p w:rsidR="00EF0403" w:rsidRPr="001B4FE9" w:rsidRDefault="00EF0403" w:rsidP="0064229E">
      <w:pPr>
        <w:rPr>
          <w:lang w:val="fr-CH"/>
        </w:rPr>
      </w:pPr>
    </w:p>
    <w:p w:rsidR="0064229E" w:rsidRPr="001B4FE9" w:rsidRDefault="0064229E" w:rsidP="0064229E">
      <w:pPr>
        <w:rPr>
          <w:lang w:val="fr-CH"/>
        </w:rPr>
      </w:pPr>
    </w:p>
    <w:tbl>
      <w:tblPr>
        <w:tblW w:w="9356" w:type="dxa"/>
        <w:tblLayout w:type="fixed"/>
        <w:tblLook w:val="01E0" w:firstRow="1" w:lastRow="1" w:firstColumn="1" w:lastColumn="1" w:noHBand="0" w:noVBand="0"/>
      </w:tblPr>
      <w:tblGrid>
        <w:gridCol w:w="3276"/>
        <w:gridCol w:w="3247"/>
        <w:gridCol w:w="2833"/>
      </w:tblGrid>
      <w:tr w:rsidR="001B4FE9" w:rsidRPr="001B4FE9" w:rsidTr="00FB121A">
        <w:trPr>
          <w:trHeight w:val="567"/>
        </w:trPr>
        <w:tc>
          <w:tcPr>
            <w:tcW w:w="3276" w:type="dxa"/>
            <w:tcMar>
              <w:left w:w="0" w:type="dxa"/>
              <w:bottom w:w="0" w:type="dxa"/>
              <w:right w:w="227" w:type="dxa"/>
            </w:tcMar>
          </w:tcPr>
          <w:p w:rsidR="0064229E" w:rsidRPr="001B4FE9" w:rsidRDefault="00152D82" w:rsidP="00152D82">
            <w:pPr>
              <w:keepNext/>
              <w:keepLines/>
              <w:rPr>
                <w:lang w:val="fr-CH"/>
              </w:rPr>
            </w:pPr>
            <w:r w:rsidRPr="001B4FE9">
              <w:rPr>
                <w:lang w:val="fr-CH"/>
              </w:rPr>
              <w:t>Pour l</w:t>
            </w:r>
            <w:r w:rsidR="005F2EDC" w:rsidRPr="001B4FE9">
              <w:rPr>
                <w:lang w:val="fr-CH"/>
              </w:rPr>
              <w:t>’</w:t>
            </w:r>
            <w:r w:rsidRPr="001B4FE9">
              <w:rPr>
                <w:lang w:val="fr-CH"/>
              </w:rPr>
              <w:t>Organisation régionale africaine de la propriété intellectuelle (ARIPO)</w:t>
            </w:r>
          </w:p>
        </w:tc>
        <w:tc>
          <w:tcPr>
            <w:tcW w:w="3247" w:type="dxa"/>
            <w:tcMar>
              <w:left w:w="0" w:type="dxa"/>
              <w:right w:w="0" w:type="dxa"/>
            </w:tcMar>
          </w:tcPr>
          <w:p w:rsidR="0064229E" w:rsidRPr="001B4FE9" w:rsidRDefault="00152D82" w:rsidP="00152D82">
            <w:pPr>
              <w:keepNext/>
              <w:keepLines/>
              <w:rPr>
                <w:lang w:val="fr-CH"/>
              </w:rPr>
            </w:pPr>
            <w:r w:rsidRPr="001B4FE9">
              <w:rPr>
                <w:lang w:val="fr-CH"/>
              </w:rPr>
              <w:t>Pour l</w:t>
            </w:r>
            <w:r w:rsidR="005F2EDC" w:rsidRPr="001B4FE9">
              <w:rPr>
                <w:lang w:val="fr-CH"/>
              </w:rPr>
              <w:t>’</w:t>
            </w:r>
            <w:r w:rsidRPr="001B4FE9">
              <w:rPr>
                <w:i/>
                <w:lang w:val="fr-CH"/>
              </w:rPr>
              <w:t>Organisation africaine de la propriété intellectuelle</w:t>
            </w:r>
            <w:r w:rsidRPr="001B4FE9">
              <w:rPr>
                <w:lang w:val="fr-CH"/>
              </w:rPr>
              <w:t xml:space="preserve"> (OAPI)</w:t>
            </w:r>
          </w:p>
        </w:tc>
        <w:tc>
          <w:tcPr>
            <w:tcW w:w="2833" w:type="dxa"/>
            <w:tcMar>
              <w:left w:w="0" w:type="dxa"/>
              <w:right w:w="0" w:type="dxa"/>
            </w:tcMar>
          </w:tcPr>
          <w:p w:rsidR="00EF0403" w:rsidRPr="001B4FE9" w:rsidRDefault="00152D82" w:rsidP="00152D82">
            <w:pPr>
              <w:keepNext/>
              <w:keepLines/>
              <w:rPr>
                <w:lang w:val="fr-CH"/>
              </w:rPr>
            </w:pPr>
            <w:r w:rsidRPr="001B4FE9">
              <w:rPr>
                <w:lang w:val="fr-CH"/>
              </w:rPr>
              <w:t>Pour l</w:t>
            </w:r>
            <w:r w:rsidR="005F2EDC" w:rsidRPr="001B4FE9">
              <w:rPr>
                <w:lang w:val="fr-CH"/>
              </w:rPr>
              <w:t>’</w:t>
            </w:r>
            <w:r w:rsidRPr="001B4FE9">
              <w:rPr>
                <w:lang w:val="fr-CH"/>
              </w:rPr>
              <w:t>Organisation Mondiale de la Propriété Intellectuelle</w:t>
            </w:r>
          </w:p>
          <w:p w:rsidR="0064229E" w:rsidRPr="001B4FE9" w:rsidRDefault="0064229E" w:rsidP="00152D82">
            <w:pPr>
              <w:keepNext/>
              <w:keepLines/>
              <w:rPr>
                <w:lang w:val="fr-CH"/>
              </w:rPr>
            </w:pPr>
            <w:r w:rsidRPr="001B4FE9">
              <w:rPr>
                <w:lang w:val="fr-CH"/>
              </w:rPr>
              <w:t>(</w:t>
            </w:r>
            <w:r w:rsidR="00152D82" w:rsidRPr="001B4FE9">
              <w:rPr>
                <w:lang w:val="fr-CH"/>
              </w:rPr>
              <w:t>OMPI</w:t>
            </w:r>
            <w:r w:rsidRPr="001B4FE9">
              <w:rPr>
                <w:lang w:val="fr-CH"/>
              </w:rPr>
              <w:t>)</w:t>
            </w:r>
          </w:p>
        </w:tc>
      </w:tr>
      <w:tr w:rsidR="001B4FE9" w:rsidRPr="001B4FE9" w:rsidTr="00FB121A">
        <w:trPr>
          <w:trHeight w:hRule="exact" w:val="1418"/>
        </w:trPr>
        <w:tc>
          <w:tcPr>
            <w:tcW w:w="3276" w:type="dxa"/>
            <w:tcMar>
              <w:left w:w="0" w:type="dxa"/>
              <w:bottom w:w="0" w:type="dxa"/>
              <w:right w:w="227" w:type="dxa"/>
            </w:tcMar>
          </w:tcPr>
          <w:p w:rsidR="0064229E" w:rsidRPr="001B4FE9" w:rsidRDefault="0064229E" w:rsidP="0064229E">
            <w:pPr>
              <w:keepNext/>
              <w:keepLines/>
              <w:rPr>
                <w:caps/>
                <w:szCs w:val="22"/>
                <w:lang w:val="fr-CH"/>
              </w:rPr>
            </w:pPr>
          </w:p>
        </w:tc>
        <w:tc>
          <w:tcPr>
            <w:tcW w:w="3247" w:type="dxa"/>
            <w:tcMar>
              <w:left w:w="0" w:type="dxa"/>
              <w:right w:w="0" w:type="dxa"/>
            </w:tcMar>
          </w:tcPr>
          <w:p w:rsidR="0064229E" w:rsidRPr="001B4FE9" w:rsidRDefault="0064229E" w:rsidP="0064229E">
            <w:pPr>
              <w:keepNext/>
              <w:keepLines/>
              <w:rPr>
                <w:caps/>
                <w:szCs w:val="22"/>
                <w:lang w:val="fr-CH"/>
              </w:rPr>
            </w:pPr>
          </w:p>
        </w:tc>
        <w:tc>
          <w:tcPr>
            <w:tcW w:w="2833" w:type="dxa"/>
            <w:tcMar>
              <w:left w:w="0" w:type="dxa"/>
              <w:right w:w="0" w:type="dxa"/>
            </w:tcMar>
          </w:tcPr>
          <w:p w:rsidR="0064229E" w:rsidRPr="001B4FE9" w:rsidRDefault="0064229E" w:rsidP="0064229E">
            <w:pPr>
              <w:keepNext/>
              <w:keepLines/>
              <w:rPr>
                <w:lang w:val="fr-CH"/>
              </w:rPr>
            </w:pPr>
          </w:p>
        </w:tc>
      </w:tr>
      <w:tr w:rsidR="0064229E" w:rsidRPr="001B4FE9" w:rsidTr="00FB121A">
        <w:trPr>
          <w:trHeight w:val="567"/>
        </w:trPr>
        <w:tc>
          <w:tcPr>
            <w:tcW w:w="3276" w:type="dxa"/>
            <w:tcMar>
              <w:top w:w="0" w:type="dxa"/>
              <w:left w:w="0" w:type="dxa"/>
              <w:bottom w:w="0" w:type="dxa"/>
              <w:right w:w="227" w:type="dxa"/>
            </w:tcMar>
          </w:tcPr>
          <w:p w:rsidR="0064229E" w:rsidRPr="001B4FE9" w:rsidRDefault="00152D82" w:rsidP="00152D82">
            <w:pPr>
              <w:keepNext/>
              <w:keepLines/>
              <w:rPr>
                <w:caps/>
                <w:szCs w:val="22"/>
                <w:lang w:val="fr-CH"/>
              </w:rPr>
            </w:pPr>
            <w:r w:rsidRPr="001B4FE9">
              <w:rPr>
                <w:lang w:val="fr-CH"/>
              </w:rPr>
              <w:t>Signataire</w:t>
            </w:r>
          </w:p>
        </w:tc>
        <w:tc>
          <w:tcPr>
            <w:tcW w:w="3247" w:type="dxa"/>
            <w:tcMar>
              <w:left w:w="0" w:type="dxa"/>
              <w:right w:w="0" w:type="dxa"/>
            </w:tcMar>
          </w:tcPr>
          <w:p w:rsidR="0064229E" w:rsidRPr="001B4FE9" w:rsidRDefault="00152D82" w:rsidP="00152D82">
            <w:pPr>
              <w:keepNext/>
              <w:keepLines/>
              <w:rPr>
                <w:caps/>
                <w:szCs w:val="22"/>
                <w:lang w:val="fr-CH"/>
              </w:rPr>
            </w:pPr>
            <w:r w:rsidRPr="001B4FE9">
              <w:rPr>
                <w:lang w:val="fr-CH"/>
              </w:rPr>
              <w:t>Signataire</w:t>
            </w:r>
          </w:p>
        </w:tc>
        <w:tc>
          <w:tcPr>
            <w:tcW w:w="2833" w:type="dxa"/>
            <w:tcMar>
              <w:left w:w="0" w:type="dxa"/>
              <w:right w:w="0" w:type="dxa"/>
            </w:tcMar>
          </w:tcPr>
          <w:p w:rsidR="0064229E" w:rsidRPr="001B4FE9" w:rsidRDefault="00152D82" w:rsidP="00152D82">
            <w:pPr>
              <w:keepNext/>
              <w:keepLines/>
              <w:rPr>
                <w:caps/>
                <w:szCs w:val="22"/>
                <w:lang w:val="fr-CH"/>
              </w:rPr>
            </w:pPr>
            <w:r w:rsidRPr="001B4FE9">
              <w:rPr>
                <w:lang w:val="fr-CH"/>
              </w:rPr>
              <w:t>Signataire</w:t>
            </w:r>
          </w:p>
        </w:tc>
      </w:tr>
    </w:tbl>
    <w:p w:rsidR="00EF0403" w:rsidRPr="001B4FE9" w:rsidRDefault="00152D82" w:rsidP="00EA05D6">
      <w:pPr>
        <w:pStyle w:val="Endofdocument-Annex"/>
        <w:spacing w:before="960"/>
        <w:rPr>
          <w:lang w:val="fr-CH"/>
        </w:rPr>
      </w:pPr>
      <w:r w:rsidRPr="001B4FE9">
        <w:rPr>
          <w:lang w:val="fr-CH"/>
        </w:rPr>
        <w:t>[L</w:t>
      </w:r>
      <w:r w:rsidR="005F2EDC" w:rsidRPr="001B4FE9">
        <w:rPr>
          <w:lang w:val="fr-CH"/>
        </w:rPr>
        <w:t>’</w:t>
      </w:r>
      <w:r w:rsidR="008A7A7B" w:rsidRPr="001B4FE9">
        <w:rPr>
          <w:lang w:val="fr-CH"/>
        </w:rPr>
        <w:t>annexe I</w:t>
      </w:r>
      <w:r w:rsidRPr="001B4FE9">
        <w:rPr>
          <w:lang w:val="fr-CH"/>
        </w:rPr>
        <w:t>I suit]</w:t>
      </w:r>
    </w:p>
    <w:p w:rsidR="00EF0403" w:rsidRDefault="00EF0403" w:rsidP="006436DE">
      <w:pPr>
        <w:rPr>
          <w:lang w:val="fr-CH"/>
        </w:rPr>
      </w:pPr>
    </w:p>
    <w:p w:rsidR="00416A4C" w:rsidRPr="000F747E" w:rsidRDefault="00416A4C" w:rsidP="006436DE">
      <w:pPr>
        <w:rPr>
          <w:lang w:val="fr-CH"/>
        </w:rPr>
        <w:sectPr w:rsidR="00416A4C" w:rsidRPr="000F747E" w:rsidSect="006436DE">
          <w:headerReference w:type="default" r:id="rId16"/>
          <w:footerReference w:type="default" r:id="rId17"/>
          <w:endnotePr>
            <w:numFmt w:val="decimal"/>
          </w:endnotePr>
          <w:pgSz w:w="11907" w:h="16840" w:code="9"/>
          <w:pgMar w:top="567" w:right="1134" w:bottom="1418" w:left="1418" w:header="510" w:footer="1021" w:gutter="0"/>
          <w:pgNumType w:start="2"/>
          <w:cols w:space="720"/>
          <w:docGrid w:linePitch="299"/>
        </w:sectPr>
      </w:pPr>
    </w:p>
    <w:tbl>
      <w:tblPr>
        <w:tblpPr w:vertAnchor="page" w:horzAnchor="margin" w:tblpY="1248"/>
        <w:tblOverlap w:val="never"/>
        <w:tblW w:w="9356" w:type="dxa"/>
        <w:tblLayout w:type="fixed"/>
        <w:tblLook w:val="01E0" w:firstRow="1" w:lastRow="1" w:firstColumn="1" w:lastColumn="1" w:noHBand="0" w:noVBand="0"/>
      </w:tblPr>
      <w:tblGrid>
        <w:gridCol w:w="4594"/>
        <w:gridCol w:w="4762"/>
      </w:tblGrid>
      <w:tr w:rsidR="00FD3A45" w:rsidRPr="000F747E" w:rsidTr="00FB121A">
        <w:trPr>
          <w:trHeight w:hRule="exact" w:val="1508"/>
        </w:trPr>
        <w:tc>
          <w:tcPr>
            <w:tcW w:w="4594" w:type="dxa"/>
            <w:tcMar>
              <w:left w:w="0" w:type="dxa"/>
              <w:bottom w:w="0" w:type="dxa"/>
              <w:right w:w="0" w:type="dxa"/>
            </w:tcMar>
            <w:vAlign w:val="center"/>
          </w:tcPr>
          <w:p w:rsidR="00EF0403" w:rsidRDefault="00FD3A45" w:rsidP="00FB121A">
            <w:pPr>
              <w:rPr>
                <w:noProof/>
                <w:lang w:val="fr-CH" w:eastAsia="en-US"/>
              </w:rPr>
            </w:pPr>
            <w:r w:rsidRPr="000F747E">
              <w:rPr>
                <w:noProof/>
                <w:lang w:eastAsia="en-US"/>
              </w:rPr>
              <w:lastRenderedPageBreak/>
              <w:drawing>
                <wp:inline distT="0" distB="0" distL="0" distR="0" wp14:anchorId="5E7EA43C" wp14:editId="3B6F894F">
                  <wp:extent cx="805778" cy="885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807376" cy="887582"/>
                          </a:xfrm>
                          <a:prstGeom prst="rect">
                            <a:avLst/>
                          </a:prstGeom>
                        </pic:spPr>
                      </pic:pic>
                    </a:graphicData>
                  </a:graphic>
                </wp:inline>
              </w:drawing>
            </w:r>
          </w:p>
          <w:p w:rsidR="00FD3A45" w:rsidRPr="000F747E" w:rsidRDefault="00FD3A45" w:rsidP="00FB121A">
            <w:pPr>
              <w:rPr>
                <w:lang w:val="fr-CH"/>
              </w:rPr>
            </w:pPr>
          </w:p>
        </w:tc>
        <w:tc>
          <w:tcPr>
            <w:tcW w:w="4762" w:type="dxa"/>
            <w:vMerge w:val="restart"/>
            <w:tcMar>
              <w:left w:w="0" w:type="dxa"/>
              <w:right w:w="0" w:type="dxa"/>
            </w:tcMar>
          </w:tcPr>
          <w:p w:rsidR="00FD3A45" w:rsidRPr="000F747E" w:rsidRDefault="00FD3A45" w:rsidP="00FB121A">
            <w:pPr>
              <w:rPr>
                <w:lang w:val="fr-CH"/>
              </w:rPr>
            </w:pPr>
            <w:r w:rsidRPr="000F747E">
              <w:rPr>
                <w:noProof/>
                <w:lang w:eastAsia="en-US"/>
              </w:rPr>
              <w:drawing>
                <wp:inline distT="0" distB="0" distL="0" distR="0" wp14:anchorId="40F36AAD" wp14:editId="5550338E">
                  <wp:extent cx="1790700" cy="1247775"/>
                  <wp:effectExtent l="0" t="0" r="0" b="9525"/>
                  <wp:docPr id="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90700" cy="1247775"/>
                          </a:xfrm>
                          <a:prstGeom prst="rect">
                            <a:avLst/>
                          </a:prstGeom>
                          <a:noFill/>
                          <a:ln>
                            <a:noFill/>
                          </a:ln>
                        </pic:spPr>
                      </pic:pic>
                    </a:graphicData>
                  </a:graphic>
                </wp:inline>
              </w:drawing>
            </w:r>
          </w:p>
        </w:tc>
      </w:tr>
      <w:tr w:rsidR="00FD3A45" w:rsidRPr="001B4215" w:rsidTr="00FB121A">
        <w:trPr>
          <w:trHeight w:val="510"/>
        </w:trPr>
        <w:tc>
          <w:tcPr>
            <w:tcW w:w="4594" w:type="dxa"/>
            <w:tcMar>
              <w:left w:w="0" w:type="dxa"/>
              <w:bottom w:w="0" w:type="dxa"/>
              <w:right w:w="0" w:type="dxa"/>
            </w:tcMar>
          </w:tcPr>
          <w:p w:rsidR="00FD3A45" w:rsidRPr="000F747E" w:rsidRDefault="00FD3A45" w:rsidP="00FB121A">
            <w:pPr>
              <w:spacing w:line="160" w:lineRule="exact"/>
              <w:rPr>
                <w:caps/>
                <w:sz w:val="14"/>
                <w:szCs w:val="14"/>
                <w:lang w:val="fr-CH"/>
              </w:rPr>
            </w:pPr>
            <w:r w:rsidRPr="000F747E">
              <w:rPr>
                <w:caps/>
                <w:sz w:val="14"/>
                <w:szCs w:val="14"/>
                <w:lang w:val="fr-CH"/>
              </w:rPr>
              <w:t>uNION ÉCOMONIQUE ET MONÉTAIRE OUEST AFRICAINE</w:t>
            </w:r>
          </w:p>
        </w:tc>
        <w:tc>
          <w:tcPr>
            <w:tcW w:w="4762" w:type="dxa"/>
            <w:vMerge/>
            <w:tcMar>
              <w:left w:w="0" w:type="dxa"/>
              <w:right w:w="0" w:type="dxa"/>
            </w:tcMar>
          </w:tcPr>
          <w:p w:rsidR="00FD3A45" w:rsidRPr="000F747E" w:rsidRDefault="00FD3A45" w:rsidP="00FB121A">
            <w:pPr>
              <w:rPr>
                <w:lang w:val="fr-CH"/>
              </w:rPr>
            </w:pPr>
          </w:p>
        </w:tc>
      </w:tr>
    </w:tbl>
    <w:p w:rsidR="00397F3F" w:rsidRDefault="00397F3F" w:rsidP="00FD3A45">
      <w:pPr>
        <w:spacing w:line="336" w:lineRule="exact"/>
        <w:rPr>
          <w:b/>
          <w:bCs/>
          <w:caps/>
          <w:color w:val="006092"/>
          <w:sz w:val="28"/>
          <w:szCs w:val="28"/>
          <w:lang w:val="fr-CH"/>
        </w:rPr>
      </w:pPr>
    </w:p>
    <w:p w:rsidR="00BD4257" w:rsidRDefault="00BD4257" w:rsidP="00FD3A45">
      <w:pPr>
        <w:spacing w:line="336" w:lineRule="exact"/>
        <w:rPr>
          <w:b/>
          <w:bCs/>
          <w:caps/>
          <w:color w:val="006092"/>
          <w:sz w:val="28"/>
          <w:szCs w:val="28"/>
          <w:lang w:val="fr-CH"/>
        </w:rPr>
      </w:pPr>
    </w:p>
    <w:p w:rsidR="00EF0403" w:rsidRPr="00A21DED" w:rsidRDefault="00FD3A45" w:rsidP="00FD3A45">
      <w:pPr>
        <w:spacing w:line="336" w:lineRule="exact"/>
        <w:rPr>
          <w:bCs/>
          <w:caps/>
          <w:color w:val="006092"/>
          <w:sz w:val="28"/>
          <w:szCs w:val="28"/>
          <w:lang w:val="fr-CH"/>
        </w:rPr>
      </w:pPr>
      <w:r w:rsidRPr="00A21DED">
        <w:rPr>
          <w:bCs/>
          <w:caps/>
          <w:color w:val="006092"/>
          <w:sz w:val="28"/>
          <w:szCs w:val="28"/>
          <w:lang w:val="fr-CH"/>
        </w:rPr>
        <w:t>MÉMORANDUM D</w:t>
      </w:r>
      <w:r w:rsidR="005F2EDC" w:rsidRPr="00A21DED">
        <w:rPr>
          <w:bCs/>
          <w:caps/>
          <w:color w:val="006092"/>
          <w:sz w:val="28"/>
          <w:szCs w:val="28"/>
          <w:lang w:val="fr-CH"/>
        </w:rPr>
        <w:t>’</w:t>
      </w:r>
      <w:r w:rsidRPr="00A21DED">
        <w:rPr>
          <w:bCs/>
          <w:caps/>
          <w:color w:val="006092"/>
          <w:sz w:val="28"/>
          <w:szCs w:val="28"/>
          <w:lang w:val="fr-CH"/>
        </w:rPr>
        <w:t>ENTENTE</w:t>
      </w:r>
    </w:p>
    <w:p w:rsidR="00EF0403" w:rsidRDefault="00FD3A45" w:rsidP="00FD3A45">
      <w:pPr>
        <w:spacing w:line="336" w:lineRule="exact"/>
        <w:rPr>
          <w:b/>
          <w:bCs/>
          <w:caps/>
          <w:color w:val="006092"/>
          <w:sz w:val="28"/>
          <w:szCs w:val="28"/>
          <w:lang w:val="fr-CH"/>
        </w:rPr>
      </w:pPr>
      <w:r w:rsidRPr="000F747E">
        <w:rPr>
          <w:b/>
          <w:bCs/>
          <w:caps/>
          <w:color w:val="006092"/>
          <w:sz w:val="28"/>
          <w:szCs w:val="28"/>
          <w:lang w:val="fr-CH"/>
        </w:rPr>
        <w:t>ENTRE</w:t>
      </w:r>
    </w:p>
    <w:p w:rsidR="00DF21C6" w:rsidRDefault="00DF21C6" w:rsidP="00FD3A45">
      <w:pPr>
        <w:spacing w:line="336" w:lineRule="exact"/>
        <w:rPr>
          <w:b/>
          <w:bCs/>
          <w:caps/>
          <w:color w:val="006092"/>
          <w:sz w:val="28"/>
          <w:szCs w:val="28"/>
          <w:lang w:val="fr-CH"/>
        </w:rPr>
      </w:pPr>
    </w:p>
    <w:p w:rsidR="00EF0403" w:rsidRPr="00A21DED" w:rsidRDefault="00FD3A45" w:rsidP="00FD3A45">
      <w:pPr>
        <w:spacing w:line="336" w:lineRule="exact"/>
        <w:rPr>
          <w:bCs/>
          <w:caps/>
          <w:color w:val="006092"/>
          <w:sz w:val="28"/>
          <w:szCs w:val="28"/>
          <w:lang w:val="fr-CH"/>
        </w:rPr>
      </w:pPr>
      <w:r w:rsidRPr="00A21DED">
        <w:rPr>
          <w:bCs/>
          <w:caps/>
          <w:color w:val="006092"/>
          <w:sz w:val="28"/>
          <w:szCs w:val="28"/>
          <w:lang w:val="fr-CH"/>
        </w:rPr>
        <w:t>l</w:t>
      </w:r>
      <w:r w:rsidR="005F2EDC" w:rsidRPr="00A21DED">
        <w:rPr>
          <w:bCs/>
          <w:caps/>
          <w:color w:val="006092"/>
          <w:sz w:val="28"/>
          <w:szCs w:val="28"/>
          <w:lang w:val="fr-CH"/>
        </w:rPr>
        <w:t>’</w:t>
      </w:r>
      <w:r w:rsidRPr="00A21DED">
        <w:rPr>
          <w:bCs/>
          <w:caps/>
          <w:color w:val="006092"/>
          <w:sz w:val="28"/>
          <w:szCs w:val="28"/>
          <w:lang w:val="fr-CH"/>
        </w:rPr>
        <w:t>UNION ÉCONOMIQUE ET MONÉTAIRE OUEST</w:t>
      </w:r>
      <w:r w:rsidR="005F2EDC" w:rsidRPr="00A21DED">
        <w:rPr>
          <w:bCs/>
          <w:caps/>
          <w:color w:val="006092"/>
          <w:sz w:val="28"/>
          <w:szCs w:val="28"/>
          <w:lang w:val="fr-CH"/>
        </w:rPr>
        <w:t>-</w:t>
      </w:r>
      <w:r w:rsidRPr="00A21DED">
        <w:rPr>
          <w:bCs/>
          <w:caps/>
          <w:color w:val="006092"/>
          <w:sz w:val="28"/>
          <w:szCs w:val="28"/>
          <w:lang w:val="fr-CH"/>
        </w:rPr>
        <w:t>AFRICAINe (UEMOA)</w:t>
      </w:r>
    </w:p>
    <w:p w:rsidR="008A7A7B" w:rsidRDefault="00FD3A45" w:rsidP="00FD3A45">
      <w:pPr>
        <w:spacing w:line="336" w:lineRule="exact"/>
        <w:rPr>
          <w:b/>
          <w:bCs/>
          <w:caps/>
          <w:color w:val="006092"/>
          <w:sz w:val="28"/>
          <w:szCs w:val="28"/>
          <w:lang w:val="fr-CH"/>
        </w:rPr>
      </w:pPr>
      <w:r w:rsidRPr="000F747E">
        <w:rPr>
          <w:b/>
          <w:bCs/>
          <w:caps/>
          <w:color w:val="006092"/>
          <w:sz w:val="28"/>
          <w:szCs w:val="28"/>
          <w:lang w:val="fr-CH"/>
        </w:rPr>
        <w:t>et</w:t>
      </w:r>
    </w:p>
    <w:p w:rsidR="00DF21C6" w:rsidRDefault="00DF21C6" w:rsidP="00FD3A45">
      <w:pPr>
        <w:spacing w:line="336" w:lineRule="exact"/>
        <w:rPr>
          <w:b/>
          <w:bCs/>
          <w:caps/>
          <w:color w:val="006092"/>
          <w:sz w:val="28"/>
          <w:szCs w:val="28"/>
          <w:lang w:val="fr-CH"/>
        </w:rPr>
      </w:pPr>
    </w:p>
    <w:p w:rsidR="00DF21C6" w:rsidRPr="00A21DED" w:rsidRDefault="00FD3A45" w:rsidP="00FD3A45">
      <w:pPr>
        <w:spacing w:line="336" w:lineRule="exact"/>
        <w:rPr>
          <w:bCs/>
          <w:caps/>
          <w:color w:val="006092"/>
          <w:sz w:val="28"/>
          <w:szCs w:val="28"/>
          <w:lang w:val="fr-CH"/>
        </w:rPr>
      </w:pPr>
      <w:r w:rsidRPr="00A21DED">
        <w:rPr>
          <w:bCs/>
          <w:caps/>
          <w:color w:val="006092"/>
          <w:sz w:val="28"/>
          <w:szCs w:val="28"/>
          <w:lang w:val="fr-CH"/>
        </w:rPr>
        <w:t>l</w:t>
      </w:r>
      <w:r w:rsidR="005F2EDC" w:rsidRPr="00A21DED">
        <w:rPr>
          <w:bCs/>
          <w:caps/>
          <w:color w:val="006092"/>
          <w:sz w:val="28"/>
          <w:szCs w:val="28"/>
          <w:lang w:val="fr-CH"/>
        </w:rPr>
        <w:t>’</w:t>
      </w:r>
      <w:r w:rsidRPr="00A21DED">
        <w:rPr>
          <w:bCs/>
          <w:caps/>
          <w:color w:val="006092"/>
          <w:sz w:val="28"/>
          <w:szCs w:val="28"/>
          <w:lang w:val="fr-CH"/>
        </w:rPr>
        <w:t>organisation mondiale de la propriÉtÉ intellectuelle (OMPI)</w:t>
      </w:r>
    </w:p>
    <w:p w:rsidR="005F2EDC" w:rsidRDefault="00DF21C6" w:rsidP="00BA0464">
      <w:pPr>
        <w:spacing w:before="960" w:after="220"/>
        <w:rPr>
          <w:lang w:val="fr-CH"/>
        </w:rPr>
      </w:pPr>
      <w:r w:rsidRPr="00617A49">
        <w:rPr>
          <w:lang w:val="fr-CH"/>
        </w:rPr>
        <w:t>L</w:t>
      </w:r>
      <w:r w:rsidR="005F2EDC">
        <w:rPr>
          <w:lang w:val="fr-CH"/>
        </w:rPr>
        <w:t>’</w:t>
      </w:r>
      <w:r w:rsidRPr="00617A49">
        <w:rPr>
          <w:lang w:val="fr-CH"/>
        </w:rPr>
        <w:t>Organisation Mondiale de la Propriété Intellectuelle (OMPI) sise au 34, Chemin des Colombettes, à Genève (Suisse), représentée par son Directeur général,</w:t>
      </w:r>
    </w:p>
    <w:p w:rsidR="00DF21C6" w:rsidRPr="00200FA6" w:rsidRDefault="00DF21C6" w:rsidP="00BA0464">
      <w:pPr>
        <w:spacing w:before="240" w:after="220"/>
        <w:rPr>
          <w:lang w:val="fr-CH"/>
        </w:rPr>
      </w:pPr>
      <w:r w:rsidRPr="00200FA6">
        <w:rPr>
          <w:lang w:val="fr-CH"/>
        </w:rPr>
        <w:t>Monsieur Francis GURRY, ci</w:t>
      </w:r>
      <w:r w:rsidR="005F2EDC">
        <w:rPr>
          <w:lang w:val="fr-CH"/>
        </w:rPr>
        <w:t>-</w:t>
      </w:r>
      <w:r w:rsidRPr="00200FA6">
        <w:rPr>
          <w:lang w:val="fr-CH"/>
        </w:rPr>
        <w:t>après désignée “l</w:t>
      </w:r>
      <w:r w:rsidR="005F2EDC">
        <w:rPr>
          <w:lang w:val="fr-CH"/>
        </w:rPr>
        <w:t>’</w:t>
      </w:r>
      <w:r w:rsidRPr="00200FA6">
        <w:rPr>
          <w:lang w:val="fr-CH"/>
        </w:rPr>
        <w:t>OMPI”, d</w:t>
      </w:r>
      <w:r w:rsidR="005F2EDC">
        <w:rPr>
          <w:lang w:val="fr-CH"/>
        </w:rPr>
        <w:t>’</w:t>
      </w:r>
      <w:r w:rsidRPr="00200FA6">
        <w:rPr>
          <w:lang w:val="fr-CH"/>
        </w:rPr>
        <w:t>une part;</w:t>
      </w:r>
      <w:r w:rsidRPr="00D247CD">
        <w:rPr>
          <w:lang w:val="fr-CH"/>
        </w:rPr>
        <w:t xml:space="preserve"> </w:t>
      </w:r>
      <w:r w:rsidR="00D4203F">
        <w:rPr>
          <w:lang w:val="fr-CH"/>
        </w:rPr>
        <w:t xml:space="preserve"> </w:t>
      </w:r>
      <w:r w:rsidRPr="00200FA6">
        <w:rPr>
          <w:lang w:val="fr-CH"/>
        </w:rPr>
        <w:t>et</w:t>
      </w:r>
    </w:p>
    <w:p w:rsidR="00DF21C6" w:rsidRPr="00617A49" w:rsidRDefault="00DF21C6" w:rsidP="00BA0464">
      <w:pPr>
        <w:spacing w:before="240" w:after="220"/>
        <w:rPr>
          <w:lang w:val="fr-CH"/>
        </w:rPr>
      </w:pPr>
      <w:proofErr w:type="gramStart"/>
      <w:r w:rsidRPr="00617A49">
        <w:rPr>
          <w:lang w:val="fr-CH"/>
        </w:rPr>
        <w:t>l</w:t>
      </w:r>
      <w:r w:rsidR="005F2EDC">
        <w:rPr>
          <w:lang w:val="fr-CH"/>
        </w:rPr>
        <w:t>’</w:t>
      </w:r>
      <w:r w:rsidRPr="00617A49">
        <w:rPr>
          <w:lang w:val="fr-CH"/>
        </w:rPr>
        <w:t>Union</w:t>
      </w:r>
      <w:proofErr w:type="gramEnd"/>
      <w:r w:rsidRPr="00617A49">
        <w:rPr>
          <w:lang w:val="fr-CH"/>
        </w:rPr>
        <w:t xml:space="preserve"> économique et monétaire ouest africaine (UEMOA), agissant par l</w:t>
      </w:r>
      <w:r w:rsidR="005F2EDC">
        <w:rPr>
          <w:lang w:val="fr-CH"/>
        </w:rPr>
        <w:t>’</w:t>
      </w:r>
      <w:r w:rsidRPr="00617A49">
        <w:rPr>
          <w:lang w:val="fr-CH"/>
        </w:rPr>
        <w:t>entremise de la Commission, sise au 380, Avenue du Professeur Joseph Ki</w:t>
      </w:r>
      <w:r w:rsidR="005F2EDC">
        <w:rPr>
          <w:lang w:val="fr-CH"/>
        </w:rPr>
        <w:t>-</w:t>
      </w:r>
      <w:proofErr w:type="spellStart"/>
      <w:r w:rsidRPr="00617A49">
        <w:rPr>
          <w:lang w:val="fr-CH"/>
        </w:rPr>
        <w:t>Zerbo</w:t>
      </w:r>
      <w:proofErr w:type="spellEnd"/>
      <w:r w:rsidRPr="00617A49">
        <w:rPr>
          <w:lang w:val="fr-CH"/>
        </w:rPr>
        <w:t>, 01 BP 543 Ouagadougou 01 (Burkina Faso), représentée par son Président,</w:t>
      </w:r>
    </w:p>
    <w:p w:rsidR="00DF21C6" w:rsidRPr="00617A49" w:rsidRDefault="00DF21C6" w:rsidP="00BA0464">
      <w:pPr>
        <w:spacing w:before="240" w:after="220"/>
        <w:rPr>
          <w:lang w:val="fr-CH"/>
        </w:rPr>
      </w:pPr>
      <w:r w:rsidRPr="00617A49">
        <w:rPr>
          <w:lang w:val="fr-CH"/>
        </w:rPr>
        <w:t>Monsieur Abdallah</w:t>
      </w:r>
      <w:r w:rsidR="00EA05D6">
        <w:rPr>
          <w:rFonts w:eastAsia="MS Mincho"/>
          <w:lang w:val="fr-CH" w:eastAsia="en-US"/>
        </w:rPr>
        <w:t> </w:t>
      </w:r>
      <w:r w:rsidRPr="00617A49">
        <w:rPr>
          <w:lang w:val="fr-CH"/>
        </w:rPr>
        <w:t>BOUREIMA, ci</w:t>
      </w:r>
      <w:r w:rsidR="005F2EDC">
        <w:rPr>
          <w:lang w:val="fr-CH"/>
        </w:rPr>
        <w:t>-</w:t>
      </w:r>
      <w:r w:rsidRPr="00617A49">
        <w:rPr>
          <w:lang w:val="fr-CH"/>
        </w:rPr>
        <w:t>après désignée “l</w:t>
      </w:r>
      <w:r w:rsidR="005F2EDC">
        <w:rPr>
          <w:lang w:val="fr-CH"/>
        </w:rPr>
        <w:t>’</w:t>
      </w:r>
      <w:r w:rsidRPr="00617A49">
        <w:rPr>
          <w:lang w:val="fr-CH"/>
        </w:rPr>
        <w:t>UEMOA”, d</w:t>
      </w:r>
      <w:r w:rsidR="005F2EDC">
        <w:rPr>
          <w:lang w:val="fr-CH"/>
        </w:rPr>
        <w:t>’</w:t>
      </w:r>
      <w:r w:rsidRPr="00617A49">
        <w:rPr>
          <w:lang w:val="fr-CH"/>
        </w:rPr>
        <w:t>autre part;</w:t>
      </w:r>
    </w:p>
    <w:p w:rsidR="00DF21C6" w:rsidRPr="00D247CD" w:rsidRDefault="00DF21C6" w:rsidP="00BA0464">
      <w:pPr>
        <w:spacing w:before="240" w:after="220"/>
        <w:rPr>
          <w:lang w:val="fr-CH"/>
        </w:rPr>
      </w:pPr>
      <w:r w:rsidRPr="00D247CD">
        <w:rPr>
          <w:lang w:val="fr-CH"/>
        </w:rPr>
        <w:t>Ci</w:t>
      </w:r>
      <w:r w:rsidR="005F2EDC">
        <w:rPr>
          <w:lang w:val="fr-CH"/>
        </w:rPr>
        <w:t>-</w:t>
      </w:r>
      <w:r w:rsidRPr="00D247CD">
        <w:rPr>
          <w:lang w:val="fr-CH"/>
        </w:rPr>
        <w:t>après collectivement désignées les “Parties”;</w:t>
      </w:r>
    </w:p>
    <w:p w:rsidR="00DF21C6" w:rsidRPr="0089085C" w:rsidRDefault="00DF21C6" w:rsidP="00BA0464">
      <w:pPr>
        <w:spacing w:before="240" w:after="220"/>
        <w:rPr>
          <w:lang w:val="fr-CH"/>
        </w:rPr>
      </w:pPr>
      <w:r w:rsidRPr="0089085C">
        <w:rPr>
          <w:lang w:val="fr-CH"/>
        </w:rPr>
        <w:t>Vu le Traité</w:t>
      </w:r>
      <w:r w:rsidR="00EA05D6">
        <w:rPr>
          <w:rFonts w:eastAsia="MS Mincho"/>
          <w:lang w:val="fr-CH" w:eastAsia="en-US"/>
        </w:rPr>
        <w:t> </w:t>
      </w:r>
      <w:r w:rsidRPr="0089085C">
        <w:rPr>
          <w:lang w:val="fr-CH"/>
        </w:rPr>
        <w:t>UEMOA;</w:t>
      </w:r>
    </w:p>
    <w:p w:rsidR="00DF21C6" w:rsidRPr="00D247CD" w:rsidRDefault="00DF21C6" w:rsidP="00BA0464">
      <w:pPr>
        <w:spacing w:before="240" w:after="220"/>
        <w:rPr>
          <w:lang w:val="fr-CH"/>
        </w:rPr>
      </w:pPr>
      <w:r w:rsidRPr="00D247CD">
        <w:rPr>
          <w:lang w:val="fr-CH"/>
        </w:rPr>
        <w:t>Vu la Convention du 1</w:t>
      </w:r>
      <w:r w:rsidR="005F2EDC" w:rsidRPr="00D247CD">
        <w:rPr>
          <w:lang w:val="fr-CH"/>
        </w:rPr>
        <w:t>4</w:t>
      </w:r>
      <w:r w:rsidR="005F2EDC">
        <w:rPr>
          <w:lang w:val="fr-CH"/>
        </w:rPr>
        <w:t> </w:t>
      </w:r>
      <w:r w:rsidR="005F2EDC" w:rsidRPr="00D247CD">
        <w:rPr>
          <w:lang w:val="fr-CH"/>
        </w:rPr>
        <w:t>juillet</w:t>
      </w:r>
      <w:r w:rsidR="005F2EDC">
        <w:rPr>
          <w:lang w:val="fr-CH"/>
        </w:rPr>
        <w:t> </w:t>
      </w:r>
      <w:r w:rsidR="005F2EDC" w:rsidRPr="00D247CD">
        <w:rPr>
          <w:lang w:val="fr-CH"/>
        </w:rPr>
        <w:t>19</w:t>
      </w:r>
      <w:r w:rsidRPr="00D247CD">
        <w:rPr>
          <w:lang w:val="fr-CH"/>
        </w:rPr>
        <w:t>67 instituant l</w:t>
      </w:r>
      <w:r w:rsidR="005F2EDC">
        <w:rPr>
          <w:lang w:val="fr-CH"/>
        </w:rPr>
        <w:t>’</w:t>
      </w:r>
      <w:r w:rsidRPr="00D247CD">
        <w:rPr>
          <w:lang w:val="fr-CH"/>
        </w:rPr>
        <w:t>OMPI;</w:t>
      </w:r>
    </w:p>
    <w:p w:rsidR="00DF21C6" w:rsidRPr="00D247CD" w:rsidRDefault="00DF21C6" w:rsidP="00BA0464">
      <w:pPr>
        <w:spacing w:before="240" w:after="220"/>
        <w:rPr>
          <w:lang w:val="fr-CH"/>
        </w:rPr>
      </w:pPr>
      <w:r w:rsidRPr="00D247CD">
        <w:rPr>
          <w:lang w:val="fr-CH"/>
        </w:rPr>
        <w:t>Conscients du rôle de la propriété intellectuelle dans le développement des États;</w:t>
      </w:r>
    </w:p>
    <w:p w:rsidR="00DF21C6" w:rsidRPr="00D247CD" w:rsidRDefault="00DF21C6" w:rsidP="00BA0464">
      <w:pPr>
        <w:spacing w:before="240" w:after="220"/>
        <w:rPr>
          <w:lang w:val="fr-CH"/>
        </w:rPr>
      </w:pPr>
      <w:r w:rsidRPr="00D247CD">
        <w:rPr>
          <w:lang w:val="fr-CH"/>
        </w:rPr>
        <w:t>Considérant l</w:t>
      </w:r>
      <w:r w:rsidR="005F2EDC">
        <w:rPr>
          <w:lang w:val="fr-CH"/>
        </w:rPr>
        <w:t>’</w:t>
      </w:r>
      <w:r w:rsidRPr="00D247CD">
        <w:rPr>
          <w:lang w:val="fr-CH"/>
        </w:rPr>
        <w:t>engagement de l</w:t>
      </w:r>
      <w:r w:rsidR="005F2EDC">
        <w:rPr>
          <w:lang w:val="fr-CH"/>
        </w:rPr>
        <w:t>’</w:t>
      </w:r>
      <w:r w:rsidRPr="00D247CD">
        <w:rPr>
          <w:lang w:val="fr-CH"/>
        </w:rPr>
        <w:t>OMPI à faciliter l</w:t>
      </w:r>
      <w:r w:rsidR="005F2EDC">
        <w:rPr>
          <w:lang w:val="fr-CH"/>
        </w:rPr>
        <w:t>’</w:t>
      </w:r>
      <w:r w:rsidRPr="00D247CD">
        <w:rPr>
          <w:lang w:val="fr-CH"/>
        </w:rPr>
        <w:t>utilisation de la propriété intellectuelle pour le développement économique, social, culturel et technologique de ses États membres;</w:t>
      </w:r>
    </w:p>
    <w:p w:rsidR="00DF21C6" w:rsidRPr="00D247CD" w:rsidRDefault="00DF21C6" w:rsidP="00BA0464">
      <w:pPr>
        <w:spacing w:before="240" w:after="220"/>
        <w:rPr>
          <w:lang w:val="fr-CH"/>
        </w:rPr>
      </w:pPr>
      <w:r w:rsidRPr="00D247CD">
        <w:rPr>
          <w:lang w:val="fr-CH"/>
        </w:rPr>
        <w:t>Considérant la volonté de l</w:t>
      </w:r>
      <w:r w:rsidR="005F2EDC">
        <w:rPr>
          <w:lang w:val="fr-CH"/>
        </w:rPr>
        <w:t>’</w:t>
      </w:r>
      <w:r w:rsidRPr="00D247CD">
        <w:rPr>
          <w:lang w:val="fr-CH"/>
        </w:rPr>
        <w:t>UEMOA à participer de manière effective aux activités de l</w:t>
      </w:r>
      <w:r w:rsidR="005F2EDC">
        <w:rPr>
          <w:lang w:val="fr-CH"/>
        </w:rPr>
        <w:t>’</w:t>
      </w:r>
      <w:r w:rsidRPr="00D247CD">
        <w:rPr>
          <w:lang w:val="fr-CH"/>
        </w:rPr>
        <w:t>OMPI, afin de mieux utiliser la propriété intellectuelle pour le développement économique, social, culturel et technologique de ses États membres;</w:t>
      </w:r>
    </w:p>
    <w:p w:rsidR="00DF21C6" w:rsidRPr="00D247CD" w:rsidRDefault="00DF21C6" w:rsidP="00BA0464">
      <w:pPr>
        <w:spacing w:before="240" w:after="220"/>
        <w:rPr>
          <w:lang w:val="fr-CH"/>
        </w:rPr>
      </w:pPr>
      <w:r w:rsidRPr="00D247CD">
        <w:rPr>
          <w:lang w:val="fr-CH"/>
        </w:rPr>
        <w:t>Soulignant la nécessité d</w:t>
      </w:r>
      <w:r w:rsidR="005F2EDC">
        <w:rPr>
          <w:lang w:val="fr-CH"/>
        </w:rPr>
        <w:t>’</w:t>
      </w:r>
      <w:r w:rsidRPr="00D247CD">
        <w:rPr>
          <w:lang w:val="fr-CH"/>
        </w:rPr>
        <w:t>établir des relations de travail et de coopération entre l</w:t>
      </w:r>
      <w:r w:rsidR="005F2EDC">
        <w:rPr>
          <w:lang w:val="fr-CH"/>
        </w:rPr>
        <w:t>’</w:t>
      </w:r>
      <w:r w:rsidRPr="00D247CD">
        <w:rPr>
          <w:lang w:val="fr-CH"/>
        </w:rPr>
        <w:t>OMPI et l</w:t>
      </w:r>
      <w:r w:rsidR="005F2EDC">
        <w:rPr>
          <w:lang w:val="fr-CH"/>
        </w:rPr>
        <w:t>’</w:t>
      </w:r>
      <w:r w:rsidRPr="00D247CD">
        <w:rPr>
          <w:lang w:val="fr-CH"/>
        </w:rPr>
        <w:t>UEMOA;</w:t>
      </w:r>
    </w:p>
    <w:p w:rsidR="005F2EDC" w:rsidRDefault="00DF21C6" w:rsidP="00BA0464">
      <w:pPr>
        <w:spacing w:before="240" w:after="240"/>
        <w:rPr>
          <w:lang w:val="fr-CH"/>
        </w:rPr>
      </w:pPr>
      <w:r w:rsidRPr="00D247CD">
        <w:rPr>
          <w:lang w:val="fr-CH"/>
        </w:rPr>
        <w:t>Ayant à l</w:t>
      </w:r>
      <w:r w:rsidR="005F2EDC">
        <w:rPr>
          <w:lang w:val="fr-CH"/>
        </w:rPr>
        <w:t>’</w:t>
      </w:r>
      <w:r w:rsidRPr="00D247CD">
        <w:rPr>
          <w:lang w:val="fr-CH"/>
        </w:rPr>
        <w:t>esprit le caractère spécifique des missions de chacune des deux</w:t>
      </w:r>
      <w:r w:rsidR="00D4203F">
        <w:rPr>
          <w:lang w:val="fr-CH"/>
        </w:rPr>
        <w:t> </w:t>
      </w:r>
      <w:r w:rsidRPr="00D247CD">
        <w:rPr>
          <w:lang w:val="fr-CH"/>
        </w:rPr>
        <w:t>institutions telles que définies par leurs actes constitutifs respectifs;</w:t>
      </w:r>
    </w:p>
    <w:p w:rsidR="00BA0464" w:rsidRPr="00D247CD" w:rsidRDefault="00BA0464" w:rsidP="00BA0464">
      <w:pPr>
        <w:spacing w:before="240" w:after="240"/>
        <w:rPr>
          <w:lang w:val="fr-CH"/>
        </w:rPr>
        <w:sectPr w:rsidR="00BA0464" w:rsidRPr="00D247CD" w:rsidSect="00FD3A45">
          <w:headerReference w:type="default" r:id="rId20"/>
          <w:footerReference w:type="default" r:id="rId21"/>
          <w:pgSz w:w="11907" w:h="16840" w:code="9"/>
          <w:pgMar w:top="567" w:right="1134" w:bottom="1418" w:left="1418" w:header="510" w:footer="1021" w:gutter="0"/>
          <w:cols w:space="720"/>
        </w:sectPr>
      </w:pPr>
    </w:p>
    <w:p w:rsidR="00DF21C6" w:rsidRPr="00FF7896" w:rsidRDefault="00DF21C6" w:rsidP="00BA0464">
      <w:pPr>
        <w:spacing w:before="240" w:after="220"/>
        <w:rPr>
          <w:lang w:val="fr-CH"/>
          <w:rPrChange w:id="8" w:author="HÄFLIGER Patience" w:date="2018-07-17T11:52:00Z">
            <w:rPr>
              <w:highlight w:val="yellow"/>
              <w:lang w:val="fr-CH"/>
            </w:rPr>
          </w:rPrChange>
        </w:rPr>
      </w:pPr>
      <w:r w:rsidRPr="00FF7896">
        <w:rPr>
          <w:lang w:val="fr-CH"/>
          <w:rPrChange w:id="9" w:author="HÄFLIGER Patience" w:date="2018-07-17T11:52:00Z">
            <w:rPr>
              <w:highlight w:val="yellow"/>
              <w:lang w:val="fr-CH"/>
            </w:rPr>
          </w:rPrChange>
        </w:rPr>
        <w:lastRenderedPageBreak/>
        <w:t>Désireuses de faciliter par voie de coopération et de consultations étroites et régulières, la réalisation des objectifs définis dans leurs actes constitutifs respectifs;</w:t>
      </w:r>
    </w:p>
    <w:p w:rsidR="00DF21C6" w:rsidRPr="00FF7896" w:rsidRDefault="00DF21C6" w:rsidP="00DF21C6">
      <w:pPr>
        <w:spacing w:before="240" w:after="240"/>
        <w:rPr>
          <w:lang w:val="fr-CH"/>
          <w:rPrChange w:id="10" w:author="HÄFLIGER Patience" w:date="2018-07-17T11:52:00Z">
            <w:rPr>
              <w:highlight w:val="yellow"/>
              <w:lang w:val="fr-CH"/>
            </w:rPr>
          </w:rPrChange>
        </w:rPr>
      </w:pPr>
      <w:r w:rsidRPr="00FF7896">
        <w:rPr>
          <w:lang w:val="fr-CH"/>
          <w:rPrChange w:id="11" w:author="HÄFLIGER Patience" w:date="2018-07-17T11:52:00Z">
            <w:rPr>
              <w:highlight w:val="yellow"/>
              <w:lang w:val="fr-CH"/>
            </w:rPr>
          </w:rPrChange>
        </w:rPr>
        <w:t>Soucieuses d</w:t>
      </w:r>
      <w:r w:rsidR="005F2EDC" w:rsidRPr="00FF7896">
        <w:rPr>
          <w:lang w:val="fr-CH"/>
          <w:rPrChange w:id="12" w:author="HÄFLIGER Patience" w:date="2018-07-17T11:52:00Z">
            <w:rPr>
              <w:highlight w:val="yellow"/>
              <w:lang w:val="fr-CH"/>
            </w:rPr>
          </w:rPrChange>
        </w:rPr>
        <w:t>’</w:t>
      </w:r>
      <w:r w:rsidRPr="00FF7896">
        <w:rPr>
          <w:lang w:val="fr-CH"/>
          <w:rPrChange w:id="13" w:author="HÄFLIGER Patience" w:date="2018-07-17T11:52:00Z">
            <w:rPr>
              <w:highlight w:val="yellow"/>
              <w:lang w:val="fr-CH"/>
            </w:rPr>
          </w:rPrChange>
        </w:rPr>
        <w:t>accompagner et d</w:t>
      </w:r>
      <w:r w:rsidR="005F2EDC" w:rsidRPr="00FF7896">
        <w:rPr>
          <w:lang w:val="fr-CH"/>
          <w:rPrChange w:id="14" w:author="HÄFLIGER Patience" w:date="2018-07-17T11:52:00Z">
            <w:rPr>
              <w:highlight w:val="yellow"/>
              <w:lang w:val="fr-CH"/>
            </w:rPr>
          </w:rPrChange>
        </w:rPr>
        <w:t>’</w:t>
      </w:r>
      <w:r w:rsidRPr="00FF7896">
        <w:rPr>
          <w:lang w:val="fr-CH"/>
          <w:rPrChange w:id="15" w:author="HÄFLIGER Patience" w:date="2018-07-17T11:52:00Z">
            <w:rPr>
              <w:highlight w:val="yellow"/>
              <w:lang w:val="fr-CH"/>
            </w:rPr>
          </w:rPrChange>
        </w:rPr>
        <w:t>aider les États membres de l</w:t>
      </w:r>
      <w:r w:rsidR="005F2EDC" w:rsidRPr="00FF7896">
        <w:rPr>
          <w:lang w:val="fr-CH"/>
          <w:rPrChange w:id="16" w:author="HÄFLIGER Patience" w:date="2018-07-17T11:52:00Z">
            <w:rPr>
              <w:highlight w:val="yellow"/>
              <w:lang w:val="fr-CH"/>
            </w:rPr>
          </w:rPrChange>
        </w:rPr>
        <w:t>’</w:t>
      </w:r>
      <w:r w:rsidRPr="00FF7896">
        <w:rPr>
          <w:lang w:val="fr-CH"/>
          <w:rPrChange w:id="17" w:author="HÄFLIGER Patience" w:date="2018-07-17T11:52:00Z">
            <w:rPr>
              <w:highlight w:val="yellow"/>
              <w:lang w:val="fr-CH"/>
            </w:rPr>
          </w:rPrChange>
        </w:rPr>
        <w:t>UEMOA à bénéficier du Programme de travail de l</w:t>
      </w:r>
      <w:r w:rsidR="005F2EDC" w:rsidRPr="00FF7896">
        <w:rPr>
          <w:lang w:val="fr-CH"/>
          <w:rPrChange w:id="18" w:author="HÄFLIGER Patience" w:date="2018-07-17T11:52:00Z">
            <w:rPr>
              <w:highlight w:val="yellow"/>
              <w:lang w:val="fr-CH"/>
            </w:rPr>
          </w:rPrChange>
        </w:rPr>
        <w:t>’</w:t>
      </w:r>
      <w:r w:rsidRPr="00FF7896">
        <w:rPr>
          <w:lang w:val="fr-CH"/>
          <w:rPrChange w:id="19" w:author="HÄFLIGER Patience" w:date="2018-07-17T11:52:00Z">
            <w:rPr>
              <w:highlight w:val="yellow"/>
              <w:lang w:val="fr-CH"/>
            </w:rPr>
          </w:rPrChange>
        </w:rPr>
        <w:t>OMPI pour le développement;</w:t>
      </w:r>
      <w:r w:rsidR="00BA0464" w:rsidRPr="00FF7896">
        <w:rPr>
          <w:lang w:val="fr-CH"/>
          <w:rPrChange w:id="20" w:author="HÄFLIGER Patience" w:date="2018-07-17T11:52:00Z">
            <w:rPr>
              <w:highlight w:val="yellow"/>
              <w:lang w:val="fr-CH"/>
            </w:rPr>
          </w:rPrChange>
        </w:rPr>
        <w:t xml:space="preserve"> </w:t>
      </w:r>
      <w:r w:rsidR="00D4203F" w:rsidRPr="00FF7896">
        <w:rPr>
          <w:lang w:val="fr-CH"/>
          <w:rPrChange w:id="21" w:author="HÄFLIGER Patience" w:date="2018-07-17T11:52:00Z">
            <w:rPr>
              <w:highlight w:val="yellow"/>
              <w:lang w:val="fr-CH"/>
            </w:rPr>
          </w:rPrChange>
        </w:rPr>
        <w:t xml:space="preserve"> </w:t>
      </w:r>
      <w:r w:rsidRPr="00FF7896">
        <w:rPr>
          <w:lang w:val="fr-CH"/>
          <w:rPrChange w:id="22" w:author="HÄFLIGER Patience" w:date="2018-07-17T11:52:00Z">
            <w:rPr>
              <w:highlight w:val="yellow"/>
              <w:lang w:val="fr-CH"/>
            </w:rPr>
          </w:rPrChange>
        </w:rPr>
        <w:t>Déterminées à promouvoir davantage les droits de propriété intellectuelle au sien de l</w:t>
      </w:r>
      <w:r w:rsidR="005F2EDC" w:rsidRPr="00FF7896">
        <w:rPr>
          <w:lang w:val="fr-CH"/>
          <w:rPrChange w:id="23" w:author="HÄFLIGER Patience" w:date="2018-07-17T11:52:00Z">
            <w:rPr>
              <w:highlight w:val="yellow"/>
              <w:lang w:val="fr-CH"/>
            </w:rPr>
          </w:rPrChange>
        </w:rPr>
        <w:t>’</w:t>
      </w:r>
      <w:r w:rsidRPr="00FF7896">
        <w:rPr>
          <w:lang w:val="fr-CH"/>
          <w:rPrChange w:id="24" w:author="HÄFLIGER Patience" w:date="2018-07-17T11:52:00Z">
            <w:rPr>
              <w:highlight w:val="yellow"/>
              <w:lang w:val="fr-CH"/>
            </w:rPr>
          </w:rPrChange>
        </w:rPr>
        <w:t>UEMOA;</w:t>
      </w:r>
    </w:p>
    <w:p w:rsidR="00BA0464" w:rsidRDefault="00DF21C6" w:rsidP="00DF21C6">
      <w:pPr>
        <w:spacing w:before="240" w:after="240"/>
        <w:rPr>
          <w:lang w:val="fr-CH"/>
        </w:rPr>
      </w:pPr>
      <w:r w:rsidRPr="00FF7896">
        <w:rPr>
          <w:lang w:val="fr-CH"/>
          <w:rPrChange w:id="25" w:author="HÄFLIGER Patience" w:date="2018-07-17T11:52:00Z">
            <w:rPr>
              <w:highlight w:val="yellow"/>
              <w:lang w:val="fr-CH"/>
            </w:rPr>
          </w:rPrChange>
        </w:rPr>
        <w:t>Décidées à promouvoir la coopération entre elles par la conclusion d</w:t>
      </w:r>
      <w:r w:rsidR="005F2EDC" w:rsidRPr="00FF7896">
        <w:rPr>
          <w:lang w:val="fr-CH"/>
          <w:rPrChange w:id="26" w:author="HÄFLIGER Patience" w:date="2018-07-17T11:52:00Z">
            <w:rPr>
              <w:highlight w:val="yellow"/>
              <w:lang w:val="fr-CH"/>
            </w:rPr>
          </w:rPrChange>
        </w:rPr>
        <w:t>’</w:t>
      </w:r>
      <w:r w:rsidRPr="00FF7896">
        <w:rPr>
          <w:lang w:val="fr-CH"/>
          <w:rPrChange w:id="27" w:author="HÄFLIGER Patience" w:date="2018-07-17T11:52:00Z">
            <w:rPr>
              <w:highlight w:val="yellow"/>
              <w:lang w:val="fr-CH"/>
            </w:rPr>
          </w:rPrChange>
        </w:rPr>
        <w:t>un mémorandum d</w:t>
      </w:r>
      <w:r w:rsidR="005F2EDC" w:rsidRPr="00FF7896">
        <w:rPr>
          <w:lang w:val="fr-CH"/>
          <w:rPrChange w:id="28" w:author="HÄFLIGER Patience" w:date="2018-07-17T11:52:00Z">
            <w:rPr>
              <w:highlight w:val="yellow"/>
              <w:lang w:val="fr-CH"/>
            </w:rPr>
          </w:rPrChange>
        </w:rPr>
        <w:t>’</w:t>
      </w:r>
      <w:r w:rsidRPr="00FF7896">
        <w:rPr>
          <w:lang w:val="fr-CH"/>
          <w:rPrChange w:id="29" w:author="HÄFLIGER Patience" w:date="2018-07-17T11:52:00Z">
            <w:rPr>
              <w:highlight w:val="yellow"/>
              <w:lang w:val="fr-CH"/>
            </w:rPr>
          </w:rPrChange>
        </w:rPr>
        <w:t>entente,</w:t>
      </w:r>
    </w:p>
    <w:p w:rsidR="005F2EDC" w:rsidRDefault="00DF21C6" w:rsidP="00B54A23">
      <w:pPr>
        <w:spacing w:before="480" w:after="240"/>
        <w:rPr>
          <w:lang w:val="fr-CH"/>
        </w:rPr>
      </w:pPr>
      <w:r w:rsidRPr="0089085C">
        <w:rPr>
          <w:lang w:val="fr-CH"/>
        </w:rPr>
        <w:t>CONVIENNENT CE QUI SUIT</w:t>
      </w:r>
      <w:r w:rsidR="005F2EDC">
        <w:rPr>
          <w:lang w:val="fr-CH"/>
        </w:rPr>
        <w:t> :</w:t>
      </w:r>
    </w:p>
    <w:p w:rsidR="00DF21C6" w:rsidRPr="004A4A7B" w:rsidRDefault="00DF21C6" w:rsidP="00637906">
      <w:pPr>
        <w:pStyle w:val="Heading3"/>
        <w:rPr>
          <w:lang w:val="fr-CH"/>
        </w:rPr>
      </w:pPr>
      <w:r w:rsidRPr="004A4A7B">
        <w:rPr>
          <w:lang w:val="fr-CH"/>
        </w:rPr>
        <w:t>ARTICLE I</w:t>
      </w:r>
      <w:r w:rsidR="00637906">
        <w:rPr>
          <w:lang w:val="fr-CH"/>
        </w:rPr>
        <w:br/>
      </w:r>
      <w:r w:rsidRPr="004A4A7B">
        <w:rPr>
          <w:lang w:val="fr-CH"/>
        </w:rPr>
        <w:t>OBJET</w:t>
      </w:r>
    </w:p>
    <w:p w:rsidR="00DF21C6" w:rsidRPr="00D247CD" w:rsidRDefault="00DF21C6" w:rsidP="00DF21C6">
      <w:pPr>
        <w:spacing w:before="240" w:after="240"/>
        <w:rPr>
          <w:lang w:val="fr-CH"/>
        </w:rPr>
      </w:pPr>
      <w:r w:rsidRPr="00D247CD">
        <w:rPr>
          <w:lang w:val="fr-CH"/>
        </w:rPr>
        <w:t>Le présent Mémorandum d</w:t>
      </w:r>
      <w:r w:rsidR="005F2EDC">
        <w:rPr>
          <w:lang w:val="fr-CH"/>
        </w:rPr>
        <w:t>’</w:t>
      </w:r>
      <w:r w:rsidRPr="00D247CD">
        <w:rPr>
          <w:lang w:val="fr-CH"/>
        </w:rPr>
        <w:t>entente a pour objet l</w:t>
      </w:r>
      <w:r w:rsidR="005F2EDC">
        <w:rPr>
          <w:lang w:val="fr-CH"/>
        </w:rPr>
        <w:t>’</w:t>
      </w:r>
      <w:r w:rsidRPr="00D247CD">
        <w:rPr>
          <w:lang w:val="fr-CH"/>
        </w:rPr>
        <w:t>établissement de relations de coopération entre l</w:t>
      </w:r>
      <w:r w:rsidR="005F2EDC">
        <w:rPr>
          <w:lang w:val="fr-CH"/>
        </w:rPr>
        <w:t>’</w:t>
      </w:r>
      <w:r w:rsidRPr="00D247CD">
        <w:rPr>
          <w:lang w:val="fr-CH"/>
        </w:rPr>
        <w:t>OMPI et l</w:t>
      </w:r>
      <w:r w:rsidR="005F2EDC">
        <w:rPr>
          <w:lang w:val="fr-CH"/>
        </w:rPr>
        <w:t>’</w:t>
      </w:r>
      <w:r w:rsidRPr="00D247CD">
        <w:rPr>
          <w:lang w:val="fr-CH"/>
        </w:rPr>
        <w:t>UEMOA, destinées à faciliter l</w:t>
      </w:r>
      <w:r w:rsidR="005F2EDC">
        <w:rPr>
          <w:lang w:val="fr-CH"/>
        </w:rPr>
        <w:t>’</w:t>
      </w:r>
      <w:r w:rsidRPr="00D247CD">
        <w:rPr>
          <w:lang w:val="fr-CH"/>
        </w:rPr>
        <w:t>utilisation de la propriété intellectuelle pour le développement, économique, social et culturel des États membres de l</w:t>
      </w:r>
      <w:r w:rsidR="005F2EDC">
        <w:rPr>
          <w:lang w:val="fr-CH"/>
        </w:rPr>
        <w:t>’</w:t>
      </w:r>
      <w:r w:rsidRPr="00D247CD">
        <w:rPr>
          <w:lang w:val="fr-CH"/>
        </w:rPr>
        <w:t>UEMOA.</w:t>
      </w:r>
    </w:p>
    <w:p w:rsidR="00DF21C6" w:rsidRPr="00D247CD" w:rsidRDefault="00DF21C6" w:rsidP="00637906">
      <w:pPr>
        <w:pStyle w:val="Heading3"/>
        <w:rPr>
          <w:lang w:val="fr-CH"/>
        </w:rPr>
      </w:pPr>
      <w:r w:rsidRPr="00D247CD">
        <w:rPr>
          <w:lang w:val="fr-CH"/>
        </w:rPr>
        <w:t>ARTICLE II</w:t>
      </w:r>
      <w:r w:rsidR="00B302C4">
        <w:rPr>
          <w:lang w:val="fr-CH"/>
        </w:rPr>
        <w:br/>
      </w:r>
      <w:r w:rsidRPr="00D247CD">
        <w:rPr>
          <w:lang w:val="fr-CH"/>
        </w:rPr>
        <w:t>INVITATIONS AUX CONFÉRENCES, RÉUNIONS ET AUTRES ACTIVITÉS</w:t>
      </w:r>
    </w:p>
    <w:p w:rsidR="00DF21C6" w:rsidRPr="00FD3A45" w:rsidRDefault="00DF21C6" w:rsidP="00B302C4">
      <w:pPr>
        <w:pStyle w:val="ListParagraph"/>
        <w:numPr>
          <w:ilvl w:val="0"/>
          <w:numId w:val="9"/>
        </w:numPr>
        <w:spacing w:after="240"/>
        <w:ind w:left="567" w:hanging="567"/>
        <w:contextualSpacing w:val="0"/>
        <w:rPr>
          <w:rFonts w:eastAsia="MS Mincho"/>
          <w:lang w:val="fr-CH" w:eastAsia="en-US"/>
        </w:rPr>
      </w:pPr>
      <w:r w:rsidRPr="00FD3A45">
        <w:rPr>
          <w:rFonts w:eastAsia="MS Mincho"/>
          <w:lang w:val="fr-CH" w:eastAsia="en-US"/>
        </w:rPr>
        <w:t>L</w:t>
      </w:r>
      <w:r w:rsidR="005F2EDC">
        <w:rPr>
          <w:rFonts w:eastAsia="MS Mincho"/>
          <w:lang w:val="fr-CH" w:eastAsia="en-US"/>
        </w:rPr>
        <w:t>’</w:t>
      </w:r>
      <w:r w:rsidRPr="00FD3A45">
        <w:rPr>
          <w:rFonts w:eastAsia="MS Mincho"/>
          <w:lang w:val="fr-CH" w:eastAsia="en-US"/>
        </w:rPr>
        <w:t>OMPI peut inviter l</w:t>
      </w:r>
      <w:r w:rsidR="005F2EDC">
        <w:rPr>
          <w:rFonts w:eastAsia="MS Mincho"/>
          <w:lang w:val="fr-CH" w:eastAsia="en-US"/>
        </w:rPr>
        <w:t>’</w:t>
      </w:r>
      <w:r w:rsidRPr="00FD3A45">
        <w:rPr>
          <w:rFonts w:eastAsia="MS Mincho"/>
          <w:lang w:val="fr-CH" w:eastAsia="en-US"/>
        </w:rPr>
        <w:t>UEMOA ou prendre les dispositions appropriées pour que celle</w:t>
      </w:r>
      <w:r w:rsidR="005F2EDC">
        <w:rPr>
          <w:rFonts w:eastAsia="MS Mincho"/>
          <w:lang w:val="fr-CH" w:eastAsia="en-US"/>
        </w:rPr>
        <w:t>-</w:t>
      </w:r>
      <w:r w:rsidRPr="00FD3A45">
        <w:rPr>
          <w:rFonts w:eastAsia="MS Mincho"/>
          <w:lang w:val="fr-CH" w:eastAsia="en-US"/>
        </w:rPr>
        <w:t>ci soit invitée aux conférences, réunions et autres activités susceptibles d</w:t>
      </w:r>
      <w:r w:rsidR="005F2EDC">
        <w:rPr>
          <w:rFonts w:eastAsia="MS Mincho"/>
          <w:lang w:val="fr-CH" w:eastAsia="en-US"/>
        </w:rPr>
        <w:t>’</w:t>
      </w:r>
      <w:r w:rsidRPr="00FD3A45">
        <w:rPr>
          <w:rFonts w:eastAsia="MS Mincho"/>
          <w:lang w:val="fr-CH" w:eastAsia="en-US"/>
        </w:rPr>
        <w:t>être convoquées par l</w:t>
      </w:r>
      <w:r w:rsidR="005F2EDC">
        <w:rPr>
          <w:rFonts w:eastAsia="MS Mincho"/>
          <w:lang w:val="fr-CH" w:eastAsia="en-US"/>
        </w:rPr>
        <w:t>’</w:t>
      </w:r>
      <w:r w:rsidRPr="00FD3A45">
        <w:rPr>
          <w:rFonts w:eastAsia="MS Mincho"/>
          <w:lang w:val="fr-CH" w:eastAsia="en-US"/>
        </w:rPr>
        <w:t>OMPI et dont le thème peut intéresser directement l</w:t>
      </w:r>
      <w:r w:rsidR="005F2EDC">
        <w:rPr>
          <w:rFonts w:eastAsia="MS Mincho"/>
          <w:lang w:val="fr-CH" w:eastAsia="en-US"/>
        </w:rPr>
        <w:t>’</w:t>
      </w:r>
      <w:r w:rsidRPr="00FD3A45">
        <w:rPr>
          <w:rFonts w:eastAsia="MS Mincho"/>
          <w:lang w:val="fr-CH" w:eastAsia="en-US"/>
        </w:rPr>
        <w:t>UEMOA, ou à d</w:t>
      </w:r>
      <w:r w:rsidR="005F2EDC">
        <w:rPr>
          <w:rFonts w:eastAsia="MS Mincho"/>
          <w:lang w:val="fr-CH" w:eastAsia="en-US"/>
        </w:rPr>
        <w:t>’</w:t>
      </w:r>
      <w:r w:rsidRPr="00FD3A45">
        <w:rPr>
          <w:rFonts w:eastAsia="MS Mincho"/>
          <w:lang w:val="fr-CH" w:eastAsia="en-US"/>
        </w:rPr>
        <w:t>autres activités organisées par l</w:t>
      </w:r>
      <w:r w:rsidR="005F2EDC">
        <w:rPr>
          <w:rFonts w:eastAsia="MS Mincho"/>
          <w:lang w:val="fr-CH" w:eastAsia="en-US"/>
        </w:rPr>
        <w:t>’</w:t>
      </w:r>
      <w:r w:rsidRPr="00FD3A45">
        <w:rPr>
          <w:rFonts w:eastAsia="MS Mincho"/>
          <w:lang w:val="fr-CH" w:eastAsia="en-US"/>
        </w:rPr>
        <w:t>OMPI dans le domaine de la propriété intellectuelle, conformément aux procédures et aux règlements de l</w:t>
      </w:r>
      <w:r w:rsidR="005F2EDC">
        <w:rPr>
          <w:rFonts w:eastAsia="MS Mincho"/>
          <w:lang w:val="fr-CH" w:eastAsia="en-US"/>
        </w:rPr>
        <w:t>’</w:t>
      </w:r>
      <w:r w:rsidRPr="00FD3A45">
        <w:rPr>
          <w:rFonts w:eastAsia="MS Mincho"/>
          <w:lang w:val="fr-CH" w:eastAsia="en-US"/>
        </w:rPr>
        <w:t>OMPI applicable à ces conférences, réunions et autres activités.</w:t>
      </w:r>
    </w:p>
    <w:p w:rsidR="00DF21C6" w:rsidRPr="00FD3A45" w:rsidRDefault="00DF21C6" w:rsidP="00B302C4">
      <w:pPr>
        <w:pStyle w:val="ListParagraph"/>
        <w:numPr>
          <w:ilvl w:val="0"/>
          <w:numId w:val="9"/>
        </w:numPr>
        <w:spacing w:after="480"/>
        <w:ind w:left="567" w:hanging="567"/>
        <w:rPr>
          <w:rFonts w:eastAsia="MS Mincho"/>
          <w:lang w:val="fr-CH" w:eastAsia="en-US"/>
        </w:rPr>
      </w:pPr>
      <w:r w:rsidRPr="00FD3A45">
        <w:rPr>
          <w:rFonts w:eastAsia="MS Mincho"/>
          <w:lang w:val="fr-CH" w:eastAsia="en-US"/>
        </w:rPr>
        <w:t>L</w:t>
      </w:r>
      <w:r w:rsidR="005F2EDC">
        <w:rPr>
          <w:rFonts w:eastAsia="MS Mincho"/>
          <w:lang w:val="fr-CH" w:eastAsia="en-US"/>
        </w:rPr>
        <w:t>’</w:t>
      </w:r>
      <w:r w:rsidRPr="00FD3A45">
        <w:rPr>
          <w:rFonts w:eastAsia="MS Mincho"/>
          <w:lang w:val="fr-CH" w:eastAsia="en-US"/>
        </w:rPr>
        <w:t>UEMOA peut inviter l</w:t>
      </w:r>
      <w:r w:rsidR="005F2EDC">
        <w:rPr>
          <w:rFonts w:eastAsia="MS Mincho"/>
          <w:lang w:val="fr-CH" w:eastAsia="en-US"/>
        </w:rPr>
        <w:t>’</w:t>
      </w:r>
      <w:r w:rsidRPr="00FD3A45">
        <w:rPr>
          <w:rFonts w:eastAsia="MS Mincho"/>
          <w:lang w:val="fr-CH" w:eastAsia="en-US"/>
        </w:rPr>
        <w:t>OMPI ou prendre les dispositions appropriées pour que l</w:t>
      </w:r>
      <w:r w:rsidR="005F2EDC">
        <w:rPr>
          <w:rFonts w:eastAsia="MS Mincho"/>
          <w:lang w:val="fr-CH" w:eastAsia="en-US"/>
        </w:rPr>
        <w:t>’</w:t>
      </w:r>
      <w:r w:rsidRPr="00FD3A45">
        <w:rPr>
          <w:rFonts w:eastAsia="MS Mincho"/>
          <w:lang w:val="fr-CH" w:eastAsia="en-US"/>
        </w:rPr>
        <w:t>OMPI soit invitée aux conférences, réunions et autres activités susceptibles d</w:t>
      </w:r>
      <w:r w:rsidR="005F2EDC">
        <w:rPr>
          <w:rFonts w:eastAsia="MS Mincho"/>
          <w:lang w:val="fr-CH" w:eastAsia="en-US"/>
        </w:rPr>
        <w:t>’</w:t>
      </w:r>
      <w:r w:rsidRPr="00FD3A45">
        <w:rPr>
          <w:rFonts w:eastAsia="MS Mincho"/>
          <w:lang w:val="fr-CH" w:eastAsia="en-US"/>
        </w:rPr>
        <w:t>être convoquées par l</w:t>
      </w:r>
      <w:r w:rsidR="005F2EDC">
        <w:rPr>
          <w:rFonts w:eastAsia="MS Mincho"/>
          <w:lang w:val="fr-CH" w:eastAsia="en-US"/>
        </w:rPr>
        <w:t>’</w:t>
      </w:r>
      <w:r w:rsidRPr="00FD3A45">
        <w:rPr>
          <w:rFonts w:eastAsia="MS Mincho"/>
          <w:lang w:val="fr-CH" w:eastAsia="en-US"/>
        </w:rPr>
        <w:t>UEMOA et dont le thème peut intéresser directement l</w:t>
      </w:r>
      <w:r w:rsidR="005F2EDC">
        <w:rPr>
          <w:rFonts w:eastAsia="MS Mincho"/>
          <w:lang w:val="fr-CH" w:eastAsia="en-US"/>
        </w:rPr>
        <w:t>’</w:t>
      </w:r>
      <w:r w:rsidRPr="00FD3A45">
        <w:rPr>
          <w:rFonts w:eastAsia="MS Mincho"/>
          <w:lang w:val="fr-CH" w:eastAsia="en-US"/>
        </w:rPr>
        <w:t>OMPI, ou à d</w:t>
      </w:r>
      <w:r w:rsidR="005F2EDC">
        <w:rPr>
          <w:rFonts w:eastAsia="MS Mincho"/>
          <w:lang w:val="fr-CH" w:eastAsia="en-US"/>
        </w:rPr>
        <w:t>’</w:t>
      </w:r>
      <w:r w:rsidRPr="00FD3A45">
        <w:rPr>
          <w:rFonts w:eastAsia="MS Mincho"/>
          <w:lang w:val="fr-CH" w:eastAsia="en-US"/>
        </w:rPr>
        <w:t>autres activités organisées par l</w:t>
      </w:r>
      <w:r w:rsidR="005F2EDC">
        <w:rPr>
          <w:rFonts w:eastAsia="MS Mincho"/>
          <w:lang w:val="fr-CH" w:eastAsia="en-US"/>
        </w:rPr>
        <w:t>’</w:t>
      </w:r>
      <w:r w:rsidRPr="00FD3A45">
        <w:rPr>
          <w:rFonts w:eastAsia="MS Mincho"/>
          <w:lang w:val="fr-CH" w:eastAsia="en-US"/>
        </w:rPr>
        <w:t>UEMOA dans le domaine de la propriété intellectuelle, conformément aux procédures et règlements de l</w:t>
      </w:r>
      <w:r w:rsidR="005F2EDC">
        <w:rPr>
          <w:rFonts w:eastAsia="MS Mincho"/>
          <w:lang w:val="fr-CH" w:eastAsia="en-US"/>
        </w:rPr>
        <w:t>’</w:t>
      </w:r>
      <w:r w:rsidRPr="00FD3A45">
        <w:rPr>
          <w:rFonts w:eastAsia="MS Mincho"/>
          <w:lang w:val="fr-CH" w:eastAsia="en-US"/>
        </w:rPr>
        <w:t>UEMOA, applicables à ces conférences, réunions et autres activités.</w:t>
      </w:r>
    </w:p>
    <w:p w:rsidR="00DF21C6" w:rsidRPr="00D247CD" w:rsidRDefault="00DF21C6" w:rsidP="00637906">
      <w:pPr>
        <w:pStyle w:val="Heading3"/>
        <w:rPr>
          <w:lang w:val="fr-CH"/>
        </w:rPr>
      </w:pPr>
      <w:r w:rsidRPr="00D247CD">
        <w:rPr>
          <w:lang w:val="fr-CH"/>
        </w:rPr>
        <w:t>ARTICLE III</w:t>
      </w:r>
      <w:r w:rsidR="00B302C4">
        <w:rPr>
          <w:lang w:val="fr-CH"/>
        </w:rPr>
        <w:br/>
      </w:r>
      <w:r w:rsidRPr="00D247CD">
        <w:rPr>
          <w:lang w:val="fr-CH"/>
        </w:rPr>
        <w:t>COOPÉRATION POUR L</w:t>
      </w:r>
      <w:r w:rsidR="005F2EDC">
        <w:rPr>
          <w:lang w:val="fr-CH"/>
        </w:rPr>
        <w:t>’</w:t>
      </w:r>
      <w:r w:rsidRPr="00D247CD">
        <w:rPr>
          <w:lang w:val="fr-CH"/>
        </w:rPr>
        <w:t>ORGANISATION D</w:t>
      </w:r>
      <w:r w:rsidR="005F2EDC">
        <w:rPr>
          <w:lang w:val="fr-CH"/>
        </w:rPr>
        <w:t>’</w:t>
      </w:r>
      <w:r w:rsidRPr="00D247CD">
        <w:rPr>
          <w:lang w:val="fr-CH"/>
        </w:rPr>
        <w:t>ACTIVITÉS CONJOINTES</w:t>
      </w:r>
    </w:p>
    <w:p w:rsidR="00DF21C6" w:rsidRPr="00FD3A45" w:rsidRDefault="00DF21C6" w:rsidP="00B302C4">
      <w:pPr>
        <w:pStyle w:val="ListParagraph"/>
        <w:numPr>
          <w:ilvl w:val="0"/>
          <w:numId w:val="10"/>
        </w:numPr>
        <w:spacing w:after="240"/>
        <w:ind w:left="567" w:hanging="567"/>
        <w:contextualSpacing w:val="0"/>
        <w:rPr>
          <w:rFonts w:eastAsia="MS Mincho"/>
          <w:lang w:val="fr-CH" w:eastAsia="en-US"/>
        </w:rPr>
      </w:pPr>
      <w:r w:rsidRPr="00FD3A45">
        <w:rPr>
          <w:rFonts w:eastAsia="MS Mincho"/>
          <w:lang w:val="fr-CH" w:eastAsia="en-US"/>
        </w:rPr>
        <w:t>L</w:t>
      </w:r>
      <w:r w:rsidR="005F2EDC">
        <w:rPr>
          <w:rFonts w:eastAsia="MS Mincho"/>
          <w:lang w:val="fr-CH" w:eastAsia="en-US"/>
        </w:rPr>
        <w:t>’</w:t>
      </w:r>
      <w:r w:rsidRPr="00FD3A45">
        <w:rPr>
          <w:rFonts w:eastAsia="MS Mincho"/>
          <w:lang w:val="fr-CH" w:eastAsia="en-US"/>
        </w:rPr>
        <w:t>organisation d</w:t>
      </w:r>
      <w:r w:rsidR="005F2EDC">
        <w:rPr>
          <w:rFonts w:eastAsia="MS Mincho"/>
          <w:lang w:val="fr-CH" w:eastAsia="en-US"/>
        </w:rPr>
        <w:t>’</w:t>
      </w:r>
      <w:r w:rsidRPr="00FD3A45">
        <w:rPr>
          <w:rFonts w:eastAsia="MS Mincho"/>
          <w:lang w:val="fr-CH" w:eastAsia="en-US"/>
        </w:rPr>
        <w:t>activités ou de projets portant sur la protection et la promotion de la propriété intellectuelle pourrait appeler une coopération entre l</w:t>
      </w:r>
      <w:r w:rsidR="005F2EDC">
        <w:rPr>
          <w:rFonts w:eastAsia="MS Mincho"/>
          <w:lang w:val="fr-CH" w:eastAsia="en-US"/>
        </w:rPr>
        <w:t>’</w:t>
      </w:r>
      <w:r w:rsidRPr="00FD3A45">
        <w:rPr>
          <w:rFonts w:eastAsia="MS Mincho"/>
          <w:lang w:val="fr-CH" w:eastAsia="en-US"/>
        </w:rPr>
        <w:t>OMPI et l</w:t>
      </w:r>
      <w:r w:rsidR="005F2EDC">
        <w:rPr>
          <w:rFonts w:eastAsia="MS Mincho"/>
          <w:lang w:val="fr-CH" w:eastAsia="en-US"/>
        </w:rPr>
        <w:t>’</w:t>
      </w:r>
      <w:r w:rsidRPr="00FD3A45">
        <w:rPr>
          <w:rFonts w:eastAsia="MS Mincho"/>
          <w:lang w:val="fr-CH" w:eastAsia="en-US"/>
        </w:rPr>
        <w:t>UEMOA.</w:t>
      </w:r>
      <w:r>
        <w:rPr>
          <w:rFonts w:eastAsia="MS Mincho"/>
          <w:lang w:val="fr-CH" w:eastAsia="en-US"/>
        </w:rPr>
        <w:t xml:space="preserve"> </w:t>
      </w:r>
      <w:r w:rsidR="00D4203F">
        <w:rPr>
          <w:rFonts w:eastAsia="MS Mincho"/>
          <w:lang w:val="fr-CH" w:eastAsia="en-US"/>
        </w:rPr>
        <w:t xml:space="preserve"> </w:t>
      </w:r>
      <w:r w:rsidRPr="00FD3A45">
        <w:rPr>
          <w:rFonts w:eastAsia="MS Mincho"/>
          <w:lang w:val="fr-CH" w:eastAsia="en-US"/>
        </w:rPr>
        <w:t xml:space="preserve">À cet égard, des activités de sensibilisation sur la valeur </w:t>
      </w:r>
      <w:r w:rsidR="005F2EDC">
        <w:rPr>
          <w:rFonts w:eastAsia="MS Mincho"/>
          <w:lang w:val="fr-CH" w:eastAsia="en-US"/>
        </w:rPr>
        <w:t>socioéconomique</w:t>
      </w:r>
      <w:r w:rsidRPr="00FD3A45">
        <w:rPr>
          <w:rFonts w:eastAsia="MS Mincho"/>
          <w:lang w:val="fr-CH" w:eastAsia="en-US"/>
        </w:rPr>
        <w:t xml:space="preserve"> de la propriété intellectuelle pourraient être organisées conjointement en faveur des représentants des États membres de l</w:t>
      </w:r>
      <w:r w:rsidR="005F2EDC">
        <w:rPr>
          <w:rFonts w:eastAsia="MS Mincho"/>
          <w:lang w:val="fr-CH" w:eastAsia="en-US"/>
        </w:rPr>
        <w:t>’</w:t>
      </w:r>
      <w:r w:rsidRPr="00FD3A45">
        <w:rPr>
          <w:rFonts w:eastAsia="MS Mincho"/>
          <w:lang w:val="fr-CH" w:eastAsia="en-US"/>
        </w:rPr>
        <w:t>UEMOA.</w:t>
      </w:r>
    </w:p>
    <w:p w:rsidR="00DF21C6" w:rsidRPr="00FD3A45" w:rsidRDefault="00DF21C6" w:rsidP="00B302C4">
      <w:pPr>
        <w:pStyle w:val="ListParagraph"/>
        <w:numPr>
          <w:ilvl w:val="0"/>
          <w:numId w:val="10"/>
        </w:numPr>
        <w:spacing w:after="240"/>
        <w:ind w:left="567" w:hanging="567"/>
        <w:contextualSpacing w:val="0"/>
        <w:rPr>
          <w:rFonts w:eastAsia="MS Mincho"/>
          <w:lang w:val="fr-CH" w:eastAsia="en-US"/>
        </w:rPr>
      </w:pPr>
      <w:r w:rsidRPr="00FD3A45">
        <w:rPr>
          <w:rFonts w:eastAsia="MS Mincho"/>
          <w:lang w:val="fr-CH" w:eastAsia="en-US"/>
        </w:rPr>
        <w:t>Les termes d</w:t>
      </w:r>
      <w:r w:rsidR="005F2EDC">
        <w:rPr>
          <w:rFonts w:eastAsia="MS Mincho"/>
          <w:lang w:val="fr-CH" w:eastAsia="en-US"/>
        </w:rPr>
        <w:t>’</w:t>
      </w:r>
      <w:r w:rsidRPr="00FD3A45">
        <w:rPr>
          <w:rFonts w:eastAsia="MS Mincho"/>
          <w:lang w:val="fr-CH" w:eastAsia="en-US"/>
        </w:rPr>
        <w:t>une telle coopération feraient l</w:t>
      </w:r>
      <w:r w:rsidR="005F2EDC">
        <w:rPr>
          <w:rFonts w:eastAsia="MS Mincho"/>
          <w:lang w:val="fr-CH" w:eastAsia="en-US"/>
        </w:rPr>
        <w:t>’</w:t>
      </w:r>
      <w:r w:rsidRPr="00FD3A45">
        <w:rPr>
          <w:rFonts w:eastAsia="MS Mincho"/>
          <w:lang w:val="fr-CH" w:eastAsia="en-US"/>
        </w:rPr>
        <w:t>objet d</w:t>
      </w:r>
      <w:r w:rsidR="005F2EDC">
        <w:rPr>
          <w:rFonts w:eastAsia="MS Mincho"/>
          <w:lang w:val="fr-CH" w:eastAsia="en-US"/>
        </w:rPr>
        <w:t>’</w:t>
      </w:r>
      <w:r w:rsidRPr="00FD3A45">
        <w:rPr>
          <w:rFonts w:eastAsia="MS Mincho"/>
          <w:lang w:val="fr-CH" w:eastAsia="en-US"/>
        </w:rPr>
        <w:t>arrangements écrits, au cas par cas, compte tenu de toute résolution pertinente approuvée par l</w:t>
      </w:r>
      <w:r w:rsidR="005F2EDC">
        <w:rPr>
          <w:rFonts w:eastAsia="MS Mincho"/>
          <w:lang w:val="fr-CH" w:eastAsia="en-US"/>
        </w:rPr>
        <w:t>’</w:t>
      </w:r>
      <w:r w:rsidRPr="00FD3A45">
        <w:rPr>
          <w:rFonts w:eastAsia="MS Mincho"/>
          <w:lang w:val="fr-CH" w:eastAsia="en-US"/>
        </w:rPr>
        <w:t>organisation initiatrice de l</w:t>
      </w:r>
      <w:r w:rsidR="005F2EDC">
        <w:rPr>
          <w:rFonts w:eastAsia="MS Mincho"/>
          <w:lang w:val="fr-CH" w:eastAsia="en-US"/>
        </w:rPr>
        <w:t>’</w:t>
      </w:r>
      <w:r w:rsidRPr="00FD3A45">
        <w:rPr>
          <w:rFonts w:eastAsia="MS Mincho"/>
          <w:lang w:val="fr-CH" w:eastAsia="en-US"/>
        </w:rPr>
        <w:t>activité.</w:t>
      </w:r>
    </w:p>
    <w:p w:rsidR="00DF21C6" w:rsidRPr="00FD3A45" w:rsidRDefault="00DF21C6" w:rsidP="00A8154D">
      <w:pPr>
        <w:pStyle w:val="ListParagraph"/>
        <w:keepNext/>
        <w:keepLines/>
        <w:numPr>
          <w:ilvl w:val="0"/>
          <w:numId w:val="10"/>
        </w:numPr>
        <w:spacing w:after="240"/>
        <w:ind w:left="567" w:hanging="567"/>
        <w:contextualSpacing w:val="0"/>
        <w:rPr>
          <w:rFonts w:eastAsia="MS Mincho"/>
          <w:lang w:val="fr-CH" w:eastAsia="en-US"/>
        </w:rPr>
      </w:pPr>
      <w:r w:rsidRPr="00FD3A45">
        <w:rPr>
          <w:rFonts w:eastAsia="MS Mincho"/>
          <w:lang w:val="fr-CH" w:eastAsia="en-US"/>
        </w:rPr>
        <w:lastRenderedPageBreak/>
        <w:t>Lors de l</w:t>
      </w:r>
      <w:r w:rsidR="005F2EDC">
        <w:rPr>
          <w:rFonts w:eastAsia="MS Mincho"/>
          <w:lang w:val="fr-CH" w:eastAsia="en-US"/>
        </w:rPr>
        <w:t>’</w:t>
      </w:r>
      <w:r w:rsidRPr="00FD3A45">
        <w:rPr>
          <w:rFonts w:eastAsia="MS Mincho"/>
          <w:lang w:val="fr-CH" w:eastAsia="en-US"/>
        </w:rPr>
        <w:t>élaboration de telles activités de sensibilisation, de promotion ou d</w:t>
      </w:r>
      <w:r w:rsidR="005F2EDC">
        <w:rPr>
          <w:rFonts w:eastAsia="MS Mincho"/>
          <w:lang w:val="fr-CH" w:eastAsia="en-US"/>
        </w:rPr>
        <w:t>’</w:t>
      </w:r>
      <w:r w:rsidRPr="00FD3A45">
        <w:rPr>
          <w:rFonts w:eastAsia="MS Mincho"/>
          <w:lang w:val="fr-CH" w:eastAsia="en-US"/>
        </w:rPr>
        <w:t>élaboration de Lors de l</w:t>
      </w:r>
      <w:r w:rsidR="005F2EDC">
        <w:rPr>
          <w:rFonts w:eastAsia="MS Mincho"/>
          <w:lang w:val="fr-CH" w:eastAsia="en-US"/>
        </w:rPr>
        <w:t>’</w:t>
      </w:r>
      <w:r w:rsidRPr="00FD3A45">
        <w:rPr>
          <w:rFonts w:eastAsia="MS Mincho"/>
          <w:lang w:val="fr-CH" w:eastAsia="en-US"/>
        </w:rPr>
        <w:t>élaboration de telles activités de sensibilisation, de promotion ou d</w:t>
      </w:r>
      <w:r w:rsidR="005F2EDC">
        <w:rPr>
          <w:rFonts w:eastAsia="MS Mincho"/>
          <w:lang w:val="fr-CH" w:eastAsia="en-US"/>
        </w:rPr>
        <w:t>’</w:t>
      </w:r>
      <w:r w:rsidRPr="00FD3A45">
        <w:rPr>
          <w:rFonts w:eastAsia="MS Mincho"/>
          <w:lang w:val="fr-CH" w:eastAsia="en-US"/>
        </w:rPr>
        <w:t xml:space="preserve">élaboration de projets à caractère </w:t>
      </w:r>
      <w:r w:rsidR="005F2EDC">
        <w:rPr>
          <w:rFonts w:eastAsia="MS Mincho"/>
          <w:lang w:val="fr-CH" w:eastAsia="en-US"/>
        </w:rPr>
        <w:t>socioéconomique</w:t>
      </w:r>
      <w:r w:rsidRPr="00FD3A45">
        <w:rPr>
          <w:rFonts w:eastAsia="MS Mincho"/>
          <w:lang w:val="fr-CH" w:eastAsia="en-US"/>
        </w:rPr>
        <w:t xml:space="preserve"> portant sur l</w:t>
      </w:r>
      <w:r w:rsidR="005F2EDC">
        <w:rPr>
          <w:rFonts w:eastAsia="MS Mincho"/>
          <w:lang w:val="fr-CH" w:eastAsia="en-US"/>
        </w:rPr>
        <w:t>’</w:t>
      </w:r>
      <w:r w:rsidRPr="00FD3A45">
        <w:rPr>
          <w:rFonts w:eastAsia="MS Mincho"/>
          <w:lang w:val="fr-CH" w:eastAsia="en-US"/>
        </w:rPr>
        <w:t>utilisation effective et appropriée du système de la propriété intellectuelle au service du développement des États membres de l</w:t>
      </w:r>
      <w:r w:rsidR="005F2EDC">
        <w:rPr>
          <w:rFonts w:eastAsia="MS Mincho"/>
          <w:lang w:val="fr-CH" w:eastAsia="en-US"/>
        </w:rPr>
        <w:t>’</w:t>
      </w:r>
      <w:r w:rsidRPr="00FD3A45">
        <w:rPr>
          <w:rFonts w:eastAsia="MS Mincho"/>
          <w:lang w:val="fr-CH" w:eastAsia="en-US"/>
        </w:rPr>
        <w:t>UEMOA, les responsabilités incombant à chacune des Parties devront être spécifiées telles que leur niveau d</w:t>
      </w:r>
      <w:r w:rsidR="005F2EDC">
        <w:rPr>
          <w:rFonts w:eastAsia="MS Mincho"/>
          <w:lang w:val="fr-CH" w:eastAsia="en-US"/>
        </w:rPr>
        <w:t>’</w:t>
      </w:r>
      <w:r w:rsidRPr="00FD3A45">
        <w:rPr>
          <w:rFonts w:eastAsia="MS Mincho"/>
          <w:lang w:val="fr-CH" w:eastAsia="en-US"/>
        </w:rPr>
        <w:t>engagement financier ou la mise à disposition des ressources humaines et/ou matérielles.</w:t>
      </w:r>
    </w:p>
    <w:p w:rsidR="00DF21C6" w:rsidRPr="001A29F4" w:rsidRDefault="00DF21C6" w:rsidP="00B302C4">
      <w:pPr>
        <w:pStyle w:val="ListParagraph"/>
        <w:numPr>
          <w:ilvl w:val="0"/>
          <w:numId w:val="10"/>
        </w:numPr>
        <w:spacing w:after="240"/>
        <w:ind w:left="567" w:hanging="567"/>
        <w:contextualSpacing w:val="0"/>
        <w:rPr>
          <w:rFonts w:eastAsia="MS Mincho"/>
          <w:lang w:val="fr-CH" w:eastAsia="en-US"/>
        </w:rPr>
      </w:pPr>
      <w:r w:rsidRPr="001A29F4">
        <w:rPr>
          <w:rFonts w:eastAsia="MS Mincho"/>
          <w:lang w:val="fr-CH" w:eastAsia="en-US"/>
        </w:rPr>
        <w:t>Dans le cadre de l</w:t>
      </w:r>
      <w:r w:rsidR="005F2EDC">
        <w:rPr>
          <w:rFonts w:eastAsia="MS Mincho"/>
          <w:lang w:val="fr-CH" w:eastAsia="en-US"/>
        </w:rPr>
        <w:t>’</w:t>
      </w:r>
      <w:r w:rsidRPr="001A29F4">
        <w:rPr>
          <w:rFonts w:eastAsia="MS Mincho"/>
          <w:lang w:val="fr-CH" w:eastAsia="en-US"/>
        </w:rPr>
        <w:t>exécution de ces activités communes, elles pourraient conjointement convenir d</w:t>
      </w:r>
      <w:r w:rsidR="005F2EDC">
        <w:rPr>
          <w:rFonts w:eastAsia="MS Mincho"/>
          <w:lang w:val="fr-CH" w:eastAsia="en-US"/>
        </w:rPr>
        <w:t>’</w:t>
      </w:r>
      <w:r w:rsidRPr="001A29F4">
        <w:rPr>
          <w:rFonts w:eastAsia="MS Mincho"/>
          <w:lang w:val="fr-CH" w:eastAsia="en-US"/>
        </w:rPr>
        <w:t>un accord de coopération avec d</w:t>
      </w:r>
      <w:r w:rsidR="005F2EDC">
        <w:rPr>
          <w:rFonts w:eastAsia="MS Mincho"/>
          <w:lang w:val="fr-CH" w:eastAsia="en-US"/>
        </w:rPr>
        <w:t>’</w:t>
      </w:r>
      <w:r w:rsidRPr="001A29F4">
        <w:rPr>
          <w:rFonts w:eastAsia="MS Mincho"/>
          <w:lang w:val="fr-CH" w:eastAsia="en-US"/>
        </w:rPr>
        <w:t xml:space="preserve">autres organisations ou institutions, </w:t>
      </w:r>
      <w:r w:rsidR="005F2EDC">
        <w:rPr>
          <w:rFonts w:eastAsia="MS Mincho"/>
          <w:lang w:val="fr-CH" w:eastAsia="en-US"/>
        </w:rPr>
        <w:t>y compris</w:t>
      </w:r>
      <w:r w:rsidRPr="001A29F4">
        <w:rPr>
          <w:rFonts w:eastAsia="MS Mincho"/>
          <w:lang w:val="fr-CH" w:eastAsia="en-US"/>
        </w:rPr>
        <w:t xml:space="preserve"> des institutions financières.</w:t>
      </w:r>
    </w:p>
    <w:p w:rsidR="00DF21C6" w:rsidRPr="00D247CD" w:rsidRDefault="00DF21C6" w:rsidP="00637906">
      <w:pPr>
        <w:pStyle w:val="Heading3"/>
        <w:rPr>
          <w:lang w:val="fr-CH"/>
        </w:rPr>
      </w:pPr>
      <w:r w:rsidRPr="00D247CD">
        <w:rPr>
          <w:lang w:val="fr-CH"/>
        </w:rPr>
        <w:t>ARTICLE IV</w:t>
      </w:r>
      <w:r w:rsidR="00B302C4">
        <w:rPr>
          <w:lang w:val="fr-CH"/>
        </w:rPr>
        <w:br/>
      </w:r>
      <w:r w:rsidRPr="00D247CD">
        <w:rPr>
          <w:lang w:val="fr-CH"/>
        </w:rPr>
        <w:t>ÉCHANGES D</w:t>
      </w:r>
      <w:r w:rsidR="005F2EDC">
        <w:rPr>
          <w:lang w:val="fr-CH"/>
        </w:rPr>
        <w:t>’</w:t>
      </w:r>
      <w:r w:rsidRPr="00D247CD">
        <w:rPr>
          <w:lang w:val="fr-CH"/>
        </w:rPr>
        <w:t>INFORMATIONS ET DE DOCUMENTS</w:t>
      </w:r>
    </w:p>
    <w:p w:rsidR="00DF21C6" w:rsidRPr="00D247CD" w:rsidRDefault="00DF21C6" w:rsidP="00DF21C6">
      <w:pPr>
        <w:spacing w:before="240" w:after="240"/>
        <w:rPr>
          <w:lang w:val="fr-CH"/>
        </w:rPr>
      </w:pPr>
      <w:r w:rsidRPr="00D247CD">
        <w:rPr>
          <w:lang w:val="fr-CH"/>
        </w:rPr>
        <w:t>L</w:t>
      </w:r>
      <w:r w:rsidR="005F2EDC">
        <w:rPr>
          <w:lang w:val="fr-CH"/>
        </w:rPr>
        <w:t>’</w:t>
      </w:r>
      <w:r w:rsidRPr="00D247CD">
        <w:rPr>
          <w:lang w:val="fr-CH"/>
        </w:rPr>
        <w:t>OMPI et l</w:t>
      </w:r>
      <w:r w:rsidR="005F2EDC">
        <w:rPr>
          <w:lang w:val="fr-CH"/>
        </w:rPr>
        <w:t>’</w:t>
      </w:r>
      <w:r w:rsidRPr="00D247CD">
        <w:rPr>
          <w:lang w:val="fr-CH"/>
        </w:rPr>
        <w:t>UEMOA pourraient procéder à des échanges d</w:t>
      </w:r>
      <w:r w:rsidR="005F2EDC">
        <w:rPr>
          <w:lang w:val="fr-CH"/>
        </w:rPr>
        <w:t>’</w:t>
      </w:r>
      <w:r w:rsidRPr="00D247CD">
        <w:rPr>
          <w:lang w:val="fr-CH"/>
        </w:rPr>
        <w:t>informations et de documents pertinents, sous réserve des restrictions et dispositions applicables en la matière, soit à la demande de l</w:t>
      </w:r>
      <w:r w:rsidR="005F2EDC">
        <w:rPr>
          <w:lang w:val="fr-CH"/>
        </w:rPr>
        <w:t>’</w:t>
      </w:r>
      <w:r w:rsidRPr="00D247CD">
        <w:rPr>
          <w:lang w:val="fr-CH"/>
        </w:rPr>
        <w:t>une des Parties, soit sur l</w:t>
      </w:r>
      <w:r w:rsidR="005F2EDC">
        <w:rPr>
          <w:lang w:val="fr-CH"/>
        </w:rPr>
        <w:t>’</w:t>
      </w:r>
      <w:r w:rsidRPr="00D247CD">
        <w:rPr>
          <w:lang w:val="fr-CH"/>
        </w:rPr>
        <w:t>initiative de l</w:t>
      </w:r>
      <w:r w:rsidR="005F2EDC">
        <w:rPr>
          <w:lang w:val="fr-CH"/>
        </w:rPr>
        <w:t>’</w:t>
      </w:r>
      <w:r w:rsidRPr="00D247CD">
        <w:rPr>
          <w:lang w:val="fr-CH"/>
        </w:rPr>
        <w:t>autre Partie.</w:t>
      </w:r>
    </w:p>
    <w:p w:rsidR="00DF21C6" w:rsidRPr="00D247CD" w:rsidRDefault="00DF21C6" w:rsidP="00637906">
      <w:pPr>
        <w:pStyle w:val="Heading3"/>
        <w:rPr>
          <w:lang w:val="fr-CH"/>
        </w:rPr>
      </w:pPr>
      <w:r w:rsidRPr="00D247CD">
        <w:rPr>
          <w:lang w:val="fr-CH"/>
        </w:rPr>
        <w:t>ARTICLE V</w:t>
      </w:r>
      <w:r w:rsidR="00B302C4">
        <w:rPr>
          <w:lang w:val="fr-CH"/>
        </w:rPr>
        <w:br/>
      </w:r>
      <w:r w:rsidRPr="00D247CD">
        <w:rPr>
          <w:lang w:val="fr-CH"/>
        </w:rPr>
        <w:t>COOPÉRATION EN MATIÈRE DE RECHERCHE</w:t>
      </w:r>
    </w:p>
    <w:p w:rsidR="00DF21C6" w:rsidRPr="00D247CD" w:rsidRDefault="00DF21C6" w:rsidP="00DF21C6">
      <w:pPr>
        <w:spacing w:before="240" w:after="240"/>
        <w:rPr>
          <w:lang w:val="fr-CH"/>
        </w:rPr>
      </w:pPr>
      <w:r w:rsidRPr="00D247CD">
        <w:rPr>
          <w:lang w:val="fr-CH"/>
        </w:rPr>
        <w:t>L</w:t>
      </w:r>
      <w:r w:rsidR="005F2EDC">
        <w:rPr>
          <w:lang w:val="fr-CH"/>
        </w:rPr>
        <w:t>’</w:t>
      </w:r>
      <w:r w:rsidRPr="00D247CD">
        <w:rPr>
          <w:lang w:val="fr-CH"/>
        </w:rPr>
        <w:t>OMPI et l</w:t>
      </w:r>
      <w:r w:rsidR="005F2EDC">
        <w:rPr>
          <w:lang w:val="fr-CH"/>
        </w:rPr>
        <w:t>’</w:t>
      </w:r>
      <w:r w:rsidRPr="00D247CD">
        <w:rPr>
          <w:lang w:val="fr-CH"/>
        </w:rPr>
        <w:t>UEMOA peuvent prendre les dispositions appropriées pour mener des recherches et des études sur l</w:t>
      </w:r>
      <w:r w:rsidR="005F2EDC">
        <w:rPr>
          <w:lang w:val="fr-CH"/>
        </w:rPr>
        <w:t>’</w:t>
      </w:r>
      <w:r w:rsidRPr="00D247CD">
        <w:rPr>
          <w:lang w:val="fr-CH"/>
        </w:rPr>
        <w:t>innovation, et diffuser des informations sur les pratiques recommandées et le savoir</w:t>
      </w:r>
      <w:r w:rsidR="005F2EDC">
        <w:rPr>
          <w:lang w:val="fr-CH"/>
        </w:rPr>
        <w:t>-</w:t>
      </w:r>
      <w:r w:rsidRPr="00D247CD">
        <w:rPr>
          <w:lang w:val="fr-CH"/>
        </w:rPr>
        <w:t>faire technique nécessaire pour favoriser le développement dans les secteurs scientifique, technologique, commercial et culturel des États membres de l</w:t>
      </w:r>
      <w:r w:rsidR="005F2EDC">
        <w:rPr>
          <w:lang w:val="fr-CH"/>
        </w:rPr>
        <w:t>’</w:t>
      </w:r>
      <w:r w:rsidRPr="00D247CD">
        <w:rPr>
          <w:lang w:val="fr-CH"/>
        </w:rPr>
        <w:t>UEMOA.</w:t>
      </w:r>
    </w:p>
    <w:p w:rsidR="00DF21C6" w:rsidRPr="00D247CD" w:rsidRDefault="00DF21C6" w:rsidP="00637906">
      <w:pPr>
        <w:pStyle w:val="Heading3"/>
        <w:rPr>
          <w:lang w:val="fr-CH"/>
        </w:rPr>
      </w:pPr>
      <w:r w:rsidRPr="00D247CD">
        <w:rPr>
          <w:lang w:val="fr-CH"/>
        </w:rPr>
        <w:t>ARTICLE VI</w:t>
      </w:r>
      <w:r w:rsidR="00B302C4">
        <w:rPr>
          <w:lang w:val="fr-CH"/>
        </w:rPr>
        <w:br/>
      </w:r>
      <w:r w:rsidRPr="00D247CD">
        <w:rPr>
          <w:lang w:val="fr-CH"/>
        </w:rPr>
        <w:t>COOPÉRATION EN MATIÈRE DE LUTTE CONTRE LA CONTREFAÇON ET LA PIRATERIE</w:t>
      </w:r>
    </w:p>
    <w:p w:rsidR="00DF21C6" w:rsidRPr="00D247CD" w:rsidRDefault="00DF21C6" w:rsidP="00B302C4">
      <w:pPr>
        <w:pStyle w:val="ListParagraph"/>
        <w:numPr>
          <w:ilvl w:val="0"/>
          <w:numId w:val="18"/>
        </w:numPr>
        <w:spacing w:after="240"/>
        <w:ind w:left="567" w:hanging="567"/>
        <w:contextualSpacing w:val="0"/>
        <w:rPr>
          <w:rFonts w:eastAsia="MS Mincho"/>
          <w:lang w:val="fr-CH" w:eastAsia="en-US"/>
        </w:rPr>
      </w:pPr>
      <w:r w:rsidRPr="00D247CD">
        <w:rPr>
          <w:rFonts w:eastAsia="MS Mincho"/>
          <w:lang w:val="fr-CH" w:eastAsia="en-US"/>
        </w:rPr>
        <w:t>Compte tenu de l</w:t>
      </w:r>
      <w:r w:rsidR="005F2EDC">
        <w:rPr>
          <w:rFonts w:eastAsia="MS Mincho"/>
          <w:lang w:val="fr-CH" w:eastAsia="en-US"/>
        </w:rPr>
        <w:t>’</w:t>
      </w:r>
      <w:r w:rsidRPr="00D247CD">
        <w:rPr>
          <w:rFonts w:eastAsia="MS Mincho"/>
          <w:lang w:val="fr-CH" w:eastAsia="en-US"/>
        </w:rPr>
        <w:t>ampleur du phénomène de la contrefaçon et de la piraterie dans l</w:t>
      </w:r>
      <w:r w:rsidR="005F2EDC">
        <w:rPr>
          <w:rFonts w:eastAsia="MS Mincho"/>
          <w:lang w:val="fr-CH" w:eastAsia="en-US"/>
        </w:rPr>
        <w:t>’</w:t>
      </w:r>
      <w:r w:rsidRPr="00D247CD">
        <w:rPr>
          <w:rFonts w:eastAsia="MS Mincho"/>
          <w:lang w:val="fr-CH" w:eastAsia="en-US"/>
        </w:rPr>
        <w:t>espace communautaire, l</w:t>
      </w:r>
      <w:r w:rsidR="005F2EDC">
        <w:rPr>
          <w:rFonts w:eastAsia="MS Mincho"/>
          <w:lang w:val="fr-CH" w:eastAsia="en-US"/>
        </w:rPr>
        <w:t>’</w:t>
      </w:r>
      <w:r w:rsidRPr="00D247CD">
        <w:rPr>
          <w:rFonts w:eastAsia="MS Mincho"/>
          <w:lang w:val="fr-CH" w:eastAsia="en-US"/>
        </w:rPr>
        <w:t>OMPI s</w:t>
      </w:r>
      <w:r w:rsidR="005F2EDC">
        <w:rPr>
          <w:rFonts w:eastAsia="MS Mincho"/>
          <w:lang w:val="fr-CH" w:eastAsia="en-US"/>
        </w:rPr>
        <w:t>’</w:t>
      </w:r>
      <w:r w:rsidRPr="00D247CD">
        <w:rPr>
          <w:rFonts w:eastAsia="MS Mincho"/>
          <w:lang w:val="fr-CH" w:eastAsia="en-US"/>
        </w:rPr>
        <w:t>engage, à la demande de l</w:t>
      </w:r>
      <w:r w:rsidR="005F2EDC">
        <w:rPr>
          <w:rFonts w:eastAsia="MS Mincho"/>
          <w:lang w:val="fr-CH" w:eastAsia="en-US"/>
        </w:rPr>
        <w:t>’</w:t>
      </w:r>
      <w:r w:rsidRPr="00D247CD">
        <w:rPr>
          <w:rFonts w:eastAsia="MS Mincho"/>
          <w:lang w:val="fr-CH" w:eastAsia="en-US"/>
        </w:rPr>
        <w:t>UEMOA, à aider au développement des capacités des États membres dans le domaine susmentionné, selon des modalités à convenir conjointement entre les Parties.</w:t>
      </w:r>
    </w:p>
    <w:p w:rsidR="00DF21C6" w:rsidRPr="00D247CD" w:rsidRDefault="00DF21C6" w:rsidP="00B302C4">
      <w:pPr>
        <w:pStyle w:val="ListParagraph"/>
        <w:numPr>
          <w:ilvl w:val="0"/>
          <w:numId w:val="18"/>
        </w:numPr>
        <w:spacing w:after="240"/>
        <w:ind w:left="567" w:hanging="567"/>
        <w:contextualSpacing w:val="0"/>
        <w:rPr>
          <w:rFonts w:eastAsia="MS Mincho"/>
          <w:lang w:val="fr-CH" w:eastAsia="en-US"/>
        </w:rPr>
      </w:pPr>
      <w:r w:rsidRPr="00D247CD">
        <w:rPr>
          <w:rFonts w:eastAsia="MS Mincho"/>
          <w:lang w:val="fr-CH" w:eastAsia="en-US"/>
        </w:rPr>
        <w:t>Dans ce cadre, l</w:t>
      </w:r>
      <w:r w:rsidR="005F2EDC">
        <w:rPr>
          <w:rFonts w:eastAsia="MS Mincho"/>
          <w:lang w:val="fr-CH" w:eastAsia="en-US"/>
        </w:rPr>
        <w:t>’</w:t>
      </w:r>
      <w:r w:rsidRPr="00D247CD">
        <w:rPr>
          <w:rFonts w:eastAsia="MS Mincho"/>
          <w:lang w:val="fr-CH" w:eastAsia="en-US"/>
        </w:rPr>
        <w:t>UEMOA prendra les dispositions appropriées pour faciliter les activités de l</w:t>
      </w:r>
      <w:r w:rsidR="005F2EDC">
        <w:rPr>
          <w:rFonts w:eastAsia="MS Mincho"/>
          <w:lang w:val="fr-CH" w:eastAsia="en-US"/>
        </w:rPr>
        <w:t>’</w:t>
      </w:r>
      <w:r w:rsidRPr="00D247CD">
        <w:rPr>
          <w:rFonts w:eastAsia="MS Mincho"/>
          <w:lang w:val="fr-CH" w:eastAsia="en-US"/>
        </w:rPr>
        <w:t>OMPI sur le territoire de ses États membres.</w:t>
      </w:r>
    </w:p>
    <w:p w:rsidR="00DF21C6" w:rsidRPr="00D247CD" w:rsidRDefault="00DF21C6" w:rsidP="00637906">
      <w:pPr>
        <w:pStyle w:val="Heading3"/>
        <w:rPr>
          <w:lang w:val="fr-CH"/>
        </w:rPr>
      </w:pPr>
      <w:r w:rsidRPr="00D247CD">
        <w:rPr>
          <w:lang w:val="fr-CH"/>
        </w:rPr>
        <w:t>ARTICLE VII</w:t>
      </w:r>
      <w:r w:rsidR="00B302C4">
        <w:rPr>
          <w:lang w:val="fr-CH"/>
        </w:rPr>
        <w:br/>
      </w:r>
      <w:r w:rsidRPr="00D247CD">
        <w:rPr>
          <w:lang w:val="fr-CH"/>
        </w:rPr>
        <w:t>SERVICES PARTICULIERS ET ASSISTANCE TECHNIQUE</w:t>
      </w:r>
    </w:p>
    <w:p w:rsidR="00DF21C6" w:rsidRPr="00D247CD" w:rsidRDefault="00DF21C6" w:rsidP="00B302C4">
      <w:pPr>
        <w:pStyle w:val="ListParagraph"/>
        <w:numPr>
          <w:ilvl w:val="0"/>
          <w:numId w:val="19"/>
        </w:numPr>
        <w:spacing w:after="240"/>
        <w:ind w:left="567" w:hanging="567"/>
        <w:contextualSpacing w:val="0"/>
        <w:rPr>
          <w:rFonts w:eastAsia="MS Mincho"/>
          <w:lang w:val="fr-CH" w:eastAsia="en-US"/>
        </w:rPr>
      </w:pPr>
      <w:r w:rsidRPr="00D247CD">
        <w:rPr>
          <w:rFonts w:eastAsia="MS Mincho"/>
          <w:lang w:val="fr-CH" w:eastAsia="en-US"/>
        </w:rPr>
        <w:t>Au cas où l</w:t>
      </w:r>
      <w:r w:rsidR="005F2EDC">
        <w:rPr>
          <w:rFonts w:eastAsia="MS Mincho"/>
          <w:lang w:val="fr-CH" w:eastAsia="en-US"/>
        </w:rPr>
        <w:t>’</w:t>
      </w:r>
      <w:r w:rsidRPr="00D247CD">
        <w:rPr>
          <w:rFonts w:eastAsia="MS Mincho"/>
          <w:lang w:val="fr-CH" w:eastAsia="en-US"/>
        </w:rPr>
        <w:t>une des Parties souhaiterait bénéficier de l</w:t>
      </w:r>
      <w:r w:rsidR="005F2EDC">
        <w:rPr>
          <w:rFonts w:eastAsia="MS Mincho"/>
          <w:lang w:val="fr-CH" w:eastAsia="en-US"/>
        </w:rPr>
        <w:t>’</w:t>
      </w:r>
      <w:r w:rsidRPr="00D247CD">
        <w:rPr>
          <w:rFonts w:eastAsia="MS Mincho"/>
          <w:lang w:val="fr-CH" w:eastAsia="en-US"/>
        </w:rPr>
        <w:t>assistance technique de l</w:t>
      </w:r>
      <w:r w:rsidR="005F2EDC">
        <w:rPr>
          <w:rFonts w:eastAsia="MS Mincho"/>
          <w:lang w:val="fr-CH" w:eastAsia="en-US"/>
        </w:rPr>
        <w:t>’</w:t>
      </w:r>
      <w:r w:rsidRPr="00D247CD">
        <w:rPr>
          <w:rFonts w:eastAsia="MS Mincho"/>
          <w:lang w:val="fr-CH" w:eastAsia="en-US"/>
        </w:rPr>
        <w:t>autre Partie, elle pourra lui faire part de ses besoins.</w:t>
      </w:r>
    </w:p>
    <w:p w:rsidR="00DF21C6" w:rsidRPr="00D247CD" w:rsidRDefault="00DF21C6" w:rsidP="00B302C4">
      <w:pPr>
        <w:pStyle w:val="ListParagraph"/>
        <w:numPr>
          <w:ilvl w:val="0"/>
          <w:numId w:val="19"/>
        </w:numPr>
        <w:spacing w:after="240"/>
        <w:ind w:left="567" w:hanging="567"/>
        <w:contextualSpacing w:val="0"/>
        <w:rPr>
          <w:rFonts w:eastAsia="MS Mincho"/>
          <w:lang w:val="fr-CH" w:eastAsia="en-US"/>
        </w:rPr>
      </w:pPr>
      <w:r w:rsidRPr="00D247CD">
        <w:rPr>
          <w:rFonts w:eastAsia="MS Mincho"/>
          <w:lang w:val="fr-CH" w:eastAsia="en-US"/>
        </w:rPr>
        <w:t>Les Parties peuvent initier conjointement des programmes d</w:t>
      </w:r>
      <w:r w:rsidR="005F2EDC">
        <w:rPr>
          <w:rFonts w:eastAsia="MS Mincho"/>
          <w:lang w:val="fr-CH" w:eastAsia="en-US"/>
        </w:rPr>
        <w:t>’</w:t>
      </w:r>
      <w:r w:rsidRPr="00D247CD">
        <w:rPr>
          <w:rFonts w:eastAsia="MS Mincho"/>
          <w:lang w:val="fr-CH" w:eastAsia="en-US"/>
        </w:rPr>
        <w:t>assistance technique ou de renforcement des capacités, afin de</w:t>
      </w:r>
      <w:r w:rsidR="005F2EDC">
        <w:rPr>
          <w:rFonts w:eastAsia="MS Mincho"/>
          <w:lang w:val="fr-CH" w:eastAsia="en-US"/>
        </w:rPr>
        <w:t> :</w:t>
      </w:r>
    </w:p>
    <w:p w:rsidR="00DF21C6" w:rsidRPr="00FD3A45" w:rsidRDefault="00DF21C6" w:rsidP="00B302C4">
      <w:pPr>
        <w:pStyle w:val="ListParagraph"/>
        <w:numPr>
          <w:ilvl w:val="0"/>
          <w:numId w:val="12"/>
        </w:numPr>
        <w:suppressAutoHyphens/>
        <w:autoSpaceDN w:val="0"/>
        <w:spacing w:after="240"/>
        <w:ind w:left="1134" w:hanging="567"/>
        <w:contextualSpacing w:val="0"/>
        <w:textAlignment w:val="baseline"/>
        <w:rPr>
          <w:rFonts w:eastAsia="Calibri"/>
          <w:szCs w:val="22"/>
          <w:lang w:val="fr-CH" w:eastAsia="en-US"/>
        </w:rPr>
      </w:pPr>
      <w:r w:rsidRPr="00FD3A45">
        <w:rPr>
          <w:szCs w:val="22"/>
          <w:lang w:val="fr-CH"/>
        </w:rPr>
        <w:t>favoriser l</w:t>
      </w:r>
      <w:r w:rsidR="005F2EDC">
        <w:rPr>
          <w:szCs w:val="22"/>
          <w:lang w:val="fr-CH"/>
        </w:rPr>
        <w:t>’</w:t>
      </w:r>
      <w:r w:rsidRPr="00FD3A45">
        <w:rPr>
          <w:szCs w:val="22"/>
          <w:lang w:val="fr-CH"/>
        </w:rPr>
        <w:t>utilisation de la propriété intellectuelle par les petites et moyennes entreprises, pour la valorisation et la commercialisation de leurs produits et services;</w:t>
      </w:r>
    </w:p>
    <w:p w:rsidR="00DF21C6" w:rsidRPr="00D247CD" w:rsidRDefault="00DF21C6" w:rsidP="00B302C4">
      <w:pPr>
        <w:pStyle w:val="ListParagraph"/>
        <w:numPr>
          <w:ilvl w:val="0"/>
          <w:numId w:val="12"/>
        </w:numPr>
        <w:suppressAutoHyphens/>
        <w:autoSpaceDN w:val="0"/>
        <w:spacing w:after="240"/>
        <w:ind w:left="1134" w:hanging="567"/>
        <w:contextualSpacing w:val="0"/>
        <w:textAlignment w:val="baseline"/>
        <w:rPr>
          <w:szCs w:val="22"/>
          <w:lang w:val="fr-CH"/>
        </w:rPr>
      </w:pPr>
      <w:r w:rsidRPr="00FD3A45">
        <w:rPr>
          <w:szCs w:val="22"/>
          <w:lang w:val="fr-CH"/>
        </w:rPr>
        <w:t>faciliter l</w:t>
      </w:r>
      <w:r w:rsidR="005F2EDC">
        <w:rPr>
          <w:szCs w:val="22"/>
          <w:lang w:val="fr-CH"/>
        </w:rPr>
        <w:t>’</w:t>
      </w:r>
      <w:r w:rsidRPr="00FD3A45">
        <w:rPr>
          <w:szCs w:val="22"/>
          <w:lang w:val="fr-CH"/>
        </w:rPr>
        <w:t>accès et l</w:t>
      </w:r>
      <w:r w:rsidR="005F2EDC">
        <w:rPr>
          <w:szCs w:val="22"/>
          <w:lang w:val="fr-CH"/>
        </w:rPr>
        <w:t>’</w:t>
      </w:r>
      <w:r w:rsidRPr="00FD3A45">
        <w:rPr>
          <w:szCs w:val="22"/>
          <w:lang w:val="fr-CH"/>
        </w:rPr>
        <w:t>exploitation de l</w:t>
      </w:r>
      <w:r w:rsidR="005F2EDC">
        <w:rPr>
          <w:szCs w:val="22"/>
          <w:lang w:val="fr-CH"/>
        </w:rPr>
        <w:t>’</w:t>
      </w:r>
      <w:r w:rsidRPr="00FD3A45">
        <w:rPr>
          <w:szCs w:val="22"/>
          <w:lang w:val="fr-CH"/>
        </w:rPr>
        <w:t>information scientifique et technique au profit de la recherche et de l</w:t>
      </w:r>
      <w:r w:rsidR="005F2EDC">
        <w:rPr>
          <w:szCs w:val="22"/>
          <w:lang w:val="fr-CH"/>
        </w:rPr>
        <w:t>’</w:t>
      </w:r>
      <w:r w:rsidRPr="00FD3A45">
        <w:rPr>
          <w:szCs w:val="22"/>
          <w:lang w:val="fr-CH"/>
        </w:rPr>
        <w:t>innovation;</w:t>
      </w:r>
    </w:p>
    <w:p w:rsidR="00DF21C6" w:rsidRPr="00D247CD" w:rsidRDefault="00DF21C6" w:rsidP="00B302C4">
      <w:pPr>
        <w:pStyle w:val="ListParagraph"/>
        <w:numPr>
          <w:ilvl w:val="0"/>
          <w:numId w:val="12"/>
        </w:numPr>
        <w:suppressAutoHyphens/>
        <w:autoSpaceDN w:val="0"/>
        <w:spacing w:after="240"/>
        <w:ind w:left="1134" w:hanging="567"/>
        <w:contextualSpacing w:val="0"/>
        <w:textAlignment w:val="baseline"/>
        <w:rPr>
          <w:szCs w:val="22"/>
          <w:lang w:val="fr-CH"/>
        </w:rPr>
      </w:pPr>
      <w:r w:rsidRPr="00FD3A45">
        <w:rPr>
          <w:szCs w:val="22"/>
          <w:lang w:val="fr-CH"/>
        </w:rPr>
        <w:t>renforcer le développement des régimes nationaux du droit d</w:t>
      </w:r>
      <w:r w:rsidR="005F2EDC">
        <w:rPr>
          <w:szCs w:val="22"/>
          <w:lang w:val="fr-CH"/>
        </w:rPr>
        <w:t>’</w:t>
      </w:r>
      <w:r w:rsidRPr="00FD3A45">
        <w:rPr>
          <w:szCs w:val="22"/>
          <w:lang w:val="fr-CH"/>
        </w:rPr>
        <w:t>auteur et des droits voisins afin de contribuer à la création d</w:t>
      </w:r>
      <w:r w:rsidR="005F2EDC">
        <w:rPr>
          <w:szCs w:val="22"/>
          <w:lang w:val="fr-CH"/>
        </w:rPr>
        <w:t>’</w:t>
      </w:r>
      <w:r w:rsidRPr="00FD3A45">
        <w:rPr>
          <w:szCs w:val="22"/>
          <w:lang w:val="fr-CH"/>
        </w:rPr>
        <w:t>un environnement propice à l</w:t>
      </w:r>
      <w:r w:rsidR="005F2EDC">
        <w:rPr>
          <w:szCs w:val="22"/>
          <w:lang w:val="fr-CH"/>
        </w:rPr>
        <w:t>’</w:t>
      </w:r>
      <w:r w:rsidRPr="00FD3A45">
        <w:rPr>
          <w:szCs w:val="22"/>
          <w:lang w:val="fr-CH"/>
        </w:rPr>
        <w:t>essor culturel et économique;</w:t>
      </w:r>
    </w:p>
    <w:p w:rsidR="00DF21C6" w:rsidRPr="00D247CD" w:rsidRDefault="00DF21C6" w:rsidP="00B302C4">
      <w:pPr>
        <w:pStyle w:val="ListParagraph"/>
        <w:numPr>
          <w:ilvl w:val="0"/>
          <w:numId w:val="12"/>
        </w:numPr>
        <w:suppressAutoHyphens/>
        <w:autoSpaceDN w:val="0"/>
        <w:spacing w:after="240"/>
        <w:ind w:left="1134" w:hanging="567"/>
        <w:contextualSpacing w:val="0"/>
        <w:textAlignment w:val="baseline"/>
        <w:rPr>
          <w:szCs w:val="22"/>
          <w:lang w:val="fr-CH"/>
        </w:rPr>
      </w:pPr>
      <w:r w:rsidRPr="00FD3A45">
        <w:rPr>
          <w:szCs w:val="22"/>
          <w:lang w:val="fr-CH"/>
        </w:rPr>
        <w:lastRenderedPageBreak/>
        <w:t>renforcer l</w:t>
      </w:r>
      <w:r w:rsidR="005F2EDC">
        <w:rPr>
          <w:szCs w:val="22"/>
          <w:lang w:val="fr-CH"/>
        </w:rPr>
        <w:t>’</w:t>
      </w:r>
      <w:r w:rsidRPr="00FD3A45">
        <w:rPr>
          <w:szCs w:val="22"/>
          <w:lang w:val="fr-CH"/>
        </w:rPr>
        <w:t>administration judiciaire en matière de propriété intellectuelle;</w:t>
      </w:r>
    </w:p>
    <w:p w:rsidR="00DF21C6" w:rsidRPr="00D247CD" w:rsidRDefault="00DF21C6" w:rsidP="00B302C4">
      <w:pPr>
        <w:pStyle w:val="ListParagraph"/>
        <w:numPr>
          <w:ilvl w:val="0"/>
          <w:numId w:val="12"/>
        </w:numPr>
        <w:suppressAutoHyphens/>
        <w:autoSpaceDN w:val="0"/>
        <w:spacing w:after="240"/>
        <w:ind w:left="1134" w:hanging="567"/>
        <w:contextualSpacing w:val="0"/>
        <w:textAlignment w:val="baseline"/>
        <w:rPr>
          <w:szCs w:val="22"/>
          <w:lang w:val="fr-CH"/>
        </w:rPr>
      </w:pPr>
      <w:r w:rsidRPr="00FD3A45">
        <w:rPr>
          <w:szCs w:val="22"/>
          <w:lang w:val="fr-CH"/>
        </w:rPr>
        <w:t>favoriser l</w:t>
      </w:r>
      <w:r w:rsidR="005F2EDC">
        <w:rPr>
          <w:szCs w:val="22"/>
          <w:lang w:val="fr-CH"/>
        </w:rPr>
        <w:t>’</w:t>
      </w:r>
      <w:r w:rsidRPr="00FD3A45">
        <w:rPr>
          <w:szCs w:val="22"/>
          <w:lang w:val="fr-CH"/>
        </w:rPr>
        <w:t>utilisation par les entreprises, des inventions tombées dans le domaine public pour le développement économique et technologique des États membres de l</w:t>
      </w:r>
      <w:r w:rsidR="005F2EDC">
        <w:rPr>
          <w:szCs w:val="22"/>
          <w:lang w:val="fr-CH"/>
        </w:rPr>
        <w:t>’</w:t>
      </w:r>
      <w:r w:rsidRPr="00FD3A45">
        <w:rPr>
          <w:szCs w:val="22"/>
          <w:lang w:val="fr-CH"/>
        </w:rPr>
        <w:t>UEMOA.</w:t>
      </w:r>
    </w:p>
    <w:p w:rsidR="00DF21C6" w:rsidRPr="00D247CD" w:rsidRDefault="00DF21C6" w:rsidP="00B302C4">
      <w:pPr>
        <w:pStyle w:val="ListParagraph"/>
        <w:numPr>
          <w:ilvl w:val="0"/>
          <w:numId w:val="19"/>
        </w:numPr>
        <w:spacing w:after="240"/>
        <w:ind w:left="567" w:hanging="567"/>
        <w:contextualSpacing w:val="0"/>
        <w:rPr>
          <w:rFonts w:eastAsia="MS Mincho"/>
          <w:lang w:val="fr-CH" w:eastAsia="en-US"/>
        </w:rPr>
      </w:pPr>
      <w:r w:rsidRPr="00D247CD">
        <w:rPr>
          <w:rFonts w:eastAsia="MS Mincho"/>
          <w:lang w:val="fr-CH" w:eastAsia="en-US"/>
        </w:rPr>
        <w:t>Dans le cas où l</w:t>
      </w:r>
      <w:r w:rsidR="005F2EDC">
        <w:rPr>
          <w:rFonts w:eastAsia="MS Mincho"/>
          <w:lang w:val="fr-CH" w:eastAsia="en-US"/>
        </w:rPr>
        <w:t>’</w:t>
      </w:r>
      <w:r w:rsidRPr="00D247CD">
        <w:rPr>
          <w:rFonts w:eastAsia="MS Mincho"/>
          <w:lang w:val="fr-CH" w:eastAsia="en-US"/>
        </w:rPr>
        <w:t>assistance technique sollicitée implique des dépenses, les deux Parties se concerteront pour déterminer la façon la plus équitable d</w:t>
      </w:r>
      <w:r w:rsidR="005F2EDC">
        <w:rPr>
          <w:rFonts w:eastAsia="MS Mincho"/>
          <w:lang w:val="fr-CH" w:eastAsia="en-US"/>
        </w:rPr>
        <w:t>’</w:t>
      </w:r>
      <w:r w:rsidRPr="00D247CD">
        <w:rPr>
          <w:rFonts w:eastAsia="MS Mincho"/>
          <w:lang w:val="fr-CH" w:eastAsia="en-US"/>
        </w:rPr>
        <w:t>y faire face.</w:t>
      </w:r>
    </w:p>
    <w:p w:rsidR="00DF21C6" w:rsidRPr="00D247CD" w:rsidRDefault="00DF21C6" w:rsidP="00637906">
      <w:pPr>
        <w:pStyle w:val="Heading3"/>
        <w:rPr>
          <w:lang w:val="fr-CH"/>
        </w:rPr>
      </w:pPr>
      <w:r w:rsidRPr="00D247CD">
        <w:rPr>
          <w:lang w:val="fr-CH"/>
        </w:rPr>
        <w:t>ARTICLE VIII</w:t>
      </w:r>
      <w:r w:rsidR="00B302C4">
        <w:rPr>
          <w:lang w:val="fr-CH"/>
        </w:rPr>
        <w:br/>
      </w:r>
      <w:r w:rsidRPr="00D247CD">
        <w:rPr>
          <w:lang w:val="fr-CH"/>
        </w:rPr>
        <w:t>ACCORDS COMPLÉMENTAIRES ET DISPOSITIONS ADMINISTRATIVES</w:t>
      </w:r>
    </w:p>
    <w:p w:rsidR="00DF21C6" w:rsidRPr="00D247CD" w:rsidRDefault="00DF21C6" w:rsidP="00DF21C6">
      <w:pPr>
        <w:spacing w:before="240" w:after="240"/>
        <w:rPr>
          <w:lang w:val="fr-CH"/>
        </w:rPr>
      </w:pPr>
      <w:r w:rsidRPr="00D247CD">
        <w:rPr>
          <w:lang w:val="fr-CH"/>
        </w:rPr>
        <w:t>Dans le cadre de la mise en œuvre du présent Mémorandum d</w:t>
      </w:r>
      <w:r w:rsidR="005F2EDC">
        <w:rPr>
          <w:lang w:val="fr-CH"/>
        </w:rPr>
        <w:t>’</w:t>
      </w:r>
      <w:r w:rsidRPr="00D247CD">
        <w:rPr>
          <w:lang w:val="fr-CH"/>
        </w:rPr>
        <w:t>entente, les Parties peuvent conclure des accords complémentaires relatifs à son application ou convenir de dispositions administratives en vue d</w:t>
      </w:r>
      <w:r w:rsidR="005F2EDC">
        <w:rPr>
          <w:lang w:val="fr-CH"/>
        </w:rPr>
        <w:t>’</w:t>
      </w:r>
      <w:r w:rsidRPr="00D247CD">
        <w:rPr>
          <w:lang w:val="fr-CH"/>
        </w:rPr>
        <w:t>assurer une collaboration efficace.</w:t>
      </w:r>
    </w:p>
    <w:p w:rsidR="00DF21C6" w:rsidRPr="00D247CD" w:rsidRDefault="00DF21C6" w:rsidP="00637906">
      <w:pPr>
        <w:pStyle w:val="Heading3"/>
        <w:rPr>
          <w:lang w:val="fr-CH"/>
        </w:rPr>
      </w:pPr>
      <w:r w:rsidRPr="00D247CD">
        <w:rPr>
          <w:lang w:val="fr-CH"/>
        </w:rPr>
        <w:t>ARTICLE IX</w:t>
      </w:r>
      <w:r w:rsidR="00B302C4">
        <w:rPr>
          <w:lang w:val="fr-CH"/>
        </w:rPr>
        <w:br/>
      </w:r>
      <w:r w:rsidRPr="00D247CD">
        <w:rPr>
          <w:lang w:val="fr-CH"/>
        </w:rPr>
        <w:t>CONSULTATIONS ENTRE LES DIRIGEANTS DES DEUX INTITUTIONS</w:t>
      </w:r>
    </w:p>
    <w:p w:rsidR="00DF21C6" w:rsidRPr="00FD3A45" w:rsidRDefault="00DF21C6" w:rsidP="00B302C4">
      <w:pPr>
        <w:pStyle w:val="ListParagraph"/>
        <w:numPr>
          <w:ilvl w:val="0"/>
          <w:numId w:val="20"/>
        </w:numPr>
        <w:spacing w:after="240"/>
        <w:ind w:left="567" w:hanging="567"/>
        <w:contextualSpacing w:val="0"/>
        <w:rPr>
          <w:rFonts w:eastAsia="MS Mincho"/>
          <w:lang w:val="fr-CH" w:eastAsia="en-US"/>
        </w:rPr>
      </w:pPr>
      <w:r w:rsidRPr="00FD3A45">
        <w:rPr>
          <w:rFonts w:eastAsia="MS Mincho"/>
          <w:lang w:val="fr-CH" w:eastAsia="en-US"/>
        </w:rPr>
        <w:t>Le Directeur général de l</w:t>
      </w:r>
      <w:r w:rsidR="005F2EDC">
        <w:rPr>
          <w:rFonts w:eastAsia="MS Mincho"/>
          <w:lang w:val="fr-CH" w:eastAsia="en-US"/>
        </w:rPr>
        <w:t>’</w:t>
      </w:r>
      <w:r w:rsidRPr="00FD3A45">
        <w:rPr>
          <w:rFonts w:eastAsia="MS Mincho"/>
          <w:lang w:val="fr-CH" w:eastAsia="en-US"/>
        </w:rPr>
        <w:t>OMPI et le Président de la Commission de l</w:t>
      </w:r>
      <w:r w:rsidR="005F2EDC">
        <w:rPr>
          <w:rFonts w:eastAsia="MS Mincho"/>
          <w:lang w:val="fr-CH" w:eastAsia="en-US"/>
        </w:rPr>
        <w:t>’</w:t>
      </w:r>
      <w:r w:rsidRPr="00FD3A45">
        <w:rPr>
          <w:rFonts w:eastAsia="MS Mincho"/>
          <w:lang w:val="fr-CH" w:eastAsia="en-US"/>
        </w:rPr>
        <w:t>UEMOA ou leurs représentants se réuniront en tant que de besoin afin d</w:t>
      </w:r>
      <w:r w:rsidR="005F2EDC">
        <w:rPr>
          <w:rFonts w:eastAsia="MS Mincho"/>
          <w:lang w:val="fr-CH" w:eastAsia="en-US"/>
        </w:rPr>
        <w:t>’</w:t>
      </w:r>
      <w:r w:rsidRPr="00FD3A45">
        <w:rPr>
          <w:rFonts w:eastAsia="MS Mincho"/>
          <w:lang w:val="fr-CH" w:eastAsia="en-US"/>
        </w:rPr>
        <w:t>examiner l</w:t>
      </w:r>
      <w:r w:rsidR="005F2EDC">
        <w:rPr>
          <w:rFonts w:eastAsia="MS Mincho"/>
          <w:lang w:val="fr-CH" w:eastAsia="en-US"/>
        </w:rPr>
        <w:t>’</w:t>
      </w:r>
      <w:r w:rsidRPr="00FD3A45">
        <w:rPr>
          <w:rFonts w:eastAsia="MS Mincho"/>
          <w:lang w:val="fr-CH" w:eastAsia="en-US"/>
        </w:rPr>
        <w:t>état d</w:t>
      </w:r>
      <w:r w:rsidR="005F2EDC">
        <w:rPr>
          <w:rFonts w:eastAsia="MS Mincho"/>
          <w:lang w:val="fr-CH" w:eastAsia="en-US"/>
        </w:rPr>
        <w:t>’</w:t>
      </w:r>
      <w:r w:rsidRPr="00FD3A45">
        <w:rPr>
          <w:rFonts w:eastAsia="MS Mincho"/>
          <w:lang w:val="fr-CH" w:eastAsia="en-US"/>
        </w:rPr>
        <w:t>avancement des projets communs aux parti</w:t>
      </w:r>
      <w:r w:rsidR="001B4FE9" w:rsidRPr="00FD3A45">
        <w:rPr>
          <w:rFonts w:eastAsia="MS Mincho"/>
          <w:lang w:val="fr-CH" w:eastAsia="en-US"/>
        </w:rPr>
        <w:t>es</w:t>
      </w:r>
      <w:r w:rsidR="001B4FE9">
        <w:rPr>
          <w:rFonts w:eastAsia="MS Mincho"/>
          <w:lang w:val="fr-CH" w:eastAsia="en-US"/>
        </w:rPr>
        <w:t xml:space="preserve">.  </w:t>
      </w:r>
      <w:r w:rsidR="001B4FE9" w:rsidRPr="00FD3A45">
        <w:rPr>
          <w:rFonts w:eastAsia="MS Mincho"/>
          <w:lang w:val="fr-CH" w:eastAsia="en-US"/>
        </w:rPr>
        <w:t>Ch</w:t>
      </w:r>
      <w:r w:rsidRPr="00FD3A45">
        <w:rPr>
          <w:rFonts w:eastAsia="MS Mincho"/>
          <w:lang w:val="fr-CH" w:eastAsia="en-US"/>
        </w:rPr>
        <w:t>acune des Parties pourra prendre l</w:t>
      </w:r>
      <w:r w:rsidR="005F2EDC">
        <w:rPr>
          <w:rFonts w:eastAsia="MS Mincho"/>
          <w:lang w:val="fr-CH" w:eastAsia="en-US"/>
        </w:rPr>
        <w:t>’</w:t>
      </w:r>
      <w:r w:rsidRPr="00FD3A45">
        <w:rPr>
          <w:rFonts w:eastAsia="MS Mincho"/>
          <w:lang w:val="fr-CH" w:eastAsia="en-US"/>
        </w:rPr>
        <w:t>initiative de la tenue de ces réunions qui se tiendront à Genève ou dans une capitale d</w:t>
      </w:r>
      <w:r w:rsidR="005F2EDC">
        <w:rPr>
          <w:rFonts w:eastAsia="MS Mincho"/>
          <w:lang w:val="fr-CH" w:eastAsia="en-US"/>
        </w:rPr>
        <w:t>’</w:t>
      </w:r>
      <w:r w:rsidRPr="00FD3A45">
        <w:rPr>
          <w:rFonts w:eastAsia="MS Mincho"/>
          <w:lang w:val="fr-CH" w:eastAsia="en-US"/>
        </w:rPr>
        <w:t>un État membre de l</w:t>
      </w:r>
      <w:r w:rsidR="005F2EDC">
        <w:rPr>
          <w:rFonts w:eastAsia="MS Mincho"/>
          <w:lang w:val="fr-CH" w:eastAsia="en-US"/>
        </w:rPr>
        <w:t>’</w:t>
      </w:r>
      <w:r w:rsidRPr="00FD3A45">
        <w:rPr>
          <w:rFonts w:eastAsia="MS Mincho"/>
          <w:lang w:val="fr-CH" w:eastAsia="en-US"/>
        </w:rPr>
        <w:t>UEMOA.</w:t>
      </w:r>
    </w:p>
    <w:p w:rsidR="00DF21C6" w:rsidRPr="00FD3A45" w:rsidRDefault="00DF21C6" w:rsidP="00B302C4">
      <w:pPr>
        <w:pStyle w:val="ListParagraph"/>
        <w:numPr>
          <w:ilvl w:val="0"/>
          <w:numId w:val="20"/>
        </w:numPr>
        <w:spacing w:after="240"/>
        <w:ind w:left="567" w:hanging="567"/>
        <w:contextualSpacing w:val="0"/>
        <w:rPr>
          <w:rFonts w:eastAsia="MS Mincho"/>
          <w:lang w:val="fr-CH" w:eastAsia="en-US"/>
        </w:rPr>
      </w:pPr>
      <w:r w:rsidRPr="00FD3A45">
        <w:rPr>
          <w:rFonts w:eastAsia="MS Mincho"/>
          <w:lang w:val="fr-CH" w:eastAsia="en-US"/>
        </w:rPr>
        <w:t>Des représentants des États membres de l</w:t>
      </w:r>
      <w:r w:rsidR="005F2EDC">
        <w:rPr>
          <w:rFonts w:eastAsia="MS Mincho"/>
          <w:lang w:val="fr-CH" w:eastAsia="en-US"/>
        </w:rPr>
        <w:t>’</w:t>
      </w:r>
      <w:r w:rsidRPr="00FD3A45">
        <w:rPr>
          <w:rFonts w:eastAsia="MS Mincho"/>
          <w:lang w:val="fr-CH" w:eastAsia="en-US"/>
        </w:rPr>
        <w:t>UEMOA pourraient être associés à ces réunions.</w:t>
      </w:r>
    </w:p>
    <w:p w:rsidR="00DF21C6" w:rsidRPr="00D247CD" w:rsidRDefault="00DF21C6" w:rsidP="00637906">
      <w:pPr>
        <w:pStyle w:val="Heading3"/>
        <w:rPr>
          <w:lang w:val="fr-CH"/>
        </w:rPr>
      </w:pPr>
      <w:r w:rsidRPr="00D247CD">
        <w:rPr>
          <w:lang w:val="fr-CH"/>
        </w:rPr>
        <w:t>ARTICLE X</w:t>
      </w:r>
      <w:r w:rsidR="00B302C4">
        <w:rPr>
          <w:lang w:val="fr-CH"/>
        </w:rPr>
        <w:br/>
      </w:r>
      <w:r w:rsidRPr="00D247CD">
        <w:rPr>
          <w:lang w:val="fr-CH"/>
        </w:rPr>
        <w:t>LIMITATION DE RESPONSABILITÉS</w:t>
      </w:r>
    </w:p>
    <w:p w:rsidR="00DF21C6" w:rsidRPr="00D247CD" w:rsidRDefault="00DF21C6" w:rsidP="00B302C4">
      <w:pPr>
        <w:pStyle w:val="ListParagraph"/>
        <w:numPr>
          <w:ilvl w:val="0"/>
          <w:numId w:val="21"/>
        </w:numPr>
        <w:spacing w:after="240"/>
        <w:ind w:left="567" w:hanging="567"/>
        <w:contextualSpacing w:val="0"/>
        <w:rPr>
          <w:rFonts w:eastAsia="MS Mincho"/>
          <w:lang w:val="fr-CH"/>
        </w:rPr>
      </w:pPr>
      <w:r w:rsidRPr="00D247CD">
        <w:rPr>
          <w:rFonts w:eastAsia="MS Mincho"/>
          <w:lang w:val="fr-CH" w:eastAsia="en-US"/>
        </w:rPr>
        <w:t>Le présent Mémorandum d</w:t>
      </w:r>
      <w:r w:rsidR="005F2EDC">
        <w:rPr>
          <w:rFonts w:eastAsia="MS Mincho"/>
          <w:lang w:val="fr-CH" w:eastAsia="en-US"/>
        </w:rPr>
        <w:t>’</w:t>
      </w:r>
      <w:r w:rsidRPr="00D247CD">
        <w:rPr>
          <w:rFonts w:eastAsia="MS Mincho"/>
          <w:lang w:val="fr-CH" w:eastAsia="en-US"/>
        </w:rPr>
        <w:t>entente ne crée aucune co</w:t>
      </w:r>
      <w:r w:rsidR="005F2EDC">
        <w:rPr>
          <w:rFonts w:eastAsia="MS Mincho"/>
          <w:lang w:val="fr-CH" w:eastAsia="en-US"/>
        </w:rPr>
        <w:t>-</w:t>
      </w:r>
      <w:r w:rsidRPr="00D247CD">
        <w:rPr>
          <w:rFonts w:eastAsia="MS Mincho"/>
          <w:lang w:val="fr-CH" w:eastAsia="en-US"/>
        </w:rPr>
        <w:t>entreprise, relation de représentation, ou de joint</w:t>
      </w:r>
      <w:r w:rsidR="005F2EDC">
        <w:rPr>
          <w:rFonts w:eastAsia="MS Mincho"/>
          <w:lang w:val="fr-CH" w:eastAsia="en-US"/>
        </w:rPr>
        <w:t>-</w:t>
      </w:r>
      <w:r w:rsidRPr="00D247CD">
        <w:rPr>
          <w:rFonts w:eastAsia="MS Mincho"/>
          <w:lang w:val="fr-CH" w:eastAsia="en-US"/>
        </w:rPr>
        <w:t>venture entre les Parties.</w:t>
      </w:r>
    </w:p>
    <w:p w:rsidR="00DF21C6" w:rsidRPr="00D247CD" w:rsidRDefault="00DF21C6" w:rsidP="00B302C4">
      <w:pPr>
        <w:pStyle w:val="ListParagraph"/>
        <w:numPr>
          <w:ilvl w:val="0"/>
          <w:numId w:val="21"/>
        </w:numPr>
        <w:spacing w:after="240"/>
        <w:ind w:left="567" w:hanging="567"/>
        <w:contextualSpacing w:val="0"/>
        <w:rPr>
          <w:rFonts w:eastAsia="MS Mincho"/>
          <w:lang w:val="fr-CH"/>
        </w:rPr>
      </w:pPr>
      <w:r w:rsidRPr="00D247CD">
        <w:rPr>
          <w:rFonts w:eastAsia="MS Mincho"/>
          <w:lang w:val="fr-CH" w:eastAsia="en-US"/>
        </w:rPr>
        <w:t>Il reste entendu que chacune des Parties est distincte et indépendante de l</w:t>
      </w:r>
      <w:r w:rsidR="005F2EDC">
        <w:rPr>
          <w:rFonts w:eastAsia="MS Mincho"/>
          <w:lang w:val="fr-CH" w:eastAsia="en-US"/>
        </w:rPr>
        <w:t>’</w:t>
      </w:r>
      <w:r w:rsidRPr="00D247CD">
        <w:rPr>
          <w:rFonts w:eastAsia="MS Mincho"/>
          <w:lang w:val="fr-CH" w:eastAsia="en-US"/>
        </w:rPr>
        <w:t>autre Partie et qu</w:t>
      </w:r>
      <w:r w:rsidR="005F2EDC">
        <w:rPr>
          <w:rFonts w:eastAsia="MS Mincho"/>
          <w:lang w:val="fr-CH" w:eastAsia="en-US"/>
        </w:rPr>
        <w:t>’</w:t>
      </w:r>
      <w:r w:rsidRPr="00D247CD">
        <w:rPr>
          <w:rFonts w:eastAsia="MS Mincho"/>
          <w:lang w:val="fr-CH" w:eastAsia="en-US"/>
        </w:rPr>
        <w:t>aucune n</w:t>
      </w:r>
      <w:r w:rsidR="005F2EDC">
        <w:rPr>
          <w:rFonts w:eastAsia="MS Mincho"/>
          <w:lang w:val="fr-CH" w:eastAsia="en-US"/>
        </w:rPr>
        <w:t>’</w:t>
      </w:r>
      <w:r w:rsidRPr="00D247CD">
        <w:rPr>
          <w:rFonts w:eastAsia="MS Mincho"/>
          <w:lang w:val="fr-CH" w:eastAsia="en-US"/>
        </w:rPr>
        <w:t>est autorisée à faire des offres ou agir au nom de l</w:t>
      </w:r>
      <w:r w:rsidR="005F2EDC">
        <w:rPr>
          <w:rFonts w:eastAsia="MS Mincho"/>
          <w:lang w:val="fr-CH" w:eastAsia="en-US"/>
        </w:rPr>
        <w:t>’</w:t>
      </w:r>
      <w:r w:rsidRPr="00D247CD">
        <w:rPr>
          <w:rFonts w:eastAsia="MS Mincho"/>
          <w:lang w:val="fr-CH" w:eastAsia="en-US"/>
        </w:rPr>
        <w:t>autre Partie, sauf en cas d</w:t>
      </w:r>
      <w:r w:rsidR="005F2EDC">
        <w:rPr>
          <w:rFonts w:eastAsia="MS Mincho"/>
          <w:lang w:val="fr-CH" w:eastAsia="en-US"/>
        </w:rPr>
        <w:t>’</w:t>
      </w:r>
      <w:r w:rsidRPr="00D247CD">
        <w:rPr>
          <w:rFonts w:eastAsia="MS Mincho"/>
          <w:lang w:val="fr-CH" w:eastAsia="en-US"/>
        </w:rPr>
        <w:t>accord écrit spécifiq</w:t>
      </w:r>
      <w:r w:rsidR="001B4FE9" w:rsidRPr="00D247CD">
        <w:rPr>
          <w:rFonts w:eastAsia="MS Mincho"/>
          <w:lang w:val="fr-CH" w:eastAsia="en-US"/>
        </w:rPr>
        <w:t>ue</w:t>
      </w:r>
      <w:r w:rsidR="001B4FE9">
        <w:rPr>
          <w:rFonts w:eastAsia="MS Mincho"/>
          <w:lang w:val="fr-CH" w:eastAsia="en-US"/>
        </w:rPr>
        <w:t xml:space="preserve">.  </w:t>
      </w:r>
      <w:r w:rsidR="001B4FE9" w:rsidRPr="00D247CD">
        <w:rPr>
          <w:rFonts w:eastAsia="MS Mincho"/>
          <w:lang w:val="fr-CH" w:eastAsia="en-US"/>
        </w:rPr>
        <w:t>Ch</w:t>
      </w:r>
      <w:r w:rsidRPr="00D247CD">
        <w:rPr>
          <w:rFonts w:eastAsia="MS Mincho"/>
          <w:lang w:val="fr-CH" w:eastAsia="en-US"/>
        </w:rPr>
        <w:t>acune des Parties conserve sa propre identité et est responsable de la définition de ses propres politiques, de ses actes et omissions en relation avec le présent Mémorandum.</w:t>
      </w:r>
    </w:p>
    <w:p w:rsidR="00DF21C6" w:rsidRPr="00D247CD" w:rsidRDefault="00DF21C6" w:rsidP="00637906">
      <w:pPr>
        <w:pStyle w:val="Heading3"/>
        <w:rPr>
          <w:lang w:val="fr-CH"/>
        </w:rPr>
      </w:pPr>
      <w:r w:rsidRPr="00D247CD">
        <w:rPr>
          <w:lang w:val="fr-CH"/>
        </w:rPr>
        <w:t>ARTICLE XI</w:t>
      </w:r>
      <w:r w:rsidR="00B302C4">
        <w:rPr>
          <w:lang w:val="fr-CH"/>
        </w:rPr>
        <w:br/>
      </w:r>
      <w:r w:rsidRPr="00D247CD">
        <w:rPr>
          <w:lang w:val="fr-CH"/>
        </w:rPr>
        <w:t>INTÉGRALITÉ</w:t>
      </w:r>
    </w:p>
    <w:p w:rsidR="00DF21C6" w:rsidRPr="00200FA6" w:rsidRDefault="00DF21C6" w:rsidP="00DF21C6">
      <w:pPr>
        <w:spacing w:before="240" w:after="240"/>
        <w:rPr>
          <w:lang w:val="fr-CH"/>
        </w:rPr>
      </w:pPr>
      <w:r w:rsidRPr="00200FA6">
        <w:rPr>
          <w:lang w:val="fr-CH"/>
        </w:rPr>
        <w:t>Le présent Mémorandum d</w:t>
      </w:r>
      <w:r w:rsidR="005F2EDC">
        <w:rPr>
          <w:lang w:val="fr-CH"/>
        </w:rPr>
        <w:t>’</w:t>
      </w:r>
      <w:r w:rsidRPr="00200FA6">
        <w:rPr>
          <w:lang w:val="fr-CH"/>
        </w:rPr>
        <w:t>entente constitue l</w:t>
      </w:r>
      <w:r w:rsidR="005F2EDC">
        <w:rPr>
          <w:lang w:val="fr-CH"/>
        </w:rPr>
        <w:t>’</w:t>
      </w:r>
      <w:r w:rsidRPr="00200FA6">
        <w:rPr>
          <w:lang w:val="fr-CH"/>
        </w:rPr>
        <w:t>intégralité de ce qui est convenu entre les Parties concernant les projets et activités qui font l</w:t>
      </w:r>
      <w:r w:rsidR="005F2EDC">
        <w:rPr>
          <w:lang w:val="fr-CH"/>
        </w:rPr>
        <w:t>’</w:t>
      </w:r>
      <w:r w:rsidRPr="00200FA6">
        <w:rPr>
          <w:lang w:val="fr-CH"/>
        </w:rPr>
        <w:t>objet du présent Mémorand</w:t>
      </w:r>
      <w:r w:rsidR="001B4FE9" w:rsidRPr="00200FA6">
        <w:rPr>
          <w:lang w:val="fr-CH"/>
        </w:rPr>
        <w:t>um</w:t>
      </w:r>
      <w:r w:rsidR="001B4FE9">
        <w:rPr>
          <w:lang w:val="fr-CH"/>
        </w:rPr>
        <w:t xml:space="preserve">.  </w:t>
      </w:r>
      <w:r w:rsidR="001B4FE9" w:rsidRPr="00200FA6">
        <w:rPr>
          <w:lang w:val="fr-CH"/>
        </w:rPr>
        <w:t>Il</w:t>
      </w:r>
      <w:r w:rsidRPr="00200FA6">
        <w:rPr>
          <w:lang w:val="fr-CH"/>
        </w:rPr>
        <w:t xml:space="preserve"> remplace et annule tout accord antérieur convenu par les Parties à cet égard, et notamment le Mémorandum d</w:t>
      </w:r>
      <w:r w:rsidR="005F2EDC">
        <w:rPr>
          <w:lang w:val="fr-CH"/>
        </w:rPr>
        <w:t>’</w:t>
      </w:r>
      <w:r w:rsidRPr="00200FA6">
        <w:rPr>
          <w:lang w:val="fr-CH"/>
        </w:rPr>
        <w:t>entente signé entre les Parties le 1</w:t>
      </w:r>
      <w:r w:rsidR="005F2EDC" w:rsidRPr="00200FA6">
        <w:rPr>
          <w:lang w:val="fr-CH"/>
        </w:rPr>
        <w:t>8</w:t>
      </w:r>
      <w:r w:rsidR="005F2EDC">
        <w:rPr>
          <w:lang w:val="fr-CH"/>
        </w:rPr>
        <w:t> </w:t>
      </w:r>
      <w:r w:rsidR="005F2EDC" w:rsidRPr="00200FA6">
        <w:rPr>
          <w:lang w:val="fr-CH"/>
        </w:rPr>
        <w:t>février</w:t>
      </w:r>
      <w:r w:rsidR="005F2EDC">
        <w:rPr>
          <w:lang w:val="fr-CH"/>
        </w:rPr>
        <w:t> </w:t>
      </w:r>
      <w:r w:rsidR="005F2EDC" w:rsidRPr="00200FA6">
        <w:rPr>
          <w:lang w:val="fr-CH"/>
        </w:rPr>
        <w:t>20</w:t>
      </w:r>
      <w:r w:rsidRPr="00200FA6">
        <w:rPr>
          <w:lang w:val="fr-CH"/>
        </w:rPr>
        <w:t>11.</w:t>
      </w:r>
    </w:p>
    <w:p w:rsidR="00DF21C6" w:rsidRPr="00D247CD" w:rsidRDefault="00DF21C6" w:rsidP="00637906">
      <w:pPr>
        <w:pStyle w:val="Heading3"/>
        <w:rPr>
          <w:lang w:val="fr-CH"/>
        </w:rPr>
      </w:pPr>
      <w:r w:rsidRPr="00D247CD">
        <w:rPr>
          <w:lang w:val="fr-CH"/>
        </w:rPr>
        <w:t>ARTICLE XII</w:t>
      </w:r>
      <w:r w:rsidR="00B302C4">
        <w:rPr>
          <w:lang w:val="fr-CH"/>
        </w:rPr>
        <w:br/>
      </w:r>
      <w:r w:rsidRPr="00D247CD">
        <w:rPr>
          <w:lang w:val="fr-CH"/>
        </w:rPr>
        <w:t>RÈGLEMENTS DES DIFFÉRENDS</w:t>
      </w:r>
    </w:p>
    <w:p w:rsidR="00DF21C6" w:rsidRPr="00D247CD" w:rsidRDefault="00DF21C6" w:rsidP="00DF21C6">
      <w:pPr>
        <w:spacing w:before="240" w:after="240"/>
        <w:rPr>
          <w:lang w:val="fr-CH"/>
        </w:rPr>
      </w:pPr>
      <w:r w:rsidRPr="00D247CD">
        <w:rPr>
          <w:lang w:val="fr-CH"/>
        </w:rPr>
        <w:t>Tout différend né de l</w:t>
      </w:r>
      <w:r w:rsidR="005F2EDC">
        <w:rPr>
          <w:lang w:val="fr-CH"/>
        </w:rPr>
        <w:t>’</w:t>
      </w:r>
      <w:r w:rsidRPr="00D247CD">
        <w:rPr>
          <w:lang w:val="fr-CH"/>
        </w:rPr>
        <w:t>interprétation et/ou de l</w:t>
      </w:r>
      <w:r w:rsidR="005F2EDC">
        <w:rPr>
          <w:lang w:val="fr-CH"/>
        </w:rPr>
        <w:t>’</w:t>
      </w:r>
      <w:r w:rsidRPr="00D247CD">
        <w:rPr>
          <w:lang w:val="fr-CH"/>
        </w:rPr>
        <w:t>application du présent Mémorandum d</w:t>
      </w:r>
      <w:r w:rsidR="005F2EDC">
        <w:rPr>
          <w:lang w:val="fr-CH"/>
        </w:rPr>
        <w:t>’</w:t>
      </w:r>
      <w:r w:rsidRPr="00D247CD">
        <w:rPr>
          <w:lang w:val="fr-CH"/>
        </w:rPr>
        <w:t>entente sera réglé à l</w:t>
      </w:r>
      <w:r w:rsidR="005F2EDC">
        <w:rPr>
          <w:lang w:val="fr-CH"/>
        </w:rPr>
        <w:t>’</w:t>
      </w:r>
      <w:r w:rsidRPr="00D247CD">
        <w:rPr>
          <w:lang w:val="fr-CH"/>
        </w:rPr>
        <w:t>amiable.</w:t>
      </w:r>
    </w:p>
    <w:p w:rsidR="00DF21C6" w:rsidRPr="00D247CD" w:rsidRDefault="00DF21C6" w:rsidP="00637906">
      <w:pPr>
        <w:pStyle w:val="Heading3"/>
        <w:rPr>
          <w:lang w:val="fr-CH"/>
        </w:rPr>
      </w:pPr>
      <w:r w:rsidRPr="00D247CD">
        <w:rPr>
          <w:lang w:val="fr-CH"/>
        </w:rPr>
        <w:lastRenderedPageBreak/>
        <w:t>ARTICLE XIII</w:t>
      </w:r>
      <w:r w:rsidR="00B302C4">
        <w:rPr>
          <w:lang w:val="fr-CH"/>
        </w:rPr>
        <w:br/>
      </w:r>
      <w:r w:rsidRPr="00D247CD">
        <w:rPr>
          <w:lang w:val="fr-CH"/>
        </w:rPr>
        <w:t>AMENDEMENTS ET DÉNONCIATION</w:t>
      </w:r>
    </w:p>
    <w:p w:rsidR="00DF21C6" w:rsidRPr="00D247CD" w:rsidRDefault="00DF21C6" w:rsidP="00B302C4">
      <w:pPr>
        <w:pStyle w:val="ListParagraph"/>
        <w:numPr>
          <w:ilvl w:val="0"/>
          <w:numId w:val="22"/>
        </w:numPr>
        <w:spacing w:after="240"/>
        <w:ind w:left="567" w:hanging="567"/>
        <w:contextualSpacing w:val="0"/>
        <w:rPr>
          <w:rFonts w:eastAsia="MS Mincho"/>
          <w:lang w:val="fr-CH"/>
        </w:rPr>
      </w:pPr>
      <w:r w:rsidRPr="00D247CD">
        <w:rPr>
          <w:rFonts w:eastAsia="MS Mincho"/>
          <w:lang w:val="fr-CH" w:eastAsia="en-US"/>
        </w:rPr>
        <w:t>Le présent Mémorandum d</w:t>
      </w:r>
      <w:r w:rsidR="005F2EDC">
        <w:rPr>
          <w:rFonts w:eastAsia="MS Mincho"/>
          <w:lang w:val="fr-CH" w:eastAsia="en-US"/>
        </w:rPr>
        <w:t>’</w:t>
      </w:r>
      <w:r w:rsidRPr="00D247CD">
        <w:rPr>
          <w:rFonts w:eastAsia="MS Mincho"/>
          <w:lang w:val="fr-CH" w:eastAsia="en-US"/>
        </w:rPr>
        <w:t>entente pourra être amendé d</w:t>
      </w:r>
      <w:r w:rsidR="005F2EDC">
        <w:rPr>
          <w:rFonts w:eastAsia="MS Mincho"/>
          <w:lang w:val="fr-CH" w:eastAsia="en-US"/>
        </w:rPr>
        <w:t>’</w:t>
      </w:r>
      <w:r w:rsidRPr="00D247CD">
        <w:rPr>
          <w:rFonts w:eastAsia="MS Mincho"/>
          <w:lang w:val="fr-CH" w:eastAsia="en-US"/>
        </w:rPr>
        <w:t>un commun accord entre les Parties, par simple échange de lettres.</w:t>
      </w:r>
    </w:p>
    <w:p w:rsidR="00DF21C6" w:rsidRPr="00D247CD" w:rsidRDefault="00DF21C6" w:rsidP="00B302C4">
      <w:pPr>
        <w:pStyle w:val="ListParagraph"/>
        <w:numPr>
          <w:ilvl w:val="0"/>
          <w:numId w:val="22"/>
        </w:numPr>
        <w:spacing w:after="240"/>
        <w:ind w:left="567" w:hanging="567"/>
        <w:contextualSpacing w:val="0"/>
        <w:rPr>
          <w:rFonts w:eastAsia="MS Mincho"/>
          <w:lang w:val="fr-CH"/>
        </w:rPr>
      </w:pPr>
      <w:r w:rsidRPr="00D247CD">
        <w:rPr>
          <w:rFonts w:eastAsia="MS Mincho"/>
          <w:lang w:val="fr-CH" w:eastAsia="en-US"/>
        </w:rPr>
        <w:t>Il pourra, en outre, être dénoncé par l</w:t>
      </w:r>
      <w:r w:rsidR="005F2EDC">
        <w:rPr>
          <w:rFonts w:eastAsia="MS Mincho"/>
          <w:lang w:val="fr-CH" w:eastAsia="en-US"/>
        </w:rPr>
        <w:t>’</w:t>
      </w:r>
      <w:r w:rsidRPr="00D247CD">
        <w:rPr>
          <w:rFonts w:eastAsia="MS Mincho"/>
          <w:lang w:val="fr-CH" w:eastAsia="en-US"/>
        </w:rPr>
        <w:t>une ou l</w:t>
      </w:r>
      <w:r w:rsidR="005F2EDC">
        <w:rPr>
          <w:rFonts w:eastAsia="MS Mincho"/>
          <w:lang w:val="fr-CH" w:eastAsia="en-US"/>
        </w:rPr>
        <w:t>’</w:t>
      </w:r>
      <w:r w:rsidRPr="00D247CD">
        <w:rPr>
          <w:rFonts w:eastAsia="MS Mincho"/>
          <w:lang w:val="fr-CH" w:eastAsia="en-US"/>
        </w:rPr>
        <w:t>autre Partie, sous réserve du respect d</w:t>
      </w:r>
      <w:r w:rsidR="005F2EDC">
        <w:rPr>
          <w:rFonts w:eastAsia="MS Mincho"/>
          <w:lang w:val="fr-CH" w:eastAsia="en-US"/>
        </w:rPr>
        <w:t>’</w:t>
      </w:r>
      <w:r w:rsidRPr="00D247CD">
        <w:rPr>
          <w:rFonts w:eastAsia="MS Mincho"/>
          <w:lang w:val="fr-CH" w:eastAsia="en-US"/>
        </w:rPr>
        <w:t>un préavis d</w:t>
      </w:r>
      <w:r w:rsidR="005F2EDC">
        <w:rPr>
          <w:rFonts w:eastAsia="MS Mincho"/>
          <w:lang w:val="fr-CH" w:eastAsia="en-US"/>
        </w:rPr>
        <w:t>’</w:t>
      </w:r>
      <w:r w:rsidRPr="00D247CD">
        <w:rPr>
          <w:rFonts w:eastAsia="MS Mincho"/>
          <w:lang w:val="fr-CH" w:eastAsia="en-US"/>
        </w:rPr>
        <w:t>au moins trois (3) mois, notifié à l</w:t>
      </w:r>
      <w:r w:rsidR="005F2EDC">
        <w:rPr>
          <w:rFonts w:eastAsia="MS Mincho"/>
          <w:lang w:val="fr-CH" w:eastAsia="en-US"/>
        </w:rPr>
        <w:t>’</w:t>
      </w:r>
      <w:r w:rsidRPr="00D247CD">
        <w:rPr>
          <w:rFonts w:eastAsia="MS Mincho"/>
          <w:lang w:val="fr-CH" w:eastAsia="en-US"/>
        </w:rPr>
        <w:t>autre Partie, sans préjudice de la poursuite des activités en cours.</w:t>
      </w:r>
    </w:p>
    <w:p w:rsidR="00DF21C6" w:rsidRPr="00D247CD" w:rsidRDefault="00DF21C6" w:rsidP="00637906">
      <w:pPr>
        <w:pStyle w:val="Heading3"/>
        <w:rPr>
          <w:lang w:val="fr-CH"/>
        </w:rPr>
      </w:pPr>
      <w:r w:rsidRPr="00D247CD">
        <w:rPr>
          <w:lang w:val="fr-CH"/>
        </w:rPr>
        <w:t>ARTICLE XIV</w:t>
      </w:r>
      <w:r w:rsidR="00B302C4">
        <w:rPr>
          <w:lang w:val="fr-CH"/>
        </w:rPr>
        <w:br/>
      </w:r>
      <w:r w:rsidRPr="00D247CD">
        <w:rPr>
          <w:lang w:val="fr-CH"/>
        </w:rPr>
        <w:t>ENTRÉE EN VIGUEUR</w:t>
      </w:r>
    </w:p>
    <w:p w:rsidR="00DF21C6" w:rsidRPr="00D247CD" w:rsidRDefault="00DF21C6" w:rsidP="00DF21C6">
      <w:pPr>
        <w:spacing w:before="240" w:after="240"/>
        <w:rPr>
          <w:lang w:val="fr-CH"/>
        </w:rPr>
      </w:pPr>
      <w:r w:rsidRPr="00D247CD">
        <w:rPr>
          <w:lang w:val="fr-CH"/>
        </w:rPr>
        <w:t>Le présent Mémorandum d</w:t>
      </w:r>
      <w:r w:rsidR="005F2EDC">
        <w:rPr>
          <w:lang w:val="fr-CH"/>
        </w:rPr>
        <w:t>’</w:t>
      </w:r>
      <w:r w:rsidRPr="00D247CD">
        <w:rPr>
          <w:lang w:val="fr-CH"/>
        </w:rPr>
        <w:t>entente entre en vigueur à la date de sa signature par les autorités compétentes de chaque Partie.</w:t>
      </w:r>
    </w:p>
    <w:p w:rsidR="00DF21C6" w:rsidRPr="00D247CD" w:rsidRDefault="00DF21C6" w:rsidP="00637906">
      <w:pPr>
        <w:pStyle w:val="Heading3"/>
        <w:rPr>
          <w:lang w:val="fr-CH"/>
        </w:rPr>
      </w:pPr>
      <w:r w:rsidRPr="00D247CD">
        <w:rPr>
          <w:lang w:val="fr-CH"/>
        </w:rPr>
        <w:t>ARTICLE XV</w:t>
      </w:r>
      <w:r w:rsidR="00B302C4">
        <w:rPr>
          <w:lang w:val="fr-CH"/>
        </w:rPr>
        <w:br/>
      </w:r>
      <w:r w:rsidRPr="00D247CD">
        <w:rPr>
          <w:lang w:val="fr-CH"/>
        </w:rPr>
        <w:t>PRIVILÈGES ET IMMUNITÉS</w:t>
      </w:r>
    </w:p>
    <w:p w:rsidR="00DF21C6" w:rsidRPr="00D247CD" w:rsidRDefault="00DF21C6" w:rsidP="00DF21C6">
      <w:pPr>
        <w:spacing w:before="240" w:after="480"/>
        <w:rPr>
          <w:lang w:val="fr-CH"/>
        </w:rPr>
      </w:pPr>
      <w:r w:rsidRPr="00617A49">
        <w:rPr>
          <w:lang w:val="fr-CH"/>
        </w:rPr>
        <w:t>Aucune disposition du présent Mémorandum d</w:t>
      </w:r>
      <w:r w:rsidR="005F2EDC">
        <w:rPr>
          <w:lang w:val="fr-CH"/>
        </w:rPr>
        <w:t>’</w:t>
      </w:r>
      <w:r w:rsidRPr="00617A49">
        <w:rPr>
          <w:lang w:val="fr-CH"/>
        </w:rPr>
        <w:t>entente ne saurait s</w:t>
      </w:r>
      <w:r w:rsidR="005F2EDC">
        <w:rPr>
          <w:lang w:val="fr-CH"/>
        </w:rPr>
        <w:t>’</w:t>
      </w:r>
      <w:r w:rsidRPr="00617A49">
        <w:rPr>
          <w:lang w:val="fr-CH"/>
        </w:rPr>
        <w:t>interpréter comme une renonciation à l</w:t>
      </w:r>
      <w:r w:rsidR="005F2EDC">
        <w:rPr>
          <w:lang w:val="fr-CH"/>
        </w:rPr>
        <w:t>’</w:t>
      </w:r>
      <w:r w:rsidRPr="00617A49">
        <w:rPr>
          <w:lang w:val="fr-CH"/>
        </w:rPr>
        <w:t>un des quelconques privilèges ou immunités dont jouit l</w:t>
      </w:r>
      <w:r w:rsidR="005F2EDC">
        <w:rPr>
          <w:lang w:val="fr-CH"/>
        </w:rPr>
        <w:t>’</w:t>
      </w:r>
      <w:r w:rsidRPr="00617A49">
        <w:rPr>
          <w:lang w:val="fr-CH"/>
        </w:rPr>
        <w:t>OMPI en sa qualité d</w:t>
      </w:r>
      <w:r w:rsidR="005F2EDC">
        <w:rPr>
          <w:lang w:val="fr-CH"/>
        </w:rPr>
        <w:t>’</w:t>
      </w:r>
      <w:r w:rsidRPr="00617A49">
        <w:rPr>
          <w:lang w:val="fr-CH"/>
        </w:rPr>
        <w:t>organisation internationale et d</w:t>
      </w:r>
      <w:r w:rsidR="005F2EDC">
        <w:rPr>
          <w:lang w:val="fr-CH"/>
        </w:rPr>
        <w:t>’</w:t>
      </w:r>
      <w:r w:rsidRPr="00617A49">
        <w:rPr>
          <w:lang w:val="fr-CH"/>
        </w:rPr>
        <w:t xml:space="preserve">agence spécialisée des </w:t>
      </w:r>
      <w:r w:rsidR="005F2EDC">
        <w:rPr>
          <w:lang w:val="fr-CH"/>
        </w:rPr>
        <w:t>Nations Unies</w:t>
      </w:r>
      <w:r w:rsidRPr="00617A49">
        <w:rPr>
          <w:lang w:val="fr-CH"/>
        </w:rPr>
        <w:t>.</w:t>
      </w:r>
    </w:p>
    <w:p w:rsidR="00DF21C6" w:rsidRPr="00FD3A45" w:rsidRDefault="00DF21C6" w:rsidP="00DF21C6">
      <w:pPr>
        <w:spacing w:after="840"/>
        <w:outlineLvl w:val="0"/>
        <w:rPr>
          <w:rFonts w:eastAsia="MS Mincho"/>
          <w:lang w:val="fr-CH" w:eastAsia="en-US"/>
        </w:rPr>
      </w:pPr>
      <w:r w:rsidRPr="00FD3A45">
        <w:rPr>
          <w:rFonts w:eastAsia="MS Mincho"/>
          <w:lang w:val="fr-CH" w:eastAsia="en-US"/>
        </w:rPr>
        <w:t>Fait à Genève, le ………………………2018, en deux</w:t>
      </w:r>
      <w:r w:rsidR="00D4203F">
        <w:rPr>
          <w:rFonts w:eastAsia="MS Mincho"/>
          <w:lang w:val="fr-CH" w:eastAsia="en-US"/>
        </w:rPr>
        <w:t> </w:t>
      </w:r>
      <w:r w:rsidRPr="00FD3A45">
        <w:rPr>
          <w:rFonts w:eastAsia="MS Mincho"/>
          <w:lang w:val="fr-CH" w:eastAsia="en-US"/>
        </w:rPr>
        <w:t>exemplaires originaux en langue française.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F21C6" w:rsidRPr="001B4215" w:rsidTr="00381B3D">
        <w:tc>
          <w:tcPr>
            <w:tcW w:w="4785" w:type="dxa"/>
          </w:tcPr>
          <w:p w:rsidR="00DF21C6" w:rsidRDefault="00DF21C6" w:rsidP="00381B3D">
            <w:pPr>
              <w:spacing w:after="840"/>
              <w:rPr>
                <w:sz w:val="20"/>
                <w:lang w:val="fr-CH"/>
              </w:rPr>
            </w:pPr>
            <w:r w:rsidRPr="00FD3A45">
              <w:rPr>
                <w:rFonts w:eastAsia="MS Mincho"/>
                <w:lang w:val="fr-CH" w:eastAsia="en-US"/>
              </w:rPr>
              <w:t>Pour l</w:t>
            </w:r>
            <w:r w:rsidR="005F2EDC">
              <w:rPr>
                <w:rFonts w:eastAsia="MS Mincho"/>
                <w:lang w:val="fr-CH" w:eastAsia="en-US"/>
              </w:rPr>
              <w:t>’</w:t>
            </w:r>
            <w:r w:rsidRPr="00FD3A45">
              <w:rPr>
                <w:rFonts w:eastAsia="MS Mincho"/>
                <w:lang w:val="fr-CH" w:eastAsia="en-US"/>
              </w:rPr>
              <w:t>Union économique et monétaire ouest africaine (UEMOA</w:t>
            </w:r>
            <w:r>
              <w:rPr>
                <w:rFonts w:eastAsia="MS Mincho"/>
                <w:lang w:val="fr-CH" w:eastAsia="en-US"/>
              </w:rPr>
              <w:t>)</w:t>
            </w:r>
          </w:p>
        </w:tc>
        <w:tc>
          <w:tcPr>
            <w:tcW w:w="4786" w:type="dxa"/>
          </w:tcPr>
          <w:p w:rsidR="00DF21C6" w:rsidRPr="00FD3A45" w:rsidRDefault="00DF21C6" w:rsidP="00381B3D">
            <w:pPr>
              <w:tabs>
                <w:tab w:val="left" w:pos="1080"/>
                <w:tab w:val="left" w:pos="5760"/>
              </w:tabs>
              <w:adjustRightInd w:val="0"/>
              <w:snapToGrid w:val="0"/>
              <w:rPr>
                <w:rFonts w:eastAsia="MS Mincho"/>
                <w:lang w:val="fr-CH" w:eastAsia="en-US"/>
              </w:rPr>
            </w:pPr>
            <w:r w:rsidRPr="00FD3A45">
              <w:rPr>
                <w:rFonts w:eastAsia="MS Mincho"/>
                <w:lang w:val="fr-CH" w:eastAsia="en-US"/>
              </w:rPr>
              <w:t>Pour l</w:t>
            </w:r>
            <w:r w:rsidR="005F2EDC">
              <w:rPr>
                <w:rFonts w:eastAsia="MS Mincho"/>
                <w:lang w:val="fr-CH" w:eastAsia="en-US"/>
              </w:rPr>
              <w:t>’</w:t>
            </w:r>
            <w:r w:rsidRPr="00FD3A45">
              <w:rPr>
                <w:rFonts w:eastAsia="MS Mincho"/>
                <w:lang w:val="fr-CH" w:eastAsia="en-US"/>
              </w:rPr>
              <w:t>Organisation Mondiale de la</w:t>
            </w:r>
          </w:p>
          <w:p w:rsidR="00DF21C6" w:rsidRDefault="00DF21C6" w:rsidP="00381B3D">
            <w:pPr>
              <w:tabs>
                <w:tab w:val="left" w:pos="1080"/>
                <w:tab w:val="left" w:pos="5760"/>
              </w:tabs>
              <w:adjustRightInd w:val="0"/>
              <w:snapToGrid w:val="0"/>
              <w:rPr>
                <w:sz w:val="20"/>
                <w:lang w:val="fr-CH"/>
              </w:rPr>
            </w:pPr>
            <w:r>
              <w:rPr>
                <w:rFonts w:eastAsia="MS Mincho"/>
                <w:lang w:val="fr-CH" w:eastAsia="en-US"/>
              </w:rPr>
              <w:t>P</w:t>
            </w:r>
            <w:r w:rsidRPr="00FD3A45">
              <w:rPr>
                <w:rFonts w:eastAsia="MS Mincho"/>
                <w:lang w:val="fr-CH" w:eastAsia="en-US"/>
              </w:rPr>
              <w:t>ropriété Intellectuelle (OMPI)</w:t>
            </w:r>
          </w:p>
        </w:tc>
      </w:tr>
      <w:tr w:rsidR="00DF21C6" w:rsidTr="00381B3D">
        <w:tc>
          <w:tcPr>
            <w:tcW w:w="4785" w:type="dxa"/>
          </w:tcPr>
          <w:p w:rsidR="005F2EDC" w:rsidRDefault="00DF21C6" w:rsidP="00381B3D">
            <w:pPr>
              <w:rPr>
                <w:rFonts w:eastAsia="MS Mincho"/>
                <w:lang w:val="fr-CH" w:eastAsia="en-US"/>
              </w:rPr>
            </w:pPr>
            <w:r w:rsidRPr="00FD3A45">
              <w:rPr>
                <w:rFonts w:eastAsia="MS Mincho"/>
                <w:lang w:val="fr-CH" w:eastAsia="en-US"/>
              </w:rPr>
              <w:t>Abdallah</w:t>
            </w:r>
            <w:r w:rsidR="00EA05D6">
              <w:rPr>
                <w:rFonts w:eastAsia="MS Mincho"/>
                <w:lang w:val="fr-CH" w:eastAsia="en-US"/>
              </w:rPr>
              <w:t> </w:t>
            </w:r>
            <w:proofErr w:type="spellStart"/>
            <w:r w:rsidRPr="00FD3A45">
              <w:rPr>
                <w:rFonts w:eastAsia="MS Mincho"/>
                <w:lang w:val="fr-CH" w:eastAsia="en-US"/>
              </w:rPr>
              <w:t>Soureima</w:t>
            </w:r>
            <w:proofErr w:type="spellEnd"/>
          </w:p>
          <w:p w:rsidR="00DF21C6" w:rsidRPr="00FD3A45" w:rsidRDefault="00DF21C6" w:rsidP="00381B3D">
            <w:pPr>
              <w:spacing w:after="960"/>
              <w:rPr>
                <w:rFonts w:eastAsia="MS Mincho"/>
                <w:lang w:val="fr-CH" w:eastAsia="en-US"/>
              </w:rPr>
            </w:pPr>
            <w:r w:rsidRPr="00FD3A45">
              <w:rPr>
                <w:rFonts w:eastAsia="MS Mincho"/>
                <w:lang w:val="fr-CH" w:eastAsia="en-US"/>
              </w:rPr>
              <w:t>Président de la Commission</w:t>
            </w:r>
          </w:p>
        </w:tc>
        <w:tc>
          <w:tcPr>
            <w:tcW w:w="4786" w:type="dxa"/>
          </w:tcPr>
          <w:p w:rsidR="00DF21C6" w:rsidRPr="00FD3A45" w:rsidRDefault="00DF21C6" w:rsidP="00381B3D">
            <w:pPr>
              <w:tabs>
                <w:tab w:val="left" w:pos="5580"/>
                <w:tab w:val="left" w:pos="5760"/>
              </w:tabs>
              <w:rPr>
                <w:rFonts w:eastAsia="MS Mincho"/>
                <w:color w:val="000000"/>
                <w:lang w:val="fr-CH" w:eastAsia="en-US"/>
              </w:rPr>
            </w:pPr>
            <w:r w:rsidRPr="00FD3A45">
              <w:rPr>
                <w:rFonts w:eastAsia="MS Mincho"/>
                <w:color w:val="000000"/>
                <w:lang w:val="fr-CH" w:eastAsia="en-US"/>
              </w:rPr>
              <w:t>Francis</w:t>
            </w:r>
            <w:r w:rsidR="00EA05D6">
              <w:rPr>
                <w:rFonts w:eastAsia="MS Mincho"/>
                <w:lang w:val="fr-CH" w:eastAsia="en-US"/>
              </w:rPr>
              <w:t> </w:t>
            </w:r>
            <w:r w:rsidRPr="00FD3A45">
              <w:rPr>
                <w:rFonts w:eastAsia="MS Mincho"/>
                <w:color w:val="000000"/>
                <w:lang w:val="fr-CH" w:eastAsia="en-US"/>
              </w:rPr>
              <w:t>Gurry</w:t>
            </w:r>
          </w:p>
          <w:p w:rsidR="00DF21C6" w:rsidRPr="00FD3A45" w:rsidRDefault="00DF21C6" w:rsidP="00381B3D">
            <w:pPr>
              <w:tabs>
                <w:tab w:val="left" w:pos="5580"/>
                <w:tab w:val="left" w:pos="5760"/>
              </w:tabs>
              <w:rPr>
                <w:rFonts w:eastAsia="MS Mincho"/>
                <w:lang w:val="fr-CH" w:eastAsia="en-US"/>
              </w:rPr>
            </w:pPr>
            <w:r w:rsidRPr="00FD3A45">
              <w:rPr>
                <w:rFonts w:eastAsia="MS Mincho"/>
                <w:lang w:val="fr-CH" w:eastAsia="en-US"/>
              </w:rPr>
              <w:t>Directeur général</w:t>
            </w:r>
          </w:p>
        </w:tc>
      </w:tr>
    </w:tbl>
    <w:p w:rsidR="00EF0403" w:rsidRPr="00A21DED" w:rsidRDefault="00EF0403" w:rsidP="00A21DED">
      <w:pPr>
        <w:pStyle w:val="Endofdocument-Annex"/>
        <w:spacing w:before="720"/>
        <w:rPr>
          <w:lang w:val="fr-CH"/>
        </w:rPr>
      </w:pPr>
      <w:r w:rsidRPr="00A21DED">
        <w:rPr>
          <w:lang w:val="fr-CH"/>
        </w:rPr>
        <w:t>[Fin de l</w:t>
      </w:r>
      <w:r w:rsidR="005F2EDC" w:rsidRPr="00A21DED">
        <w:rPr>
          <w:lang w:val="fr-CH"/>
        </w:rPr>
        <w:t>’</w:t>
      </w:r>
      <w:r w:rsidR="008A7A7B" w:rsidRPr="00A21DED">
        <w:rPr>
          <w:lang w:val="fr-CH"/>
        </w:rPr>
        <w:t>annexe I</w:t>
      </w:r>
      <w:r w:rsidRPr="00A21DED">
        <w:rPr>
          <w:lang w:val="fr-CH"/>
        </w:rPr>
        <w:t>I et du document]</w:t>
      </w:r>
    </w:p>
    <w:sectPr w:rsidR="00EF0403" w:rsidRPr="00A21DED" w:rsidSect="0001006B">
      <w:headerReference w:type="default" r:id="rId22"/>
      <w:pgSz w:w="11907" w:h="16840" w:code="9"/>
      <w:pgMar w:top="567" w:right="1134" w:bottom="1418" w:left="1418" w:header="510" w:footer="1021"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369" w:rsidRDefault="00B91369">
      <w:r>
        <w:separator/>
      </w:r>
    </w:p>
  </w:endnote>
  <w:endnote w:type="continuationSeparator" w:id="0">
    <w:p w:rsidR="00B91369" w:rsidRDefault="00B91369" w:rsidP="003B38C1">
      <w:r>
        <w:separator/>
      </w:r>
    </w:p>
    <w:p w:rsidR="00B91369" w:rsidRPr="003B38C1" w:rsidRDefault="00B91369" w:rsidP="003B38C1">
      <w:pPr>
        <w:spacing w:after="60"/>
        <w:rPr>
          <w:sz w:val="17"/>
        </w:rPr>
      </w:pPr>
      <w:r>
        <w:rPr>
          <w:sz w:val="17"/>
        </w:rPr>
        <w:t>[Endnote continued from previous page]</w:t>
      </w:r>
    </w:p>
  </w:endnote>
  <w:endnote w:type="continuationNotice" w:id="1">
    <w:p w:rsidR="00B91369" w:rsidRPr="003B38C1" w:rsidRDefault="00B9136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DB3" w:rsidRDefault="00956D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6DE" w:rsidRDefault="006436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464" w:rsidRDefault="00BA04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369" w:rsidRDefault="00B91369">
      <w:r>
        <w:separator/>
      </w:r>
    </w:p>
  </w:footnote>
  <w:footnote w:type="continuationSeparator" w:id="0">
    <w:p w:rsidR="00B91369" w:rsidRDefault="00B91369" w:rsidP="008B60B2">
      <w:r>
        <w:separator/>
      </w:r>
    </w:p>
    <w:p w:rsidR="00B91369" w:rsidRPr="00ED77FB" w:rsidRDefault="00B91369" w:rsidP="008B60B2">
      <w:pPr>
        <w:spacing w:after="60"/>
        <w:rPr>
          <w:sz w:val="17"/>
          <w:szCs w:val="17"/>
        </w:rPr>
      </w:pPr>
      <w:r w:rsidRPr="00ED77FB">
        <w:rPr>
          <w:sz w:val="17"/>
          <w:szCs w:val="17"/>
        </w:rPr>
        <w:t>[Footnote continued from previous page]</w:t>
      </w:r>
    </w:p>
  </w:footnote>
  <w:footnote w:type="continuationNotice" w:id="1">
    <w:p w:rsidR="00B91369" w:rsidRPr="00ED77FB" w:rsidRDefault="00B9136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6DE" w:rsidRDefault="006436DE" w:rsidP="00306A36">
    <w:pPr>
      <w:pStyle w:val="Header"/>
      <w:jc w:val="right"/>
    </w:pPr>
    <w:r>
      <w:t>WO/CC/7</w:t>
    </w:r>
    <w:r w:rsidR="00021B04">
      <w:t>5</w:t>
    </w:r>
    <w:r>
      <w:t>/</w:t>
    </w:r>
    <w:r w:rsidR="00EF0403">
      <w:t>1</w:t>
    </w:r>
  </w:p>
  <w:p w:rsidR="006436DE" w:rsidRDefault="006436DE">
    <w:pPr>
      <w:pStyle w:val="Header"/>
      <w:jc w:val="right"/>
    </w:pPr>
    <w:proofErr w:type="gramStart"/>
    <w:r>
      <w:t>page</w:t>
    </w:r>
    <w:proofErr w:type="gramEnd"/>
    <w:r w:rsidR="00933FC4">
      <w:t> </w:t>
    </w:r>
    <w:sdt>
      <w:sdtPr>
        <w:id w:val="-97329618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B4215">
          <w:rPr>
            <w:noProof/>
          </w:rPr>
          <w:t>2</w:t>
        </w:r>
        <w:r>
          <w:rPr>
            <w:noProof/>
          </w:rPr>
          <w:fldChar w:fldCharType="end"/>
        </w:r>
      </w:sdtContent>
    </w:sdt>
  </w:p>
  <w:p w:rsidR="006436DE" w:rsidRDefault="006436DE"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6DE" w:rsidRDefault="00EF0403">
    <w:pPr>
      <w:pStyle w:val="Header"/>
      <w:jc w:val="right"/>
    </w:pPr>
    <w:r>
      <w:t>WO/CC/75/1</w:t>
    </w:r>
  </w:p>
  <w:p w:rsidR="006436DE" w:rsidRDefault="006436DE">
    <w:pPr>
      <w:pStyle w:val="Header"/>
      <w:jc w:val="right"/>
    </w:pPr>
    <w:r>
      <w:t>ANNEX</w:t>
    </w:r>
    <w:r w:rsidR="00EF0403">
      <w:t>E</w:t>
    </w:r>
    <w:r>
      <w:t xml:space="preserve"> I</w:t>
    </w:r>
  </w:p>
  <w:p w:rsidR="00956DB3" w:rsidRDefault="00956DB3"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6DE" w:rsidRDefault="00EF0403" w:rsidP="00306A36">
    <w:pPr>
      <w:pStyle w:val="Header"/>
      <w:jc w:val="right"/>
    </w:pPr>
    <w:r>
      <w:t>WO/CC/75/1</w:t>
    </w:r>
  </w:p>
  <w:p w:rsidR="006436DE" w:rsidRDefault="006436DE">
    <w:pPr>
      <w:pStyle w:val="Header"/>
      <w:jc w:val="right"/>
    </w:pPr>
    <w:proofErr w:type="spellStart"/>
    <w:r w:rsidRPr="004D5EC9">
      <w:rPr>
        <w:rPrChange w:id="6" w:author="HÄFLIGER Patience" w:date="2018-07-17T11:31:00Z">
          <w:rPr>
            <w:lang w:val="fr-FR"/>
          </w:rPr>
        </w:rPrChange>
      </w:rPr>
      <w:t>Annex</w:t>
    </w:r>
    <w:r w:rsidR="00EF0403" w:rsidRPr="004D5EC9">
      <w:rPr>
        <w:rPrChange w:id="7" w:author="HÄFLIGER Patience" w:date="2018-07-17T11:31:00Z">
          <w:rPr>
            <w:lang w:val="fr-FR"/>
          </w:rPr>
        </w:rPrChange>
      </w:rPr>
      <w:t>e</w:t>
    </w:r>
    <w:proofErr w:type="spellEnd"/>
    <w:r>
      <w:t xml:space="preserve"> I, page </w:t>
    </w:r>
    <w:sdt>
      <w:sdtPr>
        <w:id w:val="87966720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B4215">
          <w:rPr>
            <w:noProof/>
          </w:rPr>
          <w:t>4</w:t>
        </w:r>
        <w:r>
          <w:rPr>
            <w:noProof/>
          </w:rPr>
          <w:fldChar w:fldCharType="end"/>
        </w:r>
      </w:sdtContent>
    </w:sdt>
  </w:p>
  <w:p w:rsidR="006436DE" w:rsidRDefault="006436DE"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464" w:rsidRDefault="00BA0464" w:rsidP="00306A36">
    <w:pPr>
      <w:pBdr>
        <w:top w:val="single" w:sz="4" w:space="4" w:color="7E91A3"/>
      </w:pBdr>
      <w:jc w:val="right"/>
      <w:rPr>
        <w:szCs w:val="22"/>
      </w:rPr>
    </w:pPr>
    <w:r>
      <w:rPr>
        <w:szCs w:val="22"/>
      </w:rPr>
      <w:t>WO/CC/75/</w:t>
    </w:r>
    <w:r w:rsidR="004D5EC9">
      <w:rPr>
        <w:szCs w:val="22"/>
      </w:rPr>
      <w:t>1</w:t>
    </w:r>
  </w:p>
  <w:p w:rsidR="00BA0464" w:rsidRPr="006436DE" w:rsidRDefault="00BA0464" w:rsidP="003D4151">
    <w:pPr>
      <w:pBdr>
        <w:top w:val="single" w:sz="4" w:space="4" w:color="7E91A3"/>
      </w:pBdr>
      <w:jc w:val="right"/>
      <w:rPr>
        <w:szCs w:val="22"/>
      </w:rPr>
    </w:pPr>
    <w:r>
      <w:rPr>
        <w:szCs w:val="22"/>
      </w:rPr>
      <w:t>ANNEXE II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06B" w:rsidRPr="00865089" w:rsidRDefault="0001006B" w:rsidP="00306A36">
    <w:pPr>
      <w:pStyle w:val="Header"/>
      <w:jc w:val="right"/>
      <w:rPr>
        <w:lang w:val="fr-CH"/>
      </w:rPr>
    </w:pPr>
    <w:r w:rsidRPr="00865089">
      <w:rPr>
        <w:lang w:val="fr-CH"/>
      </w:rPr>
      <w:t>WO/CC/75/</w:t>
    </w:r>
    <w:r w:rsidR="00EF0403">
      <w:rPr>
        <w:lang w:val="fr-CH"/>
      </w:rPr>
      <w:t>1</w:t>
    </w:r>
  </w:p>
  <w:p w:rsidR="006436DE" w:rsidRPr="00865089" w:rsidRDefault="0001006B">
    <w:pPr>
      <w:pStyle w:val="Header"/>
      <w:jc w:val="right"/>
      <w:rPr>
        <w:lang w:val="fr-CH"/>
      </w:rPr>
    </w:pPr>
    <w:r w:rsidRPr="00865089">
      <w:rPr>
        <w:lang w:val="fr-CH"/>
      </w:rPr>
      <w:t>Annex</w:t>
    </w:r>
    <w:r w:rsidR="00EF0403">
      <w:rPr>
        <w:lang w:val="fr-CH"/>
      </w:rPr>
      <w:t>e</w:t>
    </w:r>
    <w:r w:rsidRPr="00865089">
      <w:rPr>
        <w:lang w:val="fr-CH"/>
      </w:rPr>
      <w:t xml:space="preserve"> II, page </w:t>
    </w:r>
    <w:sdt>
      <w:sdtPr>
        <w:id w:val="620273602"/>
        <w:docPartObj>
          <w:docPartGallery w:val="Page Numbers (Top of Page)"/>
          <w:docPartUnique/>
        </w:docPartObj>
      </w:sdtPr>
      <w:sdtEndPr>
        <w:rPr>
          <w:noProof/>
        </w:rPr>
      </w:sdtEndPr>
      <w:sdtContent>
        <w:r w:rsidR="006436DE">
          <w:fldChar w:fldCharType="begin"/>
        </w:r>
        <w:r w:rsidR="006436DE" w:rsidRPr="00865089">
          <w:rPr>
            <w:lang w:val="fr-CH"/>
          </w:rPr>
          <w:instrText xml:space="preserve"> PAGE   \* MERGEFORMAT </w:instrText>
        </w:r>
        <w:r w:rsidR="006436DE">
          <w:fldChar w:fldCharType="separate"/>
        </w:r>
        <w:r w:rsidR="001B4215">
          <w:rPr>
            <w:noProof/>
            <w:lang w:val="fr-CH"/>
          </w:rPr>
          <w:t>5</w:t>
        </w:r>
        <w:r w:rsidR="006436DE">
          <w:rPr>
            <w:noProof/>
          </w:rPr>
          <w:fldChar w:fldCharType="end"/>
        </w:r>
      </w:sdtContent>
    </w:sdt>
  </w:p>
  <w:p w:rsidR="006436DE" w:rsidRPr="00865089" w:rsidRDefault="006436DE" w:rsidP="006436DE">
    <w:pPr>
      <w:pBdr>
        <w:top w:val="single" w:sz="4" w:space="4" w:color="7E91A3"/>
      </w:pBdr>
      <w:jc w:val="right"/>
      <w:rPr>
        <w:szCs w:val="22"/>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8E4D4D"/>
    <w:multiLevelType w:val="hybridMultilevel"/>
    <w:tmpl w:val="BAF0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535549"/>
    <w:multiLevelType w:val="hybridMultilevel"/>
    <w:tmpl w:val="5900F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1C426E"/>
    <w:multiLevelType w:val="hybridMultilevel"/>
    <w:tmpl w:val="BAF0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86601C"/>
    <w:multiLevelType w:val="hybridMultilevel"/>
    <w:tmpl w:val="BAF0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13932657"/>
    <w:multiLevelType w:val="hybridMultilevel"/>
    <w:tmpl w:val="87B8F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77E0F"/>
    <w:multiLevelType w:val="hybridMultilevel"/>
    <w:tmpl w:val="3F90E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B3334C4"/>
    <w:multiLevelType w:val="hybridMultilevel"/>
    <w:tmpl w:val="61FC6144"/>
    <w:lvl w:ilvl="0" w:tplc="46E04E88">
      <w:start w:val="1"/>
      <w:numFmt w:val="lowerRoman"/>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FB19A2"/>
    <w:multiLevelType w:val="multilevel"/>
    <w:tmpl w:val="6644DB52"/>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4F878D8"/>
    <w:multiLevelType w:val="hybridMultilevel"/>
    <w:tmpl w:val="38E6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325C4A"/>
    <w:multiLevelType w:val="hybridMultilevel"/>
    <w:tmpl w:val="483445B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03A6A94"/>
    <w:multiLevelType w:val="hybridMultilevel"/>
    <w:tmpl w:val="BAF0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A1207C"/>
    <w:multiLevelType w:val="hybridMultilevel"/>
    <w:tmpl w:val="C0D41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0F71DC"/>
    <w:multiLevelType w:val="hybridMultilevel"/>
    <w:tmpl w:val="1D4AE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59C2DDF"/>
    <w:multiLevelType w:val="hybridMultilevel"/>
    <w:tmpl w:val="BAF0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DCC42E0"/>
    <w:multiLevelType w:val="hybridMultilevel"/>
    <w:tmpl w:val="0B24C196"/>
    <w:lvl w:ilvl="0" w:tplc="62060BEC">
      <w:start w:val="1"/>
      <w:numFmt w:val="lowerRoman"/>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A60B41"/>
    <w:multiLevelType w:val="hybridMultilevel"/>
    <w:tmpl w:val="F9E6B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AB5075"/>
    <w:multiLevelType w:val="hybridMultilevel"/>
    <w:tmpl w:val="BAF0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0"/>
  </w:num>
  <w:num w:numId="4">
    <w:abstractNumId w:val="18"/>
  </w:num>
  <w:num w:numId="5">
    <w:abstractNumId w:val="5"/>
  </w:num>
  <w:num w:numId="6">
    <w:abstractNumId w:val="10"/>
  </w:num>
  <w:num w:numId="7">
    <w:abstractNumId w:val="14"/>
  </w:num>
  <w:num w:numId="8">
    <w:abstractNumId w:val="9"/>
  </w:num>
  <w:num w:numId="9">
    <w:abstractNumId w:val="11"/>
  </w:num>
  <w:num w:numId="10">
    <w:abstractNumId w:val="17"/>
  </w:num>
  <w:num w:numId="11">
    <w:abstractNumId w:val="6"/>
  </w:num>
  <w:num w:numId="12">
    <w:abstractNumId w:val="12"/>
  </w:num>
  <w:num w:numId="13">
    <w:abstractNumId w:val="7"/>
  </w:num>
  <w:num w:numId="14">
    <w:abstractNumId w:val="20"/>
  </w:num>
  <w:num w:numId="15">
    <w:abstractNumId w:val="2"/>
  </w:num>
  <w:num w:numId="16">
    <w:abstractNumId w:val="15"/>
  </w:num>
  <w:num w:numId="17">
    <w:abstractNumId w:val="19"/>
  </w:num>
  <w:num w:numId="18">
    <w:abstractNumId w:val="1"/>
  </w:num>
  <w:num w:numId="19">
    <w:abstractNumId w:val="13"/>
  </w:num>
  <w:num w:numId="20">
    <w:abstractNumId w:val="21"/>
  </w:num>
  <w:num w:numId="21">
    <w:abstractNumId w:val="4"/>
  </w:num>
  <w:num w:numId="22">
    <w:abstractNumId w:val="3"/>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4B548E"/>
    <w:rsid w:val="0001006B"/>
    <w:rsid w:val="00011F9F"/>
    <w:rsid w:val="0001665A"/>
    <w:rsid w:val="00021B04"/>
    <w:rsid w:val="00027135"/>
    <w:rsid w:val="00043CAA"/>
    <w:rsid w:val="000559C0"/>
    <w:rsid w:val="0006613E"/>
    <w:rsid w:val="00075432"/>
    <w:rsid w:val="000765C4"/>
    <w:rsid w:val="000968ED"/>
    <w:rsid w:val="000C117A"/>
    <w:rsid w:val="000E177D"/>
    <w:rsid w:val="000F3436"/>
    <w:rsid w:val="000F5E56"/>
    <w:rsid w:val="000F747E"/>
    <w:rsid w:val="001362EE"/>
    <w:rsid w:val="001367EE"/>
    <w:rsid w:val="001446D9"/>
    <w:rsid w:val="00152D82"/>
    <w:rsid w:val="00156693"/>
    <w:rsid w:val="001647D5"/>
    <w:rsid w:val="001832A6"/>
    <w:rsid w:val="00186B1F"/>
    <w:rsid w:val="001B4215"/>
    <w:rsid w:val="001B4FE9"/>
    <w:rsid w:val="001C38A8"/>
    <w:rsid w:val="001F4270"/>
    <w:rsid w:val="0021217E"/>
    <w:rsid w:val="00233D5B"/>
    <w:rsid w:val="0024086D"/>
    <w:rsid w:val="002634C4"/>
    <w:rsid w:val="002928D3"/>
    <w:rsid w:val="002A1C04"/>
    <w:rsid w:val="002A534D"/>
    <w:rsid w:val="002B6632"/>
    <w:rsid w:val="002F1FE6"/>
    <w:rsid w:val="002F4E68"/>
    <w:rsid w:val="00305818"/>
    <w:rsid w:val="00306A36"/>
    <w:rsid w:val="00312F7F"/>
    <w:rsid w:val="00327824"/>
    <w:rsid w:val="00350AE2"/>
    <w:rsid w:val="00361450"/>
    <w:rsid w:val="003673CF"/>
    <w:rsid w:val="003845C1"/>
    <w:rsid w:val="00397F3F"/>
    <w:rsid w:val="003A6F89"/>
    <w:rsid w:val="003B38C1"/>
    <w:rsid w:val="003C423E"/>
    <w:rsid w:val="003D092E"/>
    <w:rsid w:val="003D57B0"/>
    <w:rsid w:val="00416A4C"/>
    <w:rsid w:val="00423E3E"/>
    <w:rsid w:val="00427AF4"/>
    <w:rsid w:val="0043244C"/>
    <w:rsid w:val="00433360"/>
    <w:rsid w:val="00437793"/>
    <w:rsid w:val="0046227E"/>
    <w:rsid w:val="004647DA"/>
    <w:rsid w:val="00471651"/>
    <w:rsid w:val="00474062"/>
    <w:rsid w:val="00476AF6"/>
    <w:rsid w:val="00477D6B"/>
    <w:rsid w:val="0049360F"/>
    <w:rsid w:val="004B548E"/>
    <w:rsid w:val="004D2E3B"/>
    <w:rsid w:val="004D5EC9"/>
    <w:rsid w:val="005019FF"/>
    <w:rsid w:val="0053057A"/>
    <w:rsid w:val="00560A29"/>
    <w:rsid w:val="00582E3B"/>
    <w:rsid w:val="005932E0"/>
    <w:rsid w:val="005C6649"/>
    <w:rsid w:val="005F2EDC"/>
    <w:rsid w:val="00605827"/>
    <w:rsid w:val="00637906"/>
    <w:rsid w:val="0064229E"/>
    <w:rsid w:val="006436DE"/>
    <w:rsid w:val="00646050"/>
    <w:rsid w:val="006713CA"/>
    <w:rsid w:val="00676C5C"/>
    <w:rsid w:val="006A18B6"/>
    <w:rsid w:val="006E4F5F"/>
    <w:rsid w:val="006F2579"/>
    <w:rsid w:val="00737B0A"/>
    <w:rsid w:val="00746E75"/>
    <w:rsid w:val="007D1613"/>
    <w:rsid w:val="007E094F"/>
    <w:rsid w:val="007E3BF3"/>
    <w:rsid w:val="007E4C0E"/>
    <w:rsid w:val="007F630C"/>
    <w:rsid w:val="00803F71"/>
    <w:rsid w:val="00835A85"/>
    <w:rsid w:val="00847641"/>
    <w:rsid w:val="00851310"/>
    <w:rsid w:val="00860537"/>
    <w:rsid w:val="0086425D"/>
    <w:rsid w:val="00865089"/>
    <w:rsid w:val="00877718"/>
    <w:rsid w:val="008A134B"/>
    <w:rsid w:val="008A7A7B"/>
    <w:rsid w:val="008B13C2"/>
    <w:rsid w:val="008B2CC1"/>
    <w:rsid w:val="008B60B2"/>
    <w:rsid w:val="0090731E"/>
    <w:rsid w:val="00913895"/>
    <w:rsid w:val="00916EE2"/>
    <w:rsid w:val="00933FC4"/>
    <w:rsid w:val="00956DB3"/>
    <w:rsid w:val="0096109C"/>
    <w:rsid w:val="00966A22"/>
    <w:rsid w:val="0096722F"/>
    <w:rsid w:val="00976F30"/>
    <w:rsid w:val="00980843"/>
    <w:rsid w:val="009B076B"/>
    <w:rsid w:val="009C127D"/>
    <w:rsid w:val="009D32D5"/>
    <w:rsid w:val="009E2791"/>
    <w:rsid w:val="009E3F6F"/>
    <w:rsid w:val="009F0CED"/>
    <w:rsid w:val="009F499F"/>
    <w:rsid w:val="00A21DED"/>
    <w:rsid w:val="00A37342"/>
    <w:rsid w:val="00A42DAF"/>
    <w:rsid w:val="00A45BD8"/>
    <w:rsid w:val="00A50CA6"/>
    <w:rsid w:val="00A54340"/>
    <w:rsid w:val="00A70E06"/>
    <w:rsid w:val="00A74515"/>
    <w:rsid w:val="00A8154D"/>
    <w:rsid w:val="00A84A13"/>
    <w:rsid w:val="00A869B7"/>
    <w:rsid w:val="00AA2DD4"/>
    <w:rsid w:val="00AC205C"/>
    <w:rsid w:val="00AC4286"/>
    <w:rsid w:val="00AD21A7"/>
    <w:rsid w:val="00AF0A6B"/>
    <w:rsid w:val="00AF2A81"/>
    <w:rsid w:val="00B05A69"/>
    <w:rsid w:val="00B26C62"/>
    <w:rsid w:val="00B302C4"/>
    <w:rsid w:val="00B41896"/>
    <w:rsid w:val="00B50034"/>
    <w:rsid w:val="00B54A23"/>
    <w:rsid w:val="00B62E0E"/>
    <w:rsid w:val="00B73F02"/>
    <w:rsid w:val="00B91369"/>
    <w:rsid w:val="00B9734B"/>
    <w:rsid w:val="00BA0464"/>
    <w:rsid w:val="00BA30E2"/>
    <w:rsid w:val="00BA522E"/>
    <w:rsid w:val="00BB75DB"/>
    <w:rsid w:val="00BD4257"/>
    <w:rsid w:val="00BE1BA7"/>
    <w:rsid w:val="00C11BFE"/>
    <w:rsid w:val="00C5068F"/>
    <w:rsid w:val="00C86D74"/>
    <w:rsid w:val="00CD04F1"/>
    <w:rsid w:val="00CD7F59"/>
    <w:rsid w:val="00CE1D33"/>
    <w:rsid w:val="00CE47E0"/>
    <w:rsid w:val="00CE5D1F"/>
    <w:rsid w:val="00CF6BF2"/>
    <w:rsid w:val="00D25097"/>
    <w:rsid w:val="00D4203F"/>
    <w:rsid w:val="00D44A0B"/>
    <w:rsid w:val="00D45252"/>
    <w:rsid w:val="00D666F2"/>
    <w:rsid w:val="00D66E37"/>
    <w:rsid w:val="00D718AF"/>
    <w:rsid w:val="00D71B4D"/>
    <w:rsid w:val="00D775B7"/>
    <w:rsid w:val="00D93D55"/>
    <w:rsid w:val="00DF023A"/>
    <w:rsid w:val="00DF21C6"/>
    <w:rsid w:val="00DF383E"/>
    <w:rsid w:val="00E15015"/>
    <w:rsid w:val="00E161C3"/>
    <w:rsid w:val="00E1658B"/>
    <w:rsid w:val="00E335FE"/>
    <w:rsid w:val="00E85557"/>
    <w:rsid w:val="00EA05D6"/>
    <w:rsid w:val="00EA7D6E"/>
    <w:rsid w:val="00EC4E49"/>
    <w:rsid w:val="00ED02C4"/>
    <w:rsid w:val="00ED77FB"/>
    <w:rsid w:val="00EE45FA"/>
    <w:rsid w:val="00EF0403"/>
    <w:rsid w:val="00F1244B"/>
    <w:rsid w:val="00F176D0"/>
    <w:rsid w:val="00F5593C"/>
    <w:rsid w:val="00F62A5B"/>
    <w:rsid w:val="00F66152"/>
    <w:rsid w:val="00FA475B"/>
    <w:rsid w:val="00FC5BEA"/>
    <w:rsid w:val="00FD3A45"/>
    <w:rsid w:val="00FE67DE"/>
    <w:rsid w:val="00FF5FB3"/>
    <w:rsid w:val="00FF789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FF5FB3"/>
    <w:pPr>
      <w:keepNext/>
      <w:spacing w:before="720" w:after="240"/>
      <w:outlineLvl w:val="1"/>
    </w:pPr>
    <w:rPr>
      <w:b/>
      <w:bCs/>
      <w:iCs/>
      <w:caps/>
      <w:color w:val="365F91" w:themeColor="accent1" w:themeShade="BF"/>
      <w:szCs w:val="28"/>
    </w:rPr>
  </w:style>
  <w:style w:type="paragraph" w:styleId="Heading3">
    <w:name w:val="heading 3"/>
    <w:basedOn w:val="Normal"/>
    <w:next w:val="Normal"/>
    <w:autoRedefine/>
    <w:qFormat/>
    <w:rsid w:val="00637906"/>
    <w:pPr>
      <w:keepNext/>
      <w:spacing w:before="240" w:after="180"/>
      <w:outlineLvl w:val="2"/>
    </w:pPr>
    <w:rPr>
      <w:bCs/>
      <w:caps/>
      <w:szCs w:val="26"/>
    </w:rPr>
  </w:style>
  <w:style w:type="paragraph" w:styleId="Heading4">
    <w:name w:val="heading 4"/>
    <w:basedOn w:val="Normal"/>
    <w:next w:val="Normal"/>
    <w:autoRedefine/>
    <w:qFormat/>
    <w:rsid w:val="00B41896"/>
    <w:pPr>
      <w:keepNext/>
      <w:spacing w:before="48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uiPriority w:val="34"/>
    <w:qFormat/>
    <w:rsid w:val="004B548E"/>
    <w:pPr>
      <w:ind w:left="720"/>
      <w:contextualSpacing/>
    </w:pPr>
  </w:style>
  <w:style w:type="character" w:customStyle="1" w:styleId="HeaderChar">
    <w:name w:val="Header Char"/>
    <w:basedOn w:val="DefaultParagraphFont"/>
    <w:link w:val="Header"/>
    <w:uiPriority w:val="99"/>
    <w:rsid w:val="0096109C"/>
    <w:rPr>
      <w:rFonts w:ascii="Arial" w:eastAsia="SimSun" w:hAnsi="Arial" w:cs="Arial"/>
      <w:sz w:val="22"/>
      <w:lang w:val="en-US" w:eastAsia="zh-CN"/>
    </w:rPr>
  </w:style>
  <w:style w:type="paragraph" w:customStyle="1" w:styleId="Default">
    <w:name w:val="Default"/>
    <w:rsid w:val="00416A4C"/>
    <w:pPr>
      <w:autoSpaceDE w:val="0"/>
      <w:autoSpaceDN w:val="0"/>
      <w:adjustRightInd w:val="0"/>
    </w:pPr>
    <w:rPr>
      <w:rFonts w:ascii="Arial" w:hAnsi="Arial" w:cs="Arial"/>
      <w:color w:val="000000"/>
      <w:sz w:val="24"/>
      <w:szCs w:val="24"/>
      <w:lang w:val="en-US"/>
    </w:rPr>
  </w:style>
  <w:style w:type="character" w:styleId="PageNumber">
    <w:name w:val="page number"/>
    <w:basedOn w:val="DefaultParagraphFont"/>
    <w:rsid w:val="00FD3A45"/>
  </w:style>
  <w:style w:type="paragraph" w:customStyle="1" w:styleId="Paragraphedeliste">
    <w:name w:val="Paragraphe de liste"/>
    <w:basedOn w:val="Normal"/>
    <w:rsid w:val="00FD3A45"/>
    <w:pPr>
      <w:suppressAutoHyphens/>
      <w:autoSpaceDN w:val="0"/>
      <w:spacing w:after="200" w:line="276" w:lineRule="auto"/>
      <w:ind w:left="720"/>
      <w:textAlignment w:val="baseline"/>
    </w:pPr>
    <w:rPr>
      <w:rFonts w:ascii="Calibri" w:eastAsia="Calibri" w:hAnsi="Calibri" w:cs="Times New Roman"/>
      <w:szCs w:val="22"/>
      <w:lang w:val="fr-FR" w:eastAsia="en-US"/>
    </w:rPr>
  </w:style>
  <w:style w:type="table" w:styleId="TableGrid">
    <w:name w:val="Table Grid"/>
    <w:basedOn w:val="TableNormal"/>
    <w:rsid w:val="00FD3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Normal"/>
    <w:rsid w:val="00E161C3"/>
    <w:pPr>
      <w:spacing w:after="120" w:line="260" w:lineRule="atLeast"/>
      <w:ind w:left="5534"/>
      <w:contextualSpacing/>
    </w:pPr>
    <w:rPr>
      <w:rFonts w:eastAsia="Times New Roman" w:cs="Times New Roman"/>
      <w:sz w:val="20"/>
      <w:lang w:eastAsia="en-US"/>
    </w:rPr>
  </w:style>
  <w:style w:type="character" w:styleId="Hyperlink">
    <w:name w:val="Hyperlink"/>
    <w:basedOn w:val="DefaultParagraphFont"/>
    <w:semiHidden/>
    <w:unhideWhenUsed/>
    <w:rsid w:val="00011F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FF5FB3"/>
    <w:pPr>
      <w:keepNext/>
      <w:spacing w:before="720" w:after="240"/>
      <w:outlineLvl w:val="1"/>
    </w:pPr>
    <w:rPr>
      <w:b/>
      <w:bCs/>
      <w:iCs/>
      <w:caps/>
      <w:color w:val="365F91" w:themeColor="accent1" w:themeShade="BF"/>
      <w:szCs w:val="28"/>
    </w:rPr>
  </w:style>
  <w:style w:type="paragraph" w:styleId="Heading3">
    <w:name w:val="heading 3"/>
    <w:basedOn w:val="Normal"/>
    <w:next w:val="Normal"/>
    <w:autoRedefine/>
    <w:qFormat/>
    <w:rsid w:val="00637906"/>
    <w:pPr>
      <w:keepNext/>
      <w:spacing w:before="240" w:after="180"/>
      <w:outlineLvl w:val="2"/>
    </w:pPr>
    <w:rPr>
      <w:bCs/>
      <w:caps/>
      <w:szCs w:val="26"/>
    </w:rPr>
  </w:style>
  <w:style w:type="paragraph" w:styleId="Heading4">
    <w:name w:val="heading 4"/>
    <w:basedOn w:val="Normal"/>
    <w:next w:val="Normal"/>
    <w:autoRedefine/>
    <w:qFormat/>
    <w:rsid w:val="00B41896"/>
    <w:pPr>
      <w:keepNext/>
      <w:spacing w:before="48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uiPriority w:val="34"/>
    <w:qFormat/>
    <w:rsid w:val="004B548E"/>
    <w:pPr>
      <w:ind w:left="720"/>
      <w:contextualSpacing/>
    </w:pPr>
  </w:style>
  <w:style w:type="character" w:customStyle="1" w:styleId="HeaderChar">
    <w:name w:val="Header Char"/>
    <w:basedOn w:val="DefaultParagraphFont"/>
    <w:link w:val="Header"/>
    <w:uiPriority w:val="99"/>
    <w:rsid w:val="0096109C"/>
    <w:rPr>
      <w:rFonts w:ascii="Arial" w:eastAsia="SimSun" w:hAnsi="Arial" w:cs="Arial"/>
      <w:sz w:val="22"/>
      <w:lang w:val="en-US" w:eastAsia="zh-CN"/>
    </w:rPr>
  </w:style>
  <w:style w:type="paragraph" w:customStyle="1" w:styleId="Default">
    <w:name w:val="Default"/>
    <w:rsid w:val="00416A4C"/>
    <w:pPr>
      <w:autoSpaceDE w:val="0"/>
      <w:autoSpaceDN w:val="0"/>
      <w:adjustRightInd w:val="0"/>
    </w:pPr>
    <w:rPr>
      <w:rFonts w:ascii="Arial" w:hAnsi="Arial" w:cs="Arial"/>
      <w:color w:val="000000"/>
      <w:sz w:val="24"/>
      <w:szCs w:val="24"/>
      <w:lang w:val="en-US"/>
    </w:rPr>
  </w:style>
  <w:style w:type="character" w:styleId="PageNumber">
    <w:name w:val="page number"/>
    <w:basedOn w:val="DefaultParagraphFont"/>
    <w:rsid w:val="00FD3A45"/>
  </w:style>
  <w:style w:type="paragraph" w:customStyle="1" w:styleId="Paragraphedeliste">
    <w:name w:val="Paragraphe de liste"/>
    <w:basedOn w:val="Normal"/>
    <w:rsid w:val="00FD3A45"/>
    <w:pPr>
      <w:suppressAutoHyphens/>
      <w:autoSpaceDN w:val="0"/>
      <w:spacing w:after="200" w:line="276" w:lineRule="auto"/>
      <w:ind w:left="720"/>
      <w:textAlignment w:val="baseline"/>
    </w:pPr>
    <w:rPr>
      <w:rFonts w:ascii="Calibri" w:eastAsia="Calibri" w:hAnsi="Calibri" w:cs="Times New Roman"/>
      <w:szCs w:val="22"/>
      <w:lang w:val="fr-FR" w:eastAsia="en-US"/>
    </w:rPr>
  </w:style>
  <w:style w:type="table" w:styleId="TableGrid">
    <w:name w:val="Table Grid"/>
    <w:basedOn w:val="TableNormal"/>
    <w:rsid w:val="00FD3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Normal"/>
    <w:rsid w:val="00E161C3"/>
    <w:pPr>
      <w:spacing w:after="120" w:line="260" w:lineRule="atLeast"/>
      <w:ind w:left="5534"/>
      <w:contextualSpacing/>
    </w:pPr>
    <w:rPr>
      <w:rFonts w:eastAsia="Times New Roman" w:cs="Times New Roman"/>
      <w:sz w:val="20"/>
      <w:lang w:eastAsia="en-US"/>
    </w:rPr>
  </w:style>
  <w:style w:type="character" w:styleId="Hyperlink">
    <w:name w:val="Hyperlink"/>
    <w:basedOn w:val="DefaultParagraphFont"/>
    <w:semiHidden/>
    <w:unhideWhenUsed/>
    <w:rsid w:val="00011F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C194D-968A-44B5-852F-2C1DBA5B1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75 (E)</Template>
  <TotalTime>1</TotalTime>
  <Pages>11</Pages>
  <Words>2722</Words>
  <Characters>16469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WO/CC/75/</vt:lpstr>
    </vt:vector>
  </TitlesOfParts>
  <Company>WIPO</Company>
  <LinksUpToDate>false</LinksUpToDate>
  <CharactersWithSpaces>19153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WO/CC/75/</dc:title>
  <dc:subject>Seventy-Fifth (49th Ordinary) Session</dc:subject>
  <dc:creator>HAPPY-DUMAS Juliet</dc:creator>
  <cp:lastModifiedBy>HÄFLIGER Patience</cp:lastModifiedBy>
  <cp:revision>5</cp:revision>
  <cp:lastPrinted>2018-06-28T12:32:00Z</cp:lastPrinted>
  <dcterms:created xsi:type="dcterms:W3CDTF">2018-07-17T09:52:00Z</dcterms:created>
  <dcterms:modified xsi:type="dcterms:W3CDTF">2018-07-17T09:54:00Z</dcterms:modified>
  <cp:category>WIPO Coordination Committee</cp:category>
</cp:coreProperties>
</file>