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B655E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BB655E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BB655E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DA196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BB655E" w:rsidRDefault="00CE143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B655E">
        <w:rPr>
          <w:rFonts w:ascii="Arial Black" w:hAnsi="Arial Black"/>
          <w:caps/>
          <w:sz w:val="15"/>
          <w:szCs w:val="15"/>
          <w:lang w:val="fr-FR"/>
        </w:rPr>
        <w:t>WO/CC/8</w:t>
      </w:r>
      <w:r w:rsidR="00910266" w:rsidRPr="00BB655E">
        <w:rPr>
          <w:rFonts w:ascii="Arial Black" w:hAnsi="Arial Black"/>
          <w:caps/>
          <w:sz w:val="15"/>
          <w:szCs w:val="15"/>
          <w:lang w:val="fr-FR"/>
        </w:rPr>
        <w:t>2</w:t>
      </w:r>
      <w:r w:rsidRPr="00BB655E">
        <w:rPr>
          <w:rFonts w:ascii="Arial Black" w:hAnsi="Arial Black"/>
          <w:caps/>
          <w:sz w:val="15"/>
          <w:szCs w:val="15"/>
          <w:lang w:val="fr-FR"/>
        </w:rPr>
        <w:t>/</w:t>
      </w:r>
      <w:bookmarkStart w:id="1" w:name="Code"/>
      <w:r w:rsidR="00155653" w:rsidRPr="00BB655E">
        <w:rPr>
          <w:rFonts w:ascii="Arial Black" w:hAnsi="Arial Black"/>
          <w:caps/>
          <w:sz w:val="15"/>
          <w:szCs w:val="15"/>
          <w:lang w:val="fr-FR"/>
        </w:rPr>
        <w:t>3</w:t>
      </w:r>
    </w:p>
    <w:bookmarkEnd w:id="1"/>
    <w:p w:rsidR="008B2CC1" w:rsidRPr="00BB655E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B655E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F112E" w:rsidRPr="00BB655E">
        <w:rPr>
          <w:rFonts w:ascii="Arial Black" w:hAnsi="Arial Black"/>
          <w:caps/>
          <w:sz w:val="15"/>
          <w:szCs w:val="15"/>
          <w:lang w:val="fr-FR"/>
        </w:rPr>
        <w:t> :</w:t>
      </w:r>
      <w:r w:rsidRPr="00BB655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155653" w:rsidRPr="00BB655E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BB655E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B655E">
        <w:rPr>
          <w:rFonts w:ascii="Arial Black" w:hAnsi="Arial Black"/>
          <w:caps/>
          <w:sz w:val="15"/>
          <w:szCs w:val="15"/>
          <w:lang w:val="fr-FR"/>
        </w:rPr>
        <w:t>date</w:t>
      </w:r>
      <w:r w:rsidR="002F112E" w:rsidRPr="00BB655E">
        <w:rPr>
          <w:rFonts w:ascii="Arial Black" w:hAnsi="Arial Black"/>
          <w:caps/>
          <w:sz w:val="15"/>
          <w:szCs w:val="15"/>
          <w:lang w:val="fr-FR"/>
        </w:rPr>
        <w:t> :</w:t>
      </w:r>
      <w:r w:rsidRPr="00BB655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155653" w:rsidRPr="00BB655E">
        <w:rPr>
          <w:rFonts w:ascii="Arial Black" w:hAnsi="Arial Black"/>
          <w:caps/>
          <w:sz w:val="15"/>
          <w:szCs w:val="15"/>
          <w:lang w:val="fr-FR"/>
        </w:rPr>
        <w:t>5 mai 2023</w:t>
      </w:r>
    </w:p>
    <w:bookmarkEnd w:id="3"/>
    <w:p w:rsidR="00C40E15" w:rsidRPr="00BB655E" w:rsidRDefault="00CE1438" w:rsidP="00DB0349">
      <w:pPr>
        <w:spacing w:after="600"/>
        <w:rPr>
          <w:b/>
          <w:sz w:val="28"/>
          <w:szCs w:val="28"/>
          <w:lang w:val="fr-FR"/>
        </w:rPr>
      </w:pPr>
      <w:r w:rsidRPr="00BB655E">
        <w:rPr>
          <w:b/>
          <w:sz w:val="28"/>
          <w:szCs w:val="28"/>
          <w:lang w:val="fr-FR"/>
        </w:rPr>
        <w:t>Comité de coordination de I</w:t>
      </w:r>
      <w:r w:rsidR="002F112E" w:rsidRPr="00BB655E">
        <w:rPr>
          <w:b/>
          <w:sz w:val="28"/>
          <w:szCs w:val="28"/>
          <w:lang w:val="fr-FR"/>
        </w:rPr>
        <w:t>’</w:t>
      </w:r>
      <w:r w:rsidRPr="00BB655E">
        <w:rPr>
          <w:b/>
          <w:sz w:val="28"/>
          <w:szCs w:val="28"/>
          <w:lang w:val="fr-FR"/>
        </w:rPr>
        <w:t>OMPI</w:t>
      </w:r>
    </w:p>
    <w:p w:rsidR="008B2CC1" w:rsidRPr="00BB655E" w:rsidRDefault="00CE1438" w:rsidP="008B2CC1">
      <w:pPr>
        <w:rPr>
          <w:b/>
          <w:sz w:val="24"/>
          <w:szCs w:val="24"/>
          <w:lang w:val="fr-FR"/>
        </w:rPr>
      </w:pPr>
      <w:r w:rsidRPr="00BB655E">
        <w:rPr>
          <w:b/>
          <w:sz w:val="24"/>
          <w:szCs w:val="24"/>
          <w:lang w:val="fr-FR"/>
        </w:rPr>
        <w:t>Quatre</w:t>
      </w:r>
      <w:r w:rsidR="00E062BA">
        <w:rPr>
          <w:b/>
          <w:sz w:val="24"/>
          <w:szCs w:val="24"/>
          <w:lang w:val="fr-FR"/>
        </w:rPr>
        <w:noBreakHyphen/>
      </w:r>
      <w:r w:rsidRPr="00BB655E">
        <w:rPr>
          <w:b/>
          <w:sz w:val="24"/>
          <w:szCs w:val="24"/>
          <w:lang w:val="fr-FR"/>
        </w:rPr>
        <w:t>vingt</w:t>
      </w:r>
      <w:r w:rsidR="00E062BA">
        <w:rPr>
          <w:b/>
          <w:sz w:val="24"/>
          <w:szCs w:val="24"/>
          <w:lang w:val="fr-FR"/>
        </w:rPr>
        <w:noBreakHyphen/>
      </w:r>
      <w:r w:rsidR="00910266" w:rsidRPr="00BB655E">
        <w:rPr>
          <w:b/>
          <w:sz w:val="24"/>
          <w:szCs w:val="24"/>
          <w:lang w:val="fr-FR"/>
        </w:rPr>
        <w:t>deux</w:t>
      </w:r>
      <w:r w:rsidR="002F112E" w:rsidRPr="00BB655E">
        <w:rPr>
          <w:b/>
          <w:sz w:val="24"/>
          <w:szCs w:val="24"/>
          <w:lang w:val="fr-FR"/>
        </w:rPr>
        <w:t>ième session</w:t>
      </w:r>
      <w:r w:rsidRPr="00BB655E">
        <w:rPr>
          <w:b/>
          <w:sz w:val="24"/>
          <w:szCs w:val="24"/>
          <w:lang w:val="fr-FR"/>
        </w:rPr>
        <w:t xml:space="preserve"> (5</w:t>
      </w:r>
      <w:r w:rsidR="00910266" w:rsidRPr="00BB655E">
        <w:rPr>
          <w:b/>
          <w:sz w:val="24"/>
          <w:szCs w:val="24"/>
          <w:lang w:val="fr-FR"/>
        </w:rPr>
        <w:t>4</w:t>
      </w:r>
      <w:r w:rsidRPr="00BB655E">
        <w:rPr>
          <w:b/>
          <w:sz w:val="24"/>
          <w:szCs w:val="24"/>
          <w:vertAlign w:val="superscript"/>
          <w:lang w:val="fr-FR"/>
        </w:rPr>
        <w:t>e</w:t>
      </w:r>
      <w:r w:rsidR="00306B08">
        <w:rPr>
          <w:b/>
          <w:sz w:val="24"/>
          <w:szCs w:val="24"/>
          <w:lang w:val="fr-FR"/>
        </w:rPr>
        <w:t> </w:t>
      </w:r>
      <w:r w:rsidRPr="00BB655E">
        <w:rPr>
          <w:b/>
          <w:sz w:val="24"/>
          <w:szCs w:val="24"/>
          <w:lang w:val="fr-FR"/>
        </w:rPr>
        <w:t>session ordinaire)</w:t>
      </w:r>
    </w:p>
    <w:p w:rsidR="008B2CC1" w:rsidRPr="00BB655E" w:rsidRDefault="00EC26F0" w:rsidP="00DB0349">
      <w:pPr>
        <w:spacing w:after="720"/>
        <w:rPr>
          <w:b/>
          <w:sz w:val="24"/>
          <w:szCs w:val="24"/>
          <w:lang w:val="fr-FR"/>
        </w:rPr>
      </w:pPr>
      <w:r w:rsidRPr="00BB655E">
        <w:rPr>
          <w:b/>
          <w:sz w:val="24"/>
          <w:szCs w:val="24"/>
          <w:lang w:val="fr-FR"/>
        </w:rPr>
        <w:t xml:space="preserve">Genève, </w:t>
      </w:r>
      <w:r w:rsidR="00910266" w:rsidRPr="00BB655E">
        <w:rPr>
          <w:b/>
          <w:sz w:val="24"/>
          <w:szCs w:val="24"/>
          <w:lang w:val="fr-FR"/>
        </w:rPr>
        <w:t>6</w:t>
      </w:r>
      <w:r w:rsidR="00CE1438" w:rsidRPr="00BB655E">
        <w:rPr>
          <w:b/>
          <w:sz w:val="24"/>
          <w:szCs w:val="24"/>
          <w:lang w:val="fr-FR"/>
        </w:rPr>
        <w:t xml:space="preserve"> – </w:t>
      </w:r>
      <w:r w:rsidR="00910266" w:rsidRPr="00BB655E">
        <w:rPr>
          <w:b/>
          <w:sz w:val="24"/>
          <w:szCs w:val="24"/>
          <w:lang w:val="fr-FR"/>
        </w:rPr>
        <w:t>1</w:t>
      </w:r>
      <w:r w:rsidR="002F112E" w:rsidRPr="00BB655E">
        <w:rPr>
          <w:b/>
          <w:sz w:val="24"/>
          <w:szCs w:val="24"/>
          <w:lang w:val="fr-FR"/>
        </w:rPr>
        <w:t>4 juillet 20</w:t>
      </w:r>
      <w:r w:rsidR="00910266" w:rsidRPr="00BB655E">
        <w:rPr>
          <w:b/>
          <w:sz w:val="24"/>
          <w:szCs w:val="24"/>
          <w:lang w:val="fr-FR"/>
        </w:rPr>
        <w:t>23</w:t>
      </w:r>
    </w:p>
    <w:p w:rsidR="008B2CC1" w:rsidRPr="00BB655E" w:rsidRDefault="00155653" w:rsidP="00DB0349">
      <w:pPr>
        <w:spacing w:after="360"/>
        <w:rPr>
          <w:caps/>
          <w:sz w:val="24"/>
          <w:lang w:val="fr-FR"/>
        </w:rPr>
      </w:pPr>
      <w:bookmarkStart w:id="4" w:name="TitleOfDoc"/>
      <w:r w:rsidRPr="00BB655E">
        <w:rPr>
          <w:caps/>
          <w:sz w:val="24"/>
          <w:lang w:val="fr-FR"/>
        </w:rPr>
        <w:t xml:space="preserve">Amendements du </w:t>
      </w:r>
      <w:r w:rsidR="00E15EC1">
        <w:rPr>
          <w:caps/>
          <w:sz w:val="24"/>
          <w:lang w:val="fr-FR"/>
        </w:rPr>
        <w:t>S</w:t>
      </w:r>
      <w:r w:rsidRPr="00BB655E">
        <w:rPr>
          <w:caps/>
          <w:sz w:val="24"/>
          <w:lang w:val="fr-FR"/>
        </w:rPr>
        <w:t>tatut de la Commission de la fonction publique internationale</w:t>
      </w:r>
      <w:r w:rsidR="00B12551" w:rsidRPr="00BB655E">
        <w:rPr>
          <w:caps/>
          <w:sz w:val="24"/>
          <w:lang w:val="fr-FR"/>
        </w:rPr>
        <w:t xml:space="preserve"> (CFPI)</w:t>
      </w:r>
    </w:p>
    <w:p w:rsidR="00525B63" w:rsidRPr="00BB655E" w:rsidRDefault="00155653" w:rsidP="00DB0349">
      <w:pPr>
        <w:spacing w:after="960"/>
        <w:rPr>
          <w:i/>
          <w:lang w:val="fr-FR"/>
        </w:rPr>
      </w:pPr>
      <w:bookmarkStart w:id="5" w:name="Prepared"/>
      <w:bookmarkEnd w:id="4"/>
      <w:r w:rsidRPr="00BB655E">
        <w:rPr>
          <w:i/>
          <w:lang w:val="fr-FR"/>
        </w:rPr>
        <w:t>Document établi par le Secrétariat</w:t>
      </w:r>
    </w:p>
    <w:bookmarkEnd w:id="5"/>
    <w:p w:rsidR="00155653" w:rsidRPr="00BB655E" w:rsidRDefault="00A50A8B" w:rsidP="00A50A8B">
      <w:pPr>
        <w:pStyle w:val="Heading1"/>
      </w:pPr>
      <w:r w:rsidRPr="00BB655E">
        <w:t>I.</w:t>
      </w:r>
      <w:r w:rsidRPr="00BB655E">
        <w:tab/>
        <w:t>Introduction</w:t>
      </w:r>
    </w:p>
    <w:p w:rsidR="00155653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Le 30 décembre 2022,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 xml:space="preserve">Assemblée générale des </w:t>
      </w:r>
      <w:r w:rsidR="002F112E" w:rsidRPr="00BB655E">
        <w:rPr>
          <w:lang w:val="fr-FR"/>
        </w:rPr>
        <w:t>Nations Unies</w:t>
      </w:r>
      <w:r w:rsidRPr="00BB655E">
        <w:rPr>
          <w:lang w:val="fr-FR"/>
        </w:rPr>
        <w:t xml:space="preserve"> (</w:t>
      </w:r>
      <w:r w:rsidR="00E062BA">
        <w:rPr>
          <w:lang w:val="fr-FR"/>
        </w:rPr>
        <w:t>ci</w:t>
      </w:r>
      <w:r w:rsidR="00E062BA">
        <w:rPr>
          <w:lang w:val="fr-FR"/>
        </w:rPr>
        <w:noBreakHyphen/>
        <w:t xml:space="preserve">après dénommée </w:t>
      </w:r>
      <w:r w:rsidRPr="00BB655E">
        <w:rPr>
          <w:lang w:val="fr-FR"/>
        </w:rPr>
        <w:t>“Assemblée générale”) a décidé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amender les articles 10 et 11 du Statut de la Commission de la fonction publique internationale (CFPI) en ce qui concerne le pouvoir 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 de prendre des décisions sur les montants des ajustements</w:t>
      </w:r>
      <w:r w:rsidRPr="00BB655E">
        <w:rPr>
          <w:rStyle w:val="FootnoteReference"/>
          <w:lang w:val="fr-FR"/>
        </w:rPr>
        <w:footnoteReference w:id="2"/>
      </w:r>
      <w:r w:rsidRPr="00BB655E">
        <w:rPr>
          <w:lang w:val="fr-FR"/>
        </w:rPr>
        <w:t>.  Les amendements du Statut 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 sont présentés en annexe.</w:t>
      </w:r>
    </w:p>
    <w:p w:rsidR="00155653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 xml:space="preserve">Les amendements ne sont pas automatiquement applicables aux agences spécialisées et aux autres organisations internationales appliquant le régime commun des </w:t>
      </w:r>
      <w:r w:rsidR="002F112E" w:rsidRPr="00BB655E">
        <w:rPr>
          <w:lang w:val="fr-FR"/>
        </w:rPr>
        <w:t>Nations Unies</w:t>
      </w:r>
      <w:r w:rsidRPr="00BB655E">
        <w:rPr>
          <w:lang w:val="fr-FR"/>
        </w:rPr>
        <w:t xml:space="preserve"> et ayant accepté le Statut de</w:t>
      </w:r>
      <w:r w:rsidR="002F112E" w:rsidRPr="00BB655E">
        <w:rPr>
          <w:lang w:val="fr-FR"/>
        </w:rPr>
        <w:t xml:space="preserve"> la C</w:t>
      </w:r>
      <w:r w:rsidR="00BB655E" w:rsidRPr="00BB655E">
        <w:rPr>
          <w:lang w:val="fr-FR"/>
        </w:rPr>
        <w:t>FPI.  Le</w:t>
      </w:r>
      <w:r w:rsidRPr="00BB655E">
        <w:rPr>
          <w:lang w:val="fr-FR"/>
        </w:rPr>
        <w:t>s agences et organisations précitées doivent accepter les amendements, après approbation ou validation par leurs organes directeurs respectifs, selon le cas, par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intermédiaire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une notification officielle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acceptation émise par le responsable exécutif correspondant.</w:t>
      </w:r>
    </w:p>
    <w:p w:rsidR="00155653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En conséquence, il est proposé que les amendements du Statut 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 soient approuvés par le Comité de coordination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OMPI avant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envoi, par le Directeur général, de la notification de leur acceptation par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OMPI.</w:t>
      </w:r>
    </w:p>
    <w:p w:rsidR="00155653" w:rsidRPr="00BB655E" w:rsidRDefault="00A50A8B" w:rsidP="00A50A8B">
      <w:pPr>
        <w:pStyle w:val="Heading1"/>
      </w:pPr>
      <w:r w:rsidRPr="00BB655E">
        <w:lastRenderedPageBreak/>
        <w:t>II.</w:t>
      </w:r>
      <w:r w:rsidRPr="00BB655E">
        <w:tab/>
        <w:t>Interprétations ju</w:t>
      </w:r>
      <w:r w:rsidR="00E15EC1">
        <w:t>ridictionnelles divergentes du S</w:t>
      </w:r>
      <w:r w:rsidRPr="00BB655E">
        <w:t>tatut de</w:t>
      </w:r>
      <w:r w:rsidR="002F112E" w:rsidRPr="00BB655E">
        <w:t xml:space="preserve"> la CFP</w:t>
      </w:r>
      <w:r w:rsidRPr="00BB655E">
        <w:t>I</w:t>
      </w:r>
    </w:p>
    <w:p w:rsidR="00155653" w:rsidRPr="00BB655E" w:rsidRDefault="00155653" w:rsidP="00E062BA">
      <w:pPr>
        <w:pStyle w:val="ONUMFS"/>
        <w:rPr>
          <w:lang w:val="fr-FR"/>
        </w:rPr>
      </w:pPr>
      <w:r w:rsidRPr="00BB655E">
        <w:rPr>
          <w:lang w:val="fr-FR"/>
        </w:rPr>
        <w:t>La nécessité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amender le Statut 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 xml:space="preserve">I résulte du fait que ses </w:t>
      </w:r>
      <w:r w:rsidR="002F112E" w:rsidRPr="00BB655E">
        <w:rPr>
          <w:lang w:val="fr-FR"/>
        </w:rPr>
        <w:t>articles 1</w:t>
      </w:r>
      <w:r w:rsidRPr="00BB655E">
        <w:rPr>
          <w:lang w:val="fr-FR"/>
        </w:rPr>
        <w:t>0 et 11 ont été interprétés différemment dans des jugements définitifs et non susceptibles de recours, rendus par deux</w:t>
      </w:r>
      <w:r w:rsidR="00E95D9A" w:rsidRPr="00BB655E">
        <w:rPr>
          <w:lang w:val="fr-FR"/>
        </w:rPr>
        <w:t> </w:t>
      </w:r>
      <w:r w:rsidRPr="00BB655E">
        <w:rPr>
          <w:lang w:val="fr-FR"/>
        </w:rPr>
        <w:t xml:space="preserve">tribunaux de dernière instance dans leurs juridictions respectives au sein du régime commun des </w:t>
      </w:r>
      <w:r w:rsidR="002F112E" w:rsidRPr="00BB655E">
        <w:rPr>
          <w:lang w:val="fr-FR"/>
        </w:rPr>
        <w:t>Nations Unies</w:t>
      </w:r>
      <w:r w:rsidRPr="00BB655E">
        <w:rPr>
          <w:lang w:val="fr-FR"/>
        </w:rPr>
        <w:t xml:space="preserve">, </w:t>
      </w:r>
      <w:r w:rsidR="002F112E" w:rsidRPr="00BB655E">
        <w:rPr>
          <w:lang w:val="fr-FR"/>
        </w:rPr>
        <w:t>à savoir</w:t>
      </w:r>
      <w:r w:rsidRPr="00BB655E">
        <w:rPr>
          <w:lang w:val="fr-FR"/>
        </w:rPr>
        <w:t xml:space="preserve"> le Tribunal administratif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 xml:space="preserve">Organisation internationale du </w:t>
      </w:r>
      <w:r w:rsidR="00E95D9A" w:rsidRPr="00BB655E">
        <w:rPr>
          <w:lang w:val="fr-FR"/>
        </w:rPr>
        <w:t>Travail</w:t>
      </w:r>
      <w:r w:rsidRPr="00BB655E">
        <w:rPr>
          <w:lang w:val="fr-FR"/>
        </w:rPr>
        <w:t xml:space="preserve"> (</w:t>
      </w:r>
      <w:r w:rsidR="00E062BA">
        <w:rPr>
          <w:lang w:val="fr-FR"/>
        </w:rPr>
        <w:t>ci</w:t>
      </w:r>
      <w:r w:rsidR="00E062BA">
        <w:rPr>
          <w:lang w:val="fr-FR"/>
        </w:rPr>
        <w:noBreakHyphen/>
        <w:t>après dénommé</w:t>
      </w:r>
      <w:r w:rsidRPr="00BB655E">
        <w:rPr>
          <w:lang w:val="fr-FR"/>
        </w:rPr>
        <w:t xml:space="preserve"> “Tribunal administratif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OIT”) et le Tribunal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 xml:space="preserve">appel des </w:t>
      </w:r>
      <w:r w:rsidR="002F112E" w:rsidRPr="00BB655E">
        <w:rPr>
          <w:lang w:val="fr-FR"/>
        </w:rPr>
        <w:t>Nations Unies</w:t>
      </w:r>
      <w:r w:rsidRPr="00BB655E">
        <w:rPr>
          <w:lang w:val="fr-FR"/>
        </w:rPr>
        <w:t>.</w:t>
      </w:r>
    </w:p>
    <w:p w:rsidR="002F112E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Avant le 30 décembre 2022, les articles 10 et 11 du Statut se lisaient comme suit, dans leur partie pertinente</w:t>
      </w:r>
      <w:r w:rsidR="002F112E" w:rsidRPr="00BB655E">
        <w:rPr>
          <w:lang w:val="fr-FR"/>
        </w:rPr>
        <w:t> :</w:t>
      </w:r>
    </w:p>
    <w:p w:rsidR="00155653" w:rsidRPr="00BB655E" w:rsidRDefault="00155653" w:rsidP="00E062BA">
      <w:pPr>
        <w:pStyle w:val="ONUMFS"/>
        <w:numPr>
          <w:ilvl w:val="0"/>
          <w:numId w:val="0"/>
        </w:numPr>
        <w:spacing w:after="120"/>
        <w:ind w:left="567"/>
        <w:jc w:val="center"/>
        <w:rPr>
          <w:sz w:val="20"/>
          <w:lang w:val="fr-FR"/>
        </w:rPr>
      </w:pPr>
      <w:r w:rsidRPr="00BB655E">
        <w:rPr>
          <w:sz w:val="20"/>
          <w:lang w:val="fr-FR"/>
        </w:rPr>
        <w:t>“</w:t>
      </w:r>
      <w:r w:rsidRPr="00BB655E">
        <w:rPr>
          <w:sz w:val="20"/>
          <w:u w:val="single"/>
          <w:lang w:val="fr-FR"/>
        </w:rPr>
        <w:t>Article 10</w:t>
      </w:r>
    </w:p>
    <w:p w:rsidR="002F112E" w:rsidRPr="00BB655E" w:rsidRDefault="00155653" w:rsidP="00E062BA">
      <w:pPr>
        <w:pStyle w:val="ONUMFS"/>
        <w:numPr>
          <w:ilvl w:val="0"/>
          <w:numId w:val="0"/>
        </w:numPr>
        <w:spacing w:after="120"/>
        <w:ind w:left="567"/>
        <w:rPr>
          <w:sz w:val="20"/>
          <w:lang w:val="fr-FR"/>
        </w:rPr>
      </w:pPr>
      <w:r w:rsidRPr="00BB655E">
        <w:rPr>
          <w:sz w:val="20"/>
          <w:lang w:val="fr-FR"/>
        </w:rPr>
        <w:t>La Commission fait à l</w:t>
      </w:r>
      <w:r w:rsidR="002F112E" w:rsidRPr="00BB655E">
        <w:rPr>
          <w:sz w:val="20"/>
          <w:lang w:val="fr-FR"/>
        </w:rPr>
        <w:t>’</w:t>
      </w:r>
      <w:r w:rsidRPr="00BB655E">
        <w:rPr>
          <w:sz w:val="20"/>
          <w:lang w:val="fr-FR"/>
        </w:rPr>
        <w:t>Assemblée générale des recommandations touchant</w:t>
      </w:r>
      <w:r w:rsidR="002F112E" w:rsidRPr="00BB655E">
        <w:rPr>
          <w:sz w:val="20"/>
          <w:lang w:val="fr-FR"/>
        </w:rPr>
        <w:t> :</w:t>
      </w:r>
    </w:p>
    <w:p w:rsidR="002F112E" w:rsidRPr="00BB655E" w:rsidRDefault="00155653" w:rsidP="00E062BA">
      <w:pPr>
        <w:pStyle w:val="ONUMFS"/>
        <w:numPr>
          <w:ilvl w:val="0"/>
          <w:numId w:val="0"/>
        </w:numPr>
        <w:spacing w:after="120"/>
        <w:ind w:left="1134"/>
        <w:rPr>
          <w:sz w:val="20"/>
          <w:lang w:val="fr-FR"/>
        </w:rPr>
      </w:pPr>
      <w:r w:rsidRPr="00BB655E">
        <w:rPr>
          <w:sz w:val="20"/>
          <w:lang w:val="fr-FR"/>
        </w:rPr>
        <w:t>[…]</w:t>
      </w:r>
    </w:p>
    <w:p w:rsidR="002F112E" w:rsidRPr="00BB655E" w:rsidRDefault="00155653" w:rsidP="00E062BA">
      <w:pPr>
        <w:pStyle w:val="ONUMFS"/>
        <w:numPr>
          <w:ilvl w:val="0"/>
          <w:numId w:val="0"/>
        </w:numPr>
        <w:tabs>
          <w:tab w:val="left" w:pos="1701"/>
        </w:tabs>
        <w:spacing w:after="120"/>
        <w:ind w:left="1134"/>
        <w:rPr>
          <w:sz w:val="20"/>
          <w:lang w:val="fr-FR"/>
        </w:rPr>
      </w:pPr>
      <w:r w:rsidRPr="00BB655E">
        <w:rPr>
          <w:sz w:val="20"/>
          <w:lang w:val="fr-FR"/>
        </w:rPr>
        <w:t xml:space="preserve">b) </w:t>
      </w:r>
      <w:r w:rsidR="00A50A8B" w:rsidRPr="00BB655E">
        <w:rPr>
          <w:sz w:val="20"/>
          <w:lang w:val="fr-FR"/>
        </w:rPr>
        <w:tab/>
      </w:r>
      <w:r w:rsidRPr="00BB655E">
        <w:rPr>
          <w:sz w:val="20"/>
          <w:lang w:val="fr-FR"/>
        </w:rPr>
        <w:t>le barème des traitements et des ajustements (indemnités de poste ou déductions) pour les fonctionnaires de la catégorie des administrateurs et des catégories supérieures;</w:t>
      </w:r>
    </w:p>
    <w:p w:rsidR="002F112E" w:rsidRPr="00BB655E" w:rsidRDefault="00155653" w:rsidP="00E062BA">
      <w:pPr>
        <w:pStyle w:val="ONUMFS"/>
        <w:numPr>
          <w:ilvl w:val="0"/>
          <w:numId w:val="0"/>
        </w:numPr>
        <w:spacing w:after="120"/>
        <w:ind w:left="1134"/>
        <w:rPr>
          <w:sz w:val="20"/>
          <w:lang w:val="fr-FR"/>
        </w:rPr>
      </w:pPr>
      <w:r w:rsidRPr="00BB655E">
        <w:rPr>
          <w:sz w:val="20"/>
          <w:lang w:val="fr-FR"/>
        </w:rPr>
        <w:t>[…].</w:t>
      </w:r>
    </w:p>
    <w:p w:rsidR="00155653" w:rsidRPr="00BB655E" w:rsidRDefault="002F112E" w:rsidP="00E062BA">
      <w:pPr>
        <w:pStyle w:val="ONUMFS"/>
        <w:numPr>
          <w:ilvl w:val="0"/>
          <w:numId w:val="0"/>
        </w:numPr>
        <w:spacing w:after="120"/>
        <w:ind w:left="567"/>
        <w:jc w:val="center"/>
        <w:rPr>
          <w:sz w:val="20"/>
          <w:u w:val="single"/>
          <w:lang w:val="fr-FR"/>
        </w:rPr>
      </w:pPr>
      <w:r w:rsidRPr="00BB655E">
        <w:rPr>
          <w:sz w:val="20"/>
          <w:u w:val="single"/>
          <w:lang w:val="fr-FR"/>
        </w:rPr>
        <w:t>Article 1</w:t>
      </w:r>
      <w:r w:rsidR="00155653" w:rsidRPr="00BB655E">
        <w:rPr>
          <w:sz w:val="20"/>
          <w:u w:val="single"/>
          <w:lang w:val="fr-FR"/>
        </w:rPr>
        <w:t>1</w:t>
      </w:r>
    </w:p>
    <w:p w:rsidR="002F112E" w:rsidRPr="00BB655E" w:rsidRDefault="00155653" w:rsidP="00E062BA">
      <w:pPr>
        <w:pStyle w:val="ONUMFS"/>
        <w:numPr>
          <w:ilvl w:val="0"/>
          <w:numId w:val="0"/>
        </w:numPr>
        <w:spacing w:after="120"/>
        <w:ind w:left="567"/>
        <w:rPr>
          <w:sz w:val="20"/>
          <w:lang w:val="fr-FR"/>
        </w:rPr>
      </w:pPr>
      <w:r w:rsidRPr="00BB655E">
        <w:rPr>
          <w:sz w:val="20"/>
          <w:lang w:val="fr-FR"/>
        </w:rPr>
        <w:t>La Commission fixe</w:t>
      </w:r>
      <w:r w:rsidR="002F112E" w:rsidRPr="00BB655E">
        <w:rPr>
          <w:sz w:val="20"/>
          <w:lang w:val="fr-FR"/>
        </w:rPr>
        <w:t> :</w:t>
      </w:r>
    </w:p>
    <w:p w:rsidR="00155653" w:rsidRPr="00BB655E" w:rsidRDefault="00155653" w:rsidP="00E062BA">
      <w:pPr>
        <w:pStyle w:val="ONUMFS"/>
        <w:numPr>
          <w:ilvl w:val="0"/>
          <w:numId w:val="0"/>
        </w:numPr>
        <w:spacing w:after="120"/>
        <w:ind w:left="1134"/>
        <w:rPr>
          <w:sz w:val="20"/>
          <w:lang w:val="fr-FR"/>
        </w:rPr>
      </w:pPr>
      <w:r w:rsidRPr="00BB655E">
        <w:rPr>
          <w:sz w:val="20"/>
          <w:lang w:val="fr-FR"/>
        </w:rPr>
        <w:t>[…]</w:t>
      </w:r>
    </w:p>
    <w:p w:rsidR="00155653" w:rsidRPr="00BB655E" w:rsidRDefault="00155653" w:rsidP="00A50A8B">
      <w:pPr>
        <w:pStyle w:val="ONUMFS"/>
        <w:numPr>
          <w:ilvl w:val="0"/>
          <w:numId w:val="0"/>
        </w:numPr>
        <w:tabs>
          <w:tab w:val="left" w:pos="1701"/>
        </w:tabs>
        <w:ind w:left="1134"/>
        <w:rPr>
          <w:sz w:val="20"/>
          <w:lang w:val="fr-FR"/>
        </w:rPr>
      </w:pPr>
      <w:r w:rsidRPr="00BB655E">
        <w:rPr>
          <w:sz w:val="20"/>
          <w:lang w:val="fr-FR"/>
        </w:rPr>
        <w:t xml:space="preserve">c) </w:t>
      </w:r>
      <w:r w:rsidR="00A50A8B" w:rsidRPr="00BB655E">
        <w:rPr>
          <w:sz w:val="20"/>
          <w:lang w:val="fr-FR"/>
        </w:rPr>
        <w:tab/>
      </w:r>
      <w:r w:rsidRPr="00BB655E">
        <w:rPr>
          <w:sz w:val="20"/>
          <w:lang w:val="fr-FR"/>
        </w:rPr>
        <w:t>Le classement des lieux d</w:t>
      </w:r>
      <w:r w:rsidR="002F112E" w:rsidRPr="00BB655E">
        <w:rPr>
          <w:sz w:val="20"/>
          <w:lang w:val="fr-FR"/>
        </w:rPr>
        <w:t>’</w:t>
      </w:r>
      <w:r w:rsidRPr="00BB655E">
        <w:rPr>
          <w:sz w:val="20"/>
          <w:lang w:val="fr-FR"/>
        </w:rPr>
        <w:t>affectation aux fins de l</w:t>
      </w:r>
      <w:r w:rsidR="002F112E" w:rsidRPr="00BB655E">
        <w:rPr>
          <w:sz w:val="20"/>
          <w:lang w:val="fr-FR"/>
        </w:rPr>
        <w:t>’</w:t>
      </w:r>
      <w:r w:rsidRPr="00BB655E">
        <w:rPr>
          <w:sz w:val="20"/>
          <w:lang w:val="fr-FR"/>
        </w:rPr>
        <w:t>application des ajustements (indemnités de poste ou déductions).”</w:t>
      </w:r>
    </w:p>
    <w:p w:rsidR="00155653" w:rsidRPr="00E062BA" w:rsidRDefault="00155653" w:rsidP="00A50A8B">
      <w:pPr>
        <w:pStyle w:val="ONUMFS"/>
        <w:rPr>
          <w:lang w:val="fr-FR"/>
        </w:rPr>
      </w:pPr>
      <w:r w:rsidRPr="00E062BA">
        <w:rPr>
          <w:lang w:val="fr-FR"/>
        </w:rPr>
        <w:t>Ces deux</w:t>
      </w:r>
      <w:r w:rsidR="00E95D9A" w:rsidRPr="00E062BA">
        <w:rPr>
          <w:lang w:val="fr-FR"/>
        </w:rPr>
        <w:t> </w:t>
      </w:r>
      <w:r w:rsidRPr="00E062BA">
        <w:rPr>
          <w:lang w:val="fr-FR"/>
        </w:rPr>
        <w:t>articles conféraient des pouvoirs différents à</w:t>
      </w:r>
      <w:r w:rsidR="002F112E" w:rsidRPr="00E062BA">
        <w:rPr>
          <w:lang w:val="fr-FR"/>
        </w:rPr>
        <w:t xml:space="preserve"> la C</w:t>
      </w:r>
      <w:r w:rsidR="00BB655E" w:rsidRPr="00E062BA">
        <w:rPr>
          <w:lang w:val="fr-FR"/>
        </w:rPr>
        <w:t>FPI.  Po</w:t>
      </w:r>
      <w:r w:rsidRPr="00E062BA">
        <w:rPr>
          <w:lang w:val="fr-FR"/>
        </w:rPr>
        <w:t>ur les questions visées à l</w:t>
      </w:r>
      <w:r w:rsidR="002F112E" w:rsidRPr="00E062BA">
        <w:rPr>
          <w:lang w:val="fr-FR"/>
        </w:rPr>
        <w:t>’</w:t>
      </w:r>
      <w:r w:rsidRPr="00E062BA">
        <w:rPr>
          <w:lang w:val="fr-FR"/>
        </w:rPr>
        <w:t>article 10,</w:t>
      </w:r>
      <w:r w:rsidR="002F112E" w:rsidRPr="00E062BA">
        <w:rPr>
          <w:lang w:val="fr-FR"/>
        </w:rPr>
        <w:t xml:space="preserve"> la CFP</w:t>
      </w:r>
      <w:r w:rsidRPr="00E062BA">
        <w:rPr>
          <w:lang w:val="fr-FR"/>
        </w:rPr>
        <w:t>I était habilitée à faire des recommandations à l</w:t>
      </w:r>
      <w:r w:rsidR="002F112E" w:rsidRPr="00E062BA">
        <w:rPr>
          <w:lang w:val="fr-FR"/>
        </w:rPr>
        <w:t>’</w:t>
      </w:r>
      <w:r w:rsidRPr="00E062BA">
        <w:rPr>
          <w:lang w:val="fr-FR"/>
        </w:rPr>
        <w:t>Assemblée générale, tout en préservant le pouvoir de cette dernière de statuer sur ces recommandatio</w:t>
      </w:r>
      <w:r w:rsidR="00BB655E" w:rsidRPr="00E062BA">
        <w:rPr>
          <w:lang w:val="fr-FR"/>
        </w:rPr>
        <w:t>ns.  L’a</w:t>
      </w:r>
      <w:r w:rsidRPr="00E062BA">
        <w:rPr>
          <w:lang w:val="fr-FR"/>
        </w:rPr>
        <w:t>rticle 11 conférait à</w:t>
      </w:r>
      <w:r w:rsidR="002F112E" w:rsidRPr="00E062BA">
        <w:rPr>
          <w:lang w:val="fr-FR"/>
        </w:rPr>
        <w:t xml:space="preserve"> la CFP</w:t>
      </w:r>
      <w:r w:rsidRPr="00E062BA">
        <w:rPr>
          <w:lang w:val="fr-FR"/>
        </w:rPr>
        <w:t>I un pouvoir de décision sur les questions abordées dans les recommandations.</w:t>
      </w:r>
    </w:p>
    <w:p w:rsidR="00155653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Pendant plus de 25 ans,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 a fixé la valeur des coefficients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ajustement et, partant, leur effet sur les traitements des fonctionnaires, et en décidait seule.</w:t>
      </w:r>
    </w:p>
    <w:p w:rsidR="00155653" w:rsidRPr="00BB655E" w:rsidRDefault="002F112E" w:rsidP="00A50A8B">
      <w:pPr>
        <w:pStyle w:val="ONUMFS"/>
        <w:rPr>
          <w:lang w:val="fr-FR"/>
        </w:rPr>
      </w:pPr>
      <w:r w:rsidRPr="00BB655E">
        <w:rPr>
          <w:lang w:val="fr-FR"/>
        </w:rPr>
        <w:t>En 2018</w:t>
      </w:r>
      <w:r w:rsidR="00155653" w:rsidRPr="00BB655E">
        <w:rPr>
          <w:lang w:val="fr-FR"/>
        </w:rPr>
        <w:t xml:space="preserve"> et 2020, le Tribunal administratif de l</w:t>
      </w:r>
      <w:r w:rsidRPr="00BB655E">
        <w:rPr>
          <w:lang w:val="fr-FR"/>
        </w:rPr>
        <w:t>’</w:t>
      </w:r>
      <w:r w:rsidR="00155653" w:rsidRPr="00BB655E">
        <w:rPr>
          <w:lang w:val="fr-FR"/>
        </w:rPr>
        <w:t>OIT et le Tribunal d</w:t>
      </w:r>
      <w:r w:rsidRPr="00BB655E">
        <w:rPr>
          <w:lang w:val="fr-FR"/>
        </w:rPr>
        <w:t>’</w:t>
      </w:r>
      <w:r w:rsidR="00155653" w:rsidRPr="00BB655E">
        <w:rPr>
          <w:lang w:val="fr-FR"/>
        </w:rPr>
        <w:t xml:space="preserve">appel des </w:t>
      </w:r>
      <w:r w:rsidRPr="00BB655E">
        <w:rPr>
          <w:lang w:val="fr-FR"/>
        </w:rPr>
        <w:t>Nations Unies</w:t>
      </w:r>
      <w:r w:rsidR="00155653" w:rsidRPr="00BB655E">
        <w:rPr>
          <w:lang w:val="fr-FR"/>
        </w:rPr>
        <w:t>, respectivement, ont été saisis de la question de savoir si le Statut de</w:t>
      </w:r>
      <w:r w:rsidRPr="00BB655E">
        <w:rPr>
          <w:lang w:val="fr-FR"/>
        </w:rPr>
        <w:t xml:space="preserve"> la CFP</w:t>
      </w:r>
      <w:r w:rsidR="00155653" w:rsidRPr="00BB655E">
        <w:rPr>
          <w:lang w:val="fr-FR"/>
        </w:rPr>
        <w:t>I l</w:t>
      </w:r>
      <w:r w:rsidRPr="00BB655E">
        <w:rPr>
          <w:lang w:val="fr-FR"/>
        </w:rPr>
        <w:t>’</w:t>
      </w:r>
      <w:r w:rsidR="00155653" w:rsidRPr="00BB655E">
        <w:rPr>
          <w:lang w:val="fr-FR"/>
        </w:rPr>
        <w:t>habilitait à fixer la valeur des coefficients d</w:t>
      </w:r>
      <w:r w:rsidRPr="00BB655E">
        <w:rPr>
          <w:lang w:val="fr-FR"/>
        </w:rPr>
        <w:t>’</w:t>
      </w:r>
      <w:r w:rsidR="00155653" w:rsidRPr="00BB655E">
        <w:rPr>
          <w:lang w:val="fr-FR"/>
        </w:rPr>
        <w:t>ajustement.</w:t>
      </w:r>
    </w:p>
    <w:p w:rsidR="002F112E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Par cinq</w:t>
      </w:r>
      <w:r w:rsidR="00E95D9A" w:rsidRPr="00BB655E">
        <w:rPr>
          <w:lang w:val="fr-FR"/>
        </w:rPr>
        <w:t> </w:t>
      </w:r>
      <w:r w:rsidRPr="00BB655E">
        <w:rPr>
          <w:lang w:val="fr-FR"/>
        </w:rPr>
        <w:t xml:space="preserve">jugements rendus </w:t>
      </w:r>
      <w:r w:rsidR="002F112E" w:rsidRPr="00BB655E">
        <w:rPr>
          <w:lang w:val="fr-FR"/>
        </w:rPr>
        <w:t>en 2019</w:t>
      </w:r>
      <w:r w:rsidRPr="00BB655E">
        <w:rPr>
          <w:lang w:val="fr-FR"/>
        </w:rPr>
        <w:t xml:space="preserve"> sur la question</w:t>
      </w:r>
      <w:r w:rsidRPr="00BB655E">
        <w:rPr>
          <w:rStyle w:val="FootnoteReference"/>
          <w:lang w:val="fr-FR"/>
        </w:rPr>
        <w:footnoteReference w:id="3"/>
      </w:r>
      <w:r w:rsidRPr="00BB655E">
        <w:rPr>
          <w:lang w:val="fr-FR"/>
        </w:rPr>
        <w:t>, le Tribunal administratif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OIT a jugé que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 n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était pas habilitée à fixer la valeur des coefficients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ajustement au titre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article 11.c) de son Statut</w:t>
      </w:r>
      <w:r w:rsidRPr="00BB655E">
        <w:rPr>
          <w:rStyle w:val="FootnoteReference"/>
          <w:lang w:val="fr-FR"/>
        </w:rPr>
        <w:footnoteReference w:id="4"/>
      </w:r>
      <w:r w:rsidRPr="00BB655E">
        <w:rPr>
          <w:lang w:val="fr-FR"/>
        </w:rPr>
        <w:t>.  Selon ce Tribunal, le pouvoir de fixer la valeur des coefficients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ajustement relevait “exclusivement de la compétence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Assemblée générale”</w:t>
      </w:r>
      <w:r w:rsidRPr="00BB655E">
        <w:rPr>
          <w:rStyle w:val="FootnoteReference"/>
          <w:lang w:val="fr-FR"/>
        </w:rPr>
        <w:footnoteReference w:id="5"/>
      </w:r>
      <w:r w:rsidRPr="00BB655E">
        <w:rPr>
          <w:lang w:val="fr-FR"/>
        </w:rPr>
        <w:t>.  Par ailleurs, le Tribunal administratif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OIT a déclaré que si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Assemblée générale souhaitait conférer un pouvoir décisionnel à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I, elle devrait amender le Statut conformément aux dispositions de son article 30</w:t>
      </w:r>
      <w:r w:rsidRPr="00BB655E">
        <w:rPr>
          <w:rStyle w:val="FootnoteReference"/>
          <w:lang w:val="fr-FR"/>
        </w:rPr>
        <w:footnoteReference w:id="6"/>
      </w:r>
      <w:r w:rsidRPr="00BB655E">
        <w:rPr>
          <w:lang w:val="fr-FR"/>
        </w:rPr>
        <w:t>.  Quant à la pratique 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 visée au point 7 ci</w:t>
      </w:r>
      <w:r w:rsidR="00E062BA">
        <w:rPr>
          <w:lang w:val="fr-FR"/>
        </w:rPr>
        <w:noBreakHyphen/>
      </w:r>
      <w:r w:rsidRPr="00BB655E">
        <w:rPr>
          <w:lang w:val="fr-FR"/>
        </w:rPr>
        <w:t>dessus, le Tribunal administratif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OIT a eu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occasion de rappeler, dans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un des cinq</w:t>
      </w:r>
      <w:r w:rsidR="00E95D9A" w:rsidRPr="00BB655E">
        <w:rPr>
          <w:lang w:val="fr-FR"/>
        </w:rPr>
        <w:t> </w:t>
      </w:r>
      <w:r w:rsidRPr="00BB655E">
        <w:rPr>
          <w:lang w:val="fr-FR"/>
        </w:rPr>
        <w:t xml:space="preserve">jugements, sa </w:t>
      </w:r>
      <w:r w:rsidRPr="00BB655E">
        <w:rPr>
          <w:lang w:val="fr-FR"/>
        </w:rPr>
        <w:lastRenderedPageBreak/>
        <w:t>jurisprudence constante selon laquelle “une pratique ne peut se voir reconnaître de valeur juridique si elle contrevient à une norme de droit écrit en vigueur”</w:t>
      </w:r>
      <w:r w:rsidRPr="00BB655E">
        <w:rPr>
          <w:vertAlign w:val="superscript"/>
          <w:lang w:val="fr-FR"/>
        </w:rPr>
        <w:footnoteReference w:id="7"/>
      </w:r>
      <w:r w:rsidRPr="00BB655E">
        <w:rPr>
          <w:lang w:val="fr-FR"/>
        </w:rPr>
        <w:t>.</w:t>
      </w:r>
    </w:p>
    <w:p w:rsidR="002F112E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À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inverse, le Tribunal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 xml:space="preserve">appel des </w:t>
      </w:r>
      <w:r w:rsidR="002F112E" w:rsidRPr="00BB655E">
        <w:rPr>
          <w:lang w:val="fr-FR"/>
        </w:rPr>
        <w:t>Nations Unies</w:t>
      </w:r>
      <w:r w:rsidRPr="00BB655E">
        <w:rPr>
          <w:lang w:val="fr-FR"/>
        </w:rPr>
        <w:t xml:space="preserve"> a déclaré, dans son jugement rendu </w:t>
      </w:r>
      <w:r w:rsidR="002F112E" w:rsidRPr="00BB655E">
        <w:rPr>
          <w:lang w:val="fr-FR"/>
        </w:rPr>
        <w:t>en 2021</w:t>
      </w:r>
      <w:r w:rsidRPr="00BB655E">
        <w:rPr>
          <w:lang w:val="fr-FR"/>
        </w:rPr>
        <w:t>, que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 était habilitée à fixer la valeur des coefficients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ajusteme</w:t>
      </w:r>
      <w:r w:rsidR="00BB655E" w:rsidRPr="00BB655E">
        <w:rPr>
          <w:lang w:val="fr-FR"/>
        </w:rPr>
        <w:t>nt.  Il</w:t>
      </w:r>
      <w:r w:rsidRPr="00BB655E">
        <w:rPr>
          <w:lang w:val="fr-FR"/>
        </w:rPr>
        <w:t xml:space="preserve"> a jugé que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approbation ultérieure par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Assemblée générale de la pratique suivie par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 xml:space="preserve">I au fil des années “corrigeait en droit” “[t]out acte </w:t>
      </w:r>
      <w:r w:rsidRPr="00BB655E">
        <w:rPr>
          <w:i/>
          <w:iCs/>
          <w:lang w:val="fr-FR"/>
        </w:rPr>
        <w:t xml:space="preserve">ultra vires </w:t>
      </w:r>
      <w:r w:rsidRPr="00BB655E">
        <w:rPr>
          <w:lang w:val="fr-FR"/>
        </w:rPr>
        <w:t>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I” concernant les coefficients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ajustement</w:t>
      </w:r>
      <w:r w:rsidRPr="00BB655E">
        <w:rPr>
          <w:rStyle w:val="FootnoteReference"/>
          <w:lang w:val="fr-FR"/>
        </w:rPr>
        <w:footnoteReference w:id="8"/>
      </w:r>
      <w:r w:rsidRPr="00BB655E">
        <w:rPr>
          <w:lang w:val="fr-FR"/>
        </w:rPr>
        <w:t>.  Néanmoins, le Tribunal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appel a confirmé que “dans un souci de clarté et pour éviter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autres erreurs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interprétation semblables à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avenir”, le texte des articles 10 et 11 du Statut devait être “actualis[é] officiellement” en tenant compte du “mode de fonctionnement actuel”</w:t>
      </w:r>
      <w:r w:rsidRPr="00BB655E">
        <w:rPr>
          <w:rStyle w:val="FootnoteReference"/>
          <w:lang w:val="fr-FR"/>
        </w:rPr>
        <w:footnoteReference w:id="9"/>
      </w:r>
      <w:r w:rsidRPr="00BB655E">
        <w:rPr>
          <w:lang w:val="fr-FR"/>
        </w:rPr>
        <w:t>.</w:t>
      </w:r>
    </w:p>
    <w:p w:rsidR="00155653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Si les points de vue du Tribunal administratif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OIT et du Tribunal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 xml:space="preserve">appel des </w:t>
      </w:r>
      <w:r w:rsidR="002F112E" w:rsidRPr="00BB655E">
        <w:rPr>
          <w:lang w:val="fr-FR"/>
        </w:rPr>
        <w:t>Nations Unies</w:t>
      </w:r>
      <w:r w:rsidRPr="00BB655E">
        <w:rPr>
          <w:lang w:val="fr-FR"/>
        </w:rPr>
        <w:t xml:space="preserve"> divergeaient sur la question de la compétence 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I, ils convergeaient, en revanche, sur la nécessité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amender le Statut (comme expliqué aux points 9 et 10 ci</w:t>
      </w:r>
      <w:r w:rsidR="00E062BA">
        <w:rPr>
          <w:lang w:val="fr-FR"/>
        </w:rPr>
        <w:noBreakHyphen/>
      </w:r>
      <w:r w:rsidRPr="00BB655E">
        <w:rPr>
          <w:lang w:val="fr-FR"/>
        </w:rPr>
        <w:t>dessus).</w:t>
      </w:r>
    </w:p>
    <w:p w:rsidR="002F112E" w:rsidRPr="00BB655E" w:rsidRDefault="00B12551" w:rsidP="00A50A8B">
      <w:pPr>
        <w:pStyle w:val="ONUMFS"/>
        <w:rPr>
          <w:lang w:val="fr-FR"/>
        </w:rPr>
      </w:pPr>
      <w:r w:rsidRPr="00BB655E">
        <w:rPr>
          <w:lang w:val="fr-FR"/>
        </w:rPr>
        <w:t>Ce qui précède fournit le contexte de la décision de l</w:t>
      </w:r>
      <w:r w:rsidR="002F112E" w:rsidRPr="00BB655E">
        <w:rPr>
          <w:lang w:val="fr-FR"/>
        </w:rPr>
        <w:t>’</w:t>
      </w:r>
      <w:r w:rsidR="00996485" w:rsidRPr="00BB655E">
        <w:rPr>
          <w:lang w:val="fr-FR"/>
        </w:rPr>
        <w:t>Assemblée générale</w:t>
      </w:r>
      <w:r w:rsidRPr="00BB655E">
        <w:rPr>
          <w:lang w:val="fr-FR"/>
        </w:rPr>
        <w:t>, prise en décembre 2022, de modifier le Statut de</w:t>
      </w:r>
      <w:r w:rsidR="002F112E" w:rsidRPr="00BB655E">
        <w:rPr>
          <w:lang w:val="fr-FR"/>
        </w:rPr>
        <w:t xml:space="preserve"> la C</w:t>
      </w:r>
      <w:r w:rsidR="00BB655E" w:rsidRPr="00BB655E">
        <w:rPr>
          <w:lang w:val="fr-FR"/>
        </w:rPr>
        <w:t>FPI.  De</w:t>
      </w:r>
      <w:r w:rsidRPr="00BB655E">
        <w:rPr>
          <w:lang w:val="fr-FR"/>
        </w:rPr>
        <w:t>puis lors, et a</w:t>
      </w:r>
      <w:r w:rsidR="00155653" w:rsidRPr="00BB655E">
        <w:rPr>
          <w:lang w:val="fr-FR"/>
        </w:rPr>
        <w:t>u moment de la rédaction du présent document, un certain nombre d</w:t>
      </w:r>
      <w:r w:rsidR="002F112E" w:rsidRPr="00BB655E">
        <w:rPr>
          <w:lang w:val="fr-FR"/>
        </w:rPr>
        <w:t>’</w:t>
      </w:r>
      <w:r w:rsidR="00155653" w:rsidRPr="00BB655E">
        <w:rPr>
          <w:lang w:val="fr-FR"/>
        </w:rPr>
        <w:t>agences spécialisées ont soit accepté les amendements du Statut de</w:t>
      </w:r>
      <w:r w:rsidR="002F112E" w:rsidRPr="00BB655E">
        <w:rPr>
          <w:lang w:val="fr-FR"/>
        </w:rPr>
        <w:t xml:space="preserve"> la CFP</w:t>
      </w:r>
      <w:r w:rsidR="00155653" w:rsidRPr="00BB655E">
        <w:rPr>
          <w:lang w:val="fr-FR"/>
        </w:rPr>
        <w:t>I adoptés par l</w:t>
      </w:r>
      <w:r w:rsidR="002F112E" w:rsidRPr="00BB655E">
        <w:rPr>
          <w:lang w:val="fr-FR"/>
        </w:rPr>
        <w:t>’</w:t>
      </w:r>
      <w:r w:rsidR="00155653" w:rsidRPr="00BB655E">
        <w:rPr>
          <w:lang w:val="fr-FR"/>
        </w:rPr>
        <w:t>Assemblée générale, soit ont lancé une procédure en vue de les faire adopter par leurs organes directeurs respectifs</w:t>
      </w:r>
      <w:r w:rsidR="00155653" w:rsidRPr="00BB655E">
        <w:rPr>
          <w:rStyle w:val="FootnoteReference"/>
          <w:lang w:val="fr-FR"/>
        </w:rPr>
        <w:footnoteReference w:id="10"/>
      </w:r>
      <w:r w:rsidR="00155653" w:rsidRPr="00BB655E">
        <w:rPr>
          <w:lang w:val="fr-FR"/>
        </w:rPr>
        <w:t>.</w:t>
      </w:r>
    </w:p>
    <w:p w:rsidR="00155653" w:rsidRPr="00BB655E" w:rsidRDefault="00996485" w:rsidP="00A50A8B">
      <w:pPr>
        <w:pStyle w:val="Heading1"/>
      </w:pPr>
      <w:r w:rsidRPr="00BB655E">
        <w:t>III.</w:t>
      </w:r>
      <w:r w:rsidRPr="00BB655E">
        <w:tab/>
      </w:r>
      <w:r w:rsidR="00A50A8B" w:rsidRPr="00BB655E">
        <w:t>Procédure d</w:t>
      </w:r>
      <w:r w:rsidR="002F112E" w:rsidRPr="00BB655E">
        <w:t>’</w:t>
      </w:r>
      <w:r w:rsidR="00E15EC1">
        <w:t>acceptation des amendements du S</w:t>
      </w:r>
      <w:r w:rsidR="00A50A8B" w:rsidRPr="00BB655E">
        <w:t>tatut</w:t>
      </w:r>
    </w:p>
    <w:p w:rsidR="00155653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Le Statut 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 contient des dispositions sur la procédure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acceptation des amendements du Statut proposés par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Assemblée généra</w:t>
      </w:r>
      <w:r w:rsidR="00BB655E" w:rsidRPr="00BB655E">
        <w:rPr>
          <w:lang w:val="fr-FR"/>
        </w:rPr>
        <w:t>le.  Co</w:t>
      </w:r>
      <w:r w:rsidRPr="00BB655E">
        <w:rPr>
          <w:lang w:val="fr-FR"/>
        </w:rPr>
        <w:t>nformément à son article 30, “[l]es amendements sont soumis à la même procédure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acceptation que le présent statut”. 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article 1.3) dispose, quant à lui, que “[l]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 xml:space="preserve">acceptation du statut” par une agence spécialisée ou une autre organisation qui applique le régime commun des </w:t>
      </w:r>
      <w:r w:rsidR="002F112E" w:rsidRPr="00BB655E">
        <w:rPr>
          <w:lang w:val="fr-FR"/>
        </w:rPr>
        <w:t>Nations Unies</w:t>
      </w:r>
      <w:r w:rsidRPr="00BB655E">
        <w:rPr>
          <w:lang w:val="fr-FR"/>
        </w:rPr>
        <w:t xml:space="preserve"> “est notifiée par écrit au Secrétaire général par son chef de secrétariat”.</w:t>
      </w:r>
    </w:p>
    <w:p w:rsidR="00155653" w:rsidRPr="00BB655E" w:rsidRDefault="002F112E" w:rsidP="00A50A8B">
      <w:pPr>
        <w:pStyle w:val="ONUMFS"/>
        <w:rPr>
          <w:lang w:val="fr-FR"/>
        </w:rPr>
      </w:pPr>
      <w:r w:rsidRPr="00BB655E">
        <w:rPr>
          <w:lang w:val="fr-FR"/>
        </w:rPr>
        <w:t>En 1975</w:t>
      </w:r>
      <w:r w:rsidR="00155653" w:rsidRPr="00BB655E">
        <w:rPr>
          <w:lang w:val="fr-FR"/>
        </w:rPr>
        <w:t>, le Comité de coordination de l</w:t>
      </w:r>
      <w:r w:rsidRPr="00BB655E">
        <w:rPr>
          <w:lang w:val="fr-FR"/>
        </w:rPr>
        <w:t>’</w:t>
      </w:r>
      <w:r w:rsidR="00155653" w:rsidRPr="00BB655E">
        <w:rPr>
          <w:lang w:val="fr-FR"/>
        </w:rPr>
        <w:t>OMPI a approuvé l</w:t>
      </w:r>
      <w:r w:rsidRPr="00BB655E">
        <w:rPr>
          <w:lang w:val="fr-FR"/>
        </w:rPr>
        <w:t>’</w:t>
      </w:r>
      <w:r w:rsidR="00155653" w:rsidRPr="00BB655E">
        <w:rPr>
          <w:lang w:val="fr-FR"/>
        </w:rPr>
        <w:t>acceptation par l</w:t>
      </w:r>
      <w:r w:rsidRPr="00BB655E">
        <w:rPr>
          <w:lang w:val="fr-FR"/>
        </w:rPr>
        <w:t>’</w:t>
      </w:r>
      <w:r w:rsidR="00155653" w:rsidRPr="00BB655E">
        <w:rPr>
          <w:lang w:val="fr-FR"/>
        </w:rPr>
        <w:t>OMPI du Statut de</w:t>
      </w:r>
      <w:r w:rsidRPr="00BB655E">
        <w:rPr>
          <w:lang w:val="fr-FR"/>
        </w:rPr>
        <w:t xml:space="preserve"> la CFP</w:t>
      </w:r>
      <w:r w:rsidR="00155653" w:rsidRPr="00BB655E">
        <w:rPr>
          <w:lang w:val="fr-FR"/>
        </w:rPr>
        <w:t>I, que le Directeur général de l</w:t>
      </w:r>
      <w:r w:rsidRPr="00BB655E">
        <w:rPr>
          <w:lang w:val="fr-FR"/>
        </w:rPr>
        <w:t>’</w:t>
      </w:r>
      <w:r w:rsidR="00155653" w:rsidRPr="00BB655E">
        <w:rPr>
          <w:lang w:val="fr-FR"/>
        </w:rPr>
        <w:t>époque a officiellement notifiée au Secrétaire général</w:t>
      </w:r>
      <w:r w:rsidR="00155653" w:rsidRPr="00BB655E">
        <w:rPr>
          <w:rStyle w:val="FootnoteReference"/>
          <w:lang w:val="fr-FR"/>
        </w:rPr>
        <w:footnoteReference w:id="11"/>
      </w:r>
      <w:r w:rsidR="00155653" w:rsidRPr="00BB655E">
        <w:rPr>
          <w:lang w:val="fr-FR"/>
        </w:rPr>
        <w:t>.</w:t>
      </w:r>
    </w:p>
    <w:p w:rsidR="00155653" w:rsidRPr="00BB655E" w:rsidRDefault="00155653" w:rsidP="00A50A8B">
      <w:pPr>
        <w:pStyle w:val="ONUMFS"/>
        <w:rPr>
          <w:lang w:val="fr-FR"/>
        </w:rPr>
      </w:pPr>
      <w:r w:rsidRPr="00BB655E">
        <w:rPr>
          <w:lang w:val="fr-FR"/>
        </w:rPr>
        <w:t>Par conséquent, le Comité de coordination de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OMPI est invité à approuver de la même manière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acceptation par 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OMPI des amendements du Statut, laquelle sera dûment notifiée par écrit au Secrétaire général par le Directeur général, cette notification mettant un terme à la procédure d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acceptation des amendements du Statut de</w:t>
      </w:r>
      <w:r w:rsidR="002F112E" w:rsidRPr="00BB655E">
        <w:rPr>
          <w:lang w:val="fr-FR"/>
        </w:rPr>
        <w:t xml:space="preserve"> la CFP</w:t>
      </w:r>
      <w:r w:rsidRPr="00BB655E">
        <w:rPr>
          <w:lang w:val="fr-FR"/>
        </w:rPr>
        <w:t>I.</w:t>
      </w:r>
    </w:p>
    <w:p w:rsidR="002F112E" w:rsidRPr="00BB655E" w:rsidRDefault="00155653" w:rsidP="00A50A8B">
      <w:pPr>
        <w:pStyle w:val="ONUMFS"/>
        <w:ind w:left="5533"/>
        <w:rPr>
          <w:i/>
          <w:lang w:val="fr-FR"/>
        </w:rPr>
      </w:pPr>
      <w:r w:rsidRPr="00BB655E">
        <w:rPr>
          <w:i/>
          <w:lang w:val="fr-FR"/>
        </w:rPr>
        <w:t>Le Comité de coordination de l</w:t>
      </w:r>
      <w:r w:rsidR="002F112E" w:rsidRPr="00BB655E">
        <w:rPr>
          <w:i/>
          <w:lang w:val="fr-FR"/>
        </w:rPr>
        <w:t>’</w:t>
      </w:r>
      <w:r w:rsidRPr="00BB655E">
        <w:rPr>
          <w:i/>
          <w:lang w:val="fr-FR"/>
        </w:rPr>
        <w:t>OMPI est invité à approuver les amendements du Statut de la Commission de la fonction publique internationale indiqués à l</w:t>
      </w:r>
      <w:r w:rsidR="002F112E" w:rsidRPr="00BB655E">
        <w:rPr>
          <w:i/>
          <w:lang w:val="fr-FR"/>
        </w:rPr>
        <w:t>’</w:t>
      </w:r>
      <w:r w:rsidRPr="00BB655E">
        <w:rPr>
          <w:i/>
          <w:lang w:val="fr-FR"/>
        </w:rPr>
        <w:t>annexe du document WO/CC/82/</w:t>
      </w:r>
      <w:r w:rsidR="00996485" w:rsidRPr="00BB655E">
        <w:rPr>
          <w:i/>
          <w:lang w:val="fr-FR"/>
        </w:rPr>
        <w:t>3</w:t>
      </w:r>
      <w:r w:rsidRPr="00BB655E">
        <w:rPr>
          <w:i/>
          <w:lang w:val="fr-FR"/>
        </w:rPr>
        <w:t xml:space="preserve">, qui sera notifié par écrit au Secrétaire général des </w:t>
      </w:r>
      <w:r w:rsidR="002F112E" w:rsidRPr="00BB655E">
        <w:rPr>
          <w:i/>
          <w:lang w:val="fr-FR"/>
        </w:rPr>
        <w:t>Nations Unies</w:t>
      </w:r>
      <w:r w:rsidRPr="00BB655E">
        <w:rPr>
          <w:i/>
          <w:lang w:val="fr-FR"/>
        </w:rPr>
        <w:t xml:space="preserve"> par le Directeur général.</w:t>
      </w:r>
    </w:p>
    <w:p w:rsidR="00155653" w:rsidRPr="00BB655E" w:rsidRDefault="00155653" w:rsidP="00A50A8B">
      <w:pPr>
        <w:pStyle w:val="Endofdocument-Annex"/>
        <w:rPr>
          <w:lang w:val="fr-FR"/>
        </w:rPr>
      </w:pPr>
      <w:r w:rsidRPr="00BB655E">
        <w:rPr>
          <w:lang w:val="fr-FR"/>
        </w:rPr>
        <w:t>[L</w:t>
      </w:r>
      <w:r w:rsidR="002F112E" w:rsidRPr="00BB655E">
        <w:rPr>
          <w:lang w:val="fr-FR"/>
        </w:rPr>
        <w:t>’</w:t>
      </w:r>
      <w:r w:rsidRPr="00BB655E">
        <w:rPr>
          <w:lang w:val="fr-FR"/>
        </w:rPr>
        <w:t>annexe suit]</w:t>
      </w:r>
    </w:p>
    <w:p w:rsidR="00155653" w:rsidRPr="00BB655E" w:rsidRDefault="00155653" w:rsidP="00155653">
      <w:pPr>
        <w:rPr>
          <w:lang w:val="fr-FR"/>
        </w:rPr>
        <w:sectPr w:rsidR="00155653" w:rsidRPr="00BB655E" w:rsidSect="00CE2B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55653" w:rsidRPr="00BB655E" w:rsidRDefault="00155653" w:rsidP="00B12551">
      <w:pPr>
        <w:spacing w:after="240"/>
        <w:jc w:val="center"/>
        <w:rPr>
          <w:b/>
          <w:lang w:val="fr-FR"/>
        </w:rPr>
      </w:pPr>
      <w:r w:rsidRPr="00BB655E">
        <w:rPr>
          <w:b/>
          <w:lang w:val="fr-FR"/>
        </w:rPr>
        <w:lastRenderedPageBreak/>
        <w:t>AMENDEMENTS DU STATUT DE LA CFPI</w:t>
      </w:r>
    </w:p>
    <w:tbl>
      <w:tblPr>
        <w:tblStyle w:val="TableGrid"/>
        <w:tblW w:w="14628" w:type="dxa"/>
        <w:tblInd w:w="562" w:type="dxa"/>
        <w:tblLook w:val="04A0" w:firstRow="1" w:lastRow="0" w:firstColumn="1" w:lastColumn="0" w:noHBand="0" w:noVBand="1"/>
        <w:tblCaption w:val="AMENDMENTS TO STATUTE OF THE ICSC"/>
        <w:tblDescription w:val="AMENDMENTS TO STATUTE OF THE ICSC"/>
      </w:tblPr>
      <w:tblGrid>
        <w:gridCol w:w="4876"/>
        <w:gridCol w:w="4876"/>
        <w:gridCol w:w="4876"/>
      </w:tblGrid>
      <w:tr w:rsidR="00B12551" w:rsidRPr="00BB655E" w:rsidTr="00B12551">
        <w:trPr>
          <w:tblHeader/>
        </w:trPr>
        <w:tc>
          <w:tcPr>
            <w:tcW w:w="4876" w:type="dxa"/>
            <w:shd w:val="clear" w:color="auto" w:fill="FABF8F" w:themeFill="accent6" w:themeFillTint="99"/>
          </w:tcPr>
          <w:p w:rsidR="00155653" w:rsidRPr="00BB655E" w:rsidRDefault="00155653" w:rsidP="003D4F7C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fr-FR"/>
              </w:rPr>
            </w:pPr>
            <w:r w:rsidRPr="00BB655E">
              <w:rPr>
                <w:b/>
                <w:sz w:val="20"/>
                <w:szCs w:val="20"/>
                <w:lang w:val="fr-FR"/>
              </w:rPr>
              <w:t>Texte original</w:t>
            </w:r>
          </w:p>
        </w:tc>
        <w:tc>
          <w:tcPr>
            <w:tcW w:w="4876" w:type="dxa"/>
            <w:shd w:val="clear" w:color="auto" w:fill="FABF8F" w:themeFill="accent6" w:themeFillTint="99"/>
          </w:tcPr>
          <w:p w:rsidR="00155653" w:rsidRPr="00BB655E" w:rsidRDefault="00155653" w:rsidP="003D4F7C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fr-FR"/>
              </w:rPr>
            </w:pPr>
            <w:r w:rsidRPr="00BB655E">
              <w:rPr>
                <w:b/>
                <w:sz w:val="20"/>
                <w:szCs w:val="20"/>
                <w:lang w:val="fr-FR"/>
              </w:rPr>
              <w:t>Amendements</w:t>
            </w:r>
          </w:p>
          <w:p w:rsidR="00155653" w:rsidRPr="00BB655E" w:rsidRDefault="00155653" w:rsidP="003D4F7C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fr-FR"/>
              </w:rPr>
            </w:pPr>
            <w:r w:rsidRPr="00BB655E">
              <w:rPr>
                <w:b/>
                <w:sz w:val="20"/>
                <w:szCs w:val="20"/>
                <w:lang w:val="fr-FR"/>
              </w:rPr>
              <w:t>(“suivi des modifications”)</w:t>
            </w:r>
          </w:p>
        </w:tc>
        <w:tc>
          <w:tcPr>
            <w:tcW w:w="4876" w:type="dxa"/>
            <w:shd w:val="clear" w:color="auto" w:fill="FABF8F" w:themeFill="accent6" w:themeFillTint="99"/>
          </w:tcPr>
          <w:p w:rsidR="00155653" w:rsidRPr="00BB655E" w:rsidRDefault="00155653" w:rsidP="003D4F7C">
            <w:pPr>
              <w:pStyle w:val="ListParagraph"/>
              <w:ind w:left="0"/>
              <w:jc w:val="center"/>
              <w:rPr>
                <w:b/>
                <w:sz w:val="20"/>
                <w:szCs w:val="20"/>
                <w:lang w:val="fr-FR"/>
              </w:rPr>
            </w:pPr>
            <w:r w:rsidRPr="00BB655E">
              <w:rPr>
                <w:b/>
                <w:sz w:val="20"/>
                <w:szCs w:val="20"/>
                <w:lang w:val="fr-FR"/>
              </w:rPr>
              <w:t>Texte final “nettoyé”</w:t>
            </w:r>
          </w:p>
        </w:tc>
      </w:tr>
      <w:tr w:rsidR="00B12551" w:rsidRPr="00BB655E" w:rsidTr="00B12551">
        <w:tc>
          <w:tcPr>
            <w:tcW w:w="4876" w:type="dxa"/>
          </w:tcPr>
          <w:p w:rsidR="00155653" w:rsidRPr="00BB655E" w:rsidRDefault="002F112E" w:rsidP="003D4F7C">
            <w:pPr>
              <w:spacing w:before="240" w:after="24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Article 1</w:t>
            </w:r>
            <w:r w:rsidR="00155653" w:rsidRPr="00BB655E">
              <w:rPr>
                <w:sz w:val="20"/>
                <w:szCs w:val="20"/>
                <w:lang w:val="fr-FR"/>
              </w:rPr>
              <w:t>0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La Commission fait à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Assemblée des recommandations touchant</w:t>
            </w:r>
            <w:r w:rsidR="002F112E" w:rsidRPr="00BB655E">
              <w:rPr>
                <w:sz w:val="20"/>
                <w:szCs w:val="20"/>
                <w:lang w:val="fr-FR"/>
              </w:rPr>
              <w:t> :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a) Les principes généraux applicables à la détermination des conditions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emploi des fonctionnaires;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b) Le barème des traitements et des ajustements (indemnités de poste ou déductions) pour les fonctionnaires de la catégorie des administrateurs et des catégories supérieures;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c) Les indemnités et prestations auxquelles ont droit les fonctionnaires et qui sont fixées par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Assemblée générale*;</w:t>
            </w:r>
          </w:p>
          <w:p w:rsidR="00155653" w:rsidRPr="00BB655E" w:rsidRDefault="00155653" w:rsidP="003D4F7C">
            <w:pPr>
              <w:spacing w:after="480"/>
              <w:rPr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d) Les contributions du personnel.</w:t>
            </w:r>
          </w:p>
          <w:p w:rsidR="00155653" w:rsidRPr="00BB655E" w:rsidRDefault="002F112E" w:rsidP="003D4F7C">
            <w:pPr>
              <w:spacing w:before="240" w:after="24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Article 1</w:t>
            </w:r>
            <w:r w:rsidR="00155653" w:rsidRPr="00BB655E">
              <w:rPr>
                <w:sz w:val="20"/>
                <w:szCs w:val="20"/>
                <w:lang w:val="fr-FR"/>
              </w:rPr>
              <w:t>1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La Commission fixe</w:t>
            </w:r>
            <w:r w:rsidR="002F112E" w:rsidRPr="00BB655E">
              <w:rPr>
                <w:sz w:val="20"/>
                <w:szCs w:val="20"/>
                <w:lang w:val="fr-FR"/>
              </w:rPr>
              <w:t> :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a) Les modalités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application des principes applicables à la détermination des conditions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emploi;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b) Le taux des indemnités et des prestations autres que celles visées à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alinéa c de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article 10 et les pensions, les conditions à remplir pour en bénéficier et les normes applicables aux voyages;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c) Le classement des lieux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affectation aux fins de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application des ajustements (indemnités de poste ou déductions).</w:t>
            </w:r>
          </w:p>
        </w:tc>
        <w:tc>
          <w:tcPr>
            <w:tcW w:w="4876" w:type="dxa"/>
          </w:tcPr>
          <w:p w:rsidR="00155653" w:rsidRPr="00BB655E" w:rsidRDefault="002F112E" w:rsidP="003D4F7C">
            <w:pPr>
              <w:spacing w:before="240" w:after="24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Article 1</w:t>
            </w:r>
            <w:r w:rsidR="00155653" w:rsidRPr="00BB655E">
              <w:rPr>
                <w:sz w:val="20"/>
                <w:szCs w:val="20"/>
                <w:lang w:val="fr-FR"/>
              </w:rPr>
              <w:t>0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La Commission fait à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Assemblée générale des recommandations touchant</w:t>
            </w:r>
            <w:r w:rsidR="002F112E" w:rsidRPr="00BB655E">
              <w:rPr>
                <w:sz w:val="20"/>
                <w:szCs w:val="20"/>
                <w:lang w:val="fr-FR"/>
              </w:rPr>
              <w:t> :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a) Les principes généraux applicables à la détermination des conditions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emploi des fonctionnaires;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 xml:space="preserve">b) Le barème des traitements et </w:t>
            </w:r>
            <w:r w:rsidR="00B12551" w:rsidRPr="00BB655E">
              <w:rPr>
                <w:strike/>
                <w:color w:val="FF0000"/>
                <w:sz w:val="20"/>
                <w:szCs w:val="20"/>
                <w:lang w:val="fr-FR"/>
              </w:rPr>
              <w:t xml:space="preserve">des </w:t>
            </w:r>
            <w:r w:rsidRPr="00BB655E">
              <w:rPr>
                <w:color w:val="FF0000"/>
                <w:sz w:val="20"/>
                <w:szCs w:val="20"/>
                <w:lang w:val="fr-FR"/>
              </w:rPr>
              <w:t>la valeur du coefficient</w:t>
            </w:r>
            <w:r w:rsidRPr="00BB655E">
              <w:rPr>
                <w:sz w:val="20"/>
                <w:szCs w:val="20"/>
                <w:lang w:val="fr-FR"/>
              </w:rPr>
              <w:t xml:space="preserve"> </w:t>
            </w:r>
            <w:r w:rsidRPr="00BB655E">
              <w:rPr>
                <w:color w:val="FF0000"/>
                <w:sz w:val="20"/>
                <w:szCs w:val="20"/>
                <w:lang w:val="fr-FR"/>
              </w:rPr>
              <w:t>d</w:t>
            </w:r>
            <w:r w:rsidR="002F112E" w:rsidRPr="00BB655E">
              <w:rPr>
                <w:color w:val="FF0000"/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ajustement</w:t>
            </w:r>
            <w:r w:rsidRPr="00BB655E">
              <w:rPr>
                <w:strike/>
                <w:color w:val="FF0000"/>
                <w:sz w:val="20"/>
                <w:szCs w:val="20"/>
                <w:lang w:val="fr-FR"/>
              </w:rPr>
              <w:t>s (indemnités de poste ou déductions)</w:t>
            </w:r>
            <w:r w:rsidRPr="00BB655E">
              <w:rPr>
                <w:sz w:val="20"/>
                <w:szCs w:val="20"/>
                <w:lang w:val="fr-FR"/>
              </w:rPr>
              <w:t xml:space="preserve"> pour les fonctionnaires de la catégorie des administrateurs et des catégories supérieures;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c) Les indemnités et prestations auxquelles ont droit les fonctionnaires et qui sont fixées par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Assemblée générale*;</w:t>
            </w:r>
          </w:p>
          <w:p w:rsidR="002F112E" w:rsidRPr="00BB655E" w:rsidRDefault="00155653" w:rsidP="003D4F7C">
            <w:pPr>
              <w:spacing w:after="480"/>
              <w:rPr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d) Les contributions du personnel.</w:t>
            </w:r>
          </w:p>
          <w:p w:rsidR="00155653" w:rsidRPr="00BB655E" w:rsidRDefault="002F112E" w:rsidP="003D4F7C">
            <w:pPr>
              <w:spacing w:before="240" w:after="24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Article 1</w:t>
            </w:r>
            <w:r w:rsidR="00155653" w:rsidRPr="00BB655E">
              <w:rPr>
                <w:sz w:val="20"/>
                <w:szCs w:val="20"/>
                <w:lang w:val="fr-FR"/>
              </w:rPr>
              <w:t>1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La Commission fixe</w:t>
            </w:r>
            <w:r w:rsidR="002F112E" w:rsidRPr="00BB655E">
              <w:rPr>
                <w:sz w:val="20"/>
                <w:szCs w:val="20"/>
                <w:lang w:val="fr-FR"/>
              </w:rPr>
              <w:t> :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a) Les modalités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application des principes applicables à la détermination des conditions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emploi;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b) Le taux des indemnités et des prestations autres que celles visées à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alinéa c de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article 10 et les pensions, les conditions à remplir pour en bénéficier et les normes applicables aux voyages;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 xml:space="preserve">c) </w:t>
            </w:r>
            <w:r w:rsidRPr="00BB655E">
              <w:rPr>
                <w:strike/>
                <w:color w:val="FF0000"/>
                <w:sz w:val="20"/>
                <w:szCs w:val="20"/>
                <w:lang w:val="fr-FR"/>
              </w:rPr>
              <w:t>Le classement des lieux d</w:t>
            </w:r>
            <w:r w:rsidR="002F112E" w:rsidRPr="00BB655E">
              <w:rPr>
                <w:strike/>
                <w:color w:val="FF0000"/>
                <w:sz w:val="20"/>
                <w:szCs w:val="20"/>
                <w:lang w:val="fr-FR"/>
              </w:rPr>
              <w:t>’</w:t>
            </w:r>
            <w:r w:rsidRPr="00BB655E">
              <w:rPr>
                <w:strike/>
                <w:color w:val="FF0000"/>
                <w:sz w:val="20"/>
                <w:szCs w:val="20"/>
                <w:lang w:val="fr-FR"/>
              </w:rPr>
              <w:t>affectation aux fins de l</w:t>
            </w:r>
            <w:r w:rsidR="002F112E" w:rsidRPr="00BB655E">
              <w:rPr>
                <w:strike/>
                <w:color w:val="FF0000"/>
                <w:sz w:val="20"/>
                <w:szCs w:val="20"/>
                <w:lang w:val="fr-FR"/>
              </w:rPr>
              <w:t>’</w:t>
            </w:r>
            <w:r w:rsidRPr="00BB655E">
              <w:rPr>
                <w:strike/>
                <w:color w:val="FF0000"/>
                <w:sz w:val="20"/>
                <w:szCs w:val="20"/>
                <w:lang w:val="fr-FR"/>
              </w:rPr>
              <w:t>application des ajustements (</w:t>
            </w:r>
            <w:r w:rsidRPr="00BB655E">
              <w:rPr>
                <w:color w:val="FF0000"/>
                <w:sz w:val="20"/>
                <w:szCs w:val="20"/>
                <w:lang w:val="fr-FR"/>
              </w:rPr>
              <w:t>L</w:t>
            </w:r>
            <w:r w:rsidR="002F112E" w:rsidRPr="00BB655E">
              <w:rPr>
                <w:color w:val="FF0000"/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indemnité</w:t>
            </w:r>
            <w:r w:rsidRPr="00BB655E">
              <w:rPr>
                <w:strike/>
                <w:color w:val="FF0000"/>
                <w:sz w:val="20"/>
                <w:szCs w:val="20"/>
                <w:lang w:val="fr-FR"/>
              </w:rPr>
              <w:t>s</w:t>
            </w:r>
            <w:r w:rsidRPr="00BB655E">
              <w:rPr>
                <w:sz w:val="20"/>
                <w:szCs w:val="20"/>
                <w:lang w:val="fr-FR"/>
              </w:rPr>
              <w:t xml:space="preserve"> de poste </w:t>
            </w:r>
            <w:r w:rsidRPr="00BB655E">
              <w:rPr>
                <w:strike/>
                <w:color w:val="FF0000"/>
                <w:sz w:val="20"/>
                <w:szCs w:val="20"/>
                <w:lang w:val="fr-FR"/>
              </w:rPr>
              <w:t>ou déductions).</w:t>
            </w:r>
            <w:r w:rsidRPr="00BB655E">
              <w:rPr>
                <w:color w:val="FF0000"/>
                <w:sz w:val="20"/>
                <w:szCs w:val="20"/>
                <w:lang w:val="fr-FR"/>
              </w:rPr>
              <w:t>applicable à chaque lieu d</w:t>
            </w:r>
            <w:r w:rsidR="002F112E" w:rsidRPr="00BB655E">
              <w:rPr>
                <w:color w:val="FF0000"/>
                <w:sz w:val="20"/>
                <w:szCs w:val="20"/>
                <w:lang w:val="fr-FR"/>
              </w:rPr>
              <w:t>’</w:t>
            </w:r>
            <w:r w:rsidRPr="00BB655E">
              <w:rPr>
                <w:color w:val="FF0000"/>
                <w:sz w:val="20"/>
                <w:szCs w:val="20"/>
                <w:lang w:val="fr-FR"/>
              </w:rPr>
              <w:t>affectation.</w:t>
            </w:r>
          </w:p>
        </w:tc>
        <w:tc>
          <w:tcPr>
            <w:tcW w:w="4876" w:type="dxa"/>
          </w:tcPr>
          <w:p w:rsidR="00155653" w:rsidRPr="00BB655E" w:rsidRDefault="002F112E" w:rsidP="003D4F7C">
            <w:pPr>
              <w:spacing w:before="240" w:after="24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Article 1</w:t>
            </w:r>
            <w:r w:rsidR="00155653" w:rsidRPr="00BB655E">
              <w:rPr>
                <w:sz w:val="20"/>
                <w:szCs w:val="20"/>
                <w:lang w:val="fr-FR"/>
              </w:rPr>
              <w:t>0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La Commission fait à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Assemblée générale des recommandations touchant</w:t>
            </w:r>
            <w:r w:rsidR="002F112E" w:rsidRPr="00BB655E">
              <w:rPr>
                <w:sz w:val="20"/>
                <w:szCs w:val="20"/>
                <w:lang w:val="fr-FR"/>
              </w:rPr>
              <w:t> :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a) Les principes généraux applicables à la détermination des conditions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emploi des fonctionnaires;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b) Le barème des traitements et la valeur du coefficient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ajustement pour les fonctionnaires de la catégorie des administrateurs et des catégories supérieures;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c) Les indemnités et prestations auxquelles ont droit les fonctionnaires et qui sont fixées par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Assemblée générale*;</w:t>
            </w:r>
          </w:p>
          <w:p w:rsidR="002F112E" w:rsidRPr="00BB655E" w:rsidRDefault="00155653" w:rsidP="003D4F7C">
            <w:pPr>
              <w:spacing w:after="480"/>
              <w:rPr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d) Les contributions du personnel.</w:t>
            </w:r>
          </w:p>
          <w:p w:rsidR="00155653" w:rsidRPr="00BB655E" w:rsidRDefault="002F112E" w:rsidP="003D4F7C">
            <w:pPr>
              <w:spacing w:before="240" w:after="24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Article 1</w:t>
            </w:r>
            <w:r w:rsidR="00155653" w:rsidRPr="00BB655E">
              <w:rPr>
                <w:sz w:val="20"/>
                <w:szCs w:val="20"/>
                <w:lang w:val="fr-FR"/>
              </w:rPr>
              <w:t>1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La Commission fixe</w:t>
            </w:r>
            <w:r w:rsidR="002F112E" w:rsidRPr="00BB655E">
              <w:rPr>
                <w:sz w:val="20"/>
                <w:szCs w:val="20"/>
                <w:lang w:val="fr-FR"/>
              </w:rPr>
              <w:t> :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a) Les modalités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application des principes applicables à la détermination des conditions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emploi;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b) Le taux des indemnités et des prestations autres que celles visées à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alinéa c de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article 10 et les pensions, les conditions à remplir pour en bénéficier et les normes applicables aux voyages;</w:t>
            </w:r>
          </w:p>
          <w:p w:rsidR="00155653" w:rsidRPr="00BB655E" w:rsidRDefault="00155653" w:rsidP="003D4F7C">
            <w:pPr>
              <w:pStyle w:val="ListParagraph"/>
              <w:ind w:left="0"/>
              <w:rPr>
                <w:sz w:val="20"/>
                <w:szCs w:val="20"/>
                <w:lang w:val="fr-FR"/>
              </w:rPr>
            </w:pPr>
            <w:r w:rsidRPr="00BB655E">
              <w:rPr>
                <w:sz w:val="20"/>
                <w:szCs w:val="20"/>
                <w:lang w:val="fr-FR"/>
              </w:rPr>
              <w:t>c) L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>indemnité de poste applicable à chaque lieu d</w:t>
            </w:r>
            <w:r w:rsidR="002F112E" w:rsidRPr="00BB655E">
              <w:rPr>
                <w:sz w:val="20"/>
                <w:szCs w:val="20"/>
                <w:lang w:val="fr-FR"/>
              </w:rPr>
              <w:t>’</w:t>
            </w:r>
            <w:r w:rsidRPr="00BB655E">
              <w:rPr>
                <w:sz w:val="20"/>
                <w:szCs w:val="20"/>
                <w:lang w:val="fr-FR"/>
              </w:rPr>
              <w:t xml:space="preserve">affectation. </w:t>
            </w:r>
            <w:r w:rsidR="00E95D9A" w:rsidRPr="00BB655E">
              <w:rPr>
                <w:sz w:val="20"/>
                <w:szCs w:val="20"/>
                <w:lang w:val="fr-FR"/>
              </w:rPr>
              <w:t xml:space="preserve"> </w:t>
            </w:r>
          </w:p>
        </w:tc>
      </w:tr>
    </w:tbl>
    <w:p w:rsidR="00155653" w:rsidRPr="00BB655E" w:rsidRDefault="00155653" w:rsidP="00B12551">
      <w:pPr>
        <w:pStyle w:val="ListParagraph"/>
        <w:spacing w:before="60"/>
        <w:ind w:left="567"/>
        <w:rPr>
          <w:i/>
          <w:sz w:val="18"/>
          <w:szCs w:val="20"/>
          <w:lang w:val="fr-FR"/>
        </w:rPr>
      </w:pPr>
      <w:r w:rsidRPr="00BB655E">
        <w:rPr>
          <w:i/>
          <w:sz w:val="18"/>
          <w:szCs w:val="20"/>
          <w:lang w:val="fr-FR"/>
        </w:rPr>
        <w:t>[* Note de bas de page omise]</w:t>
      </w:r>
    </w:p>
    <w:p w:rsidR="000F5E56" w:rsidRPr="00BB655E" w:rsidRDefault="00155653" w:rsidP="00B12551">
      <w:pPr>
        <w:pStyle w:val="Caption"/>
        <w:spacing w:before="240"/>
        <w:ind w:left="9628"/>
        <w:rPr>
          <w:lang w:val="fr-FR"/>
        </w:rPr>
      </w:pPr>
      <w:r w:rsidRPr="00BB655E">
        <w:rPr>
          <w:b w:val="0"/>
          <w:sz w:val="22"/>
          <w:szCs w:val="22"/>
          <w:lang w:val="fr-FR"/>
        </w:rPr>
        <w:t>[Fin de l</w:t>
      </w:r>
      <w:r w:rsidR="002F112E" w:rsidRPr="00BB655E">
        <w:rPr>
          <w:b w:val="0"/>
          <w:sz w:val="22"/>
          <w:szCs w:val="22"/>
          <w:lang w:val="fr-FR"/>
        </w:rPr>
        <w:t>’</w:t>
      </w:r>
      <w:r w:rsidRPr="00BB655E">
        <w:rPr>
          <w:b w:val="0"/>
          <w:sz w:val="22"/>
          <w:szCs w:val="22"/>
          <w:lang w:val="fr-FR"/>
        </w:rPr>
        <w:t>annexe et du document]</w:t>
      </w:r>
    </w:p>
    <w:sectPr w:rsidR="000F5E56" w:rsidRPr="00BB655E" w:rsidSect="00CE2BDC">
      <w:headerReference w:type="default" r:id="rId14"/>
      <w:headerReference w:type="first" r:id="rId15"/>
      <w:endnotePr>
        <w:numFmt w:val="decimal"/>
      </w:endnotePr>
      <w:pgSz w:w="16840" w:h="11907" w:orient="landscape" w:code="9"/>
      <w:pgMar w:top="1134" w:right="1418" w:bottom="1418" w:left="567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53" w:rsidRDefault="00155653">
      <w:r>
        <w:separator/>
      </w:r>
    </w:p>
  </w:endnote>
  <w:endnote w:type="continuationSeparator" w:id="0">
    <w:p w:rsidR="00155653" w:rsidRPr="009D30E6" w:rsidRDefault="0015565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55653" w:rsidRPr="009D30E6" w:rsidRDefault="0015565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55653" w:rsidRPr="009D30E6" w:rsidRDefault="0015565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7A" w:rsidRDefault="00A10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7A" w:rsidRDefault="00A10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7A" w:rsidRDefault="00A1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53" w:rsidRDefault="00155653">
      <w:r>
        <w:separator/>
      </w:r>
    </w:p>
  </w:footnote>
  <w:footnote w:type="continuationSeparator" w:id="0">
    <w:p w:rsidR="00155653" w:rsidRDefault="00155653" w:rsidP="007461F1">
      <w:r>
        <w:separator/>
      </w:r>
    </w:p>
    <w:p w:rsidR="00155653" w:rsidRPr="009D30E6" w:rsidRDefault="0015565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55653" w:rsidRPr="009D30E6" w:rsidRDefault="0015565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 w:rsidRPr="00FE4E7D">
        <w:rPr>
          <w:lang w:val="fr-FR"/>
        </w:rPr>
        <w:t>Résolution n° 77/256 de l</w:t>
      </w:r>
      <w:r w:rsidR="009A373A">
        <w:rPr>
          <w:lang w:val="fr-FR"/>
        </w:rPr>
        <w:t>’</w:t>
      </w:r>
      <w:r w:rsidRPr="00FE4E7D">
        <w:rPr>
          <w:lang w:val="fr-FR"/>
        </w:rPr>
        <w:t xml:space="preserve">Assemblée </w:t>
      </w:r>
      <w:r>
        <w:rPr>
          <w:lang w:val="fr-FR"/>
        </w:rPr>
        <w:t>g</w:t>
      </w:r>
      <w:r w:rsidRPr="00FE4E7D">
        <w:rPr>
          <w:lang w:val="fr-FR"/>
        </w:rPr>
        <w:t xml:space="preserve">énérale des </w:t>
      </w:r>
      <w:r w:rsidR="009A373A">
        <w:rPr>
          <w:lang w:val="fr-FR"/>
        </w:rPr>
        <w:t>Nations Unies</w:t>
      </w:r>
      <w:r w:rsidRPr="00FE4E7D">
        <w:rPr>
          <w:lang w:val="fr-FR"/>
        </w:rPr>
        <w:t xml:space="preserve">. </w:t>
      </w:r>
      <w:r w:rsidR="00E95D9A">
        <w:rPr>
          <w:lang w:val="fr-FR"/>
        </w:rPr>
        <w:t xml:space="preserve"> </w:t>
      </w:r>
    </w:p>
  </w:footnote>
  <w:footnote w:id="3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>
        <w:rPr>
          <w:lang w:val="fr-FR"/>
        </w:rPr>
        <w:t>Les organisations défenderesses dans ces affaires étaient l</w:t>
      </w:r>
      <w:r w:rsidR="009A373A">
        <w:rPr>
          <w:lang w:val="fr-FR"/>
        </w:rPr>
        <w:t>’</w:t>
      </w:r>
      <w:r>
        <w:rPr>
          <w:lang w:val="fr-FR"/>
        </w:rPr>
        <w:t>OIT, l</w:t>
      </w:r>
      <w:r w:rsidR="009A373A">
        <w:rPr>
          <w:lang w:val="fr-FR"/>
        </w:rPr>
        <w:t>’</w:t>
      </w:r>
      <w:r>
        <w:rPr>
          <w:lang w:val="fr-FR"/>
        </w:rPr>
        <w:t>OIM, l</w:t>
      </w:r>
      <w:r w:rsidR="009A373A">
        <w:rPr>
          <w:lang w:val="fr-FR"/>
        </w:rPr>
        <w:t>’</w:t>
      </w:r>
      <w:r>
        <w:rPr>
          <w:lang w:val="fr-FR"/>
        </w:rPr>
        <w:t>UIT, l</w:t>
      </w:r>
      <w:r w:rsidR="009A373A">
        <w:rPr>
          <w:lang w:val="fr-FR"/>
        </w:rPr>
        <w:t>’</w:t>
      </w:r>
      <w:r>
        <w:rPr>
          <w:lang w:val="fr-FR"/>
        </w:rPr>
        <w:t>OMS et l</w:t>
      </w:r>
      <w:r w:rsidR="009A373A">
        <w:rPr>
          <w:lang w:val="fr-FR"/>
        </w:rPr>
        <w:t>’</w:t>
      </w:r>
      <w:r>
        <w:rPr>
          <w:lang w:val="fr-FR"/>
        </w:rPr>
        <w:t>OMPI.</w:t>
      </w:r>
    </w:p>
  </w:footnote>
  <w:footnote w:id="4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>
        <w:rPr>
          <w:lang w:val="fr-FR"/>
        </w:rPr>
        <w:t>Dans le jugement concernant l</w:t>
      </w:r>
      <w:r w:rsidR="009A373A">
        <w:rPr>
          <w:lang w:val="fr-FR"/>
        </w:rPr>
        <w:t>’</w:t>
      </w:r>
      <w:r>
        <w:rPr>
          <w:lang w:val="fr-FR"/>
        </w:rPr>
        <w:t>OMPI, cette conclusion est énoncée au considérant n°</w:t>
      </w:r>
      <w:r w:rsidR="00E95D9A">
        <w:rPr>
          <w:lang w:val="fr-FR"/>
        </w:rPr>
        <w:t> </w:t>
      </w:r>
      <w:r>
        <w:rPr>
          <w:lang w:val="fr-FR"/>
        </w:rPr>
        <w:t>36 du jugement n° 4138 du Tribunal administratif de l</w:t>
      </w:r>
      <w:r w:rsidR="009A373A">
        <w:rPr>
          <w:lang w:val="fr-FR"/>
        </w:rPr>
        <w:t>’</w:t>
      </w:r>
      <w:r>
        <w:rPr>
          <w:lang w:val="fr-FR"/>
        </w:rPr>
        <w:t>OIT.</w:t>
      </w:r>
      <w:r w:rsidRPr="00FE4E7D">
        <w:rPr>
          <w:lang w:val="fr-FR"/>
        </w:rPr>
        <w:t xml:space="preserve"> </w:t>
      </w:r>
      <w:r w:rsidR="00E95D9A">
        <w:rPr>
          <w:lang w:val="fr-FR"/>
        </w:rPr>
        <w:t xml:space="preserve"> </w:t>
      </w:r>
    </w:p>
  </w:footnote>
  <w:footnote w:id="5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>
        <w:rPr>
          <w:lang w:val="fr-FR"/>
        </w:rPr>
        <w:t>Considérant n° 40 du jugement n° 4138 du Tribunal administratif de l</w:t>
      </w:r>
      <w:r w:rsidR="009A373A">
        <w:rPr>
          <w:lang w:val="fr-FR"/>
        </w:rPr>
        <w:t>’</w:t>
      </w:r>
      <w:r>
        <w:rPr>
          <w:lang w:val="fr-FR"/>
        </w:rPr>
        <w:t>OIT.</w:t>
      </w:r>
    </w:p>
  </w:footnote>
  <w:footnote w:id="6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>
        <w:rPr>
          <w:lang w:val="fr-FR"/>
        </w:rPr>
        <w:t>Considérant n° 39 du jugement n° 4138 du Tribunal administratif de l</w:t>
      </w:r>
      <w:r w:rsidR="009A373A">
        <w:rPr>
          <w:lang w:val="fr-FR"/>
        </w:rPr>
        <w:t>’</w:t>
      </w:r>
      <w:r>
        <w:rPr>
          <w:lang w:val="fr-FR"/>
        </w:rPr>
        <w:t>OIT.</w:t>
      </w:r>
    </w:p>
  </w:footnote>
  <w:footnote w:id="7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>
        <w:rPr>
          <w:lang w:val="fr-FR"/>
        </w:rPr>
        <w:t>Considérant n°</w:t>
      </w:r>
      <w:r w:rsidR="00E95D9A">
        <w:rPr>
          <w:lang w:val="fr-FR"/>
        </w:rPr>
        <w:t> </w:t>
      </w:r>
      <w:r>
        <w:rPr>
          <w:lang w:val="fr-FR"/>
        </w:rPr>
        <w:t>39 du jugement n° 4134 du Tribunal administratif de l</w:t>
      </w:r>
      <w:r w:rsidR="009A373A">
        <w:rPr>
          <w:lang w:val="fr-FR"/>
        </w:rPr>
        <w:t>’</w:t>
      </w:r>
      <w:r>
        <w:rPr>
          <w:lang w:val="fr-FR"/>
        </w:rPr>
        <w:t>OIT, où l</w:t>
      </w:r>
      <w:r w:rsidR="009A373A">
        <w:rPr>
          <w:lang w:val="fr-FR"/>
        </w:rPr>
        <w:t>’</w:t>
      </w:r>
      <w:r>
        <w:rPr>
          <w:lang w:val="fr-FR"/>
        </w:rPr>
        <w:t>OIT était l</w:t>
      </w:r>
      <w:r w:rsidR="009A373A">
        <w:rPr>
          <w:lang w:val="fr-FR"/>
        </w:rPr>
        <w:t>’</w:t>
      </w:r>
      <w:r>
        <w:rPr>
          <w:lang w:val="fr-FR"/>
        </w:rPr>
        <w:t>organisation défenderesse.</w:t>
      </w:r>
      <w:r w:rsidRPr="00FE4E7D">
        <w:rPr>
          <w:lang w:val="fr-FR"/>
        </w:rPr>
        <w:t xml:space="preserve"> </w:t>
      </w:r>
      <w:r w:rsidR="00E95D9A">
        <w:rPr>
          <w:lang w:val="fr-FR"/>
        </w:rPr>
        <w:t xml:space="preserve"> </w:t>
      </w:r>
    </w:p>
  </w:footnote>
  <w:footnote w:id="8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>
        <w:rPr>
          <w:lang w:val="fr-FR"/>
        </w:rPr>
        <w:t>Considérant n° 55 du jugement n° </w:t>
      </w:r>
      <w:r w:rsidRPr="00FE4E7D">
        <w:rPr>
          <w:lang w:val="fr-FR"/>
        </w:rPr>
        <w:t>2021</w:t>
      </w:r>
      <w:r w:rsidR="009A373A">
        <w:rPr>
          <w:lang w:val="fr-FR"/>
        </w:rPr>
        <w:t>-</w:t>
      </w:r>
      <w:r w:rsidRPr="00FE4E7D">
        <w:rPr>
          <w:lang w:val="fr-FR"/>
        </w:rPr>
        <w:t>UNAT</w:t>
      </w:r>
      <w:r w:rsidR="009A373A">
        <w:rPr>
          <w:lang w:val="fr-FR"/>
        </w:rPr>
        <w:t>-</w:t>
      </w:r>
      <w:r w:rsidRPr="00FE4E7D">
        <w:rPr>
          <w:lang w:val="fr-FR"/>
        </w:rPr>
        <w:t>1107</w:t>
      </w:r>
      <w:r w:rsidRPr="00B94D4E">
        <w:rPr>
          <w:lang w:val="fr-FR"/>
        </w:rPr>
        <w:t xml:space="preserve"> </w:t>
      </w:r>
      <w:r>
        <w:rPr>
          <w:lang w:val="fr-FR"/>
        </w:rPr>
        <w:t>du Tribunal d</w:t>
      </w:r>
      <w:r w:rsidR="009A373A">
        <w:rPr>
          <w:lang w:val="fr-FR"/>
        </w:rPr>
        <w:t>’</w:t>
      </w:r>
      <w:r>
        <w:rPr>
          <w:lang w:val="fr-FR"/>
        </w:rPr>
        <w:t xml:space="preserve">appel des </w:t>
      </w:r>
      <w:r w:rsidR="009A373A">
        <w:rPr>
          <w:lang w:val="fr-FR"/>
        </w:rPr>
        <w:t>Nations Unies</w:t>
      </w:r>
      <w:r w:rsidRPr="00FE4E7D">
        <w:rPr>
          <w:lang w:val="fr-FR"/>
        </w:rPr>
        <w:t>.</w:t>
      </w:r>
    </w:p>
  </w:footnote>
  <w:footnote w:id="9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>
        <w:rPr>
          <w:lang w:val="fr-FR"/>
        </w:rPr>
        <w:t>Voir la note de bas de page </w:t>
      </w:r>
      <w:r w:rsidRPr="00FE4E7D">
        <w:rPr>
          <w:lang w:val="fr-FR"/>
        </w:rPr>
        <w:t xml:space="preserve">50 </w:t>
      </w:r>
      <w:r>
        <w:rPr>
          <w:lang w:val="fr-FR"/>
        </w:rPr>
        <w:t>du jugement n° </w:t>
      </w:r>
      <w:r w:rsidRPr="00FE4E7D">
        <w:rPr>
          <w:lang w:val="fr-FR"/>
        </w:rPr>
        <w:t>2021</w:t>
      </w:r>
      <w:r w:rsidR="009A373A">
        <w:rPr>
          <w:lang w:val="fr-FR"/>
        </w:rPr>
        <w:t>-</w:t>
      </w:r>
      <w:r w:rsidRPr="00FE4E7D">
        <w:rPr>
          <w:lang w:val="fr-FR"/>
        </w:rPr>
        <w:t>UNAT</w:t>
      </w:r>
      <w:r w:rsidR="009A373A">
        <w:rPr>
          <w:lang w:val="fr-FR"/>
        </w:rPr>
        <w:t>-</w:t>
      </w:r>
      <w:r w:rsidRPr="00FE4E7D">
        <w:rPr>
          <w:lang w:val="fr-FR"/>
        </w:rPr>
        <w:t>1107</w:t>
      </w:r>
      <w:r>
        <w:rPr>
          <w:lang w:val="fr-FR"/>
        </w:rPr>
        <w:t xml:space="preserve"> du Tribunal d</w:t>
      </w:r>
      <w:r w:rsidR="009A373A">
        <w:rPr>
          <w:lang w:val="fr-FR"/>
        </w:rPr>
        <w:t>’</w:t>
      </w:r>
      <w:r>
        <w:rPr>
          <w:lang w:val="fr-FR"/>
        </w:rPr>
        <w:t xml:space="preserve">appel des </w:t>
      </w:r>
      <w:r w:rsidR="009A373A">
        <w:rPr>
          <w:lang w:val="fr-FR"/>
        </w:rPr>
        <w:t>Nations Unies</w:t>
      </w:r>
      <w:r w:rsidRPr="00FE4E7D">
        <w:rPr>
          <w:lang w:val="fr-FR"/>
        </w:rPr>
        <w:t>.</w:t>
      </w:r>
    </w:p>
  </w:footnote>
  <w:footnote w:id="10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 w:rsidR="00996485">
        <w:rPr>
          <w:lang w:val="fr-FR"/>
        </w:rPr>
        <w:t>Par exemple,</w:t>
      </w:r>
      <w:r w:rsidR="009A373A">
        <w:rPr>
          <w:lang w:val="fr-FR"/>
        </w:rPr>
        <w:t xml:space="preserve"> la FAO</w:t>
      </w:r>
      <w:r w:rsidR="00996485">
        <w:rPr>
          <w:lang w:val="fr-FR"/>
        </w:rPr>
        <w:t xml:space="preserve">, </w:t>
      </w:r>
      <w:r>
        <w:rPr>
          <w:lang w:val="fr-FR"/>
        </w:rPr>
        <w:t>l</w:t>
      </w:r>
      <w:r w:rsidR="009A373A">
        <w:rPr>
          <w:lang w:val="fr-FR"/>
        </w:rPr>
        <w:t>’</w:t>
      </w:r>
      <w:r>
        <w:rPr>
          <w:lang w:val="fr-FR"/>
        </w:rPr>
        <w:t xml:space="preserve">OIT, </w:t>
      </w:r>
      <w:r w:rsidR="00996485">
        <w:rPr>
          <w:lang w:val="fr-FR"/>
        </w:rPr>
        <w:t>l</w:t>
      </w:r>
      <w:r w:rsidR="009A373A">
        <w:rPr>
          <w:lang w:val="fr-FR"/>
        </w:rPr>
        <w:t>’</w:t>
      </w:r>
      <w:r w:rsidR="00996485">
        <w:rPr>
          <w:lang w:val="fr-FR"/>
        </w:rPr>
        <w:t>OMM, l</w:t>
      </w:r>
      <w:r w:rsidR="009A373A">
        <w:rPr>
          <w:lang w:val="fr-FR"/>
        </w:rPr>
        <w:t>’</w:t>
      </w:r>
      <w:r>
        <w:rPr>
          <w:lang w:val="fr-FR"/>
        </w:rPr>
        <w:t>OMS</w:t>
      </w:r>
      <w:r w:rsidR="00996485">
        <w:rPr>
          <w:lang w:val="fr-FR"/>
        </w:rPr>
        <w:t>,</w:t>
      </w:r>
      <w:r w:rsidR="00996485" w:rsidRPr="00996485">
        <w:rPr>
          <w:lang w:val="fr-FR"/>
        </w:rPr>
        <w:t xml:space="preserve"> </w:t>
      </w:r>
      <w:r w:rsidR="00996485">
        <w:rPr>
          <w:lang w:val="fr-FR"/>
        </w:rPr>
        <w:t>l</w:t>
      </w:r>
      <w:r w:rsidR="009A373A">
        <w:rPr>
          <w:lang w:val="fr-FR"/>
        </w:rPr>
        <w:t>’</w:t>
      </w:r>
      <w:r w:rsidR="00996485">
        <w:rPr>
          <w:lang w:val="fr-FR"/>
        </w:rPr>
        <w:t>UIT et l</w:t>
      </w:r>
      <w:r w:rsidR="009A373A">
        <w:rPr>
          <w:lang w:val="fr-FR"/>
        </w:rPr>
        <w:t>’</w:t>
      </w:r>
      <w:r w:rsidR="00996485">
        <w:rPr>
          <w:lang w:val="fr-FR"/>
        </w:rPr>
        <w:t>UNESCO</w:t>
      </w:r>
      <w:r w:rsidRPr="00FE4E7D">
        <w:rPr>
          <w:lang w:val="fr-FR"/>
        </w:rPr>
        <w:t>.</w:t>
      </w:r>
    </w:p>
  </w:footnote>
  <w:footnote w:id="11">
    <w:p w:rsidR="00155653" w:rsidRPr="00FE4E7D" w:rsidRDefault="00155653" w:rsidP="00A50A8B">
      <w:pPr>
        <w:pStyle w:val="FootnoteText"/>
        <w:tabs>
          <w:tab w:val="left" w:pos="567"/>
        </w:tabs>
        <w:rPr>
          <w:lang w:val="fr-FR"/>
        </w:rPr>
      </w:pPr>
      <w:r w:rsidRPr="00FE4E7D">
        <w:rPr>
          <w:rStyle w:val="FootnoteReference"/>
          <w:lang w:val="fr-FR"/>
        </w:rPr>
        <w:footnoteRef/>
      </w:r>
      <w:r w:rsidRPr="00FE4E7D">
        <w:rPr>
          <w:lang w:val="fr-FR"/>
        </w:rPr>
        <w:t xml:space="preserve"> </w:t>
      </w:r>
      <w:r w:rsidR="00A50A8B">
        <w:rPr>
          <w:lang w:val="fr-FR"/>
        </w:rPr>
        <w:tab/>
      </w:r>
      <w:r w:rsidRPr="00FE4E7D">
        <w:rPr>
          <w:lang w:val="fr-FR"/>
        </w:rPr>
        <w:t xml:space="preserve">WO/CC/IX/7, </w:t>
      </w:r>
      <w:r w:rsidR="009A373A" w:rsidRPr="00FE4E7D">
        <w:rPr>
          <w:lang w:val="fr-FR"/>
        </w:rPr>
        <w:t>paragraph</w:t>
      </w:r>
      <w:r w:rsidR="009A373A">
        <w:rPr>
          <w:lang w:val="fr-FR"/>
        </w:rPr>
        <w:t>e </w:t>
      </w:r>
      <w:r w:rsidR="009A373A" w:rsidRPr="00FE4E7D">
        <w:rPr>
          <w:lang w:val="fr-FR"/>
        </w:rPr>
        <w:t>4</w:t>
      </w:r>
      <w:r w:rsidRPr="00FE4E7D">
        <w:rPr>
          <w:lang w:val="fr-FR"/>
        </w:rPr>
        <w:t>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53" w:rsidRPr="00911D89" w:rsidRDefault="00155653" w:rsidP="00D80A8C">
    <w:pPr>
      <w:pStyle w:val="Header"/>
      <w:jc w:val="right"/>
      <w:rPr>
        <w:lang w:val="de-CH"/>
      </w:rPr>
    </w:pPr>
    <w:r w:rsidRPr="00911D89">
      <w:rPr>
        <w:lang w:val="de-CH"/>
      </w:rPr>
      <w:t>WO/</w:t>
    </w:r>
    <w:r w:rsidRPr="00482B9D">
      <w:rPr>
        <w:lang w:val="de-CH"/>
      </w:rPr>
      <w:t>CC/80/3</w:t>
    </w:r>
  </w:p>
  <w:p w:rsidR="00155653" w:rsidRPr="00911D89" w:rsidRDefault="00155653" w:rsidP="00D80A8C">
    <w:pPr>
      <w:jc w:val="right"/>
      <w:rPr>
        <w:rStyle w:val="PageNumber"/>
        <w:lang w:val="de-CH"/>
      </w:rPr>
    </w:pPr>
    <w:r w:rsidRPr="00911D89">
      <w:rPr>
        <w:lang w:val="de-CH"/>
      </w:rPr>
      <w:t xml:space="preserve">page </w:t>
    </w:r>
    <w:r>
      <w:rPr>
        <w:rStyle w:val="PageNumber"/>
      </w:rPr>
      <w:fldChar w:fldCharType="begin"/>
    </w:r>
    <w:r w:rsidRPr="00911D89">
      <w:rPr>
        <w:rStyle w:val="PageNumber"/>
        <w:lang w:val="de-CH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de-CH"/>
      </w:rPr>
      <w:t>4</w:t>
    </w:r>
    <w:r>
      <w:rPr>
        <w:rStyle w:val="PageNumber"/>
      </w:rPr>
      <w:fldChar w:fldCharType="end"/>
    </w:r>
  </w:p>
  <w:p w:rsidR="00155653" w:rsidRPr="00911D89" w:rsidRDefault="00155653" w:rsidP="00D80A8C">
    <w:pPr>
      <w:jc w:val="right"/>
      <w:rPr>
        <w:rStyle w:val="PageNumber"/>
        <w:lang w:val="de-CH"/>
      </w:rPr>
    </w:pPr>
  </w:p>
  <w:p w:rsidR="00155653" w:rsidRPr="00911D89" w:rsidRDefault="00155653" w:rsidP="00D80A8C">
    <w:pPr>
      <w:jc w:val="right"/>
      <w:rPr>
        <w:rStyle w:val="PageNumber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53" w:rsidRPr="00911D89" w:rsidRDefault="00155653" w:rsidP="00221203">
    <w:pPr>
      <w:pStyle w:val="Header"/>
      <w:jc w:val="right"/>
      <w:rPr>
        <w:lang w:val="de-CH"/>
      </w:rPr>
    </w:pPr>
    <w:r w:rsidRPr="00911D89">
      <w:rPr>
        <w:lang w:val="de-CH"/>
      </w:rPr>
      <w:t>WO/CC</w:t>
    </w:r>
    <w:r>
      <w:rPr>
        <w:lang w:val="de-CH"/>
      </w:rPr>
      <w:t>/82/3</w:t>
    </w:r>
  </w:p>
  <w:p w:rsidR="00155653" w:rsidRPr="00911D89" w:rsidRDefault="00A50A8B" w:rsidP="00A50A8B">
    <w:pPr>
      <w:spacing w:after="480"/>
      <w:jc w:val="right"/>
      <w:rPr>
        <w:rStyle w:val="PageNumber"/>
        <w:lang w:val="de-CH"/>
      </w:rPr>
    </w:pPr>
    <w:r>
      <w:rPr>
        <w:lang w:val="de-CH"/>
      </w:rPr>
      <w:t>page </w:t>
    </w:r>
    <w:r w:rsidR="00155653">
      <w:rPr>
        <w:rStyle w:val="PageNumber"/>
      </w:rPr>
      <w:fldChar w:fldCharType="begin"/>
    </w:r>
    <w:r w:rsidR="00155653" w:rsidRPr="00911D89">
      <w:rPr>
        <w:rStyle w:val="PageNumber"/>
        <w:lang w:val="de-CH"/>
      </w:rPr>
      <w:instrText xml:space="preserve"> PAGE </w:instrText>
    </w:r>
    <w:r w:rsidR="00155653">
      <w:rPr>
        <w:rStyle w:val="PageNumber"/>
      </w:rPr>
      <w:fldChar w:fldCharType="separate"/>
    </w:r>
    <w:r w:rsidR="00A1027A">
      <w:rPr>
        <w:rStyle w:val="PageNumber"/>
        <w:noProof/>
        <w:lang w:val="de-CH"/>
      </w:rPr>
      <w:t>2</w:t>
    </w:r>
    <w:r w:rsidR="00155653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7A" w:rsidRDefault="00A102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155653" w:rsidP="00477D6B">
    <w:pPr>
      <w:jc w:val="right"/>
    </w:pPr>
    <w:bookmarkStart w:id="6" w:name="Code2"/>
    <w:bookmarkEnd w:id="6"/>
    <w:r>
      <w:t>WO/CC/82/3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12551">
      <w:rPr>
        <w:noProof/>
      </w:rPr>
      <w:t>6</w:t>
    </w:r>
    <w:r>
      <w:fldChar w:fldCharType="end"/>
    </w:r>
  </w:p>
  <w:p w:rsidR="00F16975" w:rsidRDefault="00F16975" w:rsidP="00477D6B">
    <w:pPr>
      <w:jc w:val="right"/>
    </w:pPr>
  </w:p>
  <w:p w:rsidR="004F4E31" w:rsidRDefault="004F4E31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8B" w:rsidRPr="00911D89" w:rsidRDefault="00A50A8B" w:rsidP="00A50A8B">
    <w:pPr>
      <w:pStyle w:val="Header"/>
      <w:jc w:val="right"/>
      <w:rPr>
        <w:lang w:val="de-CH"/>
      </w:rPr>
    </w:pPr>
    <w:r w:rsidRPr="00911D89">
      <w:rPr>
        <w:lang w:val="de-CH"/>
      </w:rPr>
      <w:t>WO/CC</w:t>
    </w:r>
    <w:r>
      <w:rPr>
        <w:lang w:val="de-CH"/>
      </w:rPr>
      <w:t>/82/3</w:t>
    </w:r>
  </w:p>
  <w:p w:rsidR="00A50A8B" w:rsidRPr="00911D89" w:rsidRDefault="00A50A8B" w:rsidP="00B12551">
    <w:pPr>
      <w:spacing w:after="240"/>
      <w:jc w:val="right"/>
      <w:rPr>
        <w:rStyle w:val="PageNumber"/>
        <w:lang w:val="de-CH"/>
      </w:rPr>
    </w:pPr>
    <w:r>
      <w:rPr>
        <w:lang w:val="de-CH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44B54AF"/>
    <w:multiLevelType w:val="hybridMultilevel"/>
    <w:tmpl w:val="F746C38E"/>
    <w:lvl w:ilvl="0" w:tplc="5A10A97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5E90577A">
      <w:start w:val="1"/>
      <w:numFmt w:val="lowerLetter"/>
      <w:lvlText w:val="(%9)"/>
      <w:lvlJc w:val="left"/>
      <w:pPr>
        <w:ind w:left="7620" w:hanging="60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E294D"/>
    <w:multiLevelType w:val="hybridMultilevel"/>
    <w:tmpl w:val="BD4C7F50"/>
    <w:lvl w:ilvl="0" w:tplc="AA18EB44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53"/>
    <w:rsid w:val="00011B7D"/>
    <w:rsid w:val="00075432"/>
    <w:rsid w:val="000F5E56"/>
    <w:rsid w:val="001362EE"/>
    <w:rsid w:val="00155653"/>
    <w:rsid w:val="001832A6"/>
    <w:rsid w:val="00195C6E"/>
    <w:rsid w:val="001B266A"/>
    <w:rsid w:val="001D3D56"/>
    <w:rsid w:val="0024052B"/>
    <w:rsid w:val="00240654"/>
    <w:rsid w:val="002634C4"/>
    <w:rsid w:val="002D4918"/>
    <w:rsid w:val="002E4D1A"/>
    <w:rsid w:val="002F112E"/>
    <w:rsid w:val="002F16BC"/>
    <w:rsid w:val="002F1B6F"/>
    <w:rsid w:val="002F4E68"/>
    <w:rsid w:val="00306B0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C4269"/>
    <w:rsid w:val="007D6961"/>
    <w:rsid w:val="007F07CB"/>
    <w:rsid w:val="00810CEF"/>
    <w:rsid w:val="0081208D"/>
    <w:rsid w:val="00842A13"/>
    <w:rsid w:val="008B2CC1"/>
    <w:rsid w:val="008E7930"/>
    <w:rsid w:val="0090731E"/>
    <w:rsid w:val="00910266"/>
    <w:rsid w:val="00966A22"/>
    <w:rsid w:val="00974CD6"/>
    <w:rsid w:val="00996485"/>
    <w:rsid w:val="009A373A"/>
    <w:rsid w:val="009D30E6"/>
    <w:rsid w:val="009E3F6F"/>
    <w:rsid w:val="009F34A2"/>
    <w:rsid w:val="009F499F"/>
    <w:rsid w:val="00A1027A"/>
    <w:rsid w:val="00A50A8B"/>
    <w:rsid w:val="00AC0AE4"/>
    <w:rsid w:val="00AD61DB"/>
    <w:rsid w:val="00B12551"/>
    <w:rsid w:val="00B87BCF"/>
    <w:rsid w:val="00BA62D4"/>
    <w:rsid w:val="00BB655E"/>
    <w:rsid w:val="00C40E15"/>
    <w:rsid w:val="00C664C8"/>
    <w:rsid w:val="00C76A79"/>
    <w:rsid w:val="00CA15F5"/>
    <w:rsid w:val="00CE1438"/>
    <w:rsid w:val="00CE2BDC"/>
    <w:rsid w:val="00CF0460"/>
    <w:rsid w:val="00D45252"/>
    <w:rsid w:val="00D71B4D"/>
    <w:rsid w:val="00D75C1E"/>
    <w:rsid w:val="00D93D55"/>
    <w:rsid w:val="00DB0349"/>
    <w:rsid w:val="00DD6A16"/>
    <w:rsid w:val="00E0091A"/>
    <w:rsid w:val="00E062BA"/>
    <w:rsid w:val="00E15EC1"/>
    <w:rsid w:val="00E203AA"/>
    <w:rsid w:val="00E527A5"/>
    <w:rsid w:val="00E76456"/>
    <w:rsid w:val="00E95D9A"/>
    <w:rsid w:val="00EC26F0"/>
    <w:rsid w:val="00ED70B5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9619638-4800-42B3-BF09-9FEEE063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0A8B"/>
    <w:pPr>
      <w:keepNext/>
      <w:spacing w:before="24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uiPriority w:val="99"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4025DF"/>
    <w:rPr>
      <w:sz w:val="18"/>
    </w:rPr>
  </w:style>
  <w:style w:type="paragraph" w:customStyle="1" w:styleId="Endofdocument-Annex">
    <w:name w:val="[End of document - Annex]"/>
    <w:basedOn w:val="Normal"/>
    <w:rsid w:val="00A50A8B"/>
    <w:pPr>
      <w:spacing w:before="720"/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link w:val="ListParagraphChar"/>
    <w:uiPriority w:val="34"/>
    <w:qFormat/>
    <w:rsid w:val="00155653"/>
    <w:pPr>
      <w:ind w:left="720"/>
      <w:contextualSpacing/>
    </w:pPr>
    <w:rPr>
      <w:szCs w:val="24"/>
      <w:lang w:val="en-US"/>
    </w:rPr>
  </w:style>
  <w:style w:type="character" w:styleId="PageNumber">
    <w:name w:val="page number"/>
    <w:basedOn w:val="DefaultParagraphFont"/>
    <w:rsid w:val="00155653"/>
  </w:style>
  <w:style w:type="character" w:customStyle="1" w:styleId="HeaderChar">
    <w:name w:val="Header Char"/>
    <w:basedOn w:val="DefaultParagraphFont"/>
    <w:link w:val="Header"/>
    <w:uiPriority w:val="99"/>
    <w:rsid w:val="00155653"/>
    <w:rPr>
      <w:rFonts w:ascii="Arial" w:eastAsia="SimSun" w:hAnsi="Arial" w:cs="Arial"/>
      <w:sz w:val="22"/>
      <w:lang w:eastAsia="zh-CN"/>
    </w:rPr>
  </w:style>
  <w:style w:type="character" w:customStyle="1" w:styleId="Heading4Char">
    <w:name w:val="Heading 4 Char"/>
    <w:link w:val="Heading4"/>
    <w:rsid w:val="00155653"/>
    <w:rPr>
      <w:rFonts w:ascii="Arial" w:eastAsia="SimSun" w:hAnsi="Arial" w:cs="Arial"/>
      <w:bCs/>
      <w:i/>
      <w:sz w:val="22"/>
      <w:szCs w:val="28"/>
      <w:lang w:eastAsia="zh-CN"/>
    </w:rPr>
  </w:style>
  <w:style w:type="table" w:styleId="TableGrid">
    <w:name w:val="Table Grid"/>
    <w:basedOn w:val="TableNormal"/>
    <w:uiPriority w:val="39"/>
    <w:rsid w:val="0015565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15565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15565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5653"/>
    <w:rPr>
      <w:rFonts w:ascii="Arial" w:eastAsia="SimSun" w:hAnsi="Arial" w:cs="Arial"/>
      <w:sz w:val="22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5565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BB6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8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82 (F)</Template>
  <TotalTime>41</TotalTime>
  <Pages>4</Pages>
  <Words>1540</Words>
  <Characters>8446</Characters>
  <Application>Microsoft Office Word</Application>
  <DocSecurity>0</DocSecurity>
  <Lines>206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WO/CC/82/3</vt:lpstr>
    </vt:vector>
  </TitlesOfParts>
  <Company>WIPO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WO/CC/82/3</dc:title>
  <dc:creator>WIPO</dc:creator>
  <cp:keywords>FOR OFFICIAL USE ONLY</cp:keywords>
  <cp:lastModifiedBy>HÄFLIGER Patience</cp:lastModifiedBy>
  <cp:revision>11</cp:revision>
  <cp:lastPrinted>2011-05-19T12:37:00Z</cp:lastPrinted>
  <dcterms:created xsi:type="dcterms:W3CDTF">2023-04-28T12:43:00Z</dcterms:created>
  <dcterms:modified xsi:type="dcterms:W3CDTF">2023-05-04T08:02:00Z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2023-04-28T12:48:35Z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67a4e5de-b177-4939-ae6a-1752dac12f66</vt:lpwstr>
  </property>
  <property fmtid="{D5CDD505-2E9C-101B-9397-08002B2CF9AE}" pid="14" name="MSIP_Label_20773ee6-353b-4fb9-a59d-0b94c8c67bea_ContentBits">
    <vt:lpwstr>0</vt:lpwstr>
  </property>
</Properties>
</file>