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E619E" w:rsidRPr="008B2CC1" w14:paraId="6E0E1E15" w14:textId="77777777" w:rsidTr="00DE619E">
        <w:tc>
          <w:tcPr>
            <w:tcW w:w="4513" w:type="dxa"/>
            <w:tcBorders>
              <w:bottom w:val="single" w:sz="4" w:space="0" w:color="auto"/>
            </w:tcBorders>
            <w:tcMar>
              <w:bottom w:w="170" w:type="dxa"/>
            </w:tcMar>
          </w:tcPr>
          <w:p w14:paraId="35FCABC3" w14:textId="77777777" w:rsidR="00DE619E" w:rsidRPr="008B2CC1" w:rsidRDefault="00DE619E" w:rsidP="0033341F">
            <w:bookmarkStart w:id="0" w:name="_GoBack"/>
            <w:bookmarkEnd w:id="0"/>
          </w:p>
        </w:tc>
        <w:tc>
          <w:tcPr>
            <w:tcW w:w="4337" w:type="dxa"/>
            <w:tcBorders>
              <w:bottom w:val="single" w:sz="4" w:space="0" w:color="auto"/>
            </w:tcBorders>
            <w:tcMar>
              <w:left w:w="0" w:type="dxa"/>
              <w:right w:w="0" w:type="dxa"/>
            </w:tcMar>
          </w:tcPr>
          <w:p w14:paraId="39563354" w14:textId="77777777" w:rsidR="00DE619E" w:rsidRPr="008B2CC1" w:rsidRDefault="00DE619E" w:rsidP="0033341F">
            <w:r>
              <w:rPr>
                <w:noProof/>
                <w:lang w:val="en-US" w:eastAsia="en-US"/>
              </w:rPr>
              <w:drawing>
                <wp:inline distT="0" distB="0" distL="0" distR="0" wp14:anchorId="6C5CA341" wp14:editId="38EFDD10">
                  <wp:extent cx="1856740" cy="1323975"/>
                  <wp:effectExtent l="0" t="0" r="0"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3AFBEF0A" w14:textId="77777777" w:rsidR="00DE619E" w:rsidRPr="008B2CC1" w:rsidRDefault="00DE619E" w:rsidP="0033341F">
            <w:pPr>
              <w:jc w:val="right"/>
            </w:pPr>
            <w:r>
              <w:rPr>
                <w:b/>
                <w:sz w:val="40"/>
                <w:szCs w:val="40"/>
              </w:rPr>
              <w:t>F</w:t>
            </w:r>
          </w:p>
        </w:tc>
      </w:tr>
      <w:tr w:rsidR="00DE619E" w:rsidRPr="001832A6" w14:paraId="0C426206" w14:textId="77777777" w:rsidTr="009D798B">
        <w:trPr>
          <w:trHeight w:hRule="exact" w:val="340"/>
        </w:trPr>
        <w:tc>
          <w:tcPr>
            <w:tcW w:w="9356" w:type="dxa"/>
            <w:gridSpan w:val="3"/>
            <w:tcBorders>
              <w:top w:val="single" w:sz="4" w:space="0" w:color="auto"/>
            </w:tcBorders>
            <w:tcMar>
              <w:top w:w="170" w:type="dxa"/>
              <w:left w:w="0" w:type="dxa"/>
              <w:right w:w="0" w:type="dxa"/>
            </w:tcMar>
            <w:vAlign w:val="bottom"/>
          </w:tcPr>
          <w:p w14:paraId="2EA50876" w14:textId="77777777" w:rsidR="00DE619E" w:rsidRPr="0090731E" w:rsidRDefault="00DE619E" w:rsidP="0033341F">
            <w:pPr>
              <w:jc w:val="right"/>
              <w:rPr>
                <w:rFonts w:ascii="Arial Black" w:hAnsi="Arial Black"/>
                <w:caps/>
                <w:sz w:val="15"/>
              </w:rPr>
            </w:pPr>
            <w:r>
              <w:rPr>
                <w:rFonts w:ascii="Arial Black" w:hAnsi="Arial Black"/>
                <w:caps/>
                <w:sz w:val="15"/>
              </w:rPr>
              <w:t>WO/GA/48/</w:t>
            </w:r>
            <w:bookmarkStart w:id="1" w:name="Code"/>
            <w:bookmarkEnd w:id="1"/>
            <w:r>
              <w:rPr>
                <w:rFonts w:ascii="Arial Black" w:hAnsi="Arial Black"/>
                <w:caps/>
                <w:sz w:val="15"/>
              </w:rPr>
              <w:t>11</w:t>
            </w:r>
            <w:r w:rsidRPr="0090731E">
              <w:rPr>
                <w:rFonts w:ascii="Arial Black" w:hAnsi="Arial Black"/>
                <w:caps/>
                <w:sz w:val="15"/>
              </w:rPr>
              <w:t xml:space="preserve"> </w:t>
            </w:r>
          </w:p>
        </w:tc>
      </w:tr>
      <w:tr w:rsidR="00DE619E" w:rsidRPr="001832A6" w14:paraId="3556996B" w14:textId="77777777" w:rsidTr="009D798B">
        <w:trPr>
          <w:trHeight w:hRule="exact" w:val="170"/>
        </w:trPr>
        <w:tc>
          <w:tcPr>
            <w:tcW w:w="9356" w:type="dxa"/>
            <w:gridSpan w:val="3"/>
            <w:noWrap/>
            <w:tcMar>
              <w:left w:w="0" w:type="dxa"/>
              <w:right w:w="0" w:type="dxa"/>
            </w:tcMar>
            <w:vAlign w:val="bottom"/>
          </w:tcPr>
          <w:p w14:paraId="69B73AC5" w14:textId="244C0940" w:rsidR="00DE619E" w:rsidRPr="0090731E" w:rsidRDefault="00DE619E" w:rsidP="0033341F">
            <w:pPr>
              <w:jc w:val="right"/>
              <w:rPr>
                <w:rFonts w:ascii="Arial Black" w:hAnsi="Arial Black"/>
                <w:caps/>
                <w:sz w:val="15"/>
              </w:rPr>
            </w:pPr>
            <w:r w:rsidRPr="0090731E">
              <w:rPr>
                <w:rFonts w:ascii="Arial Black" w:hAnsi="Arial Black"/>
                <w:caps/>
                <w:sz w:val="15"/>
              </w:rPr>
              <w:t>ORIGINAL</w:t>
            </w:r>
            <w:r w:rsidR="00E17F82">
              <w:rPr>
                <w:rFonts w:ascii="Arial Black" w:hAnsi="Arial Black"/>
                <w:caps/>
                <w:sz w:val="15"/>
              </w:rPr>
              <w:t> </w:t>
            </w:r>
            <w:r w:rsidRPr="0090731E">
              <w:rPr>
                <w:rFonts w:ascii="Arial Black" w:hAnsi="Arial Black"/>
                <w:caps/>
                <w:sz w:val="15"/>
              </w:rPr>
              <w:t xml:space="preserve">: </w:t>
            </w:r>
            <w:bookmarkStart w:id="2" w:name="Original"/>
            <w:bookmarkEnd w:id="2"/>
            <w:r>
              <w:rPr>
                <w:rFonts w:ascii="Arial Black" w:hAnsi="Arial Black"/>
                <w:caps/>
                <w:sz w:val="15"/>
              </w:rPr>
              <w:t>anglais</w:t>
            </w:r>
          </w:p>
        </w:tc>
      </w:tr>
      <w:tr w:rsidR="00DE619E" w:rsidRPr="001832A6" w14:paraId="33E64125" w14:textId="77777777" w:rsidTr="009D798B">
        <w:trPr>
          <w:trHeight w:hRule="exact" w:val="198"/>
        </w:trPr>
        <w:tc>
          <w:tcPr>
            <w:tcW w:w="9356" w:type="dxa"/>
            <w:gridSpan w:val="3"/>
            <w:tcMar>
              <w:left w:w="0" w:type="dxa"/>
              <w:right w:w="0" w:type="dxa"/>
            </w:tcMar>
            <w:vAlign w:val="bottom"/>
          </w:tcPr>
          <w:p w14:paraId="56486F64" w14:textId="140B9CC4" w:rsidR="00DE619E" w:rsidRPr="0090731E" w:rsidRDefault="00DE619E" w:rsidP="0033341F">
            <w:pPr>
              <w:jc w:val="right"/>
              <w:rPr>
                <w:rFonts w:ascii="Arial Black" w:hAnsi="Arial Black"/>
                <w:caps/>
                <w:sz w:val="15"/>
              </w:rPr>
            </w:pPr>
            <w:r w:rsidRPr="0090731E">
              <w:rPr>
                <w:rFonts w:ascii="Arial Black" w:hAnsi="Arial Black"/>
                <w:caps/>
                <w:sz w:val="15"/>
              </w:rPr>
              <w:t>DATE</w:t>
            </w:r>
            <w:r w:rsidR="00E17F82">
              <w:rPr>
                <w:rFonts w:ascii="Arial Black" w:hAnsi="Arial Black"/>
                <w:caps/>
                <w:sz w:val="15"/>
              </w:rPr>
              <w:t> </w:t>
            </w:r>
            <w:r w:rsidRPr="0090731E">
              <w:rPr>
                <w:rFonts w:ascii="Arial Black" w:hAnsi="Arial Black"/>
                <w:caps/>
                <w:sz w:val="15"/>
              </w:rPr>
              <w:t xml:space="preserve">: </w:t>
            </w:r>
            <w:bookmarkStart w:id="3" w:name="Date"/>
            <w:bookmarkEnd w:id="3"/>
            <w:r w:rsidR="00BF253E">
              <w:rPr>
                <w:rFonts w:ascii="Arial Black" w:hAnsi="Arial Black"/>
                <w:caps/>
                <w:sz w:val="15"/>
              </w:rPr>
              <w:t>20 septembre </w:t>
            </w:r>
            <w:r>
              <w:rPr>
                <w:rFonts w:ascii="Arial Black" w:hAnsi="Arial Black"/>
                <w:caps/>
                <w:sz w:val="15"/>
              </w:rPr>
              <w:t>2016</w:t>
            </w:r>
          </w:p>
        </w:tc>
      </w:tr>
    </w:tbl>
    <w:p w14:paraId="235DFEE9" w14:textId="77777777" w:rsidR="00DE619E" w:rsidRPr="00560B44" w:rsidRDefault="00DE619E" w:rsidP="0033341F"/>
    <w:p w14:paraId="6808FBA5" w14:textId="77777777" w:rsidR="00DE619E" w:rsidRPr="00560B44" w:rsidRDefault="00DE619E" w:rsidP="0033341F"/>
    <w:p w14:paraId="3BAAE253" w14:textId="77777777" w:rsidR="00DE619E" w:rsidRPr="00560B44" w:rsidRDefault="00DE619E" w:rsidP="0033341F"/>
    <w:p w14:paraId="25B96DE2" w14:textId="77777777" w:rsidR="00DE619E" w:rsidRPr="00560B44" w:rsidRDefault="00DE619E" w:rsidP="0033341F"/>
    <w:p w14:paraId="55B947E0" w14:textId="77777777" w:rsidR="00DE619E" w:rsidRPr="00560B44" w:rsidRDefault="00DE619E" w:rsidP="0033341F"/>
    <w:p w14:paraId="40072EDF" w14:textId="0AB23ECC" w:rsidR="00DE619E" w:rsidRPr="00560B44" w:rsidRDefault="00DE619E" w:rsidP="0033341F">
      <w:pPr>
        <w:rPr>
          <w:sz w:val="28"/>
          <w:szCs w:val="28"/>
        </w:rPr>
      </w:pPr>
      <w:r w:rsidRPr="00560B44">
        <w:rPr>
          <w:b/>
          <w:sz w:val="28"/>
          <w:szCs w:val="28"/>
        </w:rPr>
        <w:t>Assemblée générale de l</w:t>
      </w:r>
      <w:r w:rsidR="00AE5469">
        <w:rPr>
          <w:b/>
          <w:sz w:val="28"/>
          <w:szCs w:val="28"/>
        </w:rPr>
        <w:t>’</w:t>
      </w:r>
      <w:r w:rsidRPr="00560B44">
        <w:rPr>
          <w:b/>
          <w:sz w:val="28"/>
          <w:szCs w:val="28"/>
        </w:rPr>
        <w:t>OMPI</w:t>
      </w:r>
    </w:p>
    <w:p w14:paraId="6E9DFA53" w14:textId="77777777" w:rsidR="00DE619E" w:rsidRPr="00560B44" w:rsidRDefault="00DE619E" w:rsidP="0033341F"/>
    <w:p w14:paraId="3D992FC6" w14:textId="342FCE11" w:rsidR="00DE619E" w:rsidRPr="00560B44" w:rsidRDefault="00DE619E" w:rsidP="0033341F">
      <w:pPr>
        <w:rPr>
          <w:b/>
          <w:sz w:val="24"/>
          <w:szCs w:val="24"/>
        </w:rPr>
      </w:pPr>
      <w:r w:rsidRPr="00560B44">
        <w:rPr>
          <w:b/>
          <w:sz w:val="24"/>
          <w:szCs w:val="24"/>
        </w:rPr>
        <w:t>Quarante</w:t>
      </w:r>
      <w:r w:rsidR="003232C9">
        <w:rPr>
          <w:b/>
          <w:sz w:val="24"/>
          <w:szCs w:val="24"/>
        </w:rPr>
        <w:noBreakHyphen/>
      </w:r>
      <w:r w:rsidRPr="00560B44">
        <w:rPr>
          <w:b/>
          <w:sz w:val="24"/>
          <w:szCs w:val="24"/>
        </w:rPr>
        <w:t>huitième</w:t>
      </w:r>
      <w:r w:rsidR="0042049F" w:rsidRPr="00560B44">
        <w:rPr>
          <w:b/>
          <w:sz w:val="24"/>
          <w:szCs w:val="24"/>
        </w:rPr>
        <w:t> </w:t>
      </w:r>
      <w:r w:rsidRPr="00560B44">
        <w:rPr>
          <w:b/>
          <w:sz w:val="24"/>
          <w:szCs w:val="24"/>
        </w:rPr>
        <w:t>session (26</w:t>
      </w:r>
      <w:r w:rsidRPr="00560B44">
        <w:rPr>
          <w:b/>
          <w:sz w:val="24"/>
          <w:szCs w:val="24"/>
          <w:vertAlign w:val="superscript"/>
        </w:rPr>
        <w:t>e</w:t>
      </w:r>
      <w:r w:rsidR="00C6399B">
        <w:rPr>
          <w:b/>
          <w:sz w:val="24"/>
          <w:szCs w:val="24"/>
        </w:rPr>
        <w:t> </w:t>
      </w:r>
      <w:r w:rsidRPr="00560B44">
        <w:rPr>
          <w:b/>
          <w:sz w:val="24"/>
          <w:szCs w:val="24"/>
        </w:rPr>
        <w:t>session extraordinaire)</w:t>
      </w:r>
    </w:p>
    <w:p w14:paraId="38CA8EE1" w14:textId="77777777" w:rsidR="00DE619E" w:rsidRPr="00560B44" w:rsidRDefault="00DE619E" w:rsidP="0033341F">
      <w:pPr>
        <w:rPr>
          <w:b/>
          <w:sz w:val="24"/>
          <w:szCs w:val="24"/>
        </w:rPr>
      </w:pPr>
      <w:r w:rsidRPr="00560B44">
        <w:rPr>
          <w:b/>
          <w:sz w:val="24"/>
          <w:szCs w:val="24"/>
        </w:rPr>
        <w:t>Genève, 3 – 11 octobre 2016</w:t>
      </w:r>
    </w:p>
    <w:p w14:paraId="4DD8204F" w14:textId="77777777" w:rsidR="00DE619E" w:rsidRPr="00560B44" w:rsidRDefault="00DE619E" w:rsidP="0033341F"/>
    <w:p w14:paraId="775C56FB" w14:textId="77777777" w:rsidR="00DE619E" w:rsidRPr="00560B44" w:rsidRDefault="00DE619E" w:rsidP="0033341F"/>
    <w:p w14:paraId="2C81C4AF" w14:textId="77777777" w:rsidR="00DE619E" w:rsidRPr="00560B44" w:rsidRDefault="00DE619E" w:rsidP="0033341F"/>
    <w:p w14:paraId="09633DD3" w14:textId="4506A415" w:rsidR="00831CC2" w:rsidRPr="00560B44" w:rsidRDefault="006D5B4C" w:rsidP="0033341F">
      <w:pPr>
        <w:rPr>
          <w:caps/>
          <w:sz w:val="24"/>
          <w:szCs w:val="24"/>
          <w:lang w:val="fr-CH"/>
        </w:rPr>
      </w:pPr>
      <w:r w:rsidRPr="00560B44">
        <w:rPr>
          <w:caps/>
          <w:sz w:val="24"/>
          <w:szCs w:val="24"/>
          <w:lang w:val="fr-CH"/>
        </w:rPr>
        <w:t>Rapport sur le Comité consultatif sur l</w:t>
      </w:r>
      <w:r w:rsidR="00AE5469">
        <w:rPr>
          <w:caps/>
          <w:sz w:val="24"/>
          <w:szCs w:val="24"/>
          <w:lang w:val="fr-CH"/>
        </w:rPr>
        <w:t>’</w:t>
      </w:r>
      <w:r w:rsidR="002F729B">
        <w:rPr>
          <w:caps/>
          <w:sz w:val="24"/>
          <w:szCs w:val="24"/>
          <w:lang w:val="fr-CH"/>
        </w:rPr>
        <w:t>application des droits </w:t>
      </w:r>
      <w:r w:rsidRPr="00560B44">
        <w:rPr>
          <w:caps/>
          <w:sz w:val="24"/>
          <w:szCs w:val="24"/>
          <w:lang w:val="fr-CH"/>
        </w:rPr>
        <w:t>(ACE)</w:t>
      </w:r>
    </w:p>
    <w:p w14:paraId="3F478FBC" w14:textId="77777777" w:rsidR="00831CC2" w:rsidRPr="00560B44" w:rsidRDefault="00831CC2" w:rsidP="0033341F">
      <w:pPr>
        <w:rPr>
          <w:szCs w:val="22"/>
          <w:lang w:val="fr-CH"/>
        </w:rPr>
      </w:pPr>
    </w:p>
    <w:p w14:paraId="3761EF19" w14:textId="77777777" w:rsidR="00831CC2" w:rsidRPr="00560B44" w:rsidRDefault="006D5B4C" w:rsidP="0033341F">
      <w:pPr>
        <w:rPr>
          <w:i/>
          <w:szCs w:val="22"/>
          <w:lang w:val="fr-CH"/>
        </w:rPr>
      </w:pPr>
      <w:bookmarkStart w:id="4" w:name="Prepared"/>
      <w:bookmarkEnd w:id="4"/>
      <w:proofErr w:type="gramStart"/>
      <w:r w:rsidRPr="00560B44">
        <w:rPr>
          <w:i/>
          <w:szCs w:val="22"/>
          <w:lang w:val="fr-CH"/>
        </w:rPr>
        <w:t>établi</w:t>
      </w:r>
      <w:proofErr w:type="gramEnd"/>
      <w:r w:rsidRPr="00560B44">
        <w:rPr>
          <w:i/>
          <w:szCs w:val="22"/>
          <w:lang w:val="fr-CH"/>
        </w:rPr>
        <w:t xml:space="preserve"> par le Secrétariat</w:t>
      </w:r>
    </w:p>
    <w:p w14:paraId="431E56B7" w14:textId="77777777" w:rsidR="00831CC2" w:rsidRPr="00560B44" w:rsidRDefault="00831CC2" w:rsidP="0033341F">
      <w:pPr>
        <w:rPr>
          <w:szCs w:val="22"/>
          <w:lang w:val="fr-CH"/>
        </w:rPr>
      </w:pPr>
    </w:p>
    <w:p w14:paraId="7DF19301" w14:textId="77777777" w:rsidR="00831CC2" w:rsidRPr="00560B44" w:rsidRDefault="00831CC2" w:rsidP="0033341F">
      <w:pPr>
        <w:rPr>
          <w:szCs w:val="22"/>
          <w:lang w:val="fr-CH"/>
        </w:rPr>
      </w:pPr>
    </w:p>
    <w:p w14:paraId="37A1761D" w14:textId="77777777" w:rsidR="00DE619E" w:rsidRPr="00560B44" w:rsidRDefault="00DE619E" w:rsidP="0033341F">
      <w:pPr>
        <w:rPr>
          <w:szCs w:val="22"/>
          <w:lang w:val="fr-CH"/>
        </w:rPr>
      </w:pPr>
    </w:p>
    <w:p w14:paraId="483D0DFA" w14:textId="77777777" w:rsidR="00DE619E" w:rsidRPr="00560B44" w:rsidRDefault="00DE619E" w:rsidP="0033341F">
      <w:pPr>
        <w:rPr>
          <w:szCs w:val="22"/>
          <w:lang w:val="fr-CH"/>
        </w:rPr>
      </w:pPr>
    </w:p>
    <w:p w14:paraId="694E08AF" w14:textId="77777777" w:rsidR="00831CC2" w:rsidRPr="00560B44" w:rsidRDefault="00831CC2" w:rsidP="0033341F">
      <w:pPr>
        <w:rPr>
          <w:szCs w:val="22"/>
          <w:lang w:val="fr-CH"/>
        </w:rPr>
      </w:pPr>
    </w:p>
    <w:p w14:paraId="71B00BBF" w14:textId="53E8D6CC" w:rsidR="00560B44" w:rsidRDefault="006D5B4C" w:rsidP="0033341F">
      <w:pPr>
        <w:pStyle w:val="ONUMFS"/>
        <w:rPr>
          <w:lang w:val="fr-CH"/>
        </w:rPr>
      </w:pPr>
      <w:r w:rsidRPr="00B16CDE">
        <w:rPr>
          <w:lang w:val="fr-CH"/>
        </w:rPr>
        <w:t>Au cours de la période considérée, le Comité consultatif sur l</w:t>
      </w:r>
      <w:r w:rsidR="00AE5469">
        <w:rPr>
          <w:lang w:val="fr-CH"/>
        </w:rPr>
        <w:t>’</w:t>
      </w:r>
      <w:r w:rsidRPr="00B16CDE">
        <w:rPr>
          <w:lang w:val="fr-CH"/>
        </w:rPr>
        <w:t>application des droits (ACE) a tenu sa dixième</w:t>
      </w:r>
      <w:r w:rsidR="0042049F" w:rsidRPr="00B16CDE">
        <w:rPr>
          <w:lang w:val="fr-CH"/>
        </w:rPr>
        <w:t> </w:t>
      </w:r>
      <w:r w:rsidRPr="00B16CDE">
        <w:rPr>
          <w:lang w:val="fr-CH"/>
        </w:rPr>
        <w:t>session du 23 au 2</w:t>
      </w:r>
      <w:r w:rsidR="00DE619E" w:rsidRPr="00B16CDE">
        <w:rPr>
          <w:lang w:val="fr-CH"/>
        </w:rPr>
        <w:t>5 novembre 20</w:t>
      </w:r>
      <w:r w:rsidRPr="00B16CDE">
        <w:rPr>
          <w:lang w:val="fr-CH"/>
        </w:rPr>
        <w:t>15</w:t>
      </w:r>
      <w:r w:rsidR="00BF253E">
        <w:rPr>
          <w:lang w:val="fr-CH"/>
        </w:rPr>
        <w:t>, ainsi que sa onzième</w:t>
      </w:r>
      <w:r w:rsidR="00E17F82">
        <w:rPr>
          <w:lang w:val="fr-CH"/>
        </w:rPr>
        <w:t> </w:t>
      </w:r>
      <w:r w:rsidR="00BF253E">
        <w:rPr>
          <w:lang w:val="fr-CH"/>
        </w:rPr>
        <w:t>session du 5 au 7 septembre 2016</w:t>
      </w:r>
      <w:r w:rsidRPr="00B16CDE">
        <w:rPr>
          <w:lang w:val="fr-CH"/>
        </w:rPr>
        <w:t>.</w:t>
      </w:r>
      <w:r w:rsidR="00BF253E">
        <w:rPr>
          <w:lang w:val="fr-CH"/>
        </w:rPr>
        <w:t xml:space="preserve"> </w:t>
      </w:r>
      <w:r w:rsidR="00E17F82">
        <w:rPr>
          <w:lang w:val="fr-CH"/>
        </w:rPr>
        <w:t xml:space="preserve"> </w:t>
      </w:r>
      <w:r w:rsidR="00683565">
        <w:rPr>
          <w:lang w:val="fr-CH"/>
        </w:rPr>
        <w:t>Ces deux</w:t>
      </w:r>
      <w:r w:rsidR="00E17F82">
        <w:rPr>
          <w:lang w:val="fr-CH"/>
        </w:rPr>
        <w:t> </w:t>
      </w:r>
      <w:r w:rsidR="00683565">
        <w:rPr>
          <w:lang w:val="fr-CH"/>
        </w:rPr>
        <w:t>sessions</w:t>
      </w:r>
      <w:r w:rsidRPr="00B16CDE">
        <w:rPr>
          <w:lang w:val="fr-CH"/>
        </w:rPr>
        <w:t xml:space="preserve"> </w:t>
      </w:r>
      <w:r w:rsidR="00683565">
        <w:rPr>
          <w:lang w:val="fr-CH"/>
        </w:rPr>
        <w:t>ont</w:t>
      </w:r>
      <w:r w:rsidRPr="00B16CDE">
        <w:rPr>
          <w:lang w:val="fr-CH"/>
        </w:rPr>
        <w:t xml:space="preserve"> été présidée</w:t>
      </w:r>
      <w:r w:rsidR="00683565">
        <w:rPr>
          <w:lang w:val="fr-CH"/>
        </w:rPr>
        <w:t>s</w:t>
      </w:r>
      <w:r w:rsidRPr="00B16CDE">
        <w:rPr>
          <w:lang w:val="fr-CH"/>
        </w:rPr>
        <w:t xml:space="preserve"> par Mme Amanda</w:t>
      </w:r>
      <w:r w:rsidR="00560B44" w:rsidRPr="00B16CDE">
        <w:rPr>
          <w:lang w:val="fr-CH"/>
        </w:rPr>
        <w:t> </w:t>
      </w:r>
      <w:proofErr w:type="spellStart"/>
      <w:r w:rsidRPr="00B16CDE">
        <w:rPr>
          <w:lang w:val="fr-CH"/>
        </w:rPr>
        <w:t>Lotheringen</w:t>
      </w:r>
      <w:proofErr w:type="spellEnd"/>
      <w:r w:rsidRPr="00B16CDE">
        <w:rPr>
          <w:lang w:val="fr-CH"/>
        </w:rPr>
        <w:t xml:space="preserve"> (Afrique du Sud)</w:t>
      </w:r>
      <w:r w:rsidR="0042049F" w:rsidRPr="00B16CDE">
        <w:rPr>
          <w:lang w:val="fr-CH"/>
        </w:rPr>
        <w:t>.</w:t>
      </w:r>
    </w:p>
    <w:p w14:paraId="09BF86FE" w14:textId="26852574" w:rsidR="00683565" w:rsidRDefault="00683565" w:rsidP="00683565">
      <w:pPr>
        <w:numPr>
          <w:ilvl w:val="0"/>
          <w:numId w:val="13"/>
        </w:numPr>
        <w:autoSpaceDE w:val="0"/>
        <w:autoSpaceDN w:val="0"/>
        <w:adjustRightInd w:val="0"/>
        <w:ind w:left="0" w:firstLine="0"/>
        <w:rPr>
          <w:b/>
        </w:rPr>
      </w:pPr>
      <w:r w:rsidRPr="00683565">
        <w:rPr>
          <w:b/>
        </w:rPr>
        <w:t>Dixième</w:t>
      </w:r>
      <w:r w:rsidR="00E17F82">
        <w:rPr>
          <w:b/>
        </w:rPr>
        <w:t> </w:t>
      </w:r>
      <w:r w:rsidRPr="00683565">
        <w:rPr>
          <w:b/>
        </w:rPr>
        <w:t>session de l</w:t>
      </w:r>
      <w:r w:rsidR="00AE5469">
        <w:rPr>
          <w:b/>
        </w:rPr>
        <w:t>’</w:t>
      </w:r>
      <w:r w:rsidRPr="00683565">
        <w:rPr>
          <w:b/>
        </w:rPr>
        <w:t>ACE</w:t>
      </w:r>
    </w:p>
    <w:p w14:paraId="13AA6145" w14:textId="77777777" w:rsidR="00F82133" w:rsidRPr="00683565" w:rsidRDefault="00F82133" w:rsidP="00F82133">
      <w:pPr>
        <w:autoSpaceDE w:val="0"/>
        <w:autoSpaceDN w:val="0"/>
        <w:adjustRightInd w:val="0"/>
        <w:rPr>
          <w:b/>
        </w:rPr>
      </w:pPr>
    </w:p>
    <w:p w14:paraId="0A6240E1" w14:textId="098FD5AA" w:rsidR="00560B44" w:rsidRPr="00B16CDE" w:rsidRDefault="006D5B4C" w:rsidP="0033341F">
      <w:pPr>
        <w:pStyle w:val="ONUMFS"/>
        <w:rPr>
          <w:lang w:val="fr-CH"/>
        </w:rPr>
      </w:pPr>
      <w:r w:rsidRPr="00B16CDE">
        <w:rPr>
          <w:lang w:val="fr-CH"/>
        </w:rPr>
        <w:t>Le programme de travail de la dixième</w:t>
      </w:r>
      <w:r w:rsidR="0042049F" w:rsidRPr="00B16CDE">
        <w:rPr>
          <w:lang w:val="fr-CH"/>
        </w:rPr>
        <w:t> </w:t>
      </w:r>
      <w:r w:rsidRPr="00B16CDE">
        <w:rPr>
          <w:lang w:val="fr-CH"/>
        </w:rPr>
        <w:t>session portait sur le</w:t>
      </w:r>
      <w:r w:rsidR="0080770A">
        <w:rPr>
          <w:lang w:val="fr-CH"/>
        </w:rPr>
        <w:t>s</w:t>
      </w:r>
      <w:r w:rsidRPr="00B16CDE">
        <w:rPr>
          <w:lang w:val="fr-CH"/>
        </w:rPr>
        <w:t xml:space="preserve"> thème</w:t>
      </w:r>
      <w:r w:rsidR="0080770A">
        <w:rPr>
          <w:lang w:val="fr-CH"/>
        </w:rPr>
        <w:t>s</w:t>
      </w:r>
      <w:r w:rsidRPr="00B16CDE">
        <w:rPr>
          <w:lang w:val="fr-CH"/>
        </w:rPr>
        <w:t xml:space="preserve"> suivant</w:t>
      </w:r>
      <w:r w:rsidR="0080770A">
        <w:rPr>
          <w:lang w:val="fr-CH"/>
        </w:rPr>
        <w:t>s</w:t>
      </w:r>
      <w:r w:rsidR="00E17F82">
        <w:rPr>
          <w:lang w:val="fr-CH"/>
        </w:rPr>
        <w:t> </w:t>
      </w:r>
      <w:r w:rsidRPr="00B16CDE">
        <w:rPr>
          <w:lang w:val="fr-CH"/>
        </w:rPr>
        <w:t>:</w:t>
      </w:r>
    </w:p>
    <w:p w14:paraId="765F9CAD" w14:textId="6E04A010" w:rsidR="00560B44" w:rsidRPr="00B16CDE" w:rsidRDefault="006D5B4C" w:rsidP="0033341F">
      <w:pPr>
        <w:pStyle w:val="ONUMFS"/>
        <w:numPr>
          <w:ilvl w:val="0"/>
          <w:numId w:val="11"/>
        </w:numPr>
        <w:ind w:left="567"/>
        <w:rPr>
          <w:lang w:val="fr-CH"/>
        </w:rPr>
      </w:pPr>
      <w:r w:rsidRPr="00B16CDE">
        <w:rPr>
          <w:lang w:val="fr-CH"/>
        </w:rPr>
        <w:t>pratiques en matière de règlement extrajudiciaire des litiges dans différents domaines de la propriété intell</w:t>
      </w:r>
      <w:r w:rsidR="00C6399B">
        <w:rPr>
          <w:lang w:val="fr-CH"/>
        </w:rPr>
        <w:t>ectuelle et leur mise en œuvre;</w:t>
      </w:r>
      <w:r w:rsidRPr="00B16CDE">
        <w:rPr>
          <w:lang w:val="fr-CH"/>
        </w:rPr>
        <w:t xml:space="preserve"> </w:t>
      </w:r>
      <w:r w:rsidR="00E17F82">
        <w:rPr>
          <w:lang w:val="fr-CH"/>
        </w:rPr>
        <w:t xml:space="preserve"> </w:t>
      </w:r>
      <w:r w:rsidRPr="00B16CDE">
        <w:rPr>
          <w:lang w:val="fr-CH"/>
        </w:rPr>
        <w:t>et</w:t>
      </w:r>
    </w:p>
    <w:p w14:paraId="4D0A87BE" w14:textId="1781A1EE" w:rsidR="00560B44" w:rsidRPr="00B16CDE" w:rsidRDefault="006D5B4C" w:rsidP="0033341F">
      <w:pPr>
        <w:pStyle w:val="ONUMFS"/>
        <w:numPr>
          <w:ilvl w:val="0"/>
          <w:numId w:val="11"/>
        </w:numPr>
        <w:ind w:left="567"/>
        <w:rPr>
          <w:lang w:val="fr-CH"/>
        </w:rPr>
      </w:pPr>
      <w:r w:rsidRPr="00B16CDE">
        <w:rPr>
          <w:lang w:val="fr-CH"/>
        </w:rPr>
        <w:t>actions, mesures ou expériences réussies en matière de prévention visant à compléter les mesures d</w:t>
      </w:r>
      <w:r w:rsidR="00AE5469">
        <w:rPr>
          <w:lang w:val="fr-CH"/>
        </w:rPr>
        <w:t>’</w:t>
      </w:r>
      <w:r w:rsidRPr="00B16CDE">
        <w:rPr>
          <w:lang w:val="fr-CH"/>
        </w:rPr>
        <w:t>application des droits en vigueur, de manière à réduire la taille du marché pour les produits contrefaisants ou pirates.</w:t>
      </w:r>
    </w:p>
    <w:p w14:paraId="28065745" w14:textId="5777964F" w:rsidR="00831CC2" w:rsidRPr="00B16CDE" w:rsidRDefault="007E7080" w:rsidP="0033341F">
      <w:pPr>
        <w:pStyle w:val="ONUMFS"/>
        <w:rPr>
          <w:lang w:val="fr-CH"/>
        </w:rPr>
      </w:pPr>
      <w:r w:rsidRPr="00B16CDE">
        <w:rPr>
          <w:lang w:val="fr-CH"/>
        </w:rPr>
        <w:t xml:space="preserve">Le programme de travail a été examiné sur la base de </w:t>
      </w:r>
      <w:r w:rsidR="00560B44" w:rsidRPr="00B16CDE">
        <w:rPr>
          <w:lang w:val="fr-CH"/>
        </w:rPr>
        <w:t>22 </w:t>
      </w:r>
      <w:r w:rsidRPr="00B16CDE">
        <w:rPr>
          <w:lang w:val="fr-CH"/>
        </w:rPr>
        <w:t>exposés présentés par des experts et de deux</w:t>
      </w:r>
      <w:r w:rsidR="0042049F" w:rsidRPr="00B16CDE">
        <w:rPr>
          <w:lang w:val="fr-CH"/>
        </w:rPr>
        <w:t> </w:t>
      </w:r>
      <w:r w:rsidRPr="00B16CDE">
        <w:rPr>
          <w:lang w:val="fr-CH"/>
        </w:rPr>
        <w:t>débats d</w:t>
      </w:r>
      <w:r w:rsidR="00AE5469">
        <w:rPr>
          <w:lang w:val="fr-CH"/>
        </w:rPr>
        <w:t>’</w:t>
      </w:r>
      <w:r w:rsidRPr="00B16CDE">
        <w:rPr>
          <w:lang w:val="fr-CH"/>
        </w:rPr>
        <w:t>experts</w:t>
      </w:r>
      <w:r w:rsidRPr="00B16CDE">
        <w:rPr>
          <w:rStyle w:val="FootnoteReference"/>
          <w:szCs w:val="22"/>
        </w:rPr>
        <w:footnoteReference w:id="2"/>
      </w:r>
      <w:r w:rsidR="0042049F" w:rsidRPr="00B16CDE">
        <w:rPr>
          <w:lang w:val="fr-CH"/>
        </w:rPr>
        <w:t>.</w:t>
      </w:r>
      <w:r w:rsidR="00C6399B">
        <w:rPr>
          <w:lang w:val="fr-CH"/>
        </w:rPr>
        <w:t xml:space="preserve"> </w:t>
      </w:r>
      <w:r w:rsidR="00E17F82">
        <w:rPr>
          <w:lang w:val="fr-CH"/>
        </w:rPr>
        <w:t xml:space="preserve"> </w:t>
      </w:r>
      <w:r w:rsidR="00D53ECB" w:rsidRPr="00B16CDE">
        <w:rPr>
          <w:lang w:val="fr-CH"/>
        </w:rPr>
        <w:t>Le point du programme de travail concernant les “Pratiques en matière de règlement extrajudiciaire des litiges dans différents domaines de la propriété intellectuelle et leur mise en œuvre” a été ouvert sur deux</w:t>
      </w:r>
      <w:r w:rsidR="0042049F" w:rsidRPr="00B16CDE">
        <w:rPr>
          <w:lang w:val="fr-CH"/>
        </w:rPr>
        <w:t> </w:t>
      </w:r>
      <w:r w:rsidR="00D53ECB" w:rsidRPr="00B16CDE">
        <w:rPr>
          <w:lang w:val="fr-CH"/>
        </w:rPr>
        <w:t>exposés relatifs aux expériences nationales du Centre de conciliation et d</w:t>
      </w:r>
      <w:r w:rsidR="00AE5469">
        <w:rPr>
          <w:lang w:val="fr-CH"/>
        </w:rPr>
        <w:t>’</w:t>
      </w:r>
      <w:r w:rsidR="00D53ECB" w:rsidRPr="00B16CDE">
        <w:rPr>
          <w:lang w:val="fr-CH"/>
        </w:rPr>
        <w:t>arbitrage de la Direction nationale du droit d</w:t>
      </w:r>
      <w:r w:rsidR="00AE5469">
        <w:rPr>
          <w:lang w:val="fr-CH"/>
        </w:rPr>
        <w:t>’</w:t>
      </w:r>
      <w:r w:rsidR="00D53ECB" w:rsidRPr="00B16CDE">
        <w:rPr>
          <w:lang w:val="fr-CH"/>
        </w:rPr>
        <w:t>auteur de la Colombie et du Programme de médiation de l</w:t>
      </w:r>
      <w:r w:rsidR="00AE5469">
        <w:rPr>
          <w:lang w:val="fr-CH"/>
        </w:rPr>
        <w:t>’</w:t>
      </w:r>
      <w:r w:rsidR="00D53ECB" w:rsidRPr="00B16CDE">
        <w:rPr>
          <w:lang w:val="fr-CH"/>
        </w:rPr>
        <w:t>Office de la propriété intellectuelle des Philippines (IPOPHL).</w:t>
      </w:r>
      <w:r w:rsidR="00C6399B">
        <w:rPr>
          <w:lang w:val="fr-CH"/>
        </w:rPr>
        <w:t xml:space="preserve"> </w:t>
      </w:r>
      <w:r w:rsidR="00E17F82">
        <w:rPr>
          <w:lang w:val="fr-CH"/>
        </w:rPr>
        <w:t xml:space="preserve"> </w:t>
      </w:r>
      <w:r w:rsidR="00595A3D" w:rsidRPr="00B16CDE">
        <w:rPr>
          <w:lang w:val="fr-CH"/>
        </w:rPr>
        <w:t>Ensuite, des exposés ont été p</w:t>
      </w:r>
      <w:r w:rsidR="00450B0C" w:rsidRPr="00B16CDE">
        <w:rPr>
          <w:lang w:val="fr-CH"/>
        </w:rPr>
        <w:t>résentés sur la procédure d</w:t>
      </w:r>
      <w:r w:rsidR="00AE5469">
        <w:rPr>
          <w:lang w:val="fr-CH"/>
        </w:rPr>
        <w:t>’</w:t>
      </w:r>
      <w:r w:rsidR="00450B0C" w:rsidRPr="00B16CDE">
        <w:rPr>
          <w:lang w:val="fr-CH"/>
        </w:rPr>
        <w:t xml:space="preserve">urgence </w:t>
      </w:r>
      <w:r w:rsidR="00450B0C" w:rsidRPr="00B16CDE">
        <w:rPr>
          <w:lang w:val="fr-CH"/>
        </w:rPr>
        <w:lastRenderedPageBreak/>
        <w:t xml:space="preserve">pour le règlement des litiges de propriété intellectuelle survenant dans le cadre de salons organisés à </w:t>
      </w:r>
      <w:proofErr w:type="spellStart"/>
      <w:r w:rsidR="00450B0C" w:rsidRPr="00B16CDE">
        <w:rPr>
          <w:lang w:val="fr-CH"/>
        </w:rPr>
        <w:t>Palexpo</w:t>
      </w:r>
      <w:proofErr w:type="spellEnd"/>
      <w:r w:rsidR="00450B0C" w:rsidRPr="00B16CDE">
        <w:rPr>
          <w:lang w:val="fr-CH"/>
        </w:rPr>
        <w:t>, sur l</w:t>
      </w:r>
      <w:r w:rsidR="00AE5469">
        <w:rPr>
          <w:lang w:val="fr-CH"/>
        </w:rPr>
        <w:t>’</w:t>
      </w:r>
      <w:r w:rsidR="00450B0C" w:rsidRPr="00B16CDE">
        <w:rPr>
          <w:lang w:val="fr-CH"/>
        </w:rPr>
        <w:t>expérience de la Serbie dans le règlement des litiges relatifs aux noms de domaine et sur les éléments structurels des Principes directeurs concernant le règlement uniforme des litiges relatifs aux noms de domaine (principes UDRP).</w:t>
      </w:r>
      <w:r w:rsidR="00C6399B">
        <w:rPr>
          <w:lang w:val="fr-CH"/>
        </w:rPr>
        <w:t xml:space="preserve"> </w:t>
      </w:r>
      <w:r w:rsidR="00E17F82">
        <w:rPr>
          <w:lang w:val="fr-CH"/>
        </w:rPr>
        <w:t xml:space="preserve"> </w:t>
      </w:r>
      <w:r w:rsidR="00450B0C" w:rsidRPr="00B16CDE">
        <w:rPr>
          <w:lang w:val="fr-CH"/>
        </w:rPr>
        <w:t>Le Secrétariat a fait part de sa perspective dans le contexte des activités du Centre d</w:t>
      </w:r>
      <w:r w:rsidR="00AE5469">
        <w:rPr>
          <w:lang w:val="fr-CH"/>
        </w:rPr>
        <w:t>’</w:t>
      </w:r>
      <w:r w:rsidR="00450B0C" w:rsidRPr="00B16CDE">
        <w:rPr>
          <w:lang w:val="fr-CH"/>
        </w:rPr>
        <w:t>arbitrage et de médiation de l</w:t>
      </w:r>
      <w:r w:rsidR="00AE5469">
        <w:rPr>
          <w:lang w:val="fr-CH"/>
        </w:rPr>
        <w:t>’</w:t>
      </w:r>
      <w:r w:rsidR="00450B0C" w:rsidRPr="00B16CDE">
        <w:rPr>
          <w:lang w:val="fr-CH"/>
        </w:rPr>
        <w:t>OMPI.</w:t>
      </w:r>
    </w:p>
    <w:p w14:paraId="164EC457" w14:textId="2DC769E1" w:rsidR="00831CC2" w:rsidRPr="00B16CDE" w:rsidRDefault="00450B0C" w:rsidP="0033341F">
      <w:pPr>
        <w:pStyle w:val="ONUMFS"/>
        <w:rPr>
          <w:lang w:val="fr-CH"/>
        </w:rPr>
      </w:pPr>
      <w:r w:rsidRPr="00B16CDE">
        <w:rPr>
          <w:lang w:val="fr-CH"/>
        </w:rPr>
        <w:t>Au titre du programme de travail concernant les “Actions, mesures ou expériences réussies en matière de prévention visant à compléter les mesures d</w:t>
      </w:r>
      <w:r w:rsidR="00AE5469">
        <w:rPr>
          <w:lang w:val="fr-CH"/>
        </w:rPr>
        <w:t>’</w:t>
      </w:r>
      <w:r w:rsidRPr="00B16CDE">
        <w:rPr>
          <w:lang w:val="fr-CH"/>
        </w:rPr>
        <w:t>application des droits en vigueur de manière à réduire la taille du marché pour les produits contrefaisants ou pirates”, le comité a suivi des exposés relevant des sous</w:t>
      </w:r>
      <w:r w:rsidR="003232C9">
        <w:rPr>
          <w:lang w:val="fr-CH"/>
        </w:rPr>
        <w:noBreakHyphen/>
      </w:r>
      <w:r w:rsidRPr="00B16CDE">
        <w:rPr>
          <w:lang w:val="fr-CH"/>
        </w:rPr>
        <w:t>éléments “Sensibilisation”, “Outils pédagogiques pour les jeunes”, “Prévention des atteintes aux droits dans l</w:t>
      </w:r>
      <w:r w:rsidR="00AE5469">
        <w:rPr>
          <w:lang w:val="fr-CH"/>
        </w:rPr>
        <w:t>’</w:t>
      </w:r>
      <w:r w:rsidRPr="00B16CDE">
        <w:rPr>
          <w:lang w:val="fr-CH"/>
        </w:rPr>
        <w:t>environnement en ligne”, “Stratégies nationales en matière de promotion du respect de la propriété intellectuelle” et un débat encadré sur la “Coopération stratégique”.</w:t>
      </w:r>
    </w:p>
    <w:p w14:paraId="66CF0203" w14:textId="63291A46" w:rsidR="00831CC2" w:rsidRPr="00B16CDE" w:rsidRDefault="00450B0C" w:rsidP="0033341F">
      <w:pPr>
        <w:pStyle w:val="ONUMFS"/>
        <w:rPr>
          <w:lang w:val="fr-CH"/>
        </w:rPr>
      </w:pPr>
      <w:r w:rsidRPr="00B16CDE">
        <w:rPr>
          <w:lang w:val="fr-CH"/>
        </w:rPr>
        <w:t>Au titre du sous</w:t>
      </w:r>
      <w:r w:rsidR="003232C9">
        <w:rPr>
          <w:lang w:val="fr-CH"/>
        </w:rPr>
        <w:noBreakHyphen/>
      </w:r>
      <w:r w:rsidRPr="00B16CDE">
        <w:rPr>
          <w:lang w:val="fr-CH"/>
        </w:rPr>
        <w:t>élément concernant la “Sensibilisation”, une étude régionale et quatre</w:t>
      </w:r>
      <w:r w:rsidR="0042049F" w:rsidRPr="00B16CDE">
        <w:rPr>
          <w:lang w:val="fr-CH"/>
        </w:rPr>
        <w:t> </w:t>
      </w:r>
      <w:r w:rsidRPr="00B16CDE">
        <w:rPr>
          <w:lang w:val="fr-CH"/>
        </w:rPr>
        <w:t xml:space="preserve">études nationales ont été présentées, </w:t>
      </w:r>
      <w:r w:rsidR="00AE5469">
        <w:rPr>
          <w:lang w:val="fr-CH"/>
        </w:rPr>
        <w:t>à savoir</w:t>
      </w:r>
      <w:r w:rsidRPr="00B16CDE">
        <w:rPr>
          <w:lang w:val="fr-CH"/>
        </w:rPr>
        <w:t xml:space="preserve"> celle de la Ligue des États arabes (LEA), de la </w:t>
      </w:r>
      <w:r w:rsidR="00560B44" w:rsidRPr="00B16CDE">
        <w:rPr>
          <w:lang w:val="fr-CH"/>
        </w:rPr>
        <w:t>C</w:t>
      </w:r>
      <w:r w:rsidRPr="00B16CDE">
        <w:rPr>
          <w:lang w:val="fr-CH"/>
        </w:rPr>
        <w:t>hambre de commerce américaine du Mexique (</w:t>
      </w:r>
      <w:proofErr w:type="spellStart"/>
      <w:r w:rsidRPr="00B16CDE">
        <w:rPr>
          <w:lang w:val="fr-CH"/>
        </w:rPr>
        <w:t>AmCham</w:t>
      </w:r>
      <w:proofErr w:type="spellEnd"/>
      <w:r w:rsidRPr="00B16CDE">
        <w:rPr>
          <w:lang w:val="fr-CH"/>
        </w:rPr>
        <w:t>), de l</w:t>
      </w:r>
      <w:r w:rsidR="00AE5469">
        <w:rPr>
          <w:lang w:val="fr-CH"/>
        </w:rPr>
        <w:t>’</w:t>
      </w:r>
      <w:r w:rsidR="00560B44" w:rsidRPr="00B16CDE">
        <w:rPr>
          <w:lang w:val="fr-CH"/>
        </w:rPr>
        <w:t>O</w:t>
      </w:r>
      <w:r w:rsidRPr="00B16CDE">
        <w:rPr>
          <w:lang w:val="fr-CH"/>
        </w:rPr>
        <w:t xml:space="preserve">ffice espagnol des brevets et des marques (OEPM), du Kenya Copyright </w:t>
      </w:r>
      <w:proofErr w:type="spellStart"/>
      <w:r w:rsidRPr="00B16CDE">
        <w:rPr>
          <w:lang w:val="fr-CH"/>
        </w:rPr>
        <w:t>Board</w:t>
      </w:r>
      <w:proofErr w:type="spellEnd"/>
      <w:r w:rsidRPr="00B16CDE">
        <w:rPr>
          <w:lang w:val="fr-CH"/>
        </w:rPr>
        <w:t xml:space="preserve"> (KCB) et de la Direction de la protection de la propriété industrielle de </w:t>
      </w:r>
      <w:r w:rsidR="00560B44" w:rsidRPr="00B16CDE">
        <w:rPr>
          <w:lang w:val="fr-CH"/>
        </w:rPr>
        <w:t>la J</w:t>
      </w:r>
      <w:r w:rsidRPr="00B16CDE">
        <w:rPr>
          <w:lang w:val="fr-CH"/>
        </w:rPr>
        <w:t>ordanie.</w:t>
      </w:r>
    </w:p>
    <w:p w14:paraId="2E8D2713" w14:textId="593FAD6F" w:rsidR="00831CC2" w:rsidRPr="00B16CDE" w:rsidRDefault="00450B0C" w:rsidP="0033341F">
      <w:pPr>
        <w:pStyle w:val="ONUMFS"/>
        <w:rPr>
          <w:lang w:val="fr-CH"/>
        </w:rPr>
      </w:pPr>
      <w:r w:rsidRPr="00B16CDE">
        <w:rPr>
          <w:lang w:val="fr-CH"/>
        </w:rPr>
        <w:t>Au titre du sous</w:t>
      </w:r>
      <w:r w:rsidR="003232C9">
        <w:rPr>
          <w:lang w:val="fr-CH"/>
        </w:rPr>
        <w:noBreakHyphen/>
      </w:r>
      <w:r w:rsidRPr="00B16CDE">
        <w:rPr>
          <w:lang w:val="fr-CH"/>
        </w:rPr>
        <w:t>élément concernant les “Outils pédagogiques pour les jeunes”, quatre</w:t>
      </w:r>
      <w:r w:rsidR="0042049F" w:rsidRPr="00B16CDE">
        <w:rPr>
          <w:lang w:val="fr-CH"/>
        </w:rPr>
        <w:t> </w:t>
      </w:r>
      <w:r w:rsidRPr="00B16CDE">
        <w:rPr>
          <w:lang w:val="fr-CH"/>
        </w:rPr>
        <w:t xml:space="preserve">études nationales ont été présentées, </w:t>
      </w:r>
      <w:r w:rsidR="00AE5469">
        <w:rPr>
          <w:lang w:val="fr-CH"/>
        </w:rPr>
        <w:t>à savoir</w:t>
      </w:r>
      <w:r w:rsidRPr="00B16CDE">
        <w:rPr>
          <w:lang w:val="fr-CH"/>
        </w:rPr>
        <w:t xml:space="preserve"> celle de la Direction générale de la lutte contre la contrefaçon – Office italien des brevets et des marques (DGLC</w:t>
      </w:r>
      <w:r w:rsidR="003232C9">
        <w:rPr>
          <w:lang w:val="fr-CH"/>
        </w:rPr>
        <w:noBreakHyphen/>
      </w:r>
      <w:r w:rsidRPr="00B16CDE">
        <w:rPr>
          <w:lang w:val="fr-CH"/>
        </w:rPr>
        <w:t xml:space="preserve">UIBM), </w:t>
      </w:r>
      <w:r w:rsidR="00D06FED">
        <w:rPr>
          <w:lang w:val="fr-CH"/>
        </w:rPr>
        <w:t xml:space="preserve">celle </w:t>
      </w:r>
      <w:r w:rsidRPr="00B16CDE">
        <w:rPr>
          <w:lang w:val="fr-CH"/>
        </w:rPr>
        <w:t>de l</w:t>
      </w:r>
      <w:r w:rsidR="00AE5469">
        <w:rPr>
          <w:lang w:val="fr-CH"/>
        </w:rPr>
        <w:t>’</w:t>
      </w:r>
      <w:r w:rsidRPr="00B16CDE">
        <w:rPr>
          <w:lang w:val="fr-CH"/>
        </w:rPr>
        <w:t xml:space="preserve">Office des brevets du Japon (JPO), </w:t>
      </w:r>
      <w:r w:rsidR="00D06FED">
        <w:rPr>
          <w:lang w:val="fr-CH"/>
        </w:rPr>
        <w:t xml:space="preserve">celle </w:t>
      </w:r>
      <w:r w:rsidRPr="00B16CDE">
        <w:rPr>
          <w:lang w:val="fr-CH"/>
        </w:rPr>
        <w:t>de l</w:t>
      </w:r>
      <w:r w:rsidR="00AE5469">
        <w:rPr>
          <w:lang w:val="fr-CH"/>
        </w:rPr>
        <w:t>’</w:t>
      </w:r>
      <w:r w:rsidRPr="00B16CDE">
        <w:rPr>
          <w:lang w:val="fr-CH"/>
        </w:rPr>
        <w:t xml:space="preserve">Office de la propriété intellectuelle de </w:t>
      </w:r>
      <w:r w:rsidR="003232C9">
        <w:rPr>
          <w:lang w:val="fr-CH"/>
        </w:rPr>
        <w:t xml:space="preserve">la </w:t>
      </w:r>
      <w:r w:rsidRPr="00B16CDE">
        <w:rPr>
          <w:lang w:val="fr-CH"/>
        </w:rPr>
        <w:t>Malaisie (</w:t>
      </w:r>
      <w:proofErr w:type="spellStart"/>
      <w:r w:rsidRPr="00B16CDE">
        <w:rPr>
          <w:lang w:val="fr-CH"/>
        </w:rPr>
        <w:t>MyIPO</w:t>
      </w:r>
      <w:proofErr w:type="spellEnd"/>
      <w:r w:rsidRPr="00B16CDE">
        <w:rPr>
          <w:lang w:val="fr-CH"/>
        </w:rPr>
        <w:t xml:space="preserve">) et </w:t>
      </w:r>
      <w:r w:rsidR="00D06FED">
        <w:rPr>
          <w:lang w:val="fr-CH"/>
        </w:rPr>
        <w:t xml:space="preserve">celle </w:t>
      </w:r>
      <w:r w:rsidRPr="00B16CDE">
        <w:rPr>
          <w:lang w:val="fr-CH"/>
        </w:rPr>
        <w:t>de l</w:t>
      </w:r>
      <w:r w:rsidR="00AE5469">
        <w:rPr>
          <w:lang w:val="fr-CH"/>
        </w:rPr>
        <w:t>’</w:t>
      </w:r>
      <w:r w:rsidRPr="00B16CDE">
        <w:rPr>
          <w:lang w:val="fr-CH"/>
        </w:rPr>
        <w:t>Office de la propriété intellectuelle du Royaume</w:t>
      </w:r>
      <w:r w:rsidR="003232C9">
        <w:rPr>
          <w:lang w:val="fr-CH"/>
        </w:rPr>
        <w:noBreakHyphen/>
      </w:r>
      <w:r w:rsidRPr="00B16CDE">
        <w:rPr>
          <w:lang w:val="fr-CH"/>
        </w:rPr>
        <w:t>U</w:t>
      </w:r>
      <w:r w:rsidR="003232C9" w:rsidRPr="00B16CDE">
        <w:rPr>
          <w:lang w:val="fr-CH"/>
        </w:rPr>
        <w:t>ni</w:t>
      </w:r>
      <w:r w:rsidR="003232C9">
        <w:rPr>
          <w:lang w:val="fr-CH"/>
        </w:rPr>
        <w:t xml:space="preserve">.  </w:t>
      </w:r>
      <w:r w:rsidR="003232C9" w:rsidRPr="00B16CDE">
        <w:rPr>
          <w:lang w:val="fr-CH"/>
        </w:rPr>
        <w:t>Ce</w:t>
      </w:r>
      <w:r w:rsidR="00227A1E" w:rsidRPr="00B16CDE">
        <w:rPr>
          <w:lang w:val="fr-CH"/>
        </w:rPr>
        <w:t>s exposés ont été suivis d</w:t>
      </w:r>
      <w:r w:rsidR="00AE5469">
        <w:rPr>
          <w:lang w:val="fr-CH"/>
        </w:rPr>
        <w:t>’</w:t>
      </w:r>
      <w:r w:rsidR="00227A1E" w:rsidRPr="00B16CDE">
        <w:rPr>
          <w:lang w:val="fr-CH"/>
        </w:rPr>
        <w:t>une présentation du matériel pédagogique de l</w:t>
      </w:r>
      <w:r w:rsidR="00AE5469">
        <w:rPr>
          <w:lang w:val="fr-CH"/>
        </w:rPr>
        <w:t>’</w:t>
      </w:r>
      <w:r w:rsidR="00227A1E" w:rsidRPr="00B16CDE">
        <w:rPr>
          <w:lang w:val="fr-CH"/>
        </w:rPr>
        <w:t>OMPI relatif au respect du droit d</w:t>
      </w:r>
      <w:r w:rsidR="00AE5469">
        <w:rPr>
          <w:lang w:val="fr-CH"/>
        </w:rPr>
        <w:t>’</w:t>
      </w:r>
      <w:r w:rsidR="00227A1E" w:rsidRPr="00B16CDE">
        <w:rPr>
          <w:lang w:val="fr-CH"/>
        </w:rPr>
        <w:t>auteur à l</w:t>
      </w:r>
      <w:r w:rsidR="00AE5469">
        <w:rPr>
          <w:lang w:val="fr-CH"/>
        </w:rPr>
        <w:t>’</w:t>
      </w:r>
      <w:r w:rsidR="00227A1E" w:rsidRPr="00B16CDE">
        <w:rPr>
          <w:lang w:val="fr-CH"/>
        </w:rPr>
        <w:t xml:space="preserve">intention des jeunes de 10 à </w:t>
      </w:r>
      <w:r w:rsidR="00560B44" w:rsidRPr="00B16CDE">
        <w:rPr>
          <w:lang w:val="fr-CH"/>
        </w:rPr>
        <w:t>15 </w:t>
      </w:r>
      <w:r w:rsidR="00227A1E" w:rsidRPr="00B16CDE">
        <w:rPr>
          <w:lang w:val="fr-CH"/>
        </w:rPr>
        <w:t>ans, réalisée avec le concours du Ministère de la culture, des sports et du tourisme de la République de Corée.</w:t>
      </w:r>
    </w:p>
    <w:p w14:paraId="7820D2A6" w14:textId="02C17DFF" w:rsidR="00831CC2" w:rsidRPr="00B16CDE" w:rsidRDefault="00227A1E" w:rsidP="0033341F">
      <w:pPr>
        <w:pStyle w:val="ONUMFS"/>
        <w:rPr>
          <w:lang w:val="fr-CH"/>
        </w:rPr>
      </w:pPr>
      <w:r w:rsidRPr="00B16CDE">
        <w:rPr>
          <w:lang w:val="fr-CH"/>
        </w:rPr>
        <w:t>Un débat a eu lieu sur les campagnes de communication publiques concernant le respect de la propriété intellectuelle et les outils de sensibilisation destinés aux jeun</w:t>
      </w:r>
      <w:r w:rsidR="003232C9" w:rsidRPr="00B16CDE">
        <w:rPr>
          <w:lang w:val="fr-CH"/>
        </w:rPr>
        <w:t>es</w:t>
      </w:r>
      <w:r w:rsidR="003232C9">
        <w:rPr>
          <w:lang w:val="fr-CH"/>
        </w:rPr>
        <w:t xml:space="preserve">.  </w:t>
      </w:r>
      <w:r w:rsidR="003232C9" w:rsidRPr="00B16CDE">
        <w:rPr>
          <w:lang w:val="fr-CH"/>
        </w:rPr>
        <w:t>Le</w:t>
      </w:r>
      <w:r w:rsidRPr="00B16CDE">
        <w:rPr>
          <w:lang w:val="fr-CH"/>
        </w:rPr>
        <w:t>s représentants de l</w:t>
      </w:r>
      <w:r w:rsidR="00AE5469">
        <w:rPr>
          <w:lang w:val="fr-CH"/>
        </w:rPr>
        <w:t>’</w:t>
      </w:r>
      <w:r w:rsidRPr="00B16CDE">
        <w:rPr>
          <w:lang w:val="fr-CH"/>
        </w:rPr>
        <w:t>Office national du Costa Rica, de l</w:t>
      </w:r>
      <w:r w:rsidR="00AE5469">
        <w:rPr>
          <w:lang w:val="fr-CH"/>
        </w:rPr>
        <w:t>’</w:t>
      </w:r>
      <w:r w:rsidRPr="00B16CDE">
        <w:rPr>
          <w:lang w:val="fr-CH"/>
        </w:rPr>
        <w:t>Institut mexicain de la propriété industrielle (IMPI), de l</w:t>
      </w:r>
      <w:r w:rsidR="00AE5469">
        <w:rPr>
          <w:lang w:val="fr-CH"/>
        </w:rPr>
        <w:t>’</w:t>
      </w:r>
      <w:r w:rsidRPr="00B16CDE">
        <w:rPr>
          <w:lang w:val="fr-CH"/>
        </w:rPr>
        <w:t>Office national de la propriété intellectuelle de la République de Moldova (AGEPI), de l</w:t>
      </w:r>
      <w:r w:rsidR="00AE5469">
        <w:rPr>
          <w:lang w:val="fr-CH"/>
        </w:rPr>
        <w:t>’</w:t>
      </w:r>
      <w:r w:rsidRPr="00B16CDE">
        <w:rPr>
          <w:lang w:val="fr-CH"/>
        </w:rPr>
        <w:t>Office de la propriété industrielle de la République slovaque, de la Commission des sociétés et de la propriété intellectuelle d</w:t>
      </w:r>
      <w:r w:rsidR="00AE5469">
        <w:rPr>
          <w:lang w:val="fr-CH"/>
        </w:rPr>
        <w:t>’</w:t>
      </w:r>
      <w:r w:rsidRPr="00B16CDE">
        <w:rPr>
          <w:lang w:val="fr-CH"/>
        </w:rPr>
        <w:t>Afrique du Sud et de l</w:t>
      </w:r>
      <w:r w:rsidR="00AE5469">
        <w:rPr>
          <w:lang w:val="fr-CH"/>
        </w:rPr>
        <w:t>’</w:t>
      </w:r>
      <w:r w:rsidRPr="00B16CDE">
        <w:rPr>
          <w:lang w:val="fr-CH"/>
        </w:rPr>
        <w:t>Observatoire européen des atteintes aux droits de propriété intellectuelle ont présenté de courts exposés.</w:t>
      </w:r>
    </w:p>
    <w:p w14:paraId="1E3E26D7" w14:textId="317A946D" w:rsidR="00831CC2" w:rsidRPr="00B16CDE" w:rsidRDefault="00227A1E" w:rsidP="0033341F">
      <w:pPr>
        <w:pStyle w:val="ONUMFS"/>
        <w:rPr>
          <w:lang w:val="fr-CH"/>
        </w:rPr>
      </w:pPr>
      <w:r w:rsidRPr="00B16CDE">
        <w:rPr>
          <w:lang w:val="fr-CH"/>
        </w:rPr>
        <w:t>Au titre du sous</w:t>
      </w:r>
      <w:r w:rsidR="003232C9">
        <w:rPr>
          <w:lang w:val="fr-CH"/>
        </w:rPr>
        <w:noBreakHyphen/>
      </w:r>
      <w:r w:rsidRPr="00B16CDE">
        <w:rPr>
          <w:lang w:val="fr-CH"/>
        </w:rPr>
        <w:t>élément concernant l</w:t>
      </w:r>
      <w:r w:rsidR="00560B44" w:rsidRPr="00B16CDE">
        <w:rPr>
          <w:lang w:val="fr-CH"/>
        </w:rPr>
        <w:t>a</w:t>
      </w:r>
      <w:r w:rsidRPr="00B16CDE">
        <w:rPr>
          <w:lang w:val="fr-CH"/>
        </w:rPr>
        <w:t xml:space="preserve"> “Prévention des atteintes aux droits dans l</w:t>
      </w:r>
      <w:r w:rsidR="00AE5469">
        <w:rPr>
          <w:lang w:val="fr-CH"/>
        </w:rPr>
        <w:t>’</w:t>
      </w:r>
      <w:r w:rsidRPr="00B16CDE">
        <w:rPr>
          <w:lang w:val="fr-CH"/>
        </w:rPr>
        <w:t>environnement en ligne”, six</w:t>
      </w:r>
      <w:r w:rsidR="0042049F" w:rsidRPr="00B16CDE">
        <w:rPr>
          <w:lang w:val="fr-CH"/>
        </w:rPr>
        <w:t> </w:t>
      </w:r>
      <w:r w:rsidRPr="00B16CDE">
        <w:rPr>
          <w:lang w:val="fr-CH"/>
        </w:rPr>
        <w:t>exposés ont été présent</w:t>
      </w:r>
      <w:r w:rsidR="00E31092" w:rsidRPr="00B16CDE">
        <w:rPr>
          <w:lang w:val="fr-CH"/>
        </w:rPr>
        <w:t>és</w:t>
      </w:r>
      <w:r w:rsidR="0080770A">
        <w:rPr>
          <w:lang w:val="fr-CH"/>
        </w:rPr>
        <w:t>, ainsi que d</w:t>
      </w:r>
      <w:r w:rsidR="00E31092" w:rsidRPr="00B16CDE">
        <w:rPr>
          <w:lang w:val="fr-CH"/>
        </w:rPr>
        <w:t>e</w:t>
      </w:r>
      <w:r w:rsidRPr="00B16CDE">
        <w:rPr>
          <w:lang w:val="fr-CH"/>
        </w:rPr>
        <w:t>s données économiques sur l</w:t>
      </w:r>
      <w:r w:rsidR="00AE5469">
        <w:rPr>
          <w:lang w:val="fr-CH"/>
        </w:rPr>
        <w:t>’</w:t>
      </w:r>
      <w:r w:rsidRPr="00B16CDE">
        <w:rPr>
          <w:lang w:val="fr-CH"/>
        </w:rPr>
        <w:t>efficacité des différentes mesures prises par les gouvernements et les entreprises pour lutter contre le pirata</w:t>
      </w:r>
      <w:r w:rsidR="003232C9" w:rsidRPr="00B16CDE">
        <w:rPr>
          <w:lang w:val="fr-CH"/>
        </w:rPr>
        <w:t>ge</w:t>
      </w:r>
      <w:r w:rsidR="003232C9">
        <w:rPr>
          <w:lang w:val="fr-CH"/>
        </w:rPr>
        <w:t xml:space="preserve">.  </w:t>
      </w:r>
      <w:r w:rsidR="003232C9" w:rsidRPr="00B16CDE">
        <w:rPr>
          <w:lang w:val="fr-CH"/>
        </w:rPr>
        <w:t>Tr</w:t>
      </w:r>
      <w:r w:rsidRPr="00B16CDE">
        <w:rPr>
          <w:lang w:val="fr-CH"/>
        </w:rPr>
        <w:t>ois</w:t>
      </w:r>
      <w:r w:rsidR="0042049F" w:rsidRPr="00B16CDE">
        <w:rPr>
          <w:lang w:val="fr-CH"/>
        </w:rPr>
        <w:t> </w:t>
      </w:r>
      <w:r w:rsidRPr="00B16CDE">
        <w:rPr>
          <w:lang w:val="fr-CH"/>
        </w:rPr>
        <w:t>exposés sur des expériences nationales ont ensuite été présentés, notamment celui du Comité national anti</w:t>
      </w:r>
      <w:r w:rsidR="003232C9">
        <w:rPr>
          <w:lang w:val="fr-CH"/>
        </w:rPr>
        <w:noBreakHyphen/>
      </w:r>
      <w:r w:rsidRPr="00B16CDE">
        <w:rPr>
          <w:lang w:val="fr-CH"/>
        </w:rPr>
        <w:t xml:space="preserve">contrefaçon français (CNAC), </w:t>
      </w:r>
      <w:r w:rsidR="0080770A">
        <w:rPr>
          <w:lang w:val="fr-CH"/>
        </w:rPr>
        <w:t xml:space="preserve">celui </w:t>
      </w:r>
      <w:r w:rsidRPr="00B16CDE">
        <w:rPr>
          <w:lang w:val="fr-CH"/>
        </w:rPr>
        <w:t xml:space="preserve">de la République de Corée et </w:t>
      </w:r>
      <w:r w:rsidR="0080770A">
        <w:rPr>
          <w:lang w:val="fr-CH"/>
        </w:rPr>
        <w:t xml:space="preserve">celui </w:t>
      </w:r>
      <w:r w:rsidRPr="00B16CDE">
        <w:rPr>
          <w:lang w:val="fr-CH"/>
        </w:rPr>
        <w:t>du Ministère de la culture du Danema</w:t>
      </w:r>
      <w:r w:rsidR="003232C9" w:rsidRPr="00B16CDE">
        <w:rPr>
          <w:lang w:val="fr-CH"/>
        </w:rPr>
        <w:t>rk</w:t>
      </w:r>
      <w:r w:rsidR="003232C9">
        <w:rPr>
          <w:lang w:val="fr-CH"/>
        </w:rPr>
        <w:t xml:space="preserve">.  </w:t>
      </w:r>
      <w:r w:rsidR="003232C9" w:rsidRPr="00B16CDE">
        <w:rPr>
          <w:lang w:val="fr-CH"/>
        </w:rPr>
        <w:t>En</w:t>
      </w:r>
      <w:r w:rsidRPr="00B16CDE">
        <w:rPr>
          <w:lang w:val="fr-CH"/>
        </w:rPr>
        <w:t>fin, deux</w:t>
      </w:r>
      <w:r w:rsidR="0042049F" w:rsidRPr="00B16CDE">
        <w:rPr>
          <w:lang w:val="fr-CH"/>
        </w:rPr>
        <w:t> </w:t>
      </w:r>
      <w:r w:rsidRPr="00B16CDE">
        <w:rPr>
          <w:lang w:val="fr-CH"/>
        </w:rPr>
        <w:t>initiatives privées ont été présentées</w:t>
      </w:r>
      <w:r w:rsidR="00E17F82">
        <w:rPr>
          <w:lang w:val="fr-CH"/>
        </w:rPr>
        <w:t> </w:t>
      </w:r>
      <w:r w:rsidRPr="00B16CDE">
        <w:rPr>
          <w:lang w:val="fr-CH"/>
        </w:rPr>
        <w:t>: celle de la Fédération de l</w:t>
      </w:r>
      <w:r w:rsidR="00AE5469">
        <w:rPr>
          <w:lang w:val="fr-CH"/>
        </w:rPr>
        <w:t>’</w:t>
      </w:r>
      <w:r w:rsidRPr="00B16CDE">
        <w:rPr>
          <w:lang w:val="fr-CH"/>
        </w:rPr>
        <w:t xml:space="preserve">industrie horlogère suisse (FHS) et </w:t>
      </w:r>
      <w:r w:rsidR="0080770A">
        <w:rPr>
          <w:lang w:val="fr-CH"/>
        </w:rPr>
        <w:t xml:space="preserve">celle </w:t>
      </w:r>
      <w:r w:rsidRPr="00B16CDE">
        <w:rPr>
          <w:lang w:val="fr-CH"/>
        </w:rPr>
        <w:t>de l</w:t>
      </w:r>
      <w:r w:rsidR="00AE5469">
        <w:rPr>
          <w:lang w:val="fr-CH"/>
        </w:rPr>
        <w:t>’</w:t>
      </w:r>
      <w:r w:rsidRPr="00B16CDE">
        <w:rPr>
          <w:lang w:val="fr-CH"/>
        </w:rPr>
        <w:t xml:space="preserve">Interactive </w:t>
      </w:r>
      <w:proofErr w:type="spellStart"/>
      <w:r w:rsidRPr="00B16CDE">
        <w:rPr>
          <w:lang w:val="fr-CH"/>
        </w:rPr>
        <w:t>Advertising</w:t>
      </w:r>
      <w:proofErr w:type="spellEnd"/>
      <w:r w:rsidRPr="00B16CDE">
        <w:rPr>
          <w:lang w:val="fr-CH"/>
        </w:rPr>
        <w:t xml:space="preserve"> Bureau (IAB</w:t>
      </w:r>
      <w:r w:rsidR="0080770A">
        <w:rPr>
          <w:lang w:val="fr-CH"/>
        </w:rPr>
        <w:t xml:space="preserve">, </w:t>
      </w:r>
      <w:r w:rsidRPr="00B16CDE">
        <w:rPr>
          <w:lang w:val="fr-CH"/>
        </w:rPr>
        <w:t>Pologne).</w:t>
      </w:r>
    </w:p>
    <w:p w14:paraId="5164B562" w14:textId="4D7BE590" w:rsidR="00831CC2" w:rsidRPr="00B16CDE" w:rsidRDefault="00227A1E" w:rsidP="0033341F">
      <w:pPr>
        <w:pStyle w:val="ONUMFS"/>
        <w:rPr>
          <w:lang w:val="fr-CH"/>
        </w:rPr>
      </w:pPr>
      <w:r w:rsidRPr="00B16CDE">
        <w:rPr>
          <w:lang w:val="fr-CH"/>
        </w:rPr>
        <w:t>Au titre du sous</w:t>
      </w:r>
      <w:r w:rsidR="003232C9">
        <w:rPr>
          <w:lang w:val="fr-CH"/>
        </w:rPr>
        <w:noBreakHyphen/>
      </w:r>
      <w:r w:rsidRPr="00B16CDE">
        <w:rPr>
          <w:lang w:val="fr-CH"/>
        </w:rPr>
        <w:t>élément concernant les “Stratégies nationales en matière de promotion du respect de la propriété intellectuelle”, trois</w:t>
      </w:r>
      <w:r w:rsidR="0042049F" w:rsidRPr="00B16CDE">
        <w:rPr>
          <w:lang w:val="fr-CH"/>
        </w:rPr>
        <w:t> </w:t>
      </w:r>
      <w:r w:rsidRPr="00B16CDE">
        <w:rPr>
          <w:lang w:val="fr-CH"/>
        </w:rPr>
        <w:t xml:space="preserve">exposés sur des expériences nationales ont été présentés, </w:t>
      </w:r>
      <w:r w:rsidR="00AE5469">
        <w:rPr>
          <w:lang w:val="fr-CH"/>
        </w:rPr>
        <w:t>à savoir</w:t>
      </w:r>
      <w:r w:rsidRPr="00B16CDE">
        <w:rPr>
          <w:lang w:val="fr-CH"/>
        </w:rPr>
        <w:t xml:space="preserve"> celui de l</w:t>
      </w:r>
      <w:r w:rsidR="00AE5469">
        <w:rPr>
          <w:lang w:val="fr-CH"/>
        </w:rPr>
        <w:t>’</w:t>
      </w:r>
      <w:r w:rsidRPr="00B16CDE">
        <w:rPr>
          <w:lang w:val="fr-CH"/>
        </w:rPr>
        <w:t xml:space="preserve">AGEPI, </w:t>
      </w:r>
      <w:r w:rsidR="0080770A">
        <w:rPr>
          <w:lang w:val="fr-CH"/>
        </w:rPr>
        <w:t xml:space="preserve">celui </w:t>
      </w:r>
      <w:r w:rsidRPr="00B16CDE">
        <w:rPr>
          <w:lang w:val="fr-CH"/>
        </w:rPr>
        <w:t xml:space="preserve">des services de police de la Zambie et </w:t>
      </w:r>
      <w:r w:rsidR="0080770A">
        <w:rPr>
          <w:lang w:val="fr-CH"/>
        </w:rPr>
        <w:t xml:space="preserve">celui </w:t>
      </w:r>
      <w:r w:rsidRPr="00B16CDE">
        <w:rPr>
          <w:lang w:val="fr-CH"/>
        </w:rPr>
        <w:t>de l</w:t>
      </w:r>
      <w:r w:rsidR="00AE5469">
        <w:rPr>
          <w:lang w:val="fr-CH"/>
        </w:rPr>
        <w:t>’</w:t>
      </w:r>
      <w:r w:rsidRPr="00B16CDE">
        <w:rPr>
          <w:lang w:val="fr-CH"/>
        </w:rPr>
        <w:t>Office danois des brevets et des marques (DKPTO).</w:t>
      </w:r>
    </w:p>
    <w:p w14:paraId="1F8F620C" w14:textId="7AED698A" w:rsidR="00831CC2" w:rsidRPr="00B16CDE" w:rsidRDefault="00A1291C" w:rsidP="0033341F">
      <w:pPr>
        <w:pStyle w:val="ONUMFS"/>
        <w:rPr>
          <w:lang w:val="fr-CH"/>
        </w:rPr>
      </w:pPr>
      <w:r w:rsidRPr="00B16CDE">
        <w:rPr>
          <w:lang w:val="fr-CH"/>
        </w:rPr>
        <w:t>Au titre du sous</w:t>
      </w:r>
      <w:r w:rsidR="003232C9">
        <w:rPr>
          <w:lang w:val="fr-CH"/>
        </w:rPr>
        <w:noBreakHyphen/>
      </w:r>
      <w:r w:rsidRPr="00B16CDE">
        <w:rPr>
          <w:lang w:val="fr-CH"/>
        </w:rPr>
        <w:t>élément concernant la “Coopération stratégique”, six</w:t>
      </w:r>
      <w:r w:rsidR="0042049F" w:rsidRPr="00B16CDE">
        <w:rPr>
          <w:lang w:val="fr-CH"/>
        </w:rPr>
        <w:t> </w:t>
      </w:r>
      <w:r w:rsidRPr="00B16CDE">
        <w:rPr>
          <w:lang w:val="fr-CH"/>
        </w:rPr>
        <w:t>États membres ont fait part de leur expérience dans l</w:t>
      </w:r>
      <w:r w:rsidR="00AE5469">
        <w:rPr>
          <w:lang w:val="fr-CH"/>
        </w:rPr>
        <w:t>’</w:t>
      </w:r>
      <w:r w:rsidRPr="00B16CDE">
        <w:rPr>
          <w:lang w:val="fr-CH"/>
        </w:rPr>
        <w:t>établissement de liens de coopération entre diverses institutions publiques nationales en vue de promouvoir le respect de la propriété intellectuelle, notamment les représentants</w:t>
      </w:r>
      <w:r w:rsidR="00DE619E" w:rsidRPr="00B16CDE">
        <w:rPr>
          <w:lang w:val="fr-CH"/>
        </w:rPr>
        <w:t xml:space="preserve"> du DKP</w:t>
      </w:r>
      <w:r w:rsidRPr="00B16CDE">
        <w:rPr>
          <w:lang w:val="fr-CH"/>
        </w:rPr>
        <w:t>TO, des services de police de la Zambie, de l</w:t>
      </w:r>
      <w:r w:rsidR="00AE5469">
        <w:rPr>
          <w:lang w:val="fr-CH"/>
        </w:rPr>
        <w:t>’</w:t>
      </w:r>
      <w:r w:rsidRPr="00B16CDE">
        <w:rPr>
          <w:lang w:val="fr-CH"/>
        </w:rPr>
        <w:t xml:space="preserve">observatoire </w:t>
      </w:r>
      <w:r w:rsidRPr="00B16CDE">
        <w:rPr>
          <w:lang w:val="fr-CH"/>
        </w:rPr>
        <w:lastRenderedPageBreak/>
        <w:t>sur l</w:t>
      </w:r>
      <w:r w:rsidR="00AE5469">
        <w:rPr>
          <w:lang w:val="fr-CH"/>
        </w:rPr>
        <w:t>’</w:t>
      </w:r>
      <w:r w:rsidRPr="00B16CDE">
        <w:rPr>
          <w:lang w:val="fr-CH"/>
        </w:rPr>
        <w:t>application des droits de propriété intellectuelle de la République de Moldova,</w:t>
      </w:r>
      <w:r w:rsidR="00DE619E" w:rsidRPr="00B16CDE">
        <w:rPr>
          <w:lang w:val="fr-CH"/>
        </w:rPr>
        <w:t xml:space="preserve"> du CNA</w:t>
      </w:r>
      <w:r w:rsidRPr="00B16CDE">
        <w:rPr>
          <w:lang w:val="fr-CH"/>
        </w:rPr>
        <w:t>C, de l</w:t>
      </w:r>
      <w:r w:rsidR="00AE5469">
        <w:rPr>
          <w:lang w:val="fr-CH"/>
        </w:rPr>
        <w:t>’</w:t>
      </w:r>
      <w:r w:rsidRPr="00B16CDE">
        <w:rPr>
          <w:lang w:val="fr-CH"/>
        </w:rPr>
        <w:t xml:space="preserve">IPOPHL et du Bureau du </w:t>
      </w:r>
      <w:r w:rsidR="00560B44" w:rsidRPr="00B16CDE">
        <w:rPr>
          <w:lang w:val="fr-CH"/>
        </w:rPr>
        <w:t>p</w:t>
      </w:r>
      <w:r w:rsidRPr="00B16CDE">
        <w:rPr>
          <w:lang w:val="fr-CH"/>
        </w:rPr>
        <w:t>rocureur général du Mexiq</w:t>
      </w:r>
      <w:r w:rsidR="003232C9" w:rsidRPr="00B16CDE">
        <w:rPr>
          <w:lang w:val="fr-CH"/>
        </w:rPr>
        <w:t>ue</w:t>
      </w:r>
      <w:r w:rsidR="003232C9">
        <w:rPr>
          <w:lang w:val="fr-CH"/>
        </w:rPr>
        <w:t xml:space="preserve">.  </w:t>
      </w:r>
      <w:r w:rsidR="003232C9" w:rsidRPr="00B16CDE">
        <w:rPr>
          <w:lang w:val="fr-CH"/>
        </w:rPr>
        <w:t>Le</w:t>
      </w:r>
      <w:r w:rsidRPr="00B16CDE">
        <w:rPr>
          <w:lang w:val="fr-CH"/>
        </w:rPr>
        <w:t>ur</w:t>
      </w:r>
      <w:r w:rsidR="00946687">
        <w:rPr>
          <w:lang w:val="fr-CH"/>
        </w:rPr>
        <w:t>s</w:t>
      </w:r>
      <w:r w:rsidRPr="00B16CDE">
        <w:rPr>
          <w:lang w:val="fr-CH"/>
        </w:rPr>
        <w:t xml:space="preserve"> introduction</w:t>
      </w:r>
      <w:r w:rsidR="00946687">
        <w:rPr>
          <w:lang w:val="fr-CH"/>
        </w:rPr>
        <w:t>s</w:t>
      </w:r>
      <w:r w:rsidRPr="00B16CDE">
        <w:rPr>
          <w:lang w:val="fr-CH"/>
        </w:rPr>
        <w:t>, qui décrivai</w:t>
      </w:r>
      <w:r w:rsidR="00946687">
        <w:rPr>
          <w:lang w:val="fr-CH"/>
        </w:rPr>
        <w:t>en</w:t>
      </w:r>
      <w:r w:rsidRPr="00B16CDE">
        <w:rPr>
          <w:lang w:val="fr-CH"/>
        </w:rPr>
        <w:t>t les spécificités d</w:t>
      </w:r>
      <w:r w:rsidR="00946687">
        <w:rPr>
          <w:lang w:val="fr-CH"/>
        </w:rPr>
        <w:t>es</w:t>
      </w:r>
      <w:r w:rsidRPr="00B16CDE">
        <w:rPr>
          <w:lang w:val="fr-CH"/>
        </w:rPr>
        <w:t xml:space="preserve"> programme</w:t>
      </w:r>
      <w:r w:rsidR="00946687">
        <w:rPr>
          <w:lang w:val="fr-CH"/>
        </w:rPr>
        <w:t>s</w:t>
      </w:r>
      <w:r w:rsidRPr="00B16CDE">
        <w:rPr>
          <w:lang w:val="fr-CH"/>
        </w:rPr>
        <w:t xml:space="preserve"> de coopération nation</w:t>
      </w:r>
      <w:r w:rsidR="00EF5C75">
        <w:rPr>
          <w:lang w:val="fr-CH"/>
        </w:rPr>
        <w:t>a</w:t>
      </w:r>
      <w:r w:rsidR="00946687">
        <w:rPr>
          <w:lang w:val="fr-CH"/>
        </w:rPr>
        <w:t>ux</w:t>
      </w:r>
      <w:r w:rsidRPr="00B16CDE">
        <w:rPr>
          <w:lang w:val="fr-CH"/>
        </w:rPr>
        <w:t xml:space="preserve">, </w:t>
      </w:r>
      <w:r w:rsidR="00946687">
        <w:rPr>
          <w:lang w:val="fr-CH"/>
        </w:rPr>
        <w:t>ont</w:t>
      </w:r>
      <w:r w:rsidRPr="00B16CDE">
        <w:rPr>
          <w:lang w:val="fr-CH"/>
        </w:rPr>
        <w:t xml:space="preserve"> été suivie</w:t>
      </w:r>
      <w:r w:rsidR="00946687">
        <w:rPr>
          <w:lang w:val="fr-CH"/>
        </w:rPr>
        <w:t>s</w:t>
      </w:r>
      <w:r w:rsidRPr="00B16CDE">
        <w:rPr>
          <w:lang w:val="fr-CH"/>
        </w:rPr>
        <w:t xml:space="preserve"> d</w:t>
      </w:r>
      <w:r w:rsidR="00AE5469">
        <w:rPr>
          <w:lang w:val="fr-CH"/>
        </w:rPr>
        <w:t>’</w:t>
      </w:r>
      <w:r w:rsidRPr="00B16CDE">
        <w:rPr>
          <w:lang w:val="fr-CH"/>
        </w:rPr>
        <w:t>un débat encadré.</w:t>
      </w:r>
    </w:p>
    <w:p w14:paraId="5AB119FC" w14:textId="3E681E9F" w:rsidR="00831CC2" w:rsidRDefault="00A1291C" w:rsidP="0033341F">
      <w:pPr>
        <w:pStyle w:val="ONUMFS"/>
        <w:rPr>
          <w:lang w:val="fr-CH"/>
        </w:rPr>
      </w:pPr>
      <w:r w:rsidRPr="00B16CDE">
        <w:rPr>
          <w:lang w:val="fr-CH"/>
        </w:rPr>
        <w:t>Le comité a pris note de l</w:t>
      </w:r>
      <w:r w:rsidR="00AE5469">
        <w:rPr>
          <w:lang w:val="fr-CH"/>
        </w:rPr>
        <w:t>’</w:t>
      </w:r>
      <w:r w:rsidRPr="00B16CDE">
        <w:rPr>
          <w:lang w:val="fr-CH"/>
        </w:rPr>
        <w:t>exposé du Secrétariat sur les activités récentes de l</w:t>
      </w:r>
      <w:r w:rsidR="00AE5469">
        <w:rPr>
          <w:lang w:val="fr-CH"/>
        </w:rPr>
        <w:t>’</w:t>
      </w:r>
      <w:r w:rsidRPr="00B16CDE">
        <w:rPr>
          <w:lang w:val="fr-CH"/>
        </w:rPr>
        <w:t>OMPI dans le domaine de la promotion du respect de la propriété intellectuelle, concernant notamment l</w:t>
      </w:r>
      <w:r w:rsidR="00AE5469">
        <w:rPr>
          <w:lang w:val="fr-CH"/>
        </w:rPr>
        <w:t>’</w:t>
      </w:r>
      <w:r w:rsidRPr="00B16CDE">
        <w:rPr>
          <w:lang w:val="fr-CH"/>
        </w:rPr>
        <w:t>assistance technique;</w:t>
      </w:r>
      <w:r w:rsidR="00C6399B">
        <w:rPr>
          <w:lang w:val="fr-CH"/>
        </w:rPr>
        <w:t xml:space="preserve"> </w:t>
      </w:r>
      <w:r w:rsidR="00E17F82">
        <w:rPr>
          <w:lang w:val="fr-CH"/>
        </w:rPr>
        <w:t xml:space="preserve"> </w:t>
      </w:r>
      <w:r w:rsidRPr="00B16CDE">
        <w:rPr>
          <w:lang w:val="fr-CH"/>
        </w:rPr>
        <w:t xml:space="preserve">les </w:t>
      </w:r>
      <w:r w:rsidR="00560B44" w:rsidRPr="00B16CDE">
        <w:rPr>
          <w:lang w:val="fr-CH"/>
        </w:rPr>
        <w:t>services</w:t>
      </w:r>
      <w:r w:rsidRPr="00B16CDE">
        <w:rPr>
          <w:lang w:val="fr-CH"/>
        </w:rPr>
        <w:t xml:space="preserve"> demandés portaient sur une assistance législative, ainsi que sur des activités de formation et de sensibilisation à l</w:t>
      </w:r>
      <w:r w:rsidR="00AE5469">
        <w:rPr>
          <w:lang w:val="fr-CH"/>
        </w:rPr>
        <w:t>’</w:t>
      </w:r>
      <w:r w:rsidRPr="00B16CDE">
        <w:rPr>
          <w:lang w:val="fr-CH"/>
        </w:rPr>
        <w:t>intentio</w:t>
      </w:r>
      <w:r w:rsidR="00D56519">
        <w:rPr>
          <w:lang w:val="fr-CH"/>
        </w:rPr>
        <w:t xml:space="preserve">n des fonctionnaires chargés du </w:t>
      </w:r>
      <w:r w:rsidRPr="00B16CDE">
        <w:rPr>
          <w:lang w:val="fr-CH"/>
        </w:rPr>
        <w:t>respect des lois et du corps judiciai</w:t>
      </w:r>
      <w:r w:rsidR="003232C9" w:rsidRPr="00B16CDE">
        <w:rPr>
          <w:lang w:val="fr-CH"/>
        </w:rPr>
        <w:t>re</w:t>
      </w:r>
      <w:r w:rsidR="003232C9">
        <w:rPr>
          <w:lang w:val="fr-CH"/>
        </w:rPr>
        <w:t xml:space="preserve">.  </w:t>
      </w:r>
      <w:r w:rsidR="003232C9" w:rsidRPr="00B16CDE">
        <w:rPr>
          <w:lang w:val="fr-CH"/>
        </w:rPr>
        <w:t>L</w:t>
      </w:r>
      <w:r w:rsidR="003232C9">
        <w:rPr>
          <w:lang w:val="fr-CH"/>
        </w:rPr>
        <w:t>’</w:t>
      </w:r>
      <w:r w:rsidR="003232C9" w:rsidRPr="00B16CDE">
        <w:rPr>
          <w:lang w:val="fr-CH"/>
        </w:rPr>
        <w:t>e</w:t>
      </w:r>
      <w:r w:rsidRPr="00B16CDE">
        <w:rPr>
          <w:lang w:val="fr-CH"/>
        </w:rPr>
        <w:t>xposé a également porté sur les activités visant à renforcer la mise en œuvre d</w:t>
      </w:r>
      <w:r w:rsidR="00AE5469">
        <w:rPr>
          <w:lang w:val="fr-CH"/>
        </w:rPr>
        <w:t>’</w:t>
      </w:r>
      <w:r w:rsidRPr="00B16CDE">
        <w:rPr>
          <w:lang w:val="fr-CH"/>
        </w:rPr>
        <w:t>une coopération internationale systématique et efficace avec les autres organisations internationales, les organisations non gouvernementales (ONG) et le secteur privé</w:t>
      </w:r>
      <w:r w:rsidRPr="00B16CDE">
        <w:rPr>
          <w:rStyle w:val="FootnoteReference"/>
          <w:szCs w:val="22"/>
          <w:lang w:val="fr-CH"/>
        </w:rPr>
        <w:footnoteReference w:id="3"/>
      </w:r>
      <w:r w:rsidRPr="00B16CDE">
        <w:rPr>
          <w:lang w:val="fr-CH"/>
        </w:rPr>
        <w:t>.</w:t>
      </w:r>
      <w:r w:rsidR="00C6399B">
        <w:rPr>
          <w:lang w:val="fr-CH"/>
        </w:rPr>
        <w:t xml:space="preserve"> </w:t>
      </w:r>
      <w:r w:rsidR="00E17F82">
        <w:rPr>
          <w:lang w:val="fr-CH"/>
        </w:rPr>
        <w:t xml:space="preserve"> </w:t>
      </w:r>
      <w:r w:rsidRPr="00B16CDE">
        <w:rPr>
          <w:lang w:val="fr-CH"/>
        </w:rPr>
        <w:t>Le comité a également pris note de l</w:t>
      </w:r>
      <w:r w:rsidR="00AE5469">
        <w:rPr>
          <w:lang w:val="fr-CH"/>
        </w:rPr>
        <w:t>’</w:t>
      </w:r>
      <w:r w:rsidRPr="00B16CDE">
        <w:rPr>
          <w:lang w:val="fr-CH"/>
        </w:rPr>
        <w:t>exposé présenté par le Secrétariat concernant l</w:t>
      </w:r>
      <w:r w:rsidR="00AE5469">
        <w:rPr>
          <w:lang w:val="fr-CH"/>
        </w:rPr>
        <w:t>’</w:t>
      </w:r>
      <w:r w:rsidRPr="00B16CDE">
        <w:rPr>
          <w:lang w:val="fr-CH"/>
        </w:rPr>
        <w:t>objectif stratégique</w:t>
      </w:r>
      <w:r w:rsidR="00560B44" w:rsidRPr="00B16CDE">
        <w:rPr>
          <w:lang w:val="fr-CH"/>
        </w:rPr>
        <w:t> </w:t>
      </w:r>
      <w:r w:rsidRPr="00B16CDE">
        <w:rPr>
          <w:lang w:val="fr-CH"/>
        </w:rPr>
        <w:t xml:space="preserve">VI, intitulé “Coopération internationale pour le respect de la propriété intellectuelle”, qui avait été </w:t>
      </w:r>
      <w:r w:rsidR="00560B44" w:rsidRPr="00B16CDE">
        <w:rPr>
          <w:lang w:val="fr-CH"/>
        </w:rPr>
        <w:t>effectué</w:t>
      </w:r>
      <w:r w:rsidRPr="00B16CDE">
        <w:rPr>
          <w:lang w:val="fr-CH"/>
        </w:rPr>
        <w:t xml:space="preserve"> par la Division de la supervision interne de l</w:t>
      </w:r>
      <w:r w:rsidR="00AE5469">
        <w:rPr>
          <w:lang w:val="fr-CH"/>
        </w:rPr>
        <w:t>’</w:t>
      </w:r>
      <w:r w:rsidRPr="00B16CDE">
        <w:rPr>
          <w:lang w:val="fr-CH"/>
        </w:rPr>
        <w:t>OMPI (DSI), aidée d</w:t>
      </w:r>
      <w:r w:rsidR="00AE5469">
        <w:rPr>
          <w:lang w:val="fr-CH"/>
        </w:rPr>
        <w:t>’</w:t>
      </w:r>
      <w:r w:rsidRPr="00B16CDE">
        <w:rPr>
          <w:lang w:val="fr-CH"/>
        </w:rPr>
        <w:t>un consultant externe indépendant, afin de déterminer si l</w:t>
      </w:r>
      <w:r w:rsidR="00AE5469">
        <w:rPr>
          <w:lang w:val="fr-CH"/>
        </w:rPr>
        <w:t>’</w:t>
      </w:r>
      <w:r w:rsidRPr="00B16CDE">
        <w:rPr>
          <w:lang w:val="fr-CH"/>
        </w:rPr>
        <w:t>OMPI, principalement dans le cadre du programme</w:t>
      </w:r>
      <w:r w:rsidR="00560B44" w:rsidRPr="00B16CDE">
        <w:rPr>
          <w:lang w:val="fr-CH"/>
        </w:rPr>
        <w:t> </w:t>
      </w:r>
      <w:r w:rsidRPr="00B16CDE">
        <w:rPr>
          <w:lang w:val="fr-CH"/>
        </w:rPr>
        <w:t>17, traitait d</w:t>
      </w:r>
      <w:r w:rsidR="00AE5469">
        <w:rPr>
          <w:lang w:val="fr-CH"/>
        </w:rPr>
        <w:t>’</w:t>
      </w:r>
      <w:r w:rsidRPr="00B16CDE">
        <w:rPr>
          <w:lang w:val="fr-CH"/>
        </w:rPr>
        <w:t>une manière globale et efficace les objectifs fondamentaux visés par l</w:t>
      </w:r>
      <w:r w:rsidR="00AE5469">
        <w:rPr>
          <w:lang w:val="fr-CH"/>
        </w:rPr>
        <w:t>’</w:t>
      </w:r>
      <w:r w:rsidRPr="00B16CDE">
        <w:rPr>
          <w:lang w:val="fr-CH"/>
        </w:rPr>
        <w:t>objectif stratégique</w:t>
      </w:r>
      <w:r w:rsidR="00560B44" w:rsidRPr="00B16CDE">
        <w:rPr>
          <w:lang w:val="fr-CH"/>
        </w:rPr>
        <w:t> </w:t>
      </w:r>
      <w:r w:rsidRPr="00B16CDE">
        <w:rPr>
          <w:lang w:val="fr-CH"/>
        </w:rPr>
        <w:t>VI, et d</w:t>
      </w:r>
      <w:r w:rsidR="00AE5469">
        <w:rPr>
          <w:lang w:val="fr-CH"/>
        </w:rPr>
        <w:t>’</w:t>
      </w:r>
      <w:r w:rsidRPr="00B16CDE">
        <w:rPr>
          <w:lang w:val="fr-CH"/>
        </w:rPr>
        <w:t>examiner la pertinence des activités mises au point</w:t>
      </w:r>
      <w:r w:rsidRPr="00B16CDE">
        <w:rPr>
          <w:rStyle w:val="FootnoteReference"/>
          <w:szCs w:val="22"/>
          <w:lang w:val="fr-CH"/>
        </w:rPr>
        <w:footnoteReference w:id="4"/>
      </w:r>
      <w:r w:rsidR="00780513">
        <w:rPr>
          <w:lang w:val="fr-CH"/>
        </w:rPr>
        <w:t>.</w:t>
      </w:r>
    </w:p>
    <w:p w14:paraId="573EB827" w14:textId="5CFAA8B5" w:rsidR="00683565" w:rsidRPr="00683565" w:rsidRDefault="00683565" w:rsidP="00683565">
      <w:pPr>
        <w:numPr>
          <w:ilvl w:val="0"/>
          <w:numId w:val="13"/>
        </w:numPr>
        <w:tabs>
          <w:tab w:val="num" w:pos="567"/>
        </w:tabs>
        <w:spacing w:after="220"/>
        <w:ind w:left="0" w:firstLine="0"/>
        <w:rPr>
          <w:b/>
          <w:szCs w:val="22"/>
          <w:lang w:val="en-US"/>
        </w:rPr>
      </w:pPr>
      <w:proofErr w:type="spellStart"/>
      <w:r w:rsidRPr="00683565">
        <w:rPr>
          <w:b/>
          <w:szCs w:val="22"/>
          <w:lang w:val="en-US"/>
        </w:rPr>
        <w:t>Onzième</w:t>
      </w:r>
      <w:proofErr w:type="spellEnd"/>
      <w:r w:rsidR="00E17F82">
        <w:rPr>
          <w:b/>
          <w:szCs w:val="22"/>
          <w:lang w:val="en-US"/>
        </w:rPr>
        <w:t> </w:t>
      </w:r>
      <w:r w:rsidRPr="00683565">
        <w:rPr>
          <w:b/>
          <w:szCs w:val="22"/>
          <w:lang w:val="en-US"/>
        </w:rPr>
        <w:t xml:space="preserve">session de </w:t>
      </w:r>
      <w:proofErr w:type="spellStart"/>
      <w:r w:rsidRPr="00683565">
        <w:rPr>
          <w:b/>
          <w:szCs w:val="22"/>
          <w:lang w:val="en-US"/>
        </w:rPr>
        <w:t>l</w:t>
      </w:r>
      <w:r w:rsidR="00AE5469">
        <w:rPr>
          <w:b/>
          <w:szCs w:val="22"/>
          <w:lang w:val="en-US"/>
        </w:rPr>
        <w:t>’</w:t>
      </w:r>
      <w:r w:rsidRPr="00683565">
        <w:rPr>
          <w:b/>
          <w:szCs w:val="22"/>
          <w:lang w:val="en-US"/>
        </w:rPr>
        <w:t>ACE</w:t>
      </w:r>
      <w:proofErr w:type="spellEnd"/>
    </w:p>
    <w:p w14:paraId="1C2BA7AE" w14:textId="1727123B" w:rsidR="00683565" w:rsidRDefault="00683565" w:rsidP="00683565">
      <w:pPr>
        <w:pStyle w:val="ONUMFS"/>
      </w:pPr>
      <w:r w:rsidRPr="00B92239">
        <w:t xml:space="preserve">Le programme de travail de la </w:t>
      </w:r>
      <w:r>
        <w:t>onzième</w:t>
      </w:r>
      <w:r w:rsidR="00E17F82">
        <w:t> </w:t>
      </w:r>
      <w:r w:rsidRPr="00B92239">
        <w:t>session portait sur le</w:t>
      </w:r>
      <w:r>
        <w:t>s</w:t>
      </w:r>
      <w:r w:rsidRPr="00B92239">
        <w:t xml:space="preserve"> thème</w:t>
      </w:r>
      <w:r>
        <w:t>s</w:t>
      </w:r>
      <w:r w:rsidRPr="00B92239">
        <w:t xml:space="preserve"> suivant</w:t>
      </w:r>
      <w:r>
        <w:t>s</w:t>
      </w:r>
      <w:r w:rsidR="00E17F82">
        <w:t> </w:t>
      </w:r>
      <w:r>
        <w:t>:</w:t>
      </w:r>
    </w:p>
    <w:p w14:paraId="51CC8D2F" w14:textId="6CE04A5F" w:rsidR="00560B44" w:rsidRPr="00B16CDE" w:rsidRDefault="00560B44" w:rsidP="0033341F">
      <w:pPr>
        <w:pStyle w:val="ONUMFS"/>
        <w:numPr>
          <w:ilvl w:val="0"/>
          <w:numId w:val="0"/>
        </w:numPr>
        <w:ind w:left="567"/>
        <w:rPr>
          <w:lang w:val="fr-CH"/>
        </w:rPr>
      </w:pPr>
      <w:r w:rsidRPr="00B16CDE">
        <w:rPr>
          <w:lang w:val="fr-CH"/>
        </w:rPr>
        <w:t>–</w:t>
      </w:r>
      <w:r w:rsidRPr="00B16CDE">
        <w:rPr>
          <w:lang w:val="fr-CH"/>
        </w:rPr>
        <w:tab/>
      </w:r>
      <w:r w:rsidR="008D3222" w:rsidRPr="00B16CDE">
        <w:rPr>
          <w:lang w:val="fr-CH"/>
        </w:rPr>
        <w:t>échange de données d</w:t>
      </w:r>
      <w:r w:rsidR="00AE5469">
        <w:rPr>
          <w:lang w:val="fr-CH"/>
        </w:rPr>
        <w:t>’</w:t>
      </w:r>
      <w:r w:rsidR="008D3222" w:rsidRPr="00B16CDE">
        <w:rPr>
          <w:lang w:val="fr-CH"/>
        </w:rPr>
        <w:t>expérience nationales relatives aux activités de sensibilisation et aux campagnes stratégiques menées pour promouvoir le respect de la propriété intellectuelle auprès du grand public, notamment les jeunes, conformément aux priorités des États membres dans le domaine éducatif, entre autres;</w:t>
      </w:r>
    </w:p>
    <w:p w14:paraId="2F512F26" w14:textId="02BBBBCD" w:rsidR="00560B44" w:rsidRPr="00B16CDE" w:rsidRDefault="00560B44" w:rsidP="0033341F">
      <w:pPr>
        <w:pStyle w:val="ONUMFS"/>
        <w:numPr>
          <w:ilvl w:val="0"/>
          <w:numId w:val="0"/>
        </w:numPr>
        <w:ind w:left="567"/>
        <w:rPr>
          <w:lang w:val="fr-CH"/>
        </w:rPr>
      </w:pPr>
      <w:r w:rsidRPr="00B16CDE">
        <w:rPr>
          <w:lang w:val="fr-CH"/>
        </w:rPr>
        <w:t>–</w:t>
      </w:r>
      <w:r w:rsidRPr="00B16CDE">
        <w:rPr>
          <w:lang w:val="fr-CH"/>
        </w:rPr>
        <w:tab/>
      </w:r>
      <w:r w:rsidR="008D3222" w:rsidRPr="00B16CDE">
        <w:rPr>
          <w:lang w:val="fr-CH"/>
        </w:rPr>
        <w:t>échange de données d</w:t>
      </w:r>
      <w:r w:rsidR="00AE5469">
        <w:rPr>
          <w:lang w:val="fr-CH"/>
        </w:rPr>
        <w:t>’</w:t>
      </w:r>
      <w:r w:rsidR="008D3222" w:rsidRPr="00B16CDE">
        <w:rPr>
          <w:lang w:val="fr-CH"/>
        </w:rPr>
        <w:t>expérience nationales relatives aux mécanismes institutionnels associés aux politiques et systèmes d</w:t>
      </w:r>
      <w:r w:rsidR="00AE5469">
        <w:rPr>
          <w:lang w:val="fr-CH"/>
        </w:rPr>
        <w:t>’</w:t>
      </w:r>
      <w:r w:rsidR="008D3222" w:rsidRPr="00B16CDE">
        <w:rPr>
          <w:lang w:val="fr-CH"/>
        </w:rPr>
        <w:t>application des droits de propriété intellectuelle, notamment les mécanismes permettant de régler les litiges de propriété intellectuelle d</w:t>
      </w:r>
      <w:r w:rsidR="00AE5469">
        <w:rPr>
          <w:lang w:val="fr-CH"/>
        </w:rPr>
        <w:t>’</w:t>
      </w:r>
      <w:r w:rsidR="008D3222" w:rsidRPr="00B16CDE">
        <w:rPr>
          <w:lang w:val="fr-CH"/>
        </w:rPr>
        <w:t>une manière équilibrée, globale et efficace;</w:t>
      </w:r>
    </w:p>
    <w:p w14:paraId="588A8DEF" w14:textId="38F671F6" w:rsidR="00560B44" w:rsidRPr="00B16CDE" w:rsidRDefault="00560B44" w:rsidP="0033341F">
      <w:pPr>
        <w:pStyle w:val="ONUMFS"/>
        <w:numPr>
          <w:ilvl w:val="0"/>
          <w:numId w:val="0"/>
        </w:numPr>
        <w:ind w:left="567"/>
        <w:rPr>
          <w:lang w:val="fr-CH"/>
        </w:rPr>
      </w:pPr>
      <w:r w:rsidRPr="00B16CDE">
        <w:rPr>
          <w:lang w:val="fr-CH"/>
        </w:rPr>
        <w:t>–</w:t>
      </w:r>
      <w:r w:rsidRPr="00B16CDE">
        <w:rPr>
          <w:lang w:val="fr-CH"/>
        </w:rPr>
        <w:tab/>
      </w:r>
      <w:r w:rsidR="008D3222" w:rsidRPr="00B16CDE">
        <w:rPr>
          <w:lang w:val="fr-CH"/>
        </w:rPr>
        <w:t>échange de données d</w:t>
      </w:r>
      <w:r w:rsidR="00AE5469">
        <w:rPr>
          <w:lang w:val="fr-CH"/>
        </w:rPr>
        <w:t>’</w:t>
      </w:r>
      <w:r w:rsidR="008D3222" w:rsidRPr="00B16CDE">
        <w:rPr>
          <w:lang w:val="fr-CH"/>
        </w:rPr>
        <w:t>expérience nationales relatives à l</w:t>
      </w:r>
      <w:r w:rsidR="00AE5469">
        <w:rPr>
          <w:lang w:val="fr-CH"/>
        </w:rPr>
        <w:t>’</w:t>
      </w:r>
      <w:r w:rsidR="008D3222" w:rsidRPr="00B16CDE">
        <w:rPr>
          <w:lang w:val="fr-CH"/>
        </w:rPr>
        <w:t>assistance fournie par l</w:t>
      </w:r>
      <w:r w:rsidR="00AE5469">
        <w:rPr>
          <w:lang w:val="fr-CH"/>
        </w:rPr>
        <w:t>’</w:t>
      </w:r>
      <w:r w:rsidR="008D3222" w:rsidRPr="00B16CDE">
        <w:rPr>
          <w:lang w:val="fr-CH"/>
        </w:rPr>
        <w:t>OMPI dans le domaine législatif, notamment l</w:t>
      </w:r>
      <w:r w:rsidR="00AE5469">
        <w:rPr>
          <w:lang w:val="fr-CH"/>
        </w:rPr>
        <w:t>’</w:t>
      </w:r>
      <w:r w:rsidR="008D3222" w:rsidRPr="00B16CDE">
        <w:rPr>
          <w:lang w:val="fr-CH"/>
        </w:rPr>
        <w:t>élaboration de lois nationales sur l</w:t>
      </w:r>
      <w:r w:rsidR="00AE5469">
        <w:rPr>
          <w:lang w:val="fr-CH"/>
        </w:rPr>
        <w:t>’</w:t>
      </w:r>
      <w:r w:rsidR="008D3222" w:rsidRPr="00B16CDE">
        <w:rPr>
          <w:lang w:val="fr-CH"/>
        </w:rPr>
        <w:t>application des droits qui tiennent compte des éléments de flexibilité, du niveau de développement, des différences entre les traditions juridiques et de l</w:t>
      </w:r>
      <w:r w:rsidR="00AE5469">
        <w:rPr>
          <w:lang w:val="fr-CH"/>
        </w:rPr>
        <w:t>’</w:t>
      </w:r>
      <w:r w:rsidR="008D3222" w:rsidRPr="00B16CDE">
        <w:rPr>
          <w:lang w:val="fr-CH"/>
        </w:rPr>
        <w:t>usage abusif des procédures d</w:t>
      </w:r>
      <w:r w:rsidR="00AE5469">
        <w:rPr>
          <w:lang w:val="fr-CH"/>
        </w:rPr>
        <w:t>’</w:t>
      </w:r>
      <w:r w:rsidR="008D3222" w:rsidRPr="00B16CDE">
        <w:rPr>
          <w:lang w:val="fr-CH"/>
        </w:rPr>
        <w:t>application de la loi, compte tenu du contexte plus large de l</w:t>
      </w:r>
      <w:r w:rsidR="00AE5469">
        <w:rPr>
          <w:lang w:val="fr-CH"/>
        </w:rPr>
        <w:t>’</w:t>
      </w:r>
      <w:r w:rsidR="008D3222" w:rsidRPr="00B16CDE">
        <w:rPr>
          <w:lang w:val="fr-CH"/>
        </w:rPr>
        <w:t>intérêt général et conformément au</w:t>
      </w:r>
      <w:r w:rsidR="00942B5F">
        <w:rPr>
          <w:lang w:val="fr-CH"/>
        </w:rPr>
        <w:t xml:space="preserve">x priorités des États membres; </w:t>
      </w:r>
      <w:r w:rsidR="00E17F82">
        <w:rPr>
          <w:lang w:val="fr-CH"/>
        </w:rPr>
        <w:t xml:space="preserve"> </w:t>
      </w:r>
      <w:r w:rsidR="008D3222" w:rsidRPr="00B16CDE">
        <w:rPr>
          <w:lang w:val="fr-CH"/>
        </w:rPr>
        <w:t>et</w:t>
      </w:r>
    </w:p>
    <w:p w14:paraId="5673EE74" w14:textId="2024E191" w:rsidR="00560B44" w:rsidRDefault="00560B44" w:rsidP="0033341F">
      <w:pPr>
        <w:pStyle w:val="ONUMFS"/>
        <w:numPr>
          <w:ilvl w:val="0"/>
          <w:numId w:val="0"/>
        </w:numPr>
        <w:ind w:left="567"/>
        <w:rPr>
          <w:lang w:val="fr-CH"/>
        </w:rPr>
      </w:pPr>
      <w:r w:rsidRPr="00B16CDE">
        <w:rPr>
          <w:lang w:val="fr-CH"/>
        </w:rPr>
        <w:t>–</w:t>
      </w:r>
      <w:r w:rsidRPr="00B16CDE">
        <w:rPr>
          <w:lang w:val="fr-CH"/>
        </w:rPr>
        <w:tab/>
      </w:r>
      <w:r w:rsidR="008D3222" w:rsidRPr="00B16CDE">
        <w:rPr>
          <w:lang w:val="fr-CH"/>
        </w:rPr>
        <w:t>échange d</w:t>
      </w:r>
      <w:r w:rsidR="00AE5469">
        <w:rPr>
          <w:lang w:val="fr-CH"/>
        </w:rPr>
        <w:t>’</w:t>
      </w:r>
      <w:r w:rsidR="008D3222" w:rsidRPr="00B16CDE">
        <w:rPr>
          <w:lang w:val="fr-CH"/>
        </w:rPr>
        <w:t>exemples de réussite concernant le renforcement des capacités et l</w:t>
      </w:r>
      <w:r w:rsidR="00AE5469">
        <w:rPr>
          <w:lang w:val="fr-CH"/>
        </w:rPr>
        <w:t>’</w:t>
      </w:r>
      <w:r w:rsidR="008D3222" w:rsidRPr="00B16CDE">
        <w:rPr>
          <w:lang w:val="fr-CH"/>
        </w:rPr>
        <w:t>appui de l</w:t>
      </w:r>
      <w:r w:rsidR="00AE5469">
        <w:rPr>
          <w:lang w:val="fr-CH"/>
        </w:rPr>
        <w:t>’</w:t>
      </w:r>
      <w:r w:rsidR="008D3222" w:rsidRPr="00B16CDE">
        <w:rPr>
          <w:lang w:val="fr-CH"/>
        </w:rPr>
        <w:t>OMPI en faveur des activités de formation à l</w:t>
      </w:r>
      <w:r w:rsidR="00AE5469">
        <w:rPr>
          <w:lang w:val="fr-CH"/>
        </w:rPr>
        <w:t>’</w:t>
      </w:r>
      <w:r w:rsidR="008D3222" w:rsidRPr="00B16CDE">
        <w:rPr>
          <w:lang w:val="fr-CH"/>
        </w:rPr>
        <w:t>échelle nationale et régionale, pour les organismes et les fonctionnaires nationaux, conformément aux recommandations pertinentes du Plan d</w:t>
      </w:r>
      <w:r w:rsidR="00AE5469">
        <w:rPr>
          <w:lang w:val="fr-CH"/>
        </w:rPr>
        <w:t>’</w:t>
      </w:r>
      <w:r w:rsidR="008D3222" w:rsidRPr="00B16CDE">
        <w:rPr>
          <w:lang w:val="fr-CH"/>
        </w:rPr>
        <w:t>action pour le développement et au mandat de l</w:t>
      </w:r>
      <w:r w:rsidR="00AE5469">
        <w:rPr>
          <w:lang w:val="fr-CH"/>
        </w:rPr>
        <w:t>’</w:t>
      </w:r>
      <w:r w:rsidR="008D3222" w:rsidRPr="00B16CDE">
        <w:rPr>
          <w:lang w:val="fr-CH"/>
        </w:rPr>
        <w:t>ACE.</w:t>
      </w:r>
    </w:p>
    <w:p w14:paraId="388FAFCF" w14:textId="77777777" w:rsidR="00942B5F" w:rsidRPr="00AF3720" w:rsidRDefault="007B0EF4" w:rsidP="00942B5F">
      <w:pPr>
        <w:pStyle w:val="ONUMFS"/>
        <w:rPr>
          <w:szCs w:val="22"/>
        </w:rPr>
      </w:pPr>
      <w:r w:rsidRPr="00942B5F">
        <w:t>Le programme de travail a été examiné sur la base de 38 exposés présentés par des experts</w:t>
      </w:r>
      <w:r w:rsidRPr="00942B5F">
        <w:rPr>
          <w:vertAlign w:val="superscript"/>
          <w:lang w:val="en-US"/>
        </w:rPr>
        <w:footnoteReference w:id="5"/>
      </w:r>
      <w:r w:rsidR="00780513">
        <w:t>.</w:t>
      </w:r>
    </w:p>
    <w:p w14:paraId="7B585F9A" w14:textId="5211AC51" w:rsidR="00BF6948" w:rsidRPr="0005529C" w:rsidRDefault="007B0EF4" w:rsidP="00BF6948">
      <w:pPr>
        <w:pStyle w:val="ONUMFS"/>
        <w:rPr>
          <w:szCs w:val="22"/>
        </w:rPr>
      </w:pPr>
      <w:r w:rsidRPr="00942B5F">
        <w:t>Dans le cadre du programme de travail intitulé “Échange de données d</w:t>
      </w:r>
      <w:r w:rsidR="00AE5469">
        <w:t>’</w:t>
      </w:r>
      <w:r w:rsidRPr="00942B5F">
        <w:t xml:space="preserve">expérience nationales relatives aux activités de sensibilisation et aux campagnes stratégiques menées pour </w:t>
      </w:r>
      <w:r w:rsidRPr="00942B5F">
        <w:lastRenderedPageBreak/>
        <w:t>promouvoir le respect de la propriété intellectuelle auprès du grand public, notamment les jeunes, conformément aux priorités des États membres dans le domaine éducatif, entre autres”, 11 exposés au total ont été présentés par l</w:t>
      </w:r>
      <w:r w:rsidR="00AE5469">
        <w:t>’</w:t>
      </w:r>
      <w:r w:rsidRPr="00942B5F">
        <w:t>Office national des droits d</w:t>
      </w:r>
      <w:r w:rsidR="00AE5469">
        <w:t>’</w:t>
      </w:r>
      <w:r w:rsidRPr="00942B5F">
        <w:t>auteur et des droits voisins de l</w:t>
      </w:r>
      <w:r w:rsidR="00AE5469">
        <w:t>’</w:t>
      </w:r>
      <w:r w:rsidRPr="00942B5F">
        <w:t>Algérie, l</w:t>
      </w:r>
      <w:r w:rsidR="00AE5469">
        <w:t>’</w:t>
      </w:r>
      <w:r w:rsidRPr="00942B5F">
        <w:t>Administration générale des douanes de la République populaire de Chine, l</w:t>
      </w:r>
      <w:r w:rsidR="00AE5469">
        <w:t>’</w:t>
      </w:r>
      <w:r w:rsidRPr="00942B5F">
        <w:t>Office d</w:t>
      </w:r>
      <w:r w:rsidR="00AE5469">
        <w:t>’</w:t>
      </w:r>
      <w:r w:rsidRPr="00942B5F">
        <w:t>État de la propriété intellectuelle de la République populaire de Chine (SIPO), l</w:t>
      </w:r>
      <w:r w:rsidR="00AE5469">
        <w:t>’</w:t>
      </w:r>
      <w:r w:rsidRPr="00942B5F">
        <w:t>Organisation du droit d</w:t>
      </w:r>
      <w:r w:rsidR="00AE5469">
        <w:t>’</w:t>
      </w:r>
      <w:r w:rsidRPr="00942B5F">
        <w:t>auteur hellénique, l</w:t>
      </w:r>
      <w:r w:rsidR="00AE5469">
        <w:t>’</w:t>
      </w:r>
      <w:r w:rsidRPr="00942B5F">
        <w:t>Office hongrois de la propriété intellectuelle, l</w:t>
      </w:r>
      <w:r w:rsidR="00AE5469">
        <w:t>’</w:t>
      </w:r>
      <w:r w:rsidRPr="00942B5F">
        <w:t>Office des brevets de la République de Lettonie, la Direction nationale de la propriété intellectuelle du Paraguay (DINAPI), l</w:t>
      </w:r>
      <w:r w:rsidR="00AE5469">
        <w:t>’</w:t>
      </w:r>
      <w:r w:rsidRPr="00942B5F">
        <w:t>Office de la propriété intellectuelle des Philippines (IPOPHL), l</w:t>
      </w:r>
      <w:r w:rsidR="00AE5469">
        <w:t>’</w:t>
      </w:r>
      <w:r w:rsidRPr="00942B5F">
        <w:t xml:space="preserve">Office coréen de la propriété </w:t>
      </w:r>
      <w:r w:rsidR="00375719">
        <w:t>intellectuelle</w:t>
      </w:r>
      <w:r w:rsidRPr="00942B5F">
        <w:t>, l</w:t>
      </w:r>
      <w:r w:rsidR="00AE5469">
        <w:t>’</w:t>
      </w:r>
      <w:r w:rsidRPr="00942B5F">
        <w:t xml:space="preserve">association </w:t>
      </w:r>
      <w:proofErr w:type="spellStart"/>
      <w:r w:rsidRPr="00942B5F">
        <w:t>Sygnał</w:t>
      </w:r>
      <w:proofErr w:type="spellEnd"/>
      <w:r w:rsidRPr="00942B5F">
        <w:t xml:space="preserve"> (Pologne) et l</w:t>
      </w:r>
      <w:r w:rsidR="00AE5469">
        <w:t>’</w:t>
      </w:r>
      <w:r w:rsidRPr="00942B5F">
        <w:t>Association suisse des musicie</w:t>
      </w:r>
      <w:r w:rsidR="003232C9" w:rsidRPr="00942B5F">
        <w:t>ns</w:t>
      </w:r>
      <w:r w:rsidR="003232C9">
        <w:t xml:space="preserve">.  </w:t>
      </w:r>
      <w:r w:rsidR="003232C9" w:rsidRPr="00DC7903">
        <w:t>En</w:t>
      </w:r>
      <w:r w:rsidRPr="00DC7903">
        <w:t xml:space="preserve"> outre, </w:t>
      </w:r>
      <w:r w:rsidR="00AB60FB" w:rsidRPr="00DC7903">
        <w:t xml:space="preserve">le Secrétariat a présenté les </w:t>
      </w:r>
      <w:r w:rsidR="00A523EA" w:rsidRPr="00DC7903">
        <w:t xml:space="preserve">moyens mis en œuvre par </w:t>
      </w:r>
      <w:r w:rsidRPr="00DC7903">
        <w:t>l</w:t>
      </w:r>
      <w:r w:rsidR="00AE5469">
        <w:t>’</w:t>
      </w:r>
      <w:r w:rsidRPr="00DC7903">
        <w:t>Académie de l</w:t>
      </w:r>
      <w:r w:rsidR="00AE5469">
        <w:t>’</w:t>
      </w:r>
      <w:r w:rsidRPr="00DC7903">
        <w:t xml:space="preserve">OMPI </w:t>
      </w:r>
      <w:r w:rsidR="00A523EA" w:rsidRPr="00DC7903">
        <w:t>pour sensibiliser les jeunes</w:t>
      </w:r>
      <w:r w:rsidRPr="00DC7903">
        <w:t xml:space="preserve"> à la propriété intellectuelle </w:t>
      </w:r>
      <w:r w:rsidR="003232C9">
        <w:t>dans le cadre</w:t>
      </w:r>
      <w:r w:rsidRPr="00DC7903">
        <w:t xml:space="preserve"> du système </w:t>
      </w:r>
      <w:r w:rsidRPr="00DC7903">
        <w:rPr>
          <w:szCs w:val="22"/>
        </w:rPr>
        <w:t>éducatif</w:t>
      </w:r>
      <w:r w:rsidR="00DC7903" w:rsidRPr="00DC7903">
        <w:rPr>
          <w:szCs w:val="22"/>
        </w:rPr>
        <w:t xml:space="preserve">. </w:t>
      </w:r>
      <w:r w:rsidR="00E17F82">
        <w:rPr>
          <w:szCs w:val="22"/>
        </w:rPr>
        <w:t xml:space="preserve"> </w:t>
      </w:r>
    </w:p>
    <w:p w14:paraId="08589B1F" w14:textId="50F3192E" w:rsidR="0005529C" w:rsidRPr="007255B6" w:rsidRDefault="007B0EF4" w:rsidP="0005529C">
      <w:pPr>
        <w:pStyle w:val="ONUMFS"/>
      </w:pPr>
      <w:r w:rsidRPr="007255B6">
        <w:t xml:space="preserve">Dans le cadre du programme </w:t>
      </w:r>
      <w:r w:rsidR="007255B6" w:rsidRPr="007255B6">
        <w:t xml:space="preserve">de travail </w:t>
      </w:r>
      <w:r w:rsidR="007255B6">
        <w:t xml:space="preserve">intitulé </w:t>
      </w:r>
      <w:r w:rsidR="009119BB" w:rsidRPr="00942B5F">
        <w:t>“</w:t>
      </w:r>
      <w:r w:rsidRPr="007255B6">
        <w:t>Échange de données d</w:t>
      </w:r>
      <w:r w:rsidR="00AE5469">
        <w:t>’</w:t>
      </w:r>
      <w:r w:rsidRPr="007255B6">
        <w:t>expérience nationales relatives aux mécanismes institutionnels associés aux politiques et systèmes d</w:t>
      </w:r>
      <w:r w:rsidR="00AE5469">
        <w:t>’</w:t>
      </w:r>
      <w:r w:rsidRPr="007255B6">
        <w:t>application des droits de propriété intellectuelle, notamment les mécanismes permettant de régler les litiges de propriété intellectuelle d</w:t>
      </w:r>
      <w:r w:rsidR="00AE5469">
        <w:t>’</w:t>
      </w:r>
      <w:r w:rsidRPr="007255B6">
        <w:t>une manière équilibrée, globale et efficace</w:t>
      </w:r>
      <w:r w:rsidR="009119BB" w:rsidRPr="00942B5F">
        <w:t>”</w:t>
      </w:r>
      <w:r w:rsidRPr="007255B6">
        <w:t>, les exposés ont été regroupés autour de trois</w:t>
      </w:r>
      <w:r w:rsidR="00E17F82">
        <w:t> </w:t>
      </w:r>
      <w:r w:rsidR="009119BB" w:rsidRPr="00942B5F">
        <w:t>“</w:t>
      </w:r>
      <w:r w:rsidR="00B61113" w:rsidRPr="00B16CDE">
        <w:rPr>
          <w:lang w:val="fr-CH"/>
        </w:rPr>
        <w:t>sous</w:t>
      </w:r>
      <w:r w:rsidR="003232C9">
        <w:rPr>
          <w:lang w:val="fr-CH"/>
        </w:rPr>
        <w:noBreakHyphen/>
      </w:r>
      <w:r w:rsidR="00B61113" w:rsidRPr="00B16CDE">
        <w:rPr>
          <w:lang w:val="fr-CH"/>
        </w:rPr>
        <w:t>élément</w:t>
      </w:r>
      <w:r w:rsidR="00B61113">
        <w:rPr>
          <w:lang w:val="fr-CH"/>
        </w:rPr>
        <w:t>s</w:t>
      </w:r>
      <w:r w:rsidR="009119BB" w:rsidRPr="00942B5F">
        <w:t>”</w:t>
      </w:r>
      <w:r w:rsidRPr="007255B6">
        <w:t>.</w:t>
      </w:r>
    </w:p>
    <w:p w14:paraId="4A43B79F" w14:textId="4317DB3E" w:rsidR="00B61113" w:rsidRDefault="007B0EF4" w:rsidP="0005529C">
      <w:pPr>
        <w:pStyle w:val="ONUMFS"/>
      </w:pPr>
      <w:r w:rsidRPr="00932DE8">
        <w:t xml:space="preserve">Au titre du </w:t>
      </w:r>
      <w:r w:rsidR="00B61113" w:rsidRPr="00BF6948">
        <w:t>sous</w:t>
      </w:r>
      <w:r w:rsidR="003232C9">
        <w:noBreakHyphen/>
      </w:r>
      <w:r w:rsidR="00B61113" w:rsidRPr="00BF6948">
        <w:t xml:space="preserve">élément </w:t>
      </w:r>
      <w:r w:rsidR="00480825">
        <w:t xml:space="preserve">concernant les </w:t>
      </w:r>
      <w:r w:rsidR="009119BB" w:rsidRPr="00942B5F">
        <w:t>“</w:t>
      </w:r>
      <w:r w:rsidRPr="00932DE8">
        <w:t>Fonctions des offices nationaux de propriété intellectuelle en matière d</w:t>
      </w:r>
      <w:r w:rsidR="00AE5469">
        <w:t>’</w:t>
      </w:r>
      <w:r w:rsidRPr="00932DE8">
        <w:t>application des droits</w:t>
      </w:r>
      <w:r w:rsidR="009119BB" w:rsidRPr="00942B5F">
        <w:t>”</w:t>
      </w:r>
      <w:r w:rsidRPr="00932DE8">
        <w:t xml:space="preserve">, des </w:t>
      </w:r>
      <w:r w:rsidR="00932DE8">
        <w:t>données d</w:t>
      </w:r>
      <w:r w:rsidR="00AE5469">
        <w:t>’</w:t>
      </w:r>
      <w:r w:rsidR="00932DE8">
        <w:t xml:space="preserve">expérience </w:t>
      </w:r>
      <w:r w:rsidRPr="00932DE8">
        <w:t>ont été présenté</w:t>
      </w:r>
      <w:r w:rsidR="00932DE8">
        <w:t>e</w:t>
      </w:r>
      <w:r w:rsidRPr="00932DE8">
        <w:t>s par</w:t>
      </w:r>
      <w:r w:rsidR="00AE5469" w:rsidRPr="00AE5469">
        <w:t xml:space="preserve"> le SIP</w:t>
      </w:r>
      <w:r w:rsidRPr="00932DE8">
        <w:t>O, la Direction de l</w:t>
      </w:r>
      <w:r w:rsidR="00AE5469">
        <w:t>’</w:t>
      </w:r>
      <w:r w:rsidRPr="00932DE8">
        <w:t>industrie et du commerce de Colombie,</w:t>
      </w:r>
      <w:r w:rsidR="00AE5469" w:rsidRPr="00AE5469">
        <w:t xml:space="preserve"> la DIN</w:t>
      </w:r>
      <w:r w:rsidRPr="00932DE8">
        <w:t>API</w:t>
      </w:r>
      <w:r w:rsidR="00932DE8" w:rsidRPr="00932DE8">
        <w:t xml:space="preserve"> et</w:t>
      </w:r>
      <w:r w:rsidRPr="00932DE8">
        <w:t xml:space="preserve"> l</w:t>
      </w:r>
      <w:r w:rsidR="00AE5469">
        <w:t>’</w:t>
      </w:r>
      <w:r w:rsidRPr="00932DE8">
        <w:t>IPOPHL.</w:t>
      </w:r>
    </w:p>
    <w:p w14:paraId="22E833EB" w14:textId="1919D8F3" w:rsidR="0005529C" w:rsidRPr="00B61113" w:rsidRDefault="007B0EF4" w:rsidP="0005529C">
      <w:pPr>
        <w:pStyle w:val="ONUMFS"/>
      </w:pPr>
      <w:r w:rsidRPr="00B61113">
        <w:t xml:space="preserve">Au titre du </w:t>
      </w:r>
      <w:r w:rsidR="00B61113" w:rsidRPr="00B16CDE">
        <w:rPr>
          <w:lang w:val="fr-CH"/>
        </w:rPr>
        <w:t>sous</w:t>
      </w:r>
      <w:r w:rsidR="003232C9">
        <w:rPr>
          <w:lang w:val="fr-CH"/>
        </w:rPr>
        <w:noBreakHyphen/>
      </w:r>
      <w:r w:rsidR="00B61113" w:rsidRPr="00B16CDE">
        <w:rPr>
          <w:lang w:val="fr-CH"/>
        </w:rPr>
        <w:t xml:space="preserve">élément </w:t>
      </w:r>
      <w:r w:rsidRPr="00B61113">
        <w:t xml:space="preserve">concernant la </w:t>
      </w:r>
      <w:r w:rsidR="009119BB" w:rsidRPr="00942B5F">
        <w:t>“</w:t>
      </w:r>
      <w:r w:rsidRPr="00B61113">
        <w:t>Coordination de l</w:t>
      </w:r>
      <w:r w:rsidR="00AE5469">
        <w:t>’</w:t>
      </w:r>
      <w:r w:rsidRPr="00B61113">
        <w:t>application des droits de propriété intellectuelle à l</w:t>
      </w:r>
      <w:r w:rsidR="00AE5469">
        <w:t>’</w:t>
      </w:r>
      <w:r w:rsidRPr="00B61113">
        <w:t>échelle nationale</w:t>
      </w:r>
      <w:r w:rsidR="009119BB" w:rsidRPr="00942B5F">
        <w:t>”</w:t>
      </w:r>
      <w:r w:rsidRPr="00B61113">
        <w:t xml:space="preserve">, </w:t>
      </w:r>
      <w:r w:rsidR="00B61113" w:rsidRPr="00932DE8">
        <w:t xml:space="preserve">des </w:t>
      </w:r>
      <w:r w:rsidR="00B61113">
        <w:t>données d</w:t>
      </w:r>
      <w:r w:rsidR="00AE5469">
        <w:t>’</w:t>
      </w:r>
      <w:r w:rsidR="00B61113">
        <w:t xml:space="preserve">expérience </w:t>
      </w:r>
      <w:r w:rsidR="00B61113" w:rsidRPr="00932DE8">
        <w:t>ont été présenté</w:t>
      </w:r>
      <w:r w:rsidR="00B61113">
        <w:t>e</w:t>
      </w:r>
      <w:r w:rsidR="00B61113" w:rsidRPr="00932DE8">
        <w:t>s par</w:t>
      </w:r>
      <w:r w:rsidR="00B61113" w:rsidRPr="00B61113">
        <w:t xml:space="preserve"> </w:t>
      </w:r>
      <w:r w:rsidRPr="00B61113">
        <w:t>Affaires mondiales</w:t>
      </w:r>
      <w:r w:rsidR="00B22389">
        <w:t xml:space="preserve">, </w:t>
      </w:r>
      <w:r w:rsidRPr="00B61113">
        <w:t>Canada, le Centre national de la propriété intellectuelle de la Géorgie, le Département de la politique industrielle et de la promotion de l</w:t>
      </w:r>
      <w:r w:rsidR="00AE5469">
        <w:t>’</w:t>
      </w:r>
      <w:r w:rsidRPr="00B61113">
        <w:t>Inde, la Direction générale de la lutte contre la contrefaçon – Office italien d</w:t>
      </w:r>
      <w:r w:rsidR="001B0219">
        <w:t>es brevets et des marques (DGLC</w:t>
      </w:r>
      <w:r w:rsidR="003232C9">
        <w:noBreakHyphen/>
      </w:r>
      <w:r w:rsidRPr="00B61113">
        <w:t>UIBM), l</w:t>
      </w:r>
      <w:r w:rsidR="00AE5469">
        <w:t>’</w:t>
      </w:r>
      <w:r w:rsidRPr="00B61113">
        <w:t>Organisation de la propriété intellectuelle du Pakistan (IPO Pakistan), l</w:t>
      </w:r>
      <w:r w:rsidR="00AE5469">
        <w:t>’</w:t>
      </w:r>
      <w:r w:rsidRPr="00B61113">
        <w:t>Institut portugais de la propriété industrielle, l</w:t>
      </w:r>
      <w:r w:rsidR="00AE5469">
        <w:t>’</w:t>
      </w:r>
      <w:r w:rsidRPr="00B61113">
        <w:t>Institut de formation et d</w:t>
      </w:r>
      <w:r w:rsidR="00AE5469">
        <w:t>’</w:t>
      </w:r>
      <w:r w:rsidRPr="00B61113">
        <w:t>études judiciaires des Émirats arabes unis et le Centre de coordination des droits de propriété intellectuelle des États</w:t>
      </w:r>
      <w:r w:rsidR="003232C9">
        <w:noBreakHyphen/>
      </w:r>
      <w:r w:rsidRPr="00B61113">
        <w:t>Unis d</w:t>
      </w:r>
      <w:r w:rsidR="00AE5469">
        <w:t>’</w:t>
      </w:r>
      <w:r w:rsidRPr="00B61113">
        <w:t>Amérique.</w:t>
      </w:r>
    </w:p>
    <w:p w14:paraId="411C7A17" w14:textId="0FA49096" w:rsidR="0005529C" w:rsidRPr="000C2672" w:rsidRDefault="007B0EF4" w:rsidP="0005529C">
      <w:pPr>
        <w:pStyle w:val="ONUMFS"/>
      </w:pPr>
      <w:r w:rsidRPr="00932DE8">
        <w:t xml:space="preserve">Au titre du </w:t>
      </w:r>
      <w:r w:rsidR="00B61113" w:rsidRPr="00B16CDE">
        <w:rPr>
          <w:lang w:val="fr-CH"/>
        </w:rPr>
        <w:t>sous</w:t>
      </w:r>
      <w:r w:rsidR="003232C9">
        <w:rPr>
          <w:lang w:val="fr-CH"/>
        </w:rPr>
        <w:noBreakHyphen/>
      </w:r>
      <w:r w:rsidR="00B61113" w:rsidRPr="00B16CDE">
        <w:rPr>
          <w:lang w:val="fr-CH"/>
        </w:rPr>
        <w:t xml:space="preserve">élément </w:t>
      </w:r>
      <w:r w:rsidRPr="00932DE8">
        <w:t xml:space="preserve">concernant les </w:t>
      </w:r>
      <w:r w:rsidR="00B22389" w:rsidRPr="00942B5F">
        <w:t>“</w:t>
      </w:r>
      <w:r w:rsidRPr="00932DE8">
        <w:t>Mécanismes permettant de régler les litiges de propriété intellectuelle d</w:t>
      </w:r>
      <w:r w:rsidR="00AE5469">
        <w:t>’</w:t>
      </w:r>
      <w:r w:rsidRPr="00932DE8">
        <w:t xml:space="preserve">une manière </w:t>
      </w:r>
      <w:r w:rsidR="00B22389">
        <w:t>équilibrée, globale et efficace</w:t>
      </w:r>
      <w:r w:rsidR="00B22389" w:rsidRPr="00942B5F">
        <w:t>”</w:t>
      </w:r>
      <w:r w:rsidRPr="00932DE8">
        <w:t xml:space="preserve">, </w:t>
      </w:r>
      <w:r w:rsidR="000C2672">
        <w:t>d</w:t>
      </w:r>
      <w:r w:rsidRPr="00932DE8">
        <w:t>es exposés sur des expériences nationales ont été présentés par IPO Pakistan,</w:t>
      </w:r>
      <w:r w:rsidR="000C2672">
        <w:t xml:space="preserve"> </w:t>
      </w:r>
      <w:r w:rsidRPr="00932DE8">
        <w:t>l</w:t>
      </w:r>
      <w:r w:rsidR="00AE5469">
        <w:t>’</w:t>
      </w:r>
      <w:r w:rsidRPr="00932DE8">
        <w:t>Institut portugais de la propriété industrielle, la Cour suprême de la Fédération de Russie, la Cour suprême d</w:t>
      </w:r>
      <w:r w:rsidR="00AE5469">
        <w:t>’</w:t>
      </w:r>
      <w:r w:rsidRPr="00932DE8">
        <w:t>appel de l</w:t>
      </w:r>
      <w:r w:rsidR="00AE5469">
        <w:t>’</w:t>
      </w:r>
      <w:r w:rsidRPr="00932DE8">
        <w:t xml:space="preserve">Afrique du Sud, </w:t>
      </w:r>
      <w:r w:rsidR="000C2672">
        <w:t xml:space="preserve">le </w:t>
      </w:r>
      <w:r w:rsidRPr="00932DE8">
        <w:t>Tribunal central de propriété intellectuelle et Cour commerciale internationale de la Thaïlande et le Tribunal de la propriété intellectuelle pour les entreprises d</w:t>
      </w:r>
      <w:r w:rsidR="00AE5469">
        <w:t>’</w:t>
      </w:r>
      <w:r w:rsidRPr="00932DE8">
        <w:t>Angleterre et du Pays de Gall</w:t>
      </w:r>
      <w:r w:rsidR="003232C9" w:rsidRPr="00932DE8">
        <w:t>es</w:t>
      </w:r>
      <w:r w:rsidR="003232C9">
        <w:t>.  De</w:t>
      </w:r>
      <w:r w:rsidR="003C6348">
        <w:t>ux</w:t>
      </w:r>
      <w:r w:rsidR="00E17F82">
        <w:t> </w:t>
      </w:r>
      <w:r w:rsidR="003C6348">
        <w:t>exposés sur des tribunaux et d</w:t>
      </w:r>
      <w:r w:rsidRPr="000C2672">
        <w:t xml:space="preserve">es juridictions spécialisés en propriété intellectuelle ont </w:t>
      </w:r>
      <w:r w:rsidR="003C6348">
        <w:t xml:space="preserve">en outre </w:t>
      </w:r>
      <w:r w:rsidRPr="000C2672">
        <w:t>été présentés par des observateurs, concernant un rapport publié par la Chambre de c</w:t>
      </w:r>
      <w:r w:rsidR="003C6348">
        <w:t>ommerce internationale en avril </w:t>
      </w:r>
      <w:r w:rsidRPr="000C2672">
        <w:t>2016, ai</w:t>
      </w:r>
      <w:r w:rsidR="000C2672" w:rsidRPr="000C2672">
        <w:t>nsi que l</w:t>
      </w:r>
      <w:r w:rsidR="00AE5469">
        <w:t>’</w:t>
      </w:r>
      <w:r w:rsidR="000C2672" w:rsidRPr="000C2672">
        <w:t>article rédigé par M. </w:t>
      </w:r>
      <w:r w:rsidR="000C2672">
        <w:t>Jacques de </w:t>
      </w:r>
      <w:proofErr w:type="spellStart"/>
      <w:r w:rsidRPr="000C2672">
        <w:t>Werra</w:t>
      </w:r>
      <w:proofErr w:type="spellEnd"/>
      <w:r w:rsidRPr="000C2672">
        <w:t xml:space="preserve"> (Université de Genève) dans le cadre d</w:t>
      </w:r>
      <w:r w:rsidR="00AE5469">
        <w:t>’</w:t>
      </w:r>
      <w:r w:rsidRPr="000C2672">
        <w:t xml:space="preserve">une </w:t>
      </w:r>
      <w:r w:rsidR="000C2672">
        <w:t>étude conjointe publiée en mars </w:t>
      </w:r>
      <w:r w:rsidRPr="000C2672">
        <w:t>2016 par le Centre d</w:t>
      </w:r>
      <w:r w:rsidR="00AE5469">
        <w:t>’</w:t>
      </w:r>
      <w:r w:rsidRPr="000C2672">
        <w:t>études internationales de la propriété intellectuelle (CEIPI) et le Centre international pour le commerce et le développement durable (ICTSD).</w:t>
      </w:r>
    </w:p>
    <w:p w14:paraId="7C849546" w14:textId="374B87B6" w:rsidR="0005529C" w:rsidRPr="00C42BBC" w:rsidRDefault="007B0EF4" w:rsidP="0005529C">
      <w:pPr>
        <w:pStyle w:val="ONUMFS"/>
      </w:pPr>
      <w:r w:rsidRPr="000C2672">
        <w:t>Aucun exposé n</w:t>
      </w:r>
      <w:r w:rsidR="00AE5469">
        <w:t>’</w:t>
      </w:r>
      <w:r w:rsidRPr="000C2672">
        <w:t>a été présenté par les États membres au titre du programme de travail intitulé “Échange de données d</w:t>
      </w:r>
      <w:r w:rsidR="00AE5469">
        <w:t>’</w:t>
      </w:r>
      <w:r w:rsidRPr="000C2672">
        <w:t>expérience nationales relatives à l</w:t>
      </w:r>
      <w:r w:rsidR="00AE5469">
        <w:t>’</w:t>
      </w:r>
      <w:r w:rsidRPr="000C2672">
        <w:t>assistance fournie par l</w:t>
      </w:r>
      <w:r w:rsidR="00AE5469">
        <w:t>’</w:t>
      </w:r>
      <w:r w:rsidRPr="000C2672">
        <w:t>OMPI dans le domaine législatif, notamment l</w:t>
      </w:r>
      <w:r w:rsidR="00AE5469">
        <w:t>’</w:t>
      </w:r>
      <w:r w:rsidRPr="000C2672">
        <w:t>élaboration de lois nationales sur l</w:t>
      </w:r>
      <w:r w:rsidR="00AE5469">
        <w:t>’</w:t>
      </w:r>
      <w:r w:rsidRPr="000C2672">
        <w:t>application des droits qui tiennent compte des éléments de flexibilité, du niveau de développement, des différences entre les traditions juridiques et de l</w:t>
      </w:r>
      <w:r w:rsidR="00AE5469">
        <w:t>’</w:t>
      </w:r>
      <w:r w:rsidRPr="000C2672">
        <w:t>usage abusif des procédures d</w:t>
      </w:r>
      <w:r w:rsidR="00AE5469">
        <w:t>’</w:t>
      </w:r>
      <w:r w:rsidRPr="000C2672">
        <w:t>application de la loi, compte tenu du contexte plus large de l</w:t>
      </w:r>
      <w:r w:rsidR="00AE5469">
        <w:t>’</w:t>
      </w:r>
      <w:r w:rsidRPr="000C2672">
        <w:t xml:space="preserve">intérêt général et conformément aux priorités des États membres”. </w:t>
      </w:r>
      <w:r w:rsidR="00E17F82">
        <w:t xml:space="preserve"> </w:t>
      </w:r>
      <w:r w:rsidRPr="00C42BBC">
        <w:t>Des discussions ont eu lieu</w:t>
      </w:r>
      <w:r w:rsidR="00C42BBC" w:rsidRPr="00C42BBC">
        <w:t>,</w:t>
      </w:r>
      <w:r w:rsidRPr="00C42BBC">
        <w:t xml:space="preserve"> avec une intervention de la délégation du Chili au nom du groupe des pays d</w:t>
      </w:r>
      <w:r w:rsidR="00AE5469">
        <w:t>’</w:t>
      </w:r>
      <w:r w:rsidRPr="00C42BBC">
        <w:t>Amérique latine et des Caraïbes (GRULAC), invitant le Secrétariat à établir pour la douzième</w:t>
      </w:r>
      <w:r w:rsidR="00E17F82">
        <w:t> </w:t>
      </w:r>
      <w:r w:rsidRPr="00C42BBC">
        <w:t>session de l</w:t>
      </w:r>
      <w:r w:rsidR="00AE5469">
        <w:t>’</w:t>
      </w:r>
      <w:r w:rsidRPr="00C42BBC">
        <w:t>ACE un document sur l</w:t>
      </w:r>
      <w:r w:rsidR="00AE5469">
        <w:t>’</w:t>
      </w:r>
      <w:r w:rsidRPr="00C42BBC">
        <w:t>assistance législative fournie dans le domaine de l</w:t>
      </w:r>
      <w:r w:rsidR="00AE5469">
        <w:t>’</w:t>
      </w:r>
      <w:r w:rsidRPr="00C42BBC">
        <w:t>application des droits de propriété intellectuel</w:t>
      </w:r>
      <w:r w:rsidR="003232C9" w:rsidRPr="00C42BBC">
        <w:t>le</w:t>
      </w:r>
      <w:r w:rsidR="003232C9">
        <w:t xml:space="preserve">.  </w:t>
      </w:r>
      <w:r w:rsidR="003232C9" w:rsidRPr="00C42BBC">
        <w:t>Le</w:t>
      </w:r>
      <w:r w:rsidRPr="00C42BBC">
        <w:t xml:space="preserve"> Secrétariat est convenu d</w:t>
      </w:r>
      <w:r w:rsidR="00AE5469">
        <w:t>’</w:t>
      </w:r>
      <w:r w:rsidRPr="00C42BBC">
        <w:t>établir un document d</w:t>
      </w:r>
      <w:r w:rsidR="00AE5469">
        <w:t>’</w:t>
      </w:r>
      <w:r w:rsidRPr="00C42BBC">
        <w:t>information exposant le processus pour la fourniture de l</w:t>
      </w:r>
      <w:r w:rsidR="00AE5469">
        <w:t>’</w:t>
      </w:r>
      <w:r w:rsidRPr="00C42BBC">
        <w:t xml:space="preserve">assistance </w:t>
      </w:r>
      <w:r w:rsidRPr="00C42BBC">
        <w:lastRenderedPageBreak/>
        <w:t>législative, le cadre juridique dan</w:t>
      </w:r>
      <w:r w:rsidR="00C42BBC" w:rsidRPr="00C42BBC">
        <w:t>s lequel elle s</w:t>
      </w:r>
      <w:r w:rsidR="00AE5469">
        <w:t>’</w:t>
      </w:r>
      <w:r w:rsidR="00C42BBC" w:rsidRPr="00C42BBC">
        <w:t>inscrit (partie </w:t>
      </w:r>
      <w:r w:rsidRPr="00C42BBC">
        <w:t>III de l</w:t>
      </w:r>
      <w:r w:rsidR="00AE5469">
        <w:t>’</w:t>
      </w:r>
      <w:r w:rsidRPr="00C42BBC">
        <w:t xml:space="preserve">Accord sur </w:t>
      </w:r>
      <w:r w:rsidR="00C42BBC">
        <w:t xml:space="preserve">les </w:t>
      </w:r>
      <w:r w:rsidRPr="00C42BBC">
        <w:t>aspects des droits de propriété intellectuelle qui touchent au commerce</w:t>
      </w:r>
      <w:r w:rsidR="00B22389">
        <w:t>, ou Accord sur</w:t>
      </w:r>
      <w:r w:rsidR="00AE5469" w:rsidRPr="00AE5469">
        <w:t xml:space="preserve"> les ADP</w:t>
      </w:r>
      <w:r w:rsidR="00B22389">
        <w:t>IC</w:t>
      </w:r>
      <w:r w:rsidR="00C42BBC">
        <w:t>)</w:t>
      </w:r>
      <w:r w:rsidRPr="00C42BBC">
        <w:t xml:space="preserve"> et les principes appliqués à cet égard.</w:t>
      </w:r>
    </w:p>
    <w:p w14:paraId="055FA53B" w14:textId="6D196934" w:rsidR="0005529C" w:rsidRPr="00CC7333" w:rsidRDefault="007B0EF4" w:rsidP="0005529C">
      <w:pPr>
        <w:pStyle w:val="ONUMFS"/>
      </w:pPr>
      <w:r w:rsidRPr="003C6348">
        <w:t xml:space="preserve">Au titre du programme de travail intitulé </w:t>
      </w:r>
      <w:r w:rsidR="0027193C" w:rsidRPr="000C2672">
        <w:t>“</w:t>
      </w:r>
      <w:r w:rsidRPr="003C6348">
        <w:t>Échange d</w:t>
      </w:r>
      <w:r w:rsidR="00AE5469">
        <w:t>’</w:t>
      </w:r>
      <w:r w:rsidRPr="003C6348">
        <w:t>exemples de réussite concernant le renforcement des capacités et l</w:t>
      </w:r>
      <w:r w:rsidR="00AE5469">
        <w:t>’</w:t>
      </w:r>
      <w:r w:rsidRPr="003C6348">
        <w:t>appui de l</w:t>
      </w:r>
      <w:r w:rsidR="00AE5469">
        <w:t>’</w:t>
      </w:r>
      <w:r w:rsidRPr="003C6348">
        <w:t>OMPI en faveur des activités de formation à l</w:t>
      </w:r>
      <w:r w:rsidR="00AE5469">
        <w:t>’</w:t>
      </w:r>
      <w:r w:rsidRPr="003C6348">
        <w:t>échelle nationale et régionale, pour les organismes et les fonctionnaires nationaux, conformément aux recommandations pertinentes du Plan d</w:t>
      </w:r>
      <w:r w:rsidR="00AE5469">
        <w:t>’</w:t>
      </w:r>
      <w:r w:rsidRPr="003C6348">
        <w:t>action pour le développement et au mandat de l</w:t>
      </w:r>
      <w:r w:rsidR="00AE5469">
        <w:t>’</w:t>
      </w:r>
      <w:r w:rsidRPr="003C6348">
        <w:t>ACE</w:t>
      </w:r>
      <w:r w:rsidR="0027193C" w:rsidRPr="000C2672">
        <w:t>”</w:t>
      </w:r>
      <w:r w:rsidRPr="003C6348">
        <w:t xml:space="preserve">, le Secrétariat a présenté </w:t>
      </w:r>
      <w:r w:rsidR="00AF7950">
        <w:t>l</w:t>
      </w:r>
      <w:r w:rsidRPr="003C6348">
        <w:t xml:space="preserve">es activités de formation et de renforcement des capacités </w:t>
      </w:r>
      <w:r w:rsidR="00AF7950">
        <w:t>de l</w:t>
      </w:r>
      <w:r w:rsidR="00AE5469">
        <w:t>’</w:t>
      </w:r>
      <w:r w:rsidR="00AF7950">
        <w:t xml:space="preserve">OMPI </w:t>
      </w:r>
      <w:r w:rsidRPr="003C6348">
        <w:t>dans le domaine de la promotion du respect de la propriété intellectuel</w:t>
      </w:r>
      <w:r w:rsidR="003232C9" w:rsidRPr="003C6348">
        <w:t>le</w:t>
      </w:r>
      <w:r w:rsidR="003232C9">
        <w:t xml:space="preserve">.  </w:t>
      </w:r>
      <w:r w:rsidR="003232C9" w:rsidRPr="00AF7950">
        <w:t>Ce</w:t>
      </w:r>
      <w:r w:rsidR="00AF7950" w:rsidRPr="00AF7950">
        <w:t xml:space="preserve">tte </w:t>
      </w:r>
      <w:r w:rsidR="003A3946" w:rsidRPr="00AF7950">
        <w:t>présentation</w:t>
      </w:r>
      <w:r w:rsidR="00AF7950" w:rsidRPr="00AF7950">
        <w:t xml:space="preserve"> </w:t>
      </w:r>
      <w:r w:rsidRPr="00AF7950">
        <w:t>a été suivi</w:t>
      </w:r>
      <w:r w:rsidR="00AF7950">
        <w:t>e</w:t>
      </w:r>
      <w:r w:rsidRPr="00AF7950">
        <w:t xml:space="preserve"> par des exposés de la </w:t>
      </w:r>
      <w:r w:rsidR="00A523EA">
        <w:t>Commission des sociétés et de la propriété intellectuelle (</w:t>
      </w:r>
      <w:r w:rsidRPr="00AF7950">
        <w:t>CIPC</w:t>
      </w:r>
      <w:r w:rsidR="00A523EA">
        <w:t>)</w:t>
      </w:r>
      <w:r w:rsidRPr="00AF7950">
        <w:t>, de l</w:t>
      </w:r>
      <w:r w:rsidR="00AE5469">
        <w:t>’</w:t>
      </w:r>
      <w:r w:rsidRPr="00AF7950">
        <w:t>Organisation régionale africaine de la p</w:t>
      </w:r>
      <w:r w:rsidR="00480825">
        <w:t>ropriété intellectuelle (ARIPO) et</w:t>
      </w:r>
      <w:r w:rsidRPr="00AF7950">
        <w:t xml:space="preserve"> de </w:t>
      </w:r>
      <w:r w:rsidR="00CC7333">
        <w:t>M. le juge Louis </w:t>
      </w:r>
      <w:proofErr w:type="spellStart"/>
      <w:r w:rsidRPr="00AF7950">
        <w:t>Harms</w:t>
      </w:r>
      <w:proofErr w:type="spellEnd"/>
      <w:r w:rsidRPr="00AF7950">
        <w:t xml:space="preserve">, ancien </w:t>
      </w:r>
      <w:r w:rsidR="00A523EA" w:rsidRPr="00AF7950">
        <w:t>vice</w:t>
      </w:r>
      <w:r w:rsidR="003232C9">
        <w:noBreakHyphen/>
      </w:r>
      <w:r w:rsidR="00A523EA" w:rsidRPr="00AF7950">
        <w:t>président</w:t>
      </w:r>
      <w:r w:rsidRPr="00AF7950">
        <w:t xml:space="preserve"> de la Cour suprême d</w:t>
      </w:r>
      <w:r w:rsidR="00AE5469">
        <w:t>’</w:t>
      </w:r>
      <w:r w:rsidRPr="00AF7950">
        <w:t>appel de l</w:t>
      </w:r>
      <w:r w:rsidR="00AE5469">
        <w:t>’</w:t>
      </w:r>
      <w:r w:rsidRPr="00AF7950">
        <w:t>Afrique du Sud et consultant de l</w:t>
      </w:r>
      <w:r w:rsidR="00AE5469">
        <w:t>’</w:t>
      </w:r>
      <w:r w:rsidRPr="00AF7950">
        <w:t>O</w:t>
      </w:r>
      <w:r w:rsidR="003232C9" w:rsidRPr="00AF7950">
        <w:t>MPI</w:t>
      </w:r>
      <w:r w:rsidR="003232C9">
        <w:t xml:space="preserve">.  </w:t>
      </w:r>
      <w:r w:rsidR="003232C9" w:rsidRPr="00CC7333">
        <w:t>En</w:t>
      </w:r>
      <w:r w:rsidRPr="00CC7333">
        <w:t xml:space="preserve"> outre, les délégations d</w:t>
      </w:r>
      <w:r w:rsidR="00AE5469">
        <w:t>’</w:t>
      </w:r>
      <w:r w:rsidR="00480825">
        <w:t>El </w:t>
      </w:r>
      <w:r w:rsidRPr="00CC7333">
        <w:t>Salvador, du Japon, de la Jordanie et d</w:t>
      </w:r>
      <w:r w:rsidR="00AE5469">
        <w:t>’</w:t>
      </w:r>
      <w:r w:rsidRPr="00CC7333">
        <w:t>Oman ont présenté les données d</w:t>
      </w:r>
      <w:r w:rsidR="00AE5469">
        <w:t>’</w:t>
      </w:r>
      <w:r w:rsidRPr="00CC7333">
        <w:t xml:space="preserve">expérience de leurs pays respectifs </w:t>
      </w:r>
      <w:r w:rsidR="003A3946">
        <w:t xml:space="preserve">concernant les </w:t>
      </w:r>
      <w:r w:rsidRPr="00CC7333">
        <w:t>activités de renforcement des capacités de l</w:t>
      </w:r>
      <w:r w:rsidR="00AE5469">
        <w:t>’</w:t>
      </w:r>
      <w:r w:rsidR="003A3946">
        <w:t>OMPI</w:t>
      </w:r>
      <w:r w:rsidRPr="00CC7333">
        <w:t xml:space="preserve"> dans le domaine de la promotion du respect de la propriété intellectuelle.</w:t>
      </w:r>
    </w:p>
    <w:p w14:paraId="41527338" w14:textId="67A213F3" w:rsidR="0005529C" w:rsidRPr="003C6348" w:rsidRDefault="007B0EF4" w:rsidP="0005529C">
      <w:pPr>
        <w:pStyle w:val="ONUMFS"/>
      </w:pPr>
      <w:r w:rsidRPr="003C6348">
        <w:t>Le comité a pris note de l</w:t>
      </w:r>
      <w:r w:rsidR="00AE5469">
        <w:t>’</w:t>
      </w:r>
      <w:r w:rsidRPr="003C6348">
        <w:t>exposé du Secrétariat sur les activités récentes de l</w:t>
      </w:r>
      <w:r w:rsidR="00AE5469">
        <w:t>’</w:t>
      </w:r>
      <w:r w:rsidRPr="003C6348">
        <w:t>OMPI dans le domaine de la promotion du respect de la propriété intellectuelle, ins</w:t>
      </w:r>
      <w:r w:rsidR="003A3946">
        <w:t>pirées par la recommandation n° </w:t>
      </w:r>
      <w:r w:rsidRPr="003C6348">
        <w:t>45 du Plan d</w:t>
      </w:r>
      <w:r w:rsidR="00AE5469">
        <w:t>’</w:t>
      </w:r>
      <w:r w:rsidRPr="003C6348">
        <w:t>action pour le développement et l</w:t>
      </w:r>
      <w:r w:rsidR="00AE5469">
        <w:t>’</w:t>
      </w:r>
      <w:r w:rsidRPr="003C6348">
        <w:t>objectif stratégi</w:t>
      </w:r>
      <w:r w:rsidR="003A3946">
        <w:t>que </w:t>
      </w:r>
      <w:r w:rsidRPr="003C6348">
        <w:t>VI de l</w:t>
      </w:r>
      <w:r w:rsidR="00AE5469">
        <w:t>’</w:t>
      </w:r>
      <w:r w:rsidRPr="003C6348">
        <w:t>Organisation, intitulé “Coopération internationale pour le respect de la propriété intellectuelle”</w:t>
      </w:r>
      <w:r w:rsidR="008E36B3" w:rsidRPr="003C6348">
        <w:rPr>
          <w:vertAlign w:val="superscript"/>
          <w:lang w:val="en-US"/>
        </w:rPr>
        <w:footnoteReference w:id="6"/>
      </w:r>
      <w:r w:rsidR="00780513">
        <w:t>.</w:t>
      </w:r>
    </w:p>
    <w:p w14:paraId="131AFA52" w14:textId="05392BCF" w:rsidR="007B0EF4" w:rsidRPr="003C6348" w:rsidRDefault="003C6348" w:rsidP="00942B5F">
      <w:pPr>
        <w:tabs>
          <w:tab w:val="num" w:pos="567"/>
        </w:tabs>
        <w:rPr>
          <w:szCs w:val="22"/>
        </w:rPr>
      </w:pPr>
      <w:r w:rsidRPr="003C6348">
        <w:rPr>
          <w:szCs w:val="22"/>
        </w:rPr>
        <w:t>22.</w:t>
      </w:r>
      <w:r w:rsidRPr="003C6348">
        <w:rPr>
          <w:szCs w:val="22"/>
        </w:rPr>
        <w:tab/>
      </w:r>
      <w:r w:rsidR="007B0EF4" w:rsidRPr="003C6348">
        <w:rPr>
          <w:szCs w:val="22"/>
        </w:rPr>
        <w:t>En ce qui concerne ses travaux futurs, le comité est convenu de poursuivre l</w:t>
      </w:r>
      <w:r w:rsidR="00AE5469">
        <w:rPr>
          <w:szCs w:val="22"/>
        </w:rPr>
        <w:t>’</w:t>
      </w:r>
      <w:r w:rsidR="007B0EF4" w:rsidRPr="003C6348">
        <w:rPr>
          <w:szCs w:val="22"/>
        </w:rPr>
        <w:t>examen, à sa douzième</w:t>
      </w:r>
      <w:r w:rsidR="00E17F82">
        <w:rPr>
          <w:szCs w:val="22"/>
        </w:rPr>
        <w:t> </w:t>
      </w:r>
      <w:r w:rsidR="007B0EF4" w:rsidRPr="003C6348">
        <w:rPr>
          <w:szCs w:val="22"/>
        </w:rPr>
        <w:t xml:space="preserve">session, du programme de travail </w:t>
      </w:r>
      <w:r w:rsidR="00525682">
        <w:rPr>
          <w:szCs w:val="22"/>
        </w:rPr>
        <w:t>établi</w:t>
      </w:r>
      <w:r w:rsidR="007B0EF4" w:rsidRPr="003C6348">
        <w:rPr>
          <w:szCs w:val="22"/>
        </w:rPr>
        <w:t xml:space="preserve"> lors de la dixième</w:t>
      </w:r>
      <w:r w:rsidR="00E17F82">
        <w:rPr>
          <w:szCs w:val="22"/>
        </w:rPr>
        <w:t> </w:t>
      </w:r>
      <w:r w:rsidR="007B0EF4" w:rsidRPr="003C6348">
        <w:rPr>
          <w:szCs w:val="22"/>
        </w:rPr>
        <w:t xml:space="preserve">session et mentionné au paragraphe 12 </w:t>
      </w:r>
      <w:r w:rsidR="008741D7">
        <w:rPr>
          <w:szCs w:val="22"/>
        </w:rPr>
        <w:t>du présent document</w:t>
      </w:r>
      <w:r w:rsidR="007B0EF4" w:rsidRPr="003C6348">
        <w:rPr>
          <w:szCs w:val="22"/>
        </w:rPr>
        <w:t>.</w:t>
      </w:r>
    </w:p>
    <w:p w14:paraId="0D01E080" w14:textId="77777777" w:rsidR="00683565" w:rsidRPr="007B0EF4" w:rsidRDefault="00683565" w:rsidP="0033341F">
      <w:pPr>
        <w:pStyle w:val="ONUMFS"/>
        <w:numPr>
          <w:ilvl w:val="0"/>
          <w:numId w:val="0"/>
        </w:numPr>
        <w:ind w:left="567"/>
      </w:pPr>
    </w:p>
    <w:p w14:paraId="1C0E57A2" w14:textId="5B3B80BB" w:rsidR="00560B44" w:rsidRPr="0029652F" w:rsidRDefault="008D3222" w:rsidP="00B65384">
      <w:pPr>
        <w:pStyle w:val="ONUMFS"/>
        <w:numPr>
          <w:ilvl w:val="0"/>
          <w:numId w:val="14"/>
        </w:numPr>
        <w:ind w:left="5529"/>
        <w:rPr>
          <w:i/>
          <w:lang w:val="fr-CH"/>
        </w:rPr>
      </w:pPr>
      <w:r w:rsidRPr="0029652F">
        <w:rPr>
          <w:i/>
          <w:lang w:val="fr-CH"/>
        </w:rPr>
        <w:t>L</w:t>
      </w:r>
      <w:r w:rsidR="00AE5469">
        <w:rPr>
          <w:i/>
          <w:lang w:val="fr-CH"/>
        </w:rPr>
        <w:t>’</w:t>
      </w:r>
      <w:r w:rsidRPr="0029652F">
        <w:rPr>
          <w:i/>
          <w:lang w:val="fr-CH"/>
        </w:rPr>
        <w:t>Assemblée générale de l</w:t>
      </w:r>
      <w:r w:rsidR="00AE5469">
        <w:rPr>
          <w:i/>
          <w:lang w:val="fr-CH"/>
        </w:rPr>
        <w:t>’</w:t>
      </w:r>
      <w:r w:rsidRPr="0029652F">
        <w:rPr>
          <w:i/>
          <w:lang w:val="fr-CH"/>
        </w:rPr>
        <w:t xml:space="preserve">OMPI est invitée à prendre note </w:t>
      </w:r>
      <w:r w:rsidR="00B65384">
        <w:rPr>
          <w:i/>
          <w:lang w:val="fr-CH"/>
        </w:rPr>
        <w:t xml:space="preserve">du </w:t>
      </w:r>
      <w:r w:rsidR="0042049F" w:rsidRPr="0029652F">
        <w:rPr>
          <w:i/>
          <w:lang w:val="fr-CH"/>
        </w:rPr>
        <w:t>“</w:t>
      </w:r>
      <w:r w:rsidRPr="0029652F">
        <w:rPr>
          <w:i/>
          <w:lang w:val="fr-CH"/>
        </w:rPr>
        <w:t>Rapport sur le Comité consultatif sur l</w:t>
      </w:r>
      <w:r w:rsidR="00AE5469">
        <w:rPr>
          <w:i/>
          <w:lang w:val="fr-CH"/>
        </w:rPr>
        <w:t>’</w:t>
      </w:r>
      <w:r w:rsidRPr="0029652F">
        <w:rPr>
          <w:i/>
          <w:lang w:val="fr-CH"/>
        </w:rPr>
        <w:t>application des droits (ACE)</w:t>
      </w:r>
      <w:r w:rsidR="0042049F" w:rsidRPr="0029652F">
        <w:rPr>
          <w:i/>
          <w:lang w:val="fr-CH"/>
        </w:rPr>
        <w:t>”</w:t>
      </w:r>
      <w:r w:rsidRPr="0029652F">
        <w:rPr>
          <w:i/>
          <w:lang w:val="fr-CH"/>
        </w:rPr>
        <w:t xml:space="preserve"> (</w:t>
      </w:r>
      <w:r w:rsidR="00AE5469" w:rsidRPr="00AE5469">
        <w:rPr>
          <w:i/>
          <w:lang w:val="fr-CH"/>
        </w:rPr>
        <w:t>document WO</w:t>
      </w:r>
      <w:r w:rsidRPr="0029652F">
        <w:rPr>
          <w:i/>
          <w:lang w:val="fr-CH"/>
        </w:rPr>
        <w:t>/GA/48/11).</w:t>
      </w:r>
    </w:p>
    <w:p w14:paraId="6D44A01D" w14:textId="77777777" w:rsidR="00560B44" w:rsidRPr="00B16CDE" w:rsidRDefault="00560B44" w:rsidP="0033341F">
      <w:pPr>
        <w:rPr>
          <w:lang w:val="fr-CH"/>
        </w:rPr>
      </w:pPr>
    </w:p>
    <w:p w14:paraId="7CBF7690" w14:textId="77777777" w:rsidR="00831CC2" w:rsidRPr="00B16CDE" w:rsidRDefault="00831CC2" w:rsidP="0033341F">
      <w:pPr>
        <w:rPr>
          <w:lang w:val="fr-CH"/>
        </w:rPr>
      </w:pPr>
    </w:p>
    <w:p w14:paraId="5834603B" w14:textId="77777777" w:rsidR="00560B44" w:rsidRPr="00B16CDE" w:rsidRDefault="00560B44" w:rsidP="0033341F">
      <w:pPr>
        <w:pStyle w:val="Endofdocument-Annex"/>
      </w:pPr>
      <w:r w:rsidRPr="00B16CDE">
        <w:t>[Fin du document]</w:t>
      </w:r>
    </w:p>
    <w:sectPr w:rsidR="00560B44" w:rsidRPr="00B16CDE" w:rsidSect="00DE619E">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BDB2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64394" w14:textId="77777777" w:rsidR="003516E4" w:rsidRDefault="003516E4">
      <w:r>
        <w:separator/>
      </w:r>
    </w:p>
  </w:endnote>
  <w:endnote w:type="continuationSeparator" w:id="0">
    <w:p w14:paraId="7CE5E648" w14:textId="77777777" w:rsidR="003516E4" w:rsidRDefault="003516E4" w:rsidP="003B38C1">
      <w:r>
        <w:separator/>
      </w:r>
    </w:p>
    <w:p w14:paraId="1AC052BE" w14:textId="77777777" w:rsidR="003516E4" w:rsidRPr="00BF253E" w:rsidRDefault="003516E4" w:rsidP="003B38C1">
      <w:pPr>
        <w:spacing w:after="60"/>
        <w:rPr>
          <w:sz w:val="17"/>
          <w:lang w:val="en-US"/>
        </w:rPr>
      </w:pPr>
      <w:r w:rsidRPr="00BF253E">
        <w:rPr>
          <w:sz w:val="17"/>
          <w:lang w:val="en-US"/>
        </w:rPr>
        <w:t>[Endnote continued from previous page]</w:t>
      </w:r>
    </w:p>
  </w:endnote>
  <w:endnote w:type="continuationNotice" w:id="1">
    <w:p w14:paraId="4218D34F" w14:textId="77777777" w:rsidR="003516E4" w:rsidRPr="00BF253E" w:rsidRDefault="003516E4" w:rsidP="003B38C1">
      <w:pPr>
        <w:spacing w:before="60"/>
        <w:jc w:val="right"/>
        <w:rPr>
          <w:sz w:val="17"/>
          <w:szCs w:val="17"/>
          <w:lang w:val="en-US"/>
        </w:rPr>
      </w:pPr>
      <w:r w:rsidRPr="00BF253E">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B31699" w14:textId="77777777" w:rsidR="003516E4" w:rsidRDefault="003516E4">
      <w:r>
        <w:separator/>
      </w:r>
    </w:p>
  </w:footnote>
  <w:footnote w:type="continuationSeparator" w:id="0">
    <w:p w14:paraId="6A8E9A3D" w14:textId="77777777" w:rsidR="003516E4" w:rsidRDefault="003516E4" w:rsidP="008B60B2">
      <w:r>
        <w:separator/>
      </w:r>
    </w:p>
    <w:p w14:paraId="7BBFFCBC" w14:textId="77777777" w:rsidR="003516E4" w:rsidRPr="00BF253E" w:rsidRDefault="003516E4" w:rsidP="008B60B2">
      <w:pPr>
        <w:spacing w:after="60"/>
        <w:rPr>
          <w:sz w:val="17"/>
          <w:szCs w:val="17"/>
          <w:lang w:val="en-US"/>
        </w:rPr>
      </w:pPr>
      <w:r w:rsidRPr="00BF253E">
        <w:rPr>
          <w:sz w:val="17"/>
          <w:szCs w:val="17"/>
          <w:lang w:val="en-US"/>
        </w:rPr>
        <w:t>[Footnote continued from previous page]</w:t>
      </w:r>
    </w:p>
  </w:footnote>
  <w:footnote w:type="continuationNotice" w:id="1">
    <w:p w14:paraId="7E7A4E48" w14:textId="77777777" w:rsidR="003516E4" w:rsidRPr="00BF253E" w:rsidRDefault="003516E4" w:rsidP="008B60B2">
      <w:pPr>
        <w:spacing w:before="60"/>
        <w:jc w:val="right"/>
        <w:rPr>
          <w:sz w:val="17"/>
          <w:szCs w:val="17"/>
          <w:lang w:val="en-US"/>
        </w:rPr>
      </w:pPr>
      <w:r w:rsidRPr="00BF253E">
        <w:rPr>
          <w:sz w:val="17"/>
          <w:szCs w:val="17"/>
          <w:lang w:val="en-US"/>
        </w:rPr>
        <w:t>[Footnote continued on next page]</w:t>
      </w:r>
    </w:p>
  </w:footnote>
  <w:footnote w:id="2">
    <w:p w14:paraId="49880E01" w14:textId="77777777" w:rsidR="007E7080" w:rsidRPr="00595A3D" w:rsidRDefault="007E7080" w:rsidP="0033341F">
      <w:pPr>
        <w:pStyle w:val="FootnoteText"/>
        <w:rPr>
          <w:lang w:val="fr-CH"/>
        </w:rPr>
      </w:pPr>
      <w:r w:rsidRPr="00595A3D">
        <w:rPr>
          <w:rStyle w:val="FootnoteReference"/>
        </w:rPr>
        <w:footnoteRef/>
      </w:r>
      <w:r w:rsidRPr="00595A3D">
        <w:rPr>
          <w:lang w:val="fr-CH"/>
        </w:rPr>
        <w:t xml:space="preserve"> </w:t>
      </w:r>
      <w:r w:rsidRPr="00595A3D">
        <w:rPr>
          <w:lang w:val="fr-CH"/>
        </w:rPr>
        <w:tab/>
      </w:r>
      <w:r w:rsidR="00450B0C" w:rsidRPr="00595A3D">
        <w:rPr>
          <w:lang w:val="fr-CH"/>
        </w:rPr>
        <w:t>Documents WIPO/ACE/10/4 à WIPO/ACE/10/25.</w:t>
      </w:r>
    </w:p>
  </w:footnote>
  <w:footnote w:id="3">
    <w:p w14:paraId="038E1310" w14:textId="77777777" w:rsidR="00A1291C" w:rsidRPr="00A1291C" w:rsidRDefault="00A1291C" w:rsidP="0033341F">
      <w:pPr>
        <w:pStyle w:val="FootnoteText"/>
        <w:rPr>
          <w:lang w:val="fr-CH"/>
        </w:rPr>
      </w:pPr>
      <w:r>
        <w:rPr>
          <w:rStyle w:val="FootnoteReference"/>
        </w:rPr>
        <w:footnoteRef/>
      </w:r>
      <w:r w:rsidRPr="00A1291C">
        <w:rPr>
          <w:lang w:val="fr-CH"/>
        </w:rPr>
        <w:t xml:space="preserve"> </w:t>
      </w:r>
      <w:r>
        <w:rPr>
          <w:lang w:val="fr-CH"/>
        </w:rPr>
        <w:tab/>
        <w:t>Document WIPO/ACE/10/2.</w:t>
      </w:r>
    </w:p>
  </w:footnote>
  <w:footnote w:id="4">
    <w:p w14:paraId="7C7DF6FE" w14:textId="1DE7110A" w:rsidR="00A1291C" w:rsidRPr="00A1291C" w:rsidRDefault="00A1291C" w:rsidP="0033341F">
      <w:pPr>
        <w:pStyle w:val="FootnoteText"/>
        <w:rPr>
          <w:lang w:val="fr-CH"/>
        </w:rPr>
      </w:pPr>
      <w:r>
        <w:rPr>
          <w:rStyle w:val="FootnoteReference"/>
        </w:rPr>
        <w:footnoteRef/>
      </w:r>
      <w:r w:rsidRPr="00A1291C">
        <w:rPr>
          <w:lang w:val="fr-CH"/>
        </w:rPr>
        <w:t xml:space="preserve"> </w:t>
      </w:r>
      <w:r>
        <w:rPr>
          <w:lang w:val="fr-CH"/>
        </w:rPr>
        <w:tab/>
      </w:r>
      <w:r w:rsidR="00B16CDE" w:rsidRPr="00A1291C">
        <w:rPr>
          <w:color w:val="000000"/>
          <w:lang w:val="fr-CH"/>
        </w:rPr>
        <w:t>Disponible</w:t>
      </w:r>
      <w:r w:rsidRPr="00A1291C">
        <w:rPr>
          <w:color w:val="000000"/>
          <w:lang w:val="fr-CH"/>
        </w:rPr>
        <w:t xml:space="preserve"> à l</w:t>
      </w:r>
      <w:r w:rsidR="00EC6CFD">
        <w:rPr>
          <w:color w:val="000000"/>
          <w:lang w:val="fr-CH"/>
        </w:rPr>
        <w:t>’</w:t>
      </w:r>
      <w:r w:rsidRPr="00A1291C">
        <w:rPr>
          <w:color w:val="000000"/>
          <w:lang w:val="fr-CH"/>
        </w:rPr>
        <w:t>adresse http://www.wipo.int/export/sites/www/about</w:t>
      </w:r>
      <w:r w:rsidR="003232C9">
        <w:rPr>
          <w:color w:val="000000"/>
          <w:lang w:val="fr-CH"/>
        </w:rPr>
        <w:noBreakHyphen/>
      </w:r>
      <w:r w:rsidRPr="00A1291C">
        <w:rPr>
          <w:color w:val="000000"/>
          <w:lang w:val="fr-CH"/>
        </w:rPr>
        <w:t>wipo/en</w:t>
      </w:r>
      <w:r w:rsidR="00F97146">
        <w:rPr>
          <w:color w:val="000000"/>
          <w:lang w:val="fr-CH"/>
        </w:rPr>
        <w:t>/oversight/iaod/evaluation/pdf/</w:t>
      </w:r>
      <w:r w:rsidRPr="00A1291C">
        <w:rPr>
          <w:color w:val="000000"/>
          <w:lang w:val="fr-CH"/>
        </w:rPr>
        <w:t>evaluation_strategic</w:t>
      </w:r>
      <w:r w:rsidR="00B16CDE">
        <w:rPr>
          <w:color w:val="000000"/>
          <w:lang w:val="fr-CH"/>
        </w:rPr>
        <w:t>_</w:t>
      </w:r>
      <w:r w:rsidRPr="00A1291C">
        <w:rPr>
          <w:color w:val="000000"/>
          <w:lang w:val="fr-CH"/>
        </w:rPr>
        <w:t>goal_vi.pdf.</w:t>
      </w:r>
    </w:p>
  </w:footnote>
  <w:footnote w:id="5">
    <w:p w14:paraId="07797898" w14:textId="77777777" w:rsidR="007B0EF4" w:rsidRPr="007B0EF4" w:rsidRDefault="007B0EF4">
      <w:pPr>
        <w:pStyle w:val="FootnoteText"/>
      </w:pPr>
      <w:r>
        <w:rPr>
          <w:rStyle w:val="FootnoteReference"/>
        </w:rPr>
        <w:footnoteRef/>
      </w:r>
      <w:r w:rsidRPr="007B0EF4">
        <w:t xml:space="preserve"> </w:t>
      </w:r>
      <w:r w:rsidRPr="007B0EF4">
        <w:tab/>
      </w:r>
      <w:r w:rsidRPr="00CC798C">
        <w:rPr>
          <w:szCs w:val="18"/>
          <w:lang w:val="es-ES_tradnl"/>
        </w:rPr>
        <w:t xml:space="preserve">Documents </w:t>
      </w:r>
      <w:r>
        <w:rPr>
          <w:szCs w:val="18"/>
          <w:lang w:val="es-ES_tradnl"/>
        </w:rPr>
        <w:t>WIPO/ACE/11/4 à</w:t>
      </w:r>
      <w:r w:rsidRPr="00634767">
        <w:rPr>
          <w:szCs w:val="18"/>
          <w:lang w:val="es-ES_tradnl"/>
        </w:rPr>
        <w:t xml:space="preserve"> WIPO/ACE/11/10</w:t>
      </w:r>
      <w:r w:rsidRPr="00CC798C">
        <w:rPr>
          <w:szCs w:val="18"/>
          <w:lang w:val="es-ES_tradnl"/>
        </w:rPr>
        <w:t>.</w:t>
      </w:r>
    </w:p>
  </w:footnote>
  <w:footnote w:id="6">
    <w:p w14:paraId="5A141EAF" w14:textId="77777777" w:rsidR="008E36B3" w:rsidRDefault="008E36B3">
      <w:pPr>
        <w:pStyle w:val="FootnoteText"/>
      </w:pPr>
      <w:r>
        <w:rPr>
          <w:rStyle w:val="FootnoteReference"/>
        </w:rPr>
        <w:footnoteRef/>
      </w:r>
      <w:r>
        <w:t xml:space="preserve"> </w:t>
      </w:r>
      <w:r w:rsidRPr="00680752">
        <w:rPr>
          <w:lang w:val="es-ES_tradnl"/>
        </w:rPr>
        <w:tab/>
      </w:r>
      <w:proofErr w:type="spellStart"/>
      <w:r w:rsidRPr="00680752">
        <w:rPr>
          <w:lang w:val="es-ES_tradnl"/>
        </w:rPr>
        <w:t>Document</w:t>
      </w:r>
      <w:proofErr w:type="spellEnd"/>
      <w:r w:rsidRPr="00680752">
        <w:rPr>
          <w:lang w:val="es-ES_tradnl"/>
        </w:rPr>
        <w:t xml:space="preserve"> WIPO/ACE/</w:t>
      </w:r>
      <w:r>
        <w:rPr>
          <w:lang w:val="es-ES_tradnl"/>
        </w:rPr>
        <w:t>11</w:t>
      </w:r>
      <w:r w:rsidRPr="00680752">
        <w:rPr>
          <w:lang w:val="es-ES_tradnl"/>
        </w:rPr>
        <w:t>/</w:t>
      </w:r>
      <w:r>
        <w:rPr>
          <w:lang w:val="es-ES_tradnl"/>
        </w:rPr>
        <w:t>2</w:t>
      </w:r>
      <w:r w:rsidRPr="00680752">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BC8C4" w14:textId="77777777" w:rsidR="00EC4E49" w:rsidRDefault="00441192" w:rsidP="00477D6B">
    <w:pPr>
      <w:jc w:val="right"/>
    </w:pPr>
    <w:bookmarkStart w:id="5" w:name="Code2"/>
    <w:bookmarkEnd w:id="5"/>
    <w:r>
      <w:t>W</w:t>
    </w:r>
    <w:r w:rsidR="008E36B3">
      <w:t>O/GA/48/11</w:t>
    </w:r>
  </w:p>
  <w:p w14:paraId="6A21B91A" w14:textId="35808F0C"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7E552E">
      <w:rPr>
        <w:noProof/>
      </w:rPr>
      <w:t>5</w:t>
    </w:r>
    <w:r>
      <w:fldChar w:fldCharType="end"/>
    </w:r>
  </w:p>
  <w:p w14:paraId="2AC7199A" w14:textId="77777777"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3501A5"/>
    <w:multiLevelType w:val="multilevel"/>
    <w:tmpl w:val="79FAE98A"/>
    <w:lvl w:ilvl="0">
      <w:start w:val="5"/>
      <w:numFmt w:val="bullet"/>
      <w:lvlText w:val="–"/>
      <w:lvlJc w:val="left"/>
      <w:pPr>
        <w:tabs>
          <w:tab w:val="num" w:pos="567"/>
        </w:tabs>
        <w:ind w:left="0" w:firstLine="0"/>
      </w:pPr>
      <w:rPr>
        <w:rFonts w:ascii="Arial" w:eastAsiaTheme="minorHAnsi" w:hAnsi="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C9B1003"/>
    <w:multiLevelType w:val="hybridMultilevel"/>
    <w:tmpl w:val="1FB276FC"/>
    <w:lvl w:ilvl="0" w:tplc="6A362A46">
      <w:start w:val="1"/>
      <w:numFmt w:val="bullet"/>
      <w:lvlText w:val="-"/>
      <w:lvlJc w:val="left"/>
      <w:pPr>
        <w:ind w:left="1197" w:hanging="630"/>
      </w:pPr>
      <w:rPr>
        <w:rFonts w:ascii="Arial" w:hAnsi="Arial"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FFB19A2"/>
    <w:multiLevelType w:val="multilevel"/>
    <w:tmpl w:val="6C6CE99C"/>
    <w:lvl w:ilvl="0">
      <w:start w:val="1"/>
      <w:numFmt w:val="decimal"/>
      <w:lvlRestart w:val="0"/>
      <w:pStyle w:val="ONUMFS"/>
      <w:lvlText w:val="%1."/>
      <w:lvlJc w:val="left"/>
      <w:pPr>
        <w:tabs>
          <w:tab w:val="num" w:pos="6238"/>
        </w:tabs>
        <w:ind w:left="5671"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0A924F4"/>
    <w:multiLevelType w:val="hybridMultilevel"/>
    <w:tmpl w:val="E04A13A2"/>
    <w:lvl w:ilvl="0" w:tplc="1C38E6A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0A008D"/>
    <w:multiLevelType w:val="hybridMultilevel"/>
    <w:tmpl w:val="D09EE538"/>
    <w:lvl w:ilvl="0" w:tplc="5A82B1DC">
      <w:start w:val="1"/>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85C2F1D"/>
    <w:multiLevelType w:val="hybridMultilevel"/>
    <w:tmpl w:val="BC082B26"/>
    <w:lvl w:ilvl="0" w:tplc="32CC35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7A2077"/>
    <w:multiLevelType w:val="hybridMultilevel"/>
    <w:tmpl w:val="72E06D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nsid w:val="786218E6"/>
    <w:multiLevelType w:val="hybridMultilevel"/>
    <w:tmpl w:val="E9A850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3"/>
  </w:num>
  <w:num w:numId="2">
    <w:abstractNumId w:val="8"/>
  </w:num>
  <w:num w:numId="3">
    <w:abstractNumId w:val="0"/>
  </w:num>
  <w:num w:numId="4">
    <w:abstractNumId w:val="10"/>
  </w:num>
  <w:num w:numId="5">
    <w:abstractNumId w:val="2"/>
  </w:num>
  <w:num w:numId="6">
    <w:abstractNumId w:val="5"/>
  </w:num>
  <w:num w:numId="7">
    <w:abstractNumId w:val="4"/>
  </w:num>
  <w:num w:numId="8">
    <w:abstractNumId w:val="12"/>
  </w:num>
  <w:num w:numId="9">
    <w:abstractNumId w:val="7"/>
  </w:num>
  <w:num w:numId="10">
    <w:abstractNumId w:val="11"/>
  </w:num>
  <w:num w:numId="11">
    <w:abstractNumId w:val="1"/>
  </w:num>
  <w:num w:numId="12">
    <w:abstractNumId w:val="6"/>
  </w:num>
  <w:num w:numId="13">
    <w:abstractNumId w:val="9"/>
  </w:num>
  <w:num w:numId="14">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éa Godreau">
    <w15:presenceInfo w15:providerId="Windows Live" w15:userId="50cbfe5652c45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traités|TextBase TMs\WorkspaceFTS\EN-FR\UPOV|TextBase TMs\WorkspaceFTS\EN-FR\WO_CC|TextBase TMs\WorkspaceFTS\EN-FR\WO_GA|TextBase TMs\WorkspaceFTS\EN-FR\WO_PBC|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
    <w:docVar w:name="TextBaseURL" w:val="empty"/>
    <w:docVar w:name="UILng" w:val="en"/>
  </w:docVars>
  <w:rsids>
    <w:rsidRoot w:val="00441192"/>
    <w:rsid w:val="00036D5D"/>
    <w:rsid w:val="00043CAA"/>
    <w:rsid w:val="0005529C"/>
    <w:rsid w:val="00075432"/>
    <w:rsid w:val="000968ED"/>
    <w:rsid w:val="000A6754"/>
    <w:rsid w:val="000C2672"/>
    <w:rsid w:val="000F5E56"/>
    <w:rsid w:val="000F7673"/>
    <w:rsid w:val="001362EE"/>
    <w:rsid w:val="00150C0D"/>
    <w:rsid w:val="001642CD"/>
    <w:rsid w:val="001829CC"/>
    <w:rsid w:val="001832A6"/>
    <w:rsid w:val="001A2FA6"/>
    <w:rsid w:val="001B0219"/>
    <w:rsid w:val="001E66A2"/>
    <w:rsid w:val="001E745D"/>
    <w:rsid w:val="001E795F"/>
    <w:rsid w:val="00227A1E"/>
    <w:rsid w:val="002634C4"/>
    <w:rsid w:val="0027193C"/>
    <w:rsid w:val="002821CE"/>
    <w:rsid w:val="002928D3"/>
    <w:rsid w:val="0029652F"/>
    <w:rsid w:val="002C0516"/>
    <w:rsid w:val="002F1FE6"/>
    <w:rsid w:val="002F4E68"/>
    <w:rsid w:val="002F729B"/>
    <w:rsid w:val="00312F7F"/>
    <w:rsid w:val="003232C9"/>
    <w:rsid w:val="0033341F"/>
    <w:rsid w:val="003516E4"/>
    <w:rsid w:val="00351A27"/>
    <w:rsid w:val="00361450"/>
    <w:rsid w:val="003673CF"/>
    <w:rsid w:val="00375719"/>
    <w:rsid w:val="003845C1"/>
    <w:rsid w:val="003A3946"/>
    <w:rsid w:val="003A6F89"/>
    <w:rsid w:val="003B38C1"/>
    <w:rsid w:val="003C6348"/>
    <w:rsid w:val="00410C78"/>
    <w:rsid w:val="0042049F"/>
    <w:rsid w:val="00423E3E"/>
    <w:rsid w:val="0042539A"/>
    <w:rsid w:val="00427AF4"/>
    <w:rsid w:val="00441192"/>
    <w:rsid w:val="00450B0C"/>
    <w:rsid w:val="004647DA"/>
    <w:rsid w:val="00474062"/>
    <w:rsid w:val="00477D6B"/>
    <w:rsid w:val="00480825"/>
    <w:rsid w:val="00494B30"/>
    <w:rsid w:val="00494D38"/>
    <w:rsid w:val="004A3EDA"/>
    <w:rsid w:val="004D0EFC"/>
    <w:rsid w:val="005019FF"/>
    <w:rsid w:val="00510080"/>
    <w:rsid w:val="00525682"/>
    <w:rsid w:val="005257D9"/>
    <w:rsid w:val="0053057A"/>
    <w:rsid w:val="00531FE6"/>
    <w:rsid w:val="00560A29"/>
    <w:rsid w:val="00560B44"/>
    <w:rsid w:val="00590488"/>
    <w:rsid w:val="00595A3D"/>
    <w:rsid w:val="005B68C3"/>
    <w:rsid w:val="005C561B"/>
    <w:rsid w:val="005C6649"/>
    <w:rsid w:val="005F059D"/>
    <w:rsid w:val="005F48F6"/>
    <w:rsid w:val="00605827"/>
    <w:rsid w:val="006172BD"/>
    <w:rsid w:val="00646050"/>
    <w:rsid w:val="00661C28"/>
    <w:rsid w:val="006713CA"/>
    <w:rsid w:val="00676C5C"/>
    <w:rsid w:val="00683565"/>
    <w:rsid w:val="006D5B4C"/>
    <w:rsid w:val="006F56D0"/>
    <w:rsid w:val="007255B6"/>
    <w:rsid w:val="00780513"/>
    <w:rsid w:val="007B0EF4"/>
    <w:rsid w:val="007D1613"/>
    <w:rsid w:val="007D45A3"/>
    <w:rsid w:val="007E552E"/>
    <w:rsid w:val="007E7080"/>
    <w:rsid w:val="0080770A"/>
    <w:rsid w:val="00811DFC"/>
    <w:rsid w:val="00822934"/>
    <w:rsid w:val="00831CC2"/>
    <w:rsid w:val="008645ED"/>
    <w:rsid w:val="008730E7"/>
    <w:rsid w:val="008741D7"/>
    <w:rsid w:val="008B2CC1"/>
    <w:rsid w:val="008B60B2"/>
    <w:rsid w:val="008D3222"/>
    <w:rsid w:val="008E36B3"/>
    <w:rsid w:val="0090731E"/>
    <w:rsid w:val="009119BB"/>
    <w:rsid w:val="00916EE2"/>
    <w:rsid w:val="00922924"/>
    <w:rsid w:val="00923587"/>
    <w:rsid w:val="00932DE8"/>
    <w:rsid w:val="00942B5F"/>
    <w:rsid w:val="00946687"/>
    <w:rsid w:val="00952E71"/>
    <w:rsid w:val="00966A22"/>
    <w:rsid w:val="0096722F"/>
    <w:rsid w:val="00980843"/>
    <w:rsid w:val="00983363"/>
    <w:rsid w:val="009A01EB"/>
    <w:rsid w:val="009C1FC8"/>
    <w:rsid w:val="009D45F0"/>
    <w:rsid w:val="009E2791"/>
    <w:rsid w:val="009E3F6F"/>
    <w:rsid w:val="009F499F"/>
    <w:rsid w:val="00A1291C"/>
    <w:rsid w:val="00A42DAF"/>
    <w:rsid w:val="00A45BD8"/>
    <w:rsid w:val="00A47541"/>
    <w:rsid w:val="00A51136"/>
    <w:rsid w:val="00A523EA"/>
    <w:rsid w:val="00A869B7"/>
    <w:rsid w:val="00A875C3"/>
    <w:rsid w:val="00A97915"/>
    <w:rsid w:val="00AA2747"/>
    <w:rsid w:val="00AB60FB"/>
    <w:rsid w:val="00AC205C"/>
    <w:rsid w:val="00AE5469"/>
    <w:rsid w:val="00AF0A6B"/>
    <w:rsid w:val="00AF3378"/>
    <w:rsid w:val="00AF3720"/>
    <w:rsid w:val="00AF7950"/>
    <w:rsid w:val="00B05A69"/>
    <w:rsid w:val="00B16CDE"/>
    <w:rsid w:val="00B22389"/>
    <w:rsid w:val="00B61113"/>
    <w:rsid w:val="00B65384"/>
    <w:rsid w:val="00B76AF6"/>
    <w:rsid w:val="00B9734B"/>
    <w:rsid w:val="00BA30E2"/>
    <w:rsid w:val="00BD20E0"/>
    <w:rsid w:val="00BF253E"/>
    <w:rsid w:val="00BF6948"/>
    <w:rsid w:val="00C029EE"/>
    <w:rsid w:val="00C11BFE"/>
    <w:rsid w:val="00C42BBC"/>
    <w:rsid w:val="00C6399B"/>
    <w:rsid w:val="00CC7333"/>
    <w:rsid w:val="00CD04F1"/>
    <w:rsid w:val="00CF5E95"/>
    <w:rsid w:val="00D06FED"/>
    <w:rsid w:val="00D41788"/>
    <w:rsid w:val="00D45252"/>
    <w:rsid w:val="00D53ECB"/>
    <w:rsid w:val="00D56519"/>
    <w:rsid w:val="00D60390"/>
    <w:rsid w:val="00D71B4D"/>
    <w:rsid w:val="00D93D55"/>
    <w:rsid w:val="00DA5572"/>
    <w:rsid w:val="00DC7903"/>
    <w:rsid w:val="00DD0087"/>
    <w:rsid w:val="00DE619E"/>
    <w:rsid w:val="00DF3E79"/>
    <w:rsid w:val="00E17F82"/>
    <w:rsid w:val="00E31092"/>
    <w:rsid w:val="00E335FE"/>
    <w:rsid w:val="00E51193"/>
    <w:rsid w:val="00E56CD8"/>
    <w:rsid w:val="00E718BA"/>
    <w:rsid w:val="00EC4E49"/>
    <w:rsid w:val="00EC6CFD"/>
    <w:rsid w:val="00ED5919"/>
    <w:rsid w:val="00ED77FB"/>
    <w:rsid w:val="00ED7FB7"/>
    <w:rsid w:val="00EE45FA"/>
    <w:rsid w:val="00EF5C75"/>
    <w:rsid w:val="00EF6B0F"/>
    <w:rsid w:val="00F35C5F"/>
    <w:rsid w:val="00F52CBA"/>
    <w:rsid w:val="00F61BED"/>
    <w:rsid w:val="00F66152"/>
    <w:rsid w:val="00F82133"/>
    <w:rsid w:val="00F931AA"/>
    <w:rsid w:val="00F9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94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9E"/>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6238"/>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character" w:customStyle="1" w:styleId="FootnoteTextChar">
    <w:name w:val="Footnote Text Char"/>
    <w:basedOn w:val="DefaultParagraphFont"/>
    <w:link w:val="FootnoteText"/>
    <w:rsid w:val="00441192"/>
    <w:rPr>
      <w:rFonts w:ascii="Arial" w:eastAsia="SimSun" w:hAnsi="Arial" w:cs="Arial"/>
      <w:sz w:val="18"/>
      <w:lang w:eastAsia="zh-CN"/>
    </w:rPr>
  </w:style>
  <w:style w:type="character" w:styleId="FootnoteReference">
    <w:name w:val="footnote reference"/>
    <w:unhideWhenUsed/>
    <w:rsid w:val="00441192"/>
    <w:rPr>
      <w:vertAlign w:val="superscript"/>
    </w:rPr>
  </w:style>
  <w:style w:type="character" w:styleId="Hyperlink">
    <w:name w:val="Hyperlink"/>
    <w:basedOn w:val="DefaultParagraphFont"/>
    <w:rsid w:val="00441192"/>
    <w:rPr>
      <w:color w:val="0000FF" w:themeColor="hyperlink"/>
      <w:u w:val="single"/>
    </w:rPr>
  </w:style>
  <w:style w:type="character" w:styleId="FollowedHyperlink">
    <w:name w:val="FollowedHyperlink"/>
    <w:basedOn w:val="DefaultParagraphFont"/>
    <w:rsid w:val="00ED5919"/>
    <w:rPr>
      <w:color w:val="800080" w:themeColor="followedHyperlink"/>
      <w:u w:val="single"/>
    </w:rPr>
  </w:style>
  <w:style w:type="character" w:customStyle="1" w:styleId="Heading1Char">
    <w:name w:val="Heading 1 Char"/>
    <w:link w:val="Heading1"/>
    <w:rsid w:val="00ED5919"/>
    <w:rPr>
      <w:rFonts w:ascii="Arial" w:eastAsia="SimSun" w:hAnsi="Arial" w:cs="Arial"/>
      <w:b/>
      <w:bCs/>
      <w:caps/>
      <w:kern w:val="32"/>
      <w:sz w:val="22"/>
      <w:szCs w:val="32"/>
      <w:lang w:eastAsia="zh-CN"/>
    </w:rPr>
  </w:style>
  <w:style w:type="paragraph" w:styleId="ListParagraph">
    <w:name w:val="List Paragraph"/>
    <w:basedOn w:val="Normal"/>
    <w:uiPriority w:val="34"/>
    <w:qFormat/>
    <w:rsid w:val="00822934"/>
    <w:pPr>
      <w:ind w:left="720"/>
      <w:contextualSpacing/>
    </w:pPr>
  </w:style>
  <w:style w:type="character" w:styleId="CommentReference">
    <w:name w:val="annotation reference"/>
    <w:basedOn w:val="DefaultParagraphFont"/>
    <w:semiHidden/>
    <w:unhideWhenUsed/>
    <w:rsid w:val="00DC7903"/>
    <w:rPr>
      <w:sz w:val="16"/>
      <w:szCs w:val="16"/>
    </w:rPr>
  </w:style>
  <w:style w:type="paragraph" w:styleId="CommentSubject">
    <w:name w:val="annotation subject"/>
    <w:basedOn w:val="CommentText"/>
    <w:next w:val="CommentText"/>
    <w:link w:val="CommentSubjectChar"/>
    <w:semiHidden/>
    <w:unhideWhenUsed/>
    <w:rsid w:val="00DC7903"/>
    <w:rPr>
      <w:b/>
      <w:bCs/>
      <w:sz w:val="20"/>
    </w:rPr>
  </w:style>
  <w:style w:type="character" w:customStyle="1" w:styleId="CommentTextChar">
    <w:name w:val="Comment Text Char"/>
    <w:basedOn w:val="DefaultParagraphFont"/>
    <w:link w:val="CommentText"/>
    <w:semiHidden/>
    <w:rsid w:val="00DC7903"/>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DC7903"/>
    <w:rPr>
      <w:rFonts w:ascii="Arial" w:eastAsia="SimSun" w:hAnsi="Arial" w:cs="Arial"/>
      <w:b/>
      <w:bCs/>
      <w:sz w:val="18"/>
      <w:lang w:val="fr-FR" w:eastAsia="zh-CN"/>
    </w:rPr>
  </w:style>
  <w:style w:type="paragraph" w:styleId="Revision">
    <w:name w:val="Revision"/>
    <w:hidden/>
    <w:uiPriority w:val="99"/>
    <w:semiHidden/>
    <w:rsid w:val="003232C9"/>
    <w:rPr>
      <w:rFonts w:ascii="Arial" w:eastAsia="SimSun" w:hAnsi="Arial" w:cs="Arial"/>
      <w:sz w:val="22"/>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Default Paragraph Font" w:uiPriority="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19E"/>
    <w:rPr>
      <w:rFonts w:ascii="Arial" w:eastAsia="SimSun" w:hAnsi="Arial" w:cs="Arial"/>
      <w:sz w:val="22"/>
      <w:lang w:val="fr-FR"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4A3EDA"/>
    <w:rPr>
      <w:rFonts w:ascii="Tahoma" w:hAnsi="Tahoma" w:cs="Tahoma"/>
      <w:sz w:val="16"/>
      <w:szCs w:val="16"/>
    </w:rPr>
  </w:style>
  <w:style w:type="paragraph" w:styleId="FootnoteText">
    <w:name w:val="footnote text"/>
    <w:basedOn w:val="Normal"/>
    <w:link w:val="FootnoteTextChar"/>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tabs>
        <w:tab w:val="clear" w:pos="6238"/>
        <w:tab w:val="num" w:pos="567"/>
      </w:tabs>
      <w:ind w:left="0"/>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4A3EDA"/>
    <w:rPr>
      <w:rFonts w:ascii="Tahoma" w:eastAsia="SimSun" w:hAnsi="Tahoma" w:cs="Tahoma"/>
      <w:sz w:val="16"/>
      <w:szCs w:val="16"/>
      <w:lang w:eastAsia="zh-CN"/>
    </w:rPr>
  </w:style>
  <w:style w:type="character" w:customStyle="1" w:styleId="FootnoteTextChar">
    <w:name w:val="Footnote Text Char"/>
    <w:basedOn w:val="DefaultParagraphFont"/>
    <w:link w:val="FootnoteText"/>
    <w:rsid w:val="00441192"/>
    <w:rPr>
      <w:rFonts w:ascii="Arial" w:eastAsia="SimSun" w:hAnsi="Arial" w:cs="Arial"/>
      <w:sz w:val="18"/>
      <w:lang w:eastAsia="zh-CN"/>
    </w:rPr>
  </w:style>
  <w:style w:type="character" w:styleId="FootnoteReference">
    <w:name w:val="footnote reference"/>
    <w:unhideWhenUsed/>
    <w:rsid w:val="00441192"/>
    <w:rPr>
      <w:vertAlign w:val="superscript"/>
    </w:rPr>
  </w:style>
  <w:style w:type="character" w:styleId="Hyperlink">
    <w:name w:val="Hyperlink"/>
    <w:basedOn w:val="DefaultParagraphFont"/>
    <w:rsid w:val="00441192"/>
    <w:rPr>
      <w:color w:val="0000FF" w:themeColor="hyperlink"/>
      <w:u w:val="single"/>
    </w:rPr>
  </w:style>
  <w:style w:type="character" w:styleId="FollowedHyperlink">
    <w:name w:val="FollowedHyperlink"/>
    <w:basedOn w:val="DefaultParagraphFont"/>
    <w:rsid w:val="00ED5919"/>
    <w:rPr>
      <w:color w:val="800080" w:themeColor="followedHyperlink"/>
      <w:u w:val="single"/>
    </w:rPr>
  </w:style>
  <w:style w:type="character" w:customStyle="1" w:styleId="Heading1Char">
    <w:name w:val="Heading 1 Char"/>
    <w:link w:val="Heading1"/>
    <w:rsid w:val="00ED5919"/>
    <w:rPr>
      <w:rFonts w:ascii="Arial" w:eastAsia="SimSun" w:hAnsi="Arial" w:cs="Arial"/>
      <w:b/>
      <w:bCs/>
      <w:caps/>
      <w:kern w:val="32"/>
      <w:sz w:val="22"/>
      <w:szCs w:val="32"/>
      <w:lang w:eastAsia="zh-CN"/>
    </w:rPr>
  </w:style>
  <w:style w:type="paragraph" w:styleId="ListParagraph">
    <w:name w:val="List Paragraph"/>
    <w:basedOn w:val="Normal"/>
    <w:uiPriority w:val="34"/>
    <w:qFormat/>
    <w:rsid w:val="00822934"/>
    <w:pPr>
      <w:ind w:left="720"/>
      <w:contextualSpacing/>
    </w:pPr>
  </w:style>
  <w:style w:type="character" w:styleId="CommentReference">
    <w:name w:val="annotation reference"/>
    <w:basedOn w:val="DefaultParagraphFont"/>
    <w:semiHidden/>
    <w:unhideWhenUsed/>
    <w:rsid w:val="00DC7903"/>
    <w:rPr>
      <w:sz w:val="16"/>
      <w:szCs w:val="16"/>
    </w:rPr>
  </w:style>
  <w:style w:type="paragraph" w:styleId="CommentSubject">
    <w:name w:val="annotation subject"/>
    <w:basedOn w:val="CommentText"/>
    <w:next w:val="CommentText"/>
    <w:link w:val="CommentSubjectChar"/>
    <w:semiHidden/>
    <w:unhideWhenUsed/>
    <w:rsid w:val="00DC7903"/>
    <w:rPr>
      <w:b/>
      <w:bCs/>
      <w:sz w:val="20"/>
    </w:rPr>
  </w:style>
  <w:style w:type="character" w:customStyle="1" w:styleId="CommentTextChar">
    <w:name w:val="Comment Text Char"/>
    <w:basedOn w:val="DefaultParagraphFont"/>
    <w:link w:val="CommentText"/>
    <w:semiHidden/>
    <w:rsid w:val="00DC7903"/>
    <w:rPr>
      <w:rFonts w:ascii="Arial" w:eastAsia="SimSun" w:hAnsi="Arial" w:cs="Arial"/>
      <w:sz w:val="18"/>
      <w:lang w:val="fr-FR" w:eastAsia="zh-CN"/>
    </w:rPr>
  </w:style>
  <w:style w:type="character" w:customStyle="1" w:styleId="CommentSubjectChar">
    <w:name w:val="Comment Subject Char"/>
    <w:basedOn w:val="CommentTextChar"/>
    <w:link w:val="CommentSubject"/>
    <w:semiHidden/>
    <w:rsid w:val="00DC7903"/>
    <w:rPr>
      <w:rFonts w:ascii="Arial" w:eastAsia="SimSun" w:hAnsi="Arial" w:cs="Arial"/>
      <w:b/>
      <w:bCs/>
      <w:sz w:val="18"/>
      <w:lang w:val="fr-FR" w:eastAsia="zh-CN"/>
    </w:rPr>
  </w:style>
  <w:style w:type="paragraph" w:styleId="Revision">
    <w:name w:val="Revision"/>
    <w:hidden/>
    <w:uiPriority w:val="99"/>
    <w:semiHidden/>
    <w:rsid w:val="003232C9"/>
    <w:rPr>
      <w:rFonts w:ascii="Arial" w:eastAsia="SimSun" w:hAnsi="Arial" w:cs="Arial"/>
      <w:sz w:val="22"/>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0E54-E17C-46CE-B041-05C4AFB69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6680D6E2</Template>
  <TotalTime>37</TotalTime>
  <Pages>5</Pages>
  <Words>2374</Words>
  <Characters>13627</Characters>
  <Application>Microsoft Office Word</Application>
  <DocSecurity>0</DocSecurity>
  <Lines>113</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WO/GA/48/</vt:lpstr>
      <vt:lpstr>WO/GA/48/</vt:lpstr>
    </vt:vector>
  </TitlesOfParts>
  <Company>WIPO</Company>
  <LinksUpToDate>false</LinksUpToDate>
  <CharactersWithSpaces>15970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dc:title>
  <dc:creator>COLIN Isabelle</dc:creator>
  <cp:keywords>NGG/sc</cp:keywords>
  <cp:lastModifiedBy>HÄFLIGER Patience</cp:lastModifiedBy>
  <cp:revision>15</cp:revision>
  <cp:lastPrinted>2016-09-28T08:54:00Z</cp:lastPrinted>
  <dcterms:created xsi:type="dcterms:W3CDTF">2016-09-23T09:46:00Z</dcterms:created>
  <dcterms:modified xsi:type="dcterms:W3CDTF">2016-09-28T08:54:00Z</dcterms:modified>
</cp:coreProperties>
</file>