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C62FD" w:rsidRPr="001A2436" w:rsidTr="00173CDE">
        <w:tc>
          <w:tcPr>
            <w:tcW w:w="4513" w:type="dxa"/>
            <w:tcBorders>
              <w:bottom w:val="single" w:sz="4" w:space="0" w:color="auto"/>
            </w:tcBorders>
            <w:tcMar>
              <w:bottom w:w="170" w:type="dxa"/>
            </w:tcMar>
          </w:tcPr>
          <w:p w:rsidR="007C62FD" w:rsidRPr="001A2436" w:rsidRDefault="007C62FD" w:rsidP="006D33C8">
            <w:pPr>
              <w:rPr>
                <w:noProof/>
              </w:rPr>
            </w:pPr>
          </w:p>
        </w:tc>
        <w:tc>
          <w:tcPr>
            <w:tcW w:w="4337" w:type="dxa"/>
            <w:tcBorders>
              <w:bottom w:val="single" w:sz="4" w:space="0" w:color="auto"/>
            </w:tcBorders>
            <w:tcMar>
              <w:left w:w="0" w:type="dxa"/>
              <w:right w:w="0" w:type="dxa"/>
            </w:tcMar>
          </w:tcPr>
          <w:p w:rsidR="007C62FD" w:rsidRPr="001A2436" w:rsidRDefault="007C62FD" w:rsidP="006D33C8">
            <w:pPr>
              <w:rPr>
                <w:noProof/>
              </w:rPr>
            </w:pPr>
            <w:r w:rsidRPr="001A2436">
              <w:rPr>
                <w:noProof/>
                <w:lang w:eastAsia="en-US"/>
              </w:rPr>
              <w:drawing>
                <wp:inline distT="0" distB="0" distL="0" distR="0" wp14:anchorId="6687B29D" wp14:editId="7EDC13B6">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C62FD" w:rsidRPr="001A2436" w:rsidRDefault="007C62FD" w:rsidP="006D33C8">
            <w:pPr>
              <w:jc w:val="right"/>
              <w:rPr>
                <w:noProof/>
              </w:rPr>
            </w:pPr>
            <w:r w:rsidRPr="001A2436">
              <w:rPr>
                <w:b/>
                <w:noProof/>
                <w:sz w:val="40"/>
                <w:szCs w:val="40"/>
              </w:rPr>
              <w:t>F</w:t>
            </w:r>
          </w:p>
        </w:tc>
      </w:tr>
      <w:tr w:rsidR="007C62FD" w:rsidRPr="001A2436" w:rsidTr="00173CDE">
        <w:trPr>
          <w:trHeight w:hRule="exact" w:val="357"/>
        </w:trPr>
        <w:tc>
          <w:tcPr>
            <w:tcW w:w="9356" w:type="dxa"/>
            <w:gridSpan w:val="3"/>
            <w:tcBorders>
              <w:top w:val="single" w:sz="4" w:space="0" w:color="auto"/>
            </w:tcBorders>
            <w:tcMar>
              <w:top w:w="170" w:type="dxa"/>
              <w:left w:w="0" w:type="dxa"/>
              <w:right w:w="0" w:type="dxa"/>
            </w:tcMar>
            <w:vAlign w:val="bottom"/>
          </w:tcPr>
          <w:p w:rsidR="007C62FD" w:rsidRPr="001A2436" w:rsidRDefault="007C62FD" w:rsidP="006D33C8">
            <w:pPr>
              <w:jc w:val="right"/>
              <w:rPr>
                <w:rFonts w:ascii="Arial Black" w:hAnsi="Arial Black"/>
                <w:caps/>
                <w:noProof/>
                <w:sz w:val="15"/>
              </w:rPr>
            </w:pPr>
            <w:r w:rsidRPr="001A2436">
              <w:rPr>
                <w:rFonts w:ascii="Arial Black" w:hAnsi="Arial Black"/>
                <w:caps/>
                <w:noProof/>
                <w:sz w:val="15"/>
              </w:rPr>
              <w:t>WO/GA/49/</w:t>
            </w:r>
            <w:bookmarkStart w:id="0" w:name="Code"/>
            <w:bookmarkEnd w:id="0"/>
            <w:r w:rsidRPr="001A2436">
              <w:rPr>
                <w:rFonts w:ascii="Arial Black" w:hAnsi="Arial Black"/>
                <w:caps/>
                <w:noProof/>
                <w:sz w:val="15"/>
              </w:rPr>
              <w:t>15</w:t>
            </w:r>
          </w:p>
        </w:tc>
      </w:tr>
      <w:tr w:rsidR="007C62FD" w:rsidRPr="001A2436" w:rsidTr="00173CDE">
        <w:trPr>
          <w:trHeight w:hRule="exact" w:val="170"/>
        </w:trPr>
        <w:tc>
          <w:tcPr>
            <w:tcW w:w="9356" w:type="dxa"/>
            <w:gridSpan w:val="3"/>
            <w:noWrap/>
            <w:tcMar>
              <w:left w:w="0" w:type="dxa"/>
              <w:right w:w="0" w:type="dxa"/>
            </w:tcMar>
            <w:vAlign w:val="bottom"/>
          </w:tcPr>
          <w:p w:rsidR="007C62FD" w:rsidRPr="001A2436" w:rsidRDefault="007C62FD" w:rsidP="006D33C8">
            <w:pPr>
              <w:jc w:val="right"/>
              <w:rPr>
                <w:rFonts w:ascii="Arial Black" w:hAnsi="Arial Black"/>
                <w:caps/>
                <w:noProof/>
                <w:sz w:val="15"/>
              </w:rPr>
            </w:pPr>
            <w:r w:rsidRPr="001A2436">
              <w:rPr>
                <w:rFonts w:ascii="Arial Black" w:hAnsi="Arial Black"/>
                <w:caps/>
                <w:noProof/>
                <w:sz w:val="15"/>
              </w:rPr>
              <w:t xml:space="preserve">ORIGINAL : </w:t>
            </w:r>
            <w:bookmarkStart w:id="1" w:name="Original"/>
            <w:bookmarkEnd w:id="1"/>
            <w:r w:rsidRPr="001A2436">
              <w:rPr>
                <w:rFonts w:ascii="Arial Black" w:hAnsi="Arial Black"/>
                <w:caps/>
                <w:noProof/>
                <w:sz w:val="15"/>
              </w:rPr>
              <w:t xml:space="preserve">ANGLAIS </w:t>
            </w:r>
          </w:p>
        </w:tc>
      </w:tr>
      <w:tr w:rsidR="007C62FD" w:rsidRPr="001A2436" w:rsidTr="00173CDE">
        <w:trPr>
          <w:trHeight w:hRule="exact" w:val="198"/>
        </w:trPr>
        <w:tc>
          <w:tcPr>
            <w:tcW w:w="9356" w:type="dxa"/>
            <w:gridSpan w:val="3"/>
            <w:tcMar>
              <w:left w:w="0" w:type="dxa"/>
              <w:right w:w="0" w:type="dxa"/>
            </w:tcMar>
            <w:vAlign w:val="bottom"/>
          </w:tcPr>
          <w:p w:rsidR="007C62FD" w:rsidRPr="001A2436" w:rsidRDefault="007C62FD" w:rsidP="006D33C8">
            <w:pPr>
              <w:jc w:val="right"/>
              <w:rPr>
                <w:rFonts w:ascii="Arial Black" w:hAnsi="Arial Black"/>
                <w:caps/>
                <w:noProof/>
                <w:sz w:val="15"/>
              </w:rPr>
            </w:pPr>
            <w:r w:rsidRPr="001A2436">
              <w:rPr>
                <w:rFonts w:ascii="Arial Black" w:hAnsi="Arial Black"/>
                <w:caps/>
                <w:noProof/>
                <w:sz w:val="15"/>
              </w:rPr>
              <w:t xml:space="preserve">DATE : </w:t>
            </w:r>
            <w:bookmarkStart w:id="2" w:name="Date"/>
            <w:bookmarkEnd w:id="2"/>
            <w:r w:rsidRPr="001A2436">
              <w:rPr>
                <w:rFonts w:ascii="Arial Black" w:hAnsi="Arial Black"/>
                <w:caps/>
                <w:noProof/>
                <w:sz w:val="15"/>
              </w:rPr>
              <w:t xml:space="preserve">3 juillet 2017 </w:t>
            </w:r>
          </w:p>
        </w:tc>
      </w:tr>
    </w:tbl>
    <w:p w:rsidR="007C62FD" w:rsidRPr="001A2436" w:rsidRDefault="007C62FD" w:rsidP="006D33C8">
      <w:pPr>
        <w:rPr>
          <w:noProof/>
        </w:rPr>
      </w:pPr>
    </w:p>
    <w:p w:rsidR="007C62FD" w:rsidRPr="001A2436" w:rsidRDefault="007C62FD" w:rsidP="006D33C8">
      <w:pPr>
        <w:rPr>
          <w:noProof/>
        </w:rPr>
      </w:pPr>
    </w:p>
    <w:p w:rsidR="007C62FD" w:rsidRPr="001A2436" w:rsidRDefault="007C62FD" w:rsidP="006D33C8">
      <w:pPr>
        <w:rPr>
          <w:noProof/>
        </w:rPr>
      </w:pPr>
    </w:p>
    <w:p w:rsidR="007C62FD" w:rsidRPr="001A2436" w:rsidRDefault="007C62FD" w:rsidP="006D33C8">
      <w:pPr>
        <w:rPr>
          <w:noProof/>
        </w:rPr>
      </w:pPr>
    </w:p>
    <w:p w:rsidR="007C62FD" w:rsidRPr="001A2436" w:rsidRDefault="007C62FD" w:rsidP="006D33C8">
      <w:pPr>
        <w:rPr>
          <w:noProof/>
        </w:rPr>
      </w:pPr>
    </w:p>
    <w:p w:rsidR="007C62FD" w:rsidRPr="001A2436" w:rsidRDefault="007C62FD" w:rsidP="006D33C8">
      <w:pPr>
        <w:rPr>
          <w:b/>
          <w:noProof/>
          <w:sz w:val="28"/>
          <w:szCs w:val="28"/>
        </w:rPr>
      </w:pPr>
      <w:r w:rsidRPr="001A2436">
        <w:rPr>
          <w:b/>
          <w:noProof/>
          <w:sz w:val="28"/>
          <w:szCs w:val="28"/>
        </w:rPr>
        <w:t>Assemblée générale de l’OMPI</w:t>
      </w:r>
    </w:p>
    <w:p w:rsidR="007C62FD" w:rsidRPr="001A2436" w:rsidRDefault="007C62FD" w:rsidP="006D33C8">
      <w:pPr>
        <w:rPr>
          <w:noProof/>
        </w:rPr>
      </w:pPr>
    </w:p>
    <w:p w:rsidR="007C62FD" w:rsidRPr="001A2436" w:rsidRDefault="007C62FD" w:rsidP="006D33C8">
      <w:pPr>
        <w:rPr>
          <w:noProof/>
        </w:rPr>
      </w:pPr>
    </w:p>
    <w:p w:rsidR="007C62FD" w:rsidRPr="001A2436" w:rsidRDefault="007C62FD" w:rsidP="006D33C8">
      <w:pPr>
        <w:rPr>
          <w:b/>
          <w:noProof/>
          <w:sz w:val="24"/>
          <w:szCs w:val="24"/>
        </w:rPr>
      </w:pPr>
      <w:r w:rsidRPr="001A2436">
        <w:rPr>
          <w:b/>
          <w:noProof/>
          <w:sz w:val="24"/>
          <w:szCs w:val="24"/>
        </w:rPr>
        <w:t>Quarante-neuvième session (23</w:t>
      </w:r>
      <w:r w:rsidRPr="001A2436">
        <w:rPr>
          <w:b/>
          <w:noProof/>
          <w:sz w:val="24"/>
          <w:szCs w:val="24"/>
          <w:vertAlign w:val="superscript"/>
        </w:rPr>
        <w:t>e</w:t>
      </w:r>
      <w:r w:rsidRPr="001A2436">
        <w:rPr>
          <w:b/>
          <w:noProof/>
          <w:sz w:val="24"/>
          <w:szCs w:val="24"/>
        </w:rPr>
        <w:t> session ordinaire)</w:t>
      </w:r>
    </w:p>
    <w:p w:rsidR="007C62FD" w:rsidRPr="001A2436" w:rsidRDefault="007C62FD" w:rsidP="006D33C8">
      <w:pPr>
        <w:rPr>
          <w:b/>
          <w:noProof/>
          <w:sz w:val="24"/>
          <w:szCs w:val="24"/>
        </w:rPr>
      </w:pPr>
      <w:r w:rsidRPr="001A2436">
        <w:rPr>
          <w:b/>
          <w:noProof/>
          <w:sz w:val="24"/>
          <w:szCs w:val="24"/>
        </w:rPr>
        <w:t>Genève, 2 – 11 octobre 2017</w:t>
      </w:r>
    </w:p>
    <w:p w:rsidR="007C62FD" w:rsidRPr="001A2436" w:rsidRDefault="007C62FD" w:rsidP="006D33C8">
      <w:pPr>
        <w:rPr>
          <w:noProof/>
        </w:rPr>
      </w:pPr>
    </w:p>
    <w:p w:rsidR="007C62FD" w:rsidRPr="001A2436" w:rsidRDefault="007C62FD" w:rsidP="006D33C8">
      <w:pPr>
        <w:rPr>
          <w:noProof/>
        </w:rPr>
      </w:pPr>
    </w:p>
    <w:p w:rsidR="008B2CC1" w:rsidRPr="001A2436" w:rsidRDefault="008B2CC1" w:rsidP="006D33C8">
      <w:pPr>
        <w:rPr>
          <w:noProof/>
        </w:rPr>
      </w:pPr>
    </w:p>
    <w:p w:rsidR="008F0CBF" w:rsidRPr="001A2436" w:rsidRDefault="000F7B25" w:rsidP="006D33C8">
      <w:pPr>
        <w:rPr>
          <w:caps/>
          <w:noProof/>
          <w:sz w:val="24"/>
        </w:rPr>
      </w:pPr>
      <w:bookmarkStart w:id="3" w:name="TitleOfDoc"/>
      <w:bookmarkEnd w:id="3"/>
      <w:r w:rsidRPr="001A2436">
        <w:rPr>
          <w:caps/>
          <w:noProof/>
          <w:sz w:val="24"/>
        </w:rPr>
        <w:t>COOPÉRATION DANS LE CADRE DES DÉCLARATIONS COMMUNES DE LA CONFÉRENCE DIPLOMATIQUE POUR L</w:t>
      </w:r>
      <w:r w:rsidR="009701D4" w:rsidRPr="001A2436">
        <w:rPr>
          <w:caps/>
          <w:noProof/>
          <w:sz w:val="24"/>
        </w:rPr>
        <w:t>’</w:t>
      </w:r>
      <w:r w:rsidRPr="001A2436">
        <w:rPr>
          <w:caps/>
          <w:noProof/>
          <w:sz w:val="24"/>
        </w:rPr>
        <w:t xml:space="preserve">ADOPTION DU TRAITÉ SUR </w:t>
      </w:r>
      <w:r w:rsidRPr="001A2436">
        <w:rPr>
          <w:caps/>
          <w:noProof/>
          <w:sz w:val="24"/>
        </w:rPr>
        <w:br/>
        <w:t>LE DROIT DES BREVETS (PLT)</w:t>
      </w:r>
    </w:p>
    <w:p w:rsidR="008B2CC1" w:rsidRPr="001A2436" w:rsidRDefault="008B2CC1" w:rsidP="006D33C8">
      <w:pPr>
        <w:rPr>
          <w:caps/>
          <w:noProof/>
          <w:sz w:val="24"/>
        </w:rPr>
      </w:pPr>
    </w:p>
    <w:p w:rsidR="008B2CC1" w:rsidRPr="001A2436" w:rsidRDefault="008B2CC1" w:rsidP="006D33C8">
      <w:pPr>
        <w:rPr>
          <w:noProof/>
        </w:rPr>
      </w:pPr>
    </w:p>
    <w:p w:rsidR="008B2CC1" w:rsidRPr="001A2436" w:rsidRDefault="008F0CBF" w:rsidP="006D33C8">
      <w:pPr>
        <w:rPr>
          <w:i/>
          <w:noProof/>
        </w:rPr>
      </w:pPr>
      <w:bookmarkStart w:id="4" w:name="Prepared"/>
      <w:bookmarkEnd w:id="4"/>
      <w:r w:rsidRPr="001A2436">
        <w:rPr>
          <w:i/>
          <w:noProof/>
        </w:rPr>
        <w:t>Document</w:t>
      </w:r>
      <w:r w:rsidR="000F7B25" w:rsidRPr="001A2436">
        <w:rPr>
          <w:i/>
          <w:noProof/>
        </w:rPr>
        <w:t xml:space="preserve"> établi par le Secrétariat</w:t>
      </w:r>
    </w:p>
    <w:p w:rsidR="00AC205C" w:rsidRPr="001A2436" w:rsidRDefault="00AC205C" w:rsidP="006D33C8">
      <w:pPr>
        <w:rPr>
          <w:noProof/>
        </w:rPr>
      </w:pPr>
    </w:p>
    <w:p w:rsidR="000F5E56" w:rsidRPr="001A2436" w:rsidRDefault="000F5E56" w:rsidP="006D33C8">
      <w:pPr>
        <w:rPr>
          <w:noProof/>
        </w:rPr>
      </w:pPr>
    </w:p>
    <w:p w:rsidR="002928D3" w:rsidRPr="001A2436" w:rsidRDefault="002928D3" w:rsidP="006D33C8">
      <w:pPr>
        <w:rPr>
          <w:noProof/>
        </w:rPr>
      </w:pPr>
    </w:p>
    <w:p w:rsidR="002928D3" w:rsidRPr="001A2436" w:rsidRDefault="002928D3" w:rsidP="006D33C8">
      <w:pPr>
        <w:rPr>
          <w:noProof/>
        </w:rPr>
      </w:pPr>
    </w:p>
    <w:p w:rsidR="008F0CBF" w:rsidRPr="001A2436" w:rsidRDefault="009C53FE" w:rsidP="009C53FE">
      <w:pPr>
        <w:pStyle w:val="Heading1"/>
        <w:rPr>
          <w:noProof/>
        </w:rPr>
      </w:pPr>
      <w:r>
        <w:rPr>
          <w:noProof/>
        </w:rPr>
        <w:t>I.</w:t>
      </w:r>
      <w:r>
        <w:rPr>
          <w:noProof/>
        </w:rPr>
        <w:tab/>
      </w:r>
      <w:r w:rsidR="008F0CBF" w:rsidRPr="001A2436">
        <w:rPr>
          <w:noProof/>
        </w:rPr>
        <w:t>INTRODUCTION</w:t>
      </w:r>
    </w:p>
    <w:p w:rsidR="0027707E" w:rsidRPr="001A2436" w:rsidRDefault="0027707E" w:rsidP="00BF33BC">
      <w:pPr>
        <w:ind w:right="-143"/>
        <w:rPr>
          <w:noProof/>
        </w:rPr>
      </w:pPr>
    </w:p>
    <w:p w:rsidR="008F0CBF" w:rsidRPr="001A2436" w:rsidRDefault="00F61BBB" w:rsidP="00BF33BC">
      <w:pPr>
        <w:pStyle w:val="ONUMFS"/>
        <w:ind w:right="-143"/>
        <w:rPr>
          <w:noProof/>
        </w:rPr>
      </w:pPr>
      <w:r w:rsidRPr="001A2436">
        <w:rPr>
          <w:noProof/>
        </w:rPr>
        <w:t>Au point 4 des Déclarations communes de la conférence diplomatique pour l</w:t>
      </w:r>
      <w:r w:rsidR="009701D4" w:rsidRPr="001A2436">
        <w:rPr>
          <w:noProof/>
        </w:rPr>
        <w:t>’</w:t>
      </w:r>
      <w:r w:rsidRPr="001A2436">
        <w:rPr>
          <w:noProof/>
        </w:rPr>
        <w:t>adoption du Traité sur le droit des brevets (PLT) (ci</w:t>
      </w:r>
      <w:r w:rsidR="009701D4" w:rsidRPr="001A2436">
        <w:rPr>
          <w:noProof/>
        </w:rPr>
        <w:t>-</w:t>
      </w:r>
      <w:r w:rsidRPr="001A2436">
        <w:rPr>
          <w:noProof/>
        </w:rPr>
        <w:t>après dénommées “déclarations communes”), adoptées le</w:t>
      </w:r>
      <w:r w:rsidR="009701D4" w:rsidRPr="001A2436">
        <w:rPr>
          <w:noProof/>
        </w:rPr>
        <w:t xml:space="preserve"> 1</w:t>
      </w:r>
      <w:r w:rsidR="009701D4" w:rsidRPr="001A2436">
        <w:rPr>
          <w:noProof/>
          <w:vertAlign w:val="superscript"/>
        </w:rPr>
        <w:t>er</w:t>
      </w:r>
      <w:r w:rsidR="009701D4" w:rsidRPr="001A2436">
        <w:rPr>
          <w:noProof/>
        </w:rPr>
        <w:t> </w:t>
      </w:r>
      <w:r w:rsidRPr="001A2436">
        <w:rPr>
          <w:noProof/>
        </w:rPr>
        <w:t>juin 2000, il est indiqué ce qui suit</w:t>
      </w:r>
      <w:r w:rsidR="009701D4" w:rsidRPr="001A2436">
        <w:rPr>
          <w:noProof/>
        </w:rPr>
        <w:t> :</w:t>
      </w:r>
    </w:p>
    <w:p w:rsidR="00F61BBB" w:rsidRPr="001A2436" w:rsidRDefault="00F61BBB" w:rsidP="00BF33BC">
      <w:pPr>
        <w:pStyle w:val="ONUMFS"/>
        <w:numPr>
          <w:ilvl w:val="0"/>
          <w:numId w:val="0"/>
        </w:numPr>
        <w:ind w:left="567" w:right="-143"/>
        <w:rPr>
          <w:noProof/>
        </w:rPr>
      </w:pPr>
      <w:r w:rsidRPr="001A2436">
        <w:rPr>
          <w:noProof/>
        </w:rPr>
        <w:t xml:space="preserve">“4. </w:t>
      </w:r>
      <w:r w:rsidR="0027707E" w:rsidRPr="001A2436">
        <w:rPr>
          <w:noProof/>
        </w:rPr>
        <w:t xml:space="preserve"> </w:t>
      </w:r>
      <w:r w:rsidRPr="001A2436">
        <w:rPr>
          <w:noProof/>
        </w:rPr>
        <w:t>Afin de faciliter la mise en œuvre de la règle 8.1)a) du présent traité, la conférence diplomatique demande à l</w:t>
      </w:r>
      <w:r w:rsidR="009701D4" w:rsidRPr="001A2436">
        <w:rPr>
          <w:noProof/>
        </w:rPr>
        <w:t>’</w:t>
      </w:r>
      <w:r w:rsidRPr="001A2436">
        <w:rPr>
          <w:noProof/>
        </w:rPr>
        <w:t>Assemblée générale de l</w:t>
      </w:r>
      <w:r w:rsidR="009701D4" w:rsidRPr="001A2436">
        <w:rPr>
          <w:noProof/>
        </w:rPr>
        <w:t>’</w:t>
      </w:r>
      <w:r w:rsidRPr="001A2436">
        <w:rPr>
          <w:noProof/>
        </w:rPr>
        <w:t>Organisation Mondiale de la Propriété Intellectuelle (OMPI) et aux Parties contractantes de fournir, avant même l</w:t>
      </w:r>
      <w:r w:rsidR="009701D4" w:rsidRPr="001A2436">
        <w:rPr>
          <w:noProof/>
        </w:rPr>
        <w:t>’</w:t>
      </w:r>
      <w:r w:rsidRPr="001A2436">
        <w:rPr>
          <w:noProof/>
        </w:rPr>
        <w:t xml:space="preserve">entrée en vigueur du traité, une assistance technique supplémentaire aux pays en développement, aux pays les moins avancés et aux pays en transition pour leur permettre de remplir leurs obligations </w:t>
      </w:r>
      <w:r w:rsidR="009701D4" w:rsidRPr="001A2436">
        <w:rPr>
          <w:noProof/>
        </w:rPr>
        <w:t>à l’égard</w:t>
      </w:r>
      <w:r w:rsidRPr="001A2436">
        <w:rPr>
          <w:noProof/>
        </w:rPr>
        <w:t xml:space="preserve"> du traité.</w:t>
      </w:r>
    </w:p>
    <w:p w:rsidR="00F61BBB" w:rsidRPr="001A2436" w:rsidRDefault="00F61BBB" w:rsidP="00BF33BC">
      <w:pPr>
        <w:pStyle w:val="ONUMFS"/>
        <w:numPr>
          <w:ilvl w:val="0"/>
          <w:numId w:val="0"/>
        </w:numPr>
        <w:ind w:left="567" w:right="-143"/>
        <w:rPr>
          <w:noProof/>
        </w:rPr>
      </w:pPr>
      <w:r w:rsidRPr="001A2436">
        <w:rPr>
          <w:noProof/>
        </w:rPr>
        <w:t>“En outre, la conférence diplomatique prie instamment les pays industrialisés à économie de marché d</w:t>
      </w:r>
      <w:r w:rsidR="009701D4" w:rsidRPr="001A2436">
        <w:rPr>
          <w:noProof/>
        </w:rPr>
        <w:t>’</w:t>
      </w:r>
      <w:r w:rsidRPr="001A2436">
        <w:rPr>
          <w:noProof/>
        </w:rPr>
        <w:t>offrir, sur demande et selon des modalités mutuellement convenues, une coopération technique et financière aux pays en développement, aux pays les moins avancés et aux pays en transition.</w:t>
      </w:r>
    </w:p>
    <w:p w:rsidR="00F61BBB" w:rsidRPr="001A2436" w:rsidRDefault="00F61BBB" w:rsidP="00BF33BC">
      <w:pPr>
        <w:pStyle w:val="ONUMFS"/>
        <w:numPr>
          <w:ilvl w:val="0"/>
          <w:numId w:val="0"/>
        </w:numPr>
        <w:ind w:left="567" w:right="-143"/>
        <w:rPr>
          <w:noProof/>
        </w:rPr>
      </w:pPr>
      <w:r w:rsidRPr="001A2436">
        <w:rPr>
          <w:noProof/>
        </w:rPr>
        <w:t>“La conférence diplomatique demande à l</w:t>
      </w:r>
      <w:r w:rsidR="009701D4" w:rsidRPr="001A2436">
        <w:rPr>
          <w:noProof/>
        </w:rPr>
        <w:t>’</w:t>
      </w:r>
      <w:r w:rsidRPr="001A2436">
        <w:rPr>
          <w:noProof/>
        </w:rPr>
        <w:t>Assemblée générale de l</w:t>
      </w:r>
      <w:r w:rsidR="009701D4" w:rsidRPr="001A2436">
        <w:rPr>
          <w:noProof/>
        </w:rPr>
        <w:t>’</w:t>
      </w:r>
      <w:r w:rsidRPr="001A2436">
        <w:rPr>
          <w:noProof/>
        </w:rPr>
        <w:t>OMPI, une fois le traité entré en vigueur, de surveiller et d</w:t>
      </w:r>
      <w:r w:rsidR="009701D4" w:rsidRPr="001A2436">
        <w:rPr>
          <w:noProof/>
        </w:rPr>
        <w:t>’</w:t>
      </w:r>
      <w:r w:rsidRPr="001A2436">
        <w:rPr>
          <w:noProof/>
        </w:rPr>
        <w:t>évaluer les progrès de cette coopération à chaque session ordinaire”.</w:t>
      </w:r>
    </w:p>
    <w:p w:rsidR="008F0CBF" w:rsidRPr="009C53FE" w:rsidRDefault="00F61BBB" w:rsidP="009C53FE">
      <w:pPr>
        <w:pStyle w:val="ONUMFS"/>
      </w:pPr>
      <w:r w:rsidRPr="009C53FE">
        <w:lastRenderedPageBreak/>
        <w:t>Conformément au troisième paragraphe du point 4 des déclarations communes, l</w:t>
      </w:r>
      <w:r w:rsidR="009701D4" w:rsidRPr="009C53FE">
        <w:t>’</w:t>
      </w:r>
      <w:r w:rsidRPr="009C53FE">
        <w:t>Assemblée générale de l</w:t>
      </w:r>
      <w:r w:rsidR="009701D4" w:rsidRPr="009C53FE">
        <w:t>’</w:t>
      </w:r>
      <w:r w:rsidRPr="009C53FE">
        <w:t>OMPI est invitée à surveiller et à évaluer les progrès de la coopération technique et financière en faveur des pays en développement, des pays les moins avancés et des pays en transition, visant à faciliter le dépôt des communications par voie électronique dans ces pays.</w:t>
      </w:r>
    </w:p>
    <w:p w:rsidR="008F0CBF" w:rsidRPr="009C53FE" w:rsidRDefault="00F61BBB" w:rsidP="009C53FE">
      <w:pPr>
        <w:pStyle w:val="ONUMFS"/>
      </w:pPr>
      <w:r w:rsidRPr="009C53FE">
        <w:t>En conséquence, les “pays industrialisés à économie de marché” visés au deuxième paragraphe du point 4 des déclarations communes susmentionnées sont invités à communiquer des renseignements, ainsi que cela est indiqué dans ce paragraphe, à la prochaine session de l</w:t>
      </w:r>
      <w:r w:rsidR="009701D4" w:rsidRPr="009C53FE">
        <w:t>’</w:t>
      </w:r>
      <w:r w:rsidRPr="009C53FE">
        <w:t>Assemblée générale de l</w:t>
      </w:r>
      <w:r w:rsidR="009701D4" w:rsidRPr="009C53FE">
        <w:t>’</w:t>
      </w:r>
      <w:r w:rsidRPr="009C53FE">
        <w:t>OMPI, afin que celle</w:t>
      </w:r>
      <w:r w:rsidR="009701D4" w:rsidRPr="009C53FE">
        <w:t>-</w:t>
      </w:r>
      <w:r w:rsidRPr="009C53FE">
        <w:t>ci puisse surveiller et évaluer les progrès de la coopération.</w:t>
      </w:r>
    </w:p>
    <w:p w:rsidR="008F0CBF" w:rsidRPr="001A2436" w:rsidRDefault="0027707E" w:rsidP="00BF33BC">
      <w:pPr>
        <w:pStyle w:val="Heading1"/>
        <w:ind w:right="-143"/>
        <w:rPr>
          <w:noProof/>
        </w:rPr>
      </w:pPr>
      <w:r w:rsidRPr="001A2436">
        <w:rPr>
          <w:bCs w:val="0"/>
          <w:caps w:val="0"/>
          <w:noProof/>
        </w:rPr>
        <w:t>II.</w:t>
      </w:r>
      <w:r w:rsidRPr="001A2436">
        <w:rPr>
          <w:noProof/>
        </w:rPr>
        <w:tab/>
      </w:r>
      <w:r w:rsidR="006F1B9C" w:rsidRPr="001A2436">
        <w:rPr>
          <w:noProof/>
        </w:rPr>
        <w:t>ACTIVITÉS DE L</w:t>
      </w:r>
      <w:r w:rsidR="009701D4" w:rsidRPr="001A2436">
        <w:rPr>
          <w:noProof/>
        </w:rPr>
        <w:t>’</w:t>
      </w:r>
      <w:r w:rsidR="006F1B9C" w:rsidRPr="001A2436">
        <w:rPr>
          <w:noProof/>
        </w:rPr>
        <w:t>OMPI</w:t>
      </w:r>
    </w:p>
    <w:p w:rsidR="0027707E" w:rsidRPr="001A2436" w:rsidRDefault="0027707E" w:rsidP="00BF33BC">
      <w:pPr>
        <w:pStyle w:val="ListParagraph"/>
        <w:ind w:left="0" w:right="-143"/>
        <w:rPr>
          <w:noProof/>
        </w:rPr>
      </w:pPr>
    </w:p>
    <w:p w:rsidR="009701D4" w:rsidRPr="001A2436" w:rsidRDefault="006F1B9C" w:rsidP="00BF33BC">
      <w:pPr>
        <w:pStyle w:val="ONUMFS"/>
        <w:ind w:right="-143"/>
        <w:rPr>
          <w:noProof/>
        </w:rPr>
      </w:pPr>
      <w:r w:rsidRPr="001A2436">
        <w:rPr>
          <w:noProof/>
        </w:rPr>
        <w:t>En ce qui concerne les activités correspondantes de l</w:t>
      </w:r>
      <w:r w:rsidR="009701D4" w:rsidRPr="001A2436">
        <w:rPr>
          <w:noProof/>
        </w:rPr>
        <w:t>’</w:t>
      </w:r>
      <w:r w:rsidRPr="001A2436">
        <w:rPr>
          <w:noProof/>
        </w:rPr>
        <w:t>OMPI, lors de l</w:t>
      </w:r>
      <w:r w:rsidR="009701D4" w:rsidRPr="001A2436">
        <w:rPr>
          <w:noProof/>
        </w:rPr>
        <w:t>’</w:t>
      </w:r>
      <w:r w:rsidRPr="001A2436">
        <w:rPr>
          <w:noProof/>
        </w:rPr>
        <w:t>adoption de la règle 8 du règlement d</w:t>
      </w:r>
      <w:r w:rsidR="009701D4" w:rsidRPr="001A2436">
        <w:rPr>
          <w:noProof/>
        </w:rPr>
        <w:t>’</w:t>
      </w:r>
      <w:r w:rsidRPr="001A2436">
        <w:rPr>
          <w:noProof/>
        </w:rPr>
        <w:t>exécution du PLT pendant la conférence diplomatique pour l</w:t>
      </w:r>
      <w:r w:rsidR="009701D4" w:rsidRPr="001A2436">
        <w:rPr>
          <w:noProof/>
        </w:rPr>
        <w:t>’</w:t>
      </w:r>
      <w:r w:rsidRPr="001A2436">
        <w:rPr>
          <w:noProof/>
        </w:rPr>
        <w:t>adoption de ce traité, le Directeur général de l</w:t>
      </w:r>
      <w:r w:rsidR="009701D4" w:rsidRPr="001A2436">
        <w:rPr>
          <w:noProof/>
        </w:rPr>
        <w:t>’</w:t>
      </w:r>
      <w:r w:rsidRPr="001A2436">
        <w:rPr>
          <w:noProof/>
        </w:rPr>
        <w:t>OMPI a déclaré que l</w:t>
      </w:r>
      <w:r w:rsidR="009701D4" w:rsidRPr="001A2436">
        <w:rPr>
          <w:noProof/>
        </w:rPr>
        <w:t>’</w:t>
      </w:r>
      <w:r w:rsidRPr="001A2436">
        <w:rPr>
          <w:noProof/>
        </w:rPr>
        <w:t>OMPI demeurerait fidèle à son engagement en faveur de la poursuite de son programme de coopération technique et qu</w:t>
      </w:r>
      <w:r w:rsidR="009701D4" w:rsidRPr="001A2436">
        <w:rPr>
          <w:noProof/>
        </w:rPr>
        <w:t>’</w:t>
      </w:r>
      <w:r w:rsidRPr="001A2436">
        <w:rPr>
          <w:noProof/>
        </w:rPr>
        <w:t>elle donnerait en outre effet au contenu de la règle 8 en mettant en œuvre d</w:t>
      </w:r>
      <w:r w:rsidR="009701D4" w:rsidRPr="001A2436">
        <w:rPr>
          <w:noProof/>
        </w:rPr>
        <w:t>’</w:t>
      </w:r>
      <w:r w:rsidRPr="001A2436">
        <w:rPr>
          <w:noProof/>
        </w:rPr>
        <w:t>importantes activités en matière de constitution de capacités en faveur des pays en développement et des pays en transition</w:t>
      </w:r>
      <w:r w:rsidRPr="001A2436">
        <w:rPr>
          <w:rStyle w:val="FootnoteReference"/>
          <w:noProof/>
          <w:szCs w:val="22"/>
        </w:rPr>
        <w:footnoteReference w:id="2"/>
      </w:r>
      <w:r w:rsidRPr="001A2436">
        <w:rPr>
          <w:noProof/>
        </w:rPr>
        <w:t>.</w:t>
      </w:r>
    </w:p>
    <w:p w:rsidR="008F0CBF" w:rsidRPr="001A2436" w:rsidRDefault="006F1B9C" w:rsidP="00BF33BC">
      <w:pPr>
        <w:pStyle w:val="ONUMFS"/>
        <w:ind w:right="-143"/>
        <w:rPr>
          <w:noProof/>
        </w:rPr>
      </w:pPr>
      <w:r w:rsidRPr="001A2436">
        <w:rPr>
          <w:noProof/>
        </w:rPr>
        <w:t>En outre, les recommandations du Plan d</w:t>
      </w:r>
      <w:r w:rsidR="009701D4" w:rsidRPr="001A2436">
        <w:rPr>
          <w:noProof/>
        </w:rPr>
        <w:t>’</w:t>
      </w:r>
      <w:r w:rsidRPr="001A2436">
        <w:rPr>
          <w:noProof/>
        </w:rPr>
        <w:t>action pour le développement préconisent le développement et l</w:t>
      </w:r>
      <w:r w:rsidR="009701D4" w:rsidRPr="001A2436">
        <w:rPr>
          <w:noProof/>
        </w:rPr>
        <w:t>’</w:t>
      </w:r>
      <w:r w:rsidRPr="001A2436">
        <w:rPr>
          <w:noProof/>
        </w:rPr>
        <w:t>amélioration des infrastructures et autres moyens, notamment ceux qui concernent les techniques de l</w:t>
      </w:r>
      <w:r w:rsidR="009701D4" w:rsidRPr="001A2436">
        <w:rPr>
          <w:noProof/>
        </w:rPr>
        <w:t>’</w:t>
      </w:r>
      <w:r w:rsidRPr="001A2436">
        <w:rPr>
          <w:noProof/>
        </w:rPr>
        <w:t>information et de la communication (TIC).  Sont en particulier pertinentes à cet égard les recommandations ci</w:t>
      </w:r>
      <w:r w:rsidR="009701D4" w:rsidRPr="001A2436">
        <w:rPr>
          <w:noProof/>
        </w:rPr>
        <w:t>-</w:t>
      </w:r>
      <w:r w:rsidRPr="001A2436">
        <w:rPr>
          <w:noProof/>
        </w:rPr>
        <w:t>après</w:t>
      </w:r>
      <w:r w:rsidR="009701D4" w:rsidRPr="001A2436">
        <w:rPr>
          <w:noProof/>
        </w:rPr>
        <w:t> :</w:t>
      </w:r>
    </w:p>
    <w:p w:rsidR="006F1B9C" w:rsidRPr="001A2436" w:rsidRDefault="006F1B9C" w:rsidP="00BF33BC">
      <w:pPr>
        <w:pStyle w:val="ONUMFS"/>
        <w:numPr>
          <w:ilvl w:val="0"/>
          <w:numId w:val="0"/>
        </w:numPr>
        <w:tabs>
          <w:tab w:val="left" w:pos="567"/>
        </w:tabs>
        <w:ind w:left="567" w:right="-143"/>
        <w:rPr>
          <w:noProof/>
        </w:rPr>
      </w:pPr>
      <w:r w:rsidRPr="001A2436">
        <w:rPr>
          <w:noProof/>
        </w:rPr>
        <w:t>“10. Aider les États membres à développer et à améliorer les capacités institutionnelles nationales en propriété intellectuelle par le développement des infrastructures et autres moyens en vue de renforcer l</w:t>
      </w:r>
      <w:r w:rsidR="009701D4" w:rsidRPr="001A2436">
        <w:rPr>
          <w:noProof/>
        </w:rPr>
        <w:t>’</w:t>
      </w:r>
      <w:r w:rsidRPr="001A2436">
        <w:rPr>
          <w:noProof/>
        </w:rPr>
        <w:t>efficacité des institutions nationales de propriété intellectuelle et de concilier protection de la propriété intellectuelle et préservation de l</w:t>
      </w:r>
      <w:r w:rsidR="009701D4" w:rsidRPr="001A2436">
        <w:rPr>
          <w:noProof/>
        </w:rPr>
        <w:t>’</w:t>
      </w:r>
      <w:r w:rsidRPr="001A2436">
        <w:rPr>
          <w:noProof/>
        </w:rPr>
        <w:t>intérêt génér</w:t>
      </w:r>
      <w:r w:rsidR="007C62FD" w:rsidRPr="001A2436">
        <w:rPr>
          <w:noProof/>
        </w:rPr>
        <w:t>al.  Ce</w:t>
      </w:r>
      <w:r w:rsidRPr="001A2436">
        <w:rPr>
          <w:noProof/>
        </w:rPr>
        <w:t>tte assistance technique devrait également être étendue aux organisations sous</w:t>
      </w:r>
      <w:r w:rsidR="009701D4" w:rsidRPr="001A2436">
        <w:rPr>
          <w:noProof/>
        </w:rPr>
        <w:t>-</w:t>
      </w:r>
      <w:r w:rsidRPr="001A2436">
        <w:rPr>
          <w:noProof/>
        </w:rPr>
        <w:t>régionales et régionales œuvrant dans le domaine de la propriété intellectuelle.</w:t>
      </w:r>
    </w:p>
    <w:p w:rsidR="006F1B9C" w:rsidRPr="001A2436" w:rsidRDefault="006F1B9C" w:rsidP="00BF33BC">
      <w:pPr>
        <w:pStyle w:val="ONUMFS"/>
        <w:numPr>
          <w:ilvl w:val="0"/>
          <w:numId w:val="0"/>
        </w:numPr>
        <w:tabs>
          <w:tab w:val="left" w:pos="567"/>
        </w:tabs>
        <w:ind w:left="567" w:right="-143"/>
        <w:rPr>
          <w:noProof/>
        </w:rPr>
      </w:pPr>
      <w:r w:rsidRPr="001A2436">
        <w:rPr>
          <w:noProof/>
        </w:rPr>
        <w:t>“24.</w:t>
      </w:r>
      <w:r w:rsidR="006D33C8" w:rsidRPr="001A2436">
        <w:rPr>
          <w:noProof/>
        </w:rPr>
        <w:t xml:space="preserve"> </w:t>
      </w:r>
      <w:r w:rsidRPr="001A2436">
        <w:rPr>
          <w:noProof/>
        </w:rPr>
        <w:t>Demander à l</w:t>
      </w:r>
      <w:r w:rsidR="009701D4" w:rsidRPr="001A2436">
        <w:rPr>
          <w:noProof/>
        </w:rPr>
        <w:t>’</w:t>
      </w:r>
      <w:r w:rsidRPr="001A2436">
        <w:rPr>
          <w:noProof/>
        </w:rPr>
        <w:t>OMPI, dans le cadre de son mandat, d</w:t>
      </w:r>
      <w:r w:rsidR="009701D4" w:rsidRPr="001A2436">
        <w:rPr>
          <w:noProof/>
        </w:rPr>
        <w:t>’</w:t>
      </w:r>
      <w:r w:rsidRPr="001A2436">
        <w:rPr>
          <w:noProof/>
        </w:rPr>
        <w:t>étendre la portée de ses activités visant à réduire la fracture numérique, conformément aux conclusions du Sommet mondial sur la société de l</w:t>
      </w:r>
      <w:r w:rsidR="009701D4" w:rsidRPr="001A2436">
        <w:rPr>
          <w:noProof/>
        </w:rPr>
        <w:t>’</w:t>
      </w:r>
      <w:r w:rsidRPr="001A2436">
        <w:rPr>
          <w:noProof/>
        </w:rPr>
        <w:t>information (SMSI), en prenant aussi en considération l</w:t>
      </w:r>
      <w:r w:rsidR="009701D4" w:rsidRPr="001A2436">
        <w:rPr>
          <w:noProof/>
        </w:rPr>
        <w:t>’</w:t>
      </w:r>
      <w:r w:rsidRPr="001A2436">
        <w:rPr>
          <w:noProof/>
        </w:rPr>
        <w:t>importance du Fonds de solidarité numérique (FSN)”.</w:t>
      </w:r>
    </w:p>
    <w:p w:rsidR="008F0CBF" w:rsidRPr="001A2436" w:rsidRDefault="006F1B9C" w:rsidP="00BF33BC">
      <w:pPr>
        <w:pStyle w:val="ONUMFS"/>
        <w:ind w:right="-143"/>
        <w:rPr>
          <w:noProof/>
          <w:shd w:val="clear" w:color="auto" w:fill="FFFFFF"/>
        </w:rPr>
      </w:pPr>
      <w:r w:rsidRPr="001A2436">
        <w:rPr>
          <w:noProof/>
          <w:shd w:val="clear" w:color="auto" w:fill="FFFFFF"/>
        </w:rPr>
        <w:t>Il convient en particulier, étant donné le lien étroit existant entre le Traité de coopération en matière de brevets (PCT) et le PLT, de prendre note des améliorations et solutions ci</w:t>
      </w:r>
      <w:r w:rsidR="009701D4" w:rsidRPr="001A2436">
        <w:rPr>
          <w:noProof/>
          <w:shd w:val="clear" w:color="auto" w:fill="FFFFFF"/>
        </w:rPr>
        <w:t>-</w:t>
      </w:r>
      <w:r w:rsidRPr="001A2436">
        <w:rPr>
          <w:noProof/>
          <w:shd w:val="clear" w:color="auto" w:fill="FFFFFF"/>
        </w:rPr>
        <w:t>après élaborées dans le cadre du PCT entre la précédente session ordinaire de l</w:t>
      </w:r>
      <w:r w:rsidR="009701D4" w:rsidRPr="001A2436">
        <w:rPr>
          <w:noProof/>
          <w:shd w:val="clear" w:color="auto" w:fill="FFFFFF"/>
        </w:rPr>
        <w:t>’</w:t>
      </w:r>
      <w:r w:rsidRPr="001A2436">
        <w:rPr>
          <w:noProof/>
          <w:shd w:val="clear" w:color="auto" w:fill="FFFFFF"/>
        </w:rPr>
        <w:t>Assemblée générale de l</w:t>
      </w:r>
      <w:r w:rsidR="009701D4" w:rsidRPr="001A2436">
        <w:rPr>
          <w:noProof/>
          <w:shd w:val="clear" w:color="auto" w:fill="FFFFFF"/>
        </w:rPr>
        <w:t>’</w:t>
      </w:r>
      <w:r w:rsidRPr="001A2436">
        <w:rPr>
          <w:noProof/>
          <w:shd w:val="clear" w:color="auto" w:fill="FFFFFF"/>
        </w:rPr>
        <w:t>OMPI, en 2013, et la fin du mois de mai 201</w:t>
      </w:r>
      <w:r w:rsidR="001412E0" w:rsidRPr="001A2436">
        <w:rPr>
          <w:noProof/>
          <w:shd w:val="clear" w:color="auto" w:fill="FFFFFF"/>
        </w:rPr>
        <w:t>7</w:t>
      </w:r>
      <w:r w:rsidRPr="001A2436">
        <w:rPr>
          <w:noProof/>
          <w:shd w:val="clear" w:color="auto" w:fill="FFFFFF"/>
        </w:rPr>
        <w:t xml:space="preserve">.  Étant donné que ces activités ont déjà été adoptées dans le cadre du PCT, leur mise en œuvre est envisageable à moyen et </w:t>
      </w:r>
      <w:r w:rsidR="007C62FD" w:rsidRPr="001A2436">
        <w:rPr>
          <w:noProof/>
          <w:shd w:val="clear" w:color="auto" w:fill="FFFFFF"/>
        </w:rPr>
        <w:t>à long terme</w:t>
      </w:r>
      <w:r w:rsidRPr="001A2436">
        <w:rPr>
          <w:noProof/>
          <w:shd w:val="clear" w:color="auto" w:fill="FFFFFF"/>
        </w:rPr>
        <w:t xml:space="preserve"> dans le cadre du PLT.</w:t>
      </w:r>
    </w:p>
    <w:p w:rsidR="008F0CBF" w:rsidRPr="001A2436" w:rsidRDefault="007F74AA" w:rsidP="00BF33BC">
      <w:pPr>
        <w:pStyle w:val="ONUMFS"/>
        <w:ind w:right="-143"/>
        <w:rPr>
          <w:noProof/>
          <w:shd w:val="clear" w:color="auto" w:fill="FFFFFF"/>
        </w:rPr>
      </w:pPr>
      <w:r w:rsidRPr="001A2436">
        <w:rPr>
          <w:noProof/>
          <w:shd w:val="clear" w:color="auto" w:fill="FFFFFF"/>
        </w:rPr>
        <w:t>Système ePCT</w:t>
      </w:r>
      <w:r w:rsidR="009701D4" w:rsidRPr="001A2436">
        <w:rPr>
          <w:noProof/>
          <w:shd w:val="clear" w:color="auto" w:fill="FFFFFF"/>
        </w:rPr>
        <w:t> :</w:t>
      </w:r>
      <w:r w:rsidRPr="001A2436">
        <w:rPr>
          <w:noProof/>
          <w:shd w:val="clear" w:color="auto" w:fill="FFFFFF"/>
        </w:rPr>
        <w:t xml:space="preserve"> le Bureau international a continué d</w:t>
      </w:r>
      <w:r w:rsidR="009701D4" w:rsidRPr="001A2436">
        <w:rPr>
          <w:noProof/>
          <w:shd w:val="clear" w:color="auto" w:fill="FFFFFF"/>
        </w:rPr>
        <w:t>’</w:t>
      </w:r>
      <w:r w:rsidRPr="001A2436">
        <w:rPr>
          <w:noProof/>
          <w:shd w:val="clear" w:color="auto" w:fill="FFFFFF"/>
        </w:rPr>
        <w:t>élaborer et de mettre en place le système e</w:t>
      </w:r>
      <w:r w:rsidR="007C62FD" w:rsidRPr="001A2436">
        <w:rPr>
          <w:noProof/>
          <w:shd w:val="clear" w:color="auto" w:fill="FFFFFF"/>
        </w:rPr>
        <w:t>PCT.  On</w:t>
      </w:r>
      <w:r w:rsidRPr="001A2436">
        <w:rPr>
          <w:noProof/>
          <w:shd w:val="clear" w:color="auto" w:fill="FFFFFF"/>
        </w:rPr>
        <w:t xml:space="preserve"> compte à présent plus de</w:t>
      </w:r>
      <w:r w:rsidR="008F0CBF" w:rsidRPr="001A2436">
        <w:rPr>
          <w:noProof/>
          <w:shd w:val="clear" w:color="auto" w:fill="FFFFFF"/>
        </w:rPr>
        <w:t xml:space="preserve"> </w:t>
      </w:r>
      <w:r w:rsidR="005E0B7F" w:rsidRPr="001A2436">
        <w:rPr>
          <w:noProof/>
          <w:shd w:val="clear" w:color="auto" w:fill="FFFFFF"/>
        </w:rPr>
        <w:t>34</w:t>
      </w:r>
      <w:r w:rsidRPr="001A2436">
        <w:rPr>
          <w:noProof/>
          <w:shd w:val="clear" w:color="auto" w:fill="FFFFFF"/>
        </w:rPr>
        <w:t> 000 utilisateurs enregistrés, issus de plus de 100 pays, qui utilisent le système ePCT pour déposer des demandes internationales ou assurer leur gestion ultérieu</w:t>
      </w:r>
      <w:r w:rsidR="007C62FD" w:rsidRPr="001A2436">
        <w:rPr>
          <w:noProof/>
          <w:shd w:val="clear" w:color="auto" w:fill="FFFFFF"/>
        </w:rPr>
        <w:t>re.  Le</w:t>
      </w:r>
      <w:r w:rsidRPr="001A2436">
        <w:rPr>
          <w:noProof/>
          <w:shd w:val="clear" w:color="auto" w:fill="FFFFFF"/>
        </w:rPr>
        <w:t xml:space="preserve"> système a également été mis à la disposition des offices nationaux ou régionaux, qui peuvent désormais accéder au service en leur qualité d</w:t>
      </w:r>
      <w:r w:rsidR="009701D4" w:rsidRPr="001A2436">
        <w:rPr>
          <w:noProof/>
          <w:shd w:val="clear" w:color="auto" w:fill="FFFFFF"/>
        </w:rPr>
        <w:t>’</w:t>
      </w:r>
      <w:r w:rsidRPr="001A2436">
        <w:rPr>
          <w:noProof/>
          <w:shd w:val="clear" w:color="auto" w:fill="FFFFFF"/>
        </w:rPr>
        <w:t>offices récepteurs, d</w:t>
      </w:r>
      <w:r w:rsidR="009701D4" w:rsidRPr="001A2436">
        <w:rPr>
          <w:noProof/>
          <w:shd w:val="clear" w:color="auto" w:fill="FFFFFF"/>
        </w:rPr>
        <w:t>’</w:t>
      </w:r>
      <w:r w:rsidRPr="001A2436">
        <w:rPr>
          <w:noProof/>
          <w:shd w:val="clear" w:color="auto" w:fill="FFFFFF"/>
        </w:rPr>
        <w:t>administrations chargées de la recherche internationale, d</w:t>
      </w:r>
      <w:r w:rsidR="009701D4" w:rsidRPr="001A2436">
        <w:rPr>
          <w:noProof/>
          <w:shd w:val="clear" w:color="auto" w:fill="FFFFFF"/>
        </w:rPr>
        <w:t>’</w:t>
      </w:r>
      <w:r w:rsidRPr="001A2436">
        <w:rPr>
          <w:noProof/>
          <w:shd w:val="clear" w:color="auto" w:fill="FFFFFF"/>
        </w:rPr>
        <w:t xml:space="preserve">administrations chargées de </w:t>
      </w:r>
      <w:r w:rsidRPr="001A2436">
        <w:rPr>
          <w:noProof/>
          <w:shd w:val="clear" w:color="auto" w:fill="FFFFFF"/>
        </w:rPr>
        <w:lastRenderedPageBreak/>
        <w:t>l</w:t>
      </w:r>
      <w:r w:rsidR="009701D4" w:rsidRPr="001A2436">
        <w:rPr>
          <w:noProof/>
          <w:shd w:val="clear" w:color="auto" w:fill="FFFFFF"/>
        </w:rPr>
        <w:t>’</w:t>
      </w:r>
      <w:r w:rsidRPr="001A2436">
        <w:rPr>
          <w:noProof/>
          <w:shd w:val="clear" w:color="auto" w:fill="FFFFFF"/>
        </w:rPr>
        <w:t>examen préliminaire international et d</w:t>
      </w:r>
      <w:r w:rsidR="009701D4" w:rsidRPr="001A2436">
        <w:rPr>
          <w:noProof/>
          <w:shd w:val="clear" w:color="auto" w:fill="FFFFFF"/>
        </w:rPr>
        <w:t>’</w:t>
      </w:r>
      <w:r w:rsidRPr="001A2436">
        <w:rPr>
          <w:noProof/>
          <w:shd w:val="clear" w:color="auto" w:fill="FFFFFF"/>
        </w:rPr>
        <w:t>offices désign</w:t>
      </w:r>
      <w:r w:rsidR="007C62FD" w:rsidRPr="001A2436">
        <w:rPr>
          <w:noProof/>
          <w:shd w:val="clear" w:color="auto" w:fill="FFFFFF"/>
        </w:rPr>
        <w:t xml:space="preserve">és.  À </w:t>
      </w:r>
      <w:r w:rsidRPr="001A2436">
        <w:rPr>
          <w:noProof/>
          <w:shd w:val="clear" w:color="auto" w:fill="FFFFFF"/>
        </w:rPr>
        <w:t>ce jour, les offices des pays et organisations régionales de brevets ci</w:t>
      </w:r>
      <w:r w:rsidR="009701D4" w:rsidRPr="001A2436">
        <w:rPr>
          <w:noProof/>
          <w:shd w:val="clear" w:color="auto" w:fill="FFFFFF"/>
        </w:rPr>
        <w:t>-</w:t>
      </w:r>
      <w:r w:rsidRPr="001A2436">
        <w:rPr>
          <w:noProof/>
          <w:shd w:val="clear" w:color="auto" w:fill="FFFFFF"/>
        </w:rPr>
        <w:t>après ont commencé à utiliser ces services supplémentaires</w:t>
      </w:r>
      <w:r w:rsidR="009701D4" w:rsidRPr="001A2436">
        <w:rPr>
          <w:noProof/>
          <w:shd w:val="clear" w:color="auto" w:fill="FFFFFF"/>
        </w:rPr>
        <w:t> :</w:t>
      </w:r>
      <w:r w:rsidRPr="001A2436">
        <w:rPr>
          <w:noProof/>
          <w:shd w:val="clear" w:color="auto" w:fill="FFFFFF"/>
        </w:rPr>
        <w:t xml:space="preserve"> </w:t>
      </w:r>
      <w:r w:rsidR="002516BE" w:rsidRPr="001A2436">
        <w:rPr>
          <w:noProof/>
          <w:shd w:val="clear" w:color="auto" w:fill="FFFFFF"/>
        </w:rPr>
        <w:t xml:space="preserve">Afrique du Sud, </w:t>
      </w:r>
      <w:r w:rsidR="005E0B7F" w:rsidRPr="001A2436">
        <w:rPr>
          <w:noProof/>
          <w:shd w:val="clear" w:color="auto" w:fill="FFFFFF"/>
        </w:rPr>
        <w:t>Alg</w:t>
      </w:r>
      <w:r w:rsidR="00C04E6B" w:rsidRPr="001A2436">
        <w:rPr>
          <w:noProof/>
          <w:shd w:val="clear" w:color="auto" w:fill="FFFFFF"/>
        </w:rPr>
        <w:t>érie</w:t>
      </w:r>
      <w:r w:rsidR="005E0B7F" w:rsidRPr="001A2436">
        <w:rPr>
          <w:noProof/>
          <w:shd w:val="clear" w:color="auto" w:fill="FFFFFF"/>
        </w:rPr>
        <w:t xml:space="preserve">, </w:t>
      </w:r>
      <w:r w:rsidR="00C04E6B" w:rsidRPr="001A2436">
        <w:rPr>
          <w:noProof/>
          <w:shd w:val="clear" w:color="auto" w:fill="FFFFFF"/>
        </w:rPr>
        <w:t xml:space="preserve">Allemagne, </w:t>
      </w:r>
      <w:r w:rsidR="009701D4" w:rsidRPr="001A2436">
        <w:rPr>
          <w:noProof/>
          <w:shd w:val="clear" w:color="auto" w:fill="FFFFFF"/>
        </w:rPr>
        <w:t>Arabie saoudite</w:t>
      </w:r>
      <w:r w:rsidR="00C04E6B" w:rsidRPr="001A2436">
        <w:rPr>
          <w:noProof/>
          <w:shd w:val="clear" w:color="auto" w:fill="FFFFFF"/>
        </w:rPr>
        <w:t xml:space="preserve">, </w:t>
      </w:r>
      <w:r w:rsidR="005E0B7F" w:rsidRPr="001A2436">
        <w:rPr>
          <w:noProof/>
          <w:shd w:val="clear" w:color="auto" w:fill="FFFFFF"/>
        </w:rPr>
        <w:t>Australi</w:t>
      </w:r>
      <w:r w:rsidR="00C04E6B" w:rsidRPr="001A2436">
        <w:rPr>
          <w:noProof/>
          <w:shd w:val="clear" w:color="auto" w:fill="FFFFFF"/>
        </w:rPr>
        <w:t>e</w:t>
      </w:r>
      <w:r w:rsidR="005E0B7F" w:rsidRPr="001A2436">
        <w:rPr>
          <w:noProof/>
          <w:shd w:val="clear" w:color="auto" w:fill="FFFFFF"/>
        </w:rPr>
        <w:t>, Au</w:t>
      </w:r>
      <w:r w:rsidR="00C04E6B" w:rsidRPr="001A2436">
        <w:rPr>
          <w:noProof/>
          <w:shd w:val="clear" w:color="auto" w:fill="FFFFFF"/>
        </w:rPr>
        <w:t>triche</w:t>
      </w:r>
      <w:r w:rsidR="005E0B7F" w:rsidRPr="001A2436">
        <w:rPr>
          <w:noProof/>
          <w:shd w:val="clear" w:color="auto" w:fill="FFFFFF"/>
        </w:rPr>
        <w:t>, Azerba</w:t>
      </w:r>
      <w:r w:rsidR="00C04E6B" w:rsidRPr="001A2436">
        <w:rPr>
          <w:noProof/>
          <w:shd w:val="clear" w:color="auto" w:fill="FFFFFF"/>
        </w:rPr>
        <w:t>ïd</w:t>
      </w:r>
      <w:r w:rsidR="005E0B7F" w:rsidRPr="001A2436">
        <w:rPr>
          <w:noProof/>
          <w:shd w:val="clear" w:color="auto" w:fill="FFFFFF"/>
        </w:rPr>
        <w:t>jan, Belgi</w:t>
      </w:r>
      <w:r w:rsidR="00C04E6B" w:rsidRPr="001A2436">
        <w:rPr>
          <w:noProof/>
          <w:shd w:val="clear" w:color="auto" w:fill="FFFFFF"/>
        </w:rPr>
        <w:t>que, Brésil</w:t>
      </w:r>
      <w:r w:rsidR="005E0B7F" w:rsidRPr="001A2436">
        <w:rPr>
          <w:noProof/>
          <w:shd w:val="clear" w:color="auto" w:fill="FFFFFF"/>
        </w:rPr>
        <w:t>, Brun</w:t>
      </w:r>
      <w:r w:rsidR="00C04E6B" w:rsidRPr="001A2436">
        <w:rPr>
          <w:noProof/>
          <w:shd w:val="clear" w:color="auto" w:fill="FFFFFF"/>
        </w:rPr>
        <w:t>é</w:t>
      </w:r>
      <w:r w:rsidR="005E0B7F" w:rsidRPr="001A2436">
        <w:rPr>
          <w:noProof/>
          <w:shd w:val="clear" w:color="auto" w:fill="FFFFFF"/>
        </w:rPr>
        <w:t>i Darussalam, Bulgari</w:t>
      </w:r>
      <w:r w:rsidR="00C04E6B" w:rsidRPr="001A2436">
        <w:rPr>
          <w:noProof/>
          <w:shd w:val="clear" w:color="auto" w:fill="FFFFFF"/>
        </w:rPr>
        <w:t>e</w:t>
      </w:r>
      <w:r w:rsidR="005E0B7F" w:rsidRPr="001A2436">
        <w:rPr>
          <w:noProof/>
          <w:shd w:val="clear" w:color="auto" w:fill="FFFFFF"/>
        </w:rPr>
        <w:t>, Canada, Chil</w:t>
      </w:r>
      <w:r w:rsidR="00C04E6B" w:rsidRPr="001A2436">
        <w:rPr>
          <w:noProof/>
          <w:shd w:val="clear" w:color="auto" w:fill="FFFFFF"/>
        </w:rPr>
        <w:t>i</w:t>
      </w:r>
      <w:r w:rsidR="005E0B7F" w:rsidRPr="001A2436">
        <w:rPr>
          <w:noProof/>
          <w:shd w:val="clear" w:color="auto" w:fill="FFFFFF"/>
        </w:rPr>
        <w:t>, Chin</w:t>
      </w:r>
      <w:r w:rsidR="00C04E6B" w:rsidRPr="001A2436">
        <w:rPr>
          <w:noProof/>
          <w:shd w:val="clear" w:color="auto" w:fill="FFFFFF"/>
        </w:rPr>
        <w:t>e</w:t>
      </w:r>
      <w:r w:rsidR="005E0B7F" w:rsidRPr="001A2436">
        <w:rPr>
          <w:noProof/>
          <w:shd w:val="clear" w:color="auto" w:fill="FFFFFF"/>
        </w:rPr>
        <w:t>, Colombi</w:t>
      </w:r>
      <w:r w:rsidR="00C04E6B" w:rsidRPr="001A2436">
        <w:rPr>
          <w:noProof/>
          <w:shd w:val="clear" w:color="auto" w:fill="FFFFFF"/>
        </w:rPr>
        <w:t>e</w:t>
      </w:r>
      <w:r w:rsidR="005E0B7F" w:rsidRPr="001A2436">
        <w:rPr>
          <w:noProof/>
          <w:shd w:val="clear" w:color="auto" w:fill="FFFFFF"/>
        </w:rPr>
        <w:t>, Comor</w:t>
      </w:r>
      <w:r w:rsidR="00C04E6B" w:rsidRPr="001A2436">
        <w:rPr>
          <w:noProof/>
          <w:shd w:val="clear" w:color="auto" w:fill="FFFFFF"/>
        </w:rPr>
        <w:t>e</w:t>
      </w:r>
      <w:r w:rsidR="005E0B7F" w:rsidRPr="001A2436">
        <w:rPr>
          <w:noProof/>
          <w:shd w:val="clear" w:color="auto" w:fill="FFFFFF"/>
        </w:rPr>
        <w:t>s, Cuba, D</w:t>
      </w:r>
      <w:r w:rsidR="00C04E6B" w:rsidRPr="001A2436">
        <w:rPr>
          <w:noProof/>
          <w:shd w:val="clear" w:color="auto" w:fill="FFFFFF"/>
        </w:rPr>
        <w:t>a</w:t>
      </w:r>
      <w:r w:rsidR="005E0B7F" w:rsidRPr="001A2436">
        <w:rPr>
          <w:noProof/>
          <w:shd w:val="clear" w:color="auto" w:fill="FFFFFF"/>
        </w:rPr>
        <w:t>n</w:t>
      </w:r>
      <w:r w:rsidR="00C04E6B" w:rsidRPr="001A2436">
        <w:rPr>
          <w:noProof/>
          <w:shd w:val="clear" w:color="auto" w:fill="FFFFFF"/>
        </w:rPr>
        <w:t>e</w:t>
      </w:r>
      <w:r w:rsidR="005E0B7F" w:rsidRPr="001A2436">
        <w:rPr>
          <w:noProof/>
          <w:shd w:val="clear" w:color="auto" w:fill="FFFFFF"/>
        </w:rPr>
        <w:t xml:space="preserve">mark, </w:t>
      </w:r>
      <w:r w:rsidR="00C04E6B" w:rsidRPr="001A2436">
        <w:rPr>
          <w:noProof/>
          <w:shd w:val="clear" w:color="auto" w:fill="FFFFFF"/>
        </w:rPr>
        <w:t>Égypte, Équateur</w:t>
      </w:r>
      <w:r w:rsidR="005E0B7F" w:rsidRPr="001A2436">
        <w:rPr>
          <w:noProof/>
          <w:shd w:val="clear" w:color="auto" w:fill="FFFFFF"/>
        </w:rPr>
        <w:t xml:space="preserve">, </w:t>
      </w:r>
      <w:r w:rsidR="002516BE" w:rsidRPr="001A2436">
        <w:rPr>
          <w:noProof/>
          <w:shd w:val="clear" w:color="auto" w:fill="FFFFFF"/>
        </w:rPr>
        <w:t xml:space="preserve">Espagne, </w:t>
      </w:r>
      <w:r w:rsidR="00C04E6B" w:rsidRPr="001A2436">
        <w:rPr>
          <w:noProof/>
          <w:shd w:val="clear" w:color="auto" w:fill="FFFFFF"/>
        </w:rPr>
        <w:t>Estonie</w:t>
      </w:r>
      <w:r w:rsidR="005E0B7F" w:rsidRPr="001A2436">
        <w:rPr>
          <w:noProof/>
          <w:shd w:val="clear" w:color="auto" w:fill="FFFFFF"/>
        </w:rPr>
        <w:t xml:space="preserve">, </w:t>
      </w:r>
      <w:r w:rsidR="002516BE" w:rsidRPr="001A2436">
        <w:rPr>
          <w:noProof/>
          <w:shd w:val="clear" w:color="auto" w:fill="FFFFFF"/>
        </w:rPr>
        <w:t>États</w:t>
      </w:r>
      <w:r w:rsidR="009701D4" w:rsidRPr="001A2436">
        <w:rPr>
          <w:noProof/>
          <w:shd w:val="clear" w:color="auto" w:fill="FFFFFF"/>
        </w:rPr>
        <w:t>-</w:t>
      </w:r>
      <w:r w:rsidR="002516BE" w:rsidRPr="001A2436">
        <w:rPr>
          <w:noProof/>
          <w:shd w:val="clear" w:color="auto" w:fill="FFFFFF"/>
        </w:rPr>
        <w:t>Unis d</w:t>
      </w:r>
      <w:r w:rsidR="009701D4" w:rsidRPr="001A2436">
        <w:rPr>
          <w:noProof/>
          <w:shd w:val="clear" w:color="auto" w:fill="FFFFFF"/>
        </w:rPr>
        <w:t>’</w:t>
      </w:r>
      <w:r w:rsidR="002516BE" w:rsidRPr="001A2436">
        <w:rPr>
          <w:noProof/>
          <w:shd w:val="clear" w:color="auto" w:fill="FFFFFF"/>
        </w:rPr>
        <w:t xml:space="preserve">Amérique, </w:t>
      </w:r>
      <w:r w:rsidR="00C04E6B" w:rsidRPr="001A2436">
        <w:rPr>
          <w:noProof/>
          <w:shd w:val="clear" w:color="auto" w:fill="FFFFFF"/>
        </w:rPr>
        <w:t xml:space="preserve">Fédération de Russie, </w:t>
      </w:r>
      <w:r w:rsidR="005E0B7F" w:rsidRPr="001A2436">
        <w:rPr>
          <w:noProof/>
          <w:shd w:val="clear" w:color="auto" w:fill="FFFFFF"/>
        </w:rPr>
        <w:t>Finland</w:t>
      </w:r>
      <w:r w:rsidR="00C04E6B" w:rsidRPr="001A2436">
        <w:rPr>
          <w:noProof/>
          <w:shd w:val="clear" w:color="auto" w:fill="FFFFFF"/>
        </w:rPr>
        <w:t>e</w:t>
      </w:r>
      <w:r w:rsidR="005E0B7F" w:rsidRPr="001A2436">
        <w:rPr>
          <w:noProof/>
          <w:shd w:val="clear" w:color="auto" w:fill="FFFFFF"/>
        </w:rPr>
        <w:t>, France, G</w:t>
      </w:r>
      <w:r w:rsidR="00C04E6B" w:rsidRPr="001A2436">
        <w:rPr>
          <w:noProof/>
          <w:shd w:val="clear" w:color="auto" w:fill="FFFFFF"/>
        </w:rPr>
        <w:t>é</w:t>
      </w:r>
      <w:r w:rsidR="005E0B7F" w:rsidRPr="001A2436">
        <w:rPr>
          <w:noProof/>
          <w:shd w:val="clear" w:color="auto" w:fill="FFFFFF"/>
        </w:rPr>
        <w:t>orgi</w:t>
      </w:r>
      <w:r w:rsidR="00C04E6B" w:rsidRPr="001A2436">
        <w:rPr>
          <w:noProof/>
          <w:shd w:val="clear" w:color="auto" w:fill="FFFFFF"/>
        </w:rPr>
        <w:t>e</w:t>
      </w:r>
      <w:r w:rsidR="005E0B7F" w:rsidRPr="001A2436">
        <w:rPr>
          <w:noProof/>
          <w:shd w:val="clear" w:color="auto" w:fill="FFFFFF"/>
        </w:rPr>
        <w:t xml:space="preserve">, </w:t>
      </w:r>
      <w:r w:rsidR="00C04E6B" w:rsidRPr="001A2436">
        <w:rPr>
          <w:noProof/>
          <w:shd w:val="clear" w:color="auto" w:fill="FFFFFF"/>
        </w:rPr>
        <w:t>Grèce</w:t>
      </w:r>
      <w:r w:rsidR="005E0B7F" w:rsidRPr="001A2436">
        <w:rPr>
          <w:noProof/>
          <w:shd w:val="clear" w:color="auto" w:fill="FFFFFF"/>
        </w:rPr>
        <w:t xml:space="preserve">, </w:t>
      </w:r>
      <w:r w:rsidR="00C04E6B" w:rsidRPr="001A2436">
        <w:rPr>
          <w:noProof/>
          <w:shd w:val="clear" w:color="auto" w:fill="FFFFFF"/>
        </w:rPr>
        <w:t>Hongrie</w:t>
      </w:r>
      <w:r w:rsidR="005E0B7F" w:rsidRPr="001A2436">
        <w:rPr>
          <w:noProof/>
          <w:shd w:val="clear" w:color="auto" w:fill="FFFFFF"/>
        </w:rPr>
        <w:t xml:space="preserve">, </w:t>
      </w:r>
      <w:r w:rsidR="00C04E6B" w:rsidRPr="001A2436">
        <w:rPr>
          <w:noProof/>
          <w:shd w:val="clear" w:color="auto" w:fill="FFFFFF"/>
        </w:rPr>
        <w:t xml:space="preserve">Inde, Indonésie, </w:t>
      </w:r>
      <w:r w:rsidR="002516BE" w:rsidRPr="001A2436">
        <w:rPr>
          <w:noProof/>
          <w:shd w:val="clear" w:color="auto" w:fill="FFFFFF"/>
        </w:rPr>
        <w:t xml:space="preserve">Institut des brevets de Visegrad, </w:t>
      </w:r>
      <w:r w:rsidR="00C04E6B" w:rsidRPr="001A2436">
        <w:rPr>
          <w:noProof/>
          <w:shd w:val="clear" w:color="auto" w:fill="FFFFFF"/>
        </w:rPr>
        <w:t>Institut nordique des brevets, Iran (République islamique d</w:t>
      </w:r>
      <w:r w:rsidR="009701D4" w:rsidRPr="001A2436">
        <w:rPr>
          <w:noProof/>
          <w:shd w:val="clear" w:color="auto" w:fill="FFFFFF"/>
        </w:rPr>
        <w:t>’</w:t>
      </w:r>
      <w:r w:rsidR="00C04E6B" w:rsidRPr="001A2436">
        <w:rPr>
          <w:noProof/>
          <w:shd w:val="clear" w:color="auto" w:fill="FFFFFF"/>
        </w:rPr>
        <w:t xml:space="preserve">), </w:t>
      </w:r>
      <w:r w:rsidR="005E0B7F" w:rsidRPr="001A2436">
        <w:rPr>
          <w:noProof/>
          <w:shd w:val="clear" w:color="auto" w:fill="FFFFFF"/>
        </w:rPr>
        <w:t>I</w:t>
      </w:r>
      <w:r w:rsidR="00C04E6B" w:rsidRPr="001A2436">
        <w:rPr>
          <w:noProof/>
          <w:shd w:val="clear" w:color="auto" w:fill="FFFFFF"/>
        </w:rPr>
        <w:t>s</w:t>
      </w:r>
      <w:r w:rsidR="005E0B7F" w:rsidRPr="001A2436">
        <w:rPr>
          <w:noProof/>
          <w:shd w:val="clear" w:color="auto" w:fill="FFFFFF"/>
        </w:rPr>
        <w:t>land</w:t>
      </w:r>
      <w:r w:rsidR="00C04E6B" w:rsidRPr="001A2436">
        <w:rPr>
          <w:noProof/>
          <w:shd w:val="clear" w:color="auto" w:fill="FFFFFF"/>
        </w:rPr>
        <w:t>e</w:t>
      </w:r>
      <w:r w:rsidR="005E0B7F" w:rsidRPr="001A2436">
        <w:rPr>
          <w:noProof/>
          <w:shd w:val="clear" w:color="auto" w:fill="FFFFFF"/>
        </w:rPr>
        <w:t>, Isra</w:t>
      </w:r>
      <w:r w:rsidR="00C04E6B" w:rsidRPr="001A2436">
        <w:rPr>
          <w:noProof/>
          <w:shd w:val="clear" w:color="auto" w:fill="FFFFFF"/>
        </w:rPr>
        <w:t>ë</w:t>
      </w:r>
      <w:r w:rsidR="005E0B7F" w:rsidRPr="001A2436">
        <w:rPr>
          <w:noProof/>
          <w:shd w:val="clear" w:color="auto" w:fill="FFFFFF"/>
        </w:rPr>
        <w:t>l, Ital</w:t>
      </w:r>
      <w:r w:rsidR="00C04E6B" w:rsidRPr="001A2436">
        <w:rPr>
          <w:noProof/>
          <w:shd w:val="clear" w:color="auto" w:fill="FFFFFF"/>
        </w:rPr>
        <w:t>ie</w:t>
      </w:r>
      <w:r w:rsidR="005E0B7F" w:rsidRPr="001A2436">
        <w:rPr>
          <w:noProof/>
          <w:shd w:val="clear" w:color="auto" w:fill="FFFFFF"/>
        </w:rPr>
        <w:t xml:space="preserve">, </w:t>
      </w:r>
      <w:r w:rsidR="00C04E6B" w:rsidRPr="001A2436">
        <w:rPr>
          <w:noProof/>
          <w:shd w:val="clear" w:color="auto" w:fill="FFFFFF"/>
        </w:rPr>
        <w:t>Japon</w:t>
      </w:r>
      <w:r w:rsidR="005E0B7F" w:rsidRPr="001A2436">
        <w:rPr>
          <w:noProof/>
          <w:shd w:val="clear" w:color="auto" w:fill="FFFFFF"/>
        </w:rPr>
        <w:t>, Kenya, L</w:t>
      </w:r>
      <w:r w:rsidR="00C04E6B" w:rsidRPr="001A2436">
        <w:rPr>
          <w:noProof/>
          <w:shd w:val="clear" w:color="auto" w:fill="FFFFFF"/>
        </w:rPr>
        <w:t>ettonie, Lituanie</w:t>
      </w:r>
      <w:r w:rsidR="007C62FD" w:rsidRPr="001A2436">
        <w:rPr>
          <w:noProof/>
          <w:shd w:val="clear" w:color="auto" w:fill="FFFFFF"/>
        </w:rPr>
        <w:t>,</w:t>
      </w:r>
      <w:r w:rsidR="00C04E6B" w:rsidRPr="001A2436">
        <w:rPr>
          <w:noProof/>
          <w:shd w:val="clear" w:color="auto" w:fill="FFFFFF"/>
        </w:rPr>
        <w:t xml:space="preserve"> Malai</w:t>
      </w:r>
      <w:r w:rsidR="005E0B7F" w:rsidRPr="001A2436">
        <w:rPr>
          <w:noProof/>
          <w:shd w:val="clear" w:color="auto" w:fill="FFFFFF"/>
        </w:rPr>
        <w:t>si</w:t>
      </w:r>
      <w:r w:rsidR="00C04E6B" w:rsidRPr="001A2436">
        <w:rPr>
          <w:noProof/>
          <w:shd w:val="clear" w:color="auto" w:fill="FFFFFF"/>
        </w:rPr>
        <w:t>e</w:t>
      </w:r>
      <w:r w:rsidR="005E0B7F" w:rsidRPr="001A2436">
        <w:rPr>
          <w:noProof/>
          <w:shd w:val="clear" w:color="auto" w:fill="FFFFFF"/>
        </w:rPr>
        <w:t xml:space="preserve">, </w:t>
      </w:r>
      <w:r w:rsidR="00C04E6B" w:rsidRPr="001A2436">
        <w:rPr>
          <w:noProof/>
          <w:shd w:val="clear" w:color="auto" w:fill="FFFFFF"/>
        </w:rPr>
        <w:t xml:space="preserve">Maroc, </w:t>
      </w:r>
      <w:r w:rsidR="005E0B7F" w:rsidRPr="001A2436">
        <w:rPr>
          <w:noProof/>
          <w:shd w:val="clear" w:color="auto" w:fill="FFFFFF"/>
        </w:rPr>
        <w:t>Mexi</w:t>
      </w:r>
      <w:r w:rsidR="00C04E6B" w:rsidRPr="001A2436">
        <w:rPr>
          <w:noProof/>
          <w:shd w:val="clear" w:color="auto" w:fill="FFFFFF"/>
        </w:rPr>
        <w:t>que</w:t>
      </w:r>
      <w:r w:rsidR="005E0B7F" w:rsidRPr="001A2436">
        <w:rPr>
          <w:noProof/>
          <w:shd w:val="clear" w:color="auto" w:fill="FFFFFF"/>
        </w:rPr>
        <w:t xml:space="preserve">, Nicaragua, </w:t>
      </w:r>
      <w:r w:rsidR="00C04E6B" w:rsidRPr="001A2436">
        <w:rPr>
          <w:noProof/>
          <w:shd w:val="clear" w:color="auto" w:fill="FFFFFF"/>
        </w:rPr>
        <w:t>Norvège, Nouvelle</w:t>
      </w:r>
      <w:r w:rsidR="009701D4" w:rsidRPr="001A2436">
        <w:rPr>
          <w:noProof/>
          <w:shd w:val="clear" w:color="auto" w:fill="FFFFFF"/>
        </w:rPr>
        <w:t>-</w:t>
      </w:r>
      <w:r w:rsidR="00C04E6B" w:rsidRPr="001A2436">
        <w:rPr>
          <w:noProof/>
          <w:shd w:val="clear" w:color="auto" w:fill="FFFFFF"/>
        </w:rPr>
        <w:t xml:space="preserve">Zélande, Office européen des brevets, </w:t>
      </w:r>
      <w:r w:rsidR="005E0B7F" w:rsidRPr="001A2436">
        <w:rPr>
          <w:noProof/>
          <w:shd w:val="clear" w:color="auto" w:fill="FFFFFF"/>
        </w:rPr>
        <w:t xml:space="preserve">Oman, </w:t>
      </w:r>
      <w:r w:rsidR="00C04E6B" w:rsidRPr="001A2436">
        <w:rPr>
          <w:noProof/>
          <w:shd w:val="clear" w:color="auto" w:fill="FFFFFF"/>
        </w:rPr>
        <w:t xml:space="preserve">Organisation eurasienne des brevets, </w:t>
      </w:r>
      <w:r w:rsidR="005E0B7F" w:rsidRPr="001A2436">
        <w:rPr>
          <w:noProof/>
          <w:shd w:val="clear" w:color="auto" w:fill="FFFFFF"/>
        </w:rPr>
        <w:t xml:space="preserve">Panama, </w:t>
      </w:r>
      <w:r w:rsidR="00C04E6B" w:rsidRPr="001A2436">
        <w:rPr>
          <w:noProof/>
          <w:shd w:val="clear" w:color="auto" w:fill="FFFFFF"/>
        </w:rPr>
        <w:t>Pays</w:t>
      </w:r>
      <w:r w:rsidR="009701D4" w:rsidRPr="001A2436">
        <w:rPr>
          <w:noProof/>
          <w:shd w:val="clear" w:color="auto" w:fill="FFFFFF"/>
        </w:rPr>
        <w:t>-</w:t>
      </w:r>
      <w:r w:rsidR="00C04E6B" w:rsidRPr="001A2436">
        <w:rPr>
          <w:noProof/>
          <w:shd w:val="clear" w:color="auto" w:fill="FFFFFF"/>
        </w:rPr>
        <w:t xml:space="preserve">Bas, </w:t>
      </w:r>
      <w:r w:rsidR="005E0B7F" w:rsidRPr="001A2436">
        <w:rPr>
          <w:noProof/>
          <w:shd w:val="clear" w:color="auto" w:fill="FFFFFF"/>
        </w:rPr>
        <w:t>P</w:t>
      </w:r>
      <w:r w:rsidR="00C04E6B" w:rsidRPr="001A2436">
        <w:rPr>
          <w:noProof/>
          <w:shd w:val="clear" w:color="auto" w:fill="FFFFFF"/>
        </w:rPr>
        <w:t>érou</w:t>
      </w:r>
      <w:r w:rsidR="005E0B7F" w:rsidRPr="001A2436">
        <w:rPr>
          <w:noProof/>
          <w:shd w:val="clear" w:color="auto" w:fill="FFFFFF"/>
        </w:rPr>
        <w:t>, Philippines, Pol</w:t>
      </w:r>
      <w:r w:rsidR="00C04E6B" w:rsidRPr="001A2436">
        <w:rPr>
          <w:noProof/>
          <w:shd w:val="clear" w:color="auto" w:fill="FFFFFF"/>
        </w:rPr>
        <w:t>ogne</w:t>
      </w:r>
      <w:r w:rsidR="005E0B7F" w:rsidRPr="001A2436">
        <w:rPr>
          <w:noProof/>
          <w:shd w:val="clear" w:color="auto" w:fill="FFFFFF"/>
        </w:rPr>
        <w:t xml:space="preserve">, Portugal, Qatar, </w:t>
      </w:r>
      <w:r w:rsidR="00C04E6B" w:rsidRPr="001A2436">
        <w:rPr>
          <w:noProof/>
          <w:shd w:val="clear" w:color="auto" w:fill="FFFFFF"/>
        </w:rPr>
        <w:t>République de Corée</w:t>
      </w:r>
      <w:r w:rsidR="005E0B7F" w:rsidRPr="001A2436">
        <w:rPr>
          <w:noProof/>
          <w:shd w:val="clear" w:color="auto" w:fill="FFFFFF"/>
        </w:rPr>
        <w:t xml:space="preserve">, </w:t>
      </w:r>
      <w:r w:rsidR="00C04E6B" w:rsidRPr="001A2436">
        <w:rPr>
          <w:noProof/>
          <w:shd w:val="clear" w:color="auto" w:fill="FFFFFF"/>
        </w:rPr>
        <w:t xml:space="preserve">République dominicaine, République tchèque, </w:t>
      </w:r>
      <w:r w:rsidR="002516BE" w:rsidRPr="001A2436">
        <w:rPr>
          <w:noProof/>
          <w:shd w:val="clear" w:color="auto" w:fill="FFFFFF"/>
        </w:rPr>
        <w:t>Royaume</w:t>
      </w:r>
      <w:r w:rsidR="009701D4" w:rsidRPr="001A2436">
        <w:rPr>
          <w:noProof/>
          <w:shd w:val="clear" w:color="auto" w:fill="FFFFFF"/>
        </w:rPr>
        <w:t>-</w:t>
      </w:r>
      <w:r w:rsidR="002516BE" w:rsidRPr="001A2436">
        <w:rPr>
          <w:noProof/>
          <w:shd w:val="clear" w:color="auto" w:fill="FFFFFF"/>
        </w:rPr>
        <w:t xml:space="preserve">Uni, </w:t>
      </w:r>
      <w:r w:rsidR="005E0B7F" w:rsidRPr="001A2436">
        <w:rPr>
          <w:noProof/>
          <w:shd w:val="clear" w:color="auto" w:fill="FFFFFF"/>
        </w:rPr>
        <w:t>Singapo</w:t>
      </w:r>
      <w:r w:rsidR="00C04E6B" w:rsidRPr="001A2436">
        <w:rPr>
          <w:noProof/>
          <w:shd w:val="clear" w:color="auto" w:fill="FFFFFF"/>
        </w:rPr>
        <w:t>u</w:t>
      </w:r>
      <w:r w:rsidR="005E0B7F" w:rsidRPr="001A2436">
        <w:rPr>
          <w:noProof/>
          <w:shd w:val="clear" w:color="auto" w:fill="FFFFFF"/>
        </w:rPr>
        <w:t xml:space="preserve">r, </w:t>
      </w:r>
      <w:r w:rsidR="00C04E6B" w:rsidRPr="001A2436">
        <w:rPr>
          <w:noProof/>
          <w:shd w:val="clear" w:color="auto" w:fill="FFFFFF"/>
        </w:rPr>
        <w:t xml:space="preserve">Slovaquie, </w:t>
      </w:r>
      <w:r w:rsidR="005E0B7F" w:rsidRPr="001A2436">
        <w:rPr>
          <w:noProof/>
          <w:shd w:val="clear" w:color="auto" w:fill="FFFFFF"/>
        </w:rPr>
        <w:t>Slov</w:t>
      </w:r>
      <w:r w:rsidR="00C04E6B" w:rsidRPr="001A2436">
        <w:rPr>
          <w:noProof/>
          <w:shd w:val="clear" w:color="auto" w:fill="FFFFFF"/>
        </w:rPr>
        <w:t>é</w:t>
      </w:r>
      <w:r w:rsidR="005E0B7F" w:rsidRPr="001A2436">
        <w:rPr>
          <w:noProof/>
          <w:shd w:val="clear" w:color="auto" w:fill="FFFFFF"/>
        </w:rPr>
        <w:t>ni</w:t>
      </w:r>
      <w:r w:rsidR="00C04E6B" w:rsidRPr="001A2436">
        <w:rPr>
          <w:noProof/>
          <w:shd w:val="clear" w:color="auto" w:fill="FFFFFF"/>
        </w:rPr>
        <w:t>e</w:t>
      </w:r>
      <w:r w:rsidR="005E0B7F" w:rsidRPr="001A2436">
        <w:rPr>
          <w:noProof/>
          <w:shd w:val="clear" w:color="auto" w:fill="FFFFFF"/>
        </w:rPr>
        <w:t xml:space="preserve">, </w:t>
      </w:r>
      <w:r w:rsidR="002516BE" w:rsidRPr="001A2436">
        <w:rPr>
          <w:noProof/>
          <w:shd w:val="clear" w:color="auto" w:fill="FFFFFF"/>
        </w:rPr>
        <w:t>Suède, Suisse, Thaïlande, Turquie</w:t>
      </w:r>
      <w:r w:rsidR="005E0B7F" w:rsidRPr="001A2436">
        <w:rPr>
          <w:noProof/>
          <w:shd w:val="clear" w:color="auto" w:fill="FFFFFF"/>
        </w:rPr>
        <w:t>, Ukraine</w:t>
      </w:r>
      <w:r w:rsidR="002516BE" w:rsidRPr="001A2436">
        <w:rPr>
          <w:noProof/>
          <w:shd w:val="clear" w:color="auto" w:fill="FFFFFF"/>
        </w:rPr>
        <w:t xml:space="preserve"> et</w:t>
      </w:r>
      <w:r w:rsidR="005E0B7F" w:rsidRPr="001A2436">
        <w:rPr>
          <w:noProof/>
          <w:shd w:val="clear" w:color="auto" w:fill="FFFFFF"/>
        </w:rPr>
        <w:t xml:space="preserve"> Visegrad Patent Institu</w:t>
      </w:r>
      <w:r w:rsidR="007C62FD" w:rsidRPr="001A2436">
        <w:rPr>
          <w:noProof/>
          <w:shd w:val="clear" w:color="auto" w:fill="FFFFFF"/>
        </w:rPr>
        <w:t>te.  Pa</w:t>
      </w:r>
      <w:r w:rsidRPr="001A2436">
        <w:rPr>
          <w:noProof/>
          <w:shd w:val="clear" w:color="auto" w:fill="FFFFFF"/>
        </w:rPr>
        <w:t>r ailleurs, un système de dépôt en ligne, le système de dépôt ePCT, qui est destiné à remplacer PCT</w:t>
      </w:r>
      <w:r w:rsidR="009701D4" w:rsidRPr="001A2436">
        <w:rPr>
          <w:noProof/>
          <w:shd w:val="clear" w:color="auto" w:fill="FFFFFF"/>
        </w:rPr>
        <w:t>-</w:t>
      </w:r>
      <w:r w:rsidRPr="001A2436">
        <w:rPr>
          <w:noProof/>
          <w:shd w:val="clear" w:color="auto" w:fill="FFFFFF"/>
        </w:rPr>
        <w:t>SAFE et qui permet à tous les offices d</w:t>
      </w:r>
      <w:r w:rsidR="009701D4" w:rsidRPr="001A2436">
        <w:rPr>
          <w:noProof/>
          <w:shd w:val="clear" w:color="auto" w:fill="FFFFFF"/>
        </w:rPr>
        <w:t>’</w:t>
      </w:r>
      <w:r w:rsidRPr="001A2436">
        <w:rPr>
          <w:noProof/>
          <w:shd w:val="clear" w:color="auto" w:fill="FFFFFF"/>
        </w:rPr>
        <w:t>offrir aux déposants une solution de dépôt électronique,</w:t>
      </w:r>
      <w:r w:rsidR="005E0B7F" w:rsidRPr="001A2436">
        <w:rPr>
          <w:noProof/>
          <w:shd w:val="clear" w:color="auto" w:fill="FFFFFF"/>
        </w:rPr>
        <w:t xml:space="preserve"> </w:t>
      </w:r>
      <w:r w:rsidRPr="001A2436">
        <w:rPr>
          <w:noProof/>
          <w:shd w:val="clear" w:color="auto" w:fill="FFFFFF"/>
        </w:rPr>
        <w:t>est accepté par</w:t>
      </w:r>
      <w:r w:rsidR="005E0B7F" w:rsidRPr="001A2436">
        <w:rPr>
          <w:noProof/>
          <w:shd w:val="clear" w:color="auto" w:fill="FFFFFF"/>
        </w:rPr>
        <w:t xml:space="preserve"> 44</w:t>
      </w:r>
      <w:r w:rsidR="00653DF9" w:rsidRPr="001A2436">
        <w:rPr>
          <w:noProof/>
          <w:shd w:val="clear" w:color="auto" w:fill="FFFFFF"/>
        </w:rPr>
        <w:t> </w:t>
      </w:r>
      <w:r w:rsidRPr="001A2436">
        <w:rPr>
          <w:noProof/>
          <w:shd w:val="clear" w:color="auto" w:fill="FFFFFF"/>
        </w:rPr>
        <w:t>offices récepteurs</w:t>
      </w:r>
      <w:r w:rsidR="005E0B7F" w:rsidRPr="001A2436">
        <w:rPr>
          <w:noProof/>
          <w:shd w:val="clear" w:color="auto" w:fill="FFFFFF"/>
        </w:rPr>
        <w:t xml:space="preserve"> (</w:t>
      </w:r>
      <w:r w:rsidRPr="001A2436">
        <w:rPr>
          <w:noProof/>
          <w:shd w:val="clear" w:color="auto" w:fill="FFFFFF"/>
        </w:rPr>
        <w:t>depuis le</w:t>
      </w:r>
      <w:r w:rsidR="009701D4" w:rsidRPr="001A2436">
        <w:rPr>
          <w:noProof/>
          <w:shd w:val="clear" w:color="auto" w:fill="FFFFFF"/>
        </w:rPr>
        <w:t xml:space="preserve"> 1</w:t>
      </w:r>
      <w:r w:rsidR="009701D4" w:rsidRPr="001A2436">
        <w:rPr>
          <w:noProof/>
          <w:shd w:val="clear" w:color="auto" w:fill="FFFFFF"/>
          <w:vertAlign w:val="superscript"/>
        </w:rPr>
        <w:t>er</w:t>
      </w:r>
      <w:r w:rsidR="009701D4" w:rsidRPr="001A2436">
        <w:rPr>
          <w:noProof/>
          <w:shd w:val="clear" w:color="auto" w:fill="FFFFFF"/>
        </w:rPr>
        <w:t> mai 20</w:t>
      </w:r>
      <w:r w:rsidR="005E0B7F" w:rsidRPr="001A2436">
        <w:rPr>
          <w:noProof/>
          <w:shd w:val="clear" w:color="auto" w:fill="FFFFFF"/>
        </w:rPr>
        <w:t xml:space="preserve">17).  </w:t>
      </w:r>
      <w:r w:rsidRPr="001A2436">
        <w:rPr>
          <w:noProof/>
          <w:shd w:val="clear" w:color="auto" w:fill="FFFFFF"/>
        </w:rPr>
        <w:t>L</w:t>
      </w:r>
      <w:r w:rsidR="009701D4" w:rsidRPr="001A2436">
        <w:rPr>
          <w:noProof/>
          <w:shd w:val="clear" w:color="auto" w:fill="FFFFFF"/>
        </w:rPr>
        <w:t>’</w:t>
      </w:r>
      <w:r w:rsidRPr="001A2436">
        <w:rPr>
          <w:noProof/>
          <w:shd w:val="clear" w:color="auto" w:fill="FFFFFF"/>
        </w:rPr>
        <w:t xml:space="preserve">interface utilisateur du système ePCT est depuis avril 2015 disponible toutes les langues de publication internationale dans le cadre du PCT, </w:t>
      </w:r>
      <w:r w:rsidR="009701D4" w:rsidRPr="001A2436">
        <w:rPr>
          <w:noProof/>
          <w:shd w:val="clear" w:color="auto" w:fill="FFFFFF"/>
        </w:rPr>
        <w:t>à savoir</w:t>
      </w:r>
      <w:r w:rsidRPr="001A2436">
        <w:rPr>
          <w:noProof/>
          <w:shd w:val="clear" w:color="auto" w:fill="FFFFFF"/>
        </w:rPr>
        <w:t xml:space="preserve"> le français, l</w:t>
      </w:r>
      <w:r w:rsidR="009701D4" w:rsidRPr="001A2436">
        <w:rPr>
          <w:noProof/>
          <w:shd w:val="clear" w:color="auto" w:fill="FFFFFF"/>
        </w:rPr>
        <w:t>’</w:t>
      </w:r>
      <w:r w:rsidRPr="001A2436">
        <w:rPr>
          <w:noProof/>
          <w:shd w:val="clear" w:color="auto" w:fill="FFFFFF"/>
        </w:rPr>
        <w:t>allemand, l</w:t>
      </w:r>
      <w:r w:rsidR="009701D4" w:rsidRPr="001A2436">
        <w:rPr>
          <w:noProof/>
          <w:shd w:val="clear" w:color="auto" w:fill="FFFFFF"/>
        </w:rPr>
        <w:t>’</w:t>
      </w:r>
      <w:r w:rsidRPr="001A2436">
        <w:rPr>
          <w:noProof/>
          <w:shd w:val="clear" w:color="auto" w:fill="FFFFFF"/>
        </w:rPr>
        <w:t>anglais, l</w:t>
      </w:r>
      <w:r w:rsidR="009701D4" w:rsidRPr="001A2436">
        <w:rPr>
          <w:noProof/>
          <w:shd w:val="clear" w:color="auto" w:fill="FFFFFF"/>
        </w:rPr>
        <w:t>’</w:t>
      </w:r>
      <w:r w:rsidRPr="001A2436">
        <w:rPr>
          <w:noProof/>
          <w:shd w:val="clear" w:color="auto" w:fill="FFFFFF"/>
        </w:rPr>
        <w:t>arabe, le chinois, le coréen, l</w:t>
      </w:r>
      <w:r w:rsidR="009701D4" w:rsidRPr="001A2436">
        <w:rPr>
          <w:noProof/>
          <w:shd w:val="clear" w:color="auto" w:fill="FFFFFF"/>
        </w:rPr>
        <w:t>’</w:t>
      </w:r>
      <w:r w:rsidRPr="001A2436">
        <w:rPr>
          <w:noProof/>
          <w:shd w:val="clear" w:color="auto" w:fill="FFFFFF"/>
        </w:rPr>
        <w:t>espagnol, le japonais, le portugais et le russe.</w:t>
      </w:r>
    </w:p>
    <w:p w:rsidR="005E0B7F" w:rsidRPr="001A2436" w:rsidRDefault="007F74AA" w:rsidP="00BF33BC">
      <w:pPr>
        <w:pStyle w:val="ONUMFS"/>
        <w:ind w:right="-143"/>
        <w:rPr>
          <w:noProof/>
          <w:shd w:val="clear" w:color="auto" w:fill="FFFFFF"/>
        </w:rPr>
      </w:pPr>
      <w:r w:rsidRPr="001A2436">
        <w:rPr>
          <w:noProof/>
          <w:shd w:val="clear" w:color="auto" w:fill="FFFFFF"/>
        </w:rPr>
        <w:t>Dépôts de demandes hébergées par le système ePCT</w:t>
      </w:r>
      <w:r w:rsidR="009701D4" w:rsidRPr="001A2436">
        <w:rPr>
          <w:noProof/>
          <w:shd w:val="clear" w:color="auto" w:fill="FFFFFF"/>
        </w:rPr>
        <w:t> :</w:t>
      </w:r>
      <w:r w:rsidRPr="001A2436">
        <w:rPr>
          <w:noProof/>
          <w:shd w:val="clear" w:color="auto" w:fill="FFFFFF"/>
        </w:rPr>
        <w:t xml:space="preserve"> le Bureau international offre désormais des services d</w:t>
      </w:r>
      <w:r w:rsidR="009701D4" w:rsidRPr="001A2436">
        <w:rPr>
          <w:noProof/>
          <w:shd w:val="clear" w:color="auto" w:fill="FFFFFF"/>
        </w:rPr>
        <w:t>’</w:t>
      </w:r>
      <w:r w:rsidRPr="001A2436">
        <w:rPr>
          <w:noProof/>
          <w:shd w:val="clear" w:color="auto" w:fill="FFFFFF"/>
        </w:rPr>
        <w:t>office récepteur hébergés par le système ePCT et compatibles avec la solution ePCT de dépôt en lig</w:t>
      </w:r>
      <w:r w:rsidR="007C62FD" w:rsidRPr="001A2436">
        <w:rPr>
          <w:noProof/>
          <w:shd w:val="clear" w:color="auto" w:fill="FFFFFF"/>
        </w:rPr>
        <w:t>ne.  Ce</w:t>
      </w:r>
      <w:r w:rsidRPr="001A2436">
        <w:rPr>
          <w:noProof/>
          <w:shd w:val="clear" w:color="auto" w:fill="FFFFFF"/>
        </w:rPr>
        <w:t>s services sont proposés aux offices de tous les États membres qui ne peuvent pas ou ne souhaitent pas développer, exploiter ou maintenir une infrastructure informatique locale pour les opérations effectuées en leur qualité d</w:t>
      </w:r>
      <w:r w:rsidR="009701D4" w:rsidRPr="001A2436">
        <w:rPr>
          <w:noProof/>
          <w:shd w:val="clear" w:color="auto" w:fill="FFFFFF"/>
        </w:rPr>
        <w:t>’</w:t>
      </w:r>
      <w:r w:rsidRPr="001A2436">
        <w:rPr>
          <w:noProof/>
          <w:shd w:val="clear" w:color="auto" w:fill="FFFFFF"/>
        </w:rPr>
        <w:t>offices récepteurs,</w:t>
      </w:r>
      <w:r w:rsidRPr="001A2436">
        <w:rPr>
          <w:noProof/>
          <w:color w:val="000000"/>
          <w:shd w:val="clear" w:color="auto" w:fill="FFFFFF"/>
        </w:rPr>
        <w:t xml:space="preserve"> ce qui leur permet d</w:t>
      </w:r>
      <w:r w:rsidR="009701D4" w:rsidRPr="001A2436">
        <w:rPr>
          <w:noProof/>
          <w:color w:val="000000"/>
          <w:shd w:val="clear" w:color="auto" w:fill="FFFFFF"/>
        </w:rPr>
        <w:t>’</w:t>
      </w:r>
      <w:r w:rsidRPr="001A2436">
        <w:rPr>
          <w:noProof/>
          <w:color w:val="000000"/>
          <w:shd w:val="clear" w:color="auto" w:fill="FFFFFF"/>
        </w:rPr>
        <w:t xml:space="preserve">offrir à leurs </w:t>
      </w:r>
      <w:r w:rsidRPr="001A2436">
        <w:rPr>
          <w:noProof/>
          <w:shd w:val="clear" w:color="auto" w:fill="FFFFFF"/>
        </w:rPr>
        <w:t>déposants le même niveau de service que celui offert par les offices largement automatis</w:t>
      </w:r>
      <w:r w:rsidR="007C62FD" w:rsidRPr="001A2436">
        <w:rPr>
          <w:noProof/>
          <w:shd w:val="clear" w:color="auto" w:fill="FFFFFF"/>
        </w:rPr>
        <w:t>és.  Le</w:t>
      </w:r>
      <w:r w:rsidRPr="001A2436">
        <w:rPr>
          <w:noProof/>
          <w:shd w:val="clear" w:color="auto" w:fill="FFFFFF"/>
        </w:rPr>
        <w:t>s offices participants exigent simplement un navigateur Web et une connexion Internet standard (ainsi qu</w:t>
      </w:r>
      <w:r w:rsidR="009701D4" w:rsidRPr="001A2436">
        <w:rPr>
          <w:noProof/>
          <w:shd w:val="clear" w:color="auto" w:fill="FFFFFF"/>
        </w:rPr>
        <w:t>’</w:t>
      </w:r>
      <w:r w:rsidRPr="001A2436">
        <w:rPr>
          <w:noProof/>
          <w:shd w:val="clear" w:color="auto" w:fill="FFFFFF"/>
        </w:rPr>
        <w:t>un scanner pour les documents déposés sur papi</w:t>
      </w:r>
      <w:r w:rsidR="007C62FD" w:rsidRPr="001A2436">
        <w:rPr>
          <w:noProof/>
          <w:shd w:val="clear" w:color="auto" w:fill="FFFFFF"/>
        </w:rPr>
        <w:t>er).  Le</w:t>
      </w:r>
      <w:r w:rsidRPr="001A2436">
        <w:rPr>
          <w:noProof/>
          <w:shd w:val="clear" w:color="auto" w:fill="FFFFFF"/>
        </w:rPr>
        <w:t xml:space="preserve"> Bureau international héberge actuellement les serveurs ePCT de plusieurs offices récepteurs, </w:t>
      </w:r>
      <w:r w:rsidR="009701D4" w:rsidRPr="001A2436">
        <w:rPr>
          <w:noProof/>
          <w:shd w:val="clear" w:color="auto" w:fill="FFFFFF"/>
        </w:rPr>
        <w:t>à savoir</w:t>
      </w:r>
      <w:r w:rsidRPr="001A2436">
        <w:rPr>
          <w:noProof/>
          <w:shd w:val="clear" w:color="auto" w:fill="FFFFFF"/>
        </w:rPr>
        <w:t xml:space="preserve"> les offices de </w:t>
      </w:r>
      <w:r w:rsidR="003F40FD" w:rsidRPr="001A2436">
        <w:rPr>
          <w:noProof/>
          <w:shd w:val="clear" w:color="auto" w:fill="FFFFFF"/>
        </w:rPr>
        <w:t>l</w:t>
      </w:r>
      <w:r w:rsidR="009701D4" w:rsidRPr="001A2436">
        <w:rPr>
          <w:noProof/>
          <w:shd w:val="clear" w:color="auto" w:fill="FFFFFF"/>
        </w:rPr>
        <w:t>’</w:t>
      </w:r>
      <w:r w:rsidR="003F40FD" w:rsidRPr="001A2436">
        <w:rPr>
          <w:noProof/>
          <w:shd w:val="clear" w:color="auto" w:fill="FFFFFF"/>
        </w:rPr>
        <w:t>Afrique du Sud, de l</w:t>
      </w:r>
      <w:r w:rsidR="009701D4" w:rsidRPr="001A2436">
        <w:rPr>
          <w:noProof/>
          <w:shd w:val="clear" w:color="auto" w:fill="FFFFFF"/>
        </w:rPr>
        <w:t>’</w:t>
      </w:r>
      <w:r w:rsidR="005E0B7F" w:rsidRPr="001A2436">
        <w:rPr>
          <w:rFonts w:eastAsia="MS Mincho"/>
          <w:noProof/>
          <w:shd w:val="clear" w:color="auto" w:fill="FFFFFF"/>
          <w:lang w:eastAsia="ja-JP"/>
        </w:rPr>
        <w:t>Alg</w:t>
      </w:r>
      <w:r w:rsidR="003F40FD" w:rsidRPr="001A2436">
        <w:rPr>
          <w:rFonts w:eastAsia="MS Mincho"/>
          <w:noProof/>
          <w:shd w:val="clear" w:color="auto" w:fill="FFFFFF"/>
          <w:lang w:eastAsia="ja-JP"/>
        </w:rPr>
        <w:t>é</w:t>
      </w:r>
      <w:r w:rsidR="005E0B7F" w:rsidRPr="001A2436">
        <w:rPr>
          <w:rFonts w:eastAsia="MS Mincho"/>
          <w:noProof/>
          <w:shd w:val="clear" w:color="auto" w:fill="FFFFFF"/>
          <w:lang w:eastAsia="ja-JP"/>
        </w:rPr>
        <w:t>ri</w:t>
      </w:r>
      <w:r w:rsidR="003F40FD" w:rsidRPr="001A2436">
        <w:rPr>
          <w:rFonts w:eastAsia="MS Mincho"/>
          <w:noProof/>
          <w:shd w:val="clear" w:color="auto" w:fill="FFFFFF"/>
          <w:lang w:eastAsia="ja-JP"/>
        </w:rPr>
        <w:t>e</w:t>
      </w:r>
      <w:r w:rsidR="005E0B7F" w:rsidRPr="001A2436">
        <w:rPr>
          <w:rFonts w:eastAsia="MS Mincho"/>
          <w:noProof/>
          <w:shd w:val="clear" w:color="auto" w:fill="FFFFFF"/>
          <w:lang w:eastAsia="ja-JP"/>
        </w:rPr>
        <w:t xml:space="preserve">, </w:t>
      </w:r>
      <w:r w:rsidR="003F40FD" w:rsidRPr="001A2436">
        <w:rPr>
          <w:noProof/>
          <w:shd w:val="clear" w:color="auto" w:fill="FFFFFF"/>
        </w:rPr>
        <w:t>de l</w:t>
      </w:r>
      <w:r w:rsidR="009701D4" w:rsidRPr="001A2436">
        <w:rPr>
          <w:noProof/>
          <w:shd w:val="clear" w:color="auto" w:fill="FFFFFF"/>
        </w:rPr>
        <w:t>’Arabie saoudite</w:t>
      </w:r>
      <w:r w:rsidR="003F40FD" w:rsidRPr="001A2436">
        <w:rPr>
          <w:noProof/>
          <w:shd w:val="clear" w:color="auto" w:fill="FFFFFF"/>
        </w:rPr>
        <w:t>, de l</w:t>
      </w:r>
      <w:r w:rsidR="009701D4" w:rsidRPr="001A2436">
        <w:rPr>
          <w:noProof/>
          <w:shd w:val="clear" w:color="auto" w:fill="FFFFFF"/>
        </w:rPr>
        <w:t>’</w:t>
      </w:r>
      <w:r w:rsidR="003F40FD" w:rsidRPr="001A2436">
        <w:rPr>
          <w:noProof/>
          <w:shd w:val="clear" w:color="auto" w:fill="FFFFFF"/>
        </w:rPr>
        <w:t xml:space="preserve">Australie, </w:t>
      </w:r>
      <w:r w:rsidR="003F40FD" w:rsidRPr="001A2436">
        <w:rPr>
          <w:rFonts w:eastAsia="MS Mincho"/>
          <w:noProof/>
          <w:shd w:val="clear" w:color="auto" w:fill="FFFFFF"/>
          <w:lang w:eastAsia="ja-JP"/>
        </w:rPr>
        <w:t>de l</w:t>
      </w:r>
      <w:r w:rsidR="009701D4" w:rsidRPr="001A2436">
        <w:rPr>
          <w:rFonts w:eastAsia="MS Mincho"/>
          <w:noProof/>
          <w:shd w:val="clear" w:color="auto" w:fill="FFFFFF"/>
          <w:lang w:eastAsia="ja-JP"/>
        </w:rPr>
        <w:t>’</w:t>
      </w:r>
      <w:r w:rsidR="003F40FD" w:rsidRPr="001A2436">
        <w:rPr>
          <w:rFonts w:eastAsia="MS Mincho"/>
          <w:noProof/>
          <w:shd w:val="clear" w:color="auto" w:fill="FFFFFF"/>
          <w:lang w:eastAsia="ja-JP"/>
        </w:rPr>
        <w:t>Autriche</w:t>
      </w:r>
      <w:r w:rsidR="005E0B7F" w:rsidRPr="001A2436">
        <w:rPr>
          <w:rFonts w:eastAsia="MS Mincho"/>
          <w:noProof/>
          <w:shd w:val="clear" w:color="auto" w:fill="FFFFFF"/>
          <w:lang w:eastAsia="ja-JP"/>
        </w:rPr>
        <w:t xml:space="preserve">, </w:t>
      </w:r>
      <w:r w:rsidR="003F40FD" w:rsidRPr="001A2436">
        <w:rPr>
          <w:noProof/>
          <w:shd w:val="clear" w:color="auto" w:fill="FFFFFF"/>
        </w:rPr>
        <w:t>de l</w:t>
      </w:r>
      <w:r w:rsidR="009701D4" w:rsidRPr="001A2436">
        <w:rPr>
          <w:noProof/>
          <w:shd w:val="clear" w:color="auto" w:fill="FFFFFF"/>
        </w:rPr>
        <w:t>’</w:t>
      </w:r>
      <w:r w:rsidR="003F40FD" w:rsidRPr="001A2436">
        <w:rPr>
          <w:noProof/>
          <w:shd w:val="clear" w:color="auto" w:fill="FFFFFF"/>
        </w:rPr>
        <w:t>Azerbaïd</w:t>
      </w:r>
      <w:r w:rsidR="005E0B7F" w:rsidRPr="001A2436">
        <w:rPr>
          <w:noProof/>
          <w:shd w:val="clear" w:color="auto" w:fill="FFFFFF"/>
        </w:rPr>
        <w:t xml:space="preserve">jan, </w:t>
      </w:r>
      <w:r w:rsidR="003F40FD" w:rsidRPr="001A2436">
        <w:rPr>
          <w:noProof/>
          <w:shd w:val="clear" w:color="auto" w:fill="FFFFFF"/>
        </w:rPr>
        <w:t>du Brés</w:t>
      </w:r>
      <w:r w:rsidR="005E0B7F" w:rsidRPr="001A2436">
        <w:rPr>
          <w:noProof/>
          <w:shd w:val="clear" w:color="auto" w:fill="FFFFFF"/>
        </w:rPr>
        <w:t>il,</w:t>
      </w:r>
      <w:r w:rsidR="003F40FD" w:rsidRPr="001A2436">
        <w:rPr>
          <w:noProof/>
          <w:shd w:val="clear" w:color="auto" w:fill="FFFFFF"/>
        </w:rPr>
        <w:t xml:space="preserve"> du</w:t>
      </w:r>
      <w:r w:rsidR="005E0B7F" w:rsidRPr="001A2436">
        <w:rPr>
          <w:noProof/>
          <w:shd w:val="clear" w:color="auto" w:fill="FFFFFF"/>
        </w:rPr>
        <w:t xml:space="preserve"> Brun</w:t>
      </w:r>
      <w:r w:rsidR="003F40FD" w:rsidRPr="001A2436">
        <w:rPr>
          <w:noProof/>
          <w:shd w:val="clear" w:color="auto" w:fill="FFFFFF"/>
        </w:rPr>
        <w:t>é</w:t>
      </w:r>
      <w:r w:rsidR="005E0B7F" w:rsidRPr="001A2436">
        <w:rPr>
          <w:noProof/>
          <w:shd w:val="clear" w:color="auto" w:fill="FFFFFF"/>
        </w:rPr>
        <w:t xml:space="preserve">i Darussalam, </w:t>
      </w:r>
      <w:r w:rsidR="003F40FD" w:rsidRPr="001A2436">
        <w:rPr>
          <w:noProof/>
          <w:shd w:val="clear" w:color="auto" w:fill="FFFFFF"/>
        </w:rPr>
        <w:t xml:space="preserve">du </w:t>
      </w:r>
      <w:r w:rsidR="005E0B7F" w:rsidRPr="001A2436">
        <w:rPr>
          <w:noProof/>
          <w:shd w:val="clear" w:color="auto" w:fill="FFFFFF"/>
        </w:rPr>
        <w:t>Chil</w:t>
      </w:r>
      <w:r w:rsidR="003F40FD" w:rsidRPr="001A2436">
        <w:rPr>
          <w:noProof/>
          <w:shd w:val="clear" w:color="auto" w:fill="FFFFFF"/>
        </w:rPr>
        <w:t>i</w:t>
      </w:r>
      <w:r w:rsidR="005E0B7F" w:rsidRPr="001A2436">
        <w:rPr>
          <w:noProof/>
          <w:shd w:val="clear" w:color="auto" w:fill="FFFFFF"/>
        </w:rPr>
        <w:t xml:space="preserve">, </w:t>
      </w:r>
      <w:r w:rsidR="003F40FD" w:rsidRPr="001A2436">
        <w:rPr>
          <w:noProof/>
          <w:shd w:val="clear" w:color="auto" w:fill="FFFFFF"/>
        </w:rPr>
        <w:t xml:space="preserve">de la </w:t>
      </w:r>
      <w:r w:rsidR="005E0B7F" w:rsidRPr="001A2436">
        <w:rPr>
          <w:noProof/>
          <w:shd w:val="clear" w:color="auto" w:fill="FFFFFF"/>
        </w:rPr>
        <w:t>Colombi</w:t>
      </w:r>
      <w:r w:rsidR="003F40FD" w:rsidRPr="001A2436">
        <w:rPr>
          <w:noProof/>
          <w:shd w:val="clear" w:color="auto" w:fill="FFFFFF"/>
        </w:rPr>
        <w:t>e</w:t>
      </w:r>
      <w:r w:rsidR="005E0B7F" w:rsidRPr="001A2436">
        <w:rPr>
          <w:noProof/>
          <w:shd w:val="clear" w:color="auto" w:fill="FFFFFF"/>
        </w:rPr>
        <w:t xml:space="preserve">, </w:t>
      </w:r>
      <w:r w:rsidR="003F40FD" w:rsidRPr="001A2436">
        <w:rPr>
          <w:noProof/>
          <w:shd w:val="clear" w:color="auto" w:fill="FFFFFF"/>
        </w:rPr>
        <w:t xml:space="preserve">de </w:t>
      </w:r>
      <w:r w:rsidR="005E0B7F" w:rsidRPr="001A2436">
        <w:rPr>
          <w:noProof/>
          <w:shd w:val="clear" w:color="auto" w:fill="FFFFFF"/>
        </w:rPr>
        <w:t xml:space="preserve">Cuba, </w:t>
      </w:r>
      <w:r w:rsidR="003F40FD" w:rsidRPr="001A2436">
        <w:rPr>
          <w:noProof/>
          <w:shd w:val="clear" w:color="auto" w:fill="FFFFFF"/>
        </w:rPr>
        <w:t>de l</w:t>
      </w:r>
      <w:r w:rsidR="009701D4" w:rsidRPr="001A2436">
        <w:rPr>
          <w:noProof/>
          <w:shd w:val="clear" w:color="auto" w:fill="FFFFFF"/>
        </w:rPr>
        <w:t>’</w:t>
      </w:r>
      <w:r w:rsidR="003F40FD" w:rsidRPr="001A2436">
        <w:rPr>
          <w:noProof/>
          <w:shd w:val="clear" w:color="auto" w:fill="FFFFFF"/>
        </w:rPr>
        <w:t>Estonie, de la Fédération de Russie, de la Hongrie</w:t>
      </w:r>
      <w:r w:rsidR="005E0B7F" w:rsidRPr="001A2436">
        <w:rPr>
          <w:noProof/>
          <w:shd w:val="clear" w:color="auto" w:fill="FFFFFF"/>
        </w:rPr>
        <w:t xml:space="preserve">, </w:t>
      </w:r>
      <w:r w:rsidR="003F40FD" w:rsidRPr="001A2436">
        <w:rPr>
          <w:noProof/>
          <w:shd w:val="clear" w:color="auto" w:fill="FFFFFF"/>
        </w:rPr>
        <w:t>de l</w:t>
      </w:r>
      <w:r w:rsidR="009701D4" w:rsidRPr="001A2436">
        <w:rPr>
          <w:noProof/>
          <w:shd w:val="clear" w:color="auto" w:fill="FFFFFF"/>
        </w:rPr>
        <w:t>’</w:t>
      </w:r>
      <w:r w:rsidR="003F40FD" w:rsidRPr="001A2436">
        <w:rPr>
          <w:noProof/>
          <w:shd w:val="clear" w:color="auto" w:fill="FFFFFF"/>
        </w:rPr>
        <w:t>Inde, de l</w:t>
      </w:r>
      <w:r w:rsidR="009701D4" w:rsidRPr="001A2436">
        <w:rPr>
          <w:noProof/>
          <w:shd w:val="clear" w:color="auto" w:fill="FFFFFF"/>
        </w:rPr>
        <w:t>’</w:t>
      </w:r>
      <w:r w:rsidR="003F40FD" w:rsidRPr="001A2436">
        <w:rPr>
          <w:noProof/>
          <w:shd w:val="clear" w:color="auto" w:fill="FFFFFF"/>
        </w:rPr>
        <w:t>Indonésie, de l</w:t>
      </w:r>
      <w:r w:rsidR="009701D4" w:rsidRPr="001A2436">
        <w:rPr>
          <w:noProof/>
          <w:shd w:val="clear" w:color="auto" w:fill="FFFFFF"/>
        </w:rPr>
        <w:t>’</w:t>
      </w:r>
      <w:r w:rsidR="003F40FD" w:rsidRPr="001A2436">
        <w:rPr>
          <w:noProof/>
          <w:shd w:val="clear" w:color="auto" w:fill="FFFFFF"/>
        </w:rPr>
        <w:t>Iran (République islamique d</w:t>
      </w:r>
      <w:r w:rsidR="009701D4" w:rsidRPr="001A2436">
        <w:rPr>
          <w:noProof/>
          <w:shd w:val="clear" w:color="auto" w:fill="FFFFFF"/>
        </w:rPr>
        <w:t>’</w:t>
      </w:r>
      <w:r w:rsidR="003F40FD" w:rsidRPr="001A2436">
        <w:rPr>
          <w:noProof/>
          <w:shd w:val="clear" w:color="auto" w:fill="FFFFFF"/>
        </w:rPr>
        <w:t>)</w:t>
      </w:r>
      <w:r w:rsidR="005E0B7F" w:rsidRPr="001A2436">
        <w:rPr>
          <w:noProof/>
          <w:shd w:val="clear" w:color="auto" w:fill="FFFFFF"/>
        </w:rPr>
        <w:t xml:space="preserve">, </w:t>
      </w:r>
      <w:r w:rsidR="003F40FD" w:rsidRPr="001A2436">
        <w:rPr>
          <w:noProof/>
          <w:shd w:val="clear" w:color="auto" w:fill="FFFFFF"/>
        </w:rPr>
        <w:t>de la Lettonie, de la Malaisie, du Maroc, du Mexique, de la Nouvelle</w:t>
      </w:r>
      <w:r w:rsidR="009701D4" w:rsidRPr="001A2436">
        <w:rPr>
          <w:noProof/>
          <w:shd w:val="clear" w:color="auto" w:fill="FFFFFF"/>
        </w:rPr>
        <w:t>-</w:t>
      </w:r>
      <w:r w:rsidR="003F40FD" w:rsidRPr="001A2436">
        <w:rPr>
          <w:noProof/>
          <w:shd w:val="clear" w:color="auto" w:fill="FFFFFF"/>
        </w:rPr>
        <w:t>Zélande, d</w:t>
      </w:r>
      <w:r w:rsidR="009701D4" w:rsidRPr="001A2436">
        <w:rPr>
          <w:noProof/>
          <w:shd w:val="clear" w:color="auto" w:fill="FFFFFF"/>
        </w:rPr>
        <w:t>’</w:t>
      </w:r>
      <w:r w:rsidR="003F40FD" w:rsidRPr="001A2436">
        <w:rPr>
          <w:noProof/>
          <w:shd w:val="clear" w:color="auto" w:fill="FFFFFF"/>
        </w:rPr>
        <w:t xml:space="preserve">Oman, du </w:t>
      </w:r>
      <w:r w:rsidR="005E0B7F" w:rsidRPr="001A2436">
        <w:rPr>
          <w:noProof/>
          <w:shd w:val="clear" w:color="auto" w:fill="FFFFFF"/>
        </w:rPr>
        <w:t xml:space="preserve">Panama, </w:t>
      </w:r>
      <w:r w:rsidR="003F40FD" w:rsidRPr="001A2436">
        <w:rPr>
          <w:noProof/>
          <w:shd w:val="clear" w:color="auto" w:fill="FFFFFF"/>
        </w:rPr>
        <w:t xml:space="preserve">des </w:t>
      </w:r>
      <w:r w:rsidR="005E0B7F" w:rsidRPr="001A2436">
        <w:rPr>
          <w:noProof/>
          <w:shd w:val="clear" w:color="auto" w:fill="FFFFFF"/>
        </w:rPr>
        <w:t xml:space="preserve">Philippines, </w:t>
      </w:r>
      <w:r w:rsidR="003F40FD" w:rsidRPr="001A2436">
        <w:rPr>
          <w:noProof/>
          <w:shd w:val="clear" w:color="auto" w:fill="FFFFFF"/>
        </w:rPr>
        <w:t xml:space="preserve">du </w:t>
      </w:r>
      <w:r w:rsidR="005E0B7F" w:rsidRPr="001A2436">
        <w:rPr>
          <w:noProof/>
          <w:shd w:val="clear" w:color="auto" w:fill="FFFFFF"/>
        </w:rPr>
        <w:t xml:space="preserve">Portugal, </w:t>
      </w:r>
      <w:r w:rsidR="003F40FD" w:rsidRPr="001A2436">
        <w:rPr>
          <w:noProof/>
          <w:shd w:val="clear" w:color="auto" w:fill="FFFFFF"/>
        </w:rPr>
        <w:t xml:space="preserve">du </w:t>
      </w:r>
      <w:r w:rsidR="005E0B7F" w:rsidRPr="001A2436">
        <w:rPr>
          <w:noProof/>
          <w:shd w:val="clear" w:color="auto" w:fill="FFFFFF"/>
        </w:rPr>
        <w:t xml:space="preserve">Qatar, </w:t>
      </w:r>
      <w:r w:rsidR="003F40FD" w:rsidRPr="001A2436">
        <w:rPr>
          <w:noProof/>
          <w:shd w:val="clear" w:color="auto" w:fill="FFFFFF"/>
        </w:rPr>
        <w:t>de la République dominicaine, de la République tchèque, de S</w:t>
      </w:r>
      <w:r w:rsidR="005E0B7F" w:rsidRPr="001A2436">
        <w:rPr>
          <w:noProof/>
          <w:shd w:val="clear" w:color="auto" w:fill="FFFFFF"/>
        </w:rPr>
        <w:t>ingapo</w:t>
      </w:r>
      <w:r w:rsidR="003F40FD" w:rsidRPr="001A2436">
        <w:rPr>
          <w:noProof/>
          <w:shd w:val="clear" w:color="auto" w:fill="FFFFFF"/>
        </w:rPr>
        <w:t>ur</w:t>
      </w:r>
      <w:r w:rsidR="005E0B7F" w:rsidRPr="001A2436">
        <w:rPr>
          <w:noProof/>
          <w:shd w:val="clear" w:color="auto" w:fill="FFFFFF"/>
        </w:rPr>
        <w:t xml:space="preserve">, </w:t>
      </w:r>
      <w:r w:rsidR="003F40FD" w:rsidRPr="001A2436">
        <w:rPr>
          <w:noProof/>
          <w:shd w:val="clear" w:color="auto" w:fill="FFFFFF"/>
        </w:rPr>
        <w:t>de la Slovaquie, de la Turquie ainsi que de l</w:t>
      </w:r>
      <w:r w:rsidR="009701D4" w:rsidRPr="001A2436">
        <w:rPr>
          <w:noProof/>
          <w:shd w:val="clear" w:color="auto" w:fill="FFFFFF"/>
        </w:rPr>
        <w:t>’</w:t>
      </w:r>
      <w:r w:rsidR="003F40FD" w:rsidRPr="001A2436">
        <w:rPr>
          <w:noProof/>
          <w:shd w:val="clear" w:color="auto" w:fill="FFFFFF"/>
        </w:rPr>
        <w:t>Organisation eurasienne des brevets</w:t>
      </w:r>
      <w:r w:rsidR="005E0B7F" w:rsidRPr="001A2436">
        <w:rPr>
          <w:noProof/>
          <w:shd w:val="clear" w:color="auto" w:fill="FFFFFF"/>
        </w:rPr>
        <w:t>.</w:t>
      </w:r>
    </w:p>
    <w:p w:rsidR="008F0CBF" w:rsidRPr="001A2436" w:rsidRDefault="00EC2FA1" w:rsidP="00BF33BC">
      <w:pPr>
        <w:pStyle w:val="ONUMFS"/>
        <w:ind w:right="-143"/>
        <w:rPr>
          <w:noProof/>
          <w:shd w:val="clear" w:color="auto" w:fill="FFFFFF"/>
        </w:rPr>
      </w:pPr>
      <w:r w:rsidRPr="001A2436">
        <w:rPr>
          <w:noProof/>
          <w:shd w:val="clear" w:color="auto" w:fill="FFFFFF"/>
        </w:rPr>
        <w:t>En plus des services indiqués ci</w:t>
      </w:r>
      <w:r w:rsidR="009701D4" w:rsidRPr="001A2436">
        <w:rPr>
          <w:noProof/>
          <w:shd w:val="clear" w:color="auto" w:fill="FFFFFF"/>
        </w:rPr>
        <w:t>-</w:t>
      </w:r>
      <w:r w:rsidRPr="001A2436">
        <w:rPr>
          <w:noProof/>
          <w:shd w:val="clear" w:color="auto" w:fill="FFFFFF"/>
        </w:rPr>
        <w:t>dessus, l</w:t>
      </w:r>
      <w:r w:rsidR="009701D4" w:rsidRPr="001A2436">
        <w:rPr>
          <w:noProof/>
          <w:shd w:val="clear" w:color="auto" w:fill="FFFFFF"/>
        </w:rPr>
        <w:t>’</w:t>
      </w:r>
      <w:r w:rsidRPr="001A2436">
        <w:rPr>
          <w:noProof/>
          <w:shd w:val="clear" w:color="auto" w:fill="FFFFFF"/>
        </w:rPr>
        <w:t>OMPI offre une assistance aux offices dans les préparatifs précédant l</w:t>
      </w:r>
      <w:r w:rsidR="009701D4" w:rsidRPr="001A2436">
        <w:rPr>
          <w:noProof/>
          <w:shd w:val="clear" w:color="auto" w:fill="FFFFFF"/>
        </w:rPr>
        <w:t>’</w:t>
      </w:r>
      <w:r w:rsidRPr="001A2436">
        <w:rPr>
          <w:noProof/>
          <w:shd w:val="clear" w:color="auto" w:fill="FFFFFF"/>
        </w:rPr>
        <w:t>entrée en vigueur des services e</w:t>
      </w:r>
      <w:r w:rsidR="007C62FD" w:rsidRPr="001A2436">
        <w:rPr>
          <w:noProof/>
          <w:shd w:val="clear" w:color="auto" w:fill="FFFFFF"/>
        </w:rPr>
        <w:t>PCT.  Il</w:t>
      </w:r>
      <w:r w:rsidRPr="001A2436">
        <w:rPr>
          <w:noProof/>
          <w:shd w:val="clear" w:color="auto" w:fill="FFFFFF"/>
        </w:rPr>
        <w:t xml:space="preserve"> s</w:t>
      </w:r>
      <w:r w:rsidR="009701D4" w:rsidRPr="001A2436">
        <w:rPr>
          <w:noProof/>
          <w:shd w:val="clear" w:color="auto" w:fill="FFFFFF"/>
        </w:rPr>
        <w:t>’</w:t>
      </w:r>
      <w:r w:rsidRPr="001A2436">
        <w:rPr>
          <w:noProof/>
          <w:shd w:val="clear" w:color="auto" w:fill="FFFFFF"/>
        </w:rPr>
        <w:t>agit notamment d</w:t>
      </w:r>
      <w:r w:rsidR="009701D4" w:rsidRPr="001A2436">
        <w:rPr>
          <w:noProof/>
          <w:shd w:val="clear" w:color="auto" w:fill="FFFFFF"/>
        </w:rPr>
        <w:t>’</w:t>
      </w:r>
      <w:r w:rsidRPr="001A2436">
        <w:rPr>
          <w:noProof/>
          <w:shd w:val="clear" w:color="auto" w:fill="FFFFFF"/>
        </w:rPr>
        <w:t>une assistance technique (fourniture de versions d</w:t>
      </w:r>
      <w:r w:rsidR="009701D4" w:rsidRPr="001A2436">
        <w:rPr>
          <w:noProof/>
          <w:shd w:val="clear" w:color="auto" w:fill="FFFFFF"/>
        </w:rPr>
        <w:t>’</w:t>
      </w:r>
      <w:r w:rsidRPr="001A2436">
        <w:rPr>
          <w:noProof/>
          <w:shd w:val="clear" w:color="auto" w:fill="FFFFFF"/>
        </w:rPr>
        <w:t>essai aux offices récepteurs pour leur permettre de tester la procédure de dépôt de bout en bout, transmission des paquets contenant les exemplaires originaux au Bureau international ou assistance juridique et dans le domaine des procédures, entre autr</w:t>
      </w:r>
      <w:r w:rsidR="007C62FD" w:rsidRPr="001A2436">
        <w:rPr>
          <w:noProof/>
          <w:shd w:val="clear" w:color="auto" w:fill="FFFFFF"/>
        </w:rPr>
        <w:t>es).  En</w:t>
      </w:r>
      <w:r w:rsidRPr="001A2436">
        <w:rPr>
          <w:noProof/>
          <w:shd w:val="clear" w:color="auto" w:fill="FFFFFF"/>
        </w:rPr>
        <w:t xml:space="preserve"> outre, les autorités de certification de l</w:t>
      </w:r>
      <w:r w:rsidR="009701D4" w:rsidRPr="001A2436">
        <w:rPr>
          <w:noProof/>
          <w:shd w:val="clear" w:color="auto" w:fill="FFFFFF"/>
        </w:rPr>
        <w:t>’</w:t>
      </w:r>
      <w:r w:rsidRPr="001A2436">
        <w:rPr>
          <w:noProof/>
          <w:shd w:val="clear" w:color="auto" w:fill="FFFFFF"/>
        </w:rPr>
        <w:t>OMPI, qui délivrent et gèrent les certificats numériques, poursuivent leurs activit</w:t>
      </w:r>
      <w:r w:rsidR="007C62FD" w:rsidRPr="001A2436">
        <w:rPr>
          <w:noProof/>
          <w:shd w:val="clear" w:color="auto" w:fill="FFFFFF"/>
        </w:rPr>
        <w:t>és.  L’u</w:t>
      </w:r>
      <w:r w:rsidRPr="001A2436">
        <w:rPr>
          <w:noProof/>
          <w:shd w:val="clear" w:color="auto" w:fill="FFFFFF"/>
        </w:rPr>
        <w:t>ne est utilisée par les déposants et les utilisateurs des offices à des fins de renforcement de l</w:t>
      </w:r>
      <w:r w:rsidR="009701D4" w:rsidRPr="001A2436">
        <w:rPr>
          <w:noProof/>
          <w:shd w:val="clear" w:color="auto" w:fill="FFFFFF"/>
        </w:rPr>
        <w:t>’</w:t>
      </w:r>
      <w:r w:rsidRPr="001A2436">
        <w:rPr>
          <w:noProof/>
          <w:shd w:val="clear" w:color="auto" w:fill="FFFFFF"/>
        </w:rPr>
        <w:t>authentification au niveau des accès aux services e</w:t>
      </w:r>
      <w:r w:rsidR="007C62FD" w:rsidRPr="001A2436">
        <w:rPr>
          <w:noProof/>
          <w:shd w:val="clear" w:color="auto" w:fill="FFFFFF"/>
        </w:rPr>
        <w:t>PCT.  En</w:t>
      </w:r>
      <w:r w:rsidRPr="001A2436">
        <w:rPr>
          <w:noProof/>
          <w:shd w:val="clear" w:color="auto" w:fill="FFFFFF"/>
        </w:rPr>
        <w:t xml:space="preserve"> </w:t>
      </w:r>
      <w:r w:rsidR="009701D4" w:rsidRPr="001A2436">
        <w:rPr>
          <w:noProof/>
          <w:shd w:val="clear" w:color="auto" w:fill="FFFFFF"/>
        </w:rPr>
        <w:t>mars 20</w:t>
      </w:r>
      <w:r w:rsidR="005E0B7F" w:rsidRPr="001A2436">
        <w:rPr>
          <w:noProof/>
          <w:shd w:val="clear" w:color="auto" w:fill="FFFFFF"/>
        </w:rPr>
        <w:t>17</w:t>
      </w:r>
      <w:r w:rsidR="00653DF9" w:rsidRPr="001A2436">
        <w:rPr>
          <w:noProof/>
          <w:shd w:val="clear" w:color="auto" w:fill="FFFFFF"/>
        </w:rPr>
        <w:t>,</w:t>
      </w:r>
      <w:r w:rsidR="005E0B7F" w:rsidRPr="001A2436">
        <w:rPr>
          <w:noProof/>
          <w:shd w:val="clear" w:color="auto" w:fill="FFFFFF"/>
        </w:rPr>
        <w:t xml:space="preserve"> </w:t>
      </w:r>
      <w:r w:rsidRPr="001A2436">
        <w:rPr>
          <w:noProof/>
          <w:shd w:val="clear" w:color="auto" w:fill="FFFFFF"/>
        </w:rPr>
        <w:t>deux</w:t>
      </w:r>
      <w:r w:rsidR="00AC466D" w:rsidRPr="001A2436">
        <w:rPr>
          <w:noProof/>
          <w:shd w:val="clear" w:color="auto" w:fill="FFFFFF"/>
        </w:rPr>
        <w:t> </w:t>
      </w:r>
      <w:r w:rsidRPr="001A2436">
        <w:rPr>
          <w:noProof/>
          <w:shd w:val="clear" w:color="auto" w:fill="FFFFFF"/>
        </w:rPr>
        <w:t>nouvelles méthodes d</w:t>
      </w:r>
      <w:r w:rsidR="009701D4" w:rsidRPr="001A2436">
        <w:rPr>
          <w:noProof/>
          <w:shd w:val="clear" w:color="auto" w:fill="FFFFFF"/>
        </w:rPr>
        <w:t>’</w:t>
      </w:r>
      <w:r w:rsidRPr="001A2436">
        <w:rPr>
          <w:noProof/>
          <w:shd w:val="clear" w:color="auto" w:fill="FFFFFF"/>
        </w:rPr>
        <w:t xml:space="preserve">authentification forte ont été mises en œuvre </w:t>
      </w:r>
      <w:r w:rsidR="005E0B7F" w:rsidRPr="001A2436">
        <w:rPr>
          <w:noProof/>
          <w:shd w:val="clear" w:color="auto" w:fill="FFFFFF"/>
        </w:rPr>
        <w:t>(</w:t>
      </w:r>
      <w:r w:rsidRPr="001A2436">
        <w:rPr>
          <w:noProof/>
        </w:rPr>
        <w:t>“mot de passe à usage unique”</w:t>
      </w:r>
      <w:r w:rsidRPr="001A2436">
        <w:rPr>
          <w:noProof/>
          <w:shd w:val="clear" w:color="auto" w:fill="FFFFFF"/>
        </w:rPr>
        <w:t xml:space="preserve"> généré par une application ou via</w:t>
      </w:r>
      <w:r w:rsidR="00653DF9" w:rsidRPr="001A2436">
        <w:rPr>
          <w:i/>
          <w:noProof/>
          <w:shd w:val="clear" w:color="auto" w:fill="FFFFFF"/>
        </w:rPr>
        <w:t> </w:t>
      </w:r>
      <w:r w:rsidR="005E0B7F" w:rsidRPr="001A2436">
        <w:rPr>
          <w:noProof/>
          <w:shd w:val="clear" w:color="auto" w:fill="FFFFFF"/>
        </w:rPr>
        <w:t xml:space="preserve">SMS) </w:t>
      </w:r>
      <w:r w:rsidRPr="001A2436">
        <w:rPr>
          <w:noProof/>
          <w:shd w:val="clear" w:color="auto" w:fill="FFFFFF"/>
        </w:rPr>
        <w:t xml:space="preserve">dans le cadre de la mise en place de la nouvelle </w:t>
      </w:r>
      <w:r w:rsidR="003D6116" w:rsidRPr="001A2436">
        <w:rPr>
          <w:noProof/>
          <w:shd w:val="clear" w:color="auto" w:fill="FFFFFF"/>
        </w:rPr>
        <w:t>interface pour les</w:t>
      </w:r>
      <w:r w:rsidRPr="001A2436">
        <w:rPr>
          <w:noProof/>
          <w:shd w:val="clear" w:color="auto" w:fill="FFFFFF"/>
        </w:rPr>
        <w:t xml:space="preserve"> services ePCT</w:t>
      </w:r>
      <w:r w:rsidR="005E0B7F" w:rsidRPr="001A2436">
        <w:rPr>
          <w:noProof/>
          <w:shd w:val="clear" w:color="auto" w:fill="FFFFFF"/>
        </w:rPr>
        <w:t>.</w:t>
      </w:r>
    </w:p>
    <w:p w:rsidR="008F0CBF" w:rsidRPr="001A2436" w:rsidRDefault="001B16ED" w:rsidP="00BF33BC">
      <w:pPr>
        <w:pStyle w:val="ONUMFS"/>
        <w:ind w:right="-143"/>
        <w:rPr>
          <w:noProof/>
          <w:shd w:val="clear" w:color="auto" w:fill="FFFFFF"/>
        </w:rPr>
      </w:pPr>
      <w:r w:rsidRPr="001A2436">
        <w:rPr>
          <w:noProof/>
          <w:shd w:val="clear" w:color="auto" w:fill="FFFFFF"/>
        </w:rPr>
        <w:t>Abandon des anciens services</w:t>
      </w:r>
      <w:r w:rsidR="009701D4" w:rsidRPr="001A2436">
        <w:rPr>
          <w:noProof/>
          <w:shd w:val="clear" w:color="auto" w:fill="FFFFFF"/>
        </w:rPr>
        <w:t> :</w:t>
      </w:r>
      <w:r w:rsidRPr="001A2436">
        <w:rPr>
          <w:noProof/>
          <w:shd w:val="clear" w:color="auto" w:fill="FFFFFF"/>
        </w:rPr>
        <w:t xml:space="preserve"> avec l</w:t>
      </w:r>
      <w:r w:rsidR="009701D4" w:rsidRPr="001A2436">
        <w:rPr>
          <w:noProof/>
          <w:shd w:val="clear" w:color="auto" w:fill="FFFFFF"/>
        </w:rPr>
        <w:t>’</w:t>
      </w:r>
      <w:r w:rsidRPr="001A2436">
        <w:rPr>
          <w:noProof/>
          <w:shd w:val="clear" w:color="auto" w:fill="FFFFFF"/>
        </w:rPr>
        <w:t>émergence de solutions plus efficaces et accessibles, les activités de transition ci</w:t>
      </w:r>
      <w:r w:rsidR="009701D4" w:rsidRPr="001A2436">
        <w:rPr>
          <w:noProof/>
          <w:shd w:val="clear" w:color="auto" w:fill="FFFFFF"/>
        </w:rPr>
        <w:t>-</w:t>
      </w:r>
      <w:r w:rsidRPr="001A2436">
        <w:rPr>
          <w:noProof/>
          <w:shd w:val="clear" w:color="auto" w:fill="FFFFFF"/>
        </w:rPr>
        <w:t>après doivent être prises en considération pour les trois anciens services figurant dans le document</w:t>
      </w:r>
      <w:r w:rsidR="007C62FD" w:rsidRPr="001A2436">
        <w:rPr>
          <w:noProof/>
          <w:shd w:val="clear" w:color="auto" w:fill="FFFFFF"/>
        </w:rPr>
        <w:t> </w:t>
      </w:r>
      <w:r w:rsidRPr="001A2436">
        <w:rPr>
          <w:noProof/>
          <w:shd w:val="clear" w:color="auto" w:fill="FFFFFF"/>
        </w:rPr>
        <w:t>WO/GA/43/15.</w:t>
      </w:r>
    </w:p>
    <w:p w:rsidR="008F0CBF" w:rsidRPr="001A2436" w:rsidRDefault="001B16ED" w:rsidP="00BF33BC">
      <w:pPr>
        <w:pStyle w:val="ONUMFS"/>
        <w:numPr>
          <w:ilvl w:val="1"/>
          <w:numId w:val="6"/>
        </w:numPr>
        <w:ind w:right="-143"/>
        <w:rPr>
          <w:noProof/>
          <w:shd w:val="clear" w:color="auto" w:fill="FFFFFF"/>
        </w:rPr>
      </w:pPr>
      <w:r w:rsidRPr="001A2436">
        <w:rPr>
          <w:noProof/>
          <w:shd w:val="clear" w:color="auto" w:fill="FFFFFF"/>
        </w:rPr>
        <w:t>PCT</w:t>
      </w:r>
      <w:r w:rsidR="009701D4" w:rsidRPr="001A2436">
        <w:rPr>
          <w:noProof/>
          <w:shd w:val="clear" w:color="auto" w:fill="FFFFFF"/>
        </w:rPr>
        <w:t>-</w:t>
      </w:r>
      <w:r w:rsidRPr="001A2436">
        <w:rPr>
          <w:noProof/>
          <w:shd w:val="clear" w:color="auto" w:fill="FFFFFF"/>
        </w:rPr>
        <w:t>SAFE</w:t>
      </w:r>
      <w:r w:rsidR="009701D4" w:rsidRPr="001A2436">
        <w:rPr>
          <w:noProof/>
          <w:shd w:val="clear" w:color="auto" w:fill="FFFFFF"/>
        </w:rPr>
        <w:t> :</w:t>
      </w:r>
      <w:r w:rsidRPr="001A2436">
        <w:rPr>
          <w:noProof/>
          <w:shd w:val="clear" w:color="auto" w:fill="FFFFFF"/>
        </w:rPr>
        <w:t xml:space="preserve"> avec le remplacement de PCT</w:t>
      </w:r>
      <w:r w:rsidR="009701D4" w:rsidRPr="001A2436">
        <w:rPr>
          <w:noProof/>
          <w:shd w:val="clear" w:color="auto" w:fill="FFFFFF"/>
        </w:rPr>
        <w:t>-</w:t>
      </w:r>
      <w:r w:rsidRPr="001A2436">
        <w:rPr>
          <w:noProof/>
          <w:shd w:val="clear" w:color="auto" w:fill="FFFFFF"/>
        </w:rPr>
        <w:t>SAFE par le système ePCT en tant que solution proposée par le Bureau international pour le dépôt électronique dans</w:t>
      </w:r>
      <w:r w:rsidRPr="001A2436">
        <w:rPr>
          <w:noProof/>
          <w:color w:val="000000"/>
          <w:shd w:val="clear" w:color="auto" w:fill="FFFFFF"/>
        </w:rPr>
        <w:t xml:space="preserve"> le cadre du PCT, le nombre d</w:t>
      </w:r>
      <w:r w:rsidR="009701D4" w:rsidRPr="001A2436">
        <w:rPr>
          <w:noProof/>
          <w:color w:val="000000"/>
          <w:shd w:val="clear" w:color="auto" w:fill="FFFFFF"/>
        </w:rPr>
        <w:t>’</w:t>
      </w:r>
      <w:r w:rsidRPr="001A2436">
        <w:rPr>
          <w:noProof/>
          <w:color w:val="000000"/>
          <w:shd w:val="clear" w:color="auto" w:fill="FFFFFF"/>
        </w:rPr>
        <w:t>offices récepteurs qui acceptent les dépôts électroniques dans le cadre du PCT au moyen de PCT</w:t>
      </w:r>
      <w:r w:rsidR="009701D4" w:rsidRPr="001A2436">
        <w:rPr>
          <w:noProof/>
          <w:color w:val="000000"/>
          <w:shd w:val="clear" w:color="auto" w:fill="FFFFFF"/>
        </w:rPr>
        <w:t>-</w:t>
      </w:r>
      <w:r w:rsidRPr="001A2436">
        <w:rPr>
          <w:noProof/>
          <w:color w:val="000000"/>
          <w:shd w:val="clear" w:color="auto" w:fill="FFFFFF"/>
        </w:rPr>
        <w:t xml:space="preserve">SAFE est passé de 27 en 2013 à 20.  Cependant, des </w:t>
      </w:r>
      <w:r w:rsidRPr="001A2436">
        <w:rPr>
          <w:noProof/>
          <w:color w:val="000000"/>
          <w:shd w:val="clear" w:color="auto" w:fill="FFFFFF"/>
        </w:rPr>
        <w:lastRenderedPageBreak/>
        <w:t>versions mises à jour du logiciel PCT</w:t>
      </w:r>
      <w:r w:rsidR="009701D4" w:rsidRPr="001A2436">
        <w:rPr>
          <w:noProof/>
          <w:color w:val="000000"/>
          <w:shd w:val="clear" w:color="auto" w:fill="FFFFFF"/>
        </w:rPr>
        <w:t>-</w:t>
      </w:r>
      <w:r w:rsidRPr="001A2436">
        <w:rPr>
          <w:noProof/>
          <w:color w:val="000000"/>
          <w:shd w:val="clear" w:color="auto" w:fill="FFFFFF"/>
        </w:rPr>
        <w:t>SAFE ont continué d</w:t>
      </w:r>
      <w:r w:rsidR="009701D4" w:rsidRPr="001A2436">
        <w:rPr>
          <w:noProof/>
          <w:color w:val="000000"/>
          <w:shd w:val="clear" w:color="auto" w:fill="FFFFFF"/>
        </w:rPr>
        <w:t>’</w:t>
      </w:r>
      <w:r w:rsidRPr="001A2436">
        <w:rPr>
          <w:noProof/>
          <w:color w:val="000000"/>
          <w:shd w:val="clear" w:color="auto" w:fill="FFFFFF"/>
        </w:rPr>
        <w:t>être diffusées en temps opportun pour suivre l</w:t>
      </w:r>
      <w:r w:rsidR="009701D4" w:rsidRPr="001A2436">
        <w:rPr>
          <w:noProof/>
          <w:color w:val="000000"/>
          <w:shd w:val="clear" w:color="auto" w:fill="FFFFFF"/>
        </w:rPr>
        <w:t>’</w:t>
      </w:r>
      <w:r w:rsidRPr="001A2436">
        <w:rPr>
          <w:noProof/>
          <w:color w:val="000000"/>
          <w:shd w:val="clear" w:color="auto" w:fill="FFFFFF"/>
        </w:rPr>
        <w:t>évolution constante du cadre législatif et des procédures du PCT, incluant par exemple différentes modifications apportées au règlement d</w:t>
      </w:r>
      <w:r w:rsidR="009701D4" w:rsidRPr="001A2436">
        <w:rPr>
          <w:noProof/>
          <w:color w:val="000000"/>
          <w:shd w:val="clear" w:color="auto" w:fill="FFFFFF"/>
        </w:rPr>
        <w:t>’</w:t>
      </w:r>
      <w:r w:rsidRPr="001A2436">
        <w:rPr>
          <w:noProof/>
          <w:color w:val="000000"/>
          <w:shd w:val="clear" w:color="auto" w:fill="FFFFFF"/>
        </w:rPr>
        <w:t>exécution du PCT.</w:t>
      </w:r>
    </w:p>
    <w:p w:rsidR="005E0B7F" w:rsidRPr="001A2436" w:rsidRDefault="001B16ED" w:rsidP="00BF33BC">
      <w:pPr>
        <w:pStyle w:val="ONUMFS"/>
        <w:numPr>
          <w:ilvl w:val="1"/>
          <w:numId w:val="6"/>
        </w:numPr>
        <w:ind w:right="-143"/>
        <w:rPr>
          <w:noProof/>
          <w:shd w:val="clear" w:color="auto" w:fill="FFFFFF"/>
        </w:rPr>
      </w:pPr>
      <w:r w:rsidRPr="001A2436">
        <w:rPr>
          <w:noProof/>
          <w:shd w:val="clear" w:color="auto" w:fill="FFFFFF"/>
        </w:rPr>
        <w:t>PCT</w:t>
      </w:r>
      <w:r w:rsidR="009701D4" w:rsidRPr="001A2436">
        <w:rPr>
          <w:noProof/>
          <w:shd w:val="clear" w:color="auto" w:fill="FFFFFF"/>
        </w:rPr>
        <w:t>-</w:t>
      </w:r>
      <w:r w:rsidRPr="001A2436">
        <w:rPr>
          <w:noProof/>
          <w:shd w:val="clear" w:color="auto" w:fill="FFFFFF"/>
        </w:rPr>
        <w:t>EASY</w:t>
      </w:r>
      <w:r w:rsidR="009701D4" w:rsidRPr="001A2436">
        <w:rPr>
          <w:noProof/>
          <w:shd w:val="clear" w:color="auto" w:fill="FFFFFF"/>
        </w:rPr>
        <w:t> :</w:t>
      </w:r>
      <w:r w:rsidRPr="001A2436">
        <w:rPr>
          <w:noProof/>
          <w:shd w:val="clear" w:color="auto" w:fill="FFFFFF"/>
        </w:rPr>
        <w:t xml:space="preserve"> à l</w:t>
      </w:r>
      <w:r w:rsidR="009701D4" w:rsidRPr="001A2436">
        <w:rPr>
          <w:noProof/>
          <w:shd w:val="clear" w:color="auto" w:fill="FFFFFF"/>
        </w:rPr>
        <w:t>’</w:t>
      </w:r>
      <w:r w:rsidRPr="001A2436">
        <w:rPr>
          <w:noProof/>
          <w:shd w:val="clear" w:color="auto" w:fill="FFFFFF"/>
        </w:rPr>
        <w:t xml:space="preserve">issue de consultations entre le Bureau international et les États </w:t>
      </w:r>
      <w:r w:rsidRPr="001A2436">
        <w:rPr>
          <w:noProof/>
          <w:color w:val="000000"/>
          <w:shd w:val="clear" w:color="auto" w:fill="FFFFFF"/>
        </w:rPr>
        <w:t>membres</w:t>
      </w:r>
      <w:r w:rsidRPr="001A2436">
        <w:rPr>
          <w:noProof/>
          <w:shd w:val="clear" w:color="auto" w:fill="FFFFFF"/>
        </w:rPr>
        <w:t>, la méthode de dépôt PCT</w:t>
      </w:r>
      <w:r w:rsidR="009701D4" w:rsidRPr="001A2436">
        <w:rPr>
          <w:noProof/>
          <w:shd w:val="clear" w:color="auto" w:fill="FFFFFF"/>
        </w:rPr>
        <w:t>-</w:t>
      </w:r>
      <w:r w:rsidRPr="001A2436">
        <w:rPr>
          <w:noProof/>
          <w:shd w:val="clear" w:color="auto" w:fill="FFFFFF"/>
        </w:rPr>
        <w:t>EASY a été abandonnée à compter du</w:t>
      </w:r>
      <w:r w:rsidR="009701D4" w:rsidRPr="001A2436">
        <w:rPr>
          <w:noProof/>
          <w:shd w:val="clear" w:color="auto" w:fill="FFFFFF"/>
        </w:rPr>
        <w:t xml:space="preserve"> 1</w:t>
      </w:r>
      <w:r w:rsidR="009701D4" w:rsidRPr="001A2436">
        <w:rPr>
          <w:noProof/>
          <w:shd w:val="clear" w:color="auto" w:fill="FFFFFF"/>
          <w:vertAlign w:val="superscript"/>
        </w:rPr>
        <w:t>er</w:t>
      </w:r>
      <w:r w:rsidR="009701D4" w:rsidRPr="001A2436">
        <w:rPr>
          <w:noProof/>
          <w:shd w:val="clear" w:color="auto" w:fill="FFFFFF"/>
        </w:rPr>
        <w:t> </w:t>
      </w:r>
      <w:r w:rsidRPr="001A2436">
        <w:rPr>
          <w:noProof/>
          <w:shd w:val="clear" w:color="auto" w:fill="FFFFFF"/>
        </w:rPr>
        <w:t>juillet 2015.</w:t>
      </w:r>
    </w:p>
    <w:p w:rsidR="008F0CBF" w:rsidRPr="001A2436" w:rsidRDefault="001B16ED" w:rsidP="00BF33BC">
      <w:pPr>
        <w:pStyle w:val="ONUMFS"/>
        <w:numPr>
          <w:ilvl w:val="1"/>
          <w:numId w:val="6"/>
        </w:numPr>
        <w:ind w:right="-143"/>
        <w:rPr>
          <w:noProof/>
          <w:shd w:val="clear" w:color="auto" w:fill="FFFFFF"/>
        </w:rPr>
      </w:pPr>
      <w:r w:rsidRPr="001A2436">
        <w:rPr>
          <w:noProof/>
          <w:shd w:val="clear" w:color="auto" w:fill="FFFFFF"/>
        </w:rPr>
        <w:t>système PCT de commande automatique de documents (PADOS)</w:t>
      </w:r>
      <w:r w:rsidR="009701D4" w:rsidRPr="001A2436">
        <w:rPr>
          <w:noProof/>
          <w:shd w:val="clear" w:color="auto" w:fill="FFFFFF"/>
        </w:rPr>
        <w:t> :</w:t>
      </w:r>
      <w:r w:rsidRPr="001A2436">
        <w:rPr>
          <w:noProof/>
          <w:shd w:val="clear" w:color="auto" w:fill="FFFFFF"/>
        </w:rPr>
        <w:t xml:space="preserve"> le Bureau </w:t>
      </w:r>
      <w:r w:rsidRPr="001A2436">
        <w:rPr>
          <w:noProof/>
          <w:color w:val="000000"/>
          <w:shd w:val="clear" w:color="auto" w:fill="FFFFFF"/>
        </w:rPr>
        <w:t>international</w:t>
      </w:r>
      <w:r w:rsidRPr="001A2436">
        <w:rPr>
          <w:noProof/>
          <w:shd w:val="clear" w:color="auto" w:fill="FFFFFF"/>
        </w:rPr>
        <w:t xml:space="preserve"> a demandé au dernier office utilisant le système (l</w:t>
      </w:r>
      <w:r w:rsidR="009701D4" w:rsidRPr="001A2436">
        <w:rPr>
          <w:noProof/>
          <w:shd w:val="clear" w:color="auto" w:fill="FFFFFF"/>
        </w:rPr>
        <w:t>’</w:t>
      </w:r>
      <w:r w:rsidRPr="001A2436">
        <w:rPr>
          <w:noProof/>
          <w:shd w:val="clear" w:color="auto" w:fill="FFFFFF"/>
        </w:rPr>
        <w:t>Office des brevets du Japon) de passer aux services en ligne PATENTSCOPE.</w:t>
      </w:r>
    </w:p>
    <w:p w:rsidR="00BA40AA" w:rsidRPr="001A2436" w:rsidRDefault="00861D47" w:rsidP="00BF33BC">
      <w:pPr>
        <w:pStyle w:val="ONUMFS"/>
        <w:ind w:right="-143"/>
        <w:rPr>
          <w:noProof/>
          <w:shd w:val="clear" w:color="auto" w:fill="FFFFFF"/>
        </w:rPr>
      </w:pPr>
      <w:r w:rsidRPr="001A2436">
        <w:rPr>
          <w:noProof/>
          <w:shd w:val="clear" w:color="auto" w:fill="FFFFFF"/>
        </w:rPr>
        <w:t>Le programme 15 a pour objectif de renforcer les systèmes de traitement et les infrastructures techniques des offices de propriété industrielle nationaux et régionaux afin qu</w:t>
      </w:r>
      <w:r w:rsidR="009701D4" w:rsidRPr="001A2436">
        <w:rPr>
          <w:noProof/>
          <w:shd w:val="clear" w:color="auto" w:fill="FFFFFF"/>
        </w:rPr>
        <w:t>’</w:t>
      </w:r>
      <w:r w:rsidRPr="001A2436">
        <w:rPr>
          <w:noProof/>
          <w:shd w:val="clear" w:color="auto" w:fill="FFFFFF"/>
        </w:rPr>
        <w:t>ils puissent assurer des services offrant un meilleur rapport coût/efficacité et de plus grande qualité à leurs parties prenant</w:t>
      </w:r>
      <w:r w:rsidR="007C62FD" w:rsidRPr="001A2436">
        <w:rPr>
          <w:noProof/>
          <w:shd w:val="clear" w:color="auto" w:fill="FFFFFF"/>
        </w:rPr>
        <w:t>es.  L’a</w:t>
      </w:r>
      <w:r w:rsidRPr="001A2436">
        <w:rPr>
          <w:noProof/>
          <w:shd w:val="clear" w:color="auto" w:fill="FFFFFF"/>
        </w:rPr>
        <w:t>ssistance fournie est conforme aux recommandations du Plan d</w:t>
      </w:r>
      <w:r w:rsidR="009701D4" w:rsidRPr="001A2436">
        <w:rPr>
          <w:noProof/>
          <w:shd w:val="clear" w:color="auto" w:fill="FFFFFF"/>
        </w:rPr>
        <w:t>’</w:t>
      </w:r>
      <w:r w:rsidRPr="001A2436">
        <w:rPr>
          <w:noProof/>
          <w:shd w:val="clear" w:color="auto" w:fill="FFFFFF"/>
        </w:rPr>
        <w:t>action pour le développement visant à renforcer les infrastructures institutionnelles et techniques des offices et des institutions de propriété industriel</w:t>
      </w:r>
      <w:r w:rsidR="007C62FD" w:rsidRPr="001A2436">
        <w:rPr>
          <w:noProof/>
          <w:shd w:val="clear" w:color="auto" w:fill="FFFFFF"/>
        </w:rPr>
        <w:t>le.  Le</w:t>
      </w:r>
      <w:r w:rsidRPr="001A2436">
        <w:rPr>
          <w:noProof/>
          <w:shd w:val="clear" w:color="auto" w:fill="FFFFFF"/>
        </w:rPr>
        <w:t>s services prévus par le programme comprennent notamment la fourniture de conseils techniques, l</w:t>
      </w:r>
      <w:r w:rsidR="009701D4" w:rsidRPr="001A2436">
        <w:rPr>
          <w:noProof/>
          <w:shd w:val="clear" w:color="auto" w:fill="FFFFFF"/>
        </w:rPr>
        <w:t>’</w:t>
      </w:r>
      <w:r w:rsidRPr="001A2436">
        <w:rPr>
          <w:noProof/>
          <w:shd w:val="clear" w:color="auto" w:fill="FFFFFF"/>
        </w:rPr>
        <w:t>évaluation des besoins opérationnels, la définition de la portée et la planification des projets, l</w:t>
      </w:r>
      <w:r w:rsidR="009701D4" w:rsidRPr="001A2436">
        <w:rPr>
          <w:noProof/>
          <w:shd w:val="clear" w:color="auto" w:fill="FFFFFF"/>
        </w:rPr>
        <w:t>’</w:t>
      </w:r>
      <w:r w:rsidRPr="001A2436">
        <w:rPr>
          <w:noProof/>
          <w:shd w:val="clear" w:color="auto" w:fill="FFFFFF"/>
        </w:rPr>
        <w:t>analyse du processus opérationnel, le développement et le déploiement continus des solutions opérationnelles spécialement adaptées à l</w:t>
      </w:r>
      <w:r w:rsidR="009701D4" w:rsidRPr="001A2436">
        <w:rPr>
          <w:noProof/>
          <w:shd w:val="clear" w:color="auto" w:fill="FFFFFF"/>
        </w:rPr>
        <w:t>’</w:t>
      </w:r>
      <w:r w:rsidRPr="001A2436">
        <w:rPr>
          <w:noProof/>
          <w:shd w:val="clear" w:color="auto" w:fill="FFFFFF"/>
        </w:rPr>
        <w:t>administration des droits de propriété intellectuelle et à l</w:t>
      </w:r>
      <w:r w:rsidR="009701D4" w:rsidRPr="001A2436">
        <w:rPr>
          <w:noProof/>
          <w:shd w:val="clear" w:color="auto" w:fill="FFFFFF"/>
        </w:rPr>
        <w:t>’</w:t>
      </w:r>
      <w:r w:rsidRPr="001A2436">
        <w:rPr>
          <w:noProof/>
          <w:shd w:val="clear" w:color="auto" w:fill="FFFFFF"/>
        </w:rPr>
        <w:t>échange des documents de priorité et des résultats des recherches et des examens, l</w:t>
      </w:r>
      <w:r w:rsidR="009701D4" w:rsidRPr="001A2436">
        <w:rPr>
          <w:noProof/>
          <w:shd w:val="clear" w:color="auto" w:fill="FFFFFF"/>
        </w:rPr>
        <w:t>’</w:t>
      </w:r>
      <w:r w:rsidRPr="001A2436">
        <w:rPr>
          <w:noProof/>
          <w:shd w:val="clear" w:color="auto" w:fill="FFFFFF"/>
        </w:rPr>
        <w:t>établissement de bases de données sur la propriété intellectuelle, l</w:t>
      </w:r>
      <w:r w:rsidR="009701D4" w:rsidRPr="001A2436">
        <w:rPr>
          <w:noProof/>
          <w:shd w:val="clear" w:color="auto" w:fill="FFFFFF"/>
        </w:rPr>
        <w:t>’</w:t>
      </w:r>
      <w:r w:rsidRPr="001A2436">
        <w:rPr>
          <w:noProof/>
          <w:shd w:val="clear" w:color="auto" w:fill="FFFFFF"/>
        </w:rPr>
        <w:t>assistance à la numérisation des dossiers de propriété intellectuelle et à la préparation des données pour la publication en ligne et l</w:t>
      </w:r>
      <w:r w:rsidR="009701D4" w:rsidRPr="001A2436">
        <w:rPr>
          <w:noProof/>
          <w:shd w:val="clear" w:color="auto" w:fill="FFFFFF"/>
        </w:rPr>
        <w:t>’</w:t>
      </w:r>
      <w:r w:rsidRPr="001A2436">
        <w:rPr>
          <w:noProof/>
          <w:shd w:val="clear" w:color="auto" w:fill="FFFFFF"/>
        </w:rPr>
        <w:t>échange électronique des données, la formation et le transfert de connaissances au personnel des institutions de propriété industrielle, et l</w:t>
      </w:r>
      <w:r w:rsidR="009701D4" w:rsidRPr="001A2436">
        <w:rPr>
          <w:noProof/>
          <w:shd w:val="clear" w:color="auto" w:fill="FFFFFF"/>
        </w:rPr>
        <w:t>’</w:t>
      </w:r>
      <w:r w:rsidRPr="001A2436">
        <w:rPr>
          <w:noProof/>
          <w:shd w:val="clear" w:color="auto" w:fill="FFFFFF"/>
        </w:rPr>
        <w:t>appui aux systèmes fournis par l</w:t>
      </w:r>
      <w:r w:rsidR="009701D4" w:rsidRPr="001A2436">
        <w:rPr>
          <w:noProof/>
          <w:shd w:val="clear" w:color="auto" w:fill="FFFFFF"/>
        </w:rPr>
        <w:t>’</w:t>
      </w:r>
      <w:r w:rsidRPr="001A2436">
        <w:rPr>
          <w:noProof/>
          <w:shd w:val="clear" w:color="auto" w:fill="FFFFFF"/>
        </w:rPr>
        <w:t>O</w:t>
      </w:r>
      <w:r w:rsidR="007C62FD" w:rsidRPr="001A2436">
        <w:rPr>
          <w:noProof/>
          <w:shd w:val="clear" w:color="auto" w:fill="FFFFFF"/>
        </w:rPr>
        <w:t>MPI.  Le</w:t>
      </w:r>
      <w:r w:rsidRPr="001A2436">
        <w:rPr>
          <w:noProof/>
          <w:shd w:val="clear" w:color="auto" w:fill="FFFFFF"/>
        </w:rPr>
        <w:t xml:space="preserve"> cas échéant, l</w:t>
      </w:r>
      <w:r w:rsidR="009701D4" w:rsidRPr="001A2436">
        <w:rPr>
          <w:noProof/>
          <w:shd w:val="clear" w:color="auto" w:fill="FFFFFF"/>
        </w:rPr>
        <w:t>’</w:t>
      </w:r>
      <w:r w:rsidRPr="001A2436">
        <w:rPr>
          <w:noProof/>
          <w:shd w:val="clear" w:color="auto" w:fill="FFFFFF"/>
        </w:rPr>
        <w:t>assistance porte sur les normes de l</w:t>
      </w:r>
      <w:r w:rsidR="009701D4" w:rsidRPr="001A2436">
        <w:rPr>
          <w:noProof/>
          <w:shd w:val="clear" w:color="auto" w:fill="FFFFFF"/>
        </w:rPr>
        <w:t>’</w:t>
      </w:r>
      <w:r w:rsidRPr="001A2436">
        <w:rPr>
          <w:noProof/>
          <w:shd w:val="clear" w:color="auto" w:fill="FFFFFF"/>
        </w:rPr>
        <w:t>OMPI sur les données et l</w:t>
      </w:r>
      <w:r w:rsidR="009701D4" w:rsidRPr="001A2436">
        <w:rPr>
          <w:noProof/>
          <w:shd w:val="clear" w:color="auto" w:fill="FFFFFF"/>
        </w:rPr>
        <w:t>’</w:t>
      </w:r>
      <w:r w:rsidRPr="001A2436">
        <w:rPr>
          <w:noProof/>
          <w:shd w:val="clear" w:color="auto" w:fill="FFFFFF"/>
        </w:rPr>
        <w:t>information en matière de propriété intellectuel</w:t>
      </w:r>
      <w:r w:rsidR="007C62FD" w:rsidRPr="001A2436">
        <w:rPr>
          <w:noProof/>
          <w:shd w:val="clear" w:color="auto" w:fill="FFFFFF"/>
        </w:rPr>
        <w:t>le.  Le</w:t>
      </w:r>
      <w:r w:rsidRPr="001A2436">
        <w:rPr>
          <w:noProof/>
          <w:shd w:val="clear" w:color="auto" w:fill="FFFFFF"/>
        </w:rPr>
        <w:t>s formations sur le terrain, le parrainage et les ateliers régionaux de formation représentent une partie significative des travaux du programme et jouent un rôle essentiel dans l</w:t>
      </w:r>
      <w:r w:rsidR="009701D4" w:rsidRPr="001A2436">
        <w:rPr>
          <w:noProof/>
          <w:shd w:val="clear" w:color="auto" w:fill="FFFFFF"/>
        </w:rPr>
        <w:t>’</w:t>
      </w:r>
      <w:r w:rsidRPr="001A2436">
        <w:rPr>
          <w:noProof/>
          <w:shd w:val="clear" w:color="auto" w:fill="FFFFFF"/>
        </w:rPr>
        <w:t>obtention des résultats escomptés.</w:t>
      </w:r>
    </w:p>
    <w:p w:rsidR="00BA40AA" w:rsidRPr="001A2436" w:rsidRDefault="00861D47" w:rsidP="00BF33BC">
      <w:pPr>
        <w:pStyle w:val="ONUMFS"/>
        <w:ind w:right="-143"/>
        <w:rPr>
          <w:noProof/>
          <w:shd w:val="clear" w:color="auto" w:fill="FFFFFF"/>
        </w:rPr>
      </w:pPr>
      <w:r w:rsidRPr="001A2436">
        <w:rPr>
          <w:noProof/>
          <w:shd w:val="clear" w:color="auto" w:fill="FFFFFF"/>
        </w:rPr>
        <w:t>Dans le contexte de ce programme, des activités ont été entreprises en 2016 avec 85 offices de propriété industrielle, notamment 15 ateliers de formation régionaux ou sous régiona</w:t>
      </w:r>
      <w:r w:rsidR="007C62FD" w:rsidRPr="001A2436">
        <w:rPr>
          <w:noProof/>
          <w:shd w:val="clear" w:color="auto" w:fill="FFFFFF"/>
        </w:rPr>
        <w:t xml:space="preserve">ux.  À </w:t>
      </w:r>
      <w:r w:rsidRPr="001A2436">
        <w:rPr>
          <w:noProof/>
          <w:shd w:val="clear" w:color="auto" w:fill="FFFFFF"/>
        </w:rPr>
        <w:t>la fin de l</w:t>
      </w:r>
      <w:r w:rsidR="009701D4" w:rsidRPr="001A2436">
        <w:rPr>
          <w:noProof/>
          <w:shd w:val="clear" w:color="auto" w:fill="FFFFFF"/>
        </w:rPr>
        <w:t>’</w:t>
      </w:r>
      <w:r w:rsidRPr="001A2436">
        <w:rPr>
          <w:noProof/>
          <w:shd w:val="clear" w:color="auto" w:fill="FFFFFF"/>
        </w:rPr>
        <w:t>année 2016, 81 offices de pays en développement du monde entier utilisaient activement les solutions opérationnelles de l</w:t>
      </w:r>
      <w:r w:rsidR="009701D4" w:rsidRPr="001A2436">
        <w:rPr>
          <w:noProof/>
          <w:shd w:val="clear" w:color="auto" w:fill="FFFFFF"/>
        </w:rPr>
        <w:t>’</w:t>
      </w:r>
      <w:r w:rsidRPr="001A2436">
        <w:rPr>
          <w:noProof/>
          <w:shd w:val="clear" w:color="auto" w:fill="FFFFFF"/>
        </w:rPr>
        <w:t>OMPI pour l</w:t>
      </w:r>
      <w:r w:rsidR="009701D4" w:rsidRPr="001A2436">
        <w:rPr>
          <w:noProof/>
          <w:shd w:val="clear" w:color="auto" w:fill="FFFFFF"/>
        </w:rPr>
        <w:t>’</w:t>
      </w:r>
      <w:r w:rsidRPr="001A2436">
        <w:rPr>
          <w:noProof/>
          <w:shd w:val="clear" w:color="auto" w:fill="FFFFFF"/>
        </w:rPr>
        <w:t>administration de leurs droits de propriété intellectuel</w:t>
      </w:r>
      <w:r w:rsidR="007C62FD" w:rsidRPr="001A2436">
        <w:rPr>
          <w:noProof/>
          <w:shd w:val="clear" w:color="auto" w:fill="FFFFFF"/>
        </w:rPr>
        <w:t>le.  Un</w:t>
      </w:r>
      <w:r w:rsidRPr="001A2436">
        <w:rPr>
          <w:noProof/>
          <w:shd w:val="clear" w:color="auto" w:fill="FFFFFF"/>
        </w:rPr>
        <w:t xml:space="preserve"> élément essentiel du programme pour l</w:t>
      </w:r>
      <w:r w:rsidR="009701D4" w:rsidRPr="001A2436">
        <w:rPr>
          <w:noProof/>
          <w:shd w:val="clear" w:color="auto" w:fill="FFFFFF"/>
        </w:rPr>
        <w:t>’</w:t>
      </w:r>
      <w:r w:rsidRPr="001A2436">
        <w:rPr>
          <w:noProof/>
          <w:shd w:val="clear" w:color="auto" w:fill="FFFFFF"/>
        </w:rPr>
        <w:t>exercice en cours consiste à améliorer le niveau de service des offices en les aidant à accéder à davantage de services en ligne pour le dépôt des demandes et la diffusion de l</w:t>
      </w:r>
      <w:r w:rsidR="009701D4" w:rsidRPr="001A2436">
        <w:rPr>
          <w:noProof/>
          <w:shd w:val="clear" w:color="auto" w:fill="FFFFFF"/>
        </w:rPr>
        <w:t>’</w:t>
      </w:r>
      <w:r w:rsidRPr="001A2436">
        <w:rPr>
          <w:noProof/>
          <w:shd w:val="clear" w:color="auto" w:fill="FFFFFF"/>
        </w:rPr>
        <w:t>information en matière de propriété intellectuel</w:t>
      </w:r>
      <w:r w:rsidR="007C62FD" w:rsidRPr="001A2436">
        <w:rPr>
          <w:noProof/>
          <w:shd w:val="clear" w:color="auto" w:fill="FFFFFF"/>
        </w:rPr>
        <w:t>le.  On</w:t>
      </w:r>
      <w:r w:rsidRPr="001A2436">
        <w:rPr>
          <w:noProof/>
          <w:shd w:val="clear" w:color="auto" w:fill="FFFFFF"/>
        </w:rPr>
        <w:t xml:space="preserve"> trouvera davantage d</w:t>
      </w:r>
      <w:r w:rsidR="009701D4" w:rsidRPr="001A2436">
        <w:rPr>
          <w:noProof/>
          <w:shd w:val="clear" w:color="auto" w:fill="FFFFFF"/>
        </w:rPr>
        <w:t>’</w:t>
      </w:r>
      <w:r w:rsidRPr="001A2436">
        <w:rPr>
          <w:noProof/>
          <w:shd w:val="clear" w:color="auto" w:fill="FFFFFF"/>
        </w:rPr>
        <w:t>informations sur le site Web du programme d</w:t>
      </w:r>
      <w:r w:rsidR="009701D4" w:rsidRPr="001A2436">
        <w:rPr>
          <w:noProof/>
          <w:shd w:val="clear" w:color="auto" w:fill="FFFFFF"/>
        </w:rPr>
        <w:t>’</w:t>
      </w:r>
      <w:r w:rsidRPr="001A2436">
        <w:rPr>
          <w:noProof/>
          <w:shd w:val="clear" w:color="auto" w:fill="FFFFFF"/>
        </w:rPr>
        <w:t>assistance technique de l</w:t>
      </w:r>
      <w:r w:rsidR="009701D4" w:rsidRPr="001A2436">
        <w:rPr>
          <w:noProof/>
          <w:shd w:val="clear" w:color="auto" w:fill="FFFFFF"/>
        </w:rPr>
        <w:t>’</w:t>
      </w:r>
      <w:r w:rsidRPr="001A2436">
        <w:rPr>
          <w:noProof/>
          <w:shd w:val="clear" w:color="auto" w:fill="FFFFFF"/>
        </w:rPr>
        <w:t>OMPI à l</w:t>
      </w:r>
      <w:r w:rsidR="009701D4" w:rsidRPr="001A2436">
        <w:rPr>
          <w:noProof/>
          <w:shd w:val="clear" w:color="auto" w:fill="FFFFFF"/>
        </w:rPr>
        <w:t>’</w:t>
      </w:r>
      <w:r w:rsidRPr="001A2436">
        <w:rPr>
          <w:noProof/>
          <w:shd w:val="clear" w:color="auto" w:fill="FFFFFF"/>
        </w:rPr>
        <w:t>intention des offices de propriété industrielle à l</w:t>
      </w:r>
      <w:r w:rsidR="009701D4" w:rsidRPr="001A2436">
        <w:rPr>
          <w:noProof/>
          <w:shd w:val="clear" w:color="auto" w:fill="FFFFFF"/>
        </w:rPr>
        <w:t>’</w:t>
      </w:r>
      <w:r w:rsidRPr="001A2436">
        <w:rPr>
          <w:noProof/>
          <w:shd w:val="clear" w:color="auto" w:fill="FFFFFF"/>
        </w:rPr>
        <w:t xml:space="preserve">adresse </w:t>
      </w:r>
      <w:hyperlink r:id="rId9" w:history="1">
        <w:r w:rsidR="00AC466D" w:rsidRPr="001A2436">
          <w:rPr>
            <w:rStyle w:val="Hyperlink"/>
            <w:noProof/>
            <w:color w:val="auto"/>
            <w:szCs w:val="22"/>
            <w:u w:val="none"/>
            <w:shd w:val="clear" w:color="auto" w:fill="FFFFFF"/>
          </w:rPr>
          <w:t>http:</w:t>
        </w:r>
        <w:r w:rsidRPr="001A2436">
          <w:rPr>
            <w:rStyle w:val="Hyperlink"/>
            <w:noProof/>
            <w:color w:val="auto"/>
            <w:szCs w:val="22"/>
            <w:u w:val="none"/>
            <w:shd w:val="clear" w:color="auto" w:fill="FFFFFF"/>
          </w:rPr>
          <w:t>//www.wipo.int/global_ip/fr/activities/technicalassistance/</w:t>
        </w:r>
      </w:hyperlink>
      <w:r w:rsidR="00BA40AA" w:rsidRPr="001A2436">
        <w:rPr>
          <w:noProof/>
          <w:shd w:val="clear" w:color="auto" w:fill="FFFFFF"/>
        </w:rPr>
        <w:t>.</w:t>
      </w:r>
    </w:p>
    <w:p w:rsidR="008F0CBF" w:rsidRPr="001A2436" w:rsidRDefault="008974CB" w:rsidP="00BF33BC">
      <w:pPr>
        <w:pStyle w:val="ONUMFS"/>
        <w:ind w:left="5533" w:right="-143"/>
        <w:rPr>
          <w:i/>
          <w:noProof/>
        </w:rPr>
      </w:pPr>
      <w:r w:rsidRPr="001A2436">
        <w:rPr>
          <w:i/>
          <w:noProof/>
        </w:rPr>
        <w:t>L</w:t>
      </w:r>
      <w:r w:rsidR="009701D4" w:rsidRPr="001A2436">
        <w:rPr>
          <w:i/>
          <w:noProof/>
        </w:rPr>
        <w:t>’</w:t>
      </w:r>
      <w:r w:rsidRPr="001A2436">
        <w:rPr>
          <w:i/>
          <w:noProof/>
        </w:rPr>
        <w:t>Assemblée générale de l</w:t>
      </w:r>
      <w:r w:rsidR="009701D4" w:rsidRPr="001A2436">
        <w:rPr>
          <w:i/>
          <w:noProof/>
        </w:rPr>
        <w:t>’</w:t>
      </w:r>
      <w:r w:rsidRPr="001A2436">
        <w:rPr>
          <w:i/>
          <w:noProof/>
        </w:rPr>
        <w:t>OMPI est invitée à prendre note contenu du document intitulé “Coopération dans le cadre des déclarations communes de la Conférence diplomatique pour l</w:t>
      </w:r>
      <w:r w:rsidR="009701D4" w:rsidRPr="001A2436">
        <w:rPr>
          <w:i/>
          <w:noProof/>
        </w:rPr>
        <w:t>’</w:t>
      </w:r>
      <w:r w:rsidRPr="001A2436">
        <w:rPr>
          <w:i/>
          <w:noProof/>
        </w:rPr>
        <w:t>adoption du Traité sur le droit des brevets”</w:t>
      </w:r>
      <w:r w:rsidR="008F0CBF" w:rsidRPr="001A2436">
        <w:rPr>
          <w:i/>
          <w:noProof/>
        </w:rPr>
        <w:t xml:space="preserve"> (document</w:t>
      </w:r>
      <w:r w:rsidR="006D33C8" w:rsidRPr="001A2436">
        <w:rPr>
          <w:i/>
          <w:noProof/>
        </w:rPr>
        <w:t xml:space="preserve"> </w:t>
      </w:r>
      <w:r w:rsidR="008F0CBF" w:rsidRPr="001A2436">
        <w:rPr>
          <w:i/>
          <w:noProof/>
        </w:rPr>
        <w:t>WO/GA/4</w:t>
      </w:r>
      <w:r w:rsidR="00087A45" w:rsidRPr="001A2436">
        <w:rPr>
          <w:i/>
          <w:noProof/>
        </w:rPr>
        <w:t>9</w:t>
      </w:r>
      <w:r w:rsidR="008F0CBF" w:rsidRPr="001A2436">
        <w:rPr>
          <w:i/>
          <w:noProof/>
        </w:rPr>
        <w:t>/</w:t>
      </w:r>
      <w:r w:rsidR="00D2757B" w:rsidRPr="001A2436">
        <w:rPr>
          <w:i/>
          <w:noProof/>
        </w:rPr>
        <w:t>15</w:t>
      </w:r>
      <w:r w:rsidR="008F0CBF" w:rsidRPr="001A2436">
        <w:rPr>
          <w:i/>
          <w:noProof/>
        </w:rPr>
        <w:t>)</w:t>
      </w:r>
      <w:r w:rsidR="00951A90" w:rsidRPr="001A2436">
        <w:rPr>
          <w:i/>
          <w:noProof/>
        </w:rPr>
        <w:t>.</w:t>
      </w:r>
    </w:p>
    <w:p w:rsidR="00FB12B5" w:rsidRPr="001A2436" w:rsidRDefault="00FB12B5" w:rsidP="006D33C8">
      <w:pPr>
        <w:pStyle w:val="Endofdocument"/>
        <w:ind w:left="5533"/>
        <w:jc w:val="left"/>
        <w:rPr>
          <w:rFonts w:ascii="Arial" w:hAnsi="Arial"/>
          <w:noProof/>
          <w:sz w:val="22"/>
          <w:szCs w:val="22"/>
        </w:rPr>
      </w:pPr>
      <w:bookmarkStart w:id="5" w:name="_GoBack"/>
      <w:bookmarkEnd w:id="5"/>
    </w:p>
    <w:p w:rsidR="00FB12B5" w:rsidRPr="001A2436" w:rsidRDefault="00FB12B5" w:rsidP="006D33C8">
      <w:pPr>
        <w:pStyle w:val="Endofdocument"/>
        <w:ind w:left="5533"/>
        <w:jc w:val="left"/>
        <w:rPr>
          <w:rFonts w:ascii="Arial" w:hAnsi="Arial"/>
          <w:noProof/>
          <w:sz w:val="22"/>
          <w:szCs w:val="22"/>
        </w:rPr>
      </w:pPr>
    </w:p>
    <w:p w:rsidR="008F0CBF" w:rsidRPr="001A2436" w:rsidRDefault="008F0CBF" w:rsidP="006D33C8">
      <w:pPr>
        <w:pStyle w:val="Endofdocument"/>
        <w:ind w:left="5533"/>
        <w:jc w:val="left"/>
        <w:rPr>
          <w:rFonts w:ascii="Arial" w:hAnsi="Arial"/>
          <w:noProof/>
          <w:sz w:val="22"/>
          <w:szCs w:val="22"/>
        </w:rPr>
      </w:pPr>
      <w:r w:rsidRPr="001A2436">
        <w:rPr>
          <w:rFonts w:ascii="Arial" w:hAnsi="Arial"/>
          <w:noProof/>
          <w:sz w:val="22"/>
          <w:szCs w:val="22"/>
        </w:rPr>
        <w:t>[</w:t>
      </w:r>
      <w:r w:rsidR="008974CB" w:rsidRPr="001A2436">
        <w:rPr>
          <w:rFonts w:ascii="Arial" w:hAnsi="Arial"/>
          <w:noProof/>
          <w:sz w:val="22"/>
          <w:szCs w:val="22"/>
        </w:rPr>
        <w:t>Fin du</w:t>
      </w:r>
      <w:r w:rsidRPr="001A2436">
        <w:rPr>
          <w:rFonts w:ascii="Arial" w:hAnsi="Arial"/>
          <w:noProof/>
          <w:sz w:val="22"/>
          <w:szCs w:val="22"/>
        </w:rPr>
        <w:t xml:space="preserve"> document]</w:t>
      </w:r>
    </w:p>
    <w:sectPr w:rsidR="008F0CBF" w:rsidRPr="001A2436" w:rsidSect="00FB12B5">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CBF" w:rsidRDefault="008F0CBF">
      <w:r>
        <w:separator/>
      </w:r>
    </w:p>
  </w:endnote>
  <w:endnote w:type="continuationSeparator" w:id="0">
    <w:p w:rsidR="008F0CBF" w:rsidRDefault="008F0CBF" w:rsidP="003B38C1">
      <w:r>
        <w:separator/>
      </w:r>
    </w:p>
    <w:p w:rsidR="008F0CBF" w:rsidRPr="003B38C1" w:rsidRDefault="008F0CBF" w:rsidP="003B38C1">
      <w:pPr>
        <w:spacing w:after="60"/>
        <w:rPr>
          <w:sz w:val="17"/>
        </w:rPr>
      </w:pPr>
      <w:r>
        <w:rPr>
          <w:sz w:val="17"/>
        </w:rPr>
        <w:t>[Endnote continued from previous page]</w:t>
      </w:r>
    </w:p>
  </w:endnote>
  <w:endnote w:type="continuationNotice" w:id="1">
    <w:p w:rsidR="008F0CBF" w:rsidRPr="003B38C1" w:rsidRDefault="008F0C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D4" w:rsidRPr="009701D4" w:rsidRDefault="009701D4" w:rsidP="009701D4">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CBF" w:rsidRDefault="008F0CBF">
      <w:r>
        <w:separator/>
      </w:r>
    </w:p>
  </w:footnote>
  <w:footnote w:type="continuationSeparator" w:id="0">
    <w:p w:rsidR="008F0CBF" w:rsidRDefault="008F0CBF" w:rsidP="008B60B2">
      <w:r>
        <w:separator/>
      </w:r>
    </w:p>
    <w:p w:rsidR="008F0CBF" w:rsidRPr="00ED77FB" w:rsidRDefault="008F0CBF" w:rsidP="008B60B2">
      <w:pPr>
        <w:spacing w:after="60"/>
        <w:rPr>
          <w:sz w:val="17"/>
          <w:szCs w:val="17"/>
        </w:rPr>
      </w:pPr>
      <w:r w:rsidRPr="00ED77FB">
        <w:rPr>
          <w:sz w:val="17"/>
          <w:szCs w:val="17"/>
        </w:rPr>
        <w:t>[Footnote continued from previous page]</w:t>
      </w:r>
    </w:p>
  </w:footnote>
  <w:footnote w:type="continuationNotice" w:id="1">
    <w:p w:rsidR="008F0CBF" w:rsidRPr="00ED77FB" w:rsidRDefault="008F0CBF" w:rsidP="008B60B2">
      <w:pPr>
        <w:spacing w:before="60"/>
        <w:jc w:val="right"/>
        <w:rPr>
          <w:sz w:val="17"/>
          <w:szCs w:val="17"/>
        </w:rPr>
      </w:pPr>
      <w:r w:rsidRPr="00ED77FB">
        <w:rPr>
          <w:sz w:val="17"/>
          <w:szCs w:val="17"/>
        </w:rPr>
        <w:t>[Footnote continued on next page]</w:t>
      </w:r>
    </w:p>
  </w:footnote>
  <w:footnote w:id="2">
    <w:p w:rsidR="00DB23EF" w:rsidRDefault="006F1B9C" w:rsidP="009C53FE">
      <w:pPr>
        <w:pStyle w:val="FootnoteText"/>
      </w:pPr>
      <w:r w:rsidRPr="00A4547B">
        <w:rPr>
          <w:rStyle w:val="FootnoteReference"/>
        </w:rPr>
        <w:footnoteRef/>
      </w:r>
      <w:r w:rsidRPr="00A4547B">
        <w:t xml:space="preserve"> </w:t>
      </w:r>
      <w:r w:rsidRPr="00A4547B">
        <w:tab/>
        <w:t xml:space="preserve">Voir les </w:t>
      </w:r>
      <w:r w:rsidR="00DB23EF" w:rsidRPr="00A4547B">
        <w:t>paragraphes</w:t>
      </w:r>
      <w:r w:rsidR="00DB23EF">
        <w:t> </w:t>
      </w:r>
      <w:r w:rsidR="00DB23EF" w:rsidRPr="00A4547B">
        <w:t>2</w:t>
      </w:r>
      <w:r w:rsidRPr="00A4547B">
        <w:t>556 et 2563 du compte rendu analytique de la Commission principale I figurant dans les actes de la Conférence diplomatique pour l</w:t>
      </w:r>
      <w:r w:rsidR="00DB23EF">
        <w:t>’</w:t>
      </w:r>
      <w:r w:rsidRPr="00A4547B">
        <w:t>adoption du Traité sur le droit des brevets.</w:t>
      </w:r>
    </w:p>
    <w:p w:rsidR="006F1B9C" w:rsidRPr="00963BC7" w:rsidRDefault="006F1B9C" w:rsidP="009C53FE">
      <w:pPr>
        <w:pStyle w:val="FootnoteText"/>
      </w:pPr>
      <w:r w:rsidRPr="00A4547B">
        <w:t>(Publication OMPI n° 327)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F0CBF" w:rsidP="00477D6B">
    <w:pPr>
      <w:jc w:val="right"/>
    </w:pPr>
    <w:bookmarkStart w:id="6" w:name="Code2"/>
    <w:bookmarkEnd w:id="6"/>
    <w:r>
      <w:t>W</w:t>
    </w:r>
    <w:r w:rsidR="003D3ADA">
      <w:t>O/GA/49/</w:t>
    </w:r>
    <w:r w:rsidR="00D2757B">
      <w:t>15</w:t>
    </w:r>
  </w:p>
  <w:p w:rsidR="00EC4E49" w:rsidRDefault="00EC4E49" w:rsidP="00477D6B">
    <w:pPr>
      <w:jc w:val="right"/>
    </w:pPr>
    <w:proofErr w:type="gramStart"/>
    <w:r>
      <w:t>page</w:t>
    </w:r>
    <w:proofErr w:type="gramEnd"/>
    <w:r w:rsidR="007C62FD">
      <w:t> </w:t>
    </w:r>
    <w:r>
      <w:fldChar w:fldCharType="begin"/>
    </w:r>
    <w:r>
      <w:instrText xml:space="preserve"> PAGE  \* MERGEFORMAT </w:instrText>
    </w:r>
    <w:r>
      <w:fldChar w:fldCharType="separate"/>
    </w:r>
    <w:r w:rsidR="009C53FE">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6D2E95"/>
    <w:multiLevelType w:val="hybridMultilevel"/>
    <w:tmpl w:val="34948840"/>
    <w:lvl w:ilvl="0" w:tplc="348ADB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6"/>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BF"/>
    <w:rsid w:val="00043CAA"/>
    <w:rsid w:val="00075432"/>
    <w:rsid w:val="00087A45"/>
    <w:rsid w:val="000968ED"/>
    <w:rsid w:val="000F5E56"/>
    <w:rsid w:val="000F7B25"/>
    <w:rsid w:val="00101B38"/>
    <w:rsid w:val="001362EE"/>
    <w:rsid w:val="001412E0"/>
    <w:rsid w:val="001647D5"/>
    <w:rsid w:val="001832A6"/>
    <w:rsid w:val="001A2436"/>
    <w:rsid w:val="001B16ED"/>
    <w:rsid w:val="001C6A45"/>
    <w:rsid w:val="00202FE0"/>
    <w:rsid w:val="00210906"/>
    <w:rsid w:val="0021217E"/>
    <w:rsid w:val="002516BE"/>
    <w:rsid w:val="002634C4"/>
    <w:rsid w:val="002728DA"/>
    <w:rsid w:val="0027707E"/>
    <w:rsid w:val="002928D3"/>
    <w:rsid w:val="002F1FE6"/>
    <w:rsid w:val="002F4E68"/>
    <w:rsid w:val="00312F7F"/>
    <w:rsid w:val="003505AC"/>
    <w:rsid w:val="003611D8"/>
    <w:rsid w:val="00361450"/>
    <w:rsid w:val="003673CF"/>
    <w:rsid w:val="003845C1"/>
    <w:rsid w:val="003A6F89"/>
    <w:rsid w:val="003B38C1"/>
    <w:rsid w:val="003D1B8C"/>
    <w:rsid w:val="003D3ADA"/>
    <w:rsid w:val="003D6116"/>
    <w:rsid w:val="003F40FD"/>
    <w:rsid w:val="00423E3E"/>
    <w:rsid w:val="00427AF4"/>
    <w:rsid w:val="004647DA"/>
    <w:rsid w:val="00474062"/>
    <w:rsid w:val="00474F63"/>
    <w:rsid w:val="00477D6B"/>
    <w:rsid w:val="005019FF"/>
    <w:rsid w:val="0053057A"/>
    <w:rsid w:val="00560A29"/>
    <w:rsid w:val="0058605A"/>
    <w:rsid w:val="00591FA4"/>
    <w:rsid w:val="005C6649"/>
    <w:rsid w:val="005E0B7F"/>
    <w:rsid w:val="00605827"/>
    <w:rsid w:val="00646050"/>
    <w:rsid w:val="00653DF9"/>
    <w:rsid w:val="006713CA"/>
    <w:rsid w:val="00676C5C"/>
    <w:rsid w:val="006D2784"/>
    <w:rsid w:val="006D33C8"/>
    <w:rsid w:val="006F1B9C"/>
    <w:rsid w:val="007C55DD"/>
    <w:rsid w:val="007C62FD"/>
    <w:rsid w:val="007D1613"/>
    <w:rsid w:val="007E4C0E"/>
    <w:rsid w:val="007F74AA"/>
    <w:rsid w:val="0082695E"/>
    <w:rsid w:val="00861D47"/>
    <w:rsid w:val="008974CB"/>
    <w:rsid w:val="008A134B"/>
    <w:rsid w:val="008B2CC1"/>
    <w:rsid w:val="008B60B2"/>
    <w:rsid w:val="008F0CBF"/>
    <w:rsid w:val="0090731E"/>
    <w:rsid w:val="00916EE2"/>
    <w:rsid w:val="0092625B"/>
    <w:rsid w:val="00951A90"/>
    <w:rsid w:val="00966A22"/>
    <w:rsid w:val="0096722F"/>
    <w:rsid w:val="009701D4"/>
    <w:rsid w:val="00980843"/>
    <w:rsid w:val="009C53FE"/>
    <w:rsid w:val="009E2791"/>
    <w:rsid w:val="009E3F6F"/>
    <w:rsid w:val="009F499F"/>
    <w:rsid w:val="00A42DAF"/>
    <w:rsid w:val="00A45BD8"/>
    <w:rsid w:val="00A869B7"/>
    <w:rsid w:val="00AB5393"/>
    <w:rsid w:val="00AC205C"/>
    <w:rsid w:val="00AC466D"/>
    <w:rsid w:val="00AF0A6B"/>
    <w:rsid w:val="00B05A69"/>
    <w:rsid w:val="00B9734B"/>
    <w:rsid w:val="00BA30E2"/>
    <w:rsid w:val="00BA40AA"/>
    <w:rsid w:val="00BF33BC"/>
    <w:rsid w:val="00C04E6B"/>
    <w:rsid w:val="00C11BFE"/>
    <w:rsid w:val="00C5068F"/>
    <w:rsid w:val="00C531C7"/>
    <w:rsid w:val="00C86D74"/>
    <w:rsid w:val="00CA5DC5"/>
    <w:rsid w:val="00CD04F1"/>
    <w:rsid w:val="00D2757B"/>
    <w:rsid w:val="00D45252"/>
    <w:rsid w:val="00D71B4D"/>
    <w:rsid w:val="00D93D55"/>
    <w:rsid w:val="00DB23EF"/>
    <w:rsid w:val="00E15015"/>
    <w:rsid w:val="00E335FE"/>
    <w:rsid w:val="00EA3191"/>
    <w:rsid w:val="00EA7D6E"/>
    <w:rsid w:val="00EC2FA1"/>
    <w:rsid w:val="00EC4E49"/>
    <w:rsid w:val="00ED77FB"/>
    <w:rsid w:val="00EE2B4C"/>
    <w:rsid w:val="00EE45FA"/>
    <w:rsid w:val="00F61BBB"/>
    <w:rsid w:val="00F66152"/>
    <w:rsid w:val="00FB12B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53FE"/>
    <w:rPr>
      <w:rFonts w:ascii="Arial" w:eastAsia="SimSun" w:hAnsi="Arial" w:cs="Arial"/>
      <w:sz w:val="22"/>
      <w:lang w:eastAsia="zh-CN"/>
    </w:rPr>
  </w:style>
  <w:style w:type="paragraph" w:styleId="Heading1">
    <w:name w:val="heading 1"/>
    <w:basedOn w:val="Normal"/>
    <w:next w:val="Normal"/>
    <w:qFormat/>
    <w:rsid w:val="009C53FE"/>
    <w:pPr>
      <w:keepNext/>
      <w:spacing w:before="240" w:after="60"/>
      <w:outlineLvl w:val="0"/>
    </w:pPr>
    <w:rPr>
      <w:b/>
      <w:bCs/>
      <w:caps/>
      <w:kern w:val="32"/>
      <w:szCs w:val="32"/>
    </w:rPr>
  </w:style>
  <w:style w:type="paragraph" w:styleId="Heading2">
    <w:name w:val="heading 2"/>
    <w:basedOn w:val="Normal"/>
    <w:next w:val="Normal"/>
    <w:qFormat/>
    <w:rsid w:val="009C53FE"/>
    <w:pPr>
      <w:keepNext/>
      <w:spacing w:before="240" w:after="60"/>
      <w:outlineLvl w:val="1"/>
    </w:pPr>
    <w:rPr>
      <w:bCs/>
      <w:iCs/>
      <w:caps/>
      <w:szCs w:val="28"/>
    </w:rPr>
  </w:style>
  <w:style w:type="paragraph" w:styleId="Heading3">
    <w:name w:val="heading 3"/>
    <w:basedOn w:val="Normal"/>
    <w:next w:val="Normal"/>
    <w:qFormat/>
    <w:rsid w:val="009C53FE"/>
    <w:pPr>
      <w:keepNext/>
      <w:spacing w:before="240" w:after="60"/>
      <w:outlineLvl w:val="2"/>
    </w:pPr>
    <w:rPr>
      <w:bCs/>
      <w:szCs w:val="26"/>
      <w:u w:val="single"/>
    </w:rPr>
  </w:style>
  <w:style w:type="paragraph" w:styleId="Heading4">
    <w:name w:val="heading 4"/>
    <w:basedOn w:val="Normal"/>
    <w:next w:val="Normal"/>
    <w:qFormat/>
    <w:rsid w:val="009C53FE"/>
    <w:pPr>
      <w:keepNext/>
      <w:spacing w:before="240" w:after="60"/>
      <w:outlineLvl w:val="3"/>
    </w:pPr>
    <w:rPr>
      <w:bCs/>
      <w:i/>
      <w:szCs w:val="28"/>
    </w:rPr>
  </w:style>
  <w:style w:type="character" w:default="1" w:styleId="DefaultParagraphFont">
    <w:name w:val="Default Paragraph Font"/>
    <w:uiPriority w:val="1"/>
    <w:semiHidden/>
    <w:unhideWhenUsed/>
    <w:rsid w:val="009C53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53FE"/>
  </w:style>
  <w:style w:type="paragraph" w:customStyle="1" w:styleId="Endofdocument-Annex">
    <w:name w:val="[End of document - Annex]"/>
    <w:basedOn w:val="Normal"/>
    <w:rsid w:val="009C53FE"/>
    <w:pPr>
      <w:ind w:left="5534"/>
    </w:pPr>
    <w:rPr>
      <w:lang w:val="en-US"/>
    </w:rPr>
  </w:style>
  <w:style w:type="paragraph" w:styleId="BodyText">
    <w:name w:val="Body Text"/>
    <w:basedOn w:val="Normal"/>
    <w:link w:val="BodyTextChar"/>
    <w:rsid w:val="009C53FE"/>
    <w:pPr>
      <w:spacing w:after="220"/>
    </w:pPr>
  </w:style>
  <w:style w:type="paragraph" w:styleId="Caption">
    <w:name w:val="caption"/>
    <w:basedOn w:val="Normal"/>
    <w:next w:val="Normal"/>
    <w:qFormat/>
    <w:rsid w:val="009C53FE"/>
    <w:rPr>
      <w:b/>
      <w:bCs/>
      <w:sz w:val="18"/>
    </w:rPr>
  </w:style>
  <w:style w:type="paragraph" w:styleId="CommentText">
    <w:name w:val="annotation text"/>
    <w:basedOn w:val="Normal"/>
    <w:semiHidden/>
    <w:rsid w:val="009C53FE"/>
    <w:rPr>
      <w:sz w:val="18"/>
    </w:rPr>
  </w:style>
  <w:style w:type="paragraph" w:styleId="EndnoteText">
    <w:name w:val="endnote text"/>
    <w:basedOn w:val="Normal"/>
    <w:semiHidden/>
    <w:rsid w:val="009C53FE"/>
    <w:rPr>
      <w:sz w:val="18"/>
    </w:rPr>
  </w:style>
  <w:style w:type="paragraph" w:styleId="Footer">
    <w:name w:val="footer"/>
    <w:basedOn w:val="Normal"/>
    <w:semiHidden/>
    <w:rsid w:val="009C53FE"/>
    <w:pPr>
      <w:tabs>
        <w:tab w:val="center" w:pos="4320"/>
        <w:tab w:val="right" w:pos="8640"/>
      </w:tabs>
    </w:pPr>
  </w:style>
  <w:style w:type="paragraph" w:styleId="FootnoteText">
    <w:name w:val="footnote text"/>
    <w:basedOn w:val="Normal"/>
    <w:link w:val="FootnoteTextChar"/>
    <w:semiHidden/>
    <w:rsid w:val="009C53FE"/>
    <w:rPr>
      <w:sz w:val="18"/>
    </w:rPr>
  </w:style>
  <w:style w:type="paragraph" w:styleId="Header">
    <w:name w:val="header"/>
    <w:basedOn w:val="Normal"/>
    <w:semiHidden/>
    <w:rsid w:val="009C53FE"/>
    <w:pPr>
      <w:tabs>
        <w:tab w:val="center" w:pos="4536"/>
        <w:tab w:val="right" w:pos="9072"/>
      </w:tabs>
    </w:pPr>
  </w:style>
  <w:style w:type="paragraph" w:styleId="ListNumber">
    <w:name w:val="List Number"/>
    <w:basedOn w:val="Normal"/>
    <w:semiHidden/>
    <w:rsid w:val="009C53FE"/>
    <w:pPr>
      <w:numPr>
        <w:numId w:val="10"/>
      </w:numPr>
    </w:pPr>
  </w:style>
  <w:style w:type="paragraph" w:customStyle="1" w:styleId="ONUME">
    <w:name w:val="ONUM E"/>
    <w:basedOn w:val="BodyText"/>
    <w:link w:val="ONUMEChar"/>
    <w:rsid w:val="009C53FE"/>
    <w:pPr>
      <w:numPr>
        <w:numId w:val="11"/>
      </w:numPr>
    </w:pPr>
  </w:style>
  <w:style w:type="paragraph" w:customStyle="1" w:styleId="ONUMFS">
    <w:name w:val="ONUM FS"/>
    <w:basedOn w:val="BodyText"/>
    <w:rsid w:val="009C53FE"/>
    <w:pPr>
      <w:numPr>
        <w:numId w:val="12"/>
      </w:numPr>
    </w:pPr>
  </w:style>
  <w:style w:type="paragraph" w:styleId="Salutation">
    <w:name w:val="Salutation"/>
    <w:basedOn w:val="Normal"/>
    <w:next w:val="Normal"/>
    <w:semiHidden/>
    <w:rsid w:val="009C53FE"/>
  </w:style>
  <w:style w:type="paragraph" w:styleId="Signature">
    <w:name w:val="Signature"/>
    <w:basedOn w:val="Normal"/>
    <w:semiHidden/>
    <w:rsid w:val="009C53FE"/>
    <w:pPr>
      <w:ind w:left="5250"/>
    </w:pPr>
  </w:style>
  <w:style w:type="paragraph" w:styleId="BalloonText">
    <w:name w:val="Balloon Text"/>
    <w:basedOn w:val="Normal"/>
    <w:link w:val="BalloonTextChar"/>
    <w:rsid w:val="008F0CBF"/>
    <w:rPr>
      <w:rFonts w:ascii="Tahoma" w:hAnsi="Tahoma" w:cs="Tahoma"/>
      <w:sz w:val="16"/>
      <w:szCs w:val="16"/>
    </w:rPr>
  </w:style>
  <w:style w:type="character" w:customStyle="1" w:styleId="BalloonTextChar">
    <w:name w:val="Balloon Text Char"/>
    <w:basedOn w:val="DefaultParagraphFont"/>
    <w:link w:val="BalloonText"/>
    <w:rsid w:val="008F0CBF"/>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8F0CBF"/>
    <w:rPr>
      <w:rFonts w:ascii="Arial" w:eastAsia="SimSun" w:hAnsi="Arial" w:cs="Arial"/>
      <w:sz w:val="18"/>
      <w:lang w:eastAsia="zh-CN"/>
    </w:rPr>
  </w:style>
  <w:style w:type="character" w:customStyle="1" w:styleId="BodyTextChar">
    <w:name w:val="Body Text Char"/>
    <w:basedOn w:val="DefaultParagraphFont"/>
    <w:link w:val="BodyText"/>
    <w:rsid w:val="008F0CBF"/>
    <w:rPr>
      <w:rFonts w:ascii="Arial" w:eastAsia="SimSun" w:hAnsi="Arial" w:cs="Arial"/>
      <w:sz w:val="22"/>
      <w:lang w:eastAsia="zh-CN"/>
    </w:rPr>
  </w:style>
  <w:style w:type="character" w:customStyle="1" w:styleId="ONUMEChar">
    <w:name w:val="ONUM E Char"/>
    <w:link w:val="ONUME"/>
    <w:locked/>
    <w:rsid w:val="008F0CBF"/>
    <w:rPr>
      <w:rFonts w:ascii="Arial" w:eastAsia="SimSun" w:hAnsi="Arial" w:cs="Arial"/>
      <w:sz w:val="22"/>
      <w:lang w:eastAsia="zh-CN"/>
    </w:rPr>
  </w:style>
  <w:style w:type="paragraph" w:customStyle="1" w:styleId="Endofdocument">
    <w:name w:val="End of document"/>
    <w:basedOn w:val="Normal"/>
    <w:rsid w:val="008F0CBF"/>
    <w:pPr>
      <w:ind w:left="4536"/>
      <w:jc w:val="center"/>
    </w:pPr>
    <w:rPr>
      <w:rFonts w:ascii="Times New Roman" w:eastAsia="Times New Roman" w:hAnsi="Times New Roman" w:cs="Times New Roman"/>
      <w:sz w:val="24"/>
      <w:lang w:eastAsia="en-US"/>
    </w:rPr>
  </w:style>
  <w:style w:type="character" w:styleId="FootnoteReference">
    <w:name w:val="footnote reference"/>
    <w:unhideWhenUsed/>
    <w:rsid w:val="008F0CBF"/>
    <w:rPr>
      <w:vertAlign w:val="superscript"/>
    </w:rPr>
  </w:style>
  <w:style w:type="character" w:styleId="Hyperlink">
    <w:name w:val="Hyperlink"/>
    <w:basedOn w:val="DefaultParagraphFont"/>
    <w:uiPriority w:val="99"/>
    <w:unhideWhenUsed/>
    <w:rsid w:val="00BA40AA"/>
    <w:rPr>
      <w:color w:val="0000FF"/>
      <w:u w:val="single"/>
    </w:rPr>
  </w:style>
  <w:style w:type="paragraph" w:styleId="NormalWeb">
    <w:name w:val="Normal (Web)"/>
    <w:basedOn w:val="Normal"/>
    <w:uiPriority w:val="99"/>
    <w:unhideWhenUsed/>
    <w:rsid w:val="00BA40AA"/>
    <w:rPr>
      <w:rFonts w:ascii="Times New Roman" w:eastAsiaTheme="minorHAnsi" w:hAnsi="Times New Roman" w:cs="Times New Roman"/>
      <w:sz w:val="24"/>
      <w:szCs w:val="24"/>
      <w:lang w:eastAsia="en-US"/>
    </w:rPr>
  </w:style>
  <w:style w:type="paragraph" w:styleId="ListParagraph">
    <w:name w:val="List Paragraph"/>
    <w:basedOn w:val="Normal"/>
    <w:uiPriority w:val="34"/>
    <w:qFormat/>
    <w:rsid w:val="009C53FE"/>
    <w:pPr>
      <w:ind w:left="720"/>
      <w:contextualSpacing/>
    </w:pPr>
  </w:style>
  <w:style w:type="paragraph" w:customStyle="1" w:styleId="Meetingplacedate">
    <w:name w:val="Meeting place &amp; date"/>
    <w:basedOn w:val="Normal"/>
    <w:next w:val="Normal"/>
    <w:rsid w:val="009C53FE"/>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C53FE"/>
    <w:pPr>
      <w:spacing w:line="336" w:lineRule="exact"/>
      <w:ind w:left="1021"/>
    </w:pPr>
    <w:rPr>
      <w:rFonts w:eastAsia="Times New Roman" w:cs="Times New Roman"/>
      <w:b/>
      <w:sz w:val="2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53FE"/>
    <w:rPr>
      <w:rFonts w:ascii="Arial" w:eastAsia="SimSun" w:hAnsi="Arial" w:cs="Arial"/>
      <w:sz w:val="22"/>
      <w:lang w:eastAsia="zh-CN"/>
    </w:rPr>
  </w:style>
  <w:style w:type="paragraph" w:styleId="Heading1">
    <w:name w:val="heading 1"/>
    <w:basedOn w:val="Normal"/>
    <w:next w:val="Normal"/>
    <w:qFormat/>
    <w:rsid w:val="009C53FE"/>
    <w:pPr>
      <w:keepNext/>
      <w:spacing w:before="240" w:after="60"/>
      <w:outlineLvl w:val="0"/>
    </w:pPr>
    <w:rPr>
      <w:b/>
      <w:bCs/>
      <w:caps/>
      <w:kern w:val="32"/>
      <w:szCs w:val="32"/>
    </w:rPr>
  </w:style>
  <w:style w:type="paragraph" w:styleId="Heading2">
    <w:name w:val="heading 2"/>
    <w:basedOn w:val="Normal"/>
    <w:next w:val="Normal"/>
    <w:qFormat/>
    <w:rsid w:val="009C53FE"/>
    <w:pPr>
      <w:keepNext/>
      <w:spacing w:before="240" w:after="60"/>
      <w:outlineLvl w:val="1"/>
    </w:pPr>
    <w:rPr>
      <w:bCs/>
      <w:iCs/>
      <w:caps/>
      <w:szCs w:val="28"/>
    </w:rPr>
  </w:style>
  <w:style w:type="paragraph" w:styleId="Heading3">
    <w:name w:val="heading 3"/>
    <w:basedOn w:val="Normal"/>
    <w:next w:val="Normal"/>
    <w:qFormat/>
    <w:rsid w:val="009C53FE"/>
    <w:pPr>
      <w:keepNext/>
      <w:spacing w:before="240" w:after="60"/>
      <w:outlineLvl w:val="2"/>
    </w:pPr>
    <w:rPr>
      <w:bCs/>
      <w:szCs w:val="26"/>
      <w:u w:val="single"/>
    </w:rPr>
  </w:style>
  <w:style w:type="paragraph" w:styleId="Heading4">
    <w:name w:val="heading 4"/>
    <w:basedOn w:val="Normal"/>
    <w:next w:val="Normal"/>
    <w:qFormat/>
    <w:rsid w:val="009C53FE"/>
    <w:pPr>
      <w:keepNext/>
      <w:spacing w:before="240" w:after="60"/>
      <w:outlineLvl w:val="3"/>
    </w:pPr>
    <w:rPr>
      <w:bCs/>
      <w:i/>
      <w:szCs w:val="28"/>
    </w:rPr>
  </w:style>
  <w:style w:type="character" w:default="1" w:styleId="DefaultParagraphFont">
    <w:name w:val="Default Paragraph Font"/>
    <w:uiPriority w:val="1"/>
    <w:semiHidden/>
    <w:unhideWhenUsed/>
    <w:rsid w:val="009C53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53FE"/>
  </w:style>
  <w:style w:type="paragraph" w:customStyle="1" w:styleId="Endofdocument-Annex">
    <w:name w:val="[End of document - Annex]"/>
    <w:basedOn w:val="Normal"/>
    <w:rsid w:val="009C53FE"/>
    <w:pPr>
      <w:ind w:left="5534"/>
    </w:pPr>
    <w:rPr>
      <w:lang w:val="en-US"/>
    </w:rPr>
  </w:style>
  <w:style w:type="paragraph" w:styleId="BodyText">
    <w:name w:val="Body Text"/>
    <w:basedOn w:val="Normal"/>
    <w:link w:val="BodyTextChar"/>
    <w:rsid w:val="009C53FE"/>
    <w:pPr>
      <w:spacing w:after="220"/>
    </w:pPr>
  </w:style>
  <w:style w:type="paragraph" w:styleId="Caption">
    <w:name w:val="caption"/>
    <w:basedOn w:val="Normal"/>
    <w:next w:val="Normal"/>
    <w:qFormat/>
    <w:rsid w:val="009C53FE"/>
    <w:rPr>
      <w:b/>
      <w:bCs/>
      <w:sz w:val="18"/>
    </w:rPr>
  </w:style>
  <w:style w:type="paragraph" w:styleId="CommentText">
    <w:name w:val="annotation text"/>
    <w:basedOn w:val="Normal"/>
    <w:semiHidden/>
    <w:rsid w:val="009C53FE"/>
    <w:rPr>
      <w:sz w:val="18"/>
    </w:rPr>
  </w:style>
  <w:style w:type="paragraph" w:styleId="EndnoteText">
    <w:name w:val="endnote text"/>
    <w:basedOn w:val="Normal"/>
    <w:semiHidden/>
    <w:rsid w:val="009C53FE"/>
    <w:rPr>
      <w:sz w:val="18"/>
    </w:rPr>
  </w:style>
  <w:style w:type="paragraph" w:styleId="Footer">
    <w:name w:val="footer"/>
    <w:basedOn w:val="Normal"/>
    <w:semiHidden/>
    <w:rsid w:val="009C53FE"/>
    <w:pPr>
      <w:tabs>
        <w:tab w:val="center" w:pos="4320"/>
        <w:tab w:val="right" w:pos="8640"/>
      </w:tabs>
    </w:pPr>
  </w:style>
  <w:style w:type="paragraph" w:styleId="FootnoteText">
    <w:name w:val="footnote text"/>
    <w:basedOn w:val="Normal"/>
    <w:link w:val="FootnoteTextChar"/>
    <w:semiHidden/>
    <w:rsid w:val="009C53FE"/>
    <w:rPr>
      <w:sz w:val="18"/>
    </w:rPr>
  </w:style>
  <w:style w:type="paragraph" w:styleId="Header">
    <w:name w:val="header"/>
    <w:basedOn w:val="Normal"/>
    <w:semiHidden/>
    <w:rsid w:val="009C53FE"/>
    <w:pPr>
      <w:tabs>
        <w:tab w:val="center" w:pos="4536"/>
        <w:tab w:val="right" w:pos="9072"/>
      </w:tabs>
    </w:pPr>
  </w:style>
  <w:style w:type="paragraph" w:styleId="ListNumber">
    <w:name w:val="List Number"/>
    <w:basedOn w:val="Normal"/>
    <w:semiHidden/>
    <w:rsid w:val="009C53FE"/>
    <w:pPr>
      <w:numPr>
        <w:numId w:val="10"/>
      </w:numPr>
    </w:pPr>
  </w:style>
  <w:style w:type="paragraph" w:customStyle="1" w:styleId="ONUME">
    <w:name w:val="ONUM E"/>
    <w:basedOn w:val="BodyText"/>
    <w:link w:val="ONUMEChar"/>
    <w:rsid w:val="009C53FE"/>
    <w:pPr>
      <w:numPr>
        <w:numId w:val="11"/>
      </w:numPr>
    </w:pPr>
  </w:style>
  <w:style w:type="paragraph" w:customStyle="1" w:styleId="ONUMFS">
    <w:name w:val="ONUM FS"/>
    <w:basedOn w:val="BodyText"/>
    <w:rsid w:val="009C53FE"/>
    <w:pPr>
      <w:numPr>
        <w:numId w:val="12"/>
      </w:numPr>
    </w:pPr>
  </w:style>
  <w:style w:type="paragraph" w:styleId="Salutation">
    <w:name w:val="Salutation"/>
    <w:basedOn w:val="Normal"/>
    <w:next w:val="Normal"/>
    <w:semiHidden/>
    <w:rsid w:val="009C53FE"/>
  </w:style>
  <w:style w:type="paragraph" w:styleId="Signature">
    <w:name w:val="Signature"/>
    <w:basedOn w:val="Normal"/>
    <w:semiHidden/>
    <w:rsid w:val="009C53FE"/>
    <w:pPr>
      <w:ind w:left="5250"/>
    </w:pPr>
  </w:style>
  <w:style w:type="paragraph" w:styleId="BalloonText">
    <w:name w:val="Balloon Text"/>
    <w:basedOn w:val="Normal"/>
    <w:link w:val="BalloonTextChar"/>
    <w:rsid w:val="008F0CBF"/>
    <w:rPr>
      <w:rFonts w:ascii="Tahoma" w:hAnsi="Tahoma" w:cs="Tahoma"/>
      <w:sz w:val="16"/>
      <w:szCs w:val="16"/>
    </w:rPr>
  </w:style>
  <w:style w:type="character" w:customStyle="1" w:styleId="BalloonTextChar">
    <w:name w:val="Balloon Text Char"/>
    <w:basedOn w:val="DefaultParagraphFont"/>
    <w:link w:val="BalloonText"/>
    <w:rsid w:val="008F0CBF"/>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8F0CBF"/>
    <w:rPr>
      <w:rFonts w:ascii="Arial" w:eastAsia="SimSun" w:hAnsi="Arial" w:cs="Arial"/>
      <w:sz w:val="18"/>
      <w:lang w:eastAsia="zh-CN"/>
    </w:rPr>
  </w:style>
  <w:style w:type="character" w:customStyle="1" w:styleId="BodyTextChar">
    <w:name w:val="Body Text Char"/>
    <w:basedOn w:val="DefaultParagraphFont"/>
    <w:link w:val="BodyText"/>
    <w:rsid w:val="008F0CBF"/>
    <w:rPr>
      <w:rFonts w:ascii="Arial" w:eastAsia="SimSun" w:hAnsi="Arial" w:cs="Arial"/>
      <w:sz w:val="22"/>
      <w:lang w:eastAsia="zh-CN"/>
    </w:rPr>
  </w:style>
  <w:style w:type="character" w:customStyle="1" w:styleId="ONUMEChar">
    <w:name w:val="ONUM E Char"/>
    <w:link w:val="ONUME"/>
    <w:locked/>
    <w:rsid w:val="008F0CBF"/>
    <w:rPr>
      <w:rFonts w:ascii="Arial" w:eastAsia="SimSun" w:hAnsi="Arial" w:cs="Arial"/>
      <w:sz w:val="22"/>
      <w:lang w:eastAsia="zh-CN"/>
    </w:rPr>
  </w:style>
  <w:style w:type="paragraph" w:customStyle="1" w:styleId="Endofdocument">
    <w:name w:val="End of document"/>
    <w:basedOn w:val="Normal"/>
    <w:rsid w:val="008F0CBF"/>
    <w:pPr>
      <w:ind w:left="4536"/>
      <w:jc w:val="center"/>
    </w:pPr>
    <w:rPr>
      <w:rFonts w:ascii="Times New Roman" w:eastAsia="Times New Roman" w:hAnsi="Times New Roman" w:cs="Times New Roman"/>
      <w:sz w:val="24"/>
      <w:lang w:eastAsia="en-US"/>
    </w:rPr>
  </w:style>
  <w:style w:type="character" w:styleId="FootnoteReference">
    <w:name w:val="footnote reference"/>
    <w:unhideWhenUsed/>
    <w:rsid w:val="008F0CBF"/>
    <w:rPr>
      <w:vertAlign w:val="superscript"/>
    </w:rPr>
  </w:style>
  <w:style w:type="character" w:styleId="Hyperlink">
    <w:name w:val="Hyperlink"/>
    <w:basedOn w:val="DefaultParagraphFont"/>
    <w:uiPriority w:val="99"/>
    <w:unhideWhenUsed/>
    <w:rsid w:val="00BA40AA"/>
    <w:rPr>
      <w:color w:val="0000FF"/>
      <w:u w:val="single"/>
    </w:rPr>
  </w:style>
  <w:style w:type="paragraph" w:styleId="NormalWeb">
    <w:name w:val="Normal (Web)"/>
    <w:basedOn w:val="Normal"/>
    <w:uiPriority w:val="99"/>
    <w:unhideWhenUsed/>
    <w:rsid w:val="00BA40AA"/>
    <w:rPr>
      <w:rFonts w:ascii="Times New Roman" w:eastAsiaTheme="minorHAnsi" w:hAnsi="Times New Roman" w:cs="Times New Roman"/>
      <w:sz w:val="24"/>
      <w:szCs w:val="24"/>
      <w:lang w:eastAsia="en-US"/>
    </w:rPr>
  </w:style>
  <w:style w:type="paragraph" w:styleId="ListParagraph">
    <w:name w:val="List Paragraph"/>
    <w:basedOn w:val="Normal"/>
    <w:uiPriority w:val="34"/>
    <w:qFormat/>
    <w:rsid w:val="009C53FE"/>
    <w:pPr>
      <w:ind w:left="720"/>
      <w:contextualSpacing/>
    </w:pPr>
  </w:style>
  <w:style w:type="paragraph" w:customStyle="1" w:styleId="Meetingplacedate">
    <w:name w:val="Meeting place &amp; date"/>
    <w:basedOn w:val="Normal"/>
    <w:next w:val="Normal"/>
    <w:rsid w:val="009C53FE"/>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C53FE"/>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273105">
      <w:bodyDiv w:val="1"/>
      <w:marLeft w:val="0"/>
      <w:marRight w:val="0"/>
      <w:marTop w:val="0"/>
      <w:marBottom w:val="0"/>
      <w:divBdr>
        <w:top w:val="none" w:sz="0" w:space="0" w:color="auto"/>
        <w:left w:val="none" w:sz="0" w:space="0" w:color="auto"/>
        <w:bottom w:val="none" w:sz="0" w:space="0" w:color="auto"/>
        <w:right w:val="none" w:sz="0" w:space="0" w:color="auto"/>
      </w:divBdr>
    </w:div>
    <w:div w:id="1792702387">
      <w:bodyDiv w:val="1"/>
      <w:marLeft w:val="0"/>
      <w:marRight w:val="0"/>
      <w:marTop w:val="0"/>
      <w:marBottom w:val="0"/>
      <w:divBdr>
        <w:top w:val="none" w:sz="0" w:space="0" w:color="auto"/>
        <w:left w:val="none" w:sz="0" w:space="0" w:color="auto"/>
        <w:bottom w:val="none" w:sz="0" w:space="0" w:color="auto"/>
        <w:right w:val="none" w:sz="0" w:space="0" w:color="auto"/>
      </w:divBdr>
    </w:div>
    <w:div w:id="19494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global_ip/fr/activities/techn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1962</Words>
  <Characters>11386</Characters>
  <Application>Microsoft Office Word</Application>
  <DocSecurity>0</DocSecurity>
  <Lines>207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WO/GA/49/</vt:lpstr>
      <vt:lpstr>WO/GA/49/</vt:lpstr>
    </vt:vector>
  </TitlesOfParts>
  <Company>WIPO</Company>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Dolotbaeva Aida</dc:creator>
  <cp:keywords>MP/cc</cp:keywords>
  <cp:lastModifiedBy>CUCCIARDI Claudia</cp:lastModifiedBy>
  <cp:revision>21</cp:revision>
  <cp:lastPrinted>2017-06-22T10:48:00Z</cp:lastPrinted>
  <dcterms:created xsi:type="dcterms:W3CDTF">2017-06-15T12:20:00Z</dcterms:created>
  <dcterms:modified xsi:type="dcterms:W3CDTF">2017-06-22T13:07:00Z</dcterms:modified>
</cp:coreProperties>
</file>