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E57D2" w14:textId="77777777" w:rsidR="00417F8D" w:rsidRDefault="00417F8D" w:rsidP="00E5566B">
      <w:pPr>
        <w:widowControl w:val="0"/>
        <w:jc w:val="right"/>
        <w:rPr>
          <w:b/>
          <w:sz w:val="2"/>
          <w:szCs w:val="40"/>
        </w:rPr>
      </w:pPr>
      <w:bookmarkStart w:id="0" w:name="_GoBack"/>
      <w:bookmarkEnd w:id="0"/>
    </w:p>
    <w:p w14:paraId="339B7C27" w14:textId="77777777" w:rsidR="003D2CBF" w:rsidRPr="003D2CBF" w:rsidRDefault="003D2CBF" w:rsidP="003D2CBF">
      <w:pPr>
        <w:widowControl w:val="0"/>
        <w:jc w:val="right"/>
        <w:rPr>
          <w:b/>
          <w:sz w:val="2"/>
          <w:szCs w:val="40"/>
        </w:rPr>
      </w:pPr>
      <w:bookmarkStart w:id="1" w:name="TitleOfDoc"/>
      <w:bookmarkEnd w:id="1"/>
      <w:r w:rsidRPr="003D2CBF">
        <w:rPr>
          <w:b/>
          <w:sz w:val="40"/>
          <w:szCs w:val="40"/>
        </w:rPr>
        <w:t>F</w:t>
      </w:r>
    </w:p>
    <w:p w14:paraId="6EF6B995" w14:textId="77777777" w:rsidR="003D2CBF" w:rsidRPr="003D2CBF" w:rsidRDefault="003D2CBF" w:rsidP="003D2CBF">
      <w:pPr>
        <w:spacing w:line="360" w:lineRule="auto"/>
        <w:ind w:left="4592"/>
        <w:rPr>
          <w:rFonts w:ascii="Arial Black" w:hAnsi="Arial Black"/>
          <w:caps/>
          <w:sz w:val="15"/>
        </w:rPr>
      </w:pPr>
      <w:r w:rsidRPr="003D2CBF">
        <w:rPr>
          <w:noProof/>
          <w:lang w:eastAsia="en-US"/>
        </w:rPr>
        <w:drawing>
          <wp:inline distT="0" distB="0" distL="0" distR="0" wp14:anchorId="77A23CFE" wp14:editId="260AC67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A3A8C08" w14:textId="131D0357" w:rsidR="003D2CBF" w:rsidRPr="003D2CBF" w:rsidRDefault="003D2CBF" w:rsidP="003D2CBF">
      <w:pPr>
        <w:pBdr>
          <w:top w:val="single" w:sz="4" w:space="10" w:color="auto"/>
        </w:pBdr>
        <w:spacing w:before="120"/>
        <w:jc w:val="right"/>
        <w:rPr>
          <w:rFonts w:ascii="Arial Black" w:hAnsi="Arial Black"/>
          <w:b/>
          <w:caps/>
          <w:sz w:val="15"/>
          <w:lang w:val="fr-CH"/>
        </w:rPr>
      </w:pPr>
      <w:r w:rsidRPr="003D2CBF">
        <w:rPr>
          <w:rFonts w:ascii="Arial Black" w:hAnsi="Arial Black"/>
          <w:b/>
          <w:caps/>
          <w:sz w:val="15"/>
          <w:lang w:val="fr-CH"/>
        </w:rPr>
        <w:t>WO/GA/51</w:t>
      </w:r>
      <w:r>
        <w:rPr>
          <w:rFonts w:ascii="Arial Black" w:hAnsi="Arial Black"/>
          <w:b/>
          <w:caps/>
          <w:sz w:val="15"/>
          <w:lang w:val="fr-CH"/>
        </w:rPr>
        <w:t>/</w:t>
      </w:r>
      <w:r w:rsidRPr="003D2CBF">
        <w:rPr>
          <w:rFonts w:ascii="Arial Black" w:hAnsi="Arial Black"/>
          <w:b/>
          <w:caps/>
          <w:sz w:val="15"/>
          <w:lang w:val="fr-CH"/>
        </w:rPr>
        <w:t>3</w:t>
      </w:r>
      <w:bookmarkStart w:id="2" w:name="Code"/>
      <w:bookmarkEnd w:id="2"/>
    </w:p>
    <w:p w14:paraId="031ACEF9" w14:textId="77777777" w:rsidR="003D2CBF" w:rsidRPr="003D2CBF" w:rsidRDefault="003D2CBF" w:rsidP="003D2CBF">
      <w:pPr>
        <w:jc w:val="right"/>
        <w:rPr>
          <w:rFonts w:ascii="Arial Black" w:hAnsi="Arial Black"/>
          <w:b/>
          <w:caps/>
          <w:sz w:val="15"/>
          <w:lang w:val="fr-CH"/>
        </w:rPr>
      </w:pPr>
      <w:r w:rsidRPr="003D2CBF">
        <w:rPr>
          <w:rFonts w:ascii="Arial Black" w:hAnsi="Arial Black"/>
          <w:b/>
          <w:caps/>
          <w:sz w:val="15"/>
          <w:lang w:val="fr-CH"/>
        </w:rPr>
        <w:t xml:space="preserve">ORIGINAL : </w:t>
      </w:r>
      <w:bookmarkStart w:id="3" w:name="Original"/>
      <w:bookmarkEnd w:id="3"/>
      <w:r w:rsidRPr="003D2CBF">
        <w:rPr>
          <w:rFonts w:ascii="Arial Black" w:hAnsi="Arial Black"/>
          <w:b/>
          <w:caps/>
          <w:sz w:val="15"/>
          <w:lang w:val="fr-CH"/>
        </w:rPr>
        <w:t>anglais</w:t>
      </w:r>
    </w:p>
    <w:p w14:paraId="3682E58C" w14:textId="77777777" w:rsidR="003D2CBF" w:rsidRPr="003D2CBF" w:rsidRDefault="003D2CBF" w:rsidP="003D2CBF">
      <w:pPr>
        <w:spacing w:line="1680" w:lineRule="auto"/>
        <w:jc w:val="right"/>
        <w:rPr>
          <w:rFonts w:ascii="Arial Black" w:hAnsi="Arial Black"/>
          <w:b/>
          <w:caps/>
          <w:sz w:val="15"/>
          <w:lang w:val="fr-CH"/>
        </w:rPr>
      </w:pPr>
      <w:r w:rsidRPr="003D2CBF">
        <w:rPr>
          <w:rFonts w:ascii="Arial Black" w:hAnsi="Arial Black"/>
          <w:b/>
          <w:caps/>
          <w:sz w:val="15"/>
          <w:lang w:val="fr-CH"/>
        </w:rPr>
        <w:t xml:space="preserve">DATE : </w:t>
      </w:r>
      <w:bookmarkStart w:id="4" w:name="Date"/>
      <w:bookmarkEnd w:id="4"/>
      <w:r w:rsidRPr="003D2CBF">
        <w:rPr>
          <w:rFonts w:ascii="Arial Black" w:hAnsi="Arial Black"/>
          <w:b/>
          <w:caps/>
          <w:sz w:val="15"/>
          <w:lang w:val="fr-CH"/>
        </w:rPr>
        <w:t>30 juillet 2019</w:t>
      </w:r>
    </w:p>
    <w:p w14:paraId="56AD0374" w14:textId="77777777" w:rsidR="003D2CBF" w:rsidRPr="003D2CBF" w:rsidRDefault="003D2CBF" w:rsidP="003D2CBF">
      <w:pPr>
        <w:keepNext/>
        <w:spacing w:after="600"/>
        <w:outlineLvl w:val="0"/>
        <w:rPr>
          <w:b/>
          <w:bCs/>
          <w:kern w:val="32"/>
          <w:sz w:val="28"/>
          <w:szCs w:val="32"/>
          <w:lang w:val="fr-CH"/>
        </w:rPr>
      </w:pPr>
      <w:r w:rsidRPr="003D2CBF">
        <w:rPr>
          <w:b/>
          <w:bCs/>
          <w:kern w:val="32"/>
          <w:sz w:val="28"/>
          <w:szCs w:val="32"/>
          <w:lang w:val="fr-CH"/>
        </w:rPr>
        <w:t>Assemblée générale de I’OMPI</w:t>
      </w:r>
    </w:p>
    <w:p w14:paraId="466A5095" w14:textId="77777777" w:rsidR="003D2CBF" w:rsidRPr="003D2CBF" w:rsidRDefault="003D2CBF" w:rsidP="003D2CBF">
      <w:pPr>
        <w:spacing w:after="720"/>
        <w:rPr>
          <w:b/>
          <w:sz w:val="24"/>
          <w:lang w:val="fr-CH"/>
        </w:rPr>
      </w:pPr>
      <w:r w:rsidRPr="003D2CBF">
        <w:rPr>
          <w:b/>
          <w:sz w:val="24"/>
          <w:lang w:val="fr-CH"/>
        </w:rPr>
        <w:t>Cinquante et unième session (24</w:t>
      </w:r>
      <w:r w:rsidRPr="003D2CBF">
        <w:rPr>
          <w:b/>
          <w:sz w:val="24"/>
          <w:vertAlign w:val="superscript"/>
          <w:lang w:val="fr-CH"/>
        </w:rPr>
        <w:t>e</w:t>
      </w:r>
      <w:r w:rsidRPr="003D2CBF">
        <w:rPr>
          <w:b/>
          <w:sz w:val="24"/>
          <w:lang w:val="fr-CH"/>
        </w:rPr>
        <w:t xml:space="preserve"> session ordinaire)</w:t>
      </w:r>
      <w:r w:rsidRPr="003D2CBF">
        <w:rPr>
          <w:b/>
          <w:sz w:val="24"/>
          <w:lang w:val="fr-CH"/>
        </w:rPr>
        <w:br/>
        <w:t>Genève, 30 septembre – 9 octobre 2019</w:t>
      </w:r>
    </w:p>
    <w:p w14:paraId="54211387" w14:textId="4369FE05" w:rsidR="00417F8D" w:rsidRPr="004C520C" w:rsidRDefault="00F72D68" w:rsidP="00F72D68">
      <w:pPr>
        <w:spacing w:after="360"/>
        <w:rPr>
          <w:caps/>
          <w:sz w:val="24"/>
          <w:lang w:val="fr-CH"/>
        </w:rPr>
      </w:pPr>
      <w:r w:rsidRPr="004C520C">
        <w:rPr>
          <w:caps/>
          <w:sz w:val="24"/>
          <w:lang w:val="fr-CH"/>
        </w:rPr>
        <w:t>Rapport annuel du directeur de la Division de la supervision interne</w:t>
      </w:r>
      <w:r w:rsidR="004C520C" w:rsidRPr="004C520C">
        <w:rPr>
          <w:caps/>
          <w:sz w:val="24"/>
          <w:lang w:val="fr-CH"/>
        </w:rPr>
        <w:t xml:space="preserve"> (DSI)</w:t>
      </w:r>
    </w:p>
    <w:p w14:paraId="03B9EF55" w14:textId="77777777" w:rsidR="00417F8D" w:rsidRDefault="00F72D68" w:rsidP="00F72D68">
      <w:pPr>
        <w:spacing w:after="960"/>
        <w:rPr>
          <w:i/>
        </w:rPr>
      </w:pPr>
      <w:bookmarkStart w:id="5" w:name="Prepared"/>
      <w:bookmarkEnd w:id="5"/>
      <w:proofErr w:type="spellStart"/>
      <w:proofErr w:type="gramStart"/>
      <w:r w:rsidRPr="00403F08">
        <w:rPr>
          <w:i/>
        </w:rPr>
        <w:t>établi</w:t>
      </w:r>
      <w:proofErr w:type="spellEnd"/>
      <w:proofErr w:type="gramEnd"/>
      <w:r w:rsidRPr="00403F08">
        <w:rPr>
          <w:i/>
        </w:rPr>
        <w:t xml:space="preserve"> par le </w:t>
      </w:r>
      <w:proofErr w:type="spellStart"/>
      <w:r w:rsidRPr="00403F08">
        <w:rPr>
          <w:i/>
        </w:rPr>
        <w:t>Secrétariat</w:t>
      </w:r>
      <w:proofErr w:type="spellEnd"/>
    </w:p>
    <w:p w14:paraId="3BE69D10" w14:textId="1358F6A0" w:rsidR="00417F8D" w:rsidRDefault="005A5F49" w:rsidP="00CE49CE">
      <w:pPr>
        <w:pStyle w:val="ONUMFS"/>
        <w:rPr>
          <w:lang w:val="fr-CH"/>
        </w:rPr>
      </w:pPr>
      <w:r w:rsidRPr="00403F08">
        <w:rPr>
          <w:lang w:val="fr-CH"/>
        </w:rPr>
        <w:t xml:space="preserve">Le présent document contient le </w:t>
      </w:r>
      <w:r w:rsidR="000A3166">
        <w:rPr>
          <w:lang w:val="fr-CH"/>
        </w:rPr>
        <w:t>“</w:t>
      </w:r>
      <w:r w:rsidRPr="00403F08">
        <w:rPr>
          <w:lang w:val="fr-CH"/>
        </w:rPr>
        <w:t>Rapport annuel du directeur de la Division de la supervision interne (DSI)</w:t>
      </w:r>
      <w:r w:rsidR="000A3166">
        <w:rPr>
          <w:lang w:val="fr-CH"/>
        </w:rPr>
        <w:t>”</w:t>
      </w:r>
      <w:r w:rsidRPr="00403F08">
        <w:rPr>
          <w:lang w:val="fr-CH"/>
        </w:rPr>
        <w:t xml:space="preserve"> (document</w:t>
      </w:r>
      <w:r w:rsidR="008140AA">
        <w:rPr>
          <w:lang w:val="fr-CH"/>
        </w:rPr>
        <w:t> </w:t>
      </w:r>
      <w:r w:rsidRPr="00403F08">
        <w:rPr>
          <w:lang w:val="fr-CH"/>
        </w:rPr>
        <w:t xml:space="preserve">WO/PBC/30/5), </w:t>
      </w:r>
      <w:r w:rsidR="004C520C">
        <w:rPr>
          <w:lang w:val="fr-CH"/>
        </w:rPr>
        <w:t xml:space="preserve">soumis au </w:t>
      </w:r>
      <w:r w:rsidRPr="00403F08">
        <w:rPr>
          <w:lang w:val="fr-CH"/>
        </w:rPr>
        <w:t>Comité du programme et budget de l</w:t>
      </w:r>
      <w:r w:rsidR="000A3166">
        <w:rPr>
          <w:lang w:val="fr-CH"/>
        </w:rPr>
        <w:t>’</w:t>
      </w:r>
      <w:r w:rsidRPr="00403F08">
        <w:rPr>
          <w:lang w:val="fr-CH"/>
        </w:rPr>
        <w:t>OMPI (PBC) à sa trent</w:t>
      </w:r>
      <w:r w:rsidR="00353ADC">
        <w:rPr>
          <w:lang w:val="fr-CH"/>
        </w:rPr>
        <w:t>ième session</w:t>
      </w:r>
      <w:r w:rsidRPr="00403F08">
        <w:rPr>
          <w:lang w:val="fr-CH"/>
        </w:rPr>
        <w:t xml:space="preserve"> (8 – 12</w:t>
      </w:r>
      <w:r w:rsidR="00C33462">
        <w:rPr>
          <w:lang w:val="fr-CH"/>
        </w:rPr>
        <w:t> </w:t>
      </w:r>
      <w:r w:rsidRPr="00403F08">
        <w:rPr>
          <w:lang w:val="fr-CH"/>
        </w:rPr>
        <w:t>juillet</w:t>
      </w:r>
      <w:r w:rsidR="00C33462">
        <w:rPr>
          <w:lang w:val="fr-CH"/>
        </w:rPr>
        <w:t> </w:t>
      </w:r>
      <w:r w:rsidRPr="00403F08">
        <w:rPr>
          <w:lang w:val="fr-CH"/>
        </w:rPr>
        <w:t>2019).</w:t>
      </w:r>
    </w:p>
    <w:p w14:paraId="1C77A936" w14:textId="76A28CA0" w:rsidR="00417F8D" w:rsidRDefault="005A5F49" w:rsidP="00CE49CE">
      <w:pPr>
        <w:pStyle w:val="ONUMFS"/>
        <w:spacing w:after="0"/>
        <w:rPr>
          <w:lang w:val="fr-CH"/>
        </w:rPr>
      </w:pPr>
      <w:r w:rsidRPr="00403F08">
        <w:rPr>
          <w:lang w:val="fr-CH"/>
        </w:rPr>
        <w:t>Toute décision</w:t>
      </w:r>
      <w:r w:rsidR="00353ADC" w:rsidRPr="00403F08">
        <w:rPr>
          <w:lang w:val="fr-CH"/>
        </w:rPr>
        <w:t xml:space="preserve"> du</w:t>
      </w:r>
      <w:r w:rsidR="00353ADC">
        <w:rPr>
          <w:lang w:val="fr-CH"/>
        </w:rPr>
        <w:t> </w:t>
      </w:r>
      <w:r w:rsidR="00353ADC" w:rsidRPr="00403F08">
        <w:rPr>
          <w:lang w:val="fr-CH"/>
        </w:rPr>
        <w:t>PBC</w:t>
      </w:r>
      <w:r w:rsidRPr="00403F08">
        <w:rPr>
          <w:lang w:val="fr-CH"/>
        </w:rPr>
        <w:t xml:space="preserve"> </w:t>
      </w:r>
      <w:r w:rsidR="00353ADC">
        <w:rPr>
          <w:lang w:val="fr-CH"/>
        </w:rPr>
        <w:t>à l</w:t>
      </w:r>
      <w:r w:rsidR="000A3166">
        <w:rPr>
          <w:lang w:val="fr-CH"/>
        </w:rPr>
        <w:t>’</w:t>
      </w:r>
      <w:r w:rsidR="00353ADC">
        <w:rPr>
          <w:lang w:val="fr-CH"/>
        </w:rPr>
        <w:t>égard</w:t>
      </w:r>
      <w:r w:rsidRPr="00403F08">
        <w:rPr>
          <w:lang w:val="fr-CH"/>
        </w:rPr>
        <w:t xml:space="preserve"> de ce document figurera dans la </w:t>
      </w:r>
      <w:r w:rsidR="000A3166">
        <w:rPr>
          <w:lang w:val="fr-CH"/>
        </w:rPr>
        <w:t>“</w:t>
      </w:r>
      <w:r w:rsidRPr="00403F08">
        <w:rPr>
          <w:lang w:val="fr-CH"/>
        </w:rPr>
        <w:t>Liste des décisions adoptées par le Comité du programme et budget</w:t>
      </w:r>
      <w:r w:rsidR="000A3166">
        <w:rPr>
          <w:lang w:val="fr-CH"/>
        </w:rPr>
        <w:t>”</w:t>
      </w:r>
      <w:r w:rsidRPr="00403F08">
        <w:rPr>
          <w:lang w:val="fr-CH"/>
        </w:rPr>
        <w:t xml:space="preserve"> (document</w:t>
      </w:r>
      <w:r w:rsidR="008140AA">
        <w:rPr>
          <w:lang w:val="fr-CH"/>
        </w:rPr>
        <w:t> </w:t>
      </w:r>
      <w:r w:rsidRPr="00403F08">
        <w:rPr>
          <w:lang w:val="fr-CH"/>
        </w:rPr>
        <w:t>A/59/</w:t>
      </w:r>
      <w:r w:rsidR="00932F7E">
        <w:rPr>
          <w:lang w:val="fr-CH"/>
        </w:rPr>
        <w:t>7</w:t>
      </w:r>
      <w:r w:rsidRPr="00403F08">
        <w:rPr>
          <w:lang w:val="fr-CH"/>
        </w:rPr>
        <w:t>).</w:t>
      </w:r>
    </w:p>
    <w:p w14:paraId="50171EC9" w14:textId="77777777" w:rsidR="00417F8D" w:rsidRDefault="005A5F49" w:rsidP="00CE49CE">
      <w:pPr>
        <w:pStyle w:val="Endofdocument-Annex"/>
        <w:rPr>
          <w:lang w:val="fr-CH"/>
        </w:rPr>
      </w:pPr>
      <w:r w:rsidRPr="00EA4F37">
        <w:rPr>
          <w:lang w:val="fr-CH"/>
        </w:rPr>
        <w:t>[Le document</w:t>
      </w:r>
      <w:r w:rsidR="008140AA" w:rsidRPr="00EA4F37">
        <w:rPr>
          <w:lang w:val="fr-CH"/>
        </w:rPr>
        <w:t> </w:t>
      </w:r>
      <w:r w:rsidRPr="00EA4F37">
        <w:rPr>
          <w:lang w:val="fr-CH"/>
        </w:rPr>
        <w:t>WO/PBC/30/5 suit]</w:t>
      </w:r>
    </w:p>
    <w:p w14:paraId="2204F770" w14:textId="77777777" w:rsidR="00417F8D" w:rsidRDefault="00417F8D" w:rsidP="00B63E54">
      <w:pPr>
        <w:pStyle w:val="Endofdocument-Annex"/>
        <w:rPr>
          <w:lang w:val="fr-CH"/>
        </w:rPr>
      </w:pPr>
    </w:p>
    <w:p w14:paraId="61C22CF2" w14:textId="77777777" w:rsidR="00B63E54" w:rsidRPr="00403F08" w:rsidRDefault="00B63E54" w:rsidP="00B63E54">
      <w:pPr>
        <w:pStyle w:val="Endofdocument-Annex"/>
        <w:jc w:val="both"/>
        <w:rPr>
          <w:lang w:val="fr-CH"/>
        </w:rPr>
        <w:sectPr w:rsidR="00B63E54" w:rsidRPr="00403F08" w:rsidSect="00B63E54">
          <w:headerReference w:type="default" r:id="rId9"/>
          <w:endnotePr>
            <w:numFmt w:val="decimal"/>
          </w:endnotePr>
          <w:pgSz w:w="11907" w:h="16840" w:code="9"/>
          <w:pgMar w:top="567" w:right="1134" w:bottom="1418" w:left="1418" w:header="510" w:footer="1021" w:gutter="0"/>
          <w:cols w:space="720"/>
          <w:titlePg/>
          <w:docGrid w:linePitch="299"/>
        </w:sectPr>
      </w:pPr>
    </w:p>
    <w:p w14:paraId="7143304E" w14:textId="77777777" w:rsidR="00B63E54" w:rsidRPr="00403F08" w:rsidRDefault="00B63E54" w:rsidP="00B63E54">
      <w:pPr>
        <w:pStyle w:val="Endofdocument-Annex"/>
        <w:rPr>
          <w:lang w:val="fr-CH"/>
        </w:rPr>
        <w:sectPr w:rsidR="00B63E54" w:rsidRPr="00403F08" w:rsidSect="00B63E5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A3166" w:rsidRPr="008B2CC1" w14:paraId="49241399" w14:textId="77777777" w:rsidTr="00D325B1">
        <w:tc>
          <w:tcPr>
            <w:tcW w:w="4513" w:type="dxa"/>
            <w:tcBorders>
              <w:bottom w:val="single" w:sz="4" w:space="0" w:color="auto"/>
            </w:tcBorders>
            <w:tcMar>
              <w:bottom w:w="170" w:type="dxa"/>
            </w:tcMar>
          </w:tcPr>
          <w:p w14:paraId="22616307" w14:textId="77777777" w:rsidR="000A3166" w:rsidRPr="00CE49CE" w:rsidRDefault="000A3166" w:rsidP="00D325B1">
            <w:pPr>
              <w:rPr>
                <w:lang w:val="fr-CH"/>
              </w:rPr>
            </w:pPr>
          </w:p>
        </w:tc>
        <w:tc>
          <w:tcPr>
            <w:tcW w:w="4337" w:type="dxa"/>
            <w:tcBorders>
              <w:bottom w:val="single" w:sz="4" w:space="0" w:color="auto"/>
            </w:tcBorders>
            <w:tcMar>
              <w:left w:w="0" w:type="dxa"/>
              <w:right w:w="0" w:type="dxa"/>
            </w:tcMar>
          </w:tcPr>
          <w:p w14:paraId="0D20D8BD" w14:textId="77777777" w:rsidR="000A3166" w:rsidRPr="008B2CC1" w:rsidRDefault="000A3166" w:rsidP="00D325B1">
            <w:r>
              <w:rPr>
                <w:noProof/>
                <w:lang w:eastAsia="en-US"/>
              </w:rPr>
              <w:drawing>
                <wp:inline distT="0" distB="0" distL="0" distR="0" wp14:anchorId="3B43EF4D" wp14:editId="38403278">
                  <wp:extent cx="1857375" cy="1323975"/>
                  <wp:effectExtent l="0" t="0" r="9525" b="9525"/>
                  <wp:docPr id="8" name="Picture 8"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027924B" w14:textId="77777777" w:rsidR="000A3166" w:rsidRPr="008B2CC1" w:rsidRDefault="000A3166" w:rsidP="00D325B1">
            <w:pPr>
              <w:jc w:val="right"/>
            </w:pPr>
            <w:r>
              <w:rPr>
                <w:b/>
                <w:sz w:val="40"/>
                <w:szCs w:val="40"/>
              </w:rPr>
              <w:t>F</w:t>
            </w:r>
          </w:p>
        </w:tc>
      </w:tr>
      <w:tr w:rsidR="000A3166" w:rsidRPr="001832A6" w14:paraId="038750D5" w14:textId="77777777" w:rsidTr="00D325B1">
        <w:trPr>
          <w:trHeight w:hRule="exact" w:val="357"/>
        </w:trPr>
        <w:tc>
          <w:tcPr>
            <w:tcW w:w="9356" w:type="dxa"/>
            <w:gridSpan w:val="3"/>
            <w:tcBorders>
              <w:top w:val="single" w:sz="4" w:space="0" w:color="auto"/>
            </w:tcBorders>
            <w:tcMar>
              <w:top w:w="170" w:type="dxa"/>
              <w:left w:w="0" w:type="dxa"/>
              <w:right w:w="0" w:type="dxa"/>
            </w:tcMar>
            <w:vAlign w:val="bottom"/>
          </w:tcPr>
          <w:p w14:paraId="0810B1F2" w14:textId="77777777" w:rsidR="000A3166" w:rsidRPr="0090731E" w:rsidRDefault="000A3166" w:rsidP="00D325B1">
            <w:pPr>
              <w:jc w:val="right"/>
              <w:rPr>
                <w:rFonts w:ascii="Arial Black" w:hAnsi="Arial Black"/>
                <w:caps/>
                <w:sz w:val="15"/>
              </w:rPr>
            </w:pPr>
            <w:r>
              <w:rPr>
                <w:rFonts w:ascii="Arial Black" w:hAnsi="Arial Black"/>
                <w:caps/>
                <w:sz w:val="15"/>
                <w:lang w:val="fr-FR"/>
              </w:rPr>
              <w:t>WO/PBC/30/5</w:t>
            </w:r>
          </w:p>
        </w:tc>
      </w:tr>
      <w:tr w:rsidR="000A3166" w:rsidRPr="001832A6" w14:paraId="74CBBD3D" w14:textId="77777777" w:rsidTr="00D325B1">
        <w:trPr>
          <w:trHeight w:hRule="exact" w:val="170"/>
        </w:trPr>
        <w:tc>
          <w:tcPr>
            <w:tcW w:w="9356" w:type="dxa"/>
            <w:gridSpan w:val="3"/>
            <w:noWrap/>
            <w:tcMar>
              <w:left w:w="0" w:type="dxa"/>
              <w:right w:w="0" w:type="dxa"/>
            </w:tcMar>
            <w:vAlign w:val="bottom"/>
          </w:tcPr>
          <w:p w14:paraId="7934AC87" w14:textId="77777777" w:rsidR="000A3166" w:rsidRPr="0090731E" w:rsidRDefault="000A3166" w:rsidP="00D325B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anglais</w:t>
            </w:r>
            <w:r w:rsidRPr="0090731E">
              <w:rPr>
                <w:rFonts w:ascii="Arial Black" w:hAnsi="Arial Black"/>
                <w:caps/>
                <w:sz w:val="15"/>
              </w:rPr>
              <w:t xml:space="preserve"> </w:t>
            </w:r>
          </w:p>
        </w:tc>
      </w:tr>
      <w:tr w:rsidR="000A3166" w:rsidRPr="001832A6" w14:paraId="5915E789" w14:textId="77777777" w:rsidTr="00D325B1">
        <w:trPr>
          <w:trHeight w:hRule="exact" w:val="198"/>
        </w:trPr>
        <w:tc>
          <w:tcPr>
            <w:tcW w:w="9356" w:type="dxa"/>
            <w:gridSpan w:val="3"/>
            <w:tcMar>
              <w:left w:w="0" w:type="dxa"/>
              <w:right w:w="0" w:type="dxa"/>
            </w:tcMar>
            <w:vAlign w:val="bottom"/>
          </w:tcPr>
          <w:p w14:paraId="4727B34A" w14:textId="77777777" w:rsidR="000A3166" w:rsidRPr="0090731E" w:rsidRDefault="000A3166" w:rsidP="00D325B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3 juillet 2019</w:t>
            </w:r>
            <w:r w:rsidRPr="0090731E">
              <w:rPr>
                <w:rFonts w:ascii="Arial Black" w:hAnsi="Arial Black"/>
                <w:caps/>
                <w:sz w:val="15"/>
              </w:rPr>
              <w:t xml:space="preserve"> </w:t>
            </w:r>
          </w:p>
        </w:tc>
      </w:tr>
    </w:tbl>
    <w:p w14:paraId="3395452D" w14:textId="77777777" w:rsidR="00417F8D" w:rsidRDefault="00417F8D" w:rsidP="000A3166"/>
    <w:p w14:paraId="008B9FC0" w14:textId="77777777" w:rsidR="00417F8D" w:rsidRDefault="00417F8D" w:rsidP="000A3166"/>
    <w:p w14:paraId="077C3868" w14:textId="77777777" w:rsidR="00417F8D" w:rsidRDefault="00417F8D" w:rsidP="000A3166"/>
    <w:p w14:paraId="438CB557" w14:textId="77777777" w:rsidR="00417F8D" w:rsidRDefault="00417F8D" w:rsidP="000A3166"/>
    <w:p w14:paraId="08159B7F" w14:textId="77777777" w:rsidR="00417F8D" w:rsidRDefault="00417F8D" w:rsidP="000A3166"/>
    <w:p w14:paraId="1A68F684" w14:textId="77777777" w:rsidR="00417F8D" w:rsidRDefault="000A3166" w:rsidP="000A3166">
      <w:pPr>
        <w:rPr>
          <w:b/>
          <w:sz w:val="28"/>
          <w:szCs w:val="28"/>
        </w:rPr>
      </w:pPr>
      <w:proofErr w:type="spellStart"/>
      <w:r w:rsidRPr="009A1B86">
        <w:rPr>
          <w:b/>
          <w:sz w:val="28"/>
          <w:szCs w:val="28"/>
        </w:rPr>
        <w:t>Comité</w:t>
      </w:r>
      <w:proofErr w:type="spellEnd"/>
      <w:r w:rsidRPr="009A1B86">
        <w:rPr>
          <w:b/>
          <w:sz w:val="28"/>
          <w:szCs w:val="28"/>
        </w:rPr>
        <w:t xml:space="preserve"> du </w:t>
      </w:r>
      <w:proofErr w:type="spellStart"/>
      <w:r w:rsidRPr="009A1B86">
        <w:rPr>
          <w:b/>
          <w:sz w:val="28"/>
          <w:szCs w:val="28"/>
        </w:rPr>
        <w:t>programme</w:t>
      </w:r>
      <w:proofErr w:type="spellEnd"/>
      <w:r w:rsidRPr="009A1B86">
        <w:rPr>
          <w:b/>
          <w:sz w:val="28"/>
          <w:szCs w:val="28"/>
        </w:rPr>
        <w:t xml:space="preserve"> </w:t>
      </w:r>
      <w:proofErr w:type="gramStart"/>
      <w:r w:rsidRPr="009A1B86">
        <w:rPr>
          <w:b/>
          <w:sz w:val="28"/>
          <w:szCs w:val="28"/>
        </w:rPr>
        <w:t>et</w:t>
      </w:r>
      <w:proofErr w:type="gramEnd"/>
      <w:r w:rsidRPr="009A1B86">
        <w:rPr>
          <w:b/>
          <w:sz w:val="28"/>
          <w:szCs w:val="28"/>
        </w:rPr>
        <w:t xml:space="preserve"> budget</w:t>
      </w:r>
    </w:p>
    <w:p w14:paraId="47C5DCA7" w14:textId="77777777" w:rsidR="00417F8D" w:rsidRDefault="00417F8D" w:rsidP="000A3166"/>
    <w:p w14:paraId="0CAEBD13" w14:textId="77777777" w:rsidR="00417F8D" w:rsidRDefault="00417F8D" w:rsidP="000A3166"/>
    <w:p w14:paraId="3A63E378" w14:textId="77777777" w:rsidR="00417F8D" w:rsidRDefault="000A3166" w:rsidP="000A3166">
      <w:pPr>
        <w:rPr>
          <w:b/>
          <w:sz w:val="24"/>
          <w:szCs w:val="24"/>
        </w:rPr>
      </w:pPr>
      <w:proofErr w:type="spellStart"/>
      <w:r w:rsidRPr="008A72F7">
        <w:rPr>
          <w:b/>
          <w:sz w:val="24"/>
          <w:szCs w:val="24"/>
        </w:rPr>
        <w:t>Trentième</w:t>
      </w:r>
      <w:proofErr w:type="spellEnd"/>
      <w:r w:rsidRPr="008A72F7">
        <w:rPr>
          <w:b/>
          <w:sz w:val="24"/>
          <w:szCs w:val="24"/>
        </w:rPr>
        <w:t xml:space="preserve"> session</w:t>
      </w:r>
    </w:p>
    <w:p w14:paraId="7B2444D0" w14:textId="77777777" w:rsidR="00417F8D" w:rsidRDefault="000A3166" w:rsidP="000A3166">
      <w:pPr>
        <w:rPr>
          <w:b/>
          <w:sz w:val="24"/>
          <w:szCs w:val="24"/>
        </w:rPr>
      </w:pPr>
      <w:r w:rsidRPr="008A72F7">
        <w:rPr>
          <w:b/>
          <w:sz w:val="24"/>
          <w:szCs w:val="24"/>
        </w:rPr>
        <w:t xml:space="preserve">Genève, 8 – 12 </w:t>
      </w:r>
      <w:proofErr w:type="spellStart"/>
      <w:r w:rsidRPr="008A72F7">
        <w:rPr>
          <w:b/>
          <w:sz w:val="24"/>
          <w:szCs w:val="24"/>
        </w:rPr>
        <w:t>juillet</w:t>
      </w:r>
      <w:proofErr w:type="spellEnd"/>
      <w:r w:rsidRPr="008A72F7">
        <w:rPr>
          <w:b/>
          <w:sz w:val="24"/>
          <w:szCs w:val="24"/>
        </w:rPr>
        <w:t xml:space="preserve"> 2019</w:t>
      </w:r>
    </w:p>
    <w:p w14:paraId="3970EAA1" w14:textId="77777777" w:rsidR="00417F8D" w:rsidRDefault="00417F8D" w:rsidP="00B63E54"/>
    <w:p w14:paraId="3BE60120" w14:textId="77777777" w:rsidR="00417F8D" w:rsidRDefault="00417F8D" w:rsidP="00B63E54"/>
    <w:p w14:paraId="01C5EBEA" w14:textId="77777777" w:rsidR="00417F8D" w:rsidRDefault="00417F8D" w:rsidP="00B63E54"/>
    <w:p w14:paraId="6B1CD638" w14:textId="77777777" w:rsidR="00417F8D" w:rsidRDefault="005A5F49" w:rsidP="005A5F49">
      <w:pPr>
        <w:rPr>
          <w:caps/>
          <w:sz w:val="24"/>
          <w:lang w:val="fr-CH"/>
        </w:rPr>
      </w:pPr>
      <w:r w:rsidRPr="00403F08">
        <w:rPr>
          <w:caps/>
          <w:sz w:val="24"/>
          <w:lang w:val="fr-CH"/>
        </w:rPr>
        <w:t>Rapport annuel du directeur de la Division de la supervision interne (DSI)</w:t>
      </w:r>
    </w:p>
    <w:p w14:paraId="4C5309E5" w14:textId="77777777" w:rsidR="00417F8D" w:rsidRDefault="00417F8D" w:rsidP="00B63E54">
      <w:pPr>
        <w:rPr>
          <w:lang w:val="fr-CH"/>
        </w:rPr>
      </w:pPr>
    </w:p>
    <w:p w14:paraId="6D97B282" w14:textId="77777777" w:rsidR="00417F8D" w:rsidRDefault="005A5F49" w:rsidP="005A5F49">
      <w:pPr>
        <w:rPr>
          <w:i/>
        </w:rPr>
      </w:pPr>
      <w:proofErr w:type="spellStart"/>
      <w:proofErr w:type="gramStart"/>
      <w:r w:rsidRPr="00403F08">
        <w:rPr>
          <w:i/>
        </w:rPr>
        <w:t>établi</w:t>
      </w:r>
      <w:proofErr w:type="spellEnd"/>
      <w:proofErr w:type="gramEnd"/>
      <w:r w:rsidRPr="00403F08">
        <w:rPr>
          <w:i/>
        </w:rPr>
        <w:t xml:space="preserve"> par le </w:t>
      </w:r>
      <w:proofErr w:type="spellStart"/>
      <w:r w:rsidRPr="00403F08">
        <w:rPr>
          <w:i/>
        </w:rPr>
        <w:t>Secrétariat</w:t>
      </w:r>
      <w:proofErr w:type="spellEnd"/>
    </w:p>
    <w:p w14:paraId="6FA80967" w14:textId="77777777" w:rsidR="00417F8D" w:rsidRDefault="00417F8D" w:rsidP="00B63E54"/>
    <w:p w14:paraId="1C7DAF14" w14:textId="77777777" w:rsidR="00417F8D" w:rsidRDefault="00417F8D" w:rsidP="00B63E54"/>
    <w:p w14:paraId="1CB25315" w14:textId="77777777" w:rsidR="00417F8D" w:rsidRDefault="00417F8D" w:rsidP="00B63E54"/>
    <w:p w14:paraId="002A04AE" w14:textId="77777777" w:rsidR="00417F8D" w:rsidRDefault="00417F8D" w:rsidP="00B63E54"/>
    <w:p w14:paraId="67023597" w14:textId="77777777" w:rsidR="00417F8D" w:rsidRDefault="00417F8D" w:rsidP="00B63E54"/>
    <w:p w14:paraId="4A847EE2" w14:textId="77777777" w:rsidR="00417F8D" w:rsidRDefault="005A5F49" w:rsidP="00CE49CE">
      <w:pPr>
        <w:pStyle w:val="ONUMFS"/>
        <w:numPr>
          <w:ilvl w:val="0"/>
          <w:numId w:val="18"/>
        </w:numPr>
        <w:rPr>
          <w:lang w:val="fr-CH"/>
        </w:rPr>
      </w:pPr>
      <w:r w:rsidRPr="00CE49CE">
        <w:rPr>
          <w:lang w:val="fr-CH"/>
        </w:rPr>
        <w:t>Conformément au paragraphe</w:t>
      </w:r>
      <w:r w:rsidR="00C33462" w:rsidRPr="00CE49CE">
        <w:rPr>
          <w:lang w:val="fr-CH"/>
        </w:rPr>
        <w:t> </w:t>
      </w:r>
      <w:r w:rsidRPr="00CE49CE">
        <w:rPr>
          <w:lang w:val="fr-CH"/>
        </w:rPr>
        <w:t>47 de la Charte de la supervision interne, le directeur de la Division de la supervision interne (DSI) soumet chaque année un rapport de synthèse à l</w:t>
      </w:r>
      <w:r w:rsidR="000A3166" w:rsidRPr="00CE49CE">
        <w:rPr>
          <w:lang w:val="fr-CH"/>
        </w:rPr>
        <w:t>’</w:t>
      </w:r>
      <w:r w:rsidRPr="00CE49CE">
        <w:rPr>
          <w:lang w:val="fr-CH"/>
        </w:rPr>
        <w:t>Assemblée générale de l</w:t>
      </w:r>
      <w:r w:rsidR="000A3166" w:rsidRPr="00CE49CE">
        <w:rPr>
          <w:lang w:val="fr-CH"/>
        </w:rPr>
        <w:t>’</w:t>
      </w:r>
      <w:r w:rsidRPr="00CE49CE">
        <w:rPr>
          <w:lang w:val="fr-CH"/>
        </w:rPr>
        <w:t>OMPI, par l</w:t>
      </w:r>
      <w:r w:rsidR="000A3166" w:rsidRPr="00CE49CE">
        <w:rPr>
          <w:lang w:val="fr-CH"/>
        </w:rPr>
        <w:t>’</w:t>
      </w:r>
      <w:r w:rsidRPr="00CE49CE">
        <w:rPr>
          <w:lang w:val="fr-CH"/>
        </w:rPr>
        <w:t>intermédiaire du Comité du programme et budget (PBC).</w:t>
      </w:r>
      <w:r w:rsidR="00B63E54" w:rsidRPr="00CE49CE">
        <w:rPr>
          <w:lang w:val="fr-CH"/>
        </w:rPr>
        <w:t xml:space="preserve">  </w:t>
      </w:r>
      <w:r w:rsidRPr="00CE49CE">
        <w:rPr>
          <w:lang w:val="fr-CH"/>
        </w:rPr>
        <w:t>Le rapport rend compte des activités de supervision interne menées au cours de la période comprise entre le</w:t>
      </w:r>
      <w:r w:rsidR="00353ADC" w:rsidRPr="00CE49CE">
        <w:rPr>
          <w:lang w:val="fr-CH"/>
        </w:rPr>
        <w:t xml:space="preserve"> 1</w:t>
      </w:r>
      <w:r w:rsidR="00353ADC" w:rsidRPr="00CE49CE">
        <w:rPr>
          <w:vertAlign w:val="superscript"/>
          <w:lang w:val="fr-CH"/>
        </w:rPr>
        <w:t>er</w:t>
      </w:r>
      <w:r w:rsidR="00353ADC" w:rsidRPr="00CE49CE">
        <w:rPr>
          <w:lang w:val="fr-CH"/>
        </w:rPr>
        <w:t> </w:t>
      </w:r>
      <w:r w:rsidRPr="00CE49CE">
        <w:rPr>
          <w:lang w:val="fr-CH"/>
        </w:rPr>
        <w:t>juillet</w:t>
      </w:r>
      <w:r w:rsidR="00C33462" w:rsidRPr="00CE49CE">
        <w:rPr>
          <w:lang w:val="fr-CH"/>
        </w:rPr>
        <w:t> </w:t>
      </w:r>
      <w:r w:rsidRPr="00CE49CE">
        <w:rPr>
          <w:lang w:val="fr-CH"/>
        </w:rPr>
        <w:t>2018 et le 30</w:t>
      </w:r>
      <w:r w:rsidR="00C33462" w:rsidRPr="00CE49CE">
        <w:rPr>
          <w:lang w:val="fr-CH"/>
        </w:rPr>
        <w:t> </w:t>
      </w:r>
      <w:r w:rsidRPr="00CE49CE">
        <w:rPr>
          <w:lang w:val="fr-CH"/>
        </w:rPr>
        <w:t>juin</w:t>
      </w:r>
      <w:r w:rsidR="00C33462" w:rsidRPr="00CE49CE">
        <w:rPr>
          <w:lang w:val="fr-CH"/>
        </w:rPr>
        <w:t> </w:t>
      </w:r>
      <w:r w:rsidRPr="00CE49CE">
        <w:rPr>
          <w:lang w:val="fr-CH"/>
        </w:rPr>
        <w:t>2019.</w:t>
      </w:r>
    </w:p>
    <w:p w14:paraId="3ED93E4D" w14:textId="77777777" w:rsidR="00417F8D" w:rsidRDefault="005A5F49" w:rsidP="00CE49CE">
      <w:pPr>
        <w:pStyle w:val="ONUMFS"/>
        <w:rPr>
          <w:lang w:val="fr-CH"/>
        </w:rPr>
      </w:pPr>
      <w:r w:rsidRPr="00CE49CE">
        <w:rPr>
          <w:lang w:val="fr-CH"/>
        </w:rPr>
        <w:t>Le paragraphe de décision ci</w:t>
      </w:r>
      <w:r w:rsidR="00353ADC" w:rsidRPr="00CE49CE">
        <w:rPr>
          <w:lang w:val="fr-CH"/>
        </w:rPr>
        <w:t>-</w:t>
      </w:r>
      <w:r w:rsidRPr="00CE49CE">
        <w:rPr>
          <w:lang w:val="fr-CH"/>
        </w:rPr>
        <w:t>après est proposé.</w:t>
      </w:r>
    </w:p>
    <w:p w14:paraId="0F483FC8" w14:textId="77777777" w:rsidR="00417F8D" w:rsidRDefault="005A5F49" w:rsidP="00CE49CE">
      <w:pPr>
        <w:pStyle w:val="ONUMFS"/>
        <w:spacing w:after="0"/>
        <w:ind w:left="5534"/>
        <w:rPr>
          <w:i/>
          <w:lang w:val="x-none" w:eastAsia="x-none"/>
        </w:rPr>
      </w:pPr>
      <w:r w:rsidRPr="00CE49CE">
        <w:rPr>
          <w:rStyle w:val="ONUMECharChar"/>
          <w:i/>
        </w:rPr>
        <w:t xml:space="preserve">Le </w:t>
      </w:r>
      <w:proofErr w:type="spellStart"/>
      <w:r w:rsidRPr="00CE49CE">
        <w:rPr>
          <w:rStyle w:val="ONUMECharChar"/>
          <w:i/>
        </w:rPr>
        <w:t>Comité</w:t>
      </w:r>
      <w:proofErr w:type="spellEnd"/>
      <w:r w:rsidRPr="00CE49CE">
        <w:rPr>
          <w:rStyle w:val="ONUMECharChar"/>
          <w:i/>
        </w:rPr>
        <w:t xml:space="preserve"> du </w:t>
      </w:r>
      <w:proofErr w:type="spellStart"/>
      <w:r w:rsidRPr="00CE49CE">
        <w:rPr>
          <w:rStyle w:val="ONUMECharChar"/>
          <w:i/>
        </w:rPr>
        <w:t>programme</w:t>
      </w:r>
      <w:proofErr w:type="spellEnd"/>
      <w:r w:rsidRPr="00CE49CE">
        <w:rPr>
          <w:rStyle w:val="ONUMECharChar"/>
          <w:i/>
        </w:rPr>
        <w:t xml:space="preserve"> et budget (PBC) a </w:t>
      </w:r>
      <w:proofErr w:type="spellStart"/>
      <w:r w:rsidRPr="00CE49CE">
        <w:rPr>
          <w:rStyle w:val="ONUMECharChar"/>
          <w:i/>
        </w:rPr>
        <w:t>pris</w:t>
      </w:r>
      <w:proofErr w:type="spellEnd"/>
      <w:r w:rsidRPr="00CE49CE">
        <w:rPr>
          <w:rStyle w:val="ONUMECharChar"/>
          <w:i/>
        </w:rPr>
        <w:t xml:space="preserve"> note </w:t>
      </w:r>
      <w:proofErr w:type="spellStart"/>
      <w:r w:rsidRPr="00CE49CE">
        <w:rPr>
          <w:rStyle w:val="ONUMECharChar"/>
          <w:i/>
        </w:rPr>
        <w:t>du</w:t>
      </w:r>
      <w:proofErr w:type="spellEnd"/>
      <w:r w:rsidRPr="00CE49CE">
        <w:rPr>
          <w:rStyle w:val="ONUMECharChar"/>
          <w:i/>
        </w:rPr>
        <w:t xml:space="preserve"> </w:t>
      </w:r>
      <w:r w:rsidR="000A3166" w:rsidRPr="00CE49CE">
        <w:rPr>
          <w:rStyle w:val="ONUMECharChar"/>
          <w:i/>
        </w:rPr>
        <w:t>“</w:t>
      </w:r>
      <w:r w:rsidRPr="00CE49CE">
        <w:rPr>
          <w:rStyle w:val="ONUMECharChar"/>
          <w:i/>
        </w:rPr>
        <w:t xml:space="preserve">Rapport </w:t>
      </w:r>
      <w:proofErr w:type="spellStart"/>
      <w:r w:rsidRPr="00CE49CE">
        <w:rPr>
          <w:rStyle w:val="ONUMECharChar"/>
          <w:i/>
        </w:rPr>
        <w:t>annuel</w:t>
      </w:r>
      <w:proofErr w:type="spellEnd"/>
      <w:r w:rsidRPr="00CE49CE">
        <w:rPr>
          <w:rStyle w:val="ONUMECharChar"/>
          <w:i/>
        </w:rPr>
        <w:t xml:space="preserve"> du </w:t>
      </w:r>
      <w:proofErr w:type="spellStart"/>
      <w:r w:rsidRPr="00CE49CE">
        <w:rPr>
          <w:rStyle w:val="ONUMECharChar"/>
          <w:i/>
        </w:rPr>
        <w:t>directeur</w:t>
      </w:r>
      <w:proofErr w:type="spellEnd"/>
      <w:r w:rsidRPr="00CE49CE">
        <w:rPr>
          <w:rStyle w:val="ONUMECharChar"/>
          <w:i/>
        </w:rPr>
        <w:t xml:space="preserve"> de la Division de la supervision interne (DSI)</w:t>
      </w:r>
      <w:r w:rsidR="000A3166" w:rsidRPr="00CE49CE">
        <w:rPr>
          <w:rStyle w:val="ONUMECharChar"/>
          <w:i/>
        </w:rPr>
        <w:t>”</w:t>
      </w:r>
      <w:r w:rsidRPr="00CE49CE">
        <w:rPr>
          <w:rStyle w:val="ONUMECharChar"/>
          <w:i/>
        </w:rPr>
        <w:t xml:space="preserve"> (document</w:t>
      </w:r>
      <w:r w:rsidR="008140AA" w:rsidRPr="00CE49CE">
        <w:rPr>
          <w:rStyle w:val="ONUMECharChar"/>
          <w:i/>
        </w:rPr>
        <w:t> </w:t>
      </w:r>
      <w:r w:rsidRPr="00CE49CE">
        <w:rPr>
          <w:rStyle w:val="ONUMECharChar"/>
          <w:i/>
        </w:rPr>
        <w:t>WO/PBC/30/5).</w:t>
      </w:r>
    </w:p>
    <w:p w14:paraId="0B5E0F75" w14:textId="2F37EB3D" w:rsidR="00186810" w:rsidRPr="00403F08" w:rsidRDefault="005A5F49" w:rsidP="00CE49CE">
      <w:pPr>
        <w:pStyle w:val="Endofdocument-Annex"/>
        <w:rPr>
          <w:lang w:val="fr-CH"/>
        </w:rPr>
        <w:sectPr w:rsidR="00186810" w:rsidRPr="00403F08" w:rsidSect="00186810">
          <w:endnotePr>
            <w:numFmt w:val="decimal"/>
          </w:endnotePr>
          <w:pgSz w:w="11907" w:h="16840" w:code="9"/>
          <w:pgMar w:top="567" w:right="1134" w:bottom="1418" w:left="1418" w:header="510" w:footer="1021" w:gutter="0"/>
          <w:pgNumType w:start="2"/>
          <w:cols w:space="720"/>
          <w:titlePg/>
          <w:docGrid w:linePitch="299"/>
        </w:sectPr>
      </w:pPr>
      <w:r w:rsidRPr="00403F08">
        <w:rPr>
          <w:lang w:val="fr-CH"/>
        </w:rPr>
        <w:t>[Le rapport annuel du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suit]</w:t>
      </w:r>
    </w:p>
    <w:p w14:paraId="61C38D1B" w14:textId="77777777" w:rsidR="00417F8D" w:rsidRDefault="00417F8D" w:rsidP="00B63E54">
      <w:pPr>
        <w:ind w:left="5534"/>
        <w:rPr>
          <w:lang w:val="fr-CH"/>
        </w:rPr>
      </w:pPr>
    </w:p>
    <w:p w14:paraId="4BFCDD85" w14:textId="77777777" w:rsidR="00417F8D" w:rsidRDefault="00186810">
      <w:pPr>
        <w:rPr>
          <w:lang w:val="fr-CH"/>
        </w:rPr>
      </w:pPr>
      <w:r w:rsidRPr="005A5F49">
        <w:rPr>
          <w:lang w:val="fr-CH"/>
        </w:rPr>
        <w:br w:type="page"/>
      </w:r>
    </w:p>
    <w:p w14:paraId="3ECB21CA" w14:textId="77777777" w:rsidR="00417F8D" w:rsidRDefault="00417F8D" w:rsidP="00186810">
      <w:pPr>
        <w:jc w:val="center"/>
        <w:rPr>
          <w:b/>
          <w:lang w:val="fr-CH"/>
        </w:rPr>
      </w:pPr>
    </w:p>
    <w:p w14:paraId="44D76102" w14:textId="77777777" w:rsidR="00417F8D" w:rsidRDefault="005A5F49" w:rsidP="005A5F49">
      <w:pPr>
        <w:jc w:val="center"/>
        <w:rPr>
          <w:b/>
          <w:lang w:val="fr-CH"/>
        </w:rPr>
      </w:pPr>
      <w:r w:rsidRPr="00FB613C">
        <w:rPr>
          <w:b/>
          <w:lang w:val="fr-CH"/>
        </w:rPr>
        <w:t>RAPPORT ANNUEL DU DIRECTEUR DE LA DIVISION DE LA SUPERVISION INTERNE</w:t>
      </w:r>
    </w:p>
    <w:p w14:paraId="15B15E66" w14:textId="77777777" w:rsidR="00417F8D" w:rsidRDefault="00417F8D" w:rsidP="00186810">
      <w:pPr>
        <w:keepLines/>
        <w:rPr>
          <w:lang w:val="fr-CH"/>
        </w:rPr>
      </w:pPr>
    </w:p>
    <w:p w14:paraId="39D23C44" w14:textId="77777777" w:rsidR="00417F8D" w:rsidRDefault="005A5F49" w:rsidP="005A5F49">
      <w:pPr>
        <w:keepLines/>
        <w:jc w:val="center"/>
        <w:rPr>
          <w:lang w:val="fr-CH"/>
        </w:rPr>
      </w:pPr>
      <w:r w:rsidRPr="00FB613C">
        <w:rPr>
          <w:lang w:val="fr-CH"/>
        </w:rPr>
        <w:t>Du</w:t>
      </w:r>
      <w:r w:rsidR="00353ADC">
        <w:rPr>
          <w:lang w:val="fr-CH"/>
        </w:rPr>
        <w:t xml:space="preserve"> 1</w:t>
      </w:r>
      <w:r w:rsidR="00353ADC" w:rsidRPr="00353ADC">
        <w:rPr>
          <w:vertAlign w:val="superscript"/>
          <w:lang w:val="fr-CH"/>
        </w:rPr>
        <w:t>er</w:t>
      </w:r>
      <w:r w:rsidR="00353ADC">
        <w:rPr>
          <w:lang w:val="fr-CH"/>
        </w:rPr>
        <w:t> </w:t>
      </w:r>
      <w:r w:rsidRPr="00FB613C">
        <w:rPr>
          <w:lang w:val="fr-CH"/>
        </w:rPr>
        <w:t>juillet</w:t>
      </w:r>
      <w:r w:rsidR="00C33462">
        <w:rPr>
          <w:lang w:val="fr-CH"/>
        </w:rPr>
        <w:t> </w:t>
      </w:r>
      <w:r w:rsidRPr="00FB613C">
        <w:rPr>
          <w:lang w:val="fr-CH"/>
        </w:rPr>
        <w:t>2018 au 30</w:t>
      </w:r>
      <w:r w:rsidR="00C33462">
        <w:rPr>
          <w:lang w:val="fr-CH"/>
        </w:rPr>
        <w:t> </w:t>
      </w:r>
      <w:r w:rsidRPr="00FB613C">
        <w:rPr>
          <w:lang w:val="fr-CH"/>
        </w:rPr>
        <w:t>juin</w:t>
      </w:r>
      <w:r w:rsidR="00C33462">
        <w:rPr>
          <w:lang w:val="fr-CH"/>
        </w:rPr>
        <w:t> </w:t>
      </w:r>
      <w:r w:rsidRPr="00FB613C">
        <w:rPr>
          <w:lang w:val="fr-CH"/>
        </w:rPr>
        <w:t>2019</w:t>
      </w:r>
    </w:p>
    <w:p w14:paraId="515ED771" w14:textId="77777777" w:rsidR="00417F8D" w:rsidRDefault="00417F8D" w:rsidP="00186810">
      <w:pPr>
        <w:keepLines/>
        <w:jc w:val="center"/>
        <w:rPr>
          <w:lang w:val="fr-CH"/>
        </w:rPr>
      </w:pPr>
    </w:p>
    <w:p w14:paraId="3E7BE29E" w14:textId="77777777" w:rsidR="00417F8D" w:rsidRDefault="00417F8D" w:rsidP="00186810">
      <w:pPr>
        <w:rPr>
          <w:lang w:val="fr-CH"/>
        </w:rPr>
      </w:pPr>
    </w:p>
    <w:p w14:paraId="31B195B3" w14:textId="77777777" w:rsidR="00417F8D" w:rsidRDefault="00417F8D" w:rsidP="00186810">
      <w:pPr>
        <w:jc w:val="center"/>
        <w:rPr>
          <w:b/>
          <w:lang w:val="fr-CH"/>
        </w:rPr>
      </w:pPr>
    </w:p>
    <w:p w14:paraId="257D7B9C" w14:textId="77777777" w:rsidR="00417F8D" w:rsidRDefault="005A5F49" w:rsidP="005A5F49">
      <w:pPr>
        <w:jc w:val="center"/>
        <w:rPr>
          <w:b/>
        </w:rPr>
      </w:pPr>
      <w:r w:rsidRPr="00FB613C">
        <w:rPr>
          <w:b/>
        </w:rPr>
        <w:t>TABLE DES MATIÈRES</w:t>
      </w:r>
    </w:p>
    <w:p w14:paraId="59FBCA90" w14:textId="77777777" w:rsidR="00417F8D" w:rsidRDefault="00417F8D" w:rsidP="00186810">
      <w:pPr>
        <w:keepLines/>
      </w:pPr>
    </w:p>
    <w:p w14:paraId="5828C6E2" w14:textId="77777777" w:rsidR="00417F8D" w:rsidRDefault="00186810">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12270146" w:history="1">
        <w:r w:rsidR="00B937C7" w:rsidRPr="00175122">
          <w:rPr>
            <w:rStyle w:val="Hyperlink"/>
            <w:noProof/>
          </w:rPr>
          <w:t>Assemblée générale de I’OMPI</w:t>
        </w:r>
        <w:r w:rsidR="00B937C7">
          <w:rPr>
            <w:noProof/>
            <w:webHidden/>
          </w:rPr>
          <w:tab/>
        </w:r>
        <w:r w:rsidR="00B937C7">
          <w:rPr>
            <w:noProof/>
            <w:webHidden/>
          </w:rPr>
          <w:fldChar w:fldCharType="begin"/>
        </w:r>
        <w:r w:rsidR="00B937C7">
          <w:rPr>
            <w:noProof/>
            <w:webHidden/>
          </w:rPr>
          <w:instrText xml:space="preserve"> PAGEREF _Toc12270146 \h </w:instrText>
        </w:r>
        <w:r w:rsidR="00B937C7">
          <w:rPr>
            <w:noProof/>
            <w:webHidden/>
          </w:rPr>
        </w:r>
        <w:r w:rsidR="00B937C7">
          <w:rPr>
            <w:noProof/>
            <w:webHidden/>
          </w:rPr>
          <w:fldChar w:fldCharType="separate"/>
        </w:r>
        <w:r w:rsidR="00B937C7">
          <w:rPr>
            <w:noProof/>
            <w:webHidden/>
          </w:rPr>
          <w:t>1</w:t>
        </w:r>
        <w:r w:rsidR="00B937C7">
          <w:rPr>
            <w:noProof/>
            <w:webHidden/>
          </w:rPr>
          <w:fldChar w:fldCharType="end"/>
        </w:r>
      </w:hyperlink>
    </w:p>
    <w:p w14:paraId="7A563440" w14:textId="77777777" w:rsidR="00417F8D" w:rsidRDefault="00E03A3B">
      <w:pPr>
        <w:pStyle w:val="TOC1"/>
        <w:rPr>
          <w:rFonts w:asciiTheme="minorHAnsi" w:eastAsiaTheme="minorEastAsia" w:hAnsiTheme="minorHAnsi" w:cstheme="minorBidi"/>
          <w:noProof/>
          <w:szCs w:val="22"/>
          <w:lang w:eastAsia="en-US"/>
        </w:rPr>
      </w:pPr>
      <w:hyperlink w:anchor="_Toc12270147" w:history="1">
        <w:r w:rsidR="00B937C7" w:rsidRPr="00175122">
          <w:rPr>
            <w:rStyle w:val="Hyperlink"/>
            <w:noProof/>
          </w:rPr>
          <w:t>Liste des sigles utilisés</w:t>
        </w:r>
        <w:r w:rsidR="00B937C7">
          <w:rPr>
            <w:noProof/>
            <w:webHidden/>
          </w:rPr>
          <w:tab/>
        </w:r>
        <w:r w:rsidR="00B937C7">
          <w:rPr>
            <w:noProof/>
            <w:webHidden/>
          </w:rPr>
          <w:fldChar w:fldCharType="begin"/>
        </w:r>
        <w:r w:rsidR="00B937C7">
          <w:rPr>
            <w:noProof/>
            <w:webHidden/>
          </w:rPr>
          <w:instrText xml:space="preserve"> PAGEREF _Toc12270147 \h </w:instrText>
        </w:r>
        <w:r w:rsidR="00B937C7">
          <w:rPr>
            <w:noProof/>
            <w:webHidden/>
          </w:rPr>
        </w:r>
        <w:r w:rsidR="00B937C7">
          <w:rPr>
            <w:noProof/>
            <w:webHidden/>
          </w:rPr>
          <w:fldChar w:fldCharType="separate"/>
        </w:r>
        <w:r w:rsidR="00B937C7">
          <w:rPr>
            <w:noProof/>
            <w:webHidden/>
          </w:rPr>
          <w:t>3</w:t>
        </w:r>
        <w:r w:rsidR="00B937C7">
          <w:rPr>
            <w:noProof/>
            <w:webHidden/>
          </w:rPr>
          <w:fldChar w:fldCharType="end"/>
        </w:r>
      </w:hyperlink>
    </w:p>
    <w:p w14:paraId="47BC4653" w14:textId="77777777" w:rsidR="00417F8D" w:rsidRDefault="00E03A3B">
      <w:pPr>
        <w:pStyle w:val="TOC1"/>
        <w:rPr>
          <w:rFonts w:asciiTheme="minorHAnsi" w:eastAsiaTheme="minorEastAsia" w:hAnsiTheme="minorHAnsi" w:cstheme="minorBidi"/>
          <w:noProof/>
          <w:szCs w:val="22"/>
          <w:lang w:eastAsia="en-US"/>
        </w:rPr>
      </w:pPr>
      <w:hyperlink w:anchor="_Toc12270148" w:history="1">
        <w:r w:rsidR="00B937C7" w:rsidRPr="00175122">
          <w:rPr>
            <w:rStyle w:val="Hyperlink"/>
            <w:noProof/>
          </w:rPr>
          <w:t>informations gÉnÉrales</w:t>
        </w:r>
        <w:r w:rsidR="00B937C7">
          <w:rPr>
            <w:noProof/>
            <w:webHidden/>
          </w:rPr>
          <w:tab/>
        </w:r>
        <w:r w:rsidR="00B937C7">
          <w:rPr>
            <w:noProof/>
            <w:webHidden/>
          </w:rPr>
          <w:fldChar w:fldCharType="begin"/>
        </w:r>
        <w:r w:rsidR="00B937C7">
          <w:rPr>
            <w:noProof/>
            <w:webHidden/>
          </w:rPr>
          <w:instrText xml:space="preserve"> PAGEREF _Toc12270148 \h </w:instrText>
        </w:r>
        <w:r w:rsidR="00B937C7">
          <w:rPr>
            <w:noProof/>
            <w:webHidden/>
          </w:rPr>
        </w:r>
        <w:r w:rsidR="00B937C7">
          <w:rPr>
            <w:noProof/>
            <w:webHidden/>
          </w:rPr>
          <w:fldChar w:fldCharType="separate"/>
        </w:r>
        <w:r w:rsidR="00B937C7">
          <w:rPr>
            <w:noProof/>
            <w:webHidden/>
          </w:rPr>
          <w:t>4</w:t>
        </w:r>
        <w:r w:rsidR="00B937C7">
          <w:rPr>
            <w:noProof/>
            <w:webHidden/>
          </w:rPr>
          <w:fldChar w:fldCharType="end"/>
        </w:r>
      </w:hyperlink>
    </w:p>
    <w:p w14:paraId="3E71D733" w14:textId="77777777" w:rsidR="00417F8D" w:rsidRDefault="00E03A3B">
      <w:pPr>
        <w:pStyle w:val="TOC1"/>
        <w:rPr>
          <w:rFonts w:asciiTheme="minorHAnsi" w:eastAsiaTheme="minorEastAsia" w:hAnsiTheme="minorHAnsi" w:cstheme="minorBidi"/>
          <w:noProof/>
          <w:szCs w:val="22"/>
          <w:lang w:eastAsia="en-US"/>
        </w:rPr>
      </w:pPr>
      <w:hyperlink w:anchor="_Toc12270149" w:history="1">
        <w:r w:rsidR="00B937C7" w:rsidRPr="00175122">
          <w:rPr>
            <w:rStyle w:val="Hyperlink"/>
            <w:noProof/>
          </w:rPr>
          <w:t>Faits marquants survenus durant la période considérée</w:t>
        </w:r>
        <w:r w:rsidR="00B937C7">
          <w:rPr>
            <w:noProof/>
            <w:webHidden/>
          </w:rPr>
          <w:tab/>
        </w:r>
        <w:r w:rsidR="00B937C7">
          <w:rPr>
            <w:noProof/>
            <w:webHidden/>
          </w:rPr>
          <w:fldChar w:fldCharType="begin"/>
        </w:r>
        <w:r w:rsidR="00B937C7">
          <w:rPr>
            <w:noProof/>
            <w:webHidden/>
          </w:rPr>
          <w:instrText xml:space="preserve"> PAGEREF _Toc12270149 \h </w:instrText>
        </w:r>
        <w:r w:rsidR="00B937C7">
          <w:rPr>
            <w:noProof/>
            <w:webHidden/>
          </w:rPr>
        </w:r>
        <w:r w:rsidR="00B937C7">
          <w:rPr>
            <w:noProof/>
            <w:webHidden/>
          </w:rPr>
          <w:fldChar w:fldCharType="separate"/>
        </w:r>
        <w:r w:rsidR="00B937C7">
          <w:rPr>
            <w:noProof/>
            <w:webHidden/>
          </w:rPr>
          <w:t>4</w:t>
        </w:r>
        <w:r w:rsidR="00B937C7">
          <w:rPr>
            <w:noProof/>
            <w:webHidden/>
          </w:rPr>
          <w:fldChar w:fldCharType="end"/>
        </w:r>
      </w:hyperlink>
    </w:p>
    <w:p w14:paraId="772FAA65" w14:textId="77777777" w:rsidR="00417F8D" w:rsidRDefault="00E03A3B">
      <w:pPr>
        <w:pStyle w:val="TOC1"/>
        <w:rPr>
          <w:rFonts w:asciiTheme="minorHAnsi" w:eastAsiaTheme="minorEastAsia" w:hAnsiTheme="minorHAnsi" w:cstheme="minorBidi"/>
          <w:noProof/>
          <w:szCs w:val="22"/>
          <w:lang w:eastAsia="en-US"/>
        </w:rPr>
      </w:pPr>
      <w:hyperlink w:anchor="_Toc12270150" w:history="1">
        <w:r w:rsidR="00B937C7" w:rsidRPr="00175122">
          <w:rPr>
            <w:rStyle w:val="Hyperlink"/>
            <w:noProof/>
          </w:rPr>
          <w:t>Principes de planification</w:t>
        </w:r>
        <w:r w:rsidR="00B937C7">
          <w:rPr>
            <w:noProof/>
            <w:webHidden/>
          </w:rPr>
          <w:tab/>
        </w:r>
        <w:r w:rsidR="00B937C7">
          <w:rPr>
            <w:noProof/>
            <w:webHidden/>
          </w:rPr>
          <w:fldChar w:fldCharType="begin"/>
        </w:r>
        <w:r w:rsidR="00B937C7">
          <w:rPr>
            <w:noProof/>
            <w:webHidden/>
          </w:rPr>
          <w:instrText xml:space="preserve"> PAGEREF _Toc12270150 \h </w:instrText>
        </w:r>
        <w:r w:rsidR="00B937C7">
          <w:rPr>
            <w:noProof/>
            <w:webHidden/>
          </w:rPr>
        </w:r>
        <w:r w:rsidR="00B937C7">
          <w:rPr>
            <w:noProof/>
            <w:webHidden/>
          </w:rPr>
          <w:fldChar w:fldCharType="separate"/>
        </w:r>
        <w:r w:rsidR="00B937C7">
          <w:rPr>
            <w:noProof/>
            <w:webHidden/>
          </w:rPr>
          <w:t>5</w:t>
        </w:r>
        <w:r w:rsidR="00B937C7">
          <w:rPr>
            <w:noProof/>
            <w:webHidden/>
          </w:rPr>
          <w:fldChar w:fldCharType="end"/>
        </w:r>
      </w:hyperlink>
    </w:p>
    <w:p w14:paraId="3DEBC525" w14:textId="77777777" w:rsidR="00417F8D" w:rsidRDefault="00E03A3B">
      <w:pPr>
        <w:pStyle w:val="TOC1"/>
        <w:rPr>
          <w:rFonts w:asciiTheme="minorHAnsi" w:eastAsiaTheme="minorEastAsia" w:hAnsiTheme="minorHAnsi" w:cstheme="minorBidi"/>
          <w:noProof/>
          <w:szCs w:val="22"/>
          <w:lang w:eastAsia="en-US"/>
        </w:rPr>
      </w:pPr>
      <w:hyperlink w:anchor="_Toc12270151" w:history="1">
        <w:r w:rsidR="00B937C7" w:rsidRPr="00175122">
          <w:rPr>
            <w:rStyle w:val="Hyperlink"/>
            <w:noProof/>
          </w:rPr>
          <w:t>Normes professionnelles</w:t>
        </w:r>
        <w:r w:rsidR="00B937C7">
          <w:rPr>
            <w:noProof/>
            <w:webHidden/>
          </w:rPr>
          <w:tab/>
        </w:r>
        <w:r w:rsidR="00B937C7">
          <w:rPr>
            <w:noProof/>
            <w:webHidden/>
          </w:rPr>
          <w:fldChar w:fldCharType="begin"/>
        </w:r>
        <w:r w:rsidR="00B937C7">
          <w:rPr>
            <w:noProof/>
            <w:webHidden/>
          </w:rPr>
          <w:instrText xml:space="preserve"> PAGEREF _Toc12270151 \h </w:instrText>
        </w:r>
        <w:r w:rsidR="00B937C7">
          <w:rPr>
            <w:noProof/>
            <w:webHidden/>
          </w:rPr>
        </w:r>
        <w:r w:rsidR="00B937C7">
          <w:rPr>
            <w:noProof/>
            <w:webHidden/>
          </w:rPr>
          <w:fldChar w:fldCharType="separate"/>
        </w:r>
        <w:r w:rsidR="00B937C7">
          <w:rPr>
            <w:noProof/>
            <w:webHidden/>
          </w:rPr>
          <w:t>5</w:t>
        </w:r>
        <w:r w:rsidR="00B937C7">
          <w:rPr>
            <w:noProof/>
            <w:webHidden/>
          </w:rPr>
          <w:fldChar w:fldCharType="end"/>
        </w:r>
      </w:hyperlink>
    </w:p>
    <w:p w14:paraId="56E567B9" w14:textId="77777777" w:rsidR="00417F8D" w:rsidRDefault="00E03A3B">
      <w:pPr>
        <w:pStyle w:val="TOC1"/>
        <w:rPr>
          <w:rFonts w:asciiTheme="minorHAnsi" w:eastAsiaTheme="minorEastAsia" w:hAnsiTheme="minorHAnsi" w:cstheme="minorBidi"/>
          <w:noProof/>
          <w:szCs w:val="22"/>
          <w:lang w:eastAsia="en-US"/>
        </w:rPr>
      </w:pPr>
      <w:hyperlink w:anchor="_Toc12270152" w:history="1">
        <w:r w:rsidR="00B937C7" w:rsidRPr="00175122">
          <w:rPr>
            <w:rStyle w:val="Hyperlink"/>
            <w:noProof/>
          </w:rPr>
          <w:t>Questions importantes et recommandations de supervision jugées prioritaires</w:t>
        </w:r>
        <w:r w:rsidR="00B937C7">
          <w:rPr>
            <w:noProof/>
            <w:webHidden/>
          </w:rPr>
          <w:tab/>
        </w:r>
        <w:r w:rsidR="00B937C7">
          <w:rPr>
            <w:noProof/>
            <w:webHidden/>
          </w:rPr>
          <w:fldChar w:fldCharType="begin"/>
        </w:r>
        <w:r w:rsidR="00B937C7">
          <w:rPr>
            <w:noProof/>
            <w:webHidden/>
          </w:rPr>
          <w:instrText xml:space="preserve"> PAGEREF _Toc12270152 \h </w:instrText>
        </w:r>
        <w:r w:rsidR="00B937C7">
          <w:rPr>
            <w:noProof/>
            <w:webHidden/>
          </w:rPr>
        </w:r>
        <w:r w:rsidR="00B937C7">
          <w:rPr>
            <w:noProof/>
            <w:webHidden/>
          </w:rPr>
          <w:fldChar w:fldCharType="separate"/>
        </w:r>
        <w:r w:rsidR="00B937C7">
          <w:rPr>
            <w:noProof/>
            <w:webHidden/>
          </w:rPr>
          <w:t>5</w:t>
        </w:r>
        <w:r w:rsidR="00B937C7">
          <w:rPr>
            <w:noProof/>
            <w:webHidden/>
          </w:rPr>
          <w:fldChar w:fldCharType="end"/>
        </w:r>
      </w:hyperlink>
    </w:p>
    <w:p w14:paraId="6E7C2764" w14:textId="77777777" w:rsidR="00417F8D" w:rsidRDefault="00E03A3B">
      <w:pPr>
        <w:pStyle w:val="TOC1"/>
        <w:rPr>
          <w:rFonts w:asciiTheme="minorHAnsi" w:eastAsiaTheme="minorEastAsia" w:hAnsiTheme="minorHAnsi" w:cstheme="minorBidi"/>
          <w:noProof/>
          <w:szCs w:val="22"/>
          <w:lang w:eastAsia="en-US"/>
        </w:rPr>
      </w:pPr>
      <w:hyperlink w:anchor="_Toc12270153" w:history="1">
        <w:r w:rsidR="00B937C7" w:rsidRPr="00175122">
          <w:rPr>
            <w:rStyle w:val="Hyperlink"/>
            <w:noProof/>
          </w:rPr>
          <w:t>Activités d’enquête</w:t>
        </w:r>
        <w:r w:rsidR="00B937C7">
          <w:rPr>
            <w:noProof/>
            <w:webHidden/>
          </w:rPr>
          <w:tab/>
        </w:r>
        <w:r w:rsidR="00B937C7">
          <w:rPr>
            <w:noProof/>
            <w:webHidden/>
          </w:rPr>
          <w:fldChar w:fldCharType="begin"/>
        </w:r>
        <w:r w:rsidR="00B937C7">
          <w:rPr>
            <w:noProof/>
            <w:webHidden/>
          </w:rPr>
          <w:instrText xml:space="preserve"> PAGEREF _Toc12270153 \h </w:instrText>
        </w:r>
        <w:r w:rsidR="00B937C7">
          <w:rPr>
            <w:noProof/>
            <w:webHidden/>
          </w:rPr>
        </w:r>
        <w:r w:rsidR="00B937C7">
          <w:rPr>
            <w:noProof/>
            <w:webHidden/>
          </w:rPr>
          <w:fldChar w:fldCharType="separate"/>
        </w:r>
        <w:r w:rsidR="00B937C7">
          <w:rPr>
            <w:noProof/>
            <w:webHidden/>
          </w:rPr>
          <w:t>13</w:t>
        </w:r>
        <w:r w:rsidR="00B937C7">
          <w:rPr>
            <w:noProof/>
            <w:webHidden/>
          </w:rPr>
          <w:fldChar w:fldCharType="end"/>
        </w:r>
      </w:hyperlink>
    </w:p>
    <w:p w14:paraId="1BB76CA4" w14:textId="77777777" w:rsidR="00417F8D" w:rsidRDefault="00E03A3B">
      <w:pPr>
        <w:pStyle w:val="TOC1"/>
        <w:rPr>
          <w:rFonts w:asciiTheme="minorHAnsi" w:eastAsiaTheme="minorEastAsia" w:hAnsiTheme="minorHAnsi" w:cstheme="minorBidi"/>
          <w:noProof/>
          <w:szCs w:val="22"/>
          <w:lang w:eastAsia="en-US"/>
        </w:rPr>
      </w:pPr>
      <w:hyperlink w:anchor="_Toc12270154" w:history="1">
        <w:r w:rsidR="00B937C7" w:rsidRPr="00175122">
          <w:rPr>
            <w:rStyle w:val="Hyperlink"/>
            <w:noProof/>
          </w:rPr>
          <w:t>Cas dans lesquels des demandes d’information ou d’assistance ont été rejetées</w:t>
        </w:r>
        <w:r w:rsidR="00B937C7">
          <w:rPr>
            <w:noProof/>
            <w:webHidden/>
          </w:rPr>
          <w:tab/>
        </w:r>
        <w:r w:rsidR="00B937C7">
          <w:rPr>
            <w:noProof/>
            <w:webHidden/>
          </w:rPr>
          <w:fldChar w:fldCharType="begin"/>
        </w:r>
        <w:r w:rsidR="00B937C7">
          <w:rPr>
            <w:noProof/>
            <w:webHidden/>
          </w:rPr>
          <w:instrText xml:space="preserve"> PAGEREF _Toc12270154 \h </w:instrText>
        </w:r>
        <w:r w:rsidR="00B937C7">
          <w:rPr>
            <w:noProof/>
            <w:webHidden/>
          </w:rPr>
        </w:r>
        <w:r w:rsidR="00B937C7">
          <w:rPr>
            <w:noProof/>
            <w:webHidden/>
          </w:rPr>
          <w:fldChar w:fldCharType="separate"/>
        </w:r>
        <w:r w:rsidR="00B937C7">
          <w:rPr>
            <w:noProof/>
            <w:webHidden/>
          </w:rPr>
          <w:t>15</w:t>
        </w:r>
        <w:r w:rsidR="00B937C7">
          <w:rPr>
            <w:noProof/>
            <w:webHidden/>
          </w:rPr>
          <w:fldChar w:fldCharType="end"/>
        </w:r>
      </w:hyperlink>
    </w:p>
    <w:p w14:paraId="430B9470" w14:textId="77777777" w:rsidR="00417F8D" w:rsidRDefault="00E03A3B">
      <w:pPr>
        <w:pStyle w:val="TOC1"/>
        <w:rPr>
          <w:rFonts w:asciiTheme="minorHAnsi" w:eastAsiaTheme="minorEastAsia" w:hAnsiTheme="minorHAnsi" w:cstheme="minorBidi"/>
          <w:noProof/>
          <w:szCs w:val="22"/>
          <w:lang w:eastAsia="en-US"/>
        </w:rPr>
      </w:pPr>
      <w:hyperlink w:anchor="_Toc12270155" w:history="1">
        <w:r w:rsidR="00B937C7" w:rsidRPr="00175122">
          <w:rPr>
            <w:rStyle w:val="Hyperlink"/>
            <w:noProof/>
          </w:rPr>
          <w:t>État d’avancement de la mise en œuvre des recommandations en matière de supervision</w:t>
        </w:r>
        <w:r w:rsidR="00B937C7">
          <w:rPr>
            <w:noProof/>
            <w:webHidden/>
          </w:rPr>
          <w:tab/>
        </w:r>
        <w:r w:rsidR="00B937C7">
          <w:rPr>
            <w:noProof/>
            <w:webHidden/>
          </w:rPr>
          <w:fldChar w:fldCharType="begin"/>
        </w:r>
        <w:r w:rsidR="00B937C7">
          <w:rPr>
            <w:noProof/>
            <w:webHidden/>
          </w:rPr>
          <w:instrText xml:space="preserve"> PAGEREF _Toc12270155 \h </w:instrText>
        </w:r>
        <w:r w:rsidR="00B937C7">
          <w:rPr>
            <w:noProof/>
            <w:webHidden/>
          </w:rPr>
        </w:r>
        <w:r w:rsidR="00B937C7">
          <w:rPr>
            <w:noProof/>
            <w:webHidden/>
          </w:rPr>
          <w:fldChar w:fldCharType="separate"/>
        </w:r>
        <w:r w:rsidR="00B937C7">
          <w:rPr>
            <w:noProof/>
            <w:webHidden/>
          </w:rPr>
          <w:t>16</w:t>
        </w:r>
        <w:r w:rsidR="00B937C7">
          <w:rPr>
            <w:noProof/>
            <w:webHidden/>
          </w:rPr>
          <w:fldChar w:fldCharType="end"/>
        </w:r>
      </w:hyperlink>
    </w:p>
    <w:p w14:paraId="76DBFFC1" w14:textId="77777777" w:rsidR="00417F8D" w:rsidRDefault="00E03A3B">
      <w:pPr>
        <w:pStyle w:val="TOC1"/>
        <w:rPr>
          <w:rFonts w:asciiTheme="minorHAnsi" w:eastAsiaTheme="minorEastAsia" w:hAnsiTheme="minorHAnsi" w:cstheme="minorBidi"/>
          <w:noProof/>
          <w:szCs w:val="22"/>
          <w:lang w:eastAsia="en-US"/>
        </w:rPr>
      </w:pPr>
      <w:hyperlink w:anchor="_Toc12270156" w:history="1">
        <w:r w:rsidR="00B937C7" w:rsidRPr="00175122">
          <w:rPr>
            <w:rStyle w:val="Hyperlink"/>
            <w:noProof/>
          </w:rPr>
          <w:t>Activités consultatives et de conseil en matière de supervision</w:t>
        </w:r>
        <w:r w:rsidR="00B937C7">
          <w:rPr>
            <w:noProof/>
            <w:webHidden/>
          </w:rPr>
          <w:tab/>
        </w:r>
        <w:r w:rsidR="00B937C7">
          <w:rPr>
            <w:noProof/>
            <w:webHidden/>
          </w:rPr>
          <w:fldChar w:fldCharType="begin"/>
        </w:r>
        <w:r w:rsidR="00B937C7">
          <w:rPr>
            <w:noProof/>
            <w:webHidden/>
          </w:rPr>
          <w:instrText xml:space="preserve"> PAGEREF _Toc12270156 \h </w:instrText>
        </w:r>
        <w:r w:rsidR="00B937C7">
          <w:rPr>
            <w:noProof/>
            <w:webHidden/>
          </w:rPr>
        </w:r>
        <w:r w:rsidR="00B937C7">
          <w:rPr>
            <w:noProof/>
            <w:webHidden/>
          </w:rPr>
          <w:fldChar w:fldCharType="separate"/>
        </w:r>
        <w:r w:rsidR="00B937C7">
          <w:rPr>
            <w:noProof/>
            <w:webHidden/>
          </w:rPr>
          <w:t>18</w:t>
        </w:r>
        <w:r w:rsidR="00B937C7">
          <w:rPr>
            <w:noProof/>
            <w:webHidden/>
          </w:rPr>
          <w:fldChar w:fldCharType="end"/>
        </w:r>
      </w:hyperlink>
    </w:p>
    <w:p w14:paraId="325F7C7B" w14:textId="77777777" w:rsidR="00417F8D" w:rsidRDefault="00E03A3B">
      <w:pPr>
        <w:pStyle w:val="TOC1"/>
        <w:rPr>
          <w:rFonts w:asciiTheme="minorHAnsi" w:eastAsiaTheme="minorEastAsia" w:hAnsiTheme="minorHAnsi" w:cstheme="minorBidi"/>
          <w:noProof/>
          <w:szCs w:val="22"/>
          <w:lang w:eastAsia="en-US"/>
        </w:rPr>
      </w:pPr>
      <w:hyperlink w:anchor="_Toc12270157" w:history="1">
        <w:r w:rsidR="00B937C7" w:rsidRPr="00175122">
          <w:rPr>
            <w:rStyle w:val="Hyperlink"/>
            <w:noProof/>
          </w:rPr>
          <w:t>Coordination avec les organismes de supervision externes</w:t>
        </w:r>
        <w:r w:rsidR="00B937C7">
          <w:rPr>
            <w:noProof/>
            <w:webHidden/>
          </w:rPr>
          <w:tab/>
        </w:r>
        <w:r w:rsidR="00B937C7">
          <w:rPr>
            <w:noProof/>
            <w:webHidden/>
          </w:rPr>
          <w:fldChar w:fldCharType="begin"/>
        </w:r>
        <w:r w:rsidR="00B937C7">
          <w:rPr>
            <w:noProof/>
            <w:webHidden/>
          </w:rPr>
          <w:instrText xml:space="preserve"> PAGEREF _Toc12270157 \h </w:instrText>
        </w:r>
        <w:r w:rsidR="00B937C7">
          <w:rPr>
            <w:noProof/>
            <w:webHidden/>
          </w:rPr>
        </w:r>
        <w:r w:rsidR="00B937C7">
          <w:rPr>
            <w:noProof/>
            <w:webHidden/>
          </w:rPr>
          <w:fldChar w:fldCharType="separate"/>
        </w:r>
        <w:r w:rsidR="00B937C7">
          <w:rPr>
            <w:noProof/>
            <w:webHidden/>
          </w:rPr>
          <w:t>19</w:t>
        </w:r>
        <w:r w:rsidR="00B937C7">
          <w:rPr>
            <w:noProof/>
            <w:webHidden/>
          </w:rPr>
          <w:fldChar w:fldCharType="end"/>
        </w:r>
      </w:hyperlink>
    </w:p>
    <w:p w14:paraId="2745864A" w14:textId="77777777" w:rsidR="00417F8D" w:rsidRDefault="00E03A3B">
      <w:pPr>
        <w:pStyle w:val="TOC1"/>
        <w:rPr>
          <w:rFonts w:asciiTheme="minorHAnsi" w:eastAsiaTheme="minorEastAsia" w:hAnsiTheme="minorHAnsi" w:cstheme="minorBidi"/>
          <w:noProof/>
          <w:szCs w:val="22"/>
          <w:lang w:eastAsia="en-US"/>
        </w:rPr>
      </w:pPr>
      <w:hyperlink w:anchor="_Toc12270158" w:history="1">
        <w:r w:rsidR="00B937C7" w:rsidRPr="00175122">
          <w:rPr>
            <w:rStyle w:val="Hyperlink"/>
            <w:noProof/>
          </w:rPr>
          <w:t>Coopération avec le Bureau du médiateur et le Bureau de la déontologie</w:t>
        </w:r>
        <w:r w:rsidR="00B937C7">
          <w:rPr>
            <w:noProof/>
            <w:webHidden/>
          </w:rPr>
          <w:tab/>
        </w:r>
        <w:r w:rsidR="00B937C7">
          <w:rPr>
            <w:noProof/>
            <w:webHidden/>
          </w:rPr>
          <w:fldChar w:fldCharType="begin"/>
        </w:r>
        <w:r w:rsidR="00B937C7">
          <w:rPr>
            <w:noProof/>
            <w:webHidden/>
          </w:rPr>
          <w:instrText xml:space="preserve"> PAGEREF _Toc12270158 \h </w:instrText>
        </w:r>
        <w:r w:rsidR="00B937C7">
          <w:rPr>
            <w:noProof/>
            <w:webHidden/>
          </w:rPr>
        </w:r>
        <w:r w:rsidR="00B937C7">
          <w:rPr>
            <w:noProof/>
            <w:webHidden/>
          </w:rPr>
          <w:fldChar w:fldCharType="separate"/>
        </w:r>
        <w:r w:rsidR="00B937C7">
          <w:rPr>
            <w:noProof/>
            <w:webHidden/>
          </w:rPr>
          <w:t>19</w:t>
        </w:r>
        <w:r w:rsidR="00B937C7">
          <w:rPr>
            <w:noProof/>
            <w:webHidden/>
          </w:rPr>
          <w:fldChar w:fldCharType="end"/>
        </w:r>
      </w:hyperlink>
    </w:p>
    <w:p w14:paraId="1F58E66C" w14:textId="77777777" w:rsidR="00417F8D" w:rsidRDefault="00E03A3B">
      <w:pPr>
        <w:pStyle w:val="TOC1"/>
        <w:rPr>
          <w:rFonts w:asciiTheme="minorHAnsi" w:eastAsiaTheme="minorEastAsia" w:hAnsiTheme="minorHAnsi" w:cstheme="minorBidi"/>
          <w:noProof/>
          <w:szCs w:val="22"/>
          <w:lang w:eastAsia="en-US"/>
        </w:rPr>
      </w:pPr>
      <w:hyperlink w:anchor="_Toc12270159" w:history="1">
        <w:r w:rsidR="00B937C7" w:rsidRPr="00175122">
          <w:rPr>
            <w:rStyle w:val="Hyperlink"/>
            <w:noProof/>
          </w:rPr>
          <w:t>Autres activités de supervision</w:t>
        </w:r>
        <w:r w:rsidR="00B937C7">
          <w:rPr>
            <w:noProof/>
            <w:webHidden/>
          </w:rPr>
          <w:tab/>
        </w:r>
        <w:r w:rsidR="00B937C7">
          <w:rPr>
            <w:noProof/>
            <w:webHidden/>
          </w:rPr>
          <w:fldChar w:fldCharType="begin"/>
        </w:r>
        <w:r w:rsidR="00B937C7">
          <w:rPr>
            <w:noProof/>
            <w:webHidden/>
          </w:rPr>
          <w:instrText xml:space="preserve"> PAGEREF _Toc12270159 \h </w:instrText>
        </w:r>
        <w:r w:rsidR="00B937C7">
          <w:rPr>
            <w:noProof/>
            <w:webHidden/>
          </w:rPr>
        </w:r>
        <w:r w:rsidR="00B937C7">
          <w:rPr>
            <w:noProof/>
            <w:webHidden/>
          </w:rPr>
          <w:fldChar w:fldCharType="separate"/>
        </w:r>
        <w:r w:rsidR="00B937C7">
          <w:rPr>
            <w:noProof/>
            <w:webHidden/>
          </w:rPr>
          <w:t>19</w:t>
        </w:r>
        <w:r w:rsidR="00B937C7">
          <w:rPr>
            <w:noProof/>
            <w:webHidden/>
          </w:rPr>
          <w:fldChar w:fldCharType="end"/>
        </w:r>
      </w:hyperlink>
    </w:p>
    <w:p w14:paraId="19732945" w14:textId="77777777" w:rsidR="00417F8D" w:rsidRDefault="00E03A3B">
      <w:pPr>
        <w:pStyle w:val="TOC1"/>
        <w:rPr>
          <w:rFonts w:asciiTheme="minorHAnsi" w:eastAsiaTheme="minorEastAsia" w:hAnsiTheme="minorHAnsi" w:cstheme="minorBidi"/>
          <w:noProof/>
          <w:szCs w:val="22"/>
          <w:lang w:eastAsia="en-US"/>
        </w:rPr>
      </w:pPr>
      <w:hyperlink w:anchor="_Toc12270160" w:history="1">
        <w:r w:rsidR="00B937C7" w:rsidRPr="00175122">
          <w:rPr>
            <w:rStyle w:val="Hyperlink"/>
            <w:noProof/>
          </w:rPr>
          <w:t>Indépendance des activités de la DSI</w:t>
        </w:r>
        <w:r w:rsidR="00B937C7">
          <w:rPr>
            <w:noProof/>
            <w:webHidden/>
          </w:rPr>
          <w:tab/>
        </w:r>
        <w:r w:rsidR="00B937C7">
          <w:rPr>
            <w:noProof/>
            <w:webHidden/>
          </w:rPr>
          <w:fldChar w:fldCharType="begin"/>
        </w:r>
        <w:r w:rsidR="00B937C7">
          <w:rPr>
            <w:noProof/>
            <w:webHidden/>
          </w:rPr>
          <w:instrText xml:space="preserve"> PAGEREF _Toc12270160 \h </w:instrText>
        </w:r>
        <w:r w:rsidR="00B937C7">
          <w:rPr>
            <w:noProof/>
            <w:webHidden/>
          </w:rPr>
        </w:r>
        <w:r w:rsidR="00B937C7">
          <w:rPr>
            <w:noProof/>
            <w:webHidden/>
          </w:rPr>
          <w:fldChar w:fldCharType="separate"/>
        </w:r>
        <w:r w:rsidR="00B937C7">
          <w:rPr>
            <w:noProof/>
            <w:webHidden/>
          </w:rPr>
          <w:t>20</w:t>
        </w:r>
        <w:r w:rsidR="00B937C7">
          <w:rPr>
            <w:noProof/>
            <w:webHidden/>
          </w:rPr>
          <w:fldChar w:fldCharType="end"/>
        </w:r>
      </w:hyperlink>
    </w:p>
    <w:p w14:paraId="79558F01" w14:textId="77777777" w:rsidR="00417F8D" w:rsidRDefault="00E03A3B">
      <w:pPr>
        <w:pStyle w:val="TOC1"/>
        <w:rPr>
          <w:rFonts w:asciiTheme="minorHAnsi" w:eastAsiaTheme="minorEastAsia" w:hAnsiTheme="minorHAnsi" w:cstheme="minorBidi"/>
          <w:noProof/>
          <w:szCs w:val="22"/>
          <w:lang w:eastAsia="en-US"/>
        </w:rPr>
      </w:pPr>
      <w:hyperlink w:anchor="_Toc12270161" w:history="1">
        <w:r w:rsidR="00B937C7" w:rsidRPr="00175122">
          <w:rPr>
            <w:rStyle w:val="Hyperlink"/>
            <w:noProof/>
          </w:rPr>
          <w:t>Ressources en matière de supervision</w:t>
        </w:r>
        <w:r w:rsidR="00B937C7">
          <w:rPr>
            <w:noProof/>
            <w:webHidden/>
          </w:rPr>
          <w:tab/>
        </w:r>
        <w:r w:rsidR="00B937C7">
          <w:rPr>
            <w:noProof/>
            <w:webHidden/>
          </w:rPr>
          <w:fldChar w:fldCharType="begin"/>
        </w:r>
        <w:r w:rsidR="00B937C7">
          <w:rPr>
            <w:noProof/>
            <w:webHidden/>
          </w:rPr>
          <w:instrText xml:space="preserve"> PAGEREF _Toc12270161 \h </w:instrText>
        </w:r>
        <w:r w:rsidR="00B937C7">
          <w:rPr>
            <w:noProof/>
            <w:webHidden/>
          </w:rPr>
        </w:r>
        <w:r w:rsidR="00B937C7">
          <w:rPr>
            <w:noProof/>
            <w:webHidden/>
          </w:rPr>
          <w:fldChar w:fldCharType="separate"/>
        </w:r>
        <w:r w:rsidR="00B937C7">
          <w:rPr>
            <w:noProof/>
            <w:webHidden/>
          </w:rPr>
          <w:t>20</w:t>
        </w:r>
        <w:r w:rsidR="00B937C7">
          <w:rPr>
            <w:noProof/>
            <w:webHidden/>
          </w:rPr>
          <w:fldChar w:fldCharType="end"/>
        </w:r>
      </w:hyperlink>
    </w:p>
    <w:p w14:paraId="021FA37F" w14:textId="77777777" w:rsidR="00417F8D" w:rsidRDefault="00186810" w:rsidP="00186810">
      <w:pPr>
        <w:keepLines/>
        <w:tabs>
          <w:tab w:val="left" w:leader="dot" w:pos="8910"/>
        </w:tabs>
        <w:spacing w:before="240" w:after="120" w:line="360" w:lineRule="auto"/>
      </w:pPr>
      <w:r>
        <w:fldChar w:fldCharType="end"/>
      </w:r>
    </w:p>
    <w:p w14:paraId="4DF76A15" w14:textId="77777777" w:rsidR="00417F8D" w:rsidRDefault="005A5F49" w:rsidP="005A5F49">
      <w:pPr>
        <w:keepLines/>
        <w:tabs>
          <w:tab w:val="left" w:leader="dot" w:pos="8910"/>
        </w:tabs>
        <w:spacing w:before="240" w:after="120" w:line="360" w:lineRule="auto"/>
        <w:rPr>
          <w:b/>
          <w:noProof/>
          <w:lang w:val="fr-CH"/>
        </w:rPr>
      </w:pPr>
      <w:r w:rsidRPr="00403F08">
        <w:rPr>
          <w:b/>
          <w:noProof/>
          <w:lang w:val="fr-CH"/>
        </w:rPr>
        <w:t>ANNEXE</w:t>
      </w:r>
    </w:p>
    <w:p w14:paraId="44A33D68" w14:textId="77777777" w:rsidR="00417F8D" w:rsidRDefault="005A5F49" w:rsidP="005A5F49">
      <w:pPr>
        <w:keepLines/>
        <w:tabs>
          <w:tab w:val="left" w:pos="1134"/>
          <w:tab w:val="left" w:pos="1560"/>
        </w:tabs>
        <w:rPr>
          <w:noProof/>
          <w:lang w:val="fr-CH"/>
        </w:rPr>
      </w:pPr>
      <w:r w:rsidRPr="00403F08">
        <w:rPr>
          <w:noProof/>
          <w:lang w:val="fr-CH"/>
        </w:rPr>
        <w:t xml:space="preserve">ANNEXE I </w:t>
      </w:r>
      <w:r w:rsidRPr="00403F08">
        <w:rPr>
          <w:noProof/>
          <w:lang w:val="fr-CH"/>
        </w:rPr>
        <w:tab/>
        <w:t xml:space="preserve">– </w:t>
      </w:r>
      <w:r w:rsidRPr="00403F08">
        <w:rPr>
          <w:noProof/>
          <w:lang w:val="fr-CH"/>
        </w:rPr>
        <w:tab/>
        <w:t>Liste des rapports établis par</w:t>
      </w:r>
      <w:r w:rsidR="00353ADC" w:rsidRPr="00403F08">
        <w:rPr>
          <w:noProof/>
          <w:lang w:val="fr-CH"/>
        </w:rPr>
        <w:t xml:space="preserve"> la</w:t>
      </w:r>
      <w:r w:rsidR="00353ADC">
        <w:rPr>
          <w:noProof/>
          <w:lang w:val="fr-CH"/>
        </w:rPr>
        <w:t> </w:t>
      </w:r>
      <w:r w:rsidR="00353ADC" w:rsidRPr="00403F08">
        <w:rPr>
          <w:noProof/>
          <w:lang w:val="fr-CH"/>
        </w:rPr>
        <w:t>DSI</w:t>
      </w:r>
    </w:p>
    <w:p w14:paraId="178024F0" w14:textId="77777777" w:rsidR="00417F8D" w:rsidRDefault="00186810" w:rsidP="00186810">
      <w:pPr>
        <w:rPr>
          <w:b/>
          <w:bCs/>
          <w:caps/>
          <w:kern w:val="32"/>
          <w:szCs w:val="32"/>
          <w:lang w:val="fr-CH"/>
        </w:rPr>
      </w:pPr>
      <w:r w:rsidRPr="005A5F49">
        <w:rPr>
          <w:lang w:val="fr-CH"/>
        </w:rPr>
        <w:br w:type="page"/>
      </w:r>
    </w:p>
    <w:p w14:paraId="65AA2E53" w14:textId="45779446" w:rsidR="00186810" w:rsidRPr="005A5F49" w:rsidRDefault="005A5F49" w:rsidP="00FB613C">
      <w:pPr>
        <w:pStyle w:val="Heading1"/>
      </w:pPr>
      <w:bookmarkStart w:id="7" w:name="_Toc12270147"/>
      <w:r w:rsidRPr="005A5F49">
        <w:lastRenderedPageBreak/>
        <w:t>Liste des sigles utilisés</w:t>
      </w:r>
      <w:bookmarkEnd w:id="7"/>
    </w:p>
    <w:tbl>
      <w:tblPr>
        <w:tblStyle w:val="TableGridLight"/>
        <w:tblW w:w="0" w:type="auto"/>
        <w:tblLook w:val="01E0" w:firstRow="1" w:lastRow="1" w:firstColumn="1" w:lastColumn="1" w:noHBand="0" w:noVBand="0"/>
      </w:tblPr>
      <w:tblGrid>
        <w:gridCol w:w="1701"/>
        <w:gridCol w:w="7230"/>
      </w:tblGrid>
      <w:tr w:rsidR="000B7F65" w:rsidRPr="00A76380" w14:paraId="587E69B0" w14:textId="77777777" w:rsidTr="00A20B7D">
        <w:trPr>
          <w:trHeight w:val="340"/>
        </w:trPr>
        <w:tc>
          <w:tcPr>
            <w:tcW w:w="1701" w:type="dxa"/>
          </w:tcPr>
          <w:p w14:paraId="4CC0102D" w14:textId="241035E1" w:rsidR="000B7F65" w:rsidRPr="00913CE2" w:rsidRDefault="000B7F65" w:rsidP="000B7F65">
            <w:pPr>
              <w:tabs>
                <w:tab w:val="right" w:pos="6880"/>
              </w:tabs>
              <w:ind w:left="43"/>
              <w:rPr>
                <w:b/>
              </w:rPr>
            </w:pPr>
            <w:r>
              <w:rPr>
                <w:b/>
              </w:rPr>
              <w:t>AIMS</w:t>
            </w:r>
          </w:p>
        </w:tc>
        <w:tc>
          <w:tcPr>
            <w:tcW w:w="7230" w:type="dxa"/>
          </w:tcPr>
          <w:p w14:paraId="7F396902" w14:textId="4FD58266" w:rsidR="000B7F65" w:rsidRPr="000B7F65" w:rsidRDefault="000B7F65" w:rsidP="000B7F65">
            <w:pPr>
              <w:tabs>
                <w:tab w:val="right" w:pos="6880"/>
              </w:tabs>
              <w:ind w:left="43"/>
              <w:rPr>
                <w:lang w:val="fr-CH"/>
              </w:rPr>
            </w:pPr>
            <w:r w:rsidRPr="000B7F65">
              <w:rPr>
                <w:lang w:val="fr-CH"/>
              </w:rPr>
              <w:t>Système de gestion de l</w:t>
            </w:r>
            <w:r w:rsidR="000A3166">
              <w:rPr>
                <w:lang w:val="fr-CH"/>
              </w:rPr>
              <w:t>’</w:t>
            </w:r>
            <w:r w:rsidRPr="000B7F65">
              <w:rPr>
                <w:lang w:val="fr-CH"/>
              </w:rPr>
              <w:t>information administrative</w:t>
            </w:r>
          </w:p>
        </w:tc>
      </w:tr>
      <w:tr w:rsidR="000B7F65" w:rsidRPr="00A76380" w14:paraId="6C4D58D5" w14:textId="77777777" w:rsidTr="00A20B7D">
        <w:trPr>
          <w:trHeight w:val="340"/>
        </w:trPr>
        <w:tc>
          <w:tcPr>
            <w:tcW w:w="1701" w:type="dxa"/>
          </w:tcPr>
          <w:p w14:paraId="04A95770" w14:textId="34B6A8BC" w:rsidR="000B7F65" w:rsidRPr="00913CE2" w:rsidRDefault="000B7F65" w:rsidP="000B7F65">
            <w:pPr>
              <w:tabs>
                <w:tab w:val="right" w:pos="6880"/>
              </w:tabs>
              <w:ind w:left="43"/>
              <w:rPr>
                <w:b/>
              </w:rPr>
            </w:pPr>
            <w:r>
              <w:rPr>
                <w:b/>
                <w:szCs w:val="22"/>
              </w:rPr>
              <w:t>CDIP</w:t>
            </w:r>
          </w:p>
        </w:tc>
        <w:tc>
          <w:tcPr>
            <w:tcW w:w="7230" w:type="dxa"/>
          </w:tcPr>
          <w:p w14:paraId="6F8C16A3" w14:textId="5E740D89" w:rsidR="000B7F65" w:rsidRPr="000B7F65" w:rsidRDefault="000B7F65" w:rsidP="000B7F65">
            <w:pPr>
              <w:tabs>
                <w:tab w:val="right" w:pos="6880"/>
              </w:tabs>
              <w:ind w:left="43"/>
              <w:rPr>
                <w:lang w:val="fr-CH"/>
              </w:rPr>
            </w:pPr>
            <w:r w:rsidRPr="000B7F65">
              <w:rPr>
                <w:szCs w:val="22"/>
                <w:lang w:val="fr-CH"/>
              </w:rPr>
              <w:t>Comité du développement et de la propriété intellectuelle</w:t>
            </w:r>
          </w:p>
        </w:tc>
      </w:tr>
      <w:tr w:rsidR="000B7F65" w:rsidRPr="00A76380" w14:paraId="3928843E" w14:textId="77777777" w:rsidTr="00A20B7D">
        <w:trPr>
          <w:trHeight w:val="340"/>
        </w:trPr>
        <w:tc>
          <w:tcPr>
            <w:tcW w:w="1701" w:type="dxa"/>
          </w:tcPr>
          <w:p w14:paraId="6E55D9B0" w14:textId="2538276C" w:rsidR="000B7F65" w:rsidRPr="00913CE2" w:rsidRDefault="000B7F65" w:rsidP="000B7F65">
            <w:pPr>
              <w:tabs>
                <w:tab w:val="right" w:pos="6880"/>
              </w:tabs>
              <w:ind w:left="43"/>
              <w:rPr>
                <w:b/>
                <w:szCs w:val="22"/>
              </w:rPr>
            </w:pPr>
            <w:r>
              <w:rPr>
                <w:b/>
              </w:rPr>
              <w:t>ERP</w:t>
            </w:r>
          </w:p>
        </w:tc>
        <w:tc>
          <w:tcPr>
            <w:tcW w:w="7230" w:type="dxa"/>
          </w:tcPr>
          <w:p w14:paraId="6E8D2DF2" w14:textId="7240EA22" w:rsidR="000B7F65" w:rsidRPr="000B7F65" w:rsidRDefault="000B7F65" w:rsidP="000B7F65">
            <w:pPr>
              <w:tabs>
                <w:tab w:val="right" w:pos="6880"/>
              </w:tabs>
              <w:ind w:left="43"/>
              <w:rPr>
                <w:lang w:val="fr-CH"/>
              </w:rPr>
            </w:pPr>
            <w:r>
              <w:rPr>
                <w:lang w:val="fr-CH"/>
              </w:rPr>
              <w:t>P</w:t>
            </w:r>
            <w:r w:rsidRPr="000B7F65">
              <w:rPr>
                <w:lang w:val="fr-CH"/>
              </w:rPr>
              <w:t>lanification des ressources de l</w:t>
            </w:r>
            <w:r w:rsidR="000A3166">
              <w:rPr>
                <w:lang w:val="fr-CH"/>
              </w:rPr>
              <w:t>’</w:t>
            </w:r>
            <w:r w:rsidRPr="000B7F65">
              <w:rPr>
                <w:lang w:val="fr-CH"/>
              </w:rPr>
              <w:t>Organisation</w:t>
            </w:r>
          </w:p>
        </w:tc>
      </w:tr>
      <w:tr w:rsidR="000B7F65" w:rsidRPr="00A76380" w14:paraId="3DC023C2" w14:textId="77777777" w:rsidTr="00A20B7D">
        <w:trPr>
          <w:trHeight w:val="340"/>
        </w:trPr>
        <w:tc>
          <w:tcPr>
            <w:tcW w:w="1701" w:type="dxa"/>
          </w:tcPr>
          <w:p w14:paraId="62660494" w14:textId="09F358AA" w:rsidR="000B7F65" w:rsidRPr="000B7F65" w:rsidRDefault="000B7F65" w:rsidP="000B7F65">
            <w:pPr>
              <w:tabs>
                <w:tab w:val="right" w:pos="6880"/>
              </w:tabs>
              <w:ind w:left="43"/>
              <w:rPr>
                <w:b/>
                <w:lang w:val="fr-CH"/>
              </w:rPr>
            </w:pPr>
            <w:r w:rsidRPr="000B7F65">
              <w:rPr>
                <w:b/>
                <w:szCs w:val="22"/>
              </w:rPr>
              <w:t>DGRH</w:t>
            </w:r>
          </w:p>
        </w:tc>
        <w:tc>
          <w:tcPr>
            <w:tcW w:w="7230" w:type="dxa"/>
          </w:tcPr>
          <w:p w14:paraId="7ECA9B98" w14:textId="579D3352" w:rsidR="000B7F65" w:rsidRPr="000B7F65" w:rsidRDefault="000B7F65" w:rsidP="000B7F65">
            <w:pPr>
              <w:tabs>
                <w:tab w:val="right" w:pos="6880"/>
              </w:tabs>
              <w:ind w:left="43"/>
              <w:rPr>
                <w:szCs w:val="22"/>
                <w:lang w:val="fr-CH"/>
              </w:rPr>
            </w:pPr>
            <w:r w:rsidRPr="000B7F65">
              <w:rPr>
                <w:szCs w:val="22"/>
                <w:lang w:val="fr-CH"/>
              </w:rPr>
              <w:t>Département de la gestion des ressources humaines</w:t>
            </w:r>
          </w:p>
        </w:tc>
      </w:tr>
      <w:tr w:rsidR="000B7F65" w:rsidRPr="00A76380" w14:paraId="60CC39B1" w14:textId="77777777" w:rsidTr="00A20B7D">
        <w:trPr>
          <w:trHeight w:val="340"/>
        </w:trPr>
        <w:tc>
          <w:tcPr>
            <w:tcW w:w="1701" w:type="dxa"/>
          </w:tcPr>
          <w:p w14:paraId="0F28A7F7" w14:textId="44C6A828" w:rsidR="000B7F65" w:rsidRPr="000B7F65" w:rsidRDefault="000B7F65" w:rsidP="000B7F65">
            <w:pPr>
              <w:tabs>
                <w:tab w:val="right" w:pos="6880"/>
              </w:tabs>
              <w:ind w:left="43"/>
              <w:rPr>
                <w:b/>
                <w:szCs w:val="22"/>
                <w:lang w:val="fr-CH"/>
              </w:rPr>
            </w:pPr>
            <w:r>
              <w:rPr>
                <w:b/>
                <w:szCs w:val="22"/>
              </w:rPr>
              <w:t>OCIS</w:t>
            </w:r>
          </w:p>
        </w:tc>
        <w:tc>
          <w:tcPr>
            <w:tcW w:w="7230" w:type="dxa"/>
          </w:tcPr>
          <w:p w14:paraId="25C06415" w14:textId="142DD86E" w:rsidR="000B7F65" w:rsidRPr="000B7F65" w:rsidRDefault="000B7F65" w:rsidP="000B7F65">
            <w:pPr>
              <w:tabs>
                <w:tab w:val="right" w:pos="6880"/>
              </w:tabs>
              <w:ind w:left="43"/>
              <w:rPr>
                <w:szCs w:val="22"/>
                <w:lang w:val="fr-CH"/>
              </w:rPr>
            </w:pPr>
            <w:r w:rsidRPr="000B7F65">
              <w:rPr>
                <w:szCs w:val="22"/>
                <w:lang w:val="fr-CH"/>
              </w:rPr>
              <w:t>Organe consultatif indépendant de surveilla</w:t>
            </w:r>
            <w:r>
              <w:rPr>
                <w:szCs w:val="22"/>
                <w:lang w:val="fr-CH"/>
              </w:rPr>
              <w:t>nce</w:t>
            </w:r>
          </w:p>
        </w:tc>
      </w:tr>
      <w:tr w:rsidR="000B7F65" w:rsidRPr="00A76380" w14:paraId="58BCD731" w14:textId="77777777" w:rsidTr="00A20B7D">
        <w:trPr>
          <w:trHeight w:val="340"/>
        </w:trPr>
        <w:tc>
          <w:tcPr>
            <w:tcW w:w="1701" w:type="dxa"/>
          </w:tcPr>
          <w:p w14:paraId="15CE20C2" w14:textId="3DD4BBE4" w:rsidR="000B7F65" w:rsidRPr="000B7F65" w:rsidRDefault="000B7F65" w:rsidP="000B7F65">
            <w:pPr>
              <w:tabs>
                <w:tab w:val="right" w:pos="6880"/>
              </w:tabs>
              <w:ind w:left="43"/>
              <w:rPr>
                <w:b/>
                <w:szCs w:val="22"/>
                <w:lang w:val="fr-CH"/>
              </w:rPr>
            </w:pPr>
            <w:r>
              <w:rPr>
                <w:b/>
                <w:szCs w:val="22"/>
              </w:rPr>
              <w:t>DSI</w:t>
            </w:r>
          </w:p>
        </w:tc>
        <w:tc>
          <w:tcPr>
            <w:tcW w:w="7230" w:type="dxa"/>
          </w:tcPr>
          <w:p w14:paraId="1FCB63B5" w14:textId="2539020E" w:rsidR="000B7F65" w:rsidRPr="000B7F65" w:rsidRDefault="000B7F65" w:rsidP="000B7F65">
            <w:pPr>
              <w:tabs>
                <w:tab w:val="right" w:pos="6880"/>
              </w:tabs>
              <w:ind w:left="43"/>
              <w:rPr>
                <w:szCs w:val="22"/>
                <w:lang w:val="fr-CH"/>
              </w:rPr>
            </w:pPr>
            <w:r w:rsidRPr="000B7F65">
              <w:rPr>
                <w:szCs w:val="22"/>
                <w:lang w:val="fr-CH"/>
              </w:rPr>
              <w:t>Division de la supervision interne</w:t>
            </w:r>
          </w:p>
        </w:tc>
      </w:tr>
      <w:tr w:rsidR="000B7F65" w:rsidRPr="00A76380" w14:paraId="3D0E79D5" w14:textId="77777777" w:rsidTr="00A20B7D">
        <w:trPr>
          <w:trHeight w:val="340"/>
        </w:trPr>
        <w:tc>
          <w:tcPr>
            <w:tcW w:w="1701" w:type="dxa"/>
          </w:tcPr>
          <w:p w14:paraId="5F9854BB" w14:textId="17109FF7" w:rsidR="000B7F65" w:rsidRPr="000B7F65" w:rsidRDefault="000B7F65" w:rsidP="000B7F65">
            <w:pPr>
              <w:tabs>
                <w:tab w:val="right" w:pos="6880"/>
              </w:tabs>
              <w:ind w:left="43"/>
              <w:rPr>
                <w:b/>
                <w:szCs w:val="22"/>
                <w:lang w:val="fr-CH"/>
              </w:rPr>
            </w:pPr>
            <w:r>
              <w:rPr>
                <w:b/>
                <w:szCs w:val="22"/>
              </w:rPr>
              <w:t>PBC</w:t>
            </w:r>
          </w:p>
        </w:tc>
        <w:tc>
          <w:tcPr>
            <w:tcW w:w="7230" w:type="dxa"/>
          </w:tcPr>
          <w:p w14:paraId="71F77348" w14:textId="73D58824" w:rsidR="000B7F65" w:rsidRPr="000B7F65" w:rsidRDefault="000B7F65" w:rsidP="000B7F65">
            <w:pPr>
              <w:tabs>
                <w:tab w:val="right" w:pos="6880"/>
              </w:tabs>
              <w:ind w:left="43"/>
              <w:rPr>
                <w:szCs w:val="22"/>
                <w:lang w:val="fr-CH"/>
              </w:rPr>
            </w:pPr>
            <w:r w:rsidRPr="000B7F65">
              <w:rPr>
                <w:szCs w:val="22"/>
                <w:lang w:val="fr-CH"/>
              </w:rPr>
              <w:t>Comité du programme et budget</w:t>
            </w:r>
          </w:p>
        </w:tc>
      </w:tr>
      <w:tr w:rsidR="000B7F65" w:rsidRPr="00A76380" w14:paraId="6A85FC9E" w14:textId="77777777" w:rsidTr="00A20B7D">
        <w:trPr>
          <w:trHeight w:val="340"/>
        </w:trPr>
        <w:tc>
          <w:tcPr>
            <w:tcW w:w="1701" w:type="dxa"/>
          </w:tcPr>
          <w:p w14:paraId="6F64B0C6" w14:textId="61D4BCDF" w:rsidR="000B7F65" w:rsidRPr="000B7F65" w:rsidRDefault="000B7F65" w:rsidP="000B7F65">
            <w:pPr>
              <w:tabs>
                <w:tab w:val="right" w:pos="6880"/>
              </w:tabs>
              <w:ind w:left="43"/>
              <w:rPr>
                <w:b/>
                <w:lang w:val="fr-CH"/>
              </w:rPr>
            </w:pPr>
            <w:r>
              <w:rPr>
                <w:b/>
              </w:rPr>
              <w:t>PCT</w:t>
            </w:r>
          </w:p>
        </w:tc>
        <w:tc>
          <w:tcPr>
            <w:tcW w:w="7230" w:type="dxa"/>
          </w:tcPr>
          <w:p w14:paraId="04DE9851" w14:textId="395E9127" w:rsidR="000B7F65" w:rsidRPr="000B7F65" w:rsidRDefault="000B7F65" w:rsidP="000B7F65">
            <w:pPr>
              <w:tabs>
                <w:tab w:val="right" w:pos="6880"/>
              </w:tabs>
              <w:ind w:left="43"/>
              <w:rPr>
                <w:szCs w:val="22"/>
                <w:lang w:val="fr-CH"/>
              </w:rPr>
            </w:pPr>
            <w:r w:rsidRPr="000B7F65">
              <w:rPr>
                <w:lang w:val="fr-CH"/>
              </w:rPr>
              <w:t>Traité de coopération en matière de brevets</w:t>
            </w:r>
          </w:p>
        </w:tc>
      </w:tr>
      <w:tr w:rsidR="000B7F65" w:rsidRPr="00A76380" w14:paraId="1E188CA4" w14:textId="77777777" w:rsidTr="00A20B7D">
        <w:trPr>
          <w:trHeight w:val="340"/>
        </w:trPr>
        <w:tc>
          <w:tcPr>
            <w:tcW w:w="1701" w:type="dxa"/>
          </w:tcPr>
          <w:p w14:paraId="31392526" w14:textId="7BF34C59" w:rsidR="000B7F65" w:rsidRPr="000B7F65" w:rsidRDefault="000B7F65" w:rsidP="000B7F65">
            <w:pPr>
              <w:tabs>
                <w:tab w:val="right" w:pos="6880"/>
              </w:tabs>
              <w:ind w:left="43"/>
              <w:rPr>
                <w:b/>
                <w:szCs w:val="22"/>
                <w:lang w:val="fr-CH"/>
              </w:rPr>
            </w:pPr>
            <w:r>
              <w:rPr>
                <w:b/>
                <w:szCs w:val="22"/>
              </w:rPr>
              <w:t>GNUE</w:t>
            </w:r>
          </w:p>
        </w:tc>
        <w:tc>
          <w:tcPr>
            <w:tcW w:w="7230" w:type="dxa"/>
          </w:tcPr>
          <w:p w14:paraId="7852DDEC" w14:textId="5501EDBC" w:rsidR="000B7F65" w:rsidRPr="000B7F65" w:rsidRDefault="000B7F65" w:rsidP="000B7F65">
            <w:pPr>
              <w:tabs>
                <w:tab w:val="right" w:pos="6880"/>
              </w:tabs>
              <w:ind w:left="43"/>
              <w:rPr>
                <w:szCs w:val="22"/>
                <w:lang w:val="fr-CH"/>
              </w:rPr>
            </w:pPr>
            <w:r w:rsidRPr="000B7F65">
              <w:rPr>
                <w:szCs w:val="22"/>
                <w:lang w:val="fr-CH"/>
              </w:rPr>
              <w:t xml:space="preserve">Groupe des </w:t>
            </w:r>
            <w:r w:rsidR="00353ADC">
              <w:rPr>
                <w:szCs w:val="22"/>
                <w:lang w:val="fr-CH"/>
              </w:rPr>
              <w:t>Nations Unies</w:t>
            </w:r>
            <w:r w:rsidRPr="000B7F65">
              <w:rPr>
                <w:szCs w:val="22"/>
                <w:lang w:val="fr-CH"/>
              </w:rPr>
              <w:t xml:space="preserve"> </w:t>
            </w:r>
            <w:r>
              <w:rPr>
                <w:szCs w:val="22"/>
                <w:lang w:val="fr-CH"/>
              </w:rPr>
              <w:t>po</w:t>
            </w:r>
            <w:r w:rsidRPr="000B7F65">
              <w:rPr>
                <w:szCs w:val="22"/>
                <w:lang w:val="fr-CH"/>
              </w:rPr>
              <w:t>ur l</w:t>
            </w:r>
            <w:r w:rsidR="000A3166">
              <w:rPr>
                <w:szCs w:val="22"/>
                <w:lang w:val="fr-CH"/>
              </w:rPr>
              <w:t>’</w:t>
            </w:r>
            <w:r w:rsidRPr="000B7F65">
              <w:rPr>
                <w:szCs w:val="22"/>
                <w:lang w:val="fr-CH"/>
              </w:rPr>
              <w:t>évaluation</w:t>
            </w:r>
          </w:p>
        </w:tc>
      </w:tr>
      <w:tr w:rsidR="000B7F65" w:rsidRPr="00A76380" w14:paraId="0142071F" w14:textId="77777777" w:rsidTr="00A20B7D">
        <w:trPr>
          <w:trHeight w:val="340"/>
        </w:trPr>
        <w:tc>
          <w:tcPr>
            <w:tcW w:w="1701" w:type="dxa"/>
          </w:tcPr>
          <w:p w14:paraId="2ED82441" w14:textId="7F0FA0BE" w:rsidR="000B7F65" w:rsidRPr="000B7F65" w:rsidRDefault="000B7F65" w:rsidP="000B7F65">
            <w:pPr>
              <w:ind w:left="43"/>
              <w:rPr>
                <w:b/>
                <w:lang w:val="fr-CH"/>
              </w:rPr>
            </w:pPr>
            <w:r>
              <w:rPr>
                <w:b/>
                <w:szCs w:val="22"/>
              </w:rPr>
              <w:t>OMPI</w:t>
            </w:r>
          </w:p>
        </w:tc>
        <w:tc>
          <w:tcPr>
            <w:tcW w:w="7230" w:type="dxa"/>
          </w:tcPr>
          <w:p w14:paraId="34F39FB1" w14:textId="15968406" w:rsidR="000B7F65" w:rsidRPr="000B7F65" w:rsidRDefault="000B7F65" w:rsidP="000B7F65">
            <w:pPr>
              <w:ind w:left="43"/>
              <w:rPr>
                <w:lang w:val="fr-CH"/>
              </w:rPr>
            </w:pPr>
            <w:r w:rsidRPr="000B7F65">
              <w:rPr>
                <w:szCs w:val="22"/>
                <w:lang w:val="fr-CH"/>
              </w:rPr>
              <w:t>Organisation Mondiale de la Propriété Intelle</w:t>
            </w:r>
            <w:r>
              <w:rPr>
                <w:szCs w:val="22"/>
                <w:lang w:val="fr-CH"/>
              </w:rPr>
              <w:t>ctuelle</w:t>
            </w:r>
          </w:p>
        </w:tc>
      </w:tr>
      <w:tr w:rsidR="000B7F65" w:rsidRPr="00A76380" w14:paraId="5D1AEAEE" w14:textId="77777777" w:rsidTr="00A20B7D">
        <w:trPr>
          <w:trHeight w:val="340"/>
        </w:trPr>
        <w:tc>
          <w:tcPr>
            <w:tcW w:w="1701" w:type="dxa"/>
          </w:tcPr>
          <w:p w14:paraId="5D17DE1E" w14:textId="4A539C57" w:rsidR="000B7F65" w:rsidRPr="000B7F65" w:rsidRDefault="000B7F65" w:rsidP="000B7F65">
            <w:pPr>
              <w:ind w:left="43"/>
              <w:rPr>
                <w:b/>
                <w:lang w:val="fr-CH"/>
              </w:rPr>
            </w:pPr>
            <w:r>
              <w:rPr>
                <w:b/>
              </w:rPr>
              <w:t>AIMS</w:t>
            </w:r>
          </w:p>
        </w:tc>
        <w:tc>
          <w:tcPr>
            <w:tcW w:w="7230" w:type="dxa"/>
          </w:tcPr>
          <w:p w14:paraId="77B10508" w14:textId="0BE0C455" w:rsidR="000B7F65" w:rsidRPr="000B7F65" w:rsidRDefault="000B7F65" w:rsidP="000B7F65">
            <w:pPr>
              <w:ind w:left="43"/>
              <w:rPr>
                <w:szCs w:val="22"/>
                <w:lang w:val="fr-CH"/>
              </w:rPr>
            </w:pPr>
            <w:r w:rsidRPr="000B7F65">
              <w:rPr>
                <w:lang w:val="fr-CH"/>
              </w:rPr>
              <w:t>Système de gestion de l</w:t>
            </w:r>
            <w:r w:rsidR="000A3166">
              <w:rPr>
                <w:lang w:val="fr-CH"/>
              </w:rPr>
              <w:t>’</w:t>
            </w:r>
            <w:r w:rsidRPr="000B7F65">
              <w:rPr>
                <w:lang w:val="fr-CH"/>
              </w:rPr>
              <w:t>information administrative</w:t>
            </w:r>
          </w:p>
        </w:tc>
      </w:tr>
      <w:tr w:rsidR="000B7F65" w:rsidRPr="00A76380" w14:paraId="101B5610" w14:textId="77777777" w:rsidTr="00A20B7D">
        <w:trPr>
          <w:trHeight w:val="340"/>
        </w:trPr>
        <w:tc>
          <w:tcPr>
            <w:tcW w:w="1701" w:type="dxa"/>
          </w:tcPr>
          <w:p w14:paraId="6CB3A35F" w14:textId="4744E05A" w:rsidR="000B7F65" w:rsidRPr="000B7F65" w:rsidRDefault="000B7F65" w:rsidP="000B7F65">
            <w:pPr>
              <w:ind w:left="43"/>
              <w:rPr>
                <w:b/>
                <w:szCs w:val="22"/>
                <w:lang w:val="fr-CH"/>
              </w:rPr>
            </w:pPr>
            <w:r>
              <w:rPr>
                <w:b/>
                <w:szCs w:val="22"/>
              </w:rPr>
              <w:t>CDIP</w:t>
            </w:r>
          </w:p>
        </w:tc>
        <w:tc>
          <w:tcPr>
            <w:tcW w:w="7230" w:type="dxa"/>
          </w:tcPr>
          <w:p w14:paraId="428F5777" w14:textId="385FA7A0" w:rsidR="000B7F65" w:rsidRPr="000B7F65" w:rsidRDefault="000B7F65" w:rsidP="000B7F65">
            <w:pPr>
              <w:ind w:left="43"/>
              <w:rPr>
                <w:szCs w:val="22"/>
                <w:lang w:val="fr-CH"/>
              </w:rPr>
            </w:pPr>
            <w:r w:rsidRPr="000B7F65">
              <w:rPr>
                <w:szCs w:val="22"/>
                <w:lang w:val="fr-CH"/>
              </w:rPr>
              <w:t>Comité du développement et de la propriété intellectuelle</w:t>
            </w:r>
          </w:p>
        </w:tc>
      </w:tr>
    </w:tbl>
    <w:p w14:paraId="208242F3" w14:textId="77777777" w:rsidR="00417F8D" w:rsidRDefault="00186810" w:rsidP="00186810">
      <w:pPr>
        <w:rPr>
          <w:b/>
          <w:lang w:val="fr-CH"/>
        </w:rPr>
      </w:pPr>
      <w:bookmarkStart w:id="8" w:name="_Toc392160703"/>
      <w:bookmarkStart w:id="9" w:name="_Toc392160740"/>
      <w:bookmarkStart w:id="10" w:name="_Toc423530309"/>
      <w:bookmarkStart w:id="11" w:name="_Toc423533365"/>
      <w:bookmarkStart w:id="12" w:name="_Toc423533509"/>
      <w:bookmarkStart w:id="13" w:name="_Toc452648468"/>
      <w:r w:rsidRPr="000B7F65">
        <w:rPr>
          <w:b/>
          <w:lang w:val="fr-CH"/>
        </w:rPr>
        <w:br w:type="page"/>
      </w:r>
    </w:p>
    <w:p w14:paraId="350FDBA2" w14:textId="77777777" w:rsidR="00417F8D" w:rsidRDefault="00FB613C" w:rsidP="00FB613C">
      <w:pPr>
        <w:pStyle w:val="Heading1"/>
      </w:pPr>
      <w:bookmarkStart w:id="14" w:name="_Toc420663565"/>
      <w:bookmarkStart w:id="15" w:name="_Toc12270148"/>
      <w:bookmarkEnd w:id="8"/>
      <w:bookmarkEnd w:id="9"/>
      <w:bookmarkEnd w:id="10"/>
      <w:bookmarkEnd w:id="11"/>
      <w:bookmarkEnd w:id="12"/>
      <w:bookmarkEnd w:id="13"/>
      <w:r>
        <w:lastRenderedPageBreak/>
        <w:t>informations gÉnÉrales</w:t>
      </w:r>
      <w:bookmarkEnd w:id="14"/>
      <w:bookmarkEnd w:id="15"/>
    </w:p>
    <w:p w14:paraId="39CB95E9" w14:textId="77777777" w:rsidR="00417F8D" w:rsidRDefault="005A5F49" w:rsidP="00D325B1">
      <w:pPr>
        <w:pStyle w:val="ONUMFS"/>
        <w:numPr>
          <w:ilvl w:val="0"/>
          <w:numId w:val="19"/>
        </w:numPr>
        <w:rPr>
          <w:lang w:val="fr-CH"/>
        </w:rPr>
      </w:pPr>
      <w:r w:rsidRPr="00D325B1">
        <w:rPr>
          <w:lang w:val="fr-CH"/>
        </w:rPr>
        <w:t>La Division de la supervision interne de l</w:t>
      </w:r>
      <w:r w:rsidR="000A3166" w:rsidRPr="00D325B1">
        <w:rPr>
          <w:lang w:val="fr-CH"/>
        </w:rPr>
        <w:t>’</w:t>
      </w:r>
      <w:r w:rsidRPr="00D325B1">
        <w:rPr>
          <w:lang w:val="fr-CH"/>
        </w:rPr>
        <w:t>OMPI (ci</w:t>
      </w:r>
      <w:r w:rsidR="00353ADC" w:rsidRPr="00D325B1">
        <w:rPr>
          <w:lang w:val="fr-CH"/>
        </w:rPr>
        <w:t>-</w:t>
      </w:r>
      <w:r w:rsidRPr="00D325B1">
        <w:rPr>
          <w:lang w:val="fr-CH"/>
        </w:rPr>
        <w:t xml:space="preserve">après dénommée </w:t>
      </w:r>
      <w:r w:rsidR="000A3166" w:rsidRPr="00D325B1">
        <w:rPr>
          <w:lang w:val="fr-CH"/>
        </w:rPr>
        <w:t>“</w:t>
      </w:r>
      <w:r w:rsidRPr="00D325B1">
        <w:rPr>
          <w:lang w:val="fr-CH"/>
        </w:rPr>
        <w:t>DSI</w:t>
      </w:r>
      <w:r w:rsidR="000A3166" w:rsidRPr="00D325B1">
        <w:rPr>
          <w:lang w:val="fr-CH"/>
        </w:rPr>
        <w:t>”</w:t>
      </w:r>
      <w:r w:rsidRPr="00D325B1">
        <w:rPr>
          <w:lang w:val="fr-CH"/>
        </w:rPr>
        <w:t>) a pour mission d</w:t>
      </w:r>
      <w:r w:rsidR="000A3166" w:rsidRPr="00D325B1">
        <w:rPr>
          <w:lang w:val="fr-CH"/>
        </w:rPr>
        <w:t>’</w:t>
      </w:r>
      <w:r w:rsidRPr="00D325B1">
        <w:rPr>
          <w:lang w:val="fr-CH"/>
        </w:rPr>
        <w:t>assurer à l</w:t>
      </w:r>
      <w:r w:rsidR="000A3166" w:rsidRPr="00D325B1">
        <w:rPr>
          <w:lang w:val="fr-CH"/>
        </w:rPr>
        <w:t>’</w:t>
      </w:r>
      <w:r w:rsidRPr="00D325B1">
        <w:rPr>
          <w:lang w:val="fr-CH"/>
        </w:rPr>
        <w:t>Organisation une supervision interne indépendante et efficace, conformément aux dispositions de la Charte de la supervision interne.</w:t>
      </w:r>
    </w:p>
    <w:p w14:paraId="696AEEBD" w14:textId="77777777" w:rsidR="00417F8D" w:rsidRDefault="0067091E" w:rsidP="00D325B1">
      <w:pPr>
        <w:pStyle w:val="ONUMFS"/>
        <w:rPr>
          <w:lang w:val="fr-CH"/>
        </w:rPr>
      </w:pPr>
      <w:r w:rsidRPr="00403F08">
        <w:rPr>
          <w:lang w:val="fr-CH"/>
        </w:rPr>
        <w:t>En vertu de la Charte de la supervision interne de l</w:t>
      </w:r>
      <w:r w:rsidR="000A3166">
        <w:rPr>
          <w:lang w:val="fr-CH"/>
        </w:rPr>
        <w:t>’</w:t>
      </w:r>
      <w:r w:rsidRPr="00403F08">
        <w:rPr>
          <w:lang w:val="fr-CH"/>
        </w:rPr>
        <w:t>OMPI</w:t>
      </w:r>
      <w:r w:rsidRPr="00403F08">
        <w:rPr>
          <w:rStyle w:val="FootnoteReference"/>
        </w:rPr>
        <w:footnoteReference w:id="2"/>
      </w:r>
      <w:r w:rsidRPr="00403F08">
        <w:rPr>
          <w:lang w:val="fr-CH"/>
        </w:rPr>
        <w:t>, le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soumet chaque année un rapport de synthèse à l</w:t>
      </w:r>
      <w:r w:rsidR="000A3166">
        <w:rPr>
          <w:lang w:val="fr-CH"/>
        </w:rPr>
        <w:t>’</w:t>
      </w:r>
      <w:r w:rsidRPr="00403F08">
        <w:rPr>
          <w:lang w:val="fr-CH"/>
        </w:rPr>
        <w:t>Assemblée générale de l</w:t>
      </w:r>
      <w:r w:rsidR="000A3166">
        <w:rPr>
          <w:lang w:val="fr-CH"/>
        </w:rPr>
        <w:t>’</w:t>
      </w:r>
      <w:r w:rsidRPr="00403F08">
        <w:rPr>
          <w:lang w:val="fr-CH"/>
        </w:rPr>
        <w:t>OMPI, dans le cadre du Comité du programme et budget (PBC).</w:t>
      </w:r>
      <w:r w:rsidR="00186810" w:rsidRPr="00403F08">
        <w:rPr>
          <w:lang w:val="fr-CH"/>
        </w:rPr>
        <w:t xml:space="preserve">  </w:t>
      </w:r>
      <w:bookmarkStart w:id="16" w:name="_Toc420663566"/>
      <w:bookmarkStart w:id="17" w:name="_Toc328920434"/>
      <w:r w:rsidRPr="00403F08">
        <w:rPr>
          <w:lang w:val="fr-CH"/>
        </w:rPr>
        <w:t xml:space="preserve">Ce rapport annuel rend compte des activités de supervision interne menées au cours de la période considérée, </w:t>
      </w:r>
      <w:r w:rsidR="00353ADC">
        <w:rPr>
          <w:lang w:val="fr-CH"/>
        </w:rPr>
        <w:t>y compris</w:t>
      </w:r>
      <w:r w:rsidRPr="00403F08">
        <w:rPr>
          <w:lang w:val="fr-CH"/>
        </w:rPr>
        <w:t xml:space="preserve"> de la portée et des objectifs de celles</w:t>
      </w:r>
      <w:r w:rsidR="00353ADC">
        <w:rPr>
          <w:lang w:val="fr-CH"/>
        </w:rPr>
        <w:t>-</w:t>
      </w:r>
      <w:r w:rsidRPr="00403F08">
        <w:rPr>
          <w:lang w:val="fr-CH"/>
        </w:rPr>
        <w:t>ci, du calendrier des travaux ainsi que des progrès réalisés dans la mise en œuvre des recommandations de supervision interne.</w:t>
      </w:r>
    </w:p>
    <w:p w14:paraId="5EE8D2EE" w14:textId="77777777" w:rsidR="00417F8D" w:rsidRDefault="0067091E" w:rsidP="00D325B1">
      <w:pPr>
        <w:pStyle w:val="ONUMFS"/>
        <w:rPr>
          <w:lang w:val="fr-CH"/>
        </w:rPr>
      </w:pPr>
      <w:r w:rsidRPr="00403F08">
        <w:rPr>
          <w:lang w:val="fr-CH"/>
        </w:rPr>
        <w:t>Conformément à la Charte de la supervision interne, une version préliminaire du rapport annuel a été fournie au Directeur général et à l</w:t>
      </w:r>
      <w:r w:rsidR="000A3166">
        <w:rPr>
          <w:lang w:val="fr-CH"/>
        </w:rPr>
        <w:t>’</w:t>
      </w:r>
      <w:r w:rsidRPr="00403F08">
        <w:rPr>
          <w:lang w:val="fr-CH"/>
        </w:rPr>
        <w:t>Organe consultatif indépendant de surveillance (OCIS) pour qu</w:t>
      </w:r>
      <w:r w:rsidR="000A3166">
        <w:rPr>
          <w:lang w:val="fr-CH"/>
        </w:rPr>
        <w:t>’</w:t>
      </w:r>
      <w:r w:rsidRPr="00403F08">
        <w:rPr>
          <w:lang w:val="fr-CH"/>
        </w:rPr>
        <w:t xml:space="preserve">ils formulent des </w:t>
      </w:r>
      <w:proofErr w:type="gramStart"/>
      <w:r w:rsidRPr="00403F08">
        <w:rPr>
          <w:lang w:val="fr-CH"/>
        </w:rPr>
        <w:t>observations;  il</w:t>
      </w:r>
      <w:proofErr w:type="gramEnd"/>
      <w:r w:rsidRPr="00403F08">
        <w:rPr>
          <w:lang w:val="fr-CH"/>
        </w:rPr>
        <w:t xml:space="preserve"> a été tenu compte des observations reçues pour établir la version définitive du rapport.</w:t>
      </w:r>
    </w:p>
    <w:p w14:paraId="44FEF375" w14:textId="77777777" w:rsidR="00417F8D" w:rsidRDefault="0067091E" w:rsidP="00FB613C">
      <w:pPr>
        <w:pStyle w:val="Heading1"/>
      </w:pPr>
      <w:bookmarkStart w:id="18" w:name="_Toc12270149"/>
      <w:r w:rsidRPr="00403F08">
        <w:t>Faits marquants survenus durant la période considérée</w:t>
      </w:r>
      <w:bookmarkEnd w:id="18"/>
    </w:p>
    <w:p w14:paraId="27580844" w14:textId="77777777" w:rsidR="00417F8D" w:rsidRDefault="0067091E" w:rsidP="00D325B1">
      <w:pPr>
        <w:pStyle w:val="ONUMFS"/>
        <w:rPr>
          <w:lang w:val="fr-CH"/>
        </w:rPr>
      </w:pPr>
      <w:r w:rsidRPr="00403F08">
        <w:rPr>
          <w:lang w:val="fr-CH"/>
        </w:rPr>
        <w:t>La DSI continue d</w:t>
      </w:r>
      <w:r w:rsidR="000A3166">
        <w:rPr>
          <w:lang w:val="fr-CH"/>
        </w:rPr>
        <w:t>’</w:t>
      </w:r>
      <w:r w:rsidRPr="00403F08">
        <w:rPr>
          <w:lang w:val="fr-CH"/>
        </w:rPr>
        <w:t>aider l</w:t>
      </w:r>
      <w:r w:rsidR="000A3166">
        <w:rPr>
          <w:lang w:val="fr-CH"/>
        </w:rPr>
        <w:t>’</w:t>
      </w:r>
      <w:r w:rsidRPr="00403F08">
        <w:rPr>
          <w:lang w:val="fr-CH"/>
        </w:rPr>
        <w:t xml:space="preserve">OMPI à renforcer les contrôles, </w:t>
      </w:r>
      <w:r w:rsidR="00FB613C" w:rsidRPr="00403F08">
        <w:rPr>
          <w:lang w:val="fr-CH"/>
        </w:rPr>
        <w:t>l</w:t>
      </w:r>
      <w:r w:rsidR="000A3166">
        <w:rPr>
          <w:lang w:val="fr-CH"/>
        </w:rPr>
        <w:t>’</w:t>
      </w:r>
      <w:r w:rsidR="00FB613C" w:rsidRPr="00403F08">
        <w:rPr>
          <w:lang w:val="fr-CH"/>
        </w:rPr>
        <w:t>application du principe de responsabilité</w:t>
      </w:r>
      <w:r w:rsidRPr="00403F08">
        <w:rPr>
          <w:lang w:val="fr-CH"/>
        </w:rPr>
        <w:t xml:space="preserve">, la transparence et </w:t>
      </w:r>
      <w:r w:rsidR="008135ED" w:rsidRPr="00403F08">
        <w:rPr>
          <w:lang w:val="fr-CH"/>
        </w:rPr>
        <w:t>l</w:t>
      </w:r>
      <w:r w:rsidR="000A3166">
        <w:rPr>
          <w:lang w:val="fr-CH"/>
        </w:rPr>
        <w:t>’</w:t>
      </w:r>
      <w:r w:rsidR="008135ED" w:rsidRPr="00403F08">
        <w:rPr>
          <w:lang w:val="fr-CH"/>
        </w:rPr>
        <w:t>apprentissage</w:t>
      </w:r>
      <w:r w:rsidRPr="00403F08">
        <w:rPr>
          <w:lang w:val="fr-CH"/>
        </w:rPr>
        <w:t xml:space="preserve"> </w:t>
      </w:r>
      <w:r w:rsidR="008135ED" w:rsidRPr="00403F08">
        <w:rPr>
          <w:lang w:val="fr-CH"/>
        </w:rPr>
        <w:t>au moyen d</w:t>
      </w:r>
      <w:r w:rsidR="000A3166">
        <w:rPr>
          <w:lang w:val="fr-CH"/>
        </w:rPr>
        <w:t>’</w:t>
      </w:r>
      <w:r w:rsidR="008135ED" w:rsidRPr="00403F08">
        <w:rPr>
          <w:lang w:val="fr-CH"/>
        </w:rPr>
        <w:t xml:space="preserve">outils et </w:t>
      </w:r>
      <w:r w:rsidR="008135ED" w:rsidRPr="00FB613C">
        <w:rPr>
          <w:lang w:val="fr-CH"/>
        </w:rPr>
        <w:t>de</w:t>
      </w:r>
      <w:r w:rsidRPr="00FB613C">
        <w:rPr>
          <w:lang w:val="fr-CH"/>
        </w:rPr>
        <w:t xml:space="preserve"> pratiques innovants et adaptés qui permettront à l</w:t>
      </w:r>
      <w:r w:rsidR="000A3166">
        <w:rPr>
          <w:lang w:val="fr-CH"/>
        </w:rPr>
        <w:t>’</w:t>
      </w:r>
      <w:r w:rsidRPr="00FB613C">
        <w:rPr>
          <w:lang w:val="fr-CH"/>
        </w:rPr>
        <w:t>Organisation d</w:t>
      </w:r>
      <w:r w:rsidR="00C726E4" w:rsidRPr="00FB613C">
        <w:rPr>
          <w:lang w:val="fr-CH"/>
        </w:rPr>
        <w:t>e s</w:t>
      </w:r>
      <w:r w:rsidR="000A3166">
        <w:rPr>
          <w:lang w:val="fr-CH"/>
        </w:rPr>
        <w:t>’</w:t>
      </w:r>
      <w:r w:rsidRPr="00FB613C">
        <w:rPr>
          <w:lang w:val="fr-CH"/>
        </w:rPr>
        <w:t>a</w:t>
      </w:r>
      <w:r w:rsidR="00C726E4" w:rsidRPr="00FB613C">
        <w:rPr>
          <w:lang w:val="fr-CH"/>
        </w:rPr>
        <w:t>chemin</w:t>
      </w:r>
      <w:r w:rsidRPr="00FB613C">
        <w:rPr>
          <w:lang w:val="fr-CH"/>
        </w:rPr>
        <w:t>er</w:t>
      </w:r>
      <w:r w:rsidR="00C726E4" w:rsidRPr="00FB613C">
        <w:rPr>
          <w:lang w:val="fr-CH"/>
        </w:rPr>
        <w:t xml:space="preserve"> vers</w:t>
      </w:r>
      <w:r w:rsidRPr="00FB613C">
        <w:rPr>
          <w:lang w:val="fr-CH"/>
        </w:rPr>
        <w:t xml:space="preserve"> les normes les plus élevées</w:t>
      </w:r>
      <w:r w:rsidR="00EA76F4">
        <w:rPr>
          <w:lang w:val="fr-CH"/>
        </w:rPr>
        <w:t>, notamment</w:t>
      </w:r>
      <w:r w:rsidRPr="00FB613C">
        <w:rPr>
          <w:lang w:val="fr-CH"/>
        </w:rPr>
        <w:t xml:space="preserve"> en matière de gestion des risques et d</w:t>
      </w:r>
      <w:r w:rsidR="000A3166">
        <w:rPr>
          <w:lang w:val="fr-CH"/>
        </w:rPr>
        <w:t>’</w:t>
      </w:r>
      <w:r w:rsidRPr="00FB613C">
        <w:rPr>
          <w:lang w:val="fr-CH"/>
        </w:rPr>
        <w:t>exécution des programmes.</w:t>
      </w:r>
    </w:p>
    <w:p w14:paraId="3789D59A" w14:textId="77777777" w:rsidR="00417F8D" w:rsidRDefault="0067091E" w:rsidP="00D325B1">
      <w:pPr>
        <w:pStyle w:val="ONUMFS"/>
        <w:rPr>
          <w:lang w:val="fr-CH"/>
        </w:rPr>
      </w:pPr>
      <w:r w:rsidRPr="00FB613C">
        <w:rPr>
          <w:lang w:val="fr-CH"/>
        </w:rPr>
        <w:t>La Charte de la supervision</w:t>
      </w:r>
      <w:r w:rsidR="00FB613C" w:rsidRPr="00FB613C">
        <w:rPr>
          <w:lang w:val="fr-CH"/>
        </w:rPr>
        <w:t xml:space="preserve"> interne</w:t>
      </w:r>
      <w:r w:rsidRPr="00FB613C">
        <w:rPr>
          <w:lang w:val="fr-CH"/>
        </w:rPr>
        <w:t xml:space="preserve"> a été modifiée </w:t>
      </w:r>
      <w:r w:rsidR="00353ADC" w:rsidRPr="00FB613C">
        <w:rPr>
          <w:lang w:val="fr-CH"/>
        </w:rPr>
        <w:t>en</w:t>
      </w:r>
      <w:r w:rsidR="00353ADC">
        <w:rPr>
          <w:lang w:val="fr-CH"/>
        </w:rPr>
        <w:t> </w:t>
      </w:r>
      <w:r w:rsidR="00353ADC" w:rsidRPr="00FB613C">
        <w:rPr>
          <w:lang w:val="fr-CH"/>
        </w:rPr>
        <w:t>2018</w:t>
      </w:r>
      <w:r w:rsidRPr="00FB613C">
        <w:rPr>
          <w:lang w:val="fr-CH"/>
        </w:rPr>
        <w:t xml:space="preserve"> afin d</w:t>
      </w:r>
      <w:r w:rsidR="000A3166">
        <w:rPr>
          <w:lang w:val="fr-CH"/>
        </w:rPr>
        <w:t>’</w:t>
      </w:r>
      <w:r w:rsidRPr="00FB613C">
        <w:rPr>
          <w:lang w:val="fr-CH"/>
        </w:rPr>
        <w:t xml:space="preserve">inclure, entre autres, des informations précises sur les conditions dans lesquelles </w:t>
      </w:r>
      <w:r w:rsidR="00FB613C" w:rsidRPr="00FB613C">
        <w:rPr>
          <w:lang w:val="fr-CH"/>
        </w:rPr>
        <w:t>d</w:t>
      </w:r>
      <w:r w:rsidRPr="00FB613C">
        <w:rPr>
          <w:lang w:val="fr-CH"/>
        </w:rPr>
        <w:t xml:space="preserve">es services consultatifs et de conseil peuvent être </w:t>
      </w:r>
      <w:r w:rsidR="00EA76F4">
        <w:rPr>
          <w:lang w:val="fr-CH"/>
        </w:rPr>
        <w:t>fourn</w:t>
      </w:r>
      <w:r w:rsidR="00007093">
        <w:rPr>
          <w:lang w:val="fr-CH"/>
        </w:rPr>
        <w:t xml:space="preserve">is.  </w:t>
      </w:r>
      <w:r w:rsidR="00007093" w:rsidRPr="00FB613C">
        <w:rPr>
          <w:lang w:val="fr-CH"/>
        </w:rPr>
        <w:t>Ce</w:t>
      </w:r>
      <w:r w:rsidRPr="00FB613C">
        <w:rPr>
          <w:lang w:val="fr-CH"/>
        </w:rPr>
        <w:t>tte précision permet de garantir que les principes d</w:t>
      </w:r>
      <w:r w:rsidR="000A3166">
        <w:rPr>
          <w:lang w:val="fr-CH"/>
        </w:rPr>
        <w:t>’</w:t>
      </w:r>
      <w:r w:rsidRPr="00FB613C">
        <w:rPr>
          <w:lang w:val="fr-CH"/>
        </w:rPr>
        <w:t>indépendance et d</w:t>
      </w:r>
      <w:r w:rsidR="000A3166">
        <w:rPr>
          <w:lang w:val="fr-CH"/>
        </w:rPr>
        <w:t>’</w:t>
      </w:r>
      <w:r w:rsidRPr="00FB613C">
        <w:rPr>
          <w:lang w:val="fr-CH"/>
        </w:rPr>
        <w:t>absence de conflits d</w:t>
      </w:r>
      <w:r w:rsidR="000A3166">
        <w:rPr>
          <w:lang w:val="fr-CH"/>
        </w:rPr>
        <w:t>’</w:t>
      </w:r>
      <w:r w:rsidRPr="00FB613C">
        <w:rPr>
          <w:lang w:val="fr-CH"/>
        </w:rPr>
        <w:t xml:space="preserve">intérêts restent au </w:t>
      </w:r>
      <w:r w:rsidR="005204B5" w:rsidRPr="00FB613C">
        <w:rPr>
          <w:lang w:val="fr-CH"/>
        </w:rPr>
        <w:t>cœur</w:t>
      </w:r>
      <w:r w:rsidRPr="00FB613C">
        <w:rPr>
          <w:lang w:val="fr-CH"/>
        </w:rPr>
        <w:t xml:space="preserve"> des activités de</w:t>
      </w:r>
      <w:r w:rsidR="00353ADC" w:rsidRPr="00FB613C">
        <w:rPr>
          <w:lang w:val="fr-CH"/>
        </w:rPr>
        <w:t xml:space="preserve"> la</w:t>
      </w:r>
      <w:r w:rsidR="00353ADC">
        <w:rPr>
          <w:lang w:val="fr-CH"/>
        </w:rPr>
        <w:t> </w:t>
      </w:r>
      <w:r w:rsidR="00353ADC" w:rsidRPr="00FB613C">
        <w:rPr>
          <w:lang w:val="fr-CH"/>
        </w:rPr>
        <w:t>DSI</w:t>
      </w:r>
      <w:r w:rsidRPr="00FB613C">
        <w:rPr>
          <w:lang w:val="fr-CH"/>
        </w:rPr>
        <w:t>.</w:t>
      </w:r>
    </w:p>
    <w:p w14:paraId="11FF67CD" w14:textId="77777777" w:rsidR="00417F8D" w:rsidRDefault="005204B5" w:rsidP="00D325B1">
      <w:pPr>
        <w:pStyle w:val="ONUMFS"/>
        <w:rPr>
          <w:lang w:val="fr-CH"/>
        </w:rPr>
      </w:pPr>
      <w:r w:rsidRPr="00901AC8">
        <w:rPr>
          <w:lang w:val="fr-CH"/>
        </w:rPr>
        <w:t>La technologie fait partie intégrante des outils utilisés par</w:t>
      </w:r>
      <w:r w:rsidR="00353ADC" w:rsidRPr="00901AC8">
        <w:rPr>
          <w:lang w:val="fr-CH"/>
        </w:rPr>
        <w:t xml:space="preserve"> la</w:t>
      </w:r>
      <w:r w:rsidR="00353ADC">
        <w:rPr>
          <w:lang w:val="fr-CH"/>
        </w:rPr>
        <w:t> </w:t>
      </w:r>
      <w:r w:rsidR="00353ADC" w:rsidRPr="00901AC8">
        <w:rPr>
          <w:lang w:val="fr-CH"/>
        </w:rPr>
        <w:t>DSI</w:t>
      </w:r>
      <w:r w:rsidRPr="00901AC8">
        <w:rPr>
          <w:lang w:val="fr-CH"/>
        </w:rPr>
        <w:t>, avec la poursuite de l</w:t>
      </w:r>
      <w:r w:rsidR="000A3166">
        <w:rPr>
          <w:lang w:val="fr-CH"/>
        </w:rPr>
        <w:t>’</w:t>
      </w:r>
      <w:r w:rsidRPr="00901AC8">
        <w:rPr>
          <w:lang w:val="fr-CH"/>
        </w:rPr>
        <w:t xml:space="preserve">utilisation des systèmes de gestion </w:t>
      </w:r>
      <w:r w:rsidR="00901AC8" w:rsidRPr="00901AC8">
        <w:rPr>
          <w:lang w:val="fr-CH"/>
        </w:rPr>
        <w:t>en matière d</w:t>
      </w:r>
      <w:r w:rsidR="000A3166">
        <w:rPr>
          <w:lang w:val="fr-CH"/>
        </w:rPr>
        <w:t>’</w:t>
      </w:r>
      <w:r w:rsidRPr="00901AC8">
        <w:rPr>
          <w:lang w:val="fr-CH"/>
        </w:rPr>
        <w:t>audit, afin d</w:t>
      </w:r>
      <w:r w:rsidR="000A3166">
        <w:rPr>
          <w:lang w:val="fr-CH"/>
        </w:rPr>
        <w:t>’</w:t>
      </w:r>
      <w:r w:rsidRPr="00901AC8">
        <w:rPr>
          <w:lang w:val="fr-CH"/>
        </w:rPr>
        <w:t xml:space="preserve">encourager un environnement sans papier et des </w:t>
      </w:r>
      <w:r w:rsidR="00901AC8" w:rsidRPr="00901AC8">
        <w:rPr>
          <w:lang w:val="fr-CH"/>
        </w:rPr>
        <w:t>processus</w:t>
      </w:r>
      <w:r w:rsidRPr="00901AC8">
        <w:rPr>
          <w:lang w:val="fr-CH"/>
        </w:rPr>
        <w:t xml:space="preserve"> intégrés;</w:t>
      </w:r>
      <w:r w:rsidR="00C726E4" w:rsidRPr="00901AC8">
        <w:rPr>
          <w:lang w:val="fr-CH"/>
        </w:rPr>
        <w:t xml:space="preserve"> </w:t>
      </w:r>
      <w:r w:rsidRPr="00901AC8">
        <w:rPr>
          <w:lang w:val="fr-CH"/>
        </w:rPr>
        <w:t xml:space="preserve"> l</w:t>
      </w:r>
      <w:r w:rsidR="000A3166">
        <w:rPr>
          <w:lang w:val="fr-CH"/>
        </w:rPr>
        <w:t>’</w:t>
      </w:r>
      <w:r w:rsidRPr="00901AC8">
        <w:rPr>
          <w:lang w:val="fr-CH"/>
        </w:rPr>
        <w:t>utilisation de tableaux de bord d</w:t>
      </w:r>
      <w:r w:rsidR="000A3166">
        <w:rPr>
          <w:lang w:val="fr-CH"/>
        </w:rPr>
        <w:t>’</w:t>
      </w:r>
      <w:r w:rsidRPr="00901AC8">
        <w:rPr>
          <w:lang w:val="fr-CH"/>
        </w:rPr>
        <w:t>analyse des données décisionnelles, afin de mieux renseigner sur la gestion des recommandations;  l</w:t>
      </w:r>
      <w:r w:rsidR="000A3166">
        <w:rPr>
          <w:lang w:val="fr-CH"/>
        </w:rPr>
        <w:t>’</w:t>
      </w:r>
      <w:r w:rsidRPr="00901AC8">
        <w:rPr>
          <w:lang w:val="fr-CH"/>
        </w:rPr>
        <w:t>expansion des outils d</w:t>
      </w:r>
      <w:r w:rsidR="000A3166">
        <w:rPr>
          <w:lang w:val="fr-CH"/>
        </w:rPr>
        <w:t>’</w:t>
      </w:r>
      <w:r w:rsidRPr="00901AC8">
        <w:rPr>
          <w:lang w:val="fr-CH"/>
        </w:rPr>
        <w:t>analyse de</w:t>
      </w:r>
      <w:r w:rsidR="00C726E4" w:rsidRPr="00901AC8">
        <w:rPr>
          <w:lang w:val="fr-CH"/>
        </w:rPr>
        <w:t>s</w:t>
      </w:r>
      <w:r w:rsidRPr="00901AC8">
        <w:rPr>
          <w:lang w:val="fr-CH"/>
        </w:rPr>
        <w:t xml:space="preserve"> données</w:t>
      </w:r>
      <w:r w:rsidR="00901AC8" w:rsidRPr="00901AC8">
        <w:rPr>
          <w:lang w:val="fr-CH"/>
        </w:rPr>
        <w:t>,</w:t>
      </w:r>
      <w:r w:rsidRPr="00901AC8">
        <w:rPr>
          <w:lang w:val="fr-CH"/>
        </w:rPr>
        <w:t xml:space="preserve"> pour appuyer les contrôles internes et la gestion des risques; </w:t>
      </w:r>
      <w:r w:rsidR="003237D3" w:rsidRPr="00901AC8">
        <w:rPr>
          <w:lang w:val="fr-CH"/>
        </w:rPr>
        <w:t xml:space="preserve"> </w:t>
      </w:r>
      <w:r w:rsidRPr="00901AC8">
        <w:rPr>
          <w:lang w:val="fr-CH"/>
        </w:rPr>
        <w:t>et l</w:t>
      </w:r>
      <w:r w:rsidR="000A3166">
        <w:rPr>
          <w:lang w:val="fr-CH"/>
        </w:rPr>
        <w:t>’</w:t>
      </w:r>
      <w:r w:rsidRPr="00901AC8">
        <w:rPr>
          <w:lang w:val="fr-CH"/>
        </w:rPr>
        <w:t>utilisation de données infographiques</w:t>
      </w:r>
      <w:r w:rsidR="00EA76F4">
        <w:rPr>
          <w:lang w:val="fr-CH"/>
        </w:rPr>
        <w:t>,</w:t>
      </w:r>
      <w:r w:rsidRPr="00901AC8">
        <w:rPr>
          <w:lang w:val="fr-CH"/>
        </w:rPr>
        <w:t xml:space="preserve"> pour simplifier les rapports d</w:t>
      </w:r>
      <w:r w:rsidR="000A3166">
        <w:rPr>
          <w:lang w:val="fr-CH"/>
        </w:rPr>
        <w:t>’</w:t>
      </w:r>
      <w:r w:rsidRPr="00901AC8">
        <w:rPr>
          <w:lang w:val="fr-CH"/>
        </w:rPr>
        <w:t>évaluati</w:t>
      </w:r>
      <w:r w:rsidR="00007093" w:rsidRPr="00901AC8">
        <w:rPr>
          <w:lang w:val="fr-CH"/>
        </w:rPr>
        <w:t>on</w:t>
      </w:r>
      <w:r w:rsidR="00007093">
        <w:rPr>
          <w:lang w:val="fr-CH"/>
        </w:rPr>
        <w:t xml:space="preserve">.  </w:t>
      </w:r>
      <w:r w:rsidR="00007093" w:rsidRPr="00901AC8">
        <w:rPr>
          <w:lang w:val="fr-CH"/>
        </w:rPr>
        <w:t>La</w:t>
      </w:r>
      <w:r w:rsidR="00353ADC">
        <w:rPr>
          <w:lang w:val="fr-CH"/>
        </w:rPr>
        <w:t> </w:t>
      </w:r>
      <w:r w:rsidR="00353ADC" w:rsidRPr="00901AC8">
        <w:rPr>
          <w:lang w:val="fr-CH"/>
        </w:rPr>
        <w:t>DSI</w:t>
      </w:r>
      <w:r w:rsidRPr="00901AC8">
        <w:rPr>
          <w:lang w:val="fr-CH"/>
        </w:rPr>
        <w:t xml:space="preserve"> a collaboré avec le Département des technologies de l</w:t>
      </w:r>
      <w:r w:rsidR="000A3166">
        <w:rPr>
          <w:lang w:val="fr-CH"/>
        </w:rPr>
        <w:t>’</w:t>
      </w:r>
      <w:r w:rsidRPr="00901AC8">
        <w:rPr>
          <w:lang w:val="fr-CH"/>
        </w:rPr>
        <w:t>information et de la communication et avec la Division des achats et des voyages en vue d</w:t>
      </w:r>
      <w:r w:rsidR="000A3166">
        <w:rPr>
          <w:lang w:val="fr-CH"/>
        </w:rPr>
        <w:t>’</w:t>
      </w:r>
      <w:r w:rsidRPr="00901AC8">
        <w:rPr>
          <w:lang w:val="fr-CH"/>
        </w:rPr>
        <w:t>acquérir un nouvel out</w:t>
      </w:r>
      <w:r w:rsidR="003237D3" w:rsidRPr="00901AC8">
        <w:rPr>
          <w:lang w:val="fr-CH"/>
        </w:rPr>
        <w:t>il de visualisation des données</w:t>
      </w:r>
      <w:r w:rsidR="00901AC8" w:rsidRPr="00901AC8">
        <w:rPr>
          <w:lang w:val="fr-CH"/>
        </w:rPr>
        <w:t xml:space="preserve"> et d</w:t>
      </w:r>
      <w:r w:rsidR="000A3166">
        <w:rPr>
          <w:lang w:val="fr-CH"/>
        </w:rPr>
        <w:t>’</w:t>
      </w:r>
      <w:r w:rsidR="00901AC8" w:rsidRPr="00901AC8">
        <w:rPr>
          <w:lang w:val="fr-CH"/>
        </w:rPr>
        <w:t>organiser une formation à cet éga</w:t>
      </w:r>
      <w:r w:rsidR="00007093" w:rsidRPr="00901AC8">
        <w:rPr>
          <w:lang w:val="fr-CH"/>
        </w:rPr>
        <w:t>rd</w:t>
      </w:r>
      <w:r w:rsidR="00007093">
        <w:rPr>
          <w:lang w:val="fr-CH"/>
        </w:rPr>
        <w:t xml:space="preserve">.  </w:t>
      </w:r>
      <w:r w:rsidR="00007093" w:rsidRPr="00901AC8">
        <w:rPr>
          <w:lang w:val="fr-CH"/>
        </w:rPr>
        <w:t>Ce</w:t>
      </w:r>
      <w:r w:rsidR="00901AC8" w:rsidRPr="00901AC8">
        <w:rPr>
          <w:lang w:val="fr-CH"/>
        </w:rPr>
        <w:t>t outil,</w:t>
      </w:r>
      <w:r w:rsidR="003237D3" w:rsidRPr="00901AC8">
        <w:rPr>
          <w:lang w:val="fr-CH"/>
        </w:rPr>
        <w:t xml:space="preserve"> Tableau</w:t>
      </w:r>
      <w:r w:rsidRPr="00901AC8">
        <w:rPr>
          <w:lang w:val="fr-CH"/>
        </w:rPr>
        <w:t>®</w:t>
      </w:r>
      <w:r w:rsidR="00901AC8" w:rsidRPr="00901AC8">
        <w:rPr>
          <w:lang w:val="fr-CH"/>
        </w:rPr>
        <w:t>, sera util</w:t>
      </w:r>
      <w:r w:rsidR="00EA76F4">
        <w:rPr>
          <w:lang w:val="fr-CH"/>
        </w:rPr>
        <w:t>e</w:t>
      </w:r>
      <w:r w:rsidR="00901AC8" w:rsidRPr="00901AC8">
        <w:rPr>
          <w:lang w:val="fr-CH"/>
        </w:rPr>
        <w:t xml:space="preserve"> pour </w:t>
      </w:r>
      <w:r w:rsidR="003B6FDE" w:rsidRPr="00901AC8">
        <w:rPr>
          <w:lang w:val="fr-CH"/>
        </w:rPr>
        <w:t>l</w:t>
      </w:r>
      <w:r w:rsidR="000A3166">
        <w:rPr>
          <w:lang w:val="fr-CH"/>
        </w:rPr>
        <w:t>’</w:t>
      </w:r>
      <w:r w:rsidRPr="00901AC8">
        <w:rPr>
          <w:lang w:val="fr-CH"/>
        </w:rPr>
        <w:t>analyse des données dans les trois</w:t>
      </w:r>
      <w:r w:rsidR="005B0739">
        <w:rPr>
          <w:lang w:val="fr-CH"/>
        </w:rPr>
        <w:t> </w:t>
      </w:r>
      <w:r w:rsidRPr="00901AC8">
        <w:rPr>
          <w:lang w:val="fr-CH"/>
        </w:rPr>
        <w:t>programmes.</w:t>
      </w:r>
    </w:p>
    <w:p w14:paraId="783A999D" w14:textId="77777777" w:rsidR="00417F8D" w:rsidRDefault="003237D3" w:rsidP="00D325B1">
      <w:pPr>
        <w:pStyle w:val="ONUMFS"/>
        <w:rPr>
          <w:lang w:val="fr-CH"/>
        </w:rPr>
      </w:pPr>
      <w:r w:rsidRPr="00901AC8">
        <w:rPr>
          <w:lang w:val="fr-CH"/>
        </w:rPr>
        <w:t xml:space="preserve">Un système informatisé de gestion des dossiers a été mis au point en interne et </w:t>
      </w:r>
      <w:r w:rsidR="003B6FDE" w:rsidRPr="00901AC8">
        <w:rPr>
          <w:lang w:val="fr-CH"/>
        </w:rPr>
        <w:t>est utilisé par</w:t>
      </w:r>
      <w:r w:rsidRPr="00901AC8">
        <w:rPr>
          <w:lang w:val="fr-CH"/>
        </w:rPr>
        <w:t xml:space="preserve"> la Section des enquêtes de</w:t>
      </w:r>
      <w:r w:rsidR="00353ADC" w:rsidRPr="00901AC8">
        <w:rPr>
          <w:lang w:val="fr-CH"/>
        </w:rPr>
        <w:t xml:space="preserve"> la</w:t>
      </w:r>
      <w:r w:rsidR="00353ADC">
        <w:rPr>
          <w:lang w:val="fr-CH"/>
        </w:rPr>
        <w:t> </w:t>
      </w:r>
      <w:r w:rsidR="00353ADC" w:rsidRPr="00901AC8">
        <w:rPr>
          <w:lang w:val="fr-CH"/>
        </w:rPr>
        <w:t>DSI</w:t>
      </w:r>
      <w:r w:rsidRPr="00901AC8">
        <w:rPr>
          <w:lang w:val="fr-CH"/>
        </w:rPr>
        <w:t xml:space="preserve"> </w:t>
      </w:r>
      <w:r w:rsidR="003B6FDE" w:rsidRPr="00901AC8">
        <w:rPr>
          <w:lang w:val="fr-CH"/>
        </w:rPr>
        <w:t>depuis le</w:t>
      </w:r>
      <w:r w:rsidRPr="00901AC8">
        <w:rPr>
          <w:lang w:val="fr-CH"/>
        </w:rPr>
        <w:t xml:space="preserve"> début de l</w:t>
      </w:r>
      <w:r w:rsidR="000A3166">
        <w:rPr>
          <w:lang w:val="fr-CH"/>
        </w:rPr>
        <w:t>’</w:t>
      </w:r>
      <w:r w:rsidRPr="00901AC8">
        <w:rPr>
          <w:lang w:val="fr-CH"/>
        </w:rPr>
        <w:t>année</w:t>
      </w:r>
      <w:r w:rsidR="004036FF" w:rsidRPr="00901AC8">
        <w:rPr>
          <w:lang w:val="fr-CH"/>
        </w:rPr>
        <w:t> </w:t>
      </w:r>
      <w:r w:rsidRPr="00901AC8">
        <w:rPr>
          <w:lang w:val="fr-CH"/>
        </w:rPr>
        <w:t>2019.</w:t>
      </w:r>
      <w:r w:rsidR="007B77FF" w:rsidRPr="00901AC8">
        <w:rPr>
          <w:lang w:val="fr-CH"/>
        </w:rPr>
        <w:t xml:space="preserve"> </w:t>
      </w:r>
      <w:r w:rsidR="00DB732A" w:rsidRPr="00901AC8">
        <w:rPr>
          <w:lang w:val="fr-CH"/>
        </w:rPr>
        <w:t xml:space="preserve"> </w:t>
      </w:r>
      <w:r w:rsidRPr="00901AC8">
        <w:rPr>
          <w:lang w:val="fr-CH"/>
        </w:rPr>
        <w:t>Ce système a été conçu pour le dépôt de tous les dossiers et documents d</w:t>
      </w:r>
      <w:r w:rsidR="000A3166">
        <w:rPr>
          <w:lang w:val="fr-CH"/>
        </w:rPr>
        <w:t>’</w:t>
      </w:r>
      <w:r w:rsidRPr="00901AC8">
        <w:rPr>
          <w:lang w:val="fr-CH"/>
        </w:rPr>
        <w:t>enquê</w:t>
      </w:r>
      <w:r w:rsidR="00007093" w:rsidRPr="00901AC8">
        <w:rPr>
          <w:lang w:val="fr-CH"/>
        </w:rPr>
        <w:t>te</w:t>
      </w:r>
      <w:r w:rsidR="00007093">
        <w:rPr>
          <w:lang w:val="fr-CH"/>
        </w:rPr>
        <w:t xml:space="preserve">.  </w:t>
      </w:r>
      <w:r w:rsidR="00007093" w:rsidRPr="00901AC8">
        <w:rPr>
          <w:lang w:val="fr-CH"/>
        </w:rPr>
        <w:t>En</w:t>
      </w:r>
      <w:r w:rsidRPr="00901AC8">
        <w:rPr>
          <w:lang w:val="fr-CH"/>
        </w:rPr>
        <w:t xml:space="preserve"> tant que tel, il permet de suivre les activités d</w:t>
      </w:r>
      <w:r w:rsidR="000A3166">
        <w:rPr>
          <w:lang w:val="fr-CH"/>
        </w:rPr>
        <w:t>’</w:t>
      </w:r>
      <w:r w:rsidRPr="00901AC8">
        <w:rPr>
          <w:lang w:val="fr-CH"/>
        </w:rPr>
        <w:t>enquête et facilite l</w:t>
      </w:r>
      <w:r w:rsidR="000A3166">
        <w:rPr>
          <w:lang w:val="fr-CH"/>
        </w:rPr>
        <w:t>’</w:t>
      </w:r>
      <w:r w:rsidRPr="00901AC8">
        <w:rPr>
          <w:lang w:val="fr-CH"/>
        </w:rPr>
        <w:t>accès aux documents et aux éléments de preuve pour chaque</w:t>
      </w:r>
      <w:r w:rsidR="008135ED" w:rsidRPr="00901AC8">
        <w:rPr>
          <w:lang w:val="fr-CH"/>
        </w:rPr>
        <w:t xml:space="preserve"> enquê</w:t>
      </w:r>
      <w:r w:rsidR="00007093" w:rsidRPr="00901AC8">
        <w:rPr>
          <w:lang w:val="fr-CH"/>
        </w:rPr>
        <w:t>te</w:t>
      </w:r>
      <w:r w:rsidR="00007093">
        <w:rPr>
          <w:lang w:val="fr-CH"/>
        </w:rPr>
        <w:t xml:space="preserve">.  </w:t>
      </w:r>
      <w:r w:rsidR="00007093" w:rsidRPr="00901AC8">
        <w:rPr>
          <w:lang w:val="fr-CH"/>
        </w:rPr>
        <w:t>Il</w:t>
      </w:r>
      <w:r w:rsidRPr="00901AC8">
        <w:rPr>
          <w:lang w:val="fr-CH"/>
        </w:rPr>
        <w:t xml:space="preserve"> </w:t>
      </w:r>
      <w:r w:rsidR="003B6FDE" w:rsidRPr="00901AC8">
        <w:rPr>
          <w:lang w:val="fr-CH"/>
        </w:rPr>
        <w:t>propose</w:t>
      </w:r>
      <w:r w:rsidRPr="00901AC8">
        <w:rPr>
          <w:lang w:val="fr-CH"/>
        </w:rPr>
        <w:t xml:space="preserve"> également des contrôles intégrés </w:t>
      </w:r>
      <w:r w:rsidR="003B6FDE" w:rsidRPr="00901AC8">
        <w:rPr>
          <w:lang w:val="fr-CH"/>
        </w:rPr>
        <w:t>pour</w:t>
      </w:r>
      <w:r w:rsidRPr="00901AC8">
        <w:rPr>
          <w:lang w:val="fr-CH"/>
        </w:rPr>
        <w:t xml:space="preserve"> ce qui concerne les délais de réalisation des enquêtes et le respect des procédures, ainsi qu</w:t>
      </w:r>
      <w:r w:rsidR="000A3166">
        <w:rPr>
          <w:lang w:val="fr-CH"/>
        </w:rPr>
        <w:t>’</w:t>
      </w:r>
      <w:r w:rsidRPr="00901AC8">
        <w:rPr>
          <w:lang w:val="fr-CH"/>
        </w:rPr>
        <w:t>un module d</w:t>
      </w:r>
      <w:r w:rsidR="000A3166">
        <w:rPr>
          <w:lang w:val="fr-CH"/>
        </w:rPr>
        <w:t>’</w:t>
      </w:r>
      <w:r w:rsidRPr="00901AC8">
        <w:rPr>
          <w:lang w:val="fr-CH"/>
        </w:rPr>
        <w:t xml:space="preserve">établissement de </w:t>
      </w:r>
      <w:r w:rsidRPr="00226044">
        <w:rPr>
          <w:lang w:val="fr-CH"/>
        </w:rPr>
        <w:t>rapports d</w:t>
      </w:r>
      <w:r w:rsidR="000A3166">
        <w:rPr>
          <w:lang w:val="fr-CH"/>
        </w:rPr>
        <w:t>’</w:t>
      </w:r>
      <w:r w:rsidRPr="00226044">
        <w:rPr>
          <w:lang w:val="fr-CH"/>
        </w:rPr>
        <w:t>activité.</w:t>
      </w:r>
    </w:p>
    <w:p w14:paraId="341F991D" w14:textId="77777777" w:rsidR="00417F8D" w:rsidRDefault="008135ED" w:rsidP="00D325B1">
      <w:pPr>
        <w:pStyle w:val="ONUMFS"/>
        <w:rPr>
          <w:lang w:val="fr-CH"/>
        </w:rPr>
      </w:pPr>
      <w:r w:rsidRPr="00226044">
        <w:rPr>
          <w:lang w:val="fr-CH"/>
        </w:rPr>
        <w:t>La DSI s</w:t>
      </w:r>
      <w:r w:rsidR="000A3166">
        <w:rPr>
          <w:lang w:val="fr-CH"/>
        </w:rPr>
        <w:t>’</w:t>
      </w:r>
      <w:r w:rsidRPr="00226044">
        <w:rPr>
          <w:lang w:val="fr-CH"/>
        </w:rPr>
        <w:t>est engagée à encourager l</w:t>
      </w:r>
      <w:r w:rsidR="000A3166">
        <w:rPr>
          <w:lang w:val="fr-CH"/>
        </w:rPr>
        <w:t>’</w:t>
      </w:r>
      <w:r w:rsidRPr="00226044">
        <w:rPr>
          <w:lang w:val="fr-CH"/>
        </w:rPr>
        <w:t>apprentissage institutionnel en mettant au point un module en ligne pour apprendre à utiliser les évaluations dans le cadre du cycle de gesti</w:t>
      </w:r>
      <w:r w:rsidR="00007093" w:rsidRPr="00226044">
        <w:rPr>
          <w:lang w:val="fr-CH"/>
        </w:rPr>
        <w:t>on</w:t>
      </w:r>
      <w:r w:rsidR="00007093">
        <w:rPr>
          <w:lang w:val="fr-CH"/>
        </w:rPr>
        <w:t xml:space="preserve">.  </w:t>
      </w:r>
      <w:r w:rsidR="00007093" w:rsidRPr="00226044">
        <w:rPr>
          <w:lang w:val="fr-CH"/>
        </w:rPr>
        <w:t>La</w:t>
      </w:r>
      <w:r w:rsidRPr="00226044">
        <w:rPr>
          <w:lang w:val="fr-CH"/>
        </w:rPr>
        <w:t xml:space="preserve"> division élargit son rôle en matière de lutte contre la fraude et les abus en menant des activités </w:t>
      </w:r>
      <w:r w:rsidRPr="00226044">
        <w:rPr>
          <w:lang w:val="fr-CH"/>
        </w:rPr>
        <w:lastRenderedPageBreak/>
        <w:t xml:space="preserve">de prévention, </w:t>
      </w:r>
      <w:r w:rsidR="003B6FDE" w:rsidRPr="00226044">
        <w:rPr>
          <w:lang w:val="fr-CH"/>
        </w:rPr>
        <w:t xml:space="preserve">avec </w:t>
      </w:r>
      <w:r w:rsidRPr="00226044">
        <w:rPr>
          <w:lang w:val="fr-CH"/>
        </w:rPr>
        <w:t>notamment un exercice d</w:t>
      </w:r>
      <w:r w:rsidR="000A3166">
        <w:rPr>
          <w:lang w:val="fr-CH"/>
        </w:rPr>
        <w:t>’</w:t>
      </w:r>
      <w:r w:rsidRPr="00226044">
        <w:rPr>
          <w:lang w:val="fr-CH"/>
        </w:rPr>
        <w:t xml:space="preserve">évaluation des risques de fraude et </w:t>
      </w:r>
      <w:r w:rsidR="003B6FDE" w:rsidRPr="00226044">
        <w:rPr>
          <w:lang w:val="fr-CH"/>
        </w:rPr>
        <w:t>l</w:t>
      </w:r>
      <w:r w:rsidR="000A3166">
        <w:rPr>
          <w:lang w:val="fr-CH"/>
        </w:rPr>
        <w:t>’</w:t>
      </w:r>
      <w:r w:rsidRPr="00226044">
        <w:rPr>
          <w:lang w:val="fr-CH"/>
        </w:rPr>
        <w:t>élabora</w:t>
      </w:r>
      <w:r w:rsidR="003B6FDE" w:rsidRPr="00226044">
        <w:rPr>
          <w:lang w:val="fr-CH"/>
        </w:rPr>
        <w:t>tion d</w:t>
      </w:r>
      <w:r w:rsidR="000A3166">
        <w:rPr>
          <w:lang w:val="fr-CH"/>
        </w:rPr>
        <w:t>’</w:t>
      </w:r>
      <w:r w:rsidRPr="00226044">
        <w:rPr>
          <w:lang w:val="fr-CH"/>
        </w:rPr>
        <w:t>un module de sensibilisation à la fraude</w:t>
      </w:r>
      <w:r w:rsidR="000E7D04">
        <w:rPr>
          <w:lang w:val="fr-CH"/>
        </w:rPr>
        <w:t>,</w:t>
      </w:r>
      <w:r w:rsidRPr="00226044">
        <w:rPr>
          <w:lang w:val="fr-CH"/>
        </w:rPr>
        <w:t xml:space="preserve"> </w:t>
      </w:r>
      <w:r w:rsidR="000E7D04">
        <w:rPr>
          <w:lang w:val="fr-CH"/>
        </w:rPr>
        <w:t xml:space="preserve">de pair </w:t>
      </w:r>
      <w:r w:rsidRPr="00226044">
        <w:rPr>
          <w:lang w:val="fr-CH"/>
        </w:rPr>
        <w:t>avec le Bureau du contrôleur.</w:t>
      </w:r>
    </w:p>
    <w:p w14:paraId="64C70857" w14:textId="77777777" w:rsidR="00417F8D" w:rsidRDefault="008135ED" w:rsidP="00D325B1">
      <w:pPr>
        <w:pStyle w:val="ONUMFS"/>
        <w:rPr>
          <w:lang w:val="fr-CH"/>
        </w:rPr>
      </w:pPr>
      <w:r w:rsidRPr="00226044">
        <w:rPr>
          <w:lang w:val="fr-CH"/>
        </w:rPr>
        <w:t>La DSI a lancé des exercices conjoints entre les sections chargées de l</w:t>
      </w:r>
      <w:r w:rsidR="000A3166">
        <w:rPr>
          <w:lang w:val="fr-CH"/>
        </w:rPr>
        <w:t>’</w:t>
      </w:r>
      <w:r w:rsidRPr="00226044">
        <w:rPr>
          <w:lang w:val="fr-CH"/>
        </w:rPr>
        <w:t>audit</w:t>
      </w:r>
      <w:r w:rsidR="00226044" w:rsidRPr="00226044">
        <w:rPr>
          <w:lang w:val="fr-CH"/>
        </w:rPr>
        <w:t xml:space="preserve"> interne</w:t>
      </w:r>
      <w:r w:rsidRPr="00226044">
        <w:rPr>
          <w:lang w:val="fr-CH"/>
        </w:rPr>
        <w:t xml:space="preserve"> et de l</w:t>
      </w:r>
      <w:r w:rsidR="000A3166">
        <w:rPr>
          <w:lang w:val="fr-CH"/>
        </w:rPr>
        <w:t>’</w:t>
      </w:r>
      <w:r w:rsidRPr="00226044">
        <w:rPr>
          <w:lang w:val="fr-CH"/>
        </w:rPr>
        <w:t>évaluation afin, entre autres, de tirer parti des synergies potentielles, d</w:t>
      </w:r>
      <w:r w:rsidR="000A3166">
        <w:rPr>
          <w:lang w:val="fr-CH"/>
        </w:rPr>
        <w:t>’</w:t>
      </w:r>
      <w:r w:rsidRPr="00226044">
        <w:rPr>
          <w:lang w:val="fr-CH"/>
        </w:rPr>
        <w:t>éviter les chevauchements d</w:t>
      </w:r>
      <w:r w:rsidR="000A3166">
        <w:rPr>
          <w:lang w:val="fr-CH"/>
        </w:rPr>
        <w:t>’</w:t>
      </w:r>
      <w:r w:rsidRPr="00226044">
        <w:rPr>
          <w:lang w:val="fr-CH"/>
        </w:rPr>
        <w:t xml:space="preserve">activités et </w:t>
      </w:r>
      <w:r w:rsidR="003B6FDE" w:rsidRPr="00226044">
        <w:rPr>
          <w:lang w:val="fr-CH"/>
        </w:rPr>
        <w:t>de renforcer</w:t>
      </w:r>
      <w:r w:rsidRPr="00226044">
        <w:rPr>
          <w:lang w:val="fr-CH"/>
        </w:rPr>
        <w:t xml:space="preserve"> la valeur</w:t>
      </w:r>
      <w:r w:rsidR="003B6FDE" w:rsidRPr="00226044">
        <w:rPr>
          <w:lang w:val="fr-CH"/>
        </w:rPr>
        <w:t xml:space="preserve"> ajout</w:t>
      </w:r>
      <w:r w:rsidR="00007093" w:rsidRPr="00226044">
        <w:rPr>
          <w:lang w:val="fr-CH"/>
        </w:rPr>
        <w:t>ée</w:t>
      </w:r>
      <w:r w:rsidR="00007093">
        <w:rPr>
          <w:lang w:val="fr-CH"/>
        </w:rPr>
        <w:t xml:space="preserve">.  </w:t>
      </w:r>
      <w:r w:rsidR="00007093" w:rsidRPr="00226044">
        <w:rPr>
          <w:lang w:val="fr-CH"/>
        </w:rPr>
        <w:t>L</w:t>
      </w:r>
      <w:r w:rsidR="000A3166">
        <w:rPr>
          <w:lang w:val="fr-CH"/>
        </w:rPr>
        <w:t>’</w:t>
      </w:r>
      <w:r w:rsidR="00007093" w:rsidRPr="00226044">
        <w:rPr>
          <w:lang w:val="fr-CH"/>
        </w:rPr>
        <w:t>a</w:t>
      </w:r>
      <w:r w:rsidRPr="00226044">
        <w:rPr>
          <w:lang w:val="fr-CH"/>
        </w:rPr>
        <w:t>udit et l</w:t>
      </w:r>
      <w:r w:rsidR="000A3166">
        <w:rPr>
          <w:lang w:val="fr-CH"/>
        </w:rPr>
        <w:t>’</w:t>
      </w:r>
      <w:r w:rsidRPr="00226044">
        <w:rPr>
          <w:lang w:val="fr-CH"/>
        </w:rPr>
        <w:t>évaluation conjoints de la Politique de l</w:t>
      </w:r>
      <w:r w:rsidR="000A3166">
        <w:rPr>
          <w:lang w:val="fr-CH"/>
        </w:rPr>
        <w:t>’</w:t>
      </w:r>
      <w:r w:rsidRPr="00226044">
        <w:rPr>
          <w:lang w:val="fr-CH"/>
        </w:rPr>
        <w:t>OMPI en matière d</w:t>
      </w:r>
      <w:r w:rsidR="000A3166">
        <w:rPr>
          <w:lang w:val="fr-CH"/>
        </w:rPr>
        <w:t>’</w:t>
      </w:r>
      <w:r w:rsidRPr="00226044">
        <w:rPr>
          <w:lang w:val="fr-CH"/>
        </w:rPr>
        <w:t>égalité des sexes, actuellement en cours, font office de projet pilote.</w:t>
      </w:r>
    </w:p>
    <w:p w14:paraId="5613D2B0" w14:textId="77777777" w:rsidR="00417F8D" w:rsidRDefault="008135ED" w:rsidP="00D325B1">
      <w:pPr>
        <w:pStyle w:val="ONUMFS"/>
        <w:rPr>
          <w:lang w:val="fr-CH"/>
        </w:rPr>
      </w:pPr>
      <w:r w:rsidRPr="00226044">
        <w:rPr>
          <w:lang w:val="fr-CH"/>
        </w:rPr>
        <w:t>Dans le cadre de l</w:t>
      </w:r>
      <w:r w:rsidR="000A3166">
        <w:rPr>
          <w:lang w:val="fr-CH"/>
        </w:rPr>
        <w:t>’</w:t>
      </w:r>
      <w:r w:rsidRPr="00226044">
        <w:rPr>
          <w:lang w:val="fr-CH"/>
        </w:rPr>
        <w:t>assurance de la qualité de la fonction d</w:t>
      </w:r>
      <w:r w:rsidR="000A3166">
        <w:rPr>
          <w:lang w:val="fr-CH"/>
        </w:rPr>
        <w:t>’</w:t>
      </w:r>
      <w:r w:rsidRPr="00226044">
        <w:rPr>
          <w:lang w:val="fr-CH"/>
        </w:rPr>
        <w:t>évaluation, une évaluation externe de la qualité est en cou</w:t>
      </w:r>
      <w:r w:rsidR="00007093" w:rsidRPr="00226044">
        <w:rPr>
          <w:lang w:val="fr-CH"/>
        </w:rPr>
        <w:t>rs</w:t>
      </w:r>
      <w:r w:rsidR="00007093">
        <w:rPr>
          <w:lang w:val="fr-CH"/>
        </w:rPr>
        <w:t xml:space="preserve">.  </w:t>
      </w:r>
      <w:r w:rsidR="00007093" w:rsidRPr="00226044">
        <w:rPr>
          <w:lang w:val="fr-CH"/>
        </w:rPr>
        <w:t>Ce</w:t>
      </w:r>
      <w:r w:rsidR="003B6FDE" w:rsidRPr="00226044">
        <w:rPr>
          <w:lang w:val="fr-CH"/>
        </w:rPr>
        <w:t xml:space="preserve">tte </w:t>
      </w:r>
      <w:r w:rsidRPr="00226044">
        <w:rPr>
          <w:lang w:val="fr-CH"/>
        </w:rPr>
        <w:t>évaluation vise à mesurer les activités et produits de la Section de l</w:t>
      </w:r>
      <w:r w:rsidR="000A3166">
        <w:rPr>
          <w:lang w:val="fr-CH"/>
        </w:rPr>
        <w:t>’</w:t>
      </w:r>
      <w:r w:rsidRPr="00226044">
        <w:rPr>
          <w:lang w:val="fr-CH"/>
        </w:rPr>
        <w:t xml:space="preserve">évaluation au regard des normes du Groupe des </w:t>
      </w:r>
      <w:r w:rsidR="00353ADC">
        <w:rPr>
          <w:lang w:val="fr-CH"/>
        </w:rPr>
        <w:t>Nations Unies</w:t>
      </w:r>
      <w:r w:rsidRPr="00226044">
        <w:rPr>
          <w:lang w:val="fr-CH"/>
        </w:rPr>
        <w:t xml:space="preserve"> </w:t>
      </w:r>
      <w:r w:rsidR="00226044" w:rsidRPr="00226044">
        <w:rPr>
          <w:lang w:val="fr-CH"/>
        </w:rPr>
        <w:t>po</w:t>
      </w:r>
      <w:r w:rsidRPr="00226044">
        <w:rPr>
          <w:lang w:val="fr-CH"/>
        </w:rPr>
        <w:t>ur l</w:t>
      </w:r>
      <w:r w:rsidR="000A3166">
        <w:rPr>
          <w:lang w:val="fr-CH"/>
        </w:rPr>
        <w:t>’</w:t>
      </w:r>
      <w:r w:rsidRPr="00226044">
        <w:rPr>
          <w:lang w:val="fr-CH"/>
        </w:rPr>
        <w:t>évaluati</w:t>
      </w:r>
      <w:r w:rsidR="00007093" w:rsidRPr="00226044">
        <w:rPr>
          <w:lang w:val="fr-CH"/>
        </w:rPr>
        <w:t>on</w:t>
      </w:r>
      <w:r w:rsidR="00007093">
        <w:rPr>
          <w:lang w:val="fr-CH"/>
        </w:rPr>
        <w:t xml:space="preserve">.  </w:t>
      </w:r>
      <w:r w:rsidR="00007093" w:rsidRPr="00226044">
        <w:rPr>
          <w:lang w:val="fr-CH"/>
        </w:rPr>
        <w:t>Le</w:t>
      </w:r>
      <w:r w:rsidRPr="00226044">
        <w:rPr>
          <w:lang w:val="fr-CH"/>
        </w:rPr>
        <w:t>s fonctions d</w:t>
      </w:r>
      <w:r w:rsidR="000A3166">
        <w:rPr>
          <w:lang w:val="fr-CH"/>
        </w:rPr>
        <w:t>’</w:t>
      </w:r>
      <w:r w:rsidRPr="00226044">
        <w:rPr>
          <w:lang w:val="fr-CH"/>
        </w:rPr>
        <w:t>audit interne et d</w:t>
      </w:r>
      <w:r w:rsidR="000A3166">
        <w:rPr>
          <w:lang w:val="fr-CH"/>
        </w:rPr>
        <w:t>’</w:t>
      </w:r>
      <w:r w:rsidRPr="00226044">
        <w:rPr>
          <w:lang w:val="fr-CH"/>
        </w:rPr>
        <w:t xml:space="preserve">enquête seront soumises à une évaluation externe de la qualité </w:t>
      </w:r>
      <w:r w:rsidR="00353ADC" w:rsidRPr="00226044">
        <w:rPr>
          <w:lang w:val="fr-CH"/>
        </w:rPr>
        <w:t>en</w:t>
      </w:r>
      <w:r w:rsidR="00353ADC">
        <w:rPr>
          <w:lang w:val="fr-CH"/>
        </w:rPr>
        <w:t> </w:t>
      </w:r>
      <w:r w:rsidR="00353ADC" w:rsidRPr="00226044">
        <w:rPr>
          <w:lang w:val="fr-CH"/>
        </w:rPr>
        <w:t>2020</w:t>
      </w:r>
      <w:r w:rsidRPr="00226044">
        <w:rPr>
          <w:lang w:val="fr-CH"/>
        </w:rPr>
        <w:t>.</w:t>
      </w:r>
    </w:p>
    <w:p w14:paraId="2FC2433E" w14:textId="77777777" w:rsidR="00417F8D" w:rsidRDefault="008135ED" w:rsidP="00FB613C">
      <w:pPr>
        <w:pStyle w:val="Heading1"/>
      </w:pPr>
      <w:bookmarkStart w:id="19" w:name="_Toc12270150"/>
      <w:bookmarkEnd w:id="16"/>
      <w:bookmarkEnd w:id="17"/>
      <w:r w:rsidRPr="008135ED">
        <w:t>Principes de planification</w:t>
      </w:r>
      <w:bookmarkEnd w:id="19"/>
    </w:p>
    <w:p w14:paraId="22B23983" w14:textId="77777777" w:rsidR="00417F8D" w:rsidRDefault="005A6D92" w:rsidP="00D325B1">
      <w:pPr>
        <w:pStyle w:val="ONUMFS"/>
        <w:rPr>
          <w:lang w:val="fr-CH"/>
        </w:rPr>
      </w:pPr>
      <w:r w:rsidRPr="00403F08">
        <w:rPr>
          <w:lang w:val="fr-CH"/>
        </w:rPr>
        <w:t>La DSI a tenu compte d</w:t>
      </w:r>
      <w:r w:rsidR="000A3166">
        <w:rPr>
          <w:lang w:val="fr-CH"/>
        </w:rPr>
        <w:t>’</w:t>
      </w:r>
      <w:r w:rsidRPr="00403F08">
        <w:rPr>
          <w:lang w:val="fr-CH"/>
        </w:rPr>
        <w:t>un certain nombre de facteurs dans l</w:t>
      </w:r>
      <w:r w:rsidR="000A3166">
        <w:rPr>
          <w:lang w:val="fr-CH"/>
        </w:rPr>
        <w:t>’</w:t>
      </w:r>
      <w:r w:rsidRPr="00403F08">
        <w:rPr>
          <w:lang w:val="fr-CH"/>
        </w:rPr>
        <w:t>établissement de son programme de travail, tels que</w:t>
      </w:r>
      <w:r w:rsidR="00353ADC">
        <w:rPr>
          <w:lang w:val="fr-CH"/>
        </w:rPr>
        <w:t> :</w:t>
      </w:r>
      <w:r w:rsidRPr="00403F08">
        <w:rPr>
          <w:lang w:val="fr-CH"/>
        </w:rPr>
        <w:t xml:space="preserve"> évaluation des risques, pertinence, incidence au niveau national, cycle de supervision, observations présentées par la direction de l</w:t>
      </w:r>
      <w:r w:rsidR="000A3166">
        <w:rPr>
          <w:lang w:val="fr-CH"/>
        </w:rPr>
        <w:t>’</w:t>
      </w:r>
      <w:r w:rsidRPr="00403F08">
        <w:rPr>
          <w:lang w:val="fr-CH"/>
        </w:rPr>
        <w:t>OMPI, observations formulées par les États membres et ressources disponibl</w:t>
      </w:r>
      <w:r w:rsidR="00007093" w:rsidRPr="00403F08">
        <w:rPr>
          <w:lang w:val="fr-CH"/>
        </w:rPr>
        <w:t>es</w:t>
      </w:r>
      <w:r w:rsidR="00007093">
        <w:rPr>
          <w:lang w:val="fr-CH"/>
        </w:rPr>
        <w:t xml:space="preserve">.  </w:t>
      </w:r>
      <w:r w:rsidR="00007093" w:rsidRPr="00403F08">
        <w:rPr>
          <w:lang w:val="fr-CH"/>
        </w:rPr>
        <w:t>Le</w:t>
      </w:r>
      <w:r w:rsidRPr="00403F08">
        <w:rPr>
          <w:lang w:val="fr-CH"/>
        </w:rPr>
        <w:t xml:space="preserve"> projet de programme de travail de supervision a également été examiné par l</w:t>
      </w:r>
      <w:r w:rsidR="000A3166">
        <w:rPr>
          <w:lang w:val="fr-CH"/>
        </w:rPr>
        <w:t>’</w:t>
      </w:r>
      <w:r w:rsidRPr="00403F08">
        <w:rPr>
          <w:lang w:val="fr-CH"/>
        </w:rPr>
        <w:t>OCIS et a bénéficié des conseils de ce dernier avant d</w:t>
      </w:r>
      <w:r w:rsidR="000A3166">
        <w:rPr>
          <w:lang w:val="fr-CH"/>
        </w:rPr>
        <w:t>’</w:t>
      </w:r>
      <w:r w:rsidRPr="00403F08">
        <w:rPr>
          <w:lang w:val="fr-CH"/>
        </w:rPr>
        <w:t>être finalisé, conformément au paragraphe</w:t>
      </w:r>
      <w:r w:rsidR="004036FF" w:rsidRPr="00403F08">
        <w:rPr>
          <w:lang w:val="fr-CH"/>
        </w:rPr>
        <w:t> </w:t>
      </w:r>
      <w:r w:rsidRPr="00403F08">
        <w:rPr>
          <w:lang w:val="fr-CH"/>
        </w:rPr>
        <w:t>28.a) de la Charte de la supervision interne.</w:t>
      </w:r>
    </w:p>
    <w:p w14:paraId="1E5B5E3A" w14:textId="77777777" w:rsidR="00417F8D" w:rsidRDefault="005A6D92" w:rsidP="00D325B1">
      <w:pPr>
        <w:pStyle w:val="ONUMFS"/>
        <w:rPr>
          <w:lang w:val="fr-CH"/>
        </w:rPr>
      </w:pPr>
      <w:r w:rsidRPr="00403F08">
        <w:rPr>
          <w:lang w:val="fr-CH"/>
        </w:rPr>
        <w:t>Afin d</w:t>
      </w:r>
      <w:r w:rsidR="000A3166">
        <w:rPr>
          <w:lang w:val="fr-CH"/>
        </w:rPr>
        <w:t>’</w:t>
      </w:r>
      <w:r w:rsidRPr="00403F08">
        <w:rPr>
          <w:lang w:val="fr-CH"/>
        </w:rPr>
        <w:t>assurer une couverture efficace de la supervision grâce à l</w:t>
      </w:r>
      <w:r w:rsidR="000A3166">
        <w:rPr>
          <w:lang w:val="fr-CH"/>
        </w:rPr>
        <w:t>’</w:t>
      </w:r>
      <w:r w:rsidRPr="00403F08">
        <w:rPr>
          <w:lang w:val="fr-CH"/>
        </w:rPr>
        <w:t>utilisation rationnelle des ressources limitées à disposition, tout en évitant les éventuels chevauchements,</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 également pris en considération les travaux effectués par le vérificateur externe des comptes et d</w:t>
      </w:r>
      <w:r w:rsidR="000A3166">
        <w:rPr>
          <w:lang w:val="fr-CH"/>
        </w:rPr>
        <w:t>’</w:t>
      </w:r>
      <w:r w:rsidRPr="00403F08">
        <w:rPr>
          <w:lang w:val="fr-CH"/>
        </w:rPr>
        <w:t>autres organes de supervision, tels que le Corps commun d</w:t>
      </w:r>
      <w:r w:rsidR="000A3166">
        <w:rPr>
          <w:lang w:val="fr-CH"/>
        </w:rPr>
        <w:t>’</w:t>
      </w:r>
      <w:r w:rsidRPr="00403F08">
        <w:rPr>
          <w:lang w:val="fr-CH"/>
        </w:rPr>
        <w:t>inspection (CCI), ainsi que les évaluations que le Comité du développement et de la propriété intellectuelle (CDIP) a fait réaliser.</w:t>
      </w:r>
    </w:p>
    <w:p w14:paraId="0B382AA8" w14:textId="77777777" w:rsidR="00417F8D" w:rsidRDefault="005A6D92" w:rsidP="00D325B1">
      <w:pPr>
        <w:pStyle w:val="ONUMFS"/>
        <w:rPr>
          <w:lang w:val="fr-CH"/>
        </w:rPr>
      </w:pPr>
      <w:r w:rsidRPr="00403F08">
        <w:rPr>
          <w:lang w:val="fr-CH"/>
        </w:rPr>
        <w:t xml:space="preserve">Le programme de supervision </w:t>
      </w:r>
      <w:r w:rsidR="00353ADC" w:rsidRPr="00403F08">
        <w:rPr>
          <w:lang w:val="fr-CH"/>
        </w:rPr>
        <w:t>pour</w:t>
      </w:r>
      <w:r w:rsidR="00353ADC">
        <w:rPr>
          <w:lang w:val="fr-CH"/>
        </w:rPr>
        <w:t> </w:t>
      </w:r>
      <w:r w:rsidR="00353ADC" w:rsidRPr="00403F08">
        <w:rPr>
          <w:lang w:val="fr-CH"/>
        </w:rPr>
        <w:t>2019</w:t>
      </w:r>
      <w:r w:rsidRPr="00403F08">
        <w:rPr>
          <w:lang w:val="fr-CH"/>
        </w:rPr>
        <w:t xml:space="preserve"> a été diffusé auprès de tous les chefs de programme et porté à la connaissance des fonctionnaires de l</w:t>
      </w:r>
      <w:r w:rsidR="000A3166">
        <w:rPr>
          <w:lang w:val="fr-CH"/>
        </w:rPr>
        <w:t>’</w:t>
      </w:r>
      <w:r w:rsidRPr="00403F08">
        <w:rPr>
          <w:lang w:val="fr-CH"/>
        </w:rPr>
        <w:t>OMPI sur le site Intranet de l</w:t>
      </w:r>
      <w:r w:rsidR="000A3166">
        <w:rPr>
          <w:lang w:val="fr-CH"/>
        </w:rPr>
        <w:t>’</w:t>
      </w:r>
      <w:r w:rsidRPr="00403F08">
        <w:rPr>
          <w:lang w:val="fr-CH"/>
        </w:rPr>
        <w:t>Organisati</w:t>
      </w:r>
      <w:r w:rsidR="00007093" w:rsidRPr="00403F08">
        <w:rPr>
          <w:lang w:val="fr-CH"/>
        </w:rPr>
        <w:t>on</w:t>
      </w:r>
      <w:r w:rsidR="00007093">
        <w:rPr>
          <w:lang w:val="fr-CH"/>
        </w:rPr>
        <w:t xml:space="preserve">.  </w:t>
      </w:r>
      <w:r w:rsidR="00007093" w:rsidRPr="00403F08">
        <w:rPr>
          <w:lang w:val="fr-CH"/>
        </w:rPr>
        <w:t>Le</w:t>
      </w:r>
      <w:r w:rsidRPr="00403F08">
        <w:rPr>
          <w:lang w:val="fr-CH"/>
        </w:rPr>
        <w:t xml:space="preserve"> programme </w:t>
      </w:r>
      <w:r w:rsidR="00353ADC" w:rsidRPr="00403F08">
        <w:rPr>
          <w:lang w:val="fr-CH"/>
        </w:rPr>
        <w:t>pour</w:t>
      </w:r>
      <w:r w:rsidR="00353ADC">
        <w:rPr>
          <w:lang w:val="fr-CH"/>
        </w:rPr>
        <w:t> </w:t>
      </w:r>
      <w:r w:rsidR="00353ADC" w:rsidRPr="00403F08">
        <w:rPr>
          <w:lang w:val="fr-CH"/>
        </w:rPr>
        <w:t>2018</w:t>
      </w:r>
      <w:r w:rsidRPr="00403F08">
        <w:rPr>
          <w:lang w:val="fr-CH"/>
        </w:rPr>
        <w:t xml:space="preserve"> a été mené à bien dans les délais et les limites du budget.</w:t>
      </w:r>
    </w:p>
    <w:p w14:paraId="31E4B66B" w14:textId="77777777" w:rsidR="00417F8D" w:rsidRDefault="005A6D92" w:rsidP="00FB613C">
      <w:pPr>
        <w:pStyle w:val="Heading1"/>
      </w:pPr>
      <w:bookmarkStart w:id="20" w:name="_Toc12270151"/>
      <w:r w:rsidRPr="00403F08">
        <w:t>Normes professionnelles</w:t>
      </w:r>
      <w:bookmarkEnd w:id="20"/>
    </w:p>
    <w:p w14:paraId="0E70DFD0" w14:textId="77777777" w:rsidR="00417F8D" w:rsidRDefault="005A6D92" w:rsidP="00D325B1">
      <w:pPr>
        <w:pStyle w:val="ONUMFS"/>
        <w:rPr>
          <w:lang w:val="fr-CH"/>
        </w:rPr>
      </w:pPr>
      <w:r w:rsidRPr="00403F08">
        <w:rPr>
          <w:lang w:val="fr-CH"/>
        </w:rPr>
        <w:t>Pour ses activités d</w:t>
      </w:r>
      <w:r w:rsidR="000A3166">
        <w:rPr>
          <w:lang w:val="fr-CH"/>
        </w:rPr>
        <w:t>’</w:t>
      </w:r>
      <w:r w:rsidRPr="00403F08">
        <w:rPr>
          <w:lang w:val="fr-CH"/>
        </w:rPr>
        <w:t>audit,</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adhère au cadre de référence international des pratiques professionnelles promulgué par l</w:t>
      </w:r>
      <w:r w:rsidR="000A3166">
        <w:rPr>
          <w:lang w:val="fr-CH"/>
        </w:rPr>
        <w:t>’</w:t>
      </w:r>
      <w:r w:rsidRPr="00403F08">
        <w:rPr>
          <w:lang w:val="fr-CH"/>
        </w:rPr>
        <w:t>Institut des auditeurs internes (IIA).</w:t>
      </w:r>
      <w:r w:rsidR="00186810" w:rsidRPr="00403F08">
        <w:rPr>
          <w:lang w:val="fr-CH"/>
        </w:rPr>
        <w:t xml:space="preserve">  </w:t>
      </w:r>
      <w:r w:rsidRPr="00403F08">
        <w:rPr>
          <w:lang w:val="fr-CH"/>
        </w:rPr>
        <w:t>Le travail d</w:t>
      </w:r>
      <w:r w:rsidR="000A3166">
        <w:rPr>
          <w:lang w:val="fr-CH"/>
        </w:rPr>
        <w:t>’</w:t>
      </w:r>
      <w:r w:rsidRPr="00403F08">
        <w:rPr>
          <w:lang w:val="fr-CH"/>
        </w:rPr>
        <w:t>enquête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w:t>
      </w:r>
      <w:r w:rsidR="000A3166">
        <w:rPr>
          <w:lang w:val="fr-CH"/>
        </w:rPr>
        <w:t>’</w:t>
      </w:r>
      <w:r w:rsidRPr="00403F08">
        <w:rPr>
          <w:lang w:val="fr-CH"/>
        </w:rPr>
        <w:t>inspire également des principes et lignes directrices uniformes en matière d</w:t>
      </w:r>
      <w:r w:rsidR="000A3166">
        <w:rPr>
          <w:lang w:val="fr-CH"/>
        </w:rPr>
        <w:t>’</w:t>
      </w:r>
      <w:r w:rsidRPr="00403F08">
        <w:rPr>
          <w:lang w:val="fr-CH"/>
        </w:rPr>
        <w:t>enquête adoptés par la Conférence des enquêteurs internationa</w:t>
      </w:r>
      <w:r w:rsidR="00007093" w:rsidRPr="00403F08">
        <w:rPr>
          <w:lang w:val="fr-CH"/>
        </w:rPr>
        <w:t>ux</w:t>
      </w:r>
      <w:r w:rsidR="00007093">
        <w:rPr>
          <w:lang w:val="fr-CH"/>
        </w:rPr>
        <w:t xml:space="preserve">.  </w:t>
      </w:r>
      <w:r w:rsidR="00007093" w:rsidRPr="00403F08">
        <w:rPr>
          <w:lang w:val="fr-CH"/>
        </w:rPr>
        <w:t>Po</w:t>
      </w:r>
      <w:r w:rsidRPr="00403F08">
        <w:rPr>
          <w:lang w:val="fr-CH"/>
        </w:rPr>
        <w:t>ur les activités d</w:t>
      </w:r>
      <w:r w:rsidR="000A3166">
        <w:rPr>
          <w:lang w:val="fr-CH"/>
        </w:rPr>
        <w:t>’</w:t>
      </w:r>
      <w:r w:rsidRPr="00403F08">
        <w:rPr>
          <w:lang w:val="fr-CH"/>
        </w:rPr>
        <w:t>évaluation,</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suit les normes internationales en la matière élaborées par le Groupe des </w:t>
      </w:r>
      <w:r w:rsidR="00353ADC">
        <w:rPr>
          <w:lang w:val="fr-CH"/>
        </w:rPr>
        <w:t>Nations Unies</w:t>
      </w:r>
      <w:r w:rsidRPr="00403F08">
        <w:rPr>
          <w:lang w:val="fr-CH"/>
        </w:rPr>
        <w:t xml:space="preserve"> pour l</w:t>
      </w:r>
      <w:r w:rsidR="000A3166">
        <w:rPr>
          <w:lang w:val="fr-CH"/>
        </w:rPr>
        <w:t>’</w:t>
      </w:r>
      <w:r w:rsidRPr="00403F08">
        <w:rPr>
          <w:lang w:val="fr-CH"/>
        </w:rPr>
        <w:t>évaluation (GNUE).</w:t>
      </w:r>
    </w:p>
    <w:p w14:paraId="07550296" w14:textId="77777777" w:rsidR="00417F8D" w:rsidRDefault="005A6D92" w:rsidP="00FB613C">
      <w:pPr>
        <w:pStyle w:val="Heading1"/>
      </w:pPr>
      <w:bookmarkStart w:id="21" w:name="_Toc12270152"/>
      <w:r w:rsidRPr="00403F08">
        <w:t>Questions importantes et recommandations de supervision jugées prioritaires</w:t>
      </w:r>
      <w:bookmarkEnd w:id="21"/>
    </w:p>
    <w:p w14:paraId="33BD114C" w14:textId="77777777" w:rsidR="00417F8D" w:rsidRDefault="005A6D92" w:rsidP="00D325B1">
      <w:pPr>
        <w:pStyle w:val="ONUMFS"/>
        <w:rPr>
          <w:lang w:val="fr-CH"/>
        </w:rPr>
      </w:pPr>
      <w:r w:rsidRPr="00403F08">
        <w:rPr>
          <w:lang w:val="fr-CH"/>
        </w:rPr>
        <w:t>La présente section contient des informations sur les principales conclusions et recommandations, relatives aux principaux risques, contenues dans les rapports de supervision interne (audit, évaluation et rapport à l</w:t>
      </w:r>
      <w:r w:rsidR="000A3166">
        <w:rPr>
          <w:lang w:val="fr-CH"/>
        </w:rPr>
        <w:t>’</w:t>
      </w:r>
      <w:r w:rsidRPr="00403F08">
        <w:rPr>
          <w:lang w:val="fr-CH"/>
        </w:rPr>
        <w:t>intention de la direction) établis pendant la période considérée.</w:t>
      </w:r>
    </w:p>
    <w:p w14:paraId="70DF851A" w14:textId="77777777" w:rsidR="00417F8D" w:rsidRDefault="005A6D92" w:rsidP="00D325B1">
      <w:pPr>
        <w:pStyle w:val="ONUMFS"/>
        <w:rPr>
          <w:lang w:val="fr-CH"/>
        </w:rPr>
      </w:pPr>
      <w:r w:rsidRPr="00403F08">
        <w:rPr>
          <w:lang w:val="fr-CH"/>
        </w:rPr>
        <w:lastRenderedPageBreak/>
        <w:t>Les principales conclusions et recommandations concernent les rapports suivants qui ont été établis durant la période considérée</w:t>
      </w:r>
      <w:r w:rsidRPr="00403F08">
        <w:rPr>
          <w:rStyle w:val="FootnoteReference"/>
        </w:rPr>
        <w:footnoteReference w:id="3"/>
      </w:r>
      <w:r w:rsidR="00353ADC">
        <w:rPr>
          <w:lang w:val="fr-CH"/>
        </w:rPr>
        <w:t> :</w:t>
      </w:r>
    </w:p>
    <w:p w14:paraId="4E81F7E2" w14:textId="77777777" w:rsidR="00417F8D" w:rsidRDefault="005A6D92" w:rsidP="002E030A">
      <w:pPr>
        <w:pStyle w:val="ONUMFS"/>
        <w:numPr>
          <w:ilvl w:val="1"/>
          <w:numId w:val="3"/>
        </w:numPr>
        <w:rPr>
          <w:lang w:val="fr-CH"/>
        </w:rPr>
      </w:pPr>
      <w:r w:rsidRPr="00403F08">
        <w:rPr>
          <w:lang w:val="fr-CH"/>
        </w:rPr>
        <w:t>Audit de</w:t>
      </w:r>
      <w:r w:rsidR="000E7D04" w:rsidRPr="00403F08">
        <w:rPr>
          <w:lang w:val="fr-CH"/>
        </w:rPr>
        <w:t>s systèmes</w:t>
      </w:r>
      <w:r w:rsidRPr="00403F08">
        <w:rPr>
          <w:lang w:val="fr-CH"/>
        </w:rPr>
        <w:t xml:space="preserve"> </w:t>
      </w:r>
      <w:r w:rsidR="000E7D04" w:rsidRPr="00403F08">
        <w:rPr>
          <w:lang w:val="fr-CH"/>
        </w:rPr>
        <w:t>de</w:t>
      </w:r>
      <w:r w:rsidRPr="00403F08">
        <w:rPr>
          <w:lang w:val="fr-CH"/>
        </w:rPr>
        <w:t xml:space="preserve"> sécurit</w:t>
      </w:r>
      <w:r w:rsidR="00226044" w:rsidRPr="00403F08">
        <w:rPr>
          <w:lang w:val="fr-CH"/>
        </w:rPr>
        <w:t xml:space="preserve">é </w:t>
      </w:r>
      <w:r w:rsidR="000E7D04" w:rsidRPr="00403F08">
        <w:rPr>
          <w:lang w:val="fr-CH"/>
        </w:rPr>
        <w:t xml:space="preserve">en matière </w:t>
      </w:r>
      <w:r w:rsidR="00226044" w:rsidRPr="00403F08">
        <w:rPr>
          <w:lang w:val="fr-CH"/>
        </w:rPr>
        <w:t>d</w:t>
      </w:r>
      <w:r w:rsidR="000A3166">
        <w:rPr>
          <w:lang w:val="fr-CH"/>
        </w:rPr>
        <w:t>’</w:t>
      </w:r>
      <w:r w:rsidR="00226044" w:rsidRPr="00403F08">
        <w:rPr>
          <w:lang w:val="fr-CH"/>
        </w:rPr>
        <w:t>accès physique</w:t>
      </w:r>
      <w:r w:rsidR="00665AE5">
        <w:rPr>
          <w:lang w:val="fr-CH"/>
        </w:rPr>
        <w:t>;</w:t>
      </w:r>
    </w:p>
    <w:p w14:paraId="4C31E848" w14:textId="77777777" w:rsidR="00417F8D" w:rsidRDefault="005A6D92" w:rsidP="002E030A">
      <w:pPr>
        <w:pStyle w:val="ONUMFS"/>
        <w:numPr>
          <w:ilvl w:val="1"/>
          <w:numId w:val="3"/>
        </w:numPr>
        <w:rPr>
          <w:lang w:val="fr-CH"/>
        </w:rPr>
      </w:pPr>
      <w:r w:rsidRPr="00403F08">
        <w:rPr>
          <w:lang w:val="fr-CH"/>
        </w:rPr>
        <w:t>Audit du portefeuille de projets pour la planification des ressources de l</w:t>
      </w:r>
      <w:r w:rsidR="000A3166">
        <w:rPr>
          <w:lang w:val="fr-CH"/>
        </w:rPr>
        <w:t>’</w:t>
      </w:r>
      <w:r w:rsidRPr="00403F08">
        <w:rPr>
          <w:lang w:val="fr-CH"/>
        </w:rPr>
        <w:t>OMPI</w:t>
      </w:r>
      <w:r w:rsidR="00226044" w:rsidRPr="00403F08">
        <w:rPr>
          <w:lang w:val="fr-CH"/>
        </w:rPr>
        <w:t> (ERP)</w:t>
      </w:r>
      <w:r w:rsidR="00665AE5">
        <w:rPr>
          <w:lang w:val="fr-CH"/>
        </w:rPr>
        <w:t>;</w:t>
      </w:r>
    </w:p>
    <w:p w14:paraId="37F9ACBE" w14:textId="77777777" w:rsidR="00417F8D" w:rsidRDefault="005A6D92" w:rsidP="002E030A">
      <w:pPr>
        <w:pStyle w:val="ONUMFS"/>
        <w:numPr>
          <w:ilvl w:val="1"/>
          <w:numId w:val="3"/>
        </w:numPr>
        <w:rPr>
          <w:lang w:val="fr-CH"/>
        </w:rPr>
      </w:pPr>
      <w:r w:rsidRPr="00403F08">
        <w:rPr>
          <w:lang w:val="fr-CH"/>
        </w:rPr>
        <w:t>Audit des fonds fiduciaires gérés par l</w:t>
      </w:r>
      <w:r w:rsidR="000A3166">
        <w:rPr>
          <w:lang w:val="fr-CH"/>
        </w:rPr>
        <w:t>’</w:t>
      </w:r>
      <w:r w:rsidRPr="00403F08">
        <w:rPr>
          <w:lang w:val="fr-CH"/>
        </w:rPr>
        <w:t>OMPI</w:t>
      </w:r>
      <w:r w:rsidR="00665AE5">
        <w:rPr>
          <w:lang w:val="fr-CH"/>
        </w:rPr>
        <w:t>;</w:t>
      </w:r>
    </w:p>
    <w:p w14:paraId="3380E711" w14:textId="77777777" w:rsidR="00417F8D" w:rsidRDefault="005A6D92" w:rsidP="002E030A">
      <w:pPr>
        <w:pStyle w:val="ONUMFS"/>
        <w:numPr>
          <w:ilvl w:val="1"/>
          <w:numId w:val="3"/>
        </w:numPr>
        <w:rPr>
          <w:lang w:val="fr-CH"/>
        </w:rPr>
      </w:pPr>
      <w:r w:rsidRPr="00403F08">
        <w:rPr>
          <w:lang w:val="fr-CH"/>
        </w:rPr>
        <w:t xml:space="preserve">Audit de la mise en </w:t>
      </w:r>
      <w:r w:rsidR="004036FF" w:rsidRPr="00403F08">
        <w:rPr>
          <w:lang w:val="fr-CH"/>
        </w:rPr>
        <w:t>œ</w:t>
      </w:r>
      <w:r w:rsidRPr="00403F08">
        <w:rPr>
          <w:lang w:val="fr-CH"/>
        </w:rPr>
        <w:t>uvre de la stratégie de l</w:t>
      </w:r>
      <w:r w:rsidR="000A3166">
        <w:rPr>
          <w:lang w:val="fr-CH"/>
        </w:rPr>
        <w:t>’</w:t>
      </w:r>
      <w:r w:rsidRPr="00403F08">
        <w:rPr>
          <w:lang w:val="fr-CH"/>
        </w:rPr>
        <w:t>OMPI en matière d</w:t>
      </w:r>
      <w:r w:rsidR="000A3166">
        <w:rPr>
          <w:lang w:val="fr-CH"/>
        </w:rPr>
        <w:t>’</w:t>
      </w:r>
      <w:r w:rsidRPr="00403F08">
        <w:rPr>
          <w:lang w:val="fr-CH"/>
        </w:rPr>
        <w:t>a</w:t>
      </w:r>
      <w:r w:rsidR="00226044" w:rsidRPr="00403F08">
        <w:rPr>
          <w:lang w:val="fr-CH"/>
        </w:rPr>
        <w:t>ssurance informatique</w:t>
      </w:r>
      <w:r w:rsidR="00665AE5">
        <w:rPr>
          <w:lang w:val="fr-CH"/>
        </w:rPr>
        <w:t>;</w:t>
      </w:r>
    </w:p>
    <w:p w14:paraId="2998C865" w14:textId="77777777" w:rsidR="00417F8D" w:rsidRDefault="005A6D92" w:rsidP="002E030A">
      <w:pPr>
        <w:pStyle w:val="ONUMFS"/>
        <w:numPr>
          <w:ilvl w:val="1"/>
          <w:numId w:val="3"/>
        </w:numPr>
        <w:rPr>
          <w:lang w:val="fr-CH"/>
        </w:rPr>
      </w:pPr>
      <w:r w:rsidRPr="00403F08">
        <w:rPr>
          <w:lang w:val="fr-CH"/>
        </w:rPr>
        <w:t>Audit du mécanisme pilote de compensation</w:t>
      </w:r>
      <w:r w:rsidR="00353ADC" w:rsidRPr="00403F08">
        <w:rPr>
          <w:lang w:val="fr-CH"/>
        </w:rPr>
        <w:t xml:space="preserve"> du</w:t>
      </w:r>
      <w:r w:rsidR="00353ADC">
        <w:rPr>
          <w:lang w:val="fr-CH"/>
        </w:rPr>
        <w:t> </w:t>
      </w:r>
      <w:r w:rsidR="00353ADC" w:rsidRPr="00403F08">
        <w:rPr>
          <w:lang w:val="fr-CH"/>
        </w:rPr>
        <w:t>PCT</w:t>
      </w:r>
      <w:r w:rsidR="00665AE5">
        <w:rPr>
          <w:lang w:val="fr-CH"/>
        </w:rPr>
        <w:t>;</w:t>
      </w:r>
    </w:p>
    <w:p w14:paraId="485C4690" w14:textId="77777777" w:rsidR="00417F8D" w:rsidRDefault="005A6D92" w:rsidP="002E030A">
      <w:pPr>
        <w:pStyle w:val="ONUMFS"/>
        <w:numPr>
          <w:ilvl w:val="1"/>
          <w:numId w:val="3"/>
        </w:numPr>
        <w:rPr>
          <w:lang w:val="fr-CH"/>
        </w:rPr>
      </w:pPr>
      <w:r w:rsidRPr="00403F08">
        <w:rPr>
          <w:lang w:val="fr-CH"/>
        </w:rPr>
        <w:t>Évaluation du projet pilote sur le perfectionnement professionnel et l</w:t>
      </w:r>
      <w:r w:rsidR="000A3166">
        <w:rPr>
          <w:lang w:val="fr-CH"/>
        </w:rPr>
        <w:t>’</w:t>
      </w:r>
      <w:r w:rsidRPr="00403F08">
        <w:rPr>
          <w:lang w:val="fr-CH"/>
        </w:rPr>
        <w:t>évolution de carrière – Phase</w:t>
      </w:r>
      <w:r w:rsidR="004036FF" w:rsidRPr="00403F08">
        <w:rPr>
          <w:lang w:val="fr-CH"/>
        </w:rPr>
        <w:t> </w:t>
      </w:r>
      <w:r w:rsidRPr="00403F08">
        <w:rPr>
          <w:lang w:val="fr-CH"/>
        </w:rPr>
        <w:t>2</w:t>
      </w:r>
      <w:r w:rsidR="00665AE5">
        <w:rPr>
          <w:lang w:val="fr-CH"/>
        </w:rPr>
        <w:t>;</w:t>
      </w:r>
    </w:p>
    <w:p w14:paraId="3A7FF311" w14:textId="77777777" w:rsidR="00417F8D" w:rsidRDefault="005A6D92" w:rsidP="002E030A">
      <w:pPr>
        <w:pStyle w:val="ONUMFS"/>
        <w:numPr>
          <w:ilvl w:val="1"/>
          <w:numId w:val="3"/>
        </w:numPr>
        <w:rPr>
          <w:lang w:val="fr-CH"/>
        </w:rPr>
      </w:pPr>
      <w:r w:rsidRPr="00403F08">
        <w:rPr>
          <w:lang w:val="fr-CH"/>
        </w:rPr>
        <w:t xml:space="preserve">Rapport de synthèse de la </w:t>
      </w:r>
      <w:proofErr w:type="spellStart"/>
      <w:r w:rsidRPr="00403F08">
        <w:rPr>
          <w:lang w:val="fr-CH"/>
        </w:rPr>
        <w:t>métaévaluation</w:t>
      </w:r>
      <w:proofErr w:type="spellEnd"/>
      <w:r w:rsidRPr="00403F08">
        <w:rPr>
          <w:lang w:val="fr-CH"/>
        </w:rPr>
        <w:t xml:space="preserve"> des produits d</w:t>
      </w:r>
      <w:r w:rsidR="000A3166">
        <w:rPr>
          <w:lang w:val="fr-CH"/>
        </w:rPr>
        <w:t>’</w:t>
      </w:r>
      <w:r w:rsidRPr="00403F08">
        <w:rPr>
          <w:lang w:val="fr-CH"/>
        </w:rPr>
        <w:t>évaluation de l</w:t>
      </w:r>
      <w:r w:rsidR="000A3166">
        <w:rPr>
          <w:lang w:val="fr-CH"/>
        </w:rPr>
        <w:t>’</w:t>
      </w:r>
      <w:r w:rsidRPr="00403F08">
        <w:rPr>
          <w:lang w:val="fr-CH"/>
        </w:rPr>
        <w:t>OMPI</w:t>
      </w:r>
      <w:r w:rsidR="00665AE5">
        <w:rPr>
          <w:lang w:val="fr-CH"/>
        </w:rPr>
        <w:t>;</w:t>
      </w:r>
    </w:p>
    <w:p w14:paraId="6C2D3289" w14:textId="77777777" w:rsidR="00417F8D" w:rsidRDefault="005A6D92" w:rsidP="002E030A">
      <w:pPr>
        <w:pStyle w:val="ONUMFS"/>
        <w:numPr>
          <w:ilvl w:val="1"/>
          <w:numId w:val="3"/>
        </w:numPr>
        <w:rPr>
          <w:lang w:val="fr-CH"/>
        </w:rPr>
      </w:pPr>
      <w:r w:rsidRPr="00403F08">
        <w:rPr>
          <w:lang w:val="fr-CH"/>
        </w:rPr>
        <w:t xml:space="preserve">Évaluation du </w:t>
      </w:r>
      <w:r w:rsidRPr="00226044">
        <w:rPr>
          <w:lang w:val="fr-CH"/>
        </w:rPr>
        <w:t>Bureau régional pour l</w:t>
      </w:r>
      <w:r w:rsidR="000A3166">
        <w:rPr>
          <w:lang w:val="fr-CH"/>
        </w:rPr>
        <w:t>’</w:t>
      </w:r>
      <w:r w:rsidRPr="00226044">
        <w:rPr>
          <w:lang w:val="fr-CH"/>
        </w:rPr>
        <w:t>Asie et le Pacifique</w:t>
      </w:r>
      <w:r w:rsidR="00665AE5">
        <w:rPr>
          <w:lang w:val="fr-CH"/>
        </w:rPr>
        <w:t>;</w:t>
      </w:r>
    </w:p>
    <w:p w14:paraId="083E5855" w14:textId="77777777" w:rsidR="00417F8D" w:rsidRDefault="005A6D92" w:rsidP="002E030A">
      <w:pPr>
        <w:pStyle w:val="ONUMFS"/>
        <w:numPr>
          <w:ilvl w:val="1"/>
          <w:numId w:val="3"/>
        </w:numPr>
        <w:rPr>
          <w:lang w:val="fr-CH"/>
        </w:rPr>
      </w:pPr>
      <w:r w:rsidRPr="00226044">
        <w:rPr>
          <w:lang w:val="fr-CH"/>
        </w:rPr>
        <w:t>Rapport à l</w:t>
      </w:r>
      <w:r w:rsidR="000A3166">
        <w:rPr>
          <w:lang w:val="fr-CH"/>
        </w:rPr>
        <w:t>’</w:t>
      </w:r>
      <w:r w:rsidRPr="00226044">
        <w:rPr>
          <w:lang w:val="fr-CH"/>
        </w:rPr>
        <w:t>intention de la direction concernant les corrections d</w:t>
      </w:r>
      <w:r w:rsidR="000A3166">
        <w:rPr>
          <w:lang w:val="fr-CH"/>
        </w:rPr>
        <w:t>’</w:t>
      </w:r>
      <w:r w:rsidRPr="00226044">
        <w:rPr>
          <w:lang w:val="fr-CH"/>
        </w:rPr>
        <w:t xml:space="preserve">office apportées dans le </w:t>
      </w:r>
      <w:r w:rsidRPr="00403F08">
        <w:rPr>
          <w:lang w:val="fr-CH"/>
        </w:rPr>
        <w:t>cadre du Service d</w:t>
      </w:r>
      <w:r w:rsidR="000A3166">
        <w:rPr>
          <w:lang w:val="fr-CH"/>
        </w:rPr>
        <w:t>’</w:t>
      </w:r>
      <w:r w:rsidRPr="00403F08">
        <w:rPr>
          <w:lang w:val="fr-CH"/>
        </w:rPr>
        <w:t xml:space="preserve">enregistrement de </w:t>
      </w:r>
      <w:proofErr w:type="gramStart"/>
      <w:r w:rsidRPr="00403F08">
        <w:rPr>
          <w:lang w:val="fr-CH"/>
        </w:rPr>
        <w:t>Madrid</w:t>
      </w:r>
      <w:r w:rsidR="00665AE5">
        <w:rPr>
          <w:lang w:val="fr-CH"/>
        </w:rPr>
        <w:t>;  et</w:t>
      </w:r>
      <w:proofErr w:type="gramEnd"/>
    </w:p>
    <w:p w14:paraId="63C906DF" w14:textId="77777777" w:rsidR="00417F8D" w:rsidRDefault="00D2710C" w:rsidP="00665AE5">
      <w:pPr>
        <w:pStyle w:val="ONUMFS"/>
        <w:numPr>
          <w:ilvl w:val="1"/>
          <w:numId w:val="3"/>
        </w:numPr>
        <w:rPr>
          <w:lang w:val="fr-CH"/>
        </w:rPr>
      </w:pPr>
      <w:r w:rsidRPr="00403F08">
        <w:rPr>
          <w:lang w:val="fr-CH"/>
        </w:rPr>
        <w:t>Rapport à l</w:t>
      </w:r>
      <w:r w:rsidR="000A3166">
        <w:rPr>
          <w:lang w:val="fr-CH"/>
        </w:rPr>
        <w:t>’</w:t>
      </w:r>
      <w:r w:rsidRPr="00403F08">
        <w:rPr>
          <w:lang w:val="fr-CH"/>
        </w:rPr>
        <w:t>intention de la direction concernant les systèmes de gestion des demandes des clients</w:t>
      </w:r>
      <w:r w:rsidR="00665AE5">
        <w:rPr>
          <w:lang w:val="fr-CH"/>
        </w:rPr>
        <w:t xml:space="preserve"> (projet </w:t>
      </w:r>
      <w:r w:rsidR="00665AE5" w:rsidRPr="00665AE5">
        <w:rPr>
          <w:lang w:val="fr-CH"/>
        </w:rPr>
        <w:t xml:space="preserve">diffusé </w:t>
      </w:r>
      <w:r w:rsidR="00665AE5">
        <w:rPr>
          <w:lang w:val="fr-CH"/>
        </w:rPr>
        <w:t>aux fins d’observations)</w:t>
      </w:r>
      <w:r w:rsidR="00226044" w:rsidRPr="00403F08">
        <w:rPr>
          <w:lang w:val="fr-CH"/>
        </w:rPr>
        <w:t>.</w:t>
      </w:r>
    </w:p>
    <w:p w14:paraId="1A234FA6" w14:textId="77777777" w:rsidR="00417F8D" w:rsidRDefault="00297F93" w:rsidP="002E030A">
      <w:pPr>
        <w:pStyle w:val="ONUMFS"/>
        <w:rPr>
          <w:lang w:val="fr-CH"/>
        </w:rPr>
      </w:pPr>
      <w:r w:rsidRPr="00403F08">
        <w:rPr>
          <w:lang w:val="fr-CH"/>
        </w:rPr>
        <w:t>La DSI a poursuivi son dialogue avec la direction en vue de faire régulièrement le point sur la mise en œuvre des recommandations en suspens et d</w:t>
      </w:r>
      <w:r w:rsidR="000A3166">
        <w:rPr>
          <w:lang w:val="fr-CH"/>
        </w:rPr>
        <w:t>’</w:t>
      </w:r>
      <w:r w:rsidRPr="00403F08">
        <w:rPr>
          <w:lang w:val="fr-CH"/>
        </w:rPr>
        <w:t>actualiser les données y relativ</w:t>
      </w:r>
      <w:r w:rsidR="00007093" w:rsidRPr="00403F08">
        <w:rPr>
          <w:lang w:val="fr-CH"/>
        </w:rPr>
        <w:t>es</w:t>
      </w:r>
      <w:r w:rsidR="00007093">
        <w:rPr>
          <w:lang w:val="fr-CH"/>
        </w:rPr>
        <w:t xml:space="preserve">.  </w:t>
      </w:r>
      <w:r w:rsidR="00007093" w:rsidRPr="00403F08">
        <w:rPr>
          <w:lang w:val="fr-CH"/>
        </w:rPr>
        <w:t>To</w:t>
      </w:r>
      <w:r w:rsidRPr="00403F08">
        <w:rPr>
          <w:lang w:val="fr-CH"/>
        </w:rPr>
        <w:t>utes les recommandations sont mises en œuvre par la direction sous la forme d</w:t>
      </w:r>
      <w:r w:rsidR="000A3166">
        <w:rPr>
          <w:lang w:val="fr-CH"/>
        </w:rPr>
        <w:t>’</w:t>
      </w:r>
      <w:r w:rsidRPr="00403F08">
        <w:rPr>
          <w:lang w:val="fr-CH"/>
        </w:rPr>
        <w:t>un plan d</w:t>
      </w:r>
      <w:r w:rsidR="000A3166">
        <w:rPr>
          <w:lang w:val="fr-CH"/>
        </w:rPr>
        <w:t>’</w:t>
      </w:r>
      <w:r w:rsidRPr="00403F08">
        <w:rPr>
          <w:lang w:val="fr-CH"/>
        </w:rPr>
        <w:t>action comprenant les suggestions d</w:t>
      </w:r>
      <w:r w:rsidR="000A3166">
        <w:rPr>
          <w:lang w:val="fr-CH"/>
        </w:rPr>
        <w:t>’</w:t>
      </w:r>
      <w:r w:rsidRPr="00403F08">
        <w:rPr>
          <w:lang w:val="fr-CH"/>
        </w:rPr>
        <w:t xml:space="preserve">activités, les noms des membres </w:t>
      </w:r>
      <w:proofErr w:type="gramStart"/>
      <w:r w:rsidRPr="00403F08">
        <w:rPr>
          <w:lang w:val="fr-CH"/>
        </w:rPr>
        <w:t>du personnel responsables</w:t>
      </w:r>
      <w:proofErr w:type="gramEnd"/>
      <w:r w:rsidRPr="00403F08">
        <w:rPr>
          <w:lang w:val="fr-CH"/>
        </w:rPr>
        <w:t xml:space="preserve"> de la mise en œuvre de la recommandation et une date</w:t>
      </w:r>
      <w:r w:rsidR="00353ADC">
        <w:rPr>
          <w:lang w:val="fr-CH"/>
        </w:rPr>
        <w:t>-</w:t>
      </w:r>
      <w:r w:rsidRPr="00403F08">
        <w:rPr>
          <w:lang w:val="fr-CH"/>
        </w:rPr>
        <w:t>buto</w:t>
      </w:r>
      <w:r w:rsidR="00007093" w:rsidRPr="00403F08">
        <w:rPr>
          <w:lang w:val="fr-CH"/>
        </w:rPr>
        <w:t>ir</w:t>
      </w:r>
      <w:r w:rsidR="00007093">
        <w:rPr>
          <w:lang w:val="fr-CH"/>
        </w:rPr>
        <w:t xml:space="preserve">.  </w:t>
      </w:r>
      <w:r w:rsidR="00007093" w:rsidRPr="00403F08">
        <w:rPr>
          <w:lang w:val="fr-CH"/>
        </w:rPr>
        <w:t>Le</w:t>
      </w:r>
      <w:r w:rsidRPr="00403F08">
        <w:rPr>
          <w:lang w:val="fr-CH"/>
        </w:rPr>
        <w:t xml:space="preserve">s recommandations de supervision sont gérées au moyen du système </w:t>
      </w:r>
      <w:proofErr w:type="spellStart"/>
      <w:r w:rsidRPr="00403F08">
        <w:rPr>
          <w:lang w:val="fr-CH"/>
        </w:rPr>
        <w:t>TeamCentral</w:t>
      </w:r>
      <w:proofErr w:type="spellEnd"/>
      <w:r w:rsidRPr="00403F08">
        <w:rPr>
          <w:lang w:val="fr-CH"/>
        </w:rPr>
        <w:t>©</w:t>
      </w:r>
      <w:r w:rsidRPr="00403F08">
        <w:rPr>
          <w:rStyle w:val="FootnoteReference"/>
          <w:lang w:val="fr-CH"/>
        </w:rPr>
        <w:footnoteReference w:id="4"/>
      </w:r>
      <w:r w:rsidRPr="00403F08">
        <w:rPr>
          <w:lang w:val="fr-CH"/>
        </w:rPr>
        <w:t>, accessible par</w:t>
      </w:r>
      <w:r w:rsidR="00353ADC" w:rsidRPr="00403F08">
        <w:rPr>
          <w:lang w:val="fr-CH"/>
        </w:rPr>
        <w:t xml:space="preserve"> la</w:t>
      </w:r>
      <w:r w:rsidR="00353ADC">
        <w:rPr>
          <w:lang w:val="fr-CH"/>
        </w:rPr>
        <w:t> </w:t>
      </w:r>
      <w:r w:rsidR="00353ADC" w:rsidRPr="00403F08">
        <w:rPr>
          <w:lang w:val="fr-CH"/>
        </w:rPr>
        <w:t>DSI</w:t>
      </w:r>
      <w:r w:rsidRPr="00403F08">
        <w:rPr>
          <w:lang w:val="fr-CH"/>
        </w:rPr>
        <w:t>, la direction de l</w:t>
      </w:r>
      <w:r w:rsidR="000A3166">
        <w:rPr>
          <w:lang w:val="fr-CH"/>
        </w:rPr>
        <w:t>’</w:t>
      </w:r>
      <w:r w:rsidRPr="00403F08">
        <w:rPr>
          <w:lang w:val="fr-CH"/>
        </w:rPr>
        <w:t>OMPI et les vérificateurs externes des comptes.</w:t>
      </w:r>
    </w:p>
    <w:p w14:paraId="145E9071" w14:textId="77777777" w:rsidR="00417F8D" w:rsidRDefault="00297F93" w:rsidP="002E030A">
      <w:pPr>
        <w:pStyle w:val="Heading2"/>
      </w:pPr>
      <w:bookmarkStart w:id="22" w:name="_Toc466452885"/>
      <w:bookmarkStart w:id="23" w:name="_Toc476745977"/>
      <w:r w:rsidRPr="00403F08">
        <w:t xml:space="preserve">Audit des systèmes </w:t>
      </w:r>
      <w:r w:rsidR="00743761" w:rsidRPr="00403F08">
        <w:t xml:space="preserve">DE sécurité EN MATIÈRE </w:t>
      </w:r>
      <w:r w:rsidRPr="00403F08">
        <w:t>d</w:t>
      </w:r>
      <w:r w:rsidR="000A3166">
        <w:t>’</w:t>
      </w:r>
      <w:r w:rsidRPr="00403F08">
        <w:t>accès physique</w:t>
      </w:r>
      <w:bookmarkEnd w:id="22"/>
    </w:p>
    <w:p w14:paraId="1C00F9E1" w14:textId="77777777" w:rsidR="00417F8D" w:rsidRDefault="00297F93" w:rsidP="002E030A">
      <w:pPr>
        <w:pStyle w:val="ONUMFS"/>
        <w:rPr>
          <w:lang w:val="fr-CH"/>
        </w:rPr>
      </w:pPr>
      <w:r w:rsidRPr="00403F08">
        <w:rPr>
          <w:lang w:val="fr-CH"/>
        </w:rPr>
        <w:t>L</w:t>
      </w:r>
      <w:r w:rsidR="000A3166">
        <w:rPr>
          <w:lang w:val="fr-CH"/>
        </w:rPr>
        <w:t>’</w:t>
      </w:r>
      <w:r w:rsidRPr="00403F08">
        <w:rPr>
          <w:lang w:val="fr-CH"/>
        </w:rPr>
        <w:t xml:space="preserve">audit a </w:t>
      </w:r>
      <w:r w:rsidR="000E7D04" w:rsidRPr="00403F08">
        <w:rPr>
          <w:lang w:val="fr-CH"/>
        </w:rPr>
        <w:t>révélé</w:t>
      </w:r>
      <w:r w:rsidRPr="00403F08">
        <w:rPr>
          <w:lang w:val="fr-CH"/>
        </w:rPr>
        <w:t xml:space="preserve"> que la direction </w:t>
      </w:r>
      <w:r w:rsidRPr="00CF78E3">
        <w:rPr>
          <w:lang w:val="fr-CH"/>
        </w:rPr>
        <w:t xml:space="preserve">et le personnel </w:t>
      </w:r>
      <w:r w:rsidR="000E7D04">
        <w:rPr>
          <w:lang w:val="fr-CH"/>
        </w:rPr>
        <w:t>avaie</w:t>
      </w:r>
      <w:r w:rsidRPr="00CF78E3">
        <w:rPr>
          <w:lang w:val="fr-CH"/>
        </w:rPr>
        <w:t>nt apporté la preuve de leur engagement en faveur de la mise en place, de l</w:t>
      </w:r>
      <w:r w:rsidR="000A3166">
        <w:rPr>
          <w:lang w:val="fr-CH"/>
        </w:rPr>
        <w:t>’</w:t>
      </w:r>
      <w:r w:rsidRPr="00CF78E3">
        <w:rPr>
          <w:lang w:val="fr-CH"/>
        </w:rPr>
        <w:t>entretien et de l</w:t>
      </w:r>
      <w:r w:rsidR="000A3166">
        <w:rPr>
          <w:lang w:val="fr-CH"/>
        </w:rPr>
        <w:t>’</w:t>
      </w:r>
      <w:r w:rsidRPr="00CF78E3">
        <w:rPr>
          <w:lang w:val="fr-CH"/>
        </w:rPr>
        <w:t>amélioration de</w:t>
      </w:r>
      <w:r w:rsidR="00226044" w:rsidRPr="00CF78E3">
        <w:rPr>
          <w:lang w:val="fr-CH"/>
        </w:rPr>
        <w:t xml:space="preserve"> solides</w:t>
      </w:r>
      <w:r w:rsidRPr="00CF78E3">
        <w:rPr>
          <w:lang w:val="fr-CH"/>
        </w:rPr>
        <w:t xml:space="preserve"> pro</w:t>
      </w:r>
      <w:r w:rsidR="00226044" w:rsidRPr="00CF78E3">
        <w:rPr>
          <w:lang w:val="fr-CH"/>
        </w:rPr>
        <w:t>cessu</w:t>
      </w:r>
      <w:r w:rsidRPr="00CF78E3">
        <w:rPr>
          <w:lang w:val="fr-CH"/>
        </w:rPr>
        <w:t xml:space="preserve">s de gestion </w:t>
      </w:r>
      <w:r w:rsidR="000E7D04" w:rsidRPr="00CF78E3">
        <w:rPr>
          <w:lang w:val="fr-CH"/>
        </w:rPr>
        <w:t xml:space="preserve">des systèmes </w:t>
      </w:r>
      <w:r w:rsidR="000E7D04">
        <w:rPr>
          <w:lang w:val="fr-CH"/>
        </w:rPr>
        <w:t xml:space="preserve">de </w:t>
      </w:r>
      <w:r w:rsidR="00CF78E3" w:rsidRPr="00CF78E3">
        <w:rPr>
          <w:lang w:val="fr-CH"/>
        </w:rPr>
        <w:t>sécurité</w:t>
      </w:r>
      <w:r w:rsidR="000E7D04">
        <w:rPr>
          <w:lang w:val="fr-CH"/>
        </w:rPr>
        <w:t xml:space="preserve"> en matière</w:t>
      </w:r>
      <w:r w:rsidR="00CF78E3" w:rsidRPr="00CF78E3">
        <w:rPr>
          <w:lang w:val="fr-CH"/>
        </w:rPr>
        <w:t xml:space="preserve"> </w:t>
      </w:r>
      <w:r w:rsidRPr="00CF78E3">
        <w:rPr>
          <w:lang w:val="fr-CH"/>
        </w:rPr>
        <w:t>d</w:t>
      </w:r>
      <w:r w:rsidR="000A3166">
        <w:rPr>
          <w:lang w:val="fr-CH"/>
        </w:rPr>
        <w:t>’</w:t>
      </w:r>
      <w:r w:rsidRPr="00CF78E3">
        <w:rPr>
          <w:lang w:val="fr-CH"/>
        </w:rPr>
        <w:t>accès physique, étayés par des politiques, des procédures et des pratiques adaptées.</w:t>
      </w:r>
    </w:p>
    <w:p w14:paraId="5A9D4D74" w14:textId="77777777" w:rsidR="00417F8D" w:rsidRDefault="000E7D04" w:rsidP="002E030A">
      <w:pPr>
        <w:pStyle w:val="ONUMFS"/>
        <w:rPr>
          <w:lang w:val="fr-CH"/>
        </w:rPr>
      </w:pPr>
      <w:r>
        <w:rPr>
          <w:lang w:val="fr-CH"/>
        </w:rPr>
        <w:t>D</w:t>
      </w:r>
      <w:r w:rsidR="00297F93" w:rsidRPr="00CF78E3">
        <w:rPr>
          <w:lang w:val="fr-CH"/>
        </w:rPr>
        <w:t xml:space="preserve">es procédures </w:t>
      </w:r>
      <w:r>
        <w:rPr>
          <w:lang w:val="fr-CH"/>
        </w:rPr>
        <w:t>so</w:t>
      </w:r>
      <w:r w:rsidR="00297F93" w:rsidRPr="00CF78E3">
        <w:rPr>
          <w:lang w:val="fr-CH"/>
        </w:rPr>
        <w:t xml:space="preserve">nt </w:t>
      </w:r>
      <w:r>
        <w:rPr>
          <w:lang w:val="fr-CH"/>
        </w:rPr>
        <w:t>en place pour</w:t>
      </w:r>
      <w:r w:rsidR="00297F93" w:rsidRPr="00CF78E3">
        <w:rPr>
          <w:lang w:val="fr-CH"/>
        </w:rPr>
        <w:t xml:space="preserve"> protéger l</w:t>
      </w:r>
      <w:r>
        <w:rPr>
          <w:lang w:val="fr-CH"/>
        </w:rPr>
        <w:t xml:space="preserve">es </w:t>
      </w:r>
      <w:r w:rsidRPr="00CF78E3">
        <w:rPr>
          <w:lang w:val="fr-CH"/>
        </w:rPr>
        <w:t>systèmes</w:t>
      </w:r>
      <w:r w:rsidR="00297F93" w:rsidRPr="00CF78E3">
        <w:rPr>
          <w:lang w:val="fr-CH"/>
        </w:rPr>
        <w:t xml:space="preserve"> </w:t>
      </w:r>
      <w:r>
        <w:rPr>
          <w:lang w:val="fr-CH"/>
        </w:rPr>
        <w:t xml:space="preserve">de </w:t>
      </w:r>
      <w:r w:rsidR="00297F93" w:rsidRPr="00CF78E3">
        <w:rPr>
          <w:lang w:val="fr-CH"/>
        </w:rPr>
        <w:t xml:space="preserve">sécurité </w:t>
      </w:r>
      <w:r>
        <w:rPr>
          <w:lang w:val="fr-CH"/>
        </w:rPr>
        <w:t>en matière</w:t>
      </w:r>
      <w:r w:rsidRPr="00CF78E3">
        <w:rPr>
          <w:lang w:val="fr-CH"/>
        </w:rPr>
        <w:t xml:space="preserve"> d</w:t>
      </w:r>
      <w:r w:rsidR="000A3166">
        <w:rPr>
          <w:lang w:val="fr-CH"/>
        </w:rPr>
        <w:t>’</w:t>
      </w:r>
      <w:r w:rsidRPr="00CF78E3">
        <w:rPr>
          <w:lang w:val="fr-CH"/>
        </w:rPr>
        <w:t xml:space="preserve">accès </w:t>
      </w:r>
      <w:r w:rsidR="00297F93" w:rsidRPr="00CF78E3">
        <w:rPr>
          <w:lang w:val="fr-CH"/>
        </w:rPr>
        <w:t xml:space="preserve">physique </w:t>
      </w:r>
      <w:r>
        <w:rPr>
          <w:lang w:val="fr-CH"/>
        </w:rPr>
        <w:t>et</w:t>
      </w:r>
      <w:r w:rsidR="00297F93" w:rsidRPr="00CF78E3">
        <w:rPr>
          <w:lang w:val="fr-CH"/>
        </w:rPr>
        <w:t xml:space="preserve"> les données connexes, </w:t>
      </w:r>
      <w:r>
        <w:rPr>
          <w:lang w:val="fr-CH"/>
        </w:rPr>
        <w:t>ainsi que pour</w:t>
      </w:r>
      <w:r w:rsidR="00297F93" w:rsidRPr="00CF78E3">
        <w:rPr>
          <w:lang w:val="fr-CH"/>
        </w:rPr>
        <w:t xml:space="preserve"> gérer les droits d</w:t>
      </w:r>
      <w:r w:rsidR="000A3166">
        <w:rPr>
          <w:lang w:val="fr-CH"/>
        </w:rPr>
        <w:t>’</w:t>
      </w:r>
      <w:r w:rsidR="00297F93" w:rsidRPr="00CF78E3">
        <w:rPr>
          <w:lang w:val="fr-CH"/>
        </w:rPr>
        <w:t>acc</w:t>
      </w:r>
      <w:r w:rsidR="00007093" w:rsidRPr="00CF78E3">
        <w:rPr>
          <w:lang w:val="fr-CH"/>
        </w:rPr>
        <w:t>ès</w:t>
      </w:r>
      <w:r w:rsidR="00007093">
        <w:rPr>
          <w:lang w:val="fr-CH"/>
        </w:rPr>
        <w:t xml:space="preserve">.  </w:t>
      </w:r>
      <w:r w:rsidR="00007093" w:rsidRPr="00CF78E3">
        <w:rPr>
          <w:lang w:val="fr-CH"/>
        </w:rPr>
        <w:t>Le</w:t>
      </w:r>
      <w:r w:rsidR="00297F93" w:rsidRPr="00CF78E3">
        <w:rPr>
          <w:lang w:val="fr-CH"/>
        </w:rPr>
        <w:t>s tests effectués ont montré que les relevés d</w:t>
      </w:r>
      <w:r w:rsidR="000A3166">
        <w:rPr>
          <w:lang w:val="fr-CH"/>
        </w:rPr>
        <w:t>’</w:t>
      </w:r>
      <w:r w:rsidR="00297F93" w:rsidRPr="00CF78E3">
        <w:rPr>
          <w:lang w:val="fr-CH"/>
        </w:rPr>
        <w:t>accès fournissent des informations précises qui peuvent être associées à d</w:t>
      </w:r>
      <w:r w:rsidR="000A3166">
        <w:rPr>
          <w:lang w:val="fr-CH"/>
        </w:rPr>
        <w:t>’</w:t>
      </w:r>
      <w:r w:rsidR="00297F93" w:rsidRPr="00CF78E3">
        <w:rPr>
          <w:lang w:val="fr-CH"/>
        </w:rPr>
        <w:t xml:space="preserve">autres outils </w:t>
      </w:r>
      <w:r w:rsidR="00CF78E3" w:rsidRPr="00CF78E3">
        <w:rPr>
          <w:lang w:val="fr-CH"/>
        </w:rPr>
        <w:t>en matière d</w:t>
      </w:r>
      <w:r w:rsidR="000A3166">
        <w:rPr>
          <w:lang w:val="fr-CH"/>
        </w:rPr>
        <w:t>’</w:t>
      </w:r>
      <w:r w:rsidR="00297F93" w:rsidRPr="00CF78E3">
        <w:rPr>
          <w:lang w:val="fr-CH"/>
        </w:rPr>
        <w:t>accès physique tels que la vidéosurveillance.</w:t>
      </w:r>
    </w:p>
    <w:p w14:paraId="2D3BC7FE" w14:textId="77777777" w:rsidR="00417F8D" w:rsidRDefault="00297F93" w:rsidP="002E030A">
      <w:pPr>
        <w:pStyle w:val="ONUMFS"/>
        <w:rPr>
          <w:lang w:val="fr-CH"/>
        </w:rPr>
      </w:pPr>
      <w:r w:rsidRPr="00E87642">
        <w:rPr>
          <w:lang w:val="fr-CH"/>
        </w:rPr>
        <w:t xml:space="preserve">Si certaines recommandations </w:t>
      </w:r>
      <w:r w:rsidR="001A77A2">
        <w:rPr>
          <w:lang w:val="fr-CH"/>
        </w:rPr>
        <w:t>vis</w:t>
      </w:r>
      <w:r w:rsidR="00CF78E3" w:rsidRPr="00E87642">
        <w:rPr>
          <w:lang w:val="fr-CH"/>
        </w:rPr>
        <w:t>aient</w:t>
      </w:r>
      <w:r w:rsidRPr="00E87642">
        <w:rPr>
          <w:lang w:val="fr-CH"/>
        </w:rPr>
        <w:t xml:space="preserve"> </w:t>
      </w:r>
      <w:r w:rsidR="001A77A2">
        <w:rPr>
          <w:lang w:val="fr-CH"/>
        </w:rPr>
        <w:t>principal</w:t>
      </w:r>
      <w:r w:rsidRPr="00E87642">
        <w:rPr>
          <w:lang w:val="fr-CH"/>
        </w:rPr>
        <w:t>e</w:t>
      </w:r>
      <w:r w:rsidR="001A77A2">
        <w:rPr>
          <w:lang w:val="fr-CH"/>
        </w:rPr>
        <w:t>ment à</w:t>
      </w:r>
      <w:r w:rsidRPr="00E87642">
        <w:rPr>
          <w:lang w:val="fr-CH"/>
        </w:rPr>
        <w:t xml:space="preserve"> mieux documenter les processus et pratiques existants, afin d</w:t>
      </w:r>
      <w:r w:rsidR="000A3166">
        <w:rPr>
          <w:lang w:val="fr-CH"/>
        </w:rPr>
        <w:t>’</w:t>
      </w:r>
      <w:r w:rsidRPr="00E87642">
        <w:rPr>
          <w:lang w:val="fr-CH"/>
        </w:rPr>
        <w:t>améliorer les contrôles internes et la gouvernance, la Division de la sécurité et de l</w:t>
      </w:r>
      <w:r w:rsidR="000A3166">
        <w:rPr>
          <w:lang w:val="fr-CH"/>
        </w:rPr>
        <w:t>’</w:t>
      </w:r>
      <w:r w:rsidRPr="00E87642">
        <w:rPr>
          <w:lang w:val="fr-CH"/>
        </w:rPr>
        <w:t>assurance informatique d</w:t>
      </w:r>
      <w:r w:rsidR="00CF78E3" w:rsidRPr="00E87642">
        <w:rPr>
          <w:lang w:val="fr-CH"/>
        </w:rPr>
        <w:t>o</w:t>
      </w:r>
      <w:r w:rsidRPr="00E87642">
        <w:rPr>
          <w:lang w:val="fr-CH"/>
        </w:rPr>
        <w:t>it également prendre des mesures appropriées pour</w:t>
      </w:r>
      <w:r w:rsidR="00353ADC">
        <w:rPr>
          <w:lang w:val="fr-CH"/>
        </w:rPr>
        <w:t> :</w:t>
      </w:r>
    </w:p>
    <w:p w14:paraId="29F2AD89" w14:textId="77777777" w:rsidR="00417F8D" w:rsidRDefault="00542897" w:rsidP="002E030A">
      <w:pPr>
        <w:pStyle w:val="ONUMFS"/>
        <w:numPr>
          <w:ilvl w:val="1"/>
          <w:numId w:val="3"/>
        </w:numPr>
        <w:rPr>
          <w:lang w:val="fr-CH"/>
        </w:rPr>
      </w:pPr>
      <w:proofErr w:type="gramStart"/>
      <w:r w:rsidRPr="00E87642">
        <w:rPr>
          <w:lang w:val="fr-CH"/>
        </w:rPr>
        <w:lastRenderedPageBreak/>
        <w:t>améliorer</w:t>
      </w:r>
      <w:proofErr w:type="gramEnd"/>
      <w:r w:rsidRPr="00E87642">
        <w:rPr>
          <w:lang w:val="fr-CH"/>
        </w:rPr>
        <w:t xml:space="preserve"> l</w:t>
      </w:r>
      <w:r w:rsidR="001A77A2">
        <w:rPr>
          <w:lang w:val="fr-CH"/>
        </w:rPr>
        <w:t>a rapidité de l</w:t>
      </w:r>
      <w:r w:rsidR="000A3166">
        <w:rPr>
          <w:lang w:val="fr-CH"/>
        </w:rPr>
        <w:t>’</w:t>
      </w:r>
      <w:r w:rsidRPr="00E87642">
        <w:rPr>
          <w:lang w:val="fr-CH"/>
        </w:rPr>
        <w:t>analyse</w:t>
      </w:r>
      <w:r w:rsidR="001A77A2">
        <w:rPr>
          <w:lang w:val="fr-CH"/>
        </w:rPr>
        <w:t xml:space="preserve"> et de</w:t>
      </w:r>
      <w:r w:rsidRPr="00E87642">
        <w:rPr>
          <w:lang w:val="fr-CH"/>
        </w:rPr>
        <w:t xml:space="preserve">s alertes </w:t>
      </w:r>
      <w:r w:rsidR="00743761" w:rsidRPr="00E87642">
        <w:rPr>
          <w:lang w:val="fr-CH"/>
        </w:rPr>
        <w:t>relatives aux</w:t>
      </w:r>
      <w:r w:rsidRPr="00E87642">
        <w:rPr>
          <w:lang w:val="fr-CH"/>
        </w:rPr>
        <w:t xml:space="preserve"> connexions malveillantes, entre autres, en demandant au fournisseur chargé de la gestion du réseau de mettre en place des points de contrôle, des commutateurs et des </w:t>
      </w:r>
      <w:r w:rsidR="00743761" w:rsidRPr="00E87642">
        <w:rPr>
          <w:lang w:val="fr-CH"/>
        </w:rPr>
        <w:t>logs serveur</w:t>
      </w:r>
      <w:r w:rsidRPr="00E87642">
        <w:rPr>
          <w:lang w:val="fr-CH"/>
        </w:rPr>
        <w:t xml:space="preserve"> dans un système central de sécurité informatique et de</w:t>
      </w:r>
      <w:r w:rsidR="00E87642" w:rsidRPr="00E87642">
        <w:rPr>
          <w:lang w:val="fr-CH"/>
        </w:rPr>
        <w:t xml:space="preserve"> gestion de</w:t>
      </w:r>
      <w:r w:rsidRPr="00E87642">
        <w:rPr>
          <w:lang w:val="fr-CH"/>
        </w:rPr>
        <w:t>s événements;</w:t>
      </w:r>
    </w:p>
    <w:p w14:paraId="167A4985" w14:textId="77777777" w:rsidR="00417F8D" w:rsidRDefault="00542897" w:rsidP="002E030A">
      <w:pPr>
        <w:pStyle w:val="ONUMFS"/>
        <w:numPr>
          <w:ilvl w:val="1"/>
          <w:numId w:val="3"/>
        </w:numPr>
        <w:rPr>
          <w:lang w:val="fr-CH"/>
        </w:rPr>
      </w:pPr>
      <w:proofErr w:type="gramStart"/>
      <w:r w:rsidRPr="00E87642">
        <w:rPr>
          <w:lang w:val="fr-CH"/>
        </w:rPr>
        <w:t>protéger</w:t>
      </w:r>
      <w:proofErr w:type="gramEnd"/>
      <w:r w:rsidRPr="00E87642">
        <w:rPr>
          <w:lang w:val="fr-CH"/>
        </w:rPr>
        <w:t xml:space="preserve"> les actifs informatiques en maintenant et en actualisant régulièrement un inventaire nominatif des </w:t>
      </w:r>
      <w:r w:rsidRPr="001A77A2">
        <w:rPr>
          <w:lang w:val="fr-CH"/>
        </w:rPr>
        <w:t xml:space="preserve">systèmes </w:t>
      </w:r>
      <w:r w:rsidR="00E87642" w:rsidRPr="001A77A2">
        <w:rPr>
          <w:lang w:val="fr-CH"/>
        </w:rPr>
        <w:t>de sécurité en matière</w:t>
      </w:r>
      <w:r w:rsidR="00E87642" w:rsidRPr="00E87642">
        <w:rPr>
          <w:lang w:val="fr-CH"/>
        </w:rPr>
        <w:t xml:space="preserve"> </w:t>
      </w:r>
      <w:r w:rsidRPr="00E87642">
        <w:rPr>
          <w:lang w:val="fr-CH"/>
        </w:rPr>
        <w:t>d</w:t>
      </w:r>
      <w:r w:rsidR="000A3166">
        <w:rPr>
          <w:lang w:val="fr-CH"/>
        </w:rPr>
        <w:t>’</w:t>
      </w:r>
      <w:r w:rsidRPr="00E87642">
        <w:rPr>
          <w:lang w:val="fr-CH"/>
        </w:rPr>
        <w:t>accès physique, afin d</w:t>
      </w:r>
      <w:r w:rsidR="000A3166">
        <w:rPr>
          <w:lang w:val="fr-CH"/>
        </w:rPr>
        <w:t>’</w:t>
      </w:r>
      <w:r w:rsidRPr="00E87642">
        <w:rPr>
          <w:lang w:val="fr-CH"/>
        </w:rPr>
        <w:t>améliorer encore les mécanismes d</w:t>
      </w:r>
      <w:r w:rsidR="000A3166">
        <w:rPr>
          <w:lang w:val="fr-CH"/>
        </w:rPr>
        <w:t>’</w:t>
      </w:r>
      <w:r w:rsidRPr="00E87642">
        <w:rPr>
          <w:lang w:val="fr-CH"/>
        </w:rPr>
        <w:t>inventaire existants;</w:t>
      </w:r>
    </w:p>
    <w:p w14:paraId="3477B88A" w14:textId="77777777" w:rsidR="00417F8D" w:rsidRDefault="00542897" w:rsidP="002E030A">
      <w:pPr>
        <w:pStyle w:val="ONUMFS"/>
        <w:numPr>
          <w:ilvl w:val="1"/>
          <w:numId w:val="3"/>
        </w:numPr>
        <w:rPr>
          <w:lang w:val="fr-CH"/>
        </w:rPr>
      </w:pPr>
      <w:proofErr w:type="gramStart"/>
      <w:r w:rsidRPr="00E87642">
        <w:rPr>
          <w:lang w:val="fr-CH"/>
        </w:rPr>
        <w:t>améliorer</w:t>
      </w:r>
      <w:proofErr w:type="gramEnd"/>
      <w:r w:rsidRPr="00E87642">
        <w:rPr>
          <w:lang w:val="fr-CH"/>
        </w:rPr>
        <w:t xml:space="preserve"> la gestion des risques et, en particulier, les risques</w:t>
      </w:r>
      <w:r w:rsidR="00E87642" w:rsidRPr="00E87642">
        <w:rPr>
          <w:lang w:val="fr-CH"/>
        </w:rPr>
        <w:t xml:space="preserve"> de</w:t>
      </w:r>
      <w:r w:rsidRPr="00E87642">
        <w:rPr>
          <w:lang w:val="fr-CH"/>
        </w:rPr>
        <w:t xml:space="preserve"> tiers </w:t>
      </w:r>
      <w:r w:rsidR="00E87642" w:rsidRPr="00E87642">
        <w:rPr>
          <w:lang w:val="fr-CH"/>
        </w:rPr>
        <w:t>dans le cadre de</w:t>
      </w:r>
      <w:r w:rsidRPr="00E87642">
        <w:rPr>
          <w:lang w:val="fr-CH"/>
        </w:rPr>
        <w:t xml:space="preserve"> la mise en </w:t>
      </w:r>
      <w:r w:rsidR="00520F11" w:rsidRPr="00E87642">
        <w:rPr>
          <w:lang w:val="fr-CH"/>
        </w:rPr>
        <w:t>œuvre</w:t>
      </w:r>
      <w:r w:rsidRPr="00E87642">
        <w:rPr>
          <w:lang w:val="fr-CH"/>
        </w:rPr>
        <w:t xml:space="preserve"> de la politique relative aux prestataires de services de l</w:t>
      </w:r>
      <w:r w:rsidR="000A3166">
        <w:rPr>
          <w:lang w:val="fr-CH"/>
        </w:rPr>
        <w:t>’</w:t>
      </w:r>
      <w:r w:rsidRPr="00E87642">
        <w:rPr>
          <w:lang w:val="fr-CH"/>
        </w:rPr>
        <w:t xml:space="preserve">OMPI; </w:t>
      </w:r>
      <w:r w:rsidR="005B0739">
        <w:rPr>
          <w:lang w:val="fr-CH"/>
        </w:rPr>
        <w:t xml:space="preserve"> </w:t>
      </w:r>
      <w:r w:rsidRPr="00E87642">
        <w:rPr>
          <w:lang w:val="fr-CH"/>
        </w:rPr>
        <w:t>et</w:t>
      </w:r>
    </w:p>
    <w:p w14:paraId="4942532B" w14:textId="77777777" w:rsidR="00417F8D" w:rsidRDefault="00520F11" w:rsidP="002E030A">
      <w:pPr>
        <w:pStyle w:val="ONUMFS"/>
        <w:numPr>
          <w:ilvl w:val="1"/>
          <w:numId w:val="3"/>
        </w:numPr>
        <w:rPr>
          <w:lang w:val="fr-CH"/>
        </w:rPr>
      </w:pPr>
      <w:proofErr w:type="gramStart"/>
      <w:r w:rsidRPr="00E87642">
        <w:rPr>
          <w:lang w:val="fr-CH"/>
        </w:rPr>
        <w:t>assurer</w:t>
      </w:r>
      <w:proofErr w:type="gramEnd"/>
      <w:r w:rsidRPr="00E87642">
        <w:rPr>
          <w:lang w:val="fr-CH"/>
        </w:rPr>
        <w:t xml:space="preserve"> </w:t>
      </w:r>
      <w:r w:rsidR="00E87642" w:rsidRPr="00E87642">
        <w:rPr>
          <w:lang w:val="fr-CH"/>
        </w:rPr>
        <w:t>un</w:t>
      </w:r>
      <w:r w:rsidRPr="00E87642">
        <w:rPr>
          <w:lang w:val="fr-CH"/>
        </w:rPr>
        <w:t xml:space="preserve"> suivi effectif, l</w:t>
      </w:r>
      <w:r w:rsidR="000A3166">
        <w:rPr>
          <w:lang w:val="fr-CH"/>
        </w:rPr>
        <w:t>’</w:t>
      </w:r>
      <w:r w:rsidRPr="00E87642">
        <w:rPr>
          <w:lang w:val="fr-CH"/>
        </w:rPr>
        <w:t>a</w:t>
      </w:r>
      <w:r w:rsidR="00E87642" w:rsidRPr="00E87642">
        <w:rPr>
          <w:lang w:val="fr-CH"/>
        </w:rPr>
        <w:t>pplication du principe de</w:t>
      </w:r>
      <w:r w:rsidRPr="00E87642">
        <w:rPr>
          <w:lang w:val="fr-CH"/>
        </w:rPr>
        <w:t xml:space="preserve"> </w:t>
      </w:r>
      <w:r w:rsidR="00E87642" w:rsidRPr="00E87642">
        <w:rPr>
          <w:lang w:val="fr-CH"/>
        </w:rPr>
        <w:t>responsabili</w:t>
      </w:r>
      <w:r w:rsidRPr="00E87642">
        <w:rPr>
          <w:lang w:val="fr-CH"/>
        </w:rPr>
        <w:t>t</w:t>
      </w:r>
      <w:r w:rsidR="00E87642" w:rsidRPr="00E87642">
        <w:rPr>
          <w:lang w:val="fr-CH"/>
        </w:rPr>
        <w:t>é</w:t>
      </w:r>
      <w:r w:rsidRPr="00E87642">
        <w:rPr>
          <w:lang w:val="fr-CH"/>
        </w:rPr>
        <w:t xml:space="preserve"> et la visibilité en améliorant les modèles existants pour l</w:t>
      </w:r>
      <w:r w:rsidR="000A3166">
        <w:rPr>
          <w:lang w:val="fr-CH"/>
        </w:rPr>
        <w:t>’</w:t>
      </w:r>
      <w:r w:rsidRPr="00E87642">
        <w:rPr>
          <w:lang w:val="fr-CH"/>
        </w:rPr>
        <w:t>établissement de rapports.</w:t>
      </w:r>
    </w:p>
    <w:bookmarkEnd w:id="23"/>
    <w:p w14:paraId="38F5DB05" w14:textId="77777777" w:rsidR="00417F8D" w:rsidRDefault="00520F11" w:rsidP="002E030A">
      <w:pPr>
        <w:pStyle w:val="Heading2"/>
        <w:rPr>
          <w:rStyle w:val="Heading2Char"/>
        </w:rPr>
      </w:pPr>
      <w:r w:rsidRPr="00E87642">
        <w:t>Audit du portefeuille de projets pour la planification des ressources de l</w:t>
      </w:r>
      <w:r w:rsidR="000A3166">
        <w:t>’</w:t>
      </w:r>
      <w:r w:rsidRPr="00E87642">
        <w:t>OMPI</w:t>
      </w:r>
      <w:r w:rsidR="00390574" w:rsidRPr="00E87642">
        <w:t xml:space="preserve"> </w:t>
      </w:r>
      <w:r w:rsidR="00E87642">
        <w:t>(ERP)</w:t>
      </w:r>
    </w:p>
    <w:p w14:paraId="1514403D" w14:textId="77777777" w:rsidR="00417F8D" w:rsidRDefault="00520F11" w:rsidP="002E030A">
      <w:pPr>
        <w:pStyle w:val="ONUMFS"/>
        <w:rPr>
          <w:lang w:val="fr-CH"/>
        </w:rPr>
      </w:pPr>
      <w:bookmarkStart w:id="24" w:name="_Toc476745979"/>
      <w:r w:rsidRPr="00E87642">
        <w:rPr>
          <w:lang w:val="fr-CH"/>
        </w:rPr>
        <w:t>L</w:t>
      </w:r>
      <w:r w:rsidR="000A3166">
        <w:rPr>
          <w:lang w:val="fr-CH"/>
        </w:rPr>
        <w:t>’</w:t>
      </w:r>
      <w:r w:rsidRPr="00E87642">
        <w:rPr>
          <w:lang w:val="fr-CH"/>
        </w:rPr>
        <w:t>audit a permis de constater que, bien que les délais de mise en œuvre du portefeuille de projets ERP aient été révisés plus d</w:t>
      </w:r>
      <w:r w:rsidR="000A3166">
        <w:rPr>
          <w:lang w:val="fr-CH"/>
        </w:rPr>
        <w:t>’</w:t>
      </w:r>
      <w:r w:rsidRPr="00E87642">
        <w:rPr>
          <w:lang w:val="fr-CH"/>
        </w:rPr>
        <w:t xml:space="preserve">une fois entre la date prévue </w:t>
      </w:r>
      <w:r w:rsidR="00353ADC" w:rsidRPr="00E87642">
        <w:rPr>
          <w:lang w:val="fr-CH"/>
        </w:rPr>
        <w:t>en</w:t>
      </w:r>
      <w:r w:rsidR="00353ADC">
        <w:rPr>
          <w:lang w:val="fr-CH"/>
        </w:rPr>
        <w:t> </w:t>
      </w:r>
      <w:r w:rsidR="00353ADC" w:rsidRPr="00E87642">
        <w:rPr>
          <w:lang w:val="fr-CH"/>
        </w:rPr>
        <w:t>2015</w:t>
      </w:r>
      <w:r w:rsidRPr="00E87642">
        <w:rPr>
          <w:lang w:val="fr-CH"/>
        </w:rPr>
        <w:t xml:space="preserve"> et la clôture officielle en juillet</w:t>
      </w:r>
      <w:r w:rsidR="004036FF" w:rsidRPr="00E87642">
        <w:rPr>
          <w:lang w:val="fr-CH"/>
        </w:rPr>
        <w:t> </w:t>
      </w:r>
      <w:r w:rsidRPr="00E87642">
        <w:rPr>
          <w:lang w:val="fr-CH"/>
        </w:rPr>
        <w:t>2018, l</w:t>
      </w:r>
      <w:r w:rsidR="000A3166">
        <w:rPr>
          <w:lang w:val="fr-CH"/>
        </w:rPr>
        <w:t>’</w:t>
      </w:r>
      <w:r w:rsidRPr="00E87642">
        <w:rPr>
          <w:lang w:val="fr-CH"/>
        </w:rPr>
        <w:t>OMPI a exécuté les projets dans les limites du budget global de 25</w:t>
      </w:r>
      <w:r w:rsidR="004036FF" w:rsidRPr="00E87642">
        <w:rPr>
          <w:lang w:val="fr-CH"/>
        </w:rPr>
        <w:t> </w:t>
      </w:r>
      <w:r w:rsidRPr="00E87642">
        <w:rPr>
          <w:lang w:val="fr-CH"/>
        </w:rPr>
        <w:t xml:space="preserve">millions de francs suisses approuvé par les États membres </w:t>
      </w:r>
      <w:r w:rsidR="00353ADC" w:rsidRPr="00E87642">
        <w:rPr>
          <w:lang w:val="fr-CH"/>
        </w:rPr>
        <w:t>en</w:t>
      </w:r>
      <w:r w:rsidR="00353ADC">
        <w:rPr>
          <w:lang w:val="fr-CH"/>
        </w:rPr>
        <w:t> </w:t>
      </w:r>
      <w:r w:rsidR="00353ADC" w:rsidRPr="00E87642">
        <w:rPr>
          <w:lang w:val="fr-CH"/>
        </w:rPr>
        <w:t>2010</w:t>
      </w:r>
      <w:r w:rsidRPr="00E87642">
        <w:rPr>
          <w:lang w:val="fr-CH"/>
        </w:rPr>
        <w:t>.</w:t>
      </w:r>
    </w:p>
    <w:p w14:paraId="73B0F104" w14:textId="77777777" w:rsidR="00417F8D" w:rsidRDefault="00520F11" w:rsidP="002E030A">
      <w:pPr>
        <w:pStyle w:val="ONUMFS"/>
        <w:rPr>
          <w:lang w:val="fr-CH"/>
        </w:rPr>
      </w:pPr>
      <w:r w:rsidRPr="00E87642">
        <w:rPr>
          <w:lang w:val="fr-CH"/>
        </w:rPr>
        <w:t>Le plan de concrétisation des avantages du portefeuille ERP prévo</w:t>
      </w:r>
      <w:r w:rsidR="00E87642" w:rsidRPr="00E87642">
        <w:rPr>
          <w:lang w:val="fr-CH"/>
        </w:rPr>
        <w:t>yai</w:t>
      </w:r>
      <w:r w:rsidRPr="00E87642">
        <w:rPr>
          <w:lang w:val="fr-CH"/>
        </w:rPr>
        <w:t>t 132</w:t>
      </w:r>
      <w:r w:rsidR="004036FF" w:rsidRPr="00E87642">
        <w:rPr>
          <w:lang w:val="fr-CH"/>
        </w:rPr>
        <w:t> </w:t>
      </w:r>
      <w:r w:rsidRPr="00E87642">
        <w:rPr>
          <w:lang w:val="fr-CH"/>
        </w:rPr>
        <w:t xml:space="preserve">avantages, dont 82% ont été </w:t>
      </w:r>
      <w:r w:rsidR="00E87642" w:rsidRPr="00E87642">
        <w:rPr>
          <w:lang w:val="fr-CH"/>
        </w:rPr>
        <w:t>obten</w:t>
      </w:r>
      <w:r w:rsidR="00007093" w:rsidRPr="00E87642">
        <w:rPr>
          <w:lang w:val="fr-CH"/>
        </w:rPr>
        <w:t>us</w:t>
      </w:r>
      <w:r w:rsidR="00007093">
        <w:rPr>
          <w:lang w:val="fr-CH"/>
        </w:rPr>
        <w:t xml:space="preserve">.  </w:t>
      </w:r>
      <w:r w:rsidR="00007093" w:rsidRPr="00E87642">
        <w:rPr>
          <w:lang w:val="fr-CH"/>
        </w:rPr>
        <w:t>Il</w:t>
      </w:r>
      <w:r w:rsidR="00B37FC7" w:rsidRPr="00E87642">
        <w:rPr>
          <w:lang w:val="fr-CH"/>
        </w:rPr>
        <w:t xml:space="preserve"> reste néanmoins possible de tirer des avantages supplémentaires du portefeuille ERP </w:t>
      </w:r>
      <w:r w:rsidR="00E87642" w:rsidRPr="00E87642">
        <w:rPr>
          <w:lang w:val="fr-CH"/>
        </w:rPr>
        <w:t>en établissant</w:t>
      </w:r>
      <w:r w:rsidR="00B37FC7" w:rsidRPr="00E87642">
        <w:rPr>
          <w:lang w:val="fr-CH"/>
        </w:rPr>
        <w:t xml:space="preserve"> un mécanisme de collaboration visant à aider les </w:t>
      </w:r>
      <w:r w:rsidR="00415CC2">
        <w:rPr>
          <w:lang w:val="fr-CH"/>
        </w:rPr>
        <w:t>secteurs d</w:t>
      </w:r>
      <w:r w:rsidR="000A3166">
        <w:rPr>
          <w:lang w:val="fr-CH"/>
        </w:rPr>
        <w:t>’</w:t>
      </w:r>
      <w:r w:rsidR="00415CC2">
        <w:rPr>
          <w:lang w:val="fr-CH"/>
        </w:rPr>
        <w:t>activité concernés</w:t>
      </w:r>
      <w:r w:rsidR="00B37FC7" w:rsidRPr="00E87642">
        <w:rPr>
          <w:lang w:val="fr-CH"/>
        </w:rPr>
        <w:t xml:space="preserve"> à</w:t>
      </w:r>
      <w:r w:rsidR="001A77A2">
        <w:rPr>
          <w:lang w:val="fr-CH"/>
        </w:rPr>
        <w:t xml:space="preserve"> </w:t>
      </w:r>
      <w:r w:rsidR="001A77A2" w:rsidRPr="001A77A2">
        <w:rPr>
          <w:lang w:val="fr-CH"/>
        </w:rPr>
        <w:t>mieux</w:t>
      </w:r>
      <w:r w:rsidR="00B37FC7" w:rsidRPr="001A77A2">
        <w:rPr>
          <w:lang w:val="fr-CH"/>
        </w:rPr>
        <w:t xml:space="preserve"> tirer parti des solutions proposées et des processus connexes.</w:t>
      </w:r>
    </w:p>
    <w:p w14:paraId="3AE609EF" w14:textId="77777777" w:rsidR="00417F8D" w:rsidRDefault="007E6275" w:rsidP="002E030A">
      <w:pPr>
        <w:pStyle w:val="ONUMFS"/>
        <w:rPr>
          <w:lang w:val="fr-CH"/>
        </w:rPr>
      </w:pPr>
      <w:r w:rsidRPr="001A77A2">
        <w:rPr>
          <w:lang w:val="fr-CH"/>
        </w:rPr>
        <w:t>En outre, étant donné que l</w:t>
      </w:r>
      <w:r w:rsidR="000A3166">
        <w:rPr>
          <w:lang w:val="fr-CH"/>
        </w:rPr>
        <w:t>’</w:t>
      </w:r>
      <w:r w:rsidRPr="001A77A2">
        <w:rPr>
          <w:lang w:val="fr-CH"/>
        </w:rPr>
        <w:t xml:space="preserve">Organisation </w:t>
      </w:r>
      <w:r w:rsidR="001A77A2" w:rsidRPr="001A77A2">
        <w:rPr>
          <w:lang w:val="fr-CH"/>
        </w:rPr>
        <w:t>est sur le point de</w:t>
      </w:r>
      <w:r w:rsidRPr="001A77A2">
        <w:rPr>
          <w:lang w:val="fr-CH"/>
        </w:rPr>
        <w:t xml:space="preserve"> passer à l</w:t>
      </w:r>
      <w:r w:rsidR="000A3166">
        <w:rPr>
          <w:lang w:val="fr-CH"/>
        </w:rPr>
        <w:t>’</w:t>
      </w:r>
      <w:r w:rsidRPr="001A77A2">
        <w:rPr>
          <w:lang w:val="fr-CH"/>
        </w:rPr>
        <w:t xml:space="preserve">informatique en nuage, le comité chargé de la mise en </w:t>
      </w:r>
      <w:r w:rsidR="004036FF" w:rsidRPr="001A77A2">
        <w:rPr>
          <w:lang w:val="fr-CH"/>
        </w:rPr>
        <w:t>œ</w:t>
      </w:r>
      <w:r w:rsidRPr="001A77A2">
        <w:rPr>
          <w:lang w:val="fr-CH"/>
        </w:rPr>
        <w:t>uvre du portefeuille AIMS doit jouer un rôle de premier plan dans l</w:t>
      </w:r>
      <w:r w:rsidR="000A3166">
        <w:rPr>
          <w:lang w:val="fr-CH"/>
        </w:rPr>
        <w:t>’</w:t>
      </w:r>
      <w:r w:rsidRPr="001A77A2">
        <w:rPr>
          <w:lang w:val="fr-CH"/>
        </w:rPr>
        <w:t>examen de l</w:t>
      </w:r>
      <w:r w:rsidR="000A3166">
        <w:rPr>
          <w:lang w:val="fr-CH"/>
        </w:rPr>
        <w:t>’</w:t>
      </w:r>
      <w:r w:rsidRPr="001A77A2">
        <w:rPr>
          <w:lang w:val="fr-CH"/>
        </w:rPr>
        <w:t>incidence potentielle de cette évolution sur le système ERP et les politiques, r</w:t>
      </w:r>
      <w:r w:rsidR="004036FF" w:rsidRPr="001A77A2">
        <w:rPr>
          <w:lang w:val="fr-CH"/>
        </w:rPr>
        <w:t>è</w:t>
      </w:r>
      <w:r w:rsidRPr="001A77A2">
        <w:rPr>
          <w:lang w:val="fr-CH"/>
        </w:rPr>
        <w:t>glements, règles et pratiques connexes de l</w:t>
      </w:r>
      <w:r w:rsidR="000A3166">
        <w:rPr>
          <w:lang w:val="fr-CH"/>
        </w:rPr>
        <w:t>’</w:t>
      </w:r>
      <w:r w:rsidRPr="001A77A2">
        <w:rPr>
          <w:lang w:val="fr-CH"/>
        </w:rPr>
        <w:t xml:space="preserve">Organisation, </w:t>
      </w:r>
      <w:r w:rsidR="001A77A2" w:rsidRPr="001A77A2">
        <w:rPr>
          <w:lang w:val="fr-CH"/>
        </w:rPr>
        <w:t xml:space="preserve">dans un souci </w:t>
      </w:r>
      <w:r w:rsidR="00690663" w:rsidRPr="001A77A2">
        <w:rPr>
          <w:lang w:val="fr-CH"/>
        </w:rPr>
        <w:t>d</w:t>
      </w:r>
      <w:r w:rsidR="000A3166">
        <w:rPr>
          <w:lang w:val="fr-CH"/>
        </w:rPr>
        <w:t>’</w:t>
      </w:r>
      <w:r w:rsidRPr="001A77A2">
        <w:rPr>
          <w:lang w:val="fr-CH"/>
        </w:rPr>
        <w:t>adapta</w:t>
      </w:r>
      <w:r w:rsidR="001A77A2" w:rsidRPr="001A77A2">
        <w:rPr>
          <w:lang w:val="fr-CH"/>
        </w:rPr>
        <w:t>bilité</w:t>
      </w:r>
      <w:r w:rsidRPr="001A77A2">
        <w:rPr>
          <w:lang w:val="fr-CH"/>
        </w:rPr>
        <w:t xml:space="preserve">, </w:t>
      </w:r>
      <w:r w:rsidR="001A77A2" w:rsidRPr="001A77A2">
        <w:rPr>
          <w:lang w:val="fr-CH"/>
        </w:rPr>
        <w:t>d</w:t>
      </w:r>
      <w:r w:rsidR="000A3166">
        <w:rPr>
          <w:lang w:val="fr-CH"/>
        </w:rPr>
        <w:t>’</w:t>
      </w:r>
      <w:r w:rsidR="00690663" w:rsidRPr="001A77A2">
        <w:rPr>
          <w:lang w:val="fr-CH"/>
        </w:rPr>
        <w:t>harmonisation</w:t>
      </w:r>
      <w:r w:rsidRPr="001A77A2">
        <w:rPr>
          <w:lang w:val="fr-CH"/>
        </w:rPr>
        <w:t xml:space="preserve"> et </w:t>
      </w:r>
      <w:r w:rsidR="001A77A2" w:rsidRPr="001A77A2">
        <w:rPr>
          <w:lang w:val="fr-CH"/>
        </w:rPr>
        <w:t>de</w:t>
      </w:r>
      <w:r w:rsidRPr="001A77A2">
        <w:rPr>
          <w:lang w:val="fr-CH"/>
        </w:rPr>
        <w:t xml:space="preserve"> continuité des opérations, entre autres.</w:t>
      </w:r>
    </w:p>
    <w:p w14:paraId="7E358B3B" w14:textId="77777777" w:rsidR="00417F8D" w:rsidRDefault="00415CC2" w:rsidP="002E030A">
      <w:pPr>
        <w:pStyle w:val="ONUMFS"/>
        <w:rPr>
          <w:lang w:val="fr-CH"/>
        </w:rPr>
      </w:pPr>
      <w:r>
        <w:rPr>
          <w:lang w:val="fr-CH"/>
        </w:rPr>
        <w:t>Par ailleurs</w:t>
      </w:r>
      <w:r w:rsidR="007E6275" w:rsidRPr="001A77A2">
        <w:rPr>
          <w:lang w:val="fr-CH"/>
        </w:rPr>
        <w:t xml:space="preserve">, </w:t>
      </w:r>
      <w:r w:rsidR="00690663" w:rsidRPr="001A77A2">
        <w:rPr>
          <w:lang w:val="fr-CH"/>
        </w:rPr>
        <w:t>la mise en place d</w:t>
      </w:r>
      <w:r w:rsidR="000A3166">
        <w:rPr>
          <w:lang w:val="fr-CH"/>
        </w:rPr>
        <w:t>’</w:t>
      </w:r>
      <w:r w:rsidR="00690663" w:rsidRPr="001A77A2">
        <w:rPr>
          <w:lang w:val="fr-CH"/>
        </w:rPr>
        <w:t xml:space="preserve">un processus interne prévoyant dès le départ des accords de prestation de services et des comptes connexes pour les demandes de services auprès du Centre international de calcul des </w:t>
      </w:r>
      <w:r w:rsidR="00353ADC">
        <w:rPr>
          <w:lang w:val="fr-CH"/>
        </w:rPr>
        <w:t>Nations Unies</w:t>
      </w:r>
      <w:r w:rsidR="00690663" w:rsidRPr="001A77A2">
        <w:rPr>
          <w:lang w:val="fr-CH"/>
        </w:rPr>
        <w:t xml:space="preserve"> serait utile pour </w:t>
      </w:r>
      <w:r w:rsidR="007E6275" w:rsidRPr="001A77A2">
        <w:rPr>
          <w:lang w:val="fr-CH"/>
        </w:rPr>
        <w:t>la gestion des grands projets informatiques au sein de l</w:t>
      </w:r>
      <w:r w:rsidR="000A3166">
        <w:rPr>
          <w:lang w:val="fr-CH"/>
        </w:rPr>
        <w:t>’</w:t>
      </w:r>
      <w:r w:rsidR="007E6275" w:rsidRPr="001A77A2">
        <w:rPr>
          <w:lang w:val="fr-CH"/>
        </w:rPr>
        <w:t>O</w:t>
      </w:r>
      <w:r w:rsidR="00007093" w:rsidRPr="001A77A2">
        <w:rPr>
          <w:lang w:val="fr-CH"/>
        </w:rPr>
        <w:t>MPI</w:t>
      </w:r>
      <w:r w:rsidR="00007093">
        <w:rPr>
          <w:lang w:val="fr-CH"/>
        </w:rPr>
        <w:t xml:space="preserve">.  </w:t>
      </w:r>
      <w:r w:rsidR="00007093" w:rsidRPr="001A77A2">
        <w:rPr>
          <w:lang w:val="fr-CH"/>
        </w:rPr>
        <w:t>El</w:t>
      </w:r>
      <w:r w:rsidR="00690663" w:rsidRPr="001A77A2">
        <w:rPr>
          <w:lang w:val="fr-CH"/>
        </w:rPr>
        <w:t>le</w:t>
      </w:r>
      <w:r w:rsidR="007E6275" w:rsidRPr="001A77A2">
        <w:rPr>
          <w:lang w:val="fr-CH"/>
        </w:rPr>
        <w:t xml:space="preserve"> permettrait de mieux tenir compte des coûts correspondants et d</w:t>
      </w:r>
      <w:r w:rsidR="000A3166">
        <w:rPr>
          <w:lang w:val="fr-CH"/>
        </w:rPr>
        <w:t>’</w:t>
      </w:r>
      <w:r w:rsidR="007E6275" w:rsidRPr="001A77A2">
        <w:rPr>
          <w:lang w:val="fr-CH"/>
        </w:rPr>
        <w:t xml:space="preserve">éviter les problèmes de rapprochement des comptes rencontrés lors de la mise en </w:t>
      </w:r>
      <w:r w:rsidR="004036FF" w:rsidRPr="001A77A2">
        <w:rPr>
          <w:lang w:val="fr-CH"/>
        </w:rPr>
        <w:t>œ</w:t>
      </w:r>
      <w:r w:rsidR="007E6275" w:rsidRPr="001A77A2">
        <w:rPr>
          <w:lang w:val="fr-CH"/>
        </w:rPr>
        <w:t>uvre du portefeuille ERP.</w:t>
      </w:r>
    </w:p>
    <w:p w14:paraId="027CB600" w14:textId="77777777" w:rsidR="00417F8D" w:rsidRDefault="004036FF" w:rsidP="002E030A">
      <w:pPr>
        <w:pStyle w:val="ONUMFS"/>
        <w:rPr>
          <w:lang w:val="fr-CH"/>
        </w:rPr>
      </w:pPr>
      <w:r w:rsidRPr="001A77A2">
        <w:rPr>
          <w:lang w:val="fr-CH"/>
        </w:rPr>
        <w:t>Parmi les possibilités recensées pour améliorer la gestion des projets figurent l</w:t>
      </w:r>
      <w:r w:rsidR="000A3166">
        <w:rPr>
          <w:lang w:val="fr-CH"/>
        </w:rPr>
        <w:t>’</w:t>
      </w:r>
      <w:r w:rsidRPr="001A77A2">
        <w:rPr>
          <w:lang w:val="fr-CH"/>
        </w:rPr>
        <w:t>élaboration d</w:t>
      </w:r>
      <w:r w:rsidR="000A3166">
        <w:rPr>
          <w:lang w:val="fr-CH"/>
        </w:rPr>
        <w:t>’</w:t>
      </w:r>
      <w:r w:rsidR="008B7924">
        <w:rPr>
          <w:lang w:val="fr-CH"/>
        </w:rPr>
        <w:t>une nomenclature commune pour la classification, le</w:t>
      </w:r>
      <w:r w:rsidRPr="001A77A2">
        <w:rPr>
          <w:lang w:val="fr-CH"/>
        </w:rPr>
        <w:t xml:space="preserve"> classement et l</w:t>
      </w:r>
      <w:r w:rsidR="000A3166">
        <w:rPr>
          <w:lang w:val="fr-CH"/>
        </w:rPr>
        <w:t>’</w:t>
      </w:r>
      <w:r w:rsidRPr="001A77A2">
        <w:rPr>
          <w:lang w:val="fr-CH"/>
        </w:rPr>
        <w:t>archivage des documents relatifs aux projets au sein du système de gestion des contenus de l</w:t>
      </w:r>
      <w:r w:rsidR="000A3166">
        <w:rPr>
          <w:lang w:val="fr-CH"/>
        </w:rPr>
        <w:t>’</w:t>
      </w:r>
      <w:r w:rsidRPr="001A77A2">
        <w:rPr>
          <w:lang w:val="fr-CH"/>
        </w:rPr>
        <w:t>Organisation, afin d</w:t>
      </w:r>
      <w:r w:rsidR="000A3166">
        <w:rPr>
          <w:lang w:val="fr-CH"/>
        </w:rPr>
        <w:t>’</w:t>
      </w:r>
      <w:r w:rsidRPr="001A77A2">
        <w:rPr>
          <w:lang w:val="fr-CH"/>
        </w:rPr>
        <w:t>accroître la précision et l</w:t>
      </w:r>
      <w:r w:rsidR="000A3166">
        <w:rPr>
          <w:lang w:val="fr-CH"/>
        </w:rPr>
        <w:t>’</w:t>
      </w:r>
      <w:r w:rsidRPr="001A77A2">
        <w:rPr>
          <w:lang w:val="fr-CH"/>
        </w:rPr>
        <w:t>exhaustivité de la documentation relative aux projets et d</w:t>
      </w:r>
      <w:r w:rsidR="000A3166">
        <w:rPr>
          <w:lang w:val="fr-CH"/>
        </w:rPr>
        <w:t>’</w:t>
      </w:r>
      <w:r w:rsidRPr="001A77A2">
        <w:rPr>
          <w:lang w:val="fr-CH"/>
        </w:rPr>
        <w:t>en améliorer l</w:t>
      </w:r>
      <w:r w:rsidR="000A3166">
        <w:rPr>
          <w:lang w:val="fr-CH"/>
        </w:rPr>
        <w:t>’</w:t>
      </w:r>
      <w:r w:rsidRPr="001A77A2">
        <w:rPr>
          <w:lang w:val="fr-CH"/>
        </w:rPr>
        <w:t>accessibilité et le partage.</w:t>
      </w:r>
    </w:p>
    <w:p w14:paraId="2212A170" w14:textId="77777777" w:rsidR="00417F8D" w:rsidRDefault="001663FD" w:rsidP="002E030A">
      <w:pPr>
        <w:pStyle w:val="ONUMFS"/>
        <w:rPr>
          <w:lang w:val="fr-CH"/>
        </w:rPr>
      </w:pPr>
      <w:r w:rsidRPr="00622D51">
        <w:rPr>
          <w:lang w:val="fr-CH"/>
        </w:rPr>
        <w:t xml:space="preserve">Enfin, </w:t>
      </w:r>
      <w:r w:rsidR="00415CC2" w:rsidRPr="00622D51">
        <w:rPr>
          <w:lang w:val="fr-CH"/>
        </w:rPr>
        <w:t xml:space="preserve">un certain nombre de </w:t>
      </w:r>
      <w:r w:rsidR="00415CC2">
        <w:rPr>
          <w:lang w:val="fr-CH"/>
        </w:rPr>
        <w:t xml:space="preserve">problèmes systémiques ayant trait à </w:t>
      </w:r>
      <w:r w:rsidR="00415CC2" w:rsidRPr="00622D51">
        <w:rPr>
          <w:lang w:val="fr-CH"/>
        </w:rPr>
        <w:t>la gestion efficace et rationnelle des projets dans le portefeuille ERP</w:t>
      </w:r>
      <w:r w:rsidR="00415CC2">
        <w:rPr>
          <w:lang w:val="fr-CH"/>
        </w:rPr>
        <w:t xml:space="preserve"> ont également été mis </w:t>
      </w:r>
      <w:r w:rsidR="00415CC2" w:rsidRPr="00622D51">
        <w:rPr>
          <w:lang w:val="fr-CH"/>
        </w:rPr>
        <w:t>en évidence</w:t>
      </w:r>
      <w:r w:rsidR="00415CC2">
        <w:rPr>
          <w:lang w:val="fr-CH"/>
        </w:rPr>
        <w:t xml:space="preserve"> par</w:t>
      </w:r>
      <w:r w:rsidR="00415CC2" w:rsidRPr="00622D51">
        <w:rPr>
          <w:lang w:val="fr-CH"/>
        </w:rPr>
        <w:t xml:space="preserve"> </w:t>
      </w:r>
      <w:r w:rsidR="00690663" w:rsidRPr="00622D51">
        <w:rPr>
          <w:lang w:val="fr-CH"/>
        </w:rPr>
        <w:t>l</w:t>
      </w:r>
      <w:r w:rsidR="000A3166">
        <w:rPr>
          <w:lang w:val="fr-CH"/>
        </w:rPr>
        <w:t>’</w:t>
      </w:r>
      <w:r w:rsidR="00690663" w:rsidRPr="00622D51">
        <w:rPr>
          <w:lang w:val="fr-CH"/>
        </w:rPr>
        <w:t>audit de la gestion de projets</w:t>
      </w:r>
      <w:r w:rsidR="00622D51" w:rsidRPr="00622D51">
        <w:rPr>
          <w:lang w:val="fr-CH"/>
        </w:rPr>
        <w:t xml:space="preserve"> à l</w:t>
      </w:r>
      <w:r w:rsidR="000A3166">
        <w:rPr>
          <w:lang w:val="fr-CH"/>
        </w:rPr>
        <w:t>’</w:t>
      </w:r>
      <w:r w:rsidR="00622D51" w:rsidRPr="00622D51">
        <w:rPr>
          <w:lang w:val="fr-CH"/>
        </w:rPr>
        <w:t>OMPI (IA 2016</w:t>
      </w:r>
      <w:r w:rsidR="00353ADC">
        <w:rPr>
          <w:lang w:val="fr-CH"/>
        </w:rPr>
        <w:t>-</w:t>
      </w:r>
      <w:r w:rsidR="00622D51" w:rsidRPr="00622D51">
        <w:rPr>
          <w:lang w:val="fr-CH"/>
        </w:rPr>
        <w:t>04)</w:t>
      </w:r>
      <w:r w:rsidR="00690663" w:rsidRPr="00622D51">
        <w:rPr>
          <w:rStyle w:val="FootnoteReference"/>
        </w:rPr>
        <w:footnoteReference w:id="5"/>
      </w:r>
      <w:r w:rsidR="00690663" w:rsidRPr="00622D51">
        <w:rPr>
          <w:lang w:val="fr-CH"/>
        </w:rPr>
        <w:t xml:space="preserve"> </w:t>
      </w:r>
      <w:r w:rsidR="00622D51" w:rsidRPr="00622D51">
        <w:rPr>
          <w:lang w:val="fr-CH"/>
        </w:rPr>
        <w:t>effectué par</w:t>
      </w:r>
      <w:r w:rsidR="00353ADC" w:rsidRPr="00622D51">
        <w:rPr>
          <w:lang w:val="fr-CH"/>
        </w:rPr>
        <w:t xml:space="preserve"> la</w:t>
      </w:r>
      <w:r w:rsidR="00353ADC">
        <w:rPr>
          <w:lang w:val="fr-CH"/>
        </w:rPr>
        <w:t> </w:t>
      </w:r>
      <w:r w:rsidR="00353ADC" w:rsidRPr="00622D51">
        <w:rPr>
          <w:lang w:val="fr-CH"/>
        </w:rPr>
        <w:t>DSI</w:t>
      </w:r>
      <w:r w:rsidR="00622D51" w:rsidRPr="00622D51">
        <w:rPr>
          <w:lang w:val="fr-CH"/>
        </w:rPr>
        <w:t xml:space="preserve"> </w:t>
      </w:r>
      <w:r w:rsidR="00353ADC" w:rsidRPr="00622D51">
        <w:rPr>
          <w:lang w:val="fr-CH"/>
        </w:rPr>
        <w:t>en</w:t>
      </w:r>
      <w:r w:rsidR="00353ADC">
        <w:rPr>
          <w:lang w:val="fr-CH"/>
        </w:rPr>
        <w:t> </w:t>
      </w:r>
      <w:r w:rsidR="00353ADC" w:rsidRPr="00622D51">
        <w:rPr>
          <w:lang w:val="fr-CH"/>
        </w:rPr>
        <w:t>2016</w:t>
      </w:r>
      <w:r w:rsidRPr="00622D51">
        <w:rPr>
          <w:lang w:val="fr-CH"/>
        </w:rPr>
        <w:t>.</w:t>
      </w:r>
      <w:r w:rsidR="00390574" w:rsidRPr="00622D51">
        <w:rPr>
          <w:lang w:val="fr-CH"/>
        </w:rPr>
        <w:t xml:space="preserve">  </w:t>
      </w:r>
      <w:r w:rsidRPr="00622D51">
        <w:rPr>
          <w:lang w:val="fr-CH"/>
        </w:rPr>
        <w:t xml:space="preserve">La mise en </w:t>
      </w:r>
      <w:r w:rsidR="004036FF" w:rsidRPr="00622D51">
        <w:rPr>
          <w:lang w:val="fr-CH"/>
        </w:rPr>
        <w:t>œuvre</w:t>
      </w:r>
      <w:r w:rsidRPr="00622D51">
        <w:rPr>
          <w:lang w:val="fr-CH"/>
        </w:rPr>
        <w:t xml:space="preserve"> des recommandations en suspens du rapport de gestion d</w:t>
      </w:r>
      <w:r w:rsidR="00690663" w:rsidRPr="00622D51">
        <w:rPr>
          <w:lang w:val="fr-CH"/>
        </w:rPr>
        <w:t>e</w:t>
      </w:r>
      <w:r w:rsidRPr="00622D51">
        <w:rPr>
          <w:lang w:val="fr-CH"/>
        </w:rPr>
        <w:t xml:space="preserve"> projet</w:t>
      </w:r>
      <w:r w:rsidR="00690663" w:rsidRPr="00622D51">
        <w:rPr>
          <w:lang w:val="fr-CH"/>
        </w:rPr>
        <w:t>s</w:t>
      </w:r>
      <w:r w:rsidRPr="00622D51">
        <w:rPr>
          <w:lang w:val="fr-CH"/>
        </w:rPr>
        <w:t xml:space="preserve"> aiderait à résoudre ces problèmes.</w:t>
      </w:r>
    </w:p>
    <w:p w14:paraId="75803805" w14:textId="77777777" w:rsidR="00417F8D" w:rsidRDefault="001663FD" w:rsidP="002E030A">
      <w:pPr>
        <w:pStyle w:val="Heading2"/>
      </w:pPr>
      <w:r w:rsidRPr="001663FD">
        <w:lastRenderedPageBreak/>
        <w:t>Audit des fonds fiduciaires gérés par l</w:t>
      </w:r>
      <w:r w:rsidR="000A3166">
        <w:t>’</w:t>
      </w:r>
      <w:r w:rsidRPr="001663FD">
        <w:t>OMPI</w:t>
      </w:r>
    </w:p>
    <w:p w14:paraId="2DF79953" w14:textId="77777777" w:rsidR="00417F8D" w:rsidRDefault="001663FD" w:rsidP="002E030A">
      <w:pPr>
        <w:pStyle w:val="ONUMFS"/>
        <w:rPr>
          <w:lang w:val="fr-CH"/>
        </w:rPr>
      </w:pPr>
      <w:r w:rsidRPr="00622D51">
        <w:rPr>
          <w:lang w:val="fr-CH"/>
        </w:rPr>
        <w:t>L</w:t>
      </w:r>
      <w:r w:rsidR="000A3166">
        <w:rPr>
          <w:lang w:val="fr-CH"/>
        </w:rPr>
        <w:t>’</w:t>
      </w:r>
      <w:r w:rsidRPr="00622D51">
        <w:rPr>
          <w:lang w:val="fr-CH"/>
        </w:rPr>
        <w:t>audit a révélé un certain nombre de faits positifs concernant la gestion et l</w:t>
      </w:r>
      <w:r w:rsidR="000A3166">
        <w:rPr>
          <w:lang w:val="fr-CH"/>
        </w:rPr>
        <w:t>’</w:t>
      </w:r>
      <w:r w:rsidRPr="00622D51">
        <w:rPr>
          <w:lang w:val="fr-CH"/>
        </w:rPr>
        <w:t>admin</w:t>
      </w:r>
      <w:r w:rsidR="00622D51" w:rsidRPr="00622D51">
        <w:rPr>
          <w:lang w:val="fr-CH"/>
        </w:rPr>
        <w:t>istration des fonds fiduciair</w:t>
      </w:r>
      <w:r w:rsidR="00007093" w:rsidRPr="00622D51">
        <w:rPr>
          <w:lang w:val="fr-CH"/>
        </w:rPr>
        <w:t>es</w:t>
      </w:r>
      <w:r w:rsidR="00007093">
        <w:rPr>
          <w:lang w:val="fr-CH"/>
        </w:rPr>
        <w:t xml:space="preserve">.  </w:t>
      </w:r>
      <w:r w:rsidR="00007093" w:rsidRPr="00622D51">
        <w:rPr>
          <w:lang w:val="fr-CH"/>
        </w:rPr>
        <w:t>Pa</w:t>
      </w:r>
      <w:r w:rsidR="00622D51" w:rsidRPr="00622D51">
        <w:rPr>
          <w:lang w:val="fr-CH"/>
        </w:rPr>
        <w:t xml:space="preserve">r exemple, on observe généralement un </w:t>
      </w:r>
      <w:r w:rsidR="005E6FB2">
        <w:rPr>
          <w:lang w:val="fr-CH"/>
        </w:rPr>
        <w:t>degré élevé</w:t>
      </w:r>
      <w:r w:rsidR="00622D51" w:rsidRPr="00622D51">
        <w:rPr>
          <w:lang w:val="fr-CH"/>
        </w:rPr>
        <w:t xml:space="preserve"> de respect du </w:t>
      </w:r>
      <w:r w:rsidRPr="00622D51">
        <w:rPr>
          <w:lang w:val="fr-CH"/>
        </w:rPr>
        <w:t>Règlement financier de l</w:t>
      </w:r>
      <w:r w:rsidR="000A3166">
        <w:rPr>
          <w:lang w:val="fr-CH"/>
        </w:rPr>
        <w:t>’</w:t>
      </w:r>
      <w:r w:rsidRPr="00622D51">
        <w:rPr>
          <w:lang w:val="fr-CH"/>
        </w:rPr>
        <w:t xml:space="preserve">OMPI et </w:t>
      </w:r>
      <w:r w:rsidR="00622D51" w:rsidRPr="00622D51">
        <w:rPr>
          <w:lang w:val="fr-CH"/>
        </w:rPr>
        <w:t xml:space="preserve">de </w:t>
      </w:r>
      <w:r w:rsidRPr="00622D51">
        <w:rPr>
          <w:lang w:val="fr-CH"/>
        </w:rPr>
        <w:t>son règlement d</w:t>
      </w:r>
      <w:r w:rsidR="000A3166">
        <w:rPr>
          <w:lang w:val="fr-CH"/>
        </w:rPr>
        <w:t>’</w:t>
      </w:r>
      <w:r w:rsidRPr="00622D51">
        <w:rPr>
          <w:lang w:val="fr-CH"/>
        </w:rPr>
        <w:t xml:space="preserve">exécution, </w:t>
      </w:r>
      <w:r w:rsidR="00622D51" w:rsidRPr="00622D51">
        <w:rPr>
          <w:lang w:val="fr-CH"/>
        </w:rPr>
        <w:t xml:space="preserve">des </w:t>
      </w:r>
      <w:r w:rsidRPr="00622D51">
        <w:rPr>
          <w:lang w:val="fr-CH"/>
        </w:rPr>
        <w:t>dispositions contenues dans les mémorandums d</w:t>
      </w:r>
      <w:r w:rsidR="000A3166">
        <w:rPr>
          <w:lang w:val="fr-CH"/>
        </w:rPr>
        <w:t>’</w:t>
      </w:r>
      <w:r w:rsidRPr="00622D51">
        <w:rPr>
          <w:lang w:val="fr-CH"/>
        </w:rPr>
        <w:t>accord et d</w:t>
      </w:r>
      <w:r w:rsidR="000A3166">
        <w:rPr>
          <w:lang w:val="fr-CH"/>
        </w:rPr>
        <w:t>’</w:t>
      </w:r>
      <w:r w:rsidRPr="00622D51">
        <w:rPr>
          <w:lang w:val="fr-CH"/>
        </w:rPr>
        <w:t xml:space="preserve">autres contrôles internes relatifs aux tâches </w:t>
      </w:r>
      <w:r w:rsidRPr="00400ACB">
        <w:rPr>
          <w:lang w:val="fr-CH"/>
        </w:rPr>
        <w:t>administratives.</w:t>
      </w:r>
    </w:p>
    <w:p w14:paraId="3C0DC50B" w14:textId="77777777" w:rsidR="00417F8D" w:rsidRDefault="00400ACB" w:rsidP="002E030A">
      <w:pPr>
        <w:pStyle w:val="ONUMFS"/>
        <w:rPr>
          <w:lang w:val="fr-CH"/>
        </w:rPr>
      </w:pPr>
      <w:r w:rsidRPr="00400ACB">
        <w:rPr>
          <w:lang w:val="fr-CH"/>
        </w:rPr>
        <w:t>La DSI fait néanmoins observer que</w:t>
      </w:r>
      <w:r w:rsidR="004036FF" w:rsidRPr="00400ACB">
        <w:rPr>
          <w:lang w:val="fr-CH"/>
        </w:rPr>
        <w:t xml:space="preserve"> l</w:t>
      </w:r>
      <w:r w:rsidR="000A3166">
        <w:rPr>
          <w:lang w:val="fr-CH"/>
        </w:rPr>
        <w:t>’</w:t>
      </w:r>
      <w:r w:rsidR="004036FF" w:rsidRPr="00400ACB">
        <w:rPr>
          <w:lang w:val="fr-CH"/>
        </w:rPr>
        <w:t xml:space="preserve">Organisation </w:t>
      </w:r>
      <w:r w:rsidRPr="00400ACB">
        <w:rPr>
          <w:lang w:val="fr-CH"/>
        </w:rPr>
        <w:t>peut encore</w:t>
      </w:r>
      <w:r w:rsidR="004036FF" w:rsidRPr="00400ACB">
        <w:rPr>
          <w:lang w:val="fr-CH"/>
        </w:rPr>
        <w:t xml:space="preserve"> renforcer la gestion des fonds fiduciair</w:t>
      </w:r>
      <w:r w:rsidR="00007093" w:rsidRPr="00400ACB">
        <w:rPr>
          <w:lang w:val="fr-CH"/>
        </w:rPr>
        <w:t>es</w:t>
      </w:r>
      <w:r w:rsidR="00007093">
        <w:rPr>
          <w:lang w:val="fr-CH"/>
        </w:rPr>
        <w:t xml:space="preserve">.  </w:t>
      </w:r>
      <w:r w:rsidR="00007093" w:rsidRPr="00400ACB">
        <w:rPr>
          <w:lang w:val="fr-CH"/>
        </w:rPr>
        <w:t>Ai</w:t>
      </w:r>
      <w:r w:rsidR="00690663" w:rsidRPr="00400ACB">
        <w:rPr>
          <w:lang w:val="fr-CH"/>
        </w:rPr>
        <w:t>nsi</w:t>
      </w:r>
      <w:r w:rsidR="004036FF" w:rsidRPr="00400ACB">
        <w:rPr>
          <w:lang w:val="fr-CH"/>
        </w:rPr>
        <w:t>, les parties prenantes internes concernées doivent collaborer avec les donateurs en vue d</w:t>
      </w:r>
      <w:r w:rsidR="000A3166">
        <w:rPr>
          <w:lang w:val="fr-CH"/>
        </w:rPr>
        <w:t>’</w:t>
      </w:r>
      <w:r w:rsidR="004036FF" w:rsidRPr="00400ACB">
        <w:rPr>
          <w:lang w:val="fr-CH"/>
        </w:rPr>
        <w:t>aligner progressivement les dépenses d</w:t>
      </w:r>
      <w:r w:rsidR="000A3166">
        <w:rPr>
          <w:lang w:val="fr-CH"/>
        </w:rPr>
        <w:t>’</w:t>
      </w:r>
      <w:r w:rsidR="004036FF" w:rsidRPr="00400ACB">
        <w:rPr>
          <w:lang w:val="fr-CH"/>
        </w:rPr>
        <w:t>appui existantes</w:t>
      </w:r>
      <w:r w:rsidR="00690663" w:rsidRPr="00400ACB">
        <w:rPr>
          <w:lang w:val="fr-CH"/>
        </w:rPr>
        <w:t xml:space="preserve">, </w:t>
      </w:r>
      <w:r>
        <w:rPr>
          <w:lang w:val="fr-CH"/>
        </w:rPr>
        <w:t>pour</w:t>
      </w:r>
      <w:r w:rsidR="004036FF" w:rsidRPr="00400ACB">
        <w:rPr>
          <w:lang w:val="fr-CH"/>
        </w:rPr>
        <w:t xml:space="preserve"> un certain nombre de fonds fiduciaires</w:t>
      </w:r>
      <w:r w:rsidR="00690663" w:rsidRPr="00400ACB">
        <w:rPr>
          <w:lang w:val="fr-CH"/>
        </w:rPr>
        <w:t>,</w:t>
      </w:r>
      <w:r w:rsidR="004036FF" w:rsidRPr="00400ACB">
        <w:rPr>
          <w:lang w:val="fr-CH"/>
        </w:rPr>
        <w:t xml:space="preserve"> sur le taux fixé dans la Politique de l</w:t>
      </w:r>
      <w:r w:rsidR="000A3166">
        <w:rPr>
          <w:lang w:val="fr-CH"/>
        </w:rPr>
        <w:t>’</w:t>
      </w:r>
      <w:r w:rsidR="004036FF" w:rsidRPr="00400ACB">
        <w:rPr>
          <w:lang w:val="fr-CH"/>
        </w:rPr>
        <w:t>OMPI en matière de gestion des contributions volontair</w:t>
      </w:r>
      <w:r w:rsidR="00007093" w:rsidRPr="00400ACB">
        <w:rPr>
          <w:lang w:val="fr-CH"/>
        </w:rPr>
        <w:t>es</w:t>
      </w:r>
      <w:r w:rsidR="00007093">
        <w:rPr>
          <w:lang w:val="fr-CH"/>
        </w:rPr>
        <w:t xml:space="preserve">.  </w:t>
      </w:r>
      <w:r w:rsidR="00007093" w:rsidRPr="00400ACB">
        <w:rPr>
          <w:lang w:val="fr-CH"/>
        </w:rPr>
        <w:t>Ce</w:t>
      </w:r>
      <w:r w:rsidR="004036FF" w:rsidRPr="00400ACB">
        <w:rPr>
          <w:lang w:val="fr-CH"/>
        </w:rPr>
        <w:t>la permettra à l</w:t>
      </w:r>
      <w:r w:rsidR="000A3166">
        <w:rPr>
          <w:lang w:val="fr-CH"/>
        </w:rPr>
        <w:t>’</w:t>
      </w:r>
      <w:r w:rsidR="004036FF" w:rsidRPr="00400ACB">
        <w:rPr>
          <w:lang w:val="fr-CH"/>
        </w:rPr>
        <w:t>Organisation de se conformer à ses politiques.</w:t>
      </w:r>
    </w:p>
    <w:p w14:paraId="637488F0" w14:textId="77777777" w:rsidR="00417F8D" w:rsidRDefault="004036FF" w:rsidP="002E030A">
      <w:pPr>
        <w:pStyle w:val="ONUMFS"/>
        <w:rPr>
          <w:lang w:val="fr-CH"/>
        </w:rPr>
      </w:pPr>
      <w:r w:rsidRPr="00A862F0">
        <w:rPr>
          <w:lang w:val="fr-CH"/>
        </w:rPr>
        <w:t xml:space="preserve">En outre, le processus de gestion des risques </w:t>
      </w:r>
      <w:r w:rsidR="00690663" w:rsidRPr="00A862F0">
        <w:rPr>
          <w:lang w:val="fr-CH"/>
        </w:rPr>
        <w:t>associés aux</w:t>
      </w:r>
      <w:r w:rsidRPr="00A862F0">
        <w:rPr>
          <w:lang w:val="fr-CH"/>
        </w:rPr>
        <w:t xml:space="preserve"> fonds fiduciaires peut </w:t>
      </w:r>
      <w:r w:rsidR="00400ACB" w:rsidRPr="00A862F0">
        <w:rPr>
          <w:lang w:val="fr-CH"/>
        </w:rPr>
        <w:t xml:space="preserve">également </w:t>
      </w:r>
      <w:r w:rsidRPr="00A862F0">
        <w:rPr>
          <w:lang w:val="fr-CH"/>
        </w:rPr>
        <w:t>être renforcé grâce à la collaboration entre les parties prenantes, avec l</w:t>
      </w:r>
      <w:r w:rsidR="000A3166">
        <w:rPr>
          <w:lang w:val="fr-CH"/>
        </w:rPr>
        <w:t>’</w:t>
      </w:r>
      <w:r w:rsidRPr="00A862F0">
        <w:rPr>
          <w:lang w:val="fr-CH"/>
        </w:rPr>
        <w:t xml:space="preserve">appui du Bureau du contrôleur, </w:t>
      </w:r>
      <w:r w:rsidR="00400ACB" w:rsidRPr="00A862F0">
        <w:rPr>
          <w:lang w:val="fr-CH"/>
        </w:rPr>
        <w:t>afin de</w:t>
      </w:r>
      <w:r w:rsidRPr="00A862F0">
        <w:rPr>
          <w:lang w:val="fr-CH"/>
        </w:rPr>
        <w:t xml:space="preserve"> faire en sorte que les risques soient identifiés en temps utile et que des stratégies d</w:t>
      </w:r>
      <w:r w:rsidR="000A3166">
        <w:rPr>
          <w:lang w:val="fr-CH"/>
        </w:rPr>
        <w:t>’</w:t>
      </w:r>
      <w:r w:rsidRPr="00A862F0">
        <w:rPr>
          <w:lang w:val="fr-CH"/>
        </w:rPr>
        <w:t>atténuation appropriées soient élaborées.</w:t>
      </w:r>
    </w:p>
    <w:p w14:paraId="53600013" w14:textId="77777777" w:rsidR="00417F8D" w:rsidRDefault="004036FF" w:rsidP="002E030A">
      <w:pPr>
        <w:pStyle w:val="ONUMFS"/>
        <w:rPr>
          <w:lang w:val="fr-CH"/>
        </w:rPr>
      </w:pPr>
      <w:r w:rsidRPr="00A862F0">
        <w:rPr>
          <w:lang w:val="fr-CH"/>
        </w:rPr>
        <w:t xml:space="preserve">La DSI </w:t>
      </w:r>
      <w:r w:rsidR="00A862F0" w:rsidRPr="00A862F0">
        <w:rPr>
          <w:lang w:val="fr-CH"/>
        </w:rPr>
        <w:t>fait observer</w:t>
      </w:r>
      <w:r w:rsidRPr="00A862F0">
        <w:rPr>
          <w:lang w:val="fr-CH"/>
        </w:rPr>
        <w:t xml:space="preserve"> que l</w:t>
      </w:r>
      <w:r w:rsidR="000A3166">
        <w:rPr>
          <w:lang w:val="fr-CH"/>
        </w:rPr>
        <w:t>’</w:t>
      </w:r>
      <w:r w:rsidRPr="00A862F0">
        <w:rPr>
          <w:lang w:val="fr-CH"/>
        </w:rPr>
        <w:t>Organisation doit prendre des mesures opportunes et adéquates pour faire face à la situation actuelle d</w:t>
      </w:r>
      <w:r w:rsidR="000A3166">
        <w:rPr>
          <w:lang w:val="fr-CH"/>
        </w:rPr>
        <w:t>’</w:t>
      </w:r>
      <w:r w:rsidRPr="00A862F0">
        <w:rPr>
          <w:lang w:val="fr-CH"/>
        </w:rPr>
        <w:t xml:space="preserve">un fonds fiduciaire qui ne compte aucune activité financière </w:t>
      </w:r>
      <w:r w:rsidR="001418DA" w:rsidRPr="00A862F0">
        <w:rPr>
          <w:lang w:val="fr-CH"/>
        </w:rPr>
        <w:t xml:space="preserve">ni aucune activité </w:t>
      </w:r>
      <w:r w:rsidRPr="00A862F0">
        <w:rPr>
          <w:lang w:val="fr-CH"/>
        </w:rPr>
        <w:t>de pro</w:t>
      </w:r>
      <w:r w:rsidR="00415CC2">
        <w:rPr>
          <w:lang w:val="fr-CH"/>
        </w:rPr>
        <w:t>gramme depuis près de 10 </w:t>
      </w:r>
      <w:r w:rsidRPr="00A862F0">
        <w:rPr>
          <w:lang w:val="fr-CH"/>
        </w:rPr>
        <w:t>a</w:t>
      </w:r>
      <w:r w:rsidR="00007093" w:rsidRPr="00A862F0">
        <w:rPr>
          <w:lang w:val="fr-CH"/>
        </w:rPr>
        <w:t>ns</w:t>
      </w:r>
      <w:r w:rsidR="00007093">
        <w:rPr>
          <w:lang w:val="fr-CH"/>
        </w:rPr>
        <w:t xml:space="preserve">.  </w:t>
      </w:r>
      <w:r w:rsidR="00007093" w:rsidRPr="00A862F0">
        <w:rPr>
          <w:lang w:val="fr-CH"/>
        </w:rPr>
        <w:t>Re</w:t>
      </w:r>
      <w:r w:rsidR="00400ACB" w:rsidRPr="00A862F0">
        <w:rPr>
          <w:lang w:val="fr-CH"/>
        </w:rPr>
        <w:t>médier à cette situation, en déterminant s</w:t>
      </w:r>
      <w:r w:rsidR="000A3166">
        <w:rPr>
          <w:lang w:val="fr-CH"/>
        </w:rPr>
        <w:t>’</w:t>
      </w:r>
      <w:r w:rsidR="00400ACB" w:rsidRPr="00A862F0">
        <w:rPr>
          <w:lang w:val="fr-CH"/>
        </w:rPr>
        <w:t>il convient de re</w:t>
      </w:r>
      <w:r w:rsidR="00F65AA3">
        <w:rPr>
          <w:lang w:val="fr-CH"/>
        </w:rPr>
        <w:t xml:space="preserve">conduire </w:t>
      </w:r>
      <w:r w:rsidR="00400ACB" w:rsidRPr="00A862F0">
        <w:rPr>
          <w:lang w:val="fr-CH"/>
        </w:rPr>
        <w:t>ou de clore</w:t>
      </w:r>
      <w:r w:rsidR="00A862F0" w:rsidRPr="00A862F0">
        <w:rPr>
          <w:lang w:val="fr-CH"/>
        </w:rPr>
        <w:t xml:space="preserve"> le fonds</w:t>
      </w:r>
      <w:r w:rsidR="00400ACB" w:rsidRPr="00A862F0">
        <w:rPr>
          <w:lang w:val="fr-CH"/>
        </w:rPr>
        <w:t>, permettra à l</w:t>
      </w:r>
      <w:r w:rsidR="000A3166">
        <w:rPr>
          <w:lang w:val="fr-CH"/>
        </w:rPr>
        <w:t>’</w:t>
      </w:r>
      <w:r w:rsidR="00400ACB" w:rsidRPr="00A862F0">
        <w:rPr>
          <w:lang w:val="fr-CH"/>
        </w:rPr>
        <w:t>OMPI de se conformer à ses politiques.</w:t>
      </w:r>
    </w:p>
    <w:p w14:paraId="1B2D2EC0" w14:textId="77777777" w:rsidR="00417F8D" w:rsidRDefault="00400ACB" w:rsidP="002E030A">
      <w:pPr>
        <w:pStyle w:val="ONUMFS"/>
        <w:rPr>
          <w:lang w:val="fr-CH"/>
        </w:rPr>
      </w:pPr>
      <w:r w:rsidRPr="00A862F0">
        <w:rPr>
          <w:lang w:val="fr-CH"/>
        </w:rPr>
        <w:t>En outre, l</w:t>
      </w:r>
      <w:r w:rsidR="000A3166">
        <w:rPr>
          <w:lang w:val="fr-CH"/>
        </w:rPr>
        <w:t>’</w:t>
      </w:r>
      <w:r w:rsidRPr="00A862F0">
        <w:rPr>
          <w:lang w:val="fr-CH"/>
        </w:rPr>
        <w:t>OMPI doit déterminer s</w:t>
      </w:r>
      <w:r w:rsidR="000A3166">
        <w:rPr>
          <w:lang w:val="fr-CH"/>
        </w:rPr>
        <w:t>’</w:t>
      </w:r>
      <w:r w:rsidRPr="00A862F0">
        <w:rPr>
          <w:lang w:val="fr-CH"/>
        </w:rPr>
        <w:t>il est nécessaire</w:t>
      </w:r>
      <w:r w:rsidR="00A862F0" w:rsidRPr="00A862F0">
        <w:rPr>
          <w:lang w:val="fr-CH"/>
        </w:rPr>
        <w:t xml:space="preserve"> et utile</w:t>
      </w:r>
      <w:r w:rsidRPr="00A862F0">
        <w:rPr>
          <w:lang w:val="fr-CH"/>
        </w:rPr>
        <w:t xml:space="preserve"> de </w:t>
      </w:r>
      <w:r w:rsidR="00A862F0" w:rsidRPr="00A862F0">
        <w:rPr>
          <w:lang w:val="fr-CH"/>
        </w:rPr>
        <w:t>mener</w:t>
      </w:r>
      <w:r w:rsidRPr="00A862F0">
        <w:rPr>
          <w:lang w:val="fr-CH"/>
        </w:rPr>
        <w:t xml:space="preserve"> des évaluations après la clôture des fonds fiduciaires, </w:t>
      </w:r>
      <w:r w:rsidR="00353ADC">
        <w:rPr>
          <w:lang w:val="fr-CH"/>
        </w:rPr>
        <w:t>y compris</w:t>
      </w:r>
      <w:r w:rsidRPr="00A862F0">
        <w:rPr>
          <w:lang w:val="fr-CH"/>
        </w:rPr>
        <w:t xml:space="preserve"> </w:t>
      </w:r>
      <w:r w:rsidR="00A862F0" w:rsidRPr="00A862F0">
        <w:rPr>
          <w:lang w:val="fr-CH"/>
        </w:rPr>
        <w:t>d</w:t>
      </w:r>
      <w:r w:rsidR="000A3166">
        <w:rPr>
          <w:lang w:val="fr-CH"/>
        </w:rPr>
        <w:t>’</w:t>
      </w:r>
      <w:r w:rsidRPr="00A862F0">
        <w:rPr>
          <w:lang w:val="fr-CH"/>
        </w:rPr>
        <w:t>harmonis</w:t>
      </w:r>
      <w:r w:rsidR="00A862F0" w:rsidRPr="00A862F0">
        <w:rPr>
          <w:lang w:val="fr-CH"/>
        </w:rPr>
        <w:t>er</w:t>
      </w:r>
      <w:r w:rsidRPr="00A862F0">
        <w:rPr>
          <w:lang w:val="fr-CH"/>
        </w:rPr>
        <w:t xml:space="preserve"> les dispositions correspondantes de la politique en matière de gestion des contributions volontaires avec la pratique actuelle.</w:t>
      </w:r>
    </w:p>
    <w:p w14:paraId="24D092A4" w14:textId="77777777" w:rsidR="00417F8D" w:rsidRDefault="0056121D" w:rsidP="002E030A">
      <w:pPr>
        <w:pStyle w:val="ONUMFS"/>
        <w:rPr>
          <w:lang w:val="fr-CH"/>
        </w:rPr>
      </w:pPr>
      <w:r w:rsidRPr="00A862F0">
        <w:rPr>
          <w:lang w:val="fr-CH"/>
        </w:rPr>
        <w:t>Enfin, pour appuyer davantage les efforts déployés par l</w:t>
      </w:r>
      <w:r w:rsidR="000A3166">
        <w:rPr>
          <w:lang w:val="fr-CH"/>
        </w:rPr>
        <w:t>’</w:t>
      </w:r>
      <w:r w:rsidRPr="00A862F0">
        <w:rPr>
          <w:lang w:val="fr-CH"/>
        </w:rPr>
        <w:t>Organisation pour tenir compte des préoccupations relatives à l</w:t>
      </w:r>
      <w:r w:rsidR="000A3166">
        <w:rPr>
          <w:lang w:val="fr-CH"/>
        </w:rPr>
        <w:t>’</w:t>
      </w:r>
      <w:r w:rsidRPr="00A862F0">
        <w:rPr>
          <w:lang w:val="fr-CH"/>
        </w:rPr>
        <w:t>égalité des sexes, le programme de travail relatif aux fonds fiduciaires, l</w:t>
      </w:r>
      <w:r w:rsidR="00F65AA3">
        <w:rPr>
          <w:lang w:val="fr-CH"/>
        </w:rPr>
        <w:t>a</w:t>
      </w:r>
      <w:r w:rsidRPr="00A862F0">
        <w:rPr>
          <w:lang w:val="fr-CH"/>
        </w:rPr>
        <w:t xml:space="preserve"> mise en œuvre</w:t>
      </w:r>
      <w:r w:rsidR="005E6FB2">
        <w:rPr>
          <w:lang w:val="fr-CH"/>
        </w:rPr>
        <w:t xml:space="preserve"> de ce </w:t>
      </w:r>
      <w:r w:rsidR="005E6FB2" w:rsidRPr="00A862F0">
        <w:rPr>
          <w:lang w:val="fr-CH"/>
        </w:rPr>
        <w:t>programme</w:t>
      </w:r>
      <w:r w:rsidRPr="00A862F0">
        <w:rPr>
          <w:lang w:val="fr-CH"/>
        </w:rPr>
        <w:t xml:space="preserve"> et l</w:t>
      </w:r>
      <w:r w:rsidR="000A3166">
        <w:rPr>
          <w:lang w:val="fr-CH"/>
        </w:rPr>
        <w:t>’</w:t>
      </w:r>
      <w:r w:rsidRPr="00A862F0">
        <w:rPr>
          <w:lang w:val="fr-CH"/>
        </w:rPr>
        <w:t>établissement de rapports doivent intégrer les questions liées à l</w:t>
      </w:r>
      <w:r w:rsidR="000A3166">
        <w:rPr>
          <w:lang w:val="fr-CH"/>
        </w:rPr>
        <w:t>’</w:t>
      </w:r>
      <w:r w:rsidRPr="00A862F0">
        <w:rPr>
          <w:lang w:val="fr-CH"/>
        </w:rPr>
        <w:t>égalité des sexes, s</w:t>
      </w:r>
      <w:r w:rsidR="000A3166">
        <w:rPr>
          <w:lang w:val="fr-CH"/>
        </w:rPr>
        <w:t>’</w:t>
      </w:r>
      <w:r w:rsidRPr="00A862F0">
        <w:rPr>
          <w:lang w:val="fr-CH"/>
        </w:rPr>
        <w:t>il y a lieu.</w:t>
      </w:r>
    </w:p>
    <w:p w14:paraId="540BFC99" w14:textId="77777777" w:rsidR="00417F8D" w:rsidRDefault="00A862F0" w:rsidP="002E030A">
      <w:pPr>
        <w:pStyle w:val="Heading2"/>
      </w:pPr>
      <w:r w:rsidRPr="00A862F0">
        <w:t xml:space="preserve">AUDIT de la mise en </w:t>
      </w:r>
      <w:r w:rsidR="00C33462">
        <w:t>Œ</w:t>
      </w:r>
      <w:r w:rsidRPr="00A862F0">
        <w:t>uvre de la stratégie de l</w:t>
      </w:r>
      <w:r w:rsidR="000A3166">
        <w:t>’</w:t>
      </w:r>
      <w:r w:rsidRPr="00A862F0">
        <w:t>ompi en matière d</w:t>
      </w:r>
      <w:r w:rsidR="000A3166">
        <w:t>’</w:t>
      </w:r>
      <w:r w:rsidRPr="00A862F0">
        <w:t>ASSURANCE informatique</w:t>
      </w:r>
    </w:p>
    <w:p w14:paraId="23938B75" w14:textId="77777777" w:rsidR="00417F8D" w:rsidRDefault="00A862F0" w:rsidP="002E030A">
      <w:pPr>
        <w:pStyle w:val="ONUMFS"/>
        <w:rPr>
          <w:lang w:val="fr-CH"/>
        </w:rPr>
      </w:pPr>
      <w:r w:rsidRPr="00415CC2">
        <w:rPr>
          <w:lang w:val="fr-CH"/>
        </w:rPr>
        <w:t xml:space="preserve">La DSI </w:t>
      </w:r>
      <w:r w:rsidR="00415CC2" w:rsidRPr="00415CC2">
        <w:rPr>
          <w:szCs w:val="22"/>
          <w:lang w:val="fr-CH"/>
        </w:rPr>
        <w:t xml:space="preserve">fait observer </w:t>
      </w:r>
      <w:r w:rsidRPr="00415CC2">
        <w:rPr>
          <w:lang w:val="fr-CH"/>
        </w:rPr>
        <w:t>que les parties prenantes interrogées estiment que les divers projets définis dans le cadre de la stratégie en matière d</w:t>
      </w:r>
      <w:r w:rsidR="000A3166">
        <w:rPr>
          <w:lang w:val="fr-CH"/>
        </w:rPr>
        <w:t>’</w:t>
      </w:r>
      <w:r w:rsidRPr="00415CC2">
        <w:rPr>
          <w:lang w:val="fr-CH"/>
        </w:rPr>
        <w:t xml:space="preserve">assurance informatique sont </w:t>
      </w:r>
      <w:r w:rsidR="00186108" w:rsidRPr="00415CC2">
        <w:rPr>
          <w:lang w:val="fr-CH"/>
        </w:rPr>
        <w:t>en adéquation avec les buts poursuiv</w:t>
      </w:r>
      <w:r w:rsidR="00007093" w:rsidRPr="00415CC2">
        <w:rPr>
          <w:lang w:val="fr-CH"/>
        </w:rPr>
        <w:t>is</w:t>
      </w:r>
      <w:r w:rsidR="00007093">
        <w:rPr>
          <w:lang w:val="fr-CH"/>
        </w:rPr>
        <w:t xml:space="preserve">.  </w:t>
      </w:r>
      <w:r w:rsidR="00007093" w:rsidRPr="00415CC2">
        <w:rPr>
          <w:lang w:val="fr-CH"/>
        </w:rPr>
        <w:t>Bi</w:t>
      </w:r>
      <w:r w:rsidRPr="00415CC2">
        <w:rPr>
          <w:lang w:val="fr-CH"/>
        </w:rPr>
        <w:t>en que l</w:t>
      </w:r>
      <w:r w:rsidR="000A3166">
        <w:rPr>
          <w:lang w:val="fr-CH"/>
        </w:rPr>
        <w:t>’</w:t>
      </w:r>
      <w:r w:rsidRPr="00415CC2">
        <w:rPr>
          <w:lang w:val="fr-CH"/>
        </w:rPr>
        <w:t>Organisation n</w:t>
      </w:r>
      <w:r w:rsidR="000A3166">
        <w:rPr>
          <w:lang w:val="fr-CH"/>
        </w:rPr>
        <w:t>’</w:t>
      </w:r>
      <w:r w:rsidRPr="00415CC2">
        <w:rPr>
          <w:lang w:val="fr-CH"/>
        </w:rPr>
        <w:t>ait pas décidé de dématérialiser son infrastructure, ses plateformes et ses logiciels informatiques,</w:t>
      </w:r>
      <w:r w:rsidR="00353ADC" w:rsidRPr="00415CC2">
        <w:rPr>
          <w:lang w:val="fr-CH"/>
        </w:rPr>
        <w:t xml:space="preserve"> la</w:t>
      </w:r>
      <w:r w:rsidR="00353ADC">
        <w:rPr>
          <w:lang w:val="fr-CH"/>
        </w:rPr>
        <w:t> </w:t>
      </w:r>
      <w:r w:rsidR="00353ADC" w:rsidRPr="00415CC2">
        <w:rPr>
          <w:lang w:val="fr-CH"/>
        </w:rPr>
        <w:t>DSI</w:t>
      </w:r>
      <w:r w:rsidRPr="00415CC2">
        <w:rPr>
          <w:lang w:val="fr-CH"/>
        </w:rPr>
        <w:t xml:space="preserve"> </w:t>
      </w:r>
      <w:r w:rsidR="00415CC2">
        <w:rPr>
          <w:lang w:val="fr-CH"/>
        </w:rPr>
        <w:t>précise</w:t>
      </w:r>
      <w:r w:rsidRPr="00415CC2">
        <w:rPr>
          <w:lang w:val="fr-CH"/>
        </w:rPr>
        <w:t xml:space="preserve"> que, lors de son élaboration </w:t>
      </w:r>
      <w:r w:rsidR="00353ADC" w:rsidRPr="00415CC2">
        <w:rPr>
          <w:lang w:val="fr-CH"/>
        </w:rPr>
        <w:t>en</w:t>
      </w:r>
      <w:r w:rsidR="00353ADC">
        <w:rPr>
          <w:lang w:val="fr-CH"/>
        </w:rPr>
        <w:t> </w:t>
      </w:r>
      <w:r w:rsidR="00353ADC" w:rsidRPr="00415CC2">
        <w:rPr>
          <w:lang w:val="fr-CH"/>
        </w:rPr>
        <w:t>2015</w:t>
      </w:r>
      <w:r w:rsidRPr="00415CC2">
        <w:rPr>
          <w:lang w:val="fr-CH"/>
        </w:rPr>
        <w:t>, la stratégie en matière d</w:t>
      </w:r>
      <w:r w:rsidR="000A3166">
        <w:rPr>
          <w:lang w:val="fr-CH"/>
        </w:rPr>
        <w:t>’</w:t>
      </w:r>
      <w:r w:rsidRPr="00415CC2">
        <w:rPr>
          <w:lang w:val="fr-CH"/>
        </w:rPr>
        <w:t>assurance informatique avait été conçue de manière à tenir compte de l</w:t>
      </w:r>
      <w:r w:rsidR="000A3166">
        <w:rPr>
          <w:lang w:val="fr-CH"/>
        </w:rPr>
        <w:t>’</w:t>
      </w:r>
      <w:r w:rsidRPr="00415CC2">
        <w:rPr>
          <w:lang w:val="fr-CH"/>
        </w:rPr>
        <w:t>évolution de la technologie et des mesures connexes de protection des données, telles que l</w:t>
      </w:r>
      <w:r w:rsidR="000A3166">
        <w:rPr>
          <w:lang w:val="fr-CH"/>
        </w:rPr>
        <w:t>’</w:t>
      </w:r>
      <w:r w:rsidRPr="00415CC2">
        <w:rPr>
          <w:lang w:val="fr-CH"/>
        </w:rPr>
        <w:t>utilisation de l</w:t>
      </w:r>
      <w:r w:rsidR="000A3166">
        <w:rPr>
          <w:lang w:val="fr-CH"/>
        </w:rPr>
        <w:t>’</w:t>
      </w:r>
      <w:r w:rsidRPr="00415CC2">
        <w:rPr>
          <w:lang w:val="fr-CH"/>
        </w:rPr>
        <w:t>informatique en nuage.</w:t>
      </w:r>
    </w:p>
    <w:p w14:paraId="0577E910" w14:textId="77777777" w:rsidR="00417F8D" w:rsidRDefault="00EA301F" w:rsidP="002E030A">
      <w:pPr>
        <w:pStyle w:val="ONUMFS"/>
        <w:rPr>
          <w:lang w:val="fr-CH"/>
        </w:rPr>
      </w:pPr>
      <w:r w:rsidRPr="00415CC2">
        <w:rPr>
          <w:lang w:val="fr-CH"/>
        </w:rPr>
        <w:t>L</w:t>
      </w:r>
      <w:r w:rsidR="000A3166">
        <w:rPr>
          <w:lang w:val="fr-CH"/>
        </w:rPr>
        <w:t>’</w:t>
      </w:r>
      <w:r w:rsidRPr="00415CC2">
        <w:rPr>
          <w:lang w:val="fr-CH"/>
        </w:rPr>
        <w:t>harmonisation de la stratégie en matière d</w:t>
      </w:r>
      <w:r w:rsidR="000A3166">
        <w:rPr>
          <w:lang w:val="fr-CH"/>
        </w:rPr>
        <w:t>’</w:t>
      </w:r>
      <w:r w:rsidRPr="00415CC2">
        <w:rPr>
          <w:lang w:val="fr-CH"/>
        </w:rPr>
        <w:t xml:space="preserve">assurance informatique avec la future politique en matière de protection des données, </w:t>
      </w:r>
      <w:r w:rsidR="00186108" w:rsidRPr="00415CC2">
        <w:rPr>
          <w:lang w:val="fr-CH"/>
        </w:rPr>
        <w:t>lorsque celle</w:t>
      </w:r>
      <w:r w:rsidR="00353ADC">
        <w:rPr>
          <w:lang w:val="fr-CH"/>
        </w:rPr>
        <w:t>-</w:t>
      </w:r>
      <w:r w:rsidR="00186108" w:rsidRPr="00415CC2">
        <w:rPr>
          <w:lang w:val="fr-CH"/>
        </w:rPr>
        <w:t>ci sera</w:t>
      </w:r>
      <w:r w:rsidR="007006BC">
        <w:rPr>
          <w:lang w:val="fr-CH"/>
        </w:rPr>
        <w:t xml:space="preserve"> finalisée, renforcera</w:t>
      </w:r>
      <w:r w:rsidRPr="00415CC2">
        <w:rPr>
          <w:lang w:val="fr-CH"/>
        </w:rPr>
        <w:t xml:space="preserve"> le caractère inclusif de la stratégie en matière d</w:t>
      </w:r>
      <w:r w:rsidR="000A3166">
        <w:rPr>
          <w:lang w:val="fr-CH"/>
        </w:rPr>
        <w:t>’</w:t>
      </w:r>
      <w:r w:rsidRPr="00415CC2">
        <w:rPr>
          <w:lang w:val="fr-CH"/>
        </w:rPr>
        <w:t xml:space="preserve">assurance informatique </w:t>
      </w:r>
      <w:r w:rsidR="00186108" w:rsidRPr="00415CC2">
        <w:rPr>
          <w:lang w:val="fr-CH"/>
        </w:rPr>
        <w:t>pour ce qui est de</w:t>
      </w:r>
      <w:r w:rsidRPr="00415CC2">
        <w:rPr>
          <w:lang w:val="fr-CH"/>
        </w:rPr>
        <w:t xml:space="preserve"> la gestion des incidents relatifs à l</w:t>
      </w:r>
      <w:r w:rsidR="000A3166">
        <w:rPr>
          <w:lang w:val="fr-CH"/>
        </w:rPr>
        <w:t>’</w:t>
      </w:r>
      <w:r w:rsidRPr="00415CC2">
        <w:rPr>
          <w:lang w:val="fr-CH"/>
        </w:rPr>
        <w:t xml:space="preserve">assurance informatique et des obligations connexes </w:t>
      </w:r>
      <w:r w:rsidR="00353ADC">
        <w:rPr>
          <w:lang w:val="fr-CH"/>
        </w:rPr>
        <w:t>à l</w:t>
      </w:r>
      <w:r w:rsidR="000A3166">
        <w:rPr>
          <w:lang w:val="fr-CH"/>
        </w:rPr>
        <w:t>’</w:t>
      </w:r>
      <w:r w:rsidR="00353ADC">
        <w:rPr>
          <w:lang w:val="fr-CH"/>
        </w:rPr>
        <w:t>égard</w:t>
      </w:r>
      <w:r w:rsidRPr="00415CC2">
        <w:rPr>
          <w:lang w:val="fr-CH"/>
        </w:rPr>
        <w:t xml:space="preserve"> des clients de l</w:t>
      </w:r>
      <w:r w:rsidR="000A3166">
        <w:rPr>
          <w:lang w:val="fr-CH"/>
        </w:rPr>
        <w:t>’</w:t>
      </w:r>
      <w:r w:rsidRPr="00415CC2">
        <w:rPr>
          <w:lang w:val="fr-CH"/>
        </w:rPr>
        <w:t>OMPI.</w:t>
      </w:r>
    </w:p>
    <w:p w14:paraId="57C25F8D" w14:textId="77777777" w:rsidR="00417F8D" w:rsidRDefault="00186108" w:rsidP="002E030A">
      <w:pPr>
        <w:pStyle w:val="ONUMFS"/>
        <w:rPr>
          <w:lang w:val="fr-CH"/>
        </w:rPr>
      </w:pPr>
      <w:r w:rsidRPr="007006BC">
        <w:rPr>
          <w:lang w:val="fr-CH"/>
        </w:rPr>
        <w:t>L</w:t>
      </w:r>
      <w:r w:rsidR="000A3166">
        <w:rPr>
          <w:lang w:val="fr-CH"/>
        </w:rPr>
        <w:t>’</w:t>
      </w:r>
      <w:r w:rsidRPr="007006BC">
        <w:rPr>
          <w:lang w:val="fr-CH"/>
        </w:rPr>
        <w:t xml:space="preserve">échelle de maturité </w:t>
      </w:r>
      <w:r w:rsidR="00F00180" w:rsidRPr="007006BC">
        <w:rPr>
          <w:lang w:val="fr-CH"/>
        </w:rPr>
        <w:t>en matière d</w:t>
      </w:r>
      <w:r w:rsidR="000A3166">
        <w:rPr>
          <w:lang w:val="fr-CH"/>
        </w:rPr>
        <w:t>’</w:t>
      </w:r>
      <w:r w:rsidRPr="007006BC">
        <w:rPr>
          <w:lang w:val="fr-CH"/>
        </w:rPr>
        <w:t>assurance informatique, mise au point par la Division de la sécurité et de l</w:t>
      </w:r>
      <w:r w:rsidR="000A3166">
        <w:rPr>
          <w:lang w:val="fr-CH"/>
        </w:rPr>
        <w:t>’</w:t>
      </w:r>
      <w:r w:rsidRPr="007006BC">
        <w:rPr>
          <w:lang w:val="fr-CH"/>
        </w:rPr>
        <w:t xml:space="preserve">assurance informatique, peut encore être améliorée </w:t>
      </w:r>
      <w:r w:rsidR="00F65AA3" w:rsidRPr="007006BC">
        <w:rPr>
          <w:lang w:val="fr-CH"/>
        </w:rPr>
        <w:t xml:space="preserve">grâce à une </w:t>
      </w:r>
      <w:r w:rsidRPr="007006BC">
        <w:rPr>
          <w:lang w:val="fr-CH"/>
        </w:rPr>
        <w:t>définition</w:t>
      </w:r>
      <w:r w:rsidR="00F65AA3" w:rsidRPr="007006BC">
        <w:rPr>
          <w:lang w:val="fr-CH"/>
        </w:rPr>
        <w:t xml:space="preserve"> plus préci</w:t>
      </w:r>
      <w:r w:rsidRPr="007006BC">
        <w:rPr>
          <w:lang w:val="fr-CH"/>
        </w:rPr>
        <w:t>s</w:t>
      </w:r>
      <w:r w:rsidR="00F65AA3" w:rsidRPr="007006BC">
        <w:rPr>
          <w:lang w:val="fr-CH"/>
        </w:rPr>
        <w:t>e</w:t>
      </w:r>
      <w:r w:rsidRPr="007006BC">
        <w:rPr>
          <w:lang w:val="fr-CH"/>
        </w:rPr>
        <w:t xml:space="preserve"> des composantes de l</w:t>
      </w:r>
      <w:r w:rsidR="000A3166">
        <w:rPr>
          <w:lang w:val="fr-CH"/>
        </w:rPr>
        <w:t>’</w:t>
      </w:r>
      <w:r w:rsidRPr="007006BC">
        <w:rPr>
          <w:lang w:val="fr-CH"/>
        </w:rPr>
        <w:t xml:space="preserve">échelle </w:t>
      </w:r>
      <w:r w:rsidR="00F65AA3" w:rsidRPr="007006BC">
        <w:rPr>
          <w:lang w:val="fr-CH"/>
        </w:rPr>
        <w:t>ainsi que d</w:t>
      </w:r>
      <w:r w:rsidRPr="007006BC">
        <w:rPr>
          <w:lang w:val="fr-CH"/>
        </w:rPr>
        <w:t>es critères et paramètres y relatifs.</w:t>
      </w:r>
    </w:p>
    <w:p w14:paraId="4D711A91" w14:textId="77777777" w:rsidR="00417F8D" w:rsidRDefault="00F00180" w:rsidP="002E030A">
      <w:pPr>
        <w:pStyle w:val="ONUMFS"/>
        <w:rPr>
          <w:lang w:val="fr-CH"/>
        </w:rPr>
      </w:pPr>
      <w:r w:rsidRPr="007006BC">
        <w:rPr>
          <w:lang w:val="fr-CH"/>
        </w:rPr>
        <w:t>La stratégie de l</w:t>
      </w:r>
      <w:r w:rsidR="000A3166">
        <w:rPr>
          <w:lang w:val="fr-CH"/>
        </w:rPr>
        <w:t>’</w:t>
      </w:r>
      <w:r w:rsidRPr="007006BC">
        <w:rPr>
          <w:lang w:val="fr-CH"/>
        </w:rPr>
        <w:t>OMPI en matière d</w:t>
      </w:r>
      <w:r w:rsidR="000A3166">
        <w:rPr>
          <w:lang w:val="fr-CH"/>
        </w:rPr>
        <w:t>’</w:t>
      </w:r>
      <w:r w:rsidRPr="007006BC">
        <w:rPr>
          <w:lang w:val="fr-CH"/>
        </w:rPr>
        <w:t>assurance informatique a révélé que la divulgation non autorisée d</w:t>
      </w:r>
      <w:r w:rsidR="000A3166">
        <w:rPr>
          <w:lang w:val="fr-CH"/>
        </w:rPr>
        <w:t>’</w:t>
      </w:r>
      <w:r w:rsidRPr="007006BC">
        <w:rPr>
          <w:lang w:val="fr-CH"/>
        </w:rPr>
        <w:t xml:space="preserve">informations sensibles constituait une tendance et un risque technologiques </w:t>
      </w:r>
      <w:r w:rsidRPr="007006BC">
        <w:rPr>
          <w:lang w:val="fr-CH"/>
        </w:rPr>
        <w:lastRenderedPageBreak/>
        <w:t>majeurs</w:t>
      </w:r>
      <w:r w:rsidR="008B7924">
        <w:rPr>
          <w:lang w:val="fr-CH"/>
        </w:rPr>
        <w:t>,</w:t>
      </w:r>
      <w:r w:rsidRPr="007006BC">
        <w:rPr>
          <w:lang w:val="fr-CH"/>
        </w:rPr>
        <w:t xml:space="preserve"> et la Division de la sécurité et de l</w:t>
      </w:r>
      <w:r w:rsidR="000A3166">
        <w:rPr>
          <w:lang w:val="fr-CH"/>
        </w:rPr>
        <w:t>’</w:t>
      </w:r>
      <w:r w:rsidRPr="007006BC">
        <w:rPr>
          <w:lang w:val="fr-CH"/>
        </w:rPr>
        <w:t>assurance informatique a aidé</w:t>
      </w:r>
      <w:r w:rsidR="00353ADC" w:rsidRPr="007006BC">
        <w:rPr>
          <w:lang w:val="fr-CH"/>
        </w:rPr>
        <w:t xml:space="preserve"> le</w:t>
      </w:r>
      <w:r w:rsidR="00353ADC">
        <w:rPr>
          <w:lang w:val="fr-CH"/>
        </w:rPr>
        <w:t> </w:t>
      </w:r>
      <w:r w:rsidR="00353ADC" w:rsidRPr="007006BC">
        <w:rPr>
          <w:lang w:val="fr-CH"/>
        </w:rPr>
        <w:t>PCT</w:t>
      </w:r>
      <w:r w:rsidRPr="007006BC">
        <w:rPr>
          <w:lang w:val="fr-CH"/>
        </w:rPr>
        <w:t xml:space="preserve"> à </w:t>
      </w:r>
      <w:r w:rsidR="005E6FB2">
        <w:rPr>
          <w:lang w:val="fr-CH"/>
        </w:rPr>
        <w:t>définir</w:t>
      </w:r>
      <w:r w:rsidRPr="007006BC">
        <w:rPr>
          <w:lang w:val="fr-CH"/>
        </w:rPr>
        <w:t xml:space="preserve"> et à </w:t>
      </w:r>
      <w:r w:rsidR="00984E77" w:rsidRPr="007006BC">
        <w:rPr>
          <w:lang w:val="fr-CH"/>
        </w:rPr>
        <w:t>mettre au point</w:t>
      </w:r>
      <w:r w:rsidRPr="007006BC">
        <w:rPr>
          <w:lang w:val="fr-CH"/>
        </w:rPr>
        <w:t xml:space="preserve"> </w:t>
      </w:r>
      <w:r w:rsidR="008B7924">
        <w:rPr>
          <w:lang w:val="fr-CH"/>
        </w:rPr>
        <w:t>un outil</w:t>
      </w:r>
      <w:r w:rsidR="005E6FB2">
        <w:rPr>
          <w:lang w:val="fr-CH"/>
        </w:rPr>
        <w:t xml:space="preserve"> de prévention d</w:t>
      </w:r>
      <w:r w:rsidR="008B7924">
        <w:rPr>
          <w:lang w:val="fr-CH"/>
        </w:rPr>
        <w:t>e</w:t>
      </w:r>
      <w:r w:rsidRPr="007006BC">
        <w:rPr>
          <w:lang w:val="fr-CH"/>
        </w:rPr>
        <w:t xml:space="preserve">s </w:t>
      </w:r>
      <w:r w:rsidR="008B7924" w:rsidRPr="007006BC">
        <w:rPr>
          <w:lang w:val="fr-CH"/>
        </w:rPr>
        <w:t xml:space="preserve">fuites </w:t>
      </w:r>
      <w:r w:rsidR="005E6FB2">
        <w:rPr>
          <w:lang w:val="fr-CH"/>
        </w:rPr>
        <w:t xml:space="preserve">de </w:t>
      </w:r>
      <w:r w:rsidR="005E6FB2" w:rsidRPr="007006BC">
        <w:rPr>
          <w:lang w:val="fr-CH"/>
        </w:rPr>
        <w:t xml:space="preserve">données </w:t>
      </w:r>
      <w:r w:rsidRPr="007006BC">
        <w:rPr>
          <w:lang w:val="fr-CH"/>
        </w:rPr>
        <w:t xml:space="preserve">dans le </w:t>
      </w:r>
      <w:r w:rsidR="008B7924">
        <w:rPr>
          <w:lang w:val="fr-CH"/>
        </w:rPr>
        <w:t xml:space="preserve">cadre du </w:t>
      </w:r>
      <w:r w:rsidRPr="007006BC">
        <w:rPr>
          <w:lang w:val="fr-CH"/>
        </w:rPr>
        <w:t>projet relatif à une plateforme résiliente et sécurisée pour</w:t>
      </w:r>
      <w:r w:rsidR="00353ADC" w:rsidRPr="007006BC">
        <w:rPr>
          <w:lang w:val="fr-CH"/>
        </w:rPr>
        <w:t xml:space="preserve"> le</w:t>
      </w:r>
      <w:r w:rsidR="00353ADC">
        <w:rPr>
          <w:lang w:val="fr-CH"/>
        </w:rPr>
        <w:t> </w:t>
      </w:r>
      <w:r w:rsidR="00353ADC" w:rsidRPr="007006BC">
        <w:rPr>
          <w:lang w:val="fr-CH"/>
        </w:rPr>
        <w:t>PCT</w:t>
      </w:r>
      <w:r w:rsidRPr="007006BC">
        <w:rPr>
          <w:lang w:val="fr-CH"/>
        </w:rPr>
        <w:t>.</w:t>
      </w:r>
      <w:r w:rsidR="00F918CE" w:rsidRPr="007006BC">
        <w:rPr>
          <w:lang w:val="fr-CH"/>
        </w:rPr>
        <w:t xml:space="preserve">  </w:t>
      </w:r>
      <w:r w:rsidRPr="007006BC">
        <w:rPr>
          <w:lang w:val="fr-CH"/>
        </w:rPr>
        <w:t>À l</w:t>
      </w:r>
      <w:r w:rsidR="000A3166">
        <w:rPr>
          <w:lang w:val="fr-CH"/>
        </w:rPr>
        <w:t>’</w:t>
      </w:r>
      <w:r w:rsidRPr="007006BC">
        <w:rPr>
          <w:lang w:val="fr-CH"/>
        </w:rPr>
        <w:t>avenir, il serait utile que l</w:t>
      </w:r>
      <w:r w:rsidR="000A3166">
        <w:rPr>
          <w:lang w:val="fr-CH"/>
        </w:rPr>
        <w:t>’</w:t>
      </w:r>
      <w:r w:rsidRPr="007006BC">
        <w:rPr>
          <w:lang w:val="fr-CH"/>
        </w:rPr>
        <w:t>OMPI évalue d</w:t>
      </w:r>
      <w:r w:rsidR="000A3166">
        <w:rPr>
          <w:lang w:val="fr-CH"/>
        </w:rPr>
        <w:t>’</w:t>
      </w:r>
      <w:r w:rsidRPr="007006BC">
        <w:rPr>
          <w:lang w:val="fr-CH"/>
        </w:rPr>
        <w:t xml:space="preserve">autres domaines </w:t>
      </w:r>
      <w:r w:rsidR="008B7924">
        <w:rPr>
          <w:lang w:val="fr-CH"/>
        </w:rPr>
        <w:t>dans lesquels</w:t>
      </w:r>
      <w:r w:rsidRPr="007006BC">
        <w:rPr>
          <w:lang w:val="fr-CH"/>
        </w:rPr>
        <w:t xml:space="preserve"> une solution pour</w:t>
      </w:r>
      <w:r w:rsidR="008B7924">
        <w:rPr>
          <w:lang w:val="fr-CH"/>
        </w:rPr>
        <w:t>rait être recherchée pour</w:t>
      </w:r>
      <w:r w:rsidRPr="007006BC">
        <w:rPr>
          <w:lang w:val="fr-CH"/>
        </w:rPr>
        <w:t xml:space="preserve"> prévenir les fuites de données, en fonction du risque et d</w:t>
      </w:r>
      <w:r w:rsidR="008B7924">
        <w:rPr>
          <w:lang w:val="fr-CH"/>
        </w:rPr>
        <w:t>e</w:t>
      </w:r>
      <w:r w:rsidRPr="007006BC">
        <w:rPr>
          <w:lang w:val="fr-CH"/>
        </w:rPr>
        <w:t xml:space="preserve"> </w:t>
      </w:r>
      <w:r w:rsidR="008B7924">
        <w:rPr>
          <w:lang w:val="fr-CH"/>
        </w:rPr>
        <w:t xml:space="preserve">la </w:t>
      </w:r>
      <w:r w:rsidRPr="007006BC">
        <w:rPr>
          <w:lang w:val="fr-CH"/>
        </w:rPr>
        <w:t>class</w:t>
      </w:r>
      <w:r w:rsidR="008B7924">
        <w:rPr>
          <w:lang w:val="fr-CH"/>
        </w:rPr>
        <w:t>ification</w:t>
      </w:r>
      <w:r w:rsidRPr="007006BC">
        <w:rPr>
          <w:lang w:val="fr-CH"/>
        </w:rPr>
        <w:t xml:space="preserve"> de l</w:t>
      </w:r>
      <w:r w:rsidR="000A3166">
        <w:rPr>
          <w:lang w:val="fr-CH"/>
        </w:rPr>
        <w:t>’</w:t>
      </w:r>
      <w:r w:rsidRPr="007006BC">
        <w:rPr>
          <w:lang w:val="fr-CH"/>
        </w:rPr>
        <w:t xml:space="preserve">information, et </w:t>
      </w:r>
      <w:r w:rsidR="00984E77" w:rsidRPr="007006BC">
        <w:rPr>
          <w:lang w:val="fr-CH"/>
        </w:rPr>
        <w:t>qu</w:t>
      </w:r>
      <w:r w:rsidR="000A3166">
        <w:rPr>
          <w:lang w:val="fr-CH"/>
        </w:rPr>
        <w:t>’</w:t>
      </w:r>
      <w:r w:rsidR="00984E77" w:rsidRPr="007006BC">
        <w:rPr>
          <w:lang w:val="fr-CH"/>
        </w:rPr>
        <w:t xml:space="preserve">elle </w:t>
      </w:r>
      <w:r w:rsidRPr="007006BC">
        <w:rPr>
          <w:lang w:val="fr-CH"/>
        </w:rPr>
        <w:t>définisse des outils permettant de prévenir et de détecter les fuites de données par divers moyens.</w:t>
      </w:r>
    </w:p>
    <w:p w14:paraId="4C90C8A9" w14:textId="77777777" w:rsidR="00417F8D" w:rsidRDefault="00984E77" w:rsidP="002E030A">
      <w:pPr>
        <w:pStyle w:val="ONUMFS"/>
        <w:rPr>
          <w:lang w:val="fr-CH"/>
        </w:rPr>
      </w:pPr>
      <w:r w:rsidRPr="007006BC">
        <w:rPr>
          <w:lang w:val="fr-CH"/>
        </w:rPr>
        <w:t>L</w:t>
      </w:r>
      <w:r w:rsidR="000A3166">
        <w:rPr>
          <w:lang w:val="fr-CH"/>
        </w:rPr>
        <w:t>’</w:t>
      </w:r>
      <w:r w:rsidRPr="007006BC">
        <w:rPr>
          <w:lang w:val="fr-CH"/>
        </w:rPr>
        <w:t>OMPI a commencé à utiliser des outils fondés sur l</w:t>
      </w:r>
      <w:r w:rsidR="000A3166">
        <w:rPr>
          <w:lang w:val="fr-CH"/>
        </w:rPr>
        <w:t>’</w:t>
      </w:r>
      <w:r w:rsidRPr="007006BC">
        <w:rPr>
          <w:lang w:val="fr-CH"/>
        </w:rPr>
        <w:t>intelligence artificielle pour la protection finale, l</w:t>
      </w:r>
      <w:r w:rsidR="006D108F" w:rsidRPr="007006BC">
        <w:rPr>
          <w:lang w:val="fr-CH"/>
        </w:rPr>
        <w:t>a</w:t>
      </w:r>
      <w:r w:rsidRPr="007006BC">
        <w:rPr>
          <w:lang w:val="fr-CH"/>
        </w:rPr>
        <w:t xml:space="preserve"> veille </w:t>
      </w:r>
      <w:r w:rsidR="006D108F" w:rsidRPr="007006BC">
        <w:rPr>
          <w:lang w:val="fr-CH"/>
        </w:rPr>
        <w:t xml:space="preserve">stratégique </w:t>
      </w:r>
      <w:r w:rsidRPr="007006BC">
        <w:rPr>
          <w:lang w:val="fr-CH"/>
        </w:rPr>
        <w:t xml:space="preserve">et </w:t>
      </w:r>
      <w:r w:rsidR="00F65AA3" w:rsidRPr="007006BC">
        <w:rPr>
          <w:lang w:val="fr-CH"/>
        </w:rPr>
        <w:t>la</w:t>
      </w:r>
      <w:r w:rsidRPr="007006BC">
        <w:rPr>
          <w:lang w:val="fr-CH"/>
        </w:rPr>
        <w:t xml:space="preserve"> </w:t>
      </w:r>
      <w:r w:rsidR="006D108F" w:rsidRPr="007006BC">
        <w:rPr>
          <w:lang w:val="fr-CH"/>
        </w:rPr>
        <w:t>réaction</w:t>
      </w:r>
      <w:r w:rsidRPr="007006BC">
        <w:rPr>
          <w:lang w:val="fr-CH"/>
        </w:rPr>
        <w:t xml:space="preserve"> à </w:t>
      </w:r>
      <w:r w:rsidR="006D108F" w:rsidRPr="007006BC">
        <w:rPr>
          <w:lang w:val="fr-CH"/>
        </w:rPr>
        <w:t>la menace,</w:t>
      </w:r>
      <w:r w:rsidRPr="007006BC">
        <w:rPr>
          <w:lang w:val="fr-CH"/>
        </w:rPr>
        <w:t xml:space="preserve"> et devrait continuer d</w:t>
      </w:r>
      <w:r w:rsidR="000A3166">
        <w:rPr>
          <w:lang w:val="fr-CH"/>
        </w:rPr>
        <w:t>’</w:t>
      </w:r>
      <w:r w:rsidRPr="007006BC">
        <w:rPr>
          <w:lang w:val="fr-CH"/>
        </w:rPr>
        <w:t>examiner l</w:t>
      </w:r>
      <w:r w:rsidR="000A3166">
        <w:rPr>
          <w:lang w:val="fr-CH"/>
        </w:rPr>
        <w:t>’</w:t>
      </w:r>
      <w:r w:rsidRPr="007006BC">
        <w:rPr>
          <w:lang w:val="fr-CH"/>
        </w:rPr>
        <w:t>incidence des tendances et changements technologiques</w:t>
      </w:r>
      <w:r w:rsidR="00F65AA3" w:rsidRPr="007006BC">
        <w:rPr>
          <w:lang w:val="fr-CH"/>
        </w:rPr>
        <w:t>,</w:t>
      </w:r>
      <w:r w:rsidRPr="007006BC">
        <w:rPr>
          <w:lang w:val="fr-CH"/>
        </w:rPr>
        <w:t xml:space="preserve"> </w:t>
      </w:r>
      <w:r w:rsidR="006D108F" w:rsidRPr="007006BC">
        <w:rPr>
          <w:lang w:val="fr-CH"/>
        </w:rPr>
        <w:t>notamment</w:t>
      </w:r>
      <w:r w:rsidR="00F65AA3" w:rsidRPr="007006BC">
        <w:rPr>
          <w:lang w:val="fr-CH"/>
        </w:rPr>
        <w:t xml:space="preserve"> liés à</w:t>
      </w:r>
      <w:r w:rsidRPr="007006BC">
        <w:rPr>
          <w:lang w:val="fr-CH"/>
        </w:rPr>
        <w:t xml:space="preserve"> l</w:t>
      </w:r>
      <w:r w:rsidR="000A3166">
        <w:rPr>
          <w:lang w:val="fr-CH"/>
        </w:rPr>
        <w:t>’</w:t>
      </w:r>
      <w:r w:rsidRPr="007006BC">
        <w:rPr>
          <w:lang w:val="fr-CH"/>
        </w:rPr>
        <w:t>intelligence artificielle</w:t>
      </w:r>
      <w:r w:rsidR="00F65AA3" w:rsidRPr="007006BC">
        <w:rPr>
          <w:lang w:val="fr-CH"/>
        </w:rPr>
        <w:t>,</w:t>
      </w:r>
      <w:r w:rsidRPr="007006BC">
        <w:rPr>
          <w:lang w:val="fr-CH"/>
        </w:rPr>
        <w:t xml:space="preserve"> sur l</w:t>
      </w:r>
      <w:r w:rsidR="000A3166">
        <w:rPr>
          <w:lang w:val="fr-CH"/>
        </w:rPr>
        <w:t>’</w:t>
      </w:r>
      <w:r w:rsidRPr="007006BC">
        <w:rPr>
          <w:lang w:val="fr-CH"/>
        </w:rPr>
        <w:t>évolution future de la stratégie en matière d</w:t>
      </w:r>
      <w:r w:rsidR="000A3166">
        <w:rPr>
          <w:lang w:val="fr-CH"/>
        </w:rPr>
        <w:t>’</w:t>
      </w:r>
      <w:r w:rsidRPr="007006BC">
        <w:rPr>
          <w:lang w:val="fr-CH"/>
        </w:rPr>
        <w:t>assurance informatique.</w:t>
      </w:r>
    </w:p>
    <w:p w14:paraId="5B16FA8E" w14:textId="77777777" w:rsidR="00417F8D" w:rsidRDefault="00984E77" w:rsidP="002E030A">
      <w:pPr>
        <w:pStyle w:val="ONUMFS"/>
        <w:rPr>
          <w:lang w:val="fr-CH"/>
        </w:rPr>
      </w:pPr>
      <w:r w:rsidRPr="007006BC">
        <w:rPr>
          <w:lang w:val="fr-CH"/>
        </w:rPr>
        <w:t>Enfin, la Division de la sécurité et de l</w:t>
      </w:r>
      <w:r w:rsidR="000A3166">
        <w:rPr>
          <w:lang w:val="fr-CH"/>
        </w:rPr>
        <w:t>’</w:t>
      </w:r>
      <w:r w:rsidRPr="007006BC">
        <w:rPr>
          <w:lang w:val="fr-CH"/>
        </w:rPr>
        <w:t>assurance informatique</w:t>
      </w:r>
      <w:r w:rsidR="006D108F" w:rsidRPr="007006BC">
        <w:rPr>
          <w:lang w:val="fr-CH"/>
        </w:rPr>
        <w:t xml:space="preserve"> va</w:t>
      </w:r>
      <w:r w:rsidRPr="007006BC">
        <w:rPr>
          <w:lang w:val="fr-CH"/>
        </w:rPr>
        <w:t xml:space="preserve"> déplo</w:t>
      </w:r>
      <w:r w:rsidR="006D108F" w:rsidRPr="007006BC">
        <w:rPr>
          <w:lang w:val="fr-CH"/>
        </w:rPr>
        <w:t>yer</w:t>
      </w:r>
      <w:r w:rsidRPr="007006BC">
        <w:rPr>
          <w:lang w:val="fr-CH"/>
        </w:rPr>
        <w:t xml:space="preserve"> une nouvelle solution en matière de gouvernance, de gestion des risques et de mise en conformité </w:t>
      </w:r>
      <w:r w:rsidR="006D108F" w:rsidRPr="007006BC">
        <w:rPr>
          <w:lang w:val="fr-CH"/>
        </w:rPr>
        <w:t>dans le domaine de la</w:t>
      </w:r>
      <w:r w:rsidRPr="007006BC">
        <w:rPr>
          <w:lang w:val="fr-CH"/>
        </w:rPr>
        <w:t xml:space="preserve"> sécurité informatique, afin de mieux saisir, surveiller et contrôler les risques, </w:t>
      </w:r>
      <w:r w:rsidR="00353ADC">
        <w:rPr>
          <w:lang w:val="fr-CH"/>
        </w:rPr>
        <w:t>y compris</w:t>
      </w:r>
      <w:r w:rsidRPr="007006BC">
        <w:rPr>
          <w:lang w:val="fr-CH"/>
        </w:rPr>
        <w:t xml:space="preserve"> </w:t>
      </w:r>
      <w:r w:rsidR="005E6FB2">
        <w:rPr>
          <w:lang w:val="fr-CH"/>
        </w:rPr>
        <w:t>pour ce qui concerne l</w:t>
      </w:r>
      <w:r w:rsidRPr="007006BC">
        <w:rPr>
          <w:lang w:val="fr-CH"/>
        </w:rPr>
        <w:t xml:space="preserve">es menaces et </w:t>
      </w:r>
      <w:r w:rsidR="005E6FB2">
        <w:rPr>
          <w:lang w:val="fr-CH"/>
        </w:rPr>
        <w:t>le</w:t>
      </w:r>
      <w:r w:rsidRPr="007006BC">
        <w:rPr>
          <w:lang w:val="fr-CH"/>
        </w:rPr>
        <w:t>s failles.</w:t>
      </w:r>
    </w:p>
    <w:p w14:paraId="0B21D5F6" w14:textId="77777777" w:rsidR="00417F8D" w:rsidRDefault="00984E77" w:rsidP="002E030A">
      <w:pPr>
        <w:pStyle w:val="Heading2"/>
      </w:pPr>
      <w:r w:rsidRPr="008B7924">
        <w:t>Audit du mécanisme pilote de compensation</w:t>
      </w:r>
      <w:r w:rsidR="00353ADC" w:rsidRPr="008B7924">
        <w:t xml:space="preserve"> du</w:t>
      </w:r>
      <w:r w:rsidR="00353ADC">
        <w:t> </w:t>
      </w:r>
      <w:r w:rsidR="00353ADC" w:rsidRPr="008B7924">
        <w:t>PCT</w:t>
      </w:r>
    </w:p>
    <w:bookmarkEnd w:id="24"/>
    <w:p w14:paraId="792F0AD9" w14:textId="77777777" w:rsidR="00417F8D" w:rsidRDefault="00DC7857" w:rsidP="002E030A">
      <w:pPr>
        <w:pStyle w:val="ONUMFS"/>
        <w:rPr>
          <w:lang w:val="fr-CH"/>
        </w:rPr>
      </w:pPr>
      <w:r w:rsidRPr="00004673">
        <w:rPr>
          <w:lang w:val="fr-CH"/>
        </w:rPr>
        <w:t>L</w:t>
      </w:r>
      <w:r w:rsidR="000A3166">
        <w:rPr>
          <w:lang w:val="fr-CH"/>
        </w:rPr>
        <w:t>’</w:t>
      </w:r>
      <w:r w:rsidRPr="00004673">
        <w:rPr>
          <w:lang w:val="fr-CH"/>
        </w:rPr>
        <w:t>audit a révélé que les tâches relatives aux taxes de recherche</w:t>
      </w:r>
      <w:r w:rsidR="00353ADC" w:rsidRPr="00004673">
        <w:rPr>
          <w:lang w:val="fr-CH"/>
        </w:rPr>
        <w:t xml:space="preserve"> du</w:t>
      </w:r>
      <w:r w:rsidR="00353ADC">
        <w:rPr>
          <w:lang w:val="fr-CH"/>
        </w:rPr>
        <w:t> </w:t>
      </w:r>
      <w:r w:rsidR="00353ADC" w:rsidRPr="00004673">
        <w:rPr>
          <w:lang w:val="fr-CH"/>
        </w:rPr>
        <w:t>PCT</w:t>
      </w:r>
      <w:r w:rsidRPr="00004673">
        <w:rPr>
          <w:lang w:val="fr-CH"/>
        </w:rPr>
        <w:t xml:space="preserve"> ont été simplifiées, le Bureau international ayant observé une réduction manifeste de la charge de travail créée par les demandes relatives aux pertes et gains </w:t>
      </w:r>
      <w:r w:rsidR="006D108F" w:rsidRPr="00004673">
        <w:rPr>
          <w:lang w:val="fr-CH"/>
        </w:rPr>
        <w:t>de change découlant de la règle </w:t>
      </w:r>
      <w:r w:rsidRPr="00004673">
        <w:rPr>
          <w:lang w:val="fr-CH"/>
        </w:rPr>
        <w:t>16.1.e) du règlement d</w:t>
      </w:r>
      <w:r w:rsidR="000A3166">
        <w:rPr>
          <w:lang w:val="fr-CH"/>
        </w:rPr>
        <w:t>’</w:t>
      </w:r>
      <w:r w:rsidRPr="00004673">
        <w:rPr>
          <w:lang w:val="fr-CH"/>
        </w:rPr>
        <w:t>exécution</w:t>
      </w:r>
      <w:r w:rsidR="00353ADC" w:rsidRPr="00004673">
        <w:rPr>
          <w:lang w:val="fr-CH"/>
        </w:rPr>
        <w:t xml:space="preserve"> du</w:t>
      </w:r>
      <w:r w:rsidR="00353ADC">
        <w:rPr>
          <w:lang w:val="fr-CH"/>
        </w:rPr>
        <w:t> </w:t>
      </w:r>
      <w:r w:rsidR="00353ADC" w:rsidRPr="00004673">
        <w:rPr>
          <w:lang w:val="fr-CH"/>
        </w:rPr>
        <w:t>PCT</w:t>
      </w:r>
      <w:r w:rsidRPr="00004673">
        <w:rPr>
          <w:rStyle w:val="FootnoteReference"/>
          <w:szCs w:val="22"/>
        </w:rPr>
        <w:footnoteReference w:id="6"/>
      </w:r>
      <w:r w:rsidRPr="00004673">
        <w:rPr>
          <w:lang w:val="fr-CH"/>
        </w:rPr>
        <w:t>.</w:t>
      </w:r>
      <w:r w:rsidR="00F918CE" w:rsidRPr="00004673">
        <w:rPr>
          <w:lang w:val="fr-CH"/>
        </w:rPr>
        <w:t xml:space="preserve">  </w:t>
      </w:r>
      <w:r w:rsidRPr="00004673">
        <w:rPr>
          <w:lang w:val="fr-CH"/>
        </w:rPr>
        <w:t>Ce processus devrait être encore simplifié et rendu plus efficace, à l</w:t>
      </w:r>
      <w:r w:rsidR="000A3166">
        <w:rPr>
          <w:lang w:val="fr-CH"/>
        </w:rPr>
        <w:t>’</w:t>
      </w:r>
      <w:r w:rsidRPr="00004673">
        <w:rPr>
          <w:lang w:val="fr-CH"/>
        </w:rPr>
        <w:t>avenir, par l</w:t>
      </w:r>
      <w:r w:rsidR="000A3166">
        <w:rPr>
          <w:lang w:val="fr-CH"/>
        </w:rPr>
        <w:t>’</w:t>
      </w:r>
      <w:r w:rsidRPr="00004673">
        <w:rPr>
          <w:lang w:val="fr-CH"/>
        </w:rPr>
        <w:t>automatisation d</w:t>
      </w:r>
      <w:r w:rsidR="000A3166">
        <w:rPr>
          <w:lang w:val="fr-CH"/>
        </w:rPr>
        <w:t>’</w:t>
      </w:r>
      <w:r w:rsidRPr="00004673">
        <w:rPr>
          <w:lang w:val="fr-CH"/>
        </w:rPr>
        <w:t>un certain nombre de tâches manuelles liées aux opérations de compensation.</w:t>
      </w:r>
    </w:p>
    <w:p w14:paraId="0F0E7F67" w14:textId="77777777" w:rsidR="00417F8D" w:rsidRDefault="00DC7857" w:rsidP="002E030A">
      <w:pPr>
        <w:pStyle w:val="ONUMFS"/>
        <w:rPr>
          <w:lang w:val="fr-CH"/>
        </w:rPr>
      </w:pPr>
      <w:r w:rsidRPr="00004673">
        <w:rPr>
          <w:lang w:val="fr-CH"/>
        </w:rPr>
        <w:t>L</w:t>
      </w:r>
      <w:r w:rsidR="000A3166">
        <w:rPr>
          <w:lang w:val="fr-CH"/>
        </w:rPr>
        <w:t>’</w:t>
      </w:r>
      <w:r w:rsidRPr="00004673">
        <w:rPr>
          <w:lang w:val="fr-CH"/>
        </w:rPr>
        <w:t>introduction d</w:t>
      </w:r>
      <w:r w:rsidR="000A3166">
        <w:rPr>
          <w:lang w:val="fr-CH"/>
        </w:rPr>
        <w:t>’</w:t>
      </w:r>
      <w:r w:rsidRPr="00004673">
        <w:rPr>
          <w:lang w:val="fr-CH"/>
        </w:rPr>
        <w:t xml:space="preserve">un calendrier utilisé par les participants du mécanisme pilote de compensation a amélioré la planification et la gestion de la trésorerie au sein du Bureau </w:t>
      </w:r>
      <w:r w:rsidR="006D108F" w:rsidRPr="00004673">
        <w:rPr>
          <w:lang w:val="fr-CH"/>
        </w:rPr>
        <w:t>i</w:t>
      </w:r>
      <w:r w:rsidRPr="00004673">
        <w:rPr>
          <w:lang w:val="fr-CH"/>
        </w:rPr>
        <w:t xml:space="preserve">nternational en </w:t>
      </w:r>
      <w:r w:rsidR="00004673">
        <w:rPr>
          <w:lang w:val="fr-CH"/>
        </w:rPr>
        <w:t>permettant de regrouper</w:t>
      </w:r>
      <w:r w:rsidRPr="00004673">
        <w:rPr>
          <w:lang w:val="fr-CH"/>
        </w:rPr>
        <w:t xml:space="preserve"> plusieurs paiements en une seule opération</w:t>
      </w:r>
      <w:r w:rsidR="006D108F" w:rsidRPr="00004673">
        <w:rPr>
          <w:lang w:val="fr-CH"/>
        </w:rPr>
        <w:t>,</w:t>
      </w:r>
      <w:r w:rsidRPr="00004673">
        <w:rPr>
          <w:lang w:val="fr-CH"/>
        </w:rPr>
        <w:t xml:space="preserve"> afin de réduire les frais de transaction, et </w:t>
      </w:r>
      <w:r w:rsidR="00004673">
        <w:rPr>
          <w:lang w:val="fr-CH"/>
        </w:rPr>
        <w:t>de</w:t>
      </w:r>
      <w:r w:rsidRPr="00004673">
        <w:rPr>
          <w:lang w:val="fr-CH"/>
        </w:rPr>
        <w:t xml:space="preserve"> fix</w:t>
      </w:r>
      <w:r w:rsidR="00004673">
        <w:rPr>
          <w:lang w:val="fr-CH"/>
        </w:rPr>
        <w:t>er</w:t>
      </w:r>
      <w:r w:rsidRPr="00004673">
        <w:rPr>
          <w:lang w:val="fr-CH"/>
        </w:rPr>
        <w:t xml:space="preserve"> une date pour le paiement et la réception des montants </w:t>
      </w:r>
      <w:r w:rsidR="006D108F" w:rsidRPr="00004673">
        <w:rPr>
          <w:lang w:val="fr-CH"/>
        </w:rPr>
        <w:t>faisant l</w:t>
      </w:r>
      <w:r w:rsidR="000A3166">
        <w:rPr>
          <w:lang w:val="fr-CH"/>
        </w:rPr>
        <w:t>’</w:t>
      </w:r>
      <w:r w:rsidR="006D108F" w:rsidRPr="00004673">
        <w:rPr>
          <w:lang w:val="fr-CH"/>
        </w:rPr>
        <w:t>objet de la compensation</w:t>
      </w:r>
      <w:r w:rsidRPr="00004673">
        <w:rPr>
          <w:lang w:val="fr-CH"/>
        </w:rPr>
        <w:t>.</w:t>
      </w:r>
    </w:p>
    <w:p w14:paraId="6BBA2FC7" w14:textId="77777777" w:rsidR="00417F8D" w:rsidRDefault="00DC7857" w:rsidP="002E030A">
      <w:pPr>
        <w:pStyle w:val="ONUMFS"/>
        <w:rPr>
          <w:lang w:val="fr-CH"/>
        </w:rPr>
      </w:pPr>
      <w:r w:rsidRPr="00004673">
        <w:rPr>
          <w:lang w:val="fr-CH"/>
        </w:rPr>
        <w:t>La mise en œuvre du processus de compensation a permis de réduire de 69% le solde nominal moyen de liquidités maintenu à la banque (en euros) pour les taxes de recherche</w:t>
      </w:r>
      <w:r w:rsidR="00353ADC" w:rsidRPr="00004673">
        <w:rPr>
          <w:lang w:val="fr-CH"/>
        </w:rPr>
        <w:t xml:space="preserve"> du</w:t>
      </w:r>
      <w:r w:rsidR="00353ADC">
        <w:rPr>
          <w:lang w:val="fr-CH"/>
        </w:rPr>
        <w:t> </w:t>
      </w:r>
      <w:r w:rsidR="00007093" w:rsidRPr="00004673">
        <w:rPr>
          <w:lang w:val="fr-CH"/>
        </w:rPr>
        <w:t>PCT</w:t>
      </w:r>
      <w:r w:rsidR="00007093">
        <w:rPr>
          <w:lang w:val="fr-CH"/>
        </w:rPr>
        <w:t xml:space="preserve">.  </w:t>
      </w:r>
      <w:r w:rsidR="00007093" w:rsidRPr="00004673">
        <w:rPr>
          <w:lang w:val="fr-CH"/>
        </w:rPr>
        <w:t>Ce</w:t>
      </w:r>
      <w:r w:rsidRPr="00004673">
        <w:rPr>
          <w:lang w:val="fr-CH"/>
        </w:rPr>
        <w:t>tte réduction a permis au Bureau international de ne plus avoir à assumer les coûts de financement liés aux taux d</w:t>
      </w:r>
      <w:r w:rsidR="000A3166">
        <w:rPr>
          <w:lang w:val="fr-CH"/>
        </w:rPr>
        <w:t>’</w:t>
      </w:r>
      <w:r w:rsidRPr="00004673">
        <w:rPr>
          <w:lang w:val="fr-CH"/>
        </w:rPr>
        <w:t>intérêt négatifs pratiqués actuellement.</w:t>
      </w:r>
    </w:p>
    <w:p w14:paraId="6FD5E9A4" w14:textId="77777777" w:rsidR="00417F8D" w:rsidRDefault="00DC7857" w:rsidP="002E030A">
      <w:pPr>
        <w:pStyle w:val="ONUMFS"/>
        <w:rPr>
          <w:lang w:val="fr-CH"/>
        </w:rPr>
      </w:pPr>
      <w:r w:rsidRPr="00004673">
        <w:rPr>
          <w:lang w:val="fr-CH"/>
        </w:rPr>
        <w:t>La Division de la supervision interne a observé en outre une légère baisse des frais bancaires relatifs au transfert électronique de fichiers, en corrélation avec la réduction du volume des transactions de transfert électronique de fichiers</w:t>
      </w:r>
      <w:r w:rsidR="00C33462">
        <w:rPr>
          <w:lang w:val="fr-CH"/>
        </w:rPr>
        <w:t xml:space="preserve"> </w:t>
      </w:r>
      <w:r w:rsidRPr="00004673">
        <w:rPr>
          <w:lang w:val="fr-CH"/>
        </w:rPr>
        <w:t>– paiements et recettes</w:t>
      </w:r>
      <w:r w:rsidR="00004673">
        <w:rPr>
          <w:lang w:val="fr-CH"/>
        </w:rPr>
        <w:t xml:space="preserve"> </w:t>
      </w:r>
      <w:r w:rsidR="00004673" w:rsidRPr="00004673">
        <w:rPr>
          <w:lang w:val="fr-CH"/>
        </w:rPr>
        <w:t>(57%)</w:t>
      </w:r>
      <w:r w:rsidR="00004673">
        <w:rPr>
          <w:lang w:val="fr-CH"/>
        </w:rPr>
        <w:t>,</w:t>
      </w:r>
      <w:r w:rsidRPr="00004673">
        <w:rPr>
          <w:lang w:val="fr-CH"/>
        </w:rPr>
        <w:t xml:space="preserve"> ainsi qu</w:t>
      </w:r>
      <w:r w:rsidR="000A3166">
        <w:rPr>
          <w:lang w:val="fr-CH"/>
        </w:rPr>
        <w:t>’</w:t>
      </w:r>
      <w:r w:rsidRPr="00004673">
        <w:rPr>
          <w:lang w:val="fr-CH"/>
        </w:rPr>
        <w:t>avec celle du nombre de demandes de remboursement (46%) de la part des administrations chargées de la recherche internationale participantes.</w:t>
      </w:r>
    </w:p>
    <w:p w14:paraId="1EBBC10F" w14:textId="77777777" w:rsidR="00417F8D" w:rsidRDefault="00DC7857" w:rsidP="002E030A">
      <w:pPr>
        <w:pStyle w:val="ONUMFS"/>
        <w:rPr>
          <w:lang w:val="fr-CH"/>
        </w:rPr>
      </w:pPr>
      <w:r w:rsidRPr="00004673">
        <w:rPr>
          <w:lang w:val="fr-CH"/>
        </w:rPr>
        <w:t>À l</w:t>
      </w:r>
      <w:r w:rsidR="000A3166">
        <w:rPr>
          <w:lang w:val="fr-CH"/>
        </w:rPr>
        <w:t>’</w:t>
      </w:r>
      <w:r w:rsidRPr="00004673">
        <w:rPr>
          <w:lang w:val="fr-CH"/>
        </w:rPr>
        <w:t xml:space="preserve">avenir, le Bureau </w:t>
      </w:r>
      <w:r w:rsidR="00004673" w:rsidRPr="00004673">
        <w:rPr>
          <w:lang w:val="fr-CH"/>
        </w:rPr>
        <w:t>i</w:t>
      </w:r>
      <w:r w:rsidRPr="00004673">
        <w:rPr>
          <w:lang w:val="fr-CH"/>
        </w:rPr>
        <w:t xml:space="preserve">nternational devrait procéder à un inventaire des ressources nécessaires </w:t>
      </w:r>
      <w:r w:rsidR="006D108F" w:rsidRPr="00004673">
        <w:rPr>
          <w:lang w:val="fr-CH"/>
        </w:rPr>
        <w:t>pour le</w:t>
      </w:r>
      <w:r w:rsidRPr="00004673">
        <w:rPr>
          <w:lang w:val="fr-CH"/>
        </w:rPr>
        <w:t xml:space="preserve"> mécanisme de compensation, en tenant compte de la participation actuelle et future </w:t>
      </w:r>
      <w:r w:rsidR="00C10A78" w:rsidRPr="00004673">
        <w:rPr>
          <w:lang w:val="fr-CH"/>
        </w:rPr>
        <w:t>à ce</w:t>
      </w:r>
      <w:r w:rsidRPr="00004673">
        <w:rPr>
          <w:lang w:val="fr-CH"/>
        </w:rPr>
        <w:t xml:space="preserve"> </w:t>
      </w:r>
      <w:proofErr w:type="gramStart"/>
      <w:r w:rsidRPr="00004673">
        <w:rPr>
          <w:lang w:val="fr-CH"/>
        </w:rPr>
        <w:t>mécanisme;</w:t>
      </w:r>
      <w:r w:rsidR="005B0739">
        <w:rPr>
          <w:lang w:val="fr-CH"/>
        </w:rPr>
        <w:t xml:space="preserve"> </w:t>
      </w:r>
      <w:r w:rsidRPr="00004673">
        <w:rPr>
          <w:lang w:val="fr-CH"/>
        </w:rPr>
        <w:t xml:space="preserve"> et</w:t>
      </w:r>
      <w:proofErr w:type="gramEnd"/>
      <w:r w:rsidRPr="00004673">
        <w:rPr>
          <w:lang w:val="fr-CH"/>
        </w:rPr>
        <w:t xml:space="preserve"> proposer une modification du règlement d</w:t>
      </w:r>
      <w:r w:rsidR="000A3166">
        <w:rPr>
          <w:lang w:val="fr-CH"/>
        </w:rPr>
        <w:t>’</w:t>
      </w:r>
      <w:r w:rsidRPr="00004673">
        <w:rPr>
          <w:lang w:val="fr-CH"/>
        </w:rPr>
        <w:t>exécution</w:t>
      </w:r>
      <w:r w:rsidR="00353ADC" w:rsidRPr="00004673">
        <w:rPr>
          <w:lang w:val="fr-CH"/>
        </w:rPr>
        <w:t xml:space="preserve"> du</w:t>
      </w:r>
      <w:r w:rsidR="00353ADC">
        <w:rPr>
          <w:lang w:val="fr-CH"/>
        </w:rPr>
        <w:t> </w:t>
      </w:r>
      <w:r w:rsidR="00353ADC" w:rsidRPr="00004673">
        <w:rPr>
          <w:lang w:val="fr-CH"/>
        </w:rPr>
        <w:t>PCT</w:t>
      </w:r>
      <w:r w:rsidRPr="00004673">
        <w:rPr>
          <w:lang w:val="fr-CH"/>
        </w:rPr>
        <w:t xml:space="preserve"> et des instructions administratives s</w:t>
      </w:r>
      <w:r w:rsidR="000A3166">
        <w:rPr>
          <w:lang w:val="fr-CH"/>
        </w:rPr>
        <w:t>’</w:t>
      </w:r>
      <w:r w:rsidRPr="00004673">
        <w:rPr>
          <w:lang w:val="fr-CH"/>
        </w:rPr>
        <w:t>y rapportant, de manière, entre autres, à ce qu</w:t>
      </w:r>
      <w:r w:rsidR="000A3166">
        <w:rPr>
          <w:lang w:val="fr-CH"/>
        </w:rPr>
        <w:t>’</w:t>
      </w:r>
      <w:r w:rsidR="00C10A78" w:rsidRPr="00004673">
        <w:rPr>
          <w:lang w:val="fr-CH"/>
        </w:rPr>
        <w:t>ils soient adapté</w:t>
      </w:r>
      <w:r w:rsidRPr="00004673">
        <w:rPr>
          <w:lang w:val="fr-CH"/>
        </w:rPr>
        <w:t>s et conformes aux procédures de compensation et méthodes de travail</w:t>
      </w:r>
      <w:r w:rsidR="00C10A78" w:rsidRPr="00004673">
        <w:rPr>
          <w:lang w:val="fr-CH"/>
        </w:rPr>
        <w:t xml:space="preserve"> actuelles</w:t>
      </w:r>
      <w:r w:rsidRPr="00004673">
        <w:rPr>
          <w:lang w:val="fr-CH"/>
        </w:rPr>
        <w:t>.</w:t>
      </w:r>
    </w:p>
    <w:p w14:paraId="666EBD63" w14:textId="77777777" w:rsidR="00417F8D" w:rsidRDefault="00DC7857" w:rsidP="002E030A">
      <w:pPr>
        <w:pStyle w:val="Heading2"/>
      </w:pPr>
      <w:r w:rsidRPr="00004673">
        <w:lastRenderedPageBreak/>
        <w:t>Évaluation du projet pilote sur le perfectionnement professionnel et l</w:t>
      </w:r>
      <w:r w:rsidR="000A3166">
        <w:t>’</w:t>
      </w:r>
      <w:r w:rsidRPr="00004673">
        <w:t>évolution de carrière – Phase</w:t>
      </w:r>
      <w:r w:rsidR="00C33462">
        <w:t> </w:t>
      </w:r>
      <w:r w:rsidRPr="00004673">
        <w:t>2</w:t>
      </w:r>
    </w:p>
    <w:p w14:paraId="44C34513" w14:textId="77777777" w:rsidR="00417F8D" w:rsidRDefault="00DC7857" w:rsidP="002E030A">
      <w:pPr>
        <w:pStyle w:val="ONUMFS"/>
        <w:rPr>
          <w:lang w:val="fr-CH"/>
        </w:rPr>
      </w:pPr>
      <w:r w:rsidRPr="00004673">
        <w:rPr>
          <w:lang w:val="fr-CH"/>
        </w:rPr>
        <w:t>Cet</w:t>
      </w:r>
      <w:r w:rsidR="005E6FB2">
        <w:rPr>
          <w:lang w:val="fr-CH"/>
        </w:rPr>
        <w:t>te</w:t>
      </w:r>
      <w:r w:rsidRPr="00004673">
        <w:rPr>
          <w:lang w:val="fr-CH"/>
        </w:rPr>
        <w:t xml:space="preserve"> </w:t>
      </w:r>
      <w:r w:rsidR="00BE5832" w:rsidRPr="00004673">
        <w:rPr>
          <w:lang w:val="fr-CH"/>
        </w:rPr>
        <w:t>évalu</w:t>
      </w:r>
      <w:r w:rsidR="00BE5832">
        <w:rPr>
          <w:lang w:val="fr-CH"/>
        </w:rPr>
        <w:t xml:space="preserve">ation </w:t>
      </w:r>
      <w:r w:rsidRPr="00004673">
        <w:rPr>
          <w:lang w:val="fr-CH"/>
        </w:rPr>
        <w:t xml:space="preserve">avait pour but </w:t>
      </w:r>
      <w:r w:rsidR="00BE5832">
        <w:rPr>
          <w:lang w:val="fr-CH"/>
        </w:rPr>
        <w:t>de déterminer</w:t>
      </w:r>
      <w:r w:rsidR="00353ADC">
        <w:rPr>
          <w:lang w:val="fr-CH"/>
        </w:rPr>
        <w:t> :</w:t>
      </w:r>
    </w:p>
    <w:p w14:paraId="63FBBF2E" w14:textId="77777777" w:rsidR="00417F8D" w:rsidRDefault="00F65AA3" w:rsidP="002E030A">
      <w:pPr>
        <w:pStyle w:val="ONUMFS"/>
        <w:numPr>
          <w:ilvl w:val="1"/>
          <w:numId w:val="3"/>
        </w:numPr>
        <w:rPr>
          <w:lang w:val="fr-CH"/>
        </w:rPr>
      </w:pPr>
      <w:proofErr w:type="gramStart"/>
      <w:r w:rsidRPr="00004673">
        <w:rPr>
          <w:lang w:val="fr-CH"/>
        </w:rPr>
        <w:t>la</w:t>
      </w:r>
      <w:proofErr w:type="gramEnd"/>
      <w:r w:rsidRPr="00004673">
        <w:rPr>
          <w:lang w:val="fr-CH"/>
        </w:rPr>
        <w:t xml:space="preserve"> stratégie et les résultats actuels du pro</w:t>
      </w:r>
      <w:r w:rsidR="00FA4BD6">
        <w:rPr>
          <w:lang w:val="fr-CH"/>
        </w:rPr>
        <w:t>jet</w:t>
      </w:r>
      <w:r w:rsidRPr="00004673">
        <w:rPr>
          <w:lang w:val="fr-CH"/>
        </w:rPr>
        <w:t xml:space="preserve"> pilote et sa contribution à la prise en considération des questions d</w:t>
      </w:r>
      <w:r w:rsidR="000A3166">
        <w:rPr>
          <w:lang w:val="fr-CH"/>
        </w:rPr>
        <w:t>’</w:t>
      </w:r>
      <w:r w:rsidR="009D22A2" w:rsidRPr="00004673">
        <w:rPr>
          <w:lang w:val="fr-CH"/>
        </w:rPr>
        <w:t>a</w:t>
      </w:r>
      <w:r w:rsidR="00BE5832">
        <w:rPr>
          <w:lang w:val="fr-CH"/>
        </w:rPr>
        <w:t>ppui</w:t>
      </w:r>
      <w:r w:rsidR="009D22A2" w:rsidRPr="00004673">
        <w:rPr>
          <w:lang w:val="fr-CH"/>
        </w:rPr>
        <w:t xml:space="preserve"> </w:t>
      </w:r>
      <w:r w:rsidR="004A37A9" w:rsidRPr="00004673">
        <w:rPr>
          <w:lang w:val="fr-CH"/>
        </w:rPr>
        <w:t>à l</w:t>
      </w:r>
      <w:r w:rsidR="000A3166">
        <w:rPr>
          <w:lang w:val="fr-CH"/>
        </w:rPr>
        <w:t>’</w:t>
      </w:r>
      <w:r w:rsidR="004A37A9" w:rsidRPr="00004673">
        <w:rPr>
          <w:lang w:val="fr-CH"/>
        </w:rPr>
        <w:t xml:space="preserve">évolution </w:t>
      </w:r>
      <w:r w:rsidR="009D22A2" w:rsidRPr="00004673">
        <w:rPr>
          <w:lang w:val="fr-CH"/>
        </w:rPr>
        <w:t>de</w:t>
      </w:r>
      <w:r w:rsidRPr="00004673">
        <w:rPr>
          <w:lang w:val="fr-CH"/>
        </w:rPr>
        <w:t xml:space="preserve"> carrière à l</w:t>
      </w:r>
      <w:r w:rsidR="000A3166">
        <w:rPr>
          <w:lang w:val="fr-CH"/>
        </w:rPr>
        <w:t>’</w:t>
      </w:r>
      <w:r w:rsidRPr="00004673">
        <w:rPr>
          <w:lang w:val="fr-CH"/>
        </w:rPr>
        <w:t>OMPI;</w:t>
      </w:r>
    </w:p>
    <w:p w14:paraId="3FF11015" w14:textId="77777777" w:rsidR="00417F8D" w:rsidRDefault="00F65AA3" w:rsidP="002E030A">
      <w:pPr>
        <w:pStyle w:val="ONUMFS"/>
        <w:numPr>
          <w:ilvl w:val="1"/>
          <w:numId w:val="3"/>
        </w:numPr>
        <w:rPr>
          <w:lang w:val="fr-CH"/>
        </w:rPr>
      </w:pPr>
      <w:proofErr w:type="gramStart"/>
      <w:r w:rsidRPr="00004673">
        <w:rPr>
          <w:lang w:val="fr-CH"/>
        </w:rPr>
        <w:t>si</w:t>
      </w:r>
      <w:proofErr w:type="gramEnd"/>
      <w:r w:rsidRPr="00004673">
        <w:rPr>
          <w:lang w:val="fr-CH"/>
        </w:rPr>
        <w:t xml:space="preserve"> les</w:t>
      </w:r>
      <w:r w:rsidR="00BE5832">
        <w:rPr>
          <w:lang w:val="fr-CH"/>
        </w:rPr>
        <w:t xml:space="preserve"> conditions et les mécanismes </w:t>
      </w:r>
      <w:r w:rsidR="00BE5832" w:rsidRPr="00004673">
        <w:rPr>
          <w:lang w:val="fr-CH"/>
        </w:rPr>
        <w:t>d</w:t>
      </w:r>
      <w:r w:rsidR="000A3166">
        <w:rPr>
          <w:lang w:val="fr-CH"/>
        </w:rPr>
        <w:t>’</w:t>
      </w:r>
      <w:r w:rsidR="00BE5832" w:rsidRPr="00004673">
        <w:rPr>
          <w:lang w:val="fr-CH"/>
        </w:rPr>
        <w:t>a</w:t>
      </w:r>
      <w:r w:rsidR="00BE5832">
        <w:rPr>
          <w:lang w:val="fr-CH"/>
        </w:rPr>
        <w:t>ppui</w:t>
      </w:r>
      <w:r w:rsidRPr="00004673">
        <w:rPr>
          <w:lang w:val="fr-CH"/>
        </w:rPr>
        <w:t xml:space="preserve"> à l</w:t>
      </w:r>
      <w:r w:rsidR="000A3166">
        <w:rPr>
          <w:lang w:val="fr-CH"/>
        </w:rPr>
        <w:t>’</w:t>
      </w:r>
      <w:r w:rsidRPr="00004673">
        <w:rPr>
          <w:lang w:val="fr-CH"/>
        </w:rPr>
        <w:t xml:space="preserve">évolution de carrière </w:t>
      </w:r>
      <w:r w:rsidR="00BE5832">
        <w:rPr>
          <w:lang w:val="fr-CH"/>
        </w:rPr>
        <w:t>sont efficaces</w:t>
      </w:r>
      <w:r w:rsidR="004A37A9" w:rsidRPr="00004673">
        <w:rPr>
          <w:lang w:val="fr-CH"/>
        </w:rPr>
        <w:t xml:space="preserve"> et</w:t>
      </w:r>
      <w:r w:rsidRPr="00004673">
        <w:rPr>
          <w:lang w:val="fr-CH"/>
        </w:rPr>
        <w:t xml:space="preserve"> </w:t>
      </w:r>
      <w:r w:rsidR="00BC185E">
        <w:rPr>
          <w:lang w:val="fr-CH"/>
        </w:rPr>
        <w:t xml:space="preserve">peuvent être </w:t>
      </w:r>
      <w:r w:rsidRPr="00004673">
        <w:rPr>
          <w:lang w:val="fr-CH"/>
        </w:rPr>
        <w:t>intégrés à un programme</w:t>
      </w:r>
      <w:r w:rsidR="004A37A9" w:rsidRPr="00004673">
        <w:rPr>
          <w:lang w:val="fr-CH"/>
        </w:rPr>
        <w:t xml:space="preserve"> valable</w:t>
      </w:r>
      <w:r w:rsidRPr="00004673">
        <w:rPr>
          <w:lang w:val="fr-CH"/>
        </w:rPr>
        <w:t xml:space="preserve"> </w:t>
      </w:r>
      <w:r w:rsidR="00004673" w:rsidRPr="00004673">
        <w:rPr>
          <w:lang w:val="fr-CH"/>
        </w:rPr>
        <w:t>dans c</w:t>
      </w:r>
      <w:r w:rsidR="004A37A9" w:rsidRPr="00004673">
        <w:rPr>
          <w:lang w:val="fr-CH"/>
        </w:rPr>
        <w:t xml:space="preserve">e </w:t>
      </w:r>
      <w:r w:rsidR="00004673" w:rsidRPr="00004673">
        <w:rPr>
          <w:lang w:val="fr-CH"/>
        </w:rPr>
        <w:t>domaine</w:t>
      </w:r>
      <w:r w:rsidR="00C10A78" w:rsidRPr="00004673">
        <w:rPr>
          <w:lang w:val="fr-CH"/>
        </w:rPr>
        <w:t>;</w:t>
      </w:r>
    </w:p>
    <w:p w14:paraId="6A5A1D3B" w14:textId="77777777" w:rsidR="00417F8D" w:rsidRDefault="00F65AA3" w:rsidP="002E030A">
      <w:pPr>
        <w:pStyle w:val="ONUMFS"/>
        <w:numPr>
          <w:ilvl w:val="1"/>
          <w:numId w:val="3"/>
        </w:numPr>
        <w:rPr>
          <w:lang w:val="fr-CH"/>
        </w:rPr>
      </w:pPr>
      <w:proofErr w:type="gramStart"/>
      <w:r w:rsidRPr="00004673">
        <w:rPr>
          <w:lang w:val="fr-CH"/>
        </w:rPr>
        <w:t>les</w:t>
      </w:r>
      <w:proofErr w:type="gramEnd"/>
      <w:r w:rsidRPr="00004673">
        <w:rPr>
          <w:lang w:val="fr-CH"/>
        </w:rPr>
        <w:t xml:space="preserve"> effets escomptés et réels</w:t>
      </w:r>
      <w:r w:rsidR="004A37A9" w:rsidRPr="00004673">
        <w:rPr>
          <w:lang w:val="fr-CH"/>
        </w:rPr>
        <w:t xml:space="preserve"> qu</w:t>
      </w:r>
      <w:r w:rsidR="000A3166">
        <w:rPr>
          <w:lang w:val="fr-CH"/>
        </w:rPr>
        <w:t>’</w:t>
      </w:r>
      <w:r w:rsidR="004A37A9" w:rsidRPr="00004673">
        <w:rPr>
          <w:lang w:val="fr-CH"/>
        </w:rPr>
        <w:t xml:space="preserve">un programme </w:t>
      </w:r>
      <w:r w:rsidR="00BC185E" w:rsidRPr="00004673">
        <w:rPr>
          <w:lang w:val="fr-CH"/>
        </w:rPr>
        <w:t>d</w:t>
      </w:r>
      <w:r w:rsidR="000A3166">
        <w:rPr>
          <w:lang w:val="fr-CH"/>
        </w:rPr>
        <w:t>’</w:t>
      </w:r>
      <w:r w:rsidR="00BC185E" w:rsidRPr="00004673">
        <w:rPr>
          <w:lang w:val="fr-CH"/>
        </w:rPr>
        <w:t>a</w:t>
      </w:r>
      <w:r w:rsidR="00BC185E">
        <w:rPr>
          <w:lang w:val="fr-CH"/>
        </w:rPr>
        <w:t>ppui</w:t>
      </w:r>
      <w:r w:rsidR="00BC185E" w:rsidRPr="00004673">
        <w:rPr>
          <w:lang w:val="fr-CH"/>
        </w:rPr>
        <w:t xml:space="preserve"> </w:t>
      </w:r>
      <w:r w:rsidR="004A37A9" w:rsidRPr="00004673">
        <w:rPr>
          <w:lang w:val="fr-CH"/>
        </w:rPr>
        <w:t>à l</w:t>
      </w:r>
      <w:r w:rsidR="000A3166">
        <w:rPr>
          <w:lang w:val="fr-CH"/>
        </w:rPr>
        <w:t>’</w:t>
      </w:r>
      <w:r w:rsidR="004A37A9" w:rsidRPr="00004673">
        <w:rPr>
          <w:lang w:val="fr-CH"/>
        </w:rPr>
        <w:t>évolution de carrière pourrait avoir sur les bénéficiaires potentiels</w:t>
      </w:r>
      <w:r w:rsidRPr="00004673">
        <w:rPr>
          <w:lang w:val="fr-CH"/>
        </w:rPr>
        <w:t>, ainsi que les risques et stratégies d</w:t>
      </w:r>
      <w:r w:rsidR="000A3166">
        <w:rPr>
          <w:lang w:val="fr-CH"/>
        </w:rPr>
        <w:t>’</w:t>
      </w:r>
      <w:r w:rsidRPr="00004673">
        <w:rPr>
          <w:lang w:val="fr-CH"/>
        </w:rPr>
        <w:t>atténuation</w:t>
      </w:r>
      <w:r w:rsidR="004A37A9" w:rsidRPr="00004673">
        <w:rPr>
          <w:lang w:val="fr-CH"/>
        </w:rPr>
        <w:t xml:space="preserve"> connexes</w:t>
      </w:r>
      <w:r w:rsidR="00C10A78" w:rsidRPr="00004673">
        <w:rPr>
          <w:lang w:val="fr-CH"/>
        </w:rPr>
        <w:t>.</w:t>
      </w:r>
    </w:p>
    <w:p w14:paraId="5B72DB86" w14:textId="77777777" w:rsidR="00417F8D" w:rsidRDefault="00F65AA3" w:rsidP="002E030A">
      <w:pPr>
        <w:pStyle w:val="ONUMFS"/>
        <w:rPr>
          <w:lang w:val="fr-CH"/>
        </w:rPr>
      </w:pPr>
      <w:r w:rsidRPr="00004673">
        <w:rPr>
          <w:lang w:val="fr-CH"/>
        </w:rPr>
        <w:t xml:space="preserve">Les principaux résultats et recommandations </w:t>
      </w:r>
      <w:r w:rsidR="004A37A9" w:rsidRPr="00004673">
        <w:rPr>
          <w:lang w:val="fr-CH"/>
        </w:rPr>
        <w:t>concernent</w:t>
      </w:r>
      <w:r w:rsidRPr="00004673">
        <w:rPr>
          <w:lang w:val="fr-CH"/>
        </w:rPr>
        <w:t xml:space="preserve"> les </w:t>
      </w:r>
      <w:r w:rsidR="004A37A9" w:rsidRPr="00004673">
        <w:rPr>
          <w:lang w:val="fr-CH"/>
        </w:rPr>
        <w:t xml:space="preserve">points </w:t>
      </w:r>
      <w:r w:rsidRPr="00004673">
        <w:rPr>
          <w:lang w:val="fr-CH"/>
        </w:rPr>
        <w:t>suivants</w:t>
      </w:r>
      <w:r w:rsidR="00353ADC">
        <w:rPr>
          <w:lang w:val="fr-CH"/>
        </w:rPr>
        <w:t> :</w:t>
      </w:r>
    </w:p>
    <w:p w14:paraId="58679C0E" w14:textId="77777777" w:rsidR="00417F8D" w:rsidRDefault="00C10A78" w:rsidP="002E030A">
      <w:pPr>
        <w:pStyle w:val="ONUMFS"/>
        <w:numPr>
          <w:ilvl w:val="1"/>
          <w:numId w:val="3"/>
        </w:numPr>
        <w:rPr>
          <w:lang w:val="fr-CH"/>
        </w:rPr>
      </w:pPr>
      <w:proofErr w:type="gramStart"/>
      <w:r w:rsidRPr="00004673">
        <w:rPr>
          <w:lang w:val="fr-CH"/>
        </w:rPr>
        <w:t>le</w:t>
      </w:r>
      <w:proofErr w:type="gramEnd"/>
      <w:r w:rsidRPr="00004673">
        <w:rPr>
          <w:lang w:val="fr-CH"/>
        </w:rPr>
        <w:t xml:space="preserve"> </w:t>
      </w:r>
      <w:r w:rsidR="00FA4BD6" w:rsidRPr="00004673">
        <w:rPr>
          <w:szCs w:val="24"/>
          <w:lang w:val="fr-CH"/>
        </w:rPr>
        <w:t>pro</w:t>
      </w:r>
      <w:r w:rsidR="00FA4BD6">
        <w:rPr>
          <w:szCs w:val="24"/>
          <w:lang w:val="fr-CH"/>
        </w:rPr>
        <w:t>jet</w:t>
      </w:r>
      <w:r w:rsidR="00FA4BD6" w:rsidRPr="00004673">
        <w:rPr>
          <w:szCs w:val="24"/>
          <w:lang w:val="fr-CH"/>
        </w:rPr>
        <w:t xml:space="preserve"> </w:t>
      </w:r>
      <w:r w:rsidRPr="00004673">
        <w:rPr>
          <w:lang w:val="fr-CH"/>
        </w:rPr>
        <w:t>pilote, à petite échelle, s</w:t>
      </w:r>
      <w:r w:rsidR="000A3166">
        <w:rPr>
          <w:lang w:val="fr-CH"/>
        </w:rPr>
        <w:t>’</w:t>
      </w:r>
      <w:r w:rsidRPr="00004673">
        <w:rPr>
          <w:lang w:val="fr-CH"/>
        </w:rPr>
        <w:t>est révélé utile pour répondre aux besoins de l</w:t>
      </w:r>
      <w:r w:rsidR="000A3166">
        <w:rPr>
          <w:lang w:val="fr-CH"/>
        </w:rPr>
        <w:t>’</w:t>
      </w:r>
      <w:r w:rsidRPr="00004673">
        <w:rPr>
          <w:lang w:val="fr-CH"/>
        </w:rPr>
        <w:t>Organisation et à ceux du personnel, ainsi que l</w:t>
      </w:r>
      <w:r w:rsidR="000A3166">
        <w:rPr>
          <w:lang w:val="fr-CH"/>
        </w:rPr>
        <w:t>’</w:t>
      </w:r>
      <w:r w:rsidRPr="00004673">
        <w:rPr>
          <w:lang w:val="fr-CH"/>
        </w:rPr>
        <w:t>ont indiqué plus de 65% des personnes interrogé</w:t>
      </w:r>
      <w:r w:rsidR="00007093" w:rsidRPr="00004673">
        <w:rPr>
          <w:lang w:val="fr-CH"/>
        </w:rPr>
        <w:t>es</w:t>
      </w:r>
      <w:r w:rsidR="00007093">
        <w:rPr>
          <w:lang w:val="fr-CH"/>
        </w:rPr>
        <w:t xml:space="preserve">.  </w:t>
      </w:r>
      <w:r w:rsidR="00007093" w:rsidRPr="00004673">
        <w:rPr>
          <w:lang w:val="fr-CH"/>
        </w:rPr>
        <w:t>Il</w:t>
      </w:r>
      <w:r w:rsidR="00C24247" w:rsidRPr="00004673">
        <w:rPr>
          <w:lang w:val="fr-CH"/>
        </w:rPr>
        <w:t xml:space="preserve"> a engendré des changements positifs </w:t>
      </w:r>
      <w:r w:rsidR="00004673">
        <w:rPr>
          <w:lang w:val="fr-CH"/>
        </w:rPr>
        <w:t xml:space="preserve">dans </w:t>
      </w:r>
      <w:r w:rsidR="00C24247" w:rsidRPr="00004673">
        <w:rPr>
          <w:lang w:val="fr-CH"/>
        </w:rPr>
        <w:t xml:space="preserve">la motivation et </w:t>
      </w:r>
      <w:r w:rsidR="00004673">
        <w:rPr>
          <w:lang w:val="fr-CH"/>
        </w:rPr>
        <w:t>le</w:t>
      </w:r>
      <w:r w:rsidR="00C24247" w:rsidRPr="00004673">
        <w:rPr>
          <w:lang w:val="fr-CH"/>
        </w:rPr>
        <w:t xml:space="preserve"> comport</w:t>
      </w:r>
      <w:r w:rsidR="00004673">
        <w:rPr>
          <w:lang w:val="fr-CH"/>
        </w:rPr>
        <w:t>ement de tous les bénéficiaires;</w:t>
      </w:r>
    </w:p>
    <w:p w14:paraId="7479EB79" w14:textId="77777777" w:rsidR="00417F8D" w:rsidRDefault="00004673" w:rsidP="002E030A">
      <w:pPr>
        <w:pStyle w:val="ONUMFS"/>
        <w:numPr>
          <w:ilvl w:val="1"/>
          <w:numId w:val="3"/>
        </w:numPr>
        <w:rPr>
          <w:lang w:val="fr-CH"/>
        </w:rPr>
      </w:pPr>
      <w:proofErr w:type="gramStart"/>
      <w:r w:rsidRPr="00BC185E">
        <w:rPr>
          <w:lang w:val="fr-CH"/>
        </w:rPr>
        <w:t>l</w:t>
      </w:r>
      <w:r w:rsidR="00C24247" w:rsidRPr="00BC185E">
        <w:rPr>
          <w:lang w:val="fr-CH"/>
        </w:rPr>
        <w:t>e</w:t>
      </w:r>
      <w:proofErr w:type="gramEnd"/>
      <w:r w:rsidR="00C24247" w:rsidRPr="00BC185E">
        <w:rPr>
          <w:lang w:val="fr-CH"/>
        </w:rPr>
        <w:t xml:space="preserve"> </w:t>
      </w:r>
      <w:r w:rsidR="00FA4BD6" w:rsidRPr="00004673">
        <w:rPr>
          <w:szCs w:val="24"/>
          <w:lang w:val="fr-CH"/>
        </w:rPr>
        <w:t>pro</w:t>
      </w:r>
      <w:r w:rsidR="00FA4BD6">
        <w:rPr>
          <w:szCs w:val="24"/>
          <w:lang w:val="fr-CH"/>
        </w:rPr>
        <w:t>jet</w:t>
      </w:r>
      <w:r w:rsidR="00FA4BD6" w:rsidRPr="00004673">
        <w:rPr>
          <w:szCs w:val="24"/>
          <w:lang w:val="fr-CH"/>
        </w:rPr>
        <w:t xml:space="preserve"> </w:t>
      </w:r>
      <w:r w:rsidR="00C24247" w:rsidRPr="00BC185E">
        <w:rPr>
          <w:lang w:val="fr-CH"/>
        </w:rPr>
        <w:t xml:space="preserve">pilote est </w:t>
      </w:r>
      <w:r w:rsidR="004A37A9" w:rsidRPr="00BC185E">
        <w:rPr>
          <w:lang w:val="fr-CH"/>
        </w:rPr>
        <w:t xml:space="preserve">à présent </w:t>
      </w:r>
      <w:r w:rsidR="00C24247" w:rsidRPr="00BC185E">
        <w:rPr>
          <w:lang w:val="fr-CH"/>
        </w:rPr>
        <w:t xml:space="preserve">suffisamment avancé pour </w:t>
      </w:r>
      <w:r w:rsidR="004A37A9" w:rsidRPr="00BC185E">
        <w:rPr>
          <w:lang w:val="fr-CH"/>
        </w:rPr>
        <w:t xml:space="preserve">traiter </w:t>
      </w:r>
      <w:r w:rsidRPr="00BC185E">
        <w:rPr>
          <w:lang w:val="fr-CH"/>
        </w:rPr>
        <w:t>l</w:t>
      </w:r>
      <w:r w:rsidR="004A37A9" w:rsidRPr="00BC185E">
        <w:rPr>
          <w:lang w:val="fr-CH"/>
        </w:rPr>
        <w:t>es difficultés rencontrées</w:t>
      </w:r>
      <w:r w:rsidR="00C24247" w:rsidRPr="00BC185E">
        <w:rPr>
          <w:lang w:val="fr-CH"/>
        </w:rPr>
        <w:t xml:space="preserve"> </w:t>
      </w:r>
      <w:r w:rsidR="004A37A9" w:rsidRPr="00BC185E">
        <w:rPr>
          <w:lang w:val="fr-CH"/>
        </w:rPr>
        <w:t>par</w:t>
      </w:r>
      <w:r w:rsidR="00C24247" w:rsidRPr="00BC185E">
        <w:rPr>
          <w:lang w:val="fr-CH"/>
        </w:rPr>
        <w:t xml:space="preserve"> l</w:t>
      </w:r>
      <w:r w:rsidR="000A3166">
        <w:rPr>
          <w:lang w:val="fr-CH"/>
        </w:rPr>
        <w:t>’</w:t>
      </w:r>
      <w:r w:rsidR="00C24247" w:rsidRPr="00BC185E">
        <w:rPr>
          <w:lang w:val="fr-CH"/>
        </w:rPr>
        <w:t xml:space="preserve">Organisation, </w:t>
      </w:r>
      <w:r w:rsidR="00BE5832" w:rsidRPr="00BC185E">
        <w:rPr>
          <w:lang w:val="fr-CH"/>
        </w:rPr>
        <w:t xml:space="preserve">concernant </w:t>
      </w:r>
      <w:r w:rsidR="00C24247" w:rsidRPr="00BC185E">
        <w:rPr>
          <w:lang w:val="fr-CH"/>
        </w:rPr>
        <w:t>notamment la pyramide des âges d</w:t>
      </w:r>
      <w:r w:rsidR="00BE5832" w:rsidRPr="00BC185E">
        <w:rPr>
          <w:lang w:val="fr-CH"/>
        </w:rPr>
        <w:t>es membres d</w:t>
      </w:r>
      <w:r w:rsidR="00C24247" w:rsidRPr="00BC185E">
        <w:rPr>
          <w:lang w:val="fr-CH"/>
        </w:rPr>
        <w:t>u personnel, la capacité de retenir les talents et les questions liées au genre, entre autres, d</w:t>
      </w:r>
      <w:r w:rsidR="000A3166">
        <w:rPr>
          <w:lang w:val="fr-CH"/>
        </w:rPr>
        <w:t>’</w:t>
      </w:r>
      <w:r w:rsidR="00C24247" w:rsidRPr="00BC185E">
        <w:rPr>
          <w:lang w:val="fr-CH"/>
        </w:rPr>
        <w:t>une manière plus globale et unifiée</w:t>
      </w:r>
      <w:r w:rsidR="00BE5832" w:rsidRPr="00BC185E">
        <w:rPr>
          <w:lang w:val="fr-CH"/>
        </w:rPr>
        <w:t>;</w:t>
      </w:r>
    </w:p>
    <w:p w14:paraId="5C81F7DA" w14:textId="77777777" w:rsidR="00417F8D" w:rsidRDefault="00BE5832" w:rsidP="002E030A">
      <w:pPr>
        <w:pStyle w:val="ONUMFS"/>
        <w:numPr>
          <w:ilvl w:val="1"/>
          <w:numId w:val="3"/>
        </w:numPr>
        <w:rPr>
          <w:lang w:val="fr-CH"/>
        </w:rPr>
      </w:pPr>
      <w:proofErr w:type="gramStart"/>
      <w:r w:rsidRPr="00BC185E">
        <w:rPr>
          <w:lang w:val="fr-CH"/>
        </w:rPr>
        <w:t>l</w:t>
      </w:r>
      <w:r w:rsidR="00C24247" w:rsidRPr="00BC185E">
        <w:rPr>
          <w:lang w:val="fr-CH"/>
        </w:rPr>
        <w:t>a</w:t>
      </w:r>
      <w:proofErr w:type="gramEnd"/>
      <w:r w:rsidR="00C24247" w:rsidRPr="00BC185E">
        <w:rPr>
          <w:lang w:val="fr-CH"/>
        </w:rPr>
        <w:t xml:space="preserve"> mobilité, par exemple dans le cadre d</w:t>
      </w:r>
      <w:r w:rsidR="000A3166">
        <w:rPr>
          <w:lang w:val="fr-CH"/>
        </w:rPr>
        <w:t>’</w:t>
      </w:r>
      <w:r w:rsidR="00C24247" w:rsidRPr="00BC185E">
        <w:rPr>
          <w:lang w:val="fr-CH"/>
        </w:rPr>
        <w:t>affecta</w:t>
      </w:r>
      <w:r w:rsidR="00680C5B" w:rsidRPr="00BC185E">
        <w:rPr>
          <w:lang w:val="fr-CH"/>
        </w:rPr>
        <w:t>ti</w:t>
      </w:r>
      <w:r w:rsidR="00C24247" w:rsidRPr="00BC185E">
        <w:rPr>
          <w:lang w:val="fr-CH"/>
        </w:rPr>
        <w:t xml:space="preserve">ons et de formations </w:t>
      </w:r>
      <w:r w:rsidR="00BC185E" w:rsidRPr="00BC185E">
        <w:rPr>
          <w:lang w:val="fr-CH"/>
        </w:rPr>
        <w:t>en cours d</w:t>
      </w:r>
      <w:r w:rsidR="000A3166">
        <w:rPr>
          <w:lang w:val="fr-CH"/>
        </w:rPr>
        <w:t>’</w:t>
      </w:r>
      <w:r w:rsidR="00BC185E" w:rsidRPr="00BC185E">
        <w:rPr>
          <w:lang w:val="fr-CH"/>
        </w:rPr>
        <w:t xml:space="preserve">emploi </w:t>
      </w:r>
      <w:r w:rsidR="00C24247" w:rsidRPr="00BC185E">
        <w:rPr>
          <w:lang w:val="fr-CH"/>
        </w:rPr>
        <w:t>à l</w:t>
      </w:r>
      <w:r w:rsidR="000A3166">
        <w:rPr>
          <w:lang w:val="fr-CH"/>
        </w:rPr>
        <w:t>’</w:t>
      </w:r>
      <w:r w:rsidR="00C24247" w:rsidRPr="00BC185E">
        <w:rPr>
          <w:lang w:val="fr-CH"/>
        </w:rPr>
        <w:t>extér</w:t>
      </w:r>
      <w:r w:rsidR="004A37A9" w:rsidRPr="00BC185E">
        <w:rPr>
          <w:lang w:val="fr-CH"/>
        </w:rPr>
        <w:t>ieur de l</w:t>
      </w:r>
      <w:r w:rsidR="000A3166">
        <w:rPr>
          <w:lang w:val="fr-CH"/>
        </w:rPr>
        <w:t>’</w:t>
      </w:r>
      <w:r w:rsidR="004A37A9" w:rsidRPr="00BC185E">
        <w:rPr>
          <w:lang w:val="fr-CH"/>
        </w:rPr>
        <w:t xml:space="preserve">Organisation, </w:t>
      </w:r>
      <w:r w:rsidRPr="00BC185E">
        <w:rPr>
          <w:lang w:val="fr-CH"/>
        </w:rPr>
        <w:t xml:space="preserve">qui </w:t>
      </w:r>
      <w:r w:rsidR="004A37A9" w:rsidRPr="00BC185E">
        <w:rPr>
          <w:lang w:val="fr-CH"/>
        </w:rPr>
        <w:t>pourrai</w:t>
      </w:r>
      <w:r w:rsidR="00C24247" w:rsidRPr="00BC185E">
        <w:rPr>
          <w:lang w:val="fr-CH"/>
        </w:rPr>
        <w:t xml:space="preserve">t </w:t>
      </w:r>
      <w:r w:rsidR="004A37A9" w:rsidRPr="00BC185E">
        <w:rPr>
          <w:lang w:val="fr-CH"/>
        </w:rPr>
        <w:t xml:space="preserve">permettre </w:t>
      </w:r>
      <w:r w:rsidRPr="00BC185E">
        <w:rPr>
          <w:lang w:val="fr-CH"/>
        </w:rPr>
        <w:t>d</w:t>
      </w:r>
      <w:r w:rsidR="000A3166">
        <w:rPr>
          <w:lang w:val="fr-CH"/>
        </w:rPr>
        <w:t>’</w:t>
      </w:r>
      <w:r w:rsidRPr="00BC185E">
        <w:rPr>
          <w:lang w:val="fr-CH"/>
        </w:rPr>
        <w:t>harmoniser</w:t>
      </w:r>
      <w:r w:rsidR="004A37A9" w:rsidRPr="00BC185E">
        <w:rPr>
          <w:lang w:val="fr-CH"/>
        </w:rPr>
        <w:t xml:space="preserve"> </w:t>
      </w:r>
      <w:r w:rsidR="00C24247" w:rsidRPr="00BC185E">
        <w:rPr>
          <w:lang w:val="fr-CH"/>
        </w:rPr>
        <w:t xml:space="preserve">les besoins et aspirations </w:t>
      </w:r>
      <w:r w:rsidR="00BC185E" w:rsidRPr="00BC185E">
        <w:rPr>
          <w:lang w:val="fr-CH"/>
        </w:rPr>
        <w:t>du per</w:t>
      </w:r>
      <w:r w:rsidRPr="00BC185E">
        <w:rPr>
          <w:lang w:val="fr-CH"/>
        </w:rPr>
        <w:t>s</w:t>
      </w:r>
      <w:r w:rsidR="00BC185E" w:rsidRPr="00BC185E">
        <w:rPr>
          <w:lang w:val="fr-CH"/>
        </w:rPr>
        <w:t>onnel</w:t>
      </w:r>
      <w:r w:rsidRPr="00BC185E">
        <w:rPr>
          <w:lang w:val="fr-CH"/>
        </w:rPr>
        <w:t xml:space="preserve"> avec</w:t>
      </w:r>
      <w:r w:rsidR="00C24247" w:rsidRPr="00BC185E">
        <w:rPr>
          <w:lang w:val="fr-CH"/>
        </w:rPr>
        <w:t xml:space="preserve"> les besoins de l</w:t>
      </w:r>
      <w:r w:rsidR="000A3166">
        <w:rPr>
          <w:lang w:val="fr-CH"/>
        </w:rPr>
        <w:t>’</w:t>
      </w:r>
      <w:r w:rsidR="00C24247" w:rsidRPr="00BC185E">
        <w:rPr>
          <w:lang w:val="fr-CH"/>
        </w:rPr>
        <w:t>Organisation.</w:t>
      </w:r>
    </w:p>
    <w:p w14:paraId="1C287A85" w14:textId="77777777" w:rsidR="00417F8D" w:rsidRDefault="00680C5B" w:rsidP="002E030A">
      <w:pPr>
        <w:pStyle w:val="ONUMFS"/>
        <w:rPr>
          <w:lang w:val="fr-CH"/>
        </w:rPr>
      </w:pPr>
      <w:r w:rsidRPr="00BC185E">
        <w:rPr>
          <w:lang w:val="fr-CH"/>
        </w:rPr>
        <w:t>La stratégie de mise en œuvre s</w:t>
      </w:r>
      <w:r w:rsidR="000A3166">
        <w:rPr>
          <w:lang w:val="fr-CH"/>
        </w:rPr>
        <w:t>’</w:t>
      </w:r>
      <w:r w:rsidRPr="00BC185E">
        <w:rPr>
          <w:lang w:val="fr-CH"/>
        </w:rPr>
        <w:t>est révélée effica</w:t>
      </w:r>
      <w:r w:rsidR="00007093" w:rsidRPr="00BC185E">
        <w:rPr>
          <w:lang w:val="fr-CH"/>
        </w:rPr>
        <w:t>ce</w:t>
      </w:r>
      <w:r w:rsidR="00007093">
        <w:rPr>
          <w:lang w:val="fr-CH"/>
        </w:rPr>
        <w:t xml:space="preserve">.  </w:t>
      </w:r>
      <w:r w:rsidR="00007093" w:rsidRPr="00BC185E">
        <w:rPr>
          <w:lang w:val="fr-CH"/>
        </w:rPr>
        <w:t>To</w:t>
      </w:r>
      <w:r w:rsidRPr="00BC185E">
        <w:rPr>
          <w:lang w:val="fr-CH"/>
        </w:rPr>
        <w:t xml:space="preserve">utefois, la structure et les ressources dont </w:t>
      </w:r>
      <w:r w:rsidR="004A37A9" w:rsidRPr="00BC185E">
        <w:rPr>
          <w:lang w:val="fr-CH"/>
        </w:rPr>
        <w:t>dispose aujourd</w:t>
      </w:r>
      <w:r w:rsidR="000A3166">
        <w:rPr>
          <w:lang w:val="fr-CH"/>
        </w:rPr>
        <w:t>’</w:t>
      </w:r>
      <w:r w:rsidR="004A37A9" w:rsidRPr="00BC185E">
        <w:rPr>
          <w:lang w:val="fr-CH"/>
        </w:rPr>
        <w:t>hui l</w:t>
      </w:r>
      <w:r w:rsidR="000A3166">
        <w:rPr>
          <w:lang w:val="fr-CH"/>
        </w:rPr>
        <w:t>’</w:t>
      </w:r>
      <w:r w:rsidR="004A37A9" w:rsidRPr="00BC185E">
        <w:rPr>
          <w:lang w:val="fr-CH"/>
        </w:rPr>
        <w:t>OMPI aux fins</w:t>
      </w:r>
      <w:r w:rsidRPr="00BC185E">
        <w:rPr>
          <w:lang w:val="fr-CH"/>
        </w:rPr>
        <w:t xml:space="preserve"> </w:t>
      </w:r>
      <w:r w:rsidR="004A37A9" w:rsidRPr="00BC185E">
        <w:rPr>
          <w:lang w:val="fr-CH"/>
        </w:rPr>
        <w:t xml:space="preserve">du </w:t>
      </w:r>
      <w:r w:rsidRPr="00BC185E">
        <w:rPr>
          <w:lang w:val="fr-CH"/>
        </w:rPr>
        <w:t xml:space="preserve">perfectionnement professionnel sont insuffisantes compte tenu des besoins et des enjeux actuels et futurs </w:t>
      </w:r>
      <w:r w:rsidR="00BC185E" w:rsidRPr="00BC185E">
        <w:rPr>
          <w:lang w:val="fr-CH"/>
        </w:rPr>
        <w:t xml:space="preserve">auxquels est confrontée </w:t>
      </w:r>
      <w:r w:rsidRPr="00BC185E">
        <w:rPr>
          <w:lang w:val="fr-CH"/>
        </w:rPr>
        <w:t>l</w:t>
      </w:r>
      <w:r w:rsidR="000A3166">
        <w:rPr>
          <w:lang w:val="fr-CH"/>
        </w:rPr>
        <w:t>’</w:t>
      </w:r>
      <w:r w:rsidRPr="00BC185E">
        <w:rPr>
          <w:lang w:val="fr-CH"/>
        </w:rPr>
        <w:t>Organisati</w:t>
      </w:r>
      <w:r w:rsidR="00007093" w:rsidRPr="00BC185E">
        <w:rPr>
          <w:lang w:val="fr-CH"/>
        </w:rPr>
        <w:t>on</w:t>
      </w:r>
      <w:r w:rsidR="00007093">
        <w:rPr>
          <w:lang w:val="fr-CH"/>
        </w:rPr>
        <w:t xml:space="preserve">.  </w:t>
      </w:r>
      <w:r w:rsidR="00007093" w:rsidRPr="00BC185E">
        <w:rPr>
          <w:lang w:val="fr-CH"/>
        </w:rPr>
        <w:t>So</w:t>
      </w:r>
      <w:r w:rsidRPr="00BC185E">
        <w:rPr>
          <w:lang w:val="fr-CH"/>
        </w:rPr>
        <w:t xml:space="preserve">us sa forme actuelle, le </w:t>
      </w:r>
      <w:r w:rsidR="00FA4BD6" w:rsidRPr="00004673">
        <w:rPr>
          <w:szCs w:val="24"/>
          <w:lang w:val="fr-CH"/>
        </w:rPr>
        <w:t>pro</w:t>
      </w:r>
      <w:r w:rsidR="00FA4BD6">
        <w:rPr>
          <w:szCs w:val="24"/>
          <w:lang w:val="fr-CH"/>
        </w:rPr>
        <w:t>jet</w:t>
      </w:r>
      <w:r w:rsidR="00FA4BD6" w:rsidRPr="00004673">
        <w:rPr>
          <w:szCs w:val="24"/>
          <w:lang w:val="fr-CH"/>
        </w:rPr>
        <w:t xml:space="preserve"> </w:t>
      </w:r>
      <w:r w:rsidRPr="00BC185E">
        <w:rPr>
          <w:lang w:val="fr-CH"/>
        </w:rPr>
        <w:t>pilote n</w:t>
      </w:r>
      <w:r w:rsidR="000A3166">
        <w:rPr>
          <w:lang w:val="fr-CH"/>
        </w:rPr>
        <w:t>’</w:t>
      </w:r>
      <w:r w:rsidRPr="00BC185E">
        <w:rPr>
          <w:lang w:val="fr-CH"/>
        </w:rPr>
        <w:t>est pas viable.</w:t>
      </w:r>
    </w:p>
    <w:p w14:paraId="53C25907" w14:textId="77777777" w:rsidR="00417F8D" w:rsidRDefault="00680C5B" w:rsidP="002E030A">
      <w:pPr>
        <w:pStyle w:val="ONUMFS"/>
        <w:rPr>
          <w:lang w:val="fr-CH"/>
        </w:rPr>
      </w:pPr>
      <w:r w:rsidRPr="00BC185E">
        <w:rPr>
          <w:lang w:val="fr-CH"/>
        </w:rPr>
        <w:t>Le personnel a souligné la nécessité de renforcer la transparence et l</w:t>
      </w:r>
      <w:r w:rsidR="000A3166">
        <w:rPr>
          <w:lang w:val="fr-CH"/>
        </w:rPr>
        <w:t>’</w:t>
      </w:r>
      <w:r w:rsidRPr="00BC185E">
        <w:rPr>
          <w:lang w:val="fr-CH"/>
        </w:rPr>
        <w:t>accessibilité des services de perfectionnement professionn</w:t>
      </w:r>
      <w:r w:rsidR="00007093" w:rsidRPr="00BC185E">
        <w:rPr>
          <w:lang w:val="fr-CH"/>
        </w:rPr>
        <w:t>el</w:t>
      </w:r>
      <w:r w:rsidR="00007093">
        <w:rPr>
          <w:lang w:val="fr-CH"/>
        </w:rPr>
        <w:t xml:space="preserve">.  </w:t>
      </w:r>
      <w:r w:rsidR="00007093" w:rsidRPr="00BC185E">
        <w:rPr>
          <w:lang w:val="fr-CH"/>
        </w:rPr>
        <w:t>Pa</w:t>
      </w:r>
      <w:r w:rsidR="009D22A2" w:rsidRPr="00BC185E">
        <w:rPr>
          <w:lang w:val="fr-CH"/>
        </w:rPr>
        <w:t xml:space="preserve">r conséquent, </w:t>
      </w:r>
      <w:r w:rsidR="00BE5832" w:rsidRPr="00BC185E">
        <w:rPr>
          <w:lang w:val="fr-CH"/>
        </w:rPr>
        <w:t>l</w:t>
      </w:r>
      <w:r w:rsidR="008B7924">
        <w:rPr>
          <w:lang w:val="fr-CH"/>
        </w:rPr>
        <w:t>es services d</w:t>
      </w:r>
      <w:r w:rsidR="000A3166">
        <w:rPr>
          <w:lang w:val="fr-CH"/>
        </w:rPr>
        <w:t>’</w:t>
      </w:r>
      <w:r w:rsidR="00BC185E">
        <w:rPr>
          <w:lang w:val="fr-CH"/>
        </w:rPr>
        <w:t>appui</w:t>
      </w:r>
      <w:r w:rsidR="009D22A2" w:rsidRPr="00BC185E">
        <w:rPr>
          <w:lang w:val="fr-CH"/>
        </w:rPr>
        <w:t xml:space="preserve"> à l</w:t>
      </w:r>
      <w:r w:rsidR="000A3166">
        <w:rPr>
          <w:lang w:val="fr-CH"/>
        </w:rPr>
        <w:t>’</w:t>
      </w:r>
      <w:r w:rsidR="009D22A2" w:rsidRPr="00BC185E">
        <w:rPr>
          <w:lang w:val="fr-CH"/>
        </w:rPr>
        <w:t xml:space="preserve">évolution de carrière </w:t>
      </w:r>
      <w:r w:rsidR="00BE5832" w:rsidRPr="00BC185E">
        <w:rPr>
          <w:lang w:val="fr-CH"/>
        </w:rPr>
        <w:t>devr</w:t>
      </w:r>
      <w:r w:rsidR="008B7924">
        <w:rPr>
          <w:lang w:val="fr-CH"/>
        </w:rPr>
        <w:t>ont</w:t>
      </w:r>
      <w:r w:rsidR="00BE5832" w:rsidRPr="00BC185E">
        <w:rPr>
          <w:lang w:val="fr-CH"/>
        </w:rPr>
        <w:t xml:space="preserve"> à l</w:t>
      </w:r>
      <w:r w:rsidR="000A3166">
        <w:rPr>
          <w:lang w:val="fr-CH"/>
        </w:rPr>
        <w:t>’</w:t>
      </w:r>
      <w:r w:rsidR="00BE5832" w:rsidRPr="00BC185E">
        <w:rPr>
          <w:lang w:val="fr-CH"/>
        </w:rPr>
        <w:t>avenir</w:t>
      </w:r>
      <w:r w:rsidR="009D22A2" w:rsidRPr="00BC185E">
        <w:rPr>
          <w:lang w:val="fr-CH"/>
        </w:rPr>
        <w:t xml:space="preserve"> être ouvert</w:t>
      </w:r>
      <w:r w:rsidR="008B7924">
        <w:rPr>
          <w:lang w:val="fr-CH"/>
        </w:rPr>
        <w:t>s</w:t>
      </w:r>
      <w:r w:rsidR="009D22A2" w:rsidRPr="00BC185E">
        <w:rPr>
          <w:lang w:val="fr-CH"/>
        </w:rPr>
        <w:t xml:space="preserve"> à tous et accessible</w:t>
      </w:r>
      <w:r w:rsidR="008B7924">
        <w:rPr>
          <w:lang w:val="fr-CH"/>
        </w:rPr>
        <w:t>s</w:t>
      </w:r>
      <w:r w:rsidR="009D22A2" w:rsidRPr="00BC185E">
        <w:rPr>
          <w:lang w:val="fr-CH"/>
        </w:rPr>
        <w:t xml:space="preserve"> à l</w:t>
      </w:r>
      <w:r w:rsidR="000A3166">
        <w:rPr>
          <w:lang w:val="fr-CH"/>
        </w:rPr>
        <w:t>’</w:t>
      </w:r>
      <w:r w:rsidR="009D22A2" w:rsidRPr="00BC185E">
        <w:rPr>
          <w:lang w:val="fr-CH"/>
        </w:rPr>
        <w:t xml:space="preserve">ensemble du personnel selon une approche </w:t>
      </w:r>
      <w:r w:rsidR="00BE5832" w:rsidRPr="00BC185E">
        <w:rPr>
          <w:lang w:val="fr-CH"/>
        </w:rPr>
        <w:t>fondée su</w:t>
      </w:r>
      <w:r w:rsidR="009D22A2" w:rsidRPr="00BC185E">
        <w:rPr>
          <w:lang w:val="fr-CH"/>
        </w:rPr>
        <w:t>r la demande.</w:t>
      </w:r>
    </w:p>
    <w:p w14:paraId="27A6F89C" w14:textId="77777777" w:rsidR="00417F8D" w:rsidRDefault="009D22A2" w:rsidP="002E030A">
      <w:pPr>
        <w:pStyle w:val="ONUMFS"/>
        <w:rPr>
          <w:lang w:val="fr-CH"/>
        </w:rPr>
      </w:pPr>
      <w:r w:rsidRPr="00BC185E">
        <w:rPr>
          <w:lang w:val="fr-CH"/>
        </w:rPr>
        <w:t>Si l</w:t>
      </w:r>
      <w:r w:rsidR="000A3166">
        <w:rPr>
          <w:lang w:val="fr-CH"/>
        </w:rPr>
        <w:t>’</w:t>
      </w:r>
      <w:r w:rsidRPr="00BC185E">
        <w:rPr>
          <w:lang w:val="fr-CH"/>
        </w:rPr>
        <w:t xml:space="preserve">évaluation générale du </w:t>
      </w:r>
      <w:r w:rsidR="00FA4BD6" w:rsidRPr="00004673">
        <w:rPr>
          <w:szCs w:val="24"/>
          <w:lang w:val="fr-CH"/>
        </w:rPr>
        <w:t>pro</w:t>
      </w:r>
      <w:r w:rsidR="00FA4BD6">
        <w:rPr>
          <w:szCs w:val="24"/>
          <w:lang w:val="fr-CH"/>
        </w:rPr>
        <w:t>jet</w:t>
      </w:r>
      <w:r w:rsidR="00FA4BD6" w:rsidRPr="00004673">
        <w:rPr>
          <w:szCs w:val="24"/>
          <w:lang w:val="fr-CH"/>
        </w:rPr>
        <w:t xml:space="preserve"> </w:t>
      </w:r>
      <w:r w:rsidRPr="00BC185E">
        <w:rPr>
          <w:lang w:val="fr-CH"/>
        </w:rPr>
        <w:t xml:space="preserve">pilote </w:t>
      </w:r>
      <w:r w:rsidR="004A37A9" w:rsidRPr="00BC185E">
        <w:rPr>
          <w:lang w:val="fr-CH"/>
        </w:rPr>
        <w:t>a été</w:t>
      </w:r>
      <w:r w:rsidRPr="00BC185E">
        <w:rPr>
          <w:lang w:val="fr-CH"/>
        </w:rPr>
        <w:t xml:space="preserve"> positive, elle a également permis de recenser des </w:t>
      </w:r>
      <w:r w:rsidR="00BC185E">
        <w:rPr>
          <w:lang w:val="fr-CH"/>
        </w:rPr>
        <w:t>points</w:t>
      </w:r>
      <w:r w:rsidRPr="00BC185E">
        <w:rPr>
          <w:lang w:val="fr-CH"/>
        </w:rPr>
        <w:t xml:space="preserve"> à amélior</w:t>
      </w:r>
      <w:r w:rsidR="00007093" w:rsidRPr="00BC185E">
        <w:rPr>
          <w:lang w:val="fr-CH"/>
        </w:rPr>
        <w:t>er</w:t>
      </w:r>
      <w:r w:rsidR="00007093">
        <w:rPr>
          <w:lang w:val="fr-CH"/>
        </w:rPr>
        <w:t xml:space="preserve">.  </w:t>
      </w:r>
      <w:r w:rsidR="00007093" w:rsidRPr="00BC185E">
        <w:rPr>
          <w:lang w:val="fr-CH"/>
        </w:rPr>
        <w:t xml:space="preserve">À </w:t>
      </w:r>
      <w:r w:rsidRPr="00BC185E">
        <w:rPr>
          <w:lang w:val="fr-CH"/>
        </w:rPr>
        <w:t>cette fin, trois</w:t>
      </w:r>
      <w:r w:rsidR="005B0739">
        <w:rPr>
          <w:lang w:val="fr-CH"/>
        </w:rPr>
        <w:t> </w:t>
      </w:r>
      <w:r w:rsidRPr="00BC185E">
        <w:rPr>
          <w:lang w:val="fr-CH"/>
        </w:rPr>
        <w:t>recommandations ont été formulées</w:t>
      </w:r>
      <w:r w:rsidR="00353ADC">
        <w:rPr>
          <w:lang w:val="fr-CH"/>
        </w:rPr>
        <w:t> :</w:t>
      </w:r>
    </w:p>
    <w:p w14:paraId="433C499F" w14:textId="77777777" w:rsidR="00417F8D" w:rsidRDefault="009D22A2" w:rsidP="002E030A">
      <w:pPr>
        <w:pStyle w:val="ONUMFS"/>
        <w:numPr>
          <w:ilvl w:val="1"/>
          <w:numId w:val="3"/>
        </w:numPr>
        <w:rPr>
          <w:lang w:val="fr-CH"/>
        </w:rPr>
      </w:pPr>
      <w:proofErr w:type="gramStart"/>
      <w:r w:rsidRPr="00BC185E">
        <w:rPr>
          <w:lang w:val="fr-CH"/>
        </w:rPr>
        <w:t>le</w:t>
      </w:r>
      <w:proofErr w:type="gramEnd"/>
      <w:r w:rsidRPr="00BC185E">
        <w:rPr>
          <w:lang w:val="fr-CH"/>
        </w:rPr>
        <w:t xml:space="preserve"> DGRH d</w:t>
      </w:r>
      <w:r w:rsidR="004A37A9" w:rsidRPr="00BC185E">
        <w:rPr>
          <w:lang w:val="fr-CH"/>
        </w:rPr>
        <w:t>o</w:t>
      </w:r>
      <w:r w:rsidRPr="00BC185E">
        <w:rPr>
          <w:lang w:val="fr-CH"/>
        </w:rPr>
        <w:t>it envisager de mettre au point un</w:t>
      </w:r>
      <w:r w:rsidR="00BC185E" w:rsidRPr="00BC185E">
        <w:rPr>
          <w:lang w:val="fr-CH"/>
        </w:rPr>
        <w:t xml:space="preserve"> véritable</w:t>
      </w:r>
      <w:r w:rsidRPr="00BC185E">
        <w:rPr>
          <w:lang w:val="fr-CH"/>
        </w:rPr>
        <w:t xml:space="preserve"> </w:t>
      </w:r>
      <w:r w:rsidR="00BC185E" w:rsidRPr="00BC185E">
        <w:rPr>
          <w:lang w:val="fr-CH"/>
        </w:rPr>
        <w:t xml:space="preserve">dispositif </w:t>
      </w:r>
      <w:r w:rsidRPr="00BC185E">
        <w:rPr>
          <w:lang w:val="fr-CH"/>
        </w:rPr>
        <w:t>d</w:t>
      </w:r>
      <w:r w:rsidR="000A3166">
        <w:rPr>
          <w:lang w:val="fr-CH"/>
        </w:rPr>
        <w:t>’</w:t>
      </w:r>
      <w:r w:rsidRPr="00BC185E">
        <w:rPr>
          <w:lang w:val="fr-CH"/>
        </w:rPr>
        <w:t>a</w:t>
      </w:r>
      <w:r w:rsidR="00BC185E" w:rsidRPr="00BC185E">
        <w:rPr>
          <w:lang w:val="fr-CH"/>
        </w:rPr>
        <w:t>ppui</w:t>
      </w:r>
      <w:r w:rsidRPr="00BC185E">
        <w:rPr>
          <w:lang w:val="fr-CH"/>
        </w:rPr>
        <w:t xml:space="preserve"> à l</w:t>
      </w:r>
      <w:r w:rsidR="000A3166">
        <w:rPr>
          <w:lang w:val="fr-CH"/>
        </w:rPr>
        <w:t>’</w:t>
      </w:r>
      <w:r w:rsidRPr="00BC185E">
        <w:rPr>
          <w:lang w:val="fr-CH"/>
        </w:rPr>
        <w:t>évolution de carrière</w:t>
      </w:r>
      <w:r w:rsidR="004A37A9" w:rsidRPr="00BC185E">
        <w:rPr>
          <w:lang w:val="fr-CH"/>
        </w:rPr>
        <w:t>,</w:t>
      </w:r>
      <w:r w:rsidRPr="00BC185E">
        <w:rPr>
          <w:lang w:val="fr-CH"/>
        </w:rPr>
        <w:t xml:space="preserve"> définissant clairement les problèmes à résoudre, l</w:t>
      </w:r>
      <w:r w:rsidR="00BE5832" w:rsidRPr="00BC185E">
        <w:rPr>
          <w:lang w:val="fr-CH"/>
        </w:rPr>
        <w:t>a</w:t>
      </w:r>
      <w:r w:rsidRPr="00BC185E">
        <w:rPr>
          <w:lang w:val="fr-CH"/>
        </w:rPr>
        <w:t xml:space="preserve"> </w:t>
      </w:r>
      <w:r w:rsidR="00BE5832" w:rsidRPr="00BC185E">
        <w:rPr>
          <w:lang w:val="fr-CH"/>
        </w:rPr>
        <w:t>situation</w:t>
      </w:r>
      <w:r w:rsidRPr="00BC185E">
        <w:rPr>
          <w:lang w:val="fr-CH"/>
        </w:rPr>
        <w:t xml:space="preserve"> aux niveaux interne et externe et les facteurs contextuels, ainsi que les résul</w:t>
      </w:r>
      <w:r w:rsidR="004A37A9" w:rsidRPr="00BC185E">
        <w:rPr>
          <w:lang w:val="fr-CH"/>
        </w:rPr>
        <w:t>tats escomptés et les ob</w:t>
      </w:r>
      <w:r w:rsidR="00BE5832" w:rsidRPr="00BC185E">
        <w:rPr>
          <w:lang w:val="fr-CH"/>
        </w:rPr>
        <w:t>jectifs</w:t>
      </w:r>
      <w:r w:rsidR="004A37A9" w:rsidRPr="00BC185E">
        <w:rPr>
          <w:lang w:val="fr-CH"/>
        </w:rPr>
        <w:t>;</w:t>
      </w:r>
    </w:p>
    <w:p w14:paraId="2B6ABA9D" w14:textId="77777777" w:rsidR="00417F8D" w:rsidRDefault="004A37A9" w:rsidP="002E030A">
      <w:pPr>
        <w:pStyle w:val="ONUMFS"/>
        <w:numPr>
          <w:ilvl w:val="1"/>
          <w:numId w:val="3"/>
        </w:numPr>
        <w:rPr>
          <w:lang w:val="fr-CH"/>
        </w:rPr>
      </w:pPr>
      <w:proofErr w:type="gramStart"/>
      <w:r w:rsidRPr="00BC185E">
        <w:rPr>
          <w:lang w:val="fr-CH"/>
        </w:rPr>
        <w:t>l</w:t>
      </w:r>
      <w:r w:rsidR="009D22A2" w:rsidRPr="00BC185E">
        <w:rPr>
          <w:lang w:val="fr-CH"/>
        </w:rPr>
        <w:t>e</w:t>
      </w:r>
      <w:proofErr w:type="gramEnd"/>
      <w:r w:rsidR="009D22A2" w:rsidRPr="00BC185E">
        <w:rPr>
          <w:lang w:val="fr-CH"/>
        </w:rPr>
        <w:t xml:space="preserve"> DGRH d</w:t>
      </w:r>
      <w:r w:rsidRPr="00BC185E">
        <w:rPr>
          <w:lang w:val="fr-CH"/>
        </w:rPr>
        <w:t>o</w:t>
      </w:r>
      <w:r w:rsidR="009D22A2" w:rsidRPr="00BC185E">
        <w:rPr>
          <w:lang w:val="fr-CH"/>
        </w:rPr>
        <w:t>it s</w:t>
      </w:r>
      <w:r w:rsidR="000A3166">
        <w:rPr>
          <w:lang w:val="fr-CH"/>
        </w:rPr>
        <w:t>’</w:t>
      </w:r>
      <w:r w:rsidR="009D22A2" w:rsidRPr="00BC185E">
        <w:rPr>
          <w:lang w:val="fr-CH"/>
        </w:rPr>
        <w:t>assurer de l</w:t>
      </w:r>
      <w:r w:rsidR="000A3166">
        <w:rPr>
          <w:lang w:val="fr-CH"/>
        </w:rPr>
        <w:t>’</w:t>
      </w:r>
      <w:r w:rsidR="009D22A2" w:rsidRPr="00BC185E">
        <w:rPr>
          <w:lang w:val="fr-CH"/>
        </w:rPr>
        <w:t>engagement des</w:t>
      </w:r>
      <w:r w:rsidR="00554639" w:rsidRPr="00BC185E">
        <w:rPr>
          <w:lang w:val="fr-CH"/>
        </w:rPr>
        <w:t xml:space="preserve"> chefs de service et</w:t>
      </w:r>
      <w:r w:rsidR="009D22A2" w:rsidRPr="00BC185E">
        <w:rPr>
          <w:lang w:val="fr-CH"/>
        </w:rPr>
        <w:t xml:space="preserve"> responsables hiérarchiques </w:t>
      </w:r>
      <w:r w:rsidR="00BE5832" w:rsidRPr="00BC185E">
        <w:rPr>
          <w:lang w:val="fr-CH"/>
        </w:rPr>
        <w:t>lorsqu</w:t>
      </w:r>
      <w:r w:rsidR="000A3166">
        <w:rPr>
          <w:lang w:val="fr-CH"/>
        </w:rPr>
        <w:t>’</w:t>
      </w:r>
      <w:r w:rsidR="00BC185E" w:rsidRPr="00BC185E">
        <w:rPr>
          <w:lang w:val="fr-CH"/>
        </w:rPr>
        <w:t>il fournit</w:t>
      </w:r>
      <w:r w:rsidR="009D22A2" w:rsidRPr="00BC185E">
        <w:rPr>
          <w:lang w:val="fr-CH"/>
        </w:rPr>
        <w:t xml:space="preserve"> des services d</w:t>
      </w:r>
      <w:r w:rsidR="000A3166">
        <w:rPr>
          <w:lang w:val="fr-CH"/>
        </w:rPr>
        <w:t>’</w:t>
      </w:r>
      <w:r w:rsidR="009D22A2" w:rsidRPr="00BC185E">
        <w:rPr>
          <w:lang w:val="fr-CH"/>
        </w:rPr>
        <w:t>appui à l</w:t>
      </w:r>
      <w:r w:rsidR="000A3166">
        <w:rPr>
          <w:lang w:val="fr-CH"/>
        </w:rPr>
        <w:t>’</w:t>
      </w:r>
      <w:r w:rsidR="009D22A2" w:rsidRPr="00BC185E">
        <w:rPr>
          <w:lang w:val="fr-CH"/>
        </w:rPr>
        <w:t xml:space="preserve">évolution de carrière et </w:t>
      </w:r>
      <w:r w:rsidR="00BE5832" w:rsidRPr="00BC185E">
        <w:rPr>
          <w:lang w:val="fr-CH"/>
        </w:rPr>
        <w:t>qu</w:t>
      </w:r>
      <w:r w:rsidR="000A3166">
        <w:rPr>
          <w:lang w:val="fr-CH"/>
        </w:rPr>
        <w:t>’</w:t>
      </w:r>
      <w:r w:rsidR="00BE5832" w:rsidRPr="00BC185E">
        <w:rPr>
          <w:lang w:val="fr-CH"/>
        </w:rPr>
        <w:t xml:space="preserve">il </w:t>
      </w:r>
      <w:r w:rsidR="009D22A2" w:rsidRPr="00BC185E">
        <w:rPr>
          <w:lang w:val="fr-CH"/>
        </w:rPr>
        <w:t xml:space="preserve">informe </w:t>
      </w:r>
      <w:r w:rsidR="00554639" w:rsidRPr="00BC185E">
        <w:rPr>
          <w:lang w:val="fr-CH"/>
        </w:rPr>
        <w:t>l</w:t>
      </w:r>
      <w:r w:rsidR="000A3166">
        <w:rPr>
          <w:lang w:val="fr-CH"/>
        </w:rPr>
        <w:t>’</w:t>
      </w:r>
      <w:r w:rsidR="00554639" w:rsidRPr="00BC185E">
        <w:rPr>
          <w:lang w:val="fr-CH"/>
        </w:rPr>
        <w:t>ensemble du personnel</w:t>
      </w:r>
      <w:r w:rsidR="00BE5832" w:rsidRPr="00BC185E">
        <w:rPr>
          <w:lang w:val="fr-CH"/>
        </w:rPr>
        <w:t>,</w:t>
      </w:r>
      <w:r w:rsidR="00554639" w:rsidRPr="00BC185E">
        <w:rPr>
          <w:lang w:val="fr-CH"/>
        </w:rPr>
        <w:t xml:space="preserve"> </w:t>
      </w:r>
      <w:r w:rsidR="009D22A2" w:rsidRPr="00BC185E">
        <w:rPr>
          <w:lang w:val="fr-CH"/>
        </w:rPr>
        <w:t>en toute transparence</w:t>
      </w:r>
      <w:r w:rsidR="00BE5832" w:rsidRPr="00BC185E">
        <w:rPr>
          <w:lang w:val="fr-CH"/>
        </w:rPr>
        <w:t>,</w:t>
      </w:r>
      <w:r w:rsidR="009D22A2" w:rsidRPr="00BC185E">
        <w:rPr>
          <w:lang w:val="fr-CH"/>
        </w:rPr>
        <w:t xml:space="preserve"> sur </w:t>
      </w:r>
      <w:r w:rsidR="00BE5832" w:rsidRPr="00BC185E">
        <w:rPr>
          <w:lang w:val="fr-CH"/>
        </w:rPr>
        <w:t>l</w:t>
      </w:r>
      <w:r w:rsidR="000A3166">
        <w:rPr>
          <w:lang w:val="fr-CH"/>
        </w:rPr>
        <w:t>’</w:t>
      </w:r>
      <w:r w:rsidR="00BE5832" w:rsidRPr="00BC185E">
        <w:rPr>
          <w:lang w:val="fr-CH"/>
        </w:rPr>
        <w:t>accès à ce</w:t>
      </w:r>
      <w:r w:rsidR="009D22A2" w:rsidRPr="00BC185E">
        <w:rPr>
          <w:lang w:val="fr-CH"/>
        </w:rPr>
        <w:t xml:space="preserve">s services </w:t>
      </w:r>
      <w:r w:rsidR="00BC185E" w:rsidRPr="00BC185E">
        <w:rPr>
          <w:lang w:val="fr-CH"/>
        </w:rPr>
        <w:t>et</w:t>
      </w:r>
      <w:r w:rsidR="009D22A2" w:rsidRPr="00BC185E">
        <w:rPr>
          <w:lang w:val="fr-CH"/>
        </w:rPr>
        <w:t xml:space="preserve"> </w:t>
      </w:r>
      <w:r w:rsidR="00BC185E" w:rsidRPr="00BC185E">
        <w:rPr>
          <w:lang w:val="fr-CH"/>
        </w:rPr>
        <w:t>la recherche de compétences;</w:t>
      </w:r>
    </w:p>
    <w:p w14:paraId="00B5C73F" w14:textId="77777777" w:rsidR="00417F8D" w:rsidRDefault="00554639" w:rsidP="002E030A">
      <w:pPr>
        <w:pStyle w:val="ONUMFS"/>
        <w:numPr>
          <w:ilvl w:val="1"/>
          <w:numId w:val="3"/>
        </w:numPr>
        <w:rPr>
          <w:lang w:val="fr-CH"/>
        </w:rPr>
      </w:pPr>
      <w:proofErr w:type="gramStart"/>
      <w:r w:rsidRPr="00BC185E">
        <w:rPr>
          <w:lang w:val="fr-CH"/>
        </w:rPr>
        <w:t>l</w:t>
      </w:r>
      <w:r w:rsidR="000A3166">
        <w:rPr>
          <w:lang w:val="fr-CH"/>
        </w:rPr>
        <w:t>’</w:t>
      </w:r>
      <w:r w:rsidR="009D22A2" w:rsidRPr="00BC185E">
        <w:rPr>
          <w:lang w:val="fr-CH"/>
        </w:rPr>
        <w:t>OMPI</w:t>
      </w:r>
      <w:proofErr w:type="gramEnd"/>
      <w:r w:rsidR="009D22A2" w:rsidRPr="00BC185E">
        <w:rPr>
          <w:lang w:val="fr-CH"/>
        </w:rPr>
        <w:t xml:space="preserve"> d</w:t>
      </w:r>
      <w:r w:rsidRPr="00BC185E">
        <w:rPr>
          <w:lang w:val="fr-CH"/>
        </w:rPr>
        <w:t>o</w:t>
      </w:r>
      <w:r w:rsidR="009D22A2" w:rsidRPr="00BC185E">
        <w:rPr>
          <w:lang w:val="fr-CH"/>
        </w:rPr>
        <w:t>it tenir compt</w:t>
      </w:r>
      <w:r w:rsidRPr="00BC185E">
        <w:rPr>
          <w:lang w:val="fr-CH"/>
        </w:rPr>
        <w:t>e de l</w:t>
      </w:r>
      <w:r w:rsidR="000A3166">
        <w:rPr>
          <w:lang w:val="fr-CH"/>
        </w:rPr>
        <w:t>’</w:t>
      </w:r>
      <w:r w:rsidRPr="00BC185E">
        <w:rPr>
          <w:lang w:val="fr-CH"/>
        </w:rPr>
        <w:t>expérience acquise</w:t>
      </w:r>
      <w:r w:rsidR="009D22A2" w:rsidRPr="00BC185E">
        <w:rPr>
          <w:lang w:val="fr-CH"/>
        </w:rPr>
        <w:t xml:space="preserve"> dans le cadre du projet pilote sur </w:t>
      </w:r>
      <w:r w:rsidR="00BC185E" w:rsidRPr="00BC185E">
        <w:rPr>
          <w:lang w:val="fr-CH"/>
        </w:rPr>
        <w:t xml:space="preserve">le </w:t>
      </w:r>
      <w:r w:rsidRPr="00BC185E">
        <w:rPr>
          <w:lang w:val="fr-CH"/>
        </w:rPr>
        <w:t>perfectionnement professionnel</w:t>
      </w:r>
      <w:r w:rsidR="00BC185E">
        <w:rPr>
          <w:lang w:val="fr-CH"/>
        </w:rPr>
        <w:t>,</w:t>
      </w:r>
      <w:r w:rsidRPr="00BC185E">
        <w:rPr>
          <w:lang w:val="fr-CH"/>
        </w:rPr>
        <w:t xml:space="preserve"> </w:t>
      </w:r>
      <w:r w:rsidR="009D22A2" w:rsidRPr="00BC185E">
        <w:rPr>
          <w:lang w:val="fr-CH"/>
        </w:rPr>
        <w:t>en faisant de</w:t>
      </w:r>
      <w:r w:rsidR="00BC185E" w:rsidRPr="00BC185E">
        <w:rPr>
          <w:lang w:val="fr-CH"/>
        </w:rPr>
        <w:t>s services d</w:t>
      </w:r>
      <w:r w:rsidR="000A3166">
        <w:rPr>
          <w:lang w:val="fr-CH"/>
        </w:rPr>
        <w:t>’</w:t>
      </w:r>
      <w:r w:rsidR="00BC185E" w:rsidRPr="00BC185E">
        <w:rPr>
          <w:lang w:val="fr-CH"/>
        </w:rPr>
        <w:t xml:space="preserve">appui </w:t>
      </w:r>
      <w:r>
        <w:rPr>
          <w:color w:val="000000"/>
          <w:lang w:val="fr-CH"/>
        </w:rPr>
        <w:t>à l</w:t>
      </w:r>
      <w:r w:rsidR="000A3166">
        <w:rPr>
          <w:color w:val="000000"/>
          <w:lang w:val="fr-CH"/>
        </w:rPr>
        <w:t>’</w:t>
      </w:r>
      <w:r>
        <w:rPr>
          <w:color w:val="000000"/>
          <w:lang w:val="fr-CH"/>
        </w:rPr>
        <w:t>évolution de carrière</w:t>
      </w:r>
      <w:r w:rsidR="009D22A2" w:rsidRPr="009D22A2">
        <w:rPr>
          <w:color w:val="000000"/>
          <w:lang w:val="fr-CH"/>
        </w:rPr>
        <w:t xml:space="preserve"> </w:t>
      </w:r>
      <w:r w:rsidR="009D22A2" w:rsidRPr="009D22A2">
        <w:rPr>
          <w:color w:val="000000"/>
          <w:lang w:val="fr-CH"/>
        </w:rPr>
        <w:lastRenderedPageBreak/>
        <w:t xml:space="preserve">une composante </w:t>
      </w:r>
      <w:r w:rsidR="009D22A2" w:rsidRPr="00FA4BD6">
        <w:rPr>
          <w:lang w:val="fr-CH"/>
        </w:rPr>
        <w:t>distincte</w:t>
      </w:r>
      <w:r w:rsidR="00BC185E" w:rsidRPr="00FA4BD6">
        <w:rPr>
          <w:lang w:val="fr-CH"/>
        </w:rPr>
        <w:t xml:space="preserve"> de </w:t>
      </w:r>
      <w:r w:rsidR="00FA4BD6">
        <w:rPr>
          <w:lang w:val="fr-CH"/>
        </w:rPr>
        <w:t xml:space="preserve">la </w:t>
      </w:r>
      <w:r w:rsidRPr="00FA4BD6">
        <w:rPr>
          <w:lang w:val="fr-CH"/>
        </w:rPr>
        <w:t>répon</w:t>
      </w:r>
      <w:r w:rsidR="00FA4BD6">
        <w:rPr>
          <w:lang w:val="fr-CH"/>
        </w:rPr>
        <w:t>se à apporter</w:t>
      </w:r>
      <w:r w:rsidRPr="00FA4BD6">
        <w:rPr>
          <w:lang w:val="fr-CH"/>
        </w:rPr>
        <w:t xml:space="preserve"> aux</w:t>
      </w:r>
      <w:r w:rsidR="009D22A2" w:rsidRPr="00FA4BD6">
        <w:rPr>
          <w:lang w:val="fr-CH"/>
        </w:rPr>
        <w:t xml:space="preserve"> difficultés actuel</w:t>
      </w:r>
      <w:r w:rsidRPr="00FA4BD6">
        <w:rPr>
          <w:lang w:val="fr-CH"/>
        </w:rPr>
        <w:t>l</w:t>
      </w:r>
      <w:r w:rsidR="009D22A2" w:rsidRPr="00FA4BD6">
        <w:rPr>
          <w:lang w:val="fr-CH"/>
        </w:rPr>
        <w:t>ement rencontrées par l</w:t>
      </w:r>
      <w:r w:rsidR="000A3166">
        <w:rPr>
          <w:lang w:val="fr-CH"/>
        </w:rPr>
        <w:t>’</w:t>
      </w:r>
      <w:r w:rsidR="009D22A2" w:rsidRPr="00FA4BD6">
        <w:rPr>
          <w:lang w:val="fr-CH"/>
        </w:rPr>
        <w:t>Organisation.</w:t>
      </w:r>
    </w:p>
    <w:p w14:paraId="7904FEBA" w14:textId="77777777" w:rsidR="00417F8D" w:rsidRDefault="009D22A2" w:rsidP="002E030A">
      <w:pPr>
        <w:pStyle w:val="Heading2"/>
      </w:pPr>
      <w:r w:rsidRPr="009D22A2">
        <w:t>Rapport de synthèse de la métaévaluation des produits d</w:t>
      </w:r>
      <w:r w:rsidR="000A3166">
        <w:t>’</w:t>
      </w:r>
      <w:r w:rsidRPr="009D22A2">
        <w:t>évaluation de l</w:t>
      </w:r>
      <w:r w:rsidR="000A3166">
        <w:t>’</w:t>
      </w:r>
      <w:r w:rsidRPr="009D22A2">
        <w:t>OMPI</w:t>
      </w:r>
    </w:p>
    <w:p w14:paraId="41F07ED8" w14:textId="77777777" w:rsidR="00417F8D" w:rsidRDefault="00FA4BD6" w:rsidP="002E030A">
      <w:pPr>
        <w:pStyle w:val="ONUMFS"/>
        <w:rPr>
          <w:lang w:val="fr-CH"/>
        </w:rPr>
      </w:pPr>
      <w:r w:rsidRPr="008B7924">
        <w:rPr>
          <w:lang w:val="fr-CH"/>
        </w:rPr>
        <w:t xml:space="preserve">Les principaux objectifs de cette </w:t>
      </w:r>
      <w:proofErr w:type="spellStart"/>
      <w:r w:rsidRPr="008B7924">
        <w:rPr>
          <w:lang w:val="fr-CH"/>
        </w:rPr>
        <w:t>métaévaluation</w:t>
      </w:r>
      <w:proofErr w:type="spellEnd"/>
      <w:r w:rsidRPr="008B7924">
        <w:rPr>
          <w:lang w:val="fr-CH"/>
        </w:rPr>
        <w:t xml:space="preserve"> ont été les suivants</w:t>
      </w:r>
      <w:r w:rsidR="00353ADC">
        <w:rPr>
          <w:lang w:val="fr-CH"/>
        </w:rPr>
        <w:t> :</w:t>
      </w:r>
    </w:p>
    <w:p w14:paraId="067B0531" w14:textId="77777777" w:rsidR="00417F8D" w:rsidRDefault="00FA4BD6" w:rsidP="002E030A">
      <w:pPr>
        <w:pStyle w:val="ONUMFS"/>
        <w:numPr>
          <w:ilvl w:val="1"/>
          <w:numId w:val="3"/>
        </w:numPr>
        <w:rPr>
          <w:lang w:val="fr-CH"/>
        </w:rPr>
      </w:pPr>
      <w:proofErr w:type="gramStart"/>
      <w:r w:rsidRPr="008B7924">
        <w:rPr>
          <w:lang w:val="fr-CH"/>
        </w:rPr>
        <w:t>analyser</w:t>
      </w:r>
      <w:proofErr w:type="gramEnd"/>
      <w:r w:rsidRPr="008B7924">
        <w:rPr>
          <w:lang w:val="fr-CH"/>
        </w:rPr>
        <w:t xml:space="preserve"> et synthétiser les conclusions et les recommandations issues des </w:t>
      </w:r>
      <w:r w:rsidRPr="00BB144F">
        <w:rPr>
          <w:lang w:val="fr-CH"/>
        </w:rPr>
        <w:t>évaluations menées entre 2011 et 2017;</w:t>
      </w:r>
    </w:p>
    <w:p w14:paraId="115D298B" w14:textId="77777777" w:rsidR="00417F8D" w:rsidRDefault="0035213A" w:rsidP="002E030A">
      <w:pPr>
        <w:pStyle w:val="ONUMFS"/>
        <w:numPr>
          <w:ilvl w:val="1"/>
          <w:numId w:val="3"/>
        </w:numPr>
        <w:rPr>
          <w:lang w:val="fr-CH"/>
        </w:rPr>
      </w:pPr>
      <w:proofErr w:type="gramStart"/>
      <w:r w:rsidRPr="00BB144F">
        <w:rPr>
          <w:lang w:val="fr-CH"/>
        </w:rPr>
        <w:t>permettre</w:t>
      </w:r>
      <w:proofErr w:type="gramEnd"/>
      <w:r w:rsidRPr="00BB144F">
        <w:rPr>
          <w:lang w:val="fr-CH"/>
        </w:rPr>
        <w:t xml:space="preserve"> aux planificateurs et aux responsables de l</w:t>
      </w:r>
      <w:r w:rsidR="000A3166">
        <w:rPr>
          <w:lang w:val="fr-CH"/>
        </w:rPr>
        <w:t>’</w:t>
      </w:r>
      <w:r w:rsidRPr="00BB144F">
        <w:rPr>
          <w:lang w:val="fr-CH"/>
        </w:rPr>
        <w:t>Organisation d</w:t>
      </w:r>
      <w:r w:rsidR="000A3166">
        <w:rPr>
          <w:lang w:val="fr-CH"/>
        </w:rPr>
        <w:t>’</w:t>
      </w:r>
      <w:r w:rsidRPr="00BB144F">
        <w:rPr>
          <w:lang w:val="fr-CH"/>
        </w:rPr>
        <w:t>exploiter les données d</w:t>
      </w:r>
      <w:r w:rsidR="000A3166">
        <w:rPr>
          <w:lang w:val="fr-CH"/>
        </w:rPr>
        <w:t>’</w:t>
      </w:r>
      <w:r w:rsidRPr="00BB144F">
        <w:rPr>
          <w:lang w:val="fr-CH"/>
        </w:rPr>
        <w:t>évaluation</w:t>
      </w:r>
      <w:r w:rsidR="00BB144F" w:rsidRPr="00BB144F">
        <w:rPr>
          <w:lang w:val="fr-CH"/>
        </w:rPr>
        <w:t xml:space="preserve"> dont ils disposent</w:t>
      </w:r>
      <w:r w:rsidRPr="00BB144F">
        <w:rPr>
          <w:lang w:val="fr-CH"/>
        </w:rPr>
        <w:t xml:space="preserve">, </w:t>
      </w:r>
      <w:r w:rsidR="00BB144F" w:rsidRPr="00BB144F">
        <w:rPr>
          <w:lang w:val="fr-CH"/>
        </w:rPr>
        <w:t xml:space="preserve">compte tenu de la possibilité de convertir </w:t>
      </w:r>
      <w:r w:rsidRPr="00BB144F">
        <w:rPr>
          <w:lang w:val="fr-CH"/>
        </w:rPr>
        <w:t xml:space="preserve">ces données </w:t>
      </w:r>
      <w:r w:rsidR="00BB144F" w:rsidRPr="00BB144F">
        <w:rPr>
          <w:lang w:val="fr-CH"/>
        </w:rPr>
        <w:t>en</w:t>
      </w:r>
      <w:r w:rsidRPr="00BB144F">
        <w:rPr>
          <w:lang w:val="fr-CH"/>
        </w:rPr>
        <w:t xml:space="preserve"> recommandations stratégiques, de fond, thématiques et transversales; </w:t>
      </w:r>
      <w:r w:rsidR="005B0739">
        <w:rPr>
          <w:lang w:val="fr-CH"/>
        </w:rPr>
        <w:t xml:space="preserve"> </w:t>
      </w:r>
      <w:r w:rsidRPr="00BB144F">
        <w:rPr>
          <w:lang w:val="fr-CH"/>
        </w:rPr>
        <w:t>et</w:t>
      </w:r>
    </w:p>
    <w:p w14:paraId="717DF67F" w14:textId="77777777" w:rsidR="00417F8D" w:rsidRDefault="0035213A" w:rsidP="002E030A">
      <w:pPr>
        <w:pStyle w:val="ONUMFS"/>
        <w:numPr>
          <w:ilvl w:val="1"/>
          <w:numId w:val="3"/>
        </w:numPr>
        <w:rPr>
          <w:lang w:val="fr-CH"/>
        </w:rPr>
      </w:pPr>
      <w:proofErr w:type="gramStart"/>
      <w:r w:rsidRPr="00BB144F">
        <w:rPr>
          <w:lang w:val="fr-CH"/>
        </w:rPr>
        <w:t>visualiser</w:t>
      </w:r>
      <w:proofErr w:type="gramEnd"/>
      <w:r w:rsidRPr="00BB144F">
        <w:rPr>
          <w:lang w:val="fr-CH"/>
        </w:rPr>
        <w:t xml:space="preserve"> les lacunes et synthétiser les informations</w:t>
      </w:r>
      <w:r w:rsidR="00BB144F">
        <w:rPr>
          <w:lang w:val="fr-CH"/>
        </w:rPr>
        <w:t>,</w:t>
      </w:r>
      <w:r w:rsidRPr="00BB144F">
        <w:rPr>
          <w:lang w:val="fr-CH"/>
        </w:rPr>
        <w:t xml:space="preserve"> pour</w:t>
      </w:r>
      <w:r w:rsidR="00BB144F">
        <w:rPr>
          <w:lang w:val="fr-CH"/>
        </w:rPr>
        <w:t xml:space="preserve"> permettre aux clients d</w:t>
      </w:r>
      <w:r w:rsidR="000A3166">
        <w:rPr>
          <w:lang w:val="fr-CH"/>
        </w:rPr>
        <w:t>’</w:t>
      </w:r>
      <w:r w:rsidR="00BB144F">
        <w:rPr>
          <w:lang w:val="fr-CH"/>
        </w:rPr>
        <w:t>utiliser facilement</w:t>
      </w:r>
      <w:r w:rsidRPr="00BB144F">
        <w:rPr>
          <w:lang w:val="fr-CH"/>
        </w:rPr>
        <w:t xml:space="preserve"> la synthèse </w:t>
      </w:r>
      <w:r w:rsidR="00BB144F">
        <w:rPr>
          <w:lang w:val="fr-CH"/>
        </w:rPr>
        <w:t xml:space="preserve">de la </w:t>
      </w:r>
      <w:proofErr w:type="spellStart"/>
      <w:r w:rsidR="00BB144F">
        <w:rPr>
          <w:lang w:val="fr-CH"/>
        </w:rPr>
        <w:t>métaévaluation</w:t>
      </w:r>
      <w:proofErr w:type="spellEnd"/>
      <w:r w:rsidRPr="00BB144F">
        <w:rPr>
          <w:lang w:val="fr-CH"/>
        </w:rPr>
        <w:t>.</w:t>
      </w:r>
    </w:p>
    <w:p w14:paraId="596E606D" w14:textId="77777777" w:rsidR="00417F8D" w:rsidRDefault="0035213A" w:rsidP="002E030A">
      <w:pPr>
        <w:pStyle w:val="ONUMFS"/>
        <w:rPr>
          <w:lang w:val="fr-CH"/>
        </w:rPr>
      </w:pPr>
      <w:r w:rsidRPr="004154B5">
        <w:rPr>
          <w:lang w:val="fr-CH"/>
        </w:rPr>
        <w:t>Les principales conclusions du rapport sont les suivantes</w:t>
      </w:r>
      <w:r w:rsidR="00353ADC">
        <w:rPr>
          <w:lang w:val="fr-CH"/>
        </w:rPr>
        <w:t> :</w:t>
      </w:r>
    </w:p>
    <w:p w14:paraId="1F7A1F02" w14:textId="77777777" w:rsidR="00417F8D" w:rsidRDefault="003774F3" w:rsidP="002E030A">
      <w:pPr>
        <w:pStyle w:val="ONUMFS"/>
        <w:numPr>
          <w:ilvl w:val="1"/>
          <w:numId w:val="3"/>
        </w:numPr>
        <w:rPr>
          <w:lang w:val="fr-CH"/>
        </w:rPr>
      </w:pPr>
      <w:proofErr w:type="gramStart"/>
      <w:r w:rsidRPr="000B7F65">
        <w:rPr>
          <w:lang w:val="fr-CH"/>
        </w:rPr>
        <w:t>le</w:t>
      </w:r>
      <w:proofErr w:type="gramEnd"/>
      <w:r w:rsidR="00D30CA8" w:rsidRPr="000B7F65">
        <w:rPr>
          <w:lang w:val="fr-CH"/>
        </w:rPr>
        <w:t xml:space="preserve"> portefeuille d</w:t>
      </w:r>
      <w:r w:rsidR="000A3166">
        <w:rPr>
          <w:lang w:val="fr-CH"/>
        </w:rPr>
        <w:t>’</w:t>
      </w:r>
      <w:r w:rsidR="00D30CA8" w:rsidRPr="000B7F65">
        <w:rPr>
          <w:lang w:val="fr-CH"/>
        </w:rPr>
        <w:t>évaluations</w:t>
      </w:r>
      <w:r w:rsidRPr="000B7F65">
        <w:rPr>
          <w:lang w:val="fr-CH"/>
        </w:rPr>
        <w:t xml:space="preserve"> </w:t>
      </w:r>
      <w:r w:rsidR="005E6FB2" w:rsidRPr="000B7F65">
        <w:rPr>
          <w:lang w:val="fr-CH"/>
        </w:rPr>
        <w:t>offre</w:t>
      </w:r>
      <w:r w:rsidRPr="000B7F65">
        <w:rPr>
          <w:lang w:val="fr-CH"/>
        </w:rPr>
        <w:t xml:space="preserve"> une couverture</w:t>
      </w:r>
      <w:r w:rsidR="00D30CA8" w:rsidRPr="000B7F65">
        <w:rPr>
          <w:lang w:val="fr-CH"/>
        </w:rPr>
        <w:t xml:space="preserve"> adéquate, du point de vue des programmes et </w:t>
      </w:r>
      <w:r w:rsidRPr="000B7F65">
        <w:rPr>
          <w:lang w:val="fr-CH"/>
        </w:rPr>
        <w:t xml:space="preserve">des </w:t>
      </w:r>
      <w:r w:rsidR="00D30CA8" w:rsidRPr="000B7F65">
        <w:rPr>
          <w:lang w:val="fr-CH"/>
        </w:rPr>
        <w:t xml:space="preserve">zones géographiques </w:t>
      </w:r>
      <w:r w:rsidRPr="000B7F65">
        <w:rPr>
          <w:lang w:val="fr-CH"/>
        </w:rPr>
        <w:t>évalués</w:t>
      </w:r>
      <w:r w:rsidR="00D30CA8" w:rsidRPr="000B7F65">
        <w:rPr>
          <w:lang w:val="fr-CH"/>
        </w:rPr>
        <w:t>,</w:t>
      </w:r>
      <w:r w:rsidR="005E6FB2" w:rsidRPr="000B7F65">
        <w:rPr>
          <w:lang w:val="fr-CH"/>
        </w:rPr>
        <w:t xml:space="preserve"> et continue d</w:t>
      </w:r>
      <w:r w:rsidR="000B7F65" w:rsidRPr="000B7F65">
        <w:rPr>
          <w:lang w:val="fr-CH"/>
        </w:rPr>
        <w:t>e s</w:t>
      </w:r>
      <w:r w:rsidR="000A3166">
        <w:rPr>
          <w:lang w:val="fr-CH"/>
        </w:rPr>
        <w:t>’</w:t>
      </w:r>
      <w:r w:rsidR="005E6FB2" w:rsidRPr="000B7F65">
        <w:rPr>
          <w:lang w:val="fr-CH"/>
        </w:rPr>
        <w:t>éten</w:t>
      </w:r>
      <w:r w:rsidR="000B7F65" w:rsidRPr="000B7F65">
        <w:rPr>
          <w:lang w:val="fr-CH"/>
        </w:rPr>
        <w:t>dre</w:t>
      </w:r>
      <w:r w:rsidR="00D30CA8" w:rsidRPr="000B7F65">
        <w:rPr>
          <w:lang w:val="fr-CH"/>
        </w:rPr>
        <w:t xml:space="preserve"> aux programmes et zones géographiques qui n</w:t>
      </w:r>
      <w:r w:rsidR="000A3166">
        <w:rPr>
          <w:lang w:val="fr-CH"/>
        </w:rPr>
        <w:t>’</w:t>
      </w:r>
      <w:r w:rsidR="00D30CA8" w:rsidRPr="000B7F65">
        <w:rPr>
          <w:lang w:val="fr-CH"/>
        </w:rPr>
        <w:t xml:space="preserve">ont pas encore </w:t>
      </w:r>
      <w:r w:rsidRPr="000B7F65">
        <w:rPr>
          <w:lang w:val="fr-CH"/>
        </w:rPr>
        <w:t>fait l</w:t>
      </w:r>
      <w:r w:rsidR="000A3166">
        <w:rPr>
          <w:lang w:val="fr-CH"/>
        </w:rPr>
        <w:t>’</w:t>
      </w:r>
      <w:r w:rsidRPr="000B7F65">
        <w:rPr>
          <w:lang w:val="fr-CH"/>
        </w:rPr>
        <w:t>objet d</w:t>
      </w:r>
      <w:r w:rsidR="000A3166">
        <w:rPr>
          <w:lang w:val="fr-CH"/>
        </w:rPr>
        <w:t>’</w:t>
      </w:r>
      <w:r w:rsidRPr="000B7F65">
        <w:rPr>
          <w:lang w:val="fr-CH"/>
        </w:rPr>
        <w:t>une évaluation</w:t>
      </w:r>
      <w:r w:rsidR="00D30CA8" w:rsidRPr="000B7F65">
        <w:rPr>
          <w:lang w:val="fr-CH"/>
        </w:rPr>
        <w:t>;</w:t>
      </w:r>
    </w:p>
    <w:p w14:paraId="5DF4AF2A" w14:textId="77777777" w:rsidR="00417F8D" w:rsidRDefault="00D30CA8" w:rsidP="002E030A">
      <w:pPr>
        <w:pStyle w:val="ONUMFS"/>
        <w:numPr>
          <w:ilvl w:val="1"/>
          <w:numId w:val="3"/>
        </w:numPr>
        <w:rPr>
          <w:lang w:val="fr-CH"/>
        </w:rPr>
      </w:pPr>
      <w:proofErr w:type="gramStart"/>
      <w:r w:rsidRPr="000B7F65">
        <w:rPr>
          <w:lang w:val="fr-CH"/>
        </w:rPr>
        <w:t>deux</w:t>
      </w:r>
      <w:proofErr w:type="gramEnd"/>
      <w:r w:rsidRPr="000B7F65">
        <w:rPr>
          <w:lang w:val="fr-CH"/>
        </w:rPr>
        <w:t xml:space="preserve"> évaluations transversales ont été menées à bien, </w:t>
      </w:r>
      <w:r w:rsidR="003774F3" w:rsidRPr="000B7F65">
        <w:rPr>
          <w:lang w:val="fr-CH"/>
        </w:rPr>
        <w:t>l</w:t>
      </w:r>
      <w:r w:rsidR="000A3166">
        <w:rPr>
          <w:lang w:val="fr-CH"/>
        </w:rPr>
        <w:t>’</w:t>
      </w:r>
      <w:r w:rsidRPr="000B7F65">
        <w:rPr>
          <w:lang w:val="fr-CH"/>
        </w:rPr>
        <w:t xml:space="preserve">une </w:t>
      </w:r>
      <w:r w:rsidR="00353ADC" w:rsidRPr="000B7F65">
        <w:rPr>
          <w:lang w:val="fr-CH"/>
        </w:rPr>
        <w:t>en</w:t>
      </w:r>
      <w:r w:rsidR="00353ADC">
        <w:rPr>
          <w:lang w:val="fr-CH"/>
        </w:rPr>
        <w:t> </w:t>
      </w:r>
      <w:r w:rsidR="00353ADC" w:rsidRPr="000B7F65">
        <w:rPr>
          <w:lang w:val="fr-CH"/>
        </w:rPr>
        <w:t>2014</w:t>
      </w:r>
      <w:r w:rsidRPr="000B7F65">
        <w:rPr>
          <w:lang w:val="fr-CH"/>
        </w:rPr>
        <w:t xml:space="preserve"> sur la gestion des connaissances et l</w:t>
      </w:r>
      <w:r w:rsidR="000A3166">
        <w:rPr>
          <w:lang w:val="fr-CH"/>
        </w:rPr>
        <w:t>’</w:t>
      </w:r>
      <w:r w:rsidRPr="000B7F65">
        <w:rPr>
          <w:lang w:val="fr-CH"/>
        </w:rPr>
        <w:t xml:space="preserve">autre </w:t>
      </w:r>
      <w:r w:rsidR="00353ADC" w:rsidRPr="000B7F65">
        <w:rPr>
          <w:lang w:val="fr-CH"/>
        </w:rPr>
        <w:t>en</w:t>
      </w:r>
      <w:r w:rsidR="00353ADC">
        <w:rPr>
          <w:lang w:val="fr-CH"/>
        </w:rPr>
        <w:t> </w:t>
      </w:r>
      <w:r w:rsidR="00353ADC" w:rsidRPr="000B7F65">
        <w:rPr>
          <w:lang w:val="fr-CH"/>
        </w:rPr>
        <w:t>2018</w:t>
      </w:r>
      <w:r w:rsidRPr="000B7F65">
        <w:rPr>
          <w:lang w:val="fr-CH"/>
        </w:rPr>
        <w:t xml:space="preserve"> sur le </w:t>
      </w:r>
      <w:r w:rsidR="000B7F65" w:rsidRPr="000B7F65">
        <w:rPr>
          <w:lang w:val="fr-CH"/>
        </w:rPr>
        <w:t>développement des compétenc</w:t>
      </w:r>
      <w:r w:rsidR="00007093" w:rsidRPr="000B7F65">
        <w:rPr>
          <w:lang w:val="fr-CH"/>
        </w:rPr>
        <w:t>es</w:t>
      </w:r>
      <w:r w:rsidR="00007093">
        <w:rPr>
          <w:lang w:val="fr-CH"/>
        </w:rPr>
        <w:t xml:space="preserve">.  </w:t>
      </w:r>
      <w:r w:rsidR="00007093" w:rsidRPr="000B7F65">
        <w:rPr>
          <w:lang w:val="fr-CH"/>
        </w:rPr>
        <w:t>Ce</w:t>
      </w:r>
      <w:r w:rsidRPr="000B7F65">
        <w:rPr>
          <w:lang w:val="fr-CH"/>
        </w:rPr>
        <w:t>s deux</w:t>
      </w:r>
      <w:r w:rsidR="005B0739">
        <w:rPr>
          <w:lang w:val="fr-CH"/>
        </w:rPr>
        <w:t> </w:t>
      </w:r>
      <w:r w:rsidRPr="000B7F65">
        <w:rPr>
          <w:lang w:val="fr-CH"/>
        </w:rPr>
        <w:t>évaluations ont permis de mesurer la capacité de l</w:t>
      </w:r>
      <w:r w:rsidR="000A3166">
        <w:rPr>
          <w:lang w:val="fr-CH"/>
        </w:rPr>
        <w:t>’</w:t>
      </w:r>
      <w:r w:rsidRPr="000B7F65">
        <w:rPr>
          <w:lang w:val="fr-CH"/>
        </w:rPr>
        <w:t xml:space="preserve">Organisation </w:t>
      </w:r>
      <w:r w:rsidR="003774F3" w:rsidRPr="000B7F65">
        <w:rPr>
          <w:lang w:val="fr-CH"/>
        </w:rPr>
        <w:t>de</w:t>
      </w:r>
      <w:r w:rsidRPr="000B7F65">
        <w:rPr>
          <w:lang w:val="fr-CH"/>
        </w:rPr>
        <w:t xml:space="preserve"> travailler en collaborati</w:t>
      </w:r>
      <w:r w:rsidR="00007093" w:rsidRPr="000B7F65">
        <w:rPr>
          <w:lang w:val="fr-CH"/>
        </w:rPr>
        <w:t>on</w:t>
      </w:r>
      <w:r w:rsidR="00007093">
        <w:rPr>
          <w:lang w:val="fr-CH"/>
        </w:rPr>
        <w:t xml:space="preserve">.  </w:t>
      </w:r>
      <w:r w:rsidR="00007093" w:rsidRPr="000B7F65">
        <w:rPr>
          <w:lang w:val="fr-CH"/>
        </w:rPr>
        <w:t>Le</w:t>
      </w:r>
      <w:r w:rsidRPr="000B7F65">
        <w:rPr>
          <w:lang w:val="fr-CH"/>
        </w:rPr>
        <w:t>s questions transversales qui feront prochainement l</w:t>
      </w:r>
      <w:r w:rsidR="000A3166">
        <w:rPr>
          <w:lang w:val="fr-CH"/>
        </w:rPr>
        <w:t>’</w:t>
      </w:r>
      <w:r w:rsidRPr="000B7F65">
        <w:rPr>
          <w:lang w:val="fr-CH"/>
        </w:rPr>
        <w:t>objet d</w:t>
      </w:r>
      <w:r w:rsidR="000A3166">
        <w:rPr>
          <w:lang w:val="fr-CH"/>
        </w:rPr>
        <w:t>’</w:t>
      </w:r>
      <w:r w:rsidRPr="000B7F65">
        <w:rPr>
          <w:lang w:val="fr-CH"/>
        </w:rPr>
        <w:t>une évaluation pourraient bénéficier de l</w:t>
      </w:r>
      <w:r w:rsidR="000A3166">
        <w:rPr>
          <w:lang w:val="fr-CH"/>
        </w:rPr>
        <w:t>’</w:t>
      </w:r>
      <w:r w:rsidRPr="000B7F65">
        <w:rPr>
          <w:lang w:val="fr-CH"/>
        </w:rPr>
        <w:t>établissement systématique, stratégique et participatif d</w:t>
      </w:r>
      <w:r w:rsidR="000A3166">
        <w:rPr>
          <w:lang w:val="fr-CH"/>
        </w:rPr>
        <w:t>’</w:t>
      </w:r>
      <w:r w:rsidRPr="000B7F65">
        <w:rPr>
          <w:lang w:val="fr-CH"/>
        </w:rPr>
        <w:t>une liste de priorités à l</w:t>
      </w:r>
      <w:r w:rsidR="000A3166">
        <w:rPr>
          <w:lang w:val="fr-CH"/>
        </w:rPr>
        <w:t>’</w:t>
      </w:r>
      <w:r w:rsidRPr="000B7F65">
        <w:rPr>
          <w:lang w:val="fr-CH"/>
        </w:rPr>
        <w:t>échelle de l</w:t>
      </w:r>
      <w:r w:rsidR="000A3166">
        <w:rPr>
          <w:lang w:val="fr-CH"/>
        </w:rPr>
        <w:t>’</w:t>
      </w:r>
      <w:r w:rsidRPr="000B7F65">
        <w:rPr>
          <w:lang w:val="fr-CH"/>
        </w:rPr>
        <w:t>Organisation;</w:t>
      </w:r>
    </w:p>
    <w:p w14:paraId="45C1D283" w14:textId="77777777" w:rsidR="00417F8D" w:rsidRDefault="003774F3" w:rsidP="002E030A">
      <w:pPr>
        <w:pStyle w:val="ONUMFS"/>
        <w:numPr>
          <w:ilvl w:val="1"/>
          <w:numId w:val="3"/>
        </w:numPr>
        <w:rPr>
          <w:lang w:val="fr-CH"/>
        </w:rPr>
      </w:pPr>
      <w:proofErr w:type="gramStart"/>
      <w:r w:rsidRPr="000B7F65">
        <w:rPr>
          <w:lang w:val="fr-CH"/>
        </w:rPr>
        <w:t>l</w:t>
      </w:r>
      <w:r w:rsidR="000A3166">
        <w:rPr>
          <w:lang w:val="fr-CH"/>
        </w:rPr>
        <w:t>’</w:t>
      </w:r>
      <w:r w:rsidR="00D30CA8" w:rsidRPr="000B7F65">
        <w:rPr>
          <w:lang w:val="fr-CH"/>
        </w:rPr>
        <w:t>amélioration</w:t>
      </w:r>
      <w:proofErr w:type="gramEnd"/>
      <w:r w:rsidR="00D30CA8" w:rsidRPr="000B7F65">
        <w:rPr>
          <w:lang w:val="fr-CH"/>
        </w:rPr>
        <w:t xml:space="preserve"> en matière d</w:t>
      </w:r>
      <w:r w:rsidR="000A3166">
        <w:rPr>
          <w:lang w:val="fr-CH"/>
        </w:rPr>
        <w:t>’</w:t>
      </w:r>
      <w:r w:rsidR="00D30CA8" w:rsidRPr="000B7F65">
        <w:rPr>
          <w:lang w:val="fr-CH"/>
        </w:rPr>
        <w:t>égalité des sexes demeure l</w:t>
      </w:r>
      <w:r w:rsidR="000A3166">
        <w:rPr>
          <w:lang w:val="fr-CH"/>
        </w:rPr>
        <w:t>’</w:t>
      </w:r>
      <w:r w:rsidR="00D30CA8" w:rsidRPr="000B7F65">
        <w:rPr>
          <w:lang w:val="fr-CH"/>
        </w:rPr>
        <w:t>un des éléments clés des cinq</w:t>
      </w:r>
      <w:r w:rsidR="005B0739">
        <w:rPr>
          <w:lang w:val="fr-CH"/>
        </w:rPr>
        <w:t> </w:t>
      </w:r>
      <w:r w:rsidR="00D30CA8" w:rsidRPr="000B7F65">
        <w:rPr>
          <w:lang w:val="fr-CH"/>
        </w:rPr>
        <w:t>critères d</w:t>
      </w:r>
      <w:r w:rsidR="000A3166">
        <w:rPr>
          <w:lang w:val="fr-CH"/>
        </w:rPr>
        <w:t>’</w:t>
      </w:r>
      <w:r w:rsidR="00D30CA8" w:rsidRPr="000B7F65">
        <w:rPr>
          <w:lang w:val="fr-CH"/>
        </w:rPr>
        <w:t>évaluation utilisés, soit sous la forme d</w:t>
      </w:r>
      <w:r w:rsidR="000A3166">
        <w:rPr>
          <w:lang w:val="fr-CH"/>
        </w:rPr>
        <w:t>’</w:t>
      </w:r>
      <w:r w:rsidR="00D30CA8" w:rsidRPr="000B7F65">
        <w:rPr>
          <w:lang w:val="fr-CH"/>
        </w:rPr>
        <w:t>une conclusion, soit sous celle d</w:t>
      </w:r>
      <w:r w:rsidR="000A3166">
        <w:rPr>
          <w:lang w:val="fr-CH"/>
        </w:rPr>
        <w:t>’</w:t>
      </w:r>
      <w:r w:rsidR="00D30CA8" w:rsidRPr="000B7F65">
        <w:rPr>
          <w:lang w:val="fr-CH"/>
        </w:rPr>
        <w:t>une recommandation;  et</w:t>
      </w:r>
    </w:p>
    <w:p w14:paraId="50953EF7" w14:textId="77777777" w:rsidR="00417F8D" w:rsidRDefault="00E55C35" w:rsidP="002E030A">
      <w:pPr>
        <w:pStyle w:val="ONUMFS"/>
        <w:numPr>
          <w:ilvl w:val="1"/>
          <w:numId w:val="3"/>
        </w:numPr>
        <w:rPr>
          <w:lang w:val="fr-CH"/>
        </w:rPr>
      </w:pPr>
      <w:proofErr w:type="gramStart"/>
      <w:r w:rsidRPr="000B7F65">
        <w:rPr>
          <w:lang w:val="fr-CH"/>
        </w:rPr>
        <w:t>les</w:t>
      </w:r>
      <w:proofErr w:type="gramEnd"/>
      <w:r w:rsidRPr="000B7F65">
        <w:rPr>
          <w:lang w:val="fr-CH"/>
        </w:rPr>
        <w:t xml:space="preserve"> données concernant les effets</w:t>
      </w:r>
      <w:r w:rsidR="003774F3" w:rsidRPr="000B7F65">
        <w:rPr>
          <w:lang w:val="fr-CH"/>
        </w:rPr>
        <w:t xml:space="preserve"> des programmes</w:t>
      </w:r>
      <w:r w:rsidRPr="000B7F65">
        <w:rPr>
          <w:lang w:val="fr-CH"/>
        </w:rPr>
        <w:t xml:space="preserve"> sur le long terme</w:t>
      </w:r>
      <w:r w:rsidR="005E6FB2" w:rsidRPr="000B7F65">
        <w:rPr>
          <w:lang w:val="fr-CH"/>
        </w:rPr>
        <w:t>,</w:t>
      </w:r>
      <w:r w:rsidRPr="000B7F65">
        <w:rPr>
          <w:lang w:val="fr-CH"/>
        </w:rPr>
        <w:t xml:space="preserve"> du point de vue de la propriété intellectuelle</w:t>
      </w:r>
      <w:r w:rsidR="005E6FB2" w:rsidRPr="000B7F65">
        <w:rPr>
          <w:lang w:val="fr-CH"/>
        </w:rPr>
        <w:t>,</w:t>
      </w:r>
      <w:r w:rsidRPr="000B7F65">
        <w:rPr>
          <w:lang w:val="fr-CH"/>
        </w:rPr>
        <w:t xml:space="preserve"> sont </w:t>
      </w:r>
      <w:r w:rsidR="003774F3" w:rsidRPr="000B7F65">
        <w:rPr>
          <w:lang w:val="fr-CH"/>
        </w:rPr>
        <w:t>relativement</w:t>
      </w:r>
      <w:r w:rsidRPr="000B7F65">
        <w:rPr>
          <w:lang w:val="fr-CH"/>
        </w:rPr>
        <w:t xml:space="preserve"> limitées dans le portefeuille d</w:t>
      </w:r>
      <w:r w:rsidR="000A3166">
        <w:rPr>
          <w:lang w:val="fr-CH"/>
        </w:rPr>
        <w:t>’</w:t>
      </w:r>
      <w:r w:rsidRPr="000B7F65">
        <w:rPr>
          <w:lang w:val="fr-CH"/>
        </w:rPr>
        <w:t>évaluations actuel</w:t>
      </w:r>
      <w:r w:rsidR="003774F3" w:rsidRPr="000B7F65">
        <w:rPr>
          <w:lang w:val="fr-CH"/>
        </w:rPr>
        <w:t xml:space="preserve">, et </w:t>
      </w:r>
      <w:r w:rsidRPr="000B7F65">
        <w:rPr>
          <w:lang w:val="fr-CH"/>
        </w:rPr>
        <w:t>ne fournissent pas suffisamment d</w:t>
      </w:r>
      <w:r w:rsidR="000A3166">
        <w:rPr>
          <w:lang w:val="fr-CH"/>
        </w:rPr>
        <w:t>’</w:t>
      </w:r>
      <w:r w:rsidRPr="000B7F65">
        <w:rPr>
          <w:lang w:val="fr-CH"/>
        </w:rPr>
        <w:t>informations en termes d</w:t>
      </w:r>
      <w:r w:rsidR="000A3166">
        <w:rPr>
          <w:lang w:val="fr-CH"/>
        </w:rPr>
        <w:t>’</w:t>
      </w:r>
      <w:r w:rsidRPr="000B7F65">
        <w:rPr>
          <w:lang w:val="fr-CH"/>
        </w:rPr>
        <w:t>impact.</w:t>
      </w:r>
    </w:p>
    <w:p w14:paraId="181BB40F" w14:textId="77777777" w:rsidR="00417F8D" w:rsidRDefault="00E55C35" w:rsidP="002E030A">
      <w:pPr>
        <w:pStyle w:val="ONUMFS"/>
        <w:rPr>
          <w:lang w:val="fr-CH"/>
        </w:rPr>
      </w:pPr>
      <w:r w:rsidRPr="000B7F65">
        <w:rPr>
          <w:lang w:val="fr-CH"/>
        </w:rPr>
        <w:t xml:space="preserve">Compte tenu des conclusions, le rapport de synthèse de la </w:t>
      </w:r>
      <w:proofErr w:type="spellStart"/>
      <w:r w:rsidRPr="000B7F65">
        <w:rPr>
          <w:lang w:val="fr-CH"/>
        </w:rPr>
        <w:t>métaévaluation</w:t>
      </w:r>
      <w:proofErr w:type="spellEnd"/>
      <w:r w:rsidRPr="000B7F65">
        <w:rPr>
          <w:lang w:val="fr-CH"/>
        </w:rPr>
        <w:t xml:space="preserve"> </w:t>
      </w:r>
      <w:r w:rsidR="00E01325" w:rsidRPr="000B7F65">
        <w:rPr>
          <w:lang w:val="fr-CH"/>
        </w:rPr>
        <w:t>contient les recommandations suivantes</w:t>
      </w:r>
      <w:r w:rsidR="00353ADC">
        <w:rPr>
          <w:lang w:val="fr-CH"/>
        </w:rPr>
        <w:t> :</w:t>
      </w:r>
    </w:p>
    <w:p w14:paraId="58872D3B" w14:textId="77777777" w:rsidR="00417F8D" w:rsidRDefault="00E01325" w:rsidP="002E030A">
      <w:pPr>
        <w:pStyle w:val="ONUMFS"/>
        <w:numPr>
          <w:ilvl w:val="1"/>
          <w:numId w:val="3"/>
        </w:numPr>
        <w:rPr>
          <w:lang w:val="fr-CH"/>
        </w:rPr>
      </w:pPr>
      <w:proofErr w:type="gramStart"/>
      <w:r w:rsidRPr="000B7F65">
        <w:rPr>
          <w:lang w:val="fr-CH"/>
        </w:rPr>
        <w:t>l</w:t>
      </w:r>
      <w:r w:rsidR="00E55C35" w:rsidRPr="000B7F65">
        <w:rPr>
          <w:lang w:val="fr-CH"/>
        </w:rPr>
        <w:t>a</w:t>
      </w:r>
      <w:proofErr w:type="gramEnd"/>
      <w:r w:rsidR="00E55C35" w:rsidRPr="000B7F65">
        <w:rPr>
          <w:lang w:val="fr-CH"/>
        </w:rPr>
        <w:t xml:space="preserve"> Section de l</w:t>
      </w:r>
      <w:r w:rsidR="000A3166">
        <w:rPr>
          <w:lang w:val="fr-CH"/>
        </w:rPr>
        <w:t>’</w:t>
      </w:r>
      <w:r w:rsidR="00E55C35" w:rsidRPr="000B7F65">
        <w:rPr>
          <w:lang w:val="fr-CH"/>
        </w:rPr>
        <w:t>évaluation de</w:t>
      </w:r>
      <w:r w:rsidR="00353ADC" w:rsidRPr="000B7F65">
        <w:rPr>
          <w:lang w:val="fr-CH"/>
        </w:rPr>
        <w:t xml:space="preserve"> la</w:t>
      </w:r>
      <w:r w:rsidR="00353ADC">
        <w:rPr>
          <w:lang w:val="fr-CH"/>
        </w:rPr>
        <w:t> </w:t>
      </w:r>
      <w:r w:rsidR="00353ADC" w:rsidRPr="000B7F65">
        <w:rPr>
          <w:lang w:val="fr-CH"/>
        </w:rPr>
        <w:t>DSI</w:t>
      </w:r>
      <w:r w:rsidR="00E55C35" w:rsidRPr="000B7F65">
        <w:rPr>
          <w:lang w:val="fr-CH"/>
        </w:rPr>
        <w:t xml:space="preserve"> d</w:t>
      </w:r>
      <w:r w:rsidRPr="000B7F65">
        <w:rPr>
          <w:lang w:val="fr-CH"/>
        </w:rPr>
        <w:t>o</w:t>
      </w:r>
      <w:r w:rsidR="00E55C35" w:rsidRPr="000B7F65">
        <w:rPr>
          <w:lang w:val="fr-CH"/>
        </w:rPr>
        <w:t xml:space="preserve">it, dans la mesure du possible, </w:t>
      </w:r>
      <w:r w:rsidRPr="000B7F65">
        <w:rPr>
          <w:lang w:val="fr-CH"/>
        </w:rPr>
        <w:t xml:space="preserve">accorder la priorité </w:t>
      </w:r>
      <w:r w:rsidR="00E55C35" w:rsidRPr="000B7F65">
        <w:rPr>
          <w:lang w:val="fr-CH"/>
        </w:rPr>
        <w:t>aux programmes, objectifs stratégiques et secteurs de l</w:t>
      </w:r>
      <w:r w:rsidR="000A3166">
        <w:rPr>
          <w:lang w:val="fr-CH"/>
        </w:rPr>
        <w:t>’</w:t>
      </w:r>
      <w:r w:rsidR="00E55C35" w:rsidRPr="000B7F65">
        <w:rPr>
          <w:lang w:val="fr-CH"/>
        </w:rPr>
        <w:t>OMPI qui n</w:t>
      </w:r>
      <w:r w:rsidR="000A3166">
        <w:rPr>
          <w:lang w:val="fr-CH"/>
        </w:rPr>
        <w:t>’</w:t>
      </w:r>
      <w:r w:rsidR="00E55C35" w:rsidRPr="000B7F65">
        <w:rPr>
          <w:lang w:val="fr-CH"/>
        </w:rPr>
        <w:t>ont pas encore été évalu</w:t>
      </w:r>
      <w:r w:rsidR="00007093" w:rsidRPr="000B7F65">
        <w:rPr>
          <w:lang w:val="fr-CH"/>
        </w:rPr>
        <w:t>és</w:t>
      </w:r>
      <w:r w:rsidR="00007093">
        <w:rPr>
          <w:lang w:val="fr-CH"/>
        </w:rPr>
        <w:t xml:space="preserve">.  </w:t>
      </w:r>
      <w:r w:rsidR="00007093" w:rsidRPr="000B7F65">
        <w:rPr>
          <w:lang w:val="fr-CH"/>
        </w:rPr>
        <w:t>Se</w:t>
      </w:r>
      <w:r w:rsidRPr="000B7F65">
        <w:rPr>
          <w:lang w:val="fr-CH"/>
        </w:rPr>
        <w:t xml:space="preserve">lon cette approche, la couverture géographique doit constituer </w:t>
      </w:r>
      <w:r w:rsidR="00E55C35" w:rsidRPr="000B7F65">
        <w:rPr>
          <w:lang w:val="fr-CH"/>
        </w:rPr>
        <w:t>l</w:t>
      </w:r>
      <w:r w:rsidR="000A3166">
        <w:rPr>
          <w:lang w:val="fr-CH"/>
        </w:rPr>
        <w:t>’</w:t>
      </w:r>
      <w:r w:rsidR="00E55C35" w:rsidRPr="000B7F65">
        <w:rPr>
          <w:lang w:val="fr-CH"/>
        </w:rPr>
        <w:t>un des éléments à</w:t>
      </w:r>
      <w:r w:rsidRPr="000B7F65">
        <w:rPr>
          <w:lang w:val="fr-CH"/>
        </w:rPr>
        <w:t xml:space="preserve"> considérer pour </w:t>
      </w:r>
      <w:r w:rsidR="00E55C35" w:rsidRPr="000B7F65">
        <w:rPr>
          <w:lang w:val="fr-CH"/>
        </w:rPr>
        <w:t xml:space="preserve">prendre </w:t>
      </w:r>
      <w:r w:rsidRPr="000B7F65">
        <w:rPr>
          <w:lang w:val="fr-CH"/>
        </w:rPr>
        <w:t>un</w:t>
      </w:r>
      <w:r w:rsidR="00E55C35" w:rsidRPr="000B7F65">
        <w:rPr>
          <w:lang w:val="fr-CH"/>
        </w:rPr>
        <w:t>e décisi</w:t>
      </w:r>
      <w:r w:rsidR="00007093" w:rsidRPr="000B7F65">
        <w:rPr>
          <w:lang w:val="fr-CH"/>
        </w:rPr>
        <w:t>on</w:t>
      </w:r>
      <w:r w:rsidR="00007093">
        <w:rPr>
          <w:lang w:val="fr-CH"/>
        </w:rPr>
        <w:t xml:space="preserve">.  </w:t>
      </w:r>
      <w:r w:rsidR="00007093" w:rsidRPr="000B7F65">
        <w:rPr>
          <w:lang w:val="fr-CH"/>
        </w:rPr>
        <w:t>Le</w:t>
      </w:r>
      <w:r w:rsidR="00E55C35" w:rsidRPr="000B7F65">
        <w:rPr>
          <w:lang w:val="fr-CH"/>
        </w:rPr>
        <w:t>s évaluations transversales doivent être soigneusement choisies et porter sur des sujets pertinents à l</w:t>
      </w:r>
      <w:r w:rsidR="000A3166">
        <w:rPr>
          <w:lang w:val="fr-CH"/>
        </w:rPr>
        <w:t>’</w:t>
      </w:r>
      <w:r w:rsidR="00E55C35" w:rsidRPr="000B7F65">
        <w:rPr>
          <w:lang w:val="fr-CH"/>
        </w:rPr>
        <w:t>échelle de l</w:t>
      </w:r>
      <w:r w:rsidR="000A3166">
        <w:rPr>
          <w:lang w:val="fr-CH"/>
        </w:rPr>
        <w:t>’</w:t>
      </w:r>
      <w:r w:rsidR="00E55C35" w:rsidRPr="000B7F65">
        <w:rPr>
          <w:lang w:val="fr-CH"/>
        </w:rPr>
        <w:t>Organisation;</w:t>
      </w:r>
    </w:p>
    <w:p w14:paraId="0B7772A8" w14:textId="77777777" w:rsidR="00417F8D" w:rsidRDefault="00E01325" w:rsidP="002E030A">
      <w:pPr>
        <w:pStyle w:val="ONUMFS"/>
        <w:numPr>
          <w:ilvl w:val="1"/>
          <w:numId w:val="3"/>
        </w:numPr>
        <w:rPr>
          <w:lang w:val="fr-CH"/>
        </w:rPr>
      </w:pPr>
      <w:proofErr w:type="gramStart"/>
      <w:r w:rsidRPr="000B7F65">
        <w:rPr>
          <w:lang w:val="fr-CH"/>
        </w:rPr>
        <w:t>l</w:t>
      </w:r>
      <w:r w:rsidR="00E55C35" w:rsidRPr="000B7F65">
        <w:rPr>
          <w:lang w:val="fr-CH"/>
        </w:rPr>
        <w:t>a</w:t>
      </w:r>
      <w:proofErr w:type="gramEnd"/>
      <w:r w:rsidR="00E55C35" w:rsidRPr="000B7F65">
        <w:rPr>
          <w:lang w:val="fr-CH"/>
        </w:rPr>
        <w:t xml:space="preserve"> Section de l</w:t>
      </w:r>
      <w:r w:rsidR="000A3166">
        <w:rPr>
          <w:lang w:val="fr-CH"/>
        </w:rPr>
        <w:t>’</w:t>
      </w:r>
      <w:r w:rsidR="00E55C35" w:rsidRPr="000B7F65">
        <w:rPr>
          <w:lang w:val="fr-CH"/>
        </w:rPr>
        <w:t>évaluation de</w:t>
      </w:r>
      <w:r w:rsidR="00353ADC" w:rsidRPr="000B7F65">
        <w:rPr>
          <w:lang w:val="fr-CH"/>
        </w:rPr>
        <w:t xml:space="preserve"> la</w:t>
      </w:r>
      <w:r w:rsidR="00353ADC">
        <w:rPr>
          <w:lang w:val="fr-CH"/>
        </w:rPr>
        <w:t> </w:t>
      </w:r>
      <w:r w:rsidR="00353ADC" w:rsidRPr="000B7F65">
        <w:rPr>
          <w:lang w:val="fr-CH"/>
        </w:rPr>
        <w:t>DSI</w:t>
      </w:r>
      <w:r w:rsidR="00E55C35" w:rsidRPr="000B7F65">
        <w:rPr>
          <w:lang w:val="fr-CH"/>
        </w:rPr>
        <w:t xml:space="preserve"> doit accroître le nombre et la qualité des résultats et conclusions de fond en matière de propriété intellectuelle </w:t>
      </w:r>
      <w:r w:rsidR="005E6FB2" w:rsidRPr="000B7F65">
        <w:rPr>
          <w:lang w:val="fr-CH"/>
        </w:rPr>
        <w:t>pour</w:t>
      </w:r>
      <w:r w:rsidR="00E55C35" w:rsidRPr="000B7F65">
        <w:rPr>
          <w:lang w:val="fr-CH"/>
        </w:rPr>
        <w:t xml:space="preserve"> ce qui </w:t>
      </w:r>
      <w:r w:rsidR="00E55C35" w:rsidRPr="00403F08">
        <w:rPr>
          <w:lang w:val="fr-CH"/>
        </w:rPr>
        <w:t>concerne l</w:t>
      </w:r>
      <w:r w:rsidR="000A3166">
        <w:rPr>
          <w:lang w:val="fr-CH"/>
        </w:rPr>
        <w:t>’</w:t>
      </w:r>
      <w:r w:rsidR="00E55C35" w:rsidRPr="00403F08">
        <w:rPr>
          <w:lang w:val="fr-CH"/>
        </w:rPr>
        <w:t>effet et l</w:t>
      </w:r>
      <w:r w:rsidR="000A3166">
        <w:rPr>
          <w:lang w:val="fr-CH"/>
        </w:rPr>
        <w:t>’</w:t>
      </w:r>
      <w:r w:rsidR="00E55C35" w:rsidRPr="00403F08">
        <w:rPr>
          <w:lang w:val="fr-CH"/>
        </w:rPr>
        <w:t xml:space="preserve">incidence des programmes sur le long terme; </w:t>
      </w:r>
      <w:r w:rsidRPr="00403F08">
        <w:rPr>
          <w:lang w:val="fr-CH"/>
        </w:rPr>
        <w:t xml:space="preserve"> </w:t>
      </w:r>
      <w:r w:rsidR="00E55C35" w:rsidRPr="00403F08">
        <w:rPr>
          <w:lang w:val="fr-CH"/>
        </w:rPr>
        <w:t>et</w:t>
      </w:r>
    </w:p>
    <w:p w14:paraId="56AD5C88" w14:textId="77777777" w:rsidR="00417F8D" w:rsidRDefault="00E01325" w:rsidP="002E030A">
      <w:pPr>
        <w:pStyle w:val="ONUMFS"/>
        <w:numPr>
          <w:ilvl w:val="1"/>
          <w:numId w:val="3"/>
        </w:numPr>
        <w:rPr>
          <w:lang w:val="fr-CH"/>
        </w:rPr>
      </w:pPr>
      <w:proofErr w:type="gramStart"/>
      <w:r w:rsidRPr="00403F08">
        <w:rPr>
          <w:lang w:val="fr-CH"/>
        </w:rPr>
        <w:t>l</w:t>
      </w:r>
      <w:r w:rsidR="003774F3" w:rsidRPr="00403F08">
        <w:rPr>
          <w:lang w:val="fr-CH"/>
        </w:rPr>
        <w:t>a</w:t>
      </w:r>
      <w:proofErr w:type="gramEnd"/>
      <w:r w:rsidR="003774F3" w:rsidRPr="00403F08">
        <w:rPr>
          <w:lang w:val="fr-CH"/>
        </w:rPr>
        <w:t xml:space="preserve"> Section de l</w:t>
      </w:r>
      <w:r w:rsidR="000A3166">
        <w:rPr>
          <w:lang w:val="fr-CH"/>
        </w:rPr>
        <w:t>’</w:t>
      </w:r>
      <w:r w:rsidR="003774F3" w:rsidRPr="00403F08">
        <w:rPr>
          <w:lang w:val="fr-CH"/>
        </w:rPr>
        <w:t>évaluation de</w:t>
      </w:r>
      <w:r w:rsidR="00353ADC" w:rsidRPr="00403F08">
        <w:rPr>
          <w:lang w:val="fr-CH"/>
        </w:rPr>
        <w:t xml:space="preserve"> la</w:t>
      </w:r>
      <w:r w:rsidR="00353ADC">
        <w:rPr>
          <w:lang w:val="fr-CH"/>
        </w:rPr>
        <w:t> </w:t>
      </w:r>
      <w:r w:rsidR="00353ADC" w:rsidRPr="00403F08">
        <w:rPr>
          <w:lang w:val="fr-CH"/>
        </w:rPr>
        <w:t>DSI</w:t>
      </w:r>
      <w:r w:rsidR="003774F3" w:rsidRPr="00403F08">
        <w:rPr>
          <w:lang w:val="fr-CH"/>
        </w:rPr>
        <w:t xml:space="preserve"> doit renforcer ses mesures visant à améliorer le respect de l</w:t>
      </w:r>
      <w:r w:rsidR="000A3166">
        <w:rPr>
          <w:lang w:val="fr-CH"/>
        </w:rPr>
        <w:t>’</w:t>
      </w:r>
      <w:r w:rsidR="003774F3" w:rsidRPr="00403F08">
        <w:rPr>
          <w:lang w:val="fr-CH"/>
        </w:rPr>
        <w:t>égalité des sexes et à introduire des indicateurs dans ce domaine, conformément aux politiques de l</w:t>
      </w:r>
      <w:r w:rsidR="000A3166">
        <w:rPr>
          <w:lang w:val="fr-CH"/>
        </w:rPr>
        <w:t>’</w:t>
      </w:r>
      <w:r w:rsidR="003774F3" w:rsidRPr="00403F08">
        <w:rPr>
          <w:lang w:val="fr-CH"/>
        </w:rPr>
        <w:t>OMPI en matière d</w:t>
      </w:r>
      <w:r w:rsidR="000A3166">
        <w:rPr>
          <w:lang w:val="fr-CH"/>
        </w:rPr>
        <w:t>’</w:t>
      </w:r>
      <w:r w:rsidR="003774F3" w:rsidRPr="00403F08">
        <w:rPr>
          <w:lang w:val="fr-CH"/>
        </w:rPr>
        <w:t>égalité des sexes et au plan d</w:t>
      </w:r>
      <w:r w:rsidR="000A3166">
        <w:rPr>
          <w:lang w:val="fr-CH"/>
        </w:rPr>
        <w:t>’</w:t>
      </w:r>
      <w:r w:rsidR="003774F3" w:rsidRPr="00403F08">
        <w:rPr>
          <w:lang w:val="fr-CH"/>
        </w:rPr>
        <w:t xml:space="preserve">action </w:t>
      </w:r>
      <w:r w:rsidR="003774F3" w:rsidRPr="00403F08">
        <w:rPr>
          <w:lang w:val="fr-CH"/>
        </w:rPr>
        <w:lastRenderedPageBreak/>
        <w:t>à l</w:t>
      </w:r>
      <w:r w:rsidR="000A3166">
        <w:rPr>
          <w:lang w:val="fr-CH"/>
        </w:rPr>
        <w:t>’</w:t>
      </w:r>
      <w:r w:rsidR="003774F3" w:rsidRPr="00403F08">
        <w:rPr>
          <w:lang w:val="fr-CH"/>
        </w:rPr>
        <w:t xml:space="preserve">échelle du système des </w:t>
      </w:r>
      <w:r w:rsidR="00353ADC">
        <w:rPr>
          <w:lang w:val="fr-CH"/>
        </w:rPr>
        <w:t>Nations Unies</w:t>
      </w:r>
      <w:r w:rsidR="003774F3" w:rsidRPr="00403F08">
        <w:rPr>
          <w:lang w:val="fr-CH"/>
        </w:rPr>
        <w:t xml:space="preserve"> pour l</w:t>
      </w:r>
      <w:r w:rsidR="000A3166">
        <w:rPr>
          <w:lang w:val="fr-CH"/>
        </w:rPr>
        <w:t>’</w:t>
      </w:r>
      <w:r w:rsidR="003774F3" w:rsidRPr="00403F08">
        <w:rPr>
          <w:lang w:val="fr-CH"/>
        </w:rPr>
        <w:t>égalité des sexes et l</w:t>
      </w:r>
      <w:r w:rsidR="000A3166">
        <w:rPr>
          <w:lang w:val="fr-CH"/>
        </w:rPr>
        <w:t>’</w:t>
      </w:r>
      <w:r w:rsidR="003774F3" w:rsidRPr="00403F08">
        <w:rPr>
          <w:lang w:val="fr-CH"/>
        </w:rPr>
        <w:t>autonomisation des femmes</w:t>
      </w:r>
      <w:r w:rsidR="009C5C66" w:rsidRPr="00403F08">
        <w:rPr>
          <w:lang w:val="fr-CH"/>
        </w:rPr>
        <w:t> </w:t>
      </w:r>
      <w:r w:rsidR="003774F3" w:rsidRPr="00403F08">
        <w:rPr>
          <w:lang w:val="fr-CH"/>
        </w:rPr>
        <w:t>(UN SWAP).</w:t>
      </w:r>
    </w:p>
    <w:p w14:paraId="182CC866" w14:textId="77777777" w:rsidR="00417F8D" w:rsidRDefault="00D33401" w:rsidP="002E030A">
      <w:pPr>
        <w:pStyle w:val="Heading2"/>
      </w:pPr>
      <w:r w:rsidRPr="002E030A">
        <w:t>Évaluation du Bureau régional pour l</w:t>
      </w:r>
      <w:r w:rsidR="000A3166" w:rsidRPr="002E030A">
        <w:t>’</w:t>
      </w:r>
      <w:r w:rsidRPr="002E030A">
        <w:t>Asie et le Pacifique</w:t>
      </w:r>
    </w:p>
    <w:p w14:paraId="60C0CD57" w14:textId="77777777" w:rsidR="00417F8D" w:rsidRDefault="00D33401" w:rsidP="002E030A">
      <w:pPr>
        <w:pStyle w:val="ONUMFS"/>
        <w:rPr>
          <w:lang w:val="fr-CH"/>
        </w:rPr>
      </w:pPr>
      <w:r w:rsidRPr="00403F08">
        <w:rPr>
          <w:lang w:val="fr-CH"/>
        </w:rPr>
        <w:t>Les principaux objectifs de l</w:t>
      </w:r>
      <w:r w:rsidR="000A3166">
        <w:rPr>
          <w:lang w:val="fr-CH"/>
        </w:rPr>
        <w:t>’</w:t>
      </w:r>
      <w:r w:rsidRPr="00403F08">
        <w:rPr>
          <w:lang w:val="fr-CH"/>
        </w:rPr>
        <w:t>évaluation du Bureau régional pour l</w:t>
      </w:r>
      <w:r w:rsidR="000A3166">
        <w:rPr>
          <w:lang w:val="fr-CH"/>
        </w:rPr>
        <w:t>’</w:t>
      </w:r>
      <w:r w:rsidRPr="00403F08">
        <w:rPr>
          <w:lang w:val="fr-CH"/>
        </w:rPr>
        <w:t>Asie et le Pacifique étaient les suivants</w:t>
      </w:r>
      <w:r w:rsidR="00353ADC">
        <w:rPr>
          <w:lang w:val="fr-CH"/>
        </w:rPr>
        <w:t> :</w:t>
      </w:r>
    </w:p>
    <w:p w14:paraId="10750A9C" w14:textId="77777777" w:rsidR="00417F8D" w:rsidRDefault="00D33401" w:rsidP="002E030A">
      <w:pPr>
        <w:pStyle w:val="ONUMFS"/>
        <w:numPr>
          <w:ilvl w:val="1"/>
          <w:numId w:val="3"/>
        </w:numPr>
        <w:rPr>
          <w:lang w:val="fr-CH"/>
        </w:rPr>
      </w:pPr>
      <w:proofErr w:type="gramStart"/>
      <w:r w:rsidRPr="00403F08">
        <w:rPr>
          <w:lang w:val="fr-CH"/>
        </w:rPr>
        <w:t>évaluer</w:t>
      </w:r>
      <w:proofErr w:type="gramEnd"/>
      <w:r w:rsidRPr="00403F08">
        <w:rPr>
          <w:lang w:val="fr-CH"/>
        </w:rPr>
        <w:t xml:space="preserve"> la pertinence du programme du Bureau régional pour l</w:t>
      </w:r>
      <w:r w:rsidR="000A3166">
        <w:rPr>
          <w:lang w:val="fr-CH"/>
        </w:rPr>
        <w:t>’</w:t>
      </w:r>
      <w:r w:rsidRPr="00403F08">
        <w:rPr>
          <w:lang w:val="fr-CH"/>
        </w:rPr>
        <w:t>Asie et le Pacifique pour les partenaires visés, la valeur ajoutée du programme pour la région et l</w:t>
      </w:r>
      <w:r w:rsidR="000A3166">
        <w:rPr>
          <w:lang w:val="fr-CH"/>
        </w:rPr>
        <w:t>’</w:t>
      </w:r>
      <w:r w:rsidRPr="00403F08">
        <w:rPr>
          <w:lang w:val="fr-CH"/>
        </w:rPr>
        <w:t>appui fourni par ses partenaires;</w:t>
      </w:r>
    </w:p>
    <w:p w14:paraId="1E86294C" w14:textId="77777777" w:rsidR="00417F8D" w:rsidRDefault="00D33401" w:rsidP="002E030A">
      <w:pPr>
        <w:pStyle w:val="ONUMFS"/>
        <w:numPr>
          <w:ilvl w:val="1"/>
          <w:numId w:val="3"/>
        </w:numPr>
        <w:rPr>
          <w:lang w:val="fr-CH"/>
        </w:rPr>
      </w:pPr>
      <w:proofErr w:type="gramStart"/>
      <w:r w:rsidRPr="00403F08">
        <w:rPr>
          <w:lang w:val="fr-CH"/>
        </w:rPr>
        <w:t>évaluer</w:t>
      </w:r>
      <w:proofErr w:type="gramEnd"/>
      <w:r w:rsidRPr="00403F08">
        <w:rPr>
          <w:lang w:val="fr-CH"/>
        </w:rPr>
        <w:t xml:space="preserve"> la contribution du Bureau régional pour l</w:t>
      </w:r>
      <w:r w:rsidR="000A3166">
        <w:rPr>
          <w:lang w:val="fr-CH"/>
        </w:rPr>
        <w:t>’</w:t>
      </w:r>
      <w:r w:rsidRPr="00403F08">
        <w:rPr>
          <w:lang w:val="fr-CH"/>
        </w:rPr>
        <w:t>Asie et le Pacifique à l</w:t>
      </w:r>
      <w:r w:rsidR="000A3166">
        <w:rPr>
          <w:lang w:val="fr-CH"/>
        </w:rPr>
        <w:t>’</w:t>
      </w:r>
      <w:r w:rsidRPr="00403F08">
        <w:rPr>
          <w:lang w:val="fr-CH"/>
        </w:rPr>
        <w:t>objectif visant à mettre la propriété intellectuelle au service du développement durable, et la contribution stratégique du programme régional aux objectifs plus vastes liés à l</w:t>
      </w:r>
      <w:r w:rsidR="000A3166">
        <w:rPr>
          <w:lang w:val="fr-CH"/>
        </w:rPr>
        <w:t>’</w:t>
      </w:r>
      <w:r w:rsidRPr="00403F08">
        <w:rPr>
          <w:lang w:val="fr-CH"/>
        </w:rPr>
        <w:t>intégration de la région selon le Cadre conceptuel de l</w:t>
      </w:r>
      <w:r w:rsidR="000A3166">
        <w:rPr>
          <w:lang w:val="fr-CH"/>
        </w:rPr>
        <w:t>’</w:t>
      </w:r>
      <w:r w:rsidRPr="00403F08">
        <w:rPr>
          <w:lang w:val="fr-CH"/>
        </w:rPr>
        <w:t>Indice mondial de l</w:t>
      </w:r>
      <w:r w:rsidR="000A3166">
        <w:rPr>
          <w:lang w:val="fr-CH"/>
        </w:rPr>
        <w:t>’</w:t>
      </w:r>
      <w:r w:rsidRPr="00403F08">
        <w:rPr>
          <w:lang w:val="fr-CH"/>
        </w:rPr>
        <w:t>innovation;</w:t>
      </w:r>
    </w:p>
    <w:p w14:paraId="2045F022" w14:textId="77777777" w:rsidR="00417F8D" w:rsidRDefault="00D33401" w:rsidP="002E030A">
      <w:pPr>
        <w:pStyle w:val="ONUMFS"/>
        <w:numPr>
          <w:ilvl w:val="1"/>
          <w:numId w:val="3"/>
        </w:numPr>
        <w:rPr>
          <w:lang w:val="fr-CH"/>
        </w:rPr>
      </w:pPr>
      <w:r w:rsidRPr="00403F08">
        <w:rPr>
          <w:lang w:val="fr-CH"/>
        </w:rPr>
        <w:t>analyser les outils, mécanismes et méthodes</w:t>
      </w:r>
      <w:r w:rsidRPr="00403F08">
        <w:rPr>
          <w:rStyle w:val="FootnoteReference"/>
          <w:szCs w:val="22"/>
        </w:rPr>
        <w:footnoteReference w:id="7"/>
      </w:r>
      <w:r w:rsidRPr="00403F08">
        <w:rPr>
          <w:lang w:val="fr-CH"/>
        </w:rPr>
        <w:t xml:space="preserve"> mis en œuvre par le Bureau régional pour l</w:t>
      </w:r>
      <w:r w:rsidR="000A3166">
        <w:rPr>
          <w:lang w:val="fr-CH"/>
        </w:rPr>
        <w:t>’</w:t>
      </w:r>
      <w:r w:rsidRPr="00403F08">
        <w:rPr>
          <w:lang w:val="fr-CH"/>
        </w:rPr>
        <w:t>Asie et le Pacifique</w:t>
      </w:r>
      <w:r w:rsidR="00817C19" w:rsidRPr="00403F08">
        <w:rPr>
          <w:lang w:val="fr-CH"/>
        </w:rPr>
        <w:t>,</w:t>
      </w:r>
      <w:r w:rsidR="00BD669D" w:rsidRPr="00403F08">
        <w:rPr>
          <w:lang w:val="fr-CH"/>
        </w:rPr>
        <w:t xml:space="preserve"> </w:t>
      </w:r>
      <w:r w:rsidRPr="00403F08">
        <w:rPr>
          <w:lang w:val="fr-CH"/>
        </w:rPr>
        <w:t>et déterminer les enseignements tirés et les pratiques recommandées qui ont contribué aux résultats du Bureau régional pour l</w:t>
      </w:r>
      <w:r w:rsidR="000A3166">
        <w:rPr>
          <w:lang w:val="fr-CH"/>
        </w:rPr>
        <w:t>’</w:t>
      </w:r>
      <w:r w:rsidRPr="00403F08">
        <w:rPr>
          <w:lang w:val="fr-CH"/>
        </w:rPr>
        <w:t xml:space="preserve">Asie et le Pacifique; </w:t>
      </w:r>
      <w:r w:rsidR="00817C19" w:rsidRPr="00403F08">
        <w:rPr>
          <w:lang w:val="fr-CH"/>
        </w:rPr>
        <w:t xml:space="preserve"> </w:t>
      </w:r>
      <w:r w:rsidRPr="00403F08">
        <w:rPr>
          <w:lang w:val="fr-CH"/>
        </w:rPr>
        <w:t>et</w:t>
      </w:r>
    </w:p>
    <w:p w14:paraId="1FEFADE5" w14:textId="77777777" w:rsidR="00417F8D" w:rsidRDefault="00D33401" w:rsidP="002E030A">
      <w:pPr>
        <w:pStyle w:val="ONUMFS"/>
        <w:numPr>
          <w:ilvl w:val="1"/>
          <w:numId w:val="3"/>
        </w:numPr>
        <w:rPr>
          <w:lang w:val="fr-CH"/>
        </w:rPr>
      </w:pPr>
      <w:proofErr w:type="gramStart"/>
      <w:r w:rsidRPr="00817C19">
        <w:rPr>
          <w:lang w:val="fr-CH"/>
        </w:rPr>
        <w:t>déterminer</w:t>
      </w:r>
      <w:proofErr w:type="gramEnd"/>
      <w:r w:rsidRPr="00817C19">
        <w:rPr>
          <w:lang w:val="fr-CH"/>
        </w:rPr>
        <w:t xml:space="preserve"> les facteurs qui pourraient être appliqués par d</w:t>
      </w:r>
      <w:r w:rsidR="000A3166">
        <w:rPr>
          <w:lang w:val="fr-CH"/>
        </w:rPr>
        <w:t>’</w:t>
      </w:r>
      <w:r w:rsidRPr="00817C19">
        <w:rPr>
          <w:lang w:val="fr-CH"/>
        </w:rPr>
        <w:t>autres bureaux régionaux afin de renforcer leur utilité, leur efficacité et l</w:t>
      </w:r>
      <w:r w:rsidR="000A3166">
        <w:rPr>
          <w:lang w:val="fr-CH"/>
        </w:rPr>
        <w:t>’</w:t>
      </w:r>
      <w:r w:rsidRPr="00817C19">
        <w:rPr>
          <w:lang w:val="fr-CH"/>
        </w:rPr>
        <w:t xml:space="preserve">utilisation optimale de leurs ressources – </w:t>
      </w:r>
      <w:r w:rsidR="00353ADC">
        <w:rPr>
          <w:lang w:val="fr-CH"/>
        </w:rPr>
        <w:t>y compris</w:t>
      </w:r>
      <w:r w:rsidRPr="00817C19">
        <w:rPr>
          <w:lang w:val="fr-CH"/>
        </w:rPr>
        <w:t xml:space="preserve"> dans le domaine de l</w:t>
      </w:r>
      <w:r w:rsidR="000A3166">
        <w:rPr>
          <w:lang w:val="fr-CH"/>
        </w:rPr>
        <w:t>’</w:t>
      </w:r>
      <w:r w:rsidRPr="00817C19">
        <w:rPr>
          <w:lang w:val="fr-CH"/>
        </w:rPr>
        <w:t>égalité des sexes</w:t>
      </w:r>
      <w:r w:rsidR="00817C19" w:rsidRPr="00817C19">
        <w:rPr>
          <w:lang w:val="fr-CH"/>
        </w:rPr>
        <w:t>.</w:t>
      </w:r>
    </w:p>
    <w:p w14:paraId="10026C0E" w14:textId="77777777" w:rsidR="00417F8D" w:rsidRDefault="00D33401" w:rsidP="002E030A">
      <w:pPr>
        <w:pStyle w:val="ONUMFS"/>
        <w:rPr>
          <w:lang w:val="fr-CH"/>
        </w:rPr>
      </w:pPr>
      <w:r w:rsidRPr="00817C19">
        <w:rPr>
          <w:lang w:val="fr-CH"/>
        </w:rPr>
        <w:t>Les principales conclusions du rapport sont les suivantes</w:t>
      </w:r>
      <w:r w:rsidR="00353ADC">
        <w:rPr>
          <w:lang w:val="fr-CH"/>
        </w:rPr>
        <w:t> :</w:t>
      </w:r>
    </w:p>
    <w:p w14:paraId="0FF1DF0F" w14:textId="77777777" w:rsidR="00417F8D" w:rsidRDefault="00817C19" w:rsidP="002E030A">
      <w:pPr>
        <w:pStyle w:val="ONUMFS"/>
        <w:numPr>
          <w:ilvl w:val="1"/>
          <w:numId w:val="3"/>
        </w:numPr>
        <w:rPr>
          <w:lang w:val="fr-CH"/>
        </w:rPr>
      </w:pPr>
      <w:proofErr w:type="gramStart"/>
      <w:r w:rsidRPr="00817C19">
        <w:rPr>
          <w:lang w:val="fr-CH"/>
        </w:rPr>
        <w:t>l</w:t>
      </w:r>
      <w:r w:rsidR="000A3166">
        <w:rPr>
          <w:lang w:val="fr-CH"/>
        </w:rPr>
        <w:t>’</w:t>
      </w:r>
      <w:r w:rsidR="00D33401" w:rsidRPr="00817C19">
        <w:rPr>
          <w:lang w:val="fr-CH"/>
        </w:rPr>
        <w:t>approche</w:t>
      </w:r>
      <w:proofErr w:type="gramEnd"/>
      <w:r w:rsidR="00D33401" w:rsidRPr="00817C19">
        <w:rPr>
          <w:lang w:val="fr-CH"/>
        </w:rPr>
        <w:t xml:space="preserve"> et les travaux du Bureau régional pour l</w:t>
      </w:r>
      <w:r w:rsidR="000A3166">
        <w:rPr>
          <w:lang w:val="fr-CH"/>
        </w:rPr>
        <w:t>’</w:t>
      </w:r>
      <w:r w:rsidR="00D33401" w:rsidRPr="00817C19">
        <w:rPr>
          <w:lang w:val="fr-CH"/>
        </w:rPr>
        <w:t xml:space="preserve">Asie et le Pacifique ont été mis au point dans un cadre structuré de mise en </w:t>
      </w:r>
      <w:r w:rsidRPr="00817C19">
        <w:rPr>
          <w:lang w:val="fr-CH"/>
        </w:rPr>
        <w:t>œuv</w:t>
      </w:r>
      <w:r w:rsidR="00007093" w:rsidRPr="00817C19">
        <w:rPr>
          <w:lang w:val="fr-CH"/>
        </w:rPr>
        <w:t>re</w:t>
      </w:r>
      <w:r w:rsidR="00007093">
        <w:rPr>
          <w:lang w:val="fr-CH"/>
        </w:rPr>
        <w:t xml:space="preserve">.  </w:t>
      </w:r>
      <w:r w:rsidR="00007093" w:rsidRPr="00817C19">
        <w:rPr>
          <w:lang w:val="fr-CH"/>
        </w:rPr>
        <w:t>Ce</w:t>
      </w:r>
      <w:r w:rsidR="00D33401" w:rsidRPr="00817C19">
        <w:rPr>
          <w:lang w:val="fr-CH"/>
        </w:rPr>
        <w:t>tte approche structurée est essentielle pour le Bureau régional pour l</w:t>
      </w:r>
      <w:r w:rsidR="000A3166">
        <w:rPr>
          <w:lang w:val="fr-CH"/>
        </w:rPr>
        <w:t>’</w:t>
      </w:r>
      <w:r w:rsidR="00D33401" w:rsidRPr="00817C19">
        <w:rPr>
          <w:lang w:val="fr-CH"/>
        </w:rPr>
        <w:t>Asie et le Pacifique et contribue fortement à l</w:t>
      </w:r>
      <w:r w:rsidR="000A3166">
        <w:rPr>
          <w:lang w:val="fr-CH"/>
        </w:rPr>
        <w:t>’</w:t>
      </w:r>
      <w:r w:rsidR="00D33401" w:rsidRPr="00817C19">
        <w:rPr>
          <w:lang w:val="fr-CH"/>
        </w:rPr>
        <w:t>efficacité de ses trava</w:t>
      </w:r>
      <w:r w:rsidR="00007093" w:rsidRPr="00817C19">
        <w:rPr>
          <w:lang w:val="fr-CH"/>
        </w:rPr>
        <w:t>ux</w:t>
      </w:r>
      <w:r w:rsidR="00007093">
        <w:rPr>
          <w:lang w:val="fr-CH"/>
        </w:rPr>
        <w:t xml:space="preserve">.  </w:t>
      </w:r>
      <w:r w:rsidR="00007093" w:rsidRPr="00817C19">
        <w:rPr>
          <w:lang w:val="fr-CH"/>
        </w:rPr>
        <w:t>Le</w:t>
      </w:r>
      <w:r w:rsidR="00D33401" w:rsidRPr="00817C19">
        <w:rPr>
          <w:lang w:val="fr-CH"/>
        </w:rPr>
        <w:t>s nombreuses indications fournies par les parties prenantes sur l</w:t>
      </w:r>
      <w:r w:rsidR="000A3166">
        <w:rPr>
          <w:lang w:val="fr-CH"/>
        </w:rPr>
        <w:t>’</w:t>
      </w:r>
      <w:r w:rsidR="00D33401" w:rsidRPr="00817C19">
        <w:rPr>
          <w:lang w:val="fr-CH"/>
        </w:rPr>
        <w:t xml:space="preserve">importance des différents projets laissent penser que cette approche structurée est </w:t>
      </w:r>
      <w:r w:rsidRPr="00817C19">
        <w:rPr>
          <w:lang w:val="fr-CH"/>
        </w:rPr>
        <w:t>importante pour les</w:t>
      </w:r>
      <w:r w:rsidR="00D33401" w:rsidRPr="00817C19">
        <w:rPr>
          <w:lang w:val="fr-CH"/>
        </w:rPr>
        <w:t xml:space="preserve"> États membres </w:t>
      </w:r>
      <w:r w:rsidRPr="00817C19">
        <w:rPr>
          <w:lang w:val="fr-CH"/>
        </w:rPr>
        <w:t>dans</w:t>
      </w:r>
      <w:r w:rsidR="00D33401" w:rsidRPr="00817C19">
        <w:rPr>
          <w:lang w:val="fr-CH"/>
        </w:rPr>
        <w:t xml:space="preserve"> l</w:t>
      </w:r>
      <w:r w:rsidR="000A3166">
        <w:rPr>
          <w:lang w:val="fr-CH"/>
        </w:rPr>
        <w:t>’</w:t>
      </w:r>
      <w:r w:rsidR="00D33401" w:rsidRPr="00817C19">
        <w:rPr>
          <w:lang w:val="fr-CH"/>
        </w:rPr>
        <w:t xml:space="preserve">élaboration de cadres et de systèmes de propriété </w:t>
      </w:r>
      <w:r w:rsidR="00D33401" w:rsidRPr="00403F08">
        <w:rPr>
          <w:lang w:val="fr-CH"/>
        </w:rPr>
        <w:t>intellectuelle;</w:t>
      </w:r>
    </w:p>
    <w:p w14:paraId="200C8BA6" w14:textId="77777777" w:rsidR="00417F8D" w:rsidRDefault="005E6FB2" w:rsidP="002E030A">
      <w:pPr>
        <w:pStyle w:val="ONUMFS"/>
        <w:numPr>
          <w:ilvl w:val="1"/>
          <w:numId w:val="3"/>
        </w:numPr>
        <w:rPr>
          <w:lang w:val="fr-CH"/>
        </w:rPr>
      </w:pPr>
      <w:proofErr w:type="gramStart"/>
      <w:r w:rsidRPr="00403F08">
        <w:rPr>
          <w:lang w:val="fr-CH"/>
        </w:rPr>
        <w:t>il</w:t>
      </w:r>
      <w:proofErr w:type="gramEnd"/>
      <w:r w:rsidRPr="00403F08">
        <w:rPr>
          <w:lang w:val="fr-CH"/>
        </w:rPr>
        <w:t xml:space="preserve"> est probable que </w:t>
      </w:r>
      <w:r w:rsidR="00CC3FA0" w:rsidRPr="00403F08">
        <w:rPr>
          <w:lang w:val="fr-CH"/>
        </w:rPr>
        <w:t>l</w:t>
      </w:r>
      <w:r w:rsidR="00817C19" w:rsidRPr="00403F08">
        <w:rPr>
          <w:lang w:val="fr-CH"/>
        </w:rPr>
        <w:t xml:space="preserve">a contribution du </w:t>
      </w:r>
      <w:r w:rsidR="00403F08" w:rsidRPr="00403F08">
        <w:rPr>
          <w:lang w:val="fr-CH"/>
        </w:rPr>
        <w:t>B</w:t>
      </w:r>
      <w:r w:rsidR="00817C19" w:rsidRPr="00403F08">
        <w:rPr>
          <w:lang w:val="fr-CH"/>
        </w:rPr>
        <w:t>ureau aux objectifs stratégiques de l</w:t>
      </w:r>
      <w:r w:rsidR="000A3166">
        <w:rPr>
          <w:lang w:val="fr-CH"/>
        </w:rPr>
        <w:t>’</w:t>
      </w:r>
      <w:r w:rsidR="00817C19" w:rsidRPr="00403F08">
        <w:rPr>
          <w:lang w:val="fr-CH"/>
        </w:rPr>
        <w:t>OMPI continue</w:t>
      </w:r>
      <w:r w:rsidR="00CC3FA0" w:rsidRPr="00403F08">
        <w:rPr>
          <w:lang w:val="fr-CH"/>
        </w:rPr>
        <w:t>r</w:t>
      </w:r>
      <w:r w:rsidRPr="00403F08">
        <w:rPr>
          <w:lang w:val="fr-CH"/>
        </w:rPr>
        <w:t>a</w:t>
      </w:r>
      <w:r w:rsidR="00817C19" w:rsidRPr="00403F08">
        <w:rPr>
          <w:lang w:val="fr-CH"/>
        </w:rPr>
        <w:t xml:space="preserve"> d</w:t>
      </w:r>
      <w:r w:rsidRPr="00403F08">
        <w:rPr>
          <w:lang w:val="fr-CH"/>
        </w:rPr>
        <w:t xml:space="preserve">e produire des effets et </w:t>
      </w:r>
      <w:r w:rsidR="00CC3FA0" w:rsidRPr="00403F08">
        <w:rPr>
          <w:lang w:val="fr-CH"/>
        </w:rPr>
        <w:t>ser</w:t>
      </w:r>
      <w:r w:rsidRPr="00403F08">
        <w:rPr>
          <w:lang w:val="fr-CH"/>
        </w:rPr>
        <w:t>a</w:t>
      </w:r>
      <w:r w:rsidR="00817C19" w:rsidRPr="00403F08">
        <w:rPr>
          <w:lang w:val="fr-CH"/>
        </w:rPr>
        <w:t xml:space="preserve"> plus visible, puisque davantage d</w:t>
      </w:r>
      <w:r w:rsidR="000A3166">
        <w:rPr>
          <w:lang w:val="fr-CH"/>
        </w:rPr>
        <w:t>’</w:t>
      </w:r>
      <w:r w:rsidR="00817C19" w:rsidRPr="00403F08">
        <w:rPr>
          <w:lang w:val="fr-CH"/>
        </w:rPr>
        <w:t>États membres s</w:t>
      </w:r>
      <w:r w:rsidR="000A3166">
        <w:rPr>
          <w:lang w:val="fr-CH"/>
        </w:rPr>
        <w:t>’</w:t>
      </w:r>
      <w:r w:rsidR="00817C19" w:rsidRPr="00403F08">
        <w:rPr>
          <w:lang w:val="fr-CH"/>
        </w:rPr>
        <w:t xml:space="preserve">acheminent vers le développement et disposent </w:t>
      </w:r>
      <w:r w:rsidR="00403F08" w:rsidRPr="00403F08">
        <w:rPr>
          <w:lang w:val="fr-CH"/>
        </w:rPr>
        <w:t>du</w:t>
      </w:r>
      <w:r w:rsidR="00817C19" w:rsidRPr="00403F08">
        <w:rPr>
          <w:lang w:val="fr-CH"/>
        </w:rPr>
        <w:t xml:space="preserve"> temps </w:t>
      </w:r>
      <w:r w:rsidR="00403F08" w:rsidRPr="00403F08">
        <w:rPr>
          <w:lang w:val="fr-CH"/>
        </w:rPr>
        <w:t>nécessaire à la mise</w:t>
      </w:r>
      <w:r w:rsidR="00817C19" w:rsidRPr="00403F08">
        <w:rPr>
          <w:lang w:val="fr-CH"/>
        </w:rPr>
        <w:t xml:space="preserve"> en </w:t>
      </w:r>
      <w:r w:rsidR="00CC3FA0" w:rsidRPr="00403F08">
        <w:rPr>
          <w:lang w:val="fr-CH"/>
        </w:rPr>
        <w:t>œuvre</w:t>
      </w:r>
      <w:r w:rsidR="00403F08" w:rsidRPr="00403F08">
        <w:rPr>
          <w:lang w:val="fr-CH"/>
        </w:rPr>
        <w:t xml:space="preserve"> de</w:t>
      </w:r>
      <w:r w:rsidR="00817C19" w:rsidRPr="00403F08">
        <w:rPr>
          <w:lang w:val="fr-CH"/>
        </w:rPr>
        <w:t xml:space="preserve"> leur stratégie nationale de propriété intellectuel</w:t>
      </w:r>
      <w:r w:rsidR="00007093" w:rsidRPr="00403F08">
        <w:rPr>
          <w:lang w:val="fr-CH"/>
        </w:rPr>
        <w:t>le</w:t>
      </w:r>
      <w:r w:rsidR="00007093">
        <w:rPr>
          <w:lang w:val="fr-CH"/>
        </w:rPr>
        <w:t xml:space="preserve">.  </w:t>
      </w:r>
      <w:r w:rsidR="00007093" w:rsidRPr="00403F08">
        <w:rPr>
          <w:lang w:val="fr-CH"/>
        </w:rPr>
        <w:t>Il</w:t>
      </w:r>
      <w:r w:rsidR="00817C19" w:rsidRPr="00403F08">
        <w:rPr>
          <w:lang w:val="fr-CH"/>
        </w:rPr>
        <w:t xml:space="preserve"> sera essentiel, dans les années à venir, de suivre et de réviser attentivement l</w:t>
      </w:r>
      <w:r w:rsidR="000A3166">
        <w:rPr>
          <w:lang w:val="fr-CH"/>
        </w:rPr>
        <w:t>’</w:t>
      </w:r>
      <w:r w:rsidR="00817C19" w:rsidRPr="00403F08">
        <w:rPr>
          <w:lang w:val="fr-CH"/>
        </w:rPr>
        <w:t>approche axée sur les projets en fonction</w:t>
      </w:r>
      <w:r w:rsidR="00353ADC">
        <w:rPr>
          <w:lang w:val="fr-CH"/>
        </w:rPr>
        <w:t> :</w:t>
      </w:r>
      <w:r w:rsidR="00817C19" w:rsidRPr="00403F08">
        <w:rPr>
          <w:lang w:val="fr-CH"/>
        </w:rPr>
        <w:t xml:space="preserve"> i)</w:t>
      </w:r>
      <w:r w:rsidR="005B0739">
        <w:rPr>
          <w:lang w:val="fr-CH"/>
        </w:rPr>
        <w:t> </w:t>
      </w:r>
      <w:r w:rsidR="00817C19" w:rsidRPr="00403F08">
        <w:rPr>
          <w:lang w:val="fr-CH"/>
        </w:rPr>
        <w:t xml:space="preserve">des besoins des États </w:t>
      </w:r>
      <w:proofErr w:type="gramStart"/>
      <w:r w:rsidR="005B0739">
        <w:rPr>
          <w:lang w:val="fr-CH"/>
        </w:rPr>
        <w:t xml:space="preserve">membres; </w:t>
      </w:r>
      <w:r w:rsidR="00817C19" w:rsidRPr="00403F08">
        <w:rPr>
          <w:lang w:val="fr-CH"/>
        </w:rPr>
        <w:t xml:space="preserve"> et</w:t>
      </w:r>
      <w:proofErr w:type="gramEnd"/>
      <w:r w:rsidR="00817C19" w:rsidRPr="00403F08">
        <w:rPr>
          <w:lang w:val="fr-CH"/>
        </w:rPr>
        <w:t xml:space="preserve"> ii)</w:t>
      </w:r>
      <w:r w:rsidR="005B0739">
        <w:rPr>
          <w:lang w:val="fr-CH"/>
        </w:rPr>
        <w:t> </w:t>
      </w:r>
      <w:r w:rsidR="00817C19" w:rsidRPr="00403F08">
        <w:rPr>
          <w:lang w:val="fr-CH"/>
        </w:rPr>
        <w:t xml:space="preserve">des réflexions </w:t>
      </w:r>
      <w:r w:rsidR="00CC3FA0" w:rsidRPr="00403F08">
        <w:rPr>
          <w:lang w:val="fr-CH"/>
        </w:rPr>
        <w:t>concernant</w:t>
      </w:r>
      <w:r w:rsidR="00817C19" w:rsidRPr="00403F08">
        <w:rPr>
          <w:lang w:val="fr-CH"/>
        </w:rPr>
        <w:t xml:space="preserve"> l</w:t>
      </w:r>
      <w:r w:rsidR="000A3166">
        <w:rPr>
          <w:lang w:val="fr-CH"/>
        </w:rPr>
        <w:t>’</w:t>
      </w:r>
      <w:r w:rsidR="00817C19" w:rsidRPr="00403F08">
        <w:rPr>
          <w:lang w:val="fr-CH"/>
        </w:rPr>
        <w:t>efficacité d</w:t>
      </w:r>
      <w:r w:rsidR="00CC3FA0" w:rsidRPr="00403F08">
        <w:rPr>
          <w:lang w:val="fr-CH"/>
        </w:rPr>
        <w:t>u</w:t>
      </w:r>
      <w:r w:rsidR="00817C19" w:rsidRPr="00403F08">
        <w:rPr>
          <w:lang w:val="fr-CH"/>
        </w:rPr>
        <w:t xml:space="preserve"> contenu et </w:t>
      </w:r>
      <w:r w:rsidR="00403F08" w:rsidRPr="00403F08">
        <w:rPr>
          <w:lang w:val="fr-CH"/>
        </w:rPr>
        <w:t xml:space="preserve">de </w:t>
      </w:r>
      <w:r w:rsidR="00817C19" w:rsidRPr="00403F08">
        <w:rPr>
          <w:lang w:val="fr-CH"/>
        </w:rPr>
        <w:t>la structure des projets;</w:t>
      </w:r>
    </w:p>
    <w:p w14:paraId="316B22AB" w14:textId="77777777" w:rsidR="00417F8D" w:rsidRDefault="005E6FB2" w:rsidP="002E030A">
      <w:pPr>
        <w:pStyle w:val="ONUMFS"/>
        <w:numPr>
          <w:ilvl w:val="1"/>
          <w:numId w:val="3"/>
        </w:numPr>
        <w:rPr>
          <w:lang w:val="fr-CH"/>
        </w:rPr>
      </w:pPr>
      <w:proofErr w:type="gramStart"/>
      <w:r w:rsidRPr="00403F08">
        <w:rPr>
          <w:lang w:val="fr-CH"/>
        </w:rPr>
        <w:t>i</w:t>
      </w:r>
      <w:r w:rsidR="00CC3FA0" w:rsidRPr="00403F08">
        <w:rPr>
          <w:lang w:val="fr-CH"/>
        </w:rPr>
        <w:t>l</w:t>
      </w:r>
      <w:proofErr w:type="gramEnd"/>
      <w:r w:rsidR="00CC3FA0" w:rsidRPr="00403F08">
        <w:rPr>
          <w:lang w:val="fr-CH"/>
        </w:rPr>
        <w:t xml:space="preserve"> serait </w:t>
      </w:r>
      <w:r w:rsidR="00403F08" w:rsidRPr="00403F08">
        <w:rPr>
          <w:lang w:val="fr-CH"/>
        </w:rPr>
        <w:t>souhaitable</w:t>
      </w:r>
      <w:r w:rsidR="00CC3FA0" w:rsidRPr="00403F08">
        <w:rPr>
          <w:lang w:val="fr-CH"/>
        </w:rPr>
        <w:t xml:space="preserve"> </w:t>
      </w:r>
      <w:r w:rsidRPr="00403F08">
        <w:rPr>
          <w:lang w:val="fr-CH"/>
        </w:rPr>
        <w:t>d</w:t>
      </w:r>
      <w:r w:rsidR="000A3166">
        <w:rPr>
          <w:lang w:val="fr-CH"/>
        </w:rPr>
        <w:t>’</w:t>
      </w:r>
      <w:r w:rsidRPr="00403F08">
        <w:rPr>
          <w:lang w:val="fr-CH"/>
        </w:rPr>
        <w:t>assurer</w:t>
      </w:r>
      <w:r w:rsidR="00CC3FA0" w:rsidRPr="00403F08">
        <w:rPr>
          <w:lang w:val="fr-CH"/>
        </w:rPr>
        <w:t xml:space="preserve"> </w:t>
      </w:r>
      <w:r w:rsidR="00403F08" w:rsidRPr="00403F08">
        <w:rPr>
          <w:lang w:val="fr-CH"/>
        </w:rPr>
        <w:t xml:space="preserve">une collaboration et </w:t>
      </w:r>
      <w:r w:rsidR="00CC3FA0" w:rsidRPr="00403F08">
        <w:rPr>
          <w:lang w:val="fr-CH"/>
        </w:rPr>
        <w:t xml:space="preserve">des liens </w:t>
      </w:r>
      <w:r w:rsidRPr="00403F08">
        <w:rPr>
          <w:lang w:val="fr-CH"/>
        </w:rPr>
        <w:t>étroits</w:t>
      </w:r>
      <w:r w:rsidR="00CC3FA0" w:rsidRPr="00403F08">
        <w:rPr>
          <w:lang w:val="fr-CH"/>
        </w:rPr>
        <w:t xml:space="preserve"> entre les secteurs opérationnels et le Bureau régional pour l</w:t>
      </w:r>
      <w:r w:rsidR="000A3166">
        <w:rPr>
          <w:lang w:val="fr-CH"/>
        </w:rPr>
        <w:t>’</w:t>
      </w:r>
      <w:r w:rsidR="00CC3FA0" w:rsidRPr="00403F08">
        <w:rPr>
          <w:lang w:val="fr-CH"/>
        </w:rPr>
        <w:t xml:space="preserve">Asie et le Pacifique, </w:t>
      </w:r>
      <w:r w:rsidRPr="00403F08">
        <w:rPr>
          <w:lang w:val="fr-CH"/>
        </w:rPr>
        <w:t xml:space="preserve">compte tenu des connaissances dont dispose </w:t>
      </w:r>
      <w:r w:rsidR="00CC3FA0" w:rsidRPr="00403F08">
        <w:rPr>
          <w:lang w:val="fr-CH"/>
        </w:rPr>
        <w:t xml:space="preserve">le </w:t>
      </w:r>
      <w:r w:rsidR="00403F08" w:rsidRPr="00403F08">
        <w:rPr>
          <w:lang w:val="fr-CH"/>
        </w:rPr>
        <w:t>B</w:t>
      </w:r>
      <w:r w:rsidR="00CC3FA0" w:rsidRPr="00403F08">
        <w:rPr>
          <w:lang w:val="fr-CH"/>
        </w:rPr>
        <w:t xml:space="preserve">ureau </w:t>
      </w:r>
      <w:r w:rsidRPr="00403F08">
        <w:rPr>
          <w:lang w:val="fr-CH"/>
        </w:rPr>
        <w:t>concernant</w:t>
      </w:r>
      <w:r w:rsidR="00CC3FA0" w:rsidRPr="00403F08">
        <w:rPr>
          <w:lang w:val="fr-CH"/>
        </w:rPr>
        <w:t xml:space="preserve"> les stratégies nationales des offices de propriété intellectuelle, les détails de leurs </w:t>
      </w:r>
      <w:r w:rsidR="00403F08" w:rsidRPr="00403F08">
        <w:rPr>
          <w:lang w:val="fr-CH"/>
        </w:rPr>
        <w:t>évaluations</w:t>
      </w:r>
      <w:r w:rsidR="00CC3FA0" w:rsidRPr="00403F08">
        <w:rPr>
          <w:lang w:val="fr-CH"/>
        </w:rPr>
        <w:t xml:space="preserve"> et </w:t>
      </w:r>
      <w:r w:rsidRPr="00403F08">
        <w:rPr>
          <w:lang w:val="fr-CH"/>
        </w:rPr>
        <w:t>leurs</w:t>
      </w:r>
      <w:r w:rsidR="00CC3FA0" w:rsidRPr="00403F08">
        <w:rPr>
          <w:lang w:val="fr-CH"/>
        </w:rPr>
        <w:t xml:space="preserve"> priorit</w:t>
      </w:r>
      <w:r w:rsidR="00007093" w:rsidRPr="00403F08">
        <w:rPr>
          <w:lang w:val="fr-CH"/>
        </w:rPr>
        <w:t>és</w:t>
      </w:r>
      <w:r w:rsidR="00007093">
        <w:rPr>
          <w:lang w:val="fr-CH"/>
        </w:rPr>
        <w:t xml:space="preserve">.  </w:t>
      </w:r>
      <w:r w:rsidR="00007093" w:rsidRPr="00403F08">
        <w:rPr>
          <w:lang w:val="fr-CH"/>
        </w:rPr>
        <w:t>Ce</w:t>
      </w:r>
      <w:r w:rsidR="00CC3FA0" w:rsidRPr="00403F08">
        <w:rPr>
          <w:lang w:val="fr-CH"/>
        </w:rPr>
        <w:t>s connaissances peuvent largement contribuer à la planification et à l</w:t>
      </w:r>
      <w:r w:rsidR="000A3166">
        <w:rPr>
          <w:lang w:val="fr-CH"/>
        </w:rPr>
        <w:t>’</w:t>
      </w:r>
      <w:r w:rsidR="00CC3FA0" w:rsidRPr="00403F08">
        <w:rPr>
          <w:lang w:val="fr-CH"/>
        </w:rPr>
        <w:t>exécution des travaux des secteurs opérationnels</w:t>
      </w:r>
      <w:r w:rsidRPr="00403F08">
        <w:rPr>
          <w:lang w:val="fr-CH"/>
        </w:rPr>
        <w:t xml:space="preserve"> concernés</w:t>
      </w:r>
      <w:r w:rsidR="00CC3FA0" w:rsidRPr="00403F08">
        <w:rPr>
          <w:lang w:val="fr-CH"/>
        </w:rPr>
        <w:t>;</w:t>
      </w:r>
    </w:p>
    <w:p w14:paraId="6FD8275E" w14:textId="77777777" w:rsidR="00417F8D" w:rsidRDefault="005E6FB2" w:rsidP="002E030A">
      <w:pPr>
        <w:pStyle w:val="ONUMFS"/>
        <w:numPr>
          <w:ilvl w:val="1"/>
          <w:numId w:val="3"/>
        </w:numPr>
        <w:rPr>
          <w:lang w:val="fr-CH"/>
        </w:rPr>
      </w:pPr>
      <w:proofErr w:type="gramStart"/>
      <w:r w:rsidRPr="00403F08">
        <w:rPr>
          <w:lang w:val="fr-CH"/>
        </w:rPr>
        <w:t>d</w:t>
      </w:r>
      <w:r w:rsidR="00CC3FA0" w:rsidRPr="00403F08">
        <w:rPr>
          <w:lang w:val="fr-CH"/>
        </w:rPr>
        <w:t>es</w:t>
      </w:r>
      <w:proofErr w:type="gramEnd"/>
      <w:r w:rsidR="00CC3FA0" w:rsidRPr="00403F08">
        <w:rPr>
          <w:lang w:val="fr-CH"/>
        </w:rPr>
        <w:t xml:space="preserve"> améliorations sont nécessaires pour rendre compte des projets menés par le Bureau régional pour l</w:t>
      </w:r>
      <w:r w:rsidR="000A3166">
        <w:rPr>
          <w:lang w:val="fr-CH"/>
        </w:rPr>
        <w:t>’</w:t>
      </w:r>
      <w:r w:rsidR="00CC3FA0" w:rsidRPr="00403F08">
        <w:rPr>
          <w:lang w:val="fr-CH"/>
        </w:rPr>
        <w:t>Asie et le Pacifique, l</w:t>
      </w:r>
      <w:r w:rsidR="000A3166">
        <w:rPr>
          <w:lang w:val="fr-CH"/>
        </w:rPr>
        <w:t>’</w:t>
      </w:r>
      <w:r w:rsidR="00CC3FA0" w:rsidRPr="00403F08">
        <w:rPr>
          <w:lang w:val="fr-CH"/>
        </w:rPr>
        <w:t>accent étant mis en particulier sur l</w:t>
      </w:r>
      <w:r w:rsidR="000A3166">
        <w:rPr>
          <w:lang w:val="fr-CH"/>
        </w:rPr>
        <w:t>’</w:t>
      </w:r>
      <w:r w:rsidR="00CC3FA0" w:rsidRPr="00403F08">
        <w:rPr>
          <w:lang w:val="fr-CH"/>
        </w:rPr>
        <w:t>établissement de rapports axés sur les projets et</w:t>
      </w:r>
      <w:r w:rsidRPr="00403F08">
        <w:rPr>
          <w:lang w:val="fr-CH"/>
        </w:rPr>
        <w:t xml:space="preserve"> sur</w:t>
      </w:r>
      <w:r w:rsidR="00CC3FA0" w:rsidRPr="00403F08">
        <w:rPr>
          <w:lang w:val="fr-CH"/>
        </w:rPr>
        <w:t xml:space="preserve"> la communication de statistiques </w:t>
      </w:r>
      <w:r w:rsidRPr="00403F08">
        <w:rPr>
          <w:lang w:val="fr-CH"/>
        </w:rPr>
        <w:t>concernant</w:t>
      </w:r>
      <w:r w:rsidR="00CC3FA0" w:rsidRPr="00403F08">
        <w:rPr>
          <w:lang w:val="fr-CH"/>
        </w:rPr>
        <w:t xml:space="preserve"> des activités précises dans le cadre d</w:t>
      </w:r>
      <w:r w:rsidR="000A3166">
        <w:rPr>
          <w:lang w:val="fr-CH"/>
        </w:rPr>
        <w:t>’</w:t>
      </w:r>
      <w:r w:rsidR="00CC3FA0" w:rsidRPr="00403F08">
        <w:rPr>
          <w:lang w:val="fr-CH"/>
        </w:rPr>
        <w:t>un projet don</w:t>
      </w:r>
      <w:r w:rsidR="00007093" w:rsidRPr="00403F08">
        <w:rPr>
          <w:lang w:val="fr-CH"/>
        </w:rPr>
        <w:t>né</w:t>
      </w:r>
      <w:r w:rsidR="00007093">
        <w:rPr>
          <w:lang w:val="fr-CH"/>
        </w:rPr>
        <w:t xml:space="preserve">.  </w:t>
      </w:r>
      <w:r w:rsidR="00007093" w:rsidRPr="00403F08">
        <w:rPr>
          <w:lang w:val="fr-CH"/>
        </w:rPr>
        <w:t>Le</w:t>
      </w:r>
      <w:r w:rsidR="00CC3FA0" w:rsidRPr="00403F08">
        <w:rPr>
          <w:lang w:val="fr-CH"/>
        </w:rPr>
        <w:t xml:space="preserve">s rapports doivent </w:t>
      </w:r>
      <w:r w:rsidR="00CC3FA0" w:rsidRPr="00403F08">
        <w:rPr>
          <w:lang w:val="fr-CH"/>
        </w:rPr>
        <w:lastRenderedPageBreak/>
        <w:t xml:space="preserve">également décrire la contribution aux activités et </w:t>
      </w:r>
      <w:r w:rsidRPr="00403F08">
        <w:rPr>
          <w:lang w:val="fr-CH"/>
        </w:rPr>
        <w:t>résultats</w:t>
      </w:r>
      <w:r w:rsidR="00CC3FA0" w:rsidRPr="00403F08">
        <w:rPr>
          <w:lang w:val="fr-CH"/>
        </w:rPr>
        <w:t xml:space="preserve"> prévus et analyser la contribution aux priorités stratégiques de l</w:t>
      </w:r>
      <w:r w:rsidR="000A3166">
        <w:rPr>
          <w:lang w:val="fr-CH"/>
        </w:rPr>
        <w:t>’</w:t>
      </w:r>
      <w:r w:rsidR="00CC3FA0" w:rsidRPr="00403F08">
        <w:rPr>
          <w:lang w:val="fr-CH"/>
        </w:rPr>
        <w:t>OMPI.</w:t>
      </w:r>
    </w:p>
    <w:p w14:paraId="742A944E" w14:textId="77777777" w:rsidR="00417F8D" w:rsidRDefault="005E6FB2" w:rsidP="002E030A">
      <w:pPr>
        <w:pStyle w:val="ONUMFS"/>
        <w:rPr>
          <w:lang w:val="fr-CH"/>
        </w:rPr>
      </w:pPr>
      <w:r w:rsidRPr="00403F08">
        <w:rPr>
          <w:lang w:val="fr-CH"/>
        </w:rPr>
        <w:t>À</w:t>
      </w:r>
      <w:r w:rsidR="00CC3FA0" w:rsidRPr="00403F08">
        <w:rPr>
          <w:lang w:val="fr-CH"/>
        </w:rPr>
        <w:t xml:space="preserve"> la lumière de</w:t>
      </w:r>
      <w:r w:rsidRPr="00403F08">
        <w:rPr>
          <w:lang w:val="fr-CH"/>
        </w:rPr>
        <w:t xml:space="preserve"> ce</w:t>
      </w:r>
      <w:r w:rsidR="00CC3FA0" w:rsidRPr="00403F08">
        <w:rPr>
          <w:lang w:val="fr-CH"/>
        </w:rPr>
        <w:t>s conclusions, l</w:t>
      </w:r>
      <w:r w:rsidR="00403F08" w:rsidRPr="00403F08">
        <w:rPr>
          <w:lang w:val="fr-CH"/>
        </w:rPr>
        <w:t>e</w:t>
      </w:r>
      <w:r w:rsidR="00CC3FA0" w:rsidRPr="00403F08">
        <w:rPr>
          <w:lang w:val="fr-CH"/>
        </w:rPr>
        <w:t xml:space="preserve"> rapport </w:t>
      </w:r>
      <w:r w:rsidRPr="00403F08">
        <w:rPr>
          <w:lang w:val="fr-CH"/>
        </w:rPr>
        <w:t>concernant</w:t>
      </w:r>
      <w:r w:rsidR="00CC3FA0" w:rsidRPr="00403F08">
        <w:rPr>
          <w:lang w:val="fr-CH"/>
        </w:rPr>
        <w:t xml:space="preserve"> l</w:t>
      </w:r>
      <w:r w:rsidR="000A3166">
        <w:rPr>
          <w:lang w:val="fr-CH"/>
        </w:rPr>
        <w:t>’</w:t>
      </w:r>
      <w:r w:rsidR="00CC3FA0" w:rsidRPr="00403F08">
        <w:rPr>
          <w:lang w:val="fr-CH"/>
        </w:rPr>
        <w:t>évaluation du Bureau régional pour l</w:t>
      </w:r>
      <w:r w:rsidR="000A3166">
        <w:rPr>
          <w:lang w:val="fr-CH"/>
        </w:rPr>
        <w:t>’</w:t>
      </w:r>
      <w:r w:rsidR="00CC3FA0" w:rsidRPr="00403F08">
        <w:rPr>
          <w:lang w:val="fr-CH"/>
        </w:rPr>
        <w:t xml:space="preserve">Asie et le Pacifique </w:t>
      </w:r>
      <w:r w:rsidR="00403F08" w:rsidRPr="00403F08">
        <w:rPr>
          <w:lang w:val="fr-CH"/>
        </w:rPr>
        <w:t>contient</w:t>
      </w:r>
      <w:r w:rsidR="00CC3FA0" w:rsidRPr="00403F08">
        <w:rPr>
          <w:lang w:val="fr-CH"/>
        </w:rPr>
        <w:t xml:space="preserve"> les recommandations suivantes</w:t>
      </w:r>
      <w:r w:rsidR="00353ADC">
        <w:rPr>
          <w:lang w:val="fr-CH"/>
        </w:rPr>
        <w:t> :</w:t>
      </w:r>
    </w:p>
    <w:p w14:paraId="2E953C53" w14:textId="77777777" w:rsidR="00417F8D" w:rsidRDefault="00205C90" w:rsidP="002E030A">
      <w:pPr>
        <w:pStyle w:val="ONUMFS"/>
        <w:numPr>
          <w:ilvl w:val="1"/>
          <w:numId w:val="3"/>
        </w:numPr>
        <w:rPr>
          <w:lang w:val="fr-CH"/>
        </w:rPr>
      </w:pPr>
      <w:proofErr w:type="gramStart"/>
      <w:r w:rsidRPr="00403F08">
        <w:rPr>
          <w:lang w:val="fr-CH"/>
        </w:rPr>
        <w:t>le</w:t>
      </w:r>
      <w:proofErr w:type="gramEnd"/>
      <w:r w:rsidRPr="00403F08">
        <w:rPr>
          <w:lang w:val="fr-CH"/>
        </w:rPr>
        <w:t xml:space="preserve"> Bureau régional pour l</w:t>
      </w:r>
      <w:r w:rsidR="000A3166">
        <w:rPr>
          <w:lang w:val="fr-CH"/>
        </w:rPr>
        <w:t>’</w:t>
      </w:r>
      <w:r w:rsidRPr="00403F08">
        <w:rPr>
          <w:lang w:val="fr-CH"/>
        </w:rPr>
        <w:t>Asie et le Pacifique doit s</w:t>
      </w:r>
      <w:r w:rsidR="000A3166">
        <w:rPr>
          <w:lang w:val="fr-CH"/>
        </w:rPr>
        <w:t>’</w:t>
      </w:r>
      <w:r w:rsidRPr="00403F08">
        <w:rPr>
          <w:lang w:val="fr-CH"/>
        </w:rPr>
        <w:t>appuyer sur le</w:t>
      </w:r>
      <w:r w:rsidR="005E6FB2" w:rsidRPr="00403F08">
        <w:rPr>
          <w:lang w:val="fr-CH"/>
        </w:rPr>
        <w:t xml:space="preserve"> di</w:t>
      </w:r>
      <w:r w:rsidRPr="00403F08">
        <w:rPr>
          <w:lang w:val="fr-CH"/>
        </w:rPr>
        <w:t>s</w:t>
      </w:r>
      <w:r w:rsidR="005E6FB2" w:rsidRPr="00403F08">
        <w:rPr>
          <w:lang w:val="fr-CH"/>
        </w:rPr>
        <w:t xml:space="preserve">positif en place </w:t>
      </w:r>
      <w:r w:rsidRPr="00403F08">
        <w:rPr>
          <w:lang w:val="fr-CH"/>
        </w:rPr>
        <w:t>pour le suivi des projets e</w:t>
      </w:r>
      <w:r w:rsidR="005E6FB2" w:rsidRPr="00403F08">
        <w:rPr>
          <w:lang w:val="fr-CH"/>
        </w:rPr>
        <w:t>t</w:t>
      </w:r>
      <w:r w:rsidRPr="00403F08">
        <w:rPr>
          <w:lang w:val="fr-CH"/>
        </w:rPr>
        <w:t xml:space="preserve"> ten</w:t>
      </w:r>
      <w:r w:rsidR="005E6FB2" w:rsidRPr="00403F08">
        <w:rPr>
          <w:lang w:val="fr-CH"/>
        </w:rPr>
        <w:t>ir</w:t>
      </w:r>
      <w:r w:rsidRPr="00403F08">
        <w:rPr>
          <w:lang w:val="fr-CH"/>
        </w:rPr>
        <w:t xml:space="preserve"> compte de la budgétisation axée sur les résultats, de l</w:t>
      </w:r>
      <w:r w:rsidR="000A3166">
        <w:rPr>
          <w:lang w:val="fr-CH"/>
        </w:rPr>
        <w:t>’</w:t>
      </w:r>
      <w:r w:rsidRPr="00403F08">
        <w:rPr>
          <w:lang w:val="fr-CH"/>
        </w:rPr>
        <w:t>égalité des sexes et de l</w:t>
      </w:r>
      <w:r w:rsidR="000A3166">
        <w:rPr>
          <w:lang w:val="fr-CH"/>
        </w:rPr>
        <w:t>’</w:t>
      </w:r>
      <w:r w:rsidRPr="00403F08">
        <w:rPr>
          <w:lang w:val="fr-CH"/>
        </w:rPr>
        <w:t xml:space="preserve">établissement de rapports </w:t>
      </w:r>
      <w:r w:rsidR="005E6FB2" w:rsidRPr="00403F08">
        <w:rPr>
          <w:lang w:val="fr-CH"/>
        </w:rPr>
        <w:t>fond</w:t>
      </w:r>
      <w:r w:rsidR="00403F08" w:rsidRPr="00403F08">
        <w:rPr>
          <w:lang w:val="fr-CH"/>
        </w:rPr>
        <w:t>é</w:t>
      </w:r>
      <w:r w:rsidR="005E6FB2" w:rsidRPr="00403F08">
        <w:rPr>
          <w:lang w:val="fr-CH"/>
        </w:rPr>
        <w:t>s sur d</w:t>
      </w:r>
      <w:r w:rsidRPr="00403F08">
        <w:rPr>
          <w:lang w:val="fr-CH"/>
        </w:rPr>
        <w:t>es ind</w:t>
      </w:r>
      <w:r w:rsidR="005E6FB2" w:rsidRPr="00403F08">
        <w:rPr>
          <w:lang w:val="fr-CH"/>
        </w:rPr>
        <w:t>icateurs axés sur les résultats;</w:t>
      </w:r>
    </w:p>
    <w:p w14:paraId="38C4A20A" w14:textId="77777777" w:rsidR="00417F8D" w:rsidRDefault="00205C90" w:rsidP="002E030A">
      <w:pPr>
        <w:pStyle w:val="ONUMFS"/>
        <w:numPr>
          <w:ilvl w:val="1"/>
          <w:numId w:val="3"/>
        </w:numPr>
        <w:rPr>
          <w:lang w:val="fr-CH"/>
        </w:rPr>
      </w:pPr>
      <w:proofErr w:type="gramStart"/>
      <w:r w:rsidRPr="00403F08">
        <w:rPr>
          <w:lang w:val="fr-CH"/>
        </w:rPr>
        <w:t>le</w:t>
      </w:r>
      <w:proofErr w:type="gramEnd"/>
      <w:r w:rsidRPr="00403F08">
        <w:rPr>
          <w:lang w:val="fr-CH"/>
        </w:rPr>
        <w:t xml:space="preserve"> Bureau régional pour l</w:t>
      </w:r>
      <w:r w:rsidR="000A3166">
        <w:rPr>
          <w:lang w:val="fr-CH"/>
        </w:rPr>
        <w:t>’</w:t>
      </w:r>
      <w:r w:rsidRPr="00403F08">
        <w:rPr>
          <w:lang w:val="fr-CH"/>
        </w:rPr>
        <w:t>Asie et le Pacifique ne doit pas accroître le nombre de projets au</w:t>
      </w:r>
      <w:r w:rsidR="00353ADC">
        <w:rPr>
          <w:lang w:val="fr-CH"/>
        </w:rPr>
        <w:t>-</w:t>
      </w:r>
      <w:r w:rsidRPr="00403F08">
        <w:rPr>
          <w:lang w:val="fr-CH"/>
        </w:rPr>
        <w:t>delà des 10</w:t>
      </w:r>
      <w:r w:rsidR="00C33462">
        <w:rPr>
          <w:lang w:val="fr-CH"/>
        </w:rPr>
        <w:t> </w:t>
      </w:r>
      <w:r w:rsidRPr="00403F08">
        <w:rPr>
          <w:lang w:val="fr-CH"/>
        </w:rPr>
        <w:t>projets déjà en cou</w:t>
      </w:r>
      <w:r w:rsidR="00007093" w:rsidRPr="00403F08">
        <w:rPr>
          <w:lang w:val="fr-CH"/>
        </w:rPr>
        <w:t>rs</w:t>
      </w:r>
      <w:r w:rsidR="00007093">
        <w:rPr>
          <w:lang w:val="fr-CH"/>
        </w:rPr>
        <w:t xml:space="preserve">.  </w:t>
      </w:r>
      <w:r w:rsidR="00007093" w:rsidRPr="00403F08">
        <w:rPr>
          <w:lang w:val="fr-CH"/>
        </w:rPr>
        <w:t>L</w:t>
      </w:r>
      <w:r w:rsidR="000A3166">
        <w:rPr>
          <w:lang w:val="fr-CH"/>
        </w:rPr>
        <w:t>’</w:t>
      </w:r>
      <w:r w:rsidR="00007093" w:rsidRPr="00403F08">
        <w:rPr>
          <w:lang w:val="fr-CH"/>
        </w:rPr>
        <w:t>a</w:t>
      </w:r>
      <w:r w:rsidRPr="00403F08">
        <w:rPr>
          <w:lang w:val="fr-CH"/>
        </w:rPr>
        <w:t>ccent doit continuer d</w:t>
      </w:r>
      <w:r w:rsidR="000A3166">
        <w:rPr>
          <w:lang w:val="fr-CH"/>
        </w:rPr>
        <w:t>’</w:t>
      </w:r>
      <w:r w:rsidRPr="00403F08">
        <w:rPr>
          <w:lang w:val="fr-CH"/>
        </w:rPr>
        <w:t>être mis sur la qualité plutôt que sur la quantité.</w:t>
      </w:r>
    </w:p>
    <w:p w14:paraId="2DE44AFB" w14:textId="77777777" w:rsidR="00417F8D" w:rsidRDefault="00205C90" w:rsidP="00205C90">
      <w:pPr>
        <w:pStyle w:val="Heading1"/>
      </w:pPr>
      <w:bookmarkStart w:id="25" w:name="_Toc12270153"/>
      <w:bookmarkStart w:id="26" w:name="_Toc328920437"/>
      <w:r w:rsidRPr="00403F08">
        <w:t>Activités d</w:t>
      </w:r>
      <w:r w:rsidR="000A3166">
        <w:t>’</w:t>
      </w:r>
      <w:r w:rsidRPr="00403F08">
        <w:t>enquête</w:t>
      </w:r>
      <w:bookmarkEnd w:id="25"/>
    </w:p>
    <w:p w14:paraId="42DEAD80" w14:textId="77777777" w:rsidR="00417F8D" w:rsidRDefault="00205C90" w:rsidP="002E030A">
      <w:pPr>
        <w:pStyle w:val="Heading2"/>
      </w:pPr>
      <w:r w:rsidRPr="00403F08">
        <w:t>Aperçu des dossiers traités</w:t>
      </w:r>
    </w:p>
    <w:p w14:paraId="2DC117B4" w14:textId="77777777" w:rsidR="00417F8D" w:rsidRDefault="00205C90" w:rsidP="002E030A">
      <w:pPr>
        <w:pStyle w:val="ONUMFS"/>
        <w:rPr>
          <w:lang w:val="fr-CH"/>
        </w:rPr>
      </w:pPr>
      <w:r w:rsidRPr="00403F08">
        <w:rPr>
          <w:lang w:val="fr-CH"/>
        </w:rPr>
        <w:t>Au cours de la période considérée, 21</w:t>
      </w:r>
      <w:r w:rsidR="00C33462">
        <w:rPr>
          <w:lang w:val="fr-CH"/>
        </w:rPr>
        <w:t> </w:t>
      </w:r>
      <w:r w:rsidRPr="00403F08">
        <w:rPr>
          <w:lang w:val="fr-CH"/>
        </w:rPr>
        <w:t>nouveaux dossiers ont été enregistrés (ce qui représente une baisse de 47% par rapport à la période considérée précédente) et 1</w:t>
      </w:r>
      <w:r w:rsidR="00665AE5">
        <w:rPr>
          <w:lang w:val="fr-CH"/>
        </w:rPr>
        <w:t>9</w:t>
      </w:r>
      <w:r w:rsidR="00C33462">
        <w:rPr>
          <w:lang w:val="fr-CH"/>
        </w:rPr>
        <w:t> </w:t>
      </w:r>
      <w:r w:rsidRPr="00403F08">
        <w:rPr>
          <w:lang w:val="fr-CH"/>
        </w:rPr>
        <w:t>dossiers ont été clôtur</w:t>
      </w:r>
      <w:r w:rsidR="00007093" w:rsidRPr="00403F08">
        <w:rPr>
          <w:lang w:val="fr-CH"/>
        </w:rPr>
        <w:t>és</w:t>
      </w:r>
      <w:r w:rsidR="00007093">
        <w:rPr>
          <w:lang w:val="fr-CH"/>
        </w:rPr>
        <w:t xml:space="preserve">.  </w:t>
      </w:r>
      <w:r w:rsidR="00007093" w:rsidRPr="00403F08">
        <w:rPr>
          <w:lang w:val="fr-CH"/>
        </w:rPr>
        <w:t>Au</w:t>
      </w:r>
      <w:r w:rsidRPr="00403F08">
        <w:rPr>
          <w:lang w:val="fr-CH"/>
        </w:rPr>
        <w:t xml:space="preserve"> 30</w:t>
      </w:r>
      <w:r w:rsidR="00C33462">
        <w:rPr>
          <w:lang w:val="fr-CH"/>
        </w:rPr>
        <w:t> </w:t>
      </w:r>
      <w:r w:rsidRPr="00403F08">
        <w:rPr>
          <w:lang w:val="fr-CH"/>
        </w:rPr>
        <w:t>juin</w:t>
      </w:r>
      <w:r w:rsidR="00C33462">
        <w:rPr>
          <w:lang w:val="fr-CH"/>
        </w:rPr>
        <w:t> </w:t>
      </w:r>
      <w:r w:rsidRPr="00403F08">
        <w:rPr>
          <w:lang w:val="fr-CH"/>
        </w:rPr>
        <w:t>2019, 1</w:t>
      </w:r>
      <w:r w:rsidR="00665AE5">
        <w:rPr>
          <w:lang w:val="fr-CH"/>
        </w:rPr>
        <w:t>4</w:t>
      </w:r>
      <w:r w:rsidR="00C33462">
        <w:rPr>
          <w:lang w:val="fr-CH"/>
        </w:rPr>
        <w:t> </w:t>
      </w:r>
      <w:r w:rsidRPr="00403F08">
        <w:rPr>
          <w:lang w:val="fr-CH"/>
        </w:rPr>
        <w:t>dossiers étaient en cours d</w:t>
      </w:r>
      <w:r w:rsidR="000A3166">
        <w:rPr>
          <w:lang w:val="fr-CH"/>
        </w:rPr>
        <w:t>’</w:t>
      </w:r>
      <w:r w:rsidR="00665AE5">
        <w:rPr>
          <w:lang w:val="fr-CH"/>
        </w:rPr>
        <w:t xml:space="preserve">enquête, dont </w:t>
      </w:r>
      <w:r w:rsidRPr="00403F08">
        <w:rPr>
          <w:lang w:val="fr-CH"/>
        </w:rPr>
        <w:t>q</w:t>
      </w:r>
      <w:r w:rsidR="00665AE5">
        <w:rPr>
          <w:lang w:val="fr-CH"/>
        </w:rPr>
        <w:t>uatre</w:t>
      </w:r>
      <w:r w:rsidR="005B0739">
        <w:rPr>
          <w:lang w:val="fr-CH"/>
        </w:rPr>
        <w:t> </w:t>
      </w:r>
      <w:r w:rsidRPr="00403F08">
        <w:rPr>
          <w:lang w:val="fr-CH"/>
        </w:rPr>
        <w:t>au stade de l</w:t>
      </w:r>
      <w:r w:rsidR="000A3166">
        <w:rPr>
          <w:lang w:val="fr-CH"/>
        </w:rPr>
        <w:t>’</w:t>
      </w:r>
      <w:r w:rsidR="008376E8">
        <w:rPr>
          <w:lang w:val="fr-CH"/>
        </w:rPr>
        <w:t xml:space="preserve">évaluation préliminaire, </w:t>
      </w:r>
      <w:r w:rsidR="00665AE5">
        <w:rPr>
          <w:lang w:val="fr-CH"/>
        </w:rPr>
        <w:t>huit</w:t>
      </w:r>
      <w:r w:rsidR="005B0739">
        <w:rPr>
          <w:lang w:val="fr-CH"/>
        </w:rPr>
        <w:t> </w:t>
      </w:r>
      <w:r w:rsidRPr="00403F08">
        <w:rPr>
          <w:lang w:val="fr-CH"/>
        </w:rPr>
        <w:t>au stade de l</w:t>
      </w:r>
      <w:r w:rsidR="000A3166">
        <w:rPr>
          <w:lang w:val="fr-CH"/>
        </w:rPr>
        <w:t>’</w:t>
      </w:r>
      <w:r w:rsidRPr="00403F08">
        <w:rPr>
          <w:lang w:val="fr-CH"/>
        </w:rPr>
        <w:t xml:space="preserve">enquête complète et </w:t>
      </w:r>
      <w:r w:rsidR="00665AE5">
        <w:rPr>
          <w:lang w:val="fr-CH"/>
        </w:rPr>
        <w:t>deux</w:t>
      </w:r>
      <w:r w:rsidR="005B0739">
        <w:rPr>
          <w:lang w:val="fr-CH"/>
        </w:rPr>
        <w:t> </w:t>
      </w:r>
      <w:r w:rsidRPr="00403F08">
        <w:rPr>
          <w:lang w:val="fr-CH"/>
        </w:rPr>
        <w:t>en suspens du fait de l</w:t>
      </w:r>
      <w:r w:rsidR="000A3166">
        <w:rPr>
          <w:lang w:val="fr-CH"/>
        </w:rPr>
        <w:t>’</w:t>
      </w:r>
      <w:r w:rsidRPr="00403F08">
        <w:rPr>
          <w:lang w:val="fr-CH"/>
        </w:rPr>
        <w:t>absence prolongée d</w:t>
      </w:r>
      <w:r w:rsidR="000A3166">
        <w:rPr>
          <w:lang w:val="fr-CH"/>
        </w:rPr>
        <w:t>’</w:t>
      </w:r>
      <w:r w:rsidRPr="00403F08">
        <w:rPr>
          <w:lang w:val="fr-CH"/>
        </w:rPr>
        <w:t>un fonctionnaire concerné ou d</w:t>
      </w:r>
      <w:r w:rsidR="000A3166">
        <w:rPr>
          <w:lang w:val="fr-CH"/>
        </w:rPr>
        <w:t>’</w:t>
      </w:r>
      <w:r w:rsidRPr="00403F08">
        <w:rPr>
          <w:lang w:val="fr-CH"/>
        </w:rPr>
        <w:t>une procédure en cours par une autre enti</w:t>
      </w:r>
      <w:r w:rsidR="00007093" w:rsidRPr="00403F08">
        <w:rPr>
          <w:lang w:val="fr-CH"/>
        </w:rPr>
        <w:t>té</w:t>
      </w:r>
      <w:r w:rsidR="00007093">
        <w:rPr>
          <w:lang w:val="fr-CH"/>
        </w:rPr>
        <w:t xml:space="preserve">.  </w:t>
      </w:r>
      <w:r w:rsidR="00007093" w:rsidRPr="00403F08">
        <w:rPr>
          <w:lang w:val="fr-CH"/>
        </w:rPr>
        <w:t>Su</w:t>
      </w:r>
      <w:r w:rsidRPr="00403F08">
        <w:rPr>
          <w:lang w:val="fr-CH"/>
        </w:rPr>
        <w:t>r les dossiers en suspens, six</w:t>
      </w:r>
      <w:r w:rsidR="005B0739">
        <w:rPr>
          <w:lang w:val="fr-CH"/>
        </w:rPr>
        <w:t> </w:t>
      </w:r>
      <w:r w:rsidRPr="00403F08">
        <w:rPr>
          <w:lang w:val="fr-CH"/>
        </w:rPr>
        <w:t xml:space="preserve">ont été ouverts </w:t>
      </w:r>
      <w:r w:rsidR="00353ADC" w:rsidRPr="00403F08">
        <w:rPr>
          <w:lang w:val="fr-CH"/>
        </w:rPr>
        <w:t>en</w:t>
      </w:r>
      <w:r w:rsidR="00353ADC">
        <w:rPr>
          <w:lang w:val="fr-CH"/>
        </w:rPr>
        <w:t> </w:t>
      </w:r>
      <w:r w:rsidR="00353ADC" w:rsidRPr="00403F08">
        <w:rPr>
          <w:lang w:val="fr-CH"/>
        </w:rPr>
        <w:t>2019</w:t>
      </w:r>
      <w:r w:rsidRPr="00403F08">
        <w:rPr>
          <w:lang w:val="fr-CH"/>
        </w:rPr>
        <w:t xml:space="preserve">, </w:t>
      </w:r>
      <w:r w:rsidR="00665AE5">
        <w:rPr>
          <w:lang w:val="fr-CH"/>
        </w:rPr>
        <w:t>six</w:t>
      </w:r>
      <w:r w:rsidR="005B0739">
        <w:rPr>
          <w:lang w:val="fr-CH"/>
        </w:rPr>
        <w:t> </w:t>
      </w:r>
      <w:r w:rsidR="00353ADC" w:rsidRPr="00403F08">
        <w:rPr>
          <w:lang w:val="fr-CH"/>
        </w:rPr>
        <w:t>en</w:t>
      </w:r>
      <w:r w:rsidR="00353ADC">
        <w:rPr>
          <w:lang w:val="fr-CH"/>
        </w:rPr>
        <w:t> </w:t>
      </w:r>
      <w:r w:rsidR="00353ADC" w:rsidRPr="00403F08">
        <w:rPr>
          <w:lang w:val="fr-CH"/>
        </w:rPr>
        <w:t>2018</w:t>
      </w:r>
      <w:r w:rsidRPr="00403F08">
        <w:rPr>
          <w:lang w:val="fr-CH"/>
        </w:rPr>
        <w:t xml:space="preserve">, un </w:t>
      </w:r>
      <w:r w:rsidR="00353ADC" w:rsidRPr="00403F08">
        <w:rPr>
          <w:lang w:val="fr-CH"/>
        </w:rPr>
        <w:t>en</w:t>
      </w:r>
      <w:r w:rsidR="00353ADC">
        <w:rPr>
          <w:lang w:val="fr-CH"/>
        </w:rPr>
        <w:t> </w:t>
      </w:r>
      <w:r w:rsidR="00353ADC" w:rsidRPr="00403F08">
        <w:rPr>
          <w:lang w:val="fr-CH"/>
        </w:rPr>
        <w:t>2017</w:t>
      </w:r>
      <w:r w:rsidRPr="00403F08">
        <w:rPr>
          <w:lang w:val="fr-CH"/>
        </w:rPr>
        <w:t xml:space="preserve"> et un </w:t>
      </w:r>
      <w:r w:rsidR="00353ADC" w:rsidRPr="00403F08">
        <w:rPr>
          <w:lang w:val="fr-CH"/>
        </w:rPr>
        <w:t>en</w:t>
      </w:r>
      <w:r w:rsidR="00353ADC">
        <w:rPr>
          <w:lang w:val="fr-CH"/>
        </w:rPr>
        <w:t> </w:t>
      </w:r>
      <w:r w:rsidR="00353ADC" w:rsidRPr="00403F08">
        <w:rPr>
          <w:lang w:val="fr-CH"/>
        </w:rPr>
        <w:t>2016</w:t>
      </w:r>
      <w:r w:rsidRPr="00403F08">
        <w:rPr>
          <w:lang w:val="fr-CH"/>
        </w:rPr>
        <w:t>.</w:t>
      </w:r>
      <w:r w:rsidR="00186810" w:rsidRPr="00403F08">
        <w:rPr>
          <w:lang w:val="fr-CH"/>
        </w:rPr>
        <w:t xml:space="preserve">  </w:t>
      </w:r>
      <w:r w:rsidRPr="00403F08">
        <w:rPr>
          <w:lang w:val="fr-CH"/>
        </w:rPr>
        <w:t>Au</w:t>
      </w:r>
      <w:r w:rsidR="00353ADC">
        <w:rPr>
          <w:lang w:val="fr-CH"/>
        </w:rPr>
        <w:t xml:space="preserve"> 1</w:t>
      </w:r>
      <w:r w:rsidR="00353ADC" w:rsidRPr="00353ADC">
        <w:rPr>
          <w:vertAlign w:val="superscript"/>
          <w:lang w:val="fr-CH"/>
        </w:rPr>
        <w:t>er</w:t>
      </w:r>
      <w:r w:rsidR="00353ADC">
        <w:rPr>
          <w:lang w:val="fr-CH"/>
        </w:rPr>
        <w:t> </w:t>
      </w:r>
      <w:r w:rsidRPr="00403F08">
        <w:rPr>
          <w:lang w:val="fr-CH"/>
        </w:rPr>
        <w:t>juillet</w:t>
      </w:r>
      <w:r w:rsidR="00C33462">
        <w:rPr>
          <w:lang w:val="fr-CH"/>
        </w:rPr>
        <w:t> </w:t>
      </w:r>
      <w:r w:rsidRPr="00403F08">
        <w:rPr>
          <w:lang w:val="fr-CH"/>
        </w:rPr>
        <w:t xml:space="preserve">2019, le délai moyen pour traiter un dossier était de </w:t>
      </w:r>
      <w:r w:rsidR="00665AE5">
        <w:rPr>
          <w:lang w:val="fr-CH"/>
        </w:rPr>
        <w:t>5</w:t>
      </w:r>
      <w:r w:rsidRPr="00403F08">
        <w:rPr>
          <w:lang w:val="fr-CH"/>
        </w:rPr>
        <w:t>,</w:t>
      </w:r>
      <w:r w:rsidR="00665AE5">
        <w:rPr>
          <w:lang w:val="fr-CH"/>
        </w:rPr>
        <w:t>5</w:t>
      </w:r>
      <w:r w:rsidR="00C33462">
        <w:rPr>
          <w:lang w:val="fr-CH"/>
        </w:rPr>
        <w:t> </w:t>
      </w:r>
      <w:r w:rsidRPr="00403F08">
        <w:rPr>
          <w:lang w:val="fr-CH"/>
        </w:rPr>
        <w:t>mois.</w:t>
      </w:r>
    </w:p>
    <w:p w14:paraId="63B731D3" w14:textId="77777777" w:rsidR="00417F8D" w:rsidRDefault="00417F8D" w:rsidP="00186810">
      <w:pPr>
        <w:rPr>
          <w:b/>
          <w:sz w:val="18"/>
          <w:szCs w:val="18"/>
          <w:lang w:val="fr-CH"/>
        </w:rPr>
      </w:pPr>
    </w:p>
    <w:p w14:paraId="300242F4" w14:textId="77777777" w:rsidR="00417F8D" w:rsidRDefault="00205C90" w:rsidP="00205C90">
      <w:pPr>
        <w:pStyle w:val="ONUME"/>
        <w:numPr>
          <w:ilvl w:val="0"/>
          <w:numId w:val="0"/>
        </w:numPr>
        <w:jc w:val="center"/>
        <w:rPr>
          <w:b/>
          <w:sz w:val="18"/>
          <w:szCs w:val="18"/>
          <w:lang w:val="fr-CH"/>
        </w:rPr>
      </w:pPr>
      <w:r w:rsidRPr="002E030A">
        <w:rPr>
          <w:b/>
          <w:sz w:val="18"/>
          <w:szCs w:val="18"/>
          <w:lang w:val="fr-CH"/>
        </w:rPr>
        <w:t>Diagramme 1 – Analyse comparée des enquêtes – période du 30</w:t>
      </w:r>
      <w:r w:rsidR="00C33462" w:rsidRPr="002E030A">
        <w:rPr>
          <w:b/>
          <w:sz w:val="18"/>
          <w:szCs w:val="18"/>
          <w:lang w:val="fr-CH"/>
        </w:rPr>
        <w:t> </w:t>
      </w:r>
      <w:r w:rsidRPr="002E030A">
        <w:rPr>
          <w:b/>
          <w:sz w:val="18"/>
          <w:szCs w:val="18"/>
          <w:lang w:val="fr-CH"/>
        </w:rPr>
        <w:t>juin</w:t>
      </w:r>
      <w:r w:rsidR="00C33462" w:rsidRPr="002E030A">
        <w:rPr>
          <w:b/>
          <w:sz w:val="18"/>
          <w:szCs w:val="18"/>
          <w:lang w:val="fr-CH"/>
        </w:rPr>
        <w:t> </w:t>
      </w:r>
      <w:r w:rsidRPr="002E030A">
        <w:rPr>
          <w:b/>
          <w:sz w:val="18"/>
          <w:szCs w:val="18"/>
          <w:lang w:val="fr-CH"/>
        </w:rPr>
        <w:t>2016 au 30</w:t>
      </w:r>
      <w:r w:rsidR="00C33462" w:rsidRPr="002E030A">
        <w:rPr>
          <w:b/>
          <w:sz w:val="18"/>
          <w:szCs w:val="18"/>
          <w:lang w:val="fr-CH"/>
        </w:rPr>
        <w:t> </w:t>
      </w:r>
      <w:r w:rsidRPr="002E030A">
        <w:rPr>
          <w:b/>
          <w:sz w:val="18"/>
          <w:szCs w:val="18"/>
          <w:lang w:val="fr-CH"/>
        </w:rPr>
        <w:t>juin</w:t>
      </w:r>
      <w:r w:rsidR="00C33462" w:rsidRPr="002E030A">
        <w:rPr>
          <w:b/>
          <w:sz w:val="18"/>
          <w:szCs w:val="18"/>
          <w:lang w:val="fr-CH"/>
        </w:rPr>
        <w:t> </w:t>
      </w:r>
      <w:r w:rsidRPr="002E030A">
        <w:rPr>
          <w:b/>
          <w:sz w:val="18"/>
          <w:szCs w:val="18"/>
          <w:lang w:val="fr-CH"/>
        </w:rPr>
        <w:t>2019</w:t>
      </w:r>
    </w:p>
    <w:p w14:paraId="67832B93" w14:textId="763D50A5" w:rsidR="00417F8D" w:rsidRDefault="0063213A" w:rsidP="00186810">
      <w:pPr>
        <w:pStyle w:val="ONUME"/>
        <w:numPr>
          <w:ilvl w:val="0"/>
          <w:numId w:val="0"/>
        </w:numPr>
        <w:jc w:val="center"/>
        <w:rPr>
          <w:b/>
          <w:sz w:val="18"/>
          <w:szCs w:val="18"/>
        </w:rPr>
      </w:pPr>
      <w:r w:rsidRPr="0063213A">
        <w:rPr>
          <w:noProof/>
          <w:lang w:eastAsia="en-US"/>
        </w:rPr>
        <w:drawing>
          <wp:inline distT="0" distB="0" distL="0" distR="0" wp14:anchorId="4349FCBC" wp14:editId="7A125485">
            <wp:extent cx="5062359" cy="3672920"/>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639" cy="3684732"/>
                    </a:xfrm>
                    <a:prstGeom prst="rect">
                      <a:avLst/>
                    </a:prstGeom>
                    <a:noFill/>
                    <a:ln>
                      <a:noFill/>
                    </a:ln>
                  </pic:spPr>
                </pic:pic>
              </a:graphicData>
            </a:graphic>
          </wp:inline>
        </w:drawing>
      </w:r>
    </w:p>
    <w:p w14:paraId="2E2BA123" w14:textId="77777777" w:rsidR="00417F8D" w:rsidRDefault="00417F8D" w:rsidP="00186810">
      <w:pPr>
        <w:pStyle w:val="ONUME"/>
        <w:numPr>
          <w:ilvl w:val="0"/>
          <w:numId w:val="0"/>
        </w:numPr>
        <w:jc w:val="center"/>
      </w:pPr>
    </w:p>
    <w:p w14:paraId="32AB998E" w14:textId="77777777" w:rsidR="00417F8D" w:rsidRDefault="00205C90" w:rsidP="002E030A">
      <w:pPr>
        <w:pStyle w:val="ONUMFS"/>
        <w:rPr>
          <w:lang w:val="fr-CH"/>
        </w:rPr>
      </w:pPr>
      <w:r w:rsidRPr="00403F08">
        <w:rPr>
          <w:lang w:val="fr-CH"/>
        </w:rPr>
        <w:lastRenderedPageBreak/>
        <w:t>Parmi les 21</w:t>
      </w:r>
      <w:r w:rsidR="00C33462">
        <w:rPr>
          <w:lang w:val="fr-CH"/>
        </w:rPr>
        <w:t> </w:t>
      </w:r>
      <w:r w:rsidRPr="00403F08">
        <w:rPr>
          <w:lang w:val="fr-CH"/>
        </w:rPr>
        <w:t>dossiers ouverts au cours de la période considérée, trois</w:t>
      </w:r>
      <w:r w:rsidR="005B0739">
        <w:rPr>
          <w:lang w:val="fr-CH"/>
        </w:rPr>
        <w:t> </w:t>
      </w:r>
      <w:r w:rsidRPr="00403F08">
        <w:rPr>
          <w:lang w:val="fr-CH"/>
        </w:rPr>
        <w:t>ont été transmis à l</w:t>
      </w:r>
      <w:r w:rsidR="000A3166">
        <w:rPr>
          <w:lang w:val="fr-CH"/>
        </w:rPr>
        <w:t>’</w:t>
      </w:r>
      <w:r w:rsidRPr="00403F08">
        <w:rPr>
          <w:lang w:val="fr-CH"/>
        </w:rPr>
        <w:t>OCIS en vue de recueillir son avis, conformément aux dispositions applicables de la Charte de la supervision interne</w:t>
      </w:r>
      <w:r w:rsidRPr="00403F08">
        <w:rPr>
          <w:rStyle w:val="FootnoteReference"/>
        </w:rPr>
        <w:footnoteReference w:id="8"/>
      </w:r>
      <w:r w:rsidRPr="00403F08">
        <w:rPr>
          <w:lang w:val="fr-CH"/>
        </w:rPr>
        <w:t>.</w:t>
      </w:r>
    </w:p>
    <w:p w14:paraId="2702464E" w14:textId="77777777" w:rsidR="00417F8D" w:rsidRDefault="00205C90" w:rsidP="002E030A">
      <w:pPr>
        <w:pStyle w:val="Heading2"/>
      </w:pPr>
      <w:r w:rsidRPr="00403F08">
        <w:t>Résultats des activités d</w:t>
      </w:r>
      <w:r w:rsidR="000A3166">
        <w:t>’</w:t>
      </w:r>
      <w:r w:rsidRPr="00403F08">
        <w:t>enquête</w:t>
      </w:r>
    </w:p>
    <w:p w14:paraId="1F1631DA" w14:textId="77777777" w:rsidR="00417F8D" w:rsidRDefault="00205C90" w:rsidP="002E030A">
      <w:pPr>
        <w:pStyle w:val="ONUMFS"/>
        <w:rPr>
          <w:lang w:val="fr-CH"/>
        </w:rPr>
      </w:pPr>
      <w:r w:rsidRPr="00403F08">
        <w:rPr>
          <w:lang w:val="fr-CH"/>
        </w:rPr>
        <w:t>Conformément à la Charte de la supervision interne, le rapport annuel contient une description des enquêtes sur les cas considérés comme fondés, ainsi que de leur iss</w:t>
      </w:r>
      <w:r w:rsidR="00007093" w:rsidRPr="00403F08">
        <w:rPr>
          <w:lang w:val="fr-CH"/>
        </w:rPr>
        <w:t>ue</w:t>
      </w:r>
      <w:r w:rsidR="00007093">
        <w:rPr>
          <w:lang w:val="fr-CH"/>
        </w:rPr>
        <w:t xml:space="preserve">.  </w:t>
      </w:r>
      <w:r w:rsidR="00007093" w:rsidRPr="00403F08">
        <w:rPr>
          <w:lang w:val="fr-CH"/>
        </w:rPr>
        <w:t>Da</w:t>
      </w:r>
      <w:r w:rsidRPr="00403F08">
        <w:rPr>
          <w:lang w:val="fr-CH"/>
        </w:rPr>
        <w:t>ns cinq</w:t>
      </w:r>
      <w:r w:rsidR="005B0739">
        <w:rPr>
          <w:lang w:val="fr-CH"/>
        </w:rPr>
        <w:t> </w:t>
      </w:r>
      <w:r w:rsidRPr="00403F08">
        <w:rPr>
          <w:lang w:val="fr-CH"/>
        </w:rPr>
        <w:t>des dossiers ayant fait l</w:t>
      </w:r>
      <w:r w:rsidR="000A3166">
        <w:rPr>
          <w:lang w:val="fr-CH"/>
        </w:rPr>
        <w:t>’</w:t>
      </w:r>
      <w:r w:rsidRPr="00403F08">
        <w:rPr>
          <w:lang w:val="fr-CH"/>
        </w:rPr>
        <w:t>objet d</w:t>
      </w:r>
      <w:r w:rsidR="000A3166">
        <w:rPr>
          <w:lang w:val="fr-CH"/>
        </w:rPr>
        <w:t>’</w:t>
      </w:r>
      <w:r w:rsidRPr="00403F08">
        <w:rPr>
          <w:lang w:val="fr-CH"/>
        </w:rPr>
        <w:t>une enquête,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 jugé les allégations fondées et a recommandé d</w:t>
      </w:r>
      <w:r w:rsidR="000A3166">
        <w:rPr>
          <w:lang w:val="fr-CH"/>
        </w:rPr>
        <w:t>’</w:t>
      </w:r>
      <w:r w:rsidRPr="00403F08">
        <w:rPr>
          <w:lang w:val="fr-CH"/>
        </w:rPr>
        <w:t>ouvrir une procédure disciplinaire à l</w:t>
      </w:r>
      <w:r w:rsidR="000A3166">
        <w:rPr>
          <w:lang w:val="fr-CH"/>
        </w:rPr>
        <w:t>’</w:t>
      </w:r>
      <w:r w:rsidRPr="00403F08">
        <w:rPr>
          <w:lang w:val="fr-CH"/>
        </w:rPr>
        <w:t>encontre d</w:t>
      </w:r>
      <w:r w:rsidR="000A3166">
        <w:rPr>
          <w:lang w:val="fr-CH"/>
        </w:rPr>
        <w:t>’</w:t>
      </w:r>
      <w:r w:rsidRPr="00403F08">
        <w:rPr>
          <w:lang w:val="fr-CH"/>
        </w:rPr>
        <w:t>un fonctionnai</w:t>
      </w:r>
      <w:r w:rsidR="00007093" w:rsidRPr="00403F08">
        <w:rPr>
          <w:lang w:val="fr-CH"/>
        </w:rPr>
        <w:t>re</w:t>
      </w:r>
      <w:r w:rsidR="00007093">
        <w:rPr>
          <w:lang w:val="fr-CH"/>
        </w:rPr>
        <w:t xml:space="preserve">.  </w:t>
      </w:r>
      <w:r w:rsidR="00007093" w:rsidRPr="00403F08">
        <w:rPr>
          <w:lang w:val="fr-CH"/>
        </w:rPr>
        <w:t>Su</w:t>
      </w:r>
      <w:r w:rsidRPr="00403F08">
        <w:rPr>
          <w:lang w:val="fr-CH"/>
        </w:rPr>
        <w:t>r ces cinq</w:t>
      </w:r>
      <w:r w:rsidR="005B0739">
        <w:rPr>
          <w:lang w:val="fr-CH"/>
        </w:rPr>
        <w:t> </w:t>
      </w:r>
      <w:r w:rsidRPr="00403F08">
        <w:rPr>
          <w:lang w:val="fr-CH"/>
        </w:rPr>
        <w:t>dossiers</w:t>
      </w:r>
      <w:r w:rsidR="00353ADC">
        <w:rPr>
          <w:lang w:val="fr-CH"/>
        </w:rPr>
        <w:t> :</w:t>
      </w:r>
    </w:p>
    <w:p w14:paraId="110F6D12" w14:textId="77777777" w:rsidR="00417F8D" w:rsidRDefault="00205C90" w:rsidP="002E030A">
      <w:pPr>
        <w:pStyle w:val="ONUMFS"/>
        <w:numPr>
          <w:ilvl w:val="1"/>
          <w:numId w:val="3"/>
        </w:numPr>
        <w:rPr>
          <w:lang w:val="fr-CH"/>
        </w:rPr>
      </w:pPr>
      <w:proofErr w:type="gramStart"/>
      <w:r w:rsidRPr="00403F08">
        <w:rPr>
          <w:lang w:val="fr-CH"/>
        </w:rPr>
        <w:t>un</w:t>
      </w:r>
      <w:proofErr w:type="gramEnd"/>
      <w:r w:rsidRPr="00403F08">
        <w:rPr>
          <w:lang w:val="fr-CH"/>
        </w:rPr>
        <w:t xml:space="preserve"> dossier concernait des allégations faites par un fonctionnaire au sujet du temps passé au travail;</w:t>
      </w:r>
    </w:p>
    <w:p w14:paraId="57DFE5C6" w14:textId="77777777" w:rsidR="00417F8D" w:rsidRDefault="00205C90" w:rsidP="002E030A">
      <w:pPr>
        <w:pStyle w:val="ONUMFS"/>
        <w:numPr>
          <w:ilvl w:val="1"/>
          <w:numId w:val="3"/>
        </w:numPr>
        <w:rPr>
          <w:lang w:val="fr-CH"/>
        </w:rPr>
      </w:pPr>
      <w:proofErr w:type="gramStart"/>
      <w:r w:rsidRPr="00403F08">
        <w:rPr>
          <w:lang w:val="fr-CH"/>
        </w:rPr>
        <w:t>deux</w:t>
      </w:r>
      <w:proofErr w:type="gramEnd"/>
      <w:r w:rsidRPr="00403F08">
        <w:rPr>
          <w:lang w:val="fr-CH"/>
        </w:rPr>
        <w:t xml:space="preserve"> </w:t>
      </w:r>
      <w:r w:rsidR="00403F08" w:rsidRPr="00403F08">
        <w:rPr>
          <w:lang w:val="fr-CH"/>
        </w:rPr>
        <w:t xml:space="preserve">dossiers </w:t>
      </w:r>
      <w:r w:rsidRPr="00403F08">
        <w:rPr>
          <w:lang w:val="fr-CH"/>
        </w:rPr>
        <w:t>concernaient des actes de harcèlement ou abus de position par un fonctionnaire;</w:t>
      </w:r>
    </w:p>
    <w:p w14:paraId="71EE15F0" w14:textId="77777777" w:rsidR="00417F8D" w:rsidRDefault="00205C90" w:rsidP="002E030A">
      <w:pPr>
        <w:pStyle w:val="ONUMFS"/>
        <w:numPr>
          <w:ilvl w:val="1"/>
          <w:numId w:val="3"/>
        </w:numPr>
        <w:rPr>
          <w:lang w:val="fr-CH"/>
        </w:rPr>
      </w:pPr>
      <w:proofErr w:type="gramStart"/>
      <w:r w:rsidRPr="00403F08">
        <w:rPr>
          <w:lang w:val="fr-CH"/>
        </w:rPr>
        <w:t>un</w:t>
      </w:r>
      <w:proofErr w:type="gramEnd"/>
      <w:r w:rsidRPr="00403F08">
        <w:rPr>
          <w:lang w:val="fr-CH"/>
        </w:rPr>
        <w:t xml:space="preserve"> </w:t>
      </w:r>
      <w:r w:rsidR="00403F08" w:rsidRPr="00403F08">
        <w:rPr>
          <w:lang w:val="fr-CH"/>
        </w:rPr>
        <w:t xml:space="preserve">dossier </w:t>
      </w:r>
      <w:r w:rsidRPr="00403F08">
        <w:rPr>
          <w:lang w:val="fr-CH"/>
        </w:rPr>
        <w:t xml:space="preserve">concernait des actes de vol interne sur le lieu de travail; </w:t>
      </w:r>
      <w:r w:rsidR="005B0739">
        <w:rPr>
          <w:lang w:val="fr-CH"/>
        </w:rPr>
        <w:t xml:space="preserve"> </w:t>
      </w:r>
      <w:r w:rsidRPr="00403F08">
        <w:rPr>
          <w:lang w:val="fr-CH"/>
        </w:rPr>
        <w:t>et</w:t>
      </w:r>
    </w:p>
    <w:p w14:paraId="24F38698" w14:textId="77777777" w:rsidR="00417F8D" w:rsidRDefault="00403F08" w:rsidP="002E030A">
      <w:pPr>
        <w:pStyle w:val="ONUMFS"/>
        <w:numPr>
          <w:ilvl w:val="1"/>
          <w:numId w:val="3"/>
        </w:numPr>
        <w:rPr>
          <w:lang w:val="fr-CH"/>
        </w:rPr>
      </w:pPr>
      <w:proofErr w:type="gramStart"/>
      <w:r w:rsidRPr="00403F08">
        <w:rPr>
          <w:lang w:val="fr-CH"/>
        </w:rPr>
        <w:t>un</w:t>
      </w:r>
      <w:proofErr w:type="gramEnd"/>
      <w:r w:rsidR="00205C90" w:rsidRPr="00403F08">
        <w:rPr>
          <w:lang w:val="fr-CH"/>
        </w:rPr>
        <w:t xml:space="preserve"> </w:t>
      </w:r>
      <w:r w:rsidRPr="00403F08">
        <w:rPr>
          <w:lang w:val="fr-CH"/>
        </w:rPr>
        <w:t xml:space="preserve">dossier </w:t>
      </w:r>
      <w:r w:rsidR="00205C90" w:rsidRPr="00403F08">
        <w:rPr>
          <w:lang w:val="fr-CH"/>
        </w:rPr>
        <w:t>concernait des activités non autorisées hors du cadre des activités professionnelles par un membre du personnel.</w:t>
      </w:r>
    </w:p>
    <w:p w14:paraId="05BB7EA3" w14:textId="77777777" w:rsidR="00417F8D" w:rsidRDefault="00205C90" w:rsidP="002E030A">
      <w:pPr>
        <w:pStyle w:val="ONUMFS"/>
        <w:rPr>
          <w:lang w:val="fr-CH"/>
        </w:rPr>
      </w:pPr>
      <w:r w:rsidRPr="00403F08">
        <w:rPr>
          <w:lang w:val="fr-CH"/>
        </w:rPr>
        <w:t>À la suite des recommandations invitant l</w:t>
      </w:r>
      <w:r w:rsidR="000A3166">
        <w:rPr>
          <w:lang w:val="fr-CH"/>
        </w:rPr>
        <w:t>’</w:t>
      </w:r>
      <w:r w:rsidRPr="00403F08">
        <w:rPr>
          <w:lang w:val="fr-CH"/>
        </w:rPr>
        <w:t>Organisation à ouvrir une procédure disciplinaire</w:t>
      </w:r>
      <w:r w:rsidR="00353ADC">
        <w:rPr>
          <w:lang w:val="fr-CH"/>
        </w:rPr>
        <w:t> :</w:t>
      </w:r>
    </w:p>
    <w:p w14:paraId="68AE4553" w14:textId="77777777" w:rsidR="00417F8D" w:rsidRDefault="00205C90" w:rsidP="002E030A">
      <w:pPr>
        <w:pStyle w:val="ONUMFS"/>
        <w:numPr>
          <w:ilvl w:val="1"/>
          <w:numId w:val="3"/>
        </w:numPr>
        <w:rPr>
          <w:rStyle w:val="ONUMECharChar"/>
        </w:rPr>
      </w:pPr>
      <w:proofErr w:type="spellStart"/>
      <w:r w:rsidRPr="002E030A">
        <w:rPr>
          <w:rStyle w:val="ONUMECharChar"/>
        </w:rPr>
        <w:t>dans</w:t>
      </w:r>
      <w:proofErr w:type="spellEnd"/>
      <w:r w:rsidRPr="002E030A">
        <w:rPr>
          <w:rStyle w:val="ONUMECharChar"/>
        </w:rPr>
        <w:t xml:space="preserve"> </w:t>
      </w:r>
      <w:proofErr w:type="spellStart"/>
      <w:r w:rsidRPr="002E030A">
        <w:rPr>
          <w:rStyle w:val="ONUMECharChar"/>
        </w:rPr>
        <w:t>une</w:t>
      </w:r>
      <w:proofErr w:type="spellEnd"/>
      <w:r w:rsidRPr="002E030A">
        <w:rPr>
          <w:rStyle w:val="ONUMECharChar"/>
        </w:rPr>
        <w:t xml:space="preserve"> </w:t>
      </w:r>
      <w:proofErr w:type="spellStart"/>
      <w:r w:rsidRPr="002E030A">
        <w:rPr>
          <w:rStyle w:val="ONUMECharChar"/>
        </w:rPr>
        <w:t>affaire</w:t>
      </w:r>
      <w:proofErr w:type="spellEnd"/>
      <w:r w:rsidRPr="002E030A">
        <w:rPr>
          <w:rStyle w:val="ONUMECharChar"/>
        </w:rPr>
        <w:t xml:space="preserve">, le </w:t>
      </w:r>
      <w:proofErr w:type="spellStart"/>
      <w:r w:rsidRPr="002E030A">
        <w:rPr>
          <w:rStyle w:val="ONUMECharChar"/>
        </w:rPr>
        <w:t>fonctionnaire</w:t>
      </w:r>
      <w:proofErr w:type="spellEnd"/>
      <w:r w:rsidRPr="002E030A">
        <w:rPr>
          <w:rStyle w:val="ONUMECharChar"/>
        </w:rPr>
        <w:t xml:space="preserve"> a </w:t>
      </w:r>
      <w:proofErr w:type="spellStart"/>
      <w:r w:rsidRPr="002E030A">
        <w:rPr>
          <w:rStyle w:val="ONUMECharChar"/>
        </w:rPr>
        <w:t>été</w:t>
      </w:r>
      <w:proofErr w:type="spellEnd"/>
      <w:r w:rsidRPr="002E030A">
        <w:rPr>
          <w:rStyle w:val="ONUMECharChar"/>
        </w:rPr>
        <w:t xml:space="preserve"> </w:t>
      </w:r>
      <w:proofErr w:type="spellStart"/>
      <w:r w:rsidRPr="002E030A">
        <w:rPr>
          <w:rStyle w:val="ONUMECharChar"/>
        </w:rPr>
        <w:t>renvoyé</w:t>
      </w:r>
      <w:proofErr w:type="spellEnd"/>
      <w:r w:rsidRPr="002E030A">
        <w:rPr>
          <w:rStyle w:val="ONUMECharChar"/>
        </w:rPr>
        <w:t xml:space="preserve"> de </w:t>
      </w:r>
      <w:proofErr w:type="spellStart"/>
      <w:r w:rsidRPr="002E030A">
        <w:rPr>
          <w:rStyle w:val="ONUMECharChar"/>
        </w:rPr>
        <w:t>l</w:t>
      </w:r>
      <w:r w:rsidR="000A3166" w:rsidRPr="002E030A">
        <w:rPr>
          <w:rStyle w:val="ONUMECharChar"/>
        </w:rPr>
        <w:t>’</w:t>
      </w:r>
      <w:r w:rsidRPr="002E030A">
        <w:rPr>
          <w:rStyle w:val="ONUMECharChar"/>
        </w:rPr>
        <w:t>Organisation</w:t>
      </w:r>
      <w:proofErr w:type="spellEnd"/>
      <w:r w:rsidRPr="002E030A">
        <w:rPr>
          <w:rStyle w:val="ONUMECharChar"/>
        </w:rPr>
        <w:t>;</w:t>
      </w:r>
    </w:p>
    <w:p w14:paraId="0B959613" w14:textId="77777777" w:rsidR="00417F8D" w:rsidRDefault="00205C90" w:rsidP="002E030A">
      <w:pPr>
        <w:pStyle w:val="ONUMFS"/>
        <w:numPr>
          <w:ilvl w:val="1"/>
          <w:numId w:val="3"/>
        </w:numPr>
        <w:rPr>
          <w:lang w:val="fr-CH"/>
        </w:rPr>
      </w:pPr>
      <w:proofErr w:type="gramStart"/>
      <w:r w:rsidRPr="00403F08">
        <w:rPr>
          <w:lang w:val="fr-CH"/>
        </w:rPr>
        <w:t>dans</w:t>
      </w:r>
      <w:proofErr w:type="gramEnd"/>
      <w:r w:rsidRPr="00403F08">
        <w:rPr>
          <w:lang w:val="fr-CH"/>
        </w:rPr>
        <w:t xml:space="preserve"> une affaire, le fonctionnaire a été rétrogradé;</w:t>
      </w:r>
    </w:p>
    <w:p w14:paraId="31B9DCE7" w14:textId="77777777" w:rsidR="00417F8D" w:rsidRDefault="00205C90" w:rsidP="002E030A">
      <w:pPr>
        <w:pStyle w:val="ONUMFS"/>
        <w:numPr>
          <w:ilvl w:val="1"/>
          <w:numId w:val="3"/>
        </w:numPr>
        <w:rPr>
          <w:lang w:val="fr-CH"/>
        </w:rPr>
      </w:pPr>
      <w:proofErr w:type="gramStart"/>
      <w:r w:rsidRPr="00403F08">
        <w:rPr>
          <w:lang w:val="fr-CH"/>
        </w:rPr>
        <w:t>dans</w:t>
      </w:r>
      <w:proofErr w:type="gramEnd"/>
      <w:r w:rsidRPr="00403F08">
        <w:rPr>
          <w:lang w:val="fr-CH"/>
        </w:rPr>
        <w:t xml:space="preserve"> une affaire, les procédures disciplinaires n</w:t>
      </w:r>
      <w:r w:rsidR="000A3166">
        <w:rPr>
          <w:lang w:val="fr-CH"/>
        </w:rPr>
        <w:t>’</w:t>
      </w:r>
      <w:r w:rsidRPr="00403F08">
        <w:rPr>
          <w:lang w:val="fr-CH"/>
        </w:rPr>
        <w:t>ont pas été possibles du fait que le fonctionnaire concerné avait quitté l</w:t>
      </w:r>
      <w:r w:rsidR="000A3166">
        <w:rPr>
          <w:lang w:val="fr-CH"/>
        </w:rPr>
        <w:t>’</w:t>
      </w:r>
      <w:r w:rsidRPr="00403F08">
        <w:rPr>
          <w:lang w:val="fr-CH"/>
        </w:rPr>
        <w:t xml:space="preserve">Organisation; </w:t>
      </w:r>
      <w:r w:rsidR="005B0739">
        <w:rPr>
          <w:lang w:val="fr-CH"/>
        </w:rPr>
        <w:t xml:space="preserve"> </w:t>
      </w:r>
      <w:r w:rsidRPr="00403F08">
        <w:rPr>
          <w:lang w:val="fr-CH"/>
        </w:rPr>
        <w:t>et</w:t>
      </w:r>
    </w:p>
    <w:p w14:paraId="6C5397C1" w14:textId="77777777" w:rsidR="00417F8D" w:rsidRDefault="00205C90" w:rsidP="002E030A">
      <w:pPr>
        <w:pStyle w:val="ONUMFS"/>
        <w:numPr>
          <w:ilvl w:val="1"/>
          <w:numId w:val="3"/>
        </w:numPr>
        <w:rPr>
          <w:lang w:val="fr-CH"/>
        </w:rPr>
      </w:pPr>
      <w:proofErr w:type="gramStart"/>
      <w:r w:rsidRPr="00403F08">
        <w:rPr>
          <w:lang w:val="fr-CH"/>
        </w:rPr>
        <w:t>dans</w:t>
      </w:r>
      <w:proofErr w:type="gramEnd"/>
      <w:r w:rsidRPr="00403F08">
        <w:rPr>
          <w:lang w:val="fr-CH"/>
        </w:rPr>
        <w:t xml:space="preserve"> deux</w:t>
      </w:r>
      <w:r w:rsidR="005B0739">
        <w:rPr>
          <w:lang w:val="fr-CH"/>
        </w:rPr>
        <w:t> </w:t>
      </w:r>
      <w:r w:rsidRPr="00403F08">
        <w:rPr>
          <w:lang w:val="fr-CH"/>
        </w:rPr>
        <w:t>affaires, la direction n</w:t>
      </w:r>
      <w:r w:rsidR="000A3166">
        <w:rPr>
          <w:lang w:val="fr-CH"/>
        </w:rPr>
        <w:t>’</w:t>
      </w:r>
      <w:r w:rsidRPr="00403F08">
        <w:rPr>
          <w:lang w:val="fr-CH"/>
        </w:rPr>
        <w:t>a pas encore rendu sa décision définitive au 30</w:t>
      </w:r>
      <w:r w:rsidR="00C33462">
        <w:rPr>
          <w:lang w:val="fr-CH"/>
        </w:rPr>
        <w:t> </w:t>
      </w:r>
      <w:r w:rsidRPr="00403F08">
        <w:rPr>
          <w:lang w:val="fr-CH"/>
        </w:rPr>
        <w:t>juin</w:t>
      </w:r>
      <w:r w:rsidR="00C33462">
        <w:rPr>
          <w:lang w:val="fr-CH"/>
        </w:rPr>
        <w:t> </w:t>
      </w:r>
      <w:r w:rsidRPr="00403F08">
        <w:rPr>
          <w:lang w:val="fr-CH"/>
        </w:rPr>
        <w:t>2019.</w:t>
      </w:r>
    </w:p>
    <w:p w14:paraId="1F41A28F" w14:textId="77777777" w:rsidR="00417F8D" w:rsidRDefault="00205C90" w:rsidP="002E030A">
      <w:pPr>
        <w:pStyle w:val="ONUMFS"/>
        <w:rPr>
          <w:lang w:val="fr-CH"/>
        </w:rPr>
      </w:pPr>
      <w:bookmarkStart w:id="27" w:name="_Ref10466696"/>
      <w:r w:rsidRPr="00403F08">
        <w:rPr>
          <w:lang w:val="fr-CH"/>
        </w:rPr>
        <w:t>Par ailleurs, les activités d</w:t>
      </w:r>
      <w:r w:rsidR="000A3166">
        <w:rPr>
          <w:lang w:val="fr-CH"/>
        </w:rPr>
        <w:t>’</w:t>
      </w:r>
      <w:r w:rsidRPr="00403F08">
        <w:rPr>
          <w:lang w:val="fr-CH"/>
        </w:rPr>
        <w:t>enquête menées au cours de la période considérée ont amené</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à tirer un certain nombre d</w:t>
      </w:r>
      <w:r w:rsidR="000A3166">
        <w:rPr>
          <w:lang w:val="fr-CH"/>
        </w:rPr>
        <w:t>’</w:t>
      </w:r>
      <w:r w:rsidRPr="00403F08">
        <w:rPr>
          <w:lang w:val="fr-CH"/>
        </w:rPr>
        <w:t>enseignemen</w:t>
      </w:r>
      <w:bookmarkEnd w:id="27"/>
      <w:r w:rsidR="00007093" w:rsidRPr="00403F08">
        <w:rPr>
          <w:lang w:val="fr-CH"/>
        </w:rPr>
        <w:t>ts</w:t>
      </w:r>
      <w:r w:rsidR="00007093">
        <w:rPr>
          <w:lang w:val="fr-CH"/>
        </w:rPr>
        <w:t xml:space="preserve">.  </w:t>
      </w:r>
      <w:r w:rsidR="00007093" w:rsidRPr="00403F08">
        <w:rPr>
          <w:lang w:val="fr-CH"/>
        </w:rPr>
        <w:t>Pl</w:t>
      </w:r>
      <w:r w:rsidR="00E30FB3" w:rsidRPr="00403F08">
        <w:rPr>
          <w:lang w:val="fr-CH"/>
        </w:rPr>
        <w:t xml:space="preserve">us précisément, </w:t>
      </w:r>
      <w:r w:rsidR="00665AE5">
        <w:rPr>
          <w:lang w:val="fr-CH"/>
        </w:rPr>
        <w:t>un</w:t>
      </w:r>
      <w:r w:rsidR="005B0739">
        <w:rPr>
          <w:lang w:val="fr-CH"/>
        </w:rPr>
        <w:t> </w:t>
      </w:r>
      <w:r w:rsidR="00665AE5">
        <w:rPr>
          <w:lang w:val="fr-CH"/>
        </w:rPr>
        <w:t>rapport</w:t>
      </w:r>
      <w:r w:rsidR="00E30FB3" w:rsidRPr="00403F08">
        <w:rPr>
          <w:lang w:val="fr-CH"/>
        </w:rPr>
        <w:t xml:space="preserve"> </w:t>
      </w:r>
      <w:r w:rsidR="00241521" w:rsidRPr="00403F08">
        <w:rPr>
          <w:lang w:val="fr-CH"/>
        </w:rPr>
        <w:t>à l</w:t>
      </w:r>
      <w:r w:rsidR="000A3166">
        <w:rPr>
          <w:lang w:val="fr-CH"/>
        </w:rPr>
        <w:t>’</w:t>
      </w:r>
      <w:r w:rsidR="00241521" w:rsidRPr="00403F08">
        <w:rPr>
          <w:lang w:val="fr-CH"/>
        </w:rPr>
        <w:t>intention de la direction</w:t>
      </w:r>
      <w:r w:rsidR="00E30FB3" w:rsidRPr="00403F08">
        <w:rPr>
          <w:lang w:val="fr-CH"/>
        </w:rPr>
        <w:t xml:space="preserve"> contena</w:t>
      </w:r>
      <w:r w:rsidR="00665AE5">
        <w:rPr>
          <w:lang w:val="fr-CH"/>
        </w:rPr>
        <w:t>i</w:t>
      </w:r>
      <w:r w:rsidR="00E30FB3" w:rsidRPr="00403F08">
        <w:rPr>
          <w:lang w:val="fr-CH"/>
        </w:rPr>
        <w:t>t des recommandations sur des corrections d</w:t>
      </w:r>
      <w:r w:rsidR="000A3166">
        <w:rPr>
          <w:lang w:val="fr-CH"/>
        </w:rPr>
        <w:t>’</w:t>
      </w:r>
      <w:r w:rsidR="00E30FB3" w:rsidRPr="00403F08">
        <w:rPr>
          <w:lang w:val="fr-CH"/>
        </w:rPr>
        <w:t>office apportées dans le cadre du Service d</w:t>
      </w:r>
      <w:r w:rsidR="000A3166">
        <w:rPr>
          <w:lang w:val="fr-CH"/>
        </w:rPr>
        <w:t>’</w:t>
      </w:r>
      <w:r w:rsidR="00E30FB3" w:rsidRPr="00403F08">
        <w:rPr>
          <w:lang w:val="fr-CH"/>
        </w:rPr>
        <w:t>enregistrement de Madrid</w:t>
      </w:r>
      <w:r w:rsidR="00665AE5">
        <w:rPr>
          <w:lang w:val="fr-CH"/>
        </w:rPr>
        <w:t>.  Un deuxième rapport</w:t>
      </w:r>
      <w:r w:rsidR="00665AE5" w:rsidRPr="00403F08">
        <w:rPr>
          <w:lang w:val="fr-CH"/>
        </w:rPr>
        <w:t xml:space="preserve"> à l</w:t>
      </w:r>
      <w:r w:rsidR="00665AE5">
        <w:rPr>
          <w:lang w:val="fr-CH"/>
        </w:rPr>
        <w:t>’</w:t>
      </w:r>
      <w:r w:rsidR="00665AE5" w:rsidRPr="00403F08">
        <w:rPr>
          <w:lang w:val="fr-CH"/>
        </w:rPr>
        <w:t>intention de la direction</w:t>
      </w:r>
      <w:r w:rsidR="00665AE5">
        <w:rPr>
          <w:lang w:val="fr-CH"/>
        </w:rPr>
        <w:t>, diffusé sous la forme d’un projet aux fins d’observations,</w:t>
      </w:r>
      <w:r w:rsidR="00665AE5" w:rsidRPr="00403F08">
        <w:rPr>
          <w:lang w:val="fr-CH"/>
        </w:rPr>
        <w:t xml:space="preserve"> </w:t>
      </w:r>
      <w:r w:rsidR="00665AE5">
        <w:rPr>
          <w:lang w:val="fr-CH"/>
        </w:rPr>
        <w:t xml:space="preserve">porte sur </w:t>
      </w:r>
      <w:r w:rsidR="00E30FB3" w:rsidRPr="00403F08">
        <w:rPr>
          <w:lang w:val="fr-CH"/>
        </w:rPr>
        <w:t>les systèmes de gestion des demandes des clients.</w:t>
      </w:r>
    </w:p>
    <w:p w14:paraId="64B67454" w14:textId="77777777" w:rsidR="00417F8D" w:rsidRDefault="00E30FB3" w:rsidP="002E030A">
      <w:pPr>
        <w:pStyle w:val="ONUMFS"/>
        <w:rPr>
          <w:lang w:val="fr-CH"/>
        </w:rPr>
      </w:pPr>
      <w:r w:rsidRPr="00403F08">
        <w:rPr>
          <w:lang w:val="fr-CH"/>
        </w:rPr>
        <w:t>Une analyse comparée des dossiers enregistrés pendant la période allant du</w:t>
      </w:r>
      <w:r w:rsidR="00353ADC">
        <w:rPr>
          <w:lang w:val="fr-CH"/>
        </w:rPr>
        <w:t xml:space="preserve"> 1</w:t>
      </w:r>
      <w:r w:rsidR="00353ADC" w:rsidRPr="00353ADC">
        <w:rPr>
          <w:vertAlign w:val="superscript"/>
          <w:lang w:val="fr-CH"/>
        </w:rPr>
        <w:t>er</w:t>
      </w:r>
      <w:r w:rsidR="00353ADC">
        <w:rPr>
          <w:lang w:val="fr-CH"/>
        </w:rPr>
        <w:t> </w:t>
      </w:r>
      <w:r w:rsidRPr="00403F08">
        <w:rPr>
          <w:lang w:val="fr-CH"/>
        </w:rPr>
        <w:t>juillet</w:t>
      </w:r>
      <w:r w:rsidR="00C33462">
        <w:rPr>
          <w:lang w:val="fr-CH"/>
        </w:rPr>
        <w:t> </w:t>
      </w:r>
      <w:r w:rsidRPr="00403F08">
        <w:rPr>
          <w:lang w:val="fr-CH"/>
        </w:rPr>
        <w:t>2015 au 30</w:t>
      </w:r>
      <w:r w:rsidR="00C33462">
        <w:rPr>
          <w:lang w:val="fr-CH"/>
        </w:rPr>
        <w:t> </w:t>
      </w:r>
      <w:r w:rsidRPr="00403F08">
        <w:rPr>
          <w:lang w:val="fr-CH"/>
        </w:rPr>
        <w:t>juin</w:t>
      </w:r>
      <w:r w:rsidR="00C33462">
        <w:rPr>
          <w:lang w:val="fr-CH"/>
        </w:rPr>
        <w:t> </w:t>
      </w:r>
      <w:r w:rsidRPr="00403F08">
        <w:rPr>
          <w:lang w:val="fr-CH"/>
        </w:rPr>
        <w:t>2018 est présentée dans le tableau ci</w:t>
      </w:r>
      <w:r w:rsidR="00353ADC">
        <w:rPr>
          <w:lang w:val="fr-CH"/>
        </w:rPr>
        <w:t>-</w:t>
      </w:r>
      <w:r w:rsidRPr="00403F08">
        <w:rPr>
          <w:lang w:val="fr-CH"/>
        </w:rPr>
        <w:t>dessous</w:t>
      </w:r>
      <w:r w:rsidR="00353ADC">
        <w:rPr>
          <w:lang w:val="fr-CH"/>
        </w:rPr>
        <w:t> :</w:t>
      </w:r>
    </w:p>
    <w:p w14:paraId="0F07FFC6" w14:textId="77777777" w:rsidR="00417F8D" w:rsidRDefault="00E30FB3" w:rsidP="00E30FB3">
      <w:pPr>
        <w:pStyle w:val="ONUME"/>
        <w:keepNext/>
        <w:numPr>
          <w:ilvl w:val="0"/>
          <w:numId w:val="0"/>
        </w:numPr>
        <w:jc w:val="center"/>
        <w:rPr>
          <w:b/>
          <w:sz w:val="18"/>
          <w:szCs w:val="18"/>
          <w:lang w:val="fr-CH"/>
        </w:rPr>
      </w:pPr>
      <w:r w:rsidRPr="00403F08">
        <w:rPr>
          <w:b/>
          <w:sz w:val="18"/>
          <w:szCs w:val="18"/>
          <w:lang w:val="fr-CH"/>
        </w:rPr>
        <w:lastRenderedPageBreak/>
        <w:t>Tableau</w:t>
      </w:r>
      <w:r w:rsidR="00C33462">
        <w:rPr>
          <w:b/>
          <w:sz w:val="18"/>
          <w:szCs w:val="18"/>
          <w:lang w:val="fr-CH"/>
        </w:rPr>
        <w:t> </w:t>
      </w:r>
      <w:r w:rsidRPr="00403F08">
        <w:rPr>
          <w:b/>
          <w:sz w:val="18"/>
          <w:szCs w:val="18"/>
          <w:lang w:val="fr-CH"/>
        </w:rPr>
        <w:t>1 – Analyse des plaintes reçues entre le</w:t>
      </w:r>
      <w:r w:rsidR="00353ADC">
        <w:rPr>
          <w:b/>
          <w:sz w:val="18"/>
          <w:szCs w:val="18"/>
          <w:lang w:val="fr-CH"/>
        </w:rPr>
        <w:t xml:space="preserve"> 1</w:t>
      </w:r>
      <w:r w:rsidR="00353ADC" w:rsidRPr="00353ADC">
        <w:rPr>
          <w:b/>
          <w:sz w:val="18"/>
          <w:szCs w:val="18"/>
          <w:vertAlign w:val="superscript"/>
          <w:lang w:val="fr-CH"/>
        </w:rPr>
        <w:t>er</w:t>
      </w:r>
      <w:r w:rsidR="00353ADC">
        <w:rPr>
          <w:b/>
          <w:sz w:val="18"/>
          <w:szCs w:val="18"/>
          <w:lang w:val="fr-CH"/>
        </w:rPr>
        <w:t> </w:t>
      </w:r>
      <w:r w:rsidRPr="00403F08">
        <w:rPr>
          <w:b/>
          <w:sz w:val="18"/>
          <w:szCs w:val="18"/>
          <w:lang w:val="fr-CH"/>
        </w:rPr>
        <w:t>juillet</w:t>
      </w:r>
      <w:r w:rsidR="00C33462">
        <w:rPr>
          <w:b/>
          <w:sz w:val="18"/>
          <w:szCs w:val="18"/>
          <w:lang w:val="fr-CH"/>
        </w:rPr>
        <w:t> </w:t>
      </w:r>
      <w:r w:rsidRPr="00403F08">
        <w:rPr>
          <w:b/>
          <w:sz w:val="18"/>
          <w:szCs w:val="18"/>
          <w:lang w:val="fr-CH"/>
        </w:rPr>
        <w:t>2016 et le 30</w:t>
      </w:r>
      <w:r w:rsidR="00C33462">
        <w:rPr>
          <w:b/>
          <w:sz w:val="18"/>
          <w:szCs w:val="18"/>
          <w:lang w:val="fr-CH"/>
        </w:rPr>
        <w:t> </w:t>
      </w:r>
      <w:r w:rsidRPr="00403F08">
        <w:rPr>
          <w:b/>
          <w:sz w:val="18"/>
          <w:szCs w:val="18"/>
          <w:lang w:val="fr-CH"/>
        </w:rPr>
        <w:t>juin</w:t>
      </w:r>
      <w:r w:rsidR="00C33462">
        <w:rPr>
          <w:b/>
          <w:sz w:val="18"/>
          <w:szCs w:val="18"/>
          <w:lang w:val="fr-CH"/>
        </w:rPr>
        <w:t> </w:t>
      </w:r>
      <w:r w:rsidRPr="00403F08">
        <w:rPr>
          <w:b/>
          <w:sz w:val="18"/>
          <w:szCs w:val="18"/>
          <w:lang w:val="fr-CH"/>
        </w:rPr>
        <w:t>2019</w:t>
      </w:r>
    </w:p>
    <w:p w14:paraId="3A9DB083" w14:textId="5293BA7F" w:rsidR="00417F8D" w:rsidRDefault="00A76380" w:rsidP="004E6511">
      <w:pPr>
        <w:pStyle w:val="ONUME"/>
        <w:numPr>
          <w:ilvl w:val="0"/>
          <w:numId w:val="0"/>
        </w:numPr>
        <w:jc w:val="center"/>
        <w:rPr>
          <w:b/>
          <w:sz w:val="18"/>
          <w:szCs w:val="18"/>
        </w:rPr>
      </w:pPr>
      <w:r w:rsidRPr="00A76380">
        <w:rPr>
          <w:noProof/>
          <w:lang w:eastAsia="en-US"/>
        </w:rPr>
        <w:drawing>
          <wp:inline distT="0" distB="0" distL="0" distR="0" wp14:anchorId="333B3B7A" wp14:editId="086685D0">
            <wp:extent cx="5421580" cy="272440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37" cy="2731471"/>
                    </a:xfrm>
                    <a:prstGeom prst="rect">
                      <a:avLst/>
                    </a:prstGeom>
                    <a:noFill/>
                    <a:ln>
                      <a:noFill/>
                    </a:ln>
                  </pic:spPr>
                </pic:pic>
              </a:graphicData>
            </a:graphic>
          </wp:inline>
        </w:drawing>
      </w:r>
    </w:p>
    <w:p w14:paraId="4E896835" w14:textId="77777777" w:rsidR="00417F8D" w:rsidRDefault="00417F8D" w:rsidP="00186810">
      <w:pPr>
        <w:pStyle w:val="ONUME"/>
        <w:numPr>
          <w:ilvl w:val="0"/>
          <w:numId w:val="0"/>
        </w:numPr>
        <w:jc w:val="center"/>
      </w:pPr>
    </w:p>
    <w:p w14:paraId="3B4852F1" w14:textId="77777777" w:rsidR="00417F8D" w:rsidRDefault="00E30FB3" w:rsidP="00E30FB3">
      <w:pPr>
        <w:pStyle w:val="ONUME"/>
        <w:keepNext/>
        <w:numPr>
          <w:ilvl w:val="0"/>
          <w:numId w:val="0"/>
        </w:numPr>
        <w:jc w:val="center"/>
        <w:rPr>
          <w:b/>
          <w:sz w:val="18"/>
          <w:szCs w:val="18"/>
          <w:lang w:val="fr-CH"/>
        </w:rPr>
      </w:pPr>
      <w:r w:rsidRPr="00403F08">
        <w:rPr>
          <w:b/>
          <w:sz w:val="18"/>
          <w:szCs w:val="18"/>
          <w:lang w:val="fr-CH"/>
        </w:rPr>
        <w:t>Diagramme</w:t>
      </w:r>
      <w:r w:rsidR="00C33462">
        <w:rPr>
          <w:b/>
          <w:sz w:val="18"/>
          <w:szCs w:val="18"/>
          <w:lang w:val="fr-CH"/>
        </w:rPr>
        <w:t> </w:t>
      </w:r>
      <w:r w:rsidRPr="00403F08">
        <w:rPr>
          <w:b/>
          <w:sz w:val="18"/>
          <w:szCs w:val="18"/>
          <w:lang w:val="fr-CH"/>
        </w:rPr>
        <w:t>2 – Affaires classées entre le</w:t>
      </w:r>
      <w:r w:rsidR="00353ADC">
        <w:rPr>
          <w:b/>
          <w:sz w:val="18"/>
          <w:szCs w:val="18"/>
          <w:lang w:val="fr-CH"/>
        </w:rPr>
        <w:t xml:space="preserve"> 1</w:t>
      </w:r>
      <w:r w:rsidR="00353ADC" w:rsidRPr="00353ADC">
        <w:rPr>
          <w:b/>
          <w:sz w:val="18"/>
          <w:szCs w:val="18"/>
          <w:vertAlign w:val="superscript"/>
          <w:lang w:val="fr-CH"/>
        </w:rPr>
        <w:t>er</w:t>
      </w:r>
      <w:r w:rsidR="00353ADC">
        <w:rPr>
          <w:b/>
          <w:sz w:val="18"/>
          <w:szCs w:val="18"/>
          <w:lang w:val="fr-CH"/>
        </w:rPr>
        <w:t> </w:t>
      </w:r>
      <w:r w:rsidRPr="00403F08">
        <w:rPr>
          <w:b/>
          <w:sz w:val="18"/>
          <w:szCs w:val="18"/>
          <w:lang w:val="fr-CH"/>
        </w:rPr>
        <w:t>juillet</w:t>
      </w:r>
      <w:r w:rsidR="00C33462">
        <w:rPr>
          <w:b/>
          <w:sz w:val="18"/>
          <w:szCs w:val="18"/>
          <w:lang w:val="fr-CH"/>
        </w:rPr>
        <w:t> </w:t>
      </w:r>
      <w:r w:rsidRPr="00403F08">
        <w:rPr>
          <w:b/>
          <w:sz w:val="18"/>
          <w:szCs w:val="18"/>
          <w:lang w:val="fr-CH"/>
        </w:rPr>
        <w:t>2016 et le 30</w:t>
      </w:r>
      <w:r w:rsidR="00C33462">
        <w:rPr>
          <w:b/>
          <w:sz w:val="18"/>
          <w:szCs w:val="18"/>
          <w:lang w:val="fr-CH"/>
        </w:rPr>
        <w:t> </w:t>
      </w:r>
      <w:r w:rsidRPr="00403F08">
        <w:rPr>
          <w:b/>
          <w:sz w:val="18"/>
          <w:szCs w:val="18"/>
          <w:lang w:val="fr-CH"/>
        </w:rPr>
        <w:t>juin</w:t>
      </w:r>
      <w:r w:rsidR="00C33462">
        <w:rPr>
          <w:b/>
          <w:sz w:val="18"/>
          <w:szCs w:val="18"/>
          <w:lang w:val="fr-CH"/>
        </w:rPr>
        <w:t> </w:t>
      </w:r>
      <w:r w:rsidRPr="00403F08">
        <w:rPr>
          <w:b/>
          <w:sz w:val="18"/>
          <w:szCs w:val="18"/>
          <w:lang w:val="fr-CH"/>
        </w:rPr>
        <w:t>2019</w:t>
      </w:r>
    </w:p>
    <w:p w14:paraId="286382D6" w14:textId="77777777" w:rsidR="00A76380" w:rsidRPr="00A76380" w:rsidRDefault="00A76380" w:rsidP="0096299E">
      <w:pPr>
        <w:pStyle w:val="ONUME"/>
        <w:keepNext/>
        <w:numPr>
          <w:ilvl w:val="0"/>
          <w:numId w:val="0"/>
        </w:numPr>
        <w:jc w:val="center"/>
        <w:rPr>
          <w:noProof/>
          <w:lang w:val="fr-CH" w:eastAsia="en-US"/>
        </w:rPr>
      </w:pPr>
    </w:p>
    <w:p w14:paraId="607A18A2" w14:textId="3CFC9387" w:rsidR="00417F8D" w:rsidRDefault="00A76380" w:rsidP="0096299E">
      <w:pPr>
        <w:pStyle w:val="ONUME"/>
        <w:keepNext/>
        <w:numPr>
          <w:ilvl w:val="0"/>
          <w:numId w:val="0"/>
        </w:numPr>
        <w:jc w:val="center"/>
      </w:pPr>
      <w:r>
        <w:rPr>
          <w:noProof/>
          <w:lang w:eastAsia="en-US"/>
        </w:rPr>
        <w:drawing>
          <wp:inline distT="0" distB="0" distL="0" distR="0" wp14:anchorId="4F76DD13" wp14:editId="40B470F1">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319F59" w14:textId="77777777" w:rsidR="00417F8D" w:rsidRDefault="00E30FB3" w:rsidP="00E30FB3">
      <w:pPr>
        <w:pStyle w:val="Heading1"/>
      </w:pPr>
      <w:bookmarkStart w:id="28" w:name="_Toc12270154"/>
      <w:r w:rsidRPr="00403F08">
        <w:t>Cas dans lesquels des demandes d</w:t>
      </w:r>
      <w:r w:rsidR="000A3166">
        <w:t>’</w:t>
      </w:r>
      <w:r w:rsidRPr="00403F08">
        <w:t>information ou d</w:t>
      </w:r>
      <w:r w:rsidR="000A3166">
        <w:t>’</w:t>
      </w:r>
      <w:r w:rsidRPr="00403F08">
        <w:t>assistance ont été rejetées</w:t>
      </w:r>
      <w:bookmarkEnd w:id="28"/>
    </w:p>
    <w:p w14:paraId="58BF8B4C" w14:textId="77777777" w:rsidR="00417F8D" w:rsidRDefault="00E30FB3" w:rsidP="002E030A">
      <w:pPr>
        <w:pStyle w:val="ONUMFS"/>
        <w:rPr>
          <w:lang w:val="fr-CH"/>
        </w:rPr>
      </w:pPr>
      <w:r w:rsidRPr="00403F08">
        <w:rPr>
          <w:lang w:val="fr-CH"/>
        </w:rPr>
        <w:t>Conformément au paragraphe</w:t>
      </w:r>
      <w:r w:rsidR="00C33462">
        <w:rPr>
          <w:lang w:val="fr-CH"/>
        </w:rPr>
        <w:t> </w:t>
      </w:r>
      <w:r w:rsidRPr="00403F08">
        <w:rPr>
          <w:lang w:val="fr-CH"/>
        </w:rPr>
        <w:t>48.g) de la Charte de la supervision interne, le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doit établir un rapport dans tous les cas où l</w:t>
      </w:r>
      <w:r w:rsidR="000A3166">
        <w:rPr>
          <w:lang w:val="fr-CH"/>
        </w:rPr>
        <w:t>’</w:t>
      </w:r>
      <w:r w:rsidRPr="00403F08">
        <w:rPr>
          <w:lang w:val="fr-CH"/>
        </w:rPr>
        <w:t>accès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aux dossiers, fonctionnaires ou agents contractuels et locaux de l</w:t>
      </w:r>
      <w:r w:rsidR="000A3166">
        <w:rPr>
          <w:lang w:val="fr-CH"/>
        </w:rPr>
        <w:t>’</w:t>
      </w:r>
      <w:r w:rsidRPr="00403F08">
        <w:rPr>
          <w:lang w:val="fr-CH"/>
        </w:rPr>
        <w:t>OMPI a été limité au cours de la période considérée.</w:t>
      </w:r>
    </w:p>
    <w:p w14:paraId="59A9D1B0" w14:textId="77777777" w:rsidR="00417F8D" w:rsidRDefault="00E30FB3" w:rsidP="002E030A">
      <w:pPr>
        <w:pStyle w:val="ONUMFS"/>
        <w:rPr>
          <w:lang w:val="fr-CH"/>
        </w:rPr>
      </w:pPr>
      <w:r w:rsidRPr="00403F08">
        <w:rPr>
          <w:lang w:val="fr-CH"/>
        </w:rPr>
        <w:t>La DSI signale qu</w:t>
      </w:r>
      <w:r w:rsidR="000A3166">
        <w:rPr>
          <w:lang w:val="fr-CH"/>
        </w:rPr>
        <w:t>’</w:t>
      </w:r>
      <w:r w:rsidRPr="00403F08">
        <w:rPr>
          <w:lang w:val="fr-CH"/>
        </w:rPr>
        <w:t>aucun membre du personnel n</w:t>
      </w:r>
      <w:r w:rsidR="000A3166">
        <w:rPr>
          <w:lang w:val="fr-CH"/>
        </w:rPr>
        <w:t>’</w:t>
      </w:r>
      <w:r w:rsidRPr="00403F08">
        <w:rPr>
          <w:lang w:val="fr-CH"/>
        </w:rPr>
        <w:t>a refusé de fournir des informations ou de prêter assistance à un processus de surveillance en cours pendant la période considérée.</w:t>
      </w:r>
    </w:p>
    <w:p w14:paraId="02A18E04" w14:textId="77777777" w:rsidR="00417F8D" w:rsidRDefault="00E30FB3" w:rsidP="00E30FB3">
      <w:pPr>
        <w:pStyle w:val="Heading1"/>
      </w:pPr>
      <w:bookmarkStart w:id="29" w:name="_Toc12270155"/>
      <w:bookmarkEnd w:id="26"/>
      <w:r w:rsidRPr="00403F08">
        <w:lastRenderedPageBreak/>
        <w:t>État d</w:t>
      </w:r>
      <w:r w:rsidR="000A3166">
        <w:t>’</w:t>
      </w:r>
      <w:r w:rsidRPr="00403F08">
        <w:t>avancement de la mise en œuvre des recommandations en matière de supervision</w:t>
      </w:r>
      <w:bookmarkEnd w:id="29"/>
    </w:p>
    <w:p w14:paraId="31B38DDC" w14:textId="77777777" w:rsidR="00417F8D" w:rsidRDefault="00E30FB3" w:rsidP="002E030A">
      <w:pPr>
        <w:pStyle w:val="ONUMFS"/>
        <w:rPr>
          <w:lang w:val="fr-CH"/>
        </w:rPr>
      </w:pPr>
      <w:r w:rsidRPr="00403F08">
        <w:rPr>
          <w:lang w:val="fr-CH"/>
        </w:rPr>
        <w:t>Le Directeur général a la responsabilité de veiller à ce qu</w:t>
      </w:r>
      <w:r w:rsidR="000A3166">
        <w:rPr>
          <w:lang w:val="fr-CH"/>
        </w:rPr>
        <w:t>’</w:t>
      </w:r>
      <w:r w:rsidRPr="00403F08">
        <w:rPr>
          <w:lang w:val="fr-CH"/>
        </w:rPr>
        <w:t>il soit donné effet sans tarder à toutes les recommandations du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et des autres organes de surveillance et d</w:t>
      </w:r>
      <w:r w:rsidR="000A3166">
        <w:rPr>
          <w:lang w:val="fr-CH"/>
        </w:rPr>
        <w:t>’</w:t>
      </w:r>
      <w:r w:rsidRPr="00403F08">
        <w:rPr>
          <w:lang w:val="fr-CH"/>
        </w:rPr>
        <w:t xml:space="preserve">indiquer les mesures prises </w:t>
      </w:r>
      <w:r w:rsidR="00353ADC">
        <w:rPr>
          <w:lang w:val="fr-CH"/>
        </w:rPr>
        <w:t>à l</w:t>
      </w:r>
      <w:r w:rsidR="000A3166">
        <w:rPr>
          <w:lang w:val="fr-CH"/>
        </w:rPr>
        <w:t>’</w:t>
      </w:r>
      <w:r w:rsidR="00353ADC">
        <w:rPr>
          <w:lang w:val="fr-CH"/>
        </w:rPr>
        <w:t>égard</w:t>
      </w:r>
      <w:r w:rsidRPr="00403F08">
        <w:rPr>
          <w:lang w:val="fr-CH"/>
        </w:rPr>
        <w:t xml:space="preserve"> des différentes conclusions et recommandations figurant dans les rapports</w:t>
      </w:r>
      <w:r w:rsidRPr="00403F08">
        <w:rPr>
          <w:rStyle w:val="FootnoteReference"/>
        </w:rPr>
        <w:footnoteReference w:id="9"/>
      </w:r>
      <w:r w:rsidRPr="00403F08">
        <w:rPr>
          <w:lang w:val="fr-CH"/>
        </w:rPr>
        <w:t>.</w:t>
      </w:r>
      <w:r w:rsidR="00186810" w:rsidRPr="00403F08">
        <w:rPr>
          <w:lang w:val="fr-CH"/>
        </w:rPr>
        <w:t xml:space="preserve">  </w:t>
      </w:r>
      <w:r w:rsidRPr="00403F08">
        <w:rPr>
          <w:lang w:val="fr-CH"/>
        </w:rPr>
        <w:t>Le Directeur général s</w:t>
      </w:r>
      <w:r w:rsidR="000A3166">
        <w:rPr>
          <w:lang w:val="fr-CH"/>
        </w:rPr>
        <w:t>’</w:t>
      </w:r>
      <w:r w:rsidRPr="00403F08">
        <w:rPr>
          <w:lang w:val="fr-CH"/>
        </w:rPr>
        <w:t>acquitte de cette responsabilité par l</w:t>
      </w:r>
      <w:r w:rsidR="000A3166">
        <w:rPr>
          <w:lang w:val="fr-CH"/>
        </w:rPr>
        <w:t>’</w:t>
      </w:r>
      <w:r w:rsidRPr="00403F08">
        <w:rPr>
          <w:lang w:val="fr-CH"/>
        </w:rPr>
        <w:t>intermédiaire des chefs de programme chargés des différents secteurs opérationnels de l</w:t>
      </w:r>
      <w:r w:rsidR="000A3166">
        <w:rPr>
          <w:lang w:val="fr-CH"/>
        </w:rPr>
        <w:t>’</w:t>
      </w:r>
      <w:r w:rsidRPr="00403F08">
        <w:rPr>
          <w:lang w:val="fr-CH"/>
        </w:rPr>
        <w:t>Organisation</w:t>
      </w:r>
      <w:r w:rsidRPr="00403F08">
        <w:rPr>
          <w:rStyle w:val="FootnoteReference"/>
          <w:lang w:val="fr-CH"/>
        </w:rPr>
        <w:footnoteReference w:id="10"/>
      </w:r>
      <w:r w:rsidRPr="00403F08">
        <w:rPr>
          <w:lang w:val="fr-CH"/>
        </w:rPr>
        <w:t>.</w:t>
      </w:r>
      <w:r w:rsidR="00186810" w:rsidRPr="00403F08">
        <w:rPr>
          <w:lang w:val="fr-CH"/>
        </w:rPr>
        <w:t xml:space="preserve">  </w:t>
      </w:r>
      <w:r w:rsidRPr="00403F08">
        <w:rPr>
          <w:lang w:val="fr-CH"/>
        </w:rPr>
        <w:t>La mise en œuvre de toutes les recommandations relatives à la supervision par les chefs de programme de l</w:t>
      </w:r>
      <w:r w:rsidR="000A3166">
        <w:rPr>
          <w:lang w:val="fr-CH"/>
        </w:rPr>
        <w:t>’</w:t>
      </w:r>
      <w:r w:rsidRPr="00403F08">
        <w:rPr>
          <w:lang w:val="fr-CH"/>
        </w:rPr>
        <w:t>OMPI fait l</w:t>
      </w:r>
      <w:r w:rsidR="000A3166">
        <w:rPr>
          <w:lang w:val="fr-CH"/>
        </w:rPr>
        <w:t>’</w:t>
      </w:r>
      <w:r w:rsidRPr="00403F08">
        <w:rPr>
          <w:lang w:val="fr-CH"/>
        </w:rPr>
        <w:t>objet d</w:t>
      </w:r>
      <w:r w:rsidR="000A3166">
        <w:rPr>
          <w:lang w:val="fr-CH"/>
        </w:rPr>
        <w:t>’</w:t>
      </w:r>
      <w:r w:rsidRPr="00403F08">
        <w:rPr>
          <w:lang w:val="fr-CH"/>
        </w:rPr>
        <w:t>un suivi régulier de la part de</w:t>
      </w:r>
      <w:r w:rsidR="00353ADC" w:rsidRPr="00403F08">
        <w:rPr>
          <w:lang w:val="fr-CH"/>
        </w:rPr>
        <w:t xml:space="preserve"> la</w:t>
      </w:r>
      <w:r w:rsidR="00353ADC">
        <w:rPr>
          <w:lang w:val="fr-CH"/>
        </w:rPr>
        <w:t> </w:t>
      </w:r>
      <w:r w:rsidR="00353ADC" w:rsidRPr="00403F08">
        <w:rPr>
          <w:lang w:val="fr-CH"/>
        </w:rPr>
        <w:t>DSI</w:t>
      </w:r>
      <w:r w:rsidRPr="00403F08">
        <w:rPr>
          <w:rStyle w:val="FootnoteReference"/>
          <w:lang w:val="fr-CH"/>
        </w:rPr>
        <w:footnoteReference w:id="11"/>
      </w:r>
      <w:r w:rsidRPr="00403F08">
        <w:rPr>
          <w:lang w:val="fr-CH"/>
        </w:rPr>
        <w:t>.</w:t>
      </w:r>
    </w:p>
    <w:p w14:paraId="0E40C38D" w14:textId="77777777" w:rsidR="00417F8D" w:rsidRDefault="00E30FB3" w:rsidP="002E030A">
      <w:pPr>
        <w:pStyle w:val="ONUMFS"/>
        <w:rPr>
          <w:lang w:val="fr-CH"/>
        </w:rPr>
      </w:pPr>
      <w:r w:rsidRPr="00403F08">
        <w:rPr>
          <w:lang w:val="fr-CH"/>
        </w:rPr>
        <w:t>La DSI continue de gérer les recommandations et d</w:t>
      </w:r>
      <w:r w:rsidR="000A3166">
        <w:rPr>
          <w:lang w:val="fr-CH"/>
        </w:rPr>
        <w:t>’</w:t>
      </w:r>
      <w:r w:rsidRPr="00403F08">
        <w:rPr>
          <w:lang w:val="fr-CH"/>
        </w:rPr>
        <w:t xml:space="preserve">en rendre compte au moyen du système </w:t>
      </w:r>
      <w:proofErr w:type="spellStart"/>
      <w:r w:rsidRPr="00403F08">
        <w:rPr>
          <w:lang w:val="fr-CH"/>
        </w:rPr>
        <w:t>TeamCentral</w:t>
      </w:r>
      <w:proofErr w:type="spellEnd"/>
      <w:r w:rsidRPr="00403F08">
        <w:rPr>
          <w:lang w:val="fr-CH"/>
        </w:rPr>
        <w:t>©, qui facilite le dialogue avec les chefs de programme et leurs délégués en vue d</w:t>
      </w:r>
      <w:r w:rsidR="000A3166">
        <w:rPr>
          <w:lang w:val="fr-CH"/>
        </w:rPr>
        <w:t>’</w:t>
      </w:r>
      <w:r w:rsidRPr="00403F08">
        <w:rPr>
          <w:lang w:val="fr-CH"/>
        </w:rPr>
        <w:t>un suivi efficace de la mise en œuvre des recommandations ouvertes.</w:t>
      </w:r>
    </w:p>
    <w:p w14:paraId="7B888EE0" w14:textId="77777777" w:rsidR="00417F8D" w:rsidRDefault="00E30FB3" w:rsidP="002E030A">
      <w:pPr>
        <w:pStyle w:val="ONUMFS"/>
        <w:rPr>
          <w:lang w:val="fr-CH"/>
        </w:rPr>
      </w:pPr>
      <w:r w:rsidRPr="00403F08">
        <w:rPr>
          <w:lang w:val="fr-CH"/>
        </w:rPr>
        <w:t>La DSI est en train de finaliser le projet relatif à l</w:t>
      </w:r>
      <w:r w:rsidR="000A3166">
        <w:rPr>
          <w:lang w:val="fr-CH"/>
        </w:rPr>
        <w:t>’</w:t>
      </w:r>
      <w:r w:rsidRPr="00403F08">
        <w:rPr>
          <w:lang w:val="fr-CH"/>
        </w:rPr>
        <w:t>analyse de données décisionnelles, qui consiste à donner suite aux recommandations figurant dans les tableaux de bo</w:t>
      </w:r>
      <w:r w:rsidR="00007093" w:rsidRPr="00403F08">
        <w:rPr>
          <w:lang w:val="fr-CH"/>
        </w:rPr>
        <w:t>rd</w:t>
      </w:r>
      <w:r w:rsidR="00007093">
        <w:rPr>
          <w:lang w:val="fr-CH"/>
        </w:rPr>
        <w:t xml:space="preserve">.  </w:t>
      </w:r>
      <w:r w:rsidR="00007093" w:rsidRPr="00403F08">
        <w:rPr>
          <w:lang w:val="fr-CH"/>
        </w:rPr>
        <w:t>En</w:t>
      </w:r>
      <w:r w:rsidRPr="00403F08">
        <w:rPr>
          <w:lang w:val="fr-CH"/>
        </w:rPr>
        <w:t xml:space="preserve"> établissant un lien entre les recommandations issues du système </w:t>
      </w:r>
      <w:proofErr w:type="spellStart"/>
      <w:r w:rsidRPr="00403F08">
        <w:rPr>
          <w:lang w:val="fr-CH"/>
        </w:rPr>
        <w:t>TeamCentral</w:t>
      </w:r>
      <w:proofErr w:type="spellEnd"/>
      <w:r w:rsidRPr="00403F08">
        <w:rPr>
          <w:lang w:val="fr-CH"/>
        </w:rPr>
        <w:t xml:space="preserve"> © et les tableaux de bord, et en fournissant des droits d</w:t>
      </w:r>
      <w:r w:rsidR="000A3166">
        <w:rPr>
          <w:lang w:val="fr-CH"/>
        </w:rPr>
        <w:t>’</w:t>
      </w:r>
      <w:r w:rsidRPr="00403F08">
        <w:rPr>
          <w:lang w:val="fr-CH"/>
        </w:rPr>
        <w:t>accès définis, la direction pourra mieux se rendre compte au jour le jour de l</w:t>
      </w:r>
      <w:r w:rsidR="000A3166">
        <w:rPr>
          <w:lang w:val="fr-CH"/>
        </w:rPr>
        <w:t>’</w:t>
      </w:r>
      <w:r w:rsidRPr="00403F08">
        <w:rPr>
          <w:lang w:val="fr-CH"/>
        </w:rPr>
        <w:t>évolution des recommandations, et des mécanismes d</w:t>
      </w:r>
      <w:r w:rsidR="000A3166">
        <w:rPr>
          <w:lang w:val="fr-CH"/>
        </w:rPr>
        <w:t>’</w:t>
      </w:r>
      <w:r w:rsidRPr="00403F08">
        <w:rPr>
          <w:lang w:val="fr-CH"/>
        </w:rPr>
        <w:t>établissement de rapports.</w:t>
      </w:r>
    </w:p>
    <w:p w14:paraId="23DDDEE5" w14:textId="77777777" w:rsidR="00417F8D" w:rsidRDefault="007B3B9B" w:rsidP="002E030A">
      <w:pPr>
        <w:pStyle w:val="ONUMFS"/>
        <w:rPr>
          <w:lang w:val="fr-CH"/>
        </w:rPr>
      </w:pPr>
      <w:r w:rsidRPr="00403F08">
        <w:rPr>
          <w:lang w:val="fr-CH"/>
        </w:rPr>
        <w:t>À la date d</w:t>
      </w:r>
      <w:r w:rsidR="000A3166">
        <w:rPr>
          <w:lang w:val="fr-CH"/>
        </w:rPr>
        <w:t>’</w:t>
      </w:r>
      <w:r w:rsidRPr="00403F08">
        <w:rPr>
          <w:lang w:val="fr-CH"/>
        </w:rPr>
        <w:t>établissement du présent rapport, on comptait 1</w:t>
      </w:r>
      <w:r w:rsidR="00665AE5">
        <w:rPr>
          <w:lang w:val="fr-CH"/>
        </w:rPr>
        <w:t>55</w:t>
      </w:r>
      <w:r w:rsidR="00C33462">
        <w:rPr>
          <w:lang w:val="fr-CH"/>
        </w:rPr>
        <w:t> </w:t>
      </w:r>
      <w:r w:rsidRPr="00403F08">
        <w:rPr>
          <w:lang w:val="fr-CH"/>
        </w:rPr>
        <w:t xml:space="preserve">recommandations ouvertes, dont </w:t>
      </w:r>
      <w:r w:rsidR="00665AE5">
        <w:rPr>
          <w:lang w:val="fr-CH"/>
        </w:rPr>
        <w:t>68</w:t>
      </w:r>
      <w:r w:rsidRPr="00403F08">
        <w:rPr>
          <w:lang w:val="fr-CH"/>
        </w:rPr>
        <w:t xml:space="preserve"> étaient jugées prioritaires et </w:t>
      </w:r>
      <w:r w:rsidR="00665AE5">
        <w:rPr>
          <w:lang w:val="fr-CH"/>
        </w:rPr>
        <w:t>87</w:t>
      </w:r>
      <w:r w:rsidRPr="00403F08">
        <w:rPr>
          <w:lang w:val="fr-CH"/>
        </w:rPr>
        <w:t xml:space="preserve"> présentaient un degré de priorité moyen.</w:t>
      </w:r>
      <w:r w:rsidR="00186810" w:rsidRPr="00403F08">
        <w:rPr>
          <w:lang w:val="fr-CH"/>
        </w:rPr>
        <w:t xml:space="preserve">  </w:t>
      </w:r>
      <w:r w:rsidRPr="00403F08">
        <w:rPr>
          <w:lang w:val="fr-CH"/>
        </w:rPr>
        <w:t>Les recommandations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représentaient </w:t>
      </w:r>
      <w:r w:rsidR="00665AE5">
        <w:rPr>
          <w:lang w:val="fr-CH"/>
        </w:rPr>
        <w:t>85</w:t>
      </w:r>
      <w:r w:rsidRPr="00403F08">
        <w:rPr>
          <w:lang w:val="fr-CH"/>
        </w:rPr>
        <w:t>% de l</w:t>
      </w:r>
      <w:r w:rsidR="000A3166">
        <w:rPr>
          <w:lang w:val="fr-CH"/>
        </w:rPr>
        <w:t>’</w:t>
      </w:r>
      <w:r w:rsidRPr="00403F08">
        <w:rPr>
          <w:lang w:val="fr-CH"/>
        </w:rPr>
        <w:t>ensemble des recommandations de supervision ouvertes.</w:t>
      </w:r>
    </w:p>
    <w:p w14:paraId="0F2B4571" w14:textId="4B50DBA8" w:rsidR="00417F8D" w:rsidRDefault="007B3B9B" w:rsidP="007B3B9B">
      <w:pPr>
        <w:pStyle w:val="ONUME"/>
        <w:numPr>
          <w:ilvl w:val="0"/>
          <w:numId w:val="0"/>
        </w:numPr>
        <w:jc w:val="center"/>
        <w:rPr>
          <w:lang w:val="fr-CH"/>
        </w:rPr>
      </w:pPr>
      <w:r w:rsidRPr="002E030A">
        <w:rPr>
          <w:b/>
          <w:sz w:val="18"/>
          <w:szCs w:val="18"/>
          <w:lang w:val="fr-CH"/>
        </w:rPr>
        <w:t>Diagramme</w:t>
      </w:r>
      <w:r w:rsidR="00C33462" w:rsidRPr="002E030A">
        <w:rPr>
          <w:b/>
          <w:sz w:val="18"/>
          <w:szCs w:val="18"/>
          <w:lang w:val="fr-CH"/>
        </w:rPr>
        <w:t> </w:t>
      </w:r>
      <w:r w:rsidRPr="002E030A">
        <w:rPr>
          <w:b/>
          <w:sz w:val="18"/>
          <w:szCs w:val="18"/>
          <w:lang w:val="fr-CH"/>
        </w:rPr>
        <w:t>3 – Recommandations ouvertes par source et priorité (</w:t>
      </w:r>
      <w:r w:rsidR="00665AE5">
        <w:rPr>
          <w:b/>
          <w:sz w:val="18"/>
          <w:szCs w:val="18"/>
          <w:lang w:val="fr-CH"/>
        </w:rPr>
        <w:t>155</w:t>
      </w:r>
      <w:r w:rsidRPr="002E030A">
        <w:rPr>
          <w:b/>
          <w:sz w:val="18"/>
          <w:szCs w:val="18"/>
          <w:lang w:val="fr-CH"/>
        </w:rPr>
        <w:t>)</w:t>
      </w:r>
      <w:r w:rsidR="002E030A">
        <w:rPr>
          <w:b/>
          <w:sz w:val="18"/>
          <w:szCs w:val="18"/>
          <w:lang w:val="fr-CH"/>
        </w:rPr>
        <w:br/>
      </w:r>
      <w:r w:rsidR="00931367" w:rsidRPr="00931367">
        <w:rPr>
          <w:noProof/>
          <w:lang w:val="fr-CH" w:eastAsia="en-US"/>
        </w:rPr>
        <w:t xml:space="preserve"> </w:t>
      </w:r>
      <w:r w:rsidR="00931367">
        <w:rPr>
          <w:noProof/>
          <w:lang w:eastAsia="en-US"/>
        </w:rPr>
        <w:drawing>
          <wp:inline distT="0" distB="0" distL="0" distR="0" wp14:anchorId="4B92FCE4" wp14:editId="462DDFB0">
            <wp:extent cx="4990681" cy="3312544"/>
            <wp:effectExtent l="57150" t="57150" r="38735" b="406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39EF73" w14:textId="77777777" w:rsidR="00417F8D" w:rsidRDefault="007B3B9B" w:rsidP="00665AE5">
      <w:pPr>
        <w:pStyle w:val="ONUMFS"/>
        <w:rPr>
          <w:lang w:val="fr-CH"/>
        </w:rPr>
      </w:pPr>
      <w:r w:rsidRPr="00403F08">
        <w:rPr>
          <w:lang w:val="fr-CH"/>
        </w:rPr>
        <w:lastRenderedPageBreak/>
        <w:t>Au cours de la période considérée, 16</w:t>
      </w:r>
      <w:r w:rsidR="00C33462">
        <w:rPr>
          <w:lang w:val="fr-CH"/>
        </w:rPr>
        <w:t> </w:t>
      </w:r>
      <w:r w:rsidRPr="00403F08">
        <w:rPr>
          <w:lang w:val="fr-CH"/>
        </w:rPr>
        <w:t>recommandations ont été ajoutées</w:t>
      </w:r>
      <w:r w:rsidR="005E6FB2" w:rsidRPr="00403F08">
        <w:rPr>
          <w:lang w:val="fr-CH"/>
        </w:rPr>
        <w:t xml:space="preserve"> à partir </w:t>
      </w:r>
      <w:r w:rsidRPr="00403F08">
        <w:rPr>
          <w:lang w:val="fr-CH"/>
        </w:rPr>
        <w:t>du rapport</w:t>
      </w:r>
      <w:r w:rsidR="00C33462">
        <w:rPr>
          <w:lang w:val="fr-CH"/>
        </w:rPr>
        <w:t> </w:t>
      </w:r>
      <w:r w:rsidRPr="00403F08">
        <w:rPr>
          <w:lang w:val="fr-CH"/>
        </w:rPr>
        <w:t>2017</w:t>
      </w:r>
      <w:r w:rsidR="00353ADC">
        <w:rPr>
          <w:lang w:val="fr-CH"/>
        </w:rPr>
        <w:t>-</w:t>
      </w:r>
      <w:r w:rsidRPr="00403F08">
        <w:rPr>
          <w:lang w:val="fr-CH"/>
        </w:rPr>
        <w:t>2018 du vérificateur externe des comptes</w:t>
      </w:r>
      <w:r w:rsidRPr="00403F08">
        <w:rPr>
          <w:rStyle w:val="FootnoteReference"/>
        </w:rPr>
        <w:footnoteReference w:id="12"/>
      </w:r>
      <w:r w:rsidRPr="00403F08">
        <w:rPr>
          <w:lang w:val="fr-CH"/>
        </w:rPr>
        <w:t>.</w:t>
      </w:r>
      <w:r w:rsidR="00B04697" w:rsidRPr="00403F08">
        <w:rPr>
          <w:lang w:val="fr-CH"/>
        </w:rPr>
        <w:t xml:space="preserve"> </w:t>
      </w:r>
      <w:r w:rsidR="004E4453" w:rsidRPr="00403F08">
        <w:rPr>
          <w:lang w:val="fr-CH"/>
        </w:rPr>
        <w:t xml:space="preserve"> </w:t>
      </w:r>
      <w:r w:rsidRPr="00403F08">
        <w:rPr>
          <w:lang w:val="fr-CH"/>
        </w:rPr>
        <w:t>Vingt</w:t>
      </w:r>
      <w:r w:rsidR="00353ADC">
        <w:rPr>
          <w:lang w:val="fr-CH"/>
        </w:rPr>
        <w:t>-</w:t>
      </w:r>
      <w:r w:rsidRPr="00403F08">
        <w:rPr>
          <w:lang w:val="fr-CH"/>
        </w:rPr>
        <w:t>quatre recommandations émanant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proviennent de cinq</w:t>
      </w:r>
      <w:r w:rsidR="005B0739">
        <w:rPr>
          <w:lang w:val="fr-CH"/>
        </w:rPr>
        <w:t> </w:t>
      </w:r>
      <w:r w:rsidRPr="00403F08">
        <w:rPr>
          <w:lang w:val="fr-CH"/>
        </w:rPr>
        <w:t>rapports d</w:t>
      </w:r>
      <w:r w:rsidR="000A3166">
        <w:rPr>
          <w:lang w:val="fr-CH"/>
        </w:rPr>
        <w:t>’</w:t>
      </w:r>
      <w:r w:rsidRPr="00403F08">
        <w:rPr>
          <w:lang w:val="fr-CH"/>
        </w:rPr>
        <w:t>audit, d</w:t>
      </w:r>
      <w:r w:rsidR="005E6FB2" w:rsidRPr="00403F08">
        <w:rPr>
          <w:lang w:val="fr-CH"/>
        </w:rPr>
        <w:t>e d</w:t>
      </w:r>
      <w:r w:rsidRPr="00403F08">
        <w:rPr>
          <w:lang w:val="fr-CH"/>
        </w:rPr>
        <w:t>eux</w:t>
      </w:r>
      <w:r w:rsidR="005B0739">
        <w:rPr>
          <w:lang w:val="fr-CH"/>
        </w:rPr>
        <w:t> </w:t>
      </w:r>
      <w:r w:rsidRPr="00403F08">
        <w:rPr>
          <w:lang w:val="fr-CH"/>
        </w:rPr>
        <w:t>rapports d</w:t>
      </w:r>
      <w:r w:rsidR="000A3166">
        <w:rPr>
          <w:lang w:val="fr-CH"/>
        </w:rPr>
        <w:t>’</w:t>
      </w:r>
      <w:r w:rsidRPr="00403F08">
        <w:rPr>
          <w:lang w:val="fr-CH"/>
        </w:rPr>
        <w:t xml:space="preserve">évaluation et </w:t>
      </w:r>
      <w:r w:rsidR="005E6FB2" w:rsidRPr="00403F08">
        <w:rPr>
          <w:lang w:val="fr-CH"/>
        </w:rPr>
        <w:t>d</w:t>
      </w:r>
      <w:r w:rsidR="000A3166">
        <w:rPr>
          <w:lang w:val="fr-CH"/>
        </w:rPr>
        <w:t>’</w:t>
      </w:r>
      <w:r w:rsidRPr="00403F08">
        <w:rPr>
          <w:lang w:val="fr-CH"/>
        </w:rPr>
        <w:t xml:space="preserve">un rapport </w:t>
      </w:r>
      <w:r w:rsidR="00241521" w:rsidRPr="00403F08">
        <w:rPr>
          <w:lang w:val="fr-CH"/>
        </w:rPr>
        <w:t>à l</w:t>
      </w:r>
      <w:r w:rsidR="000A3166">
        <w:rPr>
          <w:lang w:val="fr-CH"/>
        </w:rPr>
        <w:t>’</w:t>
      </w:r>
      <w:r w:rsidR="00241521" w:rsidRPr="00403F08">
        <w:rPr>
          <w:lang w:val="fr-CH"/>
        </w:rPr>
        <w:t>intention de la directi</w:t>
      </w:r>
      <w:r w:rsidR="00007093" w:rsidRPr="00403F08">
        <w:rPr>
          <w:lang w:val="fr-CH"/>
        </w:rPr>
        <w:t>on</w:t>
      </w:r>
      <w:r w:rsidR="00007093">
        <w:rPr>
          <w:lang w:val="fr-CH"/>
        </w:rPr>
        <w:t xml:space="preserve">.  </w:t>
      </w:r>
      <w:r w:rsidR="00665AE5">
        <w:rPr>
          <w:lang w:val="fr-CH"/>
        </w:rPr>
        <w:t xml:space="preserve">L’OCIS a </w:t>
      </w:r>
      <w:r w:rsidR="00665AE5" w:rsidRPr="00665AE5">
        <w:rPr>
          <w:lang w:val="fr-CH"/>
        </w:rPr>
        <w:t>formulé deux recommandations à la suite de l’examen des délais visés pour l</w:t>
      </w:r>
      <w:r w:rsidR="00665AE5">
        <w:rPr>
          <w:lang w:val="fr-CH"/>
        </w:rPr>
        <w:t>’établissement de rapports et l</w:t>
      </w:r>
      <w:r w:rsidR="00665AE5" w:rsidRPr="00665AE5">
        <w:rPr>
          <w:lang w:val="fr-CH"/>
        </w:rPr>
        <w:t>a procédure d’enquête</w:t>
      </w:r>
      <w:r w:rsidR="00665AE5">
        <w:rPr>
          <w:lang w:val="fr-CH"/>
        </w:rPr>
        <w:t xml:space="preserve"> (WO/PBC/30/14).</w:t>
      </w:r>
    </w:p>
    <w:p w14:paraId="25EC8BEE" w14:textId="77777777" w:rsidR="00417F8D" w:rsidRDefault="00665AE5" w:rsidP="00665AE5">
      <w:pPr>
        <w:pStyle w:val="ONUMFS"/>
        <w:rPr>
          <w:lang w:val="fr-CH"/>
        </w:rPr>
      </w:pPr>
      <w:r w:rsidRPr="00665AE5">
        <w:rPr>
          <w:lang w:val="fr-CH"/>
        </w:rPr>
        <w:t xml:space="preserve"> </w:t>
      </w:r>
      <w:r w:rsidR="00007093" w:rsidRPr="00403F08">
        <w:rPr>
          <w:lang w:val="fr-CH"/>
        </w:rPr>
        <w:t>Au</w:t>
      </w:r>
      <w:r w:rsidR="007B3B9B" w:rsidRPr="00403F08">
        <w:rPr>
          <w:lang w:val="fr-CH"/>
        </w:rPr>
        <w:t>cune recommandation de</w:t>
      </w:r>
      <w:r w:rsidR="00353ADC" w:rsidRPr="00403F08">
        <w:rPr>
          <w:lang w:val="fr-CH"/>
        </w:rPr>
        <w:t xml:space="preserve"> la</w:t>
      </w:r>
      <w:r w:rsidR="00353ADC">
        <w:rPr>
          <w:lang w:val="fr-CH"/>
        </w:rPr>
        <w:t> </w:t>
      </w:r>
      <w:r w:rsidR="00353ADC" w:rsidRPr="00403F08">
        <w:rPr>
          <w:lang w:val="fr-CH"/>
        </w:rPr>
        <w:t>DSI</w:t>
      </w:r>
      <w:r w:rsidR="007B3B9B" w:rsidRPr="00403F08">
        <w:rPr>
          <w:lang w:val="fr-CH"/>
        </w:rPr>
        <w:t xml:space="preserve"> n</w:t>
      </w:r>
      <w:r w:rsidR="000A3166">
        <w:rPr>
          <w:lang w:val="fr-CH"/>
        </w:rPr>
        <w:t>’</w:t>
      </w:r>
      <w:r w:rsidR="007B3B9B" w:rsidRPr="00403F08">
        <w:rPr>
          <w:lang w:val="fr-CH"/>
        </w:rPr>
        <w:t xml:space="preserve">a été close sans avoir été mise en </w:t>
      </w:r>
      <w:r w:rsidR="00241521" w:rsidRPr="00403F08">
        <w:rPr>
          <w:lang w:val="fr-CH"/>
        </w:rPr>
        <w:t>œuvre</w:t>
      </w:r>
      <w:r w:rsidR="007B3B9B" w:rsidRPr="00403F08">
        <w:rPr>
          <w:lang w:val="fr-CH"/>
        </w:rPr>
        <w:t xml:space="preserve"> au cours de la période considér</w:t>
      </w:r>
      <w:r w:rsidR="00007093" w:rsidRPr="00403F08">
        <w:rPr>
          <w:lang w:val="fr-CH"/>
        </w:rPr>
        <w:t>ée</w:t>
      </w:r>
      <w:r w:rsidR="00007093">
        <w:rPr>
          <w:lang w:val="fr-CH"/>
        </w:rPr>
        <w:t xml:space="preserve">.  </w:t>
      </w:r>
      <w:r w:rsidR="00007093" w:rsidRPr="00403F08">
        <w:rPr>
          <w:lang w:val="fr-CH"/>
        </w:rPr>
        <w:t>Le</w:t>
      </w:r>
      <w:r w:rsidR="007B3B9B" w:rsidRPr="00403F08">
        <w:rPr>
          <w:lang w:val="fr-CH"/>
        </w:rPr>
        <w:t xml:space="preserve"> vérificateur externe des comptes </w:t>
      </w:r>
      <w:r w:rsidR="005E6FB2" w:rsidRPr="00403F08">
        <w:rPr>
          <w:lang w:val="fr-CH"/>
        </w:rPr>
        <w:t>a</w:t>
      </w:r>
      <w:r w:rsidR="007B3B9B" w:rsidRPr="00403F08">
        <w:rPr>
          <w:lang w:val="fr-CH"/>
        </w:rPr>
        <w:t xml:space="preserve"> clôturé quatre</w:t>
      </w:r>
      <w:r w:rsidR="005B0739">
        <w:rPr>
          <w:lang w:val="fr-CH"/>
        </w:rPr>
        <w:t> </w:t>
      </w:r>
      <w:r w:rsidR="007B3B9B" w:rsidRPr="00403F08">
        <w:rPr>
          <w:lang w:val="fr-CH"/>
        </w:rPr>
        <w:t xml:space="preserve">recommandations issues </w:t>
      </w:r>
      <w:r>
        <w:rPr>
          <w:lang w:val="fr-CH"/>
        </w:rPr>
        <w:t>d’u</w:t>
      </w:r>
      <w:r w:rsidR="005E6FB2" w:rsidRPr="00403F08">
        <w:rPr>
          <w:lang w:val="fr-CH"/>
        </w:rPr>
        <w:t>n</w:t>
      </w:r>
      <w:r w:rsidR="007B3B9B" w:rsidRPr="00403F08">
        <w:rPr>
          <w:lang w:val="fr-CH"/>
        </w:rPr>
        <w:t xml:space="preserve"> audit de conformité concernant les voyages et bourses, effectué </w:t>
      </w:r>
      <w:r w:rsidR="00353ADC" w:rsidRPr="00403F08">
        <w:rPr>
          <w:lang w:val="fr-CH"/>
        </w:rPr>
        <w:t>en</w:t>
      </w:r>
      <w:r w:rsidR="00353ADC">
        <w:rPr>
          <w:lang w:val="fr-CH"/>
        </w:rPr>
        <w:t> </w:t>
      </w:r>
      <w:r w:rsidR="00353ADC" w:rsidRPr="00403F08">
        <w:rPr>
          <w:lang w:val="fr-CH"/>
        </w:rPr>
        <w:t>2015</w:t>
      </w:r>
      <w:r w:rsidR="00353ADC">
        <w:rPr>
          <w:lang w:val="fr-CH"/>
        </w:rPr>
        <w:t>-</w:t>
      </w:r>
      <w:r w:rsidR="007B3B9B" w:rsidRPr="00403F08">
        <w:rPr>
          <w:lang w:val="fr-CH"/>
        </w:rPr>
        <w:t>2016, au motif que la direction a accepté les risques correspondants.</w:t>
      </w:r>
    </w:p>
    <w:p w14:paraId="4B60ECE6" w14:textId="77777777" w:rsidR="00417F8D" w:rsidRDefault="00417F8D" w:rsidP="00417F8D">
      <w:pPr>
        <w:pStyle w:val="ONUMFS"/>
        <w:rPr>
          <w:color w:val="000000" w:themeColor="text1"/>
          <w:lang w:val="fr-CH"/>
        </w:rPr>
      </w:pPr>
      <w:r w:rsidRPr="00417F8D">
        <w:rPr>
          <w:color w:val="000000" w:themeColor="text1"/>
          <w:lang w:val="fr-CH"/>
        </w:rPr>
        <w:t>À la suite de la nomination du contrôleur-vérificateur général des comptes du Royaume-Uni en qualité de vérificateur externe des comptes de l'OMPI à compter du 1</w:t>
      </w:r>
      <w:r w:rsidRPr="00417F8D">
        <w:rPr>
          <w:color w:val="000000" w:themeColor="text1"/>
          <w:vertAlign w:val="superscript"/>
          <w:lang w:val="fr-CH"/>
        </w:rPr>
        <w:t>er</w:t>
      </w:r>
      <w:r>
        <w:rPr>
          <w:color w:val="000000" w:themeColor="text1"/>
          <w:lang w:val="fr-CH"/>
        </w:rPr>
        <w:t> </w:t>
      </w:r>
      <w:r w:rsidRPr="00417F8D">
        <w:rPr>
          <w:color w:val="000000" w:themeColor="text1"/>
          <w:lang w:val="fr-CH"/>
        </w:rPr>
        <w:t>janvier 2018, le bureau national de vérification des comptes du Royaume-Uni a examiné les recommandations en suspens faites par les précédents vérificateurs externes des comptes.</w:t>
      </w:r>
      <w:r w:rsidR="00665AE5" w:rsidRPr="00417F8D">
        <w:rPr>
          <w:color w:val="000000" w:themeColor="text1"/>
          <w:lang w:val="fr-CH"/>
        </w:rPr>
        <w:t xml:space="preserve">  </w:t>
      </w:r>
      <w:r w:rsidRPr="00417F8D">
        <w:rPr>
          <w:color w:val="000000" w:themeColor="text1"/>
          <w:lang w:val="fr-CH"/>
        </w:rPr>
        <w:t>Le bureau national de vérification des comptes a examiné 19</w:t>
      </w:r>
      <w:r>
        <w:rPr>
          <w:color w:val="000000" w:themeColor="text1"/>
          <w:lang w:val="fr-CH"/>
        </w:rPr>
        <w:t> recommandations sur les 62 </w:t>
      </w:r>
      <w:r w:rsidRPr="00417F8D">
        <w:rPr>
          <w:color w:val="000000" w:themeColor="text1"/>
          <w:lang w:val="fr-CH"/>
        </w:rPr>
        <w:t xml:space="preserve">recommandations en suspens, en a </w:t>
      </w:r>
      <w:r>
        <w:rPr>
          <w:color w:val="000000" w:themeColor="text1"/>
          <w:lang w:val="fr-CH"/>
        </w:rPr>
        <w:t>clôturé 12 </w:t>
      </w:r>
      <w:r w:rsidRPr="00417F8D">
        <w:rPr>
          <w:color w:val="000000" w:themeColor="text1"/>
          <w:lang w:val="fr-CH"/>
        </w:rPr>
        <w:t>et a considéré que sept</w:t>
      </w:r>
      <w:r>
        <w:rPr>
          <w:color w:val="000000" w:themeColor="text1"/>
          <w:lang w:val="fr-CH"/>
        </w:rPr>
        <w:t> </w:t>
      </w:r>
      <w:r w:rsidRPr="00417F8D">
        <w:rPr>
          <w:color w:val="000000" w:themeColor="text1"/>
          <w:lang w:val="fr-CH"/>
        </w:rPr>
        <w:t>recommandations étaient en suspens.</w:t>
      </w:r>
      <w:r w:rsidR="00665AE5" w:rsidRPr="00417F8D">
        <w:rPr>
          <w:color w:val="000000" w:themeColor="text1"/>
          <w:lang w:val="fr-CH"/>
        </w:rPr>
        <w:t xml:space="preserve">  </w:t>
      </w:r>
      <w:r>
        <w:rPr>
          <w:color w:val="000000" w:themeColor="text1"/>
          <w:lang w:val="fr-CH"/>
        </w:rPr>
        <w:t>Ces sept </w:t>
      </w:r>
      <w:r w:rsidRPr="00417F8D">
        <w:rPr>
          <w:color w:val="000000" w:themeColor="text1"/>
          <w:lang w:val="fr-CH"/>
        </w:rPr>
        <w:t>recommandations seront suivies par le bureau national de vérification des comptes du Royaume-Uni.</w:t>
      </w:r>
    </w:p>
    <w:p w14:paraId="7BC9E411" w14:textId="7BCBC267" w:rsidR="00417F8D" w:rsidRDefault="00417F8D" w:rsidP="00417F8D">
      <w:pPr>
        <w:pStyle w:val="ONUMFS"/>
        <w:rPr>
          <w:color w:val="000000" w:themeColor="text1"/>
          <w:lang w:val="fr-CH"/>
        </w:rPr>
      </w:pPr>
      <w:r w:rsidRPr="00417F8D">
        <w:rPr>
          <w:color w:val="000000" w:themeColor="text1"/>
          <w:lang w:val="fr-CH"/>
        </w:rPr>
        <w:t>La DSI a par ailleurs examiné les 43 recommandations d'audit externe restantes qui n'avaient pas été examinées par le bureau national de vérification des comptes du Royaume-Uni et a clôturé 29 recommandations.  La DSI suivra la mise en œuvre</w:t>
      </w:r>
      <w:r>
        <w:rPr>
          <w:color w:val="000000" w:themeColor="text1"/>
          <w:lang w:val="fr-CH"/>
        </w:rPr>
        <w:t xml:space="preserve"> des 14 </w:t>
      </w:r>
      <w:r w:rsidRPr="00417F8D">
        <w:rPr>
          <w:color w:val="000000" w:themeColor="text1"/>
          <w:lang w:val="fr-CH"/>
        </w:rPr>
        <w:t>recommandations ouvertes restantes de ce groupe de recommandations d'audit externe (désignées sous le terme de "</w:t>
      </w:r>
      <w:r>
        <w:rPr>
          <w:color w:val="000000" w:themeColor="text1"/>
          <w:lang w:val="fr-CH"/>
        </w:rPr>
        <w:t>R</w:t>
      </w:r>
      <w:r w:rsidRPr="00417F8D">
        <w:rPr>
          <w:color w:val="000000" w:themeColor="text1"/>
          <w:lang w:val="fr-CH"/>
        </w:rPr>
        <w:t>ecommandations de l’audit externe transférées à la DSI" dans le tableau 2 ci-dessous).  Le tableau 2 montre l’évolution des recommandations par source, entre le 1</w:t>
      </w:r>
      <w:r w:rsidRPr="00417F8D">
        <w:rPr>
          <w:color w:val="000000" w:themeColor="text1"/>
          <w:vertAlign w:val="superscript"/>
          <w:lang w:val="fr-CH"/>
        </w:rPr>
        <w:t>er</w:t>
      </w:r>
      <w:r w:rsidRPr="00417F8D">
        <w:rPr>
          <w:color w:val="000000" w:themeColor="text1"/>
          <w:lang w:val="fr-CH"/>
        </w:rPr>
        <w:t xml:space="preserve"> juillet 2018 et le 30 juin 2019. </w:t>
      </w:r>
    </w:p>
    <w:p w14:paraId="62ADB3AC" w14:textId="2631CE8B" w:rsidR="00417F8D" w:rsidRPr="00D02ADB" w:rsidRDefault="00417F8D" w:rsidP="00D02ADB">
      <w:pPr>
        <w:pStyle w:val="ONUMFS"/>
        <w:numPr>
          <w:ilvl w:val="0"/>
          <w:numId w:val="0"/>
        </w:numPr>
        <w:jc w:val="center"/>
        <w:rPr>
          <w:b/>
          <w:lang w:val="fr-CH"/>
        </w:rPr>
      </w:pPr>
      <w:r w:rsidRPr="00D02ADB">
        <w:rPr>
          <w:b/>
          <w:lang w:val="fr-CH"/>
        </w:rPr>
        <w:t xml:space="preserve">Tableau 2 – </w:t>
      </w:r>
      <w:r w:rsidRPr="00D02ADB">
        <w:rPr>
          <w:b/>
          <w:color w:val="000000" w:themeColor="text1"/>
          <w:lang w:val="fr-CH"/>
        </w:rPr>
        <w:t>Évolution des recommandations par source</w:t>
      </w:r>
      <w:r w:rsidRPr="00D02ADB">
        <w:rPr>
          <w:b/>
          <w:lang w:val="fr-CH"/>
        </w:rPr>
        <w:t xml:space="preserve"> </w:t>
      </w:r>
      <w:r w:rsidRPr="00D02ADB">
        <w:rPr>
          <w:b/>
          <w:color w:val="000000" w:themeColor="text1"/>
          <w:lang w:val="fr-CH"/>
        </w:rPr>
        <w:t>entre le 1</w:t>
      </w:r>
      <w:r w:rsidRPr="00D02ADB">
        <w:rPr>
          <w:b/>
          <w:color w:val="000000" w:themeColor="text1"/>
          <w:vertAlign w:val="superscript"/>
          <w:lang w:val="fr-CH"/>
        </w:rPr>
        <w:t>er</w:t>
      </w:r>
      <w:r w:rsidRPr="00D02ADB">
        <w:rPr>
          <w:b/>
          <w:color w:val="000000" w:themeColor="text1"/>
          <w:lang w:val="fr-CH"/>
        </w:rPr>
        <w:t xml:space="preserve"> juillet 2018 et le 30 juin 2019</w:t>
      </w:r>
    </w:p>
    <w:tbl>
      <w:tblPr>
        <w:tblStyle w:val="GridTable6Colorful-Accent1"/>
        <w:tblW w:w="9345" w:type="dxa"/>
        <w:tblInd w:w="-95" w:type="dxa"/>
        <w:tblLook w:val="04A0" w:firstRow="1" w:lastRow="0" w:firstColumn="1" w:lastColumn="0" w:noHBand="0" w:noVBand="1"/>
      </w:tblPr>
      <w:tblGrid>
        <w:gridCol w:w="2187"/>
        <w:gridCol w:w="1366"/>
        <w:gridCol w:w="1339"/>
        <w:gridCol w:w="1421"/>
        <w:gridCol w:w="1785"/>
        <w:gridCol w:w="1342"/>
      </w:tblGrid>
      <w:tr w:rsidR="00D02ADB" w:rsidRPr="0031505E" w14:paraId="509877C6" w14:textId="77777777" w:rsidTr="00A7638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40" w:type="dxa"/>
            <w:shd w:val="clear" w:color="auto" w:fill="95B3D7" w:themeFill="accent1" w:themeFillTint="99"/>
            <w:noWrap/>
            <w:hideMark/>
          </w:tcPr>
          <w:p w14:paraId="3CD2B32A" w14:textId="77777777" w:rsidR="00417F8D" w:rsidRPr="0031505E" w:rsidRDefault="00417F8D" w:rsidP="00A76380">
            <w:pPr>
              <w:rPr>
                <w:rFonts w:eastAsia="Times New Roman"/>
                <w:b w:val="0"/>
                <w:bCs w:val="0"/>
                <w:color w:val="000000"/>
                <w:sz w:val="20"/>
                <w:lang w:eastAsia="en-US"/>
              </w:rPr>
            </w:pPr>
            <w:r w:rsidRPr="0031505E">
              <w:rPr>
                <w:rFonts w:eastAsia="Times New Roman"/>
                <w:b w:val="0"/>
                <w:bCs w:val="0"/>
                <w:color w:val="000000"/>
                <w:sz w:val="20"/>
                <w:lang w:eastAsia="en-US"/>
              </w:rPr>
              <w:t>Source</w:t>
            </w:r>
          </w:p>
        </w:tc>
        <w:tc>
          <w:tcPr>
            <w:tcW w:w="1310" w:type="dxa"/>
            <w:shd w:val="clear" w:color="auto" w:fill="95B3D7" w:themeFill="accent1" w:themeFillTint="99"/>
            <w:hideMark/>
          </w:tcPr>
          <w:p w14:paraId="7A301863" w14:textId="25FD0654" w:rsidR="00417F8D" w:rsidRPr="0031505E" w:rsidRDefault="00D02ADB" w:rsidP="00D02AD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proofErr w:type="spellStart"/>
            <w:r>
              <w:rPr>
                <w:rFonts w:eastAsia="Times New Roman"/>
                <w:b w:val="0"/>
                <w:bCs w:val="0"/>
                <w:color w:val="000000"/>
                <w:sz w:val="20"/>
                <w:lang w:eastAsia="en-US"/>
              </w:rPr>
              <w:t>Ouverte</w:t>
            </w:r>
            <w:proofErr w:type="spellEnd"/>
            <w:r>
              <w:rPr>
                <w:rFonts w:eastAsia="Times New Roman"/>
                <w:b w:val="0"/>
                <w:bCs w:val="0"/>
                <w:color w:val="000000"/>
                <w:sz w:val="20"/>
                <w:lang w:eastAsia="en-US"/>
              </w:rPr>
              <w:t xml:space="preserve"> au 1</w:t>
            </w:r>
            <w:r w:rsidRPr="00D02ADB">
              <w:rPr>
                <w:rFonts w:eastAsia="Times New Roman"/>
                <w:b w:val="0"/>
                <w:bCs w:val="0"/>
                <w:color w:val="000000"/>
                <w:sz w:val="20"/>
                <w:vertAlign w:val="superscript"/>
                <w:lang w:eastAsia="en-US"/>
              </w:rPr>
              <w:t>er</w:t>
            </w:r>
            <w:r>
              <w:rPr>
                <w:rFonts w:eastAsia="Times New Roman"/>
                <w:b w:val="0"/>
                <w:bCs w:val="0"/>
                <w:color w:val="000000"/>
                <w:sz w:val="20"/>
                <w:lang w:eastAsia="en-US"/>
              </w:rPr>
              <w:t> </w:t>
            </w:r>
            <w:proofErr w:type="spellStart"/>
            <w:r>
              <w:rPr>
                <w:rFonts w:eastAsia="Times New Roman"/>
                <w:b w:val="0"/>
                <w:bCs w:val="0"/>
                <w:color w:val="000000"/>
                <w:sz w:val="20"/>
                <w:lang w:eastAsia="en-US"/>
              </w:rPr>
              <w:t>juillet</w:t>
            </w:r>
            <w:proofErr w:type="spellEnd"/>
            <w:r>
              <w:rPr>
                <w:rFonts w:eastAsia="Times New Roman"/>
                <w:b w:val="0"/>
                <w:bCs w:val="0"/>
                <w:color w:val="000000"/>
                <w:sz w:val="20"/>
                <w:lang w:eastAsia="en-US"/>
              </w:rPr>
              <w:t> </w:t>
            </w:r>
            <w:r w:rsidR="00417F8D" w:rsidRPr="0031505E">
              <w:rPr>
                <w:rFonts w:eastAsia="Times New Roman"/>
                <w:b w:val="0"/>
                <w:bCs w:val="0"/>
                <w:color w:val="000000"/>
                <w:sz w:val="20"/>
                <w:lang w:eastAsia="en-US"/>
              </w:rPr>
              <w:t>2018</w:t>
            </w:r>
          </w:p>
        </w:tc>
        <w:tc>
          <w:tcPr>
            <w:tcW w:w="1426" w:type="dxa"/>
            <w:shd w:val="clear" w:color="auto" w:fill="95B3D7" w:themeFill="accent1" w:themeFillTint="99"/>
            <w:hideMark/>
          </w:tcPr>
          <w:p w14:paraId="22248EC5" w14:textId="5A4FC664" w:rsidR="00417F8D" w:rsidRPr="0031505E" w:rsidRDefault="00D02ADB" w:rsidP="00D02AD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proofErr w:type="spellStart"/>
            <w:r>
              <w:rPr>
                <w:rFonts w:eastAsia="Times New Roman"/>
                <w:b w:val="0"/>
                <w:bCs w:val="0"/>
                <w:color w:val="000000"/>
                <w:sz w:val="20"/>
                <w:lang w:eastAsia="en-US"/>
              </w:rPr>
              <w:t>Ajoutée</w:t>
            </w:r>
            <w:proofErr w:type="spellEnd"/>
            <w:r>
              <w:rPr>
                <w:rFonts w:eastAsia="Times New Roman"/>
                <w:b w:val="0"/>
                <w:bCs w:val="0"/>
                <w:color w:val="000000"/>
                <w:sz w:val="20"/>
                <w:lang w:eastAsia="en-US"/>
              </w:rPr>
              <w:t xml:space="preserve"> pendant </w:t>
            </w:r>
            <w:proofErr w:type="spellStart"/>
            <w:r>
              <w:rPr>
                <w:rFonts w:eastAsia="Times New Roman"/>
                <w:b w:val="0"/>
                <w:bCs w:val="0"/>
                <w:color w:val="000000"/>
                <w:sz w:val="20"/>
                <w:lang w:eastAsia="en-US"/>
              </w:rPr>
              <w:t>l’année</w:t>
            </w:r>
            <w:proofErr w:type="spellEnd"/>
            <w:r w:rsidR="00417F8D" w:rsidRPr="0031505E">
              <w:rPr>
                <w:rFonts w:eastAsia="Times New Roman"/>
                <w:b w:val="0"/>
                <w:bCs w:val="0"/>
                <w:color w:val="000000"/>
                <w:sz w:val="20"/>
                <w:lang w:eastAsia="en-US"/>
              </w:rPr>
              <w:t xml:space="preserve"> </w:t>
            </w:r>
          </w:p>
        </w:tc>
        <w:tc>
          <w:tcPr>
            <w:tcW w:w="1515" w:type="dxa"/>
            <w:shd w:val="clear" w:color="auto" w:fill="95B3D7" w:themeFill="accent1" w:themeFillTint="99"/>
            <w:hideMark/>
          </w:tcPr>
          <w:p w14:paraId="6F85D855" w14:textId="55B7FF72" w:rsidR="00417F8D" w:rsidRPr="0031505E" w:rsidRDefault="00417F8D" w:rsidP="00D02AD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proofErr w:type="spellStart"/>
            <w:r w:rsidRPr="0031505E">
              <w:rPr>
                <w:rFonts w:eastAsia="Times New Roman"/>
                <w:b w:val="0"/>
                <w:bCs w:val="0"/>
                <w:color w:val="000000"/>
                <w:sz w:val="20"/>
                <w:lang w:eastAsia="en-US"/>
              </w:rPr>
              <w:t>Cl</w:t>
            </w:r>
            <w:r w:rsidR="00D02ADB">
              <w:rPr>
                <w:rFonts w:eastAsia="Times New Roman"/>
                <w:b w:val="0"/>
                <w:bCs w:val="0"/>
                <w:color w:val="000000"/>
                <w:sz w:val="20"/>
                <w:lang w:eastAsia="en-US"/>
              </w:rPr>
              <w:t>ôturé</w:t>
            </w:r>
            <w:r w:rsidRPr="0031505E">
              <w:rPr>
                <w:rFonts w:eastAsia="Times New Roman"/>
                <w:b w:val="0"/>
                <w:bCs w:val="0"/>
                <w:color w:val="000000"/>
                <w:sz w:val="20"/>
                <w:lang w:eastAsia="en-US"/>
              </w:rPr>
              <w:t>e</w:t>
            </w:r>
            <w:proofErr w:type="spellEnd"/>
            <w:r w:rsidR="00D02ADB">
              <w:rPr>
                <w:rFonts w:eastAsia="Times New Roman"/>
                <w:b w:val="0"/>
                <w:bCs w:val="0"/>
                <w:color w:val="000000"/>
                <w:sz w:val="20"/>
                <w:lang w:eastAsia="en-US"/>
              </w:rPr>
              <w:t xml:space="preserve"> pendant </w:t>
            </w:r>
            <w:proofErr w:type="spellStart"/>
            <w:r w:rsidR="00D02ADB">
              <w:rPr>
                <w:rFonts w:eastAsia="Times New Roman"/>
                <w:b w:val="0"/>
                <w:bCs w:val="0"/>
                <w:color w:val="000000"/>
                <w:sz w:val="20"/>
                <w:lang w:eastAsia="en-US"/>
              </w:rPr>
              <w:t>l’année</w:t>
            </w:r>
            <w:proofErr w:type="spellEnd"/>
            <w:r w:rsidR="00D02ADB">
              <w:rPr>
                <w:rFonts w:eastAsia="Times New Roman"/>
                <w:b w:val="0"/>
                <w:bCs w:val="0"/>
                <w:color w:val="000000"/>
                <w:sz w:val="20"/>
                <w:lang w:eastAsia="en-US"/>
              </w:rPr>
              <w:t xml:space="preserve"> </w:t>
            </w:r>
            <w:r w:rsidRPr="0031505E">
              <w:rPr>
                <w:rFonts w:eastAsia="Times New Roman"/>
                <w:b w:val="0"/>
                <w:bCs w:val="0"/>
                <w:color w:val="000000"/>
                <w:sz w:val="20"/>
                <w:lang w:eastAsia="en-US"/>
              </w:rPr>
              <w:t xml:space="preserve"> </w:t>
            </w:r>
          </w:p>
        </w:tc>
        <w:tc>
          <w:tcPr>
            <w:tcW w:w="1324" w:type="dxa"/>
            <w:shd w:val="clear" w:color="auto" w:fill="95B3D7" w:themeFill="accent1" w:themeFillTint="99"/>
          </w:tcPr>
          <w:p w14:paraId="7CC91AA1" w14:textId="23345FD3" w:rsidR="00417F8D" w:rsidRPr="0031505E" w:rsidRDefault="00417F8D" w:rsidP="00D02AD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proofErr w:type="spellStart"/>
            <w:r w:rsidRPr="0031505E">
              <w:rPr>
                <w:rFonts w:eastAsia="Times New Roman"/>
                <w:b w:val="0"/>
                <w:bCs w:val="0"/>
                <w:color w:val="000000"/>
                <w:sz w:val="20"/>
                <w:lang w:eastAsia="en-US"/>
              </w:rPr>
              <w:t>Transf</w:t>
            </w:r>
            <w:r w:rsidR="00D02ADB">
              <w:rPr>
                <w:rFonts w:eastAsia="Times New Roman"/>
                <w:b w:val="0"/>
                <w:bCs w:val="0"/>
                <w:color w:val="000000"/>
                <w:sz w:val="20"/>
                <w:lang w:eastAsia="en-US"/>
              </w:rPr>
              <w:t>éré</w:t>
            </w:r>
            <w:r w:rsidRPr="0031505E">
              <w:rPr>
                <w:rFonts w:eastAsia="Times New Roman"/>
                <w:b w:val="0"/>
                <w:bCs w:val="0"/>
                <w:color w:val="000000"/>
                <w:sz w:val="20"/>
                <w:lang w:eastAsia="en-US"/>
              </w:rPr>
              <w:t>e</w:t>
            </w:r>
            <w:r w:rsidR="00D02ADB">
              <w:rPr>
                <w:rFonts w:eastAsia="Times New Roman"/>
                <w:b w:val="0"/>
                <w:bCs w:val="0"/>
                <w:color w:val="000000"/>
                <w:sz w:val="20"/>
                <w:lang w:eastAsia="en-US"/>
              </w:rPr>
              <w:t>pendant</w:t>
            </w:r>
            <w:proofErr w:type="spellEnd"/>
            <w:r w:rsidR="00D02ADB">
              <w:rPr>
                <w:rFonts w:eastAsia="Times New Roman"/>
                <w:b w:val="0"/>
                <w:bCs w:val="0"/>
                <w:color w:val="000000"/>
                <w:sz w:val="20"/>
                <w:lang w:eastAsia="en-US"/>
              </w:rPr>
              <w:t xml:space="preserve"> </w:t>
            </w:r>
            <w:proofErr w:type="spellStart"/>
            <w:r w:rsidR="00D02ADB">
              <w:rPr>
                <w:rFonts w:eastAsia="Times New Roman"/>
                <w:b w:val="0"/>
                <w:bCs w:val="0"/>
                <w:color w:val="000000"/>
                <w:sz w:val="20"/>
                <w:lang w:eastAsia="en-US"/>
              </w:rPr>
              <w:t>l’année</w:t>
            </w:r>
            <w:proofErr w:type="spellEnd"/>
            <w:r w:rsidR="00D02ADB">
              <w:rPr>
                <w:rFonts w:eastAsia="Times New Roman"/>
                <w:b w:val="0"/>
                <w:bCs w:val="0"/>
                <w:color w:val="000000"/>
                <w:sz w:val="20"/>
                <w:lang w:eastAsia="en-US"/>
              </w:rPr>
              <w:t xml:space="preserve"> </w:t>
            </w:r>
            <w:r w:rsidR="00D02ADB" w:rsidRPr="0031505E">
              <w:rPr>
                <w:rFonts w:eastAsia="Times New Roman"/>
                <w:b w:val="0"/>
                <w:bCs w:val="0"/>
                <w:color w:val="000000"/>
                <w:sz w:val="20"/>
                <w:lang w:eastAsia="en-US"/>
              </w:rPr>
              <w:t xml:space="preserve"> </w:t>
            </w:r>
          </w:p>
        </w:tc>
        <w:tc>
          <w:tcPr>
            <w:tcW w:w="1430" w:type="dxa"/>
            <w:shd w:val="clear" w:color="auto" w:fill="95B3D7" w:themeFill="accent1" w:themeFillTint="99"/>
            <w:hideMark/>
          </w:tcPr>
          <w:p w14:paraId="4A0F861A" w14:textId="7E5E2AC0" w:rsidR="00417F8D" w:rsidRPr="0031505E" w:rsidRDefault="00D02ADB" w:rsidP="00D02AD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proofErr w:type="spellStart"/>
            <w:r>
              <w:rPr>
                <w:rFonts w:eastAsia="Times New Roman"/>
                <w:b w:val="0"/>
                <w:bCs w:val="0"/>
                <w:color w:val="000000"/>
                <w:sz w:val="20"/>
                <w:lang w:eastAsia="en-US"/>
              </w:rPr>
              <w:t>Ouverte</w:t>
            </w:r>
            <w:proofErr w:type="spellEnd"/>
            <w:r>
              <w:rPr>
                <w:rFonts w:eastAsia="Times New Roman"/>
                <w:b w:val="0"/>
                <w:bCs w:val="0"/>
                <w:color w:val="000000"/>
                <w:sz w:val="20"/>
                <w:lang w:eastAsia="en-US"/>
              </w:rPr>
              <w:t xml:space="preserve"> au </w:t>
            </w:r>
            <w:r w:rsidR="00417F8D" w:rsidRPr="0031505E">
              <w:rPr>
                <w:rFonts w:eastAsia="Times New Roman"/>
                <w:b w:val="0"/>
                <w:bCs w:val="0"/>
                <w:color w:val="000000"/>
                <w:sz w:val="20"/>
                <w:lang w:eastAsia="en-US"/>
              </w:rPr>
              <w:t>30</w:t>
            </w:r>
            <w:r>
              <w:rPr>
                <w:rFonts w:eastAsia="Times New Roman"/>
                <w:b w:val="0"/>
                <w:bCs w:val="0"/>
                <w:color w:val="000000"/>
                <w:sz w:val="20"/>
                <w:lang w:eastAsia="en-US"/>
              </w:rPr>
              <w:t xml:space="preserve"> </w:t>
            </w:r>
            <w:proofErr w:type="spellStart"/>
            <w:r>
              <w:rPr>
                <w:rFonts w:eastAsia="Times New Roman"/>
                <w:b w:val="0"/>
                <w:bCs w:val="0"/>
                <w:color w:val="000000"/>
                <w:sz w:val="20"/>
                <w:lang w:eastAsia="en-US"/>
              </w:rPr>
              <w:t>juin</w:t>
            </w:r>
            <w:proofErr w:type="spellEnd"/>
            <w:r>
              <w:rPr>
                <w:rFonts w:eastAsia="Times New Roman"/>
                <w:b w:val="0"/>
                <w:bCs w:val="0"/>
                <w:color w:val="000000"/>
                <w:sz w:val="20"/>
                <w:lang w:eastAsia="en-US"/>
              </w:rPr>
              <w:t> </w:t>
            </w:r>
            <w:r w:rsidR="00417F8D" w:rsidRPr="0031505E">
              <w:rPr>
                <w:rFonts w:eastAsia="Times New Roman"/>
                <w:b w:val="0"/>
                <w:bCs w:val="0"/>
                <w:color w:val="000000"/>
                <w:sz w:val="20"/>
                <w:lang w:eastAsia="en-US"/>
              </w:rPr>
              <w:t>2019</w:t>
            </w:r>
          </w:p>
        </w:tc>
      </w:tr>
      <w:tr w:rsidR="00D02ADB" w:rsidRPr="0031505E" w14:paraId="623D3CA0" w14:textId="77777777" w:rsidTr="00A763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0437C917" w14:textId="1ED4CCD9" w:rsidR="00417F8D" w:rsidRPr="0031505E" w:rsidRDefault="00D02ADB" w:rsidP="00A76380">
            <w:pPr>
              <w:rPr>
                <w:rFonts w:eastAsia="Times New Roman"/>
                <w:color w:val="000000"/>
                <w:sz w:val="20"/>
                <w:lang w:eastAsia="en-US"/>
              </w:rPr>
            </w:pPr>
            <w:r>
              <w:rPr>
                <w:rFonts w:eastAsia="Times New Roman"/>
                <w:color w:val="000000"/>
                <w:sz w:val="20"/>
                <w:lang w:eastAsia="en-US"/>
              </w:rPr>
              <w:t>DSI</w:t>
            </w:r>
          </w:p>
        </w:tc>
        <w:tc>
          <w:tcPr>
            <w:tcW w:w="1310" w:type="dxa"/>
            <w:noWrap/>
            <w:hideMark/>
          </w:tcPr>
          <w:p w14:paraId="6B2A28E1"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134</w:t>
            </w:r>
          </w:p>
        </w:tc>
        <w:tc>
          <w:tcPr>
            <w:tcW w:w="1426" w:type="dxa"/>
            <w:noWrap/>
            <w:hideMark/>
          </w:tcPr>
          <w:p w14:paraId="4B6F426A"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24</w:t>
            </w:r>
          </w:p>
        </w:tc>
        <w:tc>
          <w:tcPr>
            <w:tcW w:w="1515" w:type="dxa"/>
            <w:noWrap/>
            <w:hideMark/>
          </w:tcPr>
          <w:p w14:paraId="0653ADF5"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26</w:t>
            </w:r>
          </w:p>
        </w:tc>
        <w:tc>
          <w:tcPr>
            <w:tcW w:w="1324" w:type="dxa"/>
          </w:tcPr>
          <w:p w14:paraId="5345547D"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hideMark/>
          </w:tcPr>
          <w:p w14:paraId="25C71A00"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132</w:t>
            </w:r>
          </w:p>
        </w:tc>
      </w:tr>
      <w:tr w:rsidR="00D02ADB" w:rsidRPr="0031505E" w14:paraId="28709FA8" w14:textId="77777777" w:rsidTr="00A76380">
        <w:trPr>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624BC307" w14:textId="150F94DD" w:rsidR="00417F8D" w:rsidRPr="0031505E" w:rsidRDefault="00D02ADB" w:rsidP="00D02ADB">
            <w:pPr>
              <w:rPr>
                <w:rFonts w:eastAsia="Times New Roman"/>
                <w:color w:val="000000"/>
                <w:sz w:val="20"/>
                <w:lang w:eastAsia="en-US"/>
              </w:rPr>
            </w:pPr>
            <w:proofErr w:type="spellStart"/>
            <w:r>
              <w:rPr>
                <w:rFonts w:eastAsia="Times New Roman"/>
                <w:color w:val="000000"/>
                <w:sz w:val="20"/>
                <w:lang w:eastAsia="en-US"/>
              </w:rPr>
              <w:t>V</w:t>
            </w:r>
            <w:r w:rsidRPr="00D02ADB">
              <w:rPr>
                <w:rFonts w:eastAsia="Times New Roman"/>
                <w:color w:val="000000"/>
                <w:sz w:val="20"/>
                <w:lang w:eastAsia="en-US"/>
              </w:rPr>
              <w:t>érificateur</w:t>
            </w:r>
            <w:proofErr w:type="spellEnd"/>
            <w:r w:rsidRPr="00D02ADB">
              <w:rPr>
                <w:rFonts w:eastAsia="Times New Roman"/>
                <w:color w:val="000000"/>
                <w:sz w:val="20"/>
                <w:lang w:eastAsia="en-US"/>
              </w:rPr>
              <w:t xml:space="preserve"> </w:t>
            </w:r>
            <w:proofErr w:type="spellStart"/>
            <w:r w:rsidRPr="00D02ADB">
              <w:rPr>
                <w:rFonts w:eastAsia="Times New Roman"/>
                <w:color w:val="000000"/>
                <w:sz w:val="20"/>
                <w:lang w:eastAsia="en-US"/>
              </w:rPr>
              <w:t>externe</w:t>
            </w:r>
            <w:proofErr w:type="spellEnd"/>
            <w:r w:rsidRPr="00D02ADB">
              <w:rPr>
                <w:rFonts w:eastAsia="Times New Roman"/>
                <w:color w:val="000000"/>
                <w:sz w:val="20"/>
                <w:lang w:eastAsia="en-US"/>
              </w:rPr>
              <w:t xml:space="preserve"> des </w:t>
            </w:r>
            <w:proofErr w:type="spellStart"/>
            <w:r w:rsidRPr="00D02ADB">
              <w:rPr>
                <w:rFonts w:eastAsia="Times New Roman"/>
                <w:color w:val="000000"/>
                <w:sz w:val="20"/>
                <w:lang w:eastAsia="en-US"/>
              </w:rPr>
              <w:t>comptes</w:t>
            </w:r>
            <w:proofErr w:type="spellEnd"/>
          </w:p>
        </w:tc>
        <w:tc>
          <w:tcPr>
            <w:tcW w:w="1310" w:type="dxa"/>
            <w:noWrap/>
            <w:hideMark/>
          </w:tcPr>
          <w:p w14:paraId="0F85DBE2"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46</w:t>
            </w:r>
          </w:p>
        </w:tc>
        <w:tc>
          <w:tcPr>
            <w:tcW w:w="1426" w:type="dxa"/>
            <w:noWrap/>
            <w:hideMark/>
          </w:tcPr>
          <w:p w14:paraId="1D5115A4"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16</w:t>
            </w:r>
          </w:p>
        </w:tc>
        <w:tc>
          <w:tcPr>
            <w:tcW w:w="1515" w:type="dxa"/>
            <w:noWrap/>
            <w:hideMark/>
          </w:tcPr>
          <w:p w14:paraId="4AB7F252"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41</w:t>
            </w:r>
          </w:p>
        </w:tc>
        <w:tc>
          <w:tcPr>
            <w:tcW w:w="1324" w:type="dxa"/>
          </w:tcPr>
          <w:p w14:paraId="0DD8010B"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hideMark/>
          </w:tcPr>
          <w:p w14:paraId="32ACC0E3"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7</w:t>
            </w:r>
          </w:p>
        </w:tc>
      </w:tr>
      <w:tr w:rsidR="00D02ADB" w:rsidRPr="0031505E" w14:paraId="4667CE50" w14:textId="77777777" w:rsidTr="00A763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tcPr>
          <w:p w14:paraId="03A9A5AF" w14:textId="1F2F6F1C" w:rsidR="00417F8D" w:rsidRPr="0031505E" w:rsidRDefault="00D02ADB" w:rsidP="00A76380">
            <w:pPr>
              <w:rPr>
                <w:rFonts w:eastAsia="Times New Roman"/>
                <w:color w:val="000000"/>
                <w:sz w:val="20"/>
                <w:lang w:eastAsia="en-US"/>
              </w:rPr>
            </w:pPr>
            <w:r>
              <w:rPr>
                <w:rFonts w:eastAsia="Times New Roman"/>
                <w:color w:val="000000"/>
                <w:sz w:val="20"/>
                <w:lang w:eastAsia="en-US"/>
              </w:rPr>
              <w:t>OCIS</w:t>
            </w:r>
          </w:p>
        </w:tc>
        <w:tc>
          <w:tcPr>
            <w:tcW w:w="1310" w:type="dxa"/>
            <w:noWrap/>
          </w:tcPr>
          <w:p w14:paraId="1E45E026"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79B4E6C5"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c>
          <w:tcPr>
            <w:tcW w:w="1515" w:type="dxa"/>
            <w:noWrap/>
          </w:tcPr>
          <w:p w14:paraId="2C061305"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4" w:type="dxa"/>
          </w:tcPr>
          <w:p w14:paraId="00147F9C"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tcPr>
          <w:p w14:paraId="2D704084"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r>
      <w:tr w:rsidR="00D02ADB" w:rsidRPr="0031505E" w14:paraId="5C785429" w14:textId="77777777" w:rsidTr="00A76380">
        <w:trPr>
          <w:trHeight w:val="315"/>
        </w:trPr>
        <w:tc>
          <w:tcPr>
            <w:cnfStyle w:val="001000000000" w:firstRow="0" w:lastRow="0" w:firstColumn="1" w:lastColumn="0" w:oddVBand="0" w:evenVBand="0" w:oddHBand="0" w:evenHBand="0" w:firstRowFirstColumn="0" w:firstRowLastColumn="0" w:lastRowFirstColumn="0" w:lastRowLastColumn="0"/>
            <w:tcW w:w="2340" w:type="dxa"/>
            <w:noWrap/>
          </w:tcPr>
          <w:p w14:paraId="1762A9AF" w14:textId="6F975777" w:rsidR="00417F8D" w:rsidRPr="00D02ADB" w:rsidRDefault="00417F8D" w:rsidP="00D02ADB">
            <w:pPr>
              <w:rPr>
                <w:rFonts w:eastAsia="Times New Roman"/>
                <w:color w:val="000000"/>
                <w:sz w:val="20"/>
                <w:lang w:val="fr-CH" w:eastAsia="en-US"/>
              </w:rPr>
            </w:pPr>
            <w:r w:rsidRPr="00D02ADB">
              <w:rPr>
                <w:rFonts w:eastAsia="Times New Roman"/>
                <w:color w:val="000000"/>
                <w:sz w:val="20"/>
                <w:lang w:val="fr-CH" w:eastAsia="en-US"/>
              </w:rPr>
              <w:t>Recomm</w:t>
            </w:r>
            <w:r w:rsidR="00D02ADB" w:rsidRPr="00D02ADB">
              <w:rPr>
                <w:rFonts w:eastAsia="Times New Roman"/>
                <w:color w:val="000000"/>
                <w:sz w:val="20"/>
                <w:lang w:val="fr-CH" w:eastAsia="en-US"/>
              </w:rPr>
              <w:t>a</w:t>
            </w:r>
            <w:r w:rsidRPr="00D02ADB">
              <w:rPr>
                <w:rFonts w:eastAsia="Times New Roman"/>
                <w:color w:val="000000"/>
                <w:sz w:val="20"/>
                <w:lang w:val="fr-CH" w:eastAsia="en-US"/>
              </w:rPr>
              <w:t>ndations</w:t>
            </w:r>
            <w:r w:rsidR="00D02ADB" w:rsidRPr="00D02ADB">
              <w:rPr>
                <w:rFonts w:eastAsia="Times New Roman"/>
                <w:color w:val="000000"/>
                <w:sz w:val="20"/>
                <w:lang w:val="fr-CH" w:eastAsia="en-US"/>
              </w:rPr>
              <w:t xml:space="preserve"> du </w:t>
            </w:r>
            <w:r w:rsidR="00D02ADB">
              <w:rPr>
                <w:rFonts w:eastAsia="Times New Roman"/>
                <w:color w:val="000000"/>
                <w:sz w:val="20"/>
                <w:lang w:val="fr-CH" w:eastAsia="en-US"/>
              </w:rPr>
              <w:t>v</w:t>
            </w:r>
            <w:r w:rsidR="00D02ADB" w:rsidRPr="00D02ADB">
              <w:rPr>
                <w:rFonts w:eastAsia="Times New Roman"/>
                <w:color w:val="000000"/>
                <w:sz w:val="20"/>
                <w:lang w:val="fr-CH" w:eastAsia="en-US"/>
              </w:rPr>
              <w:t>érificateur externe des comptes</w:t>
            </w:r>
            <w:r w:rsidR="00D02ADB">
              <w:rPr>
                <w:rFonts w:eastAsia="Times New Roman"/>
                <w:color w:val="000000"/>
                <w:sz w:val="20"/>
                <w:lang w:val="fr-CH" w:eastAsia="en-US"/>
              </w:rPr>
              <w:t xml:space="preserve"> transférées à la DSI</w:t>
            </w:r>
          </w:p>
        </w:tc>
        <w:tc>
          <w:tcPr>
            <w:tcW w:w="1310" w:type="dxa"/>
            <w:noWrap/>
          </w:tcPr>
          <w:p w14:paraId="3F145127"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097A0FF3"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515" w:type="dxa"/>
            <w:noWrap/>
          </w:tcPr>
          <w:p w14:paraId="2AC29B65"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4" w:type="dxa"/>
          </w:tcPr>
          <w:p w14:paraId="06D03B6D"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tcPr>
          <w:p w14:paraId="7D846DE1" w14:textId="77777777" w:rsidR="00417F8D" w:rsidRPr="0031505E" w:rsidRDefault="00417F8D" w:rsidP="00A7638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r>
      <w:tr w:rsidR="00D02ADB" w:rsidRPr="0031505E" w14:paraId="3414BC2E" w14:textId="77777777" w:rsidTr="00A763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0F4199D1" w14:textId="77777777" w:rsidR="00417F8D" w:rsidRPr="0031505E" w:rsidRDefault="00417F8D" w:rsidP="00A76380">
            <w:pPr>
              <w:rPr>
                <w:rFonts w:eastAsia="Times New Roman"/>
                <w:b w:val="0"/>
                <w:bCs w:val="0"/>
                <w:color w:val="000000"/>
                <w:sz w:val="20"/>
                <w:lang w:eastAsia="en-US"/>
              </w:rPr>
            </w:pPr>
            <w:r w:rsidRPr="0031505E">
              <w:rPr>
                <w:rFonts w:eastAsia="Times New Roman"/>
                <w:b w:val="0"/>
                <w:bCs w:val="0"/>
                <w:color w:val="000000"/>
                <w:sz w:val="20"/>
                <w:lang w:eastAsia="en-US"/>
              </w:rPr>
              <w:t>Total</w:t>
            </w:r>
          </w:p>
        </w:tc>
        <w:tc>
          <w:tcPr>
            <w:tcW w:w="1310" w:type="dxa"/>
            <w:noWrap/>
            <w:hideMark/>
          </w:tcPr>
          <w:p w14:paraId="62B69022"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180</w:t>
            </w:r>
          </w:p>
        </w:tc>
        <w:tc>
          <w:tcPr>
            <w:tcW w:w="1426" w:type="dxa"/>
            <w:noWrap/>
            <w:hideMark/>
          </w:tcPr>
          <w:p w14:paraId="10C464D0"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42</w:t>
            </w:r>
          </w:p>
        </w:tc>
        <w:tc>
          <w:tcPr>
            <w:tcW w:w="1515" w:type="dxa"/>
            <w:noWrap/>
            <w:hideMark/>
          </w:tcPr>
          <w:p w14:paraId="595C27B9"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67</w:t>
            </w:r>
          </w:p>
        </w:tc>
        <w:tc>
          <w:tcPr>
            <w:tcW w:w="1324" w:type="dxa"/>
          </w:tcPr>
          <w:p w14:paraId="3F6CCBD5"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w:t>
            </w:r>
          </w:p>
        </w:tc>
        <w:tc>
          <w:tcPr>
            <w:tcW w:w="1430" w:type="dxa"/>
            <w:noWrap/>
            <w:hideMark/>
          </w:tcPr>
          <w:p w14:paraId="4BD48C3C" w14:textId="77777777" w:rsidR="00417F8D" w:rsidRPr="0031505E" w:rsidRDefault="00417F8D" w:rsidP="00A7638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155</w:t>
            </w:r>
          </w:p>
        </w:tc>
      </w:tr>
    </w:tbl>
    <w:p w14:paraId="219CF0E8" w14:textId="77777777" w:rsidR="00D02ADB" w:rsidRDefault="00D02ADB" w:rsidP="00D02ADB">
      <w:pPr>
        <w:pStyle w:val="ONUMFS"/>
        <w:numPr>
          <w:ilvl w:val="0"/>
          <w:numId w:val="0"/>
        </w:numPr>
        <w:rPr>
          <w:lang w:val="fr-CH"/>
        </w:rPr>
      </w:pPr>
    </w:p>
    <w:p w14:paraId="18DA20FE" w14:textId="3F545711" w:rsidR="00417F8D" w:rsidRDefault="007B3B9B" w:rsidP="00E7329A">
      <w:pPr>
        <w:pStyle w:val="ONUMFS"/>
        <w:rPr>
          <w:lang w:val="fr-CH"/>
        </w:rPr>
      </w:pPr>
      <w:r w:rsidRPr="00403F08">
        <w:rPr>
          <w:lang w:val="fr-CH"/>
        </w:rPr>
        <w:t>Le tableau ci</w:t>
      </w:r>
      <w:r w:rsidR="00353ADC">
        <w:rPr>
          <w:lang w:val="fr-CH"/>
        </w:rPr>
        <w:t>-</w:t>
      </w:r>
      <w:r w:rsidRPr="00403F08">
        <w:rPr>
          <w:lang w:val="fr-CH"/>
        </w:rPr>
        <w:t>dessous résume l</w:t>
      </w:r>
      <w:r w:rsidR="000A3166">
        <w:rPr>
          <w:lang w:val="fr-CH"/>
        </w:rPr>
        <w:t>’</w:t>
      </w:r>
      <w:r w:rsidRPr="00403F08">
        <w:rPr>
          <w:lang w:val="fr-CH"/>
        </w:rPr>
        <w:t>évolution des recommandations ouvertes au 30</w:t>
      </w:r>
      <w:r w:rsidR="00C33462">
        <w:rPr>
          <w:lang w:val="fr-CH"/>
        </w:rPr>
        <w:t> </w:t>
      </w:r>
      <w:r w:rsidRPr="00403F08">
        <w:rPr>
          <w:lang w:val="fr-CH"/>
        </w:rPr>
        <w:t>juin</w:t>
      </w:r>
      <w:r w:rsidR="00C33462">
        <w:rPr>
          <w:lang w:val="fr-CH"/>
        </w:rPr>
        <w:t> </w:t>
      </w:r>
      <w:r w:rsidRPr="00403F08">
        <w:rPr>
          <w:lang w:val="fr-CH"/>
        </w:rPr>
        <w:t>2019.</w:t>
      </w:r>
    </w:p>
    <w:p w14:paraId="72A62BF6" w14:textId="1EAFE201" w:rsidR="00417F8D" w:rsidRDefault="007B3B9B" w:rsidP="007B3B9B">
      <w:pPr>
        <w:pStyle w:val="ONUME"/>
        <w:keepNext/>
        <w:numPr>
          <w:ilvl w:val="0"/>
          <w:numId w:val="0"/>
        </w:numPr>
        <w:spacing w:after="0"/>
        <w:jc w:val="center"/>
        <w:rPr>
          <w:b/>
          <w:sz w:val="18"/>
          <w:szCs w:val="18"/>
          <w:lang w:val="fr-CH"/>
        </w:rPr>
      </w:pPr>
      <w:r w:rsidRPr="00403F08">
        <w:rPr>
          <w:b/>
          <w:sz w:val="18"/>
          <w:szCs w:val="18"/>
          <w:lang w:val="fr-CH"/>
        </w:rPr>
        <w:lastRenderedPageBreak/>
        <w:t>Diagramme</w:t>
      </w:r>
      <w:r w:rsidR="00C33462">
        <w:rPr>
          <w:b/>
          <w:sz w:val="18"/>
          <w:szCs w:val="18"/>
          <w:lang w:val="fr-CH"/>
        </w:rPr>
        <w:t> </w:t>
      </w:r>
      <w:r w:rsidRPr="00403F08">
        <w:rPr>
          <w:b/>
          <w:sz w:val="18"/>
          <w:szCs w:val="18"/>
          <w:lang w:val="fr-CH"/>
        </w:rPr>
        <w:t>4 – Suivi des recommandations en suspens relatives à la supervision, par priorité (1</w:t>
      </w:r>
      <w:r w:rsidR="00D02ADB">
        <w:rPr>
          <w:b/>
          <w:sz w:val="18"/>
          <w:szCs w:val="18"/>
          <w:lang w:val="fr-CH"/>
        </w:rPr>
        <w:t>55</w:t>
      </w:r>
      <w:r w:rsidRPr="00403F08">
        <w:rPr>
          <w:b/>
          <w:sz w:val="18"/>
          <w:szCs w:val="18"/>
          <w:lang w:val="fr-CH"/>
        </w:rPr>
        <w:t>)</w:t>
      </w:r>
    </w:p>
    <w:p w14:paraId="1CFEF7B1" w14:textId="5500F15E" w:rsidR="00200F9B" w:rsidRDefault="00200F9B" w:rsidP="00186810">
      <w:pPr>
        <w:pStyle w:val="ONUME"/>
        <w:keepLines/>
        <w:numPr>
          <w:ilvl w:val="0"/>
          <w:numId w:val="0"/>
        </w:numPr>
        <w:spacing w:before="240"/>
        <w:jc w:val="center"/>
      </w:pPr>
      <w:r>
        <w:rPr>
          <w:noProof/>
          <w:lang w:eastAsia="en-US"/>
        </w:rPr>
        <w:drawing>
          <wp:inline distT="0" distB="0" distL="0" distR="0" wp14:anchorId="20388FDF" wp14:editId="7320E7F3">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3A8B2B" w14:textId="385DA006" w:rsidR="00417F8D" w:rsidRDefault="007B3B9B" w:rsidP="00E7329A">
      <w:pPr>
        <w:pStyle w:val="ONUMFS"/>
        <w:rPr>
          <w:lang w:val="fr-CH"/>
        </w:rPr>
      </w:pPr>
      <w:r w:rsidRPr="00403F08">
        <w:rPr>
          <w:lang w:val="fr-CH"/>
        </w:rPr>
        <w:t xml:space="preserve">Une recommandation jugée prioritaire est ouverte </w:t>
      </w:r>
      <w:r w:rsidR="00353ADC" w:rsidRPr="00403F08">
        <w:rPr>
          <w:lang w:val="fr-CH"/>
        </w:rPr>
        <w:t>depuis</w:t>
      </w:r>
      <w:r w:rsidR="00353ADC">
        <w:rPr>
          <w:lang w:val="fr-CH"/>
        </w:rPr>
        <w:t> </w:t>
      </w:r>
      <w:r w:rsidR="00353ADC" w:rsidRPr="00403F08">
        <w:rPr>
          <w:lang w:val="fr-CH"/>
        </w:rPr>
        <w:t>2011</w:t>
      </w:r>
      <w:r w:rsidR="00D02ADB">
        <w:rPr>
          <w:lang w:val="fr-CH"/>
        </w:rPr>
        <w:t xml:space="preserve"> et</w:t>
      </w:r>
      <w:r w:rsidRPr="00403F08">
        <w:rPr>
          <w:lang w:val="fr-CH"/>
        </w:rPr>
        <w:t xml:space="preserve"> </w:t>
      </w:r>
      <w:r w:rsidR="00D02ADB">
        <w:rPr>
          <w:lang w:val="fr-CH"/>
        </w:rPr>
        <w:t>34</w:t>
      </w:r>
      <w:r w:rsidR="00C33462">
        <w:rPr>
          <w:lang w:val="fr-CH"/>
        </w:rPr>
        <w:t> </w:t>
      </w:r>
      <w:r w:rsidRPr="00403F08">
        <w:rPr>
          <w:lang w:val="fr-CH"/>
        </w:rPr>
        <w:t xml:space="preserve">recommandations </w:t>
      </w:r>
      <w:r w:rsidR="00D02ADB">
        <w:rPr>
          <w:lang w:val="fr-CH"/>
        </w:rPr>
        <w:t xml:space="preserve">au </w:t>
      </w:r>
      <w:r w:rsidR="00D02ADB" w:rsidRPr="00403F08">
        <w:rPr>
          <w:lang w:val="fr-CH"/>
        </w:rPr>
        <w:t xml:space="preserve">total </w:t>
      </w:r>
      <w:r w:rsidR="00D02ADB">
        <w:rPr>
          <w:lang w:val="fr-CH"/>
        </w:rPr>
        <w:t xml:space="preserve">ont été </w:t>
      </w:r>
      <w:r w:rsidRPr="00403F08">
        <w:rPr>
          <w:lang w:val="fr-CH"/>
        </w:rPr>
        <w:t>faites entre 2011 et 2015 demeurent aujourd</w:t>
      </w:r>
      <w:r w:rsidR="000A3166">
        <w:rPr>
          <w:lang w:val="fr-CH"/>
        </w:rPr>
        <w:t>’</w:t>
      </w:r>
      <w:r w:rsidRPr="00403F08">
        <w:rPr>
          <w:lang w:val="fr-CH"/>
        </w:rPr>
        <w:t>hui en suspens.</w:t>
      </w:r>
    </w:p>
    <w:p w14:paraId="3AA9DFA0" w14:textId="72BBAD10" w:rsidR="00417F8D" w:rsidRDefault="007B3B9B" w:rsidP="00E7329A">
      <w:pPr>
        <w:pStyle w:val="ONUMFS"/>
        <w:rPr>
          <w:noProof/>
          <w:lang w:val="fr-CH" w:eastAsia="en-US"/>
        </w:rPr>
      </w:pPr>
      <w:r w:rsidRPr="00403F08">
        <w:rPr>
          <w:noProof/>
          <w:lang w:val="fr-CH" w:eastAsia="en-US"/>
        </w:rPr>
        <w:t>Le nombre de recommandations ouvertes</w:t>
      </w:r>
      <w:r w:rsidR="00D02ADB">
        <w:rPr>
          <w:noProof/>
          <w:lang w:val="fr-CH" w:eastAsia="en-US"/>
        </w:rPr>
        <w:t xml:space="preserve"> </w:t>
      </w:r>
      <w:r w:rsidR="00D02ADB" w:rsidRPr="00403F08">
        <w:rPr>
          <w:noProof/>
          <w:lang w:val="fr-CH" w:eastAsia="en-US"/>
        </w:rPr>
        <w:t>au 30</w:t>
      </w:r>
      <w:r w:rsidR="00D02ADB">
        <w:rPr>
          <w:noProof/>
          <w:lang w:val="fr-CH" w:eastAsia="en-US"/>
        </w:rPr>
        <w:t> </w:t>
      </w:r>
      <w:r w:rsidR="00D02ADB" w:rsidRPr="00403F08">
        <w:rPr>
          <w:noProof/>
          <w:lang w:val="fr-CH" w:eastAsia="en-US"/>
        </w:rPr>
        <w:t>juin</w:t>
      </w:r>
      <w:r w:rsidR="00D02ADB">
        <w:rPr>
          <w:noProof/>
          <w:lang w:val="fr-CH" w:eastAsia="en-US"/>
        </w:rPr>
        <w:t> </w:t>
      </w:r>
      <w:r w:rsidR="00D02ADB" w:rsidRPr="00403F08">
        <w:rPr>
          <w:noProof/>
          <w:lang w:val="fr-CH" w:eastAsia="en-US"/>
        </w:rPr>
        <w:t>2019</w:t>
      </w:r>
      <w:r w:rsidR="00D02ADB">
        <w:rPr>
          <w:noProof/>
          <w:lang w:val="fr-CH" w:eastAsia="en-US"/>
        </w:rPr>
        <w:t>,</w:t>
      </w:r>
      <w:r w:rsidRPr="00403F08">
        <w:rPr>
          <w:noProof/>
          <w:lang w:val="fr-CH" w:eastAsia="en-US"/>
        </w:rPr>
        <w:t xml:space="preserve"> par programme de l</w:t>
      </w:r>
      <w:r w:rsidR="000A3166">
        <w:rPr>
          <w:noProof/>
          <w:lang w:val="fr-CH" w:eastAsia="en-US"/>
        </w:rPr>
        <w:t>’</w:t>
      </w:r>
      <w:r w:rsidRPr="00403F08">
        <w:rPr>
          <w:noProof/>
          <w:lang w:val="fr-CH" w:eastAsia="en-US"/>
        </w:rPr>
        <w:t>OMPI</w:t>
      </w:r>
      <w:r w:rsidRPr="00403F08">
        <w:rPr>
          <w:rStyle w:val="FootnoteReference"/>
          <w:noProof/>
          <w:lang w:eastAsia="en-US"/>
        </w:rPr>
        <w:footnoteReference w:id="13"/>
      </w:r>
      <w:r w:rsidRPr="00403F08">
        <w:rPr>
          <w:noProof/>
          <w:lang w:val="fr-CH" w:eastAsia="en-US"/>
        </w:rPr>
        <w:t xml:space="preserve"> et par priorité</w:t>
      </w:r>
      <w:r w:rsidR="00D02ADB">
        <w:rPr>
          <w:noProof/>
          <w:lang w:val="fr-CH" w:eastAsia="en-US"/>
        </w:rPr>
        <w:t>,</w:t>
      </w:r>
      <w:r w:rsidRPr="00403F08">
        <w:rPr>
          <w:noProof/>
          <w:lang w:val="fr-CH" w:eastAsia="en-US"/>
        </w:rPr>
        <w:t xml:space="preserve"> est </w:t>
      </w:r>
      <w:r w:rsidR="00D02ADB">
        <w:rPr>
          <w:noProof/>
          <w:lang w:val="fr-CH" w:eastAsia="en-US"/>
        </w:rPr>
        <w:t>représenté</w:t>
      </w:r>
      <w:r w:rsidRPr="00403F08">
        <w:rPr>
          <w:noProof/>
          <w:lang w:val="fr-CH" w:eastAsia="en-US"/>
        </w:rPr>
        <w:t xml:space="preserve"> ci</w:t>
      </w:r>
      <w:r w:rsidR="00353ADC">
        <w:rPr>
          <w:noProof/>
          <w:lang w:val="fr-CH" w:eastAsia="en-US"/>
        </w:rPr>
        <w:t>-</w:t>
      </w:r>
      <w:r w:rsidRPr="00403F08">
        <w:rPr>
          <w:noProof/>
          <w:lang w:val="fr-CH" w:eastAsia="en-US"/>
        </w:rPr>
        <w:t>après.</w:t>
      </w:r>
    </w:p>
    <w:p w14:paraId="462D12D4" w14:textId="77777777" w:rsidR="00417F8D" w:rsidRDefault="0039423B" w:rsidP="0039423B">
      <w:pPr>
        <w:pStyle w:val="ONUME"/>
        <w:keepNext/>
        <w:numPr>
          <w:ilvl w:val="0"/>
          <w:numId w:val="0"/>
        </w:numPr>
        <w:spacing w:after="0"/>
        <w:jc w:val="center"/>
        <w:rPr>
          <w:b/>
          <w:sz w:val="18"/>
          <w:szCs w:val="18"/>
          <w:lang w:val="fr-CH"/>
        </w:rPr>
      </w:pPr>
      <w:r w:rsidRPr="00403F08">
        <w:rPr>
          <w:b/>
          <w:sz w:val="18"/>
          <w:szCs w:val="18"/>
          <w:lang w:val="fr-CH"/>
        </w:rPr>
        <w:lastRenderedPageBreak/>
        <w:t>Diagramme</w:t>
      </w:r>
      <w:r w:rsidR="00C33462">
        <w:rPr>
          <w:b/>
          <w:sz w:val="18"/>
          <w:szCs w:val="18"/>
          <w:lang w:val="fr-CH"/>
        </w:rPr>
        <w:t> </w:t>
      </w:r>
      <w:r w:rsidRPr="00403F08">
        <w:rPr>
          <w:b/>
          <w:sz w:val="18"/>
          <w:szCs w:val="18"/>
          <w:lang w:val="fr-CH"/>
        </w:rPr>
        <w:t>5 – Recommandations par programme et priorité (178)</w:t>
      </w:r>
    </w:p>
    <w:p w14:paraId="0A3C62C6" w14:textId="56086C28" w:rsidR="00E70D9A" w:rsidRDefault="00E70D9A" w:rsidP="00186810">
      <w:pPr>
        <w:pStyle w:val="ONUME"/>
        <w:keepLines/>
        <w:numPr>
          <w:ilvl w:val="0"/>
          <w:numId w:val="0"/>
        </w:numPr>
        <w:spacing w:after="360"/>
        <w:jc w:val="center"/>
      </w:pPr>
      <w:r>
        <w:rPr>
          <w:noProof/>
          <w:lang w:eastAsia="en-US"/>
        </w:rPr>
        <w:drawing>
          <wp:inline distT="0" distB="0" distL="0" distR="0" wp14:anchorId="1C2A2861" wp14:editId="38730D25">
            <wp:extent cx="5526357" cy="2932982"/>
            <wp:effectExtent l="0" t="0" r="17780" b="12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B4D969" w14:textId="66D1B94E" w:rsidR="00417F8D" w:rsidRDefault="00D02ADB" w:rsidP="00EF58D7">
      <w:pPr>
        <w:pStyle w:val="ONUMFS"/>
        <w:rPr>
          <w:lang w:val="fr-CH"/>
        </w:rPr>
      </w:pPr>
      <w:r>
        <w:rPr>
          <w:lang w:val="fr-CH"/>
        </w:rPr>
        <w:t>Quatre</w:t>
      </w:r>
      <w:r w:rsidR="0039423B" w:rsidRPr="00403F08">
        <w:rPr>
          <w:lang w:val="fr-CH"/>
        </w:rPr>
        <w:t xml:space="preserve"> programmes représentent 5</w:t>
      </w:r>
      <w:r>
        <w:rPr>
          <w:lang w:val="fr-CH"/>
        </w:rPr>
        <w:t>0</w:t>
      </w:r>
      <w:r w:rsidR="0039423B" w:rsidRPr="00403F08">
        <w:rPr>
          <w:lang w:val="fr-CH"/>
        </w:rPr>
        <w:t xml:space="preserve">% des </w:t>
      </w:r>
      <w:r>
        <w:rPr>
          <w:lang w:val="fr-CH"/>
        </w:rPr>
        <w:t>6</w:t>
      </w:r>
      <w:r w:rsidR="0039423B" w:rsidRPr="00403F08">
        <w:rPr>
          <w:lang w:val="fr-CH"/>
        </w:rPr>
        <w:t>8</w:t>
      </w:r>
      <w:r w:rsidR="00C33462">
        <w:rPr>
          <w:lang w:val="fr-CH"/>
        </w:rPr>
        <w:t> </w:t>
      </w:r>
      <w:r w:rsidR="0039423B" w:rsidRPr="00403F08">
        <w:rPr>
          <w:lang w:val="fr-CH"/>
        </w:rPr>
        <w:t>recommandations jugées prioritaires, et le plus grand nombre de recommandations en suspens jugées prioritaires sont formulées par le programme Afrique, pays arabes, Asie et Pacifique, pays d</w:t>
      </w:r>
      <w:r w:rsidR="000A3166">
        <w:rPr>
          <w:lang w:val="fr-CH"/>
        </w:rPr>
        <w:t>’</w:t>
      </w:r>
      <w:r w:rsidR="0039423B" w:rsidRPr="00403F08">
        <w:rPr>
          <w:lang w:val="fr-CH"/>
        </w:rPr>
        <w:t>Amérique latine et des Caraïbes, pays les moins avancés (Programme.9), le programme de gestion et mise en valeur des ressources humaines (Programme</w:t>
      </w:r>
      <w:r w:rsidR="00C33462">
        <w:rPr>
          <w:lang w:val="fr-CH"/>
        </w:rPr>
        <w:t> </w:t>
      </w:r>
      <w:r w:rsidR="0039423B" w:rsidRPr="00403F08">
        <w:rPr>
          <w:lang w:val="fr-CH"/>
        </w:rPr>
        <w:t>23), le programme des communications (programme</w:t>
      </w:r>
      <w:r w:rsidR="00C33462">
        <w:rPr>
          <w:lang w:val="fr-CH"/>
        </w:rPr>
        <w:t> </w:t>
      </w:r>
      <w:r w:rsidR="0039423B" w:rsidRPr="00403F08">
        <w:rPr>
          <w:lang w:val="fr-CH"/>
        </w:rPr>
        <w:t xml:space="preserve">19) et le programme du système de </w:t>
      </w:r>
      <w:r w:rsidR="00353ADC">
        <w:rPr>
          <w:lang w:val="fr-CH"/>
        </w:rPr>
        <w:t>La Haye</w:t>
      </w:r>
      <w:r w:rsidR="0039423B" w:rsidRPr="00403F08">
        <w:rPr>
          <w:lang w:val="fr-CH"/>
        </w:rPr>
        <w:t xml:space="preserve"> (Programme</w:t>
      </w:r>
      <w:r w:rsidR="00C33462">
        <w:rPr>
          <w:lang w:val="fr-CH"/>
        </w:rPr>
        <w:t> </w:t>
      </w:r>
      <w:r w:rsidR="0039423B" w:rsidRPr="00403F08">
        <w:rPr>
          <w:lang w:val="fr-CH"/>
        </w:rPr>
        <w:t>31).</w:t>
      </w:r>
    </w:p>
    <w:p w14:paraId="540AB5E1" w14:textId="77777777" w:rsidR="00417F8D" w:rsidRDefault="0039423B" w:rsidP="0039423B">
      <w:pPr>
        <w:pStyle w:val="Heading1"/>
      </w:pPr>
      <w:bookmarkStart w:id="30" w:name="_Toc12270156"/>
      <w:r w:rsidRPr="00403F08">
        <w:t>Activités consultatives et de conseil en matière de supervision</w:t>
      </w:r>
      <w:bookmarkEnd w:id="30"/>
    </w:p>
    <w:p w14:paraId="5280363D" w14:textId="77777777" w:rsidR="00417F8D" w:rsidRDefault="0039423B" w:rsidP="00EF58D7">
      <w:pPr>
        <w:pStyle w:val="ONUMFS"/>
        <w:rPr>
          <w:lang w:val="fr-CH"/>
        </w:rPr>
      </w:pPr>
      <w:r w:rsidRPr="00403F08">
        <w:rPr>
          <w:lang w:val="fr-CH"/>
        </w:rPr>
        <w:t>En plus de ses activités de supervision prévues,</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 continué à donner des conseils professionnels sur les politiques et procédures de l</w:t>
      </w:r>
      <w:r w:rsidR="000A3166">
        <w:rPr>
          <w:lang w:val="fr-CH"/>
        </w:rPr>
        <w:t>’</w:t>
      </w:r>
      <w:r w:rsidRPr="00403F08">
        <w:rPr>
          <w:lang w:val="fr-CH"/>
        </w:rPr>
        <w:t>Organisation, la gestion des risques et les contrôles internes.</w:t>
      </w:r>
    </w:p>
    <w:p w14:paraId="71DB746A" w14:textId="77777777" w:rsidR="00417F8D" w:rsidRDefault="0039423B" w:rsidP="00EF58D7">
      <w:pPr>
        <w:pStyle w:val="ONUMFS"/>
        <w:rPr>
          <w:lang w:val="fr-CH"/>
        </w:rPr>
      </w:pPr>
      <w:r w:rsidRPr="00403F08">
        <w:rPr>
          <w:lang w:val="fr-CH"/>
        </w:rPr>
        <w:t>La DSI a également participé, conjointement avec le Bureau du contrôleur à des activités de prévention des risques de fraude au sein du Département des finances et de la planification des programm</w:t>
      </w:r>
      <w:r w:rsidR="00007093" w:rsidRPr="00403F08">
        <w:rPr>
          <w:lang w:val="fr-CH"/>
        </w:rPr>
        <w:t>es</w:t>
      </w:r>
      <w:r w:rsidR="00007093">
        <w:rPr>
          <w:lang w:val="fr-CH"/>
        </w:rPr>
        <w:t xml:space="preserve">.  </w:t>
      </w:r>
      <w:r w:rsidR="00007093" w:rsidRPr="00403F08">
        <w:rPr>
          <w:lang w:val="fr-CH"/>
        </w:rPr>
        <w:t>Pl</w:t>
      </w:r>
      <w:r w:rsidRPr="00403F08">
        <w:rPr>
          <w:lang w:val="fr-CH"/>
        </w:rPr>
        <w:t>us précisément</w:t>
      </w:r>
      <w:r w:rsidR="00353ADC">
        <w:rPr>
          <w:lang w:val="fr-CH"/>
        </w:rPr>
        <w:t> :</w:t>
      </w:r>
    </w:p>
    <w:p w14:paraId="32893849" w14:textId="77777777" w:rsidR="00417F8D" w:rsidRDefault="0039423B" w:rsidP="00EF58D7">
      <w:pPr>
        <w:pStyle w:val="ONUMFS"/>
        <w:numPr>
          <w:ilvl w:val="1"/>
          <w:numId w:val="3"/>
        </w:numPr>
        <w:rPr>
          <w:lang w:val="fr-CH"/>
        </w:rPr>
      </w:pPr>
      <w:proofErr w:type="gramStart"/>
      <w:r w:rsidRPr="00403F08">
        <w:rPr>
          <w:lang w:val="fr-CH"/>
        </w:rPr>
        <w:t>une</w:t>
      </w:r>
      <w:proofErr w:type="gramEnd"/>
      <w:r w:rsidRPr="00403F08">
        <w:rPr>
          <w:lang w:val="fr-CH"/>
        </w:rPr>
        <w:t xml:space="preserve"> formation en ligne destinée à éviter les risques de fraude à l</w:t>
      </w:r>
      <w:r w:rsidR="000A3166">
        <w:rPr>
          <w:lang w:val="fr-CH"/>
        </w:rPr>
        <w:t>’</w:t>
      </w:r>
      <w:r w:rsidRPr="00403F08">
        <w:rPr>
          <w:lang w:val="fr-CH"/>
        </w:rPr>
        <w:t>OMPI a été mise au point et sera offerte aux membres du personnel au deuxième semestre</w:t>
      </w:r>
      <w:r w:rsidR="00C33462">
        <w:rPr>
          <w:lang w:val="fr-CH"/>
        </w:rPr>
        <w:t> </w:t>
      </w:r>
      <w:r w:rsidRPr="00403F08">
        <w:rPr>
          <w:lang w:val="fr-CH"/>
        </w:rPr>
        <w:t>2018;  et</w:t>
      </w:r>
    </w:p>
    <w:p w14:paraId="3B12C029" w14:textId="77777777" w:rsidR="00417F8D" w:rsidRDefault="0039423B" w:rsidP="00EF58D7">
      <w:pPr>
        <w:pStyle w:val="ONUMFS"/>
        <w:numPr>
          <w:ilvl w:val="1"/>
          <w:numId w:val="3"/>
        </w:numPr>
        <w:rPr>
          <w:lang w:val="fr-CH"/>
        </w:rPr>
      </w:pPr>
      <w:proofErr w:type="gramStart"/>
      <w:r w:rsidRPr="00403F08">
        <w:rPr>
          <w:lang w:val="fr-CH"/>
        </w:rPr>
        <w:t>un</w:t>
      </w:r>
      <w:proofErr w:type="gramEnd"/>
      <w:r w:rsidRPr="00403F08">
        <w:rPr>
          <w:lang w:val="fr-CH"/>
        </w:rPr>
        <w:t xml:space="preserve"> exercice d</w:t>
      </w:r>
      <w:r w:rsidR="000A3166">
        <w:rPr>
          <w:lang w:val="fr-CH"/>
        </w:rPr>
        <w:t>’</w:t>
      </w:r>
      <w:r w:rsidRPr="00403F08">
        <w:rPr>
          <w:lang w:val="fr-CH"/>
        </w:rPr>
        <w:t>évaluation des risques de fraude, pour lequel un cabinet de consultants spécialisés avait été engagé, a eu lieu, et des activités sur le terrain doivent être menées au cours du deuxième semestre</w:t>
      </w:r>
      <w:r w:rsidR="00C33462">
        <w:rPr>
          <w:lang w:val="fr-CH"/>
        </w:rPr>
        <w:t> </w:t>
      </w:r>
      <w:r w:rsidRPr="00403F08">
        <w:rPr>
          <w:lang w:val="fr-CH"/>
        </w:rPr>
        <w:t>2018.</w:t>
      </w:r>
    </w:p>
    <w:p w14:paraId="3ADA73E0" w14:textId="77777777" w:rsidR="00417F8D" w:rsidRDefault="00E00C09" w:rsidP="00EF58D7">
      <w:pPr>
        <w:pStyle w:val="ONUMFS"/>
        <w:numPr>
          <w:ilvl w:val="1"/>
          <w:numId w:val="3"/>
        </w:numPr>
        <w:rPr>
          <w:lang w:val="fr-CH"/>
        </w:rPr>
      </w:pPr>
      <w:r w:rsidRPr="00403F08">
        <w:rPr>
          <w:lang w:val="fr-CH"/>
        </w:rPr>
        <w:t>La DSI continue de collaborer avec la direction afin de détermine</w:t>
      </w:r>
      <w:r w:rsidR="005E6FB2" w:rsidRPr="00403F08">
        <w:rPr>
          <w:lang w:val="fr-CH"/>
        </w:rPr>
        <w:t>r</w:t>
      </w:r>
      <w:r w:rsidRPr="00403F08">
        <w:rPr>
          <w:lang w:val="fr-CH"/>
        </w:rPr>
        <w:t xml:space="preserve"> et d</w:t>
      </w:r>
      <w:r w:rsidR="000A3166">
        <w:rPr>
          <w:lang w:val="fr-CH"/>
        </w:rPr>
        <w:t>’</w:t>
      </w:r>
      <w:r w:rsidRPr="00403F08">
        <w:rPr>
          <w:lang w:val="fr-CH"/>
        </w:rPr>
        <w:t>établir une définition commune des opérations a posteriori et un processus de gestion à cet égard, en vue d</w:t>
      </w:r>
      <w:r w:rsidR="000A3166">
        <w:rPr>
          <w:lang w:val="fr-CH"/>
        </w:rPr>
        <w:t>’</w:t>
      </w:r>
      <w:r w:rsidRPr="00403F08">
        <w:rPr>
          <w:lang w:val="fr-CH"/>
        </w:rPr>
        <w:t xml:space="preserve">élaborer des rapports offrant à la direction la liste de ces opérations, en </w:t>
      </w:r>
      <w:r w:rsidRPr="00E00C09">
        <w:rPr>
          <w:color w:val="000000"/>
          <w:lang w:val="fr-CH"/>
        </w:rPr>
        <w:t>vue d</w:t>
      </w:r>
      <w:r w:rsidR="000A3166">
        <w:rPr>
          <w:color w:val="000000"/>
          <w:lang w:val="fr-CH"/>
        </w:rPr>
        <w:t>’</w:t>
      </w:r>
      <w:r w:rsidRPr="00E00C09">
        <w:rPr>
          <w:color w:val="808080"/>
          <w:lang w:val="fr-CH"/>
        </w:rPr>
        <w:t xml:space="preserve">un </w:t>
      </w:r>
      <w:r w:rsidRPr="00403F08">
        <w:rPr>
          <w:lang w:val="fr-CH"/>
        </w:rPr>
        <w:t>suivi et d</w:t>
      </w:r>
      <w:r w:rsidR="000A3166">
        <w:rPr>
          <w:lang w:val="fr-CH"/>
        </w:rPr>
        <w:t>’</w:t>
      </w:r>
      <w:r w:rsidRPr="00403F08">
        <w:rPr>
          <w:lang w:val="fr-CH"/>
        </w:rPr>
        <w:t>une gestion plus efficaces de ces opérations.</w:t>
      </w:r>
    </w:p>
    <w:p w14:paraId="4F8914CD" w14:textId="77777777" w:rsidR="00417F8D" w:rsidRDefault="00E00C09" w:rsidP="00E00C09">
      <w:pPr>
        <w:pStyle w:val="Heading1"/>
      </w:pPr>
      <w:bookmarkStart w:id="31" w:name="_Toc12270157"/>
      <w:r w:rsidRPr="00403F08">
        <w:lastRenderedPageBreak/>
        <w:t>Coordination avec les organismes de supervision externes</w:t>
      </w:r>
      <w:bookmarkEnd w:id="31"/>
    </w:p>
    <w:p w14:paraId="06FFEA14" w14:textId="77777777" w:rsidR="00417F8D" w:rsidRDefault="00E00C09" w:rsidP="002E030A">
      <w:pPr>
        <w:pStyle w:val="Heading2"/>
      </w:pPr>
      <w:r w:rsidRPr="00403F08">
        <w:t>L</w:t>
      </w:r>
      <w:r w:rsidR="000A3166">
        <w:t>’</w:t>
      </w:r>
      <w:r w:rsidRPr="00403F08">
        <w:t>Organe consultatif indépendant de surveillance (OCIS)</w:t>
      </w:r>
    </w:p>
    <w:p w14:paraId="4A1EE181" w14:textId="77777777" w:rsidR="00417F8D" w:rsidRDefault="00E00C09" w:rsidP="00EF58D7">
      <w:pPr>
        <w:pStyle w:val="ONUMFS"/>
        <w:rPr>
          <w:lang w:val="fr-CH"/>
        </w:rPr>
      </w:pPr>
      <w:r w:rsidRPr="00403F08">
        <w:rPr>
          <w:lang w:val="fr-CH"/>
        </w:rPr>
        <w:t>La DSI a assisté régulièrement aux sessions de l</w:t>
      </w:r>
      <w:r w:rsidR="000A3166">
        <w:rPr>
          <w:lang w:val="fr-CH"/>
        </w:rPr>
        <w:t>’</w:t>
      </w:r>
      <w:r w:rsidRPr="00403F08">
        <w:rPr>
          <w:lang w:val="fr-CH"/>
        </w:rPr>
        <w:t>OCIS, faisant rapport sur la mise en œuvre du plan de supervision interne, examinant les résultats de la supervision et d</w:t>
      </w:r>
      <w:r w:rsidR="000A3166">
        <w:rPr>
          <w:lang w:val="fr-CH"/>
        </w:rPr>
        <w:t>’</w:t>
      </w:r>
      <w:r w:rsidRPr="00403F08">
        <w:rPr>
          <w:lang w:val="fr-CH"/>
        </w:rPr>
        <w:t>autres aspects concernant le travail et le fonctionnement de la Division et sollicitant l</w:t>
      </w:r>
      <w:r w:rsidR="000A3166">
        <w:rPr>
          <w:lang w:val="fr-CH"/>
        </w:rPr>
        <w:t>’</w:t>
      </w:r>
      <w:r w:rsidRPr="00403F08">
        <w:rPr>
          <w:lang w:val="fr-CH"/>
        </w:rPr>
        <w:t>avis de l</w:t>
      </w:r>
      <w:r w:rsidR="000A3166">
        <w:rPr>
          <w:lang w:val="fr-CH"/>
        </w:rPr>
        <w:t>’</w:t>
      </w:r>
      <w:r w:rsidRPr="00403F08">
        <w:rPr>
          <w:lang w:val="fr-CH"/>
        </w:rPr>
        <w:t>OCIS.</w:t>
      </w:r>
      <w:r w:rsidR="00186810" w:rsidRPr="00403F08">
        <w:rPr>
          <w:lang w:val="fr-CH"/>
        </w:rPr>
        <w:t xml:space="preserve">  </w:t>
      </w:r>
      <w:r w:rsidRPr="00403F08">
        <w:rPr>
          <w:lang w:val="fr-CH"/>
        </w:rPr>
        <w:t>L</w:t>
      </w:r>
      <w:r w:rsidR="000A3166">
        <w:rPr>
          <w:lang w:val="fr-CH"/>
        </w:rPr>
        <w:t>’</w:t>
      </w:r>
      <w:r w:rsidRPr="00403F08">
        <w:rPr>
          <w:lang w:val="fr-CH"/>
        </w:rPr>
        <w:t>OCIS a tenu ses quarante</w:t>
      </w:r>
      <w:r w:rsidR="00353ADC">
        <w:rPr>
          <w:lang w:val="fr-CH"/>
        </w:rPr>
        <w:t>-</w:t>
      </w:r>
      <w:r w:rsidRPr="00403F08">
        <w:rPr>
          <w:lang w:val="fr-CH"/>
        </w:rPr>
        <w:t>neuvième à cinquante</w:t>
      </w:r>
      <w:r w:rsidR="00353ADC">
        <w:rPr>
          <w:lang w:val="fr-CH"/>
        </w:rPr>
        <w:t>-</w:t>
      </w:r>
      <w:r w:rsidRPr="00403F08">
        <w:rPr>
          <w:lang w:val="fr-CH"/>
        </w:rPr>
        <w:t>trois</w:t>
      </w:r>
      <w:r w:rsidR="00353ADC">
        <w:rPr>
          <w:lang w:val="fr-CH"/>
        </w:rPr>
        <w:t>ième session</w:t>
      </w:r>
      <w:r w:rsidRPr="00403F08">
        <w:rPr>
          <w:lang w:val="fr-CH"/>
        </w:rPr>
        <w:t>s pendant la période couverte par le présent rapport.</w:t>
      </w:r>
    </w:p>
    <w:p w14:paraId="1A3627FF" w14:textId="77777777" w:rsidR="00417F8D" w:rsidRDefault="00E00C09" w:rsidP="002E030A">
      <w:pPr>
        <w:pStyle w:val="Heading2"/>
      </w:pPr>
      <w:r w:rsidRPr="00403F08">
        <w:t>Le vérificateur externe des comptes</w:t>
      </w:r>
    </w:p>
    <w:p w14:paraId="3528795C" w14:textId="77777777" w:rsidR="00417F8D" w:rsidRDefault="00E00C09" w:rsidP="00EF58D7">
      <w:pPr>
        <w:pStyle w:val="ONUMFS"/>
        <w:rPr>
          <w:lang w:val="fr-CH"/>
        </w:rPr>
      </w:pPr>
      <w:r w:rsidRPr="00403F08">
        <w:rPr>
          <w:lang w:val="fr-CH"/>
        </w:rPr>
        <w:t>La DSI entretient de bonnes relations de travail avec le vérificateur externe des comptes au moyen de réunions régulières sur les questions d</w:t>
      </w:r>
      <w:r w:rsidR="000A3166">
        <w:rPr>
          <w:lang w:val="fr-CH"/>
        </w:rPr>
        <w:t>’</w:t>
      </w:r>
      <w:r w:rsidRPr="00403F08">
        <w:rPr>
          <w:lang w:val="fr-CH"/>
        </w:rPr>
        <w:t>audit, de contrôle interne et de gestion des risqu</w:t>
      </w:r>
      <w:r w:rsidR="00007093" w:rsidRPr="00403F08">
        <w:rPr>
          <w:lang w:val="fr-CH"/>
        </w:rPr>
        <w:t>es</w:t>
      </w:r>
      <w:r w:rsidR="00007093">
        <w:rPr>
          <w:lang w:val="fr-CH"/>
        </w:rPr>
        <w:t xml:space="preserve">.  </w:t>
      </w:r>
      <w:r w:rsidR="00007093" w:rsidRPr="00403F08">
        <w:rPr>
          <w:lang w:val="fr-CH"/>
        </w:rPr>
        <w:t>Le</w:t>
      </w:r>
      <w:r w:rsidRPr="00403F08">
        <w:rPr>
          <w:lang w:val="fr-CH"/>
        </w:rPr>
        <w:t xml:space="preserve"> vérificateur externe des comptes et</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ont partagé leurs stratégies, programmes de travail et rapports individuels en vue d</w:t>
      </w:r>
      <w:r w:rsidR="000A3166">
        <w:rPr>
          <w:lang w:val="fr-CH"/>
        </w:rPr>
        <w:t>’</w:t>
      </w:r>
      <w:r w:rsidRPr="00403F08">
        <w:rPr>
          <w:lang w:val="fr-CH"/>
        </w:rPr>
        <w:t>assurer une couverture de supervision efficace et d</w:t>
      </w:r>
      <w:r w:rsidR="000A3166">
        <w:rPr>
          <w:lang w:val="fr-CH"/>
        </w:rPr>
        <w:t>’</w:t>
      </w:r>
      <w:r w:rsidRPr="00403F08">
        <w:rPr>
          <w:lang w:val="fr-CH"/>
        </w:rPr>
        <w:t>éviter tout chevauchement inutile et toute lassitude en matière de supervision.</w:t>
      </w:r>
    </w:p>
    <w:p w14:paraId="4E038926" w14:textId="77777777" w:rsidR="00417F8D" w:rsidRDefault="00E00C09" w:rsidP="00EF58D7">
      <w:pPr>
        <w:pStyle w:val="ONUMFS"/>
        <w:rPr>
          <w:lang w:val="fr-CH"/>
        </w:rPr>
      </w:pPr>
      <w:r w:rsidRPr="00403F08">
        <w:rPr>
          <w:lang w:val="fr-CH"/>
        </w:rPr>
        <w:t>La DSI s</w:t>
      </w:r>
      <w:r w:rsidR="000A3166">
        <w:rPr>
          <w:lang w:val="fr-CH"/>
        </w:rPr>
        <w:t>’</w:t>
      </w:r>
      <w:r w:rsidRPr="00403F08">
        <w:rPr>
          <w:lang w:val="fr-CH"/>
        </w:rPr>
        <w:t xml:space="preserve">est entretenue plusieurs fois avec le vérificateur externe des comptes </w:t>
      </w:r>
      <w:r w:rsidR="005E6FB2" w:rsidRPr="00403F08">
        <w:rPr>
          <w:lang w:val="fr-CH"/>
        </w:rPr>
        <w:t xml:space="preserve">du </w:t>
      </w:r>
      <w:r w:rsidRPr="00403F08">
        <w:rPr>
          <w:lang w:val="fr-CH"/>
        </w:rPr>
        <w:t>Bureau national de vérification des comptes du Royaume</w:t>
      </w:r>
      <w:r w:rsidR="00353ADC">
        <w:rPr>
          <w:lang w:val="fr-CH"/>
        </w:rPr>
        <w:t>-</w:t>
      </w:r>
      <w:r w:rsidRPr="00403F08">
        <w:rPr>
          <w:lang w:val="fr-CH"/>
        </w:rPr>
        <w:t>Uni au cours de la période considérée et lui a communiqué le plan de travail annu</w:t>
      </w:r>
      <w:r w:rsidR="00007093" w:rsidRPr="00403F08">
        <w:rPr>
          <w:lang w:val="fr-CH"/>
        </w:rPr>
        <w:t>el</w:t>
      </w:r>
      <w:r w:rsidR="00007093">
        <w:rPr>
          <w:lang w:val="fr-CH"/>
        </w:rPr>
        <w:t xml:space="preserve">.  </w:t>
      </w:r>
      <w:r w:rsidR="00007093" w:rsidRPr="00403F08">
        <w:rPr>
          <w:lang w:val="fr-CH"/>
        </w:rPr>
        <w:t>La</w:t>
      </w:r>
      <w:r w:rsidR="00353ADC">
        <w:rPr>
          <w:lang w:val="fr-CH"/>
        </w:rPr>
        <w:t> </w:t>
      </w:r>
      <w:r w:rsidR="00353ADC" w:rsidRPr="00403F08">
        <w:rPr>
          <w:lang w:val="fr-CH"/>
        </w:rPr>
        <w:t>DSI</w:t>
      </w:r>
      <w:r w:rsidRPr="00403F08">
        <w:rPr>
          <w:lang w:val="fr-CH"/>
        </w:rPr>
        <w:t xml:space="preserve"> a collaboré activement avec les vérificateurs externes des comptes au cours de leurs audits </w:t>
      </w:r>
      <w:r w:rsidR="00353ADC" w:rsidRPr="00403F08">
        <w:rPr>
          <w:lang w:val="fr-CH"/>
        </w:rPr>
        <w:t>de</w:t>
      </w:r>
      <w:r w:rsidR="00353ADC">
        <w:rPr>
          <w:lang w:val="fr-CH"/>
        </w:rPr>
        <w:t> </w:t>
      </w:r>
      <w:r w:rsidR="00353ADC" w:rsidRPr="00403F08">
        <w:rPr>
          <w:lang w:val="fr-CH"/>
        </w:rPr>
        <w:t>2018</w:t>
      </w:r>
      <w:r w:rsidRPr="00403F08">
        <w:rPr>
          <w:lang w:val="fr-CH"/>
        </w:rPr>
        <w:t xml:space="preserve"> et a fourni les éléments nécessaires selon que de besoin.</w:t>
      </w:r>
    </w:p>
    <w:p w14:paraId="21C04BC0" w14:textId="77777777" w:rsidR="00417F8D" w:rsidRDefault="00E00C09" w:rsidP="00E00C09">
      <w:pPr>
        <w:pStyle w:val="Heading1"/>
      </w:pPr>
      <w:bookmarkStart w:id="32" w:name="_Toc12270158"/>
      <w:r w:rsidRPr="00403F08">
        <w:t>Coopération avec le Bureau du médiateur et le Bureau de la déontologie</w:t>
      </w:r>
      <w:bookmarkEnd w:id="32"/>
    </w:p>
    <w:p w14:paraId="0EB86344" w14:textId="77777777" w:rsidR="00417F8D" w:rsidRDefault="00E00C09" w:rsidP="00EF58D7">
      <w:pPr>
        <w:pStyle w:val="ONUMFS"/>
        <w:rPr>
          <w:lang w:val="fr-CH"/>
        </w:rPr>
      </w:pPr>
      <w:r w:rsidRPr="00403F08">
        <w:rPr>
          <w:lang w:val="fr-CH"/>
        </w:rPr>
        <w:t>Durant la période considérée, le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w:t>
      </w:r>
      <w:r w:rsidR="000A3166">
        <w:rPr>
          <w:lang w:val="fr-CH"/>
        </w:rPr>
        <w:t>’</w:t>
      </w:r>
      <w:r w:rsidRPr="00403F08">
        <w:rPr>
          <w:lang w:val="fr-CH"/>
        </w:rPr>
        <w:t>est entretenu régulièrement avec le médiateur et le chef du Bureau de la déontologie pour assurer une bonne coordination et apporter un appui supplémentaire.</w:t>
      </w:r>
    </w:p>
    <w:p w14:paraId="15BD9C5A" w14:textId="77777777" w:rsidR="00417F8D" w:rsidRDefault="00E00C09" w:rsidP="00E00C09">
      <w:pPr>
        <w:pStyle w:val="Heading1"/>
      </w:pPr>
      <w:bookmarkStart w:id="33" w:name="_Toc12270159"/>
      <w:r w:rsidRPr="00403F08">
        <w:t>Autres activités de supervision</w:t>
      </w:r>
      <w:bookmarkEnd w:id="33"/>
    </w:p>
    <w:p w14:paraId="47834403" w14:textId="77777777" w:rsidR="00417F8D" w:rsidRDefault="00E00C09" w:rsidP="002E030A">
      <w:pPr>
        <w:pStyle w:val="Heading2"/>
      </w:pPr>
      <w:r w:rsidRPr="00403F08">
        <w:t>Activités de sensibilisation au sein de l</w:t>
      </w:r>
      <w:r w:rsidR="000A3166">
        <w:t>’</w:t>
      </w:r>
      <w:r w:rsidRPr="00403F08">
        <w:t>Organisation</w:t>
      </w:r>
    </w:p>
    <w:p w14:paraId="331021F4" w14:textId="77777777" w:rsidR="00417F8D" w:rsidRDefault="00E00C09" w:rsidP="00EF58D7">
      <w:pPr>
        <w:pStyle w:val="ONUMFS"/>
        <w:rPr>
          <w:lang w:val="fr-CH"/>
        </w:rPr>
      </w:pPr>
      <w:r w:rsidRPr="00403F08">
        <w:rPr>
          <w:lang w:val="fr-CH"/>
        </w:rPr>
        <w:t>Au titre des efforts qu</w:t>
      </w:r>
      <w:r w:rsidR="000A3166">
        <w:rPr>
          <w:lang w:val="fr-CH"/>
        </w:rPr>
        <w:t>’</w:t>
      </w:r>
      <w:r w:rsidRPr="00403F08">
        <w:rPr>
          <w:lang w:val="fr-CH"/>
        </w:rPr>
        <w:t>elle déploie pour mieux expliquer et faire comprendre la fonction de supervision interne,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 poursuivi son travail de sensibilisation à l</w:t>
      </w:r>
      <w:r w:rsidR="000A3166">
        <w:rPr>
          <w:lang w:val="fr-CH"/>
        </w:rPr>
        <w:t>’</w:t>
      </w:r>
      <w:r w:rsidRPr="00403F08">
        <w:rPr>
          <w:lang w:val="fr-CH"/>
        </w:rPr>
        <w:t>intention du personnel de l</w:t>
      </w:r>
      <w:r w:rsidR="000A3166">
        <w:rPr>
          <w:lang w:val="fr-CH"/>
        </w:rPr>
        <w:t>’</w:t>
      </w:r>
      <w:r w:rsidRPr="00403F08">
        <w:rPr>
          <w:lang w:val="fr-CH"/>
        </w:rPr>
        <w:t>OMPI à travers l</w:t>
      </w:r>
      <w:r w:rsidR="000A3166">
        <w:rPr>
          <w:lang w:val="fr-CH"/>
        </w:rPr>
        <w:t>’</w:t>
      </w:r>
      <w:r w:rsidRPr="00403F08">
        <w:rPr>
          <w:lang w:val="fr-CH"/>
        </w:rPr>
        <w:t>organisation de cours d</w:t>
      </w:r>
      <w:r w:rsidR="000A3166">
        <w:rPr>
          <w:lang w:val="fr-CH"/>
        </w:rPr>
        <w:t>’</w:t>
      </w:r>
      <w:r w:rsidRPr="00403F08">
        <w:rPr>
          <w:lang w:val="fr-CH"/>
        </w:rPr>
        <w:t>initiation à l</w:t>
      </w:r>
      <w:r w:rsidR="000A3166">
        <w:rPr>
          <w:lang w:val="fr-CH"/>
        </w:rPr>
        <w:t>’</w:t>
      </w:r>
      <w:r w:rsidRPr="00403F08">
        <w:rPr>
          <w:lang w:val="fr-CH"/>
        </w:rPr>
        <w:t>intention des nouveaux fonctionnaires, le bulletin de</w:t>
      </w:r>
      <w:r w:rsidR="00353ADC" w:rsidRPr="00403F08">
        <w:rPr>
          <w:lang w:val="fr-CH"/>
        </w:rPr>
        <w:t xml:space="preserve"> la</w:t>
      </w:r>
      <w:r w:rsidR="00353ADC">
        <w:rPr>
          <w:lang w:val="fr-CH"/>
        </w:rPr>
        <w:t> </w:t>
      </w:r>
      <w:r w:rsidR="00353ADC" w:rsidRPr="00403F08">
        <w:rPr>
          <w:lang w:val="fr-CH"/>
        </w:rPr>
        <w:t>DSI</w:t>
      </w:r>
      <w:r w:rsidRPr="00403F08">
        <w:rPr>
          <w:lang w:val="fr-CH"/>
        </w:rPr>
        <w:t>, le tableau de bord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et les exposés présentés aux directeurs et à la haute direction selon que de besoin.</w:t>
      </w:r>
    </w:p>
    <w:p w14:paraId="6FD0171F" w14:textId="77777777" w:rsidR="00417F8D" w:rsidRDefault="00E00C09" w:rsidP="002E030A">
      <w:pPr>
        <w:pStyle w:val="Heading2"/>
      </w:pPr>
      <w:r w:rsidRPr="00403F08">
        <w:t>Enquête de satisfaction</w:t>
      </w:r>
    </w:p>
    <w:p w14:paraId="2206D6B4" w14:textId="77777777" w:rsidR="00417F8D" w:rsidRDefault="00E00C09" w:rsidP="00EF58D7">
      <w:pPr>
        <w:pStyle w:val="ONUMFS"/>
        <w:rPr>
          <w:lang w:val="fr-CH"/>
        </w:rPr>
      </w:pPr>
      <w:r w:rsidRPr="00403F08">
        <w:rPr>
          <w:lang w:val="fr-CH"/>
        </w:rPr>
        <w:t>La DSI a continué à recueillir les avis des collègues de l</w:t>
      </w:r>
      <w:r w:rsidR="000A3166">
        <w:rPr>
          <w:lang w:val="fr-CH"/>
        </w:rPr>
        <w:t>’</w:t>
      </w:r>
      <w:r w:rsidRPr="00403F08">
        <w:rPr>
          <w:lang w:val="fr-CH"/>
        </w:rPr>
        <w:t>OMPI dans les services ayant fait l</w:t>
      </w:r>
      <w:r w:rsidR="000A3166">
        <w:rPr>
          <w:lang w:val="fr-CH"/>
        </w:rPr>
        <w:t>’</w:t>
      </w:r>
      <w:r w:rsidRPr="00403F08">
        <w:rPr>
          <w:lang w:val="fr-CH"/>
        </w:rPr>
        <w:t>objet d</w:t>
      </w:r>
      <w:r w:rsidR="000A3166">
        <w:rPr>
          <w:lang w:val="fr-CH"/>
        </w:rPr>
        <w:t>’</w:t>
      </w:r>
      <w:r w:rsidRPr="00403F08">
        <w:rPr>
          <w:lang w:val="fr-CH"/>
        </w:rPr>
        <w:t>audits ou d</w:t>
      </w:r>
      <w:r w:rsidR="000A3166">
        <w:rPr>
          <w:lang w:val="fr-CH"/>
        </w:rPr>
        <w:t>’</w:t>
      </w:r>
      <w:r w:rsidRPr="00403F08">
        <w:rPr>
          <w:lang w:val="fr-CH"/>
        </w:rPr>
        <w:t>évaluations au moyen d</w:t>
      </w:r>
      <w:r w:rsidR="000A3166">
        <w:rPr>
          <w:lang w:val="fr-CH"/>
        </w:rPr>
        <w:t>’</w:t>
      </w:r>
      <w:r w:rsidRPr="00403F08">
        <w:rPr>
          <w:lang w:val="fr-CH"/>
        </w:rPr>
        <w:t>enquêtes sur le niveau de satisfaction des clients après chaque missi</w:t>
      </w:r>
      <w:r w:rsidR="00007093" w:rsidRPr="00403F08">
        <w:rPr>
          <w:lang w:val="fr-CH"/>
        </w:rPr>
        <w:t>on</w:t>
      </w:r>
      <w:r w:rsidR="00007093">
        <w:rPr>
          <w:lang w:val="fr-CH"/>
        </w:rPr>
        <w:t xml:space="preserve">.  </w:t>
      </w:r>
      <w:r w:rsidR="00007093" w:rsidRPr="00403F08">
        <w:rPr>
          <w:lang w:val="fr-CH"/>
        </w:rPr>
        <w:t>Ce</w:t>
      </w:r>
      <w:r w:rsidRPr="00403F08">
        <w:rPr>
          <w:lang w:val="fr-CH"/>
        </w:rPr>
        <w:t>la permet d</w:t>
      </w:r>
      <w:r w:rsidR="000A3166">
        <w:rPr>
          <w:lang w:val="fr-CH"/>
        </w:rPr>
        <w:t>’</w:t>
      </w:r>
      <w:r w:rsidRPr="00403F08">
        <w:rPr>
          <w:lang w:val="fr-CH"/>
        </w:rPr>
        <w:t>analyser efficacement les avis recueillis auprès des collègues sur les activités de supervisi</w:t>
      </w:r>
      <w:r w:rsidR="00007093" w:rsidRPr="00403F08">
        <w:rPr>
          <w:lang w:val="fr-CH"/>
        </w:rPr>
        <w:t>on</w:t>
      </w:r>
      <w:r w:rsidR="00007093">
        <w:rPr>
          <w:lang w:val="fr-CH"/>
        </w:rPr>
        <w:t xml:space="preserve">.  </w:t>
      </w:r>
      <w:r w:rsidR="00007093" w:rsidRPr="00403F08">
        <w:rPr>
          <w:lang w:val="fr-CH"/>
        </w:rPr>
        <w:t>L</w:t>
      </w:r>
      <w:r w:rsidR="000A3166">
        <w:rPr>
          <w:lang w:val="fr-CH"/>
        </w:rPr>
        <w:t>’</w:t>
      </w:r>
      <w:r w:rsidR="00007093" w:rsidRPr="00403F08">
        <w:rPr>
          <w:lang w:val="fr-CH"/>
        </w:rPr>
        <w:t>a</w:t>
      </w:r>
      <w:r w:rsidRPr="00403F08">
        <w:rPr>
          <w:lang w:val="fr-CH"/>
        </w:rPr>
        <w:t>nalyse globale des résultats d</w:t>
      </w:r>
      <w:r w:rsidR="000A3166">
        <w:rPr>
          <w:lang w:val="fr-CH"/>
        </w:rPr>
        <w:t>’</w:t>
      </w:r>
      <w:r w:rsidRPr="00403F08">
        <w:rPr>
          <w:lang w:val="fr-CH"/>
        </w:rPr>
        <w:t>enquête fait état d</w:t>
      </w:r>
      <w:r w:rsidR="000A3166">
        <w:rPr>
          <w:lang w:val="fr-CH"/>
        </w:rPr>
        <w:t>’</w:t>
      </w:r>
      <w:r w:rsidRPr="00403F08">
        <w:rPr>
          <w:lang w:val="fr-CH"/>
        </w:rPr>
        <w:t>un taux de satisfaction de 85%.</w:t>
      </w:r>
    </w:p>
    <w:p w14:paraId="4B7E212C" w14:textId="77777777" w:rsidR="00417F8D" w:rsidRDefault="00E00C09" w:rsidP="00EF58D7">
      <w:pPr>
        <w:pStyle w:val="ONUMFS"/>
        <w:rPr>
          <w:lang w:val="fr-CH"/>
        </w:rPr>
      </w:pPr>
      <w:r w:rsidRPr="00403F08">
        <w:rPr>
          <w:lang w:val="fr-CH"/>
        </w:rPr>
        <w:t xml:space="preserve">Les résultats des enquêtes effectuées un an après les missions, qui sont utilisés pour mesurer les incidences des activités de supervision, indiquaient un taux moyen de satisfaction </w:t>
      </w:r>
      <w:r w:rsidRPr="00403F08">
        <w:rPr>
          <w:lang w:val="fr-CH"/>
        </w:rPr>
        <w:lastRenderedPageBreak/>
        <w:t>de 77%.</w:t>
      </w:r>
      <w:r w:rsidR="00186810" w:rsidRPr="00403F08">
        <w:rPr>
          <w:lang w:val="fr-CH"/>
        </w:rPr>
        <w:t xml:space="preserve"> </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w:t>
      </w:r>
      <w:r w:rsidR="000A3166">
        <w:rPr>
          <w:lang w:val="fr-CH"/>
        </w:rPr>
        <w:t>’</w:t>
      </w:r>
      <w:r w:rsidRPr="00403F08">
        <w:rPr>
          <w:lang w:val="fr-CH"/>
        </w:rPr>
        <w:t>emploiera à améliorer encore l</w:t>
      </w:r>
      <w:r w:rsidR="000A3166">
        <w:rPr>
          <w:lang w:val="fr-CH"/>
        </w:rPr>
        <w:t>’</w:t>
      </w:r>
      <w:r w:rsidRPr="00403F08">
        <w:rPr>
          <w:lang w:val="fr-CH"/>
        </w:rPr>
        <w:t>impact de ses activités de supervision compte tenu des observations transmises par les collègues.</w:t>
      </w:r>
    </w:p>
    <w:p w14:paraId="5608B61A" w14:textId="77777777" w:rsidR="00417F8D" w:rsidRDefault="00E00C09" w:rsidP="00EF58D7">
      <w:pPr>
        <w:pStyle w:val="ONUMFS"/>
        <w:rPr>
          <w:lang w:val="fr-CH"/>
        </w:rPr>
      </w:pPr>
      <w:r w:rsidRPr="00403F08">
        <w:rPr>
          <w:lang w:val="fr-CH"/>
        </w:rPr>
        <w:t>Les observations supplémentaires communiquées par les services ayant fait l</w:t>
      </w:r>
      <w:r w:rsidR="000A3166">
        <w:rPr>
          <w:lang w:val="fr-CH"/>
        </w:rPr>
        <w:t>’</w:t>
      </w:r>
      <w:r w:rsidRPr="00403F08">
        <w:rPr>
          <w:lang w:val="fr-CH"/>
        </w:rPr>
        <w:t>objet d</w:t>
      </w:r>
      <w:r w:rsidR="000A3166">
        <w:rPr>
          <w:lang w:val="fr-CH"/>
        </w:rPr>
        <w:t>’</w:t>
      </w:r>
      <w:r w:rsidRPr="00403F08">
        <w:rPr>
          <w:lang w:val="fr-CH"/>
        </w:rPr>
        <w:t>audits ou d</w:t>
      </w:r>
      <w:r w:rsidR="000A3166">
        <w:rPr>
          <w:lang w:val="fr-CH"/>
        </w:rPr>
        <w:t>’</w:t>
      </w:r>
      <w:r w:rsidRPr="00403F08">
        <w:rPr>
          <w:lang w:val="fr-CH"/>
        </w:rPr>
        <w:t>évaluations ont aidé</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à recenser les lacunes et à prendre des mesures correctrices.</w:t>
      </w:r>
    </w:p>
    <w:p w14:paraId="324604FC" w14:textId="77777777" w:rsidR="00417F8D" w:rsidRDefault="00E00C09" w:rsidP="002E030A">
      <w:pPr>
        <w:pStyle w:val="Heading2"/>
      </w:pPr>
      <w:r w:rsidRPr="00403F08">
        <w:t>Création de réseaux avec d</w:t>
      </w:r>
      <w:r w:rsidR="000A3166">
        <w:t>’</w:t>
      </w:r>
      <w:r w:rsidRPr="00403F08">
        <w:t>autres fonctions de supervision</w:t>
      </w:r>
    </w:p>
    <w:p w14:paraId="24C29FC3" w14:textId="77777777" w:rsidR="00417F8D" w:rsidRDefault="00E00C09" w:rsidP="00EF58D7">
      <w:pPr>
        <w:pStyle w:val="ONUMFS"/>
        <w:rPr>
          <w:lang w:val="fr-CH"/>
        </w:rPr>
      </w:pPr>
      <w:r w:rsidRPr="00403F08">
        <w:rPr>
          <w:lang w:val="fr-CH"/>
        </w:rPr>
        <w:t>La Charte de la supervision interne fait expressément mention</w:t>
      </w:r>
      <w:r w:rsidRPr="00403F08">
        <w:rPr>
          <w:rStyle w:val="FootnoteReference"/>
        </w:rPr>
        <w:footnoteReference w:id="14"/>
      </w:r>
      <w:r w:rsidRPr="00403F08">
        <w:rPr>
          <w:lang w:val="fr-CH"/>
        </w:rPr>
        <w:t xml:space="preserve"> d</w:t>
      </w:r>
      <w:r w:rsidR="000A3166">
        <w:rPr>
          <w:lang w:val="fr-CH"/>
        </w:rPr>
        <w:t>’</w:t>
      </w:r>
      <w:r w:rsidRPr="00403F08">
        <w:rPr>
          <w:lang w:val="fr-CH"/>
        </w:rPr>
        <w:t>assurer la liaison et la coopération avec les services de supervision interne d</w:t>
      </w:r>
      <w:r w:rsidR="000A3166">
        <w:rPr>
          <w:lang w:val="fr-CH"/>
        </w:rPr>
        <w:t>’</w:t>
      </w:r>
      <w:r w:rsidRPr="00403F08">
        <w:rPr>
          <w:lang w:val="fr-CH"/>
        </w:rPr>
        <w:t xml:space="preserve">autres organisations du système des </w:t>
      </w:r>
      <w:r w:rsidR="00353ADC">
        <w:rPr>
          <w:lang w:val="fr-CH"/>
        </w:rPr>
        <w:t>Nations Unies</w:t>
      </w:r>
      <w:r w:rsidRPr="00403F08">
        <w:rPr>
          <w:lang w:val="fr-CH"/>
        </w:rPr>
        <w:t xml:space="preserve"> et d</w:t>
      </w:r>
      <w:r w:rsidR="000A3166">
        <w:rPr>
          <w:lang w:val="fr-CH"/>
        </w:rPr>
        <w:t>’</w:t>
      </w:r>
      <w:r w:rsidRPr="00403F08">
        <w:rPr>
          <w:lang w:val="fr-CH"/>
        </w:rPr>
        <w:t>institutions financières multilatéral</w:t>
      </w:r>
      <w:r w:rsidR="00007093" w:rsidRPr="00403F08">
        <w:rPr>
          <w:lang w:val="fr-CH"/>
        </w:rPr>
        <w:t>es</w:t>
      </w:r>
      <w:r w:rsidR="00007093">
        <w:rPr>
          <w:lang w:val="fr-CH"/>
        </w:rPr>
        <w:t xml:space="preserve">.  </w:t>
      </w:r>
      <w:r w:rsidR="00007093" w:rsidRPr="00403F08">
        <w:rPr>
          <w:lang w:val="fr-CH"/>
        </w:rPr>
        <w:t>La</w:t>
      </w:r>
      <w:r w:rsidR="00353ADC">
        <w:rPr>
          <w:lang w:val="fr-CH"/>
        </w:rPr>
        <w:t> </w:t>
      </w:r>
      <w:r w:rsidR="00353ADC" w:rsidRPr="00403F08">
        <w:rPr>
          <w:lang w:val="fr-CH"/>
        </w:rPr>
        <w:t>DSI</w:t>
      </w:r>
      <w:r w:rsidRPr="00403F08">
        <w:rPr>
          <w:lang w:val="fr-CH"/>
        </w:rPr>
        <w:t xml:space="preserve"> est consciente de la valeur et de l</w:t>
      </w:r>
      <w:r w:rsidR="000A3166">
        <w:rPr>
          <w:lang w:val="fr-CH"/>
        </w:rPr>
        <w:t>’</w:t>
      </w:r>
      <w:r w:rsidRPr="00403F08">
        <w:rPr>
          <w:lang w:val="fr-CH"/>
        </w:rPr>
        <w:t>importance que revêt l</w:t>
      </w:r>
      <w:r w:rsidR="000A3166">
        <w:rPr>
          <w:lang w:val="fr-CH"/>
        </w:rPr>
        <w:t>’</w:t>
      </w:r>
      <w:r w:rsidRPr="00403F08">
        <w:rPr>
          <w:lang w:val="fr-CH"/>
        </w:rPr>
        <w:t>établissement de relations de travail avec ses homologu</w:t>
      </w:r>
      <w:r w:rsidR="00007093" w:rsidRPr="00403F08">
        <w:rPr>
          <w:lang w:val="fr-CH"/>
        </w:rPr>
        <w:t>es</w:t>
      </w:r>
      <w:r w:rsidR="00007093">
        <w:rPr>
          <w:lang w:val="fr-CH"/>
        </w:rPr>
        <w:t xml:space="preserve">.  </w:t>
      </w:r>
      <w:r w:rsidR="00007093" w:rsidRPr="00403F08">
        <w:rPr>
          <w:lang w:val="fr-CH"/>
        </w:rPr>
        <w:t>Pe</w:t>
      </w:r>
      <w:r w:rsidRPr="00403F08">
        <w:rPr>
          <w:lang w:val="fr-CH"/>
        </w:rPr>
        <w:t>ndant la période considérée,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a poursuivi activement et utilement ses activités de collaboration et de création de réseaux avec les autres organisations et entités des </w:t>
      </w:r>
      <w:r w:rsidR="00353ADC">
        <w:rPr>
          <w:lang w:val="fr-CH"/>
        </w:rPr>
        <w:t>Nations Uni</w:t>
      </w:r>
      <w:r w:rsidR="00007093">
        <w:rPr>
          <w:lang w:val="fr-CH"/>
        </w:rPr>
        <w:t xml:space="preserve">es.  </w:t>
      </w:r>
      <w:r w:rsidR="00007093" w:rsidRPr="00403F08">
        <w:rPr>
          <w:lang w:val="fr-CH"/>
        </w:rPr>
        <w:t>La</w:t>
      </w:r>
      <w:r w:rsidR="00353ADC">
        <w:rPr>
          <w:lang w:val="fr-CH"/>
        </w:rPr>
        <w:t> </w:t>
      </w:r>
      <w:r w:rsidR="00353ADC" w:rsidRPr="00403F08">
        <w:rPr>
          <w:lang w:val="fr-CH"/>
        </w:rPr>
        <w:t>DSI</w:t>
      </w:r>
      <w:r w:rsidRPr="00403F08">
        <w:rPr>
          <w:lang w:val="fr-CH"/>
        </w:rPr>
        <w:t xml:space="preserve"> a notamment participé aux activités suivantes</w:t>
      </w:r>
      <w:r w:rsidR="00353ADC">
        <w:rPr>
          <w:lang w:val="fr-CH"/>
        </w:rPr>
        <w:t> :</w:t>
      </w:r>
    </w:p>
    <w:p w14:paraId="60DAF918" w14:textId="77777777" w:rsidR="00417F8D" w:rsidRDefault="00403F08" w:rsidP="00EF58D7">
      <w:pPr>
        <w:pStyle w:val="ONUMFS"/>
        <w:numPr>
          <w:ilvl w:val="1"/>
          <w:numId w:val="3"/>
        </w:numPr>
        <w:rPr>
          <w:lang w:val="fr-CH" w:eastAsia="en-GB"/>
        </w:rPr>
      </w:pPr>
      <w:proofErr w:type="gramStart"/>
      <w:r>
        <w:rPr>
          <w:lang w:val="fr-CH" w:eastAsia="en-GB"/>
        </w:rPr>
        <w:t>l</w:t>
      </w:r>
      <w:r w:rsidR="005E6FB2" w:rsidRPr="00403F08">
        <w:rPr>
          <w:lang w:val="fr-CH" w:eastAsia="en-GB"/>
        </w:rPr>
        <w:t>a</w:t>
      </w:r>
      <w:proofErr w:type="gramEnd"/>
      <w:r w:rsidR="005E6FB2" w:rsidRPr="00403F08">
        <w:rPr>
          <w:lang w:val="fr-CH" w:eastAsia="en-GB"/>
        </w:rPr>
        <w:t xml:space="preserve"> </w:t>
      </w:r>
      <w:r w:rsidR="001D114D" w:rsidRPr="00403F08">
        <w:rPr>
          <w:lang w:val="fr-CH" w:eastAsia="en-GB"/>
        </w:rPr>
        <w:t>réunion annuelle des représentants des services d</w:t>
      </w:r>
      <w:r w:rsidR="000A3166">
        <w:rPr>
          <w:lang w:val="fr-CH" w:eastAsia="en-GB"/>
        </w:rPr>
        <w:t>’</w:t>
      </w:r>
      <w:r w:rsidR="001D114D" w:rsidRPr="00403F08">
        <w:rPr>
          <w:lang w:val="fr-CH" w:eastAsia="en-GB"/>
        </w:rPr>
        <w:t xml:space="preserve">audit interne des organismes des </w:t>
      </w:r>
      <w:r w:rsidR="00353ADC">
        <w:rPr>
          <w:lang w:val="fr-CH" w:eastAsia="en-GB"/>
        </w:rPr>
        <w:t>Nations Unies</w:t>
      </w:r>
      <w:r w:rsidR="001D114D" w:rsidRPr="00403F08">
        <w:rPr>
          <w:lang w:val="fr-CH" w:eastAsia="en-GB"/>
        </w:rPr>
        <w:t>, tenue à Addis</w:t>
      </w:r>
      <w:r w:rsidR="00007093">
        <w:rPr>
          <w:lang w:val="fr-CH" w:eastAsia="en-GB"/>
        </w:rPr>
        <w:t>-</w:t>
      </w:r>
      <w:r w:rsidR="001D114D" w:rsidRPr="00403F08">
        <w:rPr>
          <w:lang w:val="fr-CH" w:eastAsia="en-GB"/>
        </w:rPr>
        <w:t>Ab</w:t>
      </w:r>
      <w:r w:rsidR="00007093">
        <w:rPr>
          <w:lang w:val="fr-CH" w:eastAsia="en-GB"/>
        </w:rPr>
        <w:t>eb</w:t>
      </w:r>
      <w:r w:rsidR="001D114D" w:rsidRPr="00403F08">
        <w:rPr>
          <w:lang w:val="fr-CH" w:eastAsia="en-GB"/>
        </w:rPr>
        <w:t>a (</w:t>
      </w:r>
      <w:r>
        <w:rPr>
          <w:lang w:val="fr-CH" w:eastAsia="en-GB"/>
        </w:rPr>
        <w:t>É</w:t>
      </w:r>
      <w:r w:rsidR="001D114D" w:rsidRPr="00403F08">
        <w:rPr>
          <w:lang w:val="fr-CH" w:eastAsia="en-GB"/>
        </w:rPr>
        <w:t>thiopie) du 9 au 15</w:t>
      </w:r>
      <w:r w:rsidR="00C33462">
        <w:rPr>
          <w:lang w:val="fr-CH" w:eastAsia="en-GB"/>
        </w:rPr>
        <w:t> </w:t>
      </w:r>
      <w:r w:rsidR="001D114D" w:rsidRPr="00403F08">
        <w:rPr>
          <w:lang w:val="fr-CH" w:eastAsia="en-GB"/>
        </w:rPr>
        <w:t>septembre</w:t>
      </w:r>
      <w:r w:rsidR="00C33462">
        <w:rPr>
          <w:lang w:val="fr-CH" w:eastAsia="en-GB"/>
        </w:rPr>
        <w:t> </w:t>
      </w:r>
      <w:r w:rsidR="001D114D" w:rsidRPr="00403F08">
        <w:rPr>
          <w:lang w:val="fr-CH" w:eastAsia="en-GB"/>
        </w:rPr>
        <w:t>2018;</w:t>
      </w:r>
    </w:p>
    <w:p w14:paraId="60D247B4" w14:textId="77777777" w:rsidR="00417F8D" w:rsidRDefault="001D114D" w:rsidP="00EF58D7">
      <w:pPr>
        <w:pStyle w:val="ONUMFS"/>
        <w:numPr>
          <w:ilvl w:val="1"/>
          <w:numId w:val="3"/>
        </w:numPr>
        <w:rPr>
          <w:lang w:val="fr-CH" w:eastAsia="en-GB"/>
        </w:rPr>
      </w:pPr>
      <w:proofErr w:type="gramStart"/>
      <w:r w:rsidRPr="00403F08">
        <w:rPr>
          <w:lang w:val="fr-CH" w:eastAsia="en-GB"/>
        </w:rPr>
        <w:t>la</w:t>
      </w:r>
      <w:proofErr w:type="gramEnd"/>
      <w:r w:rsidRPr="00403F08">
        <w:rPr>
          <w:lang w:val="fr-CH" w:eastAsia="en-GB"/>
        </w:rPr>
        <w:t xml:space="preserve"> réunion annuelle des représentants des services d</w:t>
      </w:r>
      <w:r w:rsidR="000A3166">
        <w:rPr>
          <w:lang w:val="fr-CH" w:eastAsia="en-GB"/>
        </w:rPr>
        <w:t>’</w:t>
      </w:r>
      <w:r w:rsidRPr="00403F08">
        <w:rPr>
          <w:lang w:val="fr-CH" w:eastAsia="en-GB"/>
        </w:rPr>
        <w:t xml:space="preserve">enquête des </w:t>
      </w:r>
      <w:r w:rsidR="00353ADC">
        <w:rPr>
          <w:lang w:val="fr-CH" w:eastAsia="en-GB"/>
        </w:rPr>
        <w:t>Nations Unies</w:t>
      </w:r>
      <w:r w:rsidRPr="00403F08">
        <w:rPr>
          <w:lang w:val="fr-CH" w:eastAsia="en-GB"/>
        </w:rPr>
        <w:t xml:space="preserve">, tenue à </w:t>
      </w:r>
      <w:proofErr w:type="spellStart"/>
      <w:r w:rsidRPr="00403F08">
        <w:rPr>
          <w:lang w:val="fr-CH" w:eastAsia="en-GB"/>
        </w:rPr>
        <w:t>Songdo</w:t>
      </w:r>
      <w:proofErr w:type="spellEnd"/>
      <w:r w:rsidRPr="00403F08">
        <w:rPr>
          <w:lang w:val="fr-CH" w:eastAsia="en-GB"/>
        </w:rPr>
        <w:t xml:space="preserve"> (République de Corée) du 8 au 12</w:t>
      </w:r>
      <w:r w:rsidR="00C33462">
        <w:rPr>
          <w:lang w:val="fr-CH" w:eastAsia="en-GB"/>
        </w:rPr>
        <w:t> </w:t>
      </w:r>
      <w:r w:rsidRPr="00403F08">
        <w:rPr>
          <w:lang w:val="fr-CH" w:eastAsia="en-GB"/>
        </w:rPr>
        <w:t>octobre</w:t>
      </w:r>
      <w:r w:rsidR="00C33462">
        <w:rPr>
          <w:lang w:val="fr-CH" w:eastAsia="en-GB"/>
        </w:rPr>
        <w:t> </w:t>
      </w:r>
      <w:r w:rsidRPr="00403F08">
        <w:rPr>
          <w:lang w:val="fr-CH" w:eastAsia="en-GB"/>
        </w:rPr>
        <w:t>2018;</w:t>
      </w:r>
    </w:p>
    <w:p w14:paraId="1E4D1024" w14:textId="77777777" w:rsidR="00417F8D" w:rsidRDefault="001D114D" w:rsidP="00EF58D7">
      <w:pPr>
        <w:pStyle w:val="ONUMFS"/>
        <w:numPr>
          <w:ilvl w:val="1"/>
          <w:numId w:val="3"/>
        </w:numPr>
        <w:rPr>
          <w:lang w:val="fr-CH" w:eastAsia="en-GB"/>
        </w:rPr>
      </w:pPr>
      <w:proofErr w:type="gramStart"/>
      <w:r w:rsidRPr="00403F08">
        <w:rPr>
          <w:lang w:val="fr-CH" w:eastAsia="en-GB"/>
        </w:rPr>
        <w:t>l</w:t>
      </w:r>
      <w:r w:rsidR="000A3166">
        <w:rPr>
          <w:lang w:val="fr-CH" w:eastAsia="en-GB"/>
        </w:rPr>
        <w:t>’</w:t>
      </w:r>
      <w:r w:rsidRPr="00403F08">
        <w:rPr>
          <w:lang w:val="fr-CH" w:eastAsia="en-GB"/>
        </w:rPr>
        <w:t>OMPI</w:t>
      </w:r>
      <w:proofErr w:type="gramEnd"/>
      <w:r w:rsidRPr="00403F08">
        <w:rPr>
          <w:lang w:val="fr-CH" w:eastAsia="en-GB"/>
        </w:rPr>
        <w:t xml:space="preserve"> a participé à la semaine d</w:t>
      </w:r>
      <w:r w:rsidR="000A3166">
        <w:rPr>
          <w:lang w:val="fr-CH" w:eastAsia="en-GB"/>
        </w:rPr>
        <w:t>’</w:t>
      </w:r>
      <w:r w:rsidRPr="00403F08">
        <w:rPr>
          <w:lang w:val="fr-CH" w:eastAsia="en-GB"/>
        </w:rPr>
        <w:t>évaluation</w:t>
      </w:r>
      <w:r w:rsidR="00353ADC" w:rsidRPr="00403F08">
        <w:rPr>
          <w:lang w:val="fr-CH" w:eastAsia="en-GB"/>
        </w:rPr>
        <w:t xml:space="preserve"> du</w:t>
      </w:r>
      <w:r w:rsidR="00353ADC">
        <w:rPr>
          <w:lang w:val="fr-CH" w:eastAsia="en-GB"/>
        </w:rPr>
        <w:t> </w:t>
      </w:r>
      <w:r w:rsidR="00353ADC" w:rsidRPr="00403F08">
        <w:rPr>
          <w:lang w:val="fr-CH" w:eastAsia="en-GB"/>
        </w:rPr>
        <w:t>GNU</w:t>
      </w:r>
      <w:r w:rsidRPr="00403F08">
        <w:rPr>
          <w:lang w:val="fr-CH" w:eastAsia="en-GB"/>
        </w:rPr>
        <w:t>E, tenue à Nairobi (Kenya) du 13 au 17</w:t>
      </w:r>
      <w:r w:rsidR="00C33462">
        <w:rPr>
          <w:lang w:val="fr-CH" w:eastAsia="en-GB"/>
        </w:rPr>
        <w:t> </w:t>
      </w:r>
      <w:r w:rsidRPr="00403F08">
        <w:rPr>
          <w:lang w:val="fr-CH" w:eastAsia="en-GB"/>
        </w:rPr>
        <w:t>mai</w:t>
      </w:r>
      <w:r w:rsidR="00C33462">
        <w:rPr>
          <w:lang w:val="fr-CH" w:eastAsia="en-GB"/>
        </w:rPr>
        <w:t> </w:t>
      </w:r>
      <w:r w:rsidRPr="00403F08">
        <w:rPr>
          <w:lang w:val="fr-CH" w:eastAsia="en-GB"/>
        </w:rPr>
        <w:t>2019;</w:t>
      </w:r>
    </w:p>
    <w:p w14:paraId="447BA8DF" w14:textId="77777777" w:rsidR="00417F8D" w:rsidRDefault="001D114D" w:rsidP="00EF58D7">
      <w:pPr>
        <w:pStyle w:val="ONUMFS"/>
        <w:numPr>
          <w:ilvl w:val="1"/>
          <w:numId w:val="3"/>
        </w:numPr>
        <w:rPr>
          <w:lang w:val="fr-CH" w:eastAsia="en-GB"/>
        </w:rPr>
      </w:pPr>
      <w:proofErr w:type="gramStart"/>
      <w:r w:rsidRPr="00403F08">
        <w:rPr>
          <w:lang w:val="fr-CH" w:eastAsia="en-GB"/>
        </w:rPr>
        <w:t>la</w:t>
      </w:r>
      <w:proofErr w:type="gramEnd"/>
      <w:r w:rsidRPr="00403F08">
        <w:rPr>
          <w:lang w:val="fr-CH" w:eastAsia="en-GB"/>
        </w:rPr>
        <w:t xml:space="preserve"> réunion annuelle des chefs des services d</w:t>
      </w:r>
      <w:r w:rsidR="000A3166">
        <w:rPr>
          <w:lang w:val="fr-CH" w:eastAsia="en-GB"/>
        </w:rPr>
        <w:t>’</w:t>
      </w:r>
      <w:r w:rsidRPr="00403F08">
        <w:rPr>
          <w:lang w:val="fr-CH" w:eastAsia="en-GB"/>
        </w:rPr>
        <w:t>audit interne des organisations internationales ayant leur siège en Europe, tenue à Rome (Italie), du 22 au 24</w:t>
      </w:r>
      <w:r w:rsidR="00C33462">
        <w:rPr>
          <w:lang w:val="fr-CH" w:eastAsia="en-GB"/>
        </w:rPr>
        <w:t> </w:t>
      </w:r>
      <w:r w:rsidRPr="00403F08">
        <w:rPr>
          <w:lang w:val="fr-CH" w:eastAsia="en-GB"/>
        </w:rPr>
        <w:t>mai</w:t>
      </w:r>
      <w:r w:rsidR="00C33462">
        <w:rPr>
          <w:lang w:val="fr-CH" w:eastAsia="en-GB"/>
        </w:rPr>
        <w:t> </w:t>
      </w:r>
      <w:r w:rsidRPr="00403F08">
        <w:rPr>
          <w:lang w:val="fr-CH" w:eastAsia="en-GB"/>
        </w:rPr>
        <w:t>2019.</w:t>
      </w:r>
    </w:p>
    <w:p w14:paraId="6CCD0E70" w14:textId="77777777" w:rsidR="00417F8D" w:rsidRDefault="001D114D" w:rsidP="001D114D">
      <w:pPr>
        <w:pStyle w:val="Heading1"/>
      </w:pPr>
      <w:bookmarkStart w:id="34" w:name="_Toc12270160"/>
      <w:r w:rsidRPr="00403F08">
        <w:t>Indépendance des activités de</w:t>
      </w:r>
      <w:r w:rsidR="00353ADC" w:rsidRPr="00403F08">
        <w:t xml:space="preserve"> la</w:t>
      </w:r>
      <w:r w:rsidR="00353ADC">
        <w:t> </w:t>
      </w:r>
      <w:r w:rsidR="00353ADC" w:rsidRPr="00403F08">
        <w:t>DSI</w:t>
      </w:r>
      <w:bookmarkEnd w:id="34"/>
    </w:p>
    <w:p w14:paraId="225A2A56" w14:textId="77777777" w:rsidR="00417F8D" w:rsidRDefault="001D114D" w:rsidP="00EF58D7">
      <w:pPr>
        <w:pStyle w:val="ONUMFS"/>
        <w:rPr>
          <w:lang w:val="fr-CH"/>
        </w:rPr>
      </w:pPr>
      <w:r w:rsidRPr="00403F08">
        <w:rPr>
          <w:lang w:val="fr-CH"/>
        </w:rPr>
        <w:t>En vertu de la Charte de la supervision interne</w:t>
      </w:r>
      <w:r w:rsidRPr="00403F08">
        <w:rPr>
          <w:rStyle w:val="FootnoteReference"/>
        </w:rPr>
        <w:footnoteReference w:id="15"/>
      </w:r>
      <w:r w:rsidRPr="00403F08">
        <w:rPr>
          <w:lang w:val="fr-CH"/>
        </w:rPr>
        <w:t>, le directeur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confirme l</w:t>
      </w:r>
      <w:r w:rsidR="000A3166">
        <w:rPr>
          <w:lang w:val="fr-CH"/>
        </w:rPr>
        <w:t>’</w:t>
      </w:r>
      <w:r w:rsidRPr="00403F08">
        <w:rPr>
          <w:lang w:val="fr-CH"/>
        </w:rPr>
        <w:t>indépendance de ses activités et fait part de ses observations sur la portée de celles</w:t>
      </w:r>
      <w:r w:rsidR="00353ADC">
        <w:rPr>
          <w:lang w:val="fr-CH"/>
        </w:rPr>
        <w:t>-</w:t>
      </w:r>
      <w:r w:rsidRPr="00403F08">
        <w:rPr>
          <w:lang w:val="fr-CH"/>
        </w:rPr>
        <w:t>ci et la question de savoir si les ressources allouées à la fonction de supervision interne sont adaptées.</w:t>
      </w:r>
    </w:p>
    <w:p w14:paraId="230E53C8" w14:textId="77777777" w:rsidR="00417F8D" w:rsidRDefault="001D114D" w:rsidP="00EF58D7">
      <w:pPr>
        <w:pStyle w:val="ONUMFS"/>
        <w:rPr>
          <w:lang w:val="fr-CH"/>
        </w:rPr>
      </w:pPr>
      <w:bookmarkStart w:id="35" w:name="_Toc420663573"/>
      <w:r w:rsidRPr="00403F08">
        <w:rPr>
          <w:lang w:val="fr-CH"/>
        </w:rPr>
        <w:t>Au cours de la période considérée, aucun cas ni aucune activité n</w:t>
      </w:r>
      <w:r w:rsidR="000A3166">
        <w:rPr>
          <w:lang w:val="fr-CH"/>
        </w:rPr>
        <w:t>’</w:t>
      </w:r>
      <w:r w:rsidRPr="00403F08">
        <w:rPr>
          <w:lang w:val="fr-CH"/>
        </w:rPr>
        <w:t>ont été observés qui auraient pu mettre en péril l</w:t>
      </w:r>
      <w:r w:rsidR="000A3166">
        <w:rPr>
          <w:lang w:val="fr-CH"/>
        </w:rPr>
        <w:t>’</w:t>
      </w:r>
      <w:r w:rsidRPr="00403F08">
        <w:rPr>
          <w:lang w:val="fr-CH"/>
        </w:rPr>
        <w:t>indépendance des activités de</w:t>
      </w:r>
      <w:r w:rsidR="00353ADC" w:rsidRPr="00403F08">
        <w:rPr>
          <w:lang w:val="fr-CH"/>
        </w:rPr>
        <w:t xml:space="preserve"> la</w:t>
      </w:r>
      <w:r w:rsidR="00353ADC">
        <w:rPr>
          <w:lang w:val="fr-CH"/>
        </w:rPr>
        <w:t> </w:t>
      </w:r>
      <w:r w:rsidR="00353ADC" w:rsidRPr="00403F08">
        <w:rPr>
          <w:lang w:val="fr-CH"/>
        </w:rPr>
        <w:t>DSI</w:t>
      </w:r>
      <w:r w:rsidR="005B0739">
        <w:rPr>
          <w:lang w:val="fr-CH"/>
        </w:rPr>
        <w:t xml:space="preserve">. </w:t>
      </w:r>
      <w:r w:rsidRPr="00403F08">
        <w:rPr>
          <w:lang w:val="fr-CH"/>
        </w:rPr>
        <w:t xml:space="preserve"> La portée des activités de supervision a été déterminée par la Division, compte tenu de l</w:t>
      </w:r>
      <w:r w:rsidR="000A3166">
        <w:rPr>
          <w:lang w:val="fr-CH"/>
        </w:rPr>
        <w:t>’</w:t>
      </w:r>
      <w:r w:rsidRPr="00403F08">
        <w:rPr>
          <w:lang w:val="fr-CH"/>
        </w:rPr>
        <w:t xml:space="preserve">évaluation des risques, des commentaires et </w:t>
      </w:r>
      <w:proofErr w:type="gramStart"/>
      <w:r w:rsidRPr="00403F08">
        <w:rPr>
          <w:lang w:val="fr-CH"/>
        </w:rPr>
        <w:t>des observations formulés</w:t>
      </w:r>
      <w:proofErr w:type="gramEnd"/>
      <w:r w:rsidRPr="00403F08">
        <w:rPr>
          <w:lang w:val="fr-CH"/>
        </w:rPr>
        <w:t>, le cas échéant, par la direction de l</w:t>
      </w:r>
      <w:r w:rsidR="000A3166">
        <w:rPr>
          <w:lang w:val="fr-CH"/>
        </w:rPr>
        <w:t>’</w:t>
      </w:r>
      <w:r w:rsidRPr="00403F08">
        <w:rPr>
          <w:lang w:val="fr-CH"/>
        </w:rPr>
        <w:t>OMPI, l</w:t>
      </w:r>
      <w:r w:rsidR="000A3166">
        <w:rPr>
          <w:lang w:val="fr-CH"/>
        </w:rPr>
        <w:t>’</w:t>
      </w:r>
      <w:r w:rsidRPr="00403F08">
        <w:rPr>
          <w:lang w:val="fr-CH"/>
        </w:rPr>
        <w:t>OCIS et les États membres.</w:t>
      </w:r>
    </w:p>
    <w:p w14:paraId="4ACFE369" w14:textId="77777777" w:rsidR="00417F8D" w:rsidRDefault="001D114D" w:rsidP="001D114D">
      <w:pPr>
        <w:pStyle w:val="Heading1"/>
      </w:pPr>
      <w:bookmarkStart w:id="36" w:name="_Toc12270161"/>
      <w:bookmarkEnd w:id="35"/>
      <w:r w:rsidRPr="00403F08">
        <w:t>Ressources en matière de supervision</w:t>
      </w:r>
      <w:bookmarkEnd w:id="36"/>
    </w:p>
    <w:p w14:paraId="45C57C44" w14:textId="77777777" w:rsidR="00417F8D" w:rsidRDefault="001D114D" w:rsidP="002E030A">
      <w:pPr>
        <w:pStyle w:val="Heading2"/>
      </w:pPr>
      <w:r w:rsidRPr="00403F08">
        <w:t>Budget et effectifs</w:t>
      </w:r>
    </w:p>
    <w:p w14:paraId="78E6C986" w14:textId="77777777" w:rsidR="00417F8D" w:rsidRDefault="001D114D" w:rsidP="00EF58D7">
      <w:pPr>
        <w:pStyle w:val="ONUMFS"/>
        <w:rPr>
          <w:lang w:val="fr-CH"/>
        </w:rPr>
      </w:pPr>
      <w:r w:rsidRPr="00403F08">
        <w:rPr>
          <w:lang w:val="fr-CH"/>
        </w:rPr>
        <w:t>Aux fins de l</w:t>
      </w:r>
      <w:r w:rsidR="000A3166">
        <w:rPr>
          <w:lang w:val="fr-CH"/>
        </w:rPr>
        <w:t>’</w:t>
      </w:r>
      <w:r w:rsidRPr="00403F08">
        <w:rPr>
          <w:lang w:val="fr-CH"/>
        </w:rPr>
        <w:t>exécution de son mandat,</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s</w:t>
      </w:r>
      <w:r w:rsidR="000A3166">
        <w:rPr>
          <w:lang w:val="fr-CH"/>
        </w:rPr>
        <w:t>’</w:t>
      </w:r>
      <w:r w:rsidRPr="00403F08">
        <w:rPr>
          <w:lang w:val="fr-CH"/>
        </w:rPr>
        <w:t xml:space="preserve">est vu allouer un budget biennal de </w:t>
      </w:r>
      <w:r w:rsidR="005B0739" w:rsidRPr="00403F08">
        <w:rPr>
          <w:lang w:val="fr-CH"/>
        </w:rPr>
        <w:t>5072</w:t>
      </w:r>
      <w:r w:rsidR="00C33462">
        <w:rPr>
          <w:lang w:val="fr-CH"/>
        </w:rPr>
        <w:t> </w:t>
      </w:r>
      <w:r w:rsidRPr="00403F08">
        <w:rPr>
          <w:lang w:val="fr-CH"/>
        </w:rPr>
        <w:t>millions de francs suisses, soit 0,73%</w:t>
      </w:r>
      <w:r w:rsidRPr="00403F08">
        <w:rPr>
          <w:rStyle w:val="FootnoteReference"/>
        </w:rPr>
        <w:footnoteReference w:id="16"/>
      </w:r>
      <w:r w:rsidRPr="00403F08">
        <w:rPr>
          <w:lang w:val="fr-CH"/>
        </w:rPr>
        <w:t xml:space="preserve"> du budget de l</w:t>
      </w:r>
      <w:r w:rsidR="000A3166">
        <w:rPr>
          <w:lang w:val="fr-CH"/>
        </w:rPr>
        <w:t>’</w:t>
      </w:r>
      <w:r w:rsidRPr="00403F08">
        <w:rPr>
          <w:lang w:val="fr-CH"/>
        </w:rPr>
        <w:t>OMPI pour l</w:t>
      </w:r>
      <w:r w:rsidR="000A3166">
        <w:rPr>
          <w:lang w:val="fr-CH"/>
        </w:rPr>
        <w:t>’</w:t>
      </w:r>
      <w:r w:rsidRPr="00403F08">
        <w:rPr>
          <w:lang w:val="fr-CH"/>
        </w:rPr>
        <w:t>exercice biennal</w:t>
      </w:r>
      <w:r w:rsidR="00C33462">
        <w:rPr>
          <w:lang w:val="fr-CH"/>
        </w:rPr>
        <w:t> </w:t>
      </w:r>
      <w:r w:rsidRPr="00403F08">
        <w:rPr>
          <w:lang w:val="fr-CH"/>
        </w:rPr>
        <w:t>2018</w:t>
      </w:r>
      <w:r w:rsidR="00353ADC">
        <w:rPr>
          <w:lang w:val="fr-CH"/>
        </w:rPr>
        <w:t>-</w:t>
      </w:r>
      <w:r w:rsidRPr="00403F08">
        <w:rPr>
          <w:lang w:val="fr-CH"/>
        </w:rPr>
        <w:t>2019.</w:t>
      </w:r>
      <w:r w:rsidR="00186810" w:rsidRPr="00403F08">
        <w:rPr>
          <w:lang w:val="fr-CH"/>
        </w:rPr>
        <w:t xml:space="preserve">  </w:t>
      </w:r>
      <w:r w:rsidRPr="00403F08">
        <w:rPr>
          <w:lang w:val="fr-CH"/>
        </w:rPr>
        <w:t>Globalement, le niveau actuel des ressources humaines et financières a été suffisant pour permettre à</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d</w:t>
      </w:r>
      <w:r w:rsidR="000A3166">
        <w:rPr>
          <w:lang w:val="fr-CH"/>
        </w:rPr>
        <w:t>’</w:t>
      </w:r>
      <w:r w:rsidRPr="00403F08">
        <w:rPr>
          <w:lang w:val="fr-CH"/>
        </w:rPr>
        <w:t>englober efficacement les secteurs prioritaires recensés dans ses programmes de trava</w:t>
      </w:r>
      <w:r w:rsidR="00007093" w:rsidRPr="00403F08">
        <w:rPr>
          <w:lang w:val="fr-CH"/>
        </w:rPr>
        <w:t>il</w:t>
      </w:r>
      <w:r w:rsidR="00007093">
        <w:rPr>
          <w:lang w:val="fr-CH"/>
        </w:rPr>
        <w:t xml:space="preserve">.  </w:t>
      </w:r>
      <w:r w:rsidR="00007093" w:rsidRPr="00403F08">
        <w:rPr>
          <w:lang w:val="fr-CH"/>
        </w:rPr>
        <w:t>L</w:t>
      </w:r>
      <w:r w:rsidR="000A3166">
        <w:rPr>
          <w:lang w:val="fr-CH"/>
        </w:rPr>
        <w:t>’</w:t>
      </w:r>
      <w:r w:rsidR="00007093" w:rsidRPr="00403F08">
        <w:rPr>
          <w:lang w:val="fr-CH"/>
        </w:rPr>
        <w:t>é</w:t>
      </w:r>
      <w:r w:rsidRPr="00403F08">
        <w:rPr>
          <w:lang w:val="fr-CH"/>
        </w:rPr>
        <w:t>change de plans de supervision et la coordination permanente des activités de supervision avec le vérificateur externe des comptes, ainsi que l</w:t>
      </w:r>
      <w:r w:rsidR="000A3166">
        <w:rPr>
          <w:lang w:val="fr-CH"/>
        </w:rPr>
        <w:t>’</w:t>
      </w:r>
      <w:r w:rsidRPr="00403F08">
        <w:rPr>
          <w:lang w:val="fr-CH"/>
        </w:rPr>
        <w:t xml:space="preserve">utilisation </w:t>
      </w:r>
      <w:r w:rsidRPr="00403F08">
        <w:rPr>
          <w:lang w:val="fr-CH"/>
        </w:rPr>
        <w:lastRenderedPageBreak/>
        <w:t>rationnelle des outils informatiques, ont également contribué à l</w:t>
      </w:r>
      <w:r w:rsidR="000A3166">
        <w:rPr>
          <w:lang w:val="fr-CH"/>
        </w:rPr>
        <w:t>’</w:t>
      </w:r>
      <w:r w:rsidRPr="00403F08">
        <w:rPr>
          <w:lang w:val="fr-CH"/>
        </w:rPr>
        <w:t>efficacité accrue des activités menées et à une meilleure couverture des secteurs à risque.</w:t>
      </w:r>
    </w:p>
    <w:p w14:paraId="48CE147D" w14:textId="77777777" w:rsidR="00417F8D" w:rsidRDefault="00417F8D" w:rsidP="00186810">
      <w:pPr>
        <w:rPr>
          <w:rFonts w:eastAsia="Times New Roman"/>
          <w:b/>
          <w:bCs/>
          <w:sz w:val="18"/>
          <w:szCs w:val="18"/>
          <w:lang w:val="fr-CH" w:eastAsia="en-US"/>
        </w:rPr>
      </w:pPr>
    </w:p>
    <w:p w14:paraId="5E95D10F" w14:textId="77777777" w:rsidR="00417F8D" w:rsidRDefault="001D114D" w:rsidP="001D114D">
      <w:pPr>
        <w:pStyle w:val="NormalWeb"/>
        <w:keepNext/>
        <w:keepLines/>
        <w:spacing w:before="0" w:beforeAutospacing="0" w:after="0" w:afterAutospacing="0"/>
        <w:jc w:val="center"/>
        <w:rPr>
          <w:b/>
          <w:bCs/>
          <w:lang w:val="fr-CH"/>
        </w:rPr>
      </w:pPr>
      <w:r w:rsidRPr="00403F08">
        <w:rPr>
          <w:b/>
          <w:bCs/>
          <w:lang w:val="fr-CH"/>
        </w:rPr>
        <w:t>Tableau</w:t>
      </w:r>
      <w:r w:rsidR="00C33462">
        <w:rPr>
          <w:b/>
          <w:bCs/>
          <w:lang w:val="fr-CH"/>
        </w:rPr>
        <w:t> </w:t>
      </w:r>
      <w:r w:rsidRPr="00403F08">
        <w:rPr>
          <w:b/>
          <w:bCs/>
          <w:lang w:val="fr-CH"/>
        </w:rPr>
        <w:t>3 – Budget et dépenses</w:t>
      </w:r>
      <w:r w:rsidR="00C33462">
        <w:rPr>
          <w:b/>
          <w:bCs/>
          <w:lang w:val="fr-CH"/>
        </w:rPr>
        <w:t> </w:t>
      </w:r>
      <w:r w:rsidRPr="00403F08">
        <w:rPr>
          <w:b/>
          <w:bCs/>
          <w:lang w:val="fr-CH"/>
        </w:rPr>
        <w:t>2018</w:t>
      </w:r>
      <w:r w:rsidR="00353ADC">
        <w:rPr>
          <w:b/>
          <w:bCs/>
          <w:lang w:val="fr-CH"/>
        </w:rPr>
        <w:t>-</w:t>
      </w:r>
      <w:r w:rsidRPr="00403F08">
        <w:rPr>
          <w:b/>
          <w:bCs/>
          <w:lang w:val="fr-CH"/>
        </w:rPr>
        <w:t>2019 de</w:t>
      </w:r>
      <w:r w:rsidR="00353ADC" w:rsidRPr="00403F08">
        <w:rPr>
          <w:b/>
          <w:bCs/>
          <w:lang w:val="fr-CH"/>
        </w:rPr>
        <w:t xml:space="preserve"> la</w:t>
      </w:r>
      <w:r w:rsidR="00353ADC">
        <w:rPr>
          <w:b/>
          <w:bCs/>
          <w:lang w:val="fr-CH"/>
        </w:rPr>
        <w:t> </w:t>
      </w:r>
      <w:r w:rsidR="00353ADC" w:rsidRPr="00403F08">
        <w:rPr>
          <w:b/>
          <w:bCs/>
          <w:lang w:val="fr-CH"/>
        </w:rPr>
        <w:t>DSI</w:t>
      </w:r>
      <w:r>
        <w:rPr>
          <w:rStyle w:val="FootnoteReference"/>
          <w:b/>
          <w:bCs/>
        </w:rPr>
        <w:footnoteReference w:id="17"/>
      </w:r>
    </w:p>
    <w:p w14:paraId="73213766" w14:textId="24F4CE29" w:rsidR="00186810" w:rsidRPr="001D114D" w:rsidRDefault="00186810" w:rsidP="00186810">
      <w:pPr>
        <w:pStyle w:val="NormalWeb"/>
        <w:keepNext/>
        <w:keepLines/>
        <w:spacing w:before="0" w:beforeAutospacing="0" w:after="0" w:afterAutospacing="0"/>
        <w:jc w:val="center"/>
        <w:rPr>
          <w:i/>
          <w:iCs/>
          <w:color w:val="000000"/>
          <w:sz w:val="20"/>
          <w:szCs w:val="20"/>
          <w:lang w:val="fr-CH"/>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23"/>
        <w:gridCol w:w="1319"/>
        <w:gridCol w:w="1782"/>
        <w:gridCol w:w="1328"/>
      </w:tblGrid>
      <w:tr w:rsidR="00186810" w:rsidRPr="007B1ED7" w14:paraId="73331D95" w14:textId="77777777" w:rsidTr="00031373">
        <w:trPr>
          <w:trHeight w:val="720"/>
          <w:jc w:val="center"/>
        </w:trPr>
        <w:tc>
          <w:tcPr>
            <w:tcW w:w="2470" w:type="dxa"/>
            <w:shd w:val="clear" w:color="000000" w:fill="CCFFFF"/>
            <w:noWrap/>
            <w:vAlign w:val="center"/>
            <w:hideMark/>
          </w:tcPr>
          <w:p w14:paraId="5C5737F8" w14:textId="77777777" w:rsidR="00186810" w:rsidRPr="001D114D" w:rsidRDefault="00186810" w:rsidP="00186810">
            <w:pPr>
              <w:rPr>
                <w:color w:val="000000"/>
                <w:sz w:val="16"/>
                <w:szCs w:val="16"/>
                <w:lang w:val="fr-CH"/>
              </w:rPr>
            </w:pPr>
            <w:r w:rsidRPr="001D114D">
              <w:rPr>
                <w:color w:val="000000"/>
                <w:sz w:val="16"/>
                <w:szCs w:val="16"/>
                <w:lang w:val="fr-CH"/>
              </w:rPr>
              <w:t> </w:t>
            </w:r>
          </w:p>
        </w:tc>
        <w:tc>
          <w:tcPr>
            <w:tcW w:w="1323" w:type="dxa"/>
            <w:shd w:val="clear" w:color="000000" w:fill="CCFFFF"/>
            <w:vAlign w:val="center"/>
            <w:hideMark/>
          </w:tcPr>
          <w:p w14:paraId="190AFEEF" w14:textId="193B59B8" w:rsidR="00186810" w:rsidRPr="007B1ED7" w:rsidRDefault="001D114D" w:rsidP="001D114D">
            <w:pPr>
              <w:jc w:val="center"/>
              <w:rPr>
                <w:b/>
                <w:bCs/>
                <w:color w:val="000000"/>
                <w:sz w:val="16"/>
                <w:szCs w:val="16"/>
              </w:rPr>
            </w:pPr>
            <w:r w:rsidRPr="00403F08">
              <w:rPr>
                <w:b/>
                <w:bCs/>
                <w:sz w:val="16"/>
                <w:szCs w:val="16"/>
              </w:rPr>
              <w:t>Budget</w:t>
            </w:r>
            <w:r w:rsidR="00C33462">
              <w:rPr>
                <w:b/>
                <w:bCs/>
                <w:sz w:val="16"/>
                <w:szCs w:val="16"/>
              </w:rPr>
              <w:t> </w:t>
            </w:r>
            <w:r w:rsidRPr="00403F08">
              <w:rPr>
                <w:b/>
                <w:bCs/>
                <w:sz w:val="16"/>
                <w:szCs w:val="16"/>
              </w:rPr>
              <w:t>2018</w:t>
            </w:r>
            <w:r w:rsidR="00353ADC">
              <w:rPr>
                <w:b/>
                <w:bCs/>
                <w:sz w:val="16"/>
                <w:szCs w:val="16"/>
              </w:rPr>
              <w:t>-</w:t>
            </w:r>
            <w:r w:rsidRPr="00403F08">
              <w:rPr>
                <w:b/>
                <w:bCs/>
                <w:sz w:val="16"/>
                <w:szCs w:val="16"/>
              </w:rPr>
              <w:t xml:space="preserve">2019 </w:t>
            </w:r>
            <w:proofErr w:type="spellStart"/>
            <w:r w:rsidRPr="00403F08">
              <w:rPr>
                <w:b/>
                <w:bCs/>
                <w:sz w:val="16"/>
                <w:szCs w:val="16"/>
              </w:rPr>
              <w:t>approuvé</w:t>
            </w:r>
            <w:proofErr w:type="spellEnd"/>
          </w:p>
        </w:tc>
        <w:tc>
          <w:tcPr>
            <w:tcW w:w="1319" w:type="dxa"/>
            <w:shd w:val="clear" w:color="000000" w:fill="CCFFFF"/>
            <w:vAlign w:val="center"/>
            <w:hideMark/>
          </w:tcPr>
          <w:p w14:paraId="7CFE2986" w14:textId="7D5D8893" w:rsidR="00186810" w:rsidRPr="00403F08" w:rsidRDefault="001D114D" w:rsidP="001D114D">
            <w:pPr>
              <w:jc w:val="center"/>
              <w:rPr>
                <w:b/>
                <w:bCs/>
                <w:sz w:val="16"/>
                <w:szCs w:val="16"/>
              </w:rPr>
            </w:pPr>
            <w:r w:rsidRPr="00403F08">
              <w:rPr>
                <w:b/>
                <w:bCs/>
                <w:sz w:val="16"/>
                <w:szCs w:val="16"/>
              </w:rPr>
              <w:t>Budget</w:t>
            </w:r>
            <w:r w:rsidR="00C33462">
              <w:rPr>
                <w:b/>
                <w:bCs/>
                <w:sz w:val="16"/>
                <w:szCs w:val="16"/>
              </w:rPr>
              <w:t> </w:t>
            </w:r>
            <w:r w:rsidRPr="00403F08">
              <w:rPr>
                <w:b/>
                <w:bCs/>
                <w:sz w:val="16"/>
                <w:szCs w:val="16"/>
              </w:rPr>
              <w:t>2018</w:t>
            </w:r>
            <w:r w:rsidR="00353ADC">
              <w:rPr>
                <w:b/>
                <w:bCs/>
                <w:sz w:val="16"/>
                <w:szCs w:val="16"/>
              </w:rPr>
              <w:t>-</w:t>
            </w:r>
            <w:r w:rsidRPr="00403F08">
              <w:rPr>
                <w:b/>
                <w:bCs/>
                <w:sz w:val="16"/>
                <w:szCs w:val="16"/>
              </w:rPr>
              <w:t xml:space="preserve">2019 après </w:t>
            </w:r>
            <w:proofErr w:type="spellStart"/>
            <w:r w:rsidRPr="00403F08">
              <w:rPr>
                <w:b/>
                <w:bCs/>
                <w:sz w:val="16"/>
                <w:szCs w:val="16"/>
              </w:rPr>
              <w:t>virements</w:t>
            </w:r>
            <w:proofErr w:type="spellEnd"/>
          </w:p>
        </w:tc>
        <w:tc>
          <w:tcPr>
            <w:tcW w:w="1782" w:type="dxa"/>
            <w:shd w:val="clear" w:color="000000" w:fill="CCFFFF"/>
            <w:vAlign w:val="center"/>
            <w:hideMark/>
          </w:tcPr>
          <w:p w14:paraId="3C4098D2" w14:textId="70888DB1" w:rsidR="00186810" w:rsidRPr="007B1ED7" w:rsidRDefault="001D114D" w:rsidP="001D114D">
            <w:pPr>
              <w:jc w:val="center"/>
              <w:rPr>
                <w:b/>
                <w:bCs/>
                <w:color w:val="000000"/>
                <w:sz w:val="16"/>
                <w:szCs w:val="16"/>
              </w:rPr>
            </w:pPr>
            <w:proofErr w:type="spellStart"/>
            <w:r>
              <w:rPr>
                <w:b/>
                <w:bCs/>
                <w:color w:val="000000"/>
                <w:sz w:val="16"/>
                <w:szCs w:val="16"/>
              </w:rPr>
              <w:t>Dépenses</w:t>
            </w:r>
            <w:proofErr w:type="spellEnd"/>
            <w:r w:rsidR="00C33462">
              <w:rPr>
                <w:b/>
                <w:bCs/>
                <w:color w:val="000000"/>
                <w:sz w:val="16"/>
                <w:szCs w:val="16"/>
              </w:rPr>
              <w:t> </w:t>
            </w:r>
            <w:r>
              <w:rPr>
                <w:b/>
                <w:bCs/>
                <w:color w:val="000000"/>
                <w:sz w:val="16"/>
                <w:szCs w:val="16"/>
              </w:rPr>
              <w:t>2018*</w:t>
            </w:r>
          </w:p>
        </w:tc>
        <w:tc>
          <w:tcPr>
            <w:tcW w:w="1328" w:type="dxa"/>
            <w:shd w:val="clear" w:color="000000" w:fill="CCFFFF"/>
            <w:vAlign w:val="center"/>
            <w:hideMark/>
          </w:tcPr>
          <w:p w14:paraId="15337C45" w14:textId="18FDE915" w:rsidR="00186810" w:rsidRPr="007B1ED7" w:rsidRDefault="001D114D" w:rsidP="001D114D">
            <w:pPr>
              <w:jc w:val="center"/>
              <w:rPr>
                <w:b/>
                <w:bCs/>
                <w:color w:val="000000"/>
                <w:sz w:val="16"/>
                <w:szCs w:val="16"/>
              </w:rPr>
            </w:pPr>
            <w:proofErr w:type="spellStart"/>
            <w:r w:rsidRPr="00403F08">
              <w:rPr>
                <w:b/>
                <w:bCs/>
                <w:sz w:val="16"/>
                <w:szCs w:val="16"/>
              </w:rPr>
              <w:t>Taux</w:t>
            </w:r>
            <w:proofErr w:type="spellEnd"/>
            <w:r w:rsidRPr="00403F08">
              <w:rPr>
                <w:b/>
                <w:bCs/>
                <w:sz w:val="16"/>
                <w:szCs w:val="16"/>
              </w:rPr>
              <w:t xml:space="preserve"> </w:t>
            </w:r>
            <w:proofErr w:type="spellStart"/>
            <w:r w:rsidRPr="00403F08">
              <w:rPr>
                <w:b/>
                <w:bCs/>
                <w:sz w:val="16"/>
                <w:szCs w:val="16"/>
              </w:rPr>
              <w:t>d</w:t>
            </w:r>
            <w:r w:rsidR="000A3166">
              <w:rPr>
                <w:b/>
                <w:bCs/>
                <w:sz w:val="16"/>
                <w:szCs w:val="16"/>
              </w:rPr>
              <w:t>’</w:t>
            </w:r>
            <w:r w:rsidRPr="00403F08">
              <w:rPr>
                <w:b/>
                <w:bCs/>
                <w:sz w:val="16"/>
                <w:szCs w:val="16"/>
              </w:rPr>
              <w:t>utilisation</w:t>
            </w:r>
            <w:proofErr w:type="spellEnd"/>
            <w:r w:rsidRPr="00403F08">
              <w:rPr>
                <w:b/>
                <w:bCs/>
                <w:sz w:val="16"/>
                <w:szCs w:val="16"/>
              </w:rPr>
              <w:t xml:space="preserve"> (%)</w:t>
            </w:r>
          </w:p>
        </w:tc>
      </w:tr>
      <w:tr w:rsidR="00031373" w:rsidRPr="007B1ED7" w14:paraId="19F6BA57" w14:textId="77777777" w:rsidTr="00031373">
        <w:trPr>
          <w:trHeight w:val="315"/>
          <w:jc w:val="center"/>
        </w:trPr>
        <w:tc>
          <w:tcPr>
            <w:tcW w:w="2470" w:type="dxa"/>
            <w:shd w:val="clear" w:color="auto" w:fill="auto"/>
            <w:noWrap/>
            <w:vAlign w:val="center"/>
            <w:hideMark/>
          </w:tcPr>
          <w:p w14:paraId="0B02D804" w14:textId="7C5F15E5" w:rsidR="00031373" w:rsidRPr="00EF58D7" w:rsidRDefault="001D114D" w:rsidP="001D114D">
            <w:pPr>
              <w:rPr>
                <w:sz w:val="16"/>
                <w:szCs w:val="16"/>
              </w:rPr>
            </w:pPr>
            <w:proofErr w:type="spellStart"/>
            <w:r w:rsidRPr="00EF58D7">
              <w:rPr>
                <w:sz w:val="16"/>
                <w:szCs w:val="16"/>
              </w:rPr>
              <w:t>Dépenses</w:t>
            </w:r>
            <w:proofErr w:type="spellEnd"/>
            <w:r w:rsidRPr="00EF58D7">
              <w:rPr>
                <w:sz w:val="16"/>
                <w:szCs w:val="16"/>
              </w:rPr>
              <w:t xml:space="preserve"> de personnel</w:t>
            </w:r>
            <w:r w:rsidR="00031373" w:rsidRPr="00EF58D7">
              <w:rPr>
                <w:sz w:val="16"/>
                <w:szCs w:val="16"/>
              </w:rPr>
              <w:t xml:space="preserve">  </w:t>
            </w:r>
          </w:p>
        </w:tc>
        <w:tc>
          <w:tcPr>
            <w:tcW w:w="1323" w:type="dxa"/>
            <w:shd w:val="clear" w:color="auto" w:fill="auto"/>
            <w:hideMark/>
          </w:tcPr>
          <w:p w14:paraId="0725C0BD" w14:textId="303ED3D9" w:rsidR="00031373" w:rsidRPr="007B1ED7" w:rsidRDefault="001D114D" w:rsidP="001D114D">
            <w:pPr>
              <w:jc w:val="center"/>
              <w:rPr>
                <w:color w:val="000000"/>
                <w:sz w:val="16"/>
                <w:szCs w:val="16"/>
              </w:rPr>
            </w:pPr>
            <w:r w:rsidRPr="001D114D">
              <w:rPr>
                <w:color w:val="000000"/>
                <w:sz w:val="16"/>
                <w:szCs w:val="16"/>
              </w:rPr>
              <w:t>4 849</w:t>
            </w:r>
            <w:r w:rsidR="00031373" w:rsidRPr="007B1ED7">
              <w:rPr>
                <w:sz w:val="16"/>
                <w:szCs w:val="16"/>
              </w:rPr>
              <w:t xml:space="preserve"> </w:t>
            </w:r>
          </w:p>
        </w:tc>
        <w:tc>
          <w:tcPr>
            <w:tcW w:w="1319" w:type="dxa"/>
            <w:shd w:val="clear" w:color="auto" w:fill="auto"/>
            <w:hideMark/>
          </w:tcPr>
          <w:p w14:paraId="4E5FB760" w14:textId="2563AFBC" w:rsidR="00031373" w:rsidRPr="007B1ED7" w:rsidRDefault="001D114D" w:rsidP="001D114D">
            <w:pPr>
              <w:jc w:val="center"/>
              <w:rPr>
                <w:color w:val="000000"/>
                <w:sz w:val="16"/>
                <w:szCs w:val="16"/>
              </w:rPr>
            </w:pPr>
            <w:r w:rsidRPr="001D114D">
              <w:rPr>
                <w:color w:val="000000"/>
                <w:sz w:val="16"/>
                <w:szCs w:val="16"/>
              </w:rPr>
              <w:t>4 085</w:t>
            </w:r>
            <w:r w:rsidR="00031373" w:rsidRPr="007B1ED7">
              <w:rPr>
                <w:sz w:val="16"/>
                <w:szCs w:val="16"/>
              </w:rPr>
              <w:t xml:space="preserve"> </w:t>
            </w:r>
          </w:p>
        </w:tc>
        <w:tc>
          <w:tcPr>
            <w:tcW w:w="1782" w:type="dxa"/>
            <w:shd w:val="clear" w:color="auto" w:fill="auto"/>
            <w:hideMark/>
          </w:tcPr>
          <w:p w14:paraId="490AB7DD" w14:textId="35D8C87E" w:rsidR="00031373" w:rsidRPr="007B1ED7" w:rsidRDefault="001D114D" w:rsidP="001D114D">
            <w:pPr>
              <w:jc w:val="center"/>
              <w:rPr>
                <w:color w:val="000000"/>
                <w:sz w:val="16"/>
                <w:szCs w:val="16"/>
                <w:highlight w:val="yellow"/>
              </w:rPr>
            </w:pPr>
            <w:r w:rsidRPr="001D114D">
              <w:rPr>
                <w:color w:val="000000"/>
                <w:sz w:val="16"/>
                <w:szCs w:val="16"/>
              </w:rPr>
              <w:t>1 797</w:t>
            </w:r>
            <w:r w:rsidR="00031373" w:rsidRPr="007B1ED7">
              <w:rPr>
                <w:sz w:val="16"/>
                <w:szCs w:val="16"/>
              </w:rPr>
              <w:t xml:space="preserve"> </w:t>
            </w:r>
          </w:p>
        </w:tc>
        <w:tc>
          <w:tcPr>
            <w:tcW w:w="1328" w:type="dxa"/>
            <w:shd w:val="clear" w:color="auto" w:fill="auto"/>
            <w:hideMark/>
          </w:tcPr>
          <w:p w14:paraId="3B3C78E5" w14:textId="77777777" w:rsidR="00031373" w:rsidRPr="007B1ED7" w:rsidRDefault="00031373" w:rsidP="00031373">
            <w:pPr>
              <w:jc w:val="center"/>
              <w:rPr>
                <w:color w:val="000000"/>
                <w:sz w:val="16"/>
                <w:szCs w:val="16"/>
                <w:highlight w:val="yellow"/>
              </w:rPr>
            </w:pPr>
            <w:r w:rsidRPr="007B1ED7">
              <w:rPr>
                <w:sz w:val="16"/>
                <w:szCs w:val="16"/>
              </w:rPr>
              <w:t>44%</w:t>
            </w:r>
          </w:p>
        </w:tc>
      </w:tr>
      <w:tr w:rsidR="00031373" w:rsidRPr="007B1ED7" w14:paraId="2123821D" w14:textId="77777777" w:rsidTr="00031373">
        <w:trPr>
          <w:trHeight w:val="315"/>
          <w:jc w:val="center"/>
        </w:trPr>
        <w:tc>
          <w:tcPr>
            <w:tcW w:w="2470" w:type="dxa"/>
            <w:tcBorders>
              <w:bottom w:val="single" w:sz="4" w:space="0" w:color="auto"/>
            </w:tcBorders>
            <w:shd w:val="clear" w:color="auto" w:fill="auto"/>
            <w:noWrap/>
            <w:vAlign w:val="center"/>
            <w:hideMark/>
          </w:tcPr>
          <w:p w14:paraId="29576A95" w14:textId="76A0E7D9" w:rsidR="00031373" w:rsidRPr="00EF58D7" w:rsidRDefault="001D114D" w:rsidP="001D114D">
            <w:pPr>
              <w:rPr>
                <w:sz w:val="16"/>
                <w:szCs w:val="16"/>
                <w:lang w:val="fr-CH"/>
              </w:rPr>
            </w:pPr>
            <w:r w:rsidRPr="00EF58D7">
              <w:rPr>
                <w:sz w:val="16"/>
                <w:szCs w:val="16"/>
                <w:lang w:val="fr-CH"/>
              </w:rPr>
              <w:t>Dépenses autres que les dépenses de personnel</w:t>
            </w:r>
            <w:r w:rsidR="00031373" w:rsidRPr="00EF58D7">
              <w:rPr>
                <w:sz w:val="16"/>
                <w:szCs w:val="16"/>
                <w:lang w:val="fr-CH"/>
              </w:rPr>
              <w:t xml:space="preserve"> </w:t>
            </w:r>
          </w:p>
        </w:tc>
        <w:tc>
          <w:tcPr>
            <w:tcW w:w="1323" w:type="dxa"/>
            <w:tcBorders>
              <w:bottom w:val="single" w:sz="4" w:space="0" w:color="auto"/>
            </w:tcBorders>
            <w:shd w:val="clear" w:color="auto" w:fill="auto"/>
            <w:hideMark/>
          </w:tcPr>
          <w:p w14:paraId="19A09AD7" w14:textId="77777777" w:rsidR="00031373" w:rsidRPr="007B1ED7" w:rsidRDefault="00031373" w:rsidP="00031373">
            <w:pPr>
              <w:jc w:val="center"/>
              <w:rPr>
                <w:color w:val="000000"/>
                <w:sz w:val="16"/>
                <w:szCs w:val="16"/>
              </w:rPr>
            </w:pPr>
            <w:r w:rsidRPr="007B1ED7">
              <w:rPr>
                <w:sz w:val="16"/>
                <w:szCs w:val="16"/>
              </w:rPr>
              <w:t xml:space="preserve">700 </w:t>
            </w:r>
          </w:p>
        </w:tc>
        <w:tc>
          <w:tcPr>
            <w:tcW w:w="1319" w:type="dxa"/>
            <w:tcBorders>
              <w:bottom w:val="single" w:sz="4" w:space="0" w:color="auto"/>
            </w:tcBorders>
            <w:shd w:val="clear" w:color="auto" w:fill="auto"/>
            <w:hideMark/>
          </w:tcPr>
          <w:p w14:paraId="4160F33C" w14:textId="77777777" w:rsidR="00031373" w:rsidRPr="007B1ED7" w:rsidRDefault="00031373" w:rsidP="00031373">
            <w:pPr>
              <w:jc w:val="center"/>
              <w:rPr>
                <w:color w:val="000000"/>
                <w:sz w:val="16"/>
                <w:szCs w:val="16"/>
              </w:rPr>
            </w:pPr>
            <w:r w:rsidRPr="007B1ED7">
              <w:rPr>
                <w:sz w:val="16"/>
                <w:szCs w:val="16"/>
              </w:rPr>
              <w:t xml:space="preserve">987 </w:t>
            </w:r>
          </w:p>
        </w:tc>
        <w:tc>
          <w:tcPr>
            <w:tcW w:w="1782" w:type="dxa"/>
            <w:tcBorders>
              <w:bottom w:val="single" w:sz="4" w:space="0" w:color="auto"/>
            </w:tcBorders>
            <w:shd w:val="clear" w:color="auto" w:fill="auto"/>
            <w:hideMark/>
          </w:tcPr>
          <w:p w14:paraId="3F60296D" w14:textId="77777777" w:rsidR="00031373" w:rsidRPr="007B1ED7" w:rsidRDefault="00031373" w:rsidP="00031373">
            <w:pPr>
              <w:jc w:val="center"/>
              <w:rPr>
                <w:color w:val="000000"/>
                <w:sz w:val="16"/>
                <w:szCs w:val="16"/>
                <w:highlight w:val="yellow"/>
              </w:rPr>
            </w:pPr>
            <w:r w:rsidRPr="007B1ED7">
              <w:rPr>
                <w:sz w:val="16"/>
                <w:szCs w:val="16"/>
              </w:rPr>
              <w:t xml:space="preserve">544 </w:t>
            </w:r>
          </w:p>
        </w:tc>
        <w:tc>
          <w:tcPr>
            <w:tcW w:w="1328" w:type="dxa"/>
            <w:tcBorders>
              <w:bottom w:val="single" w:sz="4" w:space="0" w:color="auto"/>
            </w:tcBorders>
            <w:shd w:val="clear" w:color="auto" w:fill="auto"/>
            <w:hideMark/>
          </w:tcPr>
          <w:p w14:paraId="67221243" w14:textId="77777777" w:rsidR="00031373" w:rsidRPr="007B1ED7" w:rsidRDefault="00031373" w:rsidP="00031373">
            <w:pPr>
              <w:jc w:val="center"/>
              <w:rPr>
                <w:color w:val="000000"/>
                <w:sz w:val="16"/>
                <w:szCs w:val="16"/>
                <w:highlight w:val="yellow"/>
              </w:rPr>
            </w:pPr>
            <w:r w:rsidRPr="007B1ED7">
              <w:rPr>
                <w:sz w:val="16"/>
                <w:szCs w:val="16"/>
              </w:rPr>
              <w:t>55%</w:t>
            </w:r>
          </w:p>
        </w:tc>
      </w:tr>
      <w:tr w:rsidR="00031373" w:rsidRPr="007B1ED7" w14:paraId="7B43D3D2" w14:textId="77777777" w:rsidTr="00031373">
        <w:trPr>
          <w:trHeight w:val="225"/>
          <w:jc w:val="center"/>
        </w:trPr>
        <w:tc>
          <w:tcPr>
            <w:tcW w:w="2470" w:type="dxa"/>
            <w:tcBorders>
              <w:bottom w:val="single" w:sz="4" w:space="0" w:color="auto"/>
            </w:tcBorders>
            <w:shd w:val="clear" w:color="000000" w:fill="CCFFFF"/>
            <w:noWrap/>
            <w:vAlign w:val="center"/>
            <w:hideMark/>
          </w:tcPr>
          <w:p w14:paraId="6A4349FB" w14:textId="77777777" w:rsidR="00031373" w:rsidRPr="007B1ED7" w:rsidRDefault="00031373" w:rsidP="00031373">
            <w:pPr>
              <w:jc w:val="right"/>
              <w:rPr>
                <w:b/>
                <w:bCs/>
                <w:color w:val="000000"/>
                <w:sz w:val="16"/>
                <w:szCs w:val="16"/>
              </w:rPr>
            </w:pPr>
            <w:r w:rsidRPr="007B1ED7">
              <w:rPr>
                <w:b/>
                <w:bCs/>
                <w:color w:val="000000"/>
                <w:sz w:val="16"/>
                <w:szCs w:val="16"/>
              </w:rPr>
              <w:t xml:space="preserve"> Total </w:t>
            </w:r>
          </w:p>
        </w:tc>
        <w:tc>
          <w:tcPr>
            <w:tcW w:w="1323" w:type="dxa"/>
            <w:tcBorders>
              <w:bottom w:val="single" w:sz="4" w:space="0" w:color="auto"/>
            </w:tcBorders>
            <w:shd w:val="clear" w:color="000000" w:fill="CCFFFF"/>
            <w:hideMark/>
          </w:tcPr>
          <w:p w14:paraId="327A0BE9" w14:textId="5965ED2C" w:rsidR="00031373" w:rsidRPr="007B1ED7" w:rsidRDefault="001D114D" w:rsidP="001D114D">
            <w:pPr>
              <w:jc w:val="center"/>
              <w:rPr>
                <w:b/>
                <w:bCs/>
                <w:color w:val="000000"/>
                <w:sz w:val="16"/>
                <w:szCs w:val="16"/>
              </w:rPr>
            </w:pPr>
            <w:r w:rsidRPr="001D114D">
              <w:rPr>
                <w:color w:val="000000"/>
                <w:sz w:val="16"/>
                <w:szCs w:val="16"/>
              </w:rPr>
              <w:t>5 550</w:t>
            </w:r>
            <w:r w:rsidR="00031373" w:rsidRPr="007B1ED7">
              <w:rPr>
                <w:sz w:val="16"/>
                <w:szCs w:val="16"/>
              </w:rPr>
              <w:t xml:space="preserve"> </w:t>
            </w:r>
          </w:p>
        </w:tc>
        <w:tc>
          <w:tcPr>
            <w:tcW w:w="1319" w:type="dxa"/>
            <w:tcBorders>
              <w:bottom w:val="single" w:sz="4" w:space="0" w:color="auto"/>
            </w:tcBorders>
            <w:shd w:val="clear" w:color="000000" w:fill="CCFFFF"/>
            <w:hideMark/>
          </w:tcPr>
          <w:p w14:paraId="0F27A870" w14:textId="47230634" w:rsidR="00031373" w:rsidRPr="007B1ED7" w:rsidRDefault="001D114D" w:rsidP="001D114D">
            <w:pPr>
              <w:jc w:val="center"/>
              <w:rPr>
                <w:b/>
                <w:bCs/>
                <w:color w:val="000000"/>
                <w:sz w:val="16"/>
                <w:szCs w:val="16"/>
              </w:rPr>
            </w:pPr>
            <w:r w:rsidRPr="001D114D">
              <w:rPr>
                <w:color w:val="000000"/>
                <w:sz w:val="16"/>
                <w:szCs w:val="16"/>
              </w:rPr>
              <w:t>5 072</w:t>
            </w:r>
            <w:r w:rsidR="00031373" w:rsidRPr="007B1ED7">
              <w:rPr>
                <w:sz w:val="16"/>
                <w:szCs w:val="16"/>
              </w:rPr>
              <w:t xml:space="preserve"> </w:t>
            </w:r>
          </w:p>
        </w:tc>
        <w:tc>
          <w:tcPr>
            <w:tcW w:w="1782" w:type="dxa"/>
            <w:tcBorders>
              <w:bottom w:val="single" w:sz="4" w:space="0" w:color="auto"/>
            </w:tcBorders>
            <w:shd w:val="clear" w:color="000000" w:fill="CCFFFF"/>
            <w:hideMark/>
          </w:tcPr>
          <w:p w14:paraId="7F758C67" w14:textId="798FDBDF" w:rsidR="00031373" w:rsidRPr="007B1ED7" w:rsidRDefault="001D114D" w:rsidP="001D114D">
            <w:pPr>
              <w:jc w:val="center"/>
              <w:rPr>
                <w:b/>
                <w:bCs/>
                <w:color w:val="000000"/>
                <w:sz w:val="16"/>
                <w:szCs w:val="16"/>
                <w:highlight w:val="yellow"/>
              </w:rPr>
            </w:pPr>
            <w:r w:rsidRPr="001D114D">
              <w:rPr>
                <w:color w:val="000000"/>
                <w:sz w:val="16"/>
                <w:szCs w:val="16"/>
              </w:rPr>
              <w:t>2 341</w:t>
            </w:r>
            <w:r w:rsidR="00031373" w:rsidRPr="007B1ED7">
              <w:rPr>
                <w:sz w:val="16"/>
                <w:szCs w:val="16"/>
              </w:rPr>
              <w:t xml:space="preserve"> </w:t>
            </w:r>
          </w:p>
        </w:tc>
        <w:tc>
          <w:tcPr>
            <w:tcW w:w="1328" w:type="dxa"/>
            <w:tcBorders>
              <w:bottom w:val="single" w:sz="4" w:space="0" w:color="auto"/>
            </w:tcBorders>
            <w:shd w:val="clear" w:color="000000" w:fill="CCFFFF"/>
            <w:hideMark/>
          </w:tcPr>
          <w:p w14:paraId="5B9842B4" w14:textId="77777777" w:rsidR="00031373" w:rsidRPr="007B1ED7" w:rsidRDefault="00031373" w:rsidP="00031373">
            <w:pPr>
              <w:jc w:val="center"/>
              <w:rPr>
                <w:b/>
                <w:bCs/>
                <w:color w:val="000000"/>
                <w:sz w:val="16"/>
                <w:szCs w:val="16"/>
                <w:highlight w:val="yellow"/>
              </w:rPr>
            </w:pPr>
            <w:r w:rsidRPr="007B1ED7">
              <w:rPr>
                <w:sz w:val="16"/>
                <w:szCs w:val="16"/>
              </w:rPr>
              <w:t>46%</w:t>
            </w:r>
          </w:p>
        </w:tc>
      </w:tr>
    </w:tbl>
    <w:p w14:paraId="3482284F" w14:textId="77777777" w:rsidR="00417F8D" w:rsidRDefault="00417F8D" w:rsidP="00186810">
      <w:pPr>
        <w:rPr>
          <w:sz w:val="20"/>
        </w:rPr>
      </w:pPr>
    </w:p>
    <w:p w14:paraId="42A5E956" w14:textId="77777777" w:rsidR="00417F8D" w:rsidRDefault="001D114D" w:rsidP="00EF58D7">
      <w:pPr>
        <w:pStyle w:val="ONUMFS"/>
        <w:rPr>
          <w:lang w:val="fr-CH"/>
        </w:rPr>
      </w:pPr>
      <w:r w:rsidRPr="00403F08">
        <w:rPr>
          <w:lang w:val="fr-CH"/>
        </w:rPr>
        <w:t>Le recrutement du chef de la Section de l</w:t>
      </w:r>
      <w:r w:rsidR="000A3166">
        <w:rPr>
          <w:lang w:val="fr-CH"/>
        </w:rPr>
        <w:t>’</w:t>
      </w:r>
      <w:r w:rsidRPr="00403F08">
        <w:rPr>
          <w:lang w:val="fr-CH"/>
        </w:rPr>
        <w:t>audit interne a été mené à bien et le titulaire retenu a pris ses fonctions en août</w:t>
      </w:r>
      <w:r w:rsidR="00C33462">
        <w:rPr>
          <w:lang w:val="fr-CH"/>
        </w:rPr>
        <w:t> </w:t>
      </w:r>
      <w:r w:rsidRPr="00403F08">
        <w:rPr>
          <w:lang w:val="fr-CH"/>
        </w:rPr>
        <w:t>2018.</w:t>
      </w:r>
    </w:p>
    <w:p w14:paraId="6E813705" w14:textId="77777777" w:rsidR="00417F8D" w:rsidRDefault="001D114D" w:rsidP="00EF58D7">
      <w:pPr>
        <w:pStyle w:val="ONUMFS"/>
        <w:rPr>
          <w:lang w:val="fr-CH"/>
        </w:rPr>
      </w:pPr>
      <w:r w:rsidRPr="00403F08">
        <w:rPr>
          <w:lang w:val="fr-CH"/>
        </w:rPr>
        <w:t>Le recrutement d</w:t>
      </w:r>
      <w:r w:rsidR="000A3166">
        <w:rPr>
          <w:lang w:val="fr-CH"/>
        </w:rPr>
        <w:t>’</w:t>
      </w:r>
      <w:r w:rsidRPr="00403F08">
        <w:rPr>
          <w:lang w:val="fr-CH"/>
        </w:rPr>
        <w:t>un auditeur principal a été mené à bien et le titulaire prendra ses fonctions le</w:t>
      </w:r>
      <w:r w:rsidR="00353ADC">
        <w:rPr>
          <w:lang w:val="fr-CH"/>
        </w:rPr>
        <w:t xml:space="preserve"> 1</w:t>
      </w:r>
      <w:r w:rsidR="00353ADC" w:rsidRPr="00353ADC">
        <w:rPr>
          <w:vertAlign w:val="superscript"/>
          <w:lang w:val="fr-CH"/>
        </w:rPr>
        <w:t>er</w:t>
      </w:r>
      <w:r w:rsidR="00353ADC">
        <w:rPr>
          <w:lang w:val="fr-CH"/>
        </w:rPr>
        <w:t> </w:t>
      </w:r>
      <w:r w:rsidRPr="00403F08">
        <w:rPr>
          <w:lang w:val="fr-CH"/>
        </w:rPr>
        <w:t>août</w:t>
      </w:r>
      <w:r w:rsidR="00C33462">
        <w:rPr>
          <w:lang w:val="fr-CH"/>
        </w:rPr>
        <w:t> </w:t>
      </w:r>
      <w:r w:rsidRPr="00403F08">
        <w:rPr>
          <w:lang w:val="fr-CH"/>
        </w:rPr>
        <w:t>2019.</w:t>
      </w:r>
    </w:p>
    <w:p w14:paraId="29B2D68D" w14:textId="77777777" w:rsidR="00417F8D" w:rsidRDefault="001D114D" w:rsidP="00EF58D7">
      <w:pPr>
        <w:pStyle w:val="ONUMFS"/>
        <w:rPr>
          <w:lang w:val="fr-CH"/>
        </w:rPr>
      </w:pPr>
      <w:r w:rsidRPr="00403F08">
        <w:rPr>
          <w:lang w:val="fr-CH"/>
        </w:rPr>
        <w:t>Le recrutement pour la poste d</w:t>
      </w:r>
      <w:r w:rsidR="000A3166">
        <w:rPr>
          <w:lang w:val="fr-CH"/>
        </w:rPr>
        <w:t>’</w:t>
      </w:r>
      <w:r w:rsidRPr="00403F08">
        <w:rPr>
          <w:lang w:val="fr-CH"/>
        </w:rPr>
        <w:t xml:space="preserve">enquêteur principal à la </w:t>
      </w:r>
      <w:r w:rsidR="00353ADC" w:rsidRPr="00403F08">
        <w:rPr>
          <w:lang w:val="fr-CH"/>
        </w:rPr>
        <w:t>classe</w:t>
      </w:r>
      <w:r w:rsidR="00353ADC">
        <w:rPr>
          <w:lang w:val="fr-CH"/>
        </w:rPr>
        <w:t> </w:t>
      </w:r>
      <w:r w:rsidR="00353ADC" w:rsidRPr="00403F08">
        <w:rPr>
          <w:lang w:val="fr-CH"/>
        </w:rPr>
        <w:t>P</w:t>
      </w:r>
      <w:r w:rsidRPr="00403F08">
        <w:rPr>
          <w:lang w:val="fr-CH"/>
        </w:rPr>
        <w:t>4 a été mené à bien et le titulaire retenu a pris ses fonctions en janvier</w:t>
      </w:r>
      <w:r w:rsidR="00C33462">
        <w:rPr>
          <w:lang w:val="fr-CH"/>
        </w:rPr>
        <w:t> </w:t>
      </w:r>
      <w:r w:rsidRPr="00403F08">
        <w:rPr>
          <w:lang w:val="fr-CH"/>
        </w:rPr>
        <w:t>2019.</w:t>
      </w:r>
    </w:p>
    <w:p w14:paraId="6DCFD1FD" w14:textId="77777777" w:rsidR="00417F8D" w:rsidRDefault="001D114D" w:rsidP="00EF58D7">
      <w:pPr>
        <w:pStyle w:val="ONUMFS"/>
        <w:rPr>
          <w:lang w:val="fr-CH"/>
        </w:rPr>
      </w:pPr>
      <w:r w:rsidRPr="00403F08">
        <w:rPr>
          <w:lang w:val="fr-CH"/>
        </w:rPr>
        <w:t>Le processus de recrutement d</w:t>
      </w:r>
      <w:r w:rsidR="000A3166">
        <w:rPr>
          <w:lang w:val="fr-CH"/>
        </w:rPr>
        <w:t>’</w:t>
      </w:r>
      <w:r w:rsidRPr="00403F08">
        <w:rPr>
          <w:lang w:val="fr-CH"/>
        </w:rPr>
        <w:t>un administrateur temporaire chargé de l</w:t>
      </w:r>
      <w:r w:rsidR="000A3166">
        <w:rPr>
          <w:lang w:val="fr-CH"/>
        </w:rPr>
        <w:t>’</w:t>
      </w:r>
      <w:r w:rsidRPr="00403F08">
        <w:rPr>
          <w:lang w:val="fr-CH"/>
        </w:rPr>
        <w:t>évaluation à la classe</w:t>
      </w:r>
      <w:r w:rsidR="00C33462">
        <w:rPr>
          <w:lang w:val="fr-CH"/>
        </w:rPr>
        <w:t> </w:t>
      </w:r>
      <w:r w:rsidRPr="00403F08">
        <w:rPr>
          <w:lang w:val="fr-CH"/>
        </w:rPr>
        <w:t>P3 a été mené à bien et le titulaire a pris ses fonctions en janvier</w:t>
      </w:r>
      <w:r w:rsidR="00C33462">
        <w:rPr>
          <w:lang w:val="fr-CH"/>
        </w:rPr>
        <w:t> </w:t>
      </w:r>
      <w:r w:rsidRPr="00403F08">
        <w:rPr>
          <w:lang w:val="fr-CH"/>
        </w:rPr>
        <w:t>2019.</w:t>
      </w:r>
    </w:p>
    <w:p w14:paraId="1AD37E30" w14:textId="77777777" w:rsidR="00417F8D" w:rsidRDefault="001D114D" w:rsidP="00EF58D7">
      <w:pPr>
        <w:pStyle w:val="ONUMFS"/>
        <w:rPr>
          <w:lang w:val="fr-CH"/>
        </w:rPr>
      </w:pPr>
      <w:r w:rsidRPr="00403F08">
        <w:rPr>
          <w:lang w:val="fr-CH"/>
        </w:rPr>
        <w:t>Un nouveau stagiaire a rejoint</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le 15</w:t>
      </w:r>
      <w:r w:rsidR="00C33462">
        <w:rPr>
          <w:lang w:val="fr-CH"/>
        </w:rPr>
        <w:t> </w:t>
      </w:r>
      <w:r w:rsidRPr="00403F08">
        <w:rPr>
          <w:lang w:val="fr-CH"/>
        </w:rPr>
        <w:t>mai</w:t>
      </w:r>
      <w:r w:rsidR="00C33462">
        <w:rPr>
          <w:lang w:val="fr-CH"/>
        </w:rPr>
        <w:t> </w:t>
      </w:r>
      <w:r w:rsidRPr="00403F08">
        <w:rPr>
          <w:lang w:val="fr-CH"/>
        </w:rPr>
        <w:t>2019.</w:t>
      </w:r>
    </w:p>
    <w:p w14:paraId="1DD6A7D8" w14:textId="77777777" w:rsidR="00417F8D" w:rsidRDefault="001D114D" w:rsidP="00EF58D7">
      <w:pPr>
        <w:pStyle w:val="ONUMFS"/>
        <w:rPr>
          <w:lang w:val="fr-CH"/>
        </w:rPr>
      </w:pPr>
      <w:r w:rsidRPr="00403F08">
        <w:rPr>
          <w:lang w:val="fr-CH"/>
        </w:rPr>
        <w:t>Le recrutement pour le poste de secrétaire à la classe</w:t>
      </w:r>
      <w:r w:rsidR="00C33462">
        <w:rPr>
          <w:lang w:val="fr-CH"/>
        </w:rPr>
        <w:t> </w:t>
      </w:r>
      <w:r w:rsidRPr="00403F08">
        <w:rPr>
          <w:lang w:val="fr-CH"/>
        </w:rPr>
        <w:t>G4 est actuellement en cours.</w:t>
      </w:r>
    </w:p>
    <w:p w14:paraId="2B1B3F64" w14:textId="77777777" w:rsidR="00417F8D" w:rsidRDefault="001D114D" w:rsidP="002E030A">
      <w:pPr>
        <w:pStyle w:val="Heading2"/>
      </w:pPr>
      <w:r w:rsidRPr="00403F08">
        <w:t>Formation</w:t>
      </w:r>
    </w:p>
    <w:p w14:paraId="080A4FC7" w14:textId="77777777" w:rsidR="00417F8D" w:rsidRDefault="001D114D" w:rsidP="00EF58D7">
      <w:pPr>
        <w:pStyle w:val="ONUMFS"/>
        <w:rPr>
          <w:lang w:val="fr-CH"/>
        </w:rPr>
      </w:pPr>
      <w:r w:rsidRPr="00403F08">
        <w:rPr>
          <w:lang w:val="fr-CH"/>
        </w:rPr>
        <w:t>Dans une perspective de formation professionnelle continue et conformément à la politique de l</w:t>
      </w:r>
      <w:r w:rsidR="000A3166">
        <w:rPr>
          <w:lang w:val="fr-CH"/>
        </w:rPr>
        <w:t>’</w:t>
      </w:r>
      <w:r w:rsidRPr="00403F08">
        <w:rPr>
          <w:lang w:val="fr-CH"/>
        </w:rPr>
        <w:t>OMPI en matière de formation, les membres du personnel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ont participé à diverses activités de formation afin d</w:t>
      </w:r>
      <w:r w:rsidR="000A3166">
        <w:rPr>
          <w:lang w:val="fr-CH"/>
        </w:rPr>
        <w:t>’</w:t>
      </w:r>
      <w:r w:rsidRPr="00403F08">
        <w:rPr>
          <w:lang w:val="fr-CH"/>
        </w:rPr>
        <w:t>acquérir de nouvelles connaissances, des compétences techniques et d</w:t>
      </w:r>
      <w:r w:rsidR="000A3166">
        <w:rPr>
          <w:lang w:val="fr-CH"/>
        </w:rPr>
        <w:t>’</w:t>
      </w:r>
      <w:r w:rsidRPr="00403F08">
        <w:rPr>
          <w:lang w:val="fr-CH"/>
        </w:rPr>
        <w:t>autres compétences et de renforcer ainsi l</w:t>
      </w:r>
      <w:r w:rsidR="000A3166">
        <w:rPr>
          <w:lang w:val="fr-CH"/>
        </w:rPr>
        <w:t>’</w:t>
      </w:r>
      <w:r w:rsidRPr="00403F08">
        <w:rPr>
          <w:lang w:val="fr-CH"/>
        </w:rPr>
        <w:t>efficacité opérationnelle de la Division dans le cadre de ses missions de supervision.</w:t>
      </w:r>
    </w:p>
    <w:p w14:paraId="27300A74" w14:textId="77777777" w:rsidR="00417F8D" w:rsidRDefault="00241521" w:rsidP="00EF58D7">
      <w:pPr>
        <w:pStyle w:val="ONUMFS"/>
        <w:spacing w:after="0"/>
        <w:rPr>
          <w:lang w:val="fr-CH"/>
        </w:rPr>
      </w:pPr>
      <w:r w:rsidRPr="00403F08">
        <w:rPr>
          <w:lang w:val="fr-CH"/>
        </w:rPr>
        <w:t>En moyenne, les membres du personnel de</w:t>
      </w:r>
      <w:r w:rsidR="00353ADC" w:rsidRPr="00403F08">
        <w:rPr>
          <w:lang w:val="fr-CH"/>
        </w:rPr>
        <w:t xml:space="preserve"> la</w:t>
      </w:r>
      <w:r w:rsidR="00353ADC">
        <w:rPr>
          <w:lang w:val="fr-CH"/>
        </w:rPr>
        <w:t> </w:t>
      </w:r>
      <w:r w:rsidR="00353ADC" w:rsidRPr="00403F08">
        <w:rPr>
          <w:lang w:val="fr-CH"/>
        </w:rPr>
        <w:t>DSI</w:t>
      </w:r>
      <w:r w:rsidRPr="00403F08">
        <w:rPr>
          <w:lang w:val="fr-CH"/>
        </w:rPr>
        <w:t xml:space="preserve"> ont suivi 10</w:t>
      </w:r>
      <w:r w:rsidR="00C33462">
        <w:rPr>
          <w:lang w:val="fr-CH"/>
        </w:rPr>
        <w:t> </w:t>
      </w:r>
      <w:r w:rsidRPr="00403F08">
        <w:rPr>
          <w:lang w:val="fr-CH"/>
        </w:rPr>
        <w:t>jours de formation</w:t>
      </w:r>
      <w:r w:rsidR="005E6FB2" w:rsidRPr="00403F08">
        <w:rPr>
          <w:lang w:val="fr-CH"/>
        </w:rPr>
        <w:t>,</w:t>
      </w:r>
      <w:r w:rsidRPr="00403F08">
        <w:rPr>
          <w:lang w:val="fr-CH"/>
        </w:rPr>
        <w:t xml:space="preserve"> qui ont notamment porté sur la prévention et la détection des fraudes, les techniques de recherche en matière d</w:t>
      </w:r>
      <w:r w:rsidR="000A3166">
        <w:rPr>
          <w:lang w:val="fr-CH"/>
        </w:rPr>
        <w:t>’</w:t>
      </w:r>
      <w:r w:rsidRPr="00403F08">
        <w:rPr>
          <w:lang w:val="fr-CH"/>
        </w:rPr>
        <w:t>enquête, l</w:t>
      </w:r>
      <w:r w:rsidR="000A3166">
        <w:rPr>
          <w:lang w:val="fr-CH"/>
        </w:rPr>
        <w:t>’</w:t>
      </w:r>
      <w:r w:rsidRPr="00403F08">
        <w:rPr>
          <w:lang w:val="fr-CH"/>
        </w:rPr>
        <w:t>analyse des données, l</w:t>
      </w:r>
      <w:r w:rsidR="000A3166">
        <w:rPr>
          <w:lang w:val="fr-CH"/>
        </w:rPr>
        <w:t>’</w:t>
      </w:r>
      <w:r w:rsidRPr="00403F08">
        <w:rPr>
          <w:lang w:val="fr-CH"/>
        </w:rPr>
        <w:t xml:space="preserve">application de visualisation </w:t>
      </w:r>
      <w:proofErr w:type="spellStart"/>
      <w:r w:rsidRPr="00403F08">
        <w:rPr>
          <w:lang w:val="fr-CH"/>
        </w:rPr>
        <w:t>TableauTM</w:t>
      </w:r>
      <w:proofErr w:type="spellEnd"/>
      <w:r w:rsidRPr="00403F08">
        <w:rPr>
          <w:lang w:val="fr-CH"/>
        </w:rPr>
        <w:t xml:space="preserve">, la saisie des données numériques, la </w:t>
      </w:r>
      <w:proofErr w:type="spellStart"/>
      <w:r w:rsidRPr="00403F08">
        <w:rPr>
          <w:lang w:val="fr-CH"/>
        </w:rPr>
        <w:t>cybersécurité</w:t>
      </w:r>
      <w:proofErr w:type="spellEnd"/>
      <w:r w:rsidRPr="00403F08">
        <w:rPr>
          <w:lang w:val="fr-CH"/>
        </w:rPr>
        <w:t>, la gestion des conflits, l</w:t>
      </w:r>
      <w:r w:rsidR="000A3166">
        <w:rPr>
          <w:lang w:val="fr-CH"/>
        </w:rPr>
        <w:t>’</w:t>
      </w:r>
      <w:r w:rsidRPr="00403F08">
        <w:rPr>
          <w:lang w:val="fr-CH"/>
        </w:rPr>
        <w:t>évaluation des politiques dans le domaine de la science et de l</w:t>
      </w:r>
      <w:r w:rsidR="000A3166">
        <w:rPr>
          <w:lang w:val="fr-CH"/>
        </w:rPr>
        <w:t>’</w:t>
      </w:r>
      <w:r w:rsidRPr="00403F08">
        <w:rPr>
          <w:lang w:val="fr-CH"/>
        </w:rPr>
        <w:t>innovation et l</w:t>
      </w:r>
      <w:r w:rsidR="000A3166">
        <w:rPr>
          <w:lang w:val="fr-CH"/>
        </w:rPr>
        <w:t>’</w:t>
      </w:r>
      <w:r w:rsidRPr="00403F08">
        <w:rPr>
          <w:lang w:val="fr-CH"/>
        </w:rPr>
        <w:t xml:space="preserve">outil </w:t>
      </w:r>
      <w:proofErr w:type="spellStart"/>
      <w:r w:rsidRPr="00403F08">
        <w:rPr>
          <w:lang w:val="fr-CH"/>
        </w:rPr>
        <w:t>TeamMate</w:t>
      </w:r>
      <w:proofErr w:type="spellEnd"/>
      <w:r w:rsidRPr="00403F08">
        <w:rPr>
          <w:lang w:val="fr-CH"/>
        </w:rPr>
        <w:t>.</w:t>
      </w:r>
    </w:p>
    <w:p w14:paraId="241DD6F4" w14:textId="77777777" w:rsidR="00417F8D" w:rsidRDefault="00241521" w:rsidP="00EF58D7">
      <w:pPr>
        <w:pStyle w:val="Endofdocument-Annex"/>
        <w:rPr>
          <w:lang w:val="fr-CH"/>
        </w:rPr>
      </w:pPr>
      <w:r w:rsidRPr="00403F08">
        <w:rPr>
          <w:lang w:val="fr-CH"/>
        </w:rPr>
        <w:t>[L</w:t>
      </w:r>
      <w:r w:rsidR="000A3166">
        <w:rPr>
          <w:lang w:val="fr-CH"/>
        </w:rPr>
        <w:t>’</w:t>
      </w:r>
      <w:r w:rsidRPr="00403F08">
        <w:rPr>
          <w:lang w:val="fr-CH"/>
        </w:rPr>
        <w:t>annexe suit]</w:t>
      </w:r>
    </w:p>
    <w:p w14:paraId="3E849F95" w14:textId="790DDE80" w:rsidR="00186810" w:rsidRPr="00241521" w:rsidRDefault="00186810" w:rsidP="00186810">
      <w:pPr>
        <w:pStyle w:val="ONUME"/>
        <w:keepLines/>
        <w:numPr>
          <w:ilvl w:val="0"/>
          <w:numId w:val="0"/>
        </w:numPr>
        <w:jc w:val="right"/>
        <w:rPr>
          <w:lang w:val="fr-CH"/>
        </w:rPr>
        <w:sectPr w:rsidR="00186810" w:rsidRPr="00241521" w:rsidSect="0018681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305" w:right="1134" w:bottom="1418" w:left="1418" w:header="510" w:footer="1021" w:gutter="0"/>
          <w:pgNumType w:start="1"/>
          <w:cols w:space="720"/>
          <w:titlePg/>
          <w:docGrid w:linePitch="299"/>
        </w:sectPr>
      </w:pPr>
    </w:p>
    <w:p w14:paraId="59D8BACB" w14:textId="77777777" w:rsidR="00417F8D" w:rsidRDefault="00241521" w:rsidP="00241521">
      <w:pPr>
        <w:keepLines/>
        <w:jc w:val="center"/>
        <w:rPr>
          <w:b/>
          <w:bCs/>
          <w:lang w:val="fr-CH"/>
        </w:rPr>
      </w:pPr>
      <w:r w:rsidRPr="00D54476">
        <w:rPr>
          <w:b/>
          <w:bCs/>
          <w:lang w:val="fr-CH"/>
        </w:rPr>
        <w:lastRenderedPageBreak/>
        <w:t>Liste des rapports établis par</w:t>
      </w:r>
      <w:r w:rsidR="00353ADC" w:rsidRPr="00D54476">
        <w:rPr>
          <w:b/>
          <w:bCs/>
          <w:lang w:val="fr-CH"/>
        </w:rPr>
        <w:t xml:space="preserve"> la DSI</w:t>
      </w:r>
      <w:r w:rsidRPr="00D54476">
        <w:rPr>
          <w:b/>
          <w:bCs/>
          <w:lang w:val="fr-CH"/>
        </w:rPr>
        <w:t xml:space="preserve"> du</w:t>
      </w:r>
      <w:r w:rsidR="00353ADC" w:rsidRPr="00D54476">
        <w:rPr>
          <w:b/>
          <w:bCs/>
          <w:lang w:val="fr-CH"/>
        </w:rPr>
        <w:t xml:space="preserve"> 1</w:t>
      </w:r>
      <w:r w:rsidR="00353ADC" w:rsidRPr="00D54476">
        <w:rPr>
          <w:b/>
          <w:bCs/>
          <w:vertAlign w:val="superscript"/>
          <w:lang w:val="fr-CH"/>
        </w:rPr>
        <w:t>er</w:t>
      </w:r>
      <w:r w:rsidR="00353ADC" w:rsidRPr="00D54476">
        <w:rPr>
          <w:b/>
          <w:bCs/>
          <w:lang w:val="fr-CH"/>
        </w:rPr>
        <w:t> </w:t>
      </w:r>
      <w:r w:rsidRPr="00D54476">
        <w:rPr>
          <w:b/>
          <w:bCs/>
          <w:lang w:val="fr-CH"/>
        </w:rPr>
        <w:t>juillet</w:t>
      </w:r>
      <w:r w:rsidR="00C33462" w:rsidRPr="00D54476">
        <w:rPr>
          <w:b/>
          <w:bCs/>
          <w:lang w:val="fr-CH"/>
        </w:rPr>
        <w:t> </w:t>
      </w:r>
      <w:r w:rsidRPr="00D54476">
        <w:rPr>
          <w:b/>
          <w:bCs/>
          <w:lang w:val="fr-CH"/>
        </w:rPr>
        <w:t>2018 au 30</w:t>
      </w:r>
      <w:r w:rsidR="00C33462" w:rsidRPr="00D54476">
        <w:rPr>
          <w:b/>
          <w:bCs/>
          <w:lang w:val="fr-CH"/>
        </w:rPr>
        <w:t> </w:t>
      </w:r>
      <w:r w:rsidRPr="00D54476">
        <w:rPr>
          <w:b/>
          <w:bCs/>
          <w:lang w:val="fr-CH"/>
        </w:rPr>
        <w:t>juin</w:t>
      </w:r>
      <w:r w:rsidR="00C33462" w:rsidRPr="00D54476">
        <w:rPr>
          <w:b/>
          <w:bCs/>
          <w:lang w:val="fr-CH"/>
        </w:rPr>
        <w:t> </w:t>
      </w:r>
      <w:r w:rsidRPr="00D54476">
        <w:rPr>
          <w:b/>
          <w:bCs/>
          <w:lang w:val="fr-CH"/>
        </w:rPr>
        <w:t>2019</w:t>
      </w:r>
    </w:p>
    <w:p w14:paraId="6A82D316" w14:textId="77777777" w:rsidR="00417F8D" w:rsidRDefault="00417F8D" w:rsidP="00186810">
      <w:pPr>
        <w:keepLines/>
        <w:jc w:val="center"/>
        <w:rPr>
          <w:b/>
          <w:bCs/>
          <w:lang w:val="fr-CH"/>
        </w:rPr>
      </w:pPr>
    </w:p>
    <w:p w14:paraId="3B44AB6E" w14:textId="77777777" w:rsidR="00186810" w:rsidRPr="00241521" w:rsidRDefault="00186810" w:rsidP="00186810">
      <w:pPr>
        <w:keepLines/>
        <w:ind w:left="5533"/>
        <w:jc w:val="right"/>
        <w:rPr>
          <w:lang w:val="fr-CH"/>
        </w:rPr>
      </w:pPr>
    </w:p>
    <w:tbl>
      <w:tblPr>
        <w:tblStyle w:val="TableGridLight"/>
        <w:tblW w:w="0" w:type="auto"/>
        <w:tblLook w:val="04A0" w:firstRow="1" w:lastRow="0" w:firstColumn="1" w:lastColumn="0" w:noHBand="0" w:noVBand="1"/>
      </w:tblPr>
      <w:tblGrid>
        <w:gridCol w:w="7222"/>
        <w:gridCol w:w="2123"/>
      </w:tblGrid>
      <w:tr w:rsidR="00526183" w:rsidRPr="00403F08" w14:paraId="41637A44" w14:textId="77777777" w:rsidTr="003C41D6">
        <w:trPr>
          <w:trHeight w:val="851"/>
        </w:trPr>
        <w:tc>
          <w:tcPr>
            <w:tcW w:w="7222" w:type="dxa"/>
            <w:vAlign w:val="center"/>
          </w:tcPr>
          <w:p w14:paraId="54716FB4" w14:textId="5BF8CAE6" w:rsidR="00526183" w:rsidRPr="00403F08" w:rsidRDefault="00241521" w:rsidP="00241521">
            <w:pPr>
              <w:pStyle w:val="ONUME"/>
              <w:numPr>
                <w:ilvl w:val="0"/>
                <w:numId w:val="0"/>
              </w:numPr>
              <w:jc w:val="center"/>
              <w:rPr>
                <w:lang w:val="fr-CH"/>
              </w:rPr>
            </w:pPr>
            <w:r w:rsidRPr="00403F08">
              <w:rPr>
                <w:lang w:val="fr-CH"/>
              </w:rPr>
              <w:t>Audit des systèmes de sécurité en matière d</w:t>
            </w:r>
            <w:r w:rsidR="000A3166">
              <w:rPr>
                <w:lang w:val="fr-CH"/>
              </w:rPr>
              <w:t>’</w:t>
            </w:r>
            <w:r w:rsidRPr="00403F08">
              <w:rPr>
                <w:lang w:val="fr-CH"/>
              </w:rPr>
              <w:t>accès physique</w:t>
            </w:r>
          </w:p>
        </w:tc>
        <w:tc>
          <w:tcPr>
            <w:tcW w:w="2123" w:type="dxa"/>
            <w:vAlign w:val="center"/>
          </w:tcPr>
          <w:p w14:paraId="1ED736F1" w14:textId="1CD96967" w:rsidR="00526183" w:rsidRPr="00403F08" w:rsidRDefault="00526183" w:rsidP="00752A33">
            <w:pPr>
              <w:pStyle w:val="ONUME"/>
              <w:numPr>
                <w:ilvl w:val="0"/>
                <w:numId w:val="0"/>
              </w:numPr>
              <w:ind w:left="34"/>
              <w:jc w:val="center"/>
            </w:pPr>
            <w:r w:rsidRPr="00403F08">
              <w:rPr>
                <w:rFonts w:eastAsia="Times New Roman"/>
                <w:sz w:val="24"/>
                <w:szCs w:val="24"/>
                <w:lang w:eastAsia="en-US"/>
              </w:rPr>
              <w:t>IA</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04</w:t>
            </w:r>
          </w:p>
        </w:tc>
      </w:tr>
      <w:tr w:rsidR="00526183" w:rsidRPr="00403F08" w14:paraId="1157DD28" w14:textId="77777777" w:rsidTr="003C41D6">
        <w:trPr>
          <w:trHeight w:val="851"/>
        </w:trPr>
        <w:tc>
          <w:tcPr>
            <w:tcW w:w="7222" w:type="dxa"/>
            <w:vAlign w:val="center"/>
          </w:tcPr>
          <w:p w14:paraId="20565DD1" w14:textId="1F03CABD" w:rsidR="00526183" w:rsidRPr="00403F08" w:rsidRDefault="00241521" w:rsidP="00241521">
            <w:pPr>
              <w:pStyle w:val="ONUME"/>
              <w:numPr>
                <w:ilvl w:val="0"/>
                <w:numId w:val="0"/>
              </w:numPr>
              <w:jc w:val="center"/>
              <w:rPr>
                <w:lang w:val="fr-CH"/>
              </w:rPr>
            </w:pPr>
            <w:r w:rsidRPr="00403F08">
              <w:rPr>
                <w:lang w:val="fr-CH"/>
              </w:rPr>
              <w:t>Audit du portefeuille de projets pour la planification des ressources de l</w:t>
            </w:r>
            <w:r w:rsidR="000A3166">
              <w:rPr>
                <w:lang w:val="fr-CH"/>
              </w:rPr>
              <w:t>’</w:t>
            </w:r>
            <w:r w:rsidRPr="00403F08">
              <w:rPr>
                <w:lang w:val="fr-CH"/>
              </w:rPr>
              <w:t>OMPI (ERP)</w:t>
            </w:r>
          </w:p>
        </w:tc>
        <w:tc>
          <w:tcPr>
            <w:tcW w:w="2123" w:type="dxa"/>
            <w:vAlign w:val="center"/>
          </w:tcPr>
          <w:p w14:paraId="2C59EFF9" w14:textId="260FDB4C" w:rsidR="00526183" w:rsidRPr="00403F08" w:rsidRDefault="00526183" w:rsidP="00752A33">
            <w:pPr>
              <w:pStyle w:val="ONUME"/>
              <w:numPr>
                <w:ilvl w:val="0"/>
                <w:numId w:val="0"/>
              </w:numPr>
              <w:ind w:left="34"/>
              <w:jc w:val="center"/>
            </w:pPr>
            <w:r w:rsidRPr="00403F08">
              <w:rPr>
                <w:rFonts w:eastAsia="Times New Roman"/>
                <w:sz w:val="24"/>
                <w:szCs w:val="24"/>
                <w:lang w:eastAsia="en-US"/>
              </w:rPr>
              <w:t>IA</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03</w:t>
            </w:r>
          </w:p>
        </w:tc>
      </w:tr>
      <w:tr w:rsidR="00526183" w:rsidRPr="00403F08" w14:paraId="398A2719" w14:textId="77777777" w:rsidTr="003C41D6">
        <w:trPr>
          <w:trHeight w:val="851"/>
        </w:trPr>
        <w:tc>
          <w:tcPr>
            <w:tcW w:w="7222" w:type="dxa"/>
            <w:vAlign w:val="center"/>
          </w:tcPr>
          <w:p w14:paraId="72CBF5C2" w14:textId="6F6E308D" w:rsidR="00526183" w:rsidRPr="00403F08" w:rsidRDefault="00241521" w:rsidP="00241521">
            <w:pPr>
              <w:pStyle w:val="ONUME"/>
              <w:numPr>
                <w:ilvl w:val="0"/>
                <w:numId w:val="0"/>
              </w:numPr>
              <w:jc w:val="center"/>
              <w:rPr>
                <w:lang w:val="fr-CH"/>
              </w:rPr>
            </w:pPr>
            <w:r w:rsidRPr="00403F08">
              <w:rPr>
                <w:lang w:val="fr-CH"/>
              </w:rPr>
              <w:t>Audit des fonds fiduciaires gérés par l</w:t>
            </w:r>
            <w:r w:rsidR="000A3166">
              <w:rPr>
                <w:lang w:val="fr-CH"/>
              </w:rPr>
              <w:t>’</w:t>
            </w:r>
            <w:r w:rsidRPr="00403F08">
              <w:rPr>
                <w:lang w:val="fr-CH"/>
              </w:rPr>
              <w:t>OMPI</w:t>
            </w:r>
          </w:p>
        </w:tc>
        <w:tc>
          <w:tcPr>
            <w:tcW w:w="2123" w:type="dxa"/>
            <w:vAlign w:val="center"/>
          </w:tcPr>
          <w:p w14:paraId="15A01674" w14:textId="08080A5C" w:rsidR="00526183" w:rsidRPr="00403F08" w:rsidRDefault="00526183" w:rsidP="00752A33">
            <w:pPr>
              <w:pStyle w:val="ONUME"/>
              <w:numPr>
                <w:ilvl w:val="0"/>
                <w:numId w:val="0"/>
              </w:numPr>
              <w:ind w:left="34"/>
              <w:jc w:val="center"/>
            </w:pPr>
            <w:r w:rsidRPr="00403F08">
              <w:rPr>
                <w:rFonts w:eastAsia="Times New Roman"/>
                <w:sz w:val="24"/>
                <w:szCs w:val="24"/>
                <w:lang w:eastAsia="en-US"/>
              </w:rPr>
              <w:t>IA</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05</w:t>
            </w:r>
          </w:p>
        </w:tc>
      </w:tr>
      <w:tr w:rsidR="00526183" w:rsidRPr="00403F08" w14:paraId="41EE8268" w14:textId="77777777" w:rsidTr="003C41D6">
        <w:trPr>
          <w:trHeight w:val="851"/>
        </w:trPr>
        <w:tc>
          <w:tcPr>
            <w:tcW w:w="7222" w:type="dxa"/>
            <w:vAlign w:val="center"/>
          </w:tcPr>
          <w:p w14:paraId="040AC473" w14:textId="4F0B7AC2" w:rsidR="00526183" w:rsidRPr="00403F08" w:rsidRDefault="00241521" w:rsidP="00241521">
            <w:pPr>
              <w:pStyle w:val="ONUME"/>
              <w:numPr>
                <w:ilvl w:val="0"/>
                <w:numId w:val="0"/>
              </w:numPr>
              <w:jc w:val="center"/>
              <w:rPr>
                <w:lang w:val="fr-CH"/>
              </w:rPr>
            </w:pPr>
            <w:r w:rsidRPr="00403F08">
              <w:rPr>
                <w:lang w:val="fr-CH"/>
              </w:rPr>
              <w:t xml:space="preserve">Audit de la mise en </w:t>
            </w:r>
            <w:r w:rsidR="00403F08" w:rsidRPr="00403F08">
              <w:rPr>
                <w:lang w:val="fr-CH"/>
              </w:rPr>
              <w:t>œuvre</w:t>
            </w:r>
            <w:r w:rsidRPr="00403F08">
              <w:rPr>
                <w:lang w:val="fr-CH"/>
              </w:rPr>
              <w:t xml:space="preserve"> de la stratégie de l</w:t>
            </w:r>
            <w:r w:rsidR="000A3166">
              <w:rPr>
                <w:lang w:val="fr-CH"/>
              </w:rPr>
              <w:t>’</w:t>
            </w:r>
            <w:r w:rsidRPr="00403F08">
              <w:rPr>
                <w:lang w:val="fr-CH"/>
              </w:rPr>
              <w:t>OMPI en matière d</w:t>
            </w:r>
            <w:r w:rsidR="000A3166">
              <w:rPr>
                <w:lang w:val="fr-CH"/>
              </w:rPr>
              <w:t>’</w:t>
            </w:r>
            <w:r w:rsidRPr="00403F08">
              <w:rPr>
                <w:lang w:val="fr-CH"/>
              </w:rPr>
              <w:t>assurance informatique</w:t>
            </w:r>
          </w:p>
        </w:tc>
        <w:tc>
          <w:tcPr>
            <w:tcW w:w="2123" w:type="dxa"/>
            <w:vAlign w:val="center"/>
          </w:tcPr>
          <w:p w14:paraId="2C1F2581" w14:textId="1469E06E" w:rsidR="00526183" w:rsidRPr="00403F08" w:rsidRDefault="00526183" w:rsidP="00752A33">
            <w:pPr>
              <w:pStyle w:val="ONUME"/>
              <w:numPr>
                <w:ilvl w:val="0"/>
                <w:numId w:val="0"/>
              </w:numPr>
              <w:ind w:left="34"/>
              <w:jc w:val="center"/>
            </w:pPr>
            <w:r w:rsidRPr="00403F08">
              <w:rPr>
                <w:rFonts w:eastAsia="Times New Roman"/>
                <w:sz w:val="24"/>
                <w:szCs w:val="24"/>
                <w:lang w:eastAsia="en-US"/>
              </w:rPr>
              <w:t>IA</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06</w:t>
            </w:r>
          </w:p>
        </w:tc>
      </w:tr>
      <w:tr w:rsidR="00526183" w:rsidRPr="00403F08" w14:paraId="14687AFD" w14:textId="77777777" w:rsidTr="003C41D6">
        <w:trPr>
          <w:trHeight w:val="851"/>
        </w:trPr>
        <w:tc>
          <w:tcPr>
            <w:tcW w:w="7222" w:type="dxa"/>
            <w:vAlign w:val="center"/>
          </w:tcPr>
          <w:p w14:paraId="760DA0A0" w14:textId="37672D86" w:rsidR="00526183" w:rsidRPr="00403F08" w:rsidRDefault="00241521" w:rsidP="00241521">
            <w:pPr>
              <w:pStyle w:val="ONUME"/>
              <w:numPr>
                <w:ilvl w:val="0"/>
                <w:numId w:val="0"/>
              </w:numPr>
              <w:jc w:val="center"/>
              <w:rPr>
                <w:lang w:val="fr-CH"/>
              </w:rPr>
            </w:pPr>
            <w:r w:rsidRPr="00403F08">
              <w:rPr>
                <w:lang w:val="fr-CH"/>
              </w:rPr>
              <w:t>Audit du mécanisme pilote de compensation</w:t>
            </w:r>
            <w:r w:rsidR="00353ADC" w:rsidRPr="00403F08">
              <w:rPr>
                <w:lang w:val="fr-CH"/>
              </w:rPr>
              <w:t xml:space="preserve"> du</w:t>
            </w:r>
            <w:r w:rsidR="00353ADC">
              <w:rPr>
                <w:lang w:val="fr-CH"/>
              </w:rPr>
              <w:t> </w:t>
            </w:r>
            <w:r w:rsidR="00353ADC" w:rsidRPr="00403F08">
              <w:rPr>
                <w:lang w:val="fr-CH"/>
              </w:rPr>
              <w:t>PCT</w:t>
            </w:r>
          </w:p>
        </w:tc>
        <w:tc>
          <w:tcPr>
            <w:tcW w:w="2123" w:type="dxa"/>
            <w:vAlign w:val="center"/>
          </w:tcPr>
          <w:p w14:paraId="03D819F5" w14:textId="1CC7DB20" w:rsidR="00526183" w:rsidRPr="00403F08" w:rsidRDefault="00526183" w:rsidP="00752A33">
            <w:pPr>
              <w:pStyle w:val="ONUME"/>
              <w:numPr>
                <w:ilvl w:val="0"/>
                <w:numId w:val="0"/>
              </w:numPr>
              <w:ind w:left="34"/>
              <w:jc w:val="center"/>
            </w:pPr>
            <w:r w:rsidRPr="00403F08">
              <w:rPr>
                <w:rFonts w:eastAsia="Times New Roman"/>
                <w:sz w:val="24"/>
                <w:szCs w:val="24"/>
                <w:lang w:eastAsia="en-US"/>
              </w:rPr>
              <w:t>IA</w:t>
            </w:r>
            <w:r w:rsidR="00C33462">
              <w:rPr>
                <w:rFonts w:eastAsia="Times New Roman"/>
                <w:sz w:val="24"/>
                <w:szCs w:val="24"/>
                <w:lang w:eastAsia="en-US"/>
              </w:rPr>
              <w:t> </w:t>
            </w:r>
            <w:r w:rsidRPr="00403F08">
              <w:rPr>
                <w:rFonts w:eastAsia="Times New Roman"/>
                <w:sz w:val="24"/>
                <w:szCs w:val="24"/>
                <w:lang w:eastAsia="en-US"/>
              </w:rPr>
              <w:t>2019</w:t>
            </w:r>
            <w:r w:rsidR="00353ADC">
              <w:rPr>
                <w:rFonts w:eastAsia="Times New Roman"/>
                <w:sz w:val="24"/>
                <w:szCs w:val="24"/>
                <w:lang w:eastAsia="en-US"/>
              </w:rPr>
              <w:t>-</w:t>
            </w:r>
            <w:r w:rsidRPr="00403F08">
              <w:rPr>
                <w:rFonts w:eastAsia="Times New Roman"/>
                <w:sz w:val="24"/>
                <w:szCs w:val="24"/>
                <w:lang w:eastAsia="en-US"/>
              </w:rPr>
              <w:t>06</w:t>
            </w:r>
          </w:p>
        </w:tc>
      </w:tr>
      <w:tr w:rsidR="00526183" w:rsidRPr="00403F08" w14:paraId="704E04D5" w14:textId="77777777" w:rsidTr="003C41D6">
        <w:trPr>
          <w:trHeight w:val="851"/>
        </w:trPr>
        <w:tc>
          <w:tcPr>
            <w:tcW w:w="7222" w:type="dxa"/>
            <w:vAlign w:val="center"/>
          </w:tcPr>
          <w:p w14:paraId="0742EB1E" w14:textId="411A3EFA" w:rsidR="00526183" w:rsidRPr="00403F08" w:rsidRDefault="00241521" w:rsidP="00241521">
            <w:pPr>
              <w:pStyle w:val="ONUME"/>
              <w:numPr>
                <w:ilvl w:val="0"/>
                <w:numId w:val="0"/>
              </w:numPr>
              <w:jc w:val="center"/>
              <w:rPr>
                <w:lang w:val="fr-CH"/>
              </w:rPr>
            </w:pPr>
            <w:r w:rsidRPr="00403F08">
              <w:rPr>
                <w:lang w:val="fr-CH"/>
              </w:rPr>
              <w:t>Évaluation du projet pilote sur le perfectionnement professionnel et l</w:t>
            </w:r>
            <w:r w:rsidR="000A3166">
              <w:rPr>
                <w:lang w:val="fr-CH"/>
              </w:rPr>
              <w:t>’</w:t>
            </w:r>
            <w:r w:rsidRPr="00403F08">
              <w:rPr>
                <w:lang w:val="fr-CH"/>
              </w:rPr>
              <w:t>évolution de carrière – Phase</w:t>
            </w:r>
            <w:r w:rsidR="00C33462">
              <w:rPr>
                <w:lang w:val="fr-CH"/>
              </w:rPr>
              <w:t> </w:t>
            </w:r>
            <w:r w:rsidRPr="00403F08">
              <w:rPr>
                <w:lang w:val="fr-CH"/>
              </w:rPr>
              <w:t>2</w:t>
            </w:r>
          </w:p>
        </w:tc>
        <w:tc>
          <w:tcPr>
            <w:tcW w:w="2123" w:type="dxa"/>
            <w:vAlign w:val="center"/>
          </w:tcPr>
          <w:p w14:paraId="2D42A202" w14:textId="18B6B561" w:rsidR="00526183" w:rsidRPr="00403F08" w:rsidRDefault="00526183" w:rsidP="00752A33">
            <w:pPr>
              <w:pStyle w:val="ONUME"/>
              <w:numPr>
                <w:ilvl w:val="0"/>
                <w:numId w:val="0"/>
              </w:numPr>
              <w:ind w:left="34"/>
              <w:jc w:val="center"/>
            </w:pPr>
            <w:r w:rsidRPr="00403F08">
              <w:rPr>
                <w:rFonts w:eastAsia="Times New Roman"/>
                <w:sz w:val="24"/>
                <w:szCs w:val="24"/>
                <w:lang w:eastAsia="en-US"/>
              </w:rPr>
              <w:t>EVAL</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01</w:t>
            </w:r>
          </w:p>
        </w:tc>
      </w:tr>
      <w:tr w:rsidR="00526183" w:rsidRPr="00403F08" w14:paraId="77A841EF" w14:textId="77777777" w:rsidTr="003C41D6">
        <w:trPr>
          <w:trHeight w:val="851"/>
        </w:trPr>
        <w:tc>
          <w:tcPr>
            <w:tcW w:w="7222" w:type="dxa"/>
            <w:vAlign w:val="center"/>
          </w:tcPr>
          <w:p w14:paraId="7C1C64F9" w14:textId="6E084ACC" w:rsidR="00526183" w:rsidRPr="00403F08" w:rsidRDefault="00241521" w:rsidP="00241521">
            <w:pPr>
              <w:pStyle w:val="ONUME"/>
              <w:numPr>
                <w:ilvl w:val="0"/>
                <w:numId w:val="0"/>
              </w:numPr>
              <w:jc w:val="center"/>
              <w:rPr>
                <w:lang w:val="fr-CH"/>
              </w:rPr>
            </w:pPr>
            <w:r w:rsidRPr="00403F08">
              <w:rPr>
                <w:lang w:val="fr-CH"/>
              </w:rPr>
              <w:t xml:space="preserve">Rapport de synthèse de la </w:t>
            </w:r>
            <w:proofErr w:type="spellStart"/>
            <w:r w:rsidRPr="00403F08">
              <w:rPr>
                <w:lang w:val="fr-CH"/>
              </w:rPr>
              <w:t>métaévaluation</w:t>
            </w:r>
            <w:proofErr w:type="spellEnd"/>
            <w:r w:rsidRPr="00403F08">
              <w:rPr>
                <w:lang w:val="fr-CH"/>
              </w:rPr>
              <w:t xml:space="preserve"> des produits d</w:t>
            </w:r>
            <w:r w:rsidR="000A3166">
              <w:rPr>
                <w:lang w:val="fr-CH"/>
              </w:rPr>
              <w:t>’</w:t>
            </w:r>
            <w:r w:rsidRPr="00403F08">
              <w:rPr>
                <w:lang w:val="fr-CH"/>
              </w:rPr>
              <w:t>évaluation de l</w:t>
            </w:r>
            <w:r w:rsidR="000A3166">
              <w:rPr>
                <w:lang w:val="fr-CH"/>
              </w:rPr>
              <w:t>’</w:t>
            </w:r>
            <w:r w:rsidRPr="00403F08">
              <w:rPr>
                <w:lang w:val="fr-CH"/>
              </w:rPr>
              <w:t>OMPI</w:t>
            </w:r>
          </w:p>
        </w:tc>
        <w:tc>
          <w:tcPr>
            <w:tcW w:w="2123" w:type="dxa"/>
            <w:vAlign w:val="center"/>
          </w:tcPr>
          <w:p w14:paraId="685A9F90" w14:textId="5900D980" w:rsidR="00526183" w:rsidRPr="00403F08" w:rsidRDefault="00526183" w:rsidP="00752A33">
            <w:pPr>
              <w:pStyle w:val="ONUME"/>
              <w:numPr>
                <w:ilvl w:val="0"/>
                <w:numId w:val="0"/>
              </w:numPr>
              <w:ind w:left="34"/>
              <w:jc w:val="center"/>
            </w:pPr>
            <w:r w:rsidRPr="00403F08">
              <w:rPr>
                <w:rFonts w:eastAsia="Times New Roman"/>
                <w:sz w:val="24"/>
                <w:szCs w:val="24"/>
                <w:lang w:eastAsia="en-US"/>
              </w:rPr>
              <w:t>EVAL</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03</w:t>
            </w:r>
          </w:p>
        </w:tc>
      </w:tr>
      <w:tr w:rsidR="00526183" w:rsidRPr="00403F08" w14:paraId="4CCD9686" w14:textId="77777777" w:rsidTr="003C41D6">
        <w:trPr>
          <w:trHeight w:val="851"/>
        </w:trPr>
        <w:tc>
          <w:tcPr>
            <w:tcW w:w="7222" w:type="dxa"/>
            <w:vAlign w:val="center"/>
          </w:tcPr>
          <w:p w14:paraId="0CF659E0" w14:textId="291F056F" w:rsidR="00526183" w:rsidRPr="00403F08" w:rsidRDefault="00241521" w:rsidP="00241521">
            <w:pPr>
              <w:pStyle w:val="ONUME"/>
              <w:numPr>
                <w:ilvl w:val="0"/>
                <w:numId w:val="0"/>
              </w:numPr>
              <w:jc w:val="center"/>
              <w:rPr>
                <w:lang w:val="fr-CH"/>
              </w:rPr>
            </w:pPr>
            <w:r w:rsidRPr="00403F08">
              <w:rPr>
                <w:lang w:val="fr-CH"/>
              </w:rPr>
              <w:t>Évaluation du Bureau régional pour l</w:t>
            </w:r>
            <w:r w:rsidR="000A3166">
              <w:rPr>
                <w:lang w:val="fr-CH"/>
              </w:rPr>
              <w:t>’</w:t>
            </w:r>
            <w:r w:rsidRPr="00403F08">
              <w:rPr>
                <w:lang w:val="fr-CH"/>
              </w:rPr>
              <w:t>Asie et le Pacifique</w:t>
            </w:r>
          </w:p>
        </w:tc>
        <w:tc>
          <w:tcPr>
            <w:tcW w:w="2123" w:type="dxa"/>
            <w:vAlign w:val="center"/>
          </w:tcPr>
          <w:p w14:paraId="61E29727" w14:textId="2030BFC1" w:rsidR="00621B97" w:rsidRPr="00403F08" w:rsidRDefault="00526183" w:rsidP="00752A33">
            <w:pPr>
              <w:keepLines/>
              <w:ind w:left="34"/>
              <w:jc w:val="center"/>
            </w:pPr>
            <w:r w:rsidRPr="00403F08">
              <w:rPr>
                <w:rFonts w:eastAsia="Times New Roman"/>
                <w:sz w:val="24"/>
                <w:szCs w:val="24"/>
                <w:lang w:eastAsia="en-US"/>
              </w:rPr>
              <w:t>EVAL</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02</w:t>
            </w:r>
          </w:p>
        </w:tc>
      </w:tr>
      <w:tr w:rsidR="004C3FAD" w:rsidRPr="00403F08" w14:paraId="25823369" w14:textId="77777777" w:rsidTr="00F72D68">
        <w:trPr>
          <w:trHeight w:val="851"/>
        </w:trPr>
        <w:tc>
          <w:tcPr>
            <w:tcW w:w="7222" w:type="dxa"/>
            <w:vAlign w:val="center"/>
          </w:tcPr>
          <w:p w14:paraId="558E323C" w14:textId="2C93E333" w:rsidR="004C3FAD" w:rsidRPr="00403F08" w:rsidRDefault="00241521" w:rsidP="00241521">
            <w:pPr>
              <w:jc w:val="center"/>
              <w:rPr>
                <w:lang w:val="fr-CH"/>
              </w:rPr>
            </w:pPr>
            <w:r w:rsidRPr="00403F08">
              <w:rPr>
                <w:lang w:val="fr-CH"/>
              </w:rPr>
              <w:t>Rapport à l</w:t>
            </w:r>
            <w:r w:rsidR="000A3166">
              <w:rPr>
                <w:lang w:val="fr-CH"/>
              </w:rPr>
              <w:t>’</w:t>
            </w:r>
            <w:r w:rsidRPr="00403F08">
              <w:rPr>
                <w:lang w:val="fr-CH"/>
              </w:rPr>
              <w:t>intention de la direction concernant les corrections d</w:t>
            </w:r>
            <w:r w:rsidR="000A3166">
              <w:rPr>
                <w:lang w:val="fr-CH"/>
              </w:rPr>
              <w:t>’</w:t>
            </w:r>
            <w:r w:rsidRPr="00403F08">
              <w:rPr>
                <w:lang w:val="fr-CH"/>
              </w:rPr>
              <w:t>office apportées dans le cadre du Service d</w:t>
            </w:r>
            <w:r w:rsidR="000A3166">
              <w:rPr>
                <w:lang w:val="fr-CH"/>
              </w:rPr>
              <w:t>’</w:t>
            </w:r>
            <w:r w:rsidRPr="00403F08">
              <w:rPr>
                <w:lang w:val="fr-CH"/>
              </w:rPr>
              <w:t>enregistrement de Madrid</w:t>
            </w:r>
          </w:p>
        </w:tc>
        <w:tc>
          <w:tcPr>
            <w:tcW w:w="2123" w:type="dxa"/>
            <w:vAlign w:val="center"/>
          </w:tcPr>
          <w:p w14:paraId="4B2A0157" w14:textId="6C757D65" w:rsidR="004C3FAD" w:rsidRPr="00403F08" w:rsidRDefault="004C3FAD" w:rsidP="00F72D68">
            <w:pPr>
              <w:keepLines/>
              <w:ind w:left="34"/>
              <w:jc w:val="center"/>
              <w:rPr>
                <w:rFonts w:eastAsia="Times New Roman"/>
                <w:sz w:val="24"/>
                <w:szCs w:val="24"/>
                <w:lang w:eastAsia="en-US"/>
              </w:rPr>
            </w:pPr>
            <w:r w:rsidRPr="00403F08">
              <w:rPr>
                <w:rFonts w:eastAsia="Times New Roman"/>
                <w:sz w:val="24"/>
                <w:szCs w:val="24"/>
                <w:lang w:eastAsia="en-US"/>
              </w:rPr>
              <w:t>MIR</w:t>
            </w:r>
            <w:r w:rsidR="00C33462">
              <w:rPr>
                <w:rFonts w:eastAsia="Times New Roman"/>
                <w:sz w:val="24"/>
                <w:szCs w:val="24"/>
                <w:lang w:eastAsia="en-US"/>
              </w:rPr>
              <w:t> </w:t>
            </w:r>
            <w:r w:rsidRPr="00403F08">
              <w:rPr>
                <w:rFonts w:eastAsia="Times New Roman"/>
                <w:sz w:val="24"/>
                <w:szCs w:val="24"/>
                <w:lang w:eastAsia="en-US"/>
              </w:rPr>
              <w:t>2018</w:t>
            </w:r>
            <w:r w:rsidR="00353ADC">
              <w:rPr>
                <w:rFonts w:eastAsia="Times New Roman"/>
                <w:sz w:val="24"/>
                <w:szCs w:val="24"/>
                <w:lang w:eastAsia="en-US"/>
              </w:rPr>
              <w:t>-</w:t>
            </w:r>
            <w:r w:rsidRPr="00403F08">
              <w:rPr>
                <w:rFonts w:eastAsia="Times New Roman"/>
                <w:sz w:val="24"/>
                <w:szCs w:val="24"/>
                <w:lang w:eastAsia="en-US"/>
              </w:rPr>
              <w:t>15</w:t>
            </w:r>
          </w:p>
        </w:tc>
      </w:tr>
      <w:tr w:rsidR="00526183" w:rsidRPr="00403F08" w14:paraId="5FDC5664" w14:textId="77777777" w:rsidTr="003C41D6">
        <w:trPr>
          <w:trHeight w:val="851"/>
        </w:trPr>
        <w:tc>
          <w:tcPr>
            <w:tcW w:w="7222" w:type="dxa"/>
            <w:vAlign w:val="center"/>
          </w:tcPr>
          <w:p w14:paraId="061466FA" w14:textId="38544239" w:rsidR="00526183" w:rsidRPr="00403F08" w:rsidRDefault="00241521" w:rsidP="00241521">
            <w:pPr>
              <w:jc w:val="center"/>
              <w:rPr>
                <w:lang w:val="fr-CH"/>
              </w:rPr>
            </w:pPr>
            <w:r w:rsidRPr="00403F08">
              <w:rPr>
                <w:lang w:val="fr-CH"/>
              </w:rPr>
              <w:t>Rapport à l</w:t>
            </w:r>
            <w:r w:rsidR="000A3166">
              <w:rPr>
                <w:lang w:val="fr-CH"/>
              </w:rPr>
              <w:t>’</w:t>
            </w:r>
            <w:r w:rsidRPr="00403F08">
              <w:rPr>
                <w:lang w:val="fr-CH"/>
              </w:rPr>
              <w:t>intention de la direction concernant la gestion des demandes des clients</w:t>
            </w:r>
            <w:r w:rsidR="00D02ADB">
              <w:rPr>
                <w:lang w:val="fr-CH"/>
              </w:rPr>
              <w:t xml:space="preserve"> (projet </w:t>
            </w:r>
            <w:r w:rsidR="00D02ADB" w:rsidRPr="00665AE5">
              <w:rPr>
                <w:lang w:val="fr-CH"/>
              </w:rPr>
              <w:t xml:space="preserve">diffusé </w:t>
            </w:r>
            <w:r w:rsidR="00D02ADB">
              <w:rPr>
                <w:lang w:val="fr-CH"/>
              </w:rPr>
              <w:t>aux fins d’observations)</w:t>
            </w:r>
          </w:p>
        </w:tc>
        <w:tc>
          <w:tcPr>
            <w:tcW w:w="2123" w:type="dxa"/>
            <w:vAlign w:val="center"/>
          </w:tcPr>
          <w:p w14:paraId="57BF458F" w14:textId="46A5E86C" w:rsidR="00526183" w:rsidRPr="00403F08" w:rsidRDefault="004C3FAD" w:rsidP="00752A33">
            <w:pPr>
              <w:keepLines/>
              <w:ind w:left="34"/>
              <w:jc w:val="center"/>
              <w:rPr>
                <w:rFonts w:eastAsia="Times New Roman"/>
                <w:sz w:val="24"/>
                <w:szCs w:val="24"/>
                <w:lang w:eastAsia="en-US"/>
              </w:rPr>
            </w:pPr>
            <w:r w:rsidRPr="00403F08">
              <w:rPr>
                <w:rFonts w:eastAsia="Times New Roman"/>
                <w:sz w:val="24"/>
                <w:szCs w:val="24"/>
                <w:lang w:eastAsia="en-US"/>
              </w:rPr>
              <w:t>MIR</w:t>
            </w:r>
            <w:r w:rsidR="00C33462">
              <w:rPr>
                <w:rFonts w:eastAsia="Times New Roman"/>
                <w:sz w:val="24"/>
                <w:szCs w:val="24"/>
                <w:lang w:eastAsia="en-US"/>
              </w:rPr>
              <w:t> </w:t>
            </w:r>
            <w:r w:rsidRPr="00403F08">
              <w:rPr>
                <w:rFonts w:eastAsia="Times New Roman"/>
                <w:sz w:val="24"/>
                <w:szCs w:val="24"/>
                <w:lang w:eastAsia="en-US"/>
              </w:rPr>
              <w:t>2019</w:t>
            </w:r>
            <w:r w:rsidR="00353ADC">
              <w:rPr>
                <w:rFonts w:eastAsia="Times New Roman"/>
                <w:sz w:val="24"/>
                <w:szCs w:val="24"/>
                <w:lang w:eastAsia="en-US"/>
              </w:rPr>
              <w:t>-</w:t>
            </w:r>
            <w:r w:rsidRPr="00403F08">
              <w:rPr>
                <w:rFonts w:eastAsia="Times New Roman"/>
                <w:sz w:val="24"/>
                <w:szCs w:val="24"/>
                <w:lang w:eastAsia="en-US"/>
              </w:rPr>
              <w:t>03</w:t>
            </w:r>
          </w:p>
        </w:tc>
      </w:tr>
    </w:tbl>
    <w:p w14:paraId="37E8EEED" w14:textId="77777777" w:rsidR="00417F8D" w:rsidRDefault="00417F8D" w:rsidP="00186810">
      <w:pPr>
        <w:keepLines/>
      </w:pPr>
    </w:p>
    <w:p w14:paraId="7E22BE34" w14:textId="77777777" w:rsidR="00417F8D" w:rsidRDefault="00417F8D" w:rsidP="00186810">
      <w:pPr>
        <w:keepLines/>
        <w:ind w:left="5533"/>
      </w:pPr>
    </w:p>
    <w:p w14:paraId="79F13004" w14:textId="77777777" w:rsidR="00417F8D" w:rsidRDefault="00241521" w:rsidP="00241521">
      <w:pPr>
        <w:keepLines/>
        <w:ind w:left="5533"/>
        <w:rPr>
          <w:lang w:val="fr-CH"/>
        </w:rPr>
      </w:pPr>
      <w:r w:rsidRPr="00403F08">
        <w:rPr>
          <w:lang w:val="fr-CH"/>
        </w:rPr>
        <w:t>[Fin de l</w:t>
      </w:r>
      <w:r w:rsidR="000A3166">
        <w:rPr>
          <w:lang w:val="fr-CH"/>
        </w:rPr>
        <w:t>’</w:t>
      </w:r>
      <w:r w:rsidRPr="00403F08">
        <w:rPr>
          <w:lang w:val="fr-CH"/>
        </w:rPr>
        <w:t>annexe et du document]</w:t>
      </w:r>
    </w:p>
    <w:p w14:paraId="34CC047D" w14:textId="77777777" w:rsidR="00417F8D" w:rsidRDefault="00417F8D" w:rsidP="00186810">
      <w:pPr>
        <w:keepLines/>
        <w:spacing w:before="240"/>
        <w:rPr>
          <w:szCs w:val="22"/>
          <w:lang w:val="fr-CH"/>
        </w:rPr>
      </w:pPr>
    </w:p>
    <w:p w14:paraId="25EE150E" w14:textId="46D048B5" w:rsidR="000B7F65" w:rsidRDefault="000B7F65" w:rsidP="000765C4">
      <w:pPr>
        <w:rPr>
          <w:lang w:val="fr-CH"/>
        </w:rPr>
      </w:pPr>
    </w:p>
    <w:sectPr w:rsidR="000B7F65" w:rsidSect="00186810">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364DD" w14:textId="77777777" w:rsidR="0079151C" w:rsidRDefault="0079151C">
      <w:r>
        <w:separator/>
      </w:r>
    </w:p>
  </w:endnote>
  <w:endnote w:type="continuationSeparator" w:id="0">
    <w:p w14:paraId="473EB18A" w14:textId="77777777" w:rsidR="0079151C" w:rsidRDefault="0079151C" w:rsidP="003B38C1">
      <w:r>
        <w:separator/>
      </w:r>
    </w:p>
    <w:p w14:paraId="4B2DC370" w14:textId="77777777" w:rsidR="0079151C" w:rsidRPr="003B38C1" w:rsidRDefault="0079151C" w:rsidP="003B38C1">
      <w:pPr>
        <w:spacing w:after="60"/>
        <w:rPr>
          <w:sz w:val="17"/>
        </w:rPr>
      </w:pPr>
      <w:r>
        <w:rPr>
          <w:sz w:val="17"/>
        </w:rPr>
        <w:t>[Endnote continued from previous page]</w:t>
      </w:r>
    </w:p>
  </w:endnote>
  <w:endnote w:type="continuationNotice" w:id="1">
    <w:p w14:paraId="2976CEF7" w14:textId="77777777" w:rsidR="0079151C" w:rsidRPr="003B38C1" w:rsidRDefault="00791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BB88" w14:textId="77777777" w:rsidR="00A76380" w:rsidRPr="00CD472C" w:rsidRDefault="00A76380" w:rsidP="0018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220B" w14:textId="77777777" w:rsidR="00A76380" w:rsidRPr="00CD472C" w:rsidRDefault="00A76380" w:rsidP="0018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BEAA" w14:textId="77777777" w:rsidR="00A76380" w:rsidRPr="00CD472C" w:rsidRDefault="00A76380" w:rsidP="0018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E5DD" w14:textId="77777777" w:rsidR="0079151C" w:rsidRDefault="0079151C">
      <w:r>
        <w:separator/>
      </w:r>
    </w:p>
  </w:footnote>
  <w:footnote w:type="continuationSeparator" w:id="0">
    <w:p w14:paraId="0C2BECFA" w14:textId="77777777" w:rsidR="0079151C" w:rsidRDefault="0079151C" w:rsidP="008B60B2">
      <w:r>
        <w:separator/>
      </w:r>
    </w:p>
    <w:p w14:paraId="0C2EF715" w14:textId="77777777" w:rsidR="0079151C" w:rsidRPr="00ED77FB" w:rsidRDefault="0079151C" w:rsidP="008B60B2">
      <w:pPr>
        <w:spacing w:after="60"/>
        <w:rPr>
          <w:sz w:val="17"/>
          <w:szCs w:val="17"/>
        </w:rPr>
      </w:pPr>
      <w:r w:rsidRPr="00ED77FB">
        <w:rPr>
          <w:sz w:val="17"/>
          <w:szCs w:val="17"/>
        </w:rPr>
        <w:t>[Footnote continued from previous page]</w:t>
      </w:r>
    </w:p>
  </w:footnote>
  <w:footnote w:type="continuationNotice" w:id="1">
    <w:p w14:paraId="52FE220E" w14:textId="77777777" w:rsidR="0079151C" w:rsidRPr="00ED77FB" w:rsidRDefault="0079151C" w:rsidP="008B60B2">
      <w:pPr>
        <w:spacing w:before="60"/>
        <w:jc w:val="right"/>
        <w:rPr>
          <w:sz w:val="17"/>
          <w:szCs w:val="17"/>
        </w:rPr>
      </w:pPr>
      <w:r w:rsidRPr="00ED77FB">
        <w:rPr>
          <w:sz w:val="17"/>
          <w:szCs w:val="17"/>
        </w:rPr>
        <w:t>[Footnote continued on next page]</w:t>
      </w:r>
    </w:p>
  </w:footnote>
  <w:footnote w:id="2">
    <w:p w14:paraId="74151BBC" w14:textId="6D2873DA" w:rsidR="00A76380" w:rsidRPr="00226044" w:rsidRDefault="00A76380" w:rsidP="0067091E">
      <w:pPr>
        <w:pStyle w:val="FootnoteText"/>
        <w:rPr>
          <w:lang w:val="fr-CH"/>
        </w:rPr>
      </w:pPr>
      <w:r w:rsidRPr="00226044">
        <w:rPr>
          <w:rStyle w:val="FootnoteReference"/>
        </w:rPr>
        <w:footnoteRef/>
      </w:r>
      <w:r w:rsidRPr="00226044">
        <w:rPr>
          <w:lang w:val="fr-CH"/>
        </w:rPr>
        <w:t xml:space="preserve"> </w:t>
      </w:r>
      <w:r>
        <w:rPr>
          <w:lang w:val="fr-CH"/>
        </w:rPr>
        <w:tab/>
      </w:r>
      <w:r w:rsidRPr="00226044">
        <w:rPr>
          <w:lang w:val="fr-CH"/>
        </w:rPr>
        <w:t>Voir les paragraphes 47 et 48 de la Charte de la supervision interne.</w:t>
      </w:r>
    </w:p>
  </w:footnote>
  <w:footnote w:id="3">
    <w:p w14:paraId="705BF76D" w14:textId="4B6C0619" w:rsidR="00A76380" w:rsidRPr="001A77A2" w:rsidRDefault="00A76380" w:rsidP="005A6D92">
      <w:pPr>
        <w:pStyle w:val="FootnoteText"/>
        <w:rPr>
          <w:lang w:val="fr-CH"/>
        </w:rPr>
      </w:pPr>
      <w:r w:rsidRPr="001A77A2">
        <w:rPr>
          <w:rStyle w:val="FootnoteReference"/>
        </w:rPr>
        <w:footnoteRef/>
      </w:r>
      <w:r>
        <w:rPr>
          <w:lang w:val="fr-CH"/>
        </w:rPr>
        <w:t xml:space="preserve"> </w:t>
      </w:r>
      <w:r>
        <w:rPr>
          <w:lang w:val="fr-CH"/>
        </w:rPr>
        <w:tab/>
      </w:r>
      <w:r w:rsidRPr="001A77A2">
        <w:rPr>
          <w:lang w:val="fr-CH"/>
        </w:rPr>
        <w:t xml:space="preserve">La liste des rapports figure </w:t>
      </w:r>
      <w:r w:rsidR="004C520C">
        <w:rPr>
          <w:lang w:val="fr-CH"/>
        </w:rPr>
        <w:t>dans</w:t>
      </w:r>
      <w:r w:rsidRPr="001A77A2">
        <w:rPr>
          <w:lang w:val="fr-CH"/>
        </w:rPr>
        <w:t xml:space="preserve"> l</w:t>
      </w:r>
      <w:r>
        <w:rPr>
          <w:lang w:val="fr-CH"/>
        </w:rPr>
        <w:t>’</w:t>
      </w:r>
      <w:r w:rsidRPr="001A77A2">
        <w:rPr>
          <w:lang w:val="fr-CH"/>
        </w:rPr>
        <w:t>annexe.</w:t>
      </w:r>
    </w:p>
  </w:footnote>
  <w:footnote w:id="4">
    <w:p w14:paraId="288D1604" w14:textId="3C1E0BDF" w:rsidR="00A76380" w:rsidRPr="00297F93" w:rsidRDefault="00A76380" w:rsidP="00297F93">
      <w:pPr>
        <w:pStyle w:val="FootnoteText"/>
        <w:rPr>
          <w:lang w:val="fr-CH"/>
        </w:rPr>
      </w:pPr>
      <w:r w:rsidRPr="001A77A2">
        <w:rPr>
          <w:rStyle w:val="FootnoteReference"/>
        </w:rPr>
        <w:footnoteRef/>
      </w:r>
      <w:r>
        <w:rPr>
          <w:lang w:val="fr-CH"/>
        </w:rPr>
        <w:t xml:space="preserve"> </w:t>
      </w:r>
      <w:r>
        <w:rPr>
          <w:lang w:val="fr-CH"/>
        </w:rPr>
        <w:tab/>
      </w:r>
      <w:proofErr w:type="spellStart"/>
      <w:r w:rsidRPr="001A77A2">
        <w:rPr>
          <w:lang w:val="fr-CH"/>
        </w:rPr>
        <w:t>TeamCentral</w:t>
      </w:r>
      <w:proofErr w:type="spellEnd"/>
      <w:r w:rsidRPr="001A77A2">
        <w:rPr>
          <w:lang w:val="fr-CH"/>
        </w:rPr>
        <w:t xml:space="preserve"> © est un module de </w:t>
      </w:r>
      <w:proofErr w:type="spellStart"/>
      <w:r w:rsidRPr="001A77A2">
        <w:rPr>
          <w:lang w:val="fr-CH"/>
        </w:rPr>
        <w:t>TeamMate</w:t>
      </w:r>
      <w:proofErr w:type="spellEnd"/>
      <w:r w:rsidRPr="001A77A2">
        <w:rPr>
          <w:lang w:val="fr-CH"/>
        </w:rPr>
        <w:t>, un logiciel spécialisé pour les missions d</w:t>
      </w:r>
      <w:r>
        <w:rPr>
          <w:lang w:val="fr-CH"/>
        </w:rPr>
        <w:t>’</w:t>
      </w:r>
      <w:r w:rsidRPr="001A77A2">
        <w:rPr>
          <w:lang w:val="fr-CH"/>
        </w:rPr>
        <w:t>audit et qui comprend divers modules, notamment pour les documents de travail électroniques, le suivi des recommandations, l</w:t>
      </w:r>
      <w:r>
        <w:rPr>
          <w:lang w:val="fr-CH"/>
        </w:rPr>
        <w:t>’</w:t>
      </w:r>
      <w:r w:rsidRPr="001A77A2">
        <w:rPr>
          <w:lang w:val="fr-CH"/>
        </w:rPr>
        <w:t>évaluation des risques et la planification.</w:t>
      </w:r>
    </w:p>
  </w:footnote>
  <w:footnote w:id="5">
    <w:p w14:paraId="663D645A" w14:textId="4226356A" w:rsidR="00A76380" w:rsidRPr="001663FD" w:rsidRDefault="00A76380" w:rsidP="00690663">
      <w:pPr>
        <w:pStyle w:val="FootnoteText"/>
        <w:rPr>
          <w:lang w:val="fr-CH"/>
        </w:rPr>
      </w:pPr>
      <w:r>
        <w:rPr>
          <w:rStyle w:val="FootnoteReference"/>
        </w:rPr>
        <w:footnoteRef/>
      </w:r>
      <w:r w:rsidRPr="001663FD">
        <w:rPr>
          <w:lang w:val="fr-CH"/>
        </w:rPr>
        <w:t xml:space="preserve"> </w:t>
      </w:r>
      <w:r>
        <w:rPr>
          <w:lang w:val="fr-CH"/>
        </w:rPr>
        <w:tab/>
      </w:r>
      <w:r w:rsidRPr="001663FD">
        <w:rPr>
          <w:color w:val="000000"/>
          <w:lang w:val="fr-CH"/>
        </w:rPr>
        <w:t>https://www.wipo.int/export/sites/www/about</w:t>
      </w:r>
      <w:r>
        <w:rPr>
          <w:color w:val="000000"/>
          <w:lang w:val="fr-CH"/>
        </w:rPr>
        <w:t>-</w:t>
      </w:r>
      <w:r w:rsidRPr="001663FD">
        <w:rPr>
          <w:color w:val="000000"/>
          <w:lang w:val="fr-CH"/>
        </w:rPr>
        <w:t>wipo/en/oversight/iaod/audit/pdf/project_management.pdf</w:t>
      </w:r>
    </w:p>
  </w:footnote>
  <w:footnote w:id="6">
    <w:p w14:paraId="484EBB6E" w14:textId="551F0518" w:rsidR="00A76380" w:rsidRPr="00DC7857" w:rsidRDefault="00A76380" w:rsidP="00DC7857">
      <w:pPr>
        <w:pStyle w:val="FootnoteText"/>
        <w:rPr>
          <w:lang w:val="fr-CH"/>
        </w:rPr>
      </w:pPr>
      <w:r w:rsidRPr="00004673">
        <w:rPr>
          <w:rStyle w:val="FootnoteReference"/>
        </w:rPr>
        <w:footnoteRef/>
      </w:r>
      <w:r>
        <w:rPr>
          <w:lang w:val="fr-CH"/>
        </w:rPr>
        <w:t xml:space="preserve"> </w:t>
      </w:r>
      <w:r>
        <w:rPr>
          <w:lang w:val="fr-CH"/>
        </w:rPr>
        <w:tab/>
      </w:r>
      <w:r w:rsidRPr="00004673">
        <w:rPr>
          <w:lang w:val="fr-CH"/>
        </w:rPr>
        <w:t>Lorsque, en ce qui concerne le paiement de la taxe de recherche dans une monnaie prescrite par l</w:t>
      </w:r>
      <w:r>
        <w:rPr>
          <w:lang w:val="fr-CH"/>
        </w:rPr>
        <w:t>’</w:t>
      </w:r>
      <w:r w:rsidRPr="00004673">
        <w:rPr>
          <w:lang w:val="fr-CH"/>
        </w:rPr>
        <w:t>office récepteur (</w:t>
      </w:r>
      <w:r>
        <w:rPr>
          <w:lang w:val="fr-CH"/>
        </w:rPr>
        <w:t>“</w:t>
      </w:r>
      <w:r w:rsidRPr="00004673">
        <w:rPr>
          <w:lang w:val="fr-CH"/>
        </w:rPr>
        <w:t>la monnaie prescrite</w:t>
      </w:r>
      <w:r>
        <w:rPr>
          <w:lang w:val="fr-CH"/>
        </w:rPr>
        <w:t>”</w:t>
      </w:r>
      <w:r w:rsidRPr="00004673">
        <w:rPr>
          <w:lang w:val="fr-CH"/>
        </w:rPr>
        <w:t>), autre que la monnaie fixée par l</w:t>
      </w:r>
      <w:r>
        <w:rPr>
          <w:lang w:val="fr-CH"/>
        </w:rPr>
        <w:t>’</w:t>
      </w:r>
      <w:r w:rsidRPr="00004673">
        <w:rPr>
          <w:lang w:val="fr-CH"/>
        </w:rPr>
        <w:t>administration chargée de la recherche internationale (</w:t>
      </w:r>
      <w:r>
        <w:rPr>
          <w:lang w:val="fr-CH"/>
        </w:rPr>
        <w:t>“</w:t>
      </w:r>
      <w:r w:rsidRPr="00004673">
        <w:rPr>
          <w:lang w:val="fr-CH"/>
        </w:rPr>
        <w:t>la monnaie fixée</w:t>
      </w:r>
      <w:r>
        <w:rPr>
          <w:lang w:val="fr-CH"/>
        </w:rPr>
        <w:t>”</w:t>
      </w:r>
      <w:r w:rsidRPr="00004673">
        <w:rPr>
          <w:lang w:val="fr-CH"/>
        </w:rPr>
        <w:t>), le montant effectivement reçu par l</w:t>
      </w:r>
      <w:r>
        <w:rPr>
          <w:lang w:val="fr-CH"/>
        </w:rPr>
        <w:t>’</w:t>
      </w:r>
      <w:r w:rsidRPr="00004673">
        <w:rPr>
          <w:lang w:val="fr-CH"/>
        </w:rPr>
        <w:t>administration chargée de la recherche internationale dans la monnaie prescrite, en vertu de l</w:t>
      </w:r>
      <w:r>
        <w:rPr>
          <w:lang w:val="fr-CH"/>
        </w:rPr>
        <w:t>’</w:t>
      </w:r>
      <w:r w:rsidRPr="00004673">
        <w:rPr>
          <w:lang w:val="fr-CH"/>
        </w:rPr>
        <w:t>alinéa</w:t>
      </w:r>
      <w:r>
        <w:rPr>
          <w:lang w:val="fr-CH"/>
        </w:rPr>
        <w:t> </w:t>
      </w:r>
      <w:r w:rsidRPr="00004673">
        <w:rPr>
          <w:lang w:val="fr-CH"/>
        </w:rPr>
        <w:t>d)i) de la présente règle, est, une fois converti par cette administration dans la monnaie fixée, inférieur à celui qu</w:t>
      </w:r>
      <w:r>
        <w:rPr>
          <w:lang w:val="fr-CH"/>
        </w:rPr>
        <w:t>’</w:t>
      </w:r>
      <w:r w:rsidRPr="00004673">
        <w:rPr>
          <w:lang w:val="fr-CH"/>
        </w:rPr>
        <w:t>elle a fixé, la différence est payée à ladite administration par le Bureau international;  au contraire, si le montant effectivement reçu est supérieur au montant fixé, la différence appartient au Bureau international.</w:t>
      </w:r>
    </w:p>
  </w:footnote>
  <w:footnote w:id="7">
    <w:p w14:paraId="73ADD08C" w14:textId="1F85DB5B" w:rsidR="00A76380" w:rsidRPr="00D33401" w:rsidRDefault="00A76380" w:rsidP="00D33401">
      <w:pPr>
        <w:pStyle w:val="FootnoteText"/>
        <w:rPr>
          <w:lang w:val="fr-CH"/>
        </w:rPr>
      </w:pPr>
      <w:r w:rsidRPr="00403F08">
        <w:rPr>
          <w:rStyle w:val="FootnoteReference"/>
        </w:rPr>
        <w:footnoteRef/>
      </w:r>
      <w:r>
        <w:rPr>
          <w:lang w:val="fr-CH"/>
        </w:rPr>
        <w:t xml:space="preserve"> </w:t>
      </w:r>
      <w:r>
        <w:rPr>
          <w:lang w:val="fr-CH"/>
        </w:rPr>
        <w:tab/>
      </w:r>
      <w:r w:rsidRPr="00403F08">
        <w:rPr>
          <w:lang w:val="fr-CH"/>
        </w:rPr>
        <w:t>Conférences, réunions, formations, missions, etc.</w:t>
      </w:r>
    </w:p>
  </w:footnote>
  <w:footnote w:id="8">
    <w:p w14:paraId="633B9FF9" w14:textId="0910D062" w:rsidR="00A76380" w:rsidRPr="00403F08" w:rsidRDefault="00A76380" w:rsidP="00205C90">
      <w:pPr>
        <w:pStyle w:val="FootnoteText"/>
        <w:rPr>
          <w:lang w:val="fr-CH"/>
        </w:rPr>
      </w:pPr>
      <w:r w:rsidRPr="00403F08">
        <w:rPr>
          <w:rStyle w:val="FootnoteReference"/>
        </w:rPr>
        <w:footnoteRef/>
      </w:r>
      <w:r>
        <w:rPr>
          <w:lang w:val="fr-CH"/>
        </w:rPr>
        <w:t xml:space="preserve"> </w:t>
      </w:r>
      <w:r>
        <w:rPr>
          <w:lang w:val="fr-CH"/>
        </w:rPr>
        <w:tab/>
      </w:r>
      <w:r w:rsidRPr="00403F08">
        <w:rPr>
          <w:lang w:val="fr-CH"/>
        </w:rPr>
        <w:t>Paragraphes 18, 19, 21, 22 et 23 de la Charte de la supervision interne.</w:t>
      </w:r>
    </w:p>
  </w:footnote>
  <w:footnote w:id="9">
    <w:p w14:paraId="7A01CCD7" w14:textId="539ED45F" w:rsidR="00A76380" w:rsidRPr="00403F08" w:rsidRDefault="00A76380" w:rsidP="00E30FB3">
      <w:pPr>
        <w:pStyle w:val="FootnoteText"/>
        <w:rPr>
          <w:lang w:val="fr-CH"/>
        </w:rPr>
      </w:pPr>
      <w:r w:rsidRPr="00403F08">
        <w:rPr>
          <w:rStyle w:val="FootnoteReference"/>
        </w:rPr>
        <w:footnoteRef/>
      </w:r>
      <w:r w:rsidRPr="00403F08">
        <w:rPr>
          <w:lang w:val="fr-CH"/>
        </w:rPr>
        <w:t xml:space="preserve"> </w:t>
      </w:r>
      <w:r>
        <w:rPr>
          <w:lang w:val="fr-CH"/>
        </w:rPr>
        <w:tab/>
      </w:r>
      <w:r w:rsidRPr="00403F08">
        <w:rPr>
          <w:lang w:val="fr-CH"/>
        </w:rPr>
        <w:t>Paragraphe 45 de la Charte de la supervision interne</w:t>
      </w:r>
    </w:p>
  </w:footnote>
  <w:footnote w:id="10">
    <w:p w14:paraId="6186C766" w14:textId="4FDC3194" w:rsidR="00A76380" w:rsidRPr="00403F08" w:rsidRDefault="00A76380" w:rsidP="00E30FB3">
      <w:pPr>
        <w:pStyle w:val="FootnoteText"/>
        <w:rPr>
          <w:lang w:val="fr-CH"/>
        </w:rPr>
      </w:pPr>
      <w:r w:rsidRPr="00403F08">
        <w:rPr>
          <w:rStyle w:val="FootnoteReference"/>
        </w:rPr>
        <w:footnoteRef/>
      </w:r>
      <w:r w:rsidRPr="00403F08">
        <w:rPr>
          <w:lang w:val="fr-CH"/>
        </w:rPr>
        <w:t xml:space="preserve"> </w:t>
      </w:r>
      <w:r>
        <w:rPr>
          <w:lang w:val="fr-CH"/>
        </w:rPr>
        <w:tab/>
      </w:r>
      <w:r w:rsidRPr="00403F08">
        <w:rPr>
          <w:lang w:val="fr-CH"/>
        </w:rPr>
        <w:t>Paragraphe 7 de l</w:t>
      </w:r>
      <w:r>
        <w:rPr>
          <w:lang w:val="fr-CH"/>
        </w:rPr>
        <w:t>’</w:t>
      </w:r>
      <w:r w:rsidRPr="00403F08">
        <w:rPr>
          <w:lang w:val="fr-CH"/>
        </w:rPr>
        <w:t>ordre de service n°</w:t>
      </w:r>
      <w:r>
        <w:rPr>
          <w:lang w:val="fr-CH"/>
        </w:rPr>
        <w:t> </w:t>
      </w:r>
      <w:r w:rsidRPr="00403F08">
        <w:rPr>
          <w:lang w:val="fr-CH"/>
        </w:rPr>
        <w:t>16/2010</w:t>
      </w:r>
    </w:p>
  </w:footnote>
  <w:footnote w:id="11">
    <w:p w14:paraId="369B9D7D" w14:textId="2C015872" w:rsidR="00A76380" w:rsidRPr="00E30FB3" w:rsidRDefault="00A76380" w:rsidP="00E30FB3">
      <w:pPr>
        <w:pStyle w:val="FootnoteText"/>
        <w:rPr>
          <w:lang w:val="fr-CH"/>
        </w:rPr>
      </w:pPr>
      <w:r w:rsidRPr="00403F08">
        <w:rPr>
          <w:rStyle w:val="FootnoteReference"/>
        </w:rPr>
        <w:footnoteRef/>
      </w:r>
      <w:r w:rsidRPr="00403F08">
        <w:rPr>
          <w:lang w:val="fr-CH"/>
        </w:rPr>
        <w:t xml:space="preserve"> </w:t>
      </w:r>
      <w:r>
        <w:rPr>
          <w:lang w:val="fr-CH"/>
        </w:rPr>
        <w:tab/>
      </w:r>
      <w:r w:rsidRPr="00403F08">
        <w:rPr>
          <w:lang w:val="fr-CH"/>
        </w:rPr>
        <w:t>Paragraphe 8 de l</w:t>
      </w:r>
      <w:r>
        <w:rPr>
          <w:lang w:val="fr-CH"/>
        </w:rPr>
        <w:t>’</w:t>
      </w:r>
      <w:r w:rsidRPr="00403F08">
        <w:rPr>
          <w:lang w:val="fr-CH"/>
        </w:rPr>
        <w:t>ordre de service n°</w:t>
      </w:r>
      <w:r>
        <w:rPr>
          <w:lang w:val="fr-CH"/>
        </w:rPr>
        <w:t> </w:t>
      </w:r>
      <w:r w:rsidRPr="00403F08">
        <w:rPr>
          <w:lang w:val="fr-CH"/>
        </w:rPr>
        <w:t>16/2010</w:t>
      </w:r>
    </w:p>
  </w:footnote>
  <w:footnote w:id="12">
    <w:p w14:paraId="1A78913E" w14:textId="353FB02B" w:rsidR="00A76380" w:rsidRPr="005E6FB2" w:rsidRDefault="00A76380">
      <w:pPr>
        <w:pStyle w:val="FootnoteText"/>
        <w:rPr>
          <w:lang w:val="fr-CH"/>
        </w:rPr>
      </w:pPr>
      <w:r w:rsidRPr="00403F08">
        <w:rPr>
          <w:rStyle w:val="FootnoteReference"/>
        </w:rPr>
        <w:footnoteRef/>
      </w:r>
      <w:r>
        <w:rPr>
          <w:lang w:val="fr-CH"/>
        </w:rPr>
        <w:t xml:space="preserve"> </w:t>
      </w:r>
      <w:r>
        <w:rPr>
          <w:lang w:val="fr-CH"/>
        </w:rPr>
        <w:tab/>
      </w:r>
      <w:r w:rsidRPr="00403F08">
        <w:rPr>
          <w:lang w:val="fr-CH"/>
        </w:rPr>
        <w:t>WO/PBC/28/4</w:t>
      </w:r>
    </w:p>
  </w:footnote>
  <w:footnote w:id="13">
    <w:p w14:paraId="75E5EC90" w14:textId="177A1C10" w:rsidR="00A76380" w:rsidRDefault="00A76380" w:rsidP="0039423B">
      <w:pPr>
        <w:pStyle w:val="FootnoteText"/>
        <w:rPr>
          <w:lang w:val="fr-CH"/>
        </w:rPr>
      </w:pPr>
      <w:r>
        <w:rPr>
          <w:rStyle w:val="FootnoteReference"/>
        </w:rPr>
        <w:footnoteRef/>
      </w:r>
      <w:r>
        <w:rPr>
          <w:lang w:val="fr-CH"/>
        </w:rPr>
        <w:t xml:space="preserve"> </w:t>
      </w:r>
      <w:r>
        <w:rPr>
          <w:lang w:val="fr-CH"/>
        </w:rPr>
        <w:tab/>
      </w:r>
      <w:r w:rsidRPr="00403F08">
        <w:rPr>
          <w:b/>
          <w:lang w:val="fr-CH"/>
        </w:rPr>
        <w:t>Programme 1</w:t>
      </w:r>
      <w:r w:rsidRPr="00403F08">
        <w:rPr>
          <w:lang w:val="fr-CH"/>
        </w:rPr>
        <w:t xml:space="preserve"> – Droit des brevets;  </w:t>
      </w:r>
      <w:r w:rsidRPr="00403F08">
        <w:rPr>
          <w:b/>
          <w:lang w:val="fr-CH"/>
        </w:rPr>
        <w:t>Programme 2</w:t>
      </w:r>
      <w:r w:rsidRPr="00403F08">
        <w:rPr>
          <w:lang w:val="fr-CH"/>
        </w:rPr>
        <w:t xml:space="preserve"> – Marques, dessins et modèles industriels et indications géographiques;  </w:t>
      </w:r>
      <w:r w:rsidRPr="00403F08">
        <w:rPr>
          <w:b/>
          <w:lang w:val="fr-CH"/>
        </w:rPr>
        <w:t xml:space="preserve">Programme 3 </w:t>
      </w:r>
      <w:r w:rsidRPr="00403F08">
        <w:rPr>
          <w:lang w:val="fr-CH"/>
        </w:rPr>
        <w:t>– Droit d</w:t>
      </w:r>
      <w:r>
        <w:rPr>
          <w:lang w:val="fr-CH"/>
        </w:rPr>
        <w:t>’</w:t>
      </w:r>
      <w:r w:rsidRPr="00403F08">
        <w:rPr>
          <w:lang w:val="fr-CH"/>
        </w:rPr>
        <w:t xml:space="preserve">auteur et droits connexes;  </w:t>
      </w:r>
      <w:r w:rsidRPr="00403F08">
        <w:rPr>
          <w:b/>
          <w:lang w:val="fr-CH"/>
        </w:rPr>
        <w:t>Programme 4</w:t>
      </w:r>
      <w:r w:rsidRPr="00403F08">
        <w:rPr>
          <w:lang w:val="fr-CH"/>
        </w:rPr>
        <w:t xml:space="preserve"> – Savoirs traditionnels, expressions culturelles traditionnelles et ressources génétiques;  </w:t>
      </w:r>
      <w:r w:rsidRPr="00403F08">
        <w:rPr>
          <w:b/>
          <w:lang w:val="fr-CH"/>
        </w:rPr>
        <w:t>Programme 5</w:t>
      </w:r>
      <w:r w:rsidRPr="00403F08">
        <w:rPr>
          <w:lang w:val="fr-CH"/>
        </w:rPr>
        <w:t xml:space="preserve"> – Système du</w:t>
      </w:r>
      <w:r>
        <w:rPr>
          <w:lang w:val="fr-CH"/>
        </w:rPr>
        <w:t> </w:t>
      </w:r>
      <w:r w:rsidRPr="00403F08">
        <w:rPr>
          <w:lang w:val="fr-CH"/>
        </w:rPr>
        <w:t xml:space="preserve">PCT;  </w:t>
      </w:r>
      <w:r w:rsidRPr="00403F08">
        <w:rPr>
          <w:b/>
          <w:lang w:val="fr-CH"/>
        </w:rPr>
        <w:t>Programme 6</w:t>
      </w:r>
      <w:r w:rsidRPr="00403F08">
        <w:rPr>
          <w:lang w:val="fr-CH"/>
        </w:rPr>
        <w:t xml:space="preserve"> – Système de Madrid;  </w:t>
      </w:r>
      <w:r w:rsidRPr="00403F08">
        <w:rPr>
          <w:b/>
          <w:lang w:val="fr-CH"/>
        </w:rPr>
        <w:t xml:space="preserve">Programme 7 </w:t>
      </w:r>
      <w:r w:rsidRPr="00403F08">
        <w:rPr>
          <w:lang w:val="fr-CH"/>
        </w:rPr>
        <w:t>– Centre d</w:t>
      </w:r>
      <w:r>
        <w:rPr>
          <w:lang w:val="fr-CH"/>
        </w:rPr>
        <w:t>’</w:t>
      </w:r>
      <w:r w:rsidRPr="00403F08">
        <w:rPr>
          <w:lang w:val="fr-CH"/>
        </w:rPr>
        <w:t>arbitrage et de médiation de l</w:t>
      </w:r>
      <w:r>
        <w:rPr>
          <w:lang w:val="fr-CH"/>
        </w:rPr>
        <w:t>’</w:t>
      </w:r>
      <w:r w:rsidRPr="00403F08">
        <w:rPr>
          <w:lang w:val="fr-CH"/>
        </w:rPr>
        <w:t xml:space="preserve">OMPI;  </w:t>
      </w:r>
      <w:r w:rsidRPr="00403F08">
        <w:rPr>
          <w:b/>
          <w:lang w:val="fr-CH"/>
        </w:rPr>
        <w:t xml:space="preserve">Programme 8 </w:t>
      </w:r>
      <w:r w:rsidRPr="00403F08">
        <w:rPr>
          <w:lang w:val="fr-CH"/>
        </w:rPr>
        <w:t>– Coordination du Plan d</w:t>
      </w:r>
      <w:r>
        <w:rPr>
          <w:lang w:val="fr-CH"/>
        </w:rPr>
        <w:t>’</w:t>
      </w:r>
      <w:r w:rsidRPr="00403F08">
        <w:rPr>
          <w:lang w:val="fr-CH"/>
        </w:rPr>
        <w:t xml:space="preserve">action pour le développement;  </w:t>
      </w:r>
      <w:r w:rsidRPr="00403F08">
        <w:rPr>
          <w:b/>
          <w:lang w:val="fr-CH"/>
        </w:rPr>
        <w:t xml:space="preserve">Programme 9 </w:t>
      </w:r>
      <w:r w:rsidRPr="00403F08">
        <w:rPr>
          <w:lang w:val="fr-CH"/>
        </w:rPr>
        <w:t>– Afrique, pays arabes, Asie et Pacifique, pays d</w:t>
      </w:r>
      <w:r>
        <w:rPr>
          <w:lang w:val="fr-CH"/>
        </w:rPr>
        <w:t>’</w:t>
      </w:r>
      <w:r w:rsidRPr="00403F08">
        <w:rPr>
          <w:lang w:val="fr-CH"/>
        </w:rPr>
        <w:t xml:space="preserve">Amérique latine et des Caraïbes, pays les moins avancés;  </w:t>
      </w:r>
      <w:r w:rsidRPr="00403F08">
        <w:rPr>
          <w:b/>
          <w:lang w:val="fr-CH"/>
        </w:rPr>
        <w:t xml:space="preserve">Programme 10 </w:t>
      </w:r>
      <w:r w:rsidRPr="00403F08">
        <w:rPr>
          <w:lang w:val="fr-CH"/>
        </w:rPr>
        <w:t xml:space="preserve">– Pays en transition et pays développés;  </w:t>
      </w:r>
      <w:r w:rsidRPr="00403F08">
        <w:rPr>
          <w:b/>
          <w:lang w:val="fr-CH"/>
        </w:rPr>
        <w:t xml:space="preserve">Programme 11 </w:t>
      </w:r>
      <w:r w:rsidRPr="00403F08">
        <w:rPr>
          <w:lang w:val="fr-CH"/>
        </w:rPr>
        <w:t>– Académie de l</w:t>
      </w:r>
      <w:r>
        <w:rPr>
          <w:lang w:val="fr-CH"/>
        </w:rPr>
        <w:t>’</w:t>
      </w:r>
      <w:r w:rsidRPr="00403F08">
        <w:rPr>
          <w:lang w:val="fr-CH"/>
        </w:rPr>
        <w:t xml:space="preserve">OMPI;  </w:t>
      </w:r>
      <w:r w:rsidRPr="00403F08">
        <w:rPr>
          <w:b/>
          <w:lang w:val="fr-CH"/>
        </w:rPr>
        <w:t xml:space="preserve">Programme 12 </w:t>
      </w:r>
      <w:r w:rsidRPr="00403F08">
        <w:rPr>
          <w:lang w:val="fr-CH"/>
        </w:rPr>
        <w:t xml:space="preserve">– Classifications internationales et normes;  </w:t>
      </w:r>
      <w:r w:rsidRPr="00403F08">
        <w:rPr>
          <w:b/>
          <w:lang w:val="fr-CH"/>
        </w:rPr>
        <w:t xml:space="preserve">Programme 13 </w:t>
      </w:r>
      <w:r w:rsidRPr="00403F08">
        <w:rPr>
          <w:lang w:val="fr-CH"/>
        </w:rPr>
        <w:t xml:space="preserve">– Service des bases de données mondiales;  </w:t>
      </w:r>
      <w:r w:rsidRPr="00403F08">
        <w:rPr>
          <w:b/>
          <w:lang w:val="fr-CH"/>
        </w:rPr>
        <w:t>Programme 14</w:t>
      </w:r>
      <w:r w:rsidRPr="00403F08">
        <w:rPr>
          <w:lang w:val="fr-CH"/>
        </w:rPr>
        <w:t xml:space="preserve"> – Services d</w:t>
      </w:r>
      <w:r>
        <w:rPr>
          <w:lang w:val="fr-CH"/>
        </w:rPr>
        <w:t>’</w:t>
      </w:r>
      <w:r w:rsidRPr="00403F08">
        <w:rPr>
          <w:lang w:val="fr-CH"/>
        </w:rPr>
        <w:t>accès à l</w:t>
      </w:r>
      <w:r>
        <w:rPr>
          <w:lang w:val="fr-CH"/>
        </w:rPr>
        <w:t>’</w:t>
      </w:r>
      <w:r w:rsidRPr="00403F08">
        <w:rPr>
          <w:lang w:val="fr-CH"/>
        </w:rPr>
        <w:t>information et aux savoirs;</w:t>
      </w:r>
    </w:p>
    <w:p w14:paraId="06ACAFA6" w14:textId="7ACC6279" w:rsidR="00A76380" w:rsidRPr="00403F08" w:rsidRDefault="00A76380" w:rsidP="0039423B">
      <w:pPr>
        <w:pStyle w:val="FootnoteText"/>
        <w:rPr>
          <w:lang w:val="fr-CH"/>
        </w:rPr>
      </w:pPr>
      <w:r w:rsidRPr="00403F08">
        <w:rPr>
          <w:b/>
          <w:lang w:val="fr-CH"/>
        </w:rPr>
        <w:t xml:space="preserve">Programme 15 </w:t>
      </w:r>
      <w:r w:rsidRPr="00403F08">
        <w:rPr>
          <w:lang w:val="fr-CH"/>
        </w:rPr>
        <w:t xml:space="preserve">– Solutions opérationnelles pour les offices de propriété intellectuelle;  </w:t>
      </w:r>
      <w:r w:rsidRPr="00403F08">
        <w:rPr>
          <w:b/>
          <w:lang w:val="fr-CH"/>
        </w:rPr>
        <w:t xml:space="preserve">Programme 16 </w:t>
      </w:r>
      <w:r w:rsidRPr="00403F08">
        <w:rPr>
          <w:lang w:val="fr-CH"/>
        </w:rPr>
        <w:t xml:space="preserve">– Économie et statistiques;  </w:t>
      </w:r>
      <w:r w:rsidRPr="00403F08">
        <w:rPr>
          <w:b/>
          <w:lang w:val="fr-CH"/>
        </w:rPr>
        <w:t xml:space="preserve">Programme 17 </w:t>
      </w:r>
      <w:r w:rsidRPr="00403F08">
        <w:rPr>
          <w:lang w:val="fr-CH"/>
        </w:rPr>
        <w:t xml:space="preserve">– Promouvoir le respect de la propriété intellectuelle;  </w:t>
      </w:r>
      <w:r w:rsidRPr="00403F08">
        <w:rPr>
          <w:b/>
          <w:lang w:val="fr-CH"/>
        </w:rPr>
        <w:t xml:space="preserve">Programme 18 </w:t>
      </w:r>
      <w:r w:rsidRPr="00403F08">
        <w:rPr>
          <w:lang w:val="fr-CH"/>
        </w:rPr>
        <w:t xml:space="preserve">– Propriété intellectuelle et défis mondiaux;  </w:t>
      </w:r>
      <w:r w:rsidRPr="00403F08">
        <w:rPr>
          <w:b/>
          <w:lang w:val="fr-CH"/>
        </w:rPr>
        <w:t xml:space="preserve">Programme 19 </w:t>
      </w:r>
      <w:r w:rsidRPr="00403F08">
        <w:rPr>
          <w:lang w:val="fr-CH"/>
        </w:rPr>
        <w:t xml:space="preserve">– Communications;  </w:t>
      </w:r>
      <w:r w:rsidRPr="00403F08">
        <w:rPr>
          <w:b/>
          <w:lang w:val="fr-CH"/>
        </w:rPr>
        <w:t xml:space="preserve">Programme 20 </w:t>
      </w:r>
      <w:r w:rsidRPr="00403F08">
        <w:rPr>
          <w:lang w:val="fr-CH"/>
        </w:rPr>
        <w:t xml:space="preserve">– Relations extérieures, partenariats et bureaux extérieurs;  </w:t>
      </w:r>
      <w:r w:rsidRPr="00403F08">
        <w:rPr>
          <w:b/>
          <w:lang w:val="fr-CH"/>
        </w:rPr>
        <w:t xml:space="preserve">Programme 21 </w:t>
      </w:r>
      <w:r w:rsidRPr="00403F08">
        <w:rPr>
          <w:lang w:val="fr-CH"/>
        </w:rPr>
        <w:t xml:space="preserve">– Direction générale;  </w:t>
      </w:r>
      <w:r w:rsidRPr="00403F08">
        <w:rPr>
          <w:b/>
          <w:lang w:val="fr-CH"/>
        </w:rPr>
        <w:t xml:space="preserve">Programme 22 </w:t>
      </w:r>
      <w:r w:rsidRPr="00403F08">
        <w:rPr>
          <w:lang w:val="fr-CH"/>
        </w:rPr>
        <w:t xml:space="preserve">– Gestion du programme et des ressources;  </w:t>
      </w:r>
      <w:r w:rsidRPr="00403F08">
        <w:rPr>
          <w:b/>
          <w:lang w:val="fr-CH"/>
        </w:rPr>
        <w:t xml:space="preserve">Programme 23 </w:t>
      </w:r>
      <w:r w:rsidRPr="00403F08">
        <w:rPr>
          <w:lang w:val="fr-CH"/>
        </w:rPr>
        <w:t xml:space="preserve">– Gestion et mise en valeur des ressources humaines;  </w:t>
      </w:r>
      <w:r w:rsidRPr="00403F08">
        <w:rPr>
          <w:b/>
          <w:lang w:val="fr-CH"/>
        </w:rPr>
        <w:t xml:space="preserve">Programme 24 </w:t>
      </w:r>
      <w:r w:rsidRPr="00403F08">
        <w:rPr>
          <w:lang w:val="fr-CH"/>
        </w:rPr>
        <w:t>– Services d</w:t>
      </w:r>
      <w:r>
        <w:rPr>
          <w:lang w:val="fr-CH"/>
        </w:rPr>
        <w:t>’</w:t>
      </w:r>
      <w:r w:rsidRPr="00403F08">
        <w:rPr>
          <w:lang w:val="fr-CH"/>
        </w:rPr>
        <w:t xml:space="preserve">appui généraux;  </w:t>
      </w:r>
      <w:r w:rsidRPr="00403F08">
        <w:rPr>
          <w:b/>
          <w:lang w:val="fr-CH"/>
        </w:rPr>
        <w:t xml:space="preserve">Programme 25 </w:t>
      </w:r>
      <w:r w:rsidRPr="00403F08">
        <w:rPr>
          <w:lang w:val="fr-CH"/>
        </w:rPr>
        <w:t>– Technologies de l</w:t>
      </w:r>
      <w:r>
        <w:rPr>
          <w:lang w:val="fr-CH"/>
        </w:rPr>
        <w:t>’</w:t>
      </w:r>
      <w:r w:rsidRPr="00403F08">
        <w:rPr>
          <w:lang w:val="fr-CH"/>
        </w:rPr>
        <w:t xml:space="preserve">information et de la communication;  </w:t>
      </w:r>
      <w:r w:rsidRPr="00403F08">
        <w:rPr>
          <w:b/>
          <w:lang w:val="fr-CH"/>
        </w:rPr>
        <w:t xml:space="preserve">Programme 26 </w:t>
      </w:r>
      <w:r w:rsidRPr="00403F08">
        <w:rPr>
          <w:lang w:val="fr-CH"/>
        </w:rPr>
        <w:t xml:space="preserve">– Supervision interne;  </w:t>
      </w:r>
      <w:r w:rsidRPr="00403F08">
        <w:rPr>
          <w:b/>
          <w:lang w:val="fr-CH"/>
        </w:rPr>
        <w:t xml:space="preserve">Programme 27 </w:t>
      </w:r>
      <w:r w:rsidRPr="00403F08">
        <w:rPr>
          <w:lang w:val="fr-CH"/>
        </w:rPr>
        <w:t xml:space="preserve">– Services de conférences et services linguistiques;  </w:t>
      </w:r>
      <w:r w:rsidRPr="00403F08">
        <w:rPr>
          <w:b/>
          <w:lang w:val="fr-CH"/>
        </w:rPr>
        <w:t xml:space="preserve">Programme 28 </w:t>
      </w:r>
      <w:r w:rsidRPr="00403F08">
        <w:rPr>
          <w:lang w:val="fr-CH"/>
        </w:rPr>
        <w:t>– Sécurité de l</w:t>
      </w:r>
      <w:r>
        <w:rPr>
          <w:lang w:val="fr-CH"/>
        </w:rPr>
        <w:t>’</w:t>
      </w:r>
      <w:r w:rsidRPr="00403F08">
        <w:rPr>
          <w:lang w:val="fr-CH"/>
        </w:rPr>
        <w:t xml:space="preserve">information, des biens et des personnes; </w:t>
      </w:r>
      <w:r>
        <w:rPr>
          <w:lang w:val="fr-CH"/>
        </w:rPr>
        <w:t xml:space="preserve"> </w:t>
      </w:r>
      <w:r w:rsidRPr="00403F08">
        <w:rPr>
          <w:b/>
          <w:lang w:val="fr-CH"/>
        </w:rPr>
        <w:t>Programme 30</w:t>
      </w:r>
      <w:r w:rsidRPr="00403F08">
        <w:rPr>
          <w:lang w:val="fr-CH"/>
        </w:rPr>
        <w:t xml:space="preserve"> – Appui aux petites et moyennes entreprises (PME) et à la création d</w:t>
      </w:r>
      <w:r>
        <w:rPr>
          <w:lang w:val="fr-CH"/>
        </w:rPr>
        <w:t>’</w:t>
      </w:r>
      <w:r w:rsidRPr="00403F08">
        <w:rPr>
          <w:lang w:val="fr-CH"/>
        </w:rPr>
        <w:t xml:space="preserve">entreprises;  </w:t>
      </w:r>
      <w:r w:rsidRPr="00403F08">
        <w:rPr>
          <w:b/>
          <w:lang w:val="fr-CH"/>
        </w:rPr>
        <w:t xml:space="preserve">Programme 31 </w:t>
      </w:r>
      <w:r w:rsidRPr="00403F08">
        <w:rPr>
          <w:lang w:val="fr-CH"/>
        </w:rPr>
        <w:t xml:space="preserve">– Système de </w:t>
      </w:r>
      <w:r>
        <w:rPr>
          <w:lang w:val="fr-CH"/>
        </w:rPr>
        <w:t>La Haye</w:t>
      </w:r>
      <w:r w:rsidRPr="00403F08">
        <w:rPr>
          <w:lang w:val="fr-CH"/>
        </w:rPr>
        <w:t xml:space="preserve">;  </w:t>
      </w:r>
      <w:r w:rsidRPr="00403F08">
        <w:rPr>
          <w:b/>
          <w:lang w:val="fr-CH"/>
        </w:rPr>
        <w:t xml:space="preserve">Programme 32 </w:t>
      </w:r>
      <w:r w:rsidRPr="00403F08">
        <w:rPr>
          <w:lang w:val="fr-CH"/>
        </w:rPr>
        <w:t>– Système de Lisbonne.</w:t>
      </w:r>
    </w:p>
  </w:footnote>
  <w:footnote w:id="14">
    <w:p w14:paraId="796F1BE5" w14:textId="22A1F485" w:rsidR="00A76380" w:rsidRPr="00E00C09" w:rsidRDefault="00A76380" w:rsidP="00E00C09">
      <w:pPr>
        <w:pStyle w:val="FootnoteText"/>
        <w:rPr>
          <w:lang w:val="fr-CH"/>
        </w:rPr>
      </w:pPr>
      <w:r w:rsidRPr="00B937C7">
        <w:rPr>
          <w:rStyle w:val="FootnoteReference"/>
        </w:rPr>
        <w:footnoteRef/>
      </w:r>
      <w:r>
        <w:rPr>
          <w:lang w:val="fr-CH"/>
        </w:rPr>
        <w:t xml:space="preserve"> </w:t>
      </w:r>
      <w:r>
        <w:rPr>
          <w:lang w:val="fr-CH"/>
        </w:rPr>
        <w:tab/>
      </w:r>
      <w:r w:rsidRPr="00B937C7">
        <w:rPr>
          <w:lang w:val="fr-CH"/>
        </w:rPr>
        <w:t>Paragraphe 28 g) de la Charte de la supervision interne</w:t>
      </w:r>
    </w:p>
  </w:footnote>
  <w:footnote w:id="15">
    <w:p w14:paraId="6B7D53FA" w14:textId="72893E73" w:rsidR="00A76380" w:rsidRPr="00403F08" w:rsidRDefault="00A76380" w:rsidP="001D114D">
      <w:pPr>
        <w:pStyle w:val="FootnoteText"/>
        <w:rPr>
          <w:lang w:val="fr-CH"/>
        </w:rPr>
      </w:pPr>
      <w:r>
        <w:rPr>
          <w:rStyle w:val="FootnoteReference"/>
        </w:rPr>
        <w:footnoteRef/>
      </w:r>
      <w:r>
        <w:rPr>
          <w:lang w:val="fr-CH"/>
        </w:rPr>
        <w:t xml:space="preserve"> </w:t>
      </w:r>
      <w:r>
        <w:rPr>
          <w:lang w:val="fr-CH"/>
        </w:rPr>
        <w:tab/>
      </w:r>
      <w:r w:rsidRPr="00403F08">
        <w:rPr>
          <w:lang w:val="fr-CH"/>
        </w:rPr>
        <w:t>Paragraphe 48 i) de la Charte de la supervision interne</w:t>
      </w:r>
    </w:p>
  </w:footnote>
  <w:footnote w:id="16">
    <w:p w14:paraId="4E983082" w14:textId="38861E95" w:rsidR="00A76380" w:rsidRPr="00403F08" w:rsidRDefault="00A76380" w:rsidP="001D114D">
      <w:pPr>
        <w:pStyle w:val="FootnoteText"/>
        <w:rPr>
          <w:lang w:val="fr-CH"/>
        </w:rPr>
      </w:pPr>
      <w:r w:rsidRPr="00403F08">
        <w:rPr>
          <w:rStyle w:val="FootnoteReference"/>
        </w:rPr>
        <w:footnoteRef/>
      </w:r>
      <w:r>
        <w:rPr>
          <w:lang w:val="fr-CH"/>
        </w:rPr>
        <w:t xml:space="preserve"> </w:t>
      </w:r>
      <w:r>
        <w:rPr>
          <w:lang w:val="fr-CH"/>
        </w:rPr>
        <w:tab/>
      </w:r>
      <w:r w:rsidRPr="00403F08">
        <w:rPr>
          <w:lang w:val="fr-CH"/>
        </w:rPr>
        <w:t>Ce pourcentage est calculé sur la base du budget après virements pour la</w:t>
      </w:r>
      <w:r>
        <w:rPr>
          <w:lang w:val="fr-CH"/>
        </w:rPr>
        <w:t> </w:t>
      </w:r>
      <w:r w:rsidRPr="00403F08">
        <w:rPr>
          <w:lang w:val="fr-CH"/>
        </w:rPr>
        <w:t>DSI.</w:t>
      </w:r>
    </w:p>
  </w:footnote>
  <w:footnote w:id="17">
    <w:p w14:paraId="077DE03C" w14:textId="6E222D42" w:rsidR="00A76380" w:rsidRPr="00403F08" w:rsidRDefault="00A76380" w:rsidP="001D114D">
      <w:pPr>
        <w:pStyle w:val="FootnoteText"/>
        <w:rPr>
          <w:lang w:val="fr-CH"/>
        </w:rPr>
      </w:pPr>
      <w:r w:rsidRPr="00403F08">
        <w:rPr>
          <w:rStyle w:val="FootnoteReference"/>
        </w:rPr>
        <w:footnoteRef/>
      </w:r>
      <w:r>
        <w:rPr>
          <w:lang w:val="fr-CH"/>
        </w:rPr>
        <w:t xml:space="preserve"> </w:t>
      </w:r>
      <w:r>
        <w:rPr>
          <w:lang w:val="fr-CH"/>
        </w:rPr>
        <w:tab/>
      </w:r>
      <w:r w:rsidRPr="00403F08">
        <w:rPr>
          <w:lang w:val="fr-CH"/>
        </w:rPr>
        <w:t>En milliers de francs suisses.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9ABE" w14:textId="77777777" w:rsidR="00A76380" w:rsidRDefault="00A76380" w:rsidP="00477D6B">
    <w:pPr>
      <w:jc w:val="right"/>
    </w:pPr>
    <w:bookmarkStart w:id="6" w:name="Code2"/>
    <w:bookmarkEnd w:id="6"/>
    <w:r>
      <w:t>WO/PBC/30/5</w:t>
    </w:r>
  </w:p>
  <w:p w14:paraId="705131C1" w14:textId="2CBDEA77" w:rsidR="00A76380" w:rsidRDefault="00A76380" w:rsidP="00477D6B">
    <w:pPr>
      <w:jc w:val="right"/>
    </w:pPr>
    <w:proofErr w:type="gramStart"/>
    <w:r>
      <w:t>page</w:t>
    </w:r>
    <w:proofErr w:type="gramEnd"/>
    <w:r>
      <w:t> </w:t>
    </w:r>
    <w:r>
      <w:fldChar w:fldCharType="begin"/>
    </w:r>
    <w:r>
      <w:instrText xml:space="preserve"> PAGE   \* MERGEFORMAT </w:instrText>
    </w:r>
    <w:r>
      <w:fldChar w:fldCharType="separate"/>
    </w:r>
    <w:r>
      <w:rPr>
        <w:noProof/>
      </w:rPr>
      <w:t>2</w:t>
    </w:r>
    <w:r>
      <w:fldChar w:fldCharType="end"/>
    </w:r>
  </w:p>
  <w:p w14:paraId="75EEA4EF" w14:textId="77777777" w:rsidR="00A76380" w:rsidRDefault="00A76380" w:rsidP="00477D6B">
    <w:pPr>
      <w:jc w:val="right"/>
    </w:pPr>
  </w:p>
  <w:p w14:paraId="5F3A4D59" w14:textId="77777777" w:rsidR="00A76380" w:rsidRDefault="00A7638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34CB" w14:textId="77777777" w:rsidR="00A76380" w:rsidRPr="00F87303" w:rsidRDefault="00A76380" w:rsidP="00186810">
    <w:pPr>
      <w:jc w:val="right"/>
    </w:pPr>
    <w:r>
      <w:t>WO/PBC/28</w:t>
    </w:r>
    <w:r w:rsidRPr="00E204EC">
      <w:t>/</w:t>
    </w:r>
    <w:r>
      <w:t>5</w:t>
    </w:r>
  </w:p>
  <w:p w14:paraId="4617168E" w14:textId="256C295A" w:rsidR="00A76380" w:rsidRPr="00E365E6" w:rsidRDefault="00A76380" w:rsidP="00186810">
    <w:pPr>
      <w:pStyle w:val="Heade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E16C" w14:textId="77777777" w:rsidR="00A76380" w:rsidRPr="00F87303" w:rsidRDefault="00A76380" w:rsidP="00186810">
    <w:pPr>
      <w:jc w:val="right"/>
    </w:pPr>
    <w:r>
      <w:t>WO/PBC/30</w:t>
    </w:r>
    <w:r w:rsidRPr="00E204EC">
      <w:t>/</w:t>
    </w:r>
    <w:r>
      <w:t>5</w:t>
    </w:r>
  </w:p>
  <w:p w14:paraId="5608A81A" w14:textId="551EFB16" w:rsidR="00A76380" w:rsidRDefault="00A76380" w:rsidP="00186810">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03A3B">
      <w:rPr>
        <w:noProof/>
      </w:rPr>
      <w:t>17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DC9D" w14:textId="77777777" w:rsidR="003D2CBF" w:rsidRPr="00E03A3B" w:rsidRDefault="003D2CBF" w:rsidP="00E03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F7BE" w14:textId="77777777" w:rsidR="00E03A3B" w:rsidRDefault="00E03A3B" w:rsidP="00E03A3B">
    <w:pPr>
      <w:pStyle w:val="Header"/>
      <w:jc w:val="right"/>
    </w:pPr>
    <w:r>
      <w:t>WO/PBC/30/5</w:t>
    </w:r>
  </w:p>
  <w:p w14:paraId="3DDB1EA6" w14:textId="77777777" w:rsidR="00E03A3B" w:rsidRDefault="00E03A3B" w:rsidP="00E03A3B">
    <w:pPr>
      <w:pStyle w:val="Header"/>
      <w:jc w:val="right"/>
    </w:pPr>
    <w:r>
      <w:t>ANNEXE</w:t>
    </w:r>
  </w:p>
  <w:p w14:paraId="1A338C11" w14:textId="77777777" w:rsidR="00E03A3B" w:rsidRPr="0049376E" w:rsidRDefault="00E03A3B" w:rsidP="00E03A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13F790E"/>
    <w:multiLevelType w:val="multilevel"/>
    <w:tmpl w:val="2E84FCB6"/>
    <w:lvl w:ilvl="0">
      <w:start w:val="1"/>
      <w:numFmt w:val="lowerLetter"/>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61423AA"/>
    <w:multiLevelType w:val="multilevel"/>
    <w:tmpl w:val="4B0C98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eastAsia="SimSun" w:hAnsi="Arial" w:cs="Arial"/>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7"/>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B63E54"/>
    <w:rsid w:val="00004673"/>
    <w:rsid w:val="00007093"/>
    <w:rsid w:val="00022718"/>
    <w:rsid w:val="00031373"/>
    <w:rsid w:val="00043CAA"/>
    <w:rsid w:val="00056E0C"/>
    <w:rsid w:val="000574BD"/>
    <w:rsid w:val="00075432"/>
    <w:rsid w:val="000765C4"/>
    <w:rsid w:val="00090E54"/>
    <w:rsid w:val="000968ED"/>
    <w:rsid w:val="000A1248"/>
    <w:rsid w:val="000A3166"/>
    <w:rsid w:val="000A74F5"/>
    <w:rsid w:val="000B7F65"/>
    <w:rsid w:val="000C117A"/>
    <w:rsid w:val="000E5913"/>
    <w:rsid w:val="000E6FDE"/>
    <w:rsid w:val="000E7D04"/>
    <w:rsid w:val="000F5E56"/>
    <w:rsid w:val="0010331B"/>
    <w:rsid w:val="0013434F"/>
    <w:rsid w:val="001362EE"/>
    <w:rsid w:val="001418DA"/>
    <w:rsid w:val="00145105"/>
    <w:rsid w:val="00156693"/>
    <w:rsid w:val="001647D5"/>
    <w:rsid w:val="001663FD"/>
    <w:rsid w:val="001832A6"/>
    <w:rsid w:val="00183A52"/>
    <w:rsid w:val="00186108"/>
    <w:rsid w:val="00186810"/>
    <w:rsid w:val="001950FC"/>
    <w:rsid w:val="001A77A2"/>
    <w:rsid w:val="001D114D"/>
    <w:rsid w:val="001D56E1"/>
    <w:rsid w:val="001E4E00"/>
    <w:rsid w:val="00200F9B"/>
    <w:rsid w:val="00205C90"/>
    <w:rsid w:val="0021217E"/>
    <w:rsid w:val="00217917"/>
    <w:rsid w:val="00224DE2"/>
    <w:rsid w:val="00226044"/>
    <w:rsid w:val="00231BB0"/>
    <w:rsid w:val="00235A93"/>
    <w:rsid w:val="0023629D"/>
    <w:rsid w:val="00241521"/>
    <w:rsid w:val="00244EF8"/>
    <w:rsid w:val="002634C4"/>
    <w:rsid w:val="002928D3"/>
    <w:rsid w:val="002955BE"/>
    <w:rsid w:val="00297F93"/>
    <w:rsid w:val="002A3BD3"/>
    <w:rsid w:val="002D0238"/>
    <w:rsid w:val="002D562A"/>
    <w:rsid w:val="002E030A"/>
    <w:rsid w:val="002F0DAD"/>
    <w:rsid w:val="002F1FE6"/>
    <w:rsid w:val="002F4E68"/>
    <w:rsid w:val="00302E1A"/>
    <w:rsid w:val="00306BE6"/>
    <w:rsid w:val="00306CDB"/>
    <w:rsid w:val="00312F7F"/>
    <w:rsid w:val="003178BA"/>
    <w:rsid w:val="003237D3"/>
    <w:rsid w:val="00350AE2"/>
    <w:rsid w:val="0035213A"/>
    <w:rsid w:val="00353ADC"/>
    <w:rsid w:val="00354CBE"/>
    <w:rsid w:val="00361450"/>
    <w:rsid w:val="00361E76"/>
    <w:rsid w:val="003673CF"/>
    <w:rsid w:val="003774F3"/>
    <w:rsid w:val="003845C1"/>
    <w:rsid w:val="00390574"/>
    <w:rsid w:val="0039423B"/>
    <w:rsid w:val="00397480"/>
    <w:rsid w:val="003A6F89"/>
    <w:rsid w:val="003B38C1"/>
    <w:rsid w:val="003B6FDE"/>
    <w:rsid w:val="003C41D6"/>
    <w:rsid w:val="003D2030"/>
    <w:rsid w:val="003D2CBF"/>
    <w:rsid w:val="003D57B0"/>
    <w:rsid w:val="003F2705"/>
    <w:rsid w:val="00400ACB"/>
    <w:rsid w:val="004036FF"/>
    <w:rsid w:val="00403F08"/>
    <w:rsid w:val="004154B5"/>
    <w:rsid w:val="00415CC2"/>
    <w:rsid w:val="00417F8D"/>
    <w:rsid w:val="00423E3E"/>
    <w:rsid w:val="004254EB"/>
    <w:rsid w:val="00427AF4"/>
    <w:rsid w:val="004419B0"/>
    <w:rsid w:val="00455CB6"/>
    <w:rsid w:val="004647DA"/>
    <w:rsid w:val="00474062"/>
    <w:rsid w:val="00477D6B"/>
    <w:rsid w:val="00492FA0"/>
    <w:rsid w:val="004A37A9"/>
    <w:rsid w:val="004B066A"/>
    <w:rsid w:val="004B55BD"/>
    <w:rsid w:val="004C1083"/>
    <w:rsid w:val="004C3FAD"/>
    <w:rsid w:val="004C520C"/>
    <w:rsid w:val="004D183A"/>
    <w:rsid w:val="004D6455"/>
    <w:rsid w:val="004E4453"/>
    <w:rsid w:val="004E6511"/>
    <w:rsid w:val="005019FF"/>
    <w:rsid w:val="005204B5"/>
    <w:rsid w:val="00520F11"/>
    <w:rsid w:val="00526183"/>
    <w:rsid w:val="0053057A"/>
    <w:rsid w:val="00542897"/>
    <w:rsid w:val="00552606"/>
    <w:rsid w:val="00554639"/>
    <w:rsid w:val="00560A29"/>
    <w:rsid w:val="0056121D"/>
    <w:rsid w:val="00566693"/>
    <w:rsid w:val="005736DB"/>
    <w:rsid w:val="00583C67"/>
    <w:rsid w:val="005949DE"/>
    <w:rsid w:val="005A5F49"/>
    <w:rsid w:val="005A6D92"/>
    <w:rsid w:val="005B0739"/>
    <w:rsid w:val="005C2A49"/>
    <w:rsid w:val="005C6649"/>
    <w:rsid w:val="005E6FB2"/>
    <w:rsid w:val="00605827"/>
    <w:rsid w:val="00621B97"/>
    <w:rsid w:val="00622D51"/>
    <w:rsid w:val="00624032"/>
    <w:rsid w:val="0063213A"/>
    <w:rsid w:val="00646050"/>
    <w:rsid w:val="00665AE5"/>
    <w:rsid w:val="0067091E"/>
    <w:rsid w:val="006713CA"/>
    <w:rsid w:val="00676C5C"/>
    <w:rsid w:val="00680C5B"/>
    <w:rsid w:val="00690663"/>
    <w:rsid w:val="006C059E"/>
    <w:rsid w:val="006C719D"/>
    <w:rsid w:val="006D108F"/>
    <w:rsid w:val="006E4F5F"/>
    <w:rsid w:val="006F49B1"/>
    <w:rsid w:val="007006BC"/>
    <w:rsid w:val="00743761"/>
    <w:rsid w:val="00747948"/>
    <w:rsid w:val="00752A33"/>
    <w:rsid w:val="0076232B"/>
    <w:rsid w:val="007639E8"/>
    <w:rsid w:val="0079151C"/>
    <w:rsid w:val="007B1ED7"/>
    <w:rsid w:val="007B3B9B"/>
    <w:rsid w:val="007B77FF"/>
    <w:rsid w:val="007C5E63"/>
    <w:rsid w:val="007D03FC"/>
    <w:rsid w:val="007D1613"/>
    <w:rsid w:val="007D53FA"/>
    <w:rsid w:val="007E4C0E"/>
    <w:rsid w:val="007E6275"/>
    <w:rsid w:val="008135ED"/>
    <w:rsid w:val="008140AA"/>
    <w:rsid w:val="00817C19"/>
    <w:rsid w:val="008376E8"/>
    <w:rsid w:val="00853893"/>
    <w:rsid w:val="00860537"/>
    <w:rsid w:val="00877718"/>
    <w:rsid w:val="00887AEB"/>
    <w:rsid w:val="00891DF0"/>
    <w:rsid w:val="0089463F"/>
    <w:rsid w:val="008A134B"/>
    <w:rsid w:val="008B2CC1"/>
    <w:rsid w:val="008B60B2"/>
    <w:rsid w:val="008B7924"/>
    <w:rsid w:val="008C4CE1"/>
    <w:rsid w:val="008E064D"/>
    <w:rsid w:val="008E7457"/>
    <w:rsid w:val="00901AC8"/>
    <w:rsid w:val="0090521F"/>
    <w:rsid w:val="0090731E"/>
    <w:rsid w:val="00913CE2"/>
    <w:rsid w:val="00916EE2"/>
    <w:rsid w:val="00920B7F"/>
    <w:rsid w:val="00931367"/>
    <w:rsid w:val="00932F7E"/>
    <w:rsid w:val="00945BC4"/>
    <w:rsid w:val="0096299E"/>
    <w:rsid w:val="00963FB9"/>
    <w:rsid w:val="00966A22"/>
    <w:rsid w:val="0096722F"/>
    <w:rsid w:val="0097473D"/>
    <w:rsid w:val="00980843"/>
    <w:rsid w:val="00984E77"/>
    <w:rsid w:val="00984EE5"/>
    <w:rsid w:val="00985997"/>
    <w:rsid w:val="009932C9"/>
    <w:rsid w:val="009A3A85"/>
    <w:rsid w:val="009B6777"/>
    <w:rsid w:val="009B7593"/>
    <w:rsid w:val="009C127D"/>
    <w:rsid w:val="009C5C66"/>
    <w:rsid w:val="009D22A2"/>
    <w:rsid w:val="009D327D"/>
    <w:rsid w:val="009E2791"/>
    <w:rsid w:val="009E3F6F"/>
    <w:rsid w:val="009F2DB2"/>
    <w:rsid w:val="009F499F"/>
    <w:rsid w:val="009F7DB0"/>
    <w:rsid w:val="00A13314"/>
    <w:rsid w:val="00A20B7D"/>
    <w:rsid w:val="00A37342"/>
    <w:rsid w:val="00A42DAF"/>
    <w:rsid w:val="00A45BD8"/>
    <w:rsid w:val="00A510FE"/>
    <w:rsid w:val="00A53909"/>
    <w:rsid w:val="00A76380"/>
    <w:rsid w:val="00A862F0"/>
    <w:rsid w:val="00A869B7"/>
    <w:rsid w:val="00AA2DD4"/>
    <w:rsid w:val="00AC205C"/>
    <w:rsid w:val="00AC3753"/>
    <w:rsid w:val="00AE14D5"/>
    <w:rsid w:val="00AF0A6B"/>
    <w:rsid w:val="00AF180E"/>
    <w:rsid w:val="00B04697"/>
    <w:rsid w:val="00B05A69"/>
    <w:rsid w:val="00B235AA"/>
    <w:rsid w:val="00B26E7D"/>
    <w:rsid w:val="00B368C7"/>
    <w:rsid w:val="00B37FC7"/>
    <w:rsid w:val="00B61109"/>
    <w:rsid w:val="00B63E54"/>
    <w:rsid w:val="00B937C7"/>
    <w:rsid w:val="00B9734B"/>
    <w:rsid w:val="00BA30E2"/>
    <w:rsid w:val="00BB144F"/>
    <w:rsid w:val="00BC185E"/>
    <w:rsid w:val="00BD669D"/>
    <w:rsid w:val="00BE5832"/>
    <w:rsid w:val="00C10A78"/>
    <w:rsid w:val="00C11BFE"/>
    <w:rsid w:val="00C15889"/>
    <w:rsid w:val="00C24247"/>
    <w:rsid w:val="00C33462"/>
    <w:rsid w:val="00C5068F"/>
    <w:rsid w:val="00C726E4"/>
    <w:rsid w:val="00C824C6"/>
    <w:rsid w:val="00C84A8C"/>
    <w:rsid w:val="00C86D74"/>
    <w:rsid w:val="00CC3FA0"/>
    <w:rsid w:val="00CD04F1"/>
    <w:rsid w:val="00CD7F59"/>
    <w:rsid w:val="00CE49CE"/>
    <w:rsid w:val="00CF78E3"/>
    <w:rsid w:val="00D02ADB"/>
    <w:rsid w:val="00D177DE"/>
    <w:rsid w:val="00D2706F"/>
    <w:rsid w:val="00D2710C"/>
    <w:rsid w:val="00D30CA8"/>
    <w:rsid w:val="00D325B1"/>
    <w:rsid w:val="00D33401"/>
    <w:rsid w:val="00D35AD9"/>
    <w:rsid w:val="00D36C13"/>
    <w:rsid w:val="00D372A1"/>
    <w:rsid w:val="00D377A4"/>
    <w:rsid w:val="00D44A0B"/>
    <w:rsid w:val="00D4523F"/>
    <w:rsid w:val="00D45252"/>
    <w:rsid w:val="00D54476"/>
    <w:rsid w:val="00D66E37"/>
    <w:rsid w:val="00D679D6"/>
    <w:rsid w:val="00D71B4D"/>
    <w:rsid w:val="00D807DA"/>
    <w:rsid w:val="00D841BF"/>
    <w:rsid w:val="00D93D55"/>
    <w:rsid w:val="00D9721E"/>
    <w:rsid w:val="00D97FD9"/>
    <w:rsid w:val="00DB732A"/>
    <w:rsid w:val="00DC0E7C"/>
    <w:rsid w:val="00DC65A7"/>
    <w:rsid w:val="00DC7857"/>
    <w:rsid w:val="00DD5D32"/>
    <w:rsid w:val="00DF023A"/>
    <w:rsid w:val="00DF383E"/>
    <w:rsid w:val="00E00C09"/>
    <w:rsid w:val="00E01325"/>
    <w:rsid w:val="00E03A3B"/>
    <w:rsid w:val="00E10F37"/>
    <w:rsid w:val="00E14AEB"/>
    <w:rsid w:val="00E15015"/>
    <w:rsid w:val="00E30FB3"/>
    <w:rsid w:val="00E335FE"/>
    <w:rsid w:val="00E362C5"/>
    <w:rsid w:val="00E5566B"/>
    <w:rsid w:val="00E55C35"/>
    <w:rsid w:val="00E70D9A"/>
    <w:rsid w:val="00E7329A"/>
    <w:rsid w:val="00E75770"/>
    <w:rsid w:val="00E85557"/>
    <w:rsid w:val="00E87642"/>
    <w:rsid w:val="00E93007"/>
    <w:rsid w:val="00E97ACC"/>
    <w:rsid w:val="00EA301F"/>
    <w:rsid w:val="00EA4F37"/>
    <w:rsid w:val="00EA76F4"/>
    <w:rsid w:val="00EA7D6E"/>
    <w:rsid w:val="00EB2210"/>
    <w:rsid w:val="00EC13F8"/>
    <w:rsid w:val="00EC4E49"/>
    <w:rsid w:val="00ED77FB"/>
    <w:rsid w:val="00EE33D6"/>
    <w:rsid w:val="00EE45FA"/>
    <w:rsid w:val="00EE560A"/>
    <w:rsid w:val="00EF58D7"/>
    <w:rsid w:val="00F00180"/>
    <w:rsid w:val="00F32A6D"/>
    <w:rsid w:val="00F60456"/>
    <w:rsid w:val="00F6381D"/>
    <w:rsid w:val="00F65AA3"/>
    <w:rsid w:val="00F66152"/>
    <w:rsid w:val="00F72D68"/>
    <w:rsid w:val="00F918CE"/>
    <w:rsid w:val="00F967F0"/>
    <w:rsid w:val="00FA41DE"/>
    <w:rsid w:val="00FA4BD6"/>
    <w:rsid w:val="00FB613C"/>
    <w:rsid w:val="00FB69A3"/>
    <w:rsid w:val="00FD53CC"/>
    <w:rsid w:val="00FE52D7"/>
    <w:rsid w:val="00FE5E8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967F78"/>
  <w15:docId w15:val="{E3D621F2-02E2-4359-87F2-437339A2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FB613C"/>
    <w:pPr>
      <w:keepNext/>
      <w:spacing w:after="480"/>
      <w:outlineLvl w:val="0"/>
    </w:pPr>
    <w:rPr>
      <w:b/>
      <w:bCs/>
      <w:caps/>
      <w:kern w:val="32"/>
      <w:sz w:val="28"/>
      <w:szCs w:val="32"/>
      <w:lang w:val="fr-CH"/>
    </w:rPr>
  </w:style>
  <w:style w:type="paragraph" w:styleId="Heading2">
    <w:name w:val="heading 2"/>
    <w:basedOn w:val="Normal"/>
    <w:next w:val="Normal"/>
    <w:link w:val="Heading2Char"/>
    <w:autoRedefine/>
    <w:qFormat/>
    <w:rsid w:val="002E030A"/>
    <w:pPr>
      <w:keepNext/>
      <w:spacing w:before="240" w:after="220"/>
      <w:outlineLvl w:val="1"/>
    </w:pPr>
    <w:rPr>
      <w:b/>
      <w:bCs/>
      <w:iCs/>
      <w:caps/>
      <w:szCs w:val="28"/>
      <w:lang w:val="fr-CH"/>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E030A"/>
    <w:rPr>
      <w:rFonts w:ascii="Arial" w:eastAsia="SimSun" w:hAnsi="Arial" w:cs="Arial"/>
      <w:b/>
      <w:bCs/>
      <w:iCs/>
      <w:caps/>
      <w:sz w:val="22"/>
      <w:szCs w:val="28"/>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86810"/>
    <w:rPr>
      <w:rFonts w:ascii="Arial" w:eastAsia="SimSun" w:hAnsi="Arial" w:cs="Arial"/>
      <w:sz w:val="22"/>
      <w:lang w:val="en-US" w:eastAsia="zh-CN"/>
    </w:rPr>
  </w:style>
  <w:style w:type="paragraph" w:styleId="Caption">
    <w:name w:val="caption"/>
    <w:basedOn w:val="Normal"/>
    <w:next w:val="Normal"/>
    <w:link w:val="CaptionChar"/>
    <w:qFormat/>
    <w:rsid w:val="00676C5C"/>
    <w:rPr>
      <w:b/>
      <w:bCs/>
      <w:sz w:val="18"/>
    </w:rPr>
  </w:style>
  <w:style w:type="character" w:customStyle="1" w:styleId="CaptionChar">
    <w:name w:val="Caption Char"/>
    <w:basedOn w:val="DefaultParagraphFont"/>
    <w:link w:val="Caption"/>
    <w:rsid w:val="00186810"/>
    <w:rPr>
      <w:rFonts w:ascii="Arial" w:eastAsia="SimSun" w:hAnsi="Arial" w:cs="Arial"/>
      <w:b/>
      <w:bCs/>
      <w:sz w:val="18"/>
      <w:lang w:val="en-US" w:eastAsia="zh-CN"/>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186810"/>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186810"/>
    <w:rPr>
      <w:rFonts w:ascii="Arial" w:eastAsia="SimSun" w:hAnsi="Arial" w:cs="Arial"/>
      <w:sz w:val="18"/>
      <w:lang w:val="en-US" w:eastAsia="zh-CN"/>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676C5C"/>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186810"/>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186810"/>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character" w:customStyle="1" w:styleId="ONUMEChar">
    <w:name w:val="ONUM E Char"/>
    <w:link w:val="ONUME"/>
    <w:locked/>
    <w:rsid w:val="00B63E54"/>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paragraph" w:styleId="TOC1">
    <w:name w:val="toc 1"/>
    <w:basedOn w:val="Normal"/>
    <w:next w:val="Normal"/>
    <w:autoRedefine/>
    <w:uiPriority w:val="39"/>
    <w:qFormat/>
    <w:rsid w:val="00186810"/>
    <w:pPr>
      <w:tabs>
        <w:tab w:val="left" w:pos="440"/>
        <w:tab w:val="right" w:leader="dot" w:pos="9345"/>
      </w:tabs>
      <w:spacing w:before="240" w:after="240"/>
    </w:pPr>
  </w:style>
  <w:style w:type="character" w:styleId="Hyperlink">
    <w:name w:val="Hyperlink"/>
    <w:basedOn w:val="DefaultParagraphFont"/>
    <w:uiPriority w:val="99"/>
    <w:rsid w:val="00186810"/>
    <w:rPr>
      <w:rFonts w:cs="Times New Roman"/>
      <w:color w:val="0000FF"/>
      <w:u w:val="single"/>
    </w:rPr>
  </w:style>
  <w:style w:type="table" w:styleId="TableGrid">
    <w:name w:val="Table Grid"/>
    <w:basedOn w:val="TableNormal"/>
    <w:uiPriority w:val="59"/>
    <w:rsid w:val="00186810"/>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rsid w:val="00186810"/>
    <w:rPr>
      <w:rFonts w:cs="Times New Roman"/>
      <w:vertAlign w:val="superscript"/>
    </w:rPr>
  </w:style>
  <w:style w:type="paragraph" w:styleId="PlainText">
    <w:name w:val="Plain Text"/>
    <w:basedOn w:val="Normal"/>
    <w:link w:val="PlainTextChar"/>
    <w:uiPriority w:val="99"/>
    <w:rsid w:val="00186810"/>
    <w:rPr>
      <w:rFonts w:ascii="Courier New" w:hAnsi="Courier New" w:cs="Courier New"/>
      <w:sz w:val="20"/>
    </w:rPr>
  </w:style>
  <w:style w:type="character" w:customStyle="1" w:styleId="PlainTextChar">
    <w:name w:val="Plain Text Char"/>
    <w:basedOn w:val="DefaultParagraphFont"/>
    <w:link w:val="PlainText"/>
    <w:uiPriority w:val="99"/>
    <w:rsid w:val="00186810"/>
    <w:rPr>
      <w:rFonts w:ascii="Courier New" w:eastAsia="SimSun" w:hAnsi="Courier New" w:cs="Courier New"/>
      <w:lang w:val="en-US" w:eastAsia="zh-CN"/>
    </w:rPr>
  </w:style>
  <w:style w:type="paragraph" w:styleId="ListParagraph">
    <w:name w:val="List Paragraph"/>
    <w:basedOn w:val="Normal"/>
    <w:link w:val="ListParagraphChar"/>
    <w:uiPriority w:val="34"/>
    <w:qFormat/>
    <w:rsid w:val="00186810"/>
    <w:pPr>
      <w:ind w:left="720"/>
      <w:contextualSpacing/>
    </w:pPr>
  </w:style>
  <w:style w:type="character" w:customStyle="1" w:styleId="ListParagraphChar">
    <w:name w:val="List Paragraph Char"/>
    <w:basedOn w:val="DefaultParagraphFont"/>
    <w:link w:val="ListParagraph"/>
    <w:uiPriority w:val="34"/>
    <w:rsid w:val="00186810"/>
    <w:rPr>
      <w:rFonts w:ascii="Arial" w:eastAsia="SimSun" w:hAnsi="Arial" w:cs="Arial"/>
      <w:sz w:val="22"/>
      <w:lang w:val="en-US" w:eastAsia="zh-CN"/>
    </w:rPr>
  </w:style>
  <w:style w:type="character" w:styleId="CommentReference">
    <w:name w:val="annotation reference"/>
    <w:basedOn w:val="DefaultParagraphFont"/>
    <w:rsid w:val="00186810"/>
    <w:rPr>
      <w:sz w:val="16"/>
      <w:szCs w:val="16"/>
    </w:rPr>
  </w:style>
  <w:style w:type="paragraph" w:styleId="CommentSubject">
    <w:name w:val="annotation subject"/>
    <w:basedOn w:val="CommentText"/>
    <w:next w:val="CommentText"/>
    <w:link w:val="CommentSubjectChar"/>
    <w:rsid w:val="00186810"/>
    <w:rPr>
      <w:b/>
      <w:bCs/>
      <w:sz w:val="20"/>
    </w:rPr>
  </w:style>
  <w:style w:type="character" w:customStyle="1" w:styleId="CommentSubjectChar">
    <w:name w:val="Comment Subject Char"/>
    <w:basedOn w:val="CommentTextChar"/>
    <w:link w:val="CommentSubject"/>
    <w:rsid w:val="00186810"/>
    <w:rPr>
      <w:rFonts w:ascii="Arial" w:eastAsia="SimSun" w:hAnsi="Arial" w:cs="Arial"/>
      <w:b/>
      <w:bCs/>
      <w:sz w:val="18"/>
      <w:lang w:val="en-US" w:eastAsia="zh-CN"/>
    </w:rPr>
  </w:style>
  <w:style w:type="character" w:styleId="EndnoteReference">
    <w:name w:val="endnote reference"/>
    <w:basedOn w:val="DefaultParagraphFont"/>
    <w:rsid w:val="00186810"/>
    <w:rPr>
      <w:vertAlign w:val="superscript"/>
    </w:rPr>
  </w:style>
  <w:style w:type="paragraph" w:styleId="NormalWeb">
    <w:name w:val="Normal (Web)"/>
    <w:basedOn w:val="Normal"/>
    <w:uiPriority w:val="99"/>
    <w:rsid w:val="00186810"/>
    <w:pPr>
      <w:spacing w:before="100" w:beforeAutospacing="1" w:after="100" w:afterAutospacing="1"/>
    </w:pPr>
    <w:rPr>
      <w:rFonts w:eastAsia="Times New Roman"/>
      <w:sz w:val="18"/>
      <w:szCs w:val="18"/>
      <w:lang w:eastAsia="en-US"/>
    </w:rPr>
  </w:style>
  <w:style w:type="character" w:customStyle="1" w:styleId="ONUMECharChar">
    <w:name w:val="ONUM E Char Char"/>
    <w:locked/>
    <w:rsid w:val="00186810"/>
    <w:rPr>
      <w:rFonts w:ascii="Arial" w:hAnsi="Arial"/>
      <w:sz w:val="22"/>
      <w:lang w:val="x-none" w:eastAsia="x-none"/>
    </w:rPr>
  </w:style>
  <w:style w:type="character" w:customStyle="1" w:styleId="apple-converted-space">
    <w:name w:val="apple-converted-space"/>
    <w:basedOn w:val="DefaultParagraphFont"/>
    <w:rsid w:val="00186810"/>
  </w:style>
  <w:style w:type="paragraph" w:customStyle="1" w:styleId="Default">
    <w:name w:val="Default"/>
    <w:rsid w:val="00186810"/>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semiHidden/>
    <w:unhideWhenUsed/>
    <w:qFormat/>
    <w:rsid w:val="00853893"/>
    <w:pPr>
      <w:spacing w:after="100"/>
      <w:ind w:left="220"/>
    </w:pPr>
  </w:style>
  <w:style w:type="paragraph" w:customStyle="1" w:styleId="Heading11">
    <w:name w:val="Heading 1.1"/>
    <w:basedOn w:val="Heading1"/>
    <w:qFormat/>
    <w:rsid w:val="00853893"/>
    <w:pPr>
      <w:numPr>
        <w:numId w:val="7"/>
      </w:numPr>
      <w:spacing w:before="480"/>
    </w:pPr>
    <w:rPr>
      <w:caps w:val="0"/>
      <w:sz w:val="22"/>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BD669D"/>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BD669D"/>
    <w:rPr>
      <w:rFonts w:ascii="Arial" w:eastAsia="SimSun" w:hAnsi="Arial" w:cs="Arial"/>
      <w:sz w:val="22"/>
      <w:lang w:val="en-US" w:eastAsia="zh-CN"/>
    </w:rPr>
  </w:style>
  <w:style w:type="character" w:customStyle="1" w:styleId="Heading1Char">
    <w:name w:val="Heading 1 Char"/>
    <w:basedOn w:val="DefaultParagraphFont"/>
    <w:link w:val="Heading1"/>
    <w:rsid w:val="00FB613C"/>
    <w:rPr>
      <w:rFonts w:ascii="Arial" w:eastAsia="SimSun" w:hAnsi="Arial" w:cs="Arial"/>
      <w:b/>
      <w:bCs/>
      <w:caps/>
      <w:kern w:val="32"/>
      <w:sz w:val="28"/>
      <w:szCs w:val="32"/>
      <w:lang w:eastAsia="zh-CN"/>
    </w:rPr>
  </w:style>
  <w:style w:type="table" w:styleId="GridTable6Colorful-Accent1">
    <w:name w:val="Grid Table 6 Colorful Accent 1"/>
    <w:basedOn w:val="TableNormal"/>
    <w:uiPriority w:val="51"/>
    <w:rsid w:val="004254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52A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2A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49900">
      <w:bodyDiv w:val="1"/>
      <w:marLeft w:val="0"/>
      <w:marRight w:val="0"/>
      <w:marTop w:val="0"/>
      <w:marBottom w:val="0"/>
      <w:divBdr>
        <w:top w:val="none" w:sz="0" w:space="0" w:color="auto"/>
        <w:left w:val="none" w:sz="0" w:space="0" w:color="auto"/>
        <w:bottom w:val="none" w:sz="0" w:space="0" w:color="auto"/>
        <w:right w:val="none" w:sz="0" w:space="0" w:color="auto"/>
      </w:divBdr>
    </w:div>
    <w:div w:id="2024547241">
      <w:bodyDiv w:val="1"/>
      <w:marLeft w:val="0"/>
      <w:marRight w:val="0"/>
      <w:marTop w:val="0"/>
      <w:marBottom w:val="0"/>
      <w:divBdr>
        <w:top w:val="none" w:sz="0" w:space="0" w:color="auto"/>
        <w:left w:val="none" w:sz="0" w:space="0" w:color="auto"/>
        <w:bottom w:val="none" w:sz="0" w:space="0" w:color="auto"/>
        <w:right w:val="none" w:sz="0" w:space="0" w:color="auto"/>
      </w:divBdr>
    </w:div>
    <w:div w:id="210988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2\ORGLAN\SHARED\Originaux\000_KIC\TR-20587-DG\2.%20%20Jun.%2025,%202019\Editable%20files%20(rev.)\190620%20Investigation%20Tables.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DAT2\ORGLAN\SHARED\Originaux\000_KIC\TR-20587-DG\2.%20%20Jun.%2025,%202019\Editable%20files%20(rev.)\190620%20Updated%20graphs%20for%20Annual%20report%20on%20recommendation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DAT2\ORGLAN\SHARED\Originaux\000_KIC\TR-20587-DG\2.%20%20Jun.%2025,%202019\Editable%20files%20(rev.)\190620%20Updated%20graphs%20for%20Annual%20report%20on%20recommendation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DAT2\ORGLAN\SHARED\Originaux\000_KIC\TR-20587-DG\2.%20%20Jun.%2025,%202019\Editable%20files%20(rev.)\190620%20Updated%20graphs%20for%20Annual%20report%20on%20recommendation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'3'!$B$4</c:f>
              <c:strCache>
                <c:ptCount val="1"/>
                <c:pt idx="0">
                  <c:v>Allégations non fondées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'3'!$A$5:$A$7</c:f>
              <c:strCache>
                <c:ptCount val="3"/>
                <c:pt idx="0">
                  <c:v>2016-2017</c:v>
                </c:pt>
                <c:pt idx="1">
                  <c:v>2017-2018</c:v>
                </c:pt>
                <c:pt idx="2">
                  <c:v>2018-2019</c:v>
                </c:pt>
              </c:strCache>
            </c:strRef>
          </c:cat>
          <c:val>
            <c:numRef>
              <c:f>'3'!$B$5:$B$7</c:f>
              <c:numCache>
                <c:formatCode>General</c:formatCode>
                <c:ptCount val="3"/>
                <c:pt idx="0">
                  <c:v>22</c:v>
                </c:pt>
                <c:pt idx="1">
                  <c:v>37</c:v>
                </c:pt>
                <c:pt idx="2">
                  <c:v>14</c:v>
                </c:pt>
              </c:numCache>
            </c:numRef>
          </c:val>
          <c:extLst>
            <c:ext xmlns:c16="http://schemas.microsoft.com/office/drawing/2014/chart" uri="{C3380CC4-5D6E-409C-BE32-E72D297353CC}">
              <c16:uniqueId val="{00000000-5B38-477E-87DD-958F05435A8A}"/>
            </c:ext>
          </c:extLst>
        </c:ser>
        <c:ser>
          <c:idx val="1"/>
          <c:order val="1"/>
          <c:tx>
            <c:strRef>
              <c:f>'3'!$C$4</c:f>
              <c:strCache>
                <c:ptCount val="1"/>
                <c:pt idx="0">
                  <c:v>Allégations fondées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'3'!$A$5:$A$7</c:f>
              <c:strCache>
                <c:ptCount val="3"/>
                <c:pt idx="0">
                  <c:v>2016-2017</c:v>
                </c:pt>
                <c:pt idx="1">
                  <c:v>2017-2018</c:v>
                </c:pt>
                <c:pt idx="2">
                  <c:v>2018-2019</c:v>
                </c:pt>
              </c:strCache>
            </c:strRef>
          </c:cat>
          <c:val>
            <c:numRef>
              <c:f>'3'!$C$5:$C$7</c:f>
              <c:numCache>
                <c:formatCode>General</c:formatCode>
                <c:ptCount val="3"/>
                <c:pt idx="0">
                  <c:v>5</c:v>
                </c:pt>
                <c:pt idx="1">
                  <c:v>5</c:v>
                </c:pt>
                <c:pt idx="2">
                  <c:v>5</c:v>
                </c:pt>
              </c:numCache>
            </c:numRef>
          </c:val>
          <c:extLst>
            <c:ext xmlns:c16="http://schemas.microsoft.com/office/drawing/2014/chart" uri="{C3380CC4-5D6E-409C-BE32-E72D297353CC}">
              <c16:uniqueId val="{00000001-5B38-477E-87DD-958F05435A8A}"/>
            </c:ext>
          </c:extLst>
        </c:ser>
        <c:dLbls>
          <c:showLegendKey val="0"/>
          <c:showVal val="0"/>
          <c:showCatName val="0"/>
          <c:showSerName val="0"/>
          <c:showPercent val="0"/>
          <c:showBubbleSize val="0"/>
        </c:dLbls>
        <c:gapWidth val="150"/>
        <c:overlap val="100"/>
        <c:axId val="506275560"/>
        <c:axId val="1"/>
      </c:barChart>
      <c:catAx>
        <c:axId val="50627556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06275560"/>
        <c:crosses val="autoZero"/>
        <c:crossBetween val="between"/>
      </c:valAx>
    </c:plotArea>
    <c:legend>
      <c:legendPos val="b"/>
      <c:layout/>
      <c:overlay val="0"/>
      <c:txPr>
        <a:bodyPr/>
        <a:lstStyle/>
        <a:p>
          <a:pPr>
            <a:defRPr sz="9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 3'!$C$6</c:f>
              <c:strCache>
                <c:ptCount val="1"/>
                <c:pt idx="0">
                  <c:v>Élevée (68)</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3'!$B$7:$B$10</c:f>
              <c:strCache>
                <c:ptCount val="4"/>
                <c:pt idx="0">
                  <c:v>Vérificateur externe  des comptes</c:v>
                </c:pt>
                <c:pt idx="1">
                  <c:v>OCIS</c:v>
                </c:pt>
                <c:pt idx="2">
                  <c:v>DSI</c:v>
                </c:pt>
                <c:pt idx="3">
                  <c:v>Recommandations transmises à la DSI par le vérificateur externe</c:v>
                </c:pt>
              </c:strCache>
            </c:strRef>
          </c:cat>
          <c:val>
            <c:numRef>
              <c:f>'Chart 3'!$C$7:$C$10</c:f>
              <c:numCache>
                <c:formatCode>General</c:formatCode>
                <c:ptCount val="4"/>
                <c:pt idx="0">
                  <c:v>4</c:v>
                </c:pt>
                <c:pt idx="2">
                  <c:v>51</c:v>
                </c:pt>
                <c:pt idx="3">
                  <c:v>13</c:v>
                </c:pt>
              </c:numCache>
            </c:numRef>
          </c:val>
          <c:extLst>
            <c:ext xmlns:c16="http://schemas.microsoft.com/office/drawing/2014/chart" uri="{C3380CC4-5D6E-409C-BE32-E72D297353CC}">
              <c16:uniqueId val="{00000000-76B4-46EA-A46C-507C38E7FB20}"/>
            </c:ext>
          </c:extLst>
        </c:ser>
        <c:ser>
          <c:idx val="1"/>
          <c:order val="1"/>
          <c:tx>
            <c:strRef>
              <c:f>'Chart 3'!$D$6</c:f>
              <c:strCache>
                <c:ptCount val="1"/>
                <c:pt idx="0">
                  <c:v>Moyenne (87)</c:v>
                </c:pt>
              </c:strCache>
            </c:strRef>
          </c:tx>
          <c:spPr>
            <a:solidFill>
              <a:srgbClr val="4F81BD"/>
            </a:solidFill>
            <a:ln>
              <a:noFill/>
            </a:ln>
            <a:effectLst/>
            <a:scene3d>
              <a:camera prst="orthographicFront"/>
              <a:lightRig rig="threePt" dir="t"/>
            </a:scene3d>
            <a:sp3d>
              <a:bevelT w="190500" h="38100"/>
            </a:sp3d>
          </c:spPr>
          <c:invertIfNegative val="0"/>
          <c:dLbls>
            <c:dLbl>
              <c:idx val="0"/>
              <c:layout>
                <c:manualLayout>
                  <c:x val="0"/>
                  <c:y val="-3.720929626901117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6B4-46EA-A46C-507C38E7FB20}"/>
                </c:ext>
              </c:extLst>
            </c:dLbl>
            <c:dLbl>
              <c:idx val="1"/>
              <c:layout>
                <c:manualLayout>
                  <c:x val="0"/>
                  <c:y val="-4.5478028773235868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6B4-46EA-A46C-507C38E7FB20}"/>
                </c:ext>
              </c:extLst>
            </c:dLbl>
            <c:dLbl>
              <c:idx val="3"/>
              <c:layout>
                <c:manualLayout>
                  <c:x val="5.5555555555555558E-3"/>
                  <c:y val="-2.480619751267411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6B4-46EA-A46C-507C38E7FB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3'!$B$7:$B$10</c:f>
              <c:strCache>
                <c:ptCount val="4"/>
                <c:pt idx="0">
                  <c:v>Vérificateur externe  des comptes</c:v>
                </c:pt>
                <c:pt idx="1">
                  <c:v>OCIS</c:v>
                </c:pt>
                <c:pt idx="2">
                  <c:v>DSI</c:v>
                </c:pt>
                <c:pt idx="3">
                  <c:v>Recommandations transmises à la DSI par le vérificateur externe</c:v>
                </c:pt>
              </c:strCache>
            </c:strRef>
          </c:cat>
          <c:val>
            <c:numRef>
              <c:f>'Chart 3'!$D$7:$D$10</c:f>
              <c:numCache>
                <c:formatCode>General</c:formatCode>
                <c:ptCount val="4"/>
                <c:pt idx="0">
                  <c:v>3</c:v>
                </c:pt>
                <c:pt idx="1">
                  <c:v>2</c:v>
                </c:pt>
                <c:pt idx="2">
                  <c:v>81</c:v>
                </c:pt>
                <c:pt idx="3">
                  <c:v>1</c:v>
                </c:pt>
              </c:numCache>
            </c:numRef>
          </c:val>
          <c:extLst>
            <c:ext xmlns:c16="http://schemas.microsoft.com/office/drawing/2014/chart" uri="{C3380CC4-5D6E-409C-BE32-E72D297353CC}">
              <c16:uniqueId val="{00000004-76B4-46EA-A46C-507C38E7FB20}"/>
            </c:ext>
          </c:extLst>
        </c:ser>
        <c:dLbls>
          <c:dLblPos val="ctr"/>
          <c:showLegendKey val="0"/>
          <c:showVal val="1"/>
          <c:showCatName val="0"/>
          <c:showSerName val="0"/>
          <c:showPercent val="0"/>
          <c:showBubbleSize val="0"/>
        </c:dLbls>
        <c:gapWidth val="150"/>
        <c:overlap val="100"/>
        <c:axId val="1660897967"/>
        <c:axId val="1660898383"/>
      </c:barChart>
      <c:catAx>
        <c:axId val="1660897967"/>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898383"/>
        <c:crosses val="autoZero"/>
        <c:auto val="1"/>
        <c:lblAlgn val="ctr"/>
        <c:lblOffset val="100"/>
        <c:noMultiLvlLbl val="0"/>
      </c:catAx>
      <c:valAx>
        <c:axId val="1660898383"/>
        <c:scaling>
          <c:orientation val="minMax"/>
          <c:max val="13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897967"/>
        <c:crosses val="autoZero"/>
        <c:crossBetween val="between"/>
        <c:majorUnit val="30"/>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90500" h="38100"/>
    </a:sp3d>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4'!$C$6</c:f>
              <c:strCache>
                <c:ptCount val="1"/>
                <c:pt idx="0">
                  <c:v>Élevée (68)</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'Chart 4'!$B$7:$B$14</c:f>
              <c:numCache>
                <c:formatCode>General</c:formatCode>
                <c:ptCount val="8"/>
                <c:pt idx="0">
                  <c:v>2011</c:v>
                </c:pt>
                <c:pt idx="1">
                  <c:v>2013</c:v>
                </c:pt>
                <c:pt idx="2">
                  <c:v>2014</c:v>
                </c:pt>
                <c:pt idx="3">
                  <c:v>2015</c:v>
                </c:pt>
                <c:pt idx="4">
                  <c:v>2016</c:v>
                </c:pt>
                <c:pt idx="5">
                  <c:v>2017</c:v>
                </c:pt>
                <c:pt idx="6">
                  <c:v>2018</c:v>
                </c:pt>
                <c:pt idx="7">
                  <c:v>2019</c:v>
                </c:pt>
              </c:numCache>
            </c:numRef>
          </c:cat>
          <c:val>
            <c:numRef>
              <c:f>'Chart 4'!$C$7:$C$14</c:f>
              <c:numCache>
                <c:formatCode>General</c:formatCode>
                <c:ptCount val="8"/>
                <c:pt idx="1">
                  <c:v>4</c:v>
                </c:pt>
                <c:pt idx="2">
                  <c:v>7</c:v>
                </c:pt>
                <c:pt idx="3">
                  <c:v>11</c:v>
                </c:pt>
                <c:pt idx="4">
                  <c:v>9</c:v>
                </c:pt>
                <c:pt idx="5">
                  <c:v>12</c:v>
                </c:pt>
                <c:pt idx="6">
                  <c:v>20</c:v>
                </c:pt>
                <c:pt idx="7">
                  <c:v>5</c:v>
                </c:pt>
              </c:numCache>
            </c:numRef>
          </c:val>
          <c:extLst>
            <c:ext xmlns:c16="http://schemas.microsoft.com/office/drawing/2014/chart" uri="{C3380CC4-5D6E-409C-BE32-E72D297353CC}">
              <c16:uniqueId val="{00000000-436B-4F87-8780-E5AC7F680C3A}"/>
            </c:ext>
          </c:extLst>
        </c:ser>
        <c:ser>
          <c:idx val="1"/>
          <c:order val="1"/>
          <c:tx>
            <c:strRef>
              <c:f>'Chart 4'!$D$6</c:f>
              <c:strCache>
                <c:ptCount val="1"/>
                <c:pt idx="0">
                  <c:v>Moyenne (87)</c:v>
                </c:pt>
              </c:strCache>
            </c:strRef>
          </c:tx>
          <c:spPr>
            <a:solidFill>
              <a:srgbClr val="4F81B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'Chart 4'!$B$7:$B$14</c:f>
              <c:numCache>
                <c:formatCode>General</c:formatCode>
                <c:ptCount val="8"/>
                <c:pt idx="0">
                  <c:v>2011</c:v>
                </c:pt>
                <c:pt idx="1">
                  <c:v>2013</c:v>
                </c:pt>
                <c:pt idx="2">
                  <c:v>2014</c:v>
                </c:pt>
                <c:pt idx="3">
                  <c:v>2015</c:v>
                </c:pt>
                <c:pt idx="4">
                  <c:v>2016</c:v>
                </c:pt>
                <c:pt idx="5">
                  <c:v>2017</c:v>
                </c:pt>
                <c:pt idx="6">
                  <c:v>2018</c:v>
                </c:pt>
                <c:pt idx="7">
                  <c:v>2019</c:v>
                </c:pt>
              </c:numCache>
            </c:numRef>
          </c:cat>
          <c:val>
            <c:numRef>
              <c:f>'Chart 4'!$D$7:$D$14</c:f>
              <c:numCache>
                <c:formatCode>General</c:formatCode>
                <c:ptCount val="8"/>
                <c:pt idx="0">
                  <c:v>1</c:v>
                </c:pt>
                <c:pt idx="1">
                  <c:v>1</c:v>
                </c:pt>
                <c:pt idx="2">
                  <c:v>2</c:v>
                </c:pt>
                <c:pt idx="3">
                  <c:v>8</c:v>
                </c:pt>
                <c:pt idx="4">
                  <c:v>11</c:v>
                </c:pt>
                <c:pt idx="5">
                  <c:v>16</c:v>
                </c:pt>
                <c:pt idx="6">
                  <c:v>33</c:v>
                </c:pt>
                <c:pt idx="7">
                  <c:v>15</c:v>
                </c:pt>
              </c:numCache>
            </c:numRef>
          </c:val>
          <c:extLst>
            <c:ext xmlns:c16="http://schemas.microsoft.com/office/drawing/2014/chart" uri="{C3380CC4-5D6E-409C-BE32-E72D297353CC}">
              <c16:uniqueId val="{00000001-436B-4F87-8780-E5AC7F680C3A}"/>
            </c:ext>
          </c:extLst>
        </c:ser>
        <c:dLbls>
          <c:showLegendKey val="0"/>
          <c:showVal val="1"/>
          <c:showCatName val="0"/>
          <c:showSerName val="0"/>
          <c:showPercent val="0"/>
          <c:showBubbleSize val="0"/>
        </c:dLbls>
        <c:gapWidth val="150"/>
        <c:shape val="box"/>
        <c:axId val="1601173391"/>
        <c:axId val="1601158831"/>
        <c:axId val="0"/>
      </c:bar3DChart>
      <c:catAx>
        <c:axId val="16011733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158831"/>
        <c:crosses val="autoZero"/>
        <c:auto val="1"/>
        <c:lblAlgn val="ctr"/>
        <c:lblOffset val="100"/>
        <c:noMultiLvlLbl val="0"/>
      </c:catAx>
      <c:valAx>
        <c:axId val="160115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173391"/>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5'!$B$4</c:f>
              <c:strCache>
                <c:ptCount val="1"/>
                <c:pt idx="0">
                  <c:v>Élevée (68)</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5'!$A$5:$A$25</c:f>
              <c:strCache>
                <c:ptCount val="21"/>
                <c:pt idx="0">
                  <c:v>Programme 10</c:v>
                </c:pt>
                <c:pt idx="1">
                  <c:v>Programme 12</c:v>
                </c:pt>
                <c:pt idx="2">
                  <c:v>Programme 13</c:v>
                </c:pt>
                <c:pt idx="3">
                  <c:v>Programme 15</c:v>
                </c:pt>
                <c:pt idx="4">
                  <c:v>Programme 16</c:v>
                </c:pt>
                <c:pt idx="5">
                  <c:v>Programme 18</c:v>
                </c:pt>
                <c:pt idx="6">
                  <c:v>Programme 19</c:v>
                </c:pt>
                <c:pt idx="7">
                  <c:v>Programme 21</c:v>
                </c:pt>
                <c:pt idx="8">
                  <c:v>Programme 22</c:v>
                </c:pt>
                <c:pt idx="9">
                  <c:v>Programme 23</c:v>
                </c:pt>
                <c:pt idx="10">
                  <c:v>Programme 24</c:v>
                </c:pt>
                <c:pt idx="11">
                  <c:v>Programme 25</c:v>
                </c:pt>
                <c:pt idx="12">
                  <c:v>Programme 26</c:v>
                </c:pt>
                <c:pt idx="13">
                  <c:v>Programme 27</c:v>
                </c:pt>
                <c:pt idx="14">
                  <c:v>Programme 28</c:v>
                </c:pt>
                <c:pt idx="15">
                  <c:v>Programme 30</c:v>
                </c:pt>
                <c:pt idx="16">
                  <c:v>Programme 31</c:v>
                </c:pt>
                <c:pt idx="17">
                  <c:v>Programme 5</c:v>
                </c:pt>
                <c:pt idx="18">
                  <c:v>Programme 6</c:v>
                </c:pt>
                <c:pt idx="19">
                  <c:v>Programmes 6 et 31</c:v>
                </c:pt>
                <c:pt idx="20">
                  <c:v>Programme 9</c:v>
                </c:pt>
              </c:strCache>
            </c:strRef>
          </c:cat>
          <c:val>
            <c:numRef>
              <c:f>'Chart 5'!$B$5:$B$25</c:f>
              <c:numCache>
                <c:formatCode>General</c:formatCode>
                <c:ptCount val="21"/>
                <c:pt idx="1">
                  <c:v>2</c:v>
                </c:pt>
                <c:pt idx="2">
                  <c:v>3</c:v>
                </c:pt>
                <c:pt idx="3">
                  <c:v>1</c:v>
                </c:pt>
                <c:pt idx="5">
                  <c:v>1</c:v>
                </c:pt>
                <c:pt idx="6">
                  <c:v>9</c:v>
                </c:pt>
                <c:pt idx="7">
                  <c:v>3</c:v>
                </c:pt>
                <c:pt idx="8">
                  <c:v>2</c:v>
                </c:pt>
                <c:pt idx="9">
                  <c:v>8</c:v>
                </c:pt>
                <c:pt idx="10">
                  <c:v>4</c:v>
                </c:pt>
                <c:pt idx="11">
                  <c:v>4</c:v>
                </c:pt>
                <c:pt idx="13">
                  <c:v>5</c:v>
                </c:pt>
                <c:pt idx="14">
                  <c:v>2</c:v>
                </c:pt>
                <c:pt idx="16">
                  <c:v>6</c:v>
                </c:pt>
                <c:pt idx="17">
                  <c:v>3</c:v>
                </c:pt>
                <c:pt idx="18">
                  <c:v>3</c:v>
                </c:pt>
                <c:pt idx="19">
                  <c:v>1</c:v>
                </c:pt>
                <c:pt idx="20">
                  <c:v>11</c:v>
                </c:pt>
              </c:numCache>
            </c:numRef>
          </c:val>
          <c:extLst>
            <c:ext xmlns:c16="http://schemas.microsoft.com/office/drawing/2014/chart" uri="{C3380CC4-5D6E-409C-BE32-E72D297353CC}">
              <c16:uniqueId val="{00000000-533B-49B3-97E4-1BAEC8CB1B87}"/>
            </c:ext>
          </c:extLst>
        </c:ser>
        <c:ser>
          <c:idx val="1"/>
          <c:order val="1"/>
          <c:tx>
            <c:strRef>
              <c:f>'Chart 5'!$C$4</c:f>
              <c:strCache>
                <c:ptCount val="1"/>
                <c:pt idx="0">
                  <c:v>Moyenne (87)</c:v>
                </c:pt>
              </c:strCache>
            </c:strRef>
          </c:tx>
          <c:spPr>
            <a:solidFill>
              <a:srgbClr val="4F81BD"/>
            </a:solidFill>
            <a:ln>
              <a:noFill/>
            </a:ln>
            <a:effectLst/>
            <a:sp3d/>
          </c:spPr>
          <c:invertIfNegative val="0"/>
          <c:dLbls>
            <c:dLbl>
              <c:idx val="18"/>
              <c:layout>
                <c:manualLayout>
                  <c:x val="5.9259259259259256E-3"/>
                  <c:y val="1.2747935024413608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33B-49B3-97E4-1BAEC8CB1B87}"/>
                </c:ext>
              </c:extLst>
            </c:dLbl>
            <c:dLbl>
              <c:idx val="20"/>
              <c:layout>
                <c:manualLayout>
                  <c:x val="5.9259259259259256E-3"/>
                  <c:y val="-3.1869837561034019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33B-49B3-97E4-1BAEC8CB1B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5'!$A$5:$A$25</c:f>
              <c:strCache>
                <c:ptCount val="21"/>
                <c:pt idx="0">
                  <c:v>Programme 10</c:v>
                </c:pt>
                <c:pt idx="1">
                  <c:v>Programme 12</c:v>
                </c:pt>
                <c:pt idx="2">
                  <c:v>Programme 13</c:v>
                </c:pt>
                <c:pt idx="3">
                  <c:v>Programme 15</c:v>
                </c:pt>
                <c:pt idx="4">
                  <c:v>Programme 16</c:v>
                </c:pt>
                <c:pt idx="5">
                  <c:v>Programme 18</c:v>
                </c:pt>
                <c:pt idx="6">
                  <c:v>Programme 19</c:v>
                </c:pt>
                <c:pt idx="7">
                  <c:v>Programme 21</c:v>
                </c:pt>
                <c:pt idx="8">
                  <c:v>Programme 22</c:v>
                </c:pt>
                <c:pt idx="9">
                  <c:v>Programme 23</c:v>
                </c:pt>
                <c:pt idx="10">
                  <c:v>Programme 24</c:v>
                </c:pt>
                <c:pt idx="11">
                  <c:v>Programme 25</c:v>
                </c:pt>
                <c:pt idx="12">
                  <c:v>Programme 26</c:v>
                </c:pt>
                <c:pt idx="13">
                  <c:v>Programme 27</c:v>
                </c:pt>
                <c:pt idx="14">
                  <c:v>Programme 28</c:v>
                </c:pt>
                <c:pt idx="15">
                  <c:v>Programme 30</c:v>
                </c:pt>
                <c:pt idx="16">
                  <c:v>Programme 31</c:v>
                </c:pt>
                <c:pt idx="17">
                  <c:v>Programme 5</c:v>
                </c:pt>
                <c:pt idx="18">
                  <c:v>Programme 6</c:v>
                </c:pt>
                <c:pt idx="19">
                  <c:v>Programmes 6 et 31</c:v>
                </c:pt>
                <c:pt idx="20">
                  <c:v>Programme 9</c:v>
                </c:pt>
              </c:strCache>
            </c:strRef>
          </c:cat>
          <c:val>
            <c:numRef>
              <c:f>'Chart 5'!$C$5:$C$25</c:f>
              <c:numCache>
                <c:formatCode>General</c:formatCode>
                <c:ptCount val="21"/>
                <c:pt idx="0">
                  <c:v>1</c:v>
                </c:pt>
                <c:pt idx="1">
                  <c:v>4</c:v>
                </c:pt>
                <c:pt idx="2">
                  <c:v>6</c:v>
                </c:pt>
                <c:pt idx="3">
                  <c:v>4</c:v>
                </c:pt>
                <c:pt idx="4">
                  <c:v>1</c:v>
                </c:pt>
                <c:pt idx="5">
                  <c:v>3</c:v>
                </c:pt>
                <c:pt idx="6">
                  <c:v>3</c:v>
                </c:pt>
                <c:pt idx="7">
                  <c:v>10</c:v>
                </c:pt>
                <c:pt idx="8">
                  <c:v>5</c:v>
                </c:pt>
                <c:pt idx="9">
                  <c:v>12</c:v>
                </c:pt>
                <c:pt idx="10">
                  <c:v>5</c:v>
                </c:pt>
                <c:pt idx="11">
                  <c:v>6</c:v>
                </c:pt>
                <c:pt idx="12">
                  <c:v>1</c:v>
                </c:pt>
                <c:pt idx="13">
                  <c:v>5</c:v>
                </c:pt>
                <c:pt idx="14">
                  <c:v>7</c:v>
                </c:pt>
                <c:pt idx="15">
                  <c:v>1</c:v>
                </c:pt>
                <c:pt idx="16">
                  <c:v>1</c:v>
                </c:pt>
                <c:pt idx="18">
                  <c:v>2</c:v>
                </c:pt>
                <c:pt idx="19">
                  <c:v>1</c:v>
                </c:pt>
                <c:pt idx="20">
                  <c:v>9</c:v>
                </c:pt>
              </c:numCache>
            </c:numRef>
          </c:val>
          <c:extLst>
            <c:ext xmlns:c16="http://schemas.microsoft.com/office/drawing/2014/chart" uri="{C3380CC4-5D6E-409C-BE32-E72D297353CC}">
              <c16:uniqueId val="{00000003-533B-49B3-97E4-1BAEC8CB1B87}"/>
            </c:ext>
          </c:extLst>
        </c:ser>
        <c:dLbls>
          <c:showLegendKey val="0"/>
          <c:showVal val="1"/>
          <c:showCatName val="0"/>
          <c:showSerName val="0"/>
          <c:showPercent val="0"/>
          <c:showBubbleSize val="0"/>
        </c:dLbls>
        <c:gapWidth val="27"/>
        <c:gapDepth val="27"/>
        <c:shape val="box"/>
        <c:axId val="1656838207"/>
        <c:axId val="1656826559"/>
        <c:axId val="0"/>
      </c:bar3DChart>
      <c:catAx>
        <c:axId val="1656838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26559"/>
        <c:crosses val="autoZero"/>
        <c:auto val="1"/>
        <c:lblAlgn val="ctr"/>
        <c:lblOffset val="100"/>
        <c:noMultiLvlLbl val="0"/>
      </c:catAx>
      <c:valAx>
        <c:axId val="1656826559"/>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820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16BF-45F5-40EB-96FD-D57702D6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8139</Words>
  <Characters>45148</Characters>
  <Application>Microsoft Office Word</Application>
  <DocSecurity>0</DocSecurity>
  <Lines>3762</Lines>
  <Paragraphs>2537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WO/GA/51/3</vt:lpstr>
      <vt:lpstr>WO/GA/51/3</vt:lpstr>
    </vt:vector>
  </TitlesOfParts>
  <Company>WIPO</Company>
  <LinksUpToDate>false</LinksUpToDate>
  <CharactersWithSpaces>50750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WO/GA/51/3</dc:title>
  <dc:subject>Fifty-Eighth Series of Meetings</dc:subject>
  <dc:creator>RS/ls</dc:creator>
  <cp:keywords>FOR OFFICIAL USE ONLY</cp:keywords>
  <dc:description/>
  <cp:lastModifiedBy>HÄFLIGER Patience</cp:lastModifiedBy>
  <cp:revision>3</cp:revision>
  <cp:lastPrinted>2019-06-20T14:36:00Z</cp:lastPrinted>
  <dcterms:created xsi:type="dcterms:W3CDTF">2019-07-09T12:17:00Z</dcterms:created>
  <dcterms:modified xsi:type="dcterms:W3CDTF">2019-07-09T12:18:00Z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