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AACD" w14:textId="77777777" w:rsidR="00C5485D" w:rsidRDefault="006C72D8" w:rsidP="006C72D8">
      <w:pPr>
        <w:spacing w:before="360" w:after="240"/>
        <w:jc w:val="right"/>
      </w:pPr>
      <w:bookmarkStart w:id="0" w:name="_GoBack"/>
      <w:bookmarkEnd w:id="0"/>
      <w:r w:rsidRPr="00E50178">
        <w:rPr>
          <w:noProof/>
          <w:lang w:val="en-US" w:eastAsia="en-US"/>
        </w:rPr>
        <w:drawing>
          <wp:inline distT="0" distB="0" distL="0" distR="0" wp14:anchorId="1DC8FBA2" wp14:editId="426A3BF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94875EA" w14:textId="77777777" w:rsidR="00C5485D" w:rsidRDefault="006C72D8" w:rsidP="006C72D8">
      <w:pPr>
        <w:pBdr>
          <w:top w:val="single" w:sz="4" w:space="16" w:color="auto"/>
        </w:pBdr>
        <w:jc w:val="right"/>
        <w:rPr>
          <w:rFonts w:ascii="Arial Black" w:hAnsi="Arial Black"/>
          <w:caps/>
          <w:sz w:val="15"/>
          <w:lang w:val="fr-CH"/>
        </w:rPr>
      </w:pPr>
      <w:r w:rsidRPr="00E50178">
        <w:rPr>
          <w:rFonts w:ascii="Arial Black" w:hAnsi="Arial Black"/>
          <w:caps/>
          <w:sz w:val="15"/>
          <w:lang w:val="fr-CH"/>
        </w:rPr>
        <w:t>WO/GA/53/</w:t>
      </w:r>
      <w:bookmarkStart w:id="1" w:name="Code"/>
      <w:r w:rsidRPr="00E50178">
        <w:rPr>
          <w:rFonts w:ascii="Arial Black" w:hAnsi="Arial Black"/>
          <w:caps/>
          <w:sz w:val="15"/>
          <w:lang w:val="fr-CH"/>
        </w:rPr>
        <w:t>2</w:t>
      </w:r>
    </w:p>
    <w:bookmarkEnd w:id="1"/>
    <w:p w14:paraId="270CE9C1" w14:textId="77777777" w:rsidR="00C5485D" w:rsidRDefault="006C72D8" w:rsidP="006C72D8">
      <w:pPr>
        <w:jc w:val="right"/>
        <w:rPr>
          <w:rFonts w:ascii="Arial Black" w:hAnsi="Arial Black"/>
          <w:caps/>
          <w:sz w:val="15"/>
          <w:lang w:val="fr-CH"/>
        </w:rPr>
      </w:pPr>
      <w:r w:rsidRPr="00E50178">
        <w:rPr>
          <w:rFonts w:ascii="Arial Black" w:hAnsi="Arial Black"/>
          <w:caps/>
          <w:sz w:val="15"/>
          <w:lang w:val="fr-CH"/>
        </w:rPr>
        <w:t>ORIGINAL</w:t>
      </w:r>
      <w:r w:rsidR="00AE63B3">
        <w:rPr>
          <w:rFonts w:ascii="Arial Black" w:hAnsi="Arial Black"/>
          <w:caps/>
          <w:sz w:val="15"/>
          <w:lang w:val="fr-CH"/>
        </w:rPr>
        <w:t> :</w:t>
      </w:r>
      <w:r w:rsidRPr="00E50178">
        <w:rPr>
          <w:rFonts w:ascii="Arial Black" w:hAnsi="Arial Black"/>
          <w:caps/>
          <w:sz w:val="15"/>
          <w:lang w:val="fr-CH"/>
        </w:rPr>
        <w:t xml:space="preserve"> anglais</w:t>
      </w:r>
    </w:p>
    <w:p w14:paraId="313D4CEC" w14:textId="77777777" w:rsidR="00C5485D" w:rsidRDefault="006C72D8" w:rsidP="006C72D8">
      <w:pPr>
        <w:spacing w:after="1200"/>
        <w:jc w:val="right"/>
        <w:rPr>
          <w:lang w:val="fr-CH"/>
        </w:rPr>
      </w:pPr>
      <w:r w:rsidRPr="00E50178">
        <w:rPr>
          <w:rFonts w:ascii="Arial Black" w:hAnsi="Arial Black"/>
          <w:caps/>
          <w:sz w:val="15"/>
          <w:lang w:val="fr-CH"/>
        </w:rPr>
        <w:t>DATE</w:t>
      </w:r>
      <w:r w:rsidR="00AE63B3">
        <w:rPr>
          <w:rFonts w:ascii="Arial Black" w:hAnsi="Arial Black"/>
          <w:caps/>
          <w:sz w:val="15"/>
          <w:lang w:val="fr-CH"/>
        </w:rPr>
        <w:t> :</w:t>
      </w:r>
      <w:r w:rsidRPr="00E50178">
        <w:rPr>
          <w:rFonts w:ascii="Arial Black" w:hAnsi="Arial Black"/>
          <w:caps/>
          <w:sz w:val="15"/>
          <w:lang w:val="fr-CH"/>
        </w:rPr>
        <w:t xml:space="preserve"> </w:t>
      </w:r>
      <w:bookmarkStart w:id="2" w:name="Date"/>
      <w:r w:rsidR="005B11A5">
        <w:rPr>
          <w:rFonts w:ascii="Arial Black" w:hAnsi="Arial Black"/>
          <w:caps/>
          <w:sz w:val="15"/>
          <w:lang w:val="fr-CH"/>
        </w:rPr>
        <w:t>21 juillet</w:t>
      </w:r>
      <w:r w:rsidR="00610666" w:rsidRPr="00E50178">
        <w:rPr>
          <w:rFonts w:ascii="Arial Black" w:hAnsi="Arial Black"/>
          <w:caps/>
          <w:sz w:val="15"/>
          <w:lang w:val="fr-CH"/>
        </w:rPr>
        <w:t> </w:t>
      </w:r>
      <w:r w:rsidRPr="00E50178">
        <w:rPr>
          <w:rFonts w:ascii="Arial Black" w:hAnsi="Arial Black"/>
          <w:caps/>
          <w:sz w:val="15"/>
          <w:lang w:val="fr-CH"/>
        </w:rPr>
        <w:t>2020</w:t>
      </w:r>
    </w:p>
    <w:bookmarkEnd w:id="2"/>
    <w:p w14:paraId="406F92B3" w14:textId="48C9B19C" w:rsidR="00C5485D" w:rsidRDefault="006C72D8" w:rsidP="006C72D8">
      <w:pPr>
        <w:pStyle w:val="Heading1"/>
        <w:rPr>
          <w:lang w:val="fr-CH"/>
        </w:rPr>
      </w:pPr>
      <w:r w:rsidRPr="00E50178">
        <w:rPr>
          <w:lang w:val="fr-CH"/>
        </w:rPr>
        <w:t>Assemblée générale de l</w:t>
      </w:r>
      <w:r w:rsidR="00F82D32">
        <w:rPr>
          <w:lang w:val="fr-CH"/>
        </w:rPr>
        <w:t>’</w:t>
      </w:r>
      <w:r w:rsidRPr="00E50178">
        <w:rPr>
          <w:lang w:val="fr-CH"/>
        </w:rPr>
        <w:t>OMPI</w:t>
      </w:r>
    </w:p>
    <w:p w14:paraId="3D641846" w14:textId="77777777" w:rsidR="00C5485D" w:rsidRDefault="006C72D8" w:rsidP="006C72D8">
      <w:pPr>
        <w:spacing w:after="720"/>
        <w:outlineLvl w:val="1"/>
        <w:rPr>
          <w:b/>
          <w:sz w:val="24"/>
          <w:szCs w:val="24"/>
          <w:lang w:val="fr-CH"/>
        </w:rPr>
      </w:pPr>
      <w:r w:rsidRPr="00E50178">
        <w:rPr>
          <w:b/>
          <w:sz w:val="24"/>
          <w:szCs w:val="24"/>
          <w:lang w:val="fr-CH"/>
        </w:rPr>
        <w:t>Cinquante</w:t>
      </w:r>
      <w:r w:rsidR="007379C2">
        <w:rPr>
          <w:b/>
          <w:sz w:val="24"/>
          <w:szCs w:val="24"/>
          <w:lang w:val="fr-CH"/>
        </w:rPr>
        <w:noBreakHyphen/>
      </w:r>
      <w:r w:rsidRPr="00E50178">
        <w:rPr>
          <w:b/>
          <w:sz w:val="24"/>
          <w:szCs w:val="24"/>
          <w:lang w:val="fr-CH"/>
        </w:rPr>
        <w:t>trois</w:t>
      </w:r>
      <w:r w:rsidR="00AE63B3">
        <w:rPr>
          <w:b/>
          <w:sz w:val="24"/>
          <w:szCs w:val="24"/>
          <w:lang w:val="fr-CH"/>
        </w:rPr>
        <w:t>ième session</w:t>
      </w:r>
      <w:r w:rsidRPr="00E50178">
        <w:rPr>
          <w:b/>
          <w:sz w:val="24"/>
          <w:szCs w:val="24"/>
          <w:lang w:val="fr-CH"/>
        </w:rPr>
        <w:t xml:space="preserve"> (29</w:t>
      </w:r>
      <w:r w:rsidRPr="00E50178">
        <w:rPr>
          <w:b/>
          <w:sz w:val="24"/>
          <w:szCs w:val="24"/>
          <w:vertAlign w:val="superscript"/>
          <w:lang w:val="fr-CH"/>
        </w:rPr>
        <w:t>e</w:t>
      </w:r>
      <w:r w:rsidR="00610666" w:rsidRPr="00E50178">
        <w:rPr>
          <w:b/>
          <w:sz w:val="24"/>
          <w:szCs w:val="24"/>
          <w:lang w:val="fr-CH"/>
        </w:rPr>
        <w:t> </w:t>
      </w:r>
      <w:r w:rsidRPr="00E50178">
        <w:rPr>
          <w:b/>
          <w:sz w:val="24"/>
          <w:szCs w:val="24"/>
          <w:lang w:val="fr-CH"/>
        </w:rPr>
        <w:t>session extraordinaire)</w:t>
      </w:r>
      <w:r w:rsidRPr="00E50178">
        <w:rPr>
          <w:b/>
          <w:sz w:val="24"/>
          <w:szCs w:val="24"/>
          <w:lang w:val="fr-CH"/>
        </w:rPr>
        <w:br/>
        <w:t>Genève, 21 – 29</w:t>
      </w:r>
      <w:r w:rsidR="00610666" w:rsidRPr="00E50178">
        <w:rPr>
          <w:b/>
          <w:sz w:val="24"/>
          <w:szCs w:val="24"/>
          <w:lang w:val="fr-CH"/>
        </w:rPr>
        <w:t> </w:t>
      </w:r>
      <w:r w:rsidRPr="00E50178">
        <w:rPr>
          <w:b/>
          <w:sz w:val="24"/>
          <w:szCs w:val="24"/>
          <w:lang w:val="fr-CH"/>
        </w:rPr>
        <w:t>septembre</w:t>
      </w:r>
      <w:r w:rsidR="00610666" w:rsidRPr="00E50178">
        <w:rPr>
          <w:b/>
          <w:sz w:val="24"/>
          <w:szCs w:val="24"/>
          <w:lang w:val="fr-CH"/>
        </w:rPr>
        <w:t> </w:t>
      </w:r>
      <w:r w:rsidRPr="00E50178">
        <w:rPr>
          <w:b/>
          <w:sz w:val="24"/>
          <w:szCs w:val="24"/>
          <w:lang w:val="fr-CH"/>
        </w:rPr>
        <w:t>2020</w:t>
      </w:r>
    </w:p>
    <w:p w14:paraId="69F02591" w14:textId="77777777" w:rsidR="00C5485D" w:rsidRDefault="006C72D8" w:rsidP="006C72D8">
      <w:pPr>
        <w:spacing w:after="360"/>
        <w:rPr>
          <w:caps/>
          <w:sz w:val="24"/>
          <w:lang w:val="fr-CH"/>
        </w:rPr>
      </w:pPr>
      <w:bookmarkStart w:id="3" w:name="TitleOfDoc"/>
      <w:r w:rsidRPr="006F594E">
        <w:rPr>
          <w:caps/>
          <w:sz w:val="24"/>
          <w:lang w:val="fr-CH"/>
        </w:rPr>
        <w:t>Rapport annuel du directeur de la Division de la supervision interne (DSI)</w:t>
      </w:r>
    </w:p>
    <w:bookmarkEnd w:id="3"/>
    <w:p w14:paraId="2D66A08A" w14:textId="77777777" w:rsidR="00C5485D" w:rsidRDefault="006C72D8" w:rsidP="006C72D8">
      <w:pPr>
        <w:spacing w:after="960"/>
        <w:rPr>
          <w:i/>
        </w:rPr>
      </w:pPr>
      <w:r w:rsidRPr="00E50178">
        <w:rPr>
          <w:i/>
        </w:rPr>
        <w:t>établi par le Secrétariat</w:t>
      </w:r>
    </w:p>
    <w:p w14:paraId="37DEE6FF" w14:textId="72C3B738" w:rsidR="00C5485D" w:rsidRDefault="006C72D8" w:rsidP="006F594E">
      <w:pPr>
        <w:pStyle w:val="ONUMFS"/>
        <w:rPr>
          <w:lang w:val="fr-CH"/>
        </w:rPr>
      </w:pPr>
      <w:r w:rsidRPr="00E50178">
        <w:rPr>
          <w:lang w:val="fr-CH"/>
        </w:rPr>
        <w:t>Le présent document contient le “Rapport annuel du directeur de la Division de la supervision interne (DSI)” (document WO/PBC/31/4), examiné par le Comité du programme et budget de l</w:t>
      </w:r>
      <w:r w:rsidR="00F82D32">
        <w:rPr>
          <w:lang w:val="fr-CH"/>
        </w:rPr>
        <w:t>’</w:t>
      </w:r>
      <w:r w:rsidRPr="00E50178">
        <w:rPr>
          <w:lang w:val="fr-CH"/>
        </w:rPr>
        <w:t>OMPI (PBC) à sa trente</w:t>
      </w:r>
      <w:r w:rsidR="00AE63B3">
        <w:rPr>
          <w:lang w:val="fr-CH"/>
        </w:rPr>
        <w:t> et unième session</w:t>
      </w:r>
      <w:r w:rsidRPr="00E50178">
        <w:rPr>
          <w:lang w:val="fr-CH"/>
        </w:rPr>
        <w:t xml:space="preserve"> (</w:t>
      </w:r>
      <w:r w:rsidR="00A02233">
        <w:rPr>
          <w:lang w:val="fr-CH"/>
        </w:rPr>
        <w:t>8</w:t>
      </w:r>
      <w:r w:rsidRPr="00E50178">
        <w:rPr>
          <w:lang w:val="fr-CH"/>
        </w:rPr>
        <w:t xml:space="preserve"> – 11</w:t>
      </w:r>
      <w:r w:rsidR="00610666" w:rsidRPr="00E50178">
        <w:rPr>
          <w:lang w:val="fr-CH"/>
        </w:rPr>
        <w:t> </w:t>
      </w:r>
      <w:r w:rsidRPr="00E50178">
        <w:rPr>
          <w:lang w:val="fr-CH"/>
        </w:rPr>
        <w:t>septembre</w:t>
      </w:r>
      <w:r w:rsidR="00610666" w:rsidRPr="00E50178">
        <w:rPr>
          <w:lang w:val="fr-CH"/>
        </w:rPr>
        <w:t> </w:t>
      </w:r>
      <w:r w:rsidRPr="00E50178">
        <w:rPr>
          <w:lang w:val="fr-CH"/>
        </w:rPr>
        <w:t>2020).</w:t>
      </w:r>
    </w:p>
    <w:p w14:paraId="15D462EA" w14:textId="3FECA1F9" w:rsidR="00C5485D" w:rsidRDefault="006C72D8" w:rsidP="00805BDB">
      <w:pPr>
        <w:pStyle w:val="ONUME"/>
        <w:rPr>
          <w:lang w:val="fr-CH"/>
        </w:rPr>
      </w:pPr>
      <w:r w:rsidRPr="00E50178">
        <w:rPr>
          <w:lang w:val="fr-CH"/>
        </w:rPr>
        <w:t>Toute décision</w:t>
      </w:r>
      <w:r w:rsidR="00DE3BC1" w:rsidRPr="00E50178">
        <w:rPr>
          <w:lang w:val="fr-CH"/>
        </w:rPr>
        <w:t xml:space="preserve"> du</w:t>
      </w:r>
      <w:r w:rsidR="00DE3BC1">
        <w:rPr>
          <w:lang w:val="fr-CH"/>
        </w:rPr>
        <w:t> </w:t>
      </w:r>
      <w:r w:rsidR="00DE3BC1" w:rsidRPr="00E50178">
        <w:rPr>
          <w:lang w:val="fr-CH"/>
        </w:rPr>
        <w:t>PBC</w:t>
      </w:r>
      <w:r w:rsidRPr="00E50178">
        <w:rPr>
          <w:lang w:val="fr-CH"/>
        </w:rPr>
        <w:t xml:space="preserve"> </w:t>
      </w:r>
      <w:r w:rsidR="00AE63B3">
        <w:rPr>
          <w:lang w:val="fr-CH"/>
        </w:rPr>
        <w:t>à l</w:t>
      </w:r>
      <w:r w:rsidR="00F82D32">
        <w:rPr>
          <w:lang w:val="fr-CH"/>
        </w:rPr>
        <w:t>’</w:t>
      </w:r>
      <w:r w:rsidR="00AE63B3">
        <w:rPr>
          <w:lang w:val="fr-CH"/>
        </w:rPr>
        <w:t>égard</w:t>
      </w:r>
      <w:r w:rsidRPr="00E50178">
        <w:rPr>
          <w:lang w:val="fr-CH"/>
        </w:rPr>
        <w:t xml:space="preserve"> de ce document figurera dans la “Liste des décisions adoptées par le Comité du programme et budget” (document A/61/6).</w:t>
      </w:r>
    </w:p>
    <w:p w14:paraId="20A10D3D" w14:textId="77777777" w:rsidR="00C5485D" w:rsidRDefault="006C72D8" w:rsidP="00DC7B07">
      <w:pPr>
        <w:pStyle w:val="Endofdocument-Annex"/>
        <w:rPr>
          <w:lang w:val="fr-CH"/>
        </w:rPr>
      </w:pPr>
      <w:r w:rsidRPr="00E50178">
        <w:rPr>
          <w:lang w:val="fr-CH"/>
        </w:rPr>
        <w:t>[Le document WO/PBC/31/4 suit]</w:t>
      </w:r>
    </w:p>
    <w:p w14:paraId="6A71B335" w14:textId="77777777" w:rsidR="00C5485D" w:rsidRDefault="006F594E">
      <w:pPr>
        <w:rPr>
          <w:lang w:val="fr-CH"/>
        </w:rPr>
      </w:pPr>
      <w:r>
        <w:rPr>
          <w:lang w:val="fr-CH"/>
        </w:rPr>
        <w:br w:type="page"/>
      </w:r>
    </w:p>
    <w:p w14:paraId="26F4F875" w14:textId="77777777" w:rsidR="00C5485D" w:rsidRDefault="00C5485D" w:rsidP="00DC7B07">
      <w:pPr>
        <w:pStyle w:val="Endofdocument-Annex"/>
        <w:rPr>
          <w:lang w:val="fr-CH"/>
        </w:rPr>
      </w:pPr>
    </w:p>
    <w:p w14:paraId="72282CC1" w14:textId="77777777" w:rsidR="00DC7B07" w:rsidRPr="00E50178" w:rsidRDefault="00DC7B07" w:rsidP="00DC7B07">
      <w:pPr>
        <w:pStyle w:val="Endofdocument-Annex"/>
        <w:jc w:val="both"/>
        <w:rPr>
          <w:lang w:val="fr-CH"/>
        </w:rPr>
        <w:sectPr w:rsidR="00DC7B07" w:rsidRPr="00E50178" w:rsidSect="006F594E">
          <w:endnotePr>
            <w:numFmt w:val="decimal"/>
          </w:endnotePr>
          <w:pgSz w:w="11907" w:h="16840" w:code="9"/>
          <w:pgMar w:top="567" w:right="1134" w:bottom="1417" w:left="1417" w:header="510" w:footer="1020" w:gutter="0"/>
          <w:cols w:space="720"/>
          <w:titlePg/>
          <w:docGrid w:linePitch="299"/>
        </w:sectPr>
      </w:pPr>
    </w:p>
    <w:p w14:paraId="6FE501BC" w14:textId="77777777" w:rsidR="00C5485D" w:rsidRDefault="006C72D8" w:rsidP="006C72D8">
      <w:pPr>
        <w:widowControl w:val="0"/>
        <w:jc w:val="right"/>
        <w:rPr>
          <w:b/>
          <w:sz w:val="2"/>
          <w:szCs w:val="40"/>
          <w:lang w:val="fr-CH"/>
        </w:rPr>
      </w:pPr>
      <w:r w:rsidRPr="00E50178">
        <w:rPr>
          <w:b/>
          <w:sz w:val="40"/>
          <w:szCs w:val="40"/>
          <w:lang w:val="fr-CH"/>
        </w:rPr>
        <w:lastRenderedPageBreak/>
        <w:t>F</w:t>
      </w:r>
    </w:p>
    <w:p w14:paraId="3F6A3938" w14:textId="77777777" w:rsidR="00C5485D" w:rsidRDefault="006C72D8" w:rsidP="006C72D8">
      <w:pPr>
        <w:spacing w:line="360" w:lineRule="auto"/>
        <w:ind w:left="4592"/>
        <w:rPr>
          <w:rFonts w:ascii="Arial Black" w:hAnsi="Arial Black"/>
          <w:caps/>
          <w:sz w:val="15"/>
        </w:rPr>
      </w:pPr>
      <w:r w:rsidRPr="00E50178">
        <w:rPr>
          <w:noProof/>
          <w:lang w:val="en-US" w:eastAsia="en-US"/>
        </w:rPr>
        <w:drawing>
          <wp:inline distT="0" distB="0" distL="0" distR="0" wp14:anchorId="31F34635" wp14:editId="5CD92EE7">
            <wp:extent cx="1857375" cy="1323975"/>
            <wp:effectExtent l="0" t="0" r="9525" b="9525"/>
            <wp:docPr id="1" name="Picture 1"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4675BAC" w14:textId="77777777" w:rsidR="00C5485D" w:rsidRDefault="006C72D8" w:rsidP="006C72D8">
      <w:pPr>
        <w:pBdr>
          <w:top w:val="single" w:sz="4" w:space="10" w:color="auto"/>
        </w:pBdr>
        <w:spacing w:before="120"/>
        <w:jc w:val="right"/>
        <w:rPr>
          <w:rFonts w:ascii="Arial Black" w:hAnsi="Arial Black"/>
          <w:b/>
          <w:caps/>
          <w:sz w:val="15"/>
          <w:lang w:val="fr-CH"/>
        </w:rPr>
      </w:pPr>
      <w:r w:rsidRPr="00E50178">
        <w:rPr>
          <w:rFonts w:ascii="Arial Black" w:hAnsi="Arial Black"/>
          <w:b/>
          <w:caps/>
          <w:sz w:val="15"/>
          <w:lang w:val="fr-CH"/>
        </w:rPr>
        <w:t>WO/PBC/31/4</w:t>
      </w:r>
    </w:p>
    <w:p w14:paraId="2B6ABE02" w14:textId="77777777" w:rsidR="00C5485D" w:rsidRDefault="006C72D8" w:rsidP="006C72D8">
      <w:pPr>
        <w:jc w:val="right"/>
        <w:rPr>
          <w:rFonts w:ascii="Arial Black" w:hAnsi="Arial Black"/>
          <w:b/>
          <w:caps/>
          <w:sz w:val="15"/>
          <w:lang w:val="fr-CH"/>
        </w:rPr>
      </w:pPr>
      <w:r w:rsidRPr="00E50178">
        <w:rPr>
          <w:rFonts w:ascii="Arial Black" w:hAnsi="Arial Black"/>
          <w:b/>
          <w:caps/>
          <w:sz w:val="15"/>
          <w:lang w:val="fr-CH"/>
        </w:rPr>
        <w:t>ORIGINAL</w:t>
      </w:r>
      <w:r w:rsidR="00AE63B3">
        <w:rPr>
          <w:rFonts w:ascii="Arial Black" w:hAnsi="Arial Black"/>
          <w:b/>
          <w:caps/>
          <w:sz w:val="15"/>
          <w:lang w:val="fr-CH"/>
        </w:rPr>
        <w:t> :</w:t>
      </w:r>
      <w:r w:rsidRPr="00E50178">
        <w:rPr>
          <w:rFonts w:ascii="Arial Black" w:hAnsi="Arial Black"/>
          <w:b/>
          <w:caps/>
          <w:sz w:val="15"/>
          <w:lang w:val="fr-CH"/>
        </w:rPr>
        <w:t xml:space="preserve"> anglais</w:t>
      </w:r>
    </w:p>
    <w:p w14:paraId="076C41D4" w14:textId="77777777" w:rsidR="00C5485D" w:rsidRDefault="006C72D8" w:rsidP="006C72D8">
      <w:pPr>
        <w:spacing w:line="1680" w:lineRule="auto"/>
        <w:jc w:val="right"/>
        <w:rPr>
          <w:rFonts w:ascii="Arial Black" w:hAnsi="Arial Black"/>
          <w:b/>
          <w:caps/>
          <w:sz w:val="15"/>
          <w:lang w:val="fr-CH"/>
        </w:rPr>
      </w:pPr>
      <w:r w:rsidRPr="00E50178">
        <w:rPr>
          <w:rFonts w:ascii="Arial Black" w:hAnsi="Arial Black"/>
          <w:b/>
          <w:caps/>
          <w:sz w:val="15"/>
          <w:lang w:val="fr-CH"/>
        </w:rPr>
        <w:t>DATE</w:t>
      </w:r>
      <w:r w:rsidR="00AE63B3">
        <w:rPr>
          <w:rFonts w:ascii="Arial Black" w:hAnsi="Arial Black"/>
          <w:b/>
          <w:caps/>
          <w:sz w:val="15"/>
          <w:lang w:val="fr-CH"/>
        </w:rPr>
        <w:t> :</w:t>
      </w:r>
      <w:r w:rsidRPr="00E50178">
        <w:rPr>
          <w:rFonts w:ascii="Arial Black" w:hAnsi="Arial Black"/>
          <w:b/>
          <w:caps/>
          <w:sz w:val="15"/>
          <w:lang w:val="fr-CH"/>
        </w:rPr>
        <w:t xml:space="preserve"> </w:t>
      </w:r>
      <w:r w:rsidR="00AE63B3">
        <w:rPr>
          <w:rFonts w:ascii="Arial Black" w:hAnsi="Arial Black"/>
          <w:b/>
          <w:caps/>
          <w:sz w:val="15"/>
          <w:lang w:val="fr-CH"/>
        </w:rPr>
        <w:t>19 juin</w:t>
      </w:r>
      <w:r w:rsidR="00610666" w:rsidRPr="00E50178">
        <w:rPr>
          <w:rFonts w:ascii="Arial Black" w:hAnsi="Arial Black"/>
          <w:b/>
          <w:caps/>
          <w:sz w:val="15"/>
          <w:lang w:val="fr-CH"/>
        </w:rPr>
        <w:t> </w:t>
      </w:r>
      <w:r w:rsidRPr="00E50178">
        <w:rPr>
          <w:rFonts w:ascii="Arial Black" w:hAnsi="Arial Black"/>
          <w:b/>
          <w:caps/>
          <w:sz w:val="15"/>
          <w:lang w:val="fr-CH"/>
        </w:rPr>
        <w:t>2020</w:t>
      </w:r>
    </w:p>
    <w:p w14:paraId="53F0AA7C" w14:textId="77777777" w:rsidR="00C5485D" w:rsidRDefault="006C72D8" w:rsidP="006C72D8">
      <w:pPr>
        <w:spacing w:after="600"/>
        <w:rPr>
          <w:b/>
          <w:sz w:val="28"/>
          <w:szCs w:val="28"/>
          <w:lang w:val="fr-CH"/>
        </w:rPr>
      </w:pPr>
      <w:r w:rsidRPr="00E50178">
        <w:rPr>
          <w:b/>
          <w:sz w:val="28"/>
          <w:szCs w:val="28"/>
          <w:lang w:val="fr-CH"/>
        </w:rPr>
        <w:t>Comité du programme et budget</w:t>
      </w:r>
    </w:p>
    <w:p w14:paraId="0F8436AD" w14:textId="53499848" w:rsidR="00C5485D" w:rsidRDefault="006C72D8" w:rsidP="006C72D8">
      <w:pPr>
        <w:spacing w:after="720"/>
        <w:rPr>
          <w:b/>
          <w:sz w:val="24"/>
          <w:lang w:val="fr-CH"/>
        </w:rPr>
      </w:pPr>
      <w:r w:rsidRPr="00E50178">
        <w:rPr>
          <w:b/>
          <w:sz w:val="24"/>
        </w:rPr>
        <w:t>Trente</w:t>
      </w:r>
      <w:r w:rsidR="00AE63B3">
        <w:rPr>
          <w:b/>
          <w:sz w:val="24"/>
        </w:rPr>
        <w:t> et unième session</w:t>
      </w:r>
      <w:r w:rsidRPr="00E50178">
        <w:rPr>
          <w:b/>
          <w:sz w:val="24"/>
          <w:lang w:val="fr-CH"/>
        </w:rPr>
        <w:br/>
        <w:t xml:space="preserve">Genève, </w:t>
      </w:r>
      <w:r w:rsidR="00302440">
        <w:rPr>
          <w:b/>
          <w:sz w:val="24"/>
          <w:lang w:val="fr-CH"/>
        </w:rPr>
        <w:t>7</w:t>
      </w:r>
      <w:r w:rsidRPr="00E50178">
        <w:rPr>
          <w:b/>
          <w:sz w:val="24"/>
          <w:lang w:val="fr-CH"/>
        </w:rPr>
        <w:t xml:space="preserve"> – 11</w:t>
      </w:r>
      <w:r w:rsidR="00610666" w:rsidRPr="00E50178">
        <w:rPr>
          <w:b/>
          <w:sz w:val="24"/>
          <w:lang w:val="fr-CH"/>
        </w:rPr>
        <w:t> </w:t>
      </w:r>
      <w:r w:rsidRPr="00E50178">
        <w:rPr>
          <w:b/>
          <w:sz w:val="24"/>
          <w:lang w:val="fr-CH"/>
        </w:rPr>
        <w:t>septembre</w:t>
      </w:r>
      <w:r w:rsidR="00610666" w:rsidRPr="00E50178">
        <w:rPr>
          <w:b/>
          <w:sz w:val="24"/>
          <w:lang w:val="fr-CH"/>
        </w:rPr>
        <w:t> </w:t>
      </w:r>
      <w:r w:rsidRPr="00E50178">
        <w:rPr>
          <w:b/>
          <w:sz w:val="24"/>
          <w:lang w:val="fr-CH"/>
        </w:rPr>
        <w:t>2020</w:t>
      </w:r>
    </w:p>
    <w:p w14:paraId="4BCC8273" w14:textId="77777777" w:rsidR="00C5485D" w:rsidRDefault="006C72D8" w:rsidP="006C72D8">
      <w:pPr>
        <w:spacing w:after="360"/>
        <w:rPr>
          <w:caps/>
          <w:sz w:val="24"/>
          <w:lang w:val="fr-CH"/>
        </w:rPr>
      </w:pPr>
      <w:r w:rsidRPr="006F594E">
        <w:rPr>
          <w:caps/>
          <w:sz w:val="24"/>
          <w:lang w:val="fr-CH"/>
        </w:rPr>
        <w:t>Rapport annuel du directeur de la Division de la supervision interne (DSI)</w:t>
      </w:r>
    </w:p>
    <w:p w14:paraId="6968D5D2" w14:textId="77777777" w:rsidR="00C5485D" w:rsidRDefault="006C72D8" w:rsidP="0039415E">
      <w:pPr>
        <w:spacing w:after="960"/>
        <w:rPr>
          <w:i/>
          <w:sz w:val="24"/>
          <w:lang w:val="fr-CH"/>
        </w:rPr>
      </w:pPr>
      <w:r w:rsidRPr="00E50178">
        <w:rPr>
          <w:i/>
          <w:sz w:val="24"/>
          <w:lang w:val="fr-CH"/>
        </w:rPr>
        <w:t>établi par le</w:t>
      </w:r>
      <w:r w:rsidR="0039415E" w:rsidRPr="00E50178">
        <w:rPr>
          <w:i/>
          <w:sz w:val="24"/>
          <w:lang w:val="fr-CH"/>
        </w:rPr>
        <w:t xml:space="preserve"> </w:t>
      </w:r>
      <w:r w:rsidR="00DE7DA7" w:rsidRPr="00E50178">
        <w:rPr>
          <w:i/>
          <w:sz w:val="24"/>
          <w:lang w:val="fr-CH"/>
        </w:rPr>
        <w:t>Secr</w:t>
      </w:r>
      <w:r w:rsidRPr="00E50178">
        <w:rPr>
          <w:i/>
          <w:sz w:val="24"/>
          <w:lang w:val="fr-CH"/>
        </w:rPr>
        <w:t>é</w:t>
      </w:r>
      <w:r w:rsidR="00DE7DA7" w:rsidRPr="00E50178">
        <w:rPr>
          <w:i/>
          <w:sz w:val="24"/>
          <w:lang w:val="fr-CH"/>
        </w:rPr>
        <w:t>tariat</w:t>
      </w:r>
    </w:p>
    <w:p w14:paraId="228303AE" w14:textId="172C5290" w:rsidR="00C5485D" w:rsidRDefault="006C72D8" w:rsidP="00AE63B3">
      <w:pPr>
        <w:pStyle w:val="ONUMFS"/>
        <w:numPr>
          <w:ilvl w:val="0"/>
          <w:numId w:val="18"/>
        </w:numPr>
        <w:tabs>
          <w:tab w:val="clear" w:pos="2127"/>
        </w:tabs>
        <w:ind w:left="0"/>
        <w:rPr>
          <w:lang w:val="fr-CH"/>
        </w:rPr>
      </w:pPr>
      <w:r w:rsidRPr="00AE63B3">
        <w:rPr>
          <w:lang w:val="fr-CH"/>
        </w:rPr>
        <w:t>Conformément au paragraphe</w:t>
      </w:r>
      <w:r w:rsidR="00610666" w:rsidRPr="00AE63B3">
        <w:rPr>
          <w:lang w:val="fr-CH"/>
        </w:rPr>
        <w:t> </w:t>
      </w:r>
      <w:r w:rsidRPr="00AE63B3">
        <w:rPr>
          <w:lang w:val="fr-CH"/>
        </w:rPr>
        <w:t>47 de la Charte de la supervision interne, le directeur de la Division de la supervision interne (DSI) soumet chaque année un rapport de synthèse à l</w:t>
      </w:r>
      <w:r w:rsidR="00F82D32">
        <w:rPr>
          <w:lang w:val="fr-CH"/>
        </w:rPr>
        <w:t>’</w:t>
      </w:r>
      <w:r w:rsidRPr="00AE63B3">
        <w:rPr>
          <w:lang w:val="fr-CH"/>
        </w:rPr>
        <w:t>Assemblée générale de l</w:t>
      </w:r>
      <w:r w:rsidR="00F82D32">
        <w:rPr>
          <w:lang w:val="fr-CH"/>
        </w:rPr>
        <w:t>’</w:t>
      </w:r>
      <w:r w:rsidRPr="00AE63B3">
        <w:rPr>
          <w:lang w:val="fr-CH"/>
        </w:rPr>
        <w:t>OMPI, par l</w:t>
      </w:r>
      <w:r w:rsidR="00F82D32">
        <w:rPr>
          <w:lang w:val="fr-CH"/>
        </w:rPr>
        <w:t>’</w:t>
      </w:r>
      <w:r w:rsidRPr="00AE63B3">
        <w:rPr>
          <w:lang w:val="fr-CH"/>
        </w:rPr>
        <w:t>intermédiaire du Comité du</w:t>
      </w:r>
      <w:r w:rsidR="00703DA0" w:rsidRPr="00AE63B3">
        <w:rPr>
          <w:lang w:val="fr-CH"/>
        </w:rPr>
        <w:t xml:space="preserve"> programme et budget (PBC).</w:t>
      </w:r>
      <w:r w:rsidR="0039415E" w:rsidRPr="00AE63B3">
        <w:rPr>
          <w:lang w:val="fr-CH"/>
        </w:rPr>
        <w:t xml:space="preserve">  </w:t>
      </w:r>
      <w:r w:rsidR="00703DA0" w:rsidRPr="00AE63B3">
        <w:rPr>
          <w:lang w:val="fr-CH"/>
        </w:rPr>
        <w:t>Le rapport rend compte des activités de supervision interne menées au cours de la période allant du</w:t>
      </w:r>
      <w:r w:rsidR="00AE63B3">
        <w:rPr>
          <w:lang w:val="fr-CH"/>
        </w:rPr>
        <w:t xml:space="preserve"> 1</w:t>
      </w:r>
      <w:r w:rsidR="00AE63B3" w:rsidRPr="00AE63B3">
        <w:rPr>
          <w:vertAlign w:val="superscript"/>
          <w:lang w:val="fr-CH"/>
        </w:rPr>
        <w:t>er</w:t>
      </w:r>
      <w:r w:rsidR="00AE63B3">
        <w:rPr>
          <w:lang w:val="fr-CH"/>
        </w:rPr>
        <w:t> </w:t>
      </w:r>
      <w:r w:rsidR="00703DA0" w:rsidRPr="00AE63B3">
        <w:rPr>
          <w:lang w:val="fr-CH"/>
        </w:rPr>
        <w:t>juillet</w:t>
      </w:r>
      <w:r w:rsidR="00610666" w:rsidRPr="00AE63B3">
        <w:rPr>
          <w:lang w:val="fr-CH"/>
        </w:rPr>
        <w:t> </w:t>
      </w:r>
      <w:r w:rsidR="00703DA0" w:rsidRPr="00AE63B3">
        <w:rPr>
          <w:lang w:val="fr-CH"/>
        </w:rPr>
        <w:t>2019 au 31</w:t>
      </w:r>
      <w:r w:rsidR="00610666" w:rsidRPr="00AE63B3">
        <w:rPr>
          <w:lang w:val="fr-CH"/>
        </w:rPr>
        <w:t> </w:t>
      </w:r>
      <w:r w:rsidR="00703DA0" w:rsidRPr="00AE63B3">
        <w:rPr>
          <w:lang w:val="fr-CH"/>
        </w:rPr>
        <w:t>décembre</w:t>
      </w:r>
      <w:r w:rsidR="00610666" w:rsidRPr="00AE63B3">
        <w:rPr>
          <w:lang w:val="fr-CH"/>
        </w:rPr>
        <w:t> </w:t>
      </w:r>
      <w:r w:rsidR="00703DA0" w:rsidRPr="00AE63B3">
        <w:rPr>
          <w:lang w:val="fr-CH"/>
        </w:rPr>
        <w:t xml:space="preserve">2019, </w:t>
      </w:r>
      <w:r w:rsidR="00306EDC" w:rsidRPr="00AE63B3">
        <w:rPr>
          <w:lang w:val="fr-CH"/>
        </w:rPr>
        <w:t>puis</w:t>
      </w:r>
      <w:r w:rsidR="00703DA0" w:rsidRPr="00AE63B3">
        <w:rPr>
          <w:lang w:val="fr-CH"/>
        </w:rPr>
        <w:t>que la période couverte par le rapport annuel, précédemment comprise entre juillet et juin, a été modifiée conformément à la recommandation des vérificateurs externes des comptes et court désormais de janvier à décembre.</w:t>
      </w:r>
    </w:p>
    <w:p w14:paraId="49C96E32" w14:textId="77777777" w:rsidR="00C5485D" w:rsidRDefault="00703DA0" w:rsidP="006F594E">
      <w:pPr>
        <w:pStyle w:val="ONUMFS"/>
        <w:rPr>
          <w:lang w:val="fr-CH"/>
        </w:rPr>
      </w:pPr>
      <w:r w:rsidRPr="00E50178">
        <w:rPr>
          <w:lang w:val="fr-CH"/>
        </w:rPr>
        <w:t>Le paragraphe de décision ci</w:t>
      </w:r>
      <w:r w:rsidR="007379C2">
        <w:rPr>
          <w:lang w:val="fr-CH"/>
        </w:rPr>
        <w:noBreakHyphen/>
      </w:r>
      <w:r w:rsidRPr="00E50178">
        <w:rPr>
          <w:lang w:val="fr-CH"/>
        </w:rPr>
        <w:t>après est proposé.</w:t>
      </w:r>
    </w:p>
    <w:p w14:paraId="2C012381" w14:textId="77777777" w:rsidR="00C5485D" w:rsidRDefault="00703DA0" w:rsidP="006F594E">
      <w:pPr>
        <w:pStyle w:val="ONUMFS"/>
        <w:ind w:left="5533"/>
        <w:rPr>
          <w:i/>
          <w:lang w:val="fr-CH"/>
        </w:rPr>
      </w:pPr>
      <w:r w:rsidRPr="006F594E">
        <w:rPr>
          <w:i/>
          <w:lang w:val="fr-CH"/>
        </w:rPr>
        <w:t>Le Comité du programme et budget (PBC) a pris note du “Rapport annuel du directeur de la Division de la supervision interne (DSI)” (document WO/PBC/31/4).</w:t>
      </w:r>
    </w:p>
    <w:p w14:paraId="3C5F87F6" w14:textId="77777777" w:rsidR="00C5485D" w:rsidRDefault="00703DA0" w:rsidP="006F594E">
      <w:pPr>
        <w:pStyle w:val="Endofdocument-Annex"/>
        <w:rPr>
          <w:lang w:val="fr-CH"/>
        </w:rPr>
      </w:pPr>
      <w:r w:rsidRPr="00E50178">
        <w:rPr>
          <w:lang w:val="fr-CH"/>
        </w:rPr>
        <w:t>[Le rapport annuel du directeur de</w:t>
      </w:r>
      <w:r w:rsidR="006F594E">
        <w:rPr>
          <w:lang w:val="fr-CH"/>
        </w:rPr>
        <w:t> </w:t>
      </w:r>
      <w:r w:rsidR="00DE3BC1" w:rsidRPr="00E50178">
        <w:rPr>
          <w:lang w:val="fr-CH"/>
        </w:rPr>
        <w:t>la</w:t>
      </w:r>
      <w:r w:rsidR="00DE3BC1">
        <w:rPr>
          <w:lang w:val="fr-CH"/>
        </w:rPr>
        <w:t> </w:t>
      </w:r>
      <w:r w:rsidR="00DE3BC1" w:rsidRPr="00E50178">
        <w:rPr>
          <w:lang w:val="fr-CH"/>
        </w:rPr>
        <w:t>DSI</w:t>
      </w:r>
      <w:r w:rsidRPr="00E50178">
        <w:rPr>
          <w:lang w:val="fr-CH"/>
        </w:rPr>
        <w:t xml:space="preserve"> suit]</w:t>
      </w:r>
    </w:p>
    <w:p w14:paraId="37EFBD43" w14:textId="77777777" w:rsidR="00C5485D" w:rsidRDefault="00C5485D">
      <w:pPr>
        <w:rPr>
          <w:lang w:val="fr-CH"/>
        </w:rPr>
      </w:pPr>
    </w:p>
    <w:p w14:paraId="033C8577" w14:textId="77777777" w:rsidR="00C5485D" w:rsidRDefault="00C5485D">
      <w:pPr>
        <w:rPr>
          <w:lang w:val="fr-CH"/>
        </w:rPr>
      </w:pPr>
    </w:p>
    <w:p w14:paraId="00460136" w14:textId="77777777" w:rsidR="0039415E" w:rsidRPr="00E50178" w:rsidRDefault="0039415E" w:rsidP="006F594E">
      <w:pPr>
        <w:pStyle w:val="Endofdocument-Annex"/>
        <w:rPr>
          <w:lang w:val="fr-CH"/>
        </w:rPr>
        <w:sectPr w:rsidR="0039415E" w:rsidRPr="00E50178" w:rsidSect="00AE63B3">
          <w:headerReference w:type="default" r:id="rId10"/>
          <w:endnotePr>
            <w:numFmt w:val="decimal"/>
          </w:endnotePr>
          <w:pgSz w:w="11907" w:h="16840" w:code="9"/>
          <w:pgMar w:top="567" w:right="1134" w:bottom="1417" w:left="1417" w:header="510" w:footer="1020" w:gutter="0"/>
          <w:pgNumType w:start="1"/>
          <w:cols w:space="720"/>
          <w:titlePg/>
          <w:docGrid w:linePitch="299"/>
        </w:sectPr>
      </w:pPr>
    </w:p>
    <w:p w14:paraId="7197C141" w14:textId="77777777" w:rsidR="00C5485D" w:rsidRDefault="00703DA0" w:rsidP="004F64F3">
      <w:pPr>
        <w:spacing w:after="220"/>
        <w:jc w:val="center"/>
        <w:rPr>
          <w:b/>
          <w:lang w:val="fr-CH"/>
        </w:rPr>
      </w:pPr>
      <w:r w:rsidRPr="00E50178">
        <w:rPr>
          <w:b/>
          <w:lang w:val="fr-CH"/>
        </w:rPr>
        <w:lastRenderedPageBreak/>
        <w:t>RAPPORT ANNUEL DU DIRECTEUR DE LA DIVISION DE LA SUPERVISION INTERNE</w:t>
      </w:r>
    </w:p>
    <w:p w14:paraId="14A881AA" w14:textId="77777777" w:rsidR="00C5485D" w:rsidRDefault="00703DA0" w:rsidP="004F64F3">
      <w:pPr>
        <w:keepLines/>
        <w:spacing w:after="600"/>
        <w:jc w:val="center"/>
        <w:rPr>
          <w:lang w:val="fr-CH"/>
        </w:rPr>
      </w:pPr>
      <w:r w:rsidRPr="00E50178">
        <w:rPr>
          <w:lang w:val="fr-CH"/>
        </w:rPr>
        <w:t>du</w:t>
      </w:r>
      <w:r w:rsidR="00AE63B3">
        <w:rPr>
          <w:lang w:val="fr-CH"/>
        </w:rPr>
        <w:t xml:space="preserve"> 1</w:t>
      </w:r>
      <w:r w:rsidR="00AE63B3" w:rsidRPr="00AE63B3">
        <w:rPr>
          <w:vertAlign w:val="superscript"/>
          <w:lang w:val="fr-CH"/>
        </w:rPr>
        <w:t>er</w:t>
      </w:r>
      <w:r w:rsidR="00AE63B3">
        <w:rPr>
          <w:lang w:val="fr-CH"/>
        </w:rPr>
        <w:t> </w:t>
      </w:r>
      <w:r w:rsidRPr="00E50178">
        <w:rPr>
          <w:lang w:val="fr-CH"/>
        </w:rPr>
        <w:t>juillet</w:t>
      </w:r>
      <w:r w:rsidR="00610666" w:rsidRPr="00E50178">
        <w:rPr>
          <w:lang w:val="fr-CH"/>
        </w:rPr>
        <w:t> </w:t>
      </w:r>
      <w:r w:rsidRPr="00E50178">
        <w:rPr>
          <w:lang w:val="fr-CH"/>
        </w:rPr>
        <w:t>2019 au 31</w:t>
      </w:r>
      <w:r w:rsidR="00610666" w:rsidRPr="00E50178">
        <w:rPr>
          <w:lang w:val="fr-CH"/>
        </w:rPr>
        <w:t> </w:t>
      </w:r>
      <w:r w:rsidRPr="00E50178">
        <w:rPr>
          <w:lang w:val="fr-CH"/>
        </w:rPr>
        <w:t>décembre</w:t>
      </w:r>
      <w:r w:rsidR="00610666" w:rsidRPr="00E50178">
        <w:rPr>
          <w:lang w:val="fr-CH"/>
        </w:rPr>
        <w:t> </w:t>
      </w:r>
      <w:r w:rsidRPr="00E50178">
        <w:rPr>
          <w:lang w:val="fr-CH"/>
        </w:rPr>
        <w:t>2019</w:t>
      </w:r>
    </w:p>
    <w:p w14:paraId="1DEF8378" w14:textId="77777777" w:rsidR="00C5485D" w:rsidRDefault="00703DA0" w:rsidP="004F64F3">
      <w:pPr>
        <w:spacing w:after="220"/>
        <w:jc w:val="center"/>
        <w:rPr>
          <w:b/>
        </w:rPr>
      </w:pPr>
      <w:r w:rsidRPr="00E50178">
        <w:rPr>
          <w:b/>
        </w:rPr>
        <w:t>TABLE DES MATIÈRES</w:t>
      </w:r>
    </w:p>
    <w:p w14:paraId="155B70FD" w14:textId="5C58045D" w:rsidR="004F64F3" w:rsidRDefault="000626EE">
      <w:pPr>
        <w:pStyle w:val="TOC1"/>
        <w:rPr>
          <w:rFonts w:asciiTheme="minorHAnsi" w:eastAsiaTheme="minorEastAsia" w:hAnsiTheme="minorHAnsi" w:cstheme="minorBidi"/>
          <w:caps w:val="0"/>
          <w:szCs w:val="22"/>
          <w:lang w:eastAsia="fr-FR"/>
        </w:rPr>
      </w:pPr>
      <w:r>
        <w:fldChar w:fldCharType="begin"/>
      </w:r>
      <w:r>
        <w:instrText xml:space="preserve"> TOC \t "Heading 2;1" </w:instrText>
      </w:r>
      <w:r>
        <w:fldChar w:fldCharType="separate"/>
      </w:r>
      <w:r w:rsidR="004F64F3">
        <w:t>Liste des sigles utilisés</w:t>
      </w:r>
      <w:r w:rsidR="004F64F3">
        <w:tab/>
      </w:r>
      <w:r w:rsidR="004F64F3">
        <w:fldChar w:fldCharType="begin"/>
      </w:r>
      <w:r w:rsidR="004F64F3">
        <w:instrText xml:space="preserve"> PAGEREF _Toc44428396 \h </w:instrText>
      </w:r>
      <w:r w:rsidR="004F64F3">
        <w:fldChar w:fldCharType="separate"/>
      </w:r>
      <w:r w:rsidR="004F64F3">
        <w:t>3</w:t>
      </w:r>
      <w:r w:rsidR="004F64F3">
        <w:fldChar w:fldCharType="end"/>
      </w:r>
    </w:p>
    <w:p w14:paraId="700A612A" w14:textId="2E44AA3D" w:rsidR="004F64F3" w:rsidRDefault="004F64F3">
      <w:pPr>
        <w:pStyle w:val="TOC1"/>
        <w:rPr>
          <w:rFonts w:asciiTheme="minorHAnsi" w:eastAsiaTheme="minorEastAsia" w:hAnsiTheme="minorHAnsi" w:cstheme="minorBidi"/>
          <w:caps w:val="0"/>
          <w:szCs w:val="22"/>
          <w:lang w:eastAsia="fr-FR"/>
        </w:rPr>
      </w:pPr>
      <w:r>
        <w:t>Rappel</w:t>
      </w:r>
      <w:r>
        <w:tab/>
      </w:r>
      <w:r>
        <w:fldChar w:fldCharType="begin"/>
      </w:r>
      <w:r>
        <w:instrText xml:space="preserve"> PAGEREF _Toc44428397 \h </w:instrText>
      </w:r>
      <w:r>
        <w:fldChar w:fldCharType="separate"/>
      </w:r>
      <w:r>
        <w:t>4</w:t>
      </w:r>
      <w:r>
        <w:fldChar w:fldCharType="end"/>
      </w:r>
    </w:p>
    <w:p w14:paraId="593E7E7E" w14:textId="08F76D7F" w:rsidR="004F64F3" w:rsidRDefault="004F64F3">
      <w:pPr>
        <w:pStyle w:val="TOC1"/>
        <w:rPr>
          <w:rFonts w:asciiTheme="minorHAnsi" w:eastAsiaTheme="minorEastAsia" w:hAnsiTheme="minorHAnsi" w:cstheme="minorBidi"/>
          <w:caps w:val="0"/>
          <w:szCs w:val="22"/>
          <w:lang w:eastAsia="fr-FR"/>
        </w:rPr>
      </w:pPr>
      <w:r>
        <w:t>Faits marquants survenus durant la période considérée</w:t>
      </w:r>
      <w:r>
        <w:tab/>
      </w:r>
      <w:r>
        <w:fldChar w:fldCharType="begin"/>
      </w:r>
      <w:r>
        <w:instrText xml:space="preserve"> PAGEREF _Toc44428398 \h </w:instrText>
      </w:r>
      <w:r>
        <w:fldChar w:fldCharType="separate"/>
      </w:r>
      <w:r>
        <w:t>4</w:t>
      </w:r>
      <w:r>
        <w:fldChar w:fldCharType="end"/>
      </w:r>
    </w:p>
    <w:p w14:paraId="4D8799E4" w14:textId="5F5CFB39" w:rsidR="004F64F3" w:rsidRDefault="004F64F3">
      <w:pPr>
        <w:pStyle w:val="TOC1"/>
        <w:rPr>
          <w:rFonts w:asciiTheme="minorHAnsi" w:eastAsiaTheme="minorEastAsia" w:hAnsiTheme="minorHAnsi" w:cstheme="minorBidi"/>
          <w:caps w:val="0"/>
          <w:szCs w:val="22"/>
          <w:lang w:eastAsia="fr-FR"/>
        </w:rPr>
      </w:pPr>
      <w:r>
        <w:t>Principes de planification</w:t>
      </w:r>
      <w:r>
        <w:tab/>
      </w:r>
      <w:r>
        <w:fldChar w:fldCharType="begin"/>
      </w:r>
      <w:r>
        <w:instrText xml:space="preserve"> PAGEREF _Toc44428399 \h </w:instrText>
      </w:r>
      <w:r>
        <w:fldChar w:fldCharType="separate"/>
      </w:r>
      <w:r>
        <w:t>5</w:t>
      </w:r>
      <w:r>
        <w:fldChar w:fldCharType="end"/>
      </w:r>
    </w:p>
    <w:p w14:paraId="66278BCE" w14:textId="067E1328" w:rsidR="004F64F3" w:rsidRDefault="004F64F3">
      <w:pPr>
        <w:pStyle w:val="TOC1"/>
        <w:rPr>
          <w:rFonts w:asciiTheme="minorHAnsi" w:eastAsiaTheme="minorEastAsia" w:hAnsiTheme="minorHAnsi" w:cstheme="minorBidi"/>
          <w:caps w:val="0"/>
          <w:szCs w:val="22"/>
          <w:lang w:eastAsia="fr-FR"/>
        </w:rPr>
      </w:pPr>
      <w:r>
        <w:t>Normes professionnelles</w:t>
      </w:r>
      <w:r>
        <w:tab/>
      </w:r>
      <w:r>
        <w:fldChar w:fldCharType="begin"/>
      </w:r>
      <w:r>
        <w:instrText xml:space="preserve"> PAGEREF _Toc44428400 \h </w:instrText>
      </w:r>
      <w:r>
        <w:fldChar w:fldCharType="separate"/>
      </w:r>
      <w:r>
        <w:t>6</w:t>
      </w:r>
      <w:r>
        <w:fldChar w:fldCharType="end"/>
      </w:r>
    </w:p>
    <w:p w14:paraId="162B3EB9" w14:textId="063DB505" w:rsidR="004F64F3" w:rsidRDefault="004F64F3">
      <w:pPr>
        <w:pStyle w:val="TOC1"/>
        <w:rPr>
          <w:rFonts w:asciiTheme="minorHAnsi" w:eastAsiaTheme="minorEastAsia" w:hAnsiTheme="minorHAnsi" w:cstheme="minorBidi"/>
          <w:caps w:val="0"/>
          <w:szCs w:val="22"/>
          <w:lang w:eastAsia="fr-FR"/>
        </w:rPr>
      </w:pPr>
      <w:r>
        <w:t>Prise en considération des questions d’égalité entre les sexes</w:t>
      </w:r>
      <w:r>
        <w:tab/>
      </w:r>
      <w:r>
        <w:fldChar w:fldCharType="begin"/>
      </w:r>
      <w:r>
        <w:instrText xml:space="preserve"> PAGEREF _Toc44428401 \h </w:instrText>
      </w:r>
      <w:r>
        <w:fldChar w:fldCharType="separate"/>
      </w:r>
      <w:r>
        <w:t>6</w:t>
      </w:r>
      <w:r>
        <w:fldChar w:fldCharType="end"/>
      </w:r>
    </w:p>
    <w:p w14:paraId="1411ED5E" w14:textId="205C0788" w:rsidR="004F64F3" w:rsidRDefault="004F64F3">
      <w:pPr>
        <w:pStyle w:val="TOC1"/>
        <w:rPr>
          <w:rFonts w:asciiTheme="minorHAnsi" w:eastAsiaTheme="minorEastAsia" w:hAnsiTheme="minorHAnsi" w:cstheme="minorBidi"/>
          <w:caps w:val="0"/>
          <w:szCs w:val="22"/>
          <w:lang w:eastAsia="fr-FR"/>
        </w:rPr>
      </w:pPr>
      <w:r>
        <w:t>Principales conclusions et recommandations de supervision jugées prioritaires</w:t>
      </w:r>
      <w:r>
        <w:tab/>
      </w:r>
      <w:r>
        <w:fldChar w:fldCharType="begin"/>
      </w:r>
      <w:r>
        <w:instrText xml:space="preserve"> PAGEREF _Toc44428402 \h </w:instrText>
      </w:r>
      <w:r>
        <w:fldChar w:fldCharType="separate"/>
      </w:r>
      <w:r>
        <w:t>6</w:t>
      </w:r>
      <w:r>
        <w:fldChar w:fldCharType="end"/>
      </w:r>
    </w:p>
    <w:p w14:paraId="0ECBDE6E" w14:textId="0E6DE5E7" w:rsidR="004F64F3" w:rsidRDefault="004F64F3">
      <w:pPr>
        <w:pStyle w:val="TOC1"/>
        <w:rPr>
          <w:rFonts w:asciiTheme="minorHAnsi" w:eastAsiaTheme="minorEastAsia" w:hAnsiTheme="minorHAnsi" w:cstheme="minorBidi"/>
          <w:caps w:val="0"/>
          <w:szCs w:val="22"/>
          <w:lang w:eastAsia="fr-FR"/>
        </w:rPr>
      </w:pPr>
      <w:r>
        <w:t>Activités d’enquête</w:t>
      </w:r>
      <w:r>
        <w:tab/>
      </w:r>
      <w:r>
        <w:fldChar w:fldCharType="begin"/>
      </w:r>
      <w:r>
        <w:instrText xml:space="preserve"> PAGEREF _Toc44428403 \h </w:instrText>
      </w:r>
      <w:r>
        <w:fldChar w:fldCharType="separate"/>
      </w:r>
      <w:r>
        <w:t>12</w:t>
      </w:r>
      <w:r>
        <w:fldChar w:fldCharType="end"/>
      </w:r>
    </w:p>
    <w:p w14:paraId="3E20ED0A" w14:textId="2E6F7CD6" w:rsidR="004F64F3" w:rsidRDefault="004F64F3">
      <w:pPr>
        <w:pStyle w:val="TOC1"/>
        <w:rPr>
          <w:rFonts w:asciiTheme="minorHAnsi" w:eastAsiaTheme="minorEastAsia" w:hAnsiTheme="minorHAnsi" w:cstheme="minorBidi"/>
          <w:caps w:val="0"/>
          <w:szCs w:val="22"/>
          <w:lang w:eastAsia="fr-FR"/>
        </w:rPr>
      </w:pPr>
      <w:r>
        <w:t>Cas dans lesquels des demandes d’information ou d’assistance ont été rejetées</w:t>
      </w:r>
      <w:r>
        <w:tab/>
      </w:r>
      <w:r>
        <w:fldChar w:fldCharType="begin"/>
      </w:r>
      <w:r>
        <w:instrText xml:space="preserve"> PAGEREF _Toc44428404 \h </w:instrText>
      </w:r>
      <w:r>
        <w:fldChar w:fldCharType="separate"/>
      </w:r>
      <w:r>
        <w:t>15</w:t>
      </w:r>
      <w:r>
        <w:fldChar w:fldCharType="end"/>
      </w:r>
    </w:p>
    <w:p w14:paraId="103272A0" w14:textId="528D0115" w:rsidR="004F64F3" w:rsidRDefault="004F64F3">
      <w:pPr>
        <w:pStyle w:val="TOC1"/>
        <w:rPr>
          <w:rFonts w:asciiTheme="minorHAnsi" w:eastAsiaTheme="minorEastAsia" w:hAnsiTheme="minorHAnsi" w:cstheme="minorBidi"/>
          <w:caps w:val="0"/>
          <w:szCs w:val="22"/>
          <w:lang w:eastAsia="fr-FR"/>
        </w:rPr>
      </w:pPr>
      <w:r>
        <w:t>État d’avancement de la mise en œuvre des recommandations en matière de supervision</w:t>
      </w:r>
      <w:r>
        <w:tab/>
      </w:r>
      <w:r>
        <w:fldChar w:fldCharType="begin"/>
      </w:r>
      <w:r>
        <w:instrText xml:space="preserve"> PAGEREF _Toc44428405 \h </w:instrText>
      </w:r>
      <w:r>
        <w:fldChar w:fldCharType="separate"/>
      </w:r>
      <w:r>
        <w:t>15</w:t>
      </w:r>
      <w:r>
        <w:fldChar w:fldCharType="end"/>
      </w:r>
    </w:p>
    <w:p w14:paraId="7A641D5E" w14:textId="62440E37" w:rsidR="004F64F3" w:rsidRDefault="004F64F3">
      <w:pPr>
        <w:pStyle w:val="TOC1"/>
        <w:rPr>
          <w:rFonts w:asciiTheme="minorHAnsi" w:eastAsiaTheme="minorEastAsia" w:hAnsiTheme="minorHAnsi" w:cstheme="minorBidi"/>
          <w:caps w:val="0"/>
          <w:szCs w:val="22"/>
          <w:lang w:eastAsia="fr-FR"/>
        </w:rPr>
      </w:pPr>
      <w:r>
        <w:t>Activités consultatives et de conseil en matière de supervision</w:t>
      </w:r>
      <w:r>
        <w:tab/>
      </w:r>
      <w:r>
        <w:fldChar w:fldCharType="begin"/>
      </w:r>
      <w:r>
        <w:instrText xml:space="preserve"> PAGEREF _Toc44428406 \h </w:instrText>
      </w:r>
      <w:r>
        <w:fldChar w:fldCharType="separate"/>
      </w:r>
      <w:r>
        <w:t>18</w:t>
      </w:r>
      <w:r>
        <w:fldChar w:fldCharType="end"/>
      </w:r>
    </w:p>
    <w:p w14:paraId="6DC796A8" w14:textId="1D65313E" w:rsidR="004F64F3" w:rsidRDefault="004F64F3">
      <w:pPr>
        <w:pStyle w:val="TOC1"/>
        <w:rPr>
          <w:rFonts w:asciiTheme="minorHAnsi" w:eastAsiaTheme="minorEastAsia" w:hAnsiTheme="minorHAnsi" w:cstheme="minorBidi"/>
          <w:caps w:val="0"/>
          <w:szCs w:val="22"/>
          <w:lang w:eastAsia="fr-FR"/>
        </w:rPr>
      </w:pPr>
      <w:r>
        <w:t>Coordination avec les organismes de supervision externes</w:t>
      </w:r>
      <w:r>
        <w:tab/>
      </w:r>
      <w:r>
        <w:fldChar w:fldCharType="begin"/>
      </w:r>
      <w:r>
        <w:instrText xml:space="preserve"> PAGEREF _Toc44428407 \h </w:instrText>
      </w:r>
      <w:r>
        <w:fldChar w:fldCharType="separate"/>
      </w:r>
      <w:r>
        <w:t>19</w:t>
      </w:r>
      <w:r>
        <w:fldChar w:fldCharType="end"/>
      </w:r>
    </w:p>
    <w:p w14:paraId="1CEBA072" w14:textId="17650713" w:rsidR="004F64F3" w:rsidRDefault="004F64F3">
      <w:pPr>
        <w:pStyle w:val="TOC1"/>
        <w:rPr>
          <w:rFonts w:asciiTheme="minorHAnsi" w:eastAsiaTheme="minorEastAsia" w:hAnsiTheme="minorHAnsi" w:cstheme="minorBidi"/>
          <w:caps w:val="0"/>
          <w:szCs w:val="22"/>
          <w:lang w:eastAsia="fr-FR"/>
        </w:rPr>
      </w:pPr>
      <w:r>
        <w:t>Autres activités de supervision</w:t>
      </w:r>
      <w:r>
        <w:tab/>
      </w:r>
      <w:r>
        <w:fldChar w:fldCharType="begin"/>
      </w:r>
      <w:r>
        <w:instrText xml:space="preserve"> PAGEREF _Toc44428408 \h </w:instrText>
      </w:r>
      <w:r>
        <w:fldChar w:fldCharType="separate"/>
      </w:r>
      <w:r>
        <w:t>19</w:t>
      </w:r>
      <w:r>
        <w:fldChar w:fldCharType="end"/>
      </w:r>
    </w:p>
    <w:p w14:paraId="1677012B" w14:textId="1EC84BF0" w:rsidR="004F64F3" w:rsidRDefault="004F64F3">
      <w:pPr>
        <w:pStyle w:val="TOC1"/>
        <w:rPr>
          <w:rFonts w:asciiTheme="minorHAnsi" w:eastAsiaTheme="minorEastAsia" w:hAnsiTheme="minorHAnsi" w:cstheme="minorBidi"/>
          <w:caps w:val="0"/>
          <w:szCs w:val="22"/>
          <w:lang w:eastAsia="fr-FR"/>
        </w:rPr>
      </w:pPr>
      <w:r>
        <w:t>Indépendance des activités de la DSI</w:t>
      </w:r>
      <w:r>
        <w:tab/>
      </w:r>
      <w:r>
        <w:fldChar w:fldCharType="begin"/>
      </w:r>
      <w:r>
        <w:instrText xml:space="preserve"> PAGEREF _Toc44428409 \h </w:instrText>
      </w:r>
      <w:r>
        <w:fldChar w:fldCharType="separate"/>
      </w:r>
      <w:r>
        <w:t>20</w:t>
      </w:r>
      <w:r>
        <w:fldChar w:fldCharType="end"/>
      </w:r>
    </w:p>
    <w:p w14:paraId="6E749A99" w14:textId="071A8E8F" w:rsidR="004F64F3" w:rsidRDefault="004F64F3">
      <w:pPr>
        <w:pStyle w:val="TOC1"/>
        <w:rPr>
          <w:rFonts w:asciiTheme="minorHAnsi" w:eastAsiaTheme="minorEastAsia" w:hAnsiTheme="minorHAnsi" w:cstheme="minorBidi"/>
          <w:caps w:val="0"/>
          <w:szCs w:val="22"/>
          <w:lang w:eastAsia="fr-FR"/>
        </w:rPr>
      </w:pPr>
      <w:r>
        <w:t>Ressources en matière de supervision</w:t>
      </w:r>
      <w:r>
        <w:tab/>
      </w:r>
      <w:r>
        <w:fldChar w:fldCharType="begin"/>
      </w:r>
      <w:r>
        <w:instrText xml:space="preserve"> PAGEREF _Toc44428410 \h </w:instrText>
      </w:r>
      <w:r>
        <w:fldChar w:fldCharType="separate"/>
      </w:r>
      <w:r>
        <w:t>20</w:t>
      </w:r>
      <w:r>
        <w:fldChar w:fldCharType="end"/>
      </w:r>
    </w:p>
    <w:p w14:paraId="0F590FB4" w14:textId="371EA23B" w:rsidR="00C5485D" w:rsidRDefault="000626EE" w:rsidP="00703DA0">
      <w:pPr>
        <w:keepLines/>
        <w:tabs>
          <w:tab w:val="left" w:leader="dot" w:pos="8910"/>
        </w:tabs>
        <w:spacing w:before="240" w:after="120" w:line="360" w:lineRule="auto"/>
        <w:rPr>
          <w:b/>
          <w:noProof/>
          <w:lang w:val="fr-CH"/>
        </w:rPr>
      </w:pPr>
      <w:r>
        <w:rPr>
          <w:caps/>
          <w:noProof/>
        </w:rPr>
        <w:fldChar w:fldCharType="end"/>
      </w:r>
      <w:r w:rsidR="00703DA0" w:rsidRPr="00E50178">
        <w:rPr>
          <w:b/>
          <w:noProof/>
          <w:lang w:val="fr-CH"/>
        </w:rPr>
        <w:t>ANNEXE</w:t>
      </w:r>
    </w:p>
    <w:p w14:paraId="58508E24" w14:textId="617BD650" w:rsidR="00C5485D" w:rsidRDefault="00703DA0" w:rsidP="00703DA0">
      <w:pPr>
        <w:keepLines/>
        <w:tabs>
          <w:tab w:val="left" w:pos="1134"/>
          <w:tab w:val="left" w:pos="1560"/>
        </w:tabs>
        <w:rPr>
          <w:noProof/>
          <w:lang w:val="fr-CH"/>
        </w:rPr>
      </w:pPr>
      <w:r w:rsidRPr="00E50178">
        <w:rPr>
          <w:noProof/>
          <w:lang w:val="fr-CH"/>
        </w:rPr>
        <w:t>ANNEXE – Liste des rapports établis par</w:t>
      </w:r>
      <w:r w:rsidR="00DE3BC1" w:rsidRPr="00E50178">
        <w:rPr>
          <w:noProof/>
          <w:lang w:val="fr-CH"/>
        </w:rPr>
        <w:t xml:space="preserve"> la</w:t>
      </w:r>
      <w:r w:rsidR="00DE3BC1">
        <w:rPr>
          <w:noProof/>
          <w:lang w:val="fr-CH"/>
        </w:rPr>
        <w:t> </w:t>
      </w:r>
      <w:r w:rsidR="00DE3BC1" w:rsidRPr="00E50178">
        <w:rPr>
          <w:noProof/>
          <w:lang w:val="fr-CH"/>
        </w:rPr>
        <w:t>DSI</w:t>
      </w:r>
    </w:p>
    <w:p w14:paraId="69BADA4A" w14:textId="77777777" w:rsidR="00C5485D" w:rsidRDefault="00C46B12" w:rsidP="00C46B12">
      <w:pPr>
        <w:rPr>
          <w:b/>
          <w:bCs/>
          <w:caps/>
          <w:kern w:val="32"/>
          <w:szCs w:val="32"/>
          <w:lang w:val="fr-CH"/>
        </w:rPr>
      </w:pPr>
      <w:r w:rsidRPr="00E50178">
        <w:rPr>
          <w:lang w:val="fr-CH"/>
        </w:rPr>
        <w:br w:type="page"/>
      </w:r>
    </w:p>
    <w:p w14:paraId="106F7BDC" w14:textId="36D5F83B" w:rsidR="00C46B12" w:rsidRDefault="00191710" w:rsidP="00191710">
      <w:pPr>
        <w:pStyle w:val="Heading2"/>
      </w:pPr>
      <w:bookmarkStart w:id="4" w:name="_Toc44428396"/>
      <w:r w:rsidRPr="00191710">
        <w:lastRenderedPageBreak/>
        <w:t>Liste des sigles utilisés</w:t>
      </w:r>
      <w:bookmarkEnd w:id="4"/>
    </w:p>
    <w:tbl>
      <w:tblPr>
        <w:tblStyle w:val="TableGridLight"/>
        <w:tblW w:w="0" w:type="auto"/>
        <w:tblLook w:val="01E0" w:firstRow="1" w:lastRow="1" w:firstColumn="1" w:lastColumn="1" w:noHBand="0" w:noVBand="0"/>
        <w:tblCaption w:val="Liste des sigles utilisés"/>
        <w:tblDescription w:val="Liste des sigles utilisés dans le document"/>
      </w:tblPr>
      <w:tblGrid>
        <w:gridCol w:w="1701"/>
        <w:gridCol w:w="7230"/>
      </w:tblGrid>
      <w:tr w:rsidR="00A52ADF" w:rsidRPr="00DF27E3" w14:paraId="3DCFA1FD" w14:textId="77777777" w:rsidTr="008B0F21">
        <w:trPr>
          <w:trHeight w:val="340"/>
          <w:tblHeader/>
        </w:trPr>
        <w:tc>
          <w:tcPr>
            <w:tcW w:w="1701" w:type="dxa"/>
          </w:tcPr>
          <w:p w14:paraId="3FCF026E" w14:textId="77777777" w:rsidR="00A52ADF" w:rsidRPr="00913CE2" w:rsidRDefault="00A52ADF" w:rsidP="008B0F21">
            <w:pPr>
              <w:tabs>
                <w:tab w:val="right" w:pos="6880"/>
              </w:tabs>
              <w:ind w:left="43"/>
              <w:rPr>
                <w:b/>
              </w:rPr>
            </w:pPr>
            <w:r>
              <w:rPr>
                <w:b/>
              </w:rPr>
              <w:t>ABC</w:t>
            </w:r>
          </w:p>
        </w:tc>
        <w:tc>
          <w:tcPr>
            <w:tcW w:w="7230" w:type="dxa"/>
          </w:tcPr>
          <w:p w14:paraId="039D1F8A" w14:textId="240DAC28" w:rsidR="00A52ADF" w:rsidRPr="00A52ADF" w:rsidRDefault="00A52ADF" w:rsidP="008B0F21">
            <w:pPr>
              <w:spacing w:after="220"/>
              <w:ind w:left="1701" w:hanging="1701"/>
              <w:rPr>
                <w:szCs w:val="22"/>
                <w:lang w:val="fr-CH"/>
              </w:rPr>
            </w:pPr>
            <w:r w:rsidRPr="004534F3">
              <w:rPr>
                <w:szCs w:val="22"/>
                <w:lang w:val="fr-CH"/>
              </w:rPr>
              <w:t>Consortium pour des livres accessibles</w:t>
            </w:r>
          </w:p>
        </w:tc>
      </w:tr>
      <w:tr w:rsidR="00A52ADF" w:rsidRPr="00DF27E3" w14:paraId="4CFA5B8D" w14:textId="77777777" w:rsidTr="008B0F21">
        <w:trPr>
          <w:trHeight w:val="340"/>
        </w:trPr>
        <w:tc>
          <w:tcPr>
            <w:tcW w:w="1701" w:type="dxa"/>
          </w:tcPr>
          <w:p w14:paraId="61862ADE" w14:textId="3FE3DC86" w:rsidR="00A52ADF" w:rsidRPr="00913CE2" w:rsidRDefault="00A52ADF" w:rsidP="008B0F21">
            <w:pPr>
              <w:tabs>
                <w:tab w:val="right" w:pos="6880"/>
              </w:tabs>
              <w:ind w:left="43"/>
              <w:rPr>
                <w:b/>
              </w:rPr>
            </w:pPr>
            <w:r>
              <w:rPr>
                <w:b/>
                <w:szCs w:val="22"/>
              </w:rPr>
              <w:t>CATI</w:t>
            </w:r>
          </w:p>
        </w:tc>
        <w:tc>
          <w:tcPr>
            <w:tcW w:w="7230" w:type="dxa"/>
          </w:tcPr>
          <w:p w14:paraId="73277D2F" w14:textId="00EBC1ED" w:rsidR="00A52ADF" w:rsidRPr="00A52ADF" w:rsidRDefault="00A52ADF" w:rsidP="008B0F21">
            <w:pPr>
              <w:spacing w:after="220"/>
              <w:ind w:left="1701" w:hanging="1701"/>
              <w:rPr>
                <w:lang w:val="fr-CH"/>
              </w:rPr>
            </w:pPr>
            <w:r>
              <w:rPr>
                <w:szCs w:val="22"/>
                <w:lang w:val="fr-CH"/>
              </w:rPr>
              <w:t>C</w:t>
            </w:r>
            <w:r w:rsidRPr="004534F3">
              <w:rPr>
                <w:szCs w:val="22"/>
                <w:lang w:val="fr-CH"/>
              </w:rPr>
              <w:t>entres d</w:t>
            </w:r>
            <w:r>
              <w:rPr>
                <w:szCs w:val="22"/>
                <w:lang w:val="fr-CH"/>
              </w:rPr>
              <w:t>’</w:t>
            </w:r>
            <w:r w:rsidRPr="004534F3">
              <w:rPr>
                <w:szCs w:val="22"/>
                <w:lang w:val="fr-CH"/>
              </w:rPr>
              <w:t>appui à la technologie et à l</w:t>
            </w:r>
            <w:r>
              <w:rPr>
                <w:szCs w:val="22"/>
                <w:lang w:val="fr-CH"/>
              </w:rPr>
              <w:t>’</w:t>
            </w:r>
            <w:r w:rsidRPr="004534F3">
              <w:rPr>
                <w:szCs w:val="22"/>
                <w:lang w:val="fr-CH"/>
              </w:rPr>
              <w:t>innovation</w:t>
            </w:r>
          </w:p>
        </w:tc>
      </w:tr>
      <w:tr w:rsidR="004A782D" w:rsidRPr="00DF27E3" w14:paraId="5FE3B925" w14:textId="77777777" w:rsidTr="008B0F21">
        <w:trPr>
          <w:trHeight w:val="340"/>
        </w:trPr>
        <w:tc>
          <w:tcPr>
            <w:tcW w:w="1701" w:type="dxa"/>
          </w:tcPr>
          <w:p w14:paraId="095115BC" w14:textId="30BE3119" w:rsidR="004A782D" w:rsidRDefault="004A782D" w:rsidP="008B0F21">
            <w:pPr>
              <w:tabs>
                <w:tab w:val="right" w:pos="6880"/>
              </w:tabs>
              <w:ind w:left="43"/>
              <w:rPr>
                <w:b/>
                <w:szCs w:val="22"/>
              </w:rPr>
            </w:pPr>
            <w:r>
              <w:rPr>
                <w:b/>
                <w:szCs w:val="22"/>
              </w:rPr>
              <w:t>CCI</w:t>
            </w:r>
          </w:p>
        </w:tc>
        <w:tc>
          <w:tcPr>
            <w:tcW w:w="7230" w:type="dxa"/>
          </w:tcPr>
          <w:p w14:paraId="06BB70D1" w14:textId="1B994175" w:rsidR="004A782D" w:rsidRPr="004A782D" w:rsidRDefault="004A782D" w:rsidP="008B0F21">
            <w:pPr>
              <w:spacing w:after="220"/>
              <w:ind w:left="1701" w:hanging="1701"/>
              <w:rPr>
                <w:szCs w:val="22"/>
              </w:rPr>
            </w:pPr>
            <w:r w:rsidRPr="00E50178">
              <w:rPr>
                <w:szCs w:val="22"/>
              </w:rPr>
              <w:t>Corps commun d</w:t>
            </w:r>
            <w:r>
              <w:rPr>
                <w:szCs w:val="22"/>
              </w:rPr>
              <w:t>’inspection</w:t>
            </w:r>
          </w:p>
        </w:tc>
      </w:tr>
      <w:tr w:rsidR="00A52ADF" w:rsidRPr="00A52ADF" w14:paraId="5BC79441" w14:textId="77777777" w:rsidTr="008B0F21">
        <w:trPr>
          <w:trHeight w:val="340"/>
        </w:trPr>
        <w:tc>
          <w:tcPr>
            <w:tcW w:w="1701" w:type="dxa"/>
          </w:tcPr>
          <w:p w14:paraId="2FBD77C3" w14:textId="77777777" w:rsidR="00A52ADF" w:rsidRPr="00913CE2" w:rsidRDefault="00A52ADF" w:rsidP="008B0F21">
            <w:pPr>
              <w:tabs>
                <w:tab w:val="right" w:pos="6880"/>
              </w:tabs>
              <w:ind w:left="43"/>
              <w:rPr>
                <w:b/>
                <w:szCs w:val="22"/>
              </w:rPr>
            </w:pPr>
            <w:r>
              <w:rPr>
                <w:b/>
                <w:szCs w:val="22"/>
              </w:rPr>
              <w:t>CDIP</w:t>
            </w:r>
          </w:p>
        </w:tc>
        <w:tc>
          <w:tcPr>
            <w:tcW w:w="7230" w:type="dxa"/>
          </w:tcPr>
          <w:p w14:paraId="12A840B8" w14:textId="0221BF73" w:rsidR="00A52ADF" w:rsidRPr="00A52ADF" w:rsidRDefault="00A52ADF" w:rsidP="008B0F21">
            <w:pPr>
              <w:tabs>
                <w:tab w:val="right" w:pos="6880"/>
              </w:tabs>
              <w:ind w:left="43"/>
              <w:rPr>
                <w:szCs w:val="22"/>
                <w:lang w:val="fr-CH"/>
              </w:rPr>
            </w:pPr>
            <w:r w:rsidRPr="00E50178">
              <w:rPr>
                <w:szCs w:val="22"/>
                <w:lang w:val="fr-CH"/>
              </w:rPr>
              <w:t>Comité du développement et de la propriété intellectuelle</w:t>
            </w:r>
          </w:p>
        </w:tc>
      </w:tr>
      <w:tr w:rsidR="00A52ADF" w:rsidRPr="00DF27E3" w14:paraId="3F946600" w14:textId="77777777" w:rsidTr="008B0F21">
        <w:trPr>
          <w:trHeight w:val="340"/>
        </w:trPr>
        <w:tc>
          <w:tcPr>
            <w:tcW w:w="1701" w:type="dxa"/>
          </w:tcPr>
          <w:p w14:paraId="085E2686" w14:textId="66C931B7" w:rsidR="00A52ADF" w:rsidRDefault="00A52ADF" w:rsidP="008B0F21">
            <w:pPr>
              <w:tabs>
                <w:tab w:val="right" w:pos="6880"/>
              </w:tabs>
              <w:ind w:left="43"/>
              <w:rPr>
                <w:b/>
                <w:szCs w:val="22"/>
              </w:rPr>
            </w:pPr>
            <w:r w:rsidRPr="00E50178">
              <w:rPr>
                <w:b/>
                <w:szCs w:val="22"/>
              </w:rPr>
              <w:t>DGRH</w:t>
            </w:r>
          </w:p>
        </w:tc>
        <w:tc>
          <w:tcPr>
            <w:tcW w:w="7230" w:type="dxa"/>
          </w:tcPr>
          <w:p w14:paraId="1EF8885F" w14:textId="6FE740EA" w:rsidR="00A52ADF" w:rsidRPr="00A52ADF" w:rsidRDefault="00A52ADF" w:rsidP="008B0F21">
            <w:pPr>
              <w:spacing w:after="220"/>
              <w:ind w:left="1701" w:hanging="1701"/>
              <w:rPr>
                <w:szCs w:val="22"/>
                <w:lang w:val="fr-CH"/>
              </w:rPr>
            </w:pPr>
            <w:r w:rsidRPr="00E50178">
              <w:rPr>
                <w:szCs w:val="22"/>
                <w:lang w:val="fr-CH"/>
              </w:rPr>
              <w:t>Département de la gestion des ressources humaines</w:t>
            </w:r>
          </w:p>
        </w:tc>
      </w:tr>
      <w:tr w:rsidR="004A782D" w:rsidRPr="00DF27E3" w14:paraId="629487C5" w14:textId="77777777" w:rsidTr="008B0F21">
        <w:trPr>
          <w:trHeight w:val="340"/>
        </w:trPr>
        <w:tc>
          <w:tcPr>
            <w:tcW w:w="1701" w:type="dxa"/>
          </w:tcPr>
          <w:p w14:paraId="50D86CE8" w14:textId="3D5958A4" w:rsidR="004A782D" w:rsidRPr="00E50178" w:rsidRDefault="004A782D" w:rsidP="008B0F21">
            <w:pPr>
              <w:tabs>
                <w:tab w:val="right" w:pos="6880"/>
              </w:tabs>
              <w:ind w:left="43"/>
              <w:rPr>
                <w:b/>
                <w:szCs w:val="22"/>
              </w:rPr>
            </w:pPr>
            <w:r>
              <w:rPr>
                <w:b/>
                <w:szCs w:val="22"/>
              </w:rPr>
              <w:t>DSI</w:t>
            </w:r>
          </w:p>
        </w:tc>
        <w:tc>
          <w:tcPr>
            <w:tcW w:w="7230" w:type="dxa"/>
          </w:tcPr>
          <w:p w14:paraId="19D6DACC" w14:textId="7712442A" w:rsidR="004A782D" w:rsidRPr="00E50178" w:rsidRDefault="004A782D" w:rsidP="008B0F21">
            <w:pPr>
              <w:spacing w:after="220"/>
              <w:ind w:left="1701" w:hanging="1701"/>
              <w:rPr>
                <w:szCs w:val="22"/>
                <w:lang w:val="fr-CH"/>
              </w:rPr>
            </w:pPr>
            <w:r w:rsidRPr="00E50178">
              <w:rPr>
                <w:lang w:val="fr-CH"/>
              </w:rPr>
              <w:t>Division de la supervision interne</w:t>
            </w:r>
          </w:p>
        </w:tc>
      </w:tr>
      <w:tr w:rsidR="004A782D" w:rsidRPr="00DF27E3" w14:paraId="5F2876DF" w14:textId="77777777" w:rsidTr="008B0F21">
        <w:trPr>
          <w:trHeight w:val="340"/>
        </w:trPr>
        <w:tc>
          <w:tcPr>
            <w:tcW w:w="1701" w:type="dxa"/>
          </w:tcPr>
          <w:p w14:paraId="02E3A8EF" w14:textId="0EF6316F" w:rsidR="004A782D" w:rsidRPr="00E50178" w:rsidRDefault="004A782D" w:rsidP="008B0F21">
            <w:pPr>
              <w:tabs>
                <w:tab w:val="right" w:pos="6880"/>
              </w:tabs>
              <w:ind w:left="43"/>
              <w:rPr>
                <w:b/>
                <w:szCs w:val="22"/>
              </w:rPr>
            </w:pPr>
            <w:r>
              <w:rPr>
                <w:b/>
              </w:rPr>
              <w:t>ECM</w:t>
            </w:r>
          </w:p>
        </w:tc>
        <w:tc>
          <w:tcPr>
            <w:tcW w:w="7230" w:type="dxa"/>
          </w:tcPr>
          <w:p w14:paraId="72D48CBF" w14:textId="2F0EAA37" w:rsidR="004A782D" w:rsidRPr="00E50178" w:rsidRDefault="004A782D" w:rsidP="008B0F21">
            <w:pPr>
              <w:spacing w:after="220"/>
              <w:ind w:left="1701" w:hanging="1701"/>
              <w:rPr>
                <w:szCs w:val="22"/>
                <w:lang w:val="fr-CH"/>
              </w:rPr>
            </w:pPr>
            <w:r w:rsidRPr="00E50178">
              <w:rPr>
                <w:lang w:val="fr-CH" w:eastAsia="en-US"/>
              </w:rPr>
              <w:t>Gestion des contenus de l</w:t>
            </w:r>
            <w:r>
              <w:rPr>
                <w:lang w:val="fr-CH" w:eastAsia="en-US"/>
              </w:rPr>
              <w:t>’</w:t>
            </w:r>
            <w:r w:rsidRPr="00E50178">
              <w:rPr>
                <w:lang w:val="fr-CH" w:eastAsia="en-US"/>
              </w:rPr>
              <w:t>Organisation</w:t>
            </w:r>
          </w:p>
        </w:tc>
      </w:tr>
      <w:tr w:rsidR="004A782D" w:rsidRPr="00DF27E3" w14:paraId="048BF029" w14:textId="77777777" w:rsidTr="008B0F21">
        <w:trPr>
          <w:trHeight w:val="340"/>
        </w:trPr>
        <w:tc>
          <w:tcPr>
            <w:tcW w:w="1701" w:type="dxa"/>
          </w:tcPr>
          <w:p w14:paraId="49680A65" w14:textId="39B595A3" w:rsidR="004A782D" w:rsidRDefault="004A782D" w:rsidP="008B0F21">
            <w:pPr>
              <w:tabs>
                <w:tab w:val="right" w:pos="6880"/>
              </w:tabs>
              <w:ind w:left="43"/>
              <w:rPr>
                <w:b/>
              </w:rPr>
            </w:pPr>
            <w:r>
              <w:rPr>
                <w:b/>
              </w:rPr>
              <w:t>GNUE</w:t>
            </w:r>
          </w:p>
        </w:tc>
        <w:tc>
          <w:tcPr>
            <w:tcW w:w="7230" w:type="dxa"/>
          </w:tcPr>
          <w:p w14:paraId="3763A3B4" w14:textId="555F01F7" w:rsidR="004A782D" w:rsidRPr="00E50178" w:rsidRDefault="004A782D" w:rsidP="008B0F21">
            <w:pPr>
              <w:spacing w:after="220"/>
              <w:ind w:left="1701" w:hanging="1701"/>
              <w:rPr>
                <w:lang w:val="fr-CH" w:eastAsia="en-US"/>
              </w:rPr>
            </w:pPr>
            <w:r w:rsidRPr="00E50178">
              <w:rPr>
                <w:szCs w:val="22"/>
                <w:lang w:val="fr-CH"/>
              </w:rPr>
              <w:t xml:space="preserve">Groupe des </w:t>
            </w:r>
            <w:r>
              <w:rPr>
                <w:szCs w:val="22"/>
                <w:lang w:val="fr-CH"/>
              </w:rPr>
              <w:t>Nations Unies</w:t>
            </w:r>
            <w:r w:rsidRPr="00E50178">
              <w:rPr>
                <w:szCs w:val="22"/>
                <w:lang w:val="fr-CH"/>
              </w:rPr>
              <w:t xml:space="preserve"> sur l</w:t>
            </w:r>
            <w:r>
              <w:rPr>
                <w:szCs w:val="22"/>
                <w:lang w:val="fr-CH"/>
              </w:rPr>
              <w:t>’</w:t>
            </w:r>
            <w:r w:rsidRPr="00E50178">
              <w:rPr>
                <w:szCs w:val="22"/>
                <w:lang w:val="fr-CH"/>
              </w:rPr>
              <w:t>évaluation</w:t>
            </w:r>
          </w:p>
        </w:tc>
      </w:tr>
      <w:tr w:rsidR="00A52ADF" w:rsidRPr="00DF27E3" w14:paraId="43163176" w14:textId="77777777" w:rsidTr="008B0F21">
        <w:trPr>
          <w:trHeight w:val="340"/>
        </w:trPr>
        <w:tc>
          <w:tcPr>
            <w:tcW w:w="1701" w:type="dxa"/>
          </w:tcPr>
          <w:p w14:paraId="3B19DE66" w14:textId="2E966A25" w:rsidR="00A52ADF" w:rsidRDefault="004A782D" w:rsidP="008B0F21">
            <w:pPr>
              <w:tabs>
                <w:tab w:val="right" w:pos="6880"/>
              </w:tabs>
              <w:ind w:left="43"/>
              <w:rPr>
                <w:b/>
                <w:szCs w:val="22"/>
              </w:rPr>
            </w:pPr>
            <w:r w:rsidRPr="00E50178">
              <w:rPr>
                <w:b/>
                <w:szCs w:val="22"/>
              </w:rPr>
              <w:t>OCIS</w:t>
            </w:r>
          </w:p>
        </w:tc>
        <w:tc>
          <w:tcPr>
            <w:tcW w:w="7230" w:type="dxa"/>
          </w:tcPr>
          <w:p w14:paraId="6A75C512" w14:textId="0F6F8439" w:rsidR="00A52ADF" w:rsidRPr="004A782D" w:rsidRDefault="004A782D" w:rsidP="008B0F21">
            <w:pPr>
              <w:spacing w:after="220"/>
              <w:ind w:left="1701" w:hanging="1701"/>
              <w:rPr>
                <w:szCs w:val="22"/>
                <w:lang w:val="fr-CH"/>
              </w:rPr>
            </w:pPr>
            <w:r w:rsidRPr="00E50178">
              <w:rPr>
                <w:szCs w:val="22"/>
                <w:lang w:val="fr-CH"/>
              </w:rPr>
              <w:t>Organe consulta</w:t>
            </w:r>
            <w:r>
              <w:rPr>
                <w:szCs w:val="22"/>
                <w:lang w:val="fr-CH"/>
              </w:rPr>
              <w:t>tif indépendant de surveillance</w:t>
            </w:r>
          </w:p>
        </w:tc>
      </w:tr>
      <w:tr w:rsidR="00A52ADF" w:rsidRPr="00DF27E3" w14:paraId="23668CD7" w14:textId="77777777" w:rsidTr="008B0F21">
        <w:trPr>
          <w:trHeight w:val="340"/>
        </w:trPr>
        <w:tc>
          <w:tcPr>
            <w:tcW w:w="1701" w:type="dxa"/>
          </w:tcPr>
          <w:p w14:paraId="45744140" w14:textId="44C28235" w:rsidR="00A52ADF" w:rsidRPr="00913CE2" w:rsidRDefault="004A782D" w:rsidP="008B0F21">
            <w:pPr>
              <w:ind w:left="43"/>
              <w:rPr>
                <w:b/>
                <w:szCs w:val="22"/>
              </w:rPr>
            </w:pPr>
            <w:r>
              <w:rPr>
                <w:b/>
                <w:szCs w:val="22"/>
              </w:rPr>
              <w:t>ONU</w:t>
            </w:r>
          </w:p>
        </w:tc>
        <w:tc>
          <w:tcPr>
            <w:tcW w:w="7230" w:type="dxa"/>
          </w:tcPr>
          <w:p w14:paraId="17F815BC" w14:textId="6342F9A3" w:rsidR="00A52ADF" w:rsidRPr="00DF27E3" w:rsidRDefault="004A782D" w:rsidP="008B0F21">
            <w:pPr>
              <w:ind w:left="43"/>
              <w:rPr>
                <w:szCs w:val="22"/>
              </w:rPr>
            </w:pPr>
            <w:r w:rsidRPr="00E50178">
              <w:rPr>
                <w:szCs w:val="22"/>
              </w:rPr>
              <w:t xml:space="preserve">Organisation des </w:t>
            </w:r>
            <w:r>
              <w:rPr>
                <w:szCs w:val="22"/>
              </w:rPr>
              <w:t>Nations Unies</w:t>
            </w:r>
          </w:p>
        </w:tc>
      </w:tr>
      <w:tr w:rsidR="004A782D" w:rsidRPr="00DF27E3" w14:paraId="1F090B4D" w14:textId="77777777" w:rsidTr="008B0F21">
        <w:trPr>
          <w:trHeight w:val="340"/>
        </w:trPr>
        <w:tc>
          <w:tcPr>
            <w:tcW w:w="1701" w:type="dxa"/>
          </w:tcPr>
          <w:p w14:paraId="3219FE7B" w14:textId="19E09C8B" w:rsidR="004A782D" w:rsidRDefault="004A782D" w:rsidP="008B0F21">
            <w:pPr>
              <w:ind w:left="43"/>
              <w:rPr>
                <w:b/>
                <w:szCs w:val="22"/>
              </w:rPr>
            </w:pPr>
            <w:r w:rsidRPr="00E50178">
              <w:rPr>
                <w:b/>
                <w:szCs w:val="22"/>
              </w:rPr>
              <w:t>ONU</w:t>
            </w:r>
            <w:r>
              <w:rPr>
                <w:b/>
                <w:szCs w:val="22"/>
              </w:rPr>
              <w:noBreakHyphen/>
            </w:r>
            <w:r w:rsidRPr="00E50178">
              <w:rPr>
                <w:b/>
                <w:szCs w:val="22"/>
              </w:rPr>
              <w:t>SWAP</w:t>
            </w:r>
          </w:p>
        </w:tc>
        <w:tc>
          <w:tcPr>
            <w:tcW w:w="7230" w:type="dxa"/>
          </w:tcPr>
          <w:p w14:paraId="2A447353" w14:textId="396434B3" w:rsidR="004A782D" w:rsidRPr="004A782D" w:rsidRDefault="004A782D" w:rsidP="008B0F21">
            <w:pPr>
              <w:ind w:left="43"/>
              <w:rPr>
                <w:szCs w:val="22"/>
              </w:rPr>
            </w:pPr>
            <w:r w:rsidRPr="004A782D">
              <w:rPr>
                <w:rStyle w:val="preferred"/>
                <w:rFonts w:ascii="Helvetica" w:hAnsi="Helvetica"/>
                <w:szCs w:val="22"/>
                <w:lang w:val="fr-CH"/>
              </w:rPr>
              <w:t>Plan d’action à l’échelle du système des Nations Unies pour l’égalité des sexes et l’avancement des femmes</w:t>
            </w:r>
          </w:p>
        </w:tc>
      </w:tr>
      <w:tr w:rsidR="004A782D" w:rsidRPr="00DF27E3" w14:paraId="4BCB5E53" w14:textId="77777777" w:rsidTr="008B0F21">
        <w:trPr>
          <w:trHeight w:val="340"/>
        </w:trPr>
        <w:tc>
          <w:tcPr>
            <w:tcW w:w="1701" w:type="dxa"/>
          </w:tcPr>
          <w:p w14:paraId="2D6C95DD" w14:textId="7C81271B" w:rsidR="004A782D" w:rsidRPr="00E50178" w:rsidRDefault="004A782D" w:rsidP="008B0F21">
            <w:pPr>
              <w:ind w:left="43"/>
              <w:rPr>
                <w:b/>
                <w:szCs w:val="22"/>
              </w:rPr>
            </w:pPr>
            <w:r>
              <w:rPr>
                <w:b/>
                <w:szCs w:val="22"/>
              </w:rPr>
              <w:t>OMPI</w:t>
            </w:r>
          </w:p>
        </w:tc>
        <w:tc>
          <w:tcPr>
            <w:tcW w:w="7230" w:type="dxa"/>
          </w:tcPr>
          <w:p w14:paraId="39BE1228" w14:textId="2ED1C7DC" w:rsidR="004A782D" w:rsidRPr="00E50178" w:rsidRDefault="004A782D" w:rsidP="008B0F21">
            <w:pPr>
              <w:ind w:left="43"/>
              <w:rPr>
                <w:rStyle w:val="preferred"/>
                <w:rFonts w:ascii="Helvetica" w:hAnsi="Helvetica"/>
                <w:sz w:val="21"/>
                <w:szCs w:val="21"/>
                <w:lang w:val="fr-CH"/>
              </w:rPr>
            </w:pPr>
            <w:r w:rsidRPr="00E50178">
              <w:rPr>
                <w:szCs w:val="22"/>
                <w:lang w:val="fr-CH"/>
              </w:rPr>
              <w:t>Organisation Mondiale de la Propriété Intellectuelle</w:t>
            </w:r>
          </w:p>
        </w:tc>
      </w:tr>
      <w:tr w:rsidR="00A52ADF" w:rsidRPr="00DF27E3" w14:paraId="19F8E01E" w14:textId="77777777" w:rsidTr="008B0F21">
        <w:trPr>
          <w:trHeight w:val="340"/>
        </w:trPr>
        <w:tc>
          <w:tcPr>
            <w:tcW w:w="1701" w:type="dxa"/>
          </w:tcPr>
          <w:p w14:paraId="3035C8C8" w14:textId="14FA69BD" w:rsidR="00A52ADF" w:rsidRPr="00913CE2" w:rsidRDefault="004A782D" w:rsidP="008B0F21">
            <w:pPr>
              <w:ind w:left="43"/>
              <w:rPr>
                <w:b/>
                <w:szCs w:val="22"/>
              </w:rPr>
            </w:pPr>
            <w:r>
              <w:rPr>
                <w:b/>
                <w:szCs w:val="22"/>
              </w:rPr>
              <w:t>PBC</w:t>
            </w:r>
          </w:p>
        </w:tc>
        <w:tc>
          <w:tcPr>
            <w:tcW w:w="7230" w:type="dxa"/>
          </w:tcPr>
          <w:p w14:paraId="1A646EBC" w14:textId="11B1A33C" w:rsidR="00A52ADF" w:rsidRPr="00DF27E3" w:rsidRDefault="004A782D" w:rsidP="008B0F21">
            <w:pPr>
              <w:ind w:left="43"/>
              <w:rPr>
                <w:szCs w:val="22"/>
              </w:rPr>
            </w:pPr>
            <w:r w:rsidRPr="00E50178">
              <w:rPr>
                <w:szCs w:val="22"/>
                <w:lang w:val="fr-CH"/>
              </w:rPr>
              <w:t>Comité du programme et budget</w:t>
            </w:r>
          </w:p>
        </w:tc>
      </w:tr>
    </w:tbl>
    <w:p w14:paraId="1F806998" w14:textId="22E3FFF1" w:rsidR="00C5485D" w:rsidRDefault="00C46B12" w:rsidP="00C46B12">
      <w:pPr>
        <w:rPr>
          <w:b/>
          <w:lang w:val="fr-CH"/>
        </w:rPr>
      </w:pPr>
      <w:bookmarkStart w:id="5" w:name="_Toc392160703"/>
      <w:bookmarkStart w:id="6" w:name="_Toc392160740"/>
      <w:bookmarkStart w:id="7" w:name="_Toc423530309"/>
      <w:bookmarkStart w:id="8" w:name="_Toc423533365"/>
      <w:bookmarkStart w:id="9" w:name="_Toc423533509"/>
      <w:bookmarkStart w:id="10" w:name="_Toc452648468"/>
      <w:r w:rsidRPr="00E50178">
        <w:rPr>
          <w:b/>
          <w:lang w:val="fr-CH"/>
        </w:rPr>
        <w:br w:type="page"/>
      </w:r>
    </w:p>
    <w:p w14:paraId="1D588C00" w14:textId="0C279DCD" w:rsidR="00C5485D" w:rsidRDefault="00703DA0" w:rsidP="00191710">
      <w:pPr>
        <w:pStyle w:val="Heading2"/>
      </w:pPr>
      <w:bookmarkStart w:id="11" w:name="_Toc44428397"/>
      <w:bookmarkEnd w:id="5"/>
      <w:bookmarkEnd w:id="6"/>
      <w:bookmarkEnd w:id="7"/>
      <w:bookmarkEnd w:id="8"/>
      <w:bookmarkEnd w:id="9"/>
      <w:bookmarkEnd w:id="10"/>
      <w:r w:rsidRPr="00E50178">
        <w:lastRenderedPageBreak/>
        <w:t>Rappel</w:t>
      </w:r>
      <w:bookmarkEnd w:id="11"/>
    </w:p>
    <w:p w14:paraId="30B41B89" w14:textId="3DF80401" w:rsidR="00C5485D" w:rsidRDefault="00703DA0" w:rsidP="00AE63B3">
      <w:pPr>
        <w:pStyle w:val="ONUMFS"/>
        <w:numPr>
          <w:ilvl w:val="0"/>
          <w:numId w:val="19"/>
        </w:numPr>
        <w:tabs>
          <w:tab w:val="clear" w:pos="2127"/>
        </w:tabs>
        <w:ind w:left="0"/>
        <w:rPr>
          <w:lang w:val="fr-CH"/>
        </w:rPr>
      </w:pPr>
      <w:r w:rsidRPr="00AE63B3">
        <w:rPr>
          <w:lang w:val="fr-CH"/>
        </w:rPr>
        <w:t>La Division de la supervision interne de l</w:t>
      </w:r>
      <w:r w:rsidR="00F82D32">
        <w:rPr>
          <w:lang w:val="fr-CH"/>
        </w:rPr>
        <w:t>’</w:t>
      </w:r>
      <w:r w:rsidRPr="00AE63B3">
        <w:rPr>
          <w:lang w:val="fr-CH"/>
        </w:rPr>
        <w:t>OMPI (ci</w:t>
      </w:r>
      <w:r w:rsidR="007379C2">
        <w:rPr>
          <w:lang w:val="fr-CH"/>
        </w:rPr>
        <w:noBreakHyphen/>
      </w:r>
      <w:r w:rsidRPr="00AE63B3">
        <w:rPr>
          <w:lang w:val="fr-CH"/>
        </w:rPr>
        <w:t>après dénommée “DSI”) a pour mission d</w:t>
      </w:r>
      <w:r w:rsidR="00F82D32">
        <w:rPr>
          <w:lang w:val="fr-CH"/>
        </w:rPr>
        <w:t>’</w:t>
      </w:r>
      <w:r w:rsidRPr="00AE63B3">
        <w:rPr>
          <w:lang w:val="fr-CH"/>
        </w:rPr>
        <w:t>assurer à l</w:t>
      </w:r>
      <w:r w:rsidR="00F82D32">
        <w:rPr>
          <w:lang w:val="fr-CH"/>
        </w:rPr>
        <w:t>’</w:t>
      </w:r>
      <w:r w:rsidRPr="00AE63B3">
        <w:rPr>
          <w:lang w:val="fr-CH"/>
        </w:rPr>
        <w:t>Organisation une supervision interne indépendante et efficace, conformément aux dispositions de la Charte de la supervision interne.</w:t>
      </w:r>
    </w:p>
    <w:p w14:paraId="420EA45B" w14:textId="520C7E36" w:rsidR="00C5485D" w:rsidRDefault="00703DA0" w:rsidP="00AE63B3">
      <w:pPr>
        <w:pStyle w:val="ONUMFS"/>
        <w:rPr>
          <w:lang w:val="fr-CH"/>
        </w:rPr>
      </w:pPr>
      <w:r w:rsidRPr="006F594E">
        <w:rPr>
          <w:lang w:val="fr-CH"/>
        </w:rPr>
        <w:t>En vertu de la Charte de la supervision interne de l</w:t>
      </w:r>
      <w:r w:rsidR="00F82D32">
        <w:rPr>
          <w:lang w:val="fr-CH"/>
        </w:rPr>
        <w:t>’</w:t>
      </w:r>
      <w:r w:rsidRPr="006F594E">
        <w:rPr>
          <w:lang w:val="fr-CH"/>
        </w:rPr>
        <w:t>OMPI</w:t>
      </w:r>
      <w:r w:rsidRPr="00E50178">
        <w:rPr>
          <w:rStyle w:val="FootnoteReference"/>
        </w:rPr>
        <w:footnoteReference w:id="2"/>
      </w:r>
      <w:r w:rsidRPr="006F594E">
        <w:rPr>
          <w:lang w:val="fr-CH"/>
        </w:rPr>
        <w:t>, le directeur de</w:t>
      </w:r>
      <w:r w:rsidR="00DE3BC1" w:rsidRPr="006F594E">
        <w:rPr>
          <w:lang w:val="fr-CH"/>
        </w:rPr>
        <w:t xml:space="preserve"> la DSI</w:t>
      </w:r>
      <w:r w:rsidRPr="006F594E">
        <w:rPr>
          <w:lang w:val="fr-CH"/>
        </w:rPr>
        <w:t xml:space="preserve"> soumet chaque année un rapport de synthèse à l</w:t>
      </w:r>
      <w:r w:rsidR="00F82D32">
        <w:rPr>
          <w:lang w:val="fr-CH"/>
        </w:rPr>
        <w:t>’</w:t>
      </w:r>
      <w:r w:rsidRPr="006F594E">
        <w:rPr>
          <w:lang w:val="fr-CH"/>
        </w:rPr>
        <w:t>Assemblée générale de l</w:t>
      </w:r>
      <w:r w:rsidR="00F82D32">
        <w:rPr>
          <w:lang w:val="fr-CH"/>
        </w:rPr>
        <w:t>’</w:t>
      </w:r>
      <w:r w:rsidRPr="006F594E">
        <w:rPr>
          <w:lang w:val="fr-CH"/>
        </w:rPr>
        <w:t>OMPI, par l</w:t>
      </w:r>
      <w:r w:rsidR="00F82D32">
        <w:rPr>
          <w:lang w:val="fr-CH"/>
        </w:rPr>
        <w:t>’</w:t>
      </w:r>
      <w:r w:rsidRPr="006F594E">
        <w:rPr>
          <w:lang w:val="fr-CH"/>
        </w:rPr>
        <w:t>intermédiaire du Comité du programme et budget (PBC).</w:t>
      </w:r>
      <w:r w:rsidR="00C46B12" w:rsidRPr="006F594E">
        <w:rPr>
          <w:lang w:val="fr-CH"/>
        </w:rPr>
        <w:t xml:space="preserve">  </w:t>
      </w:r>
      <w:bookmarkStart w:id="12" w:name="_Toc420663566"/>
      <w:bookmarkStart w:id="13" w:name="_Toc328920434"/>
      <w:r w:rsidRPr="006F594E">
        <w:rPr>
          <w:lang w:val="fr-CH"/>
        </w:rPr>
        <w:t xml:space="preserve">Ce rapport annuel rend compte des activités de supervision interne menées au cours de la période considérée, </w:t>
      </w:r>
      <w:r w:rsidR="00AE63B3">
        <w:rPr>
          <w:lang w:val="fr-CH"/>
        </w:rPr>
        <w:t>y compris</w:t>
      </w:r>
      <w:r w:rsidRPr="006F594E">
        <w:rPr>
          <w:lang w:val="fr-CH"/>
        </w:rPr>
        <w:t xml:space="preserve"> de la portée et des objectifs de celles</w:t>
      </w:r>
      <w:r w:rsidR="007379C2">
        <w:rPr>
          <w:lang w:val="fr-CH"/>
        </w:rPr>
        <w:noBreakHyphen/>
      </w:r>
      <w:r w:rsidRPr="006F594E">
        <w:rPr>
          <w:lang w:val="fr-CH"/>
        </w:rPr>
        <w:t>ci, du calendrier des travaux ainsi que des progrès réalisés dans la mise en œuvre des recommandations de supervision interne.</w:t>
      </w:r>
    </w:p>
    <w:p w14:paraId="6C2AA951" w14:textId="06E728BE" w:rsidR="00C5485D" w:rsidRDefault="00703DA0" w:rsidP="00AE63B3">
      <w:pPr>
        <w:pStyle w:val="ONUMFS"/>
        <w:rPr>
          <w:lang w:val="fr-CH"/>
        </w:rPr>
      </w:pPr>
      <w:r w:rsidRPr="006F594E">
        <w:rPr>
          <w:lang w:val="fr-CH"/>
        </w:rPr>
        <w:t>À la suite d</w:t>
      </w:r>
      <w:r w:rsidR="00F82D32">
        <w:rPr>
          <w:lang w:val="fr-CH"/>
        </w:rPr>
        <w:t>’</w:t>
      </w:r>
      <w:r w:rsidRPr="006F594E">
        <w:rPr>
          <w:lang w:val="fr-CH"/>
        </w:rPr>
        <w:t xml:space="preserve">une recommandation récemment </w:t>
      </w:r>
      <w:r w:rsidR="007123E1" w:rsidRPr="006F594E">
        <w:rPr>
          <w:lang w:val="fr-CH"/>
        </w:rPr>
        <w:t xml:space="preserve">formulée </w:t>
      </w:r>
      <w:r w:rsidRPr="006F594E">
        <w:rPr>
          <w:lang w:val="fr-CH"/>
        </w:rPr>
        <w:t>par les vérificateurs externes des comptes,</w:t>
      </w:r>
      <w:r w:rsidR="00DE3BC1" w:rsidRPr="006F594E">
        <w:rPr>
          <w:lang w:val="fr-CH"/>
        </w:rPr>
        <w:t xml:space="preserve"> la DSI</w:t>
      </w:r>
      <w:r w:rsidRPr="006F594E">
        <w:rPr>
          <w:lang w:val="fr-CH"/>
        </w:rPr>
        <w:t xml:space="preserve"> a modifié la période couverte par son rapport annuel afin de la faire coïncider avec les états financiers et les déclarations sur le contrôle interne, qui vont de janvier à décemb</w:t>
      </w:r>
      <w:r w:rsidR="00EF3A93" w:rsidRPr="006F594E">
        <w:rPr>
          <w:lang w:val="fr-CH"/>
        </w:rPr>
        <w:t>re</w:t>
      </w:r>
      <w:r w:rsidR="00EF3A93">
        <w:rPr>
          <w:lang w:val="fr-CH"/>
        </w:rPr>
        <w:t xml:space="preserve">.  </w:t>
      </w:r>
      <w:r w:rsidR="00EF3A93" w:rsidRPr="006F594E">
        <w:rPr>
          <w:lang w:val="fr-CH"/>
        </w:rPr>
        <w:t>En</w:t>
      </w:r>
      <w:r w:rsidRPr="006F594E">
        <w:rPr>
          <w:lang w:val="fr-CH"/>
        </w:rPr>
        <w:t xml:space="preserve"> conséquence, le présent rapport couvrira la période allant de juillet à décembre</w:t>
      </w:r>
      <w:r w:rsidR="00610666" w:rsidRPr="006F594E">
        <w:rPr>
          <w:lang w:val="fr-CH"/>
        </w:rPr>
        <w:t> </w:t>
      </w:r>
      <w:r w:rsidRPr="006F594E">
        <w:rPr>
          <w:lang w:val="fr-CH"/>
        </w:rPr>
        <w:t>2019, afin qu</w:t>
      </w:r>
      <w:r w:rsidR="00F82D32">
        <w:rPr>
          <w:lang w:val="fr-CH"/>
        </w:rPr>
        <w:t>’</w:t>
      </w:r>
      <w:r w:rsidRPr="006F594E">
        <w:rPr>
          <w:lang w:val="fr-CH"/>
        </w:rPr>
        <w:t xml:space="preserve">un rapport complet puisse être établi </w:t>
      </w:r>
      <w:r w:rsidR="00DE3BC1" w:rsidRPr="006F594E">
        <w:rPr>
          <w:lang w:val="fr-CH"/>
        </w:rPr>
        <w:t>pour 2020</w:t>
      </w:r>
      <w:r w:rsidRPr="006F594E">
        <w:rPr>
          <w:lang w:val="fr-CH"/>
        </w:rPr>
        <w:t xml:space="preserve"> lors de la période suivante.</w:t>
      </w:r>
    </w:p>
    <w:p w14:paraId="3071C909" w14:textId="254F7E9A" w:rsidR="00C5485D" w:rsidRDefault="00703DA0" w:rsidP="00AE63B3">
      <w:pPr>
        <w:pStyle w:val="ONUMFS"/>
        <w:rPr>
          <w:lang w:val="fr-CH"/>
        </w:rPr>
      </w:pPr>
      <w:r w:rsidRPr="006F594E">
        <w:rPr>
          <w:lang w:val="fr-CH"/>
        </w:rPr>
        <w:t>Conformément à la Charte de la supervision interne, une version préliminaire du rapport annuel a été fournie au Directeur général et à l</w:t>
      </w:r>
      <w:r w:rsidR="00F82D32">
        <w:rPr>
          <w:lang w:val="fr-CH"/>
        </w:rPr>
        <w:t>’</w:t>
      </w:r>
      <w:r w:rsidRPr="006F594E">
        <w:rPr>
          <w:lang w:val="fr-CH"/>
        </w:rPr>
        <w:t>Organe consultatif indépendant de surveillance (OCIS) pour qu</w:t>
      </w:r>
      <w:r w:rsidR="00F82D32">
        <w:rPr>
          <w:lang w:val="fr-CH"/>
        </w:rPr>
        <w:t>’</w:t>
      </w:r>
      <w:r w:rsidRPr="006F594E">
        <w:rPr>
          <w:lang w:val="fr-CH"/>
        </w:rPr>
        <w:t>ils formulent des observations, dont il a été tenu compte pour établir la version définitive du rapport.</w:t>
      </w:r>
    </w:p>
    <w:p w14:paraId="08BEA76E" w14:textId="77777777" w:rsidR="00C5485D" w:rsidRDefault="00703DA0" w:rsidP="00191710">
      <w:pPr>
        <w:pStyle w:val="Heading2"/>
      </w:pPr>
      <w:bookmarkStart w:id="14" w:name="_Toc44428398"/>
      <w:r w:rsidRPr="00E50178">
        <w:t>Faits marquants survenus durant la période considérée</w:t>
      </w:r>
      <w:bookmarkEnd w:id="14"/>
    </w:p>
    <w:p w14:paraId="02C49FD2" w14:textId="7D9A5E04" w:rsidR="00C5485D" w:rsidRDefault="00AE267B" w:rsidP="00191710">
      <w:pPr>
        <w:pStyle w:val="ONUMFS"/>
        <w:rPr>
          <w:lang w:val="fr-CH"/>
        </w:rPr>
      </w:pPr>
      <w:r w:rsidRPr="00E50178">
        <w:rPr>
          <w:lang w:val="fr-CH"/>
        </w:rPr>
        <w:t>La DSI continue d</w:t>
      </w:r>
      <w:r w:rsidR="00F82D32">
        <w:rPr>
          <w:lang w:val="fr-CH"/>
        </w:rPr>
        <w:t>’</w:t>
      </w:r>
      <w:r w:rsidRPr="00E50178">
        <w:rPr>
          <w:lang w:val="fr-CH"/>
        </w:rPr>
        <w:t>aider l</w:t>
      </w:r>
      <w:r w:rsidR="00F82D32">
        <w:rPr>
          <w:lang w:val="fr-CH"/>
        </w:rPr>
        <w:t>’</w:t>
      </w:r>
      <w:r w:rsidRPr="00E50178">
        <w:rPr>
          <w:lang w:val="fr-CH"/>
        </w:rPr>
        <w:t>OMPI à renforcer les contrôles, l</w:t>
      </w:r>
      <w:r w:rsidR="00F82D32">
        <w:rPr>
          <w:lang w:val="fr-CH"/>
        </w:rPr>
        <w:t>’</w:t>
      </w:r>
      <w:r w:rsidRPr="00E50178">
        <w:rPr>
          <w:lang w:val="fr-CH"/>
        </w:rPr>
        <w:t>application du principe de responsabilité, la transparence et l</w:t>
      </w:r>
      <w:r w:rsidR="00F82D32">
        <w:rPr>
          <w:lang w:val="fr-CH"/>
        </w:rPr>
        <w:t>’</w:t>
      </w:r>
      <w:r w:rsidRPr="00E50178">
        <w:rPr>
          <w:lang w:val="fr-CH"/>
        </w:rPr>
        <w:t>apprentissage au moyen d</w:t>
      </w:r>
      <w:r w:rsidR="00F82D32">
        <w:rPr>
          <w:lang w:val="fr-CH"/>
        </w:rPr>
        <w:t>’</w:t>
      </w:r>
      <w:r w:rsidRPr="00E50178">
        <w:rPr>
          <w:lang w:val="fr-CH"/>
        </w:rPr>
        <w:t>outils et de pratiques innovants et adaptés qui permettront à l</w:t>
      </w:r>
      <w:r w:rsidR="00F82D32">
        <w:rPr>
          <w:lang w:val="fr-CH"/>
        </w:rPr>
        <w:t>’</w:t>
      </w:r>
      <w:r w:rsidRPr="00E50178">
        <w:rPr>
          <w:lang w:val="fr-CH"/>
        </w:rPr>
        <w:t>Organisation de s</w:t>
      </w:r>
      <w:r w:rsidR="00F82D32">
        <w:rPr>
          <w:lang w:val="fr-CH"/>
        </w:rPr>
        <w:t>’</w:t>
      </w:r>
      <w:r w:rsidRPr="00E50178">
        <w:rPr>
          <w:lang w:val="fr-CH"/>
        </w:rPr>
        <w:t>acheminer vers les normes les plus élevées, notamment en matière de gestion des risques et d</w:t>
      </w:r>
      <w:r w:rsidR="00F82D32">
        <w:rPr>
          <w:lang w:val="fr-CH"/>
        </w:rPr>
        <w:t>’</w:t>
      </w:r>
      <w:r w:rsidRPr="00E50178">
        <w:rPr>
          <w:lang w:val="fr-CH"/>
        </w:rPr>
        <w:t>exécution des programmes.</w:t>
      </w:r>
    </w:p>
    <w:p w14:paraId="7CE06374" w14:textId="6A49B258" w:rsidR="00C5485D" w:rsidRDefault="00AE267B" w:rsidP="00191710">
      <w:pPr>
        <w:pStyle w:val="ONUMFS"/>
        <w:rPr>
          <w:lang w:val="fr-CH"/>
        </w:rPr>
      </w:pPr>
      <w:r w:rsidRPr="00E50178">
        <w:rPr>
          <w:lang w:val="fr-CH"/>
        </w:rPr>
        <w:t>Un système informatisé de gestion des dossiers, mis au point en interne et déployé au sein de la Section des enquêtes de</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depuis le début de l</w:t>
      </w:r>
      <w:r w:rsidR="00F82D32">
        <w:rPr>
          <w:lang w:val="fr-CH"/>
        </w:rPr>
        <w:t>’</w:t>
      </w:r>
      <w:r w:rsidRPr="00E50178">
        <w:rPr>
          <w:lang w:val="fr-CH"/>
        </w:rPr>
        <w:t>année</w:t>
      </w:r>
      <w:r w:rsidR="00610666" w:rsidRPr="00E50178">
        <w:rPr>
          <w:lang w:val="fr-CH"/>
        </w:rPr>
        <w:t> </w:t>
      </w:r>
      <w:r w:rsidRPr="00E50178">
        <w:rPr>
          <w:lang w:val="fr-CH"/>
        </w:rPr>
        <w:t>2019, est régulièrement utilisé depuis lo</w:t>
      </w:r>
      <w:r w:rsidR="00EF3A93" w:rsidRPr="00E50178">
        <w:rPr>
          <w:lang w:val="fr-CH"/>
        </w:rPr>
        <w:t>rs</w:t>
      </w:r>
      <w:r w:rsidR="00EF3A93">
        <w:rPr>
          <w:lang w:val="fr-CH"/>
        </w:rPr>
        <w:t xml:space="preserve">.  </w:t>
      </w:r>
      <w:r w:rsidR="00EF3A93" w:rsidRPr="00E50178">
        <w:rPr>
          <w:lang w:val="fr-CH"/>
        </w:rPr>
        <w:t>Ce</w:t>
      </w:r>
      <w:r w:rsidRPr="00E50178">
        <w:rPr>
          <w:lang w:val="fr-CH"/>
        </w:rPr>
        <w:t xml:space="preserve"> système rassemble tous les dossiers et documents d</w:t>
      </w:r>
      <w:r w:rsidR="00F82D32">
        <w:rPr>
          <w:lang w:val="fr-CH"/>
        </w:rPr>
        <w:t>’</w:t>
      </w:r>
      <w:r w:rsidRPr="00E50178">
        <w:rPr>
          <w:lang w:val="fr-CH"/>
        </w:rPr>
        <w:t>enquê</w:t>
      </w:r>
      <w:r w:rsidR="00EF3A93" w:rsidRPr="00E50178">
        <w:rPr>
          <w:lang w:val="fr-CH"/>
        </w:rPr>
        <w:t>te</w:t>
      </w:r>
      <w:r w:rsidR="00EF3A93">
        <w:rPr>
          <w:lang w:val="fr-CH"/>
        </w:rPr>
        <w:t xml:space="preserve">.  </w:t>
      </w:r>
      <w:r w:rsidR="00EF3A93" w:rsidRPr="00E50178">
        <w:rPr>
          <w:lang w:val="fr-CH"/>
        </w:rPr>
        <w:t>En</w:t>
      </w:r>
      <w:r w:rsidRPr="00E50178">
        <w:rPr>
          <w:lang w:val="fr-CH"/>
        </w:rPr>
        <w:t xml:space="preserve"> ce sens, il permet de suivre les activités d</w:t>
      </w:r>
      <w:r w:rsidR="00F82D32">
        <w:rPr>
          <w:lang w:val="fr-CH"/>
        </w:rPr>
        <w:t>’</w:t>
      </w:r>
      <w:r w:rsidRPr="00E50178">
        <w:rPr>
          <w:lang w:val="fr-CH"/>
        </w:rPr>
        <w:t>enquête et facilite l</w:t>
      </w:r>
      <w:r w:rsidR="00F82D32">
        <w:rPr>
          <w:lang w:val="fr-CH"/>
        </w:rPr>
        <w:t>’</w:t>
      </w:r>
      <w:r w:rsidRPr="00E50178">
        <w:rPr>
          <w:lang w:val="fr-CH"/>
        </w:rPr>
        <w:t>accès aux documents et aux éléments de preuve pour chaque enquê</w:t>
      </w:r>
      <w:r w:rsidR="00EF3A93" w:rsidRPr="00E50178">
        <w:rPr>
          <w:lang w:val="fr-CH"/>
        </w:rPr>
        <w:t>te</w:t>
      </w:r>
      <w:r w:rsidR="00EF3A93">
        <w:rPr>
          <w:lang w:val="fr-CH"/>
        </w:rPr>
        <w:t xml:space="preserve">.  </w:t>
      </w:r>
      <w:r w:rsidR="00EF3A93" w:rsidRPr="00E50178">
        <w:rPr>
          <w:lang w:val="fr-CH"/>
        </w:rPr>
        <w:t>Il</w:t>
      </w:r>
      <w:r w:rsidRPr="00E50178">
        <w:rPr>
          <w:lang w:val="fr-CH"/>
        </w:rPr>
        <w:t xml:space="preserve"> propose également des contrôles intégrés pour ce qui concerne les délais de réalisation des enquêtes et le respect des procédures, ainsi qu</w:t>
      </w:r>
      <w:r w:rsidR="00F82D32">
        <w:rPr>
          <w:lang w:val="fr-CH"/>
        </w:rPr>
        <w:t>’</w:t>
      </w:r>
      <w:r w:rsidRPr="00E50178">
        <w:rPr>
          <w:lang w:val="fr-CH"/>
        </w:rPr>
        <w:t>un module d</w:t>
      </w:r>
      <w:r w:rsidR="00F82D32">
        <w:rPr>
          <w:lang w:val="fr-CH"/>
        </w:rPr>
        <w:t>’</w:t>
      </w:r>
      <w:r w:rsidRPr="00E50178">
        <w:rPr>
          <w:lang w:val="fr-CH"/>
        </w:rPr>
        <w:t>établissement de rapports d</w:t>
      </w:r>
      <w:r w:rsidR="00F82D32">
        <w:rPr>
          <w:lang w:val="fr-CH"/>
        </w:rPr>
        <w:t>’</w:t>
      </w:r>
      <w:r w:rsidRPr="00E50178">
        <w:rPr>
          <w:lang w:val="fr-CH"/>
        </w:rPr>
        <w:t>activité.</w:t>
      </w:r>
    </w:p>
    <w:p w14:paraId="0BD740FE" w14:textId="25B03882" w:rsidR="00C5485D" w:rsidRDefault="00AE267B" w:rsidP="00191710">
      <w:pPr>
        <w:pStyle w:val="ONUMFS"/>
        <w:rPr>
          <w:lang w:val="fr-CH"/>
        </w:rPr>
      </w:pPr>
      <w:r w:rsidRPr="00E50178">
        <w:rPr>
          <w:lang w:val="fr-CH"/>
        </w:rPr>
        <w:t>La DSI s</w:t>
      </w:r>
      <w:r w:rsidR="00F82D32">
        <w:rPr>
          <w:lang w:val="fr-CH"/>
        </w:rPr>
        <w:t>’</w:t>
      </w:r>
      <w:r w:rsidRPr="00E50178">
        <w:rPr>
          <w:lang w:val="fr-CH"/>
        </w:rPr>
        <w:t>est engagée à encourager l</w:t>
      </w:r>
      <w:r w:rsidR="00F82D32">
        <w:rPr>
          <w:lang w:val="fr-CH"/>
        </w:rPr>
        <w:t>’</w:t>
      </w:r>
      <w:r w:rsidRPr="00E50178">
        <w:rPr>
          <w:lang w:val="fr-CH"/>
        </w:rPr>
        <w:t>apprentissage institutionnel en mettant au point un module en ligne pour apprendre à utiliser les évaluations dans le cadre du cycle de gesti</w:t>
      </w:r>
      <w:r w:rsidR="00EF3A93" w:rsidRPr="00E50178">
        <w:rPr>
          <w:lang w:val="fr-CH"/>
        </w:rPr>
        <w:t>on</w:t>
      </w:r>
      <w:r w:rsidR="00EF3A93">
        <w:rPr>
          <w:lang w:val="fr-CH"/>
        </w:rPr>
        <w:t xml:space="preserve">.  </w:t>
      </w:r>
      <w:r w:rsidR="00EF3A93" w:rsidRPr="00E50178">
        <w:rPr>
          <w:lang w:val="fr-CH"/>
        </w:rPr>
        <w:t>La</w:t>
      </w:r>
      <w:r w:rsidRPr="00E50178">
        <w:rPr>
          <w:lang w:val="fr-CH"/>
        </w:rPr>
        <w:t xml:space="preserve"> division élargit son rôle en matière de lutte contre la fraude et les abus en menant des activités de prévention, avec notamment un exercice d</w:t>
      </w:r>
      <w:r w:rsidR="00F82D32">
        <w:rPr>
          <w:lang w:val="fr-CH"/>
        </w:rPr>
        <w:t>’</w:t>
      </w:r>
      <w:r w:rsidRPr="00E50178">
        <w:rPr>
          <w:lang w:val="fr-CH"/>
        </w:rPr>
        <w:t>évaluation des risques de fraude et l</w:t>
      </w:r>
      <w:r w:rsidR="00F82D32">
        <w:rPr>
          <w:lang w:val="fr-CH"/>
        </w:rPr>
        <w:t>’</w:t>
      </w:r>
      <w:r w:rsidRPr="00E50178">
        <w:rPr>
          <w:lang w:val="fr-CH"/>
        </w:rPr>
        <w:t>élaboration d</w:t>
      </w:r>
      <w:r w:rsidR="00F82D32">
        <w:rPr>
          <w:lang w:val="fr-CH"/>
        </w:rPr>
        <w:t>’</w:t>
      </w:r>
      <w:r w:rsidRPr="00E50178">
        <w:rPr>
          <w:lang w:val="fr-CH"/>
        </w:rPr>
        <w:t>un module de sensibilisation à la fraude, de pair avec le Bureau du contrôleur.</w:t>
      </w:r>
    </w:p>
    <w:p w14:paraId="7C82C645" w14:textId="5515248A" w:rsidR="00C5485D" w:rsidRDefault="001225CD" w:rsidP="00191710">
      <w:pPr>
        <w:pStyle w:val="ONUMFS"/>
        <w:rPr>
          <w:lang w:val="fr-CH"/>
        </w:rPr>
      </w:pPr>
      <w:r w:rsidRPr="00E50178">
        <w:rPr>
          <w:lang w:val="fr-CH"/>
        </w:rPr>
        <w:t>La DSI a poursuivi les exercices conjoints lancés entre les trois</w:t>
      </w:r>
      <w:r w:rsidR="00BD1203">
        <w:rPr>
          <w:lang w:val="fr-CH"/>
        </w:rPr>
        <w:t> </w:t>
      </w:r>
      <w:r w:rsidR="007123E1" w:rsidRPr="00E50178">
        <w:rPr>
          <w:lang w:val="fr-CH"/>
        </w:rPr>
        <w:t>fonctions</w:t>
      </w:r>
      <w:r w:rsidRPr="00E50178">
        <w:rPr>
          <w:lang w:val="fr-CH"/>
        </w:rPr>
        <w:t xml:space="preserve"> de la division afin, notamment, de tirer parti des synergies potentielles, d</w:t>
      </w:r>
      <w:r w:rsidR="00F82D32">
        <w:rPr>
          <w:lang w:val="fr-CH"/>
        </w:rPr>
        <w:t>’</w:t>
      </w:r>
      <w:r w:rsidRPr="00E50178">
        <w:rPr>
          <w:lang w:val="fr-CH"/>
        </w:rPr>
        <w:t>éviter les chevauchements d</w:t>
      </w:r>
      <w:r w:rsidR="00F82D32">
        <w:rPr>
          <w:lang w:val="fr-CH"/>
        </w:rPr>
        <w:t>’</w:t>
      </w:r>
      <w:r w:rsidRPr="00E50178">
        <w:rPr>
          <w:lang w:val="fr-CH"/>
        </w:rPr>
        <w:t>activités et de renforcer la valeur ajout</w:t>
      </w:r>
      <w:r w:rsidR="00EF3A93" w:rsidRPr="00E50178">
        <w:rPr>
          <w:lang w:val="fr-CH"/>
        </w:rPr>
        <w:t>ée</w:t>
      </w:r>
      <w:r w:rsidR="00EF3A93">
        <w:rPr>
          <w:lang w:val="fr-CH"/>
        </w:rPr>
        <w:t xml:space="preserve">.  </w:t>
      </w:r>
      <w:r w:rsidR="00EF3A93" w:rsidRPr="00E50178">
        <w:rPr>
          <w:lang w:val="fr-CH"/>
        </w:rPr>
        <w:t>Au</w:t>
      </w:r>
      <w:r w:rsidRPr="00E50178">
        <w:rPr>
          <w:lang w:val="fr-CH"/>
        </w:rPr>
        <w:t xml:space="preserve"> cours de la période considérée,</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a </w:t>
      </w:r>
      <w:r w:rsidR="007123E1" w:rsidRPr="00E50178">
        <w:rPr>
          <w:lang w:val="fr-CH"/>
        </w:rPr>
        <w:t>mené</w:t>
      </w:r>
      <w:r w:rsidRPr="00E50178">
        <w:rPr>
          <w:lang w:val="fr-CH"/>
        </w:rPr>
        <w:t xml:space="preserve"> l</w:t>
      </w:r>
      <w:r w:rsidR="00A6657A" w:rsidRPr="00E50178">
        <w:rPr>
          <w:lang w:val="fr-CH"/>
        </w:rPr>
        <w:t>e</w:t>
      </w:r>
      <w:r w:rsidRPr="00E50178">
        <w:rPr>
          <w:lang w:val="fr-CH"/>
        </w:rPr>
        <w:t xml:space="preserve"> premi</w:t>
      </w:r>
      <w:r w:rsidR="00A6657A" w:rsidRPr="00E50178">
        <w:rPr>
          <w:lang w:val="fr-CH"/>
        </w:rPr>
        <w:t xml:space="preserve">er exercice combiné </w:t>
      </w:r>
      <w:r w:rsidR="007123E1" w:rsidRPr="00E50178">
        <w:rPr>
          <w:lang w:val="fr-CH"/>
        </w:rPr>
        <w:t>d</w:t>
      </w:r>
      <w:r w:rsidR="00F82D32">
        <w:rPr>
          <w:lang w:val="fr-CH"/>
        </w:rPr>
        <w:t>’</w:t>
      </w:r>
      <w:r w:rsidR="00A6657A" w:rsidRPr="00E50178">
        <w:rPr>
          <w:lang w:val="fr-CH"/>
        </w:rPr>
        <w:t>évaluation</w:t>
      </w:r>
      <w:r w:rsidR="007123E1" w:rsidRPr="00E50178">
        <w:rPr>
          <w:lang w:val="fr-CH"/>
        </w:rPr>
        <w:t xml:space="preserve"> et d</w:t>
      </w:r>
      <w:r w:rsidR="00F82D32">
        <w:rPr>
          <w:lang w:val="fr-CH"/>
        </w:rPr>
        <w:t>’</w:t>
      </w:r>
      <w:r w:rsidRPr="00E50178">
        <w:rPr>
          <w:lang w:val="fr-CH"/>
        </w:rPr>
        <w:t>audit de la Politique de l</w:t>
      </w:r>
      <w:r w:rsidR="00F82D32">
        <w:rPr>
          <w:lang w:val="fr-CH"/>
        </w:rPr>
        <w:t>’</w:t>
      </w:r>
      <w:r w:rsidRPr="00E50178">
        <w:rPr>
          <w:lang w:val="fr-CH"/>
        </w:rPr>
        <w:t>OMPI en matière d</w:t>
      </w:r>
      <w:r w:rsidR="00F82D32">
        <w:rPr>
          <w:lang w:val="fr-CH"/>
        </w:rPr>
        <w:t>’</w:t>
      </w:r>
      <w:r w:rsidRPr="00E50178">
        <w:rPr>
          <w:lang w:val="fr-CH"/>
        </w:rPr>
        <w:t>égalité des sexes, qui</w:t>
      </w:r>
      <w:r w:rsidR="003F6EA2" w:rsidRPr="00E50178">
        <w:rPr>
          <w:lang w:val="fr-CH"/>
        </w:rPr>
        <w:t xml:space="preserve"> lui</w:t>
      </w:r>
      <w:r w:rsidRPr="00E50178">
        <w:rPr>
          <w:lang w:val="fr-CH"/>
        </w:rPr>
        <w:t xml:space="preserve"> a permis d</w:t>
      </w:r>
      <w:r w:rsidR="00F82D32">
        <w:rPr>
          <w:lang w:val="fr-CH"/>
        </w:rPr>
        <w:t>’</w:t>
      </w:r>
      <w:r w:rsidRPr="00E50178">
        <w:rPr>
          <w:lang w:val="fr-CH"/>
        </w:rPr>
        <w:t xml:space="preserve">obtenir des résultats </w:t>
      </w:r>
      <w:r w:rsidR="00610666" w:rsidRPr="00E50178">
        <w:rPr>
          <w:lang w:val="fr-CH"/>
        </w:rPr>
        <w:t>“</w:t>
      </w:r>
      <w:r w:rsidRPr="00E50178">
        <w:rPr>
          <w:lang w:val="fr-CH"/>
        </w:rPr>
        <w:t>supérieurs aux exigences</w:t>
      </w:r>
      <w:r w:rsidR="00610666" w:rsidRPr="00E50178">
        <w:rPr>
          <w:lang w:val="fr-CH"/>
        </w:rPr>
        <w:t>”</w:t>
      </w:r>
      <w:r w:rsidRPr="00E50178">
        <w:rPr>
          <w:lang w:val="fr-CH"/>
        </w:rPr>
        <w:t xml:space="preserve"> </w:t>
      </w:r>
      <w:r w:rsidR="00AE63B3">
        <w:rPr>
          <w:lang w:val="fr-CH"/>
        </w:rPr>
        <w:t>à l</w:t>
      </w:r>
      <w:r w:rsidR="00F82D32">
        <w:rPr>
          <w:lang w:val="fr-CH"/>
        </w:rPr>
        <w:t>’</w:t>
      </w:r>
      <w:r w:rsidR="00AE63B3">
        <w:rPr>
          <w:lang w:val="fr-CH"/>
        </w:rPr>
        <w:t>égard</w:t>
      </w:r>
      <w:r w:rsidR="003F6EA2" w:rsidRPr="00E50178">
        <w:rPr>
          <w:lang w:val="fr-CH"/>
        </w:rPr>
        <w:t xml:space="preserve"> du </w:t>
      </w:r>
      <w:r w:rsidRPr="00E50178">
        <w:rPr>
          <w:lang w:val="fr-CH"/>
        </w:rPr>
        <w:t>Plan d</w:t>
      </w:r>
      <w:r w:rsidR="00F82D32">
        <w:rPr>
          <w:lang w:val="fr-CH"/>
        </w:rPr>
        <w:t>’</w:t>
      </w:r>
      <w:r w:rsidRPr="00E50178">
        <w:rPr>
          <w:lang w:val="fr-CH"/>
        </w:rPr>
        <w:t>action à l</w:t>
      </w:r>
      <w:r w:rsidR="00F82D32">
        <w:rPr>
          <w:lang w:val="fr-CH"/>
        </w:rPr>
        <w:t>’</w:t>
      </w:r>
      <w:r w:rsidRPr="00E50178">
        <w:rPr>
          <w:lang w:val="fr-CH"/>
        </w:rPr>
        <w:t xml:space="preserve">échelle du système des </w:t>
      </w:r>
      <w:r w:rsidR="00AE63B3">
        <w:rPr>
          <w:lang w:val="fr-CH"/>
        </w:rPr>
        <w:t>Nations Unies</w:t>
      </w:r>
      <w:r w:rsidRPr="00E50178">
        <w:rPr>
          <w:lang w:val="fr-CH"/>
        </w:rPr>
        <w:t xml:space="preserve"> pour l</w:t>
      </w:r>
      <w:r w:rsidR="00F82D32">
        <w:rPr>
          <w:lang w:val="fr-CH"/>
        </w:rPr>
        <w:t>’</w:t>
      </w:r>
      <w:r w:rsidRPr="00E50178">
        <w:rPr>
          <w:lang w:val="fr-CH"/>
        </w:rPr>
        <w:t xml:space="preserve">égalité des sexes et </w:t>
      </w:r>
      <w:r w:rsidR="007123E1" w:rsidRPr="00E50178">
        <w:rPr>
          <w:lang w:val="fr-CH"/>
        </w:rPr>
        <w:t>l</w:t>
      </w:r>
      <w:r w:rsidR="00F82D32">
        <w:rPr>
          <w:lang w:val="fr-CH"/>
        </w:rPr>
        <w:t>’</w:t>
      </w:r>
      <w:r w:rsidR="007123E1" w:rsidRPr="00E50178">
        <w:rPr>
          <w:lang w:val="fr-CH"/>
        </w:rPr>
        <w:t>avancement</w:t>
      </w:r>
      <w:r w:rsidRPr="00E50178">
        <w:rPr>
          <w:lang w:val="fr-CH"/>
        </w:rPr>
        <w:t xml:space="preserve"> des femmes (ONU</w:t>
      </w:r>
      <w:r w:rsidR="007379C2">
        <w:rPr>
          <w:lang w:val="fr-CH"/>
        </w:rPr>
        <w:noBreakHyphen/>
      </w:r>
      <w:r w:rsidRPr="00E50178">
        <w:rPr>
          <w:lang w:val="fr-CH"/>
        </w:rPr>
        <w:t xml:space="preserve">SWAP) pour </w:t>
      </w:r>
      <w:r w:rsidR="003F6EA2" w:rsidRPr="00E50178">
        <w:rPr>
          <w:lang w:val="fr-CH"/>
        </w:rPr>
        <w:t>s</w:t>
      </w:r>
      <w:r w:rsidRPr="00E50178">
        <w:rPr>
          <w:lang w:val="fr-CH"/>
        </w:rPr>
        <w:t xml:space="preserve">es activités </w:t>
      </w:r>
      <w:r w:rsidR="00DE3BC1" w:rsidRPr="00E50178">
        <w:rPr>
          <w:lang w:val="fr-CH"/>
        </w:rPr>
        <w:t>de</w:t>
      </w:r>
      <w:r w:rsidR="00DE3BC1">
        <w:rPr>
          <w:lang w:val="fr-CH"/>
        </w:rPr>
        <w:t> </w:t>
      </w:r>
      <w:r w:rsidR="00DE3BC1" w:rsidRPr="00E50178">
        <w:rPr>
          <w:lang w:val="fr-CH"/>
        </w:rPr>
        <w:t>2019</w:t>
      </w:r>
      <w:r w:rsidRPr="00E50178">
        <w:rPr>
          <w:lang w:val="fr-CH"/>
        </w:rPr>
        <w:t>.</w:t>
      </w:r>
      <w:r w:rsidR="007E5351" w:rsidRPr="00E50178">
        <w:rPr>
          <w:lang w:val="fr-CH"/>
        </w:rPr>
        <w:t xml:space="preserve"> </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a également </w:t>
      </w:r>
      <w:r w:rsidRPr="00E50178">
        <w:rPr>
          <w:lang w:val="fr-CH"/>
        </w:rPr>
        <w:lastRenderedPageBreak/>
        <w:t>achevé un examen combiné en matière d</w:t>
      </w:r>
      <w:r w:rsidR="00F82D32">
        <w:rPr>
          <w:lang w:val="fr-CH"/>
        </w:rPr>
        <w:t>’</w:t>
      </w:r>
      <w:r w:rsidRPr="00E50178">
        <w:rPr>
          <w:lang w:val="fr-CH"/>
        </w:rPr>
        <w:t>audit et d</w:t>
      </w:r>
      <w:r w:rsidR="00F82D32">
        <w:rPr>
          <w:lang w:val="fr-CH"/>
        </w:rPr>
        <w:t>’</w:t>
      </w:r>
      <w:r w:rsidRPr="00E50178">
        <w:rPr>
          <w:lang w:val="fr-CH"/>
        </w:rPr>
        <w:t>intégrité concernant les prestations et avantages</w:t>
      </w:r>
      <w:r w:rsidR="000A117A" w:rsidRPr="00E50178">
        <w:rPr>
          <w:lang w:val="fr-CH"/>
        </w:rPr>
        <w:t xml:space="preserve"> et</w:t>
      </w:r>
      <w:r w:rsidRPr="00E50178">
        <w:rPr>
          <w:lang w:val="fr-CH"/>
        </w:rPr>
        <w:t xml:space="preserve"> mettant à profit les compétences des fonctions d</w:t>
      </w:r>
      <w:r w:rsidR="00F82D32">
        <w:rPr>
          <w:lang w:val="fr-CH"/>
        </w:rPr>
        <w:t>’</w:t>
      </w:r>
      <w:r w:rsidRPr="00E50178">
        <w:rPr>
          <w:lang w:val="fr-CH"/>
        </w:rPr>
        <w:t>audit et d</w:t>
      </w:r>
      <w:r w:rsidR="00F82D32">
        <w:rPr>
          <w:lang w:val="fr-CH"/>
        </w:rPr>
        <w:t>’</w:t>
      </w:r>
      <w:r w:rsidRPr="00E50178">
        <w:rPr>
          <w:lang w:val="fr-CH"/>
        </w:rPr>
        <w:t>enquê</w:t>
      </w:r>
      <w:r w:rsidR="00EF3A93" w:rsidRPr="00E50178">
        <w:rPr>
          <w:lang w:val="fr-CH"/>
        </w:rPr>
        <w:t>te</w:t>
      </w:r>
      <w:r w:rsidR="00EF3A93">
        <w:rPr>
          <w:lang w:val="fr-CH"/>
        </w:rPr>
        <w:t xml:space="preserve">.  </w:t>
      </w:r>
      <w:r w:rsidR="00EF3A93" w:rsidRPr="00E50178">
        <w:rPr>
          <w:lang w:val="fr-CH"/>
        </w:rPr>
        <w:t>Le</w:t>
      </w:r>
      <w:r w:rsidRPr="00E50178">
        <w:rPr>
          <w:lang w:val="fr-CH"/>
        </w:rPr>
        <w:t xml:space="preserve"> rapport final sera publié </w:t>
      </w:r>
      <w:r w:rsidR="00DE3BC1" w:rsidRPr="00E50178">
        <w:rPr>
          <w:lang w:val="fr-CH"/>
        </w:rPr>
        <w:t>en</w:t>
      </w:r>
      <w:r w:rsidR="00DE3BC1">
        <w:rPr>
          <w:lang w:val="fr-CH"/>
        </w:rPr>
        <w:t> </w:t>
      </w:r>
      <w:r w:rsidR="00DE3BC1" w:rsidRPr="00E50178">
        <w:rPr>
          <w:lang w:val="fr-CH"/>
        </w:rPr>
        <w:t>2020</w:t>
      </w:r>
      <w:r w:rsidRPr="00E50178">
        <w:rPr>
          <w:lang w:val="fr-CH"/>
        </w:rPr>
        <w:t>.</w:t>
      </w:r>
    </w:p>
    <w:p w14:paraId="739C0B1F" w14:textId="6BF77C22" w:rsidR="00C5485D" w:rsidRDefault="00201AA7" w:rsidP="00191710">
      <w:pPr>
        <w:pStyle w:val="ONUMFS"/>
        <w:rPr>
          <w:lang w:val="fr-CH"/>
        </w:rPr>
      </w:pPr>
      <w:r w:rsidRPr="00E50178">
        <w:rPr>
          <w:lang w:val="fr-CH"/>
        </w:rPr>
        <w:t>Dans le cadre de l</w:t>
      </w:r>
      <w:r w:rsidR="00F82D32">
        <w:rPr>
          <w:lang w:val="fr-CH"/>
        </w:rPr>
        <w:t>’</w:t>
      </w:r>
      <w:r w:rsidRPr="00E50178">
        <w:rPr>
          <w:lang w:val="fr-CH"/>
        </w:rPr>
        <w:t>assurance de la qualité de la fonction d</w:t>
      </w:r>
      <w:r w:rsidR="00F82D32">
        <w:rPr>
          <w:lang w:val="fr-CH"/>
        </w:rPr>
        <w:t>’</w:t>
      </w:r>
      <w:r w:rsidRPr="00E50178">
        <w:rPr>
          <w:lang w:val="fr-CH"/>
        </w:rPr>
        <w:t>évaluation, une évaluation externe de la qualité a été réalisée, donnant des assurances quant à la conformité des pratiques de la Section de l</w:t>
      </w:r>
      <w:r w:rsidR="00F82D32">
        <w:rPr>
          <w:lang w:val="fr-CH"/>
        </w:rPr>
        <w:t>’</w:t>
      </w:r>
      <w:r w:rsidRPr="00E50178">
        <w:rPr>
          <w:lang w:val="fr-CH"/>
        </w:rPr>
        <w:t xml:space="preserve">évaluation avec les normes et </w:t>
      </w:r>
      <w:r w:rsidR="004B39EB" w:rsidRPr="00E50178">
        <w:rPr>
          <w:lang w:val="fr-CH"/>
        </w:rPr>
        <w:t>règles</w:t>
      </w:r>
      <w:r w:rsidRPr="00E50178">
        <w:rPr>
          <w:lang w:val="fr-CH"/>
        </w:rPr>
        <w:t xml:space="preserve"> d</w:t>
      </w:r>
      <w:r w:rsidR="00F82D32">
        <w:rPr>
          <w:lang w:val="fr-CH"/>
        </w:rPr>
        <w:t>’</w:t>
      </w:r>
      <w:r w:rsidRPr="00E50178">
        <w:rPr>
          <w:lang w:val="fr-CH"/>
        </w:rPr>
        <w:t xml:space="preserve">évaluation </w:t>
      </w:r>
      <w:r w:rsidR="004B39EB" w:rsidRPr="00E50178">
        <w:rPr>
          <w:lang w:val="fr-CH"/>
        </w:rPr>
        <w:t>du</w:t>
      </w:r>
      <w:r w:rsidRPr="00E50178">
        <w:rPr>
          <w:lang w:val="fr-CH"/>
        </w:rPr>
        <w:t xml:space="preserve"> Groupe des </w:t>
      </w:r>
      <w:r w:rsidR="00AE63B3">
        <w:rPr>
          <w:lang w:val="fr-CH"/>
        </w:rPr>
        <w:t>Nations Unies</w:t>
      </w:r>
      <w:r w:rsidRPr="00E50178">
        <w:rPr>
          <w:lang w:val="fr-CH"/>
        </w:rPr>
        <w:t xml:space="preserve"> sur l</w:t>
      </w:r>
      <w:r w:rsidR="00F82D32">
        <w:rPr>
          <w:lang w:val="fr-CH"/>
        </w:rPr>
        <w:t>’</w:t>
      </w:r>
      <w:r w:rsidRPr="00E50178">
        <w:rPr>
          <w:lang w:val="fr-CH"/>
        </w:rPr>
        <w:t>évaluation (GNUE), la Charte de la supervision interne de l</w:t>
      </w:r>
      <w:r w:rsidR="00F82D32">
        <w:rPr>
          <w:lang w:val="fr-CH"/>
        </w:rPr>
        <w:t>’</w:t>
      </w:r>
      <w:r w:rsidRPr="00E50178">
        <w:rPr>
          <w:lang w:val="fr-CH"/>
        </w:rPr>
        <w:t>OMPI et</w:t>
      </w:r>
      <w:r w:rsidR="004B39EB" w:rsidRPr="00E50178">
        <w:rPr>
          <w:lang w:val="fr-CH"/>
        </w:rPr>
        <w:t xml:space="preserve"> </w:t>
      </w:r>
      <w:r w:rsidRPr="00E50178">
        <w:rPr>
          <w:lang w:val="fr-CH"/>
        </w:rPr>
        <w:t>sa politique d</w:t>
      </w:r>
      <w:r w:rsidR="00F82D32">
        <w:rPr>
          <w:lang w:val="fr-CH"/>
        </w:rPr>
        <w:t>’</w:t>
      </w:r>
      <w:r w:rsidRPr="00E50178">
        <w:rPr>
          <w:lang w:val="fr-CH"/>
        </w:rPr>
        <w:t>évaluati</w:t>
      </w:r>
      <w:r w:rsidR="00EF3A93" w:rsidRPr="00E50178">
        <w:rPr>
          <w:lang w:val="fr-CH"/>
        </w:rPr>
        <w:t>on</w:t>
      </w:r>
      <w:r w:rsidR="00EF3A93">
        <w:rPr>
          <w:lang w:val="fr-CH"/>
        </w:rPr>
        <w:t xml:space="preserve">.  </w:t>
      </w:r>
      <w:r w:rsidR="00EF3A93" w:rsidRPr="00E50178">
        <w:rPr>
          <w:lang w:val="fr-CH"/>
        </w:rPr>
        <w:t>En</w:t>
      </w:r>
      <w:r w:rsidRPr="00E50178">
        <w:rPr>
          <w:lang w:val="fr-CH"/>
        </w:rPr>
        <w:t xml:space="preserve"> outre, l</w:t>
      </w:r>
      <w:r w:rsidR="00F82D32">
        <w:rPr>
          <w:lang w:val="fr-CH"/>
        </w:rPr>
        <w:t>’</w:t>
      </w:r>
      <w:r w:rsidRPr="00E50178">
        <w:rPr>
          <w:lang w:val="fr-CH"/>
        </w:rPr>
        <w:t>évaluation externe de la qualité a permis d</w:t>
      </w:r>
      <w:r w:rsidR="00F82D32">
        <w:rPr>
          <w:lang w:val="fr-CH"/>
        </w:rPr>
        <w:t>’</w:t>
      </w:r>
      <w:r w:rsidRPr="00E50178">
        <w:rPr>
          <w:lang w:val="fr-CH"/>
        </w:rPr>
        <w:t>évaluer l</w:t>
      </w:r>
      <w:r w:rsidR="00F82D32">
        <w:rPr>
          <w:lang w:val="fr-CH"/>
        </w:rPr>
        <w:t>’</w:t>
      </w:r>
      <w:r w:rsidRPr="00E50178">
        <w:rPr>
          <w:lang w:val="fr-CH"/>
        </w:rPr>
        <w:t>efficacité</w:t>
      </w:r>
      <w:r w:rsidR="000A117A" w:rsidRPr="00E50178">
        <w:rPr>
          <w:lang w:val="fr-CH"/>
        </w:rPr>
        <w:t xml:space="preserve"> et la </w:t>
      </w:r>
      <w:r w:rsidRPr="00E50178">
        <w:rPr>
          <w:lang w:val="fr-CH"/>
        </w:rPr>
        <w:t>qualité</w:t>
      </w:r>
      <w:r w:rsidR="000A117A" w:rsidRPr="00E50178">
        <w:rPr>
          <w:lang w:val="fr-CH"/>
        </w:rPr>
        <w:t xml:space="preserve"> des procédures et produits en matière d</w:t>
      </w:r>
      <w:r w:rsidR="00F82D32">
        <w:rPr>
          <w:lang w:val="fr-CH"/>
        </w:rPr>
        <w:t>’</w:t>
      </w:r>
      <w:r w:rsidR="000A117A" w:rsidRPr="00E50178">
        <w:rPr>
          <w:lang w:val="fr-CH"/>
        </w:rPr>
        <w:t>évaluation, ainsi que les capacités dans ce domaine</w:t>
      </w:r>
      <w:r w:rsidRPr="00E50178">
        <w:rPr>
          <w:lang w:val="fr-CH"/>
        </w:rPr>
        <w:t>.</w:t>
      </w:r>
    </w:p>
    <w:p w14:paraId="3CCBE503" w14:textId="3D78CAFB" w:rsidR="00C5485D" w:rsidRDefault="00201AA7" w:rsidP="00191710">
      <w:pPr>
        <w:pStyle w:val="ONUMFS"/>
        <w:rPr>
          <w:lang w:val="fr-CH"/>
        </w:rPr>
      </w:pPr>
      <w:r w:rsidRPr="00E50178">
        <w:rPr>
          <w:lang w:val="fr-CH"/>
        </w:rPr>
        <w:t>Le rapport d</w:t>
      </w:r>
      <w:r w:rsidR="00F82D32">
        <w:rPr>
          <w:lang w:val="fr-CH"/>
        </w:rPr>
        <w:t>’</w:t>
      </w:r>
      <w:r w:rsidRPr="00E50178">
        <w:rPr>
          <w:lang w:val="fr-CH"/>
        </w:rPr>
        <w:t xml:space="preserve">évaluation externe de la qualité </w:t>
      </w:r>
      <w:r w:rsidR="005A4AAE" w:rsidRPr="00E50178">
        <w:rPr>
          <w:lang w:val="fr-CH"/>
        </w:rPr>
        <w:t>a indiqué en conclusion q</w:t>
      </w:r>
      <w:r w:rsidRPr="00E50178">
        <w:rPr>
          <w:lang w:val="fr-CH"/>
        </w:rPr>
        <w:t>ue la fonction d</w:t>
      </w:r>
      <w:r w:rsidR="00F82D32">
        <w:rPr>
          <w:lang w:val="fr-CH"/>
        </w:rPr>
        <w:t>’</w:t>
      </w:r>
      <w:r w:rsidRPr="00E50178">
        <w:rPr>
          <w:lang w:val="fr-CH"/>
        </w:rPr>
        <w:t>évaluation de l</w:t>
      </w:r>
      <w:r w:rsidR="00F82D32">
        <w:rPr>
          <w:lang w:val="fr-CH"/>
        </w:rPr>
        <w:t>’</w:t>
      </w:r>
      <w:r w:rsidRPr="00E50178">
        <w:rPr>
          <w:lang w:val="fr-CH"/>
        </w:rPr>
        <w:t xml:space="preserve">OMPI </w:t>
      </w:r>
      <w:r w:rsidR="005A4AAE" w:rsidRPr="00E50178">
        <w:rPr>
          <w:lang w:val="fr-CH"/>
        </w:rPr>
        <w:t>était</w:t>
      </w:r>
      <w:r w:rsidRPr="00E50178">
        <w:rPr>
          <w:lang w:val="fr-CH"/>
        </w:rPr>
        <w:t xml:space="preserve"> conforme, dans tous ses aspects significatifs, </w:t>
      </w:r>
      <w:r w:rsidR="005A4AAE" w:rsidRPr="00E50178">
        <w:rPr>
          <w:lang w:val="fr-CH"/>
        </w:rPr>
        <w:t>avec les</w:t>
      </w:r>
      <w:r w:rsidRPr="00E50178">
        <w:rPr>
          <w:lang w:val="fr-CH"/>
        </w:rPr>
        <w:t xml:space="preserve"> normes et </w:t>
      </w:r>
      <w:r w:rsidR="005A4AAE" w:rsidRPr="00E50178">
        <w:rPr>
          <w:lang w:val="fr-CH"/>
        </w:rPr>
        <w:t>règles</w:t>
      </w:r>
      <w:r w:rsidRPr="00E50178">
        <w:rPr>
          <w:lang w:val="fr-CH"/>
        </w:rPr>
        <w:t xml:space="preserve"> d</w:t>
      </w:r>
      <w:r w:rsidR="00F82D32">
        <w:rPr>
          <w:lang w:val="fr-CH"/>
        </w:rPr>
        <w:t>’</w:t>
      </w:r>
      <w:r w:rsidRPr="00E50178">
        <w:rPr>
          <w:lang w:val="fr-CH"/>
        </w:rPr>
        <w:t>évaluation</w:t>
      </w:r>
      <w:r w:rsidR="00DE3BC1" w:rsidRPr="00E50178">
        <w:rPr>
          <w:lang w:val="fr-CH"/>
        </w:rPr>
        <w:t xml:space="preserve"> du</w:t>
      </w:r>
      <w:r w:rsidR="00DE3BC1">
        <w:rPr>
          <w:lang w:val="fr-CH"/>
        </w:rPr>
        <w:t> </w:t>
      </w:r>
      <w:r w:rsidR="00DE3BC1" w:rsidRPr="00E50178">
        <w:rPr>
          <w:lang w:val="fr-CH"/>
        </w:rPr>
        <w:t>GNU</w:t>
      </w:r>
      <w:r w:rsidR="005A4AAE" w:rsidRPr="00E50178">
        <w:rPr>
          <w:lang w:val="fr-CH"/>
        </w:rPr>
        <w:t>E</w:t>
      </w:r>
      <w:r w:rsidRPr="00E50178">
        <w:rPr>
          <w:lang w:val="fr-CH"/>
        </w:rPr>
        <w:t xml:space="preserve"> et </w:t>
      </w:r>
      <w:r w:rsidR="005A4AAE" w:rsidRPr="00E50178">
        <w:rPr>
          <w:lang w:val="fr-CH"/>
        </w:rPr>
        <w:t>avec</w:t>
      </w:r>
      <w:r w:rsidRPr="00E50178">
        <w:rPr>
          <w:lang w:val="fr-CH"/>
        </w:rPr>
        <w:t xml:space="preserve"> la Charte de la supervision interne de l</w:t>
      </w:r>
      <w:r w:rsidR="00F82D32">
        <w:rPr>
          <w:lang w:val="fr-CH"/>
        </w:rPr>
        <w:t>’</w:t>
      </w:r>
      <w:r w:rsidRPr="00E50178">
        <w:rPr>
          <w:lang w:val="fr-CH"/>
        </w:rPr>
        <w:t>O</w:t>
      </w:r>
      <w:r w:rsidR="00EF3A93" w:rsidRPr="00E50178">
        <w:rPr>
          <w:lang w:val="fr-CH"/>
        </w:rPr>
        <w:t>MPI</w:t>
      </w:r>
      <w:r w:rsidR="00EF3A93">
        <w:rPr>
          <w:lang w:val="fr-CH"/>
        </w:rPr>
        <w:t xml:space="preserve">.  </w:t>
      </w:r>
      <w:r w:rsidR="00EF3A93" w:rsidRPr="00E50178">
        <w:rPr>
          <w:lang w:val="fr-CH"/>
        </w:rPr>
        <w:t>En</w:t>
      </w:r>
      <w:r w:rsidR="00E70D72" w:rsidRPr="00E50178">
        <w:rPr>
          <w:lang w:val="fr-CH"/>
        </w:rPr>
        <w:t xml:space="preserve"> outre, l</w:t>
      </w:r>
      <w:r w:rsidR="00F82D32">
        <w:rPr>
          <w:lang w:val="fr-CH"/>
        </w:rPr>
        <w:t>’</w:t>
      </w:r>
      <w:r w:rsidR="00E70D72" w:rsidRPr="00E50178">
        <w:rPr>
          <w:lang w:val="fr-CH"/>
        </w:rPr>
        <w:t>évaluation externe de la qualité a</w:t>
      </w:r>
      <w:r w:rsidR="00706D5C" w:rsidRPr="00E50178">
        <w:rPr>
          <w:lang w:val="fr-CH"/>
        </w:rPr>
        <w:t xml:space="preserve"> permis de</w:t>
      </w:r>
      <w:r w:rsidR="00E70D72" w:rsidRPr="00E50178">
        <w:rPr>
          <w:lang w:val="fr-CH"/>
        </w:rPr>
        <w:t xml:space="preserve"> détermin</w:t>
      </w:r>
      <w:r w:rsidR="00706D5C" w:rsidRPr="00E50178">
        <w:rPr>
          <w:lang w:val="fr-CH"/>
        </w:rPr>
        <w:t>er</w:t>
      </w:r>
      <w:r w:rsidR="00E70D72" w:rsidRPr="00E50178">
        <w:rPr>
          <w:lang w:val="fr-CH"/>
        </w:rPr>
        <w:t xml:space="preserve"> que la fonction d</w:t>
      </w:r>
      <w:r w:rsidR="00F82D32">
        <w:rPr>
          <w:lang w:val="fr-CH"/>
        </w:rPr>
        <w:t>’</w:t>
      </w:r>
      <w:r w:rsidR="00E70D72" w:rsidRPr="00E50178">
        <w:rPr>
          <w:lang w:val="fr-CH"/>
        </w:rPr>
        <w:t xml:space="preserve">évaluation </w:t>
      </w:r>
      <w:r w:rsidR="00706D5C" w:rsidRPr="00E50178">
        <w:rPr>
          <w:lang w:val="fr-CH"/>
        </w:rPr>
        <w:t>reposait</w:t>
      </w:r>
      <w:r w:rsidR="005A4AAE" w:rsidRPr="00E50178">
        <w:rPr>
          <w:lang w:val="fr-CH"/>
        </w:rPr>
        <w:t xml:space="preserve"> sur</w:t>
      </w:r>
      <w:r w:rsidR="00E70D72" w:rsidRPr="00E50178">
        <w:rPr>
          <w:lang w:val="fr-CH"/>
        </w:rPr>
        <w:t xml:space="preserve"> des systèmes et proc</w:t>
      </w:r>
      <w:r w:rsidR="00DD6214" w:rsidRPr="00E50178">
        <w:rPr>
          <w:lang w:val="fr-CH"/>
        </w:rPr>
        <w:t>édure</w:t>
      </w:r>
      <w:r w:rsidR="00E70D72" w:rsidRPr="00E50178">
        <w:rPr>
          <w:lang w:val="fr-CH"/>
        </w:rPr>
        <w:t xml:space="preserve">s </w:t>
      </w:r>
      <w:r w:rsidR="005A4AAE" w:rsidRPr="00E50178">
        <w:rPr>
          <w:lang w:val="fr-CH"/>
        </w:rPr>
        <w:t>lui permettant de</w:t>
      </w:r>
      <w:r w:rsidR="00E70D72" w:rsidRPr="00E50178">
        <w:rPr>
          <w:lang w:val="fr-CH"/>
        </w:rPr>
        <w:t xml:space="preserve"> préserver son impartialité et sa crédibilité</w:t>
      </w:r>
      <w:r w:rsidR="00DD6214" w:rsidRPr="00E50178">
        <w:rPr>
          <w:lang w:val="fr-CH"/>
        </w:rPr>
        <w:t xml:space="preserve"> tout</w:t>
      </w:r>
      <w:r w:rsidR="00E70D72" w:rsidRPr="00E50178">
        <w:rPr>
          <w:lang w:val="fr-CH"/>
        </w:rPr>
        <w:t xml:space="preserve"> en fournissant des services </w:t>
      </w:r>
      <w:r w:rsidR="00DD6214" w:rsidRPr="00E50178">
        <w:rPr>
          <w:lang w:val="fr-CH"/>
        </w:rPr>
        <w:t>utiles en matière de</w:t>
      </w:r>
      <w:r w:rsidR="00E70D72" w:rsidRPr="00E50178">
        <w:rPr>
          <w:lang w:val="fr-CH"/>
        </w:rPr>
        <w:t xml:space="preserve"> reddition de comptes </w:t>
      </w:r>
      <w:r w:rsidR="00DD6214" w:rsidRPr="00E50178">
        <w:rPr>
          <w:lang w:val="fr-CH"/>
        </w:rPr>
        <w:t>ainsi que</w:t>
      </w:r>
      <w:r w:rsidR="00E70D72" w:rsidRPr="00E50178">
        <w:rPr>
          <w:lang w:val="fr-CH"/>
        </w:rPr>
        <w:t xml:space="preserve"> des produits de qualité</w:t>
      </w:r>
      <w:r w:rsidR="00DD6214" w:rsidRPr="00E50178">
        <w:rPr>
          <w:lang w:val="fr-CH"/>
        </w:rPr>
        <w:t>,</w:t>
      </w:r>
      <w:r w:rsidR="00E70D72" w:rsidRPr="00E50178">
        <w:rPr>
          <w:lang w:val="fr-CH"/>
        </w:rPr>
        <w:t xml:space="preserve"> dans l</w:t>
      </w:r>
      <w:r w:rsidR="00F82D32">
        <w:rPr>
          <w:lang w:val="fr-CH"/>
        </w:rPr>
        <w:t>’</w:t>
      </w:r>
      <w:r w:rsidR="00E70D72" w:rsidRPr="00E50178">
        <w:rPr>
          <w:lang w:val="fr-CH"/>
        </w:rPr>
        <w:t>intérêt de l</w:t>
      </w:r>
      <w:r w:rsidR="00F82D32">
        <w:rPr>
          <w:lang w:val="fr-CH"/>
        </w:rPr>
        <w:t>’</w:t>
      </w:r>
      <w:r w:rsidR="00E70D72" w:rsidRPr="00E50178">
        <w:rPr>
          <w:lang w:val="fr-CH"/>
        </w:rPr>
        <w:t>Organisation et de ses parties prenantes.</w:t>
      </w:r>
    </w:p>
    <w:p w14:paraId="054A1E19" w14:textId="49F4AAA1" w:rsidR="00C5485D" w:rsidRDefault="00E70D72" w:rsidP="00191710">
      <w:pPr>
        <w:pStyle w:val="ONUMFS"/>
        <w:rPr>
          <w:lang w:val="fr-CH"/>
        </w:rPr>
      </w:pPr>
      <w:r w:rsidRPr="00E50178">
        <w:rPr>
          <w:lang w:val="fr-CH"/>
        </w:rPr>
        <w:t>Les fonctions d</w:t>
      </w:r>
      <w:r w:rsidR="00F82D32">
        <w:rPr>
          <w:lang w:val="fr-CH"/>
        </w:rPr>
        <w:t>’</w:t>
      </w:r>
      <w:r w:rsidRPr="00E50178">
        <w:rPr>
          <w:lang w:val="fr-CH"/>
        </w:rPr>
        <w:t>audit interne et d</w:t>
      </w:r>
      <w:r w:rsidR="00F82D32">
        <w:rPr>
          <w:lang w:val="fr-CH"/>
        </w:rPr>
        <w:t>’</w:t>
      </w:r>
      <w:r w:rsidRPr="00E50178">
        <w:rPr>
          <w:lang w:val="fr-CH"/>
        </w:rPr>
        <w:t xml:space="preserve">enquête seront soumises à une évaluation externe de la qualité </w:t>
      </w:r>
      <w:r w:rsidR="00DE3BC1" w:rsidRPr="00E50178">
        <w:rPr>
          <w:lang w:val="fr-CH"/>
        </w:rPr>
        <w:t>en</w:t>
      </w:r>
      <w:r w:rsidR="00DE3BC1">
        <w:rPr>
          <w:lang w:val="fr-CH"/>
        </w:rPr>
        <w:t> </w:t>
      </w:r>
      <w:r w:rsidR="00DE3BC1" w:rsidRPr="00E50178">
        <w:rPr>
          <w:lang w:val="fr-CH"/>
        </w:rPr>
        <w:t>2020</w:t>
      </w:r>
      <w:r w:rsidRPr="00E50178">
        <w:rPr>
          <w:lang w:val="fr-CH"/>
        </w:rPr>
        <w:t>.</w:t>
      </w:r>
      <w:r w:rsidR="00C46B12" w:rsidRPr="00E50178">
        <w:rPr>
          <w:lang w:val="fr-CH"/>
        </w:rPr>
        <w:t xml:space="preserve"> </w:t>
      </w:r>
      <w:r w:rsidR="00ED3A15" w:rsidRPr="00E50178">
        <w:rPr>
          <w:lang w:val="fr-CH"/>
        </w:rPr>
        <w:t xml:space="preserve"> </w:t>
      </w:r>
      <w:r w:rsidRPr="00E50178">
        <w:rPr>
          <w:lang w:val="fr-CH"/>
        </w:rPr>
        <w:t>Ces évaluations externes sont essentielles pour que</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puisse maintenir des normes opérationnelles </w:t>
      </w:r>
      <w:r w:rsidR="00706D5C" w:rsidRPr="00E50178">
        <w:rPr>
          <w:lang w:val="fr-CH"/>
        </w:rPr>
        <w:t>élevé</w:t>
      </w:r>
      <w:r w:rsidR="00EF3A93" w:rsidRPr="00E50178">
        <w:rPr>
          <w:lang w:val="fr-CH"/>
        </w:rPr>
        <w:t>es</w:t>
      </w:r>
      <w:r w:rsidR="00EF3A93">
        <w:rPr>
          <w:lang w:val="fr-CH"/>
        </w:rPr>
        <w:t xml:space="preserve">.  </w:t>
      </w:r>
      <w:r w:rsidR="00EF3A93" w:rsidRPr="00E50178">
        <w:rPr>
          <w:lang w:val="fr-CH"/>
        </w:rPr>
        <w:t>Pa</w:t>
      </w:r>
      <w:r w:rsidRPr="00E50178">
        <w:rPr>
          <w:lang w:val="fr-CH"/>
        </w:rPr>
        <w:t>r exemple, en juillet</w:t>
      </w:r>
      <w:r w:rsidR="00610666" w:rsidRPr="00E50178">
        <w:rPr>
          <w:lang w:val="fr-CH"/>
        </w:rPr>
        <w:t> </w:t>
      </w:r>
      <w:r w:rsidRPr="00E50178">
        <w:rPr>
          <w:lang w:val="fr-CH"/>
        </w:rPr>
        <w:t>2019,</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a reçu une récompense </w:t>
      </w:r>
      <w:r w:rsidR="00DD6214" w:rsidRPr="00E50178">
        <w:rPr>
          <w:lang w:val="fr-CH"/>
        </w:rPr>
        <w:t xml:space="preserve">en lien avec </w:t>
      </w:r>
      <w:r w:rsidRPr="00E50178">
        <w:rPr>
          <w:lang w:val="fr-CH"/>
        </w:rPr>
        <w:t xml:space="preserve">la </w:t>
      </w:r>
      <w:r w:rsidR="00DD6214" w:rsidRPr="00E50178">
        <w:rPr>
          <w:lang w:val="fr-CH"/>
        </w:rPr>
        <w:t>divulgation d</w:t>
      </w:r>
      <w:r w:rsidRPr="00E50178">
        <w:rPr>
          <w:lang w:val="fr-CH"/>
        </w:rPr>
        <w:t>es rapports publics d</w:t>
      </w:r>
      <w:r w:rsidR="00F82D32">
        <w:rPr>
          <w:lang w:val="fr-CH"/>
        </w:rPr>
        <w:t>’</w:t>
      </w:r>
      <w:r w:rsidRPr="00E50178">
        <w:rPr>
          <w:lang w:val="fr-CH"/>
        </w:rPr>
        <w:t>audit interne</w:t>
      </w:r>
      <w:r w:rsidRPr="00E50178">
        <w:rPr>
          <w:rStyle w:val="FootnoteReference"/>
          <w:lang w:val="fr-CH"/>
        </w:rPr>
        <w:footnoteReference w:id="3"/>
      </w:r>
      <w:r w:rsidRPr="00E50178">
        <w:rPr>
          <w:lang w:val="fr-CH"/>
        </w:rPr>
        <w:t>.</w:t>
      </w:r>
    </w:p>
    <w:p w14:paraId="20C709FD" w14:textId="76490FC4" w:rsidR="00C5485D" w:rsidRDefault="003F6EA2" w:rsidP="00191710">
      <w:pPr>
        <w:pStyle w:val="ONUMFS"/>
        <w:rPr>
          <w:lang w:val="fr-CH"/>
        </w:rPr>
      </w:pPr>
      <w:r w:rsidRPr="00E50178">
        <w:rPr>
          <w:lang w:val="fr-CH"/>
        </w:rPr>
        <w:t>Lors de la dernière réunion</w:t>
      </w:r>
      <w:r w:rsidR="00DE3BC1" w:rsidRPr="00E50178">
        <w:rPr>
          <w:lang w:val="fr-CH"/>
        </w:rPr>
        <w:t xml:space="preserve"> du</w:t>
      </w:r>
      <w:r w:rsidR="00DE3BC1">
        <w:rPr>
          <w:lang w:val="fr-CH"/>
        </w:rPr>
        <w:t> </w:t>
      </w:r>
      <w:r w:rsidR="00DE3BC1" w:rsidRPr="00E50178">
        <w:rPr>
          <w:lang w:val="fr-CH"/>
        </w:rPr>
        <w:t>GNU</w:t>
      </w:r>
      <w:r w:rsidRPr="00E50178">
        <w:rPr>
          <w:lang w:val="fr-CH"/>
        </w:rPr>
        <w:t xml:space="preserve">E, le chef de la </w:t>
      </w:r>
      <w:r w:rsidR="00706D5C" w:rsidRPr="00E50178">
        <w:rPr>
          <w:lang w:val="fr-CH"/>
        </w:rPr>
        <w:t>S</w:t>
      </w:r>
      <w:r w:rsidRPr="00E50178">
        <w:rPr>
          <w:lang w:val="fr-CH"/>
        </w:rPr>
        <w:t>ection de l</w:t>
      </w:r>
      <w:r w:rsidR="00F82D32">
        <w:rPr>
          <w:lang w:val="fr-CH"/>
        </w:rPr>
        <w:t>’</w:t>
      </w:r>
      <w:r w:rsidRPr="00E50178">
        <w:rPr>
          <w:lang w:val="fr-CH"/>
        </w:rPr>
        <w:t>évaluation de</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a été élu vice</w:t>
      </w:r>
      <w:r w:rsidR="007379C2">
        <w:rPr>
          <w:lang w:val="fr-CH"/>
        </w:rPr>
        <w:noBreakHyphen/>
      </w:r>
      <w:r w:rsidRPr="00E50178">
        <w:rPr>
          <w:lang w:val="fr-CH"/>
        </w:rPr>
        <w:t xml:space="preserve">président et trésorier du Groupe des </w:t>
      </w:r>
      <w:r w:rsidR="00AE63B3">
        <w:rPr>
          <w:lang w:val="fr-CH"/>
        </w:rPr>
        <w:t>Nations Unies</w:t>
      </w:r>
      <w:r w:rsidRPr="00E50178">
        <w:rPr>
          <w:lang w:val="fr-CH"/>
        </w:rPr>
        <w:t xml:space="preserve"> sur l</w:t>
      </w:r>
      <w:r w:rsidR="00F82D32">
        <w:rPr>
          <w:lang w:val="fr-CH"/>
        </w:rPr>
        <w:t>’</w:t>
      </w:r>
      <w:r w:rsidRPr="00E50178">
        <w:rPr>
          <w:lang w:val="fr-CH"/>
        </w:rPr>
        <w:t>évaluation (GNUE) pour un mandat de deux</w:t>
      </w:r>
      <w:r w:rsidR="00BD1203">
        <w:rPr>
          <w:lang w:val="fr-CH"/>
        </w:rPr>
        <w:t> </w:t>
      </w:r>
      <w:r w:rsidRPr="00E50178">
        <w:rPr>
          <w:lang w:val="fr-CH"/>
        </w:rPr>
        <w:t>ans.</w:t>
      </w:r>
    </w:p>
    <w:p w14:paraId="661C3199" w14:textId="1DC177D7" w:rsidR="00C5485D" w:rsidRDefault="00275D42" w:rsidP="00191710">
      <w:pPr>
        <w:pStyle w:val="Heading2"/>
      </w:pPr>
      <w:bookmarkStart w:id="15" w:name="_Toc44428399"/>
      <w:bookmarkEnd w:id="12"/>
      <w:bookmarkEnd w:id="13"/>
      <w:r w:rsidRPr="00E50178">
        <w:t>Principes de planification</w:t>
      </w:r>
      <w:bookmarkEnd w:id="15"/>
    </w:p>
    <w:p w14:paraId="55CCD8AD" w14:textId="4577536B" w:rsidR="00C5485D" w:rsidRDefault="00275D42" w:rsidP="00191710">
      <w:pPr>
        <w:pStyle w:val="ONUMFS"/>
        <w:rPr>
          <w:lang w:val="fr-CH"/>
        </w:rPr>
      </w:pPr>
      <w:r w:rsidRPr="00E50178">
        <w:rPr>
          <w:lang w:val="fr-CH"/>
        </w:rPr>
        <w:t>La DSI a tenu compte d</w:t>
      </w:r>
      <w:r w:rsidR="00F82D32">
        <w:rPr>
          <w:lang w:val="fr-CH"/>
        </w:rPr>
        <w:t>’</w:t>
      </w:r>
      <w:r w:rsidRPr="00E50178">
        <w:rPr>
          <w:lang w:val="fr-CH"/>
        </w:rPr>
        <w:t>un certain nombre de facteurs dans l</w:t>
      </w:r>
      <w:r w:rsidR="00F82D32">
        <w:rPr>
          <w:lang w:val="fr-CH"/>
        </w:rPr>
        <w:t>’</w:t>
      </w:r>
      <w:r w:rsidRPr="00E50178">
        <w:rPr>
          <w:lang w:val="fr-CH"/>
        </w:rPr>
        <w:t>établissement de son programme de travail de supervision, tels que</w:t>
      </w:r>
      <w:r w:rsidR="00AE63B3">
        <w:rPr>
          <w:lang w:val="fr-CH"/>
        </w:rPr>
        <w:t> :</w:t>
      </w:r>
      <w:r w:rsidRPr="00E50178">
        <w:rPr>
          <w:lang w:val="fr-CH"/>
        </w:rPr>
        <w:t xml:space="preserve"> évaluation des risques, pertinence, incidence au niveau national, cycle de supervision, observations présentées par la direction de l</w:t>
      </w:r>
      <w:r w:rsidR="00F82D32">
        <w:rPr>
          <w:lang w:val="fr-CH"/>
        </w:rPr>
        <w:t>’</w:t>
      </w:r>
      <w:r w:rsidRPr="00E50178">
        <w:rPr>
          <w:lang w:val="fr-CH"/>
        </w:rPr>
        <w:t>OMPI, observations formulées par les États membres et ressources disponibl</w:t>
      </w:r>
      <w:r w:rsidR="00EF3A93" w:rsidRPr="00E50178">
        <w:rPr>
          <w:lang w:val="fr-CH"/>
        </w:rPr>
        <w:t>es</w:t>
      </w:r>
      <w:r w:rsidR="00EF3A93">
        <w:rPr>
          <w:lang w:val="fr-CH"/>
        </w:rPr>
        <w:t xml:space="preserve">.  </w:t>
      </w:r>
      <w:r w:rsidR="00EF3A93" w:rsidRPr="00E50178">
        <w:rPr>
          <w:lang w:val="fr-CH"/>
        </w:rPr>
        <w:t>Le</w:t>
      </w:r>
      <w:r w:rsidRPr="00E50178">
        <w:rPr>
          <w:lang w:val="fr-CH"/>
        </w:rPr>
        <w:t xml:space="preserve"> projet de programme de travail de supervision a également été examiné par l</w:t>
      </w:r>
      <w:r w:rsidR="00F82D32">
        <w:rPr>
          <w:lang w:val="fr-CH"/>
        </w:rPr>
        <w:t>’</w:t>
      </w:r>
      <w:r w:rsidRPr="00E50178">
        <w:rPr>
          <w:lang w:val="fr-CH"/>
        </w:rPr>
        <w:t>OCIS et a bénéficié des conseils de ce dernier avant d</w:t>
      </w:r>
      <w:r w:rsidR="00F82D32">
        <w:rPr>
          <w:lang w:val="fr-CH"/>
        </w:rPr>
        <w:t>’</w:t>
      </w:r>
      <w:r w:rsidRPr="00E50178">
        <w:rPr>
          <w:lang w:val="fr-CH"/>
        </w:rPr>
        <w:t>être finalisé, conformément au paragraphe</w:t>
      </w:r>
      <w:r w:rsidR="00610666" w:rsidRPr="00E50178">
        <w:rPr>
          <w:lang w:val="fr-CH"/>
        </w:rPr>
        <w:t> </w:t>
      </w:r>
      <w:r w:rsidRPr="00E50178">
        <w:rPr>
          <w:lang w:val="fr-CH"/>
        </w:rPr>
        <w:t>28.a) de la Charte de la supervision interne.</w:t>
      </w:r>
    </w:p>
    <w:p w14:paraId="7C5EA70D" w14:textId="794B4713" w:rsidR="00C5485D" w:rsidRDefault="00275D42" w:rsidP="00191710">
      <w:pPr>
        <w:pStyle w:val="ONUMFS"/>
        <w:rPr>
          <w:lang w:val="fr-CH"/>
        </w:rPr>
      </w:pPr>
      <w:r w:rsidRPr="00E50178">
        <w:rPr>
          <w:lang w:val="fr-CH"/>
        </w:rPr>
        <w:t>Afin d</w:t>
      </w:r>
      <w:r w:rsidR="00F82D32">
        <w:rPr>
          <w:lang w:val="fr-CH"/>
        </w:rPr>
        <w:t>’</w:t>
      </w:r>
      <w:r w:rsidRPr="00E50178">
        <w:rPr>
          <w:lang w:val="fr-CH"/>
        </w:rPr>
        <w:t>assurer une couverture efficace de la supervision grâce à l</w:t>
      </w:r>
      <w:r w:rsidR="00F82D32">
        <w:rPr>
          <w:lang w:val="fr-CH"/>
        </w:rPr>
        <w:t>’</w:t>
      </w:r>
      <w:r w:rsidRPr="00E50178">
        <w:rPr>
          <w:lang w:val="fr-CH"/>
        </w:rPr>
        <w:t>utilisation rationnelle des ressources limitées à disposition, tout en évitant les éventuels chevauchements,</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a également pris en considération les travaux effectués par le vérificateur externe des comptes et d</w:t>
      </w:r>
      <w:r w:rsidR="00F82D32">
        <w:rPr>
          <w:lang w:val="fr-CH"/>
        </w:rPr>
        <w:t>’</w:t>
      </w:r>
      <w:r w:rsidRPr="00E50178">
        <w:rPr>
          <w:lang w:val="fr-CH"/>
        </w:rPr>
        <w:t>autres organes de supervision, tels que le Corps commun d</w:t>
      </w:r>
      <w:r w:rsidR="00F82D32">
        <w:rPr>
          <w:lang w:val="fr-CH"/>
        </w:rPr>
        <w:t>’</w:t>
      </w:r>
      <w:r w:rsidRPr="00E50178">
        <w:rPr>
          <w:lang w:val="fr-CH"/>
        </w:rPr>
        <w:t>inspection (CCI), ainsi que les évaluations que le Comité du développement et de la propriété intellectuelle (CDIP) a fait réaliser.</w:t>
      </w:r>
    </w:p>
    <w:p w14:paraId="49850F11" w14:textId="102A2D2E" w:rsidR="00C5485D" w:rsidRDefault="00275D42" w:rsidP="00191710">
      <w:pPr>
        <w:pStyle w:val="ONUMFS"/>
        <w:rPr>
          <w:lang w:val="fr-CH"/>
        </w:rPr>
      </w:pPr>
      <w:r w:rsidRPr="00E50178">
        <w:rPr>
          <w:lang w:val="fr-CH"/>
        </w:rPr>
        <w:t xml:space="preserve">Le programme de travail de supervision </w:t>
      </w:r>
      <w:r w:rsidR="00DE3BC1" w:rsidRPr="00E50178">
        <w:rPr>
          <w:lang w:val="fr-CH"/>
        </w:rPr>
        <w:t>pour</w:t>
      </w:r>
      <w:r w:rsidR="00DE3BC1">
        <w:rPr>
          <w:lang w:val="fr-CH"/>
        </w:rPr>
        <w:t> </w:t>
      </w:r>
      <w:r w:rsidR="00DE3BC1" w:rsidRPr="00E50178">
        <w:rPr>
          <w:lang w:val="fr-CH"/>
        </w:rPr>
        <w:t>2019</w:t>
      </w:r>
      <w:r w:rsidRPr="00E50178">
        <w:rPr>
          <w:lang w:val="fr-CH"/>
        </w:rPr>
        <w:t xml:space="preserve"> a été pleinement réalisé dans les limites du budg</w:t>
      </w:r>
      <w:r w:rsidR="00EF3A93" w:rsidRPr="00E50178">
        <w:rPr>
          <w:lang w:val="fr-CH"/>
        </w:rPr>
        <w:t>et</w:t>
      </w:r>
      <w:r w:rsidR="00EF3A93">
        <w:rPr>
          <w:lang w:val="fr-CH"/>
        </w:rPr>
        <w:t xml:space="preserve">.  </w:t>
      </w:r>
      <w:r w:rsidR="00EF3A93" w:rsidRPr="00E50178">
        <w:rPr>
          <w:lang w:val="fr-CH"/>
        </w:rPr>
        <w:t>Le</w:t>
      </w:r>
      <w:r w:rsidRPr="00E50178">
        <w:rPr>
          <w:lang w:val="fr-CH"/>
        </w:rPr>
        <w:t xml:space="preserve"> programme </w:t>
      </w:r>
      <w:r w:rsidR="00DE3BC1" w:rsidRPr="00E50178">
        <w:rPr>
          <w:lang w:val="fr-CH"/>
        </w:rPr>
        <w:t>de</w:t>
      </w:r>
      <w:r w:rsidR="00DE3BC1">
        <w:rPr>
          <w:lang w:val="fr-CH"/>
        </w:rPr>
        <w:t> </w:t>
      </w:r>
      <w:r w:rsidR="00DE3BC1" w:rsidRPr="00E50178">
        <w:rPr>
          <w:lang w:val="fr-CH"/>
        </w:rPr>
        <w:t>2020</w:t>
      </w:r>
      <w:r w:rsidRPr="00E50178">
        <w:rPr>
          <w:lang w:val="fr-CH"/>
        </w:rPr>
        <w:t xml:space="preserve"> a été finalisé et publié sur le site Intranet de l</w:t>
      </w:r>
      <w:r w:rsidR="00F82D32">
        <w:rPr>
          <w:lang w:val="fr-CH"/>
        </w:rPr>
        <w:t>’</w:t>
      </w:r>
      <w:r w:rsidRPr="00E50178">
        <w:rPr>
          <w:lang w:val="fr-CH"/>
        </w:rPr>
        <w:t>OMPI.</w:t>
      </w:r>
    </w:p>
    <w:p w14:paraId="5FB41BDB" w14:textId="51E4F7B9" w:rsidR="00C5485D" w:rsidRDefault="00275D42" w:rsidP="00191710">
      <w:pPr>
        <w:pStyle w:val="Heading2"/>
      </w:pPr>
      <w:bookmarkStart w:id="16" w:name="_Toc44428400"/>
      <w:r w:rsidRPr="00E50178">
        <w:lastRenderedPageBreak/>
        <w:t>Normes professionnelles</w:t>
      </w:r>
      <w:bookmarkEnd w:id="16"/>
    </w:p>
    <w:p w14:paraId="05F9EF60" w14:textId="541A984F" w:rsidR="00C5485D" w:rsidRDefault="00275D42" w:rsidP="00191710">
      <w:pPr>
        <w:pStyle w:val="ONUMFS"/>
        <w:rPr>
          <w:lang w:val="fr-CH"/>
        </w:rPr>
      </w:pPr>
      <w:r w:rsidRPr="00E50178">
        <w:rPr>
          <w:lang w:val="fr-CH"/>
        </w:rPr>
        <w:t>La DSI mène ses activités d</w:t>
      </w:r>
      <w:r w:rsidR="00F82D32">
        <w:rPr>
          <w:lang w:val="fr-CH"/>
        </w:rPr>
        <w:t>’</w:t>
      </w:r>
      <w:r w:rsidRPr="00E50178">
        <w:rPr>
          <w:lang w:val="fr-CH"/>
        </w:rPr>
        <w:t>audit conformément aux normes internationales pour la pratique professionnelle de l</w:t>
      </w:r>
      <w:r w:rsidR="00F82D32">
        <w:rPr>
          <w:lang w:val="fr-CH"/>
        </w:rPr>
        <w:t>’</w:t>
      </w:r>
      <w:r w:rsidRPr="00E50178">
        <w:rPr>
          <w:lang w:val="fr-CH"/>
        </w:rPr>
        <w:t>audit interne et au code de déontologie connexe, définis dans le Cadre de référence international des pratiques professionnelles promulgué par l</w:t>
      </w:r>
      <w:r w:rsidR="00F82D32">
        <w:rPr>
          <w:lang w:val="fr-CH"/>
        </w:rPr>
        <w:t>’</w:t>
      </w:r>
      <w:r w:rsidRPr="00E50178">
        <w:rPr>
          <w:lang w:val="fr-CH"/>
        </w:rPr>
        <w:t>Institut des auditeurs internes.</w:t>
      </w:r>
    </w:p>
    <w:p w14:paraId="7E9D6D9E" w14:textId="0D8ECC0C" w:rsidR="00C5485D" w:rsidRDefault="00275D42" w:rsidP="00191710">
      <w:pPr>
        <w:pStyle w:val="ONUMFS"/>
        <w:rPr>
          <w:lang w:val="fr-CH"/>
        </w:rPr>
      </w:pPr>
      <w:r w:rsidRPr="00E50178">
        <w:rPr>
          <w:lang w:val="fr-CH"/>
        </w:rPr>
        <w:t>Le travail d</w:t>
      </w:r>
      <w:r w:rsidR="00F82D32">
        <w:rPr>
          <w:lang w:val="fr-CH"/>
        </w:rPr>
        <w:t>’</w:t>
      </w:r>
      <w:r w:rsidRPr="00E50178">
        <w:rPr>
          <w:lang w:val="fr-CH"/>
        </w:rPr>
        <w:t>enquête de</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s</w:t>
      </w:r>
      <w:r w:rsidR="00F82D32">
        <w:rPr>
          <w:lang w:val="fr-CH"/>
        </w:rPr>
        <w:t>’</w:t>
      </w:r>
      <w:r w:rsidRPr="00E50178">
        <w:rPr>
          <w:lang w:val="fr-CH"/>
        </w:rPr>
        <w:t>inspire également des principes et lignes directrices uniformes en matière d</w:t>
      </w:r>
      <w:r w:rsidR="00F82D32">
        <w:rPr>
          <w:lang w:val="fr-CH"/>
        </w:rPr>
        <w:t>’</w:t>
      </w:r>
      <w:r w:rsidRPr="00E50178">
        <w:rPr>
          <w:lang w:val="fr-CH"/>
        </w:rPr>
        <w:t>enquête adoptés par la Conférence des enquêteurs internationaux.</w:t>
      </w:r>
    </w:p>
    <w:p w14:paraId="5E0A8158" w14:textId="5B096AA2" w:rsidR="00C5485D" w:rsidRDefault="00275D42" w:rsidP="00BD000E">
      <w:pPr>
        <w:pStyle w:val="ONUMFS"/>
        <w:rPr>
          <w:lang w:val="fr-CH"/>
        </w:rPr>
      </w:pPr>
      <w:r w:rsidRPr="00E50178">
        <w:rPr>
          <w:lang w:val="fr-CH"/>
        </w:rPr>
        <w:t>Pour les activités d</w:t>
      </w:r>
      <w:r w:rsidR="00F82D32">
        <w:rPr>
          <w:lang w:val="fr-CH"/>
        </w:rPr>
        <w:t>’</w:t>
      </w:r>
      <w:r w:rsidRPr="00E50178">
        <w:rPr>
          <w:lang w:val="fr-CH"/>
        </w:rPr>
        <w:t>évaluation,</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suit les normes internationales en la matière élaborées par le Groupe des </w:t>
      </w:r>
      <w:r w:rsidR="00AE63B3">
        <w:rPr>
          <w:lang w:val="fr-CH"/>
        </w:rPr>
        <w:t>Nations Unies</w:t>
      </w:r>
      <w:r w:rsidRPr="00E50178">
        <w:rPr>
          <w:lang w:val="fr-CH"/>
        </w:rPr>
        <w:t xml:space="preserve"> sur l</w:t>
      </w:r>
      <w:r w:rsidR="00F82D32">
        <w:rPr>
          <w:lang w:val="fr-CH"/>
        </w:rPr>
        <w:t>’</w:t>
      </w:r>
      <w:r w:rsidRPr="00E50178">
        <w:rPr>
          <w:lang w:val="fr-CH"/>
        </w:rPr>
        <w:t>évaluation (GNUE).</w:t>
      </w:r>
    </w:p>
    <w:p w14:paraId="41590C38" w14:textId="60F13575" w:rsidR="00C5485D" w:rsidRDefault="00C5485D" w:rsidP="00C5485D">
      <w:pPr>
        <w:pStyle w:val="Heading2"/>
      </w:pPr>
      <w:bookmarkStart w:id="17" w:name="_Toc44428401"/>
      <w:r>
        <w:t>Prise en considération des ques</w:t>
      </w:r>
      <w:r w:rsidR="00BD000E">
        <w:t>tions d</w:t>
      </w:r>
      <w:r w:rsidR="00F82D32">
        <w:t>’</w:t>
      </w:r>
      <w:r w:rsidR="00BD000E">
        <w:t>égalité entre les sexes</w:t>
      </w:r>
      <w:bookmarkEnd w:id="17"/>
    </w:p>
    <w:p w14:paraId="178128DF" w14:textId="2980C281" w:rsidR="00C5485D" w:rsidRDefault="00380046" w:rsidP="00BD000E">
      <w:pPr>
        <w:pStyle w:val="ONUMFS"/>
        <w:rPr>
          <w:rFonts w:eastAsiaTheme="minorHAnsi"/>
          <w:lang w:eastAsia="en-US"/>
        </w:rPr>
      </w:pPr>
      <w:r>
        <w:t xml:space="preserve">Dans le contexte du </w:t>
      </w:r>
      <w:r w:rsidR="006E2F76">
        <w:t>rapport de performance pour ONU</w:t>
      </w:r>
      <w:r w:rsidR="006E2F76">
        <w:noBreakHyphen/>
      </w:r>
      <w:r w:rsidR="00BD000E">
        <w:t>SWAP et en ce qui concerne l</w:t>
      </w:r>
      <w:r w:rsidR="00F82D32">
        <w:t>’</w:t>
      </w:r>
      <w:r>
        <w:t>égalité des sexes et sa prise en considération dans les activités de la DSI, en ce qui concerne tant l</w:t>
      </w:r>
      <w:r w:rsidR="00F82D32">
        <w:t>’</w:t>
      </w:r>
      <w:r>
        <w:t>audit que l</w:t>
      </w:r>
      <w:r w:rsidR="00F82D32">
        <w:t>’</w:t>
      </w:r>
      <w:r>
        <w:t>évaluation, les questions relatives à l</w:t>
      </w:r>
      <w:r w:rsidR="00F82D32">
        <w:t>’</w:t>
      </w:r>
      <w:r>
        <w:t xml:space="preserve">égalité des sexes ont été </w:t>
      </w:r>
      <w:r w:rsidR="00BD000E">
        <w:t>examinées dans les cas suivants </w:t>
      </w:r>
      <w:r>
        <w:t>:</w:t>
      </w:r>
      <w:r w:rsidR="005B11A5">
        <w:t xml:space="preserve"> </w:t>
      </w:r>
    </w:p>
    <w:p w14:paraId="5F672788" w14:textId="1FB9D62B" w:rsidR="00C5485D" w:rsidRDefault="00380046" w:rsidP="00F82D32">
      <w:pPr>
        <w:pStyle w:val="ONUMFS"/>
        <w:numPr>
          <w:ilvl w:val="1"/>
          <w:numId w:val="15"/>
        </w:numPr>
        <w:rPr>
          <w:rFonts w:eastAsiaTheme="minorHAnsi"/>
          <w:lang w:eastAsia="en-US"/>
        </w:rPr>
      </w:pPr>
      <w:r>
        <w:t>La DSI consulte des spécialistes des questions relatives à la parité au cours de la planification et de l</w:t>
      </w:r>
      <w:r w:rsidR="00F82D32">
        <w:t>’</w:t>
      </w:r>
      <w:r>
        <w:t>évaluation des risques annuelles</w:t>
      </w:r>
      <w:r w:rsidR="005B11A5">
        <w:t xml:space="preserve"> </w:t>
      </w:r>
    </w:p>
    <w:p w14:paraId="0E7C8782" w14:textId="562F657B" w:rsidR="00C5485D" w:rsidRDefault="001A4568" w:rsidP="00F82D32">
      <w:pPr>
        <w:pStyle w:val="ONUMFS"/>
        <w:numPr>
          <w:ilvl w:val="1"/>
          <w:numId w:val="15"/>
        </w:numPr>
      </w:pPr>
      <w:r>
        <w:t>La DSI a inclus un point permanent consacré à l</w:t>
      </w:r>
      <w:r w:rsidR="00F82D32">
        <w:t>’</w:t>
      </w:r>
      <w:r>
        <w:t>intégration des questions relatives à l</w:t>
      </w:r>
      <w:r w:rsidR="00F82D32">
        <w:t>’</w:t>
      </w:r>
      <w:r>
        <w:t>égalité des sexes dans son programme de travail pour les missions d</w:t>
      </w:r>
      <w:r w:rsidR="00F82D32">
        <w:t>’</w:t>
      </w:r>
      <w:r>
        <w:t>audit concernées</w:t>
      </w:r>
    </w:p>
    <w:p w14:paraId="47CF6106" w14:textId="4ECD4914" w:rsidR="00C5485D" w:rsidRDefault="001A4568" w:rsidP="00F82D32">
      <w:pPr>
        <w:pStyle w:val="ONUMFS"/>
        <w:numPr>
          <w:ilvl w:val="1"/>
          <w:numId w:val="15"/>
        </w:numPr>
      </w:pPr>
      <w:r>
        <w:t>La Section de l</w:t>
      </w:r>
      <w:r w:rsidR="00F82D32">
        <w:t>’</w:t>
      </w:r>
      <w:r>
        <w:t>évaluation applique le cas échéant les recommandations du GNUE sur la prise en considération des droits humains et de l</w:t>
      </w:r>
      <w:r w:rsidR="00F82D32">
        <w:t>’</w:t>
      </w:r>
      <w:r>
        <w:t>égalité entre les sexes dans les évaluation</w:t>
      </w:r>
      <w:r w:rsidR="00071849">
        <w:t>s à toutes les phases de celles</w:t>
      </w:r>
      <w:r w:rsidR="00071849">
        <w:noBreakHyphen/>
      </w:r>
      <w:r>
        <w:t>ci</w:t>
      </w:r>
    </w:p>
    <w:p w14:paraId="562D2CC7" w14:textId="3035B6CF" w:rsidR="00C5485D" w:rsidRDefault="001A4568" w:rsidP="00F82D32">
      <w:pPr>
        <w:pStyle w:val="ONUMFS"/>
        <w:numPr>
          <w:ilvl w:val="1"/>
          <w:numId w:val="15"/>
        </w:numPr>
      </w:pPr>
      <w:r>
        <w:t xml:space="preserve">Le personnel de la DSI a suivi la formation </w:t>
      </w:r>
      <w:r w:rsidR="006E2F76">
        <w:t>nécessaire</w:t>
      </w:r>
      <w:r>
        <w:t xml:space="preserve"> en matière d</w:t>
      </w:r>
      <w:r w:rsidR="00F82D32">
        <w:t>’</w:t>
      </w:r>
      <w:r>
        <w:t>égalité des sexes</w:t>
      </w:r>
      <w:r w:rsidR="005B11A5">
        <w:t xml:space="preserve"> </w:t>
      </w:r>
    </w:p>
    <w:p w14:paraId="29834A31" w14:textId="4BC1644E" w:rsidR="00C5485D" w:rsidRDefault="001A4568" w:rsidP="00F82D32">
      <w:pPr>
        <w:pStyle w:val="ONUMFS"/>
        <w:numPr>
          <w:ilvl w:val="1"/>
          <w:numId w:val="15"/>
        </w:numPr>
      </w:pPr>
      <w:r>
        <w:t>Un coordonnateur pour les questions relatives à l</w:t>
      </w:r>
      <w:r w:rsidR="00F82D32">
        <w:t>’</w:t>
      </w:r>
      <w:r>
        <w:t>égalité des sexes a été désigné</w:t>
      </w:r>
      <w:r w:rsidR="006E2F76">
        <w:t xml:space="preserve"> pour assurer la liaison avec la</w:t>
      </w:r>
      <w:r>
        <w:t xml:space="preserve"> spécialiste de la </w:t>
      </w:r>
      <w:r w:rsidR="006E2F76">
        <w:t>parité</w:t>
      </w:r>
      <w:r>
        <w:t xml:space="preserve"> à l</w:t>
      </w:r>
      <w:r w:rsidR="00F82D32">
        <w:t>’</w:t>
      </w:r>
      <w:r>
        <w:t xml:space="preserve">OMPI et communiquer les </w:t>
      </w:r>
      <w:r w:rsidR="006E2F76">
        <w:t>initiatives</w:t>
      </w:r>
      <w:r>
        <w:t xml:space="preserve"> institutionnelles dans ce domaine au personnel de la DSI</w:t>
      </w:r>
      <w:r w:rsidR="005B11A5">
        <w:t xml:space="preserve"> </w:t>
      </w:r>
    </w:p>
    <w:p w14:paraId="2BE892B8" w14:textId="1A96C8F2" w:rsidR="00C5485D" w:rsidRDefault="001A4568" w:rsidP="00F82D32">
      <w:pPr>
        <w:pStyle w:val="ONUMFS"/>
        <w:numPr>
          <w:ilvl w:val="1"/>
          <w:numId w:val="15"/>
        </w:numPr>
      </w:pPr>
      <w:r>
        <w:t>La DSI a effectué un audit et une évaluation de la Politique de l</w:t>
      </w:r>
      <w:r w:rsidR="00F82D32">
        <w:t>’</w:t>
      </w:r>
      <w:r>
        <w:t>OMPI en matière d</w:t>
      </w:r>
      <w:r w:rsidR="00F82D32">
        <w:t>’</w:t>
      </w:r>
      <w:r>
        <w:t>égalité des sexes en 2019</w:t>
      </w:r>
    </w:p>
    <w:p w14:paraId="109413AB" w14:textId="4E4B9356" w:rsidR="00C5485D" w:rsidRDefault="001A4568" w:rsidP="00F82D32">
      <w:pPr>
        <w:pStyle w:val="ONUMFS"/>
        <w:numPr>
          <w:ilvl w:val="1"/>
          <w:numId w:val="15"/>
        </w:numPr>
      </w:pPr>
      <w:r>
        <w:t>En 2020, la Section de l</w:t>
      </w:r>
      <w:r w:rsidR="00F82D32">
        <w:t>’</w:t>
      </w:r>
      <w:r>
        <w:t>audit de la DSI ne prévoit pas de prendre en considération les questions relatives à l</w:t>
      </w:r>
      <w:r w:rsidR="00F82D32">
        <w:t>’</w:t>
      </w:r>
      <w:r>
        <w:t>égalité des sexes dans ses activités compte tenu de la nature technique des missions prévues</w:t>
      </w:r>
      <w:r w:rsidR="005B11A5">
        <w:t xml:space="preserve"> </w:t>
      </w:r>
    </w:p>
    <w:p w14:paraId="2CF38283" w14:textId="21728205" w:rsidR="00C5485D" w:rsidRDefault="001A4568" w:rsidP="00F82D32">
      <w:pPr>
        <w:pStyle w:val="ONUMFS"/>
        <w:numPr>
          <w:ilvl w:val="1"/>
          <w:numId w:val="15"/>
        </w:numPr>
      </w:pPr>
      <w:r>
        <w:t xml:space="preserve">Suivi de la mise en </w:t>
      </w:r>
      <w:r w:rsidR="006E2F76">
        <w:t>œuvre</w:t>
      </w:r>
      <w:r>
        <w:t xml:space="preserve"> des recommandations formulées à l</w:t>
      </w:r>
      <w:r w:rsidR="00F82D32">
        <w:t>’</w:t>
      </w:r>
      <w:r>
        <w:t>occasion de l</w:t>
      </w:r>
      <w:r w:rsidR="00F82D32">
        <w:t>’</w:t>
      </w:r>
      <w:r>
        <w:t>audit et de l</w:t>
      </w:r>
      <w:r w:rsidR="00F82D32">
        <w:t>’</w:t>
      </w:r>
      <w:r>
        <w:t>évaluation de la Politique de l</w:t>
      </w:r>
      <w:r w:rsidR="00F82D32">
        <w:t>’</w:t>
      </w:r>
      <w:r>
        <w:t>OMPI en matière d</w:t>
      </w:r>
      <w:r w:rsidR="00F82D32">
        <w:t>’</w:t>
      </w:r>
      <w:r>
        <w:t>égalité des sexes</w:t>
      </w:r>
      <w:r w:rsidR="005B11A5" w:rsidRPr="001B2E69">
        <w:t xml:space="preserve"> </w:t>
      </w:r>
    </w:p>
    <w:p w14:paraId="56DB9FB4" w14:textId="7BEC4169" w:rsidR="00C5485D" w:rsidRDefault="006E2F76" w:rsidP="00F82D32">
      <w:pPr>
        <w:pStyle w:val="ONUMFS"/>
        <w:numPr>
          <w:ilvl w:val="1"/>
          <w:numId w:val="15"/>
        </w:numPr>
      </w:pPr>
      <w:r>
        <w:t>Diffusion des résultats, des pratiques recommandées et des enseignements tirés de l</w:t>
      </w:r>
      <w:r w:rsidR="00F82D32">
        <w:t>’</w:t>
      </w:r>
      <w:r>
        <w:t>audit et de l</w:t>
      </w:r>
      <w:r w:rsidR="00F82D32">
        <w:t>’</w:t>
      </w:r>
      <w:r>
        <w:t>évaluation de la Politique de l</w:t>
      </w:r>
      <w:r w:rsidR="00F82D32">
        <w:t>’</w:t>
      </w:r>
      <w:r>
        <w:t>OMPI en matière d</w:t>
      </w:r>
      <w:r w:rsidR="00F82D32">
        <w:t>’</w:t>
      </w:r>
      <w:r>
        <w:t>égalité des sexes au sein du Groupe des Nations Unies pour l</w:t>
      </w:r>
      <w:r w:rsidR="00F82D32">
        <w:t>’</w:t>
      </w:r>
      <w:r>
        <w:t>évaluation et d</w:t>
      </w:r>
      <w:r w:rsidR="00F82D32">
        <w:t>’</w:t>
      </w:r>
      <w:r>
        <w:t>autres réseaux d</w:t>
      </w:r>
      <w:r w:rsidR="00F82D32">
        <w:t>’</w:t>
      </w:r>
      <w:r>
        <w:t>évaluation.</w:t>
      </w:r>
    </w:p>
    <w:p w14:paraId="2F0B314B" w14:textId="48ACDDD8" w:rsidR="00C5485D" w:rsidRDefault="00AE63B3" w:rsidP="00AE63B3">
      <w:pPr>
        <w:pStyle w:val="Heading2"/>
      </w:pPr>
      <w:bookmarkStart w:id="18" w:name="_Toc44428402"/>
      <w:r>
        <w:t>Principales conclus</w:t>
      </w:r>
      <w:r w:rsidRPr="00E50178">
        <w:t xml:space="preserve">ions </w:t>
      </w:r>
      <w:r w:rsidR="00275D42" w:rsidRPr="00E50178">
        <w:t>et recommandations de supervision jugées prioritaires</w:t>
      </w:r>
      <w:bookmarkEnd w:id="18"/>
    </w:p>
    <w:p w14:paraId="44AD3A25" w14:textId="6EF46841" w:rsidR="00C5485D" w:rsidRDefault="00275D42" w:rsidP="00191710">
      <w:pPr>
        <w:pStyle w:val="ONUMFS"/>
        <w:rPr>
          <w:lang w:val="fr-CH"/>
        </w:rPr>
      </w:pPr>
      <w:r w:rsidRPr="00E50178">
        <w:rPr>
          <w:lang w:val="fr-CH"/>
        </w:rPr>
        <w:t xml:space="preserve">La présente section contient des informations sur les principales conclusions et recommandations, relatives aux principaux risques, contenues dans les rapports de supervision </w:t>
      </w:r>
      <w:r w:rsidRPr="00E50178">
        <w:rPr>
          <w:lang w:val="fr-CH"/>
        </w:rPr>
        <w:lastRenderedPageBreak/>
        <w:t>interne (audit, évaluation et rapport à l</w:t>
      </w:r>
      <w:r w:rsidR="00F82D32">
        <w:rPr>
          <w:lang w:val="fr-CH"/>
        </w:rPr>
        <w:t>’</w:t>
      </w:r>
      <w:r w:rsidRPr="00E50178">
        <w:rPr>
          <w:lang w:val="fr-CH"/>
        </w:rPr>
        <w:t>intention de la direction) établis pendant la période considérée.</w:t>
      </w:r>
    </w:p>
    <w:p w14:paraId="54359023" w14:textId="77777777" w:rsidR="00C5485D" w:rsidRDefault="00275D42" w:rsidP="00191710">
      <w:pPr>
        <w:pStyle w:val="ONUMFS"/>
        <w:rPr>
          <w:lang w:val="fr-CH"/>
        </w:rPr>
      </w:pPr>
      <w:r w:rsidRPr="00E50178">
        <w:rPr>
          <w:lang w:val="fr-CH"/>
        </w:rPr>
        <w:t>Les principales conclusions et recommandations concernent les rapports suivants qui ont été établis durant la période considérée</w:t>
      </w:r>
      <w:r w:rsidRPr="00E50178">
        <w:rPr>
          <w:rStyle w:val="FootnoteReference"/>
        </w:rPr>
        <w:footnoteReference w:id="4"/>
      </w:r>
      <w:r w:rsidR="00AE63B3">
        <w:rPr>
          <w:lang w:val="fr-CH"/>
        </w:rPr>
        <w:t> :</w:t>
      </w:r>
    </w:p>
    <w:p w14:paraId="3C26C44A" w14:textId="1BD627DB" w:rsidR="00C5485D" w:rsidRDefault="00A6657A" w:rsidP="00191710">
      <w:pPr>
        <w:pStyle w:val="ONUMFS"/>
        <w:numPr>
          <w:ilvl w:val="1"/>
          <w:numId w:val="15"/>
        </w:numPr>
        <w:rPr>
          <w:lang w:val="fr-CH"/>
        </w:rPr>
      </w:pPr>
      <w:r w:rsidRPr="00E50178">
        <w:rPr>
          <w:lang w:val="fr-CH"/>
        </w:rPr>
        <w:t>Audit du projet d</w:t>
      </w:r>
      <w:r w:rsidR="00706D5C" w:rsidRPr="00E50178">
        <w:rPr>
          <w:lang w:val="fr-CH"/>
        </w:rPr>
        <w:t>e</w:t>
      </w:r>
      <w:r w:rsidRPr="00E50178">
        <w:rPr>
          <w:lang w:val="fr-CH"/>
        </w:rPr>
        <w:t xml:space="preserve"> système de gestion des contenus de l</w:t>
      </w:r>
      <w:r w:rsidR="00F82D32">
        <w:rPr>
          <w:lang w:val="fr-CH"/>
        </w:rPr>
        <w:t>’</w:t>
      </w:r>
      <w:r w:rsidRPr="00E50178">
        <w:rPr>
          <w:lang w:val="fr-CH"/>
        </w:rPr>
        <w:t>OMPI;</w:t>
      </w:r>
    </w:p>
    <w:p w14:paraId="153163CC" w14:textId="77777777" w:rsidR="00C5485D" w:rsidRDefault="00A6657A" w:rsidP="00191710">
      <w:pPr>
        <w:pStyle w:val="ONUMFS"/>
        <w:numPr>
          <w:ilvl w:val="1"/>
          <w:numId w:val="15"/>
        </w:numPr>
        <w:rPr>
          <w:lang w:val="fr-CH"/>
        </w:rPr>
      </w:pPr>
      <w:r w:rsidRPr="00E50178">
        <w:rPr>
          <w:lang w:val="fr-CH"/>
        </w:rPr>
        <w:t>Audit de la gestion des services internes dans le Secteur Administration et gestion;</w:t>
      </w:r>
    </w:p>
    <w:p w14:paraId="5D5E9382" w14:textId="77777777" w:rsidR="00C5485D" w:rsidRDefault="00A6657A" w:rsidP="00191710">
      <w:pPr>
        <w:pStyle w:val="ONUMFS"/>
        <w:numPr>
          <w:ilvl w:val="1"/>
          <w:numId w:val="15"/>
        </w:numPr>
        <w:rPr>
          <w:lang w:val="fr-CH"/>
        </w:rPr>
      </w:pPr>
      <w:r w:rsidRPr="00E50178">
        <w:rPr>
          <w:lang w:val="fr-CH"/>
        </w:rPr>
        <w:t>Audit du processus de clôture des comptes;</w:t>
      </w:r>
    </w:p>
    <w:p w14:paraId="11E6E1D5" w14:textId="04A79F06" w:rsidR="00C5485D" w:rsidRDefault="00A6657A" w:rsidP="00191710">
      <w:pPr>
        <w:pStyle w:val="ONUMFS"/>
        <w:numPr>
          <w:ilvl w:val="1"/>
          <w:numId w:val="15"/>
        </w:numPr>
        <w:rPr>
          <w:lang w:val="fr-CH"/>
        </w:rPr>
      </w:pPr>
      <w:r w:rsidRPr="00E50178">
        <w:rPr>
          <w:lang w:val="fr-CH"/>
        </w:rPr>
        <w:t xml:space="preserve">Évaluation et audit combinés de la </w:t>
      </w:r>
      <w:r w:rsidR="00706D5C" w:rsidRPr="00E50178">
        <w:rPr>
          <w:lang w:val="fr-CH"/>
        </w:rPr>
        <w:t>P</w:t>
      </w:r>
      <w:r w:rsidRPr="00E50178">
        <w:rPr>
          <w:lang w:val="fr-CH"/>
        </w:rPr>
        <w:t>olitique de l</w:t>
      </w:r>
      <w:r w:rsidR="00F82D32">
        <w:rPr>
          <w:lang w:val="fr-CH"/>
        </w:rPr>
        <w:t>’</w:t>
      </w:r>
      <w:r w:rsidRPr="00E50178">
        <w:rPr>
          <w:lang w:val="fr-CH"/>
        </w:rPr>
        <w:t>OMPI en matière d</w:t>
      </w:r>
      <w:r w:rsidR="00F82D32">
        <w:rPr>
          <w:lang w:val="fr-CH"/>
        </w:rPr>
        <w:t>’</w:t>
      </w:r>
      <w:r w:rsidRPr="00E50178">
        <w:rPr>
          <w:lang w:val="fr-CH"/>
        </w:rPr>
        <w:t>égalité des sexes;</w:t>
      </w:r>
    </w:p>
    <w:p w14:paraId="7D1D9C80" w14:textId="7B305D32" w:rsidR="00C5485D" w:rsidRDefault="00A6657A" w:rsidP="00191710">
      <w:pPr>
        <w:pStyle w:val="ONUMFS"/>
        <w:numPr>
          <w:ilvl w:val="1"/>
          <w:numId w:val="15"/>
        </w:numPr>
        <w:rPr>
          <w:lang w:val="fr-CH"/>
        </w:rPr>
      </w:pPr>
      <w:r w:rsidRPr="00E50178">
        <w:rPr>
          <w:lang w:val="fr-CH"/>
        </w:rPr>
        <w:t>Évaluation des partenariats de l</w:t>
      </w:r>
      <w:r w:rsidR="00F82D32">
        <w:rPr>
          <w:lang w:val="fr-CH"/>
        </w:rPr>
        <w:t>’</w:t>
      </w:r>
      <w:r w:rsidRPr="00E50178">
        <w:rPr>
          <w:lang w:val="fr-CH"/>
        </w:rPr>
        <w:t>OMPI;</w:t>
      </w:r>
    </w:p>
    <w:p w14:paraId="38C1C105" w14:textId="49257E09" w:rsidR="00C5485D" w:rsidRDefault="00A6657A" w:rsidP="00191710">
      <w:pPr>
        <w:pStyle w:val="ONUMFS"/>
        <w:numPr>
          <w:ilvl w:val="1"/>
          <w:numId w:val="15"/>
        </w:numPr>
        <w:rPr>
          <w:lang w:val="fr-CH"/>
        </w:rPr>
      </w:pPr>
      <w:r w:rsidRPr="00E50178">
        <w:rPr>
          <w:lang w:val="fr-CH"/>
        </w:rPr>
        <w:t>Rapport à l</w:t>
      </w:r>
      <w:r w:rsidR="00F82D32">
        <w:rPr>
          <w:lang w:val="fr-CH"/>
        </w:rPr>
        <w:t>’</w:t>
      </w:r>
      <w:r w:rsidRPr="00E50178">
        <w:rPr>
          <w:lang w:val="fr-CH"/>
        </w:rPr>
        <w:t>intention de la direction concernant les irrégularités dans la passation de marchés;</w:t>
      </w:r>
    </w:p>
    <w:p w14:paraId="0AEF04CC" w14:textId="29F690B3" w:rsidR="00C5485D" w:rsidRDefault="00A6657A" w:rsidP="00191710">
      <w:pPr>
        <w:pStyle w:val="ONUMFS"/>
        <w:numPr>
          <w:ilvl w:val="1"/>
          <w:numId w:val="15"/>
        </w:numPr>
        <w:rPr>
          <w:lang w:val="fr-CH"/>
        </w:rPr>
      </w:pPr>
      <w:r w:rsidRPr="00E50178">
        <w:rPr>
          <w:lang w:val="fr-CH"/>
        </w:rPr>
        <w:t>Rapport à l</w:t>
      </w:r>
      <w:r w:rsidR="00F82D32">
        <w:rPr>
          <w:lang w:val="fr-CH"/>
        </w:rPr>
        <w:t>’</w:t>
      </w:r>
      <w:r w:rsidRPr="00E50178">
        <w:rPr>
          <w:lang w:val="fr-CH"/>
        </w:rPr>
        <w:t>intention de la direction concernant les systèmes de gestion des demandes des clients;  et</w:t>
      </w:r>
    </w:p>
    <w:p w14:paraId="6F60EE05" w14:textId="6AEC1F0F" w:rsidR="00C5485D" w:rsidRDefault="00A6657A" w:rsidP="00191710">
      <w:pPr>
        <w:pStyle w:val="ONUMFS"/>
        <w:numPr>
          <w:ilvl w:val="1"/>
          <w:numId w:val="15"/>
        </w:numPr>
        <w:rPr>
          <w:lang w:val="fr-CH"/>
        </w:rPr>
      </w:pPr>
      <w:r w:rsidRPr="00E50178">
        <w:rPr>
          <w:lang w:val="fr-CH"/>
        </w:rPr>
        <w:t>Rapport à l</w:t>
      </w:r>
      <w:r w:rsidR="00F82D32">
        <w:rPr>
          <w:lang w:val="fr-CH"/>
        </w:rPr>
        <w:t>’</w:t>
      </w:r>
      <w:r w:rsidRPr="00E50178">
        <w:rPr>
          <w:lang w:val="fr-CH"/>
        </w:rPr>
        <w:t>intention de la direction concernant l</w:t>
      </w:r>
      <w:r w:rsidR="00F82D32">
        <w:rPr>
          <w:lang w:val="fr-CH"/>
        </w:rPr>
        <w:t>’</w:t>
      </w:r>
      <w:r w:rsidRPr="00E50178">
        <w:rPr>
          <w:lang w:val="fr-CH"/>
        </w:rPr>
        <w:t>entrée des véhicules à l</w:t>
      </w:r>
      <w:r w:rsidR="00F82D32">
        <w:rPr>
          <w:lang w:val="fr-CH"/>
        </w:rPr>
        <w:t>’</w:t>
      </w:r>
      <w:r w:rsidRPr="00E50178">
        <w:rPr>
          <w:lang w:val="fr-CH"/>
        </w:rPr>
        <w:t>OMPI.</w:t>
      </w:r>
    </w:p>
    <w:p w14:paraId="0EE1699E" w14:textId="1092804C" w:rsidR="00C5485D" w:rsidRDefault="00A6657A" w:rsidP="00191710">
      <w:pPr>
        <w:pStyle w:val="ONUMFS"/>
        <w:rPr>
          <w:lang w:val="fr-CH"/>
        </w:rPr>
      </w:pPr>
      <w:r w:rsidRPr="00E50178">
        <w:rPr>
          <w:lang w:val="fr-CH"/>
        </w:rPr>
        <w:t>La DSI a poursuivi son dialogue avec la direction en vue de faire régulièrement le point sur la mise en œuvre des recommandations en suspens et d</w:t>
      </w:r>
      <w:r w:rsidR="00F82D32">
        <w:rPr>
          <w:lang w:val="fr-CH"/>
        </w:rPr>
        <w:t>’</w:t>
      </w:r>
      <w:r w:rsidRPr="00E50178">
        <w:rPr>
          <w:lang w:val="fr-CH"/>
        </w:rPr>
        <w:t>actualiser les données y relativ</w:t>
      </w:r>
      <w:r w:rsidR="00EF3A93" w:rsidRPr="00E50178">
        <w:rPr>
          <w:lang w:val="fr-CH"/>
        </w:rPr>
        <w:t>es</w:t>
      </w:r>
      <w:r w:rsidR="00EF3A93">
        <w:rPr>
          <w:lang w:val="fr-CH"/>
        </w:rPr>
        <w:t xml:space="preserve">.  </w:t>
      </w:r>
      <w:r w:rsidR="00EF3A93" w:rsidRPr="00E50178">
        <w:rPr>
          <w:lang w:val="fr-CH"/>
        </w:rPr>
        <w:t>To</w:t>
      </w:r>
      <w:r w:rsidRPr="00E50178">
        <w:rPr>
          <w:lang w:val="fr-CH"/>
        </w:rPr>
        <w:t>utes les recommandations sont mises en œuvre par la direction sous la forme d</w:t>
      </w:r>
      <w:r w:rsidR="00F82D32">
        <w:rPr>
          <w:lang w:val="fr-CH"/>
        </w:rPr>
        <w:t>’</w:t>
      </w:r>
      <w:r w:rsidRPr="00E50178">
        <w:rPr>
          <w:lang w:val="fr-CH"/>
        </w:rPr>
        <w:t>un plan d</w:t>
      </w:r>
      <w:r w:rsidR="00F82D32">
        <w:rPr>
          <w:lang w:val="fr-CH"/>
        </w:rPr>
        <w:t>’</w:t>
      </w:r>
      <w:r w:rsidRPr="00E50178">
        <w:rPr>
          <w:lang w:val="fr-CH"/>
        </w:rPr>
        <w:t>action comprenant les suggestions d</w:t>
      </w:r>
      <w:r w:rsidR="00F82D32">
        <w:rPr>
          <w:lang w:val="fr-CH"/>
        </w:rPr>
        <w:t>’</w:t>
      </w:r>
      <w:r w:rsidRPr="00E50178">
        <w:rPr>
          <w:lang w:val="fr-CH"/>
        </w:rPr>
        <w:t>activités, les noms des membres du personnel responsables de la mise en œuvre de la recommandation et une date</w:t>
      </w:r>
      <w:r w:rsidR="007379C2">
        <w:rPr>
          <w:lang w:val="fr-CH"/>
        </w:rPr>
        <w:noBreakHyphen/>
      </w:r>
      <w:r w:rsidRPr="00E50178">
        <w:rPr>
          <w:lang w:val="fr-CH"/>
        </w:rPr>
        <w:t>buto</w:t>
      </w:r>
      <w:r w:rsidR="00EF3A93" w:rsidRPr="00E50178">
        <w:rPr>
          <w:lang w:val="fr-CH"/>
        </w:rPr>
        <w:t>ir</w:t>
      </w:r>
      <w:r w:rsidR="00EF3A93">
        <w:rPr>
          <w:lang w:val="fr-CH"/>
        </w:rPr>
        <w:t xml:space="preserve">.  </w:t>
      </w:r>
      <w:r w:rsidR="00EF3A93" w:rsidRPr="00E50178">
        <w:rPr>
          <w:lang w:val="fr-CH"/>
        </w:rPr>
        <w:t>Le</w:t>
      </w:r>
      <w:r w:rsidRPr="00E50178">
        <w:rPr>
          <w:lang w:val="fr-CH"/>
        </w:rPr>
        <w:t>s recommandations de supervision sont gérées au moyen du système TeamCentral©</w:t>
      </w:r>
      <w:r w:rsidRPr="00E50178">
        <w:rPr>
          <w:rStyle w:val="FootnoteReference"/>
          <w:lang w:val="fr-CH"/>
        </w:rPr>
        <w:footnoteReference w:id="5"/>
      </w:r>
      <w:r w:rsidRPr="00E50178">
        <w:rPr>
          <w:lang w:val="fr-CH"/>
        </w:rPr>
        <w:t>, accessible par</w:t>
      </w:r>
      <w:r w:rsidR="00DE3BC1" w:rsidRPr="00E50178">
        <w:rPr>
          <w:lang w:val="fr-CH"/>
        </w:rPr>
        <w:t xml:space="preserve"> la</w:t>
      </w:r>
      <w:r w:rsidR="00DE3BC1">
        <w:rPr>
          <w:lang w:val="fr-CH"/>
        </w:rPr>
        <w:t> </w:t>
      </w:r>
      <w:r w:rsidR="00DE3BC1" w:rsidRPr="00E50178">
        <w:rPr>
          <w:lang w:val="fr-CH"/>
        </w:rPr>
        <w:t>DSI</w:t>
      </w:r>
      <w:r w:rsidRPr="00E50178">
        <w:rPr>
          <w:lang w:val="fr-CH"/>
        </w:rPr>
        <w:t>, la direction de l</w:t>
      </w:r>
      <w:r w:rsidR="00F82D32">
        <w:rPr>
          <w:lang w:val="fr-CH"/>
        </w:rPr>
        <w:t>’</w:t>
      </w:r>
      <w:r w:rsidRPr="00E50178">
        <w:rPr>
          <w:lang w:val="fr-CH"/>
        </w:rPr>
        <w:t>OMPI et les vérificateurs externes des comptes.</w:t>
      </w:r>
    </w:p>
    <w:p w14:paraId="4F78E4C9" w14:textId="34B7D686" w:rsidR="00C5485D" w:rsidRDefault="00191710" w:rsidP="00191710">
      <w:pPr>
        <w:pStyle w:val="Heading3"/>
      </w:pPr>
      <w:bookmarkStart w:id="19" w:name="_Toc476745977"/>
      <w:r w:rsidRPr="00E50178">
        <w:t xml:space="preserve">Audit </w:t>
      </w:r>
      <w:r w:rsidR="00A6657A" w:rsidRPr="00E50178">
        <w:t>du projet de système de gestion des contenus (ECM) de l</w:t>
      </w:r>
      <w:r w:rsidR="00F82D32">
        <w:t>’</w:t>
      </w:r>
      <w:r w:rsidRPr="00E50178">
        <w:t>OMPI</w:t>
      </w:r>
    </w:p>
    <w:p w14:paraId="1EA4D0E7" w14:textId="0356AFEA" w:rsidR="00C5485D" w:rsidRDefault="00C11B8B" w:rsidP="00191710">
      <w:pPr>
        <w:pStyle w:val="ONUMFS"/>
        <w:rPr>
          <w:lang w:val="fr-CH"/>
        </w:rPr>
      </w:pPr>
      <w:r w:rsidRPr="00E50178">
        <w:rPr>
          <w:lang w:val="fr-CH"/>
        </w:rPr>
        <w:t>L</w:t>
      </w:r>
      <w:r w:rsidR="00F82D32">
        <w:rPr>
          <w:lang w:val="fr-CH"/>
        </w:rPr>
        <w:t>’</w:t>
      </w:r>
      <w:r w:rsidRPr="00E50178">
        <w:rPr>
          <w:lang w:val="fr-CH"/>
        </w:rPr>
        <w:t>audit a révélé que le projet relatif à la gestion des contenus de l</w:t>
      </w:r>
      <w:r w:rsidR="00F82D32">
        <w:rPr>
          <w:lang w:val="fr-CH"/>
        </w:rPr>
        <w:t>’</w:t>
      </w:r>
      <w:r w:rsidRPr="00E50178">
        <w:rPr>
          <w:lang w:val="fr-CH"/>
        </w:rPr>
        <w:t xml:space="preserve">Organisation (projet ECM) </w:t>
      </w:r>
      <w:r w:rsidR="0018420B" w:rsidRPr="00E50178">
        <w:rPr>
          <w:lang w:val="fr-CH"/>
        </w:rPr>
        <w:t>était</w:t>
      </w:r>
      <w:r w:rsidRPr="00E50178">
        <w:rPr>
          <w:lang w:val="fr-CH"/>
        </w:rPr>
        <w:t xml:space="preserve"> géré efficacement </w:t>
      </w:r>
      <w:r w:rsidR="0018420B" w:rsidRPr="00E50178">
        <w:rPr>
          <w:lang w:val="fr-CH"/>
        </w:rPr>
        <w:t>et,</w:t>
      </w:r>
      <w:r w:rsidRPr="00E50178">
        <w:rPr>
          <w:lang w:val="fr-CH"/>
        </w:rPr>
        <w:t xml:space="preserve"> en particulier</w:t>
      </w:r>
      <w:r w:rsidR="0018420B" w:rsidRPr="00E50178">
        <w:rPr>
          <w:lang w:val="fr-CH"/>
        </w:rPr>
        <w:t>, qu</w:t>
      </w:r>
      <w:r w:rsidR="00F82D32">
        <w:rPr>
          <w:lang w:val="fr-CH"/>
        </w:rPr>
        <w:t>’</w:t>
      </w:r>
      <w:r w:rsidR="0018420B" w:rsidRPr="00E50178">
        <w:rPr>
          <w:lang w:val="fr-CH"/>
        </w:rPr>
        <w:t>il était</w:t>
      </w:r>
      <w:r w:rsidRPr="00E50178">
        <w:rPr>
          <w:lang w:val="fr-CH"/>
        </w:rPr>
        <w:t xml:space="preserve"> mis en </w:t>
      </w:r>
      <w:r w:rsidR="00610666" w:rsidRPr="00E50178">
        <w:rPr>
          <w:lang w:val="fr-CH"/>
        </w:rPr>
        <w:t>œ</w:t>
      </w:r>
      <w:r w:rsidRPr="00E50178">
        <w:rPr>
          <w:lang w:val="fr-CH"/>
        </w:rPr>
        <w:t xml:space="preserve">uvre </w:t>
      </w:r>
      <w:r w:rsidR="00610666" w:rsidRPr="00E50178">
        <w:rPr>
          <w:lang w:val="fr-CH"/>
        </w:rPr>
        <w:t xml:space="preserve">selon </w:t>
      </w:r>
      <w:r w:rsidRPr="00E50178">
        <w:rPr>
          <w:lang w:val="fr-CH"/>
        </w:rPr>
        <w:t xml:space="preserve">une approche </w:t>
      </w:r>
      <w:r w:rsidR="00610666" w:rsidRPr="00E50178">
        <w:rPr>
          <w:lang w:val="fr-CH"/>
        </w:rPr>
        <w:t>“</w:t>
      </w:r>
      <w:r w:rsidRPr="00E50178">
        <w:rPr>
          <w:lang w:val="fr-CH"/>
        </w:rPr>
        <w:t>ascendante</w:t>
      </w:r>
      <w:r w:rsidR="00610666" w:rsidRPr="00E50178">
        <w:rPr>
          <w:lang w:val="fr-CH"/>
        </w:rPr>
        <w:t>”</w:t>
      </w:r>
      <w:r w:rsidRPr="00E50178">
        <w:rPr>
          <w:lang w:val="fr-CH"/>
        </w:rPr>
        <w:t xml:space="preserve"> </w:t>
      </w:r>
      <w:r w:rsidR="0018420B" w:rsidRPr="00E50178">
        <w:rPr>
          <w:lang w:val="fr-CH"/>
        </w:rPr>
        <w:t>adaptée</w:t>
      </w:r>
      <w:r w:rsidRPr="00E50178">
        <w:rPr>
          <w:lang w:val="fr-CH"/>
        </w:rPr>
        <w:t>, comprenant des étapes successives et des sous</w:t>
      </w:r>
      <w:r w:rsidR="007379C2">
        <w:rPr>
          <w:lang w:val="fr-CH"/>
        </w:rPr>
        <w:noBreakHyphen/>
      </w:r>
      <w:r w:rsidRPr="00E50178">
        <w:rPr>
          <w:lang w:val="fr-CH"/>
        </w:rPr>
        <w:t xml:space="preserve">projets à gains rapides, </w:t>
      </w:r>
      <w:r w:rsidR="0018420B" w:rsidRPr="00E50178">
        <w:rPr>
          <w:lang w:val="fr-CH"/>
        </w:rPr>
        <w:t>ce qui</w:t>
      </w:r>
      <w:r w:rsidR="00610666" w:rsidRPr="00E50178">
        <w:rPr>
          <w:lang w:val="fr-CH"/>
        </w:rPr>
        <w:t xml:space="preserve"> </w:t>
      </w:r>
      <w:r w:rsidR="0018420B" w:rsidRPr="00E50178">
        <w:rPr>
          <w:lang w:val="fr-CH"/>
        </w:rPr>
        <w:t>permettait de tirer des enseignements</w:t>
      </w:r>
      <w:r w:rsidR="00A8624F" w:rsidRPr="00E50178">
        <w:rPr>
          <w:lang w:val="fr-CH"/>
        </w:rPr>
        <w:t xml:space="preserve"> tout au long du processus</w:t>
      </w:r>
      <w:r w:rsidRPr="00E50178">
        <w:rPr>
          <w:lang w:val="fr-CH"/>
        </w:rPr>
        <w:t xml:space="preserve"> et </w:t>
      </w:r>
      <w:r w:rsidR="00A8624F" w:rsidRPr="00E50178">
        <w:rPr>
          <w:lang w:val="fr-CH"/>
        </w:rPr>
        <w:t xml:space="preserve">de </w:t>
      </w:r>
      <w:r w:rsidRPr="00E50178">
        <w:rPr>
          <w:lang w:val="fr-CH"/>
        </w:rPr>
        <w:t>facilit</w:t>
      </w:r>
      <w:r w:rsidR="00A8624F" w:rsidRPr="00E50178">
        <w:rPr>
          <w:lang w:val="fr-CH"/>
        </w:rPr>
        <w:t>er</w:t>
      </w:r>
      <w:r w:rsidR="0018420B" w:rsidRPr="00E50178">
        <w:rPr>
          <w:lang w:val="fr-CH"/>
        </w:rPr>
        <w:t xml:space="preserve"> </w:t>
      </w:r>
      <w:r w:rsidRPr="00E50178">
        <w:rPr>
          <w:lang w:val="fr-CH"/>
        </w:rPr>
        <w:t>le</w:t>
      </w:r>
      <w:r w:rsidR="00A8624F" w:rsidRPr="00E50178">
        <w:rPr>
          <w:lang w:val="fr-CH"/>
        </w:rPr>
        <w:t>s</w:t>
      </w:r>
      <w:r w:rsidRPr="00E50178">
        <w:rPr>
          <w:lang w:val="fr-CH"/>
        </w:rPr>
        <w:t xml:space="preserve"> changement</w:t>
      </w:r>
      <w:r w:rsidR="00A8624F" w:rsidRPr="00E50178">
        <w:rPr>
          <w:lang w:val="fr-CH"/>
        </w:rPr>
        <w:t>s</w:t>
      </w:r>
      <w:r w:rsidRPr="00E50178">
        <w:rPr>
          <w:lang w:val="fr-CH"/>
        </w:rPr>
        <w:t xml:space="preserve"> de mentalités </w:t>
      </w:r>
      <w:r w:rsidR="00610666" w:rsidRPr="00E50178">
        <w:rPr>
          <w:lang w:val="fr-CH"/>
        </w:rPr>
        <w:t>ainsi que</w:t>
      </w:r>
      <w:r w:rsidRPr="00E50178">
        <w:rPr>
          <w:lang w:val="fr-CH"/>
        </w:rPr>
        <w:t xml:space="preserve"> la migration </w:t>
      </w:r>
      <w:r w:rsidR="00610666" w:rsidRPr="00E50178">
        <w:rPr>
          <w:lang w:val="fr-CH"/>
        </w:rPr>
        <w:t>technique</w:t>
      </w:r>
      <w:r w:rsidRPr="00E50178">
        <w:rPr>
          <w:lang w:val="fr-CH"/>
        </w:rPr>
        <w:t xml:space="preserve"> des conten</w:t>
      </w:r>
      <w:r w:rsidR="00EF3A93" w:rsidRPr="00E50178">
        <w:rPr>
          <w:lang w:val="fr-CH"/>
        </w:rPr>
        <w:t>us</w:t>
      </w:r>
      <w:r w:rsidR="00EF3A93">
        <w:rPr>
          <w:lang w:val="fr-CH"/>
        </w:rPr>
        <w:t xml:space="preserve">.  </w:t>
      </w:r>
      <w:r w:rsidR="00EF3A93" w:rsidRPr="00E50178">
        <w:rPr>
          <w:lang w:val="fr-CH"/>
        </w:rPr>
        <w:t>Le</w:t>
      </w:r>
      <w:r w:rsidRPr="00E50178">
        <w:rPr>
          <w:lang w:val="fr-CH"/>
        </w:rPr>
        <w:t xml:space="preserve">s ressources ont été gérées de manière </w:t>
      </w:r>
      <w:r w:rsidR="0018420B" w:rsidRPr="00E50178">
        <w:rPr>
          <w:lang w:val="fr-CH"/>
        </w:rPr>
        <w:t>efficace</w:t>
      </w:r>
      <w:r w:rsidRPr="00E50178">
        <w:rPr>
          <w:lang w:val="fr-CH"/>
        </w:rPr>
        <w:t>.</w:t>
      </w:r>
    </w:p>
    <w:p w14:paraId="72E9FC14" w14:textId="3EA2774B" w:rsidR="00C5485D" w:rsidRDefault="00C11B8B" w:rsidP="00191710">
      <w:pPr>
        <w:pStyle w:val="ONUMFS"/>
        <w:rPr>
          <w:lang w:val="fr-CH"/>
        </w:rPr>
      </w:pPr>
      <w:r w:rsidRPr="00E50178">
        <w:rPr>
          <w:lang w:val="fr-CH"/>
        </w:rPr>
        <w:t xml:space="preserve">Le logiciel sélectionné, OpenText, peut être considéré comme </w:t>
      </w:r>
      <w:r w:rsidR="00610666" w:rsidRPr="00E50178">
        <w:rPr>
          <w:lang w:val="fr-CH"/>
        </w:rPr>
        <w:t>adapté</w:t>
      </w:r>
      <w:r w:rsidRPr="00E50178">
        <w:rPr>
          <w:lang w:val="fr-CH"/>
        </w:rPr>
        <w:t xml:space="preserve"> aux besoins de l</w:t>
      </w:r>
      <w:r w:rsidR="00F82D32">
        <w:rPr>
          <w:lang w:val="fr-CH"/>
        </w:rPr>
        <w:t>’</w:t>
      </w:r>
      <w:r w:rsidRPr="00E50178">
        <w:rPr>
          <w:lang w:val="fr-CH"/>
        </w:rPr>
        <w:t>OMPI et il est cité par des analystes du marché (par exemple,</w:t>
      </w:r>
      <w:r w:rsidR="00F736B0" w:rsidRPr="00E50178">
        <w:rPr>
          <w:lang w:val="fr-CH"/>
        </w:rPr>
        <w:t xml:space="preserve"> </w:t>
      </w:r>
      <w:r w:rsidRPr="00E50178">
        <w:rPr>
          <w:lang w:val="fr-CH"/>
        </w:rPr>
        <w:t>Gartner) comme l</w:t>
      </w:r>
      <w:r w:rsidR="00F82D32">
        <w:rPr>
          <w:lang w:val="fr-CH"/>
        </w:rPr>
        <w:t>’</w:t>
      </w:r>
      <w:r w:rsidRPr="00E50178">
        <w:rPr>
          <w:lang w:val="fr-CH"/>
        </w:rPr>
        <w:t>un des meilleu</w:t>
      </w:r>
      <w:r w:rsidR="00EF3A93" w:rsidRPr="00E50178">
        <w:rPr>
          <w:lang w:val="fr-CH"/>
        </w:rPr>
        <w:t>rs</w:t>
      </w:r>
      <w:r w:rsidR="00EF3A93">
        <w:rPr>
          <w:lang w:val="fr-CH"/>
        </w:rPr>
        <w:t xml:space="preserve">.  </w:t>
      </w:r>
      <w:r w:rsidR="00EF3A93" w:rsidRPr="00E50178">
        <w:rPr>
          <w:lang w:val="fr-CH"/>
        </w:rPr>
        <w:t>En</w:t>
      </w:r>
      <w:r w:rsidRPr="00E50178">
        <w:rPr>
          <w:lang w:val="fr-CH"/>
        </w:rPr>
        <w:t xml:space="preserve"> outre, l</w:t>
      </w:r>
      <w:r w:rsidR="00F82D32">
        <w:rPr>
          <w:lang w:val="fr-CH"/>
        </w:rPr>
        <w:t>’</w:t>
      </w:r>
      <w:r w:rsidRPr="00E50178">
        <w:rPr>
          <w:lang w:val="fr-CH"/>
        </w:rPr>
        <w:t xml:space="preserve">approche </w:t>
      </w:r>
      <w:r w:rsidR="0018420B" w:rsidRPr="00E50178">
        <w:rPr>
          <w:lang w:val="fr-CH"/>
        </w:rPr>
        <w:t>suivie pour le</w:t>
      </w:r>
      <w:r w:rsidRPr="00E50178">
        <w:rPr>
          <w:lang w:val="fr-CH"/>
        </w:rPr>
        <w:t xml:space="preserve"> développement, fondée sur la configuration sans personnalisation, garantit </w:t>
      </w:r>
      <w:r w:rsidR="0018420B" w:rsidRPr="00E50178">
        <w:rPr>
          <w:lang w:val="fr-CH"/>
        </w:rPr>
        <w:t>une</w:t>
      </w:r>
      <w:r w:rsidRPr="00E50178">
        <w:rPr>
          <w:lang w:val="fr-CH"/>
        </w:rPr>
        <w:t xml:space="preserve"> viabilité à long terme, </w:t>
      </w:r>
      <w:r w:rsidR="00AE63B3">
        <w:rPr>
          <w:lang w:val="fr-CH"/>
        </w:rPr>
        <w:t>y compris</w:t>
      </w:r>
      <w:r w:rsidRPr="00E50178">
        <w:rPr>
          <w:lang w:val="fr-CH"/>
        </w:rPr>
        <w:t xml:space="preserve"> la migration éventuelle vers la version en nuage existante.</w:t>
      </w:r>
    </w:p>
    <w:p w14:paraId="4AFE9E30" w14:textId="0781E6A9" w:rsidR="00C5485D" w:rsidRDefault="00C11B8B" w:rsidP="00191710">
      <w:pPr>
        <w:pStyle w:val="ONUMFS"/>
        <w:rPr>
          <w:lang w:val="fr-CH"/>
        </w:rPr>
      </w:pPr>
      <w:r w:rsidRPr="00E50178">
        <w:rPr>
          <w:lang w:val="fr-CH"/>
        </w:rPr>
        <w:t>L</w:t>
      </w:r>
      <w:r w:rsidR="00F82D32">
        <w:rPr>
          <w:lang w:val="fr-CH"/>
        </w:rPr>
        <w:t>’</w:t>
      </w:r>
      <w:r w:rsidRPr="00E50178">
        <w:rPr>
          <w:lang w:val="fr-CH"/>
        </w:rPr>
        <w:t>audit a également révélé que l</w:t>
      </w:r>
      <w:r w:rsidR="00F82D32">
        <w:rPr>
          <w:lang w:val="fr-CH"/>
        </w:rPr>
        <w:t>’</w:t>
      </w:r>
      <w:r w:rsidRPr="00E50178">
        <w:rPr>
          <w:lang w:val="fr-CH"/>
        </w:rPr>
        <w:t xml:space="preserve">OMPI </w:t>
      </w:r>
      <w:r w:rsidR="0018420B" w:rsidRPr="00E50178">
        <w:rPr>
          <w:lang w:val="fr-CH"/>
        </w:rPr>
        <w:t>gagnerait</w:t>
      </w:r>
      <w:r w:rsidR="00610666" w:rsidRPr="00E50178">
        <w:rPr>
          <w:lang w:val="fr-CH"/>
        </w:rPr>
        <w:t xml:space="preserve"> </w:t>
      </w:r>
      <w:r w:rsidR="0018420B" w:rsidRPr="00E50178">
        <w:rPr>
          <w:lang w:val="fr-CH"/>
        </w:rPr>
        <w:t xml:space="preserve">à établir </w:t>
      </w:r>
      <w:r w:rsidR="00610666" w:rsidRPr="00E50178">
        <w:rPr>
          <w:lang w:val="fr-CH"/>
        </w:rPr>
        <w:t>une stratégie numérique</w:t>
      </w:r>
      <w:r w:rsidRPr="00E50178">
        <w:rPr>
          <w:lang w:val="fr-CH"/>
        </w:rPr>
        <w:t xml:space="preserve"> tirant parti des résultats du projet </w:t>
      </w:r>
      <w:r w:rsidR="00EF3A93" w:rsidRPr="00E50178">
        <w:rPr>
          <w:lang w:val="fr-CH"/>
        </w:rPr>
        <w:t>ECM</w:t>
      </w:r>
      <w:r w:rsidR="00EF3A93">
        <w:rPr>
          <w:lang w:val="fr-CH"/>
        </w:rPr>
        <w:t xml:space="preserve">.  </w:t>
      </w:r>
      <w:r w:rsidR="00EF3A93" w:rsidRPr="00E50178">
        <w:rPr>
          <w:lang w:val="fr-CH"/>
        </w:rPr>
        <w:t>Un</w:t>
      </w:r>
      <w:r w:rsidR="00C71F0B" w:rsidRPr="00E50178">
        <w:rPr>
          <w:lang w:val="fr-CH"/>
        </w:rPr>
        <w:t xml:space="preserve">e </w:t>
      </w:r>
      <w:r w:rsidR="0018420B" w:rsidRPr="00E50178">
        <w:rPr>
          <w:lang w:val="fr-CH"/>
        </w:rPr>
        <w:t xml:space="preserve">telle </w:t>
      </w:r>
      <w:r w:rsidR="00C71F0B" w:rsidRPr="00E50178">
        <w:rPr>
          <w:lang w:val="fr-CH"/>
        </w:rPr>
        <w:t xml:space="preserve">stratégie </w:t>
      </w:r>
      <w:r w:rsidR="0018420B" w:rsidRPr="00E50178">
        <w:rPr>
          <w:lang w:val="fr-CH"/>
        </w:rPr>
        <w:t>permettrait d</w:t>
      </w:r>
      <w:r w:rsidR="00F82D32">
        <w:rPr>
          <w:lang w:val="fr-CH"/>
        </w:rPr>
        <w:t>’</w:t>
      </w:r>
      <w:r w:rsidR="0018420B" w:rsidRPr="00E50178">
        <w:rPr>
          <w:lang w:val="fr-CH"/>
        </w:rPr>
        <w:t>envisager et de définir</w:t>
      </w:r>
      <w:r w:rsidR="00C71F0B" w:rsidRPr="00E50178">
        <w:rPr>
          <w:lang w:val="fr-CH"/>
        </w:rPr>
        <w:t xml:space="preserve"> la manière dont les capacités numériques peuvent améliorer l</w:t>
      </w:r>
      <w:r w:rsidR="00F82D32">
        <w:rPr>
          <w:lang w:val="fr-CH"/>
        </w:rPr>
        <w:t>’</w:t>
      </w:r>
      <w:r w:rsidR="00C71F0B" w:rsidRPr="00E50178">
        <w:rPr>
          <w:lang w:val="fr-CH"/>
        </w:rPr>
        <w:t>accès à l</w:t>
      </w:r>
      <w:r w:rsidR="00F82D32">
        <w:rPr>
          <w:lang w:val="fr-CH"/>
        </w:rPr>
        <w:t>’</w:t>
      </w:r>
      <w:r w:rsidR="00C71F0B" w:rsidRPr="00E50178">
        <w:rPr>
          <w:lang w:val="fr-CH"/>
        </w:rPr>
        <w:t>information et la création de connaissances, simplifi</w:t>
      </w:r>
      <w:r w:rsidR="00610666" w:rsidRPr="00E50178">
        <w:rPr>
          <w:lang w:val="fr-CH"/>
        </w:rPr>
        <w:t>er les processus et en faciliter</w:t>
      </w:r>
      <w:r w:rsidR="00C71F0B" w:rsidRPr="00E50178">
        <w:rPr>
          <w:lang w:val="fr-CH"/>
        </w:rPr>
        <w:t xml:space="preserve"> l</w:t>
      </w:r>
      <w:r w:rsidR="00F82D32">
        <w:rPr>
          <w:lang w:val="fr-CH"/>
        </w:rPr>
        <w:t>’</w:t>
      </w:r>
      <w:r w:rsidR="00610666" w:rsidRPr="00E50178">
        <w:rPr>
          <w:lang w:val="fr-CH"/>
        </w:rPr>
        <w:t xml:space="preserve">automatisation, </w:t>
      </w:r>
      <w:r w:rsidR="00C71F0B" w:rsidRPr="00E50178">
        <w:rPr>
          <w:lang w:val="fr-CH"/>
        </w:rPr>
        <w:t xml:space="preserve">et renforcer </w:t>
      </w:r>
      <w:r w:rsidR="00C71F0B" w:rsidRPr="00E50178">
        <w:rPr>
          <w:lang w:val="fr-CH"/>
        </w:rPr>
        <w:lastRenderedPageBreak/>
        <w:t>l</w:t>
      </w:r>
      <w:r w:rsidR="00F82D32">
        <w:rPr>
          <w:lang w:val="fr-CH"/>
        </w:rPr>
        <w:t>’</w:t>
      </w:r>
      <w:r w:rsidR="00C71F0B" w:rsidRPr="00E50178">
        <w:rPr>
          <w:lang w:val="fr-CH"/>
        </w:rPr>
        <w:t>expérience des utilisateurs tout en tenant compte d</w:t>
      </w:r>
      <w:r w:rsidR="00F82D32">
        <w:rPr>
          <w:lang w:val="fr-CH"/>
        </w:rPr>
        <w:t>’</w:t>
      </w:r>
      <w:r w:rsidR="00C71F0B" w:rsidRPr="00E50178">
        <w:rPr>
          <w:lang w:val="fr-CH"/>
        </w:rPr>
        <w:t>autres initiatives de l</w:t>
      </w:r>
      <w:r w:rsidR="00F82D32">
        <w:rPr>
          <w:lang w:val="fr-CH"/>
        </w:rPr>
        <w:t>’</w:t>
      </w:r>
      <w:r w:rsidR="00C71F0B" w:rsidRPr="00E50178">
        <w:rPr>
          <w:lang w:val="fr-CH"/>
        </w:rPr>
        <w:t>OMPI, comme la charte de données.</w:t>
      </w:r>
    </w:p>
    <w:p w14:paraId="2988E2DB" w14:textId="3143909A" w:rsidR="00C5485D" w:rsidRDefault="002245CA" w:rsidP="00191710">
      <w:pPr>
        <w:pStyle w:val="ONUMFS"/>
        <w:rPr>
          <w:lang w:val="fr-CH"/>
        </w:rPr>
      </w:pPr>
      <w:r w:rsidRPr="00E50178">
        <w:rPr>
          <w:lang w:val="fr-CH"/>
        </w:rPr>
        <w:t>La DSI note en outre que la mise en place d</w:t>
      </w:r>
      <w:r w:rsidR="00F82D32">
        <w:rPr>
          <w:lang w:val="fr-CH"/>
        </w:rPr>
        <w:t>’</w:t>
      </w:r>
      <w:r w:rsidRPr="00E50178">
        <w:rPr>
          <w:lang w:val="fr-CH"/>
        </w:rPr>
        <w:t xml:space="preserve">un outil de gestion des contenus contribue à </w:t>
      </w:r>
      <w:r w:rsidR="00A8624F" w:rsidRPr="00E50178">
        <w:rPr>
          <w:lang w:val="fr-CH"/>
        </w:rPr>
        <w:t xml:space="preserve">appuyer </w:t>
      </w:r>
      <w:r w:rsidRPr="00E50178">
        <w:rPr>
          <w:lang w:val="fr-CH"/>
        </w:rPr>
        <w:t xml:space="preserve">la mise en </w:t>
      </w:r>
      <w:r w:rsidR="00610666" w:rsidRPr="00E50178">
        <w:rPr>
          <w:lang w:val="fr-CH"/>
        </w:rPr>
        <w:t>œ</w:t>
      </w:r>
      <w:r w:rsidRPr="00E50178">
        <w:rPr>
          <w:lang w:val="fr-CH"/>
        </w:rPr>
        <w:t xml:space="preserve">uvre de la </w:t>
      </w:r>
      <w:r w:rsidR="00A8624F" w:rsidRPr="00E50178">
        <w:rPr>
          <w:lang w:val="fr-CH"/>
        </w:rPr>
        <w:t>S</w:t>
      </w:r>
      <w:r w:rsidRPr="00E50178">
        <w:rPr>
          <w:lang w:val="fr-CH"/>
        </w:rPr>
        <w:t xml:space="preserve">tratégie de gestion des connaissances et </w:t>
      </w:r>
      <w:r w:rsidR="00A8624F" w:rsidRPr="00E50178">
        <w:rPr>
          <w:lang w:val="fr-CH"/>
        </w:rPr>
        <w:t>souligne la nécessité</w:t>
      </w:r>
      <w:r w:rsidRPr="00E50178">
        <w:rPr>
          <w:lang w:val="fr-CH"/>
        </w:rPr>
        <w:t xml:space="preserve"> </w:t>
      </w:r>
      <w:r w:rsidR="00A8624F" w:rsidRPr="00E50178">
        <w:rPr>
          <w:lang w:val="fr-CH"/>
        </w:rPr>
        <w:t>d</w:t>
      </w:r>
      <w:r w:rsidR="00F82D32">
        <w:rPr>
          <w:lang w:val="fr-CH"/>
        </w:rPr>
        <w:t>’</w:t>
      </w:r>
      <w:r w:rsidR="00610666" w:rsidRPr="00E50178">
        <w:rPr>
          <w:lang w:val="fr-CH"/>
        </w:rPr>
        <w:t>“</w:t>
      </w:r>
      <w:r w:rsidRPr="00E50178">
        <w:rPr>
          <w:lang w:val="fr-CH"/>
        </w:rPr>
        <w:t xml:space="preserve">outils et </w:t>
      </w:r>
      <w:r w:rsidR="00A8624F" w:rsidRPr="00E50178">
        <w:rPr>
          <w:lang w:val="fr-CH"/>
        </w:rPr>
        <w:t xml:space="preserve">[de] </w:t>
      </w:r>
      <w:r w:rsidRPr="00E50178">
        <w:rPr>
          <w:lang w:val="fr-CH"/>
        </w:rPr>
        <w:t>processus homogènes à l</w:t>
      </w:r>
      <w:r w:rsidR="00F82D32">
        <w:rPr>
          <w:lang w:val="fr-CH"/>
        </w:rPr>
        <w:t>’</w:t>
      </w:r>
      <w:r w:rsidRPr="00E50178">
        <w:rPr>
          <w:lang w:val="fr-CH"/>
        </w:rPr>
        <w:t>échelle de l</w:t>
      </w:r>
      <w:r w:rsidR="00F82D32">
        <w:rPr>
          <w:lang w:val="fr-CH"/>
        </w:rPr>
        <w:t>’</w:t>
      </w:r>
      <w:r w:rsidRPr="00E50178">
        <w:rPr>
          <w:lang w:val="fr-CH"/>
        </w:rPr>
        <w:t>Organisation pour faciliter la gestion des contenus et le partage des connaissances</w:t>
      </w:r>
      <w:r w:rsidR="00610666" w:rsidRPr="00E50178">
        <w:rPr>
          <w:lang w:val="fr-CH"/>
        </w:rPr>
        <w:t>”</w:t>
      </w:r>
      <w:r w:rsidRPr="00E50178">
        <w:rPr>
          <w:lang w:val="fr-CH"/>
        </w:rPr>
        <w:t>.</w:t>
      </w:r>
      <w:r w:rsidR="00F736B0" w:rsidRPr="00E50178">
        <w:rPr>
          <w:lang w:val="fr-CH"/>
        </w:rPr>
        <w:t xml:space="preserve">  </w:t>
      </w:r>
      <w:r w:rsidRPr="00E50178">
        <w:rPr>
          <w:lang w:val="fr-CH"/>
        </w:rPr>
        <w:t xml:space="preserve">Une évaluation de </w:t>
      </w:r>
      <w:r w:rsidR="00A8624F" w:rsidRPr="00E50178">
        <w:rPr>
          <w:lang w:val="fr-CH"/>
        </w:rPr>
        <w:t>maturité</w:t>
      </w:r>
      <w:r w:rsidRPr="00E50178">
        <w:rPr>
          <w:lang w:val="fr-CH"/>
        </w:rPr>
        <w:t xml:space="preserve"> de la gestion des contenus </w:t>
      </w:r>
      <w:r w:rsidR="00E31785" w:rsidRPr="00E50178">
        <w:rPr>
          <w:lang w:val="fr-CH"/>
        </w:rPr>
        <w:t>et</w:t>
      </w:r>
      <w:r w:rsidRPr="00E50178">
        <w:rPr>
          <w:lang w:val="fr-CH"/>
        </w:rPr>
        <w:t xml:space="preserve"> de la gestion des connaissances à l</w:t>
      </w:r>
      <w:r w:rsidR="00F82D32">
        <w:rPr>
          <w:lang w:val="fr-CH"/>
        </w:rPr>
        <w:t>’</w:t>
      </w:r>
      <w:r w:rsidRPr="00E50178">
        <w:rPr>
          <w:lang w:val="fr-CH"/>
        </w:rPr>
        <w:t>OMPI, fondée sur un jugement professionnel</w:t>
      </w:r>
      <w:r w:rsidRPr="00E50178">
        <w:rPr>
          <w:rStyle w:val="FootnoteReference"/>
          <w:lang w:val="fr-CH"/>
        </w:rPr>
        <w:footnoteReference w:id="6"/>
      </w:r>
      <w:r w:rsidRPr="00E50178">
        <w:rPr>
          <w:lang w:val="fr-CH"/>
        </w:rPr>
        <w:t xml:space="preserve"> et </w:t>
      </w:r>
      <w:r w:rsidR="00E31785" w:rsidRPr="00E50178">
        <w:rPr>
          <w:lang w:val="fr-CH"/>
        </w:rPr>
        <w:t xml:space="preserve">sur </w:t>
      </w:r>
      <w:r w:rsidRPr="00E50178">
        <w:rPr>
          <w:lang w:val="fr-CH"/>
        </w:rPr>
        <w:t xml:space="preserve">les informations disponibles, a permis de constater, en particulier, </w:t>
      </w:r>
      <w:r w:rsidR="00E31785" w:rsidRPr="00E50178">
        <w:rPr>
          <w:lang w:val="fr-CH"/>
        </w:rPr>
        <w:t xml:space="preserve">que </w:t>
      </w:r>
      <w:r w:rsidRPr="00E50178">
        <w:rPr>
          <w:lang w:val="fr-CH"/>
        </w:rPr>
        <w:t>la qualité, l</w:t>
      </w:r>
      <w:r w:rsidR="00F82D32">
        <w:rPr>
          <w:lang w:val="fr-CH"/>
        </w:rPr>
        <w:t>’</w:t>
      </w:r>
      <w:r w:rsidRPr="00E50178">
        <w:rPr>
          <w:lang w:val="fr-CH"/>
        </w:rPr>
        <w:t>état de préparation, les personnes et les sources</w:t>
      </w:r>
      <w:r w:rsidR="00E31785" w:rsidRPr="00E50178">
        <w:rPr>
          <w:lang w:val="fr-CH"/>
        </w:rPr>
        <w:t xml:space="preserve"> de connaissances </w:t>
      </w:r>
      <w:r w:rsidR="00A8624F" w:rsidRPr="00E50178">
        <w:rPr>
          <w:lang w:val="fr-CH"/>
        </w:rPr>
        <w:t>pouvaient encore</w:t>
      </w:r>
      <w:r w:rsidR="00E31785" w:rsidRPr="00E50178">
        <w:rPr>
          <w:lang w:val="fr-CH"/>
        </w:rPr>
        <w:t xml:space="preserve"> être a</w:t>
      </w:r>
      <w:r w:rsidRPr="00E50178">
        <w:rPr>
          <w:lang w:val="fr-CH"/>
        </w:rPr>
        <w:t xml:space="preserve">méliorés </w:t>
      </w:r>
      <w:r w:rsidR="00A8624F" w:rsidRPr="00E50178">
        <w:rPr>
          <w:lang w:val="fr-CH"/>
        </w:rPr>
        <w:t>pour ce qui est</w:t>
      </w:r>
      <w:r w:rsidRPr="00E50178">
        <w:rPr>
          <w:lang w:val="fr-CH"/>
        </w:rPr>
        <w:t xml:space="preserve"> de la gestion des connaissances à l</w:t>
      </w:r>
      <w:r w:rsidR="00F82D32">
        <w:rPr>
          <w:lang w:val="fr-CH"/>
        </w:rPr>
        <w:t>’</w:t>
      </w:r>
      <w:r w:rsidRPr="00E50178">
        <w:rPr>
          <w:lang w:val="fr-CH"/>
        </w:rPr>
        <w:t>OMPI.</w:t>
      </w:r>
    </w:p>
    <w:p w14:paraId="0771F962" w14:textId="6C47B288" w:rsidR="00C5485D" w:rsidRDefault="002245CA" w:rsidP="00191710">
      <w:pPr>
        <w:pStyle w:val="ONUMFS"/>
        <w:rPr>
          <w:lang w:val="fr-CH"/>
        </w:rPr>
      </w:pPr>
      <w:r w:rsidRPr="00E50178">
        <w:rPr>
          <w:lang w:val="fr-CH"/>
        </w:rPr>
        <w:t>L</w:t>
      </w:r>
      <w:r w:rsidR="00F82D32">
        <w:rPr>
          <w:lang w:val="fr-CH"/>
        </w:rPr>
        <w:t>’</w:t>
      </w:r>
      <w:r w:rsidRPr="00E50178">
        <w:rPr>
          <w:lang w:val="fr-CH"/>
        </w:rPr>
        <w:t xml:space="preserve">approbation de la </w:t>
      </w:r>
      <w:r w:rsidR="00BE73C6" w:rsidRPr="00E50178">
        <w:rPr>
          <w:lang w:val="fr-CH"/>
        </w:rPr>
        <w:t>St</w:t>
      </w:r>
      <w:r w:rsidRPr="00E50178">
        <w:rPr>
          <w:lang w:val="fr-CH"/>
        </w:rPr>
        <w:t xml:space="preserve">ratégie de gestion des connaissances doit être formalisée </w:t>
      </w:r>
      <w:r w:rsidR="00BE73C6" w:rsidRPr="00E50178">
        <w:rPr>
          <w:lang w:val="fr-CH"/>
        </w:rPr>
        <w:t>avec la</w:t>
      </w:r>
      <w:r w:rsidRPr="00E50178">
        <w:rPr>
          <w:lang w:val="fr-CH"/>
        </w:rPr>
        <w:t xml:space="preserve"> désigna</w:t>
      </w:r>
      <w:r w:rsidR="00BE73C6" w:rsidRPr="00E50178">
        <w:rPr>
          <w:lang w:val="fr-CH"/>
        </w:rPr>
        <w:t>tion d</w:t>
      </w:r>
      <w:r w:rsidR="00F82D32">
        <w:rPr>
          <w:lang w:val="fr-CH"/>
        </w:rPr>
        <w:t>’</w:t>
      </w:r>
      <w:r w:rsidR="00BE73C6" w:rsidRPr="00E50178">
        <w:rPr>
          <w:lang w:val="fr-CH"/>
        </w:rPr>
        <w:t>u</w:t>
      </w:r>
      <w:r w:rsidRPr="00E50178">
        <w:rPr>
          <w:lang w:val="fr-CH"/>
        </w:rPr>
        <w:t>n membre de l</w:t>
      </w:r>
      <w:r w:rsidR="00F82D32">
        <w:rPr>
          <w:lang w:val="fr-CH"/>
        </w:rPr>
        <w:t>’</w:t>
      </w:r>
      <w:r w:rsidRPr="00E50178">
        <w:rPr>
          <w:lang w:val="fr-CH"/>
        </w:rPr>
        <w:t xml:space="preserve">Équipe de haute direction </w:t>
      </w:r>
      <w:r w:rsidR="00BE73C6" w:rsidRPr="00E50178">
        <w:rPr>
          <w:lang w:val="fr-CH"/>
        </w:rPr>
        <w:t>en tant que</w:t>
      </w:r>
      <w:r w:rsidRPr="00E50178">
        <w:rPr>
          <w:lang w:val="fr-CH"/>
        </w:rPr>
        <w:t xml:space="preserve"> responsable de </w:t>
      </w:r>
      <w:r w:rsidR="00BE73C6" w:rsidRPr="00E50178">
        <w:rPr>
          <w:lang w:val="fr-CH"/>
        </w:rPr>
        <w:t>cette</w:t>
      </w:r>
      <w:r w:rsidRPr="00E50178">
        <w:rPr>
          <w:lang w:val="fr-CH"/>
        </w:rPr>
        <w:t xml:space="preserve"> stratég</w:t>
      </w:r>
      <w:r w:rsidR="00EF3A93" w:rsidRPr="00E50178">
        <w:rPr>
          <w:lang w:val="fr-CH"/>
        </w:rPr>
        <w:t>ie</w:t>
      </w:r>
      <w:r w:rsidR="00EF3A93">
        <w:rPr>
          <w:lang w:val="fr-CH"/>
        </w:rPr>
        <w:t xml:space="preserve">.  </w:t>
      </w:r>
      <w:r w:rsidR="00EF3A93" w:rsidRPr="00E50178">
        <w:rPr>
          <w:lang w:val="fr-CH"/>
        </w:rPr>
        <w:t>Le</w:t>
      </w:r>
      <w:r w:rsidRPr="00E50178">
        <w:rPr>
          <w:lang w:val="fr-CH"/>
        </w:rPr>
        <w:t xml:space="preserve"> responsable sera notamment chargé de mettre à jour la stratégie (actuellement valable jusqu</w:t>
      </w:r>
      <w:r w:rsidR="00F82D32">
        <w:rPr>
          <w:lang w:val="fr-CH"/>
        </w:rPr>
        <w:t>’</w:t>
      </w:r>
      <w:r w:rsidR="00BE73C6" w:rsidRPr="00E50178">
        <w:rPr>
          <w:lang w:val="fr-CH"/>
        </w:rPr>
        <w:t xml:space="preserve">à la fin </w:t>
      </w:r>
      <w:r w:rsidR="00DE3BC1" w:rsidRPr="00E50178">
        <w:rPr>
          <w:lang w:val="fr-CH"/>
        </w:rPr>
        <w:t>de</w:t>
      </w:r>
      <w:r w:rsidR="00DE3BC1">
        <w:rPr>
          <w:lang w:val="fr-CH"/>
        </w:rPr>
        <w:t> </w:t>
      </w:r>
      <w:r w:rsidR="00DE3BC1" w:rsidRPr="00E50178">
        <w:rPr>
          <w:lang w:val="fr-CH"/>
        </w:rPr>
        <w:t>2018</w:t>
      </w:r>
      <w:r w:rsidR="00BE73C6" w:rsidRPr="00E50178">
        <w:rPr>
          <w:lang w:val="fr-CH"/>
        </w:rPr>
        <w:t>)</w:t>
      </w:r>
      <w:r w:rsidR="00B73FEC" w:rsidRPr="00E50178">
        <w:rPr>
          <w:lang w:val="fr-CH"/>
        </w:rPr>
        <w:t xml:space="preserve"> et</w:t>
      </w:r>
      <w:r w:rsidRPr="00E50178">
        <w:rPr>
          <w:lang w:val="fr-CH"/>
        </w:rPr>
        <w:t xml:space="preserve"> d</w:t>
      </w:r>
      <w:r w:rsidR="00F82D32">
        <w:rPr>
          <w:lang w:val="fr-CH"/>
        </w:rPr>
        <w:t>’</w:t>
      </w:r>
      <w:r w:rsidRPr="00E50178">
        <w:rPr>
          <w:lang w:val="fr-CH"/>
        </w:rPr>
        <w:t xml:space="preserve">instaurer un cadre </w:t>
      </w:r>
      <w:r w:rsidR="00BE73C6" w:rsidRPr="00E50178">
        <w:rPr>
          <w:lang w:val="fr-CH"/>
        </w:rPr>
        <w:t>pour la gestion du</w:t>
      </w:r>
      <w:r w:rsidRPr="00E50178">
        <w:rPr>
          <w:lang w:val="fr-CH"/>
        </w:rPr>
        <w:t xml:space="preserve"> cycle de vie des connaissances et l</w:t>
      </w:r>
      <w:r w:rsidR="00F82D32">
        <w:rPr>
          <w:lang w:val="fr-CH"/>
        </w:rPr>
        <w:t>’</w:t>
      </w:r>
      <w:r w:rsidRPr="00E50178">
        <w:rPr>
          <w:lang w:val="fr-CH"/>
        </w:rPr>
        <w:t>intégration des principes de gestion des connaissances définis dans la stratégie.</w:t>
      </w:r>
    </w:p>
    <w:p w14:paraId="487F2F04" w14:textId="166EBC43" w:rsidR="00C5485D" w:rsidRDefault="002245CA" w:rsidP="00191710">
      <w:pPr>
        <w:pStyle w:val="ONUMFS"/>
        <w:rPr>
          <w:lang w:val="fr-CH"/>
        </w:rPr>
      </w:pPr>
      <w:r w:rsidRPr="00E50178">
        <w:rPr>
          <w:lang w:val="fr-CH"/>
        </w:rPr>
        <w:t>Enfin,</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encourage l</w:t>
      </w:r>
      <w:r w:rsidR="00F82D32">
        <w:rPr>
          <w:lang w:val="fr-CH"/>
        </w:rPr>
        <w:t>’</w:t>
      </w:r>
      <w:r w:rsidRPr="00E50178">
        <w:rPr>
          <w:lang w:val="fr-CH"/>
        </w:rPr>
        <w:t xml:space="preserve">équipe chargée du projet ECM à accélérer la mise en </w:t>
      </w:r>
      <w:r w:rsidR="00610666" w:rsidRPr="00E50178">
        <w:rPr>
          <w:lang w:val="fr-CH"/>
        </w:rPr>
        <w:t>œ</w:t>
      </w:r>
      <w:r w:rsidRPr="00E50178">
        <w:rPr>
          <w:lang w:val="fr-CH"/>
        </w:rPr>
        <w:t>uvre déjà prévue d</w:t>
      </w:r>
      <w:r w:rsidR="00F82D32">
        <w:rPr>
          <w:lang w:val="fr-CH"/>
        </w:rPr>
        <w:t>’</w:t>
      </w:r>
      <w:r w:rsidRPr="00E50178">
        <w:rPr>
          <w:lang w:val="fr-CH"/>
        </w:rPr>
        <w:t>un plan de communication, ainsi que d</w:t>
      </w:r>
      <w:r w:rsidR="00F82D32">
        <w:rPr>
          <w:lang w:val="fr-CH"/>
        </w:rPr>
        <w:t>’</w:t>
      </w:r>
      <w:r w:rsidRPr="00E50178">
        <w:rPr>
          <w:lang w:val="fr-CH"/>
        </w:rPr>
        <w:t xml:space="preserve">un modèle </w:t>
      </w:r>
      <w:r w:rsidR="00BE73C6" w:rsidRPr="00E50178">
        <w:rPr>
          <w:lang w:val="fr-CH"/>
        </w:rPr>
        <w:t>opérationnel</w:t>
      </w:r>
      <w:r w:rsidRPr="00E50178">
        <w:rPr>
          <w:lang w:val="fr-CH"/>
        </w:rPr>
        <w:t xml:space="preserve"> général, avant de </w:t>
      </w:r>
      <w:r w:rsidR="00B73FEC" w:rsidRPr="00E50178">
        <w:rPr>
          <w:lang w:val="fr-CH"/>
        </w:rPr>
        <w:t>lancer</w:t>
      </w:r>
      <w:r w:rsidRPr="00E50178">
        <w:rPr>
          <w:lang w:val="fr-CH"/>
        </w:rPr>
        <w:t xml:space="preserve"> la deuxième phase du projet ECM, qui </w:t>
      </w:r>
      <w:r w:rsidR="00B73FEC" w:rsidRPr="00E50178">
        <w:rPr>
          <w:lang w:val="fr-CH"/>
        </w:rPr>
        <w:t>prévoit</w:t>
      </w:r>
      <w:r w:rsidRPr="00E50178">
        <w:rPr>
          <w:lang w:val="fr-CH"/>
        </w:rPr>
        <w:t xml:space="preserve"> un déploiement </w:t>
      </w:r>
      <w:r w:rsidR="00B73FEC" w:rsidRPr="00E50178">
        <w:rPr>
          <w:lang w:val="fr-CH"/>
        </w:rPr>
        <w:t>à l</w:t>
      </w:r>
      <w:r w:rsidR="00F82D32">
        <w:rPr>
          <w:lang w:val="fr-CH"/>
        </w:rPr>
        <w:t>’</w:t>
      </w:r>
      <w:r w:rsidR="00B73FEC" w:rsidRPr="00E50178">
        <w:rPr>
          <w:lang w:val="fr-CH"/>
        </w:rPr>
        <w:t>échelle</w:t>
      </w:r>
      <w:r w:rsidRPr="00E50178">
        <w:rPr>
          <w:lang w:val="fr-CH"/>
        </w:rPr>
        <w:t xml:space="preserve"> de l</w:t>
      </w:r>
      <w:r w:rsidR="00F82D32">
        <w:rPr>
          <w:lang w:val="fr-CH"/>
        </w:rPr>
        <w:t>’</w:t>
      </w:r>
      <w:r w:rsidR="00610666" w:rsidRPr="00E50178">
        <w:rPr>
          <w:lang w:val="fr-CH"/>
        </w:rPr>
        <w:t>Organisation</w:t>
      </w:r>
      <w:r w:rsidRPr="00E50178">
        <w:rPr>
          <w:lang w:val="fr-CH"/>
        </w:rPr>
        <w:t>.</w:t>
      </w:r>
    </w:p>
    <w:p w14:paraId="50D25A76" w14:textId="77777777" w:rsidR="00C5485D" w:rsidRDefault="00191710" w:rsidP="00191710">
      <w:pPr>
        <w:pStyle w:val="Heading3"/>
      </w:pPr>
      <w:bookmarkStart w:id="20" w:name="_Toc476745979"/>
      <w:bookmarkEnd w:id="19"/>
      <w:r w:rsidRPr="00E50178">
        <w:t xml:space="preserve">Audit </w:t>
      </w:r>
      <w:r w:rsidR="00FA298E" w:rsidRPr="00E50178">
        <w:t xml:space="preserve">de la gestion des services internes dans le </w:t>
      </w:r>
      <w:r w:rsidRPr="00E50178">
        <w:t xml:space="preserve">Secteur administration </w:t>
      </w:r>
      <w:r w:rsidR="00FA298E" w:rsidRPr="00E50178">
        <w:t>et gestion</w:t>
      </w:r>
    </w:p>
    <w:p w14:paraId="64BC66EA" w14:textId="4287152E" w:rsidR="00C5485D" w:rsidRDefault="00FA298E" w:rsidP="00191710">
      <w:pPr>
        <w:pStyle w:val="ONUMFS"/>
        <w:rPr>
          <w:lang w:val="fr-CH"/>
        </w:rPr>
      </w:pPr>
      <w:r w:rsidRPr="00E50178">
        <w:rPr>
          <w:lang w:val="fr-CH"/>
        </w:rPr>
        <w:t xml:space="preserve">Le Secteur administration et gestion a lancé </w:t>
      </w:r>
      <w:r w:rsidR="00DE3BC1" w:rsidRPr="00E50178">
        <w:rPr>
          <w:lang w:val="fr-CH"/>
        </w:rPr>
        <w:t>en</w:t>
      </w:r>
      <w:r w:rsidR="00DE3BC1">
        <w:rPr>
          <w:lang w:val="fr-CH"/>
        </w:rPr>
        <w:t> </w:t>
      </w:r>
      <w:r w:rsidR="00DE3BC1" w:rsidRPr="00E50178">
        <w:rPr>
          <w:lang w:val="fr-CH"/>
        </w:rPr>
        <w:t>2018</w:t>
      </w:r>
      <w:r w:rsidRPr="00E50178">
        <w:rPr>
          <w:lang w:val="fr-CH"/>
        </w:rPr>
        <w:t xml:space="preserve"> une initiative visant à définir une approche plus homogène de la gestion des services dans l</w:t>
      </w:r>
      <w:r w:rsidR="00F82D32">
        <w:rPr>
          <w:lang w:val="fr-CH"/>
        </w:rPr>
        <w:t>’</w:t>
      </w:r>
      <w:r w:rsidRPr="00E50178">
        <w:rPr>
          <w:lang w:val="fr-CH"/>
        </w:rPr>
        <w:t>ensemble du secteur</w:t>
      </w:r>
      <w:r w:rsidR="00B73FEC" w:rsidRPr="00E50178">
        <w:rPr>
          <w:lang w:val="fr-CH"/>
        </w:rPr>
        <w:t>,</w:t>
      </w:r>
      <w:r w:rsidRPr="00E50178">
        <w:rPr>
          <w:lang w:val="fr-CH"/>
        </w:rPr>
        <w:t xml:space="preserve"> en vue de la mise en </w:t>
      </w:r>
      <w:r w:rsidR="00610666" w:rsidRPr="00E50178">
        <w:rPr>
          <w:lang w:val="fr-CH"/>
        </w:rPr>
        <w:t>œ</w:t>
      </w:r>
      <w:r w:rsidRPr="00E50178">
        <w:rPr>
          <w:lang w:val="fr-CH"/>
        </w:rPr>
        <w:t>uvre d</w:t>
      </w:r>
      <w:r w:rsidR="00F82D32">
        <w:rPr>
          <w:lang w:val="fr-CH"/>
        </w:rPr>
        <w:t>’</w:t>
      </w:r>
      <w:r w:rsidRPr="00E50178">
        <w:rPr>
          <w:lang w:val="fr-CH"/>
        </w:rPr>
        <w:t>un système de gestion des services de l</w:t>
      </w:r>
      <w:r w:rsidR="00F82D32">
        <w:rPr>
          <w:lang w:val="fr-CH"/>
        </w:rPr>
        <w:t>’</w:t>
      </w:r>
      <w:r w:rsidRPr="00E50178">
        <w:rPr>
          <w:lang w:val="fr-CH"/>
        </w:rPr>
        <w:t xml:space="preserve">Organisation </w:t>
      </w:r>
      <w:r w:rsidR="00B73FEC" w:rsidRPr="00E50178">
        <w:rPr>
          <w:lang w:val="fr-CH"/>
        </w:rPr>
        <w:t>permettant d</w:t>
      </w:r>
      <w:r w:rsidR="00F82D32">
        <w:rPr>
          <w:lang w:val="fr-CH"/>
        </w:rPr>
        <w:t>’</w:t>
      </w:r>
      <w:r w:rsidRPr="00E50178">
        <w:rPr>
          <w:lang w:val="fr-CH"/>
        </w:rPr>
        <w:t>améliorer</w:t>
      </w:r>
      <w:r w:rsidR="00B73FEC" w:rsidRPr="00E50178">
        <w:rPr>
          <w:lang w:val="fr-CH"/>
        </w:rPr>
        <w:t xml:space="preserve"> </w:t>
      </w:r>
      <w:r w:rsidRPr="00E50178">
        <w:rPr>
          <w:lang w:val="fr-CH"/>
        </w:rPr>
        <w:t>l</w:t>
      </w:r>
      <w:r w:rsidR="00F82D32">
        <w:rPr>
          <w:lang w:val="fr-CH"/>
        </w:rPr>
        <w:t>’</w:t>
      </w:r>
      <w:r w:rsidRPr="00E50178">
        <w:rPr>
          <w:lang w:val="fr-CH"/>
        </w:rPr>
        <w:t>efficacité et la viabilité des a</w:t>
      </w:r>
      <w:r w:rsidR="00B73FEC" w:rsidRPr="00E50178">
        <w:rPr>
          <w:lang w:val="fr-CH"/>
        </w:rPr>
        <w:t xml:space="preserve">ctivités de gestion de services, ainsi que </w:t>
      </w:r>
      <w:r w:rsidRPr="00E50178">
        <w:rPr>
          <w:lang w:val="fr-CH"/>
        </w:rPr>
        <w:t>l</w:t>
      </w:r>
      <w:r w:rsidR="00F82D32">
        <w:rPr>
          <w:lang w:val="fr-CH"/>
        </w:rPr>
        <w:t>’</w:t>
      </w:r>
      <w:r w:rsidRPr="00E50178">
        <w:rPr>
          <w:lang w:val="fr-CH"/>
        </w:rPr>
        <w:t>expérience et la satisfaction globales des clients.</w:t>
      </w:r>
    </w:p>
    <w:p w14:paraId="66A753A9" w14:textId="3A420357" w:rsidR="00C5485D" w:rsidRDefault="00FA298E" w:rsidP="00191710">
      <w:pPr>
        <w:pStyle w:val="ONUMFS"/>
        <w:rPr>
          <w:lang w:val="fr-CH"/>
        </w:rPr>
      </w:pPr>
      <w:r w:rsidRPr="00E50178">
        <w:rPr>
          <w:lang w:val="fr-CH"/>
        </w:rPr>
        <w:t>Si</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reconna</w:t>
      </w:r>
      <w:r w:rsidR="003046DB" w:rsidRPr="00E50178">
        <w:rPr>
          <w:lang w:val="fr-CH"/>
        </w:rPr>
        <w:t>î</w:t>
      </w:r>
      <w:r w:rsidRPr="00E50178">
        <w:rPr>
          <w:lang w:val="fr-CH"/>
        </w:rPr>
        <w:t>t et appuie l</w:t>
      </w:r>
      <w:r w:rsidR="00F82D32">
        <w:rPr>
          <w:lang w:val="fr-CH"/>
        </w:rPr>
        <w:t>’</w:t>
      </w:r>
      <w:r w:rsidRPr="00E50178">
        <w:rPr>
          <w:lang w:val="fr-CH"/>
        </w:rPr>
        <w:t xml:space="preserve">initiative visant à mettre en </w:t>
      </w:r>
      <w:r w:rsidR="00610666" w:rsidRPr="00E50178">
        <w:rPr>
          <w:lang w:val="fr-CH"/>
        </w:rPr>
        <w:t>œ</w:t>
      </w:r>
      <w:r w:rsidRPr="00E50178">
        <w:rPr>
          <w:lang w:val="fr-CH"/>
        </w:rPr>
        <w:t xml:space="preserve">uvre </w:t>
      </w:r>
      <w:r w:rsidR="0023705B" w:rsidRPr="00E50178">
        <w:rPr>
          <w:lang w:val="fr-CH"/>
        </w:rPr>
        <w:t>un système de gestion des services de l</w:t>
      </w:r>
      <w:r w:rsidR="00F82D32">
        <w:rPr>
          <w:lang w:val="fr-CH"/>
        </w:rPr>
        <w:t>’</w:t>
      </w:r>
      <w:r w:rsidR="0023705B" w:rsidRPr="00E50178">
        <w:rPr>
          <w:lang w:val="fr-CH"/>
        </w:rPr>
        <w:t>Organisation</w:t>
      </w:r>
      <w:r w:rsidRPr="00E50178">
        <w:rPr>
          <w:lang w:val="fr-CH"/>
        </w:rPr>
        <w:t xml:space="preserve">, un certain nombre de conditions doivent être </w:t>
      </w:r>
      <w:r w:rsidR="00274C99" w:rsidRPr="00E50178">
        <w:rPr>
          <w:lang w:val="fr-CH"/>
        </w:rPr>
        <w:t>examinées</w:t>
      </w:r>
      <w:r w:rsidRPr="00E50178">
        <w:rPr>
          <w:lang w:val="fr-CH"/>
        </w:rPr>
        <w:t xml:space="preserve"> pour </w:t>
      </w:r>
      <w:r w:rsidR="00274C99" w:rsidRPr="00E50178">
        <w:rPr>
          <w:lang w:val="fr-CH"/>
        </w:rPr>
        <w:t>garantir</w:t>
      </w:r>
      <w:r w:rsidRPr="00E50178">
        <w:rPr>
          <w:lang w:val="fr-CH"/>
        </w:rPr>
        <w:t xml:space="preserve"> une gestion de services </w:t>
      </w:r>
      <w:r w:rsidR="0023705B" w:rsidRPr="00E50178">
        <w:rPr>
          <w:lang w:val="fr-CH"/>
        </w:rPr>
        <w:t>viab</w:t>
      </w:r>
      <w:r w:rsidRPr="00E50178">
        <w:rPr>
          <w:lang w:val="fr-CH"/>
        </w:rPr>
        <w:t>le et effica</w:t>
      </w:r>
      <w:r w:rsidR="00EF3A93" w:rsidRPr="00E50178">
        <w:rPr>
          <w:lang w:val="fr-CH"/>
        </w:rPr>
        <w:t>ce</w:t>
      </w:r>
      <w:r w:rsidR="00EF3A93">
        <w:rPr>
          <w:lang w:val="fr-CH"/>
        </w:rPr>
        <w:t xml:space="preserve">.  </w:t>
      </w:r>
      <w:r w:rsidR="00EF3A93" w:rsidRPr="00E50178">
        <w:rPr>
          <w:lang w:val="fr-CH"/>
        </w:rPr>
        <w:t>Pa</w:t>
      </w:r>
      <w:r w:rsidR="0050584B" w:rsidRPr="00E50178">
        <w:rPr>
          <w:lang w:val="fr-CH"/>
        </w:rPr>
        <w:t xml:space="preserve">r exemple, le Secteur administration et gestion </w:t>
      </w:r>
      <w:r w:rsidR="0023705B" w:rsidRPr="00E50178">
        <w:rPr>
          <w:lang w:val="fr-CH"/>
        </w:rPr>
        <w:t xml:space="preserve">gagnerait à établir </w:t>
      </w:r>
      <w:r w:rsidR="0050584B" w:rsidRPr="00E50178">
        <w:rPr>
          <w:lang w:val="fr-CH"/>
        </w:rPr>
        <w:t>une charte de services personnalisée, fondée sur la Charte de services à la clientèle de l</w:t>
      </w:r>
      <w:r w:rsidR="00F82D32">
        <w:rPr>
          <w:lang w:val="fr-CH"/>
        </w:rPr>
        <w:t>’</w:t>
      </w:r>
      <w:r w:rsidR="0050584B" w:rsidRPr="00E50178">
        <w:rPr>
          <w:lang w:val="fr-CH"/>
        </w:rPr>
        <w:t xml:space="preserve">OMPI, et alignée sur les résultats escomptés pour les services </w:t>
      </w:r>
      <w:r w:rsidR="00B73FEC" w:rsidRPr="00E50178">
        <w:rPr>
          <w:lang w:val="fr-CH"/>
        </w:rPr>
        <w:t>fournis par l</w:t>
      </w:r>
      <w:r w:rsidR="0050584B" w:rsidRPr="00E50178">
        <w:rPr>
          <w:lang w:val="fr-CH"/>
        </w:rPr>
        <w:t xml:space="preserve">es programmes du secteur, </w:t>
      </w:r>
      <w:r w:rsidR="00B73FEC" w:rsidRPr="00E50178">
        <w:rPr>
          <w:lang w:val="fr-CH"/>
        </w:rPr>
        <w:t>conformément à</w:t>
      </w:r>
      <w:r w:rsidR="0050584B" w:rsidRPr="00E50178">
        <w:rPr>
          <w:lang w:val="fr-CH"/>
        </w:rPr>
        <w:t xml:space="preserve"> l</w:t>
      </w:r>
      <w:r w:rsidR="00F82D32">
        <w:rPr>
          <w:lang w:val="fr-CH"/>
        </w:rPr>
        <w:t>’</w:t>
      </w:r>
      <w:r w:rsidR="0050584B" w:rsidRPr="00E50178">
        <w:rPr>
          <w:lang w:val="fr-CH"/>
        </w:rPr>
        <w:t>objectif stratégique</w:t>
      </w:r>
      <w:r w:rsidR="00610666" w:rsidRPr="00E50178">
        <w:rPr>
          <w:lang w:val="fr-CH"/>
        </w:rPr>
        <w:t> </w:t>
      </w:r>
      <w:r w:rsidR="00B73FEC" w:rsidRPr="00E50178">
        <w:rPr>
          <w:lang w:val="fr-CH"/>
        </w:rPr>
        <w:t>IX</w:t>
      </w:r>
      <w:r w:rsidR="0050584B" w:rsidRPr="00E50178">
        <w:rPr>
          <w:lang w:val="fr-CH"/>
        </w:rPr>
        <w:t xml:space="preserve"> </w:t>
      </w:r>
      <w:r w:rsidR="00B73FEC" w:rsidRPr="00E50178">
        <w:rPr>
          <w:lang w:val="fr-CH"/>
        </w:rPr>
        <w:t>du</w:t>
      </w:r>
      <w:r w:rsidR="0050584B" w:rsidRPr="00E50178">
        <w:rPr>
          <w:lang w:val="fr-CH"/>
        </w:rPr>
        <w:t xml:space="preserve"> cadre de gestion axée sur les résultats de l</w:t>
      </w:r>
      <w:r w:rsidR="00F82D32">
        <w:rPr>
          <w:lang w:val="fr-CH"/>
        </w:rPr>
        <w:t>’</w:t>
      </w:r>
      <w:r w:rsidR="0050584B" w:rsidRPr="00E50178">
        <w:rPr>
          <w:lang w:val="fr-CH"/>
        </w:rPr>
        <w:t>OMPI.</w:t>
      </w:r>
    </w:p>
    <w:p w14:paraId="31ED2C19" w14:textId="0D2C7614" w:rsidR="00C5485D" w:rsidRDefault="0050584B" w:rsidP="00191710">
      <w:pPr>
        <w:pStyle w:val="ONUMFS"/>
        <w:rPr>
          <w:lang w:val="fr-CH"/>
        </w:rPr>
      </w:pPr>
      <w:r w:rsidRPr="00E50178">
        <w:rPr>
          <w:lang w:val="fr-CH"/>
        </w:rPr>
        <w:t>En outre, les domaines d</w:t>
      </w:r>
      <w:r w:rsidR="00F82D32">
        <w:rPr>
          <w:lang w:val="fr-CH"/>
        </w:rPr>
        <w:t>’</w:t>
      </w:r>
      <w:r w:rsidRPr="00E50178">
        <w:rPr>
          <w:lang w:val="fr-CH"/>
        </w:rPr>
        <w:t>activité du secteur sont associés à diverses échéances, données d</w:t>
      </w:r>
      <w:r w:rsidR="00F82D32">
        <w:rPr>
          <w:lang w:val="fr-CH"/>
        </w:rPr>
        <w:t>’</w:t>
      </w:r>
      <w:r w:rsidRPr="00E50178">
        <w:rPr>
          <w:lang w:val="fr-CH"/>
        </w:rPr>
        <w:t>expérience, outils et pratiques pour la gestion de servic</w:t>
      </w:r>
      <w:r w:rsidR="00EF3A93" w:rsidRPr="00E50178">
        <w:rPr>
          <w:lang w:val="fr-CH"/>
        </w:rPr>
        <w:t>es</w:t>
      </w:r>
      <w:r w:rsidR="00EF3A93">
        <w:rPr>
          <w:lang w:val="fr-CH"/>
        </w:rPr>
        <w:t xml:space="preserve">.  </w:t>
      </w:r>
      <w:r w:rsidR="00EF3A93" w:rsidRPr="00E50178">
        <w:rPr>
          <w:lang w:val="fr-CH"/>
        </w:rPr>
        <w:t>En</w:t>
      </w:r>
      <w:r w:rsidR="00B73FEC" w:rsidRPr="00E50178">
        <w:rPr>
          <w:lang w:val="fr-CH"/>
        </w:rPr>
        <w:t xml:space="preserve"> conséquence</w:t>
      </w:r>
      <w:r w:rsidRPr="00E50178">
        <w:rPr>
          <w:lang w:val="fr-CH"/>
        </w:rPr>
        <w:t xml:space="preserve">, il serait utile de faire le point </w:t>
      </w:r>
      <w:r w:rsidR="0023705B" w:rsidRPr="00E50178">
        <w:rPr>
          <w:lang w:val="fr-CH"/>
        </w:rPr>
        <w:t>de</w:t>
      </w:r>
      <w:r w:rsidRPr="00E50178">
        <w:rPr>
          <w:lang w:val="fr-CH"/>
        </w:rPr>
        <w:t xml:space="preserve"> la situation en créant un modèle de maturité et une feuille de rou</w:t>
      </w:r>
      <w:r w:rsidR="00EF3A93" w:rsidRPr="00E50178">
        <w:rPr>
          <w:lang w:val="fr-CH"/>
        </w:rPr>
        <w:t>te</w:t>
      </w:r>
      <w:r w:rsidR="00EF3A93">
        <w:rPr>
          <w:lang w:val="fr-CH"/>
        </w:rPr>
        <w:t xml:space="preserve">.  </w:t>
      </w:r>
      <w:r w:rsidR="00EF3A93" w:rsidRPr="00E50178">
        <w:rPr>
          <w:lang w:val="fr-CH"/>
        </w:rPr>
        <w:t>Ce</w:t>
      </w:r>
      <w:r w:rsidRPr="00E50178">
        <w:rPr>
          <w:lang w:val="fr-CH"/>
        </w:rPr>
        <w:t>la permettrait de recenser les écarts existant entre l</w:t>
      </w:r>
      <w:r w:rsidR="00F82D32">
        <w:rPr>
          <w:lang w:val="fr-CH"/>
        </w:rPr>
        <w:t>’</w:t>
      </w:r>
      <w:r w:rsidRPr="00E50178">
        <w:rPr>
          <w:lang w:val="fr-CH"/>
        </w:rPr>
        <w:t xml:space="preserve">état actuel de la situation et </w:t>
      </w:r>
      <w:r w:rsidR="0023705B" w:rsidRPr="00E50178">
        <w:rPr>
          <w:lang w:val="fr-CH"/>
        </w:rPr>
        <w:t>les objectifs visés</w:t>
      </w:r>
      <w:r w:rsidRPr="00E50178">
        <w:rPr>
          <w:lang w:val="fr-CH"/>
        </w:rPr>
        <w:t>, défini</w:t>
      </w:r>
      <w:r w:rsidR="0023705B" w:rsidRPr="00E50178">
        <w:rPr>
          <w:lang w:val="fr-CH"/>
        </w:rPr>
        <w:t>s</w:t>
      </w:r>
      <w:r w:rsidRPr="00E50178">
        <w:rPr>
          <w:lang w:val="fr-CH"/>
        </w:rPr>
        <w:t xml:space="preserve"> autour des objectifs de la charte, et d</w:t>
      </w:r>
      <w:r w:rsidR="00F82D32">
        <w:rPr>
          <w:lang w:val="fr-CH"/>
        </w:rPr>
        <w:t>’</w:t>
      </w:r>
      <w:r w:rsidRPr="00E50178">
        <w:rPr>
          <w:lang w:val="fr-CH"/>
        </w:rPr>
        <w:t>appuyer la conception et l</w:t>
      </w:r>
      <w:r w:rsidR="00F82D32">
        <w:rPr>
          <w:lang w:val="fr-CH"/>
        </w:rPr>
        <w:t>’</w:t>
      </w:r>
      <w:r w:rsidRPr="00E50178">
        <w:rPr>
          <w:lang w:val="fr-CH"/>
        </w:rPr>
        <w:t>élaboration efficaces d</w:t>
      </w:r>
      <w:r w:rsidR="00F82D32">
        <w:rPr>
          <w:lang w:val="fr-CH"/>
        </w:rPr>
        <w:t>’</w:t>
      </w:r>
      <w:r w:rsidRPr="00E50178">
        <w:rPr>
          <w:lang w:val="fr-CH"/>
        </w:rPr>
        <w:t xml:space="preserve">un cadre de gestion de services adapté à </w:t>
      </w:r>
      <w:r w:rsidR="00B73FEC" w:rsidRPr="00E50178">
        <w:rPr>
          <w:lang w:val="fr-CH"/>
        </w:rPr>
        <w:t>l</w:t>
      </w:r>
      <w:r w:rsidRPr="00E50178">
        <w:rPr>
          <w:lang w:val="fr-CH"/>
        </w:rPr>
        <w:t>a mission</w:t>
      </w:r>
      <w:r w:rsidR="00B73FEC" w:rsidRPr="00E50178">
        <w:rPr>
          <w:lang w:val="fr-CH"/>
        </w:rPr>
        <w:t xml:space="preserve"> du secteur</w:t>
      </w:r>
      <w:r w:rsidRPr="00E50178">
        <w:rPr>
          <w:lang w:val="fr-CH"/>
        </w:rPr>
        <w:t>.</w:t>
      </w:r>
    </w:p>
    <w:p w14:paraId="06B49C55" w14:textId="4B2C3776" w:rsidR="00C5485D" w:rsidRDefault="0050584B" w:rsidP="00191710">
      <w:pPr>
        <w:pStyle w:val="ONUMFS"/>
        <w:rPr>
          <w:lang w:val="fr-CH"/>
        </w:rPr>
      </w:pPr>
      <w:r w:rsidRPr="00E50178">
        <w:rPr>
          <w:lang w:val="fr-CH"/>
        </w:rPr>
        <w:t>Si le site Intranet de l</w:t>
      </w:r>
      <w:r w:rsidR="00F82D32">
        <w:rPr>
          <w:lang w:val="fr-CH"/>
        </w:rPr>
        <w:t>’</w:t>
      </w:r>
      <w:r w:rsidRPr="00E50178">
        <w:rPr>
          <w:lang w:val="fr-CH"/>
        </w:rPr>
        <w:t xml:space="preserve">OMPI </w:t>
      </w:r>
      <w:r w:rsidR="0023705B" w:rsidRPr="00E50178">
        <w:rPr>
          <w:lang w:val="fr-CH"/>
        </w:rPr>
        <w:t>contient</w:t>
      </w:r>
      <w:r w:rsidR="00B73FEC" w:rsidRPr="00E50178">
        <w:rPr>
          <w:lang w:val="fr-CH"/>
        </w:rPr>
        <w:t xml:space="preserve"> </w:t>
      </w:r>
      <w:r w:rsidR="0023705B" w:rsidRPr="00E50178">
        <w:rPr>
          <w:lang w:val="fr-CH"/>
        </w:rPr>
        <w:t>des</w:t>
      </w:r>
      <w:r w:rsidRPr="00E50178">
        <w:rPr>
          <w:lang w:val="fr-CH"/>
        </w:rPr>
        <w:t xml:space="preserve"> ressources </w:t>
      </w:r>
      <w:r w:rsidR="0023705B" w:rsidRPr="00E50178">
        <w:rPr>
          <w:lang w:val="fr-CH"/>
        </w:rPr>
        <w:t>pertinentes</w:t>
      </w:r>
      <w:r w:rsidRPr="00E50178">
        <w:rPr>
          <w:lang w:val="fr-CH"/>
        </w:rPr>
        <w:t xml:space="preserve"> concernant </w:t>
      </w:r>
      <w:r w:rsidR="0023705B" w:rsidRPr="00E50178">
        <w:rPr>
          <w:lang w:val="fr-CH"/>
        </w:rPr>
        <w:t>plusieurs</w:t>
      </w:r>
      <w:r w:rsidRPr="00E50178">
        <w:rPr>
          <w:lang w:val="fr-CH"/>
        </w:rPr>
        <w:t xml:space="preserve"> services internes destiné</w:t>
      </w:r>
      <w:r w:rsidR="0023705B" w:rsidRPr="00E50178">
        <w:rPr>
          <w:lang w:val="fr-CH"/>
        </w:rPr>
        <w:t>e</w:t>
      </w:r>
      <w:r w:rsidRPr="00E50178">
        <w:rPr>
          <w:lang w:val="fr-CH"/>
        </w:rPr>
        <w:t xml:space="preserve">s à </w:t>
      </w:r>
      <w:r w:rsidR="0023705B" w:rsidRPr="00E50178">
        <w:rPr>
          <w:lang w:val="fr-CH"/>
        </w:rPr>
        <w:t>améliorer</w:t>
      </w:r>
      <w:r w:rsidRPr="00E50178">
        <w:rPr>
          <w:lang w:val="fr-CH"/>
        </w:rPr>
        <w:t xml:space="preserve"> l</w:t>
      </w:r>
      <w:r w:rsidR="00F82D32">
        <w:rPr>
          <w:lang w:val="fr-CH"/>
        </w:rPr>
        <w:t>’</w:t>
      </w:r>
      <w:r w:rsidR="0023705B" w:rsidRPr="00E50178">
        <w:rPr>
          <w:lang w:val="fr-CH"/>
        </w:rPr>
        <w:t>expérience de</w:t>
      </w:r>
      <w:r w:rsidRPr="00E50178">
        <w:rPr>
          <w:lang w:val="fr-CH"/>
        </w:rPr>
        <w:t xml:space="preserve">s clients, </w:t>
      </w:r>
      <w:r w:rsidR="0023705B" w:rsidRPr="00E50178">
        <w:rPr>
          <w:lang w:val="fr-CH"/>
        </w:rPr>
        <w:t>certaines</w:t>
      </w:r>
      <w:r w:rsidRPr="00E50178">
        <w:rPr>
          <w:lang w:val="fr-CH"/>
        </w:rPr>
        <w:t xml:space="preserve"> conditions</w:t>
      </w:r>
      <w:r w:rsidR="00B37121" w:rsidRPr="00E50178">
        <w:rPr>
          <w:lang w:val="fr-CH"/>
        </w:rPr>
        <w:t xml:space="preserve"> doivent être prises en considération</w:t>
      </w:r>
      <w:r w:rsidRPr="00E50178">
        <w:rPr>
          <w:lang w:val="fr-CH"/>
        </w:rPr>
        <w:t xml:space="preserve"> </w:t>
      </w:r>
      <w:r w:rsidR="00B73FEC" w:rsidRPr="00E50178">
        <w:rPr>
          <w:lang w:val="fr-CH"/>
        </w:rPr>
        <w:t>afin</w:t>
      </w:r>
      <w:r w:rsidRPr="00E50178">
        <w:rPr>
          <w:lang w:val="fr-CH"/>
        </w:rPr>
        <w:t xml:space="preserve"> d</w:t>
      </w:r>
      <w:r w:rsidR="00F82D32">
        <w:rPr>
          <w:lang w:val="fr-CH"/>
        </w:rPr>
        <w:t>’</w:t>
      </w:r>
      <w:r w:rsidRPr="00E50178">
        <w:rPr>
          <w:lang w:val="fr-CH"/>
        </w:rPr>
        <w:t>améliorer l</w:t>
      </w:r>
      <w:r w:rsidR="00F82D32">
        <w:rPr>
          <w:lang w:val="fr-CH"/>
        </w:rPr>
        <w:t>’</w:t>
      </w:r>
      <w:r w:rsidRPr="00E50178">
        <w:rPr>
          <w:lang w:val="fr-CH"/>
        </w:rPr>
        <w:t>accès et la gestion des contenus sur l</w:t>
      </w:r>
      <w:r w:rsidR="00F82D32">
        <w:rPr>
          <w:lang w:val="fr-CH"/>
        </w:rPr>
        <w:t>’</w:t>
      </w:r>
      <w:r w:rsidRPr="00E50178">
        <w:rPr>
          <w:lang w:val="fr-CH"/>
        </w:rPr>
        <w:t>Intranet.</w:t>
      </w:r>
    </w:p>
    <w:p w14:paraId="3B42C617" w14:textId="3000F118" w:rsidR="00C5485D" w:rsidRDefault="00274C99" w:rsidP="007E2EBC">
      <w:pPr>
        <w:pStyle w:val="ONUMFS"/>
        <w:keepNext/>
        <w:rPr>
          <w:lang w:val="fr-CH"/>
        </w:rPr>
      </w:pPr>
      <w:r w:rsidRPr="00E50178">
        <w:rPr>
          <w:lang w:val="fr-CH"/>
        </w:rPr>
        <w:lastRenderedPageBreak/>
        <w:t>Les perspectives d</w:t>
      </w:r>
      <w:r w:rsidR="00F82D32">
        <w:rPr>
          <w:lang w:val="fr-CH"/>
        </w:rPr>
        <w:t>’</w:t>
      </w:r>
      <w:r w:rsidR="006E1891" w:rsidRPr="00E50178">
        <w:rPr>
          <w:lang w:val="fr-CH"/>
        </w:rPr>
        <w:t>avenir</w:t>
      </w:r>
      <w:r w:rsidRPr="00E50178">
        <w:rPr>
          <w:lang w:val="fr-CH"/>
        </w:rPr>
        <w:t xml:space="preserve"> visent notamment à</w:t>
      </w:r>
      <w:r w:rsidR="00AE63B3">
        <w:rPr>
          <w:lang w:val="fr-CH"/>
        </w:rPr>
        <w:t> :</w:t>
      </w:r>
    </w:p>
    <w:p w14:paraId="68146B25" w14:textId="7DFABC29" w:rsidR="00C5485D" w:rsidRDefault="006E1891" w:rsidP="00191710">
      <w:pPr>
        <w:pStyle w:val="ONUMFS"/>
        <w:numPr>
          <w:ilvl w:val="1"/>
          <w:numId w:val="15"/>
        </w:numPr>
        <w:rPr>
          <w:lang w:val="fr-CH"/>
        </w:rPr>
      </w:pPr>
      <w:r w:rsidRPr="00E50178">
        <w:rPr>
          <w:lang w:val="fr-CH"/>
        </w:rPr>
        <w:t>intégrer les nouvelles technologies telles que l</w:t>
      </w:r>
      <w:r w:rsidR="00F82D32">
        <w:rPr>
          <w:lang w:val="fr-CH"/>
        </w:rPr>
        <w:t>’</w:t>
      </w:r>
      <w:r w:rsidRPr="00E50178">
        <w:rPr>
          <w:lang w:val="fr-CH"/>
        </w:rPr>
        <w:t>Intelligence artificielle, l</w:t>
      </w:r>
      <w:r w:rsidR="00F82D32">
        <w:rPr>
          <w:lang w:val="fr-CH"/>
        </w:rPr>
        <w:t>’</w:t>
      </w:r>
      <w:r w:rsidRPr="00E50178">
        <w:rPr>
          <w:lang w:val="fr-CH"/>
        </w:rPr>
        <w:t>automatisation des procédures robotiques</w:t>
      </w:r>
      <w:r w:rsidRPr="00E50178">
        <w:rPr>
          <w:rStyle w:val="FootnoteReference"/>
        </w:rPr>
        <w:footnoteReference w:id="7"/>
      </w:r>
      <w:r w:rsidRPr="00E50178">
        <w:rPr>
          <w:lang w:val="fr-CH"/>
        </w:rPr>
        <w:t xml:space="preserve"> et l</w:t>
      </w:r>
      <w:r w:rsidR="00F82D32">
        <w:rPr>
          <w:lang w:val="fr-CH"/>
        </w:rPr>
        <w:t>’</w:t>
      </w:r>
      <w:r w:rsidRPr="00E50178">
        <w:rPr>
          <w:lang w:val="fr-CH"/>
        </w:rPr>
        <w:t>apprentissage automatique dans la gestion de services, en vue de créer de la valeur ajoutée et d</w:t>
      </w:r>
      <w:r w:rsidR="00F82D32">
        <w:rPr>
          <w:lang w:val="fr-CH"/>
        </w:rPr>
        <w:t>’</w:t>
      </w:r>
      <w:r w:rsidRPr="00E50178">
        <w:rPr>
          <w:lang w:val="fr-CH"/>
        </w:rPr>
        <w:t>améliorer l</w:t>
      </w:r>
      <w:r w:rsidR="00F82D32">
        <w:rPr>
          <w:lang w:val="fr-CH"/>
        </w:rPr>
        <w:t>’</w:t>
      </w:r>
      <w:r w:rsidRPr="00E50178">
        <w:rPr>
          <w:lang w:val="fr-CH"/>
        </w:rPr>
        <w:t xml:space="preserve">expérience et la satisfaction des clients; </w:t>
      </w:r>
      <w:r w:rsidR="00B73FEC" w:rsidRPr="00E50178">
        <w:rPr>
          <w:lang w:val="fr-CH"/>
        </w:rPr>
        <w:t xml:space="preserve"> </w:t>
      </w:r>
      <w:r w:rsidRPr="00E50178">
        <w:rPr>
          <w:lang w:val="fr-CH"/>
        </w:rPr>
        <w:t>et</w:t>
      </w:r>
    </w:p>
    <w:p w14:paraId="4FF2DFFA" w14:textId="11667244" w:rsidR="00C5485D" w:rsidRDefault="006E1891" w:rsidP="00191710">
      <w:pPr>
        <w:pStyle w:val="ONUMFS"/>
        <w:numPr>
          <w:ilvl w:val="1"/>
          <w:numId w:val="15"/>
        </w:numPr>
        <w:rPr>
          <w:lang w:val="fr-CH"/>
        </w:rPr>
      </w:pPr>
      <w:r w:rsidRPr="00E50178">
        <w:rPr>
          <w:lang w:val="fr-CH"/>
        </w:rPr>
        <w:t>envisager le passage à un cadre global de gestion des services internes pour l</w:t>
      </w:r>
      <w:r w:rsidR="00F82D32">
        <w:rPr>
          <w:lang w:val="fr-CH"/>
        </w:rPr>
        <w:t>’</w:t>
      </w:r>
      <w:r w:rsidRPr="00E50178">
        <w:rPr>
          <w:lang w:val="fr-CH"/>
        </w:rPr>
        <w:t xml:space="preserve">Organisation, </w:t>
      </w:r>
      <w:r w:rsidR="00274C99" w:rsidRPr="00E50178">
        <w:rPr>
          <w:lang w:val="fr-CH"/>
        </w:rPr>
        <w:t>comprenant</w:t>
      </w:r>
      <w:r w:rsidRPr="00E50178">
        <w:rPr>
          <w:lang w:val="fr-CH"/>
        </w:rPr>
        <w:t xml:space="preserve"> des outils communs et des principes </w:t>
      </w:r>
      <w:r w:rsidR="00610666" w:rsidRPr="00E50178">
        <w:rPr>
          <w:lang w:val="fr-CH"/>
        </w:rPr>
        <w:t>harmonisés</w:t>
      </w:r>
      <w:r w:rsidRPr="00E50178">
        <w:rPr>
          <w:lang w:val="fr-CH"/>
        </w:rPr>
        <w:t>.</w:t>
      </w:r>
    </w:p>
    <w:p w14:paraId="6B05BC07" w14:textId="32A7E2F1" w:rsidR="00C5485D" w:rsidRDefault="00191710" w:rsidP="00191710">
      <w:pPr>
        <w:pStyle w:val="Heading3"/>
      </w:pPr>
      <w:r w:rsidRPr="00E50178">
        <w:t>Procédure d</w:t>
      </w:r>
      <w:r w:rsidR="00F82D32">
        <w:t>’</w:t>
      </w:r>
      <w:r w:rsidRPr="00E50178">
        <w:t xml:space="preserve">audit </w:t>
      </w:r>
      <w:r w:rsidR="006E1891" w:rsidRPr="00E50178">
        <w:t>et de clôture des comptes</w:t>
      </w:r>
    </w:p>
    <w:p w14:paraId="0A6FBF1F" w14:textId="069D68C6" w:rsidR="00C5485D" w:rsidRDefault="006E1891" w:rsidP="00191710">
      <w:pPr>
        <w:pStyle w:val="ONUMFS"/>
        <w:rPr>
          <w:lang w:val="fr-CH"/>
        </w:rPr>
      </w:pPr>
      <w:r w:rsidRPr="00E50178">
        <w:rPr>
          <w:lang w:val="fr-CH"/>
        </w:rPr>
        <w:t>Si l</w:t>
      </w:r>
      <w:r w:rsidR="00F82D32">
        <w:rPr>
          <w:lang w:val="fr-CH"/>
        </w:rPr>
        <w:t>’</w:t>
      </w:r>
      <w:r w:rsidRPr="00E50178">
        <w:rPr>
          <w:lang w:val="fr-CH"/>
        </w:rPr>
        <w:t>audit a révélé, dans l</w:t>
      </w:r>
      <w:r w:rsidR="00F82D32">
        <w:rPr>
          <w:lang w:val="fr-CH"/>
        </w:rPr>
        <w:t>’</w:t>
      </w:r>
      <w:r w:rsidRPr="00E50178">
        <w:rPr>
          <w:lang w:val="fr-CH"/>
        </w:rPr>
        <w:t xml:space="preserve">ensemble, </w:t>
      </w:r>
      <w:r w:rsidR="00274C99" w:rsidRPr="00E50178">
        <w:rPr>
          <w:lang w:val="fr-CH"/>
        </w:rPr>
        <w:t>un</w:t>
      </w:r>
      <w:r w:rsidRPr="00E50178">
        <w:rPr>
          <w:lang w:val="fr-CH"/>
        </w:rPr>
        <w:t xml:space="preserve"> processus de clôture des comptes </w:t>
      </w:r>
      <w:r w:rsidR="00274C99" w:rsidRPr="00E50178">
        <w:rPr>
          <w:lang w:val="fr-CH"/>
        </w:rPr>
        <w:t>efficace</w:t>
      </w:r>
      <w:r w:rsidRPr="00E50178">
        <w:rPr>
          <w:lang w:val="fr-CH"/>
        </w:rPr>
        <w:t xml:space="preserve">, </w:t>
      </w:r>
      <w:r w:rsidR="00274C99" w:rsidRPr="00E50178">
        <w:rPr>
          <w:lang w:val="fr-CH"/>
        </w:rPr>
        <w:t xml:space="preserve">des possibilités existent </w:t>
      </w:r>
      <w:r w:rsidRPr="00E50178">
        <w:rPr>
          <w:lang w:val="fr-CH"/>
        </w:rPr>
        <w:t>d</w:t>
      </w:r>
      <w:r w:rsidR="00F82D32">
        <w:rPr>
          <w:lang w:val="fr-CH"/>
        </w:rPr>
        <w:t>’</w:t>
      </w:r>
      <w:r w:rsidRPr="00E50178">
        <w:rPr>
          <w:lang w:val="fr-CH"/>
        </w:rPr>
        <w:t xml:space="preserve">améliorer encore </w:t>
      </w:r>
      <w:r w:rsidR="00B73FEC" w:rsidRPr="00E50178">
        <w:rPr>
          <w:lang w:val="fr-CH"/>
        </w:rPr>
        <w:t xml:space="preserve">la </w:t>
      </w:r>
      <w:r w:rsidR="00274C99" w:rsidRPr="00E50178">
        <w:rPr>
          <w:lang w:val="fr-CH"/>
        </w:rPr>
        <w:t xml:space="preserve">gestion des </w:t>
      </w:r>
      <w:r w:rsidRPr="00E50178">
        <w:rPr>
          <w:lang w:val="fr-CH"/>
        </w:rPr>
        <w:t>achat</w:t>
      </w:r>
      <w:r w:rsidR="00274C99" w:rsidRPr="00E50178">
        <w:rPr>
          <w:lang w:val="fr-CH"/>
        </w:rPr>
        <w:t>s</w:t>
      </w:r>
      <w:r w:rsidRPr="00E50178">
        <w:rPr>
          <w:lang w:val="fr-CH"/>
        </w:rPr>
        <w:t xml:space="preserve"> au règlement.</w:t>
      </w:r>
    </w:p>
    <w:p w14:paraId="38C156C0" w14:textId="377B69C3" w:rsidR="00C5485D" w:rsidRDefault="006E1891" w:rsidP="00191710">
      <w:pPr>
        <w:pStyle w:val="ONUMFS"/>
        <w:rPr>
          <w:lang w:val="fr-CH"/>
        </w:rPr>
      </w:pPr>
      <w:r w:rsidRPr="00E50178">
        <w:rPr>
          <w:lang w:val="fr-CH"/>
        </w:rPr>
        <w:t xml:space="preserve">La DSI a constaté une augmentation de la charge de travail liée à la clôture des bons de commande avant et après la fin </w:t>
      </w:r>
      <w:r w:rsidR="00BD474A" w:rsidRPr="00E50178">
        <w:rPr>
          <w:lang w:val="fr-CH"/>
        </w:rPr>
        <w:t>d</w:t>
      </w:r>
      <w:r w:rsidR="00F82D32">
        <w:rPr>
          <w:lang w:val="fr-CH"/>
        </w:rPr>
        <w:t>’</w:t>
      </w:r>
      <w:r w:rsidRPr="00E50178">
        <w:rPr>
          <w:lang w:val="fr-CH"/>
        </w:rPr>
        <w:t>année (retard par rapport à l</w:t>
      </w:r>
      <w:r w:rsidR="00F82D32">
        <w:rPr>
          <w:lang w:val="fr-CH"/>
        </w:rPr>
        <w:t>’</w:t>
      </w:r>
      <w:r w:rsidRPr="00E50178">
        <w:rPr>
          <w:lang w:val="fr-CH"/>
        </w:rPr>
        <w:t xml:space="preserve">année précédente), indiquant que les programmes </w:t>
      </w:r>
      <w:r w:rsidR="00BD474A" w:rsidRPr="00E50178">
        <w:rPr>
          <w:lang w:val="fr-CH"/>
        </w:rPr>
        <w:t>devaient</w:t>
      </w:r>
      <w:r w:rsidRPr="00E50178">
        <w:rPr>
          <w:lang w:val="fr-CH"/>
        </w:rPr>
        <w:t xml:space="preserve"> déployer d</w:t>
      </w:r>
      <w:r w:rsidR="00BD474A" w:rsidRPr="00E50178">
        <w:rPr>
          <w:lang w:val="fr-CH"/>
        </w:rPr>
        <w:t>avantage d</w:t>
      </w:r>
      <w:r w:rsidR="00F82D32">
        <w:rPr>
          <w:lang w:val="fr-CH"/>
        </w:rPr>
        <w:t>’</w:t>
      </w:r>
      <w:r w:rsidRPr="00E50178">
        <w:rPr>
          <w:lang w:val="fr-CH"/>
        </w:rPr>
        <w:t>efforts pour assurer un suivi et un contrôle réguliers tout au long de l</w:t>
      </w:r>
      <w:r w:rsidR="00F82D32">
        <w:rPr>
          <w:lang w:val="fr-CH"/>
        </w:rPr>
        <w:t>’</w:t>
      </w:r>
      <w:r w:rsidRPr="00E50178">
        <w:rPr>
          <w:lang w:val="fr-CH"/>
        </w:rPr>
        <w:t>ann</w:t>
      </w:r>
      <w:r w:rsidR="00EF3A93" w:rsidRPr="00E50178">
        <w:rPr>
          <w:lang w:val="fr-CH"/>
        </w:rPr>
        <w:t>ée</w:t>
      </w:r>
      <w:r w:rsidR="00EF3A93">
        <w:rPr>
          <w:lang w:val="fr-CH"/>
        </w:rPr>
        <w:t xml:space="preserve">.  </w:t>
      </w:r>
      <w:r w:rsidR="00EF3A93" w:rsidRPr="00E50178">
        <w:rPr>
          <w:lang w:val="fr-CH"/>
        </w:rPr>
        <w:t>L</w:t>
      </w:r>
      <w:r w:rsidR="00F82D32">
        <w:rPr>
          <w:lang w:val="fr-CH"/>
        </w:rPr>
        <w:t>’</w:t>
      </w:r>
      <w:r w:rsidR="00EF3A93" w:rsidRPr="00E50178">
        <w:rPr>
          <w:lang w:val="fr-CH"/>
        </w:rPr>
        <w:t>a</w:t>
      </w:r>
      <w:r w:rsidRPr="00E50178">
        <w:rPr>
          <w:lang w:val="fr-CH"/>
        </w:rPr>
        <w:t>nalyse de la création des bons de commande entre janvier et octobre</w:t>
      </w:r>
      <w:r w:rsidR="00610666" w:rsidRPr="00E50178">
        <w:rPr>
          <w:lang w:val="fr-CH"/>
        </w:rPr>
        <w:t> </w:t>
      </w:r>
      <w:r w:rsidRPr="00E50178">
        <w:rPr>
          <w:lang w:val="fr-CH"/>
        </w:rPr>
        <w:t>2019 montre une augmentation du nombre de bons de commande cré</w:t>
      </w:r>
      <w:r w:rsidR="003046DB" w:rsidRPr="00E50178">
        <w:rPr>
          <w:lang w:val="fr-CH"/>
        </w:rPr>
        <w:t>é</w:t>
      </w:r>
      <w:r w:rsidRPr="00E50178">
        <w:rPr>
          <w:lang w:val="fr-CH"/>
        </w:rPr>
        <w:t>s en ligne en octobre</w:t>
      </w:r>
      <w:r w:rsidR="00610666" w:rsidRPr="00E50178">
        <w:rPr>
          <w:lang w:val="fr-CH"/>
        </w:rPr>
        <w:t> </w:t>
      </w:r>
      <w:r w:rsidRPr="00E50178">
        <w:rPr>
          <w:lang w:val="fr-CH"/>
        </w:rPr>
        <w:t>2019 par rapport à d</w:t>
      </w:r>
      <w:r w:rsidR="00F82D32">
        <w:rPr>
          <w:lang w:val="fr-CH"/>
        </w:rPr>
        <w:t>’</w:t>
      </w:r>
      <w:r w:rsidRPr="00E50178">
        <w:rPr>
          <w:lang w:val="fr-CH"/>
        </w:rPr>
        <w:t>autres mois (augmentation de 58% par rapport à septembre</w:t>
      </w:r>
      <w:r w:rsidR="00610666" w:rsidRPr="00E50178">
        <w:rPr>
          <w:lang w:val="fr-CH"/>
        </w:rPr>
        <w:t> </w:t>
      </w:r>
      <w:r w:rsidRPr="00E50178">
        <w:rPr>
          <w:lang w:val="fr-CH"/>
        </w:rPr>
        <w:t>2019).</w:t>
      </w:r>
      <w:r w:rsidR="0031229D" w:rsidRPr="00E50178">
        <w:rPr>
          <w:lang w:val="fr-CH"/>
        </w:rPr>
        <w:t xml:space="preserve"> </w:t>
      </w:r>
      <w:r w:rsidR="00A66032" w:rsidRPr="00E50178">
        <w:rPr>
          <w:lang w:val="fr-CH"/>
        </w:rPr>
        <w:t xml:space="preserve"> </w:t>
      </w:r>
      <w:r w:rsidRPr="00E50178">
        <w:rPr>
          <w:lang w:val="fr-CH"/>
        </w:rPr>
        <w:t xml:space="preserve">Cela peut </w:t>
      </w:r>
      <w:r w:rsidR="00BD474A" w:rsidRPr="00E50178">
        <w:rPr>
          <w:lang w:val="fr-CH"/>
        </w:rPr>
        <w:t>être le signe d</w:t>
      </w:r>
      <w:r w:rsidR="00F82D32">
        <w:rPr>
          <w:lang w:val="fr-CH"/>
        </w:rPr>
        <w:t>’</w:t>
      </w:r>
      <w:r w:rsidRPr="00E50178">
        <w:rPr>
          <w:lang w:val="fr-CH"/>
        </w:rPr>
        <w:t>efforts</w:t>
      </w:r>
      <w:r w:rsidR="00BD474A" w:rsidRPr="00E50178">
        <w:rPr>
          <w:lang w:val="fr-CH"/>
        </w:rPr>
        <w:t xml:space="preserve"> supplémentaires</w:t>
      </w:r>
      <w:r w:rsidRPr="00E50178">
        <w:rPr>
          <w:lang w:val="fr-CH"/>
        </w:rPr>
        <w:t xml:space="preserve"> </w:t>
      </w:r>
      <w:r w:rsidR="00BD474A" w:rsidRPr="00E50178">
        <w:rPr>
          <w:lang w:val="fr-CH"/>
        </w:rPr>
        <w:t>visant à</w:t>
      </w:r>
      <w:r w:rsidRPr="00E50178">
        <w:rPr>
          <w:lang w:val="fr-CH"/>
        </w:rPr>
        <w:t xml:space="preserve"> intensifier les achats afin de compenser des résultats</w:t>
      </w:r>
      <w:r w:rsidR="00BD474A" w:rsidRPr="00E50178">
        <w:rPr>
          <w:lang w:val="fr-CH"/>
        </w:rPr>
        <w:t xml:space="preserve"> insuffisants</w:t>
      </w:r>
      <w:r w:rsidRPr="00E50178">
        <w:rPr>
          <w:lang w:val="fr-CH"/>
        </w:rPr>
        <w:t xml:space="preserve">, </w:t>
      </w:r>
      <w:r w:rsidR="00B73FEC" w:rsidRPr="00E50178">
        <w:rPr>
          <w:lang w:val="fr-CH"/>
        </w:rPr>
        <w:t>des</w:t>
      </w:r>
      <w:r w:rsidRPr="00E50178">
        <w:rPr>
          <w:lang w:val="fr-CH"/>
        </w:rPr>
        <w:t xml:space="preserve"> changements imprévus d</w:t>
      </w:r>
      <w:r w:rsidR="00BD474A" w:rsidRPr="00E50178">
        <w:rPr>
          <w:lang w:val="fr-CH"/>
        </w:rPr>
        <w:t>ans le</w:t>
      </w:r>
      <w:r w:rsidRPr="00E50178">
        <w:rPr>
          <w:lang w:val="fr-CH"/>
        </w:rPr>
        <w:t xml:space="preserve"> programme de travail ou </w:t>
      </w:r>
      <w:r w:rsidR="00BD474A" w:rsidRPr="00E50178">
        <w:rPr>
          <w:lang w:val="fr-CH"/>
        </w:rPr>
        <w:t>une</w:t>
      </w:r>
      <w:r w:rsidRPr="00E50178">
        <w:rPr>
          <w:lang w:val="fr-CH"/>
        </w:rPr>
        <w:t xml:space="preserve"> planification et </w:t>
      </w:r>
      <w:r w:rsidR="00BD474A" w:rsidRPr="00E50178">
        <w:rPr>
          <w:lang w:val="fr-CH"/>
        </w:rPr>
        <w:t>un</w:t>
      </w:r>
      <w:r w:rsidRPr="00E50178">
        <w:rPr>
          <w:lang w:val="fr-CH"/>
        </w:rPr>
        <w:t xml:space="preserve"> suivi</w:t>
      </w:r>
      <w:r w:rsidR="00BD474A" w:rsidRPr="00E50178">
        <w:rPr>
          <w:lang w:val="fr-CH"/>
        </w:rPr>
        <w:t xml:space="preserve"> inefficaces</w:t>
      </w:r>
      <w:r w:rsidRPr="00E50178">
        <w:rPr>
          <w:lang w:val="fr-CH"/>
        </w:rPr>
        <w:t>.</w:t>
      </w:r>
    </w:p>
    <w:p w14:paraId="1E96AAFA" w14:textId="54E4ABED" w:rsidR="00C5485D" w:rsidRDefault="006E1891" w:rsidP="00191710">
      <w:pPr>
        <w:pStyle w:val="ONUMFS"/>
        <w:rPr>
          <w:lang w:val="fr-CH"/>
        </w:rPr>
      </w:pPr>
      <w:r w:rsidRPr="00E50178">
        <w:rPr>
          <w:lang w:val="fr-CH"/>
        </w:rPr>
        <w:t>L</w:t>
      </w:r>
      <w:r w:rsidR="00F82D32">
        <w:rPr>
          <w:lang w:val="fr-CH"/>
        </w:rPr>
        <w:t>’</w:t>
      </w:r>
      <w:r w:rsidRPr="00E50178">
        <w:rPr>
          <w:lang w:val="fr-CH"/>
        </w:rPr>
        <w:t xml:space="preserve">analyse des statistiques </w:t>
      </w:r>
      <w:r w:rsidR="00BD474A" w:rsidRPr="00E50178">
        <w:rPr>
          <w:lang w:val="fr-CH"/>
        </w:rPr>
        <w:t>concernant l</w:t>
      </w:r>
      <w:r w:rsidR="00F82D32">
        <w:rPr>
          <w:lang w:val="fr-CH"/>
        </w:rPr>
        <w:t>’</w:t>
      </w:r>
      <w:r w:rsidR="00BD474A" w:rsidRPr="00E50178">
        <w:rPr>
          <w:lang w:val="fr-CH"/>
        </w:rPr>
        <w:t>exécution</w:t>
      </w:r>
      <w:r w:rsidRPr="00E50178">
        <w:rPr>
          <w:lang w:val="fr-CH"/>
        </w:rPr>
        <w:t xml:space="preserve"> du budget pour l</w:t>
      </w:r>
      <w:r w:rsidR="00F82D32">
        <w:rPr>
          <w:lang w:val="fr-CH"/>
        </w:rPr>
        <w:t>’</w:t>
      </w:r>
      <w:r w:rsidRPr="00E50178">
        <w:rPr>
          <w:lang w:val="fr-CH"/>
        </w:rPr>
        <w:t>exercice biennal</w:t>
      </w:r>
      <w:r w:rsidR="00610666" w:rsidRPr="00E50178">
        <w:rPr>
          <w:lang w:val="fr-CH"/>
        </w:rPr>
        <w:t> </w:t>
      </w:r>
      <w:r w:rsidRPr="00E50178">
        <w:rPr>
          <w:lang w:val="fr-CH"/>
        </w:rPr>
        <w:t>2018</w:t>
      </w:r>
      <w:r w:rsidR="007379C2">
        <w:rPr>
          <w:lang w:val="fr-CH"/>
        </w:rPr>
        <w:noBreakHyphen/>
      </w:r>
      <w:r w:rsidRPr="00E50178">
        <w:rPr>
          <w:lang w:val="fr-CH"/>
        </w:rPr>
        <w:t xml:space="preserve">2019 au niveau des départements montre que certains départements ont </w:t>
      </w:r>
      <w:r w:rsidR="00FF0797" w:rsidRPr="00E50178">
        <w:rPr>
          <w:lang w:val="fr-CH"/>
        </w:rPr>
        <w:t>exécuté moins de 80% de leur budget</w:t>
      </w:r>
      <w:r w:rsidRPr="00E50178">
        <w:rPr>
          <w:lang w:val="fr-CH"/>
        </w:rPr>
        <w:t xml:space="preserve"> au 31</w:t>
      </w:r>
      <w:r w:rsidR="00610666" w:rsidRPr="00E50178">
        <w:rPr>
          <w:lang w:val="fr-CH"/>
        </w:rPr>
        <w:t> </w:t>
      </w:r>
      <w:r w:rsidRPr="00E50178">
        <w:rPr>
          <w:lang w:val="fr-CH"/>
        </w:rPr>
        <w:t>octobre</w:t>
      </w:r>
      <w:r w:rsidR="00610666" w:rsidRPr="00E50178">
        <w:rPr>
          <w:lang w:val="fr-CH"/>
        </w:rPr>
        <w:t> </w:t>
      </w:r>
      <w:r w:rsidRPr="00E50178">
        <w:rPr>
          <w:lang w:val="fr-CH"/>
        </w:rPr>
        <w:t>2019.</w:t>
      </w:r>
      <w:r w:rsidR="0031229D" w:rsidRPr="00E50178">
        <w:rPr>
          <w:lang w:val="fr-CH"/>
        </w:rPr>
        <w:t xml:space="preserve"> </w:t>
      </w:r>
      <w:r w:rsidR="00C35620" w:rsidRPr="00E50178">
        <w:rPr>
          <w:lang w:val="fr-CH"/>
        </w:rPr>
        <w:t xml:space="preserve"> </w:t>
      </w:r>
      <w:r w:rsidR="00C23FB8" w:rsidRPr="00E50178">
        <w:rPr>
          <w:lang w:val="fr-CH"/>
        </w:rPr>
        <w:t>Bien que certains budgets soient peu importants ou que</w:t>
      </w:r>
      <w:r w:rsidR="00FF0797" w:rsidRPr="00E50178">
        <w:rPr>
          <w:lang w:val="fr-CH"/>
        </w:rPr>
        <w:t xml:space="preserve"> le</w:t>
      </w:r>
      <w:r w:rsidR="00C23FB8" w:rsidRPr="00E50178">
        <w:rPr>
          <w:lang w:val="fr-CH"/>
        </w:rPr>
        <w:t xml:space="preserve">s activités </w:t>
      </w:r>
      <w:r w:rsidR="00FF0797" w:rsidRPr="00E50178">
        <w:rPr>
          <w:lang w:val="fr-CH"/>
        </w:rPr>
        <w:t xml:space="preserve">y relatives </w:t>
      </w:r>
      <w:r w:rsidR="00C23FB8" w:rsidRPr="00E50178">
        <w:rPr>
          <w:lang w:val="fr-CH"/>
        </w:rPr>
        <w:t>ne prévoient pas d</w:t>
      </w:r>
      <w:r w:rsidR="00F82D32">
        <w:rPr>
          <w:lang w:val="fr-CH"/>
        </w:rPr>
        <w:t>’</w:t>
      </w:r>
      <w:r w:rsidR="00C23FB8" w:rsidRPr="00E50178">
        <w:rPr>
          <w:lang w:val="fr-CH"/>
        </w:rPr>
        <w:t xml:space="preserve">exécution </w:t>
      </w:r>
      <w:r w:rsidR="00610666" w:rsidRPr="00E50178">
        <w:rPr>
          <w:lang w:val="fr-CH"/>
        </w:rPr>
        <w:t>“</w:t>
      </w:r>
      <w:r w:rsidR="00C23FB8" w:rsidRPr="00E50178">
        <w:rPr>
          <w:lang w:val="fr-CH"/>
        </w:rPr>
        <w:t>linéaire</w:t>
      </w:r>
      <w:r w:rsidR="00610666" w:rsidRPr="00E50178">
        <w:rPr>
          <w:lang w:val="fr-CH"/>
        </w:rPr>
        <w:t>”</w:t>
      </w:r>
      <w:r w:rsidR="00C23FB8" w:rsidRPr="00E50178">
        <w:rPr>
          <w:lang w:val="fr-CH"/>
        </w:rPr>
        <w:t xml:space="preserve"> au fil du temps, il serait utile de veiller à ce que ces niveaux d</w:t>
      </w:r>
      <w:r w:rsidR="00F82D32">
        <w:rPr>
          <w:lang w:val="fr-CH"/>
        </w:rPr>
        <w:t>’</w:t>
      </w:r>
      <w:r w:rsidR="00C23FB8" w:rsidRPr="00E50178">
        <w:rPr>
          <w:lang w:val="fr-CH"/>
        </w:rPr>
        <w:t xml:space="preserve">exécution soient dûment justifiés et ne </w:t>
      </w:r>
      <w:r w:rsidR="00FF0797" w:rsidRPr="00E50178">
        <w:rPr>
          <w:lang w:val="fr-CH"/>
        </w:rPr>
        <w:t>deviennent une incitation à in</w:t>
      </w:r>
      <w:r w:rsidR="00B73FEC" w:rsidRPr="00E50178">
        <w:rPr>
          <w:lang w:val="fr-CH"/>
        </w:rPr>
        <w:t>tensifier</w:t>
      </w:r>
      <w:r w:rsidR="00C23FB8" w:rsidRPr="00E50178">
        <w:rPr>
          <w:lang w:val="fr-CH"/>
        </w:rPr>
        <w:t xml:space="preserve"> l</w:t>
      </w:r>
      <w:r w:rsidR="00F82D32">
        <w:rPr>
          <w:lang w:val="fr-CH"/>
        </w:rPr>
        <w:t>’</w:t>
      </w:r>
      <w:r w:rsidR="00C23FB8" w:rsidRPr="00E50178">
        <w:rPr>
          <w:lang w:val="fr-CH"/>
        </w:rPr>
        <w:t xml:space="preserve">utilisation des fonds </w:t>
      </w:r>
      <w:r w:rsidR="00FF0797" w:rsidRPr="00E50178">
        <w:rPr>
          <w:lang w:val="fr-CH"/>
        </w:rPr>
        <w:t>afin d</w:t>
      </w:r>
      <w:r w:rsidR="00F82D32">
        <w:rPr>
          <w:lang w:val="fr-CH"/>
        </w:rPr>
        <w:t>’</w:t>
      </w:r>
      <w:r w:rsidR="00FF0797" w:rsidRPr="00E50178">
        <w:rPr>
          <w:lang w:val="fr-CH"/>
        </w:rPr>
        <w:t>exécuter entièrement ou quasi</w:t>
      </w:r>
      <w:r w:rsidR="006F594E">
        <w:rPr>
          <w:lang w:val="fr-CH"/>
        </w:rPr>
        <w:t xml:space="preserve"> </w:t>
      </w:r>
      <w:r w:rsidR="00FF0797" w:rsidRPr="00E50178">
        <w:rPr>
          <w:lang w:val="fr-CH"/>
        </w:rPr>
        <w:t>entièrement</w:t>
      </w:r>
      <w:r w:rsidR="00B73FEC" w:rsidRPr="00E50178">
        <w:rPr>
          <w:lang w:val="fr-CH"/>
        </w:rPr>
        <w:t xml:space="preserve"> </w:t>
      </w:r>
      <w:r w:rsidR="00FF0797" w:rsidRPr="00E50178">
        <w:rPr>
          <w:lang w:val="fr-CH"/>
        </w:rPr>
        <w:t>le budget</w:t>
      </w:r>
      <w:r w:rsidR="00C23FB8" w:rsidRPr="00E50178">
        <w:rPr>
          <w:lang w:val="fr-CH"/>
        </w:rPr>
        <w:t>.</w:t>
      </w:r>
    </w:p>
    <w:p w14:paraId="05BF6140" w14:textId="3854151E" w:rsidR="00C5485D" w:rsidRDefault="00C23FB8" w:rsidP="00191710">
      <w:pPr>
        <w:pStyle w:val="ONUMFS"/>
        <w:rPr>
          <w:lang w:val="fr-CH"/>
        </w:rPr>
      </w:pPr>
      <w:r w:rsidRPr="00E50178">
        <w:rPr>
          <w:lang w:val="fr-CH"/>
        </w:rPr>
        <w:t>Les parties prenantes interrogées se sont dites favorables à la mise en place d</w:t>
      </w:r>
      <w:r w:rsidR="00F82D32">
        <w:rPr>
          <w:lang w:val="fr-CH"/>
        </w:rPr>
        <w:t>’</w:t>
      </w:r>
      <w:r w:rsidRPr="00E50178">
        <w:rPr>
          <w:lang w:val="fr-CH"/>
        </w:rPr>
        <w:t>un coordonnateur au sein de chaque secteur pour assurer la liaison avec la Division des finances et la Division des achats et des voyages, afin de mieux coordonner et appuyer les différents cycles.</w:t>
      </w:r>
    </w:p>
    <w:p w14:paraId="6C35123A" w14:textId="31D6945E" w:rsidR="00C5485D" w:rsidRDefault="00C23FB8" w:rsidP="00191710">
      <w:pPr>
        <w:pStyle w:val="ONUMFS"/>
        <w:rPr>
          <w:szCs w:val="22"/>
          <w:lang w:val="fr-CH"/>
        </w:rPr>
      </w:pPr>
      <w:r w:rsidRPr="00E50178">
        <w:rPr>
          <w:lang w:val="fr-CH"/>
        </w:rPr>
        <w:t>Enfin,</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a souligné l</w:t>
      </w:r>
      <w:r w:rsidR="00F82D32">
        <w:rPr>
          <w:lang w:val="fr-CH"/>
        </w:rPr>
        <w:t>’</w:t>
      </w:r>
      <w:r w:rsidRPr="00E50178">
        <w:rPr>
          <w:lang w:val="fr-CH"/>
        </w:rPr>
        <w:t>importance de l</w:t>
      </w:r>
      <w:r w:rsidR="00F82D32">
        <w:rPr>
          <w:lang w:val="fr-CH"/>
        </w:rPr>
        <w:t>’</w:t>
      </w:r>
      <w:r w:rsidRPr="00E50178">
        <w:rPr>
          <w:lang w:val="fr-CH"/>
        </w:rPr>
        <w:t xml:space="preserve">implication et de </w:t>
      </w:r>
      <w:r w:rsidR="00E50178" w:rsidRPr="00E50178">
        <w:rPr>
          <w:lang w:val="fr-CH"/>
        </w:rPr>
        <w:t>l</w:t>
      </w:r>
      <w:r w:rsidR="00F82D32">
        <w:rPr>
          <w:lang w:val="fr-CH"/>
        </w:rPr>
        <w:t>’</w:t>
      </w:r>
      <w:r w:rsidR="00E50178" w:rsidRPr="00E50178">
        <w:rPr>
          <w:lang w:val="fr-CH"/>
        </w:rPr>
        <w:t>obligation de reddition de comptes</w:t>
      </w:r>
      <w:r w:rsidRPr="00E50178">
        <w:rPr>
          <w:lang w:val="fr-CH"/>
        </w:rPr>
        <w:t xml:space="preserve"> des chefs de programme et de leurs suppléants </w:t>
      </w:r>
      <w:r w:rsidR="00E50178" w:rsidRPr="00E50178">
        <w:rPr>
          <w:lang w:val="fr-CH"/>
        </w:rPr>
        <w:t>dans le contexte de</w:t>
      </w:r>
      <w:r w:rsidRPr="00E50178">
        <w:rPr>
          <w:lang w:val="fr-CH"/>
        </w:rPr>
        <w:t xml:space="preserve"> la lettre de déclaration de responsabilité concernant le maintien de contrôles internes efficac</w:t>
      </w:r>
      <w:r w:rsidR="00EF3A93" w:rsidRPr="00E50178">
        <w:rPr>
          <w:lang w:val="fr-CH"/>
        </w:rPr>
        <w:t>es</w:t>
      </w:r>
      <w:r w:rsidR="00EF3A93">
        <w:rPr>
          <w:lang w:val="fr-CH"/>
        </w:rPr>
        <w:t xml:space="preserve">.  </w:t>
      </w:r>
      <w:r w:rsidR="00EF3A93" w:rsidRPr="00E50178">
        <w:rPr>
          <w:lang w:val="fr-CH"/>
        </w:rPr>
        <w:t>De</w:t>
      </w:r>
      <w:r w:rsidRPr="00E50178">
        <w:rPr>
          <w:lang w:val="fr-CH"/>
        </w:rPr>
        <w:t xml:space="preserve"> même,</w:t>
      </w:r>
      <w:r w:rsidR="00DE3BC1" w:rsidRPr="00E50178">
        <w:rPr>
          <w:lang w:val="fr-CH"/>
        </w:rPr>
        <w:t xml:space="preserve"> la</w:t>
      </w:r>
      <w:r w:rsidR="00DE3BC1">
        <w:rPr>
          <w:lang w:val="fr-CH"/>
        </w:rPr>
        <w:t> </w:t>
      </w:r>
      <w:r w:rsidR="00DE3BC1" w:rsidRPr="00E50178">
        <w:rPr>
          <w:lang w:val="fr-CH"/>
        </w:rPr>
        <w:t>DSI</w:t>
      </w:r>
      <w:r w:rsidRPr="00E50178">
        <w:rPr>
          <w:lang w:val="fr-CH"/>
        </w:rPr>
        <w:t xml:space="preserve"> a également souligné la nécessité </w:t>
      </w:r>
      <w:r w:rsidR="00FF0797" w:rsidRPr="00E50178">
        <w:rPr>
          <w:lang w:val="fr-CH"/>
        </w:rPr>
        <w:t>d</w:t>
      </w:r>
      <w:r w:rsidR="00F82D32">
        <w:rPr>
          <w:lang w:val="fr-CH"/>
        </w:rPr>
        <w:t>’</w:t>
      </w:r>
      <w:r w:rsidR="00FF0797" w:rsidRPr="00E50178">
        <w:rPr>
          <w:lang w:val="fr-CH"/>
        </w:rPr>
        <w:t>harmoniser en tou</w:t>
      </w:r>
      <w:r w:rsidR="006F594E">
        <w:rPr>
          <w:lang w:val="fr-CH"/>
        </w:rPr>
        <w:t>t</w:t>
      </w:r>
      <w:r w:rsidR="00FF0797" w:rsidRPr="00E50178">
        <w:rPr>
          <w:lang w:val="fr-CH"/>
        </w:rPr>
        <w:t xml:space="preserve"> temps les</w:t>
      </w:r>
      <w:r w:rsidRPr="00E50178">
        <w:rPr>
          <w:lang w:val="fr-CH"/>
        </w:rPr>
        <w:t xml:space="preserve"> procédures administratives et</w:t>
      </w:r>
      <w:r w:rsidR="00FF0797" w:rsidRPr="00E50178">
        <w:rPr>
          <w:lang w:val="fr-CH"/>
        </w:rPr>
        <w:t xml:space="preserve"> les</w:t>
      </w:r>
      <w:r w:rsidRPr="00E50178">
        <w:rPr>
          <w:lang w:val="fr-CH"/>
        </w:rPr>
        <w:t xml:space="preserve"> besoins opérationnels</w:t>
      </w:r>
      <w:r w:rsidR="00B73FEC" w:rsidRPr="00E50178">
        <w:rPr>
          <w:lang w:val="fr-CH"/>
        </w:rPr>
        <w:t>,</w:t>
      </w:r>
      <w:r w:rsidRPr="00E50178">
        <w:rPr>
          <w:lang w:val="fr-CH"/>
        </w:rPr>
        <w:t xml:space="preserve"> sans compromettre </w:t>
      </w:r>
      <w:r w:rsidR="00FF0797" w:rsidRPr="00E50178">
        <w:rPr>
          <w:lang w:val="fr-CH"/>
        </w:rPr>
        <w:t>l</w:t>
      </w:r>
      <w:r w:rsidR="00F82D32">
        <w:rPr>
          <w:lang w:val="fr-CH"/>
        </w:rPr>
        <w:t>’</w:t>
      </w:r>
      <w:r w:rsidR="00FF0797" w:rsidRPr="00E50178">
        <w:rPr>
          <w:lang w:val="fr-CH"/>
        </w:rPr>
        <w:t>efficacité de la</w:t>
      </w:r>
      <w:r w:rsidRPr="00E50178">
        <w:rPr>
          <w:lang w:val="fr-CH"/>
        </w:rPr>
        <w:t xml:space="preserve"> gestion des risques </w:t>
      </w:r>
      <w:r w:rsidR="00FF0797" w:rsidRPr="00E50178">
        <w:rPr>
          <w:lang w:val="fr-CH"/>
        </w:rPr>
        <w:t>et d</w:t>
      </w:r>
      <w:r w:rsidR="00B73FEC" w:rsidRPr="00E50178">
        <w:rPr>
          <w:lang w:val="fr-CH"/>
        </w:rPr>
        <w:t>es contrôles internes</w:t>
      </w:r>
      <w:r w:rsidRPr="00E50178">
        <w:rPr>
          <w:lang w:val="fr-CH"/>
        </w:rPr>
        <w:t xml:space="preserve"> et afin d</w:t>
      </w:r>
      <w:r w:rsidR="00F82D32">
        <w:rPr>
          <w:lang w:val="fr-CH"/>
        </w:rPr>
        <w:t>’</w:t>
      </w:r>
      <w:r w:rsidRPr="00E50178">
        <w:rPr>
          <w:lang w:val="fr-CH"/>
        </w:rPr>
        <w:t>appuyer la réalisation des objectifs stratégiques de l</w:t>
      </w:r>
      <w:r w:rsidR="00F82D32">
        <w:rPr>
          <w:lang w:val="fr-CH"/>
        </w:rPr>
        <w:t>’</w:t>
      </w:r>
      <w:r w:rsidRPr="00E50178">
        <w:rPr>
          <w:lang w:val="fr-CH"/>
        </w:rPr>
        <w:t>Organisation.</w:t>
      </w:r>
    </w:p>
    <w:p w14:paraId="37E3EFD7" w14:textId="77A37E2D" w:rsidR="00C5485D" w:rsidRDefault="00117B9F" w:rsidP="00117B9F">
      <w:pPr>
        <w:pStyle w:val="Heading3"/>
      </w:pPr>
      <w:r w:rsidRPr="00B24BEA">
        <w:t xml:space="preserve">Audit et évaluation de la </w:t>
      </w:r>
      <w:r>
        <w:t>p</w:t>
      </w:r>
      <w:r w:rsidRPr="00B24BEA">
        <w:t>olitique de l</w:t>
      </w:r>
      <w:r w:rsidR="00F82D32">
        <w:t>’</w:t>
      </w:r>
      <w:r>
        <w:t>OMPI</w:t>
      </w:r>
      <w:r w:rsidRPr="00B24BEA">
        <w:t xml:space="preserve"> en matière d</w:t>
      </w:r>
      <w:r w:rsidR="00F82D32">
        <w:t>’</w:t>
      </w:r>
      <w:r w:rsidRPr="00B24BEA">
        <w:t>égalité des sexes</w:t>
      </w:r>
    </w:p>
    <w:p w14:paraId="222A2FFF" w14:textId="6F4EFB41" w:rsidR="00C5485D" w:rsidRDefault="00A12D94" w:rsidP="00A12D94">
      <w:pPr>
        <w:pStyle w:val="ONUMFS"/>
        <w:rPr>
          <w:lang w:val="fr-CH"/>
        </w:rPr>
      </w:pPr>
      <w:r w:rsidRPr="00786549">
        <w:rPr>
          <w:lang w:val="fr-CH"/>
        </w:rPr>
        <w:t>En tant qu</w:t>
      </w:r>
      <w:r w:rsidR="00F82D32">
        <w:rPr>
          <w:lang w:val="fr-CH"/>
        </w:rPr>
        <w:t>’</w:t>
      </w:r>
      <w:r w:rsidRPr="00786549">
        <w:rPr>
          <w:lang w:val="fr-CH"/>
        </w:rPr>
        <w:t xml:space="preserve">institution spécialisée des </w:t>
      </w:r>
      <w:r w:rsidR="00AE63B3">
        <w:rPr>
          <w:lang w:val="fr-CH"/>
        </w:rPr>
        <w:t>Nations Unies</w:t>
      </w:r>
      <w:r w:rsidRPr="00786549">
        <w:rPr>
          <w:lang w:val="fr-CH"/>
        </w:rPr>
        <w:t xml:space="preserve"> chargée de promouvoir l</w:t>
      </w:r>
      <w:r w:rsidR="00F82D32">
        <w:rPr>
          <w:lang w:val="fr-CH"/>
        </w:rPr>
        <w:t>’</w:t>
      </w:r>
      <w:r w:rsidRPr="00786549">
        <w:rPr>
          <w:lang w:val="fr-CH"/>
        </w:rPr>
        <w:t>innovation et la créativité aux fins du développement économique, social et culturel, l</w:t>
      </w:r>
      <w:r w:rsidR="00F82D32">
        <w:rPr>
          <w:lang w:val="fr-CH"/>
        </w:rPr>
        <w:t>’</w:t>
      </w:r>
      <w:r w:rsidRPr="00786549">
        <w:rPr>
          <w:lang w:val="fr-CH"/>
        </w:rPr>
        <w:t>OMPI s</w:t>
      </w:r>
      <w:r w:rsidR="00F82D32">
        <w:rPr>
          <w:lang w:val="fr-CH"/>
        </w:rPr>
        <w:t>’</w:t>
      </w:r>
      <w:r w:rsidRPr="00786549">
        <w:rPr>
          <w:lang w:val="fr-CH"/>
        </w:rPr>
        <w:t>emploie à favoriser l</w:t>
      </w:r>
      <w:r w:rsidR="00F82D32">
        <w:rPr>
          <w:lang w:val="fr-CH"/>
        </w:rPr>
        <w:t>’</w:t>
      </w:r>
      <w:r w:rsidRPr="00786549">
        <w:rPr>
          <w:lang w:val="fr-CH"/>
        </w:rPr>
        <w:t xml:space="preserve">égalité des sexes dans le cadre de son mandat et conformément aux engagements </w:t>
      </w:r>
      <w:r w:rsidRPr="00786549">
        <w:rPr>
          <w:lang w:val="fr-CH"/>
        </w:rPr>
        <w:lastRenderedPageBreak/>
        <w:t>pris par l</w:t>
      </w:r>
      <w:r w:rsidR="00F82D32">
        <w:rPr>
          <w:lang w:val="fr-CH"/>
        </w:rPr>
        <w:t>’</w:t>
      </w:r>
      <w:r w:rsidR="00EF3A93" w:rsidRPr="00786549">
        <w:rPr>
          <w:lang w:val="fr-CH"/>
        </w:rPr>
        <w:t>ONU</w:t>
      </w:r>
      <w:r w:rsidR="00EF3A93">
        <w:rPr>
          <w:lang w:val="fr-CH"/>
        </w:rPr>
        <w:t xml:space="preserve">.  </w:t>
      </w:r>
      <w:r w:rsidR="00EF3A93" w:rsidRPr="00786549">
        <w:rPr>
          <w:lang w:val="fr-CH"/>
        </w:rPr>
        <w:t>En</w:t>
      </w:r>
      <w:r w:rsidR="00AE63B3">
        <w:rPr>
          <w:lang w:val="fr-CH"/>
        </w:rPr>
        <w:t> </w:t>
      </w:r>
      <w:r w:rsidR="00AE63B3" w:rsidRPr="00786549">
        <w:rPr>
          <w:lang w:val="fr-CH"/>
        </w:rPr>
        <w:t>2014</w:t>
      </w:r>
      <w:r w:rsidRPr="00786549">
        <w:rPr>
          <w:lang w:val="fr-CH"/>
        </w:rPr>
        <w:t>, la Politique de l</w:t>
      </w:r>
      <w:r w:rsidR="00F82D32">
        <w:rPr>
          <w:lang w:val="fr-CH"/>
        </w:rPr>
        <w:t>’</w:t>
      </w:r>
      <w:r w:rsidRPr="00786549">
        <w:rPr>
          <w:lang w:val="fr-CH"/>
        </w:rPr>
        <w:t>OMPI en matière d</w:t>
      </w:r>
      <w:r w:rsidR="00F82D32">
        <w:rPr>
          <w:lang w:val="fr-CH"/>
        </w:rPr>
        <w:t>’</w:t>
      </w:r>
      <w:r w:rsidRPr="00786549">
        <w:rPr>
          <w:lang w:val="fr-CH"/>
        </w:rPr>
        <w:t>égalité des sexes a été publiée afin d</w:t>
      </w:r>
      <w:r w:rsidR="00F82D32">
        <w:rPr>
          <w:lang w:val="fr-CH"/>
        </w:rPr>
        <w:t>’</w:t>
      </w:r>
      <w:r w:rsidRPr="00786549">
        <w:rPr>
          <w:lang w:val="fr-CH"/>
        </w:rPr>
        <w:t>établir un dispositif permettant à l</w:t>
      </w:r>
      <w:r w:rsidR="00F82D32">
        <w:rPr>
          <w:lang w:val="fr-CH"/>
        </w:rPr>
        <w:t>’</w:t>
      </w:r>
      <w:r w:rsidRPr="00786549">
        <w:rPr>
          <w:lang w:val="fr-CH"/>
        </w:rPr>
        <w:t>OMPI d</w:t>
      </w:r>
      <w:r w:rsidR="00F82D32">
        <w:rPr>
          <w:lang w:val="fr-CH"/>
        </w:rPr>
        <w:t>’</w:t>
      </w:r>
      <w:r w:rsidRPr="00786549">
        <w:rPr>
          <w:lang w:val="fr-CH"/>
        </w:rPr>
        <w:t>intégrer le principe d</w:t>
      </w:r>
      <w:r w:rsidR="00F82D32">
        <w:rPr>
          <w:lang w:val="fr-CH"/>
        </w:rPr>
        <w:t>’</w:t>
      </w:r>
      <w:r w:rsidRPr="00786549">
        <w:rPr>
          <w:lang w:val="fr-CH"/>
        </w:rPr>
        <w:t>égalité entre les sexes dans ses politiques et programmes ainsi que sur le lieu de travail.</w:t>
      </w:r>
    </w:p>
    <w:p w14:paraId="193FB81C" w14:textId="36DFAE36" w:rsidR="00C5485D" w:rsidRDefault="00A12D94" w:rsidP="00AE63B3">
      <w:pPr>
        <w:pStyle w:val="ONUMFS"/>
        <w:rPr>
          <w:lang w:val="fr-CH"/>
        </w:rPr>
      </w:pPr>
      <w:r w:rsidRPr="00786549">
        <w:rPr>
          <w:lang w:val="fr-CH"/>
        </w:rPr>
        <w:t>L</w:t>
      </w:r>
      <w:r w:rsidR="00F82D32">
        <w:rPr>
          <w:lang w:val="fr-CH"/>
        </w:rPr>
        <w:t>’</w:t>
      </w:r>
      <w:r w:rsidRPr="00786549">
        <w:rPr>
          <w:lang w:val="fr-CH"/>
        </w:rPr>
        <w:t>exercice conjoint d</w:t>
      </w:r>
      <w:r w:rsidR="00F82D32">
        <w:rPr>
          <w:lang w:val="fr-CH"/>
        </w:rPr>
        <w:t>’</w:t>
      </w:r>
      <w:r w:rsidR="008C7B32" w:rsidRPr="00786549">
        <w:rPr>
          <w:lang w:val="fr-CH"/>
        </w:rPr>
        <w:t>évaluation et d</w:t>
      </w:r>
      <w:r w:rsidR="00F82D32">
        <w:rPr>
          <w:lang w:val="fr-CH"/>
        </w:rPr>
        <w:t>’</w:t>
      </w:r>
      <w:r w:rsidRPr="00786549">
        <w:rPr>
          <w:lang w:val="fr-CH"/>
        </w:rPr>
        <w:t xml:space="preserve">audit </w:t>
      </w:r>
      <w:r w:rsidRPr="00AE63B3">
        <w:rPr>
          <w:lang w:val="fr-CH"/>
        </w:rPr>
        <w:t>de la Politique de l</w:t>
      </w:r>
      <w:r w:rsidR="00F82D32">
        <w:rPr>
          <w:lang w:val="fr-CH"/>
        </w:rPr>
        <w:t>’</w:t>
      </w:r>
      <w:r w:rsidRPr="00AE63B3">
        <w:rPr>
          <w:lang w:val="fr-CH"/>
        </w:rPr>
        <w:t>OMPI en matière d</w:t>
      </w:r>
      <w:r w:rsidR="00F82D32">
        <w:rPr>
          <w:lang w:val="fr-CH"/>
        </w:rPr>
        <w:t>’</w:t>
      </w:r>
      <w:r w:rsidRPr="00AE63B3">
        <w:rPr>
          <w:lang w:val="fr-CH"/>
        </w:rPr>
        <w:t xml:space="preserve">égalité des sexes </w:t>
      </w:r>
      <w:r w:rsidRPr="00786549">
        <w:rPr>
          <w:lang w:val="fr-CH"/>
        </w:rPr>
        <w:t xml:space="preserve">a montré que la </w:t>
      </w:r>
      <w:r w:rsidRPr="00AE63B3">
        <w:rPr>
          <w:lang w:val="fr-CH"/>
        </w:rPr>
        <w:t xml:space="preserve">mise en </w:t>
      </w:r>
      <w:r w:rsidR="006E7A2C" w:rsidRPr="00AE63B3">
        <w:rPr>
          <w:lang w:val="fr-CH"/>
        </w:rPr>
        <w:t>œuvre</w:t>
      </w:r>
      <w:r w:rsidRPr="00AE63B3">
        <w:rPr>
          <w:lang w:val="fr-CH"/>
        </w:rPr>
        <w:t xml:space="preserve"> de </w:t>
      </w:r>
      <w:r w:rsidR="006E7A2C" w:rsidRPr="00AE63B3">
        <w:rPr>
          <w:lang w:val="fr-CH"/>
        </w:rPr>
        <w:t>cette</w:t>
      </w:r>
      <w:r w:rsidRPr="00AE63B3">
        <w:rPr>
          <w:lang w:val="fr-CH"/>
        </w:rPr>
        <w:t xml:space="preserve"> politique</w:t>
      </w:r>
      <w:r w:rsidRPr="00786549">
        <w:rPr>
          <w:lang w:val="fr-CH"/>
        </w:rPr>
        <w:t xml:space="preserve"> a</w:t>
      </w:r>
      <w:r w:rsidR="006E7A2C" w:rsidRPr="00786549">
        <w:rPr>
          <w:lang w:val="fr-CH"/>
        </w:rPr>
        <w:t>vait</w:t>
      </w:r>
      <w:r w:rsidRPr="00786549">
        <w:rPr>
          <w:lang w:val="fr-CH"/>
        </w:rPr>
        <w:t xml:space="preserve"> permis d</w:t>
      </w:r>
      <w:r w:rsidR="00F82D32">
        <w:rPr>
          <w:lang w:val="fr-CH"/>
        </w:rPr>
        <w:t>’</w:t>
      </w:r>
      <w:r w:rsidRPr="00786549">
        <w:rPr>
          <w:lang w:val="fr-CH"/>
        </w:rPr>
        <w:t>intégrer le principe d</w:t>
      </w:r>
      <w:r w:rsidR="00F82D32">
        <w:rPr>
          <w:lang w:val="fr-CH"/>
        </w:rPr>
        <w:t>’</w:t>
      </w:r>
      <w:r w:rsidRPr="00786549">
        <w:rPr>
          <w:lang w:val="fr-CH"/>
        </w:rPr>
        <w:t xml:space="preserve">égalité </w:t>
      </w:r>
      <w:r w:rsidR="006E7A2C" w:rsidRPr="00786549">
        <w:rPr>
          <w:lang w:val="fr-CH"/>
        </w:rPr>
        <w:t xml:space="preserve">entre </w:t>
      </w:r>
      <w:r w:rsidR="006E7A2C" w:rsidRPr="00AE63B3">
        <w:rPr>
          <w:lang w:val="fr-CH"/>
        </w:rPr>
        <w:t xml:space="preserve">les </w:t>
      </w:r>
      <w:r w:rsidR="006E7A2C" w:rsidRPr="00786549">
        <w:rPr>
          <w:lang w:val="fr-CH"/>
        </w:rPr>
        <w:t>sexes</w:t>
      </w:r>
      <w:r w:rsidRPr="00AE63B3">
        <w:rPr>
          <w:lang w:val="fr-CH"/>
        </w:rPr>
        <w:t xml:space="preserve"> dans </w:t>
      </w:r>
      <w:r w:rsidRPr="00786549">
        <w:rPr>
          <w:lang w:val="fr-CH"/>
        </w:rPr>
        <w:t xml:space="preserve">tous </w:t>
      </w:r>
      <w:r w:rsidRPr="00AE63B3">
        <w:rPr>
          <w:lang w:val="fr-CH"/>
        </w:rPr>
        <w:t xml:space="preserve">les programmes </w:t>
      </w:r>
      <w:r w:rsidRPr="00786549">
        <w:rPr>
          <w:lang w:val="fr-CH"/>
        </w:rPr>
        <w:t>de l</w:t>
      </w:r>
      <w:r w:rsidR="00F82D32">
        <w:rPr>
          <w:lang w:val="fr-CH"/>
        </w:rPr>
        <w:t>’</w:t>
      </w:r>
      <w:r w:rsidRPr="00786549">
        <w:rPr>
          <w:lang w:val="fr-CH"/>
        </w:rPr>
        <w:t>OMPI et de promouvoir</w:t>
      </w:r>
      <w:r w:rsidRPr="00AE63B3">
        <w:rPr>
          <w:lang w:val="fr-CH"/>
        </w:rPr>
        <w:t xml:space="preserve"> l</w:t>
      </w:r>
      <w:r w:rsidR="00F82D32">
        <w:rPr>
          <w:lang w:val="fr-CH"/>
        </w:rPr>
        <w:t>’</w:t>
      </w:r>
      <w:r w:rsidRPr="00AE63B3">
        <w:rPr>
          <w:lang w:val="fr-CH"/>
        </w:rPr>
        <w:t xml:space="preserve">égalité des sexes </w:t>
      </w:r>
      <w:r w:rsidRPr="00786549">
        <w:rPr>
          <w:lang w:val="fr-CH"/>
        </w:rPr>
        <w:t>sur le lieu de travail.</w:t>
      </w:r>
      <w:r w:rsidR="004534F3" w:rsidRPr="00786549">
        <w:rPr>
          <w:lang w:val="fr-CH"/>
        </w:rPr>
        <w:t xml:space="preserve">  </w:t>
      </w:r>
      <w:r w:rsidRPr="00786549">
        <w:rPr>
          <w:lang w:val="fr-CH"/>
        </w:rPr>
        <w:t>L</w:t>
      </w:r>
      <w:r w:rsidR="00F82D32">
        <w:rPr>
          <w:lang w:val="fr-CH"/>
        </w:rPr>
        <w:t>’</w:t>
      </w:r>
      <w:r w:rsidRPr="00786549">
        <w:rPr>
          <w:lang w:val="fr-CH"/>
        </w:rPr>
        <w:t>Organisation</w:t>
      </w:r>
      <w:r w:rsidRPr="00AE63B3">
        <w:rPr>
          <w:lang w:val="fr-CH"/>
        </w:rPr>
        <w:t xml:space="preserve"> a posé des jalons importants</w:t>
      </w:r>
      <w:r w:rsidR="006E7A2C" w:rsidRPr="00786549">
        <w:rPr>
          <w:lang w:val="fr-CH"/>
        </w:rPr>
        <w:t>, notamment</w:t>
      </w:r>
      <w:r w:rsidR="006E7A2C" w:rsidRPr="00AE63B3">
        <w:rPr>
          <w:lang w:val="fr-CH"/>
        </w:rPr>
        <w:t xml:space="preserve"> </w:t>
      </w:r>
      <w:r w:rsidRPr="00AE63B3">
        <w:rPr>
          <w:lang w:val="fr-CH"/>
        </w:rPr>
        <w:t xml:space="preserve">la révision </w:t>
      </w:r>
      <w:r w:rsidRPr="00786549">
        <w:rPr>
          <w:lang w:val="fr-CH"/>
        </w:rPr>
        <w:t xml:space="preserve">de 50% </w:t>
      </w:r>
      <w:r w:rsidRPr="00AE63B3">
        <w:rPr>
          <w:lang w:val="fr-CH"/>
        </w:rPr>
        <w:t>des politiques</w:t>
      </w:r>
      <w:r w:rsidRPr="00786549">
        <w:rPr>
          <w:lang w:val="fr-CH"/>
        </w:rPr>
        <w:t xml:space="preserve"> de l</w:t>
      </w:r>
      <w:r w:rsidR="00F82D32">
        <w:rPr>
          <w:lang w:val="fr-CH"/>
        </w:rPr>
        <w:t>’</w:t>
      </w:r>
      <w:r w:rsidRPr="00786549">
        <w:rPr>
          <w:lang w:val="fr-CH"/>
        </w:rPr>
        <w:t>OMPI, qui tiennent désormais compte du principe d</w:t>
      </w:r>
      <w:r w:rsidR="00F82D32">
        <w:rPr>
          <w:lang w:val="fr-CH"/>
        </w:rPr>
        <w:t>’</w:t>
      </w:r>
      <w:r w:rsidRPr="00786549">
        <w:rPr>
          <w:lang w:val="fr-CH"/>
        </w:rPr>
        <w:t xml:space="preserve">égalité </w:t>
      </w:r>
      <w:r w:rsidR="006E7A2C" w:rsidRPr="00786549">
        <w:rPr>
          <w:lang w:val="fr-CH"/>
        </w:rPr>
        <w:t>d</w:t>
      </w:r>
      <w:r w:rsidRPr="00786549">
        <w:rPr>
          <w:lang w:val="fr-CH"/>
        </w:rPr>
        <w:t>es sexes</w:t>
      </w:r>
      <w:r w:rsidRPr="00AE63B3">
        <w:rPr>
          <w:lang w:val="fr-CH"/>
        </w:rPr>
        <w:t>, l</w:t>
      </w:r>
      <w:r w:rsidR="00F82D32">
        <w:rPr>
          <w:lang w:val="fr-CH"/>
        </w:rPr>
        <w:t>’</w:t>
      </w:r>
      <w:r w:rsidRPr="00AE63B3">
        <w:rPr>
          <w:lang w:val="fr-CH"/>
        </w:rPr>
        <w:t>inclusion des préoccupations relatives à l</w:t>
      </w:r>
      <w:r w:rsidR="00F82D32">
        <w:rPr>
          <w:lang w:val="fr-CH"/>
        </w:rPr>
        <w:t>’</w:t>
      </w:r>
      <w:r w:rsidRPr="00AE63B3">
        <w:rPr>
          <w:lang w:val="fr-CH"/>
        </w:rPr>
        <w:t>égalité des sexes dans les documents stratégiques de l</w:t>
      </w:r>
      <w:r w:rsidR="00F82D32">
        <w:rPr>
          <w:lang w:val="fr-CH"/>
        </w:rPr>
        <w:t>’</w:t>
      </w:r>
      <w:r w:rsidRPr="00AE63B3">
        <w:rPr>
          <w:lang w:val="fr-CH"/>
        </w:rPr>
        <w:t>OMPI</w:t>
      </w:r>
      <w:r w:rsidRPr="00786549">
        <w:rPr>
          <w:lang w:val="fr-CH"/>
        </w:rPr>
        <w:t xml:space="preserve"> et l</w:t>
      </w:r>
      <w:r w:rsidR="00F82D32">
        <w:rPr>
          <w:lang w:val="fr-CH"/>
        </w:rPr>
        <w:t>’</w:t>
      </w:r>
      <w:r w:rsidRPr="00786549">
        <w:rPr>
          <w:lang w:val="fr-CH"/>
        </w:rPr>
        <w:t xml:space="preserve">amélioration significative des </w:t>
      </w:r>
      <w:r w:rsidRPr="00AE63B3">
        <w:rPr>
          <w:lang w:val="fr-CH"/>
        </w:rPr>
        <w:t xml:space="preserve">rapports </w:t>
      </w:r>
      <w:r w:rsidRPr="00786549">
        <w:rPr>
          <w:lang w:val="fr-CH"/>
        </w:rPr>
        <w:t xml:space="preserve">établis </w:t>
      </w:r>
      <w:r w:rsidRPr="00AE63B3">
        <w:rPr>
          <w:lang w:val="fr-CH"/>
        </w:rPr>
        <w:t>dans le cadre du Plan d</w:t>
      </w:r>
      <w:r w:rsidR="00F82D32">
        <w:rPr>
          <w:lang w:val="fr-CH"/>
        </w:rPr>
        <w:t>’</w:t>
      </w:r>
      <w:r w:rsidRPr="00AE63B3">
        <w:rPr>
          <w:lang w:val="fr-CH"/>
        </w:rPr>
        <w:t>action ONU</w:t>
      </w:r>
      <w:r w:rsidR="007379C2">
        <w:rPr>
          <w:lang w:val="fr-CH"/>
        </w:rPr>
        <w:noBreakHyphen/>
      </w:r>
      <w:r w:rsidRPr="00AE63B3">
        <w:rPr>
          <w:lang w:val="fr-CH"/>
        </w:rPr>
        <w:t>SWAP</w:t>
      </w:r>
      <w:r w:rsidRPr="00786549">
        <w:rPr>
          <w:lang w:val="fr-CH"/>
        </w:rPr>
        <w:t>.</w:t>
      </w:r>
    </w:p>
    <w:p w14:paraId="178E01D5" w14:textId="178A8CCE" w:rsidR="00C5485D" w:rsidRDefault="00A12D94" w:rsidP="008C7B32">
      <w:pPr>
        <w:pStyle w:val="ONUMFS"/>
        <w:rPr>
          <w:lang w:val="fr-CH"/>
        </w:rPr>
      </w:pPr>
      <w:r w:rsidRPr="00786549">
        <w:rPr>
          <w:lang w:val="fr-CH"/>
        </w:rPr>
        <w:t>La Politique</w:t>
      </w:r>
      <w:r w:rsidRPr="00AE63B3">
        <w:rPr>
          <w:lang w:val="fr-CH"/>
        </w:rPr>
        <w:t xml:space="preserve"> de l</w:t>
      </w:r>
      <w:r w:rsidR="00F82D32">
        <w:rPr>
          <w:lang w:val="fr-CH"/>
        </w:rPr>
        <w:t>’</w:t>
      </w:r>
      <w:r w:rsidRPr="00AE63B3">
        <w:rPr>
          <w:lang w:val="fr-CH"/>
        </w:rPr>
        <w:t>OMPI en matière d</w:t>
      </w:r>
      <w:r w:rsidR="00F82D32">
        <w:rPr>
          <w:lang w:val="fr-CH"/>
        </w:rPr>
        <w:t>’</w:t>
      </w:r>
      <w:r w:rsidRPr="00AE63B3">
        <w:rPr>
          <w:lang w:val="fr-CH"/>
        </w:rPr>
        <w:t xml:space="preserve">égalité des sexes </w:t>
      </w:r>
      <w:r w:rsidRPr="00786549">
        <w:rPr>
          <w:lang w:val="fr-CH"/>
        </w:rPr>
        <w:t>répond aux besoins de l</w:t>
      </w:r>
      <w:r w:rsidR="00F82D32">
        <w:rPr>
          <w:lang w:val="fr-CH"/>
        </w:rPr>
        <w:t>’</w:t>
      </w:r>
      <w:r w:rsidRPr="00786549">
        <w:rPr>
          <w:lang w:val="fr-CH"/>
        </w:rPr>
        <w:t>Organisation et de ses programm</w:t>
      </w:r>
      <w:r w:rsidR="00EF3A93" w:rsidRPr="00786549">
        <w:rPr>
          <w:lang w:val="fr-CH"/>
        </w:rPr>
        <w:t>es</w:t>
      </w:r>
      <w:r w:rsidR="00EF3A93">
        <w:rPr>
          <w:lang w:val="fr-CH"/>
        </w:rPr>
        <w:t xml:space="preserve">.  </w:t>
      </w:r>
      <w:r w:rsidR="00EF3A93" w:rsidRPr="00786549">
        <w:rPr>
          <w:lang w:val="fr-CH"/>
        </w:rPr>
        <w:t>Né</w:t>
      </w:r>
      <w:r w:rsidRPr="00786549">
        <w:rPr>
          <w:lang w:val="fr-CH"/>
        </w:rPr>
        <w:t>anmoins, elle</w:t>
      </w:r>
      <w:r w:rsidRPr="00AE63B3">
        <w:rPr>
          <w:lang w:val="fr-CH"/>
        </w:rPr>
        <w:t xml:space="preserve"> répond partiellement aux besoins de ses parties prenant</w:t>
      </w:r>
      <w:r w:rsidR="00EF3A93" w:rsidRPr="00AE63B3">
        <w:rPr>
          <w:lang w:val="fr-CH"/>
        </w:rPr>
        <w:t>es</w:t>
      </w:r>
      <w:r w:rsidR="00EF3A93">
        <w:rPr>
          <w:lang w:val="fr-CH"/>
        </w:rPr>
        <w:t xml:space="preserve">.  </w:t>
      </w:r>
      <w:r w:rsidR="00EF3A93" w:rsidRPr="00786549">
        <w:rPr>
          <w:lang w:val="fr-CH"/>
        </w:rPr>
        <w:t>Le</w:t>
      </w:r>
      <w:r w:rsidRPr="00786549">
        <w:rPr>
          <w:lang w:val="fr-CH"/>
        </w:rPr>
        <w:t xml:space="preserve">s initiatives et </w:t>
      </w:r>
      <w:r w:rsidR="006E7A2C" w:rsidRPr="00786549">
        <w:rPr>
          <w:lang w:val="fr-CH"/>
        </w:rPr>
        <w:t xml:space="preserve">les </w:t>
      </w:r>
      <w:r w:rsidRPr="00786549">
        <w:rPr>
          <w:lang w:val="fr-CH"/>
        </w:rPr>
        <w:t xml:space="preserve">politiques en place dans </w:t>
      </w:r>
      <w:r w:rsidR="00D8449B">
        <w:rPr>
          <w:lang w:val="fr-CH"/>
        </w:rPr>
        <w:t>c</w:t>
      </w:r>
      <w:r w:rsidRPr="00786549">
        <w:rPr>
          <w:lang w:val="fr-CH"/>
        </w:rPr>
        <w:t>e domaine</w:t>
      </w:r>
      <w:r w:rsidR="008C7B32" w:rsidRPr="00786549">
        <w:rPr>
          <w:lang w:val="fr-CH"/>
        </w:rPr>
        <w:t>,</w:t>
      </w:r>
      <w:r w:rsidRPr="00786549">
        <w:rPr>
          <w:lang w:val="fr-CH"/>
        </w:rPr>
        <w:t xml:space="preserve"> </w:t>
      </w:r>
      <w:r w:rsidR="008C7B32" w:rsidRPr="00786549">
        <w:rPr>
          <w:lang w:val="fr-CH"/>
        </w:rPr>
        <w:t>ainsi que</w:t>
      </w:r>
      <w:r w:rsidRPr="00786549">
        <w:rPr>
          <w:lang w:val="fr-CH"/>
        </w:rPr>
        <w:t xml:space="preserve"> leur lien avec la Politique</w:t>
      </w:r>
      <w:r w:rsidR="00D8449B">
        <w:rPr>
          <w:lang w:val="fr-CH"/>
        </w:rPr>
        <w:t xml:space="preserve"> </w:t>
      </w:r>
      <w:r w:rsidR="00D8449B" w:rsidRPr="00786549">
        <w:rPr>
          <w:lang w:val="fr-CH"/>
        </w:rPr>
        <w:t>en matière d</w:t>
      </w:r>
      <w:r w:rsidR="00F82D32">
        <w:rPr>
          <w:lang w:val="fr-CH"/>
        </w:rPr>
        <w:t>’</w:t>
      </w:r>
      <w:r w:rsidR="00D8449B" w:rsidRPr="00786549">
        <w:rPr>
          <w:lang w:val="fr-CH"/>
        </w:rPr>
        <w:t>égalité des sexes</w:t>
      </w:r>
      <w:r w:rsidR="008C7B32" w:rsidRPr="00786549">
        <w:rPr>
          <w:lang w:val="fr-CH"/>
        </w:rPr>
        <w:t>,</w:t>
      </w:r>
      <w:r w:rsidRPr="00786549">
        <w:rPr>
          <w:lang w:val="fr-CH"/>
        </w:rPr>
        <w:t xml:space="preserve"> ne sont pas toujours clairs pour le per</w:t>
      </w:r>
      <w:r w:rsidR="006E7A2C" w:rsidRPr="00786549">
        <w:rPr>
          <w:lang w:val="fr-CH"/>
        </w:rPr>
        <w:t>sonn</w:t>
      </w:r>
      <w:r w:rsidR="00EF3A93" w:rsidRPr="00786549">
        <w:rPr>
          <w:lang w:val="fr-CH"/>
        </w:rPr>
        <w:t>el</w:t>
      </w:r>
      <w:r w:rsidR="00EF3A93">
        <w:rPr>
          <w:lang w:val="fr-CH"/>
        </w:rPr>
        <w:t xml:space="preserve">.  </w:t>
      </w:r>
      <w:r w:rsidR="00EF3A93" w:rsidRPr="00786549">
        <w:rPr>
          <w:lang w:val="fr-CH"/>
        </w:rPr>
        <w:t>La</w:t>
      </w:r>
      <w:r w:rsidR="008C7B32" w:rsidRPr="00786549">
        <w:rPr>
          <w:lang w:val="fr-CH"/>
        </w:rPr>
        <w:t xml:space="preserve"> Politique de </w:t>
      </w:r>
      <w:r w:rsidR="008C7B32" w:rsidRPr="00AE63B3">
        <w:rPr>
          <w:lang w:val="fr-CH"/>
        </w:rPr>
        <w:t>l</w:t>
      </w:r>
      <w:r w:rsidR="00F82D32">
        <w:rPr>
          <w:lang w:val="fr-CH"/>
        </w:rPr>
        <w:t>’</w:t>
      </w:r>
      <w:r w:rsidR="008C7B32" w:rsidRPr="00AE63B3">
        <w:rPr>
          <w:lang w:val="fr-CH"/>
        </w:rPr>
        <w:t xml:space="preserve">OMPI </w:t>
      </w:r>
      <w:r w:rsidR="008C7B32" w:rsidRPr="00786549">
        <w:rPr>
          <w:lang w:val="fr-CH"/>
        </w:rPr>
        <w:t>en matière d</w:t>
      </w:r>
      <w:r w:rsidR="00F82D32">
        <w:rPr>
          <w:lang w:val="fr-CH"/>
        </w:rPr>
        <w:t>’</w:t>
      </w:r>
      <w:r w:rsidR="008C7B32" w:rsidRPr="00786549">
        <w:rPr>
          <w:lang w:val="fr-CH"/>
        </w:rPr>
        <w:t xml:space="preserve">égalité des sexes répond </w:t>
      </w:r>
      <w:r w:rsidR="00F30693" w:rsidRPr="00786549">
        <w:rPr>
          <w:lang w:val="fr-CH"/>
        </w:rPr>
        <w:t>à hauteur de 45%</w:t>
      </w:r>
      <w:r w:rsidR="00F30693">
        <w:rPr>
          <w:lang w:val="fr-CH"/>
        </w:rPr>
        <w:t xml:space="preserve"> </w:t>
      </w:r>
      <w:r w:rsidR="008C7B32" w:rsidRPr="00786549">
        <w:rPr>
          <w:lang w:val="fr-CH"/>
        </w:rPr>
        <w:t>aux besoins de l</w:t>
      </w:r>
      <w:r w:rsidR="00F82D32">
        <w:rPr>
          <w:lang w:val="fr-CH"/>
        </w:rPr>
        <w:t>’</w:t>
      </w:r>
      <w:r w:rsidR="008C7B32" w:rsidRPr="00786549">
        <w:rPr>
          <w:lang w:val="fr-CH"/>
        </w:rPr>
        <w:t xml:space="preserve">Organisation, </w:t>
      </w:r>
      <w:r w:rsidR="00AE63B3">
        <w:rPr>
          <w:lang w:val="fr-CH"/>
        </w:rPr>
        <w:t>y compris</w:t>
      </w:r>
      <w:r w:rsidR="008C7B32" w:rsidRPr="00786549">
        <w:rPr>
          <w:lang w:val="fr-CH"/>
        </w:rPr>
        <w:t xml:space="preserve"> ceux du personnel, et </w:t>
      </w:r>
      <w:r w:rsidR="00F30693">
        <w:rPr>
          <w:lang w:val="fr-CH"/>
        </w:rPr>
        <w:t>à hauteur de 58%</w:t>
      </w:r>
      <w:r w:rsidR="008C7B32" w:rsidRPr="00786549">
        <w:rPr>
          <w:lang w:val="fr-CH"/>
        </w:rPr>
        <w:t xml:space="preserve"> aux besoins des parties prenantes externes</w:t>
      </w:r>
      <w:r w:rsidR="00F30693">
        <w:rPr>
          <w:lang w:val="fr-CH"/>
        </w:rPr>
        <w:t>.</w:t>
      </w:r>
    </w:p>
    <w:p w14:paraId="31FE0519" w14:textId="031EBDDD" w:rsidR="00C5485D" w:rsidRDefault="008C7B32" w:rsidP="00AE63B3">
      <w:pPr>
        <w:pStyle w:val="ONUMFS"/>
        <w:rPr>
          <w:lang w:val="fr-CH"/>
        </w:rPr>
      </w:pPr>
      <w:r w:rsidRPr="00786549">
        <w:rPr>
          <w:lang w:val="fr-CH"/>
        </w:rPr>
        <w:t>L</w:t>
      </w:r>
      <w:r w:rsidR="00F82D32">
        <w:rPr>
          <w:lang w:val="fr-CH"/>
        </w:rPr>
        <w:t>’</w:t>
      </w:r>
      <w:r w:rsidRPr="00786549">
        <w:rPr>
          <w:lang w:val="fr-CH"/>
        </w:rPr>
        <w:t>exercice conjoint d</w:t>
      </w:r>
      <w:r w:rsidR="00F82D32">
        <w:rPr>
          <w:lang w:val="fr-CH"/>
        </w:rPr>
        <w:t>’</w:t>
      </w:r>
      <w:r w:rsidRPr="00786549">
        <w:rPr>
          <w:lang w:val="fr-CH"/>
        </w:rPr>
        <w:t>évaluation et d</w:t>
      </w:r>
      <w:r w:rsidR="00F82D32">
        <w:rPr>
          <w:lang w:val="fr-CH"/>
        </w:rPr>
        <w:t>’</w:t>
      </w:r>
      <w:r w:rsidRPr="00786549">
        <w:rPr>
          <w:lang w:val="fr-CH"/>
        </w:rPr>
        <w:t xml:space="preserve">audit </w:t>
      </w:r>
      <w:r w:rsidRPr="00AE63B3">
        <w:rPr>
          <w:lang w:val="fr-CH"/>
        </w:rPr>
        <w:t xml:space="preserve">a </w:t>
      </w:r>
      <w:r w:rsidRPr="00786549">
        <w:rPr>
          <w:lang w:val="fr-CH"/>
        </w:rPr>
        <w:t>révélé que l</w:t>
      </w:r>
      <w:r w:rsidR="00F82D32">
        <w:rPr>
          <w:lang w:val="fr-CH"/>
        </w:rPr>
        <w:t>’</w:t>
      </w:r>
      <w:r w:rsidRPr="00786549">
        <w:rPr>
          <w:lang w:val="fr-CH"/>
        </w:rPr>
        <w:t xml:space="preserve">OMPI avait </w:t>
      </w:r>
      <w:r w:rsidRPr="00AE63B3">
        <w:rPr>
          <w:lang w:val="fr-CH"/>
        </w:rPr>
        <w:t xml:space="preserve">mis en place </w:t>
      </w:r>
      <w:r w:rsidRPr="00786549">
        <w:rPr>
          <w:lang w:val="fr-CH"/>
        </w:rPr>
        <w:t>des</w:t>
      </w:r>
      <w:r w:rsidRPr="00AE63B3">
        <w:rPr>
          <w:lang w:val="fr-CH"/>
        </w:rPr>
        <w:t xml:space="preserve"> politiques </w:t>
      </w:r>
      <w:r w:rsidRPr="00786549">
        <w:rPr>
          <w:lang w:val="fr-CH"/>
        </w:rPr>
        <w:t>visant à</w:t>
      </w:r>
      <w:r w:rsidRPr="00AE63B3">
        <w:rPr>
          <w:lang w:val="fr-CH"/>
        </w:rPr>
        <w:t xml:space="preserve"> créer un environnement de travail propice à l</w:t>
      </w:r>
      <w:r w:rsidR="00F82D32">
        <w:rPr>
          <w:lang w:val="fr-CH"/>
        </w:rPr>
        <w:t>’</w:t>
      </w:r>
      <w:r w:rsidRPr="00AE63B3">
        <w:rPr>
          <w:lang w:val="fr-CH"/>
        </w:rPr>
        <w:t>égalité des sex</w:t>
      </w:r>
      <w:r w:rsidR="00EF3A93" w:rsidRPr="00AE63B3">
        <w:rPr>
          <w:lang w:val="fr-CH"/>
        </w:rPr>
        <w:t>es</w:t>
      </w:r>
      <w:r w:rsidR="00EF3A93">
        <w:rPr>
          <w:lang w:val="fr-CH"/>
        </w:rPr>
        <w:t xml:space="preserve">.  </w:t>
      </w:r>
      <w:r w:rsidR="00EF3A93" w:rsidRPr="00786549">
        <w:rPr>
          <w:lang w:val="fr-CH"/>
        </w:rPr>
        <w:t>Il</w:t>
      </w:r>
      <w:r w:rsidRPr="00AE63B3">
        <w:rPr>
          <w:lang w:val="fr-CH"/>
        </w:rPr>
        <w:t xml:space="preserve"> convient</w:t>
      </w:r>
      <w:r w:rsidRPr="00786549">
        <w:rPr>
          <w:lang w:val="fr-CH"/>
        </w:rPr>
        <w:t xml:space="preserve"> </w:t>
      </w:r>
      <w:r w:rsidR="006E7A2C" w:rsidRPr="00786549">
        <w:rPr>
          <w:lang w:val="fr-CH"/>
        </w:rPr>
        <w:t>toutefois</w:t>
      </w:r>
      <w:r w:rsidR="006E7A2C" w:rsidRPr="00AE63B3">
        <w:rPr>
          <w:lang w:val="fr-CH"/>
        </w:rPr>
        <w:t xml:space="preserve"> </w:t>
      </w:r>
      <w:r w:rsidRPr="00AE63B3">
        <w:rPr>
          <w:lang w:val="fr-CH"/>
        </w:rPr>
        <w:t>de noter que l</w:t>
      </w:r>
      <w:r w:rsidR="00F82D32">
        <w:rPr>
          <w:lang w:val="fr-CH"/>
        </w:rPr>
        <w:t>’</w:t>
      </w:r>
      <w:r w:rsidRPr="00AE63B3">
        <w:rPr>
          <w:lang w:val="fr-CH"/>
        </w:rPr>
        <w:t>évaluation de plusieurs politiques demeure nécessaire pour remédier à certains des problèmes existants dans ce domai</w:t>
      </w:r>
      <w:r w:rsidR="00EF3A93" w:rsidRPr="00AE63B3">
        <w:rPr>
          <w:lang w:val="fr-CH"/>
        </w:rPr>
        <w:t>ne</w:t>
      </w:r>
      <w:r w:rsidR="00EF3A93">
        <w:rPr>
          <w:lang w:val="fr-CH"/>
        </w:rPr>
        <w:t xml:space="preserve">.  </w:t>
      </w:r>
      <w:r w:rsidR="00EF3A93" w:rsidRPr="00786549">
        <w:rPr>
          <w:lang w:val="fr-CH"/>
        </w:rPr>
        <w:t>En</w:t>
      </w:r>
      <w:r w:rsidRPr="00786549">
        <w:rPr>
          <w:lang w:val="fr-CH"/>
        </w:rPr>
        <w:t xml:space="preserve"> </w:t>
      </w:r>
      <w:r w:rsidR="006E7A2C" w:rsidRPr="00786549">
        <w:rPr>
          <w:lang w:val="fr-CH"/>
        </w:rPr>
        <w:t>revanche</w:t>
      </w:r>
      <w:r w:rsidRPr="00786549">
        <w:rPr>
          <w:lang w:val="fr-CH"/>
        </w:rPr>
        <w:t xml:space="preserve">, </w:t>
      </w:r>
      <w:r w:rsidR="006E7A2C" w:rsidRPr="00786549">
        <w:rPr>
          <w:lang w:val="fr-CH"/>
        </w:rPr>
        <w:t>certaines</w:t>
      </w:r>
      <w:r w:rsidRPr="00786549">
        <w:rPr>
          <w:lang w:val="fr-CH"/>
        </w:rPr>
        <w:t xml:space="preserve"> actions essentielles</w:t>
      </w:r>
      <w:r w:rsidR="006E7A2C" w:rsidRPr="00786549">
        <w:rPr>
          <w:lang w:val="fr-CH"/>
        </w:rPr>
        <w:t>,</w:t>
      </w:r>
      <w:r w:rsidRPr="00786549">
        <w:rPr>
          <w:lang w:val="fr-CH"/>
        </w:rPr>
        <w:t xml:space="preserve"> telles que </w:t>
      </w:r>
      <w:r w:rsidRPr="00AE63B3">
        <w:rPr>
          <w:lang w:val="fr-CH"/>
        </w:rPr>
        <w:t xml:space="preserve">la mise en place </w:t>
      </w:r>
      <w:r w:rsidRPr="00786549">
        <w:rPr>
          <w:lang w:val="fr-CH"/>
        </w:rPr>
        <w:t>d</w:t>
      </w:r>
      <w:r w:rsidR="00F82D32">
        <w:rPr>
          <w:lang w:val="fr-CH"/>
        </w:rPr>
        <w:t>’</w:t>
      </w:r>
      <w:r w:rsidRPr="00786549">
        <w:rPr>
          <w:lang w:val="fr-CH"/>
        </w:rPr>
        <w:t>un coordonnateur</w:t>
      </w:r>
      <w:r w:rsidR="006E7A2C" w:rsidRPr="00786549">
        <w:rPr>
          <w:lang w:val="fr-CH"/>
        </w:rPr>
        <w:t xml:space="preserve"> ou d</w:t>
      </w:r>
      <w:r w:rsidR="00F82D32">
        <w:rPr>
          <w:lang w:val="fr-CH"/>
        </w:rPr>
        <w:t>’</w:t>
      </w:r>
      <w:r w:rsidR="006E7A2C" w:rsidRPr="00786549">
        <w:rPr>
          <w:lang w:val="fr-CH"/>
        </w:rPr>
        <w:t xml:space="preserve">une </w:t>
      </w:r>
      <w:r w:rsidR="00F27BF9" w:rsidRPr="00786549">
        <w:rPr>
          <w:lang w:val="fr-CH"/>
        </w:rPr>
        <w:t>coordonnatrice</w:t>
      </w:r>
      <w:r w:rsidR="00F27BF9" w:rsidRPr="00AE63B3">
        <w:rPr>
          <w:lang w:val="fr-CH"/>
        </w:rPr>
        <w:t xml:space="preserve"> </w:t>
      </w:r>
      <w:r w:rsidRPr="00AE63B3">
        <w:rPr>
          <w:lang w:val="fr-CH"/>
        </w:rPr>
        <w:t>pour les questions relatives à l</w:t>
      </w:r>
      <w:r w:rsidR="00F82D32">
        <w:rPr>
          <w:lang w:val="fr-CH"/>
        </w:rPr>
        <w:t>’</w:t>
      </w:r>
      <w:r w:rsidRPr="00AE63B3">
        <w:rPr>
          <w:lang w:val="fr-CH"/>
        </w:rPr>
        <w:t>égalité des sexes</w:t>
      </w:r>
      <w:r w:rsidRPr="00786549">
        <w:rPr>
          <w:lang w:val="fr-CH"/>
        </w:rPr>
        <w:t xml:space="preserve">, se sont révélées efficaces et constituent </w:t>
      </w:r>
      <w:r w:rsidR="006E7A2C" w:rsidRPr="00786549">
        <w:rPr>
          <w:lang w:val="fr-CH"/>
        </w:rPr>
        <w:t>de</w:t>
      </w:r>
      <w:r w:rsidRPr="00786549">
        <w:rPr>
          <w:lang w:val="fr-CH"/>
        </w:rPr>
        <w:t xml:space="preserve"> bonne</w:t>
      </w:r>
      <w:r w:rsidR="006E7A2C" w:rsidRPr="00786549">
        <w:rPr>
          <w:lang w:val="fr-CH"/>
        </w:rPr>
        <w:t>s</w:t>
      </w:r>
      <w:r w:rsidRPr="00786549">
        <w:rPr>
          <w:lang w:val="fr-CH"/>
        </w:rPr>
        <w:t xml:space="preserve"> pratiqu</w:t>
      </w:r>
      <w:r w:rsidR="00EF3A93" w:rsidRPr="00786549">
        <w:rPr>
          <w:lang w:val="fr-CH"/>
        </w:rPr>
        <w:t>es</w:t>
      </w:r>
      <w:r w:rsidR="00EF3A93">
        <w:rPr>
          <w:lang w:val="fr-CH"/>
        </w:rPr>
        <w:t xml:space="preserve">.  </w:t>
      </w:r>
      <w:r w:rsidR="00EF3A93" w:rsidRPr="00786549">
        <w:rPr>
          <w:lang w:val="fr-CH"/>
        </w:rPr>
        <w:t>Né</w:t>
      </w:r>
      <w:r w:rsidR="00F27BF9" w:rsidRPr="00786549">
        <w:rPr>
          <w:lang w:val="fr-CH"/>
        </w:rPr>
        <w:t>anmoins, c</w:t>
      </w:r>
      <w:r w:rsidRPr="00786549">
        <w:rPr>
          <w:lang w:val="fr-CH"/>
        </w:rPr>
        <w:t>ertaines limitations freinent partiellement le développement d</w:t>
      </w:r>
      <w:r w:rsidR="00F27BF9" w:rsidRPr="00786549">
        <w:rPr>
          <w:lang w:val="fr-CH"/>
        </w:rPr>
        <w:t xml:space="preserve">es </w:t>
      </w:r>
      <w:r w:rsidRPr="00786549">
        <w:rPr>
          <w:lang w:val="fr-CH"/>
        </w:rPr>
        <w:t>avantag</w:t>
      </w:r>
      <w:r w:rsidR="00EF3A93" w:rsidRPr="00786549">
        <w:rPr>
          <w:lang w:val="fr-CH"/>
        </w:rPr>
        <w:t>es</w:t>
      </w:r>
      <w:r w:rsidR="00EF3A93">
        <w:rPr>
          <w:lang w:val="fr-CH"/>
        </w:rPr>
        <w:t xml:space="preserve">.  </w:t>
      </w:r>
      <w:r w:rsidR="00EF3A93" w:rsidRPr="00786549">
        <w:rPr>
          <w:lang w:val="fr-CH"/>
        </w:rPr>
        <w:t>Ai</w:t>
      </w:r>
      <w:r w:rsidR="00F27BF9" w:rsidRPr="00786549">
        <w:rPr>
          <w:lang w:val="fr-CH"/>
        </w:rPr>
        <w:t>nsi, l</w:t>
      </w:r>
      <w:r w:rsidRPr="00786549">
        <w:rPr>
          <w:lang w:val="fr-CH"/>
        </w:rPr>
        <w:t>es résultats de l</w:t>
      </w:r>
      <w:r w:rsidR="00F82D32">
        <w:rPr>
          <w:lang w:val="fr-CH"/>
        </w:rPr>
        <w:t>’</w:t>
      </w:r>
      <w:r w:rsidRPr="00786549">
        <w:rPr>
          <w:lang w:val="fr-CH"/>
        </w:rPr>
        <w:t xml:space="preserve">enquête indiquent que 53% des personnes interrogées ne connaissent pas leur coordonnateur </w:t>
      </w:r>
      <w:r w:rsidR="00F27BF9" w:rsidRPr="00786549">
        <w:rPr>
          <w:lang w:val="fr-CH"/>
        </w:rPr>
        <w:t xml:space="preserve">ou leur coordonnatrice </w:t>
      </w:r>
      <w:r w:rsidRPr="00786549">
        <w:rPr>
          <w:lang w:val="fr-CH"/>
        </w:rPr>
        <w:t>pour les questions relatives à l</w:t>
      </w:r>
      <w:r w:rsidR="00F82D32">
        <w:rPr>
          <w:lang w:val="fr-CH"/>
        </w:rPr>
        <w:t>’</w:t>
      </w:r>
      <w:r w:rsidRPr="00786549">
        <w:rPr>
          <w:lang w:val="fr-CH"/>
        </w:rPr>
        <w:t>égalité des sex</w:t>
      </w:r>
      <w:r w:rsidR="00EF3A93" w:rsidRPr="00786549">
        <w:rPr>
          <w:lang w:val="fr-CH"/>
        </w:rPr>
        <w:t>es</w:t>
      </w:r>
      <w:r w:rsidR="00EF3A93">
        <w:rPr>
          <w:lang w:val="fr-CH"/>
        </w:rPr>
        <w:t xml:space="preserve">.  </w:t>
      </w:r>
      <w:r w:rsidR="00EF3A93" w:rsidRPr="00786549">
        <w:rPr>
          <w:lang w:val="fr-CH"/>
        </w:rPr>
        <w:t>Pa</w:t>
      </w:r>
      <w:r w:rsidR="00EB3CB3" w:rsidRPr="00786549">
        <w:rPr>
          <w:lang w:val="fr-CH"/>
        </w:rPr>
        <w:t xml:space="preserve">rmi les obstacles rencontrés, on peut citer </w:t>
      </w:r>
      <w:r w:rsidR="00F27BF9" w:rsidRPr="00AE63B3">
        <w:rPr>
          <w:lang w:val="fr-CH"/>
        </w:rPr>
        <w:t>une</w:t>
      </w:r>
      <w:r w:rsidR="00EB3CB3" w:rsidRPr="00AE63B3">
        <w:rPr>
          <w:lang w:val="fr-CH"/>
        </w:rPr>
        <w:t xml:space="preserve"> </w:t>
      </w:r>
      <w:r w:rsidR="00EB3CB3" w:rsidRPr="00786549">
        <w:rPr>
          <w:lang w:val="fr-CH"/>
        </w:rPr>
        <w:t xml:space="preserve">définition </w:t>
      </w:r>
      <w:r w:rsidR="00F27BF9" w:rsidRPr="00786549">
        <w:rPr>
          <w:lang w:val="fr-CH"/>
        </w:rPr>
        <w:t xml:space="preserve">floue </w:t>
      </w:r>
      <w:r w:rsidR="00EB3CB3" w:rsidRPr="00786549">
        <w:rPr>
          <w:lang w:val="fr-CH"/>
        </w:rPr>
        <w:t xml:space="preserve">du </w:t>
      </w:r>
      <w:r w:rsidR="00EB3CB3" w:rsidRPr="00AE63B3">
        <w:rPr>
          <w:lang w:val="fr-CH"/>
        </w:rPr>
        <w:t>mandat actuel</w:t>
      </w:r>
      <w:r w:rsidR="00EB3CB3" w:rsidRPr="00786549">
        <w:rPr>
          <w:lang w:val="fr-CH"/>
        </w:rPr>
        <w:t xml:space="preserve"> </w:t>
      </w:r>
      <w:r w:rsidR="00F27BF9" w:rsidRPr="00786549">
        <w:rPr>
          <w:lang w:val="fr-CH"/>
        </w:rPr>
        <w:t>du</w:t>
      </w:r>
      <w:r w:rsidR="00EB3CB3" w:rsidRPr="00786549">
        <w:rPr>
          <w:lang w:val="fr-CH"/>
        </w:rPr>
        <w:t xml:space="preserve"> coordonnateur</w:t>
      </w:r>
      <w:r w:rsidR="00F27BF9" w:rsidRPr="00786549">
        <w:rPr>
          <w:lang w:val="fr-CH"/>
        </w:rPr>
        <w:t xml:space="preserve"> ou de la coordonnatrice</w:t>
      </w:r>
      <w:r w:rsidR="00EB3CB3" w:rsidRPr="00AE63B3">
        <w:rPr>
          <w:lang w:val="fr-CH"/>
        </w:rPr>
        <w:t xml:space="preserve">, les faibles ressources affectées au renforcement </w:t>
      </w:r>
      <w:r w:rsidR="00EB3CB3" w:rsidRPr="00786549">
        <w:rPr>
          <w:lang w:val="fr-CH"/>
        </w:rPr>
        <w:t>des</w:t>
      </w:r>
      <w:r w:rsidR="00EB3CB3" w:rsidRPr="00AE63B3">
        <w:rPr>
          <w:lang w:val="fr-CH"/>
        </w:rPr>
        <w:t xml:space="preserve"> capacités, le manque de temps officiellement prévu pour exercer ce rôle</w:t>
      </w:r>
      <w:r w:rsidR="00EB3CB3" w:rsidRPr="00786549">
        <w:rPr>
          <w:lang w:val="fr-CH"/>
        </w:rPr>
        <w:t xml:space="preserve"> et</w:t>
      </w:r>
      <w:r w:rsidR="00EB3CB3" w:rsidRPr="00AE63B3">
        <w:rPr>
          <w:lang w:val="fr-CH"/>
        </w:rPr>
        <w:t xml:space="preserve"> l</w:t>
      </w:r>
      <w:r w:rsidR="00F82D32">
        <w:rPr>
          <w:lang w:val="fr-CH"/>
        </w:rPr>
        <w:t>’</w:t>
      </w:r>
      <w:r w:rsidR="00EB3CB3" w:rsidRPr="00AE63B3">
        <w:rPr>
          <w:lang w:val="fr-CH"/>
        </w:rPr>
        <w:t>imprécision des critères de sélection et de rotation des coordonnateurs et coordonnatrices</w:t>
      </w:r>
      <w:r w:rsidR="00EB3CB3" w:rsidRPr="00786549">
        <w:rPr>
          <w:lang w:val="fr-CH"/>
        </w:rPr>
        <w:t>.</w:t>
      </w:r>
    </w:p>
    <w:p w14:paraId="690795A4" w14:textId="58D5C9D7" w:rsidR="00C5485D" w:rsidRDefault="00EB3CB3" w:rsidP="00AE63B3">
      <w:pPr>
        <w:pStyle w:val="ONUMFS"/>
        <w:rPr>
          <w:lang w:val="fr-CH"/>
        </w:rPr>
      </w:pPr>
      <w:r w:rsidRPr="00786549">
        <w:rPr>
          <w:lang w:val="fr-CH"/>
        </w:rPr>
        <w:t>L</w:t>
      </w:r>
      <w:r w:rsidR="00F82D32">
        <w:rPr>
          <w:lang w:val="fr-CH"/>
        </w:rPr>
        <w:t>’</w:t>
      </w:r>
      <w:r w:rsidRPr="00786549">
        <w:rPr>
          <w:lang w:val="fr-CH"/>
        </w:rPr>
        <w:t>exercice conjoint d</w:t>
      </w:r>
      <w:r w:rsidR="00F82D32">
        <w:rPr>
          <w:lang w:val="fr-CH"/>
        </w:rPr>
        <w:t>’</w:t>
      </w:r>
      <w:r w:rsidRPr="00786549">
        <w:rPr>
          <w:lang w:val="fr-CH"/>
        </w:rPr>
        <w:t>évaluation et d</w:t>
      </w:r>
      <w:r w:rsidR="00F82D32">
        <w:rPr>
          <w:lang w:val="fr-CH"/>
        </w:rPr>
        <w:t>’</w:t>
      </w:r>
      <w:r w:rsidRPr="00786549">
        <w:rPr>
          <w:lang w:val="fr-CH"/>
        </w:rPr>
        <w:t>audit a reconnu</w:t>
      </w:r>
      <w:r w:rsidRPr="00AE63B3">
        <w:rPr>
          <w:lang w:val="fr-CH"/>
        </w:rPr>
        <w:t xml:space="preserve"> que l</w:t>
      </w:r>
      <w:r w:rsidR="00F82D32">
        <w:rPr>
          <w:lang w:val="fr-CH"/>
        </w:rPr>
        <w:t>’</w:t>
      </w:r>
      <w:r w:rsidRPr="00AE63B3">
        <w:rPr>
          <w:lang w:val="fr-CH"/>
        </w:rPr>
        <w:t xml:space="preserve">utilisation des marqueurs de genre </w:t>
      </w:r>
      <w:r w:rsidRPr="00786549">
        <w:rPr>
          <w:lang w:val="fr-CH"/>
        </w:rPr>
        <w:t>avait</w:t>
      </w:r>
      <w:r w:rsidRPr="00AE63B3">
        <w:rPr>
          <w:lang w:val="fr-CH"/>
        </w:rPr>
        <w:t xml:space="preserve"> augmenté ces trois</w:t>
      </w:r>
      <w:r w:rsidR="00EE3460">
        <w:rPr>
          <w:lang w:val="fr-CH"/>
        </w:rPr>
        <w:t> </w:t>
      </w:r>
      <w:r w:rsidRPr="00AE63B3">
        <w:rPr>
          <w:lang w:val="fr-CH"/>
        </w:rPr>
        <w:t xml:space="preserve">dernières années, </w:t>
      </w:r>
      <w:r w:rsidRPr="00786549">
        <w:rPr>
          <w:lang w:val="fr-CH"/>
        </w:rPr>
        <w:t>avec un taux de 47% des 848</w:t>
      </w:r>
      <w:r w:rsidR="00786549">
        <w:rPr>
          <w:lang w:val="fr-CH"/>
        </w:rPr>
        <w:t> </w:t>
      </w:r>
      <w:r w:rsidRPr="00786549">
        <w:rPr>
          <w:lang w:val="fr-CH"/>
        </w:rPr>
        <w:t xml:space="preserve">activités </w:t>
      </w:r>
      <w:r w:rsidR="00F27BF9" w:rsidRPr="00786549">
        <w:rPr>
          <w:lang w:val="fr-CH"/>
        </w:rPr>
        <w:t xml:space="preserve">liées à </w:t>
      </w:r>
      <w:r w:rsidRPr="00786549">
        <w:rPr>
          <w:lang w:val="fr-CH"/>
        </w:rPr>
        <w:t>l</w:t>
      </w:r>
      <w:r w:rsidR="00F82D32">
        <w:rPr>
          <w:lang w:val="fr-CH"/>
        </w:rPr>
        <w:t>’</w:t>
      </w:r>
      <w:r w:rsidRPr="00786549">
        <w:rPr>
          <w:lang w:val="fr-CH"/>
        </w:rPr>
        <w:t xml:space="preserve">établissement de rapports sur les </w:t>
      </w:r>
      <w:r w:rsidR="00F27BF9" w:rsidRPr="00786549">
        <w:rPr>
          <w:lang w:val="fr-CH"/>
        </w:rPr>
        <w:t>programm</w:t>
      </w:r>
      <w:r w:rsidR="00EF3A93" w:rsidRPr="00786549">
        <w:rPr>
          <w:lang w:val="fr-CH"/>
        </w:rPr>
        <w:t>es</w:t>
      </w:r>
      <w:r w:rsidR="00EF3A93">
        <w:rPr>
          <w:lang w:val="fr-CH"/>
        </w:rPr>
        <w:t xml:space="preserve">.  </w:t>
      </w:r>
      <w:r w:rsidR="00EF3A93" w:rsidRPr="00786549">
        <w:rPr>
          <w:lang w:val="fr-CH"/>
        </w:rPr>
        <w:t>Il</w:t>
      </w:r>
      <w:r w:rsidRPr="00786549">
        <w:rPr>
          <w:lang w:val="fr-CH"/>
        </w:rPr>
        <w:t xml:space="preserve"> reste néanmoins</w:t>
      </w:r>
      <w:r w:rsidRPr="00AE63B3">
        <w:rPr>
          <w:lang w:val="fr-CH"/>
        </w:rPr>
        <w:t xml:space="preserve"> encore beaucoup à faire pour améliorer la compréhension et l</w:t>
      </w:r>
      <w:r w:rsidR="00F82D32">
        <w:rPr>
          <w:lang w:val="fr-CH"/>
        </w:rPr>
        <w:t>’</w:t>
      </w:r>
      <w:r w:rsidRPr="00AE63B3">
        <w:rPr>
          <w:lang w:val="fr-CH"/>
        </w:rPr>
        <w:t xml:space="preserve">utilisation de ces codes et </w:t>
      </w:r>
      <w:r w:rsidRPr="00786549">
        <w:rPr>
          <w:lang w:val="fr-CH"/>
        </w:rPr>
        <w:t>éviter</w:t>
      </w:r>
      <w:r w:rsidRPr="00AE63B3">
        <w:rPr>
          <w:lang w:val="fr-CH"/>
        </w:rPr>
        <w:t xml:space="preserve"> la communication d</w:t>
      </w:r>
      <w:r w:rsidR="00F82D32">
        <w:rPr>
          <w:lang w:val="fr-CH"/>
        </w:rPr>
        <w:t>’</w:t>
      </w:r>
      <w:r w:rsidRPr="00AE63B3">
        <w:rPr>
          <w:lang w:val="fr-CH"/>
        </w:rPr>
        <w:t>informations incomplètes ou les omissio</w:t>
      </w:r>
      <w:r w:rsidR="00EF3A93" w:rsidRPr="00AE63B3">
        <w:rPr>
          <w:lang w:val="fr-CH"/>
        </w:rPr>
        <w:t>ns</w:t>
      </w:r>
      <w:r w:rsidR="00EF3A93">
        <w:rPr>
          <w:lang w:val="fr-CH"/>
        </w:rPr>
        <w:t xml:space="preserve">.  </w:t>
      </w:r>
      <w:r w:rsidR="00EF3A93" w:rsidRPr="00786549">
        <w:rPr>
          <w:lang w:val="fr-CH"/>
        </w:rPr>
        <w:t>Ci</w:t>
      </w:r>
      <w:r w:rsidRPr="00786549">
        <w:rPr>
          <w:lang w:val="fr-CH"/>
        </w:rPr>
        <w:t>nquante</w:t>
      </w:r>
      <w:r w:rsidR="007379C2">
        <w:rPr>
          <w:lang w:val="fr-CH"/>
        </w:rPr>
        <w:noBreakHyphen/>
      </w:r>
      <w:r w:rsidRPr="00786549">
        <w:rPr>
          <w:lang w:val="fr-CH"/>
        </w:rPr>
        <w:t>neuf</w:t>
      </w:r>
      <w:r w:rsidR="006B6F89">
        <w:rPr>
          <w:lang w:val="fr-CH"/>
        </w:rPr>
        <w:t> </w:t>
      </w:r>
      <w:r w:rsidRPr="00786549">
        <w:rPr>
          <w:lang w:val="fr-CH"/>
        </w:rPr>
        <w:t>pour</w:t>
      </w:r>
      <w:r w:rsidR="006B6F89">
        <w:rPr>
          <w:lang w:val="fr-CH"/>
        </w:rPr>
        <w:t> c</w:t>
      </w:r>
      <w:r w:rsidRPr="00786549">
        <w:rPr>
          <w:lang w:val="fr-CH"/>
        </w:rPr>
        <w:t>ent des fonctionnaires ne savent pas clairement à quoi servent les marqueurs de genre, quelle pourrait être leur contribution à ces indicateurs et comment appliquer ce système de classement.</w:t>
      </w:r>
    </w:p>
    <w:p w14:paraId="444808F8" w14:textId="4B6F7FA5" w:rsidR="00C5485D" w:rsidRDefault="006E7A2C" w:rsidP="00AE63B3">
      <w:pPr>
        <w:pStyle w:val="ONUMFS"/>
        <w:rPr>
          <w:lang w:val="fr-CH"/>
        </w:rPr>
      </w:pPr>
      <w:r w:rsidRPr="00786549">
        <w:rPr>
          <w:lang w:val="fr-CH"/>
        </w:rPr>
        <w:t>En outre, si une budgétisation tenant compte de l</w:t>
      </w:r>
      <w:r w:rsidR="00F82D32">
        <w:rPr>
          <w:lang w:val="fr-CH"/>
        </w:rPr>
        <w:t>’</w:t>
      </w:r>
      <w:r w:rsidRPr="00786549">
        <w:rPr>
          <w:lang w:val="fr-CH"/>
        </w:rPr>
        <w:t xml:space="preserve">égalité des sexes est appliquée </w:t>
      </w:r>
      <w:r w:rsidR="00BA6326">
        <w:rPr>
          <w:lang w:val="fr-CH"/>
        </w:rPr>
        <w:t>aux</w:t>
      </w:r>
      <w:r w:rsidRPr="00786549">
        <w:rPr>
          <w:lang w:val="fr-CH"/>
        </w:rPr>
        <w:t xml:space="preserve"> activités de programme de l</w:t>
      </w:r>
      <w:r w:rsidR="00F82D32">
        <w:rPr>
          <w:lang w:val="fr-CH"/>
        </w:rPr>
        <w:t>’</w:t>
      </w:r>
      <w:r w:rsidRPr="00786549">
        <w:rPr>
          <w:lang w:val="fr-CH"/>
        </w:rPr>
        <w:t xml:space="preserve">OMPI, il est nécessaire de regrouper les données financières existantes </w:t>
      </w:r>
      <w:r w:rsidR="003968A7">
        <w:rPr>
          <w:lang w:val="fr-CH"/>
        </w:rPr>
        <w:t>au moyen d</w:t>
      </w:r>
      <w:r w:rsidR="00F82D32">
        <w:rPr>
          <w:lang w:val="fr-CH"/>
        </w:rPr>
        <w:t>’</w:t>
      </w:r>
      <w:r w:rsidR="003968A7">
        <w:rPr>
          <w:lang w:val="fr-CH"/>
        </w:rPr>
        <w:t>un outil</w:t>
      </w:r>
      <w:r w:rsidRPr="00786549">
        <w:rPr>
          <w:lang w:val="fr-CH"/>
        </w:rPr>
        <w:t xml:space="preserve"> tenant compte de ce princi</w:t>
      </w:r>
      <w:r w:rsidR="00EF3A93" w:rsidRPr="00786549">
        <w:rPr>
          <w:lang w:val="fr-CH"/>
        </w:rPr>
        <w:t>pe</w:t>
      </w:r>
      <w:r w:rsidR="00EF3A93">
        <w:rPr>
          <w:lang w:val="fr-CH"/>
        </w:rPr>
        <w:t xml:space="preserve">.  </w:t>
      </w:r>
      <w:r w:rsidR="00EF3A93" w:rsidRPr="00786549">
        <w:rPr>
          <w:lang w:val="fr-CH"/>
        </w:rPr>
        <w:t>S</w:t>
      </w:r>
      <w:r w:rsidR="00F82D32">
        <w:rPr>
          <w:lang w:val="fr-CH"/>
        </w:rPr>
        <w:t>’</w:t>
      </w:r>
      <w:r w:rsidR="00EF3A93" w:rsidRPr="00786549">
        <w:rPr>
          <w:lang w:val="fr-CH"/>
        </w:rPr>
        <w:t>a</w:t>
      </w:r>
      <w:r w:rsidR="00F27BF9" w:rsidRPr="00786549">
        <w:rPr>
          <w:lang w:val="fr-CH"/>
        </w:rPr>
        <w:t>gissant de la gestion axée sur les résultats, l</w:t>
      </w:r>
      <w:r w:rsidR="00F82D32">
        <w:rPr>
          <w:lang w:val="fr-CH"/>
        </w:rPr>
        <w:t>’</w:t>
      </w:r>
      <w:r w:rsidR="00F27BF9" w:rsidRPr="00786549">
        <w:rPr>
          <w:lang w:val="fr-CH"/>
        </w:rPr>
        <w:t>évaluation et l</w:t>
      </w:r>
      <w:r w:rsidR="00F82D32">
        <w:rPr>
          <w:lang w:val="fr-CH"/>
        </w:rPr>
        <w:t>’</w:t>
      </w:r>
      <w:r w:rsidR="00F27BF9" w:rsidRPr="00786549">
        <w:rPr>
          <w:lang w:val="fr-CH"/>
        </w:rPr>
        <w:t>audit ont révélé une</w:t>
      </w:r>
      <w:r w:rsidR="00F27BF9" w:rsidRPr="00AE63B3">
        <w:rPr>
          <w:lang w:val="fr-CH"/>
        </w:rPr>
        <w:t xml:space="preserve"> faible intégration des préoccupations relatives à l</w:t>
      </w:r>
      <w:r w:rsidR="00F82D32">
        <w:rPr>
          <w:lang w:val="fr-CH"/>
        </w:rPr>
        <w:t>’</w:t>
      </w:r>
      <w:r w:rsidR="00F27BF9" w:rsidRPr="00AE63B3">
        <w:rPr>
          <w:lang w:val="fr-CH"/>
        </w:rPr>
        <w:t>égalité des sexes dans les indicateurs d</w:t>
      </w:r>
      <w:r w:rsidR="00F82D32">
        <w:rPr>
          <w:lang w:val="fr-CH"/>
        </w:rPr>
        <w:t>’</w:t>
      </w:r>
      <w:r w:rsidR="00F27BF9" w:rsidRPr="00AE63B3">
        <w:rPr>
          <w:lang w:val="fr-CH"/>
        </w:rPr>
        <w:t>exécution, les objectifs</w:t>
      </w:r>
      <w:r w:rsidR="00F27BF9" w:rsidRPr="006E0076">
        <w:rPr>
          <w:lang w:val="fr-CH"/>
        </w:rPr>
        <w:t xml:space="preserve"> et</w:t>
      </w:r>
      <w:r w:rsidR="00F27BF9" w:rsidRPr="00AE63B3">
        <w:rPr>
          <w:lang w:val="fr-CH"/>
        </w:rPr>
        <w:t xml:space="preserve"> les rapports d</w:t>
      </w:r>
      <w:r w:rsidR="00F82D32">
        <w:rPr>
          <w:lang w:val="fr-CH"/>
        </w:rPr>
        <w:t>’</w:t>
      </w:r>
      <w:r w:rsidR="00F27BF9" w:rsidRPr="00AE63B3">
        <w:rPr>
          <w:lang w:val="fr-CH"/>
        </w:rPr>
        <w:t>exécution existan</w:t>
      </w:r>
      <w:r w:rsidR="00EF3A93" w:rsidRPr="00AE63B3">
        <w:rPr>
          <w:lang w:val="fr-CH"/>
        </w:rPr>
        <w:t>ts</w:t>
      </w:r>
      <w:r w:rsidR="00EF3A93">
        <w:rPr>
          <w:lang w:val="fr-CH"/>
        </w:rPr>
        <w:t xml:space="preserve">.  </w:t>
      </w:r>
      <w:r w:rsidR="00EF3A93" w:rsidRPr="006E0076">
        <w:rPr>
          <w:lang w:val="fr-CH"/>
        </w:rPr>
        <w:t>Da</w:t>
      </w:r>
      <w:r w:rsidR="00F27BF9" w:rsidRPr="006E0076">
        <w:rPr>
          <w:lang w:val="fr-CH"/>
        </w:rPr>
        <w:t>ns 31%</w:t>
      </w:r>
      <w:r w:rsidR="00F27BF9" w:rsidRPr="00AE63B3">
        <w:rPr>
          <w:lang w:val="fr-CH"/>
        </w:rPr>
        <w:t xml:space="preserve"> des </w:t>
      </w:r>
      <w:r w:rsidR="00F27BF9" w:rsidRPr="006E0076">
        <w:rPr>
          <w:lang w:val="fr-CH"/>
        </w:rPr>
        <w:t xml:space="preserve">activités </w:t>
      </w:r>
      <w:r w:rsidR="00BA6326" w:rsidRPr="006E0076">
        <w:rPr>
          <w:lang w:val="fr-CH"/>
        </w:rPr>
        <w:t>évaluées</w:t>
      </w:r>
      <w:r w:rsidR="00BA6326" w:rsidRPr="00AE63B3">
        <w:rPr>
          <w:lang w:val="fr-CH"/>
        </w:rPr>
        <w:t xml:space="preserve"> en matière d</w:t>
      </w:r>
      <w:r w:rsidR="00F82D32">
        <w:rPr>
          <w:lang w:val="fr-CH"/>
        </w:rPr>
        <w:t>’</w:t>
      </w:r>
      <w:r w:rsidR="00F27BF9" w:rsidRPr="00AE63B3">
        <w:rPr>
          <w:lang w:val="fr-CH"/>
        </w:rPr>
        <w:t>égalité des sexes</w:t>
      </w:r>
      <w:r w:rsidR="00F27BF9" w:rsidRPr="006E0076">
        <w:rPr>
          <w:lang w:val="fr-CH"/>
        </w:rPr>
        <w:t>, les données ventilées par sexe et les données de suivi tenant compte de l</w:t>
      </w:r>
      <w:r w:rsidR="00F82D32">
        <w:rPr>
          <w:lang w:val="fr-CH"/>
        </w:rPr>
        <w:t>’</w:t>
      </w:r>
      <w:r w:rsidR="00F27BF9" w:rsidRPr="006E0076">
        <w:rPr>
          <w:lang w:val="fr-CH"/>
        </w:rPr>
        <w:t>égalité des sexes étaient rares</w:t>
      </w:r>
      <w:r w:rsidR="00F27BF9" w:rsidRPr="00AE63B3">
        <w:rPr>
          <w:lang w:val="fr-CH"/>
        </w:rPr>
        <w:t>.</w:t>
      </w:r>
    </w:p>
    <w:p w14:paraId="2BF079BD" w14:textId="7E2779FF" w:rsidR="00C5485D" w:rsidRDefault="00F27BF9" w:rsidP="00F27BF9">
      <w:pPr>
        <w:pStyle w:val="ONUMFS"/>
        <w:rPr>
          <w:lang w:val="fr-CH"/>
        </w:rPr>
      </w:pPr>
      <w:r w:rsidRPr="00AE63B3">
        <w:rPr>
          <w:lang w:val="fr-CH"/>
        </w:rPr>
        <w:t xml:space="preserve">Sur la base des </w:t>
      </w:r>
      <w:r w:rsidRPr="006E0076">
        <w:rPr>
          <w:lang w:val="fr-CH"/>
        </w:rPr>
        <w:t>constatations</w:t>
      </w:r>
      <w:r w:rsidRPr="00AE63B3">
        <w:rPr>
          <w:lang w:val="fr-CH"/>
        </w:rPr>
        <w:t xml:space="preserve"> et conclusions de </w:t>
      </w:r>
      <w:r w:rsidRPr="006E0076">
        <w:rPr>
          <w:lang w:val="fr-CH"/>
        </w:rPr>
        <w:t>l</w:t>
      </w:r>
      <w:r w:rsidR="00F82D32">
        <w:rPr>
          <w:lang w:val="fr-CH"/>
        </w:rPr>
        <w:t>’</w:t>
      </w:r>
      <w:r w:rsidRPr="006E0076">
        <w:rPr>
          <w:lang w:val="fr-CH"/>
        </w:rPr>
        <w:t xml:space="preserve">exercice conjoint </w:t>
      </w:r>
      <w:r w:rsidRPr="00AE63B3">
        <w:rPr>
          <w:lang w:val="fr-CH"/>
        </w:rPr>
        <w:t>d</w:t>
      </w:r>
      <w:r w:rsidR="00F82D32">
        <w:rPr>
          <w:lang w:val="fr-CH"/>
        </w:rPr>
        <w:t>’</w:t>
      </w:r>
      <w:r w:rsidRPr="00AE63B3">
        <w:rPr>
          <w:lang w:val="fr-CH"/>
        </w:rPr>
        <w:t>évaluation</w:t>
      </w:r>
      <w:r w:rsidRPr="006E0076">
        <w:rPr>
          <w:lang w:val="fr-CH"/>
        </w:rPr>
        <w:t xml:space="preserve"> et d</w:t>
      </w:r>
      <w:r w:rsidR="00F82D32">
        <w:rPr>
          <w:lang w:val="fr-CH"/>
        </w:rPr>
        <w:t>’</w:t>
      </w:r>
      <w:r w:rsidRPr="006E0076">
        <w:rPr>
          <w:lang w:val="fr-CH"/>
        </w:rPr>
        <w:t>audit, l</w:t>
      </w:r>
      <w:r w:rsidR="00F82D32">
        <w:rPr>
          <w:lang w:val="fr-CH"/>
        </w:rPr>
        <w:t>’</w:t>
      </w:r>
      <w:r w:rsidRPr="006E0076">
        <w:rPr>
          <w:lang w:val="fr-CH"/>
        </w:rPr>
        <w:t xml:space="preserve">Organisation mettra prochainement en </w:t>
      </w:r>
      <w:r w:rsidR="00786549" w:rsidRPr="006E0076">
        <w:rPr>
          <w:lang w:val="fr-CH"/>
        </w:rPr>
        <w:t>œ</w:t>
      </w:r>
      <w:r w:rsidRPr="006E0076">
        <w:rPr>
          <w:lang w:val="fr-CH"/>
        </w:rPr>
        <w:t>uvre plusieurs</w:t>
      </w:r>
      <w:r w:rsidRPr="00AE63B3">
        <w:rPr>
          <w:lang w:val="fr-CH"/>
        </w:rPr>
        <w:t xml:space="preserve"> recommandations </w:t>
      </w:r>
      <w:r w:rsidRPr="006E0076">
        <w:rPr>
          <w:lang w:val="fr-CH"/>
        </w:rPr>
        <w:t>essentielles.</w:t>
      </w:r>
    </w:p>
    <w:p w14:paraId="63205B6F" w14:textId="741AEE7A" w:rsidR="00C5485D" w:rsidRDefault="00786549" w:rsidP="00AE63B3">
      <w:pPr>
        <w:pStyle w:val="ONUMFS"/>
        <w:rPr>
          <w:lang w:val="fr-CH"/>
        </w:rPr>
      </w:pPr>
      <w:r w:rsidRPr="006E0076">
        <w:rPr>
          <w:lang w:val="fr-CH" w:eastAsia="en-GB"/>
        </w:rPr>
        <w:lastRenderedPageBreak/>
        <w:t>Le</w:t>
      </w:r>
      <w:r w:rsidRPr="00AE63B3">
        <w:rPr>
          <w:lang w:val="fr-CH"/>
        </w:rPr>
        <w:t xml:space="preserve"> Département de la gestion des ressources humaines (DGRH) </w:t>
      </w:r>
      <w:r w:rsidRPr="006E0076">
        <w:rPr>
          <w:lang w:val="fr-CH" w:eastAsia="en-GB"/>
        </w:rPr>
        <w:t>coordonne</w:t>
      </w:r>
      <w:r w:rsidR="00E65C55">
        <w:rPr>
          <w:lang w:val="fr-CH" w:eastAsia="en-GB"/>
        </w:rPr>
        <w:t>ra</w:t>
      </w:r>
      <w:r w:rsidRPr="006E0076">
        <w:rPr>
          <w:lang w:val="fr-CH" w:eastAsia="en-GB"/>
        </w:rPr>
        <w:t xml:space="preserve"> et met</w:t>
      </w:r>
      <w:r w:rsidR="00E65C55">
        <w:rPr>
          <w:lang w:val="fr-CH" w:eastAsia="en-GB"/>
        </w:rPr>
        <w:t>tra</w:t>
      </w:r>
      <w:r w:rsidRPr="006E0076">
        <w:rPr>
          <w:lang w:val="fr-CH" w:eastAsia="en-GB"/>
        </w:rPr>
        <w:t xml:space="preserve"> en œuvre les recommandations, notamment</w:t>
      </w:r>
      <w:r w:rsidR="00AE63B3">
        <w:rPr>
          <w:lang w:val="fr-CH" w:eastAsia="en-GB"/>
        </w:rPr>
        <w:t> :</w:t>
      </w:r>
      <w:r w:rsidRPr="006E0076">
        <w:rPr>
          <w:lang w:val="fr-CH" w:eastAsia="en-GB"/>
        </w:rPr>
        <w:t xml:space="preserve"> i)</w:t>
      </w:r>
      <w:r w:rsidR="00EE3460">
        <w:rPr>
          <w:lang w:val="fr-CH" w:eastAsia="en-GB"/>
        </w:rPr>
        <w:t> </w:t>
      </w:r>
      <w:r w:rsidRPr="006E0076">
        <w:rPr>
          <w:lang w:val="fr-CH" w:eastAsia="en-GB"/>
        </w:rPr>
        <w:t>en collaborant</w:t>
      </w:r>
      <w:r w:rsidRPr="00AE63B3">
        <w:rPr>
          <w:lang w:val="fr-CH"/>
        </w:rPr>
        <w:t xml:space="preserve"> avec les principales parties prenantes pour réviser et mettre à jour la </w:t>
      </w:r>
      <w:r w:rsidRPr="006E0076">
        <w:rPr>
          <w:lang w:val="fr-CH" w:eastAsia="en-GB"/>
        </w:rPr>
        <w:t>Politique</w:t>
      </w:r>
      <w:r w:rsidR="003968A7" w:rsidRPr="006E0076">
        <w:rPr>
          <w:lang w:val="fr-CH" w:eastAsia="en-GB"/>
        </w:rPr>
        <w:t>,</w:t>
      </w:r>
      <w:r w:rsidRPr="006E0076">
        <w:rPr>
          <w:lang w:val="fr-CH" w:eastAsia="en-GB"/>
        </w:rPr>
        <w:t xml:space="preserve"> en y intégrant les</w:t>
      </w:r>
      <w:r w:rsidRPr="00AE63B3">
        <w:rPr>
          <w:lang w:val="fr-CH"/>
        </w:rPr>
        <w:t xml:space="preserve"> besoins des parties prenantes internes et externes </w:t>
      </w:r>
      <w:r w:rsidRPr="006E0076">
        <w:rPr>
          <w:lang w:val="fr-CH" w:eastAsia="en-GB"/>
        </w:rPr>
        <w:t>ainsi que les</w:t>
      </w:r>
      <w:r w:rsidRPr="00AE63B3">
        <w:rPr>
          <w:lang w:val="fr-CH"/>
        </w:rPr>
        <w:t xml:space="preserve"> pratiques recommandées par l</w:t>
      </w:r>
      <w:r w:rsidR="00F82D32">
        <w:rPr>
          <w:lang w:val="fr-CH"/>
        </w:rPr>
        <w:t>’</w:t>
      </w:r>
      <w:r w:rsidRPr="00AE63B3">
        <w:rPr>
          <w:lang w:val="fr-CH"/>
        </w:rPr>
        <w:t>ONU</w:t>
      </w:r>
      <w:r w:rsidR="007379C2">
        <w:rPr>
          <w:lang w:val="fr-CH"/>
        </w:rPr>
        <w:noBreakHyphen/>
      </w:r>
      <w:r w:rsidRPr="00AE63B3">
        <w:rPr>
          <w:lang w:val="fr-CH"/>
        </w:rPr>
        <w:t>SWAP 2.0</w:t>
      </w:r>
      <w:r w:rsidRPr="006E0076">
        <w:rPr>
          <w:lang w:val="fr-CH" w:eastAsia="en-GB"/>
        </w:rPr>
        <w:t xml:space="preserve">; </w:t>
      </w:r>
      <w:r w:rsidR="00BA6326" w:rsidRPr="006E0076">
        <w:rPr>
          <w:lang w:val="fr-CH" w:eastAsia="en-GB"/>
        </w:rPr>
        <w:t xml:space="preserve"> </w:t>
      </w:r>
      <w:r w:rsidRPr="006E0076">
        <w:rPr>
          <w:lang w:val="fr-CH" w:eastAsia="en-GB"/>
        </w:rPr>
        <w:t>ii)</w:t>
      </w:r>
      <w:r w:rsidR="00EE3460">
        <w:rPr>
          <w:lang w:val="fr-CH" w:eastAsia="en-GB"/>
        </w:rPr>
        <w:t> </w:t>
      </w:r>
      <w:r w:rsidRPr="006E0076">
        <w:rPr>
          <w:lang w:val="fr-CH" w:eastAsia="en-GB"/>
        </w:rPr>
        <w:t>en élaborant</w:t>
      </w:r>
      <w:r w:rsidRPr="00AE63B3">
        <w:rPr>
          <w:lang w:val="fr-CH"/>
        </w:rPr>
        <w:t xml:space="preserve"> et </w:t>
      </w:r>
      <w:r w:rsidRPr="006E0076">
        <w:rPr>
          <w:lang w:val="fr-CH" w:eastAsia="en-GB"/>
        </w:rPr>
        <w:t>en mettant</w:t>
      </w:r>
      <w:r w:rsidRPr="00AE63B3">
        <w:rPr>
          <w:lang w:val="fr-CH"/>
        </w:rPr>
        <w:t xml:space="preserve"> en œuvre un plan de renforcement des capacités d</w:t>
      </w:r>
      <w:r w:rsidR="00F82D32">
        <w:rPr>
          <w:lang w:val="fr-CH"/>
        </w:rPr>
        <w:t>’</w:t>
      </w:r>
      <w:r w:rsidRPr="00AE63B3">
        <w:rPr>
          <w:lang w:val="fr-CH"/>
        </w:rPr>
        <w:t>intégration des questions d</w:t>
      </w:r>
      <w:r w:rsidR="00F82D32">
        <w:rPr>
          <w:lang w:val="fr-CH"/>
        </w:rPr>
        <w:t>’</w:t>
      </w:r>
      <w:r w:rsidRPr="00AE63B3">
        <w:rPr>
          <w:lang w:val="fr-CH"/>
        </w:rPr>
        <w:t>égalité des sexes</w:t>
      </w:r>
      <w:r w:rsidRPr="006E0076">
        <w:rPr>
          <w:lang w:val="fr-CH" w:eastAsia="en-GB"/>
        </w:rPr>
        <w:t xml:space="preserve">; </w:t>
      </w:r>
      <w:r w:rsidR="00BA6326" w:rsidRPr="006E0076">
        <w:rPr>
          <w:lang w:val="fr-CH" w:eastAsia="en-GB"/>
        </w:rPr>
        <w:t xml:space="preserve"> </w:t>
      </w:r>
      <w:r w:rsidRPr="006E0076">
        <w:rPr>
          <w:lang w:val="fr-CH" w:eastAsia="en-GB"/>
        </w:rPr>
        <w:t>iii)</w:t>
      </w:r>
      <w:r w:rsidR="00EE3460">
        <w:rPr>
          <w:lang w:val="fr-CH" w:eastAsia="en-GB"/>
        </w:rPr>
        <w:t> </w:t>
      </w:r>
      <w:r w:rsidRPr="006E0076">
        <w:rPr>
          <w:lang w:val="fr-CH" w:eastAsia="en-GB"/>
        </w:rPr>
        <w:t xml:space="preserve">en veillant à </w:t>
      </w:r>
      <w:r w:rsidRPr="00AE63B3">
        <w:rPr>
          <w:lang w:val="fr-CH"/>
        </w:rPr>
        <w:t xml:space="preserve">ce </w:t>
      </w:r>
      <w:r w:rsidRPr="006E0076">
        <w:rPr>
          <w:lang w:val="fr-CH" w:eastAsia="en-GB"/>
        </w:rPr>
        <w:t xml:space="preserve">que </w:t>
      </w:r>
      <w:r w:rsidRPr="00AE63B3">
        <w:rPr>
          <w:lang w:val="fr-CH"/>
        </w:rPr>
        <w:t xml:space="preserve">toute politique </w:t>
      </w:r>
      <w:r w:rsidRPr="006E0076">
        <w:rPr>
          <w:lang w:val="fr-CH" w:eastAsia="en-GB"/>
        </w:rPr>
        <w:t>ou</w:t>
      </w:r>
      <w:r w:rsidRPr="00AE63B3">
        <w:rPr>
          <w:lang w:val="fr-CH"/>
        </w:rPr>
        <w:t xml:space="preserve"> tout ordre de service tienne compte des préoccupations relatives à l</w:t>
      </w:r>
      <w:r w:rsidR="00F82D32">
        <w:rPr>
          <w:lang w:val="fr-CH"/>
        </w:rPr>
        <w:t>’</w:t>
      </w:r>
      <w:r w:rsidRPr="00AE63B3">
        <w:rPr>
          <w:lang w:val="fr-CH"/>
        </w:rPr>
        <w:t>égalité des sexes, le cas échéant;</w:t>
      </w:r>
      <w:r w:rsidRPr="006E0076">
        <w:rPr>
          <w:lang w:val="fr-CH" w:eastAsia="en-GB"/>
        </w:rPr>
        <w:t xml:space="preserve"> </w:t>
      </w:r>
      <w:r w:rsidR="00BA6326" w:rsidRPr="006E0076">
        <w:rPr>
          <w:lang w:val="fr-CH" w:eastAsia="en-GB"/>
        </w:rPr>
        <w:t xml:space="preserve"> </w:t>
      </w:r>
      <w:r w:rsidRPr="006E0076">
        <w:rPr>
          <w:lang w:val="fr-CH" w:eastAsia="en-GB"/>
        </w:rPr>
        <w:t>iv)</w:t>
      </w:r>
      <w:r w:rsidR="00EE3460">
        <w:rPr>
          <w:lang w:val="fr-CH"/>
        </w:rPr>
        <w:t> </w:t>
      </w:r>
      <w:r w:rsidRPr="006E0076">
        <w:rPr>
          <w:lang w:val="fr-CH" w:eastAsia="en-GB"/>
        </w:rPr>
        <w:t>en recensant</w:t>
      </w:r>
      <w:r w:rsidRPr="00AE63B3">
        <w:rPr>
          <w:lang w:val="fr-CH"/>
        </w:rPr>
        <w:t xml:space="preserve"> les moyens de mieux intégrer la question de l</w:t>
      </w:r>
      <w:r w:rsidR="00F82D32">
        <w:rPr>
          <w:lang w:val="fr-CH"/>
        </w:rPr>
        <w:t>’</w:t>
      </w:r>
      <w:r w:rsidRPr="00AE63B3">
        <w:rPr>
          <w:lang w:val="fr-CH"/>
        </w:rPr>
        <w:t xml:space="preserve">égalité des sexes dans le cadre de gestion axée sur les résultats; </w:t>
      </w:r>
      <w:r w:rsidR="00BA6326" w:rsidRPr="00AE63B3">
        <w:rPr>
          <w:lang w:val="fr-CH"/>
        </w:rPr>
        <w:t xml:space="preserve"> </w:t>
      </w:r>
      <w:r w:rsidRPr="006E0076">
        <w:rPr>
          <w:lang w:val="fr-CH" w:eastAsia="en-GB"/>
        </w:rPr>
        <w:t>v)</w:t>
      </w:r>
      <w:r w:rsidR="00EE3460">
        <w:rPr>
          <w:lang w:val="fr-CH"/>
        </w:rPr>
        <w:t> </w:t>
      </w:r>
      <w:r w:rsidRPr="006E0076">
        <w:rPr>
          <w:lang w:val="fr-CH" w:eastAsia="en-GB"/>
        </w:rPr>
        <w:t>en favorisant</w:t>
      </w:r>
      <w:r w:rsidRPr="00AE63B3">
        <w:rPr>
          <w:lang w:val="fr-CH"/>
        </w:rPr>
        <w:t xml:space="preserve"> l</w:t>
      </w:r>
      <w:r w:rsidR="00F82D32">
        <w:rPr>
          <w:lang w:val="fr-CH"/>
        </w:rPr>
        <w:t>’</w:t>
      </w:r>
      <w:r w:rsidRPr="00AE63B3">
        <w:rPr>
          <w:lang w:val="fr-CH"/>
        </w:rPr>
        <w:t>utilisation du marqueur de l</w:t>
      </w:r>
      <w:r w:rsidR="00F82D32">
        <w:rPr>
          <w:lang w:val="fr-CH"/>
        </w:rPr>
        <w:t>’</w:t>
      </w:r>
      <w:r w:rsidRPr="00AE63B3">
        <w:rPr>
          <w:lang w:val="fr-CH"/>
        </w:rPr>
        <w:t xml:space="preserve">égalité des sexes; </w:t>
      </w:r>
      <w:r w:rsidR="00BA6326" w:rsidRPr="00AE63B3">
        <w:rPr>
          <w:lang w:val="fr-CH"/>
        </w:rPr>
        <w:t xml:space="preserve"> </w:t>
      </w:r>
      <w:r w:rsidRPr="006E0076">
        <w:rPr>
          <w:lang w:val="fr-CH" w:eastAsia="en-GB"/>
        </w:rPr>
        <w:t>vi)</w:t>
      </w:r>
      <w:r w:rsidR="00EE3460">
        <w:rPr>
          <w:lang w:val="fr-CH"/>
        </w:rPr>
        <w:t> </w:t>
      </w:r>
      <w:r w:rsidRPr="006E0076">
        <w:rPr>
          <w:lang w:val="fr-CH" w:eastAsia="en-GB"/>
        </w:rPr>
        <w:t>en regroupant et en présentant</w:t>
      </w:r>
      <w:r w:rsidRPr="00AE63B3">
        <w:rPr>
          <w:lang w:val="fr-CH"/>
        </w:rPr>
        <w:t xml:space="preserve"> les données financières à l</w:t>
      </w:r>
      <w:r w:rsidR="00F82D32">
        <w:rPr>
          <w:lang w:val="fr-CH"/>
        </w:rPr>
        <w:t>’</w:t>
      </w:r>
      <w:r w:rsidRPr="00AE63B3">
        <w:rPr>
          <w:lang w:val="fr-CH"/>
        </w:rPr>
        <w:t>aune du marqueur de l</w:t>
      </w:r>
      <w:r w:rsidR="00F82D32">
        <w:rPr>
          <w:lang w:val="fr-CH"/>
        </w:rPr>
        <w:t>’</w:t>
      </w:r>
      <w:r w:rsidRPr="00AE63B3">
        <w:rPr>
          <w:lang w:val="fr-CH"/>
        </w:rPr>
        <w:t>égalité des sexes;</w:t>
      </w:r>
      <w:r w:rsidRPr="006E0076">
        <w:rPr>
          <w:lang w:val="fr-CH" w:eastAsia="en-GB"/>
        </w:rPr>
        <w:t xml:space="preserve"> </w:t>
      </w:r>
      <w:r w:rsidR="00BA6326" w:rsidRPr="006E0076">
        <w:rPr>
          <w:lang w:val="fr-CH" w:eastAsia="en-GB"/>
        </w:rPr>
        <w:t xml:space="preserve"> </w:t>
      </w:r>
      <w:r w:rsidRPr="006E0076">
        <w:rPr>
          <w:lang w:val="fr-CH" w:eastAsia="en-GB"/>
        </w:rPr>
        <w:t>vii)</w:t>
      </w:r>
      <w:r w:rsidR="00EE3460">
        <w:rPr>
          <w:lang w:val="fr-CH"/>
        </w:rPr>
        <w:t> </w:t>
      </w:r>
      <w:r w:rsidRPr="006E0076">
        <w:rPr>
          <w:lang w:val="fr-CH" w:eastAsia="en-GB"/>
        </w:rPr>
        <w:t>en actualisant</w:t>
      </w:r>
      <w:r w:rsidRPr="00AE63B3">
        <w:rPr>
          <w:lang w:val="fr-CH"/>
        </w:rPr>
        <w:t xml:space="preserve"> le mandat des coordonnateurs et coordonnatrices </w:t>
      </w:r>
      <w:r w:rsidRPr="006E0076">
        <w:rPr>
          <w:lang w:val="fr-CH" w:eastAsia="en-GB"/>
        </w:rPr>
        <w:t xml:space="preserve">et </w:t>
      </w:r>
      <w:r w:rsidR="00BA6326" w:rsidRPr="006E0076">
        <w:rPr>
          <w:lang w:val="fr-CH" w:eastAsia="en-GB"/>
        </w:rPr>
        <w:t>la</w:t>
      </w:r>
      <w:r w:rsidRPr="006E0076">
        <w:rPr>
          <w:lang w:val="fr-CH" w:eastAsia="en-GB"/>
        </w:rPr>
        <w:t xml:space="preserve"> collaboration</w:t>
      </w:r>
      <w:r w:rsidRPr="00AE63B3">
        <w:rPr>
          <w:lang w:val="fr-CH"/>
        </w:rPr>
        <w:t xml:space="preserve"> avec ces </w:t>
      </w:r>
      <w:r w:rsidRPr="006E0076">
        <w:rPr>
          <w:lang w:val="fr-CH" w:eastAsia="en-GB"/>
        </w:rPr>
        <w:t xml:space="preserve">personnes; </w:t>
      </w:r>
      <w:r w:rsidR="00BA6326" w:rsidRPr="006E0076">
        <w:rPr>
          <w:lang w:val="fr-CH" w:eastAsia="en-GB"/>
        </w:rPr>
        <w:t xml:space="preserve"> </w:t>
      </w:r>
      <w:r w:rsidR="00EF3A93">
        <w:rPr>
          <w:lang w:val="fr-CH" w:eastAsia="en-GB"/>
        </w:rPr>
        <w:t>et viii) </w:t>
      </w:r>
      <w:r w:rsidRPr="006E0076">
        <w:rPr>
          <w:lang w:val="fr-CH" w:eastAsia="en-GB"/>
        </w:rPr>
        <w:t>en évaluant</w:t>
      </w:r>
      <w:r w:rsidRPr="00AE63B3">
        <w:rPr>
          <w:lang w:val="fr-CH"/>
        </w:rPr>
        <w:t xml:space="preserve"> les besoins actuels et futurs</w:t>
      </w:r>
      <w:r w:rsidRPr="006E0076">
        <w:rPr>
          <w:lang w:val="fr-CH" w:eastAsia="en-GB"/>
        </w:rPr>
        <w:t xml:space="preserve"> en ressources humaines</w:t>
      </w:r>
      <w:r w:rsidRPr="00AE63B3">
        <w:rPr>
          <w:lang w:val="fr-CH"/>
        </w:rPr>
        <w:t xml:space="preserve"> pour appuyer efficacement l</w:t>
      </w:r>
      <w:r w:rsidR="00F82D32">
        <w:rPr>
          <w:lang w:val="fr-CH"/>
        </w:rPr>
        <w:t>’</w:t>
      </w:r>
      <w:r w:rsidRPr="00AE63B3">
        <w:rPr>
          <w:lang w:val="fr-CH"/>
        </w:rPr>
        <w:t>intégration de la question de l</w:t>
      </w:r>
      <w:r w:rsidR="00F82D32">
        <w:rPr>
          <w:lang w:val="fr-CH"/>
        </w:rPr>
        <w:t>’</w:t>
      </w:r>
      <w:r w:rsidRPr="00AE63B3">
        <w:rPr>
          <w:lang w:val="fr-CH"/>
        </w:rPr>
        <w:t>égalité des sexes dans les programmes et améliorer la diversité, l</w:t>
      </w:r>
      <w:r w:rsidR="00F82D32">
        <w:rPr>
          <w:lang w:val="fr-CH"/>
        </w:rPr>
        <w:t>’</w:t>
      </w:r>
      <w:r w:rsidRPr="00AE63B3">
        <w:rPr>
          <w:lang w:val="fr-CH"/>
        </w:rPr>
        <w:t xml:space="preserve">inclusion et la parité </w:t>
      </w:r>
      <w:r w:rsidRPr="006E0076">
        <w:rPr>
          <w:lang w:val="fr-CH" w:eastAsia="en-GB"/>
        </w:rPr>
        <w:t>hommes</w:t>
      </w:r>
      <w:r w:rsidR="007379C2">
        <w:rPr>
          <w:lang w:val="fr-CH" w:eastAsia="en-GB"/>
        </w:rPr>
        <w:noBreakHyphen/>
      </w:r>
      <w:r w:rsidRPr="00AE63B3">
        <w:rPr>
          <w:lang w:val="fr-CH"/>
        </w:rPr>
        <w:t>femmes au sein de l</w:t>
      </w:r>
      <w:r w:rsidR="00F82D32">
        <w:rPr>
          <w:lang w:val="fr-CH"/>
        </w:rPr>
        <w:t>’</w:t>
      </w:r>
      <w:r w:rsidRPr="00AE63B3">
        <w:rPr>
          <w:lang w:val="fr-CH"/>
        </w:rPr>
        <w:t>OMPI.</w:t>
      </w:r>
    </w:p>
    <w:p w14:paraId="727F93A6" w14:textId="36063811" w:rsidR="00C5485D" w:rsidRDefault="00117B9F" w:rsidP="00117B9F">
      <w:pPr>
        <w:pStyle w:val="Heading3"/>
      </w:pPr>
      <w:r w:rsidRPr="006E0076">
        <w:t>Évaluation des partenariats de l</w:t>
      </w:r>
      <w:r w:rsidR="00F82D32">
        <w:t>’</w:t>
      </w:r>
      <w:r w:rsidRPr="006E0076">
        <w:t>OMPI</w:t>
      </w:r>
    </w:p>
    <w:p w14:paraId="5A809036" w14:textId="6A162FC8" w:rsidR="00C5485D" w:rsidRDefault="003968A7" w:rsidP="003968A7">
      <w:pPr>
        <w:pStyle w:val="ONUMFS"/>
        <w:rPr>
          <w:lang w:val="fr-CH"/>
        </w:rPr>
      </w:pPr>
      <w:r w:rsidRPr="006E0076">
        <w:rPr>
          <w:lang w:val="fr-CH"/>
        </w:rPr>
        <w:t>Les partenariats de l</w:t>
      </w:r>
      <w:r w:rsidR="00F82D32">
        <w:rPr>
          <w:lang w:val="fr-CH"/>
        </w:rPr>
        <w:t>’</w:t>
      </w:r>
      <w:r w:rsidRPr="006E0076">
        <w:rPr>
          <w:lang w:val="fr-CH"/>
        </w:rPr>
        <w:t>OMPI sont essentiels pour soutenir les efforts déployés par l</w:t>
      </w:r>
      <w:r w:rsidR="00F82D32">
        <w:rPr>
          <w:lang w:val="fr-CH"/>
        </w:rPr>
        <w:t>’</w:t>
      </w:r>
      <w:r w:rsidRPr="006E0076">
        <w:rPr>
          <w:lang w:val="fr-CH"/>
        </w:rPr>
        <w:t>OMPI pour améliorer la capacité d</w:t>
      </w:r>
      <w:r w:rsidR="00F82D32">
        <w:rPr>
          <w:lang w:val="fr-CH"/>
        </w:rPr>
        <w:t>’</w:t>
      </w:r>
      <w:r w:rsidRPr="006E0076">
        <w:rPr>
          <w:lang w:val="fr-CH"/>
        </w:rPr>
        <w:t xml:space="preserve">innovation, échanger des informations et des outils, promouvoir la recherche et accroître la reconnaissance </w:t>
      </w:r>
      <w:r w:rsidR="00AE63B3">
        <w:rPr>
          <w:lang w:val="fr-CH"/>
        </w:rPr>
        <w:t>à l</w:t>
      </w:r>
      <w:r w:rsidR="00F82D32">
        <w:rPr>
          <w:lang w:val="fr-CH"/>
        </w:rPr>
        <w:t>’</w:t>
      </w:r>
      <w:r w:rsidR="00AE63B3">
        <w:rPr>
          <w:lang w:val="fr-CH"/>
        </w:rPr>
        <w:t>égard</w:t>
      </w:r>
      <w:r w:rsidRPr="006E0076">
        <w:rPr>
          <w:lang w:val="fr-CH"/>
        </w:rPr>
        <w:t xml:space="preserve"> du système de propriété intellectuelle, entre autr</w:t>
      </w:r>
      <w:r w:rsidR="00EF3A93" w:rsidRPr="006E0076">
        <w:rPr>
          <w:lang w:val="fr-CH"/>
        </w:rPr>
        <w:t>es</w:t>
      </w:r>
      <w:r w:rsidR="00EF3A93">
        <w:rPr>
          <w:lang w:val="fr-CH"/>
        </w:rPr>
        <w:t xml:space="preserve">.  </w:t>
      </w:r>
      <w:r w:rsidR="00EF3A93" w:rsidRPr="006E0076">
        <w:rPr>
          <w:lang w:val="fr-CH"/>
        </w:rPr>
        <w:t>Ce</w:t>
      </w:r>
      <w:r w:rsidRPr="006E0076">
        <w:rPr>
          <w:lang w:val="fr-CH"/>
        </w:rPr>
        <w:t>tte évaluation a été la première du genre à évaluer de manière indépendante les partenariats à l</w:t>
      </w:r>
      <w:r w:rsidR="00F82D32">
        <w:rPr>
          <w:lang w:val="fr-CH"/>
        </w:rPr>
        <w:t>’</w:t>
      </w:r>
      <w:r w:rsidRPr="006E0076">
        <w:rPr>
          <w:lang w:val="fr-CH"/>
        </w:rPr>
        <w:t>OMPI de manière transversa</w:t>
      </w:r>
      <w:r w:rsidR="00EF3A93" w:rsidRPr="006E0076">
        <w:rPr>
          <w:lang w:val="fr-CH"/>
        </w:rPr>
        <w:t>le</w:t>
      </w:r>
      <w:r w:rsidR="00EF3A93">
        <w:rPr>
          <w:lang w:val="fr-CH"/>
        </w:rPr>
        <w:t xml:space="preserve">.  </w:t>
      </w:r>
      <w:r w:rsidR="00EF3A93" w:rsidRPr="006E0076">
        <w:rPr>
          <w:lang w:val="fr-CH"/>
        </w:rPr>
        <w:t>El</w:t>
      </w:r>
      <w:r w:rsidRPr="006E0076">
        <w:rPr>
          <w:lang w:val="fr-CH"/>
        </w:rPr>
        <w:t>le s</w:t>
      </w:r>
      <w:r w:rsidR="00F82D32">
        <w:rPr>
          <w:lang w:val="fr-CH"/>
        </w:rPr>
        <w:t>’</w:t>
      </w:r>
      <w:r w:rsidRPr="006E0076">
        <w:rPr>
          <w:lang w:val="fr-CH"/>
        </w:rPr>
        <w:t>est tout d</w:t>
      </w:r>
      <w:r w:rsidR="00F82D32">
        <w:rPr>
          <w:lang w:val="fr-CH"/>
        </w:rPr>
        <w:t>’</w:t>
      </w:r>
      <w:r w:rsidRPr="006E0076">
        <w:rPr>
          <w:lang w:val="fr-CH"/>
        </w:rPr>
        <w:t>abord concentrée sur l</w:t>
      </w:r>
      <w:r w:rsidR="00F82D32">
        <w:rPr>
          <w:lang w:val="fr-CH"/>
        </w:rPr>
        <w:t>’</w:t>
      </w:r>
      <w:r w:rsidRPr="006E0076">
        <w:rPr>
          <w:lang w:val="fr-CH"/>
        </w:rPr>
        <w:t>ensemble des partenariats au niveau de l</w:t>
      </w:r>
      <w:r w:rsidR="00F82D32">
        <w:rPr>
          <w:lang w:val="fr-CH"/>
        </w:rPr>
        <w:t>’</w:t>
      </w:r>
      <w:r w:rsidRPr="006E0076">
        <w:rPr>
          <w:lang w:val="fr-CH"/>
        </w:rPr>
        <w:t>Organisation, puis a mis l</w:t>
      </w:r>
      <w:r w:rsidR="00F82D32">
        <w:rPr>
          <w:lang w:val="fr-CH"/>
        </w:rPr>
        <w:t>’</w:t>
      </w:r>
      <w:r w:rsidRPr="006E0076">
        <w:rPr>
          <w:lang w:val="fr-CH"/>
        </w:rPr>
        <w:t>accent mis sur un type précis de partenariats.</w:t>
      </w:r>
    </w:p>
    <w:p w14:paraId="7AEB6731" w14:textId="089B9AA6" w:rsidR="00C5485D" w:rsidRDefault="00FC00C8" w:rsidP="00AE63B3">
      <w:pPr>
        <w:pStyle w:val="ONUMFS"/>
      </w:pPr>
      <w:r w:rsidRPr="006E0076">
        <w:rPr>
          <w:lang w:val="fr-CH"/>
        </w:rPr>
        <w:t>Dans l</w:t>
      </w:r>
      <w:r w:rsidR="00F82D32">
        <w:rPr>
          <w:lang w:val="fr-CH"/>
        </w:rPr>
        <w:t>’</w:t>
      </w:r>
      <w:r w:rsidRPr="006E0076">
        <w:rPr>
          <w:lang w:val="fr-CH"/>
        </w:rPr>
        <w:t>ensemble, l</w:t>
      </w:r>
      <w:r w:rsidR="00F82D32">
        <w:rPr>
          <w:lang w:val="fr-CH"/>
        </w:rPr>
        <w:t>’</w:t>
      </w:r>
      <w:r w:rsidRPr="006E0076">
        <w:rPr>
          <w:lang w:val="fr-CH"/>
        </w:rPr>
        <w:t>évaluation a mis en lumière les contributions positives des partenariats aux niveaux organisationnel et stratégiq</w:t>
      </w:r>
      <w:r w:rsidR="00EF3A93" w:rsidRPr="006E0076">
        <w:rPr>
          <w:lang w:val="fr-CH"/>
        </w:rPr>
        <w:t>ue</w:t>
      </w:r>
      <w:r w:rsidR="00EF3A93">
        <w:rPr>
          <w:lang w:val="fr-CH"/>
        </w:rPr>
        <w:t xml:space="preserve">.  </w:t>
      </w:r>
      <w:r w:rsidR="00EF3A93" w:rsidRPr="006E0076">
        <w:rPr>
          <w:lang w:val="fr-CH"/>
        </w:rPr>
        <w:t>Pl</w:t>
      </w:r>
      <w:r w:rsidRPr="006E0076">
        <w:rPr>
          <w:lang w:val="fr-CH"/>
        </w:rPr>
        <w:t>us précisément, des</w:t>
      </w:r>
      <w:r w:rsidR="003968A7" w:rsidRPr="006E0076">
        <w:rPr>
          <w:lang w:val="fr-CH"/>
        </w:rPr>
        <w:t xml:space="preserve"> contributions </w:t>
      </w:r>
      <w:r w:rsidRPr="006E0076">
        <w:rPr>
          <w:lang w:val="fr-CH"/>
        </w:rPr>
        <w:t>ont été examinées</w:t>
      </w:r>
      <w:r w:rsidR="003968A7" w:rsidRPr="006E0076">
        <w:rPr>
          <w:lang w:val="fr-CH"/>
        </w:rPr>
        <w:t xml:space="preserve"> </w:t>
      </w:r>
      <w:r w:rsidRPr="006E0076">
        <w:rPr>
          <w:lang w:val="fr-CH"/>
        </w:rPr>
        <w:t>dans</w:t>
      </w:r>
      <w:r w:rsidR="003968A7" w:rsidRPr="006E0076">
        <w:rPr>
          <w:lang w:val="fr-CH"/>
        </w:rPr>
        <w:t xml:space="preserve"> </w:t>
      </w:r>
      <w:r w:rsidR="00117B9F" w:rsidRPr="006E0076">
        <w:t>la réalisation des objectifs stratégiques III, IV et VII</w:t>
      </w:r>
      <w:r w:rsidRPr="006E0076">
        <w:rPr>
          <w:rStyle w:val="FootnoteReference"/>
        </w:rPr>
        <w:footnoteReference w:id="8"/>
      </w:r>
      <w:r w:rsidR="00117B9F" w:rsidRPr="006E0076">
        <w:t>, notamment dans le cadre du Consortium pour des livres accessibles (ABC), de WIPO GREEN, de WIPO Re:Search, des centres d</w:t>
      </w:r>
      <w:r w:rsidR="00F82D32">
        <w:t>’</w:t>
      </w:r>
      <w:r w:rsidR="00117B9F" w:rsidRPr="006E0076">
        <w:t>appui à la technologie et à l</w:t>
      </w:r>
      <w:r w:rsidR="00F82D32">
        <w:t>’</w:t>
      </w:r>
      <w:r w:rsidR="00117B9F" w:rsidRPr="006E0076">
        <w:t>innovation (CATI) et de l</w:t>
      </w:r>
      <w:r w:rsidR="00F82D32">
        <w:t>’</w:t>
      </w:r>
      <w:r w:rsidR="00117B9F" w:rsidRPr="006E0076">
        <w:t>Académie de l</w:t>
      </w:r>
      <w:r w:rsidR="00F82D32">
        <w:t>’</w:t>
      </w:r>
      <w:r w:rsidR="00117B9F" w:rsidRPr="006E0076">
        <w:t>O</w:t>
      </w:r>
      <w:r w:rsidR="00EF3A93" w:rsidRPr="006E0076">
        <w:t>MPI</w:t>
      </w:r>
      <w:r w:rsidR="00EF3A93">
        <w:t xml:space="preserve">.  </w:t>
      </w:r>
      <w:r w:rsidR="00EF3A93" w:rsidRPr="006E0076">
        <w:t>To</w:t>
      </w:r>
      <w:r w:rsidR="00117B9F" w:rsidRPr="006E0076">
        <w:t>utefois, les indicateurs d</w:t>
      </w:r>
      <w:r w:rsidR="00F82D32">
        <w:t>’</w:t>
      </w:r>
      <w:r w:rsidR="00117B9F" w:rsidRPr="006E0076">
        <w:t xml:space="preserve">exécution concernant les partenariats se concentrent actuellement sur la productivité, ce qui ne permet pas de saisir pleinement les résultats à long terme et les effets involontaires </w:t>
      </w:r>
      <w:r w:rsidRPr="006E0076">
        <w:t>de ces</w:t>
      </w:r>
      <w:r w:rsidR="00117B9F" w:rsidRPr="006E0076">
        <w:t xml:space="preserve"> partenariats;</w:t>
      </w:r>
    </w:p>
    <w:p w14:paraId="1E26261D" w14:textId="7CAD4AC1" w:rsidR="00C5485D" w:rsidRDefault="00FC00C8" w:rsidP="00AE63B3">
      <w:pPr>
        <w:pStyle w:val="ONUMFS"/>
        <w:rPr>
          <w:lang w:val="fr-CH"/>
        </w:rPr>
      </w:pPr>
      <w:r w:rsidRPr="006E0076">
        <w:t>A</w:t>
      </w:r>
      <w:r w:rsidR="00117B9F" w:rsidRPr="006E0076">
        <w:t>lors que, par le passé, les partenariats étaient axés sur la collecte de fonds et l</w:t>
      </w:r>
      <w:r w:rsidR="00F82D32">
        <w:t>’</w:t>
      </w:r>
      <w:r w:rsidR="00117B9F" w:rsidRPr="006E0076">
        <w:t>exécution des programmes, ces 10 dernières années ont été marquées par des partenariats bien plus novateurs, dont un grand nombre incluent la</w:t>
      </w:r>
      <w:r w:rsidRPr="006E0076">
        <w:t xml:space="preserve"> participation du secteur pri</w:t>
      </w:r>
      <w:r w:rsidR="00EF3A93" w:rsidRPr="006E0076">
        <w:t>vé</w:t>
      </w:r>
      <w:r w:rsidR="00EF3A93">
        <w:t xml:space="preserve">.  </w:t>
      </w:r>
      <w:r w:rsidR="00EF3A93" w:rsidRPr="006E0076">
        <w:t>Co</w:t>
      </w:r>
      <w:r w:rsidRPr="006E0076">
        <w:t>ntrairement à d</w:t>
      </w:r>
      <w:r w:rsidR="00F82D32">
        <w:t>’</w:t>
      </w:r>
      <w:r w:rsidRPr="006E0076">
        <w:t xml:space="preserve">autres organisations du système des </w:t>
      </w:r>
      <w:r w:rsidR="00AE63B3">
        <w:t>Nations Unies</w:t>
      </w:r>
      <w:r w:rsidRPr="006E0076">
        <w:t xml:space="preserve"> (11)</w:t>
      </w:r>
      <w:r w:rsidRPr="006E0076">
        <w:rPr>
          <w:rStyle w:val="FootnoteReference"/>
        </w:rPr>
        <w:footnoteReference w:id="9"/>
      </w:r>
      <w:r w:rsidRPr="006E0076">
        <w:t>, l</w:t>
      </w:r>
      <w:r w:rsidR="00F82D32">
        <w:t>’</w:t>
      </w:r>
      <w:r w:rsidRPr="006E0076">
        <w:t>OMPI ne dispose pas d</w:t>
      </w:r>
      <w:r w:rsidR="00F82D32">
        <w:t>’</w:t>
      </w:r>
      <w:r w:rsidRPr="006E0076">
        <w:t>un ensemble commun de principes directeurs pour les partenariats, ni d</w:t>
      </w:r>
      <w:r w:rsidR="00F82D32">
        <w:t>’</w:t>
      </w:r>
      <w:r w:rsidRPr="006E0076">
        <w:t xml:space="preserve">aucun dénominateur </w:t>
      </w:r>
      <w:r w:rsidR="00794CE2" w:rsidRPr="006E0076">
        <w:t>ou</w:t>
      </w:r>
      <w:r w:rsidRPr="006E0076">
        <w:t xml:space="preserve"> définition comm</w:t>
      </w:r>
      <w:r w:rsidR="00EF3A93" w:rsidRPr="006E0076">
        <w:t>un</w:t>
      </w:r>
      <w:r w:rsidR="00EF3A93">
        <w:t xml:space="preserve">.  </w:t>
      </w:r>
      <w:r w:rsidR="00EF3A93" w:rsidRPr="006E0076">
        <w:rPr>
          <w:lang w:val="fr-CH"/>
        </w:rPr>
        <w:t>En</w:t>
      </w:r>
      <w:r w:rsidR="00794CE2" w:rsidRPr="006E0076">
        <w:rPr>
          <w:lang w:val="fr-CH"/>
        </w:rPr>
        <w:t xml:space="preserve"> outre, l</w:t>
      </w:r>
      <w:r w:rsidR="00F82D32">
        <w:rPr>
          <w:lang w:val="fr-CH"/>
        </w:rPr>
        <w:t>’</w:t>
      </w:r>
      <w:r w:rsidR="00794CE2" w:rsidRPr="006E0076">
        <w:rPr>
          <w:lang w:val="fr-CH"/>
        </w:rPr>
        <w:t>évaluation a révélé</w:t>
      </w:r>
      <w:r w:rsidR="00794CE2" w:rsidRPr="00AE63B3">
        <w:rPr>
          <w:lang w:val="fr-CH"/>
        </w:rPr>
        <w:t xml:space="preserve"> que </w:t>
      </w:r>
      <w:r w:rsidR="00794CE2" w:rsidRPr="006E0076">
        <w:rPr>
          <w:lang w:val="fr-CH"/>
        </w:rPr>
        <w:t xml:space="preserve">des améliorations étaient possibles dans les </w:t>
      </w:r>
      <w:r w:rsidR="00794CE2" w:rsidRPr="00AE63B3">
        <w:rPr>
          <w:lang w:val="fr-CH"/>
        </w:rPr>
        <w:t xml:space="preserve">orientations </w:t>
      </w:r>
      <w:r w:rsidR="00794CE2" w:rsidRPr="006E0076">
        <w:rPr>
          <w:lang w:val="fr-CH"/>
        </w:rPr>
        <w:t>données par l</w:t>
      </w:r>
      <w:r w:rsidR="00F82D32">
        <w:rPr>
          <w:lang w:val="fr-CH"/>
        </w:rPr>
        <w:t>’</w:t>
      </w:r>
      <w:r w:rsidR="00794CE2" w:rsidRPr="006E0076">
        <w:rPr>
          <w:lang w:val="fr-CH"/>
        </w:rPr>
        <w:t xml:space="preserve">OMPI </w:t>
      </w:r>
      <w:r w:rsidR="00794CE2" w:rsidRPr="00AE63B3">
        <w:rPr>
          <w:lang w:val="fr-CH"/>
        </w:rPr>
        <w:t>concernant les partenariats</w:t>
      </w:r>
      <w:r w:rsidR="00794CE2" w:rsidRPr="006E0076">
        <w:rPr>
          <w:lang w:val="fr-CH"/>
        </w:rPr>
        <w:t>, avec</w:t>
      </w:r>
      <w:r w:rsidR="00794CE2" w:rsidRPr="00AE63B3">
        <w:rPr>
          <w:lang w:val="fr-CH"/>
        </w:rPr>
        <w:t xml:space="preserve"> une distinction entre le travail de coopération ordinaire et les partenariats stratégiques, </w:t>
      </w:r>
      <w:r w:rsidR="00794CE2" w:rsidRPr="006E0076">
        <w:rPr>
          <w:lang w:val="fr-CH"/>
        </w:rPr>
        <w:t>ainsi que</w:t>
      </w:r>
      <w:r w:rsidR="00794CE2" w:rsidRPr="00AE63B3">
        <w:rPr>
          <w:lang w:val="fr-CH"/>
        </w:rPr>
        <w:t xml:space="preserve"> des paramètres opérationnels permettant de saisir l</w:t>
      </w:r>
      <w:r w:rsidR="00F82D32">
        <w:rPr>
          <w:lang w:val="fr-CH"/>
        </w:rPr>
        <w:t>’</w:t>
      </w:r>
      <w:r w:rsidR="00794CE2" w:rsidRPr="00AE63B3">
        <w:rPr>
          <w:lang w:val="fr-CH"/>
        </w:rPr>
        <w:t>incidence plus large des partenariats en tant que catégorie à part de mise en œuvre des activités qui comporte ses caractéristiques propres</w:t>
      </w:r>
      <w:r w:rsidR="00794CE2" w:rsidRPr="006E0076">
        <w:rPr>
          <w:lang w:val="fr-CH"/>
        </w:rPr>
        <w:t>.</w:t>
      </w:r>
    </w:p>
    <w:p w14:paraId="2B58709D" w14:textId="5C859861" w:rsidR="00C5485D" w:rsidRDefault="00794CE2" w:rsidP="00AE63B3">
      <w:pPr>
        <w:pStyle w:val="ONUMFS"/>
        <w:rPr>
          <w:lang w:val="fr-CH"/>
        </w:rPr>
      </w:pPr>
      <w:r w:rsidRPr="006E0076">
        <w:rPr>
          <w:lang w:val="fr-CH"/>
        </w:rPr>
        <w:t>L</w:t>
      </w:r>
      <w:r w:rsidR="00F82D32">
        <w:rPr>
          <w:lang w:val="fr-CH"/>
        </w:rPr>
        <w:t>’</w:t>
      </w:r>
      <w:r w:rsidRPr="006E0076">
        <w:rPr>
          <w:lang w:val="fr-CH"/>
        </w:rPr>
        <w:t>évaluation a permis de constater que le système de gestion de l</w:t>
      </w:r>
      <w:r w:rsidR="00F82D32">
        <w:rPr>
          <w:lang w:val="fr-CH"/>
        </w:rPr>
        <w:t>’</w:t>
      </w:r>
      <w:r w:rsidRPr="006E0076">
        <w:rPr>
          <w:lang w:val="fr-CH"/>
        </w:rPr>
        <w:t>information et des connaissances utilisé pour les partenariats devait être amélioré pour la majorité des partenariats, qui ne relèvent pas de la catégorie des fonds fiduciair</w:t>
      </w:r>
      <w:r w:rsidR="00EF3A93" w:rsidRPr="006E0076">
        <w:rPr>
          <w:lang w:val="fr-CH"/>
        </w:rPr>
        <w:t>es</w:t>
      </w:r>
      <w:r w:rsidR="00EF3A93">
        <w:rPr>
          <w:lang w:val="fr-CH"/>
        </w:rPr>
        <w:t xml:space="preserve">.  </w:t>
      </w:r>
      <w:r w:rsidR="00EF3A93" w:rsidRPr="006E0076">
        <w:rPr>
          <w:lang w:val="fr-CH"/>
        </w:rPr>
        <w:t>De</w:t>
      </w:r>
      <w:r w:rsidRPr="006E0076">
        <w:rPr>
          <w:lang w:val="fr-CH"/>
        </w:rPr>
        <w:t xml:space="preserve"> nombreux aspects des partenariats ne sont pas bien documentés au sein de l</w:t>
      </w:r>
      <w:r w:rsidR="00F82D32">
        <w:rPr>
          <w:lang w:val="fr-CH"/>
        </w:rPr>
        <w:t>’</w:t>
      </w:r>
      <w:r w:rsidRPr="006E0076">
        <w:rPr>
          <w:lang w:val="fr-CH"/>
        </w:rPr>
        <w:t xml:space="preserve">OMPI et, dans certains cas, aucune </w:t>
      </w:r>
      <w:r w:rsidRPr="006E0076">
        <w:rPr>
          <w:lang w:val="fr-CH"/>
        </w:rPr>
        <w:lastRenderedPageBreak/>
        <w:t>documentation officielle n</w:t>
      </w:r>
      <w:r w:rsidR="00F82D32">
        <w:rPr>
          <w:lang w:val="fr-CH"/>
        </w:rPr>
        <w:t>’</w:t>
      </w:r>
      <w:r w:rsidRPr="006E0076">
        <w:rPr>
          <w:lang w:val="fr-CH"/>
        </w:rPr>
        <w:t>existe en dehors des mémorandums d</w:t>
      </w:r>
      <w:r w:rsidR="00F82D32">
        <w:rPr>
          <w:lang w:val="fr-CH"/>
        </w:rPr>
        <w:t>’</w:t>
      </w:r>
      <w:r w:rsidRPr="006E0076">
        <w:rPr>
          <w:lang w:val="fr-CH"/>
        </w:rPr>
        <w:t>acco</w:t>
      </w:r>
      <w:r w:rsidR="00EF3A93" w:rsidRPr="006E0076">
        <w:rPr>
          <w:lang w:val="fr-CH"/>
        </w:rPr>
        <w:t>rd</w:t>
      </w:r>
      <w:r w:rsidR="00EF3A93">
        <w:rPr>
          <w:lang w:val="fr-CH"/>
        </w:rPr>
        <w:t xml:space="preserve">.  </w:t>
      </w:r>
      <w:r w:rsidR="00EF3A93" w:rsidRPr="006E0076">
        <w:rPr>
          <w:lang w:val="fr-CH"/>
        </w:rPr>
        <w:t>Le</w:t>
      </w:r>
      <w:r w:rsidRPr="006E0076">
        <w:rPr>
          <w:lang w:val="fr-CH"/>
        </w:rPr>
        <w:t>s exemples de réussite, les défis et les réalisations ne sont pas systématiquement enregistrés, ce qui limite les possibilités de tirer des enseignemen</w:t>
      </w:r>
      <w:r w:rsidR="00EF3A93" w:rsidRPr="006E0076">
        <w:rPr>
          <w:lang w:val="fr-CH"/>
        </w:rPr>
        <w:t>ts</w:t>
      </w:r>
      <w:r w:rsidR="00EF3A93">
        <w:rPr>
          <w:lang w:val="fr-CH"/>
        </w:rPr>
        <w:t xml:space="preserve">.  </w:t>
      </w:r>
      <w:r w:rsidR="00EF3A93" w:rsidRPr="006E0076">
        <w:rPr>
          <w:lang w:val="fr-CH"/>
        </w:rPr>
        <w:t>L</w:t>
      </w:r>
      <w:r w:rsidR="00F82D32">
        <w:rPr>
          <w:lang w:val="fr-CH"/>
        </w:rPr>
        <w:t>’</w:t>
      </w:r>
      <w:r w:rsidR="00EF3A93" w:rsidRPr="006E0076">
        <w:rPr>
          <w:lang w:val="fr-CH"/>
        </w:rPr>
        <w:t>é</w:t>
      </w:r>
      <w:r w:rsidRPr="006E0076">
        <w:rPr>
          <w:lang w:val="fr-CH"/>
        </w:rPr>
        <w:t>valuation a révélé un écart important concernant les systèmes de gestion des connaissances et de communication sur le thème des partenaria</w:t>
      </w:r>
      <w:r w:rsidR="00EF3A93" w:rsidRPr="006E0076">
        <w:rPr>
          <w:lang w:val="fr-CH"/>
        </w:rPr>
        <w:t>ts</w:t>
      </w:r>
      <w:r w:rsidR="00EF3A93">
        <w:rPr>
          <w:lang w:val="fr-CH"/>
        </w:rPr>
        <w:t xml:space="preserve">.  </w:t>
      </w:r>
      <w:r w:rsidR="00EF3A93" w:rsidRPr="006E0076">
        <w:rPr>
          <w:lang w:val="fr-CH"/>
        </w:rPr>
        <w:t>Ce</w:t>
      </w:r>
      <w:r w:rsidRPr="006E0076">
        <w:rPr>
          <w:lang w:val="fr-CH"/>
        </w:rPr>
        <w:t>s deux</w:t>
      </w:r>
      <w:r w:rsidR="00EE3460">
        <w:rPr>
          <w:lang w:val="fr-CH"/>
        </w:rPr>
        <w:t> </w:t>
      </w:r>
      <w:r w:rsidRPr="006E0076">
        <w:rPr>
          <w:lang w:val="fr-CH"/>
        </w:rPr>
        <w:t>aspects sont essentiels</w:t>
      </w:r>
      <w:r w:rsidRPr="00AE63B3">
        <w:rPr>
          <w:lang w:val="fr-CH"/>
        </w:rPr>
        <w:t xml:space="preserve"> pour favoriser le développement des partenariats, accroître leur efficacité et veiller à ce que l</w:t>
      </w:r>
      <w:r w:rsidR="00F82D32">
        <w:rPr>
          <w:lang w:val="fr-CH"/>
        </w:rPr>
        <w:t>’</w:t>
      </w:r>
      <w:r w:rsidRPr="00AE63B3">
        <w:rPr>
          <w:lang w:val="fr-CH"/>
        </w:rPr>
        <w:t>Organisation ne passe pas à côté de nouvelles possibilités de collaboration</w:t>
      </w:r>
      <w:r w:rsidR="002E224C" w:rsidRPr="00AE63B3">
        <w:rPr>
          <w:lang w:val="fr-CH"/>
        </w:rPr>
        <w:t>.</w:t>
      </w:r>
    </w:p>
    <w:p w14:paraId="3CBD417A" w14:textId="4F519588" w:rsidR="00C5485D" w:rsidRDefault="002E224C" w:rsidP="00AE63B3">
      <w:pPr>
        <w:pStyle w:val="ONUMFS"/>
        <w:rPr>
          <w:lang w:val="fr-CH"/>
        </w:rPr>
      </w:pPr>
      <w:r w:rsidRPr="006E0076">
        <w:rPr>
          <w:lang w:val="fr-CH"/>
        </w:rPr>
        <w:t>Le</w:t>
      </w:r>
      <w:r w:rsidRPr="00AE63B3">
        <w:rPr>
          <w:lang w:val="fr-CH"/>
        </w:rPr>
        <w:t xml:space="preserve"> rapport </w:t>
      </w:r>
      <w:r w:rsidRPr="006E0076">
        <w:rPr>
          <w:lang w:val="fr-CH"/>
        </w:rPr>
        <w:t>d</w:t>
      </w:r>
      <w:r w:rsidR="00F82D32">
        <w:rPr>
          <w:lang w:val="fr-CH"/>
        </w:rPr>
        <w:t>’</w:t>
      </w:r>
      <w:r w:rsidRPr="006E0076">
        <w:rPr>
          <w:lang w:val="fr-CH"/>
        </w:rPr>
        <w:t>évaluation recommande que</w:t>
      </w:r>
      <w:r w:rsidRPr="00AE63B3">
        <w:rPr>
          <w:lang w:val="fr-CH"/>
        </w:rPr>
        <w:t xml:space="preserve"> les secteurs et </w:t>
      </w:r>
      <w:r w:rsidRPr="006E0076">
        <w:rPr>
          <w:lang w:val="fr-CH"/>
        </w:rPr>
        <w:t xml:space="preserve">les </w:t>
      </w:r>
      <w:r w:rsidRPr="00AE63B3">
        <w:rPr>
          <w:lang w:val="fr-CH"/>
        </w:rPr>
        <w:t xml:space="preserve">programmes </w:t>
      </w:r>
      <w:r w:rsidRPr="006E0076">
        <w:rPr>
          <w:lang w:val="fr-CH"/>
        </w:rPr>
        <w:t>évalués développent</w:t>
      </w:r>
      <w:r w:rsidRPr="00AE63B3">
        <w:rPr>
          <w:lang w:val="fr-CH"/>
        </w:rPr>
        <w:t xml:space="preserve"> ou </w:t>
      </w:r>
      <w:r w:rsidRPr="006E0076">
        <w:rPr>
          <w:lang w:val="fr-CH"/>
        </w:rPr>
        <w:t>améliorent les aspects de leurs partenariats</w:t>
      </w:r>
      <w:r w:rsidR="00E65C55">
        <w:rPr>
          <w:lang w:val="fr-CH"/>
        </w:rPr>
        <w:t xml:space="preserve">, en définissant des </w:t>
      </w:r>
      <w:r w:rsidRPr="006E0076">
        <w:rPr>
          <w:lang w:val="fr-CH"/>
        </w:rPr>
        <w:t>objectifs clairs et réalistes, d</w:t>
      </w:r>
      <w:r w:rsidR="00E65C55">
        <w:rPr>
          <w:lang w:val="fr-CH"/>
        </w:rPr>
        <w:t xml:space="preserve">es </w:t>
      </w:r>
      <w:r w:rsidRPr="006E0076">
        <w:rPr>
          <w:lang w:val="fr-CH"/>
        </w:rPr>
        <w:t>accords</w:t>
      </w:r>
      <w:r w:rsidRPr="00AE63B3">
        <w:rPr>
          <w:lang w:val="fr-CH"/>
        </w:rPr>
        <w:t xml:space="preserve"> de partenariat </w:t>
      </w:r>
      <w:r w:rsidRPr="006E0076">
        <w:rPr>
          <w:lang w:val="fr-CH"/>
        </w:rPr>
        <w:t xml:space="preserve">précis, </w:t>
      </w:r>
      <w:r w:rsidR="00AE63B3">
        <w:rPr>
          <w:lang w:val="fr-CH"/>
        </w:rPr>
        <w:t>y compris</w:t>
      </w:r>
      <w:r w:rsidRPr="00AE63B3">
        <w:rPr>
          <w:lang w:val="fr-CH"/>
        </w:rPr>
        <w:t xml:space="preserve"> des mémorandums d</w:t>
      </w:r>
      <w:r w:rsidR="00F82D32">
        <w:rPr>
          <w:lang w:val="fr-CH"/>
        </w:rPr>
        <w:t>’</w:t>
      </w:r>
      <w:r w:rsidRPr="00AE63B3">
        <w:rPr>
          <w:lang w:val="fr-CH"/>
        </w:rPr>
        <w:t>accord</w:t>
      </w:r>
      <w:r w:rsidRPr="006E0076">
        <w:rPr>
          <w:lang w:val="fr-CH"/>
        </w:rPr>
        <w:t>, d</w:t>
      </w:r>
      <w:r w:rsidR="00E65C55">
        <w:rPr>
          <w:lang w:val="fr-CH"/>
        </w:rPr>
        <w:t xml:space="preserve">es </w:t>
      </w:r>
      <w:r w:rsidRPr="006E0076">
        <w:rPr>
          <w:lang w:val="fr-CH"/>
        </w:rPr>
        <w:t>accords</w:t>
      </w:r>
      <w:r w:rsidRPr="00AE63B3">
        <w:rPr>
          <w:lang w:val="fr-CH"/>
        </w:rPr>
        <w:t xml:space="preserve"> contractuels, </w:t>
      </w:r>
      <w:r w:rsidRPr="006E0076">
        <w:rPr>
          <w:lang w:val="fr-CH"/>
        </w:rPr>
        <w:t>et de</w:t>
      </w:r>
      <w:r w:rsidR="00E65C55">
        <w:rPr>
          <w:lang w:val="fr-CH"/>
        </w:rPr>
        <w:t>s</w:t>
      </w:r>
      <w:r w:rsidRPr="00AE63B3">
        <w:rPr>
          <w:lang w:val="fr-CH"/>
        </w:rPr>
        <w:t xml:space="preserve"> modalités d</w:t>
      </w:r>
      <w:r w:rsidR="00F82D32">
        <w:rPr>
          <w:lang w:val="fr-CH"/>
        </w:rPr>
        <w:t>’</w:t>
      </w:r>
      <w:r w:rsidRPr="00AE63B3">
        <w:rPr>
          <w:lang w:val="fr-CH"/>
        </w:rPr>
        <w:t>apprentissage, de suivi et de partage des connaissances dans le cadre des partenariats afin de répondre aux besoins de leurs programm</w:t>
      </w:r>
      <w:r w:rsidR="00EF3A93" w:rsidRPr="00AE63B3">
        <w:rPr>
          <w:lang w:val="fr-CH"/>
        </w:rPr>
        <w:t>es</w:t>
      </w:r>
      <w:r w:rsidR="00EF3A93">
        <w:rPr>
          <w:lang w:val="fr-CH"/>
        </w:rPr>
        <w:t xml:space="preserve">.  </w:t>
      </w:r>
      <w:r w:rsidR="00EF3A93" w:rsidRPr="006E0076">
        <w:rPr>
          <w:lang w:val="fr-CH"/>
        </w:rPr>
        <w:t>Ce</w:t>
      </w:r>
      <w:r w:rsidRPr="006E0076">
        <w:rPr>
          <w:lang w:val="fr-CH"/>
        </w:rPr>
        <w:t>s</w:t>
      </w:r>
      <w:r w:rsidRPr="00AE63B3">
        <w:rPr>
          <w:lang w:val="fr-CH"/>
        </w:rPr>
        <w:t xml:space="preserve"> secteurs et les programmes devraient utiliser le système de gestion des contenus de l</w:t>
      </w:r>
      <w:r w:rsidR="00F82D32">
        <w:rPr>
          <w:lang w:val="fr-CH"/>
        </w:rPr>
        <w:t>’</w:t>
      </w:r>
      <w:r w:rsidRPr="00AE63B3">
        <w:rPr>
          <w:lang w:val="fr-CH"/>
        </w:rPr>
        <w:t>Organisation (ECM) pour promouvoir l</w:t>
      </w:r>
      <w:r w:rsidR="00F82D32">
        <w:rPr>
          <w:lang w:val="fr-CH"/>
        </w:rPr>
        <w:t>’</w:t>
      </w:r>
      <w:r w:rsidRPr="00AE63B3">
        <w:rPr>
          <w:lang w:val="fr-CH"/>
        </w:rPr>
        <w:t>apprentissage et le partage des connaissances en y faisant figurer les accords de partenariat et les documents connexes, tels que les plans, les mémorandums d</w:t>
      </w:r>
      <w:r w:rsidR="00F82D32">
        <w:rPr>
          <w:lang w:val="fr-CH"/>
        </w:rPr>
        <w:t>’</w:t>
      </w:r>
      <w:r w:rsidRPr="00AE63B3">
        <w:rPr>
          <w:lang w:val="fr-CH"/>
        </w:rPr>
        <w:t>accord, les rapports, les données relatives à l</w:t>
      </w:r>
      <w:r w:rsidR="00F82D32">
        <w:rPr>
          <w:lang w:val="fr-CH"/>
        </w:rPr>
        <w:t>’</w:t>
      </w:r>
      <w:r w:rsidRPr="00AE63B3">
        <w:rPr>
          <w:lang w:val="fr-CH"/>
        </w:rPr>
        <w:t>exécution, les résultats obtenus et les enseignements tirés.</w:t>
      </w:r>
    </w:p>
    <w:p w14:paraId="7A73F70D" w14:textId="128F27D6" w:rsidR="00C5485D" w:rsidRDefault="00117B9F" w:rsidP="00117B9F">
      <w:pPr>
        <w:pStyle w:val="Heading2"/>
      </w:pPr>
      <w:bookmarkStart w:id="21" w:name="_Toc44428403"/>
      <w:bookmarkStart w:id="22" w:name="_Toc328920437"/>
      <w:r w:rsidRPr="0062410C">
        <w:t>Activités d</w:t>
      </w:r>
      <w:r w:rsidR="00F82D32">
        <w:t>’</w:t>
      </w:r>
      <w:r w:rsidRPr="0062410C">
        <w:t>enquête</w:t>
      </w:r>
      <w:bookmarkEnd w:id="21"/>
    </w:p>
    <w:p w14:paraId="2FF5913F" w14:textId="77777777" w:rsidR="00C5485D" w:rsidRDefault="00117B9F" w:rsidP="00117B9F">
      <w:pPr>
        <w:pStyle w:val="Heading3"/>
      </w:pPr>
      <w:r>
        <w:t>A</w:t>
      </w:r>
      <w:r w:rsidRPr="0062410C">
        <w:t>perçu des dossiers traités</w:t>
      </w:r>
    </w:p>
    <w:p w14:paraId="62A0DD2F" w14:textId="6AA90765" w:rsidR="00C5485D" w:rsidRDefault="00117B9F" w:rsidP="00117B9F">
      <w:pPr>
        <w:pStyle w:val="ONUMFS"/>
      </w:pPr>
      <w:r>
        <w:t>A</w:t>
      </w:r>
      <w:r w:rsidRPr="0062410C">
        <w:t>u cours de la période considérée, 17</w:t>
      </w:r>
      <w:r>
        <w:t> </w:t>
      </w:r>
      <w:r w:rsidRPr="0062410C">
        <w:t>nouveaux dossiers ont été enregistrés (ce qui représente une baisse de 47% par rapport à la précédente période considérée) et 20</w:t>
      </w:r>
      <w:r>
        <w:t> </w:t>
      </w:r>
      <w:r w:rsidRPr="0062410C">
        <w:t>dossiers ont été clôtur</w:t>
      </w:r>
      <w:r w:rsidR="00EF3A93" w:rsidRPr="0062410C">
        <w:t>és</w:t>
      </w:r>
      <w:r w:rsidR="00EF3A93">
        <w:t>.  Au</w:t>
      </w:r>
      <w:r>
        <w:t xml:space="preserve"> 31 décembre 2019, 11 dossiers étaient en cours d</w:t>
      </w:r>
      <w:r w:rsidR="00F82D32">
        <w:t>’</w:t>
      </w:r>
      <w:r>
        <w:t>enquête, dont cinq au stade de l</w:t>
      </w:r>
      <w:r w:rsidR="00F82D32">
        <w:t>’</w:t>
      </w:r>
      <w:r>
        <w:t xml:space="preserve">évaluation préliminaire, </w:t>
      </w:r>
      <w:r w:rsidR="00F3678E">
        <w:t>deux</w:t>
      </w:r>
      <w:r>
        <w:t> au stade de l</w:t>
      </w:r>
      <w:r w:rsidR="00F82D32">
        <w:t>’</w:t>
      </w:r>
      <w:r>
        <w:t>enquête complète et quatre en suspens du fait d</w:t>
      </w:r>
      <w:r w:rsidR="00F82D32">
        <w:t>’</w:t>
      </w:r>
      <w:r>
        <w:t>une procédure en cours menée par une autre enti</w:t>
      </w:r>
      <w:r w:rsidR="00EF3A93">
        <w:t>té.  Pa</w:t>
      </w:r>
      <w:r>
        <w:t>rmi les dossiers en cours, 10 ont été ouverts en 2019 et une en 2016.</w:t>
      </w:r>
      <w:r w:rsidRPr="0062410C">
        <w:t xml:space="preserve">  </w:t>
      </w:r>
      <w:r>
        <w:t>Au 31 décembre 2019, le délai moyen pour traiter un dossier était de 4,2 mois.</w:t>
      </w:r>
    </w:p>
    <w:p w14:paraId="7C14378A" w14:textId="7FA63949" w:rsidR="00C5485D" w:rsidRDefault="00BE305D" w:rsidP="00117B9F">
      <w:pPr>
        <w:pStyle w:val="Heading6"/>
      </w:pPr>
      <w:r>
        <w:t>Figure</w:t>
      </w:r>
      <w:r w:rsidR="006B6F89">
        <w:t> </w:t>
      </w:r>
      <w:r w:rsidR="00117B9F" w:rsidRPr="00117B9F">
        <w:t>1 – Analyse comparée des enquêtes – période du 30 juin 2017 au 31 décembre 2019</w:t>
      </w:r>
    </w:p>
    <w:p w14:paraId="73CAA3E9" w14:textId="346A501E" w:rsidR="007E2EBC" w:rsidRPr="007E2EBC" w:rsidRDefault="007E2EBC" w:rsidP="007E2EBC">
      <w:pPr>
        <w:pStyle w:val="ONUMFS"/>
        <w:numPr>
          <w:ilvl w:val="0"/>
          <w:numId w:val="0"/>
        </w:numPr>
        <w:jc w:val="center"/>
      </w:pPr>
      <w:r w:rsidRPr="007E2EBC">
        <w:rPr>
          <w:noProof/>
          <w:lang w:val="en-US" w:eastAsia="en-US"/>
        </w:rPr>
        <w:drawing>
          <wp:inline distT="0" distB="0" distL="0" distR="0" wp14:anchorId="2573388F" wp14:editId="6617D86B">
            <wp:extent cx="4404995" cy="3378200"/>
            <wp:effectExtent l="0" t="0" r="0" b="0"/>
            <wp:docPr id="10" name="Picture 10" descr="Analyse comparée des enquêtes – période du 30 juin 2017 au 31 décembre 2019" title="Analyse comparée des enquê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4995" cy="3378200"/>
                    </a:xfrm>
                    <a:prstGeom prst="rect">
                      <a:avLst/>
                    </a:prstGeom>
                    <a:noFill/>
                    <a:ln>
                      <a:noFill/>
                    </a:ln>
                  </pic:spPr>
                </pic:pic>
              </a:graphicData>
            </a:graphic>
          </wp:inline>
        </w:drawing>
      </w:r>
    </w:p>
    <w:p w14:paraId="2D431589" w14:textId="592E0EDD" w:rsidR="00C5485D" w:rsidRDefault="00117B9F" w:rsidP="007E2EBC">
      <w:pPr>
        <w:pStyle w:val="ONUMFS"/>
      </w:pPr>
      <w:r w:rsidRPr="00C050EF">
        <w:lastRenderedPageBreak/>
        <w:t>Parmi les 17</w:t>
      </w:r>
      <w:r>
        <w:t> </w:t>
      </w:r>
      <w:r w:rsidRPr="00C050EF">
        <w:t>dossiers ouverts au cours de la période considérée, aucun n</w:t>
      </w:r>
      <w:r w:rsidR="00F82D32">
        <w:t>’</w:t>
      </w:r>
      <w:r w:rsidRPr="00C050EF">
        <w:t>a été transmis à l</w:t>
      </w:r>
      <w:r w:rsidR="00F82D32">
        <w:t>’</w:t>
      </w:r>
      <w:r w:rsidRPr="00C050EF">
        <w:t xml:space="preserve">OCIS en vue de recueillir son avis, </w:t>
      </w:r>
      <w:r w:rsidR="00E65C55">
        <w:t>étant donné qu</w:t>
      </w:r>
      <w:r w:rsidR="00F82D32">
        <w:t>’</w:t>
      </w:r>
      <w:r w:rsidR="00E65C55">
        <w:t xml:space="preserve">ils ne </w:t>
      </w:r>
      <w:r w:rsidR="00BE305D">
        <w:t xml:space="preserve">mettaient pas en jeu </w:t>
      </w:r>
      <w:r w:rsidR="00E65C55">
        <w:t xml:space="preserve">les </w:t>
      </w:r>
      <w:r w:rsidRPr="00C050EF">
        <w:t xml:space="preserve">dispositions </w:t>
      </w:r>
      <w:r w:rsidR="00E65C55">
        <w:t xml:space="preserve">correspondantes </w:t>
      </w:r>
      <w:r w:rsidRPr="00C050EF">
        <w:t>de la Charte de la supervision interne</w:t>
      </w:r>
      <w:r>
        <w:rPr>
          <w:rStyle w:val="FootnoteReference"/>
        </w:rPr>
        <w:footnoteReference w:id="10"/>
      </w:r>
      <w:r w:rsidRPr="00C050EF">
        <w:t>.</w:t>
      </w:r>
    </w:p>
    <w:p w14:paraId="246F9C83" w14:textId="0D20C761" w:rsidR="00C5485D" w:rsidRDefault="00117B9F" w:rsidP="00117B9F">
      <w:pPr>
        <w:pStyle w:val="Heading3"/>
      </w:pPr>
      <w:r>
        <w:t>Résultats des activités d</w:t>
      </w:r>
      <w:r w:rsidR="00F82D32">
        <w:t>’</w:t>
      </w:r>
      <w:r>
        <w:t>enquête</w:t>
      </w:r>
    </w:p>
    <w:p w14:paraId="2A9E0ACE" w14:textId="6C87275B" w:rsidR="00C5485D" w:rsidRDefault="00117B9F" w:rsidP="00117B9F">
      <w:pPr>
        <w:pStyle w:val="ONUMFS"/>
      </w:pPr>
      <w:r w:rsidRPr="009C12D4">
        <w:t>Conformément à la Charte de la supervision interne</w:t>
      </w:r>
      <w:r w:rsidR="000850A9">
        <w:rPr>
          <w:rStyle w:val="FootnoteReference"/>
        </w:rPr>
        <w:footnoteReference w:id="11"/>
      </w:r>
      <w:r w:rsidRPr="009C12D4">
        <w:t>, le rapport annuel contient une description des enquêtes sur les dossiers considérés comme fondés, ainsi que de leur iss</w:t>
      </w:r>
      <w:r w:rsidR="00EF3A93" w:rsidRPr="009C12D4">
        <w:t>ue</w:t>
      </w:r>
      <w:r w:rsidR="00EF3A93">
        <w:t>.  Se</w:t>
      </w:r>
      <w:r>
        <w:t>lon la DSI, huit des dossiers ayant fait l</w:t>
      </w:r>
      <w:r w:rsidR="00F82D32">
        <w:t>’</w:t>
      </w:r>
      <w:r>
        <w:t>objet d</w:t>
      </w:r>
      <w:r w:rsidR="00F82D32">
        <w:t>’</w:t>
      </w:r>
      <w:r>
        <w:t>une enquête contenaient des allégations fondé</w:t>
      </w:r>
      <w:r w:rsidR="00EF3A93">
        <w:t>es.  Su</w:t>
      </w:r>
      <w:r>
        <w:t>r ces huit dossiers</w:t>
      </w:r>
      <w:r w:rsidR="00AE63B3">
        <w:t> :</w:t>
      </w:r>
    </w:p>
    <w:p w14:paraId="0DE23247" w14:textId="77777777" w:rsidR="00C5485D" w:rsidRDefault="00117B9F" w:rsidP="00117B9F">
      <w:pPr>
        <w:pStyle w:val="ONUMFS"/>
        <w:numPr>
          <w:ilvl w:val="1"/>
          <w:numId w:val="15"/>
        </w:numPr>
      </w:pPr>
      <w:r>
        <w:t>un dossier portait sur des allégations de représailles;</w:t>
      </w:r>
    </w:p>
    <w:p w14:paraId="1D24640F" w14:textId="77777777" w:rsidR="00C5485D" w:rsidRDefault="00117B9F" w:rsidP="00117B9F">
      <w:pPr>
        <w:pStyle w:val="ONUMFS"/>
        <w:numPr>
          <w:ilvl w:val="1"/>
          <w:numId w:val="15"/>
        </w:numPr>
      </w:pPr>
      <w:r>
        <w:t>deux dossiers concernaient des allégations faites par un fonctionnaire au sujet du temps passé au travail;</w:t>
      </w:r>
    </w:p>
    <w:p w14:paraId="0657BC96" w14:textId="77777777" w:rsidR="00C5485D" w:rsidRDefault="00117B9F" w:rsidP="00117B9F">
      <w:pPr>
        <w:pStyle w:val="ONUMFS"/>
        <w:numPr>
          <w:ilvl w:val="1"/>
          <w:numId w:val="15"/>
        </w:numPr>
      </w:pPr>
      <w:r w:rsidRPr="009C12D4">
        <w:t>deux concernaient des activités non autorisées hors du cadre des activités professionnelles par un membre du personnel;</w:t>
      </w:r>
    </w:p>
    <w:p w14:paraId="36DCB3AB" w14:textId="7B387C30" w:rsidR="00C5485D" w:rsidRDefault="00117B9F" w:rsidP="00117B9F">
      <w:pPr>
        <w:pStyle w:val="ONUMFS"/>
        <w:numPr>
          <w:ilvl w:val="1"/>
          <w:numId w:val="15"/>
        </w:numPr>
      </w:pPr>
      <w:r w:rsidRPr="009C12D4">
        <w:t>un dossier portait sur des allégations d</w:t>
      </w:r>
      <w:r w:rsidR="00F82D32">
        <w:t>’</w:t>
      </w:r>
      <w:r w:rsidRPr="009C12D4">
        <w:t>irrégularités commises par un candidat au recrutement;</w:t>
      </w:r>
    </w:p>
    <w:p w14:paraId="3D88BAF0" w14:textId="77777777" w:rsidR="00C5485D" w:rsidRDefault="00117B9F" w:rsidP="00117B9F">
      <w:pPr>
        <w:pStyle w:val="ONUMFS"/>
        <w:numPr>
          <w:ilvl w:val="1"/>
          <w:numId w:val="15"/>
        </w:numPr>
      </w:pPr>
      <w:r w:rsidRPr="009C12D4">
        <w:t xml:space="preserve">un dossier concernait des actes de harcèlement ou abus de position par un fonctionnaire; </w:t>
      </w:r>
      <w:r>
        <w:t xml:space="preserve"> </w:t>
      </w:r>
      <w:r w:rsidRPr="009C12D4">
        <w:t>et</w:t>
      </w:r>
    </w:p>
    <w:p w14:paraId="41BE1DC0" w14:textId="77777777" w:rsidR="00C5485D" w:rsidRDefault="00117B9F" w:rsidP="00117B9F">
      <w:pPr>
        <w:pStyle w:val="ONUMFS"/>
        <w:numPr>
          <w:ilvl w:val="1"/>
          <w:numId w:val="15"/>
        </w:numPr>
      </w:pPr>
      <w:r w:rsidRPr="009C12D4">
        <w:t>un dossier concernait un cas de harcèlement présumé sur le lieu de travail.</w:t>
      </w:r>
    </w:p>
    <w:p w14:paraId="43FCF55B" w14:textId="396D6CF1" w:rsidR="00C5485D" w:rsidRDefault="00117B9F" w:rsidP="00AE63B3">
      <w:pPr>
        <w:pStyle w:val="ONUMFS"/>
        <w:keepNext/>
      </w:pPr>
      <w:r w:rsidRPr="009C12D4">
        <w:t>Après la publication des rapports d</w:t>
      </w:r>
      <w:r w:rsidR="00F82D32">
        <w:t>’</w:t>
      </w:r>
      <w:r w:rsidRPr="009C12D4">
        <w:t>enquête établissant l</w:t>
      </w:r>
      <w:r w:rsidR="00F82D32">
        <w:t>’</w:t>
      </w:r>
      <w:r w:rsidRPr="009C12D4">
        <w:t>existence d</w:t>
      </w:r>
      <w:r w:rsidR="00F82D32">
        <w:t>’</w:t>
      </w:r>
      <w:r w:rsidRPr="009C12D4">
        <w:t>une faute</w:t>
      </w:r>
      <w:r w:rsidR="00AE63B3">
        <w:t> :</w:t>
      </w:r>
    </w:p>
    <w:p w14:paraId="4DED86A9" w14:textId="327D88CA" w:rsidR="00C5485D" w:rsidRDefault="00117B9F" w:rsidP="00117B9F">
      <w:pPr>
        <w:pStyle w:val="ONUMFS"/>
        <w:numPr>
          <w:ilvl w:val="1"/>
          <w:numId w:val="15"/>
        </w:numPr>
      </w:pPr>
      <w:r>
        <w:t>d</w:t>
      </w:r>
      <w:r w:rsidRPr="009C12D4">
        <w:t>ans deux</w:t>
      </w:r>
      <w:r>
        <w:t> </w:t>
      </w:r>
      <w:r w:rsidRPr="009C12D4">
        <w:t>cas, le fonctionnaire a été renvoyé de l</w:t>
      </w:r>
      <w:r w:rsidR="00F82D32">
        <w:t>’</w:t>
      </w:r>
      <w:r w:rsidRPr="009C12D4">
        <w:t>Organisation;</w:t>
      </w:r>
    </w:p>
    <w:p w14:paraId="27D4E10F" w14:textId="77777777" w:rsidR="00C5485D" w:rsidRDefault="00117B9F" w:rsidP="00117B9F">
      <w:pPr>
        <w:pStyle w:val="ONUMFS"/>
        <w:numPr>
          <w:ilvl w:val="1"/>
          <w:numId w:val="15"/>
        </w:numPr>
      </w:pPr>
      <w:r>
        <w:t>d</w:t>
      </w:r>
      <w:r w:rsidRPr="009C12D4">
        <w:t>ans un cas, le fonctionnaire a été rétrogradé;</w:t>
      </w:r>
    </w:p>
    <w:p w14:paraId="77951FB7" w14:textId="27016D88" w:rsidR="00C5485D" w:rsidRDefault="00117B9F" w:rsidP="00117B9F">
      <w:pPr>
        <w:pStyle w:val="ONUMFS"/>
        <w:numPr>
          <w:ilvl w:val="1"/>
          <w:numId w:val="15"/>
        </w:numPr>
      </w:pPr>
      <w:r>
        <w:t>d</w:t>
      </w:r>
      <w:r w:rsidRPr="009C12D4">
        <w:t>ans un cas, la direction a décidé de ne pas engager de procédure disciplinaire à l</w:t>
      </w:r>
      <w:r w:rsidR="00F82D32">
        <w:t>’</w:t>
      </w:r>
      <w:r w:rsidRPr="009C12D4">
        <w:t>encontre du fonctionnaire;</w:t>
      </w:r>
    </w:p>
    <w:p w14:paraId="12C8C180" w14:textId="07E1C740" w:rsidR="00C5485D" w:rsidRDefault="00117B9F" w:rsidP="00117B9F">
      <w:pPr>
        <w:pStyle w:val="ONUMFS"/>
        <w:numPr>
          <w:ilvl w:val="1"/>
          <w:numId w:val="15"/>
        </w:numPr>
      </w:pPr>
      <w:r w:rsidRPr="009C12D4">
        <w:t>dans un cas, la procédure disciplinaire n</w:t>
      </w:r>
      <w:r w:rsidR="00F82D32">
        <w:t>’</w:t>
      </w:r>
      <w:r w:rsidRPr="009C12D4">
        <w:t>a pas été possible</w:t>
      </w:r>
      <w:r>
        <w:t>,</w:t>
      </w:r>
      <w:r w:rsidRPr="009C12D4">
        <w:t xml:space="preserve"> car le fonctionnaire concerné avait quitté l</w:t>
      </w:r>
      <w:r w:rsidR="00F82D32">
        <w:t>’</w:t>
      </w:r>
      <w:r w:rsidRPr="009C12D4">
        <w:t xml:space="preserve">Organisation; </w:t>
      </w:r>
      <w:r>
        <w:t xml:space="preserve"> </w:t>
      </w:r>
      <w:r w:rsidRPr="009C12D4">
        <w:t>et</w:t>
      </w:r>
    </w:p>
    <w:p w14:paraId="288594C2" w14:textId="188AE7F9" w:rsidR="00C5485D" w:rsidRDefault="00117B9F" w:rsidP="00117B9F">
      <w:pPr>
        <w:pStyle w:val="ONUMFS"/>
        <w:numPr>
          <w:ilvl w:val="1"/>
          <w:numId w:val="15"/>
        </w:numPr>
      </w:pPr>
      <w:r w:rsidRPr="00E67012">
        <w:t>dans trois</w:t>
      </w:r>
      <w:r>
        <w:t> </w:t>
      </w:r>
      <w:r w:rsidRPr="00E67012">
        <w:t>cas, la direction n</w:t>
      </w:r>
      <w:r w:rsidR="00F82D32">
        <w:t>’</w:t>
      </w:r>
      <w:r w:rsidRPr="00E67012">
        <w:t>avait pas encore rendu sa décision définitive au 31</w:t>
      </w:r>
      <w:r>
        <w:t> </w:t>
      </w:r>
      <w:r w:rsidRPr="00E67012">
        <w:t>décembre</w:t>
      </w:r>
      <w:r>
        <w:t> </w:t>
      </w:r>
      <w:r w:rsidRPr="00E67012">
        <w:t>2019.</w:t>
      </w:r>
    </w:p>
    <w:p w14:paraId="0B44DED6" w14:textId="7184E252" w:rsidR="00C5485D" w:rsidRDefault="00117B9F" w:rsidP="00117B9F">
      <w:pPr>
        <w:pStyle w:val="ONUMFS"/>
      </w:pPr>
      <w:bookmarkStart w:id="23" w:name="_Ref10466696"/>
      <w:r w:rsidRPr="00E67012">
        <w:t>En outre, les activités d</w:t>
      </w:r>
      <w:r w:rsidR="00F82D32">
        <w:t>’</w:t>
      </w:r>
      <w:r w:rsidRPr="00E67012">
        <w:t>enquête menées ont permis à la</w:t>
      </w:r>
      <w:r>
        <w:t> </w:t>
      </w:r>
      <w:r w:rsidRPr="00E67012">
        <w:t>DSI de tirer quelques enseignemen</w:t>
      </w:r>
      <w:r w:rsidR="00EF3A93" w:rsidRPr="00E67012">
        <w:t>ts</w:t>
      </w:r>
      <w:r w:rsidR="00EF3A93">
        <w:t>.  Au</w:t>
      </w:r>
      <w:r>
        <w:t xml:space="preserve"> cours de la période considérée, trois rapports à l</w:t>
      </w:r>
      <w:r w:rsidR="00F82D32">
        <w:t>’</w:t>
      </w:r>
      <w:r>
        <w:t>intention de la direction ont été publiés contenant des recommandations sur les systèmes de gestion des demandes des clients, les procédures de passation de marchés et le contrôle des accès physiques.</w:t>
      </w:r>
    </w:p>
    <w:bookmarkEnd w:id="23"/>
    <w:p w14:paraId="74A89CD4" w14:textId="77777777" w:rsidR="00C5485D" w:rsidRDefault="00117B9F" w:rsidP="00117B9F">
      <w:pPr>
        <w:pStyle w:val="ONUMFS"/>
      </w:pPr>
      <w:r w:rsidRPr="005250A8">
        <w:t>Une analyse comparée des dossiers enregistrés pendant la période allant du</w:t>
      </w:r>
      <w:r w:rsidR="00AE63B3">
        <w:t xml:space="preserve"> 1</w:t>
      </w:r>
      <w:r w:rsidR="00AE63B3" w:rsidRPr="00AE63B3">
        <w:rPr>
          <w:vertAlign w:val="superscript"/>
        </w:rPr>
        <w:t>er</w:t>
      </w:r>
      <w:r w:rsidR="00AE63B3">
        <w:t> </w:t>
      </w:r>
      <w:r w:rsidRPr="005250A8">
        <w:t>juillet</w:t>
      </w:r>
      <w:r>
        <w:t> </w:t>
      </w:r>
      <w:r w:rsidRPr="005250A8">
        <w:t>2017 au 31</w:t>
      </w:r>
      <w:r>
        <w:t> </w:t>
      </w:r>
      <w:r w:rsidRPr="005250A8">
        <w:t>décembre</w:t>
      </w:r>
      <w:r>
        <w:t> </w:t>
      </w:r>
      <w:r w:rsidRPr="005250A8">
        <w:t>2019 est présentée dans le tableau ci</w:t>
      </w:r>
      <w:r w:rsidR="007379C2">
        <w:noBreakHyphen/>
      </w:r>
      <w:r w:rsidRPr="005250A8">
        <w:t>dessous</w:t>
      </w:r>
      <w:r w:rsidR="00AE63B3">
        <w:t> :</w:t>
      </w:r>
    </w:p>
    <w:p w14:paraId="1695898F" w14:textId="77777777" w:rsidR="00C5485D" w:rsidRDefault="00117B9F" w:rsidP="00117B9F">
      <w:pPr>
        <w:pStyle w:val="Heading6"/>
      </w:pPr>
      <w:r w:rsidRPr="005250A8">
        <w:lastRenderedPageBreak/>
        <w:t>Tableau</w:t>
      </w:r>
      <w:r>
        <w:t> </w:t>
      </w:r>
      <w:r w:rsidRPr="005250A8">
        <w:t>1 – Analyse des plaintes reçues entre le</w:t>
      </w:r>
      <w:r w:rsidR="00AE63B3">
        <w:t xml:space="preserve"> 1</w:t>
      </w:r>
      <w:r w:rsidR="00AE63B3" w:rsidRPr="00AE63B3">
        <w:rPr>
          <w:vertAlign w:val="superscript"/>
        </w:rPr>
        <w:t>er</w:t>
      </w:r>
      <w:r w:rsidR="00AE63B3">
        <w:t> </w:t>
      </w:r>
      <w:r w:rsidRPr="005250A8">
        <w:t>juillet</w:t>
      </w:r>
      <w:r>
        <w:t> </w:t>
      </w:r>
      <w:r w:rsidRPr="005250A8">
        <w:t>2017 et le 31</w:t>
      </w:r>
      <w:r>
        <w:t> </w:t>
      </w:r>
      <w:r w:rsidRPr="005250A8">
        <w:t>décembre</w:t>
      </w:r>
      <w:r>
        <w:t> </w:t>
      </w:r>
      <w:r w:rsidRPr="005250A8">
        <w:t>2019</w:t>
      </w:r>
    </w:p>
    <w:p w14:paraId="6312F172" w14:textId="36B7D385" w:rsidR="00C5485D" w:rsidRDefault="00F40866" w:rsidP="00AE63B3">
      <w:pPr>
        <w:pStyle w:val="Heading6"/>
        <w:keepNext w:val="0"/>
        <w:rPr>
          <w:noProof/>
          <w:lang w:eastAsia="en-US"/>
        </w:rPr>
      </w:pPr>
      <w:r w:rsidRPr="00F40866">
        <w:rPr>
          <w:noProof/>
          <w:lang w:val="en-US" w:eastAsia="en-US"/>
        </w:rPr>
        <w:drawing>
          <wp:inline distT="0" distB="0" distL="0" distR="0" wp14:anchorId="0318D692" wp14:editId="7459261A">
            <wp:extent cx="5941060" cy="2901737"/>
            <wp:effectExtent l="0" t="0" r="2540" b="0"/>
            <wp:docPr id="7" name="Picture 7" descr="Analyse des plaintes reçues entre le 1er juillet 2017 et le 31 décembre 2019" title="Tableau 1 - Analyse des plaintes reç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2901737"/>
                    </a:xfrm>
                    <a:prstGeom prst="rect">
                      <a:avLst/>
                    </a:prstGeom>
                    <a:noFill/>
                    <a:ln>
                      <a:noFill/>
                    </a:ln>
                  </pic:spPr>
                </pic:pic>
              </a:graphicData>
            </a:graphic>
          </wp:inline>
        </w:drawing>
      </w:r>
    </w:p>
    <w:p w14:paraId="7C92C2E5" w14:textId="70E673FE" w:rsidR="00C5485D" w:rsidRDefault="00BE305D" w:rsidP="00D34D90">
      <w:pPr>
        <w:pStyle w:val="Heading6"/>
      </w:pPr>
      <w:r>
        <w:t>Figure</w:t>
      </w:r>
      <w:r w:rsidR="00117B9F">
        <w:t> </w:t>
      </w:r>
      <w:r w:rsidR="00117B9F" w:rsidRPr="005250A8">
        <w:t>2 – Affaires classées entre le</w:t>
      </w:r>
      <w:r w:rsidR="00AE63B3">
        <w:t xml:space="preserve"> 1</w:t>
      </w:r>
      <w:r w:rsidR="00AE63B3" w:rsidRPr="00AE63B3">
        <w:rPr>
          <w:vertAlign w:val="superscript"/>
        </w:rPr>
        <w:t>er</w:t>
      </w:r>
      <w:r w:rsidR="00AE63B3">
        <w:t> </w:t>
      </w:r>
      <w:r w:rsidR="00117B9F" w:rsidRPr="005250A8">
        <w:t>juillet</w:t>
      </w:r>
      <w:r w:rsidR="00117B9F">
        <w:t> </w:t>
      </w:r>
      <w:r w:rsidR="00117B9F" w:rsidRPr="005250A8">
        <w:t>2017 et le 31</w:t>
      </w:r>
      <w:r w:rsidR="00117B9F">
        <w:t> </w:t>
      </w:r>
      <w:r w:rsidR="00117B9F" w:rsidRPr="005250A8">
        <w:t>décembre</w:t>
      </w:r>
      <w:r w:rsidR="00117B9F">
        <w:t> </w:t>
      </w:r>
      <w:r w:rsidR="00117B9F" w:rsidRPr="005250A8">
        <w:t>2019</w:t>
      </w:r>
    </w:p>
    <w:p w14:paraId="6798B581" w14:textId="1BC35A29" w:rsidR="00C5485D" w:rsidRDefault="00F40866" w:rsidP="005F4507">
      <w:pPr>
        <w:pStyle w:val="Heading6"/>
      </w:pPr>
      <w:r w:rsidRPr="00F40866">
        <w:rPr>
          <w:noProof/>
          <w:lang w:val="en-US" w:eastAsia="en-US"/>
        </w:rPr>
        <w:drawing>
          <wp:inline distT="0" distB="0" distL="0" distR="0" wp14:anchorId="3B08C043" wp14:editId="77BD7F7F">
            <wp:extent cx="4671695" cy="2826385"/>
            <wp:effectExtent l="0" t="0" r="0" b="0"/>
            <wp:docPr id="8" name="Picture 8" descr="Affaires classées entre le 1er juillet 2017 et le 31 décembre 2019" title="Figure 2 - Affaires classées entre le 1er juillet 2017 et le 31 décemb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1695" cy="2826385"/>
                    </a:xfrm>
                    <a:prstGeom prst="rect">
                      <a:avLst/>
                    </a:prstGeom>
                    <a:noFill/>
                    <a:ln>
                      <a:noFill/>
                    </a:ln>
                  </pic:spPr>
                </pic:pic>
              </a:graphicData>
            </a:graphic>
          </wp:inline>
        </w:drawing>
      </w:r>
    </w:p>
    <w:p w14:paraId="614F8338" w14:textId="7F84745C" w:rsidR="00C5485D" w:rsidRDefault="00117B9F" w:rsidP="005F4507">
      <w:pPr>
        <w:pStyle w:val="Heading2"/>
      </w:pPr>
      <w:bookmarkStart w:id="24" w:name="_Toc44428404"/>
      <w:r w:rsidRPr="005250A8">
        <w:t>Cas dans lesquels des demandes d</w:t>
      </w:r>
      <w:r w:rsidR="00F82D32">
        <w:t>’</w:t>
      </w:r>
      <w:r w:rsidRPr="005250A8">
        <w:t>information ou d</w:t>
      </w:r>
      <w:r w:rsidR="00F82D32">
        <w:t>’</w:t>
      </w:r>
      <w:r w:rsidRPr="005250A8">
        <w:t>assistance ont été rejetées</w:t>
      </w:r>
      <w:bookmarkEnd w:id="24"/>
    </w:p>
    <w:p w14:paraId="71C8165F" w14:textId="1163FD7D" w:rsidR="00C5485D" w:rsidRDefault="00117B9F" w:rsidP="005F4507">
      <w:pPr>
        <w:pStyle w:val="ONUMFS"/>
      </w:pPr>
      <w:r w:rsidRPr="005250A8">
        <w:t>Conformément au paragraphe</w:t>
      </w:r>
      <w:r>
        <w:t> </w:t>
      </w:r>
      <w:r w:rsidRPr="005250A8">
        <w:t>48.g) de la Charte de la supervision interne, le directeur de la</w:t>
      </w:r>
      <w:r>
        <w:t> </w:t>
      </w:r>
      <w:r w:rsidRPr="005250A8">
        <w:t>DSI doit établir un rapport dans tous les cas où l</w:t>
      </w:r>
      <w:r w:rsidR="00F82D32">
        <w:t>’</w:t>
      </w:r>
      <w:r w:rsidRPr="005250A8">
        <w:t>accès de la</w:t>
      </w:r>
      <w:r>
        <w:t> </w:t>
      </w:r>
      <w:r w:rsidRPr="005250A8">
        <w:t>DSI aux dossiers, fonctionnaires ou agents contractuels et locaux de l</w:t>
      </w:r>
      <w:r w:rsidR="00F82D32">
        <w:t>’</w:t>
      </w:r>
      <w:r w:rsidRPr="005250A8">
        <w:t>OMPI a été limité au cours de la période considérée.</w:t>
      </w:r>
    </w:p>
    <w:p w14:paraId="7685F939" w14:textId="469CFE26" w:rsidR="00C5485D" w:rsidRDefault="00117B9F" w:rsidP="005F4507">
      <w:pPr>
        <w:pStyle w:val="ONUMFS"/>
      </w:pPr>
      <w:r w:rsidRPr="005250A8">
        <w:t>La DSI signale qu</w:t>
      </w:r>
      <w:r w:rsidR="00F82D32">
        <w:t>’</w:t>
      </w:r>
      <w:r w:rsidRPr="005250A8">
        <w:t>aucun membre du personnel n</w:t>
      </w:r>
      <w:r w:rsidR="00F82D32">
        <w:t>’</w:t>
      </w:r>
      <w:r w:rsidRPr="005250A8">
        <w:t xml:space="preserve">a refusé de fournir des informations ou de prêter assistance à un processus de </w:t>
      </w:r>
      <w:r>
        <w:t>supervision</w:t>
      </w:r>
      <w:r w:rsidRPr="005250A8">
        <w:t xml:space="preserve"> en cours pendant la période considérée.</w:t>
      </w:r>
    </w:p>
    <w:p w14:paraId="62288F1D" w14:textId="0DBA8831" w:rsidR="00C5485D" w:rsidRDefault="00117B9F" w:rsidP="005F4507">
      <w:pPr>
        <w:pStyle w:val="Heading2"/>
      </w:pPr>
      <w:bookmarkStart w:id="25" w:name="_Toc44428405"/>
      <w:bookmarkEnd w:id="22"/>
      <w:r w:rsidRPr="005250A8">
        <w:lastRenderedPageBreak/>
        <w:t>État d</w:t>
      </w:r>
      <w:r w:rsidR="00F82D32">
        <w:t>’</w:t>
      </w:r>
      <w:r w:rsidRPr="005250A8">
        <w:t>avancement de la mise en œuvre des recommandations en matière de supervision</w:t>
      </w:r>
      <w:bookmarkEnd w:id="25"/>
    </w:p>
    <w:p w14:paraId="34342E66" w14:textId="57222EA8" w:rsidR="00C5485D" w:rsidRDefault="00117B9F" w:rsidP="005F4507">
      <w:pPr>
        <w:pStyle w:val="ONUMFS"/>
      </w:pPr>
      <w:r w:rsidRPr="005250A8">
        <w:t>Le Directeur général a la responsabilité de veiller à ce qu</w:t>
      </w:r>
      <w:r w:rsidR="00F82D32">
        <w:t>’</w:t>
      </w:r>
      <w:r w:rsidRPr="005250A8">
        <w:t>il soit donné effet sans tarder à toutes les recommandations du directeur de la</w:t>
      </w:r>
      <w:r>
        <w:t> </w:t>
      </w:r>
      <w:r w:rsidRPr="005250A8">
        <w:t xml:space="preserve">DSI et des autres organes de </w:t>
      </w:r>
      <w:r>
        <w:t>supervision</w:t>
      </w:r>
      <w:r w:rsidRPr="005250A8">
        <w:t xml:space="preserve"> et d</w:t>
      </w:r>
      <w:r w:rsidR="00F82D32">
        <w:t>’</w:t>
      </w:r>
      <w:r w:rsidRPr="005250A8">
        <w:t xml:space="preserve">indiquer les mesures prises </w:t>
      </w:r>
      <w:r w:rsidR="00AE63B3">
        <w:t>à l</w:t>
      </w:r>
      <w:r w:rsidR="00F82D32">
        <w:t>’</w:t>
      </w:r>
      <w:r w:rsidR="00AE63B3">
        <w:t>égard</w:t>
      </w:r>
      <w:r w:rsidRPr="005250A8">
        <w:t xml:space="preserve"> des différentes conclusions et recommandation</w:t>
      </w:r>
      <w:r>
        <w:t>s figurant dans les rapports</w:t>
      </w:r>
      <w:r w:rsidRPr="00E04B15">
        <w:rPr>
          <w:rStyle w:val="FootnoteReference"/>
        </w:rPr>
        <w:footnoteReference w:id="12"/>
      </w:r>
      <w:r>
        <w:t xml:space="preserve">.  </w:t>
      </w:r>
      <w:r w:rsidRPr="005250A8">
        <w:t>Le Directeur général s</w:t>
      </w:r>
      <w:r w:rsidR="00F82D32">
        <w:t>’</w:t>
      </w:r>
      <w:r w:rsidRPr="005250A8">
        <w:t>acquitte de cette responsabilité par l</w:t>
      </w:r>
      <w:r w:rsidR="00F82D32">
        <w:t>’</w:t>
      </w:r>
      <w:r w:rsidRPr="005250A8">
        <w:t>intermédiaire des chefs de programme chargés des différents secteurs opérationnels de l</w:t>
      </w:r>
      <w:r w:rsidR="00F82D32">
        <w:t>’</w:t>
      </w:r>
      <w:r w:rsidRPr="005250A8">
        <w:t>Organisation</w:t>
      </w:r>
      <w:r>
        <w:rPr>
          <w:rStyle w:val="FootnoteReference"/>
        </w:rPr>
        <w:footnoteReference w:id="13"/>
      </w:r>
      <w:r w:rsidRPr="005250A8">
        <w:t>.  La mise en œuvre de toutes les recommandations relatives à la supervision par les chefs de programme de l</w:t>
      </w:r>
      <w:r w:rsidR="00F82D32">
        <w:t>’</w:t>
      </w:r>
      <w:r w:rsidRPr="005250A8">
        <w:t>OMPI fait l</w:t>
      </w:r>
      <w:r w:rsidR="00F82D32">
        <w:t>’</w:t>
      </w:r>
      <w:r w:rsidRPr="005250A8">
        <w:t>objet d</w:t>
      </w:r>
      <w:r w:rsidR="00F82D32">
        <w:t>’</w:t>
      </w:r>
      <w:r w:rsidRPr="005250A8">
        <w:t>un suivi régulier de la part de la</w:t>
      </w:r>
      <w:r>
        <w:t> </w:t>
      </w:r>
      <w:r w:rsidRPr="005250A8">
        <w:t>DSI</w:t>
      </w:r>
      <w:r>
        <w:rPr>
          <w:rStyle w:val="FootnoteReference"/>
        </w:rPr>
        <w:footnoteReference w:id="14"/>
      </w:r>
      <w:r w:rsidRPr="005250A8">
        <w:t>.</w:t>
      </w:r>
    </w:p>
    <w:p w14:paraId="75000AC4" w14:textId="5E0EA33C" w:rsidR="00C5485D" w:rsidRDefault="00117B9F" w:rsidP="005F4507">
      <w:pPr>
        <w:pStyle w:val="ONUMFS"/>
      </w:pPr>
      <w:r w:rsidRPr="005250A8">
        <w:t>La DSI continue de gérer les recommandations et d</w:t>
      </w:r>
      <w:r w:rsidR="00F82D32">
        <w:t>’</w:t>
      </w:r>
      <w:r w:rsidRPr="005250A8">
        <w:t>en rendre compte au moyen du système TeamCentral©, qui facilite le dialogue avec les chefs de programme et leurs délégués en vue d</w:t>
      </w:r>
      <w:r w:rsidR="00F82D32">
        <w:t>’</w:t>
      </w:r>
      <w:r w:rsidRPr="005250A8">
        <w:t xml:space="preserve">un suivi efficace de la mise en œuvre des recommandations </w:t>
      </w:r>
      <w:r>
        <w:t>ouvertes</w:t>
      </w:r>
      <w:r w:rsidRPr="005250A8">
        <w:t>.</w:t>
      </w:r>
    </w:p>
    <w:p w14:paraId="1F2CD749" w14:textId="403FA9A7" w:rsidR="00C5485D" w:rsidRDefault="00117B9F" w:rsidP="005F4507">
      <w:pPr>
        <w:pStyle w:val="ONUMFS"/>
      </w:pPr>
      <w:r w:rsidRPr="005250A8">
        <w:t>À la date d</w:t>
      </w:r>
      <w:r w:rsidR="00F82D32">
        <w:t>’</w:t>
      </w:r>
      <w:r w:rsidRPr="005250A8">
        <w:t>établissement du présent rapport, on comptait 117</w:t>
      </w:r>
      <w:r>
        <w:t> </w:t>
      </w:r>
      <w:r w:rsidRPr="005250A8">
        <w:t xml:space="preserve">recommandations </w:t>
      </w:r>
      <w:r>
        <w:t>ouvertes</w:t>
      </w:r>
      <w:r w:rsidRPr="005250A8">
        <w:t xml:space="preserve">, dont 41 étaient jugées </w:t>
      </w:r>
      <w:r>
        <w:t xml:space="preserve">hautement </w:t>
      </w:r>
      <w:r w:rsidRPr="005250A8">
        <w:t xml:space="preserve">prioritaires et 76 </w:t>
      </w:r>
      <w:r>
        <w:t>moyennement prioritair</w:t>
      </w:r>
      <w:r w:rsidR="00EF3A93">
        <w:t xml:space="preserve">es.  </w:t>
      </w:r>
      <w:r w:rsidR="00EF3A93" w:rsidRPr="005250A8">
        <w:t>Le</w:t>
      </w:r>
      <w:r w:rsidRPr="005250A8">
        <w:t>s recommandations de la</w:t>
      </w:r>
      <w:r>
        <w:t> </w:t>
      </w:r>
      <w:r w:rsidRPr="005250A8">
        <w:t>DSI représentent 86% de l</w:t>
      </w:r>
      <w:r w:rsidR="00F82D32">
        <w:t>’</w:t>
      </w:r>
      <w:r w:rsidRPr="005250A8">
        <w:t xml:space="preserve">ensemble des recommandations de supervision </w:t>
      </w:r>
      <w:r>
        <w:t>ouvertes</w:t>
      </w:r>
      <w:r w:rsidRPr="005250A8">
        <w:t>.</w:t>
      </w:r>
    </w:p>
    <w:p w14:paraId="74919B4B" w14:textId="2A88510D" w:rsidR="00C5485D" w:rsidRDefault="00BE305D" w:rsidP="005F4507">
      <w:pPr>
        <w:pStyle w:val="Heading6"/>
      </w:pPr>
      <w:r>
        <w:t>Figure</w:t>
      </w:r>
      <w:r w:rsidR="00117B9F">
        <w:t> </w:t>
      </w:r>
      <w:r w:rsidR="00117B9F" w:rsidRPr="005250A8">
        <w:t xml:space="preserve">3 – Recommandations ouvertes par source et </w:t>
      </w:r>
      <w:r w:rsidR="00117B9F">
        <w:t xml:space="preserve">par degré de </w:t>
      </w:r>
      <w:r w:rsidR="00117B9F" w:rsidRPr="005250A8">
        <w:t>priorité (117)</w:t>
      </w:r>
    </w:p>
    <w:p w14:paraId="37DE3C63" w14:textId="77777777" w:rsidR="00C5485D" w:rsidRDefault="005F4507" w:rsidP="005F4507">
      <w:pPr>
        <w:pStyle w:val="Heading6"/>
      </w:pPr>
      <w:r w:rsidRPr="005F4507">
        <w:rPr>
          <w:noProof/>
          <w:lang w:val="en-US" w:eastAsia="en-US"/>
        </w:rPr>
        <w:drawing>
          <wp:inline distT="0" distB="0" distL="0" distR="0" wp14:anchorId="21E6DC14" wp14:editId="410CB510">
            <wp:extent cx="4937760" cy="2628900"/>
            <wp:effectExtent l="0" t="0" r="0" b="0"/>
            <wp:docPr id="14" name="Picture 14" descr="Recommandations ouvertes par source et par degré de priorité (117)" title="Figure 3 - Recommandations ouvertes par source et par degré de prio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7760" cy="2628900"/>
                    </a:xfrm>
                    <a:prstGeom prst="rect">
                      <a:avLst/>
                    </a:prstGeom>
                    <a:noFill/>
                    <a:ln>
                      <a:noFill/>
                    </a:ln>
                  </pic:spPr>
                </pic:pic>
              </a:graphicData>
            </a:graphic>
          </wp:inline>
        </w:drawing>
      </w:r>
    </w:p>
    <w:p w14:paraId="44C97653" w14:textId="7E18BB91" w:rsidR="00C5485D" w:rsidRDefault="00117B9F" w:rsidP="005F4507">
      <w:pPr>
        <w:pStyle w:val="ONUMFS"/>
      </w:pPr>
      <w:r w:rsidRPr="005250A8">
        <w:t>Entre juillet et décembre</w:t>
      </w:r>
      <w:r>
        <w:t> </w:t>
      </w:r>
      <w:r w:rsidRPr="005250A8">
        <w:t>2019, 24</w:t>
      </w:r>
      <w:r>
        <w:t> </w:t>
      </w:r>
      <w:r w:rsidRPr="005250A8">
        <w:t>nouvelles recommandations ont été ajoutées dans trois</w:t>
      </w:r>
      <w:r>
        <w:t> </w:t>
      </w:r>
      <w:r w:rsidRPr="005250A8">
        <w:t>rapports d</w:t>
      </w:r>
      <w:r w:rsidR="00F82D32">
        <w:t>’</w:t>
      </w:r>
      <w:r w:rsidRPr="005250A8">
        <w:t>audit, deux</w:t>
      </w:r>
      <w:r>
        <w:t> </w:t>
      </w:r>
      <w:r w:rsidRPr="005250A8">
        <w:t>rapports d</w:t>
      </w:r>
      <w:r w:rsidR="00F82D32">
        <w:t>’</w:t>
      </w:r>
      <w:r w:rsidRPr="005250A8">
        <w:t>évaluation et trois</w:t>
      </w:r>
      <w:r>
        <w:t xml:space="preserve"> rapports </w:t>
      </w:r>
      <w:r w:rsidRPr="005250A8">
        <w:t>à l</w:t>
      </w:r>
      <w:r w:rsidR="00F82D32">
        <w:t>’</w:t>
      </w:r>
      <w:r w:rsidRPr="005250A8">
        <w:t>intention de la directi</w:t>
      </w:r>
      <w:r w:rsidR="00EF3A93" w:rsidRPr="005250A8">
        <w:t>on</w:t>
      </w:r>
      <w:r w:rsidR="00EF3A93">
        <w:t>.  Un</w:t>
      </w:r>
      <w:r>
        <w:t>e recommandation de l</w:t>
      </w:r>
      <w:r w:rsidR="00F82D32">
        <w:t>’</w:t>
      </w:r>
      <w:r>
        <w:t>OCIS</w:t>
      </w:r>
      <w:r>
        <w:rPr>
          <w:rStyle w:val="FootnoteReference"/>
        </w:rPr>
        <w:footnoteReference w:id="15"/>
      </w:r>
      <w:r>
        <w:t xml:space="preserve"> a été adressée au Bureau de la déontologie à la fin de la période considér</w:t>
      </w:r>
      <w:r w:rsidR="00EF3A93">
        <w:t>ée.  De</w:t>
      </w:r>
      <w:r>
        <w:t>ux recommandations faites lors d</w:t>
      </w:r>
      <w:r w:rsidR="00F82D32">
        <w:t>’</w:t>
      </w:r>
      <w:r>
        <w:t>un audit des prestations et avantages réalisé en 2014 ont été clôturées, car elles n</w:t>
      </w:r>
      <w:r w:rsidR="00F82D32">
        <w:t>’</w:t>
      </w:r>
      <w:r>
        <w:t>étaient plus applicables, à la suite d</w:t>
      </w:r>
      <w:r w:rsidR="00F82D32">
        <w:t>’</w:t>
      </w:r>
      <w:r>
        <w:t>un nouvel audit réalisé en 2019.</w:t>
      </w:r>
    </w:p>
    <w:p w14:paraId="7E97D504" w14:textId="64528BF8" w:rsidR="00C5485D" w:rsidRDefault="00117B9F" w:rsidP="005F4507">
      <w:pPr>
        <w:pStyle w:val="ONUMFS"/>
      </w:pPr>
      <w:r w:rsidRPr="00FC6803">
        <w:t>Six recommandations du vérificateur externe des comptes ont été clôturées au cours de la période, dont cinq</w:t>
      </w:r>
      <w:r>
        <w:t> </w:t>
      </w:r>
      <w:r w:rsidRPr="00FC6803">
        <w:t>faisaient partie des précédentes recommandations d</w:t>
      </w:r>
      <w:r>
        <w:t>u</w:t>
      </w:r>
      <w:r w:rsidRPr="00FC6803">
        <w:t xml:space="preserve"> vérificateur externe des comptes suivi</w:t>
      </w:r>
      <w:r>
        <w:t>es</w:t>
      </w:r>
      <w:r w:rsidRPr="00FC6803">
        <w:t xml:space="preserve"> </w:t>
      </w:r>
      <w:r>
        <w:t>par</w:t>
      </w:r>
      <w:r w:rsidRPr="00FC6803">
        <w:t xml:space="preserve"> la</w:t>
      </w:r>
      <w:r>
        <w:t> </w:t>
      </w:r>
      <w:r w:rsidR="00EF3A93" w:rsidRPr="00FC6803">
        <w:t>DSI</w:t>
      </w:r>
      <w:r w:rsidR="00EF3A93">
        <w:t>.  L</w:t>
      </w:r>
      <w:r w:rsidR="00EF3A93" w:rsidRPr="00FC6803">
        <w:t>e</w:t>
      </w:r>
      <w:r w:rsidRPr="00FC6803">
        <w:t xml:space="preserve"> tableau</w:t>
      </w:r>
      <w:r>
        <w:t> </w:t>
      </w:r>
      <w:r w:rsidRPr="00FC6803">
        <w:t>2 ci</w:t>
      </w:r>
      <w:r w:rsidR="007379C2">
        <w:noBreakHyphen/>
      </w:r>
      <w:r w:rsidRPr="00FC6803">
        <w:t>dessous montre l</w:t>
      </w:r>
      <w:r w:rsidR="00F82D32">
        <w:t>’</w:t>
      </w:r>
      <w:r w:rsidRPr="00FC6803">
        <w:t>évolution des recommandations par source, entre juillet et décembre</w:t>
      </w:r>
      <w:r>
        <w:t> </w:t>
      </w:r>
      <w:r w:rsidRPr="00FC6803">
        <w:t>2019.</w:t>
      </w:r>
    </w:p>
    <w:p w14:paraId="024C5717" w14:textId="7FCD35D9" w:rsidR="00117B9F" w:rsidRPr="00FC6803" w:rsidRDefault="00117B9F" w:rsidP="005F4507">
      <w:pPr>
        <w:pStyle w:val="Heading6"/>
      </w:pPr>
      <w:r w:rsidRPr="00FC6803">
        <w:lastRenderedPageBreak/>
        <w:t>Tableau</w:t>
      </w:r>
      <w:r>
        <w:t> </w:t>
      </w:r>
      <w:r w:rsidRPr="00FC6803">
        <w:t>2 – Évolution des recommandations entre le</w:t>
      </w:r>
      <w:r w:rsidR="00AE63B3">
        <w:t xml:space="preserve"> 1</w:t>
      </w:r>
      <w:r w:rsidR="00AE63B3" w:rsidRPr="00AE63B3">
        <w:rPr>
          <w:vertAlign w:val="superscript"/>
        </w:rPr>
        <w:t>er</w:t>
      </w:r>
      <w:r w:rsidR="00AE63B3">
        <w:t> </w:t>
      </w:r>
      <w:r w:rsidRPr="00FC6803">
        <w:t>juillet</w:t>
      </w:r>
      <w:r>
        <w:t> </w:t>
      </w:r>
      <w:r w:rsidRPr="00FC6803">
        <w:t>2019 et le 31</w:t>
      </w:r>
      <w:r>
        <w:t> </w:t>
      </w:r>
      <w:r w:rsidRPr="00FC6803">
        <w:t>décembre</w:t>
      </w:r>
      <w:r>
        <w:t> </w:t>
      </w:r>
      <w:r w:rsidRPr="00FC6803">
        <w:t>2019</w:t>
      </w:r>
    </w:p>
    <w:tbl>
      <w:tblPr>
        <w:tblW w:w="5000" w:type="pct"/>
        <w:tblCellMar>
          <w:top w:w="57" w:type="dxa"/>
          <w:bottom w:w="57" w:type="dxa"/>
        </w:tblCellMar>
        <w:tblLook w:val="04A0" w:firstRow="1" w:lastRow="0" w:firstColumn="1" w:lastColumn="0" w:noHBand="0" w:noVBand="1"/>
        <w:tblCaption w:val="Tableau 2 - Évolution des recommandations"/>
        <w:tblDescription w:val="Évolution des recommandations entre le 1er juillet 2019 et le 31 décembre 2019"/>
      </w:tblPr>
      <w:tblGrid>
        <w:gridCol w:w="3095"/>
        <w:gridCol w:w="1587"/>
        <w:gridCol w:w="1386"/>
        <w:gridCol w:w="1152"/>
        <w:gridCol w:w="2116"/>
      </w:tblGrid>
      <w:tr w:rsidR="00117B9F" w:rsidRPr="00F620D5" w14:paraId="0A96B7AD" w14:textId="77777777" w:rsidTr="005F4507">
        <w:tc>
          <w:tcPr>
            <w:tcW w:w="3095" w:type="dxa"/>
            <w:tcBorders>
              <w:top w:val="single" w:sz="8" w:space="0" w:color="95B3D7"/>
              <w:left w:val="single" w:sz="8" w:space="0" w:color="95B3D7"/>
              <w:bottom w:val="single" w:sz="8" w:space="0" w:color="95B3D7"/>
              <w:right w:val="single" w:sz="8" w:space="0" w:color="95B3D7"/>
            </w:tcBorders>
            <w:shd w:val="clear" w:color="000000" w:fill="95B3D7"/>
            <w:noWrap/>
            <w:vAlign w:val="center"/>
            <w:hideMark/>
          </w:tcPr>
          <w:p w14:paraId="45B5B7D7" w14:textId="77777777" w:rsidR="00117B9F" w:rsidRPr="00F620D5" w:rsidRDefault="00117B9F" w:rsidP="005F4507">
            <w:pPr>
              <w:rPr>
                <w:rFonts w:eastAsia="Times New Roman"/>
                <w:b/>
                <w:bCs/>
                <w:color w:val="000000"/>
                <w:sz w:val="20"/>
                <w:lang w:eastAsia="en-US"/>
              </w:rPr>
            </w:pPr>
            <w:r w:rsidRPr="00F620D5">
              <w:rPr>
                <w:rFonts w:eastAsia="Times New Roman"/>
                <w:b/>
                <w:bCs/>
                <w:color w:val="000000"/>
                <w:sz w:val="20"/>
                <w:lang w:eastAsia="en-US"/>
              </w:rPr>
              <w:t>Source</w:t>
            </w:r>
          </w:p>
        </w:tc>
        <w:tc>
          <w:tcPr>
            <w:tcW w:w="1587" w:type="dxa"/>
            <w:tcBorders>
              <w:top w:val="single" w:sz="8" w:space="0" w:color="95B3D7"/>
              <w:left w:val="nil"/>
              <w:bottom w:val="single" w:sz="8" w:space="0" w:color="95B3D7"/>
              <w:right w:val="single" w:sz="8" w:space="0" w:color="95B3D7"/>
            </w:tcBorders>
            <w:shd w:val="clear" w:color="000000" w:fill="95B3D7"/>
            <w:vAlign w:val="center"/>
            <w:hideMark/>
          </w:tcPr>
          <w:p w14:paraId="675A8C92" w14:textId="107B33B0" w:rsidR="00117B9F" w:rsidRPr="00F620D5" w:rsidRDefault="00117B9F" w:rsidP="005F4507">
            <w:pPr>
              <w:jc w:val="center"/>
              <w:rPr>
                <w:rFonts w:eastAsia="Times New Roman"/>
                <w:b/>
                <w:bCs/>
                <w:color w:val="000000"/>
                <w:sz w:val="20"/>
                <w:lang w:eastAsia="en-US"/>
              </w:rPr>
            </w:pPr>
            <w:r>
              <w:rPr>
                <w:rFonts w:eastAsia="Times New Roman"/>
                <w:b/>
                <w:bCs/>
                <w:color w:val="000000"/>
                <w:sz w:val="20"/>
                <w:lang w:eastAsia="en-US"/>
              </w:rPr>
              <w:t>Ouvertes au</w:t>
            </w:r>
            <w:r w:rsidR="00AE63B3">
              <w:rPr>
                <w:rFonts w:eastAsia="Times New Roman"/>
                <w:b/>
                <w:bCs/>
                <w:color w:val="000000"/>
                <w:sz w:val="20"/>
                <w:lang w:eastAsia="en-US"/>
              </w:rPr>
              <w:t xml:space="preserve"> 1</w:t>
            </w:r>
            <w:r w:rsidR="00AE63B3" w:rsidRPr="00AE63B3">
              <w:rPr>
                <w:rFonts w:eastAsia="Times New Roman"/>
                <w:b/>
                <w:bCs/>
                <w:color w:val="000000"/>
                <w:sz w:val="20"/>
                <w:vertAlign w:val="superscript"/>
                <w:lang w:eastAsia="en-US"/>
              </w:rPr>
              <w:t>er</w:t>
            </w:r>
            <w:r w:rsidR="00AE63B3">
              <w:rPr>
                <w:rFonts w:eastAsia="Times New Roman"/>
                <w:b/>
                <w:bCs/>
                <w:color w:val="000000"/>
                <w:sz w:val="20"/>
                <w:lang w:eastAsia="en-US"/>
              </w:rPr>
              <w:t> </w:t>
            </w:r>
            <w:r>
              <w:rPr>
                <w:rFonts w:eastAsia="Times New Roman"/>
                <w:b/>
                <w:bCs/>
                <w:color w:val="000000"/>
                <w:sz w:val="20"/>
                <w:lang w:eastAsia="en-US"/>
              </w:rPr>
              <w:t>juillet 2019</w:t>
            </w:r>
          </w:p>
        </w:tc>
        <w:tc>
          <w:tcPr>
            <w:tcW w:w="1386" w:type="dxa"/>
            <w:tcBorders>
              <w:top w:val="single" w:sz="8" w:space="0" w:color="95B3D7"/>
              <w:left w:val="nil"/>
              <w:bottom w:val="single" w:sz="8" w:space="0" w:color="95B3D7"/>
              <w:right w:val="single" w:sz="8" w:space="0" w:color="95B3D7"/>
            </w:tcBorders>
            <w:shd w:val="clear" w:color="000000" w:fill="95B3D7"/>
            <w:vAlign w:val="center"/>
            <w:hideMark/>
          </w:tcPr>
          <w:p w14:paraId="17CFA93D" w14:textId="77777777" w:rsidR="00117B9F" w:rsidRPr="00F620D5" w:rsidRDefault="00117B9F" w:rsidP="005F4507">
            <w:pPr>
              <w:jc w:val="center"/>
              <w:rPr>
                <w:rFonts w:eastAsia="Times New Roman"/>
                <w:b/>
                <w:bCs/>
                <w:color w:val="000000"/>
                <w:sz w:val="20"/>
                <w:lang w:eastAsia="en-US"/>
              </w:rPr>
            </w:pPr>
            <w:r>
              <w:rPr>
                <w:rFonts w:eastAsia="Times New Roman"/>
                <w:b/>
                <w:bCs/>
                <w:color w:val="000000"/>
                <w:sz w:val="20"/>
                <w:lang w:eastAsia="en-US"/>
              </w:rPr>
              <w:t>Ajoutées pendant la période</w:t>
            </w:r>
          </w:p>
        </w:tc>
        <w:tc>
          <w:tcPr>
            <w:tcW w:w="1152" w:type="dxa"/>
            <w:tcBorders>
              <w:top w:val="single" w:sz="8" w:space="0" w:color="95B3D7"/>
              <w:left w:val="nil"/>
              <w:bottom w:val="single" w:sz="8" w:space="0" w:color="95B3D7"/>
              <w:right w:val="single" w:sz="8" w:space="0" w:color="95B3D7"/>
            </w:tcBorders>
            <w:shd w:val="clear" w:color="000000" w:fill="95B3D7"/>
            <w:vAlign w:val="center"/>
            <w:hideMark/>
          </w:tcPr>
          <w:p w14:paraId="149C47BA" w14:textId="77777777" w:rsidR="00117B9F" w:rsidRPr="00F620D5" w:rsidRDefault="00117B9F" w:rsidP="005F4507">
            <w:pPr>
              <w:jc w:val="center"/>
              <w:rPr>
                <w:rFonts w:eastAsia="Times New Roman"/>
                <w:b/>
                <w:bCs/>
                <w:color w:val="000000"/>
                <w:sz w:val="20"/>
                <w:lang w:eastAsia="en-US"/>
              </w:rPr>
            </w:pPr>
            <w:r>
              <w:rPr>
                <w:rFonts w:eastAsia="Times New Roman"/>
                <w:b/>
                <w:bCs/>
                <w:color w:val="000000"/>
                <w:sz w:val="20"/>
                <w:lang w:eastAsia="en-US"/>
              </w:rPr>
              <w:t>Closes pendant la période</w:t>
            </w:r>
          </w:p>
        </w:tc>
        <w:tc>
          <w:tcPr>
            <w:tcW w:w="2116" w:type="dxa"/>
            <w:tcBorders>
              <w:top w:val="single" w:sz="8" w:space="0" w:color="95B3D7"/>
              <w:left w:val="nil"/>
              <w:bottom w:val="single" w:sz="8" w:space="0" w:color="95B3D7"/>
              <w:right w:val="single" w:sz="8" w:space="0" w:color="95B3D7"/>
            </w:tcBorders>
            <w:shd w:val="clear" w:color="000000" w:fill="95B3D7"/>
            <w:vAlign w:val="center"/>
            <w:hideMark/>
          </w:tcPr>
          <w:p w14:paraId="4A7877BF" w14:textId="77777777" w:rsidR="00117B9F" w:rsidRPr="00F620D5" w:rsidRDefault="00117B9F" w:rsidP="005F4507">
            <w:pPr>
              <w:jc w:val="center"/>
              <w:rPr>
                <w:rFonts w:eastAsia="Times New Roman"/>
                <w:b/>
                <w:bCs/>
                <w:color w:val="000000"/>
                <w:sz w:val="20"/>
                <w:lang w:eastAsia="en-US"/>
              </w:rPr>
            </w:pPr>
            <w:r>
              <w:rPr>
                <w:rFonts w:eastAsia="Times New Roman"/>
                <w:b/>
                <w:bCs/>
                <w:color w:val="000000"/>
                <w:sz w:val="20"/>
                <w:lang w:eastAsia="en-US"/>
              </w:rPr>
              <w:t>Ouvertes au 31 décembre 2019</w:t>
            </w:r>
          </w:p>
        </w:tc>
      </w:tr>
      <w:tr w:rsidR="00117B9F" w:rsidRPr="00F620D5" w14:paraId="1ED64904" w14:textId="77777777" w:rsidTr="005F4507">
        <w:tc>
          <w:tcPr>
            <w:tcW w:w="3095" w:type="dxa"/>
            <w:tcBorders>
              <w:top w:val="nil"/>
              <w:left w:val="single" w:sz="8" w:space="0" w:color="95B3D7"/>
              <w:bottom w:val="single" w:sz="8" w:space="0" w:color="95B3D7"/>
              <w:right w:val="single" w:sz="8" w:space="0" w:color="95B3D7"/>
            </w:tcBorders>
            <w:shd w:val="clear" w:color="000000" w:fill="DBE5F1"/>
            <w:noWrap/>
            <w:vAlign w:val="center"/>
            <w:hideMark/>
          </w:tcPr>
          <w:p w14:paraId="531120CB" w14:textId="77777777" w:rsidR="00117B9F" w:rsidRPr="00F620D5" w:rsidRDefault="00117B9F" w:rsidP="005F4507">
            <w:pPr>
              <w:rPr>
                <w:rFonts w:eastAsia="Times New Roman"/>
                <w:b/>
                <w:bCs/>
                <w:color w:val="000000"/>
                <w:sz w:val="20"/>
                <w:lang w:eastAsia="en-US"/>
              </w:rPr>
            </w:pPr>
            <w:r>
              <w:rPr>
                <w:rFonts w:eastAsia="Times New Roman"/>
                <w:b/>
                <w:bCs/>
                <w:color w:val="000000"/>
                <w:sz w:val="20"/>
                <w:lang w:eastAsia="en-US"/>
              </w:rPr>
              <w:t>DSI</w:t>
            </w:r>
          </w:p>
        </w:tc>
        <w:tc>
          <w:tcPr>
            <w:tcW w:w="1587" w:type="dxa"/>
            <w:tcBorders>
              <w:top w:val="nil"/>
              <w:left w:val="nil"/>
              <w:bottom w:val="single" w:sz="8" w:space="0" w:color="95B3D7"/>
              <w:right w:val="single" w:sz="8" w:space="0" w:color="95B3D7"/>
            </w:tcBorders>
            <w:shd w:val="clear" w:color="000000" w:fill="DBE5F1"/>
            <w:noWrap/>
            <w:vAlign w:val="center"/>
            <w:hideMark/>
          </w:tcPr>
          <w:p w14:paraId="5323E762"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132</w:t>
            </w:r>
          </w:p>
        </w:tc>
        <w:tc>
          <w:tcPr>
            <w:tcW w:w="1386" w:type="dxa"/>
            <w:tcBorders>
              <w:top w:val="nil"/>
              <w:left w:val="nil"/>
              <w:bottom w:val="single" w:sz="8" w:space="0" w:color="95B3D7"/>
              <w:right w:val="single" w:sz="8" w:space="0" w:color="95B3D7"/>
            </w:tcBorders>
            <w:shd w:val="clear" w:color="000000" w:fill="DBE5F1"/>
            <w:noWrap/>
            <w:vAlign w:val="center"/>
            <w:hideMark/>
          </w:tcPr>
          <w:p w14:paraId="23707A10"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2</w:t>
            </w:r>
            <w:r>
              <w:rPr>
                <w:rFonts w:eastAsia="Times New Roman"/>
                <w:color w:val="000000"/>
                <w:sz w:val="20"/>
                <w:lang w:eastAsia="en-US"/>
              </w:rPr>
              <w:t>4</w:t>
            </w:r>
          </w:p>
        </w:tc>
        <w:tc>
          <w:tcPr>
            <w:tcW w:w="1152" w:type="dxa"/>
            <w:tcBorders>
              <w:top w:val="nil"/>
              <w:left w:val="nil"/>
              <w:bottom w:val="single" w:sz="8" w:space="0" w:color="95B3D7"/>
              <w:right w:val="single" w:sz="8" w:space="0" w:color="95B3D7"/>
            </w:tcBorders>
            <w:shd w:val="clear" w:color="000000" w:fill="DBE5F1"/>
            <w:noWrap/>
            <w:vAlign w:val="center"/>
            <w:hideMark/>
          </w:tcPr>
          <w:p w14:paraId="2D077B06"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55</w:t>
            </w:r>
          </w:p>
        </w:tc>
        <w:tc>
          <w:tcPr>
            <w:tcW w:w="2116" w:type="dxa"/>
            <w:tcBorders>
              <w:top w:val="nil"/>
              <w:left w:val="nil"/>
              <w:bottom w:val="single" w:sz="8" w:space="0" w:color="95B3D7"/>
              <w:right w:val="single" w:sz="8" w:space="0" w:color="95B3D7"/>
            </w:tcBorders>
            <w:shd w:val="clear" w:color="000000" w:fill="DBE5F1"/>
            <w:noWrap/>
            <w:vAlign w:val="center"/>
            <w:hideMark/>
          </w:tcPr>
          <w:p w14:paraId="13076C66" w14:textId="77777777" w:rsidR="00117B9F" w:rsidRPr="00F620D5" w:rsidRDefault="00117B9F" w:rsidP="005F4507">
            <w:pPr>
              <w:jc w:val="center"/>
              <w:rPr>
                <w:rFonts w:eastAsia="Times New Roman"/>
                <w:color w:val="000000"/>
                <w:sz w:val="20"/>
                <w:lang w:eastAsia="en-US"/>
              </w:rPr>
            </w:pPr>
            <w:r>
              <w:rPr>
                <w:rFonts w:eastAsia="Times New Roman"/>
                <w:color w:val="000000"/>
                <w:sz w:val="20"/>
                <w:lang w:eastAsia="en-US"/>
              </w:rPr>
              <w:t>101</w:t>
            </w:r>
          </w:p>
        </w:tc>
      </w:tr>
      <w:tr w:rsidR="00117B9F" w:rsidRPr="00F620D5" w14:paraId="412A2F82" w14:textId="77777777" w:rsidTr="005F4507">
        <w:tc>
          <w:tcPr>
            <w:tcW w:w="3095" w:type="dxa"/>
            <w:tcBorders>
              <w:top w:val="nil"/>
              <w:left w:val="single" w:sz="8" w:space="0" w:color="95B3D7"/>
              <w:bottom w:val="single" w:sz="8" w:space="0" w:color="95B3D7"/>
              <w:right w:val="single" w:sz="8" w:space="0" w:color="95B3D7"/>
            </w:tcBorders>
            <w:shd w:val="clear" w:color="auto" w:fill="auto"/>
            <w:noWrap/>
            <w:vAlign w:val="center"/>
            <w:hideMark/>
          </w:tcPr>
          <w:p w14:paraId="1DBBEEA1" w14:textId="77777777" w:rsidR="00117B9F" w:rsidRPr="00F620D5" w:rsidRDefault="00117B9F" w:rsidP="005F4507">
            <w:pPr>
              <w:rPr>
                <w:rFonts w:eastAsia="Times New Roman"/>
                <w:b/>
                <w:bCs/>
                <w:color w:val="000000"/>
                <w:sz w:val="20"/>
                <w:lang w:eastAsia="en-US"/>
              </w:rPr>
            </w:pPr>
            <w:r>
              <w:rPr>
                <w:rFonts w:eastAsia="Times New Roman"/>
                <w:b/>
                <w:bCs/>
                <w:color w:val="000000"/>
                <w:sz w:val="20"/>
                <w:lang w:eastAsia="en-US"/>
              </w:rPr>
              <w:t>Vérificateur externe des comptes</w:t>
            </w:r>
          </w:p>
        </w:tc>
        <w:tc>
          <w:tcPr>
            <w:tcW w:w="1587" w:type="dxa"/>
            <w:tcBorders>
              <w:top w:val="nil"/>
              <w:left w:val="nil"/>
              <w:bottom w:val="single" w:sz="8" w:space="0" w:color="95B3D7"/>
              <w:right w:val="single" w:sz="8" w:space="0" w:color="95B3D7"/>
            </w:tcBorders>
            <w:shd w:val="clear" w:color="auto" w:fill="auto"/>
            <w:noWrap/>
            <w:vAlign w:val="center"/>
            <w:hideMark/>
          </w:tcPr>
          <w:p w14:paraId="4DBE579A"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7</w:t>
            </w:r>
          </w:p>
        </w:tc>
        <w:tc>
          <w:tcPr>
            <w:tcW w:w="1386" w:type="dxa"/>
            <w:tcBorders>
              <w:top w:val="nil"/>
              <w:left w:val="nil"/>
              <w:bottom w:val="single" w:sz="8" w:space="0" w:color="95B3D7"/>
              <w:right w:val="single" w:sz="8" w:space="0" w:color="95B3D7"/>
            </w:tcBorders>
            <w:shd w:val="clear" w:color="auto" w:fill="auto"/>
            <w:noWrap/>
            <w:vAlign w:val="center"/>
            <w:hideMark/>
          </w:tcPr>
          <w:p w14:paraId="1A3382DE"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0</w:t>
            </w:r>
          </w:p>
        </w:tc>
        <w:tc>
          <w:tcPr>
            <w:tcW w:w="1152" w:type="dxa"/>
            <w:tcBorders>
              <w:top w:val="nil"/>
              <w:left w:val="nil"/>
              <w:bottom w:val="single" w:sz="8" w:space="0" w:color="95B3D7"/>
              <w:right w:val="single" w:sz="8" w:space="0" w:color="95B3D7"/>
            </w:tcBorders>
            <w:shd w:val="clear" w:color="auto" w:fill="auto"/>
            <w:noWrap/>
            <w:vAlign w:val="center"/>
            <w:hideMark/>
          </w:tcPr>
          <w:p w14:paraId="453042E8"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1</w:t>
            </w:r>
          </w:p>
        </w:tc>
        <w:tc>
          <w:tcPr>
            <w:tcW w:w="2116" w:type="dxa"/>
            <w:tcBorders>
              <w:top w:val="nil"/>
              <w:left w:val="nil"/>
              <w:bottom w:val="single" w:sz="8" w:space="0" w:color="95B3D7"/>
              <w:right w:val="single" w:sz="8" w:space="0" w:color="95B3D7"/>
            </w:tcBorders>
            <w:shd w:val="clear" w:color="auto" w:fill="auto"/>
            <w:noWrap/>
            <w:vAlign w:val="center"/>
            <w:hideMark/>
          </w:tcPr>
          <w:p w14:paraId="6783AA53"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6</w:t>
            </w:r>
          </w:p>
        </w:tc>
      </w:tr>
      <w:tr w:rsidR="00117B9F" w:rsidRPr="00F620D5" w14:paraId="3A0E5D43" w14:textId="77777777" w:rsidTr="005F4507">
        <w:tc>
          <w:tcPr>
            <w:tcW w:w="3095" w:type="dxa"/>
            <w:tcBorders>
              <w:top w:val="nil"/>
              <w:left w:val="single" w:sz="8" w:space="0" w:color="95B3D7"/>
              <w:bottom w:val="single" w:sz="8" w:space="0" w:color="95B3D7"/>
              <w:right w:val="single" w:sz="8" w:space="0" w:color="95B3D7"/>
            </w:tcBorders>
            <w:shd w:val="clear" w:color="000000" w:fill="DBE5F1"/>
            <w:noWrap/>
            <w:vAlign w:val="center"/>
            <w:hideMark/>
          </w:tcPr>
          <w:p w14:paraId="0A6D63A6" w14:textId="77777777" w:rsidR="00117B9F" w:rsidRPr="00F620D5" w:rsidRDefault="00117B9F" w:rsidP="005F4507">
            <w:pPr>
              <w:rPr>
                <w:rFonts w:eastAsia="Times New Roman"/>
                <w:b/>
                <w:bCs/>
                <w:color w:val="000000"/>
                <w:sz w:val="20"/>
                <w:lang w:eastAsia="en-US"/>
              </w:rPr>
            </w:pPr>
            <w:r>
              <w:rPr>
                <w:rFonts w:eastAsia="Times New Roman"/>
                <w:b/>
                <w:bCs/>
                <w:color w:val="000000"/>
                <w:sz w:val="20"/>
                <w:lang w:eastAsia="en-US"/>
              </w:rPr>
              <w:t>OCIS</w:t>
            </w:r>
          </w:p>
        </w:tc>
        <w:tc>
          <w:tcPr>
            <w:tcW w:w="1587" w:type="dxa"/>
            <w:tcBorders>
              <w:top w:val="nil"/>
              <w:left w:val="nil"/>
              <w:bottom w:val="single" w:sz="8" w:space="0" w:color="95B3D7"/>
              <w:right w:val="single" w:sz="8" w:space="0" w:color="95B3D7"/>
            </w:tcBorders>
            <w:shd w:val="clear" w:color="000000" w:fill="DBE5F1"/>
            <w:noWrap/>
            <w:vAlign w:val="center"/>
            <w:hideMark/>
          </w:tcPr>
          <w:p w14:paraId="21948D7B"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2</w:t>
            </w:r>
          </w:p>
        </w:tc>
        <w:tc>
          <w:tcPr>
            <w:tcW w:w="1386" w:type="dxa"/>
            <w:tcBorders>
              <w:top w:val="nil"/>
              <w:left w:val="nil"/>
              <w:bottom w:val="single" w:sz="8" w:space="0" w:color="95B3D7"/>
              <w:right w:val="single" w:sz="8" w:space="0" w:color="95B3D7"/>
            </w:tcBorders>
            <w:shd w:val="clear" w:color="000000" w:fill="DBE5F1"/>
            <w:noWrap/>
            <w:vAlign w:val="center"/>
            <w:hideMark/>
          </w:tcPr>
          <w:p w14:paraId="5B0467AC"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0</w:t>
            </w:r>
          </w:p>
        </w:tc>
        <w:tc>
          <w:tcPr>
            <w:tcW w:w="1152" w:type="dxa"/>
            <w:tcBorders>
              <w:top w:val="nil"/>
              <w:left w:val="nil"/>
              <w:bottom w:val="single" w:sz="8" w:space="0" w:color="95B3D7"/>
              <w:right w:val="single" w:sz="8" w:space="0" w:color="95B3D7"/>
            </w:tcBorders>
            <w:shd w:val="clear" w:color="000000" w:fill="DBE5F1"/>
            <w:noWrap/>
            <w:vAlign w:val="center"/>
            <w:hideMark/>
          </w:tcPr>
          <w:p w14:paraId="530A0FF8"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1</w:t>
            </w:r>
          </w:p>
        </w:tc>
        <w:tc>
          <w:tcPr>
            <w:tcW w:w="2116" w:type="dxa"/>
            <w:tcBorders>
              <w:top w:val="nil"/>
              <w:left w:val="nil"/>
              <w:bottom w:val="single" w:sz="8" w:space="0" w:color="95B3D7"/>
              <w:right w:val="single" w:sz="8" w:space="0" w:color="95B3D7"/>
            </w:tcBorders>
            <w:shd w:val="clear" w:color="000000" w:fill="DBE5F1"/>
            <w:noWrap/>
            <w:vAlign w:val="center"/>
            <w:hideMark/>
          </w:tcPr>
          <w:p w14:paraId="441378CE"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1</w:t>
            </w:r>
          </w:p>
        </w:tc>
      </w:tr>
      <w:tr w:rsidR="00117B9F" w:rsidRPr="00F620D5" w14:paraId="044772F7" w14:textId="77777777" w:rsidTr="005F4507">
        <w:tc>
          <w:tcPr>
            <w:tcW w:w="3095" w:type="dxa"/>
            <w:tcBorders>
              <w:top w:val="nil"/>
              <w:left w:val="single" w:sz="8" w:space="0" w:color="95B3D7"/>
              <w:bottom w:val="single" w:sz="8" w:space="0" w:color="95B3D7"/>
              <w:right w:val="single" w:sz="8" w:space="0" w:color="95B3D7"/>
            </w:tcBorders>
            <w:shd w:val="clear" w:color="auto" w:fill="auto"/>
            <w:vAlign w:val="center"/>
            <w:hideMark/>
          </w:tcPr>
          <w:p w14:paraId="541CB8CB" w14:textId="77777777" w:rsidR="00117B9F" w:rsidRPr="00FC6803" w:rsidRDefault="00117B9F" w:rsidP="005F4507">
            <w:pPr>
              <w:rPr>
                <w:rFonts w:eastAsia="Times New Roman"/>
                <w:b/>
                <w:bCs/>
                <w:color w:val="000000"/>
                <w:sz w:val="20"/>
                <w:lang w:eastAsia="en-US"/>
              </w:rPr>
            </w:pPr>
            <w:r w:rsidRPr="00FC6803">
              <w:rPr>
                <w:rFonts w:eastAsia="Times New Roman"/>
                <w:b/>
                <w:bCs/>
                <w:color w:val="000000"/>
                <w:sz w:val="20"/>
                <w:lang w:eastAsia="en-US"/>
              </w:rPr>
              <w:t>Anciennes recommandations du vérificateur externe des comptes suivies par la</w:t>
            </w:r>
            <w:r>
              <w:rPr>
                <w:rFonts w:eastAsia="Times New Roman"/>
                <w:b/>
                <w:bCs/>
                <w:color w:val="000000"/>
                <w:sz w:val="20"/>
                <w:lang w:eastAsia="en-US"/>
              </w:rPr>
              <w:t> </w:t>
            </w:r>
            <w:r w:rsidRPr="00FC6803">
              <w:rPr>
                <w:rFonts w:eastAsia="Times New Roman"/>
                <w:b/>
                <w:bCs/>
                <w:color w:val="000000"/>
                <w:sz w:val="20"/>
                <w:lang w:eastAsia="en-US"/>
              </w:rPr>
              <w:t>DSI</w:t>
            </w:r>
          </w:p>
        </w:tc>
        <w:tc>
          <w:tcPr>
            <w:tcW w:w="1587" w:type="dxa"/>
            <w:tcBorders>
              <w:top w:val="nil"/>
              <w:left w:val="nil"/>
              <w:bottom w:val="single" w:sz="8" w:space="0" w:color="95B3D7"/>
              <w:right w:val="single" w:sz="8" w:space="0" w:color="95B3D7"/>
            </w:tcBorders>
            <w:shd w:val="clear" w:color="auto" w:fill="auto"/>
            <w:noWrap/>
            <w:vAlign w:val="center"/>
            <w:hideMark/>
          </w:tcPr>
          <w:p w14:paraId="6CEA1B56"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14</w:t>
            </w:r>
          </w:p>
        </w:tc>
        <w:tc>
          <w:tcPr>
            <w:tcW w:w="1386" w:type="dxa"/>
            <w:tcBorders>
              <w:top w:val="nil"/>
              <w:left w:val="nil"/>
              <w:bottom w:val="single" w:sz="8" w:space="0" w:color="95B3D7"/>
              <w:right w:val="single" w:sz="8" w:space="0" w:color="95B3D7"/>
            </w:tcBorders>
            <w:shd w:val="clear" w:color="auto" w:fill="auto"/>
            <w:noWrap/>
            <w:vAlign w:val="center"/>
            <w:hideMark/>
          </w:tcPr>
          <w:p w14:paraId="6C27990B"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0</w:t>
            </w:r>
          </w:p>
        </w:tc>
        <w:tc>
          <w:tcPr>
            <w:tcW w:w="1152" w:type="dxa"/>
            <w:tcBorders>
              <w:top w:val="nil"/>
              <w:left w:val="nil"/>
              <w:bottom w:val="single" w:sz="8" w:space="0" w:color="95B3D7"/>
              <w:right w:val="single" w:sz="8" w:space="0" w:color="95B3D7"/>
            </w:tcBorders>
            <w:shd w:val="clear" w:color="auto" w:fill="auto"/>
            <w:noWrap/>
            <w:vAlign w:val="center"/>
            <w:hideMark/>
          </w:tcPr>
          <w:p w14:paraId="46271CED"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5</w:t>
            </w:r>
          </w:p>
        </w:tc>
        <w:tc>
          <w:tcPr>
            <w:tcW w:w="2116" w:type="dxa"/>
            <w:tcBorders>
              <w:top w:val="nil"/>
              <w:left w:val="nil"/>
              <w:bottom w:val="single" w:sz="8" w:space="0" w:color="95B3D7"/>
              <w:right w:val="single" w:sz="8" w:space="0" w:color="95B3D7"/>
            </w:tcBorders>
            <w:shd w:val="clear" w:color="auto" w:fill="auto"/>
            <w:noWrap/>
            <w:vAlign w:val="center"/>
            <w:hideMark/>
          </w:tcPr>
          <w:p w14:paraId="658D9985" w14:textId="77777777" w:rsidR="00117B9F" w:rsidRPr="00F620D5" w:rsidRDefault="00117B9F" w:rsidP="005F4507">
            <w:pPr>
              <w:jc w:val="center"/>
              <w:rPr>
                <w:rFonts w:eastAsia="Times New Roman"/>
                <w:color w:val="000000"/>
                <w:sz w:val="20"/>
                <w:lang w:eastAsia="en-US"/>
              </w:rPr>
            </w:pPr>
            <w:r w:rsidRPr="00F620D5">
              <w:rPr>
                <w:rFonts w:eastAsia="Times New Roman"/>
                <w:color w:val="000000"/>
                <w:sz w:val="20"/>
                <w:lang w:eastAsia="en-US"/>
              </w:rPr>
              <w:t>9</w:t>
            </w:r>
          </w:p>
        </w:tc>
      </w:tr>
      <w:tr w:rsidR="00117B9F" w:rsidRPr="00F620D5" w14:paraId="40DA0E19" w14:textId="77777777" w:rsidTr="005F4507">
        <w:tc>
          <w:tcPr>
            <w:tcW w:w="3095" w:type="dxa"/>
            <w:tcBorders>
              <w:top w:val="nil"/>
              <w:left w:val="single" w:sz="8" w:space="0" w:color="95B3D7"/>
              <w:bottom w:val="single" w:sz="8" w:space="0" w:color="95B3D7"/>
              <w:right w:val="single" w:sz="8" w:space="0" w:color="95B3D7"/>
            </w:tcBorders>
            <w:shd w:val="clear" w:color="000000" w:fill="DBE5F1"/>
            <w:noWrap/>
            <w:vAlign w:val="center"/>
            <w:hideMark/>
          </w:tcPr>
          <w:p w14:paraId="44121392" w14:textId="77777777" w:rsidR="00117B9F" w:rsidRPr="00F620D5" w:rsidRDefault="00117B9F" w:rsidP="005F4507">
            <w:pPr>
              <w:rPr>
                <w:rFonts w:eastAsia="Times New Roman"/>
                <w:b/>
                <w:bCs/>
                <w:color w:val="000000"/>
                <w:sz w:val="20"/>
                <w:lang w:eastAsia="en-US"/>
              </w:rPr>
            </w:pPr>
            <w:r w:rsidRPr="00F620D5">
              <w:rPr>
                <w:rFonts w:eastAsia="Times New Roman"/>
                <w:b/>
                <w:bCs/>
                <w:color w:val="000000"/>
                <w:sz w:val="20"/>
                <w:lang w:eastAsia="en-US"/>
              </w:rPr>
              <w:t>Total</w:t>
            </w:r>
          </w:p>
        </w:tc>
        <w:tc>
          <w:tcPr>
            <w:tcW w:w="1587" w:type="dxa"/>
            <w:tcBorders>
              <w:top w:val="nil"/>
              <w:left w:val="nil"/>
              <w:bottom w:val="single" w:sz="8" w:space="0" w:color="95B3D7"/>
              <w:right w:val="single" w:sz="8" w:space="0" w:color="95B3D7"/>
            </w:tcBorders>
            <w:shd w:val="clear" w:color="000000" w:fill="DBE5F1"/>
            <w:noWrap/>
            <w:vAlign w:val="center"/>
            <w:hideMark/>
          </w:tcPr>
          <w:p w14:paraId="04859778" w14:textId="77777777" w:rsidR="00117B9F" w:rsidRPr="00F620D5" w:rsidRDefault="00117B9F" w:rsidP="005F4507">
            <w:pPr>
              <w:jc w:val="center"/>
              <w:rPr>
                <w:rFonts w:eastAsia="Times New Roman"/>
                <w:b/>
                <w:bCs/>
                <w:color w:val="000000"/>
                <w:sz w:val="20"/>
                <w:lang w:eastAsia="en-US"/>
              </w:rPr>
            </w:pPr>
            <w:r w:rsidRPr="00F620D5">
              <w:rPr>
                <w:rFonts w:eastAsia="Times New Roman"/>
                <w:b/>
                <w:bCs/>
                <w:color w:val="000000"/>
                <w:sz w:val="20"/>
                <w:lang w:eastAsia="en-US"/>
              </w:rPr>
              <w:t>155</w:t>
            </w:r>
          </w:p>
        </w:tc>
        <w:tc>
          <w:tcPr>
            <w:tcW w:w="1386" w:type="dxa"/>
            <w:tcBorders>
              <w:top w:val="nil"/>
              <w:left w:val="nil"/>
              <w:bottom w:val="single" w:sz="8" w:space="0" w:color="95B3D7"/>
              <w:right w:val="single" w:sz="8" w:space="0" w:color="95B3D7"/>
            </w:tcBorders>
            <w:shd w:val="clear" w:color="000000" w:fill="DBE5F1"/>
            <w:noWrap/>
            <w:vAlign w:val="center"/>
            <w:hideMark/>
          </w:tcPr>
          <w:p w14:paraId="14107864" w14:textId="77777777" w:rsidR="00117B9F" w:rsidRPr="00F620D5" w:rsidRDefault="00117B9F" w:rsidP="005F4507">
            <w:pPr>
              <w:jc w:val="center"/>
              <w:rPr>
                <w:rFonts w:eastAsia="Times New Roman"/>
                <w:b/>
                <w:bCs/>
                <w:color w:val="000000"/>
                <w:sz w:val="20"/>
                <w:lang w:eastAsia="en-US"/>
              </w:rPr>
            </w:pPr>
            <w:r w:rsidRPr="00F620D5">
              <w:rPr>
                <w:rFonts w:eastAsia="Times New Roman"/>
                <w:b/>
                <w:bCs/>
                <w:color w:val="000000"/>
                <w:sz w:val="20"/>
                <w:lang w:eastAsia="en-US"/>
              </w:rPr>
              <w:t>2</w:t>
            </w:r>
            <w:r>
              <w:rPr>
                <w:rFonts w:eastAsia="Times New Roman"/>
                <w:b/>
                <w:bCs/>
                <w:color w:val="000000"/>
                <w:sz w:val="20"/>
                <w:lang w:eastAsia="en-US"/>
              </w:rPr>
              <w:t>4</w:t>
            </w:r>
          </w:p>
        </w:tc>
        <w:tc>
          <w:tcPr>
            <w:tcW w:w="1152" w:type="dxa"/>
            <w:tcBorders>
              <w:top w:val="nil"/>
              <w:left w:val="nil"/>
              <w:bottom w:val="single" w:sz="8" w:space="0" w:color="95B3D7"/>
              <w:right w:val="single" w:sz="8" w:space="0" w:color="95B3D7"/>
            </w:tcBorders>
            <w:shd w:val="clear" w:color="000000" w:fill="DBE5F1"/>
            <w:noWrap/>
            <w:vAlign w:val="center"/>
            <w:hideMark/>
          </w:tcPr>
          <w:p w14:paraId="56E744BB" w14:textId="77777777" w:rsidR="00117B9F" w:rsidRPr="00F620D5" w:rsidRDefault="00117B9F" w:rsidP="005F4507">
            <w:pPr>
              <w:jc w:val="center"/>
              <w:rPr>
                <w:rFonts w:eastAsia="Times New Roman"/>
                <w:b/>
                <w:bCs/>
                <w:color w:val="000000"/>
                <w:sz w:val="20"/>
                <w:lang w:eastAsia="en-US"/>
              </w:rPr>
            </w:pPr>
            <w:r w:rsidRPr="00F620D5">
              <w:rPr>
                <w:rFonts w:eastAsia="Times New Roman"/>
                <w:b/>
                <w:bCs/>
                <w:color w:val="000000"/>
                <w:sz w:val="20"/>
                <w:lang w:eastAsia="en-US"/>
              </w:rPr>
              <w:t>62</w:t>
            </w:r>
          </w:p>
        </w:tc>
        <w:tc>
          <w:tcPr>
            <w:tcW w:w="2116" w:type="dxa"/>
            <w:tcBorders>
              <w:top w:val="nil"/>
              <w:left w:val="nil"/>
              <w:bottom w:val="single" w:sz="8" w:space="0" w:color="95B3D7"/>
              <w:right w:val="single" w:sz="8" w:space="0" w:color="95B3D7"/>
            </w:tcBorders>
            <w:shd w:val="clear" w:color="000000" w:fill="DBE5F1"/>
            <w:noWrap/>
            <w:vAlign w:val="center"/>
            <w:hideMark/>
          </w:tcPr>
          <w:p w14:paraId="0144A0D0" w14:textId="77777777" w:rsidR="00117B9F" w:rsidRPr="00F620D5" w:rsidRDefault="00117B9F" w:rsidP="005F4507">
            <w:pPr>
              <w:jc w:val="center"/>
              <w:rPr>
                <w:rFonts w:eastAsia="Times New Roman"/>
                <w:b/>
                <w:bCs/>
                <w:color w:val="000000"/>
                <w:sz w:val="20"/>
                <w:lang w:eastAsia="en-US"/>
              </w:rPr>
            </w:pPr>
            <w:r w:rsidRPr="00F620D5">
              <w:rPr>
                <w:rFonts w:eastAsia="Times New Roman"/>
                <w:b/>
                <w:bCs/>
                <w:color w:val="000000"/>
                <w:sz w:val="20"/>
                <w:lang w:eastAsia="en-US"/>
              </w:rPr>
              <w:t>11</w:t>
            </w:r>
            <w:r>
              <w:rPr>
                <w:rFonts w:eastAsia="Times New Roman"/>
                <w:b/>
                <w:bCs/>
                <w:color w:val="000000"/>
                <w:sz w:val="20"/>
                <w:lang w:eastAsia="en-US"/>
              </w:rPr>
              <w:t>7</w:t>
            </w:r>
          </w:p>
        </w:tc>
      </w:tr>
    </w:tbl>
    <w:p w14:paraId="5CF04904" w14:textId="3E95B702" w:rsidR="00C5485D" w:rsidRDefault="00117B9F" w:rsidP="005F4507">
      <w:pPr>
        <w:pStyle w:val="ONUMFS"/>
        <w:numPr>
          <w:ilvl w:val="0"/>
          <w:numId w:val="0"/>
        </w:numPr>
        <w:rPr>
          <w:sz w:val="18"/>
        </w:rPr>
      </w:pPr>
      <w:r w:rsidRPr="005F4507">
        <w:rPr>
          <w:sz w:val="18"/>
        </w:rPr>
        <w:t>Note</w:t>
      </w:r>
      <w:r w:rsidR="00AE63B3">
        <w:rPr>
          <w:sz w:val="18"/>
        </w:rPr>
        <w:t> :</w:t>
      </w:r>
      <w:r w:rsidRPr="005F4507">
        <w:rPr>
          <w:sz w:val="18"/>
        </w:rPr>
        <w:t xml:space="preserve"> Les plans d</w:t>
      </w:r>
      <w:r w:rsidR="00F82D32">
        <w:rPr>
          <w:sz w:val="18"/>
        </w:rPr>
        <w:t>’</w:t>
      </w:r>
      <w:r w:rsidRPr="005F4507">
        <w:rPr>
          <w:sz w:val="18"/>
        </w:rPr>
        <w:t>action de la direction découlant des recommandations formulées par le vérificateur externe des comptes à la suite des audits effectués au cours de l</w:t>
      </w:r>
      <w:r w:rsidR="00F82D32">
        <w:rPr>
          <w:sz w:val="18"/>
        </w:rPr>
        <w:t>’</w:t>
      </w:r>
      <w:r w:rsidRPr="005F4507">
        <w:rPr>
          <w:sz w:val="18"/>
        </w:rPr>
        <w:t>exercice biennal 2018</w:t>
      </w:r>
      <w:r w:rsidR="007379C2">
        <w:rPr>
          <w:sz w:val="18"/>
        </w:rPr>
        <w:noBreakHyphen/>
      </w:r>
      <w:r w:rsidRPr="005F4507">
        <w:rPr>
          <w:sz w:val="18"/>
        </w:rPr>
        <w:t>2019 ont été communiqués et ajoutés au système de gestion des recommandations en janvier 2020.</w:t>
      </w:r>
    </w:p>
    <w:p w14:paraId="47C596F0" w14:textId="44638E31" w:rsidR="00C5485D" w:rsidRDefault="00BE305D" w:rsidP="00AE63B3">
      <w:pPr>
        <w:pStyle w:val="ONUMFS"/>
        <w:keepNext/>
      </w:pPr>
      <w:r>
        <w:t xml:space="preserve">La figure </w:t>
      </w:r>
      <w:r w:rsidR="00117B9F" w:rsidRPr="00FC6803">
        <w:t>ci</w:t>
      </w:r>
      <w:r w:rsidR="007379C2">
        <w:noBreakHyphen/>
      </w:r>
      <w:r w:rsidR="00117B9F" w:rsidRPr="00FC6803">
        <w:t>dessous résume l</w:t>
      </w:r>
      <w:r w:rsidR="00F82D32">
        <w:t>’</w:t>
      </w:r>
      <w:r w:rsidR="00117B9F" w:rsidRPr="00FC6803">
        <w:t>évolution des recommandations ouvertes au 31</w:t>
      </w:r>
      <w:r w:rsidR="00117B9F">
        <w:t> </w:t>
      </w:r>
      <w:r w:rsidR="00117B9F" w:rsidRPr="00FC6803">
        <w:t>décembre</w:t>
      </w:r>
      <w:r w:rsidR="00117B9F">
        <w:t> </w:t>
      </w:r>
      <w:r w:rsidR="00117B9F" w:rsidRPr="00FC6803">
        <w:t>2019.</w:t>
      </w:r>
    </w:p>
    <w:p w14:paraId="5F76E84A" w14:textId="61A775FE" w:rsidR="00C5485D" w:rsidRDefault="00BE305D" w:rsidP="005F4507">
      <w:pPr>
        <w:pStyle w:val="Heading6"/>
      </w:pPr>
      <w:r>
        <w:t>Figure</w:t>
      </w:r>
      <w:r w:rsidR="00117B9F">
        <w:t> 4 – Suivi des recommandations anciennes de la DSI demeurant ouvertes, par degré de priorité (117)</w:t>
      </w:r>
    </w:p>
    <w:p w14:paraId="596EF3BB" w14:textId="77777777" w:rsidR="00C5485D" w:rsidRDefault="005F4507" w:rsidP="005F4507">
      <w:pPr>
        <w:pStyle w:val="Heading6"/>
      </w:pPr>
      <w:r w:rsidRPr="005F4507">
        <w:rPr>
          <w:noProof/>
          <w:lang w:val="en-US" w:eastAsia="en-US"/>
        </w:rPr>
        <w:drawing>
          <wp:inline distT="0" distB="0" distL="0" distR="0" wp14:anchorId="1F601A9A" wp14:editId="607379B3">
            <wp:extent cx="5775960" cy="2491740"/>
            <wp:effectExtent l="0" t="0" r="0" b="3810"/>
            <wp:docPr id="15" name="Picture 15" descr="Suivi des recommandations anciennes de la DSI demeurant ouvertes, par degré de priorité (117)" title="Figure 4 - Suivi des recommandations anciennes de la DSI demeurant ouvertes, par degré de prio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5960" cy="2491740"/>
                    </a:xfrm>
                    <a:prstGeom prst="rect">
                      <a:avLst/>
                    </a:prstGeom>
                    <a:noFill/>
                    <a:ln>
                      <a:noFill/>
                    </a:ln>
                  </pic:spPr>
                </pic:pic>
              </a:graphicData>
            </a:graphic>
          </wp:inline>
        </w:drawing>
      </w:r>
    </w:p>
    <w:p w14:paraId="78FD4776" w14:textId="77777777" w:rsidR="00C5485D" w:rsidRDefault="00117B9F" w:rsidP="005F4507">
      <w:pPr>
        <w:pStyle w:val="ONUMFS"/>
      </w:pPr>
      <w:r w:rsidRPr="00000866">
        <w:t>Le nombre de recommandations en suspens formulées avant 2016 a été ramené de 34 à 24 au cours de la période considér</w:t>
      </w:r>
      <w:r w:rsidR="00EF3A93" w:rsidRPr="00000866">
        <w:t>ée</w:t>
      </w:r>
      <w:r w:rsidR="00EF3A93">
        <w:t>.  La</w:t>
      </w:r>
      <w:r>
        <w:t> DSI continue de collaborer avec la direction afin de réduire le nombre de recommandations anciennes demeurant ouvertes.</w:t>
      </w:r>
    </w:p>
    <w:p w14:paraId="75E1B407" w14:textId="38B4A8F2" w:rsidR="00C5485D" w:rsidRDefault="00117B9F" w:rsidP="005F4507">
      <w:pPr>
        <w:pStyle w:val="ONUMFS"/>
      </w:pPr>
      <w:r w:rsidRPr="003E4C24">
        <w:lastRenderedPageBreak/>
        <w:t xml:space="preserve">Le nombre de recommandations </w:t>
      </w:r>
      <w:r>
        <w:t>ouvertes</w:t>
      </w:r>
      <w:r w:rsidRPr="003E4C24">
        <w:t xml:space="preserve"> par programme de l</w:t>
      </w:r>
      <w:r w:rsidR="00F82D32">
        <w:t>’</w:t>
      </w:r>
      <w:r w:rsidRPr="003E4C24">
        <w:t>OMPI</w:t>
      </w:r>
      <w:r>
        <w:rPr>
          <w:rStyle w:val="FootnoteReference"/>
        </w:rPr>
        <w:footnoteReference w:id="16"/>
      </w:r>
      <w:r w:rsidRPr="003E4C24">
        <w:t xml:space="preserve"> et </w:t>
      </w:r>
      <w:r>
        <w:t xml:space="preserve">degré de </w:t>
      </w:r>
      <w:r w:rsidRPr="003E4C24">
        <w:t>priorité au 31</w:t>
      </w:r>
      <w:r>
        <w:t> </w:t>
      </w:r>
      <w:r w:rsidRPr="003E4C24">
        <w:t>décembre</w:t>
      </w:r>
      <w:r>
        <w:t> </w:t>
      </w:r>
      <w:r w:rsidRPr="003E4C24">
        <w:t>2019 est indiqué ci</w:t>
      </w:r>
      <w:r w:rsidR="007379C2">
        <w:noBreakHyphen/>
      </w:r>
      <w:r w:rsidRPr="003E4C24">
        <w:t>après.</w:t>
      </w:r>
    </w:p>
    <w:p w14:paraId="00710936" w14:textId="71ED3DF5" w:rsidR="00C5485D" w:rsidRDefault="00BE305D" w:rsidP="005F4507">
      <w:pPr>
        <w:pStyle w:val="Heading6"/>
      </w:pPr>
      <w:r>
        <w:t>Figure</w:t>
      </w:r>
      <w:r w:rsidR="00117B9F">
        <w:t> </w:t>
      </w:r>
      <w:r w:rsidR="00117B9F" w:rsidRPr="003E4C24">
        <w:t xml:space="preserve">5 – Recommandations par programme et </w:t>
      </w:r>
      <w:r w:rsidR="00117B9F">
        <w:t xml:space="preserve">par degré de </w:t>
      </w:r>
      <w:r w:rsidR="00117B9F" w:rsidRPr="003E4C24">
        <w:t>priorité (117)</w:t>
      </w:r>
    </w:p>
    <w:p w14:paraId="09C0CA6F" w14:textId="77777777" w:rsidR="00C5485D" w:rsidRDefault="005F4507" w:rsidP="005F4507">
      <w:pPr>
        <w:pStyle w:val="Heading6"/>
      </w:pPr>
      <w:r w:rsidRPr="005F4507">
        <w:rPr>
          <w:noProof/>
          <w:lang w:val="en-US" w:eastAsia="en-US"/>
        </w:rPr>
        <w:drawing>
          <wp:inline distT="0" distB="0" distL="0" distR="0" wp14:anchorId="15AC9962" wp14:editId="0C8AF684">
            <wp:extent cx="5941060" cy="2885268"/>
            <wp:effectExtent l="0" t="0" r="2540" b="0"/>
            <wp:docPr id="16" name="Picture 16" descr="Recommandations par programme et par degré de priorité (117)" title="Figure 5 - Recommandations par programme et par degré de prio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060" cy="2885268"/>
                    </a:xfrm>
                    <a:prstGeom prst="rect">
                      <a:avLst/>
                    </a:prstGeom>
                    <a:noFill/>
                    <a:ln>
                      <a:noFill/>
                    </a:ln>
                  </pic:spPr>
                </pic:pic>
              </a:graphicData>
            </a:graphic>
          </wp:inline>
        </w:drawing>
      </w:r>
    </w:p>
    <w:p w14:paraId="00B1AF14" w14:textId="0140F08B" w:rsidR="00C5485D" w:rsidRDefault="00117B9F" w:rsidP="005F4507">
      <w:pPr>
        <w:pStyle w:val="ONUMFS"/>
      </w:pPr>
      <w:r w:rsidRPr="00583D1C">
        <w:t>Trois programmes représentent 41% des 41</w:t>
      </w:r>
      <w:r>
        <w:t> </w:t>
      </w:r>
      <w:r w:rsidRPr="00583D1C">
        <w:t xml:space="preserve">recommandations </w:t>
      </w:r>
      <w:r>
        <w:t xml:space="preserve">hautement </w:t>
      </w:r>
      <w:r w:rsidRPr="00583D1C">
        <w:t>prioritaires</w:t>
      </w:r>
      <w:r w:rsidR="00AE63B3">
        <w:t> :</w:t>
      </w:r>
      <w:r w:rsidRPr="00583D1C">
        <w:t xml:space="preserve"> le programme</w:t>
      </w:r>
      <w:r>
        <w:t> </w:t>
      </w:r>
      <w:r w:rsidRPr="00583D1C">
        <w:t>19 (Communications), le programme</w:t>
      </w:r>
      <w:r>
        <w:t> </w:t>
      </w:r>
      <w:r w:rsidRPr="00583D1C">
        <w:t>9 (Afrique, pays arabes, Asie et Pacifique, pays d</w:t>
      </w:r>
      <w:r w:rsidR="00F82D32">
        <w:t>’</w:t>
      </w:r>
      <w:r w:rsidRPr="00583D1C">
        <w:t>Amérique latine et des Caraïbes, pays les moins avancés)</w:t>
      </w:r>
      <w:r>
        <w:t xml:space="preserve"> </w:t>
      </w:r>
      <w:r w:rsidRPr="00583D1C">
        <w:t>et le programme</w:t>
      </w:r>
      <w:r>
        <w:t> </w:t>
      </w:r>
      <w:r w:rsidRPr="00583D1C">
        <w:t>23 (Gestion et mise en valeur des ressources humaines).</w:t>
      </w:r>
    </w:p>
    <w:p w14:paraId="0F23BA05" w14:textId="77777777" w:rsidR="00C5485D" w:rsidRDefault="00117B9F" w:rsidP="005F4507">
      <w:pPr>
        <w:pStyle w:val="Heading2"/>
      </w:pPr>
      <w:bookmarkStart w:id="26" w:name="_Toc44428406"/>
      <w:r w:rsidRPr="00583D1C">
        <w:t>Activités consultatives et de conseil en matière de supervision</w:t>
      </w:r>
      <w:bookmarkEnd w:id="26"/>
    </w:p>
    <w:p w14:paraId="76CAE728" w14:textId="77777777" w:rsidR="00C5485D" w:rsidRDefault="00117B9F" w:rsidP="005F4507">
      <w:pPr>
        <w:pStyle w:val="ONUMFS"/>
      </w:pPr>
      <w:r w:rsidRPr="00A45E00">
        <w:t>Dans le cadre de ses services consultatifs, la</w:t>
      </w:r>
      <w:r>
        <w:t> </w:t>
      </w:r>
      <w:r w:rsidRPr="00A45E00">
        <w:t>DSI a continué de fournir des conseils sur les documents de politique générale, les évaluations, les processus opérationnels ou le cadre réglementaire.</w:t>
      </w:r>
    </w:p>
    <w:p w14:paraId="2DA362C9" w14:textId="237AC3E4" w:rsidR="00C5485D" w:rsidRDefault="00117B9F" w:rsidP="005F4507">
      <w:pPr>
        <w:pStyle w:val="ONUMFS"/>
      </w:pPr>
      <w:r w:rsidRPr="00A45E00">
        <w:t>Au cours de la période considérée, la</w:t>
      </w:r>
      <w:r>
        <w:t> </w:t>
      </w:r>
      <w:r w:rsidRPr="00A45E00">
        <w:t>DSI a donné au Cabinet du Directeur général des avis sur l</w:t>
      </w:r>
      <w:r w:rsidR="00F82D32">
        <w:t>’</w:t>
      </w:r>
      <w:r w:rsidRPr="00A45E00">
        <w:t xml:space="preserve">évaluation des bureaux extérieurs </w:t>
      </w:r>
      <w:r>
        <w:t xml:space="preserve">prévue </w:t>
      </w:r>
      <w:r w:rsidRPr="00A45E00">
        <w:t>en</w:t>
      </w:r>
      <w:r>
        <w:t> </w:t>
      </w:r>
      <w:r w:rsidRPr="00A45E00">
        <w:t>2020</w:t>
      </w:r>
      <w:r w:rsidR="007379C2">
        <w:noBreakHyphen/>
      </w:r>
      <w:r w:rsidRPr="00A45E00">
        <w:t>2021, conformément à la décision de l</w:t>
      </w:r>
      <w:r w:rsidR="00F82D32">
        <w:t>’</w:t>
      </w:r>
      <w:r w:rsidRPr="00A45E00">
        <w:t>Assemblée généra</w:t>
      </w:r>
      <w:r w:rsidR="00EF3A93" w:rsidRPr="00A45E00">
        <w:t>le</w:t>
      </w:r>
      <w:r w:rsidR="00EF3A93">
        <w:t>.  Ce</w:t>
      </w:r>
      <w:r>
        <w:t>t avis a consisté en l</w:t>
      </w:r>
      <w:r w:rsidR="00F82D32">
        <w:t>’</w:t>
      </w:r>
      <w:r>
        <w:t>élaboration d</w:t>
      </w:r>
      <w:r w:rsidR="00F82D32">
        <w:t>’</w:t>
      </w:r>
      <w:r>
        <w:t>une grille d</w:t>
      </w:r>
      <w:r w:rsidR="00F82D32">
        <w:t>’</w:t>
      </w:r>
      <w:r>
        <w:t xml:space="preserve">évaluation </w:t>
      </w:r>
      <w:r>
        <w:lastRenderedPageBreak/>
        <w:t>contenant un ensemble non exhaustif de questions d</w:t>
      </w:r>
      <w:r w:rsidR="00F82D32">
        <w:t>’</w:t>
      </w:r>
      <w:r>
        <w:t>évaluation de base, de sources de données et d</w:t>
      </w:r>
      <w:r w:rsidR="00F82D32">
        <w:t>’</w:t>
      </w:r>
      <w:r>
        <w:t>emplacements de données.</w:t>
      </w:r>
    </w:p>
    <w:p w14:paraId="6CF9B691" w14:textId="798C5A63" w:rsidR="00C5485D" w:rsidRDefault="00117B9F" w:rsidP="005F4507">
      <w:pPr>
        <w:pStyle w:val="ONUMFS"/>
      </w:pPr>
      <w:r w:rsidRPr="00A45E00">
        <w:t>La Section de l</w:t>
      </w:r>
      <w:r w:rsidR="00F82D32">
        <w:t>’</w:t>
      </w:r>
      <w:r w:rsidRPr="00A45E00">
        <w:t xml:space="preserve">évaluation a reçu une demande de services consultatifs </w:t>
      </w:r>
      <w:r>
        <w:t xml:space="preserve">de la part </w:t>
      </w:r>
      <w:r w:rsidRPr="00A45E00">
        <w:t>du Bureau régional pour l</w:t>
      </w:r>
      <w:r w:rsidR="00F82D32">
        <w:t>’</w:t>
      </w:r>
      <w:r w:rsidRPr="00A45E00">
        <w:t xml:space="preserve">Asie et le Pacifique </w:t>
      </w:r>
      <w:r>
        <w:t>en vue de</w:t>
      </w:r>
      <w:r w:rsidRPr="00A45E00">
        <w:t xml:space="preserve"> procéder à une évaluation ex an</w:t>
      </w:r>
      <w:r w:rsidR="00EF3A93" w:rsidRPr="00A45E00">
        <w:t>te</w:t>
      </w:r>
      <w:r w:rsidR="00EF3A93">
        <w:t>.  Ce</w:t>
      </w:r>
      <w:r>
        <w:t>s travaux consultatifs sont axés sur le cadre de coopération technique et le système d</w:t>
      </w:r>
      <w:r w:rsidR="00F82D32">
        <w:t>’</w:t>
      </w:r>
      <w:r>
        <w:t>auto</w:t>
      </w:r>
      <w:r w:rsidR="007379C2">
        <w:noBreakHyphen/>
      </w:r>
      <w:r>
        <w:t>évaluation du Bureau région</w:t>
      </w:r>
      <w:r w:rsidR="00EF3A93">
        <w:t>al.  Ce</w:t>
      </w:r>
      <w:r>
        <w:t>tte évaluation ex ante vise à déterminer si le cadre technique est bien conçu et évaluable.</w:t>
      </w:r>
    </w:p>
    <w:p w14:paraId="50BCA52E" w14:textId="41465DF5" w:rsidR="00C5485D" w:rsidRDefault="00117B9F" w:rsidP="005F4507">
      <w:pPr>
        <w:pStyle w:val="ONUMFS"/>
      </w:pPr>
      <w:r w:rsidRPr="00C34868">
        <w:t>Plus précisément, les services consultatifs examineront le cadre du projet existant afin d</w:t>
      </w:r>
      <w:r w:rsidR="00F82D32">
        <w:t>’</w:t>
      </w:r>
      <w:r w:rsidRPr="00C34868">
        <w:t>en améliorer l</w:t>
      </w:r>
      <w:r w:rsidR="00F82D32">
        <w:t>’</w:t>
      </w:r>
      <w:r w:rsidRPr="00C34868">
        <w:t>efficacité, d</w:t>
      </w:r>
      <w:r w:rsidR="00F82D32">
        <w:t>’</w:t>
      </w:r>
      <w:r w:rsidRPr="00C34868">
        <w:t>en accroître l</w:t>
      </w:r>
      <w:r w:rsidR="00F82D32">
        <w:t>’</w:t>
      </w:r>
      <w:r w:rsidRPr="00C34868">
        <w:t>utilisation aux fins de la prise de décisions et d</w:t>
      </w:r>
      <w:r w:rsidR="00F82D32">
        <w:t>’</w:t>
      </w:r>
      <w:r w:rsidRPr="00C34868">
        <w:t>améliorer la communication des résulta</w:t>
      </w:r>
      <w:r w:rsidR="00EF3A93" w:rsidRPr="00C34868">
        <w:t>ts</w:t>
      </w:r>
      <w:r w:rsidR="00EF3A93">
        <w:t>.  Il</w:t>
      </w:r>
      <w:r>
        <w:t xml:space="preserve"> s</w:t>
      </w:r>
      <w:r w:rsidR="00F82D32">
        <w:t>’</w:t>
      </w:r>
      <w:r>
        <w:t>agira en outre d</w:t>
      </w:r>
      <w:r w:rsidR="00F82D32">
        <w:t>’</w:t>
      </w:r>
      <w:r>
        <w:t>évaluer l</w:t>
      </w:r>
      <w:r w:rsidR="00F82D32">
        <w:t>’</w:t>
      </w:r>
      <w:r>
        <w:t>efficacité du cadre en ce qui concerne la quantité d</w:t>
      </w:r>
      <w:r w:rsidR="00F82D32">
        <w:t>’</w:t>
      </w:r>
      <w:r>
        <w:t>informations recueillies et utilisées, ainsi que l</w:t>
      </w:r>
      <w:r w:rsidR="00F82D32">
        <w:t>’</w:t>
      </w:r>
      <w:r>
        <w:t>utilisation d</w:t>
      </w:r>
      <w:r w:rsidR="00F82D32">
        <w:t>’</w:t>
      </w:r>
      <w:r>
        <w:t>outils et de technologies facilitant la gestion des données au regard des ressources disponibl</w:t>
      </w:r>
      <w:r w:rsidR="00EF3A93">
        <w:t>es.  En</w:t>
      </w:r>
      <w:r>
        <w:t xml:space="preserve"> conséquence, la DSI formulera des recommandations présentant des options au Bureau régional pour l</w:t>
      </w:r>
      <w:r w:rsidR="00F82D32">
        <w:t>’</w:t>
      </w:r>
      <w:r>
        <w:t>aider dans l</w:t>
      </w:r>
      <w:r w:rsidR="00F82D32">
        <w:t>’</w:t>
      </w:r>
      <w:r>
        <w:t>élaboration d</w:t>
      </w:r>
      <w:r w:rsidR="00F82D32">
        <w:t>’</w:t>
      </w:r>
      <w:r>
        <w:t>un cadre technique utile et adapté.</w:t>
      </w:r>
    </w:p>
    <w:p w14:paraId="236531ED" w14:textId="77777777" w:rsidR="00C5485D" w:rsidRDefault="00117B9F" w:rsidP="005F4507">
      <w:pPr>
        <w:pStyle w:val="Heading2"/>
      </w:pPr>
      <w:bookmarkStart w:id="27" w:name="_Toc44428407"/>
      <w:r w:rsidRPr="00C34868">
        <w:t>Coordination avec les organismes de supervision externes</w:t>
      </w:r>
      <w:bookmarkEnd w:id="27"/>
    </w:p>
    <w:p w14:paraId="32548E5E" w14:textId="6BCD1847" w:rsidR="00C5485D" w:rsidRDefault="00117B9F" w:rsidP="005F4507">
      <w:pPr>
        <w:pStyle w:val="Heading3"/>
      </w:pPr>
      <w:r w:rsidRPr="00C34868">
        <w:t>L</w:t>
      </w:r>
      <w:r w:rsidR="00F82D32">
        <w:t>’</w:t>
      </w:r>
      <w:r w:rsidRPr="00C34868">
        <w:t>Organe consultatif indépendant de surveillance (OCIS)</w:t>
      </w:r>
    </w:p>
    <w:p w14:paraId="570B0871" w14:textId="61B81A48" w:rsidR="00C5485D" w:rsidRDefault="00117B9F" w:rsidP="005F4507">
      <w:pPr>
        <w:pStyle w:val="ONUMFS"/>
      </w:pPr>
      <w:r w:rsidRPr="00C34868">
        <w:t>La DSI a assisté régulièrement aux sessions de l</w:t>
      </w:r>
      <w:r w:rsidR="00F82D32">
        <w:t>’</w:t>
      </w:r>
      <w:r w:rsidRPr="00C34868">
        <w:t>OCIS, faisant rapport sur la mise en œuvre du plan de supervision interne, examinant les résultats de la supervision et d</w:t>
      </w:r>
      <w:r w:rsidR="00F82D32">
        <w:t>’</w:t>
      </w:r>
      <w:r w:rsidRPr="00C34868">
        <w:t>autres aspects concernant le travail et le fonctionnement de la Division et sollicitant l</w:t>
      </w:r>
      <w:r w:rsidR="00F82D32">
        <w:t>’</w:t>
      </w:r>
      <w:r w:rsidRPr="00C34868">
        <w:t>avis de l</w:t>
      </w:r>
      <w:r w:rsidR="00F82D32">
        <w:t>’</w:t>
      </w:r>
      <w:r w:rsidRPr="00C34868">
        <w:t xml:space="preserve">OCIS.  </w:t>
      </w:r>
      <w:r>
        <w:t>L</w:t>
      </w:r>
      <w:r w:rsidR="00F82D32">
        <w:t>’</w:t>
      </w:r>
      <w:r>
        <w:t>OCIS a tenu ses cinquante</w:t>
      </w:r>
      <w:r w:rsidR="007379C2">
        <w:noBreakHyphen/>
      </w:r>
      <w:r>
        <w:t>quatrième à cinquante</w:t>
      </w:r>
      <w:r w:rsidR="007379C2">
        <w:noBreakHyphen/>
      </w:r>
      <w:r>
        <w:t>cinqu</w:t>
      </w:r>
      <w:r w:rsidR="00AE63B3">
        <w:t>ième session</w:t>
      </w:r>
      <w:r>
        <w:t>s pendant la période couverte par le présent rapport.</w:t>
      </w:r>
    </w:p>
    <w:p w14:paraId="587247C5" w14:textId="77777777" w:rsidR="00C5485D" w:rsidRDefault="00117B9F" w:rsidP="005F4507">
      <w:pPr>
        <w:pStyle w:val="Heading3"/>
      </w:pPr>
      <w:r w:rsidRPr="00C34868">
        <w:t>Le vérificateur externe des comptes</w:t>
      </w:r>
    </w:p>
    <w:p w14:paraId="0F82C9A4" w14:textId="4B275081" w:rsidR="00C5485D" w:rsidRDefault="00117B9F" w:rsidP="005F4507">
      <w:pPr>
        <w:pStyle w:val="ONUMFS"/>
      </w:pPr>
      <w:r w:rsidRPr="00C34868">
        <w:t>La DSI entretient de bonnes relations de travail avec le vérificateur externe des comptes au moyen de réunions régulières sur les questions d</w:t>
      </w:r>
      <w:r w:rsidR="00F82D32">
        <w:t>’</w:t>
      </w:r>
      <w:r w:rsidRPr="00C34868">
        <w:t>audit, de contrôle interne et de gestion des risqu</w:t>
      </w:r>
      <w:r w:rsidR="00EF3A93" w:rsidRPr="00C34868">
        <w:t>es</w:t>
      </w:r>
      <w:r w:rsidR="00EF3A93">
        <w:t xml:space="preserve">.  </w:t>
      </w:r>
      <w:r w:rsidR="00EF3A93" w:rsidRPr="00C34868">
        <w:t>Le</w:t>
      </w:r>
      <w:r w:rsidRPr="00C34868">
        <w:t xml:space="preserve"> vérificateur externe des comptes et la</w:t>
      </w:r>
      <w:r>
        <w:t> </w:t>
      </w:r>
      <w:r w:rsidRPr="00C34868">
        <w:t>DSI ont partagé leurs stratégies, programmes de travail et rapports individuels en vue d</w:t>
      </w:r>
      <w:r w:rsidR="00F82D32">
        <w:t>’</w:t>
      </w:r>
      <w:r w:rsidRPr="00C34868">
        <w:t>assurer une couverture de supervision efficace et d</w:t>
      </w:r>
      <w:r w:rsidR="00F82D32">
        <w:t>’</w:t>
      </w:r>
      <w:r w:rsidRPr="00C34868">
        <w:t>éviter tout chevauchement inutile et toute lassitude en matière de supervision.</w:t>
      </w:r>
    </w:p>
    <w:p w14:paraId="36746183" w14:textId="7407B7A8" w:rsidR="00C5485D" w:rsidRDefault="00117B9F" w:rsidP="005F4507">
      <w:pPr>
        <w:pStyle w:val="ONUMFS"/>
      </w:pPr>
      <w:r w:rsidRPr="00C34868">
        <w:t>La DSI s</w:t>
      </w:r>
      <w:r w:rsidR="00F82D32">
        <w:t>’</w:t>
      </w:r>
      <w:r w:rsidRPr="00C34868">
        <w:t>est entretenue plusieurs fois avec le vérificateur externe des comptes du Bureau national de vérification des comptes du Royaume</w:t>
      </w:r>
      <w:r w:rsidR="007379C2">
        <w:noBreakHyphen/>
      </w:r>
      <w:r w:rsidRPr="00C34868">
        <w:t>Uni au cours de la période considérée et lui a communiqué le plan de travail annu</w:t>
      </w:r>
      <w:r w:rsidR="00EF3A93" w:rsidRPr="00C34868">
        <w:t>el</w:t>
      </w:r>
      <w:r w:rsidR="00EF3A93">
        <w:t xml:space="preserve">.  </w:t>
      </w:r>
      <w:r w:rsidR="00EF3A93" w:rsidRPr="00C34868">
        <w:t>La</w:t>
      </w:r>
      <w:r>
        <w:t> </w:t>
      </w:r>
      <w:r w:rsidRPr="00C34868">
        <w:t>DSI a collaboré activement avec les vérificateurs externes des comptes au cours de leurs audits de</w:t>
      </w:r>
      <w:r>
        <w:t> </w:t>
      </w:r>
      <w:r w:rsidRPr="00C34868">
        <w:t>2019 et a fourni les éléments nécessaires selon que de besoin.</w:t>
      </w:r>
    </w:p>
    <w:p w14:paraId="5473E245" w14:textId="77777777" w:rsidR="00C5485D" w:rsidRDefault="005F4507" w:rsidP="005F4507">
      <w:pPr>
        <w:pStyle w:val="Heading3"/>
      </w:pPr>
      <w:r w:rsidRPr="00C34868">
        <w:t>Coopération avec le Bureau du médiateur et le Bureau de la déontologie</w:t>
      </w:r>
    </w:p>
    <w:p w14:paraId="5FB1EB05" w14:textId="74BB1AEC" w:rsidR="00C5485D" w:rsidRDefault="00117B9F" w:rsidP="005F4507">
      <w:pPr>
        <w:pStyle w:val="ONUMFS"/>
      </w:pPr>
      <w:r w:rsidRPr="00C34868">
        <w:t>Au cours la période considérée, le directeur de la</w:t>
      </w:r>
      <w:r>
        <w:t> </w:t>
      </w:r>
      <w:r w:rsidRPr="00C34868">
        <w:t>DSI s</w:t>
      </w:r>
      <w:r w:rsidR="00F82D32">
        <w:t>’</w:t>
      </w:r>
      <w:r w:rsidRPr="00C34868">
        <w:t>est entretenu régulièrement avec le médiateur et le chef du Bureau de la déontologie pour assurer une bonne coordination et apporter un appui supplémentaire.</w:t>
      </w:r>
    </w:p>
    <w:p w14:paraId="476D0626" w14:textId="77777777" w:rsidR="00C5485D" w:rsidRDefault="00117B9F" w:rsidP="005F4507">
      <w:pPr>
        <w:pStyle w:val="Heading2"/>
      </w:pPr>
      <w:bookmarkStart w:id="28" w:name="_Toc44428408"/>
      <w:r w:rsidRPr="00C34868">
        <w:t>Autres activités de supervision</w:t>
      </w:r>
      <w:bookmarkEnd w:id="28"/>
    </w:p>
    <w:p w14:paraId="3EEA70D6" w14:textId="56CFB159" w:rsidR="00C5485D" w:rsidRDefault="00117B9F" w:rsidP="005F4507">
      <w:pPr>
        <w:pStyle w:val="Heading3"/>
      </w:pPr>
      <w:r w:rsidRPr="00C34868">
        <w:t>Activités de sensibilisation au sein de l</w:t>
      </w:r>
      <w:r w:rsidR="00F82D32">
        <w:t>’</w:t>
      </w:r>
      <w:r w:rsidRPr="00C34868">
        <w:t>Organisation</w:t>
      </w:r>
    </w:p>
    <w:p w14:paraId="2F6BFC90" w14:textId="4AB85E8F" w:rsidR="00C5485D" w:rsidRDefault="00117B9F" w:rsidP="005F4507">
      <w:pPr>
        <w:pStyle w:val="ONUMFS"/>
      </w:pPr>
      <w:r w:rsidRPr="00C34868">
        <w:t>Au titre des efforts qu</w:t>
      </w:r>
      <w:r w:rsidR="00F82D32">
        <w:t>’</w:t>
      </w:r>
      <w:r w:rsidRPr="00C34868">
        <w:t>elle déploie pour mieux expliquer et faire comprendre la fonction de supervision interne, la</w:t>
      </w:r>
      <w:r>
        <w:t> </w:t>
      </w:r>
      <w:r w:rsidRPr="00C34868">
        <w:t>DSI a poursuivi son travail de sensibilisation à l</w:t>
      </w:r>
      <w:r w:rsidR="00F82D32">
        <w:t>’</w:t>
      </w:r>
      <w:r w:rsidRPr="00C34868">
        <w:t>intention du personnel de l</w:t>
      </w:r>
      <w:r w:rsidR="00F82D32">
        <w:t>’</w:t>
      </w:r>
      <w:r w:rsidRPr="00C34868">
        <w:t>OMPI à travers l</w:t>
      </w:r>
      <w:r w:rsidR="00F82D32">
        <w:t>’</w:t>
      </w:r>
      <w:r w:rsidRPr="00C34868">
        <w:t>organisation de cours d</w:t>
      </w:r>
      <w:r w:rsidR="00F82D32">
        <w:t>’</w:t>
      </w:r>
      <w:r w:rsidRPr="00C34868">
        <w:t>initiation à l</w:t>
      </w:r>
      <w:r w:rsidR="00F82D32">
        <w:t>’</w:t>
      </w:r>
      <w:r w:rsidRPr="00C34868">
        <w:t xml:space="preserve">intention des nouveaux fonctionnaires, le </w:t>
      </w:r>
      <w:r w:rsidRPr="00C34868">
        <w:lastRenderedPageBreak/>
        <w:t>bulletin de la</w:t>
      </w:r>
      <w:r>
        <w:t> </w:t>
      </w:r>
      <w:r w:rsidRPr="00C34868">
        <w:t>DSI, le tableau de bord de la</w:t>
      </w:r>
      <w:r>
        <w:t> </w:t>
      </w:r>
      <w:r w:rsidRPr="00C34868">
        <w:t>DSI et les exposés présentés aux directeurs et à la haute direction selon que de besoin.</w:t>
      </w:r>
    </w:p>
    <w:p w14:paraId="087BE159" w14:textId="77777777" w:rsidR="00C5485D" w:rsidRDefault="00117B9F" w:rsidP="005F4507">
      <w:pPr>
        <w:pStyle w:val="Heading3"/>
      </w:pPr>
      <w:r>
        <w:t>Enquête de satisfaction</w:t>
      </w:r>
    </w:p>
    <w:p w14:paraId="4F26BB8F" w14:textId="129E3C5F" w:rsidR="00C5485D" w:rsidRDefault="00117B9F" w:rsidP="005F4507">
      <w:pPr>
        <w:pStyle w:val="ONUMFS"/>
      </w:pPr>
      <w:r w:rsidRPr="00C34868">
        <w:t xml:space="preserve">La DSI a continué </w:t>
      </w:r>
      <w:r>
        <w:t>de</w:t>
      </w:r>
      <w:r w:rsidRPr="00C34868">
        <w:t xml:space="preserve"> recueillir les avis des collègues de l</w:t>
      </w:r>
      <w:r w:rsidR="00F82D32">
        <w:t>’</w:t>
      </w:r>
      <w:r w:rsidRPr="00C34868">
        <w:t>OMPI dans les services ayant fait l</w:t>
      </w:r>
      <w:r w:rsidR="00F82D32">
        <w:t>’</w:t>
      </w:r>
      <w:r w:rsidRPr="00C34868">
        <w:t>objet d</w:t>
      </w:r>
      <w:r w:rsidR="00F82D32">
        <w:t>’</w:t>
      </w:r>
      <w:r w:rsidRPr="00C34868">
        <w:t>audits ou d</w:t>
      </w:r>
      <w:r w:rsidR="00F82D32">
        <w:t>’</w:t>
      </w:r>
      <w:r w:rsidRPr="00C34868">
        <w:t>évaluations au moyen d</w:t>
      </w:r>
      <w:r w:rsidR="00F82D32">
        <w:t>’</w:t>
      </w:r>
      <w:r w:rsidRPr="00C34868">
        <w:t>enquêtes sur le niveau de satisfaction des clients après chaque missi</w:t>
      </w:r>
      <w:r w:rsidR="00EF3A93" w:rsidRPr="00C34868">
        <w:t>on</w:t>
      </w:r>
      <w:r w:rsidR="00EF3A93">
        <w:t>.  L</w:t>
      </w:r>
      <w:r w:rsidR="00F82D32">
        <w:t>’</w:t>
      </w:r>
      <w:r w:rsidR="00EF3A93">
        <w:t>o</w:t>
      </w:r>
      <w:r>
        <w:t xml:space="preserve">bjectif est de recevoir et </w:t>
      </w:r>
      <w:r w:rsidRPr="00C34868">
        <w:t>d</w:t>
      </w:r>
      <w:r w:rsidR="00F82D32">
        <w:t>’</w:t>
      </w:r>
      <w:r w:rsidRPr="00C34868">
        <w:t>analyser efficacement les avis des collègues sur les activités de supervisi</w:t>
      </w:r>
      <w:r w:rsidR="00EF3A93" w:rsidRPr="00C34868">
        <w:t>on</w:t>
      </w:r>
      <w:r w:rsidR="00EF3A93">
        <w:t xml:space="preserve">.  À </w:t>
      </w:r>
      <w:r>
        <w:t>la fin de 2019, l</w:t>
      </w:r>
      <w:r w:rsidR="00F82D32">
        <w:t>’</w:t>
      </w:r>
      <w:r>
        <w:t>analyse globale des résultats de ces enquêtes révèle un taux de satisfaction de 85%.</w:t>
      </w:r>
    </w:p>
    <w:p w14:paraId="5116643E" w14:textId="3293FDB6" w:rsidR="00C5485D" w:rsidRDefault="00117B9F" w:rsidP="005F4507">
      <w:pPr>
        <w:pStyle w:val="ONUMFS"/>
      </w:pPr>
      <w:r w:rsidRPr="00C34868">
        <w:t>Les résultats des enquêtes effectuées un an après les missions, qui sont utilisés pour mesurer l</w:t>
      </w:r>
      <w:r w:rsidR="00F82D32">
        <w:t>’</w:t>
      </w:r>
      <w:r w:rsidRPr="00C34868">
        <w:t>incidence des activités de supervision, indiquaient un taux moyen de satisfaction de 76%.  La</w:t>
      </w:r>
      <w:r>
        <w:t> </w:t>
      </w:r>
      <w:r w:rsidRPr="00C34868">
        <w:t>DSI s</w:t>
      </w:r>
      <w:r w:rsidR="00F82D32">
        <w:t>’</w:t>
      </w:r>
      <w:r w:rsidRPr="00C34868">
        <w:t>emploiera à améliorer encore l</w:t>
      </w:r>
      <w:r w:rsidR="00F82D32">
        <w:t>’</w:t>
      </w:r>
      <w:r w:rsidRPr="00C34868">
        <w:t>i</w:t>
      </w:r>
      <w:r>
        <w:t>ncidence</w:t>
      </w:r>
      <w:r w:rsidRPr="00C34868">
        <w:t xml:space="preserve"> de ses activités de supervision compte tenu des observations transmises par les collègues.</w:t>
      </w:r>
    </w:p>
    <w:p w14:paraId="0A08D7E9" w14:textId="10DBD79F" w:rsidR="00C5485D" w:rsidRDefault="00117B9F" w:rsidP="005F4507">
      <w:pPr>
        <w:pStyle w:val="ONUMFS"/>
      </w:pPr>
      <w:r w:rsidRPr="00C34868">
        <w:t>Les observations supplémentaires communiquées par les services ayant fait l</w:t>
      </w:r>
      <w:r w:rsidR="00F82D32">
        <w:t>’</w:t>
      </w:r>
      <w:r w:rsidRPr="00C34868">
        <w:t>objet d</w:t>
      </w:r>
      <w:r w:rsidR="00F82D32">
        <w:t>’</w:t>
      </w:r>
      <w:r w:rsidRPr="00C34868">
        <w:t>audits ou d</w:t>
      </w:r>
      <w:r w:rsidR="00F82D32">
        <w:t>’</w:t>
      </w:r>
      <w:r w:rsidRPr="00C34868">
        <w:t>évaluations ont aidé la</w:t>
      </w:r>
      <w:r>
        <w:t> </w:t>
      </w:r>
      <w:r w:rsidRPr="00C34868">
        <w:t>DSI à recenser les lacunes et à prendre des mesures correctrices.</w:t>
      </w:r>
    </w:p>
    <w:p w14:paraId="5BC2FFD9" w14:textId="59902F3E" w:rsidR="00C5485D" w:rsidRDefault="00117B9F" w:rsidP="005F4507">
      <w:pPr>
        <w:pStyle w:val="Heading3"/>
      </w:pPr>
      <w:r w:rsidRPr="00C34868">
        <w:t>Création de réseaux avec d</w:t>
      </w:r>
      <w:r w:rsidR="00F82D32">
        <w:t>’</w:t>
      </w:r>
      <w:r w:rsidRPr="00C34868">
        <w:t>autres fonctions de supervision</w:t>
      </w:r>
    </w:p>
    <w:p w14:paraId="7D00D1FA" w14:textId="2AEF3A3C" w:rsidR="00C5485D" w:rsidRDefault="00117B9F" w:rsidP="005F4507">
      <w:pPr>
        <w:pStyle w:val="ONUMFS"/>
      </w:pPr>
      <w:r w:rsidRPr="00C34868">
        <w:t>La Charte de la supervision interne</w:t>
      </w:r>
      <w:r>
        <w:rPr>
          <w:rStyle w:val="FootnoteReference"/>
        </w:rPr>
        <w:footnoteReference w:id="17"/>
      </w:r>
      <w:r w:rsidRPr="00C34868">
        <w:t xml:space="preserve"> mention</w:t>
      </w:r>
      <w:r>
        <w:t>ne expressément le fait</w:t>
      </w:r>
      <w:r w:rsidRPr="00C34868">
        <w:t xml:space="preserve"> d</w:t>
      </w:r>
      <w:r w:rsidR="00F82D32">
        <w:t>’</w:t>
      </w:r>
      <w:r w:rsidRPr="00C34868">
        <w:t>assurer la liaison et la coopération avec les services de supervision interne d</w:t>
      </w:r>
      <w:r w:rsidR="00F82D32">
        <w:t>’</w:t>
      </w:r>
      <w:r w:rsidRPr="00C34868">
        <w:t xml:space="preserve">autres organisations du système des </w:t>
      </w:r>
      <w:r w:rsidR="00AE63B3">
        <w:t>Nations Unies</w:t>
      </w:r>
      <w:r w:rsidRPr="00C34868">
        <w:t xml:space="preserve"> et d</w:t>
      </w:r>
      <w:r w:rsidR="00F82D32">
        <w:t>’</w:t>
      </w:r>
      <w:r w:rsidRPr="00C34868">
        <w:t>institutions financières multilatéral</w:t>
      </w:r>
      <w:r w:rsidR="00EF3A93" w:rsidRPr="00C34868">
        <w:t>es</w:t>
      </w:r>
      <w:r w:rsidR="00EF3A93">
        <w:t xml:space="preserve">.  </w:t>
      </w:r>
      <w:r w:rsidR="00EF3A93" w:rsidRPr="00C34868">
        <w:t>La</w:t>
      </w:r>
      <w:r>
        <w:t> </w:t>
      </w:r>
      <w:r w:rsidRPr="00C34868">
        <w:t>DSI est consciente de la valeur et de l</w:t>
      </w:r>
      <w:r w:rsidR="00F82D32">
        <w:t>’</w:t>
      </w:r>
      <w:r w:rsidRPr="00C34868">
        <w:t>importance que revêt l</w:t>
      </w:r>
      <w:r w:rsidR="00F82D32">
        <w:t>’</w:t>
      </w:r>
      <w:r w:rsidRPr="00C34868">
        <w:t>établissement de relations de travail avec ses homologu</w:t>
      </w:r>
      <w:r w:rsidR="00EF3A93" w:rsidRPr="00C34868">
        <w:t>es</w:t>
      </w:r>
      <w:r w:rsidR="00EF3A93">
        <w:t xml:space="preserve">.  </w:t>
      </w:r>
      <w:r w:rsidR="00EF3A93" w:rsidRPr="00C34868">
        <w:t>Pe</w:t>
      </w:r>
      <w:r w:rsidRPr="00C34868">
        <w:t>ndant la période considérée, la</w:t>
      </w:r>
      <w:r>
        <w:t> </w:t>
      </w:r>
      <w:r w:rsidRPr="00C34868">
        <w:t xml:space="preserve">DSI a poursuivi activement et utilement ses activités de collaboration et de création de réseaux avec les autres organisations et entités des </w:t>
      </w:r>
      <w:r w:rsidR="00AE63B3">
        <w:t>Nations Uni</w:t>
      </w:r>
      <w:r w:rsidR="00EF3A93">
        <w:t>es.  La</w:t>
      </w:r>
      <w:r>
        <w:t> DSI a notamment participé aux activités suivantes</w:t>
      </w:r>
      <w:r w:rsidR="00AE63B3">
        <w:t> :</w:t>
      </w:r>
    </w:p>
    <w:p w14:paraId="27AADB30" w14:textId="45D0AFFD" w:rsidR="00C5485D" w:rsidRDefault="00117B9F" w:rsidP="005F4507">
      <w:pPr>
        <w:pStyle w:val="ONUMFS"/>
        <w:numPr>
          <w:ilvl w:val="1"/>
          <w:numId w:val="15"/>
        </w:numPr>
        <w:rPr>
          <w:lang w:eastAsia="en-GB"/>
        </w:rPr>
      </w:pPr>
      <w:r w:rsidRPr="00DF634F">
        <w:rPr>
          <w:lang w:eastAsia="en-GB"/>
        </w:rPr>
        <w:t>réunion annuelle des représentants des services d</w:t>
      </w:r>
      <w:r w:rsidR="00F82D32">
        <w:rPr>
          <w:lang w:eastAsia="en-GB"/>
        </w:rPr>
        <w:t>’</w:t>
      </w:r>
      <w:r w:rsidRPr="00DF634F">
        <w:rPr>
          <w:lang w:eastAsia="en-GB"/>
        </w:rPr>
        <w:t xml:space="preserve">audit interne des organismes des </w:t>
      </w:r>
      <w:r w:rsidR="00AE63B3">
        <w:rPr>
          <w:lang w:eastAsia="en-GB"/>
        </w:rPr>
        <w:t>Nations Unies</w:t>
      </w:r>
      <w:r w:rsidRPr="00DF634F">
        <w:rPr>
          <w:lang w:eastAsia="en-GB"/>
        </w:rPr>
        <w:t>, tenue à Montréal (Canada) du 25 au 31</w:t>
      </w:r>
      <w:r>
        <w:rPr>
          <w:lang w:eastAsia="en-GB"/>
        </w:rPr>
        <w:t> </w:t>
      </w:r>
      <w:r w:rsidRPr="00DF634F">
        <w:rPr>
          <w:lang w:eastAsia="en-GB"/>
        </w:rPr>
        <w:t>août</w:t>
      </w:r>
      <w:r>
        <w:rPr>
          <w:lang w:eastAsia="en-GB"/>
        </w:rPr>
        <w:t> </w:t>
      </w:r>
      <w:r w:rsidRPr="00DF634F">
        <w:rPr>
          <w:lang w:eastAsia="en-GB"/>
        </w:rPr>
        <w:t>2019;</w:t>
      </w:r>
    </w:p>
    <w:p w14:paraId="17F351AF" w14:textId="76684EA3" w:rsidR="00C5485D" w:rsidRDefault="00117B9F" w:rsidP="005F4507">
      <w:pPr>
        <w:pStyle w:val="ONUMFS"/>
        <w:numPr>
          <w:ilvl w:val="1"/>
          <w:numId w:val="15"/>
        </w:numPr>
        <w:rPr>
          <w:lang w:eastAsia="en-GB"/>
        </w:rPr>
      </w:pPr>
      <w:r w:rsidRPr="00DF634F">
        <w:rPr>
          <w:lang w:eastAsia="en-GB"/>
        </w:rPr>
        <w:t>réunion annuelle des représentants des services d</w:t>
      </w:r>
      <w:r w:rsidR="00F82D32">
        <w:rPr>
          <w:lang w:eastAsia="en-GB"/>
        </w:rPr>
        <w:t>’</w:t>
      </w:r>
      <w:r w:rsidRPr="00DF634F">
        <w:rPr>
          <w:lang w:eastAsia="en-GB"/>
        </w:rPr>
        <w:t xml:space="preserve">enquête des </w:t>
      </w:r>
      <w:r w:rsidR="00AE63B3">
        <w:rPr>
          <w:lang w:eastAsia="en-GB"/>
        </w:rPr>
        <w:t>Nations Unies</w:t>
      </w:r>
      <w:r w:rsidRPr="00DF634F">
        <w:rPr>
          <w:lang w:eastAsia="en-GB"/>
        </w:rPr>
        <w:t xml:space="preserve"> (UNRIS), tenue à Genève (Suisse) du 6 au 8</w:t>
      </w:r>
      <w:r>
        <w:rPr>
          <w:lang w:eastAsia="en-GB"/>
        </w:rPr>
        <w:t> </w:t>
      </w:r>
      <w:r w:rsidRPr="00DF634F">
        <w:rPr>
          <w:lang w:eastAsia="en-GB"/>
        </w:rPr>
        <w:t>novembre</w:t>
      </w:r>
      <w:r>
        <w:rPr>
          <w:lang w:eastAsia="en-GB"/>
        </w:rPr>
        <w:t> </w:t>
      </w:r>
      <w:r w:rsidRPr="00DF634F">
        <w:rPr>
          <w:lang w:eastAsia="en-GB"/>
        </w:rPr>
        <w:t xml:space="preserve">2019; </w:t>
      </w:r>
      <w:r>
        <w:rPr>
          <w:lang w:eastAsia="en-GB"/>
        </w:rPr>
        <w:t xml:space="preserve"> </w:t>
      </w:r>
      <w:r w:rsidRPr="00DF634F">
        <w:rPr>
          <w:lang w:eastAsia="en-GB"/>
        </w:rPr>
        <w:t>et</w:t>
      </w:r>
    </w:p>
    <w:p w14:paraId="21F2F6F8" w14:textId="3102B5C2" w:rsidR="00C5485D" w:rsidRDefault="00117B9F" w:rsidP="005F4507">
      <w:pPr>
        <w:pStyle w:val="ONUMFS"/>
        <w:numPr>
          <w:ilvl w:val="1"/>
          <w:numId w:val="15"/>
        </w:numPr>
        <w:rPr>
          <w:lang w:eastAsia="en-GB"/>
        </w:rPr>
      </w:pPr>
      <w:r>
        <w:rPr>
          <w:lang w:eastAsia="en-GB"/>
        </w:rPr>
        <w:t>réunion du</w:t>
      </w:r>
      <w:r w:rsidRPr="00DF634F">
        <w:rPr>
          <w:lang w:eastAsia="en-GB"/>
        </w:rPr>
        <w:t xml:space="preserve"> Groupe des vérificateurs externes des comptes de l</w:t>
      </w:r>
      <w:r w:rsidR="00F82D32">
        <w:rPr>
          <w:lang w:eastAsia="en-GB"/>
        </w:rPr>
        <w:t>’</w:t>
      </w:r>
      <w:r w:rsidRPr="00DF634F">
        <w:rPr>
          <w:lang w:eastAsia="en-GB"/>
        </w:rPr>
        <w:t>ONU</w:t>
      </w:r>
      <w:r>
        <w:rPr>
          <w:lang w:eastAsia="en-GB"/>
        </w:rPr>
        <w:t>,</w:t>
      </w:r>
      <w:r w:rsidRPr="00DF634F">
        <w:rPr>
          <w:lang w:eastAsia="en-GB"/>
        </w:rPr>
        <w:t xml:space="preserve"> </w:t>
      </w:r>
      <w:r>
        <w:rPr>
          <w:lang w:eastAsia="en-GB"/>
        </w:rPr>
        <w:t xml:space="preserve">tenue </w:t>
      </w:r>
      <w:r w:rsidRPr="00DF634F">
        <w:rPr>
          <w:lang w:eastAsia="en-GB"/>
        </w:rPr>
        <w:t>à Bonn (Allemagne)</w:t>
      </w:r>
      <w:r w:rsidRPr="00E145CC">
        <w:rPr>
          <w:lang w:eastAsia="en-GB"/>
        </w:rPr>
        <w:t xml:space="preserve"> </w:t>
      </w:r>
      <w:r w:rsidRPr="00DF634F">
        <w:rPr>
          <w:lang w:eastAsia="en-GB"/>
        </w:rPr>
        <w:t>le 28</w:t>
      </w:r>
      <w:r>
        <w:rPr>
          <w:lang w:eastAsia="en-GB"/>
        </w:rPr>
        <w:t> </w:t>
      </w:r>
      <w:r w:rsidRPr="00DF634F">
        <w:rPr>
          <w:lang w:eastAsia="en-GB"/>
        </w:rPr>
        <w:t>novembre</w:t>
      </w:r>
      <w:r>
        <w:rPr>
          <w:lang w:eastAsia="en-GB"/>
        </w:rPr>
        <w:t> </w:t>
      </w:r>
      <w:r w:rsidRPr="00DF634F">
        <w:rPr>
          <w:lang w:eastAsia="en-GB"/>
        </w:rPr>
        <w:t>2019.</w:t>
      </w:r>
    </w:p>
    <w:p w14:paraId="798826FE" w14:textId="77777777" w:rsidR="00C5485D" w:rsidRDefault="00117B9F" w:rsidP="005F4507">
      <w:pPr>
        <w:pStyle w:val="Heading2"/>
      </w:pPr>
      <w:bookmarkStart w:id="29" w:name="_Toc44428409"/>
      <w:r w:rsidRPr="00DF634F">
        <w:t>Indépendance des activités de la</w:t>
      </w:r>
      <w:r>
        <w:t> </w:t>
      </w:r>
      <w:r w:rsidRPr="00DF634F">
        <w:t>DSI</w:t>
      </w:r>
      <w:bookmarkEnd w:id="29"/>
    </w:p>
    <w:p w14:paraId="5C41BD1F" w14:textId="35DB0818" w:rsidR="00C5485D" w:rsidRDefault="00117B9F" w:rsidP="005F4507">
      <w:pPr>
        <w:pStyle w:val="ONUMFS"/>
      </w:pPr>
      <w:r>
        <w:t>En vertu de la Charte de la supervision interne</w:t>
      </w:r>
      <w:r>
        <w:rPr>
          <w:rStyle w:val="FootnoteReference"/>
        </w:rPr>
        <w:footnoteReference w:id="18"/>
      </w:r>
      <w:r>
        <w:t>, le directeur de la DSI confirme l</w:t>
      </w:r>
      <w:r w:rsidR="00F82D32">
        <w:t>’</w:t>
      </w:r>
      <w:r>
        <w:t>indépendance de ses activités et fait part de ses observations sur la portée de celles</w:t>
      </w:r>
      <w:r w:rsidR="007379C2">
        <w:noBreakHyphen/>
      </w:r>
      <w:r>
        <w:t>ci et la question de savoir si les ressources allouées à la fonction de supervision interne sont adaptées.</w:t>
      </w:r>
    </w:p>
    <w:p w14:paraId="0512F79F" w14:textId="7CB20A7C" w:rsidR="00C5485D" w:rsidRDefault="00117B9F" w:rsidP="005F4507">
      <w:pPr>
        <w:pStyle w:val="ONUMFS"/>
      </w:pPr>
      <w:bookmarkStart w:id="30" w:name="_Toc420663573"/>
      <w:r w:rsidRPr="008156CA">
        <w:t xml:space="preserve">Au cours de la période considérée, </w:t>
      </w:r>
      <w:r>
        <w:t xml:space="preserve">aucun cas ni aucune activité </w:t>
      </w:r>
      <w:r w:rsidRPr="008156CA">
        <w:t>n</w:t>
      </w:r>
      <w:r w:rsidR="00F82D32">
        <w:t>’</w:t>
      </w:r>
      <w:r w:rsidRPr="008156CA">
        <w:t>ont été observés qui auraient pu mettre en péril l</w:t>
      </w:r>
      <w:r w:rsidR="00F82D32">
        <w:t>’</w:t>
      </w:r>
      <w:r w:rsidRPr="008156CA">
        <w:t>indépendance des activités de la</w:t>
      </w:r>
      <w:r>
        <w:t> </w:t>
      </w:r>
      <w:r w:rsidR="00EF3A93" w:rsidRPr="008156CA">
        <w:t>DSI</w:t>
      </w:r>
      <w:r w:rsidR="00EF3A93">
        <w:t>.  L</w:t>
      </w:r>
      <w:r w:rsidR="00EF3A93" w:rsidRPr="008156CA">
        <w:t>a</w:t>
      </w:r>
      <w:r w:rsidRPr="008156CA">
        <w:t xml:space="preserve"> portée des activités de supervision a été déterminée par la Division, sur la base d</w:t>
      </w:r>
      <w:r w:rsidR="00F82D32">
        <w:t>’</w:t>
      </w:r>
      <w:r w:rsidRPr="008156CA">
        <w:t>une évaluation des risques et compte tenu des commentaires et des observations formulés, le cas échéant, par la direction de l</w:t>
      </w:r>
      <w:r w:rsidR="00F82D32">
        <w:t>’</w:t>
      </w:r>
      <w:r w:rsidRPr="008156CA">
        <w:t>OMPI, l</w:t>
      </w:r>
      <w:r w:rsidR="00F82D32">
        <w:t>’</w:t>
      </w:r>
      <w:r w:rsidRPr="008156CA">
        <w:t>OCIS et les États membres.</w:t>
      </w:r>
    </w:p>
    <w:p w14:paraId="273F7FDF" w14:textId="77777777" w:rsidR="00C5485D" w:rsidRDefault="00117B9F" w:rsidP="00AE0F24">
      <w:pPr>
        <w:pStyle w:val="Heading2"/>
      </w:pPr>
      <w:bookmarkStart w:id="31" w:name="_Toc44428410"/>
      <w:bookmarkEnd w:id="30"/>
      <w:r w:rsidRPr="008156CA">
        <w:lastRenderedPageBreak/>
        <w:t>Ressources en matière de supervision</w:t>
      </w:r>
      <w:bookmarkEnd w:id="31"/>
    </w:p>
    <w:p w14:paraId="47B855A6" w14:textId="77777777" w:rsidR="00C5485D" w:rsidRDefault="00117B9F" w:rsidP="00AE0F24">
      <w:pPr>
        <w:pStyle w:val="Heading3"/>
      </w:pPr>
      <w:r>
        <w:t>Budget et effectifs</w:t>
      </w:r>
    </w:p>
    <w:p w14:paraId="62F5AB14" w14:textId="2E540DF5" w:rsidR="00C5485D" w:rsidRDefault="00117B9F" w:rsidP="00AE0F24">
      <w:pPr>
        <w:pStyle w:val="ONUMFS"/>
      </w:pPr>
      <w:r w:rsidRPr="008156CA">
        <w:t>Aux fins de l</w:t>
      </w:r>
      <w:r w:rsidR="00F82D32">
        <w:t>’</w:t>
      </w:r>
      <w:r w:rsidRPr="008156CA">
        <w:t>exécution de son mandat, la</w:t>
      </w:r>
      <w:r>
        <w:t> </w:t>
      </w:r>
      <w:r w:rsidRPr="008156CA">
        <w:t>DSI s</w:t>
      </w:r>
      <w:r w:rsidR="00F82D32">
        <w:t>’</w:t>
      </w:r>
      <w:r w:rsidRPr="008156CA">
        <w:t xml:space="preserve">est vu allouer un budget biennal </w:t>
      </w:r>
      <w:r w:rsidR="00AE63B3" w:rsidRPr="008156CA">
        <w:t>de</w:t>
      </w:r>
      <w:r w:rsidR="00AE63B3">
        <w:t> </w:t>
      </w:r>
      <w:r w:rsidR="00AE63B3" w:rsidRPr="008156CA">
        <w:t>5</w:t>
      </w:r>
      <w:r w:rsidR="00AE63B3">
        <w:t>072</w:t>
      </w:r>
      <w:r>
        <w:t> </w:t>
      </w:r>
      <w:r w:rsidRPr="008156CA">
        <w:t>millions de francs suisses, soit 0,73%</w:t>
      </w:r>
      <w:r>
        <w:rPr>
          <w:rStyle w:val="FootnoteReference"/>
        </w:rPr>
        <w:footnoteReference w:id="19"/>
      </w:r>
      <w:r w:rsidRPr="008156CA">
        <w:t xml:space="preserve"> du budget de l</w:t>
      </w:r>
      <w:r w:rsidR="00F82D32">
        <w:t>’</w:t>
      </w:r>
      <w:r w:rsidRPr="008156CA">
        <w:t>OMPI pour l</w:t>
      </w:r>
      <w:r w:rsidR="00F82D32">
        <w:t>’</w:t>
      </w:r>
      <w:r w:rsidRPr="008156CA">
        <w:t>exercice biennal</w:t>
      </w:r>
      <w:r>
        <w:t> </w:t>
      </w:r>
      <w:r w:rsidRPr="008156CA">
        <w:t>2018</w:t>
      </w:r>
      <w:r w:rsidR="007379C2">
        <w:noBreakHyphen/>
      </w:r>
      <w:r w:rsidRPr="008156CA">
        <w:t>2019.  Globalement, le niveau actuel des ressources humaines et financières a été suffisant pour permettre à la</w:t>
      </w:r>
      <w:r>
        <w:t> </w:t>
      </w:r>
      <w:r w:rsidRPr="008156CA">
        <w:t>DSI d</w:t>
      </w:r>
      <w:r w:rsidR="00F82D32">
        <w:t>’</w:t>
      </w:r>
      <w:r w:rsidRPr="008156CA">
        <w:t>englober efficacement les secteurs prioritaires recensés dans ses programmes de trava</w:t>
      </w:r>
      <w:r w:rsidR="00EF3A93" w:rsidRPr="008156CA">
        <w:t>il</w:t>
      </w:r>
      <w:r w:rsidR="00EF3A93">
        <w:t>.  L</w:t>
      </w:r>
      <w:r w:rsidR="00F82D32">
        <w:t>’</w:t>
      </w:r>
      <w:r w:rsidR="00EF3A93">
        <w:t>é</w:t>
      </w:r>
      <w:r>
        <w:t>change de plans de supervision et la coordination permanente des activités de supervision avec le vérificateur externe des comptes, ainsi que l</w:t>
      </w:r>
      <w:r w:rsidR="00F82D32">
        <w:t>’</w:t>
      </w:r>
      <w:r>
        <w:t>utilisation rationnelle des outils informatiques, ont également contribué à l</w:t>
      </w:r>
      <w:r w:rsidR="00F82D32">
        <w:t>’</w:t>
      </w:r>
      <w:r>
        <w:t>efficacité accrue des activités menées et à une meilleure couverture des secteurs à risque.</w:t>
      </w:r>
    </w:p>
    <w:p w14:paraId="1ABBD26B" w14:textId="05BA9BBF" w:rsidR="00117B9F" w:rsidRDefault="00117B9F" w:rsidP="00AE0F24">
      <w:pPr>
        <w:pStyle w:val="Heading6"/>
      </w:pPr>
      <w:r w:rsidRPr="008156CA">
        <w:t>Tableau</w:t>
      </w:r>
      <w:r>
        <w:t> </w:t>
      </w:r>
      <w:r w:rsidRPr="008156CA">
        <w:t>3 – Budget et dépenses</w:t>
      </w:r>
      <w:r>
        <w:t> </w:t>
      </w:r>
      <w:r w:rsidRPr="008156CA">
        <w:t>2018</w:t>
      </w:r>
      <w:r w:rsidR="007379C2">
        <w:noBreakHyphen/>
      </w:r>
      <w:r w:rsidRPr="008156CA">
        <w:t>2019 de la</w:t>
      </w:r>
      <w:r>
        <w:t> </w:t>
      </w:r>
      <w:r w:rsidRPr="008156CA">
        <w:t>DSI</w:t>
      </w:r>
      <w:r>
        <w:rPr>
          <w:rStyle w:val="FootnoteReference"/>
          <w:b w:val="0"/>
          <w:bCs/>
        </w:rPr>
        <w:footnoteReference w:id="20"/>
      </w:r>
    </w:p>
    <w:tbl>
      <w:tblPr>
        <w:tblW w:w="6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u 3 - Budget et dépenses 2018 2019 de la DSI"/>
        <w:tblDescription w:val="Budget et dépenses 2018 2019 de la DSI"/>
      </w:tblPr>
      <w:tblGrid>
        <w:gridCol w:w="2470"/>
        <w:gridCol w:w="1474"/>
        <w:gridCol w:w="1475"/>
        <w:gridCol w:w="1475"/>
      </w:tblGrid>
      <w:tr w:rsidR="00117B9F" w:rsidRPr="007B1ED7" w14:paraId="50B5B297" w14:textId="77777777" w:rsidTr="00AE0F24">
        <w:trPr>
          <w:trHeight w:val="720"/>
          <w:jc w:val="center"/>
        </w:trPr>
        <w:tc>
          <w:tcPr>
            <w:tcW w:w="2470" w:type="dxa"/>
            <w:shd w:val="clear" w:color="000000" w:fill="CCFFFF"/>
            <w:noWrap/>
            <w:vAlign w:val="center"/>
            <w:hideMark/>
          </w:tcPr>
          <w:p w14:paraId="0F3EE722" w14:textId="54E7CBF4" w:rsidR="00117B9F" w:rsidRPr="008156CA" w:rsidRDefault="00117B9F" w:rsidP="00117B9F">
            <w:pPr>
              <w:rPr>
                <w:color w:val="000000"/>
                <w:sz w:val="16"/>
                <w:szCs w:val="16"/>
              </w:rPr>
            </w:pPr>
          </w:p>
        </w:tc>
        <w:tc>
          <w:tcPr>
            <w:tcW w:w="1474" w:type="dxa"/>
            <w:shd w:val="clear" w:color="000000" w:fill="CCFFFF"/>
            <w:vAlign w:val="center"/>
            <w:hideMark/>
          </w:tcPr>
          <w:p w14:paraId="7B35CF2D" w14:textId="066C544B" w:rsidR="00117B9F" w:rsidRPr="007B1ED7" w:rsidRDefault="00AE0F24" w:rsidP="00AE0F24">
            <w:pPr>
              <w:jc w:val="center"/>
              <w:rPr>
                <w:b/>
                <w:bCs/>
                <w:color w:val="000000"/>
                <w:sz w:val="16"/>
                <w:szCs w:val="16"/>
              </w:rPr>
            </w:pPr>
            <w:r>
              <w:rPr>
                <w:b/>
                <w:bCs/>
                <w:color w:val="000000"/>
                <w:sz w:val="16"/>
                <w:szCs w:val="16"/>
              </w:rPr>
              <w:t xml:space="preserve">Budget </w:t>
            </w:r>
            <w:r>
              <w:rPr>
                <w:b/>
                <w:bCs/>
                <w:color w:val="000000"/>
                <w:sz w:val="16"/>
                <w:szCs w:val="16"/>
              </w:rPr>
              <w:br/>
            </w:r>
            <w:r w:rsidR="00117B9F">
              <w:rPr>
                <w:b/>
                <w:bCs/>
                <w:color w:val="000000"/>
                <w:sz w:val="16"/>
                <w:szCs w:val="16"/>
              </w:rPr>
              <w:t>2018</w:t>
            </w:r>
            <w:r w:rsidR="007379C2">
              <w:rPr>
                <w:b/>
                <w:bCs/>
                <w:color w:val="000000"/>
                <w:sz w:val="16"/>
                <w:szCs w:val="16"/>
              </w:rPr>
              <w:noBreakHyphen/>
            </w:r>
            <w:r>
              <w:rPr>
                <w:b/>
                <w:bCs/>
                <w:color w:val="000000"/>
                <w:sz w:val="16"/>
                <w:szCs w:val="16"/>
              </w:rPr>
              <w:t>20</w:t>
            </w:r>
            <w:r w:rsidR="00117B9F">
              <w:rPr>
                <w:b/>
                <w:bCs/>
                <w:color w:val="000000"/>
                <w:sz w:val="16"/>
                <w:szCs w:val="16"/>
              </w:rPr>
              <w:t>19 approuvé</w:t>
            </w:r>
          </w:p>
        </w:tc>
        <w:tc>
          <w:tcPr>
            <w:tcW w:w="1475" w:type="dxa"/>
            <w:shd w:val="clear" w:color="000000" w:fill="CCFFFF"/>
            <w:vAlign w:val="center"/>
            <w:hideMark/>
          </w:tcPr>
          <w:p w14:paraId="468C0BDE" w14:textId="315EB0F3" w:rsidR="00117B9F" w:rsidRPr="007B1ED7" w:rsidRDefault="00AE0F24" w:rsidP="00AE0F24">
            <w:pPr>
              <w:jc w:val="center"/>
              <w:rPr>
                <w:b/>
                <w:bCs/>
                <w:color w:val="000000"/>
                <w:sz w:val="16"/>
                <w:szCs w:val="16"/>
              </w:rPr>
            </w:pPr>
            <w:r>
              <w:rPr>
                <w:b/>
                <w:bCs/>
                <w:color w:val="000000"/>
                <w:sz w:val="16"/>
                <w:szCs w:val="16"/>
              </w:rPr>
              <w:t>Budget</w:t>
            </w:r>
            <w:r>
              <w:rPr>
                <w:b/>
                <w:bCs/>
                <w:color w:val="000000"/>
                <w:sz w:val="16"/>
                <w:szCs w:val="16"/>
              </w:rPr>
              <w:br/>
            </w:r>
            <w:r w:rsidR="00117B9F" w:rsidRPr="007B1ED7">
              <w:rPr>
                <w:b/>
                <w:bCs/>
                <w:color w:val="000000"/>
                <w:sz w:val="16"/>
                <w:szCs w:val="16"/>
              </w:rPr>
              <w:t>20</w:t>
            </w:r>
            <w:r w:rsidR="00117B9F">
              <w:rPr>
                <w:b/>
                <w:bCs/>
                <w:color w:val="000000"/>
                <w:sz w:val="16"/>
                <w:szCs w:val="16"/>
              </w:rPr>
              <w:t>18</w:t>
            </w:r>
            <w:r w:rsidR="007379C2">
              <w:rPr>
                <w:b/>
                <w:bCs/>
                <w:color w:val="000000"/>
                <w:sz w:val="16"/>
                <w:szCs w:val="16"/>
              </w:rPr>
              <w:noBreakHyphen/>
            </w:r>
            <w:r>
              <w:rPr>
                <w:b/>
                <w:bCs/>
                <w:color w:val="000000"/>
                <w:sz w:val="16"/>
                <w:szCs w:val="16"/>
              </w:rPr>
              <w:t>20</w:t>
            </w:r>
            <w:r w:rsidR="00117B9F" w:rsidRPr="007B1ED7">
              <w:rPr>
                <w:b/>
                <w:bCs/>
                <w:color w:val="000000"/>
                <w:sz w:val="16"/>
                <w:szCs w:val="16"/>
              </w:rPr>
              <w:t>19</w:t>
            </w:r>
            <w:r w:rsidR="00117B9F">
              <w:rPr>
                <w:b/>
                <w:bCs/>
                <w:color w:val="000000"/>
                <w:sz w:val="16"/>
                <w:szCs w:val="16"/>
              </w:rPr>
              <w:t xml:space="preserve"> après virements</w:t>
            </w:r>
          </w:p>
        </w:tc>
        <w:tc>
          <w:tcPr>
            <w:tcW w:w="1475" w:type="dxa"/>
            <w:shd w:val="clear" w:color="000000" w:fill="CCFFFF"/>
            <w:vAlign w:val="center"/>
            <w:hideMark/>
          </w:tcPr>
          <w:p w14:paraId="05B01F84" w14:textId="77777777" w:rsidR="00117B9F" w:rsidRPr="007B1ED7" w:rsidRDefault="00117B9F" w:rsidP="00117B9F">
            <w:pPr>
              <w:jc w:val="center"/>
              <w:rPr>
                <w:b/>
                <w:bCs/>
                <w:color w:val="000000"/>
                <w:sz w:val="16"/>
                <w:szCs w:val="16"/>
              </w:rPr>
            </w:pPr>
            <w:r>
              <w:rPr>
                <w:b/>
                <w:bCs/>
                <w:color w:val="000000"/>
                <w:sz w:val="16"/>
                <w:szCs w:val="16"/>
              </w:rPr>
              <w:t>Dépenses </w:t>
            </w:r>
            <w:r w:rsidRPr="007B1ED7">
              <w:rPr>
                <w:b/>
                <w:bCs/>
                <w:color w:val="000000"/>
                <w:sz w:val="16"/>
                <w:szCs w:val="16"/>
              </w:rPr>
              <w:t>201</w:t>
            </w:r>
            <w:r>
              <w:rPr>
                <w:b/>
                <w:bCs/>
                <w:color w:val="000000"/>
                <w:sz w:val="16"/>
                <w:szCs w:val="16"/>
              </w:rPr>
              <w:t>9</w:t>
            </w:r>
            <w:r w:rsidRPr="007B1ED7">
              <w:rPr>
                <w:b/>
                <w:bCs/>
                <w:color w:val="000000"/>
                <w:sz w:val="16"/>
                <w:szCs w:val="16"/>
              </w:rPr>
              <w:t>*</w:t>
            </w:r>
          </w:p>
        </w:tc>
      </w:tr>
      <w:tr w:rsidR="00117B9F" w:rsidRPr="007B1ED7" w14:paraId="3B1CBDB3" w14:textId="77777777" w:rsidTr="00AE0F24">
        <w:trPr>
          <w:trHeight w:val="315"/>
          <w:jc w:val="center"/>
        </w:trPr>
        <w:tc>
          <w:tcPr>
            <w:tcW w:w="2470" w:type="dxa"/>
            <w:shd w:val="clear" w:color="auto" w:fill="auto"/>
            <w:noWrap/>
            <w:vAlign w:val="center"/>
            <w:hideMark/>
          </w:tcPr>
          <w:p w14:paraId="65912810" w14:textId="7E854A56" w:rsidR="00117B9F" w:rsidRPr="007B1ED7" w:rsidRDefault="00117B9F" w:rsidP="00AE0F24">
            <w:pPr>
              <w:rPr>
                <w:color w:val="000000"/>
                <w:sz w:val="16"/>
                <w:szCs w:val="16"/>
              </w:rPr>
            </w:pPr>
            <w:r w:rsidRPr="008156CA">
              <w:rPr>
                <w:color w:val="000000"/>
                <w:sz w:val="16"/>
                <w:szCs w:val="16"/>
              </w:rPr>
              <w:t>Dépenses de personnel</w:t>
            </w:r>
          </w:p>
        </w:tc>
        <w:tc>
          <w:tcPr>
            <w:tcW w:w="1474" w:type="dxa"/>
            <w:shd w:val="clear" w:color="auto" w:fill="auto"/>
            <w:vAlign w:val="center"/>
            <w:hideMark/>
          </w:tcPr>
          <w:p w14:paraId="0CBAEC85" w14:textId="485A07F5" w:rsidR="00117B9F" w:rsidRPr="007B1ED7" w:rsidRDefault="00117B9F" w:rsidP="00AE0F24">
            <w:pPr>
              <w:jc w:val="right"/>
              <w:rPr>
                <w:color w:val="000000"/>
                <w:sz w:val="16"/>
                <w:szCs w:val="16"/>
              </w:rPr>
            </w:pPr>
            <w:r>
              <w:rPr>
                <w:sz w:val="16"/>
                <w:szCs w:val="16"/>
              </w:rPr>
              <w:t>4</w:t>
            </w:r>
            <w:r w:rsidR="00865DAF">
              <w:rPr>
                <w:sz w:val="16"/>
                <w:szCs w:val="16"/>
              </w:rPr>
              <w:t> </w:t>
            </w:r>
            <w:r w:rsidR="00AE0F24">
              <w:rPr>
                <w:sz w:val="16"/>
                <w:szCs w:val="16"/>
              </w:rPr>
              <w:t>849</w:t>
            </w:r>
          </w:p>
        </w:tc>
        <w:tc>
          <w:tcPr>
            <w:tcW w:w="1475" w:type="dxa"/>
            <w:shd w:val="clear" w:color="auto" w:fill="auto"/>
            <w:vAlign w:val="center"/>
            <w:hideMark/>
          </w:tcPr>
          <w:p w14:paraId="7A1063B5" w14:textId="40F01F5D" w:rsidR="00117B9F" w:rsidRPr="007B1ED7" w:rsidRDefault="00117B9F" w:rsidP="00AE0F24">
            <w:pPr>
              <w:jc w:val="right"/>
              <w:rPr>
                <w:color w:val="000000"/>
                <w:sz w:val="16"/>
                <w:szCs w:val="16"/>
              </w:rPr>
            </w:pPr>
            <w:r>
              <w:rPr>
                <w:sz w:val="16"/>
                <w:szCs w:val="16"/>
              </w:rPr>
              <w:t>4</w:t>
            </w:r>
            <w:r w:rsidR="00865DAF">
              <w:rPr>
                <w:sz w:val="16"/>
                <w:szCs w:val="16"/>
              </w:rPr>
              <w:t> </w:t>
            </w:r>
            <w:r w:rsidR="00AE0F24">
              <w:rPr>
                <w:sz w:val="16"/>
                <w:szCs w:val="16"/>
              </w:rPr>
              <w:t>085</w:t>
            </w:r>
          </w:p>
        </w:tc>
        <w:tc>
          <w:tcPr>
            <w:tcW w:w="1475" w:type="dxa"/>
            <w:shd w:val="clear" w:color="auto" w:fill="auto"/>
            <w:vAlign w:val="center"/>
            <w:hideMark/>
          </w:tcPr>
          <w:p w14:paraId="61CE1C33" w14:textId="56F01910" w:rsidR="00117B9F" w:rsidRPr="007B1ED7" w:rsidRDefault="00117B9F" w:rsidP="00AE0F24">
            <w:pPr>
              <w:jc w:val="right"/>
              <w:rPr>
                <w:color w:val="000000"/>
                <w:sz w:val="16"/>
                <w:szCs w:val="16"/>
                <w:highlight w:val="yellow"/>
              </w:rPr>
            </w:pPr>
            <w:r>
              <w:rPr>
                <w:sz w:val="16"/>
                <w:szCs w:val="16"/>
              </w:rPr>
              <w:t>2</w:t>
            </w:r>
            <w:r w:rsidR="00865DAF">
              <w:rPr>
                <w:sz w:val="16"/>
                <w:szCs w:val="16"/>
              </w:rPr>
              <w:t> </w:t>
            </w:r>
            <w:r>
              <w:rPr>
                <w:sz w:val="16"/>
                <w:szCs w:val="16"/>
              </w:rPr>
              <w:t>215</w:t>
            </w:r>
          </w:p>
        </w:tc>
      </w:tr>
      <w:tr w:rsidR="00117B9F" w:rsidRPr="007B1ED7" w14:paraId="44FBE3A2" w14:textId="77777777" w:rsidTr="00AE0F24">
        <w:trPr>
          <w:trHeight w:val="315"/>
          <w:jc w:val="center"/>
        </w:trPr>
        <w:tc>
          <w:tcPr>
            <w:tcW w:w="2470" w:type="dxa"/>
            <w:tcBorders>
              <w:bottom w:val="single" w:sz="4" w:space="0" w:color="auto"/>
            </w:tcBorders>
            <w:shd w:val="clear" w:color="auto" w:fill="auto"/>
            <w:noWrap/>
            <w:vAlign w:val="center"/>
            <w:hideMark/>
          </w:tcPr>
          <w:p w14:paraId="58A64874" w14:textId="7191F51C" w:rsidR="00117B9F" w:rsidRPr="007B1ED7" w:rsidRDefault="00117B9F" w:rsidP="00AE0F24">
            <w:pPr>
              <w:rPr>
                <w:color w:val="000000"/>
                <w:sz w:val="16"/>
                <w:szCs w:val="16"/>
              </w:rPr>
            </w:pPr>
            <w:r>
              <w:rPr>
                <w:color w:val="000000"/>
                <w:sz w:val="16"/>
                <w:szCs w:val="16"/>
              </w:rPr>
              <w:t>Autres dépenses</w:t>
            </w:r>
          </w:p>
        </w:tc>
        <w:tc>
          <w:tcPr>
            <w:tcW w:w="1474" w:type="dxa"/>
            <w:tcBorders>
              <w:bottom w:val="single" w:sz="4" w:space="0" w:color="auto"/>
            </w:tcBorders>
            <w:shd w:val="clear" w:color="auto" w:fill="auto"/>
            <w:vAlign w:val="center"/>
            <w:hideMark/>
          </w:tcPr>
          <w:p w14:paraId="7E366E77" w14:textId="23137CEF" w:rsidR="00117B9F" w:rsidRPr="007B1ED7" w:rsidRDefault="00AE0F24" w:rsidP="00AE0F24">
            <w:pPr>
              <w:jc w:val="right"/>
              <w:rPr>
                <w:color w:val="000000"/>
                <w:sz w:val="16"/>
                <w:szCs w:val="16"/>
              </w:rPr>
            </w:pPr>
            <w:r>
              <w:rPr>
                <w:sz w:val="16"/>
                <w:szCs w:val="16"/>
              </w:rPr>
              <w:t>700</w:t>
            </w:r>
          </w:p>
        </w:tc>
        <w:tc>
          <w:tcPr>
            <w:tcW w:w="1475" w:type="dxa"/>
            <w:tcBorders>
              <w:bottom w:val="single" w:sz="4" w:space="0" w:color="auto"/>
            </w:tcBorders>
            <w:shd w:val="clear" w:color="auto" w:fill="auto"/>
            <w:vAlign w:val="center"/>
            <w:hideMark/>
          </w:tcPr>
          <w:p w14:paraId="0938D3C1" w14:textId="00876110" w:rsidR="00117B9F" w:rsidRPr="007B1ED7" w:rsidRDefault="00AE0F24" w:rsidP="00AE0F24">
            <w:pPr>
              <w:jc w:val="right"/>
              <w:rPr>
                <w:color w:val="000000"/>
                <w:sz w:val="16"/>
                <w:szCs w:val="16"/>
              </w:rPr>
            </w:pPr>
            <w:r>
              <w:rPr>
                <w:sz w:val="16"/>
                <w:szCs w:val="16"/>
              </w:rPr>
              <w:t>987</w:t>
            </w:r>
          </w:p>
        </w:tc>
        <w:tc>
          <w:tcPr>
            <w:tcW w:w="1475" w:type="dxa"/>
            <w:tcBorders>
              <w:bottom w:val="single" w:sz="4" w:space="0" w:color="auto"/>
            </w:tcBorders>
            <w:shd w:val="clear" w:color="auto" w:fill="auto"/>
            <w:vAlign w:val="center"/>
            <w:hideMark/>
          </w:tcPr>
          <w:p w14:paraId="642044CA" w14:textId="77777777" w:rsidR="00117B9F" w:rsidRPr="007B1ED7" w:rsidRDefault="00117B9F" w:rsidP="00AE0F24">
            <w:pPr>
              <w:jc w:val="right"/>
              <w:rPr>
                <w:color w:val="000000"/>
                <w:sz w:val="16"/>
                <w:szCs w:val="16"/>
                <w:highlight w:val="yellow"/>
              </w:rPr>
            </w:pPr>
            <w:r>
              <w:rPr>
                <w:sz w:val="16"/>
                <w:szCs w:val="16"/>
              </w:rPr>
              <w:t>511</w:t>
            </w:r>
            <w:r w:rsidRPr="007B1ED7">
              <w:rPr>
                <w:sz w:val="16"/>
                <w:szCs w:val="16"/>
              </w:rPr>
              <w:t xml:space="preserve"> </w:t>
            </w:r>
          </w:p>
        </w:tc>
      </w:tr>
      <w:tr w:rsidR="00117B9F" w:rsidRPr="007B1ED7" w14:paraId="22D87929" w14:textId="77777777" w:rsidTr="00AE0F24">
        <w:trPr>
          <w:trHeight w:val="225"/>
          <w:jc w:val="center"/>
        </w:trPr>
        <w:tc>
          <w:tcPr>
            <w:tcW w:w="2470" w:type="dxa"/>
            <w:tcBorders>
              <w:bottom w:val="single" w:sz="4" w:space="0" w:color="auto"/>
            </w:tcBorders>
            <w:shd w:val="clear" w:color="000000" w:fill="CCFFFF"/>
            <w:noWrap/>
            <w:vAlign w:val="center"/>
            <w:hideMark/>
          </w:tcPr>
          <w:p w14:paraId="0E58870F" w14:textId="77777777" w:rsidR="00117B9F" w:rsidRPr="007B1ED7" w:rsidRDefault="00117B9F" w:rsidP="00117B9F">
            <w:pPr>
              <w:jc w:val="right"/>
              <w:rPr>
                <w:b/>
                <w:bCs/>
                <w:color w:val="000000"/>
                <w:sz w:val="16"/>
                <w:szCs w:val="16"/>
              </w:rPr>
            </w:pPr>
            <w:r w:rsidRPr="007B1ED7">
              <w:rPr>
                <w:b/>
                <w:bCs/>
                <w:color w:val="000000"/>
                <w:sz w:val="16"/>
                <w:szCs w:val="16"/>
              </w:rPr>
              <w:t xml:space="preserve"> Total </w:t>
            </w:r>
          </w:p>
        </w:tc>
        <w:tc>
          <w:tcPr>
            <w:tcW w:w="1474" w:type="dxa"/>
            <w:tcBorders>
              <w:bottom w:val="single" w:sz="4" w:space="0" w:color="auto"/>
            </w:tcBorders>
            <w:shd w:val="clear" w:color="000000" w:fill="CCFFFF"/>
            <w:vAlign w:val="center"/>
            <w:hideMark/>
          </w:tcPr>
          <w:p w14:paraId="75420FAE" w14:textId="53FE5254" w:rsidR="00117B9F" w:rsidRPr="007B1ED7" w:rsidRDefault="00117B9F" w:rsidP="00AE0F24">
            <w:pPr>
              <w:jc w:val="right"/>
              <w:rPr>
                <w:b/>
                <w:bCs/>
                <w:color w:val="000000"/>
                <w:sz w:val="16"/>
                <w:szCs w:val="16"/>
              </w:rPr>
            </w:pPr>
            <w:r>
              <w:rPr>
                <w:sz w:val="16"/>
                <w:szCs w:val="16"/>
              </w:rPr>
              <w:t>5</w:t>
            </w:r>
            <w:r w:rsidR="00865DAF">
              <w:rPr>
                <w:sz w:val="16"/>
                <w:szCs w:val="16"/>
              </w:rPr>
              <w:t> </w:t>
            </w:r>
            <w:r w:rsidR="00AE0F24">
              <w:rPr>
                <w:sz w:val="16"/>
                <w:szCs w:val="16"/>
              </w:rPr>
              <w:t>550</w:t>
            </w:r>
          </w:p>
        </w:tc>
        <w:tc>
          <w:tcPr>
            <w:tcW w:w="1475" w:type="dxa"/>
            <w:tcBorders>
              <w:bottom w:val="single" w:sz="4" w:space="0" w:color="auto"/>
            </w:tcBorders>
            <w:shd w:val="clear" w:color="000000" w:fill="CCFFFF"/>
            <w:vAlign w:val="center"/>
            <w:hideMark/>
          </w:tcPr>
          <w:p w14:paraId="02608020" w14:textId="5EA94059" w:rsidR="00117B9F" w:rsidRPr="007B1ED7" w:rsidRDefault="00117B9F" w:rsidP="00AE0F24">
            <w:pPr>
              <w:jc w:val="right"/>
              <w:rPr>
                <w:b/>
                <w:bCs/>
                <w:color w:val="000000"/>
                <w:sz w:val="16"/>
                <w:szCs w:val="16"/>
              </w:rPr>
            </w:pPr>
            <w:r>
              <w:rPr>
                <w:sz w:val="16"/>
                <w:szCs w:val="16"/>
              </w:rPr>
              <w:t>5</w:t>
            </w:r>
            <w:r w:rsidR="00865DAF">
              <w:rPr>
                <w:sz w:val="16"/>
                <w:szCs w:val="16"/>
              </w:rPr>
              <w:t> </w:t>
            </w:r>
            <w:r w:rsidR="00AE0F24">
              <w:rPr>
                <w:sz w:val="16"/>
                <w:szCs w:val="16"/>
              </w:rPr>
              <w:t>072</w:t>
            </w:r>
          </w:p>
        </w:tc>
        <w:tc>
          <w:tcPr>
            <w:tcW w:w="1475" w:type="dxa"/>
            <w:tcBorders>
              <w:bottom w:val="single" w:sz="4" w:space="0" w:color="auto"/>
            </w:tcBorders>
            <w:shd w:val="clear" w:color="000000" w:fill="CCFFFF"/>
            <w:vAlign w:val="center"/>
            <w:hideMark/>
          </w:tcPr>
          <w:p w14:paraId="4B1FED1E" w14:textId="1E167C63" w:rsidR="00117B9F" w:rsidRPr="007B1ED7" w:rsidRDefault="00117B9F" w:rsidP="00AE0F24">
            <w:pPr>
              <w:jc w:val="right"/>
              <w:rPr>
                <w:b/>
                <w:bCs/>
                <w:color w:val="000000"/>
                <w:sz w:val="16"/>
                <w:szCs w:val="16"/>
                <w:highlight w:val="yellow"/>
              </w:rPr>
            </w:pPr>
            <w:r>
              <w:rPr>
                <w:sz w:val="16"/>
                <w:szCs w:val="16"/>
              </w:rPr>
              <w:t>2</w:t>
            </w:r>
            <w:r w:rsidR="00865DAF">
              <w:rPr>
                <w:sz w:val="16"/>
                <w:szCs w:val="16"/>
              </w:rPr>
              <w:t> </w:t>
            </w:r>
            <w:r>
              <w:rPr>
                <w:sz w:val="16"/>
                <w:szCs w:val="16"/>
              </w:rPr>
              <w:t>726</w:t>
            </w:r>
            <w:r w:rsidRPr="007B1ED7">
              <w:rPr>
                <w:sz w:val="16"/>
                <w:szCs w:val="16"/>
              </w:rPr>
              <w:t xml:space="preserve"> </w:t>
            </w:r>
          </w:p>
        </w:tc>
      </w:tr>
    </w:tbl>
    <w:p w14:paraId="05B0FD0E" w14:textId="77777777" w:rsidR="00C5485D" w:rsidRDefault="00C5485D" w:rsidP="00AE63B3"/>
    <w:p w14:paraId="3A361E47" w14:textId="45A807F8" w:rsidR="006E0076" w:rsidRPr="00AE63B3" w:rsidRDefault="006E0076" w:rsidP="00AE63B3">
      <w:pPr>
        <w:pStyle w:val="Heading6"/>
        <w:rPr>
          <w:b w:val="0"/>
          <w:i/>
          <w:iCs/>
          <w:lang w:val="fr-CH"/>
        </w:rPr>
      </w:pPr>
      <w:r w:rsidRPr="006E0076">
        <w:rPr>
          <w:lang w:val="fr-CH"/>
        </w:rPr>
        <w:t>Tableau 4 – Budget et dépenses</w:t>
      </w:r>
      <w:r w:rsidR="00865DAF">
        <w:rPr>
          <w:lang w:val="fr-CH"/>
        </w:rPr>
        <w:t> </w:t>
      </w:r>
      <w:r w:rsidRPr="006E0076">
        <w:rPr>
          <w:lang w:val="fr-CH"/>
        </w:rPr>
        <w:t>2018</w:t>
      </w:r>
      <w:r w:rsidR="007379C2">
        <w:rPr>
          <w:lang w:val="fr-CH"/>
        </w:rPr>
        <w:noBreakHyphen/>
      </w:r>
      <w:r w:rsidRPr="006E0076">
        <w:rPr>
          <w:lang w:val="fr-CH"/>
        </w:rPr>
        <w:t>2019 de</w:t>
      </w:r>
      <w:r w:rsidR="00AE63B3" w:rsidRPr="006E0076">
        <w:rPr>
          <w:lang w:val="fr-CH"/>
        </w:rPr>
        <w:t xml:space="preserve"> la</w:t>
      </w:r>
      <w:r w:rsidR="00AE63B3">
        <w:rPr>
          <w:lang w:val="fr-CH"/>
        </w:rPr>
        <w:t> </w:t>
      </w:r>
      <w:r w:rsidR="00AE63B3" w:rsidRPr="006E0076">
        <w:rPr>
          <w:lang w:val="fr-CH"/>
        </w:rPr>
        <w:t>DSI</w:t>
      </w:r>
      <w:r w:rsidRPr="006E0076">
        <w:rPr>
          <w:lang w:val="fr-CH"/>
        </w:rPr>
        <w:t xml:space="preserve"> (dépenses de personnel et autres dépenses)</w:t>
      </w:r>
      <w:r w:rsidR="00AE63B3">
        <w:rPr>
          <w:lang w:val="fr-CH"/>
        </w:rPr>
        <w:br/>
      </w:r>
      <w:r w:rsidRPr="00AE63B3">
        <w:rPr>
          <w:b w:val="0"/>
          <w:i/>
          <w:iCs/>
          <w:lang w:val="fr-CH"/>
        </w:rPr>
        <w:t>(en milliers de francs suisses)</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u 4 - Budget et dépenses 2018 2019 de la DSI (dépenses de personnel et autres dépenses)"/>
        <w:tblDescription w:val="Budget et dépenses 2018 2019 de la DSI (dépenses de personnel et autres dépenses)"/>
      </w:tblPr>
      <w:tblGrid>
        <w:gridCol w:w="2470"/>
        <w:gridCol w:w="1323"/>
        <w:gridCol w:w="1319"/>
        <w:gridCol w:w="1782"/>
        <w:gridCol w:w="1782"/>
      </w:tblGrid>
      <w:tr w:rsidR="006E0076" w:rsidRPr="006E0076" w14:paraId="7989FA7B" w14:textId="77777777" w:rsidTr="00EF3A93">
        <w:trPr>
          <w:trHeight w:val="720"/>
          <w:jc w:val="center"/>
        </w:trPr>
        <w:tc>
          <w:tcPr>
            <w:tcW w:w="2470" w:type="dxa"/>
            <w:shd w:val="clear" w:color="000000" w:fill="CCFFFF"/>
            <w:noWrap/>
            <w:vAlign w:val="center"/>
            <w:hideMark/>
          </w:tcPr>
          <w:p w14:paraId="279A1CB7" w14:textId="77777777" w:rsidR="006E0076" w:rsidRPr="006E0076" w:rsidRDefault="006E0076" w:rsidP="006E0076">
            <w:pPr>
              <w:rPr>
                <w:sz w:val="16"/>
                <w:szCs w:val="16"/>
                <w:lang w:val="fr-CH"/>
              </w:rPr>
            </w:pPr>
          </w:p>
        </w:tc>
        <w:tc>
          <w:tcPr>
            <w:tcW w:w="1323" w:type="dxa"/>
            <w:shd w:val="clear" w:color="000000" w:fill="CCFFFF"/>
            <w:vAlign w:val="center"/>
            <w:hideMark/>
          </w:tcPr>
          <w:p w14:paraId="5E4C5FA9" w14:textId="607BB1C5" w:rsidR="006E0076" w:rsidRPr="006E0076" w:rsidRDefault="006E0076" w:rsidP="00EF3A93">
            <w:pPr>
              <w:jc w:val="center"/>
              <w:rPr>
                <w:b/>
                <w:bCs/>
                <w:sz w:val="16"/>
                <w:szCs w:val="16"/>
              </w:rPr>
            </w:pPr>
            <w:r>
              <w:rPr>
                <w:b/>
                <w:bCs/>
                <w:color w:val="000000"/>
                <w:sz w:val="16"/>
                <w:szCs w:val="16"/>
              </w:rPr>
              <w:t xml:space="preserve">Budget </w:t>
            </w:r>
            <w:r>
              <w:rPr>
                <w:b/>
                <w:bCs/>
                <w:color w:val="000000"/>
                <w:sz w:val="16"/>
                <w:szCs w:val="16"/>
              </w:rPr>
              <w:br/>
              <w:t>2018</w:t>
            </w:r>
            <w:r w:rsidR="007379C2">
              <w:rPr>
                <w:b/>
                <w:bCs/>
                <w:color w:val="000000"/>
                <w:sz w:val="16"/>
                <w:szCs w:val="16"/>
              </w:rPr>
              <w:noBreakHyphen/>
            </w:r>
            <w:r>
              <w:rPr>
                <w:b/>
                <w:bCs/>
                <w:color w:val="000000"/>
                <w:sz w:val="16"/>
                <w:szCs w:val="16"/>
              </w:rPr>
              <w:t>2019 approuvé</w:t>
            </w:r>
          </w:p>
        </w:tc>
        <w:tc>
          <w:tcPr>
            <w:tcW w:w="1319" w:type="dxa"/>
            <w:shd w:val="clear" w:color="000000" w:fill="CCFFFF"/>
            <w:vAlign w:val="center"/>
            <w:hideMark/>
          </w:tcPr>
          <w:p w14:paraId="72F1DA7B" w14:textId="67B608CF" w:rsidR="006E0076" w:rsidRPr="006E0076" w:rsidRDefault="006E0076" w:rsidP="00EF3A93">
            <w:pPr>
              <w:jc w:val="center"/>
              <w:rPr>
                <w:b/>
                <w:bCs/>
                <w:sz w:val="16"/>
                <w:szCs w:val="16"/>
              </w:rPr>
            </w:pPr>
            <w:r>
              <w:rPr>
                <w:b/>
                <w:bCs/>
                <w:color w:val="000000"/>
                <w:sz w:val="16"/>
                <w:szCs w:val="16"/>
              </w:rPr>
              <w:t>Budget final</w:t>
            </w:r>
            <w:r>
              <w:rPr>
                <w:b/>
                <w:bCs/>
                <w:color w:val="000000"/>
                <w:sz w:val="16"/>
                <w:szCs w:val="16"/>
              </w:rPr>
              <w:br/>
            </w:r>
            <w:r w:rsidRPr="007B1ED7">
              <w:rPr>
                <w:b/>
                <w:bCs/>
                <w:color w:val="000000"/>
                <w:sz w:val="16"/>
                <w:szCs w:val="16"/>
              </w:rPr>
              <w:t>20</w:t>
            </w:r>
            <w:r>
              <w:rPr>
                <w:b/>
                <w:bCs/>
                <w:color w:val="000000"/>
                <w:sz w:val="16"/>
                <w:szCs w:val="16"/>
              </w:rPr>
              <w:t>18</w:t>
            </w:r>
            <w:r w:rsidR="007379C2">
              <w:rPr>
                <w:b/>
                <w:bCs/>
                <w:color w:val="000000"/>
                <w:sz w:val="16"/>
                <w:szCs w:val="16"/>
              </w:rPr>
              <w:noBreakHyphen/>
            </w:r>
            <w:r>
              <w:rPr>
                <w:b/>
                <w:bCs/>
                <w:color w:val="000000"/>
                <w:sz w:val="16"/>
                <w:szCs w:val="16"/>
              </w:rPr>
              <w:t>20</w:t>
            </w:r>
            <w:r w:rsidRPr="007B1ED7">
              <w:rPr>
                <w:b/>
                <w:bCs/>
                <w:color w:val="000000"/>
                <w:sz w:val="16"/>
                <w:szCs w:val="16"/>
              </w:rPr>
              <w:t>19</w:t>
            </w:r>
            <w:r>
              <w:rPr>
                <w:b/>
                <w:bCs/>
                <w:color w:val="000000"/>
                <w:sz w:val="16"/>
                <w:szCs w:val="16"/>
              </w:rPr>
              <w:t xml:space="preserve"> après virements</w:t>
            </w:r>
          </w:p>
        </w:tc>
        <w:tc>
          <w:tcPr>
            <w:tcW w:w="1782" w:type="dxa"/>
            <w:shd w:val="clear" w:color="000000" w:fill="CCFFFF"/>
            <w:vAlign w:val="center"/>
            <w:hideMark/>
          </w:tcPr>
          <w:p w14:paraId="0F8B26D7" w14:textId="4BDD6367" w:rsidR="006E0076" w:rsidRPr="006E0076" w:rsidRDefault="006E0076" w:rsidP="00EF3A93">
            <w:pPr>
              <w:jc w:val="center"/>
              <w:rPr>
                <w:b/>
                <w:bCs/>
                <w:sz w:val="16"/>
                <w:szCs w:val="16"/>
              </w:rPr>
            </w:pPr>
            <w:r w:rsidRPr="006E0076">
              <w:rPr>
                <w:b/>
                <w:bCs/>
                <w:sz w:val="16"/>
                <w:szCs w:val="16"/>
              </w:rPr>
              <w:t>Dépenses</w:t>
            </w:r>
            <w:r>
              <w:rPr>
                <w:b/>
                <w:bCs/>
                <w:sz w:val="16"/>
                <w:szCs w:val="16"/>
              </w:rPr>
              <w:t> </w:t>
            </w:r>
            <w:r w:rsidRPr="006E0076">
              <w:rPr>
                <w:b/>
                <w:bCs/>
                <w:sz w:val="16"/>
                <w:szCs w:val="16"/>
              </w:rPr>
              <w:t>2018</w:t>
            </w:r>
            <w:r w:rsidR="007379C2">
              <w:rPr>
                <w:b/>
                <w:bCs/>
                <w:sz w:val="16"/>
                <w:szCs w:val="16"/>
              </w:rPr>
              <w:noBreakHyphen/>
            </w:r>
            <w:r w:rsidRPr="006E0076">
              <w:rPr>
                <w:b/>
                <w:bCs/>
                <w:sz w:val="16"/>
                <w:szCs w:val="16"/>
              </w:rPr>
              <w:t>2019</w:t>
            </w:r>
          </w:p>
        </w:tc>
        <w:tc>
          <w:tcPr>
            <w:tcW w:w="1782" w:type="dxa"/>
            <w:shd w:val="clear" w:color="000000" w:fill="CCFFFF"/>
            <w:vAlign w:val="center"/>
          </w:tcPr>
          <w:p w14:paraId="71DE55AE" w14:textId="77709D49" w:rsidR="006E0076" w:rsidRPr="006E0076" w:rsidRDefault="006E0076" w:rsidP="00EF3A93">
            <w:pPr>
              <w:jc w:val="center"/>
              <w:rPr>
                <w:b/>
                <w:bCs/>
                <w:sz w:val="16"/>
                <w:szCs w:val="16"/>
              </w:rPr>
            </w:pPr>
            <w:r w:rsidRPr="006E0076">
              <w:rPr>
                <w:b/>
                <w:bCs/>
                <w:sz w:val="16"/>
                <w:szCs w:val="16"/>
              </w:rPr>
              <w:t>Taux d</w:t>
            </w:r>
            <w:r w:rsidR="00F82D32">
              <w:rPr>
                <w:b/>
                <w:bCs/>
                <w:sz w:val="16"/>
                <w:szCs w:val="16"/>
              </w:rPr>
              <w:t>’</w:t>
            </w:r>
            <w:r w:rsidRPr="006E0076">
              <w:rPr>
                <w:b/>
                <w:bCs/>
                <w:sz w:val="16"/>
                <w:szCs w:val="16"/>
              </w:rPr>
              <w:t>utilisation (%)</w:t>
            </w:r>
          </w:p>
        </w:tc>
      </w:tr>
      <w:tr w:rsidR="006E0076" w:rsidRPr="006E0076" w14:paraId="68B55E21" w14:textId="77777777" w:rsidTr="00EF3A93">
        <w:trPr>
          <w:trHeight w:val="315"/>
          <w:jc w:val="center"/>
        </w:trPr>
        <w:tc>
          <w:tcPr>
            <w:tcW w:w="2470" w:type="dxa"/>
            <w:shd w:val="clear" w:color="auto" w:fill="auto"/>
            <w:noWrap/>
            <w:vAlign w:val="center"/>
            <w:hideMark/>
          </w:tcPr>
          <w:p w14:paraId="3D5B2DB4" w14:textId="04652010" w:rsidR="006E0076" w:rsidRPr="006E0076" w:rsidRDefault="00EF3A93" w:rsidP="006E0076">
            <w:pPr>
              <w:rPr>
                <w:sz w:val="16"/>
                <w:szCs w:val="16"/>
              </w:rPr>
            </w:pPr>
            <w:r>
              <w:rPr>
                <w:sz w:val="16"/>
                <w:szCs w:val="16"/>
              </w:rPr>
              <w:t>Dépenses de personnel</w:t>
            </w:r>
          </w:p>
        </w:tc>
        <w:tc>
          <w:tcPr>
            <w:tcW w:w="1323" w:type="dxa"/>
            <w:shd w:val="clear" w:color="auto" w:fill="auto"/>
            <w:vAlign w:val="center"/>
            <w:hideMark/>
          </w:tcPr>
          <w:p w14:paraId="6DF53751" w14:textId="417FBF65" w:rsidR="006E0076" w:rsidRPr="006E0076" w:rsidRDefault="00EF3A93" w:rsidP="00EF3A93">
            <w:pPr>
              <w:jc w:val="right"/>
              <w:rPr>
                <w:sz w:val="16"/>
                <w:szCs w:val="16"/>
              </w:rPr>
            </w:pPr>
            <w:r>
              <w:rPr>
                <w:sz w:val="16"/>
                <w:szCs w:val="16"/>
              </w:rPr>
              <w:t>4 849</w:t>
            </w:r>
          </w:p>
        </w:tc>
        <w:tc>
          <w:tcPr>
            <w:tcW w:w="1319" w:type="dxa"/>
            <w:shd w:val="clear" w:color="auto" w:fill="auto"/>
            <w:vAlign w:val="center"/>
            <w:hideMark/>
          </w:tcPr>
          <w:p w14:paraId="735811F6" w14:textId="653D8384" w:rsidR="006E0076" w:rsidRPr="006E0076" w:rsidRDefault="00EF3A93" w:rsidP="00EF3A93">
            <w:pPr>
              <w:jc w:val="right"/>
              <w:rPr>
                <w:sz w:val="16"/>
                <w:szCs w:val="16"/>
              </w:rPr>
            </w:pPr>
            <w:r>
              <w:rPr>
                <w:sz w:val="16"/>
                <w:szCs w:val="16"/>
              </w:rPr>
              <w:t>3 938</w:t>
            </w:r>
          </w:p>
        </w:tc>
        <w:tc>
          <w:tcPr>
            <w:tcW w:w="1782" w:type="dxa"/>
            <w:shd w:val="clear" w:color="auto" w:fill="auto"/>
            <w:vAlign w:val="center"/>
            <w:hideMark/>
          </w:tcPr>
          <w:p w14:paraId="14B60E2B" w14:textId="6C2DCE52" w:rsidR="006E0076" w:rsidRPr="006E0076" w:rsidRDefault="006E0076" w:rsidP="00EF3A93">
            <w:pPr>
              <w:jc w:val="right"/>
              <w:rPr>
                <w:sz w:val="16"/>
                <w:szCs w:val="16"/>
              </w:rPr>
            </w:pPr>
            <w:r w:rsidRPr="006E0076">
              <w:rPr>
                <w:sz w:val="16"/>
                <w:szCs w:val="16"/>
              </w:rPr>
              <w:t>4 012</w:t>
            </w:r>
          </w:p>
        </w:tc>
        <w:tc>
          <w:tcPr>
            <w:tcW w:w="1782" w:type="dxa"/>
            <w:vAlign w:val="center"/>
          </w:tcPr>
          <w:p w14:paraId="274A4E94" w14:textId="77777777" w:rsidR="006E0076" w:rsidRPr="006E0076" w:rsidRDefault="006E0076" w:rsidP="00EF3A93">
            <w:pPr>
              <w:jc w:val="right"/>
              <w:rPr>
                <w:sz w:val="16"/>
                <w:szCs w:val="16"/>
              </w:rPr>
            </w:pPr>
            <w:r w:rsidRPr="006E0076">
              <w:rPr>
                <w:sz w:val="16"/>
                <w:szCs w:val="16"/>
              </w:rPr>
              <w:t>102%</w:t>
            </w:r>
          </w:p>
        </w:tc>
      </w:tr>
      <w:tr w:rsidR="006E0076" w:rsidRPr="006E0076" w14:paraId="44AF5D77" w14:textId="77777777" w:rsidTr="00EF3A93">
        <w:trPr>
          <w:trHeight w:val="315"/>
          <w:jc w:val="center"/>
        </w:trPr>
        <w:tc>
          <w:tcPr>
            <w:tcW w:w="2470" w:type="dxa"/>
            <w:tcBorders>
              <w:bottom w:val="single" w:sz="4" w:space="0" w:color="auto"/>
            </w:tcBorders>
            <w:shd w:val="clear" w:color="auto" w:fill="auto"/>
            <w:noWrap/>
            <w:vAlign w:val="center"/>
            <w:hideMark/>
          </w:tcPr>
          <w:p w14:paraId="10E8F414" w14:textId="0933AC38" w:rsidR="006E0076" w:rsidRPr="006E0076" w:rsidRDefault="00EF3A93" w:rsidP="006E0076">
            <w:pPr>
              <w:rPr>
                <w:sz w:val="16"/>
                <w:szCs w:val="16"/>
              </w:rPr>
            </w:pPr>
            <w:r>
              <w:rPr>
                <w:sz w:val="16"/>
                <w:szCs w:val="16"/>
              </w:rPr>
              <w:t>Autres dépenses</w:t>
            </w:r>
          </w:p>
        </w:tc>
        <w:tc>
          <w:tcPr>
            <w:tcW w:w="1323" w:type="dxa"/>
            <w:tcBorders>
              <w:bottom w:val="single" w:sz="4" w:space="0" w:color="auto"/>
            </w:tcBorders>
            <w:shd w:val="clear" w:color="auto" w:fill="auto"/>
            <w:vAlign w:val="center"/>
            <w:hideMark/>
          </w:tcPr>
          <w:p w14:paraId="53E85FCF" w14:textId="7C2386E3" w:rsidR="006E0076" w:rsidRPr="006E0076" w:rsidRDefault="00EF3A93" w:rsidP="00EF3A93">
            <w:pPr>
              <w:jc w:val="right"/>
              <w:rPr>
                <w:sz w:val="16"/>
                <w:szCs w:val="16"/>
              </w:rPr>
            </w:pPr>
            <w:r>
              <w:rPr>
                <w:sz w:val="16"/>
                <w:szCs w:val="16"/>
              </w:rPr>
              <w:t>700</w:t>
            </w:r>
          </w:p>
        </w:tc>
        <w:tc>
          <w:tcPr>
            <w:tcW w:w="1319" w:type="dxa"/>
            <w:tcBorders>
              <w:bottom w:val="single" w:sz="4" w:space="0" w:color="auto"/>
            </w:tcBorders>
            <w:shd w:val="clear" w:color="auto" w:fill="auto"/>
            <w:vAlign w:val="center"/>
            <w:hideMark/>
          </w:tcPr>
          <w:p w14:paraId="14B0590D" w14:textId="2748E14C" w:rsidR="006E0076" w:rsidRPr="006E0076" w:rsidRDefault="006E0076" w:rsidP="00EF3A93">
            <w:pPr>
              <w:jc w:val="right"/>
              <w:rPr>
                <w:sz w:val="16"/>
                <w:szCs w:val="16"/>
              </w:rPr>
            </w:pPr>
            <w:r w:rsidRPr="006E0076">
              <w:rPr>
                <w:sz w:val="16"/>
                <w:szCs w:val="16"/>
              </w:rPr>
              <w:t>1 118</w:t>
            </w:r>
          </w:p>
        </w:tc>
        <w:tc>
          <w:tcPr>
            <w:tcW w:w="1782" w:type="dxa"/>
            <w:tcBorders>
              <w:bottom w:val="single" w:sz="4" w:space="0" w:color="auto"/>
            </w:tcBorders>
            <w:shd w:val="clear" w:color="auto" w:fill="auto"/>
            <w:vAlign w:val="center"/>
            <w:hideMark/>
          </w:tcPr>
          <w:p w14:paraId="4C54FAD3" w14:textId="584571CF" w:rsidR="006E0076" w:rsidRPr="006E0076" w:rsidRDefault="006E0076" w:rsidP="00EF3A93">
            <w:pPr>
              <w:jc w:val="right"/>
              <w:rPr>
                <w:sz w:val="16"/>
                <w:szCs w:val="16"/>
              </w:rPr>
            </w:pPr>
            <w:r w:rsidRPr="006E0076">
              <w:rPr>
                <w:sz w:val="16"/>
                <w:szCs w:val="16"/>
              </w:rPr>
              <w:t>1 055</w:t>
            </w:r>
          </w:p>
        </w:tc>
        <w:tc>
          <w:tcPr>
            <w:tcW w:w="1782" w:type="dxa"/>
            <w:tcBorders>
              <w:bottom w:val="single" w:sz="4" w:space="0" w:color="auto"/>
            </w:tcBorders>
            <w:vAlign w:val="center"/>
          </w:tcPr>
          <w:p w14:paraId="732745D8" w14:textId="77777777" w:rsidR="006E0076" w:rsidRPr="006E0076" w:rsidRDefault="006E0076" w:rsidP="00EF3A93">
            <w:pPr>
              <w:jc w:val="right"/>
              <w:rPr>
                <w:sz w:val="16"/>
                <w:szCs w:val="16"/>
              </w:rPr>
            </w:pPr>
            <w:r w:rsidRPr="006E0076">
              <w:rPr>
                <w:sz w:val="16"/>
                <w:szCs w:val="16"/>
              </w:rPr>
              <w:t>94%</w:t>
            </w:r>
          </w:p>
        </w:tc>
      </w:tr>
      <w:tr w:rsidR="006E0076" w:rsidRPr="006E0076" w14:paraId="2B5A4A83" w14:textId="77777777" w:rsidTr="00EF3A93">
        <w:trPr>
          <w:trHeight w:val="225"/>
          <w:jc w:val="center"/>
        </w:trPr>
        <w:tc>
          <w:tcPr>
            <w:tcW w:w="2470" w:type="dxa"/>
            <w:tcBorders>
              <w:bottom w:val="single" w:sz="4" w:space="0" w:color="auto"/>
            </w:tcBorders>
            <w:shd w:val="clear" w:color="000000" w:fill="CCFFFF"/>
            <w:noWrap/>
            <w:vAlign w:val="center"/>
            <w:hideMark/>
          </w:tcPr>
          <w:p w14:paraId="16A16A96" w14:textId="77777777" w:rsidR="006E0076" w:rsidRPr="006E0076" w:rsidRDefault="006E0076" w:rsidP="006E0076">
            <w:pPr>
              <w:jc w:val="right"/>
              <w:rPr>
                <w:b/>
                <w:bCs/>
                <w:sz w:val="16"/>
                <w:szCs w:val="16"/>
              </w:rPr>
            </w:pPr>
            <w:r w:rsidRPr="006E0076">
              <w:rPr>
                <w:b/>
                <w:bCs/>
                <w:sz w:val="16"/>
                <w:szCs w:val="16"/>
              </w:rPr>
              <w:t xml:space="preserve"> Total </w:t>
            </w:r>
          </w:p>
        </w:tc>
        <w:tc>
          <w:tcPr>
            <w:tcW w:w="1323" w:type="dxa"/>
            <w:tcBorders>
              <w:bottom w:val="single" w:sz="4" w:space="0" w:color="auto"/>
            </w:tcBorders>
            <w:shd w:val="clear" w:color="000000" w:fill="CCFFFF"/>
            <w:vAlign w:val="center"/>
            <w:hideMark/>
          </w:tcPr>
          <w:p w14:paraId="4982B37D" w14:textId="0024B23E" w:rsidR="006E0076" w:rsidRPr="006E0076" w:rsidRDefault="006E0076" w:rsidP="00EF3A93">
            <w:pPr>
              <w:jc w:val="right"/>
              <w:rPr>
                <w:b/>
                <w:bCs/>
                <w:sz w:val="16"/>
                <w:szCs w:val="16"/>
              </w:rPr>
            </w:pPr>
            <w:r w:rsidRPr="006E0076">
              <w:rPr>
                <w:sz w:val="16"/>
                <w:szCs w:val="16"/>
              </w:rPr>
              <w:t xml:space="preserve">5 550 </w:t>
            </w:r>
          </w:p>
        </w:tc>
        <w:tc>
          <w:tcPr>
            <w:tcW w:w="1319" w:type="dxa"/>
            <w:tcBorders>
              <w:bottom w:val="single" w:sz="4" w:space="0" w:color="auto"/>
            </w:tcBorders>
            <w:shd w:val="clear" w:color="000000" w:fill="CCFFFF"/>
            <w:vAlign w:val="center"/>
            <w:hideMark/>
          </w:tcPr>
          <w:p w14:paraId="362CA8B0" w14:textId="2527ED63" w:rsidR="006E0076" w:rsidRPr="006E0076" w:rsidRDefault="006E0076" w:rsidP="00EF3A93">
            <w:pPr>
              <w:jc w:val="right"/>
              <w:rPr>
                <w:b/>
                <w:bCs/>
                <w:sz w:val="16"/>
                <w:szCs w:val="16"/>
              </w:rPr>
            </w:pPr>
            <w:r w:rsidRPr="006E0076">
              <w:rPr>
                <w:sz w:val="16"/>
                <w:szCs w:val="16"/>
              </w:rPr>
              <w:t xml:space="preserve">5 056 </w:t>
            </w:r>
          </w:p>
        </w:tc>
        <w:tc>
          <w:tcPr>
            <w:tcW w:w="1782" w:type="dxa"/>
            <w:tcBorders>
              <w:bottom w:val="single" w:sz="4" w:space="0" w:color="auto"/>
            </w:tcBorders>
            <w:shd w:val="clear" w:color="000000" w:fill="CCFFFF"/>
            <w:vAlign w:val="center"/>
            <w:hideMark/>
          </w:tcPr>
          <w:p w14:paraId="6A503F74" w14:textId="52DAA5E8" w:rsidR="006E0076" w:rsidRPr="006E0076" w:rsidRDefault="006E0076" w:rsidP="00EF3A93">
            <w:pPr>
              <w:jc w:val="right"/>
              <w:rPr>
                <w:b/>
                <w:bCs/>
                <w:sz w:val="16"/>
                <w:szCs w:val="16"/>
              </w:rPr>
            </w:pPr>
            <w:r w:rsidRPr="006E0076">
              <w:rPr>
                <w:b/>
                <w:bCs/>
                <w:sz w:val="16"/>
                <w:szCs w:val="16"/>
              </w:rPr>
              <w:t>5 067</w:t>
            </w:r>
          </w:p>
        </w:tc>
        <w:tc>
          <w:tcPr>
            <w:tcW w:w="1782" w:type="dxa"/>
            <w:tcBorders>
              <w:bottom w:val="single" w:sz="4" w:space="0" w:color="auto"/>
            </w:tcBorders>
            <w:shd w:val="clear" w:color="000000" w:fill="CCFFFF"/>
            <w:vAlign w:val="center"/>
          </w:tcPr>
          <w:p w14:paraId="239F24FA" w14:textId="77777777" w:rsidR="006E0076" w:rsidRPr="006E0076" w:rsidRDefault="006E0076" w:rsidP="00EF3A93">
            <w:pPr>
              <w:jc w:val="right"/>
              <w:rPr>
                <w:sz w:val="16"/>
                <w:szCs w:val="16"/>
              </w:rPr>
            </w:pPr>
            <w:r w:rsidRPr="006E0076">
              <w:rPr>
                <w:sz w:val="16"/>
                <w:szCs w:val="16"/>
              </w:rPr>
              <w:t>100%</w:t>
            </w:r>
          </w:p>
        </w:tc>
      </w:tr>
    </w:tbl>
    <w:p w14:paraId="71E8ACF1" w14:textId="77777777" w:rsidR="00C5485D" w:rsidRDefault="00C5485D" w:rsidP="00AE63B3"/>
    <w:p w14:paraId="5064D996" w14:textId="0D67B033" w:rsidR="00C5485D" w:rsidRDefault="00117B9F" w:rsidP="00AE0F24">
      <w:pPr>
        <w:pStyle w:val="ONUMFS"/>
      </w:pPr>
      <w:r w:rsidRPr="00C2536B">
        <w:t>Le recrutement de l</w:t>
      </w:r>
      <w:r w:rsidR="00F82D32">
        <w:t>’</w:t>
      </w:r>
      <w:r w:rsidRPr="00C2536B">
        <w:t>assistant au grade</w:t>
      </w:r>
      <w:r>
        <w:t> </w:t>
      </w:r>
      <w:r w:rsidRPr="00C2536B">
        <w:t xml:space="preserve">G4 a eu lieu, et la personne </w:t>
      </w:r>
      <w:r>
        <w:t>recrutée</w:t>
      </w:r>
      <w:r w:rsidRPr="00C2536B">
        <w:t xml:space="preserve"> a pris ses fonctions en octobre</w:t>
      </w:r>
      <w:r>
        <w:t> </w:t>
      </w:r>
      <w:r w:rsidRPr="00C2536B">
        <w:t>2019.</w:t>
      </w:r>
    </w:p>
    <w:p w14:paraId="2E6323B8" w14:textId="77777777" w:rsidR="00C5485D" w:rsidRDefault="00AE0F24" w:rsidP="00AE0F24">
      <w:pPr>
        <w:pStyle w:val="Heading3"/>
      </w:pPr>
      <w:r>
        <w:t>Formation</w:t>
      </w:r>
    </w:p>
    <w:p w14:paraId="2F3048EA" w14:textId="7F5A6074" w:rsidR="00C5485D" w:rsidRDefault="00117B9F" w:rsidP="00AE0F24">
      <w:pPr>
        <w:pStyle w:val="ONUMFS"/>
      </w:pPr>
      <w:r w:rsidRPr="00C2536B">
        <w:t>Dans une perspective de formation professionnelle continue et conformément à la politique de l</w:t>
      </w:r>
      <w:r w:rsidR="00F82D32">
        <w:t>’</w:t>
      </w:r>
      <w:r w:rsidRPr="00C2536B">
        <w:t>OMPI en matière de formation, les membres du personnel de la</w:t>
      </w:r>
      <w:r>
        <w:t> </w:t>
      </w:r>
      <w:r w:rsidRPr="00C2536B">
        <w:t>DSI ont participé à diverses activités de formation afin d</w:t>
      </w:r>
      <w:r w:rsidR="00F82D32">
        <w:t>’</w:t>
      </w:r>
      <w:r w:rsidRPr="00C2536B">
        <w:t>acquérir de nouvelles connaissances, des compétences techniques et d</w:t>
      </w:r>
      <w:r w:rsidR="00F82D32">
        <w:t>’</w:t>
      </w:r>
      <w:r w:rsidRPr="00C2536B">
        <w:t>autres compétences et de renforcer ainsi l</w:t>
      </w:r>
      <w:r w:rsidR="00F82D32">
        <w:t>’</w:t>
      </w:r>
      <w:r w:rsidRPr="00C2536B">
        <w:t>efficacité opérationnelle de la Division dans le cadre de ses missions de supervision.</w:t>
      </w:r>
    </w:p>
    <w:p w14:paraId="02FFF965" w14:textId="3A60E940" w:rsidR="00C5485D" w:rsidRDefault="00117B9F" w:rsidP="00AE0F24">
      <w:pPr>
        <w:pStyle w:val="ONUMFS"/>
      </w:pPr>
      <w:r w:rsidRPr="008F0C27">
        <w:t>En moyenne, chacun des membres du personnel de la</w:t>
      </w:r>
      <w:r>
        <w:t> </w:t>
      </w:r>
      <w:r w:rsidRPr="008F0C27">
        <w:t>DSI a suivi 10</w:t>
      </w:r>
      <w:r>
        <w:t> </w:t>
      </w:r>
      <w:r w:rsidRPr="008F0C27">
        <w:t>jours de formation, qui ont notamment porté sur la prévention et la détection des fraudes, les techniques de recherche en matière d</w:t>
      </w:r>
      <w:r w:rsidR="00F82D32">
        <w:t>’</w:t>
      </w:r>
      <w:r w:rsidRPr="008F0C27">
        <w:t>enquête, l</w:t>
      </w:r>
      <w:r w:rsidR="00F82D32">
        <w:t>’</w:t>
      </w:r>
      <w:r w:rsidRPr="008F0C27">
        <w:t>analyse des données, la saisie des données numériques, la cybersécurité, la gestion des conflits, l</w:t>
      </w:r>
      <w:r w:rsidR="00F82D32">
        <w:t>’</w:t>
      </w:r>
      <w:r w:rsidRPr="008F0C27">
        <w:t>évaluation des politiques dans le domaine de la science et de l</w:t>
      </w:r>
      <w:r w:rsidR="00F82D32">
        <w:t>’</w:t>
      </w:r>
      <w:r w:rsidRPr="008F0C27">
        <w:t>innovation, la politique en matière de sciences du comportement et l</w:t>
      </w:r>
      <w:r w:rsidR="00F82D32">
        <w:t>’</w:t>
      </w:r>
      <w:r w:rsidRPr="008F0C27">
        <w:t>outil TeamMate.</w:t>
      </w:r>
    </w:p>
    <w:p w14:paraId="33395CFE" w14:textId="7F5B8A8F" w:rsidR="00C5485D" w:rsidRDefault="00117B9F" w:rsidP="00AE0F24">
      <w:pPr>
        <w:pStyle w:val="ONUMFS"/>
      </w:pPr>
      <w:r w:rsidRPr="008F0C27">
        <w:lastRenderedPageBreak/>
        <w:t>L</w:t>
      </w:r>
      <w:r w:rsidR="00F82D32">
        <w:t>’</w:t>
      </w:r>
      <w:r w:rsidRPr="008F0C27">
        <w:t>équipe de la</w:t>
      </w:r>
      <w:r>
        <w:t> </w:t>
      </w:r>
      <w:r w:rsidRPr="008F0C27">
        <w:t>DSI a également suivi une séance de formation sur l</w:t>
      </w:r>
      <w:r>
        <w:t>a</w:t>
      </w:r>
      <w:r w:rsidRPr="008F0C27">
        <w:t xml:space="preserve"> synergologie, conçue pour renforcer la capacité du personnel de supervision à repérer et comprendre les éléments de communication non verbale.</w:t>
      </w:r>
    </w:p>
    <w:p w14:paraId="414F9C0D" w14:textId="1D1CF4BF" w:rsidR="00C5485D" w:rsidRDefault="00117B9F" w:rsidP="00AE0F24">
      <w:pPr>
        <w:pStyle w:val="Endofdocument-Annex"/>
      </w:pPr>
      <w:r>
        <w:t>[L</w:t>
      </w:r>
      <w:r w:rsidR="00F82D32">
        <w:t>’</w:t>
      </w:r>
      <w:r>
        <w:t>annexe suit]</w:t>
      </w:r>
    </w:p>
    <w:p w14:paraId="2622745E" w14:textId="77777777" w:rsidR="00C5485D" w:rsidRDefault="00C5485D" w:rsidP="00117B9F">
      <w:pPr>
        <w:keepLines/>
        <w:tabs>
          <w:tab w:val="left" w:pos="5529"/>
          <w:tab w:val="left" w:pos="6930"/>
          <w:tab w:val="right" w:pos="9355"/>
        </w:tabs>
      </w:pPr>
    </w:p>
    <w:bookmarkEnd w:id="20"/>
    <w:p w14:paraId="1D12E318" w14:textId="77777777" w:rsidR="004817C7" w:rsidRDefault="004817C7" w:rsidP="00AE0F24">
      <w:pPr>
        <w:pStyle w:val="ONUMFS"/>
        <w:numPr>
          <w:ilvl w:val="0"/>
          <w:numId w:val="0"/>
        </w:numPr>
        <w:rPr>
          <w:szCs w:val="22"/>
          <w:lang w:val="fr-CH"/>
        </w:rPr>
        <w:sectPr w:rsidR="004817C7" w:rsidSect="006F594E">
          <w:headerReference w:type="default" r:id="rId17"/>
          <w:headerReference w:type="first" r:id="rId18"/>
          <w:endnotePr>
            <w:numFmt w:val="decimal"/>
          </w:endnotePr>
          <w:pgSz w:w="11907" w:h="16840" w:code="9"/>
          <w:pgMar w:top="567" w:right="1134" w:bottom="1417" w:left="1417" w:header="510" w:footer="1020" w:gutter="0"/>
          <w:pgNumType w:start="2"/>
          <w:cols w:space="720"/>
          <w:titlePg/>
          <w:docGrid w:linePitch="299"/>
        </w:sectPr>
      </w:pPr>
    </w:p>
    <w:p w14:paraId="39CC5D22" w14:textId="2F528BD0" w:rsidR="00C5485D" w:rsidRDefault="00E37FB4" w:rsidP="006023CD">
      <w:pPr>
        <w:keepLines/>
        <w:spacing w:after="600"/>
        <w:jc w:val="center"/>
        <w:rPr>
          <w:b/>
          <w:bCs/>
        </w:rPr>
      </w:pPr>
      <w:r>
        <w:rPr>
          <w:b/>
          <w:bCs/>
        </w:rPr>
        <w:lastRenderedPageBreak/>
        <w:t xml:space="preserve">ANNEXE - </w:t>
      </w:r>
      <w:r w:rsidR="00426AC4" w:rsidRPr="008F0C27">
        <w:rPr>
          <w:b/>
          <w:bCs/>
        </w:rPr>
        <w:t>Liste des rapports établis par la</w:t>
      </w:r>
      <w:r w:rsidR="00426AC4">
        <w:rPr>
          <w:b/>
          <w:bCs/>
        </w:rPr>
        <w:t> </w:t>
      </w:r>
      <w:r w:rsidR="00426AC4" w:rsidRPr="008F0C27">
        <w:rPr>
          <w:b/>
          <w:bCs/>
        </w:rPr>
        <w:t xml:space="preserve">DSI </w:t>
      </w:r>
      <w:r w:rsidR="008E0407">
        <w:rPr>
          <w:b/>
          <w:bCs/>
        </w:rPr>
        <w:br/>
      </w:r>
      <w:r w:rsidR="00426AC4" w:rsidRPr="008F0C27">
        <w:rPr>
          <w:b/>
          <w:bCs/>
        </w:rPr>
        <w:t>du</w:t>
      </w:r>
      <w:r w:rsidR="00AE63B3">
        <w:rPr>
          <w:b/>
          <w:bCs/>
        </w:rPr>
        <w:t xml:space="preserve"> 1</w:t>
      </w:r>
      <w:r w:rsidR="00AE63B3" w:rsidRPr="00AE63B3">
        <w:rPr>
          <w:b/>
          <w:bCs/>
          <w:vertAlign w:val="superscript"/>
        </w:rPr>
        <w:t>er</w:t>
      </w:r>
      <w:r w:rsidR="00AE63B3">
        <w:rPr>
          <w:b/>
          <w:bCs/>
        </w:rPr>
        <w:t> </w:t>
      </w:r>
      <w:r w:rsidR="00426AC4" w:rsidRPr="008F0C27">
        <w:rPr>
          <w:b/>
          <w:bCs/>
        </w:rPr>
        <w:t>juillet</w:t>
      </w:r>
      <w:r w:rsidR="00426AC4">
        <w:rPr>
          <w:b/>
          <w:bCs/>
        </w:rPr>
        <w:t> </w:t>
      </w:r>
      <w:r w:rsidR="00426AC4" w:rsidRPr="008F0C27">
        <w:rPr>
          <w:b/>
          <w:bCs/>
        </w:rPr>
        <w:t>2019 au 31</w:t>
      </w:r>
      <w:r w:rsidR="00426AC4">
        <w:rPr>
          <w:b/>
          <w:bCs/>
        </w:rPr>
        <w:t> </w:t>
      </w:r>
      <w:r w:rsidR="00426AC4" w:rsidRPr="008F0C27">
        <w:rPr>
          <w:b/>
          <w:bCs/>
        </w:rPr>
        <w:t>décembre</w:t>
      </w:r>
      <w:r w:rsidR="00426AC4">
        <w:rPr>
          <w:b/>
          <w:bCs/>
        </w:rPr>
        <w:t> </w:t>
      </w:r>
      <w:r w:rsidR="00426AC4" w:rsidRPr="008F0C27">
        <w:rPr>
          <w:b/>
          <w:bCs/>
        </w:rPr>
        <w:t>2019</w:t>
      </w:r>
    </w:p>
    <w:tbl>
      <w:tblPr>
        <w:tblStyle w:val="TableGridLight"/>
        <w:tblW w:w="0" w:type="auto"/>
        <w:tblLook w:val="04A0" w:firstRow="1" w:lastRow="0" w:firstColumn="1" w:lastColumn="0" w:noHBand="0" w:noVBand="1"/>
        <w:tblCaption w:val="Liste des rapports établis par la DSI"/>
        <w:tblDescription w:val="Liste des rapports établis par la DSI du 1er juillet 2019 au 31 décembre 2019&#10;"/>
      </w:tblPr>
      <w:tblGrid>
        <w:gridCol w:w="7508"/>
        <w:gridCol w:w="1837"/>
      </w:tblGrid>
      <w:tr w:rsidR="00805BDB" w:rsidRPr="00427FB1" w14:paraId="07E1B257" w14:textId="77777777" w:rsidTr="00A52ADF">
        <w:trPr>
          <w:trHeight w:val="851"/>
          <w:tblHeader/>
        </w:trPr>
        <w:tc>
          <w:tcPr>
            <w:tcW w:w="7508" w:type="dxa"/>
            <w:vAlign w:val="center"/>
          </w:tcPr>
          <w:p w14:paraId="25577422" w14:textId="1E7A5C55" w:rsidR="00805BDB" w:rsidRPr="00805BDB" w:rsidRDefault="00805BDB" w:rsidP="00A52ADF">
            <w:pPr>
              <w:pStyle w:val="ONUME"/>
              <w:numPr>
                <w:ilvl w:val="0"/>
                <w:numId w:val="0"/>
              </w:numPr>
              <w:jc w:val="center"/>
              <w:rPr>
                <w:lang w:val="fr-CH"/>
              </w:rPr>
            </w:pPr>
            <w:r w:rsidRPr="007331EB">
              <w:rPr>
                <w:sz w:val="24"/>
                <w:szCs w:val="24"/>
              </w:rPr>
              <w:t>Audit de la gestion des services internes dans le Secteur administration et gestion</w:t>
            </w:r>
          </w:p>
        </w:tc>
        <w:tc>
          <w:tcPr>
            <w:tcW w:w="1837" w:type="dxa"/>
            <w:vAlign w:val="center"/>
          </w:tcPr>
          <w:p w14:paraId="270F0FE6" w14:textId="77777777" w:rsidR="00805BDB" w:rsidRPr="00427FB1" w:rsidRDefault="00805BDB" w:rsidP="00A52ADF">
            <w:pPr>
              <w:pStyle w:val="ONUME"/>
              <w:numPr>
                <w:ilvl w:val="0"/>
                <w:numId w:val="0"/>
              </w:numPr>
              <w:ind w:left="34"/>
              <w:jc w:val="center"/>
            </w:pPr>
            <w:r w:rsidRPr="00F736B0">
              <w:rPr>
                <w:rFonts w:eastAsia="Times New Roman"/>
                <w:color w:val="000000"/>
                <w:sz w:val="24"/>
                <w:szCs w:val="24"/>
                <w:lang w:eastAsia="en-US"/>
              </w:rPr>
              <w:t>IA 2019-01</w:t>
            </w:r>
          </w:p>
        </w:tc>
      </w:tr>
      <w:tr w:rsidR="00805BDB" w:rsidRPr="00427FB1" w14:paraId="5F6C78B4" w14:textId="77777777" w:rsidTr="00A52ADF">
        <w:trPr>
          <w:trHeight w:val="851"/>
        </w:trPr>
        <w:tc>
          <w:tcPr>
            <w:tcW w:w="7508" w:type="dxa"/>
            <w:vAlign w:val="center"/>
          </w:tcPr>
          <w:p w14:paraId="78836787" w14:textId="20AE4D3F" w:rsidR="00805BDB" w:rsidRPr="00805BDB" w:rsidRDefault="00805BDB" w:rsidP="00A52ADF">
            <w:pPr>
              <w:pStyle w:val="ONUME"/>
              <w:numPr>
                <w:ilvl w:val="0"/>
                <w:numId w:val="0"/>
              </w:numPr>
              <w:jc w:val="center"/>
              <w:rPr>
                <w:rFonts w:eastAsia="Times New Roman"/>
                <w:color w:val="3B3B3B"/>
                <w:sz w:val="24"/>
                <w:szCs w:val="24"/>
                <w:lang w:val="fr-CH" w:eastAsia="en-US"/>
              </w:rPr>
            </w:pPr>
            <w:r w:rsidRPr="007331EB">
              <w:rPr>
                <w:rFonts w:eastAsia="Times New Roman"/>
                <w:color w:val="3B3B3B"/>
                <w:sz w:val="24"/>
                <w:szCs w:val="24"/>
                <w:lang w:eastAsia="en-US"/>
              </w:rPr>
              <w:t>Audit du projet de système de gestion des contenus de l</w:t>
            </w:r>
            <w:r>
              <w:rPr>
                <w:rFonts w:eastAsia="Times New Roman"/>
                <w:color w:val="3B3B3B"/>
                <w:sz w:val="24"/>
                <w:szCs w:val="24"/>
                <w:lang w:eastAsia="en-US"/>
              </w:rPr>
              <w:t>’</w:t>
            </w:r>
            <w:r w:rsidRPr="007331EB">
              <w:rPr>
                <w:rFonts w:eastAsia="Times New Roman"/>
                <w:color w:val="3B3B3B"/>
                <w:sz w:val="24"/>
                <w:szCs w:val="24"/>
                <w:lang w:eastAsia="en-US"/>
              </w:rPr>
              <w:t>OMPI</w:t>
            </w:r>
          </w:p>
        </w:tc>
        <w:tc>
          <w:tcPr>
            <w:tcW w:w="1837" w:type="dxa"/>
            <w:vAlign w:val="center"/>
          </w:tcPr>
          <w:p w14:paraId="6427A186" w14:textId="77777777" w:rsidR="00805BDB" w:rsidRPr="00F736B0" w:rsidRDefault="00805BDB" w:rsidP="00A52ADF">
            <w:pPr>
              <w:pStyle w:val="ONUME"/>
              <w:numPr>
                <w:ilvl w:val="0"/>
                <w:numId w:val="0"/>
              </w:numPr>
              <w:ind w:left="34"/>
              <w:jc w:val="center"/>
              <w:rPr>
                <w:rFonts w:eastAsia="Times New Roman"/>
                <w:color w:val="000000"/>
                <w:sz w:val="24"/>
                <w:szCs w:val="24"/>
                <w:lang w:eastAsia="en-US"/>
              </w:rPr>
            </w:pPr>
            <w:r w:rsidRPr="00F736B0">
              <w:rPr>
                <w:rFonts w:eastAsia="Times New Roman"/>
                <w:color w:val="000000"/>
                <w:sz w:val="24"/>
                <w:szCs w:val="24"/>
                <w:lang w:eastAsia="en-US"/>
              </w:rPr>
              <w:t>IA 2019-02</w:t>
            </w:r>
          </w:p>
        </w:tc>
      </w:tr>
      <w:tr w:rsidR="00805BDB" w:rsidRPr="00427FB1" w14:paraId="066160E3" w14:textId="77777777" w:rsidTr="00A52ADF">
        <w:trPr>
          <w:trHeight w:val="851"/>
        </w:trPr>
        <w:tc>
          <w:tcPr>
            <w:tcW w:w="7508" w:type="dxa"/>
            <w:vAlign w:val="center"/>
          </w:tcPr>
          <w:p w14:paraId="5F5F883A" w14:textId="5AD2186E" w:rsidR="00805BDB" w:rsidRPr="00805BDB" w:rsidRDefault="00805BDB" w:rsidP="00A52ADF">
            <w:pPr>
              <w:pStyle w:val="ONUME"/>
              <w:numPr>
                <w:ilvl w:val="0"/>
                <w:numId w:val="0"/>
              </w:numPr>
              <w:jc w:val="center"/>
              <w:rPr>
                <w:lang w:val="fr-CH"/>
              </w:rPr>
            </w:pPr>
            <w:r w:rsidRPr="007331EB">
              <w:rPr>
                <w:sz w:val="24"/>
                <w:szCs w:val="24"/>
              </w:rPr>
              <w:t>Audit de la procédure de clôture de l</w:t>
            </w:r>
            <w:r>
              <w:rPr>
                <w:sz w:val="24"/>
                <w:szCs w:val="24"/>
              </w:rPr>
              <w:t>’</w:t>
            </w:r>
            <w:r w:rsidRPr="007331EB">
              <w:rPr>
                <w:sz w:val="24"/>
                <w:szCs w:val="24"/>
              </w:rPr>
              <w:t>exercice annuel</w:t>
            </w:r>
          </w:p>
        </w:tc>
        <w:tc>
          <w:tcPr>
            <w:tcW w:w="1837" w:type="dxa"/>
            <w:vAlign w:val="center"/>
          </w:tcPr>
          <w:p w14:paraId="6EF9F60E" w14:textId="77777777" w:rsidR="00805BDB" w:rsidRPr="00427FB1" w:rsidRDefault="00805BDB" w:rsidP="00A52ADF">
            <w:pPr>
              <w:pStyle w:val="ONUME"/>
              <w:numPr>
                <w:ilvl w:val="0"/>
                <w:numId w:val="0"/>
              </w:numPr>
              <w:ind w:left="34"/>
              <w:jc w:val="center"/>
            </w:pPr>
            <w:r w:rsidRPr="00F736B0">
              <w:rPr>
                <w:rFonts w:eastAsia="Times New Roman"/>
                <w:color w:val="000000"/>
                <w:sz w:val="24"/>
                <w:szCs w:val="24"/>
                <w:lang w:eastAsia="en-US"/>
              </w:rPr>
              <w:t>IA 2019-03</w:t>
            </w:r>
          </w:p>
        </w:tc>
      </w:tr>
      <w:tr w:rsidR="00805BDB" w:rsidRPr="00427FB1" w14:paraId="0B22B36C" w14:textId="77777777" w:rsidTr="00A52ADF">
        <w:trPr>
          <w:trHeight w:val="851"/>
        </w:trPr>
        <w:tc>
          <w:tcPr>
            <w:tcW w:w="7508" w:type="dxa"/>
            <w:vAlign w:val="center"/>
          </w:tcPr>
          <w:p w14:paraId="60CEAA39" w14:textId="15881D83" w:rsidR="00805BDB" w:rsidRPr="00805BDB" w:rsidRDefault="00805BDB" w:rsidP="00A52ADF">
            <w:pPr>
              <w:pStyle w:val="ONUME"/>
              <w:numPr>
                <w:ilvl w:val="0"/>
                <w:numId w:val="0"/>
              </w:numPr>
              <w:jc w:val="center"/>
              <w:rPr>
                <w:lang w:val="fr-CH"/>
              </w:rPr>
            </w:pPr>
            <w:r w:rsidRPr="007331EB">
              <w:rPr>
                <w:sz w:val="24"/>
                <w:szCs w:val="24"/>
              </w:rPr>
              <w:t>Rapport d</w:t>
            </w:r>
            <w:r>
              <w:rPr>
                <w:sz w:val="24"/>
                <w:szCs w:val="24"/>
              </w:rPr>
              <w:t>’</w:t>
            </w:r>
            <w:r w:rsidRPr="007331EB">
              <w:rPr>
                <w:sz w:val="24"/>
                <w:szCs w:val="24"/>
              </w:rPr>
              <w:t>évaluation et d</w:t>
            </w:r>
            <w:r>
              <w:rPr>
                <w:sz w:val="24"/>
                <w:szCs w:val="24"/>
              </w:rPr>
              <w:t>’</w:t>
            </w:r>
            <w:r w:rsidRPr="007331EB">
              <w:rPr>
                <w:sz w:val="24"/>
                <w:szCs w:val="24"/>
              </w:rPr>
              <w:t>audit de la Politique de l</w:t>
            </w:r>
            <w:r>
              <w:rPr>
                <w:sz w:val="24"/>
                <w:szCs w:val="24"/>
              </w:rPr>
              <w:t>’</w:t>
            </w:r>
            <w:r w:rsidRPr="007331EB">
              <w:rPr>
                <w:sz w:val="24"/>
                <w:szCs w:val="24"/>
              </w:rPr>
              <w:t>OMPI en matière d</w:t>
            </w:r>
            <w:r>
              <w:rPr>
                <w:sz w:val="24"/>
                <w:szCs w:val="24"/>
              </w:rPr>
              <w:t>’</w:t>
            </w:r>
            <w:r w:rsidRPr="007331EB">
              <w:rPr>
                <w:sz w:val="24"/>
                <w:szCs w:val="24"/>
              </w:rPr>
              <w:t>égalité des sexes</w:t>
            </w:r>
          </w:p>
        </w:tc>
        <w:tc>
          <w:tcPr>
            <w:tcW w:w="1837" w:type="dxa"/>
            <w:vAlign w:val="center"/>
          </w:tcPr>
          <w:p w14:paraId="73652AAA" w14:textId="77777777" w:rsidR="00805BDB" w:rsidRPr="00427FB1" w:rsidRDefault="00805BDB" w:rsidP="00A52ADF">
            <w:pPr>
              <w:pStyle w:val="ONUME"/>
              <w:numPr>
                <w:ilvl w:val="0"/>
                <w:numId w:val="0"/>
              </w:numPr>
              <w:ind w:left="34"/>
              <w:jc w:val="center"/>
            </w:pPr>
            <w:r w:rsidRPr="00F736B0">
              <w:rPr>
                <w:rFonts w:eastAsia="Times New Roman"/>
                <w:color w:val="000000"/>
                <w:sz w:val="24"/>
                <w:szCs w:val="24"/>
                <w:lang w:eastAsia="en-US"/>
              </w:rPr>
              <w:t>EVAL 2019-02</w:t>
            </w:r>
          </w:p>
        </w:tc>
      </w:tr>
      <w:tr w:rsidR="00805BDB" w:rsidRPr="00427FB1" w14:paraId="1ABFCA2F" w14:textId="77777777" w:rsidTr="00A52ADF">
        <w:trPr>
          <w:trHeight w:val="851"/>
        </w:trPr>
        <w:tc>
          <w:tcPr>
            <w:tcW w:w="7508" w:type="dxa"/>
            <w:vAlign w:val="center"/>
          </w:tcPr>
          <w:p w14:paraId="4D49ECDB" w14:textId="1839CE3B" w:rsidR="00805BDB" w:rsidRPr="00C11E98" w:rsidRDefault="00805BDB" w:rsidP="00A52ADF">
            <w:pPr>
              <w:pStyle w:val="ONUME"/>
              <w:numPr>
                <w:ilvl w:val="0"/>
                <w:numId w:val="0"/>
              </w:numPr>
              <w:jc w:val="center"/>
            </w:pPr>
            <w:r w:rsidRPr="007331EB">
              <w:rPr>
                <w:sz w:val="24"/>
                <w:szCs w:val="24"/>
              </w:rPr>
              <w:t>Évaluation des partenariats de l</w:t>
            </w:r>
            <w:r>
              <w:rPr>
                <w:sz w:val="24"/>
                <w:szCs w:val="24"/>
              </w:rPr>
              <w:t>’</w:t>
            </w:r>
            <w:r w:rsidRPr="007331EB">
              <w:rPr>
                <w:sz w:val="24"/>
                <w:szCs w:val="24"/>
              </w:rPr>
              <w:t>OMPI</w:t>
            </w:r>
          </w:p>
        </w:tc>
        <w:tc>
          <w:tcPr>
            <w:tcW w:w="1837" w:type="dxa"/>
            <w:vAlign w:val="center"/>
          </w:tcPr>
          <w:p w14:paraId="2810775C" w14:textId="77777777" w:rsidR="00805BDB" w:rsidRPr="00427FB1" w:rsidRDefault="00805BDB" w:rsidP="00A52ADF">
            <w:pPr>
              <w:pStyle w:val="ONUME"/>
              <w:numPr>
                <w:ilvl w:val="0"/>
                <w:numId w:val="0"/>
              </w:numPr>
              <w:ind w:left="34"/>
              <w:jc w:val="center"/>
            </w:pPr>
            <w:r w:rsidRPr="00F736B0">
              <w:rPr>
                <w:rFonts w:eastAsia="Times New Roman"/>
                <w:color w:val="000000"/>
                <w:sz w:val="24"/>
                <w:szCs w:val="24"/>
                <w:lang w:eastAsia="en-US"/>
              </w:rPr>
              <w:t>EVAL 2018-04</w:t>
            </w:r>
          </w:p>
        </w:tc>
      </w:tr>
      <w:tr w:rsidR="00805BDB" w:rsidRPr="00427FB1" w14:paraId="22E5F492" w14:textId="77777777" w:rsidTr="00A52ADF">
        <w:trPr>
          <w:trHeight w:val="851"/>
        </w:trPr>
        <w:tc>
          <w:tcPr>
            <w:tcW w:w="7508" w:type="dxa"/>
            <w:vAlign w:val="center"/>
          </w:tcPr>
          <w:p w14:paraId="4ABC24AC" w14:textId="15FB2A34" w:rsidR="00805BDB" w:rsidRPr="00C11E98" w:rsidRDefault="00805BDB" w:rsidP="00A52ADF">
            <w:pPr>
              <w:pStyle w:val="ONUME"/>
              <w:numPr>
                <w:ilvl w:val="0"/>
                <w:numId w:val="0"/>
              </w:numPr>
              <w:jc w:val="center"/>
            </w:pPr>
            <w:r w:rsidRPr="007331EB">
              <w:rPr>
                <w:sz w:val="24"/>
                <w:szCs w:val="24"/>
              </w:rPr>
              <w:t>Rapport à l</w:t>
            </w:r>
            <w:r>
              <w:rPr>
                <w:sz w:val="24"/>
                <w:szCs w:val="24"/>
              </w:rPr>
              <w:t>’</w:t>
            </w:r>
            <w:r w:rsidRPr="007331EB">
              <w:rPr>
                <w:sz w:val="24"/>
                <w:szCs w:val="24"/>
              </w:rPr>
              <w:t>intention de la direction concernant les irrégularités dans la passation de marchés</w:t>
            </w:r>
          </w:p>
        </w:tc>
        <w:tc>
          <w:tcPr>
            <w:tcW w:w="1837" w:type="dxa"/>
            <w:vAlign w:val="center"/>
          </w:tcPr>
          <w:p w14:paraId="2ED7ABC8" w14:textId="77777777" w:rsidR="00805BDB" w:rsidRPr="00427FB1" w:rsidRDefault="00805BDB" w:rsidP="00A52ADF">
            <w:pPr>
              <w:pStyle w:val="ONUME"/>
              <w:numPr>
                <w:ilvl w:val="0"/>
                <w:numId w:val="0"/>
              </w:numPr>
              <w:ind w:left="34"/>
              <w:jc w:val="center"/>
            </w:pPr>
            <w:r w:rsidRPr="00F736B0">
              <w:rPr>
                <w:rFonts w:eastAsia="Times New Roman"/>
                <w:color w:val="000000"/>
                <w:sz w:val="24"/>
                <w:szCs w:val="24"/>
                <w:lang w:eastAsia="en-US"/>
              </w:rPr>
              <w:t>MIR 18-28</w:t>
            </w:r>
          </w:p>
        </w:tc>
      </w:tr>
      <w:tr w:rsidR="00805BDB" w:rsidRPr="00427FB1" w14:paraId="303C038C" w14:textId="77777777" w:rsidTr="00A52ADF">
        <w:trPr>
          <w:trHeight w:val="851"/>
        </w:trPr>
        <w:tc>
          <w:tcPr>
            <w:tcW w:w="7508" w:type="dxa"/>
            <w:vAlign w:val="center"/>
          </w:tcPr>
          <w:p w14:paraId="6AE44181" w14:textId="567BF70C" w:rsidR="00805BDB" w:rsidRPr="00805BDB" w:rsidRDefault="00805BDB" w:rsidP="00A52ADF">
            <w:pPr>
              <w:pStyle w:val="ONUME"/>
              <w:numPr>
                <w:ilvl w:val="0"/>
                <w:numId w:val="0"/>
              </w:numPr>
              <w:jc w:val="center"/>
              <w:rPr>
                <w:rFonts w:eastAsia="Times New Roman"/>
                <w:color w:val="000000"/>
                <w:sz w:val="24"/>
                <w:szCs w:val="24"/>
                <w:lang w:val="fr-CH" w:eastAsia="en-US"/>
              </w:rPr>
            </w:pPr>
            <w:r w:rsidRPr="007331EB">
              <w:rPr>
                <w:rFonts w:eastAsia="Times New Roman"/>
                <w:color w:val="000000"/>
                <w:sz w:val="24"/>
                <w:szCs w:val="24"/>
                <w:lang w:eastAsia="en-US"/>
              </w:rPr>
              <w:t>Rapport à l</w:t>
            </w:r>
            <w:r>
              <w:rPr>
                <w:rFonts w:eastAsia="Times New Roman"/>
                <w:color w:val="000000"/>
                <w:sz w:val="24"/>
                <w:szCs w:val="24"/>
                <w:lang w:eastAsia="en-US"/>
              </w:rPr>
              <w:t>’</w:t>
            </w:r>
            <w:r w:rsidRPr="007331EB">
              <w:rPr>
                <w:rFonts w:eastAsia="Times New Roman"/>
                <w:color w:val="000000"/>
                <w:sz w:val="24"/>
                <w:szCs w:val="24"/>
                <w:lang w:eastAsia="en-US"/>
              </w:rPr>
              <w:t>intention de la direction concernant les systèmes de gestion des demandes des clients</w:t>
            </w:r>
          </w:p>
        </w:tc>
        <w:tc>
          <w:tcPr>
            <w:tcW w:w="1837" w:type="dxa"/>
            <w:vAlign w:val="center"/>
          </w:tcPr>
          <w:p w14:paraId="51B1E21B" w14:textId="77777777" w:rsidR="00805BDB" w:rsidRPr="00F736B0" w:rsidRDefault="00805BDB" w:rsidP="00A52ADF">
            <w:pPr>
              <w:jc w:val="center"/>
              <w:rPr>
                <w:rFonts w:eastAsia="Times New Roman"/>
                <w:color w:val="000000"/>
                <w:sz w:val="24"/>
                <w:szCs w:val="24"/>
                <w:lang w:eastAsia="en-US"/>
              </w:rPr>
            </w:pPr>
            <w:r>
              <w:rPr>
                <w:rFonts w:eastAsia="Times New Roman"/>
                <w:color w:val="000000"/>
                <w:sz w:val="24"/>
                <w:szCs w:val="24"/>
                <w:lang w:eastAsia="en-US"/>
              </w:rPr>
              <w:t>MIR 19-03</w:t>
            </w:r>
          </w:p>
        </w:tc>
      </w:tr>
      <w:tr w:rsidR="00805BDB" w:rsidRPr="00427FB1" w14:paraId="50653463" w14:textId="77777777" w:rsidTr="00A52ADF">
        <w:trPr>
          <w:trHeight w:val="851"/>
        </w:trPr>
        <w:tc>
          <w:tcPr>
            <w:tcW w:w="7508" w:type="dxa"/>
            <w:vAlign w:val="center"/>
          </w:tcPr>
          <w:p w14:paraId="0960CE41" w14:textId="2B21C6A7" w:rsidR="00805BDB" w:rsidRPr="006023CD" w:rsidRDefault="006023CD" w:rsidP="00A52ADF">
            <w:pPr>
              <w:pStyle w:val="ONUME"/>
              <w:numPr>
                <w:ilvl w:val="0"/>
                <w:numId w:val="0"/>
              </w:numPr>
              <w:jc w:val="center"/>
              <w:rPr>
                <w:lang w:val="fr-CH"/>
              </w:rPr>
            </w:pPr>
            <w:r w:rsidRPr="007331EB">
              <w:rPr>
                <w:sz w:val="24"/>
                <w:szCs w:val="24"/>
              </w:rPr>
              <w:t>Rapport à l</w:t>
            </w:r>
            <w:r>
              <w:rPr>
                <w:sz w:val="24"/>
                <w:szCs w:val="24"/>
              </w:rPr>
              <w:t>’</w:t>
            </w:r>
            <w:r w:rsidRPr="007331EB">
              <w:rPr>
                <w:sz w:val="24"/>
                <w:szCs w:val="24"/>
              </w:rPr>
              <w:t>intention de la direction concernant l</w:t>
            </w:r>
            <w:r>
              <w:rPr>
                <w:sz w:val="24"/>
                <w:szCs w:val="24"/>
              </w:rPr>
              <w:t>’</w:t>
            </w:r>
            <w:r w:rsidRPr="007331EB">
              <w:rPr>
                <w:sz w:val="24"/>
                <w:szCs w:val="24"/>
              </w:rPr>
              <w:t>entrée des véhicules à l</w:t>
            </w:r>
            <w:r>
              <w:rPr>
                <w:sz w:val="24"/>
                <w:szCs w:val="24"/>
              </w:rPr>
              <w:t>’</w:t>
            </w:r>
            <w:r w:rsidRPr="007331EB">
              <w:rPr>
                <w:sz w:val="24"/>
                <w:szCs w:val="24"/>
              </w:rPr>
              <w:t>OMPI</w:t>
            </w:r>
          </w:p>
        </w:tc>
        <w:tc>
          <w:tcPr>
            <w:tcW w:w="1837" w:type="dxa"/>
            <w:vAlign w:val="center"/>
          </w:tcPr>
          <w:p w14:paraId="61D55686" w14:textId="77777777" w:rsidR="00805BDB" w:rsidRPr="00F736B0" w:rsidRDefault="00805BDB" w:rsidP="00A52ADF">
            <w:pPr>
              <w:jc w:val="center"/>
              <w:rPr>
                <w:rFonts w:eastAsia="Times New Roman"/>
                <w:color w:val="000000"/>
                <w:sz w:val="24"/>
                <w:szCs w:val="24"/>
                <w:lang w:eastAsia="en-US"/>
              </w:rPr>
            </w:pPr>
            <w:r w:rsidRPr="00F736B0">
              <w:rPr>
                <w:rFonts w:eastAsia="Times New Roman"/>
                <w:color w:val="000000"/>
                <w:sz w:val="24"/>
                <w:szCs w:val="24"/>
                <w:lang w:eastAsia="en-US"/>
              </w:rPr>
              <w:t>MIR 18-23</w:t>
            </w:r>
          </w:p>
        </w:tc>
      </w:tr>
    </w:tbl>
    <w:p w14:paraId="701DA7B5" w14:textId="6E1CB15C" w:rsidR="00C5485D" w:rsidRDefault="00426AC4" w:rsidP="00426AC4">
      <w:pPr>
        <w:pStyle w:val="Endofdocument-Annex"/>
      </w:pPr>
      <w:r w:rsidRPr="00312274">
        <w:t>[Fin de l</w:t>
      </w:r>
      <w:r w:rsidR="00F82D32">
        <w:t>’</w:t>
      </w:r>
      <w:r w:rsidRPr="00312274">
        <w:t>annexe et du document]</w:t>
      </w:r>
    </w:p>
    <w:sectPr w:rsidR="00C5485D" w:rsidSect="006F594E">
      <w:headerReference w:type="first" r:id="rId19"/>
      <w:endnotePr>
        <w:numFmt w:val="decimal"/>
      </w:endnotePr>
      <w:pgSz w:w="11907" w:h="16840" w:code="9"/>
      <w:pgMar w:top="567" w:right="1134" w:bottom="1417" w:left="1417" w:header="510" w:footer="10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D41CB" w14:textId="77777777" w:rsidR="00A52ADF" w:rsidRDefault="00A52ADF">
      <w:r>
        <w:separator/>
      </w:r>
    </w:p>
  </w:endnote>
  <w:endnote w:type="continuationSeparator" w:id="0">
    <w:p w14:paraId="6E40683B" w14:textId="77777777" w:rsidR="00A52ADF" w:rsidRDefault="00A52ADF" w:rsidP="003B38C1">
      <w:r>
        <w:separator/>
      </w:r>
    </w:p>
    <w:p w14:paraId="37EB9466" w14:textId="77777777" w:rsidR="00A52ADF" w:rsidRPr="00AE63B3" w:rsidRDefault="00A52ADF" w:rsidP="003B38C1">
      <w:pPr>
        <w:spacing w:after="60"/>
        <w:rPr>
          <w:sz w:val="17"/>
          <w:lang w:val="en-US"/>
        </w:rPr>
      </w:pPr>
      <w:r w:rsidRPr="00AE63B3">
        <w:rPr>
          <w:sz w:val="17"/>
          <w:lang w:val="en-US"/>
        </w:rPr>
        <w:t>[Endnote continued from previous page]</w:t>
      </w:r>
    </w:p>
  </w:endnote>
  <w:endnote w:type="continuationNotice" w:id="1">
    <w:p w14:paraId="5F0E0F20" w14:textId="77777777" w:rsidR="00A52ADF" w:rsidRPr="00AE63B3" w:rsidRDefault="00A52ADF" w:rsidP="003B38C1">
      <w:pPr>
        <w:spacing w:before="60"/>
        <w:jc w:val="right"/>
        <w:rPr>
          <w:sz w:val="17"/>
          <w:lang w:val="en-US"/>
        </w:rPr>
      </w:pPr>
      <w:r w:rsidRPr="00AE63B3">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A63C" w14:textId="77777777" w:rsidR="00A52ADF" w:rsidRDefault="00A52ADF">
      <w:r>
        <w:separator/>
      </w:r>
    </w:p>
  </w:footnote>
  <w:footnote w:type="continuationSeparator" w:id="0">
    <w:p w14:paraId="1E7D6D81" w14:textId="77777777" w:rsidR="00A52ADF" w:rsidRDefault="00A52ADF" w:rsidP="008B60B2">
      <w:r>
        <w:separator/>
      </w:r>
    </w:p>
    <w:p w14:paraId="4CDEB7E4" w14:textId="77777777" w:rsidR="00A52ADF" w:rsidRPr="00AE63B3" w:rsidRDefault="00A52ADF" w:rsidP="008B60B2">
      <w:pPr>
        <w:spacing w:after="60"/>
        <w:rPr>
          <w:sz w:val="17"/>
          <w:lang w:val="en-US"/>
        </w:rPr>
      </w:pPr>
      <w:r w:rsidRPr="00AE63B3">
        <w:rPr>
          <w:sz w:val="17"/>
          <w:lang w:val="en-US"/>
        </w:rPr>
        <w:t>[Footnote continued from previous page]</w:t>
      </w:r>
    </w:p>
  </w:footnote>
  <w:footnote w:type="continuationNotice" w:id="1">
    <w:p w14:paraId="4971F646" w14:textId="77777777" w:rsidR="00A52ADF" w:rsidRPr="00AE63B3" w:rsidRDefault="00A52ADF" w:rsidP="008B60B2">
      <w:pPr>
        <w:spacing w:before="60"/>
        <w:jc w:val="right"/>
        <w:rPr>
          <w:sz w:val="17"/>
          <w:lang w:val="en-US"/>
        </w:rPr>
      </w:pPr>
      <w:r w:rsidRPr="00AE63B3">
        <w:rPr>
          <w:sz w:val="17"/>
          <w:lang w:val="en-US"/>
        </w:rPr>
        <w:t>[Footnote continued on next page]</w:t>
      </w:r>
    </w:p>
  </w:footnote>
  <w:footnote w:id="2">
    <w:p w14:paraId="49F25E71" w14:textId="05F27340" w:rsidR="00A52ADF" w:rsidRPr="00E50178" w:rsidRDefault="00A52ADF" w:rsidP="00426AC4">
      <w:pPr>
        <w:pStyle w:val="FootnoteText"/>
        <w:keepLines/>
        <w:rPr>
          <w:lang w:val="fr-CH"/>
        </w:rPr>
      </w:pPr>
      <w:r w:rsidRPr="00E50178">
        <w:rPr>
          <w:rStyle w:val="FootnoteReference"/>
        </w:rPr>
        <w:footnoteRef/>
      </w:r>
      <w:r>
        <w:rPr>
          <w:lang w:val="fr-CH"/>
        </w:rPr>
        <w:t xml:space="preserve"> </w:t>
      </w:r>
      <w:r>
        <w:rPr>
          <w:lang w:val="fr-CH"/>
        </w:rPr>
        <w:tab/>
      </w:r>
      <w:r w:rsidRPr="00E50178">
        <w:rPr>
          <w:lang w:val="fr-CH"/>
        </w:rPr>
        <w:t>Voir les paragraphes 47 et 48 de la Charte de la supervision interne.</w:t>
      </w:r>
    </w:p>
  </w:footnote>
  <w:footnote w:id="3">
    <w:p w14:paraId="747653C1" w14:textId="4588DE00" w:rsidR="00A52ADF" w:rsidRPr="004B39EB" w:rsidRDefault="00A52ADF" w:rsidP="00426AC4">
      <w:pPr>
        <w:pStyle w:val="FootnoteText"/>
        <w:keepLines/>
        <w:rPr>
          <w:lang w:val="fr-CH"/>
        </w:rPr>
      </w:pPr>
      <w:r>
        <w:rPr>
          <w:rStyle w:val="FootnoteReference"/>
        </w:rPr>
        <w:footnoteRef/>
      </w:r>
      <w:r w:rsidRPr="004B39EB">
        <w:rPr>
          <w:lang w:val="fr-CH"/>
        </w:rPr>
        <w:t xml:space="preserve"> </w:t>
      </w:r>
      <w:r w:rsidRPr="004B39EB">
        <w:rPr>
          <w:lang w:val="fr-CH"/>
        </w:rPr>
        <w:tab/>
        <w:t xml:space="preserve">Récompense </w:t>
      </w:r>
      <w:r>
        <w:rPr>
          <w:lang w:val="fr-CH"/>
        </w:rPr>
        <w:t>émanant d’</w:t>
      </w:r>
      <w:r w:rsidRPr="004B39EB">
        <w:rPr>
          <w:lang w:val="fr-CH"/>
        </w:rPr>
        <w:t xml:space="preserve">Audit without Walls, une communauté </w:t>
      </w:r>
      <w:r>
        <w:rPr>
          <w:lang w:val="fr-CH"/>
        </w:rPr>
        <w:t>regroupant des</w:t>
      </w:r>
      <w:r w:rsidRPr="004B39EB">
        <w:rPr>
          <w:lang w:val="fr-CH"/>
        </w:rPr>
        <w:t xml:space="preserve"> vérificateurs des comptes du secteur public </w:t>
      </w:r>
      <w:r>
        <w:rPr>
          <w:lang w:val="fr-CH"/>
        </w:rPr>
        <w:t>créée par</w:t>
      </w:r>
      <w:r w:rsidRPr="004B39EB">
        <w:rPr>
          <w:lang w:val="fr-CH"/>
        </w:rPr>
        <w:t xml:space="preserve"> </w:t>
      </w:r>
      <w:r>
        <w:rPr>
          <w:lang w:val="fr-CH"/>
        </w:rPr>
        <w:t>le b</w:t>
      </w:r>
      <w:r w:rsidRPr="004B39EB">
        <w:rPr>
          <w:lang w:val="fr-CH"/>
        </w:rPr>
        <w:t xml:space="preserve">ureau du vérificateur général </w:t>
      </w:r>
      <w:r>
        <w:rPr>
          <w:lang w:val="fr-CH"/>
        </w:rPr>
        <w:t>de la</w:t>
      </w:r>
      <w:r w:rsidRPr="004B39EB">
        <w:rPr>
          <w:lang w:val="fr-CH"/>
        </w:rPr>
        <w:t xml:space="preserve"> Banque asiatique de développement</w:t>
      </w:r>
      <w:r>
        <w:rPr>
          <w:lang w:val="fr-CH"/>
        </w:rPr>
        <w:t>.</w:t>
      </w:r>
    </w:p>
  </w:footnote>
  <w:footnote w:id="4">
    <w:p w14:paraId="1E25BD11" w14:textId="1B5384D6" w:rsidR="00A52ADF" w:rsidRPr="00E50178" w:rsidRDefault="00A52ADF" w:rsidP="00426AC4">
      <w:pPr>
        <w:pStyle w:val="FootnoteText"/>
        <w:keepLines/>
        <w:rPr>
          <w:lang w:val="fr-CH"/>
        </w:rPr>
      </w:pPr>
      <w:r w:rsidRPr="00E50178">
        <w:rPr>
          <w:rStyle w:val="FootnoteReference"/>
        </w:rPr>
        <w:footnoteRef/>
      </w:r>
      <w:r w:rsidRPr="00E50178">
        <w:rPr>
          <w:lang w:val="fr-CH"/>
        </w:rPr>
        <w:t xml:space="preserve"> </w:t>
      </w:r>
      <w:r>
        <w:rPr>
          <w:lang w:val="fr-CH"/>
        </w:rPr>
        <w:tab/>
      </w:r>
      <w:r w:rsidRPr="00E50178">
        <w:rPr>
          <w:lang w:val="fr-CH"/>
        </w:rPr>
        <w:t>La liste des rapports figure dans l</w:t>
      </w:r>
      <w:r>
        <w:rPr>
          <w:lang w:val="fr-CH"/>
        </w:rPr>
        <w:t>’</w:t>
      </w:r>
      <w:r w:rsidRPr="00E50178">
        <w:rPr>
          <w:lang w:val="fr-CH"/>
        </w:rPr>
        <w:t>annexe.</w:t>
      </w:r>
    </w:p>
  </w:footnote>
  <w:footnote w:id="5">
    <w:p w14:paraId="1B521C0D" w14:textId="39D45631" w:rsidR="00A52ADF" w:rsidRPr="00A6657A" w:rsidRDefault="00A52ADF" w:rsidP="00426AC4">
      <w:pPr>
        <w:pStyle w:val="FootnoteText"/>
        <w:keepLines/>
        <w:rPr>
          <w:lang w:val="fr-CH"/>
        </w:rPr>
      </w:pPr>
      <w:r w:rsidRPr="00E50178">
        <w:rPr>
          <w:rStyle w:val="FootnoteReference"/>
        </w:rPr>
        <w:footnoteRef/>
      </w:r>
      <w:r w:rsidRPr="00E50178">
        <w:rPr>
          <w:lang w:val="fr-CH"/>
        </w:rPr>
        <w:t xml:space="preserve"> </w:t>
      </w:r>
      <w:r>
        <w:rPr>
          <w:lang w:val="fr-CH"/>
        </w:rPr>
        <w:tab/>
      </w:r>
      <w:r w:rsidRPr="00E50178">
        <w:rPr>
          <w:lang w:val="fr-CH"/>
        </w:rPr>
        <w:t>TeamCentral© est un module de TeamMate, un logiciel spécialisé pour les missions d</w:t>
      </w:r>
      <w:r>
        <w:rPr>
          <w:lang w:val="fr-CH"/>
        </w:rPr>
        <w:t>’</w:t>
      </w:r>
      <w:r w:rsidRPr="00E50178">
        <w:rPr>
          <w:lang w:val="fr-CH"/>
        </w:rPr>
        <w:t>audit et qui comprend divers modules, notamment pour les documents de travail électroniques, le suivi des recommandations, l</w:t>
      </w:r>
      <w:r>
        <w:rPr>
          <w:lang w:val="fr-CH"/>
        </w:rPr>
        <w:t>’</w:t>
      </w:r>
      <w:r w:rsidRPr="00E50178">
        <w:rPr>
          <w:lang w:val="fr-CH"/>
        </w:rPr>
        <w:t>évaluation des risques et la planification.</w:t>
      </w:r>
    </w:p>
  </w:footnote>
  <w:footnote w:id="6">
    <w:p w14:paraId="39DCF0A6" w14:textId="22C72799" w:rsidR="00A52ADF" w:rsidRPr="0023705B" w:rsidRDefault="00A52ADF" w:rsidP="00426AC4">
      <w:pPr>
        <w:pStyle w:val="FootnoteText"/>
        <w:keepLines/>
        <w:rPr>
          <w:lang w:val="fr-CH"/>
        </w:rPr>
      </w:pPr>
      <w:r w:rsidRPr="0023705B">
        <w:rPr>
          <w:rStyle w:val="FootnoteReference"/>
        </w:rPr>
        <w:footnoteRef/>
      </w:r>
      <w:r>
        <w:rPr>
          <w:lang w:val="fr-CH"/>
        </w:rPr>
        <w:t xml:space="preserve"> </w:t>
      </w:r>
      <w:r>
        <w:rPr>
          <w:lang w:val="fr-CH"/>
        </w:rPr>
        <w:tab/>
      </w:r>
      <w:r w:rsidRPr="0023705B">
        <w:rPr>
          <w:lang w:val="fr-CH"/>
        </w:rPr>
        <w:t>Le modèle de maturité élaboré par PwC a contribué à cette évaluation.</w:t>
      </w:r>
    </w:p>
  </w:footnote>
  <w:footnote w:id="7">
    <w:p w14:paraId="647C654B" w14:textId="4F76C451" w:rsidR="00A52ADF" w:rsidRPr="006E1891" w:rsidRDefault="00A52ADF" w:rsidP="00426AC4">
      <w:pPr>
        <w:pStyle w:val="FootnoteText"/>
        <w:keepLines/>
        <w:rPr>
          <w:lang w:val="fr-CH"/>
        </w:rPr>
      </w:pPr>
      <w:r w:rsidRPr="00E50178">
        <w:rPr>
          <w:rStyle w:val="FootnoteReference"/>
        </w:rPr>
        <w:footnoteRef/>
      </w:r>
      <w:r>
        <w:rPr>
          <w:lang w:val="fr-CH"/>
        </w:rPr>
        <w:t xml:space="preserve"> </w:t>
      </w:r>
      <w:r>
        <w:rPr>
          <w:lang w:val="fr-CH"/>
        </w:rPr>
        <w:tab/>
      </w:r>
      <w:r w:rsidRPr="00E50178">
        <w:rPr>
          <w:lang w:val="fr-CH"/>
        </w:rPr>
        <w:t>L</w:t>
      </w:r>
      <w:r>
        <w:rPr>
          <w:lang w:val="fr-CH"/>
        </w:rPr>
        <w:t>’</w:t>
      </w:r>
      <w:r w:rsidRPr="00E50178">
        <w:rPr>
          <w:lang w:val="fr-CH"/>
        </w:rPr>
        <w:t>automatisation des procédures robotiques est l</w:t>
      </w:r>
      <w:r>
        <w:rPr>
          <w:lang w:val="fr-CH"/>
        </w:rPr>
        <w:t>’</w:t>
      </w:r>
      <w:r w:rsidRPr="00E50178">
        <w:rPr>
          <w:lang w:val="fr-CH"/>
        </w:rPr>
        <w:t>utilisation de logiciels faisant appel à l</w:t>
      </w:r>
      <w:r>
        <w:rPr>
          <w:lang w:val="fr-CH"/>
        </w:rPr>
        <w:t>’</w:t>
      </w:r>
      <w:r w:rsidRPr="00E50178">
        <w:rPr>
          <w:lang w:val="fr-CH"/>
        </w:rPr>
        <w:t>intelligence artificielle et à l</w:t>
      </w:r>
      <w:r>
        <w:rPr>
          <w:lang w:val="fr-CH"/>
        </w:rPr>
        <w:t>’</w:t>
      </w:r>
      <w:r w:rsidRPr="00E50178">
        <w:rPr>
          <w:lang w:val="fr-CH"/>
        </w:rPr>
        <w:t>apprentissage automatique pour faire face à un volume de travail élevé et à des tâches répétitives qui exigeaient auparavant une intervention humaine.</w:t>
      </w:r>
    </w:p>
  </w:footnote>
  <w:footnote w:id="8">
    <w:p w14:paraId="04F35204" w14:textId="48F5F5BA" w:rsidR="00A52ADF" w:rsidRPr="00445F29" w:rsidRDefault="00A52ADF" w:rsidP="00FC00C8">
      <w:pPr>
        <w:pStyle w:val="FootnoteText"/>
        <w:keepLines/>
      </w:pPr>
      <w:r>
        <w:rPr>
          <w:rStyle w:val="FootnoteReference"/>
        </w:rPr>
        <w:footnoteRef/>
      </w:r>
      <w:r>
        <w:t xml:space="preserve"> </w:t>
      </w:r>
      <w:r>
        <w:tab/>
      </w:r>
      <w:r w:rsidRPr="00445F29">
        <w:t>Objectif stratégique</w:t>
      </w:r>
      <w:r>
        <w:t> </w:t>
      </w:r>
      <w:r w:rsidRPr="00445F29">
        <w:t>III</w:t>
      </w:r>
      <w:r>
        <w:t> :</w:t>
      </w:r>
      <w:r w:rsidRPr="00445F29">
        <w:t xml:space="preserve"> Favoriser l</w:t>
      </w:r>
      <w:r>
        <w:t>’</w:t>
      </w:r>
      <w:r w:rsidRPr="00445F29">
        <w:t>utilisation de la propriété intellectuelle au service du développement</w:t>
      </w:r>
      <w:r>
        <w:t>;</w:t>
      </w:r>
      <w:r w:rsidRPr="00445F29">
        <w:t xml:space="preserve"> </w:t>
      </w:r>
      <w:r>
        <w:t xml:space="preserve"> o</w:t>
      </w:r>
      <w:r w:rsidRPr="00445F29">
        <w:t>bjectif stratégique</w:t>
      </w:r>
      <w:r>
        <w:t> </w:t>
      </w:r>
      <w:r w:rsidRPr="00445F29">
        <w:t>IV</w:t>
      </w:r>
      <w:r>
        <w:t> :</w:t>
      </w:r>
      <w:r w:rsidRPr="00445F29">
        <w:t xml:space="preserve"> Coordination et développement de l</w:t>
      </w:r>
      <w:r>
        <w:t>’</w:t>
      </w:r>
      <w:r w:rsidRPr="00445F29">
        <w:t xml:space="preserve">infrastructure mondiale en matière de propriété intellectuelle; </w:t>
      </w:r>
      <w:r>
        <w:t xml:space="preserve"> o</w:t>
      </w:r>
      <w:r w:rsidRPr="00445F29">
        <w:t>bjectif stratégique</w:t>
      </w:r>
      <w:r>
        <w:t> </w:t>
      </w:r>
      <w:r w:rsidRPr="00445F29">
        <w:t>VII</w:t>
      </w:r>
      <w:r>
        <w:t xml:space="preserve"> : </w:t>
      </w:r>
      <w:r w:rsidRPr="00445F29">
        <w:t>Propriété intellectuelle et enjeux mondiaux.</w:t>
      </w:r>
    </w:p>
  </w:footnote>
  <w:footnote w:id="9">
    <w:p w14:paraId="2677EA29" w14:textId="54A819F1" w:rsidR="00A52ADF" w:rsidRPr="00794CE2" w:rsidRDefault="00A52ADF" w:rsidP="00794CE2">
      <w:pPr>
        <w:pStyle w:val="FootnoteText"/>
        <w:rPr>
          <w:lang w:val="fr-CH"/>
        </w:rPr>
      </w:pPr>
      <w:r>
        <w:rPr>
          <w:rStyle w:val="FootnoteReference"/>
        </w:rPr>
        <w:footnoteRef/>
      </w:r>
      <w:r w:rsidRPr="00794CE2">
        <w:rPr>
          <w:lang w:val="fr-CH"/>
        </w:rPr>
        <w:t xml:space="preserve"> </w:t>
      </w:r>
      <w:r>
        <w:rPr>
          <w:lang w:val="fr-CH"/>
        </w:rPr>
        <w:tab/>
      </w:r>
      <w:r w:rsidRPr="00865DAF">
        <w:rPr>
          <w:lang w:val="fr-CH"/>
        </w:rPr>
        <w:t xml:space="preserve">UNRWA, FIDA, UNESCO, FNUAP, le Secrétariat des </w:t>
      </w:r>
      <w:r>
        <w:rPr>
          <w:lang w:val="fr-CH"/>
        </w:rPr>
        <w:t>Nations Unies</w:t>
      </w:r>
      <w:r w:rsidRPr="00865DAF">
        <w:rPr>
          <w:lang w:val="fr-CH"/>
        </w:rPr>
        <w:t>, OMS, OIT, FAO, PAM, PNUD et Banque mondial</w:t>
      </w:r>
      <w:r>
        <w:rPr>
          <w:lang w:val="fr-CH"/>
        </w:rPr>
        <w:t>e.</w:t>
      </w:r>
    </w:p>
  </w:footnote>
  <w:footnote w:id="10">
    <w:p w14:paraId="5BC68C94" w14:textId="6193ADA8" w:rsidR="00A52ADF" w:rsidRPr="00C050EF" w:rsidRDefault="00A52ADF" w:rsidP="00426AC4">
      <w:pPr>
        <w:pStyle w:val="FootnoteText"/>
        <w:keepLines/>
        <w:rPr>
          <w:lang w:val="fr-CH"/>
        </w:rPr>
      </w:pPr>
      <w:r>
        <w:rPr>
          <w:rStyle w:val="FootnoteReference"/>
        </w:rPr>
        <w:footnoteRef/>
      </w:r>
      <w:r w:rsidRPr="00C050EF">
        <w:t xml:space="preserve"> </w:t>
      </w:r>
      <w:r>
        <w:rPr>
          <w:lang w:val="fr-CH"/>
        </w:rPr>
        <w:tab/>
        <w:t>Paragraphes 20, 21, 23, 24 et 25 de la Charte de la supervision interne.</w:t>
      </w:r>
    </w:p>
  </w:footnote>
  <w:footnote w:id="11">
    <w:p w14:paraId="266180E8" w14:textId="3D37BBB7" w:rsidR="00A52ADF" w:rsidRDefault="00A52ADF">
      <w:pPr>
        <w:pStyle w:val="FootnoteText"/>
      </w:pPr>
      <w:r>
        <w:rPr>
          <w:rStyle w:val="FootnoteReference"/>
        </w:rPr>
        <w:footnoteRef/>
      </w:r>
      <w:r>
        <w:tab/>
      </w:r>
      <w:r>
        <w:rPr>
          <w:lang w:val="fr-CH"/>
        </w:rPr>
        <w:t>Paragraphe 48.b) de la Charte de la supervision interne</w:t>
      </w:r>
    </w:p>
  </w:footnote>
  <w:footnote w:id="12">
    <w:p w14:paraId="6B0BF849" w14:textId="77777777" w:rsidR="00A52ADF" w:rsidRPr="00F87F84" w:rsidRDefault="00A52ADF" w:rsidP="00426AC4">
      <w:pPr>
        <w:pStyle w:val="FootnoteText"/>
        <w:keepLines/>
        <w:spacing w:after="20"/>
        <w:rPr>
          <w:lang w:val="pt-PT"/>
        </w:rPr>
      </w:pPr>
      <w:r w:rsidRPr="00AE32CE">
        <w:rPr>
          <w:rStyle w:val="FootnoteReference"/>
          <w:szCs w:val="18"/>
        </w:rPr>
        <w:footnoteRef/>
      </w:r>
      <w:r w:rsidRPr="00F87F84">
        <w:rPr>
          <w:szCs w:val="18"/>
          <w:lang w:val="pt-PT"/>
        </w:rPr>
        <w:t xml:space="preserve"> </w:t>
      </w:r>
      <w:r>
        <w:rPr>
          <w:szCs w:val="18"/>
          <w:lang w:val="pt-PT"/>
        </w:rPr>
        <w:tab/>
        <w:t>P</w:t>
      </w:r>
      <w:r w:rsidRPr="00F87F84">
        <w:rPr>
          <w:szCs w:val="18"/>
          <w:lang w:val="pt-PT"/>
        </w:rPr>
        <w:t>aragraph</w:t>
      </w:r>
      <w:r>
        <w:rPr>
          <w:szCs w:val="18"/>
          <w:lang w:val="pt-PT"/>
        </w:rPr>
        <w:t>e </w:t>
      </w:r>
      <w:r w:rsidRPr="00F87F84">
        <w:rPr>
          <w:szCs w:val="18"/>
          <w:lang w:val="pt-PT"/>
        </w:rPr>
        <w:t>45</w:t>
      </w:r>
      <w:r>
        <w:rPr>
          <w:szCs w:val="18"/>
          <w:lang w:val="pt-PT"/>
        </w:rPr>
        <w:t xml:space="preserve"> de la Charte de la supervision interne</w:t>
      </w:r>
      <w:r w:rsidRPr="00F87F84">
        <w:rPr>
          <w:szCs w:val="18"/>
          <w:lang w:val="pt-PT"/>
        </w:rPr>
        <w:t>.</w:t>
      </w:r>
    </w:p>
  </w:footnote>
  <w:footnote w:id="13">
    <w:p w14:paraId="4540F64A" w14:textId="2F3F359A" w:rsidR="00A52ADF" w:rsidRPr="005250A8" w:rsidRDefault="00A52ADF" w:rsidP="00426AC4">
      <w:pPr>
        <w:pStyle w:val="FootnoteText"/>
        <w:keepLines/>
        <w:rPr>
          <w:lang w:val="fr-CH"/>
        </w:rPr>
      </w:pPr>
      <w:r>
        <w:rPr>
          <w:rStyle w:val="FootnoteReference"/>
        </w:rPr>
        <w:footnoteRef/>
      </w:r>
      <w:r w:rsidRPr="005250A8">
        <w:t xml:space="preserve"> </w:t>
      </w:r>
      <w:r>
        <w:rPr>
          <w:lang w:val="fr-CH"/>
        </w:rPr>
        <w:tab/>
        <w:t>Paragraphe 7 de l’ordre de service n° 16/2010.</w:t>
      </w:r>
    </w:p>
  </w:footnote>
  <w:footnote w:id="14">
    <w:p w14:paraId="683552C4" w14:textId="174AA7AC" w:rsidR="00A52ADF" w:rsidRPr="005250A8" w:rsidRDefault="00A52ADF" w:rsidP="00426AC4">
      <w:pPr>
        <w:pStyle w:val="FootnoteText"/>
        <w:keepLines/>
        <w:rPr>
          <w:lang w:val="fr-CH"/>
        </w:rPr>
      </w:pPr>
      <w:r>
        <w:rPr>
          <w:rStyle w:val="FootnoteReference"/>
        </w:rPr>
        <w:footnoteRef/>
      </w:r>
      <w:r w:rsidRPr="005250A8">
        <w:t xml:space="preserve"> </w:t>
      </w:r>
      <w:r>
        <w:rPr>
          <w:lang w:val="fr-CH"/>
        </w:rPr>
        <w:tab/>
        <w:t>Paragraphe 8 de l’ordre de service n° 16/2010.</w:t>
      </w:r>
    </w:p>
  </w:footnote>
  <w:footnote w:id="15">
    <w:p w14:paraId="60B519E5" w14:textId="77777777" w:rsidR="00A52ADF" w:rsidRPr="007331EB" w:rsidRDefault="00A52ADF" w:rsidP="00426AC4">
      <w:pPr>
        <w:pStyle w:val="FootnoteText"/>
        <w:keepLines/>
      </w:pPr>
      <w:r>
        <w:rPr>
          <w:rStyle w:val="FootnoteReference"/>
        </w:rPr>
        <w:footnoteRef/>
      </w:r>
      <w:r w:rsidRPr="007331EB">
        <w:t xml:space="preserve"> </w:t>
      </w:r>
      <w:r>
        <w:tab/>
      </w:r>
      <w:r w:rsidRPr="007331EB">
        <w:t>WO/PBC/30/14 – 18 juin 2019</w:t>
      </w:r>
      <w:r>
        <w:t>.</w:t>
      </w:r>
    </w:p>
  </w:footnote>
  <w:footnote w:id="16">
    <w:p w14:paraId="1EAF473A" w14:textId="5C7F6BA0" w:rsidR="00A52ADF" w:rsidRPr="003E4C24" w:rsidRDefault="00A52ADF" w:rsidP="00426AC4">
      <w:pPr>
        <w:pStyle w:val="FootnoteText"/>
        <w:keepLines/>
      </w:pPr>
      <w:r>
        <w:rPr>
          <w:rStyle w:val="FootnoteReference"/>
        </w:rPr>
        <w:footnoteRef/>
      </w:r>
      <w:r w:rsidRPr="003E4C24">
        <w:t xml:space="preserve"> </w:t>
      </w:r>
      <w:r>
        <w:tab/>
      </w:r>
      <w:r w:rsidRPr="00620059">
        <w:rPr>
          <w:b/>
        </w:rPr>
        <w:t>Programme</w:t>
      </w:r>
      <w:r>
        <w:rPr>
          <w:b/>
        </w:rPr>
        <w:t> </w:t>
      </w:r>
      <w:r w:rsidRPr="00620059">
        <w:rPr>
          <w:b/>
        </w:rPr>
        <w:t>1</w:t>
      </w:r>
      <w:r w:rsidRPr="003E4C24">
        <w:t xml:space="preserve"> – Droit des brevets; </w:t>
      </w:r>
      <w:r>
        <w:t xml:space="preserve"> </w:t>
      </w:r>
      <w:r w:rsidRPr="00620059">
        <w:rPr>
          <w:b/>
        </w:rPr>
        <w:t>programme</w:t>
      </w:r>
      <w:r>
        <w:rPr>
          <w:b/>
        </w:rPr>
        <w:t> </w:t>
      </w:r>
      <w:r w:rsidRPr="00620059">
        <w:rPr>
          <w:b/>
        </w:rPr>
        <w:t>2</w:t>
      </w:r>
      <w:r w:rsidRPr="003E4C24">
        <w:t xml:space="preserve"> – Marques, dessins et modèles industriels et indications géographiques; </w:t>
      </w:r>
      <w:r>
        <w:t xml:space="preserve"> </w:t>
      </w:r>
      <w:r w:rsidRPr="00620059">
        <w:rPr>
          <w:b/>
        </w:rPr>
        <w:t>programme</w:t>
      </w:r>
      <w:r>
        <w:rPr>
          <w:b/>
        </w:rPr>
        <w:t> </w:t>
      </w:r>
      <w:r w:rsidRPr="00620059">
        <w:rPr>
          <w:b/>
        </w:rPr>
        <w:t>3</w:t>
      </w:r>
      <w:r w:rsidRPr="003E4C24">
        <w:t xml:space="preserve"> – Droit d</w:t>
      </w:r>
      <w:r>
        <w:t>’</w:t>
      </w:r>
      <w:r w:rsidRPr="003E4C24">
        <w:t xml:space="preserve">auteur et droits connexes; </w:t>
      </w:r>
      <w:r>
        <w:t xml:space="preserve"> </w:t>
      </w:r>
      <w:r w:rsidRPr="00620059">
        <w:rPr>
          <w:b/>
        </w:rPr>
        <w:t>programme</w:t>
      </w:r>
      <w:r>
        <w:rPr>
          <w:b/>
        </w:rPr>
        <w:t> </w:t>
      </w:r>
      <w:r w:rsidRPr="00620059">
        <w:rPr>
          <w:b/>
        </w:rPr>
        <w:t>4</w:t>
      </w:r>
      <w:r>
        <w:t xml:space="preserve"> – S</w:t>
      </w:r>
      <w:r w:rsidRPr="003E4C24">
        <w:t xml:space="preserve">avoirs traditionnels, expressions culturelles traditionnelles et ressources génétiques; </w:t>
      </w:r>
      <w:r>
        <w:t xml:space="preserve"> </w:t>
      </w:r>
      <w:r w:rsidRPr="00620059">
        <w:rPr>
          <w:b/>
        </w:rPr>
        <w:t>programme</w:t>
      </w:r>
      <w:r>
        <w:rPr>
          <w:b/>
        </w:rPr>
        <w:t> </w:t>
      </w:r>
      <w:r w:rsidRPr="00620059">
        <w:rPr>
          <w:b/>
        </w:rPr>
        <w:t>5</w:t>
      </w:r>
      <w:r w:rsidRPr="003E4C24">
        <w:t xml:space="preserve"> – </w:t>
      </w:r>
      <w:r>
        <w:t>S</w:t>
      </w:r>
      <w:r w:rsidRPr="003E4C24">
        <w:t>ystème du</w:t>
      </w:r>
      <w:r>
        <w:t> </w:t>
      </w:r>
      <w:r w:rsidRPr="003E4C24">
        <w:t xml:space="preserve">PCT; </w:t>
      </w:r>
      <w:r>
        <w:t xml:space="preserve"> </w:t>
      </w:r>
      <w:r w:rsidRPr="00620059">
        <w:rPr>
          <w:b/>
        </w:rPr>
        <w:t>programme</w:t>
      </w:r>
      <w:r>
        <w:rPr>
          <w:b/>
        </w:rPr>
        <w:t> </w:t>
      </w:r>
      <w:r w:rsidRPr="00620059">
        <w:rPr>
          <w:b/>
        </w:rPr>
        <w:t>6</w:t>
      </w:r>
      <w:r w:rsidRPr="003E4C24">
        <w:t xml:space="preserve"> – Système de Madrid; </w:t>
      </w:r>
      <w:r>
        <w:t xml:space="preserve"> </w:t>
      </w:r>
      <w:r w:rsidRPr="00620059">
        <w:rPr>
          <w:b/>
        </w:rPr>
        <w:t>programme</w:t>
      </w:r>
      <w:r>
        <w:rPr>
          <w:b/>
        </w:rPr>
        <w:t> </w:t>
      </w:r>
      <w:r w:rsidRPr="00620059">
        <w:rPr>
          <w:b/>
        </w:rPr>
        <w:t>7</w:t>
      </w:r>
      <w:r w:rsidRPr="003E4C24">
        <w:t xml:space="preserve"> – Centre d</w:t>
      </w:r>
      <w:r>
        <w:t>’</w:t>
      </w:r>
      <w:r w:rsidRPr="003E4C24">
        <w:t>arbitrage et de médiation de l</w:t>
      </w:r>
      <w:r>
        <w:t>’</w:t>
      </w:r>
      <w:r w:rsidRPr="003E4C24">
        <w:t xml:space="preserve">OMPI; </w:t>
      </w:r>
      <w:r>
        <w:t xml:space="preserve"> </w:t>
      </w:r>
      <w:r w:rsidRPr="00620059">
        <w:rPr>
          <w:b/>
        </w:rPr>
        <w:t>programme</w:t>
      </w:r>
      <w:r>
        <w:rPr>
          <w:b/>
        </w:rPr>
        <w:t> </w:t>
      </w:r>
      <w:r w:rsidRPr="00620059">
        <w:rPr>
          <w:b/>
        </w:rPr>
        <w:t>8</w:t>
      </w:r>
      <w:r w:rsidRPr="003E4C24">
        <w:t xml:space="preserve"> – Coordination du Plan d</w:t>
      </w:r>
      <w:r>
        <w:t>’</w:t>
      </w:r>
      <w:r w:rsidRPr="003E4C24">
        <w:t xml:space="preserve">action pour le développement; </w:t>
      </w:r>
      <w:r>
        <w:t xml:space="preserve"> </w:t>
      </w:r>
      <w:r w:rsidRPr="00620059">
        <w:rPr>
          <w:b/>
        </w:rPr>
        <w:t>programme</w:t>
      </w:r>
      <w:r>
        <w:rPr>
          <w:b/>
        </w:rPr>
        <w:t> </w:t>
      </w:r>
      <w:r w:rsidRPr="00620059">
        <w:rPr>
          <w:b/>
        </w:rPr>
        <w:t>9</w:t>
      </w:r>
      <w:r w:rsidRPr="003E4C24">
        <w:t xml:space="preserve"> – Afrique, pays arabes, Asie et Pacifique, pays d</w:t>
      </w:r>
      <w:r>
        <w:t>’</w:t>
      </w:r>
      <w:r w:rsidRPr="003E4C24">
        <w:t xml:space="preserve">Amérique latine et des Caraïbes, pays les moins avancés; </w:t>
      </w:r>
      <w:r>
        <w:t xml:space="preserve"> </w:t>
      </w:r>
      <w:r w:rsidRPr="00620059">
        <w:rPr>
          <w:b/>
        </w:rPr>
        <w:t>programme</w:t>
      </w:r>
      <w:r>
        <w:rPr>
          <w:b/>
        </w:rPr>
        <w:t> </w:t>
      </w:r>
      <w:r w:rsidRPr="00620059">
        <w:rPr>
          <w:b/>
        </w:rPr>
        <w:t>10</w:t>
      </w:r>
      <w:r w:rsidRPr="003E4C24">
        <w:t xml:space="preserve"> – Pays en transition et pays développés; </w:t>
      </w:r>
      <w:r>
        <w:t xml:space="preserve"> </w:t>
      </w:r>
      <w:r w:rsidRPr="00620059">
        <w:rPr>
          <w:b/>
        </w:rPr>
        <w:t>programme</w:t>
      </w:r>
      <w:r>
        <w:rPr>
          <w:b/>
        </w:rPr>
        <w:t> </w:t>
      </w:r>
      <w:r w:rsidRPr="00620059">
        <w:rPr>
          <w:b/>
        </w:rPr>
        <w:t>11</w:t>
      </w:r>
      <w:r w:rsidRPr="003E4C24">
        <w:t xml:space="preserve"> – Académie de l</w:t>
      </w:r>
      <w:r>
        <w:t>’</w:t>
      </w:r>
      <w:r w:rsidRPr="003E4C24">
        <w:t xml:space="preserve">OMPI; </w:t>
      </w:r>
      <w:r>
        <w:t xml:space="preserve"> </w:t>
      </w:r>
      <w:r w:rsidRPr="00620059">
        <w:rPr>
          <w:b/>
        </w:rPr>
        <w:t>programme</w:t>
      </w:r>
      <w:r>
        <w:rPr>
          <w:b/>
        </w:rPr>
        <w:t> </w:t>
      </w:r>
      <w:r w:rsidRPr="00620059">
        <w:rPr>
          <w:b/>
        </w:rPr>
        <w:t>12</w:t>
      </w:r>
      <w:r w:rsidRPr="003E4C24">
        <w:t xml:space="preserve"> – Classifications internationales et normes; </w:t>
      </w:r>
      <w:r>
        <w:t xml:space="preserve"> </w:t>
      </w:r>
      <w:r w:rsidRPr="00620059">
        <w:rPr>
          <w:b/>
        </w:rPr>
        <w:t>programme</w:t>
      </w:r>
      <w:r>
        <w:rPr>
          <w:b/>
        </w:rPr>
        <w:t> </w:t>
      </w:r>
      <w:r w:rsidRPr="00620059">
        <w:rPr>
          <w:b/>
        </w:rPr>
        <w:t>13</w:t>
      </w:r>
      <w:r w:rsidRPr="003E4C24">
        <w:t xml:space="preserve"> – Bases de données mondiales; </w:t>
      </w:r>
      <w:r>
        <w:t xml:space="preserve"> </w:t>
      </w:r>
      <w:r w:rsidRPr="00620059">
        <w:rPr>
          <w:b/>
        </w:rPr>
        <w:t>programme</w:t>
      </w:r>
      <w:r>
        <w:rPr>
          <w:b/>
        </w:rPr>
        <w:t> </w:t>
      </w:r>
      <w:r w:rsidRPr="00620059">
        <w:rPr>
          <w:b/>
        </w:rPr>
        <w:t>14</w:t>
      </w:r>
      <w:r w:rsidRPr="003E4C24">
        <w:t xml:space="preserve"> – Services d</w:t>
      </w:r>
      <w:r>
        <w:t>’</w:t>
      </w:r>
      <w:r w:rsidRPr="003E4C24">
        <w:t>accès à l</w:t>
      </w:r>
      <w:r>
        <w:t>’</w:t>
      </w:r>
      <w:r w:rsidRPr="003E4C24">
        <w:t xml:space="preserve">information et aux savoirs; </w:t>
      </w:r>
      <w:r>
        <w:t xml:space="preserve"> </w:t>
      </w:r>
      <w:r w:rsidRPr="00620059">
        <w:rPr>
          <w:b/>
        </w:rPr>
        <w:t>programme</w:t>
      </w:r>
      <w:r>
        <w:rPr>
          <w:b/>
        </w:rPr>
        <w:t> </w:t>
      </w:r>
      <w:r w:rsidRPr="00620059">
        <w:rPr>
          <w:b/>
        </w:rPr>
        <w:t>15</w:t>
      </w:r>
      <w:r w:rsidRPr="003E4C24">
        <w:t xml:space="preserve"> – Solutions opérationnelles pour les offices de propriété intellectuelle; </w:t>
      </w:r>
      <w:r>
        <w:t xml:space="preserve"> </w:t>
      </w:r>
      <w:r w:rsidRPr="00620059">
        <w:rPr>
          <w:b/>
        </w:rPr>
        <w:t>programme</w:t>
      </w:r>
      <w:r>
        <w:rPr>
          <w:b/>
        </w:rPr>
        <w:t> </w:t>
      </w:r>
      <w:r w:rsidRPr="00620059">
        <w:rPr>
          <w:b/>
        </w:rPr>
        <w:t>16</w:t>
      </w:r>
      <w:r w:rsidRPr="003E4C24">
        <w:t xml:space="preserve"> – Économie et statistiques; </w:t>
      </w:r>
      <w:r>
        <w:t xml:space="preserve"> </w:t>
      </w:r>
      <w:r w:rsidRPr="00620059">
        <w:rPr>
          <w:b/>
        </w:rPr>
        <w:t>programme</w:t>
      </w:r>
      <w:r>
        <w:rPr>
          <w:b/>
        </w:rPr>
        <w:t> </w:t>
      </w:r>
      <w:r w:rsidRPr="00620059">
        <w:rPr>
          <w:b/>
        </w:rPr>
        <w:t>17</w:t>
      </w:r>
      <w:r w:rsidRPr="003E4C24">
        <w:t xml:space="preserve"> – Promouvoir le respect de la propriété intellectuelle; </w:t>
      </w:r>
      <w:r>
        <w:t xml:space="preserve"> </w:t>
      </w:r>
      <w:r w:rsidRPr="00620059">
        <w:rPr>
          <w:b/>
        </w:rPr>
        <w:t>programme</w:t>
      </w:r>
      <w:r>
        <w:rPr>
          <w:b/>
        </w:rPr>
        <w:t> </w:t>
      </w:r>
      <w:r w:rsidRPr="00620059">
        <w:rPr>
          <w:b/>
        </w:rPr>
        <w:t>18</w:t>
      </w:r>
      <w:r w:rsidRPr="003E4C24">
        <w:t xml:space="preserve"> – Propriété intellectuelle et défis mondiaux; </w:t>
      </w:r>
      <w:r>
        <w:t xml:space="preserve"> </w:t>
      </w:r>
      <w:r w:rsidRPr="00620059">
        <w:rPr>
          <w:b/>
        </w:rPr>
        <w:t>programme</w:t>
      </w:r>
      <w:r>
        <w:rPr>
          <w:b/>
        </w:rPr>
        <w:t> </w:t>
      </w:r>
      <w:r w:rsidRPr="00620059">
        <w:rPr>
          <w:b/>
        </w:rPr>
        <w:t>19</w:t>
      </w:r>
      <w:r w:rsidRPr="003E4C24">
        <w:t xml:space="preserve"> – Communications; </w:t>
      </w:r>
      <w:r>
        <w:t xml:space="preserve"> </w:t>
      </w:r>
      <w:r w:rsidRPr="00620059">
        <w:rPr>
          <w:b/>
        </w:rPr>
        <w:t>programme</w:t>
      </w:r>
      <w:r>
        <w:rPr>
          <w:b/>
        </w:rPr>
        <w:t> </w:t>
      </w:r>
      <w:r w:rsidRPr="00620059">
        <w:rPr>
          <w:b/>
        </w:rPr>
        <w:t>20</w:t>
      </w:r>
      <w:r w:rsidRPr="003E4C24">
        <w:t xml:space="preserve"> – Relations extérieures, partenariats et bureaux extérieurs; </w:t>
      </w:r>
      <w:r>
        <w:t xml:space="preserve"> </w:t>
      </w:r>
      <w:r w:rsidRPr="00620059">
        <w:rPr>
          <w:b/>
        </w:rPr>
        <w:t>programme</w:t>
      </w:r>
      <w:r>
        <w:rPr>
          <w:b/>
        </w:rPr>
        <w:t> </w:t>
      </w:r>
      <w:r w:rsidRPr="00620059">
        <w:rPr>
          <w:b/>
        </w:rPr>
        <w:t>21</w:t>
      </w:r>
      <w:r w:rsidRPr="003E4C24">
        <w:t xml:space="preserve"> – Direction générale; </w:t>
      </w:r>
      <w:r>
        <w:t xml:space="preserve"> </w:t>
      </w:r>
      <w:r w:rsidRPr="00620059">
        <w:rPr>
          <w:b/>
        </w:rPr>
        <w:t>programme</w:t>
      </w:r>
      <w:r>
        <w:rPr>
          <w:b/>
        </w:rPr>
        <w:t> </w:t>
      </w:r>
      <w:r w:rsidRPr="00620059">
        <w:rPr>
          <w:b/>
        </w:rPr>
        <w:t>22</w:t>
      </w:r>
      <w:r w:rsidRPr="003E4C24">
        <w:t xml:space="preserve"> – Gestion des programmes et des ressources; </w:t>
      </w:r>
      <w:r>
        <w:t xml:space="preserve"> </w:t>
      </w:r>
      <w:r w:rsidRPr="00620059">
        <w:rPr>
          <w:b/>
        </w:rPr>
        <w:t>programme</w:t>
      </w:r>
      <w:r>
        <w:rPr>
          <w:b/>
        </w:rPr>
        <w:t> </w:t>
      </w:r>
      <w:r w:rsidRPr="00620059">
        <w:rPr>
          <w:b/>
        </w:rPr>
        <w:t>23</w:t>
      </w:r>
      <w:r w:rsidRPr="003E4C24">
        <w:t xml:space="preserve"> – Gestion et mise en valeur des ressources humaines; </w:t>
      </w:r>
      <w:r>
        <w:t xml:space="preserve"> </w:t>
      </w:r>
      <w:r w:rsidRPr="00620059">
        <w:rPr>
          <w:b/>
        </w:rPr>
        <w:t>programme</w:t>
      </w:r>
      <w:r>
        <w:rPr>
          <w:b/>
        </w:rPr>
        <w:t> </w:t>
      </w:r>
      <w:r w:rsidRPr="00620059">
        <w:rPr>
          <w:b/>
        </w:rPr>
        <w:t>24</w:t>
      </w:r>
      <w:r w:rsidRPr="003E4C24">
        <w:t xml:space="preserve"> – Services d</w:t>
      </w:r>
      <w:r>
        <w:t>’</w:t>
      </w:r>
      <w:r w:rsidRPr="003E4C24">
        <w:t xml:space="preserve">appui généraux; </w:t>
      </w:r>
      <w:r>
        <w:t xml:space="preserve"> </w:t>
      </w:r>
      <w:r w:rsidRPr="00620059">
        <w:rPr>
          <w:b/>
        </w:rPr>
        <w:t>programme</w:t>
      </w:r>
      <w:r>
        <w:rPr>
          <w:b/>
        </w:rPr>
        <w:t> </w:t>
      </w:r>
      <w:r w:rsidRPr="00620059">
        <w:rPr>
          <w:b/>
        </w:rPr>
        <w:t>25</w:t>
      </w:r>
      <w:r w:rsidRPr="003E4C24">
        <w:t xml:space="preserve"> – Technologies de l</w:t>
      </w:r>
      <w:r>
        <w:t>’</w:t>
      </w:r>
      <w:r w:rsidRPr="003E4C24">
        <w:t xml:space="preserve">information et de la communication; </w:t>
      </w:r>
      <w:r>
        <w:t xml:space="preserve"> </w:t>
      </w:r>
      <w:r w:rsidRPr="00620059">
        <w:rPr>
          <w:b/>
        </w:rPr>
        <w:t>programme</w:t>
      </w:r>
      <w:r>
        <w:rPr>
          <w:b/>
        </w:rPr>
        <w:t> </w:t>
      </w:r>
      <w:r w:rsidRPr="00620059">
        <w:rPr>
          <w:b/>
        </w:rPr>
        <w:t>26</w:t>
      </w:r>
      <w:r w:rsidRPr="003E4C24">
        <w:t xml:space="preserve"> – Division de la supervision interne; </w:t>
      </w:r>
      <w:r>
        <w:t xml:space="preserve"> </w:t>
      </w:r>
      <w:r w:rsidRPr="00620059">
        <w:rPr>
          <w:b/>
        </w:rPr>
        <w:t>programme</w:t>
      </w:r>
      <w:r>
        <w:rPr>
          <w:b/>
        </w:rPr>
        <w:t> </w:t>
      </w:r>
      <w:r w:rsidRPr="00620059">
        <w:rPr>
          <w:b/>
        </w:rPr>
        <w:t>27</w:t>
      </w:r>
      <w:r w:rsidRPr="003E4C24">
        <w:t xml:space="preserve"> – Services de conférence et services linguistiques; </w:t>
      </w:r>
      <w:r>
        <w:t xml:space="preserve"> </w:t>
      </w:r>
      <w:r w:rsidRPr="00620059">
        <w:rPr>
          <w:b/>
        </w:rPr>
        <w:t>programme</w:t>
      </w:r>
      <w:r>
        <w:rPr>
          <w:b/>
        </w:rPr>
        <w:t> </w:t>
      </w:r>
      <w:r w:rsidRPr="00620059">
        <w:rPr>
          <w:b/>
        </w:rPr>
        <w:t>28</w:t>
      </w:r>
      <w:r w:rsidRPr="003E4C24">
        <w:t xml:space="preserve"> – Sécurité de l</w:t>
      </w:r>
      <w:r>
        <w:t>’</w:t>
      </w:r>
      <w:r w:rsidRPr="003E4C24">
        <w:t xml:space="preserve">information, des biens et des personnes; </w:t>
      </w:r>
      <w:r>
        <w:t xml:space="preserve"> </w:t>
      </w:r>
      <w:r w:rsidRPr="00620059">
        <w:rPr>
          <w:b/>
        </w:rPr>
        <w:t>programme</w:t>
      </w:r>
      <w:r>
        <w:rPr>
          <w:b/>
        </w:rPr>
        <w:t> </w:t>
      </w:r>
      <w:r w:rsidRPr="00620059">
        <w:rPr>
          <w:b/>
        </w:rPr>
        <w:t>30</w:t>
      </w:r>
      <w:r w:rsidRPr="003E4C24">
        <w:t xml:space="preserve"> – Appui aux petites et moyennes entreprises (PME) et à la création d</w:t>
      </w:r>
      <w:r>
        <w:t>’</w:t>
      </w:r>
      <w:r w:rsidRPr="003E4C24">
        <w:t xml:space="preserve">entreprises; </w:t>
      </w:r>
      <w:r>
        <w:t xml:space="preserve"> </w:t>
      </w:r>
      <w:r w:rsidRPr="00620059">
        <w:rPr>
          <w:b/>
        </w:rPr>
        <w:t>programme</w:t>
      </w:r>
      <w:r>
        <w:rPr>
          <w:b/>
        </w:rPr>
        <w:t> </w:t>
      </w:r>
      <w:r w:rsidRPr="00620059">
        <w:rPr>
          <w:b/>
        </w:rPr>
        <w:t>31</w:t>
      </w:r>
      <w:r w:rsidRPr="003E4C24">
        <w:t xml:space="preserve"> – Système de </w:t>
      </w:r>
      <w:r>
        <w:t>La Haye</w:t>
      </w:r>
      <w:r w:rsidRPr="003E4C24">
        <w:t xml:space="preserve">; </w:t>
      </w:r>
      <w:r>
        <w:t xml:space="preserve"> </w:t>
      </w:r>
      <w:r w:rsidRPr="00620059">
        <w:rPr>
          <w:b/>
        </w:rPr>
        <w:t>programme</w:t>
      </w:r>
      <w:r>
        <w:rPr>
          <w:b/>
        </w:rPr>
        <w:t> </w:t>
      </w:r>
      <w:r w:rsidRPr="00620059">
        <w:rPr>
          <w:b/>
        </w:rPr>
        <w:t>32</w:t>
      </w:r>
      <w:r w:rsidRPr="003E4C24">
        <w:t xml:space="preserve"> – Système de Lisbonne.</w:t>
      </w:r>
    </w:p>
  </w:footnote>
  <w:footnote w:id="17">
    <w:p w14:paraId="454C382A" w14:textId="2A78ABD4" w:rsidR="00A52ADF" w:rsidRPr="00C34868" w:rsidRDefault="00A52ADF" w:rsidP="00426AC4">
      <w:pPr>
        <w:pStyle w:val="FootnoteText"/>
        <w:keepLines/>
        <w:rPr>
          <w:lang w:val="fr-CH"/>
        </w:rPr>
      </w:pPr>
      <w:r>
        <w:rPr>
          <w:rStyle w:val="FootnoteReference"/>
        </w:rPr>
        <w:footnoteRef/>
      </w:r>
      <w:r w:rsidRPr="00E7790B">
        <w:t xml:space="preserve"> </w:t>
      </w:r>
      <w:r>
        <w:rPr>
          <w:lang w:val="fr-CH"/>
        </w:rPr>
        <w:tab/>
        <w:t>Paragraphe 28.g) de la Charte de la supervision interne.</w:t>
      </w:r>
    </w:p>
  </w:footnote>
  <w:footnote w:id="18">
    <w:p w14:paraId="181370A9" w14:textId="749CDEF6" w:rsidR="00A52ADF" w:rsidRPr="007331EB" w:rsidRDefault="00A52ADF" w:rsidP="00426AC4">
      <w:pPr>
        <w:pStyle w:val="FootnoteText"/>
        <w:keepLines/>
      </w:pPr>
      <w:r>
        <w:rPr>
          <w:rStyle w:val="FootnoteReference"/>
        </w:rPr>
        <w:footnoteRef/>
      </w:r>
      <w:r w:rsidRPr="007331EB">
        <w:t xml:space="preserve"> </w:t>
      </w:r>
      <w:r w:rsidRPr="007331EB">
        <w:tab/>
        <w:t>Paragraphe</w:t>
      </w:r>
      <w:r>
        <w:t> </w:t>
      </w:r>
      <w:r w:rsidRPr="007331EB">
        <w:t>48</w:t>
      </w:r>
      <w:r>
        <w:t>.</w:t>
      </w:r>
      <w:r w:rsidRPr="007331EB">
        <w:t>i).</w:t>
      </w:r>
    </w:p>
  </w:footnote>
  <w:footnote w:id="19">
    <w:p w14:paraId="3CD5CF39" w14:textId="77777777" w:rsidR="00A52ADF" w:rsidRPr="008156CA" w:rsidRDefault="00A52ADF" w:rsidP="00426AC4">
      <w:pPr>
        <w:pStyle w:val="FootnoteText"/>
        <w:keepLines/>
      </w:pPr>
      <w:r>
        <w:rPr>
          <w:rStyle w:val="FootnoteReference"/>
        </w:rPr>
        <w:footnoteRef/>
      </w:r>
      <w:r w:rsidRPr="008156CA">
        <w:t xml:space="preserve"> </w:t>
      </w:r>
      <w:r>
        <w:tab/>
        <w:t>Ce pourcentage est calculé sur la base du budget après virements pour la DSI.</w:t>
      </w:r>
    </w:p>
  </w:footnote>
  <w:footnote w:id="20">
    <w:p w14:paraId="717B90A6" w14:textId="03EB4779" w:rsidR="00A52ADF" w:rsidRPr="008156CA" w:rsidRDefault="00A52ADF" w:rsidP="00426AC4">
      <w:pPr>
        <w:pStyle w:val="FootnoteText"/>
        <w:keepLines/>
      </w:pPr>
      <w:r>
        <w:rPr>
          <w:rStyle w:val="FootnoteReference"/>
        </w:rPr>
        <w:footnoteRef/>
      </w:r>
      <w:r w:rsidRPr="008156CA">
        <w:t xml:space="preserve"> </w:t>
      </w:r>
      <w:r>
        <w:tab/>
        <w:t xml:space="preserve">Les dépenses 2019 présentées dans ce tableau portent uniquement sur la période comprise entre juillet et décembre 2019.  </w:t>
      </w:r>
      <w:r w:rsidRPr="008156CA">
        <w:t>Chiffres en milliers de francs suisses.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8789" w14:textId="77777777" w:rsidR="00A52ADF" w:rsidRDefault="00A52ADF" w:rsidP="006B6F89">
    <w:pPr>
      <w:pStyle w:val="Header"/>
      <w:jc w:val="right"/>
    </w:pPr>
    <w:r>
      <w:t>WO/PBC/31/4</w:t>
    </w:r>
  </w:p>
  <w:p w14:paraId="7561772C" w14:textId="5D93BE48" w:rsidR="00A52ADF" w:rsidRDefault="00A52ADF" w:rsidP="006B6F89">
    <w:pPr>
      <w:pStyle w:val="Header"/>
      <w:jc w:val="right"/>
    </w:pPr>
    <w:r>
      <w:t xml:space="preserve">page </w:t>
    </w:r>
    <w:r>
      <w:fldChar w:fldCharType="begin"/>
    </w:r>
    <w:r>
      <w:instrText>PAGE   \* MERGEFORMAT</w:instrText>
    </w:r>
    <w:r>
      <w:fldChar w:fldCharType="separate"/>
    </w:r>
    <w:r w:rsidR="00AA62A4">
      <w:rPr>
        <w:noProof/>
      </w:rPr>
      <w:t>2</w:t>
    </w:r>
    <w:r>
      <w:fldChar w:fldCharType="end"/>
    </w:r>
  </w:p>
  <w:p w14:paraId="3725BC1C" w14:textId="77777777" w:rsidR="00A52ADF" w:rsidRDefault="00A52ADF" w:rsidP="006B6F89">
    <w:pPr>
      <w:pStyle w:val="Header"/>
      <w:jc w:val="right"/>
    </w:pPr>
  </w:p>
  <w:p w14:paraId="3DAE5204" w14:textId="77777777" w:rsidR="00A52ADF" w:rsidRDefault="00A52ADF" w:rsidP="006B6F8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A16BA" w14:textId="77777777" w:rsidR="00A52ADF" w:rsidRDefault="00A52ADF" w:rsidP="006F594E">
    <w:pPr>
      <w:pStyle w:val="Header"/>
      <w:jc w:val="right"/>
    </w:pPr>
    <w:r>
      <w:t>WO/PBC/31/4</w:t>
    </w:r>
  </w:p>
  <w:p w14:paraId="4806B5A6" w14:textId="0F97AF67" w:rsidR="00A52ADF" w:rsidRDefault="00A52ADF" w:rsidP="006F594E">
    <w:pPr>
      <w:pStyle w:val="Header"/>
      <w:jc w:val="right"/>
    </w:pPr>
    <w:r>
      <w:t>page </w:t>
    </w:r>
    <w:r>
      <w:fldChar w:fldCharType="begin"/>
    </w:r>
    <w:r>
      <w:instrText>PAGE   \* MERGEFORMAT</w:instrText>
    </w:r>
    <w:r>
      <w:fldChar w:fldCharType="separate"/>
    </w:r>
    <w:r w:rsidR="00820586">
      <w:rPr>
        <w:noProof/>
      </w:rPr>
      <w:t>17</w:t>
    </w:r>
    <w:r>
      <w:fldChar w:fldCharType="end"/>
    </w:r>
  </w:p>
  <w:p w14:paraId="44737BD1" w14:textId="77777777" w:rsidR="00A52ADF" w:rsidRDefault="00A52ADF" w:rsidP="006F594E">
    <w:pPr>
      <w:pStyle w:val="Header"/>
      <w:jc w:val="right"/>
    </w:pPr>
  </w:p>
  <w:p w14:paraId="1D61EAF4" w14:textId="77777777" w:rsidR="00A52ADF" w:rsidRDefault="00A52ADF" w:rsidP="006F594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FCE7" w14:textId="0D953FFC" w:rsidR="00A52ADF" w:rsidRDefault="00A52ADF" w:rsidP="006F594E">
    <w:pPr>
      <w:pStyle w:val="Header"/>
      <w:jc w:val="right"/>
    </w:pPr>
    <w:r>
      <w:t>WO/PBC/31/4</w:t>
    </w:r>
  </w:p>
  <w:p w14:paraId="5FF3E1E8" w14:textId="6758C056" w:rsidR="00A52ADF" w:rsidRDefault="00A52ADF" w:rsidP="006F594E">
    <w:pPr>
      <w:pStyle w:val="Header"/>
      <w:jc w:val="right"/>
    </w:pPr>
    <w:r>
      <w:t xml:space="preserve">page </w:t>
    </w:r>
    <w:r>
      <w:fldChar w:fldCharType="begin"/>
    </w:r>
    <w:r>
      <w:instrText>PAGE   \* MERGEFORMAT</w:instrText>
    </w:r>
    <w:r>
      <w:fldChar w:fldCharType="separate"/>
    </w:r>
    <w:r w:rsidR="00AA62A4">
      <w:rPr>
        <w:noProof/>
      </w:rPr>
      <w:t>2</w:t>
    </w:r>
    <w:r>
      <w:fldChar w:fldCharType="end"/>
    </w:r>
  </w:p>
  <w:p w14:paraId="2A2E5A5F" w14:textId="77777777" w:rsidR="00A52ADF" w:rsidRDefault="00A52ADF" w:rsidP="006F594E">
    <w:pPr>
      <w:pStyle w:val="Header"/>
      <w:jc w:val="right"/>
    </w:pPr>
  </w:p>
  <w:p w14:paraId="31C45634" w14:textId="5665B0C0" w:rsidR="00A52ADF" w:rsidRDefault="00A52ADF" w:rsidP="006F594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DA42" w14:textId="77777777" w:rsidR="00A52ADF" w:rsidRDefault="00A52ADF" w:rsidP="006F594E">
    <w:pPr>
      <w:pStyle w:val="Header"/>
      <w:jc w:val="right"/>
    </w:pPr>
    <w:r>
      <w:t>WO/PBC/31/4</w:t>
    </w:r>
  </w:p>
  <w:p w14:paraId="61D0F4C2" w14:textId="68FACA7A" w:rsidR="00A52ADF" w:rsidRDefault="00A52ADF" w:rsidP="006F594E">
    <w:pPr>
      <w:pStyle w:val="Header"/>
      <w:jc w:val="right"/>
    </w:pPr>
    <w:r>
      <w:t>ANNEXE</w:t>
    </w:r>
  </w:p>
  <w:p w14:paraId="284AAE10" w14:textId="77777777" w:rsidR="00A52ADF" w:rsidRDefault="00A52ADF" w:rsidP="006F594E">
    <w:pPr>
      <w:pStyle w:val="Header"/>
      <w:jc w:val="right"/>
    </w:pPr>
  </w:p>
  <w:p w14:paraId="540471C1" w14:textId="77777777" w:rsidR="00A52ADF" w:rsidRDefault="00A52ADF" w:rsidP="006F59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0720D32C"/>
    <w:lvl w:ilvl="0">
      <w:start w:val="2"/>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186B35"/>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DDF3B32"/>
    <w:multiLevelType w:val="multilevel"/>
    <w:tmpl w:val="5B400D0A"/>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2127"/>
        </w:tabs>
        <w:ind w:left="15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7"/>
  </w:num>
  <w:num w:numId="9">
    <w:abstractNumId w:val="2"/>
  </w:num>
  <w:num w:numId="10">
    <w:abstractNumId w:val="5"/>
  </w:num>
  <w:num w:numId="11">
    <w:abstractNumId w:val="1"/>
  </w:num>
  <w:num w:numId="12">
    <w:abstractNumId w:val="3"/>
  </w:num>
  <w:num w:numId="13">
    <w:abstractNumId w:val="8"/>
  </w:num>
  <w:num w:numId="14">
    <w:abstractNumId w:val="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de-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Team Server TMs\French"/>
    <w:docVar w:name="TextBaseURL" w:val="empty"/>
    <w:docVar w:name="UILng" w:val="en"/>
  </w:docVars>
  <w:rsids>
    <w:rsidRoot w:val="00FC7E97"/>
    <w:rsid w:val="00004205"/>
    <w:rsid w:val="00007C8D"/>
    <w:rsid w:val="00012A0C"/>
    <w:rsid w:val="0001407C"/>
    <w:rsid w:val="00017479"/>
    <w:rsid w:val="000259B5"/>
    <w:rsid w:val="000269CE"/>
    <w:rsid w:val="00027788"/>
    <w:rsid w:val="00037140"/>
    <w:rsid w:val="0003750A"/>
    <w:rsid w:val="00043CAA"/>
    <w:rsid w:val="000449A2"/>
    <w:rsid w:val="00050B9C"/>
    <w:rsid w:val="00053BE8"/>
    <w:rsid w:val="00056816"/>
    <w:rsid w:val="000626EE"/>
    <w:rsid w:val="000649AF"/>
    <w:rsid w:val="00066818"/>
    <w:rsid w:val="00067B6A"/>
    <w:rsid w:val="00071849"/>
    <w:rsid w:val="00075432"/>
    <w:rsid w:val="00083433"/>
    <w:rsid w:val="000850A9"/>
    <w:rsid w:val="00087F87"/>
    <w:rsid w:val="000920C6"/>
    <w:rsid w:val="00094B31"/>
    <w:rsid w:val="000968ED"/>
    <w:rsid w:val="000A003F"/>
    <w:rsid w:val="000A07F8"/>
    <w:rsid w:val="000A117A"/>
    <w:rsid w:val="000A2877"/>
    <w:rsid w:val="000A3D97"/>
    <w:rsid w:val="000A7A2D"/>
    <w:rsid w:val="000D7F45"/>
    <w:rsid w:val="000E1DB8"/>
    <w:rsid w:val="000E2BF2"/>
    <w:rsid w:val="000F1A3B"/>
    <w:rsid w:val="000F5E56"/>
    <w:rsid w:val="000F6132"/>
    <w:rsid w:val="000F7A31"/>
    <w:rsid w:val="00102BD2"/>
    <w:rsid w:val="00104BDC"/>
    <w:rsid w:val="001052E2"/>
    <w:rsid w:val="001160CB"/>
    <w:rsid w:val="00117B9F"/>
    <w:rsid w:val="001225CD"/>
    <w:rsid w:val="00131D66"/>
    <w:rsid w:val="001362EE"/>
    <w:rsid w:val="0014654C"/>
    <w:rsid w:val="001542CE"/>
    <w:rsid w:val="001635B5"/>
    <w:rsid w:val="001643D3"/>
    <w:rsid w:val="001647D5"/>
    <w:rsid w:val="001750C8"/>
    <w:rsid w:val="001832A6"/>
    <w:rsid w:val="0018420B"/>
    <w:rsid w:val="00191379"/>
    <w:rsid w:val="00191710"/>
    <w:rsid w:val="00193A11"/>
    <w:rsid w:val="001952B7"/>
    <w:rsid w:val="00196CD2"/>
    <w:rsid w:val="001A4568"/>
    <w:rsid w:val="001B343A"/>
    <w:rsid w:val="001C0E37"/>
    <w:rsid w:val="001C123D"/>
    <w:rsid w:val="001C6CA4"/>
    <w:rsid w:val="001D4107"/>
    <w:rsid w:val="001E003B"/>
    <w:rsid w:val="001F21C8"/>
    <w:rsid w:val="00201AA7"/>
    <w:rsid w:val="00203D24"/>
    <w:rsid w:val="0021217E"/>
    <w:rsid w:val="00217391"/>
    <w:rsid w:val="002245CA"/>
    <w:rsid w:val="00224AED"/>
    <w:rsid w:val="0023270A"/>
    <w:rsid w:val="0023705B"/>
    <w:rsid w:val="002415DC"/>
    <w:rsid w:val="00243430"/>
    <w:rsid w:val="00243DD8"/>
    <w:rsid w:val="002446E9"/>
    <w:rsid w:val="00247252"/>
    <w:rsid w:val="0025359D"/>
    <w:rsid w:val="00255686"/>
    <w:rsid w:val="00257602"/>
    <w:rsid w:val="002630EC"/>
    <w:rsid w:val="002634C4"/>
    <w:rsid w:val="002654AF"/>
    <w:rsid w:val="002670C4"/>
    <w:rsid w:val="002717D1"/>
    <w:rsid w:val="00274C99"/>
    <w:rsid w:val="00275D42"/>
    <w:rsid w:val="00284537"/>
    <w:rsid w:val="0028603B"/>
    <w:rsid w:val="0028626A"/>
    <w:rsid w:val="00286DAC"/>
    <w:rsid w:val="0029118F"/>
    <w:rsid w:val="002928D3"/>
    <w:rsid w:val="002A1916"/>
    <w:rsid w:val="002C23BF"/>
    <w:rsid w:val="002C485D"/>
    <w:rsid w:val="002E1846"/>
    <w:rsid w:val="002E224C"/>
    <w:rsid w:val="002E3A72"/>
    <w:rsid w:val="002F01A4"/>
    <w:rsid w:val="002F1FE6"/>
    <w:rsid w:val="002F4E68"/>
    <w:rsid w:val="002F5D8D"/>
    <w:rsid w:val="0030012B"/>
    <w:rsid w:val="00302440"/>
    <w:rsid w:val="003046DB"/>
    <w:rsid w:val="00306EDC"/>
    <w:rsid w:val="0031229D"/>
    <w:rsid w:val="00312F7F"/>
    <w:rsid w:val="00314917"/>
    <w:rsid w:val="00326E2A"/>
    <w:rsid w:val="003453CA"/>
    <w:rsid w:val="00347735"/>
    <w:rsid w:val="00350525"/>
    <w:rsid w:val="00361450"/>
    <w:rsid w:val="003673CF"/>
    <w:rsid w:val="0037708F"/>
    <w:rsid w:val="00380046"/>
    <w:rsid w:val="0038146E"/>
    <w:rsid w:val="003845C1"/>
    <w:rsid w:val="00392CEA"/>
    <w:rsid w:val="0039415E"/>
    <w:rsid w:val="0039651E"/>
    <w:rsid w:val="003968A7"/>
    <w:rsid w:val="003A6F89"/>
    <w:rsid w:val="003B0312"/>
    <w:rsid w:val="003B38C1"/>
    <w:rsid w:val="003C34E9"/>
    <w:rsid w:val="003C526E"/>
    <w:rsid w:val="003C5909"/>
    <w:rsid w:val="003F6C0B"/>
    <w:rsid w:val="003F6EA2"/>
    <w:rsid w:val="00412F47"/>
    <w:rsid w:val="00423E3E"/>
    <w:rsid w:val="00426AC4"/>
    <w:rsid w:val="00427AF4"/>
    <w:rsid w:val="004502C8"/>
    <w:rsid w:val="00450494"/>
    <w:rsid w:val="004534F3"/>
    <w:rsid w:val="0045409D"/>
    <w:rsid w:val="00454D28"/>
    <w:rsid w:val="004647DA"/>
    <w:rsid w:val="0047206B"/>
    <w:rsid w:val="00474062"/>
    <w:rsid w:val="00475956"/>
    <w:rsid w:val="00477CDB"/>
    <w:rsid w:val="00477D6B"/>
    <w:rsid w:val="004817C7"/>
    <w:rsid w:val="0049212C"/>
    <w:rsid w:val="004A782D"/>
    <w:rsid w:val="004B0B41"/>
    <w:rsid w:val="004B39EB"/>
    <w:rsid w:val="004B5CF4"/>
    <w:rsid w:val="004D2AF2"/>
    <w:rsid w:val="004F64F3"/>
    <w:rsid w:val="005019FF"/>
    <w:rsid w:val="0050351D"/>
    <w:rsid w:val="0050584B"/>
    <w:rsid w:val="005120F1"/>
    <w:rsid w:val="005214D5"/>
    <w:rsid w:val="00526790"/>
    <w:rsid w:val="0053057A"/>
    <w:rsid w:val="00531A5E"/>
    <w:rsid w:val="005361A2"/>
    <w:rsid w:val="005370EC"/>
    <w:rsid w:val="005463D1"/>
    <w:rsid w:val="00552A6D"/>
    <w:rsid w:val="00556076"/>
    <w:rsid w:val="00560A29"/>
    <w:rsid w:val="00567B75"/>
    <w:rsid w:val="00567C6A"/>
    <w:rsid w:val="00571086"/>
    <w:rsid w:val="00582C73"/>
    <w:rsid w:val="00592A69"/>
    <w:rsid w:val="005A291B"/>
    <w:rsid w:val="005A4AAE"/>
    <w:rsid w:val="005B11A5"/>
    <w:rsid w:val="005B12AC"/>
    <w:rsid w:val="005B6F87"/>
    <w:rsid w:val="005C6649"/>
    <w:rsid w:val="005C77AE"/>
    <w:rsid w:val="005D13DE"/>
    <w:rsid w:val="005E27B1"/>
    <w:rsid w:val="005F4507"/>
    <w:rsid w:val="006023CD"/>
    <w:rsid w:val="00605827"/>
    <w:rsid w:val="00610666"/>
    <w:rsid w:val="00610A13"/>
    <w:rsid w:val="00614FCE"/>
    <w:rsid w:val="00620A74"/>
    <w:rsid w:val="00620FF9"/>
    <w:rsid w:val="006268E6"/>
    <w:rsid w:val="0063583F"/>
    <w:rsid w:val="00642BF8"/>
    <w:rsid w:val="00642F0F"/>
    <w:rsid w:val="00646050"/>
    <w:rsid w:val="00646244"/>
    <w:rsid w:val="00650E6D"/>
    <w:rsid w:val="00652BD9"/>
    <w:rsid w:val="00655B44"/>
    <w:rsid w:val="00660F45"/>
    <w:rsid w:val="006713CA"/>
    <w:rsid w:val="00676C5C"/>
    <w:rsid w:val="006775E3"/>
    <w:rsid w:val="00682FAF"/>
    <w:rsid w:val="00684D26"/>
    <w:rsid w:val="006876B9"/>
    <w:rsid w:val="006918F6"/>
    <w:rsid w:val="006955C9"/>
    <w:rsid w:val="00696001"/>
    <w:rsid w:val="006961B9"/>
    <w:rsid w:val="00697F4C"/>
    <w:rsid w:val="006B108F"/>
    <w:rsid w:val="006B1846"/>
    <w:rsid w:val="006B41F2"/>
    <w:rsid w:val="006B5E74"/>
    <w:rsid w:val="006B6F89"/>
    <w:rsid w:val="006C4A8E"/>
    <w:rsid w:val="006C6F42"/>
    <w:rsid w:val="006C72D8"/>
    <w:rsid w:val="006E0076"/>
    <w:rsid w:val="006E1891"/>
    <w:rsid w:val="006E2F76"/>
    <w:rsid w:val="006E7A2C"/>
    <w:rsid w:val="006F02D3"/>
    <w:rsid w:val="006F594E"/>
    <w:rsid w:val="007001E2"/>
    <w:rsid w:val="00700FA0"/>
    <w:rsid w:val="00703DA0"/>
    <w:rsid w:val="00706D5C"/>
    <w:rsid w:val="00710BBE"/>
    <w:rsid w:val="007123E1"/>
    <w:rsid w:val="007161BE"/>
    <w:rsid w:val="00720EFD"/>
    <w:rsid w:val="00721FE7"/>
    <w:rsid w:val="0072225C"/>
    <w:rsid w:val="00724AC0"/>
    <w:rsid w:val="007271E8"/>
    <w:rsid w:val="00736FE9"/>
    <w:rsid w:val="007379C2"/>
    <w:rsid w:val="007470B1"/>
    <w:rsid w:val="0076638D"/>
    <w:rsid w:val="0077079B"/>
    <w:rsid w:val="00772DD9"/>
    <w:rsid w:val="00777740"/>
    <w:rsid w:val="00786549"/>
    <w:rsid w:val="00793476"/>
    <w:rsid w:val="00793A7C"/>
    <w:rsid w:val="00794CE2"/>
    <w:rsid w:val="007A398A"/>
    <w:rsid w:val="007B4FA8"/>
    <w:rsid w:val="007B5CF7"/>
    <w:rsid w:val="007B7E12"/>
    <w:rsid w:val="007C2EFC"/>
    <w:rsid w:val="007C3096"/>
    <w:rsid w:val="007D131F"/>
    <w:rsid w:val="007D1432"/>
    <w:rsid w:val="007D1613"/>
    <w:rsid w:val="007D44F7"/>
    <w:rsid w:val="007E2EBC"/>
    <w:rsid w:val="007E4C0E"/>
    <w:rsid w:val="007E5351"/>
    <w:rsid w:val="007E72F5"/>
    <w:rsid w:val="00800748"/>
    <w:rsid w:val="00805BD5"/>
    <w:rsid w:val="00805BDB"/>
    <w:rsid w:val="00820586"/>
    <w:rsid w:val="0082437A"/>
    <w:rsid w:val="00831998"/>
    <w:rsid w:val="00852119"/>
    <w:rsid w:val="00863C7B"/>
    <w:rsid w:val="008657A1"/>
    <w:rsid w:val="00865DAF"/>
    <w:rsid w:val="00865FD8"/>
    <w:rsid w:val="0087082B"/>
    <w:rsid w:val="00875495"/>
    <w:rsid w:val="00875806"/>
    <w:rsid w:val="008936EE"/>
    <w:rsid w:val="008A0104"/>
    <w:rsid w:val="008A134B"/>
    <w:rsid w:val="008B04A1"/>
    <w:rsid w:val="008B0F21"/>
    <w:rsid w:val="008B2CC1"/>
    <w:rsid w:val="008B60B2"/>
    <w:rsid w:val="008C784C"/>
    <w:rsid w:val="008C7B32"/>
    <w:rsid w:val="008D2128"/>
    <w:rsid w:val="008D2FE8"/>
    <w:rsid w:val="008D6E1E"/>
    <w:rsid w:val="008E0230"/>
    <w:rsid w:val="008E0407"/>
    <w:rsid w:val="008E49F1"/>
    <w:rsid w:val="008F70F3"/>
    <w:rsid w:val="008F7571"/>
    <w:rsid w:val="00902985"/>
    <w:rsid w:val="00904446"/>
    <w:rsid w:val="0090731E"/>
    <w:rsid w:val="00916EE2"/>
    <w:rsid w:val="0093250A"/>
    <w:rsid w:val="0093644C"/>
    <w:rsid w:val="00940E3D"/>
    <w:rsid w:val="0094451C"/>
    <w:rsid w:val="0094491F"/>
    <w:rsid w:val="0094679E"/>
    <w:rsid w:val="0095085A"/>
    <w:rsid w:val="00962080"/>
    <w:rsid w:val="00966A22"/>
    <w:rsid w:val="0096722F"/>
    <w:rsid w:val="00980843"/>
    <w:rsid w:val="00982C02"/>
    <w:rsid w:val="009A1BB2"/>
    <w:rsid w:val="009A470D"/>
    <w:rsid w:val="009B35A7"/>
    <w:rsid w:val="009C1040"/>
    <w:rsid w:val="009D1DB4"/>
    <w:rsid w:val="009D5455"/>
    <w:rsid w:val="009E2791"/>
    <w:rsid w:val="009E3F6F"/>
    <w:rsid w:val="009F4424"/>
    <w:rsid w:val="009F499F"/>
    <w:rsid w:val="00A02233"/>
    <w:rsid w:val="00A12D94"/>
    <w:rsid w:val="00A13D9E"/>
    <w:rsid w:val="00A14287"/>
    <w:rsid w:val="00A301D3"/>
    <w:rsid w:val="00A372C6"/>
    <w:rsid w:val="00A37342"/>
    <w:rsid w:val="00A40699"/>
    <w:rsid w:val="00A42DAF"/>
    <w:rsid w:val="00A45BD8"/>
    <w:rsid w:val="00A52ADF"/>
    <w:rsid w:val="00A54660"/>
    <w:rsid w:val="00A61861"/>
    <w:rsid w:val="00A62584"/>
    <w:rsid w:val="00A66032"/>
    <w:rsid w:val="00A6657A"/>
    <w:rsid w:val="00A739FE"/>
    <w:rsid w:val="00A83C19"/>
    <w:rsid w:val="00A8602C"/>
    <w:rsid w:val="00A8624F"/>
    <w:rsid w:val="00A869B7"/>
    <w:rsid w:val="00A942E3"/>
    <w:rsid w:val="00AA62A4"/>
    <w:rsid w:val="00AC205C"/>
    <w:rsid w:val="00AC2FB1"/>
    <w:rsid w:val="00AC3480"/>
    <w:rsid w:val="00AC38B6"/>
    <w:rsid w:val="00AC3B3C"/>
    <w:rsid w:val="00AC5C68"/>
    <w:rsid w:val="00AD5C7E"/>
    <w:rsid w:val="00AE0F24"/>
    <w:rsid w:val="00AE267B"/>
    <w:rsid w:val="00AE4601"/>
    <w:rsid w:val="00AE63B3"/>
    <w:rsid w:val="00AF0A6B"/>
    <w:rsid w:val="00AF2A46"/>
    <w:rsid w:val="00B05A69"/>
    <w:rsid w:val="00B11BEF"/>
    <w:rsid w:val="00B15707"/>
    <w:rsid w:val="00B15935"/>
    <w:rsid w:val="00B16E03"/>
    <w:rsid w:val="00B17D9C"/>
    <w:rsid w:val="00B21803"/>
    <w:rsid w:val="00B2412F"/>
    <w:rsid w:val="00B250D0"/>
    <w:rsid w:val="00B2634B"/>
    <w:rsid w:val="00B37121"/>
    <w:rsid w:val="00B409E9"/>
    <w:rsid w:val="00B55958"/>
    <w:rsid w:val="00B601F0"/>
    <w:rsid w:val="00B7018C"/>
    <w:rsid w:val="00B7173D"/>
    <w:rsid w:val="00B73FEC"/>
    <w:rsid w:val="00B75269"/>
    <w:rsid w:val="00B75281"/>
    <w:rsid w:val="00B76083"/>
    <w:rsid w:val="00B8093E"/>
    <w:rsid w:val="00B92F1F"/>
    <w:rsid w:val="00B9734B"/>
    <w:rsid w:val="00BA30E2"/>
    <w:rsid w:val="00BA6326"/>
    <w:rsid w:val="00BB11D9"/>
    <w:rsid w:val="00BB5A5A"/>
    <w:rsid w:val="00BD000E"/>
    <w:rsid w:val="00BD1203"/>
    <w:rsid w:val="00BD474A"/>
    <w:rsid w:val="00BE305D"/>
    <w:rsid w:val="00BE73C6"/>
    <w:rsid w:val="00BF16F0"/>
    <w:rsid w:val="00BF1D4E"/>
    <w:rsid w:val="00C0041B"/>
    <w:rsid w:val="00C05AFB"/>
    <w:rsid w:val="00C11B8B"/>
    <w:rsid w:val="00C11BFE"/>
    <w:rsid w:val="00C17C52"/>
    <w:rsid w:val="00C23FB8"/>
    <w:rsid w:val="00C25618"/>
    <w:rsid w:val="00C274D7"/>
    <w:rsid w:val="00C3033F"/>
    <w:rsid w:val="00C307A5"/>
    <w:rsid w:val="00C35620"/>
    <w:rsid w:val="00C43C60"/>
    <w:rsid w:val="00C44E81"/>
    <w:rsid w:val="00C46B12"/>
    <w:rsid w:val="00C5068F"/>
    <w:rsid w:val="00C5485D"/>
    <w:rsid w:val="00C558D0"/>
    <w:rsid w:val="00C61062"/>
    <w:rsid w:val="00C64AF6"/>
    <w:rsid w:val="00C6619E"/>
    <w:rsid w:val="00C71F0B"/>
    <w:rsid w:val="00C844BE"/>
    <w:rsid w:val="00C84D33"/>
    <w:rsid w:val="00C86D74"/>
    <w:rsid w:val="00C94A70"/>
    <w:rsid w:val="00C95197"/>
    <w:rsid w:val="00C96BC5"/>
    <w:rsid w:val="00CA3BE7"/>
    <w:rsid w:val="00CA69D4"/>
    <w:rsid w:val="00CB3542"/>
    <w:rsid w:val="00CC6D3E"/>
    <w:rsid w:val="00CD04F1"/>
    <w:rsid w:val="00CD624E"/>
    <w:rsid w:val="00CE395D"/>
    <w:rsid w:val="00CF5EDD"/>
    <w:rsid w:val="00CF681A"/>
    <w:rsid w:val="00D03EA0"/>
    <w:rsid w:val="00D07C78"/>
    <w:rsid w:val="00D25480"/>
    <w:rsid w:val="00D32887"/>
    <w:rsid w:val="00D34D90"/>
    <w:rsid w:val="00D351C7"/>
    <w:rsid w:val="00D45252"/>
    <w:rsid w:val="00D4611C"/>
    <w:rsid w:val="00D4733C"/>
    <w:rsid w:val="00D47FE4"/>
    <w:rsid w:val="00D6001A"/>
    <w:rsid w:val="00D71B4D"/>
    <w:rsid w:val="00D8449B"/>
    <w:rsid w:val="00D93D55"/>
    <w:rsid w:val="00D95BF8"/>
    <w:rsid w:val="00D96D6A"/>
    <w:rsid w:val="00DA56C7"/>
    <w:rsid w:val="00DC0370"/>
    <w:rsid w:val="00DC7B07"/>
    <w:rsid w:val="00DD3E97"/>
    <w:rsid w:val="00DD6214"/>
    <w:rsid w:val="00DD6B0E"/>
    <w:rsid w:val="00DD7B7F"/>
    <w:rsid w:val="00DE3BC1"/>
    <w:rsid w:val="00DE3E0C"/>
    <w:rsid w:val="00DE7DA7"/>
    <w:rsid w:val="00DF4AF1"/>
    <w:rsid w:val="00E0083A"/>
    <w:rsid w:val="00E11FFB"/>
    <w:rsid w:val="00E14D25"/>
    <w:rsid w:val="00E15015"/>
    <w:rsid w:val="00E31785"/>
    <w:rsid w:val="00E335FE"/>
    <w:rsid w:val="00E37665"/>
    <w:rsid w:val="00E37FB4"/>
    <w:rsid w:val="00E50178"/>
    <w:rsid w:val="00E50A30"/>
    <w:rsid w:val="00E51F5D"/>
    <w:rsid w:val="00E60513"/>
    <w:rsid w:val="00E65304"/>
    <w:rsid w:val="00E65C55"/>
    <w:rsid w:val="00E70D72"/>
    <w:rsid w:val="00E74A3E"/>
    <w:rsid w:val="00EA6140"/>
    <w:rsid w:val="00EA7D6E"/>
    <w:rsid w:val="00EB2F76"/>
    <w:rsid w:val="00EB3CB3"/>
    <w:rsid w:val="00EC4E49"/>
    <w:rsid w:val="00EC61F1"/>
    <w:rsid w:val="00EC7735"/>
    <w:rsid w:val="00ED3A15"/>
    <w:rsid w:val="00ED77FB"/>
    <w:rsid w:val="00EE3460"/>
    <w:rsid w:val="00EE45FA"/>
    <w:rsid w:val="00EE53F8"/>
    <w:rsid w:val="00EF3A93"/>
    <w:rsid w:val="00F01160"/>
    <w:rsid w:val="00F043DE"/>
    <w:rsid w:val="00F062F0"/>
    <w:rsid w:val="00F217CC"/>
    <w:rsid w:val="00F27BF9"/>
    <w:rsid w:val="00F30693"/>
    <w:rsid w:val="00F32024"/>
    <w:rsid w:val="00F3678E"/>
    <w:rsid w:val="00F40866"/>
    <w:rsid w:val="00F45565"/>
    <w:rsid w:val="00F46A11"/>
    <w:rsid w:val="00F620D5"/>
    <w:rsid w:val="00F657DF"/>
    <w:rsid w:val="00F65CF1"/>
    <w:rsid w:val="00F66152"/>
    <w:rsid w:val="00F736B0"/>
    <w:rsid w:val="00F82D32"/>
    <w:rsid w:val="00F87F84"/>
    <w:rsid w:val="00F9165B"/>
    <w:rsid w:val="00F953FF"/>
    <w:rsid w:val="00FA298E"/>
    <w:rsid w:val="00FA2DAE"/>
    <w:rsid w:val="00FC00C8"/>
    <w:rsid w:val="00FC7E97"/>
    <w:rsid w:val="00FE4AB7"/>
    <w:rsid w:val="00FF003D"/>
    <w:rsid w:val="00FF0797"/>
    <w:rsid w:val="00FF11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562C8D"/>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4E"/>
    <w:rPr>
      <w:rFonts w:ascii="Arial" w:eastAsia="SimSun" w:hAnsi="Arial" w:cs="Arial"/>
      <w:sz w:val="22"/>
      <w:lang w:val="fr-FR" w:eastAsia="zh-CN"/>
    </w:rPr>
  </w:style>
  <w:style w:type="paragraph" w:styleId="Heading1">
    <w:name w:val="heading 1"/>
    <w:basedOn w:val="Normal"/>
    <w:next w:val="Normal"/>
    <w:link w:val="Heading1Char"/>
    <w:autoRedefine/>
    <w:qFormat/>
    <w:rsid w:val="006F594E"/>
    <w:pPr>
      <w:keepNext/>
      <w:spacing w:after="600"/>
      <w:outlineLvl w:val="0"/>
    </w:pPr>
    <w:rPr>
      <w:b/>
      <w:bCs/>
      <w:kern w:val="32"/>
      <w:sz w:val="28"/>
      <w:szCs w:val="32"/>
    </w:rPr>
  </w:style>
  <w:style w:type="paragraph" w:styleId="Heading2">
    <w:name w:val="heading 2"/>
    <w:basedOn w:val="Normal"/>
    <w:next w:val="Normal"/>
    <w:link w:val="Heading2Char"/>
    <w:autoRedefine/>
    <w:qFormat/>
    <w:rsid w:val="00191710"/>
    <w:pPr>
      <w:keepNext/>
      <w:spacing w:before="240" w:after="280"/>
      <w:outlineLvl w:val="1"/>
    </w:pPr>
    <w:rPr>
      <w:b/>
      <w:bCs/>
      <w:iCs/>
      <w:caps/>
      <w:szCs w:val="28"/>
      <w:lang w:val="fr-CH"/>
    </w:rPr>
  </w:style>
  <w:style w:type="paragraph" w:styleId="Heading3">
    <w:name w:val="heading 3"/>
    <w:basedOn w:val="Normal"/>
    <w:next w:val="Normal"/>
    <w:link w:val="Heading3Char"/>
    <w:qFormat/>
    <w:rsid w:val="006F594E"/>
    <w:pPr>
      <w:keepNext/>
      <w:spacing w:before="240" w:after="280"/>
      <w:outlineLvl w:val="2"/>
    </w:pPr>
    <w:rPr>
      <w:bCs/>
      <w:caps/>
      <w:szCs w:val="26"/>
    </w:rPr>
  </w:style>
  <w:style w:type="paragraph" w:styleId="Heading4">
    <w:name w:val="heading 4"/>
    <w:basedOn w:val="Normal"/>
    <w:next w:val="Normal"/>
    <w:link w:val="Heading4Char"/>
    <w:autoRedefine/>
    <w:qFormat/>
    <w:rsid w:val="006F594E"/>
    <w:pPr>
      <w:keepNext/>
      <w:spacing w:before="240" w:after="280"/>
      <w:outlineLvl w:val="3"/>
    </w:pPr>
    <w:rPr>
      <w:bCs/>
      <w:szCs w:val="28"/>
      <w:u w:val="single"/>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paragraph" w:styleId="Heading6">
    <w:name w:val="heading 6"/>
    <w:basedOn w:val="Normal"/>
    <w:next w:val="Normal"/>
    <w:link w:val="Heading6Char"/>
    <w:unhideWhenUsed/>
    <w:qFormat/>
    <w:rsid w:val="00117B9F"/>
    <w:pPr>
      <w:keepNext/>
      <w:keepLines/>
      <w:spacing w:before="240" w:after="220"/>
      <w:jc w:val="center"/>
      <w:outlineLvl w:val="5"/>
    </w:pPr>
    <w:rPr>
      <w:rFonts w:eastAsiaTheme="majorEastAsia"/>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F594E"/>
    <w:pPr>
      <w:spacing w:before="720"/>
      <w:ind w:left="5534"/>
    </w:pPr>
  </w:style>
  <w:style w:type="paragraph" w:styleId="BodyText">
    <w:name w:val="Body Text"/>
    <w:basedOn w:val="Normal"/>
    <w:link w:val="BodyTextChar"/>
    <w:rsid w:val="006F594E"/>
    <w:pPr>
      <w:spacing w:after="220"/>
    </w:pPr>
  </w:style>
  <w:style w:type="paragraph" w:styleId="Caption">
    <w:name w:val="caption"/>
    <w:basedOn w:val="Normal"/>
    <w:next w:val="Normal"/>
    <w:link w:val="CaptionChar"/>
    <w:qFormat/>
    <w:rsid w:val="006F594E"/>
    <w:rPr>
      <w:b/>
      <w:bCs/>
      <w:sz w:val="18"/>
    </w:rPr>
  </w:style>
  <w:style w:type="paragraph" w:styleId="CommentText">
    <w:name w:val="annotation text"/>
    <w:basedOn w:val="Normal"/>
    <w:link w:val="CommentTextChar1"/>
    <w:semiHidden/>
    <w:rsid w:val="006F594E"/>
    <w:rPr>
      <w:sz w:val="18"/>
    </w:rPr>
  </w:style>
  <w:style w:type="paragraph" w:styleId="EndnoteText">
    <w:name w:val="endnote text"/>
    <w:basedOn w:val="Normal"/>
    <w:link w:val="EndnoteTextChar"/>
    <w:semiHidden/>
    <w:rsid w:val="006F594E"/>
    <w:rPr>
      <w:sz w:val="18"/>
    </w:rPr>
  </w:style>
  <w:style w:type="paragraph" w:styleId="Footer">
    <w:name w:val="footer"/>
    <w:basedOn w:val="Normal"/>
    <w:link w:val="FooterChar"/>
    <w:semiHidden/>
    <w:rsid w:val="006F594E"/>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6F594E"/>
    <w:rPr>
      <w:sz w:val="18"/>
    </w:rPr>
  </w:style>
  <w:style w:type="paragraph" w:styleId="Header">
    <w:name w:val="header"/>
    <w:basedOn w:val="Normal"/>
    <w:link w:val="HeaderChar"/>
    <w:uiPriority w:val="99"/>
    <w:rsid w:val="006F594E"/>
    <w:pPr>
      <w:tabs>
        <w:tab w:val="center" w:pos="4536"/>
        <w:tab w:val="right" w:pos="9072"/>
      </w:tabs>
    </w:pPr>
  </w:style>
  <w:style w:type="paragraph" w:styleId="ListNumber">
    <w:name w:val="List Number"/>
    <w:basedOn w:val="Normal"/>
    <w:semiHidden/>
    <w:rsid w:val="006F594E"/>
    <w:pPr>
      <w:numPr>
        <w:numId w:val="13"/>
      </w:numPr>
    </w:pPr>
  </w:style>
  <w:style w:type="paragraph" w:customStyle="1" w:styleId="ONUME">
    <w:name w:val="ONUM E"/>
    <w:basedOn w:val="BodyText"/>
    <w:link w:val="ONUMEChar"/>
    <w:qFormat/>
    <w:rsid w:val="006F594E"/>
    <w:pPr>
      <w:numPr>
        <w:numId w:val="14"/>
      </w:numPr>
    </w:pPr>
  </w:style>
  <w:style w:type="paragraph" w:customStyle="1" w:styleId="ONUMFS">
    <w:name w:val="ONUM FS"/>
    <w:basedOn w:val="BodyText"/>
    <w:rsid w:val="00AE63B3"/>
    <w:pPr>
      <w:numPr>
        <w:numId w:val="15"/>
      </w:numPr>
      <w:tabs>
        <w:tab w:val="clear" w:pos="2127"/>
        <w:tab w:val="num" w:pos="567"/>
      </w:tabs>
      <w:ind w:left="0"/>
    </w:pPr>
  </w:style>
  <w:style w:type="paragraph" w:styleId="Salutation">
    <w:name w:val="Salutation"/>
    <w:basedOn w:val="Normal"/>
    <w:next w:val="Normal"/>
    <w:link w:val="SalutationChar"/>
    <w:semiHidden/>
    <w:rsid w:val="006F594E"/>
  </w:style>
  <w:style w:type="paragraph" w:styleId="Signature">
    <w:name w:val="Signature"/>
    <w:basedOn w:val="Normal"/>
    <w:link w:val="SignatureChar"/>
    <w:semiHidden/>
    <w:rsid w:val="006F594E"/>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fr-FR"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191710"/>
    <w:rPr>
      <w:rFonts w:ascii="Arial" w:eastAsia="SimSun" w:hAnsi="Arial" w:cs="Arial"/>
      <w:b/>
      <w:bCs/>
      <w:iCs/>
      <w:caps/>
      <w:sz w:val="22"/>
      <w:szCs w:val="28"/>
      <w:lang w:eastAsia="zh-CN"/>
    </w:rPr>
  </w:style>
  <w:style w:type="character" w:customStyle="1" w:styleId="BodyTextChar">
    <w:name w:val="Body Text Char"/>
    <w:basedOn w:val="DefaultParagraphFont"/>
    <w:link w:val="BodyText"/>
    <w:rsid w:val="006F594E"/>
    <w:rPr>
      <w:rFonts w:ascii="Arial" w:eastAsia="SimSun" w:hAnsi="Arial" w:cs="Arial"/>
      <w:sz w:val="22"/>
      <w:lang w:val="fr-FR" w:eastAsia="zh-CN"/>
    </w:rPr>
  </w:style>
  <w:style w:type="character" w:customStyle="1" w:styleId="CaptionChar">
    <w:name w:val="Caption Char"/>
    <w:basedOn w:val="DefaultParagraphFont"/>
    <w:link w:val="Caption"/>
    <w:rsid w:val="00C46B12"/>
    <w:rPr>
      <w:rFonts w:ascii="Arial" w:eastAsia="SimSun" w:hAnsi="Arial" w:cs="Arial"/>
      <w:b/>
      <w:bCs/>
      <w:sz w:val="18"/>
      <w:lang w:val="fr-FR"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fr-FR"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Arial"/>
      <w:sz w:val="18"/>
      <w:lang w:val="fr-FR" w:eastAsia="zh-CN"/>
    </w:rPr>
  </w:style>
  <w:style w:type="character" w:customStyle="1" w:styleId="HeaderChar">
    <w:name w:val="Header Char"/>
    <w:link w:val="Header"/>
    <w:uiPriority w:val="99"/>
    <w:locked/>
    <w:rsid w:val="00C46B12"/>
    <w:rPr>
      <w:rFonts w:ascii="Arial" w:eastAsia="SimSun" w:hAnsi="Arial" w:cs="Arial"/>
      <w:sz w:val="22"/>
      <w:lang w:val="fr-FR"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0626EE"/>
    <w:pPr>
      <w:tabs>
        <w:tab w:val="left" w:pos="440"/>
        <w:tab w:val="right" w:leader="dot" w:pos="9345"/>
      </w:tabs>
      <w:spacing w:before="240" w:after="240"/>
    </w:pPr>
    <w:rPr>
      <w:caps/>
      <w:noProof/>
    </w:r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basedOn w:val="Normal"/>
    <w:link w:val="ListParagraphChar"/>
    <w:uiPriority w:val="34"/>
    <w:qFormat/>
    <w:rsid w:val="006F594E"/>
    <w:pPr>
      <w:ind w:left="720"/>
      <w:contextualSpacing/>
    </w:pPr>
    <w:rPr>
      <w:lang w:val="fr-CH"/>
    </w:rPr>
  </w:style>
  <w:style w:type="character" w:customStyle="1" w:styleId="ListParagraphChar">
    <w:name w:val="List Paragraph Char"/>
    <w:basedOn w:val="DefaultParagraphFont"/>
    <w:link w:val="ListParagraph"/>
    <w:uiPriority w:val="34"/>
    <w:rsid w:val="00C46B12"/>
    <w:rPr>
      <w:rFonts w:ascii="Arial" w:eastAsia="SimSun" w:hAnsi="Arial" w:cs="Arial"/>
      <w:sz w:val="22"/>
      <w:lang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fr-FR"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191710"/>
    <w:pPr>
      <w:tabs>
        <w:tab w:val="right" w:leader="dot" w:pos="9346"/>
      </w:tabs>
      <w:spacing w:after="100"/>
      <w:ind w:left="220"/>
    </w:pPr>
    <w:rPr>
      <w:caps/>
      <w:noProof/>
    </w:rPr>
  </w:style>
  <w:style w:type="paragraph" w:customStyle="1" w:styleId="Heading11">
    <w:name w:val="Heading 1.1"/>
    <w:basedOn w:val="Heading1"/>
    <w:qFormat/>
    <w:rsid w:val="00C46B12"/>
    <w:pPr>
      <w:numPr>
        <w:numId w:val="7"/>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kern w:val="32"/>
      <w:sz w:val="28"/>
      <w:szCs w:val="32"/>
      <w:lang w:val="fr-FR"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06EDC"/>
    <w:rPr>
      <w:color w:val="808080"/>
    </w:rPr>
  </w:style>
  <w:style w:type="character" w:customStyle="1" w:styleId="preferred">
    <w:name w:val="preferred"/>
    <w:basedOn w:val="DefaultParagraphFont"/>
    <w:rsid w:val="007123E1"/>
  </w:style>
  <w:style w:type="paragraph" w:styleId="TOC3">
    <w:name w:val="toc 3"/>
    <w:basedOn w:val="Normal"/>
    <w:next w:val="Normal"/>
    <w:autoRedefine/>
    <w:uiPriority w:val="39"/>
    <w:unhideWhenUsed/>
    <w:rsid w:val="000626EE"/>
    <w:pPr>
      <w:spacing w:after="100"/>
      <w:ind w:left="440"/>
    </w:pPr>
  </w:style>
  <w:style w:type="character" w:customStyle="1" w:styleId="Heading3Char">
    <w:name w:val="Heading 3 Char"/>
    <w:basedOn w:val="DefaultParagraphFont"/>
    <w:link w:val="Heading3"/>
    <w:rsid w:val="00117B9F"/>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117B9F"/>
    <w:rPr>
      <w:rFonts w:ascii="Arial" w:eastAsia="SimSun" w:hAnsi="Arial" w:cs="Arial"/>
      <w:bCs/>
      <w:sz w:val="22"/>
      <w:szCs w:val="28"/>
      <w:u w:val="single"/>
      <w:lang w:val="fr-FR" w:eastAsia="zh-CN"/>
    </w:rPr>
  </w:style>
  <w:style w:type="character" w:customStyle="1" w:styleId="FooterChar">
    <w:name w:val="Footer Char"/>
    <w:basedOn w:val="DefaultParagraphFont"/>
    <w:link w:val="Footer"/>
    <w:semiHidden/>
    <w:rsid w:val="00117B9F"/>
    <w:rPr>
      <w:rFonts w:ascii="Arial" w:eastAsia="SimSun" w:hAnsi="Arial" w:cs="Arial"/>
      <w:sz w:val="22"/>
      <w:lang w:val="fr-FR" w:eastAsia="zh-CN"/>
    </w:rPr>
  </w:style>
  <w:style w:type="character" w:customStyle="1" w:styleId="SalutationChar">
    <w:name w:val="Salutation Char"/>
    <w:basedOn w:val="DefaultParagraphFont"/>
    <w:link w:val="Salutation"/>
    <w:semiHidden/>
    <w:rsid w:val="00117B9F"/>
    <w:rPr>
      <w:rFonts w:ascii="Arial" w:eastAsia="SimSun" w:hAnsi="Arial" w:cs="Arial"/>
      <w:sz w:val="22"/>
      <w:lang w:val="fr-FR" w:eastAsia="zh-CN"/>
    </w:rPr>
  </w:style>
  <w:style w:type="character" w:customStyle="1" w:styleId="SignatureChar">
    <w:name w:val="Signature Char"/>
    <w:basedOn w:val="DefaultParagraphFont"/>
    <w:link w:val="Signature"/>
    <w:semiHidden/>
    <w:rsid w:val="00117B9F"/>
    <w:rPr>
      <w:rFonts w:ascii="Arial" w:eastAsia="SimSun" w:hAnsi="Arial" w:cs="Arial"/>
      <w:sz w:val="22"/>
      <w:lang w:val="fr-FR" w:eastAsia="zh-CN"/>
    </w:rPr>
  </w:style>
  <w:style w:type="character" w:customStyle="1" w:styleId="Heading6Char">
    <w:name w:val="Heading 6 Char"/>
    <w:basedOn w:val="DefaultParagraphFont"/>
    <w:link w:val="Heading6"/>
    <w:rsid w:val="00117B9F"/>
    <w:rPr>
      <w:rFonts w:ascii="Arial" w:eastAsiaTheme="majorEastAsia" w:hAnsi="Arial" w:cs="Arial"/>
      <w:b/>
      <w:sz w:val="18"/>
      <w:szCs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F734E-2F78-4522-B9D8-D15A34E4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7704</Words>
  <Characters>41966</Characters>
  <Application>Microsoft Office Word</Application>
  <DocSecurity>0</DocSecurity>
  <Lines>790</Lines>
  <Paragraphs>312</Paragraphs>
  <ScaleCrop>false</ScaleCrop>
  <HeadingPairs>
    <vt:vector size="2" baseType="variant">
      <vt:variant>
        <vt:lpstr>Title</vt:lpstr>
      </vt:variant>
      <vt:variant>
        <vt:i4>1</vt:i4>
      </vt:variant>
    </vt:vector>
  </HeadingPairs>
  <TitlesOfParts>
    <vt:vector size="1" baseType="lpstr">
      <vt:lpstr>WO/GA/52/</vt:lpstr>
    </vt:vector>
  </TitlesOfParts>
  <Company>WIPO</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dc:title>
  <dc:subject/>
  <dc:creator>IOD</dc:creator>
  <cp:keywords>PUBLIC</cp:keywords>
  <dc:description/>
  <cp:lastModifiedBy>HÄFLIGER Patience</cp:lastModifiedBy>
  <cp:revision>3</cp:revision>
  <cp:lastPrinted>2020-04-27T13:46:00Z</cp:lastPrinted>
  <dcterms:created xsi:type="dcterms:W3CDTF">2020-07-17T07:34:00Z</dcterms:created>
  <dcterms:modified xsi:type="dcterms:W3CDTF">2020-07-17T07:34:00Z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15b8dd11-c581-45ff-925c-997595eeb380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